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F48" w:rsidRDefault="00193E23" w:rsidP="006E2F48">
      <w:pPr>
        <w:widowControl w:val="0"/>
        <w:tabs>
          <w:tab w:val="left" w:pos="622"/>
        </w:tabs>
        <w:spacing w:after="0" w:line="240" w:lineRule="auto"/>
        <w:jc w:val="center"/>
        <w:rPr>
          <w:rFonts w:ascii="Times New Roman" w:eastAsia="AngsanaUPC" w:hAnsi="Times New Roman"/>
          <w:b/>
          <w:bCs/>
          <w:sz w:val="24"/>
          <w:szCs w:val="24"/>
          <w:u w:val="single"/>
          <w:lang w:eastAsia="lt-LT"/>
        </w:rPr>
      </w:pPr>
      <w:r w:rsidRPr="00801022">
        <w:rPr>
          <w:rFonts w:ascii="Times New Roman" w:hAnsi="Times New Roman"/>
          <w:b/>
          <w:sz w:val="52"/>
          <w:szCs w:val="24"/>
        </w:rPr>
        <w:t>Lietuvos Respublika</w:t>
      </w:r>
    </w:p>
    <w:p w:rsidR="006E2F48" w:rsidRDefault="006E2F48" w:rsidP="006E2F48">
      <w:pPr>
        <w:widowControl w:val="0"/>
        <w:tabs>
          <w:tab w:val="left" w:pos="622"/>
        </w:tabs>
        <w:spacing w:after="0" w:line="240" w:lineRule="auto"/>
        <w:jc w:val="center"/>
        <w:rPr>
          <w:rFonts w:ascii="Times New Roman" w:eastAsia="AngsanaUPC" w:hAnsi="Times New Roman"/>
          <w:b/>
          <w:bCs/>
          <w:sz w:val="24"/>
          <w:szCs w:val="24"/>
          <w:u w:val="single"/>
          <w:lang w:eastAsia="lt-LT"/>
        </w:rPr>
      </w:pPr>
    </w:p>
    <w:p w:rsidR="006E2F48" w:rsidRDefault="006E2F48" w:rsidP="006E2F48">
      <w:pPr>
        <w:widowControl w:val="0"/>
        <w:tabs>
          <w:tab w:val="left" w:pos="622"/>
        </w:tabs>
        <w:spacing w:after="0" w:line="240" w:lineRule="auto"/>
        <w:jc w:val="center"/>
        <w:rPr>
          <w:rFonts w:ascii="Times New Roman" w:eastAsia="AngsanaUPC" w:hAnsi="Times New Roman"/>
          <w:b/>
          <w:bCs/>
          <w:sz w:val="24"/>
          <w:szCs w:val="24"/>
          <w:u w:val="single"/>
          <w:lang w:eastAsia="lt-LT"/>
        </w:rPr>
      </w:pPr>
    </w:p>
    <w:p w:rsidR="006E2F48" w:rsidRDefault="006E2F48" w:rsidP="006E2F48">
      <w:pPr>
        <w:widowControl w:val="0"/>
        <w:tabs>
          <w:tab w:val="left" w:pos="622"/>
        </w:tabs>
        <w:spacing w:after="0" w:line="240" w:lineRule="auto"/>
        <w:jc w:val="center"/>
        <w:rPr>
          <w:rFonts w:ascii="Times New Roman" w:eastAsia="AngsanaUPC" w:hAnsi="Times New Roman"/>
          <w:b/>
          <w:bCs/>
          <w:sz w:val="24"/>
          <w:szCs w:val="24"/>
          <w:u w:val="single"/>
          <w:lang w:eastAsia="lt-LT"/>
        </w:rPr>
      </w:pPr>
    </w:p>
    <w:p w:rsidR="006E2F48" w:rsidRDefault="006E2F48" w:rsidP="006E2F48">
      <w:pPr>
        <w:widowControl w:val="0"/>
        <w:tabs>
          <w:tab w:val="left" w:pos="622"/>
        </w:tabs>
        <w:spacing w:after="0" w:line="240" w:lineRule="auto"/>
        <w:jc w:val="center"/>
        <w:rPr>
          <w:rFonts w:ascii="Times New Roman" w:eastAsia="AngsanaUPC" w:hAnsi="Times New Roman"/>
          <w:b/>
          <w:bCs/>
          <w:sz w:val="24"/>
          <w:szCs w:val="24"/>
          <w:u w:val="single"/>
          <w:lang w:eastAsia="lt-LT"/>
        </w:rPr>
      </w:pPr>
    </w:p>
    <w:p w:rsidR="006E2F48" w:rsidRDefault="006E2F48" w:rsidP="006E2F48">
      <w:pPr>
        <w:widowControl w:val="0"/>
        <w:tabs>
          <w:tab w:val="left" w:pos="622"/>
        </w:tabs>
        <w:spacing w:after="0" w:line="240" w:lineRule="auto"/>
        <w:jc w:val="center"/>
        <w:rPr>
          <w:rFonts w:ascii="Times New Roman" w:eastAsia="AngsanaUPC" w:hAnsi="Times New Roman"/>
          <w:b/>
          <w:bCs/>
          <w:sz w:val="24"/>
          <w:szCs w:val="24"/>
          <w:u w:val="single"/>
          <w:lang w:eastAsia="lt-LT"/>
        </w:rPr>
      </w:pPr>
    </w:p>
    <w:p w:rsidR="00661BED" w:rsidRDefault="00661BED" w:rsidP="006E2F48">
      <w:pPr>
        <w:widowControl w:val="0"/>
        <w:tabs>
          <w:tab w:val="left" w:pos="622"/>
        </w:tabs>
        <w:spacing w:after="0" w:line="240" w:lineRule="auto"/>
        <w:jc w:val="center"/>
        <w:rPr>
          <w:rFonts w:ascii="Times New Roman" w:eastAsia="AngsanaUPC" w:hAnsi="Times New Roman"/>
          <w:b/>
          <w:bCs/>
          <w:sz w:val="24"/>
          <w:szCs w:val="24"/>
          <w:u w:val="single"/>
          <w:lang w:eastAsia="lt-LT"/>
        </w:rPr>
      </w:pPr>
    </w:p>
    <w:p w:rsidR="00661BED" w:rsidRDefault="00661BED" w:rsidP="006E2F48">
      <w:pPr>
        <w:widowControl w:val="0"/>
        <w:tabs>
          <w:tab w:val="left" w:pos="622"/>
        </w:tabs>
        <w:spacing w:after="0" w:line="240" w:lineRule="auto"/>
        <w:jc w:val="center"/>
        <w:rPr>
          <w:rFonts w:ascii="Times New Roman" w:eastAsia="AngsanaUPC" w:hAnsi="Times New Roman"/>
          <w:b/>
          <w:bCs/>
          <w:sz w:val="24"/>
          <w:szCs w:val="24"/>
          <w:u w:val="single"/>
          <w:lang w:eastAsia="lt-LT"/>
        </w:rPr>
      </w:pPr>
    </w:p>
    <w:p w:rsidR="00661BED" w:rsidRDefault="00661BED" w:rsidP="006E2F48">
      <w:pPr>
        <w:widowControl w:val="0"/>
        <w:tabs>
          <w:tab w:val="left" w:pos="622"/>
        </w:tabs>
        <w:spacing w:after="0" w:line="240" w:lineRule="auto"/>
        <w:jc w:val="center"/>
        <w:rPr>
          <w:rFonts w:ascii="Times New Roman" w:eastAsia="AngsanaUPC" w:hAnsi="Times New Roman"/>
          <w:b/>
          <w:bCs/>
          <w:sz w:val="24"/>
          <w:szCs w:val="24"/>
          <w:u w:val="single"/>
          <w:lang w:eastAsia="lt-LT"/>
        </w:rPr>
      </w:pPr>
    </w:p>
    <w:p w:rsidR="00661BED" w:rsidRDefault="00661BED" w:rsidP="006E2F48">
      <w:pPr>
        <w:widowControl w:val="0"/>
        <w:tabs>
          <w:tab w:val="left" w:pos="622"/>
        </w:tabs>
        <w:spacing w:after="0" w:line="240" w:lineRule="auto"/>
        <w:jc w:val="center"/>
        <w:rPr>
          <w:rFonts w:ascii="Times New Roman" w:eastAsia="AngsanaUPC" w:hAnsi="Times New Roman"/>
          <w:b/>
          <w:bCs/>
          <w:sz w:val="24"/>
          <w:szCs w:val="24"/>
          <w:u w:val="single"/>
          <w:lang w:eastAsia="lt-LT"/>
        </w:rPr>
      </w:pPr>
    </w:p>
    <w:p w:rsidR="00661BED" w:rsidRDefault="00661BED" w:rsidP="006E2F48">
      <w:pPr>
        <w:widowControl w:val="0"/>
        <w:tabs>
          <w:tab w:val="left" w:pos="622"/>
        </w:tabs>
        <w:spacing w:after="0" w:line="240" w:lineRule="auto"/>
        <w:jc w:val="center"/>
        <w:rPr>
          <w:rFonts w:ascii="Times New Roman" w:eastAsia="AngsanaUPC" w:hAnsi="Times New Roman"/>
          <w:b/>
          <w:bCs/>
          <w:sz w:val="24"/>
          <w:szCs w:val="24"/>
          <w:u w:val="single"/>
          <w:lang w:eastAsia="lt-LT"/>
        </w:rPr>
      </w:pPr>
    </w:p>
    <w:p w:rsidR="006E2F48" w:rsidRDefault="006E2F48" w:rsidP="006E2F48">
      <w:pPr>
        <w:widowControl w:val="0"/>
        <w:tabs>
          <w:tab w:val="left" w:pos="622"/>
        </w:tabs>
        <w:spacing w:after="0" w:line="240" w:lineRule="auto"/>
        <w:jc w:val="center"/>
        <w:rPr>
          <w:rFonts w:ascii="Times New Roman" w:eastAsia="AngsanaUPC" w:hAnsi="Times New Roman"/>
          <w:b/>
          <w:bCs/>
          <w:sz w:val="24"/>
          <w:szCs w:val="24"/>
          <w:u w:val="single"/>
          <w:lang w:eastAsia="lt-LT"/>
        </w:rPr>
      </w:pPr>
    </w:p>
    <w:p w:rsidR="006E2F48" w:rsidRDefault="006E2F48" w:rsidP="006E2F48">
      <w:pPr>
        <w:widowControl w:val="0"/>
        <w:tabs>
          <w:tab w:val="left" w:pos="622"/>
        </w:tabs>
        <w:spacing w:after="0" w:line="240" w:lineRule="auto"/>
        <w:jc w:val="center"/>
        <w:rPr>
          <w:rFonts w:ascii="Times New Roman" w:eastAsia="AngsanaUPC" w:hAnsi="Times New Roman"/>
          <w:b/>
          <w:bCs/>
          <w:sz w:val="24"/>
          <w:szCs w:val="24"/>
          <w:u w:val="single"/>
          <w:lang w:eastAsia="lt-LT"/>
        </w:rPr>
      </w:pPr>
    </w:p>
    <w:p w:rsidR="006E2F48" w:rsidRDefault="006E2F48" w:rsidP="006E2F48">
      <w:pPr>
        <w:widowControl w:val="0"/>
        <w:tabs>
          <w:tab w:val="left" w:pos="622"/>
        </w:tabs>
        <w:spacing w:after="0" w:line="240" w:lineRule="auto"/>
        <w:jc w:val="center"/>
        <w:rPr>
          <w:rFonts w:ascii="Times New Roman" w:eastAsia="AngsanaUPC" w:hAnsi="Times New Roman"/>
          <w:b/>
          <w:bCs/>
          <w:sz w:val="24"/>
          <w:szCs w:val="24"/>
          <w:u w:val="single"/>
          <w:lang w:eastAsia="lt-LT"/>
        </w:rPr>
      </w:pPr>
    </w:p>
    <w:p w:rsidR="001337A1" w:rsidRDefault="00C652C2" w:rsidP="006E2F48">
      <w:pPr>
        <w:widowControl w:val="0"/>
        <w:tabs>
          <w:tab w:val="left" w:pos="622"/>
        </w:tabs>
        <w:spacing w:after="0" w:line="240" w:lineRule="auto"/>
        <w:jc w:val="center"/>
        <w:rPr>
          <w:rFonts w:ascii="Times New Roman" w:eastAsia="AngsanaUPC" w:hAnsi="Times New Roman"/>
          <w:b/>
          <w:bCs/>
          <w:sz w:val="48"/>
          <w:szCs w:val="48"/>
          <w:lang w:eastAsia="lt-LT"/>
        </w:rPr>
      </w:pPr>
      <w:r>
        <w:rPr>
          <w:rFonts w:ascii="Times New Roman" w:eastAsia="AngsanaUPC" w:hAnsi="Times New Roman"/>
          <w:b/>
          <w:bCs/>
          <w:sz w:val="48"/>
          <w:szCs w:val="48"/>
          <w:lang w:eastAsia="lt-LT"/>
        </w:rPr>
        <w:t>2014–</w:t>
      </w:r>
      <w:r w:rsidR="00AA0C87" w:rsidRPr="00AA0C87">
        <w:rPr>
          <w:rFonts w:ascii="Times New Roman" w:eastAsia="AngsanaUPC" w:hAnsi="Times New Roman"/>
          <w:b/>
          <w:bCs/>
          <w:sz w:val="48"/>
          <w:szCs w:val="48"/>
          <w:lang w:eastAsia="lt-LT"/>
        </w:rPr>
        <w:t xml:space="preserve">2020 METŲ </w:t>
      </w:r>
      <w:proofErr w:type="gramStart"/>
      <w:r w:rsidR="00AA0C87" w:rsidRPr="00AA0C87">
        <w:rPr>
          <w:rFonts w:ascii="Times New Roman" w:eastAsia="AngsanaUPC" w:hAnsi="Times New Roman"/>
          <w:b/>
          <w:bCs/>
          <w:sz w:val="48"/>
          <w:szCs w:val="48"/>
          <w:lang w:eastAsia="lt-LT"/>
        </w:rPr>
        <w:t>EUROPOS SĄJUNGOS</w:t>
      </w:r>
      <w:proofErr w:type="gramEnd"/>
      <w:r w:rsidR="00AA0C87" w:rsidRPr="00AA0C87">
        <w:rPr>
          <w:rFonts w:ascii="Times New Roman" w:eastAsia="AngsanaUPC" w:hAnsi="Times New Roman"/>
          <w:b/>
          <w:bCs/>
          <w:sz w:val="48"/>
          <w:szCs w:val="48"/>
          <w:lang w:eastAsia="lt-LT"/>
        </w:rPr>
        <w:t xml:space="preserve"> FONDŲ INVESTICIJŲ VEIKSMŲ PROGRAMA</w:t>
      </w:r>
    </w:p>
    <w:p w:rsidR="001B6FEB" w:rsidRDefault="001B6FEB" w:rsidP="006E2F48">
      <w:pPr>
        <w:widowControl w:val="0"/>
        <w:tabs>
          <w:tab w:val="left" w:pos="622"/>
        </w:tabs>
        <w:spacing w:after="0" w:line="240" w:lineRule="auto"/>
        <w:jc w:val="center"/>
        <w:rPr>
          <w:rFonts w:ascii="Times New Roman" w:eastAsia="AngsanaUPC" w:hAnsi="Times New Roman"/>
          <w:b/>
          <w:bCs/>
          <w:sz w:val="48"/>
          <w:szCs w:val="48"/>
          <w:lang w:eastAsia="lt-LT"/>
        </w:rPr>
      </w:pPr>
    </w:p>
    <w:p w:rsidR="001B6FEB" w:rsidRDefault="001B6FEB" w:rsidP="006E2F48">
      <w:pPr>
        <w:widowControl w:val="0"/>
        <w:tabs>
          <w:tab w:val="left" w:pos="622"/>
        </w:tabs>
        <w:spacing w:after="0" w:line="240" w:lineRule="auto"/>
        <w:jc w:val="center"/>
        <w:rPr>
          <w:rFonts w:ascii="Times New Roman" w:eastAsia="AngsanaUPC" w:hAnsi="Times New Roman"/>
          <w:b/>
          <w:bCs/>
          <w:sz w:val="48"/>
          <w:szCs w:val="48"/>
          <w:lang w:eastAsia="lt-LT"/>
        </w:rPr>
      </w:pPr>
    </w:p>
    <w:p w:rsidR="001B6FEB" w:rsidRDefault="001B6FEB" w:rsidP="006E2F48">
      <w:pPr>
        <w:widowControl w:val="0"/>
        <w:tabs>
          <w:tab w:val="left" w:pos="622"/>
        </w:tabs>
        <w:spacing w:after="0" w:line="240" w:lineRule="auto"/>
        <w:jc w:val="center"/>
        <w:rPr>
          <w:rFonts w:ascii="Times New Roman" w:eastAsia="AngsanaUPC" w:hAnsi="Times New Roman"/>
          <w:b/>
          <w:bCs/>
          <w:sz w:val="48"/>
          <w:szCs w:val="48"/>
          <w:lang w:eastAsia="lt-LT"/>
        </w:rPr>
      </w:pPr>
    </w:p>
    <w:p w:rsidR="001B6FEB" w:rsidRDefault="001B6FEB" w:rsidP="006E2F48">
      <w:pPr>
        <w:widowControl w:val="0"/>
        <w:tabs>
          <w:tab w:val="left" w:pos="622"/>
        </w:tabs>
        <w:spacing w:after="0" w:line="240" w:lineRule="auto"/>
        <w:jc w:val="center"/>
        <w:rPr>
          <w:rFonts w:ascii="Times New Roman" w:eastAsia="AngsanaUPC" w:hAnsi="Times New Roman"/>
          <w:b/>
          <w:bCs/>
          <w:sz w:val="48"/>
          <w:szCs w:val="48"/>
          <w:lang w:eastAsia="lt-LT"/>
        </w:rPr>
      </w:pPr>
    </w:p>
    <w:p w:rsidR="001B6FEB" w:rsidRDefault="001B6FEB" w:rsidP="006E2F48">
      <w:pPr>
        <w:widowControl w:val="0"/>
        <w:tabs>
          <w:tab w:val="left" w:pos="622"/>
        </w:tabs>
        <w:spacing w:after="0" w:line="240" w:lineRule="auto"/>
        <w:jc w:val="center"/>
        <w:rPr>
          <w:rFonts w:ascii="Times New Roman" w:eastAsia="AngsanaUPC" w:hAnsi="Times New Roman"/>
          <w:b/>
          <w:bCs/>
          <w:sz w:val="48"/>
          <w:szCs w:val="48"/>
          <w:lang w:eastAsia="lt-LT"/>
        </w:rPr>
      </w:pPr>
    </w:p>
    <w:p w:rsidR="001B6FEB" w:rsidRDefault="001B6FEB" w:rsidP="006E2F48">
      <w:pPr>
        <w:widowControl w:val="0"/>
        <w:tabs>
          <w:tab w:val="left" w:pos="622"/>
        </w:tabs>
        <w:spacing w:after="0" w:line="240" w:lineRule="auto"/>
        <w:jc w:val="center"/>
        <w:rPr>
          <w:rFonts w:ascii="Times New Roman" w:eastAsia="AngsanaUPC" w:hAnsi="Times New Roman"/>
          <w:b/>
          <w:bCs/>
          <w:sz w:val="48"/>
          <w:szCs w:val="48"/>
          <w:lang w:eastAsia="lt-LT"/>
        </w:rPr>
      </w:pPr>
    </w:p>
    <w:p w:rsidR="001B6FEB" w:rsidRDefault="001B6FEB" w:rsidP="006E2F48">
      <w:pPr>
        <w:widowControl w:val="0"/>
        <w:tabs>
          <w:tab w:val="left" w:pos="622"/>
        </w:tabs>
        <w:spacing w:after="0" w:line="240" w:lineRule="auto"/>
        <w:jc w:val="center"/>
        <w:rPr>
          <w:rFonts w:ascii="Times New Roman" w:eastAsia="AngsanaUPC" w:hAnsi="Times New Roman"/>
          <w:b/>
          <w:bCs/>
          <w:sz w:val="48"/>
          <w:szCs w:val="48"/>
          <w:lang w:eastAsia="lt-LT"/>
        </w:rPr>
      </w:pPr>
    </w:p>
    <w:p w:rsidR="001B6FEB" w:rsidRDefault="001B6FEB" w:rsidP="006E2F48">
      <w:pPr>
        <w:widowControl w:val="0"/>
        <w:tabs>
          <w:tab w:val="left" w:pos="622"/>
        </w:tabs>
        <w:spacing w:after="0" w:line="240" w:lineRule="auto"/>
        <w:jc w:val="center"/>
        <w:rPr>
          <w:rFonts w:ascii="Times New Roman" w:eastAsia="AngsanaUPC" w:hAnsi="Times New Roman"/>
          <w:b/>
          <w:bCs/>
          <w:sz w:val="48"/>
          <w:szCs w:val="48"/>
          <w:lang w:eastAsia="lt-LT"/>
        </w:rPr>
      </w:pPr>
    </w:p>
    <w:p w:rsidR="001B6FEB" w:rsidRDefault="001B6FEB" w:rsidP="006E2F48">
      <w:pPr>
        <w:widowControl w:val="0"/>
        <w:tabs>
          <w:tab w:val="left" w:pos="622"/>
        </w:tabs>
        <w:spacing w:after="0" w:line="240" w:lineRule="auto"/>
        <w:jc w:val="center"/>
        <w:rPr>
          <w:rFonts w:ascii="Times New Roman" w:eastAsia="AngsanaUPC" w:hAnsi="Times New Roman"/>
          <w:b/>
          <w:bCs/>
          <w:sz w:val="48"/>
          <w:szCs w:val="48"/>
          <w:lang w:eastAsia="lt-LT"/>
        </w:rPr>
      </w:pPr>
    </w:p>
    <w:p w:rsidR="001B6FEB" w:rsidRDefault="001B6FEB" w:rsidP="006E2F48">
      <w:pPr>
        <w:widowControl w:val="0"/>
        <w:tabs>
          <w:tab w:val="left" w:pos="622"/>
        </w:tabs>
        <w:spacing w:after="0" w:line="240" w:lineRule="auto"/>
        <w:jc w:val="center"/>
        <w:rPr>
          <w:rFonts w:ascii="Times New Roman" w:eastAsia="AngsanaUPC" w:hAnsi="Times New Roman"/>
          <w:b/>
          <w:bCs/>
          <w:sz w:val="48"/>
          <w:szCs w:val="48"/>
          <w:lang w:eastAsia="lt-LT"/>
        </w:rPr>
      </w:pPr>
    </w:p>
    <w:p w:rsidR="001B6FEB" w:rsidRDefault="001B6FEB" w:rsidP="006E2F48">
      <w:pPr>
        <w:widowControl w:val="0"/>
        <w:tabs>
          <w:tab w:val="left" w:pos="622"/>
        </w:tabs>
        <w:spacing w:after="0" w:line="240" w:lineRule="auto"/>
        <w:jc w:val="center"/>
        <w:rPr>
          <w:rFonts w:ascii="Times New Roman" w:eastAsia="AngsanaUPC" w:hAnsi="Times New Roman"/>
          <w:b/>
          <w:bCs/>
          <w:sz w:val="48"/>
          <w:szCs w:val="48"/>
          <w:lang w:eastAsia="lt-LT"/>
        </w:rPr>
      </w:pPr>
    </w:p>
    <w:p w:rsidR="001B6FEB" w:rsidRDefault="008E0A20" w:rsidP="006E2F48">
      <w:pPr>
        <w:widowControl w:val="0"/>
        <w:tabs>
          <w:tab w:val="left" w:pos="622"/>
        </w:tabs>
        <w:spacing w:after="0" w:line="240" w:lineRule="auto"/>
        <w:jc w:val="center"/>
        <w:rPr>
          <w:rFonts w:ascii="Times New Roman" w:eastAsia="AngsanaUPC" w:hAnsi="Times New Roman"/>
          <w:b/>
          <w:bCs/>
          <w:sz w:val="32"/>
          <w:szCs w:val="32"/>
          <w:lang w:eastAsia="lt-LT"/>
        </w:rPr>
      </w:pPr>
      <w:r>
        <w:rPr>
          <w:rFonts w:ascii="Times New Roman" w:eastAsia="AngsanaUPC" w:hAnsi="Times New Roman"/>
          <w:b/>
          <w:bCs/>
          <w:sz w:val="32"/>
          <w:szCs w:val="32"/>
          <w:lang w:eastAsia="lt-LT"/>
        </w:rPr>
        <w:t xml:space="preserve">2014 </w:t>
      </w:r>
      <w:r w:rsidR="001B6FEB">
        <w:rPr>
          <w:rFonts w:ascii="Times New Roman" w:eastAsia="AngsanaUPC" w:hAnsi="Times New Roman"/>
          <w:b/>
          <w:bCs/>
          <w:sz w:val="32"/>
          <w:szCs w:val="32"/>
          <w:lang w:eastAsia="lt-LT"/>
        </w:rPr>
        <w:t xml:space="preserve">m. </w:t>
      </w:r>
      <w:r w:rsidR="00910F54">
        <w:rPr>
          <w:rFonts w:ascii="Times New Roman" w:eastAsia="AngsanaUPC" w:hAnsi="Times New Roman"/>
          <w:b/>
          <w:bCs/>
          <w:sz w:val="32"/>
          <w:szCs w:val="32"/>
          <w:lang w:eastAsia="lt-LT"/>
        </w:rPr>
        <w:t>rugsėjis</w:t>
      </w:r>
    </w:p>
    <w:p w:rsidR="00CD0474" w:rsidRPr="001B6FEB" w:rsidRDefault="00CD0474" w:rsidP="006E2F48">
      <w:pPr>
        <w:widowControl w:val="0"/>
        <w:tabs>
          <w:tab w:val="left" w:pos="622"/>
        </w:tabs>
        <w:spacing w:after="0" w:line="240" w:lineRule="auto"/>
        <w:jc w:val="center"/>
        <w:rPr>
          <w:rFonts w:ascii="Times New Roman" w:eastAsia="AngsanaUPC" w:hAnsi="Times New Roman"/>
          <w:b/>
          <w:bCs/>
          <w:sz w:val="32"/>
          <w:szCs w:val="32"/>
          <w:lang w:eastAsia="lt-LT"/>
        </w:rPr>
      </w:pPr>
      <w:r w:rsidRPr="000F20A5">
        <w:rPr>
          <w:rFonts w:ascii="Times New Roman" w:hAnsi="Times New Roman"/>
          <w:sz w:val="20"/>
          <w:szCs w:val="20"/>
        </w:rPr>
        <w:t xml:space="preserve">(pakeitimas patvirtintas </w:t>
      </w:r>
      <w:r w:rsidR="00702647" w:rsidRPr="000F20A5">
        <w:rPr>
          <w:rFonts w:ascii="Times New Roman" w:hAnsi="Times New Roman"/>
          <w:sz w:val="20"/>
          <w:szCs w:val="20"/>
        </w:rPr>
        <w:t>20</w:t>
      </w:r>
      <w:r w:rsidR="00B93142">
        <w:rPr>
          <w:rFonts w:ascii="Times New Roman" w:hAnsi="Times New Roman"/>
          <w:sz w:val="20"/>
          <w:szCs w:val="20"/>
        </w:rPr>
        <w:t>22-06</w:t>
      </w:r>
      <w:r w:rsidR="00702647" w:rsidRPr="000F20A5">
        <w:rPr>
          <w:rFonts w:ascii="Times New Roman" w:hAnsi="Times New Roman"/>
          <w:sz w:val="20"/>
          <w:szCs w:val="20"/>
        </w:rPr>
        <w:t>-</w:t>
      </w:r>
      <w:r w:rsidR="00B93142">
        <w:rPr>
          <w:rFonts w:ascii="Times New Roman" w:hAnsi="Times New Roman"/>
          <w:sz w:val="20"/>
          <w:szCs w:val="20"/>
        </w:rPr>
        <w:t>29</w:t>
      </w:r>
      <w:r w:rsidRPr="000F20A5">
        <w:rPr>
          <w:rFonts w:ascii="Times New Roman" w:hAnsi="Times New Roman"/>
          <w:sz w:val="20"/>
          <w:szCs w:val="20"/>
        </w:rPr>
        <w:t xml:space="preserve"> sprendimu Nr.</w:t>
      </w:r>
      <w:r w:rsidR="0094310C" w:rsidRPr="000F20A5">
        <w:rPr>
          <w:rFonts w:ascii="Times New Roman" w:hAnsi="Times New Roman"/>
          <w:sz w:val="20"/>
          <w:szCs w:val="20"/>
        </w:rPr>
        <w:t xml:space="preserve"> C(20</w:t>
      </w:r>
      <w:r w:rsidR="00B93142">
        <w:rPr>
          <w:rFonts w:ascii="Times New Roman" w:hAnsi="Times New Roman"/>
          <w:sz w:val="20"/>
          <w:szCs w:val="20"/>
        </w:rPr>
        <w:t>22</w:t>
      </w:r>
      <w:r w:rsidR="00D634C3" w:rsidRPr="000F20A5">
        <w:rPr>
          <w:rFonts w:ascii="Times New Roman" w:hAnsi="Times New Roman"/>
          <w:sz w:val="20"/>
          <w:szCs w:val="20"/>
        </w:rPr>
        <w:t>)</w:t>
      </w:r>
      <w:r w:rsidR="00B93142">
        <w:rPr>
          <w:rFonts w:ascii="Times New Roman" w:hAnsi="Times New Roman"/>
          <w:sz w:val="20"/>
          <w:szCs w:val="20"/>
        </w:rPr>
        <w:t>4659</w:t>
      </w:r>
      <w:r w:rsidR="002E0ED1" w:rsidRPr="000F20A5">
        <w:rPr>
          <w:rFonts w:ascii="Times New Roman" w:hAnsi="Times New Roman"/>
          <w:sz w:val="20"/>
          <w:szCs w:val="20"/>
        </w:rPr>
        <w:t>)</w:t>
      </w:r>
    </w:p>
    <w:p w:rsidR="008A5800" w:rsidRDefault="001337A1" w:rsidP="001337A1">
      <w:pPr>
        <w:widowControl w:val="0"/>
        <w:tabs>
          <w:tab w:val="left" w:pos="622"/>
        </w:tabs>
        <w:spacing w:after="0" w:line="240" w:lineRule="auto"/>
        <w:jc w:val="center"/>
        <w:rPr>
          <w:rFonts w:ascii="Times New Roman" w:hAnsi="Times New Roman"/>
          <w:sz w:val="28"/>
          <w:szCs w:val="28"/>
        </w:rPr>
      </w:pPr>
      <w:r>
        <w:rPr>
          <w:rFonts w:ascii="Times New Roman" w:eastAsia="AngsanaUPC" w:hAnsi="Times New Roman"/>
          <w:b/>
          <w:bCs/>
          <w:sz w:val="48"/>
          <w:szCs w:val="48"/>
          <w:lang w:eastAsia="lt-LT"/>
        </w:rPr>
        <w:br w:type="page"/>
      </w:r>
      <w:r w:rsidR="008A5800" w:rsidRPr="00451A87">
        <w:rPr>
          <w:rFonts w:ascii="Times New Roman" w:hAnsi="Times New Roman"/>
          <w:sz w:val="28"/>
          <w:szCs w:val="28"/>
        </w:rPr>
        <w:lastRenderedPageBreak/>
        <w:t>TURINYS</w:t>
      </w:r>
    </w:p>
    <w:p w:rsidR="006C4570" w:rsidRPr="00451A87" w:rsidRDefault="006C4570" w:rsidP="001337A1">
      <w:pPr>
        <w:widowControl w:val="0"/>
        <w:tabs>
          <w:tab w:val="left" w:pos="622"/>
        </w:tabs>
        <w:spacing w:after="0" w:line="240" w:lineRule="auto"/>
        <w:jc w:val="center"/>
        <w:rPr>
          <w:rFonts w:ascii="Times New Roman" w:hAnsi="Times New Roman"/>
          <w:sz w:val="28"/>
          <w:szCs w:val="28"/>
        </w:rPr>
      </w:pPr>
    </w:p>
    <w:p w:rsidR="000B7AE5" w:rsidRPr="000B7AE5" w:rsidRDefault="00AC72BE" w:rsidP="000B7AE5">
      <w:pPr>
        <w:pStyle w:val="Turinys1"/>
        <w:spacing w:after="0"/>
        <w:jc w:val="left"/>
        <w:rPr>
          <w:rFonts w:eastAsiaTheme="minorEastAsia"/>
          <w:noProof/>
          <w:sz w:val="24"/>
          <w:szCs w:val="24"/>
          <w:lang w:eastAsia="lt-LT"/>
        </w:rPr>
      </w:pPr>
      <w:r w:rsidRPr="000B7AE5">
        <w:rPr>
          <w:sz w:val="24"/>
          <w:szCs w:val="24"/>
        </w:rPr>
        <w:fldChar w:fldCharType="begin"/>
      </w:r>
      <w:r w:rsidRPr="000B7AE5">
        <w:rPr>
          <w:sz w:val="24"/>
          <w:szCs w:val="24"/>
        </w:rPr>
        <w:instrText xml:space="preserve"> TOC \o "1-3" \h \z \u </w:instrText>
      </w:r>
      <w:r w:rsidRPr="000B7AE5">
        <w:rPr>
          <w:sz w:val="24"/>
          <w:szCs w:val="24"/>
        </w:rPr>
        <w:fldChar w:fldCharType="separate"/>
      </w:r>
      <w:hyperlink w:anchor="_Toc69836218" w:history="1">
        <w:r w:rsidR="000B7AE5" w:rsidRPr="000B7AE5">
          <w:rPr>
            <w:rStyle w:val="Hipersaitas"/>
            <w:rFonts w:eastAsia="AngsanaUPC"/>
            <w:noProof/>
            <w:sz w:val="24"/>
            <w:szCs w:val="24"/>
          </w:rPr>
          <w:t>1. SKIRSNIS. VEIKSMŲ PROGRAMOS INDĖLIS Į STRATEGIJĄ „EUROPA 2020“</w:t>
        </w:r>
        <w:r w:rsidR="000B7AE5" w:rsidRPr="000B7AE5">
          <w:rPr>
            <w:noProof/>
            <w:webHidden/>
            <w:sz w:val="24"/>
            <w:szCs w:val="24"/>
          </w:rPr>
          <w:tab/>
        </w:r>
        <w:r w:rsidR="000B7AE5" w:rsidRPr="000B7AE5">
          <w:rPr>
            <w:noProof/>
            <w:webHidden/>
            <w:sz w:val="24"/>
            <w:szCs w:val="24"/>
          </w:rPr>
          <w:fldChar w:fldCharType="begin"/>
        </w:r>
        <w:r w:rsidR="000B7AE5" w:rsidRPr="000B7AE5">
          <w:rPr>
            <w:noProof/>
            <w:webHidden/>
            <w:sz w:val="24"/>
            <w:szCs w:val="24"/>
          </w:rPr>
          <w:instrText xml:space="preserve"> PAGEREF _Toc69836218 \h </w:instrText>
        </w:r>
        <w:r w:rsidR="000B7AE5" w:rsidRPr="000B7AE5">
          <w:rPr>
            <w:noProof/>
            <w:webHidden/>
            <w:sz w:val="24"/>
            <w:szCs w:val="24"/>
          </w:rPr>
        </w:r>
        <w:r w:rsidR="000B7AE5" w:rsidRPr="000B7AE5">
          <w:rPr>
            <w:noProof/>
            <w:webHidden/>
            <w:sz w:val="24"/>
            <w:szCs w:val="24"/>
          </w:rPr>
          <w:fldChar w:fldCharType="separate"/>
        </w:r>
        <w:r w:rsidR="000B7AE5" w:rsidRPr="000B7AE5">
          <w:rPr>
            <w:noProof/>
            <w:webHidden/>
            <w:sz w:val="24"/>
            <w:szCs w:val="24"/>
          </w:rPr>
          <w:t>6</w:t>
        </w:r>
        <w:r w:rsidR="000B7AE5" w:rsidRPr="000B7AE5">
          <w:rPr>
            <w:noProof/>
            <w:webHidden/>
            <w:sz w:val="24"/>
            <w:szCs w:val="24"/>
          </w:rPr>
          <w:fldChar w:fldCharType="end"/>
        </w:r>
      </w:hyperlink>
    </w:p>
    <w:p w:rsidR="000B7AE5" w:rsidRPr="000B7AE5" w:rsidRDefault="000A7F7A" w:rsidP="000B7AE5">
      <w:pPr>
        <w:pStyle w:val="Turinys1"/>
        <w:spacing w:after="0"/>
        <w:jc w:val="left"/>
        <w:rPr>
          <w:rFonts w:eastAsiaTheme="minorEastAsia"/>
          <w:noProof/>
          <w:sz w:val="24"/>
          <w:szCs w:val="24"/>
          <w:lang w:eastAsia="lt-LT"/>
        </w:rPr>
      </w:pPr>
      <w:hyperlink w:anchor="_Toc69836219" w:history="1">
        <w:r w:rsidR="000B7AE5" w:rsidRPr="000B7AE5">
          <w:rPr>
            <w:rStyle w:val="Hipersaitas"/>
            <w:rFonts w:eastAsia="AngsanaUPC"/>
            <w:noProof/>
            <w:sz w:val="24"/>
            <w:szCs w:val="24"/>
            <w:lang w:eastAsia="lt-LT"/>
          </w:rPr>
          <w:t>2. SKIRSNIS. PRIORITETŲ APRAŠYMAS</w:t>
        </w:r>
        <w:r w:rsidR="000B7AE5" w:rsidRPr="000B7AE5">
          <w:rPr>
            <w:noProof/>
            <w:webHidden/>
            <w:sz w:val="24"/>
            <w:szCs w:val="24"/>
          </w:rPr>
          <w:tab/>
        </w:r>
        <w:r w:rsidR="000B7AE5" w:rsidRPr="000B7AE5">
          <w:rPr>
            <w:noProof/>
            <w:webHidden/>
            <w:sz w:val="24"/>
            <w:szCs w:val="24"/>
          </w:rPr>
          <w:fldChar w:fldCharType="begin"/>
        </w:r>
        <w:r w:rsidR="000B7AE5" w:rsidRPr="000B7AE5">
          <w:rPr>
            <w:noProof/>
            <w:webHidden/>
            <w:sz w:val="24"/>
            <w:szCs w:val="24"/>
          </w:rPr>
          <w:instrText xml:space="preserve"> PAGEREF _Toc69836219 \h </w:instrText>
        </w:r>
        <w:r w:rsidR="000B7AE5" w:rsidRPr="000B7AE5">
          <w:rPr>
            <w:noProof/>
            <w:webHidden/>
            <w:sz w:val="24"/>
            <w:szCs w:val="24"/>
          </w:rPr>
        </w:r>
        <w:r w:rsidR="000B7AE5" w:rsidRPr="000B7AE5">
          <w:rPr>
            <w:noProof/>
            <w:webHidden/>
            <w:sz w:val="24"/>
            <w:szCs w:val="24"/>
          </w:rPr>
          <w:fldChar w:fldCharType="separate"/>
        </w:r>
        <w:r w:rsidR="000B7AE5" w:rsidRPr="000B7AE5">
          <w:rPr>
            <w:noProof/>
            <w:webHidden/>
            <w:sz w:val="24"/>
            <w:szCs w:val="24"/>
          </w:rPr>
          <w:t>42</w:t>
        </w:r>
        <w:r w:rsidR="000B7AE5" w:rsidRPr="000B7AE5">
          <w:rPr>
            <w:noProof/>
            <w:webHidden/>
            <w:sz w:val="24"/>
            <w:szCs w:val="24"/>
          </w:rPr>
          <w:fldChar w:fldCharType="end"/>
        </w:r>
      </w:hyperlink>
    </w:p>
    <w:p w:rsidR="000B7AE5" w:rsidRPr="000B7AE5" w:rsidRDefault="000A7F7A" w:rsidP="000B7AE5">
      <w:pPr>
        <w:pStyle w:val="Turinys2"/>
        <w:tabs>
          <w:tab w:val="right" w:leader="dot" w:pos="9628"/>
        </w:tabs>
        <w:spacing w:after="0" w:line="240" w:lineRule="auto"/>
        <w:rPr>
          <w:rFonts w:ascii="Times New Roman" w:eastAsiaTheme="minorEastAsia" w:hAnsi="Times New Roman"/>
          <w:noProof/>
          <w:sz w:val="24"/>
          <w:szCs w:val="24"/>
          <w:lang w:eastAsia="lt-LT"/>
        </w:rPr>
      </w:pPr>
      <w:hyperlink w:anchor="_Toc69836220" w:history="1">
        <w:r w:rsidR="000B7AE5" w:rsidRPr="000B7AE5">
          <w:rPr>
            <w:rStyle w:val="Hipersaitas"/>
            <w:rFonts w:ascii="Times New Roman" w:eastAsia="AngsanaUPC" w:hAnsi="Times New Roman"/>
            <w:bCs/>
            <w:iCs/>
            <w:noProof/>
            <w:sz w:val="24"/>
            <w:szCs w:val="24"/>
            <w:lang w:eastAsia="lt-LT"/>
          </w:rPr>
          <w:t>1 PRIORITETAS. MOKSLINIŲ TYRIMŲ, EKSPERIMENTINĖS PLĖTROS IR INOVACIJŲ SKATINIMAS</w:t>
        </w:r>
        <w:r w:rsidR="000B7AE5" w:rsidRPr="000B7AE5">
          <w:rPr>
            <w:rFonts w:ascii="Times New Roman" w:hAnsi="Times New Roman"/>
            <w:noProof/>
            <w:webHidden/>
            <w:sz w:val="24"/>
            <w:szCs w:val="24"/>
          </w:rPr>
          <w:tab/>
        </w:r>
        <w:r w:rsidR="000B7AE5" w:rsidRPr="000B7AE5">
          <w:rPr>
            <w:rFonts w:ascii="Times New Roman" w:hAnsi="Times New Roman"/>
            <w:noProof/>
            <w:webHidden/>
            <w:sz w:val="24"/>
            <w:szCs w:val="24"/>
          </w:rPr>
          <w:fldChar w:fldCharType="begin"/>
        </w:r>
        <w:r w:rsidR="000B7AE5" w:rsidRPr="000B7AE5">
          <w:rPr>
            <w:rFonts w:ascii="Times New Roman" w:hAnsi="Times New Roman"/>
            <w:noProof/>
            <w:webHidden/>
            <w:sz w:val="24"/>
            <w:szCs w:val="24"/>
          </w:rPr>
          <w:instrText xml:space="preserve"> PAGEREF _Toc69836220 \h </w:instrText>
        </w:r>
        <w:r w:rsidR="000B7AE5" w:rsidRPr="000B7AE5">
          <w:rPr>
            <w:rFonts w:ascii="Times New Roman" w:hAnsi="Times New Roman"/>
            <w:noProof/>
            <w:webHidden/>
            <w:sz w:val="24"/>
            <w:szCs w:val="24"/>
          </w:rPr>
        </w:r>
        <w:r w:rsidR="000B7AE5" w:rsidRPr="000B7AE5">
          <w:rPr>
            <w:rFonts w:ascii="Times New Roman" w:hAnsi="Times New Roman"/>
            <w:noProof/>
            <w:webHidden/>
            <w:sz w:val="24"/>
            <w:szCs w:val="24"/>
          </w:rPr>
          <w:fldChar w:fldCharType="separate"/>
        </w:r>
        <w:r w:rsidR="000B7AE5" w:rsidRPr="000B7AE5">
          <w:rPr>
            <w:rFonts w:ascii="Times New Roman" w:hAnsi="Times New Roman"/>
            <w:noProof/>
            <w:webHidden/>
            <w:sz w:val="24"/>
            <w:szCs w:val="24"/>
          </w:rPr>
          <w:t>42</w:t>
        </w:r>
        <w:r w:rsidR="000B7AE5" w:rsidRPr="000B7AE5">
          <w:rPr>
            <w:rFonts w:ascii="Times New Roman" w:hAnsi="Times New Roman"/>
            <w:noProof/>
            <w:webHidden/>
            <w:sz w:val="24"/>
            <w:szCs w:val="24"/>
          </w:rPr>
          <w:fldChar w:fldCharType="end"/>
        </w:r>
      </w:hyperlink>
    </w:p>
    <w:p w:rsidR="000B7AE5" w:rsidRPr="000B7AE5" w:rsidRDefault="000A7F7A" w:rsidP="000B7AE5">
      <w:pPr>
        <w:pStyle w:val="Turinys2"/>
        <w:tabs>
          <w:tab w:val="right" w:leader="dot" w:pos="9628"/>
        </w:tabs>
        <w:spacing w:after="0" w:line="240" w:lineRule="auto"/>
        <w:rPr>
          <w:rFonts w:ascii="Times New Roman" w:eastAsiaTheme="minorEastAsia" w:hAnsi="Times New Roman"/>
          <w:noProof/>
          <w:sz w:val="24"/>
          <w:szCs w:val="24"/>
          <w:lang w:eastAsia="lt-LT"/>
        </w:rPr>
      </w:pPr>
      <w:hyperlink w:anchor="_Toc69836221" w:history="1">
        <w:r w:rsidR="000B7AE5" w:rsidRPr="000B7AE5">
          <w:rPr>
            <w:rStyle w:val="Hipersaitas"/>
            <w:rFonts w:ascii="Times New Roman" w:eastAsia="Times New Roman" w:hAnsi="Times New Roman"/>
            <w:bCs/>
            <w:iCs/>
            <w:noProof/>
            <w:sz w:val="24"/>
            <w:szCs w:val="24"/>
          </w:rPr>
          <w:t xml:space="preserve">2 PRIORITETAS. </w:t>
        </w:r>
        <w:r w:rsidR="000B7AE5" w:rsidRPr="000B7AE5">
          <w:rPr>
            <w:rStyle w:val="Hipersaitas"/>
            <w:rFonts w:ascii="Times New Roman" w:eastAsia="AngsanaUPC" w:hAnsi="Times New Roman"/>
            <w:bCs/>
            <w:iCs/>
            <w:noProof/>
            <w:sz w:val="24"/>
            <w:szCs w:val="24"/>
          </w:rPr>
          <w:t>INFORMACINĖS VISUOMENĖS SKATINIMAS</w:t>
        </w:r>
        <w:r w:rsidR="000B7AE5" w:rsidRPr="000B7AE5">
          <w:rPr>
            <w:rFonts w:ascii="Times New Roman" w:hAnsi="Times New Roman"/>
            <w:noProof/>
            <w:webHidden/>
            <w:sz w:val="24"/>
            <w:szCs w:val="24"/>
          </w:rPr>
          <w:tab/>
        </w:r>
        <w:r w:rsidR="000B7AE5" w:rsidRPr="000B7AE5">
          <w:rPr>
            <w:rFonts w:ascii="Times New Roman" w:hAnsi="Times New Roman"/>
            <w:noProof/>
            <w:webHidden/>
            <w:sz w:val="24"/>
            <w:szCs w:val="24"/>
          </w:rPr>
          <w:fldChar w:fldCharType="begin"/>
        </w:r>
        <w:r w:rsidR="000B7AE5" w:rsidRPr="000B7AE5">
          <w:rPr>
            <w:rFonts w:ascii="Times New Roman" w:hAnsi="Times New Roman"/>
            <w:noProof/>
            <w:webHidden/>
            <w:sz w:val="24"/>
            <w:szCs w:val="24"/>
          </w:rPr>
          <w:instrText xml:space="preserve"> PAGEREF _Toc69836221 \h </w:instrText>
        </w:r>
        <w:r w:rsidR="000B7AE5" w:rsidRPr="000B7AE5">
          <w:rPr>
            <w:rFonts w:ascii="Times New Roman" w:hAnsi="Times New Roman"/>
            <w:noProof/>
            <w:webHidden/>
            <w:sz w:val="24"/>
            <w:szCs w:val="24"/>
          </w:rPr>
        </w:r>
        <w:r w:rsidR="000B7AE5" w:rsidRPr="000B7AE5">
          <w:rPr>
            <w:rFonts w:ascii="Times New Roman" w:hAnsi="Times New Roman"/>
            <w:noProof/>
            <w:webHidden/>
            <w:sz w:val="24"/>
            <w:szCs w:val="24"/>
          </w:rPr>
          <w:fldChar w:fldCharType="separate"/>
        </w:r>
        <w:r w:rsidR="000B7AE5" w:rsidRPr="000B7AE5">
          <w:rPr>
            <w:rFonts w:ascii="Times New Roman" w:hAnsi="Times New Roman"/>
            <w:noProof/>
            <w:webHidden/>
            <w:sz w:val="24"/>
            <w:szCs w:val="24"/>
          </w:rPr>
          <w:t>52</w:t>
        </w:r>
        <w:r w:rsidR="000B7AE5" w:rsidRPr="000B7AE5">
          <w:rPr>
            <w:rFonts w:ascii="Times New Roman" w:hAnsi="Times New Roman"/>
            <w:noProof/>
            <w:webHidden/>
            <w:sz w:val="24"/>
            <w:szCs w:val="24"/>
          </w:rPr>
          <w:fldChar w:fldCharType="end"/>
        </w:r>
      </w:hyperlink>
    </w:p>
    <w:p w:rsidR="000B7AE5" w:rsidRPr="000B7AE5" w:rsidRDefault="000A7F7A" w:rsidP="000B7AE5">
      <w:pPr>
        <w:pStyle w:val="Turinys2"/>
        <w:tabs>
          <w:tab w:val="right" w:leader="dot" w:pos="9628"/>
        </w:tabs>
        <w:spacing w:after="0" w:line="240" w:lineRule="auto"/>
        <w:rPr>
          <w:rFonts w:ascii="Times New Roman" w:eastAsiaTheme="minorEastAsia" w:hAnsi="Times New Roman"/>
          <w:noProof/>
          <w:sz w:val="24"/>
          <w:szCs w:val="24"/>
          <w:lang w:eastAsia="lt-LT"/>
        </w:rPr>
      </w:pPr>
      <w:hyperlink w:anchor="_Toc69836222" w:history="1">
        <w:r w:rsidR="000B7AE5" w:rsidRPr="000B7AE5">
          <w:rPr>
            <w:rStyle w:val="Hipersaitas"/>
            <w:rFonts w:ascii="Times New Roman" w:eastAsia="AngsanaUPC" w:hAnsi="Times New Roman"/>
            <w:bCs/>
            <w:iCs/>
            <w:noProof/>
            <w:sz w:val="24"/>
            <w:szCs w:val="24"/>
            <w:lang w:eastAsia="lt-LT"/>
          </w:rPr>
          <w:t>3 PRIORITETAS. SMULKIOJO IR VIDUTINIO VERSLO KONKURENCINGUMO SKATINIMAS</w:t>
        </w:r>
        <w:r w:rsidR="000B7AE5" w:rsidRPr="000B7AE5">
          <w:rPr>
            <w:rFonts w:ascii="Times New Roman" w:hAnsi="Times New Roman"/>
            <w:noProof/>
            <w:webHidden/>
            <w:sz w:val="24"/>
            <w:szCs w:val="24"/>
          </w:rPr>
          <w:tab/>
        </w:r>
        <w:r w:rsidR="000B7AE5" w:rsidRPr="000B7AE5">
          <w:rPr>
            <w:rFonts w:ascii="Times New Roman" w:hAnsi="Times New Roman"/>
            <w:noProof/>
            <w:webHidden/>
            <w:sz w:val="24"/>
            <w:szCs w:val="24"/>
          </w:rPr>
          <w:fldChar w:fldCharType="begin"/>
        </w:r>
        <w:r w:rsidR="000B7AE5" w:rsidRPr="000B7AE5">
          <w:rPr>
            <w:rFonts w:ascii="Times New Roman" w:hAnsi="Times New Roman"/>
            <w:noProof/>
            <w:webHidden/>
            <w:sz w:val="24"/>
            <w:szCs w:val="24"/>
          </w:rPr>
          <w:instrText xml:space="preserve"> PAGEREF _Toc69836222 \h </w:instrText>
        </w:r>
        <w:r w:rsidR="000B7AE5" w:rsidRPr="000B7AE5">
          <w:rPr>
            <w:rFonts w:ascii="Times New Roman" w:hAnsi="Times New Roman"/>
            <w:noProof/>
            <w:webHidden/>
            <w:sz w:val="24"/>
            <w:szCs w:val="24"/>
          </w:rPr>
        </w:r>
        <w:r w:rsidR="000B7AE5" w:rsidRPr="000B7AE5">
          <w:rPr>
            <w:rFonts w:ascii="Times New Roman" w:hAnsi="Times New Roman"/>
            <w:noProof/>
            <w:webHidden/>
            <w:sz w:val="24"/>
            <w:szCs w:val="24"/>
          </w:rPr>
          <w:fldChar w:fldCharType="separate"/>
        </w:r>
        <w:r w:rsidR="000B7AE5" w:rsidRPr="000B7AE5">
          <w:rPr>
            <w:rFonts w:ascii="Times New Roman" w:hAnsi="Times New Roman"/>
            <w:noProof/>
            <w:webHidden/>
            <w:sz w:val="24"/>
            <w:szCs w:val="24"/>
          </w:rPr>
          <w:t>62</w:t>
        </w:r>
        <w:r w:rsidR="000B7AE5" w:rsidRPr="000B7AE5">
          <w:rPr>
            <w:rFonts w:ascii="Times New Roman" w:hAnsi="Times New Roman"/>
            <w:noProof/>
            <w:webHidden/>
            <w:sz w:val="24"/>
            <w:szCs w:val="24"/>
          </w:rPr>
          <w:fldChar w:fldCharType="end"/>
        </w:r>
      </w:hyperlink>
    </w:p>
    <w:p w:rsidR="000B7AE5" w:rsidRPr="000B7AE5" w:rsidRDefault="000A7F7A" w:rsidP="000B7AE5">
      <w:pPr>
        <w:pStyle w:val="Turinys2"/>
        <w:tabs>
          <w:tab w:val="right" w:leader="dot" w:pos="9628"/>
        </w:tabs>
        <w:spacing w:after="0" w:line="240" w:lineRule="auto"/>
        <w:rPr>
          <w:rFonts w:ascii="Times New Roman" w:eastAsiaTheme="minorEastAsia" w:hAnsi="Times New Roman"/>
          <w:noProof/>
          <w:sz w:val="24"/>
          <w:szCs w:val="24"/>
          <w:lang w:eastAsia="lt-LT"/>
        </w:rPr>
      </w:pPr>
      <w:hyperlink w:anchor="_Toc69836223" w:history="1">
        <w:r w:rsidR="000B7AE5" w:rsidRPr="000B7AE5">
          <w:rPr>
            <w:rStyle w:val="Hipersaitas"/>
            <w:rFonts w:ascii="Times New Roman" w:eastAsia="AngsanaUPC" w:hAnsi="Times New Roman"/>
            <w:bCs/>
            <w:iCs/>
            <w:noProof/>
            <w:sz w:val="24"/>
            <w:szCs w:val="24"/>
            <w:lang w:eastAsia="lt-LT"/>
          </w:rPr>
          <w:t>4 PRIORITETAS. ENERGIJOS EFEKTYVUMO IR ATSINAUJINANČIŲ IŠTEKLIŲ ENERGIJOS GAMYBOS IR NAUDOJIMO SKATINIMAS</w:t>
        </w:r>
        <w:r w:rsidR="000B7AE5" w:rsidRPr="000B7AE5">
          <w:rPr>
            <w:rFonts w:ascii="Times New Roman" w:hAnsi="Times New Roman"/>
            <w:noProof/>
            <w:webHidden/>
            <w:sz w:val="24"/>
            <w:szCs w:val="24"/>
          </w:rPr>
          <w:tab/>
        </w:r>
        <w:r w:rsidR="000B7AE5" w:rsidRPr="000B7AE5">
          <w:rPr>
            <w:rFonts w:ascii="Times New Roman" w:hAnsi="Times New Roman"/>
            <w:noProof/>
            <w:webHidden/>
            <w:sz w:val="24"/>
            <w:szCs w:val="24"/>
          </w:rPr>
          <w:fldChar w:fldCharType="begin"/>
        </w:r>
        <w:r w:rsidR="000B7AE5" w:rsidRPr="000B7AE5">
          <w:rPr>
            <w:rFonts w:ascii="Times New Roman" w:hAnsi="Times New Roman"/>
            <w:noProof/>
            <w:webHidden/>
            <w:sz w:val="24"/>
            <w:szCs w:val="24"/>
          </w:rPr>
          <w:instrText xml:space="preserve"> PAGEREF _Toc69836223 \h </w:instrText>
        </w:r>
        <w:r w:rsidR="000B7AE5" w:rsidRPr="000B7AE5">
          <w:rPr>
            <w:rFonts w:ascii="Times New Roman" w:hAnsi="Times New Roman"/>
            <w:noProof/>
            <w:webHidden/>
            <w:sz w:val="24"/>
            <w:szCs w:val="24"/>
          </w:rPr>
        </w:r>
        <w:r w:rsidR="000B7AE5" w:rsidRPr="000B7AE5">
          <w:rPr>
            <w:rFonts w:ascii="Times New Roman" w:hAnsi="Times New Roman"/>
            <w:noProof/>
            <w:webHidden/>
            <w:sz w:val="24"/>
            <w:szCs w:val="24"/>
          </w:rPr>
          <w:fldChar w:fldCharType="separate"/>
        </w:r>
        <w:r w:rsidR="000B7AE5" w:rsidRPr="000B7AE5">
          <w:rPr>
            <w:rFonts w:ascii="Times New Roman" w:hAnsi="Times New Roman"/>
            <w:noProof/>
            <w:webHidden/>
            <w:sz w:val="24"/>
            <w:szCs w:val="24"/>
          </w:rPr>
          <w:t>71</w:t>
        </w:r>
        <w:r w:rsidR="000B7AE5" w:rsidRPr="000B7AE5">
          <w:rPr>
            <w:rFonts w:ascii="Times New Roman" w:hAnsi="Times New Roman"/>
            <w:noProof/>
            <w:webHidden/>
            <w:sz w:val="24"/>
            <w:szCs w:val="24"/>
          </w:rPr>
          <w:fldChar w:fldCharType="end"/>
        </w:r>
      </w:hyperlink>
    </w:p>
    <w:p w:rsidR="000B7AE5" w:rsidRPr="000B7AE5" w:rsidRDefault="000A7F7A" w:rsidP="000B7AE5">
      <w:pPr>
        <w:pStyle w:val="Turinys2"/>
        <w:tabs>
          <w:tab w:val="right" w:leader="dot" w:pos="9628"/>
        </w:tabs>
        <w:spacing w:after="0" w:line="240" w:lineRule="auto"/>
        <w:rPr>
          <w:rFonts w:ascii="Times New Roman" w:eastAsiaTheme="minorEastAsia" w:hAnsi="Times New Roman"/>
          <w:noProof/>
          <w:sz w:val="24"/>
          <w:szCs w:val="24"/>
          <w:lang w:eastAsia="lt-LT"/>
        </w:rPr>
      </w:pPr>
      <w:hyperlink w:anchor="_Toc69836224" w:history="1">
        <w:r w:rsidR="000B7AE5" w:rsidRPr="000B7AE5">
          <w:rPr>
            <w:rStyle w:val="Hipersaitas"/>
            <w:rFonts w:ascii="Times New Roman" w:eastAsia="AngsanaUPC" w:hAnsi="Times New Roman"/>
            <w:bCs/>
            <w:iCs/>
            <w:noProof/>
            <w:sz w:val="24"/>
            <w:szCs w:val="24"/>
            <w:lang w:eastAsia="lt-LT"/>
          </w:rPr>
          <w:t>5 PRIORITETAS. APLINKOSAUGA, GAMTOS IŠTEKLIŲ DARNUS NAUDOJIMAS IR PRISITAIKYMAS PRIE KLIMATO KAITOS</w:t>
        </w:r>
        <w:r w:rsidR="000B7AE5" w:rsidRPr="000B7AE5">
          <w:rPr>
            <w:rFonts w:ascii="Times New Roman" w:hAnsi="Times New Roman"/>
            <w:noProof/>
            <w:webHidden/>
            <w:sz w:val="24"/>
            <w:szCs w:val="24"/>
          </w:rPr>
          <w:tab/>
        </w:r>
        <w:r w:rsidR="000B7AE5" w:rsidRPr="000B7AE5">
          <w:rPr>
            <w:rFonts w:ascii="Times New Roman" w:hAnsi="Times New Roman"/>
            <w:noProof/>
            <w:webHidden/>
            <w:sz w:val="24"/>
            <w:szCs w:val="24"/>
          </w:rPr>
          <w:fldChar w:fldCharType="begin"/>
        </w:r>
        <w:r w:rsidR="000B7AE5" w:rsidRPr="000B7AE5">
          <w:rPr>
            <w:rFonts w:ascii="Times New Roman" w:hAnsi="Times New Roman"/>
            <w:noProof/>
            <w:webHidden/>
            <w:sz w:val="24"/>
            <w:szCs w:val="24"/>
          </w:rPr>
          <w:instrText xml:space="preserve"> PAGEREF _Toc69836224 \h </w:instrText>
        </w:r>
        <w:r w:rsidR="000B7AE5" w:rsidRPr="000B7AE5">
          <w:rPr>
            <w:rFonts w:ascii="Times New Roman" w:hAnsi="Times New Roman"/>
            <w:noProof/>
            <w:webHidden/>
            <w:sz w:val="24"/>
            <w:szCs w:val="24"/>
          </w:rPr>
        </w:r>
        <w:r w:rsidR="000B7AE5" w:rsidRPr="000B7AE5">
          <w:rPr>
            <w:rFonts w:ascii="Times New Roman" w:hAnsi="Times New Roman"/>
            <w:noProof/>
            <w:webHidden/>
            <w:sz w:val="24"/>
            <w:szCs w:val="24"/>
          </w:rPr>
          <w:fldChar w:fldCharType="separate"/>
        </w:r>
        <w:r w:rsidR="000B7AE5" w:rsidRPr="000B7AE5">
          <w:rPr>
            <w:rFonts w:ascii="Times New Roman" w:hAnsi="Times New Roman"/>
            <w:noProof/>
            <w:webHidden/>
            <w:sz w:val="24"/>
            <w:szCs w:val="24"/>
          </w:rPr>
          <w:t>86</w:t>
        </w:r>
        <w:r w:rsidR="000B7AE5" w:rsidRPr="000B7AE5">
          <w:rPr>
            <w:rFonts w:ascii="Times New Roman" w:hAnsi="Times New Roman"/>
            <w:noProof/>
            <w:webHidden/>
            <w:sz w:val="24"/>
            <w:szCs w:val="24"/>
          </w:rPr>
          <w:fldChar w:fldCharType="end"/>
        </w:r>
      </w:hyperlink>
    </w:p>
    <w:p w:rsidR="000B7AE5" w:rsidRPr="000B7AE5" w:rsidRDefault="000A7F7A" w:rsidP="000B7AE5">
      <w:pPr>
        <w:pStyle w:val="Turinys2"/>
        <w:tabs>
          <w:tab w:val="right" w:leader="dot" w:pos="9628"/>
        </w:tabs>
        <w:spacing w:after="0" w:line="240" w:lineRule="auto"/>
        <w:rPr>
          <w:rFonts w:ascii="Times New Roman" w:eastAsiaTheme="minorEastAsia" w:hAnsi="Times New Roman"/>
          <w:noProof/>
          <w:sz w:val="24"/>
          <w:szCs w:val="24"/>
          <w:lang w:eastAsia="lt-LT"/>
        </w:rPr>
      </w:pPr>
      <w:hyperlink w:anchor="_Toc69836225" w:history="1">
        <w:r w:rsidR="000B7AE5" w:rsidRPr="000B7AE5">
          <w:rPr>
            <w:rStyle w:val="Hipersaitas"/>
            <w:rFonts w:ascii="Times New Roman" w:eastAsia="AngsanaUPC" w:hAnsi="Times New Roman"/>
            <w:bCs/>
            <w:iCs/>
            <w:noProof/>
            <w:sz w:val="24"/>
            <w:szCs w:val="24"/>
            <w:lang w:eastAsia="lt-LT"/>
          </w:rPr>
          <w:t>6 PRIORITETAS. DARNAUS TRANSPORTO IR PAGRINDINIŲ TINKLŲ INFRASTRUKTŪROS PLĖTRA</w:t>
        </w:r>
        <w:r w:rsidR="000B7AE5" w:rsidRPr="000B7AE5">
          <w:rPr>
            <w:rFonts w:ascii="Times New Roman" w:hAnsi="Times New Roman"/>
            <w:noProof/>
            <w:webHidden/>
            <w:sz w:val="24"/>
            <w:szCs w:val="24"/>
          </w:rPr>
          <w:tab/>
        </w:r>
        <w:r w:rsidR="000B7AE5" w:rsidRPr="000B7AE5">
          <w:rPr>
            <w:rFonts w:ascii="Times New Roman" w:hAnsi="Times New Roman"/>
            <w:noProof/>
            <w:webHidden/>
            <w:sz w:val="24"/>
            <w:szCs w:val="24"/>
          </w:rPr>
          <w:fldChar w:fldCharType="begin"/>
        </w:r>
        <w:r w:rsidR="000B7AE5" w:rsidRPr="000B7AE5">
          <w:rPr>
            <w:rFonts w:ascii="Times New Roman" w:hAnsi="Times New Roman"/>
            <w:noProof/>
            <w:webHidden/>
            <w:sz w:val="24"/>
            <w:szCs w:val="24"/>
          </w:rPr>
          <w:instrText xml:space="preserve"> PAGEREF _Toc69836225 \h </w:instrText>
        </w:r>
        <w:r w:rsidR="000B7AE5" w:rsidRPr="000B7AE5">
          <w:rPr>
            <w:rFonts w:ascii="Times New Roman" w:hAnsi="Times New Roman"/>
            <w:noProof/>
            <w:webHidden/>
            <w:sz w:val="24"/>
            <w:szCs w:val="24"/>
          </w:rPr>
        </w:r>
        <w:r w:rsidR="000B7AE5" w:rsidRPr="000B7AE5">
          <w:rPr>
            <w:rFonts w:ascii="Times New Roman" w:hAnsi="Times New Roman"/>
            <w:noProof/>
            <w:webHidden/>
            <w:sz w:val="24"/>
            <w:szCs w:val="24"/>
          </w:rPr>
          <w:fldChar w:fldCharType="separate"/>
        </w:r>
        <w:r w:rsidR="000B7AE5" w:rsidRPr="000B7AE5">
          <w:rPr>
            <w:rFonts w:ascii="Times New Roman" w:hAnsi="Times New Roman"/>
            <w:noProof/>
            <w:webHidden/>
            <w:sz w:val="24"/>
            <w:szCs w:val="24"/>
          </w:rPr>
          <w:t>104</w:t>
        </w:r>
        <w:r w:rsidR="000B7AE5" w:rsidRPr="000B7AE5">
          <w:rPr>
            <w:rFonts w:ascii="Times New Roman" w:hAnsi="Times New Roman"/>
            <w:noProof/>
            <w:webHidden/>
            <w:sz w:val="24"/>
            <w:szCs w:val="24"/>
          </w:rPr>
          <w:fldChar w:fldCharType="end"/>
        </w:r>
      </w:hyperlink>
    </w:p>
    <w:p w:rsidR="000B7AE5" w:rsidRPr="000B7AE5" w:rsidRDefault="000A7F7A" w:rsidP="000B7AE5">
      <w:pPr>
        <w:pStyle w:val="Turinys2"/>
        <w:tabs>
          <w:tab w:val="right" w:leader="dot" w:pos="9628"/>
        </w:tabs>
        <w:spacing w:after="0" w:line="240" w:lineRule="auto"/>
        <w:rPr>
          <w:rFonts w:ascii="Times New Roman" w:eastAsiaTheme="minorEastAsia" w:hAnsi="Times New Roman"/>
          <w:noProof/>
          <w:sz w:val="24"/>
          <w:szCs w:val="24"/>
          <w:lang w:eastAsia="lt-LT"/>
        </w:rPr>
      </w:pPr>
      <w:hyperlink w:anchor="_Toc69836226" w:history="1">
        <w:r w:rsidR="000B7AE5" w:rsidRPr="000B7AE5">
          <w:rPr>
            <w:rStyle w:val="Hipersaitas"/>
            <w:rFonts w:ascii="Times New Roman" w:eastAsia="AngsanaUPC" w:hAnsi="Times New Roman"/>
            <w:bCs/>
            <w:iCs/>
            <w:noProof/>
            <w:sz w:val="24"/>
            <w:szCs w:val="24"/>
            <w:lang w:eastAsia="lt-LT"/>
          </w:rPr>
          <w:t>7 PRIORITETAS. KOKYBIŠKO UŽIMTUMO IR DALYVAVIMO DARBO RINKOJE SKATINIMAS</w:t>
        </w:r>
        <w:r w:rsidR="000B7AE5" w:rsidRPr="000B7AE5">
          <w:rPr>
            <w:rFonts w:ascii="Times New Roman" w:hAnsi="Times New Roman"/>
            <w:noProof/>
            <w:webHidden/>
            <w:sz w:val="24"/>
            <w:szCs w:val="24"/>
          </w:rPr>
          <w:tab/>
        </w:r>
        <w:r w:rsidR="000B7AE5" w:rsidRPr="000B7AE5">
          <w:rPr>
            <w:rFonts w:ascii="Times New Roman" w:hAnsi="Times New Roman"/>
            <w:noProof/>
            <w:webHidden/>
            <w:sz w:val="24"/>
            <w:szCs w:val="24"/>
          </w:rPr>
          <w:fldChar w:fldCharType="begin"/>
        </w:r>
        <w:r w:rsidR="000B7AE5" w:rsidRPr="000B7AE5">
          <w:rPr>
            <w:rFonts w:ascii="Times New Roman" w:hAnsi="Times New Roman"/>
            <w:noProof/>
            <w:webHidden/>
            <w:sz w:val="24"/>
            <w:szCs w:val="24"/>
          </w:rPr>
          <w:instrText xml:space="preserve"> PAGEREF _Toc69836226 \h </w:instrText>
        </w:r>
        <w:r w:rsidR="000B7AE5" w:rsidRPr="000B7AE5">
          <w:rPr>
            <w:rFonts w:ascii="Times New Roman" w:hAnsi="Times New Roman"/>
            <w:noProof/>
            <w:webHidden/>
            <w:sz w:val="24"/>
            <w:szCs w:val="24"/>
          </w:rPr>
        </w:r>
        <w:r w:rsidR="000B7AE5" w:rsidRPr="000B7AE5">
          <w:rPr>
            <w:rFonts w:ascii="Times New Roman" w:hAnsi="Times New Roman"/>
            <w:noProof/>
            <w:webHidden/>
            <w:sz w:val="24"/>
            <w:szCs w:val="24"/>
          </w:rPr>
          <w:fldChar w:fldCharType="separate"/>
        </w:r>
        <w:r w:rsidR="000B7AE5" w:rsidRPr="000B7AE5">
          <w:rPr>
            <w:rFonts w:ascii="Times New Roman" w:hAnsi="Times New Roman"/>
            <w:noProof/>
            <w:webHidden/>
            <w:sz w:val="24"/>
            <w:szCs w:val="24"/>
          </w:rPr>
          <w:t>116</w:t>
        </w:r>
        <w:r w:rsidR="000B7AE5" w:rsidRPr="000B7AE5">
          <w:rPr>
            <w:rFonts w:ascii="Times New Roman" w:hAnsi="Times New Roman"/>
            <w:noProof/>
            <w:webHidden/>
            <w:sz w:val="24"/>
            <w:szCs w:val="24"/>
          </w:rPr>
          <w:fldChar w:fldCharType="end"/>
        </w:r>
      </w:hyperlink>
    </w:p>
    <w:p w:rsidR="000B7AE5" w:rsidRPr="000B7AE5" w:rsidRDefault="000A7F7A" w:rsidP="000B7AE5">
      <w:pPr>
        <w:pStyle w:val="Turinys2"/>
        <w:tabs>
          <w:tab w:val="right" w:leader="dot" w:pos="9628"/>
        </w:tabs>
        <w:spacing w:after="0" w:line="240" w:lineRule="auto"/>
        <w:rPr>
          <w:rFonts w:ascii="Times New Roman" w:eastAsiaTheme="minorEastAsia" w:hAnsi="Times New Roman"/>
          <w:noProof/>
          <w:sz w:val="24"/>
          <w:szCs w:val="24"/>
          <w:lang w:eastAsia="lt-LT"/>
        </w:rPr>
      </w:pPr>
      <w:hyperlink w:anchor="_Toc69836227" w:history="1">
        <w:r w:rsidR="000B7AE5" w:rsidRPr="000B7AE5">
          <w:rPr>
            <w:rStyle w:val="Hipersaitas"/>
            <w:rFonts w:ascii="Times New Roman" w:eastAsia="AngsanaUPC" w:hAnsi="Times New Roman"/>
            <w:bCs/>
            <w:iCs/>
            <w:noProof/>
            <w:sz w:val="24"/>
            <w:szCs w:val="24"/>
            <w:lang w:eastAsia="lt-LT"/>
          </w:rPr>
          <w:t>8. PRIORITETAS. SOCIALINĖS ĮTRAUKTIES DIDINIMAS IR KOVA SU SKURDU</w:t>
        </w:r>
        <w:r w:rsidR="000B7AE5" w:rsidRPr="000B7AE5">
          <w:rPr>
            <w:rFonts w:ascii="Times New Roman" w:hAnsi="Times New Roman"/>
            <w:noProof/>
            <w:webHidden/>
            <w:sz w:val="24"/>
            <w:szCs w:val="24"/>
          </w:rPr>
          <w:tab/>
        </w:r>
        <w:r w:rsidR="000B7AE5" w:rsidRPr="000B7AE5">
          <w:rPr>
            <w:rFonts w:ascii="Times New Roman" w:hAnsi="Times New Roman"/>
            <w:noProof/>
            <w:webHidden/>
            <w:sz w:val="24"/>
            <w:szCs w:val="24"/>
          </w:rPr>
          <w:fldChar w:fldCharType="begin"/>
        </w:r>
        <w:r w:rsidR="000B7AE5" w:rsidRPr="000B7AE5">
          <w:rPr>
            <w:rFonts w:ascii="Times New Roman" w:hAnsi="Times New Roman"/>
            <w:noProof/>
            <w:webHidden/>
            <w:sz w:val="24"/>
            <w:szCs w:val="24"/>
          </w:rPr>
          <w:instrText xml:space="preserve"> PAGEREF _Toc69836227 \h </w:instrText>
        </w:r>
        <w:r w:rsidR="000B7AE5" w:rsidRPr="000B7AE5">
          <w:rPr>
            <w:rFonts w:ascii="Times New Roman" w:hAnsi="Times New Roman"/>
            <w:noProof/>
            <w:webHidden/>
            <w:sz w:val="24"/>
            <w:szCs w:val="24"/>
          </w:rPr>
        </w:r>
        <w:r w:rsidR="000B7AE5" w:rsidRPr="000B7AE5">
          <w:rPr>
            <w:rFonts w:ascii="Times New Roman" w:hAnsi="Times New Roman"/>
            <w:noProof/>
            <w:webHidden/>
            <w:sz w:val="24"/>
            <w:szCs w:val="24"/>
          </w:rPr>
          <w:fldChar w:fldCharType="separate"/>
        </w:r>
        <w:r w:rsidR="000B7AE5" w:rsidRPr="000B7AE5">
          <w:rPr>
            <w:rFonts w:ascii="Times New Roman" w:hAnsi="Times New Roman"/>
            <w:noProof/>
            <w:webHidden/>
            <w:sz w:val="24"/>
            <w:szCs w:val="24"/>
          </w:rPr>
          <w:t>134</w:t>
        </w:r>
        <w:r w:rsidR="000B7AE5" w:rsidRPr="000B7AE5">
          <w:rPr>
            <w:rFonts w:ascii="Times New Roman" w:hAnsi="Times New Roman"/>
            <w:noProof/>
            <w:webHidden/>
            <w:sz w:val="24"/>
            <w:szCs w:val="24"/>
          </w:rPr>
          <w:fldChar w:fldCharType="end"/>
        </w:r>
      </w:hyperlink>
    </w:p>
    <w:p w:rsidR="000B7AE5" w:rsidRPr="000B7AE5" w:rsidRDefault="000A7F7A" w:rsidP="000B7AE5">
      <w:pPr>
        <w:pStyle w:val="Turinys2"/>
        <w:tabs>
          <w:tab w:val="right" w:leader="dot" w:pos="9628"/>
        </w:tabs>
        <w:spacing w:after="0" w:line="240" w:lineRule="auto"/>
        <w:rPr>
          <w:rFonts w:ascii="Times New Roman" w:eastAsiaTheme="minorEastAsia" w:hAnsi="Times New Roman"/>
          <w:noProof/>
          <w:sz w:val="24"/>
          <w:szCs w:val="24"/>
          <w:lang w:eastAsia="lt-LT"/>
        </w:rPr>
      </w:pPr>
      <w:hyperlink w:anchor="_Toc69836228" w:history="1">
        <w:r w:rsidR="000B7AE5" w:rsidRPr="000B7AE5">
          <w:rPr>
            <w:rStyle w:val="Hipersaitas"/>
            <w:rFonts w:ascii="Times New Roman" w:eastAsia="AngsanaUPC" w:hAnsi="Times New Roman"/>
            <w:bCs/>
            <w:iCs/>
            <w:noProof/>
            <w:sz w:val="24"/>
            <w:szCs w:val="24"/>
            <w:lang w:eastAsia="lt-LT"/>
          </w:rPr>
          <w:t>9 PRIORITETAS. VISUOMENĖS ŠVIETIMAS IR ŽMOGIŠKŲJŲ IŠTEKLIŲ POTENCIALO DIDINIMAS</w:t>
        </w:r>
        <w:r w:rsidR="000B7AE5" w:rsidRPr="000B7AE5">
          <w:rPr>
            <w:rFonts w:ascii="Times New Roman" w:hAnsi="Times New Roman"/>
            <w:noProof/>
            <w:webHidden/>
            <w:sz w:val="24"/>
            <w:szCs w:val="24"/>
          </w:rPr>
          <w:tab/>
        </w:r>
        <w:r w:rsidR="000B7AE5" w:rsidRPr="000B7AE5">
          <w:rPr>
            <w:rFonts w:ascii="Times New Roman" w:hAnsi="Times New Roman"/>
            <w:noProof/>
            <w:webHidden/>
            <w:sz w:val="24"/>
            <w:szCs w:val="24"/>
          </w:rPr>
          <w:fldChar w:fldCharType="begin"/>
        </w:r>
        <w:r w:rsidR="000B7AE5" w:rsidRPr="000B7AE5">
          <w:rPr>
            <w:rFonts w:ascii="Times New Roman" w:hAnsi="Times New Roman"/>
            <w:noProof/>
            <w:webHidden/>
            <w:sz w:val="24"/>
            <w:szCs w:val="24"/>
          </w:rPr>
          <w:instrText xml:space="preserve"> PAGEREF _Toc69836228 \h </w:instrText>
        </w:r>
        <w:r w:rsidR="000B7AE5" w:rsidRPr="000B7AE5">
          <w:rPr>
            <w:rFonts w:ascii="Times New Roman" w:hAnsi="Times New Roman"/>
            <w:noProof/>
            <w:webHidden/>
            <w:sz w:val="24"/>
            <w:szCs w:val="24"/>
          </w:rPr>
        </w:r>
        <w:r w:rsidR="000B7AE5" w:rsidRPr="000B7AE5">
          <w:rPr>
            <w:rFonts w:ascii="Times New Roman" w:hAnsi="Times New Roman"/>
            <w:noProof/>
            <w:webHidden/>
            <w:sz w:val="24"/>
            <w:szCs w:val="24"/>
          </w:rPr>
          <w:fldChar w:fldCharType="separate"/>
        </w:r>
        <w:r w:rsidR="000B7AE5" w:rsidRPr="000B7AE5">
          <w:rPr>
            <w:rFonts w:ascii="Times New Roman" w:hAnsi="Times New Roman"/>
            <w:noProof/>
            <w:webHidden/>
            <w:sz w:val="24"/>
            <w:szCs w:val="24"/>
          </w:rPr>
          <w:t>156</w:t>
        </w:r>
        <w:r w:rsidR="000B7AE5" w:rsidRPr="000B7AE5">
          <w:rPr>
            <w:rFonts w:ascii="Times New Roman" w:hAnsi="Times New Roman"/>
            <w:noProof/>
            <w:webHidden/>
            <w:sz w:val="24"/>
            <w:szCs w:val="24"/>
          </w:rPr>
          <w:fldChar w:fldCharType="end"/>
        </w:r>
      </w:hyperlink>
    </w:p>
    <w:p w:rsidR="000B7AE5" w:rsidRPr="000B7AE5" w:rsidRDefault="000A7F7A" w:rsidP="000B7AE5">
      <w:pPr>
        <w:pStyle w:val="Turinys2"/>
        <w:tabs>
          <w:tab w:val="right" w:leader="dot" w:pos="9628"/>
        </w:tabs>
        <w:spacing w:after="0" w:line="240" w:lineRule="auto"/>
        <w:rPr>
          <w:rFonts w:ascii="Times New Roman" w:eastAsiaTheme="minorEastAsia" w:hAnsi="Times New Roman"/>
          <w:noProof/>
          <w:sz w:val="24"/>
          <w:szCs w:val="24"/>
          <w:lang w:eastAsia="lt-LT"/>
        </w:rPr>
      </w:pPr>
      <w:hyperlink w:anchor="_Toc69836229" w:history="1">
        <w:r w:rsidR="000B7AE5" w:rsidRPr="000B7AE5">
          <w:rPr>
            <w:rStyle w:val="Hipersaitas"/>
            <w:rFonts w:ascii="Times New Roman" w:eastAsia="AngsanaUPC" w:hAnsi="Times New Roman"/>
            <w:bCs/>
            <w:iCs/>
            <w:noProof/>
            <w:sz w:val="24"/>
            <w:szCs w:val="24"/>
            <w:lang w:eastAsia="lt-LT"/>
          </w:rPr>
          <w:t>10 PRIORITETAS. VISUOMENĖS POREIKIUS ATITINKANTIS IR PAŽANGUS VIEŠASIS VALDYMAS</w:t>
        </w:r>
        <w:r w:rsidR="000B7AE5" w:rsidRPr="000B7AE5">
          <w:rPr>
            <w:rFonts w:ascii="Times New Roman" w:hAnsi="Times New Roman"/>
            <w:noProof/>
            <w:webHidden/>
            <w:sz w:val="24"/>
            <w:szCs w:val="24"/>
          </w:rPr>
          <w:tab/>
        </w:r>
        <w:r w:rsidR="000B7AE5" w:rsidRPr="000B7AE5">
          <w:rPr>
            <w:rFonts w:ascii="Times New Roman" w:hAnsi="Times New Roman"/>
            <w:noProof/>
            <w:webHidden/>
            <w:sz w:val="24"/>
            <w:szCs w:val="24"/>
          </w:rPr>
          <w:fldChar w:fldCharType="begin"/>
        </w:r>
        <w:r w:rsidR="000B7AE5" w:rsidRPr="000B7AE5">
          <w:rPr>
            <w:rFonts w:ascii="Times New Roman" w:hAnsi="Times New Roman"/>
            <w:noProof/>
            <w:webHidden/>
            <w:sz w:val="24"/>
            <w:szCs w:val="24"/>
          </w:rPr>
          <w:instrText xml:space="preserve"> PAGEREF _Toc69836229 \h </w:instrText>
        </w:r>
        <w:r w:rsidR="000B7AE5" w:rsidRPr="000B7AE5">
          <w:rPr>
            <w:rFonts w:ascii="Times New Roman" w:hAnsi="Times New Roman"/>
            <w:noProof/>
            <w:webHidden/>
            <w:sz w:val="24"/>
            <w:szCs w:val="24"/>
          </w:rPr>
        </w:r>
        <w:r w:rsidR="000B7AE5" w:rsidRPr="000B7AE5">
          <w:rPr>
            <w:rFonts w:ascii="Times New Roman" w:hAnsi="Times New Roman"/>
            <w:noProof/>
            <w:webHidden/>
            <w:sz w:val="24"/>
            <w:szCs w:val="24"/>
          </w:rPr>
          <w:fldChar w:fldCharType="separate"/>
        </w:r>
        <w:r w:rsidR="000B7AE5" w:rsidRPr="000B7AE5">
          <w:rPr>
            <w:rFonts w:ascii="Times New Roman" w:hAnsi="Times New Roman"/>
            <w:noProof/>
            <w:webHidden/>
            <w:sz w:val="24"/>
            <w:szCs w:val="24"/>
          </w:rPr>
          <w:t>181</w:t>
        </w:r>
        <w:r w:rsidR="000B7AE5" w:rsidRPr="000B7AE5">
          <w:rPr>
            <w:rFonts w:ascii="Times New Roman" w:hAnsi="Times New Roman"/>
            <w:noProof/>
            <w:webHidden/>
            <w:sz w:val="24"/>
            <w:szCs w:val="24"/>
          </w:rPr>
          <w:fldChar w:fldCharType="end"/>
        </w:r>
      </w:hyperlink>
    </w:p>
    <w:p w:rsidR="000B7AE5" w:rsidRPr="000B7AE5" w:rsidRDefault="000A7F7A" w:rsidP="000B7AE5">
      <w:pPr>
        <w:pStyle w:val="Turinys2"/>
        <w:tabs>
          <w:tab w:val="right" w:leader="dot" w:pos="9628"/>
        </w:tabs>
        <w:spacing w:after="0" w:line="240" w:lineRule="auto"/>
        <w:rPr>
          <w:rFonts w:ascii="Times New Roman" w:eastAsiaTheme="minorEastAsia" w:hAnsi="Times New Roman"/>
          <w:noProof/>
          <w:sz w:val="24"/>
          <w:szCs w:val="24"/>
          <w:lang w:eastAsia="lt-LT"/>
        </w:rPr>
      </w:pPr>
      <w:hyperlink w:anchor="_Toc69836230" w:history="1">
        <w:r w:rsidR="000B7AE5" w:rsidRPr="000B7AE5">
          <w:rPr>
            <w:rStyle w:val="Hipersaitas"/>
            <w:rFonts w:ascii="Times New Roman" w:eastAsia="AngsanaUPC" w:hAnsi="Times New Roman"/>
            <w:bCs/>
            <w:iCs/>
            <w:noProof/>
            <w:sz w:val="24"/>
            <w:szCs w:val="24"/>
            <w:lang w:eastAsia="lt-LT"/>
          </w:rPr>
          <w:t>11 PRIORITETAS. TECHNINĖ PARAMA VEIKSMŲ PROGRAMAI ADMINISTRUOTI</w:t>
        </w:r>
        <w:r w:rsidR="000B7AE5" w:rsidRPr="000B7AE5">
          <w:rPr>
            <w:rFonts w:ascii="Times New Roman" w:hAnsi="Times New Roman"/>
            <w:noProof/>
            <w:webHidden/>
            <w:sz w:val="24"/>
            <w:szCs w:val="24"/>
          </w:rPr>
          <w:tab/>
        </w:r>
        <w:r w:rsidR="000B7AE5" w:rsidRPr="000B7AE5">
          <w:rPr>
            <w:rFonts w:ascii="Times New Roman" w:hAnsi="Times New Roman"/>
            <w:noProof/>
            <w:webHidden/>
            <w:sz w:val="24"/>
            <w:szCs w:val="24"/>
          </w:rPr>
          <w:fldChar w:fldCharType="begin"/>
        </w:r>
        <w:r w:rsidR="000B7AE5" w:rsidRPr="000B7AE5">
          <w:rPr>
            <w:rFonts w:ascii="Times New Roman" w:hAnsi="Times New Roman"/>
            <w:noProof/>
            <w:webHidden/>
            <w:sz w:val="24"/>
            <w:szCs w:val="24"/>
          </w:rPr>
          <w:instrText xml:space="preserve"> PAGEREF _Toc69836230 \h </w:instrText>
        </w:r>
        <w:r w:rsidR="000B7AE5" w:rsidRPr="000B7AE5">
          <w:rPr>
            <w:rFonts w:ascii="Times New Roman" w:hAnsi="Times New Roman"/>
            <w:noProof/>
            <w:webHidden/>
            <w:sz w:val="24"/>
            <w:szCs w:val="24"/>
          </w:rPr>
        </w:r>
        <w:r w:rsidR="000B7AE5" w:rsidRPr="000B7AE5">
          <w:rPr>
            <w:rFonts w:ascii="Times New Roman" w:hAnsi="Times New Roman"/>
            <w:noProof/>
            <w:webHidden/>
            <w:sz w:val="24"/>
            <w:szCs w:val="24"/>
          </w:rPr>
          <w:fldChar w:fldCharType="separate"/>
        </w:r>
        <w:r w:rsidR="000B7AE5" w:rsidRPr="000B7AE5">
          <w:rPr>
            <w:rFonts w:ascii="Times New Roman" w:hAnsi="Times New Roman"/>
            <w:noProof/>
            <w:webHidden/>
            <w:sz w:val="24"/>
            <w:szCs w:val="24"/>
          </w:rPr>
          <w:t>194</w:t>
        </w:r>
        <w:r w:rsidR="000B7AE5" w:rsidRPr="000B7AE5">
          <w:rPr>
            <w:rFonts w:ascii="Times New Roman" w:hAnsi="Times New Roman"/>
            <w:noProof/>
            <w:webHidden/>
            <w:sz w:val="24"/>
            <w:szCs w:val="24"/>
          </w:rPr>
          <w:fldChar w:fldCharType="end"/>
        </w:r>
      </w:hyperlink>
    </w:p>
    <w:p w:rsidR="000B7AE5" w:rsidRPr="000B7AE5" w:rsidRDefault="000A7F7A" w:rsidP="000B7AE5">
      <w:pPr>
        <w:pStyle w:val="Turinys2"/>
        <w:tabs>
          <w:tab w:val="right" w:leader="dot" w:pos="9628"/>
        </w:tabs>
        <w:spacing w:after="0" w:line="240" w:lineRule="auto"/>
        <w:rPr>
          <w:rFonts w:ascii="Times New Roman" w:eastAsiaTheme="minorEastAsia" w:hAnsi="Times New Roman"/>
          <w:noProof/>
          <w:sz w:val="24"/>
          <w:szCs w:val="24"/>
          <w:lang w:eastAsia="lt-LT"/>
        </w:rPr>
      </w:pPr>
      <w:hyperlink w:anchor="_Toc69836231" w:history="1">
        <w:r w:rsidR="000B7AE5" w:rsidRPr="000B7AE5">
          <w:rPr>
            <w:rStyle w:val="Hipersaitas"/>
            <w:rFonts w:ascii="Times New Roman" w:eastAsia="AngsanaUPC" w:hAnsi="Times New Roman"/>
            <w:bCs/>
            <w:iCs/>
            <w:noProof/>
            <w:sz w:val="24"/>
            <w:szCs w:val="24"/>
            <w:lang w:eastAsia="lt-LT"/>
          </w:rPr>
          <w:t>12 PRIORITETAS. TECHNINĖ PARAMA, SKIRTA INFORMUOTI APIE VEIKSMŲ PROGRAMĄ IR JAI VERTINTI.</w:t>
        </w:r>
        <w:r w:rsidR="000B7AE5" w:rsidRPr="000B7AE5">
          <w:rPr>
            <w:rFonts w:ascii="Times New Roman" w:hAnsi="Times New Roman"/>
            <w:noProof/>
            <w:webHidden/>
            <w:sz w:val="24"/>
            <w:szCs w:val="24"/>
          </w:rPr>
          <w:tab/>
        </w:r>
        <w:r w:rsidR="000B7AE5" w:rsidRPr="000B7AE5">
          <w:rPr>
            <w:rFonts w:ascii="Times New Roman" w:hAnsi="Times New Roman"/>
            <w:noProof/>
            <w:webHidden/>
            <w:sz w:val="24"/>
            <w:szCs w:val="24"/>
          </w:rPr>
          <w:fldChar w:fldCharType="begin"/>
        </w:r>
        <w:r w:rsidR="000B7AE5" w:rsidRPr="000B7AE5">
          <w:rPr>
            <w:rFonts w:ascii="Times New Roman" w:hAnsi="Times New Roman"/>
            <w:noProof/>
            <w:webHidden/>
            <w:sz w:val="24"/>
            <w:szCs w:val="24"/>
          </w:rPr>
          <w:instrText xml:space="preserve"> PAGEREF _Toc69836231 \h </w:instrText>
        </w:r>
        <w:r w:rsidR="000B7AE5" w:rsidRPr="000B7AE5">
          <w:rPr>
            <w:rFonts w:ascii="Times New Roman" w:hAnsi="Times New Roman"/>
            <w:noProof/>
            <w:webHidden/>
            <w:sz w:val="24"/>
            <w:szCs w:val="24"/>
          </w:rPr>
        </w:r>
        <w:r w:rsidR="000B7AE5" w:rsidRPr="000B7AE5">
          <w:rPr>
            <w:rFonts w:ascii="Times New Roman" w:hAnsi="Times New Roman"/>
            <w:noProof/>
            <w:webHidden/>
            <w:sz w:val="24"/>
            <w:szCs w:val="24"/>
          </w:rPr>
          <w:fldChar w:fldCharType="separate"/>
        </w:r>
        <w:r w:rsidR="000B7AE5" w:rsidRPr="000B7AE5">
          <w:rPr>
            <w:rFonts w:ascii="Times New Roman" w:hAnsi="Times New Roman"/>
            <w:noProof/>
            <w:webHidden/>
            <w:sz w:val="24"/>
            <w:szCs w:val="24"/>
          </w:rPr>
          <w:t>197</w:t>
        </w:r>
        <w:r w:rsidR="000B7AE5" w:rsidRPr="000B7AE5">
          <w:rPr>
            <w:rFonts w:ascii="Times New Roman" w:hAnsi="Times New Roman"/>
            <w:noProof/>
            <w:webHidden/>
            <w:sz w:val="24"/>
            <w:szCs w:val="24"/>
          </w:rPr>
          <w:fldChar w:fldCharType="end"/>
        </w:r>
      </w:hyperlink>
    </w:p>
    <w:p w:rsidR="000B7AE5" w:rsidRPr="000B7AE5" w:rsidRDefault="000A7F7A" w:rsidP="000B7AE5">
      <w:pPr>
        <w:pStyle w:val="Turinys2"/>
        <w:tabs>
          <w:tab w:val="right" w:leader="dot" w:pos="9628"/>
        </w:tabs>
        <w:spacing w:after="0" w:line="240" w:lineRule="auto"/>
        <w:rPr>
          <w:rFonts w:ascii="Times New Roman" w:eastAsiaTheme="minorEastAsia" w:hAnsi="Times New Roman"/>
          <w:noProof/>
          <w:sz w:val="24"/>
          <w:szCs w:val="24"/>
          <w:lang w:eastAsia="lt-LT"/>
        </w:rPr>
      </w:pPr>
      <w:hyperlink w:anchor="_Toc69836232" w:history="1">
        <w:r w:rsidR="000B7AE5" w:rsidRPr="000B7AE5">
          <w:rPr>
            <w:rStyle w:val="Hipersaitas"/>
            <w:rFonts w:ascii="Times New Roman" w:eastAsia="AngsanaUPC" w:hAnsi="Times New Roman"/>
            <w:bCs/>
            <w:iCs/>
            <w:noProof/>
            <w:sz w:val="24"/>
            <w:szCs w:val="24"/>
            <w:lang w:eastAsia="lt-LT"/>
          </w:rPr>
          <w:t>13 PRIORITETAS. VEIKSMŲ, SKIRTŲ COVID-19 PANDEMIJOS SUKELTAI KRIZEI ĮVEIKTI, SKATINIMAS IR PASIRENGIMAS APLINKĄ TAUSOJANČIAM, SKAITMENINIAM IR TVARIAM EKONOMIKOS ATGAIVINIMUI</w:t>
        </w:r>
        <w:r w:rsidR="000B7AE5" w:rsidRPr="000B7AE5">
          <w:rPr>
            <w:rFonts w:ascii="Times New Roman" w:hAnsi="Times New Roman"/>
            <w:noProof/>
            <w:webHidden/>
            <w:sz w:val="24"/>
            <w:szCs w:val="24"/>
          </w:rPr>
          <w:tab/>
        </w:r>
        <w:r w:rsidR="000B7AE5" w:rsidRPr="000B7AE5">
          <w:rPr>
            <w:rFonts w:ascii="Times New Roman" w:hAnsi="Times New Roman"/>
            <w:noProof/>
            <w:webHidden/>
            <w:sz w:val="24"/>
            <w:szCs w:val="24"/>
          </w:rPr>
          <w:fldChar w:fldCharType="begin"/>
        </w:r>
        <w:r w:rsidR="000B7AE5" w:rsidRPr="000B7AE5">
          <w:rPr>
            <w:rFonts w:ascii="Times New Roman" w:hAnsi="Times New Roman"/>
            <w:noProof/>
            <w:webHidden/>
            <w:sz w:val="24"/>
            <w:szCs w:val="24"/>
          </w:rPr>
          <w:instrText xml:space="preserve"> PAGEREF _Toc69836232 \h </w:instrText>
        </w:r>
        <w:r w:rsidR="000B7AE5" w:rsidRPr="000B7AE5">
          <w:rPr>
            <w:rFonts w:ascii="Times New Roman" w:hAnsi="Times New Roman"/>
            <w:noProof/>
            <w:webHidden/>
            <w:sz w:val="24"/>
            <w:szCs w:val="24"/>
          </w:rPr>
        </w:r>
        <w:r w:rsidR="000B7AE5" w:rsidRPr="000B7AE5">
          <w:rPr>
            <w:rFonts w:ascii="Times New Roman" w:hAnsi="Times New Roman"/>
            <w:noProof/>
            <w:webHidden/>
            <w:sz w:val="24"/>
            <w:szCs w:val="24"/>
          </w:rPr>
          <w:fldChar w:fldCharType="separate"/>
        </w:r>
        <w:r w:rsidR="000B7AE5" w:rsidRPr="000B7AE5">
          <w:rPr>
            <w:rFonts w:ascii="Times New Roman" w:hAnsi="Times New Roman"/>
            <w:noProof/>
            <w:webHidden/>
            <w:sz w:val="24"/>
            <w:szCs w:val="24"/>
          </w:rPr>
          <w:t>201</w:t>
        </w:r>
        <w:r w:rsidR="000B7AE5" w:rsidRPr="000B7AE5">
          <w:rPr>
            <w:rFonts w:ascii="Times New Roman" w:hAnsi="Times New Roman"/>
            <w:noProof/>
            <w:webHidden/>
            <w:sz w:val="24"/>
            <w:szCs w:val="24"/>
          </w:rPr>
          <w:fldChar w:fldCharType="end"/>
        </w:r>
      </w:hyperlink>
    </w:p>
    <w:p w:rsidR="000B7AE5" w:rsidRPr="000B7AE5" w:rsidRDefault="000A7F7A" w:rsidP="000B7AE5">
      <w:pPr>
        <w:pStyle w:val="Turinys2"/>
        <w:tabs>
          <w:tab w:val="right" w:leader="dot" w:pos="9628"/>
        </w:tabs>
        <w:spacing w:after="0" w:line="240" w:lineRule="auto"/>
        <w:rPr>
          <w:rFonts w:ascii="Times New Roman" w:eastAsiaTheme="minorEastAsia" w:hAnsi="Times New Roman"/>
          <w:noProof/>
          <w:sz w:val="24"/>
          <w:szCs w:val="24"/>
          <w:lang w:eastAsia="lt-LT"/>
        </w:rPr>
      </w:pPr>
      <w:hyperlink w:anchor="_Toc69836233" w:history="1">
        <w:r w:rsidR="000B7AE5" w:rsidRPr="000B7AE5">
          <w:rPr>
            <w:rStyle w:val="Hipersaitas"/>
            <w:rFonts w:ascii="Times New Roman" w:eastAsia="AngsanaUPC" w:hAnsi="Times New Roman"/>
            <w:bCs/>
            <w:iCs/>
            <w:noProof/>
            <w:sz w:val="24"/>
            <w:szCs w:val="24"/>
            <w:lang w:eastAsia="lt-LT"/>
          </w:rPr>
          <w:t>14 PRIORITETAS. VEIKSMŲ, SKIRTŲ COVID-19 PANDEMIJOS SUKELTAI KRIZEI ĮVEIKTI, SKATINIMAS, SIEKIANT DIDINTI UŽIMTUMĄ IR SOCIALINĘ ĮTRAUKTĮ</w:t>
        </w:r>
        <w:r w:rsidR="000B7AE5" w:rsidRPr="000B7AE5">
          <w:rPr>
            <w:rFonts w:ascii="Times New Roman" w:hAnsi="Times New Roman"/>
            <w:noProof/>
            <w:webHidden/>
            <w:sz w:val="24"/>
            <w:szCs w:val="24"/>
          </w:rPr>
          <w:tab/>
        </w:r>
        <w:r w:rsidR="000B7AE5" w:rsidRPr="000B7AE5">
          <w:rPr>
            <w:rFonts w:ascii="Times New Roman" w:hAnsi="Times New Roman"/>
            <w:noProof/>
            <w:webHidden/>
            <w:sz w:val="24"/>
            <w:szCs w:val="24"/>
          </w:rPr>
          <w:fldChar w:fldCharType="begin"/>
        </w:r>
        <w:r w:rsidR="000B7AE5" w:rsidRPr="000B7AE5">
          <w:rPr>
            <w:rFonts w:ascii="Times New Roman" w:hAnsi="Times New Roman"/>
            <w:noProof/>
            <w:webHidden/>
            <w:sz w:val="24"/>
            <w:szCs w:val="24"/>
          </w:rPr>
          <w:instrText xml:space="preserve"> PAGEREF _Toc69836233 \h </w:instrText>
        </w:r>
        <w:r w:rsidR="000B7AE5" w:rsidRPr="000B7AE5">
          <w:rPr>
            <w:rFonts w:ascii="Times New Roman" w:hAnsi="Times New Roman"/>
            <w:noProof/>
            <w:webHidden/>
            <w:sz w:val="24"/>
            <w:szCs w:val="24"/>
          </w:rPr>
        </w:r>
        <w:r w:rsidR="000B7AE5" w:rsidRPr="000B7AE5">
          <w:rPr>
            <w:rFonts w:ascii="Times New Roman" w:hAnsi="Times New Roman"/>
            <w:noProof/>
            <w:webHidden/>
            <w:sz w:val="24"/>
            <w:szCs w:val="24"/>
          </w:rPr>
          <w:fldChar w:fldCharType="separate"/>
        </w:r>
        <w:r w:rsidR="000B7AE5" w:rsidRPr="000B7AE5">
          <w:rPr>
            <w:rFonts w:ascii="Times New Roman" w:hAnsi="Times New Roman"/>
            <w:noProof/>
            <w:webHidden/>
            <w:sz w:val="24"/>
            <w:szCs w:val="24"/>
          </w:rPr>
          <w:t>208</w:t>
        </w:r>
        <w:r w:rsidR="000B7AE5" w:rsidRPr="000B7AE5">
          <w:rPr>
            <w:rFonts w:ascii="Times New Roman" w:hAnsi="Times New Roman"/>
            <w:noProof/>
            <w:webHidden/>
            <w:sz w:val="24"/>
            <w:szCs w:val="24"/>
          </w:rPr>
          <w:fldChar w:fldCharType="end"/>
        </w:r>
      </w:hyperlink>
    </w:p>
    <w:p w:rsidR="000B7AE5" w:rsidRPr="000B7AE5" w:rsidRDefault="000A7F7A" w:rsidP="000B7AE5">
      <w:pPr>
        <w:pStyle w:val="Turinys1"/>
        <w:spacing w:after="0"/>
        <w:jc w:val="left"/>
        <w:rPr>
          <w:rFonts w:eastAsiaTheme="minorEastAsia"/>
          <w:noProof/>
          <w:sz w:val="24"/>
          <w:szCs w:val="24"/>
          <w:lang w:eastAsia="lt-LT"/>
        </w:rPr>
      </w:pPr>
      <w:hyperlink w:anchor="_Toc69836234" w:history="1">
        <w:r w:rsidR="000B7AE5" w:rsidRPr="000B7AE5">
          <w:rPr>
            <w:rStyle w:val="Hipersaitas"/>
            <w:rFonts w:eastAsia="AngsanaUPC"/>
            <w:noProof/>
            <w:sz w:val="24"/>
            <w:szCs w:val="24"/>
            <w:lang w:eastAsia="lt-LT"/>
          </w:rPr>
          <w:t>3. SKIRSNIS. VEIKSMŲ PROGRAMOS FINANSAVIMO PLANAS</w:t>
        </w:r>
        <w:r w:rsidR="000B7AE5" w:rsidRPr="000B7AE5">
          <w:rPr>
            <w:noProof/>
            <w:webHidden/>
            <w:sz w:val="24"/>
            <w:szCs w:val="24"/>
          </w:rPr>
          <w:tab/>
        </w:r>
        <w:r w:rsidR="000B7AE5" w:rsidRPr="000B7AE5">
          <w:rPr>
            <w:noProof/>
            <w:webHidden/>
            <w:sz w:val="24"/>
            <w:szCs w:val="24"/>
          </w:rPr>
          <w:fldChar w:fldCharType="begin"/>
        </w:r>
        <w:r w:rsidR="000B7AE5" w:rsidRPr="000B7AE5">
          <w:rPr>
            <w:noProof/>
            <w:webHidden/>
            <w:sz w:val="24"/>
            <w:szCs w:val="24"/>
          </w:rPr>
          <w:instrText xml:space="preserve"> PAGEREF _Toc69836234 \h </w:instrText>
        </w:r>
        <w:r w:rsidR="000B7AE5" w:rsidRPr="000B7AE5">
          <w:rPr>
            <w:noProof/>
            <w:webHidden/>
            <w:sz w:val="24"/>
            <w:szCs w:val="24"/>
          </w:rPr>
        </w:r>
        <w:r w:rsidR="000B7AE5" w:rsidRPr="000B7AE5">
          <w:rPr>
            <w:noProof/>
            <w:webHidden/>
            <w:sz w:val="24"/>
            <w:szCs w:val="24"/>
          </w:rPr>
          <w:fldChar w:fldCharType="separate"/>
        </w:r>
        <w:r w:rsidR="000B7AE5" w:rsidRPr="000B7AE5">
          <w:rPr>
            <w:noProof/>
            <w:webHidden/>
            <w:sz w:val="24"/>
            <w:szCs w:val="24"/>
          </w:rPr>
          <w:t>211</w:t>
        </w:r>
        <w:r w:rsidR="000B7AE5" w:rsidRPr="000B7AE5">
          <w:rPr>
            <w:noProof/>
            <w:webHidden/>
            <w:sz w:val="24"/>
            <w:szCs w:val="24"/>
          </w:rPr>
          <w:fldChar w:fldCharType="end"/>
        </w:r>
      </w:hyperlink>
    </w:p>
    <w:p w:rsidR="000B7AE5" w:rsidRPr="000B7AE5" w:rsidRDefault="000A7F7A" w:rsidP="000B7AE5">
      <w:pPr>
        <w:pStyle w:val="Turinys1"/>
        <w:spacing w:after="0"/>
        <w:jc w:val="left"/>
        <w:rPr>
          <w:rFonts w:eastAsiaTheme="minorEastAsia"/>
          <w:noProof/>
          <w:sz w:val="24"/>
          <w:szCs w:val="24"/>
          <w:lang w:eastAsia="lt-LT"/>
        </w:rPr>
      </w:pPr>
      <w:hyperlink w:anchor="_Toc69836235" w:history="1">
        <w:r w:rsidR="000B7AE5" w:rsidRPr="000B7AE5">
          <w:rPr>
            <w:rStyle w:val="Hipersaitas"/>
            <w:rFonts w:eastAsia="AngsanaUPC"/>
            <w:noProof/>
            <w:sz w:val="24"/>
            <w:szCs w:val="24"/>
            <w:lang w:eastAsia="lt-LT"/>
          </w:rPr>
          <w:t>4. SKIRSNIS. INTEGRUOTOS TERITORINĖS PLĖTROS APRAŠYMAS</w:t>
        </w:r>
        <w:r w:rsidR="000B7AE5" w:rsidRPr="000B7AE5">
          <w:rPr>
            <w:noProof/>
            <w:webHidden/>
            <w:sz w:val="24"/>
            <w:szCs w:val="24"/>
          </w:rPr>
          <w:tab/>
        </w:r>
        <w:r w:rsidR="000B7AE5" w:rsidRPr="000B7AE5">
          <w:rPr>
            <w:noProof/>
            <w:webHidden/>
            <w:sz w:val="24"/>
            <w:szCs w:val="24"/>
          </w:rPr>
          <w:fldChar w:fldCharType="begin"/>
        </w:r>
        <w:r w:rsidR="000B7AE5" w:rsidRPr="000B7AE5">
          <w:rPr>
            <w:noProof/>
            <w:webHidden/>
            <w:sz w:val="24"/>
            <w:szCs w:val="24"/>
          </w:rPr>
          <w:instrText xml:space="preserve"> PAGEREF _Toc69836235 \h </w:instrText>
        </w:r>
        <w:r w:rsidR="000B7AE5" w:rsidRPr="000B7AE5">
          <w:rPr>
            <w:noProof/>
            <w:webHidden/>
            <w:sz w:val="24"/>
            <w:szCs w:val="24"/>
          </w:rPr>
        </w:r>
        <w:r w:rsidR="000B7AE5" w:rsidRPr="000B7AE5">
          <w:rPr>
            <w:noProof/>
            <w:webHidden/>
            <w:sz w:val="24"/>
            <w:szCs w:val="24"/>
          </w:rPr>
          <w:fldChar w:fldCharType="separate"/>
        </w:r>
        <w:r w:rsidR="000B7AE5" w:rsidRPr="000B7AE5">
          <w:rPr>
            <w:noProof/>
            <w:webHidden/>
            <w:sz w:val="24"/>
            <w:szCs w:val="24"/>
          </w:rPr>
          <w:t>218</w:t>
        </w:r>
        <w:r w:rsidR="000B7AE5" w:rsidRPr="000B7AE5">
          <w:rPr>
            <w:noProof/>
            <w:webHidden/>
            <w:sz w:val="24"/>
            <w:szCs w:val="24"/>
          </w:rPr>
          <w:fldChar w:fldCharType="end"/>
        </w:r>
      </w:hyperlink>
    </w:p>
    <w:p w:rsidR="000B7AE5" w:rsidRPr="000B7AE5" w:rsidRDefault="000A7F7A" w:rsidP="000B7AE5">
      <w:pPr>
        <w:pStyle w:val="Turinys1"/>
        <w:spacing w:after="0"/>
        <w:jc w:val="left"/>
        <w:rPr>
          <w:rFonts w:eastAsiaTheme="minorEastAsia"/>
          <w:noProof/>
          <w:sz w:val="24"/>
          <w:szCs w:val="24"/>
          <w:lang w:eastAsia="lt-LT"/>
        </w:rPr>
      </w:pPr>
      <w:hyperlink w:anchor="_Toc69836236" w:history="1">
        <w:r w:rsidR="000B7AE5" w:rsidRPr="000B7AE5">
          <w:rPr>
            <w:rStyle w:val="Hipersaitas"/>
            <w:rFonts w:eastAsia="AngsanaUPC"/>
            <w:noProof/>
            <w:sz w:val="24"/>
            <w:szCs w:val="24"/>
            <w:lang w:eastAsia="lt-LT"/>
          </w:rPr>
          <w:t xml:space="preserve">5. SKIRSNIS. </w:t>
        </w:r>
        <w:r w:rsidR="000B7AE5" w:rsidRPr="000B7AE5">
          <w:rPr>
            <w:rStyle w:val="Hipersaitas"/>
            <w:iCs/>
            <w:noProof/>
            <w:sz w:val="24"/>
            <w:szCs w:val="24"/>
            <w:lang w:eastAsia="lt-LT"/>
          </w:rPr>
          <w:t>GEOGRAFINIŲ VIETOVIŲ, KURIOS YRA LABIAUSIAI PAVEIKTOS SKURDO, ARBA TIKSLINIŲ GRUPIŲ, KURIOS PATIRIA DIDŽIAUSIĄ DISKRIMINAVIMO ARBA SOCIALINĖS ATSKIRTIES RIZIKĄ, POREIKIAI</w:t>
        </w:r>
        <w:r w:rsidR="000B7AE5" w:rsidRPr="000B7AE5">
          <w:rPr>
            <w:noProof/>
            <w:webHidden/>
            <w:sz w:val="24"/>
            <w:szCs w:val="24"/>
          </w:rPr>
          <w:tab/>
        </w:r>
        <w:r w:rsidR="000B7AE5" w:rsidRPr="000B7AE5">
          <w:rPr>
            <w:noProof/>
            <w:webHidden/>
            <w:sz w:val="24"/>
            <w:szCs w:val="24"/>
          </w:rPr>
          <w:fldChar w:fldCharType="begin"/>
        </w:r>
        <w:r w:rsidR="000B7AE5" w:rsidRPr="000B7AE5">
          <w:rPr>
            <w:noProof/>
            <w:webHidden/>
            <w:sz w:val="24"/>
            <w:szCs w:val="24"/>
          </w:rPr>
          <w:instrText xml:space="preserve"> PAGEREF _Toc69836236 \h </w:instrText>
        </w:r>
        <w:r w:rsidR="000B7AE5" w:rsidRPr="000B7AE5">
          <w:rPr>
            <w:noProof/>
            <w:webHidden/>
            <w:sz w:val="24"/>
            <w:szCs w:val="24"/>
          </w:rPr>
        </w:r>
        <w:r w:rsidR="000B7AE5" w:rsidRPr="000B7AE5">
          <w:rPr>
            <w:noProof/>
            <w:webHidden/>
            <w:sz w:val="24"/>
            <w:szCs w:val="24"/>
          </w:rPr>
          <w:fldChar w:fldCharType="separate"/>
        </w:r>
        <w:r w:rsidR="000B7AE5" w:rsidRPr="000B7AE5">
          <w:rPr>
            <w:noProof/>
            <w:webHidden/>
            <w:sz w:val="24"/>
            <w:szCs w:val="24"/>
          </w:rPr>
          <w:t>223</w:t>
        </w:r>
        <w:r w:rsidR="000B7AE5" w:rsidRPr="000B7AE5">
          <w:rPr>
            <w:noProof/>
            <w:webHidden/>
            <w:sz w:val="24"/>
            <w:szCs w:val="24"/>
          </w:rPr>
          <w:fldChar w:fldCharType="end"/>
        </w:r>
      </w:hyperlink>
    </w:p>
    <w:p w:rsidR="000B7AE5" w:rsidRPr="000B7AE5" w:rsidRDefault="000A7F7A" w:rsidP="000B7AE5">
      <w:pPr>
        <w:pStyle w:val="Turinys1"/>
        <w:spacing w:after="0"/>
        <w:jc w:val="left"/>
        <w:rPr>
          <w:rFonts w:eastAsiaTheme="minorEastAsia"/>
          <w:noProof/>
          <w:sz w:val="24"/>
          <w:szCs w:val="24"/>
          <w:lang w:eastAsia="lt-LT"/>
        </w:rPr>
      </w:pPr>
      <w:hyperlink w:anchor="_Toc69836237" w:history="1">
        <w:r w:rsidR="000B7AE5" w:rsidRPr="000B7AE5">
          <w:rPr>
            <w:rStyle w:val="Hipersaitas"/>
            <w:rFonts w:eastAsia="AngsanaUPC"/>
            <w:noProof/>
            <w:sz w:val="24"/>
            <w:szCs w:val="24"/>
            <w:lang w:eastAsia="lt-LT"/>
          </w:rPr>
          <w:t xml:space="preserve">6. SKIRSNIS. </w:t>
        </w:r>
        <w:r w:rsidR="000B7AE5" w:rsidRPr="000B7AE5">
          <w:rPr>
            <w:rStyle w:val="Hipersaitas"/>
            <w:iCs/>
            <w:noProof/>
            <w:sz w:val="24"/>
            <w:szCs w:val="24"/>
            <w:lang w:eastAsia="lt-LT"/>
          </w:rPr>
          <w:t>GEOGRAFINIŲ TERITORIŲ, KURIOSE SUSIDURIAMA SU DIDELĖMIS IR NUOLATINĖMIS GAMTINĖMIS ARBA DEMOGRAFINĖMIS KLIŪTIMIS, SPECIFINIAI POREIKIAI</w:t>
        </w:r>
        <w:r w:rsidR="000B7AE5" w:rsidRPr="000B7AE5">
          <w:rPr>
            <w:noProof/>
            <w:webHidden/>
            <w:sz w:val="24"/>
            <w:szCs w:val="24"/>
          </w:rPr>
          <w:tab/>
        </w:r>
        <w:r w:rsidR="000B7AE5" w:rsidRPr="000B7AE5">
          <w:rPr>
            <w:noProof/>
            <w:webHidden/>
            <w:sz w:val="24"/>
            <w:szCs w:val="24"/>
          </w:rPr>
          <w:fldChar w:fldCharType="begin"/>
        </w:r>
        <w:r w:rsidR="000B7AE5" w:rsidRPr="000B7AE5">
          <w:rPr>
            <w:noProof/>
            <w:webHidden/>
            <w:sz w:val="24"/>
            <w:szCs w:val="24"/>
          </w:rPr>
          <w:instrText xml:space="preserve"> PAGEREF _Toc69836237 \h </w:instrText>
        </w:r>
        <w:r w:rsidR="000B7AE5" w:rsidRPr="000B7AE5">
          <w:rPr>
            <w:noProof/>
            <w:webHidden/>
            <w:sz w:val="24"/>
            <w:szCs w:val="24"/>
          </w:rPr>
        </w:r>
        <w:r w:rsidR="000B7AE5" w:rsidRPr="000B7AE5">
          <w:rPr>
            <w:noProof/>
            <w:webHidden/>
            <w:sz w:val="24"/>
            <w:szCs w:val="24"/>
          </w:rPr>
          <w:fldChar w:fldCharType="separate"/>
        </w:r>
        <w:r w:rsidR="000B7AE5" w:rsidRPr="000B7AE5">
          <w:rPr>
            <w:noProof/>
            <w:webHidden/>
            <w:sz w:val="24"/>
            <w:szCs w:val="24"/>
          </w:rPr>
          <w:t>223</w:t>
        </w:r>
        <w:r w:rsidR="000B7AE5" w:rsidRPr="000B7AE5">
          <w:rPr>
            <w:noProof/>
            <w:webHidden/>
            <w:sz w:val="24"/>
            <w:szCs w:val="24"/>
          </w:rPr>
          <w:fldChar w:fldCharType="end"/>
        </w:r>
      </w:hyperlink>
    </w:p>
    <w:p w:rsidR="000B7AE5" w:rsidRPr="000B7AE5" w:rsidRDefault="000A7F7A" w:rsidP="000B7AE5">
      <w:pPr>
        <w:pStyle w:val="Turinys1"/>
        <w:spacing w:after="0"/>
        <w:jc w:val="left"/>
        <w:rPr>
          <w:rFonts w:eastAsiaTheme="minorEastAsia"/>
          <w:noProof/>
          <w:sz w:val="24"/>
          <w:szCs w:val="24"/>
          <w:lang w:eastAsia="lt-LT"/>
        </w:rPr>
      </w:pPr>
      <w:hyperlink w:anchor="_Toc69836238" w:history="1">
        <w:r w:rsidR="000B7AE5" w:rsidRPr="000B7AE5">
          <w:rPr>
            <w:rStyle w:val="Hipersaitas"/>
            <w:rFonts w:eastAsia="AngsanaUPC"/>
            <w:noProof/>
            <w:sz w:val="24"/>
            <w:szCs w:val="24"/>
          </w:rPr>
          <w:t>7. SKIRSNIS. UŽ VALDYMĄ, KONTROLĘ IR AUDITĄ ATSAKINGOS INSTITUCIJOS IR BENDRADARBIAVIMAS SU ATITINKAMAIS PARTNERIAIS</w:t>
        </w:r>
        <w:r w:rsidR="000B7AE5" w:rsidRPr="000B7AE5">
          <w:rPr>
            <w:noProof/>
            <w:webHidden/>
            <w:sz w:val="24"/>
            <w:szCs w:val="24"/>
          </w:rPr>
          <w:tab/>
        </w:r>
        <w:r w:rsidR="000B7AE5" w:rsidRPr="000B7AE5">
          <w:rPr>
            <w:noProof/>
            <w:webHidden/>
            <w:sz w:val="24"/>
            <w:szCs w:val="24"/>
          </w:rPr>
          <w:fldChar w:fldCharType="begin"/>
        </w:r>
        <w:r w:rsidR="000B7AE5" w:rsidRPr="000B7AE5">
          <w:rPr>
            <w:noProof/>
            <w:webHidden/>
            <w:sz w:val="24"/>
            <w:szCs w:val="24"/>
          </w:rPr>
          <w:instrText xml:space="preserve"> PAGEREF _Toc69836238 \h </w:instrText>
        </w:r>
        <w:r w:rsidR="000B7AE5" w:rsidRPr="000B7AE5">
          <w:rPr>
            <w:noProof/>
            <w:webHidden/>
            <w:sz w:val="24"/>
            <w:szCs w:val="24"/>
          </w:rPr>
        </w:r>
        <w:r w:rsidR="000B7AE5" w:rsidRPr="000B7AE5">
          <w:rPr>
            <w:noProof/>
            <w:webHidden/>
            <w:sz w:val="24"/>
            <w:szCs w:val="24"/>
          </w:rPr>
          <w:fldChar w:fldCharType="separate"/>
        </w:r>
        <w:r w:rsidR="000B7AE5" w:rsidRPr="000B7AE5">
          <w:rPr>
            <w:noProof/>
            <w:webHidden/>
            <w:sz w:val="24"/>
            <w:szCs w:val="24"/>
          </w:rPr>
          <w:t>223</w:t>
        </w:r>
        <w:r w:rsidR="000B7AE5" w:rsidRPr="000B7AE5">
          <w:rPr>
            <w:noProof/>
            <w:webHidden/>
            <w:sz w:val="24"/>
            <w:szCs w:val="24"/>
          </w:rPr>
          <w:fldChar w:fldCharType="end"/>
        </w:r>
      </w:hyperlink>
    </w:p>
    <w:p w:rsidR="000B7AE5" w:rsidRPr="000B7AE5" w:rsidRDefault="000A7F7A" w:rsidP="000B7AE5">
      <w:pPr>
        <w:pStyle w:val="Turinys1"/>
        <w:spacing w:after="0"/>
        <w:jc w:val="left"/>
        <w:rPr>
          <w:rFonts w:eastAsiaTheme="minorEastAsia"/>
          <w:noProof/>
          <w:sz w:val="24"/>
          <w:szCs w:val="24"/>
          <w:lang w:eastAsia="lt-LT"/>
        </w:rPr>
      </w:pPr>
      <w:hyperlink w:anchor="_Toc69836239" w:history="1">
        <w:r w:rsidR="000B7AE5" w:rsidRPr="000B7AE5">
          <w:rPr>
            <w:rStyle w:val="Hipersaitas"/>
            <w:rFonts w:eastAsia="AngsanaUPC"/>
            <w:noProof/>
            <w:sz w:val="24"/>
            <w:szCs w:val="24"/>
            <w:lang w:eastAsia="lt-LT"/>
          </w:rPr>
          <w:t>8. SKYRIUS. KOORDINAVIMAS TARP FONDŲ, EŽŪFKP, EJRŽF IR KITŲ ES IR NACIONALINIŲ FINANSAVIMO INSTRUMENTŲ BEI EIB</w:t>
        </w:r>
        <w:r w:rsidR="000B7AE5" w:rsidRPr="000B7AE5">
          <w:rPr>
            <w:noProof/>
            <w:webHidden/>
            <w:sz w:val="24"/>
            <w:szCs w:val="24"/>
          </w:rPr>
          <w:tab/>
        </w:r>
        <w:r w:rsidR="000B7AE5" w:rsidRPr="000B7AE5">
          <w:rPr>
            <w:noProof/>
            <w:webHidden/>
            <w:sz w:val="24"/>
            <w:szCs w:val="24"/>
          </w:rPr>
          <w:fldChar w:fldCharType="begin"/>
        </w:r>
        <w:r w:rsidR="000B7AE5" w:rsidRPr="000B7AE5">
          <w:rPr>
            <w:noProof/>
            <w:webHidden/>
            <w:sz w:val="24"/>
            <w:szCs w:val="24"/>
          </w:rPr>
          <w:instrText xml:space="preserve"> PAGEREF _Toc69836239 \h </w:instrText>
        </w:r>
        <w:r w:rsidR="000B7AE5" w:rsidRPr="000B7AE5">
          <w:rPr>
            <w:noProof/>
            <w:webHidden/>
            <w:sz w:val="24"/>
            <w:szCs w:val="24"/>
          </w:rPr>
        </w:r>
        <w:r w:rsidR="000B7AE5" w:rsidRPr="000B7AE5">
          <w:rPr>
            <w:noProof/>
            <w:webHidden/>
            <w:sz w:val="24"/>
            <w:szCs w:val="24"/>
          </w:rPr>
          <w:fldChar w:fldCharType="separate"/>
        </w:r>
        <w:r w:rsidR="000B7AE5" w:rsidRPr="000B7AE5">
          <w:rPr>
            <w:noProof/>
            <w:webHidden/>
            <w:sz w:val="24"/>
            <w:szCs w:val="24"/>
          </w:rPr>
          <w:t>226</w:t>
        </w:r>
        <w:r w:rsidR="000B7AE5" w:rsidRPr="000B7AE5">
          <w:rPr>
            <w:noProof/>
            <w:webHidden/>
            <w:sz w:val="24"/>
            <w:szCs w:val="24"/>
          </w:rPr>
          <w:fldChar w:fldCharType="end"/>
        </w:r>
      </w:hyperlink>
    </w:p>
    <w:p w:rsidR="000B7AE5" w:rsidRPr="000B7AE5" w:rsidRDefault="000A7F7A" w:rsidP="000B7AE5">
      <w:pPr>
        <w:pStyle w:val="Turinys1"/>
        <w:spacing w:after="0"/>
        <w:jc w:val="left"/>
        <w:rPr>
          <w:rFonts w:eastAsiaTheme="minorEastAsia"/>
          <w:noProof/>
          <w:sz w:val="24"/>
          <w:szCs w:val="24"/>
          <w:lang w:eastAsia="lt-LT"/>
        </w:rPr>
      </w:pPr>
      <w:hyperlink w:anchor="_Toc69836240" w:history="1">
        <w:r w:rsidR="000B7AE5" w:rsidRPr="000B7AE5">
          <w:rPr>
            <w:rStyle w:val="Hipersaitas"/>
            <w:rFonts w:eastAsia="AngsanaUPC"/>
            <w:noProof/>
            <w:sz w:val="24"/>
            <w:szCs w:val="24"/>
            <w:lang w:eastAsia="lt-LT"/>
          </w:rPr>
          <w:t xml:space="preserve">9. SKYRIUS. </w:t>
        </w:r>
        <w:r w:rsidR="000B7AE5" w:rsidRPr="000B7AE5">
          <w:rPr>
            <w:rStyle w:val="Hipersaitas"/>
            <w:rFonts w:eastAsia="AngsanaUPC"/>
            <w:i/>
            <w:noProof/>
            <w:sz w:val="24"/>
            <w:szCs w:val="24"/>
            <w:lang w:eastAsia="lt-LT"/>
          </w:rPr>
          <w:t>EX ANTE</w:t>
        </w:r>
        <w:r w:rsidR="000B7AE5" w:rsidRPr="000B7AE5">
          <w:rPr>
            <w:rStyle w:val="Hipersaitas"/>
            <w:rFonts w:eastAsia="AngsanaUPC"/>
            <w:noProof/>
            <w:sz w:val="24"/>
            <w:szCs w:val="24"/>
            <w:lang w:eastAsia="lt-LT"/>
          </w:rPr>
          <w:t xml:space="preserve"> SĄLYGOS</w:t>
        </w:r>
        <w:r w:rsidR="000B7AE5" w:rsidRPr="000B7AE5">
          <w:rPr>
            <w:noProof/>
            <w:webHidden/>
            <w:sz w:val="24"/>
            <w:szCs w:val="24"/>
          </w:rPr>
          <w:tab/>
        </w:r>
        <w:r w:rsidR="000B7AE5" w:rsidRPr="000B7AE5">
          <w:rPr>
            <w:noProof/>
            <w:webHidden/>
            <w:sz w:val="24"/>
            <w:szCs w:val="24"/>
          </w:rPr>
          <w:fldChar w:fldCharType="begin"/>
        </w:r>
        <w:r w:rsidR="000B7AE5" w:rsidRPr="000B7AE5">
          <w:rPr>
            <w:noProof/>
            <w:webHidden/>
            <w:sz w:val="24"/>
            <w:szCs w:val="24"/>
          </w:rPr>
          <w:instrText xml:space="preserve"> PAGEREF _Toc69836240 \h </w:instrText>
        </w:r>
        <w:r w:rsidR="000B7AE5" w:rsidRPr="000B7AE5">
          <w:rPr>
            <w:noProof/>
            <w:webHidden/>
            <w:sz w:val="24"/>
            <w:szCs w:val="24"/>
          </w:rPr>
        </w:r>
        <w:r w:rsidR="000B7AE5" w:rsidRPr="000B7AE5">
          <w:rPr>
            <w:noProof/>
            <w:webHidden/>
            <w:sz w:val="24"/>
            <w:szCs w:val="24"/>
          </w:rPr>
          <w:fldChar w:fldCharType="separate"/>
        </w:r>
        <w:r w:rsidR="000B7AE5" w:rsidRPr="000B7AE5">
          <w:rPr>
            <w:noProof/>
            <w:webHidden/>
            <w:sz w:val="24"/>
            <w:szCs w:val="24"/>
          </w:rPr>
          <w:t>226</w:t>
        </w:r>
        <w:r w:rsidR="000B7AE5" w:rsidRPr="000B7AE5">
          <w:rPr>
            <w:noProof/>
            <w:webHidden/>
            <w:sz w:val="24"/>
            <w:szCs w:val="24"/>
          </w:rPr>
          <w:fldChar w:fldCharType="end"/>
        </w:r>
      </w:hyperlink>
    </w:p>
    <w:p w:rsidR="000B7AE5" w:rsidRPr="000B7AE5" w:rsidRDefault="000A7F7A" w:rsidP="000B7AE5">
      <w:pPr>
        <w:pStyle w:val="Turinys1"/>
        <w:spacing w:after="0"/>
        <w:jc w:val="left"/>
        <w:rPr>
          <w:rFonts w:eastAsiaTheme="minorEastAsia"/>
          <w:noProof/>
          <w:sz w:val="24"/>
          <w:szCs w:val="24"/>
          <w:lang w:eastAsia="lt-LT"/>
        </w:rPr>
      </w:pPr>
      <w:hyperlink w:anchor="_Toc69836241" w:history="1">
        <w:r w:rsidR="000B7AE5" w:rsidRPr="000B7AE5">
          <w:rPr>
            <w:rStyle w:val="Hipersaitas"/>
            <w:rFonts w:eastAsia="AngsanaUPC"/>
            <w:noProof/>
            <w:sz w:val="24"/>
            <w:szCs w:val="24"/>
            <w:lang w:eastAsia="lt-LT"/>
          </w:rPr>
          <w:t>10. SKYRIUS. ADMINISTRACINĖS NAŠTOS SUMAŽINIMAS PARAMOS GAVĖJAMS</w:t>
        </w:r>
        <w:r w:rsidR="000B7AE5" w:rsidRPr="000B7AE5">
          <w:rPr>
            <w:noProof/>
            <w:webHidden/>
            <w:sz w:val="24"/>
            <w:szCs w:val="24"/>
          </w:rPr>
          <w:tab/>
        </w:r>
        <w:r w:rsidR="000B7AE5" w:rsidRPr="000B7AE5">
          <w:rPr>
            <w:noProof/>
            <w:webHidden/>
            <w:sz w:val="24"/>
            <w:szCs w:val="24"/>
          </w:rPr>
          <w:fldChar w:fldCharType="begin"/>
        </w:r>
        <w:r w:rsidR="000B7AE5" w:rsidRPr="000B7AE5">
          <w:rPr>
            <w:noProof/>
            <w:webHidden/>
            <w:sz w:val="24"/>
            <w:szCs w:val="24"/>
          </w:rPr>
          <w:instrText xml:space="preserve"> PAGEREF _Toc69836241 \h </w:instrText>
        </w:r>
        <w:r w:rsidR="000B7AE5" w:rsidRPr="000B7AE5">
          <w:rPr>
            <w:noProof/>
            <w:webHidden/>
            <w:sz w:val="24"/>
            <w:szCs w:val="24"/>
          </w:rPr>
        </w:r>
        <w:r w:rsidR="000B7AE5" w:rsidRPr="000B7AE5">
          <w:rPr>
            <w:noProof/>
            <w:webHidden/>
            <w:sz w:val="24"/>
            <w:szCs w:val="24"/>
          </w:rPr>
          <w:fldChar w:fldCharType="separate"/>
        </w:r>
        <w:r w:rsidR="000B7AE5" w:rsidRPr="000B7AE5">
          <w:rPr>
            <w:noProof/>
            <w:webHidden/>
            <w:sz w:val="24"/>
            <w:szCs w:val="24"/>
          </w:rPr>
          <w:t>226</w:t>
        </w:r>
        <w:r w:rsidR="000B7AE5" w:rsidRPr="000B7AE5">
          <w:rPr>
            <w:noProof/>
            <w:webHidden/>
            <w:sz w:val="24"/>
            <w:szCs w:val="24"/>
          </w:rPr>
          <w:fldChar w:fldCharType="end"/>
        </w:r>
      </w:hyperlink>
    </w:p>
    <w:p w:rsidR="000B7AE5" w:rsidRPr="000B7AE5" w:rsidRDefault="000A7F7A" w:rsidP="000B7AE5">
      <w:pPr>
        <w:pStyle w:val="Turinys1"/>
        <w:spacing w:after="0"/>
        <w:jc w:val="left"/>
        <w:rPr>
          <w:rFonts w:eastAsiaTheme="minorEastAsia"/>
          <w:noProof/>
          <w:sz w:val="24"/>
          <w:szCs w:val="24"/>
          <w:lang w:eastAsia="lt-LT"/>
        </w:rPr>
      </w:pPr>
      <w:hyperlink w:anchor="_Toc69836242" w:history="1">
        <w:r w:rsidR="000B7AE5" w:rsidRPr="000B7AE5">
          <w:rPr>
            <w:rStyle w:val="Hipersaitas"/>
            <w:noProof/>
            <w:sz w:val="24"/>
            <w:szCs w:val="24"/>
          </w:rPr>
          <w:t>11. SKYRIUS. HORIZONTALIEJI PRINCIPAI</w:t>
        </w:r>
        <w:r w:rsidR="000B7AE5" w:rsidRPr="000B7AE5">
          <w:rPr>
            <w:noProof/>
            <w:webHidden/>
            <w:sz w:val="24"/>
            <w:szCs w:val="24"/>
          </w:rPr>
          <w:tab/>
        </w:r>
        <w:r w:rsidR="000B7AE5" w:rsidRPr="000B7AE5">
          <w:rPr>
            <w:noProof/>
            <w:webHidden/>
            <w:sz w:val="24"/>
            <w:szCs w:val="24"/>
          </w:rPr>
          <w:fldChar w:fldCharType="begin"/>
        </w:r>
        <w:r w:rsidR="000B7AE5" w:rsidRPr="000B7AE5">
          <w:rPr>
            <w:noProof/>
            <w:webHidden/>
            <w:sz w:val="24"/>
            <w:szCs w:val="24"/>
          </w:rPr>
          <w:instrText xml:space="preserve"> PAGEREF _Toc69836242 \h </w:instrText>
        </w:r>
        <w:r w:rsidR="000B7AE5" w:rsidRPr="000B7AE5">
          <w:rPr>
            <w:noProof/>
            <w:webHidden/>
            <w:sz w:val="24"/>
            <w:szCs w:val="24"/>
          </w:rPr>
        </w:r>
        <w:r w:rsidR="000B7AE5" w:rsidRPr="000B7AE5">
          <w:rPr>
            <w:noProof/>
            <w:webHidden/>
            <w:sz w:val="24"/>
            <w:szCs w:val="24"/>
          </w:rPr>
          <w:fldChar w:fldCharType="separate"/>
        </w:r>
        <w:r w:rsidR="000B7AE5" w:rsidRPr="000B7AE5">
          <w:rPr>
            <w:noProof/>
            <w:webHidden/>
            <w:sz w:val="24"/>
            <w:szCs w:val="24"/>
          </w:rPr>
          <w:t>226</w:t>
        </w:r>
        <w:r w:rsidR="000B7AE5" w:rsidRPr="000B7AE5">
          <w:rPr>
            <w:noProof/>
            <w:webHidden/>
            <w:sz w:val="24"/>
            <w:szCs w:val="24"/>
          </w:rPr>
          <w:fldChar w:fldCharType="end"/>
        </w:r>
      </w:hyperlink>
    </w:p>
    <w:p w:rsidR="001337A1" w:rsidRPr="006C4570" w:rsidRDefault="00AC72BE" w:rsidP="000B7AE5">
      <w:pPr>
        <w:spacing w:after="0" w:line="240" w:lineRule="auto"/>
        <w:rPr>
          <w:rFonts w:ascii="Times New Roman" w:hAnsi="Times New Roman"/>
          <w:bCs/>
        </w:rPr>
      </w:pPr>
      <w:r w:rsidRPr="000B7AE5">
        <w:rPr>
          <w:rFonts w:ascii="Times New Roman" w:hAnsi="Times New Roman"/>
          <w:bCs/>
          <w:sz w:val="24"/>
          <w:szCs w:val="24"/>
        </w:rPr>
        <w:fldChar w:fldCharType="end"/>
      </w:r>
    </w:p>
    <w:p w:rsidR="003E0F8A" w:rsidRDefault="003E0F8A" w:rsidP="003733EE">
      <w:pPr>
        <w:jc w:val="center"/>
        <w:rPr>
          <w:rFonts w:ascii="Times New Roman" w:hAnsi="Times New Roman"/>
          <w:bCs/>
        </w:rPr>
      </w:pPr>
    </w:p>
    <w:p w:rsidR="003E0F8A" w:rsidRDefault="003E0F8A" w:rsidP="003733EE">
      <w:pPr>
        <w:jc w:val="center"/>
        <w:rPr>
          <w:rFonts w:ascii="Times New Roman" w:hAnsi="Times New Roman"/>
          <w:bCs/>
        </w:rPr>
      </w:pPr>
    </w:p>
    <w:p w:rsidR="003927DE" w:rsidRDefault="003927DE" w:rsidP="003733EE">
      <w:pPr>
        <w:jc w:val="center"/>
        <w:rPr>
          <w:rFonts w:ascii="Times New Roman" w:hAnsi="Times New Roman"/>
          <w:bCs/>
        </w:rPr>
      </w:pPr>
    </w:p>
    <w:p w:rsidR="003E0F8A" w:rsidRPr="003E0F8A" w:rsidRDefault="003E0F8A" w:rsidP="003E0F8A">
      <w:pPr>
        <w:jc w:val="center"/>
        <w:rPr>
          <w:rFonts w:ascii="Times New Roman" w:hAnsi="Times New Roman"/>
          <w:b/>
          <w:bCs/>
          <w:caps/>
          <w:sz w:val="24"/>
        </w:rPr>
      </w:pPr>
      <w:r w:rsidRPr="003E0F8A">
        <w:rPr>
          <w:rFonts w:ascii="Times New Roman" w:hAnsi="Times New Roman"/>
          <w:b/>
          <w:bCs/>
          <w:caps/>
          <w:sz w:val="24"/>
        </w:rPr>
        <w:lastRenderedPageBreak/>
        <w:t>Lentelės</w:t>
      </w:r>
    </w:p>
    <w:p w:rsidR="003E0F8A" w:rsidRPr="003E0F8A" w:rsidRDefault="003E0F8A" w:rsidP="003E0F8A">
      <w:pPr>
        <w:widowControl w:val="0"/>
        <w:tabs>
          <w:tab w:val="left" w:pos="622"/>
        </w:tabs>
        <w:spacing w:after="0" w:line="360" w:lineRule="auto"/>
        <w:jc w:val="both"/>
        <w:rPr>
          <w:rFonts w:ascii="Times New Roman" w:eastAsia="AngsanaUPC" w:hAnsi="Times New Roman"/>
          <w:bCs/>
          <w:iCs/>
          <w:sz w:val="24"/>
          <w:szCs w:val="24"/>
          <w:lang w:eastAsia="lt-LT"/>
        </w:rPr>
      </w:pPr>
      <w:r w:rsidRPr="003E0F8A">
        <w:rPr>
          <w:rFonts w:ascii="Times New Roman" w:eastAsia="AngsanaUPC" w:hAnsi="Times New Roman"/>
          <w:b/>
          <w:bCs/>
          <w:iCs/>
          <w:sz w:val="24"/>
          <w:szCs w:val="24"/>
          <w:lang w:eastAsia="lt-LT"/>
        </w:rPr>
        <w:t>1 lentelė.</w:t>
      </w:r>
      <w:r w:rsidRPr="00706B38">
        <w:rPr>
          <w:rFonts w:ascii="Times New Roman" w:eastAsia="AngsanaUPC" w:hAnsi="Times New Roman"/>
          <w:bCs/>
          <w:iCs/>
          <w:sz w:val="24"/>
          <w:szCs w:val="24"/>
          <w:lang w:eastAsia="lt-LT"/>
        </w:rPr>
        <w:t xml:space="preserve"> </w:t>
      </w:r>
      <w:r w:rsidR="00706B38" w:rsidRPr="00706B38">
        <w:rPr>
          <w:rFonts w:ascii="Times New Roman" w:eastAsia="AngsanaUPC" w:hAnsi="Times New Roman"/>
          <w:bCs/>
          <w:iCs/>
          <w:sz w:val="24"/>
          <w:szCs w:val="24"/>
          <w:lang w:eastAsia="lt-LT"/>
        </w:rPr>
        <w:t>Pasirinktų t</w:t>
      </w:r>
      <w:r w:rsidRPr="003E0F8A">
        <w:rPr>
          <w:rFonts w:ascii="Times New Roman" w:eastAsia="AngsanaUPC" w:hAnsi="Times New Roman"/>
          <w:bCs/>
          <w:iCs/>
          <w:sz w:val="24"/>
          <w:szCs w:val="24"/>
          <w:lang w:eastAsia="lt-LT"/>
        </w:rPr>
        <w:t>eminių tikslų ir investicinių prioritetų pagrindim</w:t>
      </w:r>
      <w:r w:rsidR="00706B38">
        <w:rPr>
          <w:rFonts w:ascii="Times New Roman" w:eastAsia="AngsanaUPC" w:hAnsi="Times New Roman"/>
          <w:bCs/>
          <w:iCs/>
          <w:sz w:val="24"/>
          <w:szCs w:val="24"/>
          <w:lang w:eastAsia="lt-LT"/>
        </w:rPr>
        <w:t>as</w:t>
      </w:r>
    </w:p>
    <w:p w:rsidR="003E0F8A" w:rsidRPr="003E0F8A" w:rsidRDefault="003E0F8A" w:rsidP="003E0F8A">
      <w:pPr>
        <w:widowControl w:val="0"/>
        <w:tabs>
          <w:tab w:val="left" w:pos="622"/>
        </w:tabs>
        <w:spacing w:after="0" w:line="360" w:lineRule="auto"/>
        <w:jc w:val="both"/>
        <w:rPr>
          <w:rFonts w:ascii="Times New Roman" w:eastAsia="AngsanaUPC" w:hAnsi="Times New Roman"/>
          <w:b/>
          <w:bCs/>
          <w:sz w:val="24"/>
          <w:szCs w:val="24"/>
          <w:lang w:eastAsia="lt-LT"/>
        </w:rPr>
      </w:pPr>
      <w:r w:rsidRPr="003E0F8A">
        <w:rPr>
          <w:rFonts w:ascii="Times New Roman" w:eastAsia="AngsanaUPC" w:hAnsi="Times New Roman"/>
          <w:b/>
          <w:bCs/>
          <w:sz w:val="24"/>
          <w:szCs w:val="24"/>
          <w:lang w:eastAsia="lt-LT"/>
        </w:rPr>
        <w:t xml:space="preserve">2 lentelė. </w:t>
      </w:r>
      <w:r w:rsidR="00706B38" w:rsidRPr="00706B38">
        <w:rPr>
          <w:rFonts w:ascii="Times New Roman" w:eastAsia="AngsanaUPC" w:hAnsi="Times New Roman"/>
          <w:bCs/>
          <w:sz w:val="24"/>
          <w:szCs w:val="24"/>
          <w:lang w:eastAsia="lt-LT"/>
        </w:rPr>
        <w:t>Veiksmų p</w:t>
      </w:r>
      <w:r w:rsidRPr="003E0F8A">
        <w:rPr>
          <w:rFonts w:ascii="Times New Roman" w:eastAsia="AngsanaUPC" w:hAnsi="Times New Roman"/>
          <w:bCs/>
          <w:sz w:val="24"/>
          <w:szCs w:val="24"/>
          <w:lang w:eastAsia="lt-LT"/>
        </w:rPr>
        <w:t>rogramos investavimo strategijos apžvalga</w:t>
      </w:r>
    </w:p>
    <w:p w:rsidR="003E0F8A" w:rsidRPr="003E0F8A" w:rsidRDefault="003E0F8A" w:rsidP="003E0F8A">
      <w:pPr>
        <w:widowControl w:val="0"/>
        <w:tabs>
          <w:tab w:val="left" w:pos="622"/>
        </w:tabs>
        <w:spacing w:after="0" w:line="360" w:lineRule="auto"/>
        <w:jc w:val="both"/>
        <w:rPr>
          <w:rFonts w:ascii="Times New Roman" w:eastAsia="AngsanaUPC" w:hAnsi="Times New Roman"/>
          <w:bCs/>
          <w:sz w:val="24"/>
          <w:szCs w:val="24"/>
          <w:lang w:eastAsia="lt-LT"/>
        </w:rPr>
      </w:pPr>
      <w:r w:rsidRPr="003E0F8A">
        <w:rPr>
          <w:rFonts w:ascii="Times New Roman" w:eastAsia="AngsanaUPC" w:hAnsi="Times New Roman"/>
          <w:b/>
          <w:bCs/>
          <w:sz w:val="24"/>
          <w:szCs w:val="24"/>
          <w:lang w:eastAsia="lt-LT"/>
        </w:rPr>
        <w:t xml:space="preserve">3 lentelė. </w:t>
      </w:r>
      <w:r w:rsidRPr="003E0F8A">
        <w:rPr>
          <w:rFonts w:ascii="Times New Roman" w:eastAsia="AngsanaUPC" w:hAnsi="Times New Roman"/>
          <w:bCs/>
          <w:sz w:val="24"/>
          <w:szCs w:val="24"/>
          <w:lang w:eastAsia="lt-LT"/>
        </w:rPr>
        <w:t>Bendra finansinių asignavimų suma numatyta pagal kiekvieną fondą</w:t>
      </w:r>
    </w:p>
    <w:p w:rsidR="003E0F8A" w:rsidRPr="003E0F8A" w:rsidRDefault="003E0F8A" w:rsidP="003E0F8A">
      <w:pPr>
        <w:widowControl w:val="0"/>
        <w:tabs>
          <w:tab w:val="left" w:pos="622"/>
        </w:tabs>
        <w:spacing w:after="0" w:line="360" w:lineRule="auto"/>
        <w:jc w:val="both"/>
        <w:rPr>
          <w:rFonts w:ascii="Times New Roman" w:eastAsia="AngsanaUPC" w:hAnsi="Times New Roman"/>
          <w:b/>
          <w:bCs/>
          <w:sz w:val="24"/>
          <w:szCs w:val="24"/>
          <w:lang w:eastAsia="lt-LT"/>
        </w:rPr>
      </w:pPr>
      <w:r w:rsidRPr="003E0F8A">
        <w:rPr>
          <w:rFonts w:ascii="Times New Roman" w:eastAsia="AngsanaUPC" w:hAnsi="Times New Roman"/>
          <w:b/>
          <w:bCs/>
          <w:sz w:val="24"/>
          <w:szCs w:val="24"/>
          <w:lang w:eastAsia="lt-LT"/>
        </w:rPr>
        <w:t xml:space="preserve">4 lentelė. </w:t>
      </w:r>
      <w:r w:rsidRPr="003E0F8A">
        <w:rPr>
          <w:rFonts w:ascii="Times New Roman" w:eastAsia="AngsanaUPC" w:hAnsi="Times New Roman"/>
          <w:bCs/>
          <w:sz w:val="24"/>
          <w:szCs w:val="24"/>
          <w:lang w:eastAsia="lt-LT"/>
        </w:rPr>
        <w:t>Veiksmų programos finansavimo planas</w:t>
      </w:r>
    </w:p>
    <w:p w:rsidR="003E0F8A" w:rsidRPr="003E0F8A" w:rsidRDefault="003E0F8A" w:rsidP="003E0F8A">
      <w:pPr>
        <w:widowControl w:val="0"/>
        <w:tabs>
          <w:tab w:val="left" w:pos="622"/>
        </w:tabs>
        <w:spacing w:after="0" w:line="360" w:lineRule="auto"/>
        <w:jc w:val="both"/>
        <w:rPr>
          <w:rFonts w:ascii="Times New Roman" w:eastAsia="AngsanaUPC" w:hAnsi="Times New Roman"/>
          <w:b/>
          <w:bCs/>
          <w:sz w:val="24"/>
          <w:szCs w:val="24"/>
          <w:lang w:eastAsia="lt-LT"/>
        </w:rPr>
      </w:pPr>
      <w:r w:rsidRPr="003E0F8A">
        <w:rPr>
          <w:rFonts w:ascii="Times New Roman" w:eastAsia="AngsanaUPC" w:hAnsi="Times New Roman"/>
          <w:b/>
          <w:bCs/>
          <w:sz w:val="24"/>
          <w:szCs w:val="24"/>
          <w:lang w:eastAsia="lt-LT"/>
        </w:rPr>
        <w:t xml:space="preserve">5 lentelė. </w:t>
      </w:r>
      <w:r w:rsidRPr="003E0F8A">
        <w:rPr>
          <w:rFonts w:ascii="Times New Roman" w:eastAsia="AngsanaUPC" w:hAnsi="Times New Roman"/>
          <w:bCs/>
          <w:sz w:val="24"/>
          <w:szCs w:val="24"/>
          <w:lang w:eastAsia="lt-LT"/>
        </w:rPr>
        <w:t xml:space="preserve">Jaunimo </w:t>
      </w:r>
      <w:r w:rsidR="00706B38">
        <w:rPr>
          <w:rFonts w:ascii="Times New Roman" w:eastAsia="AngsanaUPC" w:hAnsi="Times New Roman"/>
          <w:bCs/>
          <w:sz w:val="24"/>
          <w:szCs w:val="24"/>
          <w:lang w:eastAsia="lt-LT"/>
        </w:rPr>
        <w:t>užimtumo iniciatyva. ESF ir specialūs asignavimai JUI</w:t>
      </w:r>
    </w:p>
    <w:p w:rsidR="003E0F8A" w:rsidRPr="003E0F8A" w:rsidRDefault="003E0F8A" w:rsidP="003E0F8A">
      <w:pPr>
        <w:widowControl w:val="0"/>
        <w:tabs>
          <w:tab w:val="left" w:pos="622"/>
        </w:tabs>
        <w:spacing w:after="0" w:line="360" w:lineRule="auto"/>
        <w:jc w:val="both"/>
        <w:rPr>
          <w:rFonts w:ascii="Times New Roman" w:eastAsia="AngsanaUPC" w:hAnsi="Times New Roman"/>
          <w:bCs/>
          <w:sz w:val="24"/>
          <w:szCs w:val="24"/>
          <w:lang w:eastAsia="lt-LT"/>
        </w:rPr>
      </w:pPr>
      <w:r w:rsidRPr="003E0F8A">
        <w:rPr>
          <w:rFonts w:ascii="Times New Roman" w:eastAsia="AngsanaUPC" w:hAnsi="Times New Roman"/>
          <w:b/>
          <w:bCs/>
          <w:sz w:val="24"/>
          <w:szCs w:val="24"/>
          <w:lang w:eastAsia="lt-LT"/>
        </w:rPr>
        <w:t xml:space="preserve">6 lentelė. </w:t>
      </w:r>
      <w:r w:rsidRPr="003E0F8A">
        <w:rPr>
          <w:rFonts w:ascii="Times New Roman" w:eastAsia="AngsanaUPC" w:hAnsi="Times New Roman"/>
          <w:bCs/>
          <w:sz w:val="24"/>
          <w:szCs w:val="24"/>
          <w:lang w:eastAsia="lt-LT"/>
        </w:rPr>
        <w:t>Veiksmų programos finansavimo planas pagal prioritetus</w:t>
      </w:r>
    </w:p>
    <w:p w:rsidR="003E0F8A" w:rsidRPr="003E0F8A" w:rsidRDefault="003E0F8A" w:rsidP="003E0F8A">
      <w:pPr>
        <w:widowControl w:val="0"/>
        <w:tabs>
          <w:tab w:val="left" w:pos="622"/>
        </w:tabs>
        <w:spacing w:after="0" w:line="360" w:lineRule="auto"/>
        <w:jc w:val="both"/>
        <w:rPr>
          <w:rFonts w:ascii="Times New Roman" w:eastAsia="AngsanaUPC" w:hAnsi="Times New Roman"/>
          <w:bCs/>
          <w:sz w:val="24"/>
          <w:szCs w:val="24"/>
          <w:lang w:eastAsia="lt-LT"/>
        </w:rPr>
      </w:pPr>
      <w:r w:rsidRPr="003E0F8A">
        <w:rPr>
          <w:rFonts w:ascii="Times New Roman" w:eastAsia="AngsanaUPC" w:hAnsi="Times New Roman"/>
          <w:b/>
          <w:bCs/>
          <w:sz w:val="24"/>
          <w:szCs w:val="24"/>
          <w:lang w:eastAsia="lt-LT"/>
        </w:rPr>
        <w:t xml:space="preserve">7 lentelė. </w:t>
      </w:r>
      <w:r w:rsidRPr="003E0F8A">
        <w:rPr>
          <w:rFonts w:ascii="Times New Roman" w:eastAsia="AngsanaUPC" w:hAnsi="Times New Roman"/>
          <w:bCs/>
          <w:sz w:val="24"/>
          <w:szCs w:val="24"/>
          <w:lang w:eastAsia="lt-LT"/>
        </w:rPr>
        <w:t>Planuojama suma klimato kaitos tikslams</w:t>
      </w:r>
    </w:p>
    <w:p w:rsidR="003E0F8A" w:rsidRPr="003E0F8A" w:rsidRDefault="003E0F8A" w:rsidP="003E0F8A">
      <w:pPr>
        <w:spacing w:after="0"/>
        <w:jc w:val="both"/>
        <w:rPr>
          <w:rFonts w:ascii="Times New Roman" w:hAnsi="Times New Roman"/>
          <w:b/>
          <w:sz w:val="24"/>
          <w:szCs w:val="24"/>
        </w:rPr>
      </w:pPr>
      <w:r w:rsidRPr="003E0F8A">
        <w:rPr>
          <w:rFonts w:ascii="Times New Roman" w:hAnsi="Times New Roman"/>
          <w:b/>
          <w:sz w:val="24"/>
          <w:szCs w:val="24"/>
        </w:rPr>
        <w:t xml:space="preserve">8 lentelė. </w:t>
      </w:r>
      <w:r w:rsidRPr="003E0F8A">
        <w:rPr>
          <w:rFonts w:ascii="Times New Roman" w:hAnsi="Times New Roman"/>
          <w:sz w:val="24"/>
          <w:szCs w:val="24"/>
        </w:rPr>
        <w:t xml:space="preserve">Preliminarus ERPF </w:t>
      </w:r>
      <w:r w:rsidR="00706B38">
        <w:rPr>
          <w:rFonts w:ascii="Times New Roman" w:hAnsi="Times New Roman"/>
          <w:sz w:val="24"/>
          <w:szCs w:val="24"/>
        </w:rPr>
        <w:t xml:space="preserve">ir </w:t>
      </w:r>
      <w:r w:rsidRPr="003E0F8A">
        <w:rPr>
          <w:rFonts w:ascii="Times New Roman" w:hAnsi="Times New Roman"/>
          <w:sz w:val="24"/>
          <w:szCs w:val="24"/>
        </w:rPr>
        <w:t>ESF paramos paskirstymas integruotiems veiksmams</w:t>
      </w:r>
    </w:p>
    <w:p w:rsidR="003E0F8A" w:rsidRPr="003E0F8A" w:rsidRDefault="003E0F8A" w:rsidP="003E0F8A">
      <w:pPr>
        <w:pStyle w:val="Text2"/>
        <w:spacing w:before="120" w:after="0" w:line="360" w:lineRule="auto"/>
        <w:ind w:left="993" w:hanging="993"/>
        <w:rPr>
          <w:b/>
          <w:szCs w:val="24"/>
          <w:lang w:val="lt-LT"/>
        </w:rPr>
      </w:pPr>
      <w:r w:rsidRPr="003E0F8A">
        <w:rPr>
          <w:b/>
          <w:szCs w:val="24"/>
          <w:lang w:val="lt-LT"/>
        </w:rPr>
        <w:t xml:space="preserve">9 lentelė. </w:t>
      </w:r>
      <w:r w:rsidRPr="003E0F8A">
        <w:rPr>
          <w:szCs w:val="24"/>
          <w:lang w:val="lt-LT"/>
        </w:rPr>
        <w:t>Preliminarus paramos paskirstymas ITI išskyrus nurodytą 4.2 dalyje (bendra suma)</w:t>
      </w:r>
      <w:r w:rsidRPr="003E0F8A">
        <w:rPr>
          <w:b/>
          <w:szCs w:val="24"/>
          <w:lang w:val="lt-LT"/>
        </w:rPr>
        <w:t xml:space="preserve"> </w:t>
      </w:r>
    </w:p>
    <w:p w:rsidR="003E0F8A" w:rsidRPr="003E0F8A" w:rsidRDefault="003E0F8A" w:rsidP="003E0F8A">
      <w:pPr>
        <w:widowControl w:val="0"/>
        <w:tabs>
          <w:tab w:val="left" w:pos="622"/>
        </w:tabs>
        <w:spacing w:after="0" w:line="360" w:lineRule="auto"/>
        <w:ind w:right="119"/>
        <w:jc w:val="both"/>
        <w:rPr>
          <w:rFonts w:ascii="Times New Roman" w:eastAsia="AngsanaUPC" w:hAnsi="Times New Roman"/>
          <w:b/>
          <w:bCs/>
          <w:sz w:val="24"/>
          <w:szCs w:val="24"/>
          <w:lang w:eastAsia="lt-LT"/>
        </w:rPr>
      </w:pPr>
      <w:r w:rsidRPr="003E0F8A">
        <w:rPr>
          <w:rFonts w:ascii="Times New Roman" w:eastAsia="AngsanaUPC" w:hAnsi="Times New Roman"/>
          <w:b/>
          <w:bCs/>
          <w:sz w:val="24"/>
          <w:szCs w:val="24"/>
          <w:lang w:eastAsia="lt-LT"/>
        </w:rPr>
        <w:t xml:space="preserve">10 lentelė. </w:t>
      </w:r>
      <w:r w:rsidRPr="003E0F8A">
        <w:rPr>
          <w:rFonts w:ascii="Times New Roman" w:eastAsia="AngsanaUPC" w:hAnsi="Times New Roman"/>
          <w:bCs/>
          <w:sz w:val="24"/>
          <w:szCs w:val="24"/>
          <w:lang w:eastAsia="lt-LT"/>
        </w:rPr>
        <w:t>Atsakingos institucijos ir kontaktiniai asmenys</w:t>
      </w:r>
    </w:p>
    <w:p w:rsidR="003E0F8A" w:rsidRDefault="003E0F8A" w:rsidP="003733EE">
      <w:pPr>
        <w:jc w:val="center"/>
        <w:rPr>
          <w:rFonts w:ascii="Times New Roman" w:hAnsi="Times New Roman"/>
          <w:bCs/>
        </w:rPr>
      </w:pPr>
    </w:p>
    <w:p w:rsidR="003E0F8A" w:rsidRDefault="003E0F8A" w:rsidP="003733EE">
      <w:pPr>
        <w:jc w:val="center"/>
        <w:rPr>
          <w:rFonts w:ascii="Times New Roman" w:hAnsi="Times New Roman"/>
          <w:bCs/>
        </w:rPr>
      </w:pPr>
    </w:p>
    <w:p w:rsidR="003E0F8A" w:rsidRPr="003E0F8A" w:rsidRDefault="003E0F8A" w:rsidP="003733EE">
      <w:pPr>
        <w:jc w:val="center"/>
        <w:rPr>
          <w:rFonts w:ascii="Times New Roman" w:hAnsi="Times New Roman"/>
          <w:b/>
          <w:bCs/>
          <w:caps/>
          <w:sz w:val="24"/>
        </w:rPr>
      </w:pPr>
    </w:p>
    <w:p w:rsidR="003E0F8A" w:rsidRDefault="003E0F8A" w:rsidP="003733EE">
      <w:pPr>
        <w:jc w:val="center"/>
        <w:rPr>
          <w:rFonts w:ascii="Times New Roman" w:hAnsi="Times New Roman"/>
          <w:b/>
          <w:bCs/>
          <w:caps/>
          <w:sz w:val="24"/>
        </w:rPr>
      </w:pPr>
      <w:r w:rsidRPr="003E0F8A">
        <w:rPr>
          <w:rFonts w:ascii="Times New Roman" w:hAnsi="Times New Roman"/>
          <w:b/>
          <w:bCs/>
          <w:caps/>
          <w:sz w:val="24"/>
        </w:rPr>
        <w:t>PAVEIKSLAI</w:t>
      </w:r>
    </w:p>
    <w:p w:rsidR="003E0F8A" w:rsidRPr="003E0F8A" w:rsidRDefault="00706B38" w:rsidP="003E0F8A">
      <w:pPr>
        <w:spacing w:after="0" w:line="240" w:lineRule="auto"/>
        <w:jc w:val="both"/>
        <w:rPr>
          <w:rFonts w:ascii="Times New Roman" w:hAnsi="Times New Roman"/>
          <w:b/>
          <w:sz w:val="24"/>
          <w:szCs w:val="24"/>
        </w:rPr>
      </w:pPr>
      <w:r>
        <w:rPr>
          <w:rFonts w:ascii="Times New Roman" w:hAnsi="Times New Roman"/>
          <w:b/>
          <w:sz w:val="24"/>
          <w:szCs w:val="24"/>
        </w:rPr>
        <w:t>1</w:t>
      </w:r>
      <w:r w:rsidR="003E0F8A" w:rsidRPr="003E0F8A">
        <w:rPr>
          <w:rFonts w:ascii="Times New Roman" w:hAnsi="Times New Roman"/>
          <w:b/>
          <w:sz w:val="24"/>
          <w:szCs w:val="24"/>
        </w:rPr>
        <w:t xml:space="preserve"> pav. </w:t>
      </w:r>
      <w:r w:rsidR="003E0F8A" w:rsidRPr="003E0F8A">
        <w:rPr>
          <w:rFonts w:ascii="Times New Roman" w:hAnsi="Times New Roman"/>
          <w:sz w:val="24"/>
          <w:szCs w:val="24"/>
        </w:rPr>
        <w:t>ITI įgyvendinimo schema</w:t>
      </w:r>
    </w:p>
    <w:p w:rsidR="003E0F8A" w:rsidRPr="00574786" w:rsidRDefault="003E0F8A" w:rsidP="003E0F8A">
      <w:pPr>
        <w:autoSpaceDE w:val="0"/>
        <w:autoSpaceDN w:val="0"/>
        <w:adjustRightInd w:val="0"/>
        <w:spacing w:after="120" w:line="240" w:lineRule="auto"/>
        <w:ind w:firstLine="1276"/>
        <w:jc w:val="both"/>
        <w:rPr>
          <w:rFonts w:ascii="Times New Roman" w:hAnsi="Times New Roman"/>
          <w:bCs/>
          <w:sz w:val="20"/>
          <w:szCs w:val="24"/>
        </w:rPr>
      </w:pPr>
    </w:p>
    <w:p w:rsidR="003733EE" w:rsidRDefault="001337A1" w:rsidP="003733EE">
      <w:pPr>
        <w:jc w:val="center"/>
        <w:rPr>
          <w:rFonts w:ascii="Times New Roman" w:hAnsi="Times New Roman"/>
          <w:caps/>
          <w:sz w:val="24"/>
          <w:szCs w:val="24"/>
        </w:rPr>
      </w:pPr>
      <w:r w:rsidRPr="006C4570">
        <w:rPr>
          <w:rFonts w:ascii="Times New Roman" w:hAnsi="Times New Roman"/>
          <w:bCs/>
        </w:rPr>
        <w:br w:type="page"/>
      </w:r>
      <w:r w:rsidR="003733EE" w:rsidRPr="002232B7">
        <w:rPr>
          <w:rFonts w:ascii="Times New Roman" w:hAnsi="Times New Roman"/>
          <w:caps/>
          <w:sz w:val="24"/>
          <w:szCs w:val="24"/>
        </w:rPr>
        <w:lastRenderedPageBreak/>
        <w:t>Naudojamos santrumpos ir terminai</w:t>
      </w:r>
    </w:p>
    <w:p w:rsidR="003733EE" w:rsidRPr="002232B7" w:rsidRDefault="003733EE" w:rsidP="003733EE">
      <w:pPr>
        <w:jc w:val="center"/>
        <w:rPr>
          <w:rFonts w:ascii="Times New Roman" w:hAnsi="Times New Roman"/>
          <w:caps/>
          <w:sz w:val="24"/>
          <w:szCs w:val="24"/>
        </w:rPr>
      </w:pPr>
    </w:p>
    <w:p w:rsidR="00D81B6B" w:rsidRPr="00564B2A" w:rsidRDefault="00D81B6B" w:rsidP="00EC3A8B">
      <w:pPr>
        <w:spacing w:after="0" w:line="240" w:lineRule="auto"/>
        <w:rPr>
          <w:rFonts w:ascii="Times New Roman" w:hAnsi="Times New Roman"/>
          <w:sz w:val="24"/>
          <w:szCs w:val="24"/>
        </w:rPr>
      </w:pPr>
      <w:r w:rsidRPr="00564B2A">
        <w:rPr>
          <w:rFonts w:ascii="Times New Roman" w:hAnsi="Times New Roman"/>
          <w:sz w:val="24"/>
          <w:szCs w:val="24"/>
        </w:rPr>
        <w:t>ADRP – aktyvios darbo rinkos politika</w:t>
      </w:r>
    </w:p>
    <w:p w:rsidR="00D81B6B" w:rsidRPr="00564B2A" w:rsidRDefault="00D06E09" w:rsidP="00EC3A8B">
      <w:pPr>
        <w:spacing w:after="0" w:line="240" w:lineRule="auto"/>
        <w:rPr>
          <w:rFonts w:ascii="Times New Roman" w:hAnsi="Times New Roman"/>
          <w:sz w:val="24"/>
          <w:szCs w:val="24"/>
        </w:rPr>
      </w:pPr>
      <w:r>
        <w:rPr>
          <w:rFonts w:ascii="Times New Roman" w:hAnsi="Times New Roman"/>
          <w:sz w:val="24"/>
          <w:szCs w:val="24"/>
        </w:rPr>
        <w:t>AIE – atsinaujinančių</w:t>
      </w:r>
      <w:r w:rsidR="00D81B6B" w:rsidRPr="00564B2A">
        <w:rPr>
          <w:rFonts w:ascii="Times New Roman" w:hAnsi="Times New Roman"/>
          <w:sz w:val="24"/>
          <w:szCs w:val="24"/>
        </w:rPr>
        <w:t xml:space="preserve"> </w:t>
      </w:r>
      <w:r>
        <w:rPr>
          <w:rFonts w:ascii="Times New Roman" w:hAnsi="Times New Roman"/>
          <w:sz w:val="24"/>
          <w:szCs w:val="24"/>
        </w:rPr>
        <w:t>išteklių</w:t>
      </w:r>
      <w:r w:rsidRPr="00564B2A">
        <w:rPr>
          <w:rFonts w:ascii="Times New Roman" w:hAnsi="Times New Roman"/>
          <w:sz w:val="24"/>
          <w:szCs w:val="24"/>
        </w:rPr>
        <w:t xml:space="preserve"> </w:t>
      </w:r>
      <w:r>
        <w:rPr>
          <w:rFonts w:ascii="Times New Roman" w:hAnsi="Times New Roman"/>
          <w:sz w:val="24"/>
          <w:szCs w:val="24"/>
        </w:rPr>
        <w:t>energija</w:t>
      </w:r>
      <w:r w:rsidR="00D81B6B" w:rsidRPr="00564B2A">
        <w:rPr>
          <w:rFonts w:ascii="Times New Roman" w:hAnsi="Times New Roman"/>
          <w:sz w:val="24"/>
          <w:szCs w:val="24"/>
        </w:rPr>
        <w:t xml:space="preserve"> </w:t>
      </w:r>
    </w:p>
    <w:p w:rsidR="00D81B6B" w:rsidRPr="00564B2A" w:rsidRDefault="00D81B6B" w:rsidP="00EC3A8B">
      <w:pPr>
        <w:spacing w:after="0" w:line="240" w:lineRule="auto"/>
        <w:rPr>
          <w:rFonts w:ascii="Times New Roman" w:hAnsi="Times New Roman"/>
          <w:sz w:val="24"/>
          <w:szCs w:val="24"/>
        </w:rPr>
      </w:pPr>
      <w:r w:rsidRPr="00564B2A">
        <w:rPr>
          <w:rFonts w:ascii="Times New Roman" w:hAnsi="Times New Roman"/>
          <w:sz w:val="24"/>
          <w:szCs w:val="24"/>
        </w:rPr>
        <w:t>BIVP – bendruomenės inicijuota vietos plėtra</w:t>
      </w:r>
    </w:p>
    <w:p w:rsidR="00D81B6B" w:rsidRPr="00564B2A" w:rsidRDefault="00D81B6B" w:rsidP="00EC3A8B">
      <w:pPr>
        <w:spacing w:after="0" w:line="240" w:lineRule="auto"/>
        <w:rPr>
          <w:rFonts w:ascii="Times New Roman" w:hAnsi="Times New Roman"/>
          <w:sz w:val="24"/>
          <w:szCs w:val="24"/>
        </w:rPr>
      </w:pPr>
      <w:r w:rsidRPr="00564B2A">
        <w:rPr>
          <w:rFonts w:ascii="Times New Roman" w:hAnsi="Times New Roman"/>
          <w:sz w:val="24"/>
          <w:szCs w:val="24"/>
        </w:rPr>
        <w:t>BVP – bendrasis vidaus produktas</w:t>
      </w:r>
    </w:p>
    <w:p w:rsidR="00D81B6B" w:rsidRDefault="00D81B6B" w:rsidP="00EC3A8B">
      <w:pPr>
        <w:spacing w:after="0" w:line="240" w:lineRule="auto"/>
        <w:rPr>
          <w:rFonts w:ascii="Times New Roman" w:eastAsia="AngsanaUPC" w:hAnsi="Times New Roman"/>
          <w:bCs/>
          <w:iCs/>
          <w:sz w:val="24"/>
          <w:szCs w:val="24"/>
          <w:lang w:eastAsia="lt-LT"/>
        </w:rPr>
      </w:pPr>
      <w:r>
        <w:rPr>
          <w:rFonts w:ascii="Times New Roman" w:eastAsia="AngsanaUPC" w:hAnsi="Times New Roman"/>
          <w:bCs/>
          <w:sz w:val="24"/>
          <w:szCs w:val="24"/>
          <w:lang w:eastAsia="lt-LT"/>
        </w:rPr>
        <w:t>DPT – d</w:t>
      </w:r>
      <w:r>
        <w:rPr>
          <w:rFonts w:ascii="Times New Roman" w:eastAsia="AngsanaUPC" w:hAnsi="Times New Roman"/>
          <w:bCs/>
          <w:iCs/>
          <w:sz w:val="24"/>
          <w:szCs w:val="24"/>
          <w:lang w:eastAsia="lt-LT"/>
        </w:rPr>
        <w:t>idelio poveikio technologijos</w:t>
      </w:r>
    </w:p>
    <w:p w:rsidR="00D81B6B" w:rsidRDefault="00D81B6B" w:rsidP="00EC3A8B">
      <w:pPr>
        <w:spacing w:after="0" w:line="240" w:lineRule="auto"/>
        <w:rPr>
          <w:rFonts w:ascii="Times New Roman" w:hAnsi="Times New Roman"/>
          <w:sz w:val="24"/>
          <w:szCs w:val="24"/>
        </w:rPr>
      </w:pPr>
      <w:r>
        <w:rPr>
          <w:rFonts w:ascii="Times New Roman" w:hAnsi="Times New Roman"/>
          <w:sz w:val="24"/>
          <w:szCs w:val="24"/>
        </w:rPr>
        <w:t>EIB – Europos investicijų bankas</w:t>
      </w:r>
    </w:p>
    <w:p w:rsidR="00D81B6B" w:rsidRPr="00CC1EA7" w:rsidRDefault="00D81B6B" w:rsidP="00EC3A8B">
      <w:pPr>
        <w:spacing w:after="0" w:line="240" w:lineRule="auto"/>
        <w:jc w:val="both"/>
        <w:rPr>
          <w:rFonts w:ascii="Times New Roman" w:hAnsi="Times New Roman"/>
          <w:sz w:val="24"/>
          <w:szCs w:val="24"/>
        </w:rPr>
      </w:pPr>
      <w:r w:rsidRPr="00CC1EA7">
        <w:rPr>
          <w:rFonts w:ascii="Times New Roman" w:hAnsi="Times New Roman"/>
          <w:sz w:val="24"/>
          <w:szCs w:val="24"/>
        </w:rPr>
        <w:t>EJRŽF – Europos jūrų reikalų ir žuvininkystės fondas</w:t>
      </w:r>
    </w:p>
    <w:p w:rsidR="00D81B6B" w:rsidRDefault="00D81B6B" w:rsidP="00EC3A8B">
      <w:pPr>
        <w:spacing w:after="0" w:line="240" w:lineRule="auto"/>
        <w:rPr>
          <w:rFonts w:ascii="Times New Roman" w:hAnsi="Times New Roman"/>
          <w:sz w:val="24"/>
          <w:szCs w:val="24"/>
        </w:rPr>
      </w:pPr>
      <w:r>
        <w:rPr>
          <w:rFonts w:ascii="Times New Roman" w:hAnsi="Times New Roman"/>
          <w:sz w:val="24"/>
          <w:szCs w:val="24"/>
        </w:rPr>
        <w:t>EK – Europos Komisija</w:t>
      </w:r>
    </w:p>
    <w:p w:rsidR="00D81B6B" w:rsidRPr="00CC1EA7" w:rsidRDefault="00D81B6B" w:rsidP="00EC3A8B">
      <w:pPr>
        <w:spacing w:after="0" w:line="240" w:lineRule="auto"/>
        <w:jc w:val="both"/>
        <w:rPr>
          <w:rFonts w:ascii="Times New Roman" w:hAnsi="Times New Roman"/>
          <w:sz w:val="24"/>
          <w:szCs w:val="24"/>
        </w:rPr>
      </w:pPr>
      <w:r w:rsidRPr="00CC1EA7">
        <w:rPr>
          <w:rFonts w:ascii="Times New Roman" w:hAnsi="Times New Roman"/>
          <w:sz w:val="24"/>
          <w:szCs w:val="24"/>
        </w:rPr>
        <w:t>ERPF – Europos regioninės plėtros fondas</w:t>
      </w:r>
    </w:p>
    <w:p w:rsidR="00D81B6B" w:rsidRPr="00CC1EA7" w:rsidRDefault="00D81B6B" w:rsidP="00EC3A8B">
      <w:pPr>
        <w:spacing w:after="0" w:line="240" w:lineRule="auto"/>
        <w:jc w:val="both"/>
        <w:rPr>
          <w:rFonts w:ascii="Times New Roman" w:hAnsi="Times New Roman"/>
          <w:sz w:val="24"/>
          <w:szCs w:val="24"/>
        </w:rPr>
      </w:pPr>
      <w:r w:rsidRPr="00CC1EA7">
        <w:rPr>
          <w:rFonts w:ascii="Times New Roman" w:hAnsi="Times New Roman"/>
          <w:sz w:val="24"/>
          <w:szCs w:val="24"/>
        </w:rPr>
        <w:t>ES – Europos Sąjunga</w:t>
      </w:r>
    </w:p>
    <w:p w:rsidR="00D81B6B" w:rsidRPr="00CC1EA7" w:rsidRDefault="00D81B6B" w:rsidP="00EC3A8B">
      <w:pPr>
        <w:spacing w:after="0" w:line="240" w:lineRule="auto"/>
        <w:rPr>
          <w:rFonts w:ascii="Times New Roman" w:hAnsi="Times New Roman"/>
          <w:sz w:val="24"/>
          <w:szCs w:val="24"/>
        </w:rPr>
      </w:pPr>
      <w:r w:rsidRPr="00CC1EA7">
        <w:rPr>
          <w:rFonts w:ascii="Times New Roman" w:hAnsi="Times New Roman"/>
          <w:sz w:val="24"/>
          <w:szCs w:val="24"/>
        </w:rPr>
        <w:t>ES BJRS – Europos Sąjungos Baltijos jūros regiono strategija</w:t>
      </w:r>
    </w:p>
    <w:p w:rsidR="00D81B6B" w:rsidRDefault="00D81B6B" w:rsidP="00EC3A8B">
      <w:pPr>
        <w:spacing w:after="0" w:line="240" w:lineRule="auto"/>
        <w:jc w:val="both"/>
        <w:rPr>
          <w:rFonts w:ascii="Times New Roman" w:hAnsi="Times New Roman"/>
          <w:sz w:val="24"/>
          <w:szCs w:val="24"/>
        </w:rPr>
      </w:pPr>
      <w:r w:rsidRPr="00CC1EA7">
        <w:rPr>
          <w:rFonts w:ascii="Times New Roman" w:hAnsi="Times New Roman"/>
          <w:sz w:val="24"/>
          <w:szCs w:val="24"/>
        </w:rPr>
        <w:t>ESF – Europos socialinis fondas</w:t>
      </w:r>
    </w:p>
    <w:p w:rsidR="00D45648" w:rsidRDefault="00AE6C76" w:rsidP="00EC3A8B">
      <w:pPr>
        <w:spacing w:after="0" w:line="240" w:lineRule="auto"/>
        <w:rPr>
          <w:rFonts w:ascii="Times New Roman" w:hAnsi="Times New Roman"/>
          <w:sz w:val="24"/>
          <w:szCs w:val="24"/>
        </w:rPr>
      </w:pPr>
      <w:r>
        <w:rPr>
          <w:rFonts w:ascii="Times New Roman" w:hAnsi="Times New Roman"/>
          <w:sz w:val="24"/>
          <w:szCs w:val="24"/>
        </w:rPr>
        <w:t>ES fondai – ESF, ERPF ir SaF</w:t>
      </w:r>
    </w:p>
    <w:p w:rsidR="00D81B6B" w:rsidRDefault="00D81B6B" w:rsidP="00EC3A8B">
      <w:pPr>
        <w:spacing w:after="0" w:line="240" w:lineRule="auto"/>
        <w:rPr>
          <w:rFonts w:ascii="Times New Roman" w:hAnsi="Times New Roman"/>
          <w:sz w:val="24"/>
          <w:szCs w:val="24"/>
        </w:rPr>
      </w:pPr>
      <w:r>
        <w:rPr>
          <w:rFonts w:ascii="Times New Roman" w:hAnsi="Times New Roman"/>
          <w:sz w:val="24"/>
          <w:szCs w:val="24"/>
        </w:rPr>
        <w:t>EVT – Europos Vadovų Taryba</w:t>
      </w:r>
    </w:p>
    <w:p w:rsidR="00D81B6B" w:rsidRDefault="00D81B6B" w:rsidP="00EC3A8B">
      <w:pPr>
        <w:spacing w:after="0" w:line="240" w:lineRule="auto"/>
        <w:jc w:val="both"/>
        <w:rPr>
          <w:rFonts w:ascii="Times New Roman" w:hAnsi="Times New Roman"/>
          <w:sz w:val="24"/>
          <w:szCs w:val="24"/>
        </w:rPr>
      </w:pPr>
      <w:r w:rsidRPr="00CC1EA7">
        <w:rPr>
          <w:rFonts w:ascii="Times New Roman" w:hAnsi="Times New Roman"/>
          <w:sz w:val="24"/>
          <w:szCs w:val="24"/>
        </w:rPr>
        <w:t>EŽŪFKP – Europos žemės ūkio fondas kaimo plėtrai</w:t>
      </w:r>
    </w:p>
    <w:p w:rsidR="00D81B6B" w:rsidRDefault="000F5CBC" w:rsidP="00EC3A8B">
      <w:pPr>
        <w:spacing w:after="0" w:line="240" w:lineRule="auto"/>
        <w:rPr>
          <w:rFonts w:ascii="Times New Roman" w:hAnsi="Times New Roman"/>
          <w:sz w:val="24"/>
          <w:szCs w:val="24"/>
        </w:rPr>
      </w:pPr>
      <w:r>
        <w:rPr>
          <w:rFonts w:ascii="Times New Roman" w:hAnsi="Times New Roman"/>
          <w:sz w:val="24"/>
          <w:szCs w:val="24"/>
        </w:rPr>
        <w:t>IRT – informacinės ir ryšių</w:t>
      </w:r>
      <w:r w:rsidR="00D81B6B">
        <w:rPr>
          <w:rFonts w:ascii="Times New Roman" w:hAnsi="Times New Roman"/>
          <w:sz w:val="24"/>
          <w:szCs w:val="24"/>
        </w:rPr>
        <w:t xml:space="preserve"> technologijos</w:t>
      </w:r>
    </w:p>
    <w:p w:rsidR="00D81B6B" w:rsidRDefault="00D81B6B" w:rsidP="00EC3A8B">
      <w:pPr>
        <w:spacing w:after="0" w:line="240" w:lineRule="auto"/>
        <w:rPr>
          <w:rFonts w:ascii="Times New Roman" w:eastAsia="AngsanaUPC" w:hAnsi="Times New Roman"/>
          <w:bCs/>
          <w:sz w:val="24"/>
          <w:szCs w:val="24"/>
          <w:lang w:eastAsia="lt-LT"/>
        </w:rPr>
      </w:pPr>
      <w:r w:rsidRPr="005F0357">
        <w:rPr>
          <w:rFonts w:ascii="Times New Roman" w:eastAsia="AngsanaUPC" w:hAnsi="Times New Roman"/>
          <w:bCs/>
          <w:sz w:val="24"/>
          <w:szCs w:val="24"/>
          <w:lang w:eastAsia="lt-LT"/>
        </w:rPr>
        <w:t xml:space="preserve">IT </w:t>
      </w:r>
      <w:r>
        <w:rPr>
          <w:rFonts w:ascii="Times New Roman" w:eastAsia="AngsanaUPC" w:hAnsi="Times New Roman"/>
          <w:bCs/>
          <w:sz w:val="24"/>
          <w:szCs w:val="24"/>
          <w:lang w:eastAsia="lt-LT"/>
        </w:rPr>
        <w:t>–</w:t>
      </w:r>
      <w:r w:rsidRPr="005F0357">
        <w:rPr>
          <w:rFonts w:ascii="Times New Roman" w:eastAsia="AngsanaUPC" w:hAnsi="Times New Roman"/>
          <w:bCs/>
          <w:sz w:val="24"/>
          <w:szCs w:val="24"/>
          <w:lang w:eastAsia="lt-LT"/>
        </w:rPr>
        <w:t xml:space="preserve"> </w:t>
      </w:r>
      <w:r>
        <w:rPr>
          <w:rFonts w:ascii="Times New Roman" w:eastAsia="AngsanaUPC" w:hAnsi="Times New Roman"/>
          <w:bCs/>
          <w:sz w:val="24"/>
          <w:szCs w:val="24"/>
          <w:lang w:eastAsia="lt-LT"/>
        </w:rPr>
        <w:t>informacinės technologijos</w:t>
      </w:r>
    </w:p>
    <w:p w:rsidR="007239E5" w:rsidRPr="00CC1EA7" w:rsidRDefault="00D81B6B" w:rsidP="00EC3A8B">
      <w:pPr>
        <w:spacing w:after="0" w:line="240" w:lineRule="auto"/>
        <w:rPr>
          <w:rFonts w:ascii="Times New Roman" w:hAnsi="Times New Roman"/>
          <w:sz w:val="24"/>
          <w:szCs w:val="24"/>
        </w:rPr>
      </w:pPr>
      <w:r w:rsidRPr="00CC1EA7">
        <w:rPr>
          <w:rFonts w:ascii="Times New Roman" w:hAnsi="Times New Roman"/>
          <w:sz w:val="24"/>
          <w:szCs w:val="24"/>
        </w:rPr>
        <w:t>ITI – integruotos teritorinės investicijos</w:t>
      </w:r>
    </w:p>
    <w:p w:rsidR="00D81B6B" w:rsidRDefault="00D81B6B" w:rsidP="00EC3A8B">
      <w:pPr>
        <w:spacing w:after="0" w:line="240" w:lineRule="auto"/>
        <w:rPr>
          <w:rFonts w:ascii="Times New Roman" w:eastAsia="AngsanaUPC" w:hAnsi="Times New Roman"/>
          <w:bCs/>
          <w:sz w:val="24"/>
          <w:szCs w:val="24"/>
          <w:lang w:eastAsia="lt-LT"/>
        </w:rPr>
      </w:pPr>
      <w:r>
        <w:rPr>
          <w:rFonts w:ascii="Times New Roman" w:eastAsia="AngsanaUPC" w:hAnsi="Times New Roman"/>
          <w:bCs/>
          <w:sz w:val="24"/>
          <w:szCs w:val="24"/>
          <w:lang w:eastAsia="lt-LT"/>
        </w:rPr>
        <w:t>LDB – Lietuvos darbo birža</w:t>
      </w:r>
    </w:p>
    <w:p w:rsidR="00D81B6B" w:rsidRDefault="00D81B6B" w:rsidP="00EC3A8B">
      <w:pPr>
        <w:spacing w:after="0" w:line="240" w:lineRule="auto"/>
        <w:rPr>
          <w:rFonts w:ascii="Times New Roman" w:hAnsi="Times New Roman"/>
          <w:sz w:val="24"/>
          <w:szCs w:val="24"/>
        </w:rPr>
      </w:pPr>
      <w:r w:rsidRPr="00CC1EA7">
        <w:rPr>
          <w:rFonts w:ascii="Times New Roman" w:hAnsi="Times New Roman"/>
          <w:sz w:val="24"/>
          <w:szCs w:val="24"/>
        </w:rPr>
        <w:t>MTEP – moksliniai tyrimai ir eksperimentinė plėtra</w:t>
      </w:r>
    </w:p>
    <w:p w:rsidR="00A40A3E" w:rsidRPr="00CC1EA7" w:rsidRDefault="00A40A3E" w:rsidP="00EC3A8B">
      <w:pPr>
        <w:spacing w:after="0" w:line="240" w:lineRule="auto"/>
        <w:rPr>
          <w:rFonts w:ascii="Times New Roman" w:hAnsi="Times New Roman"/>
          <w:sz w:val="24"/>
          <w:szCs w:val="24"/>
        </w:rPr>
      </w:pPr>
      <w:r>
        <w:rPr>
          <w:rFonts w:ascii="Times New Roman" w:hAnsi="Times New Roman"/>
          <w:sz w:val="24"/>
          <w:szCs w:val="24"/>
        </w:rPr>
        <w:t xml:space="preserve">MTEPI – </w:t>
      </w:r>
      <w:r w:rsidRPr="00A40A3E">
        <w:rPr>
          <w:rFonts w:ascii="Times New Roman" w:hAnsi="Times New Roman"/>
          <w:sz w:val="24"/>
          <w:szCs w:val="24"/>
        </w:rPr>
        <w:t>mokslini</w:t>
      </w:r>
      <w:r>
        <w:rPr>
          <w:rFonts w:ascii="Times New Roman" w:hAnsi="Times New Roman"/>
          <w:sz w:val="24"/>
          <w:szCs w:val="24"/>
        </w:rPr>
        <w:t>ai</w:t>
      </w:r>
      <w:r w:rsidRPr="00A40A3E">
        <w:rPr>
          <w:rFonts w:ascii="Times New Roman" w:hAnsi="Times New Roman"/>
          <w:sz w:val="24"/>
          <w:szCs w:val="24"/>
        </w:rPr>
        <w:t xml:space="preserve"> tyrim</w:t>
      </w:r>
      <w:r>
        <w:rPr>
          <w:rFonts w:ascii="Times New Roman" w:hAnsi="Times New Roman"/>
          <w:sz w:val="24"/>
          <w:szCs w:val="24"/>
        </w:rPr>
        <w:t xml:space="preserve">ai </w:t>
      </w:r>
      <w:proofErr w:type="gramStart"/>
      <w:r>
        <w:rPr>
          <w:rFonts w:ascii="Times New Roman" w:hAnsi="Times New Roman"/>
          <w:sz w:val="24"/>
          <w:szCs w:val="24"/>
        </w:rPr>
        <w:t>ir eksperimentinė</w:t>
      </w:r>
      <w:r w:rsidRPr="00A40A3E">
        <w:rPr>
          <w:rFonts w:ascii="Times New Roman" w:hAnsi="Times New Roman"/>
          <w:sz w:val="24"/>
          <w:szCs w:val="24"/>
        </w:rPr>
        <w:t xml:space="preserve"> p</w:t>
      </w:r>
      <w:r>
        <w:rPr>
          <w:rFonts w:ascii="Times New Roman" w:hAnsi="Times New Roman"/>
          <w:sz w:val="24"/>
          <w:szCs w:val="24"/>
        </w:rPr>
        <w:t>lėtra</w:t>
      </w:r>
      <w:r w:rsidRPr="00A40A3E">
        <w:rPr>
          <w:rFonts w:ascii="Times New Roman" w:hAnsi="Times New Roman"/>
          <w:sz w:val="24"/>
          <w:szCs w:val="24"/>
        </w:rPr>
        <w:t xml:space="preserve"> ir inovacij</w:t>
      </w:r>
      <w:r>
        <w:rPr>
          <w:rFonts w:ascii="Times New Roman" w:hAnsi="Times New Roman"/>
          <w:sz w:val="24"/>
          <w:szCs w:val="24"/>
        </w:rPr>
        <w:t>os</w:t>
      </w:r>
      <w:proofErr w:type="gramEnd"/>
    </w:p>
    <w:p w:rsidR="00D81B6B" w:rsidRDefault="00D81B6B" w:rsidP="00EC3A8B">
      <w:pPr>
        <w:spacing w:after="0" w:line="240" w:lineRule="auto"/>
        <w:rPr>
          <w:rFonts w:ascii="Times New Roman" w:hAnsi="Times New Roman"/>
          <w:sz w:val="24"/>
          <w:szCs w:val="24"/>
        </w:rPr>
      </w:pPr>
      <w:r>
        <w:rPr>
          <w:rFonts w:ascii="Times New Roman" w:hAnsi="Times New Roman"/>
          <w:sz w:val="24"/>
          <w:szCs w:val="24"/>
        </w:rPr>
        <w:t>MTI – moksliniai tyrimai ir inovacijos</w:t>
      </w:r>
    </w:p>
    <w:p w:rsidR="00D81B6B" w:rsidRDefault="00D81B6B" w:rsidP="00EC3A8B">
      <w:pPr>
        <w:spacing w:after="0" w:line="240" w:lineRule="auto"/>
        <w:rPr>
          <w:rFonts w:ascii="Times New Roman" w:hAnsi="Times New Roman"/>
          <w:sz w:val="24"/>
          <w:szCs w:val="24"/>
        </w:rPr>
      </w:pPr>
      <w:r>
        <w:rPr>
          <w:rFonts w:ascii="Times New Roman" w:hAnsi="Times New Roman"/>
          <w:sz w:val="24"/>
          <w:szCs w:val="24"/>
        </w:rPr>
        <w:t>MVĮ – mažos ir vidutinės įmonės</w:t>
      </w:r>
    </w:p>
    <w:p w:rsidR="00D81B6B" w:rsidRDefault="00D81B6B" w:rsidP="00EC3A8B">
      <w:pPr>
        <w:spacing w:after="0" w:line="240" w:lineRule="auto"/>
        <w:rPr>
          <w:rFonts w:ascii="Times New Roman" w:eastAsia="AngsanaUPC" w:hAnsi="Times New Roman"/>
          <w:bCs/>
          <w:sz w:val="24"/>
          <w:szCs w:val="24"/>
          <w:lang w:eastAsia="lt-LT"/>
        </w:rPr>
      </w:pPr>
      <w:r>
        <w:rPr>
          <w:rFonts w:ascii="Times New Roman" w:eastAsia="AngsanaUPC" w:hAnsi="Times New Roman"/>
          <w:bCs/>
          <w:sz w:val="24"/>
          <w:szCs w:val="24"/>
          <w:lang w:eastAsia="lt-LT"/>
        </w:rPr>
        <w:t>NEET jaunimas – nedirbantis, nesimokantis ir praktikos neatliekantis jaunimas</w:t>
      </w:r>
    </w:p>
    <w:p w:rsidR="00D81B6B" w:rsidRDefault="00D81B6B" w:rsidP="00EC3A8B">
      <w:pPr>
        <w:spacing w:after="0" w:line="240" w:lineRule="auto"/>
        <w:rPr>
          <w:rFonts w:ascii="Times New Roman" w:eastAsia="AngsanaUPC" w:hAnsi="Times New Roman"/>
          <w:bCs/>
          <w:iCs/>
          <w:sz w:val="24"/>
          <w:szCs w:val="24"/>
          <w:lang w:eastAsia="lt-LT"/>
        </w:rPr>
      </w:pPr>
      <w:r>
        <w:rPr>
          <w:rFonts w:ascii="Times New Roman" w:eastAsia="Times New Roman" w:hAnsi="Times New Roman"/>
          <w:sz w:val="24"/>
          <w:szCs w:val="24"/>
        </w:rPr>
        <w:t>NGA – n</w:t>
      </w:r>
      <w:r w:rsidRPr="00094351">
        <w:rPr>
          <w:rFonts w:ascii="Times New Roman" w:eastAsia="AngsanaUPC" w:hAnsi="Times New Roman"/>
          <w:bCs/>
          <w:iCs/>
          <w:sz w:val="24"/>
          <w:szCs w:val="24"/>
          <w:lang w:eastAsia="lt-LT"/>
        </w:rPr>
        <w:t>au</w:t>
      </w:r>
      <w:r>
        <w:rPr>
          <w:rFonts w:ascii="Times New Roman" w:eastAsia="AngsanaUPC" w:hAnsi="Times New Roman"/>
          <w:bCs/>
          <w:iCs/>
          <w:sz w:val="24"/>
          <w:szCs w:val="24"/>
          <w:lang w:eastAsia="lt-LT"/>
        </w:rPr>
        <w:t>jos kartos prieiga</w:t>
      </w:r>
    </w:p>
    <w:p w:rsidR="00D81B6B" w:rsidRPr="00CC1EA7" w:rsidRDefault="00D81B6B" w:rsidP="00EC3A8B">
      <w:pPr>
        <w:spacing w:after="0" w:line="240" w:lineRule="auto"/>
        <w:rPr>
          <w:rFonts w:ascii="Times New Roman" w:hAnsi="Times New Roman"/>
          <w:sz w:val="24"/>
          <w:szCs w:val="24"/>
        </w:rPr>
      </w:pPr>
      <w:r w:rsidRPr="00CC1EA7">
        <w:rPr>
          <w:rFonts w:ascii="Times New Roman" w:hAnsi="Times New Roman"/>
          <w:sz w:val="24"/>
          <w:szCs w:val="24"/>
        </w:rPr>
        <w:t>NPP – 2014–2020 metų nacionalinės pažangos programa, patvirtinta 2012 m. lapkričio 28 d. Lietuvos Respublikos Vyriausybės nutarimu Nr. 148</w:t>
      </w:r>
    </w:p>
    <w:p w:rsidR="00D81B6B" w:rsidRPr="00CC1EA7" w:rsidRDefault="00D81B6B" w:rsidP="00EC3A8B">
      <w:pPr>
        <w:spacing w:after="0" w:line="240" w:lineRule="auto"/>
        <w:rPr>
          <w:rFonts w:ascii="Times New Roman" w:hAnsi="Times New Roman"/>
          <w:sz w:val="24"/>
          <w:szCs w:val="24"/>
        </w:rPr>
      </w:pPr>
      <w:r w:rsidRPr="00CC1EA7">
        <w:rPr>
          <w:rFonts w:ascii="Times New Roman" w:hAnsi="Times New Roman"/>
          <w:sz w:val="24"/>
          <w:szCs w:val="24"/>
        </w:rPr>
        <w:t>NRD – Nacionalinė reformų darbotvarkė</w:t>
      </w:r>
    </w:p>
    <w:p w:rsidR="00D81B6B" w:rsidRPr="00CC1EA7" w:rsidRDefault="00D81B6B" w:rsidP="00EC3A8B">
      <w:pPr>
        <w:spacing w:after="0" w:line="240" w:lineRule="auto"/>
        <w:rPr>
          <w:rFonts w:ascii="Times New Roman" w:hAnsi="Times New Roman"/>
          <w:sz w:val="24"/>
          <w:szCs w:val="24"/>
        </w:rPr>
      </w:pPr>
      <w:r w:rsidRPr="00CC1EA7">
        <w:rPr>
          <w:rFonts w:ascii="Times New Roman" w:hAnsi="Times New Roman"/>
          <w:sz w:val="24"/>
          <w:szCs w:val="24"/>
        </w:rPr>
        <w:t>NVO – nevyriausybinės organizacijos</w:t>
      </w:r>
    </w:p>
    <w:p w:rsidR="00D81B6B" w:rsidRPr="00CC1EA7" w:rsidRDefault="00D81B6B" w:rsidP="00EC3A8B">
      <w:pPr>
        <w:spacing w:after="0" w:line="240" w:lineRule="auto"/>
        <w:jc w:val="both"/>
        <w:rPr>
          <w:rFonts w:ascii="Times New Roman" w:hAnsi="Times New Roman"/>
          <w:sz w:val="24"/>
          <w:szCs w:val="24"/>
        </w:rPr>
      </w:pPr>
      <w:r>
        <w:rPr>
          <w:rFonts w:ascii="Times New Roman" w:hAnsi="Times New Roman"/>
          <w:sz w:val="24"/>
          <w:szCs w:val="24"/>
        </w:rPr>
        <w:t>S</w:t>
      </w:r>
      <w:r w:rsidR="003D2689">
        <w:rPr>
          <w:rFonts w:ascii="Times New Roman" w:hAnsi="Times New Roman"/>
          <w:sz w:val="24"/>
          <w:szCs w:val="24"/>
        </w:rPr>
        <w:t>a</w:t>
      </w:r>
      <w:r>
        <w:rPr>
          <w:rFonts w:ascii="Times New Roman" w:hAnsi="Times New Roman"/>
          <w:sz w:val="24"/>
          <w:szCs w:val="24"/>
        </w:rPr>
        <w:t>F – Sanglaudos fondas</w:t>
      </w:r>
    </w:p>
    <w:p w:rsidR="00D81B6B" w:rsidRDefault="00D81B6B" w:rsidP="00EC3A8B">
      <w:pPr>
        <w:spacing w:after="0" w:line="240" w:lineRule="auto"/>
        <w:rPr>
          <w:rFonts w:ascii="Times New Roman" w:eastAsia="AngsanaUPC" w:hAnsi="Times New Roman"/>
          <w:bCs/>
          <w:sz w:val="24"/>
          <w:szCs w:val="24"/>
          <w:lang w:eastAsia="lt-LT"/>
        </w:rPr>
      </w:pPr>
      <w:r>
        <w:rPr>
          <w:rFonts w:ascii="Times New Roman" w:eastAsia="AngsanaUPC" w:hAnsi="Times New Roman"/>
          <w:bCs/>
          <w:sz w:val="24"/>
          <w:szCs w:val="24"/>
          <w:lang w:eastAsia="lt-LT"/>
        </w:rPr>
        <w:t>SGD – suskystintos gamtinės dujos</w:t>
      </w:r>
    </w:p>
    <w:p w:rsidR="00D81B6B" w:rsidRPr="00CC1EA7" w:rsidRDefault="00607A4E" w:rsidP="00EC3A8B">
      <w:pPr>
        <w:spacing w:after="0" w:line="240" w:lineRule="auto"/>
        <w:jc w:val="both"/>
        <w:rPr>
          <w:rFonts w:ascii="Times New Roman" w:hAnsi="Times New Roman"/>
          <w:sz w:val="24"/>
          <w:szCs w:val="24"/>
        </w:rPr>
      </w:pPr>
      <w:r>
        <w:rPr>
          <w:rFonts w:ascii="Times New Roman" w:hAnsi="Times New Roman"/>
          <w:sz w:val="24"/>
          <w:szCs w:val="24"/>
        </w:rPr>
        <w:t>SVV – smulku</w:t>
      </w:r>
      <w:r w:rsidR="00477633">
        <w:rPr>
          <w:rFonts w:ascii="Times New Roman" w:hAnsi="Times New Roman"/>
          <w:sz w:val="24"/>
          <w:szCs w:val="24"/>
        </w:rPr>
        <w:t>si</w:t>
      </w:r>
      <w:r>
        <w:rPr>
          <w:rFonts w:ascii="Times New Roman" w:hAnsi="Times New Roman"/>
          <w:sz w:val="24"/>
          <w:szCs w:val="24"/>
        </w:rPr>
        <w:t>s</w:t>
      </w:r>
      <w:r w:rsidR="00D81B6B" w:rsidRPr="00CC1EA7">
        <w:rPr>
          <w:rFonts w:ascii="Times New Roman" w:hAnsi="Times New Roman"/>
          <w:sz w:val="24"/>
          <w:szCs w:val="24"/>
        </w:rPr>
        <w:t xml:space="preserve"> ir vidutinis verslas</w:t>
      </w:r>
    </w:p>
    <w:p w:rsidR="00D81B6B" w:rsidRPr="00CC1EA7" w:rsidRDefault="00D81B6B" w:rsidP="00EC3A8B">
      <w:pPr>
        <w:spacing w:after="0" w:line="240" w:lineRule="auto"/>
        <w:jc w:val="both"/>
        <w:rPr>
          <w:rFonts w:ascii="Times New Roman" w:hAnsi="Times New Roman"/>
          <w:sz w:val="24"/>
          <w:szCs w:val="24"/>
        </w:rPr>
      </w:pPr>
      <w:r w:rsidRPr="00CC1EA7">
        <w:rPr>
          <w:rFonts w:ascii="Times New Roman" w:hAnsi="Times New Roman"/>
          <w:sz w:val="24"/>
          <w:szCs w:val="24"/>
        </w:rPr>
        <w:t>ŠESD – šiltnamio efektą sukeliančios dujos</w:t>
      </w:r>
    </w:p>
    <w:p w:rsidR="00D81B6B" w:rsidRDefault="00D81B6B" w:rsidP="00EC3A8B">
      <w:pPr>
        <w:spacing w:after="0" w:line="240" w:lineRule="auto"/>
        <w:rPr>
          <w:rFonts w:ascii="Times New Roman" w:hAnsi="Times New Roman"/>
          <w:sz w:val="24"/>
          <w:szCs w:val="24"/>
        </w:rPr>
      </w:pPr>
      <w:r>
        <w:rPr>
          <w:rFonts w:ascii="Times New Roman" w:hAnsi="Times New Roman"/>
          <w:sz w:val="24"/>
          <w:szCs w:val="24"/>
        </w:rPr>
        <w:t>TEN</w:t>
      </w:r>
      <w:proofErr w:type="gramStart"/>
      <w:r>
        <w:rPr>
          <w:rFonts w:ascii="Times New Roman" w:hAnsi="Times New Roman"/>
          <w:sz w:val="24"/>
          <w:szCs w:val="24"/>
        </w:rPr>
        <w:t>-</w:t>
      </w:r>
      <w:proofErr w:type="gramEnd"/>
      <w:r>
        <w:rPr>
          <w:rFonts w:ascii="Times New Roman" w:hAnsi="Times New Roman"/>
          <w:sz w:val="24"/>
          <w:szCs w:val="24"/>
        </w:rPr>
        <w:t>T – transeuropinis transporto tinklas</w:t>
      </w:r>
    </w:p>
    <w:p w:rsidR="00D81B6B" w:rsidRPr="00CC1EA7" w:rsidRDefault="00D81B6B" w:rsidP="00EC3A8B">
      <w:pPr>
        <w:spacing w:after="0" w:line="240" w:lineRule="auto"/>
        <w:rPr>
          <w:rFonts w:ascii="Times New Roman" w:hAnsi="Times New Roman"/>
          <w:sz w:val="24"/>
          <w:szCs w:val="24"/>
        </w:rPr>
      </w:pPr>
      <w:r w:rsidRPr="00CC1EA7">
        <w:rPr>
          <w:rFonts w:ascii="Times New Roman" w:hAnsi="Times New Roman"/>
          <w:sz w:val="24"/>
          <w:szCs w:val="24"/>
        </w:rPr>
        <w:t>TUI – tiesioginės užsienio investicijos</w:t>
      </w:r>
    </w:p>
    <w:p w:rsidR="00D81B6B" w:rsidRPr="00CC1EA7" w:rsidRDefault="00D81B6B" w:rsidP="00EC3A8B">
      <w:pPr>
        <w:spacing w:after="0" w:line="240" w:lineRule="auto"/>
        <w:rPr>
          <w:rFonts w:ascii="Times New Roman" w:hAnsi="Times New Roman"/>
          <w:sz w:val="24"/>
          <w:szCs w:val="24"/>
        </w:rPr>
      </w:pPr>
      <w:r w:rsidRPr="00CC1EA7">
        <w:rPr>
          <w:rFonts w:ascii="Times New Roman" w:hAnsi="Times New Roman"/>
          <w:sz w:val="24"/>
          <w:szCs w:val="24"/>
        </w:rPr>
        <w:t>VKS – valdymo ir kontrolės sistema</w:t>
      </w:r>
    </w:p>
    <w:p w:rsidR="005E52CE" w:rsidRDefault="00D81B6B" w:rsidP="00EC3A8B">
      <w:pPr>
        <w:spacing w:after="0" w:line="240" w:lineRule="auto"/>
        <w:rPr>
          <w:rFonts w:ascii="Times New Roman" w:eastAsia="AngsanaUPC" w:hAnsi="Times New Roman"/>
          <w:b/>
          <w:bCs/>
          <w:sz w:val="24"/>
          <w:szCs w:val="24"/>
          <w:lang w:eastAsia="lt-LT"/>
        </w:rPr>
      </w:pPr>
      <w:r w:rsidRPr="00CC1EA7">
        <w:rPr>
          <w:rFonts w:ascii="Times New Roman" w:hAnsi="Times New Roman"/>
          <w:sz w:val="24"/>
          <w:szCs w:val="24"/>
        </w:rPr>
        <w:t>VVG – vietos veiklos grupės</w:t>
      </w:r>
    </w:p>
    <w:p w:rsidR="005E52CE" w:rsidRPr="00C174AC" w:rsidRDefault="005E52CE" w:rsidP="00DB66BF">
      <w:pPr>
        <w:spacing w:after="0" w:line="240" w:lineRule="auto"/>
        <w:rPr>
          <w:rFonts w:ascii="Times New Roman" w:hAnsi="Times New Roman"/>
          <w:sz w:val="24"/>
          <w:szCs w:val="24"/>
        </w:rPr>
      </w:pPr>
      <w:r>
        <w:rPr>
          <w:rFonts w:ascii="Times New Roman" w:eastAsia="AngsanaUPC" w:hAnsi="Times New Roman"/>
          <w:b/>
          <w:bCs/>
          <w:sz w:val="24"/>
          <w:szCs w:val="24"/>
          <w:lang w:eastAsia="lt-LT"/>
        </w:rPr>
        <w:br w:type="page"/>
      </w:r>
    </w:p>
    <w:tbl>
      <w:tblPr>
        <w:tblpPr w:leftFromText="180" w:rightFromText="180" w:vertAnchor="text" w:horzAnchor="margin" w:tblpY="24"/>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5E52CE" w:rsidRPr="00410B00" w:rsidTr="005E52CE">
        <w:trPr>
          <w:trHeight w:val="416"/>
        </w:trPr>
        <w:tc>
          <w:tcPr>
            <w:tcW w:w="9747" w:type="dxa"/>
            <w:shd w:val="clear" w:color="auto" w:fill="C6D9F1"/>
            <w:vAlign w:val="center"/>
          </w:tcPr>
          <w:p w:rsidR="005E52CE" w:rsidRPr="00372DA9" w:rsidRDefault="005E52CE" w:rsidP="005E52CE">
            <w:pPr>
              <w:pStyle w:val="Antrat1"/>
              <w:tabs>
                <w:tab w:val="left" w:pos="9214"/>
              </w:tabs>
              <w:rPr>
                <w:rFonts w:eastAsia="AngsanaUPC"/>
                <w:lang w:val="lt-LT"/>
              </w:rPr>
            </w:pPr>
            <w:bookmarkStart w:id="0" w:name="_Toc69836218"/>
            <w:r w:rsidRPr="00372DA9">
              <w:rPr>
                <w:rFonts w:eastAsia="AngsanaUPC"/>
                <w:lang w:val="lt-LT"/>
              </w:rPr>
              <w:lastRenderedPageBreak/>
              <w:t>1. SK</w:t>
            </w:r>
            <w:r>
              <w:rPr>
                <w:rFonts w:eastAsia="AngsanaUPC"/>
                <w:lang w:val="lt-LT"/>
              </w:rPr>
              <w:t>IRSNIS</w:t>
            </w:r>
            <w:r w:rsidRPr="00372DA9">
              <w:rPr>
                <w:rFonts w:eastAsia="AngsanaUPC"/>
                <w:lang w:val="lt-LT"/>
              </w:rPr>
              <w:t xml:space="preserve">. VEIKSMŲ PROGRAMOS INDĖLIS Į STRATEGIJĄ </w:t>
            </w:r>
            <w:r>
              <w:rPr>
                <w:rFonts w:eastAsia="AngsanaUPC"/>
                <w:lang w:val="lt-LT"/>
              </w:rPr>
              <w:t>„</w:t>
            </w:r>
            <w:r w:rsidRPr="00372DA9">
              <w:rPr>
                <w:rFonts w:eastAsia="AngsanaUPC"/>
                <w:lang w:val="lt-LT"/>
              </w:rPr>
              <w:t>EUROPA 2020</w:t>
            </w:r>
            <w:r>
              <w:rPr>
                <w:rFonts w:eastAsia="AngsanaUPC"/>
                <w:lang w:val="lt-LT"/>
              </w:rPr>
              <w:t>“</w:t>
            </w:r>
            <w:bookmarkEnd w:id="0"/>
          </w:p>
        </w:tc>
      </w:tr>
    </w:tbl>
    <w:p w:rsidR="00C174AC" w:rsidRDefault="00C174AC" w:rsidP="00E7414F">
      <w:pPr>
        <w:spacing w:after="0" w:line="240" w:lineRule="auto"/>
        <w:ind w:firstLine="624"/>
        <w:jc w:val="both"/>
        <w:rPr>
          <w:rFonts w:ascii="Times New Roman" w:hAnsi="Times New Roman"/>
          <w:sz w:val="24"/>
          <w:szCs w:val="24"/>
        </w:rPr>
      </w:pPr>
    </w:p>
    <w:p w:rsidR="00E7414F" w:rsidRPr="00E7414F" w:rsidRDefault="00E7414F" w:rsidP="00E7414F">
      <w:pPr>
        <w:spacing w:after="0" w:line="240" w:lineRule="auto"/>
        <w:ind w:firstLine="624"/>
        <w:jc w:val="both"/>
        <w:rPr>
          <w:rFonts w:ascii="Times New Roman" w:hAnsi="Times New Roman"/>
          <w:sz w:val="24"/>
          <w:szCs w:val="24"/>
        </w:rPr>
      </w:pPr>
      <w:r w:rsidRPr="00E7414F">
        <w:rPr>
          <w:rFonts w:ascii="Times New Roman" w:hAnsi="Times New Roman"/>
          <w:sz w:val="24"/>
          <w:szCs w:val="24"/>
        </w:rPr>
        <w:t>Partnerystės sutartyje atlikta dabartinės Lietuvos socialinės ir ekonominės situacijos, iššūkių ir plėtros potencialo analizė sudaro pagrindą šiai Lietuvos 20</w:t>
      </w:r>
      <w:r w:rsidR="004B239F">
        <w:rPr>
          <w:rFonts w:ascii="Times New Roman" w:hAnsi="Times New Roman"/>
          <w:sz w:val="24"/>
          <w:szCs w:val="24"/>
        </w:rPr>
        <w:t>1</w:t>
      </w:r>
      <w:r w:rsidRPr="00E7414F">
        <w:rPr>
          <w:rFonts w:ascii="Times New Roman" w:hAnsi="Times New Roman"/>
          <w:sz w:val="24"/>
          <w:szCs w:val="24"/>
        </w:rPr>
        <w:t xml:space="preserve">4–2020 metų </w:t>
      </w:r>
      <w:r w:rsidR="00B22E6E">
        <w:rPr>
          <w:rFonts w:ascii="Times New Roman" w:hAnsi="Times New Roman"/>
          <w:sz w:val="24"/>
          <w:szCs w:val="24"/>
        </w:rPr>
        <w:t xml:space="preserve">Europos Sąjungos (toliau – </w:t>
      </w:r>
      <w:r w:rsidR="00D25ABD">
        <w:rPr>
          <w:rFonts w:ascii="Times New Roman" w:hAnsi="Times New Roman"/>
          <w:sz w:val="24"/>
          <w:szCs w:val="24"/>
        </w:rPr>
        <w:t>ES</w:t>
      </w:r>
      <w:r w:rsidR="00B22E6E">
        <w:rPr>
          <w:rFonts w:ascii="Times New Roman" w:hAnsi="Times New Roman"/>
          <w:sz w:val="24"/>
          <w:szCs w:val="24"/>
        </w:rPr>
        <w:t>)</w:t>
      </w:r>
      <w:r w:rsidR="00D25ABD">
        <w:rPr>
          <w:rFonts w:ascii="Times New Roman" w:hAnsi="Times New Roman"/>
          <w:sz w:val="24"/>
          <w:szCs w:val="24"/>
        </w:rPr>
        <w:t xml:space="preserve"> fondų investavimo</w:t>
      </w:r>
      <w:r w:rsidRPr="00E7414F">
        <w:rPr>
          <w:rFonts w:ascii="Times New Roman" w:hAnsi="Times New Roman"/>
          <w:sz w:val="24"/>
          <w:szCs w:val="24"/>
        </w:rPr>
        <w:t xml:space="preserve"> strategijai, kuri yra nuosekliai derinama su </w:t>
      </w:r>
      <w:r w:rsidR="00B22E6E">
        <w:rPr>
          <w:rFonts w:ascii="Times New Roman" w:hAnsi="Times New Roman"/>
          <w:sz w:val="24"/>
          <w:szCs w:val="24"/>
        </w:rPr>
        <w:t>ES</w:t>
      </w:r>
      <w:r w:rsidRPr="00E7414F">
        <w:rPr>
          <w:rFonts w:ascii="Times New Roman" w:hAnsi="Times New Roman"/>
          <w:sz w:val="24"/>
          <w:szCs w:val="24"/>
        </w:rPr>
        <w:t xml:space="preserve"> ir nacionaliniais strateginiais dokumentais, jų principais bei esminėmis strateginėmis nuostatomis. Analizė aiškiai rodo, jog Lietuvos ūkis ir visuomenė tebejaučia </w:t>
      </w:r>
      <w:r w:rsidR="000445AA">
        <w:rPr>
          <w:rFonts w:ascii="Times New Roman" w:hAnsi="Times New Roman"/>
          <w:sz w:val="24"/>
          <w:szCs w:val="24"/>
        </w:rPr>
        <w:t>2008-ųjų metų</w:t>
      </w:r>
      <w:r w:rsidRPr="00E7414F">
        <w:rPr>
          <w:rFonts w:ascii="Times New Roman" w:hAnsi="Times New Roman"/>
          <w:sz w:val="24"/>
          <w:szCs w:val="24"/>
        </w:rPr>
        <w:t xml:space="preserve"> finansų ir ekonominės krizės padarinius. Pagrindinis šios strategijos tikslas yra gr</w:t>
      </w:r>
      <w:r w:rsidR="004B239F">
        <w:rPr>
          <w:rFonts w:ascii="Times New Roman" w:hAnsi="Times New Roman"/>
          <w:sz w:val="24"/>
          <w:szCs w:val="24"/>
        </w:rPr>
        <w:t>ą</w:t>
      </w:r>
      <w:r w:rsidRPr="00E7414F">
        <w:rPr>
          <w:rFonts w:ascii="Times New Roman" w:hAnsi="Times New Roman"/>
          <w:sz w:val="24"/>
          <w:szCs w:val="24"/>
        </w:rPr>
        <w:t xml:space="preserve">žinti šalį į spartaus ir tvaraus augimo kelią, mažinti šalies išsivystymo lygio atsilikimą nuo ES šalių vidurkio. Tam reikalinga palaikyti stabilią makroekonominę aplinką, tęsti struktūrines reformas ir užtikrinti tinkamą </w:t>
      </w:r>
      <w:r w:rsidR="003D099C" w:rsidRPr="00E7414F">
        <w:rPr>
          <w:rFonts w:ascii="Times New Roman" w:hAnsi="Times New Roman"/>
          <w:sz w:val="24"/>
          <w:szCs w:val="24"/>
        </w:rPr>
        <w:t>finansavim</w:t>
      </w:r>
      <w:r w:rsidR="003D099C">
        <w:rPr>
          <w:rFonts w:ascii="Times New Roman" w:hAnsi="Times New Roman"/>
          <w:sz w:val="24"/>
          <w:szCs w:val="24"/>
        </w:rPr>
        <w:t>ą</w:t>
      </w:r>
      <w:r w:rsidR="003D099C" w:rsidRPr="00E7414F">
        <w:rPr>
          <w:rFonts w:ascii="Times New Roman" w:hAnsi="Times New Roman"/>
          <w:sz w:val="24"/>
          <w:szCs w:val="24"/>
        </w:rPr>
        <w:t xml:space="preserve"> </w:t>
      </w:r>
      <w:r w:rsidRPr="00E7414F">
        <w:rPr>
          <w:rFonts w:ascii="Times New Roman" w:hAnsi="Times New Roman"/>
          <w:sz w:val="24"/>
          <w:szCs w:val="24"/>
        </w:rPr>
        <w:t>augimą</w:t>
      </w:r>
      <w:r w:rsidR="00936FF8" w:rsidRPr="00936FF8">
        <w:rPr>
          <w:rFonts w:ascii="Times New Roman" w:hAnsi="Times New Roman"/>
          <w:sz w:val="24"/>
          <w:szCs w:val="24"/>
        </w:rPr>
        <w:t xml:space="preserve"> </w:t>
      </w:r>
      <w:r w:rsidR="00936FF8" w:rsidRPr="00E7414F">
        <w:rPr>
          <w:rFonts w:ascii="Times New Roman" w:hAnsi="Times New Roman"/>
          <w:sz w:val="24"/>
          <w:szCs w:val="24"/>
        </w:rPr>
        <w:t xml:space="preserve">skatinančioms priemonėms </w:t>
      </w:r>
      <w:r w:rsidRPr="00E7414F">
        <w:rPr>
          <w:rFonts w:ascii="Times New Roman" w:hAnsi="Times New Roman"/>
          <w:sz w:val="24"/>
          <w:szCs w:val="24"/>
        </w:rPr>
        <w:t>– ši strategija pagrindinį dėmesį skiria pastarosioms.</w:t>
      </w:r>
    </w:p>
    <w:p w:rsidR="00E7414F" w:rsidRPr="00E7414F" w:rsidRDefault="00E7414F" w:rsidP="00E7414F">
      <w:pPr>
        <w:spacing w:after="0" w:line="240" w:lineRule="auto"/>
        <w:ind w:firstLine="624"/>
        <w:jc w:val="both"/>
        <w:rPr>
          <w:rFonts w:ascii="Times New Roman" w:hAnsi="Times New Roman"/>
          <w:sz w:val="24"/>
          <w:szCs w:val="24"/>
        </w:rPr>
      </w:pPr>
      <w:r w:rsidRPr="00E7414F">
        <w:rPr>
          <w:rFonts w:ascii="Times New Roman" w:hAnsi="Times New Roman"/>
          <w:sz w:val="24"/>
          <w:szCs w:val="24"/>
        </w:rPr>
        <w:t xml:space="preserve">Nors pagrindinis </w:t>
      </w:r>
      <w:r w:rsidR="00D25ABD">
        <w:rPr>
          <w:rFonts w:ascii="Times New Roman" w:hAnsi="Times New Roman"/>
          <w:sz w:val="24"/>
          <w:szCs w:val="24"/>
        </w:rPr>
        <w:t>tikslas</w:t>
      </w:r>
      <w:r w:rsidRPr="00E7414F">
        <w:rPr>
          <w:rFonts w:ascii="Times New Roman" w:hAnsi="Times New Roman"/>
          <w:sz w:val="24"/>
          <w:szCs w:val="24"/>
        </w:rPr>
        <w:t xml:space="preserve"> yra spartesnis, pažangus augimas, kartu siekiama, kad ūkio plėtra būtų tvari ir tau</w:t>
      </w:r>
      <w:r w:rsidR="0066645B">
        <w:rPr>
          <w:rFonts w:ascii="Times New Roman" w:hAnsi="Times New Roman"/>
          <w:sz w:val="24"/>
          <w:szCs w:val="24"/>
        </w:rPr>
        <w:t>siai</w:t>
      </w:r>
      <w:r w:rsidRPr="00E7414F">
        <w:rPr>
          <w:rFonts w:ascii="Times New Roman" w:hAnsi="Times New Roman"/>
          <w:sz w:val="24"/>
          <w:szCs w:val="24"/>
        </w:rPr>
        <w:t xml:space="preserve"> išteklius naudojanti bei teiktų </w:t>
      </w:r>
      <w:r w:rsidRPr="0066645B">
        <w:rPr>
          <w:rFonts w:ascii="Times New Roman" w:hAnsi="Times New Roman"/>
          <w:sz w:val="24"/>
          <w:szCs w:val="24"/>
        </w:rPr>
        <w:t>apčiuopiamai</w:t>
      </w:r>
      <w:r w:rsidRPr="00E7414F">
        <w:rPr>
          <w:rFonts w:ascii="Times New Roman" w:hAnsi="Times New Roman"/>
          <w:sz w:val="24"/>
          <w:szCs w:val="24"/>
        </w:rPr>
        <w:t xml:space="preserve"> geresnę gyvenimo kokybę visiems šalies gyventojams. </w:t>
      </w:r>
      <w:r w:rsidRPr="00C41F4A">
        <w:rPr>
          <w:rFonts w:ascii="Times New Roman" w:hAnsi="Times New Roman"/>
          <w:sz w:val="24"/>
          <w:szCs w:val="24"/>
        </w:rPr>
        <w:t>Pastaroji reiškia ne tik didesnį užimtumą, augančias</w:t>
      </w:r>
      <w:r w:rsidRPr="00E7414F">
        <w:rPr>
          <w:rFonts w:ascii="Times New Roman" w:hAnsi="Times New Roman"/>
          <w:sz w:val="24"/>
          <w:szCs w:val="24"/>
        </w:rPr>
        <w:t xml:space="preserve"> pajamas, bet ir labiau integruotą visuomenę, kurioje bus </w:t>
      </w:r>
      <w:r w:rsidRPr="00C41F4A">
        <w:rPr>
          <w:rFonts w:ascii="Times New Roman" w:hAnsi="Times New Roman"/>
          <w:sz w:val="24"/>
          <w:szCs w:val="24"/>
        </w:rPr>
        <w:t>gerokai</w:t>
      </w:r>
      <w:r w:rsidRPr="00E7414F">
        <w:rPr>
          <w:rFonts w:ascii="Times New Roman" w:hAnsi="Times New Roman"/>
          <w:sz w:val="24"/>
          <w:szCs w:val="24"/>
        </w:rPr>
        <w:t xml:space="preserve"> sumažinta skurdo rizika bei socialinė atskirtis. Tokie objektyvūs kriterijai</w:t>
      </w:r>
      <w:r w:rsidR="007C21E8" w:rsidRPr="00C41F4A">
        <w:rPr>
          <w:rFonts w:ascii="Times New Roman" w:hAnsi="Times New Roman"/>
          <w:sz w:val="24"/>
          <w:szCs w:val="24"/>
        </w:rPr>
        <w:t>,</w:t>
      </w:r>
      <w:r w:rsidRPr="00E7414F">
        <w:rPr>
          <w:rFonts w:ascii="Times New Roman" w:hAnsi="Times New Roman"/>
          <w:sz w:val="24"/>
          <w:szCs w:val="24"/>
        </w:rPr>
        <w:t xml:space="preserve"> kaip </w:t>
      </w:r>
      <w:r w:rsidR="00D0274E">
        <w:rPr>
          <w:rFonts w:ascii="Times New Roman" w:hAnsi="Times New Roman"/>
          <w:sz w:val="24"/>
          <w:szCs w:val="24"/>
        </w:rPr>
        <w:t>bendrasis vidaus produktas (</w:t>
      </w:r>
      <w:r w:rsidRPr="00E7414F">
        <w:rPr>
          <w:rFonts w:ascii="Times New Roman" w:hAnsi="Times New Roman"/>
          <w:sz w:val="24"/>
          <w:szCs w:val="24"/>
        </w:rPr>
        <w:t>BVP</w:t>
      </w:r>
      <w:r w:rsidR="00D0274E">
        <w:rPr>
          <w:rFonts w:ascii="Times New Roman" w:hAnsi="Times New Roman"/>
          <w:sz w:val="24"/>
          <w:szCs w:val="24"/>
        </w:rPr>
        <w:t>)</w:t>
      </w:r>
      <w:r w:rsidRPr="00E7414F">
        <w:rPr>
          <w:rFonts w:ascii="Times New Roman" w:hAnsi="Times New Roman"/>
          <w:sz w:val="24"/>
          <w:szCs w:val="24"/>
        </w:rPr>
        <w:t xml:space="preserve"> vienam gyventojui ar nedarbo lygis</w:t>
      </w:r>
      <w:r w:rsidR="007C21E8" w:rsidRPr="00C41F4A">
        <w:rPr>
          <w:rFonts w:ascii="Times New Roman" w:hAnsi="Times New Roman"/>
          <w:sz w:val="24"/>
          <w:szCs w:val="24"/>
        </w:rPr>
        <w:t>,</w:t>
      </w:r>
      <w:r w:rsidRPr="00E7414F">
        <w:rPr>
          <w:rFonts w:ascii="Times New Roman" w:hAnsi="Times New Roman"/>
          <w:sz w:val="24"/>
          <w:szCs w:val="24"/>
        </w:rPr>
        <w:t xml:space="preserve"> perteikia ją ribotai; ne mažiau svarbūs yra tokie gyvenimo kokybę lemiantys aspektai</w:t>
      </w:r>
      <w:r w:rsidR="007C21E8" w:rsidRPr="00C41F4A">
        <w:rPr>
          <w:rFonts w:ascii="Times New Roman" w:hAnsi="Times New Roman"/>
          <w:sz w:val="24"/>
          <w:szCs w:val="24"/>
        </w:rPr>
        <w:t>,</w:t>
      </w:r>
      <w:r w:rsidR="007C21E8">
        <w:rPr>
          <w:rFonts w:ascii="Times New Roman" w:hAnsi="Times New Roman"/>
          <w:sz w:val="24"/>
          <w:szCs w:val="24"/>
        </w:rPr>
        <w:t xml:space="preserve"> </w:t>
      </w:r>
      <w:r w:rsidRPr="00E7414F">
        <w:rPr>
          <w:rFonts w:ascii="Times New Roman" w:hAnsi="Times New Roman"/>
          <w:sz w:val="24"/>
          <w:szCs w:val="24"/>
        </w:rPr>
        <w:t xml:space="preserve">kaip priėjimas prie kokybiškų viešųjų paslaugų, kokybiškos darbo sąlygos ar priklausymas aktyviai vietos bendruomenei. Tuo būdu ši strategija tiesiogiai prisidės tiek prie </w:t>
      </w:r>
      <w:r w:rsidR="006C65DD">
        <w:rPr>
          <w:rFonts w:ascii="Times New Roman" w:hAnsi="Times New Roman"/>
          <w:sz w:val="24"/>
          <w:szCs w:val="24"/>
        </w:rPr>
        <w:t>strategijos „</w:t>
      </w:r>
      <w:r w:rsidRPr="00E7414F">
        <w:rPr>
          <w:rFonts w:ascii="Times New Roman" w:hAnsi="Times New Roman"/>
          <w:sz w:val="24"/>
          <w:szCs w:val="24"/>
        </w:rPr>
        <w:t>E</w:t>
      </w:r>
      <w:r w:rsidR="006C65DD">
        <w:rPr>
          <w:rFonts w:ascii="Times New Roman" w:hAnsi="Times New Roman"/>
          <w:sz w:val="24"/>
          <w:szCs w:val="24"/>
        </w:rPr>
        <w:t>uropa</w:t>
      </w:r>
      <w:r w:rsidRPr="00E7414F">
        <w:rPr>
          <w:rFonts w:ascii="Times New Roman" w:hAnsi="Times New Roman"/>
          <w:sz w:val="24"/>
          <w:szCs w:val="24"/>
        </w:rPr>
        <w:t xml:space="preserve"> 2020</w:t>
      </w:r>
      <w:r w:rsidR="006C65DD">
        <w:rPr>
          <w:rFonts w:ascii="Times New Roman" w:hAnsi="Times New Roman"/>
          <w:sz w:val="24"/>
          <w:szCs w:val="24"/>
        </w:rPr>
        <w:t>“</w:t>
      </w:r>
      <w:r w:rsidRPr="00E7414F">
        <w:rPr>
          <w:rFonts w:ascii="Times New Roman" w:hAnsi="Times New Roman"/>
          <w:sz w:val="24"/>
          <w:szCs w:val="24"/>
        </w:rPr>
        <w:t xml:space="preserve"> strateginių tikslų įgyvendinimo, tiek prie didesnės ekonominės, socialinės ir teritorinės sanglaudos ES ir Lietuvoje.</w:t>
      </w:r>
    </w:p>
    <w:p w:rsidR="00E7414F" w:rsidRPr="00E7414F" w:rsidRDefault="00E7414F" w:rsidP="00E7414F">
      <w:pPr>
        <w:spacing w:after="0" w:line="240" w:lineRule="auto"/>
        <w:ind w:firstLine="624"/>
        <w:jc w:val="both"/>
        <w:rPr>
          <w:rFonts w:ascii="Times New Roman" w:hAnsi="Times New Roman"/>
          <w:sz w:val="24"/>
          <w:szCs w:val="24"/>
        </w:rPr>
      </w:pPr>
      <w:r w:rsidRPr="00E7414F">
        <w:rPr>
          <w:rFonts w:ascii="Times New Roman" w:hAnsi="Times New Roman"/>
          <w:sz w:val="24"/>
          <w:szCs w:val="24"/>
        </w:rPr>
        <w:t xml:space="preserve">Strategija </w:t>
      </w:r>
      <w:r w:rsidR="00800110">
        <w:rPr>
          <w:rFonts w:ascii="Times New Roman" w:hAnsi="Times New Roman"/>
          <w:sz w:val="24"/>
          <w:szCs w:val="24"/>
        </w:rPr>
        <w:t>atspindi</w:t>
      </w:r>
      <w:r w:rsidRPr="00E7414F">
        <w:rPr>
          <w:rFonts w:ascii="Times New Roman" w:hAnsi="Times New Roman"/>
          <w:sz w:val="24"/>
          <w:szCs w:val="24"/>
        </w:rPr>
        <w:t xml:space="preserve"> esminius šalies plėtros iššūkius ir remiasi investicijų sutelkimu į ES bendrajame strateginia</w:t>
      </w:r>
      <w:r w:rsidR="008F0EDF">
        <w:rPr>
          <w:rFonts w:ascii="Times New Roman" w:hAnsi="Times New Roman"/>
          <w:sz w:val="24"/>
          <w:szCs w:val="24"/>
        </w:rPr>
        <w:t>me dokumente nustatytus 11 tem</w:t>
      </w:r>
      <w:r w:rsidRPr="00E7414F">
        <w:rPr>
          <w:rFonts w:ascii="Times New Roman" w:hAnsi="Times New Roman"/>
          <w:sz w:val="24"/>
          <w:szCs w:val="24"/>
        </w:rPr>
        <w:t>inių tikslų ir jų konkrečius investicinius prioritetus, kurie tarpusavyje yra glaudžiai susiję ir papildo vienas kitą. Ją sudaro trys pagrindinės kryptys:</w:t>
      </w:r>
    </w:p>
    <w:p w:rsidR="00E7414F" w:rsidRPr="00E7414F" w:rsidRDefault="00E7414F" w:rsidP="00E7414F">
      <w:pPr>
        <w:spacing w:after="0" w:line="240" w:lineRule="auto"/>
        <w:ind w:firstLine="624"/>
        <w:jc w:val="both"/>
        <w:rPr>
          <w:rFonts w:ascii="Times New Roman" w:hAnsi="Times New Roman"/>
          <w:sz w:val="24"/>
          <w:szCs w:val="24"/>
        </w:rPr>
      </w:pPr>
    </w:p>
    <w:p w:rsidR="00E7414F" w:rsidRPr="00E7414F" w:rsidRDefault="00E7414F" w:rsidP="00E7414F">
      <w:pPr>
        <w:spacing w:after="0" w:line="240" w:lineRule="auto"/>
        <w:ind w:firstLine="624"/>
        <w:jc w:val="both"/>
        <w:rPr>
          <w:rFonts w:ascii="Times New Roman" w:hAnsi="Times New Roman"/>
          <w:b/>
          <w:sz w:val="24"/>
          <w:szCs w:val="24"/>
        </w:rPr>
      </w:pPr>
      <w:r w:rsidRPr="00E7414F">
        <w:rPr>
          <w:rFonts w:ascii="Times New Roman" w:hAnsi="Times New Roman"/>
          <w:b/>
          <w:sz w:val="24"/>
          <w:szCs w:val="24"/>
        </w:rPr>
        <w:t>Pažangus ūkio augimas ilguoju laikotarpiu</w:t>
      </w:r>
    </w:p>
    <w:p w:rsidR="00E7414F" w:rsidRPr="00E7414F" w:rsidRDefault="00E7414F" w:rsidP="00E7414F">
      <w:pPr>
        <w:spacing w:after="0" w:line="240" w:lineRule="auto"/>
        <w:ind w:firstLine="624"/>
        <w:jc w:val="both"/>
        <w:rPr>
          <w:rFonts w:ascii="Times New Roman" w:hAnsi="Times New Roman"/>
          <w:sz w:val="24"/>
          <w:szCs w:val="24"/>
        </w:rPr>
      </w:pPr>
    </w:p>
    <w:p w:rsidR="00E7414F" w:rsidRPr="00E7414F" w:rsidRDefault="00E7414F" w:rsidP="00E7414F">
      <w:pPr>
        <w:spacing w:after="0" w:line="240" w:lineRule="auto"/>
        <w:ind w:firstLine="624"/>
        <w:jc w:val="both"/>
        <w:rPr>
          <w:rFonts w:ascii="Times New Roman" w:hAnsi="Times New Roman"/>
          <w:sz w:val="24"/>
          <w:szCs w:val="24"/>
        </w:rPr>
      </w:pPr>
      <w:r w:rsidRPr="00E7414F">
        <w:rPr>
          <w:rFonts w:ascii="Times New Roman" w:hAnsi="Times New Roman"/>
          <w:sz w:val="24"/>
          <w:szCs w:val="24"/>
        </w:rPr>
        <w:t>Lietuvos konkurencingumas, gebėjimas atkurti krizės laikotarpiu prara</w:t>
      </w:r>
      <w:r w:rsidR="00C41F4A">
        <w:rPr>
          <w:rFonts w:ascii="Times New Roman" w:hAnsi="Times New Roman"/>
          <w:sz w:val="24"/>
          <w:szCs w:val="24"/>
        </w:rPr>
        <w:t xml:space="preserve">stą gerovę ir ją toliau didinti, </w:t>
      </w:r>
      <w:r w:rsidRPr="00C41F4A">
        <w:rPr>
          <w:rFonts w:ascii="Times New Roman" w:hAnsi="Times New Roman"/>
          <w:sz w:val="24"/>
          <w:szCs w:val="24"/>
        </w:rPr>
        <w:t>visų pirma</w:t>
      </w:r>
      <w:r w:rsidR="00C41F4A">
        <w:rPr>
          <w:rFonts w:ascii="Times New Roman" w:hAnsi="Times New Roman"/>
          <w:sz w:val="24"/>
          <w:szCs w:val="24"/>
        </w:rPr>
        <w:t>,</w:t>
      </w:r>
      <w:r w:rsidRPr="00E7414F">
        <w:rPr>
          <w:rFonts w:ascii="Times New Roman" w:hAnsi="Times New Roman"/>
          <w:sz w:val="24"/>
          <w:szCs w:val="24"/>
        </w:rPr>
        <w:t xml:space="preserve"> remiasi gebėjimu kurti naujoves ir diegti naujus produktus, paslaugas, verslus, socialinius procesus ir modelius. Labai maža visų rūšių naujoves diegiančių įmonių dalis, </w:t>
      </w:r>
      <w:r w:rsidR="0081635F">
        <w:rPr>
          <w:rFonts w:ascii="Times New Roman" w:hAnsi="Times New Roman"/>
          <w:sz w:val="24"/>
          <w:szCs w:val="24"/>
        </w:rPr>
        <w:t>nedidelės</w:t>
      </w:r>
      <w:r w:rsidRPr="00E7414F">
        <w:rPr>
          <w:rFonts w:ascii="Times New Roman" w:hAnsi="Times New Roman"/>
          <w:sz w:val="24"/>
          <w:szCs w:val="24"/>
        </w:rPr>
        <w:t xml:space="preserve"> verslo išlaidos moksliniams tyrimams ir technologinei plėtrai, </w:t>
      </w:r>
      <w:r w:rsidRPr="00EB5ABB">
        <w:rPr>
          <w:rFonts w:ascii="Times New Roman" w:hAnsi="Times New Roman"/>
          <w:bCs/>
          <w:sz w:val="24"/>
          <w:szCs w:val="24"/>
        </w:rPr>
        <w:t>menkai</w:t>
      </w:r>
      <w:r w:rsidRPr="00E7414F">
        <w:rPr>
          <w:rFonts w:ascii="Times New Roman" w:hAnsi="Times New Roman"/>
          <w:bCs/>
          <w:sz w:val="24"/>
          <w:szCs w:val="24"/>
        </w:rPr>
        <w:t xml:space="preserve"> komercializuojamas esamas ekonominis Lietuvos mokslo potencialas</w:t>
      </w:r>
      <w:r w:rsidRPr="00E7414F">
        <w:rPr>
          <w:rFonts w:ascii="Times New Roman" w:hAnsi="Times New Roman"/>
          <w:sz w:val="24"/>
          <w:szCs w:val="24"/>
        </w:rPr>
        <w:t xml:space="preserve"> s</w:t>
      </w:r>
      <w:r w:rsidR="00EB5ABB">
        <w:rPr>
          <w:rFonts w:ascii="Times New Roman" w:hAnsi="Times New Roman"/>
          <w:sz w:val="24"/>
          <w:szCs w:val="24"/>
        </w:rPr>
        <w:t>ąlygoja esminių pokyčių poreikį;</w:t>
      </w:r>
      <w:r w:rsidRPr="00E7414F">
        <w:rPr>
          <w:rFonts w:ascii="Times New Roman" w:hAnsi="Times New Roman"/>
          <w:sz w:val="24"/>
          <w:szCs w:val="24"/>
        </w:rPr>
        <w:t xml:space="preserve"> kuriamos sumanios specializacijos strategijos pagrindu </w:t>
      </w:r>
      <w:r w:rsidRPr="00E7414F">
        <w:rPr>
          <w:rFonts w:ascii="Times New Roman" w:hAnsi="Times New Roman"/>
          <w:b/>
          <w:sz w:val="24"/>
          <w:szCs w:val="24"/>
        </w:rPr>
        <w:t xml:space="preserve">pirmame </w:t>
      </w:r>
      <w:r w:rsidR="00573CB9" w:rsidRPr="00E7414F">
        <w:rPr>
          <w:rFonts w:ascii="Times New Roman" w:hAnsi="Times New Roman"/>
          <w:b/>
          <w:sz w:val="24"/>
          <w:szCs w:val="24"/>
        </w:rPr>
        <w:t>tem</w:t>
      </w:r>
      <w:r w:rsidR="00573CB9">
        <w:rPr>
          <w:rFonts w:ascii="Times New Roman" w:hAnsi="Times New Roman"/>
          <w:b/>
          <w:sz w:val="24"/>
          <w:szCs w:val="24"/>
        </w:rPr>
        <w:t>iniame</w:t>
      </w:r>
      <w:r w:rsidR="00573CB9" w:rsidRPr="00E7414F">
        <w:rPr>
          <w:rFonts w:ascii="Times New Roman" w:hAnsi="Times New Roman"/>
          <w:b/>
          <w:sz w:val="24"/>
          <w:szCs w:val="24"/>
        </w:rPr>
        <w:t xml:space="preserve"> </w:t>
      </w:r>
      <w:r w:rsidRPr="00E7414F">
        <w:rPr>
          <w:rFonts w:ascii="Times New Roman" w:hAnsi="Times New Roman"/>
          <w:b/>
          <w:sz w:val="24"/>
          <w:szCs w:val="24"/>
        </w:rPr>
        <w:t>tiksle</w:t>
      </w:r>
      <w:r w:rsidRPr="00E7414F">
        <w:rPr>
          <w:rFonts w:ascii="Times New Roman" w:hAnsi="Times New Roman"/>
          <w:sz w:val="24"/>
          <w:szCs w:val="24"/>
        </w:rPr>
        <w:t xml:space="preserve"> numatoma sustiprinti verslo, studijų ir tyrimų sinergiją bei jų panaudojimą šalies ūkio konkurencingumo plėtrai. Tuo tikslu veiksmų programa investuos į viešos ir privačios MTEPI infrastruktūros, tiesiogiai susijusios su ūkio konkurencingumo stiprinimu, plėtrą bei jos glaudesnį ryšį su regiono ir Europos tyrimų infrastruktūros tinklu. Finansuojant MTEPI bus siekiama efektyvesnio jau sukurtos MTEPI infrastruktūros panaudojimo ūkio konkurencingumui stiprinti, </w:t>
      </w:r>
      <w:r w:rsidRPr="00EB5ABB">
        <w:rPr>
          <w:rFonts w:ascii="Times New Roman" w:hAnsi="Times New Roman"/>
          <w:sz w:val="24"/>
          <w:szCs w:val="24"/>
        </w:rPr>
        <w:t>taip pat</w:t>
      </w:r>
      <w:r w:rsidRPr="00E7414F">
        <w:rPr>
          <w:rFonts w:ascii="Times New Roman" w:hAnsi="Times New Roman"/>
          <w:sz w:val="24"/>
          <w:szCs w:val="24"/>
        </w:rPr>
        <w:t xml:space="preserve"> aktyvesnio Lietuvos tyrimų potencialo įsijungimo į Europos ir tarptautinius tyrimų institucijų ir tyrėjų tinklus.</w:t>
      </w:r>
    </w:p>
    <w:p w:rsidR="00E7414F" w:rsidRPr="00E7414F" w:rsidRDefault="00E7414F" w:rsidP="00E7414F">
      <w:pPr>
        <w:spacing w:after="0" w:line="240" w:lineRule="auto"/>
        <w:ind w:firstLine="624"/>
        <w:jc w:val="both"/>
        <w:rPr>
          <w:rFonts w:ascii="Times New Roman" w:hAnsi="Times New Roman"/>
          <w:sz w:val="24"/>
          <w:szCs w:val="24"/>
        </w:rPr>
      </w:pPr>
      <w:r w:rsidRPr="00E7414F">
        <w:rPr>
          <w:rFonts w:ascii="Times New Roman" w:hAnsi="Times New Roman"/>
          <w:sz w:val="24"/>
          <w:szCs w:val="24"/>
        </w:rPr>
        <w:t>Investicijos į MTEPI yra ilgalaikio pobūdžio ir pasižymi didele rizika, todėl valstybei tenka svarbus vaidmuo jas skatinant: tik nedidelė dalis verslo subjektų yra pajėgūs investuoti į šią sritį savarankiškai. Tuo tikslu numatoma auganti parama įmonių MTEPI veikloms, skatinant aukštesnės pridėtinės vertės produktų ir paslaugų pasiūlą. Kartu bus siekiama padidinti i</w:t>
      </w:r>
      <w:r w:rsidRPr="00E7414F">
        <w:rPr>
          <w:rFonts w:ascii="Times New Roman" w:eastAsia="AngsanaUPC" w:hAnsi="Times New Roman"/>
          <w:bCs/>
          <w:iCs/>
          <w:sz w:val="24"/>
          <w:szCs w:val="24"/>
          <w:lang w:eastAsia="lt-LT"/>
        </w:rPr>
        <w:t xml:space="preserve">novacijų paramos paslaugų prieinamumą ir kokybę tiek verslui, tiek mokslo ir studijų institucijoms, jų tyrėjams ir studentams. Efektyviai MTEPI partnerystei sustiprinti bus siekiama ne tik paskatinti tinklaveiką tarp įmonių, mokslo ir studijų institucijų, jų bendras iniciatyvas, bet ir </w:t>
      </w:r>
      <w:r w:rsidRPr="00E7414F">
        <w:rPr>
          <w:rFonts w:ascii="Times New Roman" w:hAnsi="Times New Roman"/>
          <w:sz w:val="24"/>
          <w:szCs w:val="24"/>
        </w:rPr>
        <w:t xml:space="preserve">naujų, žinioms imlių įmonių kūrimąsi bei MTEPI plėtrai aktualių užsienio tiesioginių investicijų pritraukimą, taip sukuriant MTEPI aktyvesnę pasiūlą ir paklausą tiek versle, tiek moksle. </w:t>
      </w:r>
      <w:r w:rsidRPr="00EB5ABB">
        <w:rPr>
          <w:rFonts w:ascii="Times New Roman" w:hAnsi="Times New Roman"/>
          <w:sz w:val="24"/>
          <w:szCs w:val="24"/>
        </w:rPr>
        <w:t>Pagaliau</w:t>
      </w:r>
      <w:r w:rsidRPr="00E7414F">
        <w:rPr>
          <w:rFonts w:ascii="Times New Roman" w:hAnsi="Times New Roman"/>
          <w:sz w:val="24"/>
          <w:szCs w:val="24"/>
        </w:rPr>
        <w:t xml:space="preserve"> esminis pokytis numatomas ir pačių valstybės institucijų atliekamame tiesioginiame inovacijų paklausos skatinime, pla</w:t>
      </w:r>
      <w:r w:rsidR="00471DD9">
        <w:rPr>
          <w:rFonts w:ascii="Times New Roman" w:hAnsi="Times New Roman"/>
          <w:sz w:val="24"/>
          <w:szCs w:val="24"/>
        </w:rPr>
        <w:t xml:space="preserve">čiau </w:t>
      </w:r>
      <w:r w:rsidR="00471DD9">
        <w:rPr>
          <w:rFonts w:ascii="Times New Roman" w:hAnsi="Times New Roman"/>
          <w:sz w:val="24"/>
          <w:szCs w:val="24"/>
        </w:rPr>
        <w:lastRenderedPageBreak/>
        <w:t>taikant inovatyvius ir iki</w:t>
      </w:r>
      <w:r w:rsidRPr="00E7414F">
        <w:rPr>
          <w:rFonts w:ascii="Times New Roman" w:hAnsi="Times New Roman"/>
          <w:sz w:val="24"/>
          <w:szCs w:val="24"/>
        </w:rPr>
        <w:t xml:space="preserve">prekybinius pirkimus bei kitas </w:t>
      </w:r>
      <w:r w:rsidRPr="00E7414F">
        <w:rPr>
          <w:rFonts w:ascii="Times New Roman" w:hAnsi="Times New Roman"/>
          <w:sz w:val="24"/>
          <w:szCs w:val="24"/>
          <w:lang w:eastAsia="lt-LT"/>
        </w:rPr>
        <w:t>skatinimo priemones, skirtas skatinti kurti ir/ar teikti į rinką inovatyvias prekes ir paslaugas</w:t>
      </w:r>
      <w:r w:rsidR="00EB5ABB">
        <w:rPr>
          <w:rFonts w:ascii="Times New Roman" w:hAnsi="Times New Roman"/>
          <w:sz w:val="24"/>
          <w:szCs w:val="24"/>
          <w:lang w:eastAsia="lt-LT"/>
        </w:rPr>
        <w:t xml:space="preserve"> visuomenei aktualių socialinių-</w:t>
      </w:r>
      <w:r w:rsidRPr="00E7414F">
        <w:rPr>
          <w:rFonts w:ascii="Times New Roman" w:hAnsi="Times New Roman"/>
          <w:sz w:val="24"/>
          <w:szCs w:val="24"/>
          <w:lang w:eastAsia="lt-LT"/>
        </w:rPr>
        <w:t>ekonominių problemų sprendimui.</w:t>
      </w:r>
    </w:p>
    <w:p w:rsidR="00E7414F" w:rsidRPr="00E7414F" w:rsidRDefault="00E7414F" w:rsidP="00E7414F">
      <w:pPr>
        <w:spacing w:after="0" w:line="240" w:lineRule="auto"/>
        <w:ind w:firstLine="624"/>
        <w:jc w:val="both"/>
        <w:rPr>
          <w:rFonts w:ascii="Times New Roman" w:hAnsi="Times New Roman"/>
          <w:sz w:val="24"/>
          <w:szCs w:val="24"/>
        </w:rPr>
      </w:pPr>
      <w:r w:rsidRPr="00E7414F">
        <w:rPr>
          <w:rFonts w:ascii="Times New Roman" w:hAnsi="Times New Roman"/>
          <w:sz w:val="24"/>
          <w:szCs w:val="24"/>
        </w:rPr>
        <w:t>Inovacijos yra sudėtingų ir daug dalyvių įtraukiančių procesų rezultatas, apimantis įmonių gebėjimą pasinaudoti papildomomis kitų rinkos dalyvių, organizacijų ir institucijų žiniomis. Svarbi prielaida numatytam MTEPI pokyčiui įgyvendinti yra tyrėjų (ypač</w:t>
      </w:r>
      <w:r w:rsidR="008838CF">
        <w:rPr>
          <w:rFonts w:ascii="Times New Roman" w:hAnsi="Times New Roman"/>
          <w:sz w:val="24"/>
          <w:szCs w:val="24"/>
        </w:rPr>
        <w:t xml:space="preserve"> dirbančių versle) skaičiaus, </w:t>
      </w:r>
      <w:r w:rsidRPr="00E7414F">
        <w:rPr>
          <w:rFonts w:ascii="Times New Roman" w:hAnsi="Times New Roman"/>
          <w:sz w:val="24"/>
          <w:szCs w:val="24"/>
        </w:rPr>
        <w:t>taip pat kompetencijų (įskaitant verslumą) didėjimas, kurio bus siekiama in</w:t>
      </w:r>
      <w:r w:rsidR="00CA02B2">
        <w:rPr>
          <w:rFonts w:ascii="Times New Roman" w:hAnsi="Times New Roman"/>
          <w:sz w:val="24"/>
          <w:szCs w:val="24"/>
        </w:rPr>
        <w:t xml:space="preserve">vesticijomis pagal </w:t>
      </w:r>
      <w:r w:rsidR="00CA02B2" w:rsidRPr="008838CF">
        <w:rPr>
          <w:rFonts w:ascii="Times New Roman" w:hAnsi="Times New Roman"/>
          <w:b/>
          <w:sz w:val="24"/>
          <w:szCs w:val="24"/>
        </w:rPr>
        <w:t>dešimtą tem</w:t>
      </w:r>
      <w:r w:rsidR="008838CF" w:rsidRPr="008838CF">
        <w:rPr>
          <w:rFonts w:ascii="Times New Roman" w:hAnsi="Times New Roman"/>
          <w:b/>
          <w:sz w:val="24"/>
          <w:szCs w:val="24"/>
        </w:rPr>
        <w:t>inį tikslą</w:t>
      </w:r>
      <w:r w:rsidR="008838CF">
        <w:rPr>
          <w:rFonts w:ascii="Times New Roman" w:hAnsi="Times New Roman"/>
          <w:sz w:val="24"/>
          <w:szCs w:val="24"/>
        </w:rPr>
        <w:t xml:space="preserve">, </w:t>
      </w:r>
      <w:r w:rsidRPr="00E7414F">
        <w:rPr>
          <w:rFonts w:ascii="Times New Roman" w:hAnsi="Times New Roman"/>
          <w:sz w:val="24"/>
          <w:szCs w:val="24"/>
        </w:rPr>
        <w:t>taip pa</w:t>
      </w:r>
      <w:r w:rsidR="00CA02B2">
        <w:rPr>
          <w:rFonts w:ascii="Times New Roman" w:hAnsi="Times New Roman"/>
          <w:sz w:val="24"/>
          <w:szCs w:val="24"/>
        </w:rPr>
        <w:t xml:space="preserve">t pagal </w:t>
      </w:r>
      <w:r w:rsidR="00CA02B2" w:rsidRPr="008838CF">
        <w:rPr>
          <w:rFonts w:ascii="Times New Roman" w:hAnsi="Times New Roman"/>
          <w:b/>
          <w:sz w:val="24"/>
          <w:szCs w:val="24"/>
        </w:rPr>
        <w:t>aštuntą ir devintą tem</w:t>
      </w:r>
      <w:r w:rsidRPr="008838CF">
        <w:rPr>
          <w:rFonts w:ascii="Times New Roman" w:hAnsi="Times New Roman"/>
          <w:b/>
          <w:sz w:val="24"/>
          <w:szCs w:val="24"/>
        </w:rPr>
        <w:t>inius tikslus</w:t>
      </w:r>
      <w:r w:rsidRPr="00E7414F">
        <w:rPr>
          <w:rFonts w:ascii="Times New Roman" w:hAnsi="Times New Roman"/>
          <w:sz w:val="24"/>
          <w:szCs w:val="24"/>
        </w:rPr>
        <w:t xml:space="preserve"> r</w:t>
      </w:r>
      <w:r w:rsidR="00704218">
        <w:rPr>
          <w:rFonts w:ascii="Times New Roman" w:hAnsi="Times New Roman"/>
          <w:sz w:val="24"/>
          <w:szCs w:val="24"/>
        </w:rPr>
        <w:t>emiamos socialinės inovacijos.</w:t>
      </w:r>
    </w:p>
    <w:p w:rsidR="00E7414F" w:rsidRPr="00E7414F" w:rsidRDefault="00E7414F" w:rsidP="00E7414F">
      <w:pPr>
        <w:spacing w:after="0" w:line="240" w:lineRule="auto"/>
        <w:ind w:firstLine="624"/>
        <w:jc w:val="both"/>
        <w:rPr>
          <w:rFonts w:ascii="Times New Roman" w:hAnsi="Times New Roman"/>
          <w:sz w:val="24"/>
          <w:szCs w:val="24"/>
        </w:rPr>
      </w:pPr>
      <w:r w:rsidRPr="00E7414F">
        <w:rPr>
          <w:rFonts w:ascii="Times New Roman" w:hAnsi="Times New Roman"/>
          <w:sz w:val="24"/>
          <w:szCs w:val="24"/>
        </w:rPr>
        <w:t xml:space="preserve">Augantis laisvų darbo vietų skaičius rodo, kad svarbiu pažangų augimą ribojančiu veiksniu tampa žmogiškieji ištekliai: </w:t>
      </w:r>
      <w:r w:rsidR="00942B48">
        <w:rPr>
          <w:rFonts w:ascii="Times New Roman" w:hAnsi="Times New Roman"/>
          <w:sz w:val="24"/>
          <w:szCs w:val="24"/>
        </w:rPr>
        <w:t>demografinių pokyčių (emigracijos, senėjimo</w:t>
      </w:r>
      <w:r w:rsidR="008838CF">
        <w:rPr>
          <w:rFonts w:ascii="Times New Roman" w:hAnsi="Times New Roman"/>
          <w:sz w:val="24"/>
          <w:szCs w:val="24"/>
        </w:rPr>
        <w:t>) vis labiau</w:t>
      </w:r>
      <w:r w:rsidRPr="00E7414F">
        <w:rPr>
          <w:rFonts w:ascii="Times New Roman" w:hAnsi="Times New Roman"/>
          <w:sz w:val="24"/>
          <w:szCs w:val="24"/>
        </w:rPr>
        <w:t xml:space="preserve"> ribojami, jie kartu </w:t>
      </w:r>
      <w:r w:rsidRPr="008838CF">
        <w:rPr>
          <w:rFonts w:ascii="Times New Roman" w:hAnsi="Times New Roman"/>
          <w:sz w:val="24"/>
          <w:szCs w:val="24"/>
        </w:rPr>
        <w:t>vis labiau</w:t>
      </w:r>
      <w:r w:rsidRPr="00E7414F">
        <w:rPr>
          <w:rFonts w:ascii="Times New Roman" w:hAnsi="Times New Roman"/>
          <w:sz w:val="24"/>
          <w:szCs w:val="24"/>
        </w:rPr>
        <w:t xml:space="preserve"> stokoja ūkio ir visuomenės plėtrai reikalingų kompetencijų, tiek dėl didėjančio švietimo ir studijų sistemos neatitikimo ūkio ir visuomenė</w:t>
      </w:r>
      <w:r w:rsidR="00CA02B2">
        <w:rPr>
          <w:rFonts w:ascii="Times New Roman" w:hAnsi="Times New Roman"/>
          <w:sz w:val="24"/>
          <w:szCs w:val="24"/>
        </w:rPr>
        <w:t>s</w:t>
      </w:r>
      <w:r w:rsidRPr="00E7414F">
        <w:rPr>
          <w:rFonts w:ascii="Times New Roman" w:hAnsi="Times New Roman"/>
          <w:sz w:val="24"/>
          <w:szCs w:val="24"/>
        </w:rPr>
        <w:t xml:space="preserve"> poreikiams, tiek dėl dvigubai mažesnio nei ES vidurkis mokymosi visą gyvenimą lygio. Labai svarbu kokybiškai suteikti žinias, gebėjimus ir įgūdžius bei juos nuolat atnaujinti: šiuo požiūriu esminės yra pagal </w:t>
      </w:r>
      <w:r w:rsidRPr="00E7414F">
        <w:rPr>
          <w:rFonts w:ascii="Times New Roman" w:hAnsi="Times New Roman"/>
          <w:b/>
          <w:sz w:val="24"/>
          <w:szCs w:val="24"/>
        </w:rPr>
        <w:t>dešimtą teminį tikslą</w:t>
      </w:r>
      <w:r w:rsidRPr="00E7414F">
        <w:rPr>
          <w:rFonts w:ascii="Times New Roman" w:hAnsi="Times New Roman"/>
          <w:sz w:val="24"/>
          <w:szCs w:val="24"/>
        </w:rPr>
        <w:t xml:space="preserve"> numatomos investicijos. Jomis bus siekiama, kad į mokymosi visą gyvenimą ciklą būtų įsijungiama</w:t>
      </w:r>
      <w:r w:rsidR="00942B48">
        <w:rPr>
          <w:rFonts w:ascii="Times New Roman" w:hAnsi="Times New Roman"/>
          <w:sz w:val="24"/>
          <w:szCs w:val="24"/>
        </w:rPr>
        <w:t>,</w:t>
      </w:r>
      <w:r w:rsidRPr="00E7414F">
        <w:rPr>
          <w:rFonts w:ascii="Times New Roman" w:hAnsi="Times New Roman"/>
          <w:sz w:val="24"/>
          <w:szCs w:val="24"/>
        </w:rPr>
        <w:t xml:space="preserve"> kuo anksčiau (didėjantis ikimokyklinio ugdymo prieinamumas ir dalyvavimas jame), optimizuotas mokyklų tinklas visiems besimokantiems garantuotų adekvatų pasiekimų lygį visose esminėse kompetencijose (kartu didinant susidomėjimą gamtos ir technologiniais mokslais, taip pat profesines mokyklas ir profesijų įgijimą besirenkančių mokinių dalį), o studijų sistema užtikrintų darbo rinkos poreikius atitinkančių kompetencijų ir praktinių įgūdžių suteikimą. Be to, atsižvelgiant į santykinį visuomenės senėjimą, dar aktualesnis taps suaugusiųjų mokymasis visą gyvenimą: veiksmų programos investicijos sieks paveikti tiek pasiūlą, pavyzdžiui, padės užtikrinti formalios švietimo sistemos dalyvių (profesinių mokyklų, kolegijų, universitetų) aktyvesnį įsitraukimą, siūlomų paslaugų spektrą, tiek paklausą, visų pirma, teikiant tiesioginę paramą labiausiai nuo mokymosi visą gyvenimą nutolusių tikslinių grupių (pasižyminčių žema, seniai įgyta kvalifikacija) mokymuisi. </w:t>
      </w:r>
    </w:p>
    <w:p w:rsidR="00F61B94" w:rsidRDefault="00F61B94" w:rsidP="00E7414F">
      <w:pPr>
        <w:spacing w:after="0" w:line="240" w:lineRule="auto"/>
        <w:ind w:firstLine="624"/>
        <w:jc w:val="both"/>
        <w:rPr>
          <w:rFonts w:ascii="Times New Roman" w:hAnsi="Times New Roman"/>
          <w:sz w:val="24"/>
          <w:szCs w:val="24"/>
        </w:rPr>
      </w:pPr>
      <w:r w:rsidRPr="00F61B94">
        <w:rPr>
          <w:rFonts w:ascii="Times New Roman" w:hAnsi="Times New Roman"/>
          <w:sz w:val="24"/>
          <w:szCs w:val="24"/>
        </w:rPr>
        <w:t>Šiuolaikinėje ekonomikoje viešojo administravimo sektorius, t. y.</w:t>
      </w:r>
      <w:r w:rsidR="002B0602">
        <w:rPr>
          <w:rFonts w:ascii="Times New Roman" w:hAnsi="Times New Roman"/>
          <w:sz w:val="24"/>
          <w:szCs w:val="24"/>
        </w:rPr>
        <w:t>,</w:t>
      </w:r>
      <w:r w:rsidRPr="00F61B94">
        <w:rPr>
          <w:rFonts w:ascii="Times New Roman" w:hAnsi="Times New Roman"/>
          <w:sz w:val="24"/>
          <w:szCs w:val="24"/>
        </w:rPr>
        <w:t xml:space="preserve"> institucijos ir viešoji politika, įgauna vis didesnę reikšmę, nes jis turi ne tik šalinti trūkumus ir sudaryti palankias sąlygas rinkoms efektyviai veikti (</w:t>
      </w:r>
      <w:r w:rsidR="00686878">
        <w:rPr>
          <w:rFonts w:ascii="Times New Roman" w:hAnsi="Times New Roman"/>
          <w:sz w:val="24"/>
          <w:szCs w:val="24"/>
        </w:rPr>
        <w:t>pavyzdžiui</w:t>
      </w:r>
      <w:r w:rsidRPr="008838CF">
        <w:rPr>
          <w:rFonts w:ascii="Times New Roman" w:hAnsi="Times New Roman"/>
          <w:sz w:val="24"/>
          <w:szCs w:val="24"/>
        </w:rPr>
        <w:t>, tau</w:t>
      </w:r>
      <w:r w:rsidR="008838CF" w:rsidRPr="008838CF">
        <w:rPr>
          <w:rFonts w:ascii="Times New Roman" w:hAnsi="Times New Roman"/>
          <w:sz w:val="24"/>
          <w:szCs w:val="24"/>
        </w:rPr>
        <w:t>s</w:t>
      </w:r>
      <w:r w:rsidRPr="008838CF">
        <w:rPr>
          <w:rFonts w:ascii="Times New Roman" w:hAnsi="Times New Roman"/>
          <w:sz w:val="24"/>
          <w:szCs w:val="24"/>
        </w:rPr>
        <w:t>iai</w:t>
      </w:r>
      <w:r w:rsidRPr="00F61B94">
        <w:rPr>
          <w:rFonts w:ascii="Times New Roman" w:hAnsi="Times New Roman"/>
          <w:sz w:val="24"/>
          <w:szCs w:val="24"/>
        </w:rPr>
        <w:t xml:space="preserve"> vartoti išteklius ekonominėje veikloje), bet ir skatinti žinių kūrimą ir perdavimą. Kartu didelis nepasitikėjimas valdžios institucijomis </w:t>
      </w:r>
      <w:proofErr w:type="gramStart"/>
      <w:r w:rsidRPr="00F61B94">
        <w:rPr>
          <w:rFonts w:ascii="Times New Roman" w:hAnsi="Times New Roman"/>
          <w:sz w:val="24"/>
          <w:szCs w:val="24"/>
        </w:rPr>
        <w:t>piliečių tarpe</w:t>
      </w:r>
      <w:proofErr w:type="gramEnd"/>
      <w:r w:rsidRPr="00F61B94">
        <w:rPr>
          <w:rFonts w:ascii="Times New Roman" w:hAnsi="Times New Roman"/>
          <w:sz w:val="24"/>
          <w:szCs w:val="24"/>
        </w:rPr>
        <w:t xml:space="preserve"> trukdo socialinei sanglaudai. Investuojant pagal </w:t>
      </w:r>
      <w:r w:rsidRPr="00F61B94">
        <w:rPr>
          <w:rFonts w:ascii="Times New Roman" w:hAnsi="Times New Roman"/>
          <w:b/>
          <w:sz w:val="24"/>
          <w:szCs w:val="24"/>
        </w:rPr>
        <w:t>vienuoliktą teminį tikslą</w:t>
      </w:r>
      <w:r w:rsidRPr="00F61B94">
        <w:rPr>
          <w:rFonts w:ascii="Times New Roman" w:hAnsi="Times New Roman"/>
          <w:sz w:val="24"/>
          <w:szCs w:val="24"/>
        </w:rPr>
        <w:t xml:space="preserve"> bus siekiama sustiprinti efektyvią valstybės ir savivaldybių institucijų ir įstaigų veiklą bei valstybės tarnautojų kvalifikacijos ir kompetencijos atitiktį besikeičiantiems poreikiams. Esminių pokyčių tikimasi</w:t>
      </w:r>
      <w:r w:rsidR="009813B5">
        <w:rPr>
          <w:rFonts w:ascii="Times New Roman" w:hAnsi="Times New Roman"/>
          <w:sz w:val="24"/>
          <w:szCs w:val="24"/>
        </w:rPr>
        <w:t>,</w:t>
      </w:r>
      <w:r w:rsidRPr="00F61B94">
        <w:rPr>
          <w:rFonts w:ascii="Times New Roman" w:hAnsi="Times New Roman"/>
          <w:sz w:val="24"/>
          <w:szCs w:val="24"/>
        </w:rPr>
        <w:t xml:space="preserve"> didinant sprendimų priėmimo skaidrumą</w:t>
      </w:r>
      <w:r w:rsidR="009813B5">
        <w:rPr>
          <w:rFonts w:ascii="Times New Roman" w:hAnsi="Times New Roman"/>
          <w:sz w:val="24"/>
          <w:szCs w:val="24"/>
        </w:rPr>
        <w:t xml:space="preserve"> ir pagrįstumą žiniomis, didinant</w:t>
      </w:r>
      <w:r w:rsidRPr="00F61B94">
        <w:rPr>
          <w:rFonts w:ascii="Times New Roman" w:hAnsi="Times New Roman"/>
          <w:sz w:val="24"/>
          <w:szCs w:val="24"/>
        </w:rPr>
        <w:t xml:space="preserve"> ekonominės veiklo</w:t>
      </w:r>
      <w:r w:rsidR="009813B5">
        <w:rPr>
          <w:rFonts w:ascii="Times New Roman" w:hAnsi="Times New Roman"/>
          <w:sz w:val="24"/>
          <w:szCs w:val="24"/>
        </w:rPr>
        <w:t>s reglamentavimo kokybę, mažinant</w:t>
      </w:r>
      <w:r w:rsidRPr="00F61B94">
        <w:rPr>
          <w:rFonts w:ascii="Times New Roman" w:hAnsi="Times New Roman"/>
          <w:sz w:val="24"/>
          <w:szCs w:val="24"/>
        </w:rPr>
        <w:t xml:space="preserve"> administracinę naštą vers</w:t>
      </w:r>
      <w:r w:rsidR="009813B5">
        <w:rPr>
          <w:rFonts w:ascii="Times New Roman" w:hAnsi="Times New Roman"/>
          <w:sz w:val="24"/>
          <w:szCs w:val="24"/>
        </w:rPr>
        <w:t>lui, korupciją; taip pat didinant</w:t>
      </w:r>
      <w:r w:rsidRPr="00F61B94">
        <w:rPr>
          <w:rFonts w:ascii="Times New Roman" w:hAnsi="Times New Roman"/>
          <w:sz w:val="24"/>
          <w:szCs w:val="24"/>
        </w:rPr>
        <w:t xml:space="preserve"> viešųjų paslaugų orientaciją į</w:t>
      </w:r>
      <w:r w:rsidR="009813B5">
        <w:rPr>
          <w:rFonts w:ascii="Times New Roman" w:hAnsi="Times New Roman"/>
          <w:sz w:val="24"/>
          <w:szCs w:val="24"/>
        </w:rPr>
        <w:t xml:space="preserve"> pilietį kaip klientą, stiprinant</w:t>
      </w:r>
      <w:r w:rsidRPr="00F61B94">
        <w:rPr>
          <w:rFonts w:ascii="Times New Roman" w:hAnsi="Times New Roman"/>
          <w:sz w:val="24"/>
          <w:szCs w:val="24"/>
        </w:rPr>
        <w:t xml:space="preserve"> valstybės tarnybos sistemą ir gebėjimus palaikyti ir įgyvendinti viešojo sektoriaus reformas.</w:t>
      </w:r>
    </w:p>
    <w:p w:rsidR="00E7414F" w:rsidRDefault="00527C83" w:rsidP="00E7414F">
      <w:pPr>
        <w:spacing w:after="0" w:line="240" w:lineRule="auto"/>
        <w:ind w:firstLine="624"/>
        <w:jc w:val="both"/>
        <w:rPr>
          <w:rFonts w:ascii="Times New Roman" w:hAnsi="Times New Roman"/>
          <w:sz w:val="24"/>
          <w:szCs w:val="24"/>
        </w:rPr>
      </w:pPr>
      <w:r w:rsidRPr="00527C83">
        <w:rPr>
          <w:rFonts w:ascii="Times New Roman" w:hAnsi="Times New Roman"/>
          <w:sz w:val="24"/>
          <w:szCs w:val="24"/>
        </w:rPr>
        <w:t xml:space="preserve">Informacinės ir ryšių technologijos (IRT) yra įtakingas ūkio augimą, inovacijas ir produktyvumą skatinantis veiksnys, turintis poveikį visoms šios veiksmų programos investavimo sritims. Išplėtota ir visiems prieinama IRT infrastruktūra leidžia sparčiai ir pigiai gauti, kurti, skleisti ir keistis informacija, ja naudotis gamyboje bei teikiant viešojo ar privataus sektoriaus paslaugas. Pagal </w:t>
      </w:r>
      <w:r w:rsidRPr="00527C83">
        <w:rPr>
          <w:rFonts w:ascii="Times New Roman" w:hAnsi="Times New Roman"/>
          <w:b/>
          <w:sz w:val="24"/>
          <w:szCs w:val="24"/>
        </w:rPr>
        <w:t>antrą teminį tikslą</w:t>
      </w:r>
      <w:r w:rsidRPr="00527C83">
        <w:rPr>
          <w:rFonts w:ascii="Times New Roman" w:hAnsi="Times New Roman"/>
          <w:sz w:val="24"/>
          <w:szCs w:val="24"/>
        </w:rPr>
        <w:t xml:space="preserve"> numatomos investicijos sieks užtikrinti sparčiojo plačiajuosčio interneto ryšio pasiekiamumą visiems Lietuvos namų ūkiams ir prisidėti prie sparčiojo plačiajuosčio ryšio skverbties </w:t>
      </w:r>
      <w:proofErr w:type="gramStart"/>
      <w:r w:rsidRPr="00527C83">
        <w:rPr>
          <w:rFonts w:ascii="Times New Roman" w:hAnsi="Times New Roman"/>
          <w:sz w:val="24"/>
          <w:szCs w:val="24"/>
        </w:rPr>
        <w:t>gyventojų tarpe</w:t>
      </w:r>
      <w:proofErr w:type="gramEnd"/>
      <w:r w:rsidRPr="00527C83">
        <w:rPr>
          <w:rFonts w:ascii="Times New Roman" w:hAnsi="Times New Roman"/>
          <w:sz w:val="24"/>
          <w:szCs w:val="24"/>
        </w:rPr>
        <w:t xml:space="preserve"> augimo. Kartu bus siekiama </w:t>
      </w:r>
      <w:r w:rsidR="00724FFC">
        <w:rPr>
          <w:rFonts w:ascii="Times New Roman" w:hAnsi="Times New Roman"/>
          <w:sz w:val="24"/>
          <w:szCs w:val="24"/>
        </w:rPr>
        <w:t>smarkiai</w:t>
      </w:r>
      <w:r w:rsidRPr="00527C83">
        <w:rPr>
          <w:rFonts w:ascii="Times New Roman" w:hAnsi="Times New Roman"/>
          <w:sz w:val="24"/>
          <w:szCs w:val="24"/>
        </w:rPr>
        <w:t xml:space="preserve"> padidinti IRT paklausą </w:t>
      </w:r>
      <w:proofErr w:type="gramStart"/>
      <w:r w:rsidRPr="00527C83">
        <w:rPr>
          <w:rFonts w:ascii="Times New Roman" w:hAnsi="Times New Roman"/>
          <w:sz w:val="24"/>
          <w:szCs w:val="24"/>
        </w:rPr>
        <w:t>gyventojų tarpe</w:t>
      </w:r>
      <w:proofErr w:type="gramEnd"/>
      <w:r w:rsidRPr="00527C83">
        <w:rPr>
          <w:rFonts w:ascii="Times New Roman" w:hAnsi="Times New Roman"/>
          <w:sz w:val="24"/>
          <w:szCs w:val="24"/>
        </w:rPr>
        <w:t xml:space="preserve">, padedant jiems įgyti išmaniam ir visapusiškam interneto naudojimui, </w:t>
      </w:r>
      <w:r w:rsidR="00686878">
        <w:rPr>
          <w:rFonts w:ascii="Times New Roman" w:hAnsi="Times New Roman"/>
          <w:sz w:val="24"/>
          <w:szCs w:val="24"/>
        </w:rPr>
        <w:t>pavyzdžiui,</w:t>
      </w:r>
      <w:r w:rsidRPr="00527C83">
        <w:rPr>
          <w:rFonts w:ascii="Times New Roman" w:hAnsi="Times New Roman"/>
          <w:sz w:val="24"/>
          <w:szCs w:val="24"/>
        </w:rPr>
        <w:t xml:space="preserve"> e. komercijos, viešųjų e. paslaugų naudojimo, saugaus ir atsakingo elgesio internete ir kt. reikšmingose srityse, reikalingus įgūdžius. Bus skatinamas efektyvus viešojo sektoriaus informacijos pakartotinis panaudojimas verslo ir visuomenės poreikiams, plėtojamos technologiškai pažangios ir į vartotojus orientuotos elektroninės viešosios ir administracinės paslaugos</w:t>
      </w:r>
      <w:r w:rsidRPr="00527C83" w:rsidDel="002F3D65">
        <w:rPr>
          <w:rFonts w:ascii="Times New Roman" w:hAnsi="Times New Roman"/>
          <w:sz w:val="24"/>
          <w:szCs w:val="24"/>
        </w:rPr>
        <w:t xml:space="preserve"> </w:t>
      </w:r>
      <w:r w:rsidRPr="00527C83">
        <w:rPr>
          <w:rFonts w:ascii="Times New Roman" w:hAnsi="Times New Roman"/>
          <w:sz w:val="24"/>
          <w:szCs w:val="24"/>
        </w:rPr>
        <w:t>ir prisidedama prie optimalaus valstybės informacinės infrastruktūros ir išteklių valdymo.</w:t>
      </w:r>
    </w:p>
    <w:p w:rsidR="00540649" w:rsidRPr="000F7786" w:rsidRDefault="00540649" w:rsidP="00540649">
      <w:pPr>
        <w:spacing w:after="0" w:line="240" w:lineRule="auto"/>
        <w:ind w:firstLine="624"/>
        <w:jc w:val="both"/>
        <w:rPr>
          <w:rFonts w:ascii="Times New Roman" w:hAnsi="Times New Roman"/>
          <w:bCs/>
          <w:sz w:val="24"/>
          <w:szCs w:val="24"/>
        </w:rPr>
      </w:pPr>
      <w:r w:rsidRPr="000F7786">
        <w:rPr>
          <w:rFonts w:ascii="Times New Roman" w:hAnsi="Times New Roman"/>
          <w:sz w:val="24"/>
          <w:szCs w:val="24"/>
        </w:rPr>
        <w:lastRenderedPageBreak/>
        <w:t xml:space="preserve">Europos Sąjunga patiria sunkų išbandymą. Ji siekia išsivaduoti iš globalios koronaviruso (COVID-19) pandemijos sukeltos krizės ir perorientuoti ekonomiką link atsparaus ir tvaraus augimo, laikantis žaliojo kurso ir skaitmeninimo tikslų. Europos Komisija pasiūlė naują </w:t>
      </w:r>
      <w:r w:rsidRPr="000F7786">
        <w:rPr>
          <w:rFonts w:ascii="Times New Roman" w:hAnsi="Times New Roman"/>
          <w:bCs/>
          <w:sz w:val="24"/>
          <w:szCs w:val="24"/>
        </w:rPr>
        <w:t xml:space="preserve">iniciatyvą </w:t>
      </w:r>
      <w:r w:rsidRPr="000F7786">
        <w:rPr>
          <w:rFonts w:ascii="Times New Roman" w:eastAsia="Times New Roman" w:hAnsi="Times New Roman"/>
          <w:caps/>
          <w:sz w:val="24"/>
          <w:szCs w:val="24"/>
        </w:rPr>
        <w:t>„</w:t>
      </w:r>
      <w:r w:rsidRPr="000F7786">
        <w:rPr>
          <w:rFonts w:ascii="Times New Roman" w:hAnsi="Times New Roman"/>
          <w:bCs/>
          <w:sz w:val="24"/>
          <w:szCs w:val="24"/>
        </w:rPr>
        <w:t>React–EU</w:t>
      </w:r>
      <w:r w:rsidRPr="000F7786">
        <w:rPr>
          <w:rFonts w:ascii="Times New Roman" w:eastAsia="Times New Roman" w:hAnsi="Times New Roman"/>
          <w:caps/>
          <w:sz w:val="24"/>
          <w:szCs w:val="24"/>
        </w:rPr>
        <w:t>“</w:t>
      </w:r>
      <w:r w:rsidRPr="000F7786">
        <w:rPr>
          <w:rFonts w:ascii="Times New Roman" w:hAnsi="Times New Roman"/>
          <w:bCs/>
          <w:sz w:val="24"/>
          <w:szCs w:val="24"/>
        </w:rPr>
        <w:t xml:space="preserve">, kuri papildys dabartinės Sanglaudos politikos fondų (Europos regioninės plėtros fondo ir Europos socialinio fondo) lėšas. </w:t>
      </w:r>
    </w:p>
    <w:p w:rsidR="00540649" w:rsidRPr="000F7786" w:rsidRDefault="00540649" w:rsidP="00540649">
      <w:pPr>
        <w:spacing w:after="0" w:line="240" w:lineRule="auto"/>
        <w:ind w:firstLine="624"/>
        <w:jc w:val="both"/>
        <w:rPr>
          <w:rFonts w:ascii="Times New Roman" w:hAnsi="Times New Roman"/>
          <w:sz w:val="24"/>
          <w:szCs w:val="24"/>
        </w:rPr>
      </w:pPr>
      <w:r w:rsidRPr="000F7786">
        <w:rPr>
          <w:rFonts w:ascii="Times New Roman" w:hAnsi="Times New Roman"/>
          <w:sz w:val="24"/>
          <w:szCs w:val="24"/>
        </w:rPr>
        <w:t>Lietuvos Respublikos Vyriausybė, reaguodama į koronaviruso keliamą neigiamą poveikį šalies ekonomikai, ir atsižvelgdama į ilgalaikę perspektyvą bei siekdama spartinti investicijas ir nukreipti jas į sektorius, kurie padėtų ekonomikai sparčiau atsigauti, patvirtino Ateities ekonomikos DNR planą. Pagrindinis plano tikslas siekti sparčių ir efektyvių investicijų, kad šalies ekonomika taptų tvari, inovatyvi ir kurtų aukštą pridėtinę vertę.</w:t>
      </w:r>
      <w:r w:rsidRPr="000F7786">
        <w:rPr>
          <w:rFonts w:ascii="Arial" w:eastAsia="Times New Roman" w:hAnsi="Arial" w:cs="Arial"/>
          <w:sz w:val="20"/>
          <w:szCs w:val="20"/>
        </w:rPr>
        <w:t xml:space="preserve"> </w:t>
      </w:r>
      <w:r w:rsidRPr="000F7786">
        <w:rPr>
          <w:rFonts w:ascii="Times New Roman" w:hAnsi="Times New Roman"/>
          <w:sz w:val="24"/>
          <w:szCs w:val="24"/>
        </w:rPr>
        <w:t>Šioms ilgalaikio poveikio investicijoms iš viso numatoma skirti 6,3 mlrd. eurų. Jame išskirti 5 prioritetai, į kuriuos siūloma koncentruotis – žmogiškasis kapitalas, skaitmeninė ekonomika ir verslas, inovacijos ir moksliniai tyrimai, ekonominė infrastruktūra bei klimato kaita ir energetika.</w:t>
      </w:r>
    </w:p>
    <w:p w:rsidR="00540649" w:rsidRPr="000F7786" w:rsidRDefault="00540649" w:rsidP="00540649">
      <w:pPr>
        <w:spacing w:after="0" w:line="240" w:lineRule="auto"/>
        <w:ind w:firstLine="624"/>
        <w:jc w:val="both"/>
        <w:rPr>
          <w:rFonts w:ascii="Times New Roman" w:hAnsi="Times New Roman"/>
          <w:bCs/>
          <w:sz w:val="24"/>
          <w:szCs w:val="24"/>
        </w:rPr>
      </w:pPr>
      <w:r w:rsidRPr="000F7786">
        <w:rPr>
          <w:rFonts w:ascii="Times New Roman" w:hAnsi="Times New Roman"/>
          <w:sz w:val="24"/>
          <w:szCs w:val="24"/>
        </w:rPr>
        <w:t xml:space="preserve">Atsižvelgiant į </w:t>
      </w:r>
      <w:r w:rsidRPr="000F7786">
        <w:rPr>
          <w:rFonts w:ascii="Times New Roman" w:hAnsi="Times New Roman"/>
          <w:bCs/>
          <w:sz w:val="24"/>
          <w:szCs w:val="24"/>
        </w:rPr>
        <w:t xml:space="preserve">Ateities ekonomikos DNR planą ir ES Tarybos rekomendacijas Lietuvai 2020 metams ir Europos pavyzdines iniciatyvas, </w:t>
      </w:r>
      <w:r w:rsidRPr="000F7786">
        <w:rPr>
          <w:rFonts w:ascii="Times New Roman" w:hAnsi="Times New Roman"/>
          <w:b/>
          <w:bCs/>
          <w:sz w:val="24"/>
          <w:szCs w:val="24"/>
        </w:rPr>
        <w:t>„React–EU“ teminį tikslą</w:t>
      </w:r>
      <w:r w:rsidRPr="000F7786">
        <w:rPr>
          <w:rFonts w:ascii="Times New Roman" w:hAnsi="Times New Roman"/>
          <w:bCs/>
          <w:sz w:val="24"/>
          <w:szCs w:val="24"/>
        </w:rPr>
        <w:t xml:space="preserve">, finansuojamą </w:t>
      </w:r>
      <w:r w:rsidRPr="000F7786">
        <w:rPr>
          <w:rFonts w:ascii="Times New Roman" w:eastAsia="Times New Roman" w:hAnsi="Times New Roman"/>
          <w:caps/>
          <w:sz w:val="24"/>
          <w:szCs w:val="24"/>
        </w:rPr>
        <w:t>„</w:t>
      </w:r>
      <w:r w:rsidRPr="000F7786">
        <w:rPr>
          <w:rFonts w:ascii="Times New Roman" w:hAnsi="Times New Roman"/>
          <w:bCs/>
          <w:sz w:val="24"/>
          <w:szCs w:val="24"/>
        </w:rPr>
        <w:t>React–EU</w:t>
      </w:r>
      <w:r w:rsidRPr="000F7786">
        <w:rPr>
          <w:rFonts w:ascii="Times New Roman" w:eastAsia="Times New Roman" w:hAnsi="Times New Roman"/>
          <w:caps/>
          <w:sz w:val="24"/>
          <w:szCs w:val="24"/>
        </w:rPr>
        <w:t>“</w:t>
      </w:r>
      <w:r w:rsidRPr="000F7786">
        <w:rPr>
          <w:rFonts w:ascii="Times New Roman" w:hAnsi="Times New Roman"/>
          <w:bCs/>
          <w:sz w:val="24"/>
          <w:szCs w:val="24"/>
        </w:rPr>
        <w:t xml:space="preserve"> iniciatyvos lėšomis, investicijos bus skirtos spręsti iššūkius, kilusius dėl COVID-19 pandemijos krizės, susidoroti su socialiniais ir ekonominiais sunkumais, užtikrinti pažangų ekonomikos augimą bei stiprinti jos pasirengimą atremti galimus sukrėtimus ateityje. </w:t>
      </w:r>
    </w:p>
    <w:p w:rsidR="00540649" w:rsidRPr="000F7786" w:rsidRDefault="00540649" w:rsidP="00540649">
      <w:pPr>
        <w:spacing w:after="0" w:line="240" w:lineRule="auto"/>
        <w:ind w:firstLine="624"/>
        <w:jc w:val="both"/>
        <w:rPr>
          <w:rFonts w:ascii="Times New Roman" w:hAnsi="Times New Roman"/>
          <w:bCs/>
          <w:sz w:val="24"/>
          <w:szCs w:val="24"/>
        </w:rPr>
      </w:pPr>
      <w:r w:rsidRPr="000F7786">
        <w:rPr>
          <w:rFonts w:ascii="Times New Roman" w:hAnsi="Times New Roman"/>
          <w:bCs/>
          <w:sz w:val="24"/>
          <w:szCs w:val="24"/>
        </w:rPr>
        <w:t>ES vykstant sparčiai pramonės robotizacijai ir automatizacijai, būtina siekti perėjimo prie skaitmeninės ekonomikos, vystyti mokslinius tyrimus ir inovacijas. Todėl dalis investicijų bus nukreipiama į įmonių skaitmeninimą ir produktyvumo didinimą. Siekiant, eksporto plėtros ir eksporto rinkų diversifikacijos, verslas bus skatinamas kurti naujus produktus, diegti e-verslo modelius, įsigyti ir diegtis originalius produktų sprendimus (netechnologines inovacijas). Ypatingas dėmesys bus skiriamas įmonių MTEP veiklų skatinimui, mokslo ir studijų institucijų bei įmonių bendradarbiavimui vykdant bendrą MTEP veiklą ir komercializuojant sprendimus gyvybės mokslų bei inžinerinės pramonės srityse. Sveikatos apsaugos sistema bus stiprinama vystant kritinę inovacijų infrastruktūrą ir skaitmeninius medicinos sprendimus. Šios investicijos bus finansuojamos ERPF lėšomis pagal šį teminį tikslą. Jo investicijos taip pat prisidės prie Europos žaliojo kurso bei Jungtinių Tautų Darnaus vystymosi klimato ir energetikos srities tikslų, nes investicijos bus koncentruojamos energijos efektyvumo ir atsinaujinančių energijos išteklių (AEI) gamybos ir vartojimo didinimui. Bus finansuojama viešųjų pastatų renovacija, atsinaujinančios energijos gamybos ir paskirstymo, žaliosios energijos vartojimo, skatinimas. Siekiant energetikos sektoriaus konkurencingumo ir patikimumo, lėšos bus skiriamos inovatyviems sprendimams ir technologijoms šioje srityje.</w:t>
      </w:r>
    </w:p>
    <w:p w:rsidR="00540649" w:rsidRPr="000F7786" w:rsidRDefault="00540649" w:rsidP="00540649">
      <w:pPr>
        <w:spacing w:after="0" w:line="240" w:lineRule="auto"/>
        <w:ind w:firstLine="624"/>
        <w:jc w:val="both"/>
        <w:rPr>
          <w:rFonts w:ascii="Times New Roman" w:hAnsi="Times New Roman"/>
          <w:bCs/>
          <w:sz w:val="24"/>
          <w:szCs w:val="24"/>
        </w:rPr>
      </w:pPr>
      <w:r w:rsidRPr="000F7786">
        <w:rPr>
          <w:rFonts w:ascii="Times New Roman" w:hAnsi="Times New Roman"/>
          <w:bCs/>
          <w:sz w:val="24"/>
          <w:szCs w:val="24"/>
        </w:rPr>
        <w:t xml:space="preserve">Pagal šį teminį tikslą ESF lėšomis bus finansuojamos aktyvios darbo rinkos politikos priemonės. Greitas darbo jėgos perkvalifikavimas prisitaikant prie nuolat kintančių rinkos poreikių, turės teigiamą poveikį sprendžiant nedarbo problemas, didins po karantino neproduktyviai dirbančių žmogiškųjų išteklių konkurencingumą, </w:t>
      </w:r>
      <w:proofErr w:type="gramStart"/>
      <w:r w:rsidRPr="000F7786">
        <w:rPr>
          <w:rFonts w:ascii="Times New Roman" w:hAnsi="Times New Roman"/>
          <w:bCs/>
          <w:sz w:val="24"/>
          <w:szCs w:val="24"/>
        </w:rPr>
        <w:t>labiau kvalifikuotą</w:t>
      </w:r>
      <w:proofErr w:type="gramEnd"/>
      <w:r w:rsidRPr="000F7786">
        <w:rPr>
          <w:rFonts w:ascii="Times New Roman" w:hAnsi="Times New Roman"/>
          <w:bCs/>
          <w:sz w:val="24"/>
          <w:szCs w:val="24"/>
        </w:rPr>
        <w:t xml:space="preserve"> darbo jėgą pritraukiant į įvairius ūkio sektorius.</w:t>
      </w:r>
    </w:p>
    <w:p w:rsidR="0083442A" w:rsidRPr="00E7414F" w:rsidRDefault="0083442A" w:rsidP="00E7414F">
      <w:pPr>
        <w:spacing w:after="0" w:line="240" w:lineRule="auto"/>
        <w:ind w:firstLine="624"/>
        <w:jc w:val="both"/>
        <w:rPr>
          <w:rFonts w:ascii="Times New Roman" w:hAnsi="Times New Roman"/>
          <w:sz w:val="24"/>
          <w:szCs w:val="24"/>
        </w:rPr>
      </w:pPr>
    </w:p>
    <w:p w:rsidR="00E7414F" w:rsidRPr="00E7414F" w:rsidRDefault="00E7414F" w:rsidP="00E7414F">
      <w:pPr>
        <w:spacing w:after="0" w:line="240" w:lineRule="auto"/>
        <w:ind w:firstLine="624"/>
        <w:jc w:val="both"/>
        <w:rPr>
          <w:rFonts w:ascii="Times New Roman" w:hAnsi="Times New Roman"/>
          <w:sz w:val="24"/>
          <w:szCs w:val="24"/>
        </w:rPr>
      </w:pPr>
      <w:r w:rsidRPr="00724FFC">
        <w:rPr>
          <w:rFonts w:ascii="Times New Roman" w:hAnsi="Times New Roman"/>
          <w:b/>
          <w:sz w:val="24"/>
          <w:szCs w:val="24"/>
        </w:rPr>
        <w:t>Tausiu</w:t>
      </w:r>
      <w:r w:rsidRPr="00E7414F">
        <w:rPr>
          <w:rFonts w:ascii="Times New Roman" w:hAnsi="Times New Roman"/>
          <w:b/>
          <w:sz w:val="24"/>
          <w:szCs w:val="24"/>
        </w:rPr>
        <w:t xml:space="preserve"> išteklių naudojimu paremtas augimas</w:t>
      </w:r>
    </w:p>
    <w:p w:rsidR="00E7414F" w:rsidRDefault="00E7414F" w:rsidP="00E7414F">
      <w:pPr>
        <w:spacing w:after="0" w:line="240" w:lineRule="auto"/>
        <w:ind w:firstLine="624"/>
        <w:jc w:val="both"/>
        <w:rPr>
          <w:rFonts w:ascii="Times New Roman" w:hAnsi="Times New Roman"/>
          <w:sz w:val="24"/>
          <w:szCs w:val="24"/>
        </w:rPr>
      </w:pPr>
    </w:p>
    <w:p w:rsidR="00D25ABD" w:rsidRDefault="00D25ABD" w:rsidP="00E7414F">
      <w:pPr>
        <w:spacing w:after="0" w:line="240" w:lineRule="auto"/>
        <w:ind w:firstLine="624"/>
        <w:jc w:val="both"/>
        <w:rPr>
          <w:rFonts w:ascii="Times New Roman" w:hAnsi="Times New Roman"/>
          <w:sz w:val="24"/>
          <w:szCs w:val="24"/>
        </w:rPr>
      </w:pPr>
      <w:r w:rsidRPr="00D25ABD">
        <w:rPr>
          <w:rFonts w:ascii="Times New Roman" w:hAnsi="Times New Roman"/>
          <w:sz w:val="24"/>
          <w:szCs w:val="24"/>
        </w:rPr>
        <w:t xml:space="preserve">Lietuvos ūkio šerdį sudaro smulkios ir vidutinės įmonės, kurių būklė ir gebėjimas įsijungti į struktūrinius ūkio pokyčius turės tiesioginį poveikį ne tik ūkio, užimtumo augimui, bet ir socialinei sanglaudai. Lietuvoje verslumo lygis </w:t>
      </w:r>
      <w:r w:rsidR="00724FFC">
        <w:rPr>
          <w:rFonts w:ascii="Times New Roman" w:hAnsi="Times New Roman"/>
          <w:sz w:val="24"/>
          <w:szCs w:val="24"/>
        </w:rPr>
        <w:t>itin</w:t>
      </w:r>
      <w:r w:rsidRPr="00D25ABD">
        <w:rPr>
          <w:rFonts w:ascii="Times New Roman" w:hAnsi="Times New Roman"/>
          <w:sz w:val="24"/>
          <w:szCs w:val="24"/>
        </w:rPr>
        <w:t xml:space="preserve"> atsilieka nuo ES vidurkio, o mažos ir atviros ekonomikos pobūdis sąlygoja plėtros siekiančioms </w:t>
      </w:r>
      <w:r w:rsidR="00607A4E">
        <w:rPr>
          <w:rFonts w:ascii="Times New Roman" w:hAnsi="Times New Roman"/>
          <w:sz w:val="24"/>
          <w:szCs w:val="24"/>
        </w:rPr>
        <w:t>smulkiojo ir vidutinio verslo (</w:t>
      </w:r>
      <w:r w:rsidRPr="00D25ABD">
        <w:rPr>
          <w:rFonts w:ascii="Times New Roman" w:hAnsi="Times New Roman"/>
          <w:sz w:val="24"/>
          <w:szCs w:val="24"/>
        </w:rPr>
        <w:t>SVV</w:t>
      </w:r>
      <w:r w:rsidR="00607A4E">
        <w:rPr>
          <w:rFonts w:ascii="Times New Roman" w:hAnsi="Times New Roman"/>
          <w:sz w:val="24"/>
          <w:szCs w:val="24"/>
        </w:rPr>
        <w:t>)</w:t>
      </w:r>
      <w:r w:rsidRPr="00D25ABD">
        <w:rPr>
          <w:rFonts w:ascii="Times New Roman" w:hAnsi="Times New Roman"/>
          <w:sz w:val="24"/>
          <w:szCs w:val="24"/>
        </w:rPr>
        <w:t xml:space="preserve"> įmonėms neišvengiamą poreikį aktyviau įsijungti į vietines ir tarptautines vertės kūrimo grandines, aktyviai taikyti organizacines ir </w:t>
      </w:r>
      <w:r w:rsidRPr="00364643">
        <w:rPr>
          <w:rFonts w:ascii="Times New Roman" w:hAnsi="Times New Roman"/>
          <w:sz w:val="24"/>
          <w:szCs w:val="24"/>
        </w:rPr>
        <w:t xml:space="preserve">rinkodaros inovacijas, kurių šalies versle vis dar trūksta. Tuo tikslu pagal </w:t>
      </w:r>
      <w:r w:rsidRPr="00364643">
        <w:rPr>
          <w:rFonts w:ascii="Times New Roman" w:hAnsi="Times New Roman"/>
          <w:b/>
          <w:sz w:val="24"/>
          <w:szCs w:val="24"/>
        </w:rPr>
        <w:t>trečią teminį tikslą</w:t>
      </w:r>
      <w:r w:rsidRPr="00364643">
        <w:rPr>
          <w:rFonts w:ascii="Times New Roman" w:hAnsi="Times New Roman"/>
          <w:sz w:val="24"/>
          <w:szCs w:val="24"/>
        </w:rPr>
        <w:t xml:space="preserve"> bus siekiama pagerinti sąlygas verslo pradžiai ir tolesnei įmonių plėtrai, tarptautiniam konkurencingumui stiprinti. Kartu su įvairiomis reguliacinėmis ir mokestinėmis priemonėmis, </w:t>
      </w:r>
      <w:r w:rsidRPr="00364643">
        <w:rPr>
          <w:rFonts w:ascii="Times New Roman" w:hAnsi="Times New Roman"/>
          <w:sz w:val="24"/>
          <w:szCs w:val="24"/>
        </w:rPr>
        <w:lastRenderedPageBreak/>
        <w:t xml:space="preserve">kurios </w:t>
      </w:r>
      <w:r w:rsidR="00B02856" w:rsidRPr="00364643">
        <w:rPr>
          <w:rFonts w:ascii="Times New Roman" w:hAnsi="Times New Roman"/>
          <w:sz w:val="24"/>
          <w:szCs w:val="24"/>
        </w:rPr>
        <w:t xml:space="preserve">veikia </w:t>
      </w:r>
      <w:r w:rsidRPr="00364643">
        <w:rPr>
          <w:rFonts w:ascii="Times New Roman" w:hAnsi="Times New Roman"/>
          <w:sz w:val="24"/>
          <w:szCs w:val="24"/>
        </w:rPr>
        <w:t>verslo sąlygas</w:t>
      </w:r>
      <w:r w:rsidR="00CA02B2" w:rsidRPr="00364643">
        <w:rPr>
          <w:rFonts w:ascii="Times New Roman" w:hAnsi="Times New Roman"/>
          <w:sz w:val="24"/>
          <w:szCs w:val="24"/>
        </w:rPr>
        <w:t>,</w:t>
      </w:r>
      <w:r w:rsidRPr="00364643">
        <w:rPr>
          <w:rFonts w:ascii="Times New Roman" w:hAnsi="Times New Roman"/>
          <w:sz w:val="24"/>
          <w:szCs w:val="24"/>
        </w:rPr>
        <w:t xml:space="preserve"> svarbus veiksnys verslo plėtrai yra ir verslo paramos ir inovacijų skatinimo sistema. Numatoma investuoti į </w:t>
      </w:r>
      <w:r w:rsidR="00607A4E" w:rsidRPr="00364643">
        <w:rPr>
          <w:rFonts w:ascii="Times New Roman" w:hAnsi="Times New Roman"/>
          <w:sz w:val="24"/>
          <w:szCs w:val="24"/>
        </w:rPr>
        <w:t>SVV</w:t>
      </w:r>
      <w:r w:rsidRPr="00364643">
        <w:rPr>
          <w:rFonts w:ascii="Times New Roman" w:hAnsi="Times New Roman"/>
          <w:sz w:val="24"/>
          <w:szCs w:val="24"/>
        </w:rPr>
        <w:t xml:space="preserve"> paramos ir inovacijų sklaidos sistemos tobulinimą, verslo bendradarbiavimo skatinimą ir priėjimo prie finansų gerinimą. Bus siekiama pagerinti teikiamų paslaugų kokybę</w:t>
      </w:r>
      <w:r w:rsidRPr="00D25ABD">
        <w:rPr>
          <w:rFonts w:ascii="Times New Roman" w:hAnsi="Times New Roman"/>
          <w:sz w:val="24"/>
          <w:szCs w:val="24"/>
        </w:rPr>
        <w:t>, užtikrinti prieinamumą visoje Lietuvoje, perimant geriausią kitų valstybių patirtį bei teikiant įmonėms ir asmenims, ketinantiems pradėti verslą, tiek tiesiogi</w:t>
      </w:r>
      <w:r w:rsidR="00724FFC">
        <w:rPr>
          <w:rFonts w:ascii="Times New Roman" w:hAnsi="Times New Roman"/>
          <w:sz w:val="24"/>
          <w:szCs w:val="24"/>
        </w:rPr>
        <w:t xml:space="preserve">nę, tiek netiesioginę paramą, </w:t>
      </w:r>
      <w:r w:rsidRPr="00D25ABD">
        <w:rPr>
          <w:rFonts w:ascii="Times New Roman" w:hAnsi="Times New Roman"/>
          <w:sz w:val="24"/>
          <w:szCs w:val="24"/>
        </w:rPr>
        <w:t xml:space="preserve">taip pat užtikrinti geresnį prieinamumą prie finansavimo šaltinių, ypač pradedantiems verslą bei </w:t>
      </w:r>
      <w:r w:rsidR="00724FFC" w:rsidRPr="00D25ABD">
        <w:rPr>
          <w:rFonts w:ascii="Times New Roman" w:hAnsi="Times New Roman"/>
          <w:sz w:val="24"/>
          <w:szCs w:val="24"/>
        </w:rPr>
        <w:t xml:space="preserve">diegiantiems </w:t>
      </w:r>
      <w:r w:rsidRPr="00D25ABD">
        <w:rPr>
          <w:rFonts w:ascii="Times New Roman" w:hAnsi="Times New Roman"/>
          <w:sz w:val="24"/>
          <w:szCs w:val="24"/>
        </w:rPr>
        <w:t xml:space="preserve">inovacijas. Jau esamo </w:t>
      </w:r>
      <w:r w:rsidR="00607A4E">
        <w:rPr>
          <w:rFonts w:ascii="Times New Roman" w:hAnsi="Times New Roman"/>
          <w:sz w:val="24"/>
          <w:szCs w:val="24"/>
        </w:rPr>
        <w:t>SVV</w:t>
      </w:r>
      <w:r w:rsidRPr="00D25ABD">
        <w:rPr>
          <w:rFonts w:ascii="Times New Roman" w:hAnsi="Times New Roman"/>
          <w:sz w:val="24"/>
          <w:szCs w:val="24"/>
        </w:rPr>
        <w:t xml:space="preserve"> tolimesnei plėtrai užtikrinti siekiama esminio pokyčio aktyviau įsijungti į vietines ir tarptautines vertės kūrimo grandines bei plačiau taikyti proceso, organizacines ir rinkodaros inovacijas.</w:t>
      </w:r>
    </w:p>
    <w:p w:rsidR="00E7414F" w:rsidRPr="00E7414F" w:rsidRDefault="00E7414F" w:rsidP="00E7414F">
      <w:pPr>
        <w:spacing w:after="0" w:line="240" w:lineRule="auto"/>
        <w:ind w:firstLine="624"/>
        <w:jc w:val="both"/>
        <w:rPr>
          <w:rFonts w:ascii="Times New Roman" w:hAnsi="Times New Roman"/>
          <w:sz w:val="24"/>
          <w:szCs w:val="24"/>
        </w:rPr>
      </w:pPr>
      <w:r w:rsidRPr="00E7414F">
        <w:rPr>
          <w:rFonts w:ascii="Times New Roman" w:hAnsi="Times New Roman"/>
          <w:sz w:val="24"/>
          <w:szCs w:val="24"/>
        </w:rPr>
        <w:t xml:space="preserve">Gamtos ištekliai, kuriais neišvengiamai remiasi Lietuvos, Europos ir pasaulio veikimas, tampa vis </w:t>
      </w:r>
      <w:proofErr w:type="gramStart"/>
      <w:r w:rsidRPr="00E7414F">
        <w:rPr>
          <w:rFonts w:ascii="Times New Roman" w:hAnsi="Times New Roman"/>
          <w:sz w:val="24"/>
          <w:szCs w:val="24"/>
        </w:rPr>
        <w:t>labiau riboti</w:t>
      </w:r>
      <w:proofErr w:type="gramEnd"/>
      <w:r w:rsidRPr="00E7414F">
        <w:rPr>
          <w:rFonts w:ascii="Times New Roman" w:hAnsi="Times New Roman"/>
          <w:sz w:val="24"/>
          <w:szCs w:val="24"/>
        </w:rPr>
        <w:t>, todėl ilgalaikėje perspektyvoje įmanomas tik tausiu išteklių naudojimu paremtas augimas. Šis apribojimas ir poreikis pereiti prie k</w:t>
      </w:r>
      <w:r w:rsidRPr="00E7414F">
        <w:rPr>
          <w:rFonts w:ascii="Times New Roman" w:hAnsi="Times New Roman"/>
          <w:color w:val="000000"/>
          <w:sz w:val="24"/>
          <w:szCs w:val="24"/>
          <w:shd w:val="clear" w:color="auto" w:fill="FFFFFF"/>
        </w:rPr>
        <w:t xml:space="preserve">onkurencingos mažo CO2 kiekio technologijų ekonomikos </w:t>
      </w:r>
      <w:r w:rsidRPr="00E7414F">
        <w:rPr>
          <w:rFonts w:ascii="Times New Roman" w:hAnsi="Times New Roman"/>
          <w:sz w:val="24"/>
          <w:szCs w:val="24"/>
        </w:rPr>
        <w:t>kartu sąlygoja ir papildomas galimybes naujovių kūrimui ir diegimui. Dideliu energijos intensyvumu pasižyminčiam Lietuvos ūkiui būtini pokyčiai</w:t>
      </w:r>
      <w:r w:rsidR="00C15E45">
        <w:rPr>
          <w:rFonts w:ascii="Times New Roman" w:hAnsi="Times New Roman"/>
          <w:sz w:val="24"/>
          <w:szCs w:val="24"/>
        </w:rPr>
        <w:t>,</w:t>
      </w:r>
      <w:r w:rsidRPr="00E7414F">
        <w:rPr>
          <w:rFonts w:ascii="Times New Roman" w:hAnsi="Times New Roman"/>
          <w:sz w:val="24"/>
          <w:szCs w:val="24"/>
        </w:rPr>
        <w:t xml:space="preserve"> didinant energijos vartojimo efektyvumą ir alternatyvių energijos išteklių (</w:t>
      </w:r>
      <w:r w:rsidR="00D06E09">
        <w:rPr>
          <w:rFonts w:ascii="Times New Roman" w:hAnsi="Times New Roman"/>
          <w:sz w:val="24"/>
          <w:szCs w:val="24"/>
        </w:rPr>
        <w:t>AIE</w:t>
      </w:r>
      <w:r w:rsidRPr="00E7414F">
        <w:rPr>
          <w:rFonts w:ascii="Times New Roman" w:hAnsi="Times New Roman"/>
          <w:sz w:val="24"/>
          <w:szCs w:val="24"/>
        </w:rPr>
        <w:t xml:space="preserve">) naudojimą, </w:t>
      </w:r>
      <w:r w:rsidR="00CA02B2">
        <w:rPr>
          <w:rFonts w:ascii="Times New Roman" w:hAnsi="Times New Roman"/>
          <w:sz w:val="24"/>
          <w:szCs w:val="24"/>
        </w:rPr>
        <w:t xml:space="preserve">bei jų </w:t>
      </w:r>
      <w:r w:rsidRPr="00E7414F">
        <w:rPr>
          <w:rFonts w:ascii="Times New Roman" w:hAnsi="Times New Roman"/>
          <w:sz w:val="24"/>
          <w:szCs w:val="24"/>
        </w:rPr>
        <w:t xml:space="preserve">dalį pirminės energijos balanse: tai pagrindinis pagal </w:t>
      </w:r>
      <w:r w:rsidRPr="00E7414F">
        <w:rPr>
          <w:rFonts w:ascii="Times New Roman" w:hAnsi="Times New Roman"/>
          <w:b/>
          <w:sz w:val="24"/>
          <w:szCs w:val="24"/>
        </w:rPr>
        <w:t>ketvirtą teminį tikslą</w:t>
      </w:r>
      <w:r w:rsidRPr="00E7414F">
        <w:rPr>
          <w:rFonts w:ascii="Times New Roman" w:hAnsi="Times New Roman"/>
          <w:sz w:val="24"/>
          <w:szCs w:val="24"/>
        </w:rPr>
        <w:t xml:space="preserve"> numatomų investicijų tikslas. Jo įgyvendinimas padėtų spręsti ne tik klimato kaitos ir aplinkosaugos, bet ir energijos tiekimo saugumo iššūkius. </w:t>
      </w:r>
      <w:r w:rsidR="00C27405" w:rsidRPr="00C27405">
        <w:rPr>
          <w:rFonts w:ascii="Times New Roman" w:hAnsi="Times New Roman"/>
          <w:color w:val="000000"/>
          <w:sz w:val="24"/>
          <w:szCs w:val="24"/>
        </w:rPr>
        <w:t>Teikiant tiesioginę paramą didelio naudingumo kogeneracijos technologijų diegimui, numatoma efektyviai naudojant biokurą kelis kartus padidinti iš AEI generuojamos centralizuotosai tiekiamos šilumos dalį ar padidinti verslo savo poreikiams generuojamos energijos kiekius; o investuojant į viešųjų ir gyvenamųjų pastatų energetinį efektyvumą tikimasi sutaupyti iki trečdalio šilumos energijos.</w:t>
      </w:r>
      <w:r w:rsidRPr="00E7414F">
        <w:rPr>
          <w:rFonts w:ascii="Times New Roman" w:hAnsi="Times New Roman"/>
          <w:sz w:val="24"/>
          <w:szCs w:val="24"/>
        </w:rPr>
        <w:t xml:space="preserve"> Norint ribotomis lėšomis pasiekti</w:t>
      </w:r>
      <w:r w:rsidR="00C15E45">
        <w:rPr>
          <w:rFonts w:ascii="Times New Roman" w:hAnsi="Times New Roman"/>
          <w:sz w:val="24"/>
          <w:szCs w:val="24"/>
        </w:rPr>
        <w:t>,</w:t>
      </w:r>
      <w:r w:rsidRPr="00E7414F">
        <w:rPr>
          <w:rFonts w:ascii="Times New Roman" w:hAnsi="Times New Roman"/>
          <w:sz w:val="24"/>
          <w:szCs w:val="24"/>
        </w:rPr>
        <w:t xml:space="preserve"> kuo platesnį objektų skaičių, numatomas aktyvus energijos taupymo paslaugas teikiančių tarpininkų vaidmuo.</w:t>
      </w:r>
    </w:p>
    <w:p w:rsidR="00E7414F" w:rsidRPr="00E7414F" w:rsidRDefault="00E7414F" w:rsidP="00E7414F">
      <w:pPr>
        <w:spacing w:after="0" w:line="240" w:lineRule="auto"/>
        <w:ind w:firstLine="624"/>
        <w:jc w:val="both"/>
        <w:rPr>
          <w:rFonts w:ascii="Times New Roman" w:eastAsia="Times New Roman" w:hAnsi="Times New Roman"/>
          <w:sz w:val="24"/>
          <w:szCs w:val="24"/>
          <w:lang w:eastAsia="lt-LT"/>
        </w:rPr>
      </w:pPr>
      <w:r w:rsidRPr="00E7414F">
        <w:rPr>
          <w:rFonts w:ascii="Times New Roman" w:hAnsi="Times New Roman"/>
          <w:sz w:val="24"/>
          <w:szCs w:val="24"/>
        </w:rPr>
        <w:t xml:space="preserve">Pagal </w:t>
      </w:r>
      <w:r w:rsidRPr="00E7414F">
        <w:rPr>
          <w:rFonts w:ascii="Times New Roman" w:hAnsi="Times New Roman"/>
          <w:b/>
          <w:sz w:val="24"/>
          <w:szCs w:val="24"/>
        </w:rPr>
        <w:t xml:space="preserve">penktą teminį tikslą </w:t>
      </w:r>
      <w:r w:rsidRPr="00E7414F">
        <w:rPr>
          <w:rFonts w:ascii="Times New Roman" w:hAnsi="Times New Roman"/>
          <w:sz w:val="24"/>
          <w:szCs w:val="24"/>
        </w:rPr>
        <w:t>bus</w:t>
      </w:r>
      <w:r w:rsidRPr="00E7414F">
        <w:rPr>
          <w:rFonts w:ascii="Times New Roman" w:hAnsi="Times New Roman"/>
          <w:b/>
          <w:sz w:val="24"/>
          <w:szCs w:val="24"/>
        </w:rPr>
        <w:t xml:space="preserve"> </w:t>
      </w:r>
      <w:r w:rsidRPr="00E7414F">
        <w:rPr>
          <w:rFonts w:ascii="Times New Roman" w:hAnsi="Times New Roman"/>
          <w:sz w:val="24"/>
          <w:szCs w:val="24"/>
        </w:rPr>
        <w:t xml:space="preserve">siekiama paskatinti </w:t>
      </w:r>
      <w:r w:rsidRPr="00E7414F">
        <w:rPr>
          <w:rFonts w:ascii="Times New Roman" w:eastAsia="Times New Roman" w:hAnsi="Times New Roman"/>
          <w:sz w:val="24"/>
          <w:szCs w:val="24"/>
          <w:lang w:eastAsia="lt-LT"/>
        </w:rPr>
        <w:t>Lietuvos prisitaikymą prie klimato kaitos keliamų aplinkos pokyčių, leidžiančių sumažinti gamtinių ekosistemų ir šalies ūkio (ekonomikos) sektorių pažeidžiamumą, išlaikyti ir padidinti jų atsparumą klimato kaitos pokyčiams, ir užtikrinti palankias visuomenės gyvenimo ir ūkinės veiklos sąlygas. Visų pirma</w:t>
      </w:r>
      <w:r w:rsidR="00530827">
        <w:rPr>
          <w:rFonts w:ascii="Times New Roman" w:eastAsia="Times New Roman" w:hAnsi="Times New Roman"/>
          <w:sz w:val="24"/>
          <w:szCs w:val="24"/>
          <w:lang w:eastAsia="lt-LT"/>
        </w:rPr>
        <w:t>,</w:t>
      </w:r>
      <w:r w:rsidRPr="00E7414F">
        <w:rPr>
          <w:rFonts w:ascii="Times New Roman" w:eastAsia="Times New Roman" w:hAnsi="Times New Roman"/>
          <w:sz w:val="24"/>
          <w:szCs w:val="24"/>
          <w:lang w:eastAsia="lt-LT"/>
        </w:rPr>
        <w:t xml:space="preserve"> numatoma sustiprinti gebėjimus stebėti, tirti ir vertinti klimato kaitos poveikį Lietuvos teritorijoje bei atskiruose regionuose, didinti informacijos apie prisitaikymą prie klimato kaitos koordinavimą ir sklaidą, taip sukuriant tvirtą žinių apie klimato kaitos poveikį ir padarinius pagrindą. Kartu bus investuojama į potvynių rizikos mažinimą, gelbėjimo tarnybų parengties reaguoti į nelaimes stiprinimą. Įgyvendinant krantotvarkos ir potvynių rizikos valdymo priemones</w:t>
      </w:r>
      <w:r w:rsidR="007E4724">
        <w:rPr>
          <w:rFonts w:ascii="Times New Roman" w:eastAsia="Times New Roman" w:hAnsi="Times New Roman"/>
          <w:sz w:val="24"/>
          <w:szCs w:val="24"/>
          <w:lang w:eastAsia="lt-LT"/>
        </w:rPr>
        <w:t>,</w:t>
      </w:r>
      <w:r w:rsidRPr="00E7414F">
        <w:rPr>
          <w:rFonts w:ascii="Times New Roman" w:eastAsia="Times New Roman" w:hAnsi="Times New Roman"/>
          <w:sz w:val="24"/>
          <w:szCs w:val="24"/>
          <w:lang w:eastAsia="lt-LT"/>
        </w:rPr>
        <w:t xml:space="preserve"> didės klimato kaitai</w:t>
      </w:r>
      <w:r w:rsidR="007E4724">
        <w:rPr>
          <w:rFonts w:ascii="Times New Roman" w:eastAsia="Times New Roman" w:hAnsi="Times New Roman"/>
          <w:sz w:val="24"/>
          <w:szCs w:val="24"/>
          <w:lang w:eastAsia="lt-LT"/>
        </w:rPr>
        <w:t xml:space="preserve"> jautriausių Lietuvos teritorijos</w:t>
      </w:r>
      <w:r w:rsidRPr="00E7414F">
        <w:rPr>
          <w:rFonts w:ascii="Times New Roman" w:eastAsia="Times New Roman" w:hAnsi="Times New Roman"/>
          <w:sz w:val="24"/>
          <w:szCs w:val="24"/>
          <w:lang w:eastAsia="lt-LT"/>
        </w:rPr>
        <w:t xml:space="preserve"> dalių aplinkos atsparumas klimato kaitai, mažės reikšmingas neigiamas klimato kaitos keliamų grėsmių poveikis aplinkai, žmonių sveikatai ir gyvybei, kultūros paveldui, ekonominei veiklai ir infrastruktūrai.</w:t>
      </w:r>
    </w:p>
    <w:p w:rsidR="00E7414F" w:rsidRPr="00E7414F" w:rsidRDefault="005875CB" w:rsidP="00E7414F">
      <w:pPr>
        <w:spacing w:after="0" w:line="240" w:lineRule="auto"/>
        <w:ind w:firstLine="624"/>
        <w:jc w:val="both"/>
        <w:rPr>
          <w:rFonts w:ascii="Times New Roman" w:eastAsia="Times New Roman" w:hAnsi="Times New Roman"/>
          <w:sz w:val="24"/>
          <w:szCs w:val="24"/>
          <w:lang w:eastAsia="lt-LT"/>
        </w:rPr>
      </w:pPr>
      <w:r w:rsidRPr="005875CB">
        <w:rPr>
          <w:rFonts w:ascii="Times New Roman" w:hAnsi="Times New Roman"/>
          <w:color w:val="000000"/>
          <w:sz w:val="24"/>
          <w:szCs w:val="24"/>
        </w:rPr>
        <w:t xml:space="preserve">Augantis ekonominis aktyvumas neišvengiamai didina spaudimą gamtos ištekliams. Į tausų gamtos išteklių naudojimą investuojant pagal šeštą teminį tikslą bus siekiama smarkiai padidinti atskirai surenkamų ir rūšiuojamų, ir pakartotinai panaudojamų, perdirbamų komunalinių atliekų dalį, sumažinti jų šalinimą sąvartynuose, panaudojant </w:t>
      </w:r>
      <w:r w:rsidRPr="005875CB">
        <w:rPr>
          <w:rFonts w:ascii="Times New Roman" w:hAnsi="Times New Roman"/>
          <w:bCs/>
          <w:color w:val="000000"/>
          <w:sz w:val="24"/>
          <w:szCs w:val="24"/>
        </w:rPr>
        <w:t>po apdorojimo</w:t>
      </w:r>
      <w:r w:rsidRPr="005875CB">
        <w:rPr>
          <w:rFonts w:ascii="Times New Roman" w:hAnsi="Times New Roman"/>
          <w:color w:val="000000"/>
          <w:sz w:val="24"/>
          <w:szCs w:val="24"/>
        </w:rPr>
        <w:t xml:space="preserve"> </w:t>
      </w:r>
      <w:r w:rsidRPr="005875CB">
        <w:rPr>
          <w:rFonts w:ascii="Times New Roman" w:hAnsi="Times New Roman"/>
          <w:bCs/>
          <w:color w:val="000000"/>
          <w:sz w:val="24"/>
          <w:szCs w:val="24"/>
        </w:rPr>
        <w:t>likusias, netinkamas perdirbti ir energinę vertę turinčias atliekas energijai gauti. Taip pat bus siekiama padidinti</w:t>
      </w:r>
      <w:r w:rsidRPr="005875CB">
        <w:rPr>
          <w:rFonts w:ascii="Times New Roman" w:hAnsi="Times New Roman"/>
          <w:color w:val="000000"/>
          <w:sz w:val="24"/>
          <w:szCs w:val="24"/>
        </w:rPr>
        <w:t xml:space="preserve"> tinkamai išvalomų paviršinių nuotekų dalį, taip pat padidinti ir gyventojų dalį, kuriems teikiama nuotekų valymo paslauga bei viešai tiekiamas geriamasis vanduo. Nors Lietuvoje kraštovaizdžio būklė išlieka stabili, o gamtinių ekosistemų biologinės įvairovės būklė pastaraisiais metais lėtai gerėja, tačiau atskiri kar</w:t>
      </w:r>
      <w:r w:rsidRPr="003E337F">
        <w:rPr>
          <w:rFonts w:ascii="Times New Roman" w:hAnsi="Times New Roman"/>
          <w:color w:val="000000"/>
          <w:sz w:val="24"/>
          <w:szCs w:val="24"/>
        </w:rPr>
        <w:t>a</w:t>
      </w:r>
      <w:r w:rsidRPr="005875CB">
        <w:rPr>
          <w:rFonts w:ascii="Times New Roman" w:hAnsi="Times New Roman"/>
          <w:color w:val="000000"/>
          <w:sz w:val="24"/>
          <w:szCs w:val="24"/>
        </w:rPr>
        <w:t xml:space="preserve">štovaizdžio ir gamtinių buveinių tipai patiria didelių permainų tiek dėl renatūralizacijos procesų, tiek dėl stichinės urbanizacijos: investuojant numatoma sumažinti intensyvios ūkinės veiklos padarytą žalą vertingiems ir vaizdingiems kraštovaizdžio kompleksams, atkurti pažeistas teritorijas, vykdyti aktyvesnę stebėseną ir poveikio vertinimą. Aplinkosauginio sąmoningumo skatinimas, lankytojų srautų sureguliavimas ir tinkamos infrastruktūros sukūrimas saugomose teritorijose leis sumažinti rekreacinės veiklos neigiamą poveikį saugomoms teritorijoms ir čia saugomoms rūšims bei kartu tinkamai išnaudoti jų teikiamą potencialą. Investuojant į </w:t>
      </w:r>
      <w:r w:rsidRPr="005875CB">
        <w:rPr>
          <w:rFonts w:ascii="Times New Roman" w:hAnsi="Times New Roman"/>
          <w:color w:val="000000"/>
          <w:sz w:val="24"/>
          <w:szCs w:val="24"/>
        </w:rPr>
        <w:lastRenderedPageBreak/>
        <w:t>pasirinktų kultūros paveldo objektų išsaugojimą ir pritaikymą, bus siekiama skatinti aktyvų jo panaudojimą ekonominei (turizmas, verslumas), socialinei (švietimo ir mokymosi edukacinė bazė) ir kultūrinei veiklai.</w:t>
      </w:r>
    </w:p>
    <w:p w:rsidR="00E7414F" w:rsidRPr="00E7414F" w:rsidRDefault="00E7414F" w:rsidP="00E7414F">
      <w:pPr>
        <w:spacing w:after="0" w:line="240" w:lineRule="auto"/>
        <w:ind w:firstLine="624"/>
        <w:jc w:val="both"/>
        <w:rPr>
          <w:rFonts w:ascii="Times New Roman" w:hAnsi="Times New Roman"/>
          <w:sz w:val="24"/>
          <w:szCs w:val="24"/>
        </w:rPr>
      </w:pPr>
      <w:r w:rsidRPr="00E7414F">
        <w:rPr>
          <w:rFonts w:ascii="Times New Roman" w:hAnsi="Times New Roman"/>
          <w:sz w:val="24"/>
          <w:szCs w:val="24"/>
        </w:rPr>
        <w:t xml:space="preserve">Pagrindą Lietuvos ūkio konkurencingumui didėti ilguoju laikotarpiu sudaro ir efektyvi, tausiu išteklių naudojimu paremta ekonominė infrastruktūra, kuri sudarytų verslo ir visuomenės mobilumo, bendravimo ir bendradarbiavimo prielaidas. Atsižvelgiant į šalies geografinės padėties teikiamus privalumus (tranzitui palanki padėtis) ir ribotumus (periferinė padėtis ES bendrojoje rinkoje, mažas gyventojų tankis), investuojant pagal </w:t>
      </w:r>
      <w:r w:rsidRPr="00E7414F">
        <w:rPr>
          <w:rFonts w:ascii="Times New Roman" w:hAnsi="Times New Roman"/>
          <w:b/>
          <w:sz w:val="24"/>
          <w:szCs w:val="24"/>
        </w:rPr>
        <w:t>septintą teminį tikslą</w:t>
      </w:r>
      <w:r w:rsidRPr="00E7414F">
        <w:rPr>
          <w:rFonts w:ascii="Times New Roman" w:hAnsi="Times New Roman"/>
          <w:sz w:val="24"/>
          <w:szCs w:val="24"/>
        </w:rPr>
        <w:t xml:space="preserve"> daugiausia dėmesio tenka subalansuoto transporto infrastruktūros tinklo, atitinkančio mobilumo poreikius bei sudarančio palankias sąlygas tranzitui ir transporto paslaugų eksportui, plėtrai. Numatomas tolimesnis TEN-T tinklo Lietuvoje pralaidumo (ypač geležinkelio – </w:t>
      </w:r>
      <w:r w:rsidRPr="00E23AAE">
        <w:rPr>
          <w:rFonts w:ascii="Times New Roman" w:hAnsi="Times New Roman"/>
          <w:i/>
          <w:sz w:val="24"/>
          <w:szCs w:val="24"/>
        </w:rPr>
        <w:t>Rail Baltica</w:t>
      </w:r>
      <w:r w:rsidRPr="00E7414F">
        <w:rPr>
          <w:rFonts w:ascii="Times New Roman" w:hAnsi="Times New Roman"/>
          <w:sz w:val="24"/>
          <w:szCs w:val="24"/>
        </w:rPr>
        <w:t>) didinimas, kartu didinant šiuo metu menką ir pažangų ūkio augimą ribojantį Lietuvos pasiekiamumą (ypač oro transportu). Periferiškumą bus siekiama įveikti ir sudarant infrast</w:t>
      </w:r>
      <w:r w:rsidR="00E23AAE">
        <w:rPr>
          <w:rFonts w:ascii="Times New Roman" w:hAnsi="Times New Roman"/>
          <w:sz w:val="24"/>
          <w:szCs w:val="24"/>
        </w:rPr>
        <w:t>r</w:t>
      </w:r>
      <w:r w:rsidRPr="00E7414F">
        <w:rPr>
          <w:rFonts w:ascii="Times New Roman" w:hAnsi="Times New Roman"/>
          <w:sz w:val="24"/>
          <w:szCs w:val="24"/>
        </w:rPr>
        <w:t xml:space="preserve">uktūrines prielaidas tarptautinių energetikos tinklo jungčių kūrimui, taip mažinant Lietuvos energetinę priklausomybę nuo vieno tiekėjo bei užtikrinant patikimą ir saugų energijos tiekimą Lietuvos vartotojams. </w:t>
      </w:r>
    </w:p>
    <w:p w:rsidR="00E7414F" w:rsidRPr="00E7414F" w:rsidRDefault="00E7414F" w:rsidP="00E7414F">
      <w:pPr>
        <w:spacing w:after="0" w:line="240" w:lineRule="auto"/>
        <w:ind w:firstLine="624"/>
        <w:jc w:val="both"/>
        <w:rPr>
          <w:rFonts w:ascii="Times New Roman" w:hAnsi="Times New Roman"/>
          <w:sz w:val="24"/>
          <w:szCs w:val="24"/>
        </w:rPr>
      </w:pPr>
      <w:r w:rsidRPr="00E7414F">
        <w:rPr>
          <w:rFonts w:ascii="Times New Roman" w:hAnsi="Times New Roman"/>
          <w:sz w:val="24"/>
          <w:szCs w:val="24"/>
        </w:rPr>
        <w:t>Regioniniam judumui šalies viduje užtikrinti svarbios investicijos į šalies transporto tinklo antrines ir tretines jungtis su TEN</w:t>
      </w:r>
      <w:proofErr w:type="gramStart"/>
      <w:r w:rsidRPr="00E7414F">
        <w:rPr>
          <w:rFonts w:ascii="Times New Roman" w:hAnsi="Times New Roman"/>
          <w:sz w:val="24"/>
          <w:szCs w:val="24"/>
        </w:rPr>
        <w:t>-</w:t>
      </w:r>
      <w:proofErr w:type="gramEnd"/>
      <w:r w:rsidRPr="00E7414F">
        <w:rPr>
          <w:rFonts w:ascii="Times New Roman" w:hAnsi="Times New Roman"/>
          <w:sz w:val="24"/>
          <w:szCs w:val="24"/>
        </w:rPr>
        <w:t>T tinklu, sudarant galimybes darbo jėgos judumui ir galėjimui pasiekti nutolusias darbo vietas didesniuose miestuose ir miesteliuose.</w:t>
      </w:r>
      <w:r w:rsidR="004354E0">
        <w:rPr>
          <w:rFonts w:ascii="Times New Roman" w:hAnsi="Times New Roman"/>
          <w:sz w:val="24"/>
          <w:szCs w:val="24"/>
        </w:rPr>
        <w:t xml:space="preserve"> Atsižvelgiant į šalies aukštą</w:t>
      </w:r>
      <w:proofErr w:type="gramStart"/>
      <w:r w:rsidR="004354E0">
        <w:rPr>
          <w:rFonts w:ascii="Times New Roman" w:hAnsi="Times New Roman"/>
          <w:sz w:val="24"/>
          <w:szCs w:val="24"/>
        </w:rPr>
        <w:t xml:space="preserve"> </w:t>
      </w:r>
      <w:r w:rsidRPr="00E7414F">
        <w:rPr>
          <w:rFonts w:ascii="Times New Roman" w:hAnsi="Times New Roman"/>
          <w:sz w:val="24"/>
          <w:szCs w:val="24"/>
        </w:rPr>
        <w:t xml:space="preserve"> </w:t>
      </w:r>
      <w:proofErr w:type="gramEnd"/>
      <w:r w:rsidRPr="00E7414F">
        <w:rPr>
          <w:rFonts w:ascii="Times New Roman" w:hAnsi="Times New Roman"/>
          <w:sz w:val="24"/>
          <w:szCs w:val="24"/>
        </w:rPr>
        <w:t>automobilizacij</w:t>
      </w:r>
      <w:r w:rsidR="004354E0">
        <w:rPr>
          <w:rFonts w:ascii="Times New Roman" w:hAnsi="Times New Roman"/>
          <w:sz w:val="24"/>
          <w:szCs w:val="24"/>
        </w:rPr>
        <w:t>os lygį,</w:t>
      </w:r>
      <w:r w:rsidRPr="00E7414F">
        <w:rPr>
          <w:rFonts w:ascii="Times New Roman" w:hAnsi="Times New Roman"/>
          <w:sz w:val="24"/>
          <w:szCs w:val="24"/>
        </w:rPr>
        <w:t xml:space="preserve"> svarbios saugaus eismo ir neigiamo transporto poveikio aplinkai mažinimo priemonės. Tausiam išteklių naudojimui tikimasi esminio teigiamo pokyčio</w:t>
      </w:r>
      <w:r w:rsidR="00944687">
        <w:rPr>
          <w:rFonts w:ascii="Times New Roman" w:hAnsi="Times New Roman"/>
          <w:sz w:val="24"/>
          <w:szCs w:val="24"/>
        </w:rPr>
        <w:t>,</w:t>
      </w:r>
      <w:r w:rsidRPr="00E7414F">
        <w:rPr>
          <w:rFonts w:ascii="Times New Roman" w:hAnsi="Times New Roman"/>
          <w:sz w:val="24"/>
          <w:szCs w:val="24"/>
        </w:rPr>
        <w:t xml:space="preserve"> skatinant tvaraus judumo miestuose planavimą ir jų įgyvendinime, taip pat plėtojant aplinką tausojančių ir anglies dioksido kiekio mažinimu grindžiamų transporto, įskaitant upių ir jūros transportą, uostų ir įvairiarūšių jungčių, sistemas. Platesnis visuomeninio transporto ir bevariklio transporto naudojimas sudarys galimybes mažinti asmeninių automobilių naudojimą, sumažins gatvių apkro</w:t>
      </w:r>
      <w:r w:rsidR="00944687">
        <w:rPr>
          <w:rFonts w:ascii="Times New Roman" w:hAnsi="Times New Roman"/>
          <w:sz w:val="24"/>
          <w:szCs w:val="24"/>
        </w:rPr>
        <w:t>vimą ir transporto kamščius bei</w:t>
      </w:r>
      <w:r w:rsidRPr="00E7414F">
        <w:rPr>
          <w:rFonts w:ascii="Times New Roman" w:hAnsi="Times New Roman"/>
          <w:sz w:val="24"/>
          <w:szCs w:val="24"/>
        </w:rPr>
        <w:t xml:space="preserve"> oro taršą ir neigiamą poveikį žmonių sveikatai.</w:t>
      </w:r>
    </w:p>
    <w:p w:rsidR="00FC087A" w:rsidRDefault="00FC087A" w:rsidP="00E7414F">
      <w:pPr>
        <w:spacing w:after="0" w:line="240" w:lineRule="auto"/>
        <w:ind w:firstLine="624"/>
        <w:jc w:val="both"/>
        <w:rPr>
          <w:rFonts w:ascii="Times New Roman" w:hAnsi="Times New Roman"/>
          <w:b/>
          <w:sz w:val="24"/>
          <w:szCs w:val="24"/>
          <w:lang w:eastAsia="lt-LT"/>
        </w:rPr>
      </w:pPr>
    </w:p>
    <w:p w:rsidR="00E7414F" w:rsidRPr="00E7414F" w:rsidRDefault="00E7414F" w:rsidP="00E7414F">
      <w:pPr>
        <w:spacing w:after="0" w:line="240" w:lineRule="auto"/>
        <w:ind w:firstLine="624"/>
        <w:jc w:val="both"/>
        <w:rPr>
          <w:rFonts w:ascii="Times New Roman" w:hAnsi="Times New Roman"/>
          <w:b/>
          <w:sz w:val="24"/>
          <w:szCs w:val="24"/>
          <w:lang w:eastAsia="lt-LT"/>
        </w:rPr>
      </w:pPr>
      <w:r w:rsidRPr="00E7414F">
        <w:rPr>
          <w:rFonts w:ascii="Times New Roman" w:hAnsi="Times New Roman"/>
          <w:b/>
          <w:sz w:val="24"/>
          <w:szCs w:val="24"/>
          <w:lang w:eastAsia="lt-LT"/>
        </w:rPr>
        <w:t>Auganti socialinė sanglauda</w:t>
      </w:r>
    </w:p>
    <w:p w:rsidR="00E7414F" w:rsidRPr="00E7414F" w:rsidRDefault="00E7414F" w:rsidP="00E7414F">
      <w:pPr>
        <w:spacing w:after="0" w:line="240" w:lineRule="auto"/>
        <w:ind w:firstLine="624"/>
        <w:jc w:val="both"/>
        <w:rPr>
          <w:rFonts w:ascii="Times New Roman" w:hAnsi="Times New Roman"/>
          <w:sz w:val="24"/>
          <w:szCs w:val="24"/>
        </w:rPr>
      </w:pPr>
    </w:p>
    <w:p w:rsidR="00E7414F" w:rsidRPr="00E7414F" w:rsidRDefault="00D33DA2" w:rsidP="00645C0D">
      <w:pPr>
        <w:spacing w:after="0" w:line="240" w:lineRule="auto"/>
        <w:ind w:firstLine="624"/>
        <w:jc w:val="both"/>
        <w:rPr>
          <w:rFonts w:ascii="Times New Roman" w:hAnsi="Times New Roman"/>
          <w:sz w:val="24"/>
          <w:szCs w:val="24"/>
        </w:rPr>
      </w:pPr>
      <w:r>
        <w:rPr>
          <w:rFonts w:ascii="Times New Roman" w:hAnsi="Times New Roman"/>
          <w:sz w:val="24"/>
          <w:szCs w:val="24"/>
        </w:rPr>
        <w:t xml:space="preserve">Sanglauda yra svarbus plėtros </w:t>
      </w:r>
      <w:r w:rsidR="00E7414F" w:rsidRPr="00E7414F">
        <w:rPr>
          <w:rFonts w:ascii="Times New Roman" w:hAnsi="Times New Roman"/>
          <w:sz w:val="24"/>
          <w:szCs w:val="24"/>
        </w:rPr>
        <w:t>prioritetas ir Lietuvos, ir ES lygiu: gerovės kūrimo procese dalyvauti ir naudą gauti turi visos valstybės teritorijos bei visuomenės grupės. Tad labai svarbi tiek teritorinė, tiek socialinė ir ekonominė sanglauda. Reikia užtikrinti subalansuotą ir aprėpiančią plėtrą ir tuo tikslu imtis specialių priemonių</w:t>
      </w:r>
      <w:r>
        <w:rPr>
          <w:rFonts w:ascii="Times New Roman" w:hAnsi="Times New Roman"/>
          <w:sz w:val="24"/>
          <w:szCs w:val="24"/>
        </w:rPr>
        <w:t>,</w:t>
      </w:r>
      <w:r w:rsidR="00E7414F" w:rsidRPr="00E7414F">
        <w:rPr>
          <w:rFonts w:ascii="Times New Roman" w:hAnsi="Times New Roman"/>
          <w:sz w:val="24"/>
          <w:szCs w:val="24"/>
        </w:rPr>
        <w:t xml:space="preserve"> siekiant užtikrinti gyvenimo kokybę ir sanglaudą. Kartu sanglaudos siekis </w:t>
      </w:r>
      <w:r w:rsidR="00645C0D">
        <w:rPr>
          <w:rFonts w:ascii="Times New Roman" w:hAnsi="Times New Roman"/>
          <w:sz w:val="24"/>
          <w:szCs w:val="24"/>
        </w:rPr>
        <w:t>itin</w:t>
      </w:r>
      <w:r w:rsidR="00E7414F" w:rsidRPr="00E7414F">
        <w:rPr>
          <w:rFonts w:ascii="Times New Roman" w:hAnsi="Times New Roman"/>
          <w:sz w:val="24"/>
          <w:szCs w:val="24"/>
        </w:rPr>
        <w:t xml:space="preserve"> susijęs su ūkio augimu ir verslo konkurencingumu, nes visuomenės integralumas tampa vienu iš svarbiausiųjų ūkio konkurencingumo veiksnių, o skurdesnių teritorijų galimybės ir įvairių socialinių grupių indėlis galėtų būti geriau išnaudojamas</w:t>
      </w:r>
      <w:r w:rsidR="00645C0D">
        <w:rPr>
          <w:rFonts w:ascii="Times New Roman" w:hAnsi="Times New Roman"/>
          <w:sz w:val="24"/>
          <w:szCs w:val="24"/>
        </w:rPr>
        <w:t>,</w:t>
      </w:r>
      <w:r w:rsidR="00E7414F" w:rsidRPr="00E7414F">
        <w:rPr>
          <w:rFonts w:ascii="Times New Roman" w:hAnsi="Times New Roman"/>
          <w:sz w:val="24"/>
          <w:szCs w:val="24"/>
        </w:rPr>
        <w:t xml:space="preserve"> sie</w:t>
      </w:r>
      <w:r w:rsidR="00645C0D">
        <w:rPr>
          <w:rFonts w:ascii="Times New Roman" w:hAnsi="Times New Roman"/>
          <w:sz w:val="24"/>
          <w:szCs w:val="24"/>
        </w:rPr>
        <w:t xml:space="preserve">kiant ilgalaikės ūkio plėtros. </w:t>
      </w:r>
    </w:p>
    <w:p w:rsidR="00E7414F" w:rsidRPr="00E7414F" w:rsidRDefault="00E7414F" w:rsidP="00E7414F">
      <w:pPr>
        <w:spacing w:after="0" w:line="240" w:lineRule="auto"/>
        <w:ind w:firstLine="624"/>
        <w:jc w:val="both"/>
        <w:rPr>
          <w:rFonts w:ascii="Times New Roman" w:hAnsi="Times New Roman"/>
          <w:sz w:val="24"/>
          <w:szCs w:val="24"/>
        </w:rPr>
      </w:pPr>
      <w:r w:rsidRPr="00E7414F">
        <w:rPr>
          <w:rFonts w:ascii="Times New Roman" w:hAnsi="Times New Roman"/>
          <w:sz w:val="24"/>
          <w:szCs w:val="24"/>
        </w:rPr>
        <w:t>Šioje veiksmų</w:t>
      </w:r>
      <w:r w:rsidR="00CA02B2">
        <w:rPr>
          <w:rFonts w:ascii="Times New Roman" w:hAnsi="Times New Roman"/>
          <w:sz w:val="24"/>
          <w:szCs w:val="24"/>
        </w:rPr>
        <w:t xml:space="preserve"> programoje pagal įvairius tem</w:t>
      </w:r>
      <w:r w:rsidRPr="00E7414F">
        <w:rPr>
          <w:rFonts w:ascii="Times New Roman" w:hAnsi="Times New Roman"/>
          <w:sz w:val="24"/>
          <w:szCs w:val="24"/>
        </w:rPr>
        <w:t>inius tikslus ir veiksmų programos prioritetus numatoma integruota miesto ir kaimo vietovių plėtra, aktyviai įtraukiant savi</w:t>
      </w:r>
      <w:r w:rsidR="003C7F00">
        <w:rPr>
          <w:rFonts w:ascii="Times New Roman" w:hAnsi="Times New Roman"/>
          <w:sz w:val="24"/>
          <w:szCs w:val="24"/>
        </w:rPr>
        <w:t>valdą</w:t>
      </w:r>
      <w:r w:rsidRPr="00E7414F">
        <w:rPr>
          <w:rFonts w:ascii="Times New Roman" w:hAnsi="Times New Roman"/>
          <w:sz w:val="24"/>
          <w:szCs w:val="24"/>
        </w:rPr>
        <w:t xml:space="preserve"> bei kartu pasitelkiant ir bendruomenės iniciatyvą. Siekiant efektyviai išnaudoti vietos plėtros potencialą, numatomos investicijos į priemones, padėsiančias spręsti </w:t>
      </w:r>
      <w:r w:rsidR="00884E2C" w:rsidRPr="00E7414F">
        <w:rPr>
          <w:rFonts w:ascii="Times New Roman" w:hAnsi="Times New Roman"/>
          <w:sz w:val="24"/>
          <w:szCs w:val="24"/>
        </w:rPr>
        <w:t xml:space="preserve">tipines </w:t>
      </w:r>
      <w:r w:rsidRPr="00E7414F">
        <w:rPr>
          <w:rFonts w:ascii="Times New Roman" w:hAnsi="Times New Roman"/>
          <w:sz w:val="24"/>
          <w:szCs w:val="24"/>
        </w:rPr>
        <w:t>miesto ir kaimo probl</w:t>
      </w:r>
      <w:r w:rsidR="00A800C6">
        <w:rPr>
          <w:rFonts w:ascii="Times New Roman" w:hAnsi="Times New Roman"/>
          <w:sz w:val="24"/>
          <w:szCs w:val="24"/>
        </w:rPr>
        <w:t>emas, identifikuotų probleminių</w:t>
      </w:r>
      <w:r w:rsidRPr="00E7414F">
        <w:rPr>
          <w:rFonts w:ascii="Times New Roman" w:hAnsi="Times New Roman"/>
          <w:sz w:val="24"/>
          <w:szCs w:val="24"/>
        </w:rPr>
        <w:t xml:space="preserve"> vietovių atkūrimą ir įtraukimą į ūkinę veiklą. Investuojant į gyvenimo aplinkos ir kokybės skirtumų tarp pagrindinių šalies miestų ir mažesnių miestų mažinimą (gerinant identifikuotų miestų ir kaimo vietovių gyvenamąją aplinką, bendruomeninę ir viešąją infrastruktūrą, panaudojant jų socialinį, kultūrinį ir gamtinį potencialą) ir derinant šias investicijas </w:t>
      </w:r>
      <w:r w:rsidR="00884E2C">
        <w:rPr>
          <w:rFonts w:ascii="Times New Roman" w:hAnsi="Times New Roman"/>
          <w:sz w:val="24"/>
          <w:szCs w:val="24"/>
        </w:rPr>
        <w:t>su įvairiomis verslo skatinimo, </w:t>
      </w:r>
      <w:r w:rsidRPr="00E7414F">
        <w:rPr>
          <w:rFonts w:ascii="Times New Roman" w:hAnsi="Times New Roman"/>
          <w:sz w:val="24"/>
          <w:szCs w:val="24"/>
        </w:rPr>
        <w:t>socialinės integracijos priemonėmis</w:t>
      </w:r>
      <w:r w:rsidR="00884E2C">
        <w:rPr>
          <w:rFonts w:ascii="Times New Roman" w:hAnsi="Times New Roman"/>
          <w:sz w:val="24"/>
          <w:szCs w:val="24"/>
        </w:rPr>
        <w:t>,</w:t>
      </w:r>
      <w:r w:rsidRPr="00E7414F">
        <w:rPr>
          <w:rFonts w:ascii="Times New Roman" w:hAnsi="Times New Roman"/>
          <w:sz w:val="24"/>
          <w:szCs w:val="24"/>
        </w:rPr>
        <w:t xml:space="preserve"> tikimasi išlaikyti tų vietovių patrauklumą dirbti ir gyventi. </w:t>
      </w:r>
    </w:p>
    <w:p w:rsidR="00D25ABD" w:rsidRDefault="00884E2C" w:rsidP="00E7414F">
      <w:pPr>
        <w:spacing w:after="0" w:line="240" w:lineRule="auto"/>
        <w:ind w:firstLine="624"/>
        <w:jc w:val="both"/>
        <w:rPr>
          <w:rFonts w:ascii="Times New Roman" w:hAnsi="Times New Roman"/>
          <w:sz w:val="24"/>
          <w:szCs w:val="24"/>
        </w:rPr>
      </w:pPr>
      <w:r>
        <w:rPr>
          <w:rFonts w:ascii="Times New Roman" w:hAnsi="Times New Roman"/>
          <w:sz w:val="24"/>
          <w:szCs w:val="24"/>
        </w:rPr>
        <w:t xml:space="preserve">Mažėjant vietinių žmogiškųjų išteklių pasiūlai, </w:t>
      </w:r>
      <w:r w:rsidR="00D25ABD" w:rsidRPr="00D25ABD">
        <w:rPr>
          <w:rFonts w:ascii="Times New Roman" w:hAnsi="Times New Roman"/>
          <w:sz w:val="24"/>
          <w:szCs w:val="24"/>
        </w:rPr>
        <w:t>svarbus bus palankių sąlygų visiems darbingo amžiaus žmonėms įsitraukti į darbo rinką</w:t>
      </w:r>
      <w:r w:rsidR="00CA02B2">
        <w:rPr>
          <w:rFonts w:ascii="Times New Roman" w:hAnsi="Times New Roman"/>
          <w:sz w:val="24"/>
          <w:szCs w:val="24"/>
        </w:rPr>
        <w:t xml:space="preserve"> sukūrimas</w:t>
      </w:r>
      <w:r w:rsidR="00D25ABD" w:rsidRPr="00D25ABD">
        <w:rPr>
          <w:rFonts w:ascii="Times New Roman" w:hAnsi="Times New Roman"/>
          <w:sz w:val="24"/>
          <w:szCs w:val="24"/>
        </w:rPr>
        <w:t xml:space="preserve">, į </w:t>
      </w:r>
      <w:r w:rsidR="00CA02B2">
        <w:rPr>
          <w:rFonts w:ascii="Times New Roman" w:hAnsi="Times New Roman"/>
          <w:sz w:val="24"/>
          <w:szCs w:val="24"/>
        </w:rPr>
        <w:t>tai</w:t>
      </w:r>
      <w:r w:rsidR="00D25ABD" w:rsidRPr="00D25ABD">
        <w:rPr>
          <w:rFonts w:ascii="Times New Roman" w:hAnsi="Times New Roman"/>
          <w:sz w:val="24"/>
          <w:szCs w:val="24"/>
        </w:rPr>
        <w:t xml:space="preserve"> bus investuojama pagal </w:t>
      </w:r>
      <w:r w:rsidR="00D25ABD" w:rsidRPr="00D25ABD">
        <w:rPr>
          <w:rFonts w:ascii="Times New Roman" w:hAnsi="Times New Roman"/>
          <w:b/>
          <w:sz w:val="24"/>
          <w:szCs w:val="24"/>
        </w:rPr>
        <w:t>aštuntą teminį tikslą</w:t>
      </w:r>
      <w:r w:rsidR="00D25ABD" w:rsidRPr="00D25ABD">
        <w:rPr>
          <w:rFonts w:ascii="Times New Roman" w:hAnsi="Times New Roman"/>
          <w:sz w:val="24"/>
          <w:szCs w:val="24"/>
        </w:rPr>
        <w:t xml:space="preserve">. Siekiant didesnio užimtumo tiek moterų, tiek </w:t>
      </w:r>
      <w:proofErr w:type="gramStart"/>
      <w:r w:rsidR="00D25ABD" w:rsidRPr="00D25ABD">
        <w:rPr>
          <w:rFonts w:ascii="Times New Roman" w:hAnsi="Times New Roman"/>
          <w:sz w:val="24"/>
          <w:szCs w:val="24"/>
        </w:rPr>
        <w:t>vyrų tarpe</w:t>
      </w:r>
      <w:proofErr w:type="gramEnd"/>
      <w:r w:rsidR="00D25ABD" w:rsidRPr="00D25ABD">
        <w:rPr>
          <w:rFonts w:ascii="Times New Roman" w:hAnsi="Times New Roman"/>
          <w:sz w:val="24"/>
          <w:szCs w:val="24"/>
        </w:rPr>
        <w:t>, didžiausias dėmesys bus skiriamas jaunų žmonių įtraukimui į dar</w:t>
      </w:r>
      <w:r w:rsidR="00D066E7">
        <w:rPr>
          <w:rFonts w:ascii="Times New Roman" w:hAnsi="Times New Roman"/>
          <w:sz w:val="24"/>
          <w:szCs w:val="24"/>
        </w:rPr>
        <w:t>bo rinką ir jau besirengiančių</w:t>
      </w:r>
      <w:r w:rsidR="00D25ABD" w:rsidRPr="00D25ABD">
        <w:rPr>
          <w:rFonts w:ascii="Times New Roman" w:hAnsi="Times New Roman"/>
          <w:sz w:val="24"/>
          <w:szCs w:val="24"/>
        </w:rPr>
        <w:t xml:space="preserve"> iš jo</w:t>
      </w:r>
      <w:r w:rsidR="00D066E7">
        <w:rPr>
          <w:rFonts w:ascii="Times New Roman" w:hAnsi="Times New Roman"/>
          <w:sz w:val="24"/>
          <w:szCs w:val="24"/>
        </w:rPr>
        <w:t>s pasitraukti (išeiti į pensiją)</w:t>
      </w:r>
      <w:r w:rsidR="00D25ABD" w:rsidRPr="00D25ABD">
        <w:rPr>
          <w:rFonts w:ascii="Times New Roman" w:hAnsi="Times New Roman"/>
          <w:sz w:val="24"/>
          <w:szCs w:val="24"/>
        </w:rPr>
        <w:t xml:space="preserve"> kuo </w:t>
      </w:r>
      <w:r w:rsidR="00D25ABD" w:rsidRPr="00D25ABD">
        <w:rPr>
          <w:rFonts w:ascii="Times New Roman" w:hAnsi="Times New Roman"/>
          <w:sz w:val="24"/>
          <w:szCs w:val="24"/>
        </w:rPr>
        <w:lastRenderedPageBreak/>
        <w:t>ilgesnis išlaikymas joje, taip pat visų ekonomiškai neaktyvių gyventojų įtraukimui į darbo rinką. Šiems pokyčiams būtina lankstesnė darbo rinka: ir dirbančių asmenų gebėjimas prisitaikyti prie naujų sąlygų (žinių ekonomikos), ir darbdavių lankstumas. Naudojant aktyvias prevencines darbo rinkos reguliavimo priemones, bus skatinamas įsidarbinimo galimybių didinimas (specialias priemones skiriant asmenims, kuriems labiausiai gresia socialinės atskirties rizika), verslumas ir savarankišk</w:t>
      </w:r>
      <w:r w:rsidR="00CA02B2">
        <w:rPr>
          <w:rFonts w:ascii="Times New Roman" w:hAnsi="Times New Roman"/>
          <w:sz w:val="24"/>
          <w:szCs w:val="24"/>
        </w:rPr>
        <w:t>as</w:t>
      </w:r>
      <w:r w:rsidR="00D25ABD" w:rsidRPr="00D25ABD">
        <w:rPr>
          <w:rFonts w:ascii="Times New Roman" w:hAnsi="Times New Roman"/>
          <w:sz w:val="24"/>
          <w:szCs w:val="24"/>
        </w:rPr>
        <w:t xml:space="preserve"> užimtum</w:t>
      </w:r>
      <w:r w:rsidR="00CA02B2">
        <w:rPr>
          <w:rFonts w:ascii="Times New Roman" w:hAnsi="Times New Roman"/>
          <w:sz w:val="24"/>
          <w:szCs w:val="24"/>
        </w:rPr>
        <w:t>as</w:t>
      </w:r>
      <w:r w:rsidR="00D25ABD" w:rsidRPr="00D25ABD">
        <w:rPr>
          <w:rFonts w:ascii="Times New Roman" w:hAnsi="Times New Roman"/>
          <w:sz w:val="24"/>
          <w:szCs w:val="24"/>
        </w:rPr>
        <w:t xml:space="preserve"> (ypač padidintos socialinės atskirties rizikos grupėse), profesinis ir geografinis mobilumas, skatinamos karjeros planavimo ir konsultavimo priemonės, padedančios prisitaikyti prie darbo rinkos.</w:t>
      </w:r>
    </w:p>
    <w:p w:rsidR="00E7414F" w:rsidRPr="00E7414F" w:rsidRDefault="00E7414F" w:rsidP="00E7414F">
      <w:pPr>
        <w:spacing w:after="0" w:line="240" w:lineRule="auto"/>
        <w:ind w:firstLine="624"/>
        <w:jc w:val="both"/>
        <w:rPr>
          <w:rFonts w:ascii="Times New Roman" w:hAnsi="Times New Roman"/>
          <w:sz w:val="24"/>
          <w:szCs w:val="24"/>
        </w:rPr>
      </w:pPr>
      <w:r w:rsidRPr="00E7414F">
        <w:rPr>
          <w:rFonts w:ascii="Times New Roman" w:hAnsi="Times New Roman"/>
          <w:sz w:val="24"/>
          <w:szCs w:val="24"/>
        </w:rPr>
        <w:t xml:space="preserve">Kitas svarbus socialinės sanglaudos skatinimo aspektas – galimybių gauti įperkamas, </w:t>
      </w:r>
      <w:r w:rsidR="00DA6047">
        <w:rPr>
          <w:rFonts w:ascii="Times New Roman" w:hAnsi="Times New Roman"/>
          <w:sz w:val="24"/>
          <w:szCs w:val="24"/>
        </w:rPr>
        <w:t>darnias</w:t>
      </w:r>
      <w:r w:rsidRPr="00E7414F">
        <w:rPr>
          <w:rFonts w:ascii="Times New Roman" w:hAnsi="Times New Roman"/>
          <w:sz w:val="24"/>
          <w:szCs w:val="24"/>
        </w:rPr>
        <w:t xml:space="preserve"> ir aukštos kokybės paslaugas didinimas, įskaitant sveikatos priežiūrą ir visuotinės svar</w:t>
      </w:r>
      <w:r w:rsidR="00CA02B2">
        <w:rPr>
          <w:rFonts w:ascii="Times New Roman" w:hAnsi="Times New Roman"/>
          <w:sz w:val="24"/>
          <w:szCs w:val="24"/>
        </w:rPr>
        <w:t>bos socialines paslaugas</w:t>
      </w:r>
      <w:r w:rsidRPr="00E7414F">
        <w:rPr>
          <w:rFonts w:ascii="Times New Roman" w:hAnsi="Times New Roman"/>
          <w:sz w:val="24"/>
          <w:szCs w:val="24"/>
        </w:rPr>
        <w:t xml:space="preserve">. Investuojant pagal </w:t>
      </w:r>
      <w:r w:rsidRPr="00E7414F">
        <w:rPr>
          <w:rFonts w:ascii="Times New Roman" w:hAnsi="Times New Roman"/>
          <w:b/>
          <w:sz w:val="24"/>
          <w:szCs w:val="24"/>
        </w:rPr>
        <w:t>devintą teminį tikslą</w:t>
      </w:r>
      <w:r w:rsidRPr="00E7414F">
        <w:rPr>
          <w:rFonts w:ascii="Times New Roman" w:hAnsi="Times New Roman"/>
          <w:sz w:val="24"/>
          <w:szCs w:val="24"/>
        </w:rPr>
        <w:t xml:space="preserve"> (bet taip pat pagal </w:t>
      </w:r>
      <w:r w:rsidRPr="00B74003">
        <w:rPr>
          <w:rFonts w:ascii="Times New Roman" w:hAnsi="Times New Roman"/>
          <w:b/>
          <w:sz w:val="24"/>
          <w:szCs w:val="24"/>
        </w:rPr>
        <w:t>aštuntą ir dešimtą tikslus</w:t>
      </w:r>
      <w:r w:rsidRPr="00E7414F">
        <w:rPr>
          <w:rFonts w:ascii="Times New Roman" w:hAnsi="Times New Roman"/>
          <w:sz w:val="24"/>
          <w:szCs w:val="24"/>
        </w:rPr>
        <w:t>, atitinkamai į darbo rinkos ir švietimo paslaugas) bus siekiama sudaryti prielaidas tei</w:t>
      </w:r>
      <w:r w:rsidR="000E4A90">
        <w:rPr>
          <w:rFonts w:ascii="Times New Roman" w:hAnsi="Times New Roman"/>
          <w:sz w:val="24"/>
          <w:szCs w:val="24"/>
        </w:rPr>
        <w:t>kiamų paslaugų (ypač socialinių paslaugų</w:t>
      </w:r>
      <w:r w:rsidRPr="00E7414F">
        <w:rPr>
          <w:rFonts w:ascii="Times New Roman" w:hAnsi="Times New Roman"/>
          <w:sz w:val="24"/>
          <w:szCs w:val="24"/>
        </w:rPr>
        <w:t xml:space="preserve">, </w:t>
      </w:r>
      <w:r w:rsidR="000E4A90">
        <w:rPr>
          <w:rFonts w:ascii="Times New Roman" w:hAnsi="Times New Roman"/>
          <w:sz w:val="24"/>
          <w:szCs w:val="24"/>
        </w:rPr>
        <w:t>tokių kaip</w:t>
      </w:r>
      <w:r w:rsidRPr="00E7414F">
        <w:rPr>
          <w:rFonts w:ascii="Times New Roman" w:hAnsi="Times New Roman"/>
          <w:sz w:val="24"/>
          <w:szCs w:val="24"/>
        </w:rPr>
        <w:t xml:space="preserve"> globa) kokybei ir efektyvumui didinti bei pačioms paslaugoms </w:t>
      </w:r>
      <w:proofErr w:type="gramStart"/>
      <w:r w:rsidRPr="00E7414F">
        <w:rPr>
          <w:rFonts w:ascii="Times New Roman" w:hAnsi="Times New Roman"/>
          <w:sz w:val="24"/>
          <w:szCs w:val="24"/>
        </w:rPr>
        <w:t>(</w:t>
      </w:r>
      <w:proofErr w:type="gramEnd"/>
      <w:r w:rsidRPr="00E7414F">
        <w:rPr>
          <w:rFonts w:ascii="Times New Roman" w:hAnsi="Times New Roman"/>
          <w:sz w:val="24"/>
          <w:szCs w:val="24"/>
        </w:rPr>
        <w:t>pavyzdžiui, visuomenės sveik</w:t>
      </w:r>
      <w:r w:rsidR="008312C9">
        <w:rPr>
          <w:rFonts w:ascii="Times New Roman" w:hAnsi="Times New Roman"/>
          <w:sz w:val="24"/>
          <w:szCs w:val="24"/>
        </w:rPr>
        <w:t>atos ir asmens sveikatos apsaugos, socialinio būsto</w:t>
      </w:r>
      <w:r w:rsidRPr="00E7414F">
        <w:rPr>
          <w:rFonts w:ascii="Times New Roman" w:hAnsi="Times New Roman"/>
          <w:sz w:val="24"/>
          <w:szCs w:val="24"/>
        </w:rPr>
        <w:t>) tapti labiau prieinamoms visos Lietuvos gyventojams. Optimizuojant socialinių paslaugų ir sveikatos priežiūros įstaigų tinklą</w:t>
      </w:r>
      <w:r w:rsidR="00762BCC">
        <w:rPr>
          <w:rFonts w:ascii="Times New Roman" w:hAnsi="Times New Roman"/>
          <w:sz w:val="24"/>
          <w:szCs w:val="24"/>
        </w:rPr>
        <w:t>,</w:t>
      </w:r>
      <w:r w:rsidRPr="00E7414F">
        <w:rPr>
          <w:rFonts w:ascii="Times New Roman" w:hAnsi="Times New Roman"/>
          <w:sz w:val="24"/>
          <w:szCs w:val="24"/>
        </w:rPr>
        <w:t xml:space="preserve"> bus kuriama finansiniu ir ekonominiu požiūriu tvari sistema, kuri teiktų kokybiškas ir prieinamas paslaugas, tačiau kartu ilgesniuoju laikotarpiu jai išlaikyti reikalingomis sąnaudomis nekeltų nepagrįstai didelio spaudimo valstybės finansams ir šalies makroekonominiam stabilumui. Dėl šios priežasties investuojant bus vertinami galimi lėšų šaltiniai sukurtosios infrastruktūros išlaidoms padengti po to, kai baigsis </w:t>
      </w:r>
      <w:r w:rsidR="000F4AE6">
        <w:rPr>
          <w:rFonts w:ascii="Times New Roman" w:hAnsi="Times New Roman"/>
          <w:sz w:val="24"/>
          <w:szCs w:val="24"/>
        </w:rPr>
        <w:t>ES fondų</w:t>
      </w:r>
      <w:r w:rsidR="00CF3A75">
        <w:rPr>
          <w:rFonts w:ascii="Times New Roman" w:hAnsi="Times New Roman"/>
          <w:sz w:val="24"/>
          <w:szCs w:val="24"/>
        </w:rPr>
        <w:t xml:space="preserve"> lėšos</w:t>
      </w:r>
      <w:r w:rsidRPr="00E7414F">
        <w:rPr>
          <w:rFonts w:ascii="Times New Roman" w:hAnsi="Times New Roman"/>
          <w:sz w:val="24"/>
          <w:szCs w:val="24"/>
        </w:rPr>
        <w:t>, o pa</w:t>
      </w:r>
      <w:r w:rsidR="00762BCC">
        <w:rPr>
          <w:rFonts w:ascii="Times New Roman" w:hAnsi="Times New Roman"/>
          <w:sz w:val="24"/>
          <w:szCs w:val="24"/>
        </w:rPr>
        <w:t xml:space="preserve">čios investicijos bus skiriamos, </w:t>
      </w:r>
      <w:r w:rsidRPr="00E7414F">
        <w:rPr>
          <w:rFonts w:ascii="Times New Roman" w:hAnsi="Times New Roman"/>
          <w:sz w:val="24"/>
          <w:szCs w:val="24"/>
        </w:rPr>
        <w:t>atsižvelgiant į bendrą kiekvieno viešųjų paslaugų sektoriaus modernizavimo bei tinklo optimizavimo siekį: didinti efektyvumą ir kokybę, mažinti tinklo išlaidas, pritraukti</w:t>
      </w:r>
      <w:r w:rsidR="00762BCC">
        <w:rPr>
          <w:rFonts w:ascii="Times New Roman" w:hAnsi="Times New Roman"/>
          <w:sz w:val="24"/>
          <w:szCs w:val="24"/>
        </w:rPr>
        <w:t>,</w:t>
      </w:r>
      <w:r w:rsidRPr="00E7414F">
        <w:rPr>
          <w:rFonts w:ascii="Times New Roman" w:hAnsi="Times New Roman"/>
          <w:sz w:val="24"/>
          <w:szCs w:val="24"/>
        </w:rPr>
        <w:t xml:space="preserve"> kuo įvairesnių finansavimo šaltinių. </w:t>
      </w:r>
    </w:p>
    <w:p w:rsidR="00E7414F" w:rsidRPr="00E7414F" w:rsidRDefault="00E7414F" w:rsidP="00E7414F">
      <w:pPr>
        <w:spacing w:after="0" w:line="240" w:lineRule="auto"/>
        <w:ind w:firstLine="624"/>
        <w:jc w:val="both"/>
        <w:rPr>
          <w:rFonts w:ascii="Times New Roman" w:hAnsi="Times New Roman"/>
          <w:sz w:val="24"/>
          <w:szCs w:val="24"/>
        </w:rPr>
      </w:pPr>
      <w:r w:rsidRPr="00E7414F">
        <w:rPr>
          <w:rFonts w:ascii="Times New Roman" w:hAnsi="Times New Roman"/>
          <w:sz w:val="24"/>
          <w:szCs w:val="24"/>
        </w:rPr>
        <w:t>Ypatingą skurdo ir socialinės atskirties riziką patiria socialiai pažeidžiamiausios visuomenės grupės – joms priklausantys asmenys paprastai ilgą laiką būna ekonomiškai neaktyvūs, todėl jiems itin sudėtinga įsilieti į darbo rinką dėl neįgytų ar prarastų darbinių įgūdžių, kvalifikacijos ar socialin</w:t>
      </w:r>
      <w:r w:rsidR="00CA02B2">
        <w:rPr>
          <w:rFonts w:ascii="Times New Roman" w:hAnsi="Times New Roman"/>
          <w:sz w:val="24"/>
          <w:szCs w:val="24"/>
        </w:rPr>
        <w:t xml:space="preserve">ių gebėjimų. Pagal </w:t>
      </w:r>
      <w:r w:rsidR="00CA02B2" w:rsidRPr="007B4912">
        <w:rPr>
          <w:rFonts w:ascii="Times New Roman" w:hAnsi="Times New Roman"/>
          <w:b/>
          <w:sz w:val="24"/>
          <w:szCs w:val="24"/>
        </w:rPr>
        <w:t>devintą tem</w:t>
      </w:r>
      <w:r w:rsidRPr="007B4912">
        <w:rPr>
          <w:rFonts w:ascii="Times New Roman" w:hAnsi="Times New Roman"/>
          <w:b/>
          <w:sz w:val="24"/>
          <w:szCs w:val="24"/>
        </w:rPr>
        <w:t>inį tikslą</w:t>
      </w:r>
      <w:r w:rsidRPr="00E7414F">
        <w:rPr>
          <w:rFonts w:ascii="Times New Roman" w:hAnsi="Times New Roman"/>
          <w:sz w:val="24"/>
          <w:szCs w:val="24"/>
        </w:rPr>
        <w:t xml:space="preserve"> bus siekiama p</w:t>
      </w:r>
      <w:r w:rsidRPr="00E7414F">
        <w:rPr>
          <w:rFonts w:ascii="Times New Roman" w:eastAsia="AngsanaUPC" w:hAnsi="Times New Roman"/>
          <w:bCs/>
          <w:sz w:val="24"/>
          <w:szCs w:val="24"/>
          <w:lang w:eastAsia="lt-LT"/>
        </w:rPr>
        <w:t>askatinti ir tokių labiausiai nutolusių nuo darbo rinkos asmenų integraciją į darbo rinką, p</w:t>
      </w:r>
      <w:r w:rsidRPr="00E7414F">
        <w:rPr>
          <w:rFonts w:ascii="Times New Roman" w:hAnsi="Times New Roman"/>
          <w:sz w:val="24"/>
          <w:szCs w:val="24"/>
        </w:rPr>
        <w:t>askatinti aktyvesnį pagyvenusių asmenų dalyvavimą darbo rinkoje ir visuomeninėje veikloje, taip pat socialinę ekonomiką ir socialinių įmonių plėtrą.</w:t>
      </w:r>
    </w:p>
    <w:p w:rsidR="00E7414F" w:rsidRPr="00B326BB" w:rsidRDefault="00E7414F" w:rsidP="000D7DD2">
      <w:pPr>
        <w:widowControl w:val="0"/>
        <w:tabs>
          <w:tab w:val="left" w:pos="622"/>
        </w:tabs>
        <w:spacing w:after="0" w:line="240" w:lineRule="auto"/>
        <w:jc w:val="both"/>
        <w:rPr>
          <w:rFonts w:ascii="Times New Roman" w:hAnsi="Times New Roman"/>
          <w:sz w:val="24"/>
          <w:szCs w:val="24"/>
        </w:rPr>
      </w:pPr>
    </w:p>
    <w:p w:rsidR="001337A1" w:rsidRDefault="001337A1" w:rsidP="008174C2">
      <w:pPr>
        <w:widowControl w:val="0"/>
        <w:tabs>
          <w:tab w:val="left" w:pos="622"/>
        </w:tabs>
        <w:spacing w:after="0" w:line="240" w:lineRule="auto"/>
        <w:jc w:val="both"/>
        <w:rPr>
          <w:rFonts w:ascii="Times New Roman" w:eastAsia="AngsanaUPC" w:hAnsi="Times New Roman"/>
          <w:bCs/>
          <w:iCs/>
          <w:sz w:val="24"/>
          <w:szCs w:val="24"/>
          <w:lang w:eastAsia="lt-LT"/>
        </w:rPr>
        <w:sectPr w:rsidR="001337A1" w:rsidSect="00C174AC">
          <w:headerReference w:type="default" r:id="rId9"/>
          <w:footerReference w:type="default" r:id="rId10"/>
          <w:headerReference w:type="first" r:id="rId11"/>
          <w:pgSz w:w="11906" w:h="16838"/>
          <w:pgMar w:top="1701" w:right="567" w:bottom="1134" w:left="1701" w:header="567" w:footer="567" w:gutter="0"/>
          <w:cols w:space="1296"/>
          <w:docGrid w:linePitch="360"/>
        </w:sectPr>
      </w:pPr>
    </w:p>
    <w:p w:rsidR="00B9188F" w:rsidRPr="003E0F8A" w:rsidRDefault="00CA02B2" w:rsidP="00B9188F">
      <w:pPr>
        <w:widowControl w:val="0"/>
        <w:tabs>
          <w:tab w:val="left" w:pos="622"/>
        </w:tabs>
        <w:spacing w:after="120" w:line="240" w:lineRule="auto"/>
        <w:jc w:val="both"/>
        <w:rPr>
          <w:rFonts w:ascii="Times New Roman" w:eastAsia="AngsanaUPC" w:hAnsi="Times New Roman"/>
          <w:bCs/>
          <w:iCs/>
          <w:szCs w:val="24"/>
          <w:lang w:eastAsia="lt-LT"/>
        </w:rPr>
      </w:pPr>
      <w:r w:rsidRPr="00D930E6">
        <w:rPr>
          <w:rFonts w:ascii="Times New Roman" w:eastAsia="AngsanaUPC" w:hAnsi="Times New Roman"/>
          <w:bCs/>
          <w:i/>
          <w:iCs/>
          <w:szCs w:val="24"/>
          <w:lang w:eastAsia="lt-LT"/>
        </w:rPr>
        <w:lastRenderedPageBreak/>
        <w:t>1 lentelė.</w:t>
      </w:r>
      <w:r w:rsidRPr="00D930E6">
        <w:rPr>
          <w:rFonts w:ascii="Times New Roman" w:eastAsia="AngsanaUPC" w:hAnsi="Times New Roman"/>
          <w:bCs/>
          <w:iCs/>
          <w:szCs w:val="24"/>
          <w:lang w:eastAsia="lt-LT"/>
        </w:rPr>
        <w:t xml:space="preserve"> </w:t>
      </w:r>
      <w:r w:rsidR="00D930E6" w:rsidRPr="00D930E6">
        <w:rPr>
          <w:rFonts w:ascii="Times New Roman" w:eastAsia="AngsanaUPC" w:hAnsi="Times New Roman"/>
          <w:b/>
          <w:bCs/>
          <w:iCs/>
          <w:szCs w:val="24"/>
          <w:lang w:eastAsia="lt-LT"/>
        </w:rPr>
        <w:t>Pasirinktų teminių tikslų ir invest</w:t>
      </w:r>
      <w:r w:rsidR="00706B38">
        <w:rPr>
          <w:rFonts w:ascii="Times New Roman" w:eastAsia="AngsanaUPC" w:hAnsi="Times New Roman"/>
          <w:b/>
          <w:bCs/>
          <w:iCs/>
          <w:szCs w:val="24"/>
          <w:lang w:eastAsia="lt-LT"/>
        </w:rPr>
        <w:t>icinių</w:t>
      </w:r>
      <w:r w:rsidR="00D930E6" w:rsidRPr="00D930E6">
        <w:rPr>
          <w:rFonts w:ascii="Times New Roman" w:eastAsia="AngsanaUPC" w:hAnsi="Times New Roman"/>
          <w:b/>
          <w:bCs/>
          <w:iCs/>
          <w:szCs w:val="24"/>
          <w:lang w:eastAsia="lt-LT"/>
        </w:rPr>
        <w:t xml:space="preserve"> prioritetų pagrindimas</w:t>
      </w:r>
      <w:r w:rsidR="00D930E6">
        <w:rPr>
          <w:rFonts w:ascii="Times New Roman" w:eastAsia="AngsanaUPC" w:hAnsi="Times New Roman"/>
          <w:b/>
          <w:bCs/>
          <w:iCs/>
          <w:szCs w:val="24"/>
          <w:lang w:eastAsia="lt-LT"/>
        </w:rPr>
        <w:t>.</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685"/>
        <w:gridCol w:w="10064"/>
      </w:tblGrid>
      <w:tr w:rsidR="0041529C" w:rsidRPr="0041529C" w:rsidTr="00EC77A8">
        <w:trPr>
          <w:tblHeader/>
        </w:trPr>
        <w:tc>
          <w:tcPr>
            <w:tcW w:w="1668" w:type="dxa"/>
            <w:shd w:val="clear" w:color="auto" w:fill="F2F2F2"/>
            <w:vAlign w:val="center"/>
          </w:tcPr>
          <w:p w:rsidR="0041529C" w:rsidRPr="0041529C" w:rsidRDefault="0041529C" w:rsidP="0041529C">
            <w:pPr>
              <w:widowControl w:val="0"/>
              <w:tabs>
                <w:tab w:val="left" w:pos="622"/>
              </w:tabs>
              <w:spacing w:after="0" w:line="240" w:lineRule="auto"/>
              <w:jc w:val="center"/>
              <w:rPr>
                <w:rFonts w:ascii="Times New Roman" w:eastAsia="AngsanaUPC" w:hAnsi="Times New Roman"/>
                <w:b/>
                <w:bCs/>
                <w:sz w:val="20"/>
                <w:szCs w:val="20"/>
                <w:lang w:eastAsia="lt-LT"/>
              </w:rPr>
            </w:pPr>
            <w:r w:rsidRPr="0041529C">
              <w:rPr>
                <w:rFonts w:ascii="Times New Roman" w:eastAsia="AngsanaUPC" w:hAnsi="Times New Roman"/>
                <w:b/>
                <w:bCs/>
                <w:sz w:val="20"/>
                <w:szCs w:val="20"/>
                <w:lang w:eastAsia="lt-LT"/>
              </w:rPr>
              <w:t>Teminis tikslas</w:t>
            </w:r>
          </w:p>
        </w:tc>
        <w:tc>
          <w:tcPr>
            <w:tcW w:w="3685" w:type="dxa"/>
            <w:shd w:val="clear" w:color="auto" w:fill="F2F2F2"/>
            <w:vAlign w:val="center"/>
          </w:tcPr>
          <w:p w:rsidR="0041529C" w:rsidRPr="0041529C" w:rsidRDefault="0041529C" w:rsidP="0041529C">
            <w:pPr>
              <w:widowControl w:val="0"/>
              <w:tabs>
                <w:tab w:val="left" w:pos="622"/>
              </w:tabs>
              <w:spacing w:after="0" w:line="240" w:lineRule="auto"/>
              <w:jc w:val="center"/>
              <w:rPr>
                <w:rFonts w:ascii="Times New Roman" w:eastAsia="AngsanaUPC" w:hAnsi="Times New Roman"/>
                <w:b/>
                <w:bCs/>
                <w:sz w:val="20"/>
                <w:szCs w:val="20"/>
                <w:lang w:eastAsia="lt-LT"/>
              </w:rPr>
            </w:pPr>
            <w:r w:rsidRPr="0041529C">
              <w:rPr>
                <w:rFonts w:ascii="Times New Roman" w:eastAsia="AngsanaUPC" w:hAnsi="Times New Roman"/>
                <w:b/>
                <w:bCs/>
                <w:sz w:val="20"/>
                <w:szCs w:val="20"/>
                <w:lang w:eastAsia="lt-LT"/>
              </w:rPr>
              <w:t>Investicinis prioritetas</w:t>
            </w:r>
          </w:p>
        </w:tc>
        <w:tc>
          <w:tcPr>
            <w:tcW w:w="10064" w:type="dxa"/>
            <w:shd w:val="clear" w:color="auto" w:fill="F2F2F2"/>
            <w:vAlign w:val="center"/>
          </w:tcPr>
          <w:p w:rsidR="0041529C" w:rsidRPr="0041529C" w:rsidRDefault="0041529C" w:rsidP="0041529C">
            <w:pPr>
              <w:widowControl w:val="0"/>
              <w:tabs>
                <w:tab w:val="left" w:pos="622"/>
              </w:tabs>
              <w:spacing w:after="0" w:line="240" w:lineRule="auto"/>
              <w:jc w:val="center"/>
              <w:rPr>
                <w:rFonts w:ascii="Times New Roman" w:eastAsia="AngsanaUPC" w:hAnsi="Times New Roman"/>
                <w:b/>
                <w:bCs/>
                <w:sz w:val="20"/>
                <w:szCs w:val="20"/>
                <w:lang w:eastAsia="lt-LT"/>
              </w:rPr>
            </w:pPr>
            <w:r w:rsidRPr="0041529C">
              <w:rPr>
                <w:rFonts w:ascii="Times New Roman" w:eastAsia="AngsanaUPC" w:hAnsi="Times New Roman"/>
                <w:b/>
                <w:bCs/>
                <w:sz w:val="20"/>
                <w:szCs w:val="20"/>
                <w:lang w:eastAsia="lt-LT"/>
              </w:rPr>
              <w:t>Pasirinkimo pagrindimas</w:t>
            </w:r>
          </w:p>
        </w:tc>
      </w:tr>
      <w:tr w:rsidR="0041529C" w:rsidRPr="0041529C" w:rsidTr="00EC77A8">
        <w:tc>
          <w:tcPr>
            <w:tcW w:w="1668" w:type="dxa"/>
            <w:vMerge w:val="restart"/>
            <w:shd w:val="clear" w:color="auto" w:fill="auto"/>
          </w:tcPr>
          <w:p w:rsidR="0041529C" w:rsidRPr="0041529C" w:rsidRDefault="0041529C" w:rsidP="00FE3C23">
            <w:pPr>
              <w:widowControl w:val="0"/>
              <w:tabs>
                <w:tab w:val="left" w:pos="622"/>
              </w:tabs>
              <w:spacing w:after="0" w:line="240" w:lineRule="auto"/>
              <w:jc w:val="both"/>
              <w:rPr>
                <w:rFonts w:ascii="Times New Roman" w:eastAsia="AngsanaUPC" w:hAnsi="Times New Roman"/>
                <w:bCs/>
                <w:sz w:val="20"/>
                <w:szCs w:val="20"/>
                <w:lang w:eastAsia="lt-LT"/>
              </w:rPr>
            </w:pPr>
            <w:r w:rsidRPr="0041529C">
              <w:rPr>
                <w:rFonts w:ascii="Times New Roman" w:eastAsia="AngsanaUPC" w:hAnsi="Times New Roman"/>
                <w:bCs/>
                <w:sz w:val="20"/>
                <w:szCs w:val="20"/>
                <w:lang w:eastAsia="lt-LT"/>
              </w:rPr>
              <w:t>1. Mokslinių tyrimų, technologinės plėtros ir inovacijų skatinimas</w:t>
            </w:r>
          </w:p>
        </w:tc>
        <w:tc>
          <w:tcPr>
            <w:tcW w:w="3685" w:type="dxa"/>
            <w:shd w:val="clear" w:color="auto" w:fill="auto"/>
          </w:tcPr>
          <w:p w:rsidR="0041529C" w:rsidRPr="0041529C" w:rsidRDefault="0041529C" w:rsidP="00AA0722">
            <w:pPr>
              <w:widowControl w:val="0"/>
              <w:tabs>
                <w:tab w:val="left" w:pos="622"/>
              </w:tabs>
              <w:spacing w:after="0" w:line="240" w:lineRule="auto"/>
              <w:jc w:val="both"/>
              <w:rPr>
                <w:rFonts w:ascii="Times New Roman" w:eastAsia="AngsanaUPC" w:hAnsi="Times New Roman"/>
                <w:bCs/>
                <w:sz w:val="20"/>
                <w:szCs w:val="20"/>
                <w:lang w:eastAsia="lt-LT"/>
              </w:rPr>
            </w:pPr>
            <w:r w:rsidRPr="0041529C">
              <w:rPr>
                <w:rFonts w:ascii="Times New Roman" w:eastAsia="AngsanaUPC" w:hAnsi="Times New Roman"/>
                <w:bCs/>
                <w:sz w:val="20"/>
                <w:szCs w:val="20"/>
                <w:lang w:eastAsia="lt-LT"/>
              </w:rPr>
              <w:t>1. Mokslinių tyrimų ir inovacijų (MTI) infrastruktūros tobulinimas, gebėjimų plėtoti MTI stiprinimas ir kompetencijos centrų, ypač europinės svarbos, veiklos skatinimas</w:t>
            </w:r>
          </w:p>
        </w:tc>
        <w:tc>
          <w:tcPr>
            <w:tcW w:w="10064" w:type="dxa"/>
            <w:shd w:val="clear" w:color="auto" w:fill="auto"/>
          </w:tcPr>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r w:rsidRPr="0041529C">
              <w:rPr>
                <w:rFonts w:ascii="Times New Roman" w:eastAsia="AngsanaUPC" w:hAnsi="Times New Roman"/>
                <w:bCs/>
                <w:sz w:val="20"/>
                <w:szCs w:val="20"/>
                <w:lang w:eastAsia="lt-LT"/>
              </w:rPr>
              <w:t>Strategijos „Europa 2020“ (</w:t>
            </w:r>
            <w:r w:rsidR="006C65DD">
              <w:rPr>
                <w:rFonts w:ascii="Times New Roman" w:eastAsia="AngsanaUPC" w:hAnsi="Times New Roman"/>
                <w:bCs/>
                <w:sz w:val="20"/>
                <w:szCs w:val="20"/>
                <w:lang w:eastAsia="lt-LT"/>
              </w:rPr>
              <w:t xml:space="preserve">toliau šioje lentelėje – </w:t>
            </w:r>
            <w:r w:rsidRPr="0041529C">
              <w:rPr>
                <w:rFonts w:ascii="Times New Roman" w:eastAsia="AngsanaUPC" w:hAnsi="Times New Roman"/>
                <w:bCs/>
                <w:sz w:val="20"/>
                <w:szCs w:val="20"/>
                <w:lang w:eastAsia="lt-LT"/>
              </w:rPr>
              <w:t>ES2020) pavyzdinė iniciatyva „Inovacijų Sąjunga“ pabrėžia nacionalinės – MTEP ir inovacijų sistemos pertvarkymo svarbą, skatinant kompetencij</w:t>
            </w:r>
            <w:r w:rsidR="00FE3C23">
              <w:rPr>
                <w:rFonts w:ascii="Times New Roman" w:eastAsia="AngsanaUPC" w:hAnsi="Times New Roman"/>
                <w:bCs/>
                <w:sz w:val="20"/>
                <w:szCs w:val="20"/>
                <w:lang w:eastAsia="lt-LT"/>
              </w:rPr>
              <w:t>as</w:t>
            </w:r>
            <w:r w:rsidRPr="0041529C">
              <w:rPr>
                <w:rFonts w:ascii="Times New Roman" w:eastAsia="AngsanaUPC" w:hAnsi="Times New Roman"/>
                <w:bCs/>
                <w:sz w:val="20"/>
                <w:szCs w:val="20"/>
                <w:lang w:eastAsia="lt-LT"/>
              </w:rPr>
              <w:t xml:space="preserve"> ir pažangią specializaciją bei stiprinant universitetų, mokslinių tyrimų centrų ir įmonių bendradarbiavimą. </w:t>
            </w:r>
          </w:p>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r w:rsidRPr="0041529C">
              <w:rPr>
                <w:rFonts w:ascii="Times New Roman" w:eastAsia="AngsanaUPC" w:hAnsi="Times New Roman"/>
                <w:bCs/>
                <w:sz w:val="20"/>
                <w:szCs w:val="20"/>
                <w:lang w:eastAsia="lt-LT"/>
              </w:rPr>
              <w:t xml:space="preserve">Kadangi Lietuvoje investicijų lygis yra mažesnis už vidutinį ir </w:t>
            </w:r>
            <w:r w:rsidR="00A619EE">
              <w:rPr>
                <w:rFonts w:ascii="Times New Roman" w:eastAsia="AngsanaUPC" w:hAnsi="Times New Roman"/>
                <w:bCs/>
                <w:sz w:val="20"/>
                <w:szCs w:val="20"/>
                <w:lang w:eastAsia="lt-LT"/>
              </w:rPr>
              <w:t>šalis</w:t>
            </w:r>
            <w:r w:rsidRPr="0041529C">
              <w:rPr>
                <w:rFonts w:ascii="Times New Roman" w:eastAsia="AngsanaUPC" w:hAnsi="Times New Roman"/>
                <w:bCs/>
                <w:sz w:val="20"/>
                <w:szCs w:val="20"/>
                <w:lang w:eastAsia="lt-LT"/>
              </w:rPr>
              <w:t xml:space="preserve"> labai atsilieka nuo ES2020 tikslo investuoti 3 proc. BVP į MTEP, numatoma 2020 m. į šias veiklas investuoti 1,9 proc. BVP.</w:t>
            </w:r>
          </w:p>
          <w:p w:rsidR="0041529C" w:rsidRPr="0041529C" w:rsidRDefault="001A414C" w:rsidP="0041529C">
            <w:pPr>
              <w:widowControl w:val="0"/>
              <w:tabs>
                <w:tab w:val="left" w:pos="622"/>
              </w:tabs>
              <w:spacing w:after="0" w:line="240" w:lineRule="auto"/>
              <w:jc w:val="both"/>
              <w:rPr>
                <w:rFonts w:ascii="Times New Roman" w:eastAsia="AngsanaUPC" w:hAnsi="Times New Roman"/>
                <w:bCs/>
                <w:sz w:val="20"/>
                <w:szCs w:val="20"/>
                <w:lang w:eastAsia="lt-LT"/>
              </w:rPr>
            </w:pPr>
            <w:r>
              <w:rPr>
                <w:rFonts w:ascii="Times New Roman" w:eastAsia="AngsanaUPC" w:hAnsi="Times New Roman"/>
                <w:bCs/>
                <w:sz w:val="20"/>
                <w:szCs w:val="20"/>
                <w:lang w:eastAsia="lt-LT"/>
              </w:rPr>
              <w:t xml:space="preserve">Nacionalinėje </w:t>
            </w:r>
            <w:r w:rsidRPr="001A414C">
              <w:rPr>
                <w:rFonts w:ascii="Times New Roman" w:eastAsia="AngsanaUPC" w:hAnsi="Times New Roman"/>
                <w:bCs/>
                <w:sz w:val="20"/>
                <w:szCs w:val="20"/>
                <w:lang w:eastAsia="lt-LT"/>
              </w:rPr>
              <w:t>reformų darbotv</w:t>
            </w:r>
            <w:r>
              <w:rPr>
                <w:rFonts w:ascii="Times New Roman" w:eastAsia="AngsanaUPC" w:hAnsi="Times New Roman"/>
                <w:bCs/>
                <w:sz w:val="20"/>
                <w:szCs w:val="20"/>
                <w:lang w:eastAsia="lt-LT"/>
              </w:rPr>
              <w:t>arkėje</w:t>
            </w:r>
            <w:r w:rsidRPr="001A414C">
              <w:rPr>
                <w:rFonts w:ascii="Times New Roman" w:eastAsia="AngsanaUPC" w:hAnsi="Times New Roman"/>
                <w:bCs/>
                <w:sz w:val="20"/>
                <w:szCs w:val="20"/>
                <w:lang w:eastAsia="lt-LT"/>
              </w:rPr>
              <w:t xml:space="preserve"> </w:t>
            </w:r>
            <w:r>
              <w:rPr>
                <w:rFonts w:ascii="Times New Roman" w:eastAsia="AngsanaUPC" w:hAnsi="Times New Roman"/>
                <w:bCs/>
                <w:sz w:val="20"/>
                <w:szCs w:val="20"/>
                <w:lang w:eastAsia="lt-LT"/>
              </w:rPr>
              <w:t>(</w:t>
            </w:r>
            <w:r w:rsidR="0041529C" w:rsidRPr="0041529C">
              <w:rPr>
                <w:rFonts w:ascii="Times New Roman" w:eastAsia="AngsanaUPC" w:hAnsi="Times New Roman"/>
                <w:bCs/>
                <w:sz w:val="20"/>
                <w:szCs w:val="20"/>
                <w:lang w:eastAsia="lt-LT"/>
              </w:rPr>
              <w:t>NRD</w:t>
            </w:r>
            <w:r>
              <w:rPr>
                <w:rFonts w:ascii="Times New Roman" w:eastAsia="AngsanaUPC" w:hAnsi="Times New Roman"/>
                <w:bCs/>
                <w:sz w:val="20"/>
                <w:szCs w:val="20"/>
                <w:lang w:eastAsia="lt-LT"/>
              </w:rPr>
              <w:t>)</w:t>
            </w:r>
            <w:r w:rsidR="0041529C" w:rsidRPr="0041529C">
              <w:rPr>
                <w:rFonts w:ascii="Times New Roman" w:eastAsia="AngsanaUPC" w:hAnsi="Times New Roman"/>
                <w:bCs/>
                <w:sz w:val="20"/>
                <w:szCs w:val="20"/>
                <w:lang w:eastAsia="lt-LT"/>
              </w:rPr>
              <w:t xml:space="preserve"> numatyta prioritetinė veiksmų kryptis – Investicijų į MTEP didinimas. NPP numatyta plėtoti MTI infrastruktūrą, stiprinti tarptautinį bendradarbiavimą su atitinkamais partneriais. </w:t>
            </w:r>
          </w:p>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r w:rsidRPr="0041529C">
              <w:rPr>
                <w:rFonts w:ascii="Times New Roman" w:eastAsia="AngsanaUPC" w:hAnsi="Times New Roman"/>
                <w:bCs/>
                <w:sz w:val="20"/>
                <w:szCs w:val="20"/>
                <w:lang w:eastAsia="lt-LT"/>
              </w:rPr>
              <w:t>ES Baltijos jūros regiono strategijoje (ES BJRS) yra išskirta prioritetinė sritis „Inovacijos“, kurios tikslas visapusiškai išnaudoti regiono MTEP ir inovacijų potencialą.</w:t>
            </w:r>
          </w:p>
        </w:tc>
      </w:tr>
      <w:tr w:rsidR="0041529C" w:rsidRPr="0041529C" w:rsidTr="00EC77A8">
        <w:tc>
          <w:tcPr>
            <w:tcW w:w="1668" w:type="dxa"/>
            <w:vMerge/>
            <w:shd w:val="clear" w:color="auto" w:fill="auto"/>
          </w:tcPr>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p>
        </w:tc>
        <w:tc>
          <w:tcPr>
            <w:tcW w:w="3685" w:type="dxa"/>
            <w:shd w:val="clear" w:color="auto" w:fill="auto"/>
          </w:tcPr>
          <w:p w:rsidR="0041529C" w:rsidRPr="0041529C" w:rsidRDefault="0041529C" w:rsidP="00AA0722">
            <w:pPr>
              <w:widowControl w:val="0"/>
              <w:tabs>
                <w:tab w:val="left" w:pos="622"/>
              </w:tabs>
              <w:spacing w:after="0" w:line="240" w:lineRule="auto"/>
              <w:jc w:val="both"/>
              <w:rPr>
                <w:rFonts w:ascii="Times New Roman" w:eastAsia="AngsanaUPC" w:hAnsi="Times New Roman"/>
                <w:bCs/>
                <w:sz w:val="20"/>
                <w:szCs w:val="20"/>
                <w:lang w:eastAsia="lt-LT"/>
              </w:rPr>
            </w:pPr>
            <w:r w:rsidRPr="0041529C">
              <w:rPr>
                <w:rFonts w:ascii="Times New Roman" w:eastAsia="AngsanaUPC" w:hAnsi="Times New Roman"/>
                <w:bCs/>
                <w:sz w:val="20"/>
                <w:szCs w:val="20"/>
                <w:lang w:eastAsia="lt-LT"/>
              </w:rPr>
              <w:t>2. Verslo investicijų į MTI skatinimas, įmonių, MTI centrų ir aukštojo mokslo sektoriaus ryšių bei sąveikos plėtojimas, visų pirma</w:t>
            </w:r>
            <w:r w:rsidR="00225FB9">
              <w:rPr>
                <w:rFonts w:ascii="Times New Roman" w:eastAsia="AngsanaUPC" w:hAnsi="Times New Roman"/>
                <w:bCs/>
                <w:sz w:val="20"/>
                <w:szCs w:val="20"/>
                <w:lang w:eastAsia="lt-LT"/>
              </w:rPr>
              <w:t>,</w:t>
            </w:r>
            <w:r w:rsidRPr="0041529C">
              <w:rPr>
                <w:rFonts w:ascii="Times New Roman" w:eastAsia="AngsanaUPC" w:hAnsi="Times New Roman"/>
                <w:bCs/>
                <w:sz w:val="20"/>
                <w:szCs w:val="20"/>
                <w:lang w:eastAsia="lt-LT"/>
              </w:rPr>
              <w:t xml:space="preserve"> skatinant investicijas į produktų ir paslaugų plėtrą, technologijas, socialines ir viešosioms paslaugoms teikti skirtas inovacijas; taip pat paklausos, jungimosi į tinklus, grupių ir atvirų inovacijų skatinimas pagal pažangiosios specializacijos strategiją</w:t>
            </w:r>
            <w:r w:rsidR="00225FB9">
              <w:rPr>
                <w:rFonts w:ascii="Times New Roman" w:eastAsia="AngsanaUPC" w:hAnsi="Times New Roman"/>
                <w:bCs/>
                <w:sz w:val="20"/>
                <w:szCs w:val="20"/>
                <w:lang w:eastAsia="lt-LT"/>
              </w:rPr>
              <w:t>,</w:t>
            </w:r>
            <w:r w:rsidRPr="0041529C">
              <w:rPr>
                <w:rFonts w:ascii="Times New Roman" w:eastAsia="AngsanaUPC" w:hAnsi="Times New Roman"/>
                <w:bCs/>
                <w:sz w:val="20"/>
                <w:szCs w:val="20"/>
                <w:lang w:eastAsia="lt-LT"/>
              </w:rPr>
              <w:t xml:space="preserve"> remiant technologinius ir taikomųjų mokslų tyrimus, bandomųjų linijų diegimą, išankstinio produktų patvirtinimo veiksmus ir </w:t>
            </w:r>
            <w:r w:rsidR="00CD554C">
              <w:rPr>
                <w:rFonts w:ascii="Times New Roman" w:eastAsia="AngsanaUPC" w:hAnsi="Times New Roman"/>
                <w:bCs/>
                <w:sz w:val="20"/>
                <w:szCs w:val="20"/>
                <w:lang w:eastAsia="lt-LT"/>
              </w:rPr>
              <w:t>DPT</w:t>
            </w:r>
            <w:r w:rsidRPr="0041529C">
              <w:rPr>
                <w:rFonts w:ascii="Times New Roman" w:eastAsia="AngsanaUPC" w:hAnsi="Times New Roman"/>
                <w:bCs/>
                <w:sz w:val="20"/>
                <w:szCs w:val="20"/>
                <w:lang w:eastAsia="lt-LT"/>
              </w:rPr>
              <w:t xml:space="preserve"> pažangiosios gamybos pajėgumus, pirminės gamybos bei bendrosios paskirties technologijų sklaidą</w:t>
            </w:r>
          </w:p>
        </w:tc>
        <w:tc>
          <w:tcPr>
            <w:tcW w:w="10064" w:type="dxa"/>
            <w:shd w:val="clear" w:color="auto" w:fill="auto"/>
          </w:tcPr>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r w:rsidRPr="0041529C">
              <w:rPr>
                <w:rFonts w:ascii="Times New Roman" w:eastAsia="AngsanaUPC" w:hAnsi="Times New Roman"/>
                <w:bCs/>
                <w:sz w:val="20"/>
                <w:szCs w:val="20"/>
                <w:lang w:eastAsia="lt-LT"/>
              </w:rPr>
              <w:t>NRD nurodoma, kad Lietuvoje siekiama kurti konkurencingą, naujausiomis technologijomis ir kvalifikuotais žmogiškaisiais ištekliais grindžiamą žinių ekonomiką, diegti sisteminį požiūrį į inovacijas.</w:t>
            </w:r>
          </w:p>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r w:rsidRPr="0041529C">
              <w:rPr>
                <w:rFonts w:ascii="Times New Roman" w:eastAsia="AngsanaUPC" w:hAnsi="Times New Roman"/>
                <w:bCs/>
                <w:sz w:val="20"/>
                <w:szCs w:val="20"/>
                <w:lang w:eastAsia="lt-LT"/>
              </w:rPr>
              <w:t xml:space="preserve">Lietuvoje mokslo komercializavimo rodikliai yra vieni žemiausių ES, mažas inovatyvių įmonių skaičius, silpni mokslo ir verslo ryšiai, neaktyvus įmonių dalyvavimas tarptautinėje rinkoje. </w:t>
            </w:r>
          </w:p>
          <w:p w:rsidR="0041529C" w:rsidRPr="0041529C" w:rsidRDefault="0041529C" w:rsidP="0041529C">
            <w:pPr>
              <w:widowControl w:val="0"/>
              <w:tabs>
                <w:tab w:val="left" w:pos="622"/>
              </w:tabs>
              <w:spacing w:after="0" w:line="240" w:lineRule="auto"/>
              <w:jc w:val="both"/>
              <w:rPr>
                <w:rFonts w:ascii="Times New Roman" w:hAnsi="Times New Roman"/>
                <w:sz w:val="20"/>
                <w:szCs w:val="20"/>
              </w:rPr>
            </w:pPr>
            <w:r w:rsidRPr="0041529C">
              <w:rPr>
                <w:rFonts w:ascii="Times New Roman" w:hAnsi="Times New Roman"/>
                <w:sz w:val="20"/>
                <w:szCs w:val="20"/>
              </w:rPr>
              <w:t xml:space="preserve">EK tarnybų pozicijoje dėl 2014–2020 m. Lietuvos partnerystės sutarties ir programų rengimo (toliau – EK pozicija) </w:t>
            </w:r>
            <w:r w:rsidRPr="0041529C">
              <w:rPr>
                <w:rFonts w:ascii="Times New Roman" w:eastAsia="AngsanaUPC" w:hAnsi="Times New Roman"/>
                <w:bCs/>
                <w:sz w:val="20"/>
                <w:szCs w:val="20"/>
                <w:lang w:eastAsia="lt-LT"/>
              </w:rPr>
              <w:t>rekomenduojama</w:t>
            </w:r>
            <w:r w:rsidR="00A619EE">
              <w:rPr>
                <w:rFonts w:ascii="Times New Roman" w:eastAsia="AngsanaUPC" w:hAnsi="Times New Roman"/>
                <w:bCs/>
                <w:sz w:val="20"/>
                <w:szCs w:val="20"/>
                <w:lang w:eastAsia="lt-LT"/>
              </w:rPr>
              <w:t>,</w:t>
            </w:r>
            <w:r w:rsidRPr="0041529C">
              <w:rPr>
                <w:rFonts w:ascii="Times New Roman" w:eastAsia="AngsanaUPC" w:hAnsi="Times New Roman"/>
                <w:bCs/>
                <w:sz w:val="20"/>
                <w:szCs w:val="20"/>
                <w:lang w:eastAsia="lt-LT"/>
              </w:rPr>
              <w:t xml:space="preserve"> pirmiausiai</w:t>
            </w:r>
            <w:r w:rsidR="00A619EE">
              <w:rPr>
                <w:rFonts w:ascii="Times New Roman" w:eastAsia="AngsanaUPC" w:hAnsi="Times New Roman"/>
                <w:bCs/>
                <w:sz w:val="20"/>
                <w:szCs w:val="20"/>
                <w:lang w:eastAsia="lt-LT"/>
              </w:rPr>
              <w:t>,</w:t>
            </w:r>
            <w:r w:rsidRPr="0041529C">
              <w:rPr>
                <w:rFonts w:ascii="Times New Roman" w:eastAsia="AngsanaUPC" w:hAnsi="Times New Roman"/>
                <w:bCs/>
                <w:sz w:val="20"/>
                <w:szCs w:val="20"/>
                <w:lang w:eastAsia="lt-LT"/>
              </w:rPr>
              <w:t xml:space="preserve"> skatinti verslo investicijas į MTEP, inovacijas, verslumą, verslo ir mokslo ryšius, siekiant sukurti ilgalaikius pasitikėjimu pagrįstus santykius</w:t>
            </w:r>
            <w:r w:rsidR="00E23AAE">
              <w:rPr>
                <w:rFonts w:ascii="Times New Roman" w:eastAsia="AngsanaUPC" w:hAnsi="Times New Roman"/>
                <w:bCs/>
                <w:sz w:val="20"/>
                <w:szCs w:val="20"/>
                <w:lang w:eastAsia="lt-LT"/>
              </w:rPr>
              <w:t xml:space="preserve"> </w:t>
            </w:r>
            <w:r w:rsidRPr="0041529C">
              <w:rPr>
                <w:rFonts w:ascii="Times New Roman" w:eastAsia="AngsanaUPC" w:hAnsi="Times New Roman"/>
                <w:bCs/>
                <w:sz w:val="20"/>
                <w:szCs w:val="20"/>
                <w:lang w:eastAsia="lt-LT"/>
              </w:rPr>
              <w:t>bei užtikrinti geresnį žinių platinimą ir perdavimą.</w:t>
            </w:r>
          </w:p>
        </w:tc>
      </w:tr>
      <w:tr w:rsidR="0041529C" w:rsidRPr="0041529C" w:rsidTr="00EC77A8">
        <w:tc>
          <w:tcPr>
            <w:tcW w:w="1668" w:type="dxa"/>
            <w:vMerge w:val="restart"/>
            <w:shd w:val="clear" w:color="auto" w:fill="auto"/>
          </w:tcPr>
          <w:p w:rsidR="0041529C" w:rsidRPr="0041529C" w:rsidRDefault="0041529C" w:rsidP="00FE3C23">
            <w:pPr>
              <w:widowControl w:val="0"/>
              <w:tabs>
                <w:tab w:val="left" w:pos="622"/>
              </w:tabs>
              <w:spacing w:after="0" w:line="240" w:lineRule="auto"/>
              <w:jc w:val="both"/>
              <w:rPr>
                <w:rFonts w:ascii="Times New Roman" w:eastAsia="AngsanaUPC" w:hAnsi="Times New Roman"/>
                <w:bCs/>
                <w:sz w:val="20"/>
                <w:szCs w:val="20"/>
                <w:lang w:eastAsia="lt-LT"/>
              </w:rPr>
            </w:pPr>
            <w:r w:rsidRPr="0041529C">
              <w:rPr>
                <w:rFonts w:ascii="Times New Roman" w:eastAsia="AngsanaUPC" w:hAnsi="Times New Roman"/>
                <w:bCs/>
                <w:sz w:val="20"/>
                <w:szCs w:val="20"/>
                <w:lang w:eastAsia="lt-LT"/>
              </w:rPr>
              <w:t xml:space="preserve">2. </w:t>
            </w:r>
            <w:r w:rsidRPr="0041529C">
              <w:rPr>
                <w:rFonts w:ascii="Times New Roman" w:eastAsia="Times New Roman" w:hAnsi="Times New Roman"/>
                <w:sz w:val="20"/>
                <w:szCs w:val="20"/>
                <w:lang w:eastAsia="lt-LT"/>
              </w:rPr>
              <w:t xml:space="preserve">IRT </w:t>
            </w:r>
            <w:r w:rsidRPr="0041529C">
              <w:rPr>
                <w:rFonts w:ascii="Times New Roman" w:eastAsia="AngsanaUPC" w:hAnsi="Times New Roman"/>
                <w:bCs/>
                <w:sz w:val="20"/>
                <w:szCs w:val="20"/>
                <w:lang w:eastAsia="lt-LT"/>
              </w:rPr>
              <w:t>prieinamumo, naudojimo didinimas ir kokybės gerinimas</w:t>
            </w:r>
          </w:p>
        </w:tc>
        <w:tc>
          <w:tcPr>
            <w:tcW w:w="3685" w:type="dxa"/>
            <w:shd w:val="clear" w:color="auto" w:fill="auto"/>
          </w:tcPr>
          <w:p w:rsidR="0041529C" w:rsidRPr="0041529C" w:rsidRDefault="0041529C" w:rsidP="00425DFD">
            <w:pPr>
              <w:widowControl w:val="0"/>
              <w:tabs>
                <w:tab w:val="left" w:pos="1276"/>
              </w:tabs>
              <w:adjustRightInd w:val="0"/>
              <w:spacing w:after="120" w:line="240" w:lineRule="auto"/>
              <w:jc w:val="both"/>
              <w:textAlignment w:val="baseline"/>
              <w:rPr>
                <w:rFonts w:ascii="Times New Roman" w:eastAsia="Times New Roman" w:hAnsi="Times New Roman"/>
                <w:sz w:val="20"/>
                <w:szCs w:val="20"/>
                <w:lang w:eastAsia="lt-LT"/>
              </w:rPr>
            </w:pPr>
            <w:r w:rsidRPr="0041529C">
              <w:rPr>
                <w:rFonts w:ascii="Times New Roman" w:eastAsia="Times New Roman" w:hAnsi="Times New Roman"/>
                <w:sz w:val="20"/>
                <w:szCs w:val="20"/>
                <w:lang w:eastAsia="lt-LT"/>
              </w:rPr>
              <w:t xml:space="preserve">1. Plačiajuosčio ryšio diegimas ir didelės spartos tinklų plėtra, naujų skaitmeninei ekonomikai skirtų </w:t>
            </w:r>
            <w:r w:rsidR="00425DFD">
              <w:rPr>
                <w:rFonts w:ascii="Times New Roman" w:eastAsia="Times New Roman" w:hAnsi="Times New Roman"/>
                <w:sz w:val="20"/>
                <w:szCs w:val="20"/>
                <w:lang w:eastAsia="lt-LT"/>
              </w:rPr>
              <w:t>technologijų ir tinklų rėmimas</w:t>
            </w:r>
          </w:p>
        </w:tc>
        <w:tc>
          <w:tcPr>
            <w:tcW w:w="10064" w:type="dxa"/>
            <w:shd w:val="clear" w:color="auto" w:fill="auto"/>
          </w:tcPr>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r w:rsidRPr="0041529C">
              <w:rPr>
                <w:rFonts w:ascii="Times New Roman" w:eastAsia="AngsanaUPC" w:hAnsi="Times New Roman"/>
                <w:bCs/>
                <w:sz w:val="20"/>
                <w:szCs w:val="20"/>
                <w:lang w:eastAsia="lt-LT"/>
              </w:rPr>
              <w:t>Siekiant ES2020 pavyzdinės iniciatyvos „Skaitmeninės darbotvarkės“ tikslo –</w:t>
            </w:r>
            <w:r w:rsidR="004A296A">
              <w:rPr>
                <w:rFonts w:ascii="Times New Roman" w:eastAsia="AngsanaUPC" w:hAnsi="Times New Roman"/>
                <w:bCs/>
                <w:sz w:val="20"/>
                <w:szCs w:val="20"/>
                <w:lang w:eastAsia="lt-LT"/>
              </w:rPr>
              <w:t xml:space="preserve"> </w:t>
            </w:r>
            <w:r w:rsidRPr="0041529C">
              <w:rPr>
                <w:rFonts w:ascii="Times New Roman" w:eastAsia="AngsanaUPC" w:hAnsi="Times New Roman"/>
                <w:bCs/>
                <w:sz w:val="20"/>
                <w:szCs w:val="20"/>
                <w:lang w:eastAsia="lt-LT"/>
              </w:rPr>
              <w:t>užtikrinti plačiajuosčio ryšio prieinamumą visiems, NRD numatyta, kad iki 2020 m. visi Lietuvos gyventojai galės naudotis spartesniu negu 30 Mbps interneto ryšiu, ne mažiau nei 50 proc. namų ūkių naudosis 100 Mbps ir spartesniu interneto ryšiu. Šiuo metu dar trūksta šių paslaugų teikimo atokiose šalies vietovėse, nutolusiose nuo ekonomikos centrų.</w:t>
            </w:r>
          </w:p>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r w:rsidRPr="0041529C">
              <w:rPr>
                <w:rFonts w:ascii="Times New Roman" w:eastAsia="AngsanaUPC" w:hAnsi="Times New Roman"/>
                <w:bCs/>
                <w:sz w:val="20"/>
                <w:szCs w:val="20"/>
                <w:lang w:eastAsia="lt-LT"/>
              </w:rPr>
              <w:t>Taip pat bus siekiama „Skaitmeninėje darbotvarkėje“ numatytos IRT infrastruktūros saugos užtikrinimo, kad valstybės institucijos ir pi</w:t>
            </w:r>
            <w:r w:rsidR="004A296A">
              <w:rPr>
                <w:rFonts w:ascii="Times New Roman" w:eastAsia="AngsanaUPC" w:hAnsi="Times New Roman"/>
                <w:bCs/>
                <w:sz w:val="20"/>
                <w:szCs w:val="20"/>
                <w:lang w:eastAsia="lt-LT"/>
              </w:rPr>
              <w:t xml:space="preserve">liečiai </w:t>
            </w:r>
            <w:r w:rsidRPr="0041529C">
              <w:rPr>
                <w:rFonts w:ascii="Times New Roman" w:eastAsia="AngsanaUPC" w:hAnsi="Times New Roman"/>
                <w:bCs/>
                <w:sz w:val="20"/>
                <w:szCs w:val="20"/>
                <w:lang w:eastAsia="lt-LT"/>
              </w:rPr>
              <w:t>galėtų sėkmingai išnaudoti IRT galimybes.</w:t>
            </w:r>
          </w:p>
        </w:tc>
      </w:tr>
      <w:tr w:rsidR="0041529C" w:rsidRPr="0041529C" w:rsidTr="00EC77A8">
        <w:tc>
          <w:tcPr>
            <w:tcW w:w="1668" w:type="dxa"/>
            <w:vMerge/>
            <w:shd w:val="clear" w:color="auto" w:fill="auto"/>
          </w:tcPr>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p>
        </w:tc>
        <w:tc>
          <w:tcPr>
            <w:tcW w:w="3685" w:type="dxa"/>
            <w:shd w:val="clear" w:color="auto" w:fill="auto"/>
          </w:tcPr>
          <w:p w:rsidR="0041529C" w:rsidRPr="0041529C" w:rsidRDefault="0041529C" w:rsidP="0041529C">
            <w:pPr>
              <w:widowControl w:val="0"/>
              <w:tabs>
                <w:tab w:val="left" w:pos="1276"/>
              </w:tabs>
              <w:adjustRightInd w:val="0"/>
              <w:spacing w:after="120" w:line="240" w:lineRule="auto"/>
              <w:jc w:val="both"/>
              <w:textAlignment w:val="baseline"/>
              <w:rPr>
                <w:rFonts w:ascii="Times New Roman" w:eastAsia="Times New Roman" w:hAnsi="Times New Roman"/>
                <w:sz w:val="20"/>
                <w:szCs w:val="20"/>
                <w:lang w:eastAsia="lt-LT"/>
              </w:rPr>
            </w:pPr>
            <w:r w:rsidRPr="0041529C">
              <w:rPr>
                <w:rFonts w:ascii="Times New Roman" w:eastAsia="Times New Roman" w:hAnsi="Times New Roman"/>
                <w:sz w:val="20"/>
                <w:szCs w:val="20"/>
                <w:lang w:eastAsia="lt-LT"/>
              </w:rPr>
              <w:t>2. IRT produktų ir paslaugų, elektroninės prekybos tobulin</w:t>
            </w:r>
            <w:r w:rsidR="00AA0722">
              <w:rPr>
                <w:rFonts w:ascii="Times New Roman" w:eastAsia="Times New Roman" w:hAnsi="Times New Roman"/>
                <w:sz w:val="20"/>
                <w:szCs w:val="20"/>
                <w:lang w:eastAsia="lt-LT"/>
              </w:rPr>
              <w:t>imas ir IRT paklausos didinimas</w:t>
            </w:r>
            <w:r w:rsidRPr="0041529C">
              <w:rPr>
                <w:rFonts w:ascii="Times New Roman" w:eastAsia="Times New Roman" w:hAnsi="Times New Roman"/>
                <w:sz w:val="20"/>
                <w:szCs w:val="20"/>
                <w:lang w:eastAsia="lt-LT"/>
              </w:rPr>
              <w:t xml:space="preserve"> </w:t>
            </w:r>
          </w:p>
        </w:tc>
        <w:tc>
          <w:tcPr>
            <w:tcW w:w="10064" w:type="dxa"/>
            <w:shd w:val="clear" w:color="auto" w:fill="auto"/>
          </w:tcPr>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r w:rsidRPr="0041529C">
              <w:rPr>
                <w:rFonts w:ascii="Times New Roman" w:eastAsia="AngsanaUPC" w:hAnsi="Times New Roman"/>
                <w:bCs/>
                <w:sz w:val="20"/>
                <w:szCs w:val="20"/>
                <w:lang w:eastAsia="lt-LT"/>
              </w:rPr>
              <w:t xml:space="preserve">Dalis šalies gyventojų nesinaudoja internetu arba naudojasi juo ribotai. IRT paklausos skatinimo veiklos turi būti plėtojamos kompleksiškai – derinant viešosios interneto prieigos infrastruktūros atnaujinimo ir jos panaudojimo gyventojų skaitmeninių gebėjimų plėtrai veiksmus. NRD numatoma sudaryti sąlygas Lietuvos gyventojams įgyti žinių ir įgūdžių naudotis </w:t>
            </w:r>
            <w:r w:rsidR="00C91A76">
              <w:rPr>
                <w:rFonts w:ascii="Times New Roman" w:eastAsia="AngsanaUPC" w:hAnsi="Times New Roman"/>
                <w:bCs/>
                <w:sz w:val="20"/>
                <w:szCs w:val="20"/>
                <w:lang w:eastAsia="lt-LT"/>
              </w:rPr>
              <w:t>IRT</w:t>
            </w:r>
            <w:r w:rsidRPr="0041529C">
              <w:rPr>
                <w:rFonts w:ascii="Times New Roman" w:eastAsia="AngsanaUPC" w:hAnsi="Times New Roman"/>
                <w:bCs/>
                <w:sz w:val="20"/>
                <w:szCs w:val="20"/>
                <w:lang w:eastAsia="lt-LT"/>
              </w:rPr>
              <w:t>.</w:t>
            </w:r>
          </w:p>
          <w:p w:rsidR="0041529C" w:rsidRPr="0041529C" w:rsidRDefault="0041529C" w:rsidP="004A296A">
            <w:pPr>
              <w:widowControl w:val="0"/>
              <w:tabs>
                <w:tab w:val="left" w:pos="622"/>
              </w:tabs>
              <w:spacing w:after="0" w:line="240" w:lineRule="auto"/>
              <w:jc w:val="both"/>
              <w:rPr>
                <w:rFonts w:ascii="Times New Roman" w:eastAsia="AngsanaUPC" w:hAnsi="Times New Roman"/>
                <w:bCs/>
                <w:sz w:val="20"/>
                <w:szCs w:val="20"/>
                <w:lang w:eastAsia="lt-LT"/>
              </w:rPr>
            </w:pPr>
            <w:r w:rsidRPr="0041529C">
              <w:rPr>
                <w:rFonts w:ascii="Times New Roman" w:eastAsia="AngsanaUPC" w:hAnsi="Times New Roman"/>
                <w:bCs/>
                <w:sz w:val="20"/>
                <w:szCs w:val="20"/>
                <w:lang w:eastAsia="lt-LT"/>
              </w:rPr>
              <w:t>Kaip numatyta</w:t>
            </w:r>
            <w:r w:rsidR="004A296A">
              <w:rPr>
                <w:rFonts w:ascii="Times New Roman" w:eastAsia="AngsanaUPC" w:hAnsi="Times New Roman"/>
                <w:bCs/>
                <w:sz w:val="20"/>
                <w:szCs w:val="20"/>
                <w:lang w:eastAsia="lt-LT"/>
              </w:rPr>
              <w:t xml:space="preserve"> „Skaitmeninėje darbotvarkėje“ taip </w:t>
            </w:r>
            <w:r w:rsidRPr="0041529C">
              <w:rPr>
                <w:rFonts w:ascii="Times New Roman" w:eastAsia="AngsanaUPC" w:hAnsi="Times New Roman"/>
                <w:bCs/>
                <w:sz w:val="20"/>
                <w:szCs w:val="20"/>
                <w:lang w:eastAsia="lt-LT"/>
              </w:rPr>
              <w:t xml:space="preserve">pat bus siekiama viešųjų duomenų atvėrimo pakartotiniam </w:t>
            </w:r>
            <w:r w:rsidRPr="0041529C">
              <w:rPr>
                <w:rFonts w:ascii="Times New Roman" w:eastAsia="AngsanaUPC" w:hAnsi="Times New Roman"/>
                <w:bCs/>
                <w:sz w:val="20"/>
                <w:szCs w:val="20"/>
                <w:lang w:eastAsia="lt-LT"/>
              </w:rPr>
              <w:lastRenderedPageBreak/>
              <w:t>panaudojimui, taip prisidedant prie IRT produktų ir paslaugų tobulinimo ir skaitmeninės bendrosios rinkos plėtros.</w:t>
            </w:r>
          </w:p>
        </w:tc>
      </w:tr>
      <w:tr w:rsidR="0041529C" w:rsidRPr="0041529C" w:rsidTr="00EC77A8">
        <w:tc>
          <w:tcPr>
            <w:tcW w:w="1668" w:type="dxa"/>
            <w:vMerge/>
            <w:shd w:val="clear" w:color="auto" w:fill="auto"/>
          </w:tcPr>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p>
        </w:tc>
        <w:tc>
          <w:tcPr>
            <w:tcW w:w="3685" w:type="dxa"/>
            <w:shd w:val="clear" w:color="auto" w:fill="auto"/>
          </w:tcPr>
          <w:p w:rsidR="0041529C" w:rsidRPr="0041529C" w:rsidRDefault="0041529C" w:rsidP="00AA0722">
            <w:pPr>
              <w:widowControl w:val="0"/>
              <w:tabs>
                <w:tab w:val="left" w:pos="1276"/>
              </w:tabs>
              <w:adjustRightInd w:val="0"/>
              <w:spacing w:after="120" w:line="240" w:lineRule="auto"/>
              <w:jc w:val="both"/>
              <w:textAlignment w:val="baseline"/>
              <w:rPr>
                <w:rFonts w:ascii="Times New Roman" w:eastAsia="Times New Roman" w:hAnsi="Times New Roman"/>
                <w:sz w:val="20"/>
                <w:szCs w:val="20"/>
                <w:lang w:eastAsia="lt-LT"/>
              </w:rPr>
            </w:pPr>
            <w:r w:rsidRPr="0041529C">
              <w:rPr>
                <w:rFonts w:ascii="Times New Roman" w:eastAsia="Times New Roman" w:hAnsi="Times New Roman"/>
                <w:sz w:val="20"/>
                <w:szCs w:val="20"/>
                <w:lang w:eastAsia="lt-LT"/>
              </w:rPr>
              <w:t xml:space="preserve">3. Taikomųjų IRT e. valdžios, e. mokymosi, e. įtraukties, e. kultūros ir e. sveikatos programų tobulinimas </w:t>
            </w:r>
          </w:p>
        </w:tc>
        <w:tc>
          <w:tcPr>
            <w:tcW w:w="10064" w:type="dxa"/>
            <w:shd w:val="clear" w:color="auto" w:fill="auto"/>
          </w:tcPr>
          <w:p w:rsidR="0041529C" w:rsidRPr="0041529C" w:rsidRDefault="002A45E0" w:rsidP="0041529C">
            <w:pPr>
              <w:widowControl w:val="0"/>
              <w:tabs>
                <w:tab w:val="left" w:pos="622"/>
              </w:tabs>
              <w:spacing w:after="0" w:line="240" w:lineRule="auto"/>
              <w:jc w:val="both"/>
              <w:rPr>
                <w:rFonts w:ascii="Times New Roman" w:eastAsia="AngsanaUPC" w:hAnsi="Times New Roman"/>
                <w:bCs/>
                <w:sz w:val="20"/>
                <w:szCs w:val="20"/>
                <w:lang w:eastAsia="lt-LT"/>
              </w:rPr>
            </w:pPr>
            <w:r>
              <w:rPr>
                <w:rFonts w:ascii="Times New Roman" w:eastAsia="AngsanaUPC" w:hAnsi="Times New Roman"/>
                <w:bCs/>
                <w:sz w:val="20"/>
                <w:szCs w:val="20"/>
                <w:lang w:eastAsia="lt-LT"/>
              </w:rPr>
              <w:t>Numatoma siekti „Skaitmeninėje darbotvarkėje“</w:t>
            </w:r>
            <w:proofErr w:type="gramStart"/>
            <w:r>
              <w:rPr>
                <w:rFonts w:ascii="Times New Roman" w:eastAsia="AngsanaUPC" w:hAnsi="Times New Roman"/>
                <w:bCs/>
                <w:sz w:val="20"/>
                <w:szCs w:val="20"/>
                <w:lang w:eastAsia="lt-LT"/>
              </w:rPr>
              <w:t xml:space="preserve"> </w:t>
            </w:r>
            <w:r w:rsidR="0041529C" w:rsidRPr="0041529C">
              <w:rPr>
                <w:rFonts w:ascii="Times New Roman" w:eastAsia="AngsanaUPC" w:hAnsi="Times New Roman"/>
                <w:bCs/>
                <w:sz w:val="20"/>
                <w:szCs w:val="20"/>
                <w:lang w:eastAsia="lt-LT"/>
              </w:rPr>
              <w:t xml:space="preserve"> </w:t>
            </w:r>
            <w:proofErr w:type="gramEnd"/>
            <w:r w:rsidR="0041529C" w:rsidRPr="0041529C">
              <w:rPr>
                <w:rFonts w:ascii="Times New Roman" w:eastAsia="AngsanaUPC" w:hAnsi="Times New Roman"/>
                <w:bCs/>
                <w:sz w:val="20"/>
                <w:szCs w:val="20"/>
                <w:lang w:eastAsia="lt-LT"/>
              </w:rPr>
              <w:t>numatytų e. valdžios paslaugų, kultūros paveldo skaitmeninimo ir sklaidos e. erdvėje, e. sveikatos sprendimų diegimo, e. mokymosi ir pažangiųjų transporto sistemų plėtros.</w:t>
            </w:r>
          </w:p>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r w:rsidRPr="0041529C">
              <w:rPr>
                <w:rFonts w:ascii="Times New Roman" w:eastAsia="AngsanaUPC" w:hAnsi="Times New Roman"/>
                <w:bCs/>
                <w:sz w:val="20"/>
                <w:szCs w:val="20"/>
                <w:lang w:eastAsia="lt-LT"/>
              </w:rPr>
              <w:t>NRD numatyta skatinti gyventojus naudotis el. būdu teikiamomis viešosiomis ir administracinėmis paslaugomis, užtikrinti duomenų perdavimo kokybę, plėtoti veikiančių paieškos sistemų infrastruktūrą.</w:t>
            </w:r>
          </w:p>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r w:rsidRPr="0041529C">
              <w:rPr>
                <w:rFonts w:ascii="Times New Roman" w:eastAsia="AngsanaUPC" w:hAnsi="Times New Roman"/>
                <w:bCs/>
                <w:sz w:val="20"/>
                <w:szCs w:val="20"/>
                <w:lang w:eastAsia="lt-LT"/>
              </w:rPr>
              <w:t xml:space="preserve">EK pozicijoje rekomenduojama daugiau dėmesio skirti rezultatams ir klientų poreikiams, toliau vystyti pažangias e. valdžios paslaugas, skirtas verslui ir piliečiams, gerinti verslui palankią aplinką. Siekiama, kad iki 2020 m. Lietuvoje visos gyventojams ir verslui reikalingiausios viešosios ir administracinės paslaugos būtų teikiamos internetu, o paslaugų gavėjams </w:t>
            </w:r>
            <w:proofErr w:type="gramStart"/>
            <w:r w:rsidRPr="0041529C">
              <w:rPr>
                <w:rFonts w:ascii="Times New Roman" w:eastAsia="AngsanaUPC" w:hAnsi="Times New Roman"/>
                <w:bCs/>
                <w:sz w:val="20"/>
                <w:szCs w:val="20"/>
                <w:lang w:eastAsia="lt-LT"/>
              </w:rPr>
              <w:t>būtų prieinamos visos ES lygiu</w:t>
            </w:r>
            <w:proofErr w:type="gramEnd"/>
            <w:r w:rsidRPr="0041529C">
              <w:rPr>
                <w:rFonts w:ascii="Times New Roman" w:eastAsia="AngsanaUPC" w:hAnsi="Times New Roman"/>
                <w:bCs/>
                <w:sz w:val="20"/>
                <w:szCs w:val="20"/>
                <w:lang w:eastAsia="lt-LT"/>
              </w:rPr>
              <w:t xml:space="preserve"> teikiamos el. paslaugos. </w:t>
            </w:r>
          </w:p>
        </w:tc>
      </w:tr>
      <w:tr w:rsidR="0041529C" w:rsidRPr="0041529C" w:rsidTr="00EC77A8">
        <w:tc>
          <w:tcPr>
            <w:tcW w:w="1668" w:type="dxa"/>
            <w:vMerge w:val="restart"/>
            <w:shd w:val="clear" w:color="auto" w:fill="auto"/>
          </w:tcPr>
          <w:p w:rsidR="0041529C" w:rsidRPr="0041529C" w:rsidRDefault="0041529C" w:rsidP="00607A4E">
            <w:pPr>
              <w:widowControl w:val="0"/>
              <w:tabs>
                <w:tab w:val="left" w:pos="622"/>
              </w:tabs>
              <w:spacing w:after="0" w:line="240" w:lineRule="auto"/>
              <w:jc w:val="both"/>
              <w:rPr>
                <w:rFonts w:ascii="Times New Roman" w:eastAsia="AngsanaUPC" w:hAnsi="Times New Roman"/>
                <w:bCs/>
                <w:sz w:val="20"/>
                <w:szCs w:val="20"/>
                <w:lang w:eastAsia="lt-LT"/>
              </w:rPr>
            </w:pPr>
            <w:r w:rsidRPr="0041529C">
              <w:rPr>
                <w:rFonts w:ascii="Times New Roman" w:eastAsia="AngsanaUPC" w:hAnsi="Times New Roman"/>
                <w:bCs/>
                <w:sz w:val="20"/>
                <w:szCs w:val="20"/>
                <w:lang w:eastAsia="lt-LT"/>
              </w:rPr>
              <w:t>3. SVV</w:t>
            </w:r>
            <w:r w:rsidR="00607A4E">
              <w:rPr>
                <w:rFonts w:ascii="Times New Roman" w:eastAsia="AngsanaUPC" w:hAnsi="Times New Roman"/>
                <w:bCs/>
                <w:sz w:val="20"/>
                <w:szCs w:val="20"/>
                <w:lang w:eastAsia="lt-LT"/>
              </w:rPr>
              <w:t xml:space="preserve"> konku</w:t>
            </w:r>
            <w:proofErr w:type="gramStart"/>
            <w:r w:rsidR="00607A4E">
              <w:rPr>
                <w:rFonts w:ascii="Times New Roman" w:eastAsia="AngsanaUPC" w:hAnsi="Times New Roman"/>
                <w:bCs/>
                <w:sz w:val="20"/>
                <w:szCs w:val="20"/>
                <w:lang w:eastAsia="lt-LT"/>
              </w:rPr>
              <w:t>-</w:t>
            </w:r>
            <w:proofErr w:type="gramEnd"/>
            <w:r w:rsidRPr="0041529C">
              <w:rPr>
                <w:rFonts w:ascii="Times New Roman" w:eastAsia="AngsanaUPC" w:hAnsi="Times New Roman"/>
                <w:bCs/>
                <w:sz w:val="20"/>
                <w:szCs w:val="20"/>
                <w:lang w:eastAsia="lt-LT"/>
              </w:rPr>
              <w:t>rencingumo skatinimas</w:t>
            </w:r>
          </w:p>
        </w:tc>
        <w:tc>
          <w:tcPr>
            <w:tcW w:w="3685" w:type="dxa"/>
            <w:shd w:val="clear" w:color="auto" w:fill="auto"/>
          </w:tcPr>
          <w:p w:rsidR="0041529C" w:rsidRPr="0041529C" w:rsidRDefault="0041529C" w:rsidP="00AA0722">
            <w:pPr>
              <w:widowControl w:val="0"/>
              <w:tabs>
                <w:tab w:val="left" w:pos="1276"/>
              </w:tabs>
              <w:adjustRightInd w:val="0"/>
              <w:spacing w:after="120" w:line="240" w:lineRule="auto"/>
              <w:jc w:val="both"/>
              <w:textAlignment w:val="baseline"/>
              <w:rPr>
                <w:rFonts w:ascii="Times New Roman" w:eastAsia="Times New Roman" w:hAnsi="Times New Roman"/>
                <w:sz w:val="20"/>
                <w:szCs w:val="20"/>
                <w:lang w:eastAsia="lt-LT"/>
              </w:rPr>
            </w:pPr>
            <w:r w:rsidRPr="0041529C">
              <w:rPr>
                <w:rFonts w:ascii="Times New Roman" w:eastAsia="Times New Roman" w:hAnsi="Times New Roman"/>
                <w:sz w:val="20"/>
                <w:szCs w:val="20"/>
                <w:lang w:eastAsia="lt-LT"/>
              </w:rPr>
              <w:t>1. Verslumo, ypač sudarant palankesnes sąlygas pritaikyti naujas idėjas ekonominei veiklai, ir naujų įmonių, įskaitant verslo inkubatorius, steigimo skatinimas</w:t>
            </w:r>
          </w:p>
        </w:tc>
        <w:tc>
          <w:tcPr>
            <w:tcW w:w="10064" w:type="dxa"/>
            <w:shd w:val="clear" w:color="auto" w:fill="auto"/>
          </w:tcPr>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r w:rsidRPr="0041529C">
              <w:rPr>
                <w:rFonts w:ascii="Times New Roman" w:eastAsia="AngsanaUPC" w:hAnsi="Times New Roman"/>
                <w:bCs/>
                <w:sz w:val="20"/>
                <w:szCs w:val="20"/>
                <w:lang w:eastAsia="lt-LT"/>
              </w:rPr>
              <w:t>ES2020 pavyzdinė iniciatyva „Globalizacijos erai pritaikyta pramonės politika“ pabrėžia geresnės verslo aplinko</w:t>
            </w:r>
            <w:r w:rsidR="00BD3EBE">
              <w:rPr>
                <w:rFonts w:ascii="Times New Roman" w:eastAsia="AngsanaUPC" w:hAnsi="Times New Roman"/>
                <w:bCs/>
                <w:sz w:val="20"/>
                <w:szCs w:val="20"/>
                <w:lang w:eastAsia="lt-LT"/>
              </w:rPr>
              <w:t>s, visų pirma SVV, kūrimo svarbos</w:t>
            </w:r>
            <w:r w:rsidRPr="0041529C">
              <w:rPr>
                <w:rFonts w:ascii="Times New Roman" w:eastAsia="AngsanaUPC" w:hAnsi="Times New Roman"/>
                <w:bCs/>
                <w:sz w:val="20"/>
                <w:szCs w:val="20"/>
                <w:lang w:eastAsia="lt-LT"/>
              </w:rPr>
              <w:t>, subjektų grupėms geresnių są</w:t>
            </w:r>
            <w:r w:rsidR="00BD3EBE">
              <w:rPr>
                <w:rFonts w:ascii="Times New Roman" w:eastAsia="AngsanaUPC" w:hAnsi="Times New Roman"/>
                <w:bCs/>
                <w:sz w:val="20"/>
                <w:szCs w:val="20"/>
                <w:lang w:eastAsia="lt-LT"/>
              </w:rPr>
              <w:t>lygų gauti prieinamą finansavimą</w:t>
            </w:r>
            <w:r w:rsidRPr="0041529C">
              <w:rPr>
                <w:rFonts w:ascii="Times New Roman" w:eastAsia="AngsanaUPC" w:hAnsi="Times New Roman"/>
                <w:bCs/>
                <w:sz w:val="20"/>
                <w:szCs w:val="20"/>
                <w:lang w:eastAsia="lt-LT"/>
              </w:rPr>
              <w:t xml:space="preserve"> kūrimą, siekiant skatinti</w:t>
            </w:r>
            <w:r w:rsidR="00BD3EBE">
              <w:rPr>
                <w:rFonts w:ascii="Times New Roman" w:eastAsia="AngsanaUPC" w:hAnsi="Times New Roman"/>
                <w:bCs/>
                <w:sz w:val="20"/>
                <w:szCs w:val="20"/>
                <w:lang w:eastAsia="lt-LT"/>
              </w:rPr>
              <w:t xml:space="preserve"> diegti inovacijas, įgyvendinimą</w:t>
            </w:r>
            <w:r w:rsidRPr="0041529C">
              <w:rPr>
                <w:rFonts w:ascii="Times New Roman" w:eastAsia="AngsanaUPC" w:hAnsi="Times New Roman"/>
                <w:bCs/>
                <w:sz w:val="20"/>
                <w:szCs w:val="20"/>
                <w:lang w:eastAsia="lt-LT"/>
              </w:rPr>
              <w:t>.</w:t>
            </w:r>
          </w:p>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r w:rsidRPr="0041529C">
              <w:rPr>
                <w:rFonts w:ascii="Times New Roman" w:eastAsia="AngsanaUPC" w:hAnsi="Times New Roman"/>
                <w:bCs/>
                <w:sz w:val="20"/>
                <w:szCs w:val="20"/>
                <w:lang w:eastAsia="lt-LT"/>
              </w:rPr>
              <w:t>NRD nurodoma, kad Lietuvai ypač svarbu gerinti verslo pradžios sąlygas, mažinti administracinę naštą verslui, užtikrinti finansinių išteklių prieinamumą, sudaryti lygias konkurencines sąlygas</w:t>
            </w:r>
            <w:r w:rsidR="00BD3EBE">
              <w:rPr>
                <w:rFonts w:ascii="Times New Roman" w:eastAsia="AngsanaUPC" w:hAnsi="Times New Roman"/>
                <w:bCs/>
                <w:sz w:val="20"/>
                <w:szCs w:val="20"/>
                <w:lang w:eastAsia="lt-LT"/>
              </w:rPr>
              <w:t>,</w:t>
            </w:r>
            <w:r w:rsidRPr="0041529C">
              <w:rPr>
                <w:rFonts w:ascii="Times New Roman" w:eastAsia="AngsanaUPC" w:hAnsi="Times New Roman"/>
                <w:bCs/>
                <w:sz w:val="20"/>
                <w:szCs w:val="20"/>
                <w:lang w:eastAsia="lt-LT"/>
              </w:rPr>
              <w:t xml:space="preserve"> šalinant kliūtis naujiems dalyviams patekti į rinką, skatinti produktyvias investicijas. Kartu su </w:t>
            </w:r>
            <w:r w:rsidR="000F4AE6">
              <w:rPr>
                <w:rFonts w:ascii="Times New Roman" w:eastAsia="AngsanaUPC" w:hAnsi="Times New Roman"/>
                <w:bCs/>
                <w:sz w:val="20"/>
                <w:szCs w:val="20"/>
                <w:lang w:eastAsia="lt-LT"/>
              </w:rPr>
              <w:t>ES fondų</w:t>
            </w:r>
            <w:r w:rsidRPr="0041529C">
              <w:rPr>
                <w:rFonts w:ascii="Times New Roman" w:eastAsia="AngsanaUPC" w:hAnsi="Times New Roman"/>
                <w:bCs/>
                <w:sz w:val="20"/>
                <w:szCs w:val="20"/>
                <w:lang w:eastAsia="lt-LT"/>
              </w:rPr>
              <w:t xml:space="preserve"> </w:t>
            </w:r>
            <w:r w:rsidR="00D7701C">
              <w:rPr>
                <w:rFonts w:ascii="Times New Roman" w:eastAsia="AngsanaUPC" w:hAnsi="Times New Roman"/>
                <w:bCs/>
                <w:sz w:val="20"/>
                <w:szCs w:val="20"/>
                <w:lang w:eastAsia="lt-LT"/>
              </w:rPr>
              <w:t>lėšomis</w:t>
            </w:r>
            <w:r w:rsidR="00D7701C" w:rsidRPr="0041529C">
              <w:rPr>
                <w:rFonts w:ascii="Times New Roman" w:eastAsia="AngsanaUPC" w:hAnsi="Times New Roman"/>
                <w:bCs/>
                <w:sz w:val="20"/>
                <w:szCs w:val="20"/>
                <w:lang w:eastAsia="lt-LT"/>
              </w:rPr>
              <w:t xml:space="preserve"> </w:t>
            </w:r>
            <w:r w:rsidRPr="0041529C">
              <w:rPr>
                <w:rFonts w:ascii="Times New Roman" w:eastAsia="AngsanaUPC" w:hAnsi="Times New Roman"/>
                <w:bCs/>
                <w:sz w:val="20"/>
                <w:szCs w:val="20"/>
                <w:lang w:eastAsia="lt-LT"/>
              </w:rPr>
              <w:t>tai padidins Lietuvos įmonių konkurencingumą, orientuojantis į aukštos pridėtinės vertės veiklas.</w:t>
            </w:r>
          </w:p>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r w:rsidRPr="0041529C">
              <w:rPr>
                <w:rFonts w:ascii="Times New Roman" w:eastAsia="AngsanaUPC" w:hAnsi="Times New Roman"/>
                <w:bCs/>
                <w:sz w:val="20"/>
                <w:szCs w:val="20"/>
                <w:lang w:eastAsia="lt-LT"/>
              </w:rPr>
              <w:t xml:space="preserve">ES BJRS numatyta prioritetinė sritis „MVĮ“, kuria siekiama skatinti verslumą ir stiprinti MVĮ augimą, ypač užtikrinant naujų MVĮ įtraukimą į rinką bei priėjimą prie finansavimo šaltinių, žmogiškųjų išteklių ir žinių.  </w:t>
            </w:r>
          </w:p>
        </w:tc>
      </w:tr>
      <w:tr w:rsidR="0041529C" w:rsidRPr="0041529C" w:rsidTr="00EC77A8">
        <w:tc>
          <w:tcPr>
            <w:tcW w:w="1668" w:type="dxa"/>
            <w:vMerge/>
            <w:shd w:val="clear" w:color="auto" w:fill="auto"/>
          </w:tcPr>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p>
        </w:tc>
        <w:tc>
          <w:tcPr>
            <w:tcW w:w="3685" w:type="dxa"/>
            <w:shd w:val="clear" w:color="auto" w:fill="auto"/>
          </w:tcPr>
          <w:p w:rsidR="0041529C" w:rsidRPr="0041529C" w:rsidRDefault="0041529C" w:rsidP="0041529C">
            <w:pPr>
              <w:widowControl w:val="0"/>
              <w:tabs>
                <w:tab w:val="left" w:pos="1276"/>
              </w:tabs>
              <w:adjustRightInd w:val="0"/>
              <w:spacing w:after="120" w:line="240" w:lineRule="auto"/>
              <w:jc w:val="both"/>
              <w:textAlignment w:val="baseline"/>
              <w:rPr>
                <w:rFonts w:ascii="Times New Roman" w:eastAsia="Times New Roman" w:hAnsi="Times New Roman"/>
                <w:sz w:val="20"/>
                <w:szCs w:val="20"/>
                <w:lang w:eastAsia="lt-LT"/>
              </w:rPr>
            </w:pPr>
            <w:r w:rsidRPr="0041529C">
              <w:rPr>
                <w:rFonts w:ascii="Times New Roman" w:eastAsia="Times New Roman" w:hAnsi="Times New Roman"/>
                <w:sz w:val="20"/>
                <w:szCs w:val="20"/>
                <w:lang w:eastAsia="lt-LT"/>
              </w:rPr>
              <w:t>2. Naujų mažų ir vidutinių įmonių (MVĮ) verslo modelių, ypač internacionaliza</w:t>
            </w:r>
            <w:r w:rsidR="00AA0722">
              <w:rPr>
                <w:rFonts w:ascii="Times New Roman" w:eastAsia="Times New Roman" w:hAnsi="Times New Roman"/>
                <w:sz w:val="20"/>
                <w:szCs w:val="20"/>
                <w:lang w:eastAsia="lt-LT"/>
              </w:rPr>
              <w:t>vimo, kūrimas ir įgyvendinimas</w:t>
            </w:r>
          </w:p>
        </w:tc>
        <w:tc>
          <w:tcPr>
            <w:tcW w:w="10064" w:type="dxa"/>
            <w:shd w:val="clear" w:color="auto" w:fill="auto"/>
          </w:tcPr>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r w:rsidRPr="0041529C">
              <w:rPr>
                <w:rFonts w:ascii="Times New Roman" w:eastAsia="AngsanaUPC" w:hAnsi="Times New Roman"/>
                <w:bCs/>
                <w:sz w:val="20"/>
                <w:szCs w:val="20"/>
                <w:lang w:eastAsia="lt-LT"/>
              </w:rPr>
              <w:t>ES2020 pavyzdinė iniciatyva „Globalizacijos erai pritaikyta pramonės politika“ pabrėžia SVV internacionalizacijos skatinimo svarbą, Europos turizmo sektoriaus konkurencingumo stiprinimą ir įmonių paskatų diegti inovacijas būtinybę.</w:t>
            </w:r>
          </w:p>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r w:rsidRPr="0041529C">
              <w:rPr>
                <w:rFonts w:ascii="Times New Roman" w:eastAsia="AngsanaUPC" w:hAnsi="Times New Roman"/>
                <w:bCs/>
                <w:sz w:val="20"/>
                <w:szCs w:val="20"/>
                <w:lang w:eastAsia="lt-LT"/>
              </w:rPr>
              <w:t xml:space="preserve">NRD nurodoma, kad Lietuvai svarbu pritraukti </w:t>
            </w:r>
            <w:r w:rsidR="002C41F8">
              <w:rPr>
                <w:rFonts w:ascii="Times New Roman" w:eastAsia="AngsanaUPC" w:hAnsi="Times New Roman"/>
                <w:bCs/>
                <w:sz w:val="20"/>
                <w:szCs w:val="20"/>
                <w:lang w:eastAsia="lt-LT"/>
              </w:rPr>
              <w:t xml:space="preserve">tiesiogines </w:t>
            </w:r>
            <w:r w:rsidRPr="0041529C">
              <w:rPr>
                <w:rFonts w:ascii="Times New Roman" w:eastAsia="AngsanaUPC" w:hAnsi="Times New Roman"/>
                <w:bCs/>
                <w:sz w:val="20"/>
                <w:szCs w:val="20"/>
                <w:lang w:eastAsia="lt-LT"/>
              </w:rPr>
              <w:t>užsienio investicijas</w:t>
            </w:r>
            <w:r w:rsidR="002C41F8">
              <w:rPr>
                <w:rFonts w:ascii="Times New Roman" w:eastAsia="AngsanaUPC" w:hAnsi="Times New Roman"/>
                <w:bCs/>
                <w:sz w:val="20"/>
                <w:szCs w:val="20"/>
                <w:lang w:eastAsia="lt-LT"/>
              </w:rPr>
              <w:t xml:space="preserve"> (TUI)</w:t>
            </w:r>
            <w:r w:rsidRPr="0041529C">
              <w:rPr>
                <w:rFonts w:ascii="Times New Roman" w:eastAsia="AngsanaUPC" w:hAnsi="Times New Roman"/>
                <w:bCs/>
                <w:sz w:val="20"/>
                <w:szCs w:val="20"/>
                <w:lang w:eastAsia="lt-LT"/>
              </w:rPr>
              <w:t>, eksporto srityje svarbu didinti paslaugų, tarp jų turizmo ir žinioms imlių paslaugų</w:t>
            </w:r>
            <w:proofErr w:type="gramStart"/>
            <w:r w:rsidRPr="0041529C">
              <w:rPr>
                <w:rFonts w:ascii="Times New Roman" w:eastAsia="AngsanaUPC" w:hAnsi="Times New Roman"/>
                <w:bCs/>
                <w:sz w:val="20"/>
                <w:szCs w:val="20"/>
                <w:lang w:eastAsia="lt-LT"/>
              </w:rPr>
              <w:t>, bei</w:t>
            </w:r>
            <w:proofErr w:type="gramEnd"/>
            <w:r w:rsidRPr="0041529C">
              <w:rPr>
                <w:rFonts w:ascii="Times New Roman" w:eastAsia="AngsanaUPC" w:hAnsi="Times New Roman"/>
                <w:bCs/>
                <w:sz w:val="20"/>
                <w:szCs w:val="20"/>
                <w:lang w:eastAsia="lt-LT"/>
              </w:rPr>
              <w:t xml:space="preserve"> aukštųjų technologijų produkcijos dalį.</w:t>
            </w:r>
          </w:p>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r w:rsidRPr="0041529C">
              <w:rPr>
                <w:rFonts w:ascii="Times New Roman" w:eastAsia="AngsanaUPC" w:hAnsi="Times New Roman"/>
                <w:bCs/>
                <w:sz w:val="20"/>
                <w:szCs w:val="20"/>
                <w:lang w:eastAsia="lt-LT"/>
              </w:rPr>
              <w:t xml:space="preserve">Siekiant kurti ir įgyvendinti naujus MVĮ modelius, EK pozicijoje rekomenduojama plėtoti MVĮ tarptautinę veiklą ir padėti joms pritraukti </w:t>
            </w:r>
            <w:r w:rsidR="002C41F8">
              <w:rPr>
                <w:rFonts w:ascii="Times New Roman" w:eastAsia="AngsanaUPC" w:hAnsi="Times New Roman"/>
                <w:bCs/>
                <w:sz w:val="20"/>
                <w:szCs w:val="20"/>
                <w:lang w:eastAsia="lt-LT"/>
              </w:rPr>
              <w:t>TUI</w:t>
            </w:r>
            <w:r w:rsidRPr="0041529C">
              <w:rPr>
                <w:rFonts w:ascii="Times New Roman" w:eastAsia="AngsanaUPC" w:hAnsi="Times New Roman"/>
                <w:bCs/>
                <w:sz w:val="20"/>
                <w:szCs w:val="20"/>
                <w:lang w:eastAsia="lt-LT"/>
              </w:rPr>
              <w:t>, kurti naujus produktus, technologijas ir organizavimo sistemas visuose tiekimo grandinės lygmenyse.</w:t>
            </w:r>
          </w:p>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r w:rsidRPr="0041529C">
              <w:rPr>
                <w:rFonts w:ascii="Times New Roman" w:eastAsia="AngsanaUPC" w:hAnsi="Times New Roman"/>
                <w:bCs/>
                <w:sz w:val="20"/>
                <w:szCs w:val="20"/>
                <w:lang w:eastAsia="lt-LT"/>
              </w:rPr>
              <w:t xml:space="preserve">ES BJRS prioritetinė sritis „MVĮ“ skatina kurti galimybes, skatinant MVĮ internacionalizavimą ir bendradarbiavimą su kitais Baltijos jūros regiono veikėjais. </w:t>
            </w:r>
          </w:p>
        </w:tc>
      </w:tr>
      <w:tr w:rsidR="0041529C" w:rsidRPr="0041529C" w:rsidTr="00EC77A8">
        <w:tc>
          <w:tcPr>
            <w:tcW w:w="1668" w:type="dxa"/>
            <w:vMerge/>
            <w:shd w:val="clear" w:color="auto" w:fill="auto"/>
          </w:tcPr>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p>
        </w:tc>
        <w:tc>
          <w:tcPr>
            <w:tcW w:w="3685" w:type="dxa"/>
            <w:shd w:val="clear" w:color="auto" w:fill="auto"/>
          </w:tcPr>
          <w:p w:rsidR="0041529C" w:rsidRPr="0041529C" w:rsidRDefault="0041529C" w:rsidP="00AA0722">
            <w:pPr>
              <w:widowControl w:val="0"/>
              <w:tabs>
                <w:tab w:val="left" w:pos="1276"/>
              </w:tabs>
              <w:adjustRightInd w:val="0"/>
              <w:spacing w:after="120" w:line="240" w:lineRule="auto"/>
              <w:jc w:val="both"/>
              <w:textAlignment w:val="baseline"/>
              <w:rPr>
                <w:rFonts w:ascii="Times New Roman" w:eastAsia="Times New Roman" w:hAnsi="Times New Roman"/>
                <w:sz w:val="20"/>
                <w:szCs w:val="20"/>
                <w:lang w:eastAsia="lt-LT"/>
              </w:rPr>
            </w:pPr>
            <w:r w:rsidRPr="0041529C">
              <w:rPr>
                <w:rFonts w:ascii="Times New Roman" w:eastAsia="Times New Roman" w:hAnsi="Times New Roman"/>
                <w:sz w:val="20"/>
                <w:szCs w:val="20"/>
                <w:lang w:eastAsia="lt-LT"/>
              </w:rPr>
              <w:t xml:space="preserve">3. MVĮ gebėjimų dalyvauti ekonomikos augimo ir inovacijų </w:t>
            </w:r>
            <w:r w:rsidR="00AA0722">
              <w:rPr>
                <w:rFonts w:ascii="Times New Roman" w:eastAsia="Times New Roman" w:hAnsi="Times New Roman"/>
                <w:sz w:val="20"/>
                <w:szCs w:val="20"/>
                <w:lang w:eastAsia="lt-LT"/>
              </w:rPr>
              <w:t xml:space="preserve">diegimo </w:t>
            </w:r>
            <w:r w:rsidRPr="0041529C">
              <w:rPr>
                <w:rFonts w:ascii="Times New Roman" w:eastAsia="Times New Roman" w:hAnsi="Times New Roman"/>
                <w:sz w:val="20"/>
                <w:szCs w:val="20"/>
                <w:lang w:eastAsia="lt-LT"/>
              </w:rPr>
              <w:t xml:space="preserve">procesuose rėmimas </w:t>
            </w:r>
          </w:p>
        </w:tc>
        <w:tc>
          <w:tcPr>
            <w:tcW w:w="10064" w:type="dxa"/>
            <w:shd w:val="clear" w:color="auto" w:fill="auto"/>
          </w:tcPr>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r w:rsidRPr="0041529C">
              <w:rPr>
                <w:rFonts w:ascii="Times New Roman" w:eastAsia="AngsanaUPC" w:hAnsi="Times New Roman"/>
                <w:bCs/>
                <w:sz w:val="20"/>
                <w:szCs w:val="20"/>
                <w:lang w:eastAsia="lt-LT"/>
              </w:rPr>
              <w:t>ES2020 pavyzdinė iniciatyva „Globalizacijos erai pritaikyta pramonės politika“ pabrėžia tausaus išteklių naudojimo paslaugų ir apdirbamosios pramonės sektoriuose svarbą, įskaitant efektyvesnį atliekų perdirbimą, svarbiausių pažangiųjų technologijų komercinimo ir įsisavinimo skatinimą, Europos turizmo sektoriaus konkurencingumo stiprinimą ir įmonių paskatų diegti inovacijas būtinybę.</w:t>
            </w:r>
          </w:p>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r w:rsidRPr="0041529C">
              <w:rPr>
                <w:rFonts w:ascii="Times New Roman" w:eastAsia="AngsanaUPC" w:hAnsi="Times New Roman"/>
                <w:bCs/>
                <w:sz w:val="20"/>
                <w:szCs w:val="20"/>
                <w:lang w:eastAsia="lt-LT"/>
              </w:rPr>
              <w:t>NRD nurodoma, kad Lietuvai svarbu skatinti gamybos išteklių našumą, siekiant ilgalaikio produktyvumo ir ekonomikos augimo, plėtoti klasterių principu sudarytą naujovėmis grįstą tradicinę pramonę bei plėtoti naujas ūkio sritis: švariąsias technologijas, ateities energetiką, kūrybines ir kultūrines industrijas, gerovės ir sveikatingumo sritis.</w:t>
            </w:r>
          </w:p>
          <w:p w:rsidR="0041529C" w:rsidRPr="0041529C" w:rsidRDefault="0041529C" w:rsidP="00BD3EBE">
            <w:pPr>
              <w:widowControl w:val="0"/>
              <w:tabs>
                <w:tab w:val="left" w:pos="622"/>
              </w:tabs>
              <w:spacing w:after="0" w:line="240" w:lineRule="auto"/>
              <w:jc w:val="both"/>
              <w:rPr>
                <w:rFonts w:ascii="Times New Roman" w:eastAsia="AngsanaUPC" w:hAnsi="Times New Roman"/>
                <w:bCs/>
                <w:sz w:val="20"/>
                <w:szCs w:val="20"/>
                <w:lang w:eastAsia="lt-LT"/>
              </w:rPr>
            </w:pPr>
            <w:r w:rsidRPr="0041529C">
              <w:rPr>
                <w:rFonts w:ascii="Times New Roman" w:eastAsia="AngsanaUPC" w:hAnsi="Times New Roman"/>
                <w:bCs/>
                <w:sz w:val="20"/>
                <w:szCs w:val="20"/>
                <w:lang w:eastAsia="lt-LT"/>
              </w:rPr>
              <w:t xml:space="preserve">ES BJRS prioritetinė sritis „MVĮ“ </w:t>
            </w:r>
            <w:r w:rsidR="00BD3EBE">
              <w:rPr>
                <w:rFonts w:ascii="Times New Roman" w:eastAsia="AngsanaUPC" w:hAnsi="Times New Roman"/>
                <w:bCs/>
                <w:sz w:val="20"/>
                <w:szCs w:val="20"/>
                <w:lang w:eastAsia="lt-LT"/>
              </w:rPr>
              <w:t>ragina</w:t>
            </w:r>
            <w:r w:rsidRPr="0041529C">
              <w:rPr>
                <w:rFonts w:ascii="Times New Roman" w:eastAsia="AngsanaUPC" w:hAnsi="Times New Roman"/>
                <w:bCs/>
                <w:sz w:val="20"/>
                <w:szCs w:val="20"/>
                <w:lang w:eastAsia="lt-LT"/>
              </w:rPr>
              <w:t xml:space="preserve"> orientuotis į tuos verslo sektorius, kurie turi didžiausią potencialą skatinti augimą Baltijos jūros regione</w:t>
            </w:r>
            <w:proofErr w:type="gramStart"/>
            <w:r w:rsidRPr="0041529C">
              <w:rPr>
                <w:rFonts w:ascii="Times New Roman" w:eastAsia="AngsanaUPC" w:hAnsi="Times New Roman"/>
                <w:bCs/>
                <w:sz w:val="20"/>
                <w:szCs w:val="20"/>
                <w:lang w:eastAsia="lt-LT"/>
              </w:rPr>
              <w:t>,</w:t>
            </w:r>
            <w:proofErr w:type="gramEnd"/>
            <w:r w:rsidRPr="0041529C">
              <w:rPr>
                <w:rFonts w:ascii="Times New Roman" w:eastAsia="AngsanaUPC" w:hAnsi="Times New Roman"/>
                <w:bCs/>
                <w:sz w:val="20"/>
                <w:szCs w:val="20"/>
                <w:lang w:eastAsia="lt-LT"/>
              </w:rPr>
              <w:t xml:space="preserve"> – ekologinė pramonė, biotechnologijos, medicininė įranga, kūrybinės ir kultūrinės industrijos, maisto gamybos pramonė ir kt.</w:t>
            </w:r>
          </w:p>
        </w:tc>
      </w:tr>
      <w:tr w:rsidR="0041529C" w:rsidRPr="0041529C" w:rsidTr="00EC77A8">
        <w:tc>
          <w:tcPr>
            <w:tcW w:w="1668" w:type="dxa"/>
            <w:vMerge w:val="restart"/>
            <w:shd w:val="clear" w:color="auto" w:fill="auto"/>
          </w:tcPr>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r w:rsidRPr="0041529C">
              <w:rPr>
                <w:rFonts w:ascii="Times New Roman" w:eastAsia="AngsanaUPC" w:hAnsi="Times New Roman"/>
                <w:bCs/>
                <w:sz w:val="20"/>
                <w:szCs w:val="20"/>
                <w:lang w:eastAsia="lt-LT"/>
              </w:rPr>
              <w:t xml:space="preserve">4. Perėjimo prie mažai anglies </w:t>
            </w:r>
            <w:r w:rsidRPr="0041529C">
              <w:rPr>
                <w:rFonts w:ascii="Times New Roman" w:eastAsia="AngsanaUPC" w:hAnsi="Times New Roman"/>
                <w:bCs/>
                <w:sz w:val="20"/>
                <w:szCs w:val="20"/>
                <w:lang w:eastAsia="lt-LT"/>
              </w:rPr>
              <w:lastRenderedPageBreak/>
              <w:t>dioksido į aplinką išskiriančių technologijų ekonomikos visuose sektoriuose rėmimas</w:t>
            </w:r>
          </w:p>
        </w:tc>
        <w:tc>
          <w:tcPr>
            <w:tcW w:w="3685" w:type="dxa"/>
            <w:shd w:val="clear" w:color="auto" w:fill="auto"/>
          </w:tcPr>
          <w:p w:rsidR="0041529C" w:rsidRPr="0041529C" w:rsidRDefault="0041529C" w:rsidP="00D06E09">
            <w:pPr>
              <w:widowControl w:val="0"/>
              <w:tabs>
                <w:tab w:val="left" w:pos="1276"/>
              </w:tabs>
              <w:adjustRightInd w:val="0"/>
              <w:spacing w:after="120" w:line="240" w:lineRule="auto"/>
              <w:jc w:val="both"/>
              <w:textAlignment w:val="baseline"/>
              <w:rPr>
                <w:rFonts w:ascii="Times New Roman" w:eastAsia="Times New Roman" w:hAnsi="Times New Roman"/>
                <w:sz w:val="20"/>
                <w:szCs w:val="20"/>
                <w:lang w:eastAsia="lt-LT"/>
              </w:rPr>
            </w:pPr>
            <w:r w:rsidRPr="0041529C">
              <w:rPr>
                <w:rFonts w:ascii="Times New Roman" w:eastAsia="Times New Roman" w:hAnsi="Times New Roman"/>
                <w:sz w:val="20"/>
                <w:szCs w:val="20"/>
                <w:lang w:eastAsia="lt-LT"/>
              </w:rPr>
              <w:lastRenderedPageBreak/>
              <w:t xml:space="preserve">1. Atsinaujinančių </w:t>
            </w:r>
            <w:r w:rsidR="00D06E09" w:rsidRPr="0041529C">
              <w:rPr>
                <w:rFonts w:ascii="Times New Roman" w:eastAsia="Times New Roman" w:hAnsi="Times New Roman"/>
                <w:sz w:val="20"/>
                <w:szCs w:val="20"/>
                <w:lang w:eastAsia="lt-LT"/>
              </w:rPr>
              <w:t xml:space="preserve">išteklių </w:t>
            </w:r>
            <w:r w:rsidRPr="0041529C">
              <w:rPr>
                <w:rFonts w:ascii="Times New Roman" w:eastAsia="Times New Roman" w:hAnsi="Times New Roman"/>
                <w:sz w:val="20"/>
                <w:szCs w:val="20"/>
                <w:lang w:eastAsia="lt-LT"/>
              </w:rPr>
              <w:t>energijos (</w:t>
            </w:r>
            <w:r w:rsidR="00D06E09">
              <w:rPr>
                <w:rFonts w:ascii="Times New Roman" w:eastAsia="Times New Roman" w:hAnsi="Times New Roman"/>
                <w:sz w:val="20"/>
                <w:szCs w:val="20"/>
                <w:lang w:eastAsia="lt-LT"/>
              </w:rPr>
              <w:t>AIE</w:t>
            </w:r>
            <w:r w:rsidRPr="0041529C">
              <w:rPr>
                <w:rFonts w:ascii="Times New Roman" w:eastAsia="Times New Roman" w:hAnsi="Times New Roman"/>
                <w:sz w:val="20"/>
                <w:szCs w:val="20"/>
                <w:lang w:eastAsia="lt-LT"/>
              </w:rPr>
              <w:t xml:space="preserve">) </w:t>
            </w:r>
            <w:r w:rsidRPr="0041529C">
              <w:rPr>
                <w:rFonts w:ascii="Times New Roman" w:eastAsia="Times New Roman" w:hAnsi="Times New Roman"/>
                <w:sz w:val="20"/>
                <w:szCs w:val="20"/>
                <w:lang w:eastAsia="lt-LT"/>
              </w:rPr>
              <w:lastRenderedPageBreak/>
              <w:t>g</w:t>
            </w:r>
            <w:r w:rsidR="00AA0722">
              <w:rPr>
                <w:rFonts w:ascii="Times New Roman" w:eastAsia="Times New Roman" w:hAnsi="Times New Roman"/>
                <w:sz w:val="20"/>
                <w:szCs w:val="20"/>
                <w:lang w:eastAsia="lt-LT"/>
              </w:rPr>
              <w:t>amybos ir skirstymo skatinimas</w:t>
            </w:r>
          </w:p>
        </w:tc>
        <w:tc>
          <w:tcPr>
            <w:tcW w:w="10064" w:type="dxa"/>
            <w:shd w:val="clear" w:color="auto" w:fill="auto"/>
          </w:tcPr>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r w:rsidRPr="0041529C">
              <w:rPr>
                <w:rFonts w:ascii="Times New Roman" w:eastAsia="AngsanaUPC" w:hAnsi="Times New Roman"/>
                <w:bCs/>
                <w:sz w:val="20"/>
                <w:szCs w:val="20"/>
                <w:lang w:eastAsia="lt-LT"/>
              </w:rPr>
              <w:lastRenderedPageBreak/>
              <w:t>Numatoma siekti ES2020 tikslo – 2</w:t>
            </w:r>
            <w:r w:rsidR="00E23AAE">
              <w:rPr>
                <w:rFonts w:ascii="Times New Roman" w:eastAsia="AngsanaUPC" w:hAnsi="Times New Roman"/>
                <w:bCs/>
                <w:sz w:val="20"/>
                <w:szCs w:val="20"/>
                <w:lang w:eastAsia="lt-LT"/>
              </w:rPr>
              <w:t>020 m. Lietuvoje 23 proc. punktai</w:t>
            </w:r>
            <w:r w:rsidRPr="0041529C">
              <w:rPr>
                <w:rFonts w:ascii="Times New Roman" w:eastAsia="AngsanaUPC" w:hAnsi="Times New Roman"/>
                <w:bCs/>
                <w:sz w:val="20"/>
                <w:szCs w:val="20"/>
                <w:lang w:eastAsia="lt-LT"/>
              </w:rPr>
              <w:t xml:space="preserve"> suvartojamos energijos turėtų būti gaminama iš </w:t>
            </w:r>
            <w:r w:rsidR="00D06E09">
              <w:rPr>
                <w:rFonts w:ascii="Times New Roman" w:eastAsia="AngsanaUPC" w:hAnsi="Times New Roman"/>
                <w:bCs/>
                <w:sz w:val="20"/>
                <w:szCs w:val="20"/>
                <w:lang w:eastAsia="lt-LT"/>
              </w:rPr>
              <w:t>atsinaujinančių išteklių</w:t>
            </w:r>
            <w:r w:rsidRPr="0041529C">
              <w:rPr>
                <w:rFonts w:ascii="Times New Roman" w:eastAsia="AngsanaUPC" w:hAnsi="Times New Roman"/>
                <w:bCs/>
                <w:sz w:val="20"/>
                <w:szCs w:val="20"/>
                <w:lang w:eastAsia="lt-LT"/>
              </w:rPr>
              <w:t>.</w:t>
            </w:r>
          </w:p>
          <w:p w:rsidR="0041529C" w:rsidRPr="0041529C" w:rsidRDefault="00D06E09" w:rsidP="0041529C">
            <w:pPr>
              <w:widowControl w:val="0"/>
              <w:tabs>
                <w:tab w:val="left" w:pos="622"/>
              </w:tabs>
              <w:spacing w:after="0" w:line="240" w:lineRule="auto"/>
              <w:jc w:val="both"/>
              <w:rPr>
                <w:rFonts w:ascii="Times New Roman" w:eastAsia="AngsanaUPC" w:hAnsi="Times New Roman"/>
                <w:bCs/>
                <w:sz w:val="20"/>
                <w:szCs w:val="20"/>
                <w:lang w:eastAsia="lt-LT"/>
              </w:rPr>
            </w:pPr>
            <w:r>
              <w:rPr>
                <w:rFonts w:ascii="Times New Roman" w:eastAsia="AngsanaUPC" w:hAnsi="Times New Roman"/>
                <w:bCs/>
                <w:sz w:val="20"/>
                <w:szCs w:val="20"/>
                <w:lang w:eastAsia="lt-LT"/>
              </w:rPr>
              <w:lastRenderedPageBreak/>
              <w:t>Pagal NRD, A</w:t>
            </w:r>
            <w:r w:rsidR="0041529C" w:rsidRPr="0041529C">
              <w:rPr>
                <w:rFonts w:ascii="Times New Roman" w:eastAsia="AngsanaUPC" w:hAnsi="Times New Roman"/>
                <w:bCs/>
                <w:sz w:val="20"/>
                <w:szCs w:val="20"/>
                <w:lang w:eastAsia="lt-LT"/>
              </w:rPr>
              <w:t>I</w:t>
            </w:r>
            <w:r>
              <w:rPr>
                <w:rFonts w:ascii="Times New Roman" w:eastAsia="AngsanaUPC" w:hAnsi="Times New Roman"/>
                <w:bCs/>
                <w:sz w:val="20"/>
                <w:szCs w:val="20"/>
                <w:lang w:eastAsia="lt-LT"/>
              </w:rPr>
              <w:t>E</w:t>
            </w:r>
            <w:r w:rsidR="0041529C" w:rsidRPr="0041529C">
              <w:rPr>
                <w:rFonts w:ascii="Times New Roman" w:eastAsia="AngsanaUPC" w:hAnsi="Times New Roman"/>
                <w:bCs/>
                <w:sz w:val="20"/>
                <w:szCs w:val="20"/>
                <w:lang w:eastAsia="lt-LT"/>
              </w:rPr>
              <w:t xml:space="preserve"> plėtra ne tik padės spręsti su klimato kaita susijusias problemas, bet ir padidins Lietuvos energetinę nepriklausomybę.</w:t>
            </w:r>
          </w:p>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r w:rsidRPr="0041529C">
              <w:rPr>
                <w:rFonts w:ascii="Times New Roman" w:eastAsia="AngsanaUPC" w:hAnsi="Times New Roman"/>
                <w:bCs/>
                <w:sz w:val="20"/>
                <w:szCs w:val="20"/>
                <w:lang w:eastAsia="lt-LT"/>
              </w:rPr>
              <w:t xml:space="preserve">EK pozicijoje didelis dėmesys skiriamas </w:t>
            </w:r>
            <w:r w:rsidR="00D06E09">
              <w:rPr>
                <w:rFonts w:ascii="Times New Roman" w:eastAsia="AngsanaUPC" w:hAnsi="Times New Roman"/>
                <w:bCs/>
                <w:sz w:val="20"/>
                <w:szCs w:val="20"/>
                <w:lang w:eastAsia="lt-LT"/>
              </w:rPr>
              <w:t>AIE</w:t>
            </w:r>
            <w:r w:rsidRPr="0041529C">
              <w:rPr>
                <w:rFonts w:ascii="Times New Roman" w:eastAsia="AngsanaUPC" w:hAnsi="Times New Roman"/>
                <w:bCs/>
                <w:sz w:val="20"/>
                <w:szCs w:val="20"/>
                <w:lang w:eastAsia="lt-LT"/>
              </w:rPr>
              <w:t xml:space="preserve"> gamybos ir paskirstymo skatinimui, siūloma investuoti į šilumos ir elektros energijos, gaminamų iš </w:t>
            </w:r>
            <w:r w:rsidR="00D06E09">
              <w:rPr>
                <w:rFonts w:ascii="Times New Roman" w:eastAsia="AngsanaUPC" w:hAnsi="Times New Roman"/>
                <w:bCs/>
                <w:sz w:val="20"/>
                <w:szCs w:val="20"/>
                <w:lang w:eastAsia="lt-LT"/>
              </w:rPr>
              <w:t>atsinaujinančių išteklių</w:t>
            </w:r>
            <w:r w:rsidR="00235155">
              <w:rPr>
                <w:rFonts w:ascii="Times New Roman" w:eastAsia="AngsanaUPC" w:hAnsi="Times New Roman"/>
                <w:bCs/>
                <w:sz w:val="20"/>
                <w:szCs w:val="20"/>
                <w:lang w:eastAsia="lt-LT"/>
              </w:rPr>
              <w:t>,</w:t>
            </w:r>
            <w:r w:rsidRPr="0041529C">
              <w:rPr>
                <w:rFonts w:ascii="Times New Roman" w:eastAsia="AngsanaUPC" w:hAnsi="Times New Roman"/>
                <w:bCs/>
                <w:sz w:val="20"/>
                <w:szCs w:val="20"/>
                <w:lang w:eastAsia="lt-LT"/>
              </w:rPr>
              <w:t xml:space="preserve"> tiekimą, įskaitant biomasę, atliekų išskiriamos šilumos, saulės, vėjo energijos panaudojimą.</w:t>
            </w:r>
          </w:p>
          <w:p w:rsidR="0041529C" w:rsidRPr="0041529C" w:rsidRDefault="0041529C" w:rsidP="00D06E09">
            <w:pPr>
              <w:widowControl w:val="0"/>
              <w:tabs>
                <w:tab w:val="left" w:pos="622"/>
              </w:tabs>
              <w:spacing w:after="0" w:line="240" w:lineRule="auto"/>
              <w:jc w:val="both"/>
              <w:rPr>
                <w:rFonts w:ascii="Times New Roman" w:eastAsia="AngsanaUPC" w:hAnsi="Times New Roman"/>
                <w:bCs/>
                <w:sz w:val="20"/>
                <w:szCs w:val="20"/>
                <w:lang w:eastAsia="lt-LT"/>
              </w:rPr>
            </w:pPr>
            <w:r w:rsidRPr="0041529C">
              <w:rPr>
                <w:rFonts w:ascii="Times New Roman" w:eastAsia="AngsanaUPC" w:hAnsi="Times New Roman"/>
                <w:bCs/>
                <w:sz w:val="20"/>
                <w:szCs w:val="20"/>
                <w:lang w:eastAsia="lt-LT"/>
              </w:rPr>
              <w:t xml:space="preserve">ES BJRS prioritetinė sritis „Energetika“ taip pat skatina </w:t>
            </w:r>
            <w:r w:rsidR="00D06E09">
              <w:rPr>
                <w:rFonts w:ascii="Times New Roman" w:eastAsia="AngsanaUPC" w:hAnsi="Times New Roman"/>
                <w:bCs/>
                <w:sz w:val="20"/>
                <w:szCs w:val="20"/>
                <w:lang w:eastAsia="lt-LT"/>
              </w:rPr>
              <w:t>AIE</w:t>
            </w:r>
            <w:r w:rsidRPr="0041529C">
              <w:rPr>
                <w:rFonts w:ascii="Times New Roman" w:eastAsia="AngsanaUPC" w:hAnsi="Times New Roman"/>
                <w:bCs/>
                <w:sz w:val="20"/>
                <w:szCs w:val="20"/>
                <w:lang w:eastAsia="lt-LT"/>
              </w:rPr>
              <w:t xml:space="preserve"> </w:t>
            </w:r>
            <w:r w:rsidR="00D06E09">
              <w:rPr>
                <w:rFonts w:ascii="Times New Roman" w:eastAsia="AngsanaUPC" w:hAnsi="Times New Roman"/>
                <w:bCs/>
                <w:sz w:val="20"/>
                <w:szCs w:val="20"/>
                <w:lang w:eastAsia="lt-LT"/>
              </w:rPr>
              <w:t>vartojimą</w:t>
            </w:r>
            <w:r w:rsidRPr="0041529C">
              <w:rPr>
                <w:rFonts w:ascii="Times New Roman" w:eastAsia="AngsanaUPC" w:hAnsi="Times New Roman"/>
                <w:bCs/>
                <w:sz w:val="20"/>
                <w:szCs w:val="20"/>
                <w:lang w:eastAsia="lt-LT"/>
              </w:rPr>
              <w:t>, siekiant integruoti energetikos rinkas ir panaikinti</w:t>
            </w:r>
            <w:r w:rsidR="00235155">
              <w:rPr>
                <w:rFonts w:ascii="Times New Roman" w:eastAsia="AngsanaUPC" w:hAnsi="Times New Roman"/>
                <w:bCs/>
                <w:sz w:val="20"/>
                <w:szCs w:val="20"/>
                <w:lang w:eastAsia="lt-LT"/>
              </w:rPr>
              <w:t>,</w:t>
            </w:r>
            <w:r w:rsidRPr="0041529C">
              <w:rPr>
                <w:rFonts w:ascii="Times New Roman" w:eastAsia="AngsanaUPC" w:hAnsi="Times New Roman"/>
                <w:bCs/>
                <w:sz w:val="20"/>
                <w:szCs w:val="20"/>
                <w:lang w:eastAsia="lt-LT"/>
              </w:rPr>
              <w:t xml:space="preserve"> kai kurių valstybių narių (tarp jų ir Lietuvos) energetinę izoliaciją.</w:t>
            </w:r>
          </w:p>
        </w:tc>
      </w:tr>
      <w:tr w:rsidR="0041529C" w:rsidRPr="0041529C" w:rsidTr="00EC77A8">
        <w:tc>
          <w:tcPr>
            <w:tcW w:w="1668" w:type="dxa"/>
            <w:vMerge/>
            <w:shd w:val="clear" w:color="auto" w:fill="auto"/>
          </w:tcPr>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p>
        </w:tc>
        <w:tc>
          <w:tcPr>
            <w:tcW w:w="3685" w:type="dxa"/>
            <w:shd w:val="clear" w:color="auto" w:fill="auto"/>
          </w:tcPr>
          <w:p w:rsidR="0041529C" w:rsidRPr="0041529C" w:rsidRDefault="0041529C" w:rsidP="002D3E50">
            <w:pPr>
              <w:widowControl w:val="0"/>
              <w:tabs>
                <w:tab w:val="left" w:pos="1276"/>
              </w:tabs>
              <w:adjustRightInd w:val="0"/>
              <w:spacing w:after="120" w:line="240" w:lineRule="auto"/>
              <w:jc w:val="both"/>
              <w:textAlignment w:val="baseline"/>
              <w:rPr>
                <w:rFonts w:ascii="Times New Roman" w:eastAsia="Times New Roman" w:hAnsi="Times New Roman"/>
                <w:sz w:val="20"/>
                <w:szCs w:val="20"/>
                <w:lang w:eastAsia="lt-LT"/>
              </w:rPr>
            </w:pPr>
            <w:r w:rsidRPr="0041529C">
              <w:rPr>
                <w:rFonts w:ascii="Times New Roman" w:eastAsia="Times New Roman" w:hAnsi="Times New Roman"/>
                <w:sz w:val="20"/>
                <w:szCs w:val="20"/>
                <w:lang w:eastAsia="lt-LT"/>
              </w:rPr>
              <w:t xml:space="preserve">2. Energijos vartojimo efektyvumo ir </w:t>
            </w:r>
            <w:r w:rsidR="002D3E50">
              <w:rPr>
                <w:rFonts w:ascii="Times New Roman" w:eastAsia="Times New Roman" w:hAnsi="Times New Roman"/>
                <w:sz w:val="20"/>
                <w:szCs w:val="20"/>
                <w:lang w:eastAsia="lt-LT"/>
              </w:rPr>
              <w:t>AIE</w:t>
            </w:r>
            <w:r w:rsidR="00AA0722">
              <w:rPr>
                <w:rFonts w:ascii="Times New Roman" w:eastAsia="Times New Roman" w:hAnsi="Times New Roman"/>
                <w:sz w:val="20"/>
                <w:szCs w:val="20"/>
                <w:lang w:eastAsia="lt-LT"/>
              </w:rPr>
              <w:t xml:space="preserve"> vartojimo įmonėse skatinimas</w:t>
            </w:r>
          </w:p>
        </w:tc>
        <w:tc>
          <w:tcPr>
            <w:tcW w:w="10064" w:type="dxa"/>
            <w:shd w:val="clear" w:color="auto" w:fill="auto"/>
          </w:tcPr>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r w:rsidRPr="0041529C">
              <w:rPr>
                <w:rFonts w:ascii="Times New Roman" w:eastAsia="AngsanaUPC" w:hAnsi="Times New Roman"/>
                <w:bCs/>
                <w:sz w:val="20"/>
                <w:szCs w:val="20"/>
                <w:lang w:eastAsia="lt-LT"/>
              </w:rPr>
              <w:t>Atsi</w:t>
            </w:r>
            <w:r w:rsidR="00D06E09">
              <w:rPr>
                <w:rFonts w:ascii="Times New Roman" w:eastAsia="AngsanaUPC" w:hAnsi="Times New Roman"/>
                <w:bCs/>
                <w:sz w:val="20"/>
                <w:szCs w:val="20"/>
                <w:lang w:eastAsia="lt-LT"/>
              </w:rPr>
              <w:t>žvelgiant į ES2020 tikslą dėl A</w:t>
            </w:r>
            <w:r w:rsidRPr="0041529C">
              <w:rPr>
                <w:rFonts w:ascii="Times New Roman" w:eastAsia="AngsanaUPC" w:hAnsi="Times New Roman"/>
                <w:bCs/>
                <w:sz w:val="20"/>
                <w:szCs w:val="20"/>
                <w:lang w:eastAsia="lt-LT"/>
              </w:rPr>
              <w:t>I</w:t>
            </w:r>
            <w:r w:rsidR="00D06E09">
              <w:rPr>
                <w:rFonts w:ascii="Times New Roman" w:eastAsia="AngsanaUPC" w:hAnsi="Times New Roman"/>
                <w:bCs/>
                <w:sz w:val="20"/>
                <w:szCs w:val="20"/>
                <w:lang w:eastAsia="lt-LT"/>
              </w:rPr>
              <w:t>E</w:t>
            </w:r>
            <w:r w:rsidRPr="0041529C">
              <w:rPr>
                <w:rFonts w:ascii="Times New Roman" w:eastAsia="AngsanaUPC" w:hAnsi="Times New Roman"/>
                <w:bCs/>
                <w:sz w:val="20"/>
                <w:szCs w:val="20"/>
                <w:lang w:eastAsia="lt-LT"/>
              </w:rPr>
              <w:t xml:space="preserve"> vartojimo</w:t>
            </w:r>
            <w:proofErr w:type="gramStart"/>
            <w:r w:rsidRPr="0041529C">
              <w:rPr>
                <w:rFonts w:ascii="Times New Roman" w:eastAsia="AngsanaUPC" w:hAnsi="Times New Roman"/>
                <w:bCs/>
                <w:sz w:val="20"/>
                <w:szCs w:val="20"/>
                <w:lang w:eastAsia="lt-LT"/>
              </w:rPr>
              <w:t>, bei</w:t>
            </w:r>
            <w:proofErr w:type="gramEnd"/>
            <w:r w:rsidRPr="0041529C">
              <w:rPr>
                <w:rFonts w:ascii="Times New Roman" w:eastAsia="AngsanaUPC" w:hAnsi="Times New Roman"/>
                <w:bCs/>
                <w:sz w:val="20"/>
                <w:szCs w:val="20"/>
                <w:lang w:eastAsia="lt-LT"/>
              </w:rPr>
              <w:t xml:space="preserve"> į EK pozicijoje pateiktus siūlymus skatinti </w:t>
            </w:r>
            <w:r w:rsidR="00D06E09">
              <w:rPr>
                <w:rFonts w:ascii="Times New Roman" w:eastAsia="AngsanaUPC" w:hAnsi="Times New Roman"/>
                <w:bCs/>
                <w:sz w:val="20"/>
                <w:szCs w:val="20"/>
                <w:lang w:eastAsia="lt-LT"/>
              </w:rPr>
              <w:t>AIE</w:t>
            </w:r>
            <w:r w:rsidRPr="0041529C">
              <w:rPr>
                <w:rFonts w:ascii="Times New Roman" w:eastAsia="AngsanaUPC" w:hAnsi="Times New Roman"/>
                <w:bCs/>
                <w:sz w:val="20"/>
                <w:szCs w:val="20"/>
                <w:lang w:eastAsia="lt-LT"/>
              </w:rPr>
              <w:t xml:space="preserve"> vartojimą įmonėse, numatoma joms sudaryti palankias galimybes pasirinkti technologinius sprendimus, didinančius jų konkurencingumą.</w:t>
            </w:r>
          </w:p>
          <w:p w:rsidR="0041529C" w:rsidRPr="0041529C" w:rsidRDefault="0041529C" w:rsidP="00E96742">
            <w:pPr>
              <w:widowControl w:val="0"/>
              <w:tabs>
                <w:tab w:val="left" w:pos="622"/>
              </w:tabs>
              <w:spacing w:after="0" w:line="240" w:lineRule="auto"/>
              <w:jc w:val="both"/>
              <w:rPr>
                <w:rFonts w:ascii="Times New Roman" w:eastAsia="AngsanaUPC" w:hAnsi="Times New Roman"/>
                <w:bCs/>
                <w:sz w:val="20"/>
                <w:szCs w:val="20"/>
                <w:lang w:eastAsia="lt-LT"/>
              </w:rPr>
            </w:pPr>
            <w:r w:rsidRPr="0041529C">
              <w:rPr>
                <w:rFonts w:ascii="Times New Roman" w:eastAsia="AngsanaUPC" w:hAnsi="Times New Roman"/>
                <w:bCs/>
                <w:sz w:val="20"/>
                <w:szCs w:val="20"/>
                <w:lang w:eastAsia="lt-LT"/>
              </w:rPr>
              <w:t>ES lygiu skiriamas vis didesnis dėmesys siekiui užtikrinti konkurencingas energijos kainas pramonei (</w:t>
            </w:r>
            <w:r w:rsidR="00686878">
              <w:rPr>
                <w:rFonts w:ascii="Times New Roman" w:eastAsia="AngsanaUPC" w:hAnsi="Times New Roman"/>
                <w:bCs/>
                <w:sz w:val="20"/>
                <w:szCs w:val="20"/>
                <w:lang w:eastAsia="lt-LT"/>
              </w:rPr>
              <w:t>pavyzdžiui</w:t>
            </w:r>
            <w:r w:rsidRPr="0041529C">
              <w:rPr>
                <w:rFonts w:ascii="Times New Roman" w:eastAsia="AngsanaUPC" w:hAnsi="Times New Roman"/>
                <w:bCs/>
                <w:sz w:val="20"/>
                <w:szCs w:val="20"/>
                <w:lang w:eastAsia="lt-LT"/>
              </w:rPr>
              <w:t xml:space="preserve">, 2013 m. gegužės </w:t>
            </w:r>
            <w:r w:rsidR="00E96742">
              <w:rPr>
                <w:rFonts w:ascii="Times New Roman" w:eastAsia="AngsanaUPC" w:hAnsi="Times New Roman"/>
                <w:bCs/>
                <w:sz w:val="20"/>
                <w:szCs w:val="20"/>
                <w:lang w:eastAsia="lt-LT"/>
              </w:rPr>
              <w:t>EVT</w:t>
            </w:r>
            <w:proofErr w:type="gramStart"/>
            <w:r w:rsidR="00E96742">
              <w:rPr>
                <w:rFonts w:ascii="Times New Roman" w:eastAsia="AngsanaUPC" w:hAnsi="Times New Roman"/>
                <w:bCs/>
                <w:sz w:val="20"/>
                <w:szCs w:val="20"/>
                <w:lang w:eastAsia="lt-LT"/>
              </w:rPr>
              <w:t xml:space="preserve"> </w:t>
            </w:r>
            <w:r w:rsidRPr="0041529C">
              <w:rPr>
                <w:rFonts w:ascii="Times New Roman" w:eastAsia="AngsanaUPC" w:hAnsi="Times New Roman"/>
                <w:bCs/>
                <w:sz w:val="20"/>
                <w:szCs w:val="20"/>
                <w:lang w:eastAsia="lt-LT"/>
              </w:rPr>
              <w:t xml:space="preserve"> </w:t>
            </w:r>
            <w:proofErr w:type="gramEnd"/>
            <w:r w:rsidRPr="0041529C">
              <w:rPr>
                <w:rFonts w:ascii="Times New Roman" w:eastAsia="AngsanaUPC" w:hAnsi="Times New Roman"/>
                <w:bCs/>
                <w:sz w:val="20"/>
                <w:szCs w:val="20"/>
                <w:lang w:eastAsia="lt-LT"/>
              </w:rPr>
              <w:t>išvados). Tai ypač aktualu Lietuvos pramonei, kuri yra viena</w:t>
            </w:r>
            <w:r w:rsidR="00165DF0">
              <w:rPr>
                <w:rFonts w:ascii="Times New Roman" w:eastAsia="AngsanaUPC" w:hAnsi="Times New Roman"/>
                <w:bCs/>
                <w:sz w:val="20"/>
                <w:szCs w:val="20"/>
                <w:lang w:eastAsia="lt-LT"/>
              </w:rPr>
              <w:t xml:space="preserve"> iš</w:t>
            </w:r>
            <w:r w:rsidRPr="0041529C">
              <w:rPr>
                <w:rFonts w:ascii="Times New Roman" w:eastAsia="AngsanaUPC" w:hAnsi="Times New Roman"/>
                <w:bCs/>
                <w:sz w:val="20"/>
                <w:szCs w:val="20"/>
                <w:lang w:eastAsia="lt-LT"/>
              </w:rPr>
              <w:t xml:space="preserve"> labiausiai energetiškai intensyvių visoje ES. Šiuos iššūkius (ypač Lietuvoje, Latvijoje ir Estijoje) taip pat apima ES BJRS prioritetinė sritis „Energetika“. </w:t>
            </w:r>
          </w:p>
        </w:tc>
      </w:tr>
      <w:tr w:rsidR="0041529C" w:rsidRPr="0041529C" w:rsidTr="00EC77A8">
        <w:tc>
          <w:tcPr>
            <w:tcW w:w="1668" w:type="dxa"/>
            <w:vMerge/>
            <w:shd w:val="clear" w:color="auto" w:fill="auto"/>
          </w:tcPr>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p>
        </w:tc>
        <w:tc>
          <w:tcPr>
            <w:tcW w:w="3685" w:type="dxa"/>
            <w:shd w:val="clear" w:color="auto" w:fill="auto"/>
          </w:tcPr>
          <w:p w:rsidR="0041529C" w:rsidRPr="0041529C" w:rsidRDefault="0041529C" w:rsidP="002D3E50">
            <w:pPr>
              <w:widowControl w:val="0"/>
              <w:tabs>
                <w:tab w:val="left" w:pos="1276"/>
              </w:tabs>
              <w:adjustRightInd w:val="0"/>
              <w:spacing w:after="120" w:line="240" w:lineRule="auto"/>
              <w:jc w:val="both"/>
              <w:textAlignment w:val="baseline"/>
              <w:rPr>
                <w:rFonts w:ascii="Times New Roman" w:eastAsia="Times New Roman" w:hAnsi="Times New Roman"/>
                <w:sz w:val="20"/>
                <w:szCs w:val="20"/>
                <w:lang w:eastAsia="lt-LT"/>
              </w:rPr>
            </w:pPr>
            <w:r w:rsidRPr="0041529C">
              <w:rPr>
                <w:rFonts w:ascii="Times New Roman" w:eastAsia="Times New Roman" w:hAnsi="Times New Roman"/>
                <w:sz w:val="20"/>
                <w:szCs w:val="20"/>
                <w:lang w:eastAsia="lt-LT"/>
              </w:rPr>
              <w:t xml:space="preserve">3. Energijos vartojimo efektyvumo, pažangaus energijos valdymo ir </w:t>
            </w:r>
            <w:r w:rsidR="002D3E50">
              <w:rPr>
                <w:rFonts w:ascii="Times New Roman" w:eastAsia="Times New Roman" w:hAnsi="Times New Roman"/>
                <w:sz w:val="20"/>
                <w:szCs w:val="20"/>
                <w:lang w:eastAsia="lt-LT"/>
              </w:rPr>
              <w:t>AIE</w:t>
            </w:r>
            <w:r w:rsidRPr="0041529C">
              <w:rPr>
                <w:rFonts w:ascii="Times New Roman" w:eastAsia="Times New Roman" w:hAnsi="Times New Roman"/>
                <w:sz w:val="20"/>
                <w:szCs w:val="20"/>
                <w:lang w:eastAsia="lt-LT"/>
              </w:rPr>
              <w:t xml:space="preserve"> vartojimo viešosiose infrastruktūrose, įskaitant viešuosius pastatus ir gyv</w:t>
            </w:r>
            <w:r w:rsidR="00AA0722">
              <w:rPr>
                <w:rFonts w:ascii="Times New Roman" w:eastAsia="Times New Roman" w:hAnsi="Times New Roman"/>
                <w:sz w:val="20"/>
                <w:szCs w:val="20"/>
                <w:lang w:eastAsia="lt-LT"/>
              </w:rPr>
              <w:t>enamųjų namų sektorių, rėmimas</w:t>
            </w:r>
          </w:p>
        </w:tc>
        <w:tc>
          <w:tcPr>
            <w:tcW w:w="10064" w:type="dxa"/>
            <w:shd w:val="clear" w:color="auto" w:fill="auto"/>
          </w:tcPr>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r w:rsidRPr="0041529C">
              <w:rPr>
                <w:rFonts w:ascii="Times New Roman" w:eastAsia="AngsanaUPC" w:hAnsi="Times New Roman"/>
                <w:bCs/>
                <w:sz w:val="20"/>
                <w:szCs w:val="20"/>
                <w:lang w:eastAsia="lt-LT"/>
              </w:rPr>
              <w:t>201</w:t>
            </w:r>
            <w:r w:rsidR="00BC6EB7">
              <w:rPr>
                <w:rFonts w:ascii="Times New Roman" w:eastAsia="AngsanaUPC" w:hAnsi="Times New Roman"/>
                <w:bCs/>
                <w:sz w:val="20"/>
                <w:szCs w:val="20"/>
                <w:lang w:eastAsia="lt-LT"/>
              </w:rPr>
              <w:t>4</w:t>
            </w:r>
            <w:r w:rsidRPr="0041529C">
              <w:rPr>
                <w:rFonts w:ascii="Times New Roman" w:eastAsia="AngsanaUPC" w:hAnsi="Times New Roman"/>
                <w:bCs/>
                <w:sz w:val="20"/>
                <w:szCs w:val="20"/>
                <w:lang w:eastAsia="lt-LT"/>
              </w:rPr>
              <w:t xml:space="preserve"> m. Tarybos pateiktoje rekomendacijoje Lietuvai skatinama imtis veiksmų pagerinti pastatų energetinį efektyvumą ir šalinti kliūtis</w:t>
            </w:r>
            <w:r w:rsidR="00434583">
              <w:rPr>
                <w:rFonts w:ascii="Times New Roman" w:eastAsia="AngsanaUPC" w:hAnsi="Times New Roman"/>
                <w:bCs/>
                <w:sz w:val="20"/>
                <w:szCs w:val="20"/>
                <w:lang w:eastAsia="lt-LT"/>
              </w:rPr>
              <w:t>,</w:t>
            </w:r>
            <w:r w:rsidRPr="0041529C">
              <w:rPr>
                <w:rFonts w:ascii="Times New Roman" w:eastAsia="AngsanaUPC" w:hAnsi="Times New Roman"/>
                <w:bCs/>
                <w:sz w:val="20"/>
                <w:szCs w:val="20"/>
                <w:lang w:eastAsia="lt-LT"/>
              </w:rPr>
              <w:t xml:space="preserve"> įgyvendinant kontroliuojančiojo fondo iniciatyvą.</w:t>
            </w:r>
          </w:p>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r w:rsidRPr="0041529C">
              <w:rPr>
                <w:rFonts w:ascii="Times New Roman" w:eastAsia="AngsanaUPC" w:hAnsi="Times New Roman"/>
                <w:bCs/>
                <w:sz w:val="20"/>
                <w:szCs w:val="20"/>
                <w:lang w:eastAsia="lt-LT"/>
              </w:rPr>
              <w:t>ES lygiu ypatingas dėmesys šiuo metu yra skiriamas pasiekti energijos efektyvumo tikslą. Todėl neseniai priimta Energijos efektyvumo direktyva numato privalomas priemones, siekiant šio tikslo įgyvendinimo.</w:t>
            </w:r>
          </w:p>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r w:rsidRPr="0041529C">
              <w:rPr>
                <w:rFonts w:ascii="Times New Roman" w:eastAsia="AngsanaUPC" w:hAnsi="Times New Roman"/>
                <w:bCs/>
                <w:sz w:val="20"/>
                <w:szCs w:val="20"/>
                <w:lang w:eastAsia="lt-LT"/>
              </w:rPr>
              <w:t>EK pozicijoje atkreipiamas dėmesys, kad reikia didinti gyvenamųjų namų energijos vartojimo efektyvumą, ypatingą dėmesį skiriant daugiabučių atnaujinimui.</w:t>
            </w:r>
          </w:p>
        </w:tc>
      </w:tr>
      <w:tr w:rsidR="0041529C" w:rsidRPr="0041529C" w:rsidTr="00EC77A8">
        <w:tc>
          <w:tcPr>
            <w:tcW w:w="1668" w:type="dxa"/>
            <w:vMerge/>
            <w:shd w:val="clear" w:color="auto" w:fill="auto"/>
          </w:tcPr>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p>
        </w:tc>
        <w:tc>
          <w:tcPr>
            <w:tcW w:w="3685" w:type="dxa"/>
            <w:shd w:val="clear" w:color="auto" w:fill="auto"/>
          </w:tcPr>
          <w:p w:rsidR="0041529C" w:rsidRPr="0041529C" w:rsidRDefault="0041529C" w:rsidP="0041529C">
            <w:pPr>
              <w:widowControl w:val="0"/>
              <w:tabs>
                <w:tab w:val="left" w:pos="1276"/>
              </w:tabs>
              <w:adjustRightInd w:val="0"/>
              <w:spacing w:after="120" w:line="240" w:lineRule="auto"/>
              <w:jc w:val="both"/>
              <w:textAlignment w:val="baseline"/>
              <w:rPr>
                <w:rFonts w:ascii="Times New Roman" w:eastAsia="Times New Roman" w:hAnsi="Times New Roman"/>
                <w:sz w:val="20"/>
                <w:szCs w:val="20"/>
                <w:lang w:eastAsia="lt-LT"/>
              </w:rPr>
            </w:pPr>
            <w:r w:rsidRPr="0041529C">
              <w:rPr>
                <w:rFonts w:ascii="Times New Roman" w:eastAsia="Times New Roman" w:hAnsi="Times New Roman"/>
                <w:sz w:val="20"/>
                <w:szCs w:val="20"/>
                <w:lang w:eastAsia="lt-LT"/>
              </w:rPr>
              <w:t xml:space="preserve">4. Pažangiųjų žemos ir vidutinės įtampos paskirstymo </w:t>
            </w:r>
            <w:r w:rsidR="00AA0722">
              <w:rPr>
                <w:rFonts w:ascii="Times New Roman" w:eastAsia="Times New Roman" w:hAnsi="Times New Roman"/>
                <w:sz w:val="20"/>
                <w:szCs w:val="20"/>
                <w:lang w:eastAsia="lt-LT"/>
              </w:rPr>
              <w:t>sistemų diegimas ir plėtojimas</w:t>
            </w:r>
          </w:p>
        </w:tc>
        <w:tc>
          <w:tcPr>
            <w:tcW w:w="10064" w:type="dxa"/>
            <w:shd w:val="clear" w:color="auto" w:fill="auto"/>
          </w:tcPr>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r w:rsidRPr="0041529C">
              <w:rPr>
                <w:rFonts w:ascii="Times New Roman" w:eastAsia="AngsanaUPC" w:hAnsi="Times New Roman"/>
                <w:bCs/>
                <w:sz w:val="20"/>
                <w:szCs w:val="20"/>
                <w:lang w:eastAsia="lt-LT"/>
              </w:rPr>
              <w:t xml:space="preserve">ES teisės aktuose (III Energetikos pakete, ES energetikos infrastruktūros gairėse, Europos Komisijos </w:t>
            </w:r>
            <w:r w:rsidR="00C41E34">
              <w:rPr>
                <w:rFonts w:ascii="Times New Roman" w:eastAsia="AngsanaUPC" w:hAnsi="Times New Roman"/>
                <w:bCs/>
                <w:sz w:val="20"/>
                <w:szCs w:val="20"/>
                <w:lang w:eastAsia="lt-LT"/>
              </w:rPr>
              <w:t xml:space="preserve">(EK) </w:t>
            </w:r>
            <w:r w:rsidRPr="0041529C">
              <w:rPr>
                <w:rFonts w:ascii="Times New Roman" w:eastAsia="AngsanaUPC" w:hAnsi="Times New Roman"/>
                <w:bCs/>
                <w:sz w:val="20"/>
                <w:szCs w:val="20"/>
                <w:lang w:eastAsia="lt-LT"/>
              </w:rPr>
              <w:t>komunikate dėl vidaus energijos rinkos sukūrimo) teigiama, kad valstybės narės turi naudoti pažangiuosius tinklus, kad būtų skatinama decentralizuota elektros energijos gamyba ir energijos vartojimo efektyvumas.</w:t>
            </w:r>
          </w:p>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r w:rsidRPr="0041529C">
              <w:rPr>
                <w:rFonts w:ascii="Times New Roman" w:eastAsia="AngsanaUPC" w:hAnsi="Times New Roman"/>
                <w:bCs/>
                <w:sz w:val="20"/>
                <w:szCs w:val="20"/>
                <w:lang w:eastAsia="lt-LT"/>
              </w:rPr>
              <w:t>NPP numatoma, kad bus investuojama į pažangias elektros skirstomojo tinklo valdymo technologijas, kurios leidžia tinklą valdyti efektyviau ir operatyviau (tokiu būdu mažės tinklo priežiūros išlaidos bei pakils elektros tiekimo patikimumo rodikliai).</w:t>
            </w:r>
          </w:p>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r w:rsidRPr="0041529C">
              <w:rPr>
                <w:rFonts w:ascii="Times New Roman" w:eastAsia="AngsanaUPC" w:hAnsi="Times New Roman"/>
                <w:bCs/>
                <w:sz w:val="20"/>
                <w:szCs w:val="20"/>
                <w:lang w:eastAsia="lt-LT"/>
              </w:rPr>
              <w:t>Minėtos veiklos prisidės</w:t>
            </w:r>
            <w:r w:rsidR="00434583">
              <w:rPr>
                <w:rFonts w:ascii="Times New Roman" w:eastAsia="AngsanaUPC" w:hAnsi="Times New Roman"/>
                <w:bCs/>
                <w:sz w:val="20"/>
                <w:szCs w:val="20"/>
                <w:lang w:eastAsia="lt-LT"/>
              </w:rPr>
              <w:t>,</w:t>
            </w:r>
            <w:r w:rsidRPr="0041529C">
              <w:rPr>
                <w:rFonts w:ascii="Times New Roman" w:eastAsia="AngsanaUPC" w:hAnsi="Times New Roman"/>
                <w:bCs/>
                <w:sz w:val="20"/>
                <w:szCs w:val="20"/>
                <w:lang w:eastAsia="lt-LT"/>
              </w:rPr>
              <w:t xml:space="preserve"> įgyvendinant ES BJRS prioritetinę sritį „Energetika“. </w:t>
            </w:r>
          </w:p>
        </w:tc>
      </w:tr>
      <w:tr w:rsidR="0041529C" w:rsidRPr="0041529C" w:rsidTr="00EC77A8">
        <w:tc>
          <w:tcPr>
            <w:tcW w:w="1668" w:type="dxa"/>
            <w:vMerge/>
            <w:shd w:val="clear" w:color="auto" w:fill="auto"/>
          </w:tcPr>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p>
        </w:tc>
        <w:tc>
          <w:tcPr>
            <w:tcW w:w="3685" w:type="dxa"/>
            <w:shd w:val="clear" w:color="auto" w:fill="auto"/>
          </w:tcPr>
          <w:p w:rsidR="0041529C" w:rsidRPr="0041529C" w:rsidRDefault="0041529C" w:rsidP="0041529C">
            <w:pPr>
              <w:widowControl w:val="0"/>
              <w:tabs>
                <w:tab w:val="left" w:pos="1276"/>
              </w:tabs>
              <w:adjustRightInd w:val="0"/>
              <w:spacing w:after="120" w:line="240" w:lineRule="auto"/>
              <w:jc w:val="both"/>
              <w:textAlignment w:val="baseline"/>
              <w:rPr>
                <w:rFonts w:ascii="Times New Roman" w:eastAsia="Times New Roman" w:hAnsi="Times New Roman"/>
                <w:sz w:val="20"/>
                <w:szCs w:val="20"/>
                <w:lang w:eastAsia="lt-LT"/>
              </w:rPr>
            </w:pPr>
            <w:r w:rsidRPr="0041529C">
              <w:rPr>
                <w:rFonts w:ascii="Times New Roman" w:eastAsia="Times New Roman" w:hAnsi="Times New Roman"/>
                <w:sz w:val="20"/>
                <w:szCs w:val="20"/>
                <w:lang w:eastAsia="lt-LT"/>
              </w:rPr>
              <w:t xml:space="preserve">5. </w:t>
            </w:r>
            <w:r w:rsidR="00F14C66" w:rsidRPr="004813F8">
              <w:rPr>
                <w:rFonts w:ascii="Times New Roman" w:hAnsi="Times New Roman"/>
                <w:bCs/>
                <w:iCs/>
                <w:sz w:val="20"/>
                <w:szCs w:val="20"/>
              </w:rPr>
              <w:t>Anglies dioksido kiekio mažinimo strategijų įgyvendinimo visų rūšių, ypač</w:t>
            </w:r>
            <w:r w:rsidR="00165DF0">
              <w:rPr>
                <w:rFonts w:ascii="Times New Roman" w:hAnsi="Times New Roman"/>
                <w:bCs/>
                <w:iCs/>
                <w:sz w:val="20"/>
                <w:szCs w:val="20"/>
              </w:rPr>
              <w:t xml:space="preserve"> miesto</w:t>
            </w:r>
            <w:r w:rsidR="00F14C66" w:rsidRPr="004813F8">
              <w:rPr>
                <w:rFonts w:ascii="Times New Roman" w:hAnsi="Times New Roman"/>
                <w:bCs/>
                <w:iCs/>
                <w:sz w:val="20"/>
                <w:szCs w:val="20"/>
              </w:rPr>
              <w:t xml:space="preserve"> teritorijose</w:t>
            </w:r>
            <w:r w:rsidR="00165DF0">
              <w:rPr>
                <w:rFonts w:ascii="Times New Roman" w:hAnsi="Times New Roman"/>
                <w:bCs/>
                <w:iCs/>
                <w:sz w:val="20"/>
                <w:szCs w:val="20"/>
              </w:rPr>
              <w:t>,</w:t>
            </w:r>
            <w:r w:rsidR="00F14C66" w:rsidRPr="004813F8">
              <w:rPr>
                <w:rFonts w:ascii="Times New Roman" w:hAnsi="Times New Roman"/>
                <w:bCs/>
                <w:iCs/>
                <w:sz w:val="20"/>
                <w:szCs w:val="20"/>
              </w:rPr>
              <w:t xml:space="preserve"> ska</w:t>
            </w:r>
            <w:r w:rsidR="00F14C66">
              <w:rPr>
                <w:rFonts w:ascii="Times New Roman" w:hAnsi="Times New Roman"/>
                <w:bCs/>
                <w:iCs/>
                <w:sz w:val="20"/>
                <w:szCs w:val="20"/>
              </w:rPr>
              <w:t>tinimas, darn</w:t>
            </w:r>
            <w:r w:rsidR="00F14C66" w:rsidRPr="004813F8">
              <w:rPr>
                <w:rFonts w:ascii="Times New Roman" w:hAnsi="Times New Roman"/>
                <w:bCs/>
                <w:iCs/>
                <w:sz w:val="20"/>
                <w:szCs w:val="20"/>
              </w:rPr>
              <w:t>aus ir įvairių rūšių judumo miestuose</w:t>
            </w:r>
            <w:r w:rsidR="00F14C66">
              <w:rPr>
                <w:rFonts w:ascii="Times New Roman" w:hAnsi="Times New Roman"/>
                <w:bCs/>
                <w:iCs/>
                <w:sz w:val="20"/>
                <w:szCs w:val="20"/>
              </w:rPr>
              <w:t xml:space="preserve"> skatinimas</w:t>
            </w:r>
            <w:r w:rsidR="00F14C66" w:rsidRPr="004813F8">
              <w:rPr>
                <w:rFonts w:ascii="Times New Roman" w:hAnsi="Times New Roman"/>
                <w:bCs/>
                <w:iCs/>
                <w:sz w:val="20"/>
                <w:szCs w:val="20"/>
              </w:rPr>
              <w:t xml:space="preserve"> ir priemonių, skirtų poveikiui </w:t>
            </w:r>
            <w:r w:rsidR="00F14C66">
              <w:rPr>
                <w:rFonts w:ascii="Times New Roman" w:hAnsi="Times New Roman"/>
                <w:bCs/>
                <w:iCs/>
                <w:sz w:val="20"/>
                <w:szCs w:val="20"/>
              </w:rPr>
              <w:t>aplinkai sušvelninti,</w:t>
            </w:r>
            <w:proofErr w:type="gramStart"/>
            <w:r w:rsidR="00F14C66">
              <w:rPr>
                <w:rFonts w:ascii="Times New Roman" w:hAnsi="Times New Roman"/>
                <w:bCs/>
                <w:iCs/>
                <w:sz w:val="20"/>
                <w:szCs w:val="20"/>
              </w:rPr>
              <w:t xml:space="preserve">  </w:t>
            </w:r>
            <w:proofErr w:type="gramEnd"/>
            <w:r w:rsidR="00F14C66">
              <w:rPr>
                <w:rFonts w:ascii="Times New Roman" w:hAnsi="Times New Roman"/>
                <w:bCs/>
                <w:iCs/>
                <w:sz w:val="20"/>
                <w:szCs w:val="20"/>
              </w:rPr>
              <w:t>diegimas</w:t>
            </w:r>
          </w:p>
        </w:tc>
        <w:tc>
          <w:tcPr>
            <w:tcW w:w="10064" w:type="dxa"/>
            <w:shd w:val="clear" w:color="auto" w:fill="auto"/>
          </w:tcPr>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r w:rsidRPr="0041529C">
              <w:rPr>
                <w:rFonts w:ascii="Times New Roman" w:eastAsia="AngsanaUPC" w:hAnsi="Times New Roman"/>
                <w:bCs/>
                <w:sz w:val="20"/>
                <w:szCs w:val="20"/>
                <w:lang w:eastAsia="lt-LT"/>
              </w:rPr>
              <w:t>Sie</w:t>
            </w:r>
            <w:r w:rsidR="00346EEC">
              <w:rPr>
                <w:rFonts w:ascii="Times New Roman" w:eastAsia="AngsanaUPC" w:hAnsi="Times New Roman"/>
                <w:bCs/>
                <w:sz w:val="20"/>
                <w:szCs w:val="20"/>
                <w:lang w:eastAsia="lt-LT"/>
              </w:rPr>
              <w:t>kiant įgyvendinti ES2020 tikslą</w:t>
            </w:r>
            <w:r w:rsidRPr="0041529C">
              <w:rPr>
                <w:rFonts w:ascii="Times New Roman" w:eastAsia="AngsanaUPC" w:hAnsi="Times New Roman"/>
                <w:bCs/>
                <w:sz w:val="20"/>
                <w:szCs w:val="20"/>
                <w:lang w:eastAsia="lt-LT"/>
              </w:rPr>
              <w:t xml:space="preserve"> sumažinti šiltnamio efektą sukeliančių dujų </w:t>
            </w:r>
            <w:r w:rsidR="002C41F8">
              <w:rPr>
                <w:rFonts w:ascii="Times New Roman" w:eastAsia="AngsanaUPC" w:hAnsi="Times New Roman"/>
                <w:bCs/>
                <w:sz w:val="20"/>
                <w:szCs w:val="20"/>
                <w:lang w:eastAsia="lt-LT"/>
              </w:rPr>
              <w:t xml:space="preserve">(ŠESD) </w:t>
            </w:r>
            <w:r w:rsidRPr="0041529C">
              <w:rPr>
                <w:rFonts w:ascii="Times New Roman" w:eastAsia="AngsanaUPC" w:hAnsi="Times New Roman"/>
                <w:bCs/>
                <w:sz w:val="20"/>
                <w:szCs w:val="20"/>
                <w:lang w:eastAsia="lt-LT"/>
              </w:rPr>
              <w:t>20 proc. palyginus su 1990 m., numatoma Lietuvoje kurti tausiai išteklius naudojančią transporto sistemą, skatinti ekologiškų technologijų taikymą ir modernizuoti transporto tinklus.</w:t>
            </w:r>
          </w:p>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r w:rsidRPr="0041529C">
              <w:rPr>
                <w:rFonts w:ascii="Times New Roman" w:eastAsia="AngsanaUPC" w:hAnsi="Times New Roman"/>
                <w:bCs/>
                <w:sz w:val="20"/>
                <w:szCs w:val="20"/>
                <w:lang w:eastAsia="lt-LT"/>
              </w:rPr>
              <w:t xml:space="preserve">NRD numatytos priemonės, kaip pasiekti ES2020 pavyzdinės iniciatyvos „Tausiai išteklius naudojanti Europa“ tikslų. </w:t>
            </w:r>
          </w:p>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r w:rsidRPr="0041529C">
              <w:rPr>
                <w:rFonts w:ascii="Times New Roman" w:eastAsia="AngsanaUPC" w:hAnsi="Times New Roman"/>
                <w:bCs/>
                <w:sz w:val="20"/>
                <w:szCs w:val="20"/>
                <w:lang w:eastAsia="lt-LT"/>
              </w:rPr>
              <w:t>EK pozicijoje atkreipiamas dėmesys į ekologiškų ir mažo anglies dioksido kiekio transporto sistemų kūrimą ir tvaraus judumo miestuose skatinimą.</w:t>
            </w:r>
          </w:p>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r w:rsidRPr="0041529C">
              <w:rPr>
                <w:rFonts w:ascii="Times New Roman" w:eastAsia="AngsanaUPC" w:hAnsi="Times New Roman"/>
                <w:bCs/>
                <w:sz w:val="20"/>
                <w:szCs w:val="20"/>
                <w:lang w:eastAsia="lt-LT"/>
              </w:rPr>
              <w:t>Veiklos, susijusios su neigiamo transporto poveikio aplinkai mažinimu, taip pat yra aktualios įgyvendinant ES BJRS prioritetinę sritį „Transportas“ bei siekiant ES BJRS tikslo „Padidinti gerovę“, kiek tai susiję su klimato kaita.</w:t>
            </w:r>
          </w:p>
        </w:tc>
      </w:tr>
      <w:tr w:rsidR="0041529C" w:rsidRPr="0041529C" w:rsidTr="00EC77A8">
        <w:trPr>
          <w:trHeight w:val="470"/>
        </w:trPr>
        <w:tc>
          <w:tcPr>
            <w:tcW w:w="1668" w:type="dxa"/>
            <w:shd w:val="clear" w:color="auto" w:fill="auto"/>
          </w:tcPr>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r w:rsidRPr="0041529C">
              <w:rPr>
                <w:rFonts w:ascii="Times New Roman" w:eastAsia="AngsanaUPC" w:hAnsi="Times New Roman"/>
                <w:bCs/>
                <w:sz w:val="20"/>
                <w:szCs w:val="20"/>
                <w:lang w:eastAsia="lt-LT"/>
              </w:rPr>
              <w:t xml:space="preserve">5. Prisitaikymo prie klimato kaitos, rizikos prevencijos ir administravimo </w:t>
            </w:r>
            <w:r w:rsidRPr="0041529C">
              <w:rPr>
                <w:rFonts w:ascii="Times New Roman" w:eastAsia="AngsanaUPC" w:hAnsi="Times New Roman"/>
                <w:bCs/>
                <w:sz w:val="20"/>
                <w:szCs w:val="20"/>
                <w:lang w:eastAsia="lt-LT"/>
              </w:rPr>
              <w:lastRenderedPageBreak/>
              <w:t>skatinimas</w:t>
            </w:r>
          </w:p>
        </w:tc>
        <w:tc>
          <w:tcPr>
            <w:tcW w:w="3685" w:type="dxa"/>
            <w:shd w:val="clear" w:color="auto" w:fill="auto"/>
          </w:tcPr>
          <w:p w:rsidR="0041529C" w:rsidRPr="0041529C" w:rsidRDefault="0041529C" w:rsidP="0041529C">
            <w:pPr>
              <w:widowControl w:val="0"/>
              <w:tabs>
                <w:tab w:val="left" w:pos="1276"/>
              </w:tabs>
              <w:adjustRightInd w:val="0"/>
              <w:spacing w:after="120" w:line="240" w:lineRule="auto"/>
              <w:jc w:val="both"/>
              <w:textAlignment w:val="baseline"/>
              <w:rPr>
                <w:rFonts w:ascii="Times New Roman" w:eastAsia="Times New Roman" w:hAnsi="Times New Roman"/>
                <w:sz w:val="20"/>
                <w:szCs w:val="20"/>
                <w:lang w:eastAsia="lt-LT"/>
              </w:rPr>
            </w:pPr>
            <w:r w:rsidRPr="0041529C">
              <w:rPr>
                <w:rFonts w:ascii="Times New Roman" w:eastAsia="Times New Roman" w:hAnsi="Times New Roman"/>
                <w:sz w:val="20"/>
                <w:szCs w:val="20"/>
                <w:lang w:eastAsia="lt-LT"/>
              </w:rPr>
              <w:lastRenderedPageBreak/>
              <w:t>1. Investicijų, susijusių su prisitaikymu prie klimato kaitos, įskaitant pagrįstas eko</w:t>
            </w:r>
            <w:r w:rsidR="00AA0722">
              <w:rPr>
                <w:rFonts w:ascii="Times New Roman" w:eastAsia="Times New Roman" w:hAnsi="Times New Roman"/>
                <w:sz w:val="20"/>
                <w:szCs w:val="20"/>
                <w:lang w:eastAsia="lt-LT"/>
              </w:rPr>
              <w:t>sisteminiu požiūriu, skatinimas</w:t>
            </w:r>
          </w:p>
        </w:tc>
        <w:tc>
          <w:tcPr>
            <w:tcW w:w="10064" w:type="dxa"/>
            <w:shd w:val="clear" w:color="auto" w:fill="auto"/>
          </w:tcPr>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r w:rsidRPr="0041529C">
              <w:rPr>
                <w:rFonts w:ascii="Times New Roman" w:eastAsia="AngsanaUPC" w:hAnsi="Times New Roman"/>
                <w:bCs/>
                <w:sz w:val="20"/>
                <w:szCs w:val="20"/>
                <w:lang w:eastAsia="lt-LT"/>
              </w:rPr>
              <w:t xml:space="preserve">Atsižvelgiant į ES2020 tikslus siekti atsparumo klimato kaitos keliamiems pavojams ir stiprinti stichinių nelaimių prevencijos pajėgumus, NRD yra numatytos priemonės skirtos klimato kaitos švelninimui ir prisitaikymui prie jos. </w:t>
            </w:r>
          </w:p>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r w:rsidRPr="0041529C">
              <w:rPr>
                <w:rFonts w:ascii="Times New Roman" w:eastAsia="AngsanaUPC" w:hAnsi="Times New Roman"/>
                <w:bCs/>
                <w:sz w:val="20"/>
                <w:szCs w:val="20"/>
                <w:lang w:eastAsia="lt-LT"/>
              </w:rPr>
              <w:t>Šios veiklos taip pat yra svarbios įgyvendinant ES BJRS tikslo „Padidinti gerovę“ potikslį „Prisitaikymas prie klimato kaitos, rizikos prevencija ir valdymas“ bei ES BJRS prioritetinę sritį „Civilinė sauga“</w:t>
            </w:r>
          </w:p>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r w:rsidRPr="0041529C">
              <w:rPr>
                <w:rFonts w:ascii="Times New Roman" w:eastAsia="AngsanaUPC" w:hAnsi="Times New Roman"/>
                <w:bCs/>
                <w:sz w:val="20"/>
                <w:szCs w:val="20"/>
                <w:lang w:eastAsia="lt-LT"/>
              </w:rPr>
              <w:t xml:space="preserve">EK pozicijoje akcentuojama, kad įgyvendinant prisitaikymo prie klimato kaitos, rizikos prevencijos ir valdymo skatinimo </w:t>
            </w:r>
            <w:r w:rsidRPr="0041529C">
              <w:rPr>
                <w:rFonts w:ascii="Times New Roman" w:eastAsia="AngsanaUPC" w:hAnsi="Times New Roman"/>
                <w:bCs/>
                <w:sz w:val="20"/>
                <w:szCs w:val="20"/>
                <w:lang w:eastAsia="lt-LT"/>
              </w:rPr>
              <w:lastRenderedPageBreak/>
              <w:t>veiksmus, investicijos pirmiausia turi būti nukreiptos į stebėsenos, ankstyvojo perspėjimo ir įspėjimo apie pavojų sistemų plėtrą (pirmenybę teikiant nepaprastosios padėties valdymo gebėjimų stiprinimui ir investuojant į atitinkamus reagavimo išteklius), taip pat žinių ir duomenų rinkimo pajėgumų gerinimą, pabrėžiama būtinybė užtikrinti pajūrio zonų apsaugą ir potvynių rizikos prevenciją.</w:t>
            </w:r>
          </w:p>
        </w:tc>
      </w:tr>
      <w:tr w:rsidR="0041529C" w:rsidRPr="0041529C" w:rsidTr="00EC77A8">
        <w:tc>
          <w:tcPr>
            <w:tcW w:w="1668" w:type="dxa"/>
            <w:vMerge w:val="restart"/>
            <w:shd w:val="clear" w:color="auto" w:fill="auto"/>
          </w:tcPr>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r w:rsidRPr="0041529C">
              <w:rPr>
                <w:rFonts w:ascii="Times New Roman" w:eastAsia="AngsanaUPC" w:hAnsi="Times New Roman"/>
                <w:bCs/>
                <w:sz w:val="20"/>
                <w:szCs w:val="20"/>
                <w:lang w:eastAsia="lt-LT"/>
              </w:rPr>
              <w:lastRenderedPageBreak/>
              <w:t>6. Aplinkos išsaugojimas bei apsauga ir išteklių</w:t>
            </w:r>
            <w:proofErr w:type="gramStart"/>
            <w:r w:rsidRPr="0041529C">
              <w:rPr>
                <w:rFonts w:ascii="Times New Roman" w:eastAsia="AngsanaUPC" w:hAnsi="Times New Roman"/>
                <w:bCs/>
                <w:sz w:val="20"/>
                <w:szCs w:val="20"/>
                <w:lang w:eastAsia="lt-LT"/>
              </w:rPr>
              <w:t xml:space="preserve">  </w:t>
            </w:r>
            <w:proofErr w:type="gramEnd"/>
            <w:r w:rsidRPr="0041529C">
              <w:rPr>
                <w:rFonts w:ascii="Times New Roman" w:eastAsia="AngsanaUPC" w:hAnsi="Times New Roman"/>
                <w:bCs/>
                <w:sz w:val="20"/>
                <w:szCs w:val="20"/>
                <w:lang w:eastAsia="lt-LT"/>
              </w:rPr>
              <w:t>veiksmingumo skatinimas</w:t>
            </w:r>
          </w:p>
        </w:tc>
        <w:tc>
          <w:tcPr>
            <w:tcW w:w="3685" w:type="dxa"/>
            <w:shd w:val="clear" w:color="auto" w:fill="auto"/>
          </w:tcPr>
          <w:p w:rsidR="0041529C" w:rsidRPr="0041529C" w:rsidRDefault="0041529C" w:rsidP="003E38A2">
            <w:pPr>
              <w:widowControl w:val="0"/>
              <w:tabs>
                <w:tab w:val="left" w:pos="1276"/>
              </w:tabs>
              <w:adjustRightInd w:val="0"/>
              <w:spacing w:after="120" w:line="240" w:lineRule="auto"/>
              <w:jc w:val="both"/>
              <w:textAlignment w:val="baseline"/>
              <w:rPr>
                <w:rFonts w:ascii="Times New Roman" w:eastAsia="Times New Roman" w:hAnsi="Times New Roman"/>
                <w:sz w:val="20"/>
                <w:szCs w:val="20"/>
                <w:lang w:eastAsia="lt-LT"/>
              </w:rPr>
            </w:pPr>
            <w:r w:rsidRPr="0041529C">
              <w:rPr>
                <w:rFonts w:ascii="Times New Roman" w:eastAsia="Times New Roman" w:hAnsi="Times New Roman"/>
                <w:sz w:val="20"/>
                <w:szCs w:val="20"/>
                <w:lang w:eastAsia="lt-LT"/>
              </w:rPr>
              <w:t xml:space="preserve">1. Investicijos į atliekų sektorių, siekiant įvykdyti </w:t>
            </w:r>
            <w:r w:rsidR="003E38A2">
              <w:rPr>
                <w:rFonts w:ascii="Times New Roman" w:eastAsia="Times New Roman" w:hAnsi="Times New Roman"/>
                <w:sz w:val="20"/>
                <w:szCs w:val="20"/>
                <w:lang w:eastAsia="lt-LT"/>
              </w:rPr>
              <w:t>ES</w:t>
            </w:r>
            <w:r w:rsidRPr="0041529C">
              <w:rPr>
                <w:rFonts w:ascii="Times New Roman" w:eastAsia="Times New Roman" w:hAnsi="Times New Roman"/>
                <w:sz w:val="20"/>
                <w:szCs w:val="20"/>
                <w:lang w:eastAsia="lt-LT"/>
              </w:rPr>
              <w:t xml:space="preserve"> aplinkos </w:t>
            </w:r>
            <w:r w:rsidRPr="0041529C">
              <w:rPr>
                <w:rFonts w:ascii="Times New Roman" w:eastAsia="Times New Roman" w:hAnsi="Times New Roman"/>
                <w:i/>
                <w:sz w:val="20"/>
                <w:szCs w:val="20"/>
                <w:lang w:eastAsia="lt-LT"/>
              </w:rPr>
              <w:t>acquis</w:t>
            </w:r>
            <w:r w:rsidRPr="0041529C">
              <w:rPr>
                <w:rFonts w:ascii="Times New Roman" w:eastAsia="Times New Roman" w:hAnsi="Times New Roman"/>
                <w:sz w:val="20"/>
                <w:szCs w:val="20"/>
                <w:lang w:eastAsia="lt-LT"/>
              </w:rPr>
              <w:t xml:space="preserve"> reikalavimus ir patenkinti valstybių narių nustatytus poreikius,</w:t>
            </w:r>
            <w:r w:rsidR="00AA0722">
              <w:rPr>
                <w:rFonts w:ascii="Times New Roman" w:eastAsia="Times New Roman" w:hAnsi="Times New Roman"/>
                <w:sz w:val="20"/>
                <w:szCs w:val="20"/>
                <w:lang w:eastAsia="lt-LT"/>
              </w:rPr>
              <w:t xml:space="preserve"> viršijančius tuos reikalavimus</w:t>
            </w:r>
            <w:r w:rsidRPr="0041529C">
              <w:rPr>
                <w:rFonts w:ascii="Times New Roman" w:eastAsia="Times New Roman" w:hAnsi="Times New Roman"/>
                <w:sz w:val="20"/>
                <w:szCs w:val="20"/>
                <w:lang w:eastAsia="lt-LT"/>
              </w:rPr>
              <w:t xml:space="preserve"> </w:t>
            </w:r>
          </w:p>
        </w:tc>
        <w:tc>
          <w:tcPr>
            <w:tcW w:w="10064" w:type="dxa"/>
            <w:shd w:val="clear" w:color="auto" w:fill="auto"/>
          </w:tcPr>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r w:rsidRPr="0041529C">
              <w:rPr>
                <w:rFonts w:ascii="Times New Roman" w:eastAsia="AngsanaUPC" w:hAnsi="Times New Roman"/>
                <w:bCs/>
                <w:sz w:val="20"/>
                <w:szCs w:val="20"/>
                <w:lang w:eastAsia="lt-LT"/>
              </w:rPr>
              <w:t>Siekiant skatinti augimą ir konkurencingumą, NRD pabrėžiama būtinybė sukurti pakankamą ir veiksmingą aplinkosaugos infrastruktūrą, įgyvendinant atliekų tvarkymo projektus. Numatoma sukurti ir įdiegti atliekų valdymo ir tvarkymo modelį, orientuotą į atliekų susidarymo mažinimą, atliekų rūšiavimą, kompostavimą, perdirbimą ir jų panaudojimą energijai gauti.</w:t>
            </w:r>
          </w:p>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r w:rsidRPr="0041529C">
              <w:rPr>
                <w:rFonts w:ascii="Times New Roman" w:eastAsia="AngsanaUPC" w:hAnsi="Times New Roman"/>
                <w:bCs/>
                <w:sz w:val="20"/>
                <w:szCs w:val="20"/>
                <w:lang w:eastAsia="lt-LT"/>
              </w:rPr>
              <w:t>EK pozicijoje akcentuojama, kad siekiant įgyvendinti ES teisės aktų reikalavimus, atliekų sektoriui vis dar reikalingos didelės investicijos, atkreipiamas dėmesys į perteklinį sąvartynų naudojimą.</w:t>
            </w:r>
          </w:p>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r w:rsidRPr="0041529C">
              <w:rPr>
                <w:rFonts w:ascii="Times New Roman" w:eastAsia="AngsanaUPC" w:hAnsi="Times New Roman"/>
                <w:bCs/>
                <w:sz w:val="20"/>
                <w:szCs w:val="20"/>
                <w:lang w:eastAsia="lt-LT"/>
              </w:rPr>
              <w:t>Pasirinktas in</w:t>
            </w:r>
            <w:r w:rsidR="00346EEC">
              <w:rPr>
                <w:rFonts w:ascii="Times New Roman" w:eastAsia="AngsanaUPC" w:hAnsi="Times New Roman"/>
                <w:bCs/>
                <w:sz w:val="20"/>
                <w:szCs w:val="20"/>
                <w:lang w:eastAsia="lt-LT"/>
              </w:rPr>
              <w:t xml:space="preserve">vesticinis prioritetas atitinka </w:t>
            </w:r>
            <w:r w:rsidRPr="0041529C">
              <w:rPr>
                <w:rFonts w:ascii="Times New Roman" w:eastAsia="AngsanaUPC" w:hAnsi="Times New Roman"/>
                <w:bCs/>
                <w:sz w:val="20"/>
                <w:szCs w:val="20"/>
                <w:lang w:eastAsia="lt-LT"/>
              </w:rPr>
              <w:t>Teminės atliekų prevencijos ir perdirbimo strategijos nuostatas dėl šalinamų atliekų kiekio mažinimo, atliekų pakartotinio naudojimo ir žinių bazės tobulinimo.</w:t>
            </w:r>
          </w:p>
        </w:tc>
      </w:tr>
      <w:tr w:rsidR="0041529C" w:rsidRPr="0041529C" w:rsidTr="00EC77A8">
        <w:tc>
          <w:tcPr>
            <w:tcW w:w="1668" w:type="dxa"/>
            <w:vMerge/>
            <w:shd w:val="clear" w:color="auto" w:fill="auto"/>
          </w:tcPr>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p>
        </w:tc>
        <w:tc>
          <w:tcPr>
            <w:tcW w:w="3685" w:type="dxa"/>
            <w:shd w:val="clear" w:color="auto" w:fill="auto"/>
          </w:tcPr>
          <w:p w:rsidR="0041529C" w:rsidRPr="0041529C" w:rsidRDefault="0041529C" w:rsidP="00AA0722">
            <w:pPr>
              <w:widowControl w:val="0"/>
              <w:tabs>
                <w:tab w:val="left" w:pos="1276"/>
              </w:tabs>
              <w:adjustRightInd w:val="0"/>
              <w:spacing w:after="120" w:line="240" w:lineRule="auto"/>
              <w:jc w:val="both"/>
              <w:textAlignment w:val="baseline"/>
              <w:rPr>
                <w:rFonts w:ascii="Times New Roman" w:eastAsia="Times New Roman" w:hAnsi="Times New Roman"/>
                <w:sz w:val="20"/>
                <w:szCs w:val="20"/>
                <w:lang w:eastAsia="lt-LT"/>
              </w:rPr>
            </w:pPr>
            <w:r w:rsidRPr="0041529C">
              <w:rPr>
                <w:rFonts w:ascii="Times New Roman" w:eastAsia="Times New Roman" w:hAnsi="Times New Roman"/>
                <w:sz w:val="20"/>
                <w:szCs w:val="20"/>
                <w:lang w:eastAsia="lt-LT"/>
              </w:rPr>
              <w:t xml:space="preserve">2. Investicijos į vandens sektorių, siekiant įvykdyti </w:t>
            </w:r>
            <w:r w:rsidR="003E38A2">
              <w:rPr>
                <w:rFonts w:ascii="Times New Roman" w:eastAsia="Times New Roman" w:hAnsi="Times New Roman"/>
                <w:sz w:val="20"/>
                <w:szCs w:val="20"/>
                <w:lang w:eastAsia="lt-LT"/>
              </w:rPr>
              <w:t>ES</w:t>
            </w:r>
            <w:r w:rsidRPr="0041529C">
              <w:rPr>
                <w:rFonts w:ascii="Times New Roman" w:eastAsia="Times New Roman" w:hAnsi="Times New Roman"/>
                <w:sz w:val="20"/>
                <w:szCs w:val="20"/>
                <w:lang w:eastAsia="lt-LT"/>
              </w:rPr>
              <w:t xml:space="preserve"> aplinkos </w:t>
            </w:r>
            <w:r w:rsidRPr="0041529C">
              <w:rPr>
                <w:rFonts w:ascii="Times New Roman" w:eastAsia="Times New Roman" w:hAnsi="Times New Roman"/>
                <w:i/>
                <w:sz w:val="20"/>
                <w:szCs w:val="20"/>
                <w:lang w:eastAsia="lt-LT"/>
              </w:rPr>
              <w:t>acquis</w:t>
            </w:r>
            <w:r w:rsidRPr="0041529C">
              <w:rPr>
                <w:rFonts w:ascii="Times New Roman" w:eastAsia="Times New Roman" w:hAnsi="Times New Roman"/>
                <w:sz w:val="20"/>
                <w:szCs w:val="20"/>
                <w:lang w:eastAsia="lt-LT"/>
              </w:rPr>
              <w:t xml:space="preserve"> reikalavimus ir patenkinti valstybių narių nustatytus poreikius, viršijančius tuos reikalavimus </w:t>
            </w:r>
          </w:p>
        </w:tc>
        <w:tc>
          <w:tcPr>
            <w:tcW w:w="10064" w:type="dxa"/>
            <w:shd w:val="clear" w:color="auto" w:fill="auto"/>
          </w:tcPr>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r w:rsidRPr="0041529C">
              <w:rPr>
                <w:rFonts w:ascii="Times New Roman" w:eastAsia="AngsanaUPC" w:hAnsi="Times New Roman"/>
                <w:bCs/>
                <w:sz w:val="20"/>
                <w:szCs w:val="20"/>
                <w:lang w:eastAsia="lt-LT"/>
              </w:rPr>
              <w:t>NRD numatyta, kad siekiant užtikrinti struktūrines sąlygas ekonomikai augti</w:t>
            </w:r>
            <w:r w:rsidR="00C07F10">
              <w:rPr>
                <w:rFonts w:ascii="Times New Roman" w:eastAsia="AngsanaUPC" w:hAnsi="Times New Roman"/>
                <w:bCs/>
                <w:sz w:val="20"/>
                <w:szCs w:val="20"/>
                <w:lang w:eastAsia="lt-LT"/>
              </w:rPr>
              <w:t>,</w:t>
            </w:r>
            <w:r w:rsidRPr="0041529C">
              <w:rPr>
                <w:rFonts w:ascii="Times New Roman" w:eastAsia="AngsanaUPC" w:hAnsi="Times New Roman"/>
                <w:bCs/>
                <w:sz w:val="20"/>
                <w:szCs w:val="20"/>
                <w:lang w:eastAsia="lt-LT"/>
              </w:rPr>
              <w:t xml:space="preserve"> būtina vandens tiekimo ir nuotekų tvarkymo infrastruktūros plėtra.</w:t>
            </w:r>
          </w:p>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r w:rsidRPr="0041529C">
              <w:rPr>
                <w:rFonts w:ascii="Times New Roman" w:eastAsia="AngsanaUPC" w:hAnsi="Times New Roman"/>
                <w:bCs/>
                <w:sz w:val="20"/>
                <w:szCs w:val="20"/>
                <w:lang w:eastAsia="lt-LT"/>
              </w:rPr>
              <w:t>EK pozicijoje atkreipiamas dėmesys, kad Lietuvoje vis dar reikalingos esminės investicijos į vandentvarkos sektorių (įskaitant dumblo tvarkymą), ypatingas dėmesys turi būti skirtas kaimo vietovėms, kur gyventojai neturi kokybiškų geriamojo vandens tiekimo ir nuotekų tvarkymo paslaugų, dėl ko paviršiniai ir požeminiai vandens telkiniai yra teršiami ir daugumos jų ekologinė būklė vis dar nėra gera.</w:t>
            </w:r>
          </w:p>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r w:rsidRPr="0041529C">
              <w:rPr>
                <w:rFonts w:ascii="Times New Roman" w:eastAsia="AngsanaUPC" w:hAnsi="Times New Roman"/>
                <w:bCs/>
                <w:sz w:val="20"/>
                <w:szCs w:val="20"/>
                <w:lang w:eastAsia="lt-LT"/>
              </w:rPr>
              <w:t>Įgyvendinant šias veiklas</w:t>
            </w:r>
            <w:r w:rsidR="00C07F10">
              <w:rPr>
                <w:rFonts w:ascii="Times New Roman" w:eastAsia="AngsanaUPC" w:hAnsi="Times New Roman"/>
                <w:bCs/>
                <w:sz w:val="20"/>
                <w:szCs w:val="20"/>
                <w:lang w:eastAsia="lt-LT"/>
              </w:rPr>
              <w:t>,</w:t>
            </w:r>
            <w:r w:rsidRPr="0041529C">
              <w:rPr>
                <w:rFonts w:ascii="Times New Roman" w:eastAsia="AngsanaUPC" w:hAnsi="Times New Roman"/>
                <w:bCs/>
                <w:sz w:val="20"/>
                <w:szCs w:val="20"/>
                <w:lang w:eastAsia="lt-LT"/>
              </w:rPr>
              <w:t xml:space="preserve"> bus prisidedama prie ES BJRS prioritetinės s</w:t>
            </w:r>
            <w:r w:rsidR="009D6421">
              <w:rPr>
                <w:rFonts w:ascii="Times New Roman" w:eastAsia="AngsanaUPC" w:hAnsi="Times New Roman"/>
                <w:bCs/>
                <w:sz w:val="20"/>
                <w:szCs w:val="20"/>
                <w:lang w:eastAsia="lt-LT"/>
              </w:rPr>
              <w:t xml:space="preserve">rities „Pavojingos medžiagos“. </w:t>
            </w:r>
          </w:p>
        </w:tc>
      </w:tr>
      <w:tr w:rsidR="0041529C" w:rsidRPr="0041529C" w:rsidTr="00EC77A8">
        <w:tc>
          <w:tcPr>
            <w:tcW w:w="1668" w:type="dxa"/>
            <w:vMerge/>
            <w:shd w:val="clear" w:color="auto" w:fill="auto"/>
          </w:tcPr>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p>
        </w:tc>
        <w:tc>
          <w:tcPr>
            <w:tcW w:w="3685" w:type="dxa"/>
            <w:shd w:val="clear" w:color="auto" w:fill="auto"/>
          </w:tcPr>
          <w:p w:rsidR="0041529C" w:rsidRPr="0041529C" w:rsidRDefault="0041529C" w:rsidP="00584C36">
            <w:pPr>
              <w:widowControl w:val="0"/>
              <w:tabs>
                <w:tab w:val="left" w:pos="1276"/>
              </w:tabs>
              <w:adjustRightInd w:val="0"/>
              <w:spacing w:after="120" w:line="240" w:lineRule="auto"/>
              <w:jc w:val="both"/>
              <w:textAlignment w:val="baseline"/>
              <w:rPr>
                <w:rFonts w:ascii="Times New Roman" w:eastAsia="Times New Roman" w:hAnsi="Times New Roman"/>
                <w:sz w:val="20"/>
                <w:szCs w:val="20"/>
                <w:lang w:eastAsia="lt-LT"/>
              </w:rPr>
            </w:pPr>
            <w:r w:rsidRPr="0041529C">
              <w:rPr>
                <w:rFonts w:ascii="Times New Roman" w:eastAsia="Times New Roman" w:hAnsi="Times New Roman"/>
                <w:sz w:val="20"/>
                <w:szCs w:val="20"/>
                <w:lang w:eastAsia="lt-LT"/>
              </w:rPr>
              <w:t>3. Kultūr</w:t>
            </w:r>
            <w:r w:rsidR="00584C36">
              <w:rPr>
                <w:rFonts w:ascii="Times New Roman" w:eastAsia="Times New Roman" w:hAnsi="Times New Roman"/>
                <w:sz w:val="20"/>
                <w:szCs w:val="20"/>
                <w:lang w:eastAsia="lt-LT"/>
              </w:rPr>
              <w:t>os</w:t>
            </w:r>
            <w:r w:rsidRPr="0041529C">
              <w:rPr>
                <w:rFonts w:ascii="Times New Roman" w:eastAsia="Times New Roman" w:hAnsi="Times New Roman"/>
                <w:sz w:val="20"/>
                <w:szCs w:val="20"/>
                <w:lang w:eastAsia="lt-LT"/>
              </w:rPr>
              <w:t xml:space="preserve"> ir gamt</w:t>
            </w:r>
            <w:r w:rsidR="00584C36">
              <w:rPr>
                <w:rFonts w:ascii="Times New Roman" w:eastAsia="Times New Roman" w:hAnsi="Times New Roman"/>
                <w:sz w:val="20"/>
                <w:szCs w:val="20"/>
                <w:lang w:eastAsia="lt-LT"/>
              </w:rPr>
              <w:t>os</w:t>
            </w:r>
            <w:r w:rsidRPr="0041529C">
              <w:rPr>
                <w:rFonts w:ascii="Times New Roman" w:eastAsia="Times New Roman" w:hAnsi="Times New Roman"/>
                <w:sz w:val="20"/>
                <w:szCs w:val="20"/>
                <w:lang w:eastAsia="lt-LT"/>
              </w:rPr>
              <w:t xml:space="preserve"> paveldo aps</w:t>
            </w:r>
            <w:r w:rsidR="00AA0722">
              <w:rPr>
                <w:rFonts w:ascii="Times New Roman" w:eastAsia="Times New Roman" w:hAnsi="Times New Roman"/>
                <w:sz w:val="20"/>
                <w:szCs w:val="20"/>
                <w:lang w:eastAsia="lt-LT"/>
              </w:rPr>
              <w:t>auga, propagavimas ir vystymas</w:t>
            </w:r>
          </w:p>
        </w:tc>
        <w:tc>
          <w:tcPr>
            <w:tcW w:w="10064" w:type="dxa"/>
            <w:shd w:val="clear" w:color="auto" w:fill="auto"/>
          </w:tcPr>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r w:rsidRPr="0041529C">
              <w:rPr>
                <w:rFonts w:ascii="Times New Roman" w:eastAsia="AngsanaUPC" w:hAnsi="Times New Roman"/>
                <w:bCs/>
                <w:sz w:val="20"/>
                <w:szCs w:val="20"/>
                <w:lang w:eastAsia="lt-LT"/>
              </w:rPr>
              <w:t>Nacionalinės darnaus vystymosi strategijoje</w:t>
            </w:r>
            <w:r w:rsidR="00EC77A8">
              <w:rPr>
                <w:rFonts w:ascii="Times New Roman" w:eastAsia="AngsanaUPC" w:hAnsi="Times New Roman"/>
                <w:bCs/>
                <w:sz w:val="20"/>
                <w:szCs w:val="20"/>
                <w:lang w:eastAsia="lt-LT"/>
              </w:rPr>
              <w:t xml:space="preserve"> </w:t>
            </w:r>
            <w:r w:rsidRPr="0041529C">
              <w:rPr>
                <w:rFonts w:ascii="Times New Roman" w:eastAsia="AngsanaUPC" w:hAnsi="Times New Roman"/>
                <w:bCs/>
                <w:sz w:val="20"/>
                <w:szCs w:val="20"/>
                <w:lang w:eastAsia="lt-LT"/>
              </w:rPr>
              <w:t>numatyta plėtoti saugomų teritorijų tinklą, didinti saugomų teritorijų atvirumą visuomenei, skleisti informaciją apie jų svarbą ir tikslus, sudaryti visuomenei platesnes galimybes susipažinti su saugomomis gamtos ir kultūros vertybėmis.</w:t>
            </w:r>
          </w:p>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r w:rsidRPr="0041529C">
              <w:rPr>
                <w:rFonts w:ascii="Times New Roman" w:eastAsia="AngsanaUPC" w:hAnsi="Times New Roman"/>
                <w:bCs/>
                <w:sz w:val="20"/>
                <w:szCs w:val="20"/>
                <w:lang w:eastAsia="lt-LT"/>
              </w:rPr>
              <w:t>NPP numatyta išsaugoti ir atnaujinti Lietuvos kultūros ir gamtos paveldą.</w:t>
            </w:r>
          </w:p>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r w:rsidRPr="0041529C">
              <w:rPr>
                <w:rFonts w:ascii="Times New Roman" w:eastAsia="AngsanaUPC" w:hAnsi="Times New Roman"/>
                <w:bCs/>
                <w:sz w:val="20"/>
                <w:szCs w:val="20"/>
                <w:lang w:eastAsia="lt-LT"/>
              </w:rPr>
              <w:t>Minėtos veiklos yra aktualios</w:t>
            </w:r>
            <w:r w:rsidR="00C07F10">
              <w:rPr>
                <w:rFonts w:ascii="Times New Roman" w:eastAsia="AngsanaUPC" w:hAnsi="Times New Roman"/>
                <w:bCs/>
                <w:sz w:val="20"/>
                <w:szCs w:val="20"/>
                <w:lang w:eastAsia="lt-LT"/>
              </w:rPr>
              <w:t>,</w:t>
            </w:r>
            <w:r w:rsidRPr="0041529C">
              <w:rPr>
                <w:rFonts w:ascii="Times New Roman" w:eastAsia="AngsanaUPC" w:hAnsi="Times New Roman"/>
                <w:bCs/>
                <w:sz w:val="20"/>
                <w:szCs w:val="20"/>
                <w:lang w:eastAsia="lt-LT"/>
              </w:rPr>
              <w:t xml:space="preserve"> įgyvendinant ES BJRS prioritetinę sritį „Bio“ ir Orhuso konvencijos dėl teisės gauti informaciją, visuomenės dalyvavimo priimant sprendimus ir teisės kreiptis į teismus aplinkos klausimais nuostatas dėl visuomenės švietimo ir sąmoningumo aplinkos srityje skatinimo. </w:t>
            </w:r>
          </w:p>
        </w:tc>
      </w:tr>
      <w:tr w:rsidR="0041529C" w:rsidRPr="0041529C" w:rsidTr="00EC77A8">
        <w:tc>
          <w:tcPr>
            <w:tcW w:w="1668" w:type="dxa"/>
            <w:vMerge/>
            <w:shd w:val="clear" w:color="auto" w:fill="auto"/>
          </w:tcPr>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p>
        </w:tc>
        <w:tc>
          <w:tcPr>
            <w:tcW w:w="3685" w:type="dxa"/>
            <w:shd w:val="clear" w:color="auto" w:fill="auto"/>
          </w:tcPr>
          <w:p w:rsidR="0041529C" w:rsidRPr="0041529C" w:rsidRDefault="0041529C" w:rsidP="00BB161E">
            <w:pPr>
              <w:widowControl w:val="0"/>
              <w:tabs>
                <w:tab w:val="left" w:pos="1276"/>
              </w:tabs>
              <w:adjustRightInd w:val="0"/>
              <w:spacing w:after="120" w:line="240" w:lineRule="auto"/>
              <w:jc w:val="both"/>
              <w:textAlignment w:val="baseline"/>
              <w:rPr>
                <w:rFonts w:ascii="Times New Roman" w:eastAsia="Times New Roman" w:hAnsi="Times New Roman"/>
                <w:sz w:val="20"/>
                <w:szCs w:val="20"/>
                <w:lang w:eastAsia="lt-LT"/>
              </w:rPr>
            </w:pPr>
            <w:r w:rsidRPr="0041529C">
              <w:rPr>
                <w:rFonts w:ascii="Times New Roman" w:eastAsia="Times New Roman" w:hAnsi="Times New Roman"/>
                <w:sz w:val="20"/>
                <w:szCs w:val="20"/>
                <w:lang w:eastAsia="lt-LT"/>
              </w:rPr>
              <w:t xml:space="preserve">4. Biologinės įvairovės, dirvožemio apsauga ir atkūrimas, </w:t>
            </w:r>
            <w:r w:rsidR="00BB161E">
              <w:rPr>
                <w:rFonts w:ascii="Times New Roman" w:eastAsia="Times New Roman" w:hAnsi="Times New Roman"/>
                <w:sz w:val="20"/>
                <w:szCs w:val="20"/>
                <w:lang w:eastAsia="lt-LT"/>
              </w:rPr>
              <w:t xml:space="preserve">ekosistemų paslaugų, įskaitant </w:t>
            </w:r>
            <w:r w:rsidRPr="0041529C">
              <w:rPr>
                <w:rFonts w:ascii="Times New Roman" w:eastAsia="Times New Roman" w:hAnsi="Times New Roman"/>
                <w:i/>
                <w:sz w:val="20"/>
                <w:szCs w:val="20"/>
                <w:lang w:eastAsia="lt-LT"/>
              </w:rPr>
              <w:t>Natura 2000</w:t>
            </w:r>
            <w:r w:rsidRPr="0041529C">
              <w:rPr>
                <w:rFonts w:ascii="Times New Roman" w:eastAsia="Times New Roman" w:hAnsi="Times New Roman"/>
                <w:sz w:val="20"/>
                <w:szCs w:val="20"/>
                <w:lang w:eastAsia="lt-LT"/>
              </w:rPr>
              <w:t>, ir žalios</w:t>
            </w:r>
            <w:r w:rsidR="00AA0722">
              <w:rPr>
                <w:rFonts w:ascii="Times New Roman" w:eastAsia="Times New Roman" w:hAnsi="Times New Roman"/>
                <w:sz w:val="20"/>
                <w:szCs w:val="20"/>
                <w:lang w:eastAsia="lt-LT"/>
              </w:rPr>
              <w:t>ios infrastruktūros skatinimas</w:t>
            </w:r>
          </w:p>
        </w:tc>
        <w:tc>
          <w:tcPr>
            <w:tcW w:w="10064" w:type="dxa"/>
            <w:shd w:val="clear" w:color="auto" w:fill="auto"/>
          </w:tcPr>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r w:rsidRPr="0041529C">
              <w:rPr>
                <w:rFonts w:ascii="Times New Roman" w:eastAsia="AngsanaUPC" w:hAnsi="Times New Roman"/>
                <w:bCs/>
                <w:sz w:val="20"/>
                <w:szCs w:val="20"/>
                <w:lang w:eastAsia="lt-LT"/>
              </w:rPr>
              <w:t>ES biologinės įvairovės strategijos iki 2020 m. 1 tikslas „Visapusiškai įgyvendinti paukščių ir buveinių direktyvas“, 2 tikslas „Išlaikyti ir gerinti esamą ekosistemų ir jų funkcijų būklę“, 5 tikslas „Kovoti su invazinėmis svetimomis rūšimis“.</w:t>
            </w:r>
          </w:p>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r w:rsidRPr="0041529C">
              <w:rPr>
                <w:rFonts w:ascii="Times New Roman" w:eastAsia="AngsanaUPC" w:hAnsi="Times New Roman"/>
                <w:bCs/>
                <w:sz w:val="20"/>
                <w:szCs w:val="20"/>
                <w:lang w:eastAsia="lt-LT"/>
              </w:rPr>
              <w:t>NPP numatyta skatinti darnų išteklių naudojimą, užtikrinti ekosistemų stabilumą, gamtos išteklių kokybę ir biologinės įvairovės išsaugojimą.</w:t>
            </w:r>
            <w:r w:rsidR="00EC77A8">
              <w:rPr>
                <w:rFonts w:ascii="Times New Roman" w:eastAsia="AngsanaUPC" w:hAnsi="Times New Roman"/>
                <w:bCs/>
                <w:sz w:val="20"/>
                <w:szCs w:val="20"/>
                <w:lang w:eastAsia="lt-LT"/>
              </w:rPr>
              <w:t xml:space="preserve"> </w:t>
            </w:r>
            <w:r w:rsidRPr="0041529C">
              <w:rPr>
                <w:rFonts w:ascii="Times New Roman" w:eastAsia="AngsanaUPC" w:hAnsi="Times New Roman"/>
                <w:bCs/>
                <w:sz w:val="20"/>
                <w:szCs w:val="20"/>
                <w:lang w:eastAsia="lt-LT"/>
              </w:rPr>
              <w:t>Šios veiklos taip pat yra aktualios įgyvendinant ES BJRS prioritetinę sritį „Bio“.</w:t>
            </w:r>
            <w:r w:rsidRPr="0041529C" w:rsidDel="00762F8C">
              <w:rPr>
                <w:rFonts w:ascii="Times New Roman" w:eastAsia="AngsanaUPC" w:hAnsi="Times New Roman"/>
                <w:bCs/>
                <w:sz w:val="20"/>
                <w:szCs w:val="20"/>
                <w:lang w:eastAsia="lt-LT"/>
              </w:rPr>
              <w:t xml:space="preserve"> </w:t>
            </w:r>
            <w:r w:rsidRPr="0041529C">
              <w:rPr>
                <w:rFonts w:ascii="Times New Roman" w:eastAsia="AngsanaUPC" w:hAnsi="Times New Roman"/>
                <w:bCs/>
                <w:sz w:val="20"/>
                <w:szCs w:val="20"/>
                <w:lang w:eastAsia="lt-LT"/>
              </w:rPr>
              <w:t>EK pozicijoje taip pat atkreipiamas dėmesys į biologinės įvairovės išsaugojimo, atkūrimo ir ekosistemų paslaugų skatinimo poreikį.</w:t>
            </w:r>
          </w:p>
        </w:tc>
      </w:tr>
      <w:tr w:rsidR="0041529C" w:rsidRPr="0041529C" w:rsidTr="00EC77A8">
        <w:tc>
          <w:tcPr>
            <w:tcW w:w="1668" w:type="dxa"/>
            <w:vMerge/>
            <w:shd w:val="clear" w:color="auto" w:fill="auto"/>
          </w:tcPr>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p>
        </w:tc>
        <w:tc>
          <w:tcPr>
            <w:tcW w:w="3685" w:type="dxa"/>
            <w:shd w:val="clear" w:color="auto" w:fill="auto"/>
          </w:tcPr>
          <w:p w:rsidR="0041529C" w:rsidRPr="0041529C" w:rsidRDefault="0041529C" w:rsidP="0041529C">
            <w:pPr>
              <w:widowControl w:val="0"/>
              <w:tabs>
                <w:tab w:val="left" w:pos="1276"/>
              </w:tabs>
              <w:adjustRightInd w:val="0"/>
              <w:spacing w:after="120" w:line="240" w:lineRule="auto"/>
              <w:jc w:val="both"/>
              <w:textAlignment w:val="baseline"/>
              <w:rPr>
                <w:rFonts w:ascii="Times New Roman" w:eastAsia="Times New Roman" w:hAnsi="Times New Roman"/>
                <w:sz w:val="20"/>
                <w:szCs w:val="20"/>
                <w:lang w:eastAsia="lt-LT"/>
              </w:rPr>
            </w:pPr>
            <w:r w:rsidRPr="0041529C">
              <w:rPr>
                <w:rFonts w:ascii="Times New Roman" w:eastAsia="Times New Roman" w:hAnsi="Times New Roman"/>
                <w:sz w:val="20"/>
                <w:szCs w:val="20"/>
                <w:lang w:eastAsia="lt-LT"/>
              </w:rPr>
              <w:t xml:space="preserve">5. </w:t>
            </w:r>
            <w:r w:rsidR="004000AB" w:rsidRPr="004000AB">
              <w:rPr>
                <w:rFonts w:ascii="Times New Roman" w:eastAsia="Times New Roman" w:hAnsi="Times New Roman"/>
                <w:sz w:val="20"/>
                <w:szCs w:val="20"/>
                <w:lang w:eastAsia="lt-LT"/>
              </w:rPr>
              <w:t>Miestų aplinkos gerinimo, miestų atkūrimo, apleistų pramoninių teritorijų (įskaitant pertvarkomas teritorijas) išvalymo ir atkūrimo, oro taršos bei triukšmo mažinimo priemonių skatinimas</w:t>
            </w:r>
          </w:p>
        </w:tc>
        <w:tc>
          <w:tcPr>
            <w:tcW w:w="10064" w:type="dxa"/>
            <w:shd w:val="clear" w:color="auto" w:fill="auto"/>
          </w:tcPr>
          <w:p w:rsidR="0041529C" w:rsidRPr="0041529C" w:rsidRDefault="0041529C" w:rsidP="0041529C">
            <w:pPr>
              <w:tabs>
                <w:tab w:val="left" w:pos="622"/>
              </w:tabs>
              <w:autoSpaceDE w:val="0"/>
              <w:autoSpaceDN w:val="0"/>
              <w:adjustRightInd w:val="0"/>
              <w:spacing w:after="0" w:line="240" w:lineRule="auto"/>
              <w:jc w:val="both"/>
              <w:rPr>
                <w:rFonts w:ascii="Times New Roman" w:hAnsi="Times New Roman"/>
                <w:color w:val="000000"/>
                <w:sz w:val="20"/>
                <w:szCs w:val="20"/>
                <w:lang w:eastAsia="lt-LT"/>
              </w:rPr>
            </w:pPr>
            <w:r w:rsidRPr="0041529C">
              <w:rPr>
                <w:rFonts w:ascii="Times New Roman" w:hAnsi="Times New Roman"/>
                <w:color w:val="000000"/>
                <w:sz w:val="20"/>
                <w:szCs w:val="20"/>
                <w:lang w:eastAsia="lt-LT"/>
              </w:rPr>
              <w:t>NPP numatoma tobulinti žemės gelmių išteklių ir dirvožemio valdymą, gerinti geologinės aplinkos kokybę</w:t>
            </w:r>
            <w:r w:rsidR="0094440B">
              <w:rPr>
                <w:rFonts w:ascii="Times New Roman" w:hAnsi="Times New Roman"/>
                <w:color w:val="000000"/>
                <w:sz w:val="20"/>
                <w:szCs w:val="20"/>
                <w:lang w:eastAsia="lt-LT"/>
              </w:rPr>
              <w:t>,</w:t>
            </w:r>
            <w:r w:rsidRPr="0041529C">
              <w:rPr>
                <w:rFonts w:ascii="Times New Roman" w:hAnsi="Times New Roman"/>
                <w:color w:val="000000"/>
                <w:sz w:val="20"/>
                <w:szCs w:val="20"/>
                <w:lang w:eastAsia="lt-LT"/>
              </w:rPr>
              <w:t xml:space="preserve"> tvarkyti pažeistas ir užterštas teritorijas, ypač miestuose.</w:t>
            </w:r>
          </w:p>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r w:rsidRPr="0041529C">
              <w:rPr>
                <w:rFonts w:ascii="Times New Roman" w:hAnsi="Times New Roman"/>
                <w:color w:val="000000"/>
                <w:sz w:val="20"/>
                <w:szCs w:val="20"/>
                <w:lang w:eastAsia="lt-LT"/>
              </w:rPr>
              <w:t>EK pozicijoje atkreipiamas dėmesys, kad reikia gerinto oro, vandens ir dirvožemio kokybę. Lietuva koncentruojasi į apleistų teritorijų tvarkymą urbanizuotose teritorijose.</w:t>
            </w:r>
          </w:p>
        </w:tc>
      </w:tr>
      <w:tr w:rsidR="0041529C" w:rsidRPr="0041529C" w:rsidTr="00EC77A8">
        <w:tc>
          <w:tcPr>
            <w:tcW w:w="1668" w:type="dxa"/>
            <w:vMerge w:val="restart"/>
            <w:shd w:val="clear" w:color="auto" w:fill="auto"/>
          </w:tcPr>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r w:rsidRPr="0041529C">
              <w:rPr>
                <w:rFonts w:ascii="Times New Roman" w:eastAsia="AngsanaUPC" w:hAnsi="Times New Roman"/>
                <w:bCs/>
                <w:sz w:val="20"/>
                <w:szCs w:val="20"/>
                <w:lang w:eastAsia="lt-LT"/>
              </w:rPr>
              <w:t xml:space="preserve">7. Tvaraus transporto </w:t>
            </w:r>
            <w:r w:rsidRPr="0041529C">
              <w:rPr>
                <w:rFonts w:ascii="Times New Roman" w:eastAsia="AngsanaUPC" w:hAnsi="Times New Roman"/>
                <w:bCs/>
                <w:sz w:val="20"/>
                <w:szCs w:val="20"/>
                <w:lang w:eastAsia="lt-LT"/>
              </w:rPr>
              <w:lastRenderedPageBreak/>
              <w:t>skatinimas ir silpnųjų vietų pagrindinėse tinklo infrastruktūros dalyse šalinimas</w:t>
            </w:r>
          </w:p>
        </w:tc>
        <w:tc>
          <w:tcPr>
            <w:tcW w:w="3685" w:type="dxa"/>
            <w:shd w:val="clear" w:color="auto" w:fill="auto"/>
          </w:tcPr>
          <w:p w:rsidR="0041529C" w:rsidRPr="0041529C" w:rsidRDefault="0041529C" w:rsidP="0041529C">
            <w:pPr>
              <w:widowControl w:val="0"/>
              <w:tabs>
                <w:tab w:val="left" w:pos="1276"/>
              </w:tabs>
              <w:adjustRightInd w:val="0"/>
              <w:spacing w:after="120" w:line="240" w:lineRule="auto"/>
              <w:jc w:val="both"/>
              <w:textAlignment w:val="baseline"/>
              <w:rPr>
                <w:rFonts w:ascii="Times New Roman" w:eastAsia="Times New Roman" w:hAnsi="Times New Roman"/>
                <w:sz w:val="20"/>
                <w:szCs w:val="20"/>
                <w:lang w:eastAsia="lt-LT"/>
              </w:rPr>
            </w:pPr>
            <w:r w:rsidRPr="0041529C">
              <w:rPr>
                <w:rFonts w:ascii="Times New Roman" w:eastAsia="Times New Roman" w:hAnsi="Times New Roman"/>
                <w:sz w:val="20"/>
                <w:szCs w:val="20"/>
                <w:lang w:eastAsia="lt-LT"/>
              </w:rPr>
              <w:lastRenderedPageBreak/>
              <w:t xml:space="preserve">1. </w:t>
            </w:r>
            <w:r w:rsidR="000665F2" w:rsidRPr="000665F2">
              <w:rPr>
                <w:rFonts w:ascii="Times New Roman" w:hAnsi="Times New Roman"/>
                <w:sz w:val="20"/>
                <w:szCs w:val="20"/>
              </w:rPr>
              <w:t xml:space="preserve">Bendros Europos daugiarūšio transporto erdvės kūrimo rėmimas investuojant į </w:t>
            </w:r>
            <w:r w:rsidR="000665F2" w:rsidRPr="000665F2">
              <w:rPr>
                <w:rFonts w:ascii="Times New Roman" w:hAnsi="Times New Roman"/>
                <w:sz w:val="20"/>
                <w:szCs w:val="20"/>
              </w:rPr>
              <w:lastRenderedPageBreak/>
              <w:t>transeuropinį transporto tinklą</w:t>
            </w:r>
          </w:p>
        </w:tc>
        <w:tc>
          <w:tcPr>
            <w:tcW w:w="10064" w:type="dxa"/>
            <w:shd w:val="clear" w:color="auto" w:fill="auto"/>
          </w:tcPr>
          <w:p w:rsidR="0041529C" w:rsidRPr="0041529C" w:rsidRDefault="0041529C" w:rsidP="0041529C">
            <w:pPr>
              <w:spacing w:after="0" w:line="240" w:lineRule="auto"/>
              <w:jc w:val="both"/>
              <w:rPr>
                <w:rFonts w:ascii="Times New Roman" w:hAnsi="Times New Roman"/>
                <w:sz w:val="20"/>
                <w:szCs w:val="20"/>
              </w:rPr>
            </w:pPr>
            <w:r w:rsidRPr="0041529C">
              <w:rPr>
                <w:rFonts w:ascii="Times New Roman" w:hAnsi="Times New Roman"/>
                <w:sz w:val="20"/>
                <w:szCs w:val="20"/>
              </w:rPr>
              <w:lastRenderedPageBreak/>
              <w:t xml:space="preserve">ES2020 numato, kad reikia pertvarkyti transporto politiką, integruoti transporto tinklus ir modernizuoti infrastruktūrą. </w:t>
            </w:r>
          </w:p>
          <w:p w:rsidR="0041529C" w:rsidRPr="0041529C" w:rsidRDefault="0041529C" w:rsidP="0041529C">
            <w:pPr>
              <w:spacing w:after="0" w:line="240" w:lineRule="auto"/>
              <w:jc w:val="both"/>
              <w:rPr>
                <w:rFonts w:ascii="Times New Roman" w:hAnsi="Times New Roman"/>
                <w:sz w:val="20"/>
                <w:szCs w:val="20"/>
              </w:rPr>
            </w:pPr>
            <w:r w:rsidRPr="0041529C">
              <w:rPr>
                <w:rFonts w:ascii="Times New Roman" w:hAnsi="Times New Roman"/>
                <w:sz w:val="20"/>
                <w:szCs w:val="20"/>
              </w:rPr>
              <w:t>Palyginti su kitomis Europos valstybėmis</w:t>
            </w:r>
            <w:r w:rsidR="00B510B6">
              <w:rPr>
                <w:rFonts w:ascii="Times New Roman" w:hAnsi="Times New Roman"/>
                <w:sz w:val="20"/>
                <w:szCs w:val="20"/>
              </w:rPr>
              <w:t>,</w:t>
            </w:r>
            <w:r w:rsidRPr="0041529C">
              <w:rPr>
                <w:rFonts w:ascii="Times New Roman" w:hAnsi="Times New Roman"/>
                <w:sz w:val="20"/>
                <w:szCs w:val="20"/>
              </w:rPr>
              <w:t xml:space="preserve"> Lietuvoje avaringumo rodikliai yra vieni</w:t>
            </w:r>
            <w:r w:rsidR="00B510B6">
              <w:rPr>
                <w:rFonts w:ascii="Times New Roman" w:hAnsi="Times New Roman"/>
                <w:sz w:val="20"/>
                <w:szCs w:val="20"/>
              </w:rPr>
              <w:t xml:space="preserve"> iš</w:t>
            </w:r>
            <w:r w:rsidRPr="0041529C">
              <w:rPr>
                <w:rFonts w:ascii="Times New Roman" w:hAnsi="Times New Roman"/>
                <w:sz w:val="20"/>
                <w:szCs w:val="20"/>
              </w:rPr>
              <w:t xml:space="preserve"> blogiausių, todėl plėtojant ir </w:t>
            </w:r>
            <w:r w:rsidRPr="0041529C">
              <w:rPr>
                <w:rFonts w:ascii="Times New Roman" w:hAnsi="Times New Roman"/>
                <w:sz w:val="20"/>
                <w:szCs w:val="20"/>
              </w:rPr>
              <w:lastRenderedPageBreak/>
              <w:t>modernizuojant transporto jungtis su transeuropiniais transporto tinklais būtina skirti daugiau dėmesio saugaus eismo užtikrinimui.</w:t>
            </w:r>
          </w:p>
          <w:p w:rsidR="0041529C" w:rsidRPr="0041529C" w:rsidRDefault="0041529C" w:rsidP="0041529C">
            <w:pPr>
              <w:spacing w:after="0" w:line="240" w:lineRule="auto"/>
              <w:jc w:val="both"/>
              <w:rPr>
                <w:rFonts w:ascii="Times New Roman" w:hAnsi="Times New Roman"/>
                <w:sz w:val="20"/>
                <w:szCs w:val="20"/>
              </w:rPr>
            </w:pPr>
            <w:r w:rsidRPr="0041529C">
              <w:rPr>
                <w:rFonts w:ascii="Times New Roman" w:hAnsi="Times New Roman"/>
                <w:sz w:val="20"/>
                <w:szCs w:val="20"/>
              </w:rPr>
              <w:t>NPP numatyta plėtoti ir modernizuoti daugiarūšę transporto infrastruktūrą ir skatinant darnų judumą Europos transporto erdvėje.</w:t>
            </w:r>
          </w:p>
          <w:p w:rsidR="0041529C" w:rsidRPr="0041529C" w:rsidRDefault="0041529C" w:rsidP="00184FC0">
            <w:pPr>
              <w:spacing w:after="0" w:line="240" w:lineRule="auto"/>
              <w:jc w:val="both"/>
              <w:rPr>
                <w:rFonts w:ascii="Times New Roman" w:eastAsia="AngsanaUPC" w:hAnsi="Times New Roman"/>
                <w:bCs/>
                <w:sz w:val="20"/>
                <w:szCs w:val="20"/>
                <w:lang w:eastAsia="lt-LT"/>
              </w:rPr>
            </w:pPr>
            <w:r w:rsidRPr="0041529C">
              <w:rPr>
                <w:rFonts w:ascii="Times New Roman" w:eastAsia="AngsanaUPC" w:hAnsi="Times New Roman"/>
                <w:bCs/>
                <w:sz w:val="20"/>
                <w:szCs w:val="20"/>
                <w:lang w:eastAsia="lt-LT"/>
              </w:rPr>
              <w:t>Minėtos veiklos yra aktualios įgyvendinant ES BJRS prioritetinę sritį „Transportas“, taip pat dalinai įgyvendinant prioritetinę sritį „Saugumas“, kiek tai susiję su v</w:t>
            </w:r>
            <w:r w:rsidRPr="0041529C">
              <w:rPr>
                <w:rFonts w:ascii="Times New Roman" w:hAnsi="Times New Roman"/>
                <w:sz w:val="20"/>
                <w:szCs w:val="20"/>
              </w:rPr>
              <w:t>andens transporto infrastruktūros modernizavimu ir plėtra bei vandens transporto saugos didinimu.</w:t>
            </w:r>
            <w:r w:rsidRPr="0041529C">
              <w:rPr>
                <w:rFonts w:ascii="Times New Roman" w:eastAsia="AngsanaUPC" w:hAnsi="Times New Roman"/>
                <w:bCs/>
                <w:sz w:val="20"/>
                <w:szCs w:val="20"/>
                <w:lang w:eastAsia="lt-LT"/>
              </w:rPr>
              <w:t xml:space="preserve"> </w:t>
            </w:r>
            <w:r w:rsidRPr="0041529C">
              <w:rPr>
                <w:rFonts w:ascii="Times New Roman" w:hAnsi="Times New Roman"/>
                <w:sz w:val="20"/>
                <w:szCs w:val="20"/>
              </w:rPr>
              <w:t xml:space="preserve">EK pozicijoje nurodyta, kad reikia didelių investicijų užbaigti </w:t>
            </w:r>
            <w:r w:rsidRPr="0041529C">
              <w:rPr>
                <w:rFonts w:ascii="Times New Roman" w:hAnsi="Times New Roman"/>
                <w:i/>
                <w:sz w:val="20"/>
                <w:szCs w:val="20"/>
              </w:rPr>
              <w:t>Rail Baltica</w:t>
            </w:r>
            <w:r w:rsidRPr="0041529C">
              <w:rPr>
                <w:rFonts w:ascii="Times New Roman" w:hAnsi="Times New Roman"/>
                <w:sz w:val="20"/>
                <w:szCs w:val="20"/>
              </w:rPr>
              <w:t xml:space="preserve"> ruožui, kertančiam visą šalį. Taip pat būtina geriau išvystyti logistikos platformų, kuriose suvienijamas kelių rūšių transportas, koncepcij</w:t>
            </w:r>
            <w:r w:rsidR="00184FC0">
              <w:rPr>
                <w:rFonts w:ascii="Times New Roman" w:hAnsi="Times New Roman"/>
                <w:sz w:val="20"/>
                <w:szCs w:val="20"/>
              </w:rPr>
              <w:t>ą</w:t>
            </w:r>
            <w:r w:rsidRPr="0041529C">
              <w:rPr>
                <w:rFonts w:ascii="Times New Roman" w:hAnsi="Times New Roman"/>
                <w:sz w:val="20"/>
                <w:szCs w:val="20"/>
              </w:rPr>
              <w:t>.</w:t>
            </w:r>
          </w:p>
        </w:tc>
      </w:tr>
      <w:tr w:rsidR="0041529C" w:rsidRPr="0041529C" w:rsidTr="00EC77A8">
        <w:trPr>
          <w:trHeight w:val="1385"/>
        </w:trPr>
        <w:tc>
          <w:tcPr>
            <w:tcW w:w="1668" w:type="dxa"/>
            <w:vMerge/>
            <w:shd w:val="clear" w:color="auto" w:fill="auto"/>
          </w:tcPr>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p>
        </w:tc>
        <w:tc>
          <w:tcPr>
            <w:tcW w:w="3685" w:type="dxa"/>
            <w:shd w:val="clear" w:color="auto" w:fill="auto"/>
          </w:tcPr>
          <w:p w:rsidR="0041529C" w:rsidRPr="0041529C" w:rsidRDefault="0041529C" w:rsidP="0041529C">
            <w:pPr>
              <w:widowControl w:val="0"/>
              <w:tabs>
                <w:tab w:val="left" w:pos="1276"/>
              </w:tabs>
              <w:adjustRightInd w:val="0"/>
              <w:spacing w:after="120" w:line="240" w:lineRule="auto"/>
              <w:jc w:val="both"/>
              <w:textAlignment w:val="baseline"/>
              <w:rPr>
                <w:rFonts w:ascii="Times New Roman" w:eastAsia="Times New Roman" w:hAnsi="Times New Roman"/>
                <w:sz w:val="20"/>
                <w:szCs w:val="20"/>
                <w:lang w:eastAsia="lt-LT"/>
              </w:rPr>
            </w:pPr>
            <w:r w:rsidRPr="0041529C">
              <w:rPr>
                <w:rFonts w:ascii="Times New Roman" w:eastAsia="Times New Roman" w:hAnsi="Times New Roman"/>
                <w:sz w:val="20"/>
                <w:szCs w:val="20"/>
                <w:lang w:eastAsia="lt-LT"/>
              </w:rPr>
              <w:t>2. Regionų judumo didinimas prie TEN</w:t>
            </w:r>
            <w:proofErr w:type="gramStart"/>
            <w:r w:rsidRPr="0041529C">
              <w:rPr>
                <w:rFonts w:ascii="Times New Roman" w:eastAsia="Times New Roman" w:hAnsi="Times New Roman"/>
                <w:sz w:val="20"/>
                <w:szCs w:val="20"/>
                <w:lang w:eastAsia="lt-LT"/>
              </w:rPr>
              <w:t>-</w:t>
            </w:r>
            <w:proofErr w:type="gramEnd"/>
            <w:r w:rsidRPr="0041529C">
              <w:rPr>
                <w:rFonts w:ascii="Times New Roman" w:eastAsia="Times New Roman" w:hAnsi="Times New Roman"/>
                <w:sz w:val="20"/>
                <w:szCs w:val="20"/>
                <w:lang w:eastAsia="lt-LT"/>
              </w:rPr>
              <w:t>T infrastruktūros</w:t>
            </w:r>
            <w:r w:rsidR="00184FC0">
              <w:rPr>
                <w:rFonts w:ascii="Times New Roman" w:eastAsia="Times New Roman" w:hAnsi="Times New Roman"/>
                <w:sz w:val="20"/>
                <w:szCs w:val="20"/>
                <w:lang w:eastAsia="lt-LT"/>
              </w:rPr>
              <w:t>,</w:t>
            </w:r>
            <w:r w:rsidRPr="0041529C">
              <w:rPr>
                <w:rFonts w:ascii="Times New Roman" w:eastAsia="Times New Roman" w:hAnsi="Times New Roman"/>
                <w:sz w:val="20"/>
                <w:szCs w:val="20"/>
                <w:lang w:eastAsia="lt-LT"/>
              </w:rPr>
              <w:t xml:space="preserve"> prijungiant antrinius ir tretinius transporto mazgus, įskaitant</w:t>
            </w:r>
            <w:r w:rsidR="00AA0722">
              <w:rPr>
                <w:rFonts w:ascii="Times New Roman" w:eastAsia="Times New Roman" w:hAnsi="Times New Roman"/>
                <w:sz w:val="20"/>
                <w:szCs w:val="20"/>
                <w:lang w:eastAsia="lt-LT"/>
              </w:rPr>
              <w:t xml:space="preserve"> daugiarūšio transporto mazgus</w:t>
            </w:r>
          </w:p>
        </w:tc>
        <w:tc>
          <w:tcPr>
            <w:tcW w:w="10064" w:type="dxa"/>
            <w:shd w:val="clear" w:color="auto" w:fill="auto"/>
          </w:tcPr>
          <w:p w:rsidR="0041529C" w:rsidRPr="0041529C" w:rsidRDefault="0041529C" w:rsidP="0041529C">
            <w:pPr>
              <w:spacing w:after="0" w:line="240" w:lineRule="auto"/>
              <w:jc w:val="both"/>
              <w:rPr>
                <w:rFonts w:ascii="Times New Roman" w:hAnsi="Times New Roman"/>
                <w:sz w:val="20"/>
                <w:szCs w:val="20"/>
              </w:rPr>
            </w:pPr>
            <w:r w:rsidRPr="0041529C">
              <w:rPr>
                <w:rFonts w:ascii="Times New Roman" w:hAnsi="Times New Roman"/>
                <w:sz w:val="20"/>
                <w:szCs w:val="20"/>
              </w:rPr>
              <w:t xml:space="preserve">ES2020 pavyzdinėje iniciatyvoje „Tausiai išteklius naudojanti Europa“ numatoma plėtoti pažangią, naujovišką ir visiškai tarpusavyje susietą transporto infrastruktūrą. </w:t>
            </w:r>
          </w:p>
          <w:p w:rsidR="0041529C" w:rsidRPr="0041529C" w:rsidRDefault="0041529C" w:rsidP="0041529C">
            <w:pPr>
              <w:widowControl w:val="0"/>
              <w:tabs>
                <w:tab w:val="left" w:pos="622"/>
              </w:tabs>
              <w:spacing w:after="0" w:line="240" w:lineRule="auto"/>
              <w:jc w:val="both"/>
              <w:rPr>
                <w:rFonts w:ascii="Times New Roman" w:hAnsi="Times New Roman"/>
                <w:sz w:val="20"/>
                <w:szCs w:val="20"/>
              </w:rPr>
            </w:pPr>
            <w:r w:rsidRPr="0041529C">
              <w:rPr>
                <w:rFonts w:ascii="Times New Roman" w:hAnsi="Times New Roman"/>
                <w:sz w:val="20"/>
                <w:szCs w:val="20"/>
              </w:rPr>
              <w:t xml:space="preserve">NPP numatyta gerinti judumo sąlygas ir efektyviau valdyti judumo paklausą, plėtoti įvairių rūšių sąveikai būtiną infrastruktūrą. </w:t>
            </w:r>
          </w:p>
          <w:p w:rsidR="0041529C" w:rsidRPr="0041529C" w:rsidRDefault="0041529C" w:rsidP="0041529C">
            <w:pPr>
              <w:widowControl w:val="0"/>
              <w:tabs>
                <w:tab w:val="left" w:pos="622"/>
              </w:tabs>
              <w:spacing w:after="0" w:line="240" w:lineRule="auto"/>
              <w:jc w:val="both"/>
              <w:rPr>
                <w:rFonts w:ascii="Times New Roman" w:hAnsi="Times New Roman"/>
                <w:sz w:val="20"/>
                <w:szCs w:val="20"/>
              </w:rPr>
            </w:pPr>
            <w:r w:rsidRPr="0041529C">
              <w:rPr>
                <w:rFonts w:ascii="Times New Roman" w:hAnsi="Times New Roman"/>
                <w:sz w:val="20"/>
                <w:szCs w:val="20"/>
              </w:rPr>
              <w:t>EK pozicijoje nurodyta, kad Lietuvoje trūksta integruotų regionų ir vietos lygmens keleivinio transporto plėtros veiksmų, vietos ir tolimojo susisiekimo keleivių transportas nepakankamai integruoti.</w:t>
            </w:r>
          </w:p>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r w:rsidRPr="0041529C">
              <w:rPr>
                <w:rFonts w:ascii="Times New Roman" w:eastAsia="AngsanaUPC" w:hAnsi="Times New Roman"/>
                <w:bCs/>
                <w:sz w:val="20"/>
                <w:szCs w:val="20"/>
                <w:lang w:eastAsia="lt-LT"/>
              </w:rPr>
              <w:t>Minėtos veiklos yra aktualios įgyvendinant ES BJRS prioritetinę sritį „Transportas“, kiek tai susiję su vidinių transporto jungčių plėtojimu.</w:t>
            </w:r>
          </w:p>
        </w:tc>
      </w:tr>
      <w:tr w:rsidR="0041529C" w:rsidRPr="0041529C" w:rsidTr="00EC77A8">
        <w:tc>
          <w:tcPr>
            <w:tcW w:w="1668" w:type="dxa"/>
            <w:vMerge/>
            <w:shd w:val="clear" w:color="auto" w:fill="auto"/>
          </w:tcPr>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p>
        </w:tc>
        <w:tc>
          <w:tcPr>
            <w:tcW w:w="3685" w:type="dxa"/>
            <w:shd w:val="clear" w:color="auto" w:fill="auto"/>
          </w:tcPr>
          <w:p w:rsidR="0041529C" w:rsidRPr="0041529C" w:rsidRDefault="0041529C" w:rsidP="0041529C">
            <w:pPr>
              <w:widowControl w:val="0"/>
              <w:tabs>
                <w:tab w:val="left" w:pos="1276"/>
              </w:tabs>
              <w:adjustRightInd w:val="0"/>
              <w:spacing w:after="120" w:line="240" w:lineRule="auto"/>
              <w:jc w:val="both"/>
              <w:textAlignment w:val="baseline"/>
              <w:rPr>
                <w:rFonts w:ascii="Times New Roman" w:eastAsia="Times New Roman" w:hAnsi="Times New Roman"/>
                <w:sz w:val="20"/>
                <w:szCs w:val="20"/>
                <w:lang w:eastAsia="lt-LT"/>
              </w:rPr>
            </w:pPr>
            <w:r w:rsidRPr="0041529C">
              <w:rPr>
                <w:rFonts w:ascii="Times New Roman" w:eastAsia="Times New Roman" w:hAnsi="Times New Roman"/>
                <w:sz w:val="20"/>
                <w:szCs w:val="20"/>
                <w:lang w:eastAsia="lt-LT"/>
              </w:rPr>
              <w:t xml:space="preserve">3. </w:t>
            </w:r>
            <w:r w:rsidRPr="0041529C">
              <w:rPr>
                <w:rFonts w:ascii="Times New Roman" w:eastAsia="Times New Roman" w:hAnsi="Times New Roman"/>
                <w:bCs/>
                <w:sz w:val="20"/>
                <w:szCs w:val="20"/>
                <w:lang w:eastAsia="lt-LT"/>
              </w:rPr>
              <w:t>Energijos vartojimo e</w:t>
            </w:r>
            <w:r w:rsidR="006F6CBF">
              <w:rPr>
                <w:rFonts w:ascii="Times New Roman" w:eastAsia="Times New Roman" w:hAnsi="Times New Roman"/>
                <w:bCs/>
                <w:sz w:val="20"/>
                <w:szCs w:val="20"/>
                <w:lang w:eastAsia="lt-LT"/>
              </w:rPr>
              <w:t xml:space="preserve">fektyvumo ir tiekimo patikimumo </w:t>
            </w:r>
            <w:r w:rsidRPr="0041529C">
              <w:rPr>
                <w:rFonts w:ascii="Times New Roman" w:eastAsia="Times New Roman" w:hAnsi="Times New Roman"/>
                <w:bCs/>
                <w:sz w:val="20"/>
                <w:szCs w:val="20"/>
                <w:lang w:eastAsia="lt-LT"/>
              </w:rPr>
              <w:t xml:space="preserve">plėtojant pažangiąsias energijos paskirstymo, saugojimo ir perdavimo sistemas gerinimas ir paskirstytos </w:t>
            </w:r>
            <w:r w:rsidR="00D06E09">
              <w:rPr>
                <w:rFonts w:ascii="Times New Roman" w:eastAsia="Times New Roman" w:hAnsi="Times New Roman"/>
                <w:bCs/>
                <w:sz w:val="20"/>
                <w:szCs w:val="20"/>
                <w:lang w:eastAsia="lt-LT"/>
              </w:rPr>
              <w:t>AIE</w:t>
            </w:r>
            <w:r w:rsidRPr="0041529C">
              <w:rPr>
                <w:rFonts w:ascii="Times New Roman" w:eastAsia="Times New Roman" w:hAnsi="Times New Roman"/>
                <w:bCs/>
                <w:sz w:val="20"/>
                <w:szCs w:val="20"/>
                <w:lang w:eastAsia="lt-LT"/>
              </w:rPr>
              <w:t xml:space="preserve"> gamybos diegimas</w:t>
            </w:r>
          </w:p>
        </w:tc>
        <w:tc>
          <w:tcPr>
            <w:tcW w:w="10064" w:type="dxa"/>
            <w:shd w:val="clear" w:color="auto" w:fill="auto"/>
          </w:tcPr>
          <w:p w:rsidR="0041529C" w:rsidRPr="0041529C" w:rsidRDefault="00BC6EB7" w:rsidP="0041529C">
            <w:pPr>
              <w:spacing w:after="0" w:line="240" w:lineRule="auto"/>
              <w:jc w:val="both"/>
              <w:rPr>
                <w:rFonts w:ascii="Times New Roman" w:eastAsia="AngsanaUPC" w:hAnsi="Times New Roman"/>
                <w:bCs/>
                <w:sz w:val="20"/>
                <w:szCs w:val="20"/>
                <w:highlight w:val="yellow"/>
                <w:lang w:eastAsia="lt-LT"/>
              </w:rPr>
            </w:pPr>
            <w:r w:rsidRPr="0041529C">
              <w:rPr>
                <w:rFonts w:ascii="Times New Roman" w:eastAsia="AngsanaUPC" w:hAnsi="Times New Roman"/>
                <w:bCs/>
                <w:sz w:val="20"/>
                <w:szCs w:val="20"/>
                <w:lang w:eastAsia="lt-LT"/>
              </w:rPr>
              <w:t>201</w:t>
            </w:r>
            <w:r>
              <w:rPr>
                <w:rFonts w:ascii="Times New Roman" w:eastAsia="AngsanaUPC" w:hAnsi="Times New Roman"/>
                <w:bCs/>
                <w:sz w:val="20"/>
                <w:szCs w:val="20"/>
                <w:lang w:eastAsia="lt-LT"/>
              </w:rPr>
              <w:t>4</w:t>
            </w:r>
            <w:r w:rsidRPr="0041529C">
              <w:rPr>
                <w:rFonts w:ascii="Times New Roman" w:eastAsia="AngsanaUPC" w:hAnsi="Times New Roman"/>
                <w:bCs/>
                <w:sz w:val="20"/>
                <w:szCs w:val="20"/>
                <w:lang w:eastAsia="lt-LT"/>
              </w:rPr>
              <w:t xml:space="preserve"> </w:t>
            </w:r>
            <w:r w:rsidR="0041529C" w:rsidRPr="0041529C">
              <w:rPr>
                <w:rFonts w:ascii="Times New Roman" w:eastAsia="AngsanaUPC" w:hAnsi="Times New Roman"/>
                <w:bCs/>
                <w:sz w:val="20"/>
                <w:szCs w:val="20"/>
                <w:lang w:eastAsia="lt-LT"/>
              </w:rPr>
              <w:t>m. Tarybos rekomendacijoje Lietuvai</w:t>
            </w:r>
            <w:r w:rsidR="00EC77A8">
              <w:rPr>
                <w:rFonts w:ascii="Times New Roman" w:eastAsia="AngsanaUPC" w:hAnsi="Times New Roman"/>
                <w:bCs/>
                <w:sz w:val="20"/>
                <w:szCs w:val="20"/>
                <w:lang w:eastAsia="lt-LT"/>
              </w:rPr>
              <w:t xml:space="preserve"> </w:t>
            </w:r>
            <w:r w:rsidR="0041529C" w:rsidRPr="0041529C">
              <w:rPr>
                <w:rFonts w:ascii="Times New Roman" w:eastAsia="AngsanaUPC" w:hAnsi="Times New Roman"/>
                <w:bCs/>
                <w:sz w:val="20"/>
                <w:szCs w:val="20"/>
                <w:lang w:eastAsia="lt-LT"/>
              </w:rPr>
              <w:t xml:space="preserve">siūloma </w:t>
            </w:r>
            <w:r w:rsidR="00485AA5">
              <w:rPr>
                <w:rFonts w:ascii="Times New Roman" w:eastAsia="AngsanaUPC" w:hAnsi="Times New Roman"/>
                <w:bCs/>
                <w:sz w:val="20"/>
                <w:szCs w:val="20"/>
                <w:lang w:eastAsia="lt-LT"/>
              </w:rPr>
              <w:t xml:space="preserve">plėsti elektros </w:t>
            </w:r>
            <w:r w:rsidR="0041529C" w:rsidRPr="0041529C">
              <w:rPr>
                <w:rFonts w:ascii="Times New Roman" w:eastAsia="AngsanaUPC" w:hAnsi="Times New Roman"/>
                <w:bCs/>
                <w:sz w:val="20"/>
                <w:szCs w:val="20"/>
                <w:lang w:eastAsia="lt-LT"/>
              </w:rPr>
              <w:t xml:space="preserve">energijos </w:t>
            </w:r>
            <w:r w:rsidR="00485AA5">
              <w:rPr>
                <w:rFonts w:ascii="Times New Roman" w:eastAsia="AngsanaUPC" w:hAnsi="Times New Roman"/>
                <w:bCs/>
                <w:sz w:val="20"/>
                <w:szCs w:val="20"/>
                <w:lang w:eastAsia="lt-LT"/>
              </w:rPr>
              <w:t>ir dujų</w:t>
            </w:r>
            <w:proofErr w:type="gramStart"/>
            <w:r w:rsidR="00485AA5">
              <w:rPr>
                <w:rFonts w:ascii="Times New Roman" w:eastAsia="AngsanaUPC" w:hAnsi="Times New Roman"/>
                <w:bCs/>
                <w:sz w:val="20"/>
                <w:szCs w:val="20"/>
                <w:lang w:eastAsia="lt-LT"/>
              </w:rPr>
              <w:t xml:space="preserve"> </w:t>
            </w:r>
            <w:r w:rsidR="00485AA5" w:rsidRPr="0041529C">
              <w:rPr>
                <w:rFonts w:ascii="Times New Roman" w:eastAsia="AngsanaUPC" w:hAnsi="Times New Roman"/>
                <w:bCs/>
                <w:sz w:val="20"/>
                <w:szCs w:val="20"/>
                <w:lang w:eastAsia="lt-LT"/>
              </w:rPr>
              <w:t xml:space="preserve"> </w:t>
            </w:r>
            <w:proofErr w:type="gramEnd"/>
            <w:r w:rsidR="0041529C" w:rsidRPr="0041529C">
              <w:rPr>
                <w:rFonts w:ascii="Times New Roman" w:eastAsia="AngsanaUPC" w:hAnsi="Times New Roman"/>
                <w:bCs/>
                <w:sz w:val="20"/>
                <w:szCs w:val="20"/>
                <w:lang w:eastAsia="lt-LT"/>
              </w:rPr>
              <w:t xml:space="preserve">tinklų </w:t>
            </w:r>
            <w:r w:rsidR="00485AA5">
              <w:rPr>
                <w:rFonts w:ascii="Times New Roman" w:eastAsia="AngsanaUPC" w:hAnsi="Times New Roman"/>
                <w:bCs/>
                <w:sz w:val="20"/>
                <w:szCs w:val="20"/>
                <w:lang w:eastAsia="lt-LT"/>
              </w:rPr>
              <w:t xml:space="preserve">tarpvalstybines jungtis su kaimyninėmis valstybėmis narėmis, </w:t>
            </w:r>
            <w:r w:rsidR="0041529C" w:rsidRPr="0041529C">
              <w:rPr>
                <w:rFonts w:ascii="Times New Roman" w:eastAsia="AngsanaUPC" w:hAnsi="Times New Roman"/>
                <w:bCs/>
                <w:sz w:val="20"/>
                <w:szCs w:val="20"/>
                <w:lang w:eastAsia="lt-LT"/>
              </w:rPr>
              <w:t xml:space="preserve">gerinant </w:t>
            </w:r>
            <w:r w:rsidR="00485AA5">
              <w:rPr>
                <w:rFonts w:ascii="Times New Roman" w:eastAsia="AngsanaUPC" w:hAnsi="Times New Roman"/>
                <w:bCs/>
                <w:sz w:val="20"/>
                <w:szCs w:val="20"/>
                <w:lang w:eastAsia="lt-LT"/>
              </w:rPr>
              <w:t>Baltijos šalių energijos rinkų integraciją.</w:t>
            </w:r>
          </w:p>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r w:rsidRPr="0041529C">
              <w:rPr>
                <w:rFonts w:ascii="Times New Roman" w:hAnsi="Times New Roman"/>
                <w:bCs/>
                <w:sz w:val="20"/>
                <w:szCs w:val="20"/>
              </w:rPr>
              <w:t xml:space="preserve">Remiantis 2011 m. vasario 4 d. </w:t>
            </w:r>
            <w:r w:rsidR="00E96742">
              <w:rPr>
                <w:rFonts w:ascii="Times New Roman" w:hAnsi="Times New Roman"/>
                <w:bCs/>
                <w:sz w:val="20"/>
                <w:szCs w:val="20"/>
              </w:rPr>
              <w:t>EVT</w:t>
            </w:r>
            <w:r w:rsidRPr="0041529C">
              <w:rPr>
                <w:rFonts w:ascii="Times New Roman" w:hAnsi="Times New Roman"/>
                <w:bCs/>
                <w:sz w:val="20"/>
                <w:szCs w:val="20"/>
              </w:rPr>
              <w:t xml:space="preserve"> išvadomis, iki 2014 m. turi būti sukurta energetikos vidaus rinka, o iki 2015 m. turi būti panaikinta ES valstybių narių „energetinė izoliacija“.</w:t>
            </w:r>
          </w:p>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r w:rsidRPr="0041529C">
              <w:rPr>
                <w:rFonts w:ascii="Times New Roman" w:eastAsia="AngsanaUPC" w:hAnsi="Times New Roman"/>
                <w:bCs/>
                <w:sz w:val="20"/>
                <w:szCs w:val="20"/>
                <w:lang w:eastAsia="lt-LT"/>
              </w:rPr>
              <w:t>Lietuvos Nacionalinės energetinės nepriklausomybės strategijoje taip pat įtvirtinti susijungimo su ES energijos tinklais tikslai. Kad tarpvalstybinės jungtys taptų funkcionuojančio</w:t>
            </w:r>
            <w:r w:rsidR="006F6CBF">
              <w:rPr>
                <w:rFonts w:ascii="Times New Roman" w:eastAsia="AngsanaUPC" w:hAnsi="Times New Roman"/>
                <w:bCs/>
                <w:sz w:val="20"/>
                <w:szCs w:val="20"/>
                <w:lang w:eastAsia="lt-LT"/>
              </w:rPr>
              <w:t>mi</w:t>
            </w:r>
            <w:r w:rsidRPr="0041529C">
              <w:rPr>
                <w:rFonts w:ascii="Times New Roman" w:eastAsia="AngsanaUPC" w:hAnsi="Times New Roman"/>
                <w:bCs/>
                <w:sz w:val="20"/>
                <w:szCs w:val="20"/>
                <w:lang w:eastAsia="lt-LT"/>
              </w:rPr>
              <w:t xml:space="preserve">s, būtina stiprinti ir vidinį tinklą. </w:t>
            </w:r>
          </w:p>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r w:rsidRPr="0041529C">
              <w:rPr>
                <w:rFonts w:ascii="Times New Roman" w:eastAsia="AngsanaUPC" w:hAnsi="Times New Roman"/>
                <w:bCs/>
                <w:sz w:val="20"/>
                <w:szCs w:val="20"/>
                <w:lang w:eastAsia="lt-LT"/>
              </w:rPr>
              <w:t xml:space="preserve">Pagal ES BJRS prioritetinę sritį „Energetika“ taip pat numatoma gerinti elektros rinkų jungtis. ES BJRS veiksmų plane minimi tokie projektai kaip „LitPol“ ir „NordBalt“, kuriais bus tiesiamos </w:t>
            </w:r>
            <w:r w:rsidRPr="0041529C">
              <w:rPr>
                <w:rFonts w:ascii="Times New Roman" w:eastAsia="AngsanaUPC" w:hAnsi="Times New Roman"/>
                <w:bCs/>
                <w:iCs/>
                <w:sz w:val="20"/>
                <w:szCs w:val="20"/>
                <w:lang w:eastAsia="lt-LT"/>
              </w:rPr>
              <w:t xml:space="preserve">naujos pažangios elektros energijos perdavimo linijos </w:t>
            </w:r>
            <w:r w:rsidR="006F6CBF">
              <w:rPr>
                <w:rFonts w:ascii="Times New Roman" w:eastAsia="AngsanaUPC" w:hAnsi="Times New Roman"/>
                <w:bCs/>
                <w:sz w:val="20"/>
                <w:szCs w:val="20"/>
                <w:lang w:eastAsia="lt-LT"/>
              </w:rPr>
              <w:t>atitinkamai tarp Lietuvos</w:t>
            </w:r>
            <w:r w:rsidR="006F6CBF" w:rsidRPr="0041529C">
              <w:rPr>
                <w:rFonts w:ascii="Times New Roman" w:eastAsia="AngsanaUPC" w:hAnsi="Times New Roman"/>
                <w:bCs/>
                <w:sz w:val="20"/>
                <w:szCs w:val="20"/>
                <w:lang w:eastAsia="lt-LT"/>
              </w:rPr>
              <w:t>–</w:t>
            </w:r>
            <w:r w:rsidR="006F6CBF">
              <w:rPr>
                <w:rFonts w:ascii="Times New Roman" w:eastAsia="AngsanaUPC" w:hAnsi="Times New Roman"/>
                <w:bCs/>
                <w:sz w:val="20"/>
                <w:szCs w:val="20"/>
                <w:lang w:eastAsia="lt-LT"/>
              </w:rPr>
              <w:t>Lenkijos ir Lietuvos</w:t>
            </w:r>
            <w:r w:rsidR="006F6CBF" w:rsidRPr="0041529C">
              <w:rPr>
                <w:rFonts w:ascii="Times New Roman" w:eastAsia="AngsanaUPC" w:hAnsi="Times New Roman"/>
                <w:bCs/>
                <w:sz w:val="20"/>
                <w:szCs w:val="20"/>
                <w:lang w:eastAsia="lt-LT"/>
              </w:rPr>
              <w:t>–</w:t>
            </w:r>
            <w:r w:rsidRPr="0041529C">
              <w:rPr>
                <w:rFonts w:ascii="Times New Roman" w:eastAsia="AngsanaUPC" w:hAnsi="Times New Roman"/>
                <w:bCs/>
                <w:sz w:val="20"/>
                <w:szCs w:val="20"/>
                <w:lang w:eastAsia="lt-LT"/>
              </w:rPr>
              <w:t xml:space="preserve">Švedijos; taip pat </w:t>
            </w:r>
            <w:r w:rsidRPr="0041529C">
              <w:rPr>
                <w:rFonts w:ascii="Times New Roman" w:eastAsia="AngsanaUPC" w:hAnsi="Times New Roman"/>
                <w:bCs/>
                <w:iCs/>
                <w:sz w:val="20"/>
                <w:szCs w:val="20"/>
                <w:lang w:eastAsia="lt-LT"/>
              </w:rPr>
              <w:t>SGD terminalo statyba.</w:t>
            </w:r>
          </w:p>
        </w:tc>
      </w:tr>
      <w:tr w:rsidR="0041529C" w:rsidRPr="0041529C" w:rsidTr="00EC77A8">
        <w:tc>
          <w:tcPr>
            <w:tcW w:w="1668" w:type="dxa"/>
            <w:vMerge w:val="restart"/>
            <w:shd w:val="clear" w:color="auto" w:fill="auto"/>
          </w:tcPr>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r w:rsidRPr="0041529C">
              <w:rPr>
                <w:rFonts w:ascii="Times New Roman" w:eastAsia="AngsanaUPC" w:hAnsi="Times New Roman"/>
                <w:bCs/>
                <w:sz w:val="20"/>
                <w:szCs w:val="20"/>
                <w:lang w:eastAsia="lt-LT"/>
              </w:rPr>
              <w:t>8. Užimtumo skatinimas ir darbo jėgos judumo rėmimas</w:t>
            </w:r>
          </w:p>
        </w:tc>
        <w:tc>
          <w:tcPr>
            <w:tcW w:w="3685" w:type="dxa"/>
            <w:shd w:val="clear" w:color="auto" w:fill="auto"/>
          </w:tcPr>
          <w:p w:rsidR="0041529C" w:rsidRPr="0041529C" w:rsidRDefault="0041529C" w:rsidP="0041529C">
            <w:pPr>
              <w:widowControl w:val="0"/>
              <w:tabs>
                <w:tab w:val="left" w:pos="1276"/>
              </w:tabs>
              <w:adjustRightInd w:val="0"/>
              <w:spacing w:after="120" w:line="240" w:lineRule="auto"/>
              <w:jc w:val="both"/>
              <w:textAlignment w:val="baseline"/>
              <w:rPr>
                <w:rFonts w:ascii="Times New Roman" w:eastAsia="Times New Roman" w:hAnsi="Times New Roman"/>
                <w:sz w:val="20"/>
                <w:szCs w:val="20"/>
                <w:lang w:eastAsia="lt-LT"/>
              </w:rPr>
            </w:pPr>
            <w:r w:rsidRPr="0041529C">
              <w:rPr>
                <w:rFonts w:ascii="Times New Roman" w:eastAsia="Times New Roman" w:hAnsi="Times New Roman"/>
                <w:sz w:val="20"/>
                <w:szCs w:val="20"/>
                <w:lang w:eastAsia="lt-LT"/>
              </w:rPr>
              <w:t>1. Užimtumą skatinančio ekonomikos augimo</w:t>
            </w:r>
            <w:r w:rsidR="001F7243">
              <w:rPr>
                <w:rFonts w:ascii="Times New Roman" w:eastAsia="Times New Roman" w:hAnsi="Times New Roman"/>
                <w:sz w:val="20"/>
                <w:szCs w:val="20"/>
                <w:lang w:eastAsia="lt-LT"/>
              </w:rPr>
              <w:t>,</w:t>
            </w:r>
            <w:r w:rsidRPr="0041529C">
              <w:rPr>
                <w:rFonts w:ascii="Times New Roman" w:eastAsia="Times New Roman" w:hAnsi="Times New Roman"/>
                <w:sz w:val="20"/>
                <w:szCs w:val="20"/>
                <w:lang w:eastAsia="lt-LT"/>
              </w:rPr>
              <w:t xml:space="preserve"> kuriant vidinį potencialą</w:t>
            </w:r>
            <w:r w:rsidR="001F7243">
              <w:rPr>
                <w:rFonts w:ascii="Times New Roman" w:eastAsia="Times New Roman" w:hAnsi="Times New Roman"/>
                <w:sz w:val="20"/>
                <w:szCs w:val="20"/>
                <w:lang w:eastAsia="lt-LT"/>
              </w:rPr>
              <w:t>,</w:t>
            </w:r>
            <w:r w:rsidRPr="0041529C">
              <w:rPr>
                <w:rFonts w:ascii="Times New Roman" w:eastAsia="Times New Roman" w:hAnsi="Times New Roman"/>
                <w:sz w:val="20"/>
                <w:szCs w:val="20"/>
                <w:lang w:eastAsia="lt-LT"/>
              </w:rPr>
              <w:t xml:space="preserve"> rėmimas kaip dalis konkrečioms sritims skirtos</w:t>
            </w:r>
            <w:r w:rsidRPr="0041529C" w:rsidDel="002536CE">
              <w:rPr>
                <w:rFonts w:ascii="Times New Roman" w:eastAsia="Times New Roman" w:hAnsi="Times New Roman"/>
                <w:sz w:val="20"/>
                <w:szCs w:val="20"/>
                <w:lang w:eastAsia="lt-LT"/>
              </w:rPr>
              <w:t xml:space="preserve"> </w:t>
            </w:r>
            <w:r w:rsidRPr="0041529C">
              <w:rPr>
                <w:rFonts w:ascii="Times New Roman" w:eastAsia="Times New Roman" w:hAnsi="Times New Roman"/>
                <w:sz w:val="20"/>
                <w:szCs w:val="20"/>
                <w:lang w:eastAsia="lt-LT"/>
              </w:rPr>
              <w:t>teritorinės strategijos, įskaitant nuosmukį patiriančių pramoninių regionų pertvarkymą ir specifinių gamtos ir kultūros išteklių prieinamumo</w:t>
            </w:r>
            <w:r w:rsidR="00AA0722">
              <w:rPr>
                <w:rFonts w:ascii="Times New Roman" w:eastAsia="Times New Roman" w:hAnsi="Times New Roman"/>
                <w:sz w:val="20"/>
                <w:szCs w:val="20"/>
                <w:lang w:eastAsia="lt-LT"/>
              </w:rPr>
              <w:t xml:space="preserve"> bei naudojimosi jais gerinimą</w:t>
            </w:r>
          </w:p>
        </w:tc>
        <w:tc>
          <w:tcPr>
            <w:tcW w:w="10064" w:type="dxa"/>
            <w:shd w:val="clear" w:color="auto" w:fill="auto"/>
          </w:tcPr>
          <w:p w:rsidR="0041529C" w:rsidRPr="004E17E2" w:rsidRDefault="0041529C" w:rsidP="004E17E2">
            <w:pPr>
              <w:widowControl w:val="0"/>
              <w:tabs>
                <w:tab w:val="left" w:pos="622"/>
              </w:tabs>
              <w:spacing w:after="0" w:line="240" w:lineRule="auto"/>
              <w:jc w:val="both"/>
              <w:rPr>
                <w:rFonts w:ascii="Times New Roman" w:eastAsia="AngsanaUPC" w:hAnsi="Times New Roman"/>
                <w:bCs/>
                <w:sz w:val="20"/>
                <w:szCs w:val="20"/>
                <w:lang w:eastAsia="lt-LT"/>
              </w:rPr>
            </w:pPr>
            <w:r w:rsidRPr="0041529C">
              <w:rPr>
                <w:rFonts w:ascii="Times New Roman" w:eastAsia="AngsanaUPC" w:hAnsi="Times New Roman"/>
                <w:bCs/>
                <w:sz w:val="20"/>
                <w:szCs w:val="20"/>
                <w:lang w:eastAsia="lt-LT"/>
              </w:rPr>
              <w:t xml:space="preserve">Šis investicinis prioritetas prisidės prie strategijos ES2020 prioriteto </w:t>
            </w:r>
            <w:r w:rsidR="001F7243" w:rsidRPr="0041529C">
              <w:rPr>
                <w:rFonts w:ascii="Times New Roman" w:eastAsia="AngsanaUPC" w:hAnsi="Times New Roman"/>
                <w:bCs/>
                <w:sz w:val="20"/>
                <w:szCs w:val="20"/>
                <w:lang w:eastAsia="lt-LT"/>
              </w:rPr>
              <w:t>„</w:t>
            </w:r>
            <w:r w:rsidRPr="0041529C">
              <w:rPr>
                <w:rFonts w:ascii="Times New Roman" w:eastAsia="AngsanaUPC" w:hAnsi="Times New Roman"/>
                <w:bCs/>
                <w:sz w:val="20"/>
                <w:szCs w:val="20"/>
                <w:lang w:eastAsia="lt-LT"/>
              </w:rPr>
              <w:t>Integracinis ekonomikos augimas</w:t>
            </w:r>
            <w:r w:rsidR="001F7243" w:rsidRPr="0041529C">
              <w:rPr>
                <w:rFonts w:ascii="Times New Roman" w:eastAsia="AngsanaUPC" w:hAnsi="Times New Roman"/>
                <w:bCs/>
                <w:sz w:val="20"/>
                <w:szCs w:val="20"/>
                <w:lang w:eastAsia="lt-LT"/>
              </w:rPr>
              <w:t>“</w:t>
            </w:r>
            <w:r w:rsidRPr="0041529C">
              <w:rPr>
                <w:rFonts w:ascii="Times New Roman" w:eastAsia="AngsanaUPC" w:hAnsi="Times New Roman"/>
                <w:bCs/>
                <w:sz w:val="20"/>
                <w:szCs w:val="20"/>
                <w:lang w:eastAsia="lt-LT"/>
              </w:rPr>
              <w:t>. Siekiant ES2020 pagrindinio tikslo dėl gyventojų užimtumo, Lietuvos nacionalinis tikslas – iki 2020 m. padidinti gyventojų užimtumą iki 72,8 proc. Tačiau šalyje egzistuojantys miestų plėtros netolygumai rodo, kad miestų ar atskirų jų teritorijų dalių turimas potencialas naudojamas nepakankamai.  Siekia</w:t>
            </w:r>
            <w:r w:rsidR="004E17E2">
              <w:rPr>
                <w:rFonts w:ascii="Times New Roman" w:eastAsia="AngsanaUPC" w:hAnsi="Times New Roman"/>
                <w:bCs/>
                <w:sz w:val="20"/>
                <w:szCs w:val="20"/>
                <w:lang w:eastAsia="lt-LT"/>
              </w:rPr>
              <w:t xml:space="preserve">nt minėto tikslo būtina vystyti </w:t>
            </w:r>
            <w:r w:rsidRPr="0041529C">
              <w:rPr>
                <w:rFonts w:ascii="Times New Roman" w:eastAsia="AngsanaUPC" w:hAnsi="Times New Roman"/>
                <w:bCs/>
                <w:sz w:val="20"/>
                <w:szCs w:val="20"/>
                <w:lang w:eastAsia="lt-LT"/>
              </w:rPr>
              <w:t>didele ekonominių veiklų įvairove pasižyminčius, patrauklius investuoti ir kurti darbo vietas ma</w:t>
            </w:r>
            <w:r w:rsidR="00EC77A8">
              <w:rPr>
                <w:rFonts w:ascii="Times New Roman" w:eastAsia="AngsanaUPC" w:hAnsi="Times New Roman"/>
                <w:bCs/>
                <w:sz w:val="20"/>
                <w:szCs w:val="20"/>
                <w:lang w:eastAsia="lt-LT"/>
              </w:rPr>
              <w:t>ž</w:t>
            </w:r>
            <w:r w:rsidRPr="0041529C">
              <w:rPr>
                <w:rFonts w:ascii="Times New Roman" w:eastAsia="AngsanaUPC" w:hAnsi="Times New Roman"/>
                <w:bCs/>
                <w:sz w:val="20"/>
                <w:szCs w:val="20"/>
                <w:lang w:eastAsia="lt-LT"/>
              </w:rPr>
              <w:t>uosius ir vidutinius miestus bei efektyviai ir tvariai naudojamas didžiųjų miestų teritorijas. Todėl bus siekiama sumažinti ekonominio vystymosi netolygumus šalyje, siekiant maksimaliai išnaudoti miestų ekonominį potencialą</w:t>
            </w:r>
            <w:r w:rsidR="004E17E2">
              <w:rPr>
                <w:rFonts w:ascii="Times New Roman" w:eastAsia="AngsanaUPC" w:hAnsi="Times New Roman"/>
                <w:bCs/>
                <w:sz w:val="20"/>
                <w:szCs w:val="20"/>
                <w:lang w:eastAsia="lt-LT"/>
              </w:rPr>
              <w:t>,</w:t>
            </w:r>
            <w:proofErr w:type="gramStart"/>
            <w:r w:rsidR="004E17E2">
              <w:rPr>
                <w:rFonts w:ascii="Times New Roman" w:eastAsia="AngsanaUPC" w:hAnsi="Times New Roman"/>
                <w:bCs/>
                <w:sz w:val="20"/>
                <w:szCs w:val="20"/>
                <w:lang w:eastAsia="lt-LT"/>
              </w:rPr>
              <w:t xml:space="preserve"> </w:t>
            </w:r>
            <w:r w:rsidRPr="0041529C">
              <w:rPr>
                <w:rFonts w:ascii="Times New Roman" w:eastAsia="AngsanaUPC" w:hAnsi="Times New Roman"/>
                <w:bCs/>
                <w:sz w:val="20"/>
                <w:szCs w:val="20"/>
                <w:lang w:eastAsia="lt-LT"/>
              </w:rPr>
              <w:t xml:space="preserve"> </w:t>
            </w:r>
            <w:proofErr w:type="gramEnd"/>
            <w:r w:rsidRPr="0041529C">
              <w:rPr>
                <w:rFonts w:ascii="Times New Roman" w:eastAsia="AngsanaUPC" w:hAnsi="Times New Roman"/>
                <w:bCs/>
                <w:sz w:val="20"/>
                <w:szCs w:val="20"/>
                <w:lang w:eastAsia="lt-LT"/>
              </w:rPr>
              <w:t>kuriant naujas darbo vietas.</w:t>
            </w:r>
          </w:p>
        </w:tc>
      </w:tr>
      <w:tr w:rsidR="0041529C" w:rsidRPr="0041529C" w:rsidTr="00EC77A8">
        <w:tc>
          <w:tcPr>
            <w:tcW w:w="1668" w:type="dxa"/>
            <w:vMerge/>
            <w:shd w:val="clear" w:color="auto" w:fill="auto"/>
          </w:tcPr>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p>
        </w:tc>
        <w:tc>
          <w:tcPr>
            <w:tcW w:w="3685" w:type="dxa"/>
            <w:shd w:val="clear" w:color="auto" w:fill="auto"/>
          </w:tcPr>
          <w:p w:rsidR="0041529C" w:rsidRPr="0041529C" w:rsidRDefault="0041529C" w:rsidP="0041529C">
            <w:pPr>
              <w:widowControl w:val="0"/>
              <w:tabs>
                <w:tab w:val="left" w:pos="1276"/>
              </w:tabs>
              <w:adjustRightInd w:val="0"/>
              <w:spacing w:after="120" w:line="240" w:lineRule="auto"/>
              <w:jc w:val="both"/>
              <w:textAlignment w:val="baseline"/>
              <w:rPr>
                <w:rFonts w:ascii="Times New Roman" w:eastAsia="Times New Roman" w:hAnsi="Times New Roman"/>
                <w:sz w:val="20"/>
                <w:szCs w:val="20"/>
                <w:lang w:eastAsia="lt-LT"/>
              </w:rPr>
            </w:pPr>
            <w:r w:rsidRPr="0041529C">
              <w:rPr>
                <w:rFonts w:ascii="Times New Roman" w:eastAsia="Times New Roman" w:hAnsi="Times New Roman"/>
                <w:sz w:val="20"/>
                <w:szCs w:val="20"/>
                <w:lang w:eastAsia="lt-LT"/>
              </w:rPr>
              <w:t>2. Investicijos į valstybės įda</w:t>
            </w:r>
            <w:r w:rsidR="00AA0722">
              <w:rPr>
                <w:rFonts w:ascii="Times New Roman" w:eastAsia="Times New Roman" w:hAnsi="Times New Roman"/>
                <w:sz w:val="20"/>
                <w:szCs w:val="20"/>
                <w:lang w:eastAsia="lt-LT"/>
              </w:rPr>
              <w:t>rbinimo tarnybų infrastruktūrą</w:t>
            </w:r>
          </w:p>
        </w:tc>
        <w:tc>
          <w:tcPr>
            <w:tcW w:w="10064" w:type="dxa"/>
            <w:shd w:val="clear" w:color="auto" w:fill="auto"/>
          </w:tcPr>
          <w:p w:rsidR="0041529C" w:rsidRPr="0041529C" w:rsidRDefault="0041529C" w:rsidP="0041529C">
            <w:pPr>
              <w:spacing w:after="0" w:line="240" w:lineRule="auto"/>
              <w:jc w:val="both"/>
              <w:rPr>
                <w:rFonts w:ascii="Times New Roman" w:hAnsi="Times New Roman"/>
                <w:bCs/>
                <w:sz w:val="20"/>
                <w:szCs w:val="20"/>
              </w:rPr>
            </w:pPr>
            <w:r w:rsidRPr="0041529C">
              <w:rPr>
                <w:rFonts w:ascii="Times New Roman" w:hAnsi="Times New Roman"/>
                <w:bCs/>
                <w:sz w:val="20"/>
                <w:szCs w:val="20"/>
              </w:rPr>
              <w:t>ES2020 pavyzdinė iniciatyva „Naujų įgūdžių ir darbo vietų kūrimo darbotvarkė“ numato, kad reikia sudaryti sąlygas modernizuoti darbo rinkas, kad būtų didinimas užimtumo lygis ir užtikrinimas mūsų socialinių modelių tvarumas.</w:t>
            </w:r>
          </w:p>
          <w:p w:rsidR="0041529C" w:rsidRPr="0041529C" w:rsidRDefault="0041529C" w:rsidP="0041529C">
            <w:pPr>
              <w:spacing w:after="0" w:line="240" w:lineRule="auto"/>
              <w:jc w:val="both"/>
              <w:rPr>
                <w:rFonts w:ascii="Times New Roman" w:eastAsia="AngsanaUPC" w:hAnsi="Times New Roman"/>
                <w:bCs/>
                <w:sz w:val="20"/>
                <w:szCs w:val="20"/>
                <w:lang w:eastAsia="lt-LT"/>
              </w:rPr>
            </w:pPr>
            <w:r w:rsidRPr="0041529C">
              <w:rPr>
                <w:rFonts w:ascii="Times New Roman" w:hAnsi="Times New Roman"/>
                <w:bCs/>
                <w:sz w:val="20"/>
                <w:szCs w:val="20"/>
              </w:rPr>
              <w:t>NRD numatoma didinti darbo biržos teikiamų paslaugų veiksmingumą ir aktyvios darbo rinkos politikos (ADRP) priemonių aprėptį, įskaitant gebėjimų tobulinimą.</w:t>
            </w:r>
          </w:p>
        </w:tc>
      </w:tr>
      <w:tr w:rsidR="0041529C" w:rsidRPr="0041529C" w:rsidTr="00EC77A8">
        <w:tc>
          <w:tcPr>
            <w:tcW w:w="1668" w:type="dxa"/>
            <w:vMerge/>
            <w:shd w:val="clear" w:color="auto" w:fill="auto"/>
          </w:tcPr>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p>
        </w:tc>
        <w:tc>
          <w:tcPr>
            <w:tcW w:w="3685" w:type="dxa"/>
            <w:shd w:val="clear" w:color="auto" w:fill="auto"/>
          </w:tcPr>
          <w:p w:rsidR="0041529C" w:rsidRPr="0041529C" w:rsidRDefault="0041529C" w:rsidP="0041529C">
            <w:pPr>
              <w:widowControl w:val="0"/>
              <w:tabs>
                <w:tab w:val="left" w:pos="1276"/>
              </w:tabs>
              <w:adjustRightInd w:val="0"/>
              <w:spacing w:after="120" w:line="240" w:lineRule="auto"/>
              <w:jc w:val="both"/>
              <w:textAlignment w:val="baseline"/>
              <w:rPr>
                <w:rFonts w:ascii="Times New Roman" w:eastAsia="Times New Roman" w:hAnsi="Times New Roman"/>
                <w:sz w:val="20"/>
                <w:szCs w:val="20"/>
                <w:lang w:eastAsia="lt-LT"/>
              </w:rPr>
            </w:pPr>
            <w:r w:rsidRPr="0041529C">
              <w:rPr>
                <w:rFonts w:ascii="Times New Roman" w:eastAsia="Times New Roman" w:hAnsi="Times New Roman"/>
                <w:sz w:val="20"/>
                <w:szCs w:val="20"/>
                <w:lang w:eastAsia="lt-LT"/>
              </w:rPr>
              <w:t>3. Galimybės gauti darbą suteikimas ieškantiems darbo ir neaktyviems asmenims, įskaitant ilgalaikius bedarbius ir asmenis, nutolusius nuo darbo rinkos, pasitelkiant vietos užimtumo iniciatyvas</w:t>
            </w:r>
            <w:r w:rsidR="00AA0722">
              <w:rPr>
                <w:rFonts w:ascii="Times New Roman" w:eastAsia="Times New Roman" w:hAnsi="Times New Roman"/>
                <w:sz w:val="20"/>
                <w:szCs w:val="20"/>
                <w:lang w:eastAsia="lt-LT"/>
              </w:rPr>
              <w:t xml:space="preserve"> ir remiant darbo jėgos judumą</w:t>
            </w:r>
          </w:p>
        </w:tc>
        <w:tc>
          <w:tcPr>
            <w:tcW w:w="10064" w:type="dxa"/>
            <w:shd w:val="clear" w:color="auto" w:fill="auto"/>
          </w:tcPr>
          <w:p w:rsidR="0041529C" w:rsidRPr="0041529C" w:rsidRDefault="00485AA5" w:rsidP="0041529C">
            <w:pPr>
              <w:widowControl w:val="0"/>
              <w:tabs>
                <w:tab w:val="left" w:pos="622"/>
              </w:tabs>
              <w:spacing w:after="0" w:line="240" w:lineRule="auto"/>
              <w:jc w:val="both"/>
              <w:rPr>
                <w:rFonts w:ascii="Times New Roman" w:eastAsia="AngsanaUPC" w:hAnsi="Times New Roman"/>
                <w:bCs/>
                <w:sz w:val="20"/>
                <w:szCs w:val="20"/>
                <w:lang w:eastAsia="lt-LT"/>
              </w:rPr>
            </w:pPr>
            <w:r w:rsidRPr="0041529C">
              <w:rPr>
                <w:rFonts w:ascii="Times New Roman" w:eastAsia="AngsanaUPC" w:hAnsi="Times New Roman"/>
                <w:bCs/>
                <w:sz w:val="20"/>
                <w:szCs w:val="20"/>
                <w:lang w:eastAsia="lt-LT"/>
              </w:rPr>
              <w:t>201</w:t>
            </w:r>
            <w:r>
              <w:rPr>
                <w:rFonts w:ascii="Times New Roman" w:eastAsia="AngsanaUPC" w:hAnsi="Times New Roman"/>
                <w:bCs/>
                <w:sz w:val="20"/>
                <w:szCs w:val="20"/>
                <w:lang w:eastAsia="lt-LT"/>
              </w:rPr>
              <w:t>4</w:t>
            </w:r>
            <w:r w:rsidRPr="0041529C">
              <w:rPr>
                <w:rFonts w:ascii="Times New Roman" w:eastAsia="AngsanaUPC" w:hAnsi="Times New Roman"/>
                <w:bCs/>
                <w:sz w:val="20"/>
                <w:szCs w:val="20"/>
                <w:lang w:eastAsia="lt-LT"/>
              </w:rPr>
              <w:t xml:space="preserve"> </w:t>
            </w:r>
            <w:r w:rsidR="0041529C" w:rsidRPr="0041529C">
              <w:rPr>
                <w:rFonts w:ascii="Times New Roman" w:eastAsia="AngsanaUPC" w:hAnsi="Times New Roman"/>
                <w:bCs/>
                <w:sz w:val="20"/>
                <w:szCs w:val="20"/>
                <w:lang w:eastAsia="lt-LT"/>
              </w:rPr>
              <w:t>m. Tarybos rekomendacijoje Lietuvai</w:t>
            </w:r>
            <w:r w:rsidR="00EC77A8">
              <w:rPr>
                <w:rFonts w:ascii="Times New Roman" w:eastAsia="AngsanaUPC" w:hAnsi="Times New Roman"/>
                <w:bCs/>
                <w:sz w:val="20"/>
                <w:szCs w:val="20"/>
                <w:lang w:eastAsia="lt-LT"/>
              </w:rPr>
              <w:t xml:space="preserve"> </w:t>
            </w:r>
            <w:r w:rsidR="00B64BC0">
              <w:rPr>
                <w:rFonts w:ascii="Times New Roman" w:eastAsia="AngsanaUPC" w:hAnsi="Times New Roman"/>
                <w:bCs/>
                <w:sz w:val="20"/>
                <w:szCs w:val="20"/>
                <w:lang w:eastAsia="lt-LT"/>
              </w:rPr>
              <w:t>siūloma</w:t>
            </w:r>
            <w:r>
              <w:rPr>
                <w:rFonts w:ascii="Times New Roman" w:eastAsia="AngsanaUPC" w:hAnsi="Times New Roman"/>
                <w:bCs/>
                <w:sz w:val="20"/>
                <w:szCs w:val="20"/>
                <w:lang w:eastAsia="lt-LT"/>
              </w:rPr>
              <w:t xml:space="preserve"> tikslingiau taikyti aktyvios darbo rinkos politikos priemones</w:t>
            </w:r>
            <w:r w:rsidR="0041529C" w:rsidRPr="0041529C">
              <w:rPr>
                <w:rFonts w:ascii="Times New Roman" w:eastAsia="AngsanaUPC" w:hAnsi="Times New Roman"/>
                <w:bCs/>
                <w:sz w:val="20"/>
                <w:szCs w:val="20"/>
                <w:lang w:eastAsia="lt-LT"/>
              </w:rPr>
              <w:t xml:space="preserve"> žemos kvalifikacijos </w:t>
            </w:r>
            <w:r>
              <w:rPr>
                <w:rFonts w:ascii="Times New Roman" w:eastAsia="AngsanaUPC" w:hAnsi="Times New Roman"/>
                <w:bCs/>
                <w:sz w:val="20"/>
                <w:szCs w:val="20"/>
                <w:lang w:eastAsia="lt-LT"/>
              </w:rPr>
              <w:t xml:space="preserve">ir ilgalaikiams bedarbiams. </w:t>
            </w:r>
            <w:r w:rsidR="0041529C" w:rsidRPr="0041529C">
              <w:rPr>
                <w:rFonts w:ascii="Times New Roman" w:eastAsia="AngsanaUPC" w:hAnsi="Times New Roman"/>
                <w:bCs/>
                <w:sz w:val="20"/>
                <w:szCs w:val="20"/>
                <w:lang w:eastAsia="lt-LT"/>
              </w:rPr>
              <w:t xml:space="preserve">ES2020 pavyzdinė iniciatyva „Naujų įgūdžių ir darbo vietų kūrimo darbotvarkė“ numato pagrindinius prioritetus, skirtus didinti užimtumo lygį, ypač moterų, jaunimo ir vyresnio amžiaus žmonių. </w:t>
            </w:r>
          </w:p>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r w:rsidRPr="0041529C">
              <w:rPr>
                <w:rFonts w:ascii="Times New Roman" w:eastAsia="AngsanaUPC" w:hAnsi="Times New Roman"/>
                <w:bCs/>
                <w:sz w:val="20"/>
                <w:szCs w:val="20"/>
                <w:lang w:eastAsia="lt-LT"/>
              </w:rPr>
              <w:t>NRD nurodoma, kad Lietuvai svarbu vykdyti struktūrinio nedarbo prevenciją ir vystyti įtraukią darbo rinką, taip šalinant kliūtis ekonomikai augti.</w:t>
            </w:r>
          </w:p>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r w:rsidRPr="0041529C">
              <w:rPr>
                <w:rFonts w:ascii="Times New Roman" w:eastAsia="AngsanaUPC" w:hAnsi="Times New Roman"/>
                <w:bCs/>
                <w:sz w:val="20"/>
                <w:szCs w:val="20"/>
                <w:lang w:eastAsia="lt-LT"/>
              </w:rPr>
              <w:t>EK pozicijoje siūloma gerinti ADRP veiksmingumą, aprėptį ir orientavimą, taikant integruotas priemones didinti savarankiškai dirbančiųjų skaičių ir įmonių steigimą.</w:t>
            </w:r>
          </w:p>
        </w:tc>
      </w:tr>
      <w:tr w:rsidR="0041529C" w:rsidRPr="0041529C" w:rsidTr="00EC77A8">
        <w:tc>
          <w:tcPr>
            <w:tcW w:w="1668" w:type="dxa"/>
            <w:vMerge/>
            <w:shd w:val="clear" w:color="auto" w:fill="auto"/>
          </w:tcPr>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p>
        </w:tc>
        <w:tc>
          <w:tcPr>
            <w:tcW w:w="3685" w:type="dxa"/>
            <w:shd w:val="clear" w:color="auto" w:fill="auto"/>
          </w:tcPr>
          <w:p w:rsidR="0041529C" w:rsidRPr="0041529C" w:rsidRDefault="0041529C" w:rsidP="007321B0">
            <w:pPr>
              <w:widowControl w:val="0"/>
              <w:tabs>
                <w:tab w:val="left" w:pos="1276"/>
              </w:tabs>
              <w:adjustRightInd w:val="0"/>
              <w:spacing w:after="120" w:line="240" w:lineRule="auto"/>
              <w:jc w:val="both"/>
              <w:textAlignment w:val="baseline"/>
              <w:rPr>
                <w:rFonts w:ascii="Times New Roman" w:eastAsia="Times New Roman" w:hAnsi="Times New Roman"/>
                <w:sz w:val="20"/>
                <w:szCs w:val="20"/>
                <w:lang w:eastAsia="lt-LT"/>
              </w:rPr>
            </w:pPr>
            <w:r w:rsidRPr="0041529C">
              <w:rPr>
                <w:rFonts w:ascii="Times New Roman" w:eastAsia="Times New Roman" w:hAnsi="Times New Roman"/>
                <w:sz w:val="20"/>
                <w:szCs w:val="20"/>
                <w:lang w:eastAsia="lt-LT"/>
              </w:rPr>
              <w:t>4. Jaunimo, visų pirma nedirbančio ir n</w:t>
            </w:r>
            <w:r w:rsidR="0054367E">
              <w:rPr>
                <w:rFonts w:ascii="Times New Roman" w:eastAsia="Times New Roman" w:hAnsi="Times New Roman"/>
                <w:sz w:val="20"/>
                <w:szCs w:val="20"/>
                <w:lang w:eastAsia="lt-LT"/>
              </w:rPr>
              <w:t>esimokančio, įskaitant marginal</w:t>
            </w:r>
            <w:r w:rsidR="00EC77A8">
              <w:rPr>
                <w:rFonts w:ascii="Times New Roman" w:eastAsia="Times New Roman" w:hAnsi="Times New Roman"/>
                <w:sz w:val="20"/>
                <w:szCs w:val="20"/>
                <w:lang w:eastAsia="lt-LT"/>
              </w:rPr>
              <w:t>ių</w:t>
            </w:r>
            <w:r w:rsidRPr="0041529C">
              <w:rPr>
                <w:rFonts w:ascii="Times New Roman" w:eastAsia="Times New Roman" w:hAnsi="Times New Roman"/>
                <w:sz w:val="20"/>
                <w:szCs w:val="20"/>
                <w:lang w:eastAsia="lt-LT"/>
              </w:rPr>
              <w:t xml:space="preserve"> bendruomenių jaunimą ir tą, kuriam kyla socialinės atskirties pavojus, ilgalaikė integracija į darbo rinką, taip pat ir įgyvendina</w:t>
            </w:r>
            <w:r w:rsidR="00AA0722">
              <w:rPr>
                <w:rFonts w:ascii="Times New Roman" w:eastAsia="Times New Roman" w:hAnsi="Times New Roman"/>
                <w:sz w:val="20"/>
                <w:szCs w:val="20"/>
                <w:lang w:eastAsia="lt-LT"/>
              </w:rPr>
              <w:t>nt Jaunimo garantijų iniciatyvą</w:t>
            </w:r>
            <w:r w:rsidRPr="0041529C">
              <w:rPr>
                <w:rFonts w:ascii="Times New Roman" w:eastAsia="Times New Roman" w:hAnsi="Times New Roman"/>
                <w:sz w:val="20"/>
                <w:szCs w:val="20"/>
                <w:lang w:eastAsia="lt-LT"/>
              </w:rPr>
              <w:t xml:space="preserve"> </w:t>
            </w:r>
          </w:p>
        </w:tc>
        <w:tc>
          <w:tcPr>
            <w:tcW w:w="10064" w:type="dxa"/>
            <w:shd w:val="clear" w:color="auto" w:fill="auto"/>
          </w:tcPr>
          <w:p w:rsidR="0041529C" w:rsidRPr="0041529C" w:rsidRDefault="00485AA5" w:rsidP="0041529C">
            <w:pPr>
              <w:widowControl w:val="0"/>
              <w:tabs>
                <w:tab w:val="left" w:pos="622"/>
              </w:tabs>
              <w:spacing w:after="0" w:line="240" w:lineRule="auto"/>
              <w:jc w:val="both"/>
              <w:rPr>
                <w:rFonts w:ascii="Times New Roman" w:eastAsia="AngsanaUPC" w:hAnsi="Times New Roman"/>
                <w:bCs/>
                <w:sz w:val="20"/>
                <w:szCs w:val="20"/>
                <w:lang w:eastAsia="lt-LT"/>
              </w:rPr>
            </w:pPr>
            <w:r w:rsidRPr="0041529C">
              <w:rPr>
                <w:rFonts w:ascii="Times New Roman" w:eastAsia="AngsanaUPC" w:hAnsi="Times New Roman"/>
                <w:bCs/>
                <w:sz w:val="20"/>
                <w:szCs w:val="20"/>
                <w:lang w:eastAsia="lt-LT"/>
              </w:rPr>
              <w:t>201</w:t>
            </w:r>
            <w:r>
              <w:rPr>
                <w:rFonts w:ascii="Times New Roman" w:eastAsia="AngsanaUPC" w:hAnsi="Times New Roman"/>
                <w:bCs/>
                <w:sz w:val="20"/>
                <w:szCs w:val="20"/>
                <w:lang w:eastAsia="lt-LT"/>
              </w:rPr>
              <w:t>4</w:t>
            </w:r>
            <w:r w:rsidRPr="0041529C">
              <w:rPr>
                <w:rFonts w:ascii="Times New Roman" w:eastAsia="AngsanaUPC" w:hAnsi="Times New Roman"/>
                <w:bCs/>
                <w:sz w:val="20"/>
                <w:szCs w:val="20"/>
                <w:lang w:eastAsia="lt-LT"/>
              </w:rPr>
              <w:t xml:space="preserve"> </w:t>
            </w:r>
            <w:r w:rsidR="0041529C" w:rsidRPr="0041529C">
              <w:rPr>
                <w:rFonts w:ascii="Times New Roman" w:eastAsia="AngsanaUPC" w:hAnsi="Times New Roman"/>
                <w:bCs/>
                <w:sz w:val="20"/>
                <w:szCs w:val="20"/>
                <w:lang w:eastAsia="lt-LT"/>
              </w:rPr>
              <w:t>m. Tarybos rekomendacijoje Lietuvai</w:t>
            </w:r>
            <w:r w:rsidR="00EC77A8">
              <w:rPr>
                <w:rFonts w:ascii="Times New Roman" w:eastAsia="AngsanaUPC" w:hAnsi="Times New Roman"/>
                <w:bCs/>
                <w:sz w:val="20"/>
                <w:szCs w:val="20"/>
                <w:lang w:eastAsia="lt-LT"/>
              </w:rPr>
              <w:t xml:space="preserve"> </w:t>
            </w:r>
            <w:r w:rsidR="0041529C" w:rsidRPr="0041529C">
              <w:rPr>
                <w:rFonts w:ascii="Times New Roman" w:eastAsia="AngsanaUPC" w:hAnsi="Times New Roman"/>
                <w:bCs/>
                <w:sz w:val="20"/>
                <w:szCs w:val="20"/>
                <w:lang w:eastAsia="lt-LT"/>
              </w:rPr>
              <w:t xml:space="preserve">siūloma </w:t>
            </w:r>
            <w:r>
              <w:rPr>
                <w:rFonts w:ascii="Times New Roman" w:eastAsia="AngsanaUPC" w:hAnsi="Times New Roman"/>
                <w:bCs/>
                <w:sz w:val="20"/>
                <w:szCs w:val="20"/>
                <w:lang w:eastAsia="lt-LT"/>
              </w:rPr>
              <w:t>didinti jaunimo galimybes įsidarbinti, skatinant kokybiškas pameistrystės programas ir stiprinant partnerystę su privačiu sektoriumi</w:t>
            </w:r>
            <w:r w:rsidR="00472A8E">
              <w:rPr>
                <w:rFonts w:ascii="Times New Roman" w:eastAsia="AngsanaUPC" w:hAnsi="Times New Roman"/>
                <w:bCs/>
                <w:sz w:val="20"/>
                <w:szCs w:val="20"/>
                <w:lang w:eastAsia="lt-LT"/>
              </w:rPr>
              <w:t>,</w:t>
            </w:r>
            <w:r w:rsidR="0041529C" w:rsidRPr="0041529C">
              <w:rPr>
                <w:rFonts w:ascii="Times New Roman" w:eastAsia="AngsanaUPC" w:hAnsi="Times New Roman"/>
                <w:bCs/>
                <w:sz w:val="20"/>
                <w:szCs w:val="20"/>
                <w:lang w:eastAsia="lt-LT"/>
              </w:rPr>
              <w:t xml:space="preserve"> ypač jaunimo, skiriant daugiau išteklių ADRP priemonėms. </w:t>
            </w:r>
          </w:p>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r w:rsidRPr="0041529C">
              <w:rPr>
                <w:rFonts w:ascii="Times New Roman" w:eastAsia="AngsanaUPC" w:hAnsi="Times New Roman"/>
                <w:bCs/>
                <w:sz w:val="20"/>
                <w:szCs w:val="20"/>
                <w:lang w:eastAsia="lt-LT"/>
              </w:rPr>
              <w:t>ES2020 pavyzdinė iniciatyva „Judus jaunimas“ siekia pagerinti jaunų žmonių įsitraukimą į darbo rinką, teikiant profesinį orientavimą, konsultavimo paslaugas, skatinant stažuotes ir kt.</w:t>
            </w:r>
          </w:p>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r w:rsidRPr="0041529C">
              <w:rPr>
                <w:rFonts w:ascii="Times New Roman" w:eastAsia="AngsanaUPC" w:hAnsi="Times New Roman"/>
                <w:bCs/>
                <w:sz w:val="20"/>
                <w:szCs w:val="20"/>
                <w:lang w:eastAsia="lt-LT"/>
              </w:rPr>
              <w:t>Šis investicinis prioritetas tiesiogiai prisidės</w:t>
            </w:r>
            <w:r w:rsidR="00B64BC0">
              <w:rPr>
                <w:rFonts w:ascii="Times New Roman" w:eastAsia="AngsanaUPC" w:hAnsi="Times New Roman"/>
                <w:bCs/>
                <w:sz w:val="20"/>
                <w:szCs w:val="20"/>
                <w:lang w:eastAsia="lt-LT"/>
              </w:rPr>
              <w:t>,</w:t>
            </w:r>
            <w:r w:rsidRPr="0041529C">
              <w:rPr>
                <w:rFonts w:ascii="Times New Roman" w:eastAsia="AngsanaUPC" w:hAnsi="Times New Roman"/>
                <w:bCs/>
                <w:sz w:val="20"/>
                <w:szCs w:val="20"/>
                <w:lang w:eastAsia="lt-LT"/>
              </w:rPr>
              <w:t xml:space="preserve"> įgyvendinant Tarybos rekomendaciją dėl jaunimo garantijos (COM(2012) 729 final) ir Komisijos komunikatą dėl jaunimo užimtumo iniciatyvos (COM(2013) 144 final).</w:t>
            </w:r>
          </w:p>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r w:rsidRPr="0041529C">
              <w:rPr>
                <w:rFonts w:ascii="Times New Roman" w:eastAsia="AngsanaUPC" w:hAnsi="Times New Roman"/>
                <w:bCs/>
                <w:sz w:val="20"/>
                <w:szCs w:val="20"/>
                <w:lang w:eastAsia="lt-LT"/>
              </w:rPr>
              <w:t>EK pozicijoje siūloma įgyvendinti Jaunimo garantij</w:t>
            </w:r>
            <w:r w:rsidR="003927DE">
              <w:rPr>
                <w:rFonts w:ascii="Times New Roman" w:eastAsia="AngsanaUPC" w:hAnsi="Times New Roman"/>
                <w:bCs/>
                <w:sz w:val="20"/>
                <w:szCs w:val="20"/>
                <w:lang w:eastAsia="lt-LT"/>
              </w:rPr>
              <w:t>ų</w:t>
            </w:r>
            <w:r w:rsidRPr="0041529C">
              <w:rPr>
                <w:rFonts w:ascii="Times New Roman" w:eastAsia="AngsanaUPC" w:hAnsi="Times New Roman"/>
                <w:bCs/>
                <w:sz w:val="20"/>
                <w:szCs w:val="20"/>
                <w:lang w:eastAsia="lt-LT"/>
              </w:rPr>
              <w:t xml:space="preserve"> iniciatyvą.</w:t>
            </w:r>
          </w:p>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r w:rsidRPr="0041529C">
              <w:rPr>
                <w:rFonts w:ascii="Times New Roman" w:eastAsia="AngsanaUPC" w:hAnsi="Times New Roman"/>
                <w:bCs/>
                <w:sz w:val="20"/>
                <w:szCs w:val="20"/>
                <w:lang w:eastAsia="lt-LT"/>
              </w:rPr>
              <w:t>Veiklos, skirtos mokymui ir stažuotėms, siekiant integruoti jaunimą į darbo rinką, prisidės prie ES BJRS prioritetinės srities „Švietimas“ įgyvendinimo.</w:t>
            </w:r>
          </w:p>
        </w:tc>
      </w:tr>
      <w:tr w:rsidR="0041529C" w:rsidRPr="0041529C" w:rsidTr="00EC77A8">
        <w:tc>
          <w:tcPr>
            <w:tcW w:w="1668" w:type="dxa"/>
            <w:vMerge w:val="restart"/>
            <w:shd w:val="clear" w:color="auto" w:fill="auto"/>
          </w:tcPr>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r w:rsidRPr="0041529C">
              <w:rPr>
                <w:rFonts w:ascii="Times New Roman" w:eastAsia="AngsanaUPC" w:hAnsi="Times New Roman"/>
                <w:bCs/>
                <w:sz w:val="20"/>
                <w:szCs w:val="20"/>
                <w:lang w:eastAsia="lt-LT"/>
              </w:rPr>
              <w:t>9. Socialinės įtraukties skatinimas ir kova su skurdu bei diskriminacija</w:t>
            </w:r>
          </w:p>
        </w:tc>
        <w:tc>
          <w:tcPr>
            <w:tcW w:w="3685" w:type="dxa"/>
            <w:shd w:val="clear" w:color="auto" w:fill="auto"/>
          </w:tcPr>
          <w:p w:rsidR="0041529C" w:rsidRPr="0041529C" w:rsidRDefault="0041529C" w:rsidP="0041529C">
            <w:pPr>
              <w:widowControl w:val="0"/>
              <w:tabs>
                <w:tab w:val="left" w:pos="1276"/>
              </w:tabs>
              <w:adjustRightInd w:val="0"/>
              <w:spacing w:after="120" w:line="240" w:lineRule="auto"/>
              <w:jc w:val="both"/>
              <w:textAlignment w:val="baseline"/>
              <w:rPr>
                <w:rFonts w:ascii="Times New Roman" w:eastAsia="Times New Roman" w:hAnsi="Times New Roman"/>
                <w:sz w:val="20"/>
                <w:szCs w:val="20"/>
                <w:lang w:eastAsia="lt-LT"/>
              </w:rPr>
            </w:pPr>
            <w:r w:rsidRPr="0041529C">
              <w:rPr>
                <w:rFonts w:ascii="Times New Roman" w:eastAsia="Times New Roman" w:hAnsi="Times New Roman"/>
                <w:sz w:val="20"/>
                <w:szCs w:val="20"/>
                <w:lang w:eastAsia="lt-LT"/>
              </w:rPr>
              <w:t>1. Investicijos į sveikatos ir socialinę infrastruktūrą, kuria prisidedama prie nacionalinės, regionų ir vietos plėtros, su sveikatos būkle susijusios nelygybės mažinimo, socialinės įtraukties skatinimo, suteikiant geresnę prieigą prie socialinių, kultūrinių ir rekreacinių paslaugų, ir perėjimo nuo institucin</w:t>
            </w:r>
            <w:r w:rsidR="00AA0722">
              <w:rPr>
                <w:rFonts w:ascii="Times New Roman" w:eastAsia="Times New Roman" w:hAnsi="Times New Roman"/>
                <w:sz w:val="20"/>
                <w:szCs w:val="20"/>
                <w:lang w:eastAsia="lt-LT"/>
              </w:rPr>
              <w:t>ių prie bendruomeninių paslaugų</w:t>
            </w:r>
          </w:p>
        </w:tc>
        <w:tc>
          <w:tcPr>
            <w:tcW w:w="10064" w:type="dxa"/>
            <w:shd w:val="clear" w:color="auto" w:fill="auto"/>
          </w:tcPr>
          <w:p w:rsidR="0041529C" w:rsidRPr="0041529C" w:rsidRDefault="00485AA5" w:rsidP="0041529C">
            <w:pPr>
              <w:widowControl w:val="0"/>
              <w:tabs>
                <w:tab w:val="left" w:pos="622"/>
              </w:tabs>
              <w:spacing w:after="0" w:line="240" w:lineRule="auto"/>
              <w:jc w:val="both"/>
              <w:rPr>
                <w:rFonts w:ascii="Times New Roman" w:eastAsia="AngsanaUPC" w:hAnsi="Times New Roman"/>
                <w:bCs/>
                <w:sz w:val="20"/>
                <w:szCs w:val="20"/>
                <w:lang w:eastAsia="lt-LT"/>
              </w:rPr>
            </w:pPr>
            <w:r w:rsidRPr="0041529C">
              <w:rPr>
                <w:rFonts w:ascii="Times New Roman" w:eastAsia="AngsanaUPC" w:hAnsi="Times New Roman"/>
                <w:bCs/>
                <w:sz w:val="20"/>
                <w:szCs w:val="20"/>
                <w:lang w:eastAsia="lt-LT"/>
              </w:rPr>
              <w:t>201</w:t>
            </w:r>
            <w:r>
              <w:rPr>
                <w:rFonts w:ascii="Times New Roman" w:eastAsia="AngsanaUPC" w:hAnsi="Times New Roman"/>
                <w:bCs/>
                <w:sz w:val="20"/>
                <w:szCs w:val="20"/>
                <w:lang w:eastAsia="lt-LT"/>
              </w:rPr>
              <w:t>4</w:t>
            </w:r>
            <w:r w:rsidRPr="0041529C">
              <w:rPr>
                <w:rFonts w:ascii="Times New Roman" w:eastAsia="AngsanaUPC" w:hAnsi="Times New Roman"/>
                <w:bCs/>
                <w:sz w:val="20"/>
                <w:szCs w:val="20"/>
                <w:lang w:eastAsia="lt-LT"/>
              </w:rPr>
              <w:t xml:space="preserve"> </w:t>
            </w:r>
            <w:r w:rsidR="0041529C" w:rsidRPr="0041529C">
              <w:rPr>
                <w:rFonts w:ascii="Times New Roman" w:eastAsia="AngsanaUPC" w:hAnsi="Times New Roman"/>
                <w:bCs/>
                <w:sz w:val="20"/>
                <w:szCs w:val="20"/>
                <w:lang w:eastAsia="lt-LT"/>
              </w:rPr>
              <w:t>m. Tarybos rekomendacijoje Lietuvai</w:t>
            </w:r>
            <w:r w:rsidR="00EC77A8">
              <w:rPr>
                <w:rFonts w:ascii="Times New Roman" w:eastAsia="AngsanaUPC" w:hAnsi="Times New Roman"/>
                <w:bCs/>
                <w:sz w:val="20"/>
                <w:szCs w:val="20"/>
                <w:lang w:eastAsia="lt-LT"/>
              </w:rPr>
              <w:t xml:space="preserve"> </w:t>
            </w:r>
            <w:r w:rsidR="0041529C" w:rsidRPr="0041529C">
              <w:rPr>
                <w:rFonts w:ascii="Times New Roman" w:eastAsia="AngsanaUPC" w:hAnsi="Times New Roman"/>
                <w:bCs/>
                <w:sz w:val="20"/>
                <w:szCs w:val="20"/>
                <w:lang w:eastAsia="lt-LT"/>
              </w:rPr>
              <w:t xml:space="preserve">rekomenduojama </w:t>
            </w:r>
            <w:r>
              <w:rPr>
                <w:rFonts w:ascii="Times New Roman" w:eastAsia="AngsanaUPC" w:hAnsi="Times New Roman"/>
                <w:bCs/>
                <w:sz w:val="20"/>
                <w:szCs w:val="20"/>
                <w:lang w:eastAsia="lt-LT"/>
              </w:rPr>
              <w:t>užtikrinti, kad reikiama parama būtų teikiama asmenims</w:t>
            </w:r>
            <w:r w:rsidR="0041529C" w:rsidRPr="0041529C">
              <w:rPr>
                <w:rFonts w:ascii="Times New Roman" w:eastAsia="AngsanaUPC" w:hAnsi="Times New Roman"/>
                <w:bCs/>
                <w:sz w:val="20"/>
                <w:szCs w:val="20"/>
                <w:lang w:eastAsia="lt-LT"/>
              </w:rPr>
              <w:t>,</w:t>
            </w:r>
            <w:r>
              <w:rPr>
                <w:rFonts w:ascii="Times New Roman" w:eastAsia="AngsanaUPC" w:hAnsi="Times New Roman"/>
                <w:bCs/>
                <w:sz w:val="20"/>
                <w:szCs w:val="20"/>
                <w:lang w:eastAsia="lt-LT"/>
              </w:rPr>
              <w:t xml:space="preserve"> kuriems labiausiai jos reikia, toliau stiprinti piniginės socialinės paramos sistemos sąsajas su aktyvumo skatinimo priemonėmis. </w:t>
            </w:r>
            <w:r w:rsidR="0041529C" w:rsidRPr="0041529C">
              <w:rPr>
                <w:rFonts w:ascii="Times New Roman" w:eastAsia="AngsanaUPC" w:hAnsi="Times New Roman"/>
                <w:bCs/>
                <w:sz w:val="20"/>
                <w:szCs w:val="20"/>
                <w:lang w:eastAsia="lt-LT"/>
              </w:rPr>
              <w:t xml:space="preserve"> Siekiant ES2020 pagrindinio tikslo dėl skurdo mažinimo, Lietuva numato 2020 m. sumažinti skurdą arba atskirties riziką patiriančių žmonių skaičių iki 814 tūkst.</w:t>
            </w:r>
          </w:p>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r w:rsidRPr="0041529C">
              <w:rPr>
                <w:rFonts w:ascii="Times New Roman" w:eastAsia="AngsanaUPC" w:hAnsi="Times New Roman"/>
                <w:bCs/>
                <w:sz w:val="20"/>
                <w:szCs w:val="20"/>
                <w:lang w:eastAsia="lt-LT"/>
              </w:rPr>
              <w:t>ES2020 pabrėžiama, kad būtinos pastangos mažinant skurdą, socialinę atskirtį ir sveikatos netolygumus.</w:t>
            </w:r>
          </w:p>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r w:rsidRPr="0041529C">
              <w:rPr>
                <w:rFonts w:ascii="Times New Roman" w:eastAsia="AngsanaUPC" w:hAnsi="Times New Roman"/>
                <w:bCs/>
                <w:sz w:val="20"/>
                <w:szCs w:val="20"/>
                <w:lang w:eastAsia="lt-LT"/>
              </w:rPr>
              <w:t>NRD nurodoma, kad viena</w:t>
            </w:r>
            <w:r w:rsidR="00B64BC0">
              <w:rPr>
                <w:rFonts w:ascii="Times New Roman" w:eastAsia="AngsanaUPC" w:hAnsi="Times New Roman"/>
                <w:bCs/>
                <w:sz w:val="20"/>
                <w:szCs w:val="20"/>
                <w:lang w:eastAsia="lt-LT"/>
              </w:rPr>
              <w:t xml:space="preserve"> iš</w:t>
            </w:r>
            <w:r w:rsidRPr="0041529C">
              <w:rPr>
                <w:rFonts w:ascii="Times New Roman" w:eastAsia="AngsanaUPC" w:hAnsi="Times New Roman"/>
                <w:bCs/>
                <w:sz w:val="20"/>
                <w:szCs w:val="20"/>
                <w:lang w:eastAsia="lt-LT"/>
              </w:rPr>
              <w:t xml:space="preserve"> pagrindinių skurdo ir socialinės atskirties mažinimo krypčių – sveikatos santykių teisumą skatinanti sveikatos apsaugos politika.</w:t>
            </w:r>
          </w:p>
        </w:tc>
      </w:tr>
      <w:tr w:rsidR="0041529C" w:rsidRPr="0041529C" w:rsidTr="00EC77A8">
        <w:tc>
          <w:tcPr>
            <w:tcW w:w="1668" w:type="dxa"/>
            <w:vMerge/>
            <w:shd w:val="clear" w:color="auto" w:fill="auto"/>
          </w:tcPr>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p>
        </w:tc>
        <w:tc>
          <w:tcPr>
            <w:tcW w:w="3685" w:type="dxa"/>
            <w:shd w:val="clear" w:color="auto" w:fill="auto"/>
          </w:tcPr>
          <w:p w:rsidR="0041529C" w:rsidRPr="0041529C" w:rsidRDefault="0041529C" w:rsidP="0041529C">
            <w:pPr>
              <w:widowControl w:val="0"/>
              <w:tabs>
                <w:tab w:val="left" w:pos="1276"/>
              </w:tabs>
              <w:adjustRightInd w:val="0"/>
              <w:spacing w:after="120" w:line="240" w:lineRule="auto"/>
              <w:jc w:val="both"/>
              <w:textAlignment w:val="baseline"/>
              <w:rPr>
                <w:rFonts w:ascii="Times New Roman" w:eastAsia="Times New Roman" w:hAnsi="Times New Roman"/>
                <w:sz w:val="20"/>
                <w:szCs w:val="20"/>
                <w:lang w:eastAsia="lt-LT"/>
              </w:rPr>
            </w:pPr>
            <w:r w:rsidRPr="0041529C">
              <w:rPr>
                <w:rFonts w:ascii="Times New Roman" w:eastAsia="Times New Roman" w:hAnsi="Times New Roman"/>
                <w:sz w:val="20"/>
                <w:szCs w:val="20"/>
                <w:lang w:eastAsia="lt-LT"/>
              </w:rPr>
              <w:t xml:space="preserve">2. </w:t>
            </w:r>
            <w:r w:rsidR="00834007" w:rsidRPr="00834007">
              <w:rPr>
                <w:rFonts w:ascii="Times New Roman" w:eastAsia="Times New Roman" w:hAnsi="Times New Roman"/>
                <w:sz w:val="20"/>
                <w:szCs w:val="20"/>
                <w:lang w:eastAsia="lt-LT"/>
              </w:rPr>
              <w:t>Fizinio, ekonominio ir socialinio nepasiturinčių miestų ir kaimų bendruomenių bei vietovių atnaujinimo rėmimas</w:t>
            </w:r>
          </w:p>
        </w:tc>
        <w:tc>
          <w:tcPr>
            <w:tcW w:w="10064" w:type="dxa"/>
            <w:shd w:val="clear" w:color="auto" w:fill="auto"/>
          </w:tcPr>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r w:rsidRPr="0041529C">
              <w:rPr>
                <w:rFonts w:ascii="Times New Roman" w:eastAsia="AngsanaUPC" w:hAnsi="Times New Roman"/>
                <w:bCs/>
                <w:sz w:val="20"/>
                <w:szCs w:val="20"/>
                <w:lang w:eastAsia="lt-LT"/>
              </w:rPr>
              <w:t>Lietuvoje didžiausią skurdo riziką patiria kaimo vietovių gyventojai. Lietuvoje skurdo rizikos lygis kaime 2011 m. buvo 2,4 karto didesnis nei didžiuosiuose miestuose. Lyginant su kitomis gyvenamųjų vietovių grupėmis, kaimo vietovės sparčiausiai sensta dėl nepakankamos natūralios gyventojų kaitos.</w:t>
            </w:r>
          </w:p>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r w:rsidRPr="0041529C">
              <w:rPr>
                <w:rFonts w:ascii="Times New Roman" w:eastAsia="AngsanaUPC" w:hAnsi="Times New Roman"/>
                <w:bCs/>
                <w:sz w:val="20"/>
                <w:szCs w:val="20"/>
                <w:lang w:eastAsia="lt-LT"/>
              </w:rPr>
              <w:t xml:space="preserve">ES2020 pavyzdinė iniciatyva „Europos kovos su skurdu planas“ numato, kad reikia mažinti skirtumus ir nuolat kovoti su skurdu, ypač miestuose, imtis tikslinių veiksmų ekonominiu ir socialiniu požiūriu. </w:t>
            </w:r>
          </w:p>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r w:rsidRPr="0041529C">
              <w:rPr>
                <w:rFonts w:ascii="Times New Roman" w:eastAsia="AngsanaUPC" w:hAnsi="Times New Roman"/>
                <w:bCs/>
                <w:sz w:val="20"/>
                <w:szCs w:val="20"/>
                <w:lang w:eastAsia="lt-LT"/>
              </w:rPr>
              <w:t>EK pozicijoje siūloma daugiau dėmesio skirti skirtumų tarp miesto ir kaimo vietovių mažinimui, taip pat ir investuojant į nedidelės apimties infrastruktūrą, pagerinančią pagrindinių paslaugų prieinamumą ir gyvenimo kokybę vietos bendruomenėms.</w:t>
            </w:r>
          </w:p>
        </w:tc>
      </w:tr>
      <w:tr w:rsidR="0041529C" w:rsidRPr="0041529C" w:rsidTr="00EC77A8">
        <w:tc>
          <w:tcPr>
            <w:tcW w:w="1668" w:type="dxa"/>
            <w:vMerge/>
            <w:shd w:val="clear" w:color="auto" w:fill="auto"/>
          </w:tcPr>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p>
        </w:tc>
        <w:tc>
          <w:tcPr>
            <w:tcW w:w="3685" w:type="dxa"/>
            <w:shd w:val="clear" w:color="auto" w:fill="auto"/>
          </w:tcPr>
          <w:p w:rsidR="0041529C" w:rsidRPr="0041529C" w:rsidRDefault="0041529C" w:rsidP="0041529C">
            <w:pPr>
              <w:widowControl w:val="0"/>
              <w:tabs>
                <w:tab w:val="left" w:pos="1276"/>
              </w:tabs>
              <w:adjustRightInd w:val="0"/>
              <w:spacing w:after="120" w:line="240" w:lineRule="auto"/>
              <w:jc w:val="both"/>
              <w:textAlignment w:val="baseline"/>
              <w:rPr>
                <w:rFonts w:ascii="Times New Roman" w:eastAsia="Times New Roman" w:hAnsi="Times New Roman"/>
                <w:sz w:val="20"/>
                <w:szCs w:val="20"/>
                <w:lang w:eastAsia="lt-LT"/>
              </w:rPr>
            </w:pPr>
            <w:r w:rsidRPr="0041529C">
              <w:rPr>
                <w:rFonts w:ascii="Times New Roman" w:eastAsia="Times New Roman" w:hAnsi="Times New Roman"/>
                <w:sz w:val="20"/>
                <w:szCs w:val="20"/>
                <w:lang w:eastAsia="lt-LT"/>
              </w:rPr>
              <w:t>3. Aktyvi įtrauktis, visų pirma siekiant skatinti lygias galimybes, dalyvavimą darbo rinkoje ir g</w:t>
            </w:r>
            <w:r w:rsidR="00AA0722">
              <w:rPr>
                <w:rFonts w:ascii="Times New Roman" w:eastAsia="Times New Roman" w:hAnsi="Times New Roman"/>
                <w:sz w:val="20"/>
                <w:szCs w:val="20"/>
                <w:lang w:eastAsia="lt-LT"/>
              </w:rPr>
              <w:t xml:space="preserve">eresnes įsidarbinimo </w:t>
            </w:r>
            <w:r w:rsidR="00AA0722">
              <w:rPr>
                <w:rFonts w:ascii="Times New Roman" w:eastAsia="Times New Roman" w:hAnsi="Times New Roman"/>
                <w:sz w:val="20"/>
                <w:szCs w:val="20"/>
                <w:lang w:eastAsia="lt-LT"/>
              </w:rPr>
              <w:lastRenderedPageBreak/>
              <w:t>galimybes</w:t>
            </w:r>
          </w:p>
        </w:tc>
        <w:tc>
          <w:tcPr>
            <w:tcW w:w="10064" w:type="dxa"/>
            <w:shd w:val="clear" w:color="auto" w:fill="auto"/>
          </w:tcPr>
          <w:p w:rsidR="0041529C" w:rsidRPr="0041529C" w:rsidRDefault="00485AA5" w:rsidP="0041529C">
            <w:pPr>
              <w:widowControl w:val="0"/>
              <w:tabs>
                <w:tab w:val="left" w:pos="622"/>
              </w:tabs>
              <w:spacing w:after="0" w:line="240" w:lineRule="auto"/>
              <w:jc w:val="both"/>
              <w:rPr>
                <w:rFonts w:ascii="Times New Roman" w:eastAsia="AngsanaUPC" w:hAnsi="Times New Roman"/>
                <w:bCs/>
                <w:sz w:val="20"/>
                <w:szCs w:val="20"/>
                <w:lang w:eastAsia="lt-LT"/>
              </w:rPr>
            </w:pPr>
            <w:r w:rsidRPr="0041529C">
              <w:rPr>
                <w:rFonts w:ascii="Times New Roman" w:eastAsia="AngsanaUPC" w:hAnsi="Times New Roman"/>
                <w:bCs/>
                <w:sz w:val="20"/>
                <w:szCs w:val="20"/>
                <w:lang w:eastAsia="lt-LT"/>
              </w:rPr>
              <w:lastRenderedPageBreak/>
              <w:t>201</w:t>
            </w:r>
            <w:r>
              <w:rPr>
                <w:rFonts w:ascii="Times New Roman" w:eastAsia="AngsanaUPC" w:hAnsi="Times New Roman"/>
                <w:bCs/>
                <w:sz w:val="20"/>
                <w:szCs w:val="20"/>
                <w:lang w:eastAsia="lt-LT"/>
              </w:rPr>
              <w:t>4</w:t>
            </w:r>
            <w:r w:rsidRPr="0041529C">
              <w:rPr>
                <w:rFonts w:ascii="Times New Roman" w:eastAsia="AngsanaUPC" w:hAnsi="Times New Roman"/>
                <w:bCs/>
                <w:sz w:val="20"/>
                <w:szCs w:val="20"/>
                <w:lang w:eastAsia="lt-LT"/>
              </w:rPr>
              <w:t xml:space="preserve"> m. Tarybos rekomendacijoje Lietuvai</w:t>
            </w:r>
            <w:r>
              <w:rPr>
                <w:rFonts w:ascii="Times New Roman" w:eastAsia="AngsanaUPC" w:hAnsi="Times New Roman"/>
                <w:bCs/>
                <w:sz w:val="20"/>
                <w:szCs w:val="20"/>
                <w:lang w:eastAsia="lt-LT"/>
              </w:rPr>
              <w:t xml:space="preserve"> </w:t>
            </w:r>
            <w:r w:rsidR="00B64BC0">
              <w:rPr>
                <w:rFonts w:ascii="Times New Roman" w:eastAsia="AngsanaUPC" w:hAnsi="Times New Roman"/>
                <w:bCs/>
                <w:sz w:val="20"/>
                <w:szCs w:val="20"/>
                <w:lang w:eastAsia="lt-LT"/>
              </w:rPr>
              <w:t>siūloma</w:t>
            </w:r>
            <w:r>
              <w:rPr>
                <w:rFonts w:ascii="Times New Roman" w:eastAsia="AngsanaUPC" w:hAnsi="Times New Roman"/>
                <w:bCs/>
                <w:sz w:val="20"/>
                <w:szCs w:val="20"/>
                <w:lang w:eastAsia="lt-LT"/>
              </w:rPr>
              <w:t xml:space="preserve"> tikslingiau taikyti aktyvios darbo rinkos politikos priemones</w:t>
            </w:r>
            <w:r w:rsidRPr="0041529C">
              <w:rPr>
                <w:rFonts w:ascii="Times New Roman" w:eastAsia="AngsanaUPC" w:hAnsi="Times New Roman"/>
                <w:bCs/>
                <w:sz w:val="20"/>
                <w:szCs w:val="20"/>
                <w:lang w:eastAsia="lt-LT"/>
              </w:rPr>
              <w:t xml:space="preserve"> žemos kvalifikacijos </w:t>
            </w:r>
            <w:r>
              <w:rPr>
                <w:rFonts w:ascii="Times New Roman" w:eastAsia="AngsanaUPC" w:hAnsi="Times New Roman"/>
                <w:bCs/>
                <w:sz w:val="20"/>
                <w:szCs w:val="20"/>
                <w:lang w:eastAsia="lt-LT"/>
              </w:rPr>
              <w:t xml:space="preserve">ir ilgalaikiams bedarbiams. </w:t>
            </w:r>
            <w:r w:rsidR="0041529C" w:rsidRPr="0041529C">
              <w:rPr>
                <w:rFonts w:ascii="Times New Roman" w:eastAsia="AngsanaUPC" w:hAnsi="Times New Roman"/>
                <w:bCs/>
                <w:sz w:val="20"/>
                <w:szCs w:val="20"/>
                <w:lang w:eastAsia="lt-LT"/>
              </w:rPr>
              <w:t xml:space="preserve">ES2020 pavyzdinė iniciatyva </w:t>
            </w:r>
            <w:r w:rsidR="00B64BC0" w:rsidRPr="0041529C">
              <w:rPr>
                <w:rFonts w:ascii="Times New Roman" w:eastAsia="AngsanaUPC" w:hAnsi="Times New Roman"/>
                <w:bCs/>
                <w:sz w:val="20"/>
                <w:szCs w:val="20"/>
                <w:lang w:eastAsia="lt-LT"/>
              </w:rPr>
              <w:t>„</w:t>
            </w:r>
            <w:r w:rsidR="00B64BC0">
              <w:rPr>
                <w:rFonts w:ascii="Times New Roman" w:eastAsia="AngsanaUPC" w:hAnsi="Times New Roman"/>
                <w:bCs/>
                <w:sz w:val="20"/>
                <w:szCs w:val="20"/>
                <w:lang w:eastAsia="lt-LT"/>
              </w:rPr>
              <w:t>Europos kovos su skurdu planas“</w:t>
            </w:r>
            <w:r w:rsidR="0041529C" w:rsidRPr="0041529C">
              <w:rPr>
                <w:rFonts w:ascii="Times New Roman" w:eastAsia="AngsanaUPC" w:hAnsi="Times New Roman"/>
                <w:bCs/>
                <w:sz w:val="20"/>
                <w:szCs w:val="20"/>
                <w:lang w:eastAsia="lt-LT"/>
              </w:rPr>
              <w:t xml:space="preserve"> nustato, kad geriausias būdas išbristi iš skurdo yra pasiekti ES2020 nustatytą tikslą dėl gyventojų užimtumo. Užsibrėžtas nacionalinis </w:t>
            </w:r>
            <w:r w:rsidR="0041529C" w:rsidRPr="0041529C">
              <w:rPr>
                <w:rFonts w:ascii="Times New Roman" w:eastAsia="AngsanaUPC" w:hAnsi="Times New Roman"/>
                <w:bCs/>
                <w:sz w:val="20"/>
                <w:szCs w:val="20"/>
                <w:lang w:eastAsia="lt-LT"/>
              </w:rPr>
              <w:lastRenderedPageBreak/>
              <w:t>tikslas – iki 2020 m. padidinti gyventojų užimtumą iki 72,8 proc.</w:t>
            </w:r>
          </w:p>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r w:rsidRPr="0041529C">
              <w:rPr>
                <w:rFonts w:ascii="Times New Roman" w:eastAsia="AngsanaUPC" w:hAnsi="Times New Roman"/>
                <w:bCs/>
                <w:sz w:val="20"/>
                <w:szCs w:val="20"/>
                <w:lang w:eastAsia="lt-LT"/>
              </w:rPr>
              <w:t xml:space="preserve">NRD numatytas socialiai pažeidžiamų visuomenės grupių galimybių dalyvauti darbo rinkoje didinimas ir asmens, visuomenės ir rinkos poreikius atitinkančios švietimo ir kultūros, pagalbos ir paslaugų sistemos, skirtos socialiai pažeidžiamų visuomenės grupių prevencijai, tobulinimas. </w:t>
            </w:r>
          </w:p>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r w:rsidRPr="0041529C">
              <w:rPr>
                <w:rFonts w:ascii="Times New Roman" w:eastAsia="AngsanaUPC" w:hAnsi="Times New Roman"/>
                <w:bCs/>
                <w:sz w:val="20"/>
                <w:szCs w:val="20"/>
                <w:lang w:eastAsia="lt-LT"/>
              </w:rPr>
              <w:t>EK pozicijoje siūloma integruoti į darbo rinką bedarbius arba darbo rinkoje nedalyvaujančius darbingo amžiaus skurdo riziką patiriančius asmenis.</w:t>
            </w:r>
          </w:p>
        </w:tc>
      </w:tr>
      <w:tr w:rsidR="0041529C" w:rsidRPr="0041529C" w:rsidTr="00EC77A8">
        <w:tc>
          <w:tcPr>
            <w:tcW w:w="1668" w:type="dxa"/>
            <w:vMerge/>
            <w:shd w:val="clear" w:color="auto" w:fill="auto"/>
          </w:tcPr>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p>
        </w:tc>
        <w:tc>
          <w:tcPr>
            <w:tcW w:w="3685" w:type="dxa"/>
            <w:shd w:val="clear" w:color="auto" w:fill="auto"/>
          </w:tcPr>
          <w:p w:rsidR="0041529C" w:rsidRPr="0041529C" w:rsidRDefault="0041529C" w:rsidP="00DA6047">
            <w:pPr>
              <w:widowControl w:val="0"/>
              <w:tabs>
                <w:tab w:val="left" w:pos="1276"/>
              </w:tabs>
              <w:adjustRightInd w:val="0"/>
              <w:spacing w:after="120" w:line="240" w:lineRule="auto"/>
              <w:jc w:val="both"/>
              <w:textAlignment w:val="baseline"/>
              <w:rPr>
                <w:rFonts w:ascii="Times New Roman" w:eastAsia="Times New Roman" w:hAnsi="Times New Roman"/>
                <w:sz w:val="20"/>
                <w:szCs w:val="20"/>
                <w:lang w:eastAsia="lt-LT"/>
              </w:rPr>
            </w:pPr>
            <w:r w:rsidRPr="0041529C">
              <w:rPr>
                <w:rFonts w:ascii="Times New Roman" w:eastAsia="Times New Roman" w:hAnsi="Times New Roman"/>
                <w:sz w:val="20"/>
                <w:szCs w:val="20"/>
                <w:lang w:eastAsia="lt-LT"/>
              </w:rPr>
              <w:t xml:space="preserve">4. Galimybių gauti įperkamas, </w:t>
            </w:r>
            <w:r w:rsidR="00DA6047">
              <w:rPr>
                <w:rFonts w:ascii="Times New Roman" w:eastAsia="Times New Roman" w:hAnsi="Times New Roman"/>
                <w:sz w:val="20"/>
                <w:szCs w:val="20"/>
                <w:lang w:eastAsia="lt-LT"/>
              </w:rPr>
              <w:t>darnias</w:t>
            </w:r>
            <w:r w:rsidRPr="0041529C">
              <w:rPr>
                <w:rFonts w:ascii="Times New Roman" w:eastAsia="Times New Roman" w:hAnsi="Times New Roman"/>
                <w:sz w:val="20"/>
                <w:szCs w:val="20"/>
                <w:lang w:eastAsia="lt-LT"/>
              </w:rPr>
              <w:t xml:space="preserve"> ir aukštos kokybės paslaugas didinimas, įskaitant sveikatos priežiūrą ir visuotinė</w:t>
            </w:r>
            <w:r w:rsidR="00AA0722">
              <w:rPr>
                <w:rFonts w:ascii="Times New Roman" w:eastAsia="Times New Roman" w:hAnsi="Times New Roman"/>
                <w:sz w:val="20"/>
                <w:szCs w:val="20"/>
                <w:lang w:eastAsia="lt-LT"/>
              </w:rPr>
              <w:t>s svarbos socialines paslaugas</w:t>
            </w:r>
          </w:p>
        </w:tc>
        <w:tc>
          <w:tcPr>
            <w:tcW w:w="10064" w:type="dxa"/>
            <w:shd w:val="clear" w:color="auto" w:fill="auto"/>
          </w:tcPr>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r w:rsidRPr="0041529C">
              <w:rPr>
                <w:rFonts w:ascii="Times New Roman" w:eastAsia="AngsanaUPC" w:hAnsi="Times New Roman"/>
                <w:bCs/>
                <w:sz w:val="20"/>
                <w:szCs w:val="20"/>
                <w:lang w:eastAsia="lt-LT"/>
              </w:rPr>
              <w:t>ES2020 numatoma, kad mažinant skurdą, socialinę atskirtį ir sveikatos netolygumus būtina gerinti vaikų ir kitų priklausomų asmenų priežiūros paslaugų prieinamumą.</w:t>
            </w:r>
          </w:p>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r w:rsidRPr="0041529C">
              <w:rPr>
                <w:rFonts w:ascii="Times New Roman" w:eastAsia="AngsanaUPC" w:hAnsi="Times New Roman"/>
                <w:bCs/>
                <w:sz w:val="20"/>
                <w:szCs w:val="20"/>
                <w:lang w:eastAsia="lt-LT"/>
              </w:rPr>
              <w:t xml:space="preserve">ES2020 pavyzdinė iniciatyva </w:t>
            </w:r>
            <w:r w:rsidR="00B64BC0">
              <w:rPr>
                <w:rFonts w:ascii="Times New Roman" w:eastAsia="AngsanaUPC" w:hAnsi="Times New Roman"/>
                <w:bCs/>
                <w:sz w:val="20"/>
                <w:szCs w:val="20"/>
                <w:lang w:eastAsia="lt-LT"/>
              </w:rPr>
              <w:t>„</w:t>
            </w:r>
            <w:r w:rsidRPr="0041529C">
              <w:rPr>
                <w:rFonts w:ascii="Times New Roman" w:eastAsia="AngsanaUPC" w:hAnsi="Times New Roman"/>
                <w:bCs/>
                <w:sz w:val="20"/>
                <w:szCs w:val="20"/>
                <w:lang w:eastAsia="lt-LT"/>
              </w:rPr>
              <w:t>Europos kovos su skurdu planas</w:t>
            </w:r>
            <w:r w:rsidR="00B64BC0">
              <w:rPr>
                <w:rFonts w:ascii="Times New Roman" w:eastAsia="AngsanaUPC" w:hAnsi="Times New Roman"/>
                <w:bCs/>
                <w:sz w:val="20"/>
                <w:szCs w:val="20"/>
                <w:lang w:eastAsia="lt-LT"/>
              </w:rPr>
              <w:t>“</w:t>
            </w:r>
            <w:r w:rsidRPr="0041529C">
              <w:rPr>
                <w:rFonts w:ascii="Times New Roman" w:eastAsia="AngsanaUPC" w:hAnsi="Times New Roman"/>
                <w:bCs/>
                <w:sz w:val="20"/>
                <w:szCs w:val="20"/>
                <w:lang w:eastAsia="lt-LT"/>
              </w:rPr>
              <w:t xml:space="preserve"> skatina ES valstybes nares įgyvendinti priemones, skirtas padėti ypatingoje atskirties rizikoje dėl specifinių aplinkybių esančioms grupėms, tarp jų neįgaliesiems, mažumoms, įskaitant romus, benamiams ir pan.</w:t>
            </w:r>
          </w:p>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r w:rsidRPr="0041529C">
              <w:rPr>
                <w:rFonts w:ascii="Times New Roman" w:eastAsia="AngsanaUPC" w:hAnsi="Times New Roman"/>
                <w:bCs/>
                <w:sz w:val="20"/>
                <w:szCs w:val="20"/>
                <w:lang w:eastAsia="lt-LT"/>
              </w:rPr>
              <w:t>2010–2020 m. Europos strategijoje dėl negalios bei 2010–2015 m. moterų ir vyrų lygybės strategijoje kalbama apie būtinybę palengvinti šeimos ir darbo įsipareigojimų derinimą</w:t>
            </w:r>
            <w:r w:rsidR="0029768A">
              <w:rPr>
                <w:rFonts w:ascii="Times New Roman" w:eastAsia="AngsanaUPC" w:hAnsi="Times New Roman"/>
                <w:bCs/>
                <w:sz w:val="20"/>
                <w:szCs w:val="20"/>
                <w:lang w:eastAsia="lt-LT"/>
              </w:rPr>
              <w:t>,</w:t>
            </w:r>
            <w:r w:rsidRPr="0041529C">
              <w:rPr>
                <w:rFonts w:ascii="Times New Roman" w:eastAsia="AngsanaUPC" w:hAnsi="Times New Roman"/>
                <w:bCs/>
                <w:sz w:val="20"/>
                <w:szCs w:val="20"/>
                <w:lang w:eastAsia="lt-LT"/>
              </w:rPr>
              <w:t xml:space="preserve"> užtikrinant galimybes naudotis kokybiškomis ir nebrangiomis priežiūros paslaugomis, sudarant profesionaliems slaugytojams palankias darbo sąlygas, remiant šeimas bei artimuosius slaugančius asmenis.</w:t>
            </w:r>
          </w:p>
          <w:p w:rsidR="0041529C" w:rsidRPr="0041529C" w:rsidRDefault="0041529C" w:rsidP="006D3D44">
            <w:pPr>
              <w:widowControl w:val="0"/>
              <w:tabs>
                <w:tab w:val="left" w:pos="622"/>
              </w:tabs>
              <w:spacing w:after="0" w:line="240" w:lineRule="auto"/>
              <w:jc w:val="both"/>
              <w:rPr>
                <w:rFonts w:ascii="Times New Roman" w:eastAsia="AngsanaUPC" w:hAnsi="Times New Roman"/>
                <w:bCs/>
                <w:sz w:val="20"/>
                <w:szCs w:val="20"/>
                <w:lang w:eastAsia="lt-LT"/>
              </w:rPr>
            </w:pPr>
            <w:r w:rsidRPr="0041529C">
              <w:rPr>
                <w:rFonts w:ascii="Times New Roman" w:eastAsia="AngsanaUPC" w:hAnsi="Times New Roman"/>
                <w:bCs/>
                <w:sz w:val="20"/>
                <w:szCs w:val="20"/>
                <w:lang w:eastAsia="lt-LT"/>
              </w:rPr>
              <w:t>NRD numatoma gerinti tinkamos kokybės socialinių paslaugų prieinamumą</w:t>
            </w:r>
            <w:r w:rsidR="0029768A">
              <w:rPr>
                <w:rFonts w:ascii="Times New Roman" w:eastAsia="AngsanaUPC" w:hAnsi="Times New Roman"/>
                <w:bCs/>
                <w:sz w:val="20"/>
                <w:szCs w:val="20"/>
                <w:lang w:eastAsia="lt-LT"/>
              </w:rPr>
              <w:t>,</w:t>
            </w:r>
            <w:r w:rsidRPr="0041529C">
              <w:rPr>
                <w:rFonts w:ascii="Times New Roman" w:eastAsia="AngsanaUPC" w:hAnsi="Times New Roman"/>
                <w:bCs/>
                <w:sz w:val="20"/>
                <w:szCs w:val="20"/>
                <w:lang w:eastAsia="lt-LT"/>
              </w:rPr>
              <w:t xml:space="preserve"> plačiau įtraukiant bendruomenes ir </w:t>
            </w:r>
            <w:r w:rsidR="006D3D44">
              <w:rPr>
                <w:rFonts w:ascii="Times New Roman" w:eastAsia="AngsanaUPC" w:hAnsi="Times New Roman"/>
                <w:bCs/>
                <w:sz w:val="20"/>
                <w:szCs w:val="20"/>
                <w:lang w:eastAsia="lt-LT"/>
              </w:rPr>
              <w:t>nevyriausybines organizacijas (NVO)</w:t>
            </w:r>
            <w:r w:rsidRPr="0041529C">
              <w:rPr>
                <w:rFonts w:ascii="Times New Roman" w:eastAsia="AngsanaUPC" w:hAnsi="Times New Roman"/>
                <w:bCs/>
                <w:sz w:val="20"/>
                <w:szCs w:val="20"/>
                <w:lang w:eastAsia="lt-LT"/>
              </w:rPr>
              <w:t>.</w:t>
            </w:r>
          </w:p>
        </w:tc>
      </w:tr>
      <w:tr w:rsidR="0041529C" w:rsidRPr="0041529C" w:rsidTr="00EC77A8">
        <w:tc>
          <w:tcPr>
            <w:tcW w:w="1668" w:type="dxa"/>
            <w:vMerge/>
            <w:shd w:val="clear" w:color="auto" w:fill="auto"/>
          </w:tcPr>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p>
        </w:tc>
        <w:tc>
          <w:tcPr>
            <w:tcW w:w="3685" w:type="dxa"/>
            <w:shd w:val="clear" w:color="auto" w:fill="auto"/>
          </w:tcPr>
          <w:p w:rsidR="0041529C" w:rsidRPr="0041529C" w:rsidRDefault="0041529C" w:rsidP="0041529C">
            <w:pPr>
              <w:widowControl w:val="0"/>
              <w:tabs>
                <w:tab w:val="left" w:pos="1276"/>
              </w:tabs>
              <w:adjustRightInd w:val="0"/>
              <w:spacing w:after="120" w:line="240" w:lineRule="auto"/>
              <w:jc w:val="both"/>
              <w:textAlignment w:val="baseline"/>
              <w:rPr>
                <w:rFonts w:ascii="Times New Roman" w:eastAsia="Times New Roman" w:hAnsi="Times New Roman"/>
                <w:sz w:val="20"/>
                <w:szCs w:val="20"/>
                <w:lang w:eastAsia="lt-LT"/>
              </w:rPr>
            </w:pPr>
            <w:r w:rsidRPr="0041529C">
              <w:rPr>
                <w:rFonts w:ascii="Times New Roman" w:eastAsia="Times New Roman" w:hAnsi="Times New Roman"/>
                <w:sz w:val="20"/>
                <w:szCs w:val="20"/>
                <w:lang w:eastAsia="lt-LT"/>
              </w:rPr>
              <w:t>5. Socialinės verslininkystės ir profesinės integracijos socialinėse įmonėse bei socialinės ir solidarumo ekonomikos skatinimas</w:t>
            </w:r>
            <w:r w:rsidR="00B64BC0">
              <w:rPr>
                <w:rFonts w:ascii="Times New Roman" w:eastAsia="Times New Roman" w:hAnsi="Times New Roman"/>
                <w:sz w:val="20"/>
                <w:szCs w:val="20"/>
                <w:lang w:eastAsia="lt-LT"/>
              </w:rPr>
              <w:t>,</w:t>
            </w:r>
            <w:r w:rsidRPr="0041529C">
              <w:rPr>
                <w:rFonts w:ascii="Times New Roman" w:eastAsia="Times New Roman" w:hAnsi="Times New Roman"/>
                <w:sz w:val="20"/>
                <w:szCs w:val="20"/>
                <w:lang w:eastAsia="lt-LT"/>
              </w:rPr>
              <w:t xml:space="preserve"> siekiant pa</w:t>
            </w:r>
            <w:r w:rsidR="00AA0722">
              <w:rPr>
                <w:rFonts w:ascii="Times New Roman" w:eastAsia="Times New Roman" w:hAnsi="Times New Roman"/>
                <w:sz w:val="20"/>
                <w:szCs w:val="20"/>
                <w:lang w:eastAsia="lt-LT"/>
              </w:rPr>
              <w:t>didinti įsidarbinimo galimybes</w:t>
            </w:r>
          </w:p>
        </w:tc>
        <w:tc>
          <w:tcPr>
            <w:tcW w:w="10064" w:type="dxa"/>
            <w:shd w:val="clear" w:color="auto" w:fill="auto"/>
          </w:tcPr>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r w:rsidRPr="0041529C">
              <w:rPr>
                <w:rFonts w:ascii="Times New Roman" w:eastAsia="AngsanaUPC" w:hAnsi="Times New Roman"/>
                <w:bCs/>
                <w:sz w:val="20"/>
                <w:szCs w:val="20"/>
                <w:lang w:eastAsia="lt-LT"/>
              </w:rPr>
              <w:t>ES2020 pavyzdinė iniciatyva „Globalizacijos erai pritaikyta pramonės politika“ nurodo, kad būtina skatinti įmonių socialinę atsakomybę, siekiant užtikrinti ilgalaikį darbuotojų ir vartotojų pasitikėjimą.</w:t>
            </w:r>
          </w:p>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r w:rsidRPr="0041529C">
              <w:rPr>
                <w:rFonts w:ascii="Times New Roman" w:eastAsia="AngsanaUPC" w:hAnsi="Times New Roman"/>
                <w:bCs/>
                <w:sz w:val="20"/>
                <w:szCs w:val="20"/>
                <w:lang w:eastAsia="lt-LT"/>
              </w:rPr>
              <w:t xml:space="preserve">EK komunikate, skirtame socialinėms investicijoms (COM(2013) 83final), valstybės narės raginamos socialinio verslo plėtrai skirti ESI fondų lėšas. </w:t>
            </w:r>
          </w:p>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r w:rsidRPr="0041529C">
              <w:rPr>
                <w:rFonts w:ascii="Times New Roman" w:eastAsia="AngsanaUPC" w:hAnsi="Times New Roman"/>
                <w:bCs/>
                <w:sz w:val="20"/>
                <w:szCs w:val="20"/>
                <w:lang w:eastAsia="lt-LT"/>
              </w:rPr>
              <w:t>NRD numatoma didinti darbdavių suinteresuotumą kurti naujas tinkamos kokybės darbo vietas, tam pasitelkiant ir įmonių socialinės atsakomybės plėtrą. Taip pat ketinama vykdyti socialinį dialogą, kuris padėtų modernizuoti darbo santykius – užtikrinti lanksčias darbo sutarčių sąlygas, darbo laiko reguliavimo ir darbo organizavimo galimybes.</w:t>
            </w:r>
          </w:p>
        </w:tc>
      </w:tr>
      <w:tr w:rsidR="0041529C" w:rsidRPr="0041529C" w:rsidTr="00EC77A8">
        <w:tc>
          <w:tcPr>
            <w:tcW w:w="1668" w:type="dxa"/>
            <w:vMerge/>
            <w:shd w:val="clear" w:color="auto" w:fill="auto"/>
          </w:tcPr>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p>
        </w:tc>
        <w:tc>
          <w:tcPr>
            <w:tcW w:w="3685" w:type="dxa"/>
            <w:shd w:val="clear" w:color="auto" w:fill="auto"/>
          </w:tcPr>
          <w:p w:rsidR="0041529C" w:rsidRPr="0041529C" w:rsidRDefault="0041529C" w:rsidP="0041529C">
            <w:pPr>
              <w:widowControl w:val="0"/>
              <w:tabs>
                <w:tab w:val="left" w:pos="1276"/>
              </w:tabs>
              <w:adjustRightInd w:val="0"/>
              <w:spacing w:after="120" w:line="240" w:lineRule="auto"/>
              <w:jc w:val="both"/>
              <w:textAlignment w:val="baseline"/>
              <w:rPr>
                <w:rFonts w:ascii="Times New Roman" w:eastAsia="Times New Roman" w:hAnsi="Times New Roman"/>
                <w:sz w:val="20"/>
                <w:szCs w:val="20"/>
                <w:lang w:eastAsia="lt-LT"/>
              </w:rPr>
            </w:pPr>
            <w:r w:rsidRPr="0041529C">
              <w:rPr>
                <w:rFonts w:ascii="Times New Roman" w:eastAsia="Times New Roman" w:hAnsi="Times New Roman"/>
                <w:sz w:val="20"/>
                <w:szCs w:val="20"/>
                <w:lang w:eastAsia="lt-LT"/>
              </w:rPr>
              <w:t>6. Bendruomenės inicijuojamų vietos pl</w:t>
            </w:r>
            <w:r w:rsidR="00AA0722">
              <w:rPr>
                <w:rFonts w:ascii="Times New Roman" w:eastAsia="Times New Roman" w:hAnsi="Times New Roman"/>
                <w:sz w:val="20"/>
                <w:szCs w:val="20"/>
                <w:lang w:eastAsia="lt-LT"/>
              </w:rPr>
              <w:t>ėtros (BIVP) strategijų įgyvendinimas</w:t>
            </w:r>
          </w:p>
        </w:tc>
        <w:tc>
          <w:tcPr>
            <w:tcW w:w="10064" w:type="dxa"/>
            <w:shd w:val="clear" w:color="auto" w:fill="auto"/>
          </w:tcPr>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r w:rsidRPr="0041529C">
              <w:rPr>
                <w:rFonts w:ascii="Times New Roman" w:eastAsia="AngsanaUPC" w:hAnsi="Times New Roman"/>
                <w:bCs/>
                <w:sz w:val="20"/>
                <w:szCs w:val="20"/>
                <w:lang w:eastAsia="lt-LT"/>
              </w:rPr>
              <w:t xml:space="preserve">ES2020 pavyzdinė iniciatyva „Europos kovos su skurdu planas“ numato galimybes vietos grupėms pasinaudoti ES </w:t>
            </w:r>
            <w:r w:rsidR="006623F6">
              <w:rPr>
                <w:rFonts w:ascii="Times New Roman" w:eastAsia="AngsanaUPC" w:hAnsi="Times New Roman"/>
                <w:bCs/>
                <w:sz w:val="20"/>
                <w:szCs w:val="20"/>
                <w:lang w:eastAsia="lt-LT"/>
              </w:rPr>
              <w:t>fondų lėšomis</w:t>
            </w:r>
            <w:r w:rsidRPr="0041529C">
              <w:rPr>
                <w:rFonts w:ascii="Times New Roman" w:eastAsia="AngsanaUPC" w:hAnsi="Times New Roman"/>
                <w:bCs/>
                <w:sz w:val="20"/>
                <w:szCs w:val="20"/>
                <w:lang w:eastAsia="lt-LT"/>
              </w:rPr>
              <w:t>, siekiant skatinti bendruomeninius metodus.</w:t>
            </w:r>
          </w:p>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r w:rsidRPr="0041529C">
              <w:rPr>
                <w:rFonts w:ascii="Times New Roman" w:eastAsia="AngsanaUPC" w:hAnsi="Times New Roman"/>
                <w:bCs/>
                <w:sz w:val="20"/>
                <w:szCs w:val="20"/>
                <w:lang w:eastAsia="lt-LT"/>
              </w:rPr>
              <w:t xml:space="preserve">Sparčiai besivystantys didesni šalies miestai sutraukia didelius migracijos srautus, o su naujais gyventojais gaunamos ir papildomos socialinės problemos. </w:t>
            </w:r>
            <w:proofErr w:type="gramStart"/>
            <w:r w:rsidRPr="0041529C">
              <w:rPr>
                <w:rFonts w:ascii="Times New Roman" w:eastAsia="AngsanaUPC" w:hAnsi="Times New Roman"/>
                <w:bCs/>
                <w:sz w:val="20"/>
                <w:szCs w:val="20"/>
                <w:lang w:eastAsia="lt-LT"/>
              </w:rPr>
              <w:t>Tuo tarpu</w:t>
            </w:r>
            <w:proofErr w:type="gramEnd"/>
            <w:r w:rsidRPr="0041529C">
              <w:rPr>
                <w:rFonts w:ascii="Times New Roman" w:eastAsia="AngsanaUPC" w:hAnsi="Times New Roman"/>
                <w:bCs/>
                <w:sz w:val="20"/>
                <w:szCs w:val="20"/>
                <w:lang w:eastAsia="lt-LT"/>
              </w:rPr>
              <w:t xml:space="preserve"> mažesniuose miestuose vykstantis spartus gyventojų skaičiaus mažėjimas lemia mažėjantį ekonominį aktyvumą ir paslaugų prieinamumą visame mieste.</w:t>
            </w:r>
          </w:p>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r w:rsidRPr="0041529C">
              <w:rPr>
                <w:rFonts w:ascii="Times New Roman" w:eastAsia="AngsanaUPC" w:hAnsi="Times New Roman"/>
                <w:bCs/>
                <w:sz w:val="20"/>
                <w:szCs w:val="20"/>
                <w:lang w:eastAsia="lt-LT"/>
              </w:rPr>
              <w:t>EK pozicijoje siūloma naudoti naują BIVP metodą, skatinant socialinę įtrauktį ir remiantis LEADER įgyvendinimo patirtimi. Šis metodas ypač svarbus palankių sąlygų neturinčiose, socialiai izoliuotose vietovėse, mažuose ir vidutiniuose miestuose ir jų apylinkėse.</w:t>
            </w:r>
          </w:p>
        </w:tc>
      </w:tr>
      <w:tr w:rsidR="0041529C" w:rsidRPr="0041529C" w:rsidTr="00EC77A8">
        <w:tc>
          <w:tcPr>
            <w:tcW w:w="1668" w:type="dxa"/>
            <w:vMerge w:val="restart"/>
            <w:shd w:val="clear" w:color="auto" w:fill="auto"/>
          </w:tcPr>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r w:rsidRPr="0041529C">
              <w:rPr>
                <w:rFonts w:ascii="Times New Roman" w:eastAsia="AngsanaUPC" w:hAnsi="Times New Roman"/>
                <w:bCs/>
                <w:sz w:val="20"/>
                <w:szCs w:val="20"/>
                <w:lang w:eastAsia="lt-LT"/>
              </w:rPr>
              <w:t>10. Investicijos į švietimą, gebėjimus ir mokymąsi visą gyvenimą</w:t>
            </w:r>
          </w:p>
        </w:tc>
        <w:tc>
          <w:tcPr>
            <w:tcW w:w="3685" w:type="dxa"/>
            <w:shd w:val="clear" w:color="auto" w:fill="auto"/>
          </w:tcPr>
          <w:p w:rsidR="0041529C" w:rsidRPr="0041529C" w:rsidRDefault="0041529C" w:rsidP="0041529C">
            <w:pPr>
              <w:widowControl w:val="0"/>
              <w:tabs>
                <w:tab w:val="left" w:pos="1276"/>
              </w:tabs>
              <w:adjustRightInd w:val="0"/>
              <w:spacing w:after="120" w:line="240" w:lineRule="auto"/>
              <w:jc w:val="both"/>
              <w:textAlignment w:val="baseline"/>
              <w:rPr>
                <w:rFonts w:ascii="Times New Roman" w:eastAsia="Times New Roman" w:hAnsi="Times New Roman"/>
                <w:sz w:val="20"/>
                <w:szCs w:val="20"/>
                <w:lang w:eastAsia="lt-LT"/>
              </w:rPr>
            </w:pPr>
            <w:r w:rsidRPr="0041529C">
              <w:rPr>
                <w:rFonts w:ascii="Times New Roman" w:eastAsia="Times New Roman" w:hAnsi="Times New Roman"/>
                <w:sz w:val="20"/>
                <w:szCs w:val="20"/>
                <w:lang w:eastAsia="lt-LT"/>
              </w:rPr>
              <w:t xml:space="preserve">1. </w:t>
            </w:r>
            <w:r w:rsidR="00DA6047" w:rsidRPr="00DA6047">
              <w:rPr>
                <w:rFonts w:ascii="Times New Roman" w:eastAsia="Times New Roman" w:hAnsi="Times New Roman"/>
                <w:sz w:val="20"/>
                <w:szCs w:val="20"/>
                <w:lang w:eastAsia="lt-LT"/>
              </w:rPr>
              <w:t>Investicijos į švietimą, profesinį mokymą, skirtos švietimo ir mokymo infrastruktūrai tobulinti, siekiant suteikti įgūdžių ir užtikrinti mokymosi visą gyvenimą galimybę</w:t>
            </w:r>
          </w:p>
        </w:tc>
        <w:tc>
          <w:tcPr>
            <w:tcW w:w="10064" w:type="dxa"/>
            <w:shd w:val="clear" w:color="auto" w:fill="auto"/>
          </w:tcPr>
          <w:p w:rsidR="0041529C" w:rsidRPr="0041529C" w:rsidRDefault="0041529C" w:rsidP="0041529C">
            <w:pPr>
              <w:spacing w:after="0" w:line="240" w:lineRule="auto"/>
              <w:jc w:val="both"/>
              <w:rPr>
                <w:rFonts w:ascii="Times New Roman" w:hAnsi="Times New Roman"/>
                <w:iCs/>
                <w:sz w:val="20"/>
                <w:szCs w:val="20"/>
              </w:rPr>
            </w:pPr>
            <w:r w:rsidRPr="0041529C">
              <w:rPr>
                <w:rFonts w:ascii="Times New Roman" w:hAnsi="Times New Roman"/>
                <w:bCs/>
                <w:sz w:val="20"/>
                <w:szCs w:val="20"/>
              </w:rPr>
              <w:t>ES2020 pavyzdinė iniciatyva „Naujų įgūdžių ir darbo vietų kūrimo darbotvarkė“ numato, kad įgyvendinant įgūdžių ugdymo ir jų tinkamumo tikslą, reikia vystyti švietimo infrastruktūrą.</w:t>
            </w:r>
          </w:p>
          <w:p w:rsidR="0041529C" w:rsidRPr="0041529C" w:rsidRDefault="0041529C" w:rsidP="0041529C">
            <w:pPr>
              <w:spacing w:after="0" w:line="240" w:lineRule="auto"/>
              <w:jc w:val="both"/>
              <w:rPr>
                <w:rFonts w:ascii="Times New Roman" w:eastAsia="AngsanaUPC" w:hAnsi="Times New Roman"/>
                <w:bCs/>
                <w:sz w:val="20"/>
                <w:szCs w:val="20"/>
                <w:lang w:eastAsia="lt-LT"/>
              </w:rPr>
            </w:pPr>
            <w:r w:rsidRPr="0041529C">
              <w:rPr>
                <w:rFonts w:ascii="Times New Roman" w:hAnsi="Times New Roman"/>
                <w:iCs/>
                <w:sz w:val="20"/>
                <w:szCs w:val="20"/>
              </w:rPr>
              <w:t>NRD numato įgyvendinti bendrojo ugdymo mokyklų ir profesinio mokymo įstaigų mokinių bei aukštųjų mokyklų studentų ugdymui ir karjerai skirtus projektus. Taip pat projektus, skirtus karjeros stebėsenai atlikti ir infrastruktūrai plėtoti.</w:t>
            </w:r>
          </w:p>
        </w:tc>
      </w:tr>
      <w:tr w:rsidR="0041529C" w:rsidRPr="0041529C" w:rsidTr="00EC77A8">
        <w:tc>
          <w:tcPr>
            <w:tcW w:w="1668" w:type="dxa"/>
            <w:vMerge/>
            <w:shd w:val="clear" w:color="auto" w:fill="auto"/>
          </w:tcPr>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p>
        </w:tc>
        <w:tc>
          <w:tcPr>
            <w:tcW w:w="3685" w:type="dxa"/>
            <w:shd w:val="clear" w:color="auto" w:fill="auto"/>
          </w:tcPr>
          <w:p w:rsidR="0041529C" w:rsidRPr="0041529C" w:rsidRDefault="0041529C" w:rsidP="0041529C">
            <w:pPr>
              <w:widowControl w:val="0"/>
              <w:tabs>
                <w:tab w:val="left" w:pos="1276"/>
              </w:tabs>
              <w:adjustRightInd w:val="0"/>
              <w:spacing w:after="120" w:line="240" w:lineRule="auto"/>
              <w:jc w:val="both"/>
              <w:textAlignment w:val="baseline"/>
              <w:rPr>
                <w:rFonts w:ascii="Times New Roman" w:eastAsia="Times New Roman" w:hAnsi="Times New Roman"/>
                <w:sz w:val="20"/>
                <w:szCs w:val="20"/>
                <w:lang w:eastAsia="lt-LT"/>
              </w:rPr>
            </w:pPr>
            <w:r w:rsidRPr="0041529C">
              <w:rPr>
                <w:rFonts w:ascii="Times New Roman" w:eastAsia="Times New Roman" w:hAnsi="Times New Roman"/>
                <w:sz w:val="20"/>
                <w:szCs w:val="20"/>
                <w:lang w:eastAsia="lt-LT"/>
              </w:rPr>
              <w:t xml:space="preserve">2. </w:t>
            </w:r>
            <w:r w:rsidR="00041305" w:rsidRPr="00041305">
              <w:rPr>
                <w:rFonts w:ascii="Times New Roman" w:eastAsia="Times New Roman" w:hAnsi="Times New Roman"/>
                <w:sz w:val="20"/>
                <w:szCs w:val="20"/>
                <w:lang w:eastAsia="lt-LT"/>
              </w:rPr>
              <w:t>Mokyklos nebaigiančių asmenų skaičiaus mažinimas ir mokyklos nebaigimo prevencija, lygių galimybių gauti geros kokybės ikimokyklinį, pradinį, pagrindinį ir vidurinį išsilavinimą, įskaitant grįžimui į švietimo ir mokymo procesą skirtus mokymosi būdus, tarp jų formalųjį, neformalųjį mokymąsi ir savišvietą, užtikrinimas</w:t>
            </w:r>
          </w:p>
        </w:tc>
        <w:tc>
          <w:tcPr>
            <w:tcW w:w="10064" w:type="dxa"/>
            <w:shd w:val="clear" w:color="auto" w:fill="auto"/>
          </w:tcPr>
          <w:p w:rsidR="0041529C" w:rsidRPr="0041529C" w:rsidRDefault="0041529C" w:rsidP="0041529C">
            <w:pPr>
              <w:spacing w:after="0" w:line="240" w:lineRule="auto"/>
              <w:jc w:val="both"/>
              <w:rPr>
                <w:rFonts w:ascii="Times New Roman" w:hAnsi="Times New Roman"/>
                <w:iCs/>
                <w:sz w:val="20"/>
                <w:szCs w:val="20"/>
              </w:rPr>
            </w:pPr>
            <w:r w:rsidRPr="0041529C">
              <w:rPr>
                <w:rFonts w:ascii="Times New Roman" w:eastAsia="AngsanaUPC" w:hAnsi="Times New Roman"/>
                <w:bCs/>
                <w:sz w:val="20"/>
                <w:szCs w:val="20"/>
                <w:lang w:eastAsia="lt-LT"/>
              </w:rPr>
              <w:t xml:space="preserve">Siekdama ES2020 tikslo sumažinti mokyklos nebaigusių asmenų skaičių iki mažiau nei 10 proc., Lietuva numato šį procentą sumažinti iki 9 proc., </w:t>
            </w:r>
            <w:r w:rsidRPr="0041529C">
              <w:rPr>
                <w:rFonts w:ascii="Times New Roman" w:hAnsi="Times New Roman"/>
                <w:iCs/>
                <w:sz w:val="20"/>
                <w:szCs w:val="20"/>
              </w:rPr>
              <w:t>prioritetą skiriant kaimiškoms vietovėms, kur pasitraukusiųjų skaičius viršijo ES nustatytą tikslą.</w:t>
            </w:r>
          </w:p>
          <w:p w:rsidR="0041529C" w:rsidRPr="0041529C" w:rsidRDefault="0041529C" w:rsidP="0041529C">
            <w:pPr>
              <w:spacing w:after="0" w:line="240" w:lineRule="auto"/>
              <w:jc w:val="both"/>
              <w:rPr>
                <w:rFonts w:ascii="Times New Roman" w:hAnsi="Times New Roman"/>
                <w:iCs/>
                <w:sz w:val="20"/>
                <w:szCs w:val="20"/>
              </w:rPr>
            </w:pPr>
            <w:r w:rsidRPr="0041529C">
              <w:rPr>
                <w:rFonts w:ascii="Times New Roman" w:hAnsi="Times New Roman"/>
                <w:iCs/>
                <w:sz w:val="20"/>
                <w:szCs w:val="20"/>
              </w:rPr>
              <w:t>Lietuvoje dėl neracionalaus mokyklų tinklo, neišplėtotos švietimo pagalbos infrastruktūros ir nepakankamos pedagogų kvalifikacijos bei kompetencijos didėjo atotrūkis tarp regionų.</w:t>
            </w:r>
          </w:p>
          <w:p w:rsidR="0041529C" w:rsidRPr="0041529C" w:rsidRDefault="0041529C" w:rsidP="0041529C">
            <w:pPr>
              <w:spacing w:after="0" w:line="240" w:lineRule="auto"/>
              <w:jc w:val="both"/>
              <w:rPr>
                <w:rFonts w:ascii="Times New Roman" w:eastAsia="AngsanaUPC" w:hAnsi="Times New Roman"/>
                <w:bCs/>
                <w:sz w:val="20"/>
                <w:szCs w:val="20"/>
                <w:lang w:eastAsia="lt-LT"/>
              </w:rPr>
            </w:pPr>
            <w:r w:rsidRPr="0041529C">
              <w:rPr>
                <w:rFonts w:ascii="Times New Roman" w:eastAsia="AngsanaUPC" w:hAnsi="Times New Roman"/>
                <w:bCs/>
                <w:sz w:val="20"/>
                <w:szCs w:val="20"/>
                <w:lang w:eastAsia="lt-LT"/>
              </w:rPr>
              <w:t>EK pozicijoje siūloma sukurti ir įdiegti nuoseklias ir įrodymais pagrįstas mokyklos nebaigusių asmenų skaičiaus mažinimo strategijas, integruoti mokinius, turinčius specialiųjų poreikių ir priklausančius socialiai atskirtoms bendruomenės grupėms.</w:t>
            </w:r>
          </w:p>
          <w:p w:rsidR="0041529C" w:rsidRPr="0041529C" w:rsidRDefault="0041529C" w:rsidP="0041529C">
            <w:pPr>
              <w:spacing w:after="0" w:line="240" w:lineRule="auto"/>
              <w:jc w:val="both"/>
              <w:rPr>
                <w:rFonts w:ascii="Times New Roman" w:hAnsi="Times New Roman"/>
                <w:iCs/>
                <w:sz w:val="20"/>
                <w:szCs w:val="20"/>
              </w:rPr>
            </w:pPr>
            <w:r w:rsidRPr="0041529C">
              <w:rPr>
                <w:rFonts w:ascii="Times New Roman" w:hAnsi="Times New Roman"/>
                <w:iCs/>
                <w:sz w:val="20"/>
                <w:szCs w:val="20"/>
              </w:rPr>
              <w:t xml:space="preserve">Taip pat pagal šį investicinį prioritetą gali būti įgyvendinamos veiklos, prisidedančios prie ES BJRS prioritetinės srities „Švietimas“, kiek jos susijusios su stažuotėmis ir tarptautinės patirties įgijimu. </w:t>
            </w:r>
          </w:p>
        </w:tc>
      </w:tr>
      <w:tr w:rsidR="0041529C" w:rsidRPr="0041529C" w:rsidTr="00EC77A8">
        <w:tc>
          <w:tcPr>
            <w:tcW w:w="1668" w:type="dxa"/>
            <w:vMerge/>
            <w:shd w:val="clear" w:color="auto" w:fill="auto"/>
          </w:tcPr>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p>
        </w:tc>
        <w:tc>
          <w:tcPr>
            <w:tcW w:w="3685" w:type="dxa"/>
            <w:shd w:val="clear" w:color="auto" w:fill="auto"/>
          </w:tcPr>
          <w:p w:rsidR="0041529C" w:rsidRPr="0041529C" w:rsidRDefault="0041529C" w:rsidP="0041529C">
            <w:pPr>
              <w:widowControl w:val="0"/>
              <w:tabs>
                <w:tab w:val="left" w:pos="1276"/>
              </w:tabs>
              <w:adjustRightInd w:val="0"/>
              <w:spacing w:after="120" w:line="240" w:lineRule="auto"/>
              <w:jc w:val="both"/>
              <w:textAlignment w:val="baseline"/>
              <w:rPr>
                <w:rFonts w:ascii="Times New Roman" w:eastAsia="Times New Roman" w:hAnsi="Times New Roman"/>
                <w:sz w:val="20"/>
                <w:szCs w:val="20"/>
                <w:lang w:eastAsia="lt-LT"/>
              </w:rPr>
            </w:pPr>
            <w:r w:rsidRPr="0041529C">
              <w:rPr>
                <w:rFonts w:ascii="Times New Roman" w:eastAsia="Times New Roman" w:hAnsi="Times New Roman"/>
                <w:sz w:val="20"/>
                <w:szCs w:val="20"/>
                <w:lang w:eastAsia="lt-LT"/>
              </w:rPr>
              <w:t>3. Aukštojo ir lygiaverčio jam mokslo kokybės, veiksmingumo ir prieinamumo didinimas</w:t>
            </w:r>
            <w:r w:rsidR="00144C58">
              <w:rPr>
                <w:rFonts w:ascii="Times New Roman" w:eastAsia="Times New Roman" w:hAnsi="Times New Roman"/>
                <w:sz w:val="20"/>
                <w:szCs w:val="20"/>
                <w:lang w:eastAsia="lt-LT"/>
              </w:rPr>
              <w:t>,</w:t>
            </w:r>
            <w:r w:rsidRPr="0041529C">
              <w:rPr>
                <w:rFonts w:ascii="Times New Roman" w:eastAsia="Times New Roman" w:hAnsi="Times New Roman"/>
                <w:sz w:val="20"/>
                <w:szCs w:val="20"/>
                <w:lang w:eastAsia="lt-LT"/>
              </w:rPr>
              <w:t xml:space="preserve"> siekiant didesnės studentų įtraukties ir geresnio mokymosi pažangumo, atkreipiant dėmesį į a</w:t>
            </w:r>
            <w:r w:rsidR="00AA0722">
              <w:rPr>
                <w:rFonts w:ascii="Times New Roman" w:eastAsia="Times New Roman" w:hAnsi="Times New Roman"/>
                <w:sz w:val="20"/>
                <w:szCs w:val="20"/>
                <w:lang w:eastAsia="lt-LT"/>
              </w:rPr>
              <w:t>tskirties grupes</w:t>
            </w:r>
          </w:p>
        </w:tc>
        <w:tc>
          <w:tcPr>
            <w:tcW w:w="10064" w:type="dxa"/>
            <w:shd w:val="clear" w:color="auto" w:fill="auto"/>
          </w:tcPr>
          <w:p w:rsidR="0041529C" w:rsidRPr="0041529C" w:rsidRDefault="0041529C" w:rsidP="0041529C">
            <w:pPr>
              <w:spacing w:after="0" w:line="240" w:lineRule="auto"/>
              <w:jc w:val="both"/>
              <w:rPr>
                <w:rFonts w:ascii="Times New Roman" w:eastAsia="AngsanaUPC" w:hAnsi="Times New Roman"/>
                <w:bCs/>
                <w:sz w:val="20"/>
                <w:szCs w:val="20"/>
                <w:lang w:eastAsia="lt-LT"/>
              </w:rPr>
            </w:pPr>
            <w:r w:rsidRPr="0041529C">
              <w:rPr>
                <w:rFonts w:ascii="Times New Roman" w:eastAsia="AngsanaUPC" w:hAnsi="Times New Roman"/>
                <w:bCs/>
                <w:sz w:val="20"/>
                <w:szCs w:val="20"/>
                <w:lang w:eastAsia="lt-LT"/>
              </w:rPr>
              <w:t>Siekdama ES2020 tikslo padidinti 30–34 m. gyventojų, turinčių aukštąjį ar jam prilygintą išsilavinimą, skaičių, Lietuva iki 2020 m. numato, kad aukštąjį arba jam prilygstantį išsilavinimą turės ne mažiau kaip 47,9 proc. 30–34 metų gyventojų. Kadangi vis daugiau jaunuolių siekia aukštojo mokslo, šiuo metu iškilo poreikis daugiau dėmesio skirti studijų kokybei. Tai padėtų išlaikyti aukštą gyventojų išsilavinimo lygį.</w:t>
            </w:r>
          </w:p>
          <w:p w:rsidR="0041529C" w:rsidRPr="0041529C" w:rsidRDefault="0041529C" w:rsidP="0041529C">
            <w:pPr>
              <w:spacing w:after="0" w:line="240" w:lineRule="auto"/>
              <w:jc w:val="both"/>
              <w:rPr>
                <w:rFonts w:ascii="Times New Roman" w:eastAsia="AngsanaUPC" w:hAnsi="Times New Roman"/>
                <w:bCs/>
                <w:sz w:val="20"/>
                <w:szCs w:val="20"/>
                <w:lang w:eastAsia="lt-LT"/>
              </w:rPr>
            </w:pPr>
            <w:r w:rsidRPr="0041529C">
              <w:rPr>
                <w:rFonts w:ascii="Times New Roman" w:eastAsia="AngsanaUPC" w:hAnsi="Times New Roman"/>
                <w:bCs/>
                <w:sz w:val="20"/>
                <w:szCs w:val="20"/>
                <w:lang w:eastAsia="lt-LT"/>
              </w:rPr>
              <w:t xml:space="preserve">Pagal šį investicinį prioritetą taip pat bus įgyvendinamos veiklos, skirtos tyrėjų stažuotėms užsienio mokslo institucijose ir įmonėse. Šios veiklos prisideda prie ES BJRS prioritetinės srities „Švietimas“. Taip pat šios veiklos netiesiogiai prisidės prie prioritetinės srities „Inovacijos“ įgyvendinimo. </w:t>
            </w:r>
          </w:p>
        </w:tc>
      </w:tr>
      <w:tr w:rsidR="0041529C" w:rsidRPr="0041529C" w:rsidTr="00EC77A8">
        <w:trPr>
          <w:trHeight w:val="1222"/>
        </w:trPr>
        <w:tc>
          <w:tcPr>
            <w:tcW w:w="1668" w:type="dxa"/>
            <w:vMerge/>
            <w:shd w:val="clear" w:color="auto" w:fill="auto"/>
          </w:tcPr>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p>
        </w:tc>
        <w:tc>
          <w:tcPr>
            <w:tcW w:w="3685" w:type="dxa"/>
            <w:shd w:val="clear" w:color="auto" w:fill="auto"/>
          </w:tcPr>
          <w:p w:rsidR="0041529C" w:rsidRPr="0041529C" w:rsidRDefault="0041529C" w:rsidP="0041529C">
            <w:pPr>
              <w:widowControl w:val="0"/>
              <w:tabs>
                <w:tab w:val="left" w:pos="1276"/>
              </w:tabs>
              <w:adjustRightInd w:val="0"/>
              <w:spacing w:after="120" w:line="240" w:lineRule="auto"/>
              <w:jc w:val="both"/>
              <w:textAlignment w:val="baseline"/>
              <w:rPr>
                <w:rFonts w:ascii="Times New Roman" w:eastAsia="Times New Roman" w:hAnsi="Times New Roman"/>
                <w:sz w:val="20"/>
                <w:szCs w:val="20"/>
                <w:lang w:eastAsia="lt-LT"/>
              </w:rPr>
            </w:pPr>
            <w:r w:rsidRPr="0041529C">
              <w:rPr>
                <w:rFonts w:ascii="Times New Roman" w:eastAsia="Times New Roman" w:hAnsi="Times New Roman"/>
                <w:sz w:val="20"/>
                <w:szCs w:val="20"/>
                <w:lang w:eastAsia="lt-LT"/>
              </w:rPr>
              <w:t>4. Vienodų galimybių formaliai, neformaliai ir savarankiškai mokytis visą gyvenimą suteikimas visoms amžiaus grupėms, darbuotojų žinių, įgūdžių ir kompetencijos ugdymas ir lanksčių mokymosi būdų, be kita ko</w:t>
            </w:r>
            <w:r w:rsidR="003B67DC">
              <w:rPr>
                <w:rFonts w:ascii="Times New Roman" w:eastAsia="Times New Roman" w:hAnsi="Times New Roman"/>
                <w:sz w:val="20"/>
                <w:szCs w:val="20"/>
                <w:lang w:eastAsia="lt-LT"/>
              </w:rPr>
              <w:t>,</w:t>
            </w:r>
            <w:r w:rsidRPr="0041529C">
              <w:rPr>
                <w:rFonts w:ascii="Times New Roman" w:eastAsia="Times New Roman" w:hAnsi="Times New Roman"/>
                <w:sz w:val="20"/>
                <w:szCs w:val="20"/>
                <w:lang w:eastAsia="lt-LT"/>
              </w:rPr>
              <w:t xml:space="preserve"> pasitelkiant profesinį mokymą ir įgytos kompetencijos pripažinimą, skatinimas</w:t>
            </w:r>
          </w:p>
        </w:tc>
        <w:tc>
          <w:tcPr>
            <w:tcW w:w="10064" w:type="dxa"/>
            <w:shd w:val="clear" w:color="auto" w:fill="auto"/>
          </w:tcPr>
          <w:p w:rsidR="0041529C" w:rsidRPr="0041529C" w:rsidRDefault="0041529C" w:rsidP="0041529C">
            <w:pPr>
              <w:spacing w:after="0" w:line="240" w:lineRule="auto"/>
              <w:jc w:val="both"/>
              <w:rPr>
                <w:rFonts w:ascii="Times New Roman" w:eastAsia="AngsanaUPC" w:hAnsi="Times New Roman"/>
                <w:bCs/>
                <w:sz w:val="20"/>
                <w:szCs w:val="20"/>
                <w:lang w:eastAsia="lt-LT"/>
              </w:rPr>
            </w:pPr>
            <w:r w:rsidRPr="0041529C">
              <w:rPr>
                <w:rFonts w:ascii="Times New Roman" w:eastAsia="AngsanaUPC" w:hAnsi="Times New Roman"/>
                <w:bCs/>
                <w:sz w:val="20"/>
                <w:szCs w:val="20"/>
                <w:lang w:eastAsia="lt-LT"/>
              </w:rPr>
              <w:t>ES2020 pavyzdinė iniciatyva „Naujų įgūdžių ir darbo vietų kūrimo darbotvarkė“ nustato galimybių mokytis visą gyvenimą gerinimą, pabrėžia žmonių prisitaikymo prie naujų sąlygų didinimą, profesinio mokymo patrauklumo svarbą, geresnių sąlygų keisti profesinę veiklą sudarymą ir nacionalinių kvalifikacijų sistemų kūrimo būtinumą.</w:t>
            </w:r>
          </w:p>
          <w:p w:rsidR="0041529C" w:rsidRPr="0041529C" w:rsidRDefault="0041529C" w:rsidP="0041529C">
            <w:pPr>
              <w:spacing w:after="0" w:line="240" w:lineRule="auto"/>
              <w:jc w:val="both"/>
              <w:rPr>
                <w:rFonts w:ascii="Times New Roman" w:eastAsia="AngsanaUPC" w:hAnsi="Times New Roman"/>
                <w:bCs/>
                <w:sz w:val="20"/>
                <w:szCs w:val="20"/>
                <w:lang w:eastAsia="lt-LT"/>
              </w:rPr>
            </w:pPr>
            <w:r w:rsidRPr="0041529C">
              <w:rPr>
                <w:rFonts w:ascii="Times New Roman" w:eastAsia="AngsanaUPC" w:hAnsi="Times New Roman"/>
                <w:bCs/>
                <w:sz w:val="20"/>
                <w:szCs w:val="20"/>
                <w:lang w:eastAsia="lt-LT"/>
              </w:rPr>
              <w:t>NRD numato sukurti mokymosi visą gyvenimą pasiūlos ir paklausos sistemą, kuri sudarytų sąlygas suaugusių asmenų socialinei ir darbinei įtraukčiai, aktyviam pilietiškumui ir asmeniniam tobulėjimui.</w:t>
            </w:r>
          </w:p>
        </w:tc>
      </w:tr>
      <w:tr w:rsidR="0041529C" w:rsidRPr="0041529C" w:rsidTr="00EC77A8">
        <w:tc>
          <w:tcPr>
            <w:tcW w:w="1668" w:type="dxa"/>
            <w:shd w:val="clear" w:color="auto" w:fill="auto"/>
          </w:tcPr>
          <w:p w:rsidR="0041529C" w:rsidRPr="0041529C" w:rsidRDefault="0041529C" w:rsidP="0041529C">
            <w:pPr>
              <w:widowControl w:val="0"/>
              <w:tabs>
                <w:tab w:val="left" w:pos="622"/>
              </w:tabs>
              <w:spacing w:after="0" w:line="240" w:lineRule="auto"/>
              <w:jc w:val="both"/>
              <w:rPr>
                <w:rFonts w:ascii="Times New Roman" w:eastAsia="AngsanaUPC" w:hAnsi="Times New Roman"/>
                <w:bCs/>
                <w:sz w:val="20"/>
                <w:szCs w:val="20"/>
                <w:lang w:eastAsia="lt-LT"/>
              </w:rPr>
            </w:pPr>
            <w:r w:rsidRPr="0041529C">
              <w:rPr>
                <w:rFonts w:ascii="Times New Roman" w:eastAsia="AngsanaUPC" w:hAnsi="Times New Roman"/>
                <w:bCs/>
                <w:sz w:val="20"/>
                <w:szCs w:val="20"/>
                <w:lang w:eastAsia="lt-LT"/>
              </w:rPr>
              <w:t>11. Institucinių pajėgumų stiprinimas ir veiksmingas viešasis administravimas</w:t>
            </w:r>
          </w:p>
        </w:tc>
        <w:tc>
          <w:tcPr>
            <w:tcW w:w="3685" w:type="dxa"/>
            <w:shd w:val="clear" w:color="auto" w:fill="auto"/>
          </w:tcPr>
          <w:p w:rsidR="0041529C" w:rsidRPr="0041529C" w:rsidRDefault="0041529C" w:rsidP="0041529C">
            <w:pPr>
              <w:widowControl w:val="0"/>
              <w:tabs>
                <w:tab w:val="left" w:pos="1276"/>
              </w:tabs>
              <w:adjustRightInd w:val="0"/>
              <w:spacing w:after="0" w:line="240" w:lineRule="auto"/>
              <w:jc w:val="both"/>
              <w:textAlignment w:val="baseline"/>
              <w:rPr>
                <w:rFonts w:ascii="Times New Roman" w:hAnsi="Times New Roman"/>
                <w:sz w:val="20"/>
                <w:szCs w:val="20"/>
              </w:rPr>
            </w:pPr>
            <w:r w:rsidRPr="0041529C">
              <w:rPr>
                <w:rFonts w:ascii="Times New Roman" w:hAnsi="Times New Roman"/>
                <w:sz w:val="20"/>
                <w:szCs w:val="20"/>
              </w:rPr>
              <w:t>1. Investavimas į institucinių gebėjimų stiprinimą ir veiksmingesnį viešąjį administravimą bei viešąsias paslaugas nacionaliniu, regionų ir vietos lygmenimis, siekiant reformų, geresnio</w:t>
            </w:r>
            <w:r w:rsidR="00AA0722">
              <w:rPr>
                <w:rFonts w:ascii="Times New Roman" w:hAnsi="Times New Roman"/>
                <w:sz w:val="20"/>
                <w:szCs w:val="20"/>
              </w:rPr>
              <w:t xml:space="preserve"> reglamentavimo ir gero valdymo</w:t>
            </w:r>
          </w:p>
        </w:tc>
        <w:tc>
          <w:tcPr>
            <w:tcW w:w="10064" w:type="dxa"/>
            <w:shd w:val="clear" w:color="auto" w:fill="auto"/>
          </w:tcPr>
          <w:p w:rsidR="00C85D51" w:rsidRPr="00C85D51" w:rsidRDefault="0041529C" w:rsidP="00C85D51">
            <w:pPr>
              <w:spacing w:after="0" w:line="240" w:lineRule="auto"/>
              <w:jc w:val="both"/>
              <w:rPr>
                <w:rFonts w:ascii="Times New Roman" w:eastAsia="AngsanaUPC" w:hAnsi="Times New Roman"/>
                <w:bCs/>
                <w:sz w:val="20"/>
                <w:szCs w:val="20"/>
                <w:lang w:eastAsia="lt-LT"/>
              </w:rPr>
            </w:pPr>
            <w:r w:rsidRPr="0041529C">
              <w:rPr>
                <w:rFonts w:ascii="Times New Roman" w:hAnsi="Times New Roman"/>
                <w:bCs/>
                <w:iCs/>
                <w:sz w:val="20"/>
                <w:szCs w:val="20"/>
              </w:rPr>
              <w:t>NRD nustatyta, kad efektyvus viešasis valdymas yra svarbus šalies pažangą ir konkurencingumą lemiantis veiksnys. Poreikis tobulinti viešąjį valdymą akcentuojamas Lietuvos pažangos strategijoje „Lietuva 2030“, NPP, Viešojo valdymo tobulinimo 2012–2020 metų programoje</w:t>
            </w:r>
            <w:r w:rsidR="00C85D51" w:rsidRPr="00C85D51">
              <w:rPr>
                <w:rFonts w:ascii="Times New Roman" w:eastAsia="AngsanaUPC" w:hAnsi="Times New Roman"/>
                <w:bCs/>
                <w:sz w:val="20"/>
                <w:szCs w:val="20"/>
                <w:lang w:eastAsia="lt-LT"/>
              </w:rPr>
              <w:t xml:space="preserve">. </w:t>
            </w:r>
            <w:r w:rsidR="00C85D51">
              <w:rPr>
                <w:rFonts w:ascii="Times New Roman" w:eastAsia="AngsanaUPC" w:hAnsi="Times New Roman"/>
                <w:bCs/>
                <w:sz w:val="20"/>
                <w:szCs w:val="20"/>
                <w:lang w:eastAsia="lt-LT"/>
              </w:rPr>
              <w:t xml:space="preserve">Pažymėtina, kad viena iš </w:t>
            </w:r>
            <w:r w:rsidR="00C85D51" w:rsidRPr="00C85D51">
              <w:rPr>
                <w:rFonts w:ascii="Times New Roman" w:eastAsia="AngsanaUPC" w:hAnsi="Times New Roman"/>
                <w:bCs/>
                <w:sz w:val="20"/>
                <w:szCs w:val="20"/>
                <w:lang w:eastAsia="lt-LT"/>
              </w:rPr>
              <w:t>2014 m. Europos Tarybos rekomendacij</w:t>
            </w:r>
            <w:r w:rsidR="00C85D51">
              <w:rPr>
                <w:rFonts w:ascii="Times New Roman" w:eastAsia="AngsanaUPC" w:hAnsi="Times New Roman"/>
                <w:bCs/>
                <w:sz w:val="20"/>
                <w:szCs w:val="20"/>
                <w:lang w:eastAsia="lt-LT"/>
              </w:rPr>
              <w:t xml:space="preserve">ų yra skirta </w:t>
            </w:r>
            <w:r w:rsidR="00C85D51" w:rsidRPr="00C85D51">
              <w:rPr>
                <w:rFonts w:ascii="Times New Roman" w:eastAsia="AngsanaUPC" w:hAnsi="Times New Roman"/>
                <w:bCs/>
                <w:sz w:val="20"/>
                <w:szCs w:val="20"/>
                <w:lang w:eastAsia="lt-LT"/>
              </w:rPr>
              <w:t>valstybės valdomų įmonių reform</w:t>
            </w:r>
            <w:r w:rsidR="00C85D51">
              <w:rPr>
                <w:rFonts w:ascii="Times New Roman" w:eastAsia="AngsanaUPC" w:hAnsi="Times New Roman"/>
                <w:bCs/>
                <w:sz w:val="20"/>
                <w:szCs w:val="20"/>
                <w:lang w:eastAsia="lt-LT"/>
              </w:rPr>
              <w:t>ai.</w:t>
            </w:r>
          </w:p>
          <w:p w:rsidR="0041529C" w:rsidRPr="0041529C" w:rsidRDefault="0041529C" w:rsidP="00C85D51">
            <w:pPr>
              <w:spacing w:after="0" w:line="240" w:lineRule="auto"/>
              <w:jc w:val="both"/>
              <w:rPr>
                <w:rFonts w:ascii="Times New Roman" w:hAnsi="Times New Roman"/>
                <w:bCs/>
                <w:iCs/>
                <w:sz w:val="20"/>
                <w:szCs w:val="20"/>
              </w:rPr>
            </w:pPr>
            <w:r w:rsidRPr="0041529C">
              <w:rPr>
                <w:rFonts w:ascii="Times New Roman" w:eastAsia="AngsanaUPC" w:hAnsi="Times New Roman"/>
                <w:bCs/>
                <w:sz w:val="20"/>
                <w:szCs w:val="20"/>
                <w:lang w:eastAsia="lt-LT"/>
              </w:rPr>
              <w:t>EK pozicijoje siūloma viešąjį administravimą labiau orientuoti į klientą, o viešojo administravimo institucijas orientuoti į rezultatus.</w:t>
            </w:r>
          </w:p>
        </w:tc>
      </w:tr>
      <w:tr w:rsidR="00540649" w:rsidRPr="0041529C" w:rsidTr="00EC77A8">
        <w:tc>
          <w:tcPr>
            <w:tcW w:w="1668" w:type="dxa"/>
            <w:vMerge w:val="restart"/>
            <w:shd w:val="clear" w:color="auto" w:fill="auto"/>
          </w:tcPr>
          <w:p w:rsidR="00540649" w:rsidRPr="000F7786" w:rsidRDefault="00540649" w:rsidP="0041529C">
            <w:pPr>
              <w:widowControl w:val="0"/>
              <w:tabs>
                <w:tab w:val="left" w:pos="622"/>
              </w:tabs>
              <w:spacing w:after="0" w:line="240" w:lineRule="auto"/>
              <w:jc w:val="both"/>
              <w:rPr>
                <w:rFonts w:ascii="Times New Roman" w:eastAsia="AngsanaUPC" w:hAnsi="Times New Roman"/>
                <w:bCs/>
                <w:sz w:val="20"/>
                <w:szCs w:val="20"/>
                <w:lang w:eastAsia="lt-LT"/>
              </w:rPr>
            </w:pPr>
            <w:r w:rsidRPr="000F7786">
              <w:rPr>
                <w:rFonts w:ascii="Times New Roman" w:eastAsia="AngsanaUPC" w:hAnsi="Times New Roman"/>
                <w:bCs/>
                <w:sz w:val="20"/>
                <w:szCs w:val="20"/>
                <w:lang w:eastAsia="lt-LT"/>
              </w:rPr>
              <w:t xml:space="preserve">„React–EU“ teminis tikslas. Veiksmų, skirtų COVID-19 pandemijos sukeltai krizei ir </w:t>
            </w:r>
            <w:r w:rsidRPr="000F7786">
              <w:rPr>
                <w:rFonts w:ascii="Times New Roman" w:eastAsia="AngsanaUPC" w:hAnsi="Times New Roman"/>
                <w:bCs/>
                <w:sz w:val="20"/>
                <w:szCs w:val="20"/>
                <w:lang w:eastAsia="lt-LT"/>
              </w:rPr>
              <w:lastRenderedPageBreak/>
              <w:t>jos socialiniams padariniams įveikti, skatinimas ir pasirengimas žaliajam, skaitmeniniam ir atspariam ekonomikos atgaivinimui</w:t>
            </w:r>
          </w:p>
        </w:tc>
        <w:tc>
          <w:tcPr>
            <w:tcW w:w="3685" w:type="dxa"/>
            <w:shd w:val="clear" w:color="auto" w:fill="auto"/>
          </w:tcPr>
          <w:p w:rsidR="00540649" w:rsidRPr="000F7786" w:rsidRDefault="00540649" w:rsidP="0041529C">
            <w:pPr>
              <w:widowControl w:val="0"/>
              <w:tabs>
                <w:tab w:val="left" w:pos="1276"/>
              </w:tabs>
              <w:adjustRightInd w:val="0"/>
              <w:spacing w:after="0" w:line="240" w:lineRule="auto"/>
              <w:jc w:val="both"/>
              <w:textAlignment w:val="baseline"/>
              <w:rPr>
                <w:rFonts w:ascii="Times New Roman" w:hAnsi="Times New Roman"/>
                <w:sz w:val="20"/>
                <w:szCs w:val="20"/>
              </w:rPr>
            </w:pPr>
            <w:r w:rsidRPr="000F7786">
              <w:rPr>
                <w:rFonts w:ascii="Times New Roman" w:hAnsi="Times New Roman"/>
              </w:rPr>
              <w:lastRenderedPageBreak/>
              <w:t xml:space="preserve">1. (ERPF) </w:t>
            </w:r>
            <w:r w:rsidRPr="000F7786">
              <w:rPr>
                <w:rFonts w:ascii="Times New Roman" w:hAnsi="Times New Roman"/>
                <w:bCs/>
              </w:rPr>
              <w:t>Veiksmų, skirtų COVID-19 pandemijos sukeltai krizei ir jos socialiniams padariniams įveikti, skatinimas ir pasirengimas žaliajam, skaitmeniniam ir atspariam ekonomikos atgaivinimui</w:t>
            </w:r>
          </w:p>
        </w:tc>
        <w:tc>
          <w:tcPr>
            <w:tcW w:w="10064" w:type="dxa"/>
            <w:vMerge w:val="restart"/>
            <w:shd w:val="clear" w:color="auto" w:fill="auto"/>
          </w:tcPr>
          <w:p w:rsidR="00540649" w:rsidRPr="000F7786" w:rsidRDefault="00540649" w:rsidP="00540649">
            <w:pPr>
              <w:spacing w:after="0" w:line="240" w:lineRule="auto"/>
              <w:jc w:val="both"/>
              <w:rPr>
                <w:rFonts w:ascii="Times New Roman" w:hAnsi="Times New Roman"/>
                <w:bCs/>
                <w:iCs/>
                <w:sz w:val="20"/>
                <w:szCs w:val="20"/>
              </w:rPr>
            </w:pPr>
            <w:r w:rsidRPr="000F7786">
              <w:rPr>
                <w:rFonts w:ascii="Times New Roman" w:hAnsi="Times New Roman"/>
                <w:bCs/>
                <w:iCs/>
                <w:sz w:val="20"/>
                <w:szCs w:val="20"/>
              </w:rPr>
              <w:t>2020 m. ES Tarybos rekomendacijose Lietuvai siūloma imtis visų būtinų priemonių, kad būtų veiksmingai kovojama su pandemija, palaikoma ekonomika ir remiamas būsimas atsigavimas, švelninamas poveikis užimtumui bei užtikrinama minimali socialinė apsauga.</w:t>
            </w:r>
          </w:p>
          <w:p w:rsidR="00540649" w:rsidRPr="000F7786" w:rsidRDefault="00540649" w:rsidP="00540649">
            <w:pPr>
              <w:spacing w:after="0" w:line="240" w:lineRule="auto"/>
              <w:jc w:val="both"/>
              <w:rPr>
                <w:rFonts w:ascii="Times New Roman" w:hAnsi="Times New Roman"/>
                <w:bCs/>
                <w:iCs/>
                <w:sz w:val="20"/>
                <w:szCs w:val="20"/>
              </w:rPr>
            </w:pPr>
            <w:r w:rsidRPr="000F7786">
              <w:rPr>
                <w:rFonts w:ascii="Times New Roman" w:hAnsi="Times New Roman"/>
                <w:bCs/>
                <w:iCs/>
                <w:sz w:val="20"/>
                <w:szCs w:val="20"/>
              </w:rPr>
              <w:t xml:space="preserve">Siekiant reaguoti į pasaulinės krizės sukeltas neigiamas pasekmes, kurios apima ne tik sveikatos sistemos sukrėtimą, bet ir vidaus ekonomikos sutrikimus (laikinai sustabdytas verslas, plačiai taikomi apribojimai kelionėms ir mobilumui, mažėja vidaus pasiūla ir paklausa), smunkančią išorės paklausą, finansų rinkų neapibrėžtumą, padidėjusį netikrumą dėl ateities, </w:t>
            </w:r>
            <w:r w:rsidRPr="000F7786">
              <w:rPr>
                <w:rFonts w:ascii="Times New Roman" w:hAnsi="Times New Roman"/>
                <w:bCs/>
                <w:iCs/>
                <w:sz w:val="20"/>
                <w:szCs w:val="20"/>
              </w:rPr>
              <w:lastRenderedPageBreak/>
              <w:t>Lietuvos Respublikos Vyriausybės patvirtintas Ateities ekonomikos DNR planas, skirtas skatinti sparčias ir efektyvias investicijas į ekonomikos atsigavimą ir ilgalaikį, subalansuotą ir tvarų socialinės ir ekonominės gerovės augimą.</w:t>
            </w:r>
          </w:p>
          <w:p w:rsidR="00540649" w:rsidRPr="000F7786" w:rsidRDefault="00540649" w:rsidP="00540649">
            <w:pPr>
              <w:spacing w:after="0" w:line="240" w:lineRule="auto"/>
              <w:jc w:val="both"/>
              <w:rPr>
                <w:rFonts w:ascii="Times New Roman" w:hAnsi="Times New Roman"/>
                <w:bCs/>
                <w:iCs/>
                <w:sz w:val="20"/>
                <w:szCs w:val="20"/>
              </w:rPr>
            </w:pPr>
            <w:r w:rsidRPr="000F7786">
              <w:rPr>
                <w:rFonts w:ascii="Times New Roman" w:hAnsi="Times New Roman"/>
                <w:bCs/>
                <w:iCs/>
                <w:sz w:val="20"/>
                <w:szCs w:val="20"/>
              </w:rPr>
              <w:t>Atsižvelgiant į Ateities ekonomikos DNR planą ir ES Tarybos rekomendacijas Lietuvai 2020 metams, „React–EU“ teminio tikslo, finansuojamo „React–EU“ iniciatyvos lėšomis, investicijos bus skirtos spręsti iššūkius, kilusius dėl COVID-19 pandemijos krizės, susidoroti su socialiniais ir ekonominiais sunkumais, užtikrinti pažangų ekonomikos augimą bei stiprinti jos pasirengimą atremti galimus sukrėtimus ateityje.</w:t>
            </w:r>
          </w:p>
          <w:p w:rsidR="00540649" w:rsidRPr="000F7786" w:rsidRDefault="00540649" w:rsidP="00C85D51">
            <w:pPr>
              <w:spacing w:after="0" w:line="240" w:lineRule="auto"/>
              <w:jc w:val="both"/>
              <w:rPr>
                <w:rFonts w:ascii="Times New Roman" w:hAnsi="Times New Roman"/>
                <w:bCs/>
                <w:iCs/>
                <w:sz w:val="20"/>
                <w:szCs w:val="20"/>
              </w:rPr>
            </w:pPr>
          </w:p>
        </w:tc>
      </w:tr>
      <w:tr w:rsidR="00540649" w:rsidRPr="0041529C" w:rsidTr="00EC77A8">
        <w:tc>
          <w:tcPr>
            <w:tcW w:w="1668" w:type="dxa"/>
            <w:vMerge/>
            <w:shd w:val="clear" w:color="auto" w:fill="auto"/>
          </w:tcPr>
          <w:p w:rsidR="00540649" w:rsidRPr="0041529C" w:rsidRDefault="00540649" w:rsidP="0041529C">
            <w:pPr>
              <w:widowControl w:val="0"/>
              <w:tabs>
                <w:tab w:val="left" w:pos="622"/>
              </w:tabs>
              <w:spacing w:after="0" w:line="240" w:lineRule="auto"/>
              <w:jc w:val="both"/>
              <w:rPr>
                <w:rFonts w:ascii="Times New Roman" w:eastAsia="AngsanaUPC" w:hAnsi="Times New Roman"/>
                <w:bCs/>
                <w:sz w:val="20"/>
                <w:szCs w:val="20"/>
                <w:lang w:eastAsia="lt-LT"/>
              </w:rPr>
            </w:pPr>
          </w:p>
        </w:tc>
        <w:tc>
          <w:tcPr>
            <w:tcW w:w="3685" w:type="dxa"/>
            <w:shd w:val="clear" w:color="auto" w:fill="auto"/>
          </w:tcPr>
          <w:p w:rsidR="00540649" w:rsidRPr="000F7786" w:rsidRDefault="00540649" w:rsidP="0041529C">
            <w:pPr>
              <w:widowControl w:val="0"/>
              <w:tabs>
                <w:tab w:val="left" w:pos="1276"/>
              </w:tabs>
              <w:adjustRightInd w:val="0"/>
              <w:spacing w:after="0" w:line="240" w:lineRule="auto"/>
              <w:jc w:val="both"/>
              <w:textAlignment w:val="baseline"/>
              <w:rPr>
                <w:rFonts w:ascii="Times New Roman" w:hAnsi="Times New Roman"/>
                <w:sz w:val="20"/>
                <w:szCs w:val="20"/>
              </w:rPr>
            </w:pPr>
            <w:r w:rsidRPr="000F7786">
              <w:rPr>
                <w:rFonts w:ascii="Times New Roman" w:hAnsi="Times New Roman"/>
                <w:sz w:val="20"/>
                <w:szCs w:val="20"/>
              </w:rPr>
              <w:t xml:space="preserve">2. </w:t>
            </w:r>
            <w:r w:rsidRPr="000F7786">
              <w:rPr>
                <w:rFonts w:ascii="Times New Roman" w:hAnsi="Times New Roman"/>
              </w:rPr>
              <w:t xml:space="preserve">(ESF) </w:t>
            </w:r>
            <w:r w:rsidRPr="000F7786">
              <w:rPr>
                <w:rFonts w:ascii="Times New Roman" w:hAnsi="Times New Roman"/>
                <w:bCs/>
              </w:rPr>
              <w:t>Veiksmų, skirtų COVID-19 pandemijos sukeltai krizei ir jos socialiniams padariniams įveikti, skatinimas ir pasirengimas žaliajam, skaitmeniniam ir atspariam ekonomikos atgaivinimui</w:t>
            </w:r>
          </w:p>
        </w:tc>
        <w:tc>
          <w:tcPr>
            <w:tcW w:w="10064" w:type="dxa"/>
            <w:vMerge/>
            <w:shd w:val="clear" w:color="auto" w:fill="auto"/>
          </w:tcPr>
          <w:p w:rsidR="00540649" w:rsidRPr="0041529C" w:rsidRDefault="00540649" w:rsidP="00C85D51">
            <w:pPr>
              <w:spacing w:after="0" w:line="240" w:lineRule="auto"/>
              <w:jc w:val="both"/>
              <w:rPr>
                <w:rFonts w:ascii="Times New Roman" w:hAnsi="Times New Roman"/>
                <w:bCs/>
                <w:iCs/>
                <w:sz w:val="20"/>
                <w:szCs w:val="20"/>
              </w:rPr>
            </w:pPr>
          </w:p>
        </w:tc>
      </w:tr>
    </w:tbl>
    <w:p w:rsidR="00B12D51" w:rsidRDefault="00B12D51" w:rsidP="00254EEE">
      <w:pPr>
        <w:widowControl w:val="0"/>
        <w:tabs>
          <w:tab w:val="left" w:pos="622"/>
        </w:tabs>
        <w:spacing w:after="0" w:line="240" w:lineRule="auto"/>
        <w:jc w:val="both"/>
        <w:rPr>
          <w:rFonts w:ascii="Times New Roman" w:eastAsia="AngsanaUPC" w:hAnsi="Times New Roman"/>
          <w:b/>
          <w:bCs/>
          <w:sz w:val="24"/>
          <w:szCs w:val="24"/>
          <w:lang w:eastAsia="lt-LT"/>
        </w:rPr>
        <w:sectPr w:rsidR="00B12D51" w:rsidSect="00AC19DA">
          <w:pgSz w:w="16838" w:h="11906" w:orient="landscape"/>
          <w:pgMar w:top="1701" w:right="1701" w:bottom="567" w:left="1134" w:header="567" w:footer="567" w:gutter="0"/>
          <w:cols w:space="1296"/>
          <w:docGrid w:linePitch="360"/>
        </w:sectPr>
      </w:pPr>
    </w:p>
    <w:tbl>
      <w:tblPr>
        <w:tblpPr w:leftFromText="180" w:rightFromText="180" w:vertAnchor="text" w:horzAnchor="margin" w:tblpY="200"/>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FC087A" w:rsidRPr="00FC087A" w:rsidTr="006D1DE4">
        <w:trPr>
          <w:trHeight w:val="416"/>
        </w:trPr>
        <w:tc>
          <w:tcPr>
            <w:tcW w:w="9747" w:type="dxa"/>
            <w:shd w:val="clear" w:color="auto" w:fill="C6D9F1"/>
            <w:vAlign w:val="center"/>
          </w:tcPr>
          <w:p w:rsidR="00FC087A" w:rsidRPr="00FC087A" w:rsidRDefault="00FC087A" w:rsidP="00FC087A">
            <w:pPr>
              <w:widowControl w:val="0"/>
              <w:tabs>
                <w:tab w:val="left" w:pos="622"/>
              </w:tabs>
              <w:spacing w:after="0" w:line="240" w:lineRule="auto"/>
              <w:jc w:val="both"/>
              <w:rPr>
                <w:rFonts w:ascii="Times New Roman" w:eastAsia="AngsanaUPC" w:hAnsi="Times New Roman"/>
                <w:b/>
                <w:bCs/>
                <w:iCs/>
                <w:sz w:val="24"/>
                <w:szCs w:val="24"/>
                <w:lang w:eastAsia="lt-LT"/>
              </w:rPr>
            </w:pPr>
            <w:r w:rsidRPr="00FC087A">
              <w:rPr>
                <w:rFonts w:ascii="Times New Roman" w:eastAsia="AngsanaUPC" w:hAnsi="Times New Roman"/>
                <w:b/>
                <w:bCs/>
                <w:sz w:val="24"/>
                <w:szCs w:val="24"/>
                <w:lang w:eastAsia="lt-LT"/>
              </w:rPr>
              <w:lastRenderedPageBreak/>
              <w:t xml:space="preserve">1.2. </w:t>
            </w:r>
            <w:r w:rsidRPr="00FC087A">
              <w:rPr>
                <w:rFonts w:ascii="Times New Roman" w:eastAsia="AngsanaUPC" w:hAnsi="Times New Roman"/>
                <w:b/>
                <w:bCs/>
                <w:iCs/>
                <w:sz w:val="24"/>
                <w:szCs w:val="24"/>
                <w:lang w:eastAsia="lt-LT"/>
              </w:rPr>
              <w:t>Finansinių asignavimų pagrindimas</w:t>
            </w:r>
          </w:p>
        </w:tc>
      </w:tr>
    </w:tbl>
    <w:p w:rsidR="00FC087A" w:rsidRDefault="00FC087A" w:rsidP="00254EEE">
      <w:pPr>
        <w:widowControl w:val="0"/>
        <w:tabs>
          <w:tab w:val="left" w:pos="622"/>
        </w:tabs>
        <w:spacing w:after="0" w:line="240" w:lineRule="auto"/>
        <w:jc w:val="both"/>
        <w:rPr>
          <w:rFonts w:ascii="Times New Roman" w:eastAsia="AngsanaUPC" w:hAnsi="Times New Roman"/>
          <w:b/>
          <w:bCs/>
          <w:sz w:val="24"/>
          <w:szCs w:val="24"/>
          <w:lang w:eastAsia="lt-LT"/>
        </w:rPr>
      </w:pPr>
    </w:p>
    <w:p w:rsidR="00825126" w:rsidRPr="004C20D3" w:rsidRDefault="00825126" w:rsidP="00FC087A">
      <w:pPr>
        <w:autoSpaceDE w:val="0"/>
        <w:autoSpaceDN w:val="0"/>
        <w:adjustRightInd w:val="0"/>
        <w:spacing w:after="0" w:line="240" w:lineRule="auto"/>
        <w:ind w:firstLine="624"/>
        <w:jc w:val="both"/>
        <w:rPr>
          <w:rFonts w:ascii="Times New Roman" w:hAnsi="Times New Roman"/>
          <w:bCs/>
          <w:sz w:val="24"/>
          <w:szCs w:val="24"/>
        </w:rPr>
      </w:pPr>
      <w:r w:rsidRPr="004C20D3">
        <w:rPr>
          <w:rFonts w:ascii="Times New Roman" w:hAnsi="Times New Roman"/>
          <w:bCs/>
          <w:sz w:val="24"/>
          <w:szCs w:val="24"/>
        </w:rPr>
        <w:t>Paskirstant 2014–2020 m. ES fondų lėšas</w:t>
      </w:r>
      <w:r w:rsidR="00F864A4">
        <w:rPr>
          <w:rFonts w:ascii="Times New Roman" w:hAnsi="Times New Roman"/>
          <w:bCs/>
          <w:sz w:val="24"/>
          <w:szCs w:val="24"/>
        </w:rPr>
        <w:t>,</w:t>
      </w:r>
      <w:r w:rsidRPr="004C20D3">
        <w:rPr>
          <w:rFonts w:ascii="Times New Roman" w:hAnsi="Times New Roman"/>
          <w:bCs/>
          <w:sz w:val="24"/>
          <w:szCs w:val="24"/>
        </w:rPr>
        <w:t xml:space="preserve"> pirmiausiai</w:t>
      </w:r>
      <w:r w:rsidR="00F864A4">
        <w:rPr>
          <w:rFonts w:ascii="Times New Roman" w:hAnsi="Times New Roman"/>
          <w:bCs/>
          <w:sz w:val="24"/>
          <w:szCs w:val="24"/>
        </w:rPr>
        <w:t>,</w:t>
      </w:r>
      <w:r w:rsidRPr="004C20D3">
        <w:rPr>
          <w:rFonts w:ascii="Times New Roman" w:hAnsi="Times New Roman"/>
          <w:bCs/>
          <w:sz w:val="24"/>
          <w:szCs w:val="24"/>
        </w:rPr>
        <w:t xml:space="preserve"> atsižvelgiama į 2014–2020 m. ES sanglaudos politikos reglamentuose numatytus teminės koncentracijos reikalavimus teminiams tikslams ir investavimo prioritetams bei į reikalavimus, taikomus dėl minimalių ESF) ir SaF dalių. </w:t>
      </w:r>
    </w:p>
    <w:p w:rsidR="00825126" w:rsidRPr="004C20D3" w:rsidRDefault="00825126" w:rsidP="00FC087A">
      <w:pPr>
        <w:autoSpaceDE w:val="0"/>
        <w:autoSpaceDN w:val="0"/>
        <w:adjustRightInd w:val="0"/>
        <w:spacing w:after="0" w:line="240" w:lineRule="auto"/>
        <w:ind w:firstLine="624"/>
        <w:jc w:val="both"/>
        <w:rPr>
          <w:rFonts w:ascii="Times New Roman" w:hAnsi="Times New Roman"/>
          <w:bCs/>
          <w:sz w:val="24"/>
          <w:szCs w:val="24"/>
        </w:rPr>
      </w:pPr>
      <w:r w:rsidRPr="004C20D3">
        <w:rPr>
          <w:rFonts w:ascii="Times New Roman" w:hAnsi="Times New Roman"/>
          <w:bCs/>
          <w:sz w:val="24"/>
          <w:szCs w:val="24"/>
        </w:rPr>
        <w:t>Nustatant konkrečias finansines proporcijas</w:t>
      </w:r>
      <w:r w:rsidR="00182490">
        <w:rPr>
          <w:rFonts w:ascii="Times New Roman" w:hAnsi="Times New Roman"/>
          <w:bCs/>
          <w:sz w:val="24"/>
          <w:szCs w:val="24"/>
        </w:rPr>
        <w:t>,</w:t>
      </w:r>
      <w:r w:rsidRPr="004C20D3">
        <w:rPr>
          <w:rFonts w:ascii="Times New Roman" w:hAnsi="Times New Roman"/>
          <w:bCs/>
          <w:sz w:val="24"/>
          <w:szCs w:val="24"/>
        </w:rPr>
        <w:t xml:space="preserve"> buvo vertinami pagrindiniai iššūkiai ir plėtros potencialas. Vertinant iššūkius, buvo atsižvelgta ne tik į Lietuvos, bet ir į visos ES ir pasaulines tendencijas, išdėstytas Lietuvos pažangos strategijoje „Lietuva 2030“, strategijoje „ES 2020“, Europos Vadovų Tarybos išvadose, konkrečiai valstybei narei skirtose rekomendacijose, nacionaliniuose strateginiuose dokumentuose, įvairi</w:t>
      </w:r>
      <w:r w:rsidR="00182490">
        <w:rPr>
          <w:rFonts w:ascii="Times New Roman" w:hAnsi="Times New Roman"/>
          <w:bCs/>
          <w:sz w:val="24"/>
          <w:szCs w:val="24"/>
        </w:rPr>
        <w:t>u</w:t>
      </w:r>
      <w:r w:rsidRPr="004C20D3">
        <w:rPr>
          <w:rFonts w:ascii="Times New Roman" w:hAnsi="Times New Roman"/>
          <w:bCs/>
          <w:sz w:val="24"/>
          <w:szCs w:val="24"/>
        </w:rPr>
        <w:t>ose teminiuose vertinimuose, Pasaulio Banko, Ekonominio bendradarbiavimo ir plėtros organizacijos ir kitų pripažintų tarptautinių organizacijų, taip pat EK pozicijoje dėl Lietuvos ūkio ir atskirų sektorių plėtros perspektyvų ir kt. Kartu įvertinta, kokie pokyčiai būtini nacionaliniams strateginiams įsipareigojimams vykdyti (</w:t>
      </w:r>
      <w:r w:rsidR="00686878">
        <w:rPr>
          <w:rFonts w:ascii="Times New Roman" w:hAnsi="Times New Roman"/>
          <w:bCs/>
          <w:sz w:val="24"/>
          <w:szCs w:val="24"/>
        </w:rPr>
        <w:t>pavyzdžiui</w:t>
      </w:r>
      <w:r w:rsidRPr="004C20D3">
        <w:rPr>
          <w:rFonts w:ascii="Times New Roman" w:hAnsi="Times New Roman"/>
          <w:bCs/>
          <w:sz w:val="24"/>
          <w:szCs w:val="24"/>
        </w:rPr>
        <w:t>, likviduoti tam tikrų rodiklių atotrūkį nuo ES vidurkio arba pasiekti strategijos ES 2020 nacionalinio tikslo reikšmę).</w:t>
      </w:r>
    </w:p>
    <w:p w:rsidR="00825126" w:rsidRPr="004C20D3" w:rsidRDefault="00825126" w:rsidP="00FC087A">
      <w:pPr>
        <w:autoSpaceDE w:val="0"/>
        <w:autoSpaceDN w:val="0"/>
        <w:adjustRightInd w:val="0"/>
        <w:spacing w:after="0" w:line="240" w:lineRule="auto"/>
        <w:ind w:firstLine="624"/>
        <w:jc w:val="both"/>
        <w:rPr>
          <w:rFonts w:ascii="Times New Roman" w:hAnsi="Times New Roman"/>
          <w:bCs/>
          <w:sz w:val="24"/>
          <w:szCs w:val="24"/>
        </w:rPr>
      </w:pPr>
      <w:r w:rsidRPr="004C20D3">
        <w:rPr>
          <w:rFonts w:ascii="Times New Roman" w:hAnsi="Times New Roman"/>
          <w:bCs/>
          <w:sz w:val="24"/>
          <w:szCs w:val="24"/>
        </w:rPr>
        <w:t>ES fondų lėšų nustatymas 2014–2020 m. ES sanglaudos politikos reglamentuose nustatytiems konkretiems teminiams tikslams atliktas</w:t>
      </w:r>
      <w:r w:rsidR="00CF2789">
        <w:rPr>
          <w:rFonts w:ascii="Times New Roman" w:hAnsi="Times New Roman"/>
          <w:bCs/>
          <w:sz w:val="24"/>
          <w:szCs w:val="24"/>
        </w:rPr>
        <w:t>,</w:t>
      </w:r>
      <w:r w:rsidRPr="004C20D3">
        <w:rPr>
          <w:rFonts w:ascii="Times New Roman" w:hAnsi="Times New Roman"/>
          <w:bCs/>
          <w:sz w:val="24"/>
          <w:szCs w:val="24"/>
        </w:rPr>
        <w:t xml:space="preserve"> atsižvelgiant į Partnerystės sutarties 1.1. dalyje „Situacijos analizė, iššūkiai ir augimo potencialas“ nustatytus iššūkius bei augimo potencialą ir 1.3. dalyje „Kiekvieno teminio tikslo rezultatų kiekvieno fondo atžvilgiu santrauka“ </w:t>
      </w:r>
      <w:r w:rsidRPr="004C20D3">
        <w:rPr>
          <w:rFonts w:ascii="Times New Roman" w:hAnsi="Times New Roman"/>
          <w:bCs/>
          <w:iCs/>
          <w:sz w:val="24"/>
          <w:szCs w:val="24"/>
        </w:rPr>
        <w:t>investicijomis numatomus pasiekti rezultatus</w:t>
      </w:r>
      <w:r w:rsidRPr="004C20D3">
        <w:rPr>
          <w:rFonts w:ascii="Times New Roman" w:hAnsi="Times New Roman"/>
          <w:bCs/>
          <w:sz w:val="24"/>
          <w:szCs w:val="24"/>
        </w:rPr>
        <w:t xml:space="preserve">. </w:t>
      </w:r>
    </w:p>
    <w:p w:rsidR="00825126" w:rsidRPr="004C20D3" w:rsidRDefault="00825126" w:rsidP="00FC087A">
      <w:pPr>
        <w:autoSpaceDE w:val="0"/>
        <w:autoSpaceDN w:val="0"/>
        <w:adjustRightInd w:val="0"/>
        <w:spacing w:after="0" w:line="240" w:lineRule="auto"/>
        <w:ind w:firstLine="624"/>
        <w:jc w:val="both"/>
        <w:rPr>
          <w:rFonts w:ascii="Times New Roman" w:hAnsi="Times New Roman"/>
          <w:bCs/>
          <w:sz w:val="24"/>
          <w:szCs w:val="24"/>
        </w:rPr>
      </w:pPr>
      <w:r w:rsidRPr="004C20D3">
        <w:rPr>
          <w:rFonts w:ascii="Times New Roman" w:hAnsi="Times New Roman"/>
          <w:bCs/>
          <w:sz w:val="24"/>
          <w:szCs w:val="24"/>
        </w:rPr>
        <w:t xml:space="preserve">1 teminiam tikslui numatoma </w:t>
      </w:r>
      <w:r w:rsidR="00FB55CF">
        <w:rPr>
          <w:rFonts w:ascii="Times New Roman" w:hAnsi="Times New Roman"/>
          <w:bCs/>
          <w:sz w:val="24"/>
          <w:szCs w:val="24"/>
        </w:rPr>
        <w:t>9,3</w:t>
      </w:r>
      <w:r w:rsidR="000A7F7A">
        <w:rPr>
          <w:rFonts w:ascii="Times New Roman" w:hAnsi="Times New Roman"/>
          <w:bCs/>
          <w:sz w:val="24"/>
          <w:szCs w:val="24"/>
        </w:rPr>
        <w:t>3</w:t>
      </w:r>
      <w:r w:rsidRPr="004C20D3">
        <w:rPr>
          <w:rFonts w:ascii="Times New Roman" w:hAnsi="Times New Roman"/>
          <w:bCs/>
          <w:sz w:val="24"/>
          <w:szCs w:val="24"/>
        </w:rPr>
        <w:t xml:space="preserve"> proc. ES fondų lėšų </w:t>
      </w:r>
      <w:proofErr w:type="gramStart"/>
      <w:r w:rsidRPr="004C20D3">
        <w:rPr>
          <w:rFonts w:ascii="Times New Roman" w:hAnsi="Times New Roman"/>
          <w:bCs/>
          <w:sz w:val="24"/>
          <w:szCs w:val="24"/>
        </w:rPr>
        <w:t>(</w:t>
      </w:r>
      <w:proofErr w:type="gramEnd"/>
      <w:r w:rsidRPr="004C20D3">
        <w:rPr>
          <w:rFonts w:ascii="Times New Roman" w:hAnsi="Times New Roman"/>
          <w:bCs/>
          <w:sz w:val="24"/>
          <w:szCs w:val="24"/>
        </w:rPr>
        <w:t xml:space="preserve">arba </w:t>
      </w:r>
      <w:r w:rsidR="00FB55CF">
        <w:rPr>
          <w:rFonts w:ascii="Times New Roman" w:hAnsi="Times New Roman"/>
          <w:bCs/>
          <w:sz w:val="24"/>
          <w:szCs w:val="24"/>
        </w:rPr>
        <w:t>1</w:t>
      </w:r>
      <w:r w:rsidR="000A7F7A">
        <w:rPr>
          <w:rFonts w:ascii="Times New Roman" w:hAnsi="Times New Roman"/>
          <w:bCs/>
          <w:sz w:val="24"/>
          <w:szCs w:val="24"/>
        </w:rPr>
        <w:t>7</w:t>
      </w:r>
      <w:r w:rsidR="00FB55CF">
        <w:rPr>
          <w:rFonts w:ascii="Times New Roman" w:hAnsi="Times New Roman"/>
          <w:bCs/>
          <w:sz w:val="24"/>
          <w:szCs w:val="24"/>
        </w:rPr>
        <w:t>,</w:t>
      </w:r>
      <w:r w:rsidR="000A7F7A">
        <w:rPr>
          <w:rFonts w:ascii="Times New Roman" w:hAnsi="Times New Roman"/>
          <w:bCs/>
          <w:sz w:val="24"/>
          <w:szCs w:val="24"/>
        </w:rPr>
        <w:t>8</w:t>
      </w:r>
      <w:r w:rsidR="00FB55CF">
        <w:rPr>
          <w:rFonts w:ascii="Times New Roman" w:hAnsi="Times New Roman"/>
          <w:bCs/>
          <w:sz w:val="24"/>
          <w:szCs w:val="24"/>
        </w:rPr>
        <w:t>1</w:t>
      </w:r>
      <w:r w:rsidRPr="004C20D3">
        <w:rPr>
          <w:rFonts w:ascii="Times New Roman" w:hAnsi="Times New Roman"/>
          <w:bCs/>
          <w:sz w:val="24"/>
          <w:szCs w:val="24"/>
        </w:rPr>
        <w:t xml:space="preserve"> proc. ERPF lėšų), kuriomis daugiausiai prisidedama prie investicijų į MTEP ir inovacijas skatinimą siekiant, kad Lietuvoje iki 2020 m. investicijos šioje srityje sudarytų 1,9 proc. BVP.</w:t>
      </w:r>
    </w:p>
    <w:p w:rsidR="00825126" w:rsidRPr="004C20D3" w:rsidRDefault="00825126" w:rsidP="00FC087A">
      <w:pPr>
        <w:autoSpaceDE w:val="0"/>
        <w:autoSpaceDN w:val="0"/>
        <w:adjustRightInd w:val="0"/>
        <w:spacing w:after="0" w:line="240" w:lineRule="auto"/>
        <w:ind w:firstLine="624"/>
        <w:jc w:val="both"/>
        <w:rPr>
          <w:rFonts w:ascii="Times New Roman" w:hAnsi="Times New Roman"/>
          <w:bCs/>
          <w:sz w:val="24"/>
          <w:szCs w:val="24"/>
        </w:rPr>
      </w:pPr>
      <w:r w:rsidRPr="004C20D3">
        <w:rPr>
          <w:rFonts w:ascii="Times New Roman" w:hAnsi="Times New Roman"/>
          <w:bCs/>
          <w:sz w:val="24"/>
          <w:szCs w:val="24"/>
        </w:rPr>
        <w:t xml:space="preserve">2 teminiam tikslui numatoma </w:t>
      </w:r>
      <w:r w:rsidR="008A4871">
        <w:rPr>
          <w:rFonts w:ascii="Times New Roman" w:hAnsi="Times New Roman"/>
          <w:bCs/>
          <w:sz w:val="24"/>
          <w:szCs w:val="24"/>
        </w:rPr>
        <w:t>2,</w:t>
      </w:r>
      <w:r w:rsidR="00FB55CF">
        <w:rPr>
          <w:rFonts w:ascii="Times New Roman" w:hAnsi="Times New Roman"/>
          <w:bCs/>
          <w:sz w:val="24"/>
          <w:szCs w:val="24"/>
        </w:rPr>
        <w:t>5</w:t>
      </w:r>
      <w:r w:rsidR="000A7F7A">
        <w:rPr>
          <w:rFonts w:ascii="Times New Roman" w:hAnsi="Times New Roman"/>
          <w:bCs/>
          <w:sz w:val="24"/>
          <w:szCs w:val="24"/>
        </w:rPr>
        <w:t>6</w:t>
      </w:r>
      <w:r w:rsidRPr="004C20D3">
        <w:rPr>
          <w:rFonts w:ascii="Times New Roman" w:hAnsi="Times New Roman"/>
          <w:bCs/>
          <w:sz w:val="24"/>
          <w:szCs w:val="24"/>
        </w:rPr>
        <w:t xml:space="preserve"> proc. ES fondų lėšų </w:t>
      </w:r>
      <w:proofErr w:type="gramStart"/>
      <w:r w:rsidRPr="004C20D3">
        <w:rPr>
          <w:rFonts w:ascii="Times New Roman" w:hAnsi="Times New Roman"/>
          <w:bCs/>
          <w:sz w:val="24"/>
          <w:szCs w:val="24"/>
        </w:rPr>
        <w:t>(</w:t>
      </w:r>
      <w:proofErr w:type="gramEnd"/>
      <w:r w:rsidRPr="004C20D3">
        <w:rPr>
          <w:rFonts w:ascii="Times New Roman" w:hAnsi="Times New Roman"/>
          <w:bCs/>
          <w:sz w:val="24"/>
          <w:szCs w:val="24"/>
        </w:rPr>
        <w:t xml:space="preserve">arba </w:t>
      </w:r>
      <w:r w:rsidR="00FB55CF">
        <w:rPr>
          <w:rFonts w:ascii="Times New Roman" w:hAnsi="Times New Roman"/>
          <w:bCs/>
          <w:sz w:val="24"/>
          <w:szCs w:val="24"/>
        </w:rPr>
        <w:t>apie 4,</w:t>
      </w:r>
      <w:r w:rsidR="000A7F7A">
        <w:rPr>
          <w:rFonts w:ascii="Times New Roman" w:hAnsi="Times New Roman"/>
          <w:bCs/>
          <w:sz w:val="24"/>
          <w:szCs w:val="24"/>
        </w:rPr>
        <w:t>89</w:t>
      </w:r>
      <w:r w:rsidRPr="004C20D3">
        <w:rPr>
          <w:rFonts w:ascii="Times New Roman" w:hAnsi="Times New Roman"/>
          <w:bCs/>
          <w:sz w:val="24"/>
          <w:szCs w:val="24"/>
        </w:rPr>
        <w:t xml:space="preserve"> proc. ERPF lėšų), kuriomis atsižvelgiant į strategijos „ES 2020“ pavyzdinės iniciatyvos „Skaitmeninės darbotvarkės“ tikslus bus siekiama užtikrinti plačiajuosčio ryšio prieinamumą visiems gyventojams, plėtoti gyventojų skaitmeninį raštingumą, plėtoti įvairias el. paslaugas ir el. sprendimus.</w:t>
      </w:r>
    </w:p>
    <w:p w:rsidR="00825126" w:rsidRPr="004C20D3" w:rsidRDefault="00825126" w:rsidP="00FC087A">
      <w:pPr>
        <w:autoSpaceDE w:val="0"/>
        <w:autoSpaceDN w:val="0"/>
        <w:adjustRightInd w:val="0"/>
        <w:spacing w:after="0" w:line="240" w:lineRule="auto"/>
        <w:ind w:firstLine="624"/>
        <w:jc w:val="both"/>
        <w:rPr>
          <w:rFonts w:ascii="Times New Roman" w:hAnsi="Times New Roman"/>
          <w:bCs/>
          <w:sz w:val="24"/>
          <w:szCs w:val="24"/>
        </w:rPr>
      </w:pPr>
      <w:r w:rsidRPr="004C20D3">
        <w:rPr>
          <w:rFonts w:ascii="Times New Roman" w:hAnsi="Times New Roman"/>
          <w:bCs/>
          <w:sz w:val="24"/>
          <w:szCs w:val="24"/>
        </w:rPr>
        <w:t xml:space="preserve">3 teminiam tikslui numatoma </w:t>
      </w:r>
      <w:r w:rsidR="008A4871">
        <w:rPr>
          <w:rFonts w:ascii="Times New Roman" w:hAnsi="Times New Roman"/>
          <w:bCs/>
          <w:sz w:val="24"/>
          <w:szCs w:val="24"/>
        </w:rPr>
        <w:t>8,</w:t>
      </w:r>
      <w:r w:rsidR="000A7F7A">
        <w:rPr>
          <w:rFonts w:ascii="Times New Roman" w:hAnsi="Times New Roman"/>
          <w:bCs/>
          <w:sz w:val="24"/>
          <w:szCs w:val="24"/>
        </w:rPr>
        <w:t>06</w:t>
      </w:r>
      <w:r w:rsidRPr="004C20D3">
        <w:rPr>
          <w:rFonts w:ascii="Times New Roman" w:hAnsi="Times New Roman"/>
          <w:bCs/>
          <w:sz w:val="24"/>
          <w:szCs w:val="24"/>
        </w:rPr>
        <w:t xml:space="preserve"> proc. ES fondų lėšų </w:t>
      </w:r>
      <w:proofErr w:type="gramStart"/>
      <w:r w:rsidRPr="004C20D3">
        <w:rPr>
          <w:rFonts w:ascii="Times New Roman" w:hAnsi="Times New Roman"/>
          <w:bCs/>
          <w:sz w:val="24"/>
          <w:szCs w:val="24"/>
        </w:rPr>
        <w:t>(</w:t>
      </w:r>
      <w:proofErr w:type="gramEnd"/>
      <w:r w:rsidRPr="004C20D3">
        <w:rPr>
          <w:rFonts w:ascii="Times New Roman" w:hAnsi="Times New Roman"/>
          <w:bCs/>
          <w:sz w:val="24"/>
          <w:szCs w:val="24"/>
        </w:rPr>
        <w:t xml:space="preserve">arba </w:t>
      </w:r>
      <w:r w:rsidR="00FB55CF">
        <w:rPr>
          <w:rFonts w:ascii="Times New Roman" w:hAnsi="Times New Roman"/>
          <w:bCs/>
          <w:sz w:val="24"/>
          <w:szCs w:val="24"/>
        </w:rPr>
        <w:t>apie</w:t>
      </w:r>
      <w:r w:rsidRPr="004C20D3">
        <w:rPr>
          <w:rFonts w:ascii="Times New Roman" w:hAnsi="Times New Roman"/>
          <w:bCs/>
          <w:sz w:val="24"/>
          <w:szCs w:val="24"/>
        </w:rPr>
        <w:t xml:space="preserve"> 15,</w:t>
      </w:r>
      <w:r w:rsidR="000A7F7A">
        <w:rPr>
          <w:rFonts w:ascii="Times New Roman" w:hAnsi="Times New Roman"/>
          <w:bCs/>
          <w:sz w:val="24"/>
          <w:szCs w:val="24"/>
        </w:rPr>
        <w:t>38</w:t>
      </w:r>
      <w:r w:rsidRPr="004C20D3">
        <w:rPr>
          <w:rFonts w:ascii="Times New Roman" w:hAnsi="Times New Roman"/>
          <w:bCs/>
          <w:sz w:val="24"/>
          <w:szCs w:val="24"/>
        </w:rPr>
        <w:t xml:space="preserve"> proc. ERPF lėšų), kurios daugiausiai didins MVĮ konkurencingumą, produktyvumą ir tarptautiškumą, padės užtikrinti finansavimo prieinamumą ir darnų išteklių naudojimą.</w:t>
      </w:r>
    </w:p>
    <w:p w:rsidR="00825126" w:rsidRPr="004C20D3" w:rsidRDefault="00825126" w:rsidP="00FC087A">
      <w:pPr>
        <w:autoSpaceDE w:val="0"/>
        <w:autoSpaceDN w:val="0"/>
        <w:adjustRightInd w:val="0"/>
        <w:spacing w:after="0" w:line="240" w:lineRule="auto"/>
        <w:ind w:firstLine="624"/>
        <w:jc w:val="both"/>
        <w:rPr>
          <w:rFonts w:ascii="Times New Roman" w:hAnsi="Times New Roman"/>
          <w:bCs/>
          <w:sz w:val="24"/>
          <w:szCs w:val="24"/>
        </w:rPr>
      </w:pPr>
      <w:r w:rsidRPr="004C20D3">
        <w:rPr>
          <w:rFonts w:ascii="Times New Roman" w:hAnsi="Times New Roman"/>
          <w:bCs/>
          <w:sz w:val="24"/>
          <w:szCs w:val="24"/>
        </w:rPr>
        <w:t xml:space="preserve">4 teminiam tikslui numatoma apie </w:t>
      </w:r>
      <w:r w:rsidR="00FB55CF">
        <w:rPr>
          <w:rFonts w:ascii="Times New Roman" w:hAnsi="Times New Roman"/>
          <w:color w:val="000000"/>
          <w:sz w:val="24"/>
          <w:szCs w:val="24"/>
        </w:rPr>
        <w:t>12,</w:t>
      </w:r>
      <w:r w:rsidR="000A7F7A">
        <w:rPr>
          <w:rFonts w:ascii="Times New Roman" w:hAnsi="Times New Roman"/>
          <w:color w:val="000000"/>
          <w:sz w:val="24"/>
          <w:szCs w:val="24"/>
        </w:rPr>
        <w:t>5</w:t>
      </w:r>
      <w:r w:rsidR="00FB55CF">
        <w:rPr>
          <w:rFonts w:ascii="Times New Roman" w:hAnsi="Times New Roman"/>
          <w:color w:val="000000"/>
          <w:sz w:val="24"/>
          <w:szCs w:val="24"/>
        </w:rPr>
        <w:t>6</w:t>
      </w:r>
      <w:r w:rsidR="00311D4A" w:rsidRPr="003E71A2">
        <w:rPr>
          <w:rFonts w:ascii="Times New Roman" w:hAnsi="Times New Roman"/>
          <w:color w:val="000000"/>
          <w:sz w:val="24"/>
          <w:szCs w:val="24"/>
        </w:rPr>
        <w:t xml:space="preserve"> </w:t>
      </w:r>
      <w:r w:rsidR="00311D4A" w:rsidRPr="003E71A2">
        <w:rPr>
          <w:rFonts w:ascii="Times New Roman" w:hAnsi="Times New Roman"/>
          <w:bCs/>
          <w:sz w:val="24"/>
          <w:szCs w:val="24"/>
        </w:rPr>
        <w:t>proc</w:t>
      </w:r>
      <w:r w:rsidR="00311D4A">
        <w:rPr>
          <w:rFonts w:ascii="Times New Roman" w:hAnsi="Times New Roman"/>
          <w:bCs/>
          <w:sz w:val="24"/>
          <w:szCs w:val="24"/>
        </w:rPr>
        <w:t>.</w:t>
      </w:r>
      <w:r w:rsidRPr="004C20D3">
        <w:rPr>
          <w:rFonts w:ascii="Times New Roman" w:hAnsi="Times New Roman"/>
          <w:bCs/>
          <w:sz w:val="24"/>
          <w:szCs w:val="24"/>
        </w:rPr>
        <w:t xml:space="preserve"> ES fondų lėšų </w:t>
      </w:r>
      <w:proofErr w:type="gramStart"/>
      <w:r w:rsidRPr="004C20D3">
        <w:rPr>
          <w:rFonts w:ascii="Times New Roman" w:hAnsi="Times New Roman"/>
          <w:bCs/>
          <w:sz w:val="24"/>
          <w:szCs w:val="24"/>
        </w:rPr>
        <w:t>(</w:t>
      </w:r>
      <w:proofErr w:type="gramEnd"/>
      <w:r w:rsidRPr="004C20D3">
        <w:rPr>
          <w:rFonts w:ascii="Times New Roman" w:hAnsi="Times New Roman"/>
          <w:bCs/>
          <w:sz w:val="24"/>
          <w:szCs w:val="24"/>
        </w:rPr>
        <w:t xml:space="preserve">arba apie </w:t>
      </w:r>
      <w:r w:rsidR="00FB55CF">
        <w:rPr>
          <w:rFonts w:ascii="Times New Roman" w:hAnsi="Times New Roman"/>
          <w:bCs/>
          <w:sz w:val="24"/>
          <w:szCs w:val="24"/>
        </w:rPr>
        <w:t>14,</w:t>
      </w:r>
      <w:r w:rsidR="000A7F7A">
        <w:rPr>
          <w:rFonts w:ascii="Times New Roman" w:hAnsi="Times New Roman"/>
          <w:bCs/>
          <w:sz w:val="24"/>
          <w:szCs w:val="24"/>
        </w:rPr>
        <w:t>10</w:t>
      </w:r>
      <w:r w:rsidRPr="004C20D3">
        <w:rPr>
          <w:rFonts w:ascii="Times New Roman" w:hAnsi="Times New Roman"/>
          <w:bCs/>
          <w:sz w:val="24"/>
          <w:szCs w:val="24"/>
        </w:rPr>
        <w:t xml:space="preserve"> proc. ERPF </w:t>
      </w:r>
      <w:r w:rsidR="00FB55CF">
        <w:rPr>
          <w:rFonts w:ascii="Times New Roman" w:hAnsi="Times New Roman"/>
          <w:bCs/>
          <w:sz w:val="24"/>
          <w:szCs w:val="24"/>
        </w:rPr>
        <w:t xml:space="preserve">lėšų </w:t>
      </w:r>
      <w:r w:rsidRPr="004C20D3">
        <w:rPr>
          <w:rFonts w:ascii="Times New Roman" w:hAnsi="Times New Roman"/>
          <w:bCs/>
          <w:sz w:val="24"/>
          <w:szCs w:val="24"/>
        </w:rPr>
        <w:t xml:space="preserve">ir </w:t>
      </w:r>
      <w:r w:rsidR="008A4871">
        <w:rPr>
          <w:rFonts w:ascii="Times New Roman" w:hAnsi="Times New Roman"/>
          <w:color w:val="000000"/>
          <w:sz w:val="24"/>
          <w:szCs w:val="24"/>
        </w:rPr>
        <w:t>17,</w:t>
      </w:r>
      <w:r w:rsidR="00FB55CF">
        <w:rPr>
          <w:rFonts w:ascii="Times New Roman" w:hAnsi="Times New Roman"/>
          <w:color w:val="000000"/>
          <w:sz w:val="24"/>
          <w:szCs w:val="24"/>
        </w:rPr>
        <w:t>87</w:t>
      </w:r>
      <w:r w:rsidR="00311D4A" w:rsidRPr="003E71A2">
        <w:rPr>
          <w:rFonts w:ascii="Times New Roman" w:hAnsi="Times New Roman"/>
          <w:color w:val="000000"/>
          <w:sz w:val="24"/>
          <w:szCs w:val="24"/>
        </w:rPr>
        <w:t xml:space="preserve"> </w:t>
      </w:r>
      <w:r w:rsidRPr="003E71A2">
        <w:rPr>
          <w:rFonts w:ascii="Times New Roman" w:hAnsi="Times New Roman"/>
          <w:bCs/>
          <w:sz w:val="24"/>
          <w:szCs w:val="24"/>
        </w:rPr>
        <w:t>proc.</w:t>
      </w:r>
      <w:r w:rsidRPr="004C20D3">
        <w:rPr>
          <w:rFonts w:ascii="Times New Roman" w:hAnsi="Times New Roman"/>
          <w:bCs/>
          <w:sz w:val="24"/>
          <w:szCs w:val="24"/>
        </w:rPr>
        <w:t xml:space="preserve"> SaF</w:t>
      </w:r>
      <w:r w:rsidR="00FB55CF">
        <w:rPr>
          <w:rFonts w:ascii="Times New Roman" w:hAnsi="Times New Roman"/>
          <w:bCs/>
          <w:sz w:val="24"/>
          <w:szCs w:val="24"/>
        </w:rPr>
        <w:t xml:space="preserve"> lėšų</w:t>
      </w:r>
      <w:r w:rsidRPr="004C20D3">
        <w:rPr>
          <w:rFonts w:ascii="Times New Roman" w:hAnsi="Times New Roman"/>
          <w:bCs/>
          <w:sz w:val="24"/>
          <w:szCs w:val="24"/>
        </w:rPr>
        <w:t>), kurios turėtų daugiausiai prisidės prie NRP siekio, kad iki 2020 m. iš AIE pagaminama energija sudarytų 23 proc. Be to, siekiama, kad 17 proc. padidėtų energijos vartojimo efektyvumas ir iki ne daugiau kaip + 15 proc. sumažėtų išmetam</w:t>
      </w:r>
      <w:r w:rsidR="00CF2789">
        <w:rPr>
          <w:rFonts w:ascii="Times New Roman" w:hAnsi="Times New Roman"/>
          <w:bCs/>
          <w:sz w:val="24"/>
          <w:szCs w:val="24"/>
        </w:rPr>
        <w:t>ų</w:t>
      </w:r>
      <w:r w:rsidRPr="004C20D3">
        <w:rPr>
          <w:rFonts w:ascii="Times New Roman" w:hAnsi="Times New Roman"/>
          <w:bCs/>
          <w:sz w:val="24"/>
          <w:szCs w:val="24"/>
        </w:rPr>
        <w:t xml:space="preserve"> šiltnamio efektą sukeliančių dujų kiekis.</w:t>
      </w:r>
    </w:p>
    <w:p w:rsidR="00825126" w:rsidRPr="004C20D3" w:rsidRDefault="00825126" w:rsidP="00FC087A">
      <w:pPr>
        <w:autoSpaceDE w:val="0"/>
        <w:autoSpaceDN w:val="0"/>
        <w:adjustRightInd w:val="0"/>
        <w:spacing w:after="0" w:line="240" w:lineRule="auto"/>
        <w:ind w:firstLine="624"/>
        <w:jc w:val="both"/>
        <w:rPr>
          <w:rFonts w:ascii="Times New Roman" w:hAnsi="Times New Roman"/>
          <w:bCs/>
          <w:sz w:val="24"/>
          <w:szCs w:val="24"/>
        </w:rPr>
      </w:pPr>
      <w:r w:rsidRPr="004C20D3">
        <w:rPr>
          <w:rFonts w:ascii="Times New Roman" w:hAnsi="Times New Roman"/>
          <w:bCs/>
          <w:sz w:val="24"/>
          <w:szCs w:val="24"/>
        </w:rPr>
        <w:t>5 teminiam tikslui numatoma apie 1,</w:t>
      </w:r>
      <w:r w:rsidR="00FB55CF">
        <w:rPr>
          <w:rFonts w:ascii="Times New Roman" w:hAnsi="Times New Roman"/>
          <w:bCs/>
          <w:sz w:val="24"/>
          <w:szCs w:val="24"/>
        </w:rPr>
        <w:t>7</w:t>
      </w:r>
      <w:r w:rsidR="000A7F7A">
        <w:rPr>
          <w:rFonts w:ascii="Times New Roman" w:hAnsi="Times New Roman"/>
          <w:bCs/>
          <w:sz w:val="24"/>
          <w:szCs w:val="24"/>
        </w:rPr>
        <w:t>4</w:t>
      </w:r>
      <w:r w:rsidRPr="004C20D3">
        <w:rPr>
          <w:rFonts w:ascii="Times New Roman" w:hAnsi="Times New Roman"/>
          <w:bCs/>
          <w:sz w:val="24"/>
          <w:szCs w:val="24"/>
        </w:rPr>
        <w:t xml:space="preserve"> proc. ES fondų lėšų </w:t>
      </w:r>
      <w:proofErr w:type="gramStart"/>
      <w:r w:rsidRPr="004C20D3">
        <w:rPr>
          <w:rFonts w:ascii="Times New Roman" w:hAnsi="Times New Roman"/>
          <w:bCs/>
          <w:sz w:val="24"/>
          <w:szCs w:val="24"/>
        </w:rPr>
        <w:t>(</w:t>
      </w:r>
      <w:proofErr w:type="gramEnd"/>
      <w:r w:rsidRPr="004C20D3">
        <w:rPr>
          <w:rFonts w:ascii="Times New Roman" w:hAnsi="Times New Roman"/>
          <w:bCs/>
          <w:sz w:val="24"/>
          <w:szCs w:val="24"/>
        </w:rPr>
        <w:t>arba 0,</w:t>
      </w:r>
      <w:r w:rsidR="00FB55CF">
        <w:rPr>
          <w:rFonts w:ascii="Times New Roman" w:hAnsi="Times New Roman"/>
          <w:bCs/>
          <w:sz w:val="24"/>
          <w:szCs w:val="24"/>
        </w:rPr>
        <w:t>48</w:t>
      </w:r>
      <w:r w:rsidRPr="004C20D3">
        <w:rPr>
          <w:rFonts w:ascii="Times New Roman" w:hAnsi="Times New Roman"/>
          <w:bCs/>
          <w:sz w:val="24"/>
          <w:szCs w:val="24"/>
        </w:rPr>
        <w:t xml:space="preserve"> proc. ERPF </w:t>
      </w:r>
      <w:r w:rsidR="00FB55CF">
        <w:rPr>
          <w:rFonts w:ascii="Times New Roman" w:hAnsi="Times New Roman"/>
          <w:bCs/>
          <w:sz w:val="24"/>
          <w:szCs w:val="24"/>
        </w:rPr>
        <w:t xml:space="preserve">lėšų </w:t>
      </w:r>
      <w:r w:rsidRPr="004C20D3">
        <w:rPr>
          <w:rFonts w:ascii="Times New Roman" w:hAnsi="Times New Roman"/>
          <w:bCs/>
          <w:sz w:val="24"/>
          <w:szCs w:val="24"/>
        </w:rPr>
        <w:t>ir apie 5,1</w:t>
      </w:r>
      <w:r w:rsidR="00FB55CF">
        <w:rPr>
          <w:rFonts w:ascii="Times New Roman" w:hAnsi="Times New Roman"/>
          <w:bCs/>
          <w:sz w:val="24"/>
          <w:szCs w:val="24"/>
        </w:rPr>
        <w:t>4</w:t>
      </w:r>
      <w:r w:rsidRPr="004C20D3">
        <w:rPr>
          <w:rFonts w:ascii="Times New Roman" w:hAnsi="Times New Roman"/>
          <w:bCs/>
          <w:sz w:val="24"/>
          <w:szCs w:val="24"/>
        </w:rPr>
        <w:t xml:space="preserve"> proc. SaF</w:t>
      </w:r>
      <w:r w:rsidR="00FB55CF">
        <w:rPr>
          <w:rFonts w:ascii="Times New Roman" w:hAnsi="Times New Roman"/>
          <w:bCs/>
          <w:sz w:val="24"/>
          <w:szCs w:val="24"/>
        </w:rPr>
        <w:t xml:space="preserve"> lėšų</w:t>
      </w:r>
      <w:r w:rsidRPr="004C20D3">
        <w:rPr>
          <w:rFonts w:ascii="Times New Roman" w:hAnsi="Times New Roman"/>
          <w:bCs/>
          <w:sz w:val="24"/>
          <w:szCs w:val="24"/>
        </w:rPr>
        <w:t>), kurios padės sustiprinti atsparumo klimato kaitos keliamiems pavojams ir stichinių nelaimių prevencijos pajėgumus bei sustiprins klimato kaitai jautriausių Lietuvos teritorij</w:t>
      </w:r>
      <w:r w:rsidR="007F4D0B">
        <w:rPr>
          <w:rFonts w:ascii="Times New Roman" w:hAnsi="Times New Roman"/>
          <w:bCs/>
          <w:sz w:val="24"/>
          <w:szCs w:val="24"/>
        </w:rPr>
        <w:t>os</w:t>
      </w:r>
      <w:r w:rsidRPr="004C20D3">
        <w:rPr>
          <w:rFonts w:ascii="Times New Roman" w:hAnsi="Times New Roman"/>
          <w:bCs/>
          <w:sz w:val="24"/>
          <w:szCs w:val="24"/>
        </w:rPr>
        <w:t xml:space="preserve"> dalių aplinkos atsparumą klimato kaitai.</w:t>
      </w:r>
    </w:p>
    <w:p w:rsidR="00825126" w:rsidRPr="004C20D3" w:rsidRDefault="00825126" w:rsidP="00FC087A">
      <w:pPr>
        <w:autoSpaceDE w:val="0"/>
        <w:autoSpaceDN w:val="0"/>
        <w:adjustRightInd w:val="0"/>
        <w:spacing w:after="0" w:line="240" w:lineRule="auto"/>
        <w:ind w:firstLine="624"/>
        <w:jc w:val="both"/>
        <w:rPr>
          <w:rFonts w:ascii="Times New Roman" w:hAnsi="Times New Roman"/>
          <w:bCs/>
          <w:sz w:val="24"/>
          <w:szCs w:val="24"/>
        </w:rPr>
      </w:pPr>
      <w:r w:rsidRPr="004C20D3">
        <w:rPr>
          <w:rFonts w:ascii="Times New Roman" w:hAnsi="Times New Roman"/>
          <w:bCs/>
          <w:sz w:val="24"/>
          <w:szCs w:val="24"/>
        </w:rPr>
        <w:t xml:space="preserve">6 teminiam tikslui numatoma beveik </w:t>
      </w:r>
      <w:r w:rsidR="00311D4A" w:rsidRPr="003E71A2">
        <w:rPr>
          <w:rFonts w:ascii="Times New Roman" w:hAnsi="Times New Roman"/>
          <w:color w:val="000000"/>
          <w:sz w:val="24"/>
          <w:szCs w:val="24"/>
        </w:rPr>
        <w:t>1</w:t>
      </w:r>
      <w:r w:rsidR="005875CB">
        <w:rPr>
          <w:rFonts w:ascii="Times New Roman" w:hAnsi="Times New Roman"/>
          <w:color w:val="000000"/>
          <w:sz w:val="24"/>
          <w:szCs w:val="24"/>
        </w:rPr>
        <w:t>1</w:t>
      </w:r>
      <w:r w:rsidR="00311D4A" w:rsidRPr="003E71A2">
        <w:rPr>
          <w:rFonts w:ascii="Times New Roman" w:hAnsi="Times New Roman"/>
          <w:color w:val="000000"/>
          <w:sz w:val="24"/>
          <w:szCs w:val="24"/>
        </w:rPr>
        <w:t>,</w:t>
      </w:r>
      <w:r w:rsidR="000A7F7A">
        <w:rPr>
          <w:rFonts w:ascii="Times New Roman" w:hAnsi="Times New Roman"/>
          <w:color w:val="000000"/>
          <w:sz w:val="24"/>
          <w:szCs w:val="24"/>
        </w:rPr>
        <w:t>21</w:t>
      </w:r>
      <w:r w:rsidR="00311D4A" w:rsidRPr="003E71A2">
        <w:rPr>
          <w:rFonts w:ascii="Times New Roman" w:hAnsi="Times New Roman"/>
          <w:color w:val="000000"/>
          <w:sz w:val="24"/>
          <w:szCs w:val="24"/>
        </w:rPr>
        <w:t xml:space="preserve"> </w:t>
      </w:r>
      <w:r w:rsidRPr="003E71A2">
        <w:rPr>
          <w:rFonts w:ascii="Times New Roman" w:hAnsi="Times New Roman"/>
          <w:bCs/>
          <w:sz w:val="24"/>
          <w:szCs w:val="24"/>
        </w:rPr>
        <w:t>proc.</w:t>
      </w:r>
      <w:r w:rsidRPr="004C20D3">
        <w:rPr>
          <w:rFonts w:ascii="Times New Roman" w:hAnsi="Times New Roman"/>
          <w:bCs/>
          <w:sz w:val="24"/>
          <w:szCs w:val="24"/>
        </w:rPr>
        <w:t xml:space="preserve"> ES fondų lėšų </w:t>
      </w:r>
      <w:proofErr w:type="gramStart"/>
      <w:r w:rsidRPr="004C20D3">
        <w:rPr>
          <w:rFonts w:ascii="Times New Roman" w:hAnsi="Times New Roman"/>
          <w:bCs/>
          <w:sz w:val="24"/>
          <w:szCs w:val="24"/>
        </w:rPr>
        <w:t>(</w:t>
      </w:r>
      <w:proofErr w:type="gramEnd"/>
      <w:r w:rsidRPr="004C20D3">
        <w:rPr>
          <w:rFonts w:ascii="Times New Roman" w:hAnsi="Times New Roman"/>
          <w:bCs/>
          <w:sz w:val="24"/>
          <w:szCs w:val="24"/>
        </w:rPr>
        <w:t xml:space="preserve">arba </w:t>
      </w:r>
      <w:r w:rsidR="00FB55CF">
        <w:rPr>
          <w:rFonts w:ascii="Times New Roman" w:hAnsi="Times New Roman"/>
          <w:bCs/>
          <w:sz w:val="24"/>
          <w:szCs w:val="24"/>
        </w:rPr>
        <w:t>4,9</w:t>
      </w:r>
      <w:r w:rsidR="000A7F7A">
        <w:rPr>
          <w:rFonts w:ascii="Times New Roman" w:hAnsi="Times New Roman"/>
          <w:bCs/>
          <w:sz w:val="24"/>
          <w:szCs w:val="24"/>
        </w:rPr>
        <w:t>0</w:t>
      </w:r>
      <w:r w:rsidRPr="004C20D3">
        <w:rPr>
          <w:rFonts w:ascii="Times New Roman" w:hAnsi="Times New Roman"/>
          <w:bCs/>
          <w:sz w:val="24"/>
          <w:szCs w:val="24"/>
        </w:rPr>
        <w:t xml:space="preserve"> proc. ERPF </w:t>
      </w:r>
      <w:r w:rsidR="00FB55CF">
        <w:rPr>
          <w:rFonts w:ascii="Times New Roman" w:hAnsi="Times New Roman"/>
          <w:bCs/>
          <w:sz w:val="24"/>
          <w:szCs w:val="24"/>
        </w:rPr>
        <w:t xml:space="preserve">lėšų </w:t>
      </w:r>
      <w:r w:rsidRPr="004C20D3">
        <w:rPr>
          <w:rFonts w:ascii="Times New Roman" w:hAnsi="Times New Roman"/>
          <w:bCs/>
          <w:sz w:val="24"/>
          <w:szCs w:val="24"/>
        </w:rPr>
        <w:t xml:space="preserve">ir apie </w:t>
      </w:r>
      <w:r w:rsidR="00311D4A" w:rsidRPr="003E71A2">
        <w:rPr>
          <w:rFonts w:ascii="Times New Roman" w:hAnsi="Times New Roman"/>
          <w:color w:val="000000"/>
          <w:sz w:val="24"/>
          <w:szCs w:val="24"/>
        </w:rPr>
        <w:t>2</w:t>
      </w:r>
      <w:r w:rsidR="005875CB">
        <w:rPr>
          <w:rFonts w:ascii="Times New Roman" w:hAnsi="Times New Roman"/>
          <w:color w:val="000000"/>
          <w:sz w:val="24"/>
          <w:szCs w:val="24"/>
        </w:rPr>
        <w:t>9</w:t>
      </w:r>
      <w:r w:rsidR="00311D4A" w:rsidRPr="003E71A2">
        <w:rPr>
          <w:rFonts w:ascii="Times New Roman" w:hAnsi="Times New Roman"/>
          <w:color w:val="000000"/>
          <w:sz w:val="24"/>
          <w:szCs w:val="24"/>
        </w:rPr>
        <w:t>,</w:t>
      </w:r>
      <w:r w:rsidR="00FB55CF">
        <w:rPr>
          <w:rFonts w:ascii="Times New Roman" w:hAnsi="Times New Roman"/>
          <w:color w:val="000000"/>
          <w:sz w:val="24"/>
          <w:szCs w:val="24"/>
        </w:rPr>
        <w:t>81</w:t>
      </w:r>
      <w:r w:rsidR="00311D4A" w:rsidRPr="003E71A2">
        <w:rPr>
          <w:rFonts w:ascii="Times New Roman" w:hAnsi="Times New Roman"/>
          <w:color w:val="000000"/>
          <w:sz w:val="24"/>
          <w:szCs w:val="24"/>
        </w:rPr>
        <w:t xml:space="preserve"> </w:t>
      </w:r>
      <w:r w:rsidR="00311D4A" w:rsidRPr="003E71A2">
        <w:rPr>
          <w:rFonts w:ascii="Times New Roman" w:hAnsi="Times New Roman"/>
          <w:bCs/>
          <w:sz w:val="24"/>
          <w:szCs w:val="24"/>
        </w:rPr>
        <w:t>proc.</w:t>
      </w:r>
      <w:r w:rsidRPr="004C20D3">
        <w:rPr>
          <w:rFonts w:ascii="Times New Roman" w:hAnsi="Times New Roman"/>
          <w:bCs/>
          <w:sz w:val="24"/>
          <w:szCs w:val="24"/>
        </w:rPr>
        <w:t xml:space="preserve"> SaF</w:t>
      </w:r>
      <w:r w:rsidR="00FB55CF">
        <w:rPr>
          <w:rFonts w:ascii="Times New Roman" w:hAnsi="Times New Roman"/>
          <w:bCs/>
          <w:sz w:val="24"/>
          <w:szCs w:val="24"/>
        </w:rPr>
        <w:t xml:space="preserve"> lėšų</w:t>
      </w:r>
      <w:r w:rsidRPr="004C20D3">
        <w:rPr>
          <w:rFonts w:ascii="Times New Roman" w:hAnsi="Times New Roman"/>
          <w:bCs/>
          <w:sz w:val="24"/>
          <w:szCs w:val="24"/>
        </w:rPr>
        <w:t xml:space="preserve">), kurios padės įvykdyti ES aplinkos </w:t>
      </w:r>
      <w:r w:rsidRPr="004C20D3">
        <w:rPr>
          <w:rFonts w:ascii="Times New Roman" w:hAnsi="Times New Roman"/>
          <w:bCs/>
          <w:i/>
          <w:sz w:val="24"/>
          <w:szCs w:val="24"/>
        </w:rPr>
        <w:t>acquis</w:t>
      </w:r>
      <w:r w:rsidRPr="004C20D3">
        <w:rPr>
          <w:rFonts w:ascii="Times New Roman" w:hAnsi="Times New Roman"/>
          <w:bCs/>
          <w:sz w:val="24"/>
          <w:szCs w:val="24"/>
        </w:rPr>
        <w:t xml:space="preserve"> reikalavimus atliekų ir vandens srityje, prisidės prie oro kokybės gerinimo ir biologinės įvairovės išsaugojimo, padės vystyti gamtos ir kultūros paveldo apsaugą, prop</w:t>
      </w:r>
      <w:r w:rsidR="007100D2">
        <w:rPr>
          <w:rFonts w:ascii="Times New Roman" w:hAnsi="Times New Roman"/>
          <w:bCs/>
          <w:sz w:val="24"/>
          <w:szCs w:val="24"/>
        </w:rPr>
        <w:t>a</w:t>
      </w:r>
      <w:r w:rsidRPr="004C20D3">
        <w:rPr>
          <w:rFonts w:ascii="Times New Roman" w:hAnsi="Times New Roman"/>
          <w:bCs/>
          <w:sz w:val="24"/>
          <w:szCs w:val="24"/>
        </w:rPr>
        <w:t>gavimą ir vystymą bei apleistų teritorijų sutvarkymą.</w:t>
      </w:r>
    </w:p>
    <w:p w:rsidR="00825126" w:rsidRPr="004C20D3" w:rsidRDefault="00825126" w:rsidP="00FC087A">
      <w:pPr>
        <w:autoSpaceDE w:val="0"/>
        <w:autoSpaceDN w:val="0"/>
        <w:adjustRightInd w:val="0"/>
        <w:spacing w:after="0" w:line="240" w:lineRule="auto"/>
        <w:ind w:firstLine="624"/>
        <w:jc w:val="both"/>
        <w:rPr>
          <w:rFonts w:ascii="Times New Roman" w:hAnsi="Times New Roman"/>
          <w:bCs/>
          <w:sz w:val="24"/>
          <w:szCs w:val="24"/>
        </w:rPr>
      </w:pPr>
      <w:r w:rsidRPr="004C20D3">
        <w:rPr>
          <w:rFonts w:ascii="Times New Roman" w:hAnsi="Times New Roman"/>
          <w:bCs/>
          <w:sz w:val="24"/>
          <w:szCs w:val="24"/>
        </w:rPr>
        <w:t xml:space="preserve">7 teminiam tikslui numatoma </w:t>
      </w:r>
      <w:r w:rsidR="00FB55CF">
        <w:rPr>
          <w:rFonts w:ascii="Times New Roman" w:hAnsi="Times New Roman"/>
          <w:bCs/>
          <w:sz w:val="24"/>
          <w:szCs w:val="24"/>
        </w:rPr>
        <w:t>15,</w:t>
      </w:r>
      <w:r w:rsidR="000A7F7A">
        <w:rPr>
          <w:rFonts w:ascii="Times New Roman" w:hAnsi="Times New Roman"/>
          <w:bCs/>
          <w:sz w:val="24"/>
          <w:szCs w:val="24"/>
        </w:rPr>
        <w:t>5</w:t>
      </w:r>
      <w:r w:rsidR="00FB55CF">
        <w:rPr>
          <w:rFonts w:ascii="Times New Roman" w:hAnsi="Times New Roman"/>
          <w:bCs/>
          <w:sz w:val="24"/>
          <w:szCs w:val="24"/>
        </w:rPr>
        <w:t>6</w:t>
      </w:r>
      <w:r w:rsidRPr="004C20D3">
        <w:rPr>
          <w:rFonts w:ascii="Times New Roman" w:hAnsi="Times New Roman"/>
          <w:bCs/>
          <w:sz w:val="24"/>
          <w:szCs w:val="24"/>
        </w:rPr>
        <w:t xml:space="preserve"> proc. ES fondų lėšų </w:t>
      </w:r>
      <w:proofErr w:type="gramStart"/>
      <w:r w:rsidRPr="004C20D3">
        <w:rPr>
          <w:rFonts w:ascii="Times New Roman" w:hAnsi="Times New Roman"/>
          <w:bCs/>
          <w:sz w:val="24"/>
          <w:szCs w:val="24"/>
        </w:rPr>
        <w:t>(</w:t>
      </w:r>
      <w:proofErr w:type="gramEnd"/>
      <w:r w:rsidRPr="004C20D3">
        <w:rPr>
          <w:rFonts w:ascii="Times New Roman" w:hAnsi="Times New Roman"/>
          <w:bCs/>
          <w:sz w:val="24"/>
          <w:szCs w:val="24"/>
        </w:rPr>
        <w:t xml:space="preserve">arba beveik </w:t>
      </w:r>
      <w:r w:rsidR="00703070">
        <w:rPr>
          <w:rFonts w:ascii="Times New Roman" w:hAnsi="Times New Roman"/>
          <w:bCs/>
          <w:sz w:val="24"/>
          <w:szCs w:val="24"/>
        </w:rPr>
        <w:t>8,</w:t>
      </w:r>
      <w:r w:rsidR="000A7F7A">
        <w:rPr>
          <w:rFonts w:ascii="Times New Roman" w:hAnsi="Times New Roman"/>
          <w:bCs/>
          <w:sz w:val="24"/>
          <w:szCs w:val="24"/>
        </w:rPr>
        <w:t>6</w:t>
      </w:r>
      <w:r w:rsidR="00703070">
        <w:rPr>
          <w:rFonts w:ascii="Times New Roman" w:hAnsi="Times New Roman"/>
          <w:bCs/>
          <w:sz w:val="24"/>
          <w:szCs w:val="24"/>
        </w:rPr>
        <w:t>7</w:t>
      </w:r>
      <w:r w:rsidRPr="004C20D3">
        <w:rPr>
          <w:rFonts w:ascii="Times New Roman" w:hAnsi="Times New Roman"/>
          <w:bCs/>
          <w:sz w:val="24"/>
          <w:szCs w:val="24"/>
        </w:rPr>
        <w:t xml:space="preserve"> proc. ERPF</w:t>
      </w:r>
      <w:r w:rsidR="00703070">
        <w:rPr>
          <w:rFonts w:ascii="Times New Roman" w:hAnsi="Times New Roman"/>
          <w:bCs/>
          <w:sz w:val="24"/>
          <w:szCs w:val="24"/>
        </w:rPr>
        <w:t xml:space="preserve"> lėšų</w:t>
      </w:r>
      <w:r w:rsidRPr="004C20D3">
        <w:rPr>
          <w:rFonts w:ascii="Times New Roman" w:hAnsi="Times New Roman"/>
          <w:bCs/>
          <w:sz w:val="24"/>
          <w:szCs w:val="24"/>
        </w:rPr>
        <w:t xml:space="preserve"> ir apie </w:t>
      </w:r>
      <w:r w:rsidR="00703070">
        <w:rPr>
          <w:rFonts w:ascii="Times New Roman" w:hAnsi="Times New Roman"/>
          <w:bCs/>
          <w:sz w:val="24"/>
          <w:szCs w:val="24"/>
        </w:rPr>
        <w:t>37,98</w:t>
      </w:r>
      <w:r w:rsidRPr="004C20D3">
        <w:rPr>
          <w:rFonts w:ascii="Times New Roman" w:hAnsi="Times New Roman"/>
          <w:bCs/>
          <w:sz w:val="24"/>
          <w:szCs w:val="24"/>
        </w:rPr>
        <w:t xml:space="preserve"> proc. SaF</w:t>
      </w:r>
      <w:r w:rsidR="00703070">
        <w:rPr>
          <w:rFonts w:ascii="Times New Roman" w:hAnsi="Times New Roman"/>
          <w:bCs/>
          <w:sz w:val="24"/>
          <w:szCs w:val="24"/>
        </w:rPr>
        <w:t xml:space="preserve"> lėšų</w:t>
      </w:r>
      <w:r w:rsidRPr="004C20D3">
        <w:rPr>
          <w:rFonts w:ascii="Times New Roman" w:hAnsi="Times New Roman"/>
          <w:bCs/>
          <w:sz w:val="24"/>
          <w:szCs w:val="24"/>
        </w:rPr>
        <w:t>), kuriomis atsižvelgiant į strategiją „ES 2020“ ir pavyzdinę iniciatyvą „Tausiai išteklius naudojanti Europa“ bus šalinamos kliūtys pagrindinėse tinklo infrastruktūrose</w:t>
      </w:r>
      <w:r w:rsidR="007F4D0B">
        <w:rPr>
          <w:rFonts w:ascii="Times New Roman" w:hAnsi="Times New Roman"/>
          <w:bCs/>
          <w:sz w:val="24"/>
          <w:szCs w:val="24"/>
        </w:rPr>
        <w:t>,</w:t>
      </w:r>
      <w:r w:rsidRPr="004C20D3">
        <w:rPr>
          <w:rFonts w:ascii="Times New Roman" w:hAnsi="Times New Roman"/>
          <w:bCs/>
          <w:sz w:val="24"/>
          <w:szCs w:val="24"/>
        </w:rPr>
        <w:t xml:space="preserve"> modernizuojant esminę ekonomin</w:t>
      </w:r>
      <w:r w:rsidR="007F4D0B">
        <w:rPr>
          <w:rFonts w:ascii="Times New Roman" w:hAnsi="Times New Roman"/>
          <w:bCs/>
          <w:sz w:val="24"/>
          <w:szCs w:val="24"/>
        </w:rPr>
        <w:t>ę</w:t>
      </w:r>
      <w:r w:rsidRPr="004C20D3">
        <w:rPr>
          <w:rFonts w:ascii="Times New Roman" w:hAnsi="Times New Roman"/>
          <w:bCs/>
          <w:sz w:val="24"/>
          <w:szCs w:val="24"/>
        </w:rPr>
        <w:t xml:space="preserve"> infrastruktūrą. Transporto srityje numatom vystyti skirtingų </w:t>
      </w:r>
      <w:r w:rsidRPr="004C20D3">
        <w:rPr>
          <w:rFonts w:ascii="Times New Roman" w:hAnsi="Times New Roman"/>
          <w:bCs/>
          <w:sz w:val="24"/>
          <w:szCs w:val="24"/>
        </w:rPr>
        <w:lastRenderedPageBreak/>
        <w:t>transporto rūšių suderinamumą ir tinklo pasiekiamumą, o atsižvelgiant į 2014 m ES Tarybos rekomendacijas bus plėtojama elektros energijos ir dujų tinklų jungtys.</w:t>
      </w:r>
    </w:p>
    <w:p w:rsidR="00825126" w:rsidRPr="004C20D3" w:rsidRDefault="00825126" w:rsidP="00FC087A">
      <w:pPr>
        <w:autoSpaceDE w:val="0"/>
        <w:autoSpaceDN w:val="0"/>
        <w:adjustRightInd w:val="0"/>
        <w:spacing w:after="0" w:line="240" w:lineRule="auto"/>
        <w:ind w:firstLine="624"/>
        <w:jc w:val="both"/>
        <w:rPr>
          <w:rFonts w:ascii="Times New Roman" w:hAnsi="Times New Roman"/>
          <w:bCs/>
          <w:sz w:val="24"/>
          <w:szCs w:val="24"/>
        </w:rPr>
      </w:pPr>
      <w:r w:rsidRPr="004C20D3">
        <w:rPr>
          <w:rFonts w:ascii="Times New Roman" w:hAnsi="Times New Roman"/>
          <w:bCs/>
          <w:sz w:val="24"/>
          <w:szCs w:val="24"/>
        </w:rPr>
        <w:t xml:space="preserve">8 teminiam tikslui numatoma </w:t>
      </w:r>
      <w:r w:rsidR="00703070">
        <w:rPr>
          <w:rFonts w:ascii="Times New Roman" w:hAnsi="Times New Roman"/>
          <w:bCs/>
          <w:sz w:val="24"/>
          <w:szCs w:val="24"/>
        </w:rPr>
        <w:t>11,</w:t>
      </w:r>
      <w:r w:rsidR="000A7F7A">
        <w:rPr>
          <w:rFonts w:ascii="Times New Roman" w:hAnsi="Times New Roman"/>
          <w:bCs/>
          <w:sz w:val="24"/>
          <w:szCs w:val="24"/>
        </w:rPr>
        <w:t>89</w:t>
      </w:r>
      <w:r w:rsidRPr="004C20D3">
        <w:rPr>
          <w:rFonts w:ascii="Times New Roman" w:hAnsi="Times New Roman"/>
          <w:bCs/>
          <w:sz w:val="24"/>
          <w:szCs w:val="24"/>
        </w:rPr>
        <w:t xml:space="preserve"> proc. ES fondų lėšų </w:t>
      </w:r>
      <w:proofErr w:type="gramStart"/>
      <w:r w:rsidRPr="004C20D3">
        <w:rPr>
          <w:rFonts w:ascii="Times New Roman" w:hAnsi="Times New Roman"/>
          <w:bCs/>
          <w:sz w:val="24"/>
          <w:szCs w:val="24"/>
        </w:rPr>
        <w:t>(</w:t>
      </w:r>
      <w:proofErr w:type="gramEnd"/>
      <w:r w:rsidRPr="004C20D3">
        <w:rPr>
          <w:rFonts w:ascii="Times New Roman" w:hAnsi="Times New Roman"/>
          <w:bCs/>
          <w:sz w:val="24"/>
          <w:szCs w:val="24"/>
        </w:rPr>
        <w:t xml:space="preserve">arba </w:t>
      </w:r>
      <w:r w:rsidR="00703070">
        <w:rPr>
          <w:rFonts w:ascii="Times New Roman" w:hAnsi="Times New Roman"/>
          <w:bCs/>
          <w:sz w:val="24"/>
          <w:szCs w:val="24"/>
        </w:rPr>
        <w:t>10,</w:t>
      </w:r>
      <w:r w:rsidR="000A7F7A">
        <w:rPr>
          <w:rFonts w:ascii="Times New Roman" w:hAnsi="Times New Roman"/>
          <w:bCs/>
          <w:sz w:val="24"/>
          <w:szCs w:val="24"/>
        </w:rPr>
        <w:t>85</w:t>
      </w:r>
      <w:r w:rsidRPr="004C20D3">
        <w:rPr>
          <w:rFonts w:ascii="Times New Roman" w:hAnsi="Times New Roman"/>
          <w:bCs/>
          <w:sz w:val="24"/>
          <w:szCs w:val="24"/>
        </w:rPr>
        <w:t xml:space="preserve"> proc. ERPF </w:t>
      </w:r>
      <w:r w:rsidR="00703070">
        <w:rPr>
          <w:rFonts w:ascii="Times New Roman" w:hAnsi="Times New Roman"/>
          <w:bCs/>
          <w:sz w:val="24"/>
          <w:szCs w:val="24"/>
        </w:rPr>
        <w:t xml:space="preserve">lėšų </w:t>
      </w:r>
      <w:r w:rsidRPr="004C20D3">
        <w:rPr>
          <w:rFonts w:ascii="Times New Roman" w:hAnsi="Times New Roman"/>
          <w:bCs/>
          <w:sz w:val="24"/>
          <w:szCs w:val="24"/>
        </w:rPr>
        <w:t xml:space="preserve">ir apie </w:t>
      </w:r>
      <w:r w:rsidR="000A7F7A">
        <w:rPr>
          <w:rFonts w:ascii="Times New Roman" w:hAnsi="Times New Roman"/>
          <w:bCs/>
          <w:sz w:val="24"/>
          <w:szCs w:val="24"/>
        </w:rPr>
        <w:t>29</w:t>
      </w:r>
      <w:r w:rsidR="00703070">
        <w:rPr>
          <w:rFonts w:ascii="Times New Roman" w:hAnsi="Times New Roman"/>
          <w:bCs/>
          <w:sz w:val="24"/>
          <w:szCs w:val="24"/>
        </w:rPr>
        <w:t>,</w:t>
      </w:r>
      <w:r w:rsidR="000A7F7A">
        <w:rPr>
          <w:rFonts w:ascii="Times New Roman" w:hAnsi="Times New Roman"/>
          <w:bCs/>
          <w:sz w:val="24"/>
          <w:szCs w:val="24"/>
        </w:rPr>
        <w:t>92</w:t>
      </w:r>
      <w:r w:rsidRPr="004C20D3">
        <w:rPr>
          <w:rFonts w:ascii="Times New Roman" w:hAnsi="Times New Roman"/>
          <w:bCs/>
          <w:sz w:val="24"/>
          <w:szCs w:val="24"/>
        </w:rPr>
        <w:t xml:space="preserve"> proc. ESF</w:t>
      </w:r>
      <w:r w:rsidR="00703070">
        <w:rPr>
          <w:rFonts w:ascii="Times New Roman" w:hAnsi="Times New Roman"/>
          <w:bCs/>
          <w:sz w:val="24"/>
          <w:szCs w:val="24"/>
        </w:rPr>
        <w:t xml:space="preserve"> lėšų</w:t>
      </w:r>
      <w:r w:rsidRPr="004C20D3">
        <w:rPr>
          <w:rFonts w:ascii="Times New Roman" w:hAnsi="Times New Roman"/>
          <w:bCs/>
          <w:sz w:val="24"/>
          <w:szCs w:val="24"/>
        </w:rPr>
        <w:t>), kurios prisidės prie NRP nustatyto Lietuvos nacionalinio tikslo – iki 2020 m. padidinti gyventojų užimtumą iki 72,8 proc. ir kartu prie miestų plėtros netolygumų šalinimo, kad miestų ar atskirų jų teritorijų dalių turimas potencialas būtų veiksmingai panaudotas. Atsižvelgiant į 2014 m. ES Tarybos rekomendacijas</w:t>
      </w:r>
      <w:r w:rsidR="00DF6E6B">
        <w:rPr>
          <w:rFonts w:ascii="Times New Roman" w:hAnsi="Times New Roman"/>
          <w:bCs/>
          <w:sz w:val="24"/>
          <w:szCs w:val="24"/>
        </w:rPr>
        <w:t>,</w:t>
      </w:r>
      <w:r w:rsidRPr="004C20D3">
        <w:rPr>
          <w:rFonts w:ascii="Times New Roman" w:hAnsi="Times New Roman"/>
          <w:bCs/>
          <w:sz w:val="24"/>
          <w:szCs w:val="24"/>
        </w:rPr>
        <w:t xml:space="preserve"> bus tikslingiau taikomos aktyvios darbo rinkos politikos priemonės. Taip pat pagal šį teminį tikslą bus investuojami jaunimo užimtumo iniciatyvai numatyti specialūs asignavimai. </w:t>
      </w:r>
    </w:p>
    <w:p w:rsidR="00825126" w:rsidRPr="004C20D3" w:rsidRDefault="00825126" w:rsidP="00FC087A">
      <w:pPr>
        <w:autoSpaceDE w:val="0"/>
        <w:autoSpaceDN w:val="0"/>
        <w:adjustRightInd w:val="0"/>
        <w:spacing w:after="0" w:line="240" w:lineRule="auto"/>
        <w:ind w:firstLine="624"/>
        <w:jc w:val="both"/>
        <w:rPr>
          <w:rFonts w:ascii="Times New Roman" w:hAnsi="Times New Roman"/>
          <w:bCs/>
          <w:sz w:val="24"/>
          <w:szCs w:val="24"/>
        </w:rPr>
      </w:pPr>
      <w:r w:rsidRPr="004C20D3">
        <w:rPr>
          <w:rFonts w:ascii="Times New Roman" w:hAnsi="Times New Roman"/>
          <w:bCs/>
          <w:sz w:val="24"/>
          <w:szCs w:val="24"/>
        </w:rPr>
        <w:t>9 teminiam tikslui numatoma 8</w:t>
      </w:r>
      <w:r w:rsidR="008A4871">
        <w:rPr>
          <w:rFonts w:ascii="Times New Roman" w:hAnsi="Times New Roman"/>
          <w:bCs/>
          <w:sz w:val="24"/>
          <w:szCs w:val="24"/>
        </w:rPr>
        <w:t>,</w:t>
      </w:r>
      <w:r w:rsidR="006812AD">
        <w:rPr>
          <w:rFonts w:ascii="Times New Roman" w:hAnsi="Times New Roman"/>
          <w:bCs/>
          <w:sz w:val="24"/>
          <w:szCs w:val="24"/>
        </w:rPr>
        <w:t>5</w:t>
      </w:r>
      <w:r w:rsidR="000A7F7A">
        <w:rPr>
          <w:rFonts w:ascii="Times New Roman" w:hAnsi="Times New Roman"/>
          <w:bCs/>
          <w:sz w:val="24"/>
          <w:szCs w:val="24"/>
        </w:rPr>
        <w:t>1</w:t>
      </w:r>
      <w:r w:rsidR="006812AD" w:rsidRPr="004C20D3">
        <w:rPr>
          <w:rFonts w:ascii="Times New Roman" w:hAnsi="Times New Roman"/>
          <w:bCs/>
          <w:sz w:val="24"/>
          <w:szCs w:val="24"/>
        </w:rPr>
        <w:t xml:space="preserve"> </w:t>
      </w:r>
      <w:r w:rsidRPr="004C20D3">
        <w:rPr>
          <w:rFonts w:ascii="Times New Roman" w:hAnsi="Times New Roman"/>
          <w:bCs/>
          <w:sz w:val="24"/>
          <w:szCs w:val="24"/>
        </w:rPr>
        <w:t xml:space="preserve">proc. ES fondų lėšų </w:t>
      </w:r>
      <w:proofErr w:type="gramStart"/>
      <w:r w:rsidRPr="004C20D3">
        <w:rPr>
          <w:rFonts w:ascii="Times New Roman" w:hAnsi="Times New Roman"/>
          <w:bCs/>
          <w:sz w:val="24"/>
          <w:szCs w:val="24"/>
        </w:rPr>
        <w:t>(</w:t>
      </w:r>
      <w:proofErr w:type="gramEnd"/>
      <w:r w:rsidR="006812AD">
        <w:rPr>
          <w:rFonts w:ascii="Times New Roman" w:hAnsi="Times New Roman"/>
          <w:bCs/>
          <w:sz w:val="24"/>
          <w:szCs w:val="24"/>
        </w:rPr>
        <w:t>9,</w:t>
      </w:r>
      <w:r w:rsidR="000A7F7A">
        <w:rPr>
          <w:rFonts w:ascii="Times New Roman" w:hAnsi="Times New Roman"/>
          <w:bCs/>
          <w:sz w:val="24"/>
          <w:szCs w:val="24"/>
        </w:rPr>
        <w:t>71</w:t>
      </w:r>
      <w:r w:rsidRPr="004C20D3">
        <w:rPr>
          <w:rFonts w:ascii="Times New Roman" w:hAnsi="Times New Roman"/>
          <w:bCs/>
          <w:sz w:val="24"/>
          <w:szCs w:val="24"/>
        </w:rPr>
        <w:t xml:space="preserve"> proc. ERPF </w:t>
      </w:r>
      <w:r w:rsidR="006812AD">
        <w:rPr>
          <w:rFonts w:ascii="Times New Roman" w:hAnsi="Times New Roman"/>
          <w:bCs/>
          <w:sz w:val="24"/>
          <w:szCs w:val="24"/>
        </w:rPr>
        <w:t xml:space="preserve">lėšų </w:t>
      </w:r>
      <w:r w:rsidRPr="004C20D3">
        <w:rPr>
          <w:rFonts w:ascii="Times New Roman" w:hAnsi="Times New Roman"/>
          <w:bCs/>
          <w:sz w:val="24"/>
          <w:szCs w:val="24"/>
        </w:rPr>
        <w:t xml:space="preserve">ir </w:t>
      </w:r>
      <w:r w:rsidR="006812AD">
        <w:rPr>
          <w:rFonts w:ascii="Times New Roman" w:hAnsi="Times New Roman"/>
          <w:bCs/>
          <w:sz w:val="24"/>
          <w:szCs w:val="24"/>
        </w:rPr>
        <w:t>19,</w:t>
      </w:r>
      <w:r w:rsidR="000A7F7A">
        <w:rPr>
          <w:rFonts w:ascii="Times New Roman" w:hAnsi="Times New Roman"/>
          <w:bCs/>
          <w:sz w:val="24"/>
          <w:szCs w:val="24"/>
        </w:rPr>
        <w:t>34</w:t>
      </w:r>
      <w:r w:rsidRPr="004C20D3">
        <w:rPr>
          <w:rFonts w:ascii="Times New Roman" w:hAnsi="Times New Roman"/>
          <w:bCs/>
          <w:sz w:val="24"/>
          <w:szCs w:val="24"/>
        </w:rPr>
        <w:t xml:space="preserve"> proc. ESF</w:t>
      </w:r>
      <w:r w:rsidR="006812AD">
        <w:rPr>
          <w:rFonts w:ascii="Times New Roman" w:hAnsi="Times New Roman"/>
          <w:bCs/>
          <w:sz w:val="24"/>
          <w:szCs w:val="24"/>
        </w:rPr>
        <w:t xml:space="preserve"> lėšų</w:t>
      </w:r>
      <w:r w:rsidRPr="004C20D3">
        <w:rPr>
          <w:rFonts w:ascii="Times New Roman" w:hAnsi="Times New Roman"/>
          <w:bCs/>
          <w:sz w:val="24"/>
          <w:szCs w:val="24"/>
        </w:rPr>
        <w:t>), kuriomis bus prisidedama prie NRP nustatyto Lietuvos nacionalinio tikslo – iki 2020 m. sumažinti skurdo arba atskirties riziką patiriančių žmonių iki ne daugiau kaip 814 tūkst. Atsižvelgiant į 2014 m. ES Tarybos rekomendacijas</w:t>
      </w:r>
      <w:r w:rsidR="00DF6E6B">
        <w:rPr>
          <w:rFonts w:ascii="Times New Roman" w:hAnsi="Times New Roman"/>
          <w:bCs/>
          <w:sz w:val="24"/>
          <w:szCs w:val="24"/>
        </w:rPr>
        <w:t>,</w:t>
      </w:r>
      <w:r w:rsidRPr="004C20D3">
        <w:rPr>
          <w:rFonts w:ascii="Times New Roman" w:hAnsi="Times New Roman"/>
          <w:bCs/>
          <w:sz w:val="24"/>
          <w:szCs w:val="24"/>
        </w:rPr>
        <w:t xml:space="preserve"> bus įgyvendinamos konkrečias priemonės, skirtos skurdui ir socialinei atskirčiai mažinti.</w:t>
      </w:r>
    </w:p>
    <w:p w:rsidR="00825126" w:rsidRPr="004C20D3" w:rsidRDefault="00825126" w:rsidP="00FC087A">
      <w:pPr>
        <w:autoSpaceDE w:val="0"/>
        <w:autoSpaceDN w:val="0"/>
        <w:adjustRightInd w:val="0"/>
        <w:spacing w:after="0" w:line="240" w:lineRule="auto"/>
        <w:ind w:firstLine="624"/>
        <w:jc w:val="both"/>
        <w:rPr>
          <w:rFonts w:ascii="Times New Roman" w:hAnsi="Times New Roman"/>
          <w:bCs/>
          <w:sz w:val="24"/>
          <w:szCs w:val="24"/>
        </w:rPr>
      </w:pPr>
      <w:r w:rsidRPr="004C20D3">
        <w:rPr>
          <w:rFonts w:ascii="Times New Roman" w:hAnsi="Times New Roman"/>
          <w:bCs/>
          <w:sz w:val="24"/>
          <w:szCs w:val="24"/>
        </w:rPr>
        <w:t>10 teminiam tikslui numatoma apie 9,</w:t>
      </w:r>
      <w:r w:rsidR="006812AD">
        <w:rPr>
          <w:rFonts w:ascii="Times New Roman" w:hAnsi="Times New Roman"/>
          <w:bCs/>
          <w:sz w:val="24"/>
          <w:szCs w:val="24"/>
        </w:rPr>
        <w:t>4</w:t>
      </w:r>
      <w:r w:rsidR="000A7F7A">
        <w:rPr>
          <w:rFonts w:ascii="Times New Roman" w:hAnsi="Times New Roman"/>
          <w:bCs/>
          <w:sz w:val="24"/>
          <w:szCs w:val="24"/>
        </w:rPr>
        <w:t>1</w:t>
      </w:r>
      <w:r w:rsidRPr="004C20D3">
        <w:rPr>
          <w:rFonts w:ascii="Times New Roman" w:hAnsi="Times New Roman"/>
          <w:bCs/>
          <w:sz w:val="24"/>
          <w:szCs w:val="24"/>
        </w:rPr>
        <w:t xml:space="preserve"> proc. ES fondų lėšų </w:t>
      </w:r>
      <w:proofErr w:type="gramStart"/>
      <w:r w:rsidRPr="004C20D3">
        <w:rPr>
          <w:rFonts w:ascii="Times New Roman" w:hAnsi="Times New Roman"/>
          <w:bCs/>
          <w:sz w:val="24"/>
          <w:szCs w:val="24"/>
        </w:rPr>
        <w:t>(</w:t>
      </w:r>
      <w:proofErr w:type="gramEnd"/>
      <w:r w:rsidRPr="004C20D3">
        <w:rPr>
          <w:rFonts w:ascii="Times New Roman" w:hAnsi="Times New Roman"/>
          <w:bCs/>
          <w:sz w:val="24"/>
          <w:szCs w:val="24"/>
        </w:rPr>
        <w:t xml:space="preserve">apie </w:t>
      </w:r>
      <w:r w:rsidR="006812AD">
        <w:rPr>
          <w:rFonts w:ascii="Times New Roman" w:hAnsi="Times New Roman"/>
          <w:bCs/>
          <w:sz w:val="24"/>
          <w:szCs w:val="24"/>
        </w:rPr>
        <w:t>5,</w:t>
      </w:r>
      <w:r w:rsidR="000A7F7A">
        <w:rPr>
          <w:rFonts w:ascii="Times New Roman" w:hAnsi="Times New Roman"/>
          <w:bCs/>
          <w:sz w:val="24"/>
          <w:szCs w:val="24"/>
        </w:rPr>
        <w:t>66</w:t>
      </w:r>
      <w:r w:rsidRPr="004C20D3">
        <w:rPr>
          <w:rFonts w:ascii="Times New Roman" w:hAnsi="Times New Roman"/>
          <w:bCs/>
          <w:sz w:val="24"/>
          <w:szCs w:val="24"/>
        </w:rPr>
        <w:t xml:space="preserve"> proc. ERPF </w:t>
      </w:r>
      <w:r w:rsidR="006812AD">
        <w:rPr>
          <w:rFonts w:ascii="Times New Roman" w:hAnsi="Times New Roman"/>
          <w:bCs/>
          <w:sz w:val="24"/>
          <w:szCs w:val="24"/>
        </w:rPr>
        <w:t xml:space="preserve">lėšų </w:t>
      </w:r>
      <w:r w:rsidRPr="004C20D3">
        <w:rPr>
          <w:rFonts w:ascii="Times New Roman" w:hAnsi="Times New Roman"/>
          <w:bCs/>
          <w:sz w:val="24"/>
          <w:szCs w:val="24"/>
        </w:rPr>
        <w:t xml:space="preserve">ir apie </w:t>
      </w:r>
      <w:r w:rsidR="006812AD">
        <w:rPr>
          <w:rFonts w:ascii="Times New Roman" w:hAnsi="Times New Roman"/>
          <w:bCs/>
          <w:sz w:val="24"/>
          <w:szCs w:val="24"/>
        </w:rPr>
        <w:t>36,</w:t>
      </w:r>
      <w:r w:rsidR="000A7F7A">
        <w:rPr>
          <w:rFonts w:ascii="Times New Roman" w:hAnsi="Times New Roman"/>
          <w:bCs/>
          <w:sz w:val="24"/>
          <w:szCs w:val="24"/>
        </w:rPr>
        <w:t>36</w:t>
      </w:r>
      <w:r w:rsidRPr="004C20D3">
        <w:rPr>
          <w:rFonts w:ascii="Times New Roman" w:hAnsi="Times New Roman"/>
          <w:bCs/>
          <w:sz w:val="24"/>
          <w:szCs w:val="24"/>
        </w:rPr>
        <w:t xml:space="preserve"> proc. ESF</w:t>
      </w:r>
      <w:r w:rsidR="006812AD">
        <w:rPr>
          <w:rFonts w:ascii="Times New Roman" w:hAnsi="Times New Roman"/>
          <w:bCs/>
          <w:sz w:val="24"/>
          <w:szCs w:val="24"/>
        </w:rPr>
        <w:t xml:space="preserve"> lėšų</w:t>
      </w:r>
      <w:r w:rsidRPr="004C20D3">
        <w:rPr>
          <w:rFonts w:ascii="Times New Roman" w:hAnsi="Times New Roman"/>
          <w:bCs/>
          <w:sz w:val="24"/>
          <w:szCs w:val="24"/>
        </w:rPr>
        <w:t xml:space="preserve">), kurios labiausiai prisidės prie Lietuvos nacionalinio tikslo – kad iki 2020 m. aukštąjį arba jam prilygstantį išsilavinimą turėtų ne mažiau kaip 47,9 proc. 30–34 metų gyventojų, o mokyklos nebaigusių asmenų skaičius būtų mažesnis nei 9 proc. </w:t>
      </w:r>
    </w:p>
    <w:p w:rsidR="00825126" w:rsidRDefault="00825126" w:rsidP="00FC087A">
      <w:pPr>
        <w:autoSpaceDE w:val="0"/>
        <w:autoSpaceDN w:val="0"/>
        <w:adjustRightInd w:val="0"/>
        <w:spacing w:after="0" w:line="240" w:lineRule="auto"/>
        <w:ind w:firstLine="624"/>
        <w:jc w:val="both"/>
        <w:rPr>
          <w:rFonts w:ascii="Times New Roman" w:hAnsi="Times New Roman"/>
          <w:bCs/>
          <w:iCs/>
          <w:sz w:val="24"/>
          <w:szCs w:val="24"/>
        </w:rPr>
      </w:pPr>
      <w:r w:rsidRPr="004C20D3">
        <w:rPr>
          <w:rFonts w:ascii="Times New Roman" w:hAnsi="Times New Roman"/>
          <w:bCs/>
          <w:sz w:val="24"/>
          <w:szCs w:val="24"/>
        </w:rPr>
        <w:t xml:space="preserve">11 teminiam tikslui numatoma </w:t>
      </w:r>
      <w:r w:rsidR="00A64507">
        <w:rPr>
          <w:rFonts w:ascii="Times New Roman" w:hAnsi="Times New Roman"/>
          <w:bCs/>
          <w:sz w:val="24"/>
          <w:szCs w:val="24"/>
        </w:rPr>
        <w:t>daugiau nei</w:t>
      </w:r>
      <w:r w:rsidRPr="004C20D3">
        <w:rPr>
          <w:rFonts w:ascii="Times New Roman" w:hAnsi="Times New Roman"/>
          <w:bCs/>
          <w:sz w:val="24"/>
          <w:szCs w:val="24"/>
        </w:rPr>
        <w:t xml:space="preserve"> </w:t>
      </w:r>
      <w:r w:rsidR="008A4871">
        <w:rPr>
          <w:rFonts w:ascii="Times New Roman" w:hAnsi="Times New Roman"/>
          <w:bCs/>
          <w:sz w:val="24"/>
          <w:szCs w:val="24"/>
        </w:rPr>
        <w:t>1,</w:t>
      </w:r>
      <w:r w:rsidR="006812AD">
        <w:rPr>
          <w:rFonts w:ascii="Times New Roman" w:hAnsi="Times New Roman"/>
          <w:bCs/>
          <w:sz w:val="24"/>
          <w:szCs w:val="24"/>
        </w:rPr>
        <w:t>5</w:t>
      </w:r>
      <w:r w:rsidR="000A7F7A">
        <w:rPr>
          <w:rFonts w:ascii="Times New Roman" w:hAnsi="Times New Roman"/>
          <w:bCs/>
          <w:sz w:val="24"/>
          <w:szCs w:val="24"/>
        </w:rPr>
        <w:t>3</w:t>
      </w:r>
      <w:r w:rsidR="006812AD" w:rsidRPr="004C20D3">
        <w:rPr>
          <w:rFonts w:ascii="Times New Roman" w:hAnsi="Times New Roman"/>
          <w:bCs/>
          <w:sz w:val="24"/>
          <w:szCs w:val="24"/>
        </w:rPr>
        <w:t xml:space="preserve"> </w:t>
      </w:r>
      <w:r w:rsidRPr="004C20D3">
        <w:rPr>
          <w:rFonts w:ascii="Times New Roman" w:hAnsi="Times New Roman"/>
          <w:bCs/>
          <w:sz w:val="24"/>
          <w:szCs w:val="24"/>
        </w:rPr>
        <w:t xml:space="preserve">proc. ES fondų lėšų </w:t>
      </w:r>
      <w:proofErr w:type="gramStart"/>
      <w:r w:rsidRPr="004C20D3">
        <w:rPr>
          <w:rFonts w:ascii="Times New Roman" w:hAnsi="Times New Roman"/>
          <w:bCs/>
          <w:sz w:val="24"/>
          <w:szCs w:val="24"/>
        </w:rPr>
        <w:t>(</w:t>
      </w:r>
      <w:proofErr w:type="gramEnd"/>
      <w:r w:rsidR="006812AD">
        <w:rPr>
          <w:rFonts w:ascii="Times New Roman" w:hAnsi="Times New Roman"/>
          <w:bCs/>
          <w:sz w:val="24"/>
          <w:szCs w:val="24"/>
        </w:rPr>
        <w:t>8,6</w:t>
      </w:r>
      <w:r w:rsidR="000A7F7A">
        <w:rPr>
          <w:rFonts w:ascii="Times New Roman" w:hAnsi="Times New Roman"/>
          <w:bCs/>
          <w:sz w:val="24"/>
          <w:szCs w:val="24"/>
        </w:rPr>
        <w:t>2</w:t>
      </w:r>
      <w:r w:rsidRPr="004C20D3">
        <w:rPr>
          <w:rFonts w:ascii="Times New Roman" w:hAnsi="Times New Roman"/>
          <w:bCs/>
          <w:sz w:val="24"/>
          <w:szCs w:val="24"/>
        </w:rPr>
        <w:t xml:space="preserve"> proc. ESF</w:t>
      </w:r>
      <w:r w:rsidR="006812AD">
        <w:rPr>
          <w:rFonts w:ascii="Times New Roman" w:hAnsi="Times New Roman"/>
          <w:bCs/>
          <w:sz w:val="24"/>
          <w:szCs w:val="24"/>
        </w:rPr>
        <w:t xml:space="preserve"> lėšų</w:t>
      </w:r>
      <w:r w:rsidRPr="004C20D3">
        <w:rPr>
          <w:rFonts w:ascii="Times New Roman" w:hAnsi="Times New Roman"/>
          <w:bCs/>
          <w:sz w:val="24"/>
          <w:szCs w:val="24"/>
        </w:rPr>
        <w:t xml:space="preserve">), kurios </w:t>
      </w:r>
      <w:r w:rsidRPr="004C20D3">
        <w:rPr>
          <w:rFonts w:ascii="Times New Roman" w:hAnsi="Times New Roman"/>
          <w:bCs/>
          <w:iCs/>
          <w:sz w:val="24"/>
          <w:szCs w:val="24"/>
        </w:rPr>
        <w:t>skiriamos viešojo valdymo institucijų veiklos efektyvumui didinti, nacionalinėms viešojo valdymo reformoms parengti ir vykdyti bei 2014 m. ES Tarybos rekomendacijai dėl valstybės valdomų įmonių reformai įgyvendinti.</w:t>
      </w:r>
    </w:p>
    <w:p w:rsidR="006812AD" w:rsidRPr="000F7786" w:rsidRDefault="006812AD" w:rsidP="006812AD">
      <w:pPr>
        <w:autoSpaceDE w:val="0"/>
        <w:autoSpaceDN w:val="0"/>
        <w:adjustRightInd w:val="0"/>
        <w:spacing w:after="0" w:line="240" w:lineRule="auto"/>
        <w:ind w:firstLine="624"/>
        <w:jc w:val="both"/>
        <w:rPr>
          <w:rFonts w:ascii="Times New Roman" w:hAnsi="Times New Roman"/>
          <w:bCs/>
          <w:sz w:val="24"/>
          <w:szCs w:val="24"/>
        </w:rPr>
      </w:pPr>
      <w:r w:rsidRPr="000F7786">
        <w:rPr>
          <w:rFonts w:ascii="Times New Roman" w:hAnsi="Times New Roman"/>
          <w:bCs/>
          <w:sz w:val="24"/>
          <w:szCs w:val="24"/>
        </w:rPr>
        <w:t xml:space="preserve">„React–EU“ teminiam tikslui numatoma apie </w:t>
      </w:r>
      <w:r w:rsidR="000A7F7A">
        <w:rPr>
          <w:rFonts w:ascii="Times New Roman" w:hAnsi="Times New Roman"/>
          <w:bCs/>
          <w:sz w:val="24"/>
          <w:szCs w:val="24"/>
        </w:rPr>
        <w:t>4</w:t>
      </w:r>
      <w:r w:rsidRPr="000F7786">
        <w:rPr>
          <w:rFonts w:ascii="Times New Roman" w:hAnsi="Times New Roman"/>
          <w:bCs/>
          <w:sz w:val="24"/>
          <w:szCs w:val="24"/>
        </w:rPr>
        <w:t>,</w:t>
      </w:r>
      <w:r w:rsidR="000A7F7A">
        <w:rPr>
          <w:rFonts w:ascii="Times New Roman" w:hAnsi="Times New Roman"/>
          <w:bCs/>
          <w:sz w:val="24"/>
          <w:szCs w:val="24"/>
        </w:rPr>
        <w:t>61</w:t>
      </w:r>
      <w:r w:rsidRPr="000F7786">
        <w:rPr>
          <w:rFonts w:ascii="Times New Roman" w:hAnsi="Times New Roman"/>
          <w:bCs/>
          <w:sz w:val="24"/>
          <w:szCs w:val="24"/>
        </w:rPr>
        <w:t xml:space="preserve"> proc. ES fondų lėšų </w:t>
      </w:r>
      <w:proofErr w:type="gramStart"/>
      <w:r w:rsidRPr="000F7786">
        <w:rPr>
          <w:rFonts w:ascii="Times New Roman" w:hAnsi="Times New Roman"/>
          <w:bCs/>
          <w:sz w:val="24"/>
          <w:szCs w:val="24"/>
        </w:rPr>
        <w:t>(</w:t>
      </w:r>
      <w:proofErr w:type="gramEnd"/>
      <w:r w:rsidR="000A7F7A">
        <w:rPr>
          <w:rFonts w:ascii="Times New Roman" w:hAnsi="Times New Roman"/>
          <w:bCs/>
          <w:sz w:val="24"/>
          <w:szCs w:val="24"/>
        </w:rPr>
        <w:t>7</w:t>
      </w:r>
      <w:r w:rsidRPr="000F7786">
        <w:rPr>
          <w:rFonts w:ascii="Times New Roman" w:hAnsi="Times New Roman"/>
          <w:bCs/>
          <w:sz w:val="24"/>
          <w:szCs w:val="24"/>
        </w:rPr>
        <w:t>,5</w:t>
      </w:r>
      <w:r w:rsidR="000A7F7A">
        <w:rPr>
          <w:rFonts w:ascii="Times New Roman" w:hAnsi="Times New Roman"/>
          <w:bCs/>
          <w:sz w:val="24"/>
          <w:szCs w:val="24"/>
        </w:rPr>
        <w:t>5</w:t>
      </w:r>
      <w:r w:rsidRPr="000F7786">
        <w:rPr>
          <w:rFonts w:ascii="Times New Roman" w:hAnsi="Times New Roman"/>
          <w:bCs/>
          <w:sz w:val="24"/>
          <w:szCs w:val="24"/>
        </w:rPr>
        <w:t xml:space="preserve"> proc. ERPF lėšų ir </w:t>
      </w:r>
      <w:r w:rsidR="000A7F7A">
        <w:rPr>
          <w:rFonts w:ascii="Times New Roman" w:hAnsi="Times New Roman"/>
          <w:bCs/>
          <w:sz w:val="24"/>
          <w:szCs w:val="24"/>
        </w:rPr>
        <w:t>3</w:t>
      </w:r>
      <w:r w:rsidRPr="000F7786">
        <w:rPr>
          <w:rFonts w:ascii="Times New Roman" w:hAnsi="Times New Roman"/>
          <w:bCs/>
          <w:sz w:val="24"/>
          <w:szCs w:val="24"/>
        </w:rPr>
        <w:t>,</w:t>
      </w:r>
      <w:r w:rsidR="000A7F7A">
        <w:rPr>
          <w:rFonts w:ascii="Times New Roman" w:hAnsi="Times New Roman"/>
          <w:bCs/>
          <w:sz w:val="24"/>
          <w:szCs w:val="24"/>
        </w:rPr>
        <w:t>6</w:t>
      </w:r>
      <w:r w:rsidRPr="000F7786">
        <w:rPr>
          <w:rFonts w:ascii="Times New Roman" w:hAnsi="Times New Roman"/>
          <w:bCs/>
          <w:sz w:val="24"/>
          <w:szCs w:val="24"/>
        </w:rPr>
        <w:t>9 proc. ESF lėšų), kurios skiriamos ekonomikos ir verslo skaitmeninimo, MTEP ir inovacijų plėtrai, sveikatos sistemos atsparumo didinimui, diegiant inovatyvius sprendimus, klimato kaitos švelninimui, energetikos efektyvumui ir AEI plėtrai didinti. Šiomis investicijomis bus prisidedama prie Lietuvos Respublikos Vyriausybės patvirtinto Ateities ekonomikos DNR plano tikslų, 2020 m. ES Tarybos rekomendacijų bei Europos pavyzdinių iniciatyvų įgyvendinimo. Lėšos taip pat bus skiriamos žmogiškiesiems ištekliams stiprinti, jų kvalifikacijai kelti, kompetencijoms ugdyti ir perkvalifikuoti, didinant jų įsitraukimą į darbo rinką. Šiomis investicijomis bus prisidedama prie 2020 m. ES Tarybos rekomendacijų bei Europos pavyzdinių iniciatyvų įgyvendinimo.</w:t>
      </w:r>
    </w:p>
    <w:p w:rsidR="00825126" w:rsidRPr="004C20D3" w:rsidRDefault="00825126" w:rsidP="00FC087A">
      <w:pPr>
        <w:autoSpaceDE w:val="0"/>
        <w:autoSpaceDN w:val="0"/>
        <w:adjustRightInd w:val="0"/>
        <w:spacing w:after="0" w:line="240" w:lineRule="auto"/>
        <w:ind w:firstLine="624"/>
        <w:jc w:val="both"/>
        <w:rPr>
          <w:rFonts w:ascii="Times New Roman" w:hAnsi="Times New Roman"/>
          <w:bCs/>
          <w:sz w:val="24"/>
          <w:szCs w:val="24"/>
        </w:rPr>
      </w:pPr>
      <w:r w:rsidRPr="004C20D3">
        <w:rPr>
          <w:rFonts w:ascii="Times New Roman" w:hAnsi="Times New Roman"/>
          <w:bCs/>
          <w:sz w:val="24"/>
          <w:szCs w:val="24"/>
        </w:rPr>
        <w:t>Užtikrinant efektyvią ES fondų investicijų panaudojimo administravimo sistemą, viešinimą ir informavimą bei tinkamus vertinimus techninei paramai numatoma 3,</w:t>
      </w:r>
      <w:r w:rsidR="006812AD">
        <w:rPr>
          <w:rFonts w:ascii="Times New Roman" w:hAnsi="Times New Roman"/>
          <w:bCs/>
          <w:sz w:val="24"/>
          <w:szCs w:val="24"/>
        </w:rPr>
        <w:t>0</w:t>
      </w:r>
      <w:r w:rsidR="009C0228">
        <w:rPr>
          <w:rFonts w:ascii="Times New Roman" w:hAnsi="Times New Roman"/>
          <w:bCs/>
          <w:sz w:val="24"/>
          <w:szCs w:val="24"/>
        </w:rPr>
        <w:t>3</w:t>
      </w:r>
      <w:r w:rsidRPr="004C20D3">
        <w:rPr>
          <w:rFonts w:ascii="Times New Roman" w:hAnsi="Times New Roman"/>
          <w:bCs/>
          <w:sz w:val="24"/>
          <w:szCs w:val="24"/>
        </w:rPr>
        <w:t xml:space="preserve"> proc. ES fondų lėšų </w:t>
      </w:r>
      <w:proofErr w:type="gramStart"/>
      <w:r w:rsidRPr="004C20D3">
        <w:rPr>
          <w:rFonts w:ascii="Times New Roman" w:hAnsi="Times New Roman"/>
          <w:bCs/>
          <w:sz w:val="24"/>
          <w:szCs w:val="24"/>
        </w:rPr>
        <w:t>(</w:t>
      </w:r>
      <w:proofErr w:type="gramEnd"/>
      <w:r w:rsidRPr="004C20D3">
        <w:rPr>
          <w:rFonts w:ascii="Times New Roman" w:hAnsi="Times New Roman"/>
          <w:bCs/>
          <w:sz w:val="24"/>
          <w:szCs w:val="24"/>
        </w:rPr>
        <w:t>apie 2,</w:t>
      </w:r>
      <w:r w:rsidR="006812AD">
        <w:rPr>
          <w:rFonts w:ascii="Times New Roman" w:hAnsi="Times New Roman"/>
          <w:bCs/>
          <w:sz w:val="24"/>
          <w:szCs w:val="24"/>
        </w:rPr>
        <w:t>1</w:t>
      </w:r>
      <w:r w:rsidR="006812AD" w:rsidRPr="004C20D3">
        <w:rPr>
          <w:rFonts w:ascii="Times New Roman" w:hAnsi="Times New Roman"/>
          <w:bCs/>
          <w:sz w:val="24"/>
          <w:szCs w:val="24"/>
        </w:rPr>
        <w:t xml:space="preserve"> </w:t>
      </w:r>
      <w:r w:rsidRPr="004C20D3">
        <w:rPr>
          <w:rFonts w:ascii="Times New Roman" w:hAnsi="Times New Roman"/>
          <w:bCs/>
          <w:sz w:val="24"/>
          <w:szCs w:val="24"/>
        </w:rPr>
        <w:t xml:space="preserve">proc. ESF </w:t>
      </w:r>
      <w:r w:rsidR="006812AD">
        <w:rPr>
          <w:rFonts w:ascii="Times New Roman" w:hAnsi="Times New Roman"/>
          <w:bCs/>
          <w:sz w:val="24"/>
          <w:szCs w:val="24"/>
        </w:rPr>
        <w:t xml:space="preserve">lėšų </w:t>
      </w:r>
      <w:r w:rsidRPr="004C20D3">
        <w:rPr>
          <w:rFonts w:ascii="Times New Roman" w:hAnsi="Times New Roman"/>
          <w:bCs/>
          <w:sz w:val="24"/>
          <w:szCs w:val="24"/>
        </w:rPr>
        <w:t>ir beveik 9,2 proc. SaF</w:t>
      </w:r>
      <w:r w:rsidR="006812AD">
        <w:rPr>
          <w:rFonts w:ascii="Times New Roman" w:hAnsi="Times New Roman"/>
          <w:bCs/>
          <w:sz w:val="24"/>
          <w:szCs w:val="24"/>
        </w:rPr>
        <w:t xml:space="preserve"> lėšų</w:t>
      </w:r>
      <w:r w:rsidRPr="004C20D3">
        <w:rPr>
          <w:rFonts w:ascii="Times New Roman" w:hAnsi="Times New Roman"/>
          <w:bCs/>
          <w:sz w:val="24"/>
          <w:szCs w:val="24"/>
        </w:rPr>
        <w:t>).</w:t>
      </w:r>
    </w:p>
    <w:p w:rsidR="00EF483C" w:rsidRPr="00EF483C" w:rsidRDefault="00DF6E6B" w:rsidP="00FC087A">
      <w:pPr>
        <w:autoSpaceDE w:val="0"/>
        <w:autoSpaceDN w:val="0"/>
        <w:adjustRightInd w:val="0"/>
        <w:spacing w:after="0" w:line="240" w:lineRule="auto"/>
        <w:ind w:firstLine="624"/>
        <w:jc w:val="both"/>
        <w:rPr>
          <w:rFonts w:ascii="Times New Roman" w:hAnsi="Times New Roman"/>
          <w:bCs/>
          <w:color w:val="17365D"/>
          <w:sz w:val="24"/>
          <w:szCs w:val="24"/>
        </w:rPr>
      </w:pPr>
      <w:r>
        <w:rPr>
          <w:rFonts w:ascii="Times New Roman" w:hAnsi="Times New Roman"/>
          <w:bCs/>
          <w:sz w:val="24"/>
          <w:szCs w:val="24"/>
        </w:rPr>
        <w:t>Palyginti</w:t>
      </w:r>
      <w:r w:rsidR="00825126" w:rsidRPr="004C20D3">
        <w:rPr>
          <w:rFonts w:ascii="Times New Roman" w:hAnsi="Times New Roman"/>
          <w:bCs/>
          <w:sz w:val="24"/>
          <w:szCs w:val="24"/>
        </w:rPr>
        <w:t xml:space="preserve"> su 2007–2013 m. finansiniu laikotarpiu</w:t>
      </w:r>
      <w:r>
        <w:rPr>
          <w:rFonts w:ascii="Times New Roman" w:hAnsi="Times New Roman"/>
          <w:bCs/>
          <w:sz w:val="24"/>
          <w:szCs w:val="24"/>
        </w:rPr>
        <w:t>,</w:t>
      </w:r>
      <w:r w:rsidR="00825126" w:rsidRPr="004C20D3">
        <w:rPr>
          <w:rFonts w:ascii="Times New Roman" w:hAnsi="Times New Roman"/>
          <w:bCs/>
          <w:sz w:val="24"/>
          <w:szCs w:val="24"/>
        </w:rPr>
        <w:t xml:space="preserve"> 2014–2020 m. daugiau dėmesio numatoma skirti moksliniams tyrimams ir eksperimentinei plėtrai (MTEP). Išankstinio vertinimo ekspertų atliktomis m</w:t>
      </w:r>
      <w:r>
        <w:rPr>
          <w:rFonts w:ascii="Times New Roman" w:hAnsi="Times New Roman"/>
          <w:bCs/>
          <w:sz w:val="24"/>
          <w:szCs w:val="24"/>
        </w:rPr>
        <w:t>akroekonominėmis simuliacijomis</w:t>
      </w:r>
      <w:r w:rsidR="00825126" w:rsidRPr="004C20D3">
        <w:rPr>
          <w:rFonts w:ascii="Times New Roman" w:hAnsi="Times New Roman"/>
          <w:bCs/>
          <w:sz w:val="24"/>
          <w:szCs w:val="24"/>
        </w:rPr>
        <w:t xml:space="preserve"> nustatyta, kad didžiausią poveikį BVP ir kitiems esminiams makroekonominiams kintamiesiems Lietuvos atveju duotų aktyvesnis ES fondų nukreipimas į MTEP sritį lyginant su 2007–2013 m. laikotarpiu. Atsižvelgiant į Lietuvai skirtas 2014 m. ES Tarybos rekomendacijas, daugiau lėšų bus skiriama energijos efektyvumo investicijoms, kuriomis siekiama pagerinti energetinį efektyvumą bei energijos tinklų konkurenciją plėtojant elektros energijos ir dujų tinklų jungtis su ES šalimis. Taip pat 2014–2020 m. finansinių laikotarpiu numatomos didesnės ESF investicijos nei 2007–2013 m., kadangi 2014 m. ES Tarybos rekomendacijose siūloma tikslingiau spręsti didelio žemos kvalifikacijos darbuotojų ir ilgalaikio nedarbo problemas, padidinti švietimo sistemos atitiktį darbo rinkos poreikiams ir skatinti mokytis visą gyvenimą.</w:t>
      </w:r>
    </w:p>
    <w:p w:rsidR="00EF483C" w:rsidRPr="00EF483C" w:rsidRDefault="00EF483C" w:rsidP="00EF483C"/>
    <w:p w:rsidR="00B12D51" w:rsidRDefault="00B12D51" w:rsidP="00B12D51">
      <w:pPr>
        <w:widowControl w:val="0"/>
        <w:tabs>
          <w:tab w:val="left" w:pos="622"/>
        </w:tabs>
        <w:spacing w:after="0" w:line="240" w:lineRule="auto"/>
        <w:jc w:val="both"/>
        <w:rPr>
          <w:rFonts w:ascii="Times New Roman" w:eastAsia="AngsanaUPC" w:hAnsi="Times New Roman"/>
          <w:bCs/>
          <w:iCs/>
          <w:sz w:val="24"/>
          <w:szCs w:val="24"/>
          <w:lang w:eastAsia="lt-LT"/>
        </w:rPr>
        <w:sectPr w:rsidR="00B12D51" w:rsidSect="00B12D51">
          <w:pgSz w:w="11906" w:h="16838"/>
          <w:pgMar w:top="1701" w:right="567" w:bottom="1134" w:left="1701" w:header="567" w:footer="567" w:gutter="0"/>
          <w:cols w:space="1296"/>
          <w:docGrid w:linePitch="360"/>
        </w:sectPr>
      </w:pPr>
    </w:p>
    <w:p w:rsidR="00B12D51" w:rsidRDefault="00B12D51" w:rsidP="00B12D51">
      <w:pPr>
        <w:widowControl w:val="0"/>
        <w:tabs>
          <w:tab w:val="left" w:pos="622"/>
        </w:tabs>
        <w:spacing w:after="0" w:line="240" w:lineRule="auto"/>
        <w:jc w:val="both"/>
        <w:rPr>
          <w:rFonts w:ascii="Times New Roman" w:eastAsia="AngsanaUPC" w:hAnsi="Times New Roman"/>
          <w:bCs/>
          <w:iCs/>
          <w:sz w:val="24"/>
          <w:szCs w:val="24"/>
          <w:lang w:eastAsia="lt-LT"/>
        </w:rPr>
      </w:pPr>
    </w:p>
    <w:p w:rsidR="0012623D" w:rsidRPr="009D6421" w:rsidRDefault="0012623D" w:rsidP="009D6421">
      <w:pPr>
        <w:widowControl w:val="0"/>
        <w:tabs>
          <w:tab w:val="left" w:pos="622"/>
        </w:tabs>
        <w:spacing w:after="120" w:line="240" w:lineRule="auto"/>
        <w:jc w:val="both"/>
        <w:rPr>
          <w:rFonts w:ascii="Times New Roman" w:eastAsia="AngsanaUPC" w:hAnsi="Times New Roman"/>
          <w:b/>
          <w:bCs/>
          <w:lang w:eastAsia="lt-LT"/>
        </w:rPr>
      </w:pPr>
      <w:r w:rsidRPr="009D6421">
        <w:rPr>
          <w:rFonts w:ascii="Times New Roman" w:eastAsia="AngsanaUPC" w:hAnsi="Times New Roman"/>
          <w:bCs/>
          <w:i/>
          <w:lang w:eastAsia="lt-LT"/>
        </w:rPr>
        <w:t>2 lentelė.</w:t>
      </w:r>
      <w:r w:rsidRPr="009D6421">
        <w:rPr>
          <w:rFonts w:ascii="Times New Roman" w:eastAsia="AngsanaUPC" w:hAnsi="Times New Roman"/>
          <w:b/>
          <w:bCs/>
          <w:lang w:eastAsia="lt-LT"/>
        </w:rPr>
        <w:t xml:space="preserve"> </w:t>
      </w:r>
      <w:r w:rsidR="009D6421" w:rsidRPr="009D6421">
        <w:rPr>
          <w:rFonts w:ascii="Times New Roman" w:eastAsia="AngsanaUPC" w:hAnsi="Times New Roman"/>
          <w:b/>
          <w:bCs/>
          <w:lang w:eastAsia="lt-LT"/>
        </w:rPr>
        <w:t>Veiksmų p</w:t>
      </w:r>
      <w:r w:rsidRPr="009D6421">
        <w:rPr>
          <w:rFonts w:ascii="Times New Roman" w:eastAsia="AngsanaUPC" w:hAnsi="Times New Roman"/>
          <w:b/>
          <w:bCs/>
          <w:lang w:eastAsia="lt-LT"/>
        </w:rPr>
        <w:t>rogramos i</w:t>
      </w:r>
      <w:r w:rsidR="00574786" w:rsidRPr="009D6421">
        <w:rPr>
          <w:rFonts w:ascii="Times New Roman" w:eastAsia="AngsanaUPC" w:hAnsi="Times New Roman"/>
          <w:b/>
          <w:bCs/>
          <w:lang w:eastAsia="lt-LT"/>
        </w:rPr>
        <w:t>nvestavimo strategijos apžvalga</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559"/>
        <w:gridCol w:w="2835"/>
        <w:gridCol w:w="2693"/>
        <w:gridCol w:w="3119"/>
        <w:gridCol w:w="850"/>
        <w:gridCol w:w="1276"/>
        <w:gridCol w:w="1134"/>
      </w:tblGrid>
      <w:tr w:rsidR="00766611" w:rsidRPr="0083442A" w:rsidTr="00E60EA1">
        <w:trPr>
          <w:tblHeader/>
        </w:trPr>
        <w:tc>
          <w:tcPr>
            <w:tcW w:w="1668" w:type="dxa"/>
            <w:shd w:val="clear" w:color="auto" w:fill="F2F2F2"/>
            <w:vAlign w:val="center"/>
          </w:tcPr>
          <w:p w:rsidR="0012623D" w:rsidRPr="008D3817" w:rsidRDefault="0012623D" w:rsidP="008D3817">
            <w:pPr>
              <w:widowControl w:val="0"/>
              <w:tabs>
                <w:tab w:val="left" w:pos="622"/>
              </w:tabs>
              <w:spacing w:after="0" w:line="240" w:lineRule="auto"/>
              <w:jc w:val="center"/>
              <w:rPr>
                <w:rFonts w:ascii="Times New Roman" w:eastAsia="AngsanaUPC" w:hAnsi="Times New Roman"/>
                <w:b/>
                <w:bCs/>
                <w:sz w:val="20"/>
                <w:szCs w:val="20"/>
                <w:lang w:eastAsia="lt-LT"/>
              </w:rPr>
            </w:pPr>
            <w:r w:rsidRPr="008D3817">
              <w:rPr>
                <w:rFonts w:ascii="Times New Roman" w:eastAsia="AngsanaUPC" w:hAnsi="Times New Roman"/>
                <w:b/>
                <w:bCs/>
                <w:sz w:val="20"/>
                <w:szCs w:val="20"/>
                <w:lang w:eastAsia="lt-LT"/>
              </w:rPr>
              <w:t>Prioritetas</w:t>
            </w:r>
          </w:p>
        </w:tc>
        <w:tc>
          <w:tcPr>
            <w:tcW w:w="1559" w:type="dxa"/>
            <w:shd w:val="clear" w:color="auto" w:fill="F2F2F2"/>
            <w:vAlign w:val="center"/>
          </w:tcPr>
          <w:p w:rsidR="0012623D" w:rsidRPr="008D3817" w:rsidRDefault="00D505DA" w:rsidP="008D3817">
            <w:pPr>
              <w:widowControl w:val="0"/>
              <w:tabs>
                <w:tab w:val="left" w:pos="622"/>
              </w:tabs>
              <w:spacing w:after="0" w:line="240" w:lineRule="auto"/>
              <w:jc w:val="center"/>
              <w:rPr>
                <w:rFonts w:ascii="Times New Roman" w:eastAsia="AngsanaUPC" w:hAnsi="Times New Roman"/>
                <w:b/>
                <w:bCs/>
                <w:sz w:val="20"/>
                <w:szCs w:val="20"/>
                <w:lang w:eastAsia="lt-LT"/>
              </w:rPr>
            </w:pPr>
            <w:r w:rsidRPr="008D3817">
              <w:rPr>
                <w:rFonts w:ascii="Times New Roman" w:eastAsia="AngsanaUPC" w:hAnsi="Times New Roman"/>
                <w:b/>
                <w:bCs/>
                <w:sz w:val="20"/>
                <w:szCs w:val="20"/>
                <w:lang w:eastAsia="lt-LT"/>
              </w:rPr>
              <w:t>Tem</w:t>
            </w:r>
            <w:r w:rsidR="0012623D" w:rsidRPr="008D3817">
              <w:rPr>
                <w:rFonts w:ascii="Times New Roman" w:eastAsia="AngsanaUPC" w:hAnsi="Times New Roman"/>
                <w:b/>
                <w:bCs/>
                <w:sz w:val="20"/>
                <w:szCs w:val="20"/>
                <w:lang w:eastAsia="lt-LT"/>
              </w:rPr>
              <w:t>inis tikslas</w:t>
            </w:r>
          </w:p>
        </w:tc>
        <w:tc>
          <w:tcPr>
            <w:tcW w:w="2835" w:type="dxa"/>
            <w:shd w:val="clear" w:color="auto" w:fill="F2F2F2"/>
            <w:vAlign w:val="center"/>
          </w:tcPr>
          <w:p w:rsidR="0012623D" w:rsidRPr="008D3817" w:rsidRDefault="0012623D" w:rsidP="008D3817">
            <w:pPr>
              <w:widowControl w:val="0"/>
              <w:tabs>
                <w:tab w:val="left" w:pos="622"/>
              </w:tabs>
              <w:spacing w:after="0" w:line="240" w:lineRule="auto"/>
              <w:jc w:val="center"/>
              <w:rPr>
                <w:rFonts w:ascii="Times New Roman" w:eastAsia="AngsanaUPC" w:hAnsi="Times New Roman"/>
                <w:b/>
                <w:bCs/>
                <w:sz w:val="20"/>
                <w:szCs w:val="20"/>
                <w:lang w:eastAsia="lt-LT"/>
              </w:rPr>
            </w:pPr>
            <w:r w:rsidRPr="008D3817">
              <w:rPr>
                <w:rFonts w:ascii="Times New Roman" w:eastAsia="AngsanaUPC" w:hAnsi="Times New Roman"/>
                <w:b/>
                <w:bCs/>
                <w:sz w:val="20"/>
                <w:szCs w:val="20"/>
                <w:lang w:eastAsia="lt-LT"/>
              </w:rPr>
              <w:t>Investicinis prioritetas</w:t>
            </w:r>
          </w:p>
        </w:tc>
        <w:tc>
          <w:tcPr>
            <w:tcW w:w="2693" w:type="dxa"/>
            <w:shd w:val="clear" w:color="auto" w:fill="F2F2F2"/>
            <w:vAlign w:val="center"/>
          </w:tcPr>
          <w:p w:rsidR="0012623D" w:rsidRPr="008D3817" w:rsidRDefault="0012623D" w:rsidP="008D3817">
            <w:pPr>
              <w:widowControl w:val="0"/>
              <w:tabs>
                <w:tab w:val="left" w:pos="622"/>
              </w:tabs>
              <w:spacing w:after="0" w:line="240" w:lineRule="auto"/>
              <w:jc w:val="center"/>
              <w:rPr>
                <w:rFonts w:ascii="Times New Roman" w:eastAsia="AngsanaUPC" w:hAnsi="Times New Roman"/>
                <w:b/>
                <w:bCs/>
                <w:sz w:val="20"/>
                <w:szCs w:val="20"/>
                <w:lang w:eastAsia="lt-LT"/>
              </w:rPr>
            </w:pPr>
            <w:r w:rsidRPr="008D3817">
              <w:rPr>
                <w:rFonts w:ascii="Times New Roman" w:eastAsia="AngsanaUPC" w:hAnsi="Times New Roman"/>
                <w:b/>
                <w:bCs/>
                <w:sz w:val="20"/>
                <w:szCs w:val="20"/>
                <w:lang w:eastAsia="lt-LT"/>
              </w:rPr>
              <w:t>Konkretūs uždaviniai</w:t>
            </w:r>
          </w:p>
        </w:tc>
        <w:tc>
          <w:tcPr>
            <w:tcW w:w="3119" w:type="dxa"/>
            <w:shd w:val="clear" w:color="auto" w:fill="F2F2F2"/>
            <w:vAlign w:val="center"/>
          </w:tcPr>
          <w:p w:rsidR="0012623D" w:rsidRPr="008D3817" w:rsidRDefault="0012623D" w:rsidP="008D3817">
            <w:pPr>
              <w:widowControl w:val="0"/>
              <w:tabs>
                <w:tab w:val="left" w:pos="622"/>
              </w:tabs>
              <w:spacing w:after="0" w:line="240" w:lineRule="auto"/>
              <w:jc w:val="center"/>
              <w:rPr>
                <w:rFonts w:ascii="Times New Roman" w:eastAsia="AngsanaUPC" w:hAnsi="Times New Roman"/>
                <w:b/>
                <w:bCs/>
                <w:sz w:val="20"/>
                <w:szCs w:val="20"/>
                <w:lang w:eastAsia="lt-LT"/>
              </w:rPr>
            </w:pPr>
            <w:r w:rsidRPr="008D3817">
              <w:rPr>
                <w:rFonts w:ascii="Times New Roman" w:eastAsia="AngsanaUPC" w:hAnsi="Times New Roman"/>
                <w:b/>
                <w:bCs/>
                <w:sz w:val="20"/>
                <w:szCs w:val="20"/>
                <w:lang w:eastAsia="lt-LT"/>
              </w:rPr>
              <w:t>Rezultato rodikliai</w:t>
            </w:r>
          </w:p>
        </w:tc>
        <w:tc>
          <w:tcPr>
            <w:tcW w:w="850" w:type="dxa"/>
            <w:shd w:val="clear" w:color="auto" w:fill="F2F2F2"/>
            <w:vAlign w:val="center"/>
          </w:tcPr>
          <w:p w:rsidR="0012623D" w:rsidRPr="008D3817" w:rsidRDefault="0012623D" w:rsidP="008D3817">
            <w:pPr>
              <w:widowControl w:val="0"/>
              <w:tabs>
                <w:tab w:val="left" w:pos="622"/>
              </w:tabs>
              <w:spacing w:after="0" w:line="240" w:lineRule="auto"/>
              <w:jc w:val="center"/>
              <w:rPr>
                <w:rFonts w:ascii="Times New Roman" w:eastAsia="AngsanaUPC" w:hAnsi="Times New Roman"/>
                <w:b/>
                <w:bCs/>
                <w:sz w:val="20"/>
                <w:szCs w:val="20"/>
                <w:lang w:eastAsia="lt-LT"/>
              </w:rPr>
            </w:pPr>
            <w:r w:rsidRPr="008D3817">
              <w:rPr>
                <w:rFonts w:ascii="Times New Roman" w:eastAsia="AngsanaUPC" w:hAnsi="Times New Roman"/>
                <w:b/>
                <w:bCs/>
                <w:sz w:val="20"/>
                <w:szCs w:val="20"/>
                <w:lang w:eastAsia="lt-LT"/>
              </w:rPr>
              <w:t>Fondas</w:t>
            </w:r>
          </w:p>
        </w:tc>
        <w:tc>
          <w:tcPr>
            <w:tcW w:w="1276" w:type="dxa"/>
            <w:shd w:val="clear" w:color="auto" w:fill="F2F2F2"/>
            <w:vAlign w:val="center"/>
          </w:tcPr>
          <w:p w:rsidR="0012623D" w:rsidRPr="008D3817" w:rsidRDefault="0012623D" w:rsidP="008D3817">
            <w:pPr>
              <w:widowControl w:val="0"/>
              <w:tabs>
                <w:tab w:val="left" w:pos="622"/>
              </w:tabs>
              <w:spacing w:after="0" w:line="240" w:lineRule="auto"/>
              <w:jc w:val="center"/>
              <w:rPr>
                <w:rFonts w:ascii="Times New Roman" w:eastAsia="AngsanaUPC" w:hAnsi="Times New Roman"/>
                <w:b/>
                <w:bCs/>
                <w:sz w:val="20"/>
                <w:szCs w:val="20"/>
                <w:lang w:eastAsia="lt-LT"/>
              </w:rPr>
            </w:pPr>
            <w:r w:rsidRPr="008D3817">
              <w:rPr>
                <w:rFonts w:ascii="Times New Roman" w:eastAsia="AngsanaUPC" w:hAnsi="Times New Roman"/>
                <w:b/>
                <w:bCs/>
                <w:sz w:val="20"/>
                <w:szCs w:val="20"/>
                <w:lang w:eastAsia="lt-LT"/>
              </w:rPr>
              <w:t>Skiriama parama</w:t>
            </w:r>
            <w:r w:rsidR="006C65DD" w:rsidRPr="008D3817">
              <w:rPr>
                <w:rFonts w:ascii="Times New Roman" w:eastAsia="AngsanaUPC" w:hAnsi="Times New Roman"/>
                <w:b/>
                <w:bCs/>
                <w:sz w:val="20"/>
                <w:szCs w:val="20"/>
                <w:lang w:eastAsia="lt-LT"/>
              </w:rPr>
              <w:t xml:space="preserve"> (eurais)</w:t>
            </w:r>
          </w:p>
        </w:tc>
        <w:tc>
          <w:tcPr>
            <w:tcW w:w="1134" w:type="dxa"/>
            <w:shd w:val="clear" w:color="auto" w:fill="F2F2F2"/>
            <w:vAlign w:val="center"/>
          </w:tcPr>
          <w:p w:rsidR="0012623D" w:rsidRPr="008D3817" w:rsidRDefault="0012623D" w:rsidP="008D3817">
            <w:pPr>
              <w:widowControl w:val="0"/>
              <w:tabs>
                <w:tab w:val="left" w:pos="622"/>
              </w:tabs>
              <w:spacing w:after="0" w:line="240" w:lineRule="auto"/>
              <w:jc w:val="center"/>
              <w:rPr>
                <w:rFonts w:ascii="Times New Roman" w:eastAsia="AngsanaUPC" w:hAnsi="Times New Roman"/>
                <w:b/>
                <w:bCs/>
                <w:sz w:val="20"/>
                <w:szCs w:val="20"/>
                <w:lang w:eastAsia="lt-LT"/>
              </w:rPr>
            </w:pPr>
            <w:r w:rsidRPr="008D3817">
              <w:rPr>
                <w:rFonts w:ascii="Times New Roman" w:eastAsia="AngsanaUPC" w:hAnsi="Times New Roman"/>
                <w:b/>
                <w:bCs/>
                <w:sz w:val="20"/>
                <w:szCs w:val="20"/>
                <w:lang w:eastAsia="lt-LT"/>
              </w:rPr>
              <w:t>Visos skiriamos paramos dalis veiksmų programai</w:t>
            </w:r>
          </w:p>
        </w:tc>
      </w:tr>
      <w:tr w:rsidR="00D633D9" w:rsidRPr="0083442A" w:rsidTr="008D3817">
        <w:trPr>
          <w:trHeight w:val="1355"/>
        </w:trPr>
        <w:tc>
          <w:tcPr>
            <w:tcW w:w="1668" w:type="dxa"/>
            <w:vMerge w:val="restart"/>
            <w:shd w:val="clear" w:color="auto" w:fill="auto"/>
          </w:tcPr>
          <w:p w:rsidR="00D633D9" w:rsidRPr="008D3817" w:rsidRDefault="00D633D9"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eastAsia="AngsanaUPC" w:hAnsi="Times New Roman"/>
                <w:bCs/>
                <w:sz w:val="20"/>
                <w:szCs w:val="20"/>
                <w:lang w:eastAsia="lt-LT"/>
              </w:rPr>
              <w:t>Mokslinių tyrimų, eksperimentinės plėtros ir inovacijų skatinimas</w:t>
            </w:r>
          </w:p>
        </w:tc>
        <w:tc>
          <w:tcPr>
            <w:tcW w:w="1559" w:type="dxa"/>
            <w:vMerge w:val="restart"/>
            <w:shd w:val="clear" w:color="auto" w:fill="auto"/>
          </w:tcPr>
          <w:p w:rsidR="00D633D9" w:rsidRPr="008D3817" w:rsidRDefault="00D633D9"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eastAsia="AngsanaUPC" w:hAnsi="Times New Roman"/>
                <w:bCs/>
                <w:sz w:val="20"/>
                <w:szCs w:val="20"/>
                <w:lang w:eastAsia="lt-LT"/>
              </w:rPr>
              <w:t xml:space="preserve">Mokslinių tyrimų, technologinės </w:t>
            </w:r>
            <w:r w:rsidR="0091347B">
              <w:rPr>
                <w:rFonts w:ascii="Times New Roman" w:eastAsia="AngsanaUPC" w:hAnsi="Times New Roman"/>
                <w:bCs/>
                <w:sz w:val="20"/>
                <w:szCs w:val="20"/>
                <w:lang w:eastAsia="lt-LT"/>
              </w:rPr>
              <w:t>plėtros ir inovacijų skatinimas</w:t>
            </w:r>
          </w:p>
        </w:tc>
        <w:tc>
          <w:tcPr>
            <w:tcW w:w="2835" w:type="dxa"/>
            <w:shd w:val="clear" w:color="auto" w:fill="auto"/>
          </w:tcPr>
          <w:p w:rsidR="00D633D9" w:rsidRPr="008D3817" w:rsidRDefault="00783A88"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eastAsia="AngsanaUPC" w:hAnsi="Times New Roman"/>
                <w:bCs/>
                <w:sz w:val="20"/>
                <w:szCs w:val="20"/>
                <w:lang w:eastAsia="lt-LT"/>
              </w:rPr>
              <w:t>MTI</w:t>
            </w:r>
            <w:r w:rsidR="00D633D9" w:rsidRPr="008D3817">
              <w:rPr>
                <w:rFonts w:ascii="Times New Roman" w:eastAsia="AngsanaUPC" w:hAnsi="Times New Roman"/>
                <w:bCs/>
                <w:sz w:val="20"/>
                <w:szCs w:val="20"/>
                <w:lang w:eastAsia="lt-LT"/>
              </w:rPr>
              <w:t xml:space="preserve"> infrastruktūros tobulinimas, gebėjimų plėtoti MTI stiprinimas ir kompetencijos centrų, ypač europi</w:t>
            </w:r>
            <w:r w:rsidR="00305253" w:rsidRPr="008D3817">
              <w:rPr>
                <w:rFonts w:ascii="Times New Roman" w:eastAsia="AngsanaUPC" w:hAnsi="Times New Roman"/>
                <w:bCs/>
                <w:sz w:val="20"/>
                <w:szCs w:val="20"/>
                <w:lang w:eastAsia="lt-LT"/>
              </w:rPr>
              <w:t>nės svarbos, veiklos skatinimas</w:t>
            </w:r>
          </w:p>
        </w:tc>
        <w:tc>
          <w:tcPr>
            <w:tcW w:w="2693" w:type="dxa"/>
            <w:shd w:val="clear" w:color="auto" w:fill="auto"/>
          </w:tcPr>
          <w:p w:rsidR="00D633D9" w:rsidRPr="008D3817" w:rsidRDefault="004C20D3" w:rsidP="006A7758">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eastAsia="AngsanaUPC" w:hAnsi="Times New Roman"/>
                <w:bCs/>
                <w:sz w:val="20"/>
                <w:szCs w:val="20"/>
                <w:lang w:eastAsia="lt-LT"/>
              </w:rPr>
              <w:t>Siekti aktyvesnio turimos ir naujai kuriamos mokslinių tyrimų</w:t>
            </w:r>
            <w:r w:rsidR="006A7758">
              <w:rPr>
                <w:rFonts w:ascii="Times New Roman" w:eastAsia="AngsanaUPC" w:hAnsi="Times New Roman"/>
                <w:bCs/>
                <w:sz w:val="20"/>
                <w:szCs w:val="20"/>
                <w:lang w:eastAsia="lt-LT"/>
              </w:rPr>
              <w:t>,</w:t>
            </w:r>
            <w:r w:rsidRPr="008D3817">
              <w:rPr>
                <w:rFonts w:ascii="Times New Roman" w:eastAsia="AngsanaUPC" w:hAnsi="Times New Roman"/>
                <w:bCs/>
                <w:sz w:val="20"/>
                <w:szCs w:val="20"/>
                <w:lang w:eastAsia="lt-LT"/>
              </w:rPr>
              <w:t xml:space="preserve"> eksperimentinės plėtros ir inovacijų infrastruktūros panaudojimo</w:t>
            </w:r>
          </w:p>
        </w:tc>
        <w:tc>
          <w:tcPr>
            <w:tcW w:w="3119" w:type="dxa"/>
            <w:shd w:val="clear" w:color="auto" w:fill="auto"/>
          </w:tcPr>
          <w:p w:rsidR="00D633D9" w:rsidRPr="008D3817" w:rsidRDefault="004C20D3" w:rsidP="006A7758">
            <w:pPr>
              <w:widowControl w:val="0"/>
              <w:tabs>
                <w:tab w:val="left" w:pos="622"/>
              </w:tabs>
              <w:spacing w:after="0" w:line="240" w:lineRule="auto"/>
              <w:jc w:val="both"/>
              <w:rPr>
                <w:rFonts w:ascii="Times New Roman" w:eastAsia="AngsanaUPC" w:hAnsi="Times New Roman"/>
                <w:b/>
                <w:bCs/>
                <w:sz w:val="20"/>
                <w:szCs w:val="20"/>
                <w:lang w:eastAsia="lt-LT"/>
              </w:rPr>
            </w:pPr>
            <w:r w:rsidRPr="008D3817">
              <w:rPr>
                <w:rFonts w:ascii="Times New Roman" w:hAnsi="Times New Roman"/>
                <w:sz w:val="20"/>
                <w:szCs w:val="20"/>
              </w:rPr>
              <w:t xml:space="preserve">Išorės vartotojai iš ūkio subjektų, pasinaudoję atnaujinta atviros prieigos </w:t>
            </w:r>
            <w:r w:rsidR="006A7758">
              <w:rPr>
                <w:rFonts w:ascii="Times New Roman" w:hAnsi="Times New Roman"/>
                <w:sz w:val="20"/>
                <w:szCs w:val="20"/>
              </w:rPr>
              <w:t>MTEPI</w:t>
            </w:r>
            <w:r w:rsidRPr="008D3817">
              <w:rPr>
                <w:rFonts w:ascii="Times New Roman" w:hAnsi="Times New Roman"/>
                <w:sz w:val="20"/>
                <w:szCs w:val="20"/>
              </w:rPr>
              <w:t xml:space="preserve"> infrastruktūra</w:t>
            </w:r>
          </w:p>
        </w:tc>
        <w:tc>
          <w:tcPr>
            <w:tcW w:w="850" w:type="dxa"/>
            <w:vMerge w:val="restart"/>
            <w:shd w:val="clear" w:color="auto" w:fill="auto"/>
          </w:tcPr>
          <w:p w:rsidR="00D633D9" w:rsidRPr="008D3817" w:rsidRDefault="00D633D9"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eastAsia="AngsanaUPC" w:hAnsi="Times New Roman"/>
                <w:bCs/>
                <w:sz w:val="20"/>
                <w:szCs w:val="20"/>
                <w:lang w:eastAsia="lt-LT"/>
              </w:rPr>
              <w:t>ERPF</w:t>
            </w:r>
          </w:p>
        </w:tc>
        <w:tc>
          <w:tcPr>
            <w:tcW w:w="1276" w:type="dxa"/>
            <w:vMerge w:val="restart"/>
            <w:shd w:val="clear" w:color="auto" w:fill="auto"/>
          </w:tcPr>
          <w:p w:rsidR="00D633D9" w:rsidRPr="008D3817" w:rsidRDefault="00600A14" w:rsidP="008D3817">
            <w:pPr>
              <w:widowControl w:val="0"/>
              <w:tabs>
                <w:tab w:val="left" w:pos="622"/>
              </w:tabs>
              <w:spacing w:after="0" w:line="240" w:lineRule="auto"/>
              <w:jc w:val="both"/>
              <w:rPr>
                <w:rFonts w:ascii="Times New Roman" w:eastAsia="AngsanaUPC" w:hAnsi="Times New Roman"/>
                <w:bCs/>
                <w:sz w:val="20"/>
                <w:szCs w:val="20"/>
                <w:lang w:eastAsia="lt-LT"/>
              </w:rPr>
            </w:pPr>
            <w:r>
              <w:rPr>
                <w:rFonts w:ascii="Times New Roman" w:eastAsia="AngsanaUPC" w:hAnsi="Times New Roman"/>
                <w:bCs/>
                <w:sz w:val="20"/>
                <w:szCs w:val="20"/>
                <w:lang w:eastAsia="lt-LT"/>
              </w:rPr>
              <w:t>655.928.835</w:t>
            </w:r>
          </w:p>
        </w:tc>
        <w:tc>
          <w:tcPr>
            <w:tcW w:w="1134" w:type="dxa"/>
            <w:vMerge w:val="restart"/>
            <w:shd w:val="clear" w:color="auto" w:fill="auto"/>
          </w:tcPr>
          <w:p w:rsidR="00D633D9" w:rsidRPr="008D3817" w:rsidRDefault="00600A14" w:rsidP="009C0228">
            <w:pPr>
              <w:widowControl w:val="0"/>
              <w:tabs>
                <w:tab w:val="left" w:pos="622"/>
              </w:tabs>
              <w:spacing w:after="0" w:line="240" w:lineRule="auto"/>
              <w:jc w:val="both"/>
              <w:rPr>
                <w:rFonts w:ascii="Times New Roman" w:eastAsia="AngsanaUPC" w:hAnsi="Times New Roman"/>
                <w:bCs/>
                <w:sz w:val="20"/>
                <w:szCs w:val="20"/>
                <w:lang w:eastAsia="lt-LT"/>
              </w:rPr>
            </w:pPr>
            <w:r>
              <w:rPr>
                <w:rFonts w:ascii="Times New Roman" w:eastAsia="AngsanaUPC" w:hAnsi="Times New Roman"/>
                <w:bCs/>
                <w:sz w:val="20"/>
                <w:szCs w:val="20"/>
                <w:lang w:eastAsia="lt-LT"/>
              </w:rPr>
              <w:t>9,3</w:t>
            </w:r>
            <w:r w:rsidR="009C0228">
              <w:rPr>
                <w:rFonts w:ascii="Times New Roman" w:eastAsia="AngsanaUPC" w:hAnsi="Times New Roman"/>
                <w:bCs/>
                <w:sz w:val="20"/>
                <w:szCs w:val="20"/>
                <w:lang w:eastAsia="lt-LT"/>
              </w:rPr>
              <w:t>3</w:t>
            </w:r>
            <w:r w:rsidR="00D633D9" w:rsidRPr="008D3817">
              <w:rPr>
                <w:rFonts w:ascii="Times New Roman" w:eastAsia="AngsanaUPC" w:hAnsi="Times New Roman"/>
                <w:bCs/>
                <w:sz w:val="20"/>
                <w:szCs w:val="20"/>
                <w:lang w:eastAsia="lt-LT"/>
              </w:rPr>
              <w:t xml:space="preserve"> </w:t>
            </w:r>
            <w:r w:rsidR="00D633D9" w:rsidRPr="008D3817">
              <w:rPr>
                <w:rFonts w:ascii="Times New Roman" w:eastAsia="AngsanaUPC" w:hAnsi="Times New Roman"/>
                <w:bCs/>
                <w:sz w:val="20"/>
                <w:szCs w:val="20"/>
                <w:lang w:val="en-US" w:eastAsia="lt-LT"/>
              </w:rPr>
              <w:t>%</w:t>
            </w:r>
          </w:p>
        </w:tc>
      </w:tr>
      <w:tr w:rsidR="00DF0353" w:rsidRPr="0083442A" w:rsidTr="00D633D9">
        <w:trPr>
          <w:trHeight w:val="467"/>
        </w:trPr>
        <w:tc>
          <w:tcPr>
            <w:tcW w:w="1668" w:type="dxa"/>
            <w:vMerge/>
            <w:shd w:val="clear" w:color="auto" w:fill="auto"/>
          </w:tcPr>
          <w:p w:rsidR="00DF0353" w:rsidRPr="008D3817" w:rsidRDefault="00DF0353"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559" w:type="dxa"/>
            <w:vMerge/>
            <w:shd w:val="clear" w:color="auto" w:fill="auto"/>
          </w:tcPr>
          <w:p w:rsidR="00DF0353" w:rsidRPr="008D3817" w:rsidRDefault="00DF0353"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val="restart"/>
            <w:shd w:val="clear" w:color="auto" w:fill="auto"/>
          </w:tcPr>
          <w:p w:rsidR="00DF0353" w:rsidRPr="008D3817" w:rsidRDefault="00DF0353" w:rsidP="00901C8F">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eastAsia="AngsanaUPC" w:hAnsi="Times New Roman"/>
                <w:bCs/>
                <w:sz w:val="20"/>
                <w:szCs w:val="20"/>
                <w:lang w:eastAsia="lt-LT"/>
              </w:rPr>
              <w:t>Verslo investicijų į MTI skatinimas, įmonių, MTI centrų ir aukštojo mokslo sektoriaus ryšių bei sąveikos plėtojimas, visų pirma</w:t>
            </w:r>
            <w:r w:rsidR="00901C8F">
              <w:rPr>
                <w:rFonts w:ascii="Times New Roman" w:eastAsia="AngsanaUPC" w:hAnsi="Times New Roman"/>
                <w:bCs/>
                <w:sz w:val="20"/>
                <w:szCs w:val="20"/>
                <w:lang w:eastAsia="lt-LT"/>
              </w:rPr>
              <w:t>,</w:t>
            </w:r>
            <w:r w:rsidRPr="008D3817">
              <w:rPr>
                <w:rFonts w:ascii="Times New Roman" w:eastAsia="AngsanaUPC" w:hAnsi="Times New Roman"/>
                <w:bCs/>
                <w:sz w:val="20"/>
                <w:szCs w:val="20"/>
                <w:lang w:eastAsia="lt-LT"/>
              </w:rPr>
              <w:t xml:space="preserve"> skatinant investicijas į produktų ir paslaugų plėtrą, technologijas, socialines ir viešosioms paslaugoms teikti skirtas inovacijas; taip pat paklausos, jungimosi į tinklus, grupių ir atvirų inovacijų skatinimas pagal pažangiosios specializacijos strategiją remiant technologinius ir taikomųjų mokslų tyrimus, bandomųjų linijų diegimą, išankstinio produktų patvirtinimo veiksmus ir </w:t>
            </w:r>
            <w:r w:rsidR="00CD554C" w:rsidRPr="008D3817">
              <w:rPr>
                <w:rFonts w:ascii="Times New Roman" w:eastAsia="AngsanaUPC" w:hAnsi="Times New Roman"/>
                <w:bCs/>
                <w:sz w:val="20"/>
                <w:szCs w:val="20"/>
                <w:lang w:eastAsia="lt-LT"/>
              </w:rPr>
              <w:t>DPT</w:t>
            </w:r>
            <w:r w:rsidRPr="008D3817">
              <w:rPr>
                <w:rFonts w:ascii="Times New Roman" w:eastAsia="AngsanaUPC" w:hAnsi="Times New Roman"/>
                <w:bCs/>
                <w:sz w:val="20"/>
                <w:szCs w:val="20"/>
                <w:lang w:eastAsia="lt-LT"/>
              </w:rPr>
              <w:t xml:space="preserve"> pažangiosios gamybos pajėgumus, pirminės gamybos bei bendrosios </w:t>
            </w:r>
            <w:r w:rsidR="00305253" w:rsidRPr="008D3817">
              <w:rPr>
                <w:rFonts w:ascii="Times New Roman" w:eastAsia="AngsanaUPC" w:hAnsi="Times New Roman"/>
                <w:bCs/>
                <w:sz w:val="20"/>
                <w:szCs w:val="20"/>
                <w:lang w:eastAsia="lt-LT"/>
              </w:rPr>
              <w:t>paskirties technologijų sklaidą</w:t>
            </w:r>
          </w:p>
        </w:tc>
        <w:tc>
          <w:tcPr>
            <w:tcW w:w="2693" w:type="dxa"/>
            <w:vMerge w:val="restart"/>
            <w:shd w:val="clear" w:color="auto" w:fill="auto"/>
          </w:tcPr>
          <w:p w:rsidR="00DF0353" w:rsidRPr="008D3817" w:rsidRDefault="004C20D3"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eastAsia="AngsanaUPC" w:hAnsi="Times New Roman"/>
                <w:bCs/>
                <w:sz w:val="20"/>
                <w:szCs w:val="20"/>
                <w:lang w:eastAsia="lt-LT"/>
              </w:rPr>
              <w:t>Padidinti mokslinių tyrimų, eksperimentinės plėtros ir inovacijų veiklų aktyvumą privačiame sektoriuje</w:t>
            </w:r>
          </w:p>
        </w:tc>
        <w:tc>
          <w:tcPr>
            <w:tcW w:w="3119" w:type="dxa"/>
            <w:shd w:val="clear" w:color="auto" w:fill="auto"/>
          </w:tcPr>
          <w:p w:rsidR="00DF0353" w:rsidRPr="008D3817" w:rsidRDefault="004C20D3"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eastAsia="AngsanaUPC" w:hAnsi="Times New Roman"/>
                <w:bCs/>
                <w:iCs/>
                <w:sz w:val="20"/>
                <w:szCs w:val="20"/>
                <w:lang w:eastAsia="lt-LT"/>
              </w:rPr>
              <w:t>Verslo sektoriaus išlaidos MTEP, tenkančios vienam gyventojui</w:t>
            </w:r>
          </w:p>
        </w:tc>
        <w:tc>
          <w:tcPr>
            <w:tcW w:w="850" w:type="dxa"/>
            <w:vMerge/>
            <w:shd w:val="clear" w:color="auto" w:fill="auto"/>
          </w:tcPr>
          <w:p w:rsidR="00DF0353" w:rsidRPr="008D3817" w:rsidRDefault="00DF0353"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276" w:type="dxa"/>
            <w:vMerge/>
            <w:shd w:val="clear" w:color="auto" w:fill="auto"/>
          </w:tcPr>
          <w:p w:rsidR="00DF0353" w:rsidRPr="008D3817" w:rsidRDefault="00DF0353"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shd w:val="clear" w:color="auto" w:fill="auto"/>
          </w:tcPr>
          <w:p w:rsidR="00DF0353" w:rsidRPr="008D3817" w:rsidRDefault="00DF0353"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DF0353" w:rsidRPr="0083442A" w:rsidTr="00E60EA1">
        <w:trPr>
          <w:trHeight w:val="685"/>
        </w:trPr>
        <w:tc>
          <w:tcPr>
            <w:tcW w:w="1668" w:type="dxa"/>
            <w:vMerge/>
            <w:shd w:val="clear" w:color="auto" w:fill="auto"/>
          </w:tcPr>
          <w:p w:rsidR="00DF0353" w:rsidRPr="008D3817" w:rsidRDefault="00DF0353"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559" w:type="dxa"/>
            <w:vMerge/>
            <w:shd w:val="clear" w:color="auto" w:fill="auto"/>
          </w:tcPr>
          <w:p w:rsidR="00DF0353" w:rsidRPr="008D3817" w:rsidRDefault="00DF0353"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shd w:val="clear" w:color="auto" w:fill="auto"/>
          </w:tcPr>
          <w:p w:rsidR="00DF0353" w:rsidRPr="008D3817" w:rsidRDefault="00DF0353"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693" w:type="dxa"/>
            <w:vMerge/>
            <w:shd w:val="clear" w:color="auto" w:fill="auto"/>
          </w:tcPr>
          <w:p w:rsidR="00DF0353" w:rsidRPr="008D3817" w:rsidRDefault="00DF0353"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3119" w:type="dxa"/>
            <w:shd w:val="clear" w:color="auto" w:fill="auto"/>
          </w:tcPr>
          <w:p w:rsidR="00DF0353" w:rsidRPr="008D3817" w:rsidRDefault="004C20D3" w:rsidP="008D3817">
            <w:pPr>
              <w:widowControl w:val="0"/>
              <w:tabs>
                <w:tab w:val="left" w:pos="622"/>
              </w:tabs>
              <w:spacing w:after="0" w:line="240" w:lineRule="auto"/>
              <w:jc w:val="both"/>
              <w:rPr>
                <w:rFonts w:ascii="Times New Roman" w:eastAsia="AngsanaUPC" w:hAnsi="Times New Roman"/>
                <w:bCs/>
                <w:iCs/>
                <w:sz w:val="20"/>
                <w:szCs w:val="20"/>
                <w:lang w:eastAsia="lt-LT"/>
              </w:rPr>
            </w:pPr>
            <w:r w:rsidRPr="008D3817">
              <w:rPr>
                <w:rFonts w:ascii="Times New Roman" w:eastAsia="AngsanaUPC" w:hAnsi="Times New Roman"/>
                <w:bCs/>
                <w:iCs/>
                <w:sz w:val="20"/>
                <w:szCs w:val="20"/>
                <w:lang w:eastAsia="lt-LT"/>
              </w:rPr>
              <w:t>Inovatyvių įmonių, bendradarbiaujančių su partneriais, dalis nuo visų su inovacijomis susijusių įmonių</w:t>
            </w:r>
          </w:p>
        </w:tc>
        <w:tc>
          <w:tcPr>
            <w:tcW w:w="850" w:type="dxa"/>
            <w:vMerge/>
            <w:shd w:val="clear" w:color="auto" w:fill="auto"/>
          </w:tcPr>
          <w:p w:rsidR="00DF0353" w:rsidRPr="008D3817" w:rsidRDefault="00DF0353"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276" w:type="dxa"/>
            <w:vMerge/>
            <w:shd w:val="clear" w:color="auto" w:fill="auto"/>
          </w:tcPr>
          <w:p w:rsidR="00DF0353" w:rsidRPr="008D3817" w:rsidRDefault="00DF0353"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shd w:val="clear" w:color="auto" w:fill="auto"/>
          </w:tcPr>
          <w:p w:rsidR="00DF0353" w:rsidRPr="008D3817" w:rsidRDefault="00DF0353"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DF0353" w:rsidRPr="0083442A" w:rsidTr="00D633D9">
        <w:trPr>
          <w:trHeight w:val="898"/>
        </w:trPr>
        <w:tc>
          <w:tcPr>
            <w:tcW w:w="1668" w:type="dxa"/>
            <w:vMerge/>
            <w:shd w:val="clear" w:color="auto" w:fill="auto"/>
          </w:tcPr>
          <w:p w:rsidR="00DF0353" w:rsidRPr="008D3817" w:rsidRDefault="00DF0353"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559" w:type="dxa"/>
            <w:vMerge/>
            <w:shd w:val="clear" w:color="auto" w:fill="auto"/>
          </w:tcPr>
          <w:p w:rsidR="00DF0353" w:rsidRPr="008D3817" w:rsidRDefault="00DF0353"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shd w:val="clear" w:color="auto" w:fill="auto"/>
          </w:tcPr>
          <w:p w:rsidR="00DF0353" w:rsidRPr="008D3817" w:rsidRDefault="00DF0353"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693" w:type="dxa"/>
            <w:shd w:val="clear" w:color="auto" w:fill="auto"/>
          </w:tcPr>
          <w:p w:rsidR="00DF0353" w:rsidRPr="008D3817" w:rsidRDefault="004C20D3"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eastAsia="AngsanaUPC" w:hAnsi="Times New Roman"/>
                <w:bCs/>
                <w:sz w:val="20"/>
                <w:szCs w:val="20"/>
                <w:lang w:eastAsia="lt-LT"/>
              </w:rPr>
              <w:t>Padidinti žinių komercinimo ir technologijų perdavimo mastą</w:t>
            </w:r>
          </w:p>
        </w:tc>
        <w:tc>
          <w:tcPr>
            <w:tcW w:w="3119" w:type="dxa"/>
            <w:shd w:val="clear" w:color="auto" w:fill="auto"/>
          </w:tcPr>
          <w:p w:rsidR="00DF0353" w:rsidRPr="008D3817" w:rsidRDefault="004C20D3"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eastAsia="AngsanaUPC" w:hAnsi="Times New Roman"/>
                <w:bCs/>
                <w:sz w:val="20"/>
                <w:szCs w:val="20"/>
                <w:lang w:eastAsia="lt-LT"/>
              </w:rPr>
              <w:t>Ūkio subjektų finansuota mokslo ir studijų institucijų MTEP išlaidų dalis nuo visų išlaidų</w:t>
            </w:r>
          </w:p>
        </w:tc>
        <w:tc>
          <w:tcPr>
            <w:tcW w:w="850" w:type="dxa"/>
            <w:vMerge/>
            <w:shd w:val="clear" w:color="auto" w:fill="auto"/>
          </w:tcPr>
          <w:p w:rsidR="00DF0353" w:rsidRPr="008D3817" w:rsidRDefault="00DF0353"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276" w:type="dxa"/>
            <w:vMerge/>
            <w:shd w:val="clear" w:color="auto" w:fill="auto"/>
          </w:tcPr>
          <w:p w:rsidR="00DF0353" w:rsidRPr="008D3817" w:rsidRDefault="00DF0353"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shd w:val="clear" w:color="auto" w:fill="auto"/>
          </w:tcPr>
          <w:p w:rsidR="00DF0353" w:rsidRPr="008D3817" w:rsidRDefault="00DF0353"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DF0353" w:rsidRPr="0083442A" w:rsidTr="00D633D9">
        <w:trPr>
          <w:trHeight w:val="1783"/>
        </w:trPr>
        <w:tc>
          <w:tcPr>
            <w:tcW w:w="1668" w:type="dxa"/>
            <w:vMerge w:val="restart"/>
            <w:shd w:val="clear" w:color="auto" w:fill="auto"/>
          </w:tcPr>
          <w:p w:rsidR="00DF0353" w:rsidRPr="008D3817" w:rsidRDefault="00DF0353" w:rsidP="008D3817">
            <w:pPr>
              <w:widowControl w:val="0"/>
              <w:tabs>
                <w:tab w:val="left" w:pos="622"/>
              </w:tabs>
              <w:spacing w:after="0" w:line="240" w:lineRule="auto"/>
              <w:jc w:val="both"/>
              <w:rPr>
                <w:rFonts w:ascii="Times New Roman" w:eastAsia="AngsanaUPC" w:hAnsi="Times New Roman"/>
                <w:b/>
                <w:bCs/>
                <w:sz w:val="20"/>
                <w:szCs w:val="20"/>
                <w:lang w:eastAsia="lt-LT"/>
              </w:rPr>
            </w:pPr>
            <w:r w:rsidRPr="008D3817">
              <w:rPr>
                <w:rFonts w:ascii="Times New Roman" w:hAnsi="Times New Roman"/>
                <w:sz w:val="20"/>
                <w:szCs w:val="20"/>
              </w:rPr>
              <w:lastRenderedPageBreak/>
              <w:t>Informacinės visuomenės skatinimas</w:t>
            </w:r>
          </w:p>
        </w:tc>
        <w:tc>
          <w:tcPr>
            <w:tcW w:w="1559" w:type="dxa"/>
            <w:vMerge w:val="restart"/>
            <w:shd w:val="clear" w:color="auto" w:fill="auto"/>
          </w:tcPr>
          <w:p w:rsidR="00DF0353" w:rsidRPr="008D3817" w:rsidRDefault="00C91A76"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eastAsia="AngsanaUPC" w:hAnsi="Times New Roman"/>
                <w:bCs/>
                <w:sz w:val="20"/>
                <w:szCs w:val="20"/>
                <w:lang w:eastAsia="lt-LT"/>
              </w:rPr>
              <w:t>IRT</w:t>
            </w:r>
            <w:r w:rsidR="00DF0353" w:rsidRPr="008D3817">
              <w:rPr>
                <w:rFonts w:ascii="Times New Roman" w:eastAsia="AngsanaUPC" w:hAnsi="Times New Roman"/>
                <w:bCs/>
                <w:sz w:val="20"/>
                <w:szCs w:val="20"/>
                <w:lang w:eastAsia="lt-LT"/>
              </w:rPr>
              <w:t xml:space="preserve"> prieinamumo, naudojimo</w:t>
            </w:r>
            <w:r w:rsidR="0091347B">
              <w:rPr>
                <w:rFonts w:ascii="Times New Roman" w:eastAsia="AngsanaUPC" w:hAnsi="Times New Roman"/>
                <w:bCs/>
                <w:sz w:val="20"/>
                <w:szCs w:val="20"/>
                <w:lang w:eastAsia="lt-LT"/>
              </w:rPr>
              <w:t xml:space="preserve"> didinimas ir kokybės gerinimas</w:t>
            </w:r>
          </w:p>
        </w:tc>
        <w:tc>
          <w:tcPr>
            <w:tcW w:w="2835" w:type="dxa"/>
            <w:vMerge w:val="restart"/>
            <w:shd w:val="clear" w:color="auto" w:fill="auto"/>
          </w:tcPr>
          <w:p w:rsidR="00DF0353" w:rsidRPr="008D3817" w:rsidRDefault="00DF0353"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eastAsia="AngsanaUPC" w:hAnsi="Times New Roman"/>
                <w:bCs/>
                <w:sz w:val="20"/>
                <w:szCs w:val="20"/>
                <w:lang w:eastAsia="lt-LT"/>
              </w:rPr>
              <w:t>Plačiajuosčio ryšio diegimas ir didelės spartos tinklų plėtra, naujų skaitmeninei ekonomikai skirtų technologijų ir ti</w:t>
            </w:r>
            <w:r w:rsidR="00425DFD" w:rsidRPr="008D3817">
              <w:rPr>
                <w:rFonts w:ascii="Times New Roman" w:eastAsia="AngsanaUPC" w:hAnsi="Times New Roman"/>
                <w:bCs/>
                <w:sz w:val="20"/>
                <w:szCs w:val="20"/>
                <w:lang w:eastAsia="lt-LT"/>
              </w:rPr>
              <w:t>nklų rėmimas</w:t>
            </w:r>
          </w:p>
        </w:tc>
        <w:tc>
          <w:tcPr>
            <w:tcW w:w="2693" w:type="dxa"/>
            <w:shd w:val="clear" w:color="auto" w:fill="auto"/>
          </w:tcPr>
          <w:p w:rsidR="00DF0353" w:rsidRPr="008D3817" w:rsidRDefault="004C20D3"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eastAsia="AngsanaUPC" w:hAnsi="Times New Roman"/>
                <w:bCs/>
                <w:sz w:val="20"/>
                <w:szCs w:val="20"/>
                <w:lang w:eastAsia="lt-LT"/>
              </w:rPr>
              <w:t>Padidinti plačiajuosčių elektroninių ryšių tinklų infrastruktūros prieinamumą ir naudojimą vietovėse, kuriose naujos kartos prieigos infrastruktūros plėtros ir paslaugų teikimo negali užtikrinti rinka</w:t>
            </w:r>
          </w:p>
        </w:tc>
        <w:tc>
          <w:tcPr>
            <w:tcW w:w="3119" w:type="dxa"/>
            <w:shd w:val="clear" w:color="auto" w:fill="auto"/>
          </w:tcPr>
          <w:p w:rsidR="00DF0353" w:rsidRPr="008D3817" w:rsidRDefault="004C20D3"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eastAsia="AngsanaUPC" w:hAnsi="Times New Roman"/>
                <w:bCs/>
                <w:sz w:val="20"/>
                <w:szCs w:val="20"/>
                <w:lang w:eastAsia="lt-LT"/>
              </w:rPr>
              <w:t>Namų ūkių, esančių 30 Mbps ir spartesniu plačiajuosčio interneto ryšiu padengtoje šalies teritorijoje, dalis</w:t>
            </w:r>
          </w:p>
        </w:tc>
        <w:tc>
          <w:tcPr>
            <w:tcW w:w="850" w:type="dxa"/>
            <w:vMerge w:val="restart"/>
            <w:shd w:val="clear" w:color="auto" w:fill="auto"/>
          </w:tcPr>
          <w:p w:rsidR="00DF0353" w:rsidRPr="008D3817" w:rsidRDefault="00DF0353"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eastAsia="AngsanaUPC" w:hAnsi="Times New Roman"/>
                <w:bCs/>
                <w:sz w:val="20"/>
                <w:szCs w:val="20"/>
                <w:lang w:eastAsia="lt-LT"/>
              </w:rPr>
              <w:t>ERPF</w:t>
            </w:r>
          </w:p>
        </w:tc>
        <w:tc>
          <w:tcPr>
            <w:tcW w:w="1276" w:type="dxa"/>
            <w:vMerge w:val="restart"/>
            <w:shd w:val="clear" w:color="auto" w:fill="auto"/>
          </w:tcPr>
          <w:p w:rsidR="00DF0353" w:rsidRPr="008A4871" w:rsidRDefault="00600A14" w:rsidP="008D3817">
            <w:pPr>
              <w:widowControl w:val="0"/>
              <w:tabs>
                <w:tab w:val="left" w:pos="622"/>
              </w:tabs>
              <w:spacing w:after="0" w:line="240" w:lineRule="auto"/>
              <w:jc w:val="both"/>
              <w:rPr>
                <w:rFonts w:ascii="Times New Roman" w:eastAsia="AngsanaUPC" w:hAnsi="Times New Roman"/>
                <w:bCs/>
                <w:sz w:val="20"/>
                <w:szCs w:val="20"/>
                <w:lang w:eastAsia="lt-LT"/>
              </w:rPr>
            </w:pPr>
            <w:r>
              <w:rPr>
                <w:rFonts w:ascii="Times New Roman" w:eastAsia="AngsanaUPC" w:hAnsi="Times New Roman"/>
                <w:bCs/>
                <w:sz w:val="20"/>
                <w:szCs w:val="20"/>
                <w:lang w:eastAsia="lt-LT"/>
              </w:rPr>
              <w:t>180.287.284</w:t>
            </w:r>
          </w:p>
        </w:tc>
        <w:tc>
          <w:tcPr>
            <w:tcW w:w="1134" w:type="dxa"/>
            <w:vMerge w:val="restart"/>
            <w:shd w:val="clear" w:color="auto" w:fill="auto"/>
          </w:tcPr>
          <w:p w:rsidR="00DF0353" w:rsidRPr="008D3817" w:rsidRDefault="008A4871" w:rsidP="009C0228">
            <w:pPr>
              <w:widowControl w:val="0"/>
              <w:tabs>
                <w:tab w:val="left" w:pos="622"/>
              </w:tabs>
              <w:spacing w:after="0" w:line="240" w:lineRule="auto"/>
              <w:jc w:val="both"/>
              <w:rPr>
                <w:rFonts w:ascii="Times New Roman" w:eastAsia="AngsanaUPC" w:hAnsi="Times New Roman"/>
                <w:bCs/>
                <w:sz w:val="20"/>
                <w:szCs w:val="20"/>
                <w:lang w:eastAsia="lt-LT"/>
              </w:rPr>
            </w:pPr>
            <w:r>
              <w:rPr>
                <w:rFonts w:ascii="Times New Roman" w:eastAsia="AngsanaUPC" w:hAnsi="Times New Roman"/>
                <w:bCs/>
                <w:sz w:val="20"/>
                <w:szCs w:val="20"/>
                <w:lang w:eastAsia="lt-LT"/>
              </w:rPr>
              <w:t>2,</w:t>
            </w:r>
            <w:r w:rsidR="00600A14">
              <w:rPr>
                <w:rFonts w:ascii="Times New Roman" w:eastAsia="AngsanaUPC" w:hAnsi="Times New Roman"/>
                <w:bCs/>
                <w:sz w:val="20"/>
                <w:szCs w:val="20"/>
                <w:lang w:eastAsia="lt-LT"/>
              </w:rPr>
              <w:t>5</w:t>
            </w:r>
            <w:r w:rsidR="009C0228">
              <w:rPr>
                <w:rFonts w:ascii="Times New Roman" w:eastAsia="AngsanaUPC" w:hAnsi="Times New Roman"/>
                <w:bCs/>
                <w:sz w:val="20"/>
                <w:szCs w:val="20"/>
                <w:lang w:eastAsia="lt-LT"/>
              </w:rPr>
              <w:t>6</w:t>
            </w:r>
            <w:r w:rsidR="00DF0353" w:rsidRPr="008D3817">
              <w:rPr>
                <w:rFonts w:ascii="Times New Roman" w:eastAsia="AngsanaUPC" w:hAnsi="Times New Roman"/>
                <w:bCs/>
                <w:sz w:val="20"/>
                <w:szCs w:val="20"/>
                <w:lang w:eastAsia="lt-LT"/>
              </w:rPr>
              <w:t xml:space="preserve"> </w:t>
            </w:r>
            <w:r w:rsidR="00DF0353" w:rsidRPr="008D3817">
              <w:rPr>
                <w:rFonts w:ascii="Times New Roman" w:eastAsia="AngsanaUPC" w:hAnsi="Times New Roman"/>
                <w:bCs/>
                <w:sz w:val="20"/>
                <w:szCs w:val="20"/>
                <w:lang w:val="en-US" w:eastAsia="lt-LT"/>
              </w:rPr>
              <w:t>%</w:t>
            </w:r>
          </w:p>
        </w:tc>
      </w:tr>
      <w:tr w:rsidR="00DF0353" w:rsidRPr="0083442A" w:rsidTr="00E60EA1">
        <w:trPr>
          <w:trHeight w:val="196"/>
        </w:trPr>
        <w:tc>
          <w:tcPr>
            <w:tcW w:w="1668" w:type="dxa"/>
            <w:vMerge/>
            <w:shd w:val="clear" w:color="auto" w:fill="auto"/>
          </w:tcPr>
          <w:p w:rsidR="00DF0353" w:rsidRPr="008D3817" w:rsidRDefault="00DF0353" w:rsidP="008D3817">
            <w:pPr>
              <w:widowControl w:val="0"/>
              <w:tabs>
                <w:tab w:val="left" w:pos="622"/>
              </w:tabs>
              <w:spacing w:after="0" w:line="240" w:lineRule="auto"/>
              <w:jc w:val="both"/>
              <w:rPr>
                <w:rFonts w:ascii="Times New Roman" w:hAnsi="Times New Roman"/>
                <w:sz w:val="20"/>
                <w:szCs w:val="20"/>
              </w:rPr>
            </w:pPr>
          </w:p>
        </w:tc>
        <w:tc>
          <w:tcPr>
            <w:tcW w:w="1559" w:type="dxa"/>
            <w:vMerge/>
            <w:shd w:val="clear" w:color="auto" w:fill="auto"/>
          </w:tcPr>
          <w:p w:rsidR="00DF0353" w:rsidRPr="008D3817" w:rsidRDefault="00DF0353"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shd w:val="clear" w:color="auto" w:fill="auto"/>
          </w:tcPr>
          <w:p w:rsidR="00DF0353" w:rsidRPr="008D3817" w:rsidRDefault="00DF0353"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693" w:type="dxa"/>
            <w:shd w:val="clear" w:color="auto" w:fill="auto"/>
          </w:tcPr>
          <w:p w:rsidR="00DF0353" w:rsidRPr="008D3817" w:rsidRDefault="004C20D3"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eastAsia="AngsanaUPC" w:hAnsi="Times New Roman"/>
                <w:bCs/>
                <w:sz w:val="20"/>
                <w:szCs w:val="20"/>
                <w:lang w:eastAsia="lt-LT"/>
              </w:rPr>
              <w:t>Padidinti valstybės informacinės infrastruktūros ir išteklių apsaugos efektyvumą</w:t>
            </w:r>
          </w:p>
        </w:tc>
        <w:tc>
          <w:tcPr>
            <w:tcW w:w="3119" w:type="dxa"/>
            <w:shd w:val="clear" w:color="auto" w:fill="auto"/>
          </w:tcPr>
          <w:p w:rsidR="00DF0353" w:rsidRPr="008D3817" w:rsidRDefault="004C20D3"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eastAsia="AngsanaUPC" w:hAnsi="Times New Roman"/>
                <w:bCs/>
                <w:sz w:val="20"/>
                <w:szCs w:val="20"/>
                <w:lang w:eastAsia="lt-LT"/>
              </w:rPr>
              <w:t>Saugos reikalavimus atitinkančių valstybės informacinių išteklių ir kritinės informacinės infrastruktūros objektų dalis</w:t>
            </w:r>
          </w:p>
        </w:tc>
        <w:tc>
          <w:tcPr>
            <w:tcW w:w="850" w:type="dxa"/>
            <w:vMerge/>
            <w:shd w:val="clear" w:color="auto" w:fill="auto"/>
          </w:tcPr>
          <w:p w:rsidR="00DF0353" w:rsidRPr="008D3817" w:rsidRDefault="00DF0353"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276" w:type="dxa"/>
            <w:vMerge/>
            <w:shd w:val="clear" w:color="auto" w:fill="auto"/>
          </w:tcPr>
          <w:p w:rsidR="00DF0353" w:rsidRPr="008D3817" w:rsidRDefault="00DF0353"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shd w:val="clear" w:color="auto" w:fill="auto"/>
          </w:tcPr>
          <w:p w:rsidR="00DF0353" w:rsidRPr="008D3817" w:rsidRDefault="00DF0353"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DF0353" w:rsidRPr="0083442A" w:rsidTr="00DF0353">
        <w:trPr>
          <w:trHeight w:val="944"/>
        </w:trPr>
        <w:tc>
          <w:tcPr>
            <w:tcW w:w="1668" w:type="dxa"/>
            <w:vMerge/>
            <w:shd w:val="clear" w:color="auto" w:fill="auto"/>
          </w:tcPr>
          <w:p w:rsidR="00DF0353" w:rsidRPr="008D3817" w:rsidRDefault="00DF0353"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559" w:type="dxa"/>
            <w:vMerge/>
            <w:shd w:val="clear" w:color="auto" w:fill="auto"/>
          </w:tcPr>
          <w:p w:rsidR="00DF0353" w:rsidRPr="008D3817" w:rsidRDefault="00DF0353"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val="restart"/>
            <w:shd w:val="clear" w:color="auto" w:fill="auto"/>
          </w:tcPr>
          <w:p w:rsidR="00DF0353" w:rsidRPr="008D3817" w:rsidRDefault="00C91A76"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eastAsia="AngsanaUPC" w:hAnsi="Times New Roman"/>
                <w:bCs/>
                <w:sz w:val="20"/>
                <w:szCs w:val="20"/>
                <w:lang w:eastAsia="lt-LT"/>
              </w:rPr>
              <w:t>IRT</w:t>
            </w:r>
            <w:r w:rsidR="00DF0353" w:rsidRPr="008D3817">
              <w:rPr>
                <w:rFonts w:ascii="Times New Roman" w:eastAsia="AngsanaUPC" w:hAnsi="Times New Roman"/>
                <w:bCs/>
                <w:sz w:val="20"/>
                <w:szCs w:val="20"/>
                <w:lang w:eastAsia="lt-LT"/>
              </w:rPr>
              <w:t xml:space="preserve"> produktų ir paslaugų, elektroninės prekybos tobulin</w:t>
            </w:r>
            <w:r w:rsidR="00AA0722" w:rsidRPr="008D3817">
              <w:rPr>
                <w:rFonts w:ascii="Times New Roman" w:eastAsia="AngsanaUPC" w:hAnsi="Times New Roman"/>
                <w:bCs/>
                <w:sz w:val="20"/>
                <w:szCs w:val="20"/>
                <w:lang w:eastAsia="lt-LT"/>
              </w:rPr>
              <w:t>imas ir IRT paklausos didinimas</w:t>
            </w:r>
          </w:p>
        </w:tc>
        <w:tc>
          <w:tcPr>
            <w:tcW w:w="2693" w:type="dxa"/>
            <w:shd w:val="clear" w:color="auto" w:fill="auto"/>
          </w:tcPr>
          <w:p w:rsidR="00DF0353" w:rsidRPr="008D3817" w:rsidRDefault="004C20D3"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eastAsia="AngsanaUPC" w:hAnsi="Times New Roman"/>
                <w:bCs/>
                <w:sz w:val="20"/>
                <w:szCs w:val="20"/>
                <w:lang w:eastAsia="lt-LT"/>
              </w:rPr>
              <w:t>Padidinti viešojo sektoriaus informacijos pakartotinį panaudojimą verslo ir visuomenės poreikiams</w:t>
            </w:r>
          </w:p>
        </w:tc>
        <w:tc>
          <w:tcPr>
            <w:tcW w:w="3119" w:type="dxa"/>
            <w:shd w:val="clear" w:color="auto" w:fill="auto"/>
          </w:tcPr>
          <w:p w:rsidR="00DF0353" w:rsidRPr="008D3817" w:rsidRDefault="004C20D3"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eastAsia="AngsanaUPC" w:hAnsi="Times New Roman"/>
                <w:bCs/>
                <w:sz w:val="20"/>
                <w:szCs w:val="20"/>
                <w:lang w:eastAsia="lt-LT"/>
              </w:rPr>
              <w:t>Įmonių, kurios panaudoja viešojo sektoriaus informaciją savo komercinei veiklai, dalis</w:t>
            </w:r>
          </w:p>
        </w:tc>
        <w:tc>
          <w:tcPr>
            <w:tcW w:w="850" w:type="dxa"/>
            <w:vMerge/>
            <w:shd w:val="clear" w:color="auto" w:fill="auto"/>
          </w:tcPr>
          <w:p w:rsidR="00DF0353" w:rsidRPr="008D3817" w:rsidRDefault="00DF0353"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276" w:type="dxa"/>
            <w:vMerge/>
            <w:shd w:val="clear" w:color="auto" w:fill="auto"/>
          </w:tcPr>
          <w:p w:rsidR="00DF0353" w:rsidRPr="008D3817" w:rsidRDefault="00DF0353"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shd w:val="clear" w:color="auto" w:fill="auto"/>
          </w:tcPr>
          <w:p w:rsidR="00DF0353" w:rsidRPr="008D3817" w:rsidRDefault="00DF0353"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DF0353" w:rsidRPr="0083442A" w:rsidTr="009B7C0D">
        <w:trPr>
          <w:trHeight w:val="194"/>
        </w:trPr>
        <w:tc>
          <w:tcPr>
            <w:tcW w:w="1668" w:type="dxa"/>
            <w:vMerge/>
            <w:shd w:val="clear" w:color="auto" w:fill="auto"/>
          </w:tcPr>
          <w:p w:rsidR="00DF0353" w:rsidRPr="008D3817" w:rsidRDefault="00DF0353"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559" w:type="dxa"/>
            <w:vMerge/>
            <w:shd w:val="clear" w:color="auto" w:fill="auto"/>
          </w:tcPr>
          <w:p w:rsidR="00DF0353" w:rsidRPr="008D3817" w:rsidRDefault="00DF0353"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shd w:val="clear" w:color="auto" w:fill="auto"/>
          </w:tcPr>
          <w:p w:rsidR="00DF0353" w:rsidRPr="008D3817" w:rsidRDefault="00DF0353"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693" w:type="dxa"/>
            <w:shd w:val="clear" w:color="auto" w:fill="auto"/>
          </w:tcPr>
          <w:p w:rsidR="00DF0353" w:rsidRPr="008D3817" w:rsidRDefault="004C20D3"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eastAsia="AngsanaUPC" w:hAnsi="Times New Roman"/>
                <w:bCs/>
                <w:sz w:val="20"/>
                <w:szCs w:val="20"/>
                <w:lang w:eastAsia="lt-LT"/>
              </w:rPr>
              <w:t xml:space="preserve">Padidinti IRT paklausą ir naudojimą </w:t>
            </w:r>
            <w:proofErr w:type="gramStart"/>
            <w:r w:rsidRPr="008D3817">
              <w:rPr>
                <w:rFonts w:ascii="Times New Roman" w:eastAsia="AngsanaUPC" w:hAnsi="Times New Roman"/>
                <w:bCs/>
                <w:sz w:val="20"/>
                <w:szCs w:val="20"/>
                <w:lang w:eastAsia="lt-LT"/>
              </w:rPr>
              <w:t>gyventojų tarpe</w:t>
            </w:r>
            <w:proofErr w:type="gramEnd"/>
          </w:p>
        </w:tc>
        <w:tc>
          <w:tcPr>
            <w:tcW w:w="3119" w:type="dxa"/>
            <w:shd w:val="clear" w:color="auto" w:fill="auto"/>
          </w:tcPr>
          <w:p w:rsidR="00DF0353" w:rsidRPr="008D3817" w:rsidRDefault="004C20D3"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eastAsia="AngsanaUPC" w:hAnsi="Times New Roman"/>
                <w:bCs/>
                <w:sz w:val="20"/>
                <w:szCs w:val="20"/>
                <w:lang w:eastAsia="lt-LT"/>
              </w:rPr>
              <w:t>Gyventojų, kurie nuolat naudojasi internetu, dalis</w:t>
            </w:r>
          </w:p>
        </w:tc>
        <w:tc>
          <w:tcPr>
            <w:tcW w:w="850" w:type="dxa"/>
            <w:vMerge/>
            <w:shd w:val="clear" w:color="auto" w:fill="auto"/>
          </w:tcPr>
          <w:p w:rsidR="00DF0353" w:rsidRPr="008D3817" w:rsidRDefault="00DF0353"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276" w:type="dxa"/>
            <w:vMerge/>
            <w:shd w:val="clear" w:color="auto" w:fill="auto"/>
          </w:tcPr>
          <w:p w:rsidR="00DF0353" w:rsidRPr="008D3817" w:rsidRDefault="00DF0353"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shd w:val="clear" w:color="auto" w:fill="auto"/>
          </w:tcPr>
          <w:p w:rsidR="00DF0353" w:rsidRPr="008D3817" w:rsidRDefault="00DF0353"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DF0353" w:rsidRPr="0083442A" w:rsidTr="009B7C0D">
        <w:trPr>
          <w:trHeight w:val="501"/>
        </w:trPr>
        <w:tc>
          <w:tcPr>
            <w:tcW w:w="1668" w:type="dxa"/>
            <w:vMerge/>
            <w:shd w:val="clear" w:color="auto" w:fill="auto"/>
          </w:tcPr>
          <w:p w:rsidR="00DF0353" w:rsidRPr="008D3817" w:rsidRDefault="00DF0353"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559" w:type="dxa"/>
            <w:vMerge/>
            <w:shd w:val="clear" w:color="auto" w:fill="auto"/>
          </w:tcPr>
          <w:p w:rsidR="00DF0353" w:rsidRPr="008D3817" w:rsidRDefault="00DF0353"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val="restart"/>
            <w:shd w:val="clear" w:color="auto" w:fill="auto"/>
          </w:tcPr>
          <w:p w:rsidR="00DF0353" w:rsidRPr="008D3817" w:rsidRDefault="00DF0353"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eastAsia="AngsanaUPC" w:hAnsi="Times New Roman"/>
                <w:bCs/>
                <w:sz w:val="20"/>
                <w:szCs w:val="20"/>
                <w:lang w:eastAsia="lt-LT"/>
              </w:rPr>
              <w:t>Taikomųjų IRT e. valdžios, e. mokymosi, e. įtraukties, e. kultūros ir e.</w:t>
            </w:r>
            <w:r w:rsidR="00305253" w:rsidRPr="008D3817">
              <w:rPr>
                <w:rFonts w:ascii="Times New Roman" w:eastAsia="AngsanaUPC" w:hAnsi="Times New Roman"/>
                <w:bCs/>
                <w:sz w:val="20"/>
                <w:szCs w:val="20"/>
                <w:lang w:eastAsia="lt-LT"/>
              </w:rPr>
              <w:t> sveikatos programų tobulinimas</w:t>
            </w:r>
          </w:p>
        </w:tc>
        <w:tc>
          <w:tcPr>
            <w:tcW w:w="2693" w:type="dxa"/>
            <w:vMerge w:val="restart"/>
            <w:shd w:val="clear" w:color="auto" w:fill="auto"/>
          </w:tcPr>
          <w:p w:rsidR="00DF0353" w:rsidRPr="008D3817" w:rsidRDefault="004C20D3"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eastAsia="AngsanaUPC" w:hAnsi="Times New Roman"/>
                <w:bCs/>
                <w:sz w:val="20"/>
                <w:szCs w:val="20"/>
                <w:lang w:eastAsia="lt-LT"/>
              </w:rPr>
              <w:t xml:space="preserve">Padidinti elektroninių viešųjų </w:t>
            </w:r>
            <w:proofErr w:type="gramStart"/>
            <w:r w:rsidRPr="008D3817">
              <w:rPr>
                <w:rFonts w:ascii="Times New Roman" w:eastAsia="AngsanaUPC" w:hAnsi="Times New Roman"/>
                <w:bCs/>
                <w:sz w:val="20"/>
                <w:szCs w:val="20"/>
                <w:lang w:eastAsia="lt-LT"/>
              </w:rPr>
              <w:t>ir administracinių paslaugų prieinamumą ir kokybę</w:t>
            </w:r>
            <w:proofErr w:type="gramEnd"/>
          </w:p>
        </w:tc>
        <w:tc>
          <w:tcPr>
            <w:tcW w:w="3119" w:type="dxa"/>
            <w:shd w:val="clear" w:color="auto" w:fill="auto"/>
            <w:vAlign w:val="center"/>
          </w:tcPr>
          <w:p w:rsidR="00DF0353" w:rsidRPr="008D3817" w:rsidRDefault="004C20D3"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eastAsia="AngsanaUPC" w:hAnsi="Times New Roman"/>
                <w:bCs/>
                <w:sz w:val="20"/>
                <w:szCs w:val="20"/>
                <w:lang w:eastAsia="lt-LT"/>
              </w:rPr>
              <w:t>Gyventojų, kurie naudojasi elektroniniu būdu teikiamomis viešosiomis ir administracinėmis paslaugomis, dalis</w:t>
            </w:r>
          </w:p>
        </w:tc>
        <w:tc>
          <w:tcPr>
            <w:tcW w:w="850" w:type="dxa"/>
            <w:vMerge/>
            <w:shd w:val="clear" w:color="auto" w:fill="auto"/>
          </w:tcPr>
          <w:p w:rsidR="00DF0353" w:rsidRPr="008D3817" w:rsidRDefault="00DF0353"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276" w:type="dxa"/>
            <w:vMerge/>
            <w:shd w:val="clear" w:color="auto" w:fill="auto"/>
          </w:tcPr>
          <w:p w:rsidR="00DF0353" w:rsidRPr="008D3817" w:rsidRDefault="00DF0353"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shd w:val="clear" w:color="auto" w:fill="auto"/>
          </w:tcPr>
          <w:p w:rsidR="00DF0353" w:rsidRPr="008D3817" w:rsidRDefault="00DF0353"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DF0353" w:rsidRPr="0083442A" w:rsidTr="009B7C0D">
        <w:trPr>
          <w:trHeight w:val="651"/>
        </w:trPr>
        <w:tc>
          <w:tcPr>
            <w:tcW w:w="1668" w:type="dxa"/>
            <w:vMerge/>
            <w:shd w:val="clear" w:color="auto" w:fill="auto"/>
          </w:tcPr>
          <w:p w:rsidR="00DF0353" w:rsidRPr="008D3817" w:rsidRDefault="00DF0353"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559" w:type="dxa"/>
            <w:vMerge/>
            <w:shd w:val="clear" w:color="auto" w:fill="auto"/>
          </w:tcPr>
          <w:p w:rsidR="00DF0353" w:rsidRPr="008D3817" w:rsidRDefault="00DF0353"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shd w:val="clear" w:color="auto" w:fill="auto"/>
          </w:tcPr>
          <w:p w:rsidR="00DF0353" w:rsidRPr="008D3817" w:rsidRDefault="00DF0353"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693" w:type="dxa"/>
            <w:vMerge/>
            <w:shd w:val="clear" w:color="auto" w:fill="auto"/>
          </w:tcPr>
          <w:p w:rsidR="00DF0353" w:rsidRPr="008D3817" w:rsidRDefault="00DF0353"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3119" w:type="dxa"/>
            <w:shd w:val="clear" w:color="auto" w:fill="auto"/>
            <w:vAlign w:val="center"/>
          </w:tcPr>
          <w:p w:rsidR="00DF0353" w:rsidRPr="008D3817" w:rsidRDefault="004C20D3"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eastAsia="AngsanaUPC" w:hAnsi="Times New Roman"/>
                <w:bCs/>
                <w:sz w:val="20"/>
                <w:szCs w:val="20"/>
                <w:lang w:eastAsia="lt-LT"/>
              </w:rPr>
              <w:t>Valstybės ir savivaldybių institucijų ir įstaigų, kurios naudojasi Valstybės informacinių išteklių sąveikumo platformos paslaugomis, dalis</w:t>
            </w:r>
          </w:p>
        </w:tc>
        <w:tc>
          <w:tcPr>
            <w:tcW w:w="850" w:type="dxa"/>
            <w:vMerge/>
            <w:shd w:val="clear" w:color="auto" w:fill="auto"/>
          </w:tcPr>
          <w:p w:rsidR="00DF0353" w:rsidRPr="008D3817" w:rsidRDefault="00DF0353"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276" w:type="dxa"/>
            <w:vMerge/>
            <w:shd w:val="clear" w:color="auto" w:fill="auto"/>
          </w:tcPr>
          <w:p w:rsidR="00DF0353" w:rsidRPr="008D3817" w:rsidRDefault="00DF0353"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shd w:val="clear" w:color="auto" w:fill="auto"/>
          </w:tcPr>
          <w:p w:rsidR="00DF0353" w:rsidRPr="008D3817" w:rsidRDefault="00DF0353"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DF0353" w:rsidRPr="0083442A" w:rsidTr="0070076F">
        <w:trPr>
          <w:trHeight w:val="582"/>
        </w:trPr>
        <w:tc>
          <w:tcPr>
            <w:tcW w:w="1668" w:type="dxa"/>
            <w:vMerge w:val="restart"/>
            <w:shd w:val="clear" w:color="auto" w:fill="auto"/>
          </w:tcPr>
          <w:p w:rsidR="00DF0353" w:rsidRPr="008D3817" w:rsidRDefault="00DF0353"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eastAsia="AngsanaUPC" w:hAnsi="Times New Roman"/>
                <w:bCs/>
                <w:sz w:val="20"/>
                <w:szCs w:val="20"/>
                <w:lang w:eastAsia="lt-LT"/>
              </w:rPr>
              <w:t>Smulkiojo ir vidutinio verslo konkuren</w:t>
            </w:r>
            <w:r w:rsidR="00901C8F">
              <w:rPr>
                <w:rFonts w:ascii="Times New Roman" w:eastAsia="AngsanaUPC" w:hAnsi="Times New Roman"/>
                <w:bCs/>
                <w:sz w:val="20"/>
                <w:szCs w:val="20"/>
                <w:lang w:eastAsia="lt-LT"/>
              </w:rPr>
              <w:t>-</w:t>
            </w:r>
            <w:r w:rsidRPr="008D3817">
              <w:rPr>
                <w:rFonts w:ascii="Times New Roman" w:eastAsia="AngsanaUPC" w:hAnsi="Times New Roman"/>
                <w:bCs/>
                <w:sz w:val="20"/>
                <w:szCs w:val="20"/>
                <w:lang w:eastAsia="lt-LT"/>
              </w:rPr>
              <w:t>cingumo skatinimas</w:t>
            </w:r>
          </w:p>
        </w:tc>
        <w:tc>
          <w:tcPr>
            <w:tcW w:w="1559" w:type="dxa"/>
            <w:vMerge w:val="restart"/>
            <w:shd w:val="clear" w:color="auto" w:fill="auto"/>
          </w:tcPr>
          <w:p w:rsidR="00DF0353" w:rsidRPr="008D3817" w:rsidRDefault="00DF0353" w:rsidP="00901C8F">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eastAsia="AngsanaUPC" w:hAnsi="Times New Roman"/>
                <w:bCs/>
                <w:sz w:val="20"/>
                <w:szCs w:val="20"/>
                <w:lang w:eastAsia="lt-LT"/>
              </w:rPr>
              <w:t xml:space="preserve">Smulkių ir vidutinių įmonių, žemės ūkio sektoriaus (EŽŪFKP) bei žuvininkystės ir </w:t>
            </w:r>
            <w:r w:rsidRPr="008D3817">
              <w:rPr>
                <w:rFonts w:ascii="Times New Roman" w:eastAsia="AngsanaUPC" w:hAnsi="Times New Roman"/>
                <w:bCs/>
                <w:sz w:val="20"/>
                <w:szCs w:val="20"/>
                <w:lang w:eastAsia="lt-LT"/>
              </w:rPr>
              <w:lastRenderedPageBreak/>
              <w:t xml:space="preserve">akvakultūros sektoriaus </w:t>
            </w:r>
            <w:proofErr w:type="gramStart"/>
            <w:r w:rsidRPr="008D3817">
              <w:rPr>
                <w:rFonts w:ascii="Times New Roman" w:eastAsia="AngsanaUPC" w:hAnsi="Times New Roman"/>
                <w:bCs/>
                <w:sz w:val="20"/>
                <w:szCs w:val="20"/>
                <w:lang w:eastAsia="lt-LT"/>
              </w:rPr>
              <w:t>(</w:t>
            </w:r>
            <w:proofErr w:type="gramEnd"/>
          </w:p>
        </w:tc>
        <w:tc>
          <w:tcPr>
            <w:tcW w:w="2835" w:type="dxa"/>
            <w:shd w:val="clear" w:color="auto" w:fill="auto"/>
          </w:tcPr>
          <w:p w:rsidR="00DF0353" w:rsidRPr="008D3817" w:rsidRDefault="00DF0353" w:rsidP="008D3817">
            <w:pPr>
              <w:spacing w:after="0" w:line="240" w:lineRule="auto"/>
              <w:jc w:val="both"/>
              <w:rPr>
                <w:rFonts w:ascii="Times New Roman" w:hAnsi="Times New Roman"/>
                <w:sz w:val="20"/>
                <w:szCs w:val="20"/>
              </w:rPr>
            </w:pPr>
            <w:r w:rsidRPr="008D3817">
              <w:rPr>
                <w:rFonts w:ascii="Times New Roman" w:hAnsi="Times New Roman"/>
                <w:sz w:val="20"/>
                <w:szCs w:val="20"/>
              </w:rPr>
              <w:lastRenderedPageBreak/>
              <w:t>Verslumo, ypač sudarant palankesnes sąlygas pritaikyti naujas idėjas ekonominei veiklai, ir naujų įmonių, įskaitant verslo inkuba</w:t>
            </w:r>
            <w:r w:rsidR="00305253" w:rsidRPr="008D3817">
              <w:rPr>
                <w:rFonts w:ascii="Times New Roman" w:hAnsi="Times New Roman"/>
                <w:sz w:val="20"/>
                <w:szCs w:val="20"/>
              </w:rPr>
              <w:t>torius, steigimo skatinimas</w:t>
            </w:r>
          </w:p>
        </w:tc>
        <w:tc>
          <w:tcPr>
            <w:tcW w:w="2693" w:type="dxa"/>
            <w:shd w:val="clear" w:color="auto" w:fill="auto"/>
          </w:tcPr>
          <w:p w:rsidR="00DF0353" w:rsidRPr="008D3817" w:rsidRDefault="00DF0353"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eastAsia="AngsanaUPC" w:hAnsi="Times New Roman"/>
                <w:bCs/>
                <w:sz w:val="20"/>
                <w:szCs w:val="20"/>
                <w:lang w:eastAsia="lt-LT"/>
              </w:rPr>
              <w:t>Padidinti verslumo lygį</w:t>
            </w:r>
          </w:p>
        </w:tc>
        <w:tc>
          <w:tcPr>
            <w:tcW w:w="3119" w:type="dxa"/>
            <w:shd w:val="clear" w:color="auto" w:fill="auto"/>
          </w:tcPr>
          <w:p w:rsidR="00DF0353" w:rsidRPr="008D3817" w:rsidRDefault="004C20D3" w:rsidP="008D3817">
            <w:pPr>
              <w:widowControl w:val="0"/>
              <w:tabs>
                <w:tab w:val="left" w:pos="622"/>
              </w:tabs>
              <w:spacing w:after="0" w:line="240" w:lineRule="auto"/>
              <w:jc w:val="both"/>
              <w:rPr>
                <w:rFonts w:ascii="Times New Roman" w:eastAsia="AngsanaUPC" w:hAnsi="Times New Roman"/>
                <w:b/>
                <w:bCs/>
                <w:sz w:val="20"/>
                <w:szCs w:val="20"/>
                <w:lang w:eastAsia="lt-LT"/>
              </w:rPr>
            </w:pPr>
            <w:r w:rsidRPr="008D3817">
              <w:rPr>
                <w:rFonts w:ascii="Times New Roman" w:eastAsia="AngsanaUPC" w:hAnsi="Times New Roman"/>
                <w:bCs/>
                <w:sz w:val="20"/>
                <w:szCs w:val="20"/>
                <w:lang w:eastAsia="lt-LT"/>
              </w:rPr>
              <w:t>Verslumo lygis: įmonių ir fizinių asmenų, tenkančių 1000 gyventojų, skaičius</w:t>
            </w:r>
          </w:p>
        </w:tc>
        <w:tc>
          <w:tcPr>
            <w:tcW w:w="850" w:type="dxa"/>
            <w:vMerge w:val="restart"/>
            <w:shd w:val="clear" w:color="auto" w:fill="auto"/>
          </w:tcPr>
          <w:p w:rsidR="00DF0353" w:rsidRPr="008D3817" w:rsidRDefault="00DF0353"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eastAsia="AngsanaUPC" w:hAnsi="Times New Roman"/>
                <w:bCs/>
                <w:sz w:val="20"/>
                <w:szCs w:val="20"/>
                <w:lang w:eastAsia="lt-LT"/>
              </w:rPr>
              <w:t>ERPF</w:t>
            </w:r>
          </w:p>
        </w:tc>
        <w:tc>
          <w:tcPr>
            <w:tcW w:w="1276" w:type="dxa"/>
            <w:vMerge w:val="restart"/>
            <w:shd w:val="clear" w:color="auto" w:fill="auto"/>
          </w:tcPr>
          <w:p w:rsidR="00DF0353" w:rsidRPr="008A4871" w:rsidRDefault="00600A14" w:rsidP="008D3817">
            <w:pPr>
              <w:widowControl w:val="0"/>
              <w:tabs>
                <w:tab w:val="left" w:pos="622"/>
              </w:tabs>
              <w:spacing w:after="0" w:line="240" w:lineRule="auto"/>
              <w:jc w:val="both"/>
              <w:rPr>
                <w:rFonts w:ascii="Times New Roman" w:eastAsia="AngsanaUPC" w:hAnsi="Times New Roman"/>
                <w:bCs/>
                <w:sz w:val="20"/>
                <w:szCs w:val="20"/>
                <w:lang w:eastAsia="lt-LT"/>
              </w:rPr>
            </w:pPr>
            <w:r>
              <w:rPr>
                <w:rFonts w:ascii="Times New Roman" w:eastAsia="AngsanaUPC" w:hAnsi="Times New Roman"/>
                <w:bCs/>
                <w:sz w:val="20"/>
                <w:szCs w:val="20"/>
                <w:lang w:eastAsia="lt-LT"/>
              </w:rPr>
              <w:t>566.703.253</w:t>
            </w:r>
          </w:p>
        </w:tc>
        <w:tc>
          <w:tcPr>
            <w:tcW w:w="1134" w:type="dxa"/>
            <w:vMerge w:val="restart"/>
            <w:shd w:val="clear" w:color="auto" w:fill="auto"/>
          </w:tcPr>
          <w:p w:rsidR="00DF0353" w:rsidRPr="008D3817" w:rsidRDefault="008A4871" w:rsidP="009C0228">
            <w:pPr>
              <w:widowControl w:val="0"/>
              <w:tabs>
                <w:tab w:val="left" w:pos="622"/>
              </w:tabs>
              <w:spacing w:after="0" w:line="240" w:lineRule="auto"/>
              <w:jc w:val="both"/>
              <w:rPr>
                <w:rFonts w:ascii="Times New Roman" w:eastAsia="AngsanaUPC" w:hAnsi="Times New Roman"/>
                <w:bCs/>
                <w:sz w:val="20"/>
                <w:szCs w:val="20"/>
                <w:lang w:eastAsia="lt-LT"/>
              </w:rPr>
            </w:pPr>
            <w:r>
              <w:rPr>
                <w:rFonts w:ascii="Times New Roman" w:eastAsia="AngsanaUPC" w:hAnsi="Times New Roman"/>
                <w:bCs/>
                <w:sz w:val="20"/>
                <w:szCs w:val="20"/>
                <w:lang w:eastAsia="lt-LT"/>
              </w:rPr>
              <w:t>8,</w:t>
            </w:r>
            <w:r w:rsidR="009C0228">
              <w:rPr>
                <w:rFonts w:ascii="Times New Roman" w:eastAsia="AngsanaUPC" w:hAnsi="Times New Roman"/>
                <w:bCs/>
                <w:sz w:val="20"/>
                <w:szCs w:val="20"/>
                <w:lang w:eastAsia="lt-LT"/>
              </w:rPr>
              <w:t>06</w:t>
            </w:r>
            <w:r w:rsidR="00DF0353" w:rsidRPr="008D3817">
              <w:rPr>
                <w:rFonts w:ascii="Times New Roman" w:eastAsia="AngsanaUPC" w:hAnsi="Times New Roman"/>
                <w:bCs/>
                <w:sz w:val="20"/>
                <w:szCs w:val="20"/>
                <w:lang w:eastAsia="lt-LT"/>
              </w:rPr>
              <w:t xml:space="preserve"> </w:t>
            </w:r>
            <w:r w:rsidR="00DF0353" w:rsidRPr="008D3817">
              <w:rPr>
                <w:rFonts w:ascii="Times New Roman" w:eastAsia="AngsanaUPC" w:hAnsi="Times New Roman"/>
                <w:bCs/>
                <w:sz w:val="20"/>
                <w:szCs w:val="20"/>
                <w:lang w:val="en-US" w:eastAsia="lt-LT"/>
              </w:rPr>
              <w:t>%</w:t>
            </w:r>
          </w:p>
        </w:tc>
      </w:tr>
      <w:tr w:rsidR="00DF0353" w:rsidRPr="0083442A" w:rsidTr="009B7C0D">
        <w:trPr>
          <w:trHeight w:val="920"/>
        </w:trPr>
        <w:tc>
          <w:tcPr>
            <w:tcW w:w="1668" w:type="dxa"/>
            <w:vMerge/>
            <w:shd w:val="clear" w:color="auto" w:fill="auto"/>
          </w:tcPr>
          <w:p w:rsidR="00DF0353" w:rsidRPr="008D3817" w:rsidRDefault="00DF0353"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559" w:type="dxa"/>
            <w:vMerge/>
            <w:shd w:val="clear" w:color="auto" w:fill="auto"/>
          </w:tcPr>
          <w:p w:rsidR="00DF0353" w:rsidRPr="008D3817" w:rsidRDefault="00DF0353"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shd w:val="clear" w:color="auto" w:fill="auto"/>
          </w:tcPr>
          <w:p w:rsidR="00DF0353" w:rsidRPr="008D3817" w:rsidRDefault="00DF0353" w:rsidP="008D3817">
            <w:pPr>
              <w:spacing w:after="0" w:line="240" w:lineRule="auto"/>
              <w:jc w:val="both"/>
              <w:rPr>
                <w:rFonts w:ascii="Times New Roman" w:hAnsi="Times New Roman"/>
                <w:sz w:val="20"/>
                <w:szCs w:val="20"/>
              </w:rPr>
            </w:pPr>
            <w:r w:rsidRPr="008D3817">
              <w:rPr>
                <w:rFonts w:ascii="Times New Roman" w:hAnsi="Times New Roman"/>
                <w:sz w:val="20"/>
                <w:szCs w:val="20"/>
              </w:rPr>
              <w:t xml:space="preserve">Naujų </w:t>
            </w:r>
            <w:r w:rsidR="000E7985" w:rsidRPr="008D3817">
              <w:rPr>
                <w:rFonts w:ascii="Times New Roman" w:hAnsi="Times New Roman"/>
                <w:sz w:val="20"/>
                <w:szCs w:val="20"/>
              </w:rPr>
              <w:t>MVĮ</w:t>
            </w:r>
            <w:r w:rsidRPr="008D3817">
              <w:rPr>
                <w:rFonts w:ascii="Times New Roman" w:hAnsi="Times New Roman"/>
                <w:sz w:val="20"/>
                <w:szCs w:val="20"/>
              </w:rPr>
              <w:t xml:space="preserve"> verslo modelių, ypač internacionaliz</w:t>
            </w:r>
            <w:r w:rsidR="00305253" w:rsidRPr="008D3817">
              <w:rPr>
                <w:rFonts w:ascii="Times New Roman" w:hAnsi="Times New Roman"/>
                <w:sz w:val="20"/>
                <w:szCs w:val="20"/>
              </w:rPr>
              <w:t>avimo, kūrimas ir įgyvendinimas</w:t>
            </w:r>
          </w:p>
        </w:tc>
        <w:tc>
          <w:tcPr>
            <w:tcW w:w="2693" w:type="dxa"/>
            <w:shd w:val="clear" w:color="auto" w:fill="auto"/>
          </w:tcPr>
          <w:p w:rsidR="00DF0353" w:rsidRPr="008D3817" w:rsidRDefault="0091347B" w:rsidP="008D3817">
            <w:pPr>
              <w:widowControl w:val="0"/>
              <w:tabs>
                <w:tab w:val="left" w:pos="622"/>
              </w:tabs>
              <w:spacing w:after="0" w:line="240" w:lineRule="auto"/>
              <w:jc w:val="both"/>
              <w:rPr>
                <w:rFonts w:ascii="Times New Roman" w:eastAsia="AngsanaUPC" w:hAnsi="Times New Roman"/>
                <w:bCs/>
                <w:sz w:val="20"/>
                <w:szCs w:val="20"/>
                <w:lang w:eastAsia="lt-LT"/>
              </w:rPr>
            </w:pPr>
            <w:r>
              <w:rPr>
                <w:rFonts w:ascii="Times New Roman" w:eastAsia="AngsanaUPC" w:hAnsi="Times New Roman"/>
                <w:bCs/>
                <w:sz w:val="20"/>
                <w:szCs w:val="20"/>
                <w:lang w:eastAsia="lt-LT"/>
              </w:rPr>
              <w:t>Padidinti MVĮ tarptautiškumą</w:t>
            </w:r>
          </w:p>
        </w:tc>
        <w:tc>
          <w:tcPr>
            <w:tcW w:w="3119" w:type="dxa"/>
            <w:shd w:val="clear" w:color="auto" w:fill="auto"/>
          </w:tcPr>
          <w:p w:rsidR="00DF0353" w:rsidRPr="008D3817" w:rsidRDefault="004C20D3" w:rsidP="008D3817">
            <w:pPr>
              <w:widowControl w:val="0"/>
              <w:tabs>
                <w:tab w:val="left" w:pos="622"/>
              </w:tabs>
              <w:spacing w:after="0" w:line="240" w:lineRule="auto"/>
              <w:jc w:val="both"/>
              <w:rPr>
                <w:rFonts w:ascii="Times New Roman" w:hAnsi="Times New Roman"/>
                <w:sz w:val="20"/>
                <w:szCs w:val="20"/>
              </w:rPr>
            </w:pPr>
            <w:r w:rsidRPr="008D3817">
              <w:rPr>
                <w:rFonts w:ascii="Times New Roman" w:eastAsia="AngsanaUPC" w:hAnsi="Times New Roman"/>
                <w:bCs/>
                <w:sz w:val="20"/>
                <w:szCs w:val="20"/>
                <w:lang w:eastAsia="lt-LT"/>
              </w:rPr>
              <w:t>MVĮ lietuviškos kilmės prekių eksporto dalis nuo BVP</w:t>
            </w:r>
          </w:p>
        </w:tc>
        <w:tc>
          <w:tcPr>
            <w:tcW w:w="850" w:type="dxa"/>
            <w:vMerge/>
            <w:shd w:val="clear" w:color="auto" w:fill="auto"/>
          </w:tcPr>
          <w:p w:rsidR="00DF0353" w:rsidRPr="008D3817" w:rsidRDefault="00DF0353"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276" w:type="dxa"/>
            <w:vMerge/>
            <w:shd w:val="clear" w:color="auto" w:fill="auto"/>
          </w:tcPr>
          <w:p w:rsidR="00DF0353" w:rsidRPr="008D3817" w:rsidRDefault="00DF0353"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shd w:val="clear" w:color="auto" w:fill="auto"/>
          </w:tcPr>
          <w:p w:rsidR="00DF0353" w:rsidRPr="008D3817" w:rsidRDefault="00DF0353"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DF0353" w:rsidRPr="0083442A" w:rsidTr="00DF0353">
        <w:trPr>
          <w:trHeight w:val="473"/>
        </w:trPr>
        <w:tc>
          <w:tcPr>
            <w:tcW w:w="1668" w:type="dxa"/>
            <w:vMerge/>
            <w:shd w:val="clear" w:color="auto" w:fill="auto"/>
          </w:tcPr>
          <w:p w:rsidR="00DF0353" w:rsidRPr="008D3817" w:rsidRDefault="00DF0353"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559" w:type="dxa"/>
            <w:vMerge/>
            <w:shd w:val="clear" w:color="auto" w:fill="auto"/>
          </w:tcPr>
          <w:p w:rsidR="00DF0353" w:rsidRPr="008D3817" w:rsidRDefault="00DF0353"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val="restart"/>
            <w:shd w:val="clear" w:color="auto" w:fill="auto"/>
          </w:tcPr>
          <w:p w:rsidR="00DF0353" w:rsidRPr="008D3817" w:rsidRDefault="00901C8F" w:rsidP="008D3817">
            <w:pPr>
              <w:spacing w:after="0" w:line="240" w:lineRule="auto"/>
              <w:jc w:val="both"/>
              <w:rPr>
                <w:rFonts w:ascii="Times New Roman" w:hAnsi="Times New Roman"/>
                <w:sz w:val="20"/>
                <w:szCs w:val="20"/>
              </w:rPr>
            </w:pPr>
            <w:r w:rsidRPr="008D3817">
              <w:rPr>
                <w:rFonts w:ascii="Times New Roman" w:eastAsia="AngsanaUPC" w:hAnsi="Times New Roman"/>
                <w:bCs/>
                <w:sz w:val="20"/>
                <w:szCs w:val="20"/>
                <w:lang w:eastAsia="lt-LT"/>
              </w:rPr>
              <w:t>E</w:t>
            </w:r>
            <w:r>
              <w:rPr>
                <w:rFonts w:ascii="Times New Roman" w:eastAsia="AngsanaUPC" w:hAnsi="Times New Roman"/>
                <w:bCs/>
                <w:sz w:val="20"/>
                <w:szCs w:val="20"/>
                <w:lang w:eastAsia="lt-LT"/>
              </w:rPr>
              <w:t>JRŽF) konkurencingumo didinimas</w:t>
            </w:r>
            <w:r w:rsidRPr="008D3817">
              <w:rPr>
                <w:rFonts w:ascii="Times New Roman" w:hAnsi="Times New Roman"/>
                <w:sz w:val="20"/>
                <w:szCs w:val="20"/>
              </w:rPr>
              <w:t xml:space="preserve"> </w:t>
            </w:r>
            <w:r w:rsidR="000E7985" w:rsidRPr="008D3817">
              <w:rPr>
                <w:rFonts w:ascii="Times New Roman" w:hAnsi="Times New Roman"/>
                <w:sz w:val="20"/>
                <w:szCs w:val="20"/>
              </w:rPr>
              <w:t>MVĮ</w:t>
            </w:r>
            <w:r w:rsidR="00DF0353" w:rsidRPr="008D3817">
              <w:rPr>
                <w:rFonts w:ascii="Times New Roman" w:hAnsi="Times New Roman"/>
                <w:sz w:val="20"/>
                <w:szCs w:val="20"/>
              </w:rPr>
              <w:t xml:space="preserve"> gebėjimų dalyvauti ekonomikos augimo ir inovacijų </w:t>
            </w:r>
            <w:r w:rsidR="00AA0722" w:rsidRPr="008D3817">
              <w:rPr>
                <w:rFonts w:ascii="Times New Roman" w:eastAsia="Times New Roman" w:hAnsi="Times New Roman"/>
                <w:sz w:val="20"/>
                <w:szCs w:val="20"/>
                <w:lang w:eastAsia="lt-LT"/>
              </w:rPr>
              <w:t xml:space="preserve">diegimo </w:t>
            </w:r>
            <w:r w:rsidR="00305253" w:rsidRPr="008D3817">
              <w:rPr>
                <w:rFonts w:ascii="Times New Roman" w:hAnsi="Times New Roman"/>
                <w:sz w:val="20"/>
                <w:szCs w:val="20"/>
              </w:rPr>
              <w:t>procesuose rėmimas</w:t>
            </w:r>
          </w:p>
        </w:tc>
        <w:tc>
          <w:tcPr>
            <w:tcW w:w="2693" w:type="dxa"/>
            <w:shd w:val="clear" w:color="auto" w:fill="auto"/>
          </w:tcPr>
          <w:p w:rsidR="00DF0353" w:rsidRPr="008D3817" w:rsidRDefault="00DF0353"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eastAsia="AngsanaUPC" w:hAnsi="Times New Roman"/>
                <w:bCs/>
                <w:sz w:val="20"/>
                <w:szCs w:val="20"/>
                <w:lang w:eastAsia="lt-LT"/>
              </w:rPr>
              <w:t>Padidinti MVĮ produktyvumą</w:t>
            </w:r>
          </w:p>
        </w:tc>
        <w:tc>
          <w:tcPr>
            <w:tcW w:w="3119" w:type="dxa"/>
            <w:shd w:val="clear" w:color="auto" w:fill="auto"/>
          </w:tcPr>
          <w:p w:rsidR="00DF0353" w:rsidRPr="008D3817" w:rsidRDefault="004C20D3"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eastAsia="AngsanaUPC" w:hAnsi="Times New Roman"/>
                <w:bCs/>
                <w:sz w:val="20"/>
                <w:szCs w:val="20"/>
                <w:lang w:eastAsia="lt-LT"/>
              </w:rPr>
              <w:t>Pridėtinė vertė gamybos sąnaudomis, sukurta MVĮ, tenkanti vienam darbuotojui</w:t>
            </w:r>
          </w:p>
        </w:tc>
        <w:tc>
          <w:tcPr>
            <w:tcW w:w="850" w:type="dxa"/>
            <w:vMerge/>
            <w:shd w:val="clear" w:color="auto" w:fill="auto"/>
          </w:tcPr>
          <w:p w:rsidR="00DF0353" w:rsidRPr="008D3817" w:rsidRDefault="00DF0353"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276" w:type="dxa"/>
            <w:vMerge/>
            <w:shd w:val="clear" w:color="auto" w:fill="auto"/>
          </w:tcPr>
          <w:p w:rsidR="00DF0353" w:rsidRPr="008D3817" w:rsidRDefault="00DF0353"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shd w:val="clear" w:color="auto" w:fill="auto"/>
          </w:tcPr>
          <w:p w:rsidR="00DF0353" w:rsidRPr="008D3817" w:rsidRDefault="00DF0353"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DF0353" w:rsidRPr="0083442A" w:rsidTr="00DF0353">
        <w:trPr>
          <w:trHeight w:val="518"/>
        </w:trPr>
        <w:tc>
          <w:tcPr>
            <w:tcW w:w="1668" w:type="dxa"/>
            <w:vMerge/>
            <w:shd w:val="clear" w:color="auto" w:fill="auto"/>
          </w:tcPr>
          <w:p w:rsidR="00DF0353" w:rsidRPr="008D3817" w:rsidRDefault="00DF0353"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559" w:type="dxa"/>
            <w:vMerge/>
            <w:shd w:val="clear" w:color="auto" w:fill="auto"/>
          </w:tcPr>
          <w:p w:rsidR="00DF0353" w:rsidRPr="008D3817" w:rsidRDefault="00DF0353"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shd w:val="clear" w:color="auto" w:fill="auto"/>
          </w:tcPr>
          <w:p w:rsidR="00DF0353" w:rsidRPr="008D3817" w:rsidRDefault="00DF0353" w:rsidP="008D3817">
            <w:pPr>
              <w:spacing w:after="0" w:line="240" w:lineRule="auto"/>
              <w:jc w:val="both"/>
              <w:rPr>
                <w:rFonts w:ascii="Times New Roman" w:hAnsi="Times New Roman"/>
                <w:sz w:val="20"/>
                <w:szCs w:val="20"/>
              </w:rPr>
            </w:pPr>
          </w:p>
        </w:tc>
        <w:tc>
          <w:tcPr>
            <w:tcW w:w="2693" w:type="dxa"/>
            <w:shd w:val="clear" w:color="auto" w:fill="auto"/>
          </w:tcPr>
          <w:p w:rsidR="00DF0353" w:rsidRPr="008D3817" w:rsidRDefault="003F26B8"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eastAsia="AngsanaUPC" w:hAnsi="Times New Roman"/>
                <w:bCs/>
                <w:sz w:val="20"/>
                <w:szCs w:val="20"/>
                <w:lang w:eastAsia="lt-LT"/>
              </w:rPr>
              <w:t>P</w:t>
            </w:r>
            <w:r w:rsidR="00471DD9">
              <w:rPr>
                <w:rFonts w:ascii="Times New Roman" w:eastAsia="AngsanaUPC" w:hAnsi="Times New Roman"/>
                <w:bCs/>
                <w:sz w:val="20"/>
                <w:szCs w:val="20"/>
                <w:lang w:eastAsia="lt-LT"/>
              </w:rPr>
              <w:t>adidinti MVĮ investicijas į eko</w:t>
            </w:r>
            <w:r w:rsidRPr="008D3817">
              <w:rPr>
                <w:rFonts w:ascii="Times New Roman" w:eastAsia="AngsanaUPC" w:hAnsi="Times New Roman"/>
                <w:bCs/>
                <w:sz w:val="20"/>
                <w:szCs w:val="20"/>
                <w:lang w:eastAsia="lt-LT"/>
              </w:rPr>
              <w:t>inovacijas ir kitas efektyviai išteklius naudojančias technologijas</w:t>
            </w:r>
          </w:p>
        </w:tc>
        <w:tc>
          <w:tcPr>
            <w:tcW w:w="3119" w:type="dxa"/>
            <w:shd w:val="clear" w:color="auto" w:fill="auto"/>
          </w:tcPr>
          <w:p w:rsidR="00901C8F" w:rsidRDefault="003F26B8"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eastAsia="AngsanaUPC" w:hAnsi="Times New Roman"/>
                <w:bCs/>
                <w:sz w:val="20"/>
                <w:szCs w:val="20"/>
                <w:lang w:eastAsia="lt-LT"/>
              </w:rPr>
              <w:t xml:space="preserve">Investicijų, kurių daugiau kaip </w:t>
            </w:r>
          </w:p>
          <w:p w:rsidR="00DF0353" w:rsidRPr="008D3817" w:rsidRDefault="003F26B8"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eastAsia="AngsanaUPC" w:hAnsi="Times New Roman"/>
                <w:bCs/>
                <w:sz w:val="20"/>
                <w:szCs w:val="20"/>
                <w:lang w:eastAsia="lt-LT"/>
              </w:rPr>
              <w:t>50</w:t>
            </w:r>
            <w:r w:rsidR="00471DD9">
              <w:rPr>
                <w:rFonts w:ascii="Times New Roman" w:eastAsia="AngsanaUPC" w:hAnsi="Times New Roman"/>
                <w:bCs/>
                <w:sz w:val="20"/>
                <w:szCs w:val="20"/>
                <w:lang w:eastAsia="lt-LT"/>
              </w:rPr>
              <w:t xml:space="preserve"> proc. sumos investuojama į eko</w:t>
            </w:r>
            <w:r w:rsidRPr="008D3817">
              <w:rPr>
                <w:rFonts w:ascii="Times New Roman" w:eastAsia="AngsanaUPC" w:hAnsi="Times New Roman"/>
                <w:bCs/>
                <w:sz w:val="20"/>
                <w:szCs w:val="20"/>
                <w:lang w:eastAsia="lt-LT"/>
              </w:rPr>
              <w:t>inovacijas, dalis nuo visų investicijų</w:t>
            </w:r>
          </w:p>
        </w:tc>
        <w:tc>
          <w:tcPr>
            <w:tcW w:w="850" w:type="dxa"/>
            <w:vMerge/>
            <w:shd w:val="clear" w:color="auto" w:fill="auto"/>
          </w:tcPr>
          <w:p w:rsidR="00DF0353" w:rsidRPr="008D3817" w:rsidRDefault="00DF0353"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276" w:type="dxa"/>
            <w:vMerge/>
            <w:shd w:val="clear" w:color="auto" w:fill="auto"/>
          </w:tcPr>
          <w:p w:rsidR="00DF0353" w:rsidRPr="008D3817" w:rsidRDefault="00DF0353"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shd w:val="clear" w:color="auto" w:fill="auto"/>
          </w:tcPr>
          <w:p w:rsidR="00DF0353" w:rsidRPr="008D3817" w:rsidRDefault="00DF0353"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9C0228" w:rsidRPr="0083442A" w:rsidTr="0070076F">
        <w:trPr>
          <w:trHeight w:val="433"/>
        </w:trPr>
        <w:tc>
          <w:tcPr>
            <w:tcW w:w="1668" w:type="dxa"/>
            <w:vMerge w:val="restart"/>
            <w:shd w:val="clear" w:color="auto" w:fill="auto"/>
          </w:tcPr>
          <w:p w:rsidR="009C0228" w:rsidRPr="008D3817" w:rsidRDefault="009C0228"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eastAsia="AngsanaUPC" w:hAnsi="Times New Roman"/>
                <w:bCs/>
                <w:sz w:val="20"/>
                <w:szCs w:val="20"/>
                <w:lang w:eastAsia="lt-LT"/>
              </w:rPr>
              <w:t>Energijos efektyvumo ir AIE gamybos ir naudojimo skatinimas</w:t>
            </w:r>
          </w:p>
        </w:tc>
        <w:tc>
          <w:tcPr>
            <w:tcW w:w="1559" w:type="dxa"/>
            <w:vMerge w:val="restart"/>
            <w:shd w:val="clear" w:color="auto" w:fill="auto"/>
          </w:tcPr>
          <w:p w:rsidR="009C0228" w:rsidRPr="008D3817" w:rsidRDefault="009C0228"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eastAsia="AngsanaUPC" w:hAnsi="Times New Roman"/>
                <w:bCs/>
                <w:sz w:val="20"/>
                <w:szCs w:val="20"/>
                <w:lang w:eastAsia="lt-LT"/>
              </w:rPr>
              <w:t>Perėjimo prie mažai anglies dioksido į aplinką išskiriančių technologijų ekonomi</w:t>
            </w:r>
            <w:r>
              <w:rPr>
                <w:rFonts w:ascii="Times New Roman" w:eastAsia="AngsanaUPC" w:hAnsi="Times New Roman"/>
                <w:bCs/>
                <w:sz w:val="20"/>
                <w:szCs w:val="20"/>
                <w:lang w:eastAsia="lt-LT"/>
              </w:rPr>
              <w:t>kos visuose sektoriuose rėmimas</w:t>
            </w:r>
          </w:p>
        </w:tc>
        <w:tc>
          <w:tcPr>
            <w:tcW w:w="2835" w:type="dxa"/>
            <w:shd w:val="clear" w:color="auto" w:fill="auto"/>
          </w:tcPr>
          <w:p w:rsidR="009C0228" w:rsidRPr="008D3817" w:rsidRDefault="009C0228" w:rsidP="008D3817">
            <w:pPr>
              <w:spacing w:after="0" w:line="240" w:lineRule="auto"/>
              <w:jc w:val="both"/>
              <w:rPr>
                <w:rFonts w:ascii="Times New Roman" w:hAnsi="Times New Roman"/>
                <w:sz w:val="20"/>
                <w:szCs w:val="20"/>
              </w:rPr>
            </w:pPr>
            <w:r w:rsidRPr="008D3817">
              <w:rPr>
                <w:rFonts w:ascii="Times New Roman" w:hAnsi="Times New Roman"/>
                <w:sz w:val="20"/>
                <w:szCs w:val="20"/>
              </w:rPr>
              <w:t>AIE gamybos ir skirstymo skatinimas</w:t>
            </w:r>
          </w:p>
        </w:tc>
        <w:tc>
          <w:tcPr>
            <w:tcW w:w="2693" w:type="dxa"/>
            <w:shd w:val="clear" w:color="auto" w:fill="auto"/>
          </w:tcPr>
          <w:p w:rsidR="009C0228" w:rsidRPr="008D3817" w:rsidRDefault="009C0228"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eastAsia="AngsanaUPC" w:hAnsi="Times New Roman"/>
                <w:bCs/>
                <w:sz w:val="20"/>
                <w:szCs w:val="20"/>
                <w:lang w:eastAsia="lt-LT"/>
              </w:rPr>
              <w:t>Padidinti atsinaujinančių išteklių energijos naudojimą</w:t>
            </w:r>
          </w:p>
        </w:tc>
        <w:tc>
          <w:tcPr>
            <w:tcW w:w="3119" w:type="dxa"/>
            <w:shd w:val="clear" w:color="auto" w:fill="auto"/>
          </w:tcPr>
          <w:p w:rsidR="009C0228" w:rsidRPr="008D3817" w:rsidRDefault="009C0228"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eastAsia="AngsanaUPC" w:hAnsi="Times New Roman"/>
                <w:bCs/>
                <w:sz w:val="20"/>
                <w:szCs w:val="20"/>
                <w:lang w:eastAsia="lt-LT"/>
              </w:rPr>
              <w:t>Atsinaujinančių išteklių energijos dalis galutiniame energijos balanse</w:t>
            </w:r>
          </w:p>
        </w:tc>
        <w:tc>
          <w:tcPr>
            <w:tcW w:w="850" w:type="dxa"/>
            <w:vMerge w:val="restart"/>
            <w:shd w:val="clear" w:color="auto" w:fill="auto"/>
          </w:tcPr>
          <w:p w:rsidR="009C0228" w:rsidRPr="008D3817" w:rsidRDefault="009C0228" w:rsidP="008D3817">
            <w:pPr>
              <w:widowControl w:val="0"/>
              <w:tabs>
                <w:tab w:val="left" w:pos="622"/>
              </w:tabs>
              <w:spacing w:after="0" w:line="240" w:lineRule="auto"/>
              <w:jc w:val="both"/>
              <w:rPr>
                <w:rFonts w:ascii="Times New Roman" w:eastAsia="AngsanaUPC" w:hAnsi="Times New Roman"/>
                <w:b/>
                <w:bCs/>
                <w:sz w:val="20"/>
                <w:szCs w:val="20"/>
                <w:lang w:eastAsia="lt-LT"/>
              </w:rPr>
            </w:pPr>
            <w:r w:rsidRPr="008D3817">
              <w:rPr>
                <w:rFonts w:ascii="Times New Roman" w:hAnsi="Times New Roman"/>
                <w:sz w:val="20"/>
                <w:szCs w:val="20"/>
              </w:rPr>
              <w:t>ERPF, SaF</w:t>
            </w:r>
          </w:p>
        </w:tc>
        <w:tc>
          <w:tcPr>
            <w:tcW w:w="1276" w:type="dxa"/>
            <w:vMerge w:val="restart"/>
            <w:shd w:val="clear" w:color="auto" w:fill="auto"/>
          </w:tcPr>
          <w:p w:rsidR="009C0228" w:rsidRDefault="009C0228"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eastAsia="AngsanaUPC" w:hAnsi="Times New Roman"/>
                <w:bCs/>
                <w:sz w:val="20"/>
                <w:szCs w:val="20"/>
                <w:lang w:eastAsia="lt-LT"/>
              </w:rPr>
              <w:t xml:space="preserve">ERPF: </w:t>
            </w:r>
          </w:p>
          <w:p w:rsidR="009C0228" w:rsidRPr="008A4871" w:rsidRDefault="009C0228" w:rsidP="008A4871">
            <w:pPr>
              <w:widowControl w:val="0"/>
              <w:tabs>
                <w:tab w:val="left" w:pos="622"/>
              </w:tabs>
              <w:spacing w:after="0" w:line="240" w:lineRule="auto"/>
              <w:jc w:val="both"/>
              <w:rPr>
                <w:rFonts w:ascii="Times New Roman" w:eastAsia="AngsanaUPC" w:hAnsi="Times New Roman"/>
                <w:bCs/>
                <w:sz w:val="20"/>
                <w:szCs w:val="20"/>
                <w:lang w:eastAsia="lt-LT"/>
              </w:rPr>
            </w:pPr>
            <w:r>
              <w:rPr>
                <w:rFonts w:ascii="Times New Roman" w:eastAsia="AngsanaUPC" w:hAnsi="Times New Roman"/>
                <w:bCs/>
                <w:sz w:val="20"/>
                <w:szCs w:val="20"/>
                <w:lang w:eastAsia="lt-LT"/>
              </w:rPr>
              <w:t>519.301.697</w:t>
            </w:r>
          </w:p>
          <w:p w:rsidR="009C0228" w:rsidRPr="005E52CE" w:rsidRDefault="009C0228" w:rsidP="008D3817">
            <w:pPr>
              <w:widowControl w:val="0"/>
              <w:tabs>
                <w:tab w:val="left" w:pos="622"/>
              </w:tabs>
              <w:spacing w:after="0" w:line="240" w:lineRule="auto"/>
              <w:jc w:val="both"/>
              <w:rPr>
                <w:rFonts w:ascii="Times New Roman" w:eastAsia="AngsanaUPC" w:hAnsi="Times New Roman"/>
                <w:bCs/>
                <w:sz w:val="20"/>
                <w:szCs w:val="20"/>
                <w:lang w:eastAsia="lt-LT"/>
              </w:rPr>
            </w:pPr>
          </w:p>
          <w:p w:rsidR="009C0228" w:rsidRPr="005E52CE" w:rsidRDefault="009C0228" w:rsidP="00A842B0">
            <w:pPr>
              <w:widowControl w:val="0"/>
              <w:tabs>
                <w:tab w:val="left" w:pos="622"/>
              </w:tabs>
              <w:spacing w:after="0" w:line="240" w:lineRule="auto"/>
              <w:jc w:val="both"/>
              <w:rPr>
                <w:rFonts w:ascii="Times New Roman" w:eastAsia="AngsanaUPC" w:hAnsi="Times New Roman"/>
                <w:bCs/>
                <w:sz w:val="20"/>
                <w:szCs w:val="20"/>
                <w:lang w:eastAsia="lt-LT"/>
              </w:rPr>
            </w:pPr>
            <w:r w:rsidRPr="005E52CE">
              <w:rPr>
                <w:rFonts w:ascii="Times New Roman" w:eastAsia="AngsanaUPC" w:hAnsi="Times New Roman"/>
                <w:bCs/>
                <w:sz w:val="20"/>
                <w:szCs w:val="20"/>
                <w:lang w:eastAsia="lt-LT"/>
              </w:rPr>
              <w:t xml:space="preserve">SaF: </w:t>
            </w:r>
          </w:p>
          <w:p w:rsidR="009C0228" w:rsidRPr="008A4871" w:rsidRDefault="009C0228" w:rsidP="003E71A2">
            <w:pPr>
              <w:shd w:val="clear" w:color="auto" w:fill="FFFFFF"/>
              <w:autoSpaceDE w:val="0"/>
              <w:autoSpaceDN w:val="0"/>
              <w:adjustRightInd w:val="0"/>
              <w:spacing w:after="0" w:line="240" w:lineRule="auto"/>
              <w:rPr>
                <w:rFonts w:ascii="Times New Roman" w:eastAsia="Times New Roman" w:hAnsi="Times New Roman"/>
                <w:bCs/>
                <w:color w:val="000000"/>
                <w:sz w:val="20"/>
                <w:szCs w:val="20"/>
              </w:rPr>
            </w:pPr>
            <w:r>
              <w:rPr>
                <w:rFonts w:ascii="Times New Roman" w:eastAsia="Times New Roman" w:hAnsi="Times New Roman"/>
                <w:bCs/>
                <w:color w:val="000000"/>
                <w:sz w:val="20"/>
                <w:szCs w:val="20"/>
              </w:rPr>
              <w:t>364.518.432</w:t>
            </w:r>
          </w:p>
        </w:tc>
        <w:tc>
          <w:tcPr>
            <w:tcW w:w="1134" w:type="dxa"/>
            <w:vMerge w:val="restart"/>
            <w:shd w:val="clear" w:color="auto" w:fill="auto"/>
          </w:tcPr>
          <w:p w:rsidR="009C0228" w:rsidRPr="005E52CE" w:rsidRDefault="009C0228" w:rsidP="009C0228">
            <w:pPr>
              <w:shd w:val="clear" w:color="auto" w:fill="FFFFFF"/>
              <w:spacing w:after="120" w:line="240" w:lineRule="auto"/>
              <w:rPr>
                <w:rFonts w:ascii="Times New Roman" w:eastAsia="Times New Roman" w:hAnsi="Times New Roman"/>
                <w:color w:val="000000"/>
                <w:sz w:val="20"/>
                <w:szCs w:val="20"/>
                <w:highlight w:val="yellow"/>
              </w:rPr>
            </w:pPr>
            <w:r>
              <w:rPr>
                <w:rFonts w:ascii="Times New Roman" w:eastAsia="Times New Roman" w:hAnsi="Times New Roman"/>
                <w:color w:val="000000"/>
                <w:sz w:val="20"/>
                <w:szCs w:val="20"/>
              </w:rPr>
              <w:t>12,56</w:t>
            </w:r>
            <w:r w:rsidRPr="005E52CE">
              <w:rPr>
                <w:rFonts w:ascii="Times New Roman" w:eastAsia="Times New Roman" w:hAnsi="Times New Roman"/>
                <w:color w:val="000000"/>
                <w:sz w:val="20"/>
                <w:szCs w:val="20"/>
              </w:rPr>
              <w:t xml:space="preserve"> %</w:t>
            </w:r>
          </w:p>
        </w:tc>
      </w:tr>
      <w:tr w:rsidR="009C0228" w:rsidRPr="0083442A" w:rsidTr="008D3817">
        <w:trPr>
          <w:trHeight w:val="685"/>
        </w:trPr>
        <w:tc>
          <w:tcPr>
            <w:tcW w:w="1668" w:type="dxa"/>
            <w:vMerge/>
            <w:shd w:val="clear" w:color="auto" w:fill="auto"/>
          </w:tcPr>
          <w:p w:rsidR="009C0228" w:rsidRPr="008D3817" w:rsidRDefault="009C0228"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559" w:type="dxa"/>
            <w:vMerge/>
            <w:shd w:val="clear" w:color="auto" w:fill="auto"/>
          </w:tcPr>
          <w:p w:rsidR="009C0228" w:rsidRPr="008D3817" w:rsidRDefault="009C0228"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shd w:val="clear" w:color="auto" w:fill="auto"/>
          </w:tcPr>
          <w:p w:rsidR="009C0228" w:rsidRPr="008D3817" w:rsidRDefault="009C0228" w:rsidP="008D3817">
            <w:pPr>
              <w:spacing w:after="0" w:line="240" w:lineRule="auto"/>
              <w:jc w:val="both"/>
              <w:rPr>
                <w:rFonts w:ascii="Times New Roman" w:hAnsi="Times New Roman"/>
                <w:sz w:val="20"/>
                <w:szCs w:val="20"/>
              </w:rPr>
            </w:pPr>
            <w:r w:rsidRPr="008D3817">
              <w:rPr>
                <w:rFonts w:ascii="Times New Roman" w:hAnsi="Times New Roman"/>
                <w:sz w:val="20"/>
                <w:szCs w:val="20"/>
              </w:rPr>
              <w:t xml:space="preserve">Energijos vartojimo efektyvumo ir </w:t>
            </w:r>
            <w:r w:rsidRPr="008D3817">
              <w:rPr>
                <w:rFonts w:ascii="Times New Roman" w:eastAsia="Times New Roman" w:hAnsi="Times New Roman"/>
                <w:sz w:val="20"/>
                <w:szCs w:val="20"/>
                <w:lang w:eastAsia="lt-LT"/>
              </w:rPr>
              <w:t>AIE</w:t>
            </w:r>
            <w:r w:rsidRPr="008D3817">
              <w:rPr>
                <w:rFonts w:ascii="Times New Roman" w:hAnsi="Times New Roman"/>
                <w:sz w:val="20"/>
                <w:szCs w:val="20"/>
              </w:rPr>
              <w:t xml:space="preserve"> vartojimo įmonėse skatinimas</w:t>
            </w:r>
          </w:p>
        </w:tc>
        <w:tc>
          <w:tcPr>
            <w:tcW w:w="2693" w:type="dxa"/>
            <w:shd w:val="clear" w:color="auto" w:fill="auto"/>
          </w:tcPr>
          <w:p w:rsidR="009C0228" w:rsidRPr="008D3817" w:rsidRDefault="009C0228"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eastAsia="AngsanaUPC" w:hAnsi="Times New Roman"/>
                <w:bCs/>
                <w:sz w:val="20"/>
                <w:szCs w:val="20"/>
                <w:lang w:eastAsia="lt-LT"/>
              </w:rPr>
              <w:t>Sumažinti energijos vartojimo intensyvumą pramonės įmonėse</w:t>
            </w:r>
          </w:p>
        </w:tc>
        <w:tc>
          <w:tcPr>
            <w:tcW w:w="3119" w:type="dxa"/>
            <w:shd w:val="clear" w:color="auto" w:fill="auto"/>
          </w:tcPr>
          <w:p w:rsidR="009C0228" w:rsidRPr="008D3817" w:rsidRDefault="009C0228"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eastAsia="AngsanaUPC" w:hAnsi="Times New Roman"/>
                <w:bCs/>
                <w:sz w:val="20"/>
                <w:szCs w:val="20"/>
                <w:lang w:eastAsia="lt-LT"/>
              </w:rPr>
              <w:t>Energijos suvartojimo intensyvumas pramonės įmonėse</w:t>
            </w:r>
          </w:p>
        </w:tc>
        <w:tc>
          <w:tcPr>
            <w:tcW w:w="850" w:type="dxa"/>
            <w:vMerge/>
            <w:shd w:val="clear" w:color="auto" w:fill="auto"/>
          </w:tcPr>
          <w:p w:rsidR="009C0228" w:rsidRPr="008D3817" w:rsidRDefault="009C0228"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276" w:type="dxa"/>
            <w:vMerge/>
            <w:shd w:val="clear" w:color="auto" w:fill="auto"/>
          </w:tcPr>
          <w:p w:rsidR="009C0228" w:rsidRPr="008D3817" w:rsidRDefault="009C0228"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shd w:val="clear" w:color="auto" w:fill="auto"/>
          </w:tcPr>
          <w:p w:rsidR="009C0228" w:rsidRPr="008D3817" w:rsidRDefault="009C0228"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9C0228" w:rsidRPr="0083442A" w:rsidTr="0070076F">
        <w:trPr>
          <w:trHeight w:val="836"/>
        </w:trPr>
        <w:tc>
          <w:tcPr>
            <w:tcW w:w="1668" w:type="dxa"/>
            <w:vMerge/>
            <w:shd w:val="clear" w:color="auto" w:fill="auto"/>
          </w:tcPr>
          <w:p w:rsidR="009C0228" w:rsidRPr="008D3817" w:rsidRDefault="009C0228"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559" w:type="dxa"/>
            <w:vMerge/>
            <w:shd w:val="clear" w:color="auto" w:fill="auto"/>
          </w:tcPr>
          <w:p w:rsidR="009C0228" w:rsidRPr="008D3817" w:rsidRDefault="009C0228"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val="restart"/>
            <w:shd w:val="clear" w:color="auto" w:fill="auto"/>
          </w:tcPr>
          <w:p w:rsidR="009C0228" w:rsidRPr="008D3817" w:rsidRDefault="009C0228" w:rsidP="008D3817">
            <w:pPr>
              <w:spacing w:after="0" w:line="240" w:lineRule="auto"/>
              <w:jc w:val="both"/>
              <w:rPr>
                <w:rFonts w:ascii="Times New Roman" w:hAnsi="Times New Roman"/>
                <w:sz w:val="20"/>
                <w:szCs w:val="20"/>
              </w:rPr>
            </w:pPr>
            <w:r w:rsidRPr="008D3817">
              <w:rPr>
                <w:rFonts w:ascii="Times New Roman" w:hAnsi="Times New Roman"/>
                <w:sz w:val="20"/>
                <w:szCs w:val="20"/>
              </w:rPr>
              <w:t>Energijos vartojimo efektyvumo, pažangaus energijos valdymo ir AIE vartojimo viešosiose infrastruktūrose, įskaitant viešuosius pastatus ir gyvenamųjų namų sektorių, rėmimas</w:t>
            </w:r>
          </w:p>
        </w:tc>
        <w:tc>
          <w:tcPr>
            <w:tcW w:w="2693" w:type="dxa"/>
            <w:shd w:val="clear" w:color="auto" w:fill="auto"/>
          </w:tcPr>
          <w:p w:rsidR="009C0228" w:rsidRPr="008D3817" w:rsidRDefault="009C0228"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eastAsia="AngsanaUPC" w:hAnsi="Times New Roman"/>
                <w:bCs/>
                <w:sz w:val="20"/>
                <w:szCs w:val="20"/>
                <w:lang w:eastAsia="lt-LT"/>
              </w:rPr>
              <w:t>Sumažinti energijos suvartojimą viešojoje infrastruktūroje ir daugiabučiuose namuose</w:t>
            </w:r>
          </w:p>
        </w:tc>
        <w:tc>
          <w:tcPr>
            <w:tcW w:w="3119" w:type="dxa"/>
            <w:shd w:val="clear" w:color="auto" w:fill="auto"/>
          </w:tcPr>
          <w:p w:rsidR="009C0228" w:rsidRPr="008D3817" w:rsidRDefault="009C0228" w:rsidP="008D3817">
            <w:pPr>
              <w:widowControl w:val="0"/>
              <w:tabs>
                <w:tab w:val="left" w:pos="622"/>
              </w:tabs>
              <w:spacing w:after="0" w:line="240" w:lineRule="auto"/>
              <w:jc w:val="both"/>
              <w:rPr>
                <w:rFonts w:ascii="Times New Roman" w:eastAsia="AngsanaUPC" w:hAnsi="Times New Roman"/>
                <w:b/>
                <w:bCs/>
                <w:sz w:val="20"/>
                <w:szCs w:val="20"/>
                <w:lang w:eastAsia="lt-LT"/>
              </w:rPr>
            </w:pPr>
            <w:r w:rsidRPr="008D3817">
              <w:rPr>
                <w:rFonts w:ascii="Times New Roman" w:eastAsia="AngsanaUPC" w:hAnsi="Times New Roman"/>
                <w:bCs/>
                <w:sz w:val="20"/>
                <w:szCs w:val="20"/>
                <w:lang w:eastAsia="lt-LT"/>
              </w:rPr>
              <w:t>Sunaudotas galutinės energijos kiekis paslaugų ir namų ūkių sektoriuose</w:t>
            </w:r>
          </w:p>
        </w:tc>
        <w:tc>
          <w:tcPr>
            <w:tcW w:w="850" w:type="dxa"/>
            <w:vMerge/>
            <w:shd w:val="clear" w:color="auto" w:fill="auto"/>
          </w:tcPr>
          <w:p w:rsidR="009C0228" w:rsidRPr="008D3817" w:rsidRDefault="009C0228"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276" w:type="dxa"/>
            <w:vMerge/>
            <w:shd w:val="clear" w:color="auto" w:fill="auto"/>
          </w:tcPr>
          <w:p w:rsidR="009C0228" w:rsidRPr="008D3817" w:rsidRDefault="009C0228"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shd w:val="clear" w:color="auto" w:fill="auto"/>
          </w:tcPr>
          <w:p w:rsidR="009C0228" w:rsidRPr="008D3817" w:rsidRDefault="009C0228"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9C0228" w:rsidRPr="0083442A" w:rsidTr="005961CF">
        <w:trPr>
          <w:trHeight w:val="437"/>
        </w:trPr>
        <w:tc>
          <w:tcPr>
            <w:tcW w:w="1668" w:type="dxa"/>
            <w:vMerge/>
            <w:shd w:val="clear" w:color="auto" w:fill="auto"/>
          </w:tcPr>
          <w:p w:rsidR="009C0228" w:rsidRPr="008D3817" w:rsidRDefault="009C0228"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559" w:type="dxa"/>
            <w:vMerge/>
            <w:shd w:val="clear" w:color="auto" w:fill="auto"/>
          </w:tcPr>
          <w:p w:rsidR="009C0228" w:rsidRPr="008D3817" w:rsidRDefault="009C0228"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shd w:val="clear" w:color="auto" w:fill="auto"/>
          </w:tcPr>
          <w:p w:rsidR="009C0228" w:rsidRPr="008D3817" w:rsidRDefault="009C0228" w:rsidP="008D3817">
            <w:pPr>
              <w:spacing w:after="0" w:line="240" w:lineRule="auto"/>
              <w:jc w:val="both"/>
              <w:rPr>
                <w:rFonts w:ascii="Times New Roman" w:hAnsi="Times New Roman"/>
                <w:sz w:val="20"/>
                <w:szCs w:val="20"/>
              </w:rPr>
            </w:pPr>
          </w:p>
        </w:tc>
        <w:tc>
          <w:tcPr>
            <w:tcW w:w="2693" w:type="dxa"/>
            <w:vMerge w:val="restart"/>
            <w:shd w:val="clear" w:color="auto" w:fill="auto"/>
          </w:tcPr>
          <w:p w:rsidR="009C0228" w:rsidRPr="008D3817" w:rsidRDefault="009C0228"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eastAsia="AngsanaUPC" w:hAnsi="Times New Roman"/>
                <w:bCs/>
                <w:sz w:val="20"/>
                <w:szCs w:val="20"/>
                <w:lang w:eastAsia="lt-LT"/>
              </w:rPr>
              <w:t>Padidinti energijos vartojimo efektyvumą šilumos tiekimo srityje ir namų ūkiuose</w:t>
            </w:r>
          </w:p>
        </w:tc>
        <w:tc>
          <w:tcPr>
            <w:tcW w:w="3119" w:type="dxa"/>
            <w:shd w:val="clear" w:color="auto" w:fill="auto"/>
          </w:tcPr>
          <w:p w:rsidR="009C0228" w:rsidRPr="008D3817" w:rsidRDefault="009C0228" w:rsidP="008D3817">
            <w:pPr>
              <w:widowControl w:val="0"/>
              <w:tabs>
                <w:tab w:val="left" w:pos="622"/>
              </w:tabs>
              <w:spacing w:after="0" w:line="240" w:lineRule="auto"/>
              <w:jc w:val="both"/>
              <w:rPr>
                <w:rFonts w:ascii="Times New Roman" w:eastAsia="AngsanaUPC" w:hAnsi="Times New Roman"/>
                <w:bCs/>
                <w:sz w:val="20"/>
                <w:szCs w:val="20"/>
                <w:lang w:eastAsia="lt-LT"/>
              </w:rPr>
            </w:pPr>
            <w:r w:rsidRPr="005961CF">
              <w:rPr>
                <w:rFonts w:ascii="Times New Roman" w:eastAsia="AngsanaUPC" w:hAnsi="Times New Roman"/>
                <w:bCs/>
                <w:sz w:val="20"/>
                <w:szCs w:val="20"/>
                <w:lang w:eastAsia="lt-LT"/>
              </w:rPr>
              <w:t>Transportavimo bei paskirstymo nuostoliai šilumos tinkluose</w:t>
            </w:r>
          </w:p>
        </w:tc>
        <w:tc>
          <w:tcPr>
            <w:tcW w:w="850" w:type="dxa"/>
            <w:vMerge/>
            <w:shd w:val="clear" w:color="auto" w:fill="auto"/>
          </w:tcPr>
          <w:p w:rsidR="009C0228" w:rsidRPr="008D3817" w:rsidRDefault="009C0228"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276" w:type="dxa"/>
            <w:vMerge/>
            <w:shd w:val="clear" w:color="auto" w:fill="auto"/>
          </w:tcPr>
          <w:p w:rsidR="009C0228" w:rsidRPr="008D3817" w:rsidRDefault="009C0228"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shd w:val="clear" w:color="auto" w:fill="auto"/>
          </w:tcPr>
          <w:p w:rsidR="009C0228" w:rsidRPr="008D3817" w:rsidRDefault="009C0228"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9C0228" w:rsidRPr="0083442A" w:rsidTr="00E60EA1">
        <w:trPr>
          <w:trHeight w:val="507"/>
        </w:trPr>
        <w:tc>
          <w:tcPr>
            <w:tcW w:w="1668" w:type="dxa"/>
            <w:vMerge/>
            <w:shd w:val="clear" w:color="auto" w:fill="auto"/>
          </w:tcPr>
          <w:p w:rsidR="009C0228" w:rsidRPr="008D3817" w:rsidRDefault="009C0228"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559" w:type="dxa"/>
            <w:vMerge/>
            <w:shd w:val="clear" w:color="auto" w:fill="auto"/>
          </w:tcPr>
          <w:p w:rsidR="009C0228" w:rsidRPr="008D3817" w:rsidRDefault="009C0228"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shd w:val="clear" w:color="auto" w:fill="auto"/>
          </w:tcPr>
          <w:p w:rsidR="009C0228" w:rsidRPr="008D3817" w:rsidRDefault="009C0228" w:rsidP="008D3817">
            <w:pPr>
              <w:spacing w:after="0" w:line="240" w:lineRule="auto"/>
              <w:jc w:val="both"/>
              <w:rPr>
                <w:rFonts w:ascii="Times New Roman" w:hAnsi="Times New Roman"/>
                <w:sz w:val="20"/>
                <w:szCs w:val="20"/>
              </w:rPr>
            </w:pPr>
          </w:p>
        </w:tc>
        <w:tc>
          <w:tcPr>
            <w:tcW w:w="2693" w:type="dxa"/>
            <w:vMerge/>
            <w:shd w:val="clear" w:color="auto" w:fill="auto"/>
          </w:tcPr>
          <w:p w:rsidR="009C0228" w:rsidRPr="008D3817" w:rsidRDefault="009C0228"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3119" w:type="dxa"/>
            <w:shd w:val="clear" w:color="auto" w:fill="auto"/>
          </w:tcPr>
          <w:p w:rsidR="009C0228" w:rsidRPr="005961CF" w:rsidRDefault="009C0228" w:rsidP="008D3817">
            <w:pPr>
              <w:widowControl w:val="0"/>
              <w:tabs>
                <w:tab w:val="left" w:pos="622"/>
              </w:tabs>
              <w:spacing w:after="0" w:line="240" w:lineRule="auto"/>
              <w:jc w:val="both"/>
              <w:rPr>
                <w:rFonts w:ascii="Times New Roman" w:eastAsia="AngsanaUPC" w:hAnsi="Times New Roman"/>
                <w:bCs/>
                <w:sz w:val="20"/>
                <w:szCs w:val="20"/>
                <w:lang w:eastAsia="lt-LT"/>
              </w:rPr>
            </w:pPr>
            <w:r w:rsidRPr="005961CF">
              <w:rPr>
                <w:rFonts w:ascii="Times New Roman" w:eastAsia="AngsanaUPC" w:hAnsi="Times New Roman"/>
                <w:bCs/>
                <w:sz w:val="20"/>
                <w:szCs w:val="20"/>
                <w:lang w:eastAsia="lt-LT"/>
              </w:rPr>
              <w:t>Energijos suvartojimas namų ūkiuose (neprijungtuose prie centralizuotų šilumos tinklų)</w:t>
            </w:r>
          </w:p>
        </w:tc>
        <w:tc>
          <w:tcPr>
            <w:tcW w:w="850" w:type="dxa"/>
            <w:vMerge/>
            <w:shd w:val="clear" w:color="auto" w:fill="auto"/>
          </w:tcPr>
          <w:p w:rsidR="009C0228" w:rsidRPr="008D3817" w:rsidRDefault="009C0228"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276" w:type="dxa"/>
            <w:vMerge/>
            <w:shd w:val="clear" w:color="auto" w:fill="auto"/>
          </w:tcPr>
          <w:p w:rsidR="009C0228" w:rsidRPr="008D3817" w:rsidRDefault="009C0228"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shd w:val="clear" w:color="auto" w:fill="auto"/>
          </w:tcPr>
          <w:p w:rsidR="009C0228" w:rsidRPr="008D3817" w:rsidRDefault="009C0228"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9C0228" w:rsidRPr="0083442A" w:rsidTr="0070076F">
        <w:trPr>
          <w:trHeight w:val="569"/>
        </w:trPr>
        <w:tc>
          <w:tcPr>
            <w:tcW w:w="1668" w:type="dxa"/>
            <w:vMerge/>
            <w:shd w:val="clear" w:color="auto" w:fill="auto"/>
          </w:tcPr>
          <w:p w:rsidR="009C0228" w:rsidRPr="008D3817" w:rsidRDefault="009C0228"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559" w:type="dxa"/>
            <w:vMerge/>
            <w:shd w:val="clear" w:color="auto" w:fill="auto"/>
          </w:tcPr>
          <w:p w:rsidR="009C0228" w:rsidRPr="008D3817" w:rsidRDefault="009C0228"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shd w:val="clear" w:color="auto" w:fill="auto"/>
          </w:tcPr>
          <w:p w:rsidR="009C0228" w:rsidRPr="008D3817" w:rsidRDefault="009C0228" w:rsidP="008D3817">
            <w:pPr>
              <w:spacing w:after="0" w:line="240" w:lineRule="auto"/>
              <w:jc w:val="both"/>
              <w:rPr>
                <w:rFonts w:ascii="Times New Roman" w:hAnsi="Times New Roman"/>
                <w:sz w:val="20"/>
                <w:szCs w:val="20"/>
              </w:rPr>
            </w:pPr>
            <w:r w:rsidRPr="008D3817">
              <w:rPr>
                <w:rFonts w:ascii="Times New Roman" w:hAnsi="Times New Roman"/>
                <w:sz w:val="20"/>
                <w:szCs w:val="20"/>
              </w:rPr>
              <w:t>Pažangiųjų žemos ir vidutinės įtampos paskirstymo sistemų diegimas ir plėtojimas</w:t>
            </w:r>
          </w:p>
        </w:tc>
        <w:tc>
          <w:tcPr>
            <w:tcW w:w="2693" w:type="dxa"/>
            <w:shd w:val="clear" w:color="auto" w:fill="auto"/>
          </w:tcPr>
          <w:p w:rsidR="009C0228" w:rsidRPr="008D3817" w:rsidRDefault="009C0228"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hAnsi="Times New Roman"/>
                <w:sz w:val="20"/>
                <w:szCs w:val="20"/>
              </w:rPr>
              <w:t>Išbandyti pažangiojo tinklo technologijų diegimo perspektyvas</w:t>
            </w:r>
          </w:p>
        </w:tc>
        <w:tc>
          <w:tcPr>
            <w:tcW w:w="3119" w:type="dxa"/>
            <w:shd w:val="clear" w:color="auto" w:fill="auto"/>
          </w:tcPr>
          <w:p w:rsidR="009C0228" w:rsidRPr="008D3817" w:rsidRDefault="009C0228"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eastAsia="AngsanaUPC" w:hAnsi="Times New Roman"/>
                <w:bCs/>
                <w:sz w:val="20"/>
                <w:szCs w:val="20"/>
                <w:lang w:eastAsia="lt-LT"/>
              </w:rPr>
              <w:t>Elektros energijos tiekimo kokybės pagerėjimas</w:t>
            </w:r>
            <w:r>
              <w:rPr>
                <w:rFonts w:ascii="Times New Roman" w:eastAsia="AngsanaUPC" w:hAnsi="Times New Roman"/>
                <w:bCs/>
                <w:sz w:val="20"/>
                <w:szCs w:val="20"/>
                <w:lang w:eastAsia="lt-LT"/>
              </w:rPr>
              <w:t xml:space="preserve"> </w:t>
            </w:r>
            <w:r w:rsidRPr="008D3817">
              <w:rPr>
                <w:rFonts w:ascii="Times New Roman" w:eastAsia="AngsanaUPC" w:hAnsi="Times New Roman"/>
                <w:bCs/>
                <w:sz w:val="20"/>
                <w:szCs w:val="20"/>
                <w:lang w:eastAsia="lt-LT"/>
              </w:rPr>
              <w:t>(SAIDI)</w:t>
            </w:r>
          </w:p>
        </w:tc>
        <w:tc>
          <w:tcPr>
            <w:tcW w:w="850" w:type="dxa"/>
            <w:vMerge/>
            <w:shd w:val="clear" w:color="auto" w:fill="auto"/>
          </w:tcPr>
          <w:p w:rsidR="009C0228" w:rsidRPr="008D3817" w:rsidRDefault="009C0228"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276" w:type="dxa"/>
            <w:vMerge/>
            <w:shd w:val="clear" w:color="auto" w:fill="auto"/>
          </w:tcPr>
          <w:p w:rsidR="009C0228" w:rsidRPr="008D3817" w:rsidRDefault="009C0228"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shd w:val="clear" w:color="auto" w:fill="auto"/>
          </w:tcPr>
          <w:p w:rsidR="009C0228" w:rsidRPr="008D3817" w:rsidRDefault="009C0228"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9C0228" w:rsidRPr="0083442A" w:rsidTr="008D3817">
        <w:trPr>
          <w:trHeight w:val="312"/>
        </w:trPr>
        <w:tc>
          <w:tcPr>
            <w:tcW w:w="1668" w:type="dxa"/>
            <w:vMerge/>
            <w:shd w:val="clear" w:color="auto" w:fill="auto"/>
          </w:tcPr>
          <w:p w:rsidR="009C0228" w:rsidRPr="008D3817" w:rsidRDefault="009C0228"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559" w:type="dxa"/>
            <w:vMerge/>
            <w:shd w:val="clear" w:color="auto" w:fill="auto"/>
          </w:tcPr>
          <w:p w:rsidR="009C0228" w:rsidRPr="008D3817" w:rsidRDefault="009C0228"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val="restart"/>
            <w:shd w:val="clear" w:color="auto" w:fill="auto"/>
          </w:tcPr>
          <w:p w:rsidR="009C0228" w:rsidRPr="004D4B33" w:rsidRDefault="009C0228" w:rsidP="008D3817">
            <w:pPr>
              <w:spacing w:after="0" w:line="240" w:lineRule="auto"/>
              <w:jc w:val="both"/>
              <w:rPr>
                <w:rFonts w:ascii="Times New Roman" w:hAnsi="Times New Roman"/>
                <w:sz w:val="20"/>
                <w:szCs w:val="20"/>
              </w:rPr>
            </w:pPr>
            <w:r w:rsidRPr="004D4B33">
              <w:rPr>
                <w:rFonts w:ascii="Times New Roman" w:hAnsi="Times New Roman"/>
                <w:bCs/>
                <w:iCs/>
                <w:sz w:val="20"/>
                <w:szCs w:val="20"/>
              </w:rPr>
              <w:t xml:space="preserve">Anglies dioksido kiekio mažinimo strategijų įgyvendinimo visų rūšių, ypač miesto, teritorijose skatinimas, </w:t>
            </w:r>
            <w:r w:rsidRPr="004D4B33">
              <w:rPr>
                <w:rFonts w:ascii="Times New Roman" w:hAnsi="Times New Roman"/>
                <w:bCs/>
                <w:iCs/>
                <w:sz w:val="20"/>
                <w:szCs w:val="20"/>
              </w:rPr>
              <w:lastRenderedPageBreak/>
              <w:t>darnaus ir įvairių rūšių judumo miestuose skatinimas ir priemonių, skirtų poveikiui aplinkai sušvelninti, diegimas</w:t>
            </w:r>
          </w:p>
        </w:tc>
        <w:tc>
          <w:tcPr>
            <w:tcW w:w="2693" w:type="dxa"/>
            <w:vMerge w:val="restart"/>
            <w:shd w:val="clear" w:color="auto" w:fill="auto"/>
          </w:tcPr>
          <w:p w:rsidR="009C0228" w:rsidRPr="004D4B33" w:rsidRDefault="009C0228" w:rsidP="008D3817">
            <w:pPr>
              <w:widowControl w:val="0"/>
              <w:tabs>
                <w:tab w:val="left" w:pos="622"/>
              </w:tabs>
              <w:spacing w:after="0" w:line="240" w:lineRule="auto"/>
              <w:jc w:val="both"/>
              <w:rPr>
                <w:rFonts w:ascii="Times New Roman" w:hAnsi="Times New Roman"/>
                <w:sz w:val="20"/>
                <w:szCs w:val="20"/>
              </w:rPr>
            </w:pPr>
            <w:r w:rsidRPr="004D4B33">
              <w:rPr>
                <w:rFonts w:ascii="Times New Roman" w:hAnsi="Times New Roman"/>
                <w:bCs/>
                <w:iCs/>
                <w:sz w:val="20"/>
                <w:szCs w:val="20"/>
              </w:rPr>
              <w:lastRenderedPageBreak/>
              <w:t>Skatinti darnų judumą ir plėtoti aplinkai draugišką transportą, siekiant sumažinti anglies dioksido išmetimus</w:t>
            </w:r>
          </w:p>
        </w:tc>
        <w:tc>
          <w:tcPr>
            <w:tcW w:w="3119" w:type="dxa"/>
            <w:shd w:val="clear" w:color="auto" w:fill="auto"/>
          </w:tcPr>
          <w:p w:rsidR="009C0228" w:rsidRPr="004D4B33" w:rsidRDefault="009C0228" w:rsidP="008D3817">
            <w:pPr>
              <w:widowControl w:val="0"/>
              <w:tabs>
                <w:tab w:val="left" w:pos="622"/>
              </w:tabs>
              <w:spacing w:after="0" w:line="240" w:lineRule="auto"/>
              <w:jc w:val="both"/>
              <w:rPr>
                <w:rFonts w:ascii="Times New Roman" w:eastAsia="AngsanaUPC" w:hAnsi="Times New Roman"/>
                <w:bCs/>
                <w:sz w:val="20"/>
                <w:szCs w:val="20"/>
                <w:lang w:eastAsia="lt-LT"/>
              </w:rPr>
            </w:pPr>
            <w:r w:rsidRPr="004D4B33">
              <w:rPr>
                <w:rFonts w:ascii="Times New Roman" w:eastAsia="AngsanaUPC" w:hAnsi="Times New Roman"/>
                <w:bCs/>
                <w:sz w:val="20"/>
                <w:szCs w:val="20"/>
                <w:lang w:eastAsia="lt-LT"/>
              </w:rPr>
              <w:t>Anglies dioksido (išskyrus išsiskiriantį iš biomasės) kiekis, namų ūkių išmestas į atmosferą iš transporto veiklos</w:t>
            </w:r>
          </w:p>
        </w:tc>
        <w:tc>
          <w:tcPr>
            <w:tcW w:w="850" w:type="dxa"/>
            <w:vMerge/>
            <w:shd w:val="clear" w:color="auto" w:fill="auto"/>
          </w:tcPr>
          <w:p w:rsidR="009C0228" w:rsidRPr="008D3817" w:rsidRDefault="009C0228"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276" w:type="dxa"/>
            <w:vMerge/>
            <w:shd w:val="clear" w:color="auto" w:fill="auto"/>
          </w:tcPr>
          <w:p w:rsidR="009C0228" w:rsidRPr="008D3817" w:rsidRDefault="009C0228"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shd w:val="clear" w:color="auto" w:fill="auto"/>
          </w:tcPr>
          <w:p w:rsidR="009C0228" w:rsidRPr="008D3817" w:rsidRDefault="009C0228"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9C0228" w:rsidRPr="0083442A" w:rsidTr="008D3817">
        <w:trPr>
          <w:trHeight w:val="827"/>
        </w:trPr>
        <w:tc>
          <w:tcPr>
            <w:tcW w:w="1668" w:type="dxa"/>
            <w:vMerge/>
            <w:shd w:val="clear" w:color="auto" w:fill="auto"/>
          </w:tcPr>
          <w:p w:rsidR="009C0228" w:rsidRPr="008D3817" w:rsidRDefault="009C0228"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559" w:type="dxa"/>
            <w:vMerge/>
            <w:shd w:val="clear" w:color="auto" w:fill="auto"/>
          </w:tcPr>
          <w:p w:rsidR="009C0228" w:rsidRPr="008D3817" w:rsidRDefault="009C0228"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shd w:val="clear" w:color="auto" w:fill="auto"/>
          </w:tcPr>
          <w:p w:rsidR="009C0228" w:rsidRPr="004D4B33" w:rsidRDefault="009C0228" w:rsidP="008D3817">
            <w:pPr>
              <w:spacing w:after="0" w:line="240" w:lineRule="auto"/>
              <w:jc w:val="both"/>
              <w:rPr>
                <w:rFonts w:ascii="Times New Roman" w:hAnsi="Times New Roman"/>
                <w:bCs/>
                <w:iCs/>
                <w:sz w:val="20"/>
                <w:szCs w:val="20"/>
              </w:rPr>
            </w:pPr>
          </w:p>
        </w:tc>
        <w:tc>
          <w:tcPr>
            <w:tcW w:w="2693" w:type="dxa"/>
            <w:vMerge/>
            <w:shd w:val="clear" w:color="auto" w:fill="auto"/>
          </w:tcPr>
          <w:p w:rsidR="009C0228" w:rsidRPr="004D4B33" w:rsidRDefault="009C0228" w:rsidP="008D3817">
            <w:pPr>
              <w:widowControl w:val="0"/>
              <w:tabs>
                <w:tab w:val="left" w:pos="622"/>
              </w:tabs>
              <w:spacing w:after="0" w:line="240" w:lineRule="auto"/>
              <w:jc w:val="both"/>
              <w:rPr>
                <w:rFonts w:ascii="Times New Roman" w:hAnsi="Times New Roman"/>
                <w:bCs/>
                <w:iCs/>
                <w:sz w:val="20"/>
                <w:szCs w:val="20"/>
              </w:rPr>
            </w:pPr>
          </w:p>
        </w:tc>
        <w:tc>
          <w:tcPr>
            <w:tcW w:w="3119" w:type="dxa"/>
            <w:shd w:val="clear" w:color="auto" w:fill="auto"/>
          </w:tcPr>
          <w:p w:rsidR="009C0228" w:rsidRPr="004D4B33" w:rsidRDefault="009C0228" w:rsidP="008D3817">
            <w:pPr>
              <w:widowControl w:val="0"/>
              <w:tabs>
                <w:tab w:val="left" w:pos="622"/>
              </w:tabs>
              <w:spacing w:after="0" w:line="240" w:lineRule="auto"/>
              <w:jc w:val="both"/>
              <w:rPr>
                <w:rFonts w:ascii="Times New Roman" w:eastAsia="AngsanaUPC" w:hAnsi="Times New Roman"/>
                <w:bCs/>
                <w:sz w:val="20"/>
                <w:szCs w:val="20"/>
                <w:lang w:eastAsia="lt-LT"/>
              </w:rPr>
            </w:pPr>
            <w:r w:rsidRPr="004D4B33">
              <w:rPr>
                <w:rFonts w:ascii="Times New Roman" w:eastAsia="AngsanaUPC" w:hAnsi="Times New Roman"/>
                <w:bCs/>
                <w:sz w:val="20"/>
                <w:szCs w:val="20"/>
                <w:lang w:eastAsia="lt-LT"/>
              </w:rPr>
              <w:t>Viešuoju miesto transportu vežamų keleivių skaičius</w:t>
            </w:r>
          </w:p>
        </w:tc>
        <w:tc>
          <w:tcPr>
            <w:tcW w:w="850" w:type="dxa"/>
            <w:vMerge/>
            <w:shd w:val="clear" w:color="auto" w:fill="auto"/>
          </w:tcPr>
          <w:p w:rsidR="009C0228" w:rsidRPr="008D3817" w:rsidRDefault="009C0228"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276" w:type="dxa"/>
            <w:vMerge/>
            <w:shd w:val="clear" w:color="auto" w:fill="auto"/>
          </w:tcPr>
          <w:p w:rsidR="009C0228" w:rsidRPr="008D3817" w:rsidRDefault="009C0228"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shd w:val="clear" w:color="auto" w:fill="auto"/>
          </w:tcPr>
          <w:p w:rsidR="009C0228" w:rsidRPr="008D3817" w:rsidRDefault="009C0228"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3F26B8" w:rsidRPr="0083442A" w:rsidTr="009B7C0D">
        <w:trPr>
          <w:trHeight w:val="1384"/>
        </w:trPr>
        <w:tc>
          <w:tcPr>
            <w:tcW w:w="1668" w:type="dxa"/>
            <w:vMerge w:val="restart"/>
            <w:shd w:val="clear" w:color="auto" w:fill="auto"/>
          </w:tcPr>
          <w:p w:rsidR="003F26B8" w:rsidRPr="008D3817" w:rsidRDefault="003F26B8"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eastAsia="AngsanaUPC" w:hAnsi="Times New Roman"/>
                <w:bCs/>
                <w:sz w:val="20"/>
                <w:szCs w:val="20"/>
                <w:lang w:eastAsia="lt-LT"/>
              </w:rPr>
              <w:lastRenderedPageBreak/>
              <w:t>Aplinkosauga, gamtos išteklių darnus naudojimas ir prisitaikymas prie klimato kaitos</w:t>
            </w:r>
          </w:p>
        </w:tc>
        <w:tc>
          <w:tcPr>
            <w:tcW w:w="1559" w:type="dxa"/>
            <w:shd w:val="clear" w:color="auto" w:fill="auto"/>
          </w:tcPr>
          <w:p w:rsidR="003F26B8" w:rsidRPr="008D3817" w:rsidRDefault="003F26B8"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eastAsia="AngsanaUPC" w:hAnsi="Times New Roman"/>
                <w:bCs/>
                <w:sz w:val="20"/>
                <w:szCs w:val="20"/>
                <w:lang w:eastAsia="lt-LT"/>
              </w:rPr>
              <w:t>Prisitaikymo prie klimato kaitos, rizikos pr</w:t>
            </w:r>
            <w:r w:rsidR="0091347B">
              <w:rPr>
                <w:rFonts w:ascii="Times New Roman" w:eastAsia="AngsanaUPC" w:hAnsi="Times New Roman"/>
                <w:bCs/>
                <w:sz w:val="20"/>
                <w:szCs w:val="20"/>
                <w:lang w:eastAsia="lt-LT"/>
              </w:rPr>
              <w:t>evencijos ir valdymo skatinimas</w:t>
            </w:r>
          </w:p>
        </w:tc>
        <w:tc>
          <w:tcPr>
            <w:tcW w:w="2835" w:type="dxa"/>
            <w:shd w:val="clear" w:color="auto" w:fill="auto"/>
          </w:tcPr>
          <w:p w:rsidR="003F26B8" w:rsidRPr="004D4B33" w:rsidRDefault="003F26B8" w:rsidP="008D3817">
            <w:pPr>
              <w:spacing w:after="0" w:line="240" w:lineRule="auto"/>
              <w:jc w:val="both"/>
              <w:rPr>
                <w:rFonts w:ascii="Times New Roman" w:hAnsi="Times New Roman"/>
                <w:sz w:val="20"/>
                <w:szCs w:val="20"/>
              </w:rPr>
            </w:pPr>
            <w:r w:rsidRPr="004D4B33">
              <w:rPr>
                <w:rFonts w:ascii="Times New Roman" w:hAnsi="Times New Roman"/>
                <w:sz w:val="20"/>
                <w:szCs w:val="20"/>
              </w:rPr>
              <w:t>Investicijų, susijusių su prisitaikymu prie klimato kaitos, įskaitant pagrįstas ekosisteminiu požiūriu, skatinimas</w:t>
            </w:r>
          </w:p>
        </w:tc>
        <w:tc>
          <w:tcPr>
            <w:tcW w:w="2693" w:type="dxa"/>
            <w:shd w:val="clear" w:color="auto" w:fill="auto"/>
          </w:tcPr>
          <w:p w:rsidR="003F26B8" w:rsidRPr="004D4B33" w:rsidRDefault="003F26B8" w:rsidP="008D3817">
            <w:pPr>
              <w:widowControl w:val="0"/>
              <w:tabs>
                <w:tab w:val="left" w:pos="622"/>
              </w:tabs>
              <w:spacing w:after="0" w:line="240" w:lineRule="auto"/>
              <w:jc w:val="both"/>
              <w:rPr>
                <w:rFonts w:ascii="Times New Roman" w:eastAsia="AngsanaUPC" w:hAnsi="Times New Roman"/>
                <w:bCs/>
                <w:sz w:val="20"/>
                <w:szCs w:val="20"/>
                <w:lang w:eastAsia="lt-LT"/>
              </w:rPr>
            </w:pPr>
            <w:r w:rsidRPr="004D4B33">
              <w:rPr>
                <w:rFonts w:ascii="Times New Roman" w:eastAsia="AngsanaUPC" w:hAnsi="Times New Roman"/>
                <w:bCs/>
                <w:sz w:val="20"/>
                <w:szCs w:val="20"/>
                <w:lang w:eastAsia="lt-LT"/>
              </w:rPr>
              <w:t>Sumažinti dėl klimato kaitos atsirandančius nuostolius</w:t>
            </w:r>
          </w:p>
        </w:tc>
        <w:tc>
          <w:tcPr>
            <w:tcW w:w="3119" w:type="dxa"/>
            <w:shd w:val="clear" w:color="auto" w:fill="auto"/>
          </w:tcPr>
          <w:p w:rsidR="003F26B8" w:rsidRPr="004D4B33" w:rsidRDefault="003F26B8" w:rsidP="008D3817">
            <w:pPr>
              <w:widowControl w:val="0"/>
              <w:tabs>
                <w:tab w:val="left" w:pos="622"/>
              </w:tabs>
              <w:spacing w:after="0" w:line="240" w:lineRule="auto"/>
              <w:jc w:val="both"/>
              <w:rPr>
                <w:rFonts w:ascii="Times New Roman" w:eastAsia="AngsanaUPC" w:hAnsi="Times New Roman"/>
                <w:bCs/>
                <w:sz w:val="20"/>
                <w:szCs w:val="20"/>
                <w:lang w:eastAsia="lt-LT"/>
              </w:rPr>
            </w:pPr>
            <w:r w:rsidRPr="004D4B33">
              <w:rPr>
                <w:rFonts w:ascii="Times New Roman" w:eastAsia="AngsanaUPC" w:hAnsi="Times New Roman"/>
                <w:bCs/>
                <w:iCs/>
                <w:sz w:val="20"/>
                <w:szCs w:val="20"/>
                <w:lang w:eastAsia="lt-LT"/>
              </w:rPr>
              <w:t>Neigiamų potvynių padarinių potenciali žala ekonominei veiklai</w:t>
            </w:r>
          </w:p>
        </w:tc>
        <w:tc>
          <w:tcPr>
            <w:tcW w:w="850" w:type="dxa"/>
            <w:vMerge w:val="restart"/>
            <w:shd w:val="clear" w:color="auto" w:fill="auto"/>
          </w:tcPr>
          <w:p w:rsidR="003F26B8" w:rsidRPr="008D3817" w:rsidRDefault="003F26B8" w:rsidP="008D3817">
            <w:pPr>
              <w:widowControl w:val="0"/>
              <w:tabs>
                <w:tab w:val="left" w:pos="622"/>
              </w:tabs>
              <w:spacing w:after="0" w:line="240" w:lineRule="auto"/>
              <w:jc w:val="both"/>
              <w:rPr>
                <w:rFonts w:ascii="Times New Roman" w:eastAsia="AngsanaUPC" w:hAnsi="Times New Roman"/>
                <w:b/>
                <w:bCs/>
                <w:sz w:val="20"/>
                <w:szCs w:val="20"/>
                <w:lang w:eastAsia="lt-LT"/>
              </w:rPr>
            </w:pPr>
            <w:r w:rsidRPr="008D3817">
              <w:rPr>
                <w:rFonts w:ascii="Times New Roman" w:hAnsi="Times New Roman"/>
                <w:sz w:val="20"/>
                <w:szCs w:val="20"/>
              </w:rPr>
              <w:t>ERPF, SaF</w:t>
            </w:r>
          </w:p>
        </w:tc>
        <w:tc>
          <w:tcPr>
            <w:tcW w:w="1276" w:type="dxa"/>
            <w:vMerge w:val="restart"/>
            <w:shd w:val="clear" w:color="auto" w:fill="auto"/>
          </w:tcPr>
          <w:p w:rsidR="003F26B8" w:rsidRPr="008D3817" w:rsidRDefault="003F26B8"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eastAsia="AngsanaUPC" w:hAnsi="Times New Roman"/>
                <w:bCs/>
                <w:sz w:val="20"/>
                <w:szCs w:val="20"/>
                <w:lang w:eastAsia="lt-LT"/>
              </w:rPr>
              <w:t xml:space="preserve">ERPF: </w:t>
            </w:r>
            <w:r w:rsidR="00600A14">
              <w:rPr>
                <w:rFonts w:ascii="Times New Roman" w:eastAsia="AngsanaUPC" w:hAnsi="Times New Roman"/>
                <w:bCs/>
                <w:sz w:val="20"/>
                <w:szCs w:val="20"/>
                <w:lang w:eastAsia="lt-LT"/>
              </w:rPr>
              <w:t>198.080.709</w:t>
            </w:r>
          </w:p>
          <w:p w:rsidR="003F26B8" w:rsidRPr="008D3817" w:rsidRDefault="003F26B8" w:rsidP="008D3817">
            <w:pPr>
              <w:widowControl w:val="0"/>
              <w:tabs>
                <w:tab w:val="left" w:pos="622"/>
              </w:tabs>
              <w:spacing w:after="0" w:line="240" w:lineRule="auto"/>
              <w:jc w:val="both"/>
              <w:rPr>
                <w:rFonts w:ascii="Times New Roman" w:eastAsia="AngsanaUPC" w:hAnsi="Times New Roman"/>
                <w:bCs/>
                <w:sz w:val="20"/>
                <w:szCs w:val="20"/>
                <w:lang w:eastAsia="lt-LT"/>
              </w:rPr>
            </w:pPr>
          </w:p>
          <w:p w:rsidR="00311D4A" w:rsidRPr="005E52CE" w:rsidRDefault="003F26B8" w:rsidP="00311D4A">
            <w:pPr>
              <w:shd w:val="clear" w:color="auto" w:fill="FFFFFF"/>
              <w:autoSpaceDE w:val="0"/>
              <w:autoSpaceDN w:val="0"/>
              <w:adjustRightInd w:val="0"/>
              <w:spacing w:after="0" w:line="240" w:lineRule="auto"/>
              <w:rPr>
                <w:rFonts w:ascii="Times New Roman" w:eastAsia="Times New Roman" w:hAnsi="Times New Roman"/>
                <w:strike/>
                <w:sz w:val="20"/>
                <w:szCs w:val="20"/>
                <w:highlight w:val="yellow"/>
              </w:rPr>
            </w:pPr>
            <w:r w:rsidRPr="005E52CE">
              <w:rPr>
                <w:rFonts w:ascii="Times New Roman" w:eastAsia="AngsanaUPC" w:hAnsi="Times New Roman"/>
                <w:bCs/>
                <w:sz w:val="20"/>
                <w:szCs w:val="20"/>
                <w:lang w:eastAsia="lt-LT"/>
              </w:rPr>
              <w:t xml:space="preserve">SaF: </w:t>
            </w:r>
            <w:r w:rsidR="00600A14">
              <w:rPr>
                <w:rFonts w:ascii="Times New Roman" w:eastAsia="Times New Roman" w:hAnsi="Times New Roman"/>
                <w:sz w:val="20"/>
                <w:szCs w:val="20"/>
              </w:rPr>
              <w:t>712.999.887</w:t>
            </w:r>
            <w:r w:rsidR="00311D4A" w:rsidRPr="005E52CE">
              <w:rPr>
                <w:rFonts w:ascii="Times New Roman" w:eastAsia="Times New Roman" w:hAnsi="Times New Roman"/>
                <w:strike/>
                <w:sz w:val="20"/>
                <w:szCs w:val="20"/>
              </w:rPr>
              <w:t xml:space="preserve"> </w:t>
            </w:r>
          </w:p>
          <w:p w:rsidR="003F26B8" w:rsidRPr="008D3817" w:rsidRDefault="003F26B8" w:rsidP="008D3817">
            <w:pPr>
              <w:widowControl w:val="0"/>
              <w:tabs>
                <w:tab w:val="left" w:pos="622"/>
              </w:tabs>
              <w:spacing w:after="0" w:line="240" w:lineRule="auto"/>
              <w:jc w:val="both"/>
              <w:rPr>
                <w:rFonts w:ascii="Times New Roman" w:eastAsia="AngsanaUPC" w:hAnsi="Times New Roman"/>
                <w:bCs/>
                <w:sz w:val="20"/>
                <w:szCs w:val="20"/>
                <w:lang w:eastAsia="lt-LT"/>
              </w:rPr>
            </w:pPr>
          </w:p>
          <w:p w:rsidR="003F26B8" w:rsidRPr="003E71A2" w:rsidRDefault="003F26B8" w:rsidP="008D3817">
            <w:pPr>
              <w:widowControl w:val="0"/>
              <w:tabs>
                <w:tab w:val="left" w:pos="622"/>
              </w:tabs>
              <w:spacing w:after="0" w:line="240" w:lineRule="auto"/>
              <w:jc w:val="both"/>
              <w:rPr>
                <w:rFonts w:ascii="Times New Roman" w:eastAsia="AngsanaUPC" w:hAnsi="Times New Roman"/>
                <w:bCs/>
                <w:sz w:val="18"/>
                <w:szCs w:val="18"/>
                <w:lang w:eastAsia="lt-LT"/>
              </w:rPr>
            </w:pPr>
            <w:r w:rsidRPr="008D3817">
              <w:rPr>
                <w:rFonts w:ascii="Times New Roman" w:eastAsia="AngsanaUPC" w:hAnsi="Times New Roman"/>
                <w:bCs/>
                <w:sz w:val="20"/>
                <w:szCs w:val="20"/>
                <w:lang w:eastAsia="lt-LT"/>
              </w:rPr>
              <w:t>(</w:t>
            </w:r>
            <w:r w:rsidRPr="003E71A2">
              <w:rPr>
                <w:rFonts w:ascii="Times New Roman" w:eastAsia="AngsanaUPC" w:hAnsi="Times New Roman"/>
                <w:bCs/>
                <w:sz w:val="18"/>
                <w:szCs w:val="18"/>
                <w:lang w:eastAsia="lt-LT"/>
              </w:rPr>
              <w:t xml:space="preserve">iš jų pagal 5 teminį tikslą </w:t>
            </w:r>
          </w:p>
          <w:p w:rsidR="003F26B8" w:rsidRPr="003E71A2" w:rsidRDefault="003F26B8" w:rsidP="008D3817">
            <w:pPr>
              <w:widowControl w:val="0"/>
              <w:tabs>
                <w:tab w:val="left" w:pos="622"/>
              </w:tabs>
              <w:spacing w:after="0" w:line="240" w:lineRule="auto"/>
              <w:jc w:val="both"/>
              <w:rPr>
                <w:rFonts w:ascii="Times New Roman" w:eastAsia="AngsanaUPC" w:hAnsi="Times New Roman"/>
                <w:bCs/>
                <w:sz w:val="18"/>
                <w:szCs w:val="18"/>
                <w:lang w:eastAsia="lt-LT"/>
              </w:rPr>
            </w:pPr>
            <w:r w:rsidRPr="003E71A2">
              <w:rPr>
                <w:rFonts w:ascii="Times New Roman" w:eastAsia="AngsanaUPC" w:hAnsi="Times New Roman"/>
                <w:bCs/>
                <w:sz w:val="18"/>
                <w:szCs w:val="18"/>
                <w:lang w:eastAsia="lt-LT"/>
              </w:rPr>
              <w:t xml:space="preserve">ERPF: </w:t>
            </w:r>
            <w:r w:rsidR="00600A14">
              <w:rPr>
                <w:rFonts w:ascii="Times New Roman" w:eastAsia="AngsanaUPC" w:hAnsi="Times New Roman"/>
                <w:bCs/>
                <w:sz w:val="18"/>
                <w:szCs w:val="18"/>
                <w:lang w:eastAsia="lt-LT"/>
              </w:rPr>
              <w:t>17.567.010</w:t>
            </w:r>
          </w:p>
          <w:p w:rsidR="003F26B8" w:rsidRPr="008D3817" w:rsidRDefault="003F26B8" w:rsidP="008D3817">
            <w:pPr>
              <w:widowControl w:val="0"/>
              <w:tabs>
                <w:tab w:val="left" w:pos="622"/>
              </w:tabs>
              <w:spacing w:after="0" w:line="240" w:lineRule="auto"/>
              <w:jc w:val="both"/>
              <w:rPr>
                <w:rFonts w:ascii="Times New Roman" w:eastAsia="AngsanaUPC" w:hAnsi="Times New Roman"/>
                <w:bCs/>
                <w:sz w:val="20"/>
                <w:szCs w:val="20"/>
                <w:lang w:eastAsia="lt-LT"/>
              </w:rPr>
            </w:pPr>
            <w:r w:rsidRPr="003E71A2">
              <w:rPr>
                <w:rFonts w:ascii="Times New Roman" w:eastAsia="AngsanaUPC" w:hAnsi="Times New Roman"/>
                <w:bCs/>
                <w:sz w:val="18"/>
                <w:szCs w:val="18"/>
                <w:lang w:eastAsia="lt-LT"/>
              </w:rPr>
              <w:t>SaF: 104.842.447</w:t>
            </w:r>
            <w:r w:rsidRPr="008D3817">
              <w:rPr>
                <w:rFonts w:ascii="Times New Roman" w:eastAsia="AngsanaUPC" w:hAnsi="Times New Roman"/>
                <w:bCs/>
                <w:sz w:val="20"/>
                <w:szCs w:val="20"/>
                <w:lang w:eastAsia="lt-LT"/>
              </w:rPr>
              <w:t>)</w:t>
            </w:r>
          </w:p>
        </w:tc>
        <w:tc>
          <w:tcPr>
            <w:tcW w:w="1134" w:type="dxa"/>
            <w:vMerge w:val="restart"/>
            <w:shd w:val="clear" w:color="auto" w:fill="auto"/>
          </w:tcPr>
          <w:p w:rsidR="003F26B8" w:rsidRPr="005E52CE" w:rsidRDefault="00311D4A" w:rsidP="009C0228">
            <w:pPr>
              <w:shd w:val="clear" w:color="auto" w:fill="FFFFFF"/>
              <w:autoSpaceDE w:val="0"/>
              <w:autoSpaceDN w:val="0"/>
              <w:adjustRightInd w:val="0"/>
              <w:spacing w:after="120" w:line="240" w:lineRule="auto"/>
              <w:rPr>
                <w:rFonts w:ascii="Times New Roman" w:eastAsia="Times New Roman" w:hAnsi="Times New Roman"/>
                <w:sz w:val="20"/>
                <w:szCs w:val="20"/>
                <w:highlight w:val="yellow"/>
              </w:rPr>
            </w:pPr>
            <w:r w:rsidRPr="005E52CE">
              <w:rPr>
                <w:rFonts w:ascii="Times New Roman" w:eastAsia="Times New Roman" w:hAnsi="Times New Roman"/>
                <w:sz w:val="20"/>
                <w:szCs w:val="20"/>
              </w:rPr>
              <w:t>1</w:t>
            </w:r>
            <w:r w:rsidR="009C0228">
              <w:rPr>
                <w:rFonts w:ascii="Times New Roman" w:eastAsia="Times New Roman" w:hAnsi="Times New Roman"/>
                <w:sz w:val="20"/>
                <w:szCs w:val="20"/>
              </w:rPr>
              <w:t>2</w:t>
            </w:r>
            <w:r w:rsidRPr="005E52CE">
              <w:rPr>
                <w:rFonts w:ascii="Times New Roman" w:eastAsia="Times New Roman" w:hAnsi="Times New Roman"/>
                <w:sz w:val="20"/>
                <w:szCs w:val="20"/>
              </w:rPr>
              <w:t>,</w:t>
            </w:r>
            <w:r w:rsidR="009C0228">
              <w:rPr>
                <w:rFonts w:ascii="Times New Roman" w:eastAsia="Times New Roman" w:hAnsi="Times New Roman"/>
                <w:sz w:val="20"/>
                <w:szCs w:val="20"/>
              </w:rPr>
              <w:t>96</w:t>
            </w:r>
            <w:r w:rsidRPr="005E52CE">
              <w:rPr>
                <w:rFonts w:ascii="Times New Roman" w:eastAsia="Times New Roman" w:hAnsi="Times New Roman"/>
                <w:sz w:val="20"/>
                <w:szCs w:val="20"/>
              </w:rPr>
              <w:t xml:space="preserve"> %</w:t>
            </w:r>
          </w:p>
        </w:tc>
      </w:tr>
      <w:tr w:rsidR="003F26B8" w:rsidRPr="0083442A" w:rsidTr="009B7C0D">
        <w:trPr>
          <w:trHeight w:val="440"/>
        </w:trPr>
        <w:tc>
          <w:tcPr>
            <w:tcW w:w="1668" w:type="dxa"/>
            <w:vMerge/>
            <w:shd w:val="clear" w:color="auto" w:fill="auto"/>
          </w:tcPr>
          <w:p w:rsidR="003F26B8" w:rsidRPr="008D3817" w:rsidRDefault="003F26B8"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559" w:type="dxa"/>
            <w:vMerge w:val="restart"/>
            <w:shd w:val="clear" w:color="auto" w:fill="auto"/>
          </w:tcPr>
          <w:p w:rsidR="003F26B8" w:rsidRPr="008D3817" w:rsidRDefault="003F26B8"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eastAsia="AngsanaUPC" w:hAnsi="Times New Roman"/>
                <w:bCs/>
                <w:sz w:val="20"/>
                <w:szCs w:val="20"/>
                <w:lang w:eastAsia="lt-LT"/>
              </w:rPr>
              <w:t>Aplinkosauga ir išteklių na</w:t>
            </w:r>
            <w:r w:rsidR="0091347B">
              <w:rPr>
                <w:rFonts w:ascii="Times New Roman" w:eastAsia="AngsanaUPC" w:hAnsi="Times New Roman"/>
                <w:bCs/>
                <w:sz w:val="20"/>
                <w:szCs w:val="20"/>
                <w:lang w:eastAsia="lt-LT"/>
              </w:rPr>
              <w:t>udojimo veiksmingumo skatinimas</w:t>
            </w:r>
          </w:p>
        </w:tc>
        <w:tc>
          <w:tcPr>
            <w:tcW w:w="2835" w:type="dxa"/>
            <w:vMerge w:val="restart"/>
            <w:shd w:val="clear" w:color="auto" w:fill="auto"/>
          </w:tcPr>
          <w:p w:rsidR="003F26B8" w:rsidRPr="004D4B33" w:rsidRDefault="003F26B8" w:rsidP="008D3817">
            <w:pPr>
              <w:spacing w:after="0" w:line="240" w:lineRule="auto"/>
              <w:jc w:val="both"/>
              <w:rPr>
                <w:rFonts w:ascii="Times New Roman" w:hAnsi="Times New Roman"/>
                <w:sz w:val="20"/>
                <w:szCs w:val="20"/>
              </w:rPr>
            </w:pPr>
            <w:r w:rsidRPr="004D4B33">
              <w:rPr>
                <w:rFonts w:ascii="Times New Roman" w:hAnsi="Times New Roman"/>
                <w:sz w:val="20"/>
                <w:szCs w:val="20"/>
              </w:rPr>
              <w:t xml:space="preserve">Investicijos į atliekų sektorių, siekiant įvykdyti ES aplinkos </w:t>
            </w:r>
            <w:r w:rsidRPr="004D4B33">
              <w:rPr>
                <w:rFonts w:ascii="Times New Roman" w:hAnsi="Times New Roman"/>
                <w:i/>
                <w:sz w:val="20"/>
                <w:szCs w:val="20"/>
              </w:rPr>
              <w:t>acquis</w:t>
            </w:r>
            <w:r w:rsidRPr="004D4B33">
              <w:rPr>
                <w:rFonts w:ascii="Times New Roman" w:hAnsi="Times New Roman"/>
                <w:sz w:val="20"/>
                <w:szCs w:val="20"/>
              </w:rPr>
              <w:t xml:space="preserve"> reikalavimus ir patenkinti valstybių narių nustatytus poreikius, viršijančius tuos reikalavimus</w:t>
            </w:r>
          </w:p>
        </w:tc>
        <w:tc>
          <w:tcPr>
            <w:tcW w:w="2693" w:type="dxa"/>
            <w:vMerge w:val="restart"/>
            <w:shd w:val="clear" w:color="auto" w:fill="auto"/>
          </w:tcPr>
          <w:p w:rsidR="003F26B8" w:rsidRPr="004D4B33" w:rsidRDefault="003F26B8" w:rsidP="008D3817">
            <w:pPr>
              <w:widowControl w:val="0"/>
              <w:tabs>
                <w:tab w:val="left" w:pos="622"/>
              </w:tabs>
              <w:spacing w:after="0" w:line="240" w:lineRule="auto"/>
              <w:jc w:val="both"/>
              <w:rPr>
                <w:rFonts w:ascii="Times New Roman" w:eastAsia="AngsanaUPC" w:hAnsi="Times New Roman"/>
                <w:bCs/>
                <w:sz w:val="20"/>
                <w:szCs w:val="20"/>
                <w:lang w:eastAsia="lt-LT"/>
              </w:rPr>
            </w:pPr>
            <w:r w:rsidRPr="004D4B33">
              <w:rPr>
                <w:rFonts w:ascii="Times New Roman" w:eastAsia="AngsanaUPC" w:hAnsi="Times New Roman"/>
                <w:bCs/>
                <w:sz w:val="20"/>
                <w:szCs w:val="20"/>
                <w:lang w:eastAsia="lt-LT"/>
              </w:rPr>
              <w:t>Sumažinti sąvartynuose šalinamų komunalinių atliekų kiekį ir užtikrinti tinkamą radioaktyvių atliekų saugojimą</w:t>
            </w:r>
          </w:p>
        </w:tc>
        <w:tc>
          <w:tcPr>
            <w:tcW w:w="3119" w:type="dxa"/>
            <w:shd w:val="clear" w:color="auto" w:fill="auto"/>
            <w:vAlign w:val="center"/>
          </w:tcPr>
          <w:p w:rsidR="003F26B8" w:rsidRPr="004D4B33" w:rsidRDefault="003F26B8" w:rsidP="008D3817">
            <w:pPr>
              <w:widowControl w:val="0"/>
              <w:tabs>
                <w:tab w:val="left" w:pos="622"/>
              </w:tabs>
              <w:spacing w:after="0" w:line="240" w:lineRule="auto"/>
              <w:jc w:val="both"/>
              <w:rPr>
                <w:rFonts w:ascii="Times New Roman" w:hAnsi="Times New Roman"/>
                <w:sz w:val="20"/>
                <w:szCs w:val="20"/>
              </w:rPr>
            </w:pPr>
            <w:r w:rsidRPr="004D4B33">
              <w:rPr>
                <w:rFonts w:ascii="Times New Roman" w:hAnsi="Times New Roman"/>
                <w:sz w:val="20"/>
                <w:szCs w:val="20"/>
              </w:rPr>
              <w:t>Sąvartynuose šalinamų komunalinių atliekų dalis</w:t>
            </w:r>
          </w:p>
        </w:tc>
        <w:tc>
          <w:tcPr>
            <w:tcW w:w="850" w:type="dxa"/>
            <w:vMerge/>
            <w:shd w:val="clear" w:color="auto" w:fill="auto"/>
          </w:tcPr>
          <w:p w:rsidR="003F26B8" w:rsidRPr="008D3817" w:rsidRDefault="003F26B8"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276" w:type="dxa"/>
            <w:vMerge/>
            <w:shd w:val="clear" w:color="auto" w:fill="auto"/>
          </w:tcPr>
          <w:p w:rsidR="003F26B8" w:rsidRPr="008D3817" w:rsidRDefault="003F26B8"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shd w:val="clear" w:color="auto" w:fill="auto"/>
          </w:tcPr>
          <w:p w:rsidR="003F26B8" w:rsidRPr="008D3817" w:rsidRDefault="003F26B8"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3F26B8" w:rsidRPr="0083442A" w:rsidTr="009B7C0D">
        <w:trPr>
          <w:trHeight w:val="338"/>
        </w:trPr>
        <w:tc>
          <w:tcPr>
            <w:tcW w:w="1668" w:type="dxa"/>
            <w:vMerge/>
            <w:shd w:val="clear" w:color="auto" w:fill="auto"/>
          </w:tcPr>
          <w:p w:rsidR="003F26B8" w:rsidRPr="008D3817" w:rsidRDefault="003F26B8"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559" w:type="dxa"/>
            <w:vMerge/>
            <w:shd w:val="clear" w:color="auto" w:fill="auto"/>
          </w:tcPr>
          <w:p w:rsidR="003F26B8" w:rsidRPr="008D3817" w:rsidRDefault="003F26B8"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shd w:val="clear" w:color="auto" w:fill="auto"/>
          </w:tcPr>
          <w:p w:rsidR="003F26B8" w:rsidRPr="004D4B33" w:rsidRDefault="003F26B8" w:rsidP="008D3817">
            <w:pPr>
              <w:spacing w:after="0" w:line="240" w:lineRule="auto"/>
              <w:jc w:val="both"/>
              <w:rPr>
                <w:rFonts w:ascii="Times New Roman" w:hAnsi="Times New Roman"/>
                <w:sz w:val="20"/>
                <w:szCs w:val="20"/>
              </w:rPr>
            </w:pPr>
          </w:p>
        </w:tc>
        <w:tc>
          <w:tcPr>
            <w:tcW w:w="2693" w:type="dxa"/>
            <w:vMerge/>
            <w:shd w:val="clear" w:color="auto" w:fill="auto"/>
          </w:tcPr>
          <w:p w:rsidR="003F26B8" w:rsidRPr="004D4B33" w:rsidRDefault="003F26B8"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3119" w:type="dxa"/>
            <w:shd w:val="clear" w:color="auto" w:fill="auto"/>
            <w:vAlign w:val="center"/>
          </w:tcPr>
          <w:p w:rsidR="003F26B8" w:rsidRPr="004D4B33" w:rsidRDefault="003F26B8" w:rsidP="008D3817">
            <w:pPr>
              <w:widowControl w:val="0"/>
              <w:tabs>
                <w:tab w:val="left" w:pos="622"/>
              </w:tabs>
              <w:spacing w:after="0" w:line="240" w:lineRule="auto"/>
              <w:jc w:val="both"/>
              <w:rPr>
                <w:rFonts w:ascii="Times New Roman" w:hAnsi="Times New Roman"/>
                <w:sz w:val="20"/>
                <w:szCs w:val="20"/>
              </w:rPr>
            </w:pPr>
            <w:r w:rsidRPr="004D4B33">
              <w:rPr>
                <w:rFonts w:ascii="Times New Roman" w:hAnsi="Times New Roman"/>
                <w:sz w:val="20"/>
                <w:szCs w:val="20"/>
              </w:rPr>
              <w:t>Komunalinių atliekų sraute esančių popieriaus, plastiko, metalo, stiklo</w:t>
            </w:r>
            <w:r w:rsidR="00372023" w:rsidRPr="004D4B33">
              <w:rPr>
                <w:rFonts w:ascii="Times New Roman" w:hAnsi="Times New Roman"/>
                <w:sz w:val="20"/>
                <w:szCs w:val="20"/>
              </w:rPr>
              <w:t xml:space="preserve"> atliekų dalis,</w:t>
            </w:r>
            <w:r w:rsidRPr="004D4B33">
              <w:rPr>
                <w:rFonts w:ascii="Times New Roman" w:hAnsi="Times New Roman"/>
                <w:sz w:val="20"/>
                <w:szCs w:val="20"/>
              </w:rPr>
              <w:t xml:space="preserve"> paruošta pakartotinai naudoti ar perdirbti</w:t>
            </w:r>
          </w:p>
        </w:tc>
        <w:tc>
          <w:tcPr>
            <w:tcW w:w="850" w:type="dxa"/>
            <w:vMerge/>
            <w:shd w:val="clear" w:color="auto" w:fill="auto"/>
          </w:tcPr>
          <w:p w:rsidR="003F26B8" w:rsidRPr="008D3817" w:rsidRDefault="003F26B8"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276" w:type="dxa"/>
            <w:vMerge/>
            <w:shd w:val="clear" w:color="auto" w:fill="auto"/>
          </w:tcPr>
          <w:p w:rsidR="003F26B8" w:rsidRPr="008D3817" w:rsidRDefault="003F26B8"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shd w:val="clear" w:color="auto" w:fill="auto"/>
          </w:tcPr>
          <w:p w:rsidR="003F26B8" w:rsidRPr="008D3817" w:rsidRDefault="003F26B8"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3F26B8" w:rsidRPr="0083442A" w:rsidTr="009B7C0D">
        <w:trPr>
          <w:trHeight w:val="403"/>
        </w:trPr>
        <w:tc>
          <w:tcPr>
            <w:tcW w:w="1668" w:type="dxa"/>
            <w:vMerge/>
            <w:shd w:val="clear" w:color="auto" w:fill="auto"/>
          </w:tcPr>
          <w:p w:rsidR="003F26B8" w:rsidRPr="008D3817" w:rsidRDefault="003F26B8"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559" w:type="dxa"/>
            <w:vMerge/>
            <w:shd w:val="clear" w:color="auto" w:fill="auto"/>
          </w:tcPr>
          <w:p w:rsidR="003F26B8" w:rsidRPr="008D3817" w:rsidRDefault="003F26B8"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val="restart"/>
            <w:shd w:val="clear" w:color="auto" w:fill="auto"/>
          </w:tcPr>
          <w:p w:rsidR="003F26B8" w:rsidRPr="004D4B33" w:rsidRDefault="003F26B8" w:rsidP="008D3817">
            <w:pPr>
              <w:spacing w:after="0" w:line="240" w:lineRule="auto"/>
              <w:jc w:val="both"/>
              <w:rPr>
                <w:rFonts w:ascii="Times New Roman" w:hAnsi="Times New Roman"/>
                <w:sz w:val="20"/>
                <w:szCs w:val="20"/>
              </w:rPr>
            </w:pPr>
            <w:r w:rsidRPr="004D4B33">
              <w:rPr>
                <w:rFonts w:ascii="Times New Roman" w:hAnsi="Times New Roman"/>
                <w:sz w:val="20"/>
                <w:szCs w:val="20"/>
              </w:rPr>
              <w:t xml:space="preserve">Investicijos į vandens sektorių, siekiant įvykdyti ES aplinkos </w:t>
            </w:r>
            <w:r w:rsidRPr="004D4B33">
              <w:rPr>
                <w:rFonts w:ascii="Times New Roman" w:hAnsi="Times New Roman"/>
                <w:i/>
                <w:sz w:val="20"/>
                <w:szCs w:val="20"/>
              </w:rPr>
              <w:t>acquis</w:t>
            </w:r>
            <w:r w:rsidRPr="004D4B33">
              <w:rPr>
                <w:rFonts w:ascii="Times New Roman" w:hAnsi="Times New Roman"/>
                <w:sz w:val="20"/>
                <w:szCs w:val="20"/>
              </w:rPr>
              <w:t xml:space="preserve"> reikalavimus ir patenkinti valstybių narių nustatytus poreikius, viršijančius tuos reikalavimus</w:t>
            </w:r>
          </w:p>
        </w:tc>
        <w:tc>
          <w:tcPr>
            <w:tcW w:w="2693" w:type="dxa"/>
            <w:vMerge w:val="restart"/>
            <w:shd w:val="clear" w:color="auto" w:fill="auto"/>
          </w:tcPr>
          <w:p w:rsidR="003F26B8" w:rsidRPr="004D4B33" w:rsidRDefault="003F26B8" w:rsidP="008D3817">
            <w:pPr>
              <w:widowControl w:val="0"/>
              <w:tabs>
                <w:tab w:val="left" w:pos="622"/>
              </w:tabs>
              <w:spacing w:after="0" w:line="240" w:lineRule="auto"/>
              <w:jc w:val="both"/>
              <w:rPr>
                <w:rFonts w:ascii="Times New Roman" w:eastAsia="AngsanaUPC" w:hAnsi="Times New Roman"/>
                <w:bCs/>
                <w:sz w:val="20"/>
                <w:szCs w:val="20"/>
                <w:lang w:eastAsia="lt-LT"/>
              </w:rPr>
            </w:pPr>
            <w:r w:rsidRPr="004D4B33">
              <w:rPr>
                <w:rFonts w:ascii="Times New Roman" w:eastAsia="AngsanaUPC" w:hAnsi="Times New Roman"/>
                <w:bCs/>
                <w:sz w:val="20"/>
                <w:szCs w:val="20"/>
                <w:lang w:eastAsia="lt-LT"/>
              </w:rPr>
              <w:t>Pagerinti Baltijos jūros ir kitų paviršinių vandens telkinių būklę</w:t>
            </w:r>
          </w:p>
        </w:tc>
        <w:tc>
          <w:tcPr>
            <w:tcW w:w="3119" w:type="dxa"/>
            <w:shd w:val="clear" w:color="auto" w:fill="auto"/>
            <w:vAlign w:val="center"/>
          </w:tcPr>
          <w:p w:rsidR="003F26B8" w:rsidRPr="004D4B33" w:rsidRDefault="003F26B8" w:rsidP="008D3817">
            <w:pPr>
              <w:widowControl w:val="0"/>
              <w:tabs>
                <w:tab w:val="left" w:pos="622"/>
              </w:tabs>
              <w:spacing w:after="0" w:line="240" w:lineRule="auto"/>
              <w:jc w:val="both"/>
              <w:rPr>
                <w:rFonts w:ascii="Times New Roman" w:eastAsia="AngsanaUPC" w:hAnsi="Times New Roman"/>
                <w:bCs/>
                <w:iCs/>
                <w:sz w:val="20"/>
                <w:szCs w:val="20"/>
                <w:lang w:eastAsia="lt-LT"/>
              </w:rPr>
            </w:pPr>
            <w:r w:rsidRPr="004D4B33">
              <w:rPr>
                <w:rFonts w:ascii="Times New Roman" w:eastAsia="AngsanaUPC" w:hAnsi="Times New Roman"/>
                <w:bCs/>
                <w:iCs/>
                <w:sz w:val="20"/>
                <w:szCs w:val="20"/>
                <w:lang w:eastAsia="lt-LT"/>
              </w:rPr>
              <w:t>Vidutinė bendro azoto koncentracija Lietuvos Baltijos jūros teritoriniuose vandenyse</w:t>
            </w:r>
          </w:p>
        </w:tc>
        <w:tc>
          <w:tcPr>
            <w:tcW w:w="850" w:type="dxa"/>
            <w:vMerge/>
            <w:shd w:val="clear" w:color="auto" w:fill="auto"/>
          </w:tcPr>
          <w:p w:rsidR="003F26B8" w:rsidRPr="008D3817" w:rsidRDefault="003F26B8"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276" w:type="dxa"/>
            <w:vMerge/>
            <w:shd w:val="clear" w:color="auto" w:fill="auto"/>
          </w:tcPr>
          <w:p w:rsidR="003F26B8" w:rsidRPr="008D3817" w:rsidRDefault="003F26B8"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shd w:val="clear" w:color="auto" w:fill="auto"/>
          </w:tcPr>
          <w:p w:rsidR="003F26B8" w:rsidRPr="008D3817" w:rsidRDefault="003F26B8"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3F26B8" w:rsidRPr="0083442A" w:rsidTr="009B7C0D">
        <w:trPr>
          <w:trHeight w:val="346"/>
        </w:trPr>
        <w:tc>
          <w:tcPr>
            <w:tcW w:w="1668" w:type="dxa"/>
            <w:vMerge/>
            <w:shd w:val="clear" w:color="auto" w:fill="auto"/>
          </w:tcPr>
          <w:p w:rsidR="003F26B8" w:rsidRPr="008D3817" w:rsidRDefault="003F26B8"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559" w:type="dxa"/>
            <w:vMerge/>
            <w:shd w:val="clear" w:color="auto" w:fill="auto"/>
          </w:tcPr>
          <w:p w:rsidR="003F26B8" w:rsidRPr="008D3817" w:rsidRDefault="003F26B8"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shd w:val="clear" w:color="auto" w:fill="auto"/>
          </w:tcPr>
          <w:p w:rsidR="003F26B8" w:rsidRPr="004D4B33" w:rsidRDefault="003F26B8" w:rsidP="008D3817">
            <w:pPr>
              <w:spacing w:after="0" w:line="240" w:lineRule="auto"/>
              <w:jc w:val="both"/>
              <w:rPr>
                <w:rFonts w:ascii="Times New Roman" w:hAnsi="Times New Roman"/>
                <w:sz w:val="20"/>
                <w:szCs w:val="20"/>
              </w:rPr>
            </w:pPr>
          </w:p>
        </w:tc>
        <w:tc>
          <w:tcPr>
            <w:tcW w:w="2693" w:type="dxa"/>
            <w:vMerge/>
            <w:shd w:val="clear" w:color="auto" w:fill="auto"/>
          </w:tcPr>
          <w:p w:rsidR="003F26B8" w:rsidRPr="004D4B33" w:rsidRDefault="003F26B8"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3119" w:type="dxa"/>
            <w:shd w:val="clear" w:color="auto" w:fill="auto"/>
            <w:vAlign w:val="center"/>
          </w:tcPr>
          <w:p w:rsidR="003F26B8" w:rsidRPr="004D4B33" w:rsidRDefault="003F26B8" w:rsidP="008D3817">
            <w:pPr>
              <w:widowControl w:val="0"/>
              <w:tabs>
                <w:tab w:val="left" w:pos="622"/>
              </w:tabs>
              <w:spacing w:after="0" w:line="240" w:lineRule="auto"/>
              <w:jc w:val="both"/>
              <w:rPr>
                <w:rFonts w:ascii="Times New Roman" w:eastAsia="AngsanaUPC" w:hAnsi="Times New Roman"/>
                <w:bCs/>
                <w:iCs/>
                <w:sz w:val="20"/>
                <w:szCs w:val="20"/>
                <w:lang w:eastAsia="lt-LT"/>
              </w:rPr>
            </w:pPr>
            <w:r w:rsidRPr="004D4B33">
              <w:rPr>
                <w:rFonts w:ascii="Times New Roman" w:eastAsia="AngsanaUPC" w:hAnsi="Times New Roman"/>
                <w:bCs/>
                <w:iCs/>
                <w:sz w:val="20"/>
                <w:szCs w:val="20"/>
                <w:lang w:eastAsia="lt-LT"/>
              </w:rPr>
              <w:t>Geros būklės paviršinių vandens telkinių dalis</w:t>
            </w:r>
          </w:p>
        </w:tc>
        <w:tc>
          <w:tcPr>
            <w:tcW w:w="850" w:type="dxa"/>
            <w:vMerge/>
            <w:shd w:val="clear" w:color="auto" w:fill="auto"/>
          </w:tcPr>
          <w:p w:rsidR="003F26B8" w:rsidRPr="008D3817" w:rsidRDefault="003F26B8"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276" w:type="dxa"/>
            <w:vMerge/>
            <w:shd w:val="clear" w:color="auto" w:fill="auto"/>
          </w:tcPr>
          <w:p w:rsidR="003F26B8" w:rsidRPr="008D3817" w:rsidRDefault="003F26B8"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shd w:val="clear" w:color="auto" w:fill="auto"/>
          </w:tcPr>
          <w:p w:rsidR="003F26B8" w:rsidRPr="008D3817" w:rsidRDefault="003F26B8"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3F26B8" w:rsidRPr="0083442A" w:rsidTr="009B7C0D">
        <w:trPr>
          <w:trHeight w:val="237"/>
        </w:trPr>
        <w:tc>
          <w:tcPr>
            <w:tcW w:w="1668" w:type="dxa"/>
            <w:vMerge/>
            <w:shd w:val="clear" w:color="auto" w:fill="auto"/>
          </w:tcPr>
          <w:p w:rsidR="003F26B8" w:rsidRPr="008D3817" w:rsidRDefault="003F26B8"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559" w:type="dxa"/>
            <w:vMerge/>
            <w:shd w:val="clear" w:color="auto" w:fill="auto"/>
          </w:tcPr>
          <w:p w:rsidR="003F26B8" w:rsidRPr="008D3817" w:rsidRDefault="003F26B8"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shd w:val="clear" w:color="auto" w:fill="auto"/>
          </w:tcPr>
          <w:p w:rsidR="003F26B8" w:rsidRPr="004D4B33" w:rsidRDefault="003F26B8" w:rsidP="008D3817">
            <w:pPr>
              <w:spacing w:after="0" w:line="240" w:lineRule="auto"/>
              <w:jc w:val="both"/>
              <w:rPr>
                <w:rFonts w:ascii="Times New Roman" w:hAnsi="Times New Roman"/>
                <w:sz w:val="20"/>
                <w:szCs w:val="20"/>
              </w:rPr>
            </w:pPr>
          </w:p>
        </w:tc>
        <w:tc>
          <w:tcPr>
            <w:tcW w:w="2693" w:type="dxa"/>
            <w:vMerge w:val="restart"/>
            <w:shd w:val="clear" w:color="auto" w:fill="auto"/>
          </w:tcPr>
          <w:p w:rsidR="003F26B8" w:rsidRPr="004D4B33" w:rsidRDefault="003F26B8" w:rsidP="008D3817">
            <w:pPr>
              <w:widowControl w:val="0"/>
              <w:tabs>
                <w:tab w:val="left" w:pos="622"/>
              </w:tabs>
              <w:spacing w:after="0" w:line="240" w:lineRule="auto"/>
              <w:jc w:val="both"/>
              <w:rPr>
                <w:rFonts w:ascii="Times New Roman" w:eastAsia="AngsanaUPC" w:hAnsi="Times New Roman"/>
                <w:bCs/>
                <w:sz w:val="20"/>
                <w:szCs w:val="20"/>
                <w:lang w:eastAsia="lt-LT"/>
              </w:rPr>
            </w:pPr>
            <w:r w:rsidRPr="004D4B33">
              <w:rPr>
                <w:rFonts w:ascii="Times New Roman" w:eastAsia="AngsanaUPC" w:hAnsi="Times New Roman"/>
                <w:bCs/>
                <w:sz w:val="20"/>
                <w:szCs w:val="20"/>
                <w:lang w:eastAsia="lt-LT"/>
              </w:rPr>
              <w:t>Padidinti vandens tiekimo ir nuotekų tvarkymo paslaugų prieinamumą ir sistemos efektyvumą</w:t>
            </w:r>
          </w:p>
        </w:tc>
        <w:tc>
          <w:tcPr>
            <w:tcW w:w="3119" w:type="dxa"/>
            <w:shd w:val="clear" w:color="auto" w:fill="auto"/>
            <w:vAlign w:val="center"/>
          </w:tcPr>
          <w:p w:rsidR="003F26B8" w:rsidRPr="004D4B33" w:rsidRDefault="003F26B8" w:rsidP="008D3817">
            <w:pPr>
              <w:widowControl w:val="0"/>
              <w:tabs>
                <w:tab w:val="left" w:pos="622"/>
              </w:tabs>
              <w:spacing w:after="0" w:line="240" w:lineRule="auto"/>
              <w:jc w:val="both"/>
              <w:rPr>
                <w:rFonts w:ascii="Times New Roman" w:eastAsia="AngsanaUPC" w:hAnsi="Times New Roman"/>
                <w:bCs/>
                <w:iCs/>
                <w:sz w:val="20"/>
                <w:szCs w:val="20"/>
                <w:lang w:eastAsia="lt-LT"/>
              </w:rPr>
            </w:pPr>
            <w:r w:rsidRPr="004D4B33">
              <w:rPr>
                <w:rFonts w:ascii="Times New Roman" w:eastAsia="AngsanaUPC" w:hAnsi="Times New Roman"/>
                <w:bCs/>
                <w:iCs/>
                <w:sz w:val="20"/>
                <w:szCs w:val="20"/>
                <w:lang w:eastAsia="lt-LT"/>
              </w:rPr>
              <w:t>Vandens tiekimo paslaugų prieinamumas</w:t>
            </w:r>
          </w:p>
        </w:tc>
        <w:tc>
          <w:tcPr>
            <w:tcW w:w="850" w:type="dxa"/>
            <w:vMerge/>
            <w:shd w:val="clear" w:color="auto" w:fill="auto"/>
          </w:tcPr>
          <w:p w:rsidR="003F26B8" w:rsidRPr="008D3817" w:rsidRDefault="003F26B8"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276" w:type="dxa"/>
            <w:vMerge/>
            <w:shd w:val="clear" w:color="auto" w:fill="auto"/>
          </w:tcPr>
          <w:p w:rsidR="003F26B8" w:rsidRPr="008D3817" w:rsidRDefault="003F26B8"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shd w:val="clear" w:color="auto" w:fill="auto"/>
          </w:tcPr>
          <w:p w:rsidR="003F26B8" w:rsidRPr="008D3817" w:rsidRDefault="003F26B8"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3F26B8" w:rsidRPr="0083442A" w:rsidTr="009B7C0D">
        <w:trPr>
          <w:trHeight w:val="388"/>
        </w:trPr>
        <w:tc>
          <w:tcPr>
            <w:tcW w:w="1668" w:type="dxa"/>
            <w:vMerge/>
            <w:shd w:val="clear" w:color="auto" w:fill="auto"/>
          </w:tcPr>
          <w:p w:rsidR="003F26B8" w:rsidRPr="008D3817" w:rsidRDefault="003F26B8"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559" w:type="dxa"/>
            <w:vMerge/>
            <w:shd w:val="clear" w:color="auto" w:fill="auto"/>
          </w:tcPr>
          <w:p w:rsidR="003F26B8" w:rsidRPr="008D3817" w:rsidRDefault="003F26B8"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shd w:val="clear" w:color="auto" w:fill="auto"/>
          </w:tcPr>
          <w:p w:rsidR="003F26B8" w:rsidRPr="004D4B33" w:rsidRDefault="003F26B8" w:rsidP="008D3817">
            <w:pPr>
              <w:spacing w:after="0" w:line="240" w:lineRule="auto"/>
              <w:jc w:val="both"/>
              <w:rPr>
                <w:rFonts w:ascii="Times New Roman" w:hAnsi="Times New Roman"/>
                <w:sz w:val="20"/>
                <w:szCs w:val="20"/>
              </w:rPr>
            </w:pPr>
          </w:p>
        </w:tc>
        <w:tc>
          <w:tcPr>
            <w:tcW w:w="2693" w:type="dxa"/>
            <w:vMerge/>
            <w:shd w:val="clear" w:color="auto" w:fill="auto"/>
          </w:tcPr>
          <w:p w:rsidR="003F26B8" w:rsidRPr="004D4B33" w:rsidRDefault="003F26B8"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3119" w:type="dxa"/>
            <w:shd w:val="clear" w:color="auto" w:fill="auto"/>
            <w:vAlign w:val="center"/>
          </w:tcPr>
          <w:p w:rsidR="003F26B8" w:rsidRPr="004D4B33" w:rsidRDefault="003F26B8" w:rsidP="008D3817">
            <w:pPr>
              <w:widowControl w:val="0"/>
              <w:tabs>
                <w:tab w:val="left" w:pos="622"/>
              </w:tabs>
              <w:spacing w:after="0" w:line="240" w:lineRule="auto"/>
              <w:jc w:val="both"/>
              <w:rPr>
                <w:rFonts w:ascii="Times New Roman" w:eastAsia="AngsanaUPC" w:hAnsi="Times New Roman"/>
                <w:bCs/>
                <w:iCs/>
                <w:sz w:val="20"/>
                <w:szCs w:val="20"/>
                <w:lang w:eastAsia="lt-LT"/>
              </w:rPr>
            </w:pPr>
            <w:r w:rsidRPr="004D4B33">
              <w:rPr>
                <w:rFonts w:ascii="Times New Roman" w:eastAsia="AngsanaUPC" w:hAnsi="Times New Roman"/>
                <w:bCs/>
                <w:iCs/>
                <w:sz w:val="20"/>
                <w:szCs w:val="20"/>
                <w:lang w:eastAsia="lt-LT"/>
              </w:rPr>
              <w:t>Nuotekų tvarkymo paslaugų prieinamumas</w:t>
            </w:r>
          </w:p>
        </w:tc>
        <w:tc>
          <w:tcPr>
            <w:tcW w:w="850" w:type="dxa"/>
            <w:vMerge/>
            <w:shd w:val="clear" w:color="auto" w:fill="auto"/>
          </w:tcPr>
          <w:p w:rsidR="003F26B8" w:rsidRPr="008D3817" w:rsidRDefault="003F26B8"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276" w:type="dxa"/>
            <w:vMerge/>
            <w:shd w:val="clear" w:color="auto" w:fill="auto"/>
          </w:tcPr>
          <w:p w:rsidR="003F26B8" w:rsidRPr="008D3817" w:rsidRDefault="003F26B8"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shd w:val="clear" w:color="auto" w:fill="auto"/>
          </w:tcPr>
          <w:p w:rsidR="003F26B8" w:rsidRPr="008D3817" w:rsidRDefault="003F26B8"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3F26B8" w:rsidRPr="0083442A" w:rsidTr="00B9712A">
        <w:trPr>
          <w:trHeight w:val="529"/>
        </w:trPr>
        <w:tc>
          <w:tcPr>
            <w:tcW w:w="1668" w:type="dxa"/>
            <w:vMerge/>
            <w:shd w:val="clear" w:color="auto" w:fill="auto"/>
          </w:tcPr>
          <w:p w:rsidR="003F26B8" w:rsidRPr="008D3817" w:rsidRDefault="003F26B8"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559" w:type="dxa"/>
            <w:vMerge/>
            <w:shd w:val="clear" w:color="auto" w:fill="auto"/>
          </w:tcPr>
          <w:p w:rsidR="003F26B8" w:rsidRPr="008D3817" w:rsidRDefault="003F26B8"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val="restart"/>
            <w:shd w:val="clear" w:color="auto" w:fill="auto"/>
          </w:tcPr>
          <w:p w:rsidR="003F26B8" w:rsidRPr="004D4B33" w:rsidRDefault="003F26B8" w:rsidP="008D3817">
            <w:pPr>
              <w:spacing w:after="0" w:line="240" w:lineRule="auto"/>
              <w:jc w:val="both"/>
              <w:rPr>
                <w:rFonts w:ascii="Times New Roman" w:hAnsi="Times New Roman"/>
                <w:sz w:val="20"/>
                <w:szCs w:val="20"/>
              </w:rPr>
            </w:pPr>
            <w:r w:rsidRPr="004D4B33">
              <w:rPr>
                <w:rFonts w:ascii="Times New Roman" w:hAnsi="Times New Roman"/>
                <w:bCs/>
                <w:iCs/>
                <w:sz w:val="20"/>
                <w:szCs w:val="20"/>
              </w:rPr>
              <w:t>Kultūros ir gamtos paveldo apsauga, propagavimas ir vystymas</w:t>
            </w:r>
          </w:p>
        </w:tc>
        <w:tc>
          <w:tcPr>
            <w:tcW w:w="2693" w:type="dxa"/>
            <w:vMerge w:val="restart"/>
            <w:shd w:val="clear" w:color="auto" w:fill="auto"/>
          </w:tcPr>
          <w:p w:rsidR="003F26B8" w:rsidRPr="004D4B33" w:rsidRDefault="003F26B8" w:rsidP="008D3817">
            <w:pPr>
              <w:widowControl w:val="0"/>
              <w:tabs>
                <w:tab w:val="left" w:pos="622"/>
              </w:tabs>
              <w:spacing w:after="0" w:line="240" w:lineRule="auto"/>
              <w:jc w:val="both"/>
              <w:rPr>
                <w:rFonts w:ascii="Times New Roman" w:eastAsia="AngsanaUPC" w:hAnsi="Times New Roman"/>
                <w:bCs/>
                <w:sz w:val="20"/>
                <w:szCs w:val="20"/>
                <w:lang w:eastAsia="lt-LT"/>
              </w:rPr>
            </w:pPr>
            <w:r w:rsidRPr="004D4B33">
              <w:rPr>
                <w:rFonts w:ascii="Times New Roman" w:eastAsia="AngsanaUPC" w:hAnsi="Times New Roman"/>
                <w:bCs/>
                <w:sz w:val="20"/>
                <w:szCs w:val="20"/>
                <w:lang w:eastAsia="lt-LT"/>
              </w:rPr>
              <w:t>Padidinti kultūros ir gamtos paveldo aktualumą, lankomumą ir žinomumą, visuomenės informuotumą apie juos supančią aplinką</w:t>
            </w:r>
          </w:p>
        </w:tc>
        <w:tc>
          <w:tcPr>
            <w:tcW w:w="3119" w:type="dxa"/>
            <w:shd w:val="clear" w:color="auto" w:fill="auto"/>
          </w:tcPr>
          <w:p w:rsidR="003F26B8" w:rsidRPr="004D4B33" w:rsidRDefault="003F26B8" w:rsidP="008D3817">
            <w:pPr>
              <w:widowControl w:val="0"/>
              <w:tabs>
                <w:tab w:val="left" w:pos="622"/>
              </w:tabs>
              <w:spacing w:after="0" w:line="240" w:lineRule="auto"/>
              <w:jc w:val="both"/>
              <w:rPr>
                <w:rFonts w:ascii="Times New Roman" w:eastAsia="AngsanaUPC" w:hAnsi="Times New Roman"/>
                <w:b/>
                <w:bCs/>
                <w:sz w:val="20"/>
                <w:szCs w:val="20"/>
                <w:lang w:eastAsia="lt-LT"/>
              </w:rPr>
            </w:pPr>
            <w:r w:rsidRPr="004D4B33">
              <w:rPr>
                <w:rFonts w:ascii="Times New Roman" w:eastAsia="AngsanaUPC" w:hAnsi="Times New Roman"/>
                <w:bCs/>
                <w:iCs/>
                <w:sz w:val="20"/>
                <w:szCs w:val="20"/>
                <w:lang w:eastAsia="lt-LT"/>
              </w:rPr>
              <w:t>Gerai informuotų apie aplinkos išteklius šalies gyventojų dalis</w:t>
            </w:r>
          </w:p>
        </w:tc>
        <w:tc>
          <w:tcPr>
            <w:tcW w:w="850" w:type="dxa"/>
            <w:vMerge/>
            <w:shd w:val="clear" w:color="auto" w:fill="auto"/>
          </w:tcPr>
          <w:p w:rsidR="003F26B8" w:rsidRPr="008D3817" w:rsidRDefault="003F26B8"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276" w:type="dxa"/>
            <w:vMerge/>
            <w:shd w:val="clear" w:color="auto" w:fill="auto"/>
          </w:tcPr>
          <w:p w:rsidR="003F26B8" w:rsidRPr="008D3817" w:rsidRDefault="003F26B8"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shd w:val="clear" w:color="auto" w:fill="auto"/>
          </w:tcPr>
          <w:p w:rsidR="003F26B8" w:rsidRPr="008D3817" w:rsidRDefault="003F26B8"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3F26B8" w:rsidRPr="0083442A" w:rsidTr="003F26B8">
        <w:trPr>
          <w:trHeight w:val="656"/>
        </w:trPr>
        <w:tc>
          <w:tcPr>
            <w:tcW w:w="1668" w:type="dxa"/>
            <w:vMerge/>
            <w:shd w:val="clear" w:color="auto" w:fill="auto"/>
          </w:tcPr>
          <w:p w:rsidR="003F26B8" w:rsidRPr="008D3817" w:rsidRDefault="003F26B8"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559" w:type="dxa"/>
            <w:vMerge/>
            <w:shd w:val="clear" w:color="auto" w:fill="auto"/>
          </w:tcPr>
          <w:p w:rsidR="003F26B8" w:rsidRPr="008D3817" w:rsidRDefault="003F26B8"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shd w:val="clear" w:color="auto" w:fill="auto"/>
          </w:tcPr>
          <w:p w:rsidR="003F26B8" w:rsidRPr="004D4B33" w:rsidRDefault="003F26B8" w:rsidP="008D3817">
            <w:pPr>
              <w:spacing w:after="0" w:line="240" w:lineRule="auto"/>
              <w:jc w:val="both"/>
              <w:rPr>
                <w:rFonts w:ascii="Times New Roman" w:hAnsi="Times New Roman"/>
                <w:sz w:val="20"/>
                <w:szCs w:val="20"/>
              </w:rPr>
            </w:pPr>
          </w:p>
        </w:tc>
        <w:tc>
          <w:tcPr>
            <w:tcW w:w="2693" w:type="dxa"/>
            <w:vMerge/>
            <w:shd w:val="clear" w:color="auto" w:fill="auto"/>
          </w:tcPr>
          <w:p w:rsidR="003F26B8" w:rsidRPr="004D4B33" w:rsidRDefault="003F26B8"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3119" w:type="dxa"/>
            <w:shd w:val="clear" w:color="auto" w:fill="auto"/>
          </w:tcPr>
          <w:p w:rsidR="003F26B8" w:rsidRPr="004D4B33" w:rsidRDefault="003F26B8" w:rsidP="008D3817">
            <w:pPr>
              <w:widowControl w:val="0"/>
              <w:tabs>
                <w:tab w:val="left" w:pos="622"/>
              </w:tabs>
              <w:spacing w:after="0" w:line="240" w:lineRule="auto"/>
              <w:jc w:val="both"/>
              <w:rPr>
                <w:rFonts w:ascii="Times New Roman" w:eastAsia="AngsanaUPC" w:hAnsi="Times New Roman"/>
                <w:bCs/>
                <w:iCs/>
                <w:sz w:val="20"/>
                <w:szCs w:val="20"/>
                <w:lang w:eastAsia="lt-LT"/>
              </w:rPr>
            </w:pPr>
            <w:r w:rsidRPr="004D4B33">
              <w:rPr>
                <w:rFonts w:ascii="Times New Roman" w:eastAsia="AngsanaUPC" w:hAnsi="Times New Roman"/>
                <w:bCs/>
                <w:iCs/>
                <w:sz w:val="20"/>
                <w:szCs w:val="20"/>
                <w:lang w:eastAsia="lt-LT"/>
              </w:rPr>
              <w:t>Lietuvos gyventojų, bent kartą per pastaruosius 12 mėn. apsilankiusių kultūros paveldo objekte, dalis</w:t>
            </w:r>
          </w:p>
        </w:tc>
        <w:tc>
          <w:tcPr>
            <w:tcW w:w="850" w:type="dxa"/>
            <w:vMerge/>
            <w:shd w:val="clear" w:color="auto" w:fill="auto"/>
          </w:tcPr>
          <w:p w:rsidR="003F26B8" w:rsidRPr="008D3817" w:rsidRDefault="003F26B8"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276" w:type="dxa"/>
            <w:vMerge/>
            <w:shd w:val="clear" w:color="auto" w:fill="auto"/>
          </w:tcPr>
          <w:p w:rsidR="003F26B8" w:rsidRPr="008D3817" w:rsidRDefault="003F26B8"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shd w:val="clear" w:color="auto" w:fill="auto"/>
          </w:tcPr>
          <w:p w:rsidR="003F26B8" w:rsidRPr="008D3817" w:rsidRDefault="003F26B8"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3F26B8" w:rsidRPr="0083442A" w:rsidTr="009D323D">
        <w:trPr>
          <w:trHeight w:val="253"/>
        </w:trPr>
        <w:tc>
          <w:tcPr>
            <w:tcW w:w="1668" w:type="dxa"/>
            <w:vMerge/>
            <w:shd w:val="clear" w:color="auto" w:fill="auto"/>
          </w:tcPr>
          <w:p w:rsidR="003F26B8" w:rsidRPr="008D3817" w:rsidRDefault="003F26B8"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559" w:type="dxa"/>
            <w:vMerge/>
            <w:shd w:val="clear" w:color="auto" w:fill="auto"/>
          </w:tcPr>
          <w:p w:rsidR="003F26B8" w:rsidRPr="008D3817" w:rsidRDefault="003F26B8"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shd w:val="clear" w:color="auto" w:fill="auto"/>
          </w:tcPr>
          <w:p w:rsidR="003F26B8" w:rsidRPr="008D3817" w:rsidRDefault="003F26B8" w:rsidP="008D3817">
            <w:pPr>
              <w:spacing w:after="0" w:line="240" w:lineRule="auto"/>
              <w:jc w:val="both"/>
              <w:rPr>
                <w:rFonts w:ascii="Times New Roman" w:hAnsi="Times New Roman"/>
                <w:sz w:val="20"/>
                <w:szCs w:val="20"/>
              </w:rPr>
            </w:pPr>
          </w:p>
        </w:tc>
        <w:tc>
          <w:tcPr>
            <w:tcW w:w="2693" w:type="dxa"/>
            <w:vMerge/>
            <w:shd w:val="clear" w:color="auto" w:fill="auto"/>
          </w:tcPr>
          <w:p w:rsidR="003F26B8" w:rsidRPr="008D3817" w:rsidRDefault="003F26B8"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3119" w:type="dxa"/>
            <w:shd w:val="clear" w:color="auto" w:fill="auto"/>
          </w:tcPr>
          <w:p w:rsidR="003F26B8" w:rsidRPr="008D3817" w:rsidRDefault="003F26B8" w:rsidP="008D3817">
            <w:pPr>
              <w:widowControl w:val="0"/>
              <w:tabs>
                <w:tab w:val="left" w:pos="622"/>
              </w:tabs>
              <w:spacing w:after="0" w:line="240" w:lineRule="auto"/>
              <w:jc w:val="both"/>
              <w:rPr>
                <w:rFonts w:ascii="Times New Roman" w:eastAsia="AngsanaUPC" w:hAnsi="Times New Roman"/>
                <w:bCs/>
                <w:iCs/>
                <w:sz w:val="20"/>
                <w:szCs w:val="20"/>
                <w:lang w:eastAsia="lt-LT"/>
              </w:rPr>
            </w:pPr>
            <w:r w:rsidRPr="008D3817">
              <w:rPr>
                <w:rFonts w:ascii="Times New Roman" w:eastAsia="AngsanaUPC" w:hAnsi="Times New Roman"/>
                <w:bCs/>
                <w:iCs/>
                <w:sz w:val="20"/>
                <w:szCs w:val="20"/>
                <w:lang w:eastAsia="lt-LT"/>
              </w:rPr>
              <w:t>Turistų (užsienio ir vietos) kelionių skaičius prioritetini</w:t>
            </w:r>
            <w:r w:rsidR="0091347B">
              <w:rPr>
                <w:rFonts w:ascii="Times New Roman" w:eastAsia="AngsanaUPC" w:hAnsi="Times New Roman"/>
                <w:bCs/>
                <w:iCs/>
                <w:sz w:val="20"/>
                <w:szCs w:val="20"/>
                <w:lang w:eastAsia="lt-LT"/>
              </w:rPr>
              <w:t xml:space="preserve">uose turizmo </w:t>
            </w:r>
            <w:r w:rsidR="0091347B">
              <w:rPr>
                <w:rFonts w:ascii="Times New Roman" w:eastAsia="AngsanaUPC" w:hAnsi="Times New Roman"/>
                <w:bCs/>
                <w:iCs/>
                <w:sz w:val="20"/>
                <w:szCs w:val="20"/>
                <w:lang w:eastAsia="lt-LT"/>
              </w:rPr>
              <w:lastRenderedPageBreak/>
              <w:t>plėtros regionuose</w:t>
            </w:r>
          </w:p>
        </w:tc>
        <w:tc>
          <w:tcPr>
            <w:tcW w:w="850" w:type="dxa"/>
            <w:vMerge/>
            <w:shd w:val="clear" w:color="auto" w:fill="auto"/>
          </w:tcPr>
          <w:p w:rsidR="003F26B8" w:rsidRPr="008D3817" w:rsidRDefault="003F26B8"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276" w:type="dxa"/>
            <w:vMerge/>
            <w:shd w:val="clear" w:color="auto" w:fill="auto"/>
          </w:tcPr>
          <w:p w:rsidR="003F26B8" w:rsidRPr="008D3817" w:rsidRDefault="003F26B8"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shd w:val="clear" w:color="auto" w:fill="auto"/>
          </w:tcPr>
          <w:p w:rsidR="003F26B8" w:rsidRPr="008D3817" w:rsidRDefault="003F26B8"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3F26B8" w:rsidRPr="0083442A" w:rsidTr="009D323D">
        <w:trPr>
          <w:trHeight w:val="1382"/>
        </w:trPr>
        <w:tc>
          <w:tcPr>
            <w:tcW w:w="1668" w:type="dxa"/>
            <w:vMerge/>
            <w:shd w:val="clear" w:color="auto" w:fill="auto"/>
          </w:tcPr>
          <w:p w:rsidR="003F26B8" w:rsidRPr="008D3817" w:rsidRDefault="003F26B8"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559" w:type="dxa"/>
            <w:vMerge/>
            <w:shd w:val="clear" w:color="auto" w:fill="auto"/>
          </w:tcPr>
          <w:p w:rsidR="003F26B8" w:rsidRPr="008D3817" w:rsidRDefault="003F26B8"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shd w:val="clear" w:color="auto" w:fill="auto"/>
          </w:tcPr>
          <w:p w:rsidR="003F26B8" w:rsidRPr="008D3817" w:rsidRDefault="003F26B8" w:rsidP="008D3817">
            <w:pPr>
              <w:spacing w:after="0" w:line="240" w:lineRule="auto"/>
              <w:jc w:val="both"/>
              <w:rPr>
                <w:rFonts w:ascii="Times New Roman" w:hAnsi="Times New Roman"/>
                <w:sz w:val="20"/>
                <w:szCs w:val="20"/>
              </w:rPr>
            </w:pPr>
            <w:r w:rsidRPr="008D3817">
              <w:rPr>
                <w:rFonts w:ascii="Times New Roman" w:hAnsi="Times New Roman"/>
                <w:bCs/>
                <w:iCs/>
                <w:sz w:val="20"/>
                <w:szCs w:val="20"/>
              </w:rPr>
              <w:t xml:space="preserve">Biologinės įvairovės, dirvožemio apsauga ir atkūrimas, ekosistemų paslaugų, įskaitant </w:t>
            </w:r>
            <w:r w:rsidRPr="008D3817">
              <w:rPr>
                <w:rFonts w:ascii="Times New Roman" w:hAnsi="Times New Roman"/>
                <w:bCs/>
                <w:i/>
                <w:iCs/>
                <w:sz w:val="20"/>
                <w:szCs w:val="20"/>
              </w:rPr>
              <w:t>Natura 2000</w:t>
            </w:r>
            <w:r w:rsidRPr="008D3817">
              <w:rPr>
                <w:rFonts w:ascii="Times New Roman" w:hAnsi="Times New Roman"/>
                <w:bCs/>
                <w:iCs/>
                <w:sz w:val="20"/>
                <w:szCs w:val="20"/>
              </w:rPr>
              <w:t>, ir žaliosios infrastruktūros skatinimas</w:t>
            </w:r>
          </w:p>
        </w:tc>
        <w:tc>
          <w:tcPr>
            <w:tcW w:w="2693" w:type="dxa"/>
            <w:shd w:val="clear" w:color="auto" w:fill="auto"/>
          </w:tcPr>
          <w:p w:rsidR="003F26B8" w:rsidRPr="008D3817" w:rsidRDefault="003F26B8" w:rsidP="0091347B">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eastAsia="AngsanaUPC" w:hAnsi="Times New Roman"/>
                <w:bCs/>
                <w:sz w:val="20"/>
                <w:szCs w:val="20"/>
                <w:lang w:eastAsia="lt-LT"/>
              </w:rPr>
              <w:t>Pagerinti vietinės augalijos ir gyvūnijos rūšių, buveinių ir kraštovaizdžio arealų būklę</w:t>
            </w:r>
          </w:p>
        </w:tc>
        <w:tc>
          <w:tcPr>
            <w:tcW w:w="3119" w:type="dxa"/>
            <w:shd w:val="clear" w:color="auto" w:fill="auto"/>
          </w:tcPr>
          <w:p w:rsidR="003F26B8" w:rsidRPr="008D3817" w:rsidRDefault="003F26B8" w:rsidP="008D3817">
            <w:pPr>
              <w:widowControl w:val="0"/>
              <w:tabs>
                <w:tab w:val="left" w:pos="622"/>
              </w:tabs>
              <w:spacing w:after="0" w:line="240" w:lineRule="auto"/>
              <w:jc w:val="both"/>
              <w:rPr>
                <w:rFonts w:ascii="Times New Roman" w:eastAsia="AngsanaUPC" w:hAnsi="Times New Roman"/>
                <w:bCs/>
                <w:iCs/>
                <w:sz w:val="20"/>
                <w:szCs w:val="20"/>
                <w:lang w:eastAsia="lt-LT"/>
              </w:rPr>
            </w:pPr>
            <w:r w:rsidRPr="008D3817">
              <w:rPr>
                <w:rFonts w:ascii="Times New Roman" w:eastAsia="AngsanaUPC" w:hAnsi="Times New Roman"/>
                <w:bCs/>
                <w:iCs/>
                <w:sz w:val="20"/>
                <w:szCs w:val="20"/>
                <w:lang w:eastAsia="lt-LT"/>
              </w:rPr>
              <w:t>Lietuvoje aptinkamų Europos Bendrijos svarbos buveinių tipų, kuri</w:t>
            </w:r>
            <w:r w:rsidR="0091347B">
              <w:rPr>
                <w:rFonts w:ascii="Times New Roman" w:eastAsia="AngsanaUPC" w:hAnsi="Times New Roman"/>
                <w:bCs/>
                <w:iCs/>
                <w:sz w:val="20"/>
                <w:szCs w:val="20"/>
                <w:lang w:eastAsia="lt-LT"/>
              </w:rPr>
              <w:t>ų palanki apsaugos būklė, dalis</w:t>
            </w:r>
          </w:p>
        </w:tc>
        <w:tc>
          <w:tcPr>
            <w:tcW w:w="850" w:type="dxa"/>
            <w:vMerge/>
            <w:shd w:val="clear" w:color="auto" w:fill="auto"/>
          </w:tcPr>
          <w:p w:rsidR="003F26B8" w:rsidRPr="008D3817" w:rsidRDefault="003F26B8"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276" w:type="dxa"/>
            <w:vMerge/>
            <w:shd w:val="clear" w:color="auto" w:fill="auto"/>
          </w:tcPr>
          <w:p w:rsidR="003F26B8" w:rsidRPr="008D3817" w:rsidRDefault="003F26B8"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shd w:val="clear" w:color="auto" w:fill="auto"/>
          </w:tcPr>
          <w:p w:rsidR="003F26B8" w:rsidRPr="008D3817" w:rsidRDefault="003F26B8"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3F26B8" w:rsidRPr="0083442A" w:rsidTr="003F26B8">
        <w:trPr>
          <w:trHeight w:val="956"/>
        </w:trPr>
        <w:tc>
          <w:tcPr>
            <w:tcW w:w="1668" w:type="dxa"/>
            <w:vMerge/>
            <w:shd w:val="clear" w:color="auto" w:fill="auto"/>
          </w:tcPr>
          <w:p w:rsidR="003F26B8" w:rsidRPr="008D3817" w:rsidRDefault="003F26B8"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559" w:type="dxa"/>
            <w:vMerge/>
            <w:shd w:val="clear" w:color="auto" w:fill="auto"/>
          </w:tcPr>
          <w:p w:rsidR="003F26B8" w:rsidRPr="008D3817" w:rsidRDefault="003F26B8"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val="restart"/>
            <w:shd w:val="clear" w:color="auto" w:fill="auto"/>
          </w:tcPr>
          <w:p w:rsidR="003F26B8" w:rsidRPr="008D3817" w:rsidRDefault="003F26B8" w:rsidP="008D3817">
            <w:pPr>
              <w:spacing w:after="0" w:line="240" w:lineRule="auto"/>
              <w:jc w:val="both"/>
              <w:rPr>
                <w:rFonts w:ascii="Times New Roman" w:hAnsi="Times New Roman"/>
                <w:bCs/>
                <w:iCs/>
                <w:sz w:val="20"/>
                <w:szCs w:val="20"/>
              </w:rPr>
            </w:pPr>
            <w:r w:rsidRPr="008D3817">
              <w:rPr>
                <w:rFonts w:ascii="Times New Roman" w:eastAsia="Times New Roman" w:hAnsi="Times New Roman"/>
                <w:sz w:val="20"/>
                <w:szCs w:val="20"/>
                <w:lang w:eastAsia="lt-LT"/>
              </w:rPr>
              <w:t>Miestų aplinkos gerinimo, miestų atkūrimo, apleistų pramoninių teritorijų (įskaitant pertvarkomas teritorijas) išvalymo ir atkūrimo, oro taršos bei triukšmo mažinimo priemonių skatinimas</w:t>
            </w:r>
          </w:p>
        </w:tc>
        <w:tc>
          <w:tcPr>
            <w:tcW w:w="2693" w:type="dxa"/>
            <w:vMerge w:val="restart"/>
            <w:shd w:val="clear" w:color="auto" w:fill="auto"/>
          </w:tcPr>
          <w:p w:rsidR="003F26B8" w:rsidRPr="008D3817" w:rsidRDefault="003F26B8"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eastAsia="AngsanaUPC" w:hAnsi="Times New Roman"/>
                <w:bCs/>
                <w:sz w:val="20"/>
                <w:szCs w:val="20"/>
                <w:lang w:eastAsia="lt-LT"/>
              </w:rPr>
              <w:t>Sumažinti miestuose kietųjų dalelių ore ir cheminių medžiagų grunte pavojaus sveikatai ir aplinkai taršos lygį</w:t>
            </w:r>
          </w:p>
        </w:tc>
        <w:tc>
          <w:tcPr>
            <w:tcW w:w="3119" w:type="dxa"/>
            <w:shd w:val="clear" w:color="auto" w:fill="auto"/>
          </w:tcPr>
          <w:p w:rsidR="003F26B8" w:rsidRPr="008D3817" w:rsidRDefault="003F26B8" w:rsidP="0070076F">
            <w:pPr>
              <w:widowControl w:val="0"/>
              <w:tabs>
                <w:tab w:val="left" w:pos="622"/>
              </w:tabs>
              <w:spacing w:after="0" w:line="240" w:lineRule="auto"/>
              <w:jc w:val="both"/>
              <w:rPr>
                <w:rFonts w:ascii="Times New Roman" w:eastAsia="AngsanaUPC" w:hAnsi="Times New Roman"/>
                <w:bCs/>
                <w:iCs/>
                <w:sz w:val="20"/>
                <w:szCs w:val="20"/>
                <w:lang w:eastAsia="lt-LT"/>
              </w:rPr>
            </w:pPr>
            <w:r w:rsidRPr="008D3817">
              <w:rPr>
                <w:rFonts w:ascii="Times New Roman" w:eastAsia="AngsanaUPC" w:hAnsi="Times New Roman"/>
                <w:bCs/>
                <w:iCs/>
                <w:sz w:val="20"/>
                <w:szCs w:val="20"/>
                <w:lang w:eastAsia="lt-LT"/>
              </w:rPr>
              <w:t>Dienų, kai buvo viršyta kietųjų dalelių (KD</w:t>
            </w:r>
            <w:r w:rsidRPr="008D3817">
              <w:rPr>
                <w:rFonts w:ascii="Times New Roman" w:eastAsia="AngsanaUPC" w:hAnsi="Times New Roman"/>
                <w:bCs/>
                <w:iCs/>
                <w:sz w:val="20"/>
                <w:szCs w:val="20"/>
                <w:vertAlign w:val="subscript"/>
                <w:lang w:eastAsia="lt-LT"/>
              </w:rPr>
              <w:t>10</w:t>
            </w:r>
            <w:r w:rsidRPr="008D3817">
              <w:rPr>
                <w:rFonts w:ascii="Times New Roman" w:eastAsia="AngsanaUPC" w:hAnsi="Times New Roman"/>
                <w:bCs/>
                <w:iCs/>
                <w:sz w:val="20"/>
                <w:szCs w:val="20"/>
                <w:lang w:eastAsia="lt-LT"/>
              </w:rPr>
              <w:t>) koncentracijos paros ribinė vertė, ska</w:t>
            </w:r>
            <w:r w:rsidR="0091347B">
              <w:rPr>
                <w:rFonts w:ascii="Times New Roman" w:eastAsia="AngsanaUPC" w:hAnsi="Times New Roman"/>
                <w:bCs/>
                <w:iCs/>
                <w:sz w:val="20"/>
                <w:szCs w:val="20"/>
                <w:lang w:eastAsia="lt-LT"/>
              </w:rPr>
              <w:t>ičius 5 didžiuosiuose miestuose</w:t>
            </w:r>
          </w:p>
        </w:tc>
        <w:tc>
          <w:tcPr>
            <w:tcW w:w="850" w:type="dxa"/>
            <w:vMerge/>
            <w:shd w:val="clear" w:color="auto" w:fill="auto"/>
          </w:tcPr>
          <w:p w:rsidR="003F26B8" w:rsidRPr="008D3817" w:rsidRDefault="003F26B8"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276" w:type="dxa"/>
            <w:vMerge/>
            <w:shd w:val="clear" w:color="auto" w:fill="auto"/>
          </w:tcPr>
          <w:p w:rsidR="003F26B8" w:rsidRPr="008D3817" w:rsidRDefault="003F26B8"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shd w:val="clear" w:color="auto" w:fill="auto"/>
          </w:tcPr>
          <w:p w:rsidR="003F26B8" w:rsidRPr="008D3817" w:rsidRDefault="003F26B8"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3F26B8" w:rsidRPr="0083442A" w:rsidTr="0070076F">
        <w:trPr>
          <w:trHeight w:val="497"/>
        </w:trPr>
        <w:tc>
          <w:tcPr>
            <w:tcW w:w="1668" w:type="dxa"/>
            <w:vMerge/>
            <w:shd w:val="clear" w:color="auto" w:fill="auto"/>
          </w:tcPr>
          <w:p w:rsidR="003F26B8" w:rsidRPr="008D3817" w:rsidRDefault="003F26B8"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559" w:type="dxa"/>
            <w:vMerge/>
            <w:shd w:val="clear" w:color="auto" w:fill="auto"/>
          </w:tcPr>
          <w:p w:rsidR="003F26B8" w:rsidRPr="008D3817" w:rsidRDefault="003F26B8"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shd w:val="clear" w:color="auto" w:fill="auto"/>
          </w:tcPr>
          <w:p w:rsidR="003F26B8" w:rsidRPr="008D3817" w:rsidRDefault="003F26B8" w:rsidP="008D3817">
            <w:pPr>
              <w:spacing w:after="0" w:line="240" w:lineRule="auto"/>
              <w:jc w:val="both"/>
              <w:rPr>
                <w:rFonts w:ascii="Times New Roman" w:eastAsia="Times New Roman" w:hAnsi="Times New Roman"/>
                <w:sz w:val="20"/>
                <w:szCs w:val="20"/>
                <w:lang w:eastAsia="lt-LT"/>
              </w:rPr>
            </w:pPr>
          </w:p>
        </w:tc>
        <w:tc>
          <w:tcPr>
            <w:tcW w:w="2693" w:type="dxa"/>
            <w:vMerge/>
            <w:shd w:val="clear" w:color="auto" w:fill="auto"/>
          </w:tcPr>
          <w:p w:rsidR="003F26B8" w:rsidRPr="008D3817" w:rsidRDefault="003F26B8"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3119" w:type="dxa"/>
            <w:shd w:val="clear" w:color="auto" w:fill="auto"/>
          </w:tcPr>
          <w:p w:rsidR="003F26B8" w:rsidRPr="008D3817" w:rsidRDefault="003F26B8" w:rsidP="008D3817">
            <w:pPr>
              <w:widowControl w:val="0"/>
              <w:tabs>
                <w:tab w:val="left" w:pos="622"/>
              </w:tabs>
              <w:spacing w:after="0" w:line="240" w:lineRule="auto"/>
              <w:jc w:val="both"/>
              <w:rPr>
                <w:rFonts w:ascii="Times New Roman" w:eastAsia="AngsanaUPC" w:hAnsi="Times New Roman"/>
                <w:bCs/>
                <w:iCs/>
                <w:sz w:val="20"/>
                <w:szCs w:val="20"/>
                <w:lang w:eastAsia="lt-LT"/>
              </w:rPr>
            </w:pPr>
            <w:r w:rsidRPr="008D3817">
              <w:rPr>
                <w:rFonts w:ascii="Times New Roman" w:eastAsia="AngsanaUPC" w:hAnsi="Times New Roman"/>
                <w:bCs/>
                <w:iCs/>
                <w:sz w:val="20"/>
                <w:szCs w:val="20"/>
                <w:lang w:eastAsia="lt-LT"/>
              </w:rPr>
              <w:t>Ypatingai didelio pavoj</w:t>
            </w:r>
            <w:r w:rsidR="0091347B">
              <w:rPr>
                <w:rFonts w:ascii="Times New Roman" w:eastAsia="AngsanaUPC" w:hAnsi="Times New Roman"/>
                <w:bCs/>
                <w:iCs/>
                <w:sz w:val="20"/>
                <w:szCs w:val="20"/>
                <w:lang w:eastAsia="lt-LT"/>
              </w:rPr>
              <w:t>aus potencialūs taršos židiniai</w:t>
            </w:r>
          </w:p>
        </w:tc>
        <w:tc>
          <w:tcPr>
            <w:tcW w:w="850" w:type="dxa"/>
            <w:vMerge/>
            <w:shd w:val="clear" w:color="auto" w:fill="auto"/>
          </w:tcPr>
          <w:p w:rsidR="003F26B8" w:rsidRPr="008D3817" w:rsidRDefault="003F26B8"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276" w:type="dxa"/>
            <w:vMerge/>
            <w:shd w:val="clear" w:color="auto" w:fill="auto"/>
          </w:tcPr>
          <w:p w:rsidR="003F26B8" w:rsidRPr="008D3817" w:rsidRDefault="003F26B8"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shd w:val="clear" w:color="auto" w:fill="auto"/>
          </w:tcPr>
          <w:p w:rsidR="003F26B8" w:rsidRPr="008D3817" w:rsidRDefault="003F26B8"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D25A49" w:rsidRPr="0083442A" w:rsidTr="0070076F">
        <w:trPr>
          <w:trHeight w:val="421"/>
        </w:trPr>
        <w:tc>
          <w:tcPr>
            <w:tcW w:w="1668" w:type="dxa"/>
            <w:vMerge w:val="restart"/>
            <w:shd w:val="clear" w:color="auto" w:fill="auto"/>
          </w:tcPr>
          <w:p w:rsidR="00D25A49" w:rsidRPr="008D3817" w:rsidRDefault="00D25A49" w:rsidP="00D7758D">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eastAsia="AngsanaUPC" w:hAnsi="Times New Roman"/>
                <w:bCs/>
                <w:sz w:val="20"/>
                <w:szCs w:val="20"/>
                <w:lang w:eastAsia="lt-LT"/>
              </w:rPr>
              <w:t>Dar</w:t>
            </w:r>
            <w:r w:rsidR="00EB0F99">
              <w:rPr>
                <w:rFonts w:ascii="Times New Roman" w:eastAsia="AngsanaUPC" w:hAnsi="Times New Roman"/>
                <w:bCs/>
                <w:sz w:val="20"/>
                <w:szCs w:val="20"/>
                <w:lang w:eastAsia="lt-LT"/>
              </w:rPr>
              <w:t>naus</w:t>
            </w:r>
            <w:r w:rsidRPr="008D3817">
              <w:rPr>
                <w:rFonts w:ascii="Times New Roman" w:eastAsia="AngsanaUPC" w:hAnsi="Times New Roman"/>
                <w:bCs/>
                <w:sz w:val="20"/>
                <w:szCs w:val="20"/>
                <w:lang w:eastAsia="lt-LT"/>
              </w:rPr>
              <w:t xml:space="preserve"> transporto</w:t>
            </w:r>
            <w:r w:rsidR="00D7758D">
              <w:rPr>
                <w:rFonts w:ascii="Times New Roman" w:eastAsia="AngsanaUPC" w:hAnsi="Times New Roman"/>
                <w:bCs/>
                <w:sz w:val="20"/>
                <w:szCs w:val="20"/>
                <w:lang w:eastAsia="lt-LT"/>
              </w:rPr>
              <w:t xml:space="preserve"> ir</w:t>
            </w:r>
            <w:r w:rsidRPr="008D3817">
              <w:rPr>
                <w:rFonts w:ascii="Times New Roman" w:eastAsia="AngsanaUPC" w:hAnsi="Times New Roman"/>
                <w:bCs/>
                <w:sz w:val="20"/>
                <w:szCs w:val="20"/>
                <w:lang w:eastAsia="lt-LT"/>
              </w:rPr>
              <w:t xml:space="preserve"> pagrindinių tinklų infrastruktūros </w:t>
            </w:r>
            <w:r w:rsidR="00D7758D">
              <w:rPr>
                <w:rFonts w:ascii="Times New Roman" w:eastAsia="AngsanaUPC" w:hAnsi="Times New Roman"/>
                <w:bCs/>
                <w:sz w:val="20"/>
                <w:szCs w:val="20"/>
                <w:lang w:eastAsia="lt-LT"/>
              </w:rPr>
              <w:t>plėtra</w:t>
            </w:r>
          </w:p>
        </w:tc>
        <w:tc>
          <w:tcPr>
            <w:tcW w:w="1559" w:type="dxa"/>
            <w:vMerge w:val="restart"/>
            <w:shd w:val="clear" w:color="auto" w:fill="auto"/>
          </w:tcPr>
          <w:p w:rsidR="00D25A49" w:rsidRPr="008D3817" w:rsidRDefault="00D25A49"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eastAsia="AngsanaUPC" w:hAnsi="Times New Roman"/>
                <w:bCs/>
                <w:sz w:val="20"/>
                <w:szCs w:val="20"/>
                <w:lang w:eastAsia="lt-LT"/>
              </w:rPr>
              <w:t>Tvaraus transporto skatinimas ir kliūčių pagrindinėse tinklo i</w:t>
            </w:r>
            <w:r w:rsidR="0091347B">
              <w:rPr>
                <w:rFonts w:ascii="Times New Roman" w:eastAsia="AngsanaUPC" w:hAnsi="Times New Roman"/>
                <w:bCs/>
                <w:sz w:val="20"/>
                <w:szCs w:val="20"/>
                <w:lang w:eastAsia="lt-LT"/>
              </w:rPr>
              <w:t>nfrastruktūros dalyse šalinimas</w:t>
            </w:r>
          </w:p>
        </w:tc>
        <w:tc>
          <w:tcPr>
            <w:tcW w:w="2835" w:type="dxa"/>
            <w:vMerge w:val="restart"/>
            <w:shd w:val="clear" w:color="auto" w:fill="auto"/>
          </w:tcPr>
          <w:p w:rsidR="00D25A49" w:rsidRPr="008D3817" w:rsidRDefault="00D25A49" w:rsidP="008D3817">
            <w:pPr>
              <w:widowControl w:val="0"/>
              <w:tabs>
                <w:tab w:val="left" w:pos="1276"/>
              </w:tabs>
              <w:adjustRightInd w:val="0"/>
              <w:spacing w:after="0" w:line="240" w:lineRule="auto"/>
              <w:jc w:val="both"/>
              <w:textAlignment w:val="baseline"/>
              <w:rPr>
                <w:rFonts w:ascii="Times New Roman" w:hAnsi="Times New Roman"/>
                <w:sz w:val="20"/>
                <w:szCs w:val="20"/>
              </w:rPr>
            </w:pPr>
            <w:r w:rsidRPr="008D3817">
              <w:rPr>
                <w:rFonts w:ascii="Times New Roman" w:hAnsi="Times New Roman"/>
                <w:sz w:val="20"/>
                <w:szCs w:val="20"/>
              </w:rPr>
              <w:t>Bendros Europos daugiarūšio transporto erdvės kūrimo rėmimas</w:t>
            </w:r>
            <w:r w:rsidR="00AF4217">
              <w:rPr>
                <w:rFonts w:ascii="Times New Roman" w:hAnsi="Times New Roman"/>
                <w:sz w:val="20"/>
                <w:szCs w:val="20"/>
              </w:rPr>
              <w:t>,</w:t>
            </w:r>
            <w:r w:rsidRPr="008D3817">
              <w:rPr>
                <w:rFonts w:ascii="Times New Roman" w:hAnsi="Times New Roman"/>
                <w:sz w:val="20"/>
                <w:szCs w:val="20"/>
              </w:rPr>
              <w:t xml:space="preserve"> investuojant į transeuropinį transporto tinklą</w:t>
            </w:r>
          </w:p>
        </w:tc>
        <w:tc>
          <w:tcPr>
            <w:tcW w:w="2693" w:type="dxa"/>
            <w:vMerge w:val="restart"/>
            <w:shd w:val="clear" w:color="auto" w:fill="auto"/>
          </w:tcPr>
          <w:p w:rsidR="00D25A49" w:rsidRPr="008D3817" w:rsidRDefault="00D25A49" w:rsidP="008D3817">
            <w:pPr>
              <w:widowControl w:val="0"/>
              <w:tabs>
                <w:tab w:val="left" w:pos="622"/>
              </w:tabs>
              <w:spacing w:after="0" w:line="240" w:lineRule="auto"/>
              <w:jc w:val="both"/>
              <w:rPr>
                <w:rFonts w:ascii="Times New Roman" w:eastAsia="AngsanaUPC" w:hAnsi="Times New Roman"/>
                <w:bCs/>
                <w:sz w:val="20"/>
                <w:szCs w:val="20"/>
                <w:lang w:eastAsia="lt-LT"/>
              </w:rPr>
            </w:pPr>
            <w:bookmarkStart w:id="1" w:name="_Hlk378840157"/>
            <w:r w:rsidRPr="008D3817">
              <w:rPr>
                <w:rFonts w:ascii="Times New Roman" w:eastAsia="AngsanaUPC" w:hAnsi="Times New Roman"/>
                <w:bCs/>
                <w:sz w:val="20"/>
                <w:szCs w:val="20"/>
                <w:lang w:eastAsia="lt-LT"/>
              </w:rPr>
              <w:t>Padidinti šalies daugiarūšės susisiekimo sistemos ir transeuropinių transporto tinklų sąveiką</w:t>
            </w:r>
            <w:bookmarkEnd w:id="1"/>
          </w:p>
        </w:tc>
        <w:tc>
          <w:tcPr>
            <w:tcW w:w="3119" w:type="dxa"/>
            <w:shd w:val="clear" w:color="auto" w:fill="auto"/>
          </w:tcPr>
          <w:p w:rsidR="00D25A49" w:rsidRPr="008D3817" w:rsidRDefault="00D25A49"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eastAsia="AngsanaUPC" w:hAnsi="Times New Roman"/>
                <w:bCs/>
                <w:sz w:val="20"/>
                <w:szCs w:val="20"/>
                <w:lang w:eastAsia="lt-LT"/>
              </w:rPr>
              <w:t>Vežta intermodalinių transporto vienetų</w:t>
            </w:r>
          </w:p>
        </w:tc>
        <w:tc>
          <w:tcPr>
            <w:tcW w:w="850" w:type="dxa"/>
            <w:vMerge w:val="restart"/>
            <w:shd w:val="clear" w:color="auto" w:fill="auto"/>
          </w:tcPr>
          <w:p w:rsidR="00D25A49" w:rsidRPr="008D3817" w:rsidRDefault="00D25A49"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eastAsia="AngsanaUPC" w:hAnsi="Times New Roman"/>
                <w:bCs/>
                <w:sz w:val="20"/>
                <w:szCs w:val="20"/>
                <w:lang w:eastAsia="lt-LT"/>
              </w:rPr>
              <w:t>ERPF,</w:t>
            </w:r>
          </w:p>
          <w:p w:rsidR="00D25A49" w:rsidRPr="008D3817" w:rsidRDefault="00D25A49" w:rsidP="008D3817">
            <w:pPr>
              <w:widowControl w:val="0"/>
              <w:tabs>
                <w:tab w:val="left" w:pos="622"/>
              </w:tabs>
              <w:spacing w:after="0" w:line="240" w:lineRule="auto"/>
              <w:jc w:val="both"/>
              <w:rPr>
                <w:rFonts w:ascii="Times New Roman" w:eastAsia="AngsanaUPC" w:hAnsi="Times New Roman"/>
                <w:b/>
                <w:bCs/>
                <w:sz w:val="20"/>
                <w:szCs w:val="20"/>
                <w:lang w:eastAsia="lt-LT"/>
              </w:rPr>
            </w:pPr>
            <w:r w:rsidRPr="008D3817">
              <w:rPr>
                <w:rFonts w:ascii="Times New Roman" w:eastAsia="AngsanaUPC" w:hAnsi="Times New Roman"/>
                <w:bCs/>
                <w:sz w:val="20"/>
                <w:szCs w:val="20"/>
                <w:lang w:eastAsia="lt-LT"/>
              </w:rPr>
              <w:t>SaF</w:t>
            </w:r>
          </w:p>
        </w:tc>
        <w:tc>
          <w:tcPr>
            <w:tcW w:w="1276" w:type="dxa"/>
            <w:vMerge w:val="restart"/>
            <w:shd w:val="clear" w:color="auto" w:fill="auto"/>
          </w:tcPr>
          <w:p w:rsidR="00D25A49" w:rsidRPr="008D3817" w:rsidRDefault="00D25A49"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eastAsia="AngsanaUPC" w:hAnsi="Times New Roman"/>
                <w:bCs/>
                <w:sz w:val="20"/>
                <w:szCs w:val="20"/>
                <w:lang w:eastAsia="lt-LT"/>
              </w:rPr>
              <w:t xml:space="preserve">ERPF: </w:t>
            </w:r>
            <w:r w:rsidR="00600A14">
              <w:rPr>
                <w:rFonts w:ascii="Times New Roman" w:eastAsia="AngsanaUPC" w:hAnsi="Times New Roman"/>
                <w:bCs/>
                <w:sz w:val="20"/>
                <w:szCs w:val="20"/>
                <w:lang w:eastAsia="lt-LT"/>
              </w:rPr>
              <w:t>319.425.213</w:t>
            </w:r>
          </w:p>
          <w:p w:rsidR="00D25A49" w:rsidRPr="008D3817" w:rsidRDefault="00D25A49" w:rsidP="008D3817">
            <w:pPr>
              <w:widowControl w:val="0"/>
              <w:tabs>
                <w:tab w:val="left" w:pos="622"/>
              </w:tabs>
              <w:spacing w:after="0" w:line="240" w:lineRule="auto"/>
              <w:jc w:val="both"/>
              <w:rPr>
                <w:rFonts w:ascii="Times New Roman" w:eastAsia="AngsanaUPC" w:hAnsi="Times New Roman"/>
                <w:bCs/>
                <w:sz w:val="20"/>
                <w:szCs w:val="20"/>
                <w:lang w:eastAsia="lt-LT"/>
              </w:rPr>
            </w:pPr>
          </w:p>
          <w:p w:rsidR="00D25A49" w:rsidRPr="008D3817" w:rsidRDefault="00D25A49" w:rsidP="00071690">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eastAsia="AngsanaUPC" w:hAnsi="Times New Roman"/>
                <w:bCs/>
                <w:sz w:val="20"/>
                <w:szCs w:val="20"/>
                <w:lang w:eastAsia="lt-LT"/>
              </w:rPr>
              <w:t xml:space="preserve">SaF: </w:t>
            </w:r>
            <w:r w:rsidR="00071690">
              <w:rPr>
                <w:rFonts w:ascii="Times New Roman" w:eastAsia="AngsanaUPC" w:hAnsi="Times New Roman"/>
                <w:bCs/>
                <w:sz w:val="20"/>
                <w:szCs w:val="20"/>
                <w:lang w:eastAsia="lt-LT"/>
              </w:rPr>
              <w:t>774.756.109</w:t>
            </w:r>
          </w:p>
        </w:tc>
        <w:tc>
          <w:tcPr>
            <w:tcW w:w="1134" w:type="dxa"/>
            <w:vMerge w:val="restart"/>
            <w:shd w:val="clear" w:color="auto" w:fill="auto"/>
          </w:tcPr>
          <w:p w:rsidR="00D25A49" w:rsidRPr="008D3817" w:rsidRDefault="00600A14" w:rsidP="009C0228">
            <w:pPr>
              <w:widowControl w:val="0"/>
              <w:tabs>
                <w:tab w:val="left" w:pos="622"/>
              </w:tabs>
              <w:spacing w:after="0" w:line="240" w:lineRule="auto"/>
              <w:jc w:val="both"/>
              <w:rPr>
                <w:rFonts w:ascii="Times New Roman" w:eastAsia="AngsanaUPC" w:hAnsi="Times New Roman"/>
                <w:bCs/>
                <w:sz w:val="20"/>
                <w:szCs w:val="20"/>
                <w:lang w:eastAsia="lt-LT"/>
              </w:rPr>
            </w:pPr>
            <w:r>
              <w:rPr>
                <w:rFonts w:ascii="Times New Roman" w:eastAsia="AngsanaUPC" w:hAnsi="Times New Roman"/>
                <w:bCs/>
                <w:sz w:val="20"/>
                <w:szCs w:val="20"/>
                <w:lang w:eastAsia="lt-LT"/>
              </w:rPr>
              <w:t>15,</w:t>
            </w:r>
            <w:r w:rsidR="009C0228">
              <w:rPr>
                <w:rFonts w:ascii="Times New Roman" w:eastAsia="AngsanaUPC" w:hAnsi="Times New Roman"/>
                <w:bCs/>
                <w:sz w:val="20"/>
                <w:szCs w:val="20"/>
                <w:lang w:eastAsia="lt-LT"/>
              </w:rPr>
              <w:t>5</w:t>
            </w:r>
            <w:r>
              <w:rPr>
                <w:rFonts w:ascii="Times New Roman" w:eastAsia="AngsanaUPC" w:hAnsi="Times New Roman"/>
                <w:bCs/>
                <w:sz w:val="20"/>
                <w:szCs w:val="20"/>
                <w:lang w:eastAsia="lt-LT"/>
              </w:rPr>
              <w:t>6</w:t>
            </w:r>
            <w:r w:rsidR="00071690">
              <w:rPr>
                <w:rFonts w:ascii="Times New Roman" w:eastAsia="AngsanaUPC" w:hAnsi="Times New Roman"/>
                <w:bCs/>
                <w:sz w:val="20"/>
                <w:szCs w:val="20"/>
                <w:lang w:eastAsia="lt-LT"/>
              </w:rPr>
              <w:t xml:space="preserve"> </w:t>
            </w:r>
            <w:r w:rsidR="00D25A49" w:rsidRPr="008D3817">
              <w:rPr>
                <w:rFonts w:ascii="Times New Roman" w:eastAsia="AngsanaUPC" w:hAnsi="Times New Roman"/>
                <w:bCs/>
                <w:sz w:val="20"/>
                <w:szCs w:val="20"/>
                <w:lang w:val="en-US" w:eastAsia="lt-LT"/>
              </w:rPr>
              <w:t>%</w:t>
            </w:r>
          </w:p>
        </w:tc>
      </w:tr>
      <w:tr w:rsidR="00D25A49" w:rsidRPr="0083442A" w:rsidTr="003F26B8">
        <w:trPr>
          <w:trHeight w:val="944"/>
        </w:trPr>
        <w:tc>
          <w:tcPr>
            <w:tcW w:w="1668" w:type="dxa"/>
            <w:vMerge/>
            <w:shd w:val="clear" w:color="auto" w:fill="auto"/>
          </w:tcPr>
          <w:p w:rsidR="00D25A49" w:rsidRPr="008D3817" w:rsidRDefault="00D25A49"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559" w:type="dxa"/>
            <w:vMerge/>
            <w:shd w:val="clear" w:color="auto" w:fill="auto"/>
          </w:tcPr>
          <w:p w:rsidR="00D25A49" w:rsidRPr="008D3817" w:rsidRDefault="00D25A49"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shd w:val="clear" w:color="auto" w:fill="auto"/>
          </w:tcPr>
          <w:p w:rsidR="00D25A49" w:rsidRPr="008D3817" w:rsidRDefault="00D25A49" w:rsidP="008D3817">
            <w:pPr>
              <w:widowControl w:val="0"/>
              <w:tabs>
                <w:tab w:val="left" w:pos="1276"/>
              </w:tabs>
              <w:adjustRightInd w:val="0"/>
              <w:spacing w:after="0" w:line="240" w:lineRule="auto"/>
              <w:jc w:val="both"/>
              <w:textAlignment w:val="baseline"/>
              <w:rPr>
                <w:rFonts w:ascii="Times New Roman" w:hAnsi="Times New Roman"/>
                <w:sz w:val="20"/>
                <w:szCs w:val="20"/>
              </w:rPr>
            </w:pPr>
          </w:p>
        </w:tc>
        <w:tc>
          <w:tcPr>
            <w:tcW w:w="2693" w:type="dxa"/>
            <w:vMerge/>
            <w:shd w:val="clear" w:color="auto" w:fill="auto"/>
          </w:tcPr>
          <w:p w:rsidR="00D25A49" w:rsidRPr="008D3817" w:rsidRDefault="00D25A49"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3119" w:type="dxa"/>
            <w:shd w:val="clear" w:color="auto" w:fill="auto"/>
          </w:tcPr>
          <w:p w:rsidR="00D25A49" w:rsidRPr="008D3817" w:rsidRDefault="00D25A49" w:rsidP="00017183">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eastAsia="Times New Roman" w:hAnsi="Times New Roman"/>
                <w:bCs/>
                <w:iCs/>
                <w:color w:val="000000"/>
                <w:sz w:val="20"/>
                <w:szCs w:val="20"/>
                <w:lang w:eastAsia="lt-LT"/>
              </w:rPr>
              <w:t xml:space="preserve">Vidutinis keleivinio traukinio greitis </w:t>
            </w:r>
            <w:r w:rsidR="00017183">
              <w:rPr>
                <w:rFonts w:ascii="Times New Roman" w:eastAsia="Times New Roman" w:hAnsi="Times New Roman"/>
                <w:bCs/>
                <w:iCs/>
                <w:color w:val="000000"/>
                <w:sz w:val="20"/>
                <w:szCs w:val="20"/>
                <w:lang w:eastAsia="lt-LT"/>
              </w:rPr>
              <w:t xml:space="preserve">rekonstruotuose ir </w:t>
            </w:r>
            <w:r w:rsidRPr="008D3817">
              <w:rPr>
                <w:rFonts w:ascii="Times New Roman" w:eastAsia="Times New Roman" w:hAnsi="Times New Roman"/>
                <w:bCs/>
                <w:iCs/>
                <w:color w:val="000000"/>
                <w:sz w:val="20"/>
                <w:szCs w:val="20"/>
                <w:lang w:eastAsia="lt-LT"/>
              </w:rPr>
              <w:t>atnaujintuose TEN</w:t>
            </w:r>
            <w:proofErr w:type="gramStart"/>
            <w:r w:rsidRPr="008D3817">
              <w:rPr>
                <w:rFonts w:ascii="Times New Roman" w:eastAsia="Times New Roman" w:hAnsi="Times New Roman"/>
                <w:bCs/>
                <w:iCs/>
                <w:color w:val="000000"/>
                <w:sz w:val="20"/>
                <w:szCs w:val="20"/>
                <w:lang w:eastAsia="lt-LT"/>
              </w:rPr>
              <w:t>-</w:t>
            </w:r>
            <w:proofErr w:type="gramEnd"/>
            <w:r w:rsidRPr="008D3817">
              <w:rPr>
                <w:rFonts w:ascii="Times New Roman" w:eastAsia="Times New Roman" w:hAnsi="Times New Roman"/>
                <w:bCs/>
                <w:iCs/>
                <w:color w:val="000000"/>
                <w:sz w:val="20"/>
                <w:szCs w:val="20"/>
                <w:lang w:eastAsia="lt-LT"/>
              </w:rPr>
              <w:t>T tinklo geležinkelių ruožuose</w:t>
            </w:r>
          </w:p>
        </w:tc>
        <w:tc>
          <w:tcPr>
            <w:tcW w:w="850" w:type="dxa"/>
            <w:vMerge/>
            <w:shd w:val="clear" w:color="auto" w:fill="auto"/>
          </w:tcPr>
          <w:p w:rsidR="00D25A49" w:rsidRPr="008D3817" w:rsidRDefault="00D25A49"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276" w:type="dxa"/>
            <w:vMerge/>
            <w:shd w:val="clear" w:color="auto" w:fill="auto"/>
          </w:tcPr>
          <w:p w:rsidR="00D25A49" w:rsidRPr="008D3817" w:rsidRDefault="00D25A49"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shd w:val="clear" w:color="auto" w:fill="auto"/>
          </w:tcPr>
          <w:p w:rsidR="00D25A49" w:rsidRPr="008D3817" w:rsidRDefault="00D25A49"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D25A49" w:rsidRPr="0083442A" w:rsidTr="003F26B8">
        <w:trPr>
          <w:trHeight w:val="472"/>
        </w:trPr>
        <w:tc>
          <w:tcPr>
            <w:tcW w:w="1668" w:type="dxa"/>
            <w:vMerge/>
            <w:shd w:val="clear" w:color="auto" w:fill="auto"/>
          </w:tcPr>
          <w:p w:rsidR="00D25A49" w:rsidRPr="008D3817" w:rsidRDefault="00D25A49"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559" w:type="dxa"/>
            <w:vMerge/>
            <w:shd w:val="clear" w:color="auto" w:fill="auto"/>
          </w:tcPr>
          <w:p w:rsidR="00D25A49" w:rsidRPr="008D3817" w:rsidRDefault="00D25A49"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shd w:val="clear" w:color="auto" w:fill="auto"/>
          </w:tcPr>
          <w:p w:rsidR="00D25A49" w:rsidRPr="008D3817" w:rsidRDefault="00D25A49" w:rsidP="008D3817">
            <w:pPr>
              <w:widowControl w:val="0"/>
              <w:tabs>
                <w:tab w:val="left" w:pos="1276"/>
              </w:tabs>
              <w:adjustRightInd w:val="0"/>
              <w:spacing w:after="0" w:line="240" w:lineRule="auto"/>
              <w:jc w:val="both"/>
              <w:textAlignment w:val="baseline"/>
              <w:rPr>
                <w:rFonts w:ascii="Times New Roman" w:hAnsi="Times New Roman"/>
                <w:sz w:val="20"/>
                <w:szCs w:val="20"/>
              </w:rPr>
            </w:pPr>
          </w:p>
        </w:tc>
        <w:tc>
          <w:tcPr>
            <w:tcW w:w="2693" w:type="dxa"/>
            <w:vMerge/>
            <w:shd w:val="clear" w:color="auto" w:fill="auto"/>
          </w:tcPr>
          <w:p w:rsidR="00D25A49" w:rsidRPr="008D3817" w:rsidRDefault="00D25A49"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3119" w:type="dxa"/>
            <w:shd w:val="clear" w:color="auto" w:fill="auto"/>
          </w:tcPr>
          <w:p w:rsidR="00D25A49" w:rsidRPr="008D3817" w:rsidRDefault="00D25A49" w:rsidP="008D3817">
            <w:pPr>
              <w:widowControl w:val="0"/>
              <w:tabs>
                <w:tab w:val="left" w:pos="622"/>
              </w:tabs>
              <w:spacing w:after="0" w:line="240" w:lineRule="auto"/>
              <w:jc w:val="both"/>
              <w:rPr>
                <w:rFonts w:ascii="Times New Roman" w:eastAsia="Times New Roman" w:hAnsi="Times New Roman"/>
                <w:bCs/>
                <w:iCs/>
                <w:color w:val="000000"/>
                <w:sz w:val="20"/>
                <w:szCs w:val="20"/>
                <w:lang w:eastAsia="lt-LT"/>
              </w:rPr>
            </w:pPr>
            <w:r w:rsidRPr="008D3817">
              <w:rPr>
                <w:rFonts w:ascii="Times New Roman" w:eastAsia="Times New Roman" w:hAnsi="Times New Roman"/>
                <w:bCs/>
                <w:iCs/>
                <w:color w:val="000000"/>
                <w:sz w:val="20"/>
                <w:szCs w:val="20"/>
                <w:lang w:eastAsia="lt-LT"/>
              </w:rPr>
              <w:t>Žuvusiųjų TEN</w:t>
            </w:r>
            <w:proofErr w:type="gramStart"/>
            <w:r w:rsidRPr="008D3817">
              <w:rPr>
                <w:rFonts w:ascii="Times New Roman" w:eastAsia="Times New Roman" w:hAnsi="Times New Roman"/>
                <w:bCs/>
                <w:iCs/>
                <w:color w:val="000000"/>
                <w:sz w:val="20"/>
                <w:szCs w:val="20"/>
                <w:lang w:eastAsia="lt-LT"/>
              </w:rPr>
              <w:t>-</w:t>
            </w:r>
            <w:proofErr w:type="gramEnd"/>
            <w:r w:rsidRPr="008D3817">
              <w:rPr>
                <w:rFonts w:ascii="Times New Roman" w:eastAsia="Times New Roman" w:hAnsi="Times New Roman"/>
                <w:bCs/>
                <w:iCs/>
                <w:color w:val="000000"/>
                <w:sz w:val="20"/>
                <w:szCs w:val="20"/>
                <w:lang w:eastAsia="lt-LT"/>
              </w:rPr>
              <w:t>T tinklo keliuose skaičius</w:t>
            </w:r>
          </w:p>
        </w:tc>
        <w:tc>
          <w:tcPr>
            <w:tcW w:w="850" w:type="dxa"/>
            <w:vMerge/>
            <w:shd w:val="clear" w:color="auto" w:fill="auto"/>
          </w:tcPr>
          <w:p w:rsidR="00D25A49" w:rsidRPr="008D3817" w:rsidRDefault="00D25A49"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276" w:type="dxa"/>
            <w:vMerge/>
            <w:shd w:val="clear" w:color="auto" w:fill="auto"/>
          </w:tcPr>
          <w:p w:rsidR="00D25A49" w:rsidRPr="008D3817" w:rsidRDefault="00D25A49"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shd w:val="clear" w:color="auto" w:fill="auto"/>
          </w:tcPr>
          <w:p w:rsidR="00D25A49" w:rsidRPr="008D3817" w:rsidRDefault="00D25A49"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D25A49" w:rsidRPr="0083442A" w:rsidTr="00E60EA1">
        <w:trPr>
          <w:trHeight w:val="219"/>
        </w:trPr>
        <w:tc>
          <w:tcPr>
            <w:tcW w:w="1668" w:type="dxa"/>
            <w:vMerge/>
            <w:shd w:val="clear" w:color="auto" w:fill="auto"/>
          </w:tcPr>
          <w:p w:rsidR="00D25A49" w:rsidRPr="008D3817" w:rsidRDefault="00D25A49"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559" w:type="dxa"/>
            <w:vMerge/>
            <w:shd w:val="clear" w:color="auto" w:fill="auto"/>
          </w:tcPr>
          <w:p w:rsidR="00D25A49" w:rsidRPr="008D3817" w:rsidRDefault="00D25A49"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shd w:val="clear" w:color="auto" w:fill="auto"/>
          </w:tcPr>
          <w:p w:rsidR="00D25A49" w:rsidRPr="008D3817" w:rsidRDefault="00D25A49" w:rsidP="008D3817">
            <w:pPr>
              <w:widowControl w:val="0"/>
              <w:tabs>
                <w:tab w:val="left" w:pos="1276"/>
              </w:tabs>
              <w:adjustRightInd w:val="0"/>
              <w:spacing w:after="0" w:line="240" w:lineRule="auto"/>
              <w:jc w:val="both"/>
              <w:textAlignment w:val="baseline"/>
              <w:rPr>
                <w:rFonts w:ascii="Times New Roman" w:hAnsi="Times New Roman"/>
                <w:sz w:val="20"/>
                <w:szCs w:val="20"/>
              </w:rPr>
            </w:pPr>
          </w:p>
        </w:tc>
        <w:tc>
          <w:tcPr>
            <w:tcW w:w="2693" w:type="dxa"/>
            <w:vMerge/>
            <w:shd w:val="clear" w:color="auto" w:fill="auto"/>
          </w:tcPr>
          <w:p w:rsidR="00D25A49" w:rsidRPr="008D3817" w:rsidRDefault="00D25A49"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3119" w:type="dxa"/>
            <w:shd w:val="clear" w:color="auto" w:fill="auto"/>
          </w:tcPr>
          <w:p w:rsidR="00D25A49" w:rsidRPr="008D3817" w:rsidRDefault="00017183" w:rsidP="00017183">
            <w:pPr>
              <w:widowControl w:val="0"/>
              <w:tabs>
                <w:tab w:val="left" w:pos="622"/>
              </w:tabs>
              <w:spacing w:after="0" w:line="240" w:lineRule="auto"/>
              <w:jc w:val="both"/>
              <w:rPr>
                <w:rFonts w:ascii="Times New Roman" w:eastAsia="Times New Roman" w:hAnsi="Times New Roman"/>
                <w:bCs/>
                <w:iCs/>
                <w:color w:val="000000"/>
                <w:sz w:val="20"/>
                <w:szCs w:val="20"/>
                <w:lang w:eastAsia="lt-LT"/>
              </w:rPr>
            </w:pPr>
            <w:r>
              <w:rPr>
                <w:rFonts w:ascii="Times New Roman" w:eastAsia="Times New Roman" w:hAnsi="Times New Roman"/>
                <w:bCs/>
                <w:iCs/>
                <w:color w:val="000000"/>
                <w:sz w:val="20"/>
                <w:szCs w:val="20"/>
                <w:lang w:eastAsia="lt-LT"/>
              </w:rPr>
              <w:t>V</w:t>
            </w:r>
            <w:r w:rsidRPr="006C7F27">
              <w:rPr>
                <w:rFonts w:ascii="Times New Roman" w:eastAsia="Times New Roman" w:hAnsi="Times New Roman"/>
                <w:bCs/>
                <w:iCs/>
                <w:color w:val="000000"/>
                <w:sz w:val="20"/>
                <w:szCs w:val="20"/>
                <w:lang w:eastAsia="lt-LT"/>
              </w:rPr>
              <w:t xml:space="preserve">idutinė </w:t>
            </w:r>
            <w:r w:rsidR="006C7F27" w:rsidRPr="006C7F27">
              <w:rPr>
                <w:rFonts w:ascii="Times New Roman" w:eastAsia="Times New Roman" w:hAnsi="Times New Roman"/>
                <w:bCs/>
                <w:iCs/>
                <w:color w:val="000000"/>
                <w:sz w:val="20"/>
                <w:szCs w:val="20"/>
                <w:lang w:val="en-US" w:eastAsia="lt-LT"/>
              </w:rPr>
              <w:t xml:space="preserve">1 </w:t>
            </w:r>
            <w:r w:rsidR="006C7F27" w:rsidRPr="006C7F27">
              <w:rPr>
                <w:rFonts w:ascii="Times New Roman" w:eastAsia="Times New Roman" w:hAnsi="Times New Roman"/>
                <w:bCs/>
                <w:iCs/>
                <w:color w:val="000000"/>
                <w:sz w:val="20"/>
                <w:szCs w:val="20"/>
                <w:lang w:eastAsia="lt-LT"/>
              </w:rPr>
              <w:t>orlaivio manevravimo trukmė</w:t>
            </w:r>
          </w:p>
        </w:tc>
        <w:tc>
          <w:tcPr>
            <w:tcW w:w="850" w:type="dxa"/>
            <w:vMerge/>
            <w:shd w:val="clear" w:color="auto" w:fill="auto"/>
          </w:tcPr>
          <w:p w:rsidR="00D25A49" w:rsidRPr="008D3817" w:rsidRDefault="00D25A49"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276" w:type="dxa"/>
            <w:vMerge/>
            <w:shd w:val="clear" w:color="auto" w:fill="auto"/>
          </w:tcPr>
          <w:p w:rsidR="00D25A49" w:rsidRPr="008D3817" w:rsidRDefault="00D25A49"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shd w:val="clear" w:color="auto" w:fill="auto"/>
          </w:tcPr>
          <w:p w:rsidR="00D25A49" w:rsidRPr="008D3817" w:rsidRDefault="00D25A49"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6C7F27" w:rsidRPr="0083442A" w:rsidTr="003F26B8">
        <w:trPr>
          <w:trHeight w:val="967"/>
        </w:trPr>
        <w:tc>
          <w:tcPr>
            <w:tcW w:w="1668" w:type="dxa"/>
            <w:vMerge/>
            <w:shd w:val="clear" w:color="auto" w:fill="auto"/>
          </w:tcPr>
          <w:p w:rsidR="006C7F27" w:rsidRPr="008D3817" w:rsidRDefault="006C7F27"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559" w:type="dxa"/>
            <w:vMerge/>
            <w:shd w:val="clear" w:color="auto" w:fill="auto"/>
          </w:tcPr>
          <w:p w:rsidR="006C7F27" w:rsidRPr="008D3817" w:rsidRDefault="006C7F27"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val="restart"/>
            <w:shd w:val="clear" w:color="auto" w:fill="auto"/>
          </w:tcPr>
          <w:p w:rsidR="006C7F27" w:rsidRPr="008D3817" w:rsidRDefault="006C7F27" w:rsidP="008D3817">
            <w:pPr>
              <w:widowControl w:val="0"/>
              <w:tabs>
                <w:tab w:val="left" w:pos="1276"/>
              </w:tabs>
              <w:adjustRightInd w:val="0"/>
              <w:spacing w:after="0" w:line="240" w:lineRule="auto"/>
              <w:jc w:val="both"/>
              <w:textAlignment w:val="baseline"/>
              <w:rPr>
                <w:rFonts w:ascii="Times New Roman" w:hAnsi="Times New Roman"/>
                <w:sz w:val="20"/>
                <w:szCs w:val="20"/>
              </w:rPr>
            </w:pPr>
            <w:r w:rsidRPr="008D3817">
              <w:rPr>
                <w:rFonts w:ascii="Times New Roman" w:hAnsi="Times New Roman"/>
                <w:sz w:val="20"/>
                <w:szCs w:val="20"/>
              </w:rPr>
              <w:t>Regionų judumo didinimas</w:t>
            </w:r>
            <w:r w:rsidR="00AF4217">
              <w:rPr>
                <w:rFonts w:ascii="Times New Roman" w:hAnsi="Times New Roman"/>
                <w:sz w:val="20"/>
                <w:szCs w:val="20"/>
              </w:rPr>
              <w:t>,</w:t>
            </w:r>
            <w:r w:rsidRPr="008D3817">
              <w:rPr>
                <w:rFonts w:ascii="Times New Roman" w:hAnsi="Times New Roman"/>
                <w:sz w:val="20"/>
                <w:szCs w:val="20"/>
              </w:rPr>
              <w:t xml:space="preserve"> prie TEN</w:t>
            </w:r>
            <w:proofErr w:type="gramStart"/>
            <w:r w:rsidRPr="008D3817">
              <w:rPr>
                <w:rFonts w:ascii="Times New Roman" w:hAnsi="Times New Roman"/>
                <w:sz w:val="20"/>
                <w:szCs w:val="20"/>
              </w:rPr>
              <w:t>-</w:t>
            </w:r>
            <w:proofErr w:type="gramEnd"/>
            <w:r w:rsidRPr="008D3817">
              <w:rPr>
                <w:rFonts w:ascii="Times New Roman" w:hAnsi="Times New Roman"/>
                <w:sz w:val="20"/>
                <w:szCs w:val="20"/>
              </w:rPr>
              <w:t>T infrastruktūros prijungiant antrinius ir tretinius transporto mazgus, įskaitant daugiarūšio transporto mazgus</w:t>
            </w:r>
          </w:p>
        </w:tc>
        <w:tc>
          <w:tcPr>
            <w:tcW w:w="2693" w:type="dxa"/>
            <w:vMerge w:val="restart"/>
            <w:shd w:val="clear" w:color="auto" w:fill="auto"/>
          </w:tcPr>
          <w:p w:rsidR="006C7F27" w:rsidRPr="008D3817" w:rsidRDefault="006C7F27"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hAnsi="Times New Roman"/>
                <w:bCs/>
                <w:sz w:val="20"/>
                <w:szCs w:val="20"/>
              </w:rPr>
              <w:t>Padidinti regionų judumą</w:t>
            </w:r>
            <w:r w:rsidR="00AF4217">
              <w:rPr>
                <w:rFonts w:ascii="Times New Roman" w:hAnsi="Times New Roman"/>
                <w:bCs/>
                <w:sz w:val="20"/>
                <w:szCs w:val="20"/>
              </w:rPr>
              <w:t>,</w:t>
            </w:r>
            <w:r w:rsidRPr="008D3817">
              <w:rPr>
                <w:rFonts w:ascii="Times New Roman" w:hAnsi="Times New Roman"/>
                <w:bCs/>
                <w:sz w:val="20"/>
                <w:szCs w:val="20"/>
              </w:rPr>
              <w:t xml:space="preserve"> plėtojant regionų jungtis su pagrindiniu šalies transporto tinklu ir diegiant eismo saugos priemones</w:t>
            </w:r>
          </w:p>
        </w:tc>
        <w:tc>
          <w:tcPr>
            <w:tcW w:w="3119" w:type="dxa"/>
            <w:shd w:val="clear" w:color="auto" w:fill="auto"/>
            <w:vAlign w:val="center"/>
          </w:tcPr>
          <w:p w:rsidR="006C7F27" w:rsidRPr="008D3817" w:rsidRDefault="006C7F27" w:rsidP="00017183">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eastAsia="AngsanaUPC" w:hAnsi="Times New Roman"/>
                <w:bCs/>
                <w:sz w:val="20"/>
                <w:szCs w:val="20"/>
                <w:lang w:eastAsia="lt-LT"/>
              </w:rPr>
              <w:t xml:space="preserve">Vidutinis keleivinio traukinio greitis </w:t>
            </w:r>
            <w:r w:rsidR="00017183">
              <w:rPr>
                <w:rFonts w:ascii="Times New Roman" w:eastAsia="Times New Roman" w:hAnsi="Times New Roman"/>
                <w:bCs/>
                <w:iCs/>
                <w:color w:val="000000"/>
                <w:sz w:val="20"/>
                <w:szCs w:val="20"/>
                <w:lang w:eastAsia="lt-LT"/>
              </w:rPr>
              <w:t xml:space="preserve">rekonstruotuose ir </w:t>
            </w:r>
            <w:r w:rsidRPr="008D3817">
              <w:rPr>
                <w:rFonts w:ascii="Times New Roman" w:eastAsia="AngsanaUPC" w:hAnsi="Times New Roman"/>
                <w:bCs/>
                <w:sz w:val="20"/>
                <w:szCs w:val="20"/>
                <w:lang w:eastAsia="lt-LT"/>
              </w:rPr>
              <w:t>atnaujintuose ne TEN</w:t>
            </w:r>
            <w:proofErr w:type="gramStart"/>
            <w:r w:rsidRPr="008D3817">
              <w:rPr>
                <w:rFonts w:ascii="Times New Roman" w:eastAsia="AngsanaUPC" w:hAnsi="Times New Roman"/>
                <w:bCs/>
                <w:sz w:val="20"/>
                <w:szCs w:val="20"/>
                <w:lang w:eastAsia="lt-LT"/>
              </w:rPr>
              <w:t>-</w:t>
            </w:r>
            <w:proofErr w:type="gramEnd"/>
            <w:r w:rsidRPr="008D3817">
              <w:rPr>
                <w:rFonts w:ascii="Times New Roman" w:eastAsia="AngsanaUPC" w:hAnsi="Times New Roman"/>
                <w:bCs/>
                <w:sz w:val="20"/>
                <w:szCs w:val="20"/>
                <w:lang w:eastAsia="lt-LT"/>
              </w:rPr>
              <w:t>T tinklo geležinkelių ruožuose</w:t>
            </w:r>
          </w:p>
        </w:tc>
        <w:tc>
          <w:tcPr>
            <w:tcW w:w="850" w:type="dxa"/>
            <w:vMerge/>
            <w:shd w:val="clear" w:color="auto" w:fill="auto"/>
          </w:tcPr>
          <w:p w:rsidR="006C7F27" w:rsidRPr="008D3817" w:rsidRDefault="006C7F27"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276" w:type="dxa"/>
            <w:vMerge/>
            <w:shd w:val="clear" w:color="auto" w:fill="auto"/>
          </w:tcPr>
          <w:p w:rsidR="006C7F27" w:rsidRPr="008D3817" w:rsidRDefault="006C7F27"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shd w:val="clear" w:color="auto" w:fill="auto"/>
          </w:tcPr>
          <w:p w:rsidR="006C7F27" w:rsidRPr="008D3817" w:rsidRDefault="006C7F27"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6C7F27" w:rsidRPr="0083442A" w:rsidTr="00D25A49">
        <w:trPr>
          <w:trHeight w:val="472"/>
        </w:trPr>
        <w:tc>
          <w:tcPr>
            <w:tcW w:w="1668" w:type="dxa"/>
            <w:vMerge/>
            <w:shd w:val="clear" w:color="auto" w:fill="auto"/>
          </w:tcPr>
          <w:p w:rsidR="006C7F27" w:rsidRPr="008D3817" w:rsidRDefault="006C7F27"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559" w:type="dxa"/>
            <w:vMerge/>
            <w:shd w:val="clear" w:color="auto" w:fill="auto"/>
          </w:tcPr>
          <w:p w:rsidR="006C7F27" w:rsidRPr="008D3817" w:rsidRDefault="006C7F27"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shd w:val="clear" w:color="auto" w:fill="auto"/>
          </w:tcPr>
          <w:p w:rsidR="006C7F27" w:rsidRPr="008D3817" w:rsidRDefault="006C7F27" w:rsidP="008D3817">
            <w:pPr>
              <w:widowControl w:val="0"/>
              <w:tabs>
                <w:tab w:val="left" w:pos="1276"/>
              </w:tabs>
              <w:adjustRightInd w:val="0"/>
              <w:spacing w:after="0" w:line="240" w:lineRule="auto"/>
              <w:jc w:val="both"/>
              <w:textAlignment w:val="baseline"/>
              <w:rPr>
                <w:rFonts w:ascii="Times New Roman" w:hAnsi="Times New Roman"/>
                <w:sz w:val="20"/>
                <w:szCs w:val="20"/>
              </w:rPr>
            </w:pPr>
          </w:p>
        </w:tc>
        <w:tc>
          <w:tcPr>
            <w:tcW w:w="2693" w:type="dxa"/>
            <w:vMerge/>
            <w:shd w:val="clear" w:color="auto" w:fill="auto"/>
          </w:tcPr>
          <w:p w:rsidR="006C7F27" w:rsidRPr="008D3817" w:rsidRDefault="006C7F27" w:rsidP="008D3817">
            <w:pPr>
              <w:widowControl w:val="0"/>
              <w:tabs>
                <w:tab w:val="left" w:pos="622"/>
              </w:tabs>
              <w:spacing w:after="0" w:line="240" w:lineRule="auto"/>
              <w:jc w:val="both"/>
              <w:rPr>
                <w:rFonts w:ascii="Times New Roman" w:hAnsi="Times New Roman"/>
                <w:bCs/>
                <w:sz w:val="20"/>
                <w:szCs w:val="20"/>
              </w:rPr>
            </w:pPr>
          </w:p>
        </w:tc>
        <w:tc>
          <w:tcPr>
            <w:tcW w:w="3119" w:type="dxa"/>
            <w:shd w:val="clear" w:color="auto" w:fill="auto"/>
            <w:vAlign w:val="center"/>
          </w:tcPr>
          <w:p w:rsidR="006C7F27" w:rsidRPr="008D3817" w:rsidRDefault="006C7F27"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eastAsia="AngsanaUPC" w:hAnsi="Times New Roman"/>
                <w:bCs/>
                <w:sz w:val="20"/>
                <w:szCs w:val="20"/>
                <w:lang w:eastAsia="lt-LT"/>
              </w:rPr>
              <w:t>Žuvusiųjų ne</w:t>
            </w:r>
            <w:r w:rsidR="0091347B">
              <w:rPr>
                <w:rFonts w:ascii="Times New Roman" w:eastAsia="AngsanaUPC" w:hAnsi="Times New Roman"/>
                <w:bCs/>
                <w:sz w:val="20"/>
                <w:szCs w:val="20"/>
                <w:lang w:eastAsia="lt-LT"/>
              </w:rPr>
              <w:t xml:space="preserve"> TEN</w:t>
            </w:r>
            <w:proofErr w:type="gramStart"/>
            <w:r w:rsidR="0091347B">
              <w:rPr>
                <w:rFonts w:ascii="Times New Roman" w:eastAsia="AngsanaUPC" w:hAnsi="Times New Roman"/>
                <w:bCs/>
                <w:sz w:val="20"/>
                <w:szCs w:val="20"/>
                <w:lang w:eastAsia="lt-LT"/>
              </w:rPr>
              <w:t>-</w:t>
            </w:r>
            <w:proofErr w:type="gramEnd"/>
            <w:r w:rsidR="0091347B">
              <w:rPr>
                <w:rFonts w:ascii="Times New Roman" w:eastAsia="AngsanaUPC" w:hAnsi="Times New Roman"/>
                <w:bCs/>
                <w:sz w:val="20"/>
                <w:szCs w:val="20"/>
                <w:lang w:eastAsia="lt-LT"/>
              </w:rPr>
              <w:t>T tinklo keliuose skaičius</w:t>
            </w:r>
          </w:p>
        </w:tc>
        <w:tc>
          <w:tcPr>
            <w:tcW w:w="850" w:type="dxa"/>
            <w:vMerge/>
            <w:shd w:val="clear" w:color="auto" w:fill="auto"/>
          </w:tcPr>
          <w:p w:rsidR="006C7F27" w:rsidRPr="008D3817" w:rsidRDefault="006C7F27"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276" w:type="dxa"/>
            <w:vMerge/>
            <w:shd w:val="clear" w:color="auto" w:fill="auto"/>
          </w:tcPr>
          <w:p w:rsidR="006C7F27" w:rsidRPr="008D3817" w:rsidRDefault="006C7F27"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shd w:val="clear" w:color="auto" w:fill="auto"/>
          </w:tcPr>
          <w:p w:rsidR="006C7F27" w:rsidRPr="008D3817" w:rsidRDefault="006C7F27"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6C7F27" w:rsidRPr="0083442A" w:rsidTr="006C7F27">
        <w:trPr>
          <w:trHeight w:val="702"/>
        </w:trPr>
        <w:tc>
          <w:tcPr>
            <w:tcW w:w="1668" w:type="dxa"/>
            <w:vMerge/>
            <w:shd w:val="clear" w:color="auto" w:fill="auto"/>
          </w:tcPr>
          <w:p w:rsidR="006C7F27" w:rsidRPr="008D3817" w:rsidRDefault="006C7F27"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559" w:type="dxa"/>
            <w:vMerge/>
            <w:shd w:val="clear" w:color="auto" w:fill="auto"/>
          </w:tcPr>
          <w:p w:rsidR="006C7F27" w:rsidRPr="008D3817" w:rsidRDefault="006C7F27"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shd w:val="clear" w:color="auto" w:fill="auto"/>
          </w:tcPr>
          <w:p w:rsidR="006C7F27" w:rsidRPr="008D3817" w:rsidRDefault="006C7F27" w:rsidP="008D3817">
            <w:pPr>
              <w:widowControl w:val="0"/>
              <w:tabs>
                <w:tab w:val="left" w:pos="1276"/>
              </w:tabs>
              <w:adjustRightInd w:val="0"/>
              <w:spacing w:after="0" w:line="240" w:lineRule="auto"/>
              <w:jc w:val="both"/>
              <w:textAlignment w:val="baseline"/>
              <w:rPr>
                <w:rFonts w:ascii="Times New Roman" w:hAnsi="Times New Roman"/>
                <w:sz w:val="20"/>
                <w:szCs w:val="20"/>
              </w:rPr>
            </w:pPr>
          </w:p>
        </w:tc>
        <w:tc>
          <w:tcPr>
            <w:tcW w:w="2693" w:type="dxa"/>
            <w:vMerge/>
            <w:shd w:val="clear" w:color="auto" w:fill="auto"/>
          </w:tcPr>
          <w:p w:rsidR="006C7F27" w:rsidRPr="008D3817" w:rsidRDefault="006C7F27" w:rsidP="008D3817">
            <w:pPr>
              <w:widowControl w:val="0"/>
              <w:tabs>
                <w:tab w:val="left" w:pos="622"/>
              </w:tabs>
              <w:spacing w:after="0" w:line="240" w:lineRule="auto"/>
              <w:jc w:val="both"/>
              <w:rPr>
                <w:rFonts w:ascii="Times New Roman" w:hAnsi="Times New Roman"/>
                <w:bCs/>
                <w:sz w:val="20"/>
                <w:szCs w:val="20"/>
              </w:rPr>
            </w:pPr>
          </w:p>
        </w:tc>
        <w:tc>
          <w:tcPr>
            <w:tcW w:w="3119" w:type="dxa"/>
            <w:shd w:val="clear" w:color="auto" w:fill="auto"/>
            <w:vAlign w:val="center"/>
          </w:tcPr>
          <w:p w:rsidR="006C7F27" w:rsidRPr="008D3817" w:rsidRDefault="006C7F27"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eastAsia="AngsanaUPC" w:hAnsi="Times New Roman"/>
                <w:bCs/>
                <w:sz w:val="20"/>
                <w:szCs w:val="20"/>
                <w:lang w:eastAsia="lt-LT"/>
              </w:rPr>
              <w:t>Sugaištas kelionės automobilių keliais</w:t>
            </w:r>
            <w:r w:rsidR="0091347B">
              <w:rPr>
                <w:rFonts w:ascii="Times New Roman" w:eastAsia="AngsanaUPC" w:hAnsi="Times New Roman"/>
                <w:bCs/>
                <w:sz w:val="20"/>
                <w:szCs w:val="20"/>
                <w:lang w:eastAsia="lt-LT"/>
              </w:rPr>
              <w:t xml:space="preserve"> (išskyrus TEN</w:t>
            </w:r>
            <w:proofErr w:type="gramStart"/>
            <w:r w:rsidR="0091347B">
              <w:rPr>
                <w:rFonts w:ascii="Times New Roman" w:eastAsia="AngsanaUPC" w:hAnsi="Times New Roman"/>
                <w:bCs/>
                <w:sz w:val="20"/>
                <w:szCs w:val="20"/>
                <w:lang w:eastAsia="lt-LT"/>
              </w:rPr>
              <w:t>-</w:t>
            </w:r>
            <w:proofErr w:type="gramEnd"/>
            <w:r w:rsidR="0091347B">
              <w:rPr>
                <w:rFonts w:ascii="Times New Roman" w:eastAsia="AngsanaUPC" w:hAnsi="Times New Roman"/>
                <w:bCs/>
                <w:sz w:val="20"/>
                <w:szCs w:val="20"/>
                <w:lang w:eastAsia="lt-LT"/>
              </w:rPr>
              <w:t>T kelius) laikas</w:t>
            </w:r>
          </w:p>
        </w:tc>
        <w:tc>
          <w:tcPr>
            <w:tcW w:w="850" w:type="dxa"/>
            <w:vMerge/>
            <w:shd w:val="clear" w:color="auto" w:fill="auto"/>
          </w:tcPr>
          <w:p w:rsidR="006C7F27" w:rsidRPr="008D3817" w:rsidRDefault="006C7F27"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276" w:type="dxa"/>
            <w:vMerge/>
            <w:shd w:val="clear" w:color="auto" w:fill="auto"/>
          </w:tcPr>
          <w:p w:rsidR="006C7F27" w:rsidRPr="008D3817" w:rsidRDefault="006C7F27"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shd w:val="clear" w:color="auto" w:fill="auto"/>
          </w:tcPr>
          <w:p w:rsidR="006C7F27" w:rsidRPr="008D3817" w:rsidRDefault="006C7F27"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6C7F27" w:rsidRPr="0083442A" w:rsidTr="00EC6CBF">
        <w:trPr>
          <w:trHeight w:val="207"/>
        </w:trPr>
        <w:tc>
          <w:tcPr>
            <w:tcW w:w="1668" w:type="dxa"/>
            <w:vMerge/>
            <w:shd w:val="clear" w:color="auto" w:fill="auto"/>
          </w:tcPr>
          <w:p w:rsidR="006C7F27" w:rsidRPr="008D3817" w:rsidRDefault="006C7F27"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559" w:type="dxa"/>
            <w:vMerge/>
            <w:shd w:val="clear" w:color="auto" w:fill="auto"/>
          </w:tcPr>
          <w:p w:rsidR="006C7F27" w:rsidRPr="008D3817" w:rsidRDefault="006C7F27"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shd w:val="clear" w:color="auto" w:fill="auto"/>
          </w:tcPr>
          <w:p w:rsidR="006C7F27" w:rsidRPr="008D3817" w:rsidRDefault="006C7F27" w:rsidP="008D3817">
            <w:pPr>
              <w:widowControl w:val="0"/>
              <w:tabs>
                <w:tab w:val="left" w:pos="1276"/>
              </w:tabs>
              <w:adjustRightInd w:val="0"/>
              <w:spacing w:after="0" w:line="240" w:lineRule="auto"/>
              <w:jc w:val="both"/>
              <w:textAlignment w:val="baseline"/>
              <w:rPr>
                <w:rFonts w:ascii="Times New Roman" w:hAnsi="Times New Roman"/>
                <w:sz w:val="20"/>
                <w:szCs w:val="20"/>
              </w:rPr>
            </w:pPr>
          </w:p>
        </w:tc>
        <w:tc>
          <w:tcPr>
            <w:tcW w:w="2693" w:type="dxa"/>
            <w:vMerge/>
            <w:shd w:val="clear" w:color="auto" w:fill="auto"/>
          </w:tcPr>
          <w:p w:rsidR="006C7F27" w:rsidRPr="008D3817" w:rsidRDefault="006C7F27" w:rsidP="008D3817">
            <w:pPr>
              <w:widowControl w:val="0"/>
              <w:tabs>
                <w:tab w:val="left" w:pos="622"/>
              </w:tabs>
              <w:spacing w:after="0" w:line="240" w:lineRule="auto"/>
              <w:jc w:val="both"/>
              <w:rPr>
                <w:rFonts w:ascii="Times New Roman" w:hAnsi="Times New Roman"/>
                <w:bCs/>
                <w:sz w:val="20"/>
                <w:szCs w:val="20"/>
              </w:rPr>
            </w:pPr>
          </w:p>
        </w:tc>
        <w:tc>
          <w:tcPr>
            <w:tcW w:w="3119" w:type="dxa"/>
            <w:shd w:val="clear" w:color="auto" w:fill="auto"/>
            <w:vAlign w:val="center"/>
          </w:tcPr>
          <w:p w:rsidR="006C7F27" w:rsidRPr="008D3817" w:rsidRDefault="006C7F27" w:rsidP="008D3817">
            <w:pPr>
              <w:widowControl w:val="0"/>
              <w:tabs>
                <w:tab w:val="left" w:pos="622"/>
              </w:tabs>
              <w:spacing w:after="0" w:line="240" w:lineRule="auto"/>
              <w:jc w:val="both"/>
              <w:rPr>
                <w:rFonts w:ascii="Times New Roman" w:eastAsia="AngsanaUPC" w:hAnsi="Times New Roman"/>
                <w:bCs/>
                <w:sz w:val="20"/>
                <w:szCs w:val="20"/>
                <w:lang w:eastAsia="lt-LT"/>
              </w:rPr>
            </w:pPr>
            <w:r w:rsidRPr="006C7F27">
              <w:rPr>
                <w:rFonts w:ascii="Times New Roman" w:eastAsia="AngsanaUPC" w:hAnsi="Times New Roman"/>
                <w:bCs/>
                <w:sz w:val="20"/>
                <w:szCs w:val="20"/>
                <w:lang w:eastAsia="lt-LT"/>
              </w:rPr>
              <w:t>Vidaus vandenų transportu vežtų krovinių kiekis</w:t>
            </w:r>
          </w:p>
        </w:tc>
        <w:tc>
          <w:tcPr>
            <w:tcW w:w="850" w:type="dxa"/>
            <w:vMerge/>
            <w:shd w:val="clear" w:color="auto" w:fill="auto"/>
          </w:tcPr>
          <w:p w:rsidR="006C7F27" w:rsidRPr="008D3817" w:rsidRDefault="006C7F27"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276" w:type="dxa"/>
            <w:vMerge/>
            <w:shd w:val="clear" w:color="auto" w:fill="auto"/>
          </w:tcPr>
          <w:p w:rsidR="006C7F27" w:rsidRPr="008D3817" w:rsidRDefault="006C7F27"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shd w:val="clear" w:color="auto" w:fill="auto"/>
          </w:tcPr>
          <w:p w:rsidR="006C7F27" w:rsidRPr="008D3817" w:rsidRDefault="006C7F27"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D25A49" w:rsidRPr="0083442A" w:rsidTr="00D25A49">
        <w:trPr>
          <w:trHeight w:val="697"/>
        </w:trPr>
        <w:tc>
          <w:tcPr>
            <w:tcW w:w="1668" w:type="dxa"/>
            <w:vMerge/>
            <w:shd w:val="clear" w:color="auto" w:fill="auto"/>
          </w:tcPr>
          <w:p w:rsidR="00D25A49" w:rsidRPr="008D3817" w:rsidRDefault="00D25A49"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559" w:type="dxa"/>
            <w:vMerge/>
            <w:shd w:val="clear" w:color="auto" w:fill="auto"/>
          </w:tcPr>
          <w:p w:rsidR="00D25A49" w:rsidRPr="008D3817" w:rsidRDefault="00D25A49"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val="restart"/>
            <w:shd w:val="clear" w:color="auto" w:fill="auto"/>
          </w:tcPr>
          <w:p w:rsidR="00D25A49" w:rsidRPr="008D3817" w:rsidRDefault="00D25A49" w:rsidP="008D3817">
            <w:pPr>
              <w:widowControl w:val="0"/>
              <w:tabs>
                <w:tab w:val="left" w:pos="1276"/>
              </w:tabs>
              <w:adjustRightInd w:val="0"/>
              <w:spacing w:after="0" w:line="240" w:lineRule="auto"/>
              <w:jc w:val="both"/>
              <w:textAlignment w:val="baseline"/>
              <w:rPr>
                <w:rFonts w:ascii="Times New Roman" w:hAnsi="Times New Roman"/>
                <w:sz w:val="20"/>
                <w:szCs w:val="20"/>
              </w:rPr>
            </w:pPr>
            <w:r w:rsidRPr="008D3817">
              <w:rPr>
                <w:rFonts w:ascii="Times New Roman" w:hAnsi="Times New Roman"/>
                <w:bCs/>
                <w:sz w:val="20"/>
                <w:szCs w:val="20"/>
              </w:rPr>
              <w:t>Energijos vartojimo efektyvumo ir tiekimo patikimumo</w:t>
            </w:r>
            <w:r w:rsidR="00D70ABA">
              <w:rPr>
                <w:rFonts w:ascii="Times New Roman" w:hAnsi="Times New Roman"/>
                <w:bCs/>
                <w:sz w:val="20"/>
                <w:szCs w:val="20"/>
              </w:rPr>
              <w:t>,</w:t>
            </w:r>
            <w:r w:rsidRPr="008D3817">
              <w:rPr>
                <w:rFonts w:ascii="Times New Roman" w:hAnsi="Times New Roman"/>
                <w:bCs/>
                <w:sz w:val="20"/>
                <w:szCs w:val="20"/>
              </w:rPr>
              <w:t xml:space="preserve"> plėtojant pažangiąsias energijos paskirstymo, saugojimo ir perdavimo sistemas</w:t>
            </w:r>
            <w:r w:rsidR="00D70ABA">
              <w:rPr>
                <w:rFonts w:ascii="Times New Roman" w:hAnsi="Times New Roman"/>
                <w:bCs/>
                <w:sz w:val="20"/>
                <w:szCs w:val="20"/>
              </w:rPr>
              <w:t>,</w:t>
            </w:r>
            <w:r w:rsidRPr="008D3817">
              <w:rPr>
                <w:rFonts w:ascii="Times New Roman" w:hAnsi="Times New Roman"/>
                <w:bCs/>
                <w:sz w:val="20"/>
                <w:szCs w:val="20"/>
              </w:rPr>
              <w:t xml:space="preserve"> gerinimas ir paskirstytos AIE gamybos diegimas</w:t>
            </w:r>
          </w:p>
        </w:tc>
        <w:tc>
          <w:tcPr>
            <w:tcW w:w="2693" w:type="dxa"/>
            <w:vMerge w:val="restart"/>
            <w:shd w:val="clear" w:color="auto" w:fill="auto"/>
          </w:tcPr>
          <w:p w:rsidR="00D25A49" w:rsidRPr="008D3817" w:rsidRDefault="00D25A49"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hAnsi="Times New Roman"/>
                <w:sz w:val="20"/>
                <w:szCs w:val="20"/>
              </w:rPr>
              <w:t>Sustiprinti integraciją į Europos Sąjungos vidaus energijos rinką</w:t>
            </w:r>
          </w:p>
        </w:tc>
        <w:tc>
          <w:tcPr>
            <w:tcW w:w="3119" w:type="dxa"/>
            <w:shd w:val="clear" w:color="auto" w:fill="auto"/>
          </w:tcPr>
          <w:p w:rsidR="00D25A49" w:rsidRPr="008D3817" w:rsidRDefault="00D25A49"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eastAsia="AngsanaUPC" w:hAnsi="Times New Roman"/>
                <w:bCs/>
                <w:sz w:val="20"/>
                <w:szCs w:val="20"/>
                <w:lang w:eastAsia="lt-LT"/>
              </w:rPr>
              <w:t>Herfindahl</w:t>
            </w:r>
            <w:proofErr w:type="gramStart"/>
            <w:r w:rsidRPr="008D3817">
              <w:rPr>
                <w:rFonts w:ascii="Times New Roman" w:eastAsia="AngsanaUPC" w:hAnsi="Times New Roman"/>
                <w:bCs/>
                <w:sz w:val="20"/>
                <w:szCs w:val="20"/>
                <w:lang w:eastAsia="lt-LT"/>
              </w:rPr>
              <w:t>-</w:t>
            </w:r>
            <w:proofErr w:type="gramEnd"/>
            <w:r w:rsidRPr="008D3817">
              <w:rPr>
                <w:rFonts w:ascii="Times New Roman" w:eastAsia="AngsanaUPC" w:hAnsi="Times New Roman"/>
                <w:bCs/>
                <w:sz w:val="20"/>
                <w:szCs w:val="20"/>
                <w:lang w:eastAsia="lt-LT"/>
              </w:rPr>
              <w:t>Hirschman energijos importo indeksas Lietuvos elektros energijos rinkoje</w:t>
            </w:r>
          </w:p>
        </w:tc>
        <w:tc>
          <w:tcPr>
            <w:tcW w:w="850" w:type="dxa"/>
            <w:vMerge/>
            <w:shd w:val="clear" w:color="auto" w:fill="auto"/>
          </w:tcPr>
          <w:p w:rsidR="00D25A49" w:rsidRPr="008D3817" w:rsidRDefault="00D25A49"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276" w:type="dxa"/>
            <w:vMerge/>
            <w:shd w:val="clear" w:color="auto" w:fill="auto"/>
          </w:tcPr>
          <w:p w:rsidR="00D25A49" w:rsidRPr="008D3817" w:rsidRDefault="00D25A49"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shd w:val="clear" w:color="auto" w:fill="auto"/>
          </w:tcPr>
          <w:p w:rsidR="00D25A49" w:rsidRPr="008D3817" w:rsidRDefault="00D25A49"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D25A49" w:rsidRPr="0083442A" w:rsidTr="00D25A49">
        <w:trPr>
          <w:trHeight w:val="633"/>
        </w:trPr>
        <w:tc>
          <w:tcPr>
            <w:tcW w:w="1668" w:type="dxa"/>
            <w:vMerge/>
            <w:shd w:val="clear" w:color="auto" w:fill="auto"/>
          </w:tcPr>
          <w:p w:rsidR="00D25A49" w:rsidRPr="008D3817" w:rsidRDefault="00D25A49"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559" w:type="dxa"/>
            <w:vMerge/>
            <w:shd w:val="clear" w:color="auto" w:fill="auto"/>
          </w:tcPr>
          <w:p w:rsidR="00D25A49" w:rsidRPr="008D3817" w:rsidRDefault="00D25A49"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shd w:val="clear" w:color="auto" w:fill="auto"/>
          </w:tcPr>
          <w:p w:rsidR="00D25A49" w:rsidRPr="008D3817" w:rsidRDefault="00D25A49" w:rsidP="008D3817">
            <w:pPr>
              <w:widowControl w:val="0"/>
              <w:tabs>
                <w:tab w:val="left" w:pos="1276"/>
              </w:tabs>
              <w:adjustRightInd w:val="0"/>
              <w:spacing w:after="0" w:line="240" w:lineRule="auto"/>
              <w:jc w:val="both"/>
              <w:textAlignment w:val="baseline"/>
              <w:rPr>
                <w:rFonts w:ascii="Times New Roman" w:hAnsi="Times New Roman"/>
                <w:sz w:val="20"/>
                <w:szCs w:val="20"/>
              </w:rPr>
            </w:pPr>
          </w:p>
        </w:tc>
        <w:tc>
          <w:tcPr>
            <w:tcW w:w="2693" w:type="dxa"/>
            <w:vMerge/>
            <w:shd w:val="clear" w:color="auto" w:fill="auto"/>
          </w:tcPr>
          <w:p w:rsidR="00D25A49" w:rsidRPr="008D3817" w:rsidRDefault="00D25A49" w:rsidP="008D3817">
            <w:pPr>
              <w:widowControl w:val="0"/>
              <w:tabs>
                <w:tab w:val="left" w:pos="622"/>
              </w:tabs>
              <w:spacing w:after="0" w:line="240" w:lineRule="auto"/>
              <w:jc w:val="both"/>
              <w:rPr>
                <w:rFonts w:ascii="Times New Roman" w:hAnsi="Times New Roman"/>
                <w:sz w:val="20"/>
                <w:szCs w:val="20"/>
              </w:rPr>
            </w:pPr>
          </w:p>
        </w:tc>
        <w:tc>
          <w:tcPr>
            <w:tcW w:w="3119" w:type="dxa"/>
            <w:shd w:val="clear" w:color="auto" w:fill="auto"/>
          </w:tcPr>
          <w:p w:rsidR="00D25A49" w:rsidRPr="008D3817" w:rsidRDefault="00D25A49"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eastAsia="AngsanaUPC" w:hAnsi="Times New Roman"/>
                <w:bCs/>
                <w:sz w:val="20"/>
                <w:szCs w:val="20"/>
                <w:lang w:eastAsia="lt-LT"/>
              </w:rPr>
              <w:t>Herfindahl</w:t>
            </w:r>
            <w:proofErr w:type="gramStart"/>
            <w:r w:rsidRPr="008D3817">
              <w:rPr>
                <w:rFonts w:ascii="Times New Roman" w:eastAsia="AngsanaUPC" w:hAnsi="Times New Roman"/>
                <w:bCs/>
                <w:sz w:val="20"/>
                <w:szCs w:val="20"/>
                <w:lang w:eastAsia="lt-LT"/>
              </w:rPr>
              <w:t>-</w:t>
            </w:r>
            <w:proofErr w:type="gramEnd"/>
            <w:r w:rsidRPr="008D3817">
              <w:rPr>
                <w:rFonts w:ascii="Times New Roman" w:eastAsia="AngsanaUPC" w:hAnsi="Times New Roman"/>
                <w:bCs/>
                <w:sz w:val="20"/>
                <w:szCs w:val="20"/>
                <w:lang w:eastAsia="lt-LT"/>
              </w:rPr>
              <w:t>Hirschman energijos importo indeksas Lietuvos gamtinių dujų rinkoje</w:t>
            </w:r>
          </w:p>
        </w:tc>
        <w:tc>
          <w:tcPr>
            <w:tcW w:w="850" w:type="dxa"/>
            <w:vMerge/>
            <w:shd w:val="clear" w:color="auto" w:fill="auto"/>
          </w:tcPr>
          <w:p w:rsidR="00D25A49" w:rsidRPr="008D3817" w:rsidRDefault="00D25A49"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276" w:type="dxa"/>
            <w:vMerge/>
            <w:shd w:val="clear" w:color="auto" w:fill="auto"/>
          </w:tcPr>
          <w:p w:rsidR="00D25A49" w:rsidRPr="008D3817" w:rsidRDefault="00D25A49"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shd w:val="clear" w:color="auto" w:fill="auto"/>
          </w:tcPr>
          <w:p w:rsidR="00D25A49" w:rsidRPr="008D3817" w:rsidRDefault="00D25A49"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D25A49" w:rsidRPr="0083442A" w:rsidTr="009D323D">
        <w:trPr>
          <w:trHeight w:val="507"/>
        </w:trPr>
        <w:tc>
          <w:tcPr>
            <w:tcW w:w="1668" w:type="dxa"/>
            <w:vMerge/>
            <w:shd w:val="clear" w:color="auto" w:fill="auto"/>
          </w:tcPr>
          <w:p w:rsidR="00D25A49" w:rsidRPr="008D3817" w:rsidRDefault="00D25A49"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559" w:type="dxa"/>
            <w:vMerge/>
            <w:shd w:val="clear" w:color="auto" w:fill="auto"/>
          </w:tcPr>
          <w:p w:rsidR="00D25A49" w:rsidRPr="008D3817" w:rsidRDefault="00D25A49"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shd w:val="clear" w:color="auto" w:fill="auto"/>
          </w:tcPr>
          <w:p w:rsidR="00D25A49" w:rsidRPr="008D3817" w:rsidRDefault="00D25A49" w:rsidP="008D3817">
            <w:pPr>
              <w:widowControl w:val="0"/>
              <w:tabs>
                <w:tab w:val="left" w:pos="1276"/>
              </w:tabs>
              <w:adjustRightInd w:val="0"/>
              <w:spacing w:after="0" w:line="240" w:lineRule="auto"/>
              <w:jc w:val="both"/>
              <w:textAlignment w:val="baseline"/>
              <w:rPr>
                <w:rFonts w:ascii="Times New Roman" w:hAnsi="Times New Roman"/>
                <w:sz w:val="20"/>
                <w:szCs w:val="20"/>
              </w:rPr>
            </w:pPr>
          </w:p>
        </w:tc>
        <w:tc>
          <w:tcPr>
            <w:tcW w:w="2693" w:type="dxa"/>
            <w:vMerge/>
            <w:shd w:val="clear" w:color="auto" w:fill="auto"/>
          </w:tcPr>
          <w:p w:rsidR="00D25A49" w:rsidRPr="008D3817" w:rsidRDefault="00D25A49" w:rsidP="008D3817">
            <w:pPr>
              <w:widowControl w:val="0"/>
              <w:tabs>
                <w:tab w:val="left" w:pos="622"/>
              </w:tabs>
              <w:spacing w:after="0" w:line="240" w:lineRule="auto"/>
              <w:jc w:val="both"/>
              <w:rPr>
                <w:rFonts w:ascii="Times New Roman" w:hAnsi="Times New Roman"/>
                <w:sz w:val="20"/>
                <w:szCs w:val="20"/>
              </w:rPr>
            </w:pPr>
          </w:p>
        </w:tc>
        <w:tc>
          <w:tcPr>
            <w:tcW w:w="3119" w:type="dxa"/>
            <w:shd w:val="clear" w:color="auto" w:fill="auto"/>
          </w:tcPr>
          <w:p w:rsidR="00D25A49" w:rsidRPr="008D3817" w:rsidRDefault="00D25A49"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eastAsia="AngsanaUPC" w:hAnsi="Times New Roman"/>
                <w:bCs/>
                <w:sz w:val="20"/>
                <w:szCs w:val="20"/>
                <w:lang w:eastAsia="lt-LT"/>
              </w:rPr>
              <w:t>N-1 kriterijaus įvykdymo gamtinių dujų sektoriuje lygis</w:t>
            </w:r>
          </w:p>
        </w:tc>
        <w:tc>
          <w:tcPr>
            <w:tcW w:w="850" w:type="dxa"/>
            <w:vMerge/>
            <w:shd w:val="clear" w:color="auto" w:fill="auto"/>
          </w:tcPr>
          <w:p w:rsidR="00D25A49" w:rsidRPr="008D3817" w:rsidRDefault="00D25A49"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276" w:type="dxa"/>
            <w:vMerge/>
            <w:shd w:val="clear" w:color="auto" w:fill="auto"/>
          </w:tcPr>
          <w:p w:rsidR="00D25A49" w:rsidRPr="008D3817" w:rsidRDefault="00D25A49"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shd w:val="clear" w:color="auto" w:fill="auto"/>
          </w:tcPr>
          <w:p w:rsidR="00D25A49" w:rsidRPr="008D3817" w:rsidRDefault="00D25A49"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6A3B29" w:rsidRPr="0083442A" w:rsidTr="0070076F">
        <w:trPr>
          <w:trHeight w:val="455"/>
        </w:trPr>
        <w:tc>
          <w:tcPr>
            <w:tcW w:w="1668" w:type="dxa"/>
            <w:vMerge w:val="restart"/>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
                <w:bCs/>
                <w:sz w:val="20"/>
                <w:szCs w:val="20"/>
                <w:lang w:eastAsia="lt-LT"/>
              </w:rPr>
            </w:pPr>
            <w:r w:rsidRPr="008D3817">
              <w:rPr>
                <w:rFonts w:ascii="Times New Roman" w:hAnsi="Times New Roman"/>
                <w:sz w:val="20"/>
                <w:szCs w:val="20"/>
              </w:rPr>
              <w:t>Kokybiško užimtumo ir dalyvavimo darbo rinkoje skatinimas</w:t>
            </w:r>
          </w:p>
        </w:tc>
        <w:tc>
          <w:tcPr>
            <w:tcW w:w="1559" w:type="dxa"/>
            <w:vMerge w:val="restart"/>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eastAsia="AngsanaUPC" w:hAnsi="Times New Roman"/>
                <w:bCs/>
                <w:sz w:val="20"/>
                <w:szCs w:val="20"/>
                <w:lang w:eastAsia="lt-LT"/>
              </w:rPr>
              <w:t>Užimtumo skatinimas ir darbo jėgos judumo rėmimas</w:t>
            </w:r>
          </w:p>
        </w:tc>
        <w:tc>
          <w:tcPr>
            <w:tcW w:w="2835" w:type="dxa"/>
            <w:vMerge w:val="restart"/>
            <w:shd w:val="clear" w:color="auto" w:fill="auto"/>
          </w:tcPr>
          <w:p w:rsidR="006A3B29" w:rsidRPr="008D3817" w:rsidRDefault="006A3B29" w:rsidP="008D3817">
            <w:pPr>
              <w:spacing w:after="0" w:line="240" w:lineRule="auto"/>
              <w:jc w:val="both"/>
              <w:rPr>
                <w:rFonts w:ascii="Times New Roman" w:hAnsi="Times New Roman"/>
                <w:sz w:val="20"/>
                <w:szCs w:val="20"/>
              </w:rPr>
            </w:pPr>
            <w:r w:rsidRPr="008D3817">
              <w:rPr>
                <w:rFonts w:ascii="Times New Roman" w:hAnsi="Times New Roman"/>
                <w:sz w:val="20"/>
                <w:szCs w:val="20"/>
              </w:rPr>
              <w:t>Užimtumą skatinančio ekonomikos augimo kuriant vidinį potencialą rėmimas kaip dalis konkrečioms sritims skirtos</w:t>
            </w:r>
            <w:r w:rsidRPr="008D3817" w:rsidDel="002536CE">
              <w:rPr>
                <w:rFonts w:ascii="Times New Roman" w:hAnsi="Times New Roman"/>
                <w:sz w:val="20"/>
                <w:szCs w:val="20"/>
              </w:rPr>
              <w:t xml:space="preserve"> </w:t>
            </w:r>
            <w:r w:rsidRPr="008D3817">
              <w:rPr>
                <w:rFonts w:ascii="Times New Roman" w:hAnsi="Times New Roman"/>
                <w:sz w:val="20"/>
                <w:szCs w:val="20"/>
              </w:rPr>
              <w:t>teritorinės strategijos, įskaitant nuosmukį patiriančių pramoninių regionų pertvarkymą ir specifinių gamtos ir kultūros išteklių prieinamumo bei naudojimosi jais gerinimą</w:t>
            </w:r>
          </w:p>
        </w:tc>
        <w:tc>
          <w:tcPr>
            <w:tcW w:w="2693" w:type="dxa"/>
            <w:vMerge w:val="restart"/>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hAnsi="Times New Roman"/>
                <w:sz w:val="20"/>
                <w:szCs w:val="20"/>
              </w:rPr>
              <w:t>Padidinti ūkinės veiklos įvairovę ir pagerinti sąlygas investicijų pritraukimui, siekiant kurti naujas darbo vietas tikslinėse teritorijose (miestuose)</w:t>
            </w:r>
          </w:p>
        </w:tc>
        <w:tc>
          <w:tcPr>
            <w:tcW w:w="3119" w:type="dxa"/>
            <w:shd w:val="clear" w:color="auto" w:fill="auto"/>
          </w:tcPr>
          <w:p w:rsidR="006A3B29" w:rsidRPr="008D3817" w:rsidRDefault="006A3B29" w:rsidP="008D3817">
            <w:pPr>
              <w:spacing w:after="0" w:line="240" w:lineRule="auto"/>
              <w:jc w:val="both"/>
              <w:rPr>
                <w:rFonts w:ascii="Times New Roman" w:eastAsia="Times New Roman" w:hAnsi="Times New Roman"/>
                <w:sz w:val="20"/>
                <w:szCs w:val="20"/>
                <w:lang w:eastAsia="lt-LT"/>
              </w:rPr>
            </w:pPr>
            <w:r w:rsidRPr="008D3817">
              <w:rPr>
                <w:rFonts w:ascii="Times New Roman" w:eastAsia="Times New Roman" w:hAnsi="Times New Roman"/>
                <w:sz w:val="20"/>
                <w:szCs w:val="20"/>
                <w:lang w:eastAsia="lt-LT"/>
              </w:rPr>
              <w:t>Pritrauktos papildomos materialinės investicijos į tikslines teritorijas</w:t>
            </w:r>
          </w:p>
        </w:tc>
        <w:tc>
          <w:tcPr>
            <w:tcW w:w="850" w:type="dxa"/>
            <w:vMerge w:val="restart"/>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eastAsia="AngsanaUPC" w:hAnsi="Times New Roman"/>
                <w:bCs/>
                <w:sz w:val="20"/>
                <w:szCs w:val="20"/>
                <w:lang w:eastAsia="lt-LT"/>
              </w:rPr>
              <w:t>ERPF,</w:t>
            </w:r>
          </w:p>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eastAsia="AngsanaUPC" w:hAnsi="Times New Roman"/>
                <w:bCs/>
                <w:sz w:val="20"/>
                <w:szCs w:val="20"/>
                <w:lang w:eastAsia="lt-LT"/>
              </w:rPr>
              <w:t>ESF</w:t>
            </w:r>
          </w:p>
        </w:tc>
        <w:tc>
          <w:tcPr>
            <w:tcW w:w="1276" w:type="dxa"/>
            <w:vMerge w:val="restart"/>
            <w:shd w:val="clear" w:color="auto" w:fill="auto"/>
          </w:tcPr>
          <w:p w:rsidR="006A3B29" w:rsidRPr="00D90882"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eastAsia="AngsanaUPC" w:hAnsi="Times New Roman"/>
                <w:bCs/>
                <w:sz w:val="20"/>
                <w:szCs w:val="20"/>
                <w:lang w:eastAsia="lt-LT"/>
              </w:rPr>
              <w:t xml:space="preserve">ERPF: </w:t>
            </w:r>
            <w:r w:rsidR="00071690">
              <w:rPr>
                <w:rFonts w:ascii="Times New Roman" w:eastAsia="AngsanaUPC" w:hAnsi="Times New Roman"/>
                <w:bCs/>
                <w:sz w:val="20"/>
                <w:szCs w:val="20"/>
                <w:lang w:eastAsia="lt-LT"/>
              </w:rPr>
              <w:t>399.736.853</w:t>
            </w:r>
          </w:p>
          <w:p w:rsidR="006A3B29" w:rsidRPr="00D90882"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p>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r w:rsidRPr="00D90882">
              <w:rPr>
                <w:rFonts w:ascii="Times New Roman" w:eastAsia="AngsanaUPC" w:hAnsi="Times New Roman"/>
                <w:bCs/>
                <w:sz w:val="20"/>
                <w:szCs w:val="20"/>
                <w:lang w:eastAsia="lt-LT"/>
              </w:rPr>
              <w:t xml:space="preserve">ESF: </w:t>
            </w:r>
            <w:r w:rsidR="00071690">
              <w:rPr>
                <w:rFonts w:ascii="Times New Roman" w:eastAsia="AngsanaUPC" w:hAnsi="Times New Roman"/>
                <w:bCs/>
                <w:sz w:val="20"/>
                <w:szCs w:val="20"/>
                <w:lang w:eastAsia="lt-LT"/>
              </w:rPr>
              <w:t>372.852.916</w:t>
            </w:r>
          </w:p>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p>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eastAsia="AngsanaUPC" w:hAnsi="Times New Roman"/>
                <w:bCs/>
                <w:sz w:val="20"/>
                <w:szCs w:val="20"/>
                <w:lang w:eastAsia="lt-LT"/>
              </w:rPr>
              <w:t>Jaunimo užimtumo iniciatyvos specialūs asignavimai</w:t>
            </w:r>
          </w:p>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r>
              <w:rPr>
                <w:rFonts w:ascii="Times New Roman" w:eastAsia="AngsanaUPC" w:hAnsi="Times New Roman"/>
                <w:bCs/>
                <w:sz w:val="20"/>
                <w:szCs w:val="20"/>
                <w:lang w:eastAsia="lt-LT"/>
              </w:rPr>
              <w:t>63 565 266</w:t>
            </w:r>
          </w:p>
        </w:tc>
        <w:tc>
          <w:tcPr>
            <w:tcW w:w="1134" w:type="dxa"/>
            <w:vMerge w:val="restart"/>
            <w:shd w:val="clear" w:color="auto" w:fill="auto"/>
          </w:tcPr>
          <w:p w:rsidR="006A3B29" w:rsidRPr="008D3817" w:rsidRDefault="00071690" w:rsidP="009C0228">
            <w:pPr>
              <w:widowControl w:val="0"/>
              <w:tabs>
                <w:tab w:val="left" w:pos="622"/>
              </w:tabs>
              <w:spacing w:after="0" w:line="240" w:lineRule="auto"/>
              <w:jc w:val="both"/>
              <w:rPr>
                <w:rFonts w:ascii="Times New Roman" w:eastAsia="AngsanaUPC" w:hAnsi="Times New Roman"/>
                <w:bCs/>
                <w:sz w:val="20"/>
                <w:szCs w:val="20"/>
                <w:lang w:eastAsia="lt-LT"/>
              </w:rPr>
            </w:pPr>
            <w:r>
              <w:rPr>
                <w:rFonts w:ascii="Times New Roman" w:eastAsia="AngsanaUPC" w:hAnsi="Times New Roman"/>
                <w:bCs/>
                <w:sz w:val="20"/>
                <w:szCs w:val="20"/>
                <w:lang w:eastAsia="lt-LT"/>
              </w:rPr>
              <w:t>11,</w:t>
            </w:r>
            <w:r w:rsidR="009C0228">
              <w:rPr>
                <w:rFonts w:ascii="Times New Roman" w:eastAsia="AngsanaUPC" w:hAnsi="Times New Roman"/>
                <w:bCs/>
                <w:sz w:val="20"/>
                <w:szCs w:val="20"/>
                <w:lang w:eastAsia="lt-LT"/>
              </w:rPr>
              <w:t>88</w:t>
            </w:r>
            <w:r>
              <w:rPr>
                <w:rFonts w:ascii="Times New Roman" w:eastAsia="AngsanaUPC" w:hAnsi="Times New Roman"/>
                <w:bCs/>
                <w:sz w:val="20"/>
                <w:szCs w:val="20"/>
                <w:lang w:eastAsia="lt-LT"/>
              </w:rPr>
              <w:t xml:space="preserve"> </w:t>
            </w:r>
            <w:r w:rsidR="006A3B29" w:rsidRPr="008D3817">
              <w:rPr>
                <w:rFonts w:ascii="Times New Roman" w:eastAsia="AngsanaUPC" w:hAnsi="Times New Roman"/>
                <w:bCs/>
                <w:sz w:val="20"/>
                <w:szCs w:val="20"/>
                <w:lang w:eastAsia="lt-LT"/>
              </w:rPr>
              <w:t>%</w:t>
            </w:r>
          </w:p>
        </w:tc>
      </w:tr>
      <w:tr w:rsidR="006A3B29" w:rsidRPr="0083442A" w:rsidTr="00D25A49">
        <w:trPr>
          <w:trHeight w:val="1165"/>
        </w:trPr>
        <w:tc>
          <w:tcPr>
            <w:tcW w:w="1668"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hAnsi="Times New Roman"/>
                <w:sz w:val="20"/>
                <w:szCs w:val="20"/>
              </w:rPr>
            </w:pPr>
          </w:p>
        </w:tc>
        <w:tc>
          <w:tcPr>
            <w:tcW w:w="1559"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shd w:val="clear" w:color="auto" w:fill="auto"/>
          </w:tcPr>
          <w:p w:rsidR="006A3B29" w:rsidRPr="008D3817" w:rsidRDefault="006A3B29" w:rsidP="008D3817">
            <w:pPr>
              <w:spacing w:after="0" w:line="240" w:lineRule="auto"/>
              <w:jc w:val="both"/>
              <w:rPr>
                <w:rFonts w:ascii="Times New Roman" w:hAnsi="Times New Roman"/>
                <w:sz w:val="20"/>
                <w:szCs w:val="20"/>
              </w:rPr>
            </w:pPr>
          </w:p>
        </w:tc>
        <w:tc>
          <w:tcPr>
            <w:tcW w:w="2693"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hAnsi="Times New Roman"/>
                <w:sz w:val="20"/>
                <w:szCs w:val="20"/>
              </w:rPr>
            </w:pPr>
          </w:p>
        </w:tc>
        <w:tc>
          <w:tcPr>
            <w:tcW w:w="3119" w:type="dxa"/>
            <w:shd w:val="clear" w:color="auto" w:fill="auto"/>
          </w:tcPr>
          <w:p w:rsidR="006A3B29" w:rsidRPr="008D3817" w:rsidRDefault="006A3B29" w:rsidP="008D3817">
            <w:pPr>
              <w:spacing w:after="0" w:line="240" w:lineRule="auto"/>
              <w:jc w:val="both"/>
              <w:rPr>
                <w:rFonts w:ascii="Times New Roman" w:eastAsia="Times New Roman" w:hAnsi="Times New Roman"/>
                <w:sz w:val="20"/>
                <w:szCs w:val="20"/>
                <w:lang w:eastAsia="lt-LT"/>
              </w:rPr>
            </w:pPr>
            <w:r w:rsidRPr="008D3817">
              <w:rPr>
                <w:rFonts w:ascii="Times New Roman" w:eastAsia="Times New Roman" w:hAnsi="Times New Roman"/>
                <w:sz w:val="20"/>
                <w:szCs w:val="20"/>
                <w:lang w:eastAsia="lt-LT"/>
              </w:rPr>
              <w:t>Dirbančiųjų dalis įmonėse, lyginant su darbingo amžiaus gyventojų skaičiumi savivaldybėse, kuriose yra išskirtų tikslinių teritorijų</w:t>
            </w:r>
          </w:p>
        </w:tc>
        <w:tc>
          <w:tcPr>
            <w:tcW w:w="850"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276"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6A3B29" w:rsidRPr="0083442A" w:rsidTr="00E60EA1">
        <w:tc>
          <w:tcPr>
            <w:tcW w:w="1668"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559"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shd w:val="clear" w:color="auto" w:fill="auto"/>
          </w:tcPr>
          <w:p w:rsidR="006A3B29" w:rsidRPr="008D3817" w:rsidRDefault="006A3B29" w:rsidP="008D3817">
            <w:pPr>
              <w:spacing w:after="0" w:line="240" w:lineRule="auto"/>
              <w:jc w:val="both"/>
              <w:rPr>
                <w:rFonts w:ascii="Times New Roman" w:hAnsi="Times New Roman"/>
                <w:sz w:val="20"/>
                <w:szCs w:val="20"/>
              </w:rPr>
            </w:pPr>
            <w:r w:rsidRPr="008D3817">
              <w:rPr>
                <w:rFonts w:ascii="Times New Roman" w:hAnsi="Times New Roman"/>
                <w:sz w:val="20"/>
                <w:szCs w:val="20"/>
              </w:rPr>
              <w:t>Investicijos į valstybės įdarbinimo tarnybų infrastruktūrą</w:t>
            </w:r>
          </w:p>
        </w:tc>
        <w:tc>
          <w:tcPr>
            <w:tcW w:w="2693" w:type="dxa"/>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hAnsi="Times New Roman"/>
                <w:sz w:val="20"/>
                <w:szCs w:val="20"/>
              </w:rPr>
              <w:t>Pagerinti darbo rinkos institucijų paslaugų kokybę ir prieinamumą</w:t>
            </w:r>
          </w:p>
        </w:tc>
        <w:tc>
          <w:tcPr>
            <w:tcW w:w="3119" w:type="dxa"/>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
                <w:bCs/>
                <w:sz w:val="20"/>
                <w:szCs w:val="20"/>
                <w:lang w:eastAsia="lt-LT"/>
              </w:rPr>
            </w:pPr>
            <w:r w:rsidRPr="008D3817">
              <w:rPr>
                <w:rFonts w:ascii="Times New Roman" w:eastAsia="Times New Roman" w:hAnsi="Times New Roman"/>
                <w:bCs/>
                <w:sz w:val="20"/>
                <w:szCs w:val="20"/>
              </w:rPr>
              <w:t>Pasitenkinimas Vilniaus teritorinės darbo biržos teikiamų paslaugų kokybe ir sąlygomis</w:t>
            </w:r>
          </w:p>
        </w:tc>
        <w:tc>
          <w:tcPr>
            <w:tcW w:w="850"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276"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6A3B29" w:rsidRPr="0083442A" w:rsidTr="006A3B29">
        <w:trPr>
          <w:trHeight w:val="191"/>
        </w:trPr>
        <w:tc>
          <w:tcPr>
            <w:tcW w:w="1668"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559"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val="restart"/>
            <w:shd w:val="clear" w:color="auto" w:fill="auto"/>
          </w:tcPr>
          <w:p w:rsidR="006A3B29" w:rsidRPr="008D3817" w:rsidRDefault="006A3B29" w:rsidP="008D3817">
            <w:pPr>
              <w:spacing w:after="0" w:line="240" w:lineRule="auto"/>
              <w:jc w:val="both"/>
              <w:rPr>
                <w:rFonts w:ascii="Times New Roman" w:hAnsi="Times New Roman"/>
                <w:sz w:val="20"/>
                <w:szCs w:val="20"/>
              </w:rPr>
            </w:pPr>
            <w:r w:rsidRPr="008D3817">
              <w:rPr>
                <w:rFonts w:ascii="Times New Roman" w:hAnsi="Times New Roman"/>
                <w:sz w:val="20"/>
                <w:szCs w:val="20"/>
              </w:rPr>
              <w:t xml:space="preserve">Galimybės gauti darbą suteikimas ieškantiems darbo ir neaktyviems asmenims, įskaitant ilgalaikius bedarbius ir asmenis, nutolusius nuo darbo rinkos, pasitelkiant vietos </w:t>
            </w:r>
            <w:r w:rsidRPr="008D3817">
              <w:rPr>
                <w:rFonts w:ascii="Times New Roman" w:hAnsi="Times New Roman"/>
                <w:sz w:val="20"/>
                <w:szCs w:val="20"/>
              </w:rPr>
              <w:lastRenderedPageBreak/>
              <w:t>užimtumo iniciatyvas ir remiant darbo jėgos judumą</w:t>
            </w:r>
          </w:p>
        </w:tc>
        <w:tc>
          <w:tcPr>
            <w:tcW w:w="2693" w:type="dxa"/>
            <w:vMerge w:val="restart"/>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hAnsi="Times New Roman"/>
                <w:sz w:val="20"/>
                <w:szCs w:val="20"/>
              </w:rPr>
              <w:lastRenderedPageBreak/>
              <w:t>Padidinti gyventojų, ypač ilgalaikių ir nekvalifikuotų bedarbių bei neįgaliųjų, užimtumą</w:t>
            </w:r>
          </w:p>
        </w:tc>
        <w:tc>
          <w:tcPr>
            <w:tcW w:w="3119" w:type="dxa"/>
            <w:shd w:val="clear" w:color="auto" w:fill="auto"/>
            <w:vAlign w:val="center"/>
          </w:tcPr>
          <w:p w:rsidR="006A3B29" w:rsidRPr="00464A6E" w:rsidRDefault="006A3B29" w:rsidP="0070076F">
            <w:pPr>
              <w:spacing w:after="0" w:line="240" w:lineRule="auto"/>
              <w:jc w:val="both"/>
              <w:rPr>
                <w:rFonts w:ascii="Times New Roman" w:eastAsia="Times New Roman" w:hAnsi="Times New Roman"/>
                <w:bCs/>
                <w:sz w:val="20"/>
                <w:szCs w:val="20"/>
              </w:rPr>
            </w:pPr>
            <w:r w:rsidRPr="00464A6E">
              <w:rPr>
                <w:rFonts w:ascii="Times New Roman" w:hAnsi="Times New Roman"/>
                <w:sz w:val="20"/>
                <w:szCs w:val="20"/>
              </w:rPr>
              <w:t xml:space="preserve">Dalyviai, kurie baigę dalyvauti ESF veiklose pradėjo dirbti, įskaitant savarankišką darbą </w:t>
            </w:r>
            <w:r w:rsidR="00D70ABA">
              <w:rPr>
                <w:rFonts w:ascii="Times New Roman" w:hAnsi="Times New Roman"/>
                <w:sz w:val="20"/>
                <w:szCs w:val="20"/>
              </w:rPr>
              <w:t>(B</w:t>
            </w:r>
            <w:r w:rsidR="00464A6E" w:rsidRPr="00464A6E">
              <w:rPr>
                <w:rFonts w:ascii="Times New Roman" w:hAnsi="Times New Roman"/>
                <w:sz w:val="20"/>
                <w:szCs w:val="20"/>
              </w:rPr>
              <w:t>edarbiai, įskaitant ilgalaikius bedarbius)</w:t>
            </w:r>
          </w:p>
        </w:tc>
        <w:tc>
          <w:tcPr>
            <w:tcW w:w="850"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276"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6A3B29" w:rsidRPr="0083442A" w:rsidTr="009B7C0D">
        <w:trPr>
          <w:trHeight w:val="191"/>
        </w:trPr>
        <w:tc>
          <w:tcPr>
            <w:tcW w:w="1668"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559"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shd w:val="clear" w:color="auto" w:fill="auto"/>
          </w:tcPr>
          <w:p w:rsidR="006A3B29" w:rsidRPr="008D3817" w:rsidRDefault="006A3B29" w:rsidP="008D3817">
            <w:pPr>
              <w:spacing w:after="0" w:line="240" w:lineRule="auto"/>
              <w:jc w:val="both"/>
              <w:rPr>
                <w:rFonts w:ascii="Times New Roman" w:hAnsi="Times New Roman"/>
                <w:sz w:val="20"/>
                <w:szCs w:val="20"/>
              </w:rPr>
            </w:pPr>
          </w:p>
        </w:tc>
        <w:tc>
          <w:tcPr>
            <w:tcW w:w="2693"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hAnsi="Times New Roman"/>
                <w:sz w:val="20"/>
                <w:szCs w:val="20"/>
              </w:rPr>
            </w:pPr>
          </w:p>
        </w:tc>
        <w:tc>
          <w:tcPr>
            <w:tcW w:w="3119" w:type="dxa"/>
            <w:shd w:val="clear" w:color="auto" w:fill="auto"/>
            <w:vAlign w:val="center"/>
          </w:tcPr>
          <w:p w:rsidR="006A3B29" w:rsidRPr="00464A6E" w:rsidRDefault="006A3B29" w:rsidP="008D3817">
            <w:pPr>
              <w:spacing w:after="0" w:line="240" w:lineRule="auto"/>
              <w:jc w:val="both"/>
              <w:rPr>
                <w:rFonts w:ascii="Times New Roman" w:eastAsia="Times New Roman" w:hAnsi="Times New Roman"/>
                <w:bCs/>
                <w:sz w:val="20"/>
                <w:szCs w:val="20"/>
              </w:rPr>
            </w:pPr>
            <w:r w:rsidRPr="00464A6E">
              <w:rPr>
                <w:rFonts w:ascii="Times New Roman" w:hAnsi="Times New Roman"/>
                <w:sz w:val="20"/>
                <w:szCs w:val="20"/>
              </w:rPr>
              <w:t>Dalyviai, kurie baigę dalyvauti ESF veiklose įgijo kvalifikaciją</w:t>
            </w:r>
            <w:r w:rsidR="00464A6E" w:rsidRPr="00464A6E">
              <w:rPr>
                <w:rFonts w:ascii="Times New Roman" w:hAnsi="Times New Roman"/>
                <w:sz w:val="20"/>
                <w:szCs w:val="20"/>
              </w:rPr>
              <w:t xml:space="preserve"> </w:t>
            </w:r>
            <w:r w:rsidR="00464A6E" w:rsidRPr="00464A6E">
              <w:rPr>
                <w:rFonts w:ascii="Times New Roman" w:hAnsi="Times New Roman"/>
                <w:sz w:val="20"/>
                <w:szCs w:val="20"/>
              </w:rPr>
              <w:lastRenderedPageBreak/>
              <w:t>(Bedarbiai, įskaitant ilgalaikius bedarbius)</w:t>
            </w:r>
          </w:p>
        </w:tc>
        <w:tc>
          <w:tcPr>
            <w:tcW w:w="850"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276"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6A3B29" w:rsidRPr="0083442A" w:rsidTr="009B7C0D">
        <w:trPr>
          <w:trHeight w:val="191"/>
        </w:trPr>
        <w:tc>
          <w:tcPr>
            <w:tcW w:w="1668"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559"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shd w:val="clear" w:color="auto" w:fill="auto"/>
          </w:tcPr>
          <w:p w:rsidR="006A3B29" w:rsidRPr="008D3817" w:rsidRDefault="006A3B29" w:rsidP="008D3817">
            <w:pPr>
              <w:spacing w:after="0" w:line="240" w:lineRule="auto"/>
              <w:jc w:val="both"/>
              <w:rPr>
                <w:rFonts w:ascii="Times New Roman" w:hAnsi="Times New Roman"/>
                <w:sz w:val="20"/>
                <w:szCs w:val="20"/>
              </w:rPr>
            </w:pPr>
          </w:p>
        </w:tc>
        <w:tc>
          <w:tcPr>
            <w:tcW w:w="2693"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hAnsi="Times New Roman"/>
                <w:sz w:val="20"/>
                <w:szCs w:val="20"/>
              </w:rPr>
            </w:pPr>
          </w:p>
        </w:tc>
        <w:tc>
          <w:tcPr>
            <w:tcW w:w="3119" w:type="dxa"/>
            <w:shd w:val="clear" w:color="auto" w:fill="auto"/>
            <w:vAlign w:val="center"/>
          </w:tcPr>
          <w:p w:rsidR="006A3B29" w:rsidRPr="00464A6E" w:rsidRDefault="006A3B29" w:rsidP="008D3817">
            <w:pPr>
              <w:spacing w:after="0" w:line="240" w:lineRule="auto"/>
              <w:jc w:val="both"/>
              <w:rPr>
                <w:rFonts w:ascii="Times New Roman" w:eastAsia="Times New Roman" w:hAnsi="Times New Roman"/>
                <w:bCs/>
                <w:sz w:val="20"/>
                <w:szCs w:val="20"/>
              </w:rPr>
            </w:pPr>
            <w:r w:rsidRPr="00464A6E">
              <w:rPr>
                <w:rFonts w:ascii="Times New Roman" w:hAnsi="Times New Roman"/>
                <w:sz w:val="20"/>
                <w:szCs w:val="20"/>
              </w:rPr>
              <w:t xml:space="preserve">Dalyviai, kurie baigę dalyvauti ESF veiklose pradėjo dirbti, įskaitant savarankišką darbą </w:t>
            </w:r>
            <w:r w:rsidR="00464A6E" w:rsidRPr="00464A6E">
              <w:rPr>
                <w:rFonts w:ascii="Times New Roman" w:hAnsi="Times New Roman"/>
                <w:sz w:val="20"/>
                <w:szCs w:val="20"/>
              </w:rPr>
              <w:t>(Vyresni negu 54 metų asmenys, kurie yra bedarbiai, įskaitant ilgalaikius bedarbius, arba neaktyvūs nesimokantys asmenys, dalyvavę ESF veiklose)</w:t>
            </w:r>
          </w:p>
        </w:tc>
        <w:tc>
          <w:tcPr>
            <w:tcW w:w="850"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276"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6A3B29" w:rsidRPr="0083442A" w:rsidTr="009B7C0D">
        <w:trPr>
          <w:trHeight w:val="191"/>
        </w:trPr>
        <w:tc>
          <w:tcPr>
            <w:tcW w:w="1668"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559"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shd w:val="clear" w:color="auto" w:fill="auto"/>
          </w:tcPr>
          <w:p w:rsidR="006A3B29" w:rsidRPr="008D3817" w:rsidRDefault="006A3B29" w:rsidP="008D3817">
            <w:pPr>
              <w:spacing w:after="0" w:line="240" w:lineRule="auto"/>
              <w:jc w:val="both"/>
              <w:rPr>
                <w:rFonts w:ascii="Times New Roman" w:hAnsi="Times New Roman"/>
                <w:sz w:val="20"/>
                <w:szCs w:val="20"/>
              </w:rPr>
            </w:pPr>
          </w:p>
        </w:tc>
        <w:tc>
          <w:tcPr>
            <w:tcW w:w="2693"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hAnsi="Times New Roman"/>
                <w:sz w:val="20"/>
                <w:szCs w:val="20"/>
              </w:rPr>
            </w:pPr>
          </w:p>
        </w:tc>
        <w:tc>
          <w:tcPr>
            <w:tcW w:w="3119" w:type="dxa"/>
            <w:shd w:val="clear" w:color="auto" w:fill="auto"/>
            <w:vAlign w:val="center"/>
          </w:tcPr>
          <w:p w:rsidR="006A3B29" w:rsidRPr="00464A6E" w:rsidRDefault="006A3B29" w:rsidP="008D3817">
            <w:pPr>
              <w:spacing w:after="0" w:line="240" w:lineRule="auto"/>
              <w:jc w:val="both"/>
              <w:rPr>
                <w:rFonts w:ascii="Times New Roman" w:eastAsia="Times New Roman" w:hAnsi="Times New Roman"/>
                <w:bCs/>
                <w:sz w:val="20"/>
                <w:szCs w:val="20"/>
              </w:rPr>
            </w:pPr>
            <w:r w:rsidRPr="00464A6E">
              <w:rPr>
                <w:rFonts w:ascii="Times New Roman" w:hAnsi="Times New Roman"/>
                <w:sz w:val="20"/>
                <w:szCs w:val="20"/>
              </w:rPr>
              <w:t>Dalyviai, kurie baigę dalyvauti ESF veiklose įgijo kvalifikaciją</w:t>
            </w:r>
            <w:r w:rsidR="00464A6E" w:rsidRPr="00464A6E">
              <w:rPr>
                <w:rFonts w:ascii="Times New Roman" w:hAnsi="Times New Roman"/>
                <w:sz w:val="20"/>
                <w:szCs w:val="20"/>
              </w:rPr>
              <w:t xml:space="preserve"> (Vyresni negu 54 metų asmenys, kurie yra bedarbiai, įskaitant ilgalaikius bedarbius, arba neaktyvūs nesimokantys asmenys, dalyvavę ESF veiklose)</w:t>
            </w:r>
          </w:p>
        </w:tc>
        <w:tc>
          <w:tcPr>
            <w:tcW w:w="850"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276"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6A3B29" w:rsidRPr="0083442A" w:rsidTr="009B7C0D">
        <w:trPr>
          <w:trHeight w:val="332"/>
        </w:trPr>
        <w:tc>
          <w:tcPr>
            <w:tcW w:w="1668"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559"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shd w:val="clear" w:color="auto" w:fill="auto"/>
          </w:tcPr>
          <w:p w:rsidR="006A3B29" w:rsidRPr="008D3817" w:rsidRDefault="006A3B29" w:rsidP="008D3817">
            <w:pPr>
              <w:spacing w:after="0" w:line="240" w:lineRule="auto"/>
              <w:jc w:val="both"/>
              <w:rPr>
                <w:rFonts w:ascii="Times New Roman" w:hAnsi="Times New Roman"/>
                <w:sz w:val="20"/>
                <w:szCs w:val="20"/>
              </w:rPr>
            </w:pPr>
          </w:p>
        </w:tc>
        <w:tc>
          <w:tcPr>
            <w:tcW w:w="2693"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hAnsi="Times New Roman"/>
                <w:sz w:val="20"/>
                <w:szCs w:val="20"/>
              </w:rPr>
            </w:pPr>
          </w:p>
        </w:tc>
        <w:tc>
          <w:tcPr>
            <w:tcW w:w="3119" w:type="dxa"/>
            <w:shd w:val="clear" w:color="auto" w:fill="auto"/>
            <w:vAlign w:val="center"/>
          </w:tcPr>
          <w:p w:rsidR="006A3B29" w:rsidRPr="008F2390" w:rsidDel="00737EA9" w:rsidRDefault="006A3B29" w:rsidP="008D3817">
            <w:pPr>
              <w:spacing w:after="0" w:line="240" w:lineRule="auto"/>
              <w:jc w:val="both"/>
              <w:rPr>
                <w:rFonts w:ascii="Times New Roman" w:eastAsia="Times New Roman" w:hAnsi="Times New Roman"/>
                <w:bCs/>
                <w:sz w:val="20"/>
                <w:szCs w:val="20"/>
              </w:rPr>
            </w:pPr>
            <w:r w:rsidRPr="00464A6E">
              <w:rPr>
                <w:rFonts w:ascii="Times New Roman" w:hAnsi="Times New Roman"/>
                <w:sz w:val="20"/>
                <w:szCs w:val="20"/>
              </w:rPr>
              <w:t xml:space="preserve">Neįgalieji, kurie sėkmingai baigė </w:t>
            </w:r>
            <w:r w:rsidR="005A6B3E">
              <w:rPr>
                <w:rFonts w:ascii="Times New Roman" w:hAnsi="Times New Roman"/>
                <w:sz w:val="20"/>
                <w:szCs w:val="20"/>
              </w:rPr>
              <w:t xml:space="preserve">ESF remiamas </w:t>
            </w:r>
            <w:r w:rsidRPr="00464A6E">
              <w:rPr>
                <w:rFonts w:ascii="Times New Roman" w:hAnsi="Times New Roman"/>
                <w:sz w:val="20"/>
                <w:szCs w:val="20"/>
              </w:rPr>
              <w:t xml:space="preserve">profesinės reabilitacijos programas </w:t>
            </w:r>
          </w:p>
        </w:tc>
        <w:tc>
          <w:tcPr>
            <w:tcW w:w="850"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276"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6A3B29" w:rsidRPr="0083442A" w:rsidTr="009C0228">
        <w:trPr>
          <w:trHeight w:val="396"/>
        </w:trPr>
        <w:tc>
          <w:tcPr>
            <w:tcW w:w="1668"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559"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shd w:val="clear" w:color="auto" w:fill="auto"/>
          </w:tcPr>
          <w:p w:rsidR="006A3B29" w:rsidRPr="008D3817" w:rsidRDefault="006A3B29" w:rsidP="008D3817">
            <w:pPr>
              <w:spacing w:after="0" w:line="240" w:lineRule="auto"/>
              <w:jc w:val="both"/>
              <w:rPr>
                <w:rFonts w:ascii="Times New Roman" w:hAnsi="Times New Roman"/>
                <w:sz w:val="20"/>
                <w:szCs w:val="20"/>
              </w:rPr>
            </w:pPr>
          </w:p>
        </w:tc>
        <w:tc>
          <w:tcPr>
            <w:tcW w:w="2693" w:type="dxa"/>
            <w:vMerge w:val="restart"/>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hAnsi="Times New Roman"/>
                <w:sz w:val="20"/>
                <w:szCs w:val="20"/>
              </w:rPr>
              <w:t>Padidinti valstybės įdarbinimo tarnybos veiksmingumą ir labiau orientuoti į rezultatus</w:t>
            </w:r>
          </w:p>
        </w:tc>
        <w:tc>
          <w:tcPr>
            <w:tcW w:w="3119" w:type="dxa"/>
            <w:shd w:val="clear" w:color="auto" w:fill="auto"/>
            <w:vAlign w:val="center"/>
          </w:tcPr>
          <w:p w:rsidR="006A3B29" w:rsidRPr="008D3817" w:rsidRDefault="006A3B29" w:rsidP="008D3817">
            <w:pPr>
              <w:spacing w:after="0" w:line="240" w:lineRule="auto"/>
              <w:jc w:val="both"/>
              <w:rPr>
                <w:rFonts w:ascii="Times New Roman" w:eastAsia="Times New Roman" w:hAnsi="Times New Roman"/>
                <w:bCs/>
                <w:sz w:val="20"/>
                <w:szCs w:val="20"/>
              </w:rPr>
            </w:pPr>
            <w:r w:rsidRPr="008D3817">
              <w:rPr>
                <w:rFonts w:ascii="Times New Roman" w:eastAsia="Times New Roman" w:hAnsi="Times New Roman"/>
                <w:bCs/>
                <w:sz w:val="20"/>
                <w:szCs w:val="20"/>
              </w:rPr>
              <w:t>Laisvos darbo vietos užpildymo vidutinė trukmė</w:t>
            </w:r>
          </w:p>
        </w:tc>
        <w:tc>
          <w:tcPr>
            <w:tcW w:w="850"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276"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6A3B29" w:rsidRPr="0083442A" w:rsidTr="00D25A49">
        <w:trPr>
          <w:trHeight w:val="515"/>
        </w:trPr>
        <w:tc>
          <w:tcPr>
            <w:tcW w:w="1668"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559"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shd w:val="clear" w:color="auto" w:fill="auto"/>
          </w:tcPr>
          <w:p w:rsidR="006A3B29" w:rsidRPr="008D3817" w:rsidRDefault="006A3B29" w:rsidP="008D3817">
            <w:pPr>
              <w:spacing w:after="0" w:line="240" w:lineRule="auto"/>
              <w:jc w:val="both"/>
              <w:rPr>
                <w:rFonts w:ascii="Times New Roman" w:hAnsi="Times New Roman"/>
                <w:sz w:val="20"/>
                <w:szCs w:val="20"/>
              </w:rPr>
            </w:pPr>
          </w:p>
        </w:tc>
        <w:tc>
          <w:tcPr>
            <w:tcW w:w="2693"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hAnsi="Times New Roman"/>
                <w:sz w:val="20"/>
                <w:szCs w:val="20"/>
              </w:rPr>
            </w:pPr>
          </w:p>
        </w:tc>
        <w:tc>
          <w:tcPr>
            <w:tcW w:w="3119" w:type="dxa"/>
            <w:shd w:val="clear" w:color="auto" w:fill="auto"/>
          </w:tcPr>
          <w:p w:rsidR="006A3B29" w:rsidRPr="008D3817" w:rsidRDefault="006A3B29" w:rsidP="008D3817">
            <w:pPr>
              <w:spacing w:after="0" w:line="240" w:lineRule="auto"/>
              <w:jc w:val="both"/>
              <w:rPr>
                <w:rFonts w:ascii="Times New Roman" w:eastAsia="Times New Roman" w:hAnsi="Times New Roman"/>
                <w:bCs/>
                <w:sz w:val="20"/>
                <w:szCs w:val="20"/>
              </w:rPr>
            </w:pPr>
            <w:r w:rsidRPr="008D3817">
              <w:rPr>
                <w:rFonts w:ascii="Times New Roman" w:eastAsia="Times New Roman" w:hAnsi="Times New Roman"/>
                <w:bCs/>
                <w:sz w:val="20"/>
                <w:szCs w:val="20"/>
              </w:rPr>
              <w:t>Lietuvos darbo biržos darbuotojai, kurie po dalyvavimo ESF veiklose įgijo kvalifikaciją</w:t>
            </w:r>
          </w:p>
        </w:tc>
        <w:tc>
          <w:tcPr>
            <w:tcW w:w="850"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276"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6A3B29" w:rsidRPr="0083442A" w:rsidTr="00D25A49">
        <w:trPr>
          <w:trHeight w:val="679"/>
        </w:trPr>
        <w:tc>
          <w:tcPr>
            <w:tcW w:w="1668"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559"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shd w:val="clear" w:color="auto" w:fill="auto"/>
          </w:tcPr>
          <w:p w:rsidR="006A3B29" w:rsidRPr="008D3817" w:rsidRDefault="006A3B29" w:rsidP="008D3817">
            <w:pPr>
              <w:spacing w:after="0" w:line="240" w:lineRule="auto"/>
              <w:jc w:val="both"/>
              <w:rPr>
                <w:rFonts w:ascii="Times New Roman" w:hAnsi="Times New Roman"/>
                <w:sz w:val="20"/>
                <w:szCs w:val="20"/>
              </w:rPr>
            </w:pPr>
          </w:p>
        </w:tc>
        <w:tc>
          <w:tcPr>
            <w:tcW w:w="2693"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hAnsi="Times New Roman"/>
                <w:sz w:val="20"/>
                <w:szCs w:val="20"/>
              </w:rPr>
            </w:pPr>
          </w:p>
        </w:tc>
        <w:tc>
          <w:tcPr>
            <w:tcW w:w="3119" w:type="dxa"/>
            <w:shd w:val="clear" w:color="auto" w:fill="auto"/>
            <w:vAlign w:val="center"/>
          </w:tcPr>
          <w:p w:rsidR="006A3B29" w:rsidRPr="008D3817" w:rsidRDefault="006A3B29" w:rsidP="008D3817">
            <w:pPr>
              <w:spacing w:after="0" w:line="240" w:lineRule="auto"/>
              <w:jc w:val="both"/>
              <w:rPr>
                <w:rFonts w:ascii="Times New Roman" w:eastAsia="Times New Roman" w:hAnsi="Times New Roman"/>
                <w:bCs/>
                <w:sz w:val="20"/>
                <w:szCs w:val="20"/>
              </w:rPr>
            </w:pPr>
            <w:r w:rsidRPr="008D3817">
              <w:rPr>
                <w:rFonts w:ascii="Times New Roman" w:eastAsia="Times New Roman" w:hAnsi="Times New Roman"/>
                <w:bCs/>
                <w:sz w:val="20"/>
                <w:szCs w:val="20"/>
              </w:rPr>
              <w:t xml:space="preserve">Sukurta </w:t>
            </w:r>
            <w:proofErr w:type="gramStart"/>
            <w:r w:rsidRPr="008D3817">
              <w:rPr>
                <w:rFonts w:ascii="Times New Roman" w:eastAsia="Times New Roman" w:hAnsi="Times New Roman"/>
                <w:bCs/>
                <w:sz w:val="20"/>
                <w:szCs w:val="20"/>
              </w:rPr>
              <w:t>ir įgyvendinama ADRP ir tvaraus įdarbinimo stebėsenos ir vertinimo sistema</w:t>
            </w:r>
            <w:proofErr w:type="gramEnd"/>
          </w:p>
        </w:tc>
        <w:tc>
          <w:tcPr>
            <w:tcW w:w="850"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276"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6A3B29" w:rsidRPr="0083442A" w:rsidTr="009B7C0D">
        <w:trPr>
          <w:trHeight w:val="403"/>
        </w:trPr>
        <w:tc>
          <w:tcPr>
            <w:tcW w:w="1668"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559"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shd w:val="clear" w:color="auto" w:fill="auto"/>
          </w:tcPr>
          <w:p w:rsidR="006A3B29" w:rsidRPr="008D3817" w:rsidRDefault="006A3B29" w:rsidP="008D3817">
            <w:pPr>
              <w:spacing w:after="0" w:line="240" w:lineRule="auto"/>
              <w:jc w:val="both"/>
              <w:rPr>
                <w:rFonts w:ascii="Times New Roman" w:hAnsi="Times New Roman"/>
                <w:sz w:val="20"/>
                <w:szCs w:val="20"/>
              </w:rPr>
            </w:pPr>
          </w:p>
        </w:tc>
        <w:tc>
          <w:tcPr>
            <w:tcW w:w="2693" w:type="dxa"/>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hAnsi="Times New Roman"/>
                <w:sz w:val="20"/>
                <w:szCs w:val="20"/>
              </w:rPr>
              <w:t>Padidinti darbo paklausą</w:t>
            </w:r>
            <w:r w:rsidR="002D1EE7">
              <w:rPr>
                <w:rFonts w:ascii="Times New Roman" w:hAnsi="Times New Roman"/>
                <w:sz w:val="20"/>
                <w:szCs w:val="20"/>
              </w:rPr>
              <w:t>,</w:t>
            </w:r>
            <w:r w:rsidRPr="008D3817">
              <w:rPr>
                <w:rFonts w:ascii="Times New Roman" w:hAnsi="Times New Roman"/>
                <w:sz w:val="20"/>
                <w:szCs w:val="20"/>
              </w:rPr>
              <w:t xml:space="preserve"> skatinant gyventojų, ypač susiduriančių su sunkumais darbo rinkoje, verslumą</w:t>
            </w:r>
          </w:p>
        </w:tc>
        <w:tc>
          <w:tcPr>
            <w:tcW w:w="3119" w:type="dxa"/>
            <w:shd w:val="clear" w:color="auto" w:fill="auto"/>
            <w:vAlign w:val="center"/>
          </w:tcPr>
          <w:p w:rsidR="006A3B29" w:rsidRPr="008D3817" w:rsidRDefault="006A3B29" w:rsidP="008D3817">
            <w:pPr>
              <w:spacing w:after="0" w:line="240" w:lineRule="auto"/>
              <w:jc w:val="both"/>
              <w:rPr>
                <w:rFonts w:ascii="Times New Roman" w:eastAsia="Times New Roman" w:hAnsi="Times New Roman"/>
                <w:bCs/>
                <w:sz w:val="20"/>
                <w:szCs w:val="20"/>
              </w:rPr>
            </w:pPr>
            <w:r w:rsidRPr="008D3817">
              <w:rPr>
                <w:rFonts w:ascii="Times New Roman" w:hAnsi="Times New Roman"/>
                <w:sz w:val="20"/>
                <w:szCs w:val="20"/>
              </w:rPr>
              <w:t>Sėkmingai veikiančių naujų įmonių, pasinaudojusių finansine priemone verslo pradžiai, dalis 12 mėn. po paskolos suteikimo</w:t>
            </w:r>
          </w:p>
        </w:tc>
        <w:tc>
          <w:tcPr>
            <w:tcW w:w="850"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276"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6A3B29" w:rsidRPr="0083442A" w:rsidTr="00E60EA1">
        <w:trPr>
          <w:trHeight w:val="1114"/>
        </w:trPr>
        <w:tc>
          <w:tcPr>
            <w:tcW w:w="1668"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559"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shd w:val="clear" w:color="auto" w:fill="auto"/>
          </w:tcPr>
          <w:p w:rsidR="006A3B29" w:rsidRPr="008D3817" w:rsidRDefault="006A3B29" w:rsidP="008D3817">
            <w:pPr>
              <w:spacing w:after="0" w:line="240" w:lineRule="auto"/>
              <w:jc w:val="both"/>
              <w:rPr>
                <w:rFonts w:ascii="Times New Roman" w:hAnsi="Times New Roman"/>
                <w:sz w:val="20"/>
                <w:szCs w:val="20"/>
              </w:rPr>
            </w:pPr>
          </w:p>
        </w:tc>
        <w:tc>
          <w:tcPr>
            <w:tcW w:w="2693" w:type="dxa"/>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hAnsi="Times New Roman"/>
                <w:sz w:val="20"/>
                <w:szCs w:val="20"/>
              </w:rPr>
              <w:t>Pagerinti visuomenės, verslo ir viešojo sektoriaus supratimą apie moterų ir vyrų lygių galimybių bei nediskriminavimo dėl amžiaus, negalios ir kitų pagrindų principų taikymą ir sustiprinti gebėjimus atpažinti bei šalinti diskriminavimo apraiškas</w:t>
            </w:r>
          </w:p>
        </w:tc>
        <w:tc>
          <w:tcPr>
            <w:tcW w:w="3119" w:type="dxa"/>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
                <w:bCs/>
                <w:sz w:val="20"/>
                <w:szCs w:val="20"/>
                <w:lang w:eastAsia="lt-LT"/>
              </w:rPr>
            </w:pPr>
            <w:r w:rsidRPr="008D3817">
              <w:rPr>
                <w:rFonts w:ascii="Times New Roman" w:eastAsia="Times New Roman" w:hAnsi="Times New Roman"/>
                <w:iCs/>
                <w:sz w:val="20"/>
                <w:szCs w:val="20"/>
              </w:rPr>
              <w:t>Dalis asmenų, kurie praktikoje taiko žinias ir įgūdžius, įgytus dalyvaujant renginiuose, skatinančiuose moterų ir vyrų lygybę bei diskriminacijos mažinimą darbo rinkoje</w:t>
            </w:r>
          </w:p>
        </w:tc>
        <w:tc>
          <w:tcPr>
            <w:tcW w:w="850"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276"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6A3B29" w:rsidRPr="0083442A" w:rsidTr="009D323D">
        <w:trPr>
          <w:trHeight w:val="288"/>
        </w:trPr>
        <w:tc>
          <w:tcPr>
            <w:tcW w:w="1668"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559"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val="restart"/>
            <w:shd w:val="clear" w:color="auto" w:fill="auto"/>
          </w:tcPr>
          <w:p w:rsidR="006A3B29" w:rsidRPr="008D3817" w:rsidRDefault="006A3B29" w:rsidP="007321B0">
            <w:pPr>
              <w:spacing w:after="0" w:line="240" w:lineRule="auto"/>
              <w:jc w:val="both"/>
              <w:rPr>
                <w:rFonts w:ascii="Times New Roman" w:hAnsi="Times New Roman"/>
                <w:sz w:val="20"/>
                <w:szCs w:val="20"/>
              </w:rPr>
            </w:pPr>
            <w:r w:rsidRPr="008D3817">
              <w:rPr>
                <w:rFonts w:ascii="Times New Roman" w:eastAsia="Times New Roman" w:hAnsi="Times New Roman"/>
                <w:sz w:val="20"/>
                <w:szCs w:val="20"/>
                <w:lang w:eastAsia="lt-LT"/>
              </w:rPr>
              <w:t>Jaunimo, visų pirma</w:t>
            </w:r>
            <w:r w:rsidR="002D1EE7">
              <w:rPr>
                <w:rFonts w:ascii="Times New Roman" w:eastAsia="Times New Roman" w:hAnsi="Times New Roman"/>
                <w:sz w:val="20"/>
                <w:szCs w:val="20"/>
                <w:lang w:eastAsia="lt-LT"/>
              </w:rPr>
              <w:t>,</w:t>
            </w:r>
            <w:r w:rsidRPr="008D3817">
              <w:rPr>
                <w:rFonts w:ascii="Times New Roman" w:eastAsia="Times New Roman" w:hAnsi="Times New Roman"/>
                <w:sz w:val="20"/>
                <w:szCs w:val="20"/>
                <w:lang w:eastAsia="lt-LT"/>
              </w:rPr>
              <w:t xml:space="preserve"> nedirbančio ir nesimokančio, įskaitant marginalių bendruomenių jaunimą ir tą, kuriam kyla socialinės atskirties pavojus, ilgalaikė integracija į darbo rinką, taip pat ir įgyvendinant Jaunimo garantijų iniciatyvą</w:t>
            </w:r>
          </w:p>
        </w:tc>
        <w:tc>
          <w:tcPr>
            <w:tcW w:w="2693" w:type="dxa"/>
            <w:vMerge w:val="restart"/>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hAnsi="Times New Roman"/>
                <w:sz w:val="20"/>
                <w:szCs w:val="20"/>
              </w:rPr>
              <w:t>Sumažinti nedirbančio, nesimokančio ir mokymuose nedalyvaujančio 15</w:t>
            </w:r>
            <w:proofErr w:type="gramStart"/>
            <w:r w:rsidRPr="008D3817">
              <w:rPr>
                <w:rFonts w:ascii="Times New Roman" w:hAnsi="Times New Roman"/>
                <w:sz w:val="20"/>
                <w:szCs w:val="20"/>
              </w:rPr>
              <w:t>-</w:t>
            </w:r>
            <w:proofErr w:type="gramEnd"/>
            <w:r w:rsidRPr="008D3817">
              <w:rPr>
                <w:rFonts w:ascii="Times New Roman" w:hAnsi="Times New Roman"/>
                <w:sz w:val="20"/>
                <w:szCs w:val="20"/>
              </w:rPr>
              <w:t>29 m. amžiaus jaunimo skaičių</w:t>
            </w:r>
          </w:p>
        </w:tc>
        <w:tc>
          <w:tcPr>
            <w:tcW w:w="3119" w:type="dxa"/>
            <w:shd w:val="clear" w:color="auto" w:fill="auto"/>
          </w:tcPr>
          <w:p w:rsidR="006A3B29" w:rsidRPr="008D3817" w:rsidRDefault="006A3B29" w:rsidP="008D3817">
            <w:pPr>
              <w:spacing w:after="0" w:line="240" w:lineRule="auto"/>
              <w:jc w:val="both"/>
              <w:rPr>
                <w:rFonts w:ascii="Times New Roman" w:hAnsi="Times New Roman"/>
                <w:sz w:val="20"/>
                <w:szCs w:val="20"/>
              </w:rPr>
            </w:pPr>
            <w:r w:rsidRPr="008D3817">
              <w:rPr>
                <w:rFonts w:ascii="Times New Roman" w:hAnsi="Times New Roman"/>
                <w:sz w:val="20"/>
                <w:szCs w:val="20"/>
              </w:rPr>
              <w:t>Bedarbiai dalyviai, kurie baigė dalyvauti JUI remiamoje intervencijoje</w:t>
            </w:r>
          </w:p>
        </w:tc>
        <w:tc>
          <w:tcPr>
            <w:tcW w:w="850"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276"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6A3B29" w:rsidRPr="0083442A" w:rsidTr="009D323D">
        <w:trPr>
          <w:trHeight w:val="864"/>
        </w:trPr>
        <w:tc>
          <w:tcPr>
            <w:tcW w:w="1668"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559"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shd w:val="clear" w:color="auto" w:fill="auto"/>
          </w:tcPr>
          <w:p w:rsidR="006A3B29" w:rsidRPr="008D3817" w:rsidRDefault="006A3B29" w:rsidP="008D3817">
            <w:pPr>
              <w:spacing w:after="0" w:line="240" w:lineRule="auto"/>
              <w:jc w:val="both"/>
              <w:rPr>
                <w:rFonts w:ascii="Times New Roman" w:hAnsi="Times New Roman"/>
                <w:sz w:val="20"/>
                <w:szCs w:val="20"/>
              </w:rPr>
            </w:pPr>
          </w:p>
        </w:tc>
        <w:tc>
          <w:tcPr>
            <w:tcW w:w="2693"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hAnsi="Times New Roman"/>
                <w:sz w:val="20"/>
                <w:szCs w:val="20"/>
              </w:rPr>
            </w:pPr>
          </w:p>
        </w:tc>
        <w:tc>
          <w:tcPr>
            <w:tcW w:w="3119" w:type="dxa"/>
            <w:shd w:val="clear" w:color="auto" w:fill="auto"/>
          </w:tcPr>
          <w:p w:rsidR="006A3B29" w:rsidRPr="008D3817" w:rsidRDefault="006A3B29" w:rsidP="008D3817">
            <w:pPr>
              <w:spacing w:after="0" w:line="240" w:lineRule="auto"/>
              <w:jc w:val="both"/>
              <w:rPr>
                <w:rFonts w:ascii="Times New Roman" w:hAnsi="Times New Roman"/>
                <w:sz w:val="20"/>
                <w:szCs w:val="20"/>
              </w:rPr>
            </w:pPr>
            <w:r w:rsidRPr="008D3817">
              <w:rPr>
                <w:rFonts w:ascii="Times New Roman" w:hAnsi="Times New Roman"/>
                <w:sz w:val="20"/>
                <w:szCs w:val="20"/>
              </w:rPr>
              <w:t>Bedarbiai dalyviai, kurie baigę dalyvavimą gavo pasiūlymą dėl darbo, tolesnio mokymosi, pameistrystės ar stažuotės</w:t>
            </w:r>
          </w:p>
        </w:tc>
        <w:tc>
          <w:tcPr>
            <w:tcW w:w="850"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276"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6A3B29" w:rsidRPr="0083442A" w:rsidTr="0004074C">
        <w:trPr>
          <w:trHeight w:val="426"/>
        </w:trPr>
        <w:tc>
          <w:tcPr>
            <w:tcW w:w="1668"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559"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shd w:val="clear" w:color="auto" w:fill="auto"/>
          </w:tcPr>
          <w:p w:rsidR="006A3B29" w:rsidRPr="008D3817" w:rsidRDefault="006A3B29" w:rsidP="008D3817">
            <w:pPr>
              <w:spacing w:after="0" w:line="240" w:lineRule="auto"/>
              <w:jc w:val="both"/>
              <w:rPr>
                <w:rFonts w:ascii="Times New Roman" w:hAnsi="Times New Roman"/>
                <w:sz w:val="20"/>
                <w:szCs w:val="20"/>
              </w:rPr>
            </w:pPr>
          </w:p>
        </w:tc>
        <w:tc>
          <w:tcPr>
            <w:tcW w:w="2693"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hAnsi="Times New Roman"/>
                <w:sz w:val="20"/>
                <w:szCs w:val="20"/>
              </w:rPr>
            </w:pPr>
          </w:p>
        </w:tc>
        <w:tc>
          <w:tcPr>
            <w:tcW w:w="3119" w:type="dxa"/>
            <w:shd w:val="clear" w:color="auto" w:fill="auto"/>
          </w:tcPr>
          <w:p w:rsidR="006A3B29" w:rsidRPr="008D3817" w:rsidRDefault="006A3B29" w:rsidP="008D3817">
            <w:pPr>
              <w:spacing w:after="0" w:line="240" w:lineRule="auto"/>
              <w:jc w:val="both"/>
              <w:rPr>
                <w:rFonts w:ascii="Times New Roman" w:hAnsi="Times New Roman"/>
                <w:sz w:val="20"/>
                <w:szCs w:val="20"/>
              </w:rPr>
            </w:pPr>
            <w:r w:rsidRPr="008D3817">
              <w:rPr>
                <w:rFonts w:ascii="Times New Roman" w:hAnsi="Times New Roman"/>
                <w:sz w:val="20"/>
                <w:szCs w:val="20"/>
              </w:rPr>
              <w:t>Bedarbiai dalyviai, kurie baigę dalyvavimą pradėjo mokytis, įgijo kvalifikaciją arba pradėjo dirbti, įskaitant savarankišką darbą</w:t>
            </w:r>
          </w:p>
        </w:tc>
        <w:tc>
          <w:tcPr>
            <w:tcW w:w="850"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276"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6A3B29" w:rsidRPr="0083442A" w:rsidTr="0004074C">
        <w:trPr>
          <w:trHeight w:val="656"/>
        </w:trPr>
        <w:tc>
          <w:tcPr>
            <w:tcW w:w="1668"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559"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shd w:val="clear" w:color="auto" w:fill="auto"/>
          </w:tcPr>
          <w:p w:rsidR="006A3B29" w:rsidRPr="008D3817" w:rsidRDefault="006A3B29" w:rsidP="008D3817">
            <w:pPr>
              <w:spacing w:after="0" w:line="240" w:lineRule="auto"/>
              <w:jc w:val="both"/>
              <w:rPr>
                <w:rFonts w:ascii="Times New Roman" w:hAnsi="Times New Roman"/>
                <w:sz w:val="20"/>
                <w:szCs w:val="20"/>
              </w:rPr>
            </w:pPr>
          </w:p>
        </w:tc>
        <w:tc>
          <w:tcPr>
            <w:tcW w:w="2693"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hAnsi="Times New Roman"/>
                <w:sz w:val="20"/>
                <w:szCs w:val="20"/>
              </w:rPr>
            </w:pPr>
          </w:p>
        </w:tc>
        <w:tc>
          <w:tcPr>
            <w:tcW w:w="3119" w:type="dxa"/>
            <w:shd w:val="clear" w:color="auto" w:fill="auto"/>
          </w:tcPr>
          <w:p w:rsidR="006A3B29" w:rsidRPr="008D3817" w:rsidRDefault="006A3B29" w:rsidP="008D3817">
            <w:pPr>
              <w:spacing w:after="0" w:line="240" w:lineRule="auto"/>
              <w:jc w:val="both"/>
              <w:rPr>
                <w:rFonts w:ascii="Times New Roman" w:hAnsi="Times New Roman"/>
                <w:sz w:val="20"/>
                <w:szCs w:val="20"/>
              </w:rPr>
            </w:pPr>
            <w:r w:rsidRPr="008D3817">
              <w:rPr>
                <w:rFonts w:ascii="Times New Roman" w:hAnsi="Times New Roman"/>
                <w:sz w:val="20"/>
                <w:szCs w:val="20"/>
              </w:rPr>
              <w:t>Ilgalaikiai bedarbiai dalyviai, kurie baigė dalyvauti JUI remiamoje intervencijoje</w:t>
            </w:r>
          </w:p>
        </w:tc>
        <w:tc>
          <w:tcPr>
            <w:tcW w:w="850"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276"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6A3B29" w:rsidRPr="0083442A" w:rsidTr="0004074C">
        <w:trPr>
          <w:trHeight w:val="806"/>
        </w:trPr>
        <w:tc>
          <w:tcPr>
            <w:tcW w:w="1668"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559"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shd w:val="clear" w:color="auto" w:fill="auto"/>
          </w:tcPr>
          <w:p w:rsidR="006A3B29" w:rsidRPr="008D3817" w:rsidRDefault="006A3B29" w:rsidP="008D3817">
            <w:pPr>
              <w:spacing w:after="0" w:line="240" w:lineRule="auto"/>
              <w:jc w:val="both"/>
              <w:rPr>
                <w:rFonts w:ascii="Times New Roman" w:hAnsi="Times New Roman"/>
                <w:sz w:val="20"/>
                <w:szCs w:val="20"/>
              </w:rPr>
            </w:pPr>
          </w:p>
        </w:tc>
        <w:tc>
          <w:tcPr>
            <w:tcW w:w="2693"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hAnsi="Times New Roman"/>
                <w:sz w:val="20"/>
                <w:szCs w:val="20"/>
              </w:rPr>
            </w:pPr>
          </w:p>
        </w:tc>
        <w:tc>
          <w:tcPr>
            <w:tcW w:w="3119" w:type="dxa"/>
            <w:shd w:val="clear" w:color="auto" w:fill="auto"/>
          </w:tcPr>
          <w:p w:rsidR="006A3B29" w:rsidRPr="008D3817" w:rsidRDefault="006A3B29" w:rsidP="008D3817">
            <w:pPr>
              <w:spacing w:after="0" w:line="240" w:lineRule="auto"/>
              <w:jc w:val="both"/>
              <w:rPr>
                <w:rFonts w:ascii="Times New Roman" w:hAnsi="Times New Roman"/>
                <w:sz w:val="20"/>
                <w:szCs w:val="20"/>
              </w:rPr>
            </w:pPr>
            <w:r w:rsidRPr="008D3817">
              <w:rPr>
                <w:rFonts w:ascii="Times New Roman" w:hAnsi="Times New Roman"/>
                <w:sz w:val="20"/>
                <w:szCs w:val="20"/>
              </w:rPr>
              <w:t>Ilgalaikiai bedarbiai dalyviai, kurie baigę dalyvavimą gavo pasiūlymą dėl darbo, tolesnio mokymosi, pameistrystės</w:t>
            </w:r>
            <w:r w:rsidRPr="008D3817" w:rsidDel="005D0C8C">
              <w:rPr>
                <w:rFonts w:ascii="Times New Roman" w:hAnsi="Times New Roman"/>
                <w:sz w:val="20"/>
                <w:szCs w:val="20"/>
              </w:rPr>
              <w:t xml:space="preserve"> </w:t>
            </w:r>
            <w:r w:rsidRPr="008D3817">
              <w:rPr>
                <w:rFonts w:ascii="Times New Roman" w:hAnsi="Times New Roman"/>
                <w:sz w:val="20"/>
                <w:szCs w:val="20"/>
              </w:rPr>
              <w:t>ar stažuotės</w:t>
            </w:r>
          </w:p>
        </w:tc>
        <w:tc>
          <w:tcPr>
            <w:tcW w:w="850"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276"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6A3B29" w:rsidRPr="0083442A" w:rsidTr="00FF08C5">
        <w:trPr>
          <w:trHeight w:val="313"/>
        </w:trPr>
        <w:tc>
          <w:tcPr>
            <w:tcW w:w="1668"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559"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shd w:val="clear" w:color="auto" w:fill="auto"/>
          </w:tcPr>
          <w:p w:rsidR="006A3B29" w:rsidRPr="008D3817" w:rsidRDefault="006A3B29" w:rsidP="008D3817">
            <w:pPr>
              <w:spacing w:after="0" w:line="240" w:lineRule="auto"/>
              <w:jc w:val="both"/>
              <w:rPr>
                <w:rFonts w:ascii="Times New Roman" w:hAnsi="Times New Roman"/>
                <w:sz w:val="20"/>
                <w:szCs w:val="20"/>
              </w:rPr>
            </w:pPr>
          </w:p>
        </w:tc>
        <w:tc>
          <w:tcPr>
            <w:tcW w:w="2693"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hAnsi="Times New Roman"/>
                <w:sz w:val="20"/>
                <w:szCs w:val="20"/>
              </w:rPr>
            </w:pPr>
          </w:p>
        </w:tc>
        <w:tc>
          <w:tcPr>
            <w:tcW w:w="3119" w:type="dxa"/>
            <w:shd w:val="clear" w:color="auto" w:fill="auto"/>
          </w:tcPr>
          <w:p w:rsidR="006A3B29" w:rsidRPr="008D3817" w:rsidRDefault="006A3B29" w:rsidP="008D3817">
            <w:pPr>
              <w:spacing w:after="0" w:line="240" w:lineRule="auto"/>
              <w:jc w:val="both"/>
              <w:rPr>
                <w:rFonts w:ascii="Times New Roman" w:hAnsi="Times New Roman"/>
                <w:sz w:val="20"/>
                <w:szCs w:val="20"/>
              </w:rPr>
            </w:pPr>
            <w:r w:rsidRPr="008D3817">
              <w:rPr>
                <w:rFonts w:ascii="Times New Roman" w:hAnsi="Times New Roman"/>
                <w:sz w:val="20"/>
                <w:szCs w:val="20"/>
              </w:rPr>
              <w:t>Ilgalaikiai bedarbiai dalyviai, kurie baigę dalyvavimą pradėjo mokytis, įgijo kvalifikaciją arba pradėjo dirbti, įskaitant savarankišką darbą</w:t>
            </w:r>
          </w:p>
        </w:tc>
        <w:tc>
          <w:tcPr>
            <w:tcW w:w="850"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276"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6A3B29" w:rsidRPr="0083442A" w:rsidTr="0004074C">
        <w:trPr>
          <w:trHeight w:val="587"/>
        </w:trPr>
        <w:tc>
          <w:tcPr>
            <w:tcW w:w="1668"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559"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shd w:val="clear" w:color="auto" w:fill="auto"/>
          </w:tcPr>
          <w:p w:rsidR="006A3B29" w:rsidRPr="008D3817" w:rsidRDefault="006A3B29" w:rsidP="008D3817">
            <w:pPr>
              <w:spacing w:after="0" w:line="240" w:lineRule="auto"/>
              <w:jc w:val="both"/>
              <w:rPr>
                <w:rFonts w:ascii="Times New Roman" w:hAnsi="Times New Roman"/>
                <w:sz w:val="20"/>
                <w:szCs w:val="20"/>
              </w:rPr>
            </w:pPr>
          </w:p>
        </w:tc>
        <w:tc>
          <w:tcPr>
            <w:tcW w:w="2693"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hAnsi="Times New Roman"/>
                <w:sz w:val="20"/>
                <w:szCs w:val="20"/>
              </w:rPr>
            </w:pPr>
          </w:p>
        </w:tc>
        <w:tc>
          <w:tcPr>
            <w:tcW w:w="3119" w:type="dxa"/>
            <w:shd w:val="clear" w:color="auto" w:fill="auto"/>
          </w:tcPr>
          <w:p w:rsidR="006A3B29" w:rsidRPr="008D3817" w:rsidRDefault="006A3B29" w:rsidP="008D3817">
            <w:pPr>
              <w:spacing w:after="0" w:line="240" w:lineRule="auto"/>
              <w:jc w:val="both"/>
              <w:rPr>
                <w:rFonts w:ascii="Times New Roman" w:hAnsi="Times New Roman"/>
                <w:sz w:val="20"/>
                <w:szCs w:val="20"/>
              </w:rPr>
            </w:pPr>
            <w:r w:rsidRPr="008D3817">
              <w:rPr>
                <w:rFonts w:ascii="Times New Roman" w:hAnsi="Times New Roman"/>
                <w:sz w:val="20"/>
                <w:szCs w:val="20"/>
              </w:rPr>
              <w:t>Nestudijuojantys ir nesimokantys neaktyvūs dalyviai, kurie baigė dalyvauti JUI remiamoje intervencijoje</w:t>
            </w:r>
          </w:p>
        </w:tc>
        <w:tc>
          <w:tcPr>
            <w:tcW w:w="850"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276"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6A3B29" w:rsidRPr="0083442A" w:rsidTr="0004074C">
        <w:trPr>
          <w:trHeight w:val="1059"/>
        </w:trPr>
        <w:tc>
          <w:tcPr>
            <w:tcW w:w="1668"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559"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shd w:val="clear" w:color="auto" w:fill="auto"/>
          </w:tcPr>
          <w:p w:rsidR="006A3B29" w:rsidRPr="008D3817" w:rsidRDefault="006A3B29" w:rsidP="008D3817">
            <w:pPr>
              <w:spacing w:after="0" w:line="240" w:lineRule="auto"/>
              <w:jc w:val="both"/>
              <w:rPr>
                <w:rFonts w:ascii="Times New Roman" w:hAnsi="Times New Roman"/>
                <w:sz w:val="20"/>
                <w:szCs w:val="20"/>
              </w:rPr>
            </w:pPr>
          </w:p>
        </w:tc>
        <w:tc>
          <w:tcPr>
            <w:tcW w:w="2693"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hAnsi="Times New Roman"/>
                <w:sz w:val="20"/>
                <w:szCs w:val="20"/>
              </w:rPr>
            </w:pPr>
          </w:p>
        </w:tc>
        <w:tc>
          <w:tcPr>
            <w:tcW w:w="3119" w:type="dxa"/>
            <w:shd w:val="clear" w:color="auto" w:fill="auto"/>
          </w:tcPr>
          <w:p w:rsidR="006A3B29" w:rsidRPr="008D3817" w:rsidRDefault="006A3B29" w:rsidP="008D3817">
            <w:pPr>
              <w:spacing w:after="0" w:line="240" w:lineRule="auto"/>
              <w:jc w:val="both"/>
              <w:rPr>
                <w:rFonts w:ascii="Times New Roman" w:hAnsi="Times New Roman"/>
                <w:sz w:val="20"/>
                <w:szCs w:val="20"/>
              </w:rPr>
            </w:pPr>
            <w:r w:rsidRPr="008D3817">
              <w:rPr>
                <w:rFonts w:ascii="Times New Roman" w:hAnsi="Times New Roman"/>
                <w:sz w:val="20"/>
                <w:szCs w:val="20"/>
              </w:rPr>
              <w:t>Nestudijuojantys ir nesimokantys neaktyvūs dalyviai, kurie baigę dalyvavimą gavo pasiūlymą dėl darbo, tolesnio mokymosi, pameistrystės</w:t>
            </w:r>
            <w:r w:rsidRPr="008D3817" w:rsidDel="005D0C8C">
              <w:rPr>
                <w:rFonts w:ascii="Times New Roman" w:hAnsi="Times New Roman"/>
                <w:sz w:val="20"/>
                <w:szCs w:val="20"/>
              </w:rPr>
              <w:t xml:space="preserve"> </w:t>
            </w:r>
            <w:r w:rsidRPr="008D3817">
              <w:rPr>
                <w:rFonts w:ascii="Times New Roman" w:hAnsi="Times New Roman"/>
                <w:sz w:val="20"/>
                <w:szCs w:val="20"/>
              </w:rPr>
              <w:t>ar stažuotės</w:t>
            </w:r>
          </w:p>
        </w:tc>
        <w:tc>
          <w:tcPr>
            <w:tcW w:w="850"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276"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6A3B29" w:rsidRPr="0083442A" w:rsidTr="0004074C">
        <w:trPr>
          <w:trHeight w:val="1048"/>
        </w:trPr>
        <w:tc>
          <w:tcPr>
            <w:tcW w:w="1668"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559"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shd w:val="clear" w:color="auto" w:fill="auto"/>
          </w:tcPr>
          <w:p w:rsidR="006A3B29" w:rsidRPr="008D3817" w:rsidRDefault="006A3B29" w:rsidP="008D3817">
            <w:pPr>
              <w:spacing w:after="0" w:line="240" w:lineRule="auto"/>
              <w:jc w:val="both"/>
              <w:rPr>
                <w:rFonts w:ascii="Times New Roman" w:hAnsi="Times New Roman"/>
                <w:sz w:val="20"/>
                <w:szCs w:val="20"/>
              </w:rPr>
            </w:pPr>
          </w:p>
        </w:tc>
        <w:tc>
          <w:tcPr>
            <w:tcW w:w="2693"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hAnsi="Times New Roman"/>
                <w:sz w:val="20"/>
                <w:szCs w:val="20"/>
              </w:rPr>
            </w:pPr>
          </w:p>
        </w:tc>
        <w:tc>
          <w:tcPr>
            <w:tcW w:w="3119" w:type="dxa"/>
            <w:shd w:val="clear" w:color="auto" w:fill="auto"/>
          </w:tcPr>
          <w:p w:rsidR="006A3B29" w:rsidRPr="008D3817" w:rsidRDefault="006A3B29" w:rsidP="008D3817">
            <w:pPr>
              <w:spacing w:after="0" w:line="240" w:lineRule="auto"/>
              <w:jc w:val="both"/>
              <w:rPr>
                <w:rFonts w:ascii="Times New Roman" w:hAnsi="Times New Roman"/>
                <w:sz w:val="20"/>
                <w:szCs w:val="20"/>
              </w:rPr>
            </w:pPr>
            <w:r w:rsidRPr="008D3817">
              <w:rPr>
                <w:rFonts w:ascii="Times New Roman" w:hAnsi="Times New Roman"/>
                <w:sz w:val="20"/>
                <w:szCs w:val="20"/>
              </w:rPr>
              <w:t>Nestudijuojantys ir nesimokantys neaktyvūs dalyviai, kurie baigę dalyvavimą pradėjo mokytis, įgijo kvalifikaciją arba pradėjo dirbti, įskaitant savarankišką darbą</w:t>
            </w:r>
          </w:p>
        </w:tc>
        <w:tc>
          <w:tcPr>
            <w:tcW w:w="850"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276"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6A3B29" w:rsidRPr="0083442A" w:rsidTr="0004074C">
        <w:trPr>
          <w:trHeight w:val="1002"/>
        </w:trPr>
        <w:tc>
          <w:tcPr>
            <w:tcW w:w="1668"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559"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shd w:val="clear" w:color="auto" w:fill="auto"/>
          </w:tcPr>
          <w:p w:rsidR="006A3B29" w:rsidRPr="008D3817" w:rsidRDefault="006A3B29" w:rsidP="008D3817">
            <w:pPr>
              <w:spacing w:after="0" w:line="240" w:lineRule="auto"/>
              <w:jc w:val="both"/>
              <w:rPr>
                <w:rFonts w:ascii="Times New Roman" w:hAnsi="Times New Roman"/>
                <w:sz w:val="20"/>
                <w:szCs w:val="20"/>
              </w:rPr>
            </w:pPr>
          </w:p>
        </w:tc>
        <w:tc>
          <w:tcPr>
            <w:tcW w:w="2693"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hAnsi="Times New Roman"/>
                <w:sz w:val="20"/>
                <w:szCs w:val="20"/>
              </w:rPr>
            </w:pPr>
          </w:p>
        </w:tc>
        <w:tc>
          <w:tcPr>
            <w:tcW w:w="3119" w:type="dxa"/>
            <w:shd w:val="clear" w:color="auto" w:fill="auto"/>
          </w:tcPr>
          <w:p w:rsidR="006A3B29" w:rsidRPr="008D3817" w:rsidRDefault="006A3B29" w:rsidP="008D3817">
            <w:pPr>
              <w:spacing w:after="0" w:line="240" w:lineRule="auto"/>
              <w:jc w:val="both"/>
              <w:rPr>
                <w:rFonts w:ascii="Times New Roman" w:hAnsi="Times New Roman"/>
                <w:sz w:val="20"/>
                <w:szCs w:val="20"/>
              </w:rPr>
            </w:pPr>
            <w:r w:rsidRPr="008D3817">
              <w:rPr>
                <w:rFonts w:ascii="Times New Roman" w:hAnsi="Times New Roman"/>
                <w:sz w:val="20"/>
                <w:szCs w:val="20"/>
              </w:rPr>
              <w:t>Dalyviai, kurie baigę dalyvavimą po šešių mėnesių tęsia mokymąsi, dalyvauja kvalifikaciją suteikiančiose mokymo programose, mokyme per p</w:t>
            </w:r>
            <w:r w:rsidR="0091347B">
              <w:rPr>
                <w:rFonts w:ascii="Times New Roman" w:hAnsi="Times New Roman"/>
                <w:sz w:val="20"/>
                <w:szCs w:val="20"/>
              </w:rPr>
              <w:t>ameistrystę ar atlieka stažuotę</w:t>
            </w:r>
          </w:p>
        </w:tc>
        <w:tc>
          <w:tcPr>
            <w:tcW w:w="850"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276"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6A3B29" w:rsidRPr="0083442A" w:rsidTr="0004074C">
        <w:trPr>
          <w:trHeight w:val="357"/>
        </w:trPr>
        <w:tc>
          <w:tcPr>
            <w:tcW w:w="1668"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559"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shd w:val="clear" w:color="auto" w:fill="auto"/>
          </w:tcPr>
          <w:p w:rsidR="006A3B29" w:rsidRPr="008D3817" w:rsidRDefault="006A3B29" w:rsidP="008D3817">
            <w:pPr>
              <w:spacing w:after="0" w:line="240" w:lineRule="auto"/>
              <w:jc w:val="both"/>
              <w:rPr>
                <w:rFonts w:ascii="Times New Roman" w:hAnsi="Times New Roman"/>
                <w:sz w:val="20"/>
                <w:szCs w:val="20"/>
              </w:rPr>
            </w:pPr>
          </w:p>
        </w:tc>
        <w:tc>
          <w:tcPr>
            <w:tcW w:w="2693"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hAnsi="Times New Roman"/>
                <w:sz w:val="20"/>
                <w:szCs w:val="20"/>
              </w:rPr>
            </w:pPr>
          </w:p>
        </w:tc>
        <w:tc>
          <w:tcPr>
            <w:tcW w:w="3119" w:type="dxa"/>
            <w:shd w:val="clear" w:color="auto" w:fill="auto"/>
          </w:tcPr>
          <w:p w:rsidR="006A3B29" w:rsidRPr="008D3817" w:rsidRDefault="006A3B29" w:rsidP="008F2390">
            <w:pPr>
              <w:spacing w:after="0" w:line="240" w:lineRule="auto"/>
              <w:jc w:val="both"/>
              <w:rPr>
                <w:rFonts w:ascii="Times New Roman" w:hAnsi="Times New Roman"/>
                <w:sz w:val="20"/>
                <w:szCs w:val="20"/>
              </w:rPr>
            </w:pPr>
            <w:r w:rsidRPr="008D3817">
              <w:rPr>
                <w:rFonts w:ascii="Times New Roman" w:hAnsi="Times New Roman"/>
                <w:sz w:val="20"/>
                <w:szCs w:val="20"/>
              </w:rPr>
              <w:t>Dalyviai, kurie baigę dalyvavimą po šešių mėnesių dirba</w:t>
            </w:r>
          </w:p>
        </w:tc>
        <w:tc>
          <w:tcPr>
            <w:tcW w:w="850"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276"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6A3B29" w:rsidRPr="0083442A" w:rsidTr="009D323D">
        <w:trPr>
          <w:trHeight w:val="265"/>
        </w:trPr>
        <w:tc>
          <w:tcPr>
            <w:tcW w:w="1668"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559"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shd w:val="clear" w:color="auto" w:fill="auto"/>
          </w:tcPr>
          <w:p w:rsidR="006A3B29" w:rsidRPr="008D3817" w:rsidRDefault="006A3B29" w:rsidP="008D3817">
            <w:pPr>
              <w:spacing w:after="0" w:line="240" w:lineRule="auto"/>
              <w:jc w:val="both"/>
              <w:rPr>
                <w:rFonts w:ascii="Times New Roman" w:hAnsi="Times New Roman"/>
                <w:sz w:val="20"/>
                <w:szCs w:val="20"/>
              </w:rPr>
            </w:pPr>
          </w:p>
        </w:tc>
        <w:tc>
          <w:tcPr>
            <w:tcW w:w="2693"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hAnsi="Times New Roman"/>
                <w:sz w:val="20"/>
                <w:szCs w:val="20"/>
              </w:rPr>
            </w:pPr>
          </w:p>
        </w:tc>
        <w:tc>
          <w:tcPr>
            <w:tcW w:w="3119" w:type="dxa"/>
            <w:shd w:val="clear" w:color="auto" w:fill="auto"/>
          </w:tcPr>
          <w:p w:rsidR="006A3B29" w:rsidRPr="008D3817" w:rsidRDefault="006A3B29" w:rsidP="008D3817">
            <w:pPr>
              <w:spacing w:after="0" w:line="240" w:lineRule="auto"/>
              <w:jc w:val="both"/>
              <w:rPr>
                <w:rFonts w:ascii="Times New Roman" w:hAnsi="Times New Roman"/>
                <w:sz w:val="20"/>
                <w:szCs w:val="20"/>
              </w:rPr>
            </w:pPr>
            <w:r w:rsidRPr="008D3817">
              <w:rPr>
                <w:rFonts w:ascii="Times New Roman" w:hAnsi="Times New Roman"/>
                <w:sz w:val="20"/>
                <w:szCs w:val="20"/>
              </w:rPr>
              <w:t xml:space="preserve">Dalyviai, kurie baigę dalyvavimą po šešių mėnesių savarankiškai </w:t>
            </w:r>
            <w:r w:rsidR="0091347B">
              <w:rPr>
                <w:rFonts w:ascii="Times New Roman" w:hAnsi="Times New Roman"/>
                <w:sz w:val="20"/>
                <w:szCs w:val="20"/>
              </w:rPr>
              <w:t>dirba</w:t>
            </w:r>
          </w:p>
        </w:tc>
        <w:tc>
          <w:tcPr>
            <w:tcW w:w="850"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276"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shd w:val="clear" w:color="auto" w:fill="auto"/>
          </w:tcPr>
          <w:p w:rsidR="006A3B29" w:rsidRPr="008D3817" w:rsidRDefault="006A3B29"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242743" w:rsidRPr="0083442A" w:rsidTr="0070076F">
        <w:trPr>
          <w:trHeight w:val="157"/>
        </w:trPr>
        <w:tc>
          <w:tcPr>
            <w:tcW w:w="1668" w:type="dxa"/>
            <w:vMerge w:val="restart"/>
            <w:shd w:val="clear" w:color="auto" w:fill="auto"/>
          </w:tcPr>
          <w:p w:rsidR="00242743" w:rsidRPr="008D3817" w:rsidRDefault="00242743" w:rsidP="008D3817">
            <w:pPr>
              <w:widowControl w:val="0"/>
              <w:tabs>
                <w:tab w:val="left" w:pos="622"/>
              </w:tabs>
              <w:spacing w:after="0" w:line="240" w:lineRule="auto"/>
              <w:jc w:val="both"/>
              <w:rPr>
                <w:rFonts w:ascii="Times New Roman" w:eastAsia="AngsanaUPC" w:hAnsi="Times New Roman"/>
                <w:b/>
                <w:bCs/>
                <w:sz w:val="20"/>
                <w:szCs w:val="20"/>
                <w:lang w:eastAsia="lt-LT"/>
              </w:rPr>
            </w:pPr>
            <w:r w:rsidRPr="008D3817">
              <w:rPr>
                <w:rFonts w:ascii="Times New Roman" w:hAnsi="Times New Roman"/>
                <w:sz w:val="20"/>
                <w:szCs w:val="20"/>
              </w:rPr>
              <w:t>Socialinės įtra</w:t>
            </w:r>
            <w:r w:rsidR="004A53DF" w:rsidRPr="008D3817">
              <w:rPr>
                <w:rFonts w:ascii="Times New Roman" w:hAnsi="Times New Roman"/>
                <w:sz w:val="20"/>
                <w:szCs w:val="20"/>
              </w:rPr>
              <w:t>ukties didinimas ir kova</w:t>
            </w:r>
            <w:r w:rsidRPr="008D3817">
              <w:rPr>
                <w:rFonts w:ascii="Times New Roman" w:hAnsi="Times New Roman"/>
                <w:sz w:val="20"/>
                <w:szCs w:val="20"/>
              </w:rPr>
              <w:t xml:space="preserve"> su skurdu</w:t>
            </w:r>
          </w:p>
        </w:tc>
        <w:tc>
          <w:tcPr>
            <w:tcW w:w="1559" w:type="dxa"/>
            <w:vMerge w:val="restart"/>
            <w:shd w:val="clear" w:color="auto" w:fill="auto"/>
          </w:tcPr>
          <w:p w:rsidR="00242743" w:rsidRPr="008D3817" w:rsidRDefault="00242743"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eastAsia="AngsanaUPC" w:hAnsi="Times New Roman"/>
                <w:bCs/>
                <w:sz w:val="20"/>
                <w:szCs w:val="20"/>
                <w:lang w:eastAsia="lt-LT"/>
              </w:rPr>
              <w:t>Socialinės įtraukties skatinimas ir kova su skurdu</w:t>
            </w:r>
          </w:p>
        </w:tc>
        <w:tc>
          <w:tcPr>
            <w:tcW w:w="2835" w:type="dxa"/>
            <w:vMerge w:val="restart"/>
            <w:shd w:val="clear" w:color="auto" w:fill="auto"/>
          </w:tcPr>
          <w:p w:rsidR="00242743" w:rsidRPr="008D3817" w:rsidRDefault="00242743" w:rsidP="008D3817">
            <w:pPr>
              <w:widowControl w:val="0"/>
              <w:tabs>
                <w:tab w:val="left" w:pos="1276"/>
              </w:tabs>
              <w:adjustRightInd w:val="0"/>
              <w:spacing w:after="0" w:line="240" w:lineRule="auto"/>
              <w:jc w:val="both"/>
              <w:textAlignment w:val="baseline"/>
              <w:rPr>
                <w:rFonts w:ascii="Times New Roman" w:hAnsi="Times New Roman"/>
                <w:sz w:val="20"/>
                <w:szCs w:val="20"/>
              </w:rPr>
            </w:pPr>
            <w:r w:rsidRPr="008D3817">
              <w:rPr>
                <w:rFonts w:ascii="Times New Roman" w:hAnsi="Times New Roman"/>
                <w:sz w:val="20"/>
                <w:szCs w:val="20"/>
              </w:rPr>
              <w:t xml:space="preserve">Investicijos į sveikatos ir socialinę infrastruktūrą, kuria prisidedama prie nacionalinės, regionų ir vietos plėtros, su sveikatos būkle susijusios nelygybės mažinimo, socialinės įtraukties skatinimo, suteikiant geresnę prieigą prie socialinių, </w:t>
            </w:r>
            <w:r w:rsidRPr="008D3817">
              <w:rPr>
                <w:rFonts w:ascii="Times New Roman" w:hAnsi="Times New Roman"/>
                <w:sz w:val="20"/>
                <w:szCs w:val="20"/>
              </w:rPr>
              <w:lastRenderedPageBreak/>
              <w:t>kultūrinių ir rekreacinių paslaugų, ir perėjimo nuo institucin</w:t>
            </w:r>
            <w:r w:rsidR="00305253" w:rsidRPr="008D3817">
              <w:rPr>
                <w:rFonts w:ascii="Times New Roman" w:hAnsi="Times New Roman"/>
                <w:sz w:val="20"/>
                <w:szCs w:val="20"/>
              </w:rPr>
              <w:t>ių prie bendruomeninių paslaugų</w:t>
            </w:r>
          </w:p>
        </w:tc>
        <w:tc>
          <w:tcPr>
            <w:tcW w:w="2693" w:type="dxa"/>
            <w:vMerge w:val="restart"/>
            <w:shd w:val="clear" w:color="auto" w:fill="auto"/>
          </w:tcPr>
          <w:p w:rsidR="00242743" w:rsidRPr="008D3817" w:rsidRDefault="00D25A49"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hAnsi="Times New Roman"/>
                <w:sz w:val="20"/>
                <w:szCs w:val="20"/>
              </w:rPr>
              <w:lastRenderedPageBreak/>
              <w:t>Padidinti bendruomenėje teikiamų socialinių paslaugų dalį</w:t>
            </w:r>
            <w:r w:rsidR="002D1EE7">
              <w:rPr>
                <w:rFonts w:ascii="Times New Roman" w:hAnsi="Times New Roman"/>
                <w:sz w:val="20"/>
                <w:szCs w:val="20"/>
              </w:rPr>
              <w:t>,</w:t>
            </w:r>
            <w:r w:rsidRPr="008D3817">
              <w:rPr>
                <w:rFonts w:ascii="Times New Roman" w:hAnsi="Times New Roman"/>
                <w:sz w:val="20"/>
                <w:szCs w:val="20"/>
              </w:rPr>
              <w:t xml:space="preserve"> pereinant nuo institucinės globos prie bendruomeninių paslaugų</w:t>
            </w:r>
          </w:p>
        </w:tc>
        <w:tc>
          <w:tcPr>
            <w:tcW w:w="3119" w:type="dxa"/>
            <w:shd w:val="clear" w:color="auto" w:fill="auto"/>
          </w:tcPr>
          <w:p w:rsidR="00242743" w:rsidRPr="008D3817" w:rsidRDefault="00D25A49" w:rsidP="008D3817">
            <w:pPr>
              <w:spacing w:after="0" w:line="240" w:lineRule="auto"/>
              <w:jc w:val="both"/>
              <w:rPr>
                <w:rFonts w:ascii="Times New Roman" w:hAnsi="Times New Roman"/>
                <w:sz w:val="20"/>
                <w:szCs w:val="20"/>
                <w:shd w:val="clear" w:color="auto" w:fill="FFFFFF"/>
              </w:rPr>
            </w:pPr>
            <w:r w:rsidRPr="008D3817">
              <w:rPr>
                <w:rFonts w:ascii="Times New Roman" w:hAnsi="Times New Roman"/>
                <w:sz w:val="20"/>
                <w:szCs w:val="20"/>
                <w:shd w:val="clear" w:color="auto" w:fill="FFFFFF"/>
              </w:rPr>
              <w:t>Neįgalių asmenų, gaunančių paslaugas bendruomenėje, dalis nuo visų neįgaliųjų,</w:t>
            </w:r>
            <w:r w:rsidR="0091347B">
              <w:rPr>
                <w:rFonts w:ascii="Times New Roman" w:hAnsi="Times New Roman"/>
                <w:sz w:val="20"/>
                <w:szCs w:val="20"/>
                <w:shd w:val="clear" w:color="auto" w:fill="FFFFFF"/>
              </w:rPr>
              <w:t xml:space="preserve"> gaunančių socialines paslaugas</w:t>
            </w:r>
          </w:p>
        </w:tc>
        <w:tc>
          <w:tcPr>
            <w:tcW w:w="850" w:type="dxa"/>
            <w:vMerge w:val="restart"/>
            <w:shd w:val="clear" w:color="auto" w:fill="auto"/>
          </w:tcPr>
          <w:p w:rsidR="00242743" w:rsidRPr="008D3817" w:rsidRDefault="00242743"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eastAsia="AngsanaUPC" w:hAnsi="Times New Roman"/>
                <w:bCs/>
                <w:sz w:val="20"/>
                <w:szCs w:val="20"/>
                <w:lang w:eastAsia="lt-LT"/>
              </w:rPr>
              <w:t>ERPF,</w:t>
            </w:r>
          </w:p>
          <w:p w:rsidR="00242743" w:rsidRPr="008D3817" w:rsidRDefault="00242743"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eastAsia="AngsanaUPC" w:hAnsi="Times New Roman"/>
                <w:bCs/>
                <w:sz w:val="20"/>
                <w:szCs w:val="20"/>
                <w:lang w:eastAsia="lt-LT"/>
              </w:rPr>
              <w:t>ESF</w:t>
            </w:r>
          </w:p>
        </w:tc>
        <w:tc>
          <w:tcPr>
            <w:tcW w:w="1276" w:type="dxa"/>
            <w:vMerge w:val="restart"/>
            <w:shd w:val="clear" w:color="auto" w:fill="auto"/>
          </w:tcPr>
          <w:p w:rsidR="00242743" w:rsidRPr="008D3817" w:rsidRDefault="00242743"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eastAsia="AngsanaUPC" w:hAnsi="Times New Roman"/>
                <w:bCs/>
                <w:sz w:val="20"/>
                <w:szCs w:val="20"/>
                <w:lang w:eastAsia="lt-LT"/>
              </w:rPr>
              <w:t xml:space="preserve">ERPF: </w:t>
            </w:r>
            <w:r w:rsidR="00071690">
              <w:rPr>
                <w:rFonts w:ascii="Times New Roman" w:eastAsia="AngsanaUPC" w:hAnsi="Times New Roman"/>
                <w:bCs/>
                <w:sz w:val="20"/>
                <w:szCs w:val="20"/>
                <w:lang w:eastAsia="lt-LT"/>
              </w:rPr>
              <w:t>357.640.145</w:t>
            </w:r>
          </w:p>
          <w:p w:rsidR="00242743" w:rsidRPr="008D3817" w:rsidRDefault="00242743" w:rsidP="008D3817">
            <w:pPr>
              <w:widowControl w:val="0"/>
              <w:tabs>
                <w:tab w:val="left" w:pos="622"/>
              </w:tabs>
              <w:spacing w:after="0" w:line="240" w:lineRule="auto"/>
              <w:jc w:val="both"/>
              <w:rPr>
                <w:rFonts w:ascii="Times New Roman" w:eastAsia="AngsanaUPC" w:hAnsi="Times New Roman"/>
                <w:bCs/>
                <w:sz w:val="20"/>
                <w:szCs w:val="20"/>
                <w:lang w:eastAsia="lt-LT"/>
              </w:rPr>
            </w:pPr>
          </w:p>
          <w:p w:rsidR="00242743" w:rsidRPr="008D3817" w:rsidRDefault="00242743" w:rsidP="00071690">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eastAsia="AngsanaUPC" w:hAnsi="Times New Roman"/>
                <w:bCs/>
                <w:sz w:val="20"/>
                <w:szCs w:val="20"/>
                <w:lang w:eastAsia="lt-LT"/>
              </w:rPr>
              <w:t xml:space="preserve">ESF: </w:t>
            </w:r>
            <w:r w:rsidR="00071690">
              <w:rPr>
                <w:rFonts w:ascii="Times New Roman" w:eastAsia="AngsanaUPC" w:hAnsi="Times New Roman"/>
                <w:bCs/>
                <w:sz w:val="20"/>
                <w:szCs w:val="20"/>
                <w:lang w:eastAsia="lt-LT"/>
              </w:rPr>
              <w:t>241.054.386</w:t>
            </w:r>
          </w:p>
        </w:tc>
        <w:tc>
          <w:tcPr>
            <w:tcW w:w="1134" w:type="dxa"/>
            <w:vMerge w:val="restart"/>
            <w:shd w:val="clear" w:color="auto" w:fill="auto"/>
          </w:tcPr>
          <w:p w:rsidR="00242743" w:rsidRPr="008D3817" w:rsidRDefault="00242743" w:rsidP="009C0228">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eastAsia="AngsanaUPC" w:hAnsi="Times New Roman"/>
                <w:bCs/>
                <w:sz w:val="20"/>
                <w:szCs w:val="20"/>
                <w:lang w:eastAsia="lt-LT"/>
              </w:rPr>
              <w:t>8,</w:t>
            </w:r>
            <w:r w:rsidR="00071690">
              <w:rPr>
                <w:rFonts w:ascii="Times New Roman" w:eastAsia="AngsanaUPC" w:hAnsi="Times New Roman"/>
                <w:bCs/>
                <w:sz w:val="20"/>
                <w:szCs w:val="20"/>
                <w:lang w:eastAsia="lt-LT"/>
              </w:rPr>
              <w:t>5</w:t>
            </w:r>
            <w:r w:rsidR="009C0228">
              <w:rPr>
                <w:rFonts w:ascii="Times New Roman" w:eastAsia="AngsanaUPC" w:hAnsi="Times New Roman"/>
                <w:bCs/>
                <w:sz w:val="20"/>
                <w:szCs w:val="20"/>
                <w:lang w:eastAsia="lt-LT"/>
              </w:rPr>
              <w:t>1</w:t>
            </w:r>
            <w:r w:rsidRPr="008D3817">
              <w:rPr>
                <w:rFonts w:ascii="Times New Roman" w:eastAsia="AngsanaUPC" w:hAnsi="Times New Roman"/>
                <w:bCs/>
                <w:sz w:val="20"/>
                <w:szCs w:val="20"/>
                <w:lang w:eastAsia="lt-LT"/>
              </w:rPr>
              <w:t xml:space="preserve"> </w:t>
            </w:r>
            <w:r w:rsidRPr="008D3817">
              <w:rPr>
                <w:rFonts w:ascii="Times New Roman" w:eastAsia="AngsanaUPC" w:hAnsi="Times New Roman"/>
                <w:bCs/>
                <w:sz w:val="20"/>
                <w:szCs w:val="20"/>
                <w:lang w:val="en-US" w:eastAsia="lt-LT"/>
              </w:rPr>
              <w:t>%</w:t>
            </w:r>
          </w:p>
        </w:tc>
      </w:tr>
      <w:tr w:rsidR="00242743" w:rsidRPr="0083442A" w:rsidTr="00E60EA1">
        <w:trPr>
          <w:trHeight w:val="438"/>
        </w:trPr>
        <w:tc>
          <w:tcPr>
            <w:tcW w:w="1668"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hAnsi="Times New Roman"/>
                <w:sz w:val="20"/>
                <w:szCs w:val="20"/>
              </w:rPr>
            </w:pPr>
          </w:p>
        </w:tc>
        <w:tc>
          <w:tcPr>
            <w:tcW w:w="1559"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shd w:val="clear" w:color="auto" w:fill="auto"/>
          </w:tcPr>
          <w:p w:rsidR="00242743" w:rsidRPr="008D3817" w:rsidRDefault="00242743" w:rsidP="008D3817">
            <w:pPr>
              <w:widowControl w:val="0"/>
              <w:tabs>
                <w:tab w:val="left" w:pos="1276"/>
              </w:tabs>
              <w:adjustRightInd w:val="0"/>
              <w:spacing w:after="0" w:line="240" w:lineRule="auto"/>
              <w:jc w:val="both"/>
              <w:textAlignment w:val="baseline"/>
              <w:rPr>
                <w:rFonts w:ascii="Times New Roman" w:hAnsi="Times New Roman"/>
                <w:sz w:val="20"/>
                <w:szCs w:val="20"/>
              </w:rPr>
            </w:pPr>
          </w:p>
        </w:tc>
        <w:tc>
          <w:tcPr>
            <w:tcW w:w="2693"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hAnsi="Times New Roman"/>
                <w:sz w:val="20"/>
                <w:szCs w:val="20"/>
              </w:rPr>
            </w:pPr>
          </w:p>
        </w:tc>
        <w:tc>
          <w:tcPr>
            <w:tcW w:w="3119" w:type="dxa"/>
            <w:shd w:val="clear" w:color="auto" w:fill="auto"/>
          </w:tcPr>
          <w:p w:rsidR="00242743" w:rsidRPr="008D3817" w:rsidRDefault="00D25A49" w:rsidP="008D3817">
            <w:pPr>
              <w:spacing w:after="0" w:line="240" w:lineRule="auto"/>
              <w:jc w:val="both"/>
              <w:rPr>
                <w:rFonts w:ascii="Times New Roman" w:hAnsi="Times New Roman"/>
                <w:sz w:val="20"/>
                <w:szCs w:val="20"/>
                <w:shd w:val="clear" w:color="auto" w:fill="FFFFFF"/>
              </w:rPr>
            </w:pPr>
            <w:r w:rsidRPr="008D3817">
              <w:rPr>
                <w:rFonts w:ascii="Times New Roman" w:hAnsi="Times New Roman"/>
                <w:sz w:val="20"/>
                <w:szCs w:val="20"/>
                <w:shd w:val="clear" w:color="auto" w:fill="FFFFFF"/>
              </w:rPr>
              <w:t>Globojamų (rūpinamų) vaikų, gaunančių socialinės globos paslaugas bendruomenėje, dalis</w:t>
            </w:r>
            <w:proofErr w:type="gramStart"/>
            <w:r w:rsidRPr="008D3817">
              <w:rPr>
                <w:rFonts w:ascii="Times New Roman" w:hAnsi="Times New Roman"/>
                <w:sz w:val="20"/>
                <w:szCs w:val="20"/>
                <w:shd w:val="clear" w:color="auto" w:fill="FFFFFF"/>
              </w:rPr>
              <w:t xml:space="preserve">  </w:t>
            </w:r>
            <w:proofErr w:type="gramEnd"/>
            <w:r w:rsidRPr="008D3817">
              <w:rPr>
                <w:rFonts w:ascii="Times New Roman" w:hAnsi="Times New Roman"/>
                <w:sz w:val="20"/>
                <w:szCs w:val="20"/>
                <w:shd w:val="clear" w:color="auto" w:fill="FFFFFF"/>
              </w:rPr>
              <w:t xml:space="preserve">nuo </w:t>
            </w:r>
            <w:r w:rsidR="0091347B">
              <w:rPr>
                <w:rFonts w:ascii="Times New Roman" w:hAnsi="Times New Roman"/>
                <w:sz w:val="20"/>
                <w:szCs w:val="20"/>
                <w:shd w:val="clear" w:color="auto" w:fill="FFFFFF"/>
              </w:rPr>
              <w:t xml:space="preserve">visų globojamų (rūpinamų) </w:t>
            </w:r>
            <w:r w:rsidR="0091347B">
              <w:rPr>
                <w:rFonts w:ascii="Times New Roman" w:hAnsi="Times New Roman"/>
                <w:sz w:val="20"/>
                <w:szCs w:val="20"/>
                <w:shd w:val="clear" w:color="auto" w:fill="FFFFFF"/>
              </w:rPr>
              <w:lastRenderedPageBreak/>
              <w:t>vaikų</w:t>
            </w:r>
          </w:p>
        </w:tc>
        <w:tc>
          <w:tcPr>
            <w:tcW w:w="850"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276"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242743" w:rsidRPr="0083442A" w:rsidTr="00D6431A">
        <w:trPr>
          <w:trHeight w:val="507"/>
        </w:trPr>
        <w:tc>
          <w:tcPr>
            <w:tcW w:w="1668"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hAnsi="Times New Roman"/>
                <w:sz w:val="20"/>
                <w:szCs w:val="20"/>
              </w:rPr>
            </w:pPr>
          </w:p>
        </w:tc>
        <w:tc>
          <w:tcPr>
            <w:tcW w:w="1559"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shd w:val="clear" w:color="auto" w:fill="auto"/>
          </w:tcPr>
          <w:p w:rsidR="00242743" w:rsidRPr="008D3817" w:rsidRDefault="00242743" w:rsidP="008D3817">
            <w:pPr>
              <w:widowControl w:val="0"/>
              <w:tabs>
                <w:tab w:val="left" w:pos="1276"/>
              </w:tabs>
              <w:adjustRightInd w:val="0"/>
              <w:spacing w:after="0" w:line="240" w:lineRule="auto"/>
              <w:jc w:val="both"/>
              <w:textAlignment w:val="baseline"/>
              <w:rPr>
                <w:rFonts w:ascii="Times New Roman" w:hAnsi="Times New Roman"/>
                <w:sz w:val="20"/>
                <w:szCs w:val="20"/>
              </w:rPr>
            </w:pPr>
          </w:p>
        </w:tc>
        <w:tc>
          <w:tcPr>
            <w:tcW w:w="2693" w:type="dxa"/>
            <w:shd w:val="clear" w:color="auto" w:fill="auto"/>
          </w:tcPr>
          <w:p w:rsidR="00242743" w:rsidRPr="008D3817" w:rsidRDefault="00D25A49"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hAnsi="Times New Roman"/>
                <w:sz w:val="20"/>
                <w:szCs w:val="20"/>
              </w:rPr>
              <w:t>Padidinti socialinio būsto prieinamumą pažeidžiamiausioms gyventojų grupėms</w:t>
            </w:r>
          </w:p>
        </w:tc>
        <w:tc>
          <w:tcPr>
            <w:tcW w:w="3119" w:type="dxa"/>
            <w:shd w:val="clear" w:color="auto" w:fill="auto"/>
          </w:tcPr>
          <w:p w:rsidR="00242743" w:rsidRPr="008D3817" w:rsidRDefault="00D25A49" w:rsidP="008D3817">
            <w:pPr>
              <w:widowControl w:val="0"/>
              <w:tabs>
                <w:tab w:val="left" w:pos="622"/>
              </w:tabs>
              <w:spacing w:after="0" w:line="240" w:lineRule="auto"/>
              <w:jc w:val="both"/>
              <w:rPr>
                <w:rFonts w:ascii="Times New Roman" w:eastAsia="AngsanaUPC" w:hAnsi="Times New Roman"/>
                <w:b/>
                <w:bCs/>
                <w:sz w:val="20"/>
                <w:szCs w:val="20"/>
                <w:lang w:eastAsia="lt-LT"/>
              </w:rPr>
            </w:pPr>
            <w:r w:rsidRPr="008D3817">
              <w:rPr>
                <w:rFonts w:ascii="Times New Roman" w:hAnsi="Times New Roman"/>
                <w:sz w:val="20"/>
                <w:szCs w:val="20"/>
              </w:rPr>
              <w:t>Asmenų (šeimų), kuriems išnuomotas savivaldybės socialinis būstas, dalis nuo visų socialinio būsto n</w:t>
            </w:r>
            <w:r w:rsidR="0091347B">
              <w:rPr>
                <w:rFonts w:ascii="Times New Roman" w:hAnsi="Times New Roman"/>
                <w:sz w:val="20"/>
                <w:szCs w:val="20"/>
              </w:rPr>
              <w:t>uomos laukiančių asmenų (šeimų)</w:t>
            </w:r>
          </w:p>
        </w:tc>
        <w:tc>
          <w:tcPr>
            <w:tcW w:w="850"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276"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242743" w:rsidRPr="0083442A" w:rsidTr="009B7C0D">
        <w:trPr>
          <w:trHeight w:val="670"/>
        </w:trPr>
        <w:tc>
          <w:tcPr>
            <w:tcW w:w="1668"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hAnsi="Times New Roman"/>
                <w:sz w:val="20"/>
                <w:szCs w:val="20"/>
              </w:rPr>
            </w:pPr>
          </w:p>
        </w:tc>
        <w:tc>
          <w:tcPr>
            <w:tcW w:w="1559"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shd w:val="clear" w:color="auto" w:fill="auto"/>
          </w:tcPr>
          <w:p w:rsidR="00242743" w:rsidRPr="008D3817" w:rsidRDefault="00242743" w:rsidP="008D3817">
            <w:pPr>
              <w:widowControl w:val="0"/>
              <w:tabs>
                <w:tab w:val="left" w:pos="1276"/>
              </w:tabs>
              <w:adjustRightInd w:val="0"/>
              <w:spacing w:after="0" w:line="240" w:lineRule="auto"/>
              <w:jc w:val="both"/>
              <w:textAlignment w:val="baseline"/>
              <w:rPr>
                <w:rFonts w:ascii="Times New Roman" w:hAnsi="Times New Roman"/>
                <w:sz w:val="20"/>
                <w:szCs w:val="20"/>
              </w:rPr>
            </w:pPr>
          </w:p>
        </w:tc>
        <w:tc>
          <w:tcPr>
            <w:tcW w:w="2693" w:type="dxa"/>
            <w:vMerge w:val="restart"/>
            <w:shd w:val="clear" w:color="auto" w:fill="auto"/>
          </w:tcPr>
          <w:p w:rsidR="00242743" w:rsidRPr="008D3817" w:rsidRDefault="00D25A49"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hAnsi="Times New Roman"/>
                <w:sz w:val="20"/>
                <w:szCs w:val="20"/>
              </w:rPr>
              <w:t>Pagerinti sveikatos priežiūros kokybę ir prieinamumą tikslinėms gyventojų grupėms bei sumažinti sveikatos netolygumus</w:t>
            </w:r>
          </w:p>
        </w:tc>
        <w:tc>
          <w:tcPr>
            <w:tcW w:w="3119" w:type="dxa"/>
            <w:shd w:val="clear" w:color="auto" w:fill="auto"/>
            <w:vAlign w:val="center"/>
          </w:tcPr>
          <w:p w:rsidR="00242743" w:rsidRPr="008D3817" w:rsidRDefault="00D25A49"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eastAsia="AngsanaUPC" w:hAnsi="Times New Roman"/>
                <w:bCs/>
                <w:sz w:val="20"/>
                <w:szCs w:val="20"/>
                <w:lang w:eastAsia="lt-LT"/>
              </w:rPr>
              <w:t>Standartizuoto 0</w:t>
            </w:r>
            <w:proofErr w:type="gramStart"/>
            <w:r w:rsidRPr="008D3817">
              <w:rPr>
                <w:rFonts w:ascii="Times New Roman" w:eastAsia="AngsanaUPC" w:hAnsi="Times New Roman"/>
                <w:bCs/>
                <w:sz w:val="20"/>
                <w:szCs w:val="20"/>
                <w:lang w:eastAsia="lt-LT"/>
              </w:rPr>
              <w:t>-</w:t>
            </w:r>
            <w:proofErr w:type="gramEnd"/>
            <w:r w:rsidRPr="008D3817">
              <w:rPr>
                <w:rFonts w:ascii="Times New Roman" w:eastAsia="AngsanaUPC" w:hAnsi="Times New Roman"/>
                <w:bCs/>
                <w:sz w:val="20"/>
                <w:szCs w:val="20"/>
                <w:lang w:eastAsia="lt-LT"/>
              </w:rPr>
              <w:t>64 m. amžiaus gyventojų mirtingumo sumažėjimas tikslinėse teritorijose nuo kraujotakos sistemos ligų</w:t>
            </w:r>
          </w:p>
        </w:tc>
        <w:tc>
          <w:tcPr>
            <w:tcW w:w="850"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276"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242743" w:rsidRPr="0083442A" w:rsidTr="009B7C0D">
        <w:trPr>
          <w:trHeight w:val="956"/>
        </w:trPr>
        <w:tc>
          <w:tcPr>
            <w:tcW w:w="1668"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hAnsi="Times New Roman"/>
                <w:sz w:val="20"/>
                <w:szCs w:val="20"/>
              </w:rPr>
            </w:pPr>
          </w:p>
        </w:tc>
        <w:tc>
          <w:tcPr>
            <w:tcW w:w="1559"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shd w:val="clear" w:color="auto" w:fill="auto"/>
          </w:tcPr>
          <w:p w:rsidR="00242743" w:rsidRPr="008D3817" w:rsidRDefault="00242743" w:rsidP="008D3817">
            <w:pPr>
              <w:widowControl w:val="0"/>
              <w:tabs>
                <w:tab w:val="left" w:pos="1276"/>
              </w:tabs>
              <w:adjustRightInd w:val="0"/>
              <w:spacing w:after="0" w:line="240" w:lineRule="auto"/>
              <w:jc w:val="both"/>
              <w:textAlignment w:val="baseline"/>
              <w:rPr>
                <w:rFonts w:ascii="Times New Roman" w:hAnsi="Times New Roman"/>
                <w:sz w:val="20"/>
                <w:szCs w:val="20"/>
              </w:rPr>
            </w:pPr>
          </w:p>
        </w:tc>
        <w:tc>
          <w:tcPr>
            <w:tcW w:w="2693"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hAnsi="Times New Roman"/>
                <w:sz w:val="20"/>
                <w:szCs w:val="20"/>
              </w:rPr>
            </w:pPr>
          </w:p>
        </w:tc>
        <w:tc>
          <w:tcPr>
            <w:tcW w:w="3119" w:type="dxa"/>
            <w:shd w:val="clear" w:color="auto" w:fill="auto"/>
            <w:vAlign w:val="center"/>
          </w:tcPr>
          <w:p w:rsidR="00242743" w:rsidRPr="008D3817" w:rsidDel="003B5BBA" w:rsidRDefault="00D25A49"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eastAsia="AngsanaUPC" w:hAnsi="Times New Roman"/>
                <w:bCs/>
                <w:sz w:val="20"/>
                <w:szCs w:val="20"/>
                <w:lang w:eastAsia="lt-LT"/>
              </w:rPr>
              <w:t>Standartizuoto 0</w:t>
            </w:r>
            <w:proofErr w:type="gramStart"/>
            <w:r w:rsidRPr="008D3817">
              <w:rPr>
                <w:rFonts w:ascii="Times New Roman" w:eastAsia="AngsanaUPC" w:hAnsi="Times New Roman"/>
                <w:bCs/>
                <w:sz w:val="20"/>
                <w:szCs w:val="20"/>
                <w:lang w:eastAsia="lt-LT"/>
              </w:rPr>
              <w:t>-</w:t>
            </w:r>
            <w:proofErr w:type="gramEnd"/>
            <w:r w:rsidRPr="008D3817">
              <w:rPr>
                <w:rFonts w:ascii="Times New Roman" w:eastAsia="AngsanaUPC" w:hAnsi="Times New Roman"/>
                <w:bCs/>
                <w:sz w:val="20"/>
                <w:szCs w:val="20"/>
                <w:lang w:eastAsia="lt-LT"/>
              </w:rPr>
              <w:t>64 m. amžiaus gyventojų mirtingumo sumažėjimas tikslinėse teritorijose nuo cerebrovaskulinių ligų</w:t>
            </w:r>
          </w:p>
        </w:tc>
        <w:tc>
          <w:tcPr>
            <w:tcW w:w="850"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276"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242743" w:rsidRPr="0083442A" w:rsidTr="009D323D">
        <w:trPr>
          <w:trHeight w:val="230"/>
        </w:trPr>
        <w:tc>
          <w:tcPr>
            <w:tcW w:w="1668"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hAnsi="Times New Roman"/>
                <w:sz w:val="20"/>
                <w:szCs w:val="20"/>
              </w:rPr>
            </w:pPr>
          </w:p>
        </w:tc>
        <w:tc>
          <w:tcPr>
            <w:tcW w:w="1559"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shd w:val="clear" w:color="auto" w:fill="auto"/>
          </w:tcPr>
          <w:p w:rsidR="00242743" w:rsidRPr="008D3817" w:rsidRDefault="00242743" w:rsidP="008D3817">
            <w:pPr>
              <w:widowControl w:val="0"/>
              <w:tabs>
                <w:tab w:val="left" w:pos="1276"/>
              </w:tabs>
              <w:adjustRightInd w:val="0"/>
              <w:spacing w:after="0" w:line="240" w:lineRule="auto"/>
              <w:jc w:val="both"/>
              <w:textAlignment w:val="baseline"/>
              <w:rPr>
                <w:rFonts w:ascii="Times New Roman" w:hAnsi="Times New Roman"/>
                <w:sz w:val="20"/>
                <w:szCs w:val="20"/>
              </w:rPr>
            </w:pPr>
          </w:p>
        </w:tc>
        <w:tc>
          <w:tcPr>
            <w:tcW w:w="2693"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hAnsi="Times New Roman"/>
                <w:sz w:val="20"/>
                <w:szCs w:val="20"/>
              </w:rPr>
            </w:pPr>
          </w:p>
        </w:tc>
        <w:tc>
          <w:tcPr>
            <w:tcW w:w="3119" w:type="dxa"/>
            <w:shd w:val="clear" w:color="auto" w:fill="auto"/>
          </w:tcPr>
          <w:p w:rsidR="00242743" w:rsidRPr="008D3817" w:rsidRDefault="00D25A49" w:rsidP="008D3817">
            <w:pPr>
              <w:spacing w:after="0" w:line="240" w:lineRule="auto"/>
              <w:jc w:val="both"/>
              <w:rPr>
                <w:rFonts w:ascii="Times New Roman" w:hAnsi="Times New Roman"/>
                <w:sz w:val="20"/>
                <w:szCs w:val="20"/>
              </w:rPr>
            </w:pPr>
            <w:r w:rsidRPr="008D3817">
              <w:rPr>
                <w:rFonts w:ascii="Times New Roman" w:hAnsi="Times New Roman"/>
                <w:sz w:val="20"/>
                <w:szCs w:val="20"/>
              </w:rPr>
              <w:t>Standartizuoto 0</w:t>
            </w:r>
            <w:proofErr w:type="gramStart"/>
            <w:r w:rsidRPr="008D3817">
              <w:rPr>
                <w:rFonts w:ascii="Times New Roman" w:hAnsi="Times New Roman"/>
                <w:sz w:val="20"/>
                <w:szCs w:val="20"/>
              </w:rPr>
              <w:t>-</w:t>
            </w:r>
            <w:proofErr w:type="gramEnd"/>
            <w:r w:rsidRPr="008D3817">
              <w:rPr>
                <w:rFonts w:ascii="Times New Roman" w:hAnsi="Times New Roman"/>
                <w:sz w:val="20"/>
                <w:szCs w:val="20"/>
              </w:rPr>
              <w:t>64 m. amžiaus gyventojų mirtingumo sumažėjimas tikslinėse teritorijose nuo piktybinių navikų</w:t>
            </w:r>
          </w:p>
        </w:tc>
        <w:tc>
          <w:tcPr>
            <w:tcW w:w="850"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276"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242743" w:rsidRPr="0083442A" w:rsidTr="009D323D">
        <w:trPr>
          <w:trHeight w:val="276"/>
        </w:trPr>
        <w:tc>
          <w:tcPr>
            <w:tcW w:w="1668"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hAnsi="Times New Roman"/>
                <w:sz w:val="20"/>
                <w:szCs w:val="20"/>
              </w:rPr>
            </w:pPr>
          </w:p>
        </w:tc>
        <w:tc>
          <w:tcPr>
            <w:tcW w:w="1559"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shd w:val="clear" w:color="auto" w:fill="auto"/>
          </w:tcPr>
          <w:p w:rsidR="00242743" w:rsidRPr="008D3817" w:rsidRDefault="00242743" w:rsidP="008D3817">
            <w:pPr>
              <w:widowControl w:val="0"/>
              <w:tabs>
                <w:tab w:val="left" w:pos="1276"/>
              </w:tabs>
              <w:adjustRightInd w:val="0"/>
              <w:spacing w:after="0" w:line="240" w:lineRule="auto"/>
              <w:jc w:val="both"/>
              <w:textAlignment w:val="baseline"/>
              <w:rPr>
                <w:rFonts w:ascii="Times New Roman" w:hAnsi="Times New Roman"/>
                <w:sz w:val="20"/>
                <w:szCs w:val="20"/>
              </w:rPr>
            </w:pPr>
          </w:p>
        </w:tc>
        <w:tc>
          <w:tcPr>
            <w:tcW w:w="2693"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hAnsi="Times New Roman"/>
                <w:sz w:val="20"/>
                <w:szCs w:val="20"/>
              </w:rPr>
            </w:pPr>
          </w:p>
        </w:tc>
        <w:tc>
          <w:tcPr>
            <w:tcW w:w="3119" w:type="dxa"/>
            <w:shd w:val="clear" w:color="auto" w:fill="auto"/>
          </w:tcPr>
          <w:p w:rsidR="00242743" w:rsidRPr="008D3817" w:rsidRDefault="00D25A49" w:rsidP="008D3817">
            <w:pPr>
              <w:spacing w:after="0" w:line="240" w:lineRule="auto"/>
              <w:jc w:val="both"/>
              <w:rPr>
                <w:rFonts w:ascii="Times New Roman" w:hAnsi="Times New Roman"/>
                <w:sz w:val="20"/>
                <w:szCs w:val="20"/>
              </w:rPr>
            </w:pPr>
            <w:r w:rsidRPr="008D3817">
              <w:rPr>
                <w:rFonts w:ascii="Times New Roman" w:hAnsi="Times New Roman"/>
                <w:sz w:val="20"/>
                <w:szCs w:val="20"/>
              </w:rPr>
              <w:t>Standartizuoto 0</w:t>
            </w:r>
            <w:proofErr w:type="gramStart"/>
            <w:r w:rsidRPr="008D3817">
              <w:rPr>
                <w:rFonts w:ascii="Times New Roman" w:hAnsi="Times New Roman"/>
                <w:sz w:val="20"/>
                <w:szCs w:val="20"/>
              </w:rPr>
              <w:t>-</w:t>
            </w:r>
            <w:proofErr w:type="gramEnd"/>
            <w:r w:rsidRPr="008D3817">
              <w:rPr>
                <w:rFonts w:ascii="Times New Roman" w:hAnsi="Times New Roman"/>
                <w:sz w:val="20"/>
                <w:szCs w:val="20"/>
              </w:rPr>
              <w:t>64 m. amžiaus gyventojų mirtingumo sumažėjimas tikslinėse teritorijose dėl išorinių mirties priežasčių</w:t>
            </w:r>
          </w:p>
        </w:tc>
        <w:tc>
          <w:tcPr>
            <w:tcW w:w="850"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276"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242743" w:rsidRPr="0083442A" w:rsidTr="009B7C0D">
        <w:trPr>
          <w:trHeight w:val="173"/>
        </w:trPr>
        <w:tc>
          <w:tcPr>
            <w:tcW w:w="1668"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hAnsi="Times New Roman"/>
                <w:sz w:val="20"/>
                <w:szCs w:val="20"/>
              </w:rPr>
            </w:pPr>
          </w:p>
        </w:tc>
        <w:tc>
          <w:tcPr>
            <w:tcW w:w="1559"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shd w:val="clear" w:color="auto" w:fill="auto"/>
          </w:tcPr>
          <w:p w:rsidR="00242743" w:rsidRPr="008D3817" w:rsidRDefault="00242743" w:rsidP="008D3817">
            <w:pPr>
              <w:widowControl w:val="0"/>
              <w:tabs>
                <w:tab w:val="left" w:pos="1276"/>
              </w:tabs>
              <w:adjustRightInd w:val="0"/>
              <w:spacing w:after="0" w:line="240" w:lineRule="auto"/>
              <w:jc w:val="both"/>
              <w:textAlignment w:val="baseline"/>
              <w:rPr>
                <w:rFonts w:ascii="Times New Roman" w:hAnsi="Times New Roman"/>
                <w:sz w:val="20"/>
                <w:szCs w:val="20"/>
              </w:rPr>
            </w:pPr>
          </w:p>
        </w:tc>
        <w:tc>
          <w:tcPr>
            <w:tcW w:w="2693"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hAnsi="Times New Roman"/>
                <w:sz w:val="20"/>
                <w:szCs w:val="20"/>
              </w:rPr>
            </w:pPr>
          </w:p>
        </w:tc>
        <w:tc>
          <w:tcPr>
            <w:tcW w:w="3119" w:type="dxa"/>
            <w:shd w:val="clear" w:color="auto" w:fill="auto"/>
            <w:vAlign w:val="center"/>
          </w:tcPr>
          <w:p w:rsidR="00242743" w:rsidRPr="008D3817" w:rsidRDefault="00D25A49"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eastAsia="AngsanaUPC" w:hAnsi="Times New Roman"/>
                <w:bCs/>
                <w:sz w:val="20"/>
                <w:szCs w:val="20"/>
                <w:lang w:eastAsia="lt-LT"/>
              </w:rPr>
              <w:t>Apsilankymų pas gydytojus skai</w:t>
            </w:r>
            <w:r w:rsidR="002D1EE7">
              <w:rPr>
                <w:rFonts w:ascii="Times New Roman" w:eastAsia="AngsanaUPC" w:hAnsi="Times New Roman"/>
                <w:bCs/>
                <w:sz w:val="20"/>
                <w:szCs w:val="20"/>
                <w:lang w:eastAsia="lt-LT"/>
              </w:rPr>
              <w:t>čiaus,</w:t>
            </w:r>
            <w:r w:rsidRPr="008D3817">
              <w:rPr>
                <w:rFonts w:ascii="Times New Roman" w:eastAsia="AngsanaUPC" w:hAnsi="Times New Roman"/>
                <w:bCs/>
                <w:sz w:val="20"/>
                <w:szCs w:val="20"/>
                <w:lang w:eastAsia="lt-LT"/>
              </w:rPr>
              <w:t xml:space="preserve"> tenkančio vienam gyventojui, skirtumas tarp miestų ir rajonų savivaldybių gyventojų</w:t>
            </w:r>
          </w:p>
        </w:tc>
        <w:tc>
          <w:tcPr>
            <w:tcW w:w="850"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276"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935CD0" w:rsidRPr="0083442A" w:rsidTr="00FF08C5">
        <w:tc>
          <w:tcPr>
            <w:tcW w:w="1668" w:type="dxa"/>
            <w:vMerge/>
            <w:shd w:val="clear" w:color="auto" w:fill="auto"/>
          </w:tcPr>
          <w:p w:rsidR="00935CD0" w:rsidRPr="008D3817" w:rsidRDefault="00935CD0"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559" w:type="dxa"/>
            <w:vMerge/>
            <w:shd w:val="clear" w:color="auto" w:fill="auto"/>
          </w:tcPr>
          <w:p w:rsidR="00935CD0" w:rsidRPr="008D3817" w:rsidRDefault="00935CD0"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val="restart"/>
            <w:shd w:val="clear" w:color="auto" w:fill="auto"/>
          </w:tcPr>
          <w:p w:rsidR="00935CD0" w:rsidRPr="008D3817" w:rsidRDefault="00935CD0" w:rsidP="008D3817">
            <w:pPr>
              <w:widowControl w:val="0"/>
              <w:tabs>
                <w:tab w:val="left" w:pos="1276"/>
              </w:tabs>
              <w:adjustRightInd w:val="0"/>
              <w:spacing w:after="0" w:line="240" w:lineRule="auto"/>
              <w:jc w:val="both"/>
              <w:textAlignment w:val="baseline"/>
              <w:rPr>
                <w:rFonts w:ascii="Times New Roman" w:hAnsi="Times New Roman"/>
                <w:sz w:val="20"/>
                <w:szCs w:val="20"/>
              </w:rPr>
            </w:pPr>
            <w:r w:rsidRPr="008D3817">
              <w:rPr>
                <w:rFonts w:ascii="Times New Roman" w:eastAsia="Times New Roman" w:hAnsi="Times New Roman"/>
                <w:sz w:val="20"/>
                <w:szCs w:val="20"/>
                <w:lang w:eastAsia="lt-LT"/>
              </w:rPr>
              <w:t>Fizinio, ekonominio ir socialinio nepasiturinčių miestų ir kaimų bendruomenių bei vietovių atnaujinimo rėmimas</w:t>
            </w:r>
          </w:p>
        </w:tc>
        <w:tc>
          <w:tcPr>
            <w:tcW w:w="2693" w:type="dxa"/>
            <w:vMerge w:val="restart"/>
            <w:shd w:val="clear" w:color="auto" w:fill="auto"/>
          </w:tcPr>
          <w:p w:rsidR="00935CD0" w:rsidRPr="008D3817" w:rsidRDefault="00935CD0"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hAnsi="Times New Roman"/>
                <w:sz w:val="20"/>
                <w:szCs w:val="20"/>
              </w:rPr>
              <w:t>Sumažinti geografinių sąlygų ir demografinių procesų sukeliamus gyvenimo kokybės netolygumus</w:t>
            </w:r>
          </w:p>
        </w:tc>
        <w:tc>
          <w:tcPr>
            <w:tcW w:w="3119" w:type="dxa"/>
            <w:shd w:val="clear" w:color="auto" w:fill="auto"/>
          </w:tcPr>
          <w:p w:rsidR="00935CD0" w:rsidRPr="008D3817" w:rsidRDefault="003409A1" w:rsidP="008D3817">
            <w:pPr>
              <w:widowControl w:val="0"/>
              <w:tabs>
                <w:tab w:val="left" w:pos="622"/>
              </w:tabs>
              <w:spacing w:after="0" w:line="240" w:lineRule="auto"/>
              <w:jc w:val="both"/>
              <w:rPr>
                <w:rFonts w:ascii="Times New Roman" w:eastAsia="AngsanaUPC" w:hAnsi="Times New Roman"/>
                <w:bCs/>
                <w:sz w:val="20"/>
                <w:szCs w:val="20"/>
                <w:lang w:eastAsia="lt-LT"/>
              </w:rPr>
            </w:pPr>
            <w:r w:rsidRPr="003409A1">
              <w:rPr>
                <w:rFonts w:ascii="Times New Roman" w:eastAsia="AngsanaUPC" w:hAnsi="Times New Roman"/>
                <w:bCs/>
                <w:sz w:val="20"/>
                <w:szCs w:val="18"/>
                <w:lang w:eastAsia="lt-LT"/>
              </w:rPr>
              <w:t>Užimtųjų dalis tikslinėse teritorijose</w:t>
            </w:r>
            <w:r w:rsidRPr="003409A1" w:rsidDel="0064127D">
              <w:rPr>
                <w:rFonts w:ascii="Times New Roman" w:eastAsia="AngsanaUPC" w:hAnsi="Times New Roman"/>
                <w:bCs/>
                <w:sz w:val="20"/>
                <w:szCs w:val="20"/>
                <w:lang w:eastAsia="lt-LT"/>
              </w:rPr>
              <w:t xml:space="preserve"> </w:t>
            </w:r>
          </w:p>
        </w:tc>
        <w:tc>
          <w:tcPr>
            <w:tcW w:w="850" w:type="dxa"/>
            <w:vMerge/>
            <w:shd w:val="clear" w:color="auto" w:fill="auto"/>
          </w:tcPr>
          <w:p w:rsidR="00935CD0" w:rsidRPr="008D3817" w:rsidRDefault="00935CD0"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276" w:type="dxa"/>
            <w:vMerge/>
            <w:shd w:val="clear" w:color="auto" w:fill="auto"/>
          </w:tcPr>
          <w:p w:rsidR="00935CD0" w:rsidRPr="008D3817" w:rsidRDefault="00935CD0"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shd w:val="clear" w:color="auto" w:fill="auto"/>
          </w:tcPr>
          <w:p w:rsidR="00935CD0" w:rsidRPr="008D3817" w:rsidRDefault="00935CD0"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935CD0" w:rsidRPr="0083442A" w:rsidTr="00E60EA1">
        <w:trPr>
          <w:trHeight w:val="300"/>
        </w:trPr>
        <w:tc>
          <w:tcPr>
            <w:tcW w:w="1668" w:type="dxa"/>
            <w:vMerge/>
            <w:shd w:val="clear" w:color="auto" w:fill="auto"/>
          </w:tcPr>
          <w:p w:rsidR="00935CD0" w:rsidRPr="008D3817" w:rsidRDefault="00935CD0"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559" w:type="dxa"/>
            <w:vMerge/>
            <w:shd w:val="clear" w:color="auto" w:fill="auto"/>
          </w:tcPr>
          <w:p w:rsidR="00935CD0" w:rsidRPr="008D3817" w:rsidRDefault="00935CD0"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shd w:val="clear" w:color="auto" w:fill="auto"/>
          </w:tcPr>
          <w:p w:rsidR="00935CD0" w:rsidRPr="008D3817" w:rsidRDefault="00935CD0" w:rsidP="008D3817">
            <w:pPr>
              <w:widowControl w:val="0"/>
              <w:tabs>
                <w:tab w:val="left" w:pos="1276"/>
              </w:tabs>
              <w:adjustRightInd w:val="0"/>
              <w:spacing w:after="0" w:line="240" w:lineRule="auto"/>
              <w:jc w:val="both"/>
              <w:textAlignment w:val="baseline"/>
              <w:rPr>
                <w:rFonts w:ascii="Times New Roman" w:eastAsia="Times New Roman" w:hAnsi="Times New Roman"/>
                <w:sz w:val="20"/>
                <w:szCs w:val="20"/>
                <w:lang w:eastAsia="lt-LT"/>
              </w:rPr>
            </w:pPr>
          </w:p>
        </w:tc>
        <w:tc>
          <w:tcPr>
            <w:tcW w:w="2693" w:type="dxa"/>
            <w:vMerge/>
            <w:shd w:val="clear" w:color="auto" w:fill="auto"/>
          </w:tcPr>
          <w:p w:rsidR="00935CD0" w:rsidRPr="008D3817" w:rsidRDefault="00935CD0" w:rsidP="008D3817">
            <w:pPr>
              <w:widowControl w:val="0"/>
              <w:tabs>
                <w:tab w:val="left" w:pos="622"/>
              </w:tabs>
              <w:spacing w:after="0" w:line="240" w:lineRule="auto"/>
              <w:jc w:val="both"/>
              <w:rPr>
                <w:rFonts w:ascii="Times New Roman" w:hAnsi="Times New Roman"/>
                <w:sz w:val="20"/>
                <w:szCs w:val="20"/>
              </w:rPr>
            </w:pPr>
          </w:p>
        </w:tc>
        <w:tc>
          <w:tcPr>
            <w:tcW w:w="3119" w:type="dxa"/>
            <w:shd w:val="clear" w:color="auto" w:fill="auto"/>
          </w:tcPr>
          <w:p w:rsidR="00935CD0" w:rsidRPr="008D3817" w:rsidRDefault="00935CD0"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eastAsia="AngsanaUPC" w:hAnsi="Times New Roman"/>
                <w:bCs/>
                <w:sz w:val="20"/>
                <w:szCs w:val="20"/>
                <w:lang w:eastAsia="lt-LT"/>
              </w:rPr>
              <w:t>Pritrauktos papildomos materialinės inves</w:t>
            </w:r>
            <w:r w:rsidR="0091347B">
              <w:rPr>
                <w:rFonts w:ascii="Times New Roman" w:eastAsia="AngsanaUPC" w:hAnsi="Times New Roman"/>
                <w:bCs/>
                <w:sz w:val="20"/>
                <w:szCs w:val="20"/>
                <w:lang w:eastAsia="lt-LT"/>
              </w:rPr>
              <w:t>ticijos į tikslines teritorijas</w:t>
            </w:r>
          </w:p>
        </w:tc>
        <w:tc>
          <w:tcPr>
            <w:tcW w:w="850" w:type="dxa"/>
            <w:vMerge/>
            <w:shd w:val="clear" w:color="auto" w:fill="auto"/>
          </w:tcPr>
          <w:p w:rsidR="00935CD0" w:rsidRPr="008D3817" w:rsidRDefault="00935CD0"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276" w:type="dxa"/>
            <w:vMerge/>
            <w:shd w:val="clear" w:color="auto" w:fill="auto"/>
          </w:tcPr>
          <w:p w:rsidR="00935CD0" w:rsidRPr="008D3817" w:rsidRDefault="00935CD0"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shd w:val="clear" w:color="auto" w:fill="auto"/>
          </w:tcPr>
          <w:p w:rsidR="00935CD0" w:rsidRPr="008D3817" w:rsidRDefault="00935CD0"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242743" w:rsidRPr="0083442A" w:rsidTr="009B7C0D">
        <w:trPr>
          <w:trHeight w:val="1215"/>
        </w:trPr>
        <w:tc>
          <w:tcPr>
            <w:tcW w:w="1668"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559"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val="restart"/>
            <w:shd w:val="clear" w:color="auto" w:fill="auto"/>
          </w:tcPr>
          <w:p w:rsidR="00242743" w:rsidRPr="008D3817" w:rsidRDefault="00242743" w:rsidP="008D3817">
            <w:pPr>
              <w:widowControl w:val="0"/>
              <w:tabs>
                <w:tab w:val="left" w:pos="1276"/>
              </w:tabs>
              <w:adjustRightInd w:val="0"/>
              <w:spacing w:after="0" w:line="240" w:lineRule="auto"/>
              <w:jc w:val="both"/>
              <w:textAlignment w:val="baseline"/>
              <w:rPr>
                <w:rFonts w:ascii="Times New Roman" w:hAnsi="Times New Roman"/>
                <w:sz w:val="20"/>
                <w:szCs w:val="20"/>
              </w:rPr>
            </w:pPr>
            <w:r w:rsidRPr="008D3817">
              <w:rPr>
                <w:rFonts w:ascii="Times New Roman" w:hAnsi="Times New Roman"/>
                <w:sz w:val="20"/>
                <w:szCs w:val="20"/>
              </w:rPr>
              <w:t>Aktyvi įtrauktis, visų pirma</w:t>
            </w:r>
            <w:r w:rsidR="002D1EE7">
              <w:rPr>
                <w:rFonts w:ascii="Times New Roman" w:hAnsi="Times New Roman"/>
                <w:sz w:val="20"/>
                <w:szCs w:val="20"/>
              </w:rPr>
              <w:t>,</w:t>
            </w:r>
            <w:r w:rsidRPr="008D3817">
              <w:rPr>
                <w:rFonts w:ascii="Times New Roman" w:hAnsi="Times New Roman"/>
                <w:sz w:val="20"/>
                <w:szCs w:val="20"/>
              </w:rPr>
              <w:t xml:space="preserve"> siekiant skatinti lygias galimybes, dalyvavimą darbo rinkoje ir </w:t>
            </w:r>
            <w:r w:rsidR="00305253" w:rsidRPr="008D3817">
              <w:rPr>
                <w:rFonts w:ascii="Times New Roman" w:hAnsi="Times New Roman"/>
                <w:sz w:val="20"/>
                <w:szCs w:val="20"/>
              </w:rPr>
              <w:t>geresnes įsidarbinimo galimybes</w:t>
            </w:r>
          </w:p>
        </w:tc>
        <w:tc>
          <w:tcPr>
            <w:tcW w:w="2693" w:type="dxa"/>
            <w:shd w:val="clear" w:color="auto" w:fill="auto"/>
          </w:tcPr>
          <w:p w:rsidR="00242743" w:rsidRPr="008D3817" w:rsidRDefault="00935CD0"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hAnsi="Times New Roman"/>
                <w:bCs/>
                <w:sz w:val="20"/>
                <w:szCs w:val="20"/>
              </w:rPr>
              <w:t>Padidinti labiausiai nutolusių nuo darbo rinkos asmenų integraciją į darbo rinką</w:t>
            </w:r>
          </w:p>
        </w:tc>
        <w:tc>
          <w:tcPr>
            <w:tcW w:w="3119" w:type="dxa"/>
            <w:shd w:val="clear" w:color="auto" w:fill="auto"/>
          </w:tcPr>
          <w:p w:rsidR="00242743" w:rsidRPr="008D3817" w:rsidRDefault="00935CD0" w:rsidP="00D32ED8">
            <w:pPr>
              <w:spacing w:after="0" w:line="240" w:lineRule="auto"/>
              <w:jc w:val="both"/>
              <w:rPr>
                <w:rFonts w:ascii="Times New Roman" w:eastAsia="Times New Roman" w:hAnsi="Times New Roman"/>
                <w:bCs/>
                <w:sz w:val="20"/>
                <w:szCs w:val="20"/>
              </w:rPr>
            </w:pPr>
            <w:r w:rsidRPr="008D3817">
              <w:rPr>
                <w:rFonts w:ascii="Times New Roman" w:eastAsia="Times New Roman" w:hAnsi="Times New Roman"/>
                <w:bCs/>
                <w:sz w:val="20"/>
                <w:szCs w:val="20"/>
              </w:rPr>
              <w:t>Socialiai pažeidžiami asmenys, kurie po dalyvavimo socialinei integracijai skirtose ESF veiklose pradėjo ieškoti darbo, mokytis</w:t>
            </w:r>
            <w:r w:rsidR="00D32ED8">
              <w:rPr>
                <w:rFonts w:ascii="Times New Roman" w:eastAsia="Times New Roman" w:hAnsi="Times New Roman"/>
                <w:bCs/>
                <w:sz w:val="20"/>
                <w:szCs w:val="20"/>
              </w:rPr>
              <w:t xml:space="preserve"> arba</w:t>
            </w:r>
            <w:r w:rsidR="00A51B0A">
              <w:rPr>
                <w:rFonts w:ascii="Times New Roman" w:eastAsia="Times New Roman" w:hAnsi="Times New Roman"/>
                <w:bCs/>
                <w:sz w:val="20"/>
                <w:szCs w:val="20"/>
              </w:rPr>
              <w:t xml:space="preserve"> </w:t>
            </w:r>
            <w:r w:rsidRPr="008D3817">
              <w:rPr>
                <w:rFonts w:ascii="Times New Roman" w:eastAsia="Times New Roman" w:hAnsi="Times New Roman"/>
                <w:bCs/>
                <w:sz w:val="20"/>
                <w:szCs w:val="20"/>
              </w:rPr>
              <w:t>dirbt</w:t>
            </w:r>
            <w:r w:rsidR="0091347B">
              <w:rPr>
                <w:rFonts w:ascii="Times New Roman" w:eastAsia="Times New Roman" w:hAnsi="Times New Roman"/>
                <w:bCs/>
                <w:sz w:val="20"/>
                <w:szCs w:val="20"/>
              </w:rPr>
              <w:t>i, įskaitant savarankišką darbą</w:t>
            </w:r>
          </w:p>
        </w:tc>
        <w:tc>
          <w:tcPr>
            <w:tcW w:w="850"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276"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242743" w:rsidRPr="0083442A" w:rsidTr="009B7C0D">
        <w:trPr>
          <w:trHeight w:val="400"/>
        </w:trPr>
        <w:tc>
          <w:tcPr>
            <w:tcW w:w="1668"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559"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shd w:val="clear" w:color="auto" w:fill="auto"/>
          </w:tcPr>
          <w:p w:rsidR="00242743" w:rsidRPr="008D3817" w:rsidRDefault="00242743" w:rsidP="008D3817">
            <w:pPr>
              <w:widowControl w:val="0"/>
              <w:tabs>
                <w:tab w:val="left" w:pos="1276"/>
              </w:tabs>
              <w:adjustRightInd w:val="0"/>
              <w:spacing w:after="0" w:line="240" w:lineRule="auto"/>
              <w:jc w:val="both"/>
              <w:textAlignment w:val="baseline"/>
              <w:rPr>
                <w:rFonts w:ascii="Times New Roman" w:hAnsi="Times New Roman"/>
                <w:sz w:val="20"/>
                <w:szCs w:val="20"/>
              </w:rPr>
            </w:pPr>
          </w:p>
        </w:tc>
        <w:tc>
          <w:tcPr>
            <w:tcW w:w="2693" w:type="dxa"/>
            <w:vMerge w:val="restart"/>
            <w:shd w:val="clear" w:color="auto" w:fill="auto"/>
          </w:tcPr>
          <w:p w:rsidR="00242743" w:rsidRPr="008D3817" w:rsidRDefault="00935CD0" w:rsidP="00034351">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hAnsi="Times New Roman"/>
                <w:sz w:val="20"/>
                <w:szCs w:val="20"/>
              </w:rPr>
              <w:t xml:space="preserve">Padidinti vyresnio darbingo amžiaus asmenų dalyvavimą darbo rinkoje ir </w:t>
            </w:r>
            <w:r w:rsidR="00034351">
              <w:rPr>
                <w:rFonts w:ascii="Times New Roman" w:hAnsi="Times New Roman"/>
                <w:sz w:val="20"/>
                <w:szCs w:val="20"/>
              </w:rPr>
              <w:t>savanoriškoje</w:t>
            </w:r>
            <w:r w:rsidR="00034351" w:rsidRPr="008D3817">
              <w:rPr>
                <w:rFonts w:ascii="Times New Roman" w:hAnsi="Times New Roman"/>
                <w:sz w:val="20"/>
                <w:szCs w:val="20"/>
              </w:rPr>
              <w:t xml:space="preserve"> </w:t>
            </w:r>
            <w:r w:rsidRPr="008D3817">
              <w:rPr>
                <w:rFonts w:ascii="Times New Roman" w:hAnsi="Times New Roman"/>
                <w:sz w:val="20"/>
                <w:szCs w:val="20"/>
              </w:rPr>
              <w:t>veikloje</w:t>
            </w:r>
          </w:p>
        </w:tc>
        <w:tc>
          <w:tcPr>
            <w:tcW w:w="3119" w:type="dxa"/>
            <w:shd w:val="clear" w:color="auto" w:fill="auto"/>
            <w:vAlign w:val="center"/>
          </w:tcPr>
          <w:p w:rsidR="00242743" w:rsidRPr="008D3817" w:rsidRDefault="00935CD0" w:rsidP="00A64507">
            <w:pPr>
              <w:spacing w:after="0" w:line="240" w:lineRule="auto"/>
              <w:jc w:val="both"/>
              <w:rPr>
                <w:rFonts w:ascii="Times New Roman" w:eastAsia="Times New Roman" w:hAnsi="Times New Roman"/>
                <w:iCs/>
                <w:strike/>
                <w:sz w:val="20"/>
                <w:szCs w:val="20"/>
              </w:rPr>
            </w:pPr>
            <w:r w:rsidRPr="008D3817">
              <w:rPr>
                <w:rFonts w:ascii="Times New Roman" w:eastAsia="AngsanaUPC" w:hAnsi="Times New Roman"/>
                <w:bCs/>
                <w:iCs/>
                <w:sz w:val="20"/>
                <w:szCs w:val="20"/>
                <w:lang w:eastAsia="lt-LT"/>
              </w:rPr>
              <w:t xml:space="preserve">Asmenys </w:t>
            </w:r>
            <w:r w:rsidR="00A64507">
              <w:rPr>
                <w:rFonts w:ascii="Times New Roman" w:eastAsia="AngsanaUPC" w:hAnsi="Times New Roman"/>
                <w:bCs/>
                <w:iCs/>
                <w:sz w:val="20"/>
                <w:szCs w:val="20"/>
                <w:lang w:eastAsia="lt-LT"/>
              </w:rPr>
              <w:t>vyresni kaip</w:t>
            </w:r>
            <w:r w:rsidRPr="008D3817">
              <w:rPr>
                <w:rFonts w:ascii="Times New Roman" w:eastAsia="AngsanaUPC" w:hAnsi="Times New Roman"/>
                <w:bCs/>
                <w:iCs/>
                <w:sz w:val="20"/>
                <w:szCs w:val="20"/>
                <w:lang w:eastAsia="lt-LT"/>
              </w:rPr>
              <w:t xml:space="preserve"> </w:t>
            </w:r>
            <w:r w:rsidR="004D542F">
              <w:rPr>
                <w:rFonts w:ascii="Times New Roman" w:eastAsia="AngsanaUPC" w:hAnsi="Times New Roman"/>
                <w:bCs/>
                <w:iCs/>
                <w:sz w:val="20"/>
                <w:szCs w:val="20"/>
                <w:lang w:eastAsia="lt-LT"/>
              </w:rPr>
              <w:t>54 metų amžiaus</w:t>
            </w:r>
            <w:r w:rsidRPr="008D3817">
              <w:rPr>
                <w:rFonts w:ascii="Times New Roman" w:eastAsia="AngsanaUPC" w:hAnsi="Times New Roman"/>
                <w:bCs/>
                <w:iCs/>
                <w:sz w:val="20"/>
                <w:szCs w:val="20"/>
                <w:lang w:eastAsia="lt-LT"/>
              </w:rPr>
              <w:t>, kurie po dalyvavimo E</w:t>
            </w:r>
            <w:r w:rsidR="0091347B">
              <w:rPr>
                <w:rFonts w:ascii="Times New Roman" w:eastAsia="AngsanaUPC" w:hAnsi="Times New Roman"/>
                <w:bCs/>
                <w:iCs/>
                <w:sz w:val="20"/>
                <w:szCs w:val="20"/>
                <w:lang w:eastAsia="lt-LT"/>
              </w:rPr>
              <w:t>SF veiklose įgijo kvalifikaciją</w:t>
            </w:r>
          </w:p>
        </w:tc>
        <w:tc>
          <w:tcPr>
            <w:tcW w:w="850"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276"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242743" w:rsidRPr="0083442A" w:rsidTr="009B7C0D">
        <w:trPr>
          <w:trHeight w:val="513"/>
        </w:trPr>
        <w:tc>
          <w:tcPr>
            <w:tcW w:w="1668"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559"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shd w:val="clear" w:color="auto" w:fill="auto"/>
          </w:tcPr>
          <w:p w:rsidR="00242743" w:rsidRPr="008D3817" w:rsidRDefault="00242743" w:rsidP="008D3817">
            <w:pPr>
              <w:widowControl w:val="0"/>
              <w:tabs>
                <w:tab w:val="left" w:pos="1276"/>
              </w:tabs>
              <w:adjustRightInd w:val="0"/>
              <w:spacing w:after="0" w:line="240" w:lineRule="auto"/>
              <w:jc w:val="both"/>
              <w:textAlignment w:val="baseline"/>
              <w:rPr>
                <w:rFonts w:ascii="Times New Roman" w:hAnsi="Times New Roman"/>
                <w:sz w:val="20"/>
                <w:szCs w:val="20"/>
              </w:rPr>
            </w:pPr>
          </w:p>
        </w:tc>
        <w:tc>
          <w:tcPr>
            <w:tcW w:w="2693"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hAnsi="Times New Roman"/>
                <w:sz w:val="20"/>
                <w:szCs w:val="20"/>
              </w:rPr>
            </w:pPr>
          </w:p>
        </w:tc>
        <w:tc>
          <w:tcPr>
            <w:tcW w:w="3119" w:type="dxa"/>
            <w:shd w:val="clear" w:color="auto" w:fill="auto"/>
            <w:vAlign w:val="center"/>
          </w:tcPr>
          <w:p w:rsidR="00242743" w:rsidRPr="008D3817" w:rsidRDefault="00A64507" w:rsidP="004D542F">
            <w:pPr>
              <w:spacing w:after="0" w:line="240" w:lineRule="auto"/>
              <w:jc w:val="both"/>
              <w:rPr>
                <w:rFonts w:ascii="Times New Roman" w:eastAsia="Times New Roman" w:hAnsi="Times New Roman"/>
                <w:iCs/>
                <w:sz w:val="20"/>
                <w:szCs w:val="20"/>
              </w:rPr>
            </w:pPr>
            <w:r>
              <w:rPr>
                <w:rFonts w:ascii="Times New Roman" w:eastAsia="AngsanaUPC" w:hAnsi="Times New Roman"/>
                <w:bCs/>
                <w:iCs/>
                <w:sz w:val="20"/>
                <w:szCs w:val="20"/>
                <w:lang w:eastAsia="lt-LT"/>
              </w:rPr>
              <w:t>Asmenys vyresni kaip</w:t>
            </w:r>
            <w:r w:rsidRPr="008D3817">
              <w:rPr>
                <w:rFonts w:ascii="Times New Roman" w:eastAsia="AngsanaUPC" w:hAnsi="Times New Roman"/>
                <w:bCs/>
                <w:iCs/>
                <w:sz w:val="20"/>
                <w:szCs w:val="20"/>
                <w:lang w:eastAsia="lt-LT"/>
              </w:rPr>
              <w:t xml:space="preserve"> </w:t>
            </w:r>
            <w:r w:rsidR="00935CD0" w:rsidRPr="008D3817">
              <w:rPr>
                <w:rFonts w:ascii="Times New Roman" w:eastAsia="AngsanaUPC" w:hAnsi="Times New Roman"/>
                <w:bCs/>
                <w:iCs/>
                <w:sz w:val="20"/>
                <w:szCs w:val="20"/>
                <w:lang w:eastAsia="lt-LT"/>
              </w:rPr>
              <w:t>54 met</w:t>
            </w:r>
            <w:r w:rsidR="004D542F">
              <w:rPr>
                <w:rFonts w:ascii="Times New Roman" w:eastAsia="AngsanaUPC" w:hAnsi="Times New Roman"/>
                <w:bCs/>
                <w:iCs/>
                <w:sz w:val="20"/>
                <w:szCs w:val="20"/>
                <w:lang w:eastAsia="lt-LT"/>
              </w:rPr>
              <w:t>ų amžiaus</w:t>
            </w:r>
            <w:r w:rsidR="00935CD0" w:rsidRPr="008D3817">
              <w:rPr>
                <w:rFonts w:ascii="Times New Roman" w:eastAsia="AngsanaUPC" w:hAnsi="Times New Roman"/>
                <w:bCs/>
                <w:iCs/>
                <w:sz w:val="20"/>
                <w:szCs w:val="20"/>
                <w:lang w:eastAsia="lt-LT"/>
              </w:rPr>
              <w:t>, kurie po dalyvavimo ESF veiklose d</w:t>
            </w:r>
            <w:r w:rsidR="0091347B">
              <w:rPr>
                <w:rFonts w:ascii="Times New Roman" w:eastAsia="AngsanaUPC" w:hAnsi="Times New Roman"/>
                <w:bCs/>
                <w:iCs/>
                <w:sz w:val="20"/>
                <w:szCs w:val="20"/>
                <w:lang w:eastAsia="lt-LT"/>
              </w:rPr>
              <w:t>alyvauja savanoriškoje veikloje</w:t>
            </w:r>
          </w:p>
        </w:tc>
        <w:tc>
          <w:tcPr>
            <w:tcW w:w="850"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276"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242743" w:rsidRPr="0083442A" w:rsidTr="009B7C0D">
        <w:trPr>
          <w:trHeight w:val="313"/>
        </w:trPr>
        <w:tc>
          <w:tcPr>
            <w:tcW w:w="1668"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559"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val="restart"/>
            <w:shd w:val="clear" w:color="auto" w:fill="auto"/>
          </w:tcPr>
          <w:p w:rsidR="00242743" w:rsidRPr="008D3817" w:rsidRDefault="00242743" w:rsidP="008D3817">
            <w:pPr>
              <w:widowControl w:val="0"/>
              <w:tabs>
                <w:tab w:val="left" w:pos="1276"/>
              </w:tabs>
              <w:adjustRightInd w:val="0"/>
              <w:spacing w:after="0" w:line="240" w:lineRule="auto"/>
              <w:jc w:val="both"/>
              <w:textAlignment w:val="baseline"/>
              <w:rPr>
                <w:rFonts w:ascii="Times New Roman" w:hAnsi="Times New Roman"/>
                <w:sz w:val="20"/>
                <w:szCs w:val="20"/>
              </w:rPr>
            </w:pPr>
            <w:r w:rsidRPr="008D3817">
              <w:rPr>
                <w:rFonts w:ascii="Times New Roman" w:hAnsi="Times New Roman"/>
                <w:sz w:val="20"/>
                <w:szCs w:val="20"/>
              </w:rPr>
              <w:t xml:space="preserve">Galimybių gauti įperkamas, </w:t>
            </w:r>
            <w:r w:rsidR="00DA6047" w:rsidRPr="008D3817">
              <w:rPr>
                <w:rFonts w:ascii="Times New Roman" w:hAnsi="Times New Roman"/>
                <w:sz w:val="20"/>
                <w:szCs w:val="20"/>
              </w:rPr>
              <w:t>darnias</w:t>
            </w:r>
            <w:r w:rsidRPr="008D3817">
              <w:rPr>
                <w:rFonts w:ascii="Times New Roman" w:hAnsi="Times New Roman"/>
                <w:sz w:val="20"/>
                <w:szCs w:val="20"/>
              </w:rPr>
              <w:t xml:space="preserve"> ir aukštos kokybės paslaugas didinimas, įskaitant sveikatos priežiūrą ir visuotinės svarbos soci</w:t>
            </w:r>
            <w:r w:rsidR="00305253" w:rsidRPr="008D3817">
              <w:rPr>
                <w:rFonts w:ascii="Times New Roman" w:hAnsi="Times New Roman"/>
                <w:sz w:val="20"/>
                <w:szCs w:val="20"/>
              </w:rPr>
              <w:t>alines paslaugas</w:t>
            </w:r>
          </w:p>
        </w:tc>
        <w:tc>
          <w:tcPr>
            <w:tcW w:w="2693" w:type="dxa"/>
            <w:vMerge w:val="restart"/>
            <w:shd w:val="clear" w:color="auto" w:fill="auto"/>
          </w:tcPr>
          <w:p w:rsidR="00242743" w:rsidRPr="008D3817" w:rsidRDefault="00935CD0"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hAnsi="Times New Roman"/>
                <w:bCs/>
                <w:sz w:val="20"/>
                <w:szCs w:val="20"/>
              </w:rPr>
              <w:t>Padidinti bendruomenėje teikiamų paslaugų prieinamumą ir kokybę, plėtoti paslaugas šeimai</w:t>
            </w:r>
          </w:p>
        </w:tc>
        <w:tc>
          <w:tcPr>
            <w:tcW w:w="3119" w:type="dxa"/>
            <w:shd w:val="clear" w:color="auto" w:fill="auto"/>
          </w:tcPr>
          <w:p w:rsidR="00242743" w:rsidRPr="008D3817" w:rsidRDefault="00935CD0" w:rsidP="008D3817">
            <w:pPr>
              <w:spacing w:after="0" w:line="240" w:lineRule="auto"/>
              <w:jc w:val="both"/>
              <w:rPr>
                <w:rFonts w:ascii="Times New Roman" w:hAnsi="Times New Roman"/>
                <w:sz w:val="20"/>
                <w:szCs w:val="20"/>
              </w:rPr>
            </w:pPr>
            <w:r w:rsidRPr="008D3817">
              <w:rPr>
                <w:rFonts w:ascii="Times New Roman" w:hAnsi="Times New Roman"/>
                <w:sz w:val="20"/>
                <w:szCs w:val="20"/>
              </w:rPr>
              <w:t xml:space="preserve">Įgyvendintų </w:t>
            </w:r>
            <w:r w:rsidR="00BD3DE2">
              <w:rPr>
                <w:rFonts w:ascii="Times New Roman" w:hAnsi="Times New Roman"/>
                <w:sz w:val="20"/>
                <w:szCs w:val="20"/>
              </w:rPr>
              <w:t xml:space="preserve">asmeniui taikomų </w:t>
            </w:r>
            <w:r w:rsidRPr="008D3817">
              <w:rPr>
                <w:rFonts w:ascii="Times New Roman" w:hAnsi="Times New Roman"/>
                <w:sz w:val="20"/>
                <w:szCs w:val="20"/>
              </w:rPr>
              <w:t>individualių perėjimo nuo institucinės globos prie šeimoje ir bendruomenėje teikiamų paslaugų planų dal</w:t>
            </w:r>
            <w:r w:rsidR="0091347B">
              <w:rPr>
                <w:rFonts w:ascii="Times New Roman" w:hAnsi="Times New Roman"/>
                <w:sz w:val="20"/>
                <w:szCs w:val="20"/>
              </w:rPr>
              <w:t>is nuo parengtų planų</w:t>
            </w:r>
          </w:p>
        </w:tc>
        <w:tc>
          <w:tcPr>
            <w:tcW w:w="850"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276"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242743" w:rsidRPr="0083442A" w:rsidTr="009B7C0D">
        <w:trPr>
          <w:trHeight w:val="258"/>
        </w:trPr>
        <w:tc>
          <w:tcPr>
            <w:tcW w:w="1668"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559"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shd w:val="clear" w:color="auto" w:fill="auto"/>
          </w:tcPr>
          <w:p w:rsidR="00242743" w:rsidRPr="008D3817" w:rsidRDefault="00242743" w:rsidP="008D3817">
            <w:pPr>
              <w:widowControl w:val="0"/>
              <w:tabs>
                <w:tab w:val="left" w:pos="1276"/>
              </w:tabs>
              <w:adjustRightInd w:val="0"/>
              <w:spacing w:after="0" w:line="240" w:lineRule="auto"/>
              <w:jc w:val="both"/>
              <w:textAlignment w:val="baseline"/>
              <w:rPr>
                <w:rFonts w:ascii="Times New Roman" w:hAnsi="Times New Roman"/>
                <w:sz w:val="20"/>
                <w:szCs w:val="20"/>
              </w:rPr>
            </w:pPr>
          </w:p>
        </w:tc>
        <w:tc>
          <w:tcPr>
            <w:tcW w:w="2693"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hAnsi="Times New Roman"/>
                <w:sz w:val="20"/>
                <w:szCs w:val="20"/>
              </w:rPr>
            </w:pPr>
          </w:p>
        </w:tc>
        <w:tc>
          <w:tcPr>
            <w:tcW w:w="3119" w:type="dxa"/>
            <w:shd w:val="clear" w:color="auto" w:fill="auto"/>
          </w:tcPr>
          <w:p w:rsidR="00242743" w:rsidRPr="008D3817" w:rsidRDefault="00935CD0" w:rsidP="008D3817">
            <w:pPr>
              <w:spacing w:after="0" w:line="240" w:lineRule="auto"/>
              <w:jc w:val="both"/>
              <w:rPr>
                <w:rFonts w:ascii="Times New Roman" w:hAnsi="Times New Roman"/>
                <w:sz w:val="20"/>
                <w:szCs w:val="20"/>
              </w:rPr>
            </w:pPr>
            <w:r w:rsidRPr="008D3817">
              <w:rPr>
                <w:rFonts w:ascii="Times New Roman" w:hAnsi="Times New Roman"/>
                <w:sz w:val="20"/>
                <w:szCs w:val="20"/>
              </w:rPr>
              <w:t>Paslaugų šeimai gavėjai, palankiai vert</w:t>
            </w:r>
            <w:r w:rsidR="0091347B">
              <w:rPr>
                <w:rFonts w:ascii="Times New Roman" w:hAnsi="Times New Roman"/>
                <w:sz w:val="20"/>
                <w:szCs w:val="20"/>
              </w:rPr>
              <w:t>inantys gaunamų paslaugų kokybę</w:t>
            </w:r>
          </w:p>
        </w:tc>
        <w:tc>
          <w:tcPr>
            <w:tcW w:w="850"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276"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242743" w:rsidRPr="0083442A" w:rsidTr="009B7C0D">
        <w:trPr>
          <w:trHeight w:val="697"/>
        </w:trPr>
        <w:tc>
          <w:tcPr>
            <w:tcW w:w="1668"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559"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shd w:val="clear" w:color="auto" w:fill="auto"/>
          </w:tcPr>
          <w:p w:rsidR="00242743" w:rsidRPr="008D3817" w:rsidRDefault="00242743" w:rsidP="008D3817">
            <w:pPr>
              <w:widowControl w:val="0"/>
              <w:tabs>
                <w:tab w:val="left" w:pos="1276"/>
              </w:tabs>
              <w:adjustRightInd w:val="0"/>
              <w:spacing w:after="0" w:line="240" w:lineRule="auto"/>
              <w:jc w:val="both"/>
              <w:textAlignment w:val="baseline"/>
              <w:rPr>
                <w:rFonts w:ascii="Times New Roman" w:hAnsi="Times New Roman"/>
                <w:sz w:val="20"/>
                <w:szCs w:val="20"/>
              </w:rPr>
            </w:pPr>
          </w:p>
        </w:tc>
        <w:tc>
          <w:tcPr>
            <w:tcW w:w="2693"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3119" w:type="dxa"/>
            <w:shd w:val="clear" w:color="auto" w:fill="auto"/>
          </w:tcPr>
          <w:p w:rsidR="00242743" w:rsidRPr="008D3817" w:rsidRDefault="00935CD0" w:rsidP="008D3817">
            <w:pPr>
              <w:spacing w:after="0" w:line="240" w:lineRule="auto"/>
              <w:jc w:val="both"/>
              <w:rPr>
                <w:rFonts w:ascii="Times New Roman" w:hAnsi="Times New Roman"/>
                <w:sz w:val="20"/>
                <w:szCs w:val="20"/>
              </w:rPr>
            </w:pPr>
            <w:r w:rsidRPr="008D3817">
              <w:rPr>
                <w:rFonts w:ascii="Times New Roman" w:hAnsi="Times New Roman"/>
                <w:sz w:val="20"/>
                <w:szCs w:val="20"/>
              </w:rPr>
              <w:t>Socialinių paslaugų sistemos darbuotojai, kurie po dalyvavimo E</w:t>
            </w:r>
            <w:r w:rsidR="0091347B">
              <w:rPr>
                <w:rFonts w:ascii="Times New Roman" w:hAnsi="Times New Roman"/>
                <w:sz w:val="20"/>
                <w:szCs w:val="20"/>
              </w:rPr>
              <w:t>SF veiklose įgijo kvalifikaciją</w:t>
            </w:r>
          </w:p>
        </w:tc>
        <w:tc>
          <w:tcPr>
            <w:tcW w:w="850"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276"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242743" w:rsidRPr="0083442A" w:rsidTr="009B7C0D">
        <w:trPr>
          <w:trHeight w:val="350"/>
        </w:trPr>
        <w:tc>
          <w:tcPr>
            <w:tcW w:w="1668"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559"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shd w:val="clear" w:color="auto" w:fill="auto"/>
          </w:tcPr>
          <w:p w:rsidR="00242743" w:rsidRPr="008D3817" w:rsidRDefault="00242743" w:rsidP="008D3817">
            <w:pPr>
              <w:widowControl w:val="0"/>
              <w:tabs>
                <w:tab w:val="left" w:pos="1276"/>
              </w:tabs>
              <w:adjustRightInd w:val="0"/>
              <w:spacing w:after="0" w:line="240" w:lineRule="auto"/>
              <w:jc w:val="both"/>
              <w:textAlignment w:val="baseline"/>
              <w:rPr>
                <w:rFonts w:ascii="Times New Roman" w:hAnsi="Times New Roman"/>
                <w:sz w:val="20"/>
                <w:szCs w:val="20"/>
              </w:rPr>
            </w:pPr>
          </w:p>
        </w:tc>
        <w:tc>
          <w:tcPr>
            <w:tcW w:w="2693" w:type="dxa"/>
            <w:vMerge w:val="restart"/>
            <w:shd w:val="clear" w:color="auto" w:fill="auto"/>
          </w:tcPr>
          <w:p w:rsidR="00242743" w:rsidRPr="008D3817" w:rsidRDefault="00935CD0"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hAnsi="Times New Roman"/>
                <w:bCs/>
                <w:sz w:val="20"/>
                <w:szCs w:val="20"/>
              </w:rPr>
              <w:t>Sumažinti sveikatos netolygumus, gerinant sveikatos priežiūros kokybę ir prieinamumą tikslinėms gyventojų grupėms ir skatinti sveiką senėjimą</w:t>
            </w:r>
          </w:p>
        </w:tc>
        <w:tc>
          <w:tcPr>
            <w:tcW w:w="3119" w:type="dxa"/>
            <w:shd w:val="clear" w:color="auto" w:fill="auto"/>
          </w:tcPr>
          <w:p w:rsidR="00242743" w:rsidRPr="008D3817" w:rsidRDefault="00935CD0" w:rsidP="008D3817">
            <w:pPr>
              <w:spacing w:after="0" w:line="240" w:lineRule="auto"/>
              <w:jc w:val="both"/>
              <w:rPr>
                <w:rFonts w:ascii="Times New Roman" w:eastAsia="Times New Roman" w:hAnsi="Times New Roman"/>
                <w:bCs/>
                <w:sz w:val="20"/>
                <w:szCs w:val="20"/>
              </w:rPr>
            </w:pPr>
            <w:r w:rsidRPr="008D3817">
              <w:rPr>
                <w:rFonts w:ascii="Times New Roman" w:eastAsia="Times New Roman" w:hAnsi="Times New Roman"/>
                <w:bCs/>
                <w:sz w:val="20"/>
                <w:szCs w:val="20"/>
              </w:rPr>
              <w:t>Didžiausiais sveikatos ir jos priežiūros prieinamumo netolygumais pasižyminčiuose regionuose gyvenančių asmenų, dalyvaujančių prevencinėse programose, dali</w:t>
            </w:r>
            <w:r w:rsidR="0091347B">
              <w:rPr>
                <w:rFonts w:ascii="Times New Roman" w:eastAsia="Times New Roman" w:hAnsi="Times New Roman"/>
                <w:bCs/>
                <w:sz w:val="20"/>
                <w:szCs w:val="20"/>
              </w:rPr>
              <w:t>s</w:t>
            </w:r>
          </w:p>
        </w:tc>
        <w:tc>
          <w:tcPr>
            <w:tcW w:w="850"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276"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242743" w:rsidRPr="0083442A" w:rsidTr="009B7C0D">
        <w:trPr>
          <w:trHeight w:val="1859"/>
        </w:trPr>
        <w:tc>
          <w:tcPr>
            <w:tcW w:w="1668"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559"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shd w:val="clear" w:color="auto" w:fill="auto"/>
          </w:tcPr>
          <w:p w:rsidR="00242743" w:rsidRPr="008D3817" w:rsidRDefault="00242743" w:rsidP="008D3817">
            <w:pPr>
              <w:widowControl w:val="0"/>
              <w:tabs>
                <w:tab w:val="left" w:pos="1276"/>
              </w:tabs>
              <w:adjustRightInd w:val="0"/>
              <w:spacing w:after="0" w:line="240" w:lineRule="auto"/>
              <w:jc w:val="both"/>
              <w:textAlignment w:val="baseline"/>
              <w:rPr>
                <w:rFonts w:ascii="Times New Roman" w:hAnsi="Times New Roman"/>
                <w:sz w:val="20"/>
                <w:szCs w:val="20"/>
              </w:rPr>
            </w:pPr>
          </w:p>
        </w:tc>
        <w:tc>
          <w:tcPr>
            <w:tcW w:w="2693"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hAnsi="Times New Roman"/>
                <w:sz w:val="20"/>
                <w:szCs w:val="20"/>
              </w:rPr>
            </w:pPr>
          </w:p>
        </w:tc>
        <w:tc>
          <w:tcPr>
            <w:tcW w:w="3119" w:type="dxa"/>
            <w:shd w:val="clear" w:color="auto" w:fill="auto"/>
          </w:tcPr>
          <w:p w:rsidR="00242743" w:rsidRPr="008D3817" w:rsidRDefault="00935CD0" w:rsidP="008D3817">
            <w:pPr>
              <w:spacing w:after="0" w:line="240" w:lineRule="auto"/>
              <w:jc w:val="both"/>
              <w:rPr>
                <w:rFonts w:ascii="Times New Roman" w:hAnsi="Times New Roman"/>
                <w:sz w:val="20"/>
                <w:szCs w:val="20"/>
              </w:rPr>
            </w:pPr>
            <w:r w:rsidRPr="008D3817">
              <w:rPr>
                <w:rFonts w:ascii="Times New Roman" w:eastAsia="Times New Roman" w:hAnsi="Times New Roman"/>
                <w:bCs/>
                <w:sz w:val="20"/>
                <w:szCs w:val="20"/>
              </w:rPr>
              <w:t>Tikslinių grupių asmenų, pakeitusių gyvenseną dėl sveikatos įgyvendinus ESF lėšomis finansuotas visuomenės informavimo, švietimo ir mokymo veiklas (sveikos gyvensenos, sveikatos išsaugojimo ir stiprinimo, l</w:t>
            </w:r>
            <w:r w:rsidR="0091347B">
              <w:rPr>
                <w:rFonts w:ascii="Times New Roman" w:eastAsia="Times New Roman" w:hAnsi="Times New Roman"/>
                <w:bCs/>
                <w:sz w:val="20"/>
                <w:szCs w:val="20"/>
              </w:rPr>
              <w:t>igų prevencijos temomis), dalis</w:t>
            </w:r>
          </w:p>
        </w:tc>
        <w:tc>
          <w:tcPr>
            <w:tcW w:w="850"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276"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242743" w:rsidRPr="0083442A" w:rsidTr="00D6431A">
        <w:trPr>
          <w:trHeight w:val="223"/>
        </w:trPr>
        <w:tc>
          <w:tcPr>
            <w:tcW w:w="1668"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559"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val="restart"/>
            <w:shd w:val="clear" w:color="auto" w:fill="auto"/>
          </w:tcPr>
          <w:p w:rsidR="00242743" w:rsidRPr="008D3817" w:rsidRDefault="00242743" w:rsidP="008D3817">
            <w:pPr>
              <w:widowControl w:val="0"/>
              <w:tabs>
                <w:tab w:val="left" w:pos="1276"/>
              </w:tabs>
              <w:adjustRightInd w:val="0"/>
              <w:spacing w:after="0" w:line="240" w:lineRule="auto"/>
              <w:jc w:val="both"/>
              <w:textAlignment w:val="baseline"/>
              <w:rPr>
                <w:rFonts w:ascii="Times New Roman" w:hAnsi="Times New Roman"/>
                <w:sz w:val="20"/>
                <w:szCs w:val="20"/>
              </w:rPr>
            </w:pPr>
            <w:r w:rsidRPr="008D3817">
              <w:rPr>
                <w:rFonts w:ascii="Times New Roman" w:hAnsi="Times New Roman"/>
                <w:sz w:val="20"/>
                <w:szCs w:val="20"/>
              </w:rPr>
              <w:t>Socialinės verslininkystės ir profesinės integracijos socialinėse įmonėse bei socialinės ir solidarumo ekonomikos skatinimas</w:t>
            </w:r>
            <w:r w:rsidR="00D12E9F">
              <w:rPr>
                <w:rFonts w:ascii="Times New Roman" w:hAnsi="Times New Roman"/>
                <w:sz w:val="20"/>
                <w:szCs w:val="20"/>
              </w:rPr>
              <w:t>,</w:t>
            </w:r>
            <w:r w:rsidRPr="008D3817">
              <w:rPr>
                <w:rFonts w:ascii="Times New Roman" w:hAnsi="Times New Roman"/>
                <w:sz w:val="20"/>
                <w:szCs w:val="20"/>
              </w:rPr>
              <w:t xml:space="preserve"> siekiant p</w:t>
            </w:r>
            <w:r w:rsidR="00305253" w:rsidRPr="008D3817">
              <w:rPr>
                <w:rFonts w:ascii="Times New Roman" w:hAnsi="Times New Roman"/>
                <w:sz w:val="20"/>
                <w:szCs w:val="20"/>
              </w:rPr>
              <w:t>adidinti įsidarbinimo galimybes</w:t>
            </w:r>
          </w:p>
        </w:tc>
        <w:tc>
          <w:tcPr>
            <w:tcW w:w="2693" w:type="dxa"/>
            <w:vMerge w:val="restart"/>
            <w:shd w:val="clear" w:color="auto" w:fill="auto"/>
          </w:tcPr>
          <w:p w:rsidR="00242743" w:rsidRPr="008D3817" w:rsidRDefault="00935CD0"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hAnsi="Times New Roman"/>
                <w:sz w:val="20"/>
                <w:szCs w:val="20"/>
              </w:rPr>
              <w:t>Paskatinti socialinį verslumą ir socialinę atsakomybę didinančių iniciatyvų atsiradimą</w:t>
            </w:r>
          </w:p>
        </w:tc>
        <w:tc>
          <w:tcPr>
            <w:tcW w:w="3119" w:type="dxa"/>
            <w:shd w:val="clear" w:color="auto" w:fill="auto"/>
            <w:vAlign w:val="center"/>
          </w:tcPr>
          <w:p w:rsidR="00242743" w:rsidRPr="008D3817" w:rsidDel="00FA13D7" w:rsidRDefault="00935CD0" w:rsidP="008D3817">
            <w:pPr>
              <w:spacing w:after="0" w:line="240" w:lineRule="auto"/>
              <w:jc w:val="both"/>
              <w:rPr>
                <w:rFonts w:ascii="Times New Roman" w:hAnsi="Times New Roman"/>
                <w:bCs/>
                <w:sz w:val="20"/>
                <w:szCs w:val="20"/>
              </w:rPr>
            </w:pPr>
            <w:r w:rsidRPr="008D3817">
              <w:rPr>
                <w:rFonts w:ascii="Times New Roman" w:hAnsi="Times New Roman"/>
                <w:bCs/>
                <w:sz w:val="20"/>
                <w:szCs w:val="20"/>
              </w:rPr>
              <w:t>Sėkmingai veikiančių socialinių verslų dalis nuo visų ESF investicijas gavusių socialinių vers</w:t>
            </w:r>
            <w:r w:rsidR="0091347B">
              <w:rPr>
                <w:rFonts w:ascii="Times New Roman" w:hAnsi="Times New Roman"/>
                <w:bCs/>
                <w:sz w:val="20"/>
                <w:szCs w:val="20"/>
              </w:rPr>
              <w:t>lų 12 mėn. po projekto pabaigos</w:t>
            </w:r>
          </w:p>
        </w:tc>
        <w:tc>
          <w:tcPr>
            <w:tcW w:w="850"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276"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242743" w:rsidRPr="0083442A" w:rsidTr="009906A2">
        <w:trPr>
          <w:trHeight w:val="483"/>
        </w:trPr>
        <w:tc>
          <w:tcPr>
            <w:tcW w:w="1668"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559"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shd w:val="clear" w:color="auto" w:fill="auto"/>
          </w:tcPr>
          <w:p w:rsidR="00242743" w:rsidRPr="008D3817" w:rsidRDefault="00242743" w:rsidP="008D3817">
            <w:pPr>
              <w:widowControl w:val="0"/>
              <w:tabs>
                <w:tab w:val="left" w:pos="1276"/>
              </w:tabs>
              <w:adjustRightInd w:val="0"/>
              <w:spacing w:after="0" w:line="240" w:lineRule="auto"/>
              <w:jc w:val="both"/>
              <w:textAlignment w:val="baseline"/>
              <w:rPr>
                <w:rFonts w:ascii="Times New Roman" w:hAnsi="Times New Roman"/>
                <w:sz w:val="20"/>
                <w:szCs w:val="20"/>
              </w:rPr>
            </w:pPr>
          </w:p>
        </w:tc>
        <w:tc>
          <w:tcPr>
            <w:tcW w:w="2693"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hAnsi="Times New Roman"/>
                <w:sz w:val="20"/>
                <w:szCs w:val="20"/>
              </w:rPr>
            </w:pPr>
          </w:p>
        </w:tc>
        <w:tc>
          <w:tcPr>
            <w:tcW w:w="3119" w:type="dxa"/>
            <w:shd w:val="clear" w:color="auto" w:fill="auto"/>
            <w:vAlign w:val="center"/>
          </w:tcPr>
          <w:p w:rsidR="00242743" w:rsidRPr="008D3817" w:rsidRDefault="00416DF3" w:rsidP="008D3817">
            <w:pPr>
              <w:spacing w:after="0" w:line="240" w:lineRule="auto"/>
              <w:jc w:val="both"/>
              <w:rPr>
                <w:rFonts w:ascii="Times New Roman" w:hAnsi="Times New Roman"/>
                <w:bCs/>
                <w:sz w:val="20"/>
                <w:szCs w:val="20"/>
              </w:rPr>
            </w:pPr>
            <w:r>
              <w:rPr>
                <w:rFonts w:ascii="Times New Roman" w:hAnsi="Times New Roman"/>
                <w:bCs/>
                <w:sz w:val="20"/>
                <w:szCs w:val="20"/>
              </w:rPr>
              <w:t>ESF subsidijas</w:t>
            </w:r>
            <w:r w:rsidRPr="008D3817">
              <w:rPr>
                <w:rFonts w:ascii="Times New Roman" w:hAnsi="Times New Roman"/>
                <w:bCs/>
                <w:sz w:val="20"/>
                <w:szCs w:val="20"/>
              </w:rPr>
              <w:t xml:space="preserve"> </w:t>
            </w:r>
            <w:r w:rsidR="00935CD0" w:rsidRPr="008D3817">
              <w:rPr>
                <w:rFonts w:ascii="Times New Roman" w:hAnsi="Times New Roman"/>
                <w:bCs/>
                <w:sz w:val="20"/>
                <w:szCs w:val="20"/>
              </w:rPr>
              <w:t>gavę</w:t>
            </w:r>
            <w:proofErr w:type="gramStart"/>
            <w:r w:rsidR="00935CD0" w:rsidRPr="008D3817">
              <w:rPr>
                <w:rFonts w:ascii="Times New Roman" w:hAnsi="Times New Roman"/>
                <w:bCs/>
                <w:sz w:val="20"/>
                <w:szCs w:val="20"/>
              </w:rPr>
              <w:t xml:space="preserve">  </w:t>
            </w:r>
            <w:proofErr w:type="gramEnd"/>
            <w:r w:rsidR="00935CD0" w:rsidRPr="008D3817">
              <w:rPr>
                <w:rFonts w:ascii="Times New Roman" w:hAnsi="Times New Roman"/>
                <w:bCs/>
                <w:sz w:val="20"/>
                <w:szCs w:val="20"/>
              </w:rPr>
              <w:t>socialinių įmonių darbuotojai</w:t>
            </w:r>
            <w:r w:rsidR="0091347B">
              <w:rPr>
                <w:rFonts w:ascii="Times New Roman" w:hAnsi="Times New Roman"/>
                <w:bCs/>
                <w:sz w:val="20"/>
                <w:szCs w:val="20"/>
              </w:rPr>
              <w:t>, kurie išsilaikė darbo vietoje</w:t>
            </w:r>
          </w:p>
        </w:tc>
        <w:tc>
          <w:tcPr>
            <w:tcW w:w="850"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276"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242743" w:rsidRPr="0083442A" w:rsidTr="009906A2">
        <w:trPr>
          <w:trHeight w:val="553"/>
        </w:trPr>
        <w:tc>
          <w:tcPr>
            <w:tcW w:w="1668"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559"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shd w:val="clear" w:color="auto" w:fill="auto"/>
          </w:tcPr>
          <w:p w:rsidR="00242743" w:rsidRPr="008D3817" w:rsidRDefault="00242743" w:rsidP="008D3817">
            <w:pPr>
              <w:widowControl w:val="0"/>
              <w:tabs>
                <w:tab w:val="left" w:pos="1276"/>
              </w:tabs>
              <w:adjustRightInd w:val="0"/>
              <w:spacing w:after="0" w:line="240" w:lineRule="auto"/>
              <w:jc w:val="both"/>
              <w:textAlignment w:val="baseline"/>
              <w:rPr>
                <w:rFonts w:ascii="Times New Roman" w:hAnsi="Times New Roman"/>
                <w:sz w:val="20"/>
                <w:szCs w:val="20"/>
              </w:rPr>
            </w:pPr>
          </w:p>
        </w:tc>
        <w:tc>
          <w:tcPr>
            <w:tcW w:w="2693"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hAnsi="Times New Roman"/>
                <w:sz w:val="20"/>
                <w:szCs w:val="20"/>
              </w:rPr>
            </w:pPr>
          </w:p>
        </w:tc>
        <w:tc>
          <w:tcPr>
            <w:tcW w:w="3119" w:type="dxa"/>
            <w:shd w:val="clear" w:color="auto" w:fill="auto"/>
            <w:vAlign w:val="center"/>
          </w:tcPr>
          <w:p w:rsidR="00242743" w:rsidRPr="008D3817" w:rsidDel="00FA13D7" w:rsidRDefault="00935CD0" w:rsidP="00416DF3">
            <w:pPr>
              <w:spacing w:after="0" w:line="240" w:lineRule="auto"/>
              <w:jc w:val="both"/>
              <w:rPr>
                <w:rFonts w:ascii="Times New Roman" w:hAnsi="Times New Roman"/>
                <w:bCs/>
                <w:sz w:val="20"/>
                <w:szCs w:val="20"/>
              </w:rPr>
            </w:pPr>
            <w:r w:rsidRPr="008D3817">
              <w:rPr>
                <w:rFonts w:ascii="Times New Roman" w:hAnsi="Times New Roman"/>
                <w:bCs/>
                <w:sz w:val="20"/>
                <w:szCs w:val="20"/>
              </w:rPr>
              <w:t>Asmenys, kurie įgijo kvalifikacij</w:t>
            </w:r>
            <w:r w:rsidR="0091347B">
              <w:rPr>
                <w:rFonts w:ascii="Times New Roman" w:hAnsi="Times New Roman"/>
                <w:bCs/>
                <w:sz w:val="20"/>
                <w:szCs w:val="20"/>
              </w:rPr>
              <w:t xml:space="preserve">ą po dalyvavimo </w:t>
            </w:r>
            <w:r w:rsidR="00416DF3">
              <w:rPr>
                <w:rFonts w:ascii="Times New Roman" w:hAnsi="Times New Roman"/>
                <w:bCs/>
                <w:sz w:val="20"/>
                <w:szCs w:val="20"/>
              </w:rPr>
              <w:t>ESF lė</w:t>
            </w:r>
            <w:r w:rsidR="00FF08C5">
              <w:rPr>
                <w:rFonts w:ascii="Times New Roman" w:hAnsi="Times New Roman"/>
                <w:bCs/>
                <w:sz w:val="20"/>
                <w:szCs w:val="20"/>
              </w:rPr>
              <w:t>šomis finansuojamuose mokymuose</w:t>
            </w:r>
          </w:p>
        </w:tc>
        <w:tc>
          <w:tcPr>
            <w:tcW w:w="850"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276"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242743" w:rsidRPr="0083442A" w:rsidTr="00242743">
        <w:trPr>
          <w:trHeight w:val="760"/>
        </w:trPr>
        <w:tc>
          <w:tcPr>
            <w:tcW w:w="1668"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559"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val="restart"/>
            <w:shd w:val="clear" w:color="auto" w:fill="auto"/>
          </w:tcPr>
          <w:p w:rsidR="00242743" w:rsidRPr="008D3817" w:rsidRDefault="004450F3" w:rsidP="008D3817">
            <w:pPr>
              <w:widowControl w:val="0"/>
              <w:tabs>
                <w:tab w:val="left" w:pos="1276"/>
              </w:tabs>
              <w:adjustRightInd w:val="0"/>
              <w:spacing w:after="0" w:line="240" w:lineRule="auto"/>
              <w:jc w:val="both"/>
              <w:textAlignment w:val="baseline"/>
              <w:rPr>
                <w:rFonts w:ascii="Times New Roman" w:hAnsi="Times New Roman"/>
                <w:sz w:val="20"/>
                <w:szCs w:val="20"/>
              </w:rPr>
            </w:pPr>
            <w:r w:rsidRPr="008D3817">
              <w:rPr>
                <w:rFonts w:ascii="Times New Roman" w:hAnsi="Times New Roman"/>
                <w:sz w:val="20"/>
                <w:szCs w:val="20"/>
              </w:rPr>
              <w:t>BIVP</w:t>
            </w:r>
            <w:r w:rsidR="00242743" w:rsidRPr="008D3817">
              <w:rPr>
                <w:rFonts w:ascii="Times New Roman" w:hAnsi="Times New Roman"/>
                <w:sz w:val="20"/>
                <w:szCs w:val="20"/>
              </w:rPr>
              <w:t xml:space="preserve"> strategijų įgyve</w:t>
            </w:r>
            <w:r w:rsidR="00305253" w:rsidRPr="008D3817">
              <w:rPr>
                <w:rFonts w:ascii="Times New Roman" w:hAnsi="Times New Roman"/>
                <w:sz w:val="20"/>
                <w:szCs w:val="20"/>
              </w:rPr>
              <w:t>ndinimas</w:t>
            </w:r>
          </w:p>
        </w:tc>
        <w:tc>
          <w:tcPr>
            <w:tcW w:w="2693" w:type="dxa"/>
            <w:vMerge w:val="restart"/>
            <w:shd w:val="clear" w:color="auto" w:fill="auto"/>
          </w:tcPr>
          <w:p w:rsidR="00242743" w:rsidRPr="008D3817" w:rsidRDefault="00935CD0"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hAnsi="Times New Roman"/>
                <w:sz w:val="20"/>
                <w:szCs w:val="20"/>
              </w:rPr>
              <w:t>Pagerinti vietines įsidarbinimo galimybes ir didinti bendruomenių socialinę integraciją, išnaudojant vietos bendruomenių, verslo ir vietos valdžios ryšius</w:t>
            </w:r>
          </w:p>
        </w:tc>
        <w:tc>
          <w:tcPr>
            <w:tcW w:w="3119" w:type="dxa"/>
            <w:shd w:val="clear" w:color="auto" w:fill="auto"/>
          </w:tcPr>
          <w:p w:rsidR="00242743" w:rsidRPr="008D3817" w:rsidRDefault="00935CD0" w:rsidP="008D3817">
            <w:pPr>
              <w:widowControl w:val="0"/>
              <w:tabs>
                <w:tab w:val="left" w:pos="622"/>
              </w:tabs>
              <w:spacing w:after="0" w:line="240" w:lineRule="auto"/>
              <w:jc w:val="both"/>
              <w:rPr>
                <w:rFonts w:ascii="Times New Roman" w:eastAsia="AngsanaUPC" w:hAnsi="Times New Roman"/>
                <w:b/>
                <w:bCs/>
                <w:sz w:val="20"/>
                <w:szCs w:val="20"/>
                <w:lang w:eastAsia="lt-LT"/>
              </w:rPr>
            </w:pPr>
            <w:r w:rsidRPr="008D3817">
              <w:rPr>
                <w:rFonts w:ascii="Times New Roman" w:hAnsi="Times New Roman"/>
                <w:sz w:val="20"/>
                <w:szCs w:val="20"/>
                <w:lang w:eastAsia="lt-LT"/>
              </w:rPr>
              <w:t>BIVP projektų veiklų dalyviai, kurių padėtis darbo rinkoje pagerėjo</w:t>
            </w:r>
            <w:r w:rsidR="001151D6">
              <w:rPr>
                <w:rFonts w:ascii="Times New Roman" w:hAnsi="Times New Roman"/>
                <w:sz w:val="20"/>
                <w:szCs w:val="20"/>
                <w:lang w:eastAsia="lt-LT"/>
              </w:rPr>
              <w:t>,</w:t>
            </w:r>
            <w:r w:rsidRPr="008D3817">
              <w:rPr>
                <w:rFonts w:ascii="Times New Roman" w:hAnsi="Times New Roman"/>
                <w:sz w:val="20"/>
                <w:szCs w:val="20"/>
                <w:lang w:eastAsia="lt-LT"/>
              </w:rPr>
              <w:t xml:space="preserve"> praėjus 6 mėnes</w:t>
            </w:r>
            <w:r w:rsidR="0091347B">
              <w:rPr>
                <w:rFonts w:ascii="Times New Roman" w:hAnsi="Times New Roman"/>
                <w:sz w:val="20"/>
                <w:szCs w:val="20"/>
                <w:lang w:eastAsia="lt-LT"/>
              </w:rPr>
              <w:t>iams po dalyvavimo ESF veiklose</w:t>
            </w:r>
          </w:p>
        </w:tc>
        <w:tc>
          <w:tcPr>
            <w:tcW w:w="850"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276"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242743" w:rsidRPr="0083442A" w:rsidTr="00311D4A">
        <w:trPr>
          <w:trHeight w:val="299"/>
        </w:trPr>
        <w:tc>
          <w:tcPr>
            <w:tcW w:w="1668"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559"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shd w:val="clear" w:color="auto" w:fill="auto"/>
          </w:tcPr>
          <w:p w:rsidR="00242743" w:rsidRPr="008D3817" w:rsidRDefault="00242743" w:rsidP="008D3817">
            <w:pPr>
              <w:widowControl w:val="0"/>
              <w:tabs>
                <w:tab w:val="left" w:pos="1276"/>
              </w:tabs>
              <w:adjustRightInd w:val="0"/>
              <w:spacing w:after="0" w:line="240" w:lineRule="auto"/>
              <w:jc w:val="both"/>
              <w:textAlignment w:val="baseline"/>
              <w:rPr>
                <w:rFonts w:ascii="Times New Roman" w:hAnsi="Times New Roman"/>
                <w:sz w:val="20"/>
                <w:szCs w:val="20"/>
              </w:rPr>
            </w:pPr>
          </w:p>
        </w:tc>
        <w:tc>
          <w:tcPr>
            <w:tcW w:w="2693" w:type="dxa"/>
            <w:vMerge/>
            <w:shd w:val="clear" w:color="auto" w:fill="auto"/>
          </w:tcPr>
          <w:p w:rsidR="00242743" w:rsidRPr="008D3817" w:rsidRDefault="00242743" w:rsidP="008D3817">
            <w:pPr>
              <w:widowControl w:val="0"/>
              <w:tabs>
                <w:tab w:val="left" w:pos="622"/>
              </w:tabs>
              <w:spacing w:after="0" w:line="240" w:lineRule="auto"/>
              <w:jc w:val="both"/>
              <w:rPr>
                <w:rFonts w:ascii="Times New Roman" w:hAnsi="Times New Roman"/>
                <w:sz w:val="20"/>
                <w:szCs w:val="20"/>
              </w:rPr>
            </w:pPr>
          </w:p>
        </w:tc>
        <w:tc>
          <w:tcPr>
            <w:tcW w:w="3119" w:type="dxa"/>
            <w:shd w:val="clear" w:color="auto" w:fill="auto"/>
          </w:tcPr>
          <w:p w:rsidR="00242743" w:rsidRPr="008D3817" w:rsidRDefault="00935CD0" w:rsidP="008D3817">
            <w:pPr>
              <w:widowControl w:val="0"/>
              <w:tabs>
                <w:tab w:val="left" w:pos="622"/>
              </w:tabs>
              <w:spacing w:after="0" w:line="240" w:lineRule="auto"/>
              <w:jc w:val="both"/>
              <w:rPr>
                <w:rFonts w:ascii="Times New Roman" w:hAnsi="Times New Roman"/>
                <w:sz w:val="20"/>
                <w:szCs w:val="20"/>
                <w:lang w:eastAsia="lt-LT"/>
              </w:rPr>
            </w:pPr>
            <w:r w:rsidRPr="008D3817">
              <w:rPr>
                <w:rFonts w:ascii="Times New Roman" w:hAnsi="Times New Roman"/>
                <w:sz w:val="20"/>
                <w:szCs w:val="20"/>
                <w:lang w:eastAsia="lt-LT"/>
              </w:rPr>
              <w:t>Socialinių partnerių organizacijose ar NVO savanoriaujantys dalyvi</w:t>
            </w:r>
            <w:r w:rsidR="00995854">
              <w:rPr>
                <w:rFonts w:ascii="Times New Roman" w:hAnsi="Times New Roman"/>
                <w:sz w:val="20"/>
                <w:szCs w:val="20"/>
                <w:lang w:eastAsia="lt-LT"/>
              </w:rPr>
              <w:t xml:space="preserve">ai (vietos bendruomenės nariai), </w:t>
            </w:r>
            <w:r w:rsidRPr="008D3817">
              <w:rPr>
                <w:rFonts w:ascii="Times New Roman" w:hAnsi="Times New Roman"/>
                <w:sz w:val="20"/>
                <w:szCs w:val="20"/>
                <w:lang w:eastAsia="lt-LT"/>
              </w:rPr>
              <w:t xml:space="preserve">praėjus 6 mėnesiams po </w:t>
            </w:r>
            <w:r w:rsidR="0091347B">
              <w:rPr>
                <w:rFonts w:ascii="Times New Roman" w:hAnsi="Times New Roman"/>
                <w:sz w:val="20"/>
                <w:szCs w:val="20"/>
                <w:lang w:eastAsia="lt-LT"/>
              </w:rPr>
              <w:t>dalyvavimo ESF veiklose</w:t>
            </w:r>
          </w:p>
        </w:tc>
        <w:tc>
          <w:tcPr>
            <w:tcW w:w="850" w:type="dxa"/>
            <w:vMerge/>
            <w:tcBorders>
              <w:bottom w:val="single" w:sz="4" w:space="0" w:color="auto"/>
            </w:tcBorders>
            <w:shd w:val="clear" w:color="auto" w:fill="auto"/>
          </w:tcPr>
          <w:p w:rsidR="00242743" w:rsidRPr="008D3817" w:rsidRDefault="00242743"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276" w:type="dxa"/>
            <w:vMerge/>
            <w:tcBorders>
              <w:bottom w:val="single" w:sz="4" w:space="0" w:color="auto"/>
            </w:tcBorders>
            <w:shd w:val="clear" w:color="auto" w:fill="auto"/>
          </w:tcPr>
          <w:p w:rsidR="00242743" w:rsidRPr="008D3817" w:rsidRDefault="00242743"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tcBorders>
              <w:bottom w:val="single" w:sz="4" w:space="0" w:color="auto"/>
            </w:tcBorders>
            <w:shd w:val="clear" w:color="auto" w:fill="auto"/>
          </w:tcPr>
          <w:p w:rsidR="00242743" w:rsidRPr="008D3817" w:rsidRDefault="00242743"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383657" w:rsidRPr="0083442A" w:rsidTr="00311D4A">
        <w:tc>
          <w:tcPr>
            <w:tcW w:w="1668" w:type="dxa"/>
            <w:vMerge w:val="restart"/>
            <w:shd w:val="clear" w:color="auto" w:fill="auto"/>
          </w:tcPr>
          <w:p w:rsidR="00383657" w:rsidRPr="008D3817" w:rsidRDefault="00383657" w:rsidP="008D3817">
            <w:pPr>
              <w:widowControl w:val="0"/>
              <w:tabs>
                <w:tab w:val="left" w:pos="622"/>
              </w:tabs>
              <w:spacing w:after="0" w:line="240" w:lineRule="auto"/>
              <w:jc w:val="both"/>
              <w:rPr>
                <w:rFonts w:ascii="Times New Roman" w:eastAsia="AngsanaUPC" w:hAnsi="Times New Roman"/>
                <w:b/>
                <w:bCs/>
                <w:sz w:val="20"/>
                <w:szCs w:val="20"/>
                <w:lang w:eastAsia="lt-LT"/>
              </w:rPr>
            </w:pPr>
            <w:r w:rsidRPr="008D3817">
              <w:rPr>
                <w:rFonts w:ascii="Times New Roman" w:hAnsi="Times New Roman"/>
                <w:sz w:val="20"/>
                <w:szCs w:val="20"/>
              </w:rPr>
              <w:t xml:space="preserve">Visuomenės švietimas ir žmogiškųjų išteklių potencialo </w:t>
            </w:r>
            <w:r w:rsidRPr="008D3817">
              <w:rPr>
                <w:rFonts w:ascii="Times New Roman" w:hAnsi="Times New Roman"/>
                <w:sz w:val="20"/>
                <w:szCs w:val="20"/>
              </w:rPr>
              <w:lastRenderedPageBreak/>
              <w:t>didinimas</w:t>
            </w:r>
          </w:p>
        </w:tc>
        <w:tc>
          <w:tcPr>
            <w:tcW w:w="1559" w:type="dxa"/>
            <w:vMerge w:val="restart"/>
            <w:shd w:val="clear" w:color="auto" w:fill="auto"/>
          </w:tcPr>
          <w:p w:rsidR="00383657" w:rsidRPr="008D3817" w:rsidRDefault="00383657"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eastAsia="AngsanaUPC" w:hAnsi="Times New Roman"/>
                <w:bCs/>
                <w:sz w:val="20"/>
                <w:szCs w:val="20"/>
                <w:lang w:eastAsia="lt-LT"/>
              </w:rPr>
              <w:lastRenderedPageBreak/>
              <w:t>Investicijos į švietimą, gebėjimus ir mokymąsi visą gyvenimą</w:t>
            </w:r>
          </w:p>
        </w:tc>
        <w:tc>
          <w:tcPr>
            <w:tcW w:w="2835" w:type="dxa"/>
            <w:vMerge w:val="restart"/>
            <w:shd w:val="clear" w:color="auto" w:fill="auto"/>
          </w:tcPr>
          <w:p w:rsidR="00383657" w:rsidRPr="008D3817" w:rsidRDefault="00DA6047" w:rsidP="008D3817">
            <w:pPr>
              <w:widowControl w:val="0"/>
              <w:tabs>
                <w:tab w:val="left" w:pos="1276"/>
              </w:tabs>
              <w:adjustRightInd w:val="0"/>
              <w:spacing w:after="0" w:line="240" w:lineRule="auto"/>
              <w:jc w:val="both"/>
              <w:textAlignment w:val="baseline"/>
              <w:rPr>
                <w:rFonts w:ascii="Times New Roman" w:hAnsi="Times New Roman"/>
                <w:sz w:val="20"/>
                <w:szCs w:val="20"/>
              </w:rPr>
            </w:pPr>
            <w:r w:rsidRPr="008D3817">
              <w:rPr>
                <w:rFonts w:ascii="Times New Roman" w:eastAsia="Times New Roman" w:hAnsi="Times New Roman"/>
                <w:sz w:val="20"/>
                <w:szCs w:val="20"/>
                <w:lang w:eastAsia="lt-LT"/>
              </w:rPr>
              <w:t xml:space="preserve">Investicijos į švietimą, profesinį mokymą, skirtos švietimo ir mokymo infrastruktūrai tobulinti, siekiant suteikti įgūdžių ir užtikrinti mokymosi </w:t>
            </w:r>
            <w:r w:rsidRPr="008D3817">
              <w:rPr>
                <w:rFonts w:ascii="Times New Roman" w:eastAsia="Times New Roman" w:hAnsi="Times New Roman"/>
                <w:sz w:val="20"/>
                <w:szCs w:val="20"/>
                <w:lang w:eastAsia="lt-LT"/>
              </w:rPr>
              <w:lastRenderedPageBreak/>
              <w:t>visą gyvenimą galimybę</w:t>
            </w:r>
          </w:p>
        </w:tc>
        <w:tc>
          <w:tcPr>
            <w:tcW w:w="2693" w:type="dxa"/>
            <w:shd w:val="clear" w:color="auto" w:fill="auto"/>
          </w:tcPr>
          <w:p w:rsidR="00383657" w:rsidRPr="008D3817" w:rsidRDefault="00935CD0"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hAnsi="Times New Roman"/>
                <w:bCs/>
                <w:sz w:val="20"/>
                <w:szCs w:val="20"/>
              </w:rPr>
              <w:lastRenderedPageBreak/>
              <w:t>Tobulinti ir koncentruoti studijų infrastruktūrą, siekiant aukštesnės studijų kokybės</w:t>
            </w:r>
          </w:p>
        </w:tc>
        <w:tc>
          <w:tcPr>
            <w:tcW w:w="3119" w:type="dxa"/>
            <w:tcBorders>
              <w:right w:val="single" w:sz="4" w:space="0" w:color="auto"/>
            </w:tcBorders>
            <w:shd w:val="clear" w:color="auto" w:fill="auto"/>
          </w:tcPr>
          <w:p w:rsidR="00383657" w:rsidRPr="008D3817" w:rsidDel="00B22B8B" w:rsidRDefault="00935CD0" w:rsidP="008D3817">
            <w:pPr>
              <w:widowControl w:val="0"/>
              <w:tabs>
                <w:tab w:val="left" w:pos="622"/>
              </w:tabs>
              <w:spacing w:after="0" w:line="240" w:lineRule="auto"/>
              <w:jc w:val="both"/>
              <w:rPr>
                <w:rFonts w:ascii="Times New Roman" w:hAnsi="Times New Roman"/>
                <w:sz w:val="20"/>
                <w:szCs w:val="20"/>
              </w:rPr>
            </w:pPr>
            <w:r w:rsidRPr="008D3817">
              <w:rPr>
                <w:rFonts w:ascii="Times New Roman" w:hAnsi="Times New Roman"/>
                <w:sz w:val="20"/>
                <w:szCs w:val="20"/>
              </w:rPr>
              <w:t xml:space="preserve">Studentų, studijuojančių aukštosiose mokyklose, kuriose bent už 289 tūkst. eurų pagal veiksmų programą ERPF lėšomis atnaujinta koncentruota studijų </w:t>
            </w:r>
            <w:r w:rsidRPr="008D3817">
              <w:rPr>
                <w:rFonts w:ascii="Times New Roman" w:hAnsi="Times New Roman"/>
                <w:sz w:val="20"/>
                <w:szCs w:val="20"/>
              </w:rPr>
              <w:lastRenderedPageBreak/>
              <w:t>infr</w:t>
            </w:r>
            <w:r w:rsidR="0091347B">
              <w:rPr>
                <w:rFonts w:ascii="Times New Roman" w:hAnsi="Times New Roman"/>
                <w:sz w:val="20"/>
                <w:szCs w:val="20"/>
              </w:rPr>
              <w:t>astruktūra, dalis</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383657" w:rsidRPr="008D3817" w:rsidRDefault="00383657"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eastAsia="AngsanaUPC" w:hAnsi="Times New Roman"/>
                <w:bCs/>
                <w:sz w:val="20"/>
                <w:szCs w:val="20"/>
                <w:lang w:eastAsia="lt-LT"/>
              </w:rPr>
              <w:lastRenderedPageBreak/>
              <w:t>ERPF,</w:t>
            </w:r>
          </w:p>
          <w:p w:rsidR="00383657" w:rsidRPr="008D3817" w:rsidRDefault="00383657"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eastAsia="AngsanaUPC" w:hAnsi="Times New Roman"/>
                <w:bCs/>
                <w:sz w:val="20"/>
                <w:szCs w:val="20"/>
                <w:lang w:eastAsia="lt-LT"/>
              </w:rPr>
              <w:t>ESF</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rsidR="00383657" w:rsidRPr="008D3817" w:rsidRDefault="00383657"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eastAsia="AngsanaUPC" w:hAnsi="Times New Roman"/>
                <w:bCs/>
                <w:sz w:val="20"/>
                <w:szCs w:val="20"/>
                <w:lang w:eastAsia="lt-LT"/>
              </w:rPr>
              <w:t xml:space="preserve">ERPF: </w:t>
            </w:r>
            <w:r w:rsidR="00CD1881" w:rsidRPr="008D3817">
              <w:rPr>
                <w:rFonts w:ascii="Times New Roman" w:eastAsia="AngsanaUPC" w:hAnsi="Times New Roman"/>
                <w:bCs/>
                <w:sz w:val="20"/>
                <w:szCs w:val="20"/>
                <w:lang w:eastAsia="lt-LT"/>
              </w:rPr>
              <w:t>208</w:t>
            </w:r>
            <w:r w:rsidR="008D02AD">
              <w:rPr>
                <w:rFonts w:ascii="Times New Roman" w:eastAsia="AngsanaUPC" w:hAnsi="Times New Roman"/>
                <w:bCs/>
                <w:sz w:val="20"/>
                <w:szCs w:val="20"/>
                <w:lang w:eastAsia="lt-LT"/>
              </w:rPr>
              <w:t>.</w:t>
            </w:r>
            <w:r w:rsidR="00CD1881" w:rsidRPr="008D3817">
              <w:rPr>
                <w:rFonts w:ascii="Times New Roman" w:eastAsia="AngsanaUPC" w:hAnsi="Times New Roman"/>
                <w:bCs/>
                <w:sz w:val="20"/>
                <w:szCs w:val="20"/>
                <w:lang w:eastAsia="lt-LT"/>
              </w:rPr>
              <w:t>548</w:t>
            </w:r>
            <w:r w:rsidR="008D02AD">
              <w:rPr>
                <w:rFonts w:ascii="Times New Roman" w:eastAsia="AngsanaUPC" w:hAnsi="Times New Roman"/>
                <w:bCs/>
                <w:sz w:val="20"/>
                <w:szCs w:val="20"/>
                <w:lang w:eastAsia="lt-LT"/>
              </w:rPr>
              <w:t>.</w:t>
            </w:r>
            <w:r w:rsidR="00CD1881" w:rsidRPr="008D3817">
              <w:rPr>
                <w:rFonts w:ascii="Times New Roman" w:eastAsia="AngsanaUPC" w:hAnsi="Times New Roman"/>
                <w:bCs/>
                <w:sz w:val="20"/>
                <w:szCs w:val="20"/>
                <w:lang w:eastAsia="lt-LT"/>
              </w:rPr>
              <w:t>495</w:t>
            </w:r>
          </w:p>
          <w:p w:rsidR="00383657" w:rsidRPr="008D3817" w:rsidRDefault="00383657" w:rsidP="008D3817">
            <w:pPr>
              <w:widowControl w:val="0"/>
              <w:tabs>
                <w:tab w:val="left" w:pos="622"/>
              </w:tabs>
              <w:spacing w:after="0" w:line="240" w:lineRule="auto"/>
              <w:jc w:val="both"/>
              <w:rPr>
                <w:rFonts w:ascii="Times New Roman" w:eastAsia="AngsanaUPC" w:hAnsi="Times New Roman"/>
                <w:bCs/>
                <w:sz w:val="20"/>
                <w:szCs w:val="20"/>
                <w:lang w:eastAsia="lt-LT"/>
              </w:rPr>
            </w:pPr>
          </w:p>
          <w:p w:rsidR="00383657" w:rsidRPr="008D3817" w:rsidRDefault="00383657" w:rsidP="00071690">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eastAsia="AngsanaUPC" w:hAnsi="Times New Roman"/>
                <w:bCs/>
                <w:sz w:val="20"/>
                <w:szCs w:val="20"/>
                <w:lang w:eastAsia="lt-LT"/>
              </w:rPr>
              <w:t xml:space="preserve">ESF: </w:t>
            </w:r>
            <w:r w:rsidR="00071690">
              <w:rPr>
                <w:rFonts w:ascii="Times New Roman" w:eastAsia="AngsanaUPC" w:hAnsi="Times New Roman"/>
                <w:bCs/>
                <w:sz w:val="20"/>
                <w:szCs w:val="20"/>
                <w:lang w:eastAsia="lt-LT"/>
              </w:rPr>
              <w:t>453.182.085</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383657" w:rsidRPr="008D3817" w:rsidRDefault="00CD1881" w:rsidP="009C0228">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eastAsia="AngsanaUPC" w:hAnsi="Times New Roman"/>
                <w:bCs/>
                <w:sz w:val="20"/>
                <w:szCs w:val="20"/>
                <w:lang w:val="en-US" w:eastAsia="lt-LT"/>
              </w:rPr>
              <w:t>9,</w:t>
            </w:r>
            <w:r w:rsidR="00071690">
              <w:rPr>
                <w:rFonts w:ascii="Times New Roman" w:eastAsia="AngsanaUPC" w:hAnsi="Times New Roman"/>
                <w:bCs/>
                <w:sz w:val="20"/>
                <w:szCs w:val="20"/>
                <w:lang w:val="en-US" w:eastAsia="lt-LT"/>
              </w:rPr>
              <w:t>4</w:t>
            </w:r>
            <w:r w:rsidR="009C0228">
              <w:rPr>
                <w:rFonts w:ascii="Times New Roman" w:eastAsia="AngsanaUPC" w:hAnsi="Times New Roman"/>
                <w:bCs/>
                <w:sz w:val="20"/>
                <w:szCs w:val="20"/>
                <w:lang w:val="en-US" w:eastAsia="lt-LT"/>
              </w:rPr>
              <w:t>1</w:t>
            </w:r>
            <w:r w:rsidR="00071690">
              <w:rPr>
                <w:rFonts w:ascii="Times New Roman" w:eastAsia="AngsanaUPC" w:hAnsi="Times New Roman"/>
                <w:bCs/>
                <w:sz w:val="20"/>
                <w:szCs w:val="20"/>
                <w:lang w:val="en-US" w:eastAsia="lt-LT"/>
              </w:rPr>
              <w:t xml:space="preserve"> </w:t>
            </w:r>
            <w:r w:rsidRPr="008D3817">
              <w:rPr>
                <w:rFonts w:ascii="Times New Roman" w:eastAsia="AngsanaUPC" w:hAnsi="Times New Roman"/>
                <w:bCs/>
                <w:sz w:val="20"/>
                <w:szCs w:val="20"/>
                <w:lang w:val="en-US" w:eastAsia="lt-LT"/>
              </w:rPr>
              <w:t>%</w:t>
            </w:r>
          </w:p>
        </w:tc>
      </w:tr>
      <w:tr w:rsidR="00206887" w:rsidRPr="0083442A" w:rsidTr="00311D4A">
        <w:trPr>
          <w:trHeight w:val="1004"/>
        </w:trPr>
        <w:tc>
          <w:tcPr>
            <w:tcW w:w="1668" w:type="dxa"/>
            <w:vMerge/>
            <w:shd w:val="clear" w:color="auto" w:fill="auto"/>
          </w:tcPr>
          <w:p w:rsidR="00206887" w:rsidRPr="008D3817" w:rsidRDefault="00206887"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559" w:type="dxa"/>
            <w:vMerge/>
            <w:shd w:val="clear" w:color="auto" w:fill="auto"/>
          </w:tcPr>
          <w:p w:rsidR="00206887" w:rsidRPr="008D3817" w:rsidRDefault="00206887"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shd w:val="clear" w:color="auto" w:fill="auto"/>
          </w:tcPr>
          <w:p w:rsidR="00206887" w:rsidRPr="008D3817" w:rsidRDefault="00206887" w:rsidP="008D3817">
            <w:pPr>
              <w:widowControl w:val="0"/>
              <w:tabs>
                <w:tab w:val="left" w:pos="1276"/>
              </w:tabs>
              <w:adjustRightInd w:val="0"/>
              <w:spacing w:after="0" w:line="240" w:lineRule="auto"/>
              <w:jc w:val="both"/>
              <w:textAlignment w:val="baseline"/>
              <w:rPr>
                <w:rFonts w:ascii="Times New Roman" w:hAnsi="Times New Roman"/>
                <w:sz w:val="20"/>
                <w:szCs w:val="20"/>
              </w:rPr>
            </w:pPr>
          </w:p>
        </w:tc>
        <w:tc>
          <w:tcPr>
            <w:tcW w:w="2693" w:type="dxa"/>
            <w:shd w:val="clear" w:color="auto" w:fill="auto"/>
          </w:tcPr>
          <w:p w:rsidR="00206887" w:rsidRPr="008D3817" w:rsidRDefault="00206887"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hAnsi="Times New Roman"/>
                <w:bCs/>
                <w:sz w:val="20"/>
                <w:szCs w:val="20"/>
              </w:rPr>
              <w:t>Padidinti kokybiško profesinio ir suaugusiųjų mokymo prieinamumą investuojant į infrastruktūrą</w:t>
            </w:r>
          </w:p>
        </w:tc>
        <w:tc>
          <w:tcPr>
            <w:tcW w:w="3119" w:type="dxa"/>
            <w:tcBorders>
              <w:right w:val="single" w:sz="4" w:space="0" w:color="auto"/>
            </w:tcBorders>
            <w:shd w:val="clear" w:color="auto" w:fill="auto"/>
            <w:vAlign w:val="center"/>
          </w:tcPr>
          <w:p w:rsidR="00206887" w:rsidRPr="008D3817" w:rsidDel="00B22B8B" w:rsidRDefault="00206887" w:rsidP="00206887">
            <w:pPr>
              <w:spacing w:after="0" w:line="240" w:lineRule="auto"/>
              <w:jc w:val="both"/>
              <w:rPr>
                <w:rFonts w:ascii="Times New Roman" w:eastAsia="AngsanaUPC" w:hAnsi="Times New Roman"/>
                <w:bCs/>
                <w:iCs/>
                <w:sz w:val="20"/>
                <w:szCs w:val="20"/>
                <w:lang w:eastAsia="lt-LT"/>
              </w:rPr>
            </w:pPr>
            <w:r w:rsidRPr="008D3817">
              <w:rPr>
                <w:rFonts w:ascii="Times New Roman" w:hAnsi="Times New Roman"/>
                <w:sz w:val="20"/>
                <w:szCs w:val="20"/>
              </w:rPr>
              <w:t>Profesinio mokymo mokinių, kurie mokosi bent už 289 tūkst. eurų pagal veiksmų programą ERPF lėšomi</w:t>
            </w:r>
            <w:r w:rsidR="0091347B">
              <w:rPr>
                <w:rFonts w:ascii="Times New Roman" w:hAnsi="Times New Roman"/>
                <w:sz w:val="20"/>
                <w:szCs w:val="20"/>
              </w:rPr>
              <w:t>s atnaujintose įstaigose, dalis</w:t>
            </w: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206887" w:rsidRPr="008D3817" w:rsidRDefault="00206887"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206887" w:rsidRPr="008D3817" w:rsidRDefault="00206887"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206887" w:rsidRPr="008D3817" w:rsidRDefault="00206887"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383657" w:rsidRPr="0083442A" w:rsidTr="00311D4A">
        <w:trPr>
          <w:trHeight w:val="449"/>
        </w:trPr>
        <w:tc>
          <w:tcPr>
            <w:tcW w:w="1668" w:type="dxa"/>
            <w:vMerge/>
            <w:shd w:val="clear" w:color="auto" w:fill="auto"/>
          </w:tcPr>
          <w:p w:rsidR="00383657" w:rsidRPr="008D3817" w:rsidRDefault="00383657"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559" w:type="dxa"/>
            <w:vMerge/>
            <w:shd w:val="clear" w:color="auto" w:fill="auto"/>
          </w:tcPr>
          <w:p w:rsidR="00383657" w:rsidRPr="008D3817" w:rsidRDefault="00383657"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shd w:val="clear" w:color="auto" w:fill="auto"/>
          </w:tcPr>
          <w:p w:rsidR="00383657" w:rsidRPr="008D3817" w:rsidRDefault="00383657" w:rsidP="008D3817">
            <w:pPr>
              <w:widowControl w:val="0"/>
              <w:tabs>
                <w:tab w:val="left" w:pos="1276"/>
              </w:tabs>
              <w:adjustRightInd w:val="0"/>
              <w:spacing w:after="0" w:line="240" w:lineRule="auto"/>
              <w:jc w:val="both"/>
              <w:textAlignment w:val="baseline"/>
              <w:rPr>
                <w:rFonts w:ascii="Times New Roman" w:hAnsi="Times New Roman"/>
                <w:sz w:val="20"/>
                <w:szCs w:val="20"/>
              </w:rPr>
            </w:pPr>
          </w:p>
        </w:tc>
        <w:tc>
          <w:tcPr>
            <w:tcW w:w="2693" w:type="dxa"/>
            <w:vMerge w:val="restart"/>
            <w:shd w:val="clear" w:color="auto" w:fill="auto"/>
          </w:tcPr>
          <w:p w:rsidR="00383657" w:rsidRPr="008D3817" w:rsidRDefault="00935CD0" w:rsidP="008D3817">
            <w:pPr>
              <w:widowControl w:val="0"/>
              <w:tabs>
                <w:tab w:val="left" w:pos="622"/>
              </w:tabs>
              <w:spacing w:after="0" w:line="240" w:lineRule="auto"/>
              <w:jc w:val="both"/>
              <w:rPr>
                <w:rFonts w:ascii="Times New Roman" w:hAnsi="Times New Roman"/>
                <w:sz w:val="20"/>
                <w:szCs w:val="20"/>
              </w:rPr>
            </w:pPr>
            <w:r w:rsidRPr="008D3817">
              <w:rPr>
                <w:rFonts w:ascii="Times New Roman" w:hAnsi="Times New Roman"/>
                <w:bCs/>
                <w:sz w:val="20"/>
                <w:szCs w:val="20"/>
              </w:rPr>
              <w:t>Padidinti bendrojo ugdymo ir neformaliojo švietimo įstaigų tinklo veiklos efektyvumą</w:t>
            </w:r>
          </w:p>
        </w:tc>
        <w:tc>
          <w:tcPr>
            <w:tcW w:w="3119" w:type="dxa"/>
            <w:tcBorders>
              <w:right w:val="single" w:sz="4" w:space="0" w:color="auto"/>
            </w:tcBorders>
            <w:shd w:val="clear" w:color="auto" w:fill="auto"/>
          </w:tcPr>
          <w:p w:rsidR="00383657" w:rsidRPr="008D3817" w:rsidDel="00B22B8B" w:rsidRDefault="00935CD0" w:rsidP="008D3817">
            <w:pPr>
              <w:spacing w:after="0" w:line="240" w:lineRule="auto"/>
              <w:jc w:val="both"/>
              <w:rPr>
                <w:rFonts w:ascii="Times New Roman" w:eastAsia="AngsanaUPC" w:hAnsi="Times New Roman"/>
                <w:bCs/>
                <w:iCs/>
                <w:sz w:val="20"/>
                <w:szCs w:val="20"/>
                <w:lang w:eastAsia="lt-LT"/>
              </w:rPr>
            </w:pPr>
            <w:r w:rsidRPr="008D3817">
              <w:rPr>
                <w:rFonts w:ascii="Times New Roman" w:eastAsia="AngsanaUPC" w:hAnsi="Times New Roman"/>
                <w:bCs/>
                <w:iCs/>
                <w:sz w:val="20"/>
                <w:szCs w:val="20"/>
                <w:lang w:eastAsia="lt-LT"/>
              </w:rPr>
              <w:t>Bendrojo ugdymo mokinių, kurie mokosi bent už 289 tūkst. eurų pagal veiksmų programą ERPF lėšomi</w:t>
            </w:r>
            <w:r w:rsidR="0091347B">
              <w:rPr>
                <w:rFonts w:ascii="Times New Roman" w:eastAsia="AngsanaUPC" w:hAnsi="Times New Roman"/>
                <w:bCs/>
                <w:iCs/>
                <w:sz w:val="20"/>
                <w:szCs w:val="20"/>
                <w:lang w:eastAsia="lt-LT"/>
              </w:rPr>
              <w:t>s atnaujintose įstaigose, dalis</w:t>
            </w: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383657" w:rsidRPr="008D3817" w:rsidRDefault="00383657"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383657" w:rsidRPr="008D3817" w:rsidRDefault="00383657"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83657" w:rsidRPr="008D3817" w:rsidRDefault="00383657"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383657" w:rsidRPr="0083442A" w:rsidTr="00311D4A">
        <w:trPr>
          <w:trHeight w:val="461"/>
        </w:trPr>
        <w:tc>
          <w:tcPr>
            <w:tcW w:w="1668" w:type="dxa"/>
            <w:vMerge/>
            <w:shd w:val="clear" w:color="auto" w:fill="auto"/>
          </w:tcPr>
          <w:p w:rsidR="00383657" w:rsidRPr="008D3817" w:rsidRDefault="00383657"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559" w:type="dxa"/>
            <w:vMerge/>
            <w:shd w:val="clear" w:color="auto" w:fill="auto"/>
          </w:tcPr>
          <w:p w:rsidR="00383657" w:rsidRPr="008D3817" w:rsidRDefault="00383657"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shd w:val="clear" w:color="auto" w:fill="auto"/>
          </w:tcPr>
          <w:p w:rsidR="00383657" w:rsidRPr="008D3817" w:rsidRDefault="00383657" w:rsidP="008D3817">
            <w:pPr>
              <w:widowControl w:val="0"/>
              <w:tabs>
                <w:tab w:val="left" w:pos="1276"/>
              </w:tabs>
              <w:adjustRightInd w:val="0"/>
              <w:spacing w:after="0" w:line="240" w:lineRule="auto"/>
              <w:jc w:val="both"/>
              <w:textAlignment w:val="baseline"/>
              <w:rPr>
                <w:rFonts w:ascii="Times New Roman" w:hAnsi="Times New Roman"/>
                <w:sz w:val="20"/>
                <w:szCs w:val="20"/>
              </w:rPr>
            </w:pPr>
          </w:p>
        </w:tc>
        <w:tc>
          <w:tcPr>
            <w:tcW w:w="2693" w:type="dxa"/>
            <w:vMerge/>
            <w:shd w:val="clear" w:color="auto" w:fill="auto"/>
          </w:tcPr>
          <w:p w:rsidR="00383657" w:rsidRPr="008D3817" w:rsidRDefault="00383657" w:rsidP="008D3817">
            <w:pPr>
              <w:widowControl w:val="0"/>
              <w:tabs>
                <w:tab w:val="left" w:pos="622"/>
              </w:tabs>
              <w:spacing w:after="0" w:line="240" w:lineRule="auto"/>
              <w:jc w:val="both"/>
              <w:rPr>
                <w:rFonts w:ascii="Times New Roman" w:hAnsi="Times New Roman"/>
                <w:bCs/>
                <w:sz w:val="20"/>
                <w:szCs w:val="20"/>
              </w:rPr>
            </w:pPr>
          </w:p>
        </w:tc>
        <w:tc>
          <w:tcPr>
            <w:tcW w:w="3119" w:type="dxa"/>
            <w:tcBorders>
              <w:right w:val="single" w:sz="4" w:space="0" w:color="auto"/>
            </w:tcBorders>
            <w:shd w:val="clear" w:color="auto" w:fill="auto"/>
          </w:tcPr>
          <w:p w:rsidR="00383657" w:rsidRPr="008D3817" w:rsidDel="00B22B8B" w:rsidRDefault="00935CD0" w:rsidP="008D3817">
            <w:pPr>
              <w:spacing w:after="0" w:line="240" w:lineRule="auto"/>
              <w:jc w:val="both"/>
              <w:rPr>
                <w:rFonts w:ascii="Times New Roman" w:eastAsia="AngsanaUPC" w:hAnsi="Times New Roman"/>
                <w:bCs/>
                <w:iCs/>
                <w:sz w:val="20"/>
                <w:szCs w:val="20"/>
                <w:lang w:eastAsia="lt-LT"/>
              </w:rPr>
            </w:pPr>
            <w:r w:rsidRPr="008D3817">
              <w:rPr>
                <w:rFonts w:ascii="Times New Roman" w:eastAsia="AngsanaUPC" w:hAnsi="Times New Roman"/>
                <w:bCs/>
                <w:iCs/>
                <w:sz w:val="20"/>
                <w:szCs w:val="20"/>
                <w:lang w:eastAsia="lt-LT"/>
              </w:rPr>
              <w:t>1</w:t>
            </w:r>
            <w:proofErr w:type="gramStart"/>
            <w:r w:rsidRPr="008D3817">
              <w:rPr>
                <w:rFonts w:ascii="Times New Roman" w:eastAsia="AngsanaUPC" w:hAnsi="Times New Roman"/>
                <w:bCs/>
                <w:iCs/>
                <w:sz w:val="20"/>
                <w:szCs w:val="20"/>
                <w:lang w:eastAsia="lt-LT"/>
              </w:rPr>
              <w:t>-</w:t>
            </w:r>
            <w:proofErr w:type="gramEnd"/>
            <w:r w:rsidRPr="008D3817">
              <w:rPr>
                <w:rFonts w:ascii="Times New Roman" w:eastAsia="AngsanaUPC" w:hAnsi="Times New Roman"/>
                <w:bCs/>
                <w:iCs/>
                <w:sz w:val="20"/>
                <w:szCs w:val="20"/>
                <w:lang w:eastAsia="lt-LT"/>
              </w:rPr>
              <w:t>6 metų vaikų, ugdomų pagal veiksmų programą ERPF lėšomis atnaujintose ikimokyklinio ir priešmokyklinio ugdymo įst</w:t>
            </w:r>
            <w:r w:rsidR="0091347B">
              <w:rPr>
                <w:rFonts w:ascii="Times New Roman" w:eastAsia="AngsanaUPC" w:hAnsi="Times New Roman"/>
                <w:bCs/>
                <w:iCs/>
                <w:sz w:val="20"/>
                <w:szCs w:val="20"/>
                <w:lang w:eastAsia="lt-LT"/>
              </w:rPr>
              <w:t>aigose, dalis</w:t>
            </w: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383657" w:rsidRPr="008D3817" w:rsidRDefault="00383657"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383657" w:rsidRPr="008D3817" w:rsidRDefault="00383657"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83657" w:rsidRPr="008D3817" w:rsidRDefault="00383657"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383657" w:rsidRPr="0083442A" w:rsidTr="00311D4A">
        <w:trPr>
          <w:trHeight w:val="218"/>
        </w:trPr>
        <w:tc>
          <w:tcPr>
            <w:tcW w:w="1668" w:type="dxa"/>
            <w:vMerge/>
            <w:shd w:val="clear" w:color="auto" w:fill="auto"/>
          </w:tcPr>
          <w:p w:rsidR="00383657" w:rsidRPr="008D3817" w:rsidRDefault="00383657"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559" w:type="dxa"/>
            <w:vMerge/>
            <w:shd w:val="clear" w:color="auto" w:fill="auto"/>
          </w:tcPr>
          <w:p w:rsidR="00383657" w:rsidRPr="008D3817" w:rsidRDefault="00383657"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val="restart"/>
            <w:shd w:val="clear" w:color="auto" w:fill="auto"/>
          </w:tcPr>
          <w:p w:rsidR="00383657" w:rsidRPr="008D3817" w:rsidRDefault="00041305" w:rsidP="008D3817">
            <w:pPr>
              <w:widowControl w:val="0"/>
              <w:tabs>
                <w:tab w:val="left" w:pos="1276"/>
              </w:tabs>
              <w:adjustRightInd w:val="0"/>
              <w:spacing w:after="0" w:line="240" w:lineRule="auto"/>
              <w:jc w:val="both"/>
              <w:textAlignment w:val="baseline"/>
              <w:rPr>
                <w:rFonts w:ascii="Times New Roman" w:hAnsi="Times New Roman"/>
                <w:sz w:val="20"/>
                <w:szCs w:val="20"/>
              </w:rPr>
            </w:pPr>
            <w:r w:rsidRPr="008D3817">
              <w:rPr>
                <w:rFonts w:ascii="Times New Roman" w:eastAsia="Times New Roman" w:hAnsi="Times New Roman"/>
                <w:sz w:val="20"/>
                <w:szCs w:val="20"/>
                <w:lang w:eastAsia="lt-LT"/>
              </w:rPr>
              <w:t>Mokyklos nebaigiančių asmenų skaičiaus mažinimas ir mokyklos nebaigimo prevencija, lygių galimybių gauti geros kokybės ikimokyklinį, pradinį, pagrindinį ir vidurinį išsilavinimą, įskaitant grįžimui į švietimo ir mokymo procesą skirtus mokymosi būdus, tarp jų formalųjį, neformalųjį mokymąsi ir savišvietą, užtikrinimas</w:t>
            </w:r>
          </w:p>
        </w:tc>
        <w:tc>
          <w:tcPr>
            <w:tcW w:w="2693" w:type="dxa"/>
            <w:shd w:val="clear" w:color="auto" w:fill="auto"/>
          </w:tcPr>
          <w:p w:rsidR="00383657" w:rsidRPr="008D3817" w:rsidRDefault="00995854" w:rsidP="00995854">
            <w:pPr>
              <w:widowControl w:val="0"/>
              <w:tabs>
                <w:tab w:val="left" w:pos="622"/>
              </w:tabs>
              <w:spacing w:after="0" w:line="240" w:lineRule="auto"/>
              <w:jc w:val="both"/>
              <w:rPr>
                <w:rFonts w:ascii="Times New Roman" w:eastAsia="AngsanaUPC" w:hAnsi="Times New Roman"/>
                <w:bCs/>
                <w:sz w:val="20"/>
                <w:szCs w:val="20"/>
                <w:lang w:eastAsia="lt-LT"/>
              </w:rPr>
            </w:pPr>
            <w:r>
              <w:rPr>
                <w:rFonts w:ascii="Times New Roman" w:hAnsi="Times New Roman"/>
                <w:bCs/>
                <w:sz w:val="20"/>
                <w:szCs w:val="20"/>
              </w:rPr>
              <w:t>Pagerinti mokinių ugdymo, skatinant</w:t>
            </w:r>
            <w:r w:rsidR="00935CD0" w:rsidRPr="008D3817">
              <w:rPr>
                <w:rFonts w:ascii="Times New Roman" w:hAnsi="Times New Roman"/>
                <w:bCs/>
                <w:sz w:val="20"/>
                <w:szCs w:val="20"/>
              </w:rPr>
              <w:t xml:space="preserve"> pokyčius švietimo įstaigų veikloje</w:t>
            </w:r>
          </w:p>
        </w:tc>
        <w:tc>
          <w:tcPr>
            <w:tcW w:w="3119" w:type="dxa"/>
            <w:tcBorders>
              <w:right w:val="single" w:sz="4" w:space="0" w:color="auto"/>
            </w:tcBorders>
            <w:shd w:val="clear" w:color="auto" w:fill="auto"/>
          </w:tcPr>
          <w:p w:rsidR="00383657" w:rsidRPr="008D3817" w:rsidRDefault="00935CD0" w:rsidP="008D3817">
            <w:pPr>
              <w:widowControl w:val="0"/>
              <w:tabs>
                <w:tab w:val="left" w:pos="622"/>
              </w:tabs>
              <w:spacing w:after="0" w:line="240" w:lineRule="auto"/>
              <w:jc w:val="both"/>
              <w:rPr>
                <w:rFonts w:ascii="Times New Roman" w:eastAsia="Times New Roman" w:hAnsi="Times New Roman"/>
                <w:bCs/>
                <w:sz w:val="20"/>
                <w:szCs w:val="20"/>
              </w:rPr>
            </w:pPr>
            <w:r w:rsidRPr="008D3817">
              <w:rPr>
                <w:rFonts w:ascii="Times New Roman" w:eastAsia="Times New Roman" w:hAnsi="Times New Roman"/>
                <w:bCs/>
                <w:sz w:val="20"/>
                <w:szCs w:val="20"/>
              </w:rPr>
              <w:t>Pagal veiksmų programą ESF finansavimą ugdymo kokybei gerinti gavusių mokyklų, kurių mokinių ug</w:t>
            </w:r>
            <w:r w:rsidR="0091347B">
              <w:rPr>
                <w:rFonts w:ascii="Times New Roman" w:eastAsia="Times New Roman" w:hAnsi="Times New Roman"/>
                <w:bCs/>
                <w:sz w:val="20"/>
                <w:szCs w:val="20"/>
              </w:rPr>
              <w:t>dymo pasiekimai pagerėjo, dalis</w:t>
            </w: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383657" w:rsidRPr="008D3817" w:rsidRDefault="00383657"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383657" w:rsidRPr="008D3817" w:rsidRDefault="00383657"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83657" w:rsidRPr="008D3817" w:rsidRDefault="00383657"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3B6AA8" w:rsidRPr="0083442A" w:rsidTr="00311D4A">
        <w:trPr>
          <w:trHeight w:val="1595"/>
        </w:trPr>
        <w:tc>
          <w:tcPr>
            <w:tcW w:w="1668" w:type="dxa"/>
            <w:vMerge/>
            <w:shd w:val="clear" w:color="auto" w:fill="auto"/>
          </w:tcPr>
          <w:p w:rsidR="003B6AA8" w:rsidRPr="008D3817" w:rsidRDefault="003B6AA8"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559" w:type="dxa"/>
            <w:vMerge/>
            <w:shd w:val="clear" w:color="auto" w:fill="auto"/>
          </w:tcPr>
          <w:p w:rsidR="003B6AA8" w:rsidRPr="008D3817" w:rsidRDefault="003B6AA8"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shd w:val="clear" w:color="auto" w:fill="auto"/>
          </w:tcPr>
          <w:p w:rsidR="003B6AA8" w:rsidRPr="008D3817" w:rsidRDefault="003B6AA8" w:rsidP="008D3817">
            <w:pPr>
              <w:widowControl w:val="0"/>
              <w:tabs>
                <w:tab w:val="left" w:pos="1276"/>
              </w:tabs>
              <w:adjustRightInd w:val="0"/>
              <w:spacing w:after="0" w:line="240" w:lineRule="auto"/>
              <w:jc w:val="both"/>
              <w:textAlignment w:val="baseline"/>
              <w:rPr>
                <w:rFonts w:ascii="Times New Roman" w:hAnsi="Times New Roman"/>
                <w:sz w:val="20"/>
                <w:szCs w:val="20"/>
              </w:rPr>
            </w:pPr>
          </w:p>
        </w:tc>
        <w:tc>
          <w:tcPr>
            <w:tcW w:w="2693" w:type="dxa"/>
            <w:shd w:val="clear" w:color="auto" w:fill="auto"/>
          </w:tcPr>
          <w:p w:rsidR="003B6AA8" w:rsidRPr="008D3817" w:rsidRDefault="00935CD0"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hAnsi="Times New Roman"/>
                <w:bCs/>
                <w:sz w:val="20"/>
                <w:szCs w:val="20"/>
              </w:rPr>
              <w:t>Sumažinti anksti iš švietimo sistemos pasitraukusių ir bendrojo ugdymo programos nebaigusių asmenų skaičių</w:t>
            </w:r>
          </w:p>
        </w:tc>
        <w:tc>
          <w:tcPr>
            <w:tcW w:w="3119" w:type="dxa"/>
            <w:tcBorders>
              <w:right w:val="single" w:sz="4" w:space="0" w:color="auto"/>
            </w:tcBorders>
            <w:shd w:val="clear" w:color="auto" w:fill="auto"/>
          </w:tcPr>
          <w:p w:rsidR="003B6AA8" w:rsidRPr="008D3817" w:rsidRDefault="00935CD0" w:rsidP="008D3817">
            <w:pPr>
              <w:widowControl w:val="0"/>
              <w:tabs>
                <w:tab w:val="left" w:pos="622"/>
              </w:tabs>
              <w:spacing w:after="0" w:line="240" w:lineRule="auto"/>
              <w:jc w:val="both"/>
              <w:rPr>
                <w:rFonts w:ascii="Times New Roman" w:eastAsia="Times New Roman" w:hAnsi="Times New Roman"/>
                <w:bCs/>
                <w:sz w:val="20"/>
                <w:szCs w:val="20"/>
              </w:rPr>
            </w:pPr>
            <w:r w:rsidRPr="008D3817">
              <w:rPr>
                <w:rFonts w:ascii="Times New Roman" w:eastAsia="Times New Roman" w:hAnsi="Times New Roman"/>
                <w:bCs/>
                <w:sz w:val="20"/>
                <w:szCs w:val="20"/>
              </w:rPr>
              <w:t>Mokyklos nelankančių mokinių dalies sumažėjimas mokyklose, kurios pagal veiksmų programą ESF lėšomis įgyvendino ankstyvojo pasitraukimo iš mokyklos prevenci</w:t>
            </w:r>
            <w:r w:rsidR="0091347B">
              <w:rPr>
                <w:rFonts w:ascii="Times New Roman" w:eastAsia="Times New Roman" w:hAnsi="Times New Roman"/>
                <w:bCs/>
                <w:sz w:val="20"/>
                <w:szCs w:val="20"/>
              </w:rPr>
              <w:t>jos bei kompensacijos priemones</w:t>
            </w: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3B6AA8" w:rsidRPr="008D3817" w:rsidRDefault="003B6AA8"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3B6AA8" w:rsidRPr="008D3817" w:rsidRDefault="003B6AA8"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B6AA8" w:rsidRPr="008D3817" w:rsidRDefault="003B6AA8"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383657" w:rsidRPr="0083442A" w:rsidTr="00311D4A">
        <w:trPr>
          <w:trHeight w:val="313"/>
        </w:trPr>
        <w:tc>
          <w:tcPr>
            <w:tcW w:w="1668" w:type="dxa"/>
            <w:vMerge/>
            <w:shd w:val="clear" w:color="auto" w:fill="auto"/>
          </w:tcPr>
          <w:p w:rsidR="00383657" w:rsidRPr="008D3817" w:rsidRDefault="00383657"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559" w:type="dxa"/>
            <w:vMerge/>
            <w:shd w:val="clear" w:color="auto" w:fill="auto"/>
          </w:tcPr>
          <w:p w:rsidR="00383657" w:rsidRPr="008D3817" w:rsidRDefault="00383657"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val="restart"/>
            <w:shd w:val="clear" w:color="auto" w:fill="auto"/>
          </w:tcPr>
          <w:p w:rsidR="00383657" w:rsidRPr="008D3817" w:rsidRDefault="00383657" w:rsidP="008D3817">
            <w:pPr>
              <w:widowControl w:val="0"/>
              <w:tabs>
                <w:tab w:val="left" w:pos="1276"/>
              </w:tabs>
              <w:adjustRightInd w:val="0"/>
              <w:spacing w:after="0" w:line="240" w:lineRule="auto"/>
              <w:jc w:val="both"/>
              <w:textAlignment w:val="baseline"/>
              <w:rPr>
                <w:rFonts w:ascii="Times New Roman" w:hAnsi="Times New Roman"/>
                <w:sz w:val="20"/>
                <w:szCs w:val="20"/>
              </w:rPr>
            </w:pPr>
            <w:r w:rsidRPr="008D3817">
              <w:rPr>
                <w:rFonts w:ascii="Times New Roman" w:hAnsi="Times New Roman"/>
                <w:bCs/>
                <w:iCs/>
                <w:sz w:val="20"/>
                <w:szCs w:val="20"/>
              </w:rPr>
              <w:t>Aukštojo ir lygiaverčio jam mokslo kokybės, veiksmingumo ir prieinamumo didinimas</w:t>
            </w:r>
            <w:r w:rsidR="00995854">
              <w:rPr>
                <w:rFonts w:ascii="Times New Roman" w:hAnsi="Times New Roman"/>
                <w:bCs/>
                <w:iCs/>
                <w:sz w:val="20"/>
                <w:szCs w:val="20"/>
              </w:rPr>
              <w:t>,</w:t>
            </w:r>
            <w:r w:rsidRPr="008D3817">
              <w:rPr>
                <w:rFonts w:ascii="Times New Roman" w:hAnsi="Times New Roman"/>
                <w:bCs/>
                <w:iCs/>
                <w:sz w:val="20"/>
                <w:szCs w:val="20"/>
              </w:rPr>
              <w:t xml:space="preserve"> siekiant didesnės studentų įtraukties ir geresnio mokymosi pažangumo, atkreip</w:t>
            </w:r>
            <w:r w:rsidR="00305253" w:rsidRPr="008D3817">
              <w:rPr>
                <w:rFonts w:ascii="Times New Roman" w:hAnsi="Times New Roman"/>
                <w:bCs/>
                <w:iCs/>
                <w:sz w:val="20"/>
                <w:szCs w:val="20"/>
              </w:rPr>
              <w:t xml:space="preserve">iant dėmesį į </w:t>
            </w:r>
            <w:r w:rsidR="00305253" w:rsidRPr="008D3817">
              <w:rPr>
                <w:rFonts w:ascii="Times New Roman" w:hAnsi="Times New Roman"/>
                <w:bCs/>
                <w:iCs/>
                <w:sz w:val="20"/>
                <w:szCs w:val="20"/>
              </w:rPr>
              <w:lastRenderedPageBreak/>
              <w:t>atskirties grupes</w:t>
            </w:r>
          </w:p>
        </w:tc>
        <w:tc>
          <w:tcPr>
            <w:tcW w:w="2693" w:type="dxa"/>
            <w:vMerge w:val="restart"/>
            <w:shd w:val="clear" w:color="auto" w:fill="auto"/>
          </w:tcPr>
          <w:p w:rsidR="00383657" w:rsidRPr="008D3817" w:rsidRDefault="00935CD0" w:rsidP="00D84380">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hAnsi="Times New Roman"/>
                <w:bCs/>
                <w:sz w:val="20"/>
                <w:szCs w:val="20"/>
              </w:rPr>
              <w:lastRenderedPageBreak/>
              <w:t>Siekiant geresnės studijų atitikties darbo rinkos ir visuomenės poreikiams</w:t>
            </w:r>
            <w:r w:rsidR="00995854">
              <w:rPr>
                <w:rFonts w:ascii="Times New Roman" w:hAnsi="Times New Roman"/>
                <w:bCs/>
                <w:sz w:val="20"/>
                <w:szCs w:val="20"/>
              </w:rPr>
              <w:t>,</w:t>
            </w:r>
            <w:r w:rsidRPr="008D3817">
              <w:rPr>
                <w:rFonts w:ascii="Times New Roman" w:hAnsi="Times New Roman"/>
                <w:bCs/>
                <w:sz w:val="20"/>
                <w:szCs w:val="20"/>
              </w:rPr>
              <w:t xml:space="preserve"> </w:t>
            </w:r>
            <w:r w:rsidR="00D84380">
              <w:rPr>
                <w:rFonts w:ascii="Times New Roman" w:hAnsi="Times New Roman"/>
                <w:bCs/>
                <w:sz w:val="20"/>
                <w:szCs w:val="20"/>
              </w:rPr>
              <w:t>gerinti</w:t>
            </w:r>
            <w:r w:rsidR="00D84380" w:rsidRPr="008D3817">
              <w:rPr>
                <w:rFonts w:ascii="Times New Roman" w:hAnsi="Times New Roman"/>
                <w:bCs/>
                <w:sz w:val="20"/>
                <w:szCs w:val="20"/>
              </w:rPr>
              <w:t xml:space="preserve"> </w:t>
            </w:r>
            <w:r w:rsidRPr="008D3817">
              <w:rPr>
                <w:rFonts w:ascii="Times New Roman" w:hAnsi="Times New Roman"/>
                <w:bCs/>
                <w:sz w:val="20"/>
                <w:szCs w:val="20"/>
              </w:rPr>
              <w:t>studijų kokybę ir didinti studijų prieinamumą</w:t>
            </w:r>
          </w:p>
        </w:tc>
        <w:tc>
          <w:tcPr>
            <w:tcW w:w="3119" w:type="dxa"/>
            <w:tcBorders>
              <w:right w:val="single" w:sz="4" w:space="0" w:color="auto"/>
            </w:tcBorders>
            <w:shd w:val="clear" w:color="auto" w:fill="auto"/>
          </w:tcPr>
          <w:p w:rsidR="00383657" w:rsidRPr="008D3817" w:rsidRDefault="00935CD0" w:rsidP="008D3817">
            <w:pPr>
              <w:spacing w:after="0" w:line="240" w:lineRule="auto"/>
              <w:jc w:val="both"/>
              <w:rPr>
                <w:rFonts w:ascii="Times New Roman" w:hAnsi="Times New Roman"/>
                <w:sz w:val="20"/>
                <w:szCs w:val="20"/>
              </w:rPr>
            </w:pPr>
            <w:r w:rsidRPr="008D3817">
              <w:rPr>
                <w:rFonts w:ascii="Times New Roman" w:hAnsi="Times New Roman"/>
                <w:sz w:val="20"/>
                <w:szCs w:val="20"/>
              </w:rPr>
              <w:t>Studentų, kurie pagal veiksmų programą ESF lėšomis bent dalį studijų laikotarpio mokėsi užsienio a</w:t>
            </w:r>
            <w:r w:rsidR="0091347B">
              <w:rPr>
                <w:rFonts w:ascii="Times New Roman" w:hAnsi="Times New Roman"/>
                <w:sz w:val="20"/>
                <w:szCs w:val="20"/>
              </w:rPr>
              <w:t>ukštosiose mokyklose, dalis</w:t>
            </w: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383657" w:rsidRPr="008D3817" w:rsidRDefault="00383657"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383657" w:rsidRPr="008D3817" w:rsidRDefault="00383657"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83657" w:rsidRPr="008D3817" w:rsidRDefault="00383657"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383657" w:rsidRPr="0083442A" w:rsidTr="00311D4A">
        <w:tc>
          <w:tcPr>
            <w:tcW w:w="1668" w:type="dxa"/>
            <w:vMerge/>
            <w:shd w:val="clear" w:color="auto" w:fill="auto"/>
          </w:tcPr>
          <w:p w:rsidR="00383657" w:rsidRPr="008D3817" w:rsidRDefault="00383657"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559" w:type="dxa"/>
            <w:vMerge/>
            <w:shd w:val="clear" w:color="auto" w:fill="auto"/>
          </w:tcPr>
          <w:p w:rsidR="00383657" w:rsidRPr="008D3817" w:rsidRDefault="00383657"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shd w:val="clear" w:color="auto" w:fill="auto"/>
          </w:tcPr>
          <w:p w:rsidR="00383657" w:rsidRPr="008D3817" w:rsidRDefault="00383657" w:rsidP="008D3817">
            <w:pPr>
              <w:widowControl w:val="0"/>
              <w:tabs>
                <w:tab w:val="left" w:pos="1276"/>
              </w:tabs>
              <w:adjustRightInd w:val="0"/>
              <w:spacing w:after="0" w:line="240" w:lineRule="auto"/>
              <w:jc w:val="both"/>
              <w:textAlignment w:val="baseline"/>
              <w:rPr>
                <w:rFonts w:ascii="Times New Roman" w:hAnsi="Times New Roman"/>
                <w:sz w:val="20"/>
                <w:szCs w:val="20"/>
              </w:rPr>
            </w:pPr>
          </w:p>
        </w:tc>
        <w:tc>
          <w:tcPr>
            <w:tcW w:w="2693" w:type="dxa"/>
            <w:vMerge/>
            <w:shd w:val="clear" w:color="auto" w:fill="auto"/>
          </w:tcPr>
          <w:p w:rsidR="00383657" w:rsidRPr="008D3817" w:rsidRDefault="00383657" w:rsidP="008D3817">
            <w:pPr>
              <w:widowControl w:val="0"/>
              <w:tabs>
                <w:tab w:val="left" w:pos="622"/>
              </w:tabs>
              <w:spacing w:after="0" w:line="240" w:lineRule="auto"/>
              <w:jc w:val="both"/>
              <w:rPr>
                <w:rFonts w:ascii="Times New Roman" w:hAnsi="Times New Roman"/>
                <w:sz w:val="20"/>
                <w:szCs w:val="20"/>
              </w:rPr>
            </w:pPr>
          </w:p>
        </w:tc>
        <w:tc>
          <w:tcPr>
            <w:tcW w:w="3119" w:type="dxa"/>
            <w:tcBorders>
              <w:right w:val="single" w:sz="4" w:space="0" w:color="auto"/>
            </w:tcBorders>
            <w:shd w:val="clear" w:color="auto" w:fill="auto"/>
          </w:tcPr>
          <w:p w:rsidR="00383657" w:rsidRPr="008D3817" w:rsidRDefault="00935CD0" w:rsidP="008D3817">
            <w:pPr>
              <w:spacing w:after="0" w:line="240" w:lineRule="auto"/>
              <w:jc w:val="both"/>
              <w:rPr>
                <w:rFonts w:ascii="Times New Roman" w:hAnsi="Times New Roman"/>
                <w:sz w:val="20"/>
                <w:szCs w:val="20"/>
              </w:rPr>
            </w:pPr>
            <w:r w:rsidRPr="008D3817">
              <w:rPr>
                <w:rFonts w:ascii="Times New Roman" w:hAnsi="Times New Roman"/>
                <w:sz w:val="20"/>
                <w:szCs w:val="20"/>
              </w:rPr>
              <w:t xml:space="preserve">Studentų, pagal veiksmų programą ESF lėšomis atlikusių praktiką </w:t>
            </w:r>
            <w:r w:rsidRPr="008D3817">
              <w:rPr>
                <w:rFonts w:ascii="Times New Roman" w:hAnsi="Times New Roman"/>
                <w:sz w:val="20"/>
                <w:szCs w:val="20"/>
              </w:rPr>
              <w:lastRenderedPageBreak/>
              <w:t>į</w:t>
            </w:r>
            <w:r w:rsidR="0091347B">
              <w:rPr>
                <w:rFonts w:ascii="Times New Roman" w:hAnsi="Times New Roman"/>
                <w:sz w:val="20"/>
                <w:szCs w:val="20"/>
              </w:rPr>
              <w:t>monėse ir organizacijose, dalis</w:t>
            </w: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383657" w:rsidRPr="008D3817" w:rsidRDefault="00383657"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383657" w:rsidRPr="008D3817" w:rsidRDefault="00383657"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83657" w:rsidRPr="008D3817" w:rsidRDefault="00383657"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383657" w:rsidRPr="0083442A" w:rsidTr="00311D4A">
        <w:trPr>
          <w:trHeight w:val="1150"/>
        </w:trPr>
        <w:tc>
          <w:tcPr>
            <w:tcW w:w="1668" w:type="dxa"/>
            <w:vMerge/>
            <w:shd w:val="clear" w:color="auto" w:fill="auto"/>
          </w:tcPr>
          <w:p w:rsidR="00383657" w:rsidRPr="008D3817" w:rsidRDefault="00383657"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559" w:type="dxa"/>
            <w:vMerge/>
            <w:shd w:val="clear" w:color="auto" w:fill="auto"/>
          </w:tcPr>
          <w:p w:rsidR="00383657" w:rsidRPr="008D3817" w:rsidRDefault="00383657"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shd w:val="clear" w:color="auto" w:fill="auto"/>
          </w:tcPr>
          <w:p w:rsidR="00383657" w:rsidRPr="008D3817" w:rsidRDefault="00383657" w:rsidP="008D3817">
            <w:pPr>
              <w:widowControl w:val="0"/>
              <w:tabs>
                <w:tab w:val="left" w:pos="1276"/>
              </w:tabs>
              <w:adjustRightInd w:val="0"/>
              <w:spacing w:after="0" w:line="240" w:lineRule="auto"/>
              <w:jc w:val="both"/>
              <w:textAlignment w:val="baseline"/>
              <w:rPr>
                <w:rFonts w:ascii="Times New Roman" w:hAnsi="Times New Roman"/>
                <w:sz w:val="20"/>
                <w:szCs w:val="20"/>
              </w:rPr>
            </w:pPr>
          </w:p>
        </w:tc>
        <w:tc>
          <w:tcPr>
            <w:tcW w:w="2693" w:type="dxa"/>
            <w:shd w:val="clear" w:color="auto" w:fill="auto"/>
          </w:tcPr>
          <w:p w:rsidR="00383657" w:rsidRPr="008D3817" w:rsidRDefault="00935CD0"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hAnsi="Times New Roman"/>
                <w:bCs/>
                <w:iCs/>
                <w:sz w:val="20"/>
                <w:szCs w:val="20"/>
              </w:rPr>
              <w:t>Stiprinti aukštojo mokslo stebėseną, išorinį vertinimą ir efektyvų studijų valdymą, siekiant nuolatinio studijų kokybės gerinimo</w:t>
            </w:r>
          </w:p>
        </w:tc>
        <w:tc>
          <w:tcPr>
            <w:tcW w:w="3119" w:type="dxa"/>
            <w:tcBorders>
              <w:right w:val="single" w:sz="4" w:space="0" w:color="auto"/>
            </w:tcBorders>
            <w:shd w:val="clear" w:color="auto" w:fill="auto"/>
          </w:tcPr>
          <w:p w:rsidR="00383657" w:rsidRPr="008D3817" w:rsidRDefault="00935CD0" w:rsidP="008D3817">
            <w:pPr>
              <w:pStyle w:val="Betarp"/>
              <w:jc w:val="both"/>
              <w:rPr>
                <w:rFonts w:ascii="Times New Roman" w:hAnsi="Times New Roman"/>
                <w:sz w:val="20"/>
                <w:szCs w:val="20"/>
              </w:rPr>
            </w:pPr>
            <w:r w:rsidRPr="008D3817">
              <w:rPr>
                <w:rFonts w:ascii="Times New Roman" w:hAnsi="Times New Roman"/>
                <w:sz w:val="20"/>
                <w:szCs w:val="20"/>
              </w:rPr>
              <w:t>Aukštųjų mokyklų, kurioms pagal veiksmų programą ESF lėšomis buvo atli</w:t>
            </w:r>
            <w:r w:rsidR="0091347B">
              <w:rPr>
                <w:rFonts w:ascii="Times New Roman" w:hAnsi="Times New Roman"/>
                <w:sz w:val="20"/>
                <w:szCs w:val="20"/>
              </w:rPr>
              <w:t>ktas išorinis vertinimas, dalis</w:t>
            </w: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383657" w:rsidRPr="008D3817" w:rsidRDefault="00383657"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383657" w:rsidRPr="008D3817" w:rsidRDefault="00383657"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83657" w:rsidRPr="008D3817" w:rsidRDefault="00383657"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383657" w:rsidRPr="0083442A" w:rsidTr="00311D4A">
        <w:trPr>
          <w:trHeight w:val="381"/>
        </w:trPr>
        <w:tc>
          <w:tcPr>
            <w:tcW w:w="1668" w:type="dxa"/>
            <w:vMerge/>
            <w:shd w:val="clear" w:color="auto" w:fill="auto"/>
          </w:tcPr>
          <w:p w:rsidR="00383657" w:rsidRPr="008D3817" w:rsidRDefault="00383657"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559" w:type="dxa"/>
            <w:vMerge/>
            <w:shd w:val="clear" w:color="auto" w:fill="auto"/>
          </w:tcPr>
          <w:p w:rsidR="00383657" w:rsidRPr="008D3817" w:rsidRDefault="00383657"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shd w:val="clear" w:color="auto" w:fill="auto"/>
          </w:tcPr>
          <w:p w:rsidR="00383657" w:rsidRPr="008D3817" w:rsidRDefault="00383657" w:rsidP="008D3817">
            <w:pPr>
              <w:widowControl w:val="0"/>
              <w:tabs>
                <w:tab w:val="left" w:pos="1276"/>
              </w:tabs>
              <w:adjustRightInd w:val="0"/>
              <w:spacing w:after="0" w:line="240" w:lineRule="auto"/>
              <w:jc w:val="both"/>
              <w:textAlignment w:val="baseline"/>
              <w:rPr>
                <w:rFonts w:ascii="Times New Roman" w:hAnsi="Times New Roman"/>
                <w:sz w:val="20"/>
                <w:szCs w:val="20"/>
              </w:rPr>
            </w:pPr>
          </w:p>
        </w:tc>
        <w:tc>
          <w:tcPr>
            <w:tcW w:w="2693" w:type="dxa"/>
            <w:shd w:val="clear" w:color="auto" w:fill="auto"/>
          </w:tcPr>
          <w:p w:rsidR="00383657" w:rsidRPr="008D3817" w:rsidRDefault="00935CD0"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hAnsi="Times New Roman"/>
                <w:bCs/>
                <w:sz w:val="20"/>
                <w:szCs w:val="20"/>
              </w:rPr>
              <w:t>Sustiprinti viešojo sektoriaus tyrėjų gebėjimus bei pajėgumus vykdyti aukšto lygio MTEP veiklas</w:t>
            </w:r>
          </w:p>
        </w:tc>
        <w:tc>
          <w:tcPr>
            <w:tcW w:w="3119" w:type="dxa"/>
            <w:tcBorders>
              <w:right w:val="single" w:sz="4" w:space="0" w:color="auto"/>
            </w:tcBorders>
            <w:shd w:val="clear" w:color="auto" w:fill="auto"/>
            <w:vAlign w:val="center"/>
          </w:tcPr>
          <w:p w:rsidR="00383657" w:rsidRPr="008D3817" w:rsidRDefault="00935CD0" w:rsidP="008D3817">
            <w:pPr>
              <w:pStyle w:val="Betarp"/>
              <w:jc w:val="both"/>
              <w:rPr>
                <w:rFonts w:ascii="Times New Roman" w:hAnsi="Times New Roman"/>
                <w:sz w:val="20"/>
                <w:szCs w:val="20"/>
              </w:rPr>
            </w:pPr>
            <w:r w:rsidRPr="008D3817">
              <w:rPr>
                <w:rFonts w:ascii="Times New Roman" w:hAnsi="Times New Roman"/>
                <w:sz w:val="20"/>
                <w:szCs w:val="20"/>
                <w:lang w:eastAsia="lt-LT"/>
              </w:rPr>
              <w:t>Asmenų, kurie po dalyvavimo ESF veiklose baigė doktorantūros studijas, dalis</w:t>
            </w: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383657" w:rsidRPr="008D3817" w:rsidRDefault="00383657"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383657" w:rsidRPr="008D3817" w:rsidRDefault="00383657"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83657" w:rsidRPr="008D3817" w:rsidRDefault="00383657"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E320B1" w:rsidRPr="0083442A" w:rsidTr="00311D4A">
        <w:trPr>
          <w:trHeight w:val="1140"/>
        </w:trPr>
        <w:tc>
          <w:tcPr>
            <w:tcW w:w="1668" w:type="dxa"/>
            <w:vMerge/>
            <w:shd w:val="clear" w:color="auto" w:fill="auto"/>
          </w:tcPr>
          <w:p w:rsidR="00E320B1" w:rsidRPr="008D3817" w:rsidRDefault="00E320B1"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559" w:type="dxa"/>
            <w:vMerge/>
            <w:shd w:val="clear" w:color="auto" w:fill="auto"/>
          </w:tcPr>
          <w:p w:rsidR="00E320B1" w:rsidRPr="008D3817" w:rsidRDefault="00E320B1"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val="restart"/>
            <w:shd w:val="clear" w:color="auto" w:fill="auto"/>
          </w:tcPr>
          <w:p w:rsidR="00E320B1" w:rsidRPr="008D3817" w:rsidRDefault="00E320B1" w:rsidP="008D3817">
            <w:pPr>
              <w:widowControl w:val="0"/>
              <w:tabs>
                <w:tab w:val="left" w:pos="1276"/>
              </w:tabs>
              <w:adjustRightInd w:val="0"/>
              <w:spacing w:after="0" w:line="240" w:lineRule="auto"/>
              <w:jc w:val="both"/>
              <w:textAlignment w:val="baseline"/>
              <w:rPr>
                <w:rFonts w:ascii="Times New Roman" w:hAnsi="Times New Roman"/>
                <w:sz w:val="20"/>
                <w:szCs w:val="20"/>
              </w:rPr>
            </w:pPr>
            <w:r w:rsidRPr="008D3817">
              <w:rPr>
                <w:rFonts w:ascii="Times New Roman" w:hAnsi="Times New Roman"/>
                <w:bCs/>
                <w:iCs/>
                <w:sz w:val="20"/>
                <w:szCs w:val="20"/>
              </w:rPr>
              <w:t>Vienodų galimybių formaliai, neformaliai ir savarankiškai mokytis visą gyvenimą suteikimas visoms amžiaus grupėms, darbuotojų žinių, įgūdžių ir kompetencijos ugdymas ir lanksčių mokymosi būdų, be kita ko, pasitelkiant profesinį mokymą ir įgytos kompetencijos pripažinimą, skatinimas</w:t>
            </w:r>
          </w:p>
        </w:tc>
        <w:tc>
          <w:tcPr>
            <w:tcW w:w="2693" w:type="dxa"/>
            <w:vMerge w:val="restart"/>
            <w:shd w:val="clear" w:color="auto" w:fill="auto"/>
          </w:tcPr>
          <w:p w:rsidR="00E320B1" w:rsidRPr="008D3817" w:rsidRDefault="00E320B1"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hAnsi="Times New Roman"/>
                <w:bCs/>
                <w:sz w:val="20"/>
                <w:szCs w:val="20"/>
              </w:rPr>
              <w:t>Padidinti profesinio ir suaugusiųjų mokymo atitiktį darbo rinkos poreikiams ir patrauklumą</w:t>
            </w:r>
          </w:p>
        </w:tc>
        <w:tc>
          <w:tcPr>
            <w:tcW w:w="3119" w:type="dxa"/>
            <w:tcBorders>
              <w:right w:val="single" w:sz="4" w:space="0" w:color="auto"/>
            </w:tcBorders>
            <w:shd w:val="clear" w:color="auto" w:fill="auto"/>
          </w:tcPr>
          <w:p w:rsidR="00E320B1" w:rsidRPr="008D3817" w:rsidRDefault="00E320B1" w:rsidP="008D3817">
            <w:pPr>
              <w:spacing w:after="0" w:line="240" w:lineRule="auto"/>
              <w:jc w:val="both"/>
              <w:rPr>
                <w:rFonts w:ascii="Times New Roman" w:eastAsia="Times New Roman" w:hAnsi="Times New Roman"/>
                <w:bCs/>
                <w:sz w:val="20"/>
                <w:szCs w:val="20"/>
              </w:rPr>
            </w:pPr>
            <w:r w:rsidRPr="008D3817">
              <w:rPr>
                <w:rFonts w:ascii="Times New Roman" w:eastAsia="Times New Roman" w:hAnsi="Times New Roman"/>
                <w:bCs/>
                <w:sz w:val="20"/>
                <w:szCs w:val="20"/>
              </w:rPr>
              <w:t>Mokinių, kurie mokėsi pagal veiksmų programą ESF lėšomis parengtas arba atnaujintas modulines pro</w:t>
            </w:r>
            <w:r w:rsidR="0091347B">
              <w:rPr>
                <w:rFonts w:ascii="Times New Roman" w:eastAsia="Times New Roman" w:hAnsi="Times New Roman"/>
                <w:bCs/>
                <w:sz w:val="20"/>
                <w:szCs w:val="20"/>
              </w:rPr>
              <w:t>fesinio mokymo programas, dalis</w:t>
            </w: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E320B1" w:rsidRPr="008D3817" w:rsidRDefault="00E320B1"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E320B1" w:rsidRPr="008D3817" w:rsidRDefault="00E320B1"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E320B1" w:rsidRPr="008D3817" w:rsidRDefault="00E320B1"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E320B1" w:rsidRPr="0083442A" w:rsidTr="00311D4A">
        <w:trPr>
          <w:trHeight w:val="1094"/>
        </w:trPr>
        <w:tc>
          <w:tcPr>
            <w:tcW w:w="1668" w:type="dxa"/>
            <w:vMerge/>
            <w:shd w:val="clear" w:color="auto" w:fill="auto"/>
          </w:tcPr>
          <w:p w:rsidR="00E320B1" w:rsidRPr="008D3817" w:rsidRDefault="00E320B1"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559" w:type="dxa"/>
            <w:vMerge/>
            <w:shd w:val="clear" w:color="auto" w:fill="auto"/>
          </w:tcPr>
          <w:p w:rsidR="00E320B1" w:rsidRPr="008D3817" w:rsidRDefault="00E320B1"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shd w:val="clear" w:color="auto" w:fill="auto"/>
          </w:tcPr>
          <w:p w:rsidR="00E320B1" w:rsidRPr="008D3817" w:rsidRDefault="00E320B1" w:rsidP="008D3817">
            <w:pPr>
              <w:widowControl w:val="0"/>
              <w:tabs>
                <w:tab w:val="left" w:pos="1276"/>
              </w:tabs>
              <w:adjustRightInd w:val="0"/>
              <w:spacing w:after="0" w:line="240" w:lineRule="auto"/>
              <w:jc w:val="both"/>
              <w:textAlignment w:val="baseline"/>
              <w:rPr>
                <w:rFonts w:ascii="Times New Roman" w:hAnsi="Times New Roman"/>
                <w:bCs/>
                <w:iCs/>
                <w:sz w:val="20"/>
                <w:szCs w:val="20"/>
              </w:rPr>
            </w:pPr>
          </w:p>
        </w:tc>
        <w:tc>
          <w:tcPr>
            <w:tcW w:w="2693" w:type="dxa"/>
            <w:vMerge/>
            <w:shd w:val="clear" w:color="auto" w:fill="auto"/>
          </w:tcPr>
          <w:p w:rsidR="00E320B1" w:rsidRPr="008D3817" w:rsidRDefault="00E320B1" w:rsidP="008D3817">
            <w:pPr>
              <w:widowControl w:val="0"/>
              <w:tabs>
                <w:tab w:val="left" w:pos="622"/>
              </w:tabs>
              <w:spacing w:after="0" w:line="240" w:lineRule="auto"/>
              <w:jc w:val="both"/>
              <w:rPr>
                <w:rFonts w:ascii="Times New Roman" w:hAnsi="Times New Roman"/>
                <w:bCs/>
                <w:sz w:val="20"/>
                <w:szCs w:val="20"/>
              </w:rPr>
            </w:pPr>
          </w:p>
        </w:tc>
        <w:tc>
          <w:tcPr>
            <w:tcW w:w="3119" w:type="dxa"/>
            <w:tcBorders>
              <w:right w:val="single" w:sz="4" w:space="0" w:color="auto"/>
            </w:tcBorders>
            <w:shd w:val="clear" w:color="auto" w:fill="auto"/>
          </w:tcPr>
          <w:p w:rsidR="00E320B1" w:rsidRPr="008D3817" w:rsidRDefault="00E320B1" w:rsidP="008D3817">
            <w:pPr>
              <w:spacing w:after="0" w:line="240" w:lineRule="auto"/>
              <w:jc w:val="both"/>
              <w:rPr>
                <w:rFonts w:ascii="Times New Roman" w:eastAsia="Times New Roman" w:hAnsi="Times New Roman"/>
                <w:bCs/>
                <w:sz w:val="20"/>
                <w:szCs w:val="20"/>
              </w:rPr>
            </w:pPr>
            <w:r w:rsidRPr="008D3817">
              <w:rPr>
                <w:rFonts w:ascii="Times New Roman" w:eastAsia="Times New Roman" w:hAnsi="Times New Roman"/>
                <w:bCs/>
                <w:sz w:val="20"/>
                <w:szCs w:val="20"/>
              </w:rPr>
              <w:t>Mokinių, kurie pagal veiksmų programą ESF lėšomis baigę profesinio mokymo programos dalį darbo viet</w:t>
            </w:r>
            <w:r w:rsidR="0091347B">
              <w:rPr>
                <w:rFonts w:ascii="Times New Roman" w:eastAsia="Times New Roman" w:hAnsi="Times New Roman"/>
                <w:bCs/>
                <w:sz w:val="20"/>
                <w:szCs w:val="20"/>
              </w:rPr>
              <w:t>oje, įgijo kvalifikaciją, dalis</w:t>
            </w: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E320B1" w:rsidRPr="008D3817" w:rsidRDefault="00E320B1"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E320B1" w:rsidRPr="008D3817" w:rsidRDefault="00E320B1"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E320B1" w:rsidRPr="008D3817" w:rsidRDefault="00E320B1"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E320B1" w:rsidRPr="0083442A" w:rsidTr="00311D4A">
        <w:trPr>
          <w:trHeight w:val="274"/>
        </w:trPr>
        <w:tc>
          <w:tcPr>
            <w:tcW w:w="1668" w:type="dxa"/>
            <w:vMerge/>
            <w:shd w:val="clear" w:color="auto" w:fill="auto"/>
          </w:tcPr>
          <w:p w:rsidR="00E320B1" w:rsidRPr="008D3817" w:rsidRDefault="00E320B1"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559" w:type="dxa"/>
            <w:vMerge/>
            <w:shd w:val="clear" w:color="auto" w:fill="auto"/>
          </w:tcPr>
          <w:p w:rsidR="00E320B1" w:rsidRPr="008D3817" w:rsidRDefault="00E320B1"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shd w:val="clear" w:color="auto" w:fill="auto"/>
          </w:tcPr>
          <w:p w:rsidR="00E320B1" w:rsidRPr="008D3817" w:rsidRDefault="00E320B1" w:rsidP="008D3817">
            <w:pPr>
              <w:widowControl w:val="0"/>
              <w:tabs>
                <w:tab w:val="left" w:pos="1276"/>
              </w:tabs>
              <w:adjustRightInd w:val="0"/>
              <w:spacing w:after="0" w:line="240" w:lineRule="auto"/>
              <w:jc w:val="both"/>
              <w:textAlignment w:val="baseline"/>
              <w:rPr>
                <w:rFonts w:ascii="Times New Roman" w:hAnsi="Times New Roman"/>
                <w:bCs/>
                <w:iCs/>
                <w:sz w:val="20"/>
                <w:szCs w:val="20"/>
              </w:rPr>
            </w:pPr>
          </w:p>
        </w:tc>
        <w:tc>
          <w:tcPr>
            <w:tcW w:w="2693" w:type="dxa"/>
            <w:vMerge/>
            <w:shd w:val="clear" w:color="auto" w:fill="auto"/>
          </w:tcPr>
          <w:p w:rsidR="00E320B1" w:rsidRPr="008D3817" w:rsidRDefault="00E320B1" w:rsidP="008D3817">
            <w:pPr>
              <w:widowControl w:val="0"/>
              <w:tabs>
                <w:tab w:val="left" w:pos="622"/>
              </w:tabs>
              <w:spacing w:after="0" w:line="240" w:lineRule="auto"/>
              <w:jc w:val="both"/>
              <w:rPr>
                <w:rFonts w:ascii="Times New Roman" w:hAnsi="Times New Roman"/>
                <w:bCs/>
                <w:sz w:val="20"/>
                <w:szCs w:val="20"/>
              </w:rPr>
            </w:pPr>
          </w:p>
        </w:tc>
        <w:tc>
          <w:tcPr>
            <w:tcW w:w="3119" w:type="dxa"/>
            <w:tcBorders>
              <w:right w:val="single" w:sz="4" w:space="0" w:color="auto"/>
            </w:tcBorders>
            <w:shd w:val="clear" w:color="auto" w:fill="auto"/>
          </w:tcPr>
          <w:p w:rsidR="00E320B1" w:rsidRPr="008D3817" w:rsidRDefault="00206887" w:rsidP="00206887">
            <w:pPr>
              <w:spacing w:after="0" w:line="240" w:lineRule="auto"/>
              <w:jc w:val="both"/>
              <w:rPr>
                <w:rFonts w:ascii="Times New Roman" w:eastAsia="Times New Roman" w:hAnsi="Times New Roman"/>
                <w:bCs/>
                <w:sz w:val="20"/>
                <w:szCs w:val="20"/>
              </w:rPr>
            </w:pPr>
            <w:r>
              <w:rPr>
                <w:rFonts w:ascii="Times New Roman" w:eastAsia="Times New Roman" w:hAnsi="Times New Roman"/>
                <w:bCs/>
                <w:sz w:val="20"/>
                <w:szCs w:val="20"/>
              </w:rPr>
              <w:t>M</w:t>
            </w:r>
            <w:r w:rsidR="00E320B1" w:rsidRPr="008D3817">
              <w:rPr>
                <w:rFonts w:ascii="Times New Roman" w:eastAsia="Times New Roman" w:hAnsi="Times New Roman"/>
                <w:bCs/>
                <w:sz w:val="20"/>
                <w:szCs w:val="20"/>
              </w:rPr>
              <w:t>okinių, kurie mokosi pagal profesinio mokymo programas, kurios pagal veiksmų programą ESF lėšomis buvo įvertintos išoriniu vertinimu</w:t>
            </w:r>
            <w:r>
              <w:rPr>
                <w:rFonts w:ascii="Times New Roman" w:eastAsia="Times New Roman" w:hAnsi="Times New Roman"/>
                <w:bCs/>
                <w:sz w:val="20"/>
                <w:szCs w:val="20"/>
              </w:rPr>
              <w:t>, dalis</w:t>
            </w: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E320B1" w:rsidRPr="008D3817" w:rsidRDefault="00E320B1"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E320B1" w:rsidRPr="008D3817" w:rsidRDefault="00E320B1"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E320B1" w:rsidRPr="008D3817" w:rsidRDefault="00E320B1"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383657" w:rsidRPr="0083442A" w:rsidTr="00311D4A">
        <w:trPr>
          <w:trHeight w:val="695"/>
        </w:trPr>
        <w:tc>
          <w:tcPr>
            <w:tcW w:w="1668" w:type="dxa"/>
            <w:vMerge/>
            <w:shd w:val="clear" w:color="auto" w:fill="auto"/>
          </w:tcPr>
          <w:p w:rsidR="00383657" w:rsidRPr="008D3817" w:rsidRDefault="00383657"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559" w:type="dxa"/>
            <w:vMerge/>
            <w:shd w:val="clear" w:color="auto" w:fill="auto"/>
          </w:tcPr>
          <w:p w:rsidR="00383657" w:rsidRPr="008D3817" w:rsidRDefault="00383657"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shd w:val="clear" w:color="auto" w:fill="auto"/>
          </w:tcPr>
          <w:p w:rsidR="00383657" w:rsidRPr="008D3817" w:rsidRDefault="00383657" w:rsidP="008D3817">
            <w:pPr>
              <w:widowControl w:val="0"/>
              <w:tabs>
                <w:tab w:val="left" w:pos="1276"/>
              </w:tabs>
              <w:adjustRightInd w:val="0"/>
              <w:spacing w:after="0" w:line="240" w:lineRule="auto"/>
              <w:jc w:val="both"/>
              <w:textAlignment w:val="baseline"/>
              <w:rPr>
                <w:rFonts w:ascii="Times New Roman" w:hAnsi="Times New Roman"/>
                <w:sz w:val="20"/>
                <w:szCs w:val="20"/>
              </w:rPr>
            </w:pPr>
          </w:p>
        </w:tc>
        <w:tc>
          <w:tcPr>
            <w:tcW w:w="2693" w:type="dxa"/>
            <w:shd w:val="clear" w:color="auto" w:fill="auto"/>
          </w:tcPr>
          <w:p w:rsidR="00383657" w:rsidRPr="008D3817" w:rsidRDefault="00E320B1"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hAnsi="Times New Roman"/>
                <w:bCs/>
                <w:iCs/>
                <w:sz w:val="20"/>
                <w:szCs w:val="20"/>
              </w:rPr>
              <w:t>Sukurti sąlygas ir paskatas mokymuisi visą gyvenimą, užtikrinant veiksmingą pagalbą tobulinantis</w:t>
            </w:r>
          </w:p>
        </w:tc>
        <w:tc>
          <w:tcPr>
            <w:tcW w:w="3119" w:type="dxa"/>
            <w:tcBorders>
              <w:right w:val="single" w:sz="4" w:space="0" w:color="auto"/>
            </w:tcBorders>
            <w:shd w:val="clear" w:color="auto" w:fill="auto"/>
          </w:tcPr>
          <w:p w:rsidR="00383657" w:rsidRPr="008D3817" w:rsidRDefault="00E320B1" w:rsidP="008D3817">
            <w:pPr>
              <w:spacing w:after="0" w:line="240" w:lineRule="auto"/>
              <w:jc w:val="both"/>
              <w:rPr>
                <w:rFonts w:ascii="Times New Roman" w:eastAsia="Times New Roman" w:hAnsi="Times New Roman"/>
                <w:bCs/>
                <w:sz w:val="20"/>
                <w:szCs w:val="20"/>
              </w:rPr>
            </w:pPr>
            <w:r w:rsidRPr="008D3817">
              <w:rPr>
                <w:rFonts w:ascii="Times New Roman" w:eastAsia="Times New Roman" w:hAnsi="Times New Roman"/>
                <w:bCs/>
                <w:sz w:val="20"/>
                <w:szCs w:val="20"/>
              </w:rPr>
              <w:t>Asmenų, kurie įgijo valstybės pripažįstamą kvalifikaciją po dalyvavimo ESF</w:t>
            </w:r>
            <w:r w:rsidR="0091347B">
              <w:rPr>
                <w:rFonts w:ascii="Times New Roman" w:eastAsia="Times New Roman" w:hAnsi="Times New Roman"/>
                <w:bCs/>
                <w:sz w:val="20"/>
                <w:szCs w:val="20"/>
              </w:rPr>
              <w:t xml:space="preserve"> veiklose, dalis</w:t>
            </w: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383657" w:rsidRPr="008D3817" w:rsidRDefault="00383657"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383657" w:rsidRPr="008D3817" w:rsidRDefault="00383657"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83657" w:rsidRPr="008D3817" w:rsidRDefault="00383657"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383657" w:rsidRPr="0083442A" w:rsidTr="009C0228">
        <w:trPr>
          <w:trHeight w:val="157"/>
        </w:trPr>
        <w:tc>
          <w:tcPr>
            <w:tcW w:w="1668" w:type="dxa"/>
            <w:vMerge/>
            <w:shd w:val="clear" w:color="auto" w:fill="auto"/>
          </w:tcPr>
          <w:p w:rsidR="00383657" w:rsidRPr="008D3817" w:rsidRDefault="00383657"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559" w:type="dxa"/>
            <w:vMerge/>
            <w:shd w:val="clear" w:color="auto" w:fill="auto"/>
          </w:tcPr>
          <w:p w:rsidR="00383657" w:rsidRPr="008D3817" w:rsidRDefault="00383657"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shd w:val="clear" w:color="auto" w:fill="auto"/>
          </w:tcPr>
          <w:p w:rsidR="00383657" w:rsidRPr="008D3817" w:rsidRDefault="00383657" w:rsidP="008D3817">
            <w:pPr>
              <w:widowControl w:val="0"/>
              <w:tabs>
                <w:tab w:val="left" w:pos="1276"/>
              </w:tabs>
              <w:adjustRightInd w:val="0"/>
              <w:spacing w:after="0" w:line="240" w:lineRule="auto"/>
              <w:jc w:val="both"/>
              <w:textAlignment w:val="baseline"/>
              <w:rPr>
                <w:rFonts w:ascii="Times New Roman" w:hAnsi="Times New Roman"/>
                <w:sz w:val="20"/>
                <w:szCs w:val="20"/>
              </w:rPr>
            </w:pPr>
          </w:p>
        </w:tc>
        <w:tc>
          <w:tcPr>
            <w:tcW w:w="2693" w:type="dxa"/>
            <w:shd w:val="clear" w:color="auto" w:fill="auto"/>
          </w:tcPr>
          <w:p w:rsidR="00383657" w:rsidRPr="008D3817" w:rsidRDefault="00E320B1"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hAnsi="Times New Roman"/>
                <w:sz w:val="20"/>
                <w:szCs w:val="20"/>
              </w:rPr>
              <w:t xml:space="preserve">Padidinti dirbančių žmogiškųjų išteklių konkurencingumą, užtikrinant galimybes prisitaikyti prie </w:t>
            </w:r>
            <w:r w:rsidRPr="008D3817">
              <w:rPr>
                <w:rFonts w:ascii="Times New Roman" w:hAnsi="Times New Roman"/>
                <w:sz w:val="20"/>
                <w:szCs w:val="20"/>
              </w:rPr>
              <w:lastRenderedPageBreak/>
              <w:t>ūkio poreikių</w:t>
            </w:r>
          </w:p>
        </w:tc>
        <w:tc>
          <w:tcPr>
            <w:tcW w:w="3119" w:type="dxa"/>
            <w:tcBorders>
              <w:right w:val="single" w:sz="4" w:space="0" w:color="auto"/>
            </w:tcBorders>
            <w:shd w:val="clear" w:color="auto" w:fill="auto"/>
            <w:vAlign w:val="center"/>
          </w:tcPr>
          <w:p w:rsidR="00383657" w:rsidRPr="008D3817" w:rsidRDefault="00E320B1" w:rsidP="008D3817">
            <w:pPr>
              <w:spacing w:after="0" w:line="240" w:lineRule="auto"/>
              <w:jc w:val="both"/>
              <w:rPr>
                <w:rFonts w:ascii="Times New Roman" w:hAnsi="Times New Roman"/>
                <w:sz w:val="20"/>
                <w:szCs w:val="20"/>
              </w:rPr>
            </w:pPr>
            <w:r w:rsidRPr="008D3817">
              <w:rPr>
                <w:rFonts w:ascii="Times New Roman" w:hAnsi="Times New Roman"/>
                <w:bCs/>
                <w:sz w:val="20"/>
                <w:szCs w:val="20"/>
              </w:rPr>
              <w:lastRenderedPageBreak/>
              <w:t xml:space="preserve">Sėkmingai mokymus baigusių asmenų, kurie taiko įgytas žinias darbe, dalis praėjus ne mažiau kaip 6 mėn., bet ne daugiau kaip 24 </w:t>
            </w:r>
            <w:r w:rsidR="0091347B">
              <w:rPr>
                <w:rFonts w:ascii="Times New Roman" w:hAnsi="Times New Roman"/>
                <w:bCs/>
                <w:sz w:val="20"/>
                <w:szCs w:val="20"/>
              </w:rPr>
              <w:t xml:space="preserve">mėn. </w:t>
            </w:r>
            <w:r w:rsidR="0091347B">
              <w:rPr>
                <w:rFonts w:ascii="Times New Roman" w:hAnsi="Times New Roman"/>
                <w:bCs/>
                <w:sz w:val="20"/>
                <w:szCs w:val="20"/>
              </w:rPr>
              <w:lastRenderedPageBreak/>
              <w:t>po dalyvavimo ESF veiklose</w:t>
            </w: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383657" w:rsidRPr="008D3817" w:rsidRDefault="00383657"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383657" w:rsidRPr="008D3817" w:rsidRDefault="00383657"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83657" w:rsidRPr="008D3817" w:rsidRDefault="00383657"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D80E16" w:rsidRPr="0083442A" w:rsidTr="00311D4A">
        <w:tc>
          <w:tcPr>
            <w:tcW w:w="1668" w:type="dxa"/>
            <w:vMerge w:val="restart"/>
            <w:shd w:val="clear" w:color="auto" w:fill="auto"/>
          </w:tcPr>
          <w:p w:rsidR="00D80E16" w:rsidRPr="008D3817" w:rsidRDefault="00D80E16" w:rsidP="008D3817">
            <w:pPr>
              <w:widowControl w:val="0"/>
              <w:tabs>
                <w:tab w:val="left" w:pos="622"/>
              </w:tabs>
              <w:spacing w:after="0" w:line="240" w:lineRule="auto"/>
              <w:jc w:val="both"/>
              <w:rPr>
                <w:rFonts w:ascii="Times New Roman" w:eastAsia="AngsanaUPC" w:hAnsi="Times New Roman"/>
                <w:b/>
                <w:bCs/>
                <w:sz w:val="20"/>
                <w:szCs w:val="20"/>
                <w:lang w:eastAsia="lt-LT"/>
              </w:rPr>
            </w:pPr>
            <w:r w:rsidRPr="008D3817">
              <w:rPr>
                <w:rFonts w:ascii="Times New Roman" w:hAnsi="Times New Roman"/>
                <w:sz w:val="20"/>
                <w:szCs w:val="20"/>
              </w:rPr>
              <w:lastRenderedPageBreak/>
              <w:t>Visuomenės poreikius atitinkantis ir pažangus viešasis valdymas</w:t>
            </w:r>
          </w:p>
        </w:tc>
        <w:tc>
          <w:tcPr>
            <w:tcW w:w="1559" w:type="dxa"/>
            <w:vMerge w:val="restart"/>
            <w:shd w:val="clear" w:color="auto" w:fill="auto"/>
          </w:tcPr>
          <w:p w:rsidR="00D80E16" w:rsidRPr="008D3817" w:rsidRDefault="00D80E16"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eastAsia="AngsanaUPC" w:hAnsi="Times New Roman"/>
                <w:bCs/>
                <w:sz w:val="20"/>
                <w:szCs w:val="20"/>
                <w:lang w:eastAsia="lt-LT"/>
              </w:rPr>
              <w:t>Institucinių pajėgumų stiprinimas ir veiksmingas viešasis administravimas</w:t>
            </w:r>
          </w:p>
        </w:tc>
        <w:tc>
          <w:tcPr>
            <w:tcW w:w="2835" w:type="dxa"/>
            <w:vMerge w:val="restart"/>
            <w:shd w:val="clear" w:color="auto" w:fill="auto"/>
          </w:tcPr>
          <w:p w:rsidR="00D80E16" w:rsidRPr="008D3817" w:rsidRDefault="00D80E16" w:rsidP="008D3817">
            <w:pPr>
              <w:widowControl w:val="0"/>
              <w:tabs>
                <w:tab w:val="left" w:pos="1276"/>
              </w:tabs>
              <w:adjustRightInd w:val="0"/>
              <w:spacing w:after="0" w:line="240" w:lineRule="auto"/>
              <w:jc w:val="both"/>
              <w:textAlignment w:val="baseline"/>
              <w:rPr>
                <w:rFonts w:ascii="Times New Roman" w:hAnsi="Times New Roman"/>
                <w:sz w:val="20"/>
                <w:szCs w:val="20"/>
              </w:rPr>
            </w:pPr>
            <w:r w:rsidRPr="008D3817">
              <w:rPr>
                <w:rFonts w:ascii="Times New Roman" w:hAnsi="Times New Roman"/>
                <w:sz w:val="20"/>
                <w:szCs w:val="20"/>
              </w:rPr>
              <w:t>Investavimas į institucinių gebėjimų stiprinimą ir veiksmingesnį viešąjį administravimą bei viešąsias paslaugas nacionaliniu, regionų ir vietos lygmenimis, siekiant reformų, geresnio reglamentavimo ir gero valdymo</w:t>
            </w:r>
          </w:p>
        </w:tc>
        <w:tc>
          <w:tcPr>
            <w:tcW w:w="2693" w:type="dxa"/>
            <w:shd w:val="clear" w:color="auto" w:fill="auto"/>
          </w:tcPr>
          <w:p w:rsidR="00D80E16" w:rsidRPr="008D3817" w:rsidRDefault="00D80E16"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hAnsi="Times New Roman"/>
                <w:sz w:val="20"/>
                <w:szCs w:val="20"/>
              </w:rPr>
              <w:t>Padidinti valdymo orientaciją į rezultatus</w:t>
            </w:r>
          </w:p>
        </w:tc>
        <w:tc>
          <w:tcPr>
            <w:tcW w:w="3119" w:type="dxa"/>
            <w:shd w:val="clear" w:color="auto" w:fill="auto"/>
            <w:vAlign w:val="center"/>
          </w:tcPr>
          <w:p w:rsidR="00D80E16" w:rsidRPr="008D3817" w:rsidRDefault="00D80E16" w:rsidP="008D3817">
            <w:pPr>
              <w:spacing w:after="0" w:line="240" w:lineRule="auto"/>
              <w:jc w:val="both"/>
              <w:rPr>
                <w:rFonts w:ascii="Times New Roman" w:eastAsia="Times New Roman" w:hAnsi="Times New Roman"/>
                <w:bCs/>
                <w:sz w:val="20"/>
                <w:szCs w:val="20"/>
              </w:rPr>
            </w:pPr>
            <w:r w:rsidRPr="008D3817">
              <w:rPr>
                <w:rFonts w:ascii="Times New Roman" w:eastAsia="Times New Roman" w:hAnsi="Times New Roman"/>
                <w:bCs/>
                <w:sz w:val="20"/>
                <w:szCs w:val="20"/>
              </w:rPr>
              <w:t>Valstybės ir savivaldybių institucijų ir įstaigų, kurios naudoja pagal veiksmų programą ESF lėšomis įgyvendintas veiklos vald</w:t>
            </w:r>
            <w:r w:rsidR="0091347B">
              <w:rPr>
                <w:rFonts w:ascii="Times New Roman" w:eastAsia="Times New Roman" w:hAnsi="Times New Roman"/>
                <w:bCs/>
                <w:sz w:val="20"/>
                <w:szCs w:val="20"/>
              </w:rPr>
              <w:t>ymo tobulinimo priemones, dalis</w:t>
            </w:r>
          </w:p>
        </w:tc>
        <w:tc>
          <w:tcPr>
            <w:tcW w:w="850" w:type="dxa"/>
            <w:vMerge w:val="restart"/>
            <w:tcBorders>
              <w:top w:val="single" w:sz="4" w:space="0" w:color="auto"/>
            </w:tcBorders>
            <w:shd w:val="clear" w:color="auto" w:fill="auto"/>
          </w:tcPr>
          <w:p w:rsidR="00D80E16" w:rsidRPr="008D3817" w:rsidRDefault="00D80E16"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eastAsia="AngsanaUPC" w:hAnsi="Times New Roman"/>
                <w:bCs/>
                <w:sz w:val="20"/>
                <w:szCs w:val="20"/>
                <w:lang w:eastAsia="lt-LT"/>
              </w:rPr>
              <w:t>ESF</w:t>
            </w:r>
          </w:p>
        </w:tc>
        <w:tc>
          <w:tcPr>
            <w:tcW w:w="1276" w:type="dxa"/>
            <w:vMerge w:val="restart"/>
            <w:tcBorders>
              <w:top w:val="single" w:sz="4" w:space="0" w:color="auto"/>
            </w:tcBorders>
            <w:shd w:val="clear" w:color="auto" w:fill="auto"/>
          </w:tcPr>
          <w:p w:rsidR="00D80E16" w:rsidRPr="008A4871" w:rsidRDefault="00071690" w:rsidP="008D02AD">
            <w:pPr>
              <w:widowControl w:val="0"/>
              <w:tabs>
                <w:tab w:val="left" w:pos="622"/>
              </w:tabs>
              <w:spacing w:after="0" w:line="240" w:lineRule="auto"/>
              <w:jc w:val="both"/>
              <w:rPr>
                <w:rFonts w:ascii="Times New Roman" w:eastAsia="AngsanaUPC" w:hAnsi="Times New Roman"/>
                <w:bCs/>
                <w:sz w:val="20"/>
                <w:szCs w:val="20"/>
                <w:lang w:eastAsia="lt-LT"/>
              </w:rPr>
            </w:pPr>
            <w:r>
              <w:rPr>
                <w:rFonts w:ascii="Times New Roman" w:eastAsia="AngsanaUPC" w:hAnsi="Times New Roman"/>
                <w:bCs/>
                <w:sz w:val="20"/>
                <w:szCs w:val="20"/>
                <w:lang w:eastAsia="lt-LT"/>
              </w:rPr>
              <w:t>107.459.184</w:t>
            </w:r>
          </w:p>
        </w:tc>
        <w:tc>
          <w:tcPr>
            <w:tcW w:w="1134" w:type="dxa"/>
            <w:vMerge w:val="restart"/>
            <w:tcBorders>
              <w:top w:val="single" w:sz="4" w:space="0" w:color="auto"/>
            </w:tcBorders>
            <w:shd w:val="clear" w:color="auto" w:fill="auto"/>
          </w:tcPr>
          <w:p w:rsidR="00D80E16" w:rsidRPr="008D3817" w:rsidRDefault="008A4871" w:rsidP="009C0228">
            <w:pPr>
              <w:widowControl w:val="0"/>
              <w:tabs>
                <w:tab w:val="left" w:pos="622"/>
              </w:tabs>
              <w:spacing w:after="0" w:line="240" w:lineRule="auto"/>
              <w:jc w:val="both"/>
              <w:rPr>
                <w:rFonts w:ascii="Times New Roman" w:eastAsia="AngsanaUPC" w:hAnsi="Times New Roman"/>
                <w:bCs/>
                <w:sz w:val="20"/>
                <w:szCs w:val="20"/>
                <w:lang w:val="en-US" w:eastAsia="lt-LT"/>
              </w:rPr>
            </w:pPr>
            <w:r>
              <w:rPr>
                <w:rFonts w:ascii="Times New Roman" w:eastAsia="AngsanaUPC" w:hAnsi="Times New Roman"/>
                <w:bCs/>
                <w:sz w:val="20"/>
                <w:szCs w:val="20"/>
                <w:lang w:eastAsia="lt-LT"/>
              </w:rPr>
              <w:t>1,</w:t>
            </w:r>
            <w:r w:rsidR="00071690">
              <w:rPr>
                <w:rFonts w:ascii="Times New Roman" w:eastAsia="AngsanaUPC" w:hAnsi="Times New Roman"/>
                <w:bCs/>
                <w:sz w:val="20"/>
                <w:szCs w:val="20"/>
                <w:lang w:eastAsia="lt-LT"/>
              </w:rPr>
              <w:t>5</w:t>
            </w:r>
            <w:r w:rsidR="009C0228">
              <w:rPr>
                <w:rFonts w:ascii="Times New Roman" w:eastAsia="AngsanaUPC" w:hAnsi="Times New Roman"/>
                <w:bCs/>
                <w:sz w:val="20"/>
                <w:szCs w:val="20"/>
                <w:lang w:eastAsia="lt-LT"/>
              </w:rPr>
              <w:t>3</w:t>
            </w:r>
            <w:r w:rsidR="00D80E16" w:rsidRPr="008D3817">
              <w:rPr>
                <w:rFonts w:ascii="Times New Roman" w:eastAsia="AngsanaUPC" w:hAnsi="Times New Roman"/>
                <w:bCs/>
                <w:sz w:val="20"/>
                <w:szCs w:val="20"/>
                <w:lang w:eastAsia="lt-LT"/>
              </w:rPr>
              <w:t xml:space="preserve"> </w:t>
            </w:r>
            <w:r w:rsidR="00D80E16" w:rsidRPr="008D3817">
              <w:rPr>
                <w:rFonts w:ascii="Times New Roman" w:eastAsia="AngsanaUPC" w:hAnsi="Times New Roman"/>
                <w:bCs/>
                <w:sz w:val="20"/>
                <w:szCs w:val="20"/>
                <w:lang w:val="en-US" w:eastAsia="lt-LT"/>
              </w:rPr>
              <w:t>%</w:t>
            </w:r>
          </w:p>
        </w:tc>
      </w:tr>
      <w:tr w:rsidR="00A842B0" w:rsidRPr="0083442A" w:rsidTr="00D6431A">
        <w:trPr>
          <w:trHeight w:val="507"/>
        </w:trPr>
        <w:tc>
          <w:tcPr>
            <w:tcW w:w="1668" w:type="dxa"/>
            <w:vMerge/>
            <w:shd w:val="clear" w:color="auto" w:fill="auto"/>
          </w:tcPr>
          <w:p w:rsidR="00A842B0" w:rsidRPr="008D3817" w:rsidRDefault="00A842B0" w:rsidP="008D3817">
            <w:pPr>
              <w:widowControl w:val="0"/>
              <w:tabs>
                <w:tab w:val="left" w:pos="622"/>
              </w:tabs>
              <w:spacing w:after="0" w:line="240" w:lineRule="auto"/>
              <w:jc w:val="both"/>
              <w:rPr>
                <w:rFonts w:ascii="Times New Roman" w:hAnsi="Times New Roman"/>
                <w:sz w:val="20"/>
                <w:szCs w:val="20"/>
              </w:rPr>
            </w:pPr>
          </w:p>
        </w:tc>
        <w:tc>
          <w:tcPr>
            <w:tcW w:w="1559" w:type="dxa"/>
            <w:vMerge/>
            <w:shd w:val="clear" w:color="auto" w:fill="auto"/>
          </w:tcPr>
          <w:p w:rsidR="00A842B0" w:rsidRPr="008D3817" w:rsidRDefault="00A842B0"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shd w:val="clear" w:color="auto" w:fill="auto"/>
          </w:tcPr>
          <w:p w:rsidR="00A842B0" w:rsidRPr="008D3817" w:rsidRDefault="00A842B0" w:rsidP="008D3817">
            <w:pPr>
              <w:widowControl w:val="0"/>
              <w:tabs>
                <w:tab w:val="left" w:pos="1276"/>
              </w:tabs>
              <w:adjustRightInd w:val="0"/>
              <w:spacing w:after="0" w:line="240" w:lineRule="auto"/>
              <w:jc w:val="both"/>
              <w:textAlignment w:val="baseline"/>
              <w:rPr>
                <w:rFonts w:ascii="Times New Roman" w:hAnsi="Times New Roman"/>
                <w:sz w:val="20"/>
                <w:szCs w:val="20"/>
              </w:rPr>
            </w:pPr>
          </w:p>
        </w:tc>
        <w:tc>
          <w:tcPr>
            <w:tcW w:w="2693" w:type="dxa"/>
            <w:vMerge w:val="restart"/>
            <w:shd w:val="clear" w:color="auto" w:fill="auto"/>
          </w:tcPr>
          <w:p w:rsidR="00A842B0" w:rsidRPr="008D3817" w:rsidRDefault="00A842B0"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hAnsi="Times New Roman"/>
                <w:bCs/>
                <w:sz w:val="20"/>
                <w:szCs w:val="20"/>
              </w:rPr>
              <w:t>Padidinti viešojo valdymo procesų skaidrumą ir atvirumą</w:t>
            </w:r>
          </w:p>
        </w:tc>
        <w:tc>
          <w:tcPr>
            <w:tcW w:w="3119" w:type="dxa"/>
            <w:shd w:val="clear" w:color="auto" w:fill="auto"/>
            <w:vAlign w:val="center"/>
          </w:tcPr>
          <w:p w:rsidR="00A842B0" w:rsidRPr="008D3817" w:rsidRDefault="00A842B0" w:rsidP="008D3817">
            <w:pPr>
              <w:spacing w:after="0" w:line="240" w:lineRule="auto"/>
              <w:jc w:val="both"/>
              <w:rPr>
                <w:rFonts w:ascii="Times New Roman" w:eastAsia="Times New Roman" w:hAnsi="Times New Roman"/>
                <w:bCs/>
                <w:sz w:val="20"/>
                <w:szCs w:val="20"/>
              </w:rPr>
            </w:pPr>
            <w:r w:rsidRPr="008D3817">
              <w:rPr>
                <w:rFonts w:ascii="Times New Roman" w:eastAsia="Times New Roman" w:hAnsi="Times New Roman"/>
                <w:bCs/>
                <w:sz w:val="20"/>
                <w:szCs w:val="20"/>
              </w:rPr>
              <w:t>Viešųjų pirkimų, per kalendorinius metus vykdytų pagal veiksmų programą ESF lėšomis atnaujintoje centrinėje viešųjų pirkimų</w:t>
            </w:r>
            <w:r w:rsidR="0091347B">
              <w:rPr>
                <w:rFonts w:ascii="Times New Roman" w:eastAsia="Times New Roman" w:hAnsi="Times New Roman"/>
                <w:bCs/>
                <w:sz w:val="20"/>
                <w:szCs w:val="20"/>
              </w:rPr>
              <w:t xml:space="preserve"> informacinėje sistemoje, dalis</w:t>
            </w:r>
          </w:p>
        </w:tc>
        <w:tc>
          <w:tcPr>
            <w:tcW w:w="850" w:type="dxa"/>
            <w:vMerge/>
            <w:shd w:val="clear" w:color="auto" w:fill="auto"/>
          </w:tcPr>
          <w:p w:rsidR="00A842B0" w:rsidRPr="008D3817" w:rsidRDefault="00A842B0"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276" w:type="dxa"/>
            <w:vMerge/>
            <w:shd w:val="clear" w:color="auto" w:fill="auto"/>
          </w:tcPr>
          <w:p w:rsidR="00A842B0" w:rsidRPr="008D3817" w:rsidRDefault="00A842B0"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shd w:val="clear" w:color="auto" w:fill="auto"/>
          </w:tcPr>
          <w:p w:rsidR="00A842B0" w:rsidRPr="008D3817" w:rsidRDefault="00A842B0"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A842B0" w:rsidRPr="0083442A" w:rsidTr="0078767E">
        <w:trPr>
          <w:trHeight w:val="1221"/>
        </w:trPr>
        <w:tc>
          <w:tcPr>
            <w:tcW w:w="1668" w:type="dxa"/>
            <w:vMerge/>
            <w:shd w:val="clear" w:color="auto" w:fill="auto"/>
          </w:tcPr>
          <w:p w:rsidR="00A842B0" w:rsidRPr="008D3817" w:rsidRDefault="00A842B0" w:rsidP="008D3817">
            <w:pPr>
              <w:widowControl w:val="0"/>
              <w:tabs>
                <w:tab w:val="left" w:pos="622"/>
              </w:tabs>
              <w:spacing w:after="0" w:line="240" w:lineRule="auto"/>
              <w:jc w:val="both"/>
              <w:rPr>
                <w:rFonts w:ascii="Times New Roman" w:hAnsi="Times New Roman"/>
                <w:sz w:val="20"/>
                <w:szCs w:val="20"/>
              </w:rPr>
            </w:pPr>
          </w:p>
        </w:tc>
        <w:tc>
          <w:tcPr>
            <w:tcW w:w="1559" w:type="dxa"/>
            <w:vMerge/>
            <w:shd w:val="clear" w:color="auto" w:fill="auto"/>
          </w:tcPr>
          <w:p w:rsidR="00A842B0" w:rsidRPr="008D3817" w:rsidRDefault="00A842B0"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shd w:val="clear" w:color="auto" w:fill="auto"/>
          </w:tcPr>
          <w:p w:rsidR="00A842B0" w:rsidRPr="008D3817" w:rsidRDefault="00A842B0" w:rsidP="008D3817">
            <w:pPr>
              <w:widowControl w:val="0"/>
              <w:tabs>
                <w:tab w:val="left" w:pos="1276"/>
              </w:tabs>
              <w:adjustRightInd w:val="0"/>
              <w:spacing w:after="0" w:line="240" w:lineRule="auto"/>
              <w:jc w:val="both"/>
              <w:textAlignment w:val="baseline"/>
              <w:rPr>
                <w:rFonts w:ascii="Times New Roman" w:hAnsi="Times New Roman"/>
                <w:sz w:val="20"/>
                <w:szCs w:val="20"/>
              </w:rPr>
            </w:pPr>
          </w:p>
        </w:tc>
        <w:tc>
          <w:tcPr>
            <w:tcW w:w="2693" w:type="dxa"/>
            <w:vMerge/>
            <w:shd w:val="clear" w:color="auto" w:fill="auto"/>
          </w:tcPr>
          <w:p w:rsidR="00A842B0" w:rsidRPr="008D3817" w:rsidRDefault="00A842B0" w:rsidP="008D3817">
            <w:pPr>
              <w:widowControl w:val="0"/>
              <w:tabs>
                <w:tab w:val="left" w:pos="622"/>
              </w:tabs>
              <w:spacing w:after="0" w:line="240" w:lineRule="auto"/>
              <w:jc w:val="both"/>
              <w:rPr>
                <w:rFonts w:ascii="Times New Roman" w:hAnsi="Times New Roman"/>
                <w:sz w:val="20"/>
                <w:szCs w:val="20"/>
              </w:rPr>
            </w:pPr>
          </w:p>
        </w:tc>
        <w:tc>
          <w:tcPr>
            <w:tcW w:w="3119" w:type="dxa"/>
            <w:shd w:val="clear" w:color="auto" w:fill="auto"/>
            <w:vAlign w:val="center"/>
          </w:tcPr>
          <w:p w:rsidR="00A842B0" w:rsidRPr="008D3817" w:rsidRDefault="00FC087A" w:rsidP="008D3817">
            <w:pPr>
              <w:spacing w:after="0" w:line="240" w:lineRule="auto"/>
              <w:jc w:val="both"/>
              <w:rPr>
                <w:rFonts w:ascii="Times New Roman" w:eastAsia="Times New Roman" w:hAnsi="Times New Roman"/>
                <w:bCs/>
                <w:sz w:val="20"/>
                <w:szCs w:val="20"/>
              </w:rPr>
            </w:pPr>
            <w:r w:rsidRPr="00FC087A">
              <w:rPr>
                <w:rFonts w:ascii="Times New Roman" w:eastAsia="Times New Roman" w:hAnsi="Times New Roman"/>
                <w:bCs/>
                <w:sz w:val="20"/>
                <w:szCs w:val="20"/>
              </w:rPr>
              <w:t>Asmenų, kurie praėjus 6 mėnesiams po dalyvavimo ESF veiklose, skirtose stiprinti kompetencijas korupcijos prevencijos ar tarnybinės (profesinės) etikos srityje, darbe taiko į</w:t>
            </w:r>
            <w:r w:rsidR="0091347B">
              <w:rPr>
                <w:rFonts w:ascii="Times New Roman" w:eastAsia="Times New Roman" w:hAnsi="Times New Roman"/>
                <w:bCs/>
                <w:sz w:val="20"/>
                <w:szCs w:val="20"/>
              </w:rPr>
              <w:t>gytas žinias ir gebėjimus, dalis</w:t>
            </w:r>
          </w:p>
        </w:tc>
        <w:tc>
          <w:tcPr>
            <w:tcW w:w="850" w:type="dxa"/>
            <w:vMerge/>
            <w:shd w:val="clear" w:color="auto" w:fill="auto"/>
          </w:tcPr>
          <w:p w:rsidR="00A842B0" w:rsidRPr="008D3817" w:rsidRDefault="00A842B0"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276" w:type="dxa"/>
            <w:vMerge/>
            <w:shd w:val="clear" w:color="auto" w:fill="auto"/>
          </w:tcPr>
          <w:p w:rsidR="00A842B0" w:rsidRPr="008D3817" w:rsidRDefault="00A842B0"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shd w:val="clear" w:color="auto" w:fill="auto"/>
          </w:tcPr>
          <w:p w:rsidR="00A842B0" w:rsidRPr="008D3817" w:rsidRDefault="00A842B0"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A842B0" w:rsidRPr="0083442A" w:rsidTr="0078767E">
        <w:trPr>
          <w:trHeight w:val="241"/>
        </w:trPr>
        <w:tc>
          <w:tcPr>
            <w:tcW w:w="1668" w:type="dxa"/>
            <w:vMerge/>
            <w:shd w:val="clear" w:color="auto" w:fill="auto"/>
          </w:tcPr>
          <w:p w:rsidR="00A842B0" w:rsidRPr="008D3817" w:rsidRDefault="00A842B0" w:rsidP="008D3817">
            <w:pPr>
              <w:widowControl w:val="0"/>
              <w:tabs>
                <w:tab w:val="left" w:pos="622"/>
              </w:tabs>
              <w:spacing w:after="0" w:line="240" w:lineRule="auto"/>
              <w:jc w:val="both"/>
              <w:rPr>
                <w:rFonts w:ascii="Times New Roman" w:hAnsi="Times New Roman"/>
                <w:sz w:val="20"/>
                <w:szCs w:val="20"/>
              </w:rPr>
            </w:pPr>
          </w:p>
        </w:tc>
        <w:tc>
          <w:tcPr>
            <w:tcW w:w="1559" w:type="dxa"/>
            <w:vMerge/>
            <w:shd w:val="clear" w:color="auto" w:fill="auto"/>
          </w:tcPr>
          <w:p w:rsidR="00A842B0" w:rsidRPr="008D3817" w:rsidRDefault="00A842B0"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shd w:val="clear" w:color="auto" w:fill="auto"/>
          </w:tcPr>
          <w:p w:rsidR="00A842B0" w:rsidRPr="008D3817" w:rsidRDefault="00A842B0" w:rsidP="008D3817">
            <w:pPr>
              <w:widowControl w:val="0"/>
              <w:tabs>
                <w:tab w:val="left" w:pos="1276"/>
              </w:tabs>
              <w:adjustRightInd w:val="0"/>
              <w:spacing w:after="0" w:line="240" w:lineRule="auto"/>
              <w:jc w:val="both"/>
              <w:textAlignment w:val="baseline"/>
              <w:rPr>
                <w:rFonts w:ascii="Times New Roman" w:hAnsi="Times New Roman"/>
                <w:sz w:val="20"/>
                <w:szCs w:val="20"/>
              </w:rPr>
            </w:pPr>
          </w:p>
        </w:tc>
        <w:tc>
          <w:tcPr>
            <w:tcW w:w="2693" w:type="dxa"/>
            <w:shd w:val="clear" w:color="auto" w:fill="auto"/>
          </w:tcPr>
          <w:p w:rsidR="00A842B0" w:rsidRPr="008D3817" w:rsidRDefault="00A842B0" w:rsidP="008D3817">
            <w:pPr>
              <w:widowControl w:val="0"/>
              <w:tabs>
                <w:tab w:val="left" w:pos="622"/>
              </w:tabs>
              <w:spacing w:after="0" w:line="240" w:lineRule="auto"/>
              <w:jc w:val="both"/>
              <w:rPr>
                <w:rFonts w:ascii="Times New Roman" w:hAnsi="Times New Roman"/>
                <w:sz w:val="20"/>
                <w:szCs w:val="20"/>
              </w:rPr>
            </w:pPr>
            <w:r w:rsidRPr="008D3817">
              <w:rPr>
                <w:rFonts w:ascii="Times New Roman" w:hAnsi="Times New Roman"/>
                <w:sz w:val="20"/>
                <w:szCs w:val="20"/>
              </w:rPr>
              <w:t>Pagerinti visuomenei teikiamų paslaugų kokybę, didinant jų atitikimą visuomenės poreikiams</w:t>
            </w:r>
          </w:p>
        </w:tc>
        <w:tc>
          <w:tcPr>
            <w:tcW w:w="3119" w:type="dxa"/>
            <w:shd w:val="clear" w:color="auto" w:fill="auto"/>
            <w:vAlign w:val="center"/>
          </w:tcPr>
          <w:p w:rsidR="00A842B0" w:rsidRPr="008D3817" w:rsidRDefault="00A842B0" w:rsidP="008D3817">
            <w:pPr>
              <w:spacing w:after="0" w:line="240" w:lineRule="auto"/>
              <w:jc w:val="both"/>
              <w:rPr>
                <w:rFonts w:ascii="Times New Roman" w:eastAsia="Times New Roman" w:hAnsi="Times New Roman"/>
                <w:bCs/>
                <w:sz w:val="20"/>
                <w:szCs w:val="20"/>
              </w:rPr>
            </w:pPr>
            <w:r w:rsidRPr="008D3817">
              <w:rPr>
                <w:rFonts w:ascii="Times New Roman" w:eastAsia="Times New Roman" w:hAnsi="Times New Roman"/>
                <w:bCs/>
                <w:sz w:val="20"/>
                <w:szCs w:val="20"/>
              </w:rPr>
              <w:t>Valstybės ir savivaldybių institucijų ir įstaigų, pagal veiksmų programą ESF lėšomis įgyvendinusių paslaugų ir (ar) aptarnavimo kokybei g</w:t>
            </w:r>
            <w:r w:rsidR="0091347B">
              <w:rPr>
                <w:rFonts w:ascii="Times New Roman" w:eastAsia="Times New Roman" w:hAnsi="Times New Roman"/>
                <w:bCs/>
                <w:sz w:val="20"/>
                <w:szCs w:val="20"/>
              </w:rPr>
              <w:t>erinti skirtos priemonės, dalis</w:t>
            </w:r>
          </w:p>
        </w:tc>
        <w:tc>
          <w:tcPr>
            <w:tcW w:w="850" w:type="dxa"/>
            <w:vMerge/>
            <w:shd w:val="clear" w:color="auto" w:fill="auto"/>
          </w:tcPr>
          <w:p w:rsidR="00A842B0" w:rsidRPr="008D3817" w:rsidRDefault="00A842B0"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276" w:type="dxa"/>
            <w:vMerge/>
            <w:shd w:val="clear" w:color="auto" w:fill="auto"/>
          </w:tcPr>
          <w:p w:rsidR="00A842B0" w:rsidRPr="008D3817" w:rsidRDefault="00A842B0"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shd w:val="clear" w:color="auto" w:fill="auto"/>
          </w:tcPr>
          <w:p w:rsidR="00A842B0" w:rsidRPr="008D3817" w:rsidRDefault="00A842B0"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A842B0" w:rsidRPr="0083442A" w:rsidTr="00010012">
        <w:trPr>
          <w:trHeight w:val="288"/>
        </w:trPr>
        <w:tc>
          <w:tcPr>
            <w:tcW w:w="1668" w:type="dxa"/>
            <w:vMerge/>
            <w:shd w:val="clear" w:color="auto" w:fill="auto"/>
          </w:tcPr>
          <w:p w:rsidR="00A842B0" w:rsidRPr="008D3817" w:rsidRDefault="00A842B0" w:rsidP="008D3817">
            <w:pPr>
              <w:widowControl w:val="0"/>
              <w:tabs>
                <w:tab w:val="left" w:pos="622"/>
              </w:tabs>
              <w:spacing w:after="0" w:line="240" w:lineRule="auto"/>
              <w:jc w:val="both"/>
              <w:rPr>
                <w:rFonts w:ascii="Times New Roman" w:hAnsi="Times New Roman"/>
                <w:sz w:val="20"/>
                <w:szCs w:val="20"/>
              </w:rPr>
            </w:pPr>
          </w:p>
        </w:tc>
        <w:tc>
          <w:tcPr>
            <w:tcW w:w="1559" w:type="dxa"/>
            <w:vMerge/>
            <w:shd w:val="clear" w:color="auto" w:fill="auto"/>
          </w:tcPr>
          <w:p w:rsidR="00A842B0" w:rsidRPr="008D3817" w:rsidRDefault="00A842B0"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shd w:val="clear" w:color="auto" w:fill="auto"/>
          </w:tcPr>
          <w:p w:rsidR="00A842B0" w:rsidRPr="008D3817" w:rsidRDefault="00A842B0" w:rsidP="008D3817">
            <w:pPr>
              <w:widowControl w:val="0"/>
              <w:tabs>
                <w:tab w:val="left" w:pos="1276"/>
              </w:tabs>
              <w:adjustRightInd w:val="0"/>
              <w:spacing w:after="0" w:line="240" w:lineRule="auto"/>
              <w:jc w:val="both"/>
              <w:textAlignment w:val="baseline"/>
              <w:rPr>
                <w:rFonts w:ascii="Times New Roman" w:hAnsi="Times New Roman"/>
                <w:sz w:val="20"/>
                <w:szCs w:val="20"/>
              </w:rPr>
            </w:pPr>
          </w:p>
        </w:tc>
        <w:tc>
          <w:tcPr>
            <w:tcW w:w="2693" w:type="dxa"/>
            <w:vMerge w:val="restart"/>
            <w:shd w:val="clear" w:color="auto" w:fill="auto"/>
          </w:tcPr>
          <w:p w:rsidR="00A842B0" w:rsidRPr="008D3817" w:rsidRDefault="00A842B0" w:rsidP="008D3817">
            <w:pPr>
              <w:widowControl w:val="0"/>
              <w:tabs>
                <w:tab w:val="left" w:pos="622"/>
              </w:tabs>
              <w:spacing w:after="0" w:line="240" w:lineRule="auto"/>
              <w:jc w:val="both"/>
              <w:rPr>
                <w:rFonts w:ascii="Times New Roman" w:hAnsi="Times New Roman"/>
                <w:sz w:val="20"/>
                <w:szCs w:val="20"/>
              </w:rPr>
            </w:pPr>
            <w:r w:rsidRPr="008D3817">
              <w:rPr>
                <w:rFonts w:ascii="Times New Roman" w:hAnsi="Times New Roman"/>
                <w:sz w:val="20"/>
                <w:szCs w:val="20"/>
              </w:rPr>
              <w:t>Pagerinti verslo reguliavimo aplinką</w:t>
            </w:r>
          </w:p>
        </w:tc>
        <w:tc>
          <w:tcPr>
            <w:tcW w:w="3119" w:type="dxa"/>
            <w:shd w:val="clear" w:color="auto" w:fill="auto"/>
            <w:vAlign w:val="center"/>
          </w:tcPr>
          <w:p w:rsidR="00A842B0" w:rsidRPr="008D3817" w:rsidRDefault="00A842B0" w:rsidP="008D3817">
            <w:pPr>
              <w:spacing w:after="0" w:line="240" w:lineRule="auto"/>
              <w:jc w:val="both"/>
              <w:rPr>
                <w:rFonts w:ascii="Times New Roman" w:eastAsia="Times New Roman" w:hAnsi="Times New Roman"/>
                <w:bCs/>
                <w:sz w:val="20"/>
                <w:szCs w:val="20"/>
              </w:rPr>
            </w:pPr>
            <w:r w:rsidRPr="008D3817">
              <w:rPr>
                <w:rFonts w:ascii="Times New Roman" w:hAnsi="Times New Roman"/>
                <w:sz w:val="20"/>
                <w:szCs w:val="20"/>
              </w:rPr>
              <w:t xml:space="preserve">Dėl pagal </w:t>
            </w:r>
            <w:r w:rsidRPr="008D3817">
              <w:rPr>
                <w:rFonts w:ascii="Times New Roman" w:hAnsi="Times New Roman"/>
                <w:bCs/>
                <w:iCs/>
                <w:sz w:val="20"/>
                <w:szCs w:val="20"/>
              </w:rPr>
              <w:t>veiksmų programą ESF</w:t>
            </w:r>
            <w:r w:rsidRPr="008D3817">
              <w:rPr>
                <w:rFonts w:ascii="Times New Roman" w:hAnsi="Times New Roman"/>
                <w:sz w:val="20"/>
                <w:szCs w:val="20"/>
              </w:rPr>
              <w:t xml:space="preserve"> lėšomis įgyvendintų geresnio reglamentavimo iniciatyvų sumažėjusi administracinė ir (ar)</w:t>
            </w:r>
            <w:r w:rsidR="0091347B">
              <w:rPr>
                <w:rFonts w:ascii="Times New Roman" w:hAnsi="Times New Roman"/>
                <w:sz w:val="20"/>
                <w:szCs w:val="20"/>
              </w:rPr>
              <w:t xml:space="preserve"> kita reguliavimo našta verslui</w:t>
            </w:r>
          </w:p>
        </w:tc>
        <w:tc>
          <w:tcPr>
            <w:tcW w:w="850" w:type="dxa"/>
            <w:vMerge/>
            <w:shd w:val="clear" w:color="auto" w:fill="auto"/>
          </w:tcPr>
          <w:p w:rsidR="00A842B0" w:rsidRPr="008D3817" w:rsidRDefault="00A842B0"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276" w:type="dxa"/>
            <w:vMerge/>
            <w:shd w:val="clear" w:color="auto" w:fill="auto"/>
          </w:tcPr>
          <w:p w:rsidR="00A842B0" w:rsidRPr="008D3817" w:rsidRDefault="00A842B0"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shd w:val="clear" w:color="auto" w:fill="auto"/>
          </w:tcPr>
          <w:p w:rsidR="00A842B0" w:rsidRPr="008D3817" w:rsidRDefault="00A842B0"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A842B0" w:rsidRPr="0083442A" w:rsidTr="00E320B1">
        <w:trPr>
          <w:trHeight w:val="1105"/>
        </w:trPr>
        <w:tc>
          <w:tcPr>
            <w:tcW w:w="1668" w:type="dxa"/>
            <w:vMerge/>
            <w:shd w:val="clear" w:color="auto" w:fill="auto"/>
          </w:tcPr>
          <w:p w:rsidR="00A842B0" w:rsidRPr="008D3817" w:rsidRDefault="00A842B0" w:rsidP="008D3817">
            <w:pPr>
              <w:widowControl w:val="0"/>
              <w:tabs>
                <w:tab w:val="left" w:pos="622"/>
              </w:tabs>
              <w:spacing w:after="0" w:line="240" w:lineRule="auto"/>
              <w:jc w:val="both"/>
              <w:rPr>
                <w:rFonts w:ascii="Times New Roman" w:hAnsi="Times New Roman"/>
                <w:sz w:val="20"/>
                <w:szCs w:val="20"/>
              </w:rPr>
            </w:pPr>
          </w:p>
        </w:tc>
        <w:tc>
          <w:tcPr>
            <w:tcW w:w="1559" w:type="dxa"/>
            <w:vMerge/>
            <w:shd w:val="clear" w:color="auto" w:fill="auto"/>
          </w:tcPr>
          <w:p w:rsidR="00A842B0" w:rsidRPr="008D3817" w:rsidRDefault="00A842B0"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shd w:val="clear" w:color="auto" w:fill="auto"/>
          </w:tcPr>
          <w:p w:rsidR="00A842B0" w:rsidRPr="008D3817" w:rsidRDefault="00A842B0" w:rsidP="008D3817">
            <w:pPr>
              <w:widowControl w:val="0"/>
              <w:tabs>
                <w:tab w:val="left" w:pos="1276"/>
              </w:tabs>
              <w:adjustRightInd w:val="0"/>
              <w:spacing w:after="0" w:line="240" w:lineRule="auto"/>
              <w:jc w:val="both"/>
              <w:textAlignment w:val="baseline"/>
              <w:rPr>
                <w:rFonts w:ascii="Times New Roman" w:hAnsi="Times New Roman"/>
                <w:sz w:val="20"/>
                <w:szCs w:val="20"/>
              </w:rPr>
            </w:pPr>
          </w:p>
        </w:tc>
        <w:tc>
          <w:tcPr>
            <w:tcW w:w="2693" w:type="dxa"/>
            <w:vMerge/>
            <w:shd w:val="clear" w:color="auto" w:fill="auto"/>
          </w:tcPr>
          <w:p w:rsidR="00A842B0" w:rsidRPr="008D3817" w:rsidRDefault="00A842B0" w:rsidP="008D3817">
            <w:pPr>
              <w:widowControl w:val="0"/>
              <w:tabs>
                <w:tab w:val="left" w:pos="622"/>
              </w:tabs>
              <w:spacing w:after="0" w:line="240" w:lineRule="auto"/>
              <w:jc w:val="both"/>
              <w:rPr>
                <w:rFonts w:ascii="Times New Roman" w:hAnsi="Times New Roman"/>
                <w:sz w:val="20"/>
                <w:szCs w:val="20"/>
              </w:rPr>
            </w:pPr>
          </w:p>
        </w:tc>
        <w:tc>
          <w:tcPr>
            <w:tcW w:w="3119" w:type="dxa"/>
            <w:shd w:val="clear" w:color="auto" w:fill="auto"/>
            <w:vAlign w:val="center"/>
          </w:tcPr>
          <w:p w:rsidR="00A842B0" w:rsidRPr="008D3817" w:rsidRDefault="00A842B0" w:rsidP="008D3817">
            <w:pPr>
              <w:spacing w:after="0" w:line="240" w:lineRule="auto"/>
              <w:jc w:val="both"/>
              <w:rPr>
                <w:rFonts w:ascii="Times New Roman" w:eastAsia="Times New Roman" w:hAnsi="Times New Roman"/>
                <w:bCs/>
                <w:sz w:val="20"/>
                <w:szCs w:val="20"/>
              </w:rPr>
            </w:pPr>
            <w:r w:rsidRPr="008D3817">
              <w:rPr>
                <w:rFonts w:ascii="Times New Roman" w:hAnsi="Times New Roman"/>
                <w:sz w:val="20"/>
                <w:szCs w:val="20"/>
              </w:rPr>
              <w:t xml:space="preserve">Ūkio subjektų veiklos priežiūros institucijų, kuriose pagal </w:t>
            </w:r>
            <w:r w:rsidRPr="008D3817">
              <w:rPr>
                <w:rFonts w:ascii="Times New Roman" w:hAnsi="Times New Roman"/>
                <w:bCs/>
                <w:iCs/>
                <w:sz w:val="20"/>
                <w:szCs w:val="20"/>
              </w:rPr>
              <w:t>veiksmų programą ESF</w:t>
            </w:r>
            <w:r w:rsidRPr="008D3817">
              <w:rPr>
                <w:rFonts w:ascii="Times New Roman" w:hAnsi="Times New Roman"/>
                <w:sz w:val="20"/>
                <w:szCs w:val="20"/>
              </w:rPr>
              <w:t xml:space="preserve"> lėšomis įdiegtos ar patobulintos pažangios verslo priežiūros priemonės, dalis</w:t>
            </w:r>
          </w:p>
        </w:tc>
        <w:tc>
          <w:tcPr>
            <w:tcW w:w="850" w:type="dxa"/>
            <w:vMerge/>
            <w:shd w:val="clear" w:color="auto" w:fill="auto"/>
          </w:tcPr>
          <w:p w:rsidR="00A842B0" w:rsidRPr="008D3817" w:rsidRDefault="00A842B0"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276" w:type="dxa"/>
            <w:vMerge/>
            <w:shd w:val="clear" w:color="auto" w:fill="auto"/>
          </w:tcPr>
          <w:p w:rsidR="00A842B0" w:rsidRPr="008D3817" w:rsidRDefault="00A842B0"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shd w:val="clear" w:color="auto" w:fill="auto"/>
          </w:tcPr>
          <w:p w:rsidR="00A842B0" w:rsidRPr="008D3817" w:rsidRDefault="00A842B0"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A842B0" w:rsidRPr="0083442A" w:rsidTr="00010012">
        <w:trPr>
          <w:trHeight w:val="265"/>
        </w:trPr>
        <w:tc>
          <w:tcPr>
            <w:tcW w:w="1668" w:type="dxa"/>
            <w:vMerge/>
            <w:shd w:val="clear" w:color="auto" w:fill="auto"/>
          </w:tcPr>
          <w:p w:rsidR="00A842B0" w:rsidRPr="008D3817" w:rsidRDefault="00A842B0" w:rsidP="008D3817">
            <w:pPr>
              <w:widowControl w:val="0"/>
              <w:tabs>
                <w:tab w:val="left" w:pos="622"/>
              </w:tabs>
              <w:spacing w:after="0" w:line="240" w:lineRule="auto"/>
              <w:jc w:val="both"/>
              <w:rPr>
                <w:rFonts w:ascii="Times New Roman" w:hAnsi="Times New Roman"/>
                <w:sz w:val="20"/>
                <w:szCs w:val="20"/>
              </w:rPr>
            </w:pPr>
          </w:p>
        </w:tc>
        <w:tc>
          <w:tcPr>
            <w:tcW w:w="1559" w:type="dxa"/>
            <w:vMerge/>
            <w:shd w:val="clear" w:color="auto" w:fill="auto"/>
          </w:tcPr>
          <w:p w:rsidR="00A842B0" w:rsidRPr="008D3817" w:rsidRDefault="00A842B0"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shd w:val="clear" w:color="auto" w:fill="auto"/>
          </w:tcPr>
          <w:p w:rsidR="00A842B0" w:rsidRPr="008D3817" w:rsidRDefault="00A842B0" w:rsidP="008D3817">
            <w:pPr>
              <w:widowControl w:val="0"/>
              <w:tabs>
                <w:tab w:val="left" w:pos="1276"/>
              </w:tabs>
              <w:adjustRightInd w:val="0"/>
              <w:spacing w:after="0" w:line="240" w:lineRule="auto"/>
              <w:jc w:val="both"/>
              <w:textAlignment w:val="baseline"/>
              <w:rPr>
                <w:rFonts w:ascii="Times New Roman" w:hAnsi="Times New Roman"/>
                <w:sz w:val="20"/>
                <w:szCs w:val="20"/>
              </w:rPr>
            </w:pPr>
          </w:p>
        </w:tc>
        <w:tc>
          <w:tcPr>
            <w:tcW w:w="2693" w:type="dxa"/>
            <w:vMerge/>
            <w:shd w:val="clear" w:color="auto" w:fill="auto"/>
          </w:tcPr>
          <w:p w:rsidR="00A842B0" w:rsidRPr="008D3817" w:rsidRDefault="00A842B0" w:rsidP="008D3817">
            <w:pPr>
              <w:widowControl w:val="0"/>
              <w:tabs>
                <w:tab w:val="left" w:pos="622"/>
              </w:tabs>
              <w:spacing w:after="0" w:line="240" w:lineRule="auto"/>
              <w:jc w:val="both"/>
              <w:rPr>
                <w:rFonts w:ascii="Times New Roman" w:hAnsi="Times New Roman"/>
                <w:sz w:val="20"/>
                <w:szCs w:val="20"/>
              </w:rPr>
            </w:pPr>
          </w:p>
        </w:tc>
        <w:tc>
          <w:tcPr>
            <w:tcW w:w="3119" w:type="dxa"/>
            <w:shd w:val="clear" w:color="auto" w:fill="auto"/>
            <w:vAlign w:val="center"/>
          </w:tcPr>
          <w:p w:rsidR="00A842B0" w:rsidRPr="008D3817" w:rsidRDefault="00A842B0" w:rsidP="008D3817">
            <w:pPr>
              <w:spacing w:after="0" w:line="240" w:lineRule="auto"/>
              <w:jc w:val="both"/>
              <w:rPr>
                <w:rFonts w:ascii="Times New Roman" w:hAnsi="Times New Roman"/>
                <w:sz w:val="20"/>
                <w:szCs w:val="20"/>
              </w:rPr>
            </w:pPr>
            <w:r w:rsidRPr="008D3817">
              <w:rPr>
                <w:rFonts w:ascii="Times New Roman" w:hAnsi="Times New Roman"/>
                <w:sz w:val="20"/>
                <w:szCs w:val="20"/>
              </w:rPr>
              <w:t>Teismų, kuriuose pagal veiksmų programą ESF lėšomis įgyvendintos teisingumo vykdymo efektyvumui d</w:t>
            </w:r>
            <w:r w:rsidR="0091347B">
              <w:rPr>
                <w:rFonts w:ascii="Times New Roman" w:hAnsi="Times New Roman"/>
                <w:sz w:val="20"/>
                <w:szCs w:val="20"/>
              </w:rPr>
              <w:t>idinti skirtos priemonės, dalis</w:t>
            </w:r>
          </w:p>
        </w:tc>
        <w:tc>
          <w:tcPr>
            <w:tcW w:w="850" w:type="dxa"/>
            <w:vMerge/>
            <w:shd w:val="clear" w:color="auto" w:fill="auto"/>
          </w:tcPr>
          <w:p w:rsidR="00A842B0" w:rsidRPr="008D3817" w:rsidRDefault="00A842B0"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276" w:type="dxa"/>
            <w:vMerge/>
            <w:shd w:val="clear" w:color="auto" w:fill="auto"/>
          </w:tcPr>
          <w:p w:rsidR="00A842B0" w:rsidRPr="008D3817" w:rsidRDefault="00A842B0"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shd w:val="clear" w:color="auto" w:fill="auto"/>
          </w:tcPr>
          <w:p w:rsidR="00A842B0" w:rsidRPr="008D3817" w:rsidRDefault="00A842B0"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A842B0" w:rsidRPr="0083442A" w:rsidTr="00010012">
        <w:trPr>
          <w:trHeight w:val="240"/>
        </w:trPr>
        <w:tc>
          <w:tcPr>
            <w:tcW w:w="1668" w:type="dxa"/>
            <w:vMerge/>
            <w:shd w:val="clear" w:color="auto" w:fill="auto"/>
          </w:tcPr>
          <w:p w:rsidR="00A842B0" w:rsidRPr="008D3817" w:rsidRDefault="00A842B0" w:rsidP="008D3817">
            <w:pPr>
              <w:widowControl w:val="0"/>
              <w:tabs>
                <w:tab w:val="left" w:pos="622"/>
              </w:tabs>
              <w:spacing w:after="0" w:line="240" w:lineRule="auto"/>
              <w:jc w:val="both"/>
              <w:rPr>
                <w:rFonts w:ascii="Times New Roman" w:hAnsi="Times New Roman"/>
                <w:sz w:val="20"/>
                <w:szCs w:val="20"/>
              </w:rPr>
            </w:pPr>
          </w:p>
        </w:tc>
        <w:tc>
          <w:tcPr>
            <w:tcW w:w="1559" w:type="dxa"/>
            <w:vMerge/>
            <w:shd w:val="clear" w:color="auto" w:fill="auto"/>
          </w:tcPr>
          <w:p w:rsidR="00A842B0" w:rsidRPr="008D3817" w:rsidRDefault="00A842B0"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shd w:val="clear" w:color="auto" w:fill="auto"/>
          </w:tcPr>
          <w:p w:rsidR="00A842B0" w:rsidRPr="008D3817" w:rsidRDefault="00A842B0" w:rsidP="008D3817">
            <w:pPr>
              <w:widowControl w:val="0"/>
              <w:tabs>
                <w:tab w:val="left" w:pos="1276"/>
              </w:tabs>
              <w:adjustRightInd w:val="0"/>
              <w:spacing w:after="0" w:line="240" w:lineRule="auto"/>
              <w:jc w:val="both"/>
              <w:textAlignment w:val="baseline"/>
              <w:rPr>
                <w:rFonts w:ascii="Times New Roman" w:hAnsi="Times New Roman"/>
                <w:sz w:val="20"/>
                <w:szCs w:val="20"/>
              </w:rPr>
            </w:pPr>
          </w:p>
        </w:tc>
        <w:tc>
          <w:tcPr>
            <w:tcW w:w="2693" w:type="dxa"/>
            <w:vMerge w:val="restart"/>
            <w:shd w:val="clear" w:color="auto" w:fill="auto"/>
          </w:tcPr>
          <w:p w:rsidR="00A842B0" w:rsidRPr="008D3817" w:rsidRDefault="00A842B0" w:rsidP="008D3817">
            <w:pPr>
              <w:widowControl w:val="0"/>
              <w:tabs>
                <w:tab w:val="left" w:pos="622"/>
              </w:tabs>
              <w:spacing w:after="0" w:line="240" w:lineRule="auto"/>
              <w:jc w:val="both"/>
              <w:rPr>
                <w:rFonts w:ascii="Times New Roman" w:hAnsi="Times New Roman"/>
                <w:sz w:val="20"/>
                <w:szCs w:val="20"/>
              </w:rPr>
            </w:pPr>
            <w:r w:rsidRPr="008D3817">
              <w:rPr>
                <w:rFonts w:ascii="Times New Roman" w:hAnsi="Times New Roman"/>
                <w:sz w:val="20"/>
                <w:szCs w:val="20"/>
              </w:rPr>
              <w:t>Pagerinti žmogiškųjų išteklių valdymą valstybinėje tarnyboje</w:t>
            </w:r>
          </w:p>
        </w:tc>
        <w:tc>
          <w:tcPr>
            <w:tcW w:w="3119" w:type="dxa"/>
            <w:shd w:val="clear" w:color="auto" w:fill="auto"/>
            <w:vAlign w:val="center"/>
          </w:tcPr>
          <w:p w:rsidR="00A842B0" w:rsidRPr="008D3817" w:rsidRDefault="00A842B0" w:rsidP="008D3817">
            <w:pPr>
              <w:spacing w:after="0" w:line="240" w:lineRule="auto"/>
              <w:jc w:val="both"/>
              <w:rPr>
                <w:rFonts w:ascii="Times New Roman" w:eastAsia="Times New Roman" w:hAnsi="Times New Roman"/>
                <w:bCs/>
                <w:sz w:val="20"/>
                <w:szCs w:val="20"/>
              </w:rPr>
            </w:pPr>
            <w:r w:rsidRPr="008D3817">
              <w:rPr>
                <w:rFonts w:ascii="Times New Roman" w:eastAsia="Times New Roman" w:hAnsi="Times New Roman"/>
                <w:bCs/>
                <w:sz w:val="20"/>
                <w:szCs w:val="20"/>
              </w:rPr>
              <w:t>Aukštesniųjų vadovų, dalyvaujančių pagal veiksmų programą ESF lėšomis finansuotuose aukštesniųjų vadovų be</w:t>
            </w:r>
            <w:r w:rsidR="0091347B">
              <w:rPr>
                <w:rFonts w:ascii="Times New Roman" w:eastAsia="Times New Roman" w:hAnsi="Times New Roman"/>
                <w:bCs/>
                <w:sz w:val="20"/>
                <w:szCs w:val="20"/>
              </w:rPr>
              <w:t>ndradarbiavimo tinkluose, dalis</w:t>
            </w:r>
          </w:p>
        </w:tc>
        <w:tc>
          <w:tcPr>
            <w:tcW w:w="850" w:type="dxa"/>
            <w:vMerge/>
            <w:shd w:val="clear" w:color="auto" w:fill="auto"/>
          </w:tcPr>
          <w:p w:rsidR="00A842B0" w:rsidRPr="008D3817" w:rsidRDefault="00A842B0"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276" w:type="dxa"/>
            <w:vMerge/>
            <w:shd w:val="clear" w:color="auto" w:fill="auto"/>
          </w:tcPr>
          <w:p w:rsidR="00A842B0" w:rsidRPr="008D3817" w:rsidRDefault="00A842B0"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shd w:val="clear" w:color="auto" w:fill="auto"/>
          </w:tcPr>
          <w:p w:rsidR="00A842B0" w:rsidRPr="008D3817" w:rsidRDefault="00A842B0"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A842B0" w:rsidRPr="0083442A" w:rsidTr="00010012">
        <w:trPr>
          <w:trHeight w:val="276"/>
        </w:trPr>
        <w:tc>
          <w:tcPr>
            <w:tcW w:w="1668" w:type="dxa"/>
            <w:vMerge/>
            <w:shd w:val="clear" w:color="auto" w:fill="auto"/>
          </w:tcPr>
          <w:p w:rsidR="00A842B0" w:rsidRPr="008D3817" w:rsidRDefault="00A842B0" w:rsidP="008D3817">
            <w:pPr>
              <w:widowControl w:val="0"/>
              <w:tabs>
                <w:tab w:val="left" w:pos="622"/>
              </w:tabs>
              <w:spacing w:after="0" w:line="240" w:lineRule="auto"/>
              <w:jc w:val="both"/>
              <w:rPr>
                <w:rFonts w:ascii="Times New Roman" w:hAnsi="Times New Roman"/>
                <w:sz w:val="20"/>
                <w:szCs w:val="20"/>
              </w:rPr>
            </w:pPr>
          </w:p>
        </w:tc>
        <w:tc>
          <w:tcPr>
            <w:tcW w:w="1559" w:type="dxa"/>
            <w:vMerge/>
            <w:shd w:val="clear" w:color="auto" w:fill="auto"/>
          </w:tcPr>
          <w:p w:rsidR="00A842B0" w:rsidRPr="008D3817" w:rsidRDefault="00A842B0"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shd w:val="clear" w:color="auto" w:fill="auto"/>
          </w:tcPr>
          <w:p w:rsidR="00A842B0" w:rsidRPr="008D3817" w:rsidRDefault="00A842B0" w:rsidP="008D3817">
            <w:pPr>
              <w:widowControl w:val="0"/>
              <w:tabs>
                <w:tab w:val="left" w:pos="1276"/>
              </w:tabs>
              <w:adjustRightInd w:val="0"/>
              <w:spacing w:after="0" w:line="240" w:lineRule="auto"/>
              <w:jc w:val="both"/>
              <w:textAlignment w:val="baseline"/>
              <w:rPr>
                <w:rFonts w:ascii="Times New Roman" w:hAnsi="Times New Roman"/>
                <w:sz w:val="20"/>
                <w:szCs w:val="20"/>
              </w:rPr>
            </w:pPr>
          </w:p>
        </w:tc>
        <w:tc>
          <w:tcPr>
            <w:tcW w:w="2693" w:type="dxa"/>
            <w:vMerge/>
            <w:shd w:val="clear" w:color="auto" w:fill="auto"/>
          </w:tcPr>
          <w:p w:rsidR="00A842B0" w:rsidRPr="008D3817" w:rsidRDefault="00A842B0" w:rsidP="008D3817">
            <w:pPr>
              <w:widowControl w:val="0"/>
              <w:tabs>
                <w:tab w:val="left" w:pos="622"/>
              </w:tabs>
              <w:spacing w:after="0" w:line="240" w:lineRule="auto"/>
              <w:jc w:val="both"/>
              <w:rPr>
                <w:rFonts w:ascii="Times New Roman" w:hAnsi="Times New Roman"/>
                <w:sz w:val="20"/>
                <w:szCs w:val="20"/>
              </w:rPr>
            </w:pPr>
          </w:p>
        </w:tc>
        <w:tc>
          <w:tcPr>
            <w:tcW w:w="3119" w:type="dxa"/>
            <w:shd w:val="clear" w:color="auto" w:fill="auto"/>
            <w:vAlign w:val="center"/>
          </w:tcPr>
          <w:p w:rsidR="00A842B0" w:rsidRPr="008D3817" w:rsidRDefault="00A842B0" w:rsidP="008D3817">
            <w:pPr>
              <w:spacing w:after="0" w:line="240" w:lineRule="auto"/>
              <w:jc w:val="both"/>
              <w:rPr>
                <w:rFonts w:ascii="Times New Roman" w:eastAsia="Times New Roman" w:hAnsi="Times New Roman"/>
                <w:bCs/>
                <w:sz w:val="20"/>
                <w:szCs w:val="20"/>
              </w:rPr>
            </w:pPr>
            <w:r w:rsidRPr="008D3817">
              <w:rPr>
                <w:rFonts w:ascii="Times New Roman" w:eastAsia="Times New Roman" w:hAnsi="Times New Roman"/>
                <w:bCs/>
                <w:sz w:val="20"/>
                <w:szCs w:val="20"/>
              </w:rPr>
              <w:t>Valstybės ir savivaldybių institucijų ir įstaigų, kuriose taikomas pagal veiksmų programą ESF lėšomis įdiegtas kompetencijomis grįstas valstybės tarnybos žmog</w:t>
            </w:r>
            <w:r w:rsidR="0091347B">
              <w:rPr>
                <w:rFonts w:ascii="Times New Roman" w:eastAsia="Times New Roman" w:hAnsi="Times New Roman"/>
                <w:bCs/>
                <w:sz w:val="20"/>
                <w:szCs w:val="20"/>
              </w:rPr>
              <w:t>iškųjų išteklių valdymas, dalis</w:t>
            </w:r>
          </w:p>
        </w:tc>
        <w:tc>
          <w:tcPr>
            <w:tcW w:w="850" w:type="dxa"/>
            <w:vMerge/>
            <w:shd w:val="clear" w:color="auto" w:fill="auto"/>
          </w:tcPr>
          <w:p w:rsidR="00A842B0" w:rsidRPr="008D3817" w:rsidRDefault="00A842B0"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276" w:type="dxa"/>
            <w:vMerge/>
            <w:shd w:val="clear" w:color="auto" w:fill="auto"/>
          </w:tcPr>
          <w:p w:rsidR="00A842B0" w:rsidRPr="008D3817" w:rsidRDefault="00A842B0"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shd w:val="clear" w:color="auto" w:fill="auto"/>
          </w:tcPr>
          <w:p w:rsidR="00A842B0" w:rsidRPr="008D3817" w:rsidRDefault="00A842B0"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A842B0" w:rsidRPr="0083442A" w:rsidTr="00E60EA1">
        <w:trPr>
          <w:trHeight w:val="161"/>
        </w:trPr>
        <w:tc>
          <w:tcPr>
            <w:tcW w:w="1668" w:type="dxa"/>
            <w:vMerge/>
            <w:shd w:val="clear" w:color="auto" w:fill="auto"/>
          </w:tcPr>
          <w:p w:rsidR="00A842B0" w:rsidRPr="008D3817" w:rsidRDefault="00A842B0" w:rsidP="008D3817">
            <w:pPr>
              <w:widowControl w:val="0"/>
              <w:tabs>
                <w:tab w:val="left" w:pos="622"/>
              </w:tabs>
              <w:spacing w:after="0" w:line="240" w:lineRule="auto"/>
              <w:jc w:val="both"/>
              <w:rPr>
                <w:rFonts w:ascii="Times New Roman" w:hAnsi="Times New Roman"/>
                <w:sz w:val="20"/>
                <w:szCs w:val="20"/>
              </w:rPr>
            </w:pPr>
          </w:p>
        </w:tc>
        <w:tc>
          <w:tcPr>
            <w:tcW w:w="1559" w:type="dxa"/>
            <w:vMerge/>
            <w:shd w:val="clear" w:color="auto" w:fill="auto"/>
          </w:tcPr>
          <w:p w:rsidR="00A842B0" w:rsidRPr="008D3817" w:rsidRDefault="00A842B0"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shd w:val="clear" w:color="auto" w:fill="auto"/>
          </w:tcPr>
          <w:p w:rsidR="00A842B0" w:rsidRPr="008D3817" w:rsidRDefault="00A842B0" w:rsidP="008D3817">
            <w:pPr>
              <w:widowControl w:val="0"/>
              <w:tabs>
                <w:tab w:val="left" w:pos="1276"/>
              </w:tabs>
              <w:adjustRightInd w:val="0"/>
              <w:spacing w:after="0" w:line="240" w:lineRule="auto"/>
              <w:jc w:val="both"/>
              <w:textAlignment w:val="baseline"/>
              <w:rPr>
                <w:rFonts w:ascii="Times New Roman" w:hAnsi="Times New Roman"/>
                <w:sz w:val="20"/>
                <w:szCs w:val="20"/>
              </w:rPr>
            </w:pPr>
          </w:p>
        </w:tc>
        <w:tc>
          <w:tcPr>
            <w:tcW w:w="2693" w:type="dxa"/>
            <w:vMerge/>
            <w:shd w:val="clear" w:color="auto" w:fill="auto"/>
          </w:tcPr>
          <w:p w:rsidR="00A842B0" w:rsidRPr="008D3817" w:rsidRDefault="00A842B0" w:rsidP="008D3817">
            <w:pPr>
              <w:widowControl w:val="0"/>
              <w:tabs>
                <w:tab w:val="left" w:pos="622"/>
              </w:tabs>
              <w:spacing w:after="0" w:line="240" w:lineRule="auto"/>
              <w:jc w:val="both"/>
              <w:rPr>
                <w:rFonts w:ascii="Times New Roman" w:hAnsi="Times New Roman"/>
                <w:sz w:val="20"/>
                <w:szCs w:val="20"/>
              </w:rPr>
            </w:pPr>
          </w:p>
        </w:tc>
        <w:tc>
          <w:tcPr>
            <w:tcW w:w="3119" w:type="dxa"/>
            <w:shd w:val="clear" w:color="auto" w:fill="auto"/>
            <w:vAlign w:val="center"/>
          </w:tcPr>
          <w:p w:rsidR="00A842B0" w:rsidRPr="008D3817" w:rsidRDefault="003B44CE" w:rsidP="008D3817">
            <w:pPr>
              <w:widowControl w:val="0"/>
              <w:tabs>
                <w:tab w:val="left" w:pos="622"/>
              </w:tabs>
              <w:spacing w:after="0" w:line="240" w:lineRule="auto"/>
              <w:jc w:val="both"/>
              <w:rPr>
                <w:rFonts w:ascii="Times New Roman" w:eastAsia="Times New Roman" w:hAnsi="Times New Roman"/>
                <w:bCs/>
                <w:sz w:val="20"/>
                <w:szCs w:val="20"/>
              </w:rPr>
            </w:pPr>
            <w:r w:rsidRPr="003B44CE">
              <w:rPr>
                <w:rFonts w:ascii="Times New Roman" w:eastAsia="Times New Roman" w:hAnsi="Times New Roman"/>
                <w:bCs/>
                <w:sz w:val="20"/>
                <w:szCs w:val="20"/>
              </w:rPr>
              <w:t>Asmenų, kurie praėjus 6 mėnesiams po dalyvavimo ESF veiklose, skirtose stiprinti strategines kompetencijas, darbe taiko įgytas žinias ir gebėjimus, dalis</w:t>
            </w:r>
          </w:p>
        </w:tc>
        <w:tc>
          <w:tcPr>
            <w:tcW w:w="850" w:type="dxa"/>
            <w:vMerge/>
            <w:shd w:val="clear" w:color="auto" w:fill="auto"/>
          </w:tcPr>
          <w:p w:rsidR="00A842B0" w:rsidRPr="008D3817" w:rsidRDefault="00A842B0"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276" w:type="dxa"/>
            <w:vMerge/>
            <w:shd w:val="clear" w:color="auto" w:fill="auto"/>
          </w:tcPr>
          <w:p w:rsidR="00A842B0" w:rsidRPr="008D3817" w:rsidRDefault="00A842B0"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shd w:val="clear" w:color="auto" w:fill="auto"/>
          </w:tcPr>
          <w:p w:rsidR="00A842B0" w:rsidRPr="008D3817" w:rsidRDefault="00A842B0"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E320B1" w:rsidRPr="0083442A" w:rsidTr="00B232E6">
        <w:trPr>
          <w:trHeight w:val="1094"/>
        </w:trPr>
        <w:tc>
          <w:tcPr>
            <w:tcW w:w="1668" w:type="dxa"/>
            <w:vMerge w:val="restart"/>
            <w:shd w:val="clear" w:color="auto" w:fill="auto"/>
          </w:tcPr>
          <w:p w:rsidR="00E320B1" w:rsidRPr="008D3817" w:rsidRDefault="00E320B1" w:rsidP="008D3817">
            <w:pPr>
              <w:widowControl w:val="0"/>
              <w:tabs>
                <w:tab w:val="left" w:pos="622"/>
              </w:tabs>
              <w:spacing w:after="0" w:line="240" w:lineRule="auto"/>
              <w:jc w:val="both"/>
              <w:rPr>
                <w:rFonts w:ascii="Times New Roman" w:hAnsi="Times New Roman"/>
                <w:sz w:val="20"/>
                <w:szCs w:val="20"/>
              </w:rPr>
            </w:pPr>
            <w:r w:rsidRPr="008D3817">
              <w:rPr>
                <w:rFonts w:ascii="Times New Roman" w:eastAsia="AngsanaUPC" w:hAnsi="Times New Roman"/>
                <w:bCs/>
                <w:iCs/>
                <w:sz w:val="20"/>
                <w:szCs w:val="20"/>
                <w:lang w:eastAsia="lt-LT"/>
              </w:rPr>
              <w:t>Techninė parama veiksmų programai administruoti</w:t>
            </w:r>
          </w:p>
        </w:tc>
        <w:tc>
          <w:tcPr>
            <w:tcW w:w="1559" w:type="dxa"/>
            <w:vMerge w:val="restart"/>
            <w:shd w:val="clear" w:color="auto" w:fill="auto"/>
          </w:tcPr>
          <w:p w:rsidR="00E320B1" w:rsidRPr="008D3817" w:rsidRDefault="00E320B1"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eastAsia="AngsanaUPC" w:hAnsi="Times New Roman"/>
                <w:bCs/>
                <w:sz w:val="20"/>
                <w:szCs w:val="20"/>
                <w:lang w:eastAsia="lt-LT"/>
              </w:rPr>
              <w:t>-</w:t>
            </w:r>
          </w:p>
        </w:tc>
        <w:tc>
          <w:tcPr>
            <w:tcW w:w="2835" w:type="dxa"/>
            <w:vMerge w:val="restart"/>
            <w:shd w:val="clear" w:color="auto" w:fill="auto"/>
          </w:tcPr>
          <w:p w:rsidR="00E320B1" w:rsidRPr="008D3817" w:rsidRDefault="00E320B1" w:rsidP="008D3817">
            <w:pPr>
              <w:widowControl w:val="0"/>
              <w:tabs>
                <w:tab w:val="left" w:pos="1276"/>
              </w:tabs>
              <w:adjustRightInd w:val="0"/>
              <w:spacing w:after="0" w:line="240" w:lineRule="auto"/>
              <w:jc w:val="both"/>
              <w:textAlignment w:val="baseline"/>
              <w:rPr>
                <w:rFonts w:ascii="Times New Roman" w:hAnsi="Times New Roman"/>
                <w:sz w:val="20"/>
                <w:szCs w:val="20"/>
              </w:rPr>
            </w:pPr>
            <w:r w:rsidRPr="008D3817">
              <w:rPr>
                <w:rFonts w:ascii="Times New Roman" w:hAnsi="Times New Roman"/>
                <w:sz w:val="20"/>
                <w:szCs w:val="20"/>
              </w:rPr>
              <w:t>-</w:t>
            </w:r>
          </w:p>
        </w:tc>
        <w:tc>
          <w:tcPr>
            <w:tcW w:w="2693" w:type="dxa"/>
            <w:vMerge w:val="restart"/>
            <w:shd w:val="clear" w:color="auto" w:fill="auto"/>
          </w:tcPr>
          <w:p w:rsidR="00E320B1" w:rsidRPr="008D3817" w:rsidRDefault="00E320B1" w:rsidP="008D3817">
            <w:pPr>
              <w:widowControl w:val="0"/>
              <w:tabs>
                <w:tab w:val="left" w:pos="622"/>
              </w:tabs>
              <w:spacing w:after="0" w:line="240" w:lineRule="auto"/>
              <w:jc w:val="both"/>
              <w:rPr>
                <w:rFonts w:ascii="Times New Roman" w:hAnsi="Times New Roman"/>
                <w:sz w:val="20"/>
                <w:szCs w:val="20"/>
              </w:rPr>
            </w:pPr>
            <w:r w:rsidRPr="008D3817">
              <w:rPr>
                <w:rFonts w:ascii="Times New Roman" w:hAnsi="Times New Roman"/>
                <w:sz w:val="20"/>
                <w:szCs w:val="20"/>
              </w:rPr>
              <w:t>Užtikrinti efektyvų veiksmų programos administravimą</w:t>
            </w:r>
          </w:p>
        </w:tc>
        <w:tc>
          <w:tcPr>
            <w:tcW w:w="3119" w:type="dxa"/>
            <w:shd w:val="clear" w:color="auto" w:fill="auto"/>
          </w:tcPr>
          <w:p w:rsidR="00E320B1" w:rsidRPr="008D3817" w:rsidRDefault="00E320B1" w:rsidP="008D3817">
            <w:pPr>
              <w:widowControl w:val="0"/>
              <w:tabs>
                <w:tab w:val="left" w:pos="622"/>
              </w:tabs>
              <w:spacing w:after="0" w:line="240" w:lineRule="auto"/>
              <w:jc w:val="both"/>
              <w:rPr>
                <w:rFonts w:ascii="Times New Roman" w:eastAsia="AngsanaUPC" w:hAnsi="Times New Roman"/>
                <w:b/>
                <w:bCs/>
                <w:sz w:val="20"/>
                <w:szCs w:val="20"/>
                <w:lang w:eastAsia="lt-LT"/>
              </w:rPr>
            </w:pPr>
            <w:r w:rsidRPr="008D3817">
              <w:rPr>
                <w:rFonts w:ascii="Times New Roman" w:eastAsia="AngsanaUPC" w:hAnsi="Times New Roman"/>
                <w:bCs/>
                <w:sz w:val="20"/>
                <w:szCs w:val="20"/>
                <w:lang w:eastAsia="lt-LT"/>
              </w:rPr>
              <w:t>Išlaidų</w:t>
            </w:r>
            <w:r w:rsidR="00D80E16">
              <w:rPr>
                <w:rFonts w:ascii="Times New Roman" w:eastAsia="AngsanaUPC" w:hAnsi="Times New Roman"/>
                <w:bCs/>
                <w:sz w:val="20"/>
                <w:szCs w:val="20"/>
                <w:lang w:eastAsia="lt-LT"/>
              </w:rPr>
              <w:t>,</w:t>
            </w:r>
            <w:r w:rsidRPr="008D3817">
              <w:rPr>
                <w:rFonts w:ascii="Times New Roman" w:eastAsia="AngsanaUPC" w:hAnsi="Times New Roman"/>
                <w:bCs/>
                <w:sz w:val="20"/>
                <w:szCs w:val="20"/>
                <w:lang w:eastAsia="lt-LT"/>
              </w:rPr>
              <w:t xml:space="preserve"> apmokamų taikant supaprastintus išlaidų apmokėjimo būdus ESF projektuose</w:t>
            </w:r>
            <w:r w:rsidR="00D80E16">
              <w:rPr>
                <w:rFonts w:ascii="Times New Roman" w:eastAsia="AngsanaUPC" w:hAnsi="Times New Roman"/>
                <w:bCs/>
                <w:sz w:val="20"/>
                <w:szCs w:val="20"/>
                <w:lang w:eastAsia="lt-LT"/>
              </w:rPr>
              <w:t>,</w:t>
            </w:r>
            <w:r w:rsidRPr="008D3817">
              <w:rPr>
                <w:rFonts w:ascii="Times New Roman" w:eastAsia="AngsanaUPC" w:hAnsi="Times New Roman"/>
                <w:bCs/>
                <w:sz w:val="20"/>
                <w:szCs w:val="20"/>
                <w:lang w:eastAsia="lt-LT"/>
              </w:rPr>
              <w:t xml:space="preserve"> dalis nuo vis</w:t>
            </w:r>
            <w:r w:rsidR="0091347B">
              <w:rPr>
                <w:rFonts w:ascii="Times New Roman" w:eastAsia="AngsanaUPC" w:hAnsi="Times New Roman"/>
                <w:bCs/>
                <w:sz w:val="20"/>
                <w:szCs w:val="20"/>
                <w:lang w:eastAsia="lt-LT"/>
              </w:rPr>
              <w:t>ų apmokamų ESF projektų išlaidų</w:t>
            </w:r>
          </w:p>
        </w:tc>
        <w:tc>
          <w:tcPr>
            <w:tcW w:w="850" w:type="dxa"/>
            <w:vMerge w:val="restart"/>
            <w:shd w:val="clear" w:color="auto" w:fill="auto"/>
          </w:tcPr>
          <w:p w:rsidR="00E320B1" w:rsidRPr="008D3817" w:rsidRDefault="00E320B1"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eastAsia="AngsanaUPC" w:hAnsi="Times New Roman"/>
                <w:bCs/>
                <w:sz w:val="20"/>
                <w:szCs w:val="20"/>
                <w:lang w:eastAsia="lt-LT"/>
              </w:rPr>
              <w:t>SaF</w:t>
            </w:r>
          </w:p>
        </w:tc>
        <w:tc>
          <w:tcPr>
            <w:tcW w:w="1276" w:type="dxa"/>
            <w:vMerge w:val="restart"/>
            <w:shd w:val="clear" w:color="auto" w:fill="auto"/>
          </w:tcPr>
          <w:p w:rsidR="00E320B1" w:rsidRPr="008D3817" w:rsidRDefault="00E320B1" w:rsidP="00FC087A">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eastAsia="AngsanaUPC" w:hAnsi="Times New Roman"/>
                <w:bCs/>
                <w:sz w:val="20"/>
                <w:szCs w:val="20"/>
                <w:lang w:eastAsia="lt-LT"/>
              </w:rPr>
              <w:t>187</w:t>
            </w:r>
            <w:r w:rsidR="008D02AD">
              <w:rPr>
                <w:rFonts w:ascii="Times New Roman" w:eastAsia="AngsanaUPC" w:hAnsi="Times New Roman"/>
                <w:bCs/>
                <w:sz w:val="20"/>
                <w:szCs w:val="20"/>
                <w:lang w:eastAsia="lt-LT"/>
              </w:rPr>
              <w:t>.</w:t>
            </w:r>
            <w:r w:rsidRPr="008D3817">
              <w:rPr>
                <w:rFonts w:ascii="Times New Roman" w:eastAsia="AngsanaUPC" w:hAnsi="Times New Roman"/>
                <w:bCs/>
                <w:sz w:val="20"/>
                <w:szCs w:val="20"/>
                <w:lang w:eastAsia="lt-LT"/>
              </w:rPr>
              <w:t>543</w:t>
            </w:r>
            <w:r w:rsidR="008D02AD">
              <w:rPr>
                <w:rFonts w:ascii="Times New Roman" w:eastAsia="AngsanaUPC" w:hAnsi="Times New Roman"/>
                <w:bCs/>
                <w:sz w:val="20"/>
                <w:szCs w:val="20"/>
                <w:lang w:eastAsia="lt-LT"/>
              </w:rPr>
              <w:t>.</w:t>
            </w:r>
            <w:r w:rsidRPr="008D3817">
              <w:rPr>
                <w:rFonts w:ascii="Times New Roman" w:eastAsia="AngsanaUPC" w:hAnsi="Times New Roman"/>
                <w:bCs/>
                <w:sz w:val="20"/>
                <w:szCs w:val="20"/>
                <w:lang w:eastAsia="lt-LT"/>
              </w:rPr>
              <w:t>198</w:t>
            </w:r>
          </w:p>
        </w:tc>
        <w:tc>
          <w:tcPr>
            <w:tcW w:w="1134" w:type="dxa"/>
            <w:vMerge w:val="restart"/>
            <w:shd w:val="clear" w:color="auto" w:fill="auto"/>
          </w:tcPr>
          <w:p w:rsidR="00E320B1" w:rsidRPr="008D3817" w:rsidRDefault="00E320B1" w:rsidP="009C0228">
            <w:pPr>
              <w:widowControl w:val="0"/>
              <w:tabs>
                <w:tab w:val="left" w:pos="622"/>
              </w:tabs>
              <w:spacing w:after="0" w:line="240" w:lineRule="auto"/>
              <w:jc w:val="both"/>
              <w:rPr>
                <w:rFonts w:ascii="Times New Roman" w:eastAsia="AngsanaUPC" w:hAnsi="Times New Roman"/>
                <w:bCs/>
                <w:sz w:val="20"/>
                <w:szCs w:val="20"/>
                <w:lang w:val="en-US" w:eastAsia="lt-LT"/>
              </w:rPr>
            </w:pPr>
            <w:r w:rsidRPr="008D3817">
              <w:rPr>
                <w:rFonts w:ascii="Times New Roman" w:eastAsia="AngsanaUPC" w:hAnsi="Times New Roman"/>
                <w:bCs/>
                <w:sz w:val="20"/>
                <w:szCs w:val="20"/>
                <w:lang w:eastAsia="lt-LT"/>
              </w:rPr>
              <w:t>2,</w:t>
            </w:r>
            <w:r w:rsidR="00071690">
              <w:rPr>
                <w:rFonts w:ascii="Times New Roman" w:eastAsia="AngsanaUPC" w:hAnsi="Times New Roman"/>
                <w:bCs/>
                <w:sz w:val="20"/>
                <w:szCs w:val="20"/>
                <w:lang w:eastAsia="lt-LT"/>
              </w:rPr>
              <w:t>6</w:t>
            </w:r>
            <w:r w:rsidR="009C0228">
              <w:rPr>
                <w:rFonts w:ascii="Times New Roman" w:eastAsia="AngsanaUPC" w:hAnsi="Times New Roman"/>
                <w:bCs/>
                <w:sz w:val="20"/>
                <w:szCs w:val="20"/>
                <w:lang w:eastAsia="lt-LT"/>
              </w:rPr>
              <w:t>7</w:t>
            </w:r>
            <w:r w:rsidRPr="008D3817">
              <w:rPr>
                <w:rFonts w:ascii="Times New Roman" w:eastAsia="AngsanaUPC" w:hAnsi="Times New Roman"/>
                <w:bCs/>
                <w:sz w:val="20"/>
                <w:szCs w:val="20"/>
                <w:lang w:eastAsia="lt-LT"/>
              </w:rPr>
              <w:t xml:space="preserve"> </w:t>
            </w:r>
            <w:r w:rsidRPr="008D3817">
              <w:rPr>
                <w:rFonts w:ascii="Times New Roman" w:eastAsia="AngsanaUPC" w:hAnsi="Times New Roman"/>
                <w:bCs/>
                <w:sz w:val="20"/>
                <w:szCs w:val="20"/>
                <w:lang w:val="en-US" w:eastAsia="lt-LT"/>
              </w:rPr>
              <w:t>%</w:t>
            </w:r>
          </w:p>
        </w:tc>
      </w:tr>
      <w:tr w:rsidR="00E320B1" w:rsidRPr="0083442A" w:rsidTr="00B232E6">
        <w:trPr>
          <w:trHeight w:val="1071"/>
        </w:trPr>
        <w:tc>
          <w:tcPr>
            <w:tcW w:w="1668" w:type="dxa"/>
            <w:vMerge/>
            <w:shd w:val="clear" w:color="auto" w:fill="auto"/>
          </w:tcPr>
          <w:p w:rsidR="00E320B1" w:rsidRPr="008D3817" w:rsidRDefault="00E320B1" w:rsidP="008D3817">
            <w:pPr>
              <w:widowControl w:val="0"/>
              <w:tabs>
                <w:tab w:val="left" w:pos="622"/>
              </w:tabs>
              <w:spacing w:after="0" w:line="240" w:lineRule="auto"/>
              <w:jc w:val="both"/>
              <w:rPr>
                <w:rFonts w:ascii="Times New Roman" w:eastAsia="AngsanaUPC" w:hAnsi="Times New Roman"/>
                <w:bCs/>
                <w:iCs/>
                <w:sz w:val="20"/>
                <w:szCs w:val="20"/>
                <w:lang w:eastAsia="lt-LT"/>
              </w:rPr>
            </w:pPr>
          </w:p>
        </w:tc>
        <w:tc>
          <w:tcPr>
            <w:tcW w:w="1559" w:type="dxa"/>
            <w:vMerge/>
            <w:shd w:val="clear" w:color="auto" w:fill="auto"/>
          </w:tcPr>
          <w:p w:rsidR="00E320B1" w:rsidRPr="008D3817" w:rsidRDefault="00E320B1"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shd w:val="clear" w:color="auto" w:fill="auto"/>
          </w:tcPr>
          <w:p w:rsidR="00E320B1" w:rsidRPr="008D3817" w:rsidRDefault="00E320B1" w:rsidP="008D3817">
            <w:pPr>
              <w:widowControl w:val="0"/>
              <w:tabs>
                <w:tab w:val="left" w:pos="1276"/>
              </w:tabs>
              <w:adjustRightInd w:val="0"/>
              <w:spacing w:after="0" w:line="240" w:lineRule="auto"/>
              <w:jc w:val="both"/>
              <w:textAlignment w:val="baseline"/>
              <w:rPr>
                <w:rFonts w:ascii="Times New Roman" w:hAnsi="Times New Roman"/>
                <w:sz w:val="20"/>
                <w:szCs w:val="20"/>
              </w:rPr>
            </w:pPr>
          </w:p>
        </w:tc>
        <w:tc>
          <w:tcPr>
            <w:tcW w:w="2693" w:type="dxa"/>
            <w:vMerge/>
            <w:shd w:val="clear" w:color="auto" w:fill="auto"/>
          </w:tcPr>
          <w:p w:rsidR="00E320B1" w:rsidRPr="008D3817" w:rsidRDefault="00E320B1" w:rsidP="008D3817">
            <w:pPr>
              <w:widowControl w:val="0"/>
              <w:tabs>
                <w:tab w:val="left" w:pos="622"/>
              </w:tabs>
              <w:spacing w:after="0" w:line="240" w:lineRule="auto"/>
              <w:jc w:val="both"/>
              <w:rPr>
                <w:rFonts w:ascii="Times New Roman" w:hAnsi="Times New Roman"/>
                <w:sz w:val="20"/>
                <w:szCs w:val="20"/>
              </w:rPr>
            </w:pPr>
          </w:p>
        </w:tc>
        <w:tc>
          <w:tcPr>
            <w:tcW w:w="3119" w:type="dxa"/>
            <w:shd w:val="clear" w:color="auto" w:fill="auto"/>
          </w:tcPr>
          <w:p w:rsidR="00E320B1" w:rsidRPr="008D3817" w:rsidRDefault="00E320B1"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eastAsia="AngsanaUPC" w:hAnsi="Times New Roman"/>
                <w:bCs/>
                <w:sz w:val="20"/>
                <w:szCs w:val="20"/>
                <w:lang w:eastAsia="lt-LT"/>
              </w:rPr>
              <w:t>Išlaidų</w:t>
            </w:r>
            <w:r w:rsidR="00D80E16">
              <w:rPr>
                <w:rFonts w:ascii="Times New Roman" w:eastAsia="AngsanaUPC" w:hAnsi="Times New Roman"/>
                <w:bCs/>
                <w:sz w:val="20"/>
                <w:szCs w:val="20"/>
                <w:lang w:eastAsia="lt-LT"/>
              </w:rPr>
              <w:t>,</w:t>
            </w:r>
            <w:r w:rsidRPr="008D3817">
              <w:rPr>
                <w:rFonts w:ascii="Times New Roman" w:eastAsia="AngsanaUPC" w:hAnsi="Times New Roman"/>
                <w:bCs/>
                <w:sz w:val="20"/>
                <w:szCs w:val="20"/>
                <w:lang w:eastAsia="lt-LT"/>
              </w:rPr>
              <w:t xml:space="preserve"> apmokamų taikant supaprastintus išlaidų apmokėjimo būdus ERPF projektuose</w:t>
            </w:r>
            <w:r w:rsidR="00D80E16">
              <w:rPr>
                <w:rFonts w:ascii="Times New Roman" w:eastAsia="AngsanaUPC" w:hAnsi="Times New Roman"/>
                <w:bCs/>
                <w:sz w:val="20"/>
                <w:szCs w:val="20"/>
                <w:lang w:eastAsia="lt-LT"/>
              </w:rPr>
              <w:t>,</w:t>
            </w:r>
            <w:r w:rsidRPr="008D3817">
              <w:rPr>
                <w:rFonts w:ascii="Times New Roman" w:eastAsia="AngsanaUPC" w:hAnsi="Times New Roman"/>
                <w:bCs/>
                <w:sz w:val="20"/>
                <w:szCs w:val="20"/>
                <w:lang w:eastAsia="lt-LT"/>
              </w:rPr>
              <w:t xml:space="preserve"> dalis nuo visų</w:t>
            </w:r>
            <w:r w:rsidR="0091347B">
              <w:rPr>
                <w:rFonts w:ascii="Times New Roman" w:eastAsia="AngsanaUPC" w:hAnsi="Times New Roman"/>
                <w:bCs/>
                <w:sz w:val="20"/>
                <w:szCs w:val="20"/>
                <w:lang w:eastAsia="lt-LT"/>
              </w:rPr>
              <w:t xml:space="preserve"> apmokamų ERPF projektų išlaidų</w:t>
            </w:r>
          </w:p>
        </w:tc>
        <w:tc>
          <w:tcPr>
            <w:tcW w:w="850" w:type="dxa"/>
            <w:vMerge/>
            <w:shd w:val="clear" w:color="auto" w:fill="auto"/>
          </w:tcPr>
          <w:p w:rsidR="00E320B1" w:rsidRPr="008D3817" w:rsidRDefault="00E320B1"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276" w:type="dxa"/>
            <w:vMerge/>
            <w:shd w:val="clear" w:color="auto" w:fill="auto"/>
          </w:tcPr>
          <w:p w:rsidR="00E320B1" w:rsidRPr="008D3817" w:rsidRDefault="00E320B1"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shd w:val="clear" w:color="auto" w:fill="auto"/>
          </w:tcPr>
          <w:p w:rsidR="00E320B1" w:rsidRPr="008D3817" w:rsidRDefault="00E320B1"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E320B1" w:rsidRPr="0083442A" w:rsidTr="00E320B1">
        <w:trPr>
          <w:trHeight w:val="1059"/>
        </w:trPr>
        <w:tc>
          <w:tcPr>
            <w:tcW w:w="1668" w:type="dxa"/>
            <w:vMerge/>
            <w:shd w:val="clear" w:color="auto" w:fill="auto"/>
          </w:tcPr>
          <w:p w:rsidR="00E320B1" w:rsidRPr="008D3817" w:rsidRDefault="00E320B1" w:rsidP="008D3817">
            <w:pPr>
              <w:widowControl w:val="0"/>
              <w:tabs>
                <w:tab w:val="left" w:pos="622"/>
              </w:tabs>
              <w:spacing w:after="0" w:line="240" w:lineRule="auto"/>
              <w:jc w:val="both"/>
              <w:rPr>
                <w:rFonts w:ascii="Times New Roman" w:eastAsia="AngsanaUPC" w:hAnsi="Times New Roman"/>
                <w:bCs/>
                <w:iCs/>
                <w:sz w:val="20"/>
                <w:szCs w:val="20"/>
                <w:lang w:eastAsia="lt-LT"/>
              </w:rPr>
            </w:pPr>
          </w:p>
        </w:tc>
        <w:tc>
          <w:tcPr>
            <w:tcW w:w="1559" w:type="dxa"/>
            <w:vMerge/>
            <w:shd w:val="clear" w:color="auto" w:fill="auto"/>
          </w:tcPr>
          <w:p w:rsidR="00E320B1" w:rsidRPr="008D3817" w:rsidRDefault="00E320B1"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shd w:val="clear" w:color="auto" w:fill="auto"/>
          </w:tcPr>
          <w:p w:rsidR="00E320B1" w:rsidRPr="008D3817" w:rsidRDefault="00E320B1" w:rsidP="008D3817">
            <w:pPr>
              <w:widowControl w:val="0"/>
              <w:tabs>
                <w:tab w:val="left" w:pos="1276"/>
              </w:tabs>
              <w:adjustRightInd w:val="0"/>
              <w:spacing w:after="0" w:line="240" w:lineRule="auto"/>
              <w:jc w:val="both"/>
              <w:textAlignment w:val="baseline"/>
              <w:rPr>
                <w:rFonts w:ascii="Times New Roman" w:hAnsi="Times New Roman"/>
                <w:sz w:val="20"/>
                <w:szCs w:val="20"/>
              </w:rPr>
            </w:pPr>
          </w:p>
        </w:tc>
        <w:tc>
          <w:tcPr>
            <w:tcW w:w="2693" w:type="dxa"/>
            <w:vMerge/>
            <w:shd w:val="clear" w:color="auto" w:fill="auto"/>
          </w:tcPr>
          <w:p w:rsidR="00E320B1" w:rsidRPr="008D3817" w:rsidRDefault="00E320B1" w:rsidP="008D3817">
            <w:pPr>
              <w:widowControl w:val="0"/>
              <w:tabs>
                <w:tab w:val="left" w:pos="622"/>
              </w:tabs>
              <w:spacing w:after="0" w:line="240" w:lineRule="auto"/>
              <w:jc w:val="both"/>
              <w:rPr>
                <w:rFonts w:ascii="Times New Roman" w:hAnsi="Times New Roman"/>
                <w:sz w:val="20"/>
                <w:szCs w:val="20"/>
              </w:rPr>
            </w:pPr>
          </w:p>
        </w:tc>
        <w:tc>
          <w:tcPr>
            <w:tcW w:w="3119" w:type="dxa"/>
            <w:shd w:val="clear" w:color="auto" w:fill="auto"/>
          </w:tcPr>
          <w:p w:rsidR="00E320B1" w:rsidRPr="008D3817" w:rsidRDefault="00E320B1"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eastAsia="AngsanaUPC" w:hAnsi="Times New Roman"/>
                <w:bCs/>
                <w:sz w:val="20"/>
                <w:szCs w:val="20"/>
                <w:lang w:eastAsia="lt-LT"/>
              </w:rPr>
              <w:t>Išlaidų</w:t>
            </w:r>
            <w:r w:rsidR="00D80E16">
              <w:rPr>
                <w:rFonts w:ascii="Times New Roman" w:eastAsia="AngsanaUPC" w:hAnsi="Times New Roman"/>
                <w:bCs/>
                <w:sz w:val="20"/>
                <w:szCs w:val="20"/>
                <w:lang w:eastAsia="lt-LT"/>
              </w:rPr>
              <w:t>,</w:t>
            </w:r>
            <w:r w:rsidRPr="008D3817">
              <w:rPr>
                <w:rFonts w:ascii="Times New Roman" w:eastAsia="AngsanaUPC" w:hAnsi="Times New Roman"/>
                <w:bCs/>
                <w:sz w:val="20"/>
                <w:szCs w:val="20"/>
                <w:lang w:eastAsia="lt-LT"/>
              </w:rPr>
              <w:t xml:space="preserve"> apmokamų taikant supaprastintus išlaidų apmokėjimo būdus SaF projektuose</w:t>
            </w:r>
            <w:r w:rsidR="00D80E16">
              <w:rPr>
                <w:rFonts w:ascii="Times New Roman" w:eastAsia="AngsanaUPC" w:hAnsi="Times New Roman"/>
                <w:bCs/>
                <w:sz w:val="20"/>
                <w:szCs w:val="20"/>
                <w:lang w:eastAsia="lt-LT"/>
              </w:rPr>
              <w:t>,</w:t>
            </w:r>
            <w:r w:rsidRPr="008D3817">
              <w:rPr>
                <w:rFonts w:ascii="Times New Roman" w:eastAsia="AngsanaUPC" w:hAnsi="Times New Roman"/>
                <w:bCs/>
                <w:sz w:val="20"/>
                <w:szCs w:val="20"/>
                <w:lang w:eastAsia="lt-LT"/>
              </w:rPr>
              <w:t xml:space="preserve"> dalis nuo vis</w:t>
            </w:r>
            <w:r w:rsidR="0091347B">
              <w:rPr>
                <w:rFonts w:ascii="Times New Roman" w:eastAsia="AngsanaUPC" w:hAnsi="Times New Roman"/>
                <w:bCs/>
                <w:sz w:val="20"/>
                <w:szCs w:val="20"/>
                <w:lang w:eastAsia="lt-LT"/>
              </w:rPr>
              <w:t>ų apmokamų SaF projektų išlaidų</w:t>
            </w:r>
          </w:p>
        </w:tc>
        <w:tc>
          <w:tcPr>
            <w:tcW w:w="850" w:type="dxa"/>
            <w:vMerge/>
            <w:shd w:val="clear" w:color="auto" w:fill="auto"/>
          </w:tcPr>
          <w:p w:rsidR="00E320B1" w:rsidRPr="008D3817" w:rsidRDefault="00E320B1"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276" w:type="dxa"/>
            <w:vMerge/>
            <w:shd w:val="clear" w:color="auto" w:fill="auto"/>
          </w:tcPr>
          <w:p w:rsidR="00E320B1" w:rsidRPr="008D3817" w:rsidRDefault="00E320B1"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shd w:val="clear" w:color="auto" w:fill="auto"/>
          </w:tcPr>
          <w:p w:rsidR="00E320B1" w:rsidRPr="008D3817" w:rsidRDefault="00E320B1"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E320B1" w:rsidRPr="0083442A" w:rsidTr="00E60EA1">
        <w:trPr>
          <w:trHeight w:val="309"/>
        </w:trPr>
        <w:tc>
          <w:tcPr>
            <w:tcW w:w="1668" w:type="dxa"/>
            <w:vMerge/>
            <w:shd w:val="clear" w:color="auto" w:fill="auto"/>
          </w:tcPr>
          <w:p w:rsidR="00E320B1" w:rsidRPr="008D3817" w:rsidRDefault="00E320B1" w:rsidP="008D3817">
            <w:pPr>
              <w:widowControl w:val="0"/>
              <w:tabs>
                <w:tab w:val="left" w:pos="622"/>
              </w:tabs>
              <w:spacing w:after="0" w:line="240" w:lineRule="auto"/>
              <w:jc w:val="both"/>
              <w:rPr>
                <w:rFonts w:ascii="Times New Roman" w:eastAsia="AngsanaUPC" w:hAnsi="Times New Roman"/>
                <w:bCs/>
                <w:iCs/>
                <w:sz w:val="20"/>
                <w:szCs w:val="20"/>
                <w:lang w:eastAsia="lt-LT"/>
              </w:rPr>
            </w:pPr>
          </w:p>
        </w:tc>
        <w:tc>
          <w:tcPr>
            <w:tcW w:w="1559" w:type="dxa"/>
            <w:vMerge/>
            <w:shd w:val="clear" w:color="auto" w:fill="auto"/>
          </w:tcPr>
          <w:p w:rsidR="00E320B1" w:rsidRPr="008D3817" w:rsidRDefault="00E320B1"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shd w:val="clear" w:color="auto" w:fill="auto"/>
          </w:tcPr>
          <w:p w:rsidR="00E320B1" w:rsidRPr="008D3817" w:rsidRDefault="00E320B1" w:rsidP="008D3817">
            <w:pPr>
              <w:widowControl w:val="0"/>
              <w:tabs>
                <w:tab w:val="left" w:pos="1276"/>
              </w:tabs>
              <w:adjustRightInd w:val="0"/>
              <w:spacing w:after="0" w:line="240" w:lineRule="auto"/>
              <w:jc w:val="both"/>
              <w:textAlignment w:val="baseline"/>
              <w:rPr>
                <w:rFonts w:ascii="Times New Roman" w:hAnsi="Times New Roman"/>
                <w:sz w:val="20"/>
                <w:szCs w:val="20"/>
              </w:rPr>
            </w:pPr>
          </w:p>
        </w:tc>
        <w:tc>
          <w:tcPr>
            <w:tcW w:w="2693" w:type="dxa"/>
            <w:vMerge/>
            <w:shd w:val="clear" w:color="auto" w:fill="auto"/>
          </w:tcPr>
          <w:p w:rsidR="00E320B1" w:rsidRPr="008D3817" w:rsidRDefault="00E320B1" w:rsidP="008D3817">
            <w:pPr>
              <w:widowControl w:val="0"/>
              <w:tabs>
                <w:tab w:val="left" w:pos="622"/>
              </w:tabs>
              <w:spacing w:after="0" w:line="240" w:lineRule="auto"/>
              <w:jc w:val="both"/>
              <w:rPr>
                <w:rFonts w:ascii="Times New Roman" w:hAnsi="Times New Roman"/>
                <w:sz w:val="20"/>
                <w:szCs w:val="20"/>
              </w:rPr>
            </w:pPr>
          </w:p>
        </w:tc>
        <w:tc>
          <w:tcPr>
            <w:tcW w:w="3119" w:type="dxa"/>
            <w:shd w:val="clear" w:color="auto" w:fill="auto"/>
          </w:tcPr>
          <w:p w:rsidR="00E320B1" w:rsidRPr="008D3817" w:rsidRDefault="00E320B1"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eastAsia="AngsanaUPC" w:hAnsi="Times New Roman"/>
                <w:bCs/>
                <w:sz w:val="20"/>
                <w:szCs w:val="20"/>
                <w:lang w:eastAsia="lt-LT"/>
              </w:rPr>
              <w:t>ES fondus ad</w:t>
            </w:r>
            <w:r w:rsidR="0091347B">
              <w:rPr>
                <w:rFonts w:ascii="Times New Roman" w:eastAsia="AngsanaUPC" w:hAnsi="Times New Roman"/>
                <w:bCs/>
                <w:sz w:val="20"/>
                <w:szCs w:val="20"/>
                <w:lang w:eastAsia="lt-LT"/>
              </w:rPr>
              <w:t>ministruojančio personalo kaita</w:t>
            </w:r>
          </w:p>
        </w:tc>
        <w:tc>
          <w:tcPr>
            <w:tcW w:w="850" w:type="dxa"/>
            <w:vMerge/>
            <w:shd w:val="clear" w:color="auto" w:fill="auto"/>
          </w:tcPr>
          <w:p w:rsidR="00E320B1" w:rsidRPr="008D3817" w:rsidRDefault="00E320B1"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276" w:type="dxa"/>
            <w:vMerge/>
            <w:shd w:val="clear" w:color="auto" w:fill="auto"/>
          </w:tcPr>
          <w:p w:rsidR="00E320B1" w:rsidRPr="008D3817" w:rsidRDefault="00E320B1"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shd w:val="clear" w:color="auto" w:fill="auto"/>
          </w:tcPr>
          <w:p w:rsidR="00E320B1" w:rsidRPr="008D3817" w:rsidRDefault="00E320B1"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010012" w:rsidRPr="0083442A" w:rsidTr="00D6431A">
        <w:trPr>
          <w:trHeight w:val="525"/>
        </w:trPr>
        <w:tc>
          <w:tcPr>
            <w:tcW w:w="1668" w:type="dxa"/>
            <w:vMerge w:val="restart"/>
            <w:shd w:val="clear" w:color="auto" w:fill="auto"/>
          </w:tcPr>
          <w:p w:rsidR="00010012" w:rsidRPr="008D3817" w:rsidRDefault="00010012" w:rsidP="008D3817">
            <w:pPr>
              <w:widowControl w:val="0"/>
              <w:tabs>
                <w:tab w:val="left" w:pos="622"/>
              </w:tabs>
              <w:spacing w:after="0" w:line="240" w:lineRule="auto"/>
              <w:jc w:val="both"/>
              <w:rPr>
                <w:rFonts w:ascii="Times New Roman" w:hAnsi="Times New Roman"/>
                <w:sz w:val="20"/>
                <w:szCs w:val="20"/>
              </w:rPr>
            </w:pPr>
            <w:r w:rsidRPr="008D3817">
              <w:rPr>
                <w:rFonts w:ascii="Times New Roman" w:eastAsia="AngsanaUPC" w:hAnsi="Times New Roman"/>
                <w:bCs/>
                <w:iCs/>
                <w:sz w:val="20"/>
                <w:szCs w:val="20"/>
                <w:lang w:eastAsia="lt-LT"/>
              </w:rPr>
              <w:t>Techninė parama, skirta informuoti apie veiksmų programą ir jai vertinti</w:t>
            </w:r>
          </w:p>
        </w:tc>
        <w:tc>
          <w:tcPr>
            <w:tcW w:w="1559" w:type="dxa"/>
            <w:vMerge w:val="restart"/>
            <w:shd w:val="clear" w:color="auto" w:fill="auto"/>
          </w:tcPr>
          <w:p w:rsidR="00010012" w:rsidRPr="008D3817" w:rsidRDefault="00010012"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eastAsia="AngsanaUPC" w:hAnsi="Times New Roman"/>
                <w:bCs/>
                <w:sz w:val="20"/>
                <w:szCs w:val="20"/>
                <w:lang w:eastAsia="lt-LT"/>
              </w:rPr>
              <w:t>-</w:t>
            </w:r>
          </w:p>
        </w:tc>
        <w:tc>
          <w:tcPr>
            <w:tcW w:w="2835" w:type="dxa"/>
            <w:vMerge w:val="restart"/>
            <w:shd w:val="clear" w:color="auto" w:fill="auto"/>
          </w:tcPr>
          <w:p w:rsidR="00010012" w:rsidRPr="008D3817" w:rsidRDefault="00010012" w:rsidP="008D3817">
            <w:pPr>
              <w:widowControl w:val="0"/>
              <w:tabs>
                <w:tab w:val="left" w:pos="1276"/>
              </w:tabs>
              <w:adjustRightInd w:val="0"/>
              <w:spacing w:after="0" w:line="240" w:lineRule="auto"/>
              <w:jc w:val="both"/>
              <w:textAlignment w:val="baseline"/>
              <w:rPr>
                <w:rFonts w:ascii="Times New Roman" w:hAnsi="Times New Roman"/>
                <w:sz w:val="20"/>
                <w:szCs w:val="20"/>
              </w:rPr>
            </w:pPr>
            <w:r w:rsidRPr="008D3817">
              <w:rPr>
                <w:rFonts w:ascii="Times New Roman" w:hAnsi="Times New Roman"/>
                <w:sz w:val="20"/>
                <w:szCs w:val="20"/>
              </w:rPr>
              <w:t>-</w:t>
            </w:r>
          </w:p>
        </w:tc>
        <w:tc>
          <w:tcPr>
            <w:tcW w:w="2693" w:type="dxa"/>
            <w:vMerge w:val="restart"/>
            <w:shd w:val="clear" w:color="auto" w:fill="auto"/>
          </w:tcPr>
          <w:p w:rsidR="00010012" w:rsidRPr="008D3817" w:rsidRDefault="00E320B1" w:rsidP="008D3817">
            <w:pPr>
              <w:widowControl w:val="0"/>
              <w:tabs>
                <w:tab w:val="left" w:pos="622"/>
              </w:tabs>
              <w:spacing w:after="0" w:line="240" w:lineRule="auto"/>
              <w:jc w:val="both"/>
              <w:rPr>
                <w:rFonts w:ascii="Times New Roman" w:hAnsi="Times New Roman"/>
                <w:sz w:val="20"/>
                <w:szCs w:val="20"/>
              </w:rPr>
            </w:pPr>
            <w:r w:rsidRPr="008D3817">
              <w:rPr>
                <w:rFonts w:ascii="Times New Roman" w:hAnsi="Times New Roman"/>
                <w:sz w:val="20"/>
                <w:szCs w:val="20"/>
              </w:rPr>
              <w:t>Užtikrinti informavimą apie ES fondų investicijas</w:t>
            </w:r>
          </w:p>
        </w:tc>
        <w:tc>
          <w:tcPr>
            <w:tcW w:w="3119" w:type="dxa"/>
            <w:shd w:val="clear" w:color="auto" w:fill="auto"/>
          </w:tcPr>
          <w:p w:rsidR="00010012" w:rsidRPr="008D3817" w:rsidRDefault="000867A6" w:rsidP="008D3817">
            <w:pPr>
              <w:widowControl w:val="0"/>
              <w:tabs>
                <w:tab w:val="left" w:pos="622"/>
              </w:tabs>
              <w:spacing w:after="0" w:line="240" w:lineRule="auto"/>
              <w:jc w:val="both"/>
              <w:rPr>
                <w:rFonts w:ascii="Times New Roman" w:eastAsia="AngsanaUPC" w:hAnsi="Times New Roman"/>
                <w:bCs/>
                <w:sz w:val="20"/>
                <w:szCs w:val="20"/>
                <w:lang w:eastAsia="lt-LT"/>
              </w:rPr>
            </w:pPr>
            <w:r>
              <w:rPr>
                <w:rFonts w:ascii="Times New Roman" w:hAnsi="Times New Roman"/>
                <w:color w:val="000000"/>
                <w:sz w:val="20"/>
                <w:szCs w:val="20"/>
                <w:lang w:eastAsia="lt-LT"/>
              </w:rPr>
              <w:t>Dalis potencialių pareiškėjų, kuriuos tenkina turima informacija</w:t>
            </w:r>
            <w:r w:rsidR="00D80E16">
              <w:rPr>
                <w:rFonts w:ascii="Times New Roman" w:hAnsi="Times New Roman"/>
                <w:color w:val="000000"/>
                <w:sz w:val="20"/>
                <w:szCs w:val="20"/>
                <w:lang w:eastAsia="lt-LT"/>
              </w:rPr>
              <w:t xml:space="preserve"> </w:t>
            </w:r>
          </w:p>
        </w:tc>
        <w:tc>
          <w:tcPr>
            <w:tcW w:w="850" w:type="dxa"/>
            <w:vMerge w:val="restart"/>
            <w:shd w:val="clear" w:color="auto" w:fill="auto"/>
          </w:tcPr>
          <w:p w:rsidR="00010012" w:rsidRPr="008D3817" w:rsidRDefault="00010012" w:rsidP="008D3817">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eastAsia="AngsanaUPC" w:hAnsi="Times New Roman"/>
                <w:bCs/>
                <w:sz w:val="20"/>
                <w:szCs w:val="20"/>
                <w:lang w:eastAsia="lt-LT"/>
              </w:rPr>
              <w:t>ESF</w:t>
            </w:r>
          </w:p>
        </w:tc>
        <w:tc>
          <w:tcPr>
            <w:tcW w:w="1276" w:type="dxa"/>
            <w:vMerge w:val="restart"/>
            <w:shd w:val="clear" w:color="auto" w:fill="auto"/>
          </w:tcPr>
          <w:p w:rsidR="00010012" w:rsidRPr="008D3817" w:rsidRDefault="00D12ED3" w:rsidP="008D02AD">
            <w:pPr>
              <w:widowControl w:val="0"/>
              <w:tabs>
                <w:tab w:val="left" w:pos="622"/>
              </w:tabs>
              <w:spacing w:after="0" w:line="240" w:lineRule="auto"/>
              <w:jc w:val="both"/>
              <w:rPr>
                <w:rFonts w:ascii="Times New Roman" w:eastAsia="AngsanaUPC" w:hAnsi="Times New Roman"/>
                <w:bCs/>
                <w:sz w:val="20"/>
                <w:szCs w:val="20"/>
                <w:lang w:eastAsia="lt-LT"/>
              </w:rPr>
            </w:pPr>
            <w:r w:rsidRPr="008D3817">
              <w:rPr>
                <w:rFonts w:ascii="Times New Roman" w:eastAsia="AngsanaUPC" w:hAnsi="Times New Roman"/>
                <w:bCs/>
                <w:sz w:val="20"/>
                <w:szCs w:val="20"/>
                <w:lang w:eastAsia="lt-LT"/>
              </w:rPr>
              <w:t>25</w:t>
            </w:r>
            <w:r w:rsidR="008D02AD">
              <w:rPr>
                <w:rFonts w:ascii="Times New Roman" w:eastAsia="AngsanaUPC" w:hAnsi="Times New Roman"/>
                <w:bCs/>
                <w:sz w:val="20"/>
                <w:szCs w:val="20"/>
                <w:lang w:eastAsia="lt-LT"/>
              </w:rPr>
              <w:t>.</w:t>
            </w:r>
            <w:r w:rsidRPr="008D3817">
              <w:rPr>
                <w:rFonts w:ascii="Times New Roman" w:eastAsia="AngsanaUPC" w:hAnsi="Times New Roman"/>
                <w:bCs/>
                <w:sz w:val="20"/>
                <w:szCs w:val="20"/>
                <w:lang w:eastAsia="lt-LT"/>
              </w:rPr>
              <w:t>812</w:t>
            </w:r>
            <w:r w:rsidR="008D02AD">
              <w:rPr>
                <w:rFonts w:ascii="Times New Roman" w:eastAsia="AngsanaUPC" w:hAnsi="Times New Roman"/>
                <w:bCs/>
                <w:sz w:val="20"/>
                <w:szCs w:val="20"/>
                <w:lang w:eastAsia="lt-LT"/>
              </w:rPr>
              <w:t>.</w:t>
            </w:r>
            <w:r w:rsidRPr="008D3817">
              <w:rPr>
                <w:rFonts w:ascii="Times New Roman" w:eastAsia="AngsanaUPC" w:hAnsi="Times New Roman"/>
                <w:bCs/>
                <w:sz w:val="20"/>
                <w:szCs w:val="20"/>
                <w:lang w:eastAsia="lt-LT"/>
              </w:rPr>
              <w:t>183</w:t>
            </w:r>
          </w:p>
        </w:tc>
        <w:tc>
          <w:tcPr>
            <w:tcW w:w="1134" w:type="dxa"/>
            <w:vMerge w:val="restart"/>
            <w:shd w:val="clear" w:color="auto" w:fill="auto"/>
          </w:tcPr>
          <w:p w:rsidR="00010012" w:rsidRPr="008D3817" w:rsidRDefault="00010012" w:rsidP="008D3817">
            <w:pPr>
              <w:widowControl w:val="0"/>
              <w:tabs>
                <w:tab w:val="left" w:pos="622"/>
              </w:tabs>
              <w:spacing w:after="0" w:line="240" w:lineRule="auto"/>
              <w:jc w:val="both"/>
              <w:rPr>
                <w:rFonts w:ascii="Times New Roman" w:eastAsia="AngsanaUPC" w:hAnsi="Times New Roman"/>
                <w:bCs/>
                <w:sz w:val="20"/>
                <w:szCs w:val="20"/>
                <w:lang w:val="en-US" w:eastAsia="lt-LT"/>
              </w:rPr>
            </w:pPr>
            <w:r w:rsidRPr="008D3817">
              <w:rPr>
                <w:rFonts w:ascii="Times New Roman" w:eastAsia="AngsanaUPC" w:hAnsi="Times New Roman"/>
                <w:bCs/>
                <w:sz w:val="20"/>
                <w:szCs w:val="20"/>
                <w:lang w:eastAsia="lt-LT"/>
              </w:rPr>
              <w:t>0,</w:t>
            </w:r>
            <w:r w:rsidR="00071690">
              <w:rPr>
                <w:rFonts w:ascii="Times New Roman" w:eastAsia="AngsanaUPC" w:hAnsi="Times New Roman"/>
                <w:bCs/>
                <w:sz w:val="20"/>
                <w:szCs w:val="20"/>
                <w:lang w:eastAsia="lt-LT"/>
              </w:rPr>
              <w:t>37</w:t>
            </w:r>
            <w:r w:rsidRPr="008D3817">
              <w:rPr>
                <w:rFonts w:ascii="Times New Roman" w:eastAsia="AngsanaUPC" w:hAnsi="Times New Roman"/>
                <w:bCs/>
                <w:sz w:val="20"/>
                <w:szCs w:val="20"/>
                <w:lang w:eastAsia="lt-LT"/>
              </w:rPr>
              <w:t xml:space="preserve"> </w:t>
            </w:r>
            <w:r w:rsidRPr="008D3817">
              <w:rPr>
                <w:rFonts w:ascii="Times New Roman" w:eastAsia="AngsanaUPC" w:hAnsi="Times New Roman"/>
                <w:bCs/>
                <w:sz w:val="20"/>
                <w:szCs w:val="20"/>
                <w:lang w:val="en-US" w:eastAsia="lt-LT"/>
              </w:rPr>
              <w:t>%</w:t>
            </w:r>
          </w:p>
        </w:tc>
      </w:tr>
      <w:tr w:rsidR="00010012" w:rsidRPr="0083442A" w:rsidTr="00010012">
        <w:trPr>
          <w:trHeight w:val="564"/>
        </w:trPr>
        <w:tc>
          <w:tcPr>
            <w:tcW w:w="1668" w:type="dxa"/>
            <w:vMerge/>
            <w:shd w:val="clear" w:color="auto" w:fill="auto"/>
          </w:tcPr>
          <w:p w:rsidR="00010012" w:rsidRPr="008D3817" w:rsidRDefault="00010012" w:rsidP="008D3817">
            <w:pPr>
              <w:widowControl w:val="0"/>
              <w:tabs>
                <w:tab w:val="left" w:pos="622"/>
              </w:tabs>
              <w:spacing w:after="0" w:line="240" w:lineRule="auto"/>
              <w:jc w:val="both"/>
              <w:rPr>
                <w:rFonts w:ascii="Times New Roman" w:hAnsi="Times New Roman"/>
                <w:sz w:val="20"/>
                <w:szCs w:val="20"/>
              </w:rPr>
            </w:pPr>
          </w:p>
        </w:tc>
        <w:tc>
          <w:tcPr>
            <w:tcW w:w="1559" w:type="dxa"/>
            <w:vMerge/>
            <w:shd w:val="clear" w:color="auto" w:fill="auto"/>
          </w:tcPr>
          <w:p w:rsidR="00010012" w:rsidRPr="008D3817" w:rsidRDefault="00010012"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shd w:val="clear" w:color="auto" w:fill="auto"/>
          </w:tcPr>
          <w:p w:rsidR="00010012" w:rsidRPr="008D3817" w:rsidRDefault="00010012" w:rsidP="008D3817">
            <w:pPr>
              <w:widowControl w:val="0"/>
              <w:tabs>
                <w:tab w:val="left" w:pos="1276"/>
              </w:tabs>
              <w:adjustRightInd w:val="0"/>
              <w:spacing w:after="0" w:line="240" w:lineRule="auto"/>
              <w:jc w:val="both"/>
              <w:textAlignment w:val="baseline"/>
              <w:rPr>
                <w:rFonts w:ascii="Times New Roman" w:hAnsi="Times New Roman"/>
                <w:sz w:val="20"/>
                <w:szCs w:val="20"/>
              </w:rPr>
            </w:pPr>
          </w:p>
        </w:tc>
        <w:tc>
          <w:tcPr>
            <w:tcW w:w="2693" w:type="dxa"/>
            <w:vMerge/>
            <w:shd w:val="clear" w:color="auto" w:fill="auto"/>
          </w:tcPr>
          <w:p w:rsidR="00010012" w:rsidRPr="008D3817" w:rsidRDefault="00010012" w:rsidP="008D3817">
            <w:pPr>
              <w:widowControl w:val="0"/>
              <w:tabs>
                <w:tab w:val="left" w:pos="622"/>
              </w:tabs>
              <w:spacing w:after="0" w:line="240" w:lineRule="auto"/>
              <w:jc w:val="both"/>
              <w:rPr>
                <w:rFonts w:ascii="Times New Roman" w:hAnsi="Times New Roman"/>
                <w:sz w:val="20"/>
                <w:szCs w:val="20"/>
              </w:rPr>
            </w:pPr>
          </w:p>
        </w:tc>
        <w:tc>
          <w:tcPr>
            <w:tcW w:w="3119" w:type="dxa"/>
            <w:shd w:val="clear" w:color="auto" w:fill="auto"/>
          </w:tcPr>
          <w:p w:rsidR="00010012" w:rsidRPr="008D3817" w:rsidRDefault="000867A6" w:rsidP="008D3817">
            <w:pPr>
              <w:widowControl w:val="0"/>
              <w:tabs>
                <w:tab w:val="left" w:pos="622"/>
              </w:tabs>
              <w:spacing w:after="0" w:line="240" w:lineRule="auto"/>
              <w:jc w:val="both"/>
              <w:rPr>
                <w:rFonts w:ascii="Times New Roman" w:eastAsia="AngsanaUPC" w:hAnsi="Times New Roman"/>
                <w:bCs/>
                <w:sz w:val="20"/>
                <w:szCs w:val="20"/>
                <w:lang w:eastAsia="lt-LT"/>
              </w:rPr>
            </w:pPr>
            <w:r w:rsidRPr="00D80E16">
              <w:rPr>
                <w:rFonts w:ascii="Times New Roman" w:hAnsi="Times New Roman"/>
                <w:color w:val="000000"/>
                <w:sz w:val="20"/>
                <w:szCs w:val="18"/>
                <w:lang w:eastAsia="lt-LT"/>
              </w:rPr>
              <w:t>Dalis projektų vykdytojų, kuriems pakanka informacijos</w:t>
            </w:r>
            <w:r w:rsidR="00D80E16" w:rsidRPr="00D80E16">
              <w:rPr>
                <w:rFonts w:ascii="Times New Roman" w:hAnsi="Times New Roman"/>
                <w:color w:val="000000"/>
                <w:sz w:val="20"/>
                <w:szCs w:val="18"/>
                <w:lang w:eastAsia="lt-LT"/>
              </w:rPr>
              <w:t>,</w:t>
            </w:r>
            <w:r w:rsidRPr="00D80E16">
              <w:rPr>
                <w:rFonts w:ascii="Times New Roman" w:hAnsi="Times New Roman"/>
                <w:color w:val="000000"/>
                <w:sz w:val="20"/>
                <w:szCs w:val="18"/>
                <w:lang w:eastAsia="lt-LT"/>
              </w:rPr>
              <w:t xml:space="preserve"> kaip tinkamai įgyvendinti projektą</w:t>
            </w:r>
            <w:r>
              <w:rPr>
                <w:rFonts w:ascii="Times New Roman" w:hAnsi="Times New Roman"/>
                <w:color w:val="000000"/>
                <w:sz w:val="18"/>
                <w:szCs w:val="18"/>
                <w:lang w:eastAsia="lt-LT"/>
              </w:rPr>
              <w:t xml:space="preserve"> </w:t>
            </w:r>
          </w:p>
        </w:tc>
        <w:tc>
          <w:tcPr>
            <w:tcW w:w="850" w:type="dxa"/>
            <w:vMerge/>
            <w:shd w:val="clear" w:color="auto" w:fill="auto"/>
          </w:tcPr>
          <w:p w:rsidR="00010012" w:rsidRPr="008D3817" w:rsidRDefault="00010012"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276" w:type="dxa"/>
            <w:vMerge/>
            <w:shd w:val="clear" w:color="auto" w:fill="auto"/>
          </w:tcPr>
          <w:p w:rsidR="00010012" w:rsidRPr="008D3817" w:rsidRDefault="00010012"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shd w:val="clear" w:color="auto" w:fill="auto"/>
          </w:tcPr>
          <w:p w:rsidR="00010012" w:rsidRPr="008D3817" w:rsidRDefault="00010012"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010012" w:rsidRPr="0083442A" w:rsidTr="00E60EA1">
        <w:trPr>
          <w:trHeight w:val="576"/>
        </w:trPr>
        <w:tc>
          <w:tcPr>
            <w:tcW w:w="1668" w:type="dxa"/>
            <w:vMerge/>
            <w:shd w:val="clear" w:color="auto" w:fill="auto"/>
          </w:tcPr>
          <w:p w:rsidR="00010012" w:rsidRPr="008D3817" w:rsidRDefault="00010012" w:rsidP="008D3817">
            <w:pPr>
              <w:widowControl w:val="0"/>
              <w:tabs>
                <w:tab w:val="left" w:pos="622"/>
              </w:tabs>
              <w:spacing w:after="0" w:line="240" w:lineRule="auto"/>
              <w:jc w:val="both"/>
              <w:rPr>
                <w:rFonts w:ascii="Times New Roman" w:hAnsi="Times New Roman"/>
                <w:sz w:val="20"/>
                <w:szCs w:val="20"/>
              </w:rPr>
            </w:pPr>
          </w:p>
        </w:tc>
        <w:tc>
          <w:tcPr>
            <w:tcW w:w="1559" w:type="dxa"/>
            <w:vMerge/>
            <w:shd w:val="clear" w:color="auto" w:fill="auto"/>
          </w:tcPr>
          <w:p w:rsidR="00010012" w:rsidRPr="008D3817" w:rsidRDefault="00010012"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shd w:val="clear" w:color="auto" w:fill="auto"/>
          </w:tcPr>
          <w:p w:rsidR="00010012" w:rsidRPr="008D3817" w:rsidRDefault="00010012" w:rsidP="008D3817">
            <w:pPr>
              <w:widowControl w:val="0"/>
              <w:tabs>
                <w:tab w:val="left" w:pos="1276"/>
              </w:tabs>
              <w:adjustRightInd w:val="0"/>
              <w:spacing w:after="0" w:line="240" w:lineRule="auto"/>
              <w:jc w:val="both"/>
              <w:textAlignment w:val="baseline"/>
              <w:rPr>
                <w:rFonts w:ascii="Times New Roman" w:hAnsi="Times New Roman"/>
                <w:sz w:val="20"/>
                <w:szCs w:val="20"/>
              </w:rPr>
            </w:pPr>
          </w:p>
        </w:tc>
        <w:tc>
          <w:tcPr>
            <w:tcW w:w="2693" w:type="dxa"/>
            <w:vMerge/>
            <w:shd w:val="clear" w:color="auto" w:fill="auto"/>
          </w:tcPr>
          <w:p w:rsidR="00010012" w:rsidRPr="008D3817" w:rsidRDefault="00010012" w:rsidP="008D3817">
            <w:pPr>
              <w:widowControl w:val="0"/>
              <w:tabs>
                <w:tab w:val="left" w:pos="622"/>
              </w:tabs>
              <w:spacing w:after="0" w:line="240" w:lineRule="auto"/>
              <w:jc w:val="both"/>
              <w:rPr>
                <w:rFonts w:ascii="Times New Roman" w:hAnsi="Times New Roman"/>
                <w:sz w:val="20"/>
                <w:szCs w:val="20"/>
              </w:rPr>
            </w:pPr>
          </w:p>
        </w:tc>
        <w:tc>
          <w:tcPr>
            <w:tcW w:w="3119" w:type="dxa"/>
            <w:shd w:val="clear" w:color="auto" w:fill="auto"/>
          </w:tcPr>
          <w:p w:rsidR="00010012" w:rsidRPr="00FF08C5" w:rsidRDefault="000867A6" w:rsidP="008D3817">
            <w:pPr>
              <w:widowControl w:val="0"/>
              <w:tabs>
                <w:tab w:val="left" w:pos="622"/>
              </w:tabs>
              <w:spacing w:after="0" w:line="240" w:lineRule="auto"/>
              <w:jc w:val="both"/>
              <w:rPr>
                <w:rFonts w:ascii="Times New Roman" w:hAnsi="Times New Roman"/>
                <w:color w:val="000000"/>
                <w:sz w:val="20"/>
                <w:szCs w:val="20"/>
                <w:lang w:eastAsia="lt-LT"/>
              </w:rPr>
            </w:pPr>
            <w:r>
              <w:rPr>
                <w:rFonts w:ascii="Times New Roman" w:hAnsi="Times New Roman"/>
                <w:color w:val="000000"/>
                <w:sz w:val="20"/>
                <w:szCs w:val="20"/>
                <w:lang w:eastAsia="lt-LT"/>
              </w:rPr>
              <w:t>Dalis gyventojų, teigiančių, kad ES investicijos padeda siekti teigiamų socialinių ir ekonominių pokyčių šalyje ir prisideda prie gyventojų gyvenimo kokybės gerinimo</w:t>
            </w:r>
            <w:r w:rsidR="00FF08C5">
              <w:rPr>
                <w:rFonts w:ascii="Times New Roman" w:hAnsi="Times New Roman"/>
                <w:color w:val="000000"/>
                <w:sz w:val="20"/>
                <w:szCs w:val="20"/>
                <w:lang w:eastAsia="lt-LT"/>
              </w:rPr>
              <w:t xml:space="preserve"> </w:t>
            </w:r>
          </w:p>
        </w:tc>
        <w:tc>
          <w:tcPr>
            <w:tcW w:w="850" w:type="dxa"/>
            <w:vMerge/>
            <w:shd w:val="clear" w:color="auto" w:fill="auto"/>
          </w:tcPr>
          <w:p w:rsidR="00010012" w:rsidRPr="008D3817" w:rsidRDefault="00010012"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276" w:type="dxa"/>
            <w:vMerge/>
            <w:shd w:val="clear" w:color="auto" w:fill="auto"/>
          </w:tcPr>
          <w:p w:rsidR="00010012" w:rsidRPr="008D3817" w:rsidRDefault="00010012"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134" w:type="dxa"/>
            <w:vMerge/>
            <w:shd w:val="clear" w:color="auto" w:fill="auto"/>
          </w:tcPr>
          <w:p w:rsidR="00010012" w:rsidRPr="008D3817" w:rsidRDefault="00010012" w:rsidP="008D3817">
            <w:pPr>
              <w:widowControl w:val="0"/>
              <w:tabs>
                <w:tab w:val="left" w:pos="622"/>
              </w:tabs>
              <w:spacing w:after="0" w:line="240" w:lineRule="auto"/>
              <w:jc w:val="both"/>
              <w:rPr>
                <w:rFonts w:ascii="Times New Roman" w:eastAsia="AngsanaUPC" w:hAnsi="Times New Roman"/>
                <w:bCs/>
                <w:sz w:val="20"/>
                <w:szCs w:val="20"/>
                <w:lang w:eastAsia="lt-LT"/>
              </w:rPr>
            </w:pPr>
          </w:p>
        </w:tc>
      </w:tr>
      <w:tr w:rsidR="003B6AA8" w:rsidRPr="0083442A" w:rsidTr="009C0228">
        <w:trPr>
          <w:trHeight w:val="357"/>
        </w:trPr>
        <w:tc>
          <w:tcPr>
            <w:tcW w:w="1668" w:type="dxa"/>
            <w:vMerge/>
            <w:shd w:val="clear" w:color="auto" w:fill="auto"/>
          </w:tcPr>
          <w:p w:rsidR="003B6AA8" w:rsidRPr="008D3817" w:rsidRDefault="003B6AA8" w:rsidP="008D3817">
            <w:pPr>
              <w:widowControl w:val="0"/>
              <w:tabs>
                <w:tab w:val="left" w:pos="622"/>
              </w:tabs>
              <w:spacing w:after="0" w:line="240" w:lineRule="auto"/>
              <w:jc w:val="both"/>
              <w:rPr>
                <w:rFonts w:ascii="Times New Roman" w:hAnsi="Times New Roman"/>
                <w:sz w:val="20"/>
                <w:szCs w:val="20"/>
              </w:rPr>
            </w:pPr>
          </w:p>
        </w:tc>
        <w:tc>
          <w:tcPr>
            <w:tcW w:w="1559" w:type="dxa"/>
            <w:vMerge/>
            <w:shd w:val="clear" w:color="auto" w:fill="auto"/>
          </w:tcPr>
          <w:p w:rsidR="003B6AA8" w:rsidRPr="008D3817" w:rsidRDefault="003B6AA8"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shd w:val="clear" w:color="auto" w:fill="auto"/>
          </w:tcPr>
          <w:p w:rsidR="003B6AA8" w:rsidRPr="008D3817" w:rsidRDefault="003B6AA8" w:rsidP="008D3817">
            <w:pPr>
              <w:widowControl w:val="0"/>
              <w:tabs>
                <w:tab w:val="left" w:pos="1276"/>
              </w:tabs>
              <w:adjustRightInd w:val="0"/>
              <w:spacing w:after="0" w:line="240" w:lineRule="auto"/>
              <w:jc w:val="both"/>
              <w:textAlignment w:val="baseline"/>
              <w:rPr>
                <w:rFonts w:ascii="Times New Roman" w:hAnsi="Times New Roman"/>
                <w:sz w:val="20"/>
                <w:szCs w:val="20"/>
              </w:rPr>
            </w:pPr>
          </w:p>
        </w:tc>
        <w:tc>
          <w:tcPr>
            <w:tcW w:w="2693" w:type="dxa"/>
            <w:shd w:val="clear" w:color="auto" w:fill="auto"/>
          </w:tcPr>
          <w:p w:rsidR="003B6AA8" w:rsidRPr="008D3817" w:rsidRDefault="00E320B1" w:rsidP="008D3817">
            <w:pPr>
              <w:widowControl w:val="0"/>
              <w:tabs>
                <w:tab w:val="left" w:pos="622"/>
              </w:tabs>
              <w:spacing w:after="0" w:line="240" w:lineRule="auto"/>
              <w:jc w:val="both"/>
              <w:rPr>
                <w:rFonts w:ascii="Times New Roman" w:hAnsi="Times New Roman"/>
                <w:sz w:val="20"/>
                <w:szCs w:val="20"/>
              </w:rPr>
            </w:pPr>
            <w:r w:rsidRPr="008D3817">
              <w:rPr>
                <w:rFonts w:ascii="Times New Roman" w:hAnsi="Times New Roman"/>
                <w:sz w:val="20"/>
                <w:szCs w:val="20"/>
              </w:rPr>
              <w:t>Užtikrinti ES fondų investicijų vertinimą</w:t>
            </w:r>
          </w:p>
        </w:tc>
        <w:tc>
          <w:tcPr>
            <w:tcW w:w="3119" w:type="dxa"/>
            <w:shd w:val="clear" w:color="auto" w:fill="auto"/>
          </w:tcPr>
          <w:p w:rsidR="003B6AA8" w:rsidRPr="008D3817" w:rsidRDefault="0091347B" w:rsidP="008D3817">
            <w:pPr>
              <w:widowControl w:val="0"/>
              <w:tabs>
                <w:tab w:val="left" w:pos="622"/>
              </w:tabs>
              <w:spacing w:after="0" w:line="240" w:lineRule="auto"/>
              <w:jc w:val="both"/>
              <w:rPr>
                <w:rFonts w:ascii="Times New Roman" w:eastAsia="AngsanaUPC" w:hAnsi="Times New Roman"/>
                <w:b/>
                <w:bCs/>
                <w:sz w:val="20"/>
                <w:szCs w:val="20"/>
                <w:lang w:eastAsia="lt-LT"/>
              </w:rPr>
            </w:pPr>
            <w:r>
              <w:rPr>
                <w:rFonts w:ascii="Times New Roman" w:eastAsia="AngsanaUPC" w:hAnsi="Times New Roman"/>
                <w:bCs/>
                <w:sz w:val="20"/>
                <w:szCs w:val="20"/>
                <w:lang w:eastAsia="lt-LT"/>
              </w:rPr>
              <w:t>Įgyvendintos rekomendacijos</w:t>
            </w:r>
          </w:p>
        </w:tc>
        <w:tc>
          <w:tcPr>
            <w:tcW w:w="850" w:type="dxa"/>
            <w:vMerge/>
            <w:shd w:val="clear" w:color="auto" w:fill="auto"/>
          </w:tcPr>
          <w:p w:rsidR="003B6AA8" w:rsidRPr="008D3817" w:rsidRDefault="003B6AA8"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276" w:type="dxa"/>
            <w:vMerge/>
            <w:shd w:val="clear" w:color="auto" w:fill="auto"/>
          </w:tcPr>
          <w:p w:rsidR="003B6AA8" w:rsidRPr="008D3817" w:rsidRDefault="003B6AA8"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134" w:type="dxa"/>
            <w:vMerge/>
            <w:shd w:val="clear" w:color="auto" w:fill="auto"/>
          </w:tcPr>
          <w:p w:rsidR="003B6AA8" w:rsidRPr="008D3817" w:rsidRDefault="003B6AA8" w:rsidP="008D3817">
            <w:pPr>
              <w:widowControl w:val="0"/>
              <w:tabs>
                <w:tab w:val="left" w:pos="622"/>
              </w:tabs>
              <w:spacing w:after="0" w:line="240" w:lineRule="auto"/>
              <w:jc w:val="both"/>
              <w:rPr>
                <w:rFonts w:ascii="Times New Roman" w:eastAsia="AngsanaUPC" w:hAnsi="Times New Roman"/>
                <w:b/>
                <w:bCs/>
                <w:sz w:val="20"/>
                <w:szCs w:val="20"/>
                <w:lang w:eastAsia="lt-LT"/>
              </w:rPr>
            </w:pPr>
          </w:p>
        </w:tc>
      </w:tr>
      <w:tr w:rsidR="006A4AB2" w:rsidRPr="0083442A" w:rsidTr="00031EF1">
        <w:trPr>
          <w:trHeight w:val="565"/>
        </w:trPr>
        <w:tc>
          <w:tcPr>
            <w:tcW w:w="1668" w:type="dxa"/>
            <w:vMerge w:val="restart"/>
            <w:shd w:val="clear" w:color="auto" w:fill="auto"/>
          </w:tcPr>
          <w:p w:rsidR="006A4AB2" w:rsidRPr="00DE5038" w:rsidRDefault="006A4AB2" w:rsidP="008D3817">
            <w:pPr>
              <w:widowControl w:val="0"/>
              <w:tabs>
                <w:tab w:val="left" w:pos="622"/>
              </w:tabs>
              <w:spacing w:after="0" w:line="240" w:lineRule="auto"/>
              <w:jc w:val="both"/>
              <w:rPr>
                <w:rFonts w:ascii="Times New Roman" w:hAnsi="Times New Roman"/>
                <w:sz w:val="20"/>
                <w:szCs w:val="20"/>
              </w:rPr>
            </w:pPr>
            <w:r w:rsidRPr="00DE5038">
              <w:rPr>
                <w:rFonts w:ascii="Times New Roman" w:hAnsi="Times New Roman"/>
                <w:sz w:val="20"/>
                <w:szCs w:val="20"/>
              </w:rPr>
              <w:t xml:space="preserve">Veiksmų, skirtų COVID-19 pandemijos sukeltai krizei įveikti, skatinimas ir pasirengimas aplinką </w:t>
            </w:r>
            <w:r w:rsidRPr="00DE5038">
              <w:rPr>
                <w:rFonts w:ascii="Times New Roman" w:hAnsi="Times New Roman"/>
                <w:sz w:val="20"/>
                <w:szCs w:val="20"/>
              </w:rPr>
              <w:lastRenderedPageBreak/>
              <w:t>tausojančiam, skaitmeniniam ir tvariam ekonomikos atgaivinimui</w:t>
            </w:r>
          </w:p>
        </w:tc>
        <w:tc>
          <w:tcPr>
            <w:tcW w:w="1559" w:type="dxa"/>
            <w:vMerge w:val="restart"/>
            <w:shd w:val="clear" w:color="auto" w:fill="auto"/>
          </w:tcPr>
          <w:p w:rsidR="006A4AB2" w:rsidRPr="00DE5038" w:rsidRDefault="006A4AB2" w:rsidP="008D3817">
            <w:pPr>
              <w:widowControl w:val="0"/>
              <w:tabs>
                <w:tab w:val="left" w:pos="622"/>
              </w:tabs>
              <w:spacing w:after="0" w:line="240" w:lineRule="auto"/>
              <w:jc w:val="both"/>
              <w:rPr>
                <w:rFonts w:ascii="Times New Roman" w:eastAsia="AngsanaUPC" w:hAnsi="Times New Roman"/>
                <w:bCs/>
                <w:sz w:val="20"/>
                <w:szCs w:val="20"/>
                <w:lang w:eastAsia="lt-LT"/>
              </w:rPr>
            </w:pPr>
            <w:r w:rsidRPr="00DE5038">
              <w:rPr>
                <w:rFonts w:ascii="Times New Roman" w:hAnsi="Times New Roman"/>
                <w:sz w:val="20"/>
                <w:szCs w:val="20"/>
              </w:rPr>
              <w:lastRenderedPageBreak/>
              <w:t xml:space="preserve">(ERPF) Veiksmų, skirtų COVID-19 pandemijos sukeltai krizei ir jos socialiniams padariniams įveikti, </w:t>
            </w:r>
            <w:r w:rsidRPr="00DE5038">
              <w:rPr>
                <w:rFonts w:ascii="Times New Roman" w:hAnsi="Times New Roman"/>
                <w:sz w:val="20"/>
                <w:szCs w:val="20"/>
              </w:rPr>
              <w:lastRenderedPageBreak/>
              <w:t>skatinimas ir pasirengimas žaliajam, skaitmeniniam ir atspariam ekonomikos atgaivinimui</w:t>
            </w:r>
          </w:p>
        </w:tc>
        <w:tc>
          <w:tcPr>
            <w:tcW w:w="2835" w:type="dxa"/>
            <w:vMerge w:val="restart"/>
            <w:shd w:val="clear" w:color="auto" w:fill="auto"/>
          </w:tcPr>
          <w:p w:rsidR="006A4AB2" w:rsidRPr="00DE5038" w:rsidRDefault="006A4AB2" w:rsidP="008D3817">
            <w:pPr>
              <w:widowControl w:val="0"/>
              <w:tabs>
                <w:tab w:val="left" w:pos="1276"/>
              </w:tabs>
              <w:adjustRightInd w:val="0"/>
              <w:spacing w:after="0" w:line="240" w:lineRule="auto"/>
              <w:jc w:val="both"/>
              <w:textAlignment w:val="baseline"/>
              <w:rPr>
                <w:rFonts w:ascii="Times New Roman" w:hAnsi="Times New Roman"/>
                <w:sz w:val="20"/>
                <w:szCs w:val="20"/>
              </w:rPr>
            </w:pPr>
            <w:r w:rsidRPr="00DE5038">
              <w:rPr>
                <w:rFonts w:ascii="Times New Roman" w:hAnsi="Times New Roman"/>
                <w:sz w:val="20"/>
                <w:szCs w:val="20"/>
              </w:rPr>
              <w:lastRenderedPageBreak/>
              <w:t>–</w:t>
            </w:r>
          </w:p>
        </w:tc>
        <w:tc>
          <w:tcPr>
            <w:tcW w:w="2693" w:type="dxa"/>
            <w:vMerge w:val="restart"/>
            <w:shd w:val="clear" w:color="auto" w:fill="auto"/>
          </w:tcPr>
          <w:p w:rsidR="006A4AB2" w:rsidRPr="00DE5038" w:rsidRDefault="006A4AB2" w:rsidP="008D3817">
            <w:pPr>
              <w:widowControl w:val="0"/>
              <w:tabs>
                <w:tab w:val="left" w:pos="622"/>
              </w:tabs>
              <w:spacing w:after="0" w:line="240" w:lineRule="auto"/>
              <w:jc w:val="both"/>
              <w:rPr>
                <w:rFonts w:ascii="Times New Roman" w:hAnsi="Times New Roman"/>
                <w:sz w:val="20"/>
                <w:szCs w:val="20"/>
              </w:rPr>
            </w:pPr>
            <w:r w:rsidRPr="00DE5038">
              <w:rPr>
                <w:rFonts w:ascii="Times New Roman" w:hAnsi="Times New Roman"/>
                <w:sz w:val="20"/>
                <w:szCs w:val="20"/>
              </w:rPr>
              <w:t>Skaitmeninimo ir inovacijų, siekiant šalinti COVID-19 pandemijos pasekmes ekonomikai, skatinimas</w:t>
            </w:r>
          </w:p>
        </w:tc>
        <w:tc>
          <w:tcPr>
            <w:tcW w:w="3119" w:type="dxa"/>
            <w:shd w:val="clear" w:color="auto" w:fill="auto"/>
          </w:tcPr>
          <w:p w:rsidR="006A4AB2" w:rsidRPr="00DE5038" w:rsidRDefault="006A4AB2" w:rsidP="008D3817">
            <w:pPr>
              <w:widowControl w:val="0"/>
              <w:tabs>
                <w:tab w:val="left" w:pos="622"/>
              </w:tabs>
              <w:spacing w:after="0" w:line="240" w:lineRule="auto"/>
              <w:jc w:val="both"/>
              <w:rPr>
                <w:rFonts w:ascii="Times New Roman" w:eastAsia="AngsanaUPC" w:hAnsi="Times New Roman"/>
                <w:bCs/>
                <w:sz w:val="20"/>
                <w:szCs w:val="20"/>
                <w:lang w:eastAsia="lt-LT"/>
              </w:rPr>
            </w:pPr>
            <w:r w:rsidRPr="00DE5038">
              <w:rPr>
                <w:rFonts w:ascii="Times New Roman" w:eastAsia="AngsanaUPC" w:hAnsi="Times New Roman"/>
                <w:bCs/>
                <w:sz w:val="20"/>
                <w:szCs w:val="20"/>
                <w:lang w:eastAsia="lt-LT"/>
              </w:rPr>
              <w:t>Ūkio subjektų finansuota mokslo ir studijų institucijų MTEP išlaidų dalis nuo visų išlaidų</w:t>
            </w:r>
          </w:p>
        </w:tc>
        <w:tc>
          <w:tcPr>
            <w:tcW w:w="850" w:type="dxa"/>
            <w:vMerge w:val="restart"/>
            <w:shd w:val="clear" w:color="auto" w:fill="auto"/>
          </w:tcPr>
          <w:p w:rsidR="006A4AB2" w:rsidRPr="00DE5038" w:rsidRDefault="006A4AB2" w:rsidP="009C0228">
            <w:pPr>
              <w:widowControl w:val="0"/>
              <w:tabs>
                <w:tab w:val="left" w:pos="622"/>
              </w:tabs>
              <w:spacing w:after="0" w:line="240" w:lineRule="auto"/>
              <w:jc w:val="both"/>
              <w:rPr>
                <w:rFonts w:ascii="Times New Roman" w:eastAsia="AngsanaUPC" w:hAnsi="Times New Roman"/>
                <w:bCs/>
                <w:sz w:val="20"/>
                <w:szCs w:val="20"/>
                <w:lang w:eastAsia="lt-LT"/>
              </w:rPr>
            </w:pPr>
            <w:r w:rsidRPr="00DE5038">
              <w:rPr>
                <w:rFonts w:ascii="Times New Roman" w:eastAsia="AngsanaUPC" w:hAnsi="Times New Roman"/>
                <w:bCs/>
                <w:sz w:val="20"/>
                <w:szCs w:val="20"/>
                <w:lang w:eastAsia="lt-LT"/>
              </w:rPr>
              <w:t>ERPF</w:t>
            </w:r>
          </w:p>
        </w:tc>
        <w:tc>
          <w:tcPr>
            <w:tcW w:w="1276" w:type="dxa"/>
            <w:vMerge w:val="restart"/>
            <w:shd w:val="clear" w:color="auto" w:fill="auto"/>
          </w:tcPr>
          <w:p w:rsidR="006A4AB2" w:rsidRPr="009C0228" w:rsidRDefault="009C0228" w:rsidP="008D3817">
            <w:pPr>
              <w:widowControl w:val="0"/>
              <w:tabs>
                <w:tab w:val="left" w:pos="622"/>
              </w:tabs>
              <w:spacing w:after="0" w:line="240" w:lineRule="auto"/>
              <w:jc w:val="both"/>
              <w:rPr>
                <w:rFonts w:ascii="Times New Roman" w:eastAsia="AngsanaUPC" w:hAnsi="Times New Roman"/>
                <w:bCs/>
                <w:sz w:val="20"/>
                <w:szCs w:val="20"/>
                <w:lang w:eastAsia="lt-LT"/>
              </w:rPr>
            </w:pPr>
            <w:r w:rsidRPr="009C0228">
              <w:rPr>
                <w:rFonts w:ascii="Times New Roman" w:eastAsia="AngsanaUPC" w:hAnsi="Times New Roman"/>
                <w:bCs/>
                <w:sz w:val="20"/>
                <w:szCs w:val="20"/>
                <w:lang w:eastAsia="lt-LT"/>
              </w:rPr>
              <w:t>278.146.704</w:t>
            </w:r>
          </w:p>
        </w:tc>
        <w:tc>
          <w:tcPr>
            <w:tcW w:w="1134" w:type="dxa"/>
            <w:vMerge w:val="restart"/>
            <w:shd w:val="clear" w:color="auto" w:fill="auto"/>
          </w:tcPr>
          <w:p w:rsidR="006A4AB2" w:rsidRPr="00DE5038" w:rsidRDefault="006A4AB2" w:rsidP="009C0228">
            <w:pPr>
              <w:widowControl w:val="0"/>
              <w:tabs>
                <w:tab w:val="left" w:pos="622"/>
              </w:tabs>
              <w:spacing w:after="0" w:line="240" w:lineRule="auto"/>
              <w:jc w:val="both"/>
              <w:rPr>
                <w:rFonts w:ascii="Times New Roman" w:eastAsia="AngsanaUPC" w:hAnsi="Times New Roman"/>
                <w:bCs/>
                <w:sz w:val="20"/>
                <w:szCs w:val="20"/>
                <w:lang w:eastAsia="lt-LT"/>
              </w:rPr>
            </w:pPr>
            <w:r w:rsidRPr="00DE5038">
              <w:rPr>
                <w:rFonts w:ascii="Times New Roman" w:eastAsia="AngsanaUPC" w:hAnsi="Times New Roman"/>
                <w:bCs/>
                <w:sz w:val="20"/>
                <w:szCs w:val="20"/>
                <w:lang w:val="en-US" w:eastAsia="lt-LT"/>
              </w:rPr>
              <w:t>3,</w:t>
            </w:r>
            <w:r w:rsidR="009C0228">
              <w:rPr>
                <w:rFonts w:ascii="Times New Roman" w:eastAsia="AngsanaUPC" w:hAnsi="Times New Roman"/>
                <w:bCs/>
                <w:sz w:val="20"/>
                <w:szCs w:val="20"/>
                <w:lang w:val="en-US" w:eastAsia="lt-LT"/>
              </w:rPr>
              <w:t>95</w:t>
            </w:r>
            <w:r w:rsidRPr="00DE5038">
              <w:rPr>
                <w:rFonts w:ascii="Times New Roman" w:eastAsia="AngsanaUPC" w:hAnsi="Times New Roman"/>
                <w:bCs/>
                <w:sz w:val="20"/>
                <w:szCs w:val="20"/>
                <w:lang w:val="en-US" w:eastAsia="lt-LT"/>
              </w:rPr>
              <w:t xml:space="preserve"> %</w:t>
            </w:r>
          </w:p>
        </w:tc>
      </w:tr>
      <w:tr w:rsidR="006A4AB2" w:rsidRPr="0083442A" w:rsidTr="00031EF1">
        <w:trPr>
          <w:trHeight w:val="565"/>
        </w:trPr>
        <w:tc>
          <w:tcPr>
            <w:tcW w:w="1668" w:type="dxa"/>
            <w:vMerge/>
            <w:shd w:val="clear" w:color="auto" w:fill="auto"/>
          </w:tcPr>
          <w:p w:rsidR="006A4AB2" w:rsidRPr="00DE5038" w:rsidRDefault="006A4AB2" w:rsidP="008D3817">
            <w:pPr>
              <w:widowControl w:val="0"/>
              <w:tabs>
                <w:tab w:val="left" w:pos="622"/>
              </w:tabs>
              <w:spacing w:after="0" w:line="240" w:lineRule="auto"/>
              <w:jc w:val="both"/>
              <w:rPr>
                <w:rFonts w:ascii="Times New Roman" w:hAnsi="Times New Roman"/>
                <w:sz w:val="20"/>
                <w:szCs w:val="20"/>
              </w:rPr>
            </w:pPr>
          </w:p>
        </w:tc>
        <w:tc>
          <w:tcPr>
            <w:tcW w:w="1559" w:type="dxa"/>
            <w:vMerge/>
            <w:shd w:val="clear" w:color="auto" w:fill="auto"/>
          </w:tcPr>
          <w:p w:rsidR="006A4AB2" w:rsidRPr="00DE5038" w:rsidRDefault="006A4AB2"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shd w:val="clear" w:color="auto" w:fill="auto"/>
          </w:tcPr>
          <w:p w:rsidR="006A4AB2" w:rsidRPr="00DE5038" w:rsidRDefault="006A4AB2" w:rsidP="008D3817">
            <w:pPr>
              <w:widowControl w:val="0"/>
              <w:tabs>
                <w:tab w:val="left" w:pos="1276"/>
              </w:tabs>
              <w:adjustRightInd w:val="0"/>
              <w:spacing w:after="0" w:line="240" w:lineRule="auto"/>
              <w:jc w:val="both"/>
              <w:textAlignment w:val="baseline"/>
              <w:rPr>
                <w:rFonts w:ascii="Times New Roman" w:hAnsi="Times New Roman"/>
                <w:sz w:val="20"/>
                <w:szCs w:val="20"/>
              </w:rPr>
            </w:pPr>
          </w:p>
        </w:tc>
        <w:tc>
          <w:tcPr>
            <w:tcW w:w="2693" w:type="dxa"/>
            <w:vMerge/>
            <w:shd w:val="clear" w:color="auto" w:fill="auto"/>
          </w:tcPr>
          <w:p w:rsidR="006A4AB2" w:rsidRPr="00DE5038" w:rsidRDefault="006A4AB2" w:rsidP="008D3817">
            <w:pPr>
              <w:widowControl w:val="0"/>
              <w:tabs>
                <w:tab w:val="left" w:pos="622"/>
              </w:tabs>
              <w:spacing w:after="0" w:line="240" w:lineRule="auto"/>
              <w:jc w:val="both"/>
              <w:rPr>
                <w:rFonts w:ascii="Times New Roman" w:hAnsi="Times New Roman"/>
                <w:sz w:val="20"/>
                <w:szCs w:val="20"/>
              </w:rPr>
            </w:pPr>
          </w:p>
        </w:tc>
        <w:tc>
          <w:tcPr>
            <w:tcW w:w="3119" w:type="dxa"/>
            <w:shd w:val="clear" w:color="auto" w:fill="auto"/>
          </w:tcPr>
          <w:p w:rsidR="006A4AB2" w:rsidRPr="00DE5038" w:rsidRDefault="006A4AB2" w:rsidP="00071690">
            <w:pPr>
              <w:widowControl w:val="0"/>
              <w:tabs>
                <w:tab w:val="left" w:pos="622"/>
              </w:tabs>
              <w:spacing w:after="0" w:line="240" w:lineRule="auto"/>
              <w:jc w:val="both"/>
              <w:rPr>
                <w:rFonts w:ascii="Times New Roman" w:eastAsia="AngsanaUPC" w:hAnsi="Times New Roman"/>
                <w:bCs/>
                <w:sz w:val="20"/>
                <w:szCs w:val="20"/>
                <w:lang w:eastAsia="lt-LT"/>
              </w:rPr>
            </w:pPr>
            <w:r w:rsidRPr="00DE5038">
              <w:rPr>
                <w:rFonts w:ascii="Times New Roman" w:eastAsia="AngsanaUPC" w:hAnsi="Times New Roman"/>
                <w:bCs/>
                <w:sz w:val="20"/>
                <w:szCs w:val="20"/>
                <w:lang w:eastAsia="lt-LT"/>
              </w:rPr>
              <w:t>Verslo sektoriaus išlaidos MTEP, tenkančios vienam gyventojui</w:t>
            </w:r>
          </w:p>
          <w:p w:rsidR="006A4AB2" w:rsidRPr="00DE5038" w:rsidRDefault="006A4AB2" w:rsidP="00071690">
            <w:pPr>
              <w:widowControl w:val="0"/>
              <w:tabs>
                <w:tab w:val="left" w:pos="622"/>
              </w:tabs>
              <w:spacing w:after="0" w:line="240" w:lineRule="auto"/>
              <w:jc w:val="both"/>
              <w:rPr>
                <w:rFonts w:ascii="Times New Roman" w:eastAsia="AngsanaUPC" w:hAnsi="Times New Roman"/>
                <w:bCs/>
                <w:sz w:val="20"/>
                <w:szCs w:val="20"/>
                <w:lang w:eastAsia="lt-LT"/>
              </w:rPr>
            </w:pPr>
            <w:r w:rsidRPr="00DE5038">
              <w:rPr>
                <w:rFonts w:ascii="Times New Roman" w:eastAsia="AngsanaUPC" w:hAnsi="Times New Roman"/>
                <w:bCs/>
                <w:sz w:val="20"/>
                <w:szCs w:val="20"/>
                <w:lang w:eastAsia="lt-LT"/>
              </w:rPr>
              <w:t>Pridėtinė vertė gamybos sąnaudomis, sukurta MVĮ, tenkanti vienam darbuotojui</w:t>
            </w:r>
          </w:p>
        </w:tc>
        <w:tc>
          <w:tcPr>
            <w:tcW w:w="850" w:type="dxa"/>
            <w:vMerge/>
            <w:shd w:val="clear" w:color="auto" w:fill="auto"/>
          </w:tcPr>
          <w:p w:rsidR="006A4AB2" w:rsidRPr="00DE5038" w:rsidRDefault="006A4AB2"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276" w:type="dxa"/>
            <w:vMerge/>
            <w:shd w:val="clear" w:color="auto" w:fill="auto"/>
          </w:tcPr>
          <w:p w:rsidR="006A4AB2" w:rsidRPr="00DE5038" w:rsidRDefault="006A4AB2"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134" w:type="dxa"/>
            <w:vMerge/>
            <w:shd w:val="clear" w:color="auto" w:fill="auto"/>
          </w:tcPr>
          <w:p w:rsidR="006A4AB2" w:rsidRPr="00DE5038" w:rsidRDefault="006A4AB2" w:rsidP="008D3817">
            <w:pPr>
              <w:widowControl w:val="0"/>
              <w:tabs>
                <w:tab w:val="left" w:pos="622"/>
              </w:tabs>
              <w:spacing w:after="0" w:line="240" w:lineRule="auto"/>
              <w:jc w:val="both"/>
              <w:rPr>
                <w:rFonts w:ascii="Times New Roman" w:eastAsia="AngsanaUPC" w:hAnsi="Times New Roman"/>
                <w:b/>
                <w:bCs/>
                <w:sz w:val="20"/>
                <w:szCs w:val="20"/>
                <w:lang w:eastAsia="lt-LT"/>
              </w:rPr>
            </w:pPr>
          </w:p>
        </w:tc>
      </w:tr>
      <w:tr w:rsidR="006A4AB2" w:rsidRPr="0083442A" w:rsidTr="00031EF1">
        <w:trPr>
          <w:trHeight w:val="565"/>
        </w:trPr>
        <w:tc>
          <w:tcPr>
            <w:tcW w:w="1668" w:type="dxa"/>
            <w:vMerge/>
            <w:shd w:val="clear" w:color="auto" w:fill="auto"/>
          </w:tcPr>
          <w:p w:rsidR="006A4AB2" w:rsidRPr="00DE5038" w:rsidRDefault="006A4AB2" w:rsidP="008D3817">
            <w:pPr>
              <w:widowControl w:val="0"/>
              <w:tabs>
                <w:tab w:val="left" w:pos="622"/>
              </w:tabs>
              <w:spacing w:after="0" w:line="240" w:lineRule="auto"/>
              <w:jc w:val="both"/>
              <w:rPr>
                <w:rFonts w:ascii="Times New Roman" w:hAnsi="Times New Roman"/>
                <w:sz w:val="20"/>
                <w:szCs w:val="20"/>
              </w:rPr>
            </w:pPr>
          </w:p>
        </w:tc>
        <w:tc>
          <w:tcPr>
            <w:tcW w:w="1559" w:type="dxa"/>
            <w:vMerge/>
            <w:shd w:val="clear" w:color="auto" w:fill="auto"/>
          </w:tcPr>
          <w:p w:rsidR="006A4AB2" w:rsidRPr="00DE5038" w:rsidRDefault="006A4AB2"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shd w:val="clear" w:color="auto" w:fill="auto"/>
          </w:tcPr>
          <w:p w:rsidR="006A4AB2" w:rsidRPr="00DE5038" w:rsidRDefault="006A4AB2" w:rsidP="008D3817">
            <w:pPr>
              <w:widowControl w:val="0"/>
              <w:tabs>
                <w:tab w:val="left" w:pos="1276"/>
              </w:tabs>
              <w:adjustRightInd w:val="0"/>
              <w:spacing w:after="0" w:line="240" w:lineRule="auto"/>
              <w:jc w:val="both"/>
              <w:textAlignment w:val="baseline"/>
              <w:rPr>
                <w:rFonts w:ascii="Times New Roman" w:hAnsi="Times New Roman"/>
                <w:sz w:val="20"/>
                <w:szCs w:val="20"/>
              </w:rPr>
            </w:pPr>
          </w:p>
        </w:tc>
        <w:tc>
          <w:tcPr>
            <w:tcW w:w="2693" w:type="dxa"/>
            <w:vMerge/>
            <w:shd w:val="clear" w:color="auto" w:fill="auto"/>
          </w:tcPr>
          <w:p w:rsidR="006A4AB2" w:rsidRPr="00DE5038" w:rsidRDefault="006A4AB2" w:rsidP="008D3817">
            <w:pPr>
              <w:widowControl w:val="0"/>
              <w:tabs>
                <w:tab w:val="left" w:pos="622"/>
              </w:tabs>
              <w:spacing w:after="0" w:line="240" w:lineRule="auto"/>
              <w:jc w:val="both"/>
              <w:rPr>
                <w:rFonts w:ascii="Times New Roman" w:hAnsi="Times New Roman"/>
                <w:sz w:val="20"/>
                <w:szCs w:val="20"/>
              </w:rPr>
            </w:pPr>
          </w:p>
        </w:tc>
        <w:tc>
          <w:tcPr>
            <w:tcW w:w="3119" w:type="dxa"/>
            <w:shd w:val="clear" w:color="auto" w:fill="auto"/>
          </w:tcPr>
          <w:p w:rsidR="006A4AB2" w:rsidRPr="00DE5038" w:rsidRDefault="006A4AB2" w:rsidP="008D3817">
            <w:pPr>
              <w:widowControl w:val="0"/>
              <w:tabs>
                <w:tab w:val="left" w:pos="622"/>
              </w:tabs>
              <w:spacing w:after="0" w:line="240" w:lineRule="auto"/>
              <w:jc w:val="both"/>
              <w:rPr>
                <w:rFonts w:ascii="Times New Roman" w:eastAsia="AngsanaUPC" w:hAnsi="Times New Roman"/>
                <w:bCs/>
                <w:sz w:val="20"/>
                <w:szCs w:val="20"/>
                <w:lang w:eastAsia="lt-LT"/>
              </w:rPr>
            </w:pPr>
            <w:r w:rsidRPr="00DE5038">
              <w:rPr>
                <w:rFonts w:ascii="Times New Roman" w:eastAsia="AngsanaUPC" w:hAnsi="Times New Roman"/>
                <w:bCs/>
                <w:sz w:val="20"/>
                <w:szCs w:val="20"/>
                <w:lang w:eastAsia="lt-LT"/>
              </w:rPr>
              <w:t>Pridėtinė vertė gamybos sąnaudomis, sukurta MVĮ, tenkanti vienam darbuotojui</w:t>
            </w:r>
          </w:p>
        </w:tc>
        <w:tc>
          <w:tcPr>
            <w:tcW w:w="850" w:type="dxa"/>
            <w:vMerge/>
            <w:shd w:val="clear" w:color="auto" w:fill="auto"/>
          </w:tcPr>
          <w:p w:rsidR="006A4AB2" w:rsidRPr="00DE5038" w:rsidRDefault="006A4AB2"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276" w:type="dxa"/>
            <w:vMerge/>
            <w:shd w:val="clear" w:color="auto" w:fill="auto"/>
          </w:tcPr>
          <w:p w:rsidR="006A4AB2" w:rsidRPr="00DE5038" w:rsidRDefault="006A4AB2"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134" w:type="dxa"/>
            <w:vMerge/>
            <w:shd w:val="clear" w:color="auto" w:fill="auto"/>
          </w:tcPr>
          <w:p w:rsidR="006A4AB2" w:rsidRPr="00DE5038" w:rsidRDefault="006A4AB2" w:rsidP="008D3817">
            <w:pPr>
              <w:widowControl w:val="0"/>
              <w:tabs>
                <w:tab w:val="left" w:pos="622"/>
              </w:tabs>
              <w:spacing w:after="0" w:line="240" w:lineRule="auto"/>
              <w:jc w:val="both"/>
              <w:rPr>
                <w:rFonts w:ascii="Times New Roman" w:eastAsia="AngsanaUPC" w:hAnsi="Times New Roman"/>
                <w:b/>
                <w:bCs/>
                <w:sz w:val="20"/>
                <w:szCs w:val="20"/>
                <w:lang w:eastAsia="lt-LT"/>
              </w:rPr>
            </w:pPr>
          </w:p>
        </w:tc>
      </w:tr>
      <w:tr w:rsidR="006A4AB2" w:rsidRPr="0083442A" w:rsidTr="00031EF1">
        <w:trPr>
          <w:trHeight w:val="565"/>
        </w:trPr>
        <w:tc>
          <w:tcPr>
            <w:tcW w:w="1668" w:type="dxa"/>
            <w:vMerge/>
            <w:shd w:val="clear" w:color="auto" w:fill="auto"/>
          </w:tcPr>
          <w:p w:rsidR="006A4AB2" w:rsidRPr="00DE5038" w:rsidRDefault="006A4AB2" w:rsidP="008D3817">
            <w:pPr>
              <w:widowControl w:val="0"/>
              <w:tabs>
                <w:tab w:val="left" w:pos="622"/>
              </w:tabs>
              <w:spacing w:after="0" w:line="240" w:lineRule="auto"/>
              <w:jc w:val="both"/>
              <w:rPr>
                <w:rFonts w:ascii="Times New Roman" w:hAnsi="Times New Roman"/>
                <w:sz w:val="20"/>
                <w:szCs w:val="20"/>
              </w:rPr>
            </w:pPr>
          </w:p>
        </w:tc>
        <w:tc>
          <w:tcPr>
            <w:tcW w:w="1559" w:type="dxa"/>
            <w:vMerge/>
            <w:shd w:val="clear" w:color="auto" w:fill="auto"/>
          </w:tcPr>
          <w:p w:rsidR="006A4AB2" w:rsidRPr="00DE5038" w:rsidRDefault="006A4AB2"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shd w:val="clear" w:color="auto" w:fill="auto"/>
          </w:tcPr>
          <w:p w:rsidR="006A4AB2" w:rsidRPr="00DE5038" w:rsidRDefault="006A4AB2" w:rsidP="008D3817">
            <w:pPr>
              <w:widowControl w:val="0"/>
              <w:tabs>
                <w:tab w:val="left" w:pos="1276"/>
              </w:tabs>
              <w:adjustRightInd w:val="0"/>
              <w:spacing w:after="0" w:line="240" w:lineRule="auto"/>
              <w:jc w:val="both"/>
              <w:textAlignment w:val="baseline"/>
              <w:rPr>
                <w:rFonts w:ascii="Times New Roman" w:hAnsi="Times New Roman"/>
                <w:sz w:val="20"/>
                <w:szCs w:val="20"/>
              </w:rPr>
            </w:pPr>
          </w:p>
        </w:tc>
        <w:tc>
          <w:tcPr>
            <w:tcW w:w="2693" w:type="dxa"/>
            <w:vMerge/>
            <w:shd w:val="clear" w:color="auto" w:fill="auto"/>
          </w:tcPr>
          <w:p w:rsidR="006A4AB2" w:rsidRPr="00DE5038" w:rsidRDefault="006A4AB2" w:rsidP="008D3817">
            <w:pPr>
              <w:widowControl w:val="0"/>
              <w:tabs>
                <w:tab w:val="left" w:pos="622"/>
              </w:tabs>
              <w:spacing w:after="0" w:line="240" w:lineRule="auto"/>
              <w:jc w:val="both"/>
              <w:rPr>
                <w:rFonts w:ascii="Times New Roman" w:hAnsi="Times New Roman"/>
                <w:sz w:val="20"/>
                <w:szCs w:val="20"/>
              </w:rPr>
            </w:pPr>
          </w:p>
        </w:tc>
        <w:tc>
          <w:tcPr>
            <w:tcW w:w="3119" w:type="dxa"/>
            <w:shd w:val="clear" w:color="auto" w:fill="auto"/>
          </w:tcPr>
          <w:p w:rsidR="006A4AB2" w:rsidRPr="00DE5038" w:rsidRDefault="006A4AB2" w:rsidP="008D3817">
            <w:pPr>
              <w:widowControl w:val="0"/>
              <w:tabs>
                <w:tab w:val="left" w:pos="622"/>
              </w:tabs>
              <w:spacing w:after="0" w:line="240" w:lineRule="auto"/>
              <w:jc w:val="both"/>
              <w:rPr>
                <w:rFonts w:ascii="Times New Roman" w:eastAsia="AngsanaUPC" w:hAnsi="Times New Roman"/>
                <w:bCs/>
                <w:sz w:val="20"/>
                <w:szCs w:val="20"/>
                <w:lang w:eastAsia="lt-LT"/>
              </w:rPr>
            </w:pPr>
            <w:r w:rsidRPr="00DE5038">
              <w:rPr>
                <w:rFonts w:ascii="Times New Roman" w:eastAsia="AngsanaUPC" w:hAnsi="Times New Roman"/>
                <w:bCs/>
                <w:sz w:val="20"/>
                <w:szCs w:val="20"/>
                <w:lang w:eastAsia="lt-LT"/>
              </w:rPr>
              <w:t>Kultūros sektoriaus sukuriamos pridėtinės vertės dalis, palyginti su visa sukuriama verte</w:t>
            </w:r>
          </w:p>
        </w:tc>
        <w:tc>
          <w:tcPr>
            <w:tcW w:w="850" w:type="dxa"/>
            <w:vMerge/>
            <w:shd w:val="clear" w:color="auto" w:fill="auto"/>
          </w:tcPr>
          <w:p w:rsidR="006A4AB2" w:rsidRPr="00DE5038" w:rsidRDefault="006A4AB2"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276" w:type="dxa"/>
            <w:vMerge/>
            <w:shd w:val="clear" w:color="auto" w:fill="auto"/>
          </w:tcPr>
          <w:p w:rsidR="006A4AB2" w:rsidRPr="00DE5038" w:rsidRDefault="006A4AB2"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134" w:type="dxa"/>
            <w:vMerge/>
            <w:shd w:val="clear" w:color="auto" w:fill="auto"/>
          </w:tcPr>
          <w:p w:rsidR="006A4AB2" w:rsidRPr="00DE5038" w:rsidRDefault="006A4AB2" w:rsidP="008D3817">
            <w:pPr>
              <w:widowControl w:val="0"/>
              <w:tabs>
                <w:tab w:val="left" w:pos="622"/>
              </w:tabs>
              <w:spacing w:after="0" w:line="240" w:lineRule="auto"/>
              <w:jc w:val="both"/>
              <w:rPr>
                <w:rFonts w:ascii="Times New Roman" w:eastAsia="AngsanaUPC" w:hAnsi="Times New Roman"/>
                <w:b/>
                <w:bCs/>
                <w:sz w:val="20"/>
                <w:szCs w:val="20"/>
                <w:lang w:eastAsia="lt-LT"/>
              </w:rPr>
            </w:pPr>
          </w:p>
        </w:tc>
      </w:tr>
      <w:tr w:rsidR="006A4AB2" w:rsidRPr="0083442A" w:rsidTr="00031EF1">
        <w:trPr>
          <w:trHeight w:val="565"/>
        </w:trPr>
        <w:tc>
          <w:tcPr>
            <w:tcW w:w="1668" w:type="dxa"/>
            <w:vMerge/>
            <w:shd w:val="clear" w:color="auto" w:fill="auto"/>
          </w:tcPr>
          <w:p w:rsidR="006A4AB2" w:rsidRPr="00DE5038" w:rsidRDefault="006A4AB2" w:rsidP="008D3817">
            <w:pPr>
              <w:widowControl w:val="0"/>
              <w:tabs>
                <w:tab w:val="left" w:pos="622"/>
              </w:tabs>
              <w:spacing w:after="0" w:line="240" w:lineRule="auto"/>
              <w:jc w:val="both"/>
              <w:rPr>
                <w:rFonts w:ascii="Times New Roman" w:hAnsi="Times New Roman"/>
                <w:sz w:val="20"/>
                <w:szCs w:val="20"/>
              </w:rPr>
            </w:pPr>
          </w:p>
        </w:tc>
        <w:tc>
          <w:tcPr>
            <w:tcW w:w="1559" w:type="dxa"/>
            <w:vMerge/>
            <w:shd w:val="clear" w:color="auto" w:fill="auto"/>
          </w:tcPr>
          <w:p w:rsidR="006A4AB2" w:rsidRPr="00DE5038" w:rsidRDefault="006A4AB2"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shd w:val="clear" w:color="auto" w:fill="auto"/>
          </w:tcPr>
          <w:p w:rsidR="006A4AB2" w:rsidRPr="00DE5038" w:rsidRDefault="006A4AB2" w:rsidP="008D3817">
            <w:pPr>
              <w:widowControl w:val="0"/>
              <w:tabs>
                <w:tab w:val="left" w:pos="1276"/>
              </w:tabs>
              <w:adjustRightInd w:val="0"/>
              <w:spacing w:after="0" w:line="240" w:lineRule="auto"/>
              <w:jc w:val="both"/>
              <w:textAlignment w:val="baseline"/>
              <w:rPr>
                <w:rFonts w:ascii="Times New Roman" w:hAnsi="Times New Roman"/>
                <w:sz w:val="20"/>
                <w:szCs w:val="20"/>
              </w:rPr>
            </w:pPr>
          </w:p>
        </w:tc>
        <w:tc>
          <w:tcPr>
            <w:tcW w:w="2693" w:type="dxa"/>
            <w:vMerge/>
            <w:shd w:val="clear" w:color="auto" w:fill="auto"/>
          </w:tcPr>
          <w:p w:rsidR="006A4AB2" w:rsidRPr="00DE5038" w:rsidRDefault="006A4AB2" w:rsidP="008D3817">
            <w:pPr>
              <w:widowControl w:val="0"/>
              <w:tabs>
                <w:tab w:val="left" w:pos="622"/>
              </w:tabs>
              <w:spacing w:after="0" w:line="240" w:lineRule="auto"/>
              <w:jc w:val="both"/>
              <w:rPr>
                <w:rFonts w:ascii="Times New Roman" w:hAnsi="Times New Roman"/>
                <w:sz w:val="20"/>
                <w:szCs w:val="20"/>
              </w:rPr>
            </w:pPr>
          </w:p>
        </w:tc>
        <w:tc>
          <w:tcPr>
            <w:tcW w:w="3119" w:type="dxa"/>
            <w:shd w:val="clear" w:color="auto" w:fill="auto"/>
          </w:tcPr>
          <w:p w:rsidR="006A4AB2" w:rsidRPr="00DE5038" w:rsidRDefault="006A4AB2" w:rsidP="008D3817">
            <w:pPr>
              <w:widowControl w:val="0"/>
              <w:tabs>
                <w:tab w:val="left" w:pos="622"/>
              </w:tabs>
              <w:spacing w:after="0" w:line="240" w:lineRule="auto"/>
              <w:jc w:val="both"/>
              <w:rPr>
                <w:rFonts w:ascii="Times New Roman" w:eastAsia="AngsanaUPC" w:hAnsi="Times New Roman"/>
                <w:bCs/>
                <w:sz w:val="20"/>
                <w:szCs w:val="20"/>
                <w:lang w:eastAsia="lt-LT"/>
              </w:rPr>
            </w:pPr>
            <w:r w:rsidRPr="00DE5038">
              <w:rPr>
                <w:rFonts w:ascii="Times New Roman" w:eastAsia="AngsanaUPC" w:hAnsi="Times New Roman"/>
                <w:bCs/>
                <w:sz w:val="20"/>
                <w:szCs w:val="20"/>
                <w:lang w:eastAsia="lt-LT"/>
              </w:rPr>
              <w:t>Standartizuoto 0–64 m. amžiaus gyventojų mirtingumo sumažėjimas tikslinėse teritorijose nuo kraujotakos ligų</w:t>
            </w:r>
          </w:p>
        </w:tc>
        <w:tc>
          <w:tcPr>
            <w:tcW w:w="850" w:type="dxa"/>
            <w:vMerge/>
            <w:shd w:val="clear" w:color="auto" w:fill="auto"/>
          </w:tcPr>
          <w:p w:rsidR="006A4AB2" w:rsidRPr="00DE5038" w:rsidRDefault="006A4AB2"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276" w:type="dxa"/>
            <w:vMerge/>
            <w:shd w:val="clear" w:color="auto" w:fill="auto"/>
          </w:tcPr>
          <w:p w:rsidR="006A4AB2" w:rsidRPr="00DE5038" w:rsidRDefault="006A4AB2"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134" w:type="dxa"/>
            <w:vMerge/>
            <w:shd w:val="clear" w:color="auto" w:fill="auto"/>
          </w:tcPr>
          <w:p w:rsidR="006A4AB2" w:rsidRPr="00DE5038" w:rsidRDefault="006A4AB2" w:rsidP="008D3817">
            <w:pPr>
              <w:widowControl w:val="0"/>
              <w:tabs>
                <w:tab w:val="left" w:pos="622"/>
              </w:tabs>
              <w:spacing w:after="0" w:line="240" w:lineRule="auto"/>
              <w:jc w:val="both"/>
              <w:rPr>
                <w:rFonts w:ascii="Times New Roman" w:eastAsia="AngsanaUPC" w:hAnsi="Times New Roman"/>
                <w:b/>
                <w:bCs/>
                <w:sz w:val="20"/>
                <w:szCs w:val="20"/>
                <w:lang w:eastAsia="lt-LT"/>
              </w:rPr>
            </w:pPr>
          </w:p>
        </w:tc>
      </w:tr>
      <w:tr w:rsidR="006A4AB2" w:rsidRPr="0083442A" w:rsidTr="00031EF1">
        <w:trPr>
          <w:trHeight w:val="565"/>
        </w:trPr>
        <w:tc>
          <w:tcPr>
            <w:tcW w:w="1668" w:type="dxa"/>
            <w:vMerge/>
            <w:shd w:val="clear" w:color="auto" w:fill="auto"/>
          </w:tcPr>
          <w:p w:rsidR="006A4AB2" w:rsidRPr="00DE5038" w:rsidRDefault="006A4AB2" w:rsidP="008D3817">
            <w:pPr>
              <w:widowControl w:val="0"/>
              <w:tabs>
                <w:tab w:val="left" w:pos="622"/>
              </w:tabs>
              <w:spacing w:after="0" w:line="240" w:lineRule="auto"/>
              <w:jc w:val="both"/>
              <w:rPr>
                <w:rFonts w:ascii="Times New Roman" w:hAnsi="Times New Roman"/>
                <w:sz w:val="20"/>
                <w:szCs w:val="20"/>
              </w:rPr>
            </w:pPr>
          </w:p>
        </w:tc>
        <w:tc>
          <w:tcPr>
            <w:tcW w:w="1559" w:type="dxa"/>
            <w:vMerge/>
            <w:shd w:val="clear" w:color="auto" w:fill="auto"/>
          </w:tcPr>
          <w:p w:rsidR="006A4AB2" w:rsidRPr="00DE5038" w:rsidRDefault="006A4AB2"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shd w:val="clear" w:color="auto" w:fill="auto"/>
          </w:tcPr>
          <w:p w:rsidR="006A4AB2" w:rsidRPr="00DE5038" w:rsidRDefault="006A4AB2" w:rsidP="008D3817">
            <w:pPr>
              <w:widowControl w:val="0"/>
              <w:tabs>
                <w:tab w:val="left" w:pos="1276"/>
              </w:tabs>
              <w:adjustRightInd w:val="0"/>
              <w:spacing w:after="0" w:line="240" w:lineRule="auto"/>
              <w:jc w:val="both"/>
              <w:textAlignment w:val="baseline"/>
              <w:rPr>
                <w:rFonts w:ascii="Times New Roman" w:hAnsi="Times New Roman"/>
                <w:sz w:val="20"/>
                <w:szCs w:val="20"/>
              </w:rPr>
            </w:pPr>
          </w:p>
        </w:tc>
        <w:tc>
          <w:tcPr>
            <w:tcW w:w="2693" w:type="dxa"/>
            <w:vMerge/>
            <w:shd w:val="clear" w:color="auto" w:fill="auto"/>
          </w:tcPr>
          <w:p w:rsidR="006A4AB2" w:rsidRPr="00DE5038" w:rsidRDefault="006A4AB2" w:rsidP="008D3817">
            <w:pPr>
              <w:widowControl w:val="0"/>
              <w:tabs>
                <w:tab w:val="left" w:pos="622"/>
              </w:tabs>
              <w:spacing w:after="0" w:line="240" w:lineRule="auto"/>
              <w:jc w:val="both"/>
              <w:rPr>
                <w:rFonts w:ascii="Times New Roman" w:hAnsi="Times New Roman"/>
                <w:sz w:val="20"/>
                <w:szCs w:val="20"/>
              </w:rPr>
            </w:pPr>
          </w:p>
        </w:tc>
        <w:tc>
          <w:tcPr>
            <w:tcW w:w="3119" w:type="dxa"/>
            <w:shd w:val="clear" w:color="auto" w:fill="auto"/>
          </w:tcPr>
          <w:p w:rsidR="006A4AB2" w:rsidRPr="00DE5038" w:rsidRDefault="006A4AB2" w:rsidP="00071690">
            <w:pPr>
              <w:widowControl w:val="0"/>
              <w:tabs>
                <w:tab w:val="left" w:pos="622"/>
              </w:tabs>
              <w:spacing w:after="0" w:line="240" w:lineRule="auto"/>
              <w:jc w:val="both"/>
              <w:rPr>
                <w:rFonts w:ascii="Times New Roman" w:eastAsia="AngsanaUPC" w:hAnsi="Times New Roman"/>
                <w:bCs/>
                <w:sz w:val="20"/>
                <w:szCs w:val="20"/>
                <w:lang w:eastAsia="lt-LT"/>
              </w:rPr>
            </w:pPr>
            <w:r w:rsidRPr="00DE5038">
              <w:rPr>
                <w:rFonts w:ascii="Times New Roman" w:eastAsia="AngsanaUPC" w:hAnsi="Times New Roman"/>
                <w:bCs/>
                <w:sz w:val="20"/>
                <w:szCs w:val="20"/>
                <w:lang w:eastAsia="lt-LT"/>
              </w:rPr>
              <w:t>Standartizuoto 0–64 m. amžiaus gyventojų mirtingumo sumažėjimas</w:t>
            </w:r>
          </w:p>
          <w:p w:rsidR="006A4AB2" w:rsidRPr="00DE5038" w:rsidRDefault="006A4AB2" w:rsidP="00071690">
            <w:pPr>
              <w:widowControl w:val="0"/>
              <w:tabs>
                <w:tab w:val="left" w:pos="622"/>
              </w:tabs>
              <w:spacing w:after="0" w:line="240" w:lineRule="auto"/>
              <w:jc w:val="both"/>
              <w:rPr>
                <w:rFonts w:ascii="Times New Roman" w:eastAsia="AngsanaUPC" w:hAnsi="Times New Roman"/>
                <w:bCs/>
                <w:sz w:val="20"/>
                <w:szCs w:val="20"/>
                <w:lang w:eastAsia="lt-LT"/>
              </w:rPr>
            </w:pPr>
            <w:r w:rsidRPr="00DE5038">
              <w:rPr>
                <w:rFonts w:ascii="Times New Roman" w:eastAsia="AngsanaUPC" w:hAnsi="Times New Roman"/>
                <w:bCs/>
                <w:sz w:val="20"/>
                <w:szCs w:val="20"/>
                <w:lang w:eastAsia="lt-LT"/>
              </w:rPr>
              <w:t>tikslinėse teritorijose nuo piktybinių navikų</w:t>
            </w:r>
          </w:p>
        </w:tc>
        <w:tc>
          <w:tcPr>
            <w:tcW w:w="850" w:type="dxa"/>
            <w:vMerge/>
            <w:shd w:val="clear" w:color="auto" w:fill="auto"/>
          </w:tcPr>
          <w:p w:rsidR="006A4AB2" w:rsidRPr="00DE5038" w:rsidRDefault="006A4AB2"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276" w:type="dxa"/>
            <w:vMerge/>
            <w:shd w:val="clear" w:color="auto" w:fill="auto"/>
          </w:tcPr>
          <w:p w:rsidR="006A4AB2" w:rsidRPr="00DE5038" w:rsidRDefault="006A4AB2"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134" w:type="dxa"/>
            <w:vMerge/>
            <w:shd w:val="clear" w:color="auto" w:fill="auto"/>
          </w:tcPr>
          <w:p w:rsidR="006A4AB2" w:rsidRPr="00DE5038" w:rsidRDefault="006A4AB2" w:rsidP="008D3817">
            <w:pPr>
              <w:widowControl w:val="0"/>
              <w:tabs>
                <w:tab w:val="left" w:pos="622"/>
              </w:tabs>
              <w:spacing w:after="0" w:line="240" w:lineRule="auto"/>
              <w:jc w:val="both"/>
              <w:rPr>
                <w:rFonts w:ascii="Times New Roman" w:eastAsia="AngsanaUPC" w:hAnsi="Times New Roman"/>
                <w:b/>
                <w:bCs/>
                <w:sz w:val="20"/>
                <w:szCs w:val="20"/>
                <w:lang w:eastAsia="lt-LT"/>
              </w:rPr>
            </w:pPr>
          </w:p>
        </w:tc>
      </w:tr>
      <w:tr w:rsidR="006A4AB2" w:rsidRPr="0083442A" w:rsidTr="009C0228">
        <w:trPr>
          <w:trHeight w:val="443"/>
        </w:trPr>
        <w:tc>
          <w:tcPr>
            <w:tcW w:w="1668" w:type="dxa"/>
            <w:vMerge/>
            <w:shd w:val="clear" w:color="auto" w:fill="auto"/>
          </w:tcPr>
          <w:p w:rsidR="006A4AB2" w:rsidRPr="00DE5038" w:rsidRDefault="006A4AB2" w:rsidP="008D3817">
            <w:pPr>
              <w:widowControl w:val="0"/>
              <w:tabs>
                <w:tab w:val="left" w:pos="622"/>
              </w:tabs>
              <w:spacing w:after="0" w:line="240" w:lineRule="auto"/>
              <w:jc w:val="both"/>
              <w:rPr>
                <w:rFonts w:ascii="Times New Roman" w:hAnsi="Times New Roman"/>
                <w:sz w:val="20"/>
                <w:szCs w:val="20"/>
              </w:rPr>
            </w:pPr>
          </w:p>
        </w:tc>
        <w:tc>
          <w:tcPr>
            <w:tcW w:w="1559" w:type="dxa"/>
            <w:vMerge/>
            <w:shd w:val="clear" w:color="auto" w:fill="auto"/>
          </w:tcPr>
          <w:p w:rsidR="006A4AB2" w:rsidRPr="00DE5038" w:rsidRDefault="006A4AB2"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shd w:val="clear" w:color="auto" w:fill="auto"/>
          </w:tcPr>
          <w:p w:rsidR="006A4AB2" w:rsidRPr="00DE5038" w:rsidRDefault="006A4AB2" w:rsidP="008D3817">
            <w:pPr>
              <w:widowControl w:val="0"/>
              <w:tabs>
                <w:tab w:val="left" w:pos="1276"/>
              </w:tabs>
              <w:adjustRightInd w:val="0"/>
              <w:spacing w:after="0" w:line="240" w:lineRule="auto"/>
              <w:jc w:val="both"/>
              <w:textAlignment w:val="baseline"/>
              <w:rPr>
                <w:rFonts w:ascii="Times New Roman" w:hAnsi="Times New Roman"/>
                <w:sz w:val="20"/>
                <w:szCs w:val="20"/>
              </w:rPr>
            </w:pPr>
          </w:p>
        </w:tc>
        <w:tc>
          <w:tcPr>
            <w:tcW w:w="2693" w:type="dxa"/>
            <w:vMerge w:val="restart"/>
            <w:shd w:val="clear" w:color="auto" w:fill="auto"/>
          </w:tcPr>
          <w:p w:rsidR="006A4AB2" w:rsidRPr="00DE5038" w:rsidRDefault="006A4AB2" w:rsidP="008D3817">
            <w:pPr>
              <w:widowControl w:val="0"/>
              <w:tabs>
                <w:tab w:val="left" w:pos="622"/>
              </w:tabs>
              <w:spacing w:after="0" w:line="240" w:lineRule="auto"/>
              <w:jc w:val="both"/>
              <w:rPr>
                <w:rFonts w:ascii="Times New Roman" w:hAnsi="Times New Roman"/>
                <w:sz w:val="20"/>
                <w:szCs w:val="20"/>
              </w:rPr>
            </w:pPr>
            <w:r w:rsidRPr="00DE5038">
              <w:rPr>
                <w:rFonts w:ascii="Times New Roman" w:hAnsi="Times New Roman"/>
                <w:sz w:val="20"/>
                <w:szCs w:val="20"/>
              </w:rPr>
              <w:t>Energetinio efektyvumo ir atsinaujinančių energijos išteklių plėtros, siekiant švelninti poveikį klimato kaitai, skatinimas</w:t>
            </w:r>
          </w:p>
        </w:tc>
        <w:tc>
          <w:tcPr>
            <w:tcW w:w="3119" w:type="dxa"/>
            <w:shd w:val="clear" w:color="auto" w:fill="auto"/>
          </w:tcPr>
          <w:p w:rsidR="006A4AB2" w:rsidRPr="00DE5038" w:rsidRDefault="006A4AB2" w:rsidP="008D3817">
            <w:pPr>
              <w:widowControl w:val="0"/>
              <w:tabs>
                <w:tab w:val="left" w:pos="622"/>
              </w:tabs>
              <w:spacing w:after="0" w:line="240" w:lineRule="auto"/>
              <w:jc w:val="both"/>
              <w:rPr>
                <w:rFonts w:ascii="Times New Roman" w:eastAsia="AngsanaUPC" w:hAnsi="Times New Roman"/>
                <w:bCs/>
                <w:sz w:val="20"/>
                <w:szCs w:val="20"/>
                <w:lang w:eastAsia="lt-LT"/>
              </w:rPr>
            </w:pPr>
            <w:r w:rsidRPr="00DE5038">
              <w:rPr>
                <w:rFonts w:ascii="Times New Roman" w:eastAsia="AngsanaUPC" w:hAnsi="Times New Roman"/>
                <w:bCs/>
                <w:sz w:val="20"/>
                <w:szCs w:val="20"/>
                <w:lang w:eastAsia="lt-LT"/>
              </w:rPr>
              <w:t>Atsinaujinančių išteklių energijos dalis galutiniame energijos balanse</w:t>
            </w:r>
          </w:p>
        </w:tc>
        <w:tc>
          <w:tcPr>
            <w:tcW w:w="850" w:type="dxa"/>
            <w:vMerge/>
            <w:shd w:val="clear" w:color="auto" w:fill="auto"/>
          </w:tcPr>
          <w:p w:rsidR="006A4AB2" w:rsidRPr="00DE5038" w:rsidRDefault="006A4AB2"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276" w:type="dxa"/>
            <w:vMerge/>
            <w:shd w:val="clear" w:color="auto" w:fill="auto"/>
          </w:tcPr>
          <w:p w:rsidR="006A4AB2" w:rsidRPr="00DE5038" w:rsidRDefault="006A4AB2"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134" w:type="dxa"/>
            <w:vMerge/>
            <w:shd w:val="clear" w:color="auto" w:fill="auto"/>
          </w:tcPr>
          <w:p w:rsidR="006A4AB2" w:rsidRPr="00DE5038" w:rsidRDefault="006A4AB2" w:rsidP="008D3817">
            <w:pPr>
              <w:widowControl w:val="0"/>
              <w:tabs>
                <w:tab w:val="left" w:pos="622"/>
              </w:tabs>
              <w:spacing w:after="0" w:line="240" w:lineRule="auto"/>
              <w:jc w:val="both"/>
              <w:rPr>
                <w:rFonts w:ascii="Times New Roman" w:eastAsia="AngsanaUPC" w:hAnsi="Times New Roman"/>
                <w:b/>
                <w:bCs/>
                <w:sz w:val="20"/>
                <w:szCs w:val="20"/>
                <w:lang w:eastAsia="lt-LT"/>
              </w:rPr>
            </w:pPr>
          </w:p>
        </w:tc>
      </w:tr>
      <w:tr w:rsidR="006A4AB2" w:rsidRPr="0083442A" w:rsidTr="00031EF1">
        <w:trPr>
          <w:trHeight w:val="565"/>
        </w:trPr>
        <w:tc>
          <w:tcPr>
            <w:tcW w:w="1668" w:type="dxa"/>
            <w:vMerge/>
            <w:shd w:val="clear" w:color="auto" w:fill="auto"/>
          </w:tcPr>
          <w:p w:rsidR="006A4AB2" w:rsidRPr="00DE5038" w:rsidRDefault="006A4AB2" w:rsidP="008D3817">
            <w:pPr>
              <w:widowControl w:val="0"/>
              <w:tabs>
                <w:tab w:val="left" w:pos="622"/>
              </w:tabs>
              <w:spacing w:after="0" w:line="240" w:lineRule="auto"/>
              <w:jc w:val="both"/>
              <w:rPr>
                <w:rFonts w:ascii="Times New Roman" w:hAnsi="Times New Roman"/>
                <w:sz w:val="20"/>
                <w:szCs w:val="20"/>
              </w:rPr>
            </w:pPr>
          </w:p>
        </w:tc>
        <w:tc>
          <w:tcPr>
            <w:tcW w:w="1559" w:type="dxa"/>
            <w:vMerge/>
            <w:shd w:val="clear" w:color="auto" w:fill="auto"/>
          </w:tcPr>
          <w:p w:rsidR="006A4AB2" w:rsidRPr="00DE5038" w:rsidRDefault="006A4AB2"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2835" w:type="dxa"/>
            <w:vMerge/>
            <w:shd w:val="clear" w:color="auto" w:fill="auto"/>
          </w:tcPr>
          <w:p w:rsidR="006A4AB2" w:rsidRPr="00DE5038" w:rsidRDefault="006A4AB2" w:rsidP="008D3817">
            <w:pPr>
              <w:widowControl w:val="0"/>
              <w:tabs>
                <w:tab w:val="left" w:pos="1276"/>
              </w:tabs>
              <w:adjustRightInd w:val="0"/>
              <w:spacing w:after="0" w:line="240" w:lineRule="auto"/>
              <w:jc w:val="both"/>
              <w:textAlignment w:val="baseline"/>
              <w:rPr>
                <w:rFonts w:ascii="Times New Roman" w:hAnsi="Times New Roman"/>
                <w:sz w:val="20"/>
                <w:szCs w:val="20"/>
              </w:rPr>
            </w:pPr>
          </w:p>
        </w:tc>
        <w:tc>
          <w:tcPr>
            <w:tcW w:w="2693" w:type="dxa"/>
            <w:vMerge/>
            <w:shd w:val="clear" w:color="auto" w:fill="auto"/>
          </w:tcPr>
          <w:p w:rsidR="006A4AB2" w:rsidRPr="00DE5038" w:rsidRDefault="006A4AB2" w:rsidP="008D3817">
            <w:pPr>
              <w:widowControl w:val="0"/>
              <w:tabs>
                <w:tab w:val="left" w:pos="622"/>
              </w:tabs>
              <w:spacing w:after="0" w:line="240" w:lineRule="auto"/>
              <w:jc w:val="both"/>
              <w:rPr>
                <w:rFonts w:ascii="Times New Roman" w:hAnsi="Times New Roman"/>
                <w:sz w:val="20"/>
                <w:szCs w:val="20"/>
              </w:rPr>
            </w:pPr>
          </w:p>
        </w:tc>
        <w:tc>
          <w:tcPr>
            <w:tcW w:w="3119" w:type="dxa"/>
            <w:shd w:val="clear" w:color="auto" w:fill="auto"/>
          </w:tcPr>
          <w:p w:rsidR="006A4AB2" w:rsidRPr="00DE5038" w:rsidRDefault="006A4AB2" w:rsidP="008D3817">
            <w:pPr>
              <w:widowControl w:val="0"/>
              <w:tabs>
                <w:tab w:val="left" w:pos="622"/>
              </w:tabs>
              <w:spacing w:after="0" w:line="240" w:lineRule="auto"/>
              <w:jc w:val="both"/>
              <w:rPr>
                <w:rFonts w:ascii="Times New Roman" w:eastAsia="AngsanaUPC" w:hAnsi="Times New Roman"/>
                <w:bCs/>
                <w:sz w:val="20"/>
                <w:szCs w:val="20"/>
                <w:lang w:eastAsia="lt-LT"/>
              </w:rPr>
            </w:pPr>
            <w:r w:rsidRPr="00DE5038">
              <w:rPr>
                <w:rFonts w:ascii="Times New Roman" w:eastAsia="AngsanaUPC" w:hAnsi="Times New Roman"/>
                <w:bCs/>
                <w:sz w:val="20"/>
                <w:szCs w:val="20"/>
                <w:lang w:eastAsia="lt-LT"/>
              </w:rPr>
              <w:t>Sunaudotas galutinės energijos kiekis paslaugų ir namų ūkių sektoriuose</w:t>
            </w:r>
          </w:p>
        </w:tc>
        <w:tc>
          <w:tcPr>
            <w:tcW w:w="850" w:type="dxa"/>
            <w:vMerge/>
            <w:shd w:val="clear" w:color="auto" w:fill="auto"/>
          </w:tcPr>
          <w:p w:rsidR="006A4AB2" w:rsidRPr="00DE5038" w:rsidRDefault="006A4AB2" w:rsidP="008D3817">
            <w:pPr>
              <w:widowControl w:val="0"/>
              <w:tabs>
                <w:tab w:val="left" w:pos="622"/>
              </w:tabs>
              <w:spacing w:after="0" w:line="240" w:lineRule="auto"/>
              <w:jc w:val="both"/>
              <w:rPr>
                <w:rFonts w:ascii="Times New Roman" w:eastAsia="AngsanaUPC" w:hAnsi="Times New Roman"/>
                <w:bCs/>
                <w:sz w:val="20"/>
                <w:szCs w:val="20"/>
                <w:lang w:eastAsia="lt-LT"/>
              </w:rPr>
            </w:pPr>
          </w:p>
        </w:tc>
        <w:tc>
          <w:tcPr>
            <w:tcW w:w="1276" w:type="dxa"/>
            <w:vMerge/>
            <w:shd w:val="clear" w:color="auto" w:fill="auto"/>
          </w:tcPr>
          <w:p w:rsidR="006A4AB2" w:rsidRPr="00DE5038" w:rsidRDefault="006A4AB2" w:rsidP="008D3817">
            <w:pPr>
              <w:widowControl w:val="0"/>
              <w:tabs>
                <w:tab w:val="left" w:pos="622"/>
              </w:tabs>
              <w:spacing w:after="0" w:line="240" w:lineRule="auto"/>
              <w:jc w:val="both"/>
              <w:rPr>
                <w:rFonts w:ascii="Times New Roman" w:eastAsia="AngsanaUPC" w:hAnsi="Times New Roman"/>
                <w:b/>
                <w:bCs/>
                <w:sz w:val="20"/>
                <w:szCs w:val="20"/>
                <w:lang w:eastAsia="lt-LT"/>
              </w:rPr>
            </w:pPr>
          </w:p>
        </w:tc>
        <w:tc>
          <w:tcPr>
            <w:tcW w:w="1134" w:type="dxa"/>
            <w:vMerge/>
            <w:shd w:val="clear" w:color="auto" w:fill="auto"/>
          </w:tcPr>
          <w:p w:rsidR="006A4AB2" w:rsidRPr="00DE5038" w:rsidRDefault="006A4AB2" w:rsidP="008D3817">
            <w:pPr>
              <w:widowControl w:val="0"/>
              <w:tabs>
                <w:tab w:val="left" w:pos="622"/>
              </w:tabs>
              <w:spacing w:after="0" w:line="240" w:lineRule="auto"/>
              <w:jc w:val="both"/>
              <w:rPr>
                <w:rFonts w:ascii="Times New Roman" w:eastAsia="AngsanaUPC" w:hAnsi="Times New Roman"/>
                <w:b/>
                <w:bCs/>
                <w:sz w:val="20"/>
                <w:szCs w:val="20"/>
                <w:lang w:eastAsia="lt-LT"/>
              </w:rPr>
            </w:pPr>
          </w:p>
        </w:tc>
      </w:tr>
      <w:tr w:rsidR="00071690" w:rsidRPr="0083442A" w:rsidTr="009C0228">
        <w:trPr>
          <w:trHeight w:val="157"/>
        </w:trPr>
        <w:tc>
          <w:tcPr>
            <w:tcW w:w="1668" w:type="dxa"/>
            <w:shd w:val="clear" w:color="auto" w:fill="auto"/>
          </w:tcPr>
          <w:p w:rsidR="00071690" w:rsidRPr="00DE5038" w:rsidRDefault="00071690" w:rsidP="008D3817">
            <w:pPr>
              <w:widowControl w:val="0"/>
              <w:tabs>
                <w:tab w:val="left" w:pos="622"/>
              </w:tabs>
              <w:spacing w:after="0" w:line="240" w:lineRule="auto"/>
              <w:jc w:val="both"/>
              <w:rPr>
                <w:rFonts w:ascii="Times New Roman" w:hAnsi="Times New Roman"/>
                <w:sz w:val="20"/>
                <w:szCs w:val="20"/>
              </w:rPr>
            </w:pPr>
            <w:r w:rsidRPr="00DE5038">
              <w:rPr>
                <w:rFonts w:ascii="Times New Roman" w:hAnsi="Times New Roman"/>
                <w:sz w:val="20"/>
                <w:szCs w:val="20"/>
              </w:rPr>
              <w:t>Veiksmų, skirtų COVID-19 pandemijos sukeltai krizei įveikti, skatinimas, siekiant didinti užimtumą ir socialinę įtrauktį</w:t>
            </w:r>
          </w:p>
        </w:tc>
        <w:tc>
          <w:tcPr>
            <w:tcW w:w="1559" w:type="dxa"/>
            <w:shd w:val="clear" w:color="auto" w:fill="auto"/>
          </w:tcPr>
          <w:p w:rsidR="00071690" w:rsidRPr="00DE5038" w:rsidRDefault="00071690" w:rsidP="008D3817">
            <w:pPr>
              <w:widowControl w:val="0"/>
              <w:tabs>
                <w:tab w:val="left" w:pos="622"/>
              </w:tabs>
              <w:spacing w:after="0" w:line="240" w:lineRule="auto"/>
              <w:jc w:val="both"/>
              <w:rPr>
                <w:rFonts w:ascii="Times New Roman" w:eastAsia="AngsanaUPC" w:hAnsi="Times New Roman"/>
                <w:bCs/>
                <w:sz w:val="20"/>
                <w:szCs w:val="20"/>
                <w:lang w:eastAsia="lt-LT"/>
              </w:rPr>
            </w:pPr>
            <w:r w:rsidRPr="00DE5038">
              <w:rPr>
                <w:rFonts w:ascii="Times New Roman" w:hAnsi="Times New Roman"/>
                <w:sz w:val="20"/>
                <w:szCs w:val="20"/>
              </w:rPr>
              <w:t>(ESF) Veiksmų, skirtų COVID-19 pandemijos sukeltai krizei ir jos socialiniams padariniams įveikti, skatinimas ir pasirengimas žaliajam, skaitmeniniam ir atspariam ekonomikos atgaivinimui</w:t>
            </w:r>
          </w:p>
        </w:tc>
        <w:tc>
          <w:tcPr>
            <w:tcW w:w="2835" w:type="dxa"/>
            <w:shd w:val="clear" w:color="auto" w:fill="auto"/>
          </w:tcPr>
          <w:p w:rsidR="00071690" w:rsidRPr="00DE5038" w:rsidRDefault="00071690" w:rsidP="008D3817">
            <w:pPr>
              <w:widowControl w:val="0"/>
              <w:tabs>
                <w:tab w:val="left" w:pos="1276"/>
              </w:tabs>
              <w:adjustRightInd w:val="0"/>
              <w:spacing w:after="0" w:line="240" w:lineRule="auto"/>
              <w:jc w:val="both"/>
              <w:textAlignment w:val="baseline"/>
              <w:rPr>
                <w:rFonts w:ascii="Times New Roman" w:hAnsi="Times New Roman"/>
                <w:sz w:val="20"/>
                <w:szCs w:val="20"/>
              </w:rPr>
            </w:pPr>
            <w:r w:rsidRPr="00DE5038">
              <w:rPr>
                <w:rFonts w:ascii="Times New Roman" w:hAnsi="Times New Roman"/>
                <w:sz w:val="20"/>
                <w:szCs w:val="20"/>
              </w:rPr>
              <w:t>–</w:t>
            </w:r>
          </w:p>
        </w:tc>
        <w:tc>
          <w:tcPr>
            <w:tcW w:w="2693" w:type="dxa"/>
            <w:shd w:val="clear" w:color="auto" w:fill="auto"/>
          </w:tcPr>
          <w:p w:rsidR="00071690" w:rsidRPr="00DE5038" w:rsidRDefault="00071690" w:rsidP="008D3817">
            <w:pPr>
              <w:widowControl w:val="0"/>
              <w:tabs>
                <w:tab w:val="left" w:pos="622"/>
              </w:tabs>
              <w:spacing w:after="0" w:line="240" w:lineRule="auto"/>
              <w:jc w:val="both"/>
              <w:rPr>
                <w:rFonts w:ascii="Times New Roman" w:hAnsi="Times New Roman"/>
                <w:sz w:val="20"/>
                <w:szCs w:val="20"/>
              </w:rPr>
            </w:pPr>
            <w:r w:rsidRPr="00DE5038">
              <w:rPr>
                <w:rFonts w:ascii="Times New Roman" w:hAnsi="Times New Roman"/>
                <w:sz w:val="20"/>
                <w:szCs w:val="20"/>
              </w:rPr>
              <w:t>Gyventojų užimtumo, prisitaikymo prie kintančios darbo rinkos ir atsparumo, COVID-19 pandemijos keliamiems iššūkiams, didinimas</w:t>
            </w:r>
          </w:p>
        </w:tc>
        <w:tc>
          <w:tcPr>
            <w:tcW w:w="3119" w:type="dxa"/>
            <w:shd w:val="clear" w:color="auto" w:fill="auto"/>
          </w:tcPr>
          <w:p w:rsidR="00071690" w:rsidRPr="00DE5038" w:rsidRDefault="00071690" w:rsidP="008D3817">
            <w:pPr>
              <w:widowControl w:val="0"/>
              <w:tabs>
                <w:tab w:val="left" w:pos="622"/>
              </w:tabs>
              <w:spacing w:after="0" w:line="240" w:lineRule="auto"/>
              <w:jc w:val="both"/>
              <w:rPr>
                <w:rFonts w:ascii="Times New Roman" w:eastAsia="AngsanaUPC" w:hAnsi="Times New Roman"/>
                <w:bCs/>
                <w:sz w:val="20"/>
                <w:szCs w:val="20"/>
                <w:lang w:eastAsia="lt-LT"/>
              </w:rPr>
            </w:pPr>
            <w:r w:rsidRPr="00DE5038">
              <w:rPr>
                <w:rFonts w:ascii="Times New Roman" w:eastAsia="AngsanaUPC" w:hAnsi="Times New Roman"/>
                <w:bCs/>
                <w:sz w:val="20"/>
                <w:szCs w:val="20"/>
                <w:lang w:eastAsia="lt-LT"/>
              </w:rPr>
              <w:t>Dalyviai, kurie baigę dalyvauti ESF veiklose pradėjo dirbti, įskaitant savarankišką darbą (Bedarbiai, įskaitant ilgalaikius bedarbius)</w:t>
            </w:r>
          </w:p>
        </w:tc>
        <w:tc>
          <w:tcPr>
            <w:tcW w:w="850" w:type="dxa"/>
            <w:shd w:val="clear" w:color="auto" w:fill="auto"/>
          </w:tcPr>
          <w:p w:rsidR="00071690" w:rsidRPr="00DE5038" w:rsidRDefault="00071690" w:rsidP="008D3817">
            <w:pPr>
              <w:widowControl w:val="0"/>
              <w:tabs>
                <w:tab w:val="left" w:pos="622"/>
              </w:tabs>
              <w:spacing w:after="0" w:line="240" w:lineRule="auto"/>
              <w:jc w:val="both"/>
              <w:rPr>
                <w:rFonts w:ascii="Times New Roman" w:eastAsia="AngsanaUPC" w:hAnsi="Times New Roman"/>
                <w:bCs/>
                <w:sz w:val="20"/>
                <w:szCs w:val="20"/>
                <w:lang w:eastAsia="lt-LT"/>
              </w:rPr>
            </w:pPr>
            <w:r w:rsidRPr="00DE5038">
              <w:rPr>
                <w:rFonts w:ascii="Times New Roman" w:eastAsia="AngsanaUPC" w:hAnsi="Times New Roman"/>
                <w:bCs/>
                <w:sz w:val="20"/>
                <w:szCs w:val="20"/>
                <w:lang w:eastAsia="lt-LT"/>
              </w:rPr>
              <w:t>ESF</w:t>
            </w:r>
          </w:p>
        </w:tc>
        <w:tc>
          <w:tcPr>
            <w:tcW w:w="1276" w:type="dxa"/>
            <w:shd w:val="clear" w:color="auto" w:fill="auto"/>
          </w:tcPr>
          <w:p w:rsidR="00071690" w:rsidRPr="009C0228" w:rsidRDefault="009C0228" w:rsidP="008D3817">
            <w:pPr>
              <w:widowControl w:val="0"/>
              <w:tabs>
                <w:tab w:val="left" w:pos="622"/>
              </w:tabs>
              <w:spacing w:after="0" w:line="240" w:lineRule="auto"/>
              <w:jc w:val="both"/>
              <w:rPr>
                <w:rFonts w:ascii="Times New Roman" w:eastAsia="AngsanaUPC" w:hAnsi="Times New Roman"/>
                <w:bCs/>
                <w:sz w:val="20"/>
                <w:szCs w:val="20"/>
                <w:lang w:eastAsia="lt-LT"/>
              </w:rPr>
            </w:pPr>
            <w:r w:rsidRPr="009C0228">
              <w:rPr>
                <w:rFonts w:ascii="Times New Roman" w:eastAsia="AngsanaUPC" w:hAnsi="Times New Roman"/>
                <w:bCs/>
                <w:sz w:val="20"/>
                <w:szCs w:val="20"/>
                <w:lang w:eastAsia="lt-LT"/>
              </w:rPr>
              <w:t>46.000.000</w:t>
            </w:r>
          </w:p>
        </w:tc>
        <w:tc>
          <w:tcPr>
            <w:tcW w:w="1134" w:type="dxa"/>
            <w:shd w:val="clear" w:color="auto" w:fill="auto"/>
          </w:tcPr>
          <w:p w:rsidR="00071690" w:rsidRPr="00DE5038" w:rsidRDefault="00071690" w:rsidP="009C0228">
            <w:pPr>
              <w:widowControl w:val="0"/>
              <w:tabs>
                <w:tab w:val="left" w:pos="622"/>
              </w:tabs>
              <w:spacing w:after="0" w:line="240" w:lineRule="auto"/>
              <w:jc w:val="both"/>
              <w:rPr>
                <w:rFonts w:ascii="Times New Roman" w:eastAsia="AngsanaUPC" w:hAnsi="Times New Roman"/>
                <w:bCs/>
                <w:sz w:val="20"/>
                <w:szCs w:val="20"/>
                <w:lang w:eastAsia="lt-LT"/>
              </w:rPr>
            </w:pPr>
            <w:r w:rsidRPr="00DE5038">
              <w:rPr>
                <w:rFonts w:ascii="Times New Roman" w:eastAsia="AngsanaUPC" w:hAnsi="Times New Roman"/>
                <w:bCs/>
                <w:sz w:val="20"/>
                <w:szCs w:val="20"/>
                <w:lang w:eastAsia="lt-LT"/>
              </w:rPr>
              <w:t>0,</w:t>
            </w:r>
            <w:r w:rsidR="009C0228">
              <w:rPr>
                <w:rFonts w:ascii="Times New Roman" w:eastAsia="AngsanaUPC" w:hAnsi="Times New Roman"/>
                <w:bCs/>
                <w:sz w:val="20"/>
                <w:szCs w:val="20"/>
                <w:lang w:eastAsia="lt-LT"/>
              </w:rPr>
              <w:t>65</w:t>
            </w:r>
            <w:r w:rsidRPr="00DE5038">
              <w:rPr>
                <w:rFonts w:ascii="Times New Roman" w:eastAsia="AngsanaUPC" w:hAnsi="Times New Roman"/>
                <w:bCs/>
                <w:sz w:val="20"/>
                <w:szCs w:val="20"/>
                <w:lang w:eastAsia="lt-LT"/>
              </w:rPr>
              <w:t xml:space="preserve"> </w:t>
            </w:r>
            <w:r w:rsidRPr="00DE5038">
              <w:rPr>
                <w:rFonts w:ascii="Times New Roman" w:eastAsia="AngsanaUPC" w:hAnsi="Times New Roman"/>
                <w:bCs/>
                <w:sz w:val="20"/>
                <w:szCs w:val="20"/>
                <w:lang w:val="en-US" w:eastAsia="lt-LT"/>
              </w:rPr>
              <w:t>%</w:t>
            </w:r>
          </w:p>
        </w:tc>
      </w:tr>
    </w:tbl>
    <w:p w:rsidR="00777E47" w:rsidRDefault="00777E47" w:rsidP="00777E47">
      <w:pPr>
        <w:widowControl w:val="0"/>
        <w:tabs>
          <w:tab w:val="left" w:pos="622"/>
        </w:tabs>
        <w:spacing w:after="0" w:line="274" w:lineRule="exact"/>
        <w:ind w:right="119"/>
        <w:jc w:val="center"/>
        <w:rPr>
          <w:rFonts w:ascii="Times New Roman" w:eastAsia="AngsanaUPC" w:hAnsi="Times New Roman"/>
          <w:b/>
          <w:bCs/>
          <w:sz w:val="24"/>
          <w:szCs w:val="24"/>
          <w:lang w:eastAsia="lt-LT"/>
        </w:rPr>
        <w:sectPr w:rsidR="00777E47" w:rsidSect="00AC19DA">
          <w:pgSz w:w="16838" w:h="11906" w:orient="landscape"/>
          <w:pgMar w:top="1701" w:right="1701" w:bottom="567" w:left="1134" w:header="567" w:footer="567" w:gutter="0"/>
          <w:cols w:space="1296"/>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764CAA" w:rsidRPr="00777E47" w:rsidTr="00764CAA">
        <w:trPr>
          <w:trHeight w:val="416"/>
        </w:trPr>
        <w:tc>
          <w:tcPr>
            <w:tcW w:w="9746" w:type="dxa"/>
            <w:shd w:val="clear" w:color="auto" w:fill="C6D9F1"/>
            <w:vAlign w:val="center"/>
          </w:tcPr>
          <w:p w:rsidR="00764CAA" w:rsidRPr="00372DA9" w:rsidRDefault="00764CAA" w:rsidP="009D6421">
            <w:pPr>
              <w:pStyle w:val="Antrat1"/>
              <w:rPr>
                <w:rFonts w:eastAsia="AngsanaUPC"/>
                <w:lang w:val="lt-LT" w:eastAsia="lt-LT"/>
              </w:rPr>
            </w:pPr>
            <w:r w:rsidRPr="00372DA9">
              <w:rPr>
                <w:rFonts w:eastAsia="AngsanaUPC"/>
                <w:lang w:val="lt-LT" w:eastAsia="lt-LT"/>
              </w:rPr>
              <w:lastRenderedPageBreak/>
              <w:br w:type="page"/>
            </w:r>
            <w:bookmarkStart w:id="2" w:name="_Toc69836219"/>
            <w:r w:rsidRPr="00372DA9">
              <w:rPr>
                <w:rFonts w:eastAsia="AngsanaUPC"/>
                <w:lang w:val="lt-LT" w:eastAsia="lt-LT"/>
              </w:rPr>
              <w:t>2. SK</w:t>
            </w:r>
            <w:r w:rsidR="009D6421">
              <w:rPr>
                <w:rFonts w:eastAsia="AngsanaUPC"/>
                <w:lang w:val="lt-LT" w:eastAsia="lt-LT"/>
              </w:rPr>
              <w:t>IRSNIS</w:t>
            </w:r>
            <w:r w:rsidRPr="00372DA9">
              <w:rPr>
                <w:rFonts w:eastAsia="AngsanaUPC"/>
                <w:lang w:val="lt-LT" w:eastAsia="lt-LT"/>
              </w:rPr>
              <w:t>. PRIORITETŲ APRAŠYMAS</w:t>
            </w:r>
            <w:bookmarkEnd w:id="2"/>
          </w:p>
        </w:tc>
      </w:tr>
    </w:tbl>
    <w:p w:rsidR="00031EF1" w:rsidRPr="005E52CE" w:rsidRDefault="00031EF1" w:rsidP="005E52CE">
      <w:pPr>
        <w:spacing w:after="0" w:line="240" w:lineRule="auto"/>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746"/>
      </w:tblGrid>
      <w:tr w:rsidR="00385835" w:rsidRPr="00385835" w:rsidTr="00385835">
        <w:trPr>
          <w:trHeight w:val="416"/>
        </w:trPr>
        <w:tc>
          <w:tcPr>
            <w:tcW w:w="9746" w:type="dxa"/>
            <w:shd w:val="clear" w:color="auto" w:fill="EEECE1"/>
            <w:vAlign w:val="center"/>
          </w:tcPr>
          <w:p w:rsidR="00385835" w:rsidRPr="00385835" w:rsidRDefault="00385835" w:rsidP="00385835">
            <w:pPr>
              <w:keepNext/>
              <w:spacing w:after="0" w:line="240" w:lineRule="auto"/>
              <w:jc w:val="both"/>
              <w:outlineLvl w:val="1"/>
              <w:rPr>
                <w:rFonts w:ascii="Times New Roman" w:eastAsia="AngsanaUPC" w:hAnsi="Times New Roman"/>
                <w:b/>
                <w:bCs/>
                <w:iCs/>
                <w:sz w:val="24"/>
                <w:szCs w:val="28"/>
                <w:lang w:eastAsia="lt-LT"/>
              </w:rPr>
            </w:pPr>
            <w:bookmarkStart w:id="3" w:name="_Toc69836220"/>
            <w:r w:rsidRPr="00385835">
              <w:rPr>
                <w:rFonts w:ascii="Times New Roman" w:eastAsia="AngsanaUPC" w:hAnsi="Times New Roman"/>
                <w:b/>
                <w:bCs/>
                <w:iCs/>
                <w:sz w:val="24"/>
                <w:szCs w:val="28"/>
                <w:lang w:eastAsia="lt-LT"/>
              </w:rPr>
              <w:t>1 PRIORITETAS. MOKSLINIŲ TYRIMŲ, EKSPERIMENTINĖS PLĖTROS IR INOVACIJŲ SKATINIMAS</w:t>
            </w:r>
            <w:bookmarkEnd w:id="3"/>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vAlign w:val="center"/>
          </w:tcPr>
          <w:p w:rsidR="00385835" w:rsidRPr="00385835" w:rsidRDefault="00385835" w:rsidP="00385835">
            <w:pPr>
              <w:widowControl w:val="0"/>
              <w:tabs>
                <w:tab w:val="left" w:pos="622"/>
              </w:tabs>
              <w:spacing w:after="0" w:line="240" w:lineRule="auto"/>
              <w:rPr>
                <w:rFonts w:ascii="Times New Roman" w:eastAsia="AngsanaUPC" w:hAnsi="Times New Roman"/>
                <w:b/>
                <w:bCs/>
                <w:iCs/>
                <w:sz w:val="24"/>
                <w:szCs w:val="24"/>
                <w:lang w:eastAsia="lt-LT"/>
              </w:rPr>
            </w:pPr>
            <w:r w:rsidRPr="00385835">
              <w:rPr>
                <w:rFonts w:ascii="Times New Roman" w:eastAsia="AngsanaUPC" w:hAnsi="Times New Roman"/>
                <w:b/>
                <w:bCs/>
                <w:iCs/>
                <w:sz w:val="24"/>
                <w:szCs w:val="24"/>
                <w:lang w:eastAsia="lt-LT"/>
              </w:rPr>
              <w:t>1.1. INVESTICINIS PRIORITETAS</w:t>
            </w:r>
          </w:p>
        </w:tc>
        <w:tc>
          <w:tcPr>
            <w:tcW w:w="7336" w:type="dxa"/>
            <w:shd w:val="clear" w:color="auto" w:fill="EEECE1"/>
          </w:tcPr>
          <w:p w:rsidR="00385835" w:rsidRPr="00385835" w:rsidRDefault="00385835" w:rsidP="00031EF1">
            <w:pPr>
              <w:spacing w:after="0" w:line="240" w:lineRule="auto"/>
              <w:jc w:val="both"/>
              <w:rPr>
                <w:rFonts w:ascii="Times New Roman" w:hAnsi="Times New Roman"/>
                <w:b/>
                <w:sz w:val="24"/>
                <w:szCs w:val="24"/>
              </w:rPr>
            </w:pPr>
            <w:r w:rsidRPr="00385835">
              <w:rPr>
                <w:rFonts w:ascii="Times New Roman" w:hAnsi="Times New Roman"/>
                <w:b/>
                <w:sz w:val="24"/>
                <w:szCs w:val="24"/>
              </w:rPr>
              <w:t>MTI infrastruktūros tobulinimas, gebėjimų plėtoti MTI stiprinimas ir kompetencijos centrų, ypač europi</w:t>
            </w:r>
            <w:r w:rsidR="00031EF1">
              <w:rPr>
                <w:rFonts w:ascii="Times New Roman" w:hAnsi="Times New Roman"/>
                <w:b/>
                <w:sz w:val="24"/>
                <w:szCs w:val="24"/>
              </w:rPr>
              <w:t>nės svarbos, veiklos skatinimas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FONDAS</w:t>
            </w:r>
          </w:p>
        </w:tc>
        <w:tc>
          <w:tcPr>
            <w:tcW w:w="7336"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Europos regioninės plėtros fondas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04"/>
        <w:gridCol w:w="7285"/>
      </w:tblGrid>
      <w:tr w:rsidR="00385835" w:rsidRPr="00385835" w:rsidTr="00385835">
        <w:tc>
          <w:tcPr>
            <w:tcW w:w="2404" w:type="dxa"/>
            <w:shd w:val="clear" w:color="auto" w:fill="EEECE1"/>
            <w:vAlign w:val="center"/>
          </w:tcPr>
          <w:p w:rsidR="00385835" w:rsidRPr="00385835" w:rsidRDefault="00385835" w:rsidP="00385835">
            <w:pPr>
              <w:widowControl w:val="0"/>
              <w:tabs>
                <w:tab w:val="left" w:pos="622"/>
              </w:tabs>
              <w:spacing w:after="0" w:line="240" w:lineRule="auto"/>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1.1.1. KONKRETUS UŽDAVINYS</w:t>
            </w:r>
          </w:p>
        </w:tc>
        <w:tc>
          <w:tcPr>
            <w:tcW w:w="7285" w:type="dxa"/>
            <w:shd w:val="clear" w:color="auto" w:fill="EEECE1"/>
            <w:vAlign w:val="center"/>
          </w:tcPr>
          <w:p w:rsidR="00385835" w:rsidRPr="00385835" w:rsidRDefault="00385835" w:rsidP="00385835">
            <w:pPr>
              <w:spacing w:after="0" w:line="240" w:lineRule="auto"/>
              <w:jc w:val="both"/>
              <w:rPr>
                <w:rFonts w:ascii="Times New Roman" w:hAnsi="Times New Roman"/>
                <w:b/>
                <w:sz w:val="24"/>
                <w:szCs w:val="24"/>
              </w:rPr>
            </w:pPr>
            <w:r w:rsidRPr="00385835">
              <w:rPr>
                <w:rFonts w:ascii="Times New Roman" w:hAnsi="Times New Roman"/>
                <w:b/>
                <w:bCs/>
                <w:sz w:val="24"/>
                <w:szCs w:val="24"/>
              </w:rPr>
              <w:t>Siekti aktyvesnio turimos ir naujai kuriamos mokslinių tyrimų</w:t>
            </w:r>
            <w:r w:rsidR="006A7758">
              <w:rPr>
                <w:rFonts w:ascii="Times New Roman" w:hAnsi="Times New Roman"/>
                <w:b/>
                <w:bCs/>
                <w:sz w:val="24"/>
                <w:szCs w:val="24"/>
              </w:rPr>
              <w:t>,</w:t>
            </w:r>
            <w:r w:rsidRPr="00385835">
              <w:rPr>
                <w:rFonts w:ascii="Times New Roman" w:hAnsi="Times New Roman"/>
                <w:b/>
                <w:bCs/>
                <w:sz w:val="24"/>
                <w:szCs w:val="24"/>
              </w:rPr>
              <w:t xml:space="preserve"> eksperimentinės plėtros ir inovacijų infrastruktūros panaudojimo</w:t>
            </w:r>
          </w:p>
        </w:tc>
      </w:tr>
      <w:tr w:rsidR="00385835" w:rsidRPr="00385835" w:rsidTr="00385835">
        <w:tc>
          <w:tcPr>
            <w:tcW w:w="9689" w:type="dxa"/>
            <w:gridSpan w:val="2"/>
            <w:shd w:val="clear" w:color="auto" w:fill="auto"/>
          </w:tcPr>
          <w:p w:rsidR="00385835" w:rsidRPr="00385835" w:rsidRDefault="00385835" w:rsidP="00FF08C5">
            <w:pPr>
              <w:spacing w:after="0" w:line="240" w:lineRule="auto"/>
              <w:ind w:firstLine="624"/>
              <w:jc w:val="both"/>
              <w:rPr>
                <w:rFonts w:ascii="Times New Roman" w:hAnsi="Times New Roman"/>
                <w:sz w:val="24"/>
                <w:szCs w:val="24"/>
              </w:rPr>
            </w:pPr>
            <w:r w:rsidRPr="00385835">
              <w:rPr>
                <w:rFonts w:ascii="Times New Roman" w:hAnsi="Times New Roman"/>
                <w:sz w:val="24"/>
                <w:szCs w:val="24"/>
              </w:rPr>
              <w:t>2007–2013 m. laikotarpiu MTEPI infrastruktūrai skirtos lėšos daugiausia buvo naudojamos įgyvendinti integruotų mokslo, studijų ir verslo centrų (slėnių) infrastruktūros projektams – buvo kuriami mokslinių tyrimų centrai, mokslo ir technologijų parkai (MTP), technologijų perdavimo centrai, įsigyjama jų veikimui būtina laboratorinė įranga. Lygiagrečiai buvo investuojama į žmogiškųjų išteklių stiprinimą, telkiant šį potencialą slėnių teritorijose, kurios pasižymi aukšta mokslo ir studijų institucijų ir žinioms imlaus verslo koncentracija, o didžioji dalis MTEPI infrastruktūros veikia atviros prieigos principu</w:t>
            </w:r>
            <w:r w:rsidR="000D48A3">
              <w:rPr>
                <w:rFonts w:ascii="Times New Roman" w:hAnsi="Times New Roman"/>
                <w:sz w:val="24"/>
                <w:szCs w:val="24"/>
              </w:rPr>
              <w:t>,</w:t>
            </w:r>
            <w:r w:rsidRPr="00385835">
              <w:rPr>
                <w:rFonts w:ascii="Times New Roman" w:hAnsi="Times New Roman"/>
                <w:sz w:val="24"/>
                <w:szCs w:val="24"/>
              </w:rPr>
              <w:t xml:space="preserve"> t. y.</w:t>
            </w:r>
            <w:r w:rsidR="000D48A3">
              <w:rPr>
                <w:rFonts w:ascii="Times New Roman" w:hAnsi="Times New Roman"/>
                <w:sz w:val="24"/>
                <w:szCs w:val="24"/>
              </w:rPr>
              <w:t>,</w:t>
            </w:r>
            <w:r w:rsidRPr="00385835">
              <w:rPr>
                <w:rFonts w:ascii="Times New Roman" w:hAnsi="Times New Roman"/>
                <w:sz w:val="24"/>
                <w:szCs w:val="24"/>
              </w:rPr>
              <w:t xml:space="preserve"> MTEPI įranga ir paslaugos prieinamos mokslo ir studijų institucijoms, ūkio subjektams, taip pat užsienio mokslininkams, tyrėjams ir kitiems specialistams.</w:t>
            </w:r>
          </w:p>
          <w:p w:rsidR="00385835" w:rsidRPr="00385835" w:rsidRDefault="00385835" w:rsidP="00FF08C5">
            <w:pPr>
              <w:spacing w:after="0" w:line="240" w:lineRule="auto"/>
              <w:ind w:firstLine="624"/>
              <w:jc w:val="both"/>
              <w:rPr>
                <w:rFonts w:ascii="Times New Roman" w:hAnsi="Times New Roman"/>
                <w:sz w:val="24"/>
                <w:szCs w:val="24"/>
              </w:rPr>
            </w:pPr>
            <w:r w:rsidRPr="00385835">
              <w:rPr>
                <w:rFonts w:ascii="Times New Roman" w:hAnsi="Times New Roman"/>
                <w:sz w:val="24"/>
                <w:szCs w:val="24"/>
              </w:rPr>
              <w:t>Lietuvos mokslinių tyrimų, eksperimentinės plėtros ir inovacijų (MTEPI) sistemos sėkmingai plėtrai užtikrinti reikia toliau stiprinti viešojo ir privataus sektorių potencialą</w:t>
            </w:r>
            <w:r w:rsidR="00EB3744">
              <w:rPr>
                <w:rFonts w:ascii="Times New Roman" w:hAnsi="Times New Roman"/>
                <w:sz w:val="24"/>
                <w:szCs w:val="24"/>
              </w:rPr>
              <w:t>,</w:t>
            </w:r>
            <w:r w:rsidRPr="00385835">
              <w:rPr>
                <w:rFonts w:ascii="Times New Roman" w:hAnsi="Times New Roman"/>
                <w:sz w:val="24"/>
                <w:szCs w:val="24"/>
              </w:rPr>
              <w:t xml:space="preserve"> vykdyti MTEPI veiklas, kurti, modernizuoti technologijas, stiprinti žinių ir technologijų perdavimo, MTEPI rezultatų panaudojimo pajėgumus, taip sustiprinant mokslo ir studijų institucijų gebėjimus </w:t>
            </w:r>
            <w:r w:rsidR="00212D93">
              <w:rPr>
                <w:rFonts w:ascii="Times New Roman" w:hAnsi="Times New Roman"/>
                <w:sz w:val="24"/>
                <w:szCs w:val="24"/>
              </w:rPr>
              <w:t>atitikti</w:t>
            </w:r>
            <w:r w:rsidRPr="00385835">
              <w:rPr>
                <w:rFonts w:ascii="Times New Roman" w:hAnsi="Times New Roman"/>
                <w:sz w:val="24"/>
                <w:szCs w:val="24"/>
              </w:rPr>
              <w:t xml:space="preserve"> ūkio poreikius, didinti privataus sektoriaus imlumą žinioms</w:t>
            </w:r>
            <w:r w:rsidR="00212D93">
              <w:rPr>
                <w:rFonts w:ascii="Times New Roman" w:hAnsi="Times New Roman"/>
                <w:sz w:val="24"/>
                <w:szCs w:val="24"/>
              </w:rPr>
              <w:t>,</w:t>
            </w:r>
            <w:r w:rsidRPr="00385835">
              <w:rPr>
                <w:rFonts w:ascii="Times New Roman" w:hAnsi="Times New Roman"/>
                <w:sz w:val="24"/>
                <w:szCs w:val="24"/>
              </w:rPr>
              <w:t xml:space="preserve"> ir didinant ekonominį ir socialinį MTEPI poveikį. Lietuvos MTEPI sistemoje ypač trūksta infrastruktūros, įgalinančios vykdyti efektyvią eksperimentinę plėtrą, didinančią komercializuojamų mokslinių tyrimų rezultatų apimtis, todėl 2014–2020 m. programavimo laikotarpio investicijos bus nukreiptos į tokią infrastruktūrą</w:t>
            </w:r>
            <w:r w:rsidR="00212D93">
              <w:rPr>
                <w:rFonts w:ascii="Times New Roman" w:hAnsi="Times New Roman"/>
                <w:sz w:val="24"/>
                <w:szCs w:val="24"/>
              </w:rPr>
              <w:t>,</w:t>
            </w:r>
            <w:r w:rsidRPr="00385835">
              <w:rPr>
                <w:rFonts w:ascii="Times New Roman" w:hAnsi="Times New Roman"/>
                <w:sz w:val="24"/>
                <w:szCs w:val="24"/>
              </w:rPr>
              <w:t xml:space="preserve"> kuri bus naudojama MTEPI veiklų komercializavimui.</w:t>
            </w:r>
          </w:p>
          <w:p w:rsidR="00385835" w:rsidRPr="00385835" w:rsidRDefault="00385835" w:rsidP="009F05E4">
            <w:pPr>
              <w:spacing w:after="0" w:line="240" w:lineRule="auto"/>
              <w:ind w:firstLine="624"/>
              <w:jc w:val="both"/>
              <w:rPr>
                <w:rFonts w:ascii="Times New Roman" w:hAnsi="Times New Roman"/>
                <w:sz w:val="24"/>
                <w:szCs w:val="24"/>
              </w:rPr>
            </w:pPr>
            <w:r w:rsidRPr="00385835">
              <w:rPr>
                <w:rFonts w:ascii="Times New Roman" w:hAnsi="Times New Roman"/>
                <w:sz w:val="24"/>
                <w:szCs w:val="24"/>
              </w:rPr>
              <w:t>Visos planuojamos investicijos bus glaudžiai derinamos su verslo sektoriaus poreikiais, o investicijos MTEPI infrastruktūrai bus sutelkiamos į tokią infrastruktūrą, kuri reikaling</w:t>
            </w:r>
            <w:r w:rsidR="009F05E4">
              <w:rPr>
                <w:rFonts w:ascii="Times New Roman" w:hAnsi="Times New Roman"/>
                <w:sz w:val="24"/>
                <w:szCs w:val="24"/>
              </w:rPr>
              <w:t>a</w:t>
            </w:r>
            <w:r w:rsidRPr="00385835">
              <w:rPr>
                <w:rFonts w:ascii="Times New Roman" w:hAnsi="Times New Roman"/>
                <w:sz w:val="24"/>
                <w:szCs w:val="24"/>
              </w:rPr>
              <w:t xml:space="preserve"> naujų produktų kūrimui ir diegimui į rinką (kompetencijos centrai, žinių ir technologijų perdavimo, MTEPI rezultatų komercinimo centrai ir pan.). Taip pat bus kuriama būtina infrastruktūra, įgalinanti efektyvią eksperimentinę plėtrą ir didinanti komercializuojamų mokslinių tyrimų rezultatų apimtis, investuojama į infrastruktūrą skirtą Lietuvos įsitraukimui į europines infrastruktūras (ypač ESFRI) ir dalyvavimui tarptautinėse/regioninėse iniciatyvose reikalingą infrastruktūrą, kuri būtina siekiant sudaryti sąlygas Lietuvos tyrėjams naudotis geriausiomis Europos ir pasaulio MTEP infrastruktūromis</w:t>
            </w:r>
            <w:r w:rsidR="00622659">
              <w:rPr>
                <w:rFonts w:ascii="Times New Roman" w:hAnsi="Times New Roman"/>
                <w:sz w:val="24"/>
                <w:szCs w:val="24"/>
              </w:rPr>
              <w:t>,</w:t>
            </w:r>
            <w:r w:rsidRPr="00385835">
              <w:rPr>
                <w:rFonts w:ascii="Times New Roman" w:hAnsi="Times New Roman"/>
                <w:sz w:val="24"/>
                <w:szCs w:val="24"/>
              </w:rPr>
              <w:t xml:space="preserve"> atliekant mokslinius tyrimus ar kitą MTEP veiklą. Siekiant šių tikslų, kaip rekomenduoja Europos Komisija, bus konsoliduotos ne tik ESI fondų lėšos, bet ir pasinaudota kitomis iniciatyvomis, tokiomis kaip Horizontas 2020, ERC grantai ir nacionalinėmis lėšomis.</w:t>
            </w:r>
          </w:p>
        </w:tc>
      </w:tr>
    </w:tbl>
    <w:p w:rsidR="005E52CE" w:rsidRPr="00C652C2" w:rsidRDefault="005E52CE" w:rsidP="00C652C2">
      <w:pPr>
        <w:spacing w:after="0" w:line="240" w:lineRule="auto"/>
        <w:rPr>
          <w:rFonts w:ascii="Times New Roman" w:hAnsi="Times New Roman"/>
          <w:sz w:val="24"/>
          <w:szCs w:val="24"/>
        </w:rPr>
      </w:pP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567"/>
        <w:gridCol w:w="1560"/>
        <w:gridCol w:w="1134"/>
        <w:gridCol w:w="1134"/>
        <w:gridCol w:w="850"/>
        <w:gridCol w:w="992"/>
        <w:gridCol w:w="851"/>
        <w:gridCol w:w="1417"/>
        <w:gridCol w:w="1241"/>
      </w:tblGrid>
      <w:tr w:rsidR="00385835" w:rsidRPr="00385835" w:rsidTr="00385835">
        <w:trPr>
          <w:tblHeader/>
        </w:trPr>
        <w:tc>
          <w:tcPr>
            <w:tcW w:w="9746" w:type="dxa"/>
            <w:gridSpan w:val="9"/>
            <w:shd w:val="clear" w:color="auto" w:fill="EEECE1"/>
          </w:tcPr>
          <w:p w:rsidR="00385835" w:rsidRPr="00385835" w:rsidRDefault="00385835" w:rsidP="00DA04FC">
            <w:pPr>
              <w:widowControl w:val="0"/>
              <w:tabs>
                <w:tab w:val="left" w:pos="622"/>
              </w:tabs>
              <w:spacing w:after="0" w:line="240" w:lineRule="auto"/>
              <w:jc w:val="both"/>
              <w:rPr>
                <w:rFonts w:ascii="Times New Roman" w:eastAsia="AngsanaUPC" w:hAnsi="Times New Roman"/>
                <w:b/>
                <w:bCs/>
                <w:i/>
                <w:iCs/>
                <w:sz w:val="24"/>
                <w:szCs w:val="24"/>
                <w:lang w:eastAsia="lt-LT"/>
              </w:rPr>
            </w:pPr>
            <w:r w:rsidRPr="00385835">
              <w:rPr>
                <w:rFonts w:ascii="Times New Roman" w:eastAsia="AngsanaUPC" w:hAnsi="Times New Roman"/>
                <w:b/>
                <w:bCs/>
                <w:i/>
                <w:iCs/>
                <w:sz w:val="24"/>
                <w:szCs w:val="24"/>
                <w:lang w:eastAsia="lt-LT"/>
              </w:rPr>
              <w:t xml:space="preserve">ERPF </w:t>
            </w:r>
            <w:r w:rsidR="00DA04FC">
              <w:rPr>
                <w:rFonts w:ascii="Times New Roman" w:eastAsia="AngsanaUPC" w:hAnsi="Times New Roman"/>
                <w:b/>
                <w:bCs/>
                <w:i/>
                <w:iCs/>
                <w:sz w:val="24"/>
                <w:szCs w:val="24"/>
                <w:lang w:eastAsia="lt-LT"/>
              </w:rPr>
              <w:t>specialieji</w:t>
            </w:r>
            <w:r w:rsidR="00DA04FC" w:rsidRPr="00385835">
              <w:rPr>
                <w:rFonts w:ascii="Times New Roman" w:eastAsia="AngsanaUPC" w:hAnsi="Times New Roman"/>
                <w:b/>
                <w:bCs/>
                <w:i/>
                <w:iCs/>
                <w:sz w:val="24"/>
                <w:szCs w:val="24"/>
                <w:lang w:eastAsia="lt-LT"/>
              </w:rPr>
              <w:t xml:space="preserve"> </w:t>
            </w:r>
            <w:r w:rsidRPr="00385835">
              <w:rPr>
                <w:rFonts w:ascii="Times New Roman" w:eastAsia="AngsanaUPC" w:hAnsi="Times New Roman"/>
                <w:b/>
                <w:bCs/>
                <w:i/>
                <w:iCs/>
                <w:sz w:val="24"/>
                <w:szCs w:val="24"/>
                <w:lang w:eastAsia="lt-LT"/>
              </w:rPr>
              <w:t>programos rezultato rodikliai</w:t>
            </w:r>
          </w:p>
        </w:tc>
      </w:tr>
      <w:tr w:rsidR="00385835" w:rsidRPr="00385835" w:rsidTr="00385835">
        <w:tblPrEx>
          <w:shd w:val="clear" w:color="auto" w:fill="auto"/>
        </w:tblPrEx>
        <w:trPr>
          <w:trHeight w:val="868"/>
          <w:tblHeader/>
        </w:trPr>
        <w:tc>
          <w:tcPr>
            <w:tcW w:w="567"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Nr.</w:t>
            </w:r>
          </w:p>
        </w:tc>
        <w:tc>
          <w:tcPr>
            <w:tcW w:w="1560"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Rodiklio pavadinimas</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Matavimo vienetas</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Regiono kategorija</w:t>
            </w:r>
          </w:p>
        </w:tc>
        <w:tc>
          <w:tcPr>
            <w:tcW w:w="850"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 reikšmė</w:t>
            </w:r>
          </w:p>
        </w:tc>
        <w:tc>
          <w:tcPr>
            <w:tcW w:w="992"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Pradinės reikšmės metai</w:t>
            </w:r>
          </w:p>
        </w:tc>
        <w:tc>
          <w:tcPr>
            <w:tcW w:w="85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Siektina reikšmė (2023)</w:t>
            </w:r>
          </w:p>
        </w:tc>
        <w:tc>
          <w:tcPr>
            <w:tcW w:w="1417"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Duomenų šaltinis</w:t>
            </w:r>
          </w:p>
        </w:tc>
        <w:tc>
          <w:tcPr>
            <w:tcW w:w="124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Atsiskaitymo dažnumas</w:t>
            </w:r>
          </w:p>
        </w:tc>
      </w:tr>
      <w:tr w:rsidR="00385835" w:rsidRPr="00385835" w:rsidTr="005F38BD">
        <w:tblPrEx>
          <w:shd w:val="clear" w:color="auto" w:fill="auto"/>
        </w:tblPrEx>
        <w:trPr>
          <w:trHeight w:val="1245"/>
        </w:trPr>
        <w:tc>
          <w:tcPr>
            <w:tcW w:w="56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lastRenderedPageBreak/>
              <w:t>1.</w:t>
            </w:r>
          </w:p>
        </w:tc>
        <w:tc>
          <w:tcPr>
            <w:tcW w:w="1560" w:type="dxa"/>
            <w:shd w:val="clear" w:color="auto" w:fill="auto"/>
          </w:tcPr>
          <w:p w:rsidR="00385835" w:rsidRPr="00385835" w:rsidRDefault="00385835" w:rsidP="009421E5">
            <w:pPr>
              <w:widowControl w:val="0"/>
              <w:tabs>
                <w:tab w:val="left" w:pos="622"/>
              </w:tabs>
              <w:spacing w:after="0" w:line="240" w:lineRule="auto"/>
              <w:rPr>
                <w:rFonts w:ascii="Times New Roman" w:hAnsi="Times New Roman"/>
                <w:sz w:val="18"/>
                <w:szCs w:val="18"/>
              </w:rPr>
            </w:pPr>
            <w:r w:rsidRPr="00385835">
              <w:rPr>
                <w:rFonts w:ascii="Times New Roman" w:hAnsi="Times New Roman"/>
                <w:sz w:val="18"/>
                <w:szCs w:val="18"/>
              </w:rPr>
              <w:t xml:space="preserve">Išorės vartotojai iš ūkio subjektų, pasinaudoję atnaujinta atviros prieigos </w:t>
            </w:r>
            <w:r w:rsidR="009421E5">
              <w:rPr>
                <w:rFonts w:ascii="Times New Roman" w:hAnsi="Times New Roman"/>
                <w:sz w:val="18"/>
                <w:szCs w:val="18"/>
              </w:rPr>
              <w:t>MTEPI</w:t>
            </w:r>
            <w:r w:rsidRPr="00385835">
              <w:rPr>
                <w:rFonts w:ascii="Times New Roman" w:hAnsi="Times New Roman"/>
                <w:sz w:val="18"/>
                <w:szCs w:val="18"/>
              </w:rPr>
              <w:t xml:space="preserve"> infrastruktūra</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hAnsi="Times New Roman"/>
                <w:bCs/>
                <w:sz w:val="18"/>
                <w:szCs w:val="18"/>
                <w:lang w:eastAsia="lt-LT"/>
              </w:rPr>
              <w:t xml:space="preserve">Skaičius </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hAnsi="Times New Roman"/>
                <w:bCs/>
                <w:sz w:val="18"/>
                <w:szCs w:val="18"/>
                <w:lang w:eastAsia="lt-LT"/>
              </w:rPr>
              <w:t>Mažiau išsivystęs</w:t>
            </w:r>
          </w:p>
        </w:tc>
        <w:tc>
          <w:tcPr>
            <w:tcW w:w="850"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hAnsi="Times New Roman"/>
                <w:bCs/>
                <w:sz w:val="18"/>
                <w:szCs w:val="18"/>
                <w:lang w:eastAsia="lt-LT"/>
              </w:rPr>
              <w:t>273</w:t>
            </w:r>
          </w:p>
        </w:tc>
        <w:tc>
          <w:tcPr>
            <w:tcW w:w="992"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hAnsi="Times New Roman"/>
                <w:bCs/>
                <w:sz w:val="18"/>
                <w:szCs w:val="18"/>
                <w:lang w:eastAsia="lt-LT"/>
              </w:rPr>
              <w:t>2013</w:t>
            </w:r>
          </w:p>
        </w:tc>
        <w:tc>
          <w:tcPr>
            <w:tcW w:w="851" w:type="dxa"/>
            <w:shd w:val="clear" w:color="auto" w:fill="auto"/>
            <w:vAlign w:val="center"/>
          </w:tcPr>
          <w:p w:rsidR="00385835" w:rsidRPr="00385835" w:rsidRDefault="00385835" w:rsidP="00D90882">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hAnsi="Times New Roman"/>
                <w:bCs/>
                <w:iCs/>
                <w:sz w:val="18"/>
                <w:szCs w:val="18"/>
                <w:lang w:eastAsia="lt-LT"/>
              </w:rPr>
              <w:t>3</w:t>
            </w:r>
            <w:r w:rsidR="00D90882">
              <w:rPr>
                <w:rFonts w:ascii="Times New Roman" w:hAnsi="Times New Roman"/>
                <w:bCs/>
                <w:iCs/>
                <w:sz w:val="18"/>
                <w:szCs w:val="18"/>
                <w:lang w:eastAsia="lt-LT"/>
              </w:rPr>
              <w:t>.</w:t>
            </w:r>
            <w:r w:rsidRPr="00385835">
              <w:rPr>
                <w:rFonts w:ascii="Times New Roman" w:hAnsi="Times New Roman"/>
                <w:bCs/>
                <w:iCs/>
                <w:sz w:val="18"/>
                <w:szCs w:val="18"/>
                <w:lang w:eastAsia="lt-LT"/>
              </w:rPr>
              <w:t>000</w:t>
            </w:r>
          </w:p>
        </w:tc>
        <w:tc>
          <w:tcPr>
            <w:tcW w:w="141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hAnsi="Times New Roman"/>
                <w:bCs/>
                <w:iCs/>
                <w:sz w:val="18"/>
                <w:szCs w:val="18"/>
                <w:lang w:eastAsia="lt-LT"/>
              </w:rPr>
              <w:t>Mokslo, inovacijų ir technologijų agentūra</w:t>
            </w:r>
          </w:p>
        </w:tc>
        <w:tc>
          <w:tcPr>
            <w:tcW w:w="124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hAnsi="Times New Roman"/>
                <w:bCs/>
                <w:iCs/>
                <w:sz w:val="18"/>
                <w:szCs w:val="18"/>
                <w:lang w:eastAsia="lt-LT"/>
              </w:rPr>
              <w:t>Kartą per metus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385835" w:rsidRPr="00385835" w:rsidTr="00385835">
        <w:tc>
          <w:tcPr>
            <w:tcW w:w="9746" w:type="dxa"/>
            <w:tcBorders>
              <w:top w:val="single" w:sz="4" w:space="0" w:color="auto"/>
              <w:left w:val="single" w:sz="4" w:space="0" w:color="auto"/>
              <w:bottom w:val="single" w:sz="4" w:space="0" w:color="auto"/>
              <w:right w:val="single" w:sz="4" w:space="0" w:color="auto"/>
            </w:tcBorders>
            <w:shd w:val="clear" w:color="auto" w:fill="EEECE1"/>
          </w:tcPr>
          <w:p w:rsidR="00385835" w:rsidRPr="00385835" w:rsidRDefault="00385835" w:rsidP="00385835">
            <w:pPr>
              <w:widowControl w:val="0"/>
              <w:tabs>
                <w:tab w:val="left" w:pos="622"/>
                <w:tab w:val="left" w:pos="1665"/>
              </w:tabs>
              <w:spacing w:after="0" w:line="240" w:lineRule="auto"/>
              <w:jc w:val="both"/>
              <w:rPr>
                <w:rFonts w:ascii="Times New Roman" w:eastAsia="AngsanaUPC" w:hAnsi="Times New Roman"/>
                <w:bCs/>
                <w:iCs/>
                <w:sz w:val="24"/>
                <w:szCs w:val="24"/>
                <w:lang w:eastAsia="lt-LT"/>
              </w:rPr>
            </w:pPr>
            <w:r w:rsidRPr="00385835">
              <w:rPr>
                <w:rFonts w:ascii="Times New Roman" w:eastAsia="AngsanaUPC" w:hAnsi="Times New Roman"/>
                <w:b/>
                <w:bCs/>
                <w:i/>
                <w:iCs/>
                <w:sz w:val="24"/>
                <w:szCs w:val="24"/>
                <w:lang w:eastAsia="lt-LT"/>
              </w:rPr>
              <w:t>1.1. Investicinio prioriteto įgyvendinimo veiklos</w:t>
            </w:r>
          </w:p>
        </w:tc>
      </w:tr>
      <w:tr w:rsidR="00385835" w:rsidRPr="00385835" w:rsidTr="00385835">
        <w:tc>
          <w:tcPr>
            <w:tcW w:w="9746" w:type="dxa"/>
            <w:shd w:val="clear" w:color="auto" w:fill="auto"/>
          </w:tcPr>
          <w:p w:rsidR="00385835" w:rsidRPr="00385835" w:rsidRDefault="00385835" w:rsidP="00650E41">
            <w:pPr>
              <w:numPr>
                <w:ilvl w:val="0"/>
                <w:numId w:val="34"/>
              </w:numPr>
              <w:tabs>
                <w:tab w:val="left" w:pos="459"/>
              </w:tabs>
              <w:spacing w:after="0" w:line="240" w:lineRule="auto"/>
              <w:ind w:left="34"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Viešojo ir privataus sektorių bendradarbiavimą MTEPI srityje skatinančių padalinių (kompetencijos centrų, technologijų centrų) MTEPI infrastruktūros, ypač skirtos eksperimentinės plėtros veiklai ir jos rezultatų komercinimui, kūrimas, atnaujinimas ir plėtra.</w:t>
            </w:r>
          </w:p>
          <w:p w:rsidR="00385835" w:rsidRPr="00385835" w:rsidRDefault="00385835" w:rsidP="00650E41">
            <w:pPr>
              <w:widowControl w:val="0"/>
              <w:numPr>
                <w:ilvl w:val="0"/>
                <w:numId w:val="34"/>
              </w:numPr>
              <w:tabs>
                <w:tab w:val="left" w:pos="459"/>
                <w:tab w:val="left" w:pos="1665"/>
              </w:tabs>
              <w:spacing w:after="0" w:line="240" w:lineRule="auto"/>
              <w:ind w:left="34"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Europinių MTEPI infrastruktūrų kūrimas ir Lietuvos MTEPI infrastruktūrų integracija į Europos MT (ESFRI) infrastruktūras, vadovaujantis Lietuvos MT infrastruktūrų kelrodžiu bei ESFRI kelrodžiu, bendrų ir papildančių MTEPI infrastruktūrų sukūrimo projektų su kitomis ES šalimis narėmis vystymas</w:t>
            </w:r>
            <w:r w:rsidR="00F30AED">
              <w:rPr>
                <w:rFonts w:ascii="Times New Roman" w:eastAsia="AngsanaUPC" w:hAnsi="Times New Roman"/>
                <w:bCs/>
                <w:iCs/>
                <w:sz w:val="24"/>
                <w:szCs w:val="24"/>
                <w:lang w:eastAsia="lt-LT"/>
              </w:rPr>
              <w:t>,</w:t>
            </w:r>
            <w:r w:rsidRPr="00385835">
              <w:rPr>
                <w:rFonts w:ascii="Times New Roman" w:eastAsia="AngsanaUPC" w:hAnsi="Times New Roman"/>
                <w:bCs/>
                <w:iCs/>
                <w:sz w:val="24"/>
                <w:szCs w:val="24"/>
                <w:lang w:eastAsia="lt-LT"/>
              </w:rPr>
              <w:t xml:space="preserve"> siekiant išvengti besidubliuojančių investicijų į vienodą MT infrastruktūrą. Taip pat infrastuktūros, reikalingos dalyvavimui tarptautinėse MTEPI iniciatyvose, tokiose kaip Horizontas 2020, ES Baltijos jūros regiono strategija ir kt., atnaujinimas ir plėtra.</w:t>
            </w:r>
          </w:p>
          <w:p w:rsidR="00385835" w:rsidRPr="00385835" w:rsidRDefault="00385835" w:rsidP="00650E41">
            <w:pPr>
              <w:widowControl w:val="0"/>
              <w:numPr>
                <w:ilvl w:val="0"/>
                <w:numId w:val="32"/>
              </w:numPr>
              <w:tabs>
                <w:tab w:val="left" w:pos="459"/>
                <w:tab w:val="left" w:pos="1665"/>
              </w:tabs>
              <w:spacing w:after="0" w:line="240" w:lineRule="auto"/>
              <w:ind w:left="34"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Sumanios specializacijos strategijos prioritetų įgyvendinimui būtinos MTEPI infrastruktūros atnaujinimas ir plėtra, įskaitant MTEPI veiklų efektyvinimui skirtų netechnologinių sprendinių, kūrimą ir diegimą:</w:t>
            </w:r>
          </w:p>
          <w:p w:rsidR="00385835" w:rsidRPr="00385835" w:rsidRDefault="00385835" w:rsidP="00650E41">
            <w:pPr>
              <w:widowControl w:val="0"/>
              <w:numPr>
                <w:ilvl w:val="0"/>
                <w:numId w:val="33"/>
              </w:numPr>
              <w:tabs>
                <w:tab w:val="left" w:pos="459"/>
                <w:tab w:val="left" w:pos="622"/>
                <w:tab w:val="left" w:pos="1665"/>
              </w:tabs>
              <w:spacing w:after="0" w:line="240" w:lineRule="auto"/>
              <w:ind w:left="34" w:firstLine="425"/>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Sumanios specializacijos strategijos prioritetus atitinkančiose srityse mokslinius tyrimus vykdančių pavyzdinių mokslo (ekscelencijos) centrų ir paralelinių laboratorijų infrastruktūros tobulinimas;</w:t>
            </w:r>
          </w:p>
          <w:p w:rsidR="00385835" w:rsidRPr="00385835" w:rsidRDefault="00385835" w:rsidP="00650E41">
            <w:pPr>
              <w:widowControl w:val="0"/>
              <w:numPr>
                <w:ilvl w:val="0"/>
                <w:numId w:val="33"/>
              </w:numPr>
              <w:tabs>
                <w:tab w:val="left" w:pos="459"/>
                <w:tab w:val="left" w:pos="622"/>
                <w:tab w:val="left" w:pos="1665"/>
              </w:tabs>
              <w:spacing w:after="0" w:line="240" w:lineRule="auto"/>
              <w:ind w:left="34" w:firstLine="425"/>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Investicijos į įrangą, naudojamą atviros prieigos centruose sumanios specializacijos strategijoje išskirtų technologijų ir procesų vystymui;</w:t>
            </w:r>
          </w:p>
          <w:p w:rsidR="00385835" w:rsidRPr="00385835" w:rsidRDefault="00385835" w:rsidP="00650E41">
            <w:pPr>
              <w:widowControl w:val="0"/>
              <w:numPr>
                <w:ilvl w:val="0"/>
                <w:numId w:val="33"/>
              </w:numPr>
              <w:tabs>
                <w:tab w:val="left" w:pos="459"/>
                <w:tab w:val="left" w:pos="622"/>
                <w:tab w:val="left" w:pos="1665"/>
              </w:tabs>
              <w:spacing w:after="0" w:line="240" w:lineRule="auto"/>
              <w:ind w:left="34" w:firstLine="425"/>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Mokslo ir studijų institucijų infrastruktūros atnaujinimas sumanios specializacijos srityje;</w:t>
            </w:r>
          </w:p>
          <w:p w:rsidR="00385835" w:rsidRPr="00385835" w:rsidRDefault="00385835" w:rsidP="00650E41">
            <w:pPr>
              <w:widowControl w:val="0"/>
              <w:numPr>
                <w:ilvl w:val="0"/>
                <w:numId w:val="34"/>
              </w:numPr>
              <w:tabs>
                <w:tab w:val="left" w:pos="459"/>
                <w:tab w:val="left" w:pos="1665"/>
              </w:tabs>
              <w:spacing w:after="0" w:line="240" w:lineRule="auto"/>
              <w:ind w:left="34"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Investicijos į MTEPI veiklai vykdyti reikalingų elektroninių išteklių (publikacijų duomenų bazių, saugyklų ir kt.) prieinamumo užtikrinimą ir informacinės, komunikacinės ir mokslo populiarinimo infrastruktūros (įskaitant</w:t>
            </w:r>
            <w:r w:rsidRPr="00385835">
              <w:rPr>
                <w:rFonts w:ascii="Times New Roman" w:hAnsi="Times New Roman"/>
                <w:sz w:val="24"/>
                <w:szCs w:val="24"/>
              </w:rPr>
              <w:t xml:space="preserve"> G</w:t>
            </w:r>
            <w:r w:rsidRPr="00385835">
              <w:rPr>
                <w:rFonts w:ascii="Times New Roman" w:eastAsia="AngsanaUPC" w:hAnsi="Times New Roman"/>
                <w:bCs/>
                <w:iCs/>
                <w:sz w:val="24"/>
                <w:szCs w:val="24"/>
                <w:lang w:eastAsia="lt-LT"/>
              </w:rPr>
              <w:t>amtos mokslų laboratorijų kūrimą ir gamtos mokslų mokymo aplinkos atnaujinimą švietimo institucijose, informacinius tinklus, IRT ir licencijas ir kt.) plėtra.</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4"/>
          <w:highlight w:val="yellow"/>
          <w:lang w:eastAsia="lt-LT"/>
        </w:rPr>
      </w:pP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567"/>
        <w:gridCol w:w="2694"/>
        <w:gridCol w:w="1275"/>
        <w:gridCol w:w="851"/>
        <w:gridCol w:w="1134"/>
        <w:gridCol w:w="850"/>
        <w:gridCol w:w="1134"/>
        <w:gridCol w:w="1241"/>
      </w:tblGrid>
      <w:tr w:rsidR="00385835" w:rsidRPr="00385835" w:rsidTr="00385835">
        <w:trPr>
          <w:tblHeader/>
        </w:trPr>
        <w:tc>
          <w:tcPr>
            <w:tcW w:w="9746" w:type="dxa"/>
            <w:gridSpan w:val="8"/>
            <w:shd w:val="clear" w:color="auto" w:fill="EEECE1"/>
          </w:tcPr>
          <w:p w:rsidR="00385835" w:rsidRPr="00385835" w:rsidRDefault="00385835" w:rsidP="00DA04FC">
            <w:pPr>
              <w:widowControl w:val="0"/>
              <w:tabs>
                <w:tab w:val="left" w:pos="622"/>
              </w:tabs>
              <w:spacing w:after="0" w:line="240" w:lineRule="auto"/>
              <w:jc w:val="both"/>
              <w:rPr>
                <w:rFonts w:ascii="Times New Roman" w:eastAsia="AngsanaUPC" w:hAnsi="Times New Roman"/>
                <w:b/>
                <w:bCs/>
                <w:i/>
                <w:iCs/>
                <w:sz w:val="24"/>
                <w:szCs w:val="24"/>
                <w:lang w:eastAsia="lt-LT"/>
              </w:rPr>
            </w:pPr>
            <w:r w:rsidRPr="00385835">
              <w:rPr>
                <w:rFonts w:ascii="Times New Roman" w:eastAsia="AngsanaUPC" w:hAnsi="Times New Roman"/>
                <w:b/>
                <w:bCs/>
                <w:i/>
                <w:iCs/>
                <w:sz w:val="24"/>
                <w:szCs w:val="24"/>
                <w:lang w:eastAsia="lt-LT"/>
              </w:rPr>
              <w:t xml:space="preserve">ERPF bendrieji ir </w:t>
            </w:r>
            <w:r w:rsidR="00DA04FC">
              <w:rPr>
                <w:rFonts w:ascii="Times New Roman" w:eastAsia="AngsanaUPC" w:hAnsi="Times New Roman"/>
                <w:b/>
                <w:bCs/>
                <w:i/>
                <w:iCs/>
                <w:sz w:val="24"/>
                <w:szCs w:val="24"/>
                <w:lang w:eastAsia="lt-LT"/>
              </w:rPr>
              <w:t xml:space="preserve">specialieji </w:t>
            </w:r>
            <w:r w:rsidRPr="00385835">
              <w:rPr>
                <w:rFonts w:ascii="Times New Roman" w:eastAsia="AngsanaUPC" w:hAnsi="Times New Roman"/>
                <w:b/>
                <w:bCs/>
                <w:i/>
                <w:iCs/>
                <w:sz w:val="24"/>
                <w:szCs w:val="24"/>
                <w:lang w:eastAsia="lt-LT"/>
              </w:rPr>
              <w:t xml:space="preserve">programos produkto rodikliai </w:t>
            </w:r>
          </w:p>
        </w:tc>
      </w:tr>
      <w:tr w:rsidR="00385835" w:rsidRPr="00385835" w:rsidTr="005E52CE">
        <w:tblPrEx>
          <w:shd w:val="clear" w:color="auto" w:fill="auto"/>
        </w:tblPrEx>
        <w:trPr>
          <w:tblHeader/>
        </w:trPr>
        <w:tc>
          <w:tcPr>
            <w:tcW w:w="567"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Nr.</w:t>
            </w:r>
          </w:p>
        </w:tc>
        <w:tc>
          <w:tcPr>
            <w:tcW w:w="269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Rodiklio pavadinimas</w:t>
            </w:r>
          </w:p>
        </w:tc>
        <w:tc>
          <w:tcPr>
            <w:tcW w:w="1275"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Matavimo vienetas</w:t>
            </w:r>
          </w:p>
        </w:tc>
        <w:tc>
          <w:tcPr>
            <w:tcW w:w="85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Fondas</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Regiono kategorija</w:t>
            </w:r>
          </w:p>
        </w:tc>
        <w:tc>
          <w:tcPr>
            <w:tcW w:w="850"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Siektina reikšmė (2023)</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Duomenų šaltinis</w:t>
            </w:r>
          </w:p>
        </w:tc>
        <w:tc>
          <w:tcPr>
            <w:tcW w:w="124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Atsiskaitymo dažnumas</w:t>
            </w:r>
          </w:p>
        </w:tc>
      </w:tr>
      <w:tr w:rsidR="00385835" w:rsidRPr="00385835" w:rsidTr="005E52CE">
        <w:tblPrEx>
          <w:shd w:val="clear" w:color="auto" w:fill="auto"/>
        </w:tblPrEx>
        <w:tc>
          <w:tcPr>
            <w:tcW w:w="56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bCs/>
                <w:iCs/>
                <w:sz w:val="18"/>
                <w:szCs w:val="18"/>
                <w:lang w:eastAsia="lt-LT"/>
              </w:rPr>
            </w:pPr>
            <w:r w:rsidRPr="00385835">
              <w:rPr>
                <w:rFonts w:ascii="Times New Roman" w:hAnsi="Times New Roman"/>
                <w:bCs/>
                <w:iCs/>
                <w:sz w:val="18"/>
                <w:szCs w:val="18"/>
                <w:lang w:eastAsia="lt-LT"/>
              </w:rPr>
              <w:t>1.</w:t>
            </w:r>
          </w:p>
        </w:tc>
        <w:tc>
          <w:tcPr>
            <w:tcW w:w="2694" w:type="dxa"/>
            <w:shd w:val="clear" w:color="auto" w:fill="auto"/>
            <w:vAlign w:val="center"/>
          </w:tcPr>
          <w:p w:rsidR="00385835" w:rsidRPr="00385835" w:rsidRDefault="00385835" w:rsidP="009421E5">
            <w:pPr>
              <w:widowControl w:val="0"/>
              <w:tabs>
                <w:tab w:val="left" w:pos="622"/>
              </w:tabs>
              <w:spacing w:after="0" w:line="240" w:lineRule="auto"/>
              <w:rPr>
                <w:rFonts w:ascii="Times New Roman" w:hAnsi="Times New Roman"/>
                <w:bCs/>
                <w:iCs/>
                <w:sz w:val="18"/>
                <w:szCs w:val="18"/>
                <w:lang w:eastAsia="lt-LT"/>
              </w:rPr>
            </w:pPr>
            <w:r w:rsidRPr="00385835">
              <w:rPr>
                <w:rFonts w:ascii="Times New Roman" w:hAnsi="Times New Roman"/>
                <w:iCs/>
                <w:color w:val="000000"/>
                <w:sz w:val="18"/>
                <w:szCs w:val="18"/>
                <w:lang w:eastAsia="lt-LT"/>
              </w:rPr>
              <w:t>Tyrėjų, dirbančių pagerintoje tyrimų infrastruktūros bazėje, skaičius</w:t>
            </w:r>
          </w:p>
        </w:tc>
        <w:tc>
          <w:tcPr>
            <w:tcW w:w="1275"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bCs/>
                <w:iCs/>
                <w:sz w:val="18"/>
                <w:szCs w:val="18"/>
                <w:lang w:eastAsia="lt-LT"/>
              </w:rPr>
            </w:pPr>
            <w:r w:rsidRPr="00385835">
              <w:rPr>
                <w:rFonts w:ascii="Times New Roman" w:hAnsi="Times New Roman"/>
                <w:bCs/>
                <w:iCs/>
                <w:sz w:val="18"/>
                <w:szCs w:val="18"/>
                <w:lang w:eastAsia="lt-LT"/>
              </w:rPr>
              <w:t>Visos darbo dienos ekvivalentai</w:t>
            </w:r>
          </w:p>
        </w:tc>
        <w:tc>
          <w:tcPr>
            <w:tcW w:w="85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bCs/>
                <w:iCs/>
                <w:sz w:val="18"/>
                <w:szCs w:val="18"/>
                <w:lang w:eastAsia="lt-LT"/>
              </w:rPr>
            </w:pPr>
            <w:r w:rsidRPr="00385835">
              <w:rPr>
                <w:rFonts w:ascii="Times New Roman" w:hAnsi="Times New Roman"/>
                <w:bCs/>
                <w:iCs/>
                <w:sz w:val="18"/>
                <w:szCs w:val="18"/>
                <w:lang w:eastAsia="lt-LT"/>
              </w:rPr>
              <w:t>ERPF</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bCs/>
                <w:iCs/>
                <w:sz w:val="18"/>
                <w:szCs w:val="18"/>
                <w:lang w:eastAsia="lt-LT"/>
              </w:rPr>
            </w:pPr>
            <w:r w:rsidRPr="00385835">
              <w:rPr>
                <w:rFonts w:ascii="Times New Roman" w:hAnsi="Times New Roman"/>
                <w:bCs/>
                <w:iCs/>
                <w:sz w:val="18"/>
                <w:szCs w:val="18"/>
                <w:lang w:eastAsia="lt-LT"/>
              </w:rPr>
              <w:t>Mažiau išsivystęs</w:t>
            </w:r>
          </w:p>
        </w:tc>
        <w:tc>
          <w:tcPr>
            <w:tcW w:w="850"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bCs/>
                <w:iCs/>
                <w:sz w:val="18"/>
                <w:szCs w:val="18"/>
                <w:lang w:eastAsia="lt-LT"/>
              </w:rPr>
            </w:pPr>
            <w:r w:rsidRPr="00385835">
              <w:rPr>
                <w:rFonts w:ascii="Times New Roman" w:hAnsi="Times New Roman"/>
                <w:bCs/>
                <w:iCs/>
                <w:sz w:val="18"/>
                <w:szCs w:val="18"/>
                <w:lang w:eastAsia="lt-LT"/>
              </w:rPr>
              <w:t>370</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bCs/>
                <w:iCs/>
                <w:sz w:val="18"/>
                <w:szCs w:val="18"/>
                <w:lang w:eastAsia="lt-LT"/>
              </w:rPr>
            </w:pPr>
            <w:r w:rsidRPr="00385835">
              <w:rPr>
                <w:rFonts w:ascii="Times New Roman" w:hAnsi="Times New Roman"/>
                <w:sz w:val="18"/>
                <w:szCs w:val="18"/>
              </w:rPr>
              <w:t>Duomenys iš projektų</w:t>
            </w:r>
          </w:p>
        </w:tc>
        <w:tc>
          <w:tcPr>
            <w:tcW w:w="124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bCs/>
                <w:iCs/>
                <w:sz w:val="18"/>
                <w:szCs w:val="18"/>
                <w:lang w:eastAsia="lt-LT"/>
              </w:rPr>
            </w:pPr>
            <w:r w:rsidRPr="00385835">
              <w:rPr>
                <w:rFonts w:ascii="Times New Roman" w:hAnsi="Times New Roman"/>
                <w:bCs/>
                <w:iCs/>
                <w:sz w:val="18"/>
                <w:szCs w:val="18"/>
                <w:lang w:eastAsia="lt-LT"/>
              </w:rPr>
              <w:t>Kartą per metus</w:t>
            </w:r>
          </w:p>
        </w:tc>
      </w:tr>
      <w:tr w:rsidR="00385835" w:rsidRPr="00385835" w:rsidTr="005E52CE">
        <w:tblPrEx>
          <w:shd w:val="clear" w:color="auto" w:fill="auto"/>
        </w:tblPrEx>
        <w:tc>
          <w:tcPr>
            <w:tcW w:w="56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w:t>
            </w:r>
          </w:p>
        </w:tc>
        <w:tc>
          <w:tcPr>
            <w:tcW w:w="2694" w:type="dxa"/>
            <w:shd w:val="clear" w:color="auto" w:fill="auto"/>
            <w:vAlign w:val="center"/>
          </w:tcPr>
          <w:p w:rsidR="00385835" w:rsidRPr="00385835" w:rsidRDefault="00385835" w:rsidP="009421E5">
            <w:pPr>
              <w:widowControl w:val="0"/>
              <w:tabs>
                <w:tab w:val="left" w:pos="622"/>
              </w:tabs>
              <w:spacing w:after="0" w:line="240" w:lineRule="auto"/>
              <w:rPr>
                <w:rFonts w:ascii="Times New Roman" w:hAnsi="Times New Roman"/>
                <w:sz w:val="18"/>
                <w:szCs w:val="18"/>
              </w:rPr>
            </w:pPr>
            <w:r w:rsidRPr="00385835">
              <w:rPr>
                <w:rFonts w:ascii="Times New Roman" w:hAnsi="Times New Roman"/>
                <w:iCs/>
                <w:sz w:val="18"/>
                <w:szCs w:val="18"/>
                <w:lang w:eastAsia="lt-LT"/>
              </w:rPr>
              <w:t xml:space="preserve">Tarptautinės </w:t>
            </w:r>
            <w:r w:rsidR="009421E5">
              <w:rPr>
                <w:rFonts w:ascii="Times New Roman" w:hAnsi="Times New Roman"/>
                <w:iCs/>
                <w:sz w:val="18"/>
                <w:szCs w:val="18"/>
                <w:lang w:eastAsia="lt-LT"/>
              </w:rPr>
              <w:t>MTEPI</w:t>
            </w:r>
            <w:r w:rsidR="00444DE5">
              <w:rPr>
                <w:rFonts w:ascii="Times New Roman" w:hAnsi="Times New Roman"/>
                <w:iCs/>
                <w:sz w:val="18"/>
                <w:szCs w:val="18"/>
                <w:lang w:eastAsia="lt-LT"/>
              </w:rPr>
              <w:t xml:space="preserve"> infrastruktūros, kurios</w:t>
            </w:r>
            <w:r w:rsidRPr="00385835">
              <w:rPr>
                <w:rFonts w:ascii="Times New Roman" w:hAnsi="Times New Roman"/>
                <w:iCs/>
                <w:sz w:val="18"/>
                <w:szCs w:val="18"/>
                <w:lang w:eastAsia="lt-LT"/>
              </w:rPr>
              <w:t xml:space="preserve"> narė yra Lietuva</w:t>
            </w:r>
          </w:p>
        </w:tc>
        <w:tc>
          <w:tcPr>
            <w:tcW w:w="1275"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hAnsi="Times New Roman"/>
                <w:bCs/>
                <w:iCs/>
                <w:sz w:val="18"/>
                <w:szCs w:val="18"/>
                <w:lang w:eastAsia="lt-LT"/>
              </w:rPr>
              <w:t>Skaičius</w:t>
            </w:r>
          </w:p>
        </w:tc>
        <w:tc>
          <w:tcPr>
            <w:tcW w:w="85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hAnsi="Times New Roman"/>
                <w:bCs/>
                <w:iCs/>
                <w:sz w:val="18"/>
                <w:szCs w:val="18"/>
                <w:lang w:eastAsia="lt-LT"/>
              </w:rPr>
              <w:t>ERPF</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18"/>
                <w:szCs w:val="18"/>
                <w:lang w:eastAsia="lt-LT"/>
              </w:rPr>
            </w:pPr>
            <w:r w:rsidRPr="00385835">
              <w:rPr>
                <w:rFonts w:ascii="Times New Roman" w:hAnsi="Times New Roman"/>
                <w:bCs/>
                <w:sz w:val="18"/>
                <w:szCs w:val="18"/>
                <w:lang w:eastAsia="lt-LT"/>
              </w:rPr>
              <w:t>Mažiau išsivystęs</w:t>
            </w:r>
          </w:p>
        </w:tc>
        <w:tc>
          <w:tcPr>
            <w:tcW w:w="850"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hAnsi="Times New Roman"/>
                <w:bCs/>
                <w:iCs/>
                <w:sz w:val="18"/>
                <w:szCs w:val="18"/>
                <w:lang w:eastAsia="lt-LT"/>
              </w:rPr>
              <w:t>4</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hAnsi="Times New Roman"/>
                <w:bCs/>
                <w:iCs/>
                <w:sz w:val="18"/>
                <w:szCs w:val="18"/>
                <w:lang w:eastAsia="lt-LT"/>
              </w:rPr>
              <w:t>Duomenys iš projektų</w:t>
            </w:r>
          </w:p>
        </w:tc>
        <w:tc>
          <w:tcPr>
            <w:tcW w:w="124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hAnsi="Times New Roman"/>
                <w:bCs/>
                <w:iCs/>
                <w:sz w:val="18"/>
                <w:szCs w:val="18"/>
                <w:lang w:eastAsia="lt-LT"/>
              </w:rPr>
              <w:t>Kartą per metus</w:t>
            </w:r>
          </w:p>
        </w:tc>
      </w:tr>
      <w:tr w:rsidR="00385835" w:rsidRPr="00385835" w:rsidTr="005E52CE">
        <w:tblPrEx>
          <w:shd w:val="clear" w:color="auto" w:fill="auto"/>
        </w:tblPrEx>
        <w:tc>
          <w:tcPr>
            <w:tcW w:w="567" w:type="dxa"/>
            <w:shd w:val="clear" w:color="auto" w:fill="auto"/>
            <w:vAlign w:val="center"/>
          </w:tcPr>
          <w:p w:rsidR="00385835" w:rsidRPr="00385835" w:rsidDel="00C158A0"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3.</w:t>
            </w:r>
          </w:p>
        </w:tc>
        <w:tc>
          <w:tcPr>
            <w:tcW w:w="2694" w:type="dxa"/>
            <w:shd w:val="clear" w:color="auto" w:fill="auto"/>
            <w:vAlign w:val="center"/>
          </w:tcPr>
          <w:p w:rsidR="00385835" w:rsidRPr="00385835" w:rsidRDefault="00385835" w:rsidP="009421E5">
            <w:pPr>
              <w:widowControl w:val="0"/>
              <w:tabs>
                <w:tab w:val="left" w:pos="622"/>
              </w:tabs>
              <w:spacing w:after="0" w:line="240" w:lineRule="auto"/>
              <w:rPr>
                <w:rFonts w:ascii="Times New Roman" w:hAnsi="Times New Roman"/>
                <w:iCs/>
                <w:sz w:val="18"/>
                <w:szCs w:val="18"/>
                <w:lang w:eastAsia="lt-LT"/>
              </w:rPr>
            </w:pPr>
            <w:r w:rsidRPr="00385835">
              <w:rPr>
                <w:rFonts w:ascii="Times New Roman" w:hAnsi="Times New Roman"/>
                <w:iCs/>
                <w:sz w:val="18"/>
                <w:szCs w:val="18"/>
                <w:lang w:eastAsia="lt-LT"/>
              </w:rPr>
              <w:t xml:space="preserve">Privataus sektoriaus tyrėjų, pasinaudojusių pagerinta </w:t>
            </w:r>
            <w:r w:rsidR="009421E5">
              <w:rPr>
                <w:rFonts w:ascii="Times New Roman" w:hAnsi="Times New Roman"/>
                <w:iCs/>
                <w:sz w:val="18"/>
                <w:szCs w:val="18"/>
                <w:lang w:eastAsia="lt-LT"/>
              </w:rPr>
              <w:t>MTEPI</w:t>
            </w:r>
            <w:r w:rsidRPr="00385835">
              <w:rPr>
                <w:rFonts w:ascii="Times New Roman" w:hAnsi="Times New Roman"/>
                <w:iCs/>
                <w:sz w:val="18"/>
                <w:szCs w:val="18"/>
                <w:lang w:eastAsia="lt-LT"/>
              </w:rPr>
              <w:t xml:space="preserve"> infrastruktūros baze, skaičius</w:t>
            </w:r>
          </w:p>
        </w:tc>
        <w:tc>
          <w:tcPr>
            <w:tcW w:w="1275"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bCs/>
                <w:iCs/>
                <w:sz w:val="18"/>
                <w:szCs w:val="18"/>
                <w:lang w:eastAsia="lt-LT"/>
              </w:rPr>
            </w:pPr>
            <w:r w:rsidRPr="00385835">
              <w:rPr>
                <w:rFonts w:ascii="Times New Roman" w:hAnsi="Times New Roman"/>
                <w:bCs/>
                <w:iCs/>
                <w:sz w:val="18"/>
                <w:szCs w:val="18"/>
                <w:lang w:eastAsia="lt-LT"/>
              </w:rPr>
              <w:t>Asmenys</w:t>
            </w:r>
          </w:p>
        </w:tc>
        <w:tc>
          <w:tcPr>
            <w:tcW w:w="85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bCs/>
                <w:iCs/>
                <w:sz w:val="18"/>
                <w:szCs w:val="18"/>
                <w:lang w:eastAsia="lt-LT"/>
              </w:rPr>
            </w:pPr>
            <w:r w:rsidRPr="00385835">
              <w:rPr>
                <w:rFonts w:ascii="Times New Roman" w:hAnsi="Times New Roman"/>
                <w:bCs/>
                <w:iCs/>
                <w:sz w:val="18"/>
                <w:szCs w:val="18"/>
                <w:lang w:eastAsia="lt-LT"/>
              </w:rPr>
              <w:t>ERPF</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bCs/>
                <w:sz w:val="18"/>
                <w:szCs w:val="18"/>
                <w:lang w:eastAsia="lt-LT"/>
              </w:rPr>
            </w:pPr>
            <w:r w:rsidRPr="00385835">
              <w:rPr>
                <w:rFonts w:ascii="Times New Roman" w:hAnsi="Times New Roman"/>
                <w:bCs/>
                <w:sz w:val="18"/>
                <w:szCs w:val="18"/>
                <w:lang w:eastAsia="lt-LT"/>
              </w:rPr>
              <w:t>Mažiau išsivystęs</w:t>
            </w:r>
          </w:p>
        </w:tc>
        <w:tc>
          <w:tcPr>
            <w:tcW w:w="850" w:type="dxa"/>
            <w:shd w:val="clear" w:color="auto" w:fill="auto"/>
            <w:vAlign w:val="center"/>
          </w:tcPr>
          <w:p w:rsidR="00385835" w:rsidRPr="00891769" w:rsidDel="00C158A0" w:rsidRDefault="005F6EE3" w:rsidP="00385835">
            <w:pPr>
              <w:widowControl w:val="0"/>
              <w:tabs>
                <w:tab w:val="left" w:pos="622"/>
              </w:tabs>
              <w:spacing w:after="0" w:line="240" w:lineRule="auto"/>
              <w:jc w:val="center"/>
              <w:rPr>
                <w:rFonts w:ascii="Times New Roman" w:hAnsi="Times New Roman"/>
                <w:bCs/>
                <w:iCs/>
                <w:sz w:val="18"/>
                <w:szCs w:val="18"/>
                <w:lang w:eastAsia="lt-LT"/>
              </w:rPr>
            </w:pPr>
            <w:r w:rsidRPr="00891769">
              <w:rPr>
                <w:rFonts w:ascii="Times New Roman" w:hAnsi="Times New Roman"/>
                <w:bCs/>
                <w:iCs/>
                <w:sz w:val="18"/>
                <w:szCs w:val="18"/>
                <w:lang w:eastAsia="lt-LT"/>
              </w:rPr>
              <w:t>85</w:t>
            </w:r>
          </w:p>
        </w:tc>
        <w:tc>
          <w:tcPr>
            <w:tcW w:w="1134" w:type="dxa"/>
            <w:shd w:val="clear" w:color="auto" w:fill="auto"/>
            <w:vAlign w:val="center"/>
          </w:tcPr>
          <w:p w:rsidR="00385835" w:rsidRPr="00891769" w:rsidRDefault="00385835" w:rsidP="00385835">
            <w:pPr>
              <w:widowControl w:val="0"/>
              <w:tabs>
                <w:tab w:val="left" w:pos="622"/>
              </w:tabs>
              <w:spacing w:after="0" w:line="240" w:lineRule="auto"/>
              <w:jc w:val="center"/>
              <w:rPr>
                <w:rFonts w:ascii="Times New Roman" w:hAnsi="Times New Roman"/>
                <w:bCs/>
                <w:iCs/>
                <w:sz w:val="18"/>
                <w:szCs w:val="18"/>
                <w:lang w:eastAsia="lt-LT"/>
              </w:rPr>
            </w:pPr>
            <w:r w:rsidRPr="00891769">
              <w:rPr>
                <w:rFonts w:ascii="Times New Roman" w:hAnsi="Times New Roman"/>
                <w:bCs/>
                <w:iCs/>
                <w:sz w:val="18"/>
                <w:szCs w:val="18"/>
                <w:lang w:eastAsia="lt-LT"/>
              </w:rPr>
              <w:t>Duomenys iš projektų</w:t>
            </w:r>
          </w:p>
        </w:tc>
        <w:tc>
          <w:tcPr>
            <w:tcW w:w="124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bCs/>
                <w:iCs/>
                <w:sz w:val="18"/>
                <w:szCs w:val="18"/>
                <w:lang w:eastAsia="lt-LT"/>
              </w:rPr>
            </w:pPr>
            <w:r w:rsidRPr="00385835">
              <w:rPr>
                <w:rFonts w:ascii="Times New Roman" w:hAnsi="Times New Roman"/>
                <w:bCs/>
                <w:iCs/>
                <w:sz w:val="18"/>
                <w:szCs w:val="18"/>
                <w:lang w:eastAsia="lt-LT"/>
              </w:rPr>
              <w:t>Kartą per metus</w:t>
            </w:r>
          </w:p>
        </w:tc>
      </w:tr>
    </w:tbl>
    <w:p w:rsidR="00E70E83" w:rsidRDefault="00E70E83" w:rsidP="00385835">
      <w:pPr>
        <w:spacing w:after="0" w:line="240" w:lineRule="auto"/>
        <w:rPr>
          <w:rFonts w:ascii="Times New Roman" w:hAnsi="Times New Roman"/>
          <w:sz w:val="24"/>
          <w:szCs w:val="24"/>
        </w:rPr>
      </w:pPr>
    </w:p>
    <w:p w:rsidR="00385835" w:rsidRDefault="00E70E83" w:rsidP="00385835">
      <w:pPr>
        <w:spacing w:after="0" w:line="240" w:lineRule="auto"/>
        <w:rPr>
          <w:rFonts w:ascii="Times New Roman" w:hAnsi="Times New Roman"/>
          <w:sz w:val="24"/>
          <w:szCs w:val="24"/>
        </w:rPr>
      </w:pPr>
      <w:r>
        <w:rPr>
          <w:rFonts w:ascii="Times New Roman" w:hAnsi="Times New Roman"/>
          <w:sz w:val="24"/>
          <w:szCs w:val="24"/>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05"/>
        <w:gridCol w:w="7284"/>
      </w:tblGrid>
      <w:tr w:rsidR="00385835" w:rsidRPr="00385835" w:rsidTr="00385835">
        <w:tc>
          <w:tcPr>
            <w:tcW w:w="2405" w:type="dxa"/>
            <w:shd w:val="clear" w:color="auto" w:fill="EEECE1"/>
            <w:vAlign w:val="center"/>
          </w:tcPr>
          <w:p w:rsidR="00385835" w:rsidRPr="00385835" w:rsidRDefault="00E70E83" w:rsidP="00385835">
            <w:pPr>
              <w:widowControl w:val="0"/>
              <w:tabs>
                <w:tab w:val="left" w:pos="622"/>
              </w:tabs>
              <w:spacing w:after="0" w:line="240" w:lineRule="auto"/>
              <w:rPr>
                <w:rFonts w:ascii="Times New Roman" w:eastAsia="AngsanaUPC" w:hAnsi="Times New Roman"/>
                <w:b/>
                <w:bCs/>
                <w:iCs/>
                <w:sz w:val="24"/>
                <w:szCs w:val="24"/>
                <w:lang w:eastAsia="lt-LT"/>
              </w:rPr>
            </w:pPr>
            <w:r>
              <w:rPr>
                <w:rFonts w:ascii="Times New Roman" w:hAnsi="Times New Roman"/>
                <w:sz w:val="24"/>
                <w:szCs w:val="24"/>
              </w:rPr>
              <w:lastRenderedPageBreak/>
              <w:br w:type="page"/>
            </w:r>
            <w:r w:rsidR="00385835" w:rsidRPr="00385835">
              <w:rPr>
                <w:rFonts w:ascii="Times New Roman" w:eastAsia="AngsanaUPC" w:hAnsi="Times New Roman"/>
                <w:b/>
                <w:bCs/>
                <w:iCs/>
                <w:sz w:val="24"/>
                <w:szCs w:val="24"/>
                <w:lang w:eastAsia="lt-LT"/>
              </w:rPr>
              <w:t>1.2. INVESTICINIS PRIORITETAS</w:t>
            </w:r>
          </w:p>
        </w:tc>
        <w:tc>
          <w:tcPr>
            <w:tcW w:w="7284" w:type="dxa"/>
            <w:shd w:val="clear" w:color="auto" w:fill="EEECE1"/>
          </w:tcPr>
          <w:p w:rsidR="00385835" w:rsidRPr="00385835" w:rsidRDefault="00385835" w:rsidP="00385835">
            <w:pPr>
              <w:spacing w:after="0" w:line="240" w:lineRule="auto"/>
              <w:jc w:val="both"/>
              <w:rPr>
                <w:rFonts w:ascii="Times New Roman" w:hAnsi="Times New Roman"/>
                <w:b/>
                <w:sz w:val="24"/>
                <w:szCs w:val="24"/>
              </w:rPr>
            </w:pPr>
            <w:r w:rsidRPr="00385835">
              <w:rPr>
                <w:rFonts w:ascii="Times New Roman" w:hAnsi="Times New Roman"/>
                <w:b/>
                <w:sz w:val="24"/>
                <w:szCs w:val="24"/>
              </w:rPr>
              <w:t>Verslo investicijų į MTI skatinimas, įmonių, MTI centrų ir aukštojo mokslo sektoriaus ryšių bei sąveikos plėtojimas, visų pirma</w:t>
            </w:r>
            <w:r w:rsidR="00444DE5">
              <w:rPr>
                <w:rFonts w:ascii="Times New Roman" w:hAnsi="Times New Roman"/>
                <w:b/>
                <w:sz w:val="24"/>
                <w:szCs w:val="24"/>
              </w:rPr>
              <w:t>,</w:t>
            </w:r>
            <w:r w:rsidRPr="00385835">
              <w:rPr>
                <w:rFonts w:ascii="Times New Roman" w:hAnsi="Times New Roman"/>
                <w:b/>
                <w:sz w:val="24"/>
                <w:szCs w:val="24"/>
              </w:rPr>
              <w:t xml:space="preserve"> skatinant investicijas į produktų ir paslaugų plėtrą, technologijas, socialines ir viešosioms paslaugoms teikti skirtas inovacijas; taip pat paklausos, jungimosi į tinklus, grupių ir atvirų inovacijų skatinimas pagal pažangiosios specializacijos strategiją remiant technologinius ir taikomųjų mokslų tyrimus, bandomųjų linijų diegimą, išankstinio produktų patvirtinimo veiksmus ir didelio poveikio technologijų pažangiosios gamybos pajėgumus, pirminės gamybos bei bendrosios pask</w:t>
            </w:r>
            <w:r w:rsidR="00031EF1">
              <w:rPr>
                <w:rFonts w:ascii="Times New Roman" w:hAnsi="Times New Roman"/>
                <w:b/>
                <w:sz w:val="24"/>
                <w:szCs w:val="24"/>
              </w:rPr>
              <w:t>irties technologijų sklaidą</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FONDAS</w:t>
            </w:r>
          </w:p>
        </w:tc>
        <w:tc>
          <w:tcPr>
            <w:tcW w:w="7336"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Europos regioninės plėtros fondas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0"/>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vAlign w:val="center"/>
          </w:tcPr>
          <w:p w:rsidR="00385835" w:rsidRPr="00385835" w:rsidRDefault="00385835" w:rsidP="00385835">
            <w:pPr>
              <w:widowControl w:val="0"/>
              <w:tabs>
                <w:tab w:val="left" w:pos="622"/>
              </w:tabs>
              <w:spacing w:after="0" w:line="240" w:lineRule="auto"/>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1.2.1. KONKRETUS UŽDAVINYS</w:t>
            </w:r>
          </w:p>
        </w:tc>
        <w:tc>
          <w:tcPr>
            <w:tcW w:w="7336" w:type="dxa"/>
            <w:shd w:val="clear" w:color="auto" w:fill="EEECE1"/>
            <w:vAlign w:val="center"/>
          </w:tcPr>
          <w:p w:rsidR="00385835" w:rsidRPr="00385835" w:rsidRDefault="00385835" w:rsidP="00385835">
            <w:pPr>
              <w:spacing w:after="0" w:line="240" w:lineRule="auto"/>
              <w:jc w:val="both"/>
              <w:rPr>
                <w:rFonts w:ascii="Times New Roman" w:hAnsi="Times New Roman"/>
                <w:b/>
                <w:sz w:val="24"/>
                <w:szCs w:val="24"/>
              </w:rPr>
            </w:pPr>
            <w:r w:rsidRPr="00385835">
              <w:rPr>
                <w:rFonts w:ascii="Times New Roman" w:hAnsi="Times New Roman"/>
                <w:b/>
                <w:sz w:val="24"/>
                <w:szCs w:val="24"/>
              </w:rPr>
              <w:t>Padidinti mokslinių tyrimų, eksperimentinės plėtros ir inovacijų veiklų aktyvumą privačiame sektoriuje</w:t>
            </w:r>
          </w:p>
        </w:tc>
      </w:tr>
      <w:tr w:rsidR="00385835" w:rsidRPr="00385835" w:rsidTr="00385835">
        <w:tc>
          <w:tcPr>
            <w:tcW w:w="9746" w:type="dxa"/>
            <w:gridSpan w:val="2"/>
            <w:shd w:val="clear" w:color="auto" w:fill="auto"/>
          </w:tcPr>
          <w:p w:rsidR="00385835" w:rsidRPr="00385835" w:rsidRDefault="00385835" w:rsidP="00385835">
            <w:pPr>
              <w:widowControl w:val="0"/>
              <w:tabs>
                <w:tab w:val="left" w:pos="622"/>
              </w:tabs>
              <w:spacing w:after="0" w:line="240" w:lineRule="auto"/>
              <w:ind w:firstLine="601"/>
              <w:jc w:val="both"/>
              <w:rPr>
                <w:rFonts w:ascii="Times New Roman" w:hAnsi="Times New Roman"/>
                <w:sz w:val="24"/>
                <w:szCs w:val="24"/>
              </w:rPr>
            </w:pPr>
            <w:r w:rsidRPr="00385835">
              <w:rPr>
                <w:rFonts w:ascii="Times New Roman" w:hAnsi="Times New Roman"/>
                <w:sz w:val="24"/>
                <w:szCs w:val="24"/>
              </w:rPr>
              <w:t xml:space="preserve">Nepakankamos Lietuvos verslo investicijos į didesne rizika pasižyminčius naujų produktų ir paslaugų plėtros etapus –MTEP – lemia žemesne pridėtine verte paremtą Lietuvos ūkio struktūrą. Žinioms imlių lietuviškų produktų ir paslaugų eksporto, užimtumo žinioms imliose įmonėse, inovacijų ekonominio poveikio ir kiti ūkio imlumo žinioms rodikliai </w:t>
            </w:r>
            <w:r w:rsidR="00A433CC">
              <w:rPr>
                <w:rFonts w:ascii="Times New Roman" w:hAnsi="Times New Roman"/>
                <w:sz w:val="24"/>
                <w:szCs w:val="24"/>
              </w:rPr>
              <w:t>smarkiai</w:t>
            </w:r>
            <w:r w:rsidRPr="00385835">
              <w:rPr>
                <w:rFonts w:ascii="Times New Roman" w:hAnsi="Times New Roman"/>
                <w:sz w:val="24"/>
                <w:szCs w:val="24"/>
              </w:rPr>
              <w:t xml:space="preserve"> atsilieka nuo ES vidurkio.</w:t>
            </w:r>
          </w:p>
          <w:p w:rsidR="00385835" w:rsidRPr="00385835" w:rsidRDefault="00385835" w:rsidP="00A26F6C">
            <w:pPr>
              <w:widowControl w:val="0"/>
              <w:tabs>
                <w:tab w:val="left" w:pos="622"/>
              </w:tabs>
              <w:spacing w:after="0" w:line="240" w:lineRule="auto"/>
              <w:ind w:firstLine="601"/>
              <w:jc w:val="both"/>
              <w:rPr>
                <w:rFonts w:ascii="Times New Roman" w:hAnsi="Times New Roman"/>
                <w:sz w:val="24"/>
                <w:szCs w:val="24"/>
              </w:rPr>
            </w:pPr>
            <w:r w:rsidRPr="00385835">
              <w:rPr>
                <w:rFonts w:ascii="Times New Roman" w:hAnsi="Times New Roman"/>
                <w:sz w:val="24"/>
                <w:szCs w:val="24"/>
              </w:rPr>
              <w:t xml:space="preserve">Norint transformuoti ūkį link naujų aukštesnę pridėtinę vertę kuriančių veiklų, būtina </w:t>
            </w:r>
            <w:r w:rsidR="00EC4D4C">
              <w:rPr>
                <w:rFonts w:ascii="Times New Roman" w:hAnsi="Times New Roman"/>
                <w:sz w:val="24"/>
                <w:szCs w:val="24"/>
              </w:rPr>
              <w:t>žymiai</w:t>
            </w:r>
            <w:r w:rsidRPr="00385835">
              <w:rPr>
                <w:rFonts w:ascii="Times New Roman" w:hAnsi="Times New Roman"/>
                <w:sz w:val="24"/>
                <w:szCs w:val="24"/>
              </w:rPr>
              <w:t xml:space="preserve"> padidinti MTEPI veiklą vykdančių įmonių skaičių ekonomikoje ir sukurti paskatas didesnio ekonominio poveikio inovacijų kūrimui. Įgyvendinant šį uždavinį, numatoma kurti kompleksines paskatas privačioms investicijoms į MTEPI, orientuojantis ne tik į dabartinius inovatorius, skatinant juos kurti reikšmingas inovacijas, bet ir į įmones, veikiančias žemesnėse pridėtinės vertės grandyse, skatinant jas pereiti prie naujų produktų kūrimo</w:t>
            </w:r>
            <w:r w:rsidRPr="00891769">
              <w:rPr>
                <w:rFonts w:ascii="Times New Roman" w:hAnsi="Times New Roman"/>
                <w:sz w:val="24"/>
                <w:szCs w:val="24"/>
              </w:rPr>
              <w:t xml:space="preserve">, </w:t>
            </w:r>
            <w:r w:rsidR="00A26F6C" w:rsidRPr="00891769">
              <w:rPr>
                <w:rFonts w:ascii="Times New Roman" w:hAnsi="Times New Roman"/>
                <w:sz w:val="24"/>
                <w:szCs w:val="24"/>
              </w:rPr>
              <w:t>orientuotis į skaitmenines inovacijas, ieškoti naujų verslo nišų</w:t>
            </w:r>
            <w:r w:rsidRPr="00891769">
              <w:rPr>
                <w:rFonts w:ascii="Times New Roman" w:hAnsi="Times New Roman"/>
                <w:sz w:val="24"/>
                <w:szCs w:val="24"/>
              </w:rPr>
              <w:t>. Taip pat ketinama investuoti į n</w:t>
            </w:r>
            <w:r w:rsidRPr="00D54F90">
              <w:rPr>
                <w:rFonts w:ascii="Times New Roman" w:hAnsi="Times New Roman"/>
                <w:sz w:val="24"/>
                <w:szCs w:val="24"/>
              </w:rPr>
              <w:t>aujų inovatyvių įmonių kūrimą, įvairių sektorių partnerystės skatinimą bei TUI pritraukimą sumani</w:t>
            </w:r>
            <w:r w:rsidRPr="00385835">
              <w:rPr>
                <w:rFonts w:ascii="Times New Roman" w:hAnsi="Times New Roman"/>
                <w:sz w:val="24"/>
                <w:szCs w:val="24"/>
              </w:rPr>
              <w:t>os specializacijos kryptyse.</w:t>
            </w:r>
          </w:p>
          <w:p w:rsidR="00385835" w:rsidRPr="00385835" w:rsidRDefault="0019341D" w:rsidP="00385835">
            <w:pPr>
              <w:widowControl w:val="0"/>
              <w:tabs>
                <w:tab w:val="left" w:pos="622"/>
              </w:tabs>
              <w:spacing w:after="0" w:line="240" w:lineRule="auto"/>
              <w:ind w:firstLine="601"/>
              <w:jc w:val="both"/>
              <w:rPr>
                <w:rFonts w:ascii="Times New Roman" w:hAnsi="Times New Roman"/>
                <w:sz w:val="24"/>
                <w:szCs w:val="24"/>
              </w:rPr>
            </w:pPr>
            <w:r>
              <w:rPr>
                <w:rFonts w:ascii="Times New Roman" w:hAnsi="Times New Roman"/>
                <w:sz w:val="24"/>
                <w:szCs w:val="24"/>
              </w:rPr>
              <w:t xml:space="preserve">Paskatos bus kuriamos teikiant </w:t>
            </w:r>
            <w:r w:rsidR="00385835" w:rsidRPr="00385835">
              <w:rPr>
                <w:rFonts w:ascii="Times New Roman" w:hAnsi="Times New Roman"/>
                <w:sz w:val="24"/>
                <w:szCs w:val="24"/>
              </w:rPr>
              <w:t xml:space="preserve">paramą įmonių MTEPI projektams visuose MTEPI etapuose nuo naujo produkto idėjos koncepcijos iki prototipo demonstravimo ir ankstyvosios produkto validacijos, ypatingą dėmesį skiriant didelio poveikio technologijoms (DPT). Taip pat bus </w:t>
            </w:r>
            <w:r w:rsidR="00385835" w:rsidRPr="00385835">
              <w:rPr>
                <w:rFonts w:ascii="Times New Roman" w:hAnsi="Times New Roman"/>
                <w:iCs/>
                <w:sz w:val="24"/>
                <w:szCs w:val="24"/>
              </w:rPr>
              <w:t>įgyvendinamos paramos priemonės, skirtos įmonių intelektinės nuosavybės kūrimui, apsaugai ir licencijavimui (remiant išradimų patentavimą, dizaino registravimą bei jų palaikymą, licencijų įsigijimą).</w:t>
            </w:r>
            <w:r w:rsidR="00385835" w:rsidRPr="00385835">
              <w:rPr>
                <w:rFonts w:ascii="Times New Roman" w:hAnsi="Times New Roman"/>
                <w:sz w:val="24"/>
                <w:szCs w:val="24"/>
              </w:rPr>
              <w:t xml:space="preserve"> Numatoma skatinti naujų inovatyvių (</w:t>
            </w:r>
            <w:r w:rsidR="00385835" w:rsidRPr="00385835">
              <w:rPr>
                <w:rFonts w:ascii="Times New Roman" w:hAnsi="Times New Roman"/>
                <w:i/>
                <w:sz w:val="24"/>
                <w:szCs w:val="24"/>
              </w:rPr>
              <w:t>start up, spin off</w:t>
            </w:r>
            <w:r>
              <w:rPr>
                <w:rFonts w:ascii="Times New Roman" w:hAnsi="Times New Roman"/>
                <w:sz w:val="24"/>
                <w:szCs w:val="24"/>
              </w:rPr>
              <w:t xml:space="preserve">) </w:t>
            </w:r>
            <w:r w:rsidR="00385835" w:rsidRPr="00385835">
              <w:rPr>
                <w:rFonts w:ascii="Times New Roman" w:hAnsi="Times New Roman"/>
                <w:sz w:val="24"/>
                <w:szCs w:val="24"/>
              </w:rPr>
              <w:t xml:space="preserve">įmonių kūrimą ir plėtrą, suteikiant paramą verslo pradžiai. Taip pat bus remiami įmonių MTEP infrastruktūros projektai, kurie padės įmonėms kurti naujas tyrėjų ir kito panašaus aukštos kvalifikacijos personalo darbo vietas. </w:t>
            </w:r>
          </w:p>
          <w:p w:rsidR="00385835" w:rsidRPr="00385835" w:rsidRDefault="00385835" w:rsidP="00385835">
            <w:pPr>
              <w:widowControl w:val="0"/>
              <w:tabs>
                <w:tab w:val="left" w:pos="622"/>
              </w:tabs>
              <w:spacing w:after="0" w:line="240" w:lineRule="auto"/>
              <w:ind w:firstLine="601"/>
              <w:jc w:val="both"/>
              <w:rPr>
                <w:rFonts w:ascii="Times New Roman" w:hAnsi="Times New Roman"/>
                <w:sz w:val="24"/>
                <w:szCs w:val="24"/>
              </w:rPr>
            </w:pPr>
            <w:r w:rsidRPr="00385835">
              <w:rPr>
                <w:rFonts w:ascii="Times New Roman" w:hAnsi="Times New Roman"/>
                <w:sz w:val="24"/>
                <w:szCs w:val="24"/>
              </w:rPr>
              <w:t xml:space="preserve">Kuriant kompleksiškas paskatas MTEPI rezultatų komercinimui ir efektyviam žinių perdavimui naujiems produktams kurti verslo ir mokslo bei kitose (įskaitant tarptautines) partnerystėse (vertės tinkluose), numatoma skatinti naujų vertės tinklų, atvirųjų inovacijų partnerysčių (klasterių ir kt.) kūrimą „iš apačios į viršų“ ir esamų plėtrą bei jų integraciją į tarptautinius MTEPI tinklus. Siekiant paskatinti klasterizaciją ir paspartinti įvairių sektorių, kurių potencialas ir veikla grįsti tarpusavio bendradarbiavimu ir konkurencijos stiprinimu, partnerystę, taip pat siekiant bendro ekonominio augimo ir sinerginio efekto, planuojama investuoti į MTEP infrastruktūrą klasteriuose (laboratorijos, bandymų patalpos ir pan.). </w:t>
            </w:r>
          </w:p>
          <w:p w:rsidR="00385835" w:rsidRPr="00385835" w:rsidRDefault="00385835" w:rsidP="00385835">
            <w:pPr>
              <w:autoSpaceDE w:val="0"/>
              <w:autoSpaceDN w:val="0"/>
              <w:adjustRightInd w:val="0"/>
              <w:spacing w:after="0" w:line="240" w:lineRule="auto"/>
              <w:ind w:firstLine="624"/>
              <w:jc w:val="both"/>
              <w:rPr>
                <w:rFonts w:ascii="Times New Roman" w:hAnsi="Times New Roman"/>
                <w:sz w:val="24"/>
                <w:szCs w:val="24"/>
              </w:rPr>
            </w:pPr>
            <w:r w:rsidRPr="00385835">
              <w:rPr>
                <w:rFonts w:ascii="Times New Roman" w:hAnsi="Times New Roman"/>
                <w:sz w:val="24"/>
                <w:szCs w:val="24"/>
              </w:rPr>
              <w:t>Siekiant didinti verslo sektoriaus išlaidas MTEP, svarbus dėmesys bus skiriamas tokių TUI pritraukimui, kurios sudarytų prielaidas ir paremtų sumanios specializacijos strategijos MTEPI srityje (ir joje numatytos Lietuvos ūkio transformacijos) įgyvendinimą. Tuo tikslu numatomos tiek investicijos į TUI pritraukimui aktualią infrastruktūrą, tiek tikslinės konkrečių TUI projektų skatinimo priemonės.</w:t>
            </w:r>
          </w:p>
          <w:p w:rsidR="00385835" w:rsidRPr="00385835" w:rsidRDefault="00385835" w:rsidP="00471DD9">
            <w:pPr>
              <w:autoSpaceDE w:val="0"/>
              <w:autoSpaceDN w:val="0"/>
              <w:adjustRightInd w:val="0"/>
              <w:spacing w:after="0" w:line="240" w:lineRule="auto"/>
              <w:ind w:firstLine="624"/>
              <w:jc w:val="both"/>
              <w:rPr>
                <w:rFonts w:ascii="Times New Roman" w:eastAsia="Times New Roman" w:hAnsi="Times New Roman"/>
                <w:color w:val="000000"/>
                <w:sz w:val="24"/>
                <w:szCs w:val="24"/>
                <w:lang w:eastAsia="en-GB"/>
              </w:rPr>
            </w:pPr>
            <w:r w:rsidRPr="00385835">
              <w:rPr>
                <w:rFonts w:ascii="Times New Roman" w:eastAsia="Times New Roman" w:hAnsi="Times New Roman"/>
                <w:iCs/>
                <w:color w:val="000000"/>
                <w:sz w:val="24"/>
                <w:szCs w:val="24"/>
                <w:lang w:eastAsia="en-GB"/>
              </w:rPr>
              <w:lastRenderedPageBreak/>
              <w:t>Siekiant padėti įmonėms sumažinti verslo pradžios riziką, spartinti sėkmingą augimą, skatinti verslo ir mokslo bendradarbiavimą, intelektinės nuosavybės apsaugą ir MTEP rezultatų komercinimą</w:t>
            </w:r>
            <w:r w:rsidR="0019341D">
              <w:rPr>
                <w:rFonts w:ascii="Times New Roman" w:eastAsia="Times New Roman" w:hAnsi="Times New Roman"/>
                <w:iCs/>
                <w:color w:val="000000"/>
                <w:sz w:val="24"/>
                <w:szCs w:val="24"/>
                <w:lang w:eastAsia="en-GB"/>
              </w:rPr>
              <w:t>,</w:t>
            </w:r>
            <w:r w:rsidRPr="00385835">
              <w:rPr>
                <w:rFonts w:ascii="Times New Roman" w:eastAsia="Times New Roman" w:hAnsi="Times New Roman"/>
                <w:iCs/>
                <w:color w:val="000000"/>
                <w:sz w:val="24"/>
                <w:szCs w:val="24"/>
                <w:lang w:eastAsia="en-GB"/>
              </w:rPr>
              <w:t xml:space="preserve"> numatoma parama inovacijų paramos paslaugų prieinamumo ir kokybės užtikrinimui. </w:t>
            </w:r>
            <w:r w:rsidRPr="00385835">
              <w:rPr>
                <w:rFonts w:ascii="Times New Roman" w:eastAsia="Times New Roman" w:hAnsi="Times New Roman"/>
                <w:color w:val="000000"/>
                <w:sz w:val="24"/>
                <w:szCs w:val="24"/>
                <w:lang w:eastAsia="en-GB"/>
              </w:rPr>
              <w:t xml:space="preserve">Įmonių investicijas į MTEPI ir atitinkamai įmonių inovatyvumą skatins tikslingos inovacijų paklausos kūrimo priemonės </w:t>
            </w:r>
            <w:proofErr w:type="gramStart"/>
            <w:r w:rsidRPr="00385835">
              <w:rPr>
                <w:rFonts w:ascii="Times New Roman" w:eastAsia="Times New Roman" w:hAnsi="Times New Roman"/>
                <w:color w:val="000000"/>
                <w:sz w:val="24"/>
                <w:szCs w:val="24"/>
                <w:lang w:eastAsia="en-GB"/>
              </w:rPr>
              <w:t>(</w:t>
            </w:r>
            <w:proofErr w:type="gramEnd"/>
            <w:r w:rsidRPr="00385835">
              <w:rPr>
                <w:rFonts w:ascii="Times New Roman" w:eastAsia="Times New Roman" w:hAnsi="Times New Roman"/>
                <w:color w:val="000000"/>
                <w:sz w:val="24"/>
                <w:szCs w:val="24"/>
                <w:lang w:eastAsia="en-GB"/>
              </w:rPr>
              <w:t>pavyzdžiui, inovatyvūs viešieji pirkimai, ikiprekybiniai pirkimai), šiuo metu vangiai įgyvendinamos dėl kompetencijų ir praktikos stokos.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sz w:val="20"/>
          <w:szCs w:val="20"/>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567"/>
        <w:gridCol w:w="1843"/>
        <w:gridCol w:w="1134"/>
        <w:gridCol w:w="1134"/>
        <w:gridCol w:w="851"/>
        <w:gridCol w:w="992"/>
        <w:gridCol w:w="850"/>
        <w:gridCol w:w="993"/>
        <w:gridCol w:w="1312"/>
      </w:tblGrid>
      <w:tr w:rsidR="00385835" w:rsidRPr="00385835" w:rsidTr="00385835">
        <w:tc>
          <w:tcPr>
            <w:tcW w:w="9676" w:type="dxa"/>
            <w:gridSpan w:val="9"/>
            <w:shd w:val="clear" w:color="auto" w:fill="EEECE1"/>
          </w:tcPr>
          <w:p w:rsidR="00385835" w:rsidRPr="00385835" w:rsidRDefault="00385835" w:rsidP="00DA04FC">
            <w:pPr>
              <w:widowControl w:val="0"/>
              <w:tabs>
                <w:tab w:val="left" w:pos="622"/>
              </w:tabs>
              <w:spacing w:after="0" w:line="240" w:lineRule="auto"/>
              <w:jc w:val="both"/>
              <w:rPr>
                <w:rFonts w:ascii="Times New Roman" w:eastAsia="AngsanaUPC" w:hAnsi="Times New Roman"/>
                <w:b/>
                <w:bCs/>
                <w:i/>
                <w:iCs/>
                <w:sz w:val="24"/>
                <w:szCs w:val="24"/>
                <w:lang w:eastAsia="lt-LT"/>
              </w:rPr>
            </w:pPr>
            <w:r w:rsidRPr="00385835">
              <w:rPr>
                <w:rFonts w:ascii="Times New Roman" w:eastAsia="AngsanaUPC" w:hAnsi="Times New Roman"/>
                <w:b/>
                <w:bCs/>
                <w:i/>
                <w:iCs/>
                <w:sz w:val="24"/>
                <w:szCs w:val="24"/>
                <w:lang w:eastAsia="lt-LT"/>
              </w:rPr>
              <w:t xml:space="preserve">ERPF </w:t>
            </w:r>
            <w:r w:rsidR="00DA04FC">
              <w:rPr>
                <w:rFonts w:ascii="Times New Roman" w:eastAsia="AngsanaUPC" w:hAnsi="Times New Roman"/>
                <w:b/>
                <w:bCs/>
                <w:i/>
                <w:iCs/>
                <w:sz w:val="24"/>
                <w:szCs w:val="24"/>
                <w:lang w:eastAsia="lt-LT"/>
              </w:rPr>
              <w:t>specialieji</w:t>
            </w:r>
            <w:r w:rsidR="00DA04FC" w:rsidRPr="00385835">
              <w:rPr>
                <w:rFonts w:ascii="Times New Roman" w:eastAsia="AngsanaUPC" w:hAnsi="Times New Roman"/>
                <w:b/>
                <w:bCs/>
                <w:i/>
                <w:iCs/>
                <w:sz w:val="24"/>
                <w:szCs w:val="24"/>
                <w:lang w:eastAsia="lt-LT"/>
              </w:rPr>
              <w:t xml:space="preserve"> </w:t>
            </w:r>
            <w:r w:rsidRPr="00385835">
              <w:rPr>
                <w:rFonts w:ascii="Times New Roman" w:eastAsia="AngsanaUPC" w:hAnsi="Times New Roman"/>
                <w:b/>
                <w:bCs/>
                <w:i/>
                <w:iCs/>
                <w:sz w:val="24"/>
                <w:szCs w:val="24"/>
                <w:lang w:eastAsia="lt-LT"/>
              </w:rPr>
              <w:t>programos rezultato rodikliai</w:t>
            </w:r>
          </w:p>
        </w:tc>
      </w:tr>
      <w:tr w:rsidR="00385835" w:rsidRPr="00385835" w:rsidTr="001A61F5">
        <w:tblPrEx>
          <w:shd w:val="clear" w:color="auto" w:fill="auto"/>
        </w:tblPrEx>
        <w:trPr>
          <w:cantSplit/>
          <w:trHeight w:val="864"/>
        </w:trPr>
        <w:tc>
          <w:tcPr>
            <w:tcW w:w="567"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Nr.</w:t>
            </w:r>
          </w:p>
        </w:tc>
        <w:tc>
          <w:tcPr>
            <w:tcW w:w="1843"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Rodiklio pavadinimas</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Matavimo vienetas</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Regiono kategorija</w:t>
            </w:r>
          </w:p>
        </w:tc>
        <w:tc>
          <w:tcPr>
            <w:tcW w:w="85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 reikšmė</w:t>
            </w:r>
          </w:p>
        </w:tc>
        <w:tc>
          <w:tcPr>
            <w:tcW w:w="992"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Pradinės reikšmės metai</w:t>
            </w:r>
          </w:p>
        </w:tc>
        <w:tc>
          <w:tcPr>
            <w:tcW w:w="850"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Siektina reikšmė (2023)</w:t>
            </w:r>
          </w:p>
        </w:tc>
        <w:tc>
          <w:tcPr>
            <w:tcW w:w="993"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Duomenų šaltinis</w:t>
            </w:r>
          </w:p>
        </w:tc>
        <w:tc>
          <w:tcPr>
            <w:tcW w:w="1312"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Atsiskaitymo dažnumas</w:t>
            </w:r>
          </w:p>
        </w:tc>
      </w:tr>
      <w:tr w:rsidR="00385835" w:rsidRPr="00385835" w:rsidTr="001A61F5">
        <w:tblPrEx>
          <w:shd w:val="clear" w:color="auto" w:fill="auto"/>
        </w:tblPrEx>
        <w:tc>
          <w:tcPr>
            <w:tcW w:w="567" w:type="dxa"/>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w:t>
            </w:r>
          </w:p>
        </w:tc>
        <w:tc>
          <w:tcPr>
            <w:tcW w:w="1843" w:type="dxa"/>
            <w:shd w:val="clear" w:color="auto" w:fill="auto"/>
          </w:tcPr>
          <w:p w:rsidR="00385835" w:rsidRPr="00385835" w:rsidRDefault="00385835" w:rsidP="00385835">
            <w:pPr>
              <w:widowControl w:val="0"/>
              <w:tabs>
                <w:tab w:val="left" w:pos="622"/>
              </w:tabs>
              <w:spacing w:after="0" w:line="240" w:lineRule="auto"/>
              <w:rPr>
                <w:rFonts w:ascii="Times New Roman" w:eastAsia="AngsanaUPC" w:hAnsi="Times New Roman"/>
                <w:bCs/>
                <w:sz w:val="18"/>
                <w:szCs w:val="18"/>
                <w:lang w:eastAsia="lt-LT"/>
              </w:rPr>
            </w:pPr>
            <w:r w:rsidRPr="00385835">
              <w:rPr>
                <w:rFonts w:ascii="Times New Roman" w:eastAsia="AngsanaUPC" w:hAnsi="Times New Roman"/>
                <w:bCs/>
                <w:iCs/>
                <w:sz w:val="18"/>
                <w:szCs w:val="18"/>
                <w:lang w:eastAsia="lt-LT"/>
              </w:rPr>
              <w:t>Verslo sektoriaus išlaidos MTEP, tenkančios vienam gyventojui</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18"/>
                <w:szCs w:val="18"/>
                <w:lang w:eastAsia="lt-LT"/>
              </w:rPr>
            </w:pPr>
            <w:r w:rsidRPr="00385835">
              <w:rPr>
                <w:rFonts w:ascii="Times New Roman" w:eastAsia="AngsanaUPC" w:hAnsi="Times New Roman"/>
                <w:bCs/>
                <w:iCs/>
                <w:sz w:val="18"/>
                <w:szCs w:val="18"/>
                <w:lang w:eastAsia="lt-LT"/>
              </w:rPr>
              <w:t>EUR</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18"/>
                <w:szCs w:val="18"/>
                <w:lang w:eastAsia="lt-LT"/>
              </w:rPr>
            </w:pPr>
            <w:r w:rsidRPr="00385835">
              <w:rPr>
                <w:rFonts w:ascii="Times New Roman" w:eastAsia="AngsanaUPC" w:hAnsi="Times New Roman"/>
                <w:bCs/>
                <w:sz w:val="18"/>
                <w:szCs w:val="18"/>
                <w:lang w:eastAsia="lt-LT"/>
              </w:rPr>
              <w:t>Mažiau išsivystęs</w:t>
            </w:r>
          </w:p>
        </w:tc>
        <w:tc>
          <w:tcPr>
            <w:tcW w:w="85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24,10</w:t>
            </w:r>
          </w:p>
        </w:tc>
        <w:tc>
          <w:tcPr>
            <w:tcW w:w="992"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2011</w:t>
            </w:r>
          </w:p>
        </w:tc>
        <w:tc>
          <w:tcPr>
            <w:tcW w:w="850"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60,70</w:t>
            </w:r>
          </w:p>
        </w:tc>
        <w:tc>
          <w:tcPr>
            <w:tcW w:w="993"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hAnsi="Times New Roman"/>
                <w:bCs/>
                <w:sz w:val="18"/>
                <w:szCs w:val="18"/>
              </w:rPr>
              <w:t>Eurostatas</w:t>
            </w:r>
          </w:p>
        </w:tc>
        <w:tc>
          <w:tcPr>
            <w:tcW w:w="1312"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385835" w:rsidRPr="00385835" w:rsidTr="001A61F5">
        <w:tblPrEx>
          <w:shd w:val="clear" w:color="auto" w:fill="auto"/>
        </w:tblPrEx>
        <w:tc>
          <w:tcPr>
            <w:tcW w:w="567" w:type="dxa"/>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w:t>
            </w:r>
          </w:p>
        </w:tc>
        <w:tc>
          <w:tcPr>
            <w:tcW w:w="1843" w:type="dxa"/>
            <w:shd w:val="clear" w:color="auto" w:fill="auto"/>
          </w:tcPr>
          <w:p w:rsidR="00385835" w:rsidRPr="00385835" w:rsidRDefault="00385835" w:rsidP="00385835">
            <w:pPr>
              <w:widowControl w:val="0"/>
              <w:tabs>
                <w:tab w:val="left" w:pos="622"/>
              </w:tabs>
              <w:spacing w:after="0" w:line="240" w:lineRule="auto"/>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Inovatyvių įmonių, bendradarbiaujančių su partneriais, dalis nuo visų su inovacijomis susijusių įmonių</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Proc.</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18"/>
                <w:szCs w:val="18"/>
                <w:lang w:eastAsia="lt-LT"/>
              </w:rPr>
            </w:pPr>
            <w:r w:rsidRPr="00385835">
              <w:rPr>
                <w:rFonts w:ascii="Times New Roman" w:eastAsia="AngsanaUPC" w:hAnsi="Times New Roman"/>
                <w:bCs/>
                <w:sz w:val="18"/>
                <w:szCs w:val="18"/>
                <w:lang w:eastAsia="lt-LT"/>
              </w:rPr>
              <w:t>Mažiau išsivystęs</w:t>
            </w:r>
          </w:p>
        </w:tc>
        <w:tc>
          <w:tcPr>
            <w:tcW w:w="85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9,79</w:t>
            </w:r>
          </w:p>
        </w:tc>
        <w:tc>
          <w:tcPr>
            <w:tcW w:w="992"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2010</w:t>
            </w:r>
          </w:p>
        </w:tc>
        <w:tc>
          <w:tcPr>
            <w:tcW w:w="850"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12,79</w:t>
            </w:r>
          </w:p>
        </w:tc>
        <w:tc>
          <w:tcPr>
            <w:tcW w:w="993"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bCs/>
                <w:sz w:val="18"/>
                <w:szCs w:val="18"/>
              </w:rPr>
            </w:pPr>
            <w:r w:rsidRPr="00385835">
              <w:rPr>
                <w:rFonts w:ascii="Times New Roman" w:hAnsi="Times New Roman"/>
                <w:bCs/>
                <w:sz w:val="18"/>
                <w:szCs w:val="18"/>
              </w:rPr>
              <w:t>Eurostatas</w:t>
            </w:r>
          </w:p>
        </w:tc>
        <w:tc>
          <w:tcPr>
            <w:tcW w:w="1312"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 xml:space="preserve">Kartą per </w:t>
            </w:r>
            <w:proofErr w:type="gramStart"/>
            <w:r w:rsidRPr="00385835">
              <w:rPr>
                <w:rFonts w:ascii="Times New Roman" w:eastAsia="AngsanaUPC" w:hAnsi="Times New Roman"/>
                <w:bCs/>
                <w:iCs/>
                <w:sz w:val="18"/>
                <w:szCs w:val="18"/>
                <w:lang w:eastAsia="lt-LT"/>
              </w:rPr>
              <w:t>du</w:t>
            </w:r>
            <w:proofErr w:type="gramEnd"/>
            <w:r w:rsidRPr="00385835">
              <w:rPr>
                <w:rFonts w:ascii="Times New Roman" w:eastAsia="AngsanaUPC" w:hAnsi="Times New Roman"/>
                <w:bCs/>
                <w:iCs/>
                <w:sz w:val="18"/>
                <w:szCs w:val="18"/>
                <w:lang w:eastAsia="lt-LT"/>
              </w:rPr>
              <w:t xml:space="preserve"> metus</w:t>
            </w:r>
          </w:p>
        </w:tc>
      </w:tr>
    </w:tbl>
    <w:p w:rsidR="00385835" w:rsidRPr="00385835" w:rsidRDefault="00385835" w:rsidP="00385835">
      <w:pPr>
        <w:spacing w:after="0" w:line="240" w:lineRule="auto"/>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vAlign w:val="center"/>
          </w:tcPr>
          <w:p w:rsidR="00385835" w:rsidRPr="00385835" w:rsidRDefault="00385835" w:rsidP="00385835">
            <w:pPr>
              <w:spacing w:after="0" w:line="240" w:lineRule="auto"/>
              <w:rPr>
                <w:rFonts w:ascii="Times New Roman" w:hAnsi="Times New Roman"/>
                <w:b/>
                <w:bCs/>
                <w:sz w:val="24"/>
                <w:szCs w:val="24"/>
              </w:rPr>
            </w:pPr>
            <w:r w:rsidRPr="00385835">
              <w:rPr>
                <w:rFonts w:ascii="Times New Roman" w:hAnsi="Times New Roman"/>
                <w:b/>
                <w:bCs/>
                <w:sz w:val="24"/>
                <w:szCs w:val="24"/>
              </w:rPr>
              <w:t>1.2.2. KONKRETUS UŽDAVINYS</w:t>
            </w:r>
          </w:p>
        </w:tc>
        <w:tc>
          <w:tcPr>
            <w:tcW w:w="7336" w:type="dxa"/>
            <w:shd w:val="clear" w:color="auto" w:fill="EEECE1"/>
            <w:vAlign w:val="center"/>
          </w:tcPr>
          <w:p w:rsidR="00385835" w:rsidRPr="00385835" w:rsidRDefault="00385835" w:rsidP="00385835">
            <w:pPr>
              <w:spacing w:after="0" w:line="240" w:lineRule="auto"/>
              <w:rPr>
                <w:rFonts w:ascii="Times New Roman" w:hAnsi="Times New Roman"/>
                <w:b/>
                <w:sz w:val="24"/>
                <w:szCs w:val="24"/>
              </w:rPr>
            </w:pPr>
            <w:r w:rsidRPr="00385835">
              <w:rPr>
                <w:rFonts w:ascii="Times New Roman" w:hAnsi="Times New Roman"/>
                <w:b/>
                <w:bCs/>
                <w:sz w:val="24"/>
                <w:szCs w:val="24"/>
              </w:rPr>
              <w:t>Padidinti žinių komercinimo ir technologijų perdavimo mastą</w:t>
            </w:r>
          </w:p>
        </w:tc>
      </w:tr>
      <w:tr w:rsidR="00385835" w:rsidRPr="00385835" w:rsidTr="00385835">
        <w:tc>
          <w:tcPr>
            <w:tcW w:w="9746" w:type="dxa"/>
            <w:gridSpan w:val="2"/>
            <w:shd w:val="clear" w:color="auto" w:fill="auto"/>
          </w:tcPr>
          <w:p w:rsidR="00385835" w:rsidRPr="00385835" w:rsidRDefault="00385835" w:rsidP="00A26F6C">
            <w:pPr>
              <w:spacing w:after="0" w:line="240" w:lineRule="auto"/>
              <w:ind w:firstLine="601"/>
              <w:jc w:val="both"/>
              <w:rPr>
                <w:rFonts w:ascii="Times New Roman" w:hAnsi="Times New Roman"/>
                <w:iCs/>
                <w:sz w:val="24"/>
                <w:szCs w:val="24"/>
              </w:rPr>
            </w:pPr>
            <w:r w:rsidRPr="00385835">
              <w:rPr>
                <w:rFonts w:ascii="Times New Roman" w:hAnsi="Times New Roman"/>
                <w:iCs/>
                <w:sz w:val="24"/>
                <w:szCs w:val="24"/>
              </w:rPr>
              <w:t xml:space="preserve">Nepaisant pastaruoju metu padarytos pažangos, MTEPI vis dar nėra veiksnys, darantis esminę įtaką šalies ūkio raidai. Pagrindinė menko ekonominio inovacijų poveikio priežastis – silpnai išvystyti ryšiai tarp mokslo ir verslo sektorių. Aktyvaus tarpsektorinio bendradarbiavimo patirties stokojančios įmonės dažnai apsiriboja bendradarbiavimu su kitomis įmonėmis ir nėra motyvuotos investuoti į MTEPI, o mokslo ir studijų institucijos neturi galimybių skleisti žinias ir technologijas, kurių pritaikymas galėtų paskatinti proveržį atskiruose sektoriuose/srityse bei darytų </w:t>
            </w:r>
            <w:r w:rsidR="0019341D">
              <w:rPr>
                <w:rFonts w:ascii="Times New Roman" w:hAnsi="Times New Roman"/>
                <w:iCs/>
                <w:sz w:val="24"/>
                <w:szCs w:val="24"/>
              </w:rPr>
              <w:t>žymią</w:t>
            </w:r>
            <w:r w:rsidRPr="00385835">
              <w:rPr>
                <w:rFonts w:ascii="Times New Roman" w:hAnsi="Times New Roman"/>
                <w:iCs/>
                <w:sz w:val="24"/>
                <w:szCs w:val="24"/>
              </w:rPr>
              <w:t xml:space="preserve"> įtaką bendram šalies ūkio vystymuisi.</w:t>
            </w:r>
          </w:p>
          <w:p w:rsidR="00385835" w:rsidRPr="00385835" w:rsidRDefault="00385835" w:rsidP="00A26F6C">
            <w:pPr>
              <w:spacing w:after="0" w:line="240" w:lineRule="auto"/>
              <w:ind w:firstLine="601"/>
              <w:jc w:val="both"/>
              <w:rPr>
                <w:rFonts w:ascii="Times New Roman" w:hAnsi="Times New Roman"/>
                <w:iCs/>
                <w:sz w:val="24"/>
                <w:szCs w:val="24"/>
              </w:rPr>
            </w:pPr>
            <w:r w:rsidRPr="00385835">
              <w:rPr>
                <w:rFonts w:ascii="Times New Roman" w:hAnsi="Times New Roman"/>
                <w:iCs/>
                <w:sz w:val="24"/>
                <w:szCs w:val="24"/>
              </w:rPr>
              <w:t xml:space="preserve">Dėl to 2014–2020 m. laikotarpio intervencijomis mokslo ir verslo sektorių atstovai bus skatinami </w:t>
            </w:r>
            <w:proofErr w:type="gramStart"/>
            <w:r w:rsidRPr="00385835">
              <w:rPr>
                <w:rFonts w:ascii="Times New Roman" w:hAnsi="Times New Roman"/>
                <w:iCs/>
                <w:sz w:val="24"/>
                <w:szCs w:val="24"/>
              </w:rPr>
              <w:t>apjungti</w:t>
            </w:r>
            <w:proofErr w:type="gramEnd"/>
            <w:r w:rsidRPr="00385835">
              <w:rPr>
                <w:rFonts w:ascii="Times New Roman" w:hAnsi="Times New Roman"/>
                <w:iCs/>
                <w:sz w:val="24"/>
                <w:szCs w:val="24"/>
              </w:rPr>
              <w:t xml:space="preserve"> resursus bendrai vystant technologijas, diegiant procesus ir kuriant produktus, aktualius norint įveikti ilgalaikius Lietuvai kylančius iššūkius. Šiuo uždaviniu siekiama kompleksiškai skatinti efektyvų naujų produktų kūrimui aktualių žinių perdavimą ir MTEPI rezultatų komercinimą verslo-mokslo ir kitose (įskaitant tarptautines) partnerystėse. Be to, atsižvelgiant į santykinai menką inovacijoms imlaus Lietuvos verslo dalį, remiamas aktyvesnis mokslo sektoriaus potencialo (žinių, žmogiškųjų išteklių, turimos MTEPI infrastruktūros) išnaudojimas</w:t>
            </w:r>
            <w:r w:rsidR="0019341D">
              <w:rPr>
                <w:rFonts w:ascii="Times New Roman" w:hAnsi="Times New Roman"/>
                <w:iCs/>
                <w:sz w:val="24"/>
                <w:szCs w:val="24"/>
              </w:rPr>
              <w:t>,</w:t>
            </w:r>
            <w:r w:rsidRPr="00385835">
              <w:rPr>
                <w:rFonts w:ascii="Times New Roman" w:hAnsi="Times New Roman"/>
                <w:iCs/>
                <w:sz w:val="24"/>
                <w:szCs w:val="24"/>
              </w:rPr>
              <w:t xml:space="preserve"> skatinant mokslo ir studijų institucijas aktyviau užsiimti vykdomų MTEP veiklų rezultatų komercinimu.</w:t>
            </w:r>
            <w:r w:rsidRPr="00385835" w:rsidDel="006D6C06">
              <w:rPr>
                <w:rFonts w:ascii="Times New Roman" w:hAnsi="Times New Roman"/>
                <w:iCs/>
                <w:sz w:val="24"/>
                <w:szCs w:val="24"/>
              </w:rPr>
              <w:t xml:space="preserve"> </w:t>
            </w:r>
          </w:p>
          <w:p w:rsidR="00385835" w:rsidRPr="00385835" w:rsidRDefault="00385835" w:rsidP="00A26F6C">
            <w:pPr>
              <w:spacing w:after="0" w:line="240" w:lineRule="auto"/>
              <w:ind w:firstLine="601"/>
              <w:jc w:val="both"/>
              <w:rPr>
                <w:rFonts w:ascii="Times New Roman" w:hAnsi="Times New Roman"/>
                <w:sz w:val="24"/>
                <w:szCs w:val="24"/>
              </w:rPr>
            </w:pPr>
            <w:r w:rsidRPr="00385835">
              <w:rPr>
                <w:rFonts w:ascii="Times New Roman" w:hAnsi="Times New Roman"/>
                <w:iCs/>
                <w:sz w:val="24"/>
                <w:szCs w:val="24"/>
              </w:rPr>
              <w:t>Įgyvendinant šį uždavinį</w:t>
            </w:r>
            <w:r w:rsidR="000223AA">
              <w:rPr>
                <w:rFonts w:ascii="Times New Roman" w:hAnsi="Times New Roman"/>
                <w:iCs/>
                <w:sz w:val="24"/>
                <w:szCs w:val="24"/>
              </w:rPr>
              <w:t>,</w:t>
            </w:r>
            <w:r w:rsidRPr="00385835">
              <w:rPr>
                <w:rFonts w:ascii="Times New Roman" w:hAnsi="Times New Roman"/>
                <w:iCs/>
                <w:sz w:val="24"/>
                <w:szCs w:val="24"/>
              </w:rPr>
              <w:t xml:space="preserve"> bus suintensyvintas mokslo ir verslo bendradarbiavimas, padidės </w:t>
            </w:r>
            <w:r w:rsidRPr="00385835">
              <w:rPr>
                <w:rFonts w:ascii="Times New Roman" w:hAnsi="Times New Roman"/>
                <w:bCs/>
                <w:iCs/>
                <w:sz w:val="24"/>
                <w:szCs w:val="24"/>
              </w:rPr>
              <w:t>inovacinę veiklą vykdančių įmonių, bendradarbiaujančių su partneriais, dalis</w:t>
            </w:r>
            <w:r w:rsidRPr="00385835">
              <w:rPr>
                <w:rFonts w:ascii="Times New Roman" w:hAnsi="Times New Roman"/>
                <w:iCs/>
                <w:sz w:val="24"/>
                <w:szCs w:val="24"/>
              </w:rPr>
              <w:t>, bus įveiklinta jau sukurta MTEPI infrastruktūra, išaugs ūkio subjektų finansuota aukštojo mokslo MTEP išlaidų dalis, kuri tiesiogiai atspindi mokslo pajėgumą žinias paversti pinigais.</w:t>
            </w:r>
          </w:p>
        </w:tc>
      </w:tr>
    </w:tbl>
    <w:p w:rsidR="00385835" w:rsidRPr="00385835" w:rsidRDefault="00385835" w:rsidP="00385835">
      <w:pPr>
        <w:spacing w:after="0" w:line="240" w:lineRule="auto"/>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553"/>
        <w:gridCol w:w="1715"/>
        <w:gridCol w:w="1134"/>
        <w:gridCol w:w="1134"/>
        <w:gridCol w:w="851"/>
        <w:gridCol w:w="992"/>
        <w:gridCol w:w="851"/>
        <w:gridCol w:w="1275"/>
        <w:gridCol w:w="1241"/>
      </w:tblGrid>
      <w:tr w:rsidR="00385835" w:rsidRPr="00385835" w:rsidTr="00385835">
        <w:tc>
          <w:tcPr>
            <w:tcW w:w="9746" w:type="dxa"/>
            <w:gridSpan w:val="9"/>
            <w:shd w:val="clear" w:color="auto" w:fill="EEECE1"/>
          </w:tcPr>
          <w:p w:rsidR="00385835" w:rsidRPr="00385835" w:rsidRDefault="00385835" w:rsidP="00DA04FC">
            <w:pPr>
              <w:widowControl w:val="0"/>
              <w:tabs>
                <w:tab w:val="left" w:pos="622"/>
              </w:tabs>
              <w:spacing w:after="0" w:line="240" w:lineRule="auto"/>
              <w:jc w:val="both"/>
              <w:rPr>
                <w:rFonts w:ascii="Times New Roman" w:eastAsia="AngsanaUPC" w:hAnsi="Times New Roman"/>
                <w:b/>
                <w:bCs/>
                <w:i/>
                <w:iCs/>
                <w:sz w:val="24"/>
                <w:szCs w:val="24"/>
                <w:lang w:eastAsia="lt-LT"/>
              </w:rPr>
            </w:pPr>
            <w:r w:rsidRPr="00385835">
              <w:rPr>
                <w:rFonts w:ascii="Times New Roman" w:eastAsia="AngsanaUPC" w:hAnsi="Times New Roman"/>
                <w:b/>
                <w:bCs/>
                <w:i/>
                <w:iCs/>
                <w:sz w:val="24"/>
                <w:szCs w:val="24"/>
                <w:lang w:eastAsia="lt-LT"/>
              </w:rPr>
              <w:t xml:space="preserve">ERPF </w:t>
            </w:r>
            <w:r w:rsidR="00DA04FC">
              <w:rPr>
                <w:rFonts w:ascii="Times New Roman" w:eastAsia="AngsanaUPC" w:hAnsi="Times New Roman"/>
                <w:b/>
                <w:bCs/>
                <w:i/>
                <w:iCs/>
                <w:sz w:val="24"/>
                <w:szCs w:val="24"/>
                <w:lang w:eastAsia="lt-LT"/>
              </w:rPr>
              <w:t>specialieji</w:t>
            </w:r>
            <w:r w:rsidR="00DA04FC" w:rsidRPr="00385835">
              <w:rPr>
                <w:rFonts w:ascii="Times New Roman" w:eastAsia="AngsanaUPC" w:hAnsi="Times New Roman"/>
                <w:b/>
                <w:bCs/>
                <w:i/>
                <w:iCs/>
                <w:sz w:val="24"/>
                <w:szCs w:val="24"/>
                <w:lang w:eastAsia="lt-LT"/>
              </w:rPr>
              <w:t xml:space="preserve"> </w:t>
            </w:r>
            <w:r w:rsidRPr="00385835">
              <w:rPr>
                <w:rFonts w:ascii="Times New Roman" w:eastAsia="AngsanaUPC" w:hAnsi="Times New Roman"/>
                <w:b/>
                <w:bCs/>
                <w:i/>
                <w:iCs/>
                <w:sz w:val="24"/>
                <w:szCs w:val="24"/>
                <w:lang w:eastAsia="lt-LT"/>
              </w:rPr>
              <w:t>programos rezultato rodikliai</w:t>
            </w:r>
          </w:p>
        </w:tc>
      </w:tr>
      <w:tr w:rsidR="00385835" w:rsidRPr="00385835" w:rsidTr="005F38BD">
        <w:tblPrEx>
          <w:shd w:val="clear" w:color="auto" w:fill="auto"/>
        </w:tblPrEx>
        <w:trPr>
          <w:cantSplit/>
          <w:trHeight w:val="791"/>
        </w:trPr>
        <w:tc>
          <w:tcPr>
            <w:tcW w:w="553"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Nr.</w:t>
            </w:r>
          </w:p>
        </w:tc>
        <w:tc>
          <w:tcPr>
            <w:tcW w:w="1715"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Rodiklio pavadinimas</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Matavimo vienetas</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Regiono kategorija</w:t>
            </w:r>
          </w:p>
        </w:tc>
        <w:tc>
          <w:tcPr>
            <w:tcW w:w="85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 reikšmė</w:t>
            </w:r>
          </w:p>
        </w:tc>
        <w:tc>
          <w:tcPr>
            <w:tcW w:w="992"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Pradinės reikšmės metai</w:t>
            </w:r>
          </w:p>
        </w:tc>
        <w:tc>
          <w:tcPr>
            <w:tcW w:w="85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Siektina reikšmė (2023)</w:t>
            </w:r>
          </w:p>
        </w:tc>
        <w:tc>
          <w:tcPr>
            <w:tcW w:w="1275"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Duomenų šaltinis</w:t>
            </w:r>
          </w:p>
        </w:tc>
        <w:tc>
          <w:tcPr>
            <w:tcW w:w="124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Atsiskaitymo dažnumas</w:t>
            </w:r>
          </w:p>
        </w:tc>
      </w:tr>
      <w:tr w:rsidR="00385835" w:rsidRPr="00385835" w:rsidTr="001A61F5">
        <w:tblPrEx>
          <w:shd w:val="clear" w:color="auto" w:fill="auto"/>
        </w:tblPrEx>
        <w:tc>
          <w:tcPr>
            <w:tcW w:w="553" w:type="dxa"/>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18"/>
                <w:szCs w:val="18"/>
                <w:lang w:eastAsia="lt-LT"/>
              </w:rPr>
            </w:pPr>
            <w:r w:rsidRPr="00385835">
              <w:rPr>
                <w:rFonts w:ascii="Times New Roman" w:eastAsia="AngsanaUPC" w:hAnsi="Times New Roman"/>
                <w:bCs/>
                <w:sz w:val="18"/>
                <w:szCs w:val="18"/>
                <w:lang w:eastAsia="lt-LT"/>
              </w:rPr>
              <w:t>1.</w:t>
            </w:r>
          </w:p>
        </w:tc>
        <w:tc>
          <w:tcPr>
            <w:tcW w:w="1715" w:type="dxa"/>
            <w:shd w:val="clear" w:color="auto" w:fill="auto"/>
          </w:tcPr>
          <w:p w:rsidR="00385835" w:rsidRPr="00385835" w:rsidRDefault="00385835" w:rsidP="00385835">
            <w:pPr>
              <w:widowControl w:val="0"/>
              <w:tabs>
                <w:tab w:val="left" w:pos="622"/>
              </w:tabs>
              <w:spacing w:after="0" w:line="240" w:lineRule="auto"/>
              <w:rPr>
                <w:rFonts w:ascii="Times New Roman" w:eastAsia="AngsanaUPC" w:hAnsi="Times New Roman"/>
                <w:bCs/>
                <w:sz w:val="18"/>
                <w:szCs w:val="18"/>
                <w:lang w:eastAsia="lt-LT"/>
              </w:rPr>
            </w:pPr>
            <w:r w:rsidRPr="00385835">
              <w:rPr>
                <w:rFonts w:ascii="Times New Roman" w:hAnsi="Times New Roman"/>
                <w:sz w:val="18"/>
                <w:szCs w:val="18"/>
              </w:rPr>
              <w:t>Ūkio subjektų finansuota mokslo ir studijų institucijų MTEP išlaidų dalis nuo visų išlaidų</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18"/>
                <w:szCs w:val="18"/>
                <w:lang w:eastAsia="lt-LT"/>
              </w:rPr>
            </w:pPr>
            <w:r w:rsidRPr="00385835">
              <w:rPr>
                <w:rFonts w:ascii="Times New Roman" w:hAnsi="Times New Roman"/>
                <w:bCs/>
                <w:sz w:val="18"/>
                <w:szCs w:val="18"/>
                <w:lang w:eastAsia="lt-LT"/>
              </w:rPr>
              <w:t xml:space="preserve">Proc. </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18"/>
                <w:szCs w:val="18"/>
                <w:lang w:eastAsia="lt-LT"/>
              </w:rPr>
            </w:pPr>
            <w:r w:rsidRPr="00385835">
              <w:rPr>
                <w:rFonts w:ascii="Times New Roman" w:hAnsi="Times New Roman"/>
                <w:bCs/>
                <w:sz w:val="18"/>
                <w:szCs w:val="18"/>
                <w:lang w:eastAsia="lt-LT"/>
              </w:rPr>
              <w:t>Mažiau išsivystęs</w:t>
            </w:r>
          </w:p>
        </w:tc>
        <w:tc>
          <w:tcPr>
            <w:tcW w:w="85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hAnsi="Times New Roman"/>
                <w:bCs/>
                <w:sz w:val="18"/>
                <w:szCs w:val="18"/>
                <w:lang w:eastAsia="lt-LT"/>
              </w:rPr>
              <w:t>3,5</w:t>
            </w:r>
          </w:p>
        </w:tc>
        <w:tc>
          <w:tcPr>
            <w:tcW w:w="992"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hAnsi="Times New Roman"/>
                <w:bCs/>
                <w:sz w:val="18"/>
                <w:szCs w:val="18"/>
                <w:lang w:eastAsia="lt-LT"/>
              </w:rPr>
              <w:t>2010</w:t>
            </w:r>
          </w:p>
        </w:tc>
        <w:tc>
          <w:tcPr>
            <w:tcW w:w="85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hAnsi="Times New Roman"/>
                <w:bCs/>
                <w:iCs/>
                <w:sz w:val="18"/>
                <w:szCs w:val="18"/>
                <w:lang w:eastAsia="lt-LT"/>
              </w:rPr>
              <w:t>7</w:t>
            </w:r>
          </w:p>
        </w:tc>
        <w:tc>
          <w:tcPr>
            <w:tcW w:w="1275"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hAnsi="Times New Roman"/>
                <w:bCs/>
                <w:iCs/>
                <w:sz w:val="18"/>
                <w:szCs w:val="18"/>
                <w:lang w:eastAsia="lt-LT"/>
              </w:rPr>
              <w:t>Lietuvos statistikos departamentas</w:t>
            </w:r>
          </w:p>
        </w:tc>
        <w:tc>
          <w:tcPr>
            <w:tcW w:w="124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hAnsi="Times New Roman"/>
                <w:bCs/>
                <w:iCs/>
                <w:sz w:val="18"/>
                <w:szCs w:val="18"/>
                <w:lang w:eastAsia="lt-LT"/>
              </w:rPr>
              <w:t>Kartą per metus</w:t>
            </w:r>
          </w:p>
        </w:tc>
      </w:tr>
    </w:tbl>
    <w:p w:rsidR="00385835" w:rsidRPr="00385835" w:rsidRDefault="00385835" w:rsidP="00385835">
      <w:pPr>
        <w:spacing w:after="0" w:line="240" w:lineRule="auto"/>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9"/>
      </w:tblGrid>
      <w:tr w:rsidR="00385835" w:rsidRPr="00385835" w:rsidTr="00385835">
        <w:tc>
          <w:tcPr>
            <w:tcW w:w="9689" w:type="dxa"/>
            <w:tcBorders>
              <w:top w:val="single" w:sz="4" w:space="0" w:color="auto"/>
              <w:left w:val="single" w:sz="4" w:space="0" w:color="auto"/>
              <w:bottom w:val="single" w:sz="4" w:space="0" w:color="auto"/>
              <w:right w:val="single" w:sz="4" w:space="0" w:color="auto"/>
            </w:tcBorders>
            <w:shd w:val="clear" w:color="auto" w:fill="EEECE1"/>
          </w:tcPr>
          <w:p w:rsidR="00385835" w:rsidRPr="00385835" w:rsidRDefault="00385835" w:rsidP="00385835">
            <w:pPr>
              <w:widowControl w:val="0"/>
              <w:tabs>
                <w:tab w:val="left" w:pos="622"/>
                <w:tab w:val="left" w:pos="1665"/>
              </w:tabs>
              <w:spacing w:after="0" w:line="240" w:lineRule="auto"/>
              <w:jc w:val="both"/>
              <w:rPr>
                <w:rFonts w:ascii="Times New Roman" w:eastAsia="AngsanaUPC" w:hAnsi="Times New Roman"/>
                <w:bCs/>
                <w:iCs/>
                <w:sz w:val="24"/>
                <w:szCs w:val="24"/>
                <w:lang w:eastAsia="lt-LT"/>
              </w:rPr>
            </w:pPr>
            <w:r w:rsidRPr="00385835">
              <w:rPr>
                <w:rFonts w:ascii="Times New Roman" w:eastAsia="AngsanaUPC" w:hAnsi="Times New Roman"/>
                <w:b/>
                <w:bCs/>
                <w:i/>
                <w:iCs/>
                <w:sz w:val="24"/>
                <w:szCs w:val="24"/>
                <w:lang w:eastAsia="lt-LT"/>
              </w:rPr>
              <w:t>1.2. Investicinio prioriteto įgyvendinimo veiklos</w:t>
            </w:r>
          </w:p>
        </w:tc>
      </w:tr>
      <w:tr w:rsidR="00385835" w:rsidRPr="00385835" w:rsidTr="00385835">
        <w:tc>
          <w:tcPr>
            <w:tcW w:w="9689" w:type="dxa"/>
            <w:shd w:val="clear" w:color="auto" w:fill="auto"/>
          </w:tcPr>
          <w:p w:rsidR="00385835" w:rsidRPr="00385835" w:rsidRDefault="00385835" w:rsidP="00031EF1">
            <w:pPr>
              <w:tabs>
                <w:tab w:val="left" w:pos="459"/>
              </w:tabs>
              <w:spacing w:after="0" w:line="240" w:lineRule="auto"/>
              <w:ind w:left="34"/>
              <w:contextualSpacing/>
              <w:jc w:val="both"/>
              <w:rPr>
                <w:rFonts w:ascii="Times New Roman" w:hAnsi="Times New Roman"/>
                <w:bCs/>
                <w:i/>
                <w:iCs/>
                <w:sz w:val="24"/>
                <w:szCs w:val="24"/>
              </w:rPr>
            </w:pPr>
            <w:r w:rsidRPr="00385835">
              <w:rPr>
                <w:rFonts w:ascii="Times New Roman" w:hAnsi="Times New Roman"/>
                <w:bCs/>
                <w:i/>
                <w:iCs/>
                <w:sz w:val="24"/>
                <w:szCs w:val="24"/>
              </w:rPr>
              <w:t>1.2.1. konkretaus uždavinio veiklos:</w:t>
            </w:r>
          </w:p>
          <w:p w:rsidR="00385835" w:rsidRPr="00385835" w:rsidRDefault="00385835" w:rsidP="00650E41">
            <w:pPr>
              <w:numPr>
                <w:ilvl w:val="0"/>
                <w:numId w:val="32"/>
              </w:numPr>
              <w:tabs>
                <w:tab w:val="left" w:pos="459"/>
              </w:tabs>
              <w:spacing w:after="0" w:line="240" w:lineRule="auto"/>
              <w:ind w:left="34" w:firstLine="0"/>
              <w:contextualSpacing/>
              <w:jc w:val="both"/>
              <w:rPr>
                <w:rFonts w:ascii="Times New Roman" w:hAnsi="Times New Roman"/>
                <w:sz w:val="24"/>
                <w:szCs w:val="24"/>
              </w:rPr>
            </w:pPr>
            <w:r w:rsidRPr="00385835">
              <w:rPr>
                <w:rFonts w:ascii="Times New Roman" w:hAnsi="Times New Roman"/>
                <w:sz w:val="24"/>
                <w:szCs w:val="24"/>
              </w:rPr>
              <w:t>Finansavimas bus teikiamas įmonių MTEPI veikloms, skatinant aukštesnės pridėtinės vertės, įskai</w:t>
            </w:r>
            <w:r w:rsidR="001C55D1">
              <w:rPr>
                <w:rFonts w:ascii="Times New Roman" w:hAnsi="Times New Roman"/>
                <w:sz w:val="24"/>
                <w:szCs w:val="24"/>
              </w:rPr>
              <w:t>tant aplinkai draugiškų (žalių)</w:t>
            </w:r>
            <w:r w:rsidRPr="00385835">
              <w:rPr>
                <w:rFonts w:ascii="Times New Roman" w:hAnsi="Times New Roman"/>
                <w:sz w:val="24"/>
                <w:szCs w:val="24"/>
              </w:rPr>
              <w:t xml:space="preserve"> produktų ir paslaugų pasiūlą:</w:t>
            </w:r>
          </w:p>
          <w:p w:rsidR="00385835" w:rsidRPr="00385835" w:rsidRDefault="00385835" w:rsidP="00650E41">
            <w:pPr>
              <w:numPr>
                <w:ilvl w:val="0"/>
                <w:numId w:val="29"/>
              </w:numPr>
              <w:tabs>
                <w:tab w:val="left" w:pos="459"/>
                <w:tab w:val="left" w:pos="1026"/>
              </w:tabs>
              <w:spacing w:after="0" w:line="240" w:lineRule="auto"/>
              <w:ind w:left="34" w:firstLine="567"/>
              <w:contextualSpacing/>
              <w:jc w:val="both"/>
              <w:rPr>
                <w:rFonts w:ascii="Times New Roman" w:hAnsi="Times New Roman"/>
                <w:sz w:val="24"/>
                <w:szCs w:val="24"/>
              </w:rPr>
            </w:pPr>
            <w:r w:rsidRPr="00385835">
              <w:rPr>
                <w:rFonts w:ascii="Times New Roman" w:hAnsi="Times New Roman"/>
                <w:bCs/>
                <w:iCs/>
                <w:sz w:val="24"/>
                <w:szCs w:val="24"/>
              </w:rPr>
              <w:t xml:space="preserve">įmonių intelektinės nuosavybės kūrimas, apsauga ir licencijavimas, remiant išradimų </w:t>
            </w:r>
            <w:r w:rsidRPr="00385835">
              <w:rPr>
                <w:rFonts w:ascii="Times New Roman" w:hAnsi="Times New Roman"/>
                <w:sz w:val="24"/>
                <w:szCs w:val="24"/>
              </w:rPr>
              <w:t>patentavimą</w:t>
            </w:r>
            <w:r w:rsidRPr="00385835">
              <w:rPr>
                <w:rFonts w:ascii="Times New Roman" w:hAnsi="Times New Roman"/>
                <w:bCs/>
                <w:iCs/>
                <w:sz w:val="24"/>
                <w:szCs w:val="24"/>
              </w:rPr>
              <w:t xml:space="preserve">, dizaino </w:t>
            </w:r>
            <w:r w:rsidRPr="00385835">
              <w:rPr>
                <w:rFonts w:ascii="Times New Roman" w:hAnsi="Times New Roman"/>
                <w:sz w:val="24"/>
                <w:szCs w:val="24"/>
              </w:rPr>
              <w:t>registravimą bei jų palaikymą, licencijų įsigijimą;</w:t>
            </w:r>
          </w:p>
          <w:p w:rsidR="00385835" w:rsidRDefault="00385835" w:rsidP="00650E41">
            <w:pPr>
              <w:numPr>
                <w:ilvl w:val="0"/>
                <w:numId w:val="29"/>
              </w:numPr>
              <w:tabs>
                <w:tab w:val="left" w:pos="459"/>
                <w:tab w:val="left" w:pos="1026"/>
              </w:tabs>
              <w:spacing w:after="0" w:line="240" w:lineRule="auto"/>
              <w:ind w:left="34" w:firstLine="567"/>
              <w:contextualSpacing/>
              <w:jc w:val="both"/>
              <w:rPr>
                <w:rFonts w:ascii="Times New Roman" w:hAnsi="Times New Roman"/>
                <w:sz w:val="24"/>
                <w:szCs w:val="24"/>
              </w:rPr>
            </w:pPr>
            <w:r w:rsidRPr="00385835">
              <w:rPr>
                <w:rFonts w:ascii="Times New Roman" w:hAnsi="Times New Roman"/>
                <w:sz w:val="24"/>
                <w:szCs w:val="24"/>
              </w:rPr>
              <w:t>naujų produktų kūrimas įmonėse visuose MTEP etapuose, įskaitant ir pagal „čekio“ principą teikiamą paramą techninių galimybių studijoms ir MTEP projektams nuo naujo produkto idėjos koncepcijos iki produkto prototipo sukūrimo, jo pirminio demonstravimo;</w:t>
            </w:r>
          </w:p>
          <w:p w:rsidR="008A4871" w:rsidRPr="008A4871" w:rsidRDefault="008A4871" w:rsidP="00650E41">
            <w:pPr>
              <w:numPr>
                <w:ilvl w:val="0"/>
                <w:numId w:val="29"/>
              </w:numPr>
              <w:tabs>
                <w:tab w:val="left" w:pos="459"/>
                <w:tab w:val="left" w:pos="1026"/>
              </w:tabs>
              <w:spacing w:after="0" w:line="240" w:lineRule="auto"/>
              <w:ind w:left="34" w:firstLine="567"/>
              <w:contextualSpacing/>
              <w:jc w:val="both"/>
              <w:rPr>
                <w:rFonts w:ascii="Times New Roman" w:hAnsi="Times New Roman"/>
                <w:sz w:val="24"/>
                <w:szCs w:val="24"/>
              </w:rPr>
            </w:pPr>
            <w:r w:rsidRPr="008A4871">
              <w:rPr>
                <w:rFonts w:ascii="Times New Roman" w:hAnsi="Times New Roman"/>
                <w:sz w:val="24"/>
                <w:szCs w:val="24"/>
              </w:rPr>
              <w:t>MTEP mentorystės (pramoninės doktorantūros) skatinimas;</w:t>
            </w:r>
          </w:p>
          <w:p w:rsidR="008A4871" w:rsidRPr="00385835" w:rsidRDefault="008A4871" w:rsidP="00650E41">
            <w:pPr>
              <w:numPr>
                <w:ilvl w:val="0"/>
                <w:numId w:val="29"/>
              </w:numPr>
              <w:tabs>
                <w:tab w:val="left" w:pos="459"/>
                <w:tab w:val="left" w:pos="1026"/>
              </w:tabs>
              <w:spacing w:after="0" w:line="240" w:lineRule="auto"/>
              <w:ind w:left="34" w:firstLine="567"/>
              <w:contextualSpacing/>
              <w:jc w:val="both"/>
              <w:rPr>
                <w:rFonts w:ascii="Times New Roman" w:hAnsi="Times New Roman"/>
                <w:sz w:val="24"/>
                <w:szCs w:val="24"/>
              </w:rPr>
            </w:pPr>
            <w:r w:rsidRPr="008A4871">
              <w:rPr>
                <w:rFonts w:ascii="Times New Roman" w:hAnsi="Times New Roman"/>
                <w:sz w:val="24"/>
                <w:szCs w:val="24"/>
              </w:rPr>
              <w:t>įmonių tyrėjų bei jų grupių vykdomos MTEP veiklos finansavimas, siekiant per praktinę veiklą sustiprinti jų gebėjimus;</w:t>
            </w:r>
          </w:p>
          <w:p w:rsidR="00385835" w:rsidRPr="00385835" w:rsidRDefault="00385835" w:rsidP="00650E41">
            <w:pPr>
              <w:numPr>
                <w:ilvl w:val="0"/>
                <w:numId w:val="29"/>
              </w:numPr>
              <w:tabs>
                <w:tab w:val="left" w:pos="459"/>
                <w:tab w:val="left" w:pos="1026"/>
              </w:tabs>
              <w:spacing w:after="0" w:line="240" w:lineRule="auto"/>
              <w:ind w:left="34" w:firstLine="567"/>
              <w:contextualSpacing/>
              <w:jc w:val="both"/>
              <w:rPr>
                <w:rFonts w:ascii="Times New Roman" w:hAnsi="Times New Roman"/>
                <w:sz w:val="24"/>
                <w:szCs w:val="24"/>
              </w:rPr>
            </w:pPr>
            <w:r w:rsidRPr="00385835">
              <w:rPr>
                <w:rFonts w:ascii="Times New Roman" w:hAnsi="Times New Roman"/>
                <w:sz w:val="24"/>
                <w:szCs w:val="24"/>
              </w:rPr>
              <w:t xml:space="preserve">ankstyvoji naujai sukurtų produktų </w:t>
            </w:r>
            <w:r w:rsidRPr="00385835">
              <w:rPr>
                <w:rFonts w:ascii="Times New Roman" w:hAnsi="Times New Roman"/>
                <w:bCs/>
                <w:iCs/>
                <w:sz w:val="24"/>
                <w:szCs w:val="24"/>
              </w:rPr>
              <w:t>bandomoji gamyba ir parengimas rinkai</w:t>
            </w:r>
            <w:r w:rsidRPr="00385835">
              <w:rPr>
                <w:rFonts w:ascii="Times New Roman" w:hAnsi="Times New Roman"/>
                <w:sz w:val="24"/>
                <w:szCs w:val="24"/>
              </w:rPr>
              <w:t>: parama naujų produktų pre</w:t>
            </w:r>
            <w:proofErr w:type="gramStart"/>
            <w:r w:rsidRPr="00385835">
              <w:rPr>
                <w:rFonts w:ascii="Times New Roman" w:hAnsi="Times New Roman"/>
                <w:sz w:val="24"/>
                <w:szCs w:val="24"/>
              </w:rPr>
              <w:t>-</w:t>
            </w:r>
            <w:proofErr w:type="gramEnd"/>
            <w:r w:rsidRPr="00385835">
              <w:rPr>
                <w:rFonts w:ascii="Times New Roman" w:hAnsi="Times New Roman"/>
                <w:sz w:val="24"/>
                <w:szCs w:val="24"/>
              </w:rPr>
              <w:t>sertifikavimui, bandymai laboratorijose prieš masinę gamybą;</w:t>
            </w:r>
          </w:p>
          <w:p w:rsidR="00385835" w:rsidRPr="00364643" w:rsidRDefault="00385835" w:rsidP="00650E41">
            <w:pPr>
              <w:numPr>
                <w:ilvl w:val="0"/>
                <w:numId w:val="35"/>
              </w:numPr>
              <w:tabs>
                <w:tab w:val="left" w:pos="459"/>
                <w:tab w:val="left" w:pos="1026"/>
              </w:tabs>
              <w:spacing w:after="0" w:line="240" w:lineRule="auto"/>
              <w:ind w:left="34" w:firstLine="567"/>
              <w:contextualSpacing/>
              <w:jc w:val="both"/>
              <w:rPr>
                <w:rFonts w:ascii="Times New Roman" w:hAnsi="Times New Roman"/>
                <w:sz w:val="24"/>
                <w:szCs w:val="24"/>
              </w:rPr>
            </w:pPr>
            <w:r w:rsidRPr="00385835">
              <w:rPr>
                <w:rFonts w:ascii="Times New Roman" w:hAnsi="Times New Roman"/>
                <w:sz w:val="24"/>
                <w:szCs w:val="24"/>
              </w:rPr>
              <w:t xml:space="preserve">inovatyvių idėjų ekonominio panaudojimo ir pradedančių bei jaunų inovatyvių įmonių (įskaitant pumpurines įmones, startuolius) </w:t>
            </w:r>
            <w:r w:rsidRPr="00364643">
              <w:rPr>
                <w:rFonts w:ascii="Times New Roman" w:hAnsi="Times New Roman"/>
                <w:sz w:val="24"/>
                <w:szCs w:val="24"/>
              </w:rPr>
              <w:t>kūrimosi ir plėtros skatinimas, siekiant užtikrinti finansavimo šaltinių prieinamumą (pradinis kapitalas, verslo akseleravimas ir kt.);</w:t>
            </w:r>
          </w:p>
          <w:p w:rsidR="00385835" w:rsidRPr="00364643" w:rsidRDefault="00385835" w:rsidP="00650E41">
            <w:pPr>
              <w:numPr>
                <w:ilvl w:val="0"/>
                <w:numId w:val="35"/>
              </w:numPr>
              <w:tabs>
                <w:tab w:val="left" w:pos="459"/>
                <w:tab w:val="left" w:pos="1026"/>
              </w:tabs>
              <w:spacing w:after="0" w:line="240" w:lineRule="auto"/>
              <w:ind w:left="34" w:firstLine="567"/>
              <w:contextualSpacing/>
              <w:jc w:val="both"/>
              <w:rPr>
                <w:rFonts w:ascii="Times New Roman" w:hAnsi="Times New Roman"/>
                <w:sz w:val="24"/>
                <w:szCs w:val="24"/>
              </w:rPr>
            </w:pPr>
            <w:r w:rsidRPr="00364643">
              <w:rPr>
                <w:rFonts w:ascii="Times New Roman" w:hAnsi="Times New Roman"/>
                <w:sz w:val="24"/>
                <w:szCs w:val="24"/>
              </w:rPr>
              <w:t xml:space="preserve">ūkio subjektų įsitraukimo į </w:t>
            </w:r>
            <w:r w:rsidR="00B02856" w:rsidRPr="00364643">
              <w:rPr>
                <w:rFonts w:ascii="Times New Roman" w:hAnsi="Times New Roman"/>
                <w:sz w:val="24"/>
                <w:szCs w:val="24"/>
              </w:rPr>
              <w:t xml:space="preserve">tarptautinius </w:t>
            </w:r>
            <w:r w:rsidRPr="00364643">
              <w:rPr>
                <w:rFonts w:ascii="Times New Roman" w:hAnsi="Times New Roman"/>
                <w:sz w:val="24"/>
                <w:szCs w:val="24"/>
              </w:rPr>
              <w:t xml:space="preserve">MTEPI </w:t>
            </w:r>
            <w:r w:rsidR="00B02856" w:rsidRPr="00364643">
              <w:rPr>
                <w:rFonts w:ascii="Times New Roman" w:hAnsi="Times New Roman"/>
                <w:sz w:val="24"/>
                <w:szCs w:val="24"/>
              </w:rPr>
              <w:t>projektus/iniciatyvas</w:t>
            </w:r>
            <w:r w:rsidRPr="00364643">
              <w:rPr>
                <w:rFonts w:ascii="Times New Roman" w:hAnsi="Times New Roman"/>
                <w:sz w:val="24"/>
                <w:szCs w:val="24"/>
              </w:rPr>
              <w:t>/</w:t>
            </w:r>
            <w:r w:rsidR="00B02856" w:rsidRPr="00364643">
              <w:rPr>
                <w:rFonts w:ascii="Times New Roman" w:hAnsi="Times New Roman"/>
                <w:sz w:val="24"/>
                <w:szCs w:val="24"/>
              </w:rPr>
              <w:t xml:space="preserve"> </w:t>
            </w:r>
            <w:r w:rsidRPr="00364643">
              <w:rPr>
                <w:rFonts w:ascii="Times New Roman" w:hAnsi="Times New Roman"/>
                <w:sz w:val="24"/>
                <w:szCs w:val="24"/>
              </w:rPr>
              <w:t>skatinimas;</w:t>
            </w:r>
          </w:p>
          <w:p w:rsidR="00385835" w:rsidRPr="00364643" w:rsidRDefault="00385835" w:rsidP="00650E41">
            <w:pPr>
              <w:numPr>
                <w:ilvl w:val="0"/>
                <w:numId w:val="35"/>
              </w:numPr>
              <w:tabs>
                <w:tab w:val="left" w:pos="459"/>
                <w:tab w:val="left" w:pos="1026"/>
              </w:tabs>
              <w:spacing w:after="0" w:line="240" w:lineRule="auto"/>
              <w:ind w:left="34" w:firstLine="567"/>
              <w:contextualSpacing/>
              <w:jc w:val="both"/>
              <w:rPr>
                <w:rFonts w:ascii="Times New Roman" w:hAnsi="Times New Roman"/>
                <w:sz w:val="24"/>
                <w:szCs w:val="24"/>
              </w:rPr>
            </w:pPr>
            <w:r w:rsidRPr="00364643">
              <w:rPr>
                <w:rFonts w:ascii="Times New Roman" w:hAnsi="Times New Roman"/>
                <w:bCs/>
                <w:iCs/>
                <w:sz w:val="24"/>
                <w:szCs w:val="24"/>
              </w:rPr>
              <w:t>įmonių MTEPI infrastruktūros, ypač skirtos prototipų kūrimui, jų testavimui, demonstravimui, bandomajai gamybai ir parengimui rinkai, kūrimas;</w:t>
            </w:r>
          </w:p>
          <w:p w:rsidR="00385835" w:rsidRPr="00385835" w:rsidRDefault="00385835" w:rsidP="00650E41">
            <w:pPr>
              <w:numPr>
                <w:ilvl w:val="0"/>
                <w:numId w:val="35"/>
              </w:numPr>
              <w:tabs>
                <w:tab w:val="left" w:pos="459"/>
                <w:tab w:val="left" w:pos="1026"/>
              </w:tabs>
              <w:spacing w:after="0" w:line="240" w:lineRule="auto"/>
              <w:ind w:left="34" w:firstLine="567"/>
              <w:contextualSpacing/>
              <w:jc w:val="both"/>
              <w:rPr>
                <w:rFonts w:ascii="Times New Roman" w:hAnsi="Times New Roman"/>
                <w:sz w:val="24"/>
                <w:szCs w:val="24"/>
              </w:rPr>
            </w:pPr>
            <w:r w:rsidRPr="00364643">
              <w:rPr>
                <w:rFonts w:ascii="Times New Roman" w:hAnsi="Times New Roman"/>
                <w:bCs/>
                <w:iCs/>
                <w:sz w:val="24"/>
                <w:szCs w:val="24"/>
              </w:rPr>
              <w:t>svarbių pramonės inovatyvumui ir visos ekonomikos augimui DPT pilotinių linijų (įskaitant demonstravimą) ir pažangių pramonės pajėgumų diegimas, ankstyvoji</w:t>
            </w:r>
            <w:r w:rsidRPr="00385835">
              <w:rPr>
                <w:rFonts w:ascii="Times New Roman" w:hAnsi="Times New Roman"/>
                <w:bCs/>
                <w:iCs/>
                <w:sz w:val="24"/>
                <w:szCs w:val="24"/>
              </w:rPr>
              <w:t xml:space="preserve"> bandomoji gamyba ir parengimas rinkai;</w:t>
            </w:r>
          </w:p>
          <w:p w:rsidR="00385835" w:rsidRDefault="00385835" w:rsidP="00650E41">
            <w:pPr>
              <w:numPr>
                <w:ilvl w:val="0"/>
                <w:numId w:val="35"/>
              </w:numPr>
              <w:tabs>
                <w:tab w:val="left" w:pos="459"/>
                <w:tab w:val="left" w:pos="1026"/>
              </w:tabs>
              <w:spacing w:after="0" w:line="240" w:lineRule="auto"/>
              <w:ind w:left="34" w:firstLine="567"/>
              <w:contextualSpacing/>
              <w:jc w:val="both"/>
              <w:rPr>
                <w:rFonts w:ascii="Times New Roman" w:hAnsi="Times New Roman"/>
                <w:sz w:val="24"/>
                <w:szCs w:val="24"/>
              </w:rPr>
            </w:pPr>
            <w:r w:rsidRPr="00385835">
              <w:rPr>
                <w:rFonts w:ascii="Times New Roman" w:hAnsi="Times New Roman"/>
                <w:sz w:val="24"/>
                <w:szCs w:val="24"/>
              </w:rPr>
              <w:t>laisvųjų ekonominių zonų ir pramoninių parkų infrastruktūros, kurioje užsienio įmonės vykdys MTEPI veiklas, įrengimas ir rinkodara;</w:t>
            </w:r>
          </w:p>
          <w:p w:rsidR="000A1452" w:rsidRPr="00891769" w:rsidRDefault="000A1452" w:rsidP="00650E41">
            <w:pPr>
              <w:numPr>
                <w:ilvl w:val="0"/>
                <w:numId w:val="35"/>
              </w:numPr>
              <w:tabs>
                <w:tab w:val="left" w:pos="1026"/>
              </w:tabs>
              <w:spacing w:after="0" w:line="240" w:lineRule="auto"/>
              <w:ind w:left="34" w:firstLine="567"/>
              <w:jc w:val="both"/>
              <w:rPr>
                <w:rFonts w:ascii="Times New Roman" w:hAnsi="Times New Roman"/>
                <w:sz w:val="24"/>
                <w:szCs w:val="24"/>
              </w:rPr>
            </w:pPr>
            <w:r w:rsidRPr="00891769">
              <w:rPr>
                <w:rFonts w:ascii="Times New Roman" w:hAnsi="Times New Roman"/>
                <w:sz w:val="24"/>
                <w:szCs w:val="24"/>
              </w:rPr>
              <w:t xml:space="preserve">skaitmeninių inovacijų centrų infrastruktūros kūrimas ir jos įveiklinimas, suteikiant galimybę pramonės įmonėms gauti naujausią informaciją, ekspertinę pagalbą ir naudotis technologijomis skaitmeninių inovacijų bandymams su įmonės produktais, procesais ar verslo modeliais atlikti. </w:t>
            </w:r>
          </w:p>
          <w:p w:rsidR="00385835" w:rsidRPr="00385835" w:rsidRDefault="00385835" w:rsidP="00650E41">
            <w:pPr>
              <w:numPr>
                <w:ilvl w:val="0"/>
                <w:numId w:val="32"/>
              </w:numPr>
              <w:tabs>
                <w:tab w:val="left" w:pos="459"/>
                <w:tab w:val="left" w:pos="1026"/>
                <w:tab w:val="left" w:pos="1168"/>
              </w:tabs>
              <w:spacing w:after="0" w:line="240" w:lineRule="auto"/>
              <w:ind w:left="34" w:firstLine="0"/>
              <w:contextualSpacing/>
              <w:jc w:val="both"/>
              <w:rPr>
                <w:rFonts w:ascii="Times New Roman" w:hAnsi="Times New Roman"/>
                <w:sz w:val="24"/>
                <w:szCs w:val="24"/>
              </w:rPr>
            </w:pPr>
            <w:r w:rsidRPr="00385835">
              <w:rPr>
                <w:rFonts w:ascii="Times New Roman" w:hAnsi="Times New Roman"/>
                <w:sz w:val="24"/>
                <w:szCs w:val="24"/>
              </w:rPr>
              <w:t xml:space="preserve">Siekiant didinti verslo sektoriaus išlaidas MTEP, svarbus dėmesys bus skiriamas tokių TUI pritraukimui, kurios sudarytų prielaidas ir paremtų sumanios specializacijos strategijos MTEPI srityje (ir joje numatytos Lietuvos ūkio transformacijos) ir susijusiose srityse įgyvendinimą. Tuo tikslu numatoma parama TUI paieškai, investicijos į TUI pritraukimui aktualią infrastruktūrą (MTEPI centrų įkūrimas, taip pat inovatyvių technologijų/įrangos, skirtos gamybai, įsigijimas ir jos tolimesnė plėtra, adaptavimas ir integravimas su kitomis technologijomis ir paslaugomis, pilotinių linijų, įskaitant demonstracines, įrengimas) bei parama užsienio įmonių ir Lietuvos įmonių ar mokslo ir studijų institucijų bendradarbiavimui </w:t>
            </w:r>
            <w:proofErr w:type="gramStart"/>
            <w:r w:rsidRPr="00385835">
              <w:rPr>
                <w:rFonts w:ascii="Times New Roman" w:hAnsi="Times New Roman"/>
                <w:sz w:val="24"/>
                <w:szCs w:val="24"/>
              </w:rPr>
              <w:t>(</w:t>
            </w:r>
            <w:proofErr w:type="gramEnd"/>
            <w:r w:rsidRPr="00385835">
              <w:rPr>
                <w:rFonts w:ascii="Times New Roman" w:hAnsi="Times New Roman"/>
                <w:sz w:val="24"/>
                <w:szCs w:val="24"/>
              </w:rPr>
              <w:t>vykdant bendrus MTEPI projektus).</w:t>
            </w:r>
          </w:p>
          <w:p w:rsidR="00385835" w:rsidRPr="00385835" w:rsidRDefault="00385835" w:rsidP="00650E41">
            <w:pPr>
              <w:numPr>
                <w:ilvl w:val="0"/>
                <w:numId w:val="32"/>
              </w:numPr>
              <w:tabs>
                <w:tab w:val="left" w:pos="459"/>
              </w:tabs>
              <w:spacing w:after="0" w:line="240" w:lineRule="auto"/>
              <w:ind w:left="34" w:firstLine="0"/>
              <w:contextualSpacing/>
              <w:jc w:val="both"/>
              <w:rPr>
                <w:rFonts w:ascii="Times New Roman" w:hAnsi="Times New Roman"/>
                <w:sz w:val="24"/>
                <w:szCs w:val="24"/>
              </w:rPr>
            </w:pPr>
            <w:r w:rsidRPr="00385835">
              <w:rPr>
                <w:rFonts w:ascii="Times New Roman" w:hAnsi="Times New Roman"/>
                <w:sz w:val="24"/>
                <w:szCs w:val="24"/>
              </w:rPr>
              <w:t>Tinklų kūrimas ir plėtra, parama MTEPI partnerystės veikloms:</w:t>
            </w:r>
          </w:p>
          <w:p w:rsidR="00385835" w:rsidRPr="00385835" w:rsidRDefault="00385835" w:rsidP="00650E41">
            <w:pPr>
              <w:numPr>
                <w:ilvl w:val="0"/>
                <w:numId w:val="28"/>
              </w:numPr>
              <w:tabs>
                <w:tab w:val="left" w:pos="459"/>
                <w:tab w:val="left" w:pos="1026"/>
              </w:tabs>
              <w:spacing w:after="0" w:line="240" w:lineRule="auto"/>
              <w:ind w:left="34" w:firstLine="567"/>
              <w:contextualSpacing/>
              <w:jc w:val="both"/>
              <w:rPr>
                <w:rFonts w:ascii="Times New Roman" w:hAnsi="Times New Roman"/>
                <w:b/>
                <w:sz w:val="24"/>
                <w:szCs w:val="24"/>
              </w:rPr>
            </w:pPr>
            <w:r w:rsidRPr="00385835">
              <w:rPr>
                <w:rFonts w:ascii="Times New Roman" w:hAnsi="Times New Roman"/>
                <w:bCs/>
                <w:iCs/>
                <w:sz w:val="24"/>
                <w:szCs w:val="24"/>
              </w:rPr>
              <w:t xml:space="preserve">inovacijų diegimo tinklų (klasterių ir kitų partnerysčių) kūrimas ir veiklos plėtra, teikiant paramą strategijų, tyrimų (įžvalgų, rinkos tyrimų ir kt.), mokymų, tinklaveikos fasilitavimo veikloms, rinkodaros priemonėms ir kitoms veikloms, skirtoms </w:t>
            </w:r>
            <w:r w:rsidRPr="00385835">
              <w:rPr>
                <w:rFonts w:ascii="Times New Roman" w:hAnsi="Times New Roman"/>
                <w:sz w:val="24"/>
                <w:szCs w:val="24"/>
              </w:rPr>
              <w:t xml:space="preserve">tinklams populiarinti ir naujiems nariams pritraukti, įsitraukti į tarptautinius klasterius </w:t>
            </w:r>
            <w:proofErr w:type="gramStart"/>
            <w:r w:rsidRPr="00385835">
              <w:rPr>
                <w:rFonts w:ascii="Times New Roman" w:hAnsi="Times New Roman"/>
                <w:sz w:val="24"/>
                <w:szCs w:val="24"/>
              </w:rPr>
              <w:t>(</w:t>
            </w:r>
            <w:proofErr w:type="gramEnd"/>
            <w:r w:rsidRPr="00385835">
              <w:rPr>
                <w:rFonts w:ascii="Times New Roman" w:hAnsi="Times New Roman"/>
                <w:sz w:val="24"/>
                <w:szCs w:val="24"/>
              </w:rPr>
              <w:t>tinklus) ir pan., paramą teikiant tinklo fasilitatoriui, koordinatoriui;</w:t>
            </w:r>
          </w:p>
          <w:p w:rsidR="00385835" w:rsidRPr="00385835" w:rsidRDefault="00385835" w:rsidP="00650E41">
            <w:pPr>
              <w:numPr>
                <w:ilvl w:val="0"/>
                <w:numId w:val="28"/>
              </w:numPr>
              <w:tabs>
                <w:tab w:val="left" w:pos="459"/>
                <w:tab w:val="left" w:pos="1026"/>
              </w:tabs>
              <w:spacing w:after="0" w:line="240" w:lineRule="auto"/>
              <w:ind w:left="34" w:firstLine="567"/>
              <w:contextualSpacing/>
              <w:jc w:val="both"/>
              <w:rPr>
                <w:rFonts w:ascii="Times New Roman" w:hAnsi="Times New Roman"/>
                <w:b/>
                <w:sz w:val="24"/>
                <w:szCs w:val="24"/>
              </w:rPr>
            </w:pPr>
            <w:r w:rsidRPr="00385835">
              <w:rPr>
                <w:rFonts w:ascii="Times New Roman" w:hAnsi="Times New Roman"/>
                <w:bCs/>
                <w:iCs/>
                <w:sz w:val="24"/>
                <w:szCs w:val="24"/>
              </w:rPr>
              <w:t>klasterių MTEPI infrastruktūros, ypač skirtos prototipų kūrimui, jų testavimui, demonstravimui, bandomajai gamybai ir parengimui rinkai, kūrimas;</w:t>
            </w:r>
          </w:p>
          <w:p w:rsidR="00385835" w:rsidRPr="00385835" w:rsidRDefault="00385835" w:rsidP="00650E41">
            <w:pPr>
              <w:numPr>
                <w:ilvl w:val="0"/>
                <w:numId w:val="36"/>
              </w:numPr>
              <w:tabs>
                <w:tab w:val="left" w:pos="459"/>
              </w:tabs>
              <w:spacing w:after="0" w:line="240" w:lineRule="auto"/>
              <w:ind w:left="34" w:firstLine="0"/>
              <w:contextualSpacing/>
              <w:jc w:val="both"/>
              <w:rPr>
                <w:rFonts w:ascii="Times New Roman" w:hAnsi="Times New Roman"/>
                <w:sz w:val="24"/>
                <w:szCs w:val="24"/>
              </w:rPr>
            </w:pPr>
            <w:r w:rsidRPr="00385835">
              <w:rPr>
                <w:rFonts w:ascii="Times New Roman" w:hAnsi="Times New Roman"/>
                <w:bCs/>
                <w:iCs/>
                <w:sz w:val="24"/>
                <w:szCs w:val="24"/>
              </w:rPr>
              <w:t>Inovacijų paramos paslaugų prieinamumo ir kokybės stiprinimas:</w:t>
            </w:r>
          </w:p>
          <w:p w:rsidR="00385835" w:rsidRPr="00385835" w:rsidRDefault="00385835" w:rsidP="00650E41">
            <w:pPr>
              <w:numPr>
                <w:ilvl w:val="0"/>
                <w:numId w:val="49"/>
              </w:numPr>
              <w:tabs>
                <w:tab w:val="left" w:pos="459"/>
                <w:tab w:val="left" w:pos="1026"/>
              </w:tabs>
              <w:spacing w:after="0" w:line="240" w:lineRule="auto"/>
              <w:ind w:left="34" w:firstLine="567"/>
              <w:contextualSpacing/>
              <w:jc w:val="both"/>
              <w:rPr>
                <w:rFonts w:ascii="Times New Roman" w:hAnsi="Times New Roman"/>
                <w:sz w:val="24"/>
                <w:szCs w:val="24"/>
              </w:rPr>
            </w:pPr>
            <w:r w:rsidRPr="00385835">
              <w:rPr>
                <w:rFonts w:ascii="Times New Roman" w:hAnsi="Times New Roman"/>
                <w:bCs/>
                <w:iCs/>
                <w:sz w:val="24"/>
                <w:szCs w:val="24"/>
              </w:rPr>
              <w:t>t</w:t>
            </w:r>
            <w:r w:rsidRPr="00385835">
              <w:rPr>
                <w:rFonts w:ascii="Times New Roman" w:hAnsi="Times New Roman"/>
                <w:sz w:val="24"/>
                <w:szCs w:val="24"/>
              </w:rPr>
              <w:t xml:space="preserve">echnologijų pažangos ir inovacijų populiarinimas, </w:t>
            </w:r>
            <w:r w:rsidR="008A4871" w:rsidRPr="008A4871">
              <w:rPr>
                <w:rFonts w:ascii="Times New Roman" w:hAnsi="Times New Roman"/>
                <w:sz w:val="24"/>
                <w:szCs w:val="24"/>
              </w:rPr>
              <w:t xml:space="preserve">sumanios specializacijos strategijos įgyvendinimo fasilitavimas, </w:t>
            </w:r>
            <w:r w:rsidRPr="00385835">
              <w:rPr>
                <w:rFonts w:ascii="Times New Roman" w:hAnsi="Times New Roman"/>
                <w:sz w:val="24"/>
                <w:szCs w:val="24"/>
              </w:rPr>
              <w:t>kūrybiškumo ugdymas, inovacijų partnerystės skatinimas, technologijų paieška, vertinim</w:t>
            </w:r>
            <w:r w:rsidR="001C55D1">
              <w:rPr>
                <w:rFonts w:ascii="Times New Roman" w:hAnsi="Times New Roman"/>
                <w:sz w:val="24"/>
                <w:szCs w:val="24"/>
              </w:rPr>
              <w:t>as ir technologijų perdavimas,</w:t>
            </w:r>
            <w:r w:rsidRPr="00385835">
              <w:rPr>
                <w:rFonts w:ascii="Times New Roman" w:hAnsi="Times New Roman"/>
                <w:sz w:val="24"/>
                <w:szCs w:val="24"/>
              </w:rPr>
              <w:t xml:space="preserve"> konsultacijos dėl intelektinės </w:t>
            </w:r>
            <w:r w:rsidRPr="00385835">
              <w:rPr>
                <w:rFonts w:ascii="Times New Roman" w:hAnsi="Times New Roman"/>
                <w:sz w:val="24"/>
                <w:szCs w:val="24"/>
              </w:rPr>
              <w:lastRenderedPageBreak/>
              <w:t>nuosavybės teisių apsaugos, naujų produktų parengimo ir pateikimo į rinką, naujų inovacinių įmonių steigimui ir kitoms inovacijų paramos paslaugoms;</w:t>
            </w:r>
          </w:p>
          <w:p w:rsidR="00385835" w:rsidRPr="00891769" w:rsidRDefault="00385835" w:rsidP="00650E41">
            <w:pPr>
              <w:numPr>
                <w:ilvl w:val="0"/>
                <w:numId w:val="36"/>
              </w:numPr>
              <w:tabs>
                <w:tab w:val="left" w:pos="459"/>
                <w:tab w:val="left" w:pos="743"/>
              </w:tabs>
              <w:spacing w:after="0" w:line="240" w:lineRule="auto"/>
              <w:ind w:left="34" w:firstLine="0"/>
              <w:contextualSpacing/>
              <w:jc w:val="both"/>
              <w:rPr>
                <w:rFonts w:ascii="Times New Roman" w:hAnsi="Times New Roman"/>
                <w:sz w:val="24"/>
                <w:szCs w:val="24"/>
              </w:rPr>
            </w:pPr>
            <w:r w:rsidRPr="00891769">
              <w:rPr>
                <w:rFonts w:ascii="Times New Roman" w:hAnsi="Times New Roman"/>
                <w:sz w:val="24"/>
                <w:szCs w:val="24"/>
              </w:rPr>
              <w:t xml:space="preserve">Inovacijų paklausos skatinimas: numatoma diegti ikiprekybinius </w:t>
            </w:r>
            <w:r w:rsidR="000A1452" w:rsidRPr="00891769">
              <w:rPr>
                <w:rFonts w:ascii="Times New Roman" w:hAnsi="Times New Roman"/>
                <w:sz w:val="24"/>
                <w:szCs w:val="24"/>
              </w:rPr>
              <w:t xml:space="preserve">pirkimus </w:t>
            </w:r>
            <w:r w:rsidRPr="00891769">
              <w:rPr>
                <w:rFonts w:ascii="Times New Roman" w:hAnsi="Times New Roman"/>
                <w:sz w:val="24"/>
                <w:szCs w:val="24"/>
              </w:rPr>
              <w:t>(skatinant val</w:t>
            </w:r>
            <w:r w:rsidR="000A1452" w:rsidRPr="00891769">
              <w:rPr>
                <w:rFonts w:ascii="Times New Roman" w:hAnsi="Times New Roman"/>
                <w:sz w:val="24"/>
                <w:szCs w:val="24"/>
              </w:rPr>
              <w:t>stybės institucijas pirkti MTEP</w:t>
            </w:r>
            <w:r w:rsidRPr="00891769">
              <w:rPr>
                <w:rFonts w:ascii="Times New Roman" w:hAnsi="Times New Roman"/>
                <w:sz w:val="24"/>
                <w:szCs w:val="24"/>
              </w:rPr>
              <w:t xml:space="preserve"> paslaugas) ir inovatyvius viešuosius pirkimus bei kt. paklausos skatinimo priemones, skirtas kurti ir/ar teikti į rinką ir įsigyti inovatyvias prekes ir paslaugas visuomenei aktualių socialinių</w:t>
            </w:r>
            <w:proofErr w:type="gramStart"/>
            <w:r w:rsidR="001C55D1" w:rsidRPr="00891769">
              <w:rPr>
                <w:rFonts w:ascii="Times New Roman" w:hAnsi="Times New Roman"/>
                <w:sz w:val="24"/>
                <w:szCs w:val="24"/>
              </w:rPr>
              <w:t>-</w:t>
            </w:r>
            <w:proofErr w:type="gramEnd"/>
            <w:r w:rsidRPr="00891769">
              <w:rPr>
                <w:rFonts w:ascii="Times New Roman" w:hAnsi="Times New Roman"/>
                <w:sz w:val="24"/>
                <w:szCs w:val="24"/>
              </w:rPr>
              <w:t>ekonominių problemų sprendimui.</w:t>
            </w:r>
          </w:p>
          <w:p w:rsidR="00FF08C5" w:rsidRPr="00D54F90" w:rsidRDefault="00FF08C5" w:rsidP="00FF08C5">
            <w:pPr>
              <w:tabs>
                <w:tab w:val="left" w:pos="459"/>
                <w:tab w:val="left" w:pos="743"/>
              </w:tabs>
              <w:spacing w:after="0" w:line="240" w:lineRule="auto"/>
              <w:ind w:left="34"/>
              <w:contextualSpacing/>
              <w:jc w:val="both"/>
              <w:rPr>
                <w:rFonts w:ascii="Times New Roman" w:hAnsi="Times New Roman"/>
                <w:sz w:val="24"/>
                <w:szCs w:val="24"/>
              </w:rPr>
            </w:pPr>
          </w:p>
          <w:p w:rsidR="00385835" w:rsidRPr="00D54F90" w:rsidRDefault="00385835" w:rsidP="00031EF1">
            <w:pPr>
              <w:tabs>
                <w:tab w:val="left" w:pos="459"/>
                <w:tab w:val="left" w:pos="601"/>
              </w:tabs>
              <w:autoSpaceDE w:val="0"/>
              <w:autoSpaceDN w:val="0"/>
              <w:adjustRightInd w:val="0"/>
              <w:spacing w:after="0" w:line="240" w:lineRule="auto"/>
              <w:ind w:left="34"/>
              <w:jc w:val="both"/>
              <w:rPr>
                <w:rFonts w:ascii="Times New Roman" w:eastAsia="Times New Roman" w:hAnsi="Times New Roman"/>
                <w:i/>
                <w:sz w:val="24"/>
                <w:szCs w:val="24"/>
                <w:lang w:eastAsia="lt-LT"/>
              </w:rPr>
            </w:pPr>
            <w:r w:rsidRPr="00D54F90">
              <w:rPr>
                <w:rFonts w:ascii="Times New Roman" w:eastAsia="Times New Roman" w:hAnsi="Times New Roman"/>
                <w:i/>
                <w:sz w:val="24"/>
                <w:szCs w:val="24"/>
                <w:lang w:eastAsia="lt-LT"/>
              </w:rPr>
              <w:t>1.2.2. konkretaus uždavinio veiklos:</w:t>
            </w:r>
          </w:p>
          <w:p w:rsidR="00385835" w:rsidRPr="00D54F90" w:rsidRDefault="00385835" w:rsidP="00650E41">
            <w:pPr>
              <w:numPr>
                <w:ilvl w:val="0"/>
                <w:numId w:val="36"/>
              </w:numPr>
              <w:tabs>
                <w:tab w:val="left" w:pos="459"/>
              </w:tabs>
              <w:autoSpaceDE w:val="0"/>
              <w:autoSpaceDN w:val="0"/>
              <w:adjustRightInd w:val="0"/>
              <w:spacing w:after="0" w:line="240" w:lineRule="auto"/>
              <w:ind w:left="34" w:firstLine="0"/>
              <w:jc w:val="both"/>
              <w:rPr>
                <w:rFonts w:ascii="Times New Roman" w:eastAsia="Times New Roman" w:hAnsi="Times New Roman"/>
                <w:sz w:val="24"/>
                <w:szCs w:val="24"/>
                <w:lang w:eastAsia="lt-LT"/>
              </w:rPr>
            </w:pPr>
            <w:r w:rsidRPr="00D54F90">
              <w:rPr>
                <w:rFonts w:ascii="Times New Roman" w:eastAsia="Times New Roman" w:hAnsi="Times New Roman"/>
                <w:sz w:val="24"/>
                <w:szCs w:val="24"/>
                <w:lang w:eastAsia="lt-LT"/>
              </w:rPr>
              <w:t>Mokslo žinių perdavimas ir MTEP rezultatų komercinimo skatinimas:</w:t>
            </w:r>
          </w:p>
          <w:p w:rsidR="00385835" w:rsidRPr="00D54F90" w:rsidRDefault="00385835" w:rsidP="00650E41">
            <w:pPr>
              <w:numPr>
                <w:ilvl w:val="0"/>
                <w:numId w:val="29"/>
              </w:numPr>
              <w:tabs>
                <w:tab w:val="left" w:pos="459"/>
                <w:tab w:val="left" w:pos="1026"/>
              </w:tabs>
              <w:autoSpaceDE w:val="0"/>
              <w:autoSpaceDN w:val="0"/>
              <w:adjustRightInd w:val="0"/>
              <w:spacing w:after="0" w:line="240" w:lineRule="auto"/>
              <w:ind w:left="34" w:firstLine="567"/>
              <w:jc w:val="both"/>
              <w:rPr>
                <w:rFonts w:ascii="Times New Roman" w:eastAsia="Times New Roman" w:hAnsi="Times New Roman"/>
                <w:sz w:val="24"/>
                <w:szCs w:val="24"/>
                <w:lang w:eastAsia="lt-LT"/>
              </w:rPr>
            </w:pPr>
            <w:r w:rsidRPr="00D54F90">
              <w:rPr>
                <w:rFonts w:ascii="Times New Roman" w:eastAsia="Times New Roman" w:hAnsi="Times New Roman"/>
                <w:sz w:val="24"/>
                <w:szCs w:val="24"/>
                <w:lang w:eastAsia="lt-LT"/>
              </w:rPr>
              <w:t>bendrų mokslo</w:t>
            </w:r>
            <w:proofErr w:type="gramStart"/>
            <w:r w:rsidRPr="00D54F90">
              <w:rPr>
                <w:rFonts w:ascii="Times New Roman" w:eastAsia="Times New Roman" w:hAnsi="Times New Roman"/>
                <w:sz w:val="24"/>
                <w:szCs w:val="24"/>
                <w:lang w:eastAsia="lt-LT"/>
              </w:rPr>
              <w:t>-</w:t>
            </w:r>
            <w:proofErr w:type="gramEnd"/>
            <w:r w:rsidRPr="00D54F90">
              <w:rPr>
                <w:rFonts w:ascii="Times New Roman" w:eastAsia="Times New Roman" w:hAnsi="Times New Roman"/>
                <w:sz w:val="24"/>
                <w:szCs w:val="24"/>
                <w:lang w:eastAsia="lt-LT"/>
              </w:rPr>
              <w:t>verslo projektų, prisidedančių prie sumanios specializacijos strategijos prioritetų įgyvendinimo, vykdymas;</w:t>
            </w:r>
          </w:p>
          <w:p w:rsidR="00385835" w:rsidRPr="00D54F90" w:rsidRDefault="00385835" w:rsidP="00650E41">
            <w:pPr>
              <w:numPr>
                <w:ilvl w:val="0"/>
                <w:numId w:val="29"/>
              </w:numPr>
              <w:tabs>
                <w:tab w:val="left" w:pos="459"/>
                <w:tab w:val="left" w:pos="1026"/>
              </w:tabs>
              <w:autoSpaceDE w:val="0"/>
              <w:autoSpaceDN w:val="0"/>
              <w:adjustRightInd w:val="0"/>
              <w:spacing w:after="0" w:line="240" w:lineRule="auto"/>
              <w:ind w:left="34" w:firstLine="567"/>
              <w:jc w:val="both"/>
              <w:rPr>
                <w:rFonts w:ascii="Times New Roman" w:eastAsia="Times New Roman" w:hAnsi="Times New Roman"/>
                <w:sz w:val="24"/>
                <w:szCs w:val="24"/>
                <w:lang w:eastAsia="lt-LT"/>
              </w:rPr>
            </w:pPr>
            <w:r w:rsidRPr="00D54F90">
              <w:rPr>
                <w:rFonts w:ascii="Times New Roman" w:eastAsia="Times New Roman" w:hAnsi="Times New Roman"/>
                <w:sz w:val="24"/>
                <w:szCs w:val="24"/>
                <w:lang w:eastAsia="lt-LT"/>
              </w:rPr>
              <w:t xml:space="preserve"> tiksliniai moksliniai tyrimai sumanios specializacijos srityje (aukšto lygio tyrėjų grupių vykdomi moksliniai tyrimai užsienio mokslininkų pritraukimas ir MTEP veikla, paralelinių laboratorijų veikla);</w:t>
            </w:r>
          </w:p>
          <w:p w:rsidR="00385835" w:rsidRPr="00891769" w:rsidRDefault="00385835" w:rsidP="00650E41">
            <w:pPr>
              <w:numPr>
                <w:ilvl w:val="0"/>
                <w:numId w:val="29"/>
              </w:numPr>
              <w:tabs>
                <w:tab w:val="left" w:pos="459"/>
                <w:tab w:val="left" w:pos="1026"/>
              </w:tabs>
              <w:autoSpaceDE w:val="0"/>
              <w:autoSpaceDN w:val="0"/>
              <w:adjustRightInd w:val="0"/>
              <w:spacing w:after="0" w:line="240" w:lineRule="auto"/>
              <w:ind w:left="34" w:firstLine="567"/>
              <w:jc w:val="both"/>
              <w:rPr>
                <w:rFonts w:ascii="Times New Roman" w:eastAsia="Times New Roman" w:hAnsi="Times New Roman"/>
                <w:sz w:val="24"/>
                <w:szCs w:val="24"/>
                <w:lang w:eastAsia="lt-LT"/>
              </w:rPr>
            </w:pPr>
            <w:r w:rsidRPr="00D54F90">
              <w:rPr>
                <w:rFonts w:ascii="Times New Roman" w:eastAsia="Times New Roman" w:hAnsi="Times New Roman"/>
                <w:sz w:val="24"/>
                <w:szCs w:val="24"/>
                <w:lang w:eastAsia="lt-LT"/>
              </w:rPr>
              <w:t>kompetencijos centrų</w:t>
            </w:r>
            <w:r w:rsidR="000A1452" w:rsidRPr="00D54F90">
              <w:rPr>
                <w:rFonts w:ascii="Times New Roman" w:eastAsia="Times New Roman" w:hAnsi="Times New Roman"/>
                <w:sz w:val="24"/>
                <w:szCs w:val="24"/>
                <w:lang w:eastAsia="lt-LT"/>
              </w:rPr>
              <w:t>,</w:t>
            </w:r>
            <w:r w:rsidRPr="00D54F90">
              <w:rPr>
                <w:rFonts w:ascii="Times New Roman" w:eastAsia="Times New Roman" w:hAnsi="Times New Roman"/>
                <w:sz w:val="24"/>
                <w:szCs w:val="24"/>
                <w:lang w:eastAsia="lt-LT"/>
              </w:rPr>
              <w:t xml:space="preserve"> inovacijų ir technologijų perdavimo </w:t>
            </w:r>
            <w:r w:rsidRPr="00891769">
              <w:rPr>
                <w:rFonts w:ascii="Times New Roman" w:eastAsia="Times New Roman" w:hAnsi="Times New Roman"/>
                <w:sz w:val="24"/>
                <w:szCs w:val="24"/>
                <w:lang w:eastAsia="lt-LT"/>
              </w:rPr>
              <w:t xml:space="preserve">centrų </w:t>
            </w:r>
            <w:r w:rsidR="000A1452" w:rsidRPr="00891769">
              <w:rPr>
                <w:rFonts w:ascii="Times New Roman" w:eastAsia="Times New Roman" w:hAnsi="Times New Roman"/>
                <w:sz w:val="24"/>
                <w:szCs w:val="24"/>
                <w:lang w:eastAsia="lt-LT"/>
              </w:rPr>
              <w:t xml:space="preserve">ir ekscelencijos centrų </w:t>
            </w:r>
            <w:r w:rsidRPr="00891769">
              <w:rPr>
                <w:rFonts w:ascii="Times New Roman" w:eastAsia="Times New Roman" w:hAnsi="Times New Roman"/>
                <w:sz w:val="24"/>
                <w:szCs w:val="24"/>
                <w:lang w:eastAsia="lt-LT"/>
              </w:rPr>
              <w:t>veiklos skatinimas;</w:t>
            </w:r>
          </w:p>
          <w:p w:rsidR="00385835" w:rsidRPr="00385835" w:rsidRDefault="00385835" w:rsidP="00650E41">
            <w:pPr>
              <w:numPr>
                <w:ilvl w:val="0"/>
                <w:numId w:val="29"/>
              </w:numPr>
              <w:tabs>
                <w:tab w:val="left" w:pos="459"/>
                <w:tab w:val="left" w:pos="1026"/>
              </w:tabs>
              <w:autoSpaceDE w:val="0"/>
              <w:autoSpaceDN w:val="0"/>
              <w:adjustRightInd w:val="0"/>
              <w:spacing w:after="0" w:line="240" w:lineRule="auto"/>
              <w:ind w:left="34" w:firstLine="567"/>
              <w:jc w:val="both"/>
              <w:rPr>
                <w:rFonts w:ascii="Times New Roman" w:eastAsia="Times New Roman" w:hAnsi="Times New Roman"/>
                <w:sz w:val="24"/>
                <w:szCs w:val="24"/>
                <w:lang w:eastAsia="lt-LT"/>
              </w:rPr>
            </w:pPr>
            <w:r w:rsidRPr="00D54F90">
              <w:rPr>
                <w:rFonts w:ascii="Times New Roman" w:eastAsia="Times New Roman" w:hAnsi="Times New Roman"/>
                <w:sz w:val="24"/>
                <w:szCs w:val="24"/>
                <w:lang w:eastAsia="lt-LT"/>
              </w:rPr>
              <w:t>MTEP rezultatų komercinimas ir tarptautiškumo skatinimas (pa</w:t>
            </w:r>
            <w:r w:rsidRPr="00385835">
              <w:rPr>
                <w:rFonts w:ascii="Times New Roman" w:eastAsia="Times New Roman" w:hAnsi="Times New Roman"/>
                <w:sz w:val="24"/>
                <w:szCs w:val="24"/>
                <w:lang w:eastAsia="lt-LT"/>
              </w:rPr>
              <w:t>rama mokslininkų ir kitų tyrėjų bei studentų, dirbančių/studijuojančių mokslo ir studijų institucijose, idėjų komercinimui, parama besikuriančioms jaunoms inovacinėms įmonėms (pumpurinės įmonės, startuoliai), pumpurinių įmonių įkūrėjų stažuotės užsienio mokslo ir studijų institucijose, parama mokslo ir studijų institucijoms vykdančioms ūkio subjektų MTEP užsakymus, pagalba mokslo ir studijų institucijoms registruoti intelektinės nuosavybės teises ir kt. į rinką orientuotų mokslo-verslo projektų įgyvendinimas per tarpvalstybinį tinklą).</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567"/>
        <w:gridCol w:w="2552"/>
        <w:gridCol w:w="1134"/>
        <w:gridCol w:w="850"/>
        <w:gridCol w:w="1134"/>
        <w:gridCol w:w="1134"/>
        <w:gridCol w:w="1134"/>
        <w:gridCol w:w="1276"/>
      </w:tblGrid>
      <w:tr w:rsidR="00385835" w:rsidRPr="00385835" w:rsidTr="00385835">
        <w:trPr>
          <w:tblHeader/>
        </w:trPr>
        <w:tc>
          <w:tcPr>
            <w:tcW w:w="9781" w:type="dxa"/>
            <w:gridSpan w:val="8"/>
            <w:shd w:val="clear" w:color="auto" w:fill="EEECE1"/>
          </w:tcPr>
          <w:p w:rsidR="00385835" w:rsidRPr="00385835" w:rsidRDefault="00385835" w:rsidP="00DA04FC">
            <w:pPr>
              <w:widowControl w:val="0"/>
              <w:tabs>
                <w:tab w:val="left" w:pos="622"/>
              </w:tabs>
              <w:spacing w:after="0" w:line="240" w:lineRule="auto"/>
              <w:jc w:val="both"/>
              <w:rPr>
                <w:rFonts w:ascii="Times New Roman" w:eastAsia="AngsanaUPC" w:hAnsi="Times New Roman"/>
                <w:b/>
                <w:bCs/>
                <w:i/>
                <w:iCs/>
                <w:sz w:val="24"/>
                <w:szCs w:val="24"/>
                <w:lang w:eastAsia="lt-LT"/>
              </w:rPr>
            </w:pPr>
            <w:r w:rsidRPr="00385835">
              <w:rPr>
                <w:rFonts w:ascii="Times New Roman" w:eastAsia="AngsanaUPC" w:hAnsi="Times New Roman"/>
                <w:b/>
                <w:bCs/>
                <w:i/>
                <w:iCs/>
                <w:sz w:val="24"/>
                <w:szCs w:val="24"/>
                <w:lang w:eastAsia="lt-LT"/>
              </w:rPr>
              <w:t xml:space="preserve">ERPF bendrieji ir </w:t>
            </w:r>
            <w:r w:rsidR="00DA04FC">
              <w:rPr>
                <w:rFonts w:ascii="Times New Roman" w:eastAsia="AngsanaUPC" w:hAnsi="Times New Roman"/>
                <w:b/>
                <w:bCs/>
                <w:i/>
                <w:iCs/>
                <w:sz w:val="24"/>
                <w:szCs w:val="24"/>
                <w:lang w:eastAsia="lt-LT"/>
              </w:rPr>
              <w:t>specialieji</w:t>
            </w:r>
            <w:r w:rsidR="00DA04FC" w:rsidRPr="00385835">
              <w:rPr>
                <w:rFonts w:ascii="Times New Roman" w:eastAsia="AngsanaUPC" w:hAnsi="Times New Roman"/>
                <w:b/>
                <w:bCs/>
                <w:i/>
                <w:iCs/>
                <w:sz w:val="24"/>
                <w:szCs w:val="24"/>
                <w:lang w:eastAsia="lt-LT"/>
              </w:rPr>
              <w:t xml:space="preserve"> </w:t>
            </w:r>
            <w:r w:rsidRPr="00385835">
              <w:rPr>
                <w:rFonts w:ascii="Times New Roman" w:eastAsia="AngsanaUPC" w:hAnsi="Times New Roman"/>
                <w:b/>
                <w:bCs/>
                <w:i/>
                <w:iCs/>
                <w:sz w:val="24"/>
                <w:szCs w:val="24"/>
                <w:lang w:eastAsia="lt-LT"/>
              </w:rPr>
              <w:t xml:space="preserve">programos produkto rodikliai </w:t>
            </w:r>
          </w:p>
        </w:tc>
      </w:tr>
      <w:tr w:rsidR="00385835" w:rsidRPr="00385835" w:rsidTr="00385835">
        <w:tblPrEx>
          <w:shd w:val="clear" w:color="auto" w:fill="auto"/>
        </w:tblPrEx>
        <w:trPr>
          <w:tblHeader/>
        </w:trPr>
        <w:tc>
          <w:tcPr>
            <w:tcW w:w="567"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Nr.</w:t>
            </w:r>
          </w:p>
        </w:tc>
        <w:tc>
          <w:tcPr>
            <w:tcW w:w="2552"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Rodiklio pavadinimas</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Matavimo vienetas</w:t>
            </w:r>
          </w:p>
        </w:tc>
        <w:tc>
          <w:tcPr>
            <w:tcW w:w="850"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Fondas</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Regiono kategorija</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Siektina reikšmė (2023)</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Duomenų šaltinis</w:t>
            </w:r>
          </w:p>
        </w:tc>
        <w:tc>
          <w:tcPr>
            <w:tcW w:w="1276"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Atsiskaitymo dažnumas</w:t>
            </w:r>
          </w:p>
        </w:tc>
      </w:tr>
      <w:tr w:rsidR="00385835" w:rsidRPr="00385835" w:rsidTr="00385835">
        <w:tblPrEx>
          <w:shd w:val="clear" w:color="auto" w:fill="auto"/>
        </w:tblPrEx>
        <w:tc>
          <w:tcPr>
            <w:tcW w:w="9781" w:type="dxa"/>
            <w:gridSpan w:val="8"/>
            <w:shd w:val="clear" w:color="auto" w:fill="EEECE1"/>
            <w:vAlign w:val="center"/>
          </w:tcPr>
          <w:p w:rsidR="00385835" w:rsidRPr="00385835" w:rsidRDefault="00385835" w:rsidP="00385835">
            <w:pPr>
              <w:widowControl w:val="0"/>
              <w:tabs>
                <w:tab w:val="left" w:pos="622"/>
              </w:tabs>
              <w:spacing w:after="0" w:line="240" w:lineRule="auto"/>
              <w:rPr>
                <w:rFonts w:ascii="Times New Roman" w:eastAsia="AngsanaUPC" w:hAnsi="Times New Roman"/>
                <w:bCs/>
                <w:i/>
                <w:iCs/>
                <w:sz w:val="18"/>
                <w:szCs w:val="18"/>
                <w:lang w:eastAsia="lt-LT"/>
              </w:rPr>
            </w:pPr>
            <w:r w:rsidRPr="00385835">
              <w:rPr>
                <w:rFonts w:ascii="Times New Roman" w:eastAsia="AngsanaUPC" w:hAnsi="Times New Roman"/>
                <w:bCs/>
                <w:i/>
                <w:iCs/>
                <w:sz w:val="18"/>
                <w:szCs w:val="18"/>
                <w:lang w:eastAsia="lt-LT"/>
              </w:rPr>
              <w:t xml:space="preserve">1.2.1. </w:t>
            </w:r>
            <w:r w:rsidRPr="00385835">
              <w:rPr>
                <w:rFonts w:ascii="Times New Roman" w:eastAsia="AngsanaUPC" w:hAnsi="Times New Roman"/>
                <w:i/>
                <w:iCs/>
                <w:sz w:val="20"/>
                <w:szCs w:val="20"/>
                <w:lang w:eastAsia="lt-LT"/>
              </w:rPr>
              <w:t>konkretaus uždavinio veiklas atspindintys produkto rodikliai:</w:t>
            </w:r>
          </w:p>
        </w:tc>
      </w:tr>
      <w:tr w:rsidR="00385835" w:rsidRPr="00385835" w:rsidTr="00385835">
        <w:tblPrEx>
          <w:shd w:val="clear" w:color="auto" w:fill="auto"/>
        </w:tblPrEx>
        <w:tc>
          <w:tcPr>
            <w:tcW w:w="567" w:type="dxa"/>
            <w:tcBorders>
              <w:left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Subsidijas gaunančių įmonių skaičius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Įmonės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ERPF</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Mažiau išsivystęs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891769" w:rsidRDefault="00882E43" w:rsidP="00385835">
            <w:pPr>
              <w:widowControl w:val="0"/>
              <w:tabs>
                <w:tab w:val="left" w:pos="622"/>
              </w:tabs>
              <w:spacing w:after="0" w:line="240" w:lineRule="auto"/>
              <w:jc w:val="center"/>
              <w:rPr>
                <w:rFonts w:ascii="Times New Roman" w:eastAsia="AngsanaUPC" w:hAnsi="Times New Roman"/>
                <w:bCs/>
                <w:iCs/>
                <w:sz w:val="18"/>
                <w:szCs w:val="18"/>
                <w:highlight w:val="green"/>
                <w:lang w:eastAsia="lt-LT"/>
              </w:rPr>
            </w:pPr>
            <w:r w:rsidRPr="00891769">
              <w:rPr>
                <w:rFonts w:ascii="Times New Roman" w:eastAsia="AngsanaUPC" w:hAnsi="Times New Roman"/>
                <w:bCs/>
                <w:iCs/>
                <w:sz w:val="18"/>
                <w:szCs w:val="18"/>
                <w:lang w:eastAsia="lt-LT"/>
              </w:rPr>
              <w:t>6</w:t>
            </w:r>
            <w:r w:rsidR="00385835" w:rsidRPr="00891769">
              <w:rPr>
                <w:rFonts w:ascii="Times New Roman" w:eastAsia="AngsanaUPC" w:hAnsi="Times New Roman"/>
                <w:bCs/>
                <w:iCs/>
                <w:sz w:val="18"/>
                <w:szCs w:val="18"/>
                <w:lang w:eastAsia="lt-LT"/>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Duomenys iš projektų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385835" w:rsidRPr="00385835" w:rsidTr="00385835">
        <w:tblPrEx>
          <w:shd w:val="clear" w:color="auto" w:fill="auto"/>
        </w:tblPrEx>
        <w:tc>
          <w:tcPr>
            <w:tcW w:w="567" w:type="dxa"/>
            <w:tcBorders>
              <w:left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Privačios investicijos, atitinkančios viešąją paramą inovacijoms arba MTEP projektams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EUR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ERPF</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Mažiau išsivystęs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891769" w:rsidRDefault="00882E43" w:rsidP="00D90882">
            <w:pPr>
              <w:widowControl w:val="0"/>
              <w:tabs>
                <w:tab w:val="left" w:pos="622"/>
              </w:tabs>
              <w:spacing w:after="0" w:line="240" w:lineRule="auto"/>
              <w:jc w:val="center"/>
              <w:rPr>
                <w:rFonts w:ascii="Times New Roman" w:eastAsia="AngsanaUPC" w:hAnsi="Times New Roman"/>
                <w:bCs/>
                <w:iCs/>
                <w:sz w:val="18"/>
                <w:szCs w:val="18"/>
                <w:highlight w:val="green"/>
                <w:lang w:eastAsia="lt-LT"/>
              </w:rPr>
            </w:pPr>
            <w:r w:rsidRPr="00891769">
              <w:rPr>
                <w:rFonts w:ascii="Times New Roman" w:eastAsia="AngsanaUPC" w:hAnsi="Times New Roman"/>
                <w:bCs/>
                <w:iCs/>
                <w:sz w:val="18"/>
                <w:szCs w:val="18"/>
                <w:lang w:eastAsia="lt-LT"/>
              </w:rPr>
              <w:t>160</w:t>
            </w:r>
            <w:r w:rsidR="00D90882" w:rsidRPr="00891769">
              <w:rPr>
                <w:rFonts w:ascii="Times New Roman" w:eastAsia="AngsanaUPC" w:hAnsi="Times New Roman"/>
                <w:bCs/>
                <w:iCs/>
                <w:sz w:val="18"/>
                <w:szCs w:val="18"/>
                <w:lang w:eastAsia="lt-LT"/>
              </w:rPr>
              <w:t>.</w:t>
            </w:r>
            <w:r w:rsidR="00385835" w:rsidRPr="00891769">
              <w:rPr>
                <w:rFonts w:ascii="Times New Roman" w:eastAsia="AngsanaUPC" w:hAnsi="Times New Roman"/>
                <w:bCs/>
                <w:iCs/>
                <w:sz w:val="18"/>
                <w:szCs w:val="18"/>
                <w:lang w:eastAsia="lt-LT"/>
              </w:rPr>
              <w:t>000</w:t>
            </w:r>
            <w:r w:rsidR="00D90882" w:rsidRPr="00891769">
              <w:rPr>
                <w:rFonts w:ascii="Times New Roman" w:eastAsia="AngsanaUPC" w:hAnsi="Times New Roman"/>
                <w:bCs/>
                <w:iCs/>
                <w:sz w:val="18"/>
                <w:szCs w:val="18"/>
                <w:lang w:eastAsia="lt-LT"/>
              </w:rPr>
              <w:t>.</w:t>
            </w:r>
            <w:r w:rsidR="00385835" w:rsidRPr="00891769">
              <w:rPr>
                <w:rFonts w:ascii="Times New Roman" w:eastAsia="AngsanaUPC" w:hAnsi="Times New Roman"/>
                <w:bCs/>
                <w:iCs/>
                <w:sz w:val="18"/>
                <w:szCs w:val="18"/>
                <w:lang w:eastAsia="lt-LT"/>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Duomenys iš projektų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385835" w:rsidRPr="00385835" w:rsidTr="00385835">
        <w:tblPrEx>
          <w:shd w:val="clear" w:color="auto" w:fill="auto"/>
        </w:tblPrEx>
        <w:tc>
          <w:tcPr>
            <w:tcW w:w="567" w:type="dxa"/>
            <w:tcBorders>
              <w:left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3.</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Įmonių, gavusių investicijas siekiant, kad jos pateiktų naujų rinkos produktų, skaičius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Įmonės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ERPF</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Mažiau išsivystęs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D54F90" w:rsidRDefault="00385835" w:rsidP="008A4871">
            <w:pPr>
              <w:widowControl w:val="0"/>
              <w:tabs>
                <w:tab w:val="left" w:pos="622"/>
              </w:tabs>
              <w:spacing w:after="0" w:line="240" w:lineRule="auto"/>
              <w:jc w:val="center"/>
              <w:rPr>
                <w:rFonts w:ascii="Times New Roman" w:eastAsia="AngsanaUPC" w:hAnsi="Times New Roman"/>
                <w:bCs/>
                <w:iCs/>
                <w:sz w:val="18"/>
                <w:szCs w:val="18"/>
                <w:lang w:eastAsia="lt-LT"/>
              </w:rPr>
            </w:pPr>
            <w:r w:rsidRPr="00D54F90">
              <w:rPr>
                <w:rFonts w:ascii="Times New Roman" w:eastAsia="AngsanaUPC" w:hAnsi="Times New Roman"/>
                <w:bCs/>
                <w:iCs/>
                <w:sz w:val="18"/>
                <w:szCs w:val="18"/>
                <w:lang w:eastAsia="lt-LT"/>
              </w:rPr>
              <w:t>1</w:t>
            </w:r>
            <w:r w:rsidR="008A4871" w:rsidRPr="00D54F90">
              <w:rPr>
                <w:rFonts w:ascii="Times New Roman" w:eastAsia="AngsanaUPC" w:hAnsi="Times New Roman"/>
                <w:bCs/>
                <w:iCs/>
                <w:sz w:val="18"/>
                <w:szCs w:val="18"/>
                <w:lang w:eastAsia="lt-LT"/>
              </w:rPr>
              <w:t>3</w:t>
            </w:r>
            <w:r w:rsidRPr="00D54F90">
              <w:rPr>
                <w:rFonts w:ascii="Times New Roman" w:eastAsia="AngsanaUPC" w:hAnsi="Times New Roman"/>
                <w:bCs/>
                <w:iCs/>
                <w:sz w:val="18"/>
                <w:szCs w:val="18"/>
                <w:lang w:eastAsia="lt-LT"/>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Duomenys iš projektų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385835" w:rsidRPr="00385835" w:rsidTr="00385835">
        <w:tblPrEx>
          <w:shd w:val="clear" w:color="auto" w:fill="auto"/>
        </w:tblPrEx>
        <w:tc>
          <w:tcPr>
            <w:tcW w:w="567" w:type="dxa"/>
            <w:tcBorders>
              <w:left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4.</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Įmonių, gavusių investicijas siekiant, kad jos pateiktų naujų įmonės produktų, skaičius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Įmonės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ERPF</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Mažiau išsivystęs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D54F90" w:rsidRDefault="00385835" w:rsidP="008A4871">
            <w:pPr>
              <w:widowControl w:val="0"/>
              <w:tabs>
                <w:tab w:val="left" w:pos="622"/>
              </w:tabs>
              <w:spacing w:after="0" w:line="240" w:lineRule="auto"/>
              <w:jc w:val="center"/>
              <w:rPr>
                <w:rFonts w:ascii="Times New Roman" w:eastAsia="AngsanaUPC" w:hAnsi="Times New Roman"/>
                <w:bCs/>
                <w:iCs/>
                <w:sz w:val="18"/>
                <w:szCs w:val="18"/>
                <w:lang w:eastAsia="lt-LT"/>
              </w:rPr>
            </w:pPr>
            <w:r w:rsidRPr="00D54F90">
              <w:rPr>
                <w:rFonts w:ascii="Times New Roman" w:eastAsia="AngsanaUPC" w:hAnsi="Times New Roman"/>
                <w:bCs/>
                <w:iCs/>
                <w:sz w:val="18"/>
                <w:szCs w:val="18"/>
                <w:lang w:eastAsia="lt-LT"/>
              </w:rPr>
              <w:t>1</w:t>
            </w:r>
            <w:r w:rsidR="008A4871" w:rsidRPr="00D54F90">
              <w:rPr>
                <w:rFonts w:ascii="Times New Roman" w:eastAsia="AngsanaUPC" w:hAnsi="Times New Roman"/>
                <w:bCs/>
                <w:iCs/>
                <w:sz w:val="18"/>
                <w:szCs w:val="18"/>
                <w:lang w:eastAsia="lt-LT"/>
              </w:rPr>
              <w:t>5</w:t>
            </w:r>
            <w:r w:rsidRPr="00D54F90">
              <w:rPr>
                <w:rFonts w:ascii="Times New Roman" w:eastAsia="AngsanaUPC" w:hAnsi="Times New Roman"/>
                <w:bCs/>
                <w:iCs/>
                <w:sz w:val="18"/>
                <w:szCs w:val="18"/>
                <w:lang w:eastAsia="lt-LT"/>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Duomenys iš projektų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385835" w:rsidRPr="00385835" w:rsidTr="00385835">
        <w:tblPrEx>
          <w:shd w:val="clear" w:color="auto" w:fill="auto"/>
        </w:tblPrEx>
        <w:tc>
          <w:tcPr>
            <w:tcW w:w="567" w:type="dxa"/>
            <w:tcBorders>
              <w:left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Įmonių, bendradarbiaujančių su tyrimų institucijomis, skaičius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Įmonės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ERPF</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Mažiau išsivystęs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D54F90" w:rsidRDefault="0012082A"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D54F90">
              <w:rPr>
                <w:rFonts w:ascii="Times New Roman" w:eastAsia="AngsanaUPC" w:hAnsi="Times New Roman"/>
                <w:bCs/>
                <w:iCs/>
                <w:sz w:val="18"/>
                <w:szCs w:val="18"/>
                <w:lang w:eastAsia="lt-LT"/>
              </w:rPr>
              <w:t>3</w:t>
            </w:r>
            <w:r w:rsidR="00385835" w:rsidRPr="00D54F90">
              <w:rPr>
                <w:rFonts w:ascii="Times New Roman" w:eastAsia="AngsanaUPC" w:hAnsi="Times New Roman"/>
                <w:bCs/>
                <w:iCs/>
                <w:sz w:val="18"/>
                <w:szCs w:val="18"/>
                <w:lang w:eastAsia="lt-LT"/>
              </w:rPr>
              <w:t>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Duomenys iš projektų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385835" w:rsidRPr="00385835" w:rsidTr="00385835">
        <w:tblPrEx>
          <w:shd w:val="clear" w:color="auto" w:fill="auto"/>
        </w:tblPrEx>
        <w:tc>
          <w:tcPr>
            <w:tcW w:w="567" w:type="dxa"/>
            <w:tcBorders>
              <w:left w:val="single" w:sz="4" w:space="0" w:color="auto"/>
              <w:bottom w:val="single" w:sz="4" w:space="0" w:color="auto"/>
              <w:right w:val="single" w:sz="4" w:space="0" w:color="auto"/>
            </w:tcBorders>
            <w:shd w:val="clear" w:color="auto" w:fill="auto"/>
            <w:vAlign w:val="center"/>
          </w:tcPr>
          <w:p w:rsidR="00385835" w:rsidRPr="00385835" w:rsidDel="00C2397A"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6.</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Del="00C2397A" w:rsidRDefault="00385835" w:rsidP="00385835">
            <w:pPr>
              <w:spacing w:after="0" w:line="240" w:lineRule="auto"/>
              <w:rPr>
                <w:rFonts w:ascii="Times New Roman" w:hAnsi="Times New Roman"/>
                <w:iCs/>
                <w:sz w:val="18"/>
                <w:szCs w:val="18"/>
                <w:lang w:eastAsia="lt-LT"/>
              </w:rPr>
            </w:pPr>
            <w:r w:rsidRPr="00385835">
              <w:rPr>
                <w:rFonts w:ascii="Times New Roman" w:hAnsi="Times New Roman"/>
                <w:iCs/>
                <w:sz w:val="18"/>
                <w:szCs w:val="18"/>
                <w:lang w:eastAsia="lt-LT"/>
              </w:rPr>
              <w:t>Investicijas gavusių viešųjų teritorijų plotas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Del="00C2397A" w:rsidRDefault="00385835" w:rsidP="00385835">
            <w:pPr>
              <w:spacing w:after="0" w:line="240" w:lineRule="auto"/>
              <w:jc w:val="center"/>
              <w:rPr>
                <w:rFonts w:ascii="Times New Roman" w:hAnsi="Times New Roman"/>
                <w:sz w:val="18"/>
                <w:szCs w:val="18"/>
              </w:rPr>
            </w:pPr>
            <w:r w:rsidRPr="00385835">
              <w:rPr>
                <w:rFonts w:ascii="Times New Roman" w:hAnsi="Times New Roman"/>
                <w:sz w:val="18"/>
                <w:szCs w:val="18"/>
              </w:rPr>
              <w:t xml:space="preserve">Hektarai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Del="00C2397A" w:rsidRDefault="00385835" w:rsidP="00385835">
            <w:pPr>
              <w:spacing w:after="0" w:line="240" w:lineRule="auto"/>
              <w:jc w:val="center"/>
              <w:rPr>
                <w:rFonts w:ascii="Times New Roman" w:hAnsi="Times New Roman"/>
                <w:sz w:val="18"/>
                <w:szCs w:val="18"/>
              </w:rPr>
            </w:pPr>
            <w:r w:rsidRPr="00385835">
              <w:rPr>
                <w:rFonts w:ascii="Times New Roman" w:hAnsi="Times New Roman"/>
                <w:sz w:val="18"/>
                <w:szCs w:val="18"/>
              </w:rPr>
              <w:t>ERPF</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Del="00C2397A" w:rsidRDefault="00385835" w:rsidP="00385835">
            <w:pPr>
              <w:widowControl w:val="0"/>
              <w:tabs>
                <w:tab w:val="left" w:pos="622"/>
              </w:tabs>
              <w:spacing w:after="0" w:line="240" w:lineRule="auto"/>
              <w:jc w:val="center"/>
              <w:rPr>
                <w:rFonts w:ascii="Times New Roman" w:hAnsi="Times New Roman"/>
                <w:bCs/>
                <w:sz w:val="18"/>
                <w:szCs w:val="18"/>
                <w:lang w:eastAsia="lt-LT"/>
              </w:rPr>
            </w:pPr>
            <w:r w:rsidRPr="00385835">
              <w:rPr>
                <w:rFonts w:ascii="Times New Roman" w:eastAsia="AngsanaUPC" w:hAnsi="Times New Roman"/>
                <w:bCs/>
                <w:iCs/>
                <w:sz w:val="18"/>
                <w:szCs w:val="18"/>
                <w:lang w:eastAsia="lt-LT"/>
              </w:rPr>
              <w:t>Mažiau išsivystęs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D54F90" w:rsidDel="00C2397A" w:rsidRDefault="0012082A" w:rsidP="00385835">
            <w:pPr>
              <w:spacing w:after="0" w:line="240" w:lineRule="auto"/>
              <w:jc w:val="center"/>
              <w:rPr>
                <w:rFonts w:ascii="Times New Roman" w:hAnsi="Times New Roman"/>
                <w:sz w:val="18"/>
                <w:szCs w:val="18"/>
              </w:rPr>
            </w:pPr>
            <w:r w:rsidRPr="00891769">
              <w:rPr>
                <w:rFonts w:ascii="Times New Roman" w:hAnsi="Times New Roman"/>
                <w:sz w:val="18"/>
                <w:szCs w:val="18"/>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Del="00C2397A" w:rsidRDefault="00385835" w:rsidP="00385835">
            <w:pPr>
              <w:spacing w:after="0" w:line="240" w:lineRule="auto"/>
              <w:jc w:val="center"/>
              <w:rPr>
                <w:rFonts w:ascii="Times New Roman" w:hAnsi="Times New Roman"/>
                <w:sz w:val="18"/>
                <w:szCs w:val="18"/>
              </w:rPr>
            </w:pPr>
            <w:r w:rsidRPr="00385835">
              <w:rPr>
                <w:rFonts w:ascii="Times New Roman" w:eastAsia="AngsanaUPC" w:hAnsi="Times New Roman"/>
                <w:bCs/>
                <w:iCs/>
                <w:sz w:val="18"/>
                <w:szCs w:val="18"/>
                <w:lang w:eastAsia="lt-LT"/>
              </w:rPr>
              <w:t>Duomenys iš projektų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Del="00C2397A" w:rsidRDefault="00385835" w:rsidP="00385835">
            <w:pPr>
              <w:widowControl w:val="0"/>
              <w:tabs>
                <w:tab w:val="left" w:pos="622"/>
              </w:tabs>
              <w:spacing w:after="0" w:line="240" w:lineRule="auto"/>
              <w:jc w:val="center"/>
              <w:rPr>
                <w:rFonts w:ascii="Times New Roman"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385835" w:rsidRPr="00385835" w:rsidDel="00F06888" w:rsidTr="00385835">
        <w:tblPrEx>
          <w:shd w:val="clear" w:color="auto" w:fill="auto"/>
        </w:tblPrEx>
        <w:tc>
          <w:tcPr>
            <w:tcW w:w="567" w:type="dxa"/>
            <w:tcBorders>
              <w:top w:val="single" w:sz="4" w:space="0" w:color="auto"/>
              <w:left w:val="single" w:sz="4" w:space="0" w:color="auto"/>
              <w:right w:val="single" w:sz="4" w:space="0" w:color="auto"/>
            </w:tcBorders>
            <w:shd w:val="clear" w:color="auto" w:fill="auto"/>
            <w:vAlign w:val="center"/>
          </w:tcPr>
          <w:p w:rsidR="00385835" w:rsidRPr="00385835" w:rsidDel="00F06888"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7.</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Del="00F06888" w:rsidRDefault="00385835" w:rsidP="00385835">
            <w:pPr>
              <w:widowControl w:val="0"/>
              <w:tabs>
                <w:tab w:val="left" w:pos="622"/>
              </w:tabs>
              <w:spacing w:after="0" w:line="240" w:lineRule="auto"/>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Nefinansinę paramą gaunančių įmonių skaičius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Del="00F06888"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Įmonės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Del="00F06888"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ERPF</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Del="00F06888"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Mažiau išsivystęs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D54F90"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D54F90">
              <w:rPr>
                <w:rFonts w:ascii="Times New Roman" w:eastAsia="AngsanaUPC" w:hAnsi="Times New Roman"/>
                <w:bCs/>
                <w:iCs/>
                <w:sz w:val="18"/>
                <w:szCs w:val="18"/>
                <w:lang w:eastAsia="lt-LT"/>
              </w:rPr>
              <w:t>620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Del="00F06888"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Duomenys iš projektų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Del="00F06888"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385835" w:rsidRPr="00385835" w:rsidDel="00F06888" w:rsidTr="00385835">
        <w:tblPrEx>
          <w:shd w:val="clear" w:color="auto" w:fill="auto"/>
        </w:tblPrEx>
        <w:tc>
          <w:tcPr>
            <w:tcW w:w="567" w:type="dxa"/>
            <w:tcBorders>
              <w:top w:val="single" w:sz="4" w:space="0" w:color="auto"/>
              <w:left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8.</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 xml:space="preserve">Kitos formos nei subsidija finansinę paramą gaunančių įmonių skaičius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Įmonės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ERPF</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sz w:val="18"/>
                <w:szCs w:val="18"/>
                <w:lang w:eastAsia="lt-LT"/>
              </w:rPr>
              <w:t>Mažiau išsivystęs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891769" w:rsidDel="00FC3597" w:rsidRDefault="0012082A"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891769">
              <w:rPr>
                <w:rFonts w:ascii="Times New Roman" w:hAnsi="Times New Roman"/>
                <w:sz w:val="18"/>
                <w:szCs w:val="18"/>
              </w:rPr>
              <w:t>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Duomenys iš projektų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385835" w:rsidRPr="00385835" w:rsidDel="00F06888" w:rsidTr="00385835">
        <w:tblPrEx>
          <w:shd w:val="clear" w:color="auto" w:fill="auto"/>
        </w:tblPrEx>
        <w:tc>
          <w:tcPr>
            <w:tcW w:w="567" w:type="dxa"/>
            <w:tcBorders>
              <w:top w:val="single" w:sz="4" w:space="0" w:color="auto"/>
              <w:left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9.</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Privačios investicijos, atitinkančios viešąją paramą įmonėms (ne subsidijos)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EUR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ERPF</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18"/>
                <w:szCs w:val="18"/>
                <w:lang w:eastAsia="lt-LT"/>
              </w:rPr>
            </w:pPr>
            <w:r w:rsidRPr="00385835">
              <w:rPr>
                <w:rFonts w:ascii="Times New Roman" w:eastAsia="AngsanaUPC" w:hAnsi="Times New Roman"/>
                <w:bCs/>
                <w:sz w:val="18"/>
                <w:szCs w:val="18"/>
                <w:lang w:eastAsia="lt-LT"/>
              </w:rPr>
              <w:t>Mažiau išsivystęs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891769" w:rsidRDefault="0012082A" w:rsidP="00D90882">
            <w:pPr>
              <w:widowControl w:val="0"/>
              <w:tabs>
                <w:tab w:val="left" w:pos="622"/>
              </w:tabs>
              <w:spacing w:after="0" w:line="240" w:lineRule="auto"/>
              <w:jc w:val="center"/>
              <w:rPr>
                <w:rFonts w:ascii="Times New Roman" w:hAnsi="Times New Roman"/>
                <w:sz w:val="18"/>
                <w:szCs w:val="18"/>
              </w:rPr>
            </w:pPr>
            <w:r w:rsidRPr="00891769">
              <w:rPr>
                <w:rFonts w:ascii="Times New Roman" w:hAnsi="Times New Roman"/>
                <w:sz w:val="18"/>
                <w:szCs w:val="18"/>
              </w:rPr>
              <w:t>4</w:t>
            </w:r>
            <w:r w:rsidR="00D90882" w:rsidRPr="00891769">
              <w:rPr>
                <w:rFonts w:ascii="Times New Roman" w:hAnsi="Times New Roman"/>
                <w:sz w:val="18"/>
                <w:szCs w:val="18"/>
              </w:rPr>
              <w:t>.</w:t>
            </w:r>
            <w:r w:rsidRPr="00891769">
              <w:rPr>
                <w:rFonts w:ascii="Times New Roman" w:hAnsi="Times New Roman"/>
                <w:sz w:val="18"/>
                <w:szCs w:val="18"/>
              </w:rPr>
              <w:t>77</w:t>
            </w:r>
            <w:r w:rsidR="00385835" w:rsidRPr="00891769">
              <w:rPr>
                <w:rFonts w:ascii="Times New Roman" w:hAnsi="Times New Roman"/>
                <w:sz w:val="18"/>
                <w:szCs w:val="18"/>
              </w:rPr>
              <w:t>0</w:t>
            </w:r>
            <w:r w:rsidR="00D90882" w:rsidRPr="00891769">
              <w:rPr>
                <w:rFonts w:ascii="Times New Roman" w:hAnsi="Times New Roman"/>
                <w:sz w:val="18"/>
                <w:szCs w:val="18"/>
              </w:rPr>
              <w:t>.</w:t>
            </w:r>
            <w:r w:rsidR="00385835" w:rsidRPr="00891769">
              <w:rPr>
                <w:rFonts w:ascii="Times New Roman" w:hAnsi="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Duomenys iš projektų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385835" w:rsidRPr="00385835" w:rsidDel="00F06888" w:rsidTr="00385835">
        <w:tblPrEx>
          <w:shd w:val="clear" w:color="auto" w:fill="auto"/>
        </w:tblPrEx>
        <w:tc>
          <w:tcPr>
            <w:tcW w:w="567" w:type="dxa"/>
            <w:tcBorders>
              <w:top w:val="single" w:sz="4" w:space="0" w:color="auto"/>
              <w:left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10.</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rPr>
                <w:rFonts w:ascii="Times New Roman" w:eastAsia="AngsanaUPC" w:hAnsi="Times New Roman"/>
                <w:bCs/>
                <w:iCs/>
                <w:sz w:val="18"/>
                <w:szCs w:val="18"/>
                <w:lang w:eastAsia="lt-LT"/>
              </w:rPr>
            </w:pPr>
            <w:r w:rsidRPr="00385835">
              <w:rPr>
                <w:rFonts w:ascii="Times New Roman" w:hAnsi="Times New Roman"/>
                <w:sz w:val="18"/>
                <w:szCs w:val="18"/>
              </w:rPr>
              <w:t>Įgyvendintų inovacijų paklausos skatinimo sprendimų skaičius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Skaičius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ERPF</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18"/>
                <w:szCs w:val="18"/>
                <w:lang w:eastAsia="lt-LT"/>
              </w:rPr>
            </w:pPr>
            <w:r w:rsidRPr="00385835">
              <w:rPr>
                <w:rFonts w:ascii="Times New Roman" w:eastAsia="AngsanaUPC" w:hAnsi="Times New Roman"/>
                <w:bCs/>
                <w:iCs/>
                <w:sz w:val="18"/>
                <w:szCs w:val="18"/>
                <w:lang w:eastAsia="lt-LT"/>
              </w:rPr>
              <w:t>Mažiau išsivystęs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Duomenys iš projektų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311D4A" w:rsidRPr="003E71A2" w:rsidDel="00F06888" w:rsidTr="00385835">
        <w:tblPrEx>
          <w:shd w:val="clear" w:color="auto" w:fill="auto"/>
        </w:tblPrEx>
        <w:tc>
          <w:tcPr>
            <w:tcW w:w="567" w:type="dxa"/>
            <w:tcBorders>
              <w:top w:val="single" w:sz="4" w:space="0" w:color="auto"/>
              <w:left w:val="single" w:sz="4" w:space="0" w:color="auto"/>
              <w:right w:val="single" w:sz="4" w:space="0" w:color="auto"/>
            </w:tcBorders>
            <w:shd w:val="clear" w:color="auto" w:fill="auto"/>
            <w:vAlign w:val="center"/>
          </w:tcPr>
          <w:p w:rsidR="00311D4A" w:rsidRPr="003E71A2" w:rsidRDefault="00311D4A" w:rsidP="00311D4A">
            <w:pPr>
              <w:widowControl w:val="0"/>
              <w:tabs>
                <w:tab w:val="left" w:pos="622"/>
              </w:tabs>
              <w:spacing w:after="0" w:line="240" w:lineRule="auto"/>
              <w:jc w:val="center"/>
              <w:rPr>
                <w:rFonts w:ascii="Times New Roman" w:eastAsia="AngsanaUPC" w:hAnsi="Times New Roman"/>
                <w:bCs/>
                <w:iCs/>
                <w:sz w:val="18"/>
                <w:szCs w:val="18"/>
                <w:lang w:eastAsia="lt-LT"/>
              </w:rPr>
            </w:pPr>
            <w:r w:rsidRPr="003E71A2">
              <w:rPr>
                <w:rFonts w:ascii="Times New Roman" w:eastAsia="AngsanaUPC" w:hAnsi="Times New Roman"/>
                <w:bCs/>
                <w:iCs/>
                <w:sz w:val="18"/>
                <w:szCs w:val="18"/>
                <w:lang w:eastAsia="lt-LT"/>
              </w:rPr>
              <w:t>11.</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311D4A" w:rsidRPr="003E71A2" w:rsidRDefault="00311D4A" w:rsidP="00311D4A">
            <w:pPr>
              <w:widowControl w:val="0"/>
              <w:tabs>
                <w:tab w:val="left" w:pos="622"/>
              </w:tabs>
              <w:spacing w:after="0" w:line="240" w:lineRule="auto"/>
              <w:rPr>
                <w:rFonts w:ascii="Times New Roman" w:eastAsia="Times New Roman" w:hAnsi="Times New Roman"/>
                <w:sz w:val="18"/>
                <w:szCs w:val="18"/>
              </w:rPr>
            </w:pPr>
            <w:r w:rsidRPr="003E71A2">
              <w:rPr>
                <w:rFonts w:ascii="Times New Roman" w:eastAsia="Times New Roman" w:hAnsi="Times New Roman"/>
                <w:sz w:val="18"/>
                <w:szCs w:val="18"/>
              </w:rPr>
              <w:t>Investicijas gaunančių įmonių skaičius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1D4A" w:rsidRPr="003E71A2" w:rsidRDefault="00311D4A" w:rsidP="00311D4A">
            <w:pPr>
              <w:widowControl w:val="0"/>
              <w:tabs>
                <w:tab w:val="left" w:pos="622"/>
              </w:tabs>
              <w:spacing w:after="0" w:line="240" w:lineRule="auto"/>
              <w:jc w:val="center"/>
              <w:rPr>
                <w:rFonts w:ascii="Times New Roman" w:eastAsia="AngsanaUPC" w:hAnsi="Times New Roman"/>
                <w:bCs/>
                <w:iCs/>
                <w:sz w:val="18"/>
                <w:szCs w:val="18"/>
                <w:lang w:eastAsia="lt-LT"/>
              </w:rPr>
            </w:pPr>
            <w:r w:rsidRPr="003E71A2">
              <w:rPr>
                <w:rFonts w:ascii="Times New Roman" w:eastAsia="AngsanaUPC" w:hAnsi="Times New Roman"/>
                <w:bCs/>
                <w:iCs/>
                <w:sz w:val="18"/>
                <w:szCs w:val="18"/>
                <w:lang w:eastAsia="lt-LT"/>
              </w:rPr>
              <w:t>Įmonės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11D4A" w:rsidRPr="003E71A2" w:rsidRDefault="00311D4A" w:rsidP="00311D4A">
            <w:pPr>
              <w:widowControl w:val="0"/>
              <w:tabs>
                <w:tab w:val="left" w:pos="622"/>
              </w:tabs>
              <w:spacing w:after="0" w:line="240" w:lineRule="auto"/>
              <w:jc w:val="center"/>
              <w:rPr>
                <w:rFonts w:ascii="Times New Roman" w:eastAsia="AngsanaUPC" w:hAnsi="Times New Roman"/>
                <w:bCs/>
                <w:iCs/>
                <w:sz w:val="18"/>
                <w:szCs w:val="18"/>
                <w:lang w:eastAsia="lt-LT"/>
              </w:rPr>
            </w:pPr>
            <w:r w:rsidRPr="003E71A2">
              <w:rPr>
                <w:rFonts w:ascii="Times New Roman" w:eastAsia="AngsanaUPC" w:hAnsi="Times New Roman"/>
                <w:bCs/>
                <w:iCs/>
                <w:sz w:val="18"/>
                <w:szCs w:val="18"/>
                <w:lang w:eastAsia="lt-LT"/>
              </w:rPr>
              <w:t>ERPF</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1D4A" w:rsidRPr="003E71A2" w:rsidRDefault="00311D4A" w:rsidP="00311D4A">
            <w:pPr>
              <w:widowControl w:val="0"/>
              <w:tabs>
                <w:tab w:val="left" w:pos="622"/>
              </w:tabs>
              <w:spacing w:after="0" w:line="240" w:lineRule="auto"/>
              <w:jc w:val="center"/>
              <w:rPr>
                <w:rFonts w:ascii="Times New Roman" w:eastAsia="AngsanaUPC" w:hAnsi="Times New Roman"/>
                <w:bCs/>
                <w:sz w:val="18"/>
                <w:szCs w:val="18"/>
                <w:lang w:eastAsia="lt-LT"/>
              </w:rPr>
            </w:pPr>
            <w:r w:rsidRPr="003E71A2">
              <w:rPr>
                <w:rFonts w:ascii="Times New Roman" w:eastAsia="AngsanaUPC" w:hAnsi="Times New Roman"/>
                <w:bCs/>
                <w:iCs/>
                <w:sz w:val="18"/>
                <w:szCs w:val="18"/>
                <w:lang w:eastAsia="lt-LT"/>
              </w:rPr>
              <w:t>Mažiau išsivystęs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1D4A" w:rsidRPr="003E71A2" w:rsidRDefault="00311D4A" w:rsidP="00311D4A">
            <w:pPr>
              <w:widowControl w:val="0"/>
              <w:tabs>
                <w:tab w:val="left" w:pos="622"/>
              </w:tabs>
              <w:spacing w:after="0" w:line="240" w:lineRule="auto"/>
              <w:jc w:val="center"/>
              <w:rPr>
                <w:rFonts w:ascii="Times New Roman" w:eastAsia="Times New Roman" w:hAnsi="Times New Roman"/>
                <w:sz w:val="18"/>
                <w:szCs w:val="18"/>
              </w:rPr>
            </w:pPr>
            <w:r w:rsidRPr="003E71A2">
              <w:rPr>
                <w:rFonts w:ascii="Times New Roman" w:eastAsia="Times New Roman" w:hAnsi="Times New Roman"/>
                <w:sz w:val="18"/>
                <w:szCs w:val="18"/>
              </w:rPr>
              <w:t>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1D4A" w:rsidRPr="003E71A2" w:rsidRDefault="00311D4A" w:rsidP="00311D4A">
            <w:pPr>
              <w:widowControl w:val="0"/>
              <w:tabs>
                <w:tab w:val="left" w:pos="622"/>
              </w:tabs>
              <w:spacing w:after="0" w:line="240" w:lineRule="auto"/>
              <w:jc w:val="center"/>
              <w:rPr>
                <w:rFonts w:ascii="Times New Roman" w:eastAsia="AngsanaUPC" w:hAnsi="Times New Roman"/>
                <w:bCs/>
                <w:iCs/>
                <w:sz w:val="18"/>
                <w:szCs w:val="18"/>
                <w:lang w:eastAsia="lt-LT"/>
              </w:rPr>
            </w:pPr>
            <w:r w:rsidRPr="003E71A2">
              <w:rPr>
                <w:rFonts w:ascii="Times New Roman" w:eastAsia="AngsanaUPC" w:hAnsi="Times New Roman"/>
                <w:bCs/>
                <w:iCs/>
                <w:sz w:val="18"/>
                <w:szCs w:val="18"/>
                <w:lang w:eastAsia="lt-LT"/>
              </w:rPr>
              <w:t>Duomenys iš projektų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11D4A" w:rsidRPr="003E71A2" w:rsidRDefault="00311D4A" w:rsidP="00311D4A">
            <w:pPr>
              <w:widowControl w:val="0"/>
              <w:tabs>
                <w:tab w:val="left" w:pos="622"/>
              </w:tabs>
              <w:spacing w:after="0" w:line="240" w:lineRule="auto"/>
              <w:jc w:val="center"/>
              <w:rPr>
                <w:rFonts w:ascii="Times New Roman" w:eastAsia="AngsanaUPC" w:hAnsi="Times New Roman"/>
                <w:bCs/>
                <w:iCs/>
                <w:sz w:val="18"/>
                <w:szCs w:val="18"/>
                <w:lang w:eastAsia="lt-LT"/>
              </w:rPr>
            </w:pPr>
            <w:r w:rsidRPr="003E71A2">
              <w:rPr>
                <w:rFonts w:ascii="Times New Roman" w:eastAsia="AngsanaUPC" w:hAnsi="Times New Roman"/>
                <w:bCs/>
                <w:iCs/>
                <w:sz w:val="18"/>
                <w:szCs w:val="18"/>
                <w:lang w:eastAsia="lt-LT"/>
              </w:rPr>
              <w:t>Kartą per metus</w:t>
            </w:r>
          </w:p>
        </w:tc>
      </w:tr>
      <w:tr w:rsidR="00311D4A" w:rsidRPr="003E71A2" w:rsidDel="00F06888" w:rsidTr="00385835">
        <w:tblPrEx>
          <w:shd w:val="clear" w:color="auto" w:fill="auto"/>
        </w:tblPrEx>
        <w:tc>
          <w:tcPr>
            <w:tcW w:w="567" w:type="dxa"/>
            <w:tcBorders>
              <w:top w:val="single" w:sz="4" w:space="0" w:color="auto"/>
              <w:left w:val="single" w:sz="4" w:space="0" w:color="auto"/>
              <w:right w:val="single" w:sz="4" w:space="0" w:color="auto"/>
            </w:tcBorders>
            <w:shd w:val="clear" w:color="auto" w:fill="auto"/>
            <w:vAlign w:val="center"/>
          </w:tcPr>
          <w:p w:rsidR="00311D4A" w:rsidRPr="003E71A2" w:rsidRDefault="00311D4A" w:rsidP="00311D4A">
            <w:pPr>
              <w:widowControl w:val="0"/>
              <w:tabs>
                <w:tab w:val="left" w:pos="622"/>
              </w:tabs>
              <w:spacing w:after="0" w:line="240" w:lineRule="auto"/>
              <w:jc w:val="center"/>
              <w:rPr>
                <w:rFonts w:ascii="Times New Roman" w:eastAsia="AngsanaUPC" w:hAnsi="Times New Roman"/>
                <w:bCs/>
                <w:iCs/>
                <w:sz w:val="18"/>
                <w:szCs w:val="18"/>
                <w:lang w:eastAsia="lt-LT"/>
              </w:rPr>
            </w:pPr>
            <w:r w:rsidRPr="003E71A2">
              <w:rPr>
                <w:rFonts w:ascii="Times New Roman" w:eastAsia="AngsanaUPC" w:hAnsi="Times New Roman"/>
                <w:bCs/>
                <w:iCs/>
                <w:sz w:val="18"/>
                <w:szCs w:val="18"/>
                <w:lang w:eastAsia="lt-LT"/>
              </w:rPr>
              <w:lastRenderedPageBreak/>
              <w:t>12.</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311D4A" w:rsidRPr="003E71A2" w:rsidRDefault="00311D4A" w:rsidP="00311D4A">
            <w:pPr>
              <w:widowControl w:val="0"/>
              <w:tabs>
                <w:tab w:val="left" w:pos="622"/>
              </w:tabs>
              <w:spacing w:after="0" w:line="240" w:lineRule="auto"/>
              <w:rPr>
                <w:rFonts w:ascii="Times New Roman" w:eastAsia="Times New Roman" w:hAnsi="Times New Roman"/>
                <w:sz w:val="18"/>
                <w:szCs w:val="18"/>
              </w:rPr>
            </w:pPr>
            <w:r w:rsidRPr="003E71A2">
              <w:rPr>
                <w:rFonts w:ascii="Times New Roman" w:eastAsia="Times New Roman" w:hAnsi="Times New Roman"/>
                <w:sz w:val="18"/>
                <w:szCs w:val="18"/>
              </w:rPr>
              <w:t>Investicijas gavusiose įmonėse naujai sukurtos ilgalaikės darbo vietos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1D4A" w:rsidRPr="003E71A2" w:rsidRDefault="00311D4A" w:rsidP="00311D4A">
            <w:pPr>
              <w:widowControl w:val="0"/>
              <w:tabs>
                <w:tab w:val="left" w:pos="622"/>
              </w:tabs>
              <w:spacing w:after="0" w:line="240" w:lineRule="auto"/>
              <w:jc w:val="center"/>
              <w:rPr>
                <w:rFonts w:ascii="Times New Roman" w:eastAsia="AngsanaUPC" w:hAnsi="Times New Roman"/>
                <w:bCs/>
                <w:iCs/>
                <w:sz w:val="18"/>
                <w:szCs w:val="18"/>
                <w:lang w:eastAsia="lt-LT"/>
              </w:rPr>
            </w:pPr>
            <w:r w:rsidRPr="003E71A2">
              <w:rPr>
                <w:rFonts w:ascii="Times New Roman" w:eastAsia="AngsanaUPC" w:hAnsi="Times New Roman"/>
                <w:bCs/>
                <w:iCs/>
                <w:sz w:val="18"/>
                <w:szCs w:val="18"/>
                <w:lang w:eastAsia="lt-LT"/>
              </w:rPr>
              <w:t>Visos darbo dienos ekvivalentai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11D4A" w:rsidRPr="003E71A2" w:rsidRDefault="00311D4A" w:rsidP="00311D4A">
            <w:pPr>
              <w:widowControl w:val="0"/>
              <w:tabs>
                <w:tab w:val="left" w:pos="622"/>
              </w:tabs>
              <w:spacing w:after="0" w:line="240" w:lineRule="auto"/>
              <w:jc w:val="center"/>
              <w:rPr>
                <w:rFonts w:ascii="Times New Roman" w:eastAsia="AngsanaUPC" w:hAnsi="Times New Roman"/>
                <w:bCs/>
                <w:iCs/>
                <w:sz w:val="18"/>
                <w:szCs w:val="18"/>
                <w:lang w:eastAsia="lt-LT"/>
              </w:rPr>
            </w:pPr>
            <w:r w:rsidRPr="003E71A2">
              <w:rPr>
                <w:rFonts w:ascii="Times New Roman" w:eastAsia="AngsanaUPC" w:hAnsi="Times New Roman"/>
                <w:bCs/>
                <w:iCs/>
                <w:sz w:val="18"/>
                <w:szCs w:val="18"/>
                <w:lang w:eastAsia="lt-LT"/>
              </w:rPr>
              <w:t>ERPF</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1D4A" w:rsidRPr="003E71A2" w:rsidRDefault="00311D4A" w:rsidP="00311D4A">
            <w:pPr>
              <w:widowControl w:val="0"/>
              <w:tabs>
                <w:tab w:val="left" w:pos="622"/>
              </w:tabs>
              <w:spacing w:after="0" w:line="240" w:lineRule="auto"/>
              <w:jc w:val="center"/>
              <w:rPr>
                <w:rFonts w:ascii="Times New Roman" w:eastAsia="AngsanaUPC" w:hAnsi="Times New Roman"/>
                <w:bCs/>
                <w:sz w:val="18"/>
                <w:szCs w:val="18"/>
                <w:lang w:eastAsia="lt-LT"/>
              </w:rPr>
            </w:pPr>
            <w:r w:rsidRPr="003E71A2">
              <w:rPr>
                <w:rFonts w:ascii="Times New Roman" w:eastAsia="AngsanaUPC" w:hAnsi="Times New Roman"/>
                <w:bCs/>
                <w:iCs/>
                <w:sz w:val="18"/>
                <w:szCs w:val="18"/>
                <w:lang w:eastAsia="lt-LT"/>
              </w:rPr>
              <w:t>Mažiau išsivystęs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1D4A" w:rsidRPr="00891769" w:rsidRDefault="0012082A" w:rsidP="00311D4A">
            <w:pPr>
              <w:widowControl w:val="0"/>
              <w:tabs>
                <w:tab w:val="left" w:pos="622"/>
              </w:tabs>
              <w:spacing w:after="0" w:line="240" w:lineRule="auto"/>
              <w:jc w:val="center"/>
              <w:rPr>
                <w:rFonts w:ascii="Times New Roman" w:eastAsia="Times New Roman" w:hAnsi="Times New Roman"/>
                <w:sz w:val="18"/>
                <w:szCs w:val="18"/>
              </w:rPr>
            </w:pPr>
            <w:r w:rsidRPr="00891769">
              <w:rPr>
                <w:rFonts w:ascii="Times New Roman" w:eastAsia="Times New Roman" w:hAnsi="Times New Roman"/>
                <w:sz w:val="18"/>
                <w:szCs w:val="18"/>
              </w:rPr>
              <w:t>3</w:t>
            </w:r>
            <w:r w:rsidR="00311D4A" w:rsidRPr="00891769">
              <w:rPr>
                <w:rFonts w:ascii="Times New Roman" w:eastAsia="Times New Roman" w:hAnsi="Times New Roman"/>
                <w:sz w:val="18"/>
                <w:szCs w:val="18"/>
              </w:rPr>
              <w:t>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1D4A" w:rsidRPr="00891769" w:rsidRDefault="00311D4A" w:rsidP="00311D4A">
            <w:pPr>
              <w:widowControl w:val="0"/>
              <w:tabs>
                <w:tab w:val="left" w:pos="622"/>
              </w:tabs>
              <w:spacing w:after="0" w:line="240" w:lineRule="auto"/>
              <w:jc w:val="center"/>
              <w:rPr>
                <w:rFonts w:ascii="Times New Roman" w:eastAsia="AngsanaUPC" w:hAnsi="Times New Roman"/>
                <w:bCs/>
                <w:iCs/>
                <w:sz w:val="18"/>
                <w:szCs w:val="18"/>
                <w:lang w:eastAsia="lt-LT"/>
              </w:rPr>
            </w:pPr>
            <w:r w:rsidRPr="00891769">
              <w:rPr>
                <w:rFonts w:ascii="Times New Roman" w:eastAsia="AngsanaUPC" w:hAnsi="Times New Roman"/>
                <w:bCs/>
                <w:iCs/>
                <w:sz w:val="18"/>
                <w:szCs w:val="18"/>
                <w:lang w:eastAsia="lt-LT"/>
              </w:rPr>
              <w:t>Duomenys iš projektų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11D4A" w:rsidRPr="003E71A2" w:rsidRDefault="00311D4A" w:rsidP="00311D4A">
            <w:pPr>
              <w:widowControl w:val="0"/>
              <w:tabs>
                <w:tab w:val="left" w:pos="622"/>
              </w:tabs>
              <w:spacing w:after="0" w:line="240" w:lineRule="auto"/>
              <w:jc w:val="center"/>
              <w:rPr>
                <w:rFonts w:ascii="Times New Roman" w:eastAsia="AngsanaUPC" w:hAnsi="Times New Roman"/>
                <w:bCs/>
                <w:iCs/>
                <w:sz w:val="18"/>
                <w:szCs w:val="18"/>
                <w:lang w:eastAsia="lt-LT"/>
              </w:rPr>
            </w:pPr>
            <w:r w:rsidRPr="003E71A2">
              <w:rPr>
                <w:rFonts w:ascii="Times New Roman" w:eastAsia="AngsanaUPC" w:hAnsi="Times New Roman"/>
                <w:bCs/>
                <w:iCs/>
                <w:sz w:val="18"/>
                <w:szCs w:val="18"/>
                <w:lang w:eastAsia="lt-LT"/>
              </w:rPr>
              <w:t>Kartą per metus</w:t>
            </w:r>
          </w:p>
        </w:tc>
      </w:tr>
      <w:tr w:rsidR="00385835" w:rsidRPr="00385835" w:rsidTr="00385835">
        <w:tblPrEx>
          <w:shd w:val="clear" w:color="auto" w:fill="auto"/>
        </w:tblPrEx>
        <w:tc>
          <w:tcPr>
            <w:tcW w:w="9781" w:type="dxa"/>
            <w:gridSpan w:val="8"/>
            <w:tcBorders>
              <w:left w:val="single" w:sz="4" w:space="0" w:color="auto"/>
              <w:right w:val="single" w:sz="4" w:space="0" w:color="auto"/>
            </w:tcBorders>
            <w:shd w:val="clear" w:color="auto" w:fill="EEECE1"/>
          </w:tcPr>
          <w:p w:rsidR="00385835" w:rsidRPr="00385835" w:rsidRDefault="00385835" w:rsidP="00385835">
            <w:pPr>
              <w:widowControl w:val="0"/>
              <w:tabs>
                <w:tab w:val="left" w:pos="622"/>
              </w:tabs>
              <w:spacing w:after="0" w:line="240" w:lineRule="auto"/>
              <w:rPr>
                <w:rFonts w:ascii="Times New Roman" w:eastAsia="AngsanaUPC" w:hAnsi="Times New Roman"/>
                <w:bCs/>
                <w:i/>
                <w:iCs/>
                <w:sz w:val="18"/>
                <w:szCs w:val="18"/>
                <w:lang w:eastAsia="lt-LT"/>
              </w:rPr>
            </w:pPr>
            <w:r w:rsidRPr="00385835">
              <w:rPr>
                <w:rFonts w:ascii="Times New Roman" w:eastAsia="AngsanaUPC" w:hAnsi="Times New Roman"/>
                <w:bCs/>
                <w:i/>
                <w:iCs/>
                <w:sz w:val="18"/>
                <w:szCs w:val="18"/>
                <w:lang w:eastAsia="lt-LT"/>
              </w:rPr>
              <w:t xml:space="preserve">1.2.2. </w:t>
            </w:r>
            <w:r w:rsidRPr="00385835">
              <w:rPr>
                <w:rFonts w:ascii="Times New Roman" w:eastAsia="AngsanaUPC" w:hAnsi="Times New Roman"/>
                <w:i/>
                <w:iCs/>
                <w:sz w:val="20"/>
                <w:szCs w:val="20"/>
                <w:lang w:eastAsia="lt-LT"/>
              </w:rPr>
              <w:t>konkretaus uždavinio veiklas atspindintys produkto rodikliai:</w:t>
            </w:r>
          </w:p>
        </w:tc>
      </w:tr>
      <w:tr w:rsidR="001E0FD8" w:rsidRPr="003E71A2" w:rsidTr="00385835">
        <w:tblPrEx>
          <w:shd w:val="clear" w:color="auto" w:fill="auto"/>
        </w:tblPrEx>
        <w:tc>
          <w:tcPr>
            <w:tcW w:w="567" w:type="dxa"/>
            <w:tcBorders>
              <w:left w:val="single" w:sz="4" w:space="0" w:color="auto"/>
              <w:right w:val="single" w:sz="4" w:space="0" w:color="auto"/>
            </w:tcBorders>
            <w:shd w:val="clear" w:color="auto" w:fill="auto"/>
            <w:vAlign w:val="center"/>
          </w:tcPr>
          <w:p w:rsidR="001E0FD8" w:rsidRPr="003E71A2" w:rsidRDefault="001E0FD8" w:rsidP="001E0FD8">
            <w:pPr>
              <w:widowControl w:val="0"/>
              <w:tabs>
                <w:tab w:val="left" w:pos="622"/>
              </w:tabs>
              <w:spacing w:after="0" w:line="240" w:lineRule="auto"/>
              <w:jc w:val="center"/>
              <w:rPr>
                <w:rFonts w:ascii="Times New Roman" w:eastAsia="AngsanaUPC" w:hAnsi="Times New Roman"/>
                <w:bCs/>
                <w:iCs/>
                <w:sz w:val="18"/>
                <w:szCs w:val="18"/>
                <w:lang w:eastAsia="lt-LT"/>
              </w:rPr>
            </w:pPr>
            <w:r w:rsidRPr="003E71A2">
              <w:rPr>
                <w:rFonts w:ascii="Times New Roman" w:eastAsia="AngsanaUPC" w:hAnsi="Times New Roman"/>
                <w:bCs/>
                <w:iCs/>
                <w:sz w:val="18"/>
                <w:szCs w:val="18"/>
                <w:lang w:eastAsia="lt-LT"/>
              </w:rPr>
              <w:t>13.</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1E0FD8" w:rsidRPr="003E71A2" w:rsidRDefault="001E0FD8" w:rsidP="001E0FD8">
            <w:pPr>
              <w:widowControl w:val="0"/>
              <w:tabs>
                <w:tab w:val="left" w:pos="622"/>
              </w:tabs>
              <w:spacing w:after="0" w:line="240" w:lineRule="auto"/>
              <w:rPr>
                <w:rFonts w:ascii="Times New Roman" w:eastAsia="Times New Roman" w:hAnsi="Times New Roman"/>
                <w:sz w:val="18"/>
                <w:szCs w:val="18"/>
              </w:rPr>
            </w:pPr>
            <w:r w:rsidRPr="003E71A2">
              <w:rPr>
                <w:rFonts w:ascii="Times New Roman" w:eastAsia="Times New Roman" w:hAnsi="Times New Roman"/>
                <w:sz w:val="18"/>
                <w:szCs w:val="18"/>
              </w:rPr>
              <w:t>Investicijas gaunančių įmonių skaičius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E0FD8" w:rsidRPr="003E71A2" w:rsidRDefault="001E0FD8" w:rsidP="001E0FD8">
            <w:pPr>
              <w:spacing w:after="0" w:line="240" w:lineRule="auto"/>
              <w:jc w:val="center"/>
              <w:rPr>
                <w:rFonts w:ascii="Times New Roman" w:eastAsia="Times New Roman" w:hAnsi="Times New Roman"/>
                <w:sz w:val="18"/>
                <w:szCs w:val="18"/>
              </w:rPr>
            </w:pPr>
            <w:r w:rsidRPr="003E71A2">
              <w:rPr>
                <w:rFonts w:ascii="Times New Roman" w:eastAsia="Times New Roman" w:hAnsi="Times New Roman"/>
                <w:sz w:val="18"/>
                <w:szCs w:val="18"/>
              </w:rPr>
              <w:t>Įmonės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E0FD8" w:rsidRPr="003E71A2" w:rsidRDefault="001E0FD8" w:rsidP="001E0FD8">
            <w:pPr>
              <w:spacing w:after="0" w:line="240" w:lineRule="auto"/>
              <w:jc w:val="center"/>
              <w:rPr>
                <w:rFonts w:ascii="Times New Roman" w:eastAsia="Times New Roman" w:hAnsi="Times New Roman"/>
                <w:sz w:val="18"/>
                <w:szCs w:val="18"/>
              </w:rPr>
            </w:pPr>
            <w:r w:rsidRPr="003E71A2">
              <w:rPr>
                <w:rFonts w:ascii="Times New Roman" w:eastAsia="Times New Roman" w:hAnsi="Times New Roman"/>
                <w:sz w:val="18"/>
                <w:szCs w:val="18"/>
              </w:rPr>
              <w:t>ERPF</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E0FD8" w:rsidRPr="003E71A2" w:rsidRDefault="001E0FD8" w:rsidP="001E0FD8">
            <w:pPr>
              <w:widowControl w:val="0"/>
              <w:tabs>
                <w:tab w:val="left" w:pos="622"/>
              </w:tabs>
              <w:spacing w:after="0" w:line="240" w:lineRule="auto"/>
              <w:jc w:val="center"/>
              <w:rPr>
                <w:rFonts w:ascii="Times New Roman" w:eastAsia="AngsanaUPC" w:hAnsi="Times New Roman"/>
                <w:bCs/>
                <w:sz w:val="18"/>
                <w:szCs w:val="18"/>
                <w:lang w:eastAsia="lt-LT"/>
              </w:rPr>
            </w:pPr>
            <w:r w:rsidRPr="003E71A2">
              <w:rPr>
                <w:rFonts w:ascii="Times New Roman" w:eastAsia="AngsanaUPC" w:hAnsi="Times New Roman"/>
                <w:bCs/>
                <w:sz w:val="18"/>
                <w:szCs w:val="18"/>
                <w:lang w:eastAsia="lt-LT"/>
              </w:rPr>
              <w:t>Mažiau išsivystęs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E0FD8" w:rsidRPr="003E71A2" w:rsidRDefault="001E0FD8" w:rsidP="001E0FD8">
            <w:pPr>
              <w:spacing w:after="0" w:line="240" w:lineRule="auto"/>
              <w:jc w:val="center"/>
              <w:rPr>
                <w:rFonts w:ascii="Times New Roman" w:eastAsia="Times New Roman" w:hAnsi="Times New Roman"/>
                <w:sz w:val="18"/>
                <w:szCs w:val="18"/>
              </w:rPr>
            </w:pPr>
            <w:r w:rsidRPr="003E71A2">
              <w:rPr>
                <w:rFonts w:ascii="Times New Roman" w:eastAsia="Times New Roman" w:hAnsi="Times New Roman"/>
                <w:sz w:val="18"/>
                <w:szCs w:val="18"/>
              </w:rPr>
              <w:t>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E0FD8" w:rsidRPr="003E71A2" w:rsidRDefault="001E0FD8" w:rsidP="001E0FD8">
            <w:pPr>
              <w:spacing w:after="0" w:line="240" w:lineRule="auto"/>
              <w:jc w:val="center"/>
              <w:rPr>
                <w:rFonts w:ascii="Times New Roman" w:eastAsia="Times New Roman" w:hAnsi="Times New Roman"/>
                <w:sz w:val="18"/>
                <w:szCs w:val="18"/>
              </w:rPr>
            </w:pPr>
            <w:r w:rsidRPr="003E71A2">
              <w:rPr>
                <w:rFonts w:ascii="Times New Roman" w:eastAsia="Times New Roman" w:hAnsi="Times New Roman"/>
                <w:sz w:val="18"/>
                <w:szCs w:val="18"/>
              </w:rPr>
              <w:t>Duomenys iš projektų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E0FD8" w:rsidRPr="003E71A2" w:rsidRDefault="001E0FD8" w:rsidP="001E0FD8">
            <w:pPr>
              <w:widowControl w:val="0"/>
              <w:tabs>
                <w:tab w:val="left" w:pos="622"/>
              </w:tabs>
              <w:spacing w:after="0" w:line="240" w:lineRule="auto"/>
              <w:jc w:val="center"/>
              <w:rPr>
                <w:rFonts w:ascii="Times New Roman" w:eastAsia="AngsanaUPC" w:hAnsi="Times New Roman"/>
                <w:bCs/>
                <w:iCs/>
                <w:sz w:val="18"/>
                <w:szCs w:val="18"/>
                <w:lang w:eastAsia="lt-LT"/>
              </w:rPr>
            </w:pPr>
            <w:r w:rsidRPr="003E71A2">
              <w:rPr>
                <w:rFonts w:ascii="Times New Roman" w:eastAsia="AngsanaUPC" w:hAnsi="Times New Roman"/>
                <w:bCs/>
                <w:iCs/>
                <w:sz w:val="18"/>
                <w:szCs w:val="18"/>
                <w:lang w:eastAsia="lt-LT"/>
              </w:rPr>
              <w:t>Kartą per metus</w:t>
            </w:r>
          </w:p>
        </w:tc>
      </w:tr>
      <w:tr w:rsidR="001E0FD8" w:rsidRPr="00385835" w:rsidTr="00385835">
        <w:tblPrEx>
          <w:shd w:val="clear" w:color="auto" w:fill="auto"/>
        </w:tblPrEx>
        <w:tc>
          <w:tcPr>
            <w:tcW w:w="567" w:type="dxa"/>
            <w:tcBorders>
              <w:left w:val="single" w:sz="4" w:space="0" w:color="auto"/>
              <w:right w:val="single" w:sz="4" w:space="0" w:color="auto"/>
            </w:tcBorders>
            <w:shd w:val="clear" w:color="auto" w:fill="auto"/>
            <w:vAlign w:val="center"/>
          </w:tcPr>
          <w:p w:rsidR="001E0FD8" w:rsidRPr="003E71A2" w:rsidRDefault="001E0FD8" w:rsidP="001E0FD8">
            <w:pPr>
              <w:widowControl w:val="0"/>
              <w:tabs>
                <w:tab w:val="left" w:pos="622"/>
              </w:tabs>
              <w:spacing w:after="0" w:line="240" w:lineRule="auto"/>
              <w:jc w:val="center"/>
              <w:rPr>
                <w:rFonts w:ascii="Times New Roman" w:eastAsia="AngsanaUPC" w:hAnsi="Times New Roman"/>
                <w:bCs/>
                <w:iCs/>
                <w:sz w:val="18"/>
                <w:szCs w:val="18"/>
                <w:lang w:eastAsia="lt-LT"/>
              </w:rPr>
            </w:pPr>
            <w:r w:rsidRPr="003E71A2">
              <w:rPr>
                <w:rFonts w:ascii="Times New Roman" w:eastAsia="AngsanaUPC" w:hAnsi="Times New Roman"/>
                <w:bCs/>
                <w:iCs/>
                <w:sz w:val="18"/>
                <w:szCs w:val="18"/>
                <w:lang w:eastAsia="lt-LT"/>
              </w:rPr>
              <w:t>14.</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1E0FD8" w:rsidRPr="00385835" w:rsidRDefault="001E0FD8" w:rsidP="00385835">
            <w:pPr>
              <w:spacing w:after="0" w:line="240" w:lineRule="auto"/>
              <w:rPr>
                <w:rFonts w:ascii="Times New Roman" w:eastAsia="Times New Roman" w:hAnsi="Times New Roman"/>
                <w:iCs/>
                <w:color w:val="000000"/>
                <w:sz w:val="18"/>
                <w:szCs w:val="18"/>
                <w:lang w:eastAsia="lt-LT"/>
              </w:rPr>
            </w:pPr>
            <w:r w:rsidRPr="00385835">
              <w:rPr>
                <w:rFonts w:ascii="Times New Roman" w:eastAsia="Times New Roman" w:hAnsi="Times New Roman"/>
                <w:iCs/>
                <w:color w:val="000000"/>
                <w:sz w:val="18"/>
                <w:szCs w:val="18"/>
                <w:lang w:eastAsia="lt-LT"/>
              </w:rPr>
              <w:t xml:space="preserve">Naujų įmonių, gavusių investicijas, skaičius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E0FD8" w:rsidRPr="00385835" w:rsidRDefault="001E0FD8" w:rsidP="00385835">
            <w:pPr>
              <w:spacing w:after="0" w:line="240" w:lineRule="auto"/>
              <w:jc w:val="center"/>
              <w:rPr>
                <w:rFonts w:ascii="Times New Roman" w:hAnsi="Times New Roman"/>
                <w:sz w:val="18"/>
                <w:szCs w:val="18"/>
              </w:rPr>
            </w:pPr>
            <w:r w:rsidRPr="00385835">
              <w:rPr>
                <w:rFonts w:ascii="Times New Roman" w:hAnsi="Times New Roman"/>
                <w:sz w:val="18"/>
                <w:szCs w:val="18"/>
              </w:rPr>
              <w:t>Įmonės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E0FD8" w:rsidRPr="00385835" w:rsidRDefault="001E0FD8" w:rsidP="00385835">
            <w:pPr>
              <w:spacing w:after="0" w:line="240" w:lineRule="auto"/>
              <w:jc w:val="center"/>
              <w:rPr>
                <w:rFonts w:ascii="Times New Roman" w:hAnsi="Times New Roman"/>
                <w:sz w:val="18"/>
                <w:szCs w:val="18"/>
              </w:rPr>
            </w:pPr>
            <w:r w:rsidRPr="00385835">
              <w:rPr>
                <w:rFonts w:ascii="Times New Roman" w:hAnsi="Times New Roman"/>
                <w:sz w:val="18"/>
                <w:szCs w:val="18"/>
              </w:rPr>
              <w:t>ERPF</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E0FD8" w:rsidRPr="00385835" w:rsidRDefault="001E0FD8" w:rsidP="00385835">
            <w:pPr>
              <w:widowControl w:val="0"/>
              <w:tabs>
                <w:tab w:val="left" w:pos="622"/>
              </w:tabs>
              <w:spacing w:after="0" w:line="240" w:lineRule="auto"/>
              <w:jc w:val="center"/>
              <w:rPr>
                <w:rFonts w:ascii="Times New Roman" w:eastAsia="AngsanaUPC" w:hAnsi="Times New Roman"/>
                <w:bCs/>
                <w:sz w:val="18"/>
                <w:szCs w:val="18"/>
                <w:lang w:eastAsia="lt-LT"/>
              </w:rPr>
            </w:pPr>
            <w:r w:rsidRPr="00385835">
              <w:rPr>
                <w:rFonts w:ascii="Times New Roman" w:eastAsia="AngsanaUPC" w:hAnsi="Times New Roman"/>
                <w:bCs/>
                <w:sz w:val="18"/>
                <w:szCs w:val="18"/>
                <w:lang w:eastAsia="lt-LT"/>
              </w:rPr>
              <w:t>Mažiau išsivystęs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E0FD8" w:rsidRPr="00385835" w:rsidRDefault="005F6EE3" w:rsidP="00385835">
            <w:pPr>
              <w:spacing w:after="0" w:line="240" w:lineRule="auto"/>
              <w:jc w:val="center"/>
              <w:rPr>
                <w:rFonts w:ascii="Times New Roman" w:hAnsi="Times New Roman"/>
                <w:sz w:val="18"/>
                <w:szCs w:val="18"/>
              </w:rPr>
            </w:pPr>
            <w:r w:rsidRPr="00891769">
              <w:rPr>
                <w:rFonts w:ascii="Times New Roman" w:hAnsi="Times New Roman"/>
                <w:sz w:val="18"/>
                <w:szCs w:val="18"/>
              </w:rPr>
              <w:t>47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E0FD8" w:rsidRPr="00385835" w:rsidRDefault="001E0FD8" w:rsidP="00385835">
            <w:pPr>
              <w:spacing w:after="0" w:line="240" w:lineRule="auto"/>
              <w:jc w:val="center"/>
              <w:rPr>
                <w:rFonts w:ascii="Times New Roman" w:hAnsi="Times New Roman"/>
                <w:sz w:val="18"/>
                <w:szCs w:val="18"/>
              </w:rPr>
            </w:pPr>
            <w:r w:rsidRPr="00385835">
              <w:rPr>
                <w:rFonts w:ascii="Times New Roman" w:hAnsi="Times New Roman"/>
                <w:sz w:val="18"/>
                <w:szCs w:val="18"/>
              </w:rPr>
              <w:t>Duomenys iš projektų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E0FD8" w:rsidRPr="00385835" w:rsidRDefault="001E0FD8"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1E0FD8" w:rsidRPr="00385835" w:rsidTr="00385835">
        <w:tblPrEx>
          <w:shd w:val="clear" w:color="auto" w:fill="auto"/>
        </w:tblPrEx>
        <w:tc>
          <w:tcPr>
            <w:tcW w:w="567" w:type="dxa"/>
            <w:tcBorders>
              <w:left w:val="single" w:sz="4" w:space="0" w:color="auto"/>
              <w:right w:val="single" w:sz="4" w:space="0" w:color="auto"/>
            </w:tcBorders>
            <w:shd w:val="clear" w:color="auto" w:fill="auto"/>
            <w:vAlign w:val="center"/>
          </w:tcPr>
          <w:p w:rsidR="001E0FD8" w:rsidRPr="003E71A2" w:rsidRDefault="001E0FD8" w:rsidP="001E0FD8">
            <w:pPr>
              <w:widowControl w:val="0"/>
              <w:tabs>
                <w:tab w:val="left" w:pos="622"/>
              </w:tabs>
              <w:spacing w:after="0" w:line="240" w:lineRule="auto"/>
              <w:jc w:val="center"/>
              <w:rPr>
                <w:rFonts w:ascii="Times New Roman" w:eastAsia="AngsanaUPC" w:hAnsi="Times New Roman"/>
                <w:bCs/>
                <w:iCs/>
                <w:sz w:val="18"/>
                <w:szCs w:val="18"/>
                <w:lang w:eastAsia="lt-LT"/>
              </w:rPr>
            </w:pPr>
            <w:r w:rsidRPr="003E71A2">
              <w:rPr>
                <w:rFonts w:ascii="Times New Roman" w:eastAsia="AngsanaUPC" w:hAnsi="Times New Roman"/>
                <w:bCs/>
                <w:iCs/>
                <w:sz w:val="18"/>
                <w:szCs w:val="18"/>
                <w:lang w:eastAsia="lt-LT"/>
              </w:rPr>
              <w:t>15.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1E0FD8" w:rsidRPr="00385835" w:rsidRDefault="001E0FD8" w:rsidP="00385835">
            <w:pPr>
              <w:spacing w:after="0" w:line="240" w:lineRule="auto"/>
              <w:rPr>
                <w:rFonts w:ascii="Times New Roman" w:eastAsia="Times New Roman" w:hAnsi="Times New Roman"/>
                <w:iCs/>
                <w:color w:val="000000"/>
                <w:sz w:val="18"/>
                <w:szCs w:val="18"/>
                <w:lang w:eastAsia="lt-LT"/>
              </w:rPr>
            </w:pPr>
            <w:r w:rsidRPr="00385835">
              <w:rPr>
                <w:rFonts w:ascii="Times New Roman" w:eastAsia="Times New Roman" w:hAnsi="Times New Roman"/>
                <w:iCs/>
                <w:color w:val="000000"/>
                <w:sz w:val="18"/>
                <w:szCs w:val="18"/>
                <w:lang w:eastAsia="lt-LT"/>
              </w:rPr>
              <w:t>Investicijas gavusių mokslo ir studijų institucijų pateiktos patentų paraiškos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E0FD8" w:rsidRPr="00385835" w:rsidRDefault="001E0FD8" w:rsidP="00385835">
            <w:pPr>
              <w:spacing w:after="0" w:line="240" w:lineRule="auto"/>
              <w:jc w:val="center"/>
              <w:rPr>
                <w:rFonts w:ascii="Times New Roman" w:hAnsi="Times New Roman"/>
                <w:sz w:val="18"/>
                <w:szCs w:val="18"/>
              </w:rPr>
            </w:pPr>
            <w:r w:rsidRPr="00385835">
              <w:rPr>
                <w:rFonts w:ascii="Times New Roman" w:hAnsi="Times New Roman"/>
                <w:sz w:val="18"/>
                <w:szCs w:val="18"/>
              </w:rPr>
              <w:t>Skaičius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E0FD8" w:rsidRPr="00385835" w:rsidRDefault="001E0FD8" w:rsidP="00385835">
            <w:pPr>
              <w:spacing w:after="0" w:line="240" w:lineRule="auto"/>
              <w:jc w:val="center"/>
              <w:rPr>
                <w:rFonts w:ascii="Times New Roman" w:hAnsi="Times New Roman"/>
                <w:sz w:val="18"/>
                <w:szCs w:val="18"/>
              </w:rPr>
            </w:pPr>
            <w:r w:rsidRPr="00385835">
              <w:rPr>
                <w:rFonts w:ascii="Times New Roman" w:hAnsi="Times New Roman"/>
                <w:sz w:val="18"/>
                <w:szCs w:val="18"/>
              </w:rPr>
              <w:t>ERPF</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E0FD8" w:rsidRPr="00385835" w:rsidRDefault="001E0FD8" w:rsidP="00385835">
            <w:pPr>
              <w:widowControl w:val="0"/>
              <w:tabs>
                <w:tab w:val="left" w:pos="622"/>
              </w:tabs>
              <w:spacing w:after="0" w:line="240" w:lineRule="auto"/>
              <w:jc w:val="center"/>
              <w:rPr>
                <w:rFonts w:ascii="Times New Roman" w:eastAsia="AngsanaUPC" w:hAnsi="Times New Roman"/>
                <w:bCs/>
                <w:sz w:val="18"/>
                <w:szCs w:val="18"/>
                <w:lang w:eastAsia="lt-LT"/>
              </w:rPr>
            </w:pPr>
            <w:r w:rsidRPr="00385835">
              <w:rPr>
                <w:rFonts w:ascii="Times New Roman" w:eastAsia="AngsanaUPC" w:hAnsi="Times New Roman"/>
                <w:bCs/>
                <w:sz w:val="18"/>
                <w:szCs w:val="18"/>
                <w:lang w:eastAsia="lt-LT"/>
              </w:rPr>
              <w:t>Mažiau išsivystęs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E0FD8" w:rsidRPr="00385835" w:rsidRDefault="008A4871" w:rsidP="00385835">
            <w:pPr>
              <w:spacing w:after="0" w:line="240" w:lineRule="auto"/>
              <w:jc w:val="center"/>
              <w:rPr>
                <w:rFonts w:ascii="Times New Roman" w:hAnsi="Times New Roman"/>
                <w:sz w:val="18"/>
                <w:szCs w:val="18"/>
              </w:rPr>
            </w:pPr>
            <w:r>
              <w:rPr>
                <w:rFonts w:ascii="Times New Roman" w:hAnsi="Times New Roman"/>
                <w:sz w:val="18"/>
                <w:szCs w:val="18"/>
              </w:rPr>
              <w:t>34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E0FD8" w:rsidRPr="00385835" w:rsidRDefault="001E0FD8" w:rsidP="00385835">
            <w:pPr>
              <w:spacing w:after="0" w:line="240" w:lineRule="auto"/>
              <w:jc w:val="center"/>
              <w:rPr>
                <w:rFonts w:ascii="Times New Roman" w:hAnsi="Times New Roman"/>
                <w:sz w:val="18"/>
                <w:szCs w:val="18"/>
              </w:rPr>
            </w:pPr>
            <w:r w:rsidRPr="00385835">
              <w:rPr>
                <w:rFonts w:ascii="Times New Roman" w:hAnsi="Times New Roman"/>
                <w:sz w:val="18"/>
                <w:szCs w:val="18"/>
              </w:rPr>
              <w:t>Duomenys iš projektų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E0FD8" w:rsidRPr="00385835" w:rsidRDefault="001E0FD8"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1E0FD8" w:rsidRPr="00385835" w:rsidTr="00385835">
        <w:tblPrEx>
          <w:shd w:val="clear" w:color="auto" w:fill="auto"/>
        </w:tblPrEx>
        <w:tc>
          <w:tcPr>
            <w:tcW w:w="567" w:type="dxa"/>
            <w:tcBorders>
              <w:left w:val="single" w:sz="4" w:space="0" w:color="auto"/>
              <w:bottom w:val="single" w:sz="4" w:space="0" w:color="auto"/>
              <w:right w:val="single" w:sz="4" w:space="0" w:color="auto"/>
            </w:tcBorders>
            <w:shd w:val="clear" w:color="auto" w:fill="auto"/>
            <w:vAlign w:val="center"/>
          </w:tcPr>
          <w:p w:rsidR="001E0FD8" w:rsidRPr="003E71A2" w:rsidRDefault="001E0FD8" w:rsidP="001E0FD8">
            <w:pPr>
              <w:widowControl w:val="0"/>
              <w:tabs>
                <w:tab w:val="left" w:pos="622"/>
              </w:tabs>
              <w:spacing w:after="0" w:line="240" w:lineRule="auto"/>
              <w:jc w:val="center"/>
              <w:rPr>
                <w:rFonts w:ascii="Times New Roman" w:eastAsia="AngsanaUPC" w:hAnsi="Times New Roman"/>
                <w:bCs/>
                <w:iCs/>
                <w:sz w:val="18"/>
                <w:szCs w:val="18"/>
                <w:lang w:eastAsia="lt-LT"/>
              </w:rPr>
            </w:pPr>
            <w:r w:rsidRPr="003E71A2">
              <w:rPr>
                <w:rFonts w:ascii="Times New Roman" w:eastAsia="AngsanaUPC" w:hAnsi="Times New Roman"/>
                <w:bCs/>
                <w:iCs/>
                <w:sz w:val="18"/>
                <w:szCs w:val="18"/>
                <w:lang w:eastAsia="lt-LT"/>
              </w:rPr>
              <w:t>16.</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1E0FD8" w:rsidRPr="00385835" w:rsidRDefault="001E0FD8" w:rsidP="00385835">
            <w:pPr>
              <w:spacing w:after="0" w:line="240" w:lineRule="auto"/>
              <w:rPr>
                <w:rFonts w:ascii="Times New Roman" w:eastAsia="Times New Roman" w:hAnsi="Times New Roman"/>
                <w:iCs/>
                <w:color w:val="000000"/>
                <w:sz w:val="18"/>
                <w:szCs w:val="18"/>
                <w:lang w:eastAsia="lt-LT"/>
              </w:rPr>
            </w:pPr>
            <w:r w:rsidRPr="00385835">
              <w:rPr>
                <w:rFonts w:ascii="Times New Roman" w:eastAsia="Times New Roman" w:hAnsi="Times New Roman"/>
                <w:iCs/>
                <w:color w:val="000000"/>
                <w:sz w:val="18"/>
                <w:szCs w:val="18"/>
                <w:lang w:eastAsia="lt-LT"/>
              </w:rPr>
              <w:t>Įmonių, bendradarbiaujančių su tyrimų institucijomis, skaičius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E0FD8" w:rsidRPr="00385835" w:rsidRDefault="001E0FD8" w:rsidP="00385835">
            <w:pPr>
              <w:spacing w:after="0" w:line="240" w:lineRule="auto"/>
              <w:jc w:val="center"/>
              <w:rPr>
                <w:rFonts w:ascii="Times New Roman" w:hAnsi="Times New Roman"/>
                <w:sz w:val="18"/>
                <w:szCs w:val="18"/>
              </w:rPr>
            </w:pPr>
            <w:r w:rsidRPr="00385835">
              <w:rPr>
                <w:rFonts w:ascii="Times New Roman" w:hAnsi="Times New Roman"/>
                <w:sz w:val="18"/>
                <w:szCs w:val="18"/>
              </w:rPr>
              <w:t>Įmonės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E0FD8" w:rsidRPr="00385835" w:rsidRDefault="001E0FD8" w:rsidP="00385835">
            <w:pPr>
              <w:spacing w:after="0" w:line="240" w:lineRule="auto"/>
              <w:jc w:val="center"/>
              <w:rPr>
                <w:rFonts w:ascii="Times New Roman" w:hAnsi="Times New Roman"/>
                <w:sz w:val="18"/>
                <w:szCs w:val="18"/>
              </w:rPr>
            </w:pPr>
            <w:r w:rsidRPr="00385835">
              <w:rPr>
                <w:rFonts w:ascii="Times New Roman" w:hAnsi="Times New Roman"/>
                <w:sz w:val="18"/>
                <w:szCs w:val="18"/>
              </w:rPr>
              <w:t>ERPF</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E0FD8" w:rsidRPr="00385835" w:rsidRDefault="001E0FD8" w:rsidP="00385835">
            <w:pPr>
              <w:widowControl w:val="0"/>
              <w:tabs>
                <w:tab w:val="left" w:pos="622"/>
              </w:tabs>
              <w:spacing w:after="0" w:line="240" w:lineRule="auto"/>
              <w:jc w:val="center"/>
              <w:rPr>
                <w:rFonts w:ascii="Times New Roman" w:eastAsia="AngsanaUPC" w:hAnsi="Times New Roman"/>
                <w:bCs/>
                <w:sz w:val="18"/>
                <w:szCs w:val="18"/>
                <w:lang w:eastAsia="lt-LT"/>
              </w:rPr>
            </w:pPr>
            <w:r w:rsidRPr="00385835">
              <w:rPr>
                <w:rFonts w:ascii="Times New Roman" w:eastAsia="AngsanaUPC" w:hAnsi="Times New Roman"/>
                <w:bCs/>
                <w:sz w:val="18"/>
                <w:szCs w:val="18"/>
                <w:lang w:eastAsia="lt-LT"/>
              </w:rPr>
              <w:t>Mažiau išsivystęs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E0FD8" w:rsidRPr="00385835" w:rsidRDefault="005F6EE3" w:rsidP="00385835">
            <w:pPr>
              <w:spacing w:after="0" w:line="240" w:lineRule="auto"/>
              <w:jc w:val="center"/>
              <w:rPr>
                <w:rFonts w:ascii="Times New Roman" w:hAnsi="Times New Roman"/>
                <w:sz w:val="18"/>
                <w:szCs w:val="18"/>
              </w:rPr>
            </w:pPr>
            <w:r w:rsidRPr="00891769">
              <w:rPr>
                <w:rFonts w:ascii="Times New Roman" w:hAnsi="Times New Roman"/>
                <w:sz w:val="18"/>
                <w:szCs w:val="18"/>
              </w:rPr>
              <w:t>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E0FD8" w:rsidRPr="00385835" w:rsidRDefault="001E0FD8" w:rsidP="00385835">
            <w:pPr>
              <w:spacing w:after="0" w:line="240" w:lineRule="auto"/>
              <w:jc w:val="center"/>
              <w:rPr>
                <w:rFonts w:ascii="Times New Roman" w:hAnsi="Times New Roman"/>
                <w:sz w:val="18"/>
                <w:szCs w:val="18"/>
              </w:rPr>
            </w:pPr>
            <w:r w:rsidRPr="00385835">
              <w:rPr>
                <w:rFonts w:ascii="Times New Roman" w:hAnsi="Times New Roman"/>
                <w:sz w:val="18"/>
                <w:szCs w:val="18"/>
              </w:rPr>
              <w:t>Duomenys iš projektų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E0FD8" w:rsidRPr="00385835" w:rsidRDefault="001E0FD8"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bl>
    <w:p w:rsidR="00FF08C5" w:rsidRPr="00385835" w:rsidRDefault="00FF08C5" w:rsidP="00385835">
      <w:pPr>
        <w:spacing w:after="0" w:line="240" w:lineRule="auto"/>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746"/>
      </w:tblGrid>
      <w:tr w:rsidR="00385835" w:rsidRPr="00385835" w:rsidTr="00385835">
        <w:tc>
          <w:tcPr>
            <w:tcW w:w="9746"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i/>
                <w:iCs/>
                <w:sz w:val="24"/>
                <w:szCs w:val="24"/>
                <w:lang w:eastAsia="lt-LT"/>
              </w:rPr>
              <w:t>Projektų</w:t>
            </w:r>
            <w:r w:rsidR="00882E43">
              <w:rPr>
                <w:rFonts w:ascii="Times New Roman" w:eastAsia="AngsanaUPC" w:hAnsi="Times New Roman"/>
                <w:b/>
                <w:bCs/>
                <w:i/>
                <w:iCs/>
                <w:sz w:val="24"/>
                <w:szCs w:val="24"/>
                <w:lang w:eastAsia="lt-LT"/>
              </w:rPr>
              <w:t xml:space="preserve"> </w:t>
            </w:r>
            <w:r w:rsidRPr="00385835">
              <w:rPr>
                <w:rFonts w:ascii="Times New Roman" w:eastAsia="AngsanaUPC" w:hAnsi="Times New Roman"/>
                <w:b/>
                <w:bCs/>
                <w:i/>
                <w:iCs/>
                <w:sz w:val="24"/>
                <w:szCs w:val="24"/>
                <w:lang w:eastAsia="lt-LT"/>
              </w:rPr>
              <w:t>/</w:t>
            </w:r>
            <w:r w:rsidR="00882E43">
              <w:rPr>
                <w:rFonts w:ascii="Times New Roman" w:eastAsia="AngsanaUPC" w:hAnsi="Times New Roman"/>
                <w:b/>
                <w:bCs/>
                <w:i/>
                <w:iCs/>
                <w:sz w:val="24"/>
                <w:szCs w:val="24"/>
                <w:lang w:eastAsia="lt-LT"/>
              </w:rPr>
              <w:t xml:space="preserve"> </w:t>
            </w:r>
            <w:r w:rsidRPr="00385835">
              <w:rPr>
                <w:rFonts w:ascii="Times New Roman" w:eastAsia="AngsanaUPC" w:hAnsi="Times New Roman"/>
                <w:b/>
                <w:bCs/>
                <w:i/>
                <w:iCs/>
                <w:sz w:val="24"/>
                <w:szCs w:val="24"/>
                <w:lang w:eastAsia="lt-LT"/>
              </w:rPr>
              <w:t>veiksmų atrankos principai</w:t>
            </w:r>
          </w:p>
        </w:tc>
      </w:tr>
      <w:tr w:rsidR="00385835" w:rsidRPr="00385835" w:rsidTr="00385835">
        <w:tc>
          <w:tcPr>
            <w:tcW w:w="9746" w:type="dxa"/>
            <w:shd w:val="clear" w:color="auto" w:fill="auto"/>
          </w:tcPr>
          <w:p w:rsidR="001E0FD8" w:rsidRPr="003E71A2" w:rsidRDefault="001E0FD8" w:rsidP="001E0FD8">
            <w:pPr>
              <w:widowControl w:val="0"/>
              <w:tabs>
                <w:tab w:val="left" w:pos="601"/>
              </w:tabs>
              <w:spacing w:after="0" w:line="240" w:lineRule="auto"/>
              <w:jc w:val="both"/>
              <w:rPr>
                <w:rFonts w:ascii="Times New Roman" w:eastAsia="AngsanaUPC" w:hAnsi="Times New Roman"/>
                <w:bCs/>
                <w:iCs/>
                <w:sz w:val="24"/>
                <w:szCs w:val="24"/>
                <w:lang w:eastAsia="lt-LT"/>
              </w:rPr>
            </w:pPr>
            <w:r w:rsidRPr="003E71A2">
              <w:rPr>
                <w:rFonts w:ascii="Times New Roman" w:eastAsia="AngsanaUPC" w:hAnsi="Times New Roman"/>
                <w:bCs/>
                <w:iCs/>
                <w:sz w:val="24"/>
                <w:szCs w:val="24"/>
                <w:lang w:eastAsia="lt-LT"/>
              </w:rPr>
              <w:t xml:space="preserve">Projektai pagal savo pobūdį gali būti atrenkami finansuoti projektų konkurso būdu, tęstinės projektų atrankos būdu, valstybės projektų planavimo būdu ir regionų projektų planavimo būdu, kurie yra nustatomi nacionaliniuose teisės aktuose. </w:t>
            </w:r>
          </w:p>
          <w:p w:rsidR="001E0FD8" w:rsidRDefault="001E0FD8" w:rsidP="001E0FD8">
            <w:pPr>
              <w:widowControl w:val="0"/>
              <w:tabs>
                <w:tab w:val="left" w:pos="601"/>
              </w:tabs>
              <w:spacing w:after="0" w:line="240" w:lineRule="auto"/>
              <w:jc w:val="both"/>
              <w:rPr>
                <w:rFonts w:ascii="Times New Roman" w:eastAsia="AngsanaUPC" w:hAnsi="Times New Roman"/>
                <w:bCs/>
                <w:iCs/>
                <w:sz w:val="24"/>
                <w:szCs w:val="24"/>
                <w:lang w:eastAsia="lt-LT"/>
              </w:rPr>
            </w:pPr>
            <w:r w:rsidRPr="003E71A2">
              <w:rPr>
                <w:rFonts w:ascii="Times New Roman" w:eastAsia="AngsanaUPC" w:hAnsi="Times New Roman"/>
                <w:bCs/>
                <w:iCs/>
                <w:sz w:val="24"/>
                <w:szCs w:val="24"/>
                <w:lang w:eastAsia="lt-LT"/>
              </w:rPr>
              <w:t>Planuojami taikyti projektų atrankos būdai nurodomi pagal veiksmų programos</w:t>
            </w:r>
            <w:proofErr w:type="gramStart"/>
            <w:r w:rsidRPr="003E71A2">
              <w:rPr>
                <w:rFonts w:ascii="Times New Roman" w:eastAsia="AngsanaUPC" w:hAnsi="Times New Roman"/>
                <w:bCs/>
                <w:iCs/>
                <w:sz w:val="24"/>
                <w:szCs w:val="24"/>
                <w:lang w:eastAsia="lt-LT"/>
              </w:rPr>
              <w:t xml:space="preserve">  </w:t>
            </w:r>
            <w:proofErr w:type="gramEnd"/>
            <w:r w:rsidRPr="003E71A2">
              <w:rPr>
                <w:rFonts w:ascii="Times New Roman" w:eastAsia="AngsanaUPC" w:hAnsi="Times New Roman"/>
                <w:bCs/>
                <w:iCs/>
                <w:sz w:val="24"/>
                <w:szCs w:val="24"/>
                <w:lang w:eastAsia="lt-LT"/>
              </w:rPr>
              <w:t xml:space="preserve">investicinius prioritetus, tačiau gali būti taikomi ir kiti paminėti projektų atrankos būdai, jeigu pagrindžiama, kad tokie projektų </w:t>
            </w:r>
            <w:r w:rsidR="00882E43">
              <w:rPr>
                <w:rFonts w:ascii="Times New Roman" w:eastAsia="AngsanaUPC" w:hAnsi="Times New Roman"/>
                <w:bCs/>
                <w:iCs/>
                <w:sz w:val="24"/>
                <w:szCs w:val="24"/>
                <w:lang w:eastAsia="lt-LT"/>
              </w:rPr>
              <w:t>atrankos būdai yra efektyvesni.</w:t>
            </w:r>
          </w:p>
          <w:p w:rsidR="00887EE0" w:rsidRPr="00891769" w:rsidRDefault="00887EE0" w:rsidP="00887EE0">
            <w:pPr>
              <w:widowControl w:val="0"/>
              <w:tabs>
                <w:tab w:val="left" w:pos="601"/>
              </w:tabs>
              <w:spacing w:after="0" w:line="240" w:lineRule="auto"/>
              <w:jc w:val="both"/>
              <w:rPr>
                <w:rFonts w:ascii="Times New Roman" w:eastAsia="AngsanaUPC" w:hAnsi="Times New Roman"/>
                <w:bCs/>
                <w:iCs/>
                <w:sz w:val="24"/>
                <w:szCs w:val="24"/>
                <w:lang w:eastAsia="lt-LT"/>
              </w:rPr>
            </w:pPr>
            <w:r w:rsidRPr="00891769">
              <w:rPr>
                <w:rFonts w:ascii="Times New Roman" w:eastAsia="AngsanaUPC" w:hAnsi="Times New Roman"/>
                <w:bCs/>
                <w:iCs/>
                <w:sz w:val="24"/>
                <w:szCs w:val="24"/>
                <w:lang w:eastAsia="lt-LT"/>
              </w:rPr>
              <w:t>Visos investicijos pagal veiksmų programos 1 prioritetą atitiks sumanios specializacijos strateginius dokumentus. Projektai bus skiriami plėtoti sumaniosios specializacijos kryptis.</w:t>
            </w:r>
          </w:p>
          <w:p w:rsidR="00385835" w:rsidRPr="00385835" w:rsidRDefault="00385835" w:rsidP="00031EF1">
            <w:pPr>
              <w:widowControl w:val="0"/>
              <w:tabs>
                <w:tab w:val="left" w:pos="601"/>
              </w:tabs>
              <w:spacing w:after="0" w:line="240" w:lineRule="auto"/>
              <w:jc w:val="both"/>
              <w:rPr>
                <w:rFonts w:ascii="Times New Roman" w:eastAsia="AngsanaUPC" w:hAnsi="Times New Roman"/>
                <w:bCs/>
                <w:sz w:val="24"/>
                <w:szCs w:val="24"/>
                <w:lang w:eastAsia="lt-LT"/>
              </w:rPr>
            </w:pPr>
            <w:r w:rsidRPr="00891769">
              <w:rPr>
                <w:rFonts w:ascii="Times New Roman" w:eastAsia="AngsanaUPC" w:hAnsi="Times New Roman"/>
                <w:bCs/>
                <w:sz w:val="24"/>
                <w:szCs w:val="24"/>
                <w:lang w:eastAsia="lt-LT"/>
              </w:rPr>
              <w:t>Atrenkant projektus bus laikomasi šių pagrindinių principų:</w:t>
            </w:r>
          </w:p>
          <w:p w:rsidR="00385835" w:rsidRPr="00385835" w:rsidRDefault="00385835" w:rsidP="00650E41">
            <w:pPr>
              <w:widowControl w:val="0"/>
              <w:numPr>
                <w:ilvl w:val="0"/>
                <w:numId w:val="60"/>
              </w:numPr>
              <w:tabs>
                <w:tab w:val="left" w:pos="601"/>
              </w:tabs>
              <w:spacing w:after="0" w:line="240" w:lineRule="auto"/>
              <w:ind w:left="0" w:firstLine="0"/>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Teikdama Fondų finansavimą didelėms įmonėms, vadovaujančioji institucija užtikrins, kad šis finansavimas neturės įtakos reikšmingam darbo vietų mažėjimui kitose Europos Sąjungoje esančiose gyvenamosiose vietovėse.</w:t>
            </w:r>
          </w:p>
          <w:p w:rsidR="00385835" w:rsidRPr="00385835" w:rsidRDefault="00385835" w:rsidP="00650E41">
            <w:pPr>
              <w:widowControl w:val="0"/>
              <w:numPr>
                <w:ilvl w:val="0"/>
                <w:numId w:val="60"/>
              </w:numPr>
              <w:tabs>
                <w:tab w:val="left" w:pos="601"/>
              </w:tabs>
              <w:spacing w:after="0" w:line="240" w:lineRule="auto"/>
              <w:ind w:left="0" w:firstLine="0"/>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Veiksmų programos 1.1 investicinį prioritetą įgyvendinantys projektai bus atrenkami</w:t>
            </w:r>
            <w:r w:rsidRPr="00385835">
              <w:rPr>
                <w:rFonts w:ascii="Times New Roman" w:eastAsia="AngsanaUPC" w:hAnsi="Times New Roman"/>
                <w:bCs/>
                <w:iCs/>
                <w:sz w:val="24"/>
                <w:szCs w:val="24"/>
                <w:lang w:eastAsia="lt-LT"/>
              </w:rPr>
              <w:t>:</w:t>
            </w:r>
          </w:p>
          <w:p w:rsidR="00385835" w:rsidRPr="00385835" w:rsidRDefault="00385835" w:rsidP="00031EF1">
            <w:pPr>
              <w:widowControl w:val="0"/>
              <w:tabs>
                <w:tab w:val="left" w:pos="601"/>
                <w:tab w:val="left" w:pos="1310"/>
              </w:tabs>
              <w:spacing w:after="0" w:line="240" w:lineRule="auto"/>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w:t>
            </w:r>
            <w:r w:rsidRPr="00385835">
              <w:rPr>
                <w:rFonts w:ascii="Times New Roman" w:eastAsia="AngsanaUPC" w:hAnsi="Times New Roman"/>
                <w:bCs/>
                <w:sz w:val="24"/>
                <w:szCs w:val="24"/>
                <w:lang w:eastAsia="lt-LT"/>
              </w:rPr>
              <w:tab/>
              <w:t xml:space="preserve">projektų konkurso būdu (toliau – projektų konkursas) – pagal paskelbtą kvietimą teikti paraiškas gautų projektų atranka, atsižvelgiant į projektams skirtus balus. </w:t>
            </w:r>
          </w:p>
          <w:p w:rsidR="00385835" w:rsidRPr="00385835" w:rsidRDefault="00385835" w:rsidP="00031EF1">
            <w:pPr>
              <w:widowControl w:val="0"/>
              <w:tabs>
                <w:tab w:val="left" w:pos="601"/>
                <w:tab w:val="left" w:pos="1310"/>
              </w:tabs>
              <w:spacing w:after="0" w:line="240" w:lineRule="auto"/>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w:t>
            </w:r>
            <w:r w:rsidRPr="00385835">
              <w:rPr>
                <w:rFonts w:ascii="Times New Roman" w:eastAsia="AngsanaUPC" w:hAnsi="Times New Roman"/>
                <w:bCs/>
                <w:sz w:val="24"/>
                <w:szCs w:val="24"/>
                <w:lang w:eastAsia="lt-LT"/>
              </w:rPr>
              <w:tab/>
              <w:t>valstybės projektų planavimo</w:t>
            </w:r>
            <w:proofErr w:type="gramStart"/>
            <w:r w:rsidRPr="00385835">
              <w:rPr>
                <w:rFonts w:ascii="Times New Roman" w:eastAsia="AngsanaUPC" w:hAnsi="Times New Roman"/>
                <w:bCs/>
                <w:sz w:val="24"/>
                <w:szCs w:val="24"/>
                <w:lang w:eastAsia="lt-LT"/>
              </w:rPr>
              <w:t xml:space="preserve">  </w:t>
            </w:r>
            <w:proofErr w:type="gramEnd"/>
            <w:r w:rsidRPr="00385835">
              <w:rPr>
                <w:rFonts w:ascii="Times New Roman" w:eastAsia="AngsanaUPC" w:hAnsi="Times New Roman"/>
                <w:bCs/>
                <w:sz w:val="24"/>
                <w:szCs w:val="24"/>
                <w:lang w:eastAsia="lt-LT"/>
              </w:rPr>
              <w:t>būdu (tiesiogiai skiriant subsidiją) (toliau – valstybės projektų planavimas) – atrankos būdu, kai yra atrenkami projektai, skirti valstybės institucijos (-ų) kompetencijai priskirtoms funkcijoms atlikti, kurie yra planuojami vadovaujantis strateginio planavimo dokumentais ir kitais Lietuvos Respublikos teisės aktais.</w:t>
            </w:r>
            <w:r w:rsidRPr="00385835" w:rsidDel="00602001">
              <w:rPr>
                <w:rFonts w:ascii="Times New Roman" w:eastAsia="AngsanaUPC" w:hAnsi="Times New Roman"/>
                <w:bCs/>
                <w:sz w:val="24"/>
                <w:szCs w:val="24"/>
                <w:lang w:eastAsia="lt-LT"/>
              </w:rPr>
              <w:t xml:space="preserve"> </w:t>
            </w:r>
            <w:r w:rsidRPr="00385835">
              <w:rPr>
                <w:rFonts w:ascii="Times New Roman" w:eastAsia="AngsanaUPC" w:hAnsi="Times New Roman"/>
                <w:bCs/>
                <w:sz w:val="24"/>
                <w:szCs w:val="24"/>
                <w:lang w:eastAsia="lt-LT"/>
              </w:rPr>
              <w:t>Jeigu konkrečiam projektui subsidija skiriamos tiesiogiai, ši procedūra atitiks sąlygas, nustatytas Bendrųjų nuostatų reglamento 125.3 str. (a) dalyje (ii) punkte. Subsidijų skyrimo procedūra bus nediskriminuojanti ir skaidri.</w:t>
            </w:r>
          </w:p>
          <w:p w:rsidR="00385835" w:rsidRPr="008204D0" w:rsidRDefault="00385835" w:rsidP="00650E41">
            <w:pPr>
              <w:widowControl w:val="0"/>
              <w:numPr>
                <w:ilvl w:val="0"/>
                <w:numId w:val="52"/>
              </w:numPr>
              <w:tabs>
                <w:tab w:val="left" w:pos="601"/>
              </w:tabs>
              <w:spacing w:after="0" w:line="240" w:lineRule="auto"/>
              <w:ind w:left="0" w:firstLine="0"/>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Investicijos į MTEPI infrastruktūrą bus derinamos su 9.3.3. konkretaus uždavinio veiksmais, nukreiptais į tyrėjų gebėjimų bei pajėgumų vykdyti aukšto lygio MTEP veiklas stiprinimą, siekiant išnaudoti šių intervencijų sinergiją;</w:t>
            </w:r>
          </w:p>
          <w:p w:rsidR="00385835" w:rsidRPr="00385835" w:rsidRDefault="00385835" w:rsidP="00650E41">
            <w:pPr>
              <w:widowControl w:val="0"/>
              <w:numPr>
                <w:ilvl w:val="0"/>
                <w:numId w:val="52"/>
              </w:numPr>
              <w:tabs>
                <w:tab w:val="left" w:pos="601"/>
              </w:tabs>
              <w:spacing w:after="0" w:line="240" w:lineRule="auto"/>
              <w:ind w:left="0" w:firstLine="0"/>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Veiksmų programos 1.2 investicinį prioritetą įgyvendinantys projektai bus atrenkami projektų konkurso ir valstybės projektų planavimo būdu (tiesiogiai skiriant subsidiją). Jeig</w:t>
            </w:r>
            <w:r w:rsidR="007B5E78">
              <w:rPr>
                <w:rFonts w:ascii="Times New Roman" w:eastAsia="AngsanaUPC" w:hAnsi="Times New Roman"/>
                <w:bCs/>
                <w:sz w:val="24"/>
                <w:szCs w:val="24"/>
                <w:lang w:eastAsia="lt-LT"/>
              </w:rPr>
              <w:t>u konkrečiam projektui subsidijos</w:t>
            </w:r>
            <w:r w:rsidRPr="00385835">
              <w:rPr>
                <w:rFonts w:ascii="Times New Roman" w:eastAsia="AngsanaUPC" w:hAnsi="Times New Roman"/>
                <w:bCs/>
                <w:sz w:val="24"/>
                <w:szCs w:val="24"/>
                <w:lang w:eastAsia="lt-LT"/>
              </w:rPr>
              <w:t xml:space="preserve"> skiriamos tiesiogiai, ši procedūra atitiks sąlygas, nustatytas Bendrųjų nuostatų reglamento 125.3 str. (a) dalyje (ii) punkte. Subsidijų skyrimo procedūra bus nediskriminuojanti ir skaidri.</w:t>
            </w:r>
          </w:p>
          <w:p w:rsidR="00385835" w:rsidRPr="00385835" w:rsidRDefault="00385835" w:rsidP="00650E41">
            <w:pPr>
              <w:widowControl w:val="0"/>
              <w:numPr>
                <w:ilvl w:val="0"/>
                <w:numId w:val="52"/>
              </w:numPr>
              <w:tabs>
                <w:tab w:val="left" w:pos="601"/>
              </w:tabs>
              <w:spacing w:after="0" w:line="240" w:lineRule="auto"/>
              <w:ind w:left="0" w:firstLine="0"/>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Parama inovatyvių ir ikiprekybinių pirkimų vykdymui bus derinama su valstybės institucijų pajėgumų planuoti ir vykdyti tokius pirkimus stiprinimu pagal 10 prioritetą.</w:t>
            </w:r>
          </w:p>
          <w:p w:rsidR="00385835" w:rsidRPr="00385835" w:rsidRDefault="00385835" w:rsidP="00650E41">
            <w:pPr>
              <w:widowControl w:val="0"/>
              <w:numPr>
                <w:ilvl w:val="0"/>
                <w:numId w:val="52"/>
              </w:numPr>
              <w:tabs>
                <w:tab w:val="left" w:pos="601"/>
              </w:tabs>
              <w:spacing w:after="0" w:line="240" w:lineRule="auto"/>
              <w:ind w:left="0" w:firstLine="0"/>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Investicinės priemonės bus derinamos su reguliavimo tobulinimu (viešųjų pirkimų, intelektinės nuosavybės teisių apsaugos, kt.) ir administracinės naštos verslui mažinimu.</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i/>
          <w:i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746"/>
      </w:tblGrid>
      <w:tr w:rsidR="00385835" w:rsidRPr="00385835" w:rsidTr="00385835">
        <w:tc>
          <w:tcPr>
            <w:tcW w:w="9746"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i/>
                <w:iCs/>
                <w:sz w:val="24"/>
                <w:szCs w:val="24"/>
                <w:lang w:eastAsia="lt-LT"/>
              </w:rPr>
              <w:t>Finansiniai instrumentai ir jų aprašymas</w:t>
            </w:r>
          </w:p>
        </w:tc>
      </w:tr>
      <w:tr w:rsidR="00385835" w:rsidRPr="00385835" w:rsidTr="00385835">
        <w:tc>
          <w:tcPr>
            <w:tcW w:w="9746" w:type="dxa"/>
            <w:shd w:val="clear" w:color="auto" w:fill="auto"/>
          </w:tcPr>
          <w:p w:rsidR="00385835" w:rsidRPr="00385835" w:rsidRDefault="00385835" w:rsidP="00385835">
            <w:pPr>
              <w:widowControl w:val="0"/>
              <w:tabs>
                <w:tab w:val="left" w:pos="622"/>
              </w:tabs>
              <w:spacing w:after="0" w:line="240" w:lineRule="auto"/>
              <w:ind w:firstLine="624"/>
              <w:jc w:val="both"/>
              <w:rPr>
                <w:rFonts w:ascii="Times New Roman" w:eastAsia="AngsanaUPC" w:hAnsi="Times New Roman"/>
                <w:bCs/>
                <w:iCs/>
                <w:sz w:val="24"/>
                <w:szCs w:val="24"/>
                <w:lang w:eastAsia="lt-LT"/>
              </w:rPr>
            </w:pPr>
            <w:r w:rsidRPr="00385835">
              <w:rPr>
                <w:rFonts w:ascii="Times New Roman" w:eastAsia="AngsanaUPC" w:hAnsi="Times New Roman"/>
                <w:bCs/>
                <w:sz w:val="24"/>
                <w:szCs w:val="24"/>
                <w:lang w:eastAsia="lt-LT"/>
              </w:rPr>
              <w:t xml:space="preserve">Pagal 1.2. investicinį prioritetą dalį finansavimo numatoma paskirstyti naudojant finansinius instrumentus, kurie bus numatyti </w:t>
            </w:r>
            <w:r w:rsidRPr="00385835">
              <w:rPr>
                <w:rFonts w:ascii="Times New Roman" w:eastAsia="AngsanaUPC" w:hAnsi="Times New Roman"/>
                <w:bCs/>
                <w:iCs/>
                <w:sz w:val="24"/>
                <w:szCs w:val="24"/>
                <w:lang w:eastAsia="lt-LT"/>
              </w:rPr>
              <w:t>atsižvelgiant į išankstinio (</w:t>
            </w:r>
            <w:r w:rsidRPr="00385835">
              <w:rPr>
                <w:rFonts w:ascii="Times New Roman" w:eastAsia="AngsanaUPC" w:hAnsi="Times New Roman"/>
                <w:bCs/>
                <w:i/>
                <w:iCs/>
                <w:sz w:val="24"/>
                <w:szCs w:val="24"/>
                <w:lang w:eastAsia="lt-LT"/>
              </w:rPr>
              <w:t>ex ante</w:t>
            </w:r>
            <w:r w:rsidRPr="00385835">
              <w:rPr>
                <w:rFonts w:ascii="Times New Roman" w:eastAsia="AngsanaUPC" w:hAnsi="Times New Roman"/>
                <w:bCs/>
                <w:iCs/>
                <w:sz w:val="24"/>
                <w:szCs w:val="24"/>
                <w:lang w:eastAsia="lt-LT"/>
              </w:rPr>
              <w:t>) vertinimo rezultatus.</w:t>
            </w:r>
          </w:p>
          <w:p w:rsidR="00385835" w:rsidRPr="00385835" w:rsidRDefault="00385835" w:rsidP="00385835">
            <w:pPr>
              <w:widowControl w:val="0"/>
              <w:tabs>
                <w:tab w:val="left" w:pos="622"/>
              </w:tabs>
              <w:spacing w:after="0" w:line="240" w:lineRule="auto"/>
              <w:ind w:firstLine="624"/>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Atsižvelgiant į pagal šį investicinį prioritetą numatomas įgyvendinti veiklas, labiausiai tikėtina finansinių priemonių įgyvendinimo forma būtų rizikos kapitalo į ankstyvos stadijos įmones, t. y.</w:t>
            </w:r>
            <w:r w:rsidR="00127DEA">
              <w:rPr>
                <w:rFonts w:ascii="Times New Roman" w:eastAsia="AngsanaUPC" w:hAnsi="Times New Roman"/>
                <w:bCs/>
                <w:iCs/>
                <w:sz w:val="24"/>
                <w:szCs w:val="24"/>
                <w:lang w:eastAsia="lt-LT"/>
              </w:rPr>
              <w:t>,</w:t>
            </w:r>
            <w:r w:rsidRPr="00385835">
              <w:rPr>
                <w:rFonts w:ascii="Times New Roman" w:eastAsia="AngsanaUPC" w:hAnsi="Times New Roman"/>
                <w:bCs/>
                <w:iCs/>
                <w:sz w:val="24"/>
                <w:szCs w:val="24"/>
                <w:lang w:eastAsia="lt-LT"/>
              </w:rPr>
              <w:t xml:space="preserve"> pradinio kapitalo, investavimas. Be to, planuojama, kad bus reikalinga sinergija tarp šio investicinio prioriteto ir kitų investicinių prioritetų (</w:t>
            </w:r>
            <w:r w:rsidR="00686878">
              <w:rPr>
                <w:rFonts w:ascii="Times New Roman" w:eastAsia="AngsanaUPC" w:hAnsi="Times New Roman"/>
                <w:bCs/>
                <w:iCs/>
                <w:sz w:val="24"/>
                <w:szCs w:val="24"/>
                <w:lang w:eastAsia="lt-LT"/>
              </w:rPr>
              <w:t>pavyzdžiui</w:t>
            </w:r>
            <w:r w:rsidRPr="00385835">
              <w:rPr>
                <w:rFonts w:ascii="Times New Roman" w:eastAsia="AngsanaUPC" w:hAnsi="Times New Roman"/>
                <w:bCs/>
                <w:iCs/>
                <w:sz w:val="24"/>
                <w:szCs w:val="24"/>
                <w:lang w:eastAsia="lt-LT"/>
              </w:rPr>
              <w:t>, 3.1 ar 3.3) – finansavimą pagal šį prioritetą gavusios įmonės, papildomo ar tolimesnio finansavimo savo įgyvendinamiems projektams galės kreiptis pagal kitus investicinius prioritetus.</w:t>
            </w:r>
          </w:p>
          <w:p w:rsidR="00385835" w:rsidRPr="00385835" w:rsidRDefault="00385835" w:rsidP="00385835">
            <w:pPr>
              <w:widowControl w:val="0"/>
              <w:tabs>
                <w:tab w:val="left" w:pos="622"/>
              </w:tabs>
              <w:spacing w:after="0" w:line="240" w:lineRule="auto"/>
              <w:ind w:firstLine="624"/>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Kitiems šio veiksmų programos prioriteto investiciniams prioritetams įgyvendinti finansinių instrumentų taikyti nenumatoma.</w:t>
            </w:r>
          </w:p>
        </w:tc>
      </w:tr>
    </w:tbl>
    <w:p w:rsidR="004232E0" w:rsidRPr="00385835" w:rsidRDefault="004232E0" w:rsidP="00385835">
      <w:pPr>
        <w:widowControl w:val="0"/>
        <w:tabs>
          <w:tab w:val="left" w:pos="622"/>
        </w:tabs>
        <w:spacing w:after="0" w:line="240" w:lineRule="auto"/>
        <w:jc w:val="both"/>
        <w:rPr>
          <w:rFonts w:ascii="Times New Roman" w:eastAsia="AngsanaUPC" w:hAnsi="Times New Roman"/>
          <w:bCs/>
          <w:i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746"/>
      </w:tblGrid>
      <w:tr w:rsidR="00385835" w:rsidRPr="00385835" w:rsidTr="00385835">
        <w:tc>
          <w:tcPr>
            <w:tcW w:w="9746"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i/>
                <w:iCs/>
                <w:sz w:val="24"/>
                <w:szCs w:val="24"/>
                <w:lang w:eastAsia="lt-LT"/>
              </w:rPr>
              <w:t>Didelės apimties projektai</w:t>
            </w:r>
          </w:p>
        </w:tc>
      </w:tr>
      <w:tr w:rsidR="00385835" w:rsidRPr="00385835" w:rsidTr="00385835">
        <w:tc>
          <w:tcPr>
            <w:tcW w:w="9746" w:type="dxa"/>
            <w:shd w:val="clear" w:color="auto" w:fill="auto"/>
          </w:tcPr>
          <w:p w:rsidR="00385835" w:rsidRPr="00385835" w:rsidRDefault="00385835" w:rsidP="00385835">
            <w:pPr>
              <w:widowControl w:val="0"/>
              <w:tabs>
                <w:tab w:val="left" w:pos="622"/>
              </w:tabs>
              <w:spacing w:after="0" w:line="240" w:lineRule="auto"/>
              <w:ind w:firstLine="624"/>
              <w:jc w:val="both"/>
              <w:rPr>
                <w:rFonts w:ascii="Times New Roman" w:eastAsia="AngsanaUPC" w:hAnsi="Times New Roman"/>
                <w:bCs/>
                <w:iCs/>
                <w:sz w:val="24"/>
                <w:szCs w:val="24"/>
                <w:lang w:eastAsia="lt-LT"/>
              </w:rPr>
            </w:pPr>
            <w:r w:rsidRPr="00385835">
              <w:rPr>
                <w:rFonts w:ascii="Times New Roman" w:hAnsi="Times New Roman"/>
                <w:bCs/>
                <w:iCs/>
                <w:sz w:val="24"/>
                <w:szCs w:val="24"/>
              </w:rPr>
              <w:t>Pagal šį veiksmų programos prioritetą didelės apimties projektų vykdyti nenumatoma.</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i/>
          <w:iCs/>
          <w:sz w:val="24"/>
          <w:szCs w:val="24"/>
          <w:lang w:eastAsia="lt-LT"/>
        </w:rPr>
        <w:sectPr w:rsidR="00385835" w:rsidRPr="00385835" w:rsidSect="00AC19DA">
          <w:headerReference w:type="default" r:id="rId12"/>
          <w:footerReference w:type="default" r:id="rId13"/>
          <w:headerReference w:type="first" r:id="rId14"/>
          <w:pgSz w:w="11906" w:h="16838" w:code="9"/>
          <w:pgMar w:top="1701" w:right="567" w:bottom="1134" w:left="1701" w:header="567" w:footer="567" w:gutter="0"/>
          <w:cols w:space="1296"/>
          <w:docGrid w:linePitch="360"/>
        </w:sectPr>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1276"/>
        <w:gridCol w:w="2126"/>
        <w:gridCol w:w="1134"/>
        <w:gridCol w:w="851"/>
        <w:gridCol w:w="992"/>
        <w:gridCol w:w="1134"/>
        <w:gridCol w:w="1134"/>
        <w:gridCol w:w="992"/>
        <w:gridCol w:w="4395"/>
      </w:tblGrid>
      <w:tr w:rsidR="00385835" w:rsidRPr="00385835" w:rsidTr="00385835">
        <w:trPr>
          <w:tblHeader/>
        </w:trPr>
        <w:tc>
          <w:tcPr>
            <w:tcW w:w="14034" w:type="dxa"/>
            <w:gridSpan w:val="9"/>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i/>
                <w:iCs/>
                <w:sz w:val="24"/>
                <w:szCs w:val="24"/>
                <w:lang w:eastAsia="lt-LT"/>
              </w:rPr>
              <w:lastRenderedPageBreak/>
              <w:t>Prioriteto veiklos rezultatų peržiūros planas</w:t>
            </w:r>
          </w:p>
        </w:tc>
      </w:tr>
      <w:tr w:rsidR="00385835" w:rsidRPr="00385835" w:rsidTr="00385835">
        <w:trPr>
          <w:trHeight w:val="1358"/>
          <w:tblHeader/>
        </w:trPr>
        <w:tc>
          <w:tcPr>
            <w:tcW w:w="1276"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Rodiklio rūšis</w:t>
            </w:r>
          </w:p>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(įgyvendinimo žingsniai, finansinis, produkto ir rezultato rodiklis)</w:t>
            </w:r>
          </w:p>
        </w:tc>
        <w:tc>
          <w:tcPr>
            <w:tcW w:w="2126"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Rodiklio apibrėžimas arba įgyvendinimo žingsnis</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Matavimo vienetas</w:t>
            </w:r>
          </w:p>
        </w:tc>
        <w:tc>
          <w:tcPr>
            <w:tcW w:w="85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Fondas</w:t>
            </w:r>
          </w:p>
        </w:tc>
        <w:tc>
          <w:tcPr>
            <w:tcW w:w="992"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Regiono kategorija</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Tarpinė reikšmė (2018)</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Siektina reikšmė (2023)</w:t>
            </w:r>
          </w:p>
        </w:tc>
        <w:tc>
          <w:tcPr>
            <w:tcW w:w="992"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Duomenų šaltinis</w:t>
            </w:r>
          </w:p>
        </w:tc>
        <w:tc>
          <w:tcPr>
            <w:tcW w:w="4395"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Rodiklių tinkamumo pagrindimas</w:t>
            </w:r>
          </w:p>
        </w:tc>
      </w:tr>
      <w:tr w:rsidR="00385835" w:rsidRPr="00385835" w:rsidTr="00385835">
        <w:tc>
          <w:tcPr>
            <w:tcW w:w="1276" w:type="dxa"/>
            <w:shd w:val="clear" w:color="auto" w:fill="FFFFFF"/>
          </w:tcPr>
          <w:p w:rsidR="00385835" w:rsidRPr="00385835" w:rsidRDefault="00385835" w:rsidP="00385835">
            <w:pPr>
              <w:spacing w:after="0" w:line="240" w:lineRule="auto"/>
              <w:rPr>
                <w:rFonts w:ascii="Times New Roman" w:hAnsi="Times New Roman"/>
                <w:sz w:val="16"/>
                <w:szCs w:val="16"/>
              </w:rPr>
            </w:pPr>
            <w:r w:rsidRPr="00385835">
              <w:rPr>
                <w:rFonts w:ascii="Times New Roman" w:hAnsi="Times New Roman"/>
                <w:sz w:val="16"/>
                <w:szCs w:val="16"/>
              </w:rPr>
              <w:t>Finansinis</w:t>
            </w:r>
            <w:r w:rsidRPr="00385835">
              <w:rPr>
                <w:rFonts w:eastAsia="AngsanaUPC"/>
                <w:bCs/>
                <w:iCs/>
                <w:sz w:val="18"/>
                <w:szCs w:val="18"/>
              </w:rPr>
              <w:t xml:space="preserve"> </w:t>
            </w:r>
            <w:r w:rsidRPr="00385835">
              <w:rPr>
                <w:rFonts w:ascii="Times New Roman" w:hAnsi="Times New Roman"/>
                <w:sz w:val="16"/>
                <w:szCs w:val="16"/>
              </w:rPr>
              <w:t>rodiklis</w:t>
            </w:r>
          </w:p>
        </w:tc>
        <w:tc>
          <w:tcPr>
            <w:tcW w:w="2126" w:type="dxa"/>
            <w:shd w:val="clear" w:color="auto" w:fill="FFFFFF"/>
          </w:tcPr>
          <w:p w:rsidR="00385835" w:rsidRPr="00385835" w:rsidRDefault="00385835" w:rsidP="00385835">
            <w:pPr>
              <w:spacing w:after="0" w:line="240" w:lineRule="auto"/>
              <w:rPr>
                <w:rFonts w:ascii="Times New Roman" w:hAnsi="Times New Roman"/>
                <w:i/>
                <w:sz w:val="16"/>
                <w:szCs w:val="16"/>
              </w:rPr>
            </w:pPr>
            <w:r w:rsidRPr="00385835">
              <w:rPr>
                <w:rFonts w:ascii="Times New Roman" w:hAnsi="Times New Roman"/>
                <w:color w:val="000000"/>
                <w:sz w:val="16"/>
                <w:szCs w:val="16"/>
              </w:rPr>
              <w:t>Bendra tinkamų finansuoti išlaidų suma pripažinta tinkama deklaruoti EK</w:t>
            </w:r>
          </w:p>
        </w:tc>
        <w:tc>
          <w:tcPr>
            <w:tcW w:w="1134" w:type="dxa"/>
            <w:shd w:val="clear" w:color="auto" w:fill="FFFFFF"/>
          </w:tcPr>
          <w:p w:rsidR="00385835" w:rsidRPr="00385835" w:rsidRDefault="00385835" w:rsidP="00385835">
            <w:pPr>
              <w:spacing w:after="0" w:line="240" w:lineRule="auto"/>
              <w:jc w:val="center"/>
              <w:rPr>
                <w:rFonts w:ascii="Times New Roman" w:hAnsi="Times New Roman"/>
                <w:i/>
                <w:sz w:val="16"/>
                <w:szCs w:val="16"/>
              </w:rPr>
            </w:pPr>
            <w:r w:rsidRPr="00385835">
              <w:rPr>
                <w:rFonts w:ascii="Times New Roman" w:hAnsi="Times New Roman"/>
                <w:sz w:val="16"/>
                <w:szCs w:val="16"/>
              </w:rPr>
              <w:t>Eurai</w:t>
            </w:r>
          </w:p>
        </w:tc>
        <w:tc>
          <w:tcPr>
            <w:tcW w:w="851" w:type="dxa"/>
            <w:shd w:val="clear" w:color="auto" w:fill="FFFFFF"/>
          </w:tcPr>
          <w:p w:rsidR="00385835" w:rsidRPr="00385835" w:rsidRDefault="00385835" w:rsidP="00385835">
            <w:pPr>
              <w:spacing w:after="0" w:line="240" w:lineRule="auto"/>
              <w:jc w:val="center"/>
              <w:rPr>
                <w:rFonts w:ascii="Times New Roman" w:hAnsi="Times New Roman"/>
                <w:sz w:val="16"/>
                <w:szCs w:val="16"/>
              </w:rPr>
            </w:pPr>
            <w:r w:rsidRPr="00385835">
              <w:rPr>
                <w:rFonts w:ascii="Times New Roman" w:hAnsi="Times New Roman"/>
                <w:sz w:val="16"/>
                <w:szCs w:val="16"/>
              </w:rPr>
              <w:t>ERPF</w:t>
            </w:r>
          </w:p>
        </w:tc>
        <w:tc>
          <w:tcPr>
            <w:tcW w:w="992" w:type="dxa"/>
            <w:shd w:val="clear" w:color="auto" w:fill="FFFFFF"/>
          </w:tcPr>
          <w:p w:rsidR="00385835" w:rsidRPr="00385835" w:rsidRDefault="00385835" w:rsidP="00385835">
            <w:pPr>
              <w:spacing w:after="0" w:line="240" w:lineRule="auto"/>
              <w:jc w:val="center"/>
              <w:rPr>
                <w:rFonts w:ascii="Times New Roman" w:hAnsi="Times New Roman"/>
                <w:sz w:val="16"/>
                <w:szCs w:val="16"/>
              </w:rPr>
            </w:pPr>
            <w:r w:rsidRPr="00385835">
              <w:rPr>
                <w:rFonts w:ascii="Times New Roman" w:hAnsi="Times New Roman"/>
                <w:sz w:val="16"/>
                <w:szCs w:val="16"/>
              </w:rPr>
              <w:t>Mažiau išsivystęs</w:t>
            </w:r>
          </w:p>
        </w:tc>
        <w:tc>
          <w:tcPr>
            <w:tcW w:w="1134" w:type="dxa"/>
            <w:shd w:val="clear" w:color="auto" w:fill="FFFFFF"/>
          </w:tcPr>
          <w:p w:rsidR="00E04A5B" w:rsidRPr="0012082A" w:rsidRDefault="0012082A" w:rsidP="0012082A">
            <w:pPr>
              <w:spacing w:after="0" w:line="240" w:lineRule="auto"/>
              <w:jc w:val="center"/>
              <w:rPr>
                <w:rFonts w:ascii="Times New Roman" w:hAnsi="Times New Roman"/>
                <w:sz w:val="16"/>
                <w:szCs w:val="16"/>
              </w:rPr>
            </w:pPr>
            <w:r>
              <w:rPr>
                <w:rFonts w:ascii="Times New Roman" w:hAnsi="Times New Roman"/>
                <w:sz w:val="16"/>
                <w:szCs w:val="16"/>
              </w:rPr>
              <w:t>87.573.521</w:t>
            </w:r>
          </w:p>
        </w:tc>
        <w:tc>
          <w:tcPr>
            <w:tcW w:w="1134" w:type="dxa"/>
            <w:shd w:val="clear" w:color="auto" w:fill="FFFFFF"/>
          </w:tcPr>
          <w:p w:rsidR="00385835" w:rsidRPr="00891769" w:rsidRDefault="005F6EE3" w:rsidP="00D90882">
            <w:pPr>
              <w:spacing w:after="0" w:line="240" w:lineRule="auto"/>
              <w:jc w:val="center"/>
              <w:rPr>
                <w:rFonts w:ascii="Times New Roman" w:hAnsi="Times New Roman"/>
                <w:sz w:val="16"/>
                <w:szCs w:val="16"/>
              </w:rPr>
            </w:pPr>
            <w:r w:rsidRPr="00891769">
              <w:rPr>
                <w:rFonts w:ascii="Times New Roman" w:hAnsi="Times New Roman"/>
                <w:sz w:val="16"/>
                <w:szCs w:val="16"/>
              </w:rPr>
              <w:t>771.680.983</w:t>
            </w:r>
          </w:p>
        </w:tc>
        <w:tc>
          <w:tcPr>
            <w:tcW w:w="992" w:type="dxa"/>
            <w:shd w:val="clear" w:color="auto" w:fill="FFFFFF"/>
          </w:tcPr>
          <w:p w:rsidR="00385835" w:rsidRPr="00385835" w:rsidRDefault="00385835" w:rsidP="00385835">
            <w:pPr>
              <w:spacing w:after="0" w:line="240" w:lineRule="auto"/>
              <w:jc w:val="center"/>
              <w:rPr>
                <w:rFonts w:ascii="Times New Roman" w:hAnsi="Times New Roman"/>
                <w:sz w:val="16"/>
                <w:szCs w:val="16"/>
              </w:rPr>
            </w:pPr>
            <w:r w:rsidRPr="00385835">
              <w:rPr>
                <w:rFonts w:ascii="Times New Roman" w:hAnsi="Times New Roman"/>
                <w:sz w:val="16"/>
                <w:szCs w:val="16"/>
              </w:rPr>
              <w:t>Duomenys iš projektų</w:t>
            </w:r>
          </w:p>
        </w:tc>
        <w:tc>
          <w:tcPr>
            <w:tcW w:w="4395" w:type="dxa"/>
            <w:shd w:val="clear" w:color="auto" w:fill="FFFFFF"/>
          </w:tcPr>
          <w:p w:rsidR="00385835" w:rsidRPr="00385835" w:rsidRDefault="00385835" w:rsidP="00385835">
            <w:pPr>
              <w:spacing w:after="0" w:line="240" w:lineRule="auto"/>
              <w:rPr>
                <w:rFonts w:ascii="Times New Roman" w:hAnsi="Times New Roman"/>
                <w:sz w:val="16"/>
                <w:szCs w:val="16"/>
              </w:rPr>
            </w:pPr>
            <w:r w:rsidRPr="00385835">
              <w:rPr>
                <w:rFonts w:ascii="Times New Roman" w:hAnsi="Times New Roman"/>
                <w:sz w:val="16"/>
                <w:szCs w:val="16"/>
              </w:rPr>
              <w:t>Privalomas rodiklis, kuris atspindi finansinę prioriteto įgyvendinimo pažangą.</w:t>
            </w:r>
          </w:p>
        </w:tc>
      </w:tr>
      <w:tr w:rsidR="00385835" w:rsidRPr="00385835" w:rsidTr="00385835">
        <w:tc>
          <w:tcPr>
            <w:tcW w:w="1276" w:type="dxa"/>
            <w:shd w:val="clear" w:color="auto" w:fill="auto"/>
          </w:tcPr>
          <w:p w:rsidR="00385835" w:rsidRPr="00385835" w:rsidRDefault="00385835" w:rsidP="00385835">
            <w:pPr>
              <w:spacing w:after="0" w:line="240" w:lineRule="auto"/>
              <w:rPr>
                <w:rFonts w:ascii="Times New Roman" w:hAnsi="Times New Roman"/>
                <w:bCs/>
                <w:sz w:val="16"/>
                <w:szCs w:val="16"/>
              </w:rPr>
            </w:pPr>
            <w:r w:rsidRPr="00385835">
              <w:rPr>
                <w:rFonts w:ascii="Times New Roman" w:hAnsi="Times New Roman"/>
                <w:sz w:val="16"/>
                <w:szCs w:val="16"/>
              </w:rPr>
              <w:t>Produkto rodiklis</w:t>
            </w:r>
          </w:p>
        </w:tc>
        <w:tc>
          <w:tcPr>
            <w:tcW w:w="2126" w:type="dxa"/>
            <w:shd w:val="clear" w:color="auto" w:fill="auto"/>
          </w:tcPr>
          <w:p w:rsidR="00385835" w:rsidRPr="00385835" w:rsidRDefault="00385835" w:rsidP="00F40B51">
            <w:pPr>
              <w:spacing w:after="0" w:line="240" w:lineRule="auto"/>
              <w:rPr>
                <w:rFonts w:ascii="Times New Roman" w:hAnsi="Times New Roman"/>
                <w:bCs/>
                <w:sz w:val="16"/>
                <w:szCs w:val="16"/>
              </w:rPr>
            </w:pPr>
            <w:r w:rsidRPr="00385835">
              <w:rPr>
                <w:rFonts w:ascii="Times New Roman" w:hAnsi="Times New Roman"/>
                <w:sz w:val="16"/>
                <w:szCs w:val="16"/>
              </w:rPr>
              <w:t>Tyrėjų, dirbančių pagerintoje tyrimų infrastruktūros bazėje, skaičius</w:t>
            </w:r>
          </w:p>
        </w:tc>
        <w:tc>
          <w:tcPr>
            <w:tcW w:w="1134" w:type="dxa"/>
            <w:shd w:val="clear" w:color="auto" w:fill="auto"/>
          </w:tcPr>
          <w:p w:rsidR="00385835" w:rsidRPr="00385835" w:rsidRDefault="00385835" w:rsidP="00385835">
            <w:pPr>
              <w:spacing w:after="0" w:line="240" w:lineRule="auto"/>
              <w:jc w:val="center"/>
              <w:rPr>
                <w:rFonts w:ascii="Times New Roman" w:hAnsi="Times New Roman"/>
                <w:bCs/>
                <w:sz w:val="16"/>
                <w:szCs w:val="16"/>
              </w:rPr>
            </w:pPr>
            <w:r w:rsidRPr="00385835">
              <w:rPr>
                <w:rFonts w:ascii="Times New Roman" w:hAnsi="Times New Roman"/>
                <w:bCs/>
                <w:iCs/>
                <w:sz w:val="16"/>
                <w:szCs w:val="16"/>
                <w:lang w:eastAsia="lt-LT"/>
              </w:rPr>
              <w:t>Visos darbo dienos ekvivalentai</w:t>
            </w:r>
          </w:p>
        </w:tc>
        <w:tc>
          <w:tcPr>
            <w:tcW w:w="851" w:type="dxa"/>
            <w:shd w:val="clear" w:color="auto" w:fill="auto"/>
          </w:tcPr>
          <w:p w:rsidR="00385835" w:rsidRPr="00385835" w:rsidRDefault="00385835" w:rsidP="00385835">
            <w:pPr>
              <w:spacing w:after="0" w:line="240" w:lineRule="auto"/>
              <w:jc w:val="center"/>
              <w:rPr>
                <w:rFonts w:ascii="Times New Roman" w:hAnsi="Times New Roman"/>
                <w:bCs/>
                <w:sz w:val="16"/>
                <w:szCs w:val="16"/>
              </w:rPr>
            </w:pPr>
            <w:r w:rsidRPr="00385835">
              <w:rPr>
                <w:rFonts w:ascii="Times New Roman" w:hAnsi="Times New Roman"/>
                <w:bCs/>
                <w:sz w:val="16"/>
                <w:szCs w:val="16"/>
              </w:rPr>
              <w:t>ERPF</w:t>
            </w:r>
          </w:p>
        </w:tc>
        <w:tc>
          <w:tcPr>
            <w:tcW w:w="992" w:type="dxa"/>
            <w:shd w:val="clear" w:color="auto" w:fill="auto"/>
          </w:tcPr>
          <w:p w:rsidR="00385835" w:rsidRPr="00385835" w:rsidRDefault="00385835" w:rsidP="00385835">
            <w:pPr>
              <w:widowControl w:val="0"/>
              <w:tabs>
                <w:tab w:val="left" w:pos="622"/>
              </w:tabs>
              <w:jc w:val="center"/>
              <w:rPr>
                <w:bCs/>
                <w:iCs/>
                <w:sz w:val="20"/>
              </w:rPr>
            </w:pPr>
            <w:r w:rsidRPr="00385835">
              <w:rPr>
                <w:rFonts w:ascii="Times New Roman" w:hAnsi="Times New Roman"/>
                <w:sz w:val="16"/>
                <w:szCs w:val="16"/>
              </w:rPr>
              <w:t>Mažiau išsivystęs</w:t>
            </w:r>
          </w:p>
        </w:tc>
        <w:tc>
          <w:tcPr>
            <w:tcW w:w="1134" w:type="dxa"/>
            <w:shd w:val="clear" w:color="auto" w:fill="auto"/>
          </w:tcPr>
          <w:p w:rsidR="00385835" w:rsidRPr="00385835" w:rsidRDefault="00385835" w:rsidP="00385835">
            <w:pPr>
              <w:spacing w:after="0" w:line="240" w:lineRule="auto"/>
              <w:jc w:val="center"/>
              <w:rPr>
                <w:rFonts w:ascii="Times New Roman" w:hAnsi="Times New Roman"/>
                <w:sz w:val="16"/>
                <w:szCs w:val="16"/>
              </w:rPr>
            </w:pPr>
            <w:r w:rsidRPr="00385835">
              <w:rPr>
                <w:rFonts w:ascii="Times New Roman" w:hAnsi="Times New Roman"/>
                <w:sz w:val="16"/>
                <w:szCs w:val="16"/>
              </w:rPr>
              <w:t>0</w:t>
            </w:r>
          </w:p>
        </w:tc>
        <w:tc>
          <w:tcPr>
            <w:tcW w:w="1134" w:type="dxa"/>
            <w:shd w:val="clear" w:color="auto" w:fill="auto"/>
          </w:tcPr>
          <w:p w:rsidR="00385835" w:rsidRPr="00D54F90" w:rsidRDefault="00385835" w:rsidP="00385835">
            <w:pPr>
              <w:spacing w:after="0" w:line="240" w:lineRule="auto"/>
              <w:jc w:val="center"/>
              <w:rPr>
                <w:rFonts w:ascii="Times New Roman" w:hAnsi="Times New Roman"/>
                <w:sz w:val="16"/>
                <w:szCs w:val="16"/>
              </w:rPr>
            </w:pPr>
            <w:r w:rsidRPr="00D54F90">
              <w:rPr>
                <w:rFonts w:ascii="Times New Roman" w:hAnsi="Times New Roman"/>
                <w:sz w:val="16"/>
                <w:szCs w:val="16"/>
              </w:rPr>
              <w:t>370</w:t>
            </w:r>
          </w:p>
        </w:tc>
        <w:tc>
          <w:tcPr>
            <w:tcW w:w="992" w:type="dxa"/>
            <w:shd w:val="clear" w:color="auto" w:fill="auto"/>
          </w:tcPr>
          <w:p w:rsidR="00385835" w:rsidRPr="00385835" w:rsidDel="007F0983" w:rsidRDefault="00385835" w:rsidP="00385835">
            <w:pPr>
              <w:spacing w:after="0" w:line="240" w:lineRule="auto"/>
              <w:jc w:val="center"/>
              <w:rPr>
                <w:rFonts w:ascii="Times New Roman" w:hAnsi="Times New Roman"/>
                <w:sz w:val="16"/>
                <w:szCs w:val="16"/>
              </w:rPr>
            </w:pPr>
            <w:r w:rsidRPr="00385835">
              <w:rPr>
                <w:rFonts w:ascii="Times New Roman" w:hAnsi="Times New Roman"/>
                <w:sz w:val="16"/>
                <w:szCs w:val="16"/>
              </w:rPr>
              <w:t>Duomenys iš projektų</w:t>
            </w:r>
          </w:p>
        </w:tc>
        <w:tc>
          <w:tcPr>
            <w:tcW w:w="4395" w:type="dxa"/>
            <w:shd w:val="clear" w:color="auto" w:fill="auto"/>
          </w:tcPr>
          <w:p w:rsidR="00385835" w:rsidRPr="00385835" w:rsidRDefault="00385835" w:rsidP="00385835">
            <w:pPr>
              <w:spacing w:after="0" w:line="240" w:lineRule="auto"/>
              <w:rPr>
                <w:rFonts w:ascii="Times New Roman" w:hAnsi="Times New Roman"/>
                <w:sz w:val="16"/>
                <w:szCs w:val="16"/>
              </w:rPr>
            </w:pPr>
            <w:r w:rsidRPr="00385835">
              <w:rPr>
                <w:rFonts w:ascii="Times New Roman" w:hAnsi="Times New Roman"/>
                <w:sz w:val="16"/>
                <w:szCs w:val="16"/>
              </w:rPr>
              <w:t xml:space="preserve">Rodiklis atspindi prioriteto įgyvendinimo eigą, nes jo pasiekimui skirta 20 proc. šio prioriteto įgyvendinimui skirtų ERPF lėšų. </w:t>
            </w:r>
          </w:p>
        </w:tc>
      </w:tr>
      <w:tr w:rsidR="00385835" w:rsidRPr="00385835" w:rsidTr="00385835">
        <w:tc>
          <w:tcPr>
            <w:tcW w:w="1276" w:type="dxa"/>
            <w:shd w:val="clear" w:color="auto" w:fill="auto"/>
          </w:tcPr>
          <w:p w:rsidR="00385835" w:rsidRPr="00385835" w:rsidRDefault="00385835" w:rsidP="00385835">
            <w:pPr>
              <w:spacing w:after="0" w:line="240" w:lineRule="auto"/>
              <w:rPr>
                <w:rFonts w:ascii="Times New Roman" w:hAnsi="Times New Roman"/>
                <w:bCs/>
                <w:sz w:val="16"/>
                <w:szCs w:val="16"/>
              </w:rPr>
            </w:pPr>
            <w:r w:rsidRPr="00385835">
              <w:rPr>
                <w:rFonts w:ascii="Times New Roman" w:hAnsi="Times New Roman"/>
                <w:bCs/>
                <w:sz w:val="16"/>
                <w:szCs w:val="16"/>
              </w:rPr>
              <w:t>Įgyvendinimo žingsnis</w:t>
            </w:r>
          </w:p>
        </w:tc>
        <w:tc>
          <w:tcPr>
            <w:tcW w:w="2126" w:type="dxa"/>
            <w:shd w:val="clear" w:color="auto" w:fill="auto"/>
          </w:tcPr>
          <w:p w:rsidR="00385835" w:rsidRPr="00385835" w:rsidRDefault="00385835" w:rsidP="00F40B51">
            <w:pPr>
              <w:spacing w:after="0" w:line="240" w:lineRule="auto"/>
              <w:rPr>
                <w:rFonts w:ascii="Times New Roman" w:hAnsi="Times New Roman"/>
                <w:bCs/>
                <w:sz w:val="16"/>
                <w:szCs w:val="16"/>
              </w:rPr>
            </w:pPr>
            <w:r w:rsidRPr="00385835">
              <w:rPr>
                <w:rFonts w:ascii="Times New Roman" w:hAnsi="Times New Roman"/>
                <w:bCs/>
                <w:sz w:val="16"/>
                <w:szCs w:val="16"/>
              </w:rPr>
              <w:t>Projektų finansavimo ir administravimo sutartyse suplanuoja</w:t>
            </w:r>
            <w:proofErr w:type="gramStart"/>
            <w:r w:rsidRPr="00385835">
              <w:rPr>
                <w:rFonts w:ascii="Times New Roman" w:hAnsi="Times New Roman"/>
                <w:bCs/>
                <w:sz w:val="16"/>
                <w:szCs w:val="16"/>
              </w:rPr>
              <w:t xml:space="preserve">  </w:t>
            </w:r>
            <w:proofErr w:type="gramEnd"/>
            <w:r w:rsidRPr="00385835">
              <w:rPr>
                <w:rFonts w:ascii="Times New Roman" w:hAnsi="Times New Roman"/>
                <w:bCs/>
                <w:sz w:val="16"/>
                <w:szCs w:val="16"/>
              </w:rPr>
              <w:t>produkto rodiklio „</w:t>
            </w:r>
            <w:r w:rsidRPr="00385835">
              <w:rPr>
                <w:rFonts w:ascii="Times New Roman" w:hAnsi="Times New Roman"/>
                <w:sz w:val="16"/>
                <w:szCs w:val="16"/>
              </w:rPr>
              <w:t>Tyrėjų, dirbančių pagerintoje tyrimų infrastruktūros bazėje, skaičius“ reikšmė</w:t>
            </w:r>
          </w:p>
        </w:tc>
        <w:tc>
          <w:tcPr>
            <w:tcW w:w="1134" w:type="dxa"/>
            <w:shd w:val="clear" w:color="auto" w:fill="auto"/>
          </w:tcPr>
          <w:p w:rsidR="00385835" w:rsidRPr="00385835" w:rsidRDefault="00385835" w:rsidP="00385835">
            <w:pPr>
              <w:spacing w:after="0" w:line="240" w:lineRule="auto"/>
              <w:jc w:val="center"/>
              <w:rPr>
                <w:rFonts w:ascii="Times New Roman" w:hAnsi="Times New Roman"/>
                <w:bCs/>
                <w:sz w:val="16"/>
                <w:szCs w:val="16"/>
              </w:rPr>
            </w:pPr>
            <w:r w:rsidRPr="00385835">
              <w:rPr>
                <w:rFonts w:ascii="Times New Roman" w:hAnsi="Times New Roman"/>
                <w:bCs/>
                <w:iCs/>
                <w:sz w:val="16"/>
                <w:szCs w:val="16"/>
                <w:lang w:eastAsia="lt-LT"/>
              </w:rPr>
              <w:t>Visos darbo dienos ekvivalentai</w:t>
            </w:r>
          </w:p>
        </w:tc>
        <w:tc>
          <w:tcPr>
            <w:tcW w:w="851" w:type="dxa"/>
            <w:shd w:val="clear" w:color="auto" w:fill="auto"/>
          </w:tcPr>
          <w:p w:rsidR="00385835" w:rsidRPr="00385835" w:rsidRDefault="00385835" w:rsidP="00385835">
            <w:pPr>
              <w:spacing w:after="0" w:line="240" w:lineRule="auto"/>
              <w:jc w:val="center"/>
              <w:rPr>
                <w:rFonts w:ascii="Times New Roman" w:hAnsi="Times New Roman"/>
                <w:bCs/>
                <w:sz w:val="16"/>
                <w:szCs w:val="16"/>
              </w:rPr>
            </w:pPr>
            <w:r w:rsidRPr="00385835">
              <w:rPr>
                <w:rFonts w:ascii="Times New Roman" w:hAnsi="Times New Roman"/>
                <w:bCs/>
                <w:sz w:val="16"/>
                <w:szCs w:val="16"/>
              </w:rPr>
              <w:t>ERPF</w:t>
            </w:r>
          </w:p>
        </w:tc>
        <w:tc>
          <w:tcPr>
            <w:tcW w:w="992" w:type="dxa"/>
            <w:shd w:val="clear" w:color="auto" w:fill="auto"/>
          </w:tcPr>
          <w:p w:rsidR="00385835" w:rsidRPr="00385835" w:rsidRDefault="00385835" w:rsidP="00385835">
            <w:pPr>
              <w:spacing w:after="0" w:line="240" w:lineRule="auto"/>
              <w:jc w:val="center"/>
              <w:rPr>
                <w:rFonts w:ascii="Times New Roman" w:hAnsi="Times New Roman"/>
                <w:bCs/>
                <w:sz w:val="16"/>
                <w:szCs w:val="16"/>
              </w:rPr>
            </w:pPr>
            <w:r w:rsidRPr="00385835">
              <w:rPr>
                <w:rFonts w:ascii="Times New Roman" w:hAnsi="Times New Roman"/>
                <w:bCs/>
                <w:sz w:val="16"/>
                <w:szCs w:val="16"/>
              </w:rPr>
              <w:t>Mažiau išsivystęs</w:t>
            </w:r>
          </w:p>
        </w:tc>
        <w:tc>
          <w:tcPr>
            <w:tcW w:w="1134" w:type="dxa"/>
            <w:shd w:val="clear" w:color="auto" w:fill="auto"/>
          </w:tcPr>
          <w:p w:rsidR="00385835" w:rsidRPr="00385835" w:rsidRDefault="00385835" w:rsidP="00385835">
            <w:pPr>
              <w:spacing w:after="0" w:line="240" w:lineRule="auto"/>
              <w:jc w:val="center"/>
              <w:rPr>
                <w:rFonts w:ascii="Times New Roman" w:hAnsi="Times New Roman"/>
                <w:sz w:val="16"/>
                <w:szCs w:val="16"/>
              </w:rPr>
            </w:pPr>
            <w:r w:rsidRPr="00385835">
              <w:rPr>
                <w:rFonts w:ascii="Times New Roman" w:hAnsi="Times New Roman"/>
                <w:sz w:val="16"/>
                <w:szCs w:val="16"/>
              </w:rPr>
              <w:t>222</w:t>
            </w:r>
          </w:p>
        </w:tc>
        <w:tc>
          <w:tcPr>
            <w:tcW w:w="1134" w:type="dxa"/>
            <w:shd w:val="clear" w:color="auto" w:fill="auto"/>
          </w:tcPr>
          <w:p w:rsidR="00385835" w:rsidRPr="00D54F90" w:rsidRDefault="00385835" w:rsidP="00385835">
            <w:pPr>
              <w:spacing w:after="0" w:line="240" w:lineRule="auto"/>
              <w:jc w:val="center"/>
              <w:rPr>
                <w:rFonts w:ascii="Times New Roman" w:hAnsi="Times New Roman"/>
                <w:sz w:val="16"/>
                <w:szCs w:val="16"/>
              </w:rPr>
            </w:pPr>
            <w:r w:rsidRPr="00D54F90">
              <w:rPr>
                <w:rFonts w:ascii="Times New Roman" w:hAnsi="Times New Roman"/>
                <w:sz w:val="16"/>
                <w:szCs w:val="16"/>
              </w:rPr>
              <w:t>-</w:t>
            </w:r>
          </w:p>
        </w:tc>
        <w:tc>
          <w:tcPr>
            <w:tcW w:w="992" w:type="dxa"/>
            <w:shd w:val="clear" w:color="auto" w:fill="auto"/>
          </w:tcPr>
          <w:p w:rsidR="00385835" w:rsidRPr="00385835" w:rsidRDefault="00385835" w:rsidP="00385835">
            <w:pPr>
              <w:spacing w:after="0" w:line="240" w:lineRule="auto"/>
              <w:jc w:val="center"/>
              <w:rPr>
                <w:rFonts w:ascii="Times New Roman" w:hAnsi="Times New Roman"/>
                <w:sz w:val="16"/>
                <w:szCs w:val="16"/>
              </w:rPr>
            </w:pPr>
            <w:r w:rsidRPr="00385835">
              <w:rPr>
                <w:rFonts w:ascii="Times New Roman" w:hAnsi="Times New Roman"/>
                <w:sz w:val="16"/>
                <w:szCs w:val="16"/>
              </w:rPr>
              <w:t>Duomenys iš projektų</w:t>
            </w:r>
          </w:p>
        </w:tc>
        <w:tc>
          <w:tcPr>
            <w:tcW w:w="4395" w:type="dxa"/>
            <w:shd w:val="clear" w:color="auto" w:fill="auto"/>
          </w:tcPr>
          <w:p w:rsidR="00385835" w:rsidRPr="00385835" w:rsidRDefault="00385835" w:rsidP="00385835">
            <w:pPr>
              <w:spacing w:after="0" w:line="240" w:lineRule="auto"/>
              <w:rPr>
                <w:rFonts w:ascii="Times New Roman" w:hAnsi="Times New Roman"/>
                <w:sz w:val="16"/>
                <w:szCs w:val="16"/>
              </w:rPr>
            </w:pPr>
            <w:r w:rsidRPr="00385835">
              <w:rPr>
                <w:rFonts w:ascii="Times New Roman" w:hAnsi="Times New Roman"/>
                <w:sz w:val="16"/>
                <w:szCs w:val="16"/>
              </w:rPr>
              <w:t xml:space="preserve">Įgyvendinimo žingsnis pasirinktas, nes iki 2018 m. pabaigos nebus baigtų projektų, atsižvelgiant į ilgesnę projektų įgyvendinimo trukmę ir vėlesnę jų įgyvendinimo pradžią, kuri yra numatoma dėl poreikio atlikti parengiamuosius MTEPI infrastruktūros kūrimo bei atnaujinimo darbus. </w:t>
            </w:r>
          </w:p>
          <w:p w:rsidR="00385835" w:rsidRPr="00385835" w:rsidRDefault="00385835" w:rsidP="00385835">
            <w:pPr>
              <w:spacing w:after="0" w:line="240" w:lineRule="auto"/>
              <w:rPr>
                <w:rFonts w:ascii="Times New Roman" w:hAnsi="Times New Roman"/>
                <w:sz w:val="16"/>
                <w:szCs w:val="16"/>
              </w:rPr>
            </w:pPr>
            <w:r w:rsidRPr="00385835">
              <w:rPr>
                <w:rFonts w:ascii="Times New Roman" w:hAnsi="Times New Roman"/>
                <w:sz w:val="16"/>
                <w:szCs w:val="16"/>
              </w:rPr>
              <w:t>Projektų finansavimo ir administravimo sutartyse suplanuota produkto rodiklio reikšmė rodys, ar projektai bus įgyvendinti numatyta apimtimi.</w:t>
            </w:r>
          </w:p>
        </w:tc>
      </w:tr>
      <w:tr w:rsidR="00385835" w:rsidRPr="00385835" w:rsidTr="00385835">
        <w:tc>
          <w:tcPr>
            <w:tcW w:w="1276" w:type="dxa"/>
            <w:shd w:val="clear" w:color="auto" w:fill="auto"/>
          </w:tcPr>
          <w:p w:rsidR="00385835" w:rsidRPr="00385835" w:rsidRDefault="00385835" w:rsidP="00385835">
            <w:pPr>
              <w:spacing w:after="0" w:line="240" w:lineRule="auto"/>
              <w:rPr>
                <w:rFonts w:ascii="Times New Roman" w:hAnsi="Times New Roman"/>
                <w:sz w:val="16"/>
                <w:szCs w:val="16"/>
              </w:rPr>
            </w:pPr>
            <w:r w:rsidRPr="00385835">
              <w:rPr>
                <w:rFonts w:ascii="Times New Roman" w:hAnsi="Times New Roman"/>
                <w:sz w:val="16"/>
                <w:szCs w:val="16"/>
              </w:rPr>
              <w:t>Produkto rodiklis</w:t>
            </w:r>
          </w:p>
        </w:tc>
        <w:tc>
          <w:tcPr>
            <w:tcW w:w="2126" w:type="dxa"/>
            <w:shd w:val="clear" w:color="auto" w:fill="auto"/>
          </w:tcPr>
          <w:p w:rsidR="00385835" w:rsidRPr="00385835" w:rsidRDefault="00385835" w:rsidP="00385835">
            <w:pPr>
              <w:spacing w:after="0" w:line="240" w:lineRule="auto"/>
              <w:rPr>
                <w:rFonts w:ascii="Times New Roman" w:hAnsi="Times New Roman"/>
                <w:bCs/>
                <w:i/>
                <w:sz w:val="16"/>
                <w:szCs w:val="16"/>
              </w:rPr>
            </w:pPr>
            <w:r w:rsidRPr="00385835">
              <w:rPr>
                <w:rFonts w:ascii="Times New Roman" w:hAnsi="Times New Roman"/>
                <w:sz w:val="16"/>
                <w:szCs w:val="16"/>
              </w:rPr>
              <w:t>Subsidijas gaunančių įmonių skaičius</w:t>
            </w:r>
          </w:p>
        </w:tc>
        <w:tc>
          <w:tcPr>
            <w:tcW w:w="1134" w:type="dxa"/>
            <w:shd w:val="clear" w:color="auto" w:fill="auto"/>
          </w:tcPr>
          <w:p w:rsidR="00385835" w:rsidRPr="00385835" w:rsidRDefault="00385835" w:rsidP="00385835">
            <w:pPr>
              <w:spacing w:after="0" w:line="240" w:lineRule="auto"/>
              <w:jc w:val="center"/>
              <w:rPr>
                <w:rFonts w:ascii="Times New Roman" w:hAnsi="Times New Roman"/>
                <w:bCs/>
                <w:sz w:val="16"/>
                <w:szCs w:val="16"/>
              </w:rPr>
            </w:pPr>
            <w:r w:rsidRPr="00385835">
              <w:rPr>
                <w:rFonts w:ascii="Times New Roman" w:hAnsi="Times New Roman"/>
                <w:bCs/>
                <w:sz w:val="16"/>
                <w:szCs w:val="16"/>
              </w:rPr>
              <w:t>Įmonės</w:t>
            </w:r>
          </w:p>
        </w:tc>
        <w:tc>
          <w:tcPr>
            <w:tcW w:w="851" w:type="dxa"/>
            <w:shd w:val="clear" w:color="auto" w:fill="auto"/>
          </w:tcPr>
          <w:p w:rsidR="00385835" w:rsidRPr="00385835" w:rsidRDefault="00385835" w:rsidP="00385835">
            <w:pPr>
              <w:spacing w:after="0" w:line="240" w:lineRule="auto"/>
              <w:jc w:val="center"/>
              <w:rPr>
                <w:rFonts w:ascii="Times New Roman" w:hAnsi="Times New Roman"/>
                <w:bCs/>
                <w:sz w:val="16"/>
                <w:szCs w:val="16"/>
              </w:rPr>
            </w:pPr>
            <w:r w:rsidRPr="00385835">
              <w:rPr>
                <w:rFonts w:ascii="Times New Roman" w:hAnsi="Times New Roman"/>
                <w:bCs/>
                <w:sz w:val="16"/>
                <w:szCs w:val="16"/>
              </w:rPr>
              <w:t>ERPF</w:t>
            </w:r>
          </w:p>
        </w:tc>
        <w:tc>
          <w:tcPr>
            <w:tcW w:w="992" w:type="dxa"/>
            <w:shd w:val="clear" w:color="auto" w:fill="auto"/>
          </w:tcPr>
          <w:p w:rsidR="00385835" w:rsidRPr="00385835" w:rsidRDefault="00385835" w:rsidP="00385835">
            <w:pPr>
              <w:spacing w:after="0" w:line="240" w:lineRule="auto"/>
              <w:jc w:val="center"/>
              <w:rPr>
                <w:rFonts w:ascii="Times New Roman" w:hAnsi="Times New Roman"/>
                <w:bCs/>
                <w:sz w:val="16"/>
                <w:szCs w:val="16"/>
              </w:rPr>
            </w:pPr>
            <w:r w:rsidRPr="00385835">
              <w:rPr>
                <w:rFonts w:ascii="Times New Roman" w:hAnsi="Times New Roman"/>
                <w:bCs/>
                <w:sz w:val="16"/>
                <w:szCs w:val="16"/>
              </w:rPr>
              <w:t>Mažiau išsivystęs</w:t>
            </w:r>
          </w:p>
        </w:tc>
        <w:tc>
          <w:tcPr>
            <w:tcW w:w="1134" w:type="dxa"/>
            <w:shd w:val="clear" w:color="auto" w:fill="auto"/>
          </w:tcPr>
          <w:p w:rsidR="00385835" w:rsidRPr="00385835" w:rsidRDefault="00385835" w:rsidP="00385835">
            <w:pPr>
              <w:spacing w:after="0" w:line="240" w:lineRule="auto"/>
              <w:jc w:val="center"/>
              <w:rPr>
                <w:rFonts w:ascii="Times New Roman" w:hAnsi="Times New Roman"/>
                <w:sz w:val="16"/>
                <w:szCs w:val="16"/>
              </w:rPr>
            </w:pPr>
            <w:r w:rsidRPr="00385835">
              <w:rPr>
                <w:rFonts w:ascii="Times New Roman" w:hAnsi="Times New Roman"/>
                <w:sz w:val="16"/>
                <w:szCs w:val="16"/>
              </w:rPr>
              <w:t>56</w:t>
            </w:r>
          </w:p>
        </w:tc>
        <w:tc>
          <w:tcPr>
            <w:tcW w:w="1134" w:type="dxa"/>
            <w:shd w:val="clear" w:color="auto" w:fill="auto"/>
          </w:tcPr>
          <w:p w:rsidR="00385835" w:rsidRPr="00891769" w:rsidRDefault="0012082A" w:rsidP="00385835">
            <w:pPr>
              <w:spacing w:after="0" w:line="240" w:lineRule="auto"/>
              <w:jc w:val="center"/>
              <w:rPr>
                <w:rFonts w:ascii="Times New Roman" w:hAnsi="Times New Roman"/>
                <w:sz w:val="16"/>
                <w:szCs w:val="16"/>
              </w:rPr>
            </w:pPr>
            <w:r w:rsidRPr="00891769">
              <w:rPr>
                <w:rFonts w:ascii="Times New Roman" w:hAnsi="Times New Roman"/>
                <w:sz w:val="16"/>
                <w:szCs w:val="16"/>
              </w:rPr>
              <w:t>6</w:t>
            </w:r>
            <w:r w:rsidR="00385835" w:rsidRPr="00891769">
              <w:rPr>
                <w:rFonts w:ascii="Times New Roman" w:hAnsi="Times New Roman"/>
                <w:sz w:val="16"/>
                <w:szCs w:val="16"/>
              </w:rPr>
              <w:t>00</w:t>
            </w:r>
          </w:p>
        </w:tc>
        <w:tc>
          <w:tcPr>
            <w:tcW w:w="992" w:type="dxa"/>
            <w:shd w:val="clear" w:color="auto" w:fill="auto"/>
          </w:tcPr>
          <w:p w:rsidR="00385835" w:rsidRPr="00891769" w:rsidRDefault="00385835" w:rsidP="00385835">
            <w:pPr>
              <w:spacing w:after="0" w:line="240" w:lineRule="auto"/>
              <w:jc w:val="center"/>
              <w:rPr>
                <w:rFonts w:ascii="Times New Roman" w:hAnsi="Times New Roman"/>
                <w:sz w:val="16"/>
                <w:szCs w:val="16"/>
              </w:rPr>
            </w:pPr>
            <w:r w:rsidRPr="00891769">
              <w:rPr>
                <w:rFonts w:ascii="Times New Roman" w:hAnsi="Times New Roman"/>
                <w:sz w:val="16"/>
                <w:szCs w:val="16"/>
              </w:rPr>
              <w:t>Duomenys iš projektų</w:t>
            </w:r>
          </w:p>
        </w:tc>
        <w:tc>
          <w:tcPr>
            <w:tcW w:w="4395" w:type="dxa"/>
          </w:tcPr>
          <w:p w:rsidR="00385835" w:rsidRPr="00891769" w:rsidRDefault="00385835" w:rsidP="00385835">
            <w:pPr>
              <w:spacing w:after="0" w:line="240" w:lineRule="auto"/>
              <w:rPr>
                <w:rFonts w:ascii="Times New Roman" w:hAnsi="Times New Roman"/>
                <w:sz w:val="16"/>
                <w:szCs w:val="16"/>
              </w:rPr>
            </w:pPr>
            <w:r w:rsidRPr="00891769">
              <w:rPr>
                <w:rFonts w:ascii="Times New Roman" w:hAnsi="Times New Roman"/>
                <w:sz w:val="16"/>
                <w:szCs w:val="16"/>
              </w:rPr>
              <w:t>Rodiklis atspindi prioriteto įgyvendinimo eigą, nes jo pasiekimui skirta 33 proc. šio prioriteto įgyvendinimui skirtų ERPF lėšų.</w:t>
            </w:r>
          </w:p>
          <w:p w:rsidR="00887EE0" w:rsidRPr="00891769" w:rsidRDefault="00887EE0" w:rsidP="00385835">
            <w:pPr>
              <w:spacing w:after="0" w:line="240" w:lineRule="auto"/>
              <w:rPr>
                <w:rFonts w:ascii="Times New Roman" w:hAnsi="Times New Roman"/>
                <w:sz w:val="16"/>
                <w:szCs w:val="16"/>
              </w:rPr>
            </w:pPr>
            <w:r w:rsidRPr="00891769">
              <w:rPr>
                <w:rFonts w:ascii="Times New Roman" w:hAnsi="Times New Roman"/>
                <w:sz w:val="16"/>
                <w:szCs w:val="16"/>
              </w:rPr>
              <w:t>Projektų finansavimo ir administravimo sutartyse suplanuota produkto rodiklio reikšmė rodys, ar projektai bus įgyvendinti numatyta apimtimi.</w:t>
            </w:r>
          </w:p>
        </w:tc>
      </w:tr>
    </w:tbl>
    <w:p w:rsidR="00FF08C5" w:rsidRDefault="00FF08C5" w:rsidP="00385835">
      <w:pPr>
        <w:autoSpaceDE w:val="0"/>
        <w:autoSpaceDN w:val="0"/>
        <w:adjustRightInd w:val="0"/>
        <w:spacing w:after="0" w:line="240" w:lineRule="auto"/>
        <w:ind w:firstLine="851"/>
        <w:jc w:val="both"/>
        <w:rPr>
          <w:rFonts w:ascii="Times New Roman" w:hAnsi="Times New Roman"/>
          <w:color w:val="000000"/>
          <w:sz w:val="24"/>
          <w:szCs w:val="24"/>
        </w:rPr>
      </w:pPr>
    </w:p>
    <w:p w:rsidR="00385835" w:rsidRPr="00385835" w:rsidRDefault="00385835" w:rsidP="00385835">
      <w:pPr>
        <w:autoSpaceDE w:val="0"/>
        <w:autoSpaceDN w:val="0"/>
        <w:adjustRightInd w:val="0"/>
        <w:spacing w:after="0" w:line="240" w:lineRule="auto"/>
        <w:ind w:firstLine="851"/>
        <w:jc w:val="both"/>
        <w:rPr>
          <w:rFonts w:ascii="Times New Roman" w:hAnsi="Times New Roman"/>
          <w:color w:val="000000"/>
          <w:sz w:val="24"/>
          <w:szCs w:val="24"/>
        </w:rPr>
      </w:pPr>
      <w:r w:rsidRPr="00385835">
        <w:rPr>
          <w:rFonts w:ascii="Times New Roman" w:hAnsi="Times New Roman"/>
          <w:color w:val="000000"/>
          <w:sz w:val="24"/>
          <w:szCs w:val="24"/>
        </w:rPr>
        <w:t>Į veiklos peržiūros planą įtrauktų rodiklių tarpinės ir galutinės reikšmės nustatytos, įvertinus istorinius ankstesnio programavimo laikotarpio lėšų panaudojimo ir rodiklių pasiekimo duomenis, t.</w:t>
      </w:r>
      <w:r w:rsidR="00C532B5">
        <w:rPr>
          <w:rFonts w:ascii="Times New Roman" w:hAnsi="Times New Roman"/>
          <w:color w:val="000000"/>
          <w:sz w:val="24"/>
          <w:szCs w:val="24"/>
        </w:rPr>
        <w:t xml:space="preserve"> </w:t>
      </w:r>
      <w:r w:rsidRPr="00385835">
        <w:rPr>
          <w:rFonts w:ascii="Times New Roman" w:hAnsi="Times New Roman"/>
          <w:color w:val="000000"/>
          <w:sz w:val="24"/>
          <w:szCs w:val="24"/>
        </w:rPr>
        <w:t xml:space="preserve">y. įgyvendinant panašaus pobūdžio intervencijas per analogišką laikotarpį pasiektas rodiklių reikšmes, tuo pačiu atsižvelgiant į šiame programavimo laikotarpyje numatomas investicijų ir veiklų apimtis. </w:t>
      </w:r>
    </w:p>
    <w:p w:rsidR="00385835" w:rsidRDefault="00385835" w:rsidP="00385835">
      <w:pPr>
        <w:autoSpaceDE w:val="0"/>
        <w:autoSpaceDN w:val="0"/>
        <w:adjustRightInd w:val="0"/>
        <w:spacing w:after="0" w:line="240" w:lineRule="auto"/>
        <w:ind w:firstLine="851"/>
        <w:jc w:val="both"/>
        <w:rPr>
          <w:rFonts w:ascii="Times New Roman" w:hAnsi="Times New Roman"/>
          <w:color w:val="000000"/>
          <w:sz w:val="24"/>
          <w:szCs w:val="24"/>
        </w:rPr>
      </w:pPr>
      <w:r w:rsidRPr="00385835">
        <w:rPr>
          <w:rFonts w:ascii="Times New Roman" w:hAnsi="Times New Roman"/>
          <w:color w:val="000000"/>
          <w:sz w:val="24"/>
          <w:szCs w:val="24"/>
        </w:rPr>
        <w:t xml:space="preserve">Nustatant tarpines rodiklių reikšmes, taip pat atsižvelgta į sektoriaus pasirengimą panaudoti </w:t>
      </w:r>
      <w:r w:rsidR="000F4AE6">
        <w:rPr>
          <w:rFonts w:ascii="Times New Roman" w:hAnsi="Times New Roman"/>
          <w:color w:val="000000"/>
          <w:sz w:val="24"/>
          <w:szCs w:val="24"/>
        </w:rPr>
        <w:t>ES fondų</w:t>
      </w:r>
      <w:r w:rsidRPr="00385835">
        <w:rPr>
          <w:rFonts w:ascii="Times New Roman" w:hAnsi="Times New Roman"/>
          <w:color w:val="000000"/>
          <w:sz w:val="24"/>
          <w:szCs w:val="24"/>
        </w:rPr>
        <w:t xml:space="preserve"> lėšas – poreikį atlikti parengiamuosius MTEPI infrastruktūros kūrimo ir atnaujinimo darbus, t.</w:t>
      </w:r>
      <w:r w:rsidR="00C532B5">
        <w:rPr>
          <w:rFonts w:ascii="Times New Roman" w:hAnsi="Times New Roman"/>
          <w:color w:val="000000"/>
          <w:sz w:val="24"/>
          <w:szCs w:val="24"/>
        </w:rPr>
        <w:t xml:space="preserve"> </w:t>
      </w:r>
      <w:r w:rsidRPr="00385835">
        <w:rPr>
          <w:rFonts w:ascii="Times New Roman" w:hAnsi="Times New Roman"/>
          <w:color w:val="000000"/>
          <w:sz w:val="24"/>
          <w:szCs w:val="24"/>
        </w:rPr>
        <w:t>y. sumanios specializacijos įgyvendinimo kelrodžių parengimą ir pan.</w:t>
      </w:r>
    </w:p>
    <w:p w:rsidR="00AC33BC" w:rsidRPr="00385835" w:rsidRDefault="00AC33BC" w:rsidP="002447B3">
      <w:pPr>
        <w:autoSpaceDE w:val="0"/>
        <w:autoSpaceDN w:val="0"/>
        <w:adjustRightInd w:val="0"/>
        <w:spacing w:after="0" w:line="240" w:lineRule="auto"/>
        <w:jc w:val="both"/>
        <w:rPr>
          <w:rFonts w:ascii="Times New Roman" w:hAnsi="Times New Roman"/>
          <w:sz w:val="24"/>
          <w:szCs w:val="24"/>
          <w:lang w:eastAsia="lt-LT"/>
        </w:rPr>
      </w:pPr>
    </w:p>
    <w:p w:rsidR="00385835" w:rsidRPr="00385835" w:rsidRDefault="00385835" w:rsidP="00385835">
      <w:pPr>
        <w:spacing w:after="0"/>
      </w:pPr>
    </w:p>
    <w:p w:rsidR="007E2373" w:rsidRDefault="007E2373" w:rsidP="00DD21D7">
      <w:pPr>
        <w:widowControl w:val="0"/>
        <w:tabs>
          <w:tab w:val="left" w:pos="622"/>
        </w:tabs>
        <w:spacing w:after="0" w:line="240" w:lineRule="auto"/>
        <w:rPr>
          <w:rFonts w:ascii="Times New Roman" w:eastAsia="AngsanaUPC" w:hAnsi="Times New Roman"/>
          <w:b/>
          <w:bCs/>
          <w:sz w:val="20"/>
          <w:szCs w:val="20"/>
          <w:lang w:eastAsia="lt-LT"/>
        </w:rPr>
        <w:sectPr w:rsidR="007E2373" w:rsidSect="007E2373">
          <w:pgSz w:w="16838" w:h="11906" w:orient="landscape" w:code="9"/>
          <w:pgMar w:top="1701" w:right="1701" w:bottom="567" w:left="1134" w:header="567" w:footer="567" w:gutter="0"/>
          <w:cols w:space="1296"/>
          <w:docGrid w:linePitch="360"/>
        </w:sectPr>
      </w:pPr>
    </w:p>
    <w:tbl>
      <w:tblPr>
        <w:tblpPr w:leftFromText="180" w:rightFromText="180" w:horzAnchor="margin" w:tblpX="108" w:tblpY="553"/>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09"/>
        <w:gridCol w:w="6379"/>
        <w:gridCol w:w="1768"/>
      </w:tblGrid>
      <w:tr w:rsidR="00DD21D7" w:rsidRPr="002447B3" w:rsidTr="006932B7">
        <w:trPr>
          <w:tblHeader/>
        </w:trPr>
        <w:tc>
          <w:tcPr>
            <w:tcW w:w="9673" w:type="dxa"/>
            <w:gridSpan w:val="4"/>
            <w:shd w:val="clear" w:color="auto" w:fill="EEECE1"/>
            <w:vAlign w:val="center"/>
          </w:tcPr>
          <w:p w:rsidR="00DD21D7" w:rsidRPr="002447B3" w:rsidRDefault="006932B7" w:rsidP="006932B7">
            <w:pPr>
              <w:widowControl w:val="0"/>
              <w:tabs>
                <w:tab w:val="left" w:pos="622"/>
              </w:tabs>
              <w:spacing w:after="0" w:line="240" w:lineRule="auto"/>
              <w:rPr>
                <w:rFonts w:ascii="Times New Roman" w:eastAsia="AngsanaUPC" w:hAnsi="Times New Roman"/>
                <w:b/>
                <w:bCs/>
                <w:i/>
                <w:sz w:val="20"/>
                <w:szCs w:val="20"/>
                <w:lang w:eastAsia="lt-LT"/>
              </w:rPr>
            </w:pPr>
            <w:r w:rsidRPr="002447B3">
              <w:rPr>
                <w:rFonts w:ascii="Times New Roman" w:eastAsia="AngsanaUPC" w:hAnsi="Times New Roman"/>
                <w:b/>
                <w:bCs/>
                <w:i/>
                <w:sz w:val="20"/>
                <w:szCs w:val="20"/>
                <w:lang w:eastAsia="lt-LT"/>
              </w:rPr>
              <w:lastRenderedPageBreak/>
              <w:t>Intervencinių veiksmų sritis</w:t>
            </w:r>
          </w:p>
        </w:tc>
      </w:tr>
      <w:tr w:rsidR="006932B7" w:rsidRPr="002447B3" w:rsidTr="006932B7">
        <w:tc>
          <w:tcPr>
            <w:tcW w:w="817" w:type="dxa"/>
            <w:shd w:val="clear" w:color="auto" w:fill="EEECE1"/>
            <w:vAlign w:val="center"/>
          </w:tcPr>
          <w:p w:rsidR="006932B7" w:rsidRPr="002447B3" w:rsidRDefault="006932B7" w:rsidP="006932B7">
            <w:pPr>
              <w:widowControl w:val="0"/>
              <w:tabs>
                <w:tab w:val="left" w:pos="622"/>
              </w:tabs>
              <w:spacing w:after="0" w:line="240" w:lineRule="auto"/>
              <w:jc w:val="center"/>
              <w:rPr>
                <w:rFonts w:ascii="Times New Roman" w:eastAsia="AngsanaUPC" w:hAnsi="Times New Roman"/>
                <w:b/>
                <w:bCs/>
                <w:sz w:val="18"/>
                <w:szCs w:val="18"/>
                <w:lang w:eastAsia="lt-LT"/>
              </w:rPr>
            </w:pPr>
            <w:r w:rsidRPr="002447B3">
              <w:rPr>
                <w:rFonts w:ascii="Times New Roman" w:eastAsia="AngsanaUPC" w:hAnsi="Times New Roman"/>
                <w:b/>
                <w:bCs/>
                <w:sz w:val="18"/>
                <w:szCs w:val="18"/>
                <w:lang w:eastAsia="lt-LT"/>
              </w:rPr>
              <w:t>Fondas</w:t>
            </w:r>
          </w:p>
        </w:tc>
        <w:tc>
          <w:tcPr>
            <w:tcW w:w="709" w:type="dxa"/>
            <w:shd w:val="clear" w:color="auto" w:fill="EEECE1"/>
            <w:vAlign w:val="center"/>
          </w:tcPr>
          <w:p w:rsidR="006932B7" w:rsidRPr="002447B3" w:rsidRDefault="006932B7" w:rsidP="006932B7">
            <w:pPr>
              <w:widowControl w:val="0"/>
              <w:tabs>
                <w:tab w:val="left" w:pos="622"/>
              </w:tabs>
              <w:spacing w:after="0" w:line="240" w:lineRule="auto"/>
              <w:jc w:val="center"/>
              <w:rPr>
                <w:rFonts w:ascii="Times New Roman" w:eastAsia="AngsanaUPC" w:hAnsi="Times New Roman"/>
                <w:b/>
                <w:bCs/>
                <w:sz w:val="18"/>
                <w:szCs w:val="18"/>
                <w:lang w:eastAsia="lt-LT"/>
              </w:rPr>
            </w:pPr>
            <w:r w:rsidRPr="002447B3">
              <w:rPr>
                <w:rFonts w:ascii="Times New Roman" w:eastAsia="AngsanaUPC" w:hAnsi="Times New Roman"/>
                <w:b/>
                <w:bCs/>
                <w:sz w:val="18"/>
                <w:szCs w:val="18"/>
                <w:lang w:eastAsia="lt-LT"/>
              </w:rPr>
              <w:t>Kodas</w:t>
            </w:r>
          </w:p>
        </w:tc>
        <w:tc>
          <w:tcPr>
            <w:tcW w:w="6379" w:type="dxa"/>
            <w:shd w:val="clear" w:color="auto" w:fill="EEECE1"/>
            <w:vAlign w:val="center"/>
          </w:tcPr>
          <w:p w:rsidR="006932B7" w:rsidRPr="002447B3" w:rsidRDefault="006932B7" w:rsidP="006932B7">
            <w:pPr>
              <w:widowControl w:val="0"/>
              <w:tabs>
                <w:tab w:val="left" w:pos="622"/>
              </w:tabs>
              <w:spacing w:after="0" w:line="240" w:lineRule="auto"/>
              <w:jc w:val="center"/>
              <w:rPr>
                <w:rFonts w:ascii="Times New Roman" w:eastAsia="AngsanaUPC" w:hAnsi="Times New Roman"/>
                <w:b/>
                <w:bCs/>
                <w:sz w:val="18"/>
                <w:szCs w:val="18"/>
                <w:lang w:eastAsia="lt-LT"/>
              </w:rPr>
            </w:pPr>
            <w:r w:rsidRPr="002447B3">
              <w:rPr>
                <w:rFonts w:ascii="Times New Roman" w:eastAsia="AngsanaUPC" w:hAnsi="Times New Roman"/>
                <w:b/>
                <w:bCs/>
                <w:sz w:val="18"/>
                <w:szCs w:val="18"/>
                <w:lang w:eastAsia="lt-LT"/>
              </w:rPr>
              <w:t>Pavadinimas</w:t>
            </w:r>
          </w:p>
        </w:tc>
        <w:tc>
          <w:tcPr>
            <w:tcW w:w="1768" w:type="dxa"/>
            <w:shd w:val="clear" w:color="auto" w:fill="EEECE1"/>
            <w:vAlign w:val="center"/>
          </w:tcPr>
          <w:p w:rsidR="006932B7" w:rsidRPr="002447B3" w:rsidRDefault="006932B7" w:rsidP="006932B7">
            <w:pPr>
              <w:widowControl w:val="0"/>
              <w:tabs>
                <w:tab w:val="left" w:pos="622"/>
              </w:tabs>
              <w:spacing w:after="0" w:line="240" w:lineRule="auto"/>
              <w:jc w:val="center"/>
              <w:rPr>
                <w:rFonts w:ascii="Times New Roman" w:eastAsia="AngsanaUPC" w:hAnsi="Times New Roman"/>
                <w:b/>
                <w:bCs/>
                <w:sz w:val="18"/>
                <w:szCs w:val="18"/>
                <w:lang w:eastAsia="lt-LT"/>
              </w:rPr>
            </w:pPr>
            <w:r w:rsidRPr="002447B3">
              <w:rPr>
                <w:rFonts w:ascii="Times New Roman" w:eastAsia="AngsanaUPC" w:hAnsi="Times New Roman"/>
                <w:b/>
                <w:bCs/>
                <w:sz w:val="18"/>
                <w:szCs w:val="18"/>
                <w:lang w:eastAsia="lt-LT"/>
              </w:rPr>
              <w:t>Finansinė proporcija (eurais)</w:t>
            </w:r>
          </w:p>
        </w:tc>
      </w:tr>
      <w:tr w:rsidR="006932B7" w:rsidRPr="002447B3" w:rsidTr="006932B7">
        <w:tc>
          <w:tcPr>
            <w:tcW w:w="817" w:type="dxa"/>
            <w:shd w:val="clear" w:color="auto" w:fill="auto"/>
            <w:vAlign w:val="center"/>
          </w:tcPr>
          <w:p w:rsidR="006932B7" w:rsidRPr="002447B3" w:rsidRDefault="006932B7" w:rsidP="006932B7">
            <w:pPr>
              <w:widowControl w:val="0"/>
              <w:tabs>
                <w:tab w:val="left" w:pos="622"/>
              </w:tabs>
              <w:spacing w:after="0" w:line="240" w:lineRule="auto"/>
              <w:jc w:val="center"/>
              <w:rPr>
                <w:rFonts w:ascii="Times New Roman" w:eastAsia="AngsanaUPC" w:hAnsi="Times New Roman"/>
                <w:bCs/>
                <w:sz w:val="18"/>
                <w:szCs w:val="18"/>
                <w:lang w:val="en-GB" w:eastAsia="lt-LT"/>
              </w:rPr>
            </w:pPr>
            <w:r w:rsidRPr="002447B3">
              <w:rPr>
                <w:rFonts w:ascii="Times New Roman" w:eastAsia="AngsanaUPC" w:hAnsi="Times New Roman"/>
                <w:bCs/>
                <w:sz w:val="18"/>
                <w:szCs w:val="18"/>
                <w:lang w:val="en-GB" w:eastAsia="lt-LT"/>
              </w:rPr>
              <w:t>ERPF</w:t>
            </w:r>
          </w:p>
        </w:tc>
        <w:tc>
          <w:tcPr>
            <w:tcW w:w="709" w:type="dxa"/>
            <w:shd w:val="clear" w:color="auto" w:fill="auto"/>
            <w:vAlign w:val="center"/>
          </w:tcPr>
          <w:p w:rsidR="006932B7" w:rsidRPr="002447B3" w:rsidRDefault="006932B7" w:rsidP="006932B7">
            <w:pPr>
              <w:widowControl w:val="0"/>
              <w:tabs>
                <w:tab w:val="left" w:pos="622"/>
              </w:tabs>
              <w:spacing w:after="0" w:line="240" w:lineRule="auto"/>
              <w:jc w:val="center"/>
              <w:rPr>
                <w:rFonts w:ascii="Times New Roman" w:eastAsia="AngsanaUPC" w:hAnsi="Times New Roman"/>
                <w:bCs/>
                <w:sz w:val="18"/>
                <w:szCs w:val="18"/>
                <w:lang w:val="en-GB" w:eastAsia="lt-LT"/>
              </w:rPr>
            </w:pPr>
            <w:r w:rsidRPr="002447B3">
              <w:rPr>
                <w:rFonts w:ascii="Times New Roman" w:eastAsia="AngsanaUPC" w:hAnsi="Times New Roman"/>
                <w:bCs/>
                <w:sz w:val="18"/>
                <w:szCs w:val="18"/>
                <w:lang w:val="en-GB" w:eastAsia="lt-LT"/>
              </w:rPr>
              <w:t>56</w:t>
            </w:r>
          </w:p>
        </w:tc>
        <w:tc>
          <w:tcPr>
            <w:tcW w:w="6379" w:type="dxa"/>
            <w:shd w:val="clear" w:color="auto" w:fill="auto"/>
            <w:vAlign w:val="center"/>
          </w:tcPr>
          <w:p w:rsidR="006932B7" w:rsidRPr="002447B3" w:rsidRDefault="006932B7" w:rsidP="006932B7">
            <w:pPr>
              <w:widowControl w:val="0"/>
              <w:tabs>
                <w:tab w:val="left" w:pos="622"/>
              </w:tabs>
              <w:spacing w:after="0" w:line="240" w:lineRule="auto"/>
              <w:rPr>
                <w:rFonts w:ascii="Times New Roman" w:eastAsia="AngsanaUPC" w:hAnsi="Times New Roman"/>
                <w:bCs/>
                <w:sz w:val="18"/>
                <w:szCs w:val="18"/>
                <w:lang w:eastAsia="lt-LT"/>
              </w:rPr>
            </w:pPr>
            <w:r w:rsidRPr="002447B3">
              <w:rPr>
                <w:rFonts w:ascii="Times New Roman" w:eastAsia="AngsanaUPC" w:hAnsi="Times New Roman"/>
                <w:bCs/>
                <w:sz w:val="18"/>
                <w:szCs w:val="18"/>
                <w:lang w:eastAsia="lt-LT"/>
              </w:rPr>
              <w:t>Investicijos į MVĮ infrastruktūrą, gebėjimus ir įrangą, tiesiogiai susijusius su moksliniais tyrimais ir inovacijų diegimo veikla</w:t>
            </w:r>
          </w:p>
        </w:tc>
        <w:tc>
          <w:tcPr>
            <w:tcW w:w="1768" w:type="dxa"/>
            <w:shd w:val="clear" w:color="auto" w:fill="auto"/>
            <w:vAlign w:val="center"/>
          </w:tcPr>
          <w:p w:rsidR="006932B7" w:rsidRPr="00891769" w:rsidRDefault="00C532B5" w:rsidP="006932B7">
            <w:pPr>
              <w:widowControl w:val="0"/>
              <w:tabs>
                <w:tab w:val="left" w:pos="622"/>
              </w:tabs>
              <w:spacing w:after="0" w:line="240" w:lineRule="auto"/>
              <w:jc w:val="right"/>
              <w:rPr>
                <w:rFonts w:ascii="Times New Roman" w:eastAsia="AngsanaUPC" w:hAnsi="Times New Roman"/>
                <w:bCs/>
                <w:sz w:val="18"/>
                <w:szCs w:val="18"/>
                <w:lang w:val="en-GB" w:eastAsia="lt-LT"/>
              </w:rPr>
            </w:pPr>
            <w:r w:rsidRPr="00891769">
              <w:rPr>
                <w:rFonts w:ascii="Times New Roman" w:eastAsia="AngsanaUPC" w:hAnsi="Times New Roman"/>
                <w:bCs/>
                <w:sz w:val="18"/>
                <w:szCs w:val="18"/>
                <w:lang w:val="en-GB" w:eastAsia="lt-LT"/>
              </w:rPr>
              <w:t>53.750.935</w:t>
            </w:r>
          </w:p>
        </w:tc>
      </w:tr>
      <w:tr w:rsidR="006932B7" w:rsidRPr="002447B3" w:rsidTr="006932B7">
        <w:tc>
          <w:tcPr>
            <w:tcW w:w="817" w:type="dxa"/>
            <w:shd w:val="clear" w:color="auto" w:fill="auto"/>
            <w:vAlign w:val="center"/>
          </w:tcPr>
          <w:p w:rsidR="006932B7" w:rsidRPr="002447B3" w:rsidRDefault="006932B7" w:rsidP="006932B7">
            <w:pPr>
              <w:widowControl w:val="0"/>
              <w:tabs>
                <w:tab w:val="left" w:pos="622"/>
              </w:tabs>
              <w:spacing w:after="0" w:line="240" w:lineRule="auto"/>
              <w:jc w:val="center"/>
              <w:rPr>
                <w:rFonts w:ascii="Times New Roman" w:eastAsia="AngsanaUPC" w:hAnsi="Times New Roman"/>
                <w:bCs/>
                <w:sz w:val="18"/>
                <w:szCs w:val="18"/>
                <w:lang w:val="en-GB" w:eastAsia="lt-LT"/>
              </w:rPr>
            </w:pPr>
            <w:r w:rsidRPr="002447B3">
              <w:rPr>
                <w:rFonts w:ascii="Times New Roman" w:eastAsia="AngsanaUPC" w:hAnsi="Times New Roman"/>
                <w:bCs/>
                <w:sz w:val="18"/>
                <w:szCs w:val="18"/>
                <w:lang w:val="en-GB" w:eastAsia="lt-LT"/>
              </w:rPr>
              <w:t>ERPF</w:t>
            </w:r>
          </w:p>
        </w:tc>
        <w:tc>
          <w:tcPr>
            <w:tcW w:w="709" w:type="dxa"/>
            <w:shd w:val="clear" w:color="auto" w:fill="auto"/>
            <w:vAlign w:val="center"/>
          </w:tcPr>
          <w:p w:rsidR="006932B7" w:rsidRPr="002447B3" w:rsidRDefault="006932B7" w:rsidP="006932B7">
            <w:pPr>
              <w:widowControl w:val="0"/>
              <w:tabs>
                <w:tab w:val="left" w:pos="622"/>
              </w:tabs>
              <w:spacing w:after="0" w:line="240" w:lineRule="auto"/>
              <w:jc w:val="center"/>
              <w:rPr>
                <w:rFonts w:ascii="Times New Roman" w:eastAsia="AngsanaUPC" w:hAnsi="Times New Roman"/>
                <w:bCs/>
                <w:sz w:val="18"/>
                <w:szCs w:val="18"/>
                <w:lang w:val="en-GB" w:eastAsia="lt-LT"/>
              </w:rPr>
            </w:pPr>
            <w:r w:rsidRPr="002447B3">
              <w:rPr>
                <w:rFonts w:ascii="Times New Roman" w:eastAsia="AngsanaUPC" w:hAnsi="Times New Roman"/>
                <w:bCs/>
                <w:sz w:val="18"/>
                <w:szCs w:val="18"/>
                <w:lang w:val="en-GB" w:eastAsia="lt-LT"/>
              </w:rPr>
              <w:t>57</w:t>
            </w:r>
          </w:p>
        </w:tc>
        <w:tc>
          <w:tcPr>
            <w:tcW w:w="6379" w:type="dxa"/>
            <w:shd w:val="clear" w:color="auto" w:fill="auto"/>
            <w:vAlign w:val="center"/>
          </w:tcPr>
          <w:p w:rsidR="006932B7" w:rsidRPr="002447B3" w:rsidRDefault="006932B7" w:rsidP="006932B7">
            <w:pPr>
              <w:widowControl w:val="0"/>
              <w:tabs>
                <w:tab w:val="left" w:pos="622"/>
              </w:tabs>
              <w:spacing w:after="0" w:line="240" w:lineRule="auto"/>
              <w:rPr>
                <w:rFonts w:ascii="Times New Roman" w:eastAsia="AngsanaUPC" w:hAnsi="Times New Roman"/>
                <w:bCs/>
                <w:sz w:val="18"/>
                <w:szCs w:val="18"/>
                <w:lang w:eastAsia="lt-LT"/>
              </w:rPr>
            </w:pPr>
            <w:r w:rsidRPr="002447B3">
              <w:rPr>
                <w:rFonts w:ascii="Times New Roman" w:eastAsia="AngsanaUPC" w:hAnsi="Times New Roman"/>
                <w:bCs/>
                <w:sz w:val="18"/>
                <w:szCs w:val="18"/>
                <w:lang w:eastAsia="lt-LT"/>
              </w:rPr>
              <w:t>Investicijos į didelių įmonių infrastruktūrą, gebėjimus ir įrangą, tiesiogiai susijusius su moksliniais tyrimais ir inovacijų diegimo veikla</w:t>
            </w:r>
          </w:p>
        </w:tc>
        <w:tc>
          <w:tcPr>
            <w:tcW w:w="1768" w:type="dxa"/>
            <w:shd w:val="clear" w:color="auto" w:fill="auto"/>
            <w:vAlign w:val="center"/>
          </w:tcPr>
          <w:p w:rsidR="006932B7" w:rsidRPr="00891769" w:rsidRDefault="00C532B5" w:rsidP="006932B7">
            <w:pPr>
              <w:widowControl w:val="0"/>
              <w:tabs>
                <w:tab w:val="left" w:pos="622"/>
              </w:tabs>
              <w:spacing w:after="0" w:line="240" w:lineRule="auto"/>
              <w:jc w:val="right"/>
              <w:rPr>
                <w:rFonts w:ascii="Times New Roman" w:eastAsia="AngsanaUPC" w:hAnsi="Times New Roman"/>
                <w:bCs/>
                <w:sz w:val="18"/>
                <w:szCs w:val="18"/>
                <w:lang w:val="en-GB" w:eastAsia="lt-LT"/>
              </w:rPr>
            </w:pPr>
            <w:r w:rsidRPr="00891769">
              <w:rPr>
                <w:rFonts w:ascii="Times New Roman" w:eastAsia="AngsanaUPC" w:hAnsi="Times New Roman"/>
                <w:bCs/>
                <w:sz w:val="18"/>
                <w:szCs w:val="18"/>
                <w:lang w:val="en-GB" w:eastAsia="lt-LT"/>
              </w:rPr>
              <w:t>85.254.857</w:t>
            </w:r>
          </w:p>
        </w:tc>
      </w:tr>
      <w:tr w:rsidR="006932B7" w:rsidRPr="002447B3" w:rsidTr="006932B7">
        <w:tc>
          <w:tcPr>
            <w:tcW w:w="817" w:type="dxa"/>
            <w:shd w:val="clear" w:color="auto" w:fill="auto"/>
            <w:vAlign w:val="center"/>
          </w:tcPr>
          <w:p w:rsidR="006932B7" w:rsidRPr="002447B3" w:rsidRDefault="006932B7" w:rsidP="006932B7">
            <w:pPr>
              <w:widowControl w:val="0"/>
              <w:tabs>
                <w:tab w:val="left" w:pos="622"/>
              </w:tabs>
              <w:spacing w:after="0" w:line="240" w:lineRule="auto"/>
              <w:jc w:val="center"/>
              <w:rPr>
                <w:rFonts w:ascii="Times New Roman" w:eastAsia="AngsanaUPC" w:hAnsi="Times New Roman"/>
                <w:bCs/>
                <w:sz w:val="18"/>
                <w:szCs w:val="18"/>
                <w:lang w:val="en-GB" w:eastAsia="lt-LT"/>
              </w:rPr>
            </w:pPr>
            <w:r w:rsidRPr="002447B3">
              <w:rPr>
                <w:rFonts w:ascii="Times New Roman" w:eastAsia="AngsanaUPC" w:hAnsi="Times New Roman"/>
                <w:bCs/>
                <w:sz w:val="18"/>
                <w:szCs w:val="18"/>
                <w:lang w:val="en-GB" w:eastAsia="lt-LT"/>
              </w:rPr>
              <w:t>ERPF</w:t>
            </w:r>
          </w:p>
        </w:tc>
        <w:tc>
          <w:tcPr>
            <w:tcW w:w="709" w:type="dxa"/>
            <w:shd w:val="clear" w:color="auto" w:fill="auto"/>
            <w:vAlign w:val="center"/>
          </w:tcPr>
          <w:p w:rsidR="006932B7" w:rsidRPr="002447B3" w:rsidRDefault="006932B7" w:rsidP="006932B7">
            <w:pPr>
              <w:widowControl w:val="0"/>
              <w:tabs>
                <w:tab w:val="left" w:pos="622"/>
              </w:tabs>
              <w:spacing w:after="0" w:line="240" w:lineRule="auto"/>
              <w:jc w:val="center"/>
              <w:rPr>
                <w:rFonts w:ascii="Times New Roman" w:eastAsia="AngsanaUPC" w:hAnsi="Times New Roman"/>
                <w:bCs/>
                <w:sz w:val="18"/>
                <w:szCs w:val="18"/>
                <w:lang w:val="en-GB" w:eastAsia="lt-LT"/>
              </w:rPr>
            </w:pPr>
            <w:r w:rsidRPr="002447B3">
              <w:rPr>
                <w:rFonts w:ascii="Times New Roman" w:eastAsia="AngsanaUPC" w:hAnsi="Times New Roman"/>
                <w:bCs/>
                <w:sz w:val="18"/>
                <w:szCs w:val="18"/>
                <w:lang w:val="en-GB" w:eastAsia="lt-LT"/>
              </w:rPr>
              <w:t>58</w:t>
            </w:r>
          </w:p>
        </w:tc>
        <w:tc>
          <w:tcPr>
            <w:tcW w:w="6379" w:type="dxa"/>
            <w:shd w:val="clear" w:color="auto" w:fill="auto"/>
            <w:vAlign w:val="center"/>
          </w:tcPr>
          <w:p w:rsidR="006932B7" w:rsidRPr="002447B3" w:rsidRDefault="006932B7" w:rsidP="006932B7">
            <w:pPr>
              <w:widowControl w:val="0"/>
              <w:tabs>
                <w:tab w:val="left" w:pos="622"/>
              </w:tabs>
              <w:spacing w:after="0" w:line="240" w:lineRule="auto"/>
              <w:rPr>
                <w:rFonts w:ascii="Times New Roman" w:eastAsia="AngsanaUPC" w:hAnsi="Times New Roman"/>
                <w:bCs/>
                <w:sz w:val="18"/>
                <w:szCs w:val="18"/>
                <w:lang w:eastAsia="lt-LT"/>
              </w:rPr>
            </w:pPr>
            <w:r w:rsidRPr="002447B3">
              <w:rPr>
                <w:rFonts w:ascii="Times New Roman" w:eastAsia="AngsanaUPC" w:hAnsi="Times New Roman"/>
                <w:bCs/>
                <w:sz w:val="18"/>
                <w:szCs w:val="18"/>
                <w:lang w:eastAsia="lt-LT"/>
              </w:rPr>
              <w:t>Mokslinių tyrimų ir inovacijų infrastruktūra (vieša)</w:t>
            </w:r>
          </w:p>
        </w:tc>
        <w:tc>
          <w:tcPr>
            <w:tcW w:w="1768" w:type="dxa"/>
            <w:shd w:val="clear" w:color="auto" w:fill="auto"/>
            <w:vAlign w:val="center"/>
          </w:tcPr>
          <w:p w:rsidR="006932B7" w:rsidRPr="00891769" w:rsidRDefault="006932B7" w:rsidP="00C532B5">
            <w:pPr>
              <w:widowControl w:val="0"/>
              <w:tabs>
                <w:tab w:val="left" w:pos="622"/>
              </w:tabs>
              <w:spacing w:after="0" w:line="240" w:lineRule="auto"/>
              <w:jc w:val="right"/>
              <w:rPr>
                <w:rFonts w:ascii="Times New Roman" w:eastAsia="AngsanaUPC" w:hAnsi="Times New Roman"/>
                <w:bCs/>
                <w:sz w:val="18"/>
                <w:szCs w:val="18"/>
                <w:lang w:val="en-GB" w:eastAsia="lt-LT"/>
              </w:rPr>
            </w:pPr>
            <w:r w:rsidRPr="00891769">
              <w:rPr>
                <w:rFonts w:ascii="Times New Roman" w:eastAsia="AngsanaUPC" w:hAnsi="Times New Roman"/>
                <w:bCs/>
                <w:sz w:val="18"/>
                <w:szCs w:val="18"/>
                <w:lang w:val="en-GB" w:eastAsia="lt-LT"/>
              </w:rPr>
              <w:t>1</w:t>
            </w:r>
            <w:r w:rsidR="005F6EE3" w:rsidRPr="00891769">
              <w:rPr>
                <w:rFonts w:ascii="Times New Roman" w:eastAsia="AngsanaUPC" w:hAnsi="Times New Roman"/>
                <w:bCs/>
                <w:sz w:val="18"/>
                <w:szCs w:val="18"/>
                <w:lang w:val="en-GB" w:eastAsia="lt-LT"/>
              </w:rPr>
              <w:t>34</w:t>
            </w:r>
            <w:r w:rsidR="00D90882" w:rsidRPr="00891769">
              <w:rPr>
                <w:rFonts w:ascii="Times New Roman" w:eastAsia="AngsanaUPC" w:hAnsi="Times New Roman"/>
                <w:bCs/>
                <w:sz w:val="18"/>
                <w:szCs w:val="18"/>
                <w:lang w:val="en-GB" w:eastAsia="lt-LT"/>
              </w:rPr>
              <w:t>.</w:t>
            </w:r>
            <w:r w:rsidR="005F6EE3" w:rsidRPr="00891769">
              <w:rPr>
                <w:rFonts w:ascii="Times New Roman" w:eastAsia="AngsanaUPC" w:hAnsi="Times New Roman"/>
                <w:bCs/>
                <w:sz w:val="18"/>
                <w:szCs w:val="18"/>
                <w:lang w:val="en-GB" w:eastAsia="lt-LT"/>
              </w:rPr>
              <w:t>636</w:t>
            </w:r>
            <w:r w:rsidR="00D90882" w:rsidRPr="00891769">
              <w:rPr>
                <w:rFonts w:ascii="Times New Roman" w:eastAsia="AngsanaUPC" w:hAnsi="Times New Roman"/>
                <w:bCs/>
                <w:sz w:val="18"/>
                <w:szCs w:val="18"/>
                <w:lang w:val="en-GB" w:eastAsia="lt-LT"/>
              </w:rPr>
              <w:t>.</w:t>
            </w:r>
            <w:r w:rsidR="005F6EE3" w:rsidRPr="00891769">
              <w:rPr>
                <w:rFonts w:ascii="Times New Roman" w:eastAsia="AngsanaUPC" w:hAnsi="Times New Roman"/>
                <w:bCs/>
                <w:sz w:val="18"/>
                <w:szCs w:val="18"/>
                <w:lang w:val="en-GB" w:eastAsia="lt-LT"/>
              </w:rPr>
              <w:t>572</w:t>
            </w:r>
          </w:p>
        </w:tc>
      </w:tr>
      <w:tr w:rsidR="006932B7" w:rsidRPr="002447B3" w:rsidTr="006932B7">
        <w:tc>
          <w:tcPr>
            <w:tcW w:w="817" w:type="dxa"/>
            <w:shd w:val="clear" w:color="auto" w:fill="auto"/>
            <w:vAlign w:val="center"/>
          </w:tcPr>
          <w:p w:rsidR="006932B7" w:rsidRPr="002447B3" w:rsidRDefault="006932B7" w:rsidP="006932B7">
            <w:pPr>
              <w:widowControl w:val="0"/>
              <w:tabs>
                <w:tab w:val="left" w:pos="622"/>
              </w:tabs>
              <w:spacing w:after="0" w:line="240" w:lineRule="auto"/>
              <w:jc w:val="center"/>
              <w:rPr>
                <w:rFonts w:ascii="Times New Roman" w:eastAsia="AngsanaUPC" w:hAnsi="Times New Roman"/>
                <w:bCs/>
                <w:sz w:val="18"/>
                <w:szCs w:val="18"/>
                <w:lang w:val="en-GB" w:eastAsia="lt-LT"/>
              </w:rPr>
            </w:pPr>
            <w:r w:rsidRPr="002447B3">
              <w:rPr>
                <w:rFonts w:ascii="Times New Roman" w:eastAsia="AngsanaUPC" w:hAnsi="Times New Roman"/>
                <w:bCs/>
                <w:sz w:val="18"/>
                <w:szCs w:val="18"/>
                <w:lang w:val="en-GB" w:eastAsia="lt-LT"/>
              </w:rPr>
              <w:t>ERPF</w:t>
            </w:r>
          </w:p>
        </w:tc>
        <w:tc>
          <w:tcPr>
            <w:tcW w:w="709" w:type="dxa"/>
            <w:shd w:val="clear" w:color="auto" w:fill="auto"/>
            <w:vAlign w:val="center"/>
          </w:tcPr>
          <w:p w:rsidR="006932B7" w:rsidRPr="002447B3" w:rsidRDefault="006932B7" w:rsidP="006932B7">
            <w:pPr>
              <w:widowControl w:val="0"/>
              <w:tabs>
                <w:tab w:val="left" w:pos="622"/>
              </w:tabs>
              <w:spacing w:after="0" w:line="240" w:lineRule="auto"/>
              <w:jc w:val="center"/>
              <w:rPr>
                <w:rFonts w:ascii="Times New Roman" w:eastAsia="AngsanaUPC" w:hAnsi="Times New Roman"/>
                <w:bCs/>
                <w:sz w:val="18"/>
                <w:szCs w:val="18"/>
                <w:lang w:val="en-GB" w:eastAsia="lt-LT"/>
              </w:rPr>
            </w:pPr>
            <w:r w:rsidRPr="002447B3">
              <w:rPr>
                <w:rFonts w:ascii="Times New Roman" w:eastAsia="AngsanaUPC" w:hAnsi="Times New Roman"/>
                <w:bCs/>
                <w:sz w:val="18"/>
                <w:szCs w:val="18"/>
                <w:lang w:val="en-GB" w:eastAsia="lt-LT"/>
              </w:rPr>
              <w:t>59</w:t>
            </w:r>
          </w:p>
        </w:tc>
        <w:tc>
          <w:tcPr>
            <w:tcW w:w="6379" w:type="dxa"/>
            <w:shd w:val="clear" w:color="auto" w:fill="auto"/>
            <w:vAlign w:val="center"/>
          </w:tcPr>
          <w:p w:rsidR="006932B7" w:rsidRPr="002447B3" w:rsidRDefault="006932B7" w:rsidP="006932B7">
            <w:pPr>
              <w:widowControl w:val="0"/>
              <w:tabs>
                <w:tab w:val="left" w:pos="622"/>
              </w:tabs>
              <w:spacing w:after="0" w:line="240" w:lineRule="auto"/>
              <w:rPr>
                <w:rFonts w:ascii="Times New Roman" w:eastAsia="AngsanaUPC" w:hAnsi="Times New Roman"/>
                <w:bCs/>
                <w:sz w:val="18"/>
                <w:szCs w:val="18"/>
                <w:lang w:eastAsia="lt-LT"/>
              </w:rPr>
            </w:pPr>
            <w:r w:rsidRPr="002447B3">
              <w:rPr>
                <w:rFonts w:ascii="Times New Roman" w:eastAsia="AngsanaUPC" w:hAnsi="Times New Roman"/>
                <w:bCs/>
                <w:sz w:val="18"/>
                <w:szCs w:val="18"/>
                <w:lang w:eastAsia="lt-LT"/>
              </w:rPr>
              <w:t>Mokslinių tyrimų ir inovacijų infrastruktūra (privati, įskaitant mokslo parkus)</w:t>
            </w:r>
          </w:p>
        </w:tc>
        <w:tc>
          <w:tcPr>
            <w:tcW w:w="1768" w:type="dxa"/>
            <w:shd w:val="clear" w:color="auto" w:fill="auto"/>
            <w:vAlign w:val="center"/>
          </w:tcPr>
          <w:p w:rsidR="006932B7" w:rsidRPr="00891769" w:rsidRDefault="00C532B5" w:rsidP="006932B7">
            <w:pPr>
              <w:widowControl w:val="0"/>
              <w:tabs>
                <w:tab w:val="left" w:pos="622"/>
              </w:tabs>
              <w:spacing w:after="0" w:line="240" w:lineRule="auto"/>
              <w:jc w:val="right"/>
              <w:rPr>
                <w:rFonts w:ascii="Times New Roman" w:eastAsia="AngsanaUPC" w:hAnsi="Times New Roman"/>
                <w:bCs/>
                <w:sz w:val="18"/>
                <w:szCs w:val="18"/>
                <w:lang w:val="en-GB" w:eastAsia="lt-LT"/>
              </w:rPr>
            </w:pPr>
            <w:r w:rsidRPr="00891769">
              <w:rPr>
                <w:rFonts w:ascii="Times New Roman" w:eastAsia="AngsanaUPC" w:hAnsi="Times New Roman"/>
                <w:bCs/>
                <w:sz w:val="18"/>
                <w:szCs w:val="18"/>
                <w:lang w:val="en-GB" w:eastAsia="lt-LT"/>
              </w:rPr>
              <w:t>24.000.000</w:t>
            </w:r>
          </w:p>
        </w:tc>
      </w:tr>
      <w:tr w:rsidR="006932B7" w:rsidRPr="002447B3" w:rsidTr="006932B7">
        <w:tc>
          <w:tcPr>
            <w:tcW w:w="817" w:type="dxa"/>
            <w:shd w:val="clear" w:color="auto" w:fill="auto"/>
            <w:vAlign w:val="center"/>
          </w:tcPr>
          <w:p w:rsidR="006932B7" w:rsidRPr="002447B3" w:rsidRDefault="006932B7" w:rsidP="006932B7">
            <w:pPr>
              <w:widowControl w:val="0"/>
              <w:tabs>
                <w:tab w:val="left" w:pos="622"/>
              </w:tabs>
              <w:spacing w:after="0" w:line="240" w:lineRule="auto"/>
              <w:jc w:val="center"/>
              <w:rPr>
                <w:rFonts w:ascii="Times New Roman" w:eastAsia="AngsanaUPC" w:hAnsi="Times New Roman"/>
                <w:bCs/>
                <w:sz w:val="18"/>
                <w:szCs w:val="18"/>
                <w:lang w:val="en-GB" w:eastAsia="lt-LT"/>
              </w:rPr>
            </w:pPr>
            <w:r w:rsidRPr="002447B3">
              <w:rPr>
                <w:rFonts w:ascii="Times New Roman" w:eastAsia="AngsanaUPC" w:hAnsi="Times New Roman"/>
                <w:bCs/>
                <w:sz w:val="18"/>
                <w:szCs w:val="18"/>
                <w:lang w:val="en-GB" w:eastAsia="lt-LT"/>
              </w:rPr>
              <w:t>ERPF</w:t>
            </w:r>
          </w:p>
        </w:tc>
        <w:tc>
          <w:tcPr>
            <w:tcW w:w="709" w:type="dxa"/>
            <w:shd w:val="clear" w:color="auto" w:fill="auto"/>
            <w:vAlign w:val="center"/>
          </w:tcPr>
          <w:p w:rsidR="006932B7" w:rsidRPr="002447B3" w:rsidRDefault="006932B7" w:rsidP="006932B7">
            <w:pPr>
              <w:widowControl w:val="0"/>
              <w:tabs>
                <w:tab w:val="left" w:pos="622"/>
              </w:tabs>
              <w:spacing w:after="0" w:line="240" w:lineRule="auto"/>
              <w:jc w:val="center"/>
              <w:rPr>
                <w:rFonts w:ascii="Times New Roman" w:eastAsia="AngsanaUPC" w:hAnsi="Times New Roman"/>
                <w:bCs/>
                <w:sz w:val="18"/>
                <w:szCs w:val="18"/>
                <w:lang w:val="en-GB" w:eastAsia="lt-LT"/>
              </w:rPr>
            </w:pPr>
            <w:r w:rsidRPr="002447B3">
              <w:rPr>
                <w:rFonts w:ascii="Times New Roman" w:eastAsia="AngsanaUPC" w:hAnsi="Times New Roman"/>
                <w:bCs/>
                <w:sz w:val="18"/>
                <w:szCs w:val="18"/>
                <w:lang w:val="en-GB" w:eastAsia="lt-LT"/>
              </w:rPr>
              <w:t>60</w:t>
            </w:r>
          </w:p>
        </w:tc>
        <w:tc>
          <w:tcPr>
            <w:tcW w:w="6379" w:type="dxa"/>
            <w:shd w:val="clear" w:color="auto" w:fill="auto"/>
            <w:vAlign w:val="center"/>
          </w:tcPr>
          <w:p w:rsidR="006932B7" w:rsidRPr="002447B3" w:rsidRDefault="006932B7" w:rsidP="006932B7">
            <w:pPr>
              <w:widowControl w:val="0"/>
              <w:tabs>
                <w:tab w:val="left" w:pos="622"/>
              </w:tabs>
              <w:spacing w:after="0" w:line="240" w:lineRule="auto"/>
              <w:rPr>
                <w:rFonts w:ascii="Times New Roman" w:eastAsia="AngsanaUPC" w:hAnsi="Times New Roman"/>
                <w:bCs/>
                <w:sz w:val="18"/>
                <w:szCs w:val="18"/>
                <w:lang w:eastAsia="lt-LT"/>
              </w:rPr>
            </w:pPr>
            <w:r w:rsidRPr="002447B3">
              <w:rPr>
                <w:rFonts w:ascii="Times New Roman" w:eastAsia="AngsanaUPC" w:hAnsi="Times New Roman"/>
                <w:bCs/>
                <w:sz w:val="18"/>
                <w:szCs w:val="18"/>
                <w:lang w:eastAsia="lt-LT"/>
              </w:rPr>
              <w:t>Viešuose mokslinių tyrimų centruose ir kompetencijos centruose, taip pat jų tinkluose vykdomi moksliniai tyrimai ir inovacijų diegimo veikla</w:t>
            </w:r>
          </w:p>
        </w:tc>
        <w:tc>
          <w:tcPr>
            <w:tcW w:w="1768" w:type="dxa"/>
            <w:shd w:val="clear" w:color="auto" w:fill="auto"/>
            <w:vAlign w:val="center"/>
          </w:tcPr>
          <w:p w:rsidR="006932B7" w:rsidRPr="00891769" w:rsidRDefault="005F6EE3" w:rsidP="006932B7">
            <w:pPr>
              <w:widowControl w:val="0"/>
              <w:tabs>
                <w:tab w:val="left" w:pos="622"/>
              </w:tabs>
              <w:spacing w:after="0" w:line="240" w:lineRule="auto"/>
              <w:jc w:val="right"/>
              <w:rPr>
                <w:rFonts w:ascii="Times New Roman" w:eastAsia="AngsanaUPC" w:hAnsi="Times New Roman"/>
                <w:bCs/>
                <w:sz w:val="18"/>
                <w:szCs w:val="18"/>
                <w:lang w:val="en-GB" w:eastAsia="lt-LT"/>
              </w:rPr>
            </w:pPr>
            <w:r w:rsidRPr="00891769">
              <w:rPr>
                <w:rFonts w:ascii="Times New Roman" w:eastAsia="AngsanaUPC" w:hAnsi="Times New Roman"/>
                <w:bCs/>
                <w:sz w:val="18"/>
                <w:szCs w:val="18"/>
                <w:lang w:val="en-GB" w:eastAsia="lt-LT"/>
              </w:rPr>
              <w:t>94.873.129</w:t>
            </w:r>
          </w:p>
        </w:tc>
      </w:tr>
      <w:tr w:rsidR="006932B7" w:rsidRPr="002447B3" w:rsidTr="006932B7">
        <w:tc>
          <w:tcPr>
            <w:tcW w:w="817" w:type="dxa"/>
            <w:shd w:val="clear" w:color="auto" w:fill="auto"/>
            <w:vAlign w:val="center"/>
          </w:tcPr>
          <w:p w:rsidR="006932B7" w:rsidRPr="002447B3" w:rsidRDefault="006932B7" w:rsidP="006932B7">
            <w:pPr>
              <w:widowControl w:val="0"/>
              <w:tabs>
                <w:tab w:val="left" w:pos="622"/>
              </w:tabs>
              <w:spacing w:after="0" w:line="240" w:lineRule="auto"/>
              <w:jc w:val="center"/>
              <w:rPr>
                <w:rFonts w:ascii="Times New Roman" w:eastAsia="AngsanaUPC" w:hAnsi="Times New Roman"/>
                <w:bCs/>
                <w:sz w:val="18"/>
                <w:szCs w:val="18"/>
                <w:lang w:val="en-GB" w:eastAsia="lt-LT"/>
              </w:rPr>
            </w:pPr>
            <w:r w:rsidRPr="002447B3">
              <w:rPr>
                <w:rFonts w:ascii="Times New Roman" w:eastAsia="AngsanaUPC" w:hAnsi="Times New Roman"/>
                <w:bCs/>
                <w:sz w:val="18"/>
                <w:szCs w:val="18"/>
                <w:lang w:val="en-GB" w:eastAsia="lt-LT"/>
              </w:rPr>
              <w:t>ERPF</w:t>
            </w:r>
          </w:p>
        </w:tc>
        <w:tc>
          <w:tcPr>
            <w:tcW w:w="709" w:type="dxa"/>
            <w:shd w:val="clear" w:color="auto" w:fill="auto"/>
            <w:vAlign w:val="center"/>
          </w:tcPr>
          <w:p w:rsidR="006932B7" w:rsidRPr="002447B3" w:rsidRDefault="006932B7" w:rsidP="006932B7">
            <w:pPr>
              <w:widowControl w:val="0"/>
              <w:tabs>
                <w:tab w:val="left" w:pos="622"/>
              </w:tabs>
              <w:spacing w:after="0" w:line="240" w:lineRule="auto"/>
              <w:jc w:val="center"/>
              <w:rPr>
                <w:rFonts w:ascii="Times New Roman" w:eastAsia="AngsanaUPC" w:hAnsi="Times New Roman"/>
                <w:bCs/>
                <w:sz w:val="18"/>
                <w:szCs w:val="18"/>
                <w:lang w:val="en-GB" w:eastAsia="lt-LT"/>
              </w:rPr>
            </w:pPr>
            <w:r w:rsidRPr="002447B3">
              <w:rPr>
                <w:rFonts w:ascii="Times New Roman" w:eastAsia="AngsanaUPC" w:hAnsi="Times New Roman"/>
                <w:bCs/>
                <w:sz w:val="18"/>
                <w:szCs w:val="18"/>
                <w:lang w:val="en-GB" w:eastAsia="lt-LT"/>
              </w:rPr>
              <w:t>61</w:t>
            </w:r>
          </w:p>
        </w:tc>
        <w:tc>
          <w:tcPr>
            <w:tcW w:w="6379" w:type="dxa"/>
            <w:shd w:val="clear" w:color="auto" w:fill="auto"/>
            <w:vAlign w:val="center"/>
          </w:tcPr>
          <w:p w:rsidR="006932B7" w:rsidRPr="002447B3" w:rsidRDefault="006932B7" w:rsidP="006932B7">
            <w:pPr>
              <w:widowControl w:val="0"/>
              <w:tabs>
                <w:tab w:val="left" w:pos="622"/>
              </w:tabs>
              <w:spacing w:after="0" w:line="240" w:lineRule="auto"/>
              <w:rPr>
                <w:rFonts w:ascii="Times New Roman" w:eastAsia="AngsanaUPC" w:hAnsi="Times New Roman"/>
                <w:bCs/>
                <w:sz w:val="18"/>
                <w:szCs w:val="18"/>
                <w:lang w:eastAsia="lt-LT"/>
              </w:rPr>
            </w:pPr>
            <w:r w:rsidRPr="002447B3">
              <w:rPr>
                <w:rFonts w:ascii="Times New Roman" w:eastAsia="AngsanaUPC" w:hAnsi="Times New Roman"/>
                <w:bCs/>
                <w:sz w:val="18"/>
                <w:szCs w:val="18"/>
                <w:lang w:eastAsia="lt-LT"/>
              </w:rPr>
              <w:t>Privačiuose mokslinių tyrimų centruose, taip pat jų tinkluose vykdomi moksliniai tyrimai ir inovacijų diegimo veikla</w:t>
            </w:r>
          </w:p>
        </w:tc>
        <w:tc>
          <w:tcPr>
            <w:tcW w:w="1768" w:type="dxa"/>
            <w:shd w:val="clear" w:color="auto" w:fill="auto"/>
            <w:vAlign w:val="center"/>
          </w:tcPr>
          <w:p w:rsidR="006932B7" w:rsidRPr="00891769" w:rsidRDefault="006932B7" w:rsidP="00C532B5">
            <w:pPr>
              <w:widowControl w:val="0"/>
              <w:tabs>
                <w:tab w:val="left" w:pos="622"/>
              </w:tabs>
              <w:spacing w:after="0" w:line="240" w:lineRule="auto"/>
              <w:jc w:val="right"/>
              <w:rPr>
                <w:rFonts w:ascii="Times New Roman" w:eastAsia="AngsanaUPC" w:hAnsi="Times New Roman"/>
                <w:bCs/>
                <w:sz w:val="18"/>
                <w:szCs w:val="18"/>
                <w:lang w:val="en-GB" w:eastAsia="lt-LT"/>
              </w:rPr>
            </w:pPr>
            <w:r w:rsidRPr="00891769">
              <w:rPr>
                <w:rFonts w:ascii="Times New Roman" w:eastAsia="AngsanaUPC" w:hAnsi="Times New Roman"/>
                <w:bCs/>
                <w:sz w:val="18"/>
                <w:szCs w:val="18"/>
                <w:lang w:val="en-GB" w:eastAsia="lt-LT"/>
              </w:rPr>
              <w:t>9</w:t>
            </w:r>
            <w:r w:rsidR="00C532B5" w:rsidRPr="00891769">
              <w:rPr>
                <w:rFonts w:ascii="Times New Roman" w:eastAsia="AngsanaUPC" w:hAnsi="Times New Roman"/>
                <w:bCs/>
                <w:sz w:val="18"/>
                <w:szCs w:val="18"/>
                <w:lang w:val="en-GB" w:eastAsia="lt-LT"/>
              </w:rPr>
              <w:t>9</w:t>
            </w:r>
            <w:r w:rsidR="00D90882" w:rsidRPr="00891769">
              <w:rPr>
                <w:rFonts w:ascii="Times New Roman" w:eastAsia="AngsanaUPC" w:hAnsi="Times New Roman"/>
                <w:bCs/>
                <w:sz w:val="18"/>
                <w:szCs w:val="18"/>
                <w:lang w:val="en-GB" w:eastAsia="lt-LT"/>
              </w:rPr>
              <w:t>.</w:t>
            </w:r>
            <w:r w:rsidR="00C532B5" w:rsidRPr="00891769">
              <w:rPr>
                <w:rFonts w:ascii="Times New Roman" w:eastAsia="AngsanaUPC" w:hAnsi="Times New Roman"/>
                <w:bCs/>
                <w:sz w:val="18"/>
                <w:szCs w:val="18"/>
                <w:lang w:val="en-GB" w:eastAsia="lt-LT"/>
              </w:rPr>
              <w:t>886</w:t>
            </w:r>
            <w:r w:rsidR="00D90882" w:rsidRPr="00891769">
              <w:rPr>
                <w:rFonts w:ascii="Times New Roman" w:eastAsia="AngsanaUPC" w:hAnsi="Times New Roman"/>
                <w:bCs/>
                <w:sz w:val="18"/>
                <w:szCs w:val="18"/>
                <w:lang w:val="en-GB" w:eastAsia="lt-LT"/>
              </w:rPr>
              <w:t>.</w:t>
            </w:r>
            <w:r w:rsidR="00C532B5" w:rsidRPr="00891769">
              <w:rPr>
                <w:rFonts w:ascii="Times New Roman" w:eastAsia="AngsanaUPC" w:hAnsi="Times New Roman"/>
                <w:bCs/>
                <w:sz w:val="18"/>
                <w:szCs w:val="18"/>
                <w:lang w:val="en-GB" w:eastAsia="lt-LT"/>
              </w:rPr>
              <w:t>830</w:t>
            </w:r>
          </w:p>
        </w:tc>
      </w:tr>
      <w:tr w:rsidR="006932B7" w:rsidRPr="002447B3" w:rsidTr="006932B7">
        <w:tc>
          <w:tcPr>
            <w:tcW w:w="817" w:type="dxa"/>
            <w:shd w:val="clear" w:color="auto" w:fill="auto"/>
            <w:vAlign w:val="center"/>
          </w:tcPr>
          <w:p w:rsidR="006932B7" w:rsidRPr="002447B3" w:rsidRDefault="006932B7" w:rsidP="006932B7">
            <w:pPr>
              <w:widowControl w:val="0"/>
              <w:tabs>
                <w:tab w:val="left" w:pos="622"/>
              </w:tabs>
              <w:spacing w:after="0" w:line="240" w:lineRule="auto"/>
              <w:jc w:val="center"/>
              <w:rPr>
                <w:rFonts w:ascii="Times New Roman" w:eastAsia="AngsanaUPC" w:hAnsi="Times New Roman"/>
                <w:bCs/>
                <w:sz w:val="18"/>
                <w:szCs w:val="18"/>
                <w:lang w:val="en-GB" w:eastAsia="lt-LT"/>
              </w:rPr>
            </w:pPr>
            <w:r w:rsidRPr="002447B3">
              <w:rPr>
                <w:rFonts w:ascii="Times New Roman" w:eastAsia="AngsanaUPC" w:hAnsi="Times New Roman"/>
                <w:bCs/>
                <w:sz w:val="18"/>
                <w:szCs w:val="18"/>
                <w:lang w:val="en-GB" w:eastAsia="lt-LT"/>
              </w:rPr>
              <w:t>ERPF</w:t>
            </w:r>
          </w:p>
        </w:tc>
        <w:tc>
          <w:tcPr>
            <w:tcW w:w="709" w:type="dxa"/>
            <w:shd w:val="clear" w:color="auto" w:fill="auto"/>
            <w:vAlign w:val="center"/>
          </w:tcPr>
          <w:p w:rsidR="006932B7" w:rsidRPr="002447B3" w:rsidRDefault="006932B7" w:rsidP="006932B7">
            <w:pPr>
              <w:widowControl w:val="0"/>
              <w:tabs>
                <w:tab w:val="left" w:pos="622"/>
              </w:tabs>
              <w:spacing w:after="0" w:line="240" w:lineRule="auto"/>
              <w:jc w:val="center"/>
              <w:rPr>
                <w:rFonts w:ascii="Times New Roman" w:eastAsia="AngsanaUPC" w:hAnsi="Times New Roman"/>
                <w:bCs/>
                <w:sz w:val="18"/>
                <w:szCs w:val="18"/>
                <w:lang w:val="en-GB" w:eastAsia="lt-LT"/>
              </w:rPr>
            </w:pPr>
            <w:r w:rsidRPr="002447B3">
              <w:rPr>
                <w:rFonts w:ascii="Times New Roman" w:eastAsia="AngsanaUPC" w:hAnsi="Times New Roman"/>
                <w:bCs/>
                <w:sz w:val="18"/>
                <w:szCs w:val="18"/>
                <w:lang w:val="en-GB" w:eastAsia="lt-LT"/>
              </w:rPr>
              <w:t>62</w:t>
            </w:r>
          </w:p>
        </w:tc>
        <w:tc>
          <w:tcPr>
            <w:tcW w:w="6379" w:type="dxa"/>
            <w:shd w:val="clear" w:color="auto" w:fill="auto"/>
            <w:vAlign w:val="center"/>
          </w:tcPr>
          <w:p w:rsidR="006932B7" w:rsidRPr="002447B3" w:rsidRDefault="006932B7" w:rsidP="006932B7">
            <w:pPr>
              <w:widowControl w:val="0"/>
              <w:tabs>
                <w:tab w:val="left" w:pos="622"/>
              </w:tabs>
              <w:spacing w:after="0" w:line="240" w:lineRule="auto"/>
              <w:rPr>
                <w:rFonts w:ascii="Times New Roman" w:eastAsia="AngsanaUPC" w:hAnsi="Times New Roman"/>
                <w:bCs/>
                <w:sz w:val="18"/>
                <w:szCs w:val="18"/>
                <w:lang w:eastAsia="lt-LT"/>
              </w:rPr>
            </w:pPr>
            <w:r w:rsidRPr="002447B3">
              <w:rPr>
                <w:rFonts w:ascii="Times New Roman" w:eastAsia="AngsanaUPC" w:hAnsi="Times New Roman"/>
                <w:bCs/>
                <w:sz w:val="18"/>
                <w:szCs w:val="18"/>
                <w:lang w:eastAsia="lt-LT"/>
              </w:rPr>
              <w:t>Technologijų perdavimas ir universitetų bei įmonių bendradarbiavimas, visų pirma naudingas MVĮ</w:t>
            </w:r>
          </w:p>
        </w:tc>
        <w:tc>
          <w:tcPr>
            <w:tcW w:w="1768" w:type="dxa"/>
            <w:shd w:val="clear" w:color="auto" w:fill="auto"/>
            <w:vAlign w:val="center"/>
          </w:tcPr>
          <w:p w:rsidR="006932B7" w:rsidRPr="00891769" w:rsidRDefault="005F6EE3" w:rsidP="00C532B5">
            <w:pPr>
              <w:widowControl w:val="0"/>
              <w:tabs>
                <w:tab w:val="left" w:pos="622"/>
              </w:tabs>
              <w:spacing w:after="0" w:line="240" w:lineRule="auto"/>
              <w:jc w:val="right"/>
              <w:rPr>
                <w:rFonts w:ascii="Times New Roman" w:eastAsia="AngsanaUPC" w:hAnsi="Times New Roman"/>
                <w:bCs/>
                <w:sz w:val="18"/>
                <w:szCs w:val="18"/>
                <w:lang w:val="en-GB" w:eastAsia="lt-LT"/>
              </w:rPr>
            </w:pPr>
            <w:r w:rsidRPr="00891769">
              <w:rPr>
                <w:rFonts w:ascii="Times New Roman" w:eastAsia="AngsanaUPC" w:hAnsi="Times New Roman"/>
                <w:bCs/>
                <w:sz w:val="18"/>
                <w:szCs w:val="18"/>
                <w:lang w:val="en-GB" w:eastAsia="lt-LT"/>
              </w:rPr>
              <w:t>90.324.009</w:t>
            </w:r>
          </w:p>
        </w:tc>
      </w:tr>
      <w:tr w:rsidR="006932B7" w:rsidRPr="002447B3" w:rsidTr="006932B7">
        <w:tc>
          <w:tcPr>
            <w:tcW w:w="817" w:type="dxa"/>
            <w:shd w:val="clear" w:color="auto" w:fill="auto"/>
            <w:vAlign w:val="center"/>
          </w:tcPr>
          <w:p w:rsidR="006932B7" w:rsidRPr="002447B3" w:rsidRDefault="006932B7" w:rsidP="006932B7">
            <w:pPr>
              <w:widowControl w:val="0"/>
              <w:tabs>
                <w:tab w:val="left" w:pos="622"/>
              </w:tabs>
              <w:spacing w:after="0" w:line="240" w:lineRule="auto"/>
              <w:jc w:val="center"/>
              <w:rPr>
                <w:rFonts w:ascii="Times New Roman" w:eastAsia="AngsanaUPC" w:hAnsi="Times New Roman"/>
                <w:bCs/>
                <w:sz w:val="18"/>
                <w:szCs w:val="18"/>
                <w:lang w:val="en-GB" w:eastAsia="lt-LT"/>
              </w:rPr>
            </w:pPr>
            <w:r w:rsidRPr="002447B3">
              <w:rPr>
                <w:rFonts w:ascii="Times New Roman" w:eastAsia="AngsanaUPC" w:hAnsi="Times New Roman"/>
                <w:bCs/>
                <w:sz w:val="18"/>
                <w:szCs w:val="18"/>
                <w:lang w:val="en-GB" w:eastAsia="lt-LT"/>
              </w:rPr>
              <w:t>ERPF</w:t>
            </w:r>
          </w:p>
        </w:tc>
        <w:tc>
          <w:tcPr>
            <w:tcW w:w="709" w:type="dxa"/>
            <w:shd w:val="clear" w:color="auto" w:fill="auto"/>
            <w:vAlign w:val="center"/>
          </w:tcPr>
          <w:p w:rsidR="006932B7" w:rsidRPr="002447B3" w:rsidRDefault="006932B7" w:rsidP="006932B7">
            <w:pPr>
              <w:widowControl w:val="0"/>
              <w:tabs>
                <w:tab w:val="left" w:pos="622"/>
              </w:tabs>
              <w:spacing w:after="0" w:line="240" w:lineRule="auto"/>
              <w:jc w:val="center"/>
              <w:rPr>
                <w:rFonts w:ascii="Times New Roman" w:eastAsia="AngsanaUPC" w:hAnsi="Times New Roman"/>
                <w:bCs/>
                <w:sz w:val="18"/>
                <w:szCs w:val="18"/>
                <w:lang w:val="en-GB" w:eastAsia="lt-LT"/>
              </w:rPr>
            </w:pPr>
            <w:r w:rsidRPr="002447B3">
              <w:rPr>
                <w:rFonts w:ascii="Times New Roman" w:eastAsia="AngsanaUPC" w:hAnsi="Times New Roman"/>
                <w:bCs/>
                <w:sz w:val="18"/>
                <w:szCs w:val="18"/>
                <w:lang w:val="en-GB" w:eastAsia="lt-LT"/>
              </w:rPr>
              <w:t>63</w:t>
            </w:r>
          </w:p>
        </w:tc>
        <w:tc>
          <w:tcPr>
            <w:tcW w:w="6379" w:type="dxa"/>
            <w:shd w:val="clear" w:color="auto" w:fill="auto"/>
            <w:vAlign w:val="center"/>
          </w:tcPr>
          <w:p w:rsidR="006932B7" w:rsidRPr="002447B3" w:rsidRDefault="006932B7" w:rsidP="006932B7">
            <w:pPr>
              <w:widowControl w:val="0"/>
              <w:tabs>
                <w:tab w:val="left" w:pos="622"/>
              </w:tabs>
              <w:spacing w:after="0" w:line="240" w:lineRule="auto"/>
              <w:rPr>
                <w:rFonts w:ascii="Times New Roman" w:eastAsia="AngsanaUPC" w:hAnsi="Times New Roman"/>
                <w:bCs/>
                <w:sz w:val="18"/>
                <w:szCs w:val="18"/>
                <w:lang w:eastAsia="lt-LT"/>
              </w:rPr>
            </w:pPr>
            <w:r w:rsidRPr="002447B3">
              <w:rPr>
                <w:rFonts w:ascii="Times New Roman" w:eastAsia="AngsanaUPC" w:hAnsi="Times New Roman"/>
                <w:bCs/>
                <w:sz w:val="18"/>
                <w:szCs w:val="18"/>
                <w:lang w:eastAsia="lt-LT"/>
              </w:rPr>
              <w:t>Parama branduoliams ir verslo tinklai, visų pirma naudingi MVĮ</w:t>
            </w:r>
          </w:p>
        </w:tc>
        <w:tc>
          <w:tcPr>
            <w:tcW w:w="1768" w:type="dxa"/>
            <w:shd w:val="clear" w:color="auto" w:fill="auto"/>
            <w:vAlign w:val="center"/>
          </w:tcPr>
          <w:p w:rsidR="006932B7" w:rsidRPr="00891769" w:rsidRDefault="006932B7" w:rsidP="00C532B5">
            <w:pPr>
              <w:widowControl w:val="0"/>
              <w:tabs>
                <w:tab w:val="left" w:pos="622"/>
              </w:tabs>
              <w:spacing w:after="0" w:line="240" w:lineRule="auto"/>
              <w:jc w:val="right"/>
              <w:rPr>
                <w:rFonts w:ascii="Times New Roman" w:eastAsia="AngsanaUPC" w:hAnsi="Times New Roman"/>
                <w:bCs/>
                <w:sz w:val="18"/>
                <w:szCs w:val="18"/>
                <w:lang w:val="en-GB" w:eastAsia="lt-LT"/>
              </w:rPr>
            </w:pPr>
            <w:r w:rsidRPr="00891769">
              <w:rPr>
                <w:rFonts w:ascii="Times New Roman" w:eastAsia="AngsanaUPC" w:hAnsi="Times New Roman"/>
                <w:bCs/>
                <w:sz w:val="18"/>
                <w:szCs w:val="18"/>
                <w:lang w:val="en-GB" w:eastAsia="lt-LT"/>
              </w:rPr>
              <w:t>2</w:t>
            </w:r>
            <w:r w:rsidR="00C532B5" w:rsidRPr="00891769">
              <w:rPr>
                <w:rFonts w:ascii="Times New Roman" w:eastAsia="AngsanaUPC" w:hAnsi="Times New Roman"/>
                <w:bCs/>
                <w:sz w:val="18"/>
                <w:szCs w:val="18"/>
                <w:lang w:val="en-GB" w:eastAsia="lt-LT"/>
              </w:rPr>
              <w:t>5</w:t>
            </w:r>
            <w:r w:rsidR="00D90882" w:rsidRPr="00891769">
              <w:rPr>
                <w:rFonts w:ascii="Times New Roman" w:eastAsia="AngsanaUPC" w:hAnsi="Times New Roman"/>
                <w:bCs/>
                <w:sz w:val="18"/>
                <w:szCs w:val="18"/>
                <w:lang w:val="en-GB" w:eastAsia="lt-LT"/>
              </w:rPr>
              <w:t>.</w:t>
            </w:r>
            <w:r w:rsidR="00C532B5" w:rsidRPr="00891769">
              <w:rPr>
                <w:rFonts w:ascii="Times New Roman" w:eastAsia="AngsanaUPC" w:hAnsi="Times New Roman"/>
                <w:bCs/>
                <w:sz w:val="18"/>
                <w:szCs w:val="18"/>
                <w:lang w:val="en-GB" w:eastAsia="lt-LT"/>
              </w:rPr>
              <w:t>158</w:t>
            </w:r>
            <w:r w:rsidR="00D90882" w:rsidRPr="00891769">
              <w:rPr>
                <w:rFonts w:ascii="Times New Roman" w:eastAsia="AngsanaUPC" w:hAnsi="Times New Roman"/>
                <w:bCs/>
                <w:sz w:val="18"/>
                <w:szCs w:val="18"/>
                <w:lang w:val="en-GB" w:eastAsia="lt-LT"/>
              </w:rPr>
              <w:t>.</w:t>
            </w:r>
            <w:r w:rsidR="00C532B5" w:rsidRPr="00891769">
              <w:rPr>
                <w:rFonts w:ascii="Times New Roman" w:eastAsia="AngsanaUPC" w:hAnsi="Times New Roman"/>
                <w:bCs/>
                <w:sz w:val="18"/>
                <w:szCs w:val="18"/>
                <w:lang w:val="en-GB" w:eastAsia="lt-LT"/>
              </w:rPr>
              <w:t>974</w:t>
            </w:r>
          </w:p>
        </w:tc>
      </w:tr>
      <w:tr w:rsidR="006932B7" w:rsidRPr="002447B3" w:rsidTr="006932B7">
        <w:tc>
          <w:tcPr>
            <w:tcW w:w="817" w:type="dxa"/>
            <w:shd w:val="clear" w:color="auto" w:fill="auto"/>
            <w:vAlign w:val="center"/>
          </w:tcPr>
          <w:p w:rsidR="006932B7" w:rsidRPr="002447B3" w:rsidRDefault="006932B7" w:rsidP="006932B7">
            <w:pPr>
              <w:widowControl w:val="0"/>
              <w:tabs>
                <w:tab w:val="left" w:pos="622"/>
              </w:tabs>
              <w:spacing w:after="0" w:line="240" w:lineRule="auto"/>
              <w:jc w:val="center"/>
              <w:rPr>
                <w:rFonts w:ascii="Times New Roman" w:eastAsia="AngsanaUPC" w:hAnsi="Times New Roman"/>
                <w:bCs/>
                <w:sz w:val="18"/>
                <w:szCs w:val="18"/>
                <w:lang w:val="en-GB" w:eastAsia="lt-LT"/>
              </w:rPr>
            </w:pPr>
            <w:r w:rsidRPr="002447B3">
              <w:rPr>
                <w:rFonts w:ascii="Times New Roman" w:eastAsia="AngsanaUPC" w:hAnsi="Times New Roman"/>
                <w:bCs/>
                <w:sz w:val="18"/>
                <w:szCs w:val="18"/>
                <w:lang w:val="en-GB" w:eastAsia="lt-LT"/>
              </w:rPr>
              <w:t>ERPF</w:t>
            </w:r>
          </w:p>
        </w:tc>
        <w:tc>
          <w:tcPr>
            <w:tcW w:w="709" w:type="dxa"/>
            <w:shd w:val="clear" w:color="auto" w:fill="auto"/>
            <w:vAlign w:val="center"/>
          </w:tcPr>
          <w:p w:rsidR="006932B7" w:rsidRPr="002447B3" w:rsidRDefault="006932B7" w:rsidP="006932B7">
            <w:pPr>
              <w:widowControl w:val="0"/>
              <w:tabs>
                <w:tab w:val="left" w:pos="622"/>
              </w:tabs>
              <w:spacing w:after="0" w:line="240" w:lineRule="auto"/>
              <w:jc w:val="center"/>
              <w:rPr>
                <w:rFonts w:ascii="Times New Roman" w:eastAsia="AngsanaUPC" w:hAnsi="Times New Roman"/>
                <w:bCs/>
                <w:sz w:val="18"/>
                <w:szCs w:val="18"/>
                <w:lang w:val="en-GB" w:eastAsia="lt-LT"/>
              </w:rPr>
            </w:pPr>
            <w:r w:rsidRPr="002447B3">
              <w:rPr>
                <w:rFonts w:ascii="Times New Roman" w:eastAsia="AngsanaUPC" w:hAnsi="Times New Roman"/>
                <w:bCs/>
                <w:sz w:val="18"/>
                <w:szCs w:val="18"/>
                <w:lang w:val="en-GB" w:eastAsia="lt-LT"/>
              </w:rPr>
              <w:t>64</w:t>
            </w:r>
          </w:p>
        </w:tc>
        <w:tc>
          <w:tcPr>
            <w:tcW w:w="6379" w:type="dxa"/>
            <w:shd w:val="clear" w:color="auto" w:fill="auto"/>
            <w:vAlign w:val="center"/>
          </w:tcPr>
          <w:p w:rsidR="006932B7" w:rsidRPr="002447B3" w:rsidRDefault="006932B7" w:rsidP="006932B7">
            <w:pPr>
              <w:widowControl w:val="0"/>
              <w:tabs>
                <w:tab w:val="left" w:pos="622"/>
              </w:tabs>
              <w:spacing w:after="0" w:line="240" w:lineRule="auto"/>
              <w:rPr>
                <w:rFonts w:ascii="Times New Roman" w:eastAsia="AngsanaUPC" w:hAnsi="Times New Roman"/>
                <w:bCs/>
                <w:sz w:val="18"/>
                <w:szCs w:val="18"/>
                <w:lang w:eastAsia="lt-LT"/>
              </w:rPr>
            </w:pPr>
            <w:r w:rsidRPr="002447B3">
              <w:rPr>
                <w:rFonts w:ascii="Times New Roman" w:eastAsia="AngsanaUPC" w:hAnsi="Times New Roman"/>
                <w:bCs/>
                <w:sz w:val="18"/>
                <w:szCs w:val="18"/>
                <w:lang w:eastAsia="lt-LT"/>
              </w:rPr>
              <w:t>MVĮ vykdomi moksliniai tyrimai ir inovacijų diegimas (įskaitant čekių programas, apdorojimą, projektavimą, aptarnavimą ir socialines inovacijas)</w:t>
            </w:r>
          </w:p>
        </w:tc>
        <w:tc>
          <w:tcPr>
            <w:tcW w:w="1768" w:type="dxa"/>
            <w:shd w:val="clear" w:color="auto" w:fill="auto"/>
            <w:vAlign w:val="center"/>
          </w:tcPr>
          <w:p w:rsidR="006932B7" w:rsidRPr="00891769" w:rsidRDefault="00C532B5" w:rsidP="00C532B5">
            <w:pPr>
              <w:widowControl w:val="0"/>
              <w:tabs>
                <w:tab w:val="left" w:pos="622"/>
              </w:tabs>
              <w:spacing w:after="0" w:line="240" w:lineRule="auto"/>
              <w:jc w:val="right"/>
              <w:rPr>
                <w:rFonts w:ascii="Times New Roman" w:eastAsia="AngsanaUPC" w:hAnsi="Times New Roman"/>
                <w:bCs/>
                <w:sz w:val="18"/>
                <w:szCs w:val="18"/>
                <w:lang w:val="en-GB" w:eastAsia="lt-LT"/>
              </w:rPr>
            </w:pPr>
            <w:r w:rsidRPr="00891769">
              <w:rPr>
                <w:rFonts w:ascii="Times New Roman" w:eastAsia="AngsanaUPC" w:hAnsi="Times New Roman"/>
                <w:bCs/>
                <w:sz w:val="18"/>
                <w:szCs w:val="18"/>
                <w:lang w:val="en-GB" w:eastAsia="lt-LT"/>
              </w:rPr>
              <w:t>25</w:t>
            </w:r>
            <w:r w:rsidR="00D90882" w:rsidRPr="00891769">
              <w:rPr>
                <w:rFonts w:ascii="Times New Roman" w:eastAsia="AngsanaUPC" w:hAnsi="Times New Roman"/>
                <w:bCs/>
                <w:sz w:val="18"/>
                <w:szCs w:val="18"/>
                <w:lang w:val="en-GB" w:eastAsia="lt-LT"/>
              </w:rPr>
              <w:t>.</w:t>
            </w:r>
            <w:r w:rsidR="006932B7" w:rsidRPr="00891769">
              <w:rPr>
                <w:rFonts w:ascii="Times New Roman" w:eastAsia="AngsanaUPC" w:hAnsi="Times New Roman"/>
                <w:bCs/>
                <w:sz w:val="18"/>
                <w:szCs w:val="18"/>
                <w:lang w:val="en-GB" w:eastAsia="lt-LT"/>
              </w:rPr>
              <w:t>4</w:t>
            </w:r>
            <w:r w:rsidRPr="00891769">
              <w:rPr>
                <w:rFonts w:ascii="Times New Roman" w:eastAsia="AngsanaUPC" w:hAnsi="Times New Roman"/>
                <w:bCs/>
                <w:sz w:val="18"/>
                <w:szCs w:val="18"/>
                <w:lang w:val="en-GB" w:eastAsia="lt-LT"/>
              </w:rPr>
              <w:t>43</w:t>
            </w:r>
            <w:r w:rsidR="00D90882" w:rsidRPr="00891769">
              <w:rPr>
                <w:rFonts w:ascii="Times New Roman" w:eastAsia="AngsanaUPC" w:hAnsi="Times New Roman"/>
                <w:bCs/>
                <w:sz w:val="18"/>
                <w:szCs w:val="18"/>
                <w:lang w:val="en-GB" w:eastAsia="lt-LT"/>
              </w:rPr>
              <w:t>.</w:t>
            </w:r>
            <w:r w:rsidRPr="00891769">
              <w:rPr>
                <w:rFonts w:ascii="Times New Roman" w:eastAsia="AngsanaUPC" w:hAnsi="Times New Roman"/>
                <w:bCs/>
                <w:sz w:val="18"/>
                <w:szCs w:val="18"/>
                <w:lang w:val="en-GB" w:eastAsia="lt-LT"/>
              </w:rPr>
              <w:t>529</w:t>
            </w:r>
          </w:p>
        </w:tc>
      </w:tr>
      <w:tr w:rsidR="006932B7" w:rsidRPr="002447B3" w:rsidTr="006932B7">
        <w:tc>
          <w:tcPr>
            <w:tcW w:w="817" w:type="dxa"/>
            <w:shd w:val="clear" w:color="auto" w:fill="auto"/>
            <w:vAlign w:val="center"/>
          </w:tcPr>
          <w:p w:rsidR="006932B7" w:rsidRPr="002447B3" w:rsidRDefault="006932B7" w:rsidP="006932B7">
            <w:pPr>
              <w:widowControl w:val="0"/>
              <w:tabs>
                <w:tab w:val="left" w:pos="622"/>
              </w:tabs>
              <w:spacing w:after="0" w:line="240" w:lineRule="auto"/>
              <w:jc w:val="center"/>
              <w:rPr>
                <w:rFonts w:ascii="Times New Roman" w:eastAsia="AngsanaUPC" w:hAnsi="Times New Roman"/>
                <w:bCs/>
                <w:sz w:val="18"/>
                <w:szCs w:val="18"/>
                <w:lang w:val="en-GB" w:eastAsia="lt-LT"/>
              </w:rPr>
            </w:pPr>
            <w:r w:rsidRPr="002447B3">
              <w:rPr>
                <w:rFonts w:ascii="Times New Roman" w:eastAsia="AngsanaUPC" w:hAnsi="Times New Roman"/>
                <w:bCs/>
                <w:sz w:val="18"/>
                <w:szCs w:val="18"/>
                <w:lang w:val="en-GB" w:eastAsia="lt-LT"/>
              </w:rPr>
              <w:t>ERPF</w:t>
            </w:r>
          </w:p>
        </w:tc>
        <w:tc>
          <w:tcPr>
            <w:tcW w:w="709" w:type="dxa"/>
            <w:shd w:val="clear" w:color="auto" w:fill="auto"/>
            <w:vAlign w:val="center"/>
          </w:tcPr>
          <w:p w:rsidR="006932B7" w:rsidRPr="002447B3" w:rsidRDefault="006932B7" w:rsidP="006932B7">
            <w:pPr>
              <w:widowControl w:val="0"/>
              <w:tabs>
                <w:tab w:val="left" w:pos="622"/>
              </w:tabs>
              <w:spacing w:after="0" w:line="240" w:lineRule="auto"/>
              <w:jc w:val="center"/>
              <w:rPr>
                <w:rFonts w:ascii="Times New Roman" w:eastAsia="AngsanaUPC" w:hAnsi="Times New Roman"/>
                <w:bCs/>
                <w:sz w:val="18"/>
                <w:szCs w:val="18"/>
                <w:lang w:val="en-GB" w:eastAsia="lt-LT"/>
              </w:rPr>
            </w:pPr>
            <w:r w:rsidRPr="002447B3">
              <w:rPr>
                <w:rFonts w:ascii="Times New Roman" w:eastAsia="AngsanaUPC" w:hAnsi="Times New Roman"/>
                <w:bCs/>
                <w:sz w:val="18"/>
                <w:szCs w:val="18"/>
                <w:lang w:val="en-GB" w:eastAsia="lt-LT"/>
              </w:rPr>
              <w:t>67</w:t>
            </w:r>
          </w:p>
        </w:tc>
        <w:tc>
          <w:tcPr>
            <w:tcW w:w="6379" w:type="dxa"/>
            <w:shd w:val="clear" w:color="auto" w:fill="auto"/>
            <w:vAlign w:val="center"/>
          </w:tcPr>
          <w:p w:rsidR="006932B7" w:rsidRPr="002447B3" w:rsidRDefault="006932B7" w:rsidP="006932B7">
            <w:pPr>
              <w:widowControl w:val="0"/>
              <w:tabs>
                <w:tab w:val="left" w:pos="622"/>
              </w:tabs>
              <w:spacing w:after="0" w:line="240" w:lineRule="auto"/>
              <w:rPr>
                <w:rFonts w:ascii="Times New Roman" w:eastAsia="AngsanaUPC" w:hAnsi="Times New Roman"/>
                <w:bCs/>
                <w:sz w:val="18"/>
                <w:szCs w:val="18"/>
                <w:lang w:eastAsia="lt-LT"/>
              </w:rPr>
            </w:pPr>
            <w:r w:rsidRPr="002447B3">
              <w:rPr>
                <w:rFonts w:ascii="Times New Roman" w:eastAsia="AngsanaUPC" w:hAnsi="Times New Roman"/>
                <w:bCs/>
                <w:sz w:val="18"/>
                <w:szCs w:val="18"/>
                <w:lang w:eastAsia="lt-LT"/>
              </w:rPr>
              <w:t>MVĮ verslo vystymas, parama verslumui ir inkubatoriams (įskaitant paramą pumpurinėms ir atskirosioms įmonėms)</w:t>
            </w:r>
          </w:p>
        </w:tc>
        <w:tc>
          <w:tcPr>
            <w:tcW w:w="1768" w:type="dxa"/>
            <w:shd w:val="clear" w:color="auto" w:fill="auto"/>
            <w:vAlign w:val="center"/>
          </w:tcPr>
          <w:p w:rsidR="006932B7" w:rsidRPr="00891769" w:rsidRDefault="00C532B5" w:rsidP="00C532B5">
            <w:pPr>
              <w:widowControl w:val="0"/>
              <w:tabs>
                <w:tab w:val="left" w:pos="622"/>
              </w:tabs>
              <w:spacing w:after="0" w:line="240" w:lineRule="auto"/>
              <w:jc w:val="right"/>
              <w:rPr>
                <w:rFonts w:ascii="Times New Roman" w:eastAsia="AngsanaUPC" w:hAnsi="Times New Roman"/>
                <w:bCs/>
                <w:sz w:val="18"/>
                <w:szCs w:val="18"/>
                <w:lang w:val="en-GB" w:eastAsia="lt-LT"/>
              </w:rPr>
            </w:pPr>
            <w:r w:rsidRPr="00891769">
              <w:rPr>
                <w:rFonts w:ascii="Times New Roman" w:eastAsia="AngsanaUPC" w:hAnsi="Times New Roman"/>
                <w:bCs/>
                <w:sz w:val="18"/>
                <w:szCs w:val="18"/>
                <w:lang w:val="en-GB" w:eastAsia="lt-LT"/>
              </w:rPr>
              <w:t>22</w:t>
            </w:r>
            <w:r w:rsidR="00D90882" w:rsidRPr="00891769">
              <w:rPr>
                <w:rFonts w:ascii="Times New Roman" w:eastAsia="AngsanaUPC" w:hAnsi="Times New Roman"/>
                <w:bCs/>
                <w:sz w:val="18"/>
                <w:szCs w:val="18"/>
                <w:lang w:val="en-GB" w:eastAsia="lt-LT"/>
              </w:rPr>
              <w:t>.</w:t>
            </w:r>
            <w:r w:rsidRPr="00891769">
              <w:rPr>
                <w:rFonts w:ascii="Times New Roman" w:eastAsia="AngsanaUPC" w:hAnsi="Times New Roman"/>
                <w:bCs/>
                <w:sz w:val="18"/>
                <w:szCs w:val="18"/>
                <w:lang w:val="en-GB" w:eastAsia="lt-LT"/>
              </w:rPr>
              <w:t>600</w:t>
            </w:r>
            <w:r w:rsidR="00D90882" w:rsidRPr="00891769">
              <w:rPr>
                <w:rFonts w:ascii="Times New Roman" w:eastAsia="AngsanaUPC" w:hAnsi="Times New Roman"/>
                <w:bCs/>
                <w:sz w:val="18"/>
                <w:szCs w:val="18"/>
                <w:lang w:val="en-GB" w:eastAsia="lt-LT"/>
              </w:rPr>
              <w:t>.</w:t>
            </w:r>
            <w:r w:rsidRPr="00891769">
              <w:rPr>
                <w:rFonts w:ascii="Times New Roman" w:eastAsia="AngsanaUPC" w:hAnsi="Times New Roman"/>
                <w:bCs/>
                <w:sz w:val="18"/>
                <w:szCs w:val="18"/>
                <w:lang w:val="en-GB" w:eastAsia="lt-LT"/>
              </w:rPr>
              <w:t>000</w:t>
            </w:r>
          </w:p>
        </w:tc>
      </w:tr>
    </w:tbl>
    <w:p w:rsidR="006932B7" w:rsidRPr="002447B3" w:rsidRDefault="006932B7" w:rsidP="006932B7">
      <w:pPr>
        <w:spacing w:after="0" w:line="240" w:lineRule="auto"/>
        <w:rPr>
          <w:rFonts w:ascii="Times New Roman" w:hAnsi="Times New Roman"/>
          <w:b/>
          <w:bCs/>
          <w:iCs/>
          <w:sz w:val="24"/>
          <w:szCs w:val="24"/>
        </w:rPr>
      </w:pPr>
      <w:r w:rsidRPr="002447B3">
        <w:rPr>
          <w:rFonts w:ascii="Times New Roman" w:hAnsi="Times New Roman"/>
          <w:b/>
          <w:bCs/>
          <w:i/>
          <w:iCs/>
          <w:sz w:val="24"/>
          <w:szCs w:val="24"/>
        </w:rPr>
        <w:t>Numatomas išlaidų pasiskirstymas pagal kategorijas</w:t>
      </w:r>
    </w:p>
    <w:p w:rsidR="00385835" w:rsidRPr="002447B3" w:rsidRDefault="00385835" w:rsidP="00385835">
      <w:pPr>
        <w:spacing w:after="0" w:line="240" w:lineRule="auto"/>
        <w:rPr>
          <w:rFonts w:ascii="Times New Roman" w:hAnsi="Times New Roman"/>
          <w:sz w:val="24"/>
          <w:szCs w:val="24"/>
        </w:rPr>
      </w:pPr>
    </w:p>
    <w:p w:rsidR="006932B7" w:rsidRPr="002447B3" w:rsidRDefault="006932B7" w:rsidP="00385835">
      <w:pPr>
        <w:spacing w:after="0" w:line="240" w:lineRule="auto"/>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9"/>
        <w:gridCol w:w="6378"/>
        <w:gridCol w:w="1808"/>
      </w:tblGrid>
      <w:tr w:rsidR="00DD21D7" w:rsidRPr="002447B3" w:rsidTr="00BB0960">
        <w:tc>
          <w:tcPr>
            <w:tcW w:w="9746" w:type="dxa"/>
            <w:gridSpan w:val="4"/>
            <w:shd w:val="clear" w:color="auto" w:fill="EEECE1"/>
          </w:tcPr>
          <w:p w:rsidR="00DD21D7" w:rsidRPr="002447B3" w:rsidRDefault="00DD21D7" w:rsidP="00BB0960">
            <w:pPr>
              <w:spacing w:after="0" w:line="240" w:lineRule="auto"/>
              <w:rPr>
                <w:rFonts w:ascii="Times New Roman" w:hAnsi="Times New Roman"/>
                <w:i/>
                <w:sz w:val="20"/>
                <w:szCs w:val="20"/>
              </w:rPr>
            </w:pPr>
            <w:r w:rsidRPr="002447B3">
              <w:rPr>
                <w:rFonts w:ascii="Times New Roman" w:hAnsi="Times New Roman"/>
                <w:b/>
                <w:bCs/>
                <w:i/>
                <w:sz w:val="20"/>
                <w:szCs w:val="20"/>
              </w:rPr>
              <w:t xml:space="preserve">Finansavimo </w:t>
            </w:r>
            <w:r w:rsidR="001A5CA0" w:rsidRPr="002447B3">
              <w:rPr>
                <w:rFonts w:ascii="Times New Roman" w:hAnsi="Times New Roman"/>
                <w:b/>
                <w:bCs/>
                <w:i/>
                <w:sz w:val="20"/>
                <w:szCs w:val="20"/>
              </w:rPr>
              <w:t>forma</w:t>
            </w:r>
          </w:p>
        </w:tc>
      </w:tr>
      <w:tr w:rsidR="006932B7" w:rsidRPr="002447B3" w:rsidTr="006932B7">
        <w:tc>
          <w:tcPr>
            <w:tcW w:w="851" w:type="dxa"/>
            <w:shd w:val="clear" w:color="auto" w:fill="EEECE1"/>
            <w:vAlign w:val="center"/>
          </w:tcPr>
          <w:p w:rsidR="006932B7" w:rsidRPr="002447B3" w:rsidRDefault="006932B7" w:rsidP="006932B7">
            <w:pPr>
              <w:widowControl w:val="0"/>
              <w:tabs>
                <w:tab w:val="left" w:pos="622"/>
              </w:tabs>
              <w:spacing w:after="0" w:line="240" w:lineRule="auto"/>
              <w:jc w:val="center"/>
              <w:rPr>
                <w:rFonts w:ascii="Times New Roman" w:eastAsia="AngsanaUPC" w:hAnsi="Times New Roman"/>
                <w:b/>
                <w:bCs/>
                <w:sz w:val="18"/>
                <w:szCs w:val="18"/>
                <w:lang w:eastAsia="lt-LT"/>
              </w:rPr>
            </w:pPr>
            <w:r w:rsidRPr="002447B3">
              <w:rPr>
                <w:rFonts w:ascii="Times New Roman" w:eastAsia="AngsanaUPC" w:hAnsi="Times New Roman"/>
                <w:b/>
                <w:bCs/>
                <w:sz w:val="18"/>
                <w:szCs w:val="18"/>
                <w:lang w:eastAsia="lt-LT"/>
              </w:rPr>
              <w:t>Fondas</w:t>
            </w:r>
          </w:p>
        </w:tc>
        <w:tc>
          <w:tcPr>
            <w:tcW w:w="709" w:type="dxa"/>
            <w:shd w:val="clear" w:color="auto" w:fill="EEECE1"/>
            <w:vAlign w:val="center"/>
          </w:tcPr>
          <w:p w:rsidR="006932B7" w:rsidRPr="002447B3" w:rsidRDefault="006932B7" w:rsidP="00BB0960">
            <w:pPr>
              <w:widowControl w:val="0"/>
              <w:tabs>
                <w:tab w:val="left" w:pos="622"/>
              </w:tabs>
              <w:spacing w:after="0" w:line="240" w:lineRule="auto"/>
              <w:jc w:val="center"/>
              <w:rPr>
                <w:rFonts w:ascii="Times New Roman" w:eastAsia="AngsanaUPC" w:hAnsi="Times New Roman"/>
                <w:b/>
                <w:bCs/>
                <w:sz w:val="18"/>
                <w:szCs w:val="18"/>
                <w:lang w:eastAsia="lt-LT"/>
              </w:rPr>
            </w:pPr>
            <w:r w:rsidRPr="002447B3">
              <w:rPr>
                <w:rFonts w:ascii="Times New Roman" w:eastAsia="AngsanaUPC" w:hAnsi="Times New Roman"/>
                <w:b/>
                <w:bCs/>
                <w:sz w:val="18"/>
                <w:szCs w:val="18"/>
                <w:lang w:eastAsia="lt-LT"/>
              </w:rPr>
              <w:t>Kodas</w:t>
            </w:r>
          </w:p>
        </w:tc>
        <w:tc>
          <w:tcPr>
            <w:tcW w:w="6378" w:type="dxa"/>
            <w:shd w:val="clear" w:color="auto" w:fill="EEECE1"/>
            <w:vAlign w:val="center"/>
          </w:tcPr>
          <w:p w:rsidR="006932B7" w:rsidRPr="002447B3" w:rsidRDefault="006932B7" w:rsidP="00BB0960">
            <w:pPr>
              <w:widowControl w:val="0"/>
              <w:tabs>
                <w:tab w:val="left" w:pos="622"/>
              </w:tabs>
              <w:spacing w:after="0" w:line="240" w:lineRule="auto"/>
              <w:jc w:val="center"/>
              <w:rPr>
                <w:rFonts w:ascii="Times New Roman" w:eastAsia="AngsanaUPC" w:hAnsi="Times New Roman"/>
                <w:b/>
                <w:bCs/>
                <w:sz w:val="18"/>
                <w:szCs w:val="18"/>
                <w:lang w:eastAsia="lt-LT"/>
              </w:rPr>
            </w:pPr>
            <w:r w:rsidRPr="002447B3">
              <w:rPr>
                <w:rFonts w:ascii="Times New Roman" w:eastAsia="AngsanaUPC" w:hAnsi="Times New Roman"/>
                <w:b/>
                <w:bCs/>
                <w:sz w:val="18"/>
                <w:szCs w:val="18"/>
                <w:lang w:eastAsia="lt-LT"/>
              </w:rPr>
              <w:t>Pavadinimas</w:t>
            </w:r>
          </w:p>
        </w:tc>
        <w:tc>
          <w:tcPr>
            <w:tcW w:w="1808" w:type="dxa"/>
            <w:shd w:val="clear" w:color="auto" w:fill="EEECE1"/>
            <w:vAlign w:val="center"/>
          </w:tcPr>
          <w:p w:rsidR="006932B7" w:rsidRPr="002447B3" w:rsidRDefault="006932B7" w:rsidP="00BB0960">
            <w:pPr>
              <w:widowControl w:val="0"/>
              <w:tabs>
                <w:tab w:val="left" w:pos="622"/>
              </w:tabs>
              <w:spacing w:after="0" w:line="240" w:lineRule="auto"/>
              <w:jc w:val="center"/>
              <w:rPr>
                <w:rFonts w:ascii="Times New Roman" w:eastAsia="AngsanaUPC" w:hAnsi="Times New Roman"/>
                <w:b/>
                <w:bCs/>
                <w:sz w:val="18"/>
                <w:szCs w:val="18"/>
                <w:lang w:eastAsia="lt-LT"/>
              </w:rPr>
            </w:pPr>
            <w:r w:rsidRPr="002447B3">
              <w:rPr>
                <w:rFonts w:ascii="Times New Roman" w:eastAsia="AngsanaUPC" w:hAnsi="Times New Roman"/>
                <w:b/>
                <w:bCs/>
                <w:sz w:val="18"/>
                <w:szCs w:val="18"/>
                <w:lang w:eastAsia="lt-LT"/>
              </w:rPr>
              <w:t>Finansinė proporcija (eurais)</w:t>
            </w:r>
          </w:p>
        </w:tc>
      </w:tr>
      <w:tr w:rsidR="006932B7" w:rsidRPr="002447B3" w:rsidTr="006932B7">
        <w:tc>
          <w:tcPr>
            <w:tcW w:w="851" w:type="dxa"/>
            <w:shd w:val="clear" w:color="auto" w:fill="auto"/>
            <w:vAlign w:val="center"/>
          </w:tcPr>
          <w:p w:rsidR="006932B7" w:rsidRPr="002447B3" w:rsidRDefault="006932B7" w:rsidP="006932B7">
            <w:pPr>
              <w:widowControl w:val="0"/>
              <w:tabs>
                <w:tab w:val="left" w:pos="622"/>
              </w:tabs>
              <w:spacing w:after="0" w:line="240" w:lineRule="auto"/>
              <w:jc w:val="center"/>
              <w:rPr>
                <w:rFonts w:ascii="Times New Roman" w:eastAsia="AngsanaUPC" w:hAnsi="Times New Roman"/>
                <w:bCs/>
                <w:sz w:val="18"/>
                <w:szCs w:val="18"/>
                <w:lang w:val="en-GB" w:eastAsia="lt-LT"/>
              </w:rPr>
            </w:pPr>
            <w:r w:rsidRPr="002447B3">
              <w:rPr>
                <w:rFonts w:ascii="Times New Roman" w:eastAsia="AngsanaUPC" w:hAnsi="Times New Roman"/>
                <w:bCs/>
                <w:sz w:val="18"/>
                <w:szCs w:val="18"/>
                <w:lang w:val="en-GB" w:eastAsia="lt-LT"/>
              </w:rPr>
              <w:t>ERPF</w:t>
            </w:r>
          </w:p>
        </w:tc>
        <w:tc>
          <w:tcPr>
            <w:tcW w:w="709" w:type="dxa"/>
            <w:shd w:val="clear" w:color="auto" w:fill="auto"/>
            <w:vAlign w:val="center"/>
          </w:tcPr>
          <w:p w:rsidR="006932B7" w:rsidRPr="002447B3" w:rsidRDefault="006932B7" w:rsidP="00BB0960">
            <w:pPr>
              <w:widowControl w:val="0"/>
              <w:tabs>
                <w:tab w:val="left" w:pos="622"/>
              </w:tabs>
              <w:spacing w:after="0" w:line="240" w:lineRule="auto"/>
              <w:jc w:val="center"/>
              <w:rPr>
                <w:rFonts w:ascii="Times New Roman" w:eastAsia="AngsanaUPC" w:hAnsi="Times New Roman"/>
                <w:bCs/>
                <w:sz w:val="18"/>
                <w:szCs w:val="18"/>
                <w:lang w:val="en-GB" w:eastAsia="lt-LT"/>
              </w:rPr>
            </w:pPr>
            <w:r w:rsidRPr="002447B3">
              <w:rPr>
                <w:rFonts w:ascii="Times New Roman" w:eastAsia="AngsanaUPC" w:hAnsi="Times New Roman"/>
                <w:bCs/>
                <w:sz w:val="18"/>
                <w:szCs w:val="18"/>
                <w:lang w:val="en-GB" w:eastAsia="lt-LT"/>
              </w:rPr>
              <w:t>01</w:t>
            </w:r>
          </w:p>
        </w:tc>
        <w:tc>
          <w:tcPr>
            <w:tcW w:w="6378" w:type="dxa"/>
            <w:shd w:val="clear" w:color="auto" w:fill="auto"/>
            <w:vAlign w:val="center"/>
          </w:tcPr>
          <w:p w:rsidR="006932B7" w:rsidRPr="002447B3" w:rsidRDefault="006932B7" w:rsidP="00BB0960">
            <w:pPr>
              <w:widowControl w:val="0"/>
              <w:tabs>
                <w:tab w:val="left" w:pos="622"/>
              </w:tabs>
              <w:spacing w:after="0" w:line="240" w:lineRule="auto"/>
              <w:rPr>
                <w:rFonts w:ascii="Times New Roman" w:eastAsia="AngsanaUPC" w:hAnsi="Times New Roman"/>
                <w:bCs/>
                <w:sz w:val="18"/>
                <w:szCs w:val="18"/>
                <w:lang w:eastAsia="lt-LT"/>
              </w:rPr>
            </w:pPr>
            <w:r w:rsidRPr="002447B3">
              <w:rPr>
                <w:rFonts w:ascii="Times New Roman" w:eastAsia="AngsanaUPC" w:hAnsi="Times New Roman"/>
                <w:bCs/>
                <w:sz w:val="18"/>
                <w:szCs w:val="18"/>
                <w:lang w:eastAsia="lt-LT"/>
              </w:rPr>
              <w:t>Negrąžinamoji subsidija</w:t>
            </w:r>
          </w:p>
        </w:tc>
        <w:tc>
          <w:tcPr>
            <w:tcW w:w="1808" w:type="dxa"/>
            <w:shd w:val="clear" w:color="auto" w:fill="auto"/>
            <w:vAlign w:val="center"/>
          </w:tcPr>
          <w:p w:rsidR="006932B7" w:rsidRPr="00D54F90" w:rsidRDefault="005F6EE3" w:rsidP="00BB0960">
            <w:pPr>
              <w:widowControl w:val="0"/>
              <w:tabs>
                <w:tab w:val="left" w:pos="622"/>
              </w:tabs>
              <w:spacing w:after="0" w:line="240" w:lineRule="auto"/>
              <w:jc w:val="right"/>
              <w:rPr>
                <w:rFonts w:ascii="Times New Roman" w:eastAsia="AngsanaUPC" w:hAnsi="Times New Roman"/>
                <w:bCs/>
                <w:sz w:val="18"/>
                <w:szCs w:val="18"/>
                <w:lang w:val="en-GB" w:eastAsia="lt-LT"/>
              </w:rPr>
            </w:pPr>
            <w:r w:rsidRPr="00891769">
              <w:rPr>
                <w:rFonts w:ascii="Times New Roman" w:eastAsia="AngsanaUPC" w:hAnsi="Times New Roman"/>
                <w:bCs/>
                <w:sz w:val="18"/>
                <w:szCs w:val="18"/>
                <w:lang w:val="en-GB" w:eastAsia="lt-LT"/>
              </w:rPr>
              <w:t>633.328.835</w:t>
            </w:r>
          </w:p>
        </w:tc>
      </w:tr>
      <w:tr w:rsidR="006932B7" w:rsidRPr="002447B3" w:rsidTr="006932B7">
        <w:tc>
          <w:tcPr>
            <w:tcW w:w="851" w:type="dxa"/>
            <w:shd w:val="clear" w:color="auto" w:fill="auto"/>
            <w:vAlign w:val="center"/>
          </w:tcPr>
          <w:p w:rsidR="006932B7" w:rsidRPr="002447B3" w:rsidRDefault="006932B7" w:rsidP="006932B7">
            <w:pPr>
              <w:widowControl w:val="0"/>
              <w:tabs>
                <w:tab w:val="left" w:pos="622"/>
              </w:tabs>
              <w:spacing w:after="0" w:line="240" w:lineRule="auto"/>
              <w:jc w:val="center"/>
              <w:rPr>
                <w:rFonts w:ascii="Times New Roman" w:eastAsia="AngsanaUPC" w:hAnsi="Times New Roman"/>
                <w:bCs/>
                <w:sz w:val="18"/>
                <w:szCs w:val="18"/>
                <w:lang w:val="en-GB" w:eastAsia="lt-LT"/>
              </w:rPr>
            </w:pPr>
            <w:r w:rsidRPr="002447B3">
              <w:rPr>
                <w:rFonts w:ascii="Times New Roman" w:eastAsia="AngsanaUPC" w:hAnsi="Times New Roman"/>
                <w:bCs/>
                <w:sz w:val="18"/>
                <w:szCs w:val="18"/>
                <w:lang w:val="en-GB" w:eastAsia="lt-LT"/>
              </w:rPr>
              <w:t>ERPF</w:t>
            </w:r>
          </w:p>
        </w:tc>
        <w:tc>
          <w:tcPr>
            <w:tcW w:w="709" w:type="dxa"/>
            <w:shd w:val="clear" w:color="auto" w:fill="auto"/>
            <w:vAlign w:val="center"/>
          </w:tcPr>
          <w:p w:rsidR="006932B7" w:rsidRPr="002447B3" w:rsidRDefault="006932B7" w:rsidP="00BB0960">
            <w:pPr>
              <w:widowControl w:val="0"/>
              <w:tabs>
                <w:tab w:val="left" w:pos="622"/>
              </w:tabs>
              <w:spacing w:after="0" w:line="240" w:lineRule="auto"/>
              <w:jc w:val="center"/>
              <w:rPr>
                <w:rFonts w:ascii="Times New Roman" w:eastAsia="AngsanaUPC" w:hAnsi="Times New Roman"/>
                <w:bCs/>
                <w:sz w:val="18"/>
                <w:szCs w:val="18"/>
                <w:lang w:val="en-GB" w:eastAsia="lt-LT"/>
              </w:rPr>
            </w:pPr>
            <w:r w:rsidRPr="002447B3">
              <w:rPr>
                <w:rFonts w:ascii="Times New Roman" w:eastAsia="AngsanaUPC" w:hAnsi="Times New Roman"/>
                <w:bCs/>
                <w:sz w:val="18"/>
                <w:szCs w:val="18"/>
                <w:lang w:val="en-GB" w:eastAsia="lt-LT"/>
              </w:rPr>
              <w:t>03</w:t>
            </w:r>
          </w:p>
        </w:tc>
        <w:tc>
          <w:tcPr>
            <w:tcW w:w="6378" w:type="dxa"/>
            <w:shd w:val="clear" w:color="auto" w:fill="auto"/>
            <w:vAlign w:val="center"/>
          </w:tcPr>
          <w:p w:rsidR="006932B7" w:rsidRPr="002447B3" w:rsidRDefault="006932B7" w:rsidP="00BB0960">
            <w:pPr>
              <w:widowControl w:val="0"/>
              <w:tabs>
                <w:tab w:val="left" w:pos="622"/>
              </w:tabs>
              <w:spacing w:after="0" w:line="240" w:lineRule="auto"/>
              <w:rPr>
                <w:rFonts w:ascii="Times New Roman" w:eastAsia="AngsanaUPC" w:hAnsi="Times New Roman"/>
                <w:bCs/>
                <w:sz w:val="18"/>
                <w:szCs w:val="18"/>
                <w:lang w:eastAsia="lt-LT"/>
              </w:rPr>
            </w:pPr>
            <w:r w:rsidRPr="002447B3">
              <w:rPr>
                <w:rFonts w:ascii="Times New Roman" w:eastAsia="AngsanaUPC" w:hAnsi="Times New Roman"/>
                <w:bCs/>
                <w:sz w:val="18"/>
                <w:szCs w:val="18"/>
                <w:lang w:eastAsia="lt-LT"/>
              </w:rPr>
              <w:t>Naudojantis finansinėmis priemonėmis teikiama parama: rizikos ir nuosavas kapitalas arba lygiavertė priemonė</w:t>
            </w:r>
          </w:p>
        </w:tc>
        <w:tc>
          <w:tcPr>
            <w:tcW w:w="1808" w:type="dxa"/>
            <w:shd w:val="clear" w:color="auto" w:fill="auto"/>
            <w:vAlign w:val="center"/>
          </w:tcPr>
          <w:p w:rsidR="006932B7" w:rsidRPr="00D54F90" w:rsidRDefault="00C532B5" w:rsidP="00BB0960">
            <w:pPr>
              <w:widowControl w:val="0"/>
              <w:tabs>
                <w:tab w:val="left" w:pos="622"/>
              </w:tabs>
              <w:spacing w:after="0" w:line="240" w:lineRule="auto"/>
              <w:jc w:val="right"/>
              <w:rPr>
                <w:rFonts w:ascii="Times New Roman" w:eastAsia="AngsanaUPC" w:hAnsi="Times New Roman"/>
                <w:bCs/>
                <w:sz w:val="18"/>
                <w:szCs w:val="18"/>
                <w:lang w:val="en-GB" w:eastAsia="lt-LT"/>
              </w:rPr>
            </w:pPr>
            <w:r w:rsidRPr="00891769">
              <w:rPr>
                <w:rFonts w:ascii="Times New Roman" w:eastAsia="AngsanaUPC" w:hAnsi="Times New Roman"/>
                <w:bCs/>
                <w:sz w:val="18"/>
                <w:szCs w:val="18"/>
                <w:lang w:val="en-GB" w:eastAsia="lt-LT"/>
              </w:rPr>
              <w:t>22.600.000</w:t>
            </w:r>
          </w:p>
        </w:tc>
      </w:tr>
    </w:tbl>
    <w:p w:rsidR="00385835" w:rsidRPr="002447B3" w:rsidRDefault="00385835" w:rsidP="00385835">
      <w:pPr>
        <w:spacing w:after="0" w:line="240" w:lineRule="auto"/>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9"/>
        <w:gridCol w:w="6397"/>
        <w:gridCol w:w="1789"/>
      </w:tblGrid>
      <w:tr w:rsidR="00DD21D7" w:rsidRPr="002447B3" w:rsidTr="00BB0960">
        <w:tc>
          <w:tcPr>
            <w:tcW w:w="9746" w:type="dxa"/>
            <w:gridSpan w:val="4"/>
            <w:shd w:val="clear" w:color="auto" w:fill="EEECE1"/>
          </w:tcPr>
          <w:p w:rsidR="00DD21D7" w:rsidRPr="002447B3" w:rsidRDefault="00DD21D7" w:rsidP="00BB0960">
            <w:pPr>
              <w:spacing w:after="0" w:line="240" w:lineRule="auto"/>
              <w:rPr>
                <w:rFonts w:ascii="Times New Roman" w:hAnsi="Times New Roman"/>
                <w:i/>
                <w:sz w:val="20"/>
                <w:szCs w:val="20"/>
              </w:rPr>
            </w:pPr>
            <w:r w:rsidRPr="002447B3">
              <w:rPr>
                <w:rFonts w:ascii="Times New Roman" w:hAnsi="Times New Roman"/>
                <w:b/>
                <w:bCs/>
                <w:i/>
                <w:sz w:val="20"/>
                <w:szCs w:val="20"/>
              </w:rPr>
              <w:t>Teritorijų tipas</w:t>
            </w:r>
          </w:p>
        </w:tc>
      </w:tr>
      <w:tr w:rsidR="006932B7" w:rsidRPr="002447B3" w:rsidTr="006932B7">
        <w:tc>
          <w:tcPr>
            <w:tcW w:w="851" w:type="dxa"/>
            <w:shd w:val="clear" w:color="auto" w:fill="EEECE1"/>
            <w:vAlign w:val="center"/>
          </w:tcPr>
          <w:p w:rsidR="006932B7" w:rsidRPr="002447B3" w:rsidRDefault="006932B7" w:rsidP="00BB0960">
            <w:pPr>
              <w:widowControl w:val="0"/>
              <w:tabs>
                <w:tab w:val="left" w:pos="622"/>
              </w:tabs>
              <w:spacing w:after="0" w:line="240" w:lineRule="auto"/>
              <w:jc w:val="center"/>
              <w:rPr>
                <w:rFonts w:ascii="Times New Roman" w:eastAsia="AngsanaUPC" w:hAnsi="Times New Roman"/>
                <w:b/>
                <w:bCs/>
                <w:sz w:val="18"/>
                <w:szCs w:val="18"/>
                <w:lang w:eastAsia="lt-LT"/>
              </w:rPr>
            </w:pPr>
            <w:r w:rsidRPr="002447B3">
              <w:rPr>
                <w:rFonts w:ascii="Times New Roman" w:eastAsia="AngsanaUPC" w:hAnsi="Times New Roman"/>
                <w:b/>
                <w:bCs/>
                <w:sz w:val="18"/>
                <w:szCs w:val="18"/>
                <w:lang w:eastAsia="lt-LT"/>
              </w:rPr>
              <w:t>Fondas</w:t>
            </w:r>
          </w:p>
        </w:tc>
        <w:tc>
          <w:tcPr>
            <w:tcW w:w="709" w:type="dxa"/>
            <w:shd w:val="clear" w:color="auto" w:fill="EEECE1"/>
            <w:vAlign w:val="center"/>
          </w:tcPr>
          <w:p w:rsidR="006932B7" w:rsidRPr="002447B3" w:rsidRDefault="006932B7" w:rsidP="00BB0960">
            <w:pPr>
              <w:widowControl w:val="0"/>
              <w:tabs>
                <w:tab w:val="left" w:pos="622"/>
              </w:tabs>
              <w:spacing w:after="0" w:line="240" w:lineRule="auto"/>
              <w:jc w:val="center"/>
              <w:rPr>
                <w:rFonts w:ascii="Times New Roman" w:eastAsia="AngsanaUPC" w:hAnsi="Times New Roman"/>
                <w:b/>
                <w:bCs/>
                <w:sz w:val="18"/>
                <w:szCs w:val="18"/>
                <w:lang w:eastAsia="lt-LT"/>
              </w:rPr>
            </w:pPr>
            <w:r w:rsidRPr="002447B3">
              <w:rPr>
                <w:rFonts w:ascii="Times New Roman" w:eastAsia="AngsanaUPC" w:hAnsi="Times New Roman"/>
                <w:b/>
                <w:bCs/>
                <w:sz w:val="18"/>
                <w:szCs w:val="18"/>
                <w:lang w:eastAsia="lt-LT"/>
              </w:rPr>
              <w:t>Kodas</w:t>
            </w:r>
          </w:p>
        </w:tc>
        <w:tc>
          <w:tcPr>
            <w:tcW w:w="6397" w:type="dxa"/>
            <w:shd w:val="clear" w:color="auto" w:fill="EEECE1"/>
            <w:vAlign w:val="center"/>
          </w:tcPr>
          <w:p w:rsidR="006932B7" w:rsidRPr="002447B3" w:rsidRDefault="006932B7" w:rsidP="00BB0960">
            <w:pPr>
              <w:widowControl w:val="0"/>
              <w:tabs>
                <w:tab w:val="left" w:pos="622"/>
              </w:tabs>
              <w:spacing w:after="0" w:line="240" w:lineRule="auto"/>
              <w:jc w:val="center"/>
              <w:rPr>
                <w:rFonts w:ascii="Times New Roman" w:eastAsia="AngsanaUPC" w:hAnsi="Times New Roman"/>
                <w:b/>
                <w:bCs/>
                <w:sz w:val="18"/>
                <w:szCs w:val="18"/>
                <w:lang w:eastAsia="lt-LT"/>
              </w:rPr>
            </w:pPr>
            <w:r w:rsidRPr="002447B3">
              <w:rPr>
                <w:rFonts w:ascii="Times New Roman" w:eastAsia="AngsanaUPC" w:hAnsi="Times New Roman"/>
                <w:b/>
                <w:bCs/>
                <w:sz w:val="18"/>
                <w:szCs w:val="18"/>
                <w:lang w:eastAsia="lt-LT"/>
              </w:rPr>
              <w:t>Pavadinimas</w:t>
            </w:r>
          </w:p>
        </w:tc>
        <w:tc>
          <w:tcPr>
            <w:tcW w:w="1789" w:type="dxa"/>
            <w:shd w:val="clear" w:color="auto" w:fill="EEECE1"/>
            <w:vAlign w:val="center"/>
          </w:tcPr>
          <w:p w:rsidR="006932B7" w:rsidRPr="002447B3" w:rsidRDefault="006932B7" w:rsidP="00BB0960">
            <w:pPr>
              <w:widowControl w:val="0"/>
              <w:tabs>
                <w:tab w:val="left" w:pos="622"/>
              </w:tabs>
              <w:spacing w:after="0" w:line="240" w:lineRule="auto"/>
              <w:jc w:val="center"/>
              <w:rPr>
                <w:rFonts w:ascii="Times New Roman" w:eastAsia="AngsanaUPC" w:hAnsi="Times New Roman"/>
                <w:b/>
                <w:bCs/>
                <w:sz w:val="18"/>
                <w:szCs w:val="18"/>
                <w:lang w:eastAsia="lt-LT"/>
              </w:rPr>
            </w:pPr>
            <w:r w:rsidRPr="002447B3">
              <w:rPr>
                <w:rFonts w:ascii="Times New Roman" w:eastAsia="AngsanaUPC" w:hAnsi="Times New Roman"/>
                <w:b/>
                <w:bCs/>
                <w:sz w:val="18"/>
                <w:szCs w:val="18"/>
                <w:lang w:eastAsia="lt-LT"/>
              </w:rPr>
              <w:t>Finansinė proporcija (eurais)</w:t>
            </w:r>
          </w:p>
        </w:tc>
      </w:tr>
      <w:tr w:rsidR="006932B7" w:rsidRPr="00891769" w:rsidTr="006932B7">
        <w:tc>
          <w:tcPr>
            <w:tcW w:w="851" w:type="dxa"/>
            <w:shd w:val="clear" w:color="auto" w:fill="auto"/>
            <w:vAlign w:val="center"/>
          </w:tcPr>
          <w:p w:rsidR="006932B7" w:rsidRPr="002447B3" w:rsidRDefault="006932B7" w:rsidP="006932B7">
            <w:pPr>
              <w:widowControl w:val="0"/>
              <w:tabs>
                <w:tab w:val="left" w:pos="622"/>
              </w:tabs>
              <w:spacing w:after="0" w:line="240" w:lineRule="auto"/>
              <w:jc w:val="center"/>
              <w:rPr>
                <w:rFonts w:ascii="Times New Roman" w:eastAsia="AngsanaUPC" w:hAnsi="Times New Roman"/>
                <w:bCs/>
                <w:sz w:val="18"/>
                <w:szCs w:val="18"/>
                <w:lang w:val="en-GB" w:eastAsia="lt-LT"/>
              </w:rPr>
            </w:pPr>
            <w:r w:rsidRPr="002447B3">
              <w:rPr>
                <w:rFonts w:ascii="Times New Roman" w:eastAsia="AngsanaUPC" w:hAnsi="Times New Roman"/>
                <w:bCs/>
                <w:sz w:val="18"/>
                <w:szCs w:val="18"/>
                <w:lang w:val="en-GB" w:eastAsia="lt-LT"/>
              </w:rPr>
              <w:t>ERPF</w:t>
            </w:r>
          </w:p>
        </w:tc>
        <w:tc>
          <w:tcPr>
            <w:tcW w:w="709" w:type="dxa"/>
            <w:shd w:val="clear" w:color="auto" w:fill="auto"/>
            <w:vAlign w:val="center"/>
          </w:tcPr>
          <w:p w:rsidR="006932B7" w:rsidRPr="002447B3" w:rsidRDefault="006932B7" w:rsidP="00BB0960">
            <w:pPr>
              <w:widowControl w:val="0"/>
              <w:tabs>
                <w:tab w:val="left" w:pos="622"/>
              </w:tabs>
              <w:spacing w:after="0" w:line="240" w:lineRule="auto"/>
              <w:jc w:val="center"/>
              <w:rPr>
                <w:rFonts w:ascii="Times New Roman" w:eastAsia="AngsanaUPC" w:hAnsi="Times New Roman"/>
                <w:bCs/>
                <w:sz w:val="18"/>
                <w:szCs w:val="18"/>
                <w:lang w:val="en-GB" w:eastAsia="lt-LT"/>
              </w:rPr>
            </w:pPr>
            <w:r w:rsidRPr="002447B3">
              <w:rPr>
                <w:rFonts w:ascii="Times New Roman" w:eastAsia="AngsanaUPC" w:hAnsi="Times New Roman"/>
                <w:bCs/>
                <w:sz w:val="18"/>
                <w:szCs w:val="18"/>
                <w:lang w:val="en-GB" w:eastAsia="lt-LT"/>
              </w:rPr>
              <w:t>07</w:t>
            </w:r>
          </w:p>
        </w:tc>
        <w:tc>
          <w:tcPr>
            <w:tcW w:w="6397" w:type="dxa"/>
            <w:shd w:val="clear" w:color="auto" w:fill="auto"/>
            <w:vAlign w:val="center"/>
          </w:tcPr>
          <w:p w:rsidR="006932B7" w:rsidRPr="002447B3" w:rsidRDefault="006932B7" w:rsidP="00BB0960">
            <w:pPr>
              <w:widowControl w:val="0"/>
              <w:tabs>
                <w:tab w:val="left" w:pos="622"/>
              </w:tabs>
              <w:spacing w:after="0" w:line="240" w:lineRule="auto"/>
              <w:rPr>
                <w:rFonts w:ascii="Times New Roman" w:eastAsia="AngsanaUPC" w:hAnsi="Times New Roman"/>
                <w:bCs/>
                <w:sz w:val="18"/>
                <w:szCs w:val="18"/>
                <w:lang w:eastAsia="lt-LT"/>
              </w:rPr>
            </w:pPr>
            <w:r w:rsidRPr="002447B3">
              <w:rPr>
                <w:rFonts w:ascii="Times New Roman" w:eastAsia="AngsanaUPC" w:hAnsi="Times New Roman"/>
                <w:bCs/>
                <w:sz w:val="18"/>
                <w:szCs w:val="18"/>
                <w:lang w:eastAsia="lt-LT"/>
              </w:rPr>
              <w:t>Netaikoma</w:t>
            </w:r>
          </w:p>
        </w:tc>
        <w:tc>
          <w:tcPr>
            <w:tcW w:w="1789" w:type="dxa"/>
            <w:shd w:val="clear" w:color="auto" w:fill="auto"/>
            <w:vAlign w:val="center"/>
          </w:tcPr>
          <w:p w:rsidR="006932B7" w:rsidRPr="00891769" w:rsidRDefault="005F6EE3" w:rsidP="00D90882">
            <w:pPr>
              <w:widowControl w:val="0"/>
              <w:tabs>
                <w:tab w:val="left" w:pos="622"/>
              </w:tabs>
              <w:spacing w:after="0" w:line="240" w:lineRule="auto"/>
              <w:jc w:val="right"/>
              <w:rPr>
                <w:rFonts w:ascii="Times New Roman" w:eastAsia="AngsanaUPC" w:hAnsi="Times New Roman"/>
                <w:bCs/>
                <w:sz w:val="18"/>
                <w:szCs w:val="18"/>
                <w:lang w:val="en-GB" w:eastAsia="lt-LT"/>
              </w:rPr>
            </w:pPr>
            <w:r w:rsidRPr="00891769">
              <w:rPr>
                <w:rFonts w:ascii="Times New Roman" w:eastAsia="AngsanaUPC" w:hAnsi="Times New Roman"/>
                <w:bCs/>
                <w:sz w:val="18"/>
                <w:szCs w:val="18"/>
                <w:lang w:val="en-GB" w:eastAsia="lt-LT"/>
              </w:rPr>
              <w:t>655.928.835</w:t>
            </w:r>
          </w:p>
        </w:tc>
      </w:tr>
    </w:tbl>
    <w:p w:rsidR="00DD21D7" w:rsidRPr="002447B3" w:rsidRDefault="00DD21D7" w:rsidP="00385835">
      <w:pPr>
        <w:spacing w:after="0" w:line="240" w:lineRule="auto"/>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9"/>
        <w:gridCol w:w="6378"/>
        <w:gridCol w:w="1808"/>
      </w:tblGrid>
      <w:tr w:rsidR="00DD21D7" w:rsidRPr="002447B3" w:rsidTr="00BB0960">
        <w:tc>
          <w:tcPr>
            <w:tcW w:w="9746" w:type="dxa"/>
            <w:gridSpan w:val="4"/>
            <w:shd w:val="clear" w:color="auto" w:fill="EEECE1"/>
          </w:tcPr>
          <w:p w:rsidR="00DD21D7" w:rsidRPr="002447B3" w:rsidRDefault="007E2373" w:rsidP="00BB0960">
            <w:pPr>
              <w:spacing w:after="0" w:line="240" w:lineRule="auto"/>
              <w:rPr>
                <w:rFonts w:ascii="Times New Roman" w:hAnsi="Times New Roman"/>
                <w:i/>
                <w:sz w:val="20"/>
                <w:szCs w:val="20"/>
              </w:rPr>
            </w:pPr>
            <w:r w:rsidRPr="002447B3">
              <w:rPr>
                <w:rFonts w:ascii="Times New Roman" w:hAnsi="Times New Roman"/>
                <w:b/>
                <w:bCs/>
                <w:i/>
                <w:sz w:val="20"/>
                <w:szCs w:val="20"/>
              </w:rPr>
              <w:t>Teritorinės paramos paskirstymo priemonės</w:t>
            </w:r>
          </w:p>
        </w:tc>
      </w:tr>
      <w:tr w:rsidR="006932B7" w:rsidRPr="002447B3" w:rsidTr="006932B7">
        <w:tc>
          <w:tcPr>
            <w:tcW w:w="851" w:type="dxa"/>
            <w:shd w:val="clear" w:color="auto" w:fill="EEECE1"/>
            <w:vAlign w:val="center"/>
          </w:tcPr>
          <w:p w:rsidR="006932B7" w:rsidRPr="002447B3" w:rsidRDefault="006932B7" w:rsidP="006932B7">
            <w:pPr>
              <w:widowControl w:val="0"/>
              <w:tabs>
                <w:tab w:val="left" w:pos="622"/>
              </w:tabs>
              <w:spacing w:after="0" w:line="240" w:lineRule="auto"/>
              <w:jc w:val="center"/>
              <w:rPr>
                <w:rFonts w:ascii="Times New Roman" w:eastAsia="AngsanaUPC" w:hAnsi="Times New Roman"/>
                <w:b/>
                <w:bCs/>
                <w:sz w:val="18"/>
                <w:szCs w:val="18"/>
                <w:lang w:eastAsia="lt-LT"/>
              </w:rPr>
            </w:pPr>
            <w:r w:rsidRPr="002447B3">
              <w:rPr>
                <w:rFonts w:ascii="Times New Roman" w:eastAsia="AngsanaUPC" w:hAnsi="Times New Roman"/>
                <w:b/>
                <w:bCs/>
                <w:sz w:val="18"/>
                <w:szCs w:val="18"/>
                <w:lang w:eastAsia="lt-LT"/>
              </w:rPr>
              <w:t>Fondas</w:t>
            </w:r>
          </w:p>
        </w:tc>
        <w:tc>
          <w:tcPr>
            <w:tcW w:w="709" w:type="dxa"/>
            <w:shd w:val="clear" w:color="auto" w:fill="EEECE1"/>
            <w:vAlign w:val="center"/>
          </w:tcPr>
          <w:p w:rsidR="006932B7" w:rsidRPr="002447B3" w:rsidRDefault="006932B7" w:rsidP="00BB0960">
            <w:pPr>
              <w:widowControl w:val="0"/>
              <w:tabs>
                <w:tab w:val="left" w:pos="622"/>
              </w:tabs>
              <w:spacing w:after="0" w:line="240" w:lineRule="auto"/>
              <w:jc w:val="center"/>
              <w:rPr>
                <w:rFonts w:ascii="Times New Roman" w:eastAsia="AngsanaUPC" w:hAnsi="Times New Roman"/>
                <w:b/>
                <w:bCs/>
                <w:sz w:val="18"/>
                <w:szCs w:val="18"/>
                <w:lang w:eastAsia="lt-LT"/>
              </w:rPr>
            </w:pPr>
            <w:r w:rsidRPr="002447B3">
              <w:rPr>
                <w:rFonts w:ascii="Times New Roman" w:eastAsia="AngsanaUPC" w:hAnsi="Times New Roman"/>
                <w:b/>
                <w:bCs/>
                <w:sz w:val="18"/>
                <w:szCs w:val="18"/>
                <w:lang w:eastAsia="lt-LT"/>
              </w:rPr>
              <w:t>Kodas</w:t>
            </w:r>
          </w:p>
        </w:tc>
        <w:tc>
          <w:tcPr>
            <w:tcW w:w="6378" w:type="dxa"/>
            <w:shd w:val="clear" w:color="auto" w:fill="EEECE1"/>
            <w:vAlign w:val="center"/>
          </w:tcPr>
          <w:p w:rsidR="006932B7" w:rsidRPr="002447B3" w:rsidRDefault="006932B7" w:rsidP="00BB0960">
            <w:pPr>
              <w:widowControl w:val="0"/>
              <w:tabs>
                <w:tab w:val="left" w:pos="622"/>
              </w:tabs>
              <w:spacing w:after="0" w:line="240" w:lineRule="auto"/>
              <w:jc w:val="center"/>
              <w:rPr>
                <w:rFonts w:ascii="Times New Roman" w:eastAsia="AngsanaUPC" w:hAnsi="Times New Roman"/>
                <w:b/>
                <w:bCs/>
                <w:sz w:val="18"/>
                <w:szCs w:val="18"/>
                <w:lang w:eastAsia="lt-LT"/>
              </w:rPr>
            </w:pPr>
            <w:r w:rsidRPr="002447B3">
              <w:rPr>
                <w:rFonts w:ascii="Times New Roman" w:eastAsia="AngsanaUPC" w:hAnsi="Times New Roman"/>
                <w:b/>
                <w:bCs/>
                <w:sz w:val="18"/>
                <w:szCs w:val="18"/>
                <w:lang w:eastAsia="lt-LT"/>
              </w:rPr>
              <w:t>Pavadinimas</w:t>
            </w:r>
          </w:p>
        </w:tc>
        <w:tc>
          <w:tcPr>
            <w:tcW w:w="1808" w:type="dxa"/>
            <w:shd w:val="clear" w:color="auto" w:fill="EEECE1"/>
            <w:vAlign w:val="center"/>
          </w:tcPr>
          <w:p w:rsidR="006932B7" w:rsidRPr="002447B3" w:rsidRDefault="006932B7" w:rsidP="00BB0960">
            <w:pPr>
              <w:widowControl w:val="0"/>
              <w:tabs>
                <w:tab w:val="left" w:pos="622"/>
              </w:tabs>
              <w:spacing w:after="0" w:line="240" w:lineRule="auto"/>
              <w:jc w:val="center"/>
              <w:rPr>
                <w:rFonts w:ascii="Times New Roman" w:eastAsia="AngsanaUPC" w:hAnsi="Times New Roman"/>
                <w:b/>
                <w:bCs/>
                <w:sz w:val="18"/>
                <w:szCs w:val="18"/>
                <w:lang w:eastAsia="lt-LT"/>
              </w:rPr>
            </w:pPr>
            <w:r w:rsidRPr="002447B3">
              <w:rPr>
                <w:rFonts w:ascii="Times New Roman" w:eastAsia="AngsanaUPC" w:hAnsi="Times New Roman"/>
                <w:b/>
                <w:bCs/>
                <w:sz w:val="18"/>
                <w:szCs w:val="18"/>
                <w:lang w:eastAsia="lt-LT"/>
              </w:rPr>
              <w:t>Finansinė proporcija (eurais)</w:t>
            </w:r>
          </w:p>
        </w:tc>
      </w:tr>
      <w:tr w:rsidR="006932B7" w:rsidRPr="00891769" w:rsidTr="006932B7">
        <w:tc>
          <w:tcPr>
            <w:tcW w:w="851" w:type="dxa"/>
            <w:shd w:val="clear" w:color="auto" w:fill="auto"/>
            <w:vAlign w:val="center"/>
          </w:tcPr>
          <w:p w:rsidR="006932B7" w:rsidRPr="002447B3" w:rsidRDefault="006932B7" w:rsidP="006932B7">
            <w:pPr>
              <w:widowControl w:val="0"/>
              <w:tabs>
                <w:tab w:val="left" w:pos="622"/>
              </w:tabs>
              <w:spacing w:after="0" w:line="240" w:lineRule="auto"/>
              <w:jc w:val="center"/>
              <w:rPr>
                <w:rFonts w:ascii="Times New Roman" w:eastAsia="AngsanaUPC" w:hAnsi="Times New Roman"/>
                <w:bCs/>
                <w:sz w:val="18"/>
                <w:szCs w:val="18"/>
                <w:lang w:val="en-GB" w:eastAsia="lt-LT"/>
              </w:rPr>
            </w:pPr>
            <w:r w:rsidRPr="002447B3">
              <w:rPr>
                <w:rFonts w:ascii="Times New Roman" w:eastAsia="AngsanaUPC" w:hAnsi="Times New Roman"/>
                <w:bCs/>
                <w:sz w:val="18"/>
                <w:szCs w:val="18"/>
                <w:lang w:val="en-GB" w:eastAsia="lt-LT"/>
              </w:rPr>
              <w:t>ERPF</w:t>
            </w:r>
          </w:p>
        </w:tc>
        <w:tc>
          <w:tcPr>
            <w:tcW w:w="709" w:type="dxa"/>
            <w:shd w:val="clear" w:color="auto" w:fill="auto"/>
            <w:vAlign w:val="center"/>
          </w:tcPr>
          <w:p w:rsidR="006932B7" w:rsidRPr="002447B3" w:rsidRDefault="006932B7" w:rsidP="00BB0960">
            <w:pPr>
              <w:widowControl w:val="0"/>
              <w:tabs>
                <w:tab w:val="left" w:pos="622"/>
              </w:tabs>
              <w:spacing w:after="0" w:line="240" w:lineRule="auto"/>
              <w:jc w:val="center"/>
              <w:rPr>
                <w:rFonts w:ascii="Times New Roman" w:eastAsia="AngsanaUPC" w:hAnsi="Times New Roman"/>
                <w:bCs/>
                <w:sz w:val="18"/>
                <w:szCs w:val="18"/>
                <w:lang w:val="en-GB" w:eastAsia="lt-LT"/>
              </w:rPr>
            </w:pPr>
            <w:r w:rsidRPr="002447B3">
              <w:rPr>
                <w:rFonts w:ascii="Times New Roman" w:eastAsia="AngsanaUPC" w:hAnsi="Times New Roman"/>
                <w:bCs/>
                <w:sz w:val="18"/>
                <w:szCs w:val="18"/>
                <w:lang w:val="en-GB" w:eastAsia="lt-LT"/>
              </w:rPr>
              <w:t>07</w:t>
            </w:r>
          </w:p>
        </w:tc>
        <w:tc>
          <w:tcPr>
            <w:tcW w:w="6378" w:type="dxa"/>
            <w:shd w:val="clear" w:color="auto" w:fill="auto"/>
            <w:vAlign w:val="center"/>
          </w:tcPr>
          <w:p w:rsidR="006932B7" w:rsidRPr="002447B3" w:rsidRDefault="006932B7" w:rsidP="00BB0960">
            <w:pPr>
              <w:widowControl w:val="0"/>
              <w:tabs>
                <w:tab w:val="left" w:pos="622"/>
              </w:tabs>
              <w:spacing w:after="0" w:line="240" w:lineRule="auto"/>
              <w:rPr>
                <w:rFonts w:ascii="Times New Roman" w:eastAsia="AngsanaUPC" w:hAnsi="Times New Roman"/>
                <w:bCs/>
                <w:sz w:val="18"/>
                <w:szCs w:val="18"/>
                <w:lang w:eastAsia="lt-LT"/>
              </w:rPr>
            </w:pPr>
            <w:r w:rsidRPr="002447B3">
              <w:rPr>
                <w:rFonts w:ascii="Times New Roman" w:eastAsia="AngsanaUPC" w:hAnsi="Times New Roman"/>
                <w:bCs/>
                <w:sz w:val="18"/>
                <w:szCs w:val="18"/>
                <w:lang w:eastAsia="lt-LT"/>
              </w:rPr>
              <w:t>Netaikoma</w:t>
            </w:r>
          </w:p>
        </w:tc>
        <w:tc>
          <w:tcPr>
            <w:tcW w:w="1808" w:type="dxa"/>
            <w:shd w:val="clear" w:color="auto" w:fill="auto"/>
            <w:vAlign w:val="center"/>
          </w:tcPr>
          <w:p w:rsidR="006932B7" w:rsidRPr="00891769" w:rsidRDefault="005F6EE3" w:rsidP="00D90882">
            <w:pPr>
              <w:widowControl w:val="0"/>
              <w:tabs>
                <w:tab w:val="left" w:pos="622"/>
              </w:tabs>
              <w:spacing w:after="0" w:line="240" w:lineRule="auto"/>
              <w:jc w:val="right"/>
              <w:rPr>
                <w:rFonts w:ascii="Times New Roman" w:eastAsia="AngsanaUPC" w:hAnsi="Times New Roman"/>
                <w:bCs/>
                <w:sz w:val="18"/>
                <w:szCs w:val="18"/>
                <w:lang w:val="en-GB" w:eastAsia="lt-LT"/>
              </w:rPr>
            </w:pPr>
            <w:r w:rsidRPr="00891769">
              <w:rPr>
                <w:rFonts w:ascii="Times New Roman" w:eastAsia="AngsanaUPC" w:hAnsi="Times New Roman"/>
                <w:bCs/>
                <w:sz w:val="18"/>
                <w:szCs w:val="18"/>
                <w:lang w:val="en-GB" w:eastAsia="lt-LT"/>
              </w:rPr>
              <w:t>655.928.835</w:t>
            </w:r>
          </w:p>
        </w:tc>
      </w:tr>
    </w:tbl>
    <w:p w:rsidR="00DD21D7" w:rsidRDefault="00DD21D7" w:rsidP="00DD21D7">
      <w:pPr>
        <w:spacing w:after="0" w:line="240" w:lineRule="auto"/>
      </w:pPr>
      <w:bookmarkStart w:id="4" w:name="_Toc360605767"/>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746"/>
      </w:tblGrid>
      <w:tr w:rsidR="00385835" w:rsidRPr="00385835" w:rsidTr="00385835">
        <w:trPr>
          <w:trHeight w:val="416"/>
        </w:trPr>
        <w:tc>
          <w:tcPr>
            <w:tcW w:w="9746" w:type="dxa"/>
            <w:shd w:val="clear" w:color="auto" w:fill="EEECE1"/>
            <w:vAlign w:val="center"/>
          </w:tcPr>
          <w:p w:rsidR="00385835" w:rsidRPr="00385835" w:rsidRDefault="00385835" w:rsidP="00385835">
            <w:pPr>
              <w:keepNext/>
              <w:spacing w:after="0" w:line="240" w:lineRule="auto"/>
              <w:jc w:val="both"/>
              <w:outlineLvl w:val="1"/>
              <w:rPr>
                <w:rFonts w:ascii="Times New Roman" w:eastAsia="AngsanaUPC" w:hAnsi="Times New Roman"/>
                <w:b/>
                <w:bCs/>
                <w:iCs/>
                <w:sz w:val="24"/>
                <w:szCs w:val="28"/>
              </w:rPr>
            </w:pPr>
            <w:bookmarkStart w:id="5" w:name="_Toc69836221"/>
            <w:r w:rsidRPr="00385835">
              <w:rPr>
                <w:rFonts w:ascii="Times New Roman" w:eastAsia="Times New Roman" w:hAnsi="Times New Roman"/>
                <w:b/>
                <w:bCs/>
                <w:iCs/>
                <w:sz w:val="24"/>
                <w:szCs w:val="28"/>
              </w:rPr>
              <w:lastRenderedPageBreak/>
              <w:t>2 PRIORITETAS.</w:t>
            </w:r>
            <w:bookmarkEnd w:id="4"/>
            <w:r w:rsidRPr="00385835">
              <w:rPr>
                <w:rFonts w:ascii="Times New Roman" w:eastAsia="Times New Roman" w:hAnsi="Times New Roman"/>
                <w:b/>
                <w:bCs/>
                <w:iCs/>
                <w:sz w:val="24"/>
                <w:szCs w:val="28"/>
              </w:rPr>
              <w:t xml:space="preserve"> </w:t>
            </w:r>
            <w:r w:rsidRPr="00385835">
              <w:rPr>
                <w:rFonts w:ascii="Times New Roman" w:eastAsia="AngsanaUPC" w:hAnsi="Times New Roman"/>
                <w:b/>
                <w:bCs/>
                <w:iCs/>
                <w:sz w:val="24"/>
                <w:szCs w:val="28"/>
              </w:rPr>
              <w:t>INFORMACINĖS VISUOMENĖS SKATINIMAS</w:t>
            </w:r>
            <w:bookmarkEnd w:id="5"/>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vAlign w:val="center"/>
          </w:tcPr>
          <w:p w:rsidR="00385835" w:rsidRPr="00385835" w:rsidRDefault="00385835" w:rsidP="00385835">
            <w:pPr>
              <w:spacing w:after="0" w:line="240" w:lineRule="auto"/>
              <w:rPr>
                <w:rFonts w:ascii="Times New Roman" w:hAnsi="Times New Roman"/>
                <w:b/>
                <w:sz w:val="24"/>
                <w:szCs w:val="24"/>
              </w:rPr>
            </w:pPr>
            <w:r w:rsidRPr="00385835">
              <w:rPr>
                <w:rFonts w:ascii="Times New Roman" w:hAnsi="Times New Roman"/>
                <w:b/>
                <w:sz w:val="24"/>
                <w:szCs w:val="24"/>
              </w:rPr>
              <w:t>2.1. INVESTICINIS PRIORITETAS</w:t>
            </w:r>
          </w:p>
        </w:tc>
        <w:tc>
          <w:tcPr>
            <w:tcW w:w="7336" w:type="dxa"/>
            <w:shd w:val="clear" w:color="auto" w:fill="EEECE1"/>
          </w:tcPr>
          <w:p w:rsidR="00385835" w:rsidRPr="00385835" w:rsidRDefault="00385835" w:rsidP="00385835">
            <w:pPr>
              <w:spacing w:after="0" w:line="240" w:lineRule="auto"/>
              <w:jc w:val="both"/>
              <w:rPr>
                <w:rFonts w:ascii="Times New Roman" w:hAnsi="Times New Roman"/>
                <w:b/>
                <w:sz w:val="24"/>
                <w:szCs w:val="24"/>
              </w:rPr>
            </w:pPr>
            <w:r w:rsidRPr="00385835">
              <w:rPr>
                <w:rFonts w:ascii="Times New Roman" w:hAnsi="Times New Roman"/>
                <w:b/>
                <w:sz w:val="24"/>
                <w:szCs w:val="24"/>
              </w:rPr>
              <w:t>Plačiajuosčio ryšio diegimas ir didelės spartos tinklų plėtra naujų skaitmeninei ekonomikai skirtų technologijų ir tinklų rėmimas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FONDAS</w:t>
            </w:r>
          </w:p>
        </w:tc>
        <w:tc>
          <w:tcPr>
            <w:tcW w:w="7336"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Europos regioninės plėtros fondas</w:t>
            </w:r>
          </w:p>
        </w:tc>
      </w:tr>
    </w:tbl>
    <w:p w:rsidR="00385835" w:rsidRPr="00385835" w:rsidRDefault="00385835" w:rsidP="00385835">
      <w:pPr>
        <w:spacing w:after="0"/>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vAlign w:val="center"/>
          </w:tcPr>
          <w:p w:rsidR="00385835" w:rsidRPr="00385835" w:rsidRDefault="00385835" w:rsidP="00385835">
            <w:pPr>
              <w:spacing w:after="0" w:line="240" w:lineRule="auto"/>
              <w:rPr>
                <w:rFonts w:ascii="Times New Roman" w:hAnsi="Times New Roman"/>
                <w:b/>
                <w:sz w:val="24"/>
                <w:szCs w:val="24"/>
              </w:rPr>
            </w:pPr>
            <w:r w:rsidRPr="00385835">
              <w:rPr>
                <w:rFonts w:ascii="Times New Roman" w:hAnsi="Times New Roman"/>
                <w:b/>
                <w:sz w:val="24"/>
                <w:szCs w:val="24"/>
              </w:rPr>
              <w:t>2.1.1. KONKRETUS UŽDAVINYS</w:t>
            </w:r>
          </w:p>
        </w:tc>
        <w:tc>
          <w:tcPr>
            <w:tcW w:w="7336" w:type="dxa"/>
            <w:shd w:val="clear" w:color="auto" w:fill="EEECE1"/>
            <w:vAlign w:val="center"/>
          </w:tcPr>
          <w:p w:rsidR="00385835" w:rsidRPr="00385835" w:rsidRDefault="00385835" w:rsidP="00385835">
            <w:pPr>
              <w:spacing w:after="0" w:line="240" w:lineRule="auto"/>
              <w:jc w:val="both"/>
              <w:rPr>
                <w:rFonts w:ascii="Times New Roman" w:hAnsi="Times New Roman"/>
                <w:b/>
                <w:sz w:val="24"/>
                <w:szCs w:val="24"/>
              </w:rPr>
            </w:pPr>
            <w:r w:rsidRPr="00385835">
              <w:rPr>
                <w:rFonts w:ascii="Times New Roman" w:hAnsi="Times New Roman"/>
                <w:b/>
                <w:sz w:val="24"/>
                <w:szCs w:val="24"/>
              </w:rPr>
              <w:t>Padidinti plačiajuosčių elektroninių ryšių tinklų infrastruktūros prieinamumą ir naudojimą vietovėse, kuriose naujos kartos prieigos infrastruktūros plėtros ir paslaugų teik</w:t>
            </w:r>
            <w:r w:rsidR="00031EF1">
              <w:rPr>
                <w:rFonts w:ascii="Times New Roman" w:hAnsi="Times New Roman"/>
                <w:b/>
                <w:sz w:val="24"/>
                <w:szCs w:val="24"/>
              </w:rPr>
              <w:t>imo negali užtikrinti rinka</w:t>
            </w:r>
          </w:p>
        </w:tc>
      </w:tr>
      <w:tr w:rsidR="00385835" w:rsidRPr="00385835" w:rsidTr="00385835">
        <w:tblPrEx>
          <w:shd w:val="clear" w:color="auto" w:fill="auto"/>
        </w:tblPrEx>
        <w:tc>
          <w:tcPr>
            <w:tcW w:w="9746" w:type="dxa"/>
            <w:gridSpan w:val="2"/>
            <w:shd w:val="clear" w:color="auto" w:fill="auto"/>
          </w:tcPr>
          <w:p w:rsidR="00385835" w:rsidRPr="00385835" w:rsidRDefault="00385835" w:rsidP="00385835">
            <w:pPr>
              <w:widowControl w:val="0"/>
              <w:tabs>
                <w:tab w:val="left" w:pos="622"/>
              </w:tabs>
              <w:spacing w:after="0" w:line="240" w:lineRule="auto"/>
              <w:ind w:firstLine="624"/>
              <w:jc w:val="both"/>
              <w:rPr>
                <w:rFonts w:ascii="Times New Roman" w:hAnsi="Times New Roman"/>
                <w:bCs/>
                <w:sz w:val="24"/>
                <w:szCs w:val="24"/>
              </w:rPr>
            </w:pPr>
            <w:r w:rsidRPr="00385835">
              <w:rPr>
                <w:rFonts w:ascii="Times New Roman" w:hAnsi="Times New Roman"/>
                <w:bCs/>
                <w:sz w:val="24"/>
                <w:szCs w:val="24"/>
              </w:rPr>
              <w:t xml:space="preserve">Lietuvoje plačiajuosčio interneto infrastruktūra yra gana gerai išplėtota, tačiau atlikta detali analizė rodo, jog Lietuvai siekiant „Skaitmeninėje darbotvarkėje“ nustatyto ambicingo tikslo – kad iki 2020 m. visi namų ūkiai turi būti padengti 30 Mbps ir spartesniu interneto ryšiu, valstybės indėlis yra būtinas, nes likusios sparčiojo plačiajuosčio ryšio nepadengtos teritorijos, kuriose įsikūrę apie 27 proc. šalies namų ūkių, reikalaujančios didžiausių investicijų ir nepatrauklios privatiems operatoriams. Todėl įgyvendinant šį uždavinį, numatoma plėtoti sparčiojo plačiajuosčio ryšio infrastruktūrą, kad gyventojai, verslo įmonės ir viešojo sektoriaus institucijos visoje Lietuvoje turėtų galimybę naudotis ir naudotųsi plačiajuosčiu interneto ryšiu. </w:t>
            </w:r>
          </w:p>
          <w:p w:rsidR="00385835" w:rsidRPr="00385835" w:rsidRDefault="00385835" w:rsidP="00385835">
            <w:pPr>
              <w:widowControl w:val="0"/>
              <w:tabs>
                <w:tab w:val="left" w:pos="622"/>
              </w:tabs>
              <w:spacing w:after="0" w:line="240" w:lineRule="auto"/>
              <w:ind w:firstLine="624"/>
              <w:jc w:val="both"/>
              <w:rPr>
                <w:rFonts w:ascii="Times New Roman" w:hAnsi="Times New Roman"/>
                <w:bCs/>
                <w:sz w:val="24"/>
                <w:szCs w:val="24"/>
              </w:rPr>
            </w:pPr>
            <w:r w:rsidRPr="00385835">
              <w:rPr>
                <w:rFonts w:ascii="Times New Roman" w:hAnsi="Times New Roman"/>
                <w:bCs/>
                <w:sz w:val="24"/>
                <w:szCs w:val="24"/>
              </w:rPr>
              <w:t>Įgyvendinant šį uždavinį</w:t>
            </w:r>
            <w:r w:rsidR="00127DEA">
              <w:rPr>
                <w:rFonts w:ascii="Times New Roman" w:hAnsi="Times New Roman"/>
                <w:bCs/>
                <w:sz w:val="24"/>
                <w:szCs w:val="24"/>
              </w:rPr>
              <w:t>,</w:t>
            </w:r>
            <w:r w:rsidRPr="00385835">
              <w:rPr>
                <w:rFonts w:ascii="Times New Roman" w:hAnsi="Times New Roman"/>
                <w:bCs/>
                <w:sz w:val="24"/>
                <w:szCs w:val="24"/>
              </w:rPr>
              <w:t xml:space="preserve"> numatoma derinti kompleksinius veiksmus: 1) valstybės investicijas į infrastruktūros plėtrą (minimalia apimtimi, tiek, kiek būtina eliminuoti rinkos iškraipymus siekiant NGA infrastruktūros plėtros nuoseklumo visoje šalies teritorijoje); 2) rėmimo priemones, skatinančias privataus sektoriaus investicijas į plačiajuosčio ryšio infrastruktūros „paskutiniosios mylios“ sprendimus; 3) paklausos didinimo sprendimus, skatinančius potencialius vartotojus pradėti naudotis plačiajuosčiu interneto ryšiu (taip prisidedant prie „Skaitmeninėje darbotvarkėje“ nustatyto tikslo – pusė namų ūkių naudojasi 100 Mbps ir spartesniu interneto ryšiu). </w:t>
            </w:r>
          </w:p>
          <w:p w:rsidR="00385835" w:rsidRPr="00385835" w:rsidRDefault="00385835" w:rsidP="00385835">
            <w:pPr>
              <w:widowControl w:val="0"/>
              <w:tabs>
                <w:tab w:val="left" w:pos="622"/>
              </w:tabs>
              <w:spacing w:after="0" w:line="240" w:lineRule="auto"/>
              <w:ind w:firstLine="624"/>
              <w:jc w:val="both"/>
              <w:rPr>
                <w:rFonts w:ascii="Times New Roman" w:hAnsi="Times New Roman"/>
                <w:bCs/>
                <w:sz w:val="24"/>
                <w:szCs w:val="24"/>
              </w:rPr>
            </w:pPr>
            <w:r w:rsidRPr="00385835">
              <w:rPr>
                <w:rFonts w:ascii="Times New Roman" w:hAnsi="Times New Roman"/>
                <w:bCs/>
                <w:sz w:val="24"/>
                <w:szCs w:val="24"/>
              </w:rPr>
              <w:t>Siekiant suplanuoti optimalius veiksmus ir atsižvelgiant į sąlyginai mažas šiai sričiai planuojamas lėšas, parengta išsami Lietuvos plačiajuosčio ryšio tinklų infrastruktūros ir jos panaudojimo analizė. Inv</w:t>
            </w:r>
            <w:r w:rsidR="00127DEA">
              <w:rPr>
                <w:rFonts w:ascii="Times New Roman" w:hAnsi="Times New Roman"/>
                <w:bCs/>
                <w:sz w:val="24"/>
                <w:szCs w:val="24"/>
              </w:rPr>
              <w:t>esticijos bus vykdomos pagal, į</w:t>
            </w:r>
            <w:r w:rsidRPr="00385835">
              <w:rPr>
                <w:rFonts w:ascii="Times New Roman" w:hAnsi="Times New Roman"/>
                <w:bCs/>
                <w:sz w:val="24"/>
                <w:szCs w:val="24"/>
              </w:rPr>
              <w:t>vertinus galimus plačiajuosčio ryšio infrastruktūros plėtros skatinimo veiksmų variantus, pasirinktą tvaraus investavimo į plačiajuosčio ryšio infrastruktūrą modelį. Infrastruktūros plėtros ir jos panaudojimo skatinimo veiksmai užtikrins skirtingų rinkos dalyvių planų ir veiksmų suderinamumą.</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471"/>
        <w:gridCol w:w="2176"/>
        <w:gridCol w:w="1006"/>
        <w:gridCol w:w="1006"/>
        <w:gridCol w:w="826"/>
        <w:gridCol w:w="1009"/>
        <w:gridCol w:w="847"/>
        <w:gridCol w:w="1107"/>
        <w:gridCol w:w="1298"/>
      </w:tblGrid>
      <w:tr w:rsidR="00385835" w:rsidRPr="00385835" w:rsidTr="00385835">
        <w:tc>
          <w:tcPr>
            <w:tcW w:w="9746" w:type="dxa"/>
            <w:gridSpan w:val="9"/>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i/>
                <w:iCs/>
                <w:sz w:val="24"/>
                <w:szCs w:val="24"/>
                <w:lang w:eastAsia="lt-LT"/>
              </w:rPr>
            </w:pPr>
            <w:r w:rsidRPr="00385835">
              <w:rPr>
                <w:rFonts w:ascii="Times New Roman" w:eastAsia="AngsanaUPC" w:hAnsi="Times New Roman"/>
                <w:b/>
                <w:bCs/>
                <w:i/>
                <w:iCs/>
                <w:sz w:val="24"/>
                <w:szCs w:val="24"/>
                <w:lang w:eastAsia="lt-LT"/>
              </w:rPr>
              <w:t xml:space="preserve">ERPF </w:t>
            </w:r>
            <w:r w:rsidR="00DA04FC">
              <w:rPr>
                <w:rFonts w:ascii="Times New Roman" w:eastAsia="AngsanaUPC" w:hAnsi="Times New Roman"/>
                <w:b/>
                <w:bCs/>
                <w:i/>
                <w:iCs/>
                <w:sz w:val="24"/>
                <w:szCs w:val="24"/>
                <w:lang w:eastAsia="lt-LT"/>
              </w:rPr>
              <w:t>specialieji</w:t>
            </w:r>
            <w:r w:rsidR="00DA04FC" w:rsidRPr="00385835">
              <w:rPr>
                <w:rFonts w:ascii="Times New Roman" w:eastAsia="AngsanaUPC" w:hAnsi="Times New Roman"/>
                <w:b/>
                <w:bCs/>
                <w:i/>
                <w:iCs/>
                <w:sz w:val="24"/>
                <w:szCs w:val="24"/>
                <w:lang w:eastAsia="lt-LT"/>
              </w:rPr>
              <w:t xml:space="preserve"> </w:t>
            </w:r>
            <w:r w:rsidRPr="00385835">
              <w:rPr>
                <w:rFonts w:ascii="Times New Roman" w:eastAsia="AngsanaUPC" w:hAnsi="Times New Roman"/>
                <w:b/>
                <w:bCs/>
                <w:i/>
                <w:iCs/>
                <w:sz w:val="24"/>
                <w:szCs w:val="24"/>
                <w:lang w:eastAsia="lt-LT"/>
              </w:rPr>
              <w:t>programos rezultato rodikliai</w:t>
            </w:r>
          </w:p>
        </w:tc>
      </w:tr>
      <w:tr w:rsidR="00385835" w:rsidRPr="00385835" w:rsidTr="00385835">
        <w:tblPrEx>
          <w:shd w:val="clear" w:color="auto" w:fill="auto"/>
        </w:tblPrEx>
        <w:trPr>
          <w:cantSplit/>
          <w:trHeight w:val="825"/>
        </w:trPr>
        <w:tc>
          <w:tcPr>
            <w:tcW w:w="47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Nr.</w:t>
            </w:r>
          </w:p>
        </w:tc>
        <w:tc>
          <w:tcPr>
            <w:tcW w:w="2193"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Rodiklio pavadinimas</w:t>
            </w:r>
          </w:p>
        </w:tc>
        <w:tc>
          <w:tcPr>
            <w:tcW w:w="986"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Matavimo vienetas</w:t>
            </w:r>
          </w:p>
        </w:tc>
        <w:tc>
          <w:tcPr>
            <w:tcW w:w="1006"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Regiono kategorija</w:t>
            </w:r>
          </w:p>
        </w:tc>
        <w:tc>
          <w:tcPr>
            <w:tcW w:w="826"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 reikšmė</w:t>
            </w:r>
          </w:p>
        </w:tc>
        <w:tc>
          <w:tcPr>
            <w:tcW w:w="101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Pradinės reikšmės metai</w:t>
            </w:r>
          </w:p>
        </w:tc>
        <w:tc>
          <w:tcPr>
            <w:tcW w:w="847"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Siektina reikšmė (2023)</w:t>
            </w:r>
          </w:p>
        </w:tc>
        <w:tc>
          <w:tcPr>
            <w:tcW w:w="1107"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Duomenų šaltinis</w:t>
            </w:r>
          </w:p>
        </w:tc>
        <w:tc>
          <w:tcPr>
            <w:tcW w:w="1299"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Atsiskaitymo dažnumas</w:t>
            </w:r>
          </w:p>
        </w:tc>
      </w:tr>
      <w:tr w:rsidR="00385835" w:rsidRPr="00385835" w:rsidDel="00A37C9D" w:rsidTr="00385835">
        <w:tblPrEx>
          <w:shd w:val="clear" w:color="auto" w:fill="auto"/>
        </w:tblPrEx>
        <w:tc>
          <w:tcPr>
            <w:tcW w:w="47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w:t>
            </w:r>
          </w:p>
        </w:tc>
        <w:tc>
          <w:tcPr>
            <w:tcW w:w="2193" w:type="dxa"/>
            <w:shd w:val="clear" w:color="auto" w:fill="auto"/>
            <w:vAlign w:val="center"/>
          </w:tcPr>
          <w:p w:rsidR="00385835" w:rsidRPr="00385835" w:rsidRDefault="00385835" w:rsidP="00385835">
            <w:pPr>
              <w:widowControl w:val="0"/>
              <w:tabs>
                <w:tab w:val="left" w:pos="622"/>
              </w:tabs>
              <w:spacing w:after="0" w:line="240" w:lineRule="auto"/>
              <w:rPr>
                <w:rFonts w:ascii="Times New Roman" w:eastAsia="AngsanaUPC" w:hAnsi="Times New Roman"/>
                <w:bCs/>
                <w:sz w:val="18"/>
                <w:szCs w:val="18"/>
                <w:lang w:eastAsia="lt-LT"/>
              </w:rPr>
            </w:pPr>
            <w:r w:rsidRPr="00385835">
              <w:rPr>
                <w:rFonts w:ascii="Times New Roman" w:eastAsia="AngsanaUPC" w:hAnsi="Times New Roman"/>
                <w:bCs/>
                <w:sz w:val="18"/>
                <w:szCs w:val="18"/>
                <w:lang w:eastAsia="lt-LT"/>
              </w:rPr>
              <w:t>Namų ūkių, esančių 30 Mbps ir spartesniu plačiajuosčio interneto ryšiu padengtoje šalies teritorijoje, dalis</w:t>
            </w:r>
          </w:p>
        </w:tc>
        <w:tc>
          <w:tcPr>
            <w:tcW w:w="986"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18"/>
                <w:szCs w:val="18"/>
                <w:lang w:eastAsia="lt-LT"/>
              </w:rPr>
            </w:pPr>
            <w:r w:rsidRPr="00385835">
              <w:rPr>
                <w:rFonts w:ascii="Times New Roman" w:eastAsia="AngsanaUPC" w:hAnsi="Times New Roman"/>
                <w:bCs/>
                <w:sz w:val="18"/>
                <w:szCs w:val="18"/>
                <w:lang w:eastAsia="lt-LT"/>
              </w:rPr>
              <w:t>Proc.</w:t>
            </w:r>
          </w:p>
        </w:tc>
        <w:tc>
          <w:tcPr>
            <w:tcW w:w="1006"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18"/>
                <w:szCs w:val="18"/>
                <w:lang w:eastAsia="lt-LT"/>
              </w:rPr>
            </w:pPr>
            <w:r w:rsidRPr="00385835">
              <w:rPr>
                <w:rFonts w:ascii="Times New Roman" w:eastAsia="AngsanaUPC" w:hAnsi="Times New Roman"/>
                <w:bCs/>
                <w:sz w:val="18"/>
                <w:szCs w:val="18"/>
                <w:lang w:eastAsia="lt-LT"/>
              </w:rPr>
              <w:t>Mažiau išsivystęs</w:t>
            </w:r>
          </w:p>
        </w:tc>
        <w:tc>
          <w:tcPr>
            <w:tcW w:w="826"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73</w:t>
            </w:r>
          </w:p>
        </w:tc>
        <w:tc>
          <w:tcPr>
            <w:tcW w:w="101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2012</w:t>
            </w:r>
          </w:p>
        </w:tc>
        <w:tc>
          <w:tcPr>
            <w:tcW w:w="84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100</w:t>
            </w:r>
          </w:p>
        </w:tc>
        <w:tc>
          <w:tcPr>
            <w:tcW w:w="110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Lietuvos Respublikos ryšių reguliavimo tarnyba</w:t>
            </w:r>
          </w:p>
        </w:tc>
        <w:tc>
          <w:tcPr>
            <w:tcW w:w="1299"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i/>
          <w:i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vAlign w:val="center"/>
          </w:tcPr>
          <w:p w:rsidR="00385835" w:rsidRPr="00385835" w:rsidRDefault="00385835" w:rsidP="00385835">
            <w:pPr>
              <w:spacing w:after="0" w:line="240" w:lineRule="auto"/>
              <w:rPr>
                <w:rFonts w:ascii="Times New Roman" w:hAnsi="Times New Roman"/>
                <w:b/>
                <w:sz w:val="24"/>
                <w:szCs w:val="24"/>
              </w:rPr>
            </w:pPr>
            <w:r w:rsidRPr="00385835">
              <w:rPr>
                <w:rFonts w:ascii="Times New Roman" w:hAnsi="Times New Roman"/>
                <w:b/>
                <w:sz w:val="24"/>
                <w:szCs w:val="24"/>
              </w:rPr>
              <w:t>2.1.2. KONKRETUS UŽDAVINYS</w:t>
            </w:r>
          </w:p>
        </w:tc>
        <w:tc>
          <w:tcPr>
            <w:tcW w:w="7336" w:type="dxa"/>
            <w:shd w:val="clear" w:color="auto" w:fill="EEECE1"/>
            <w:vAlign w:val="center"/>
          </w:tcPr>
          <w:p w:rsidR="00385835" w:rsidRPr="00385835" w:rsidRDefault="00385835" w:rsidP="00385835">
            <w:pPr>
              <w:spacing w:after="0" w:line="240" w:lineRule="auto"/>
              <w:jc w:val="both"/>
              <w:rPr>
                <w:rFonts w:ascii="Times New Roman" w:hAnsi="Times New Roman"/>
                <w:b/>
                <w:sz w:val="24"/>
                <w:szCs w:val="24"/>
              </w:rPr>
            </w:pPr>
            <w:r w:rsidRPr="00385835">
              <w:rPr>
                <w:rFonts w:ascii="Times New Roman" w:hAnsi="Times New Roman"/>
                <w:b/>
                <w:sz w:val="24"/>
                <w:szCs w:val="24"/>
              </w:rPr>
              <w:t>Padidinti valstybės informacinės infrastruktūros ir išteklių apsaugos efektyvumą</w:t>
            </w:r>
          </w:p>
        </w:tc>
      </w:tr>
      <w:tr w:rsidR="00385835" w:rsidRPr="00385835" w:rsidTr="00385835">
        <w:tblPrEx>
          <w:shd w:val="clear" w:color="auto" w:fill="auto"/>
        </w:tblPrEx>
        <w:tc>
          <w:tcPr>
            <w:tcW w:w="9746" w:type="dxa"/>
            <w:gridSpan w:val="2"/>
            <w:shd w:val="clear" w:color="auto" w:fill="auto"/>
          </w:tcPr>
          <w:p w:rsidR="00385835" w:rsidRPr="00385835" w:rsidRDefault="00385835" w:rsidP="00385835">
            <w:pPr>
              <w:widowControl w:val="0"/>
              <w:tabs>
                <w:tab w:val="left" w:pos="622"/>
              </w:tabs>
              <w:spacing w:after="0" w:line="240" w:lineRule="auto"/>
              <w:ind w:firstLine="624"/>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Informacinės infrastruktūros ir išteklių apsauga tampa viena</w:t>
            </w:r>
            <w:r w:rsidR="000E796A">
              <w:rPr>
                <w:rFonts w:ascii="Times New Roman" w:eastAsia="AngsanaUPC" w:hAnsi="Times New Roman"/>
                <w:bCs/>
                <w:sz w:val="24"/>
                <w:szCs w:val="24"/>
                <w:lang w:eastAsia="lt-LT"/>
              </w:rPr>
              <w:t xml:space="preserve"> iš</w:t>
            </w:r>
            <w:r w:rsidRPr="00385835">
              <w:rPr>
                <w:rFonts w:ascii="Times New Roman" w:eastAsia="AngsanaUPC" w:hAnsi="Times New Roman"/>
                <w:bCs/>
                <w:sz w:val="24"/>
                <w:szCs w:val="24"/>
                <w:lang w:eastAsia="lt-LT"/>
              </w:rPr>
              <w:t xml:space="preserve"> svarbiausių problemų šiandienos visuomenėse, kuriose reikšminga tiek valstybės, tiek atskirų jos narių veiklos dalis persikelia į skaitmeninę erdvę. Lietuvos nacionalinis elektroninių ryšių tinklų ir informacijos saugumo incidentų tyrimo padalinys CERT</w:t>
            </w:r>
            <w:proofErr w:type="gramStart"/>
            <w:r w:rsidRPr="00385835">
              <w:rPr>
                <w:rFonts w:ascii="Times New Roman" w:eastAsia="AngsanaUPC" w:hAnsi="Times New Roman"/>
                <w:bCs/>
                <w:sz w:val="24"/>
                <w:szCs w:val="24"/>
                <w:lang w:eastAsia="lt-LT"/>
              </w:rPr>
              <w:t>-</w:t>
            </w:r>
            <w:proofErr w:type="gramEnd"/>
            <w:r w:rsidRPr="00385835">
              <w:rPr>
                <w:rFonts w:ascii="Times New Roman" w:eastAsia="AngsanaUPC" w:hAnsi="Times New Roman"/>
                <w:bCs/>
                <w:sz w:val="24"/>
                <w:szCs w:val="24"/>
                <w:lang w:eastAsia="lt-LT"/>
              </w:rPr>
              <w:t xml:space="preserve">LT per 2013 m. ištyrė 25337 interneto saugumo incidentus, kasmet ištiriamų incidentų skaičius nuo 2006 m. išaugo 270 kartų. Keičiasi ir </w:t>
            </w:r>
            <w:r w:rsidRPr="00385835">
              <w:rPr>
                <w:rFonts w:ascii="Times New Roman" w:eastAsia="AngsanaUPC" w:hAnsi="Times New Roman"/>
                <w:bCs/>
                <w:sz w:val="24"/>
                <w:szCs w:val="24"/>
                <w:lang w:eastAsia="lt-LT"/>
              </w:rPr>
              <w:lastRenderedPageBreak/>
              <w:t xml:space="preserve">fiksuojamų incidentų tipai: jei 2006 m. vyravo pranešimai apie </w:t>
            </w:r>
            <w:r w:rsidR="00CE063C">
              <w:rPr>
                <w:rFonts w:ascii="Times New Roman" w:eastAsia="AngsanaUPC" w:hAnsi="Times New Roman"/>
                <w:bCs/>
                <w:sz w:val="24"/>
                <w:szCs w:val="24"/>
                <w:lang w:eastAsia="lt-LT"/>
              </w:rPr>
              <w:t>nepageidaujamus el. laiškus (56 </w:t>
            </w:r>
            <w:r w:rsidRPr="00385835">
              <w:rPr>
                <w:rFonts w:ascii="Times New Roman" w:eastAsia="AngsanaUPC" w:hAnsi="Times New Roman"/>
                <w:bCs/>
                <w:sz w:val="24"/>
                <w:szCs w:val="24"/>
                <w:lang w:eastAsia="lt-LT"/>
              </w:rPr>
              <w:t>proc. pranešimų), tai 2013 m. didžioji dalis pranešimų buvo susijusi su rimtais, potencialiai didelę žalą galinčiais sukelti incidentais – kenkėjiška programine įranga (44 proc. visų tirtų pranešimų) ir informacinių sistemų užvaldymu (43 proc. ištirtų incidentų). Šie incidentai taip pat yra potencialiai pavojingi ir valstybės institucijų pagrindinėms informacinėms sistemoms ir interneto svetainėms.</w:t>
            </w:r>
          </w:p>
          <w:p w:rsidR="00385835" w:rsidRPr="00385835" w:rsidRDefault="00385835" w:rsidP="00385835">
            <w:pPr>
              <w:widowControl w:val="0"/>
              <w:tabs>
                <w:tab w:val="left" w:pos="622"/>
              </w:tabs>
              <w:spacing w:after="0" w:line="240" w:lineRule="auto"/>
              <w:ind w:firstLine="624"/>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 xml:space="preserve">Todėl įgyvendinant šį uždavinį numatoma diegti valstybės veikimui reikšmingos IRT infrastruktūros ir išteklių apsaugos technologinius sprendimus, užtikrinant, kad valstybė, jos piliečiai ir verslas galėtų sėkmingai išnaudoti IRT teikiamas galimybes. Bus siekiama, kad Lietuvoje diegiama ir naudojama IRT infrastruktūra atitiktų aukščiausius saugumo reikalavimus, kad būtų užtikrintas ypatingos svarbos informacinės infrastruktūros saugumas, o valstybės informaciniai ištekliai būtų tinkamai apsaugoti. </w:t>
            </w:r>
          </w:p>
          <w:p w:rsidR="00385835" w:rsidRPr="00385835" w:rsidRDefault="00385835" w:rsidP="00385835">
            <w:pPr>
              <w:spacing w:after="0"/>
              <w:ind w:firstLine="624"/>
              <w:jc w:val="both"/>
              <w:rPr>
                <w:rFonts w:ascii="Times New Roman" w:hAnsi="Times New Roman"/>
                <w:b/>
                <w:sz w:val="24"/>
                <w:szCs w:val="24"/>
              </w:rPr>
            </w:pPr>
            <w:r w:rsidRPr="00385835">
              <w:rPr>
                <w:rFonts w:ascii="Times New Roman" w:eastAsia="AngsanaUPC" w:hAnsi="Times New Roman"/>
                <w:bCs/>
                <w:sz w:val="24"/>
                <w:szCs w:val="24"/>
                <w:lang w:eastAsia="lt-LT"/>
              </w:rPr>
              <w:t>Siekiant kibernetinio saugumo didėjimo visuomenėje, šio uždavinio veiklas papildys 2.2.2 uždavinio veiklos, kurių apimtyje numatoma didinti gyventojų suvokimo apie saugų ir atsakingą elgesį kibernetinėje erdvėje lygį.</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507"/>
        <w:gridCol w:w="2045"/>
        <w:gridCol w:w="1134"/>
        <w:gridCol w:w="1134"/>
        <w:gridCol w:w="850"/>
        <w:gridCol w:w="993"/>
        <w:gridCol w:w="850"/>
        <w:gridCol w:w="992"/>
        <w:gridCol w:w="1241"/>
      </w:tblGrid>
      <w:tr w:rsidR="00385835" w:rsidRPr="00385835" w:rsidTr="00385835">
        <w:tc>
          <w:tcPr>
            <w:tcW w:w="9746" w:type="dxa"/>
            <w:gridSpan w:val="9"/>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i/>
                <w:iCs/>
                <w:sz w:val="24"/>
                <w:szCs w:val="24"/>
                <w:lang w:eastAsia="lt-LT"/>
              </w:rPr>
            </w:pPr>
            <w:r w:rsidRPr="00385835">
              <w:rPr>
                <w:rFonts w:ascii="Times New Roman" w:eastAsia="AngsanaUPC" w:hAnsi="Times New Roman"/>
                <w:b/>
                <w:bCs/>
                <w:i/>
                <w:iCs/>
                <w:sz w:val="24"/>
                <w:szCs w:val="24"/>
                <w:lang w:eastAsia="lt-LT"/>
              </w:rPr>
              <w:t xml:space="preserve">ERPF </w:t>
            </w:r>
            <w:r w:rsidR="00DA04FC">
              <w:rPr>
                <w:rFonts w:ascii="Times New Roman" w:eastAsia="AngsanaUPC" w:hAnsi="Times New Roman"/>
                <w:b/>
                <w:bCs/>
                <w:i/>
                <w:iCs/>
                <w:sz w:val="24"/>
                <w:szCs w:val="24"/>
                <w:lang w:eastAsia="lt-LT"/>
              </w:rPr>
              <w:t>specialieji</w:t>
            </w:r>
            <w:r w:rsidR="00DA04FC" w:rsidRPr="00385835">
              <w:rPr>
                <w:rFonts w:ascii="Times New Roman" w:eastAsia="AngsanaUPC" w:hAnsi="Times New Roman"/>
                <w:b/>
                <w:bCs/>
                <w:i/>
                <w:iCs/>
                <w:sz w:val="24"/>
                <w:szCs w:val="24"/>
                <w:lang w:eastAsia="lt-LT"/>
              </w:rPr>
              <w:t xml:space="preserve"> </w:t>
            </w:r>
            <w:r w:rsidRPr="00385835">
              <w:rPr>
                <w:rFonts w:ascii="Times New Roman" w:eastAsia="AngsanaUPC" w:hAnsi="Times New Roman"/>
                <w:b/>
                <w:bCs/>
                <w:i/>
                <w:iCs/>
                <w:sz w:val="24"/>
                <w:szCs w:val="24"/>
                <w:lang w:eastAsia="lt-LT"/>
              </w:rPr>
              <w:t>programos rezultato rodikliai</w:t>
            </w:r>
          </w:p>
        </w:tc>
      </w:tr>
      <w:tr w:rsidR="00385835" w:rsidRPr="00385835" w:rsidTr="00385835">
        <w:tblPrEx>
          <w:shd w:val="clear" w:color="auto" w:fill="auto"/>
        </w:tblPrEx>
        <w:trPr>
          <w:cantSplit/>
          <w:trHeight w:val="825"/>
        </w:trPr>
        <w:tc>
          <w:tcPr>
            <w:tcW w:w="507"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Nr.</w:t>
            </w:r>
          </w:p>
        </w:tc>
        <w:tc>
          <w:tcPr>
            <w:tcW w:w="2045"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Rodiklio pavadinimas</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Matavimo vienetas</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Regiono kategorija</w:t>
            </w:r>
          </w:p>
        </w:tc>
        <w:tc>
          <w:tcPr>
            <w:tcW w:w="850"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 reikšmė</w:t>
            </w:r>
          </w:p>
        </w:tc>
        <w:tc>
          <w:tcPr>
            <w:tcW w:w="993"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Pradinės reikšmės metai</w:t>
            </w:r>
          </w:p>
        </w:tc>
        <w:tc>
          <w:tcPr>
            <w:tcW w:w="850"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Siektina reikšmė (2023)</w:t>
            </w:r>
          </w:p>
        </w:tc>
        <w:tc>
          <w:tcPr>
            <w:tcW w:w="992"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Duomenų šaltinis</w:t>
            </w:r>
          </w:p>
        </w:tc>
        <w:tc>
          <w:tcPr>
            <w:tcW w:w="124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Atsiskaitymo dažnumas</w:t>
            </w:r>
          </w:p>
        </w:tc>
      </w:tr>
      <w:tr w:rsidR="00385835" w:rsidRPr="00385835" w:rsidTr="00385835">
        <w:tblPrEx>
          <w:shd w:val="clear" w:color="auto" w:fill="auto"/>
        </w:tblPrEx>
        <w:tc>
          <w:tcPr>
            <w:tcW w:w="50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w:t>
            </w:r>
          </w:p>
        </w:tc>
        <w:tc>
          <w:tcPr>
            <w:tcW w:w="2045" w:type="dxa"/>
            <w:shd w:val="clear" w:color="auto" w:fill="auto"/>
            <w:vAlign w:val="center"/>
          </w:tcPr>
          <w:p w:rsidR="00385835" w:rsidRPr="00385835" w:rsidRDefault="00385835" w:rsidP="00385835">
            <w:pPr>
              <w:widowControl w:val="0"/>
              <w:tabs>
                <w:tab w:val="left" w:pos="622"/>
              </w:tabs>
              <w:spacing w:after="0" w:line="240" w:lineRule="auto"/>
              <w:rPr>
                <w:rFonts w:ascii="Times New Roman" w:eastAsia="AngsanaUPC" w:hAnsi="Times New Roman"/>
                <w:bCs/>
                <w:sz w:val="18"/>
                <w:szCs w:val="18"/>
                <w:lang w:eastAsia="lt-LT"/>
              </w:rPr>
            </w:pPr>
            <w:r w:rsidRPr="00385835">
              <w:rPr>
                <w:rFonts w:ascii="Times New Roman" w:eastAsia="AngsanaUPC" w:hAnsi="Times New Roman"/>
                <w:bCs/>
                <w:sz w:val="18"/>
                <w:szCs w:val="18"/>
                <w:lang w:eastAsia="lt-LT"/>
              </w:rPr>
              <w:t>Saugos reikalavimus atitinkančių valstybės informacinių išteklių ir kritinės informacinės infrastruktūros objektų dalis</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18"/>
                <w:szCs w:val="18"/>
                <w:lang w:eastAsia="lt-LT"/>
              </w:rPr>
            </w:pPr>
            <w:r w:rsidRPr="00385835">
              <w:rPr>
                <w:rFonts w:ascii="Times New Roman" w:eastAsia="AngsanaUPC" w:hAnsi="Times New Roman"/>
                <w:bCs/>
                <w:sz w:val="18"/>
                <w:szCs w:val="18"/>
                <w:lang w:eastAsia="lt-LT"/>
              </w:rPr>
              <w:t>Proc.</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18"/>
                <w:szCs w:val="18"/>
                <w:lang w:eastAsia="lt-LT"/>
              </w:rPr>
            </w:pPr>
            <w:r w:rsidRPr="00385835">
              <w:rPr>
                <w:rFonts w:ascii="Times New Roman" w:eastAsia="AngsanaUPC" w:hAnsi="Times New Roman"/>
                <w:bCs/>
                <w:sz w:val="18"/>
                <w:szCs w:val="18"/>
                <w:lang w:eastAsia="lt-LT"/>
              </w:rPr>
              <w:t>Mažiau išsivystęs</w:t>
            </w:r>
          </w:p>
        </w:tc>
        <w:tc>
          <w:tcPr>
            <w:tcW w:w="850"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15</w:t>
            </w:r>
          </w:p>
        </w:tc>
        <w:tc>
          <w:tcPr>
            <w:tcW w:w="993"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2012</w:t>
            </w:r>
          </w:p>
        </w:tc>
        <w:tc>
          <w:tcPr>
            <w:tcW w:w="850"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98</w:t>
            </w:r>
          </w:p>
        </w:tc>
        <w:tc>
          <w:tcPr>
            <w:tcW w:w="992"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Vidaus reikalų ministerija</w:t>
            </w:r>
          </w:p>
        </w:tc>
        <w:tc>
          <w:tcPr>
            <w:tcW w:w="124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i/>
          <w:i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385835" w:rsidRPr="00385835" w:rsidTr="00385835">
        <w:tc>
          <w:tcPr>
            <w:tcW w:w="9746" w:type="dxa"/>
            <w:tcBorders>
              <w:top w:val="single" w:sz="4" w:space="0" w:color="auto"/>
              <w:left w:val="single" w:sz="4" w:space="0" w:color="auto"/>
              <w:bottom w:val="single" w:sz="4" w:space="0" w:color="auto"/>
              <w:right w:val="single" w:sz="4" w:space="0" w:color="auto"/>
            </w:tcBorders>
            <w:shd w:val="clear" w:color="auto" w:fill="EEECE1"/>
          </w:tcPr>
          <w:p w:rsidR="00385835" w:rsidRPr="00385835" w:rsidRDefault="00385835" w:rsidP="00385835">
            <w:pPr>
              <w:widowControl w:val="0"/>
              <w:tabs>
                <w:tab w:val="left" w:pos="622"/>
                <w:tab w:val="left" w:pos="1665"/>
              </w:tabs>
              <w:spacing w:after="0" w:line="240" w:lineRule="auto"/>
              <w:jc w:val="both"/>
              <w:rPr>
                <w:rFonts w:ascii="Times New Roman" w:eastAsia="AngsanaUPC" w:hAnsi="Times New Roman"/>
                <w:bCs/>
                <w:iCs/>
                <w:sz w:val="24"/>
                <w:szCs w:val="24"/>
                <w:lang w:eastAsia="lt-LT"/>
              </w:rPr>
            </w:pPr>
            <w:r w:rsidRPr="00385835">
              <w:rPr>
                <w:rFonts w:ascii="Times New Roman" w:eastAsia="AngsanaUPC" w:hAnsi="Times New Roman"/>
                <w:b/>
                <w:bCs/>
                <w:i/>
                <w:iCs/>
                <w:sz w:val="24"/>
                <w:szCs w:val="24"/>
                <w:lang w:eastAsia="lt-LT"/>
              </w:rPr>
              <w:t>2.1. Investicinio prioriteto įgyvendinimo veiklos</w:t>
            </w:r>
          </w:p>
        </w:tc>
      </w:tr>
      <w:tr w:rsidR="00385835" w:rsidRPr="00385835" w:rsidTr="00385835">
        <w:tc>
          <w:tcPr>
            <w:tcW w:w="9746" w:type="dxa"/>
            <w:shd w:val="clear" w:color="auto" w:fill="auto"/>
          </w:tcPr>
          <w:p w:rsidR="00385835" w:rsidRPr="00385835" w:rsidRDefault="00385835" w:rsidP="00650E41">
            <w:pPr>
              <w:widowControl w:val="0"/>
              <w:numPr>
                <w:ilvl w:val="0"/>
                <w:numId w:val="14"/>
              </w:numPr>
              <w:tabs>
                <w:tab w:val="left" w:pos="459"/>
                <w:tab w:val="left" w:pos="1665"/>
              </w:tabs>
              <w:spacing w:after="0" w:line="240" w:lineRule="auto"/>
              <w:ind w:left="0"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Plačiajuosčio ryšio infrastruktūros plėtra. Bus siekiama užtikrinti NGA elektroninių ryšių tinklų infrastruktūros plėtrą vietovėse, kuriose šios infrastruktūros plėtros ir paslaugų teikimo negali užtikrinti rinkos dalyviai, įgyvendinant parengtą tvaraus investavimo į plačiajuosčio ryšio infrastruktūrą Lietuvoje modelį.</w:t>
            </w:r>
          </w:p>
          <w:p w:rsidR="00385835" w:rsidRPr="00385835" w:rsidRDefault="00385835" w:rsidP="00650E41">
            <w:pPr>
              <w:widowControl w:val="0"/>
              <w:numPr>
                <w:ilvl w:val="0"/>
                <w:numId w:val="14"/>
              </w:numPr>
              <w:tabs>
                <w:tab w:val="left" w:pos="459"/>
                <w:tab w:val="left" w:pos="1665"/>
              </w:tabs>
              <w:spacing w:after="0" w:line="240" w:lineRule="auto"/>
              <w:ind w:left="0"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 xml:space="preserve">Plačiajuosčio elektroninio ryšio pasiūlos ir paklausos skatinimas, kuriant efektyvesniam rinkos reguliavimui ir plėtrai skirtus technologinius sprendimus. Bus siekiama skatinti konkurenciją ir pasiūlą bei paklausą plačiajuosčio elektroninio ryšio rinkoje, kuriant įvairius įrankius paslaugų teikėjams ir naudotojams, </w:t>
            </w:r>
            <w:r w:rsidR="00686878">
              <w:rPr>
                <w:rFonts w:ascii="Times New Roman" w:eastAsia="AngsanaUPC" w:hAnsi="Times New Roman"/>
                <w:bCs/>
                <w:iCs/>
                <w:sz w:val="24"/>
                <w:szCs w:val="24"/>
                <w:lang w:eastAsia="lt-LT"/>
              </w:rPr>
              <w:t>pavyzdžiui,</w:t>
            </w:r>
            <w:r w:rsidRPr="00385835">
              <w:rPr>
                <w:rFonts w:ascii="Times New Roman" w:eastAsia="AngsanaUPC" w:hAnsi="Times New Roman"/>
                <w:bCs/>
                <w:iCs/>
                <w:sz w:val="24"/>
                <w:szCs w:val="24"/>
                <w:lang w:eastAsia="lt-LT"/>
              </w:rPr>
              <w:t xml:space="preserve"> leidžiančius sužinoti apie plačiajuosčių elektroninių ryšių tinklų būklę ir paslaugų pasiekiamumą.</w:t>
            </w:r>
          </w:p>
          <w:p w:rsidR="00385835" w:rsidRPr="00385835" w:rsidRDefault="00385835" w:rsidP="00650E41">
            <w:pPr>
              <w:widowControl w:val="0"/>
              <w:numPr>
                <w:ilvl w:val="0"/>
                <w:numId w:val="14"/>
              </w:numPr>
              <w:tabs>
                <w:tab w:val="left" w:pos="459"/>
                <w:tab w:val="left" w:pos="1665"/>
              </w:tabs>
              <w:spacing w:after="0" w:line="240" w:lineRule="auto"/>
              <w:ind w:left="0"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Ypatingai svarbios valstybės IRT infrastruktūros apsaugos priemonių diegimas. Bus identifikuoti ypatingai svarbios informacinės infrastruktūros objektai; sukurta ir įdiegta šių objektų stebėsenos metodika ir priemonės; užtikrinta parama ypatingos svarbos IRT infrastruktūros ir informacijos apsaugai, kuriant ir diegiant tam reikalingas technologines priemones ir sprendimus.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4"/>
          <w:highlight w:val="yellow"/>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554"/>
        <w:gridCol w:w="2848"/>
        <w:gridCol w:w="1134"/>
        <w:gridCol w:w="851"/>
        <w:gridCol w:w="1134"/>
        <w:gridCol w:w="850"/>
        <w:gridCol w:w="1134"/>
        <w:gridCol w:w="1241"/>
      </w:tblGrid>
      <w:tr w:rsidR="00385835" w:rsidRPr="00385835" w:rsidTr="005E52CE">
        <w:trPr>
          <w:tblHeader/>
        </w:trPr>
        <w:tc>
          <w:tcPr>
            <w:tcW w:w="9746" w:type="dxa"/>
            <w:gridSpan w:val="8"/>
            <w:shd w:val="clear" w:color="auto" w:fill="EEECE1"/>
          </w:tcPr>
          <w:p w:rsidR="00385835" w:rsidRPr="00385835" w:rsidRDefault="00385835" w:rsidP="00DA04FC">
            <w:pPr>
              <w:widowControl w:val="0"/>
              <w:tabs>
                <w:tab w:val="left" w:pos="622"/>
              </w:tabs>
              <w:spacing w:after="0" w:line="240" w:lineRule="auto"/>
              <w:jc w:val="both"/>
              <w:rPr>
                <w:rFonts w:ascii="Times New Roman" w:eastAsia="AngsanaUPC" w:hAnsi="Times New Roman"/>
                <w:b/>
                <w:bCs/>
                <w:i/>
                <w:iCs/>
                <w:sz w:val="24"/>
                <w:szCs w:val="24"/>
                <w:lang w:eastAsia="lt-LT"/>
              </w:rPr>
            </w:pPr>
            <w:r w:rsidRPr="00385835">
              <w:rPr>
                <w:rFonts w:ascii="Times New Roman" w:eastAsia="AngsanaUPC" w:hAnsi="Times New Roman"/>
                <w:b/>
                <w:bCs/>
                <w:i/>
                <w:iCs/>
                <w:sz w:val="24"/>
                <w:szCs w:val="24"/>
                <w:lang w:eastAsia="lt-LT"/>
              </w:rPr>
              <w:t xml:space="preserve">ERPF bendrieji ir </w:t>
            </w:r>
            <w:r w:rsidR="00DA04FC">
              <w:rPr>
                <w:rFonts w:ascii="Times New Roman" w:eastAsia="AngsanaUPC" w:hAnsi="Times New Roman"/>
                <w:b/>
                <w:bCs/>
                <w:i/>
                <w:iCs/>
                <w:sz w:val="24"/>
                <w:szCs w:val="24"/>
                <w:lang w:eastAsia="lt-LT"/>
              </w:rPr>
              <w:t>specialieji</w:t>
            </w:r>
            <w:r w:rsidR="00DA04FC" w:rsidRPr="00385835">
              <w:rPr>
                <w:rFonts w:ascii="Times New Roman" w:eastAsia="AngsanaUPC" w:hAnsi="Times New Roman"/>
                <w:b/>
                <w:bCs/>
                <w:i/>
                <w:iCs/>
                <w:sz w:val="24"/>
                <w:szCs w:val="24"/>
                <w:lang w:eastAsia="lt-LT"/>
              </w:rPr>
              <w:t xml:space="preserve"> </w:t>
            </w:r>
            <w:r w:rsidRPr="00385835">
              <w:rPr>
                <w:rFonts w:ascii="Times New Roman" w:eastAsia="AngsanaUPC" w:hAnsi="Times New Roman"/>
                <w:b/>
                <w:bCs/>
                <w:i/>
                <w:iCs/>
                <w:sz w:val="24"/>
                <w:szCs w:val="24"/>
                <w:lang w:eastAsia="lt-LT"/>
              </w:rPr>
              <w:t xml:space="preserve">programos produkto rodikliai </w:t>
            </w:r>
          </w:p>
        </w:tc>
      </w:tr>
      <w:tr w:rsidR="00385835" w:rsidRPr="00385835" w:rsidTr="005E52CE">
        <w:tblPrEx>
          <w:shd w:val="clear" w:color="auto" w:fill="auto"/>
        </w:tblPrEx>
        <w:trPr>
          <w:tblHeader/>
        </w:trPr>
        <w:tc>
          <w:tcPr>
            <w:tcW w:w="55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Nr.</w:t>
            </w:r>
          </w:p>
        </w:tc>
        <w:tc>
          <w:tcPr>
            <w:tcW w:w="2848"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Rodiklio pavadinimas</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Matavimo vienetas</w:t>
            </w:r>
          </w:p>
        </w:tc>
        <w:tc>
          <w:tcPr>
            <w:tcW w:w="85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Fondas</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Regiono kategorija</w:t>
            </w:r>
          </w:p>
        </w:tc>
        <w:tc>
          <w:tcPr>
            <w:tcW w:w="850"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Siektina reikšmė (2023)</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Duomenų šaltinis</w:t>
            </w:r>
          </w:p>
        </w:tc>
        <w:tc>
          <w:tcPr>
            <w:tcW w:w="124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Atsiskaitymo dažnumas</w:t>
            </w:r>
          </w:p>
        </w:tc>
      </w:tr>
      <w:tr w:rsidR="00385835" w:rsidRPr="00385835" w:rsidTr="00385835">
        <w:tblPrEx>
          <w:shd w:val="clear" w:color="auto" w:fill="auto"/>
        </w:tblPrEx>
        <w:tc>
          <w:tcPr>
            <w:tcW w:w="55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w:t>
            </w:r>
          </w:p>
        </w:tc>
        <w:tc>
          <w:tcPr>
            <w:tcW w:w="2848" w:type="dxa"/>
            <w:shd w:val="clear" w:color="auto" w:fill="auto"/>
            <w:vAlign w:val="center"/>
          </w:tcPr>
          <w:p w:rsidR="00385835" w:rsidRPr="00385835" w:rsidRDefault="00385835" w:rsidP="00385835">
            <w:pPr>
              <w:widowControl w:val="0"/>
              <w:tabs>
                <w:tab w:val="left" w:pos="622"/>
              </w:tabs>
              <w:spacing w:after="0" w:line="240" w:lineRule="auto"/>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Namų ūkiai, kurių teritorijos projektų metu padengtos plačiajuosčiu ryšiu (30 Mbps ir daugiau)</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Namų ūkiai</w:t>
            </w:r>
          </w:p>
        </w:tc>
        <w:tc>
          <w:tcPr>
            <w:tcW w:w="85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ERPF</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18"/>
                <w:szCs w:val="18"/>
                <w:lang w:eastAsia="lt-LT"/>
              </w:rPr>
            </w:pPr>
            <w:r w:rsidRPr="00385835">
              <w:rPr>
                <w:rFonts w:ascii="Times New Roman" w:eastAsia="AngsanaUPC" w:hAnsi="Times New Roman"/>
                <w:bCs/>
                <w:sz w:val="18"/>
                <w:szCs w:val="18"/>
                <w:lang w:eastAsia="lt-LT"/>
              </w:rPr>
              <w:t>Mažiau išsivystęs</w:t>
            </w:r>
          </w:p>
        </w:tc>
        <w:tc>
          <w:tcPr>
            <w:tcW w:w="850" w:type="dxa"/>
            <w:shd w:val="clear" w:color="auto" w:fill="auto"/>
            <w:vAlign w:val="center"/>
          </w:tcPr>
          <w:p w:rsidR="00385835" w:rsidRPr="00385835" w:rsidRDefault="00385835" w:rsidP="00D90882">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254</w:t>
            </w:r>
            <w:r w:rsidR="00D90882">
              <w:rPr>
                <w:rFonts w:ascii="Times New Roman" w:eastAsia="AngsanaUPC" w:hAnsi="Times New Roman"/>
                <w:bCs/>
                <w:iCs/>
                <w:sz w:val="18"/>
                <w:szCs w:val="18"/>
                <w:lang w:eastAsia="lt-LT"/>
              </w:rPr>
              <w:t>.</w:t>
            </w:r>
            <w:r w:rsidRPr="00385835">
              <w:rPr>
                <w:rFonts w:ascii="Times New Roman" w:eastAsia="AngsanaUPC" w:hAnsi="Times New Roman"/>
                <w:bCs/>
                <w:iCs/>
                <w:sz w:val="18"/>
                <w:szCs w:val="18"/>
                <w:lang w:eastAsia="lt-LT"/>
              </w:rPr>
              <w:t>000</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Duomenys iš projektų</w:t>
            </w:r>
          </w:p>
        </w:tc>
        <w:tc>
          <w:tcPr>
            <w:tcW w:w="124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385835" w:rsidRPr="00385835" w:rsidTr="00385835">
        <w:tblPrEx>
          <w:shd w:val="clear" w:color="auto" w:fill="auto"/>
        </w:tblPrEx>
        <w:tc>
          <w:tcPr>
            <w:tcW w:w="55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w:t>
            </w:r>
          </w:p>
        </w:tc>
        <w:tc>
          <w:tcPr>
            <w:tcW w:w="2848" w:type="dxa"/>
            <w:shd w:val="clear" w:color="auto" w:fill="auto"/>
            <w:vAlign w:val="center"/>
          </w:tcPr>
          <w:p w:rsidR="00385835" w:rsidRPr="00385835" w:rsidRDefault="00385835" w:rsidP="00385835">
            <w:pPr>
              <w:widowControl w:val="0"/>
              <w:tabs>
                <w:tab w:val="left" w:pos="622"/>
              </w:tabs>
              <w:spacing w:after="0" w:line="240" w:lineRule="auto"/>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Įgyvendinti sprendimai, skirti plačiajuosčio elektroninio ryšio plėtrai</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Skaičius</w:t>
            </w:r>
          </w:p>
        </w:tc>
        <w:tc>
          <w:tcPr>
            <w:tcW w:w="85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ERPF</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18"/>
                <w:szCs w:val="18"/>
                <w:lang w:eastAsia="lt-LT"/>
              </w:rPr>
            </w:pPr>
            <w:r w:rsidRPr="00385835">
              <w:rPr>
                <w:rFonts w:ascii="Times New Roman" w:eastAsia="AngsanaUPC" w:hAnsi="Times New Roman"/>
                <w:bCs/>
                <w:sz w:val="18"/>
                <w:szCs w:val="18"/>
                <w:lang w:eastAsia="lt-LT"/>
              </w:rPr>
              <w:t>Mažiau išsivystęs</w:t>
            </w:r>
          </w:p>
        </w:tc>
        <w:tc>
          <w:tcPr>
            <w:tcW w:w="850" w:type="dxa"/>
            <w:shd w:val="clear" w:color="auto" w:fill="auto"/>
            <w:vAlign w:val="center"/>
          </w:tcPr>
          <w:p w:rsidR="00385835" w:rsidRPr="00385835" w:rsidRDefault="00954D8D" w:rsidP="00385835">
            <w:pPr>
              <w:widowControl w:val="0"/>
              <w:tabs>
                <w:tab w:val="left" w:pos="622"/>
              </w:tabs>
              <w:spacing w:after="0" w:line="240" w:lineRule="auto"/>
              <w:jc w:val="center"/>
              <w:rPr>
                <w:rFonts w:ascii="Times New Roman" w:eastAsia="AngsanaUPC" w:hAnsi="Times New Roman"/>
                <w:bCs/>
                <w:iCs/>
                <w:sz w:val="18"/>
                <w:szCs w:val="18"/>
                <w:lang w:val="en-US" w:eastAsia="lt-LT"/>
              </w:rPr>
            </w:pPr>
            <w:r w:rsidRPr="00891769">
              <w:rPr>
                <w:rFonts w:ascii="Times New Roman" w:eastAsia="AngsanaUPC" w:hAnsi="Times New Roman"/>
                <w:bCs/>
                <w:iCs/>
                <w:sz w:val="18"/>
                <w:szCs w:val="18"/>
                <w:lang w:val="en-US" w:eastAsia="lt-LT"/>
              </w:rPr>
              <w:t>1</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 xml:space="preserve">Duomenys iš projektų </w:t>
            </w:r>
          </w:p>
        </w:tc>
        <w:tc>
          <w:tcPr>
            <w:tcW w:w="124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385835" w:rsidRPr="00385835" w:rsidTr="00385835">
        <w:tblPrEx>
          <w:shd w:val="clear" w:color="auto" w:fill="auto"/>
        </w:tblPrEx>
        <w:tc>
          <w:tcPr>
            <w:tcW w:w="55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lastRenderedPageBreak/>
              <w:t xml:space="preserve">3. </w:t>
            </w:r>
          </w:p>
        </w:tc>
        <w:tc>
          <w:tcPr>
            <w:tcW w:w="2848" w:type="dxa"/>
            <w:shd w:val="clear" w:color="auto" w:fill="auto"/>
            <w:vAlign w:val="center"/>
          </w:tcPr>
          <w:p w:rsidR="00385835" w:rsidRPr="00385835" w:rsidRDefault="00385835" w:rsidP="00385835">
            <w:pPr>
              <w:widowControl w:val="0"/>
              <w:tabs>
                <w:tab w:val="left" w:pos="622"/>
              </w:tabs>
              <w:spacing w:after="0" w:line="240" w:lineRule="auto"/>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Įgyvendinti</w:t>
            </w:r>
            <w:proofErr w:type="gramStart"/>
            <w:r w:rsidRPr="00385835">
              <w:rPr>
                <w:rFonts w:ascii="Times New Roman" w:eastAsia="AngsanaUPC" w:hAnsi="Times New Roman"/>
                <w:bCs/>
                <w:iCs/>
                <w:sz w:val="18"/>
                <w:szCs w:val="18"/>
                <w:lang w:eastAsia="lt-LT"/>
              </w:rPr>
              <w:t xml:space="preserve">  </w:t>
            </w:r>
            <w:proofErr w:type="gramEnd"/>
            <w:r w:rsidRPr="00385835">
              <w:rPr>
                <w:rFonts w:ascii="Times New Roman" w:eastAsia="AngsanaUPC" w:hAnsi="Times New Roman"/>
                <w:bCs/>
                <w:iCs/>
                <w:sz w:val="18"/>
                <w:szCs w:val="18"/>
                <w:lang w:eastAsia="lt-LT"/>
              </w:rPr>
              <w:t>sprendimai, skirti kibernetinio saugumo didinimui</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Skaičius</w:t>
            </w:r>
          </w:p>
        </w:tc>
        <w:tc>
          <w:tcPr>
            <w:tcW w:w="85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ERPF</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18"/>
                <w:szCs w:val="18"/>
                <w:lang w:eastAsia="lt-LT"/>
              </w:rPr>
            </w:pPr>
            <w:r w:rsidRPr="00385835">
              <w:rPr>
                <w:rFonts w:ascii="Times New Roman" w:eastAsia="AngsanaUPC" w:hAnsi="Times New Roman"/>
                <w:bCs/>
                <w:sz w:val="18"/>
                <w:szCs w:val="18"/>
                <w:lang w:eastAsia="lt-LT"/>
              </w:rPr>
              <w:t>Mažiau išsivystęs</w:t>
            </w:r>
          </w:p>
        </w:tc>
        <w:tc>
          <w:tcPr>
            <w:tcW w:w="850" w:type="dxa"/>
            <w:shd w:val="clear" w:color="auto" w:fill="auto"/>
            <w:vAlign w:val="center"/>
          </w:tcPr>
          <w:p w:rsidR="00385835" w:rsidRPr="00385835" w:rsidDel="002C16BC" w:rsidRDefault="00954D8D" w:rsidP="00385835">
            <w:pPr>
              <w:widowControl w:val="0"/>
              <w:tabs>
                <w:tab w:val="left" w:pos="622"/>
              </w:tabs>
              <w:spacing w:after="0" w:line="240" w:lineRule="auto"/>
              <w:jc w:val="center"/>
              <w:rPr>
                <w:rFonts w:ascii="Times New Roman" w:eastAsia="AngsanaUPC" w:hAnsi="Times New Roman"/>
                <w:bCs/>
                <w:iCs/>
                <w:sz w:val="18"/>
                <w:szCs w:val="18"/>
                <w:lang w:val="en-US" w:eastAsia="lt-LT"/>
              </w:rPr>
            </w:pPr>
            <w:r w:rsidRPr="00891769">
              <w:rPr>
                <w:rFonts w:ascii="Times New Roman" w:eastAsia="AngsanaUPC" w:hAnsi="Times New Roman"/>
                <w:bCs/>
                <w:iCs/>
                <w:sz w:val="18"/>
                <w:szCs w:val="18"/>
                <w:lang w:val="en-US" w:eastAsia="lt-LT"/>
              </w:rPr>
              <w:t>1</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Duomenys iš projektų</w:t>
            </w:r>
          </w:p>
        </w:tc>
        <w:tc>
          <w:tcPr>
            <w:tcW w:w="124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tcPr>
          <w:p w:rsidR="00385835" w:rsidRPr="00385835" w:rsidRDefault="00385835" w:rsidP="00385835">
            <w:pPr>
              <w:spacing w:after="0" w:line="240" w:lineRule="auto"/>
              <w:rPr>
                <w:rFonts w:ascii="Times New Roman" w:hAnsi="Times New Roman"/>
                <w:b/>
                <w:sz w:val="24"/>
                <w:szCs w:val="24"/>
              </w:rPr>
            </w:pPr>
            <w:r w:rsidRPr="00385835">
              <w:rPr>
                <w:rFonts w:ascii="Times New Roman" w:hAnsi="Times New Roman"/>
                <w:b/>
                <w:sz w:val="24"/>
                <w:szCs w:val="24"/>
              </w:rPr>
              <w:t>2.2. INVESTICINIS PRIORITETAS</w:t>
            </w:r>
          </w:p>
        </w:tc>
        <w:tc>
          <w:tcPr>
            <w:tcW w:w="7336" w:type="dxa"/>
            <w:shd w:val="clear" w:color="auto" w:fill="EEECE1"/>
          </w:tcPr>
          <w:p w:rsidR="00385835" w:rsidRPr="00385835" w:rsidRDefault="00385835" w:rsidP="00385835">
            <w:pPr>
              <w:spacing w:after="0" w:line="240" w:lineRule="auto"/>
              <w:jc w:val="both"/>
              <w:rPr>
                <w:rFonts w:ascii="Times New Roman" w:hAnsi="Times New Roman"/>
                <w:b/>
                <w:sz w:val="24"/>
                <w:szCs w:val="24"/>
              </w:rPr>
            </w:pPr>
            <w:r w:rsidRPr="00385835">
              <w:rPr>
                <w:rFonts w:ascii="Times New Roman" w:hAnsi="Times New Roman"/>
                <w:b/>
                <w:sz w:val="24"/>
                <w:szCs w:val="24"/>
              </w:rPr>
              <w:t>IRT produktų ir paslaugų, elektroninės prekybos tobulinimas</w:t>
            </w:r>
            <w:r w:rsidR="00031EF1">
              <w:rPr>
                <w:rFonts w:ascii="Times New Roman" w:hAnsi="Times New Roman"/>
                <w:b/>
                <w:sz w:val="24"/>
                <w:szCs w:val="24"/>
              </w:rPr>
              <w:t xml:space="preserve"> ir IRT paklausos didinimas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FONDAS</w:t>
            </w:r>
          </w:p>
        </w:tc>
        <w:tc>
          <w:tcPr>
            <w:tcW w:w="7336"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Europos regioninės plėtros fondas</w:t>
            </w:r>
          </w:p>
        </w:tc>
      </w:tr>
    </w:tbl>
    <w:p w:rsidR="00385835" w:rsidRPr="00385835" w:rsidRDefault="00385835" w:rsidP="00385835">
      <w:pPr>
        <w:spacing w:after="0"/>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vAlign w:val="center"/>
          </w:tcPr>
          <w:p w:rsidR="00385835" w:rsidRPr="00385835" w:rsidRDefault="00385835" w:rsidP="00385835">
            <w:pPr>
              <w:spacing w:after="0" w:line="240" w:lineRule="auto"/>
              <w:rPr>
                <w:rFonts w:ascii="Times New Roman" w:hAnsi="Times New Roman"/>
                <w:b/>
                <w:sz w:val="24"/>
                <w:szCs w:val="24"/>
              </w:rPr>
            </w:pPr>
            <w:r w:rsidRPr="00385835">
              <w:rPr>
                <w:rFonts w:ascii="Times New Roman" w:hAnsi="Times New Roman"/>
                <w:b/>
                <w:sz w:val="24"/>
                <w:szCs w:val="24"/>
              </w:rPr>
              <w:t>2.2.1. KONKRETUS UŽDAVINYS</w:t>
            </w:r>
          </w:p>
        </w:tc>
        <w:tc>
          <w:tcPr>
            <w:tcW w:w="7336" w:type="dxa"/>
            <w:shd w:val="clear" w:color="auto" w:fill="EEECE1"/>
            <w:vAlign w:val="center"/>
          </w:tcPr>
          <w:p w:rsidR="00385835" w:rsidRPr="00385835" w:rsidRDefault="00385835" w:rsidP="00385835">
            <w:pPr>
              <w:spacing w:after="0" w:line="240" w:lineRule="auto"/>
              <w:jc w:val="both"/>
              <w:rPr>
                <w:rFonts w:ascii="Times New Roman" w:hAnsi="Times New Roman"/>
                <w:b/>
                <w:sz w:val="24"/>
                <w:szCs w:val="24"/>
              </w:rPr>
            </w:pPr>
            <w:r w:rsidRPr="00385835">
              <w:rPr>
                <w:rFonts w:ascii="Times New Roman" w:hAnsi="Times New Roman"/>
                <w:b/>
                <w:sz w:val="24"/>
                <w:szCs w:val="24"/>
              </w:rPr>
              <w:t>Padidinti viešojo sektoriaus informacijos pakartotinį panaudojimą verslo ir visuomenės poreikiams</w:t>
            </w:r>
          </w:p>
        </w:tc>
      </w:tr>
      <w:tr w:rsidR="00385835" w:rsidRPr="00385835" w:rsidTr="00385835">
        <w:tblPrEx>
          <w:shd w:val="clear" w:color="auto" w:fill="auto"/>
        </w:tblPrEx>
        <w:tc>
          <w:tcPr>
            <w:tcW w:w="9746" w:type="dxa"/>
            <w:gridSpan w:val="2"/>
            <w:shd w:val="clear" w:color="auto" w:fill="auto"/>
          </w:tcPr>
          <w:p w:rsidR="00385835" w:rsidRPr="00385835" w:rsidRDefault="00385835" w:rsidP="004A65FA">
            <w:pPr>
              <w:widowControl w:val="0"/>
              <w:tabs>
                <w:tab w:val="left" w:pos="622"/>
              </w:tabs>
              <w:spacing w:after="0" w:line="240" w:lineRule="auto"/>
              <w:ind w:firstLine="624"/>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Pakartotinis viešojo sektoriaus duomenų panaudojimas atveria plačias galimybes kurti naujus verslus ir darbo vietas, naujus veiklos modelius ir produktus. 2013 m. duomenimis, 56 proc. Lietuvos įmonių yra naudojusios iš viešojo sektoriaus institucijų gaunamą informaciją savo komercinei veiklai, tačiau tikėtina, kad tik nedidelė jų dalis naudoja šią viešojo sektoriaus informaciją naujų skaitmeninių paslaugų ir produktų, kurie prisidės prie elektroninės komercijos plėtros, kūrimui. Šis uždavinys skirtas sukurti įrankius, užtikrinančius viešojo sektoriaus informacijos skaidrų, efektyvų ir patogų atvėrimą pakartotiniam pa</w:t>
            </w:r>
            <w:r w:rsidR="00CE063C">
              <w:rPr>
                <w:rFonts w:ascii="Times New Roman" w:eastAsia="AngsanaUPC" w:hAnsi="Times New Roman"/>
                <w:bCs/>
                <w:sz w:val="24"/>
                <w:szCs w:val="24"/>
                <w:lang w:eastAsia="lt-LT"/>
              </w:rPr>
              <w:t xml:space="preserve">naudojimui ir skatinti verslą, </w:t>
            </w:r>
            <w:r w:rsidRPr="00385835">
              <w:rPr>
                <w:rFonts w:ascii="Times New Roman" w:eastAsia="AngsanaUPC" w:hAnsi="Times New Roman"/>
                <w:bCs/>
                <w:sz w:val="24"/>
                <w:szCs w:val="24"/>
                <w:lang w:eastAsia="lt-LT"/>
              </w:rPr>
              <w:t xml:space="preserve"> taip pat ir kitas suinteresuotas šalis, šią informaciją aktyviai panaudoti</w:t>
            </w:r>
            <w:r w:rsidR="00CE063C">
              <w:rPr>
                <w:rFonts w:ascii="Times New Roman" w:eastAsia="AngsanaUPC" w:hAnsi="Times New Roman"/>
                <w:bCs/>
                <w:sz w:val="24"/>
                <w:szCs w:val="24"/>
                <w:lang w:eastAsia="lt-LT"/>
              </w:rPr>
              <w:t>,</w:t>
            </w:r>
            <w:r w:rsidRPr="00385835">
              <w:rPr>
                <w:rFonts w:ascii="Times New Roman" w:eastAsia="AngsanaUPC" w:hAnsi="Times New Roman"/>
                <w:bCs/>
                <w:sz w:val="24"/>
                <w:szCs w:val="24"/>
                <w:lang w:eastAsia="lt-LT"/>
              </w:rPr>
              <w:t xml:space="preserve"> kuriant ir teikiant naujas skaitmenines paslaugas ir produktus. Tokiu būdu šis uždavinys prisid</w:t>
            </w:r>
            <w:r w:rsidR="004A65FA">
              <w:rPr>
                <w:rFonts w:ascii="Times New Roman" w:eastAsia="AngsanaUPC" w:hAnsi="Times New Roman"/>
                <w:bCs/>
                <w:sz w:val="24"/>
                <w:szCs w:val="24"/>
                <w:lang w:eastAsia="lt-LT"/>
              </w:rPr>
              <w:t xml:space="preserve">ės prie naujų verslo galimybių, įskaitant – </w:t>
            </w:r>
            <w:r w:rsidRPr="00385835">
              <w:rPr>
                <w:rFonts w:ascii="Times New Roman" w:eastAsia="AngsanaUPC" w:hAnsi="Times New Roman"/>
                <w:bCs/>
                <w:sz w:val="24"/>
                <w:szCs w:val="24"/>
                <w:lang w:eastAsia="lt-LT"/>
              </w:rPr>
              <w:t>elektroninės komercijos</w:t>
            </w:r>
            <w:r w:rsidR="005D7C30">
              <w:rPr>
                <w:rFonts w:ascii="Times New Roman" w:eastAsia="AngsanaUPC" w:hAnsi="Times New Roman"/>
                <w:bCs/>
                <w:sz w:val="24"/>
                <w:szCs w:val="24"/>
                <w:lang w:eastAsia="lt-LT"/>
              </w:rPr>
              <w:t>,</w:t>
            </w:r>
            <w:r w:rsidRPr="00385835">
              <w:rPr>
                <w:rFonts w:ascii="Times New Roman" w:eastAsia="AngsanaUPC" w:hAnsi="Times New Roman"/>
                <w:bCs/>
                <w:sz w:val="24"/>
                <w:szCs w:val="24"/>
                <w:lang w:eastAsia="lt-LT"/>
              </w:rPr>
              <w:t xml:space="preserve"> plėtros.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536"/>
        <w:gridCol w:w="1732"/>
        <w:gridCol w:w="1134"/>
        <w:gridCol w:w="1134"/>
        <w:gridCol w:w="851"/>
        <w:gridCol w:w="992"/>
        <w:gridCol w:w="851"/>
        <w:gridCol w:w="1275"/>
        <w:gridCol w:w="1241"/>
      </w:tblGrid>
      <w:tr w:rsidR="00385835" w:rsidRPr="00385835" w:rsidTr="00385835">
        <w:tc>
          <w:tcPr>
            <w:tcW w:w="9746" w:type="dxa"/>
            <w:gridSpan w:val="9"/>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i/>
                <w:iCs/>
                <w:sz w:val="24"/>
                <w:szCs w:val="24"/>
                <w:lang w:eastAsia="lt-LT"/>
              </w:rPr>
            </w:pPr>
            <w:r w:rsidRPr="00385835">
              <w:rPr>
                <w:rFonts w:ascii="Times New Roman" w:eastAsia="AngsanaUPC" w:hAnsi="Times New Roman"/>
                <w:b/>
                <w:bCs/>
                <w:i/>
                <w:iCs/>
                <w:sz w:val="24"/>
                <w:szCs w:val="24"/>
                <w:lang w:eastAsia="lt-LT"/>
              </w:rPr>
              <w:t xml:space="preserve">ERPF </w:t>
            </w:r>
            <w:r w:rsidR="00DA04FC">
              <w:rPr>
                <w:rFonts w:ascii="Times New Roman" w:eastAsia="AngsanaUPC" w:hAnsi="Times New Roman"/>
                <w:b/>
                <w:bCs/>
                <w:i/>
                <w:iCs/>
                <w:sz w:val="24"/>
                <w:szCs w:val="24"/>
                <w:lang w:eastAsia="lt-LT"/>
              </w:rPr>
              <w:t>specialieji</w:t>
            </w:r>
            <w:r w:rsidR="00DA04FC" w:rsidRPr="00385835">
              <w:rPr>
                <w:rFonts w:ascii="Times New Roman" w:eastAsia="AngsanaUPC" w:hAnsi="Times New Roman"/>
                <w:b/>
                <w:bCs/>
                <w:i/>
                <w:iCs/>
                <w:sz w:val="24"/>
                <w:szCs w:val="24"/>
                <w:lang w:eastAsia="lt-LT"/>
              </w:rPr>
              <w:t xml:space="preserve"> </w:t>
            </w:r>
            <w:r w:rsidRPr="00385835">
              <w:rPr>
                <w:rFonts w:ascii="Times New Roman" w:eastAsia="AngsanaUPC" w:hAnsi="Times New Roman"/>
                <w:b/>
                <w:bCs/>
                <w:i/>
                <w:iCs/>
                <w:sz w:val="24"/>
                <w:szCs w:val="24"/>
                <w:lang w:eastAsia="lt-LT"/>
              </w:rPr>
              <w:t>programos rezultato rodikliai</w:t>
            </w:r>
          </w:p>
        </w:tc>
      </w:tr>
      <w:tr w:rsidR="00385835" w:rsidRPr="00385835" w:rsidTr="005E52CE">
        <w:tblPrEx>
          <w:shd w:val="clear" w:color="auto" w:fill="auto"/>
        </w:tblPrEx>
        <w:trPr>
          <w:cantSplit/>
          <w:trHeight w:val="721"/>
        </w:trPr>
        <w:tc>
          <w:tcPr>
            <w:tcW w:w="536"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Nr.</w:t>
            </w:r>
          </w:p>
        </w:tc>
        <w:tc>
          <w:tcPr>
            <w:tcW w:w="1732"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Rodiklio pavadinimas</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Matavimo vienetas</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Regiono kategorija</w:t>
            </w:r>
          </w:p>
        </w:tc>
        <w:tc>
          <w:tcPr>
            <w:tcW w:w="85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 reikšmė</w:t>
            </w:r>
          </w:p>
        </w:tc>
        <w:tc>
          <w:tcPr>
            <w:tcW w:w="992"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Pradinės reikšmės metai</w:t>
            </w:r>
          </w:p>
        </w:tc>
        <w:tc>
          <w:tcPr>
            <w:tcW w:w="85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Siektina reikšmė (2023)</w:t>
            </w:r>
          </w:p>
        </w:tc>
        <w:tc>
          <w:tcPr>
            <w:tcW w:w="1275"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Duomenų šaltinis</w:t>
            </w:r>
          </w:p>
        </w:tc>
        <w:tc>
          <w:tcPr>
            <w:tcW w:w="124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Atsiskaitymo dažnumas</w:t>
            </w:r>
          </w:p>
        </w:tc>
      </w:tr>
      <w:tr w:rsidR="00385835" w:rsidRPr="00385835" w:rsidTr="005E52CE">
        <w:tblPrEx>
          <w:shd w:val="clear" w:color="auto" w:fill="auto"/>
        </w:tblPrEx>
        <w:tc>
          <w:tcPr>
            <w:tcW w:w="536"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w:t>
            </w:r>
          </w:p>
        </w:tc>
        <w:tc>
          <w:tcPr>
            <w:tcW w:w="1732" w:type="dxa"/>
            <w:shd w:val="clear" w:color="auto" w:fill="auto"/>
            <w:vAlign w:val="center"/>
          </w:tcPr>
          <w:p w:rsidR="00385835" w:rsidRPr="00385835" w:rsidRDefault="00385835" w:rsidP="00385835">
            <w:pPr>
              <w:widowControl w:val="0"/>
              <w:tabs>
                <w:tab w:val="left" w:pos="622"/>
              </w:tabs>
              <w:spacing w:after="0" w:line="240" w:lineRule="auto"/>
              <w:rPr>
                <w:rFonts w:ascii="Times New Roman" w:eastAsia="AngsanaUPC" w:hAnsi="Times New Roman"/>
                <w:bCs/>
                <w:sz w:val="18"/>
                <w:szCs w:val="18"/>
                <w:lang w:eastAsia="lt-LT"/>
              </w:rPr>
            </w:pPr>
            <w:r w:rsidRPr="00385835">
              <w:rPr>
                <w:rFonts w:ascii="Times New Roman" w:eastAsia="AngsanaUPC" w:hAnsi="Times New Roman"/>
                <w:bCs/>
                <w:sz w:val="18"/>
                <w:szCs w:val="18"/>
                <w:lang w:eastAsia="lt-LT"/>
              </w:rPr>
              <w:t>Įmonių, kurios panaudoja viešojo sektoriaus informaciją savo komercinei veiklai, dalis</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18"/>
                <w:szCs w:val="18"/>
                <w:lang w:eastAsia="lt-LT"/>
              </w:rPr>
            </w:pPr>
            <w:r w:rsidRPr="00385835">
              <w:rPr>
                <w:rFonts w:ascii="Times New Roman" w:eastAsia="AngsanaUPC" w:hAnsi="Times New Roman"/>
                <w:bCs/>
                <w:sz w:val="18"/>
                <w:szCs w:val="18"/>
                <w:lang w:eastAsia="lt-LT"/>
              </w:rPr>
              <w:t>Proc.</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18"/>
                <w:szCs w:val="18"/>
                <w:lang w:eastAsia="lt-LT"/>
              </w:rPr>
            </w:pPr>
            <w:r w:rsidRPr="00385835">
              <w:rPr>
                <w:rFonts w:ascii="Times New Roman" w:eastAsia="AngsanaUPC" w:hAnsi="Times New Roman"/>
                <w:bCs/>
                <w:sz w:val="18"/>
                <w:szCs w:val="18"/>
                <w:lang w:eastAsia="lt-LT"/>
              </w:rPr>
              <w:t>Mažiau išsivystęs</w:t>
            </w:r>
          </w:p>
        </w:tc>
        <w:tc>
          <w:tcPr>
            <w:tcW w:w="85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56,1</w:t>
            </w:r>
          </w:p>
        </w:tc>
        <w:tc>
          <w:tcPr>
            <w:tcW w:w="992"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2012</w:t>
            </w:r>
          </w:p>
        </w:tc>
        <w:tc>
          <w:tcPr>
            <w:tcW w:w="85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85</w:t>
            </w:r>
          </w:p>
        </w:tc>
        <w:tc>
          <w:tcPr>
            <w:tcW w:w="1275"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Lietuvos statistikos departamentas</w:t>
            </w:r>
          </w:p>
        </w:tc>
        <w:tc>
          <w:tcPr>
            <w:tcW w:w="124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i/>
          <w:i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vAlign w:val="center"/>
          </w:tcPr>
          <w:p w:rsidR="00385835" w:rsidRPr="00385835" w:rsidRDefault="00385835" w:rsidP="00385835">
            <w:pPr>
              <w:spacing w:after="0" w:line="240" w:lineRule="auto"/>
              <w:rPr>
                <w:rFonts w:ascii="Times New Roman" w:hAnsi="Times New Roman"/>
                <w:b/>
                <w:sz w:val="24"/>
                <w:szCs w:val="24"/>
              </w:rPr>
            </w:pPr>
            <w:r w:rsidRPr="00385835">
              <w:rPr>
                <w:rFonts w:ascii="Times New Roman" w:hAnsi="Times New Roman"/>
                <w:b/>
                <w:sz w:val="24"/>
                <w:szCs w:val="24"/>
              </w:rPr>
              <w:t>2.2.2. KONKRETUS UŽDAVINYS</w:t>
            </w:r>
          </w:p>
        </w:tc>
        <w:tc>
          <w:tcPr>
            <w:tcW w:w="7336" w:type="dxa"/>
            <w:shd w:val="clear" w:color="auto" w:fill="EEECE1"/>
            <w:vAlign w:val="center"/>
          </w:tcPr>
          <w:p w:rsidR="00385835" w:rsidRPr="00385835" w:rsidRDefault="00385835" w:rsidP="00385835">
            <w:pPr>
              <w:spacing w:after="0" w:line="240" w:lineRule="auto"/>
              <w:jc w:val="both"/>
              <w:rPr>
                <w:rFonts w:ascii="Times New Roman" w:hAnsi="Times New Roman"/>
                <w:b/>
                <w:sz w:val="24"/>
                <w:szCs w:val="24"/>
              </w:rPr>
            </w:pPr>
            <w:r w:rsidRPr="00385835">
              <w:rPr>
                <w:rFonts w:ascii="Times New Roman" w:eastAsia="AngsanaUPC" w:hAnsi="Times New Roman"/>
                <w:b/>
                <w:bCs/>
                <w:sz w:val="24"/>
                <w:szCs w:val="24"/>
                <w:lang w:eastAsia="lt-LT"/>
              </w:rPr>
              <w:t xml:space="preserve">Padidinti IRT paklausą ir naudojimą </w:t>
            </w:r>
            <w:proofErr w:type="gramStart"/>
            <w:r w:rsidRPr="00385835">
              <w:rPr>
                <w:rFonts w:ascii="Times New Roman" w:eastAsia="AngsanaUPC" w:hAnsi="Times New Roman"/>
                <w:b/>
                <w:bCs/>
                <w:sz w:val="24"/>
                <w:szCs w:val="24"/>
                <w:lang w:eastAsia="lt-LT"/>
              </w:rPr>
              <w:t>gyventojų tarpe</w:t>
            </w:r>
            <w:proofErr w:type="gramEnd"/>
          </w:p>
        </w:tc>
      </w:tr>
      <w:tr w:rsidR="00385835" w:rsidRPr="00385835" w:rsidTr="00385835">
        <w:trPr>
          <w:trHeight w:val="274"/>
        </w:trPr>
        <w:tc>
          <w:tcPr>
            <w:tcW w:w="9746" w:type="dxa"/>
            <w:gridSpan w:val="2"/>
            <w:shd w:val="clear" w:color="auto" w:fill="auto"/>
          </w:tcPr>
          <w:p w:rsidR="00385835" w:rsidRPr="00385835" w:rsidRDefault="00385835" w:rsidP="00385835">
            <w:pPr>
              <w:widowControl w:val="0"/>
              <w:tabs>
                <w:tab w:val="left" w:pos="622"/>
              </w:tabs>
              <w:spacing w:after="0" w:line="240" w:lineRule="auto"/>
              <w:ind w:firstLine="624"/>
              <w:jc w:val="both"/>
              <w:rPr>
                <w:rFonts w:ascii="Times New Roman" w:hAnsi="Times New Roman"/>
                <w:sz w:val="24"/>
                <w:szCs w:val="24"/>
              </w:rPr>
            </w:pPr>
            <w:r w:rsidRPr="00385835">
              <w:rPr>
                <w:rFonts w:ascii="Times New Roman" w:hAnsi="Times New Roman"/>
                <w:sz w:val="24"/>
                <w:szCs w:val="24"/>
              </w:rPr>
              <w:t xml:space="preserve">Būtina prielaida, siekiant IRT produktų ir paslaugų pasiūlos augimo, yra tinkama jų paklausa. Šiuo metu </w:t>
            </w:r>
            <w:r w:rsidR="00ED0C77">
              <w:rPr>
                <w:rFonts w:ascii="Times New Roman" w:hAnsi="Times New Roman"/>
                <w:sz w:val="24"/>
                <w:szCs w:val="24"/>
              </w:rPr>
              <w:t>didelė</w:t>
            </w:r>
            <w:r w:rsidRPr="00385835">
              <w:rPr>
                <w:rFonts w:ascii="Times New Roman" w:hAnsi="Times New Roman"/>
                <w:sz w:val="24"/>
                <w:szCs w:val="24"/>
              </w:rPr>
              <w:t xml:space="preserve"> Lietuvos gyventojų dalis – apie 30 proc. – vis dar nesinaudoja internetu ir per jį pasiekiamomis e. paslaugomis bei e. produktais, arba daro tai labai ribotai. </w:t>
            </w:r>
          </w:p>
          <w:p w:rsidR="00385835" w:rsidRPr="00385835" w:rsidRDefault="00385835" w:rsidP="00385835">
            <w:pPr>
              <w:widowControl w:val="0"/>
              <w:tabs>
                <w:tab w:val="left" w:pos="622"/>
              </w:tabs>
              <w:spacing w:after="0" w:line="240" w:lineRule="auto"/>
              <w:ind w:firstLine="624"/>
              <w:jc w:val="both"/>
              <w:rPr>
                <w:rFonts w:ascii="Times New Roman" w:eastAsia="AngsanaUPC" w:hAnsi="Times New Roman"/>
                <w:bCs/>
                <w:sz w:val="24"/>
                <w:szCs w:val="24"/>
                <w:lang w:eastAsia="lt-LT"/>
              </w:rPr>
            </w:pPr>
            <w:r w:rsidRPr="00385835">
              <w:rPr>
                <w:rFonts w:ascii="Times New Roman" w:hAnsi="Times New Roman"/>
                <w:sz w:val="24"/>
                <w:szCs w:val="24"/>
              </w:rPr>
              <w:t>S</w:t>
            </w:r>
            <w:r w:rsidRPr="00385835">
              <w:rPr>
                <w:rFonts w:ascii="Times New Roman" w:eastAsia="AngsanaUPC" w:hAnsi="Times New Roman"/>
                <w:bCs/>
                <w:sz w:val="24"/>
                <w:szCs w:val="24"/>
                <w:lang w:eastAsia="lt-LT"/>
              </w:rPr>
              <w:t xml:space="preserve">iekiant paskatinti šios gyventojų dalies naudojimąsi internetu, svarbu užtikrinti galimybę jį išmėginti ir pradėti juo naudotis, be poreikio pirma investuoti į atitinkamą įrangą ir paslaugas. </w:t>
            </w:r>
          </w:p>
          <w:p w:rsidR="00385835" w:rsidRPr="00385835" w:rsidRDefault="00385835" w:rsidP="00385835">
            <w:pPr>
              <w:widowControl w:val="0"/>
              <w:tabs>
                <w:tab w:val="left" w:pos="622"/>
              </w:tabs>
              <w:spacing w:after="0" w:line="240" w:lineRule="auto"/>
              <w:ind w:firstLine="624"/>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 xml:space="preserve">Įgyvendinant šį uždavinį numatoma integruotai plėtoti IRT paklausos skatinimo </w:t>
            </w:r>
            <w:proofErr w:type="gramStart"/>
            <w:r w:rsidRPr="00385835">
              <w:rPr>
                <w:rFonts w:ascii="Times New Roman" w:eastAsia="AngsanaUPC" w:hAnsi="Times New Roman"/>
                <w:bCs/>
                <w:sz w:val="24"/>
                <w:szCs w:val="24"/>
                <w:lang w:eastAsia="lt-LT"/>
              </w:rPr>
              <w:t>gyventojų tarpe</w:t>
            </w:r>
            <w:proofErr w:type="gramEnd"/>
            <w:r w:rsidRPr="00385835">
              <w:rPr>
                <w:rFonts w:ascii="Times New Roman" w:eastAsia="AngsanaUPC" w:hAnsi="Times New Roman"/>
                <w:bCs/>
                <w:sz w:val="24"/>
                <w:szCs w:val="24"/>
                <w:lang w:eastAsia="lt-LT"/>
              </w:rPr>
              <w:t xml:space="preserve"> veiklas, derinant viešosios interneto prieigos infrastruktūros atnaujinimo ir gyventojų skatinimo išmaniai naudotis internetu veiklas. </w:t>
            </w:r>
          </w:p>
          <w:p w:rsidR="00385835" w:rsidRPr="00385835" w:rsidRDefault="00817DF6" w:rsidP="00385835">
            <w:pPr>
              <w:widowControl w:val="0"/>
              <w:tabs>
                <w:tab w:val="left" w:pos="622"/>
              </w:tabs>
              <w:spacing w:after="0" w:line="240" w:lineRule="auto"/>
              <w:ind w:firstLine="624"/>
              <w:jc w:val="both"/>
              <w:rPr>
                <w:rFonts w:ascii="Times New Roman" w:eastAsia="AngsanaUPC" w:hAnsi="Times New Roman"/>
                <w:bCs/>
                <w:sz w:val="24"/>
                <w:szCs w:val="24"/>
                <w:lang w:eastAsia="lt-LT"/>
              </w:rPr>
            </w:pPr>
            <w:r>
              <w:rPr>
                <w:rFonts w:ascii="Times New Roman" w:eastAsia="AngsanaUPC" w:hAnsi="Times New Roman"/>
                <w:bCs/>
                <w:sz w:val="24"/>
                <w:szCs w:val="24"/>
                <w:lang w:eastAsia="lt-LT"/>
              </w:rPr>
              <w:t xml:space="preserve">Uždavinys skirtas: </w:t>
            </w:r>
            <w:r w:rsidR="00385835" w:rsidRPr="00385835">
              <w:rPr>
                <w:rFonts w:ascii="Times New Roman" w:eastAsia="AngsanaUPC" w:hAnsi="Times New Roman"/>
                <w:bCs/>
                <w:sz w:val="24"/>
                <w:szCs w:val="24"/>
                <w:lang w:eastAsia="lt-LT"/>
              </w:rPr>
              <w:t>1) užtikrinti viešą ir nemokamą prieigą gyventojams viešosiose šalies bibliotekose (kurios tarnauja tiek kaip viešos interneto prieigos, tiek kaip gyventojų skaitmeninių kompetencijų didinimo erdvės) ir 2) paskatinti gyventojus efektyviau, saugiau ir atsakingiau naudotis internetu, į šias veiklas aktyviai įtraukiant vietos bendruomenes, t.y. sukuriant aktyvų savipagalbos ir bendradarbiavimo principu paremtą bendruomenių tinklą ir priemones e. turinio, didinančio Lietuvos gyventojų naudojimąsi elektronine prekyba, viešosiomis e. paslaugomis ir kt., pateikimui.</w:t>
            </w:r>
          </w:p>
        </w:tc>
      </w:tr>
    </w:tbl>
    <w:p w:rsidR="00FF08C5" w:rsidRPr="00385835" w:rsidRDefault="00FF08C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536"/>
        <w:gridCol w:w="1449"/>
        <w:gridCol w:w="1134"/>
        <w:gridCol w:w="1134"/>
        <w:gridCol w:w="850"/>
        <w:gridCol w:w="993"/>
        <w:gridCol w:w="1134"/>
        <w:gridCol w:w="1279"/>
        <w:gridCol w:w="1237"/>
      </w:tblGrid>
      <w:tr w:rsidR="00385835" w:rsidRPr="00385835" w:rsidTr="00385835">
        <w:tc>
          <w:tcPr>
            <w:tcW w:w="9746" w:type="dxa"/>
            <w:gridSpan w:val="9"/>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i/>
                <w:iCs/>
                <w:sz w:val="24"/>
                <w:szCs w:val="24"/>
                <w:lang w:eastAsia="lt-LT"/>
              </w:rPr>
            </w:pPr>
            <w:r w:rsidRPr="00385835">
              <w:rPr>
                <w:rFonts w:ascii="Times New Roman" w:eastAsia="AngsanaUPC" w:hAnsi="Times New Roman"/>
                <w:b/>
                <w:bCs/>
                <w:i/>
                <w:iCs/>
                <w:sz w:val="24"/>
                <w:szCs w:val="24"/>
                <w:lang w:eastAsia="lt-LT"/>
              </w:rPr>
              <w:t xml:space="preserve">ERPF </w:t>
            </w:r>
            <w:r w:rsidR="00DA04FC">
              <w:rPr>
                <w:rFonts w:ascii="Times New Roman" w:eastAsia="AngsanaUPC" w:hAnsi="Times New Roman"/>
                <w:b/>
                <w:bCs/>
                <w:i/>
                <w:iCs/>
                <w:sz w:val="24"/>
                <w:szCs w:val="24"/>
                <w:lang w:eastAsia="lt-LT"/>
              </w:rPr>
              <w:t>specialieji</w:t>
            </w:r>
            <w:r w:rsidR="00DA04FC" w:rsidRPr="00385835">
              <w:rPr>
                <w:rFonts w:ascii="Times New Roman" w:eastAsia="AngsanaUPC" w:hAnsi="Times New Roman"/>
                <w:b/>
                <w:bCs/>
                <w:i/>
                <w:iCs/>
                <w:sz w:val="24"/>
                <w:szCs w:val="24"/>
                <w:lang w:eastAsia="lt-LT"/>
              </w:rPr>
              <w:t xml:space="preserve"> </w:t>
            </w:r>
            <w:r w:rsidRPr="00385835">
              <w:rPr>
                <w:rFonts w:ascii="Times New Roman" w:eastAsia="AngsanaUPC" w:hAnsi="Times New Roman"/>
                <w:b/>
                <w:bCs/>
                <w:i/>
                <w:iCs/>
                <w:sz w:val="24"/>
                <w:szCs w:val="24"/>
                <w:lang w:eastAsia="lt-LT"/>
              </w:rPr>
              <w:t>programos rezultato rodikliai</w:t>
            </w:r>
          </w:p>
        </w:tc>
      </w:tr>
      <w:tr w:rsidR="00385835" w:rsidRPr="00385835" w:rsidTr="00385835">
        <w:tblPrEx>
          <w:shd w:val="clear" w:color="auto" w:fill="auto"/>
        </w:tblPrEx>
        <w:trPr>
          <w:cantSplit/>
          <w:trHeight w:val="794"/>
        </w:trPr>
        <w:tc>
          <w:tcPr>
            <w:tcW w:w="536"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Nr.</w:t>
            </w:r>
          </w:p>
        </w:tc>
        <w:tc>
          <w:tcPr>
            <w:tcW w:w="1449"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Rodiklio pavadinimas</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Matavimo vienetas</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Regiono kategorija</w:t>
            </w:r>
          </w:p>
        </w:tc>
        <w:tc>
          <w:tcPr>
            <w:tcW w:w="850"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 reikšmė</w:t>
            </w:r>
          </w:p>
        </w:tc>
        <w:tc>
          <w:tcPr>
            <w:tcW w:w="993"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Pradinės reikšmės metai</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Siektina reikšmė (2023)</w:t>
            </w:r>
          </w:p>
        </w:tc>
        <w:tc>
          <w:tcPr>
            <w:tcW w:w="1279"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Duomenų šaltinis</w:t>
            </w:r>
          </w:p>
        </w:tc>
        <w:tc>
          <w:tcPr>
            <w:tcW w:w="1237"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Atsiskaitymo dažnumas</w:t>
            </w:r>
          </w:p>
        </w:tc>
      </w:tr>
      <w:tr w:rsidR="00385835" w:rsidRPr="00385835" w:rsidTr="00385835">
        <w:tblPrEx>
          <w:shd w:val="clear" w:color="auto" w:fill="auto"/>
        </w:tblPrEx>
        <w:tc>
          <w:tcPr>
            <w:tcW w:w="536"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w:t>
            </w:r>
          </w:p>
        </w:tc>
        <w:tc>
          <w:tcPr>
            <w:tcW w:w="1449" w:type="dxa"/>
            <w:shd w:val="clear" w:color="auto" w:fill="auto"/>
            <w:vAlign w:val="center"/>
          </w:tcPr>
          <w:p w:rsidR="00385835" w:rsidRPr="00385835" w:rsidRDefault="00385835" w:rsidP="00385835">
            <w:pPr>
              <w:widowControl w:val="0"/>
              <w:tabs>
                <w:tab w:val="left" w:pos="622"/>
              </w:tabs>
              <w:spacing w:after="0" w:line="240" w:lineRule="auto"/>
              <w:rPr>
                <w:rFonts w:ascii="Times New Roman" w:eastAsia="AngsanaUPC" w:hAnsi="Times New Roman"/>
                <w:bCs/>
                <w:sz w:val="18"/>
                <w:szCs w:val="18"/>
                <w:lang w:eastAsia="lt-LT"/>
              </w:rPr>
            </w:pPr>
            <w:r w:rsidRPr="00385835">
              <w:rPr>
                <w:rFonts w:ascii="Times New Roman" w:eastAsia="AngsanaUPC" w:hAnsi="Times New Roman"/>
                <w:bCs/>
                <w:sz w:val="18"/>
                <w:szCs w:val="18"/>
                <w:lang w:eastAsia="lt-LT"/>
              </w:rPr>
              <w:t>Gyventojų, kurie nuolat naudojasi internetu, dalis</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18"/>
                <w:szCs w:val="18"/>
                <w:lang w:eastAsia="lt-LT"/>
              </w:rPr>
            </w:pPr>
            <w:r w:rsidRPr="00385835">
              <w:rPr>
                <w:rFonts w:ascii="Times New Roman" w:eastAsia="AngsanaUPC" w:hAnsi="Times New Roman"/>
                <w:bCs/>
                <w:sz w:val="18"/>
                <w:szCs w:val="18"/>
                <w:lang w:eastAsia="lt-LT"/>
              </w:rPr>
              <w:t>Proc.</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18"/>
                <w:szCs w:val="18"/>
                <w:lang w:eastAsia="lt-LT"/>
              </w:rPr>
            </w:pPr>
            <w:r w:rsidRPr="00385835">
              <w:rPr>
                <w:rFonts w:ascii="Times New Roman" w:eastAsia="AngsanaUPC" w:hAnsi="Times New Roman"/>
                <w:bCs/>
                <w:sz w:val="18"/>
                <w:szCs w:val="18"/>
                <w:lang w:eastAsia="lt-LT"/>
              </w:rPr>
              <w:t>Mažiau išsivystęs</w:t>
            </w:r>
          </w:p>
        </w:tc>
        <w:tc>
          <w:tcPr>
            <w:tcW w:w="850"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65</w:t>
            </w:r>
          </w:p>
        </w:tc>
        <w:tc>
          <w:tcPr>
            <w:tcW w:w="993"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2012</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val="en-US" w:eastAsia="lt-LT"/>
              </w:rPr>
            </w:pPr>
            <w:r w:rsidRPr="00385835">
              <w:rPr>
                <w:rFonts w:ascii="Times New Roman" w:eastAsia="AngsanaUPC" w:hAnsi="Times New Roman"/>
                <w:bCs/>
                <w:iCs/>
                <w:sz w:val="18"/>
                <w:szCs w:val="18"/>
                <w:lang w:val="en-US" w:eastAsia="lt-LT"/>
              </w:rPr>
              <w:t>87</w:t>
            </w:r>
          </w:p>
        </w:tc>
        <w:tc>
          <w:tcPr>
            <w:tcW w:w="1279"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Lietuvos statistikos departamentas</w:t>
            </w:r>
          </w:p>
        </w:tc>
        <w:tc>
          <w:tcPr>
            <w:tcW w:w="123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i/>
          <w:i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385835" w:rsidRPr="00385835" w:rsidTr="00385835">
        <w:tc>
          <w:tcPr>
            <w:tcW w:w="9746" w:type="dxa"/>
            <w:tcBorders>
              <w:top w:val="single" w:sz="4" w:space="0" w:color="auto"/>
              <w:left w:val="single" w:sz="4" w:space="0" w:color="auto"/>
              <w:bottom w:val="single" w:sz="4" w:space="0" w:color="auto"/>
              <w:right w:val="single" w:sz="4" w:space="0" w:color="auto"/>
            </w:tcBorders>
            <w:shd w:val="clear" w:color="auto" w:fill="EEECE1"/>
          </w:tcPr>
          <w:p w:rsidR="00385835" w:rsidRPr="00385835" w:rsidRDefault="00385835" w:rsidP="00385835">
            <w:pPr>
              <w:widowControl w:val="0"/>
              <w:tabs>
                <w:tab w:val="left" w:pos="622"/>
                <w:tab w:val="left" w:pos="1665"/>
              </w:tabs>
              <w:spacing w:after="0" w:line="240" w:lineRule="auto"/>
              <w:jc w:val="both"/>
              <w:rPr>
                <w:rFonts w:ascii="Times New Roman" w:eastAsia="AngsanaUPC" w:hAnsi="Times New Roman"/>
                <w:bCs/>
                <w:iCs/>
                <w:sz w:val="24"/>
                <w:szCs w:val="24"/>
                <w:lang w:eastAsia="lt-LT"/>
              </w:rPr>
            </w:pPr>
            <w:r w:rsidRPr="00385835">
              <w:rPr>
                <w:rFonts w:ascii="Times New Roman" w:eastAsia="AngsanaUPC" w:hAnsi="Times New Roman"/>
                <w:b/>
                <w:bCs/>
                <w:i/>
                <w:iCs/>
                <w:sz w:val="24"/>
                <w:szCs w:val="24"/>
                <w:lang w:eastAsia="lt-LT"/>
              </w:rPr>
              <w:t>2.2. Investicinio prioriteto įgyvendinimo veiklos</w:t>
            </w:r>
          </w:p>
        </w:tc>
      </w:tr>
      <w:tr w:rsidR="00385835" w:rsidRPr="00385835" w:rsidTr="00385835">
        <w:tc>
          <w:tcPr>
            <w:tcW w:w="9746" w:type="dxa"/>
            <w:shd w:val="clear" w:color="auto" w:fill="auto"/>
          </w:tcPr>
          <w:p w:rsidR="00385835" w:rsidRPr="00385835" w:rsidRDefault="00385835" w:rsidP="00650E41">
            <w:pPr>
              <w:widowControl w:val="0"/>
              <w:numPr>
                <w:ilvl w:val="0"/>
                <w:numId w:val="14"/>
              </w:numPr>
              <w:tabs>
                <w:tab w:val="left" w:pos="459"/>
                <w:tab w:val="left" w:pos="1665"/>
              </w:tabs>
              <w:spacing w:after="0" w:line="240" w:lineRule="auto"/>
              <w:ind w:left="34"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Viešojo sektoriaus informacijos pakartotinio panaudojimo verslui</w:t>
            </w:r>
            <w:r w:rsidR="009F53E9" w:rsidRPr="00385835">
              <w:rPr>
                <w:rFonts w:ascii="Times New Roman" w:eastAsia="AngsanaUPC" w:hAnsi="Times New Roman"/>
                <w:bCs/>
                <w:iCs/>
                <w:sz w:val="24"/>
                <w:szCs w:val="24"/>
                <w:lang w:eastAsia="lt-LT"/>
              </w:rPr>
              <w:t>,</w:t>
            </w:r>
            <w:r w:rsidRPr="00385835">
              <w:rPr>
                <w:rFonts w:ascii="Times New Roman" w:eastAsia="AngsanaUPC" w:hAnsi="Times New Roman"/>
                <w:bCs/>
                <w:iCs/>
                <w:sz w:val="24"/>
                <w:szCs w:val="24"/>
                <w:lang w:eastAsia="lt-LT"/>
              </w:rPr>
              <w:t xml:space="preserve"> kuriant skaitmenines paslaugas ir produktus, sprendimų rėmimas. Užtikrinant teisines ir organizacines prielaidas viešosios informacijos panaudojimui, bus kuriamos priemonės ir remiamos iniciatyvos, orientuotos į viešojo sektoriaus informacijos efektyvų atvėrimą pakartotiniam panaudojimui ir jo panaudojimą, kuriant tiek komercinius, tiek nekomercinius skaitmeninius produktus ir paslaugas.</w:t>
            </w:r>
          </w:p>
          <w:p w:rsidR="00385835" w:rsidRPr="00385835" w:rsidRDefault="00385835" w:rsidP="00650E41">
            <w:pPr>
              <w:widowControl w:val="0"/>
              <w:numPr>
                <w:ilvl w:val="0"/>
                <w:numId w:val="14"/>
              </w:numPr>
              <w:tabs>
                <w:tab w:val="left" w:pos="459"/>
                <w:tab w:val="left" w:pos="1665"/>
              </w:tabs>
              <w:spacing w:after="0" w:line="240" w:lineRule="auto"/>
              <w:ind w:left="34"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Viešųjų prieigos prie interneto taškų šalies viešosiose bibliotekose infrastruktūros atnaujinimas. Šios veiklos bus įgyvendinamos taip, kad būtų užtikrintas investicijų į šią infrastruktūrą finansinis tvarumas po projektų užbaigimo.</w:t>
            </w:r>
          </w:p>
          <w:p w:rsidR="00385835" w:rsidRPr="00385835" w:rsidRDefault="00385835" w:rsidP="00650E41">
            <w:pPr>
              <w:widowControl w:val="0"/>
              <w:numPr>
                <w:ilvl w:val="0"/>
                <w:numId w:val="14"/>
              </w:numPr>
              <w:tabs>
                <w:tab w:val="left" w:pos="459"/>
                <w:tab w:val="left" w:pos="1106"/>
                <w:tab w:val="left" w:pos="1665"/>
              </w:tabs>
              <w:spacing w:after="0" w:line="240" w:lineRule="auto"/>
              <w:ind w:left="34"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 xml:space="preserve">IRT produktų ir paslaugų paklausos Lietuvos </w:t>
            </w:r>
            <w:proofErr w:type="gramStart"/>
            <w:r w:rsidRPr="00385835">
              <w:rPr>
                <w:rFonts w:ascii="Times New Roman" w:eastAsia="AngsanaUPC" w:hAnsi="Times New Roman"/>
                <w:bCs/>
                <w:iCs/>
                <w:sz w:val="24"/>
                <w:szCs w:val="24"/>
                <w:lang w:eastAsia="lt-LT"/>
              </w:rPr>
              <w:t>gyventojų tarpe</w:t>
            </w:r>
            <w:proofErr w:type="gramEnd"/>
            <w:r w:rsidRPr="00385835">
              <w:rPr>
                <w:rFonts w:ascii="Times New Roman" w:eastAsia="AngsanaUPC" w:hAnsi="Times New Roman"/>
                <w:bCs/>
                <w:iCs/>
                <w:sz w:val="24"/>
                <w:szCs w:val="24"/>
                <w:lang w:eastAsia="lt-LT"/>
              </w:rPr>
              <w:t xml:space="preserve"> didinimas. Bus įgyvendinamos iniciatyvos, skatinant Lietuvos gyventojus efektyviai, saugiai ir atsakingai elgtis internete ir visapusiškai įsitraukti į informacinę visuomenę. Bus sudaromos sąlygos Lietuvos gyventojų tikslinėms grupėms, kurios iki šiol dėl įvairių priežasčių nesinaudojo internetu ir kurioms to nereikėjo, tapti </w:t>
            </w:r>
            <w:proofErr w:type="gramStart"/>
            <w:r w:rsidRPr="00385835">
              <w:rPr>
                <w:rFonts w:ascii="Times New Roman" w:eastAsia="AngsanaUPC" w:hAnsi="Times New Roman"/>
                <w:bCs/>
                <w:iCs/>
                <w:sz w:val="24"/>
                <w:szCs w:val="24"/>
                <w:lang w:eastAsia="lt-LT"/>
              </w:rPr>
              <w:t>aktyviais</w:t>
            </w:r>
            <w:proofErr w:type="gramEnd"/>
            <w:r w:rsidRPr="00385835">
              <w:rPr>
                <w:rFonts w:ascii="Times New Roman" w:eastAsia="AngsanaUPC" w:hAnsi="Times New Roman"/>
                <w:bCs/>
                <w:iCs/>
                <w:sz w:val="24"/>
                <w:szCs w:val="24"/>
                <w:lang w:eastAsia="lt-LT"/>
              </w:rPr>
              <w:t xml:space="preserve"> e. turinio ir e. paslaugų naudotojais, o jau naudojantiems internetą žmonėms – aktyviai domėtis naujovėmis, atsakingai valdyti savo asmens duomenis, saugiai ir įvairiapusiškai naudotis internetu. Į šias veiklas numatoma aktyviai įtraukti vietos bendruomenes, skatinant savipagalbą ir bendradarbiavimą.</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555"/>
        <w:gridCol w:w="2847"/>
        <w:gridCol w:w="1134"/>
        <w:gridCol w:w="851"/>
        <w:gridCol w:w="1134"/>
        <w:gridCol w:w="850"/>
        <w:gridCol w:w="1134"/>
        <w:gridCol w:w="1241"/>
      </w:tblGrid>
      <w:tr w:rsidR="00385835" w:rsidRPr="00385835" w:rsidTr="00385835">
        <w:tc>
          <w:tcPr>
            <w:tcW w:w="9746" w:type="dxa"/>
            <w:gridSpan w:val="8"/>
            <w:shd w:val="clear" w:color="auto" w:fill="EEECE1"/>
          </w:tcPr>
          <w:p w:rsidR="00385835" w:rsidRPr="00385835" w:rsidRDefault="00385835" w:rsidP="00DA04FC">
            <w:pPr>
              <w:widowControl w:val="0"/>
              <w:tabs>
                <w:tab w:val="left" w:pos="622"/>
              </w:tabs>
              <w:spacing w:after="0" w:line="240" w:lineRule="auto"/>
              <w:jc w:val="both"/>
              <w:rPr>
                <w:rFonts w:ascii="Times New Roman" w:eastAsia="AngsanaUPC" w:hAnsi="Times New Roman"/>
                <w:b/>
                <w:bCs/>
                <w:i/>
                <w:iCs/>
                <w:sz w:val="24"/>
                <w:szCs w:val="24"/>
                <w:lang w:eastAsia="lt-LT"/>
              </w:rPr>
            </w:pPr>
            <w:r w:rsidRPr="00385835">
              <w:rPr>
                <w:rFonts w:ascii="Times New Roman" w:eastAsia="AngsanaUPC" w:hAnsi="Times New Roman"/>
                <w:b/>
                <w:bCs/>
                <w:i/>
                <w:iCs/>
                <w:sz w:val="24"/>
                <w:szCs w:val="24"/>
                <w:lang w:eastAsia="lt-LT"/>
              </w:rPr>
              <w:t xml:space="preserve">ERPF bendrieji ir </w:t>
            </w:r>
            <w:r w:rsidR="00DA04FC">
              <w:rPr>
                <w:rFonts w:ascii="Times New Roman" w:eastAsia="AngsanaUPC" w:hAnsi="Times New Roman"/>
                <w:b/>
                <w:bCs/>
                <w:i/>
                <w:iCs/>
                <w:sz w:val="24"/>
                <w:szCs w:val="24"/>
                <w:lang w:eastAsia="lt-LT"/>
              </w:rPr>
              <w:t>specialieji programos</w:t>
            </w:r>
            <w:r w:rsidR="00DA04FC" w:rsidRPr="00385835">
              <w:rPr>
                <w:rFonts w:ascii="Times New Roman" w:eastAsia="AngsanaUPC" w:hAnsi="Times New Roman"/>
                <w:b/>
                <w:bCs/>
                <w:i/>
                <w:iCs/>
                <w:sz w:val="24"/>
                <w:szCs w:val="24"/>
                <w:lang w:eastAsia="lt-LT"/>
              </w:rPr>
              <w:t xml:space="preserve"> </w:t>
            </w:r>
            <w:r w:rsidRPr="00385835">
              <w:rPr>
                <w:rFonts w:ascii="Times New Roman" w:eastAsia="AngsanaUPC" w:hAnsi="Times New Roman"/>
                <w:b/>
                <w:bCs/>
                <w:i/>
                <w:iCs/>
                <w:sz w:val="24"/>
                <w:szCs w:val="24"/>
                <w:lang w:eastAsia="lt-LT"/>
              </w:rPr>
              <w:t xml:space="preserve">produkto rodikliai </w:t>
            </w:r>
          </w:p>
        </w:tc>
      </w:tr>
      <w:tr w:rsidR="00385835" w:rsidRPr="00385835" w:rsidTr="00385835">
        <w:tblPrEx>
          <w:shd w:val="clear" w:color="auto" w:fill="auto"/>
        </w:tblPrEx>
        <w:tc>
          <w:tcPr>
            <w:tcW w:w="555"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Nr.</w:t>
            </w:r>
          </w:p>
        </w:tc>
        <w:tc>
          <w:tcPr>
            <w:tcW w:w="2847"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Rodiklio pavadinimas</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Matavimo vienetas</w:t>
            </w:r>
          </w:p>
        </w:tc>
        <w:tc>
          <w:tcPr>
            <w:tcW w:w="85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Fondas</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Regiono kategorija</w:t>
            </w:r>
          </w:p>
        </w:tc>
        <w:tc>
          <w:tcPr>
            <w:tcW w:w="850"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Siektina reikšmė (2023)</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Duomenų šaltinis</w:t>
            </w:r>
          </w:p>
        </w:tc>
        <w:tc>
          <w:tcPr>
            <w:tcW w:w="124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Atsiskaitymo dažnumas</w:t>
            </w:r>
          </w:p>
        </w:tc>
      </w:tr>
      <w:tr w:rsidR="00385835" w:rsidRPr="00385835" w:rsidTr="00385835">
        <w:tblPrEx>
          <w:shd w:val="clear" w:color="auto" w:fill="auto"/>
        </w:tblPrEx>
        <w:tc>
          <w:tcPr>
            <w:tcW w:w="555"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w:t>
            </w:r>
          </w:p>
        </w:tc>
        <w:tc>
          <w:tcPr>
            <w:tcW w:w="2847" w:type="dxa"/>
            <w:shd w:val="clear" w:color="auto" w:fill="auto"/>
            <w:vAlign w:val="center"/>
          </w:tcPr>
          <w:p w:rsidR="00385835" w:rsidRPr="00385835" w:rsidRDefault="00385835" w:rsidP="00385835">
            <w:pPr>
              <w:widowControl w:val="0"/>
              <w:tabs>
                <w:tab w:val="left" w:pos="622"/>
              </w:tabs>
              <w:spacing w:after="0" w:line="240" w:lineRule="auto"/>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Įgyvendinti sprendimai, skirti viešojo sektoriaus informacijos pakartotiniam panaudojimui</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Skaičius</w:t>
            </w:r>
          </w:p>
        </w:tc>
        <w:tc>
          <w:tcPr>
            <w:tcW w:w="85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ERPF</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18"/>
                <w:szCs w:val="18"/>
                <w:lang w:eastAsia="lt-LT"/>
              </w:rPr>
            </w:pPr>
            <w:r w:rsidRPr="00385835">
              <w:rPr>
                <w:rFonts w:ascii="Times New Roman" w:eastAsia="AngsanaUPC" w:hAnsi="Times New Roman"/>
                <w:bCs/>
                <w:sz w:val="18"/>
                <w:szCs w:val="18"/>
                <w:lang w:eastAsia="lt-LT"/>
              </w:rPr>
              <w:t>Mažiau išsivystęs</w:t>
            </w:r>
          </w:p>
        </w:tc>
        <w:tc>
          <w:tcPr>
            <w:tcW w:w="850" w:type="dxa"/>
            <w:shd w:val="clear" w:color="auto" w:fill="auto"/>
            <w:vAlign w:val="center"/>
          </w:tcPr>
          <w:p w:rsidR="00385835" w:rsidRPr="00385835" w:rsidRDefault="005F6EE3"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891769">
              <w:rPr>
                <w:rFonts w:ascii="Times New Roman" w:eastAsia="AngsanaUPC" w:hAnsi="Times New Roman"/>
                <w:bCs/>
                <w:iCs/>
                <w:sz w:val="18"/>
                <w:szCs w:val="18"/>
                <w:lang w:eastAsia="lt-LT"/>
              </w:rPr>
              <w:t>1</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 xml:space="preserve">Duomenys iš projektų </w:t>
            </w:r>
          </w:p>
        </w:tc>
        <w:tc>
          <w:tcPr>
            <w:tcW w:w="124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385835" w:rsidRPr="00385835" w:rsidTr="00385835">
        <w:tblPrEx>
          <w:shd w:val="clear" w:color="auto" w:fill="auto"/>
        </w:tblPrEx>
        <w:tc>
          <w:tcPr>
            <w:tcW w:w="555"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w:t>
            </w:r>
          </w:p>
        </w:tc>
        <w:tc>
          <w:tcPr>
            <w:tcW w:w="2847" w:type="dxa"/>
            <w:shd w:val="clear" w:color="auto" w:fill="auto"/>
            <w:vAlign w:val="center"/>
          </w:tcPr>
          <w:p w:rsidR="00385835" w:rsidRPr="00385835" w:rsidRDefault="00385835" w:rsidP="00385835">
            <w:pPr>
              <w:widowControl w:val="0"/>
              <w:tabs>
                <w:tab w:val="left" w:pos="622"/>
              </w:tabs>
              <w:spacing w:after="0" w:line="240" w:lineRule="auto"/>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Vietos bendruomenės, įtrauktos į veiklų, skirtų gyventojų skatinimui efektyviau, saugiau ir atsakingiau naudotis internetu, tinklą</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Skaičius</w:t>
            </w:r>
          </w:p>
        </w:tc>
        <w:tc>
          <w:tcPr>
            <w:tcW w:w="85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ERPF</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Mažiau išsivystęs</w:t>
            </w:r>
          </w:p>
        </w:tc>
        <w:tc>
          <w:tcPr>
            <w:tcW w:w="850"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120</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Duomenys iš projektų</w:t>
            </w:r>
          </w:p>
        </w:tc>
        <w:tc>
          <w:tcPr>
            <w:tcW w:w="124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i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302"/>
        <w:gridCol w:w="7336"/>
      </w:tblGrid>
      <w:tr w:rsidR="00385835" w:rsidRPr="00385835" w:rsidTr="00385835">
        <w:tc>
          <w:tcPr>
            <w:tcW w:w="2302" w:type="dxa"/>
            <w:shd w:val="clear" w:color="auto" w:fill="EEECE1"/>
            <w:vAlign w:val="center"/>
          </w:tcPr>
          <w:p w:rsidR="00385835" w:rsidRPr="00385835" w:rsidRDefault="00385835" w:rsidP="00385835">
            <w:pPr>
              <w:spacing w:after="0" w:line="240" w:lineRule="auto"/>
              <w:rPr>
                <w:rFonts w:ascii="Times New Roman" w:hAnsi="Times New Roman"/>
                <w:b/>
                <w:sz w:val="24"/>
                <w:szCs w:val="24"/>
              </w:rPr>
            </w:pPr>
            <w:r w:rsidRPr="00385835">
              <w:rPr>
                <w:rFonts w:ascii="Times New Roman" w:hAnsi="Times New Roman"/>
                <w:b/>
                <w:sz w:val="24"/>
                <w:szCs w:val="24"/>
              </w:rPr>
              <w:t>2.3. INVESTICINIS PRIORITETAS</w:t>
            </w:r>
          </w:p>
        </w:tc>
        <w:tc>
          <w:tcPr>
            <w:tcW w:w="7336" w:type="dxa"/>
            <w:shd w:val="clear" w:color="auto" w:fill="EEECE1"/>
          </w:tcPr>
          <w:p w:rsidR="00385835" w:rsidRPr="00385835" w:rsidRDefault="00385835" w:rsidP="00385835">
            <w:pPr>
              <w:spacing w:after="0" w:line="240" w:lineRule="auto"/>
              <w:jc w:val="both"/>
              <w:rPr>
                <w:rFonts w:ascii="Times New Roman" w:hAnsi="Times New Roman"/>
                <w:b/>
                <w:sz w:val="24"/>
                <w:szCs w:val="24"/>
              </w:rPr>
            </w:pPr>
            <w:r w:rsidRPr="00385835">
              <w:rPr>
                <w:rFonts w:ascii="Times New Roman" w:hAnsi="Times New Roman"/>
                <w:b/>
                <w:sz w:val="24"/>
                <w:szCs w:val="24"/>
              </w:rPr>
              <w:t>Taikomųjų IRT e. valdžios, e. mokymosi, e. įtraukties, e. kultūros ir e. sve</w:t>
            </w:r>
            <w:r w:rsidR="00031EF1">
              <w:rPr>
                <w:rFonts w:ascii="Times New Roman" w:hAnsi="Times New Roman"/>
                <w:b/>
                <w:sz w:val="24"/>
                <w:szCs w:val="24"/>
              </w:rPr>
              <w:t>ikatos programų tobulinimas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FONDAS</w:t>
            </w:r>
          </w:p>
        </w:tc>
        <w:tc>
          <w:tcPr>
            <w:tcW w:w="7336"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Europos regioninės plėtros fondas</w:t>
            </w:r>
          </w:p>
        </w:tc>
      </w:tr>
    </w:tbl>
    <w:p w:rsidR="00385835" w:rsidRPr="00385835" w:rsidRDefault="00385835" w:rsidP="00385835">
      <w:pPr>
        <w:spacing w:after="0"/>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vAlign w:val="center"/>
          </w:tcPr>
          <w:p w:rsidR="00385835" w:rsidRPr="00385835" w:rsidRDefault="00385835" w:rsidP="00385835">
            <w:pPr>
              <w:spacing w:after="0" w:line="240" w:lineRule="auto"/>
              <w:rPr>
                <w:rFonts w:ascii="Times New Roman" w:hAnsi="Times New Roman"/>
                <w:b/>
                <w:sz w:val="24"/>
                <w:szCs w:val="24"/>
              </w:rPr>
            </w:pPr>
            <w:r w:rsidRPr="00385835">
              <w:rPr>
                <w:rFonts w:ascii="Times New Roman" w:hAnsi="Times New Roman"/>
                <w:b/>
                <w:sz w:val="24"/>
                <w:szCs w:val="24"/>
              </w:rPr>
              <w:t>2.3.1. KONKRETUS UŽDAVINYS</w:t>
            </w:r>
          </w:p>
        </w:tc>
        <w:tc>
          <w:tcPr>
            <w:tcW w:w="7336" w:type="dxa"/>
            <w:shd w:val="clear" w:color="auto" w:fill="EEECE1"/>
            <w:vAlign w:val="center"/>
          </w:tcPr>
          <w:p w:rsidR="00385835" w:rsidRPr="00385835" w:rsidRDefault="00385835" w:rsidP="00385835">
            <w:pPr>
              <w:spacing w:after="0" w:line="240" w:lineRule="auto"/>
              <w:jc w:val="both"/>
              <w:rPr>
                <w:rFonts w:ascii="Times New Roman" w:hAnsi="Times New Roman"/>
                <w:b/>
                <w:sz w:val="24"/>
                <w:szCs w:val="24"/>
              </w:rPr>
            </w:pPr>
            <w:r w:rsidRPr="00385835">
              <w:rPr>
                <w:rFonts w:ascii="Times New Roman" w:hAnsi="Times New Roman"/>
                <w:b/>
                <w:sz w:val="24"/>
                <w:szCs w:val="24"/>
              </w:rPr>
              <w:t xml:space="preserve">Padidinti elektroninių viešųjų </w:t>
            </w:r>
            <w:proofErr w:type="gramStart"/>
            <w:r w:rsidRPr="00385835">
              <w:rPr>
                <w:rFonts w:ascii="Times New Roman" w:hAnsi="Times New Roman"/>
                <w:b/>
                <w:sz w:val="24"/>
                <w:szCs w:val="24"/>
              </w:rPr>
              <w:t>ir administracinių paslaugų prieinamumą ir kokybę</w:t>
            </w:r>
            <w:proofErr w:type="gramEnd"/>
          </w:p>
        </w:tc>
      </w:tr>
      <w:tr w:rsidR="00385835" w:rsidRPr="00385835" w:rsidTr="00385835">
        <w:tblPrEx>
          <w:shd w:val="clear" w:color="auto" w:fill="auto"/>
        </w:tblPrEx>
        <w:tc>
          <w:tcPr>
            <w:tcW w:w="9746" w:type="dxa"/>
            <w:gridSpan w:val="2"/>
            <w:shd w:val="clear" w:color="auto" w:fill="auto"/>
          </w:tcPr>
          <w:p w:rsidR="00385835" w:rsidRPr="00385835" w:rsidRDefault="00385835" w:rsidP="00031EF1">
            <w:pPr>
              <w:widowControl w:val="0"/>
              <w:spacing w:after="0" w:line="240" w:lineRule="auto"/>
              <w:ind w:firstLine="601"/>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 xml:space="preserve">IRT sprendimų diegimas tokiose įvairiose srityse, kaip administracinių procedūrų tvarkymas, kultūros turinio skaitmeniniams ir sklaida, sveikatos apsauga, mokymasis ir švietimas, intelektualusis transportas, erdviniai duomenys ir kt., yra labai svarbios tiek geresniam atitinkamų veiklos sričių valdymui, tiek naujos kartos, pažangių e. paslaugų, skirtų gyventojams, ir verslui, teikimui. </w:t>
            </w:r>
          </w:p>
          <w:p w:rsidR="00385835" w:rsidRPr="00385835" w:rsidRDefault="00385835" w:rsidP="00113BC9">
            <w:pPr>
              <w:widowControl w:val="0"/>
              <w:spacing w:after="0" w:line="240" w:lineRule="auto"/>
              <w:ind w:firstLine="601"/>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 xml:space="preserve">Įgyvendinant šį uždavinį, numatoma kurti administracines e. paslaugas, kurios bus orientuotos į vartotoją, patogios, sąveikios, kompleksinės; plėtoti e. sveikatos paslaugas ir </w:t>
            </w:r>
            <w:r w:rsidRPr="00385835">
              <w:rPr>
                <w:rFonts w:ascii="Times New Roman" w:eastAsia="AngsanaUPC" w:hAnsi="Times New Roman"/>
                <w:bCs/>
                <w:sz w:val="24"/>
                <w:szCs w:val="24"/>
                <w:lang w:eastAsia="lt-LT"/>
              </w:rPr>
              <w:lastRenderedPageBreak/>
              <w:t>sprendimus, užtikrinant tikslių, išsamių ir sąveikių pacientų e. sveikatos duomenų kaupimą ir saugų bei patikimą keitimąsi jais; kurti e. paslaugas suskaitmenintų lietuvių kalbos, kultūros paveldo objektų, mokslinių tyrimų, švietimo ir meno išteklių pagrindu, siekiant, kad vertingas skaitmeninis turinys būtų atveriamas</w:t>
            </w:r>
            <w:r w:rsidR="009F53E9">
              <w:rPr>
                <w:rFonts w:ascii="Times New Roman" w:eastAsia="AngsanaUPC" w:hAnsi="Times New Roman"/>
                <w:bCs/>
                <w:sz w:val="24"/>
                <w:szCs w:val="24"/>
                <w:lang w:eastAsia="lt-LT"/>
              </w:rPr>
              <w:t>,</w:t>
            </w:r>
            <w:r w:rsidRPr="00385835">
              <w:rPr>
                <w:rFonts w:ascii="Times New Roman" w:eastAsia="AngsanaUPC" w:hAnsi="Times New Roman"/>
                <w:bCs/>
                <w:sz w:val="24"/>
                <w:szCs w:val="24"/>
                <w:lang w:eastAsia="lt-LT"/>
              </w:rPr>
              <w:t xml:space="preserve"> kuo platesniam ir visapusiškesniam visuomenės panaudojimui ir kt. Į elektroninę erdvę perkeliant visuomenei ir verslui reikalingiausias e. paslaugas, bus užtikrinamas viešojo sektoriaus paslaugų, teikiamų įvairiose srityse – administravimo, sveikatos ir socialinės apsaugos, aplinkosaugos, kultūros, kalbos, transporto ar kt. – pasiekiamumas, patogumas ir nauda paslaugų gavėjams. </w:t>
            </w:r>
          </w:p>
          <w:p w:rsidR="00385835" w:rsidRPr="00385835" w:rsidRDefault="00385835" w:rsidP="00031EF1">
            <w:pPr>
              <w:widowControl w:val="0"/>
              <w:spacing w:after="0" w:line="240" w:lineRule="auto"/>
              <w:ind w:firstLine="601"/>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Šio uždavinio įgyvendinimo efektyvumas bus užtikrinamas</w:t>
            </w:r>
            <w:r w:rsidR="00113BC9">
              <w:rPr>
                <w:rFonts w:ascii="Times New Roman" w:eastAsia="AngsanaUPC" w:hAnsi="Times New Roman"/>
                <w:bCs/>
                <w:sz w:val="24"/>
                <w:szCs w:val="24"/>
                <w:lang w:eastAsia="lt-LT"/>
              </w:rPr>
              <w:t>,</w:t>
            </w:r>
            <w:r w:rsidRPr="00385835">
              <w:rPr>
                <w:rFonts w:ascii="Times New Roman" w:eastAsia="AngsanaUPC" w:hAnsi="Times New Roman"/>
                <w:bCs/>
                <w:sz w:val="24"/>
                <w:szCs w:val="24"/>
                <w:lang w:eastAsia="lt-LT"/>
              </w:rPr>
              <w:t xml:space="preserve"> investuojant pagal a</w:t>
            </w:r>
            <w:r w:rsidRPr="00385835">
              <w:rPr>
                <w:rFonts w:ascii="Times New Roman" w:eastAsia="AngsanaUPC" w:hAnsi="Times New Roman"/>
                <w:bCs/>
                <w:sz w:val="24"/>
                <w:szCs w:val="24"/>
                <w:lang w:val="x-none" w:eastAsia="lt-LT"/>
              </w:rPr>
              <w:t>dministracinių ir viešųjų elektroninių paslaugų apibrėžimo, tipizavimo ir vertinimo model</w:t>
            </w:r>
            <w:r w:rsidRPr="00385835">
              <w:rPr>
                <w:rFonts w:ascii="Times New Roman" w:eastAsia="AngsanaUPC" w:hAnsi="Times New Roman"/>
                <w:bCs/>
                <w:sz w:val="24"/>
                <w:szCs w:val="24"/>
                <w:lang w:eastAsia="lt-LT"/>
              </w:rPr>
              <w:t>į</w:t>
            </w:r>
            <w:r w:rsidRPr="00385835">
              <w:rPr>
                <w:rFonts w:ascii="Times New Roman" w:eastAsia="AngsanaUPC" w:hAnsi="Times New Roman"/>
                <w:bCs/>
                <w:sz w:val="24"/>
                <w:szCs w:val="24"/>
                <w:lang w:val="x-none" w:eastAsia="lt-LT"/>
              </w:rPr>
              <w:t xml:space="preserve">, </w:t>
            </w:r>
            <w:r w:rsidRPr="00385835">
              <w:rPr>
                <w:rFonts w:ascii="Times New Roman" w:eastAsia="AngsanaUPC" w:hAnsi="Times New Roman"/>
                <w:bCs/>
                <w:sz w:val="24"/>
                <w:szCs w:val="24"/>
                <w:lang w:eastAsia="lt-LT"/>
              </w:rPr>
              <w:t xml:space="preserve">parengtą </w:t>
            </w:r>
            <w:r w:rsidRPr="00385835">
              <w:rPr>
                <w:rFonts w:ascii="Times New Roman" w:eastAsia="AngsanaUPC" w:hAnsi="Times New Roman"/>
                <w:bCs/>
                <w:sz w:val="24"/>
                <w:szCs w:val="24"/>
                <w:lang w:val="x-none" w:eastAsia="lt-LT"/>
              </w:rPr>
              <w:t>visapusiškai vertin</w:t>
            </w:r>
            <w:r w:rsidRPr="00385835">
              <w:rPr>
                <w:rFonts w:ascii="Times New Roman" w:eastAsia="AngsanaUPC" w:hAnsi="Times New Roman"/>
                <w:bCs/>
                <w:sz w:val="24"/>
                <w:szCs w:val="24"/>
                <w:lang w:eastAsia="lt-LT"/>
              </w:rPr>
              <w:t>us</w:t>
            </w:r>
            <w:r w:rsidRPr="00385835">
              <w:rPr>
                <w:rFonts w:ascii="Times New Roman" w:eastAsia="AngsanaUPC" w:hAnsi="Times New Roman"/>
                <w:bCs/>
                <w:sz w:val="24"/>
                <w:szCs w:val="24"/>
                <w:lang w:val="x-none" w:eastAsia="lt-LT"/>
              </w:rPr>
              <w:t xml:space="preserve"> kuriamas </w:t>
            </w:r>
            <w:r w:rsidRPr="00385835">
              <w:rPr>
                <w:rFonts w:ascii="Times New Roman" w:eastAsia="AngsanaUPC" w:hAnsi="Times New Roman"/>
                <w:bCs/>
                <w:sz w:val="24"/>
                <w:szCs w:val="24"/>
                <w:lang w:eastAsia="lt-LT"/>
              </w:rPr>
              <w:t>el.</w:t>
            </w:r>
            <w:r w:rsidRPr="00385835">
              <w:rPr>
                <w:rFonts w:ascii="Times New Roman" w:eastAsia="AngsanaUPC" w:hAnsi="Times New Roman"/>
                <w:bCs/>
                <w:sz w:val="24"/>
                <w:szCs w:val="24"/>
                <w:lang w:val="x-none" w:eastAsia="lt-LT"/>
              </w:rPr>
              <w:t xml:space="preserve"> paslaugas, apibrėž</w:t>
            </w:r>
            <w:r w:rsidRPr="00385835">
              <w:rPr>
                <w:rFonts w:ascii="Times New Roman" w:eastAsia="AngsanaUPC" w:hAnsi="Times New Roman"/>
                <w:bCs/>
                <w:sz w:val="24"/>
                <w:szCs w:val="24"/>
                <w:lang w:eastAsia="lt-LT"/>
              </w:rPr>
              <w:t>iantį</w:t>
            </w:r>
            <w:r w:rsidRPr="00385835">
              <w:rPr>
                <w:rFonts w:ascii="Times New Roman" w:eastAsia="AngsanaUPC" w:hAnsi="Times New Roman"/>
                <w:bCs/>
                <w:sz w:val="24"/>
                <w:szCs w:val="24"/>
                <w:lang w:val="x-none" w:eastAsia="lt-LT"/>
              </w:rPr>
              <w:t xml:space="preserve"> prioritetines </w:t>
            </w:r>
            <w:r w:rsidRPr="00385835">
              <w:rPr>
                <w:rFonts w:ascii="Times New Roman" w:eastAsia="AngsanaUPC" w:hAnsi="Times New Roman"/>
                <w:bCs/>
                <w:sz w:val="24"/>
                <w:szCs w:val="24"/>
                <w:lang w:eastAsia="lt-LT"/>
              </w:rPr>
              <w:t>el.</w:t>
            </w:r>
            <w:r w:rsidRPr="00385835">
              <w:rPr>
                <w:rFonts w:ascii="Times New Roman" w:eastAsia="AngsanaUPC" w:hAnsi="Times New Roman"/>
                <w:bCs/>
                <w:sz w:val="24"/>
                <w:szCs w:val="24"/>
                <w:lang w:val="x-none" w:eastAsia="lt-LT"/>
              </w:rPr>
              <w:t xml:space="preserve"> paslaugų plėtros sritis bei numatyt</w:t>
            </w:r>
            <w:r w:rsidR="00FF08C5">
              <w:rPr>
                <w:rFonts w:ascii="Times New Roman" w:eastAsia="AngsanaUPC" w:hAnsi="Times New Roman"/>
                <w:bCs/>
                <w:sz w:val="24"/>
                <w:szCs w:val="24"/>
                <w:lang w:eastAsia="lt-LT"/>
              </w:rPr>
              <w:t>i</w:t>
            </w:r>
            <w:r w:rsidRPr="00385835">
              <w:rPr>
                <w:rFonts w:ascii="Times New Roman" w:eastAsia="AngsanaUPC" w:hAnsi="Times New Roman"/>
                <w:bCs/>
                <w:sz w:val="24"/>
                <w:szCs w:val="24"/>
                <w:lang w:val="x-none" w:eastAsia="lt-LT"/>
              </w:rPr>
              <w:t xml:space="preserve"> reikalavimus e</w:t>
            </w:r>
            <w:r w:rsidRPr="00385835">
              <w:rPr>
                <w:rFonts w:ascii="Times New Roman" w:eastAsia="AngsanaUPC" w:hAnsi="Times New Roman"/>
                <w:bCs/>
                <w:sz w:val="24"/>
                <w:szCs w:val="24"/>
                <w:lang w:eastAsia="lt-LT"/>
              </w:rPr>
              <w:t>l</w:t>
            </w:r>
            <w:r w:rsidRPr="00385835">
              <w:rPr>
                <w:rFonts w:ascii="Times New Roman" w:eastAsia="AngsanaUPC" w:hAnsi="Times New Roman"/>
                <w:bCs/>
                <w:sz w:val="24"/>
                <w:szCs w:val="24"/>
                <w:lang w:val="x-none" w:eastAsia="lt-LT"/>
              </w:rPr>
              <w:t>. paslaugas kuriantiems projektams</w:t>
            </w:r>
            <w:r w:rsidRPr="00385835">
              <w:rPr>
                <w:rFonts w:ascii="Times New Roman" w:eastAsia="AngsanaUPC" w:hAnsi="Times New Roman"/>
                <w:bCs/>
                <w:sz w:val="24"/>
                <w:szCs w:val="24"/>
                <w:lang w:eastAsia="lt-LT"/>
              </w:rPr>
              <w:t>. Didėjančios valstybės valdomų informacinių išteklių ir infrastruktūros apimtys lemia, kad svarbia užduotimi viešajam sektoriui tampa</w:t>
            </w:r>
            <w:r w:rsidR="00F0256F">
              <w:rPr>
                <w:rFonts w:ascii="Times New Roman" w:eastAsia="AngsanaUPC" w:hAnsi="Times New Roman"/>
                <w:bCs/>
                <w:sz w:val="24"/>
                <w:szCs w:val="24"/>
                <w:lang w:eastAsia="lt-LT"/>
              </w:rPr>
              <w:t>,</w:t>
            </w:r>
            <w:r w:rsidRPr="00385835">
              <w:rPr>
                <w:rFonts w:ascii="Times New Roman" w:eastAsia="AngsanaUPC" w:hAnsi="Times New Roman"/>
                <w:bCs/>
                <w:sz w:val="24"/>
                <w:szCs w:val="24"/>
                <w:lang w:eastAsia="lt-LT"/>
              </w:rPr>
              <w:t xml:space="preserve"> kuo efektyvesnis, optimalesnis šios srities valdymas. Atskiros viešojo sektoriaus institucijos yra susikūrusios daug informacinių išteklių ir įrankių, kurie yra nepakankamai sąveikūs, valstybės informacinė infrastruktūra nėra optimaliai ir efektyviai išnaudojama. Todėl šio uždavinio apimtyje taip pat siekiama diegti IRT priemones, leidžiančias</w:t>
            </w:r>
            <w:r w:rsidR="006B581A">
              <w:rPr>
                <w:rFonts w:ascii="Times New Roman" w:eastAsia="AngsanaUPC" w:hAnsi="Times New Roman"/>
                <w:bCs/>
                <w:sz w:val="24"/>
                <w:szCs w:val="24"/>
                <w:lang w:eastAsia="lt-LT"/>
              </w:rPr>
              <w:t>,</w:t>
            </w:r>
            <w:r w:rsidRPr="00385835">
              <w:rPr>
                <w:rFonts w:ascii="Times New Roman" w:eastAsia="AngsanaUPC" w:hAnsi="Times New Roman"/>
                <w:bCs/>
                <w:sz w:val="24"/>
                <w:szCs w:val="24"/>
                <w:lang w:eastAsia="lt-LT"/>
              </w:rPr>
              <w:t xml:space="preserve"> kuo efektyviau panaudoti turimą valstybės IRT bazę, jau sukurtus IT įrankius, sukauptus informacinius išteklius.</w:t>
            </w:r>
          </w:p>
          <w:p w:rsidR="00385835" w:rsidRPr="00385835" w:rsidRDefault="00385835" w:rsidP="00031EF1">
            <w:pPr>
              <w:widowControl w:val="0"/>
              <w:spacing w:after="0" w:line="240" w:lineRule="auto"/>
              <w:ind w:firstLine="601"/>
              <w:jc w:val="both"/>
            </w:pPr>
            <w:r w:rsidRPr="00385835">
              <w:rPr>
                <w:rFonts w:ascii="Times New Roman" w:eastAsia="AngsanaUPC" w:hAnsi="Times New Roman"/>
                <w:bCs/>
                <w:sz w:val="24"/>
                <w:szCs w:val="24"/>
                <w:lang w:eastAsia="lt-LT"/>
              </w:rPr>
              <w:t>Gyventojų mobilumas, keliaujant ES, lemia poreikį užtikrinti svarbių paslaugų teikimą ne tik nacionaliniu, bet ir tarpvalstybiniu mastu, todėl šio uždavinio apimtyje numatomos veiklos bus derinamos su „Europos infrastruktūros tinklų priemonės“ lėšomis numatomomis finansuoti iniciatyvomis, skirtomis tarpvalstybinių e. paslaugų kūrimui.</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491"/>
        <w:gridCol w:w="2178"/>
        <w:gridCol w:w="1006"/>
        <w:gridCol w:w="1006"/>
        <w:gridCol w:w="826"/>
        <w:gridCol w:w="897"/>
        <w:gridCol w:w="849"/>
        <w:gridCol w:w="1256"/>
        <w:gridCol w:w="1237"/>
      </w:tblGrid>
      <w:tr w:rsidR="00385835" w:rsidRPr="00385835" w:rsidTr="00385835">
        <w:tc>
          <w:tcPr>
            <w:tcW w:w="9746" w:type="dxa"/>
            <w:gridSpan w:val="9"/>
            <w:tcBorders>
              <w:top w:val="single" w:sz="4" w:space="0" w:color="auto"/>
              <w:left w:val="single" w:sz="4" w:space="0" w:color="auto"/>
              <w:bottom w:val="single" w:sz="4" w:space="0" w:color="auto"/>
              <w:right w:val="single" w:sz="4" w:space="0" w:color="auto"/>
            </w:tcBorders>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i/>
                <w:iCs/>
                <w:sz w:val="24"/>
                <w:szCs w:val="24"/>
                <w:lang w:eastAsia="lt-LT"/>
              </w:rPr>
            </w:pPr>
            <w:r w:rsidRPr="00385835">
              <w:rPr>
                <w:rFonts w:ascii="Times New Roman" w:eastAsia="AngsanaUPC" w:hAnsi="Times New Roman"/>
                <w:b/>
                <w:bCs/>
                <w:i/>
                <w:iCs/>
                <w:sz w:val="24"/>
                <w:szCs w:val="24"/>
                <w:lang w:eastAsia="lt-LT"/>
              </w:rPr>
              <w:t xml:space="preserve">ERPF </w:t>
            </w:r>
            <w:r w:rsidR="00DA04FC">
              <w:rPr>
                <w:rFonts w:ascii="Times New Roman" w:eastAsia="AngsanaUPC" w:hAnsi="Times New Roman"/>
                <w:b/>
                <w:bCs/>
                <w:i/>
                <w:iCs/>
                <w:sz w:val="24"/>
                <w:szCs w:val="24"/>
                <w:lang w:eastAsia="lt-LT"/>
              </w:rPr>
              <w:t>specialieji</w:t>
            </w:r>
            <w:r w:rsidR="00DA04FC" w:rsidRPr="00385835">
              <w:rPr>
                <w:rFonts w:ascii="Times New Roman" w:eastAsia="AngsanaUPC" w:hAnsi="Times New Roman"/>
                <w:b/>
                <w:bCs/>
                <w:i/>
                <w:iCs/>
                <w:sz w:val="24"/>
                <w:szCs w:val="24"/>
                <w:lang w:eastAsia="lt-LT"/>
              </w:rPr>
              <w:t xml:space="preserve"> </w:t>
            </w:r>
            <w:r w:rsidRPr="00385835">
              <w:rPr>
                <w:rFonts w:ascii="Times New Roman" w:eastAsia="AngsanaUPC" w:hAnsi="Times New Roman"/>
                <w:b/>
                <w:bCs/>
                <w:i/>
                <w:iCs/>
                <w:sz w:val="24"/>
                <w:szCs w:val="24"/>
                <w:lang w:eastAsia="lt-LT"/>
              </w:rPr>
              <w:t>programos rezultato rodikliai</w:t>
            </w:r>
          </w:p>
        </w:tc>
      </w:tr>
      <w:tr w:rsidR="00385835" w:rsidRPr="00385835" w:rsidTr="00385835">
        <w:tblPrEx>
          <w:shd w:val="clear" w:color="auto" w:fill="auto"/>
        </w:tblPrEx>
        <w:trPr>
          <w:cantSplit/>
          <w:trHeight w:val="737"/>
        </w:trPr>
        <w:tc>
          <w:tcPr>
            <w:tcW w:w="500"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Nr.</w:t>
            </w:r>
          </w:p>
        </w:tc>
        <w:tc>
          <w:tcPr>
            <w:tcW w:w="2448"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Rodiklio pavadinimas</w:t>
            </w:r>
          </w:p>
        </w:tc>
        <w:tc>
          <w:tcPr>
            <w:tcW w:w="986"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Matavimo vienetas</w:t>
            </w:r>
          </w:p>
        </w:tc>
        <w:tc>
          <w:tcPr>
            <w:tcW w:w="1006"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Regiono kategorija</w:t>
            </w:r>
          </w:p>
        </w:tc>
        <w:tc>
          <w:tcPr>
            <w:tcW w:w="826"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 reikšmė</w:t>
            </w:r>
          </w:p>
        </w:tc>
        <w:tc>
          <w:tcPr>
            <w:tcW w:w="897"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Pradinės reikšmės metai</w:t>
            </w:r>
          </w:p>
        </w:tc>
        <w:tc>
          <w:tcPr>
            <w:tcW w:w="850"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Siektina reikšmė (2023)</w:t>
            </w:r>
          </w:p>
        </w:tc>
        <w:tc>
          <w:tcPr>
            <w:tcW w:w="992"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Duomenų šaltinis</w:t>
            </w:r>
          </w:p>
        </w:tc>
        <w:tc>
          <w:tcPr>
            <w:tcW w:w="124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Atsiskaitymo dažnumas</w:t>
            </w:r>
          </w:p>
        </w:tc>
      </w:tr>
      <w:tr w:rsidR="00385835" w:rsidRPr="00385835" w:rsidTr="00385835">
        <w:tblPrEx>
          <w:shd w:val="clear" w:color="auto" w:fill="auto"/>
        </w:tblPrEx>
        <w:tc>
          <w:tcPr>
            <w:tcW w:w="500"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w:t>
            </w:r>
          </w:p>
        </w:tc>
        <w:tc>
          <w:tcPr>
            <w:tcW w:w="2448" w:type="dxa"/>
            <w:shd w:val="clear" w:color="auto" w:fill="auto"/>
            <w:vAlign w:val="center"/>
          </w:tcPr>
          <w:p w:rsidR="00385835" w:rsidRPr="00385835" w:rsidRDefault="00385835" w:rsidP="00385835">
            <w:pPr>
              <w:widowControl w:val="0"/>
              <w:tabs>
                <w:tab w:val="left" w:pos="622"/>
              </w:tabs>
              <w:spacing w:after="0" w:line="240" w:lineRule="auto"/>
              <w:rPr>
                <w:rFonts w:ascii="Times New Roman" w:eastAsia="AngsanaUPC" w:hAnsi="Times New Roman"/>
                <w:bCs/>
                <w:sz w:val="18"/>
                <w:szCs w:val="18"/>
                <w:lang w:eastAsia="lt-LT"/>
              </w:rPr>
            </w:pPr>
            <w:r w:rsidRPr="00385835">
              <w:rPr>
                <w:rFonts w:ascii="Times New Roman" w:eastAsia="AngsanaUPC" w:hAnsi="Times New Roman"/>
                <w:bCs/>
                <w:sz w:val="18"/>
                <w:szCs w:val="18"/>
                <w:lang w:eastAsia="lt-LT"/>
              </w:rPr>
              <w:t>Gyventojų, kurie naudojasi elektroniniu būdu teikiamomis viešosiomis ir administracinėmis paslaugomis, dalis</w:t>
            </w:r>
          </w:p>
        </w:tc>
        <w:tc>
          <w:tcPr>
            <w:tcW w:w="986"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18"/>
                <w:szCs w:val="18"/>
                <w:lang w:eastAsia="lt-LT"/>
              </w:rPr>
            </w:pPr>
            <w:r w:rsidRPr="00385835">
              <w:rPr>
                <w:rFonts w:ascii="Times New Roman" w:eastAsia="AngsanaUPC" w:hAnsi="Times New Roman"/>
                <w:bCs/>
                <w:sz w:val="18"/>
                <w:szCs w:val="18"/>
                <w:lang w:eastAsia="lt-LT"/>
              </w:rPr>
              <w:t>Proc.</w:t>
            </w:r>
          </w:p>
        </w:tc>
        <w:tc>
          <w:tcPr>
            <w:tcW w:w="1006"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18"/>
                <w:szCs w:val="18"/>
                <w:lang w:eastAsia="lt-LT"/>
              </w:rPr>
            </w:pPr>
            <w:r w:rsidRPr="00385835">
              <w:rPr>
                <w:rFonts w:ascii="Times New Roman" w:eastAsia="AngsanaUPC" w:hAnsi="Times New Roman"/>
                <w:bCs/>
                <w:sz w:val="18"/>
                <w:szCs w:val="18"/>
                <w:lang w:eastAsia="lt-LT"/>
              </w:rPr>
              <w:t>Mažiau išsivystęs</w:t>
            </w:r>
          </w:p>
        </w:tc>
        <w:tc>
          <w:tcPr>
            <w:tcW w:w="826"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37</w:t>
            </w:r>
          </w:p>
        </w:tc>
        <w:tc>
          <w:tcPr>
            <w:tcW w:w="89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2012</w:t>
            </w:r>
          </w:p>
        </w:tc>
        <w:tc>
          <w:tcPr>
            <w:tcW w:w="850"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63</w:t>
            </w:r>
          </w:p>
        </w:tc>
        <w:tc>
          <w:tcPr>
            <w:tcW w:w="992"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Lietuvos statistikos departamentas</w:t>
            </w:r>
          </w:p>
        </w:tc>
        <w:tc>
          <w:tcPr>
            <w:tcW w:w="124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385835" w:rsidRPr="00385835" w:rsidTr="00385835">
        <w:tblPrEx>
          <w:shd w:val="clear" w:color="auto" w:fill="auto"/>
        </w:tblPrEx>
        <w:tc>
          <w:tcPr>
            <w:tcW w:w="500"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w:t>
            </w:r>
          </w:p>
        </w:tc>
        <w:tc>
          <w:tcPr>
            <w:tcW w:w="2448" w:type="dxa"/>
            <w:shd w:val="clear" w:color="auto" w:fill="auto"/>
            <w:vAlign w:val="center"/>
          </w:tcPr>
          <w:p w:rsidR="00385835" w:rsidRPr="00385835" w:rsidRDefault="00385835" w:rsidP="00385835">
            <w:pPr>
              <w:widowControl w:val="0"/>
              <w:tabs>
                <w:tab w:val="left" w:pos="622"/>
              </w:tabs>
              <w:spacing w:after="0" w:line="240" w:lineRule="auto"/>
              <w:rPr>
                <w:rFonts w:ascii="Times New Roman" w:eastAsia="AngsanaUPC" w:hAnsi="Times New Roman"/>
                <w:bCs/>
                <w:sz w:val="18"/>
                <w:szCs w:val="18"/>
                <w:lang w:eastAsia="lt-LT"/>
              </w:rPr>
            </w:pPr>
            <w:r w:rsidRPr="00385835">
              <w:rPr>
                <w:rFonts w:ascii="Times New Roman" w:eastAsia="AngsanaUPC" w:hAnsi="Times New Roman"/>
                <w:bCs/>
                <w:sz w:val="18"/>
                <w:szCs w:val="18"/>
                <w:lang w:eastAsia="lt-LT"/>
              </w:rPr>
              <w:t>Valstybės ir savivaldybių institucijų ir įstaigų, kurios naudojasi Valstybės informacinių išteklių sąveikumo platformos paslaugomis, dalis</w:t>
            </w:r>
          </w:p>
        </w:tc>
        <w:tc>
          <w:tcPr>
            <w:tcW w:w="986"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18"/>
                <w:szCs w:val="18"/>
                <w:lang w:eastAsia="lt-LT"/>
              </w:rPr>
            </w:pPr>
            <w:r w:rsidRPr="00385835">
              <w:rPr>
                <w:rFonts w:ascii="Times New Roman" w:eastAsia="AngsanaUPC" w:hAnsi="Times New Roman"/>
                <w:bCs/>
                <w:sz w:val="18"/>
                <w:szCs w:val="18"/>
                <w:lang w:eastAsia="lt-LT"/>
              </w:rPr>
              <w:t>Proc.</w:t>
            </w:r>
          </w:p>
        </w:tc>
        <w:tc>
          <w:tcPr>
            <w:tcW w:w="1006"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18"/>
                <w:szCs w:val="18"/>
                <w:lang w:eastAsia="lt-LT"/>
              </w:rPr>
            </w:pPr>
            <w:r w:rsidRPr="00385835">
              <w:rPr>
                <w:rFonts w:ascii="Times New Roman" w:eastAsia="AngsanaUPC" w:hAnsi="Times New Roman"/>
                <w:bCs/>
                <w:sz w:val="18"/>
                <w:szCs w:val="18"/>
                <w:lang w:eastAsia="lt-LT"/>
              </w:rPr>
              <w:t>Mažiau išsivystęs</w:t>
            </w:r>
          </w:p>
        </w:tc>
        <w:tc>
          <w:tcPr>
            <w:tcW w:w="826"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17</w:t>
            </w:r>
          </w:p>
        </w:tc>
        <w:tc>
          <w:tcPr>
            <w:tcW w:w="89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2012</w:t>
            </w:r>
          </w:p>
        </w:tc>
        <w:tc>
          <w:tcPr>
            <w:tcW w:w="850"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50</w:t>
            </w:r>
          </w:p>
        </w:tc>
        <w:tc>
          <w:tcPr>
            <w:tcW w:w="992"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Informacinės visuomenės plėtros komitetas</w:t>
            </w:r>
            <w:r w:rsidRPr="00385835">
              <w:rPr>
                <w:rFonts w:ascii="Times New Roman" w:eastAsia="AngsanaUPC" w:hAnsi="Times New Roman"/>
                <w:bCs/>
                <w:iCs/>
                <w:sz w:val="18"/>
                <w:szCs w:val="18"/>
                <w:vertAlign w:val="superscript"/>
                <w:lang w:eastAsia="lt-LT"/>
              </w:rPr>
              <w:footnoteReference w:id="1"/>
            </w:r>
            <w:r w:rsidRPr="00385835">
              <w:rPr>
                <w:rFonts w:ascii="Times New Roman" w:eastAsia="AngsanaUPC" w:hAnsi="Times New Roman"/>
                <w:bCs/>
                <w:iCs/>
                <w:sz w:val="18"/>
                <w:szCs w:val="18"/>
                <w:lang w:eastAsia="lt-LT"/>
              </w:rPr>
              <w:t xml:space="preserve"> </w:t>
            </w:r>
          </w:p>
        </w:tc>
        <w:tc>
          <w:tcPr>
            <w:tcW w:w="124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bl>
    <w:p w:rsidR="00385835" w:rsidRPr="00385835" w:rsidRDefault="00385835" w:rsidP="00385835">
      <w:pPr>
        <w:spacing w:after="0"/>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746"/>
      </w:tblGrid>
      <w:tr w:rsidR="00385835" w:rsidRPr="00385835" w:rsidTr="00385835">
        <w:tc>
          <w:tcPr>
            <w:tcW w:w="9746"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i/>
                <w:iCs/>
                <w:sz w:val="24"/>
                <w:szCs w:val="24"/>
                <w:lang w:eastAsia="lt-LT"/>
              </w:rPr>
            </w:pPr>
            <w:r w:rsidRPr="00385835">
              <w:rPr>
                <w:rFonts w:ascii="Times New Roman" w:eastAsia="AngsanaUPC" w:hAnsi="Times New Roman"/>
                <w:b/>
                <w:bCs/>
                <w:i/>
                <w:iCs/>
                <w:sz w:val="24"/>
                <w:szCs w:val="24"/>
                <w:lang w:eastAsia="lt-LT"/>
              </w:rPr>
              <w:t>2.3 Investicinio prioriteto įgyvendinimo veiklos</w:t>
            </w:r>
          </w:p>
        </w:tc>
      </w:tr>
      <w:tr w:rsidR="00385835" w:rsidRPr="00385835" w:rsidTr="00385835">
        <w:tblPrEx>
          <w:shd w:val="clear" w:color="auto" w:fill="auto"/>
        </w:tblPrEx>
        <w:tc>
          <w:tcPr>
            <w:tcW w:w="9746" w:type="dxa"/>
            <w:shd w:val="clear" w:color="auto" w:fill="auto"/>
          </w:tcPr>
          <w:p w:rsidR="00385835" w:rsidRPr="00385835" w:rsidRDefault="00385835" w:rsidP="00650E41">
            <w:pPr>
              <w:widowControl w:val="0"/>
              <w:numPr>
                <w:ilvl w:val="0"/>
                <w:numId w:val="14"/>
              </w:numPr>
              <w:tabs>
                <w:tab w:val="left" w:pos="459"/>
                <w:tab w:val="left" w:pos="1665"/>
              </w:tabs>
              <w:spacing w:after="0" w:line="240" w:lineRule="auto"/>
              <w:ind w:left="34"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Elektroninių viešųjų ir administracinių paslaugų plėtra bei tobulinimas, užtikrinant kompleksinę paslaugų teikimo pertvarką ir jų orientavimą į naudotoją. Bus kuriamos elektroninės paslaugos gyventojams ir verslui tokiose srityse, kaip įvairių administracinių procedūrų tvarkymas, elektroniniai viešieji pirkimai, elektroninės sveikatos sistemos ir elektroninės sveikatos paslaugų plėtra, Lietuvos kultūros skaitmeninio turinio sklaida (inovatyvių e. paslaugų ir e. produktų kūrimas tiek suskaitmeninto paveldo, tiek šiuolaikinio kultūrinio turinio pagrindu), elektroninės demokratijos plėtra (viešumo, skaidrumo bei piliečių įsitraukimo priemonių kūrimas), erdvinių duomenų suderinamumo ir pasiekiamumo užtikrinimas, intelektualių transporto sistemų ir universaliosios pašto paslaugos pažangūs IRT sprendimai ir kt. Siekiant, kad kuriamos e. paslaugos būtų</w:t>
            </w:r>
            <w:r w:rsidR="005A1547">
              <w:rPr>
                <w:rFonts w:ascii="Times New Roman" w:eastAsia="AngsanaUPC" w:hAnsi="Times New Roman"/>
                <w:bCs/>
                <w:iCs/>
                <w:sz w:val="24"/>
                <w:szCs w:val="24"/>
                <w:lang w:eastAsia="lt-LT"/>
              </w:rPr>
              <w:t>,</w:t>
            </w:r>
            <w:r w:rsidRPr="00385835">
              <w:rPr>
                <w:rFonts w:ascii="Times New Roman" w:eastAsia="AngsanaUPC" w:hAnsi="Times New Roman"/>
                <w:bCs/>
                <w:iCs/>
                <w:sz w:val="24"/>
                <w:szCs w:val="24"/>
                <w:lang w:eastAsia="lt-LT"/>
              </w:rPr>
              <w:t xml:space="preserve"> kuo patogesnės ir patrauklesnės naudotojams, bus įvairiapusiškai plėtojami ir taikomi šiam tikslui reikalingi lietuvių kalbos IT sprendimai. Remiant e. paslaugų plėtr</w:t>
            </w:r>
            <w:r w:rsidR="005A1547">
              <w:rPr>
                <w:rFonts w:ascii="Times New Roman" w:eastAsia="AngsanaUPC" w:hAnsi="Times New Roman"/>
                <w:bCs/>
                <w:iCs/>
                <w:sz w:val="24"/>
                <w:szCs w:val="24"/>
                <w:lang w:eastAsia="lt-LT"/>
              </w:rPr>
              <w:t>ą</w:t>
            </w:r>
            <w:r w:rsidRPr="00385835">
              <w:rPr>
                <w:rFonts w:ascii="Times New Roman" w:eastAsia="AngsanaUPC" w:hAnsi="Times New Roman"/>
                <w:bCs/>
                <w:iCs/>
                <w:sz w:val="24"/>
                <w:szCs w:val="24"/>
                <w:lang w:eastAsia="lt-LT"/>
              </w:rPr>
              <w:t xml:space="preserve">, bus </w:t>
            </w:r>
            <w:r w:rsidRPr="00385835">
              <w:rPr>
                <w:rFonts w:ascii="Times New Roman" w:eastAsia="AngsanaUPC" w:hAnsi="Times New Roman"/>
                <w:bCs/>
                <w:iCs/>
                <w:sz w:val="24"/>
                <w:szCs w:val="24"/>
                <w:lang w:eastAsia="lt-LT"/>
              </w:rPr>
              <w:lastRenderedPageBreak/>
              <w:t>vertinami kuriamų sistemų palaikymo ir ateities veiklos kaštai ir pasirenkami optimaliausi kaštų bei procedūrų požiūriu sprendimai, tokiu būdu viešajam sektoriui didinant veiklos efektyvumo ir mažinant veiklos išlaidas.</w:t>
            </w:r>
          </w:p>
          <w:p w:rsidR="00385835" w:rsidRPr="00385835" w:rsidRDefault="00385835" w:rsidP="00650E41">
            <w:pPr>
              <w:widowControl w:val="0"/>
              <w:numPr>
                <w:ilvl w:val="0"/>
                <w:numId w:val="14"/>
              </w:numPr>
              <w:tabs>
                <w:tab w:val="left" w:pos="459"/>
                <w:tab w:val="left" w:pos="1665"/>
              </w:tabs>
              <w:spacing w:after="0" w:line="240" w:lineRule="auto"/>
              <w:ind w:left="34"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Pažangių elektroninių paslaugų kūrimui ir teikimui reikalingų priemonių ir sprendimų kūrimas bei diegimas. Numatoma kurti viešojo sektoriaus bendro naudojimo IRT infrastruktūros optimizavimo, sąveikumo ir saugumo priemones, diegti IRT sprendimus, leidžiančius</w:t>
            </w:r>
            <w:r w:rsidR="00240913">
              <w:rPr>
                <w:rFonts w:ascii="Times New Roman" w:eastAsia="AngsanaUPC" w:hAnsi="Times New Roman"/>
                <w:bCs/>
                <w:iCs/>
                <w:sz w:val="24"/>
                <w:szCs w:val="24"/>
                <w:lang w:eastAsia="lt-LT"/>
              </w:rPr>
              <w:t>,</w:t>
            </w:r>
            <w:r w:rsidRPr="00385835">
              <w:rPr>
                <w:rFonts w:ascii="Times New Roman" w:eastAsia="AngsanaUPC" w:hAnsi="Times New Roman"/>
                <w:bCs/>
                <w:iCs/>
                <w:sz w:val="24"/>
                <w:szCs w:val="24"/>
                <w:lang w:eastAsia="lt-LT"/>
              </w:rPr>
              <w:t xml:space="preserve"> kuo efektyviau panaudoti turimą valstybės informacinių ir ryšių technologijų bazę, jau sukurtus IT įrankius ir sukauptus informacinius išteklius. Taip pat bus kuriami nauji ir tobulinami esami asmens tapatybės nustatymo ir privatumo išsaugojimo elektroninėje erdvėje sprendimai.</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552"/>
        <w:gridCol w:w="3262"/>
        <w:gridCol w:w="1006"/>
        <w:gridCol w:w="836"/>
        <w:gridCol w:w="1006"/>
        <w:gridCol w:w="847"/>
        <w:gridCol w:w="996"/>
        <w:gridCol w:w="1241"/>
      </w:tblGrid>
      <w:tr w:rsidR="00385835" w:rsidRPr="00385835" w:rsidTr="00385835">
        <w:tc>
          <w:tcPr>
            <w:tcW w:w="9746" w:type="dxa"/>
            <w:gridSpan w:val="8"/>
            <w:tcBorders>
              <w:top w:val="single" w:sz="4" w:space="0" w:color="auto"/>
              <w:left w:val="single" w:sz="4" w:space="0" w:color="auto"/>
              <w:bottom w:val="single" w:sz="4" w:space="0" w:color="auto"/>
              <w:right w:val="single" w:sz="4" w:space="0" w:color="auto"/>
            </w:tcBorders>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i/>
                <w:iCs/>
                <w:sz w:val="24"/>
                <w:szCs w:val="24"/>
                <w:lang w:eastAsia="lt-LT"/>
              </w:rPr>
            </w:pPr>
            <w:r w:rsidRPr="00385835">
              <w:rPr>
                <w:rFonts w:ascii="Times New Roman" w:eastAsia="AngsanaUPC" w:hAnsi="Times New Roman"/>
                <w:b/>
                <w:bCs/>
                <w:i/>
                <w:iCs/>
                <w:sz w:val="24"/>
                <w:szCs w:val="24"/>
                <w:lang w:eastAsia="lt-LT"/>
              </w:rPr>
              <w:t xml:space="preserve">ERPF bendrieji ir </w:t>
            </w:r>
            <w:r w:rsidR="00DA04FC">
              <w:rPr>
                <w:rFonts w:ascii="Times New Roman" w:eastAsia="AngsanaUPC" w:hAnsi="Times New Roman"/>
                <w:b/>
                <w:bCs/>
                <w:i/>
                <w:iCs/>
                <w:sz w:val="24"/>
                <w:szCs w:val="24"/>
                <w:lang w:eastAsia="lt-LT"/>
              </w:rPr>
              <w:t>specialieji</w:t>
            </w:r>
            <w:r w:rsidR="00DA04FC" w:rsidRPr="00385835">
              <w:rPr>
                <w:rFonts w:ascii="Times New Roman" w:eastAsia="AngsanaUPC" w:hAnsi="Times New Roman"/>
                <w:b/>
                <w:bCs/>
                <w:i/>
                <w:iCs/>
                <w:sz w:val="24"/>
                <w:szCs w:val="24"/>
                <w:lang w:eastAsia="lt-LT"/>
              </w:rPr>
              <w:t xml:space="preserve"> </w:t>
            </w:r>
            <w:r w:rsidR="00DA04FC">
              <w:rPr>
                <w:rFonts w:ascii="Times New Roman" w:eastAsia="AngsanaUPC" w:hAnsi="Times New Roman"/>
                <w:b/>
                <w:bCs/>
                <w:i/>
                <w:iCs/>
                <w:sz w:val="24"/>
                <w:szCs w:val="24"/>
                <w:lang w:eastAsia="lt-LT"/>
              </w:rPr>
              <w:t xml:space="preserve">programos </w:t>
            </w:r>
            <w:r w:rsidRPr="00385835">
              <w:rPr>
                <w:rFonts w:ascii="Times New Roman" w:eastAsia="AngsanaUPC" w:hAnsi="Times New Roman"/>
                <w:b/>
                <w:bCs/>
                <w:i/>
                <w:iCs/>
                <w:sz w:val="24"/>
                <w:szCs w:val="24"/>
                <w:lang w:eastAsia="lt-LT"/>
              </w:rPr>
              <w:t xml:space="preserve">produkto rodikliai </w:t>
            </w:r>
          </w:p>
        </w:tc>
      </w:tr>
      <w:tr w:rsidR="00385835" w:rsidRPr="00385835" w:rsidTr="00385835">
        <w:tblPrEx>
          <w:shd w:val="clear" w:color="auto" w:fill="auto"/>
        </w:tblPrEx>
        <w:tc>
          <w:tcPr>
            <w:tcW w:w="552"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Nr.</w:t>
            </w:r>
          </w:p>
        </w:tc>
        <w:tc>
          <w:tcPr>
            <w:tcW w:w="3262"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Rodiklio pavadinimas</w:t>
            </w:r>
          </w:p>
        </w:tc>
        <w:tc>
          <w:tcPr>
            <w:tcW w:w="1006"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Matavimo vienetas</w:t>
            </w:r>
          </w:p>
        </w:tc>
        <w:tc>
          <w:tcPr>
            <w:tcW w:w="836"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Fondas</w:t>
            </w:r>
          </w:p>
        </w:tc>
        <w:tc>
          <w:tcPr>
            <w:tcW w:w="1006"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Regiono kategorija</w:t>
            </w:r>
          </w:p>
        </w:tc>
        <w:tc>
          <w:tcPr>
            <w:tcW w:w="847"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Siektina reikšmė (2023)</w:t>
            </w:r>
          </w:p>
        </w:tc>
        <w:tc>
          <w:tcPr>
            <w:tcW w:w="996"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Duomenų šaltinis</w:t>
            </w:r>
          </w:p>
        </w:tc>
        <w:tc>
          <w:tcPr>
            <w:tcW w:w="124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Atsiskaitymo dažnumas</w:t>
            </w:r>
          </w:p>
        </w:tc>
      </w:tr>
      <w:tr w:rsidR="00385835" w:rsidRPr="00385835" w:rsidTr="00385835">
        <w:tblPrEx>
          <w:shd w:val="clear" w:color="auto" w:fill="auto"/>
        </w:tblPrEx>
        <w:tc>
          <w:tcPr>
            <w:tcW w:w="552"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w:t>
            </w:r>
          </w:p>
        </w:tc>
        <w:tc>
          <w:tcPr>
            <w:tcW w:w="3262" w:type="dxa"/>
            <w:shd w:val="clear" w:color="auto" w:fill="auto"/>
            <w:vAlign w:val="center"/>
          </w:tcPr>
          <w:p w:rsidR="00385835" w:rsidRPr="00385835" w:rsidRDefault="00385835" w:rsidP="00385835">
            <w:pPr>
              <w:widowControl w:val="0"/>
              <w:tabs>
                <w:tab w:val="left" w:pos="622"/>
              </w:tabs>
              <w:spacing w:after="0" w:line="240" w:lineRule="auto"/>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Sukurtos elektroninės paslaugos</w:t>
            </w:r>
          </w:p>
        </w:tc>
        <w:tc>
          <w:tcPr>
            <w:tcW w:w="1006"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Skaičius</w:t>
            </w:r>
          </w:p>
        </w:tc>
        <w:tc>
          <w:tcPr>
            <w:tcW w:w="836"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ERPF</w:t>
            </w:r>
          </w:p>
        </w:tc>
        <w:tc>
          <w:tcPr>
            <w:tcW w:w="1006"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18"/>
                <w:szCs w:val="18"/>
                <w:lang w:eastAsia="lt-LT"/>
              </w:rPr>
            </w:pPr>
            <w:r w:rsidRPr="00385835">
              <w:rPr>
                <w:rFonts w:ascii="Times New Roman" w:eastAsia="AngsanaUPC" w:hAnsi="Times New Roman"/>
                <w:bCs/>
                <w:sz w:val="18"/>
                <w:szCs w:val="18"/>
                <w:lang w:eastAsia="lt-LT"/>
              </w:rPr>
              <w:t>Mažiau išsivystęs</w:t>
            </w:r>
          </w:p>
        </w:tc>
        <w:tc>
          <w:tcPr>
            <w:tcW w:w="847" w:type="dxa"/>
            <w:shd w:val="clear" w:color="auto" w:fill="auto"/>
            <w:vAlign w:val="center"/>
          </w:tcPr>
          <w:p w:rsidR="00385835" w:rsidRPr="00385835" w:rsidRDefault="00EE2A95" w:rsidP="00385835">
            <w:pPr>
              <w:widowControl w:val="0"/>
              <w:tabs>
                <w:tab w:val="left" w:pos="622"/>
              </w:tabs>
              <w:spacing w:after="0" w:line="240" w:lineRule="auto"/>
              <w:jc w:val="center"/>
              <w:rPr>
                <w:rFonts w:ascii="Times New Roman" w:eastAsia="AngsanaUPC" w:hAnsi="Times New Roman"/>
                <w:bCs/>
                <w:iCs/>
                <w:sz w:val="18"/>
                <w:szCs w:val="18"/>
                <w:lang w:eastAsia="lt-LT"/>
              </w:rPr>
            </w:pPr>
            <w:r>
              <w:rPr>
                <w:rFonts w:ascii="Times New Roman" w:eastAsia="AngsanaUPC" w:hAnsi="Times New Roman"/>
                <w:bCs/>
                <w:iCs/>
                <w:sz w:val="18"/>
                <w:szCs w:val="18"/>
                <w:lang w:eastAsia="lt-LT"/>
              </w:rPr>
              <w:t>170</w:t>
            </w:r>
          </w:p>
        </w:tc>
        <w:tc>
          <w:tcPr>
            <w:tcW w:w="996"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Duomenys iš projektų</w:t>
            </w:r>
          </w:p>
        </w:tc>
        <w:tc>
          <w:tcPr>
            <w:tcW w:w="124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385835" w:rsidRPr="00385835" w:rsidTr="00385835">
        <w:tblPrEx>
          <w:shd w:val="clear" w:color="auto" w:fill="auto"/>
        </w:tblPrEx>
        <w:tc>
          <w:tcPr>
            <w:tcW w:w="552"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w:t>
            </w:r>
          </w:p>
        </w:tc>
        <w:tc>
          <w:tcPr>
            <w:tcW w:w="3262" w:type="dxa"/>
            <w:shd w:val="clear" w:color="auto" w:fill="auto"/>
            <w:vAlign w:val="center"/>
          </w:tcPr>
          <w:p w:rsidR="00385835" w:rsidRPr="00385835" w:rsidRDefault="00385835" w:rsidP="00385835">
            <w:pPr>
              <w:widowControl w:val="0"/>
              <w:tabs>
                <w:tab w:val="left" w:pos="622"/>
              </w:tabs>
              <w:spacing w:after="0" w:line="240" w:lineRule="auto"/>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Įgyvendinti</w:t>
            </w:r>
            <w:proofErr w:type="gramStart"/>
            <w:r w:rsidRPr="00385835">
              <w:rPr>
                <w:rFonts w:ascii="Times New Roman" w:eastAsia="AngsanaUPC" w:hAnsi="Times New Roman"/>
                <w:bCs/>
                <w:iCs/>
                <w:sz w:val="18"/>
                <w:szCs w:val="18"/>
                <w:lang w:eastAsia="lt-LT"/>
              </w:rPr>
              <w:t xml:space="preserve">  </w:t>
            </w:r>
            <w:proofErr w:type="gramEnd"/>
            <w:r w:rsidRPr="00385835">
              <w:rPr>
                <w:rFonts w:ascii="Times New Roman" w:eastAsia="AngsanaUPC" w:hAnsi="Times New Roman"/>
                <w:bCs/>
                <w:iCs/>
                <w:sz w:val="18"/>
                <w:szCs w:val="18"/>
                <w:lang w:eastAsia="lt-LT"/>
              </w:rPr>
              <w:t>sprendimai, skirti viešojo sektoriaus bendro naudojimo informacinių ir ryšių technologijų infrastruktūros optimizavimui, sąveikumo ir saugos užtikrinimui</w:t>
            </w:r>
          </w:p>
        </w:tc>
        <w:tc>
          <w:tcPr>
            <w:tcW w:w="1006"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Skaičius</w:t>
            </w:r>
          </w:p>
        </w:tc>
        <w:tc>
          <w:tcPr>
            <w:tcW w:w="836"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ERPF</w:t>
            </w:r>
          </w:p>
        </w:tc>
        <w:tc>
          <w:tcPr>
            <w:tcW w:w="1006"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Mažiau išsivystęs</w:t>
            </w:r>
          </w:p>
        </w:tc>
        <w:tc>
          <w:tcPr>
            <w:tcW w:w="847" w:type="dxa"/>
            <w:shd w:val="clear" w:color="auto" w:fill="auto"/>
            <w:vAlign w:val="center"/>
          </w:tcPr>
          <w:p w:rsidR="00385835" w:rsidRPr="00385835" w:rsidRDefault="00EE2A95" w:rsidP="00385835">
            <w:pPr>
              <w:widowControl w:val="0"/>
              <w:tabs>
                <w:tab w:val="left" w:pos="622"/>
              </w:tabs>
              <w:spacing w:after="0" w:line="240" w:lineRule="auto"/>
              <w:jc w:val="center"/>
              <w:rPr>
                <w:rFonts w:ascii="Times New Roman" w:eastAsia="AngsanaUPC" w:hAnsi="Times New Roman"/>
                <w:bCs/>
                <w:iCs/>
                <w:sz w:val="18"/>
                <w:szCs w:val="18"/>
                <w:lang w:eastAsia="lt-LT"/>
              </w:rPr>
            </w:pPr>
            <w:r>
              <w:rPr>
                <w:rFonts w:ascii="Times New Roman" w:eastAsia="AngsanaUPC" w:hAnsi="Times New Roman"/>
                <w:bCs/>
                <w:iCs/>
                <w:sz w:val="18"/>
                <w:szCs w:val="18"/>
                <w:lang w:eastAsia="lt-LT"/>
              </w:rPr>
              <w:t>3</w:t>
            </w:r>
          </w:p>
        </w:tc>
        <w:tc>
          <w:tcPr>
            <w:tcW w:w="996"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Duomenys iš projektų</w:t>
            </w:r>
          </w:p>
        </w:tc>
        <w:tc>
          <w:tcPr>
            <w:tcW w:w="124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bl>
    <w:p w:rsidR="00385835" w:rsidRPr="00385835" w:rsidRDefault="00385835" w:rsidP="00385835">
      <w:pPr>
        <w:spacing w:after="0"/>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746"/>
      </w:tblGrid>
      <w:tr w:rsidR="00385835" w:rsidRPr="00385835" w:rsidTr="00385835">
        <w:tc>
          <w:tcPr>
            <w:tcW w:w="9746"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i/>
                <w:iCs/>
                <w:sz w:val="24"/>
                <w:szCs w:val="24"/>
                <w:lang w:eastAsia="lt-LT"/>
              </w:rPr>
              <w:t>Projektų</w:t>
            </w:r>
            <w:r w:rsidR="00E70E83">
              <w:rPr>
                <w:rFonts w:ascii="Times New Roman" w:eastAsia="AngsanaUPC" w:hAnsi="Times New Roman"/>
                <w:b/>
                <w:bCs/>
                <w:i/>
                <w:iCs/>
                <w:sz w:val="24"/>
                <w:szCs w:val="24"/>
                <w:lang w:eastAsia="lt-LT"/>
              </w:rPr>
              <w:t xml:space="preserve"> </w:t>
            </w:r>
            <w:r w:rsidRPr="00385835">
              <w:rPr>
                <w:rFonts w:ascii="Times New Roman" w:eastAsia="AngsanaUPC" w:hAnsi="Times New Roman"/>
                <w:b/>
                <w:bCs/>
                <w:i/>
                <w:iCs/>
                <w:sz w:val="24"/>
                <w:szCs w:val="24"/>
                <w:lang w:eastAsia="lt-LT"/>
              </w:rPr>
              <w:t>/</w:t>
            </w:r>
            <w:r w:rsidR="00E70E83">
              <w:rPr>
                <w:rFonts w:ascii="Times New Roman" w:eastAsia="AngsanaUPC" w:hAnsi="Times New Roman"/>
                <w:b/>
                <w:bCs/>
                <w:i/>
                <w:iCs/>
                <w:sz w:val="24"/>
                <w:szCs w:val="24"/>
                <w:lang w:eastAsia="lt-LT"/>
              </w:rPr>
              <w:t xml:space="preserve"> </w:t>
            </w:r>
            <w:r w:rsidRPr="00385835">
              <w:rPr>
                <w:rFonts w:ascii="Times New Roman" w:eastAsia="AngsanaUPC" w:hAnsi="Times New Roman"/>
                <w:b/>
                <w:bCs/>
                <w:i/>
                <w:iCs/>
                <w:sz w:val="24"/>
                <w:szCs w:val="24"/>
                <w:lang w:eastAsia="lt-LT"/>
              </w:rPr>
              <w:t>veiksmų atrankos principai</w:t>
            </w:r>
          </w:p>
        </w:tc>
      </w:tr>
      <w:tr w:rsidR="00385835" w:rsidRPr="00385835" w:rsidTr="00385835">
        <w:tc>
          <w:tcPr>
            <w:tcW w:w="9746" w:type="dxa"/>
            <w:shd w:val="clear" w:color="auto" w:fill="auto"/>
          </w:tcPr>
          <w:p w:rsidR="00385835" w:rsidRPr="00385835" w:rsidRDefault="00385835" w:rsidP="00031EF1">
            <w:pPr>
              <w:widowControl w:val="0"/>
              <w:tabs>
                <w:tab w:val="left" w:pos="601"/>
              </w:tabs>
              <w:spacing w:after="0" w:line="240" w:lineRule="auto"/>
              <w:ind w:left="34"/>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Atrenkant projektus bus laikomasi šių pagrindinių principų:</w:t>
            </w:r>
          </w:p>
          <w:p w:rsidR="00385835" w:rsidRPr="00385835" w:rsidRDefault="00385835" w:rsidP="00650E41">
            <w:pPr>
              <w:widowControl w:val="0"/>
              <w:numPr>
                <w:ilvl w:val="0"/>
                <w:numId w:val="60"/>
              </w:numPr>
              <w:tabs>
                <w:tab w:val="left" w:pos="601"/>
              </w:tabs>
              <w:spacing w:after="0" w:line="240" w:lineRule="auto"/>
              <w:ind w:left="34" w:firstLine="0"/>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Teikd</w:t>
            </w:r>
            <w:r w:rsidR="00FF08C5">
              <w:rPr>
                <w:rFonts w:ascii="Times New Roman" w:eastAsia="AngsanaUPC" w:hAnsi="Times New Roman"/>
                <w:bCs/>
                <w:sz w:val="24"/>
                <w:szCs w:val="24"/>
                <w:lang w:eastAsia="lt-LT"/>
              </w:rPr>
              <w:t>ama ES f</w:t>
            </w:r>
            <w:r w:rsidRPr="00385835">
              <w:rPr>
                <w:rFonts w:ascii="Times New Roman" w:eastAsia="AngsanaUPC" w:hAnsi="Times New Roman"/>
                <w:bCs/>
                <w:sz w:val="24"/>
                <w:szCs w:val="24"/>
                <w:lang w:eastAsia="lt-LT"/>
              </w:rPr>
              <w:t xml:space="preserve">ondų finansavimą didelėms įmonėms, vadovaujančioji institucija užtikrins, kad šis finansavimas neturės įtakos reikšmingam darbo vietų mažėjimui kitose </w:t>
            </w:r>
            <w:r w:rsidR="00FF08C5">
              <w:rPr>
                <w:rFonts w:ascii="Times New Roman" w:eastAsia="AngsanaUPC" w:hAnsi="Times New Roman"/>
                <w:bCs/>
                <w:sz w:val="24"/>
                <w:szCs w:val="24"/>
                <w:lang w:eastAsia="lt-LT"/>
              </w:rPr>
              <w:t>ES</w:t>
            </w:r>
            <w:r w:rsidRPr="00385835">
              <w:rPr>
                <w:rFonts w:ascii="Times New Roman" w:eastAsia="AngsanaUPC" w:hAnsi="Times New Roman"/>
                <w:bCs/>
                <w:sz w:val="24"/>
                <w:szCs w:val="24"/>
                <w:lang w:eastAsia="lt-LT"/>
              </w:rPr>
              <w:t xml:space="preserve"> esančiose gyvenamosiose vietovėse.</w:t>
            </w:r>
          </w:p>
          <w:p w:rsidR="00385835" w:rsidRPr="00385835" w:rsidRDefault="00385835" w:rsidP="00650E41">
            <w:pPr>
              <w:widowControl w:val="0"/>
              <w:numPr>
                <w:ilvl w:val="0"/>
                <w:numId w:val="60"/>
              </w:numPr>
              <w:tabs>
                <w:tab w:val="left" w:pos="601"/>
              </w:tabs>
              <w:spacing w:after="0" w:line="240" w:lineRule="auto"/>
              <w:ind w:left="34" w:firstLine="0"/>
              <w:jc w:val="both"/>
              <w:rPr>
                <w:rFonts w:ascii="Times New Roman" w:eastAsia="AngsanaUPC" w:hAnsi="Times New Roman"/>
                <w:bCs/>
                <w:sz w:val="24"/>
                <w:szCs w:val="24"/>
                <w:lang w:eastAsia="lt-LT"/>
              </w:rPr>
            </w:pPr>
            <w:r w:rsidRPr="00385835">
              <w:rPr>
                <w:rFonts w:ascii="Times New Roman" w:eastAsia="AngsanaUPC" w:hAnsi="Times New Roman"/>
                <w:bCs/>
                <w:iCs/>
                <w:sz w:val="24"/>
                <w:szCs w:val="24"/>
                <w:lang w:eastAsia="lt-LT"/>
              </w:rPr>
              <w:t xml:space="preserve">Mokslinių tyrimų, eksperimentinės plėtros ir inovacijų bendradarbiaujant mokslo ir verslo atstovams skatinimas IRT srityje bus finansuojamas per 1 prioritetą; pažymėtina, kad </w:t>
            </w:r>
            <w:proofErr w:type="gramStart"/>
            <w:r w:rsidRPr="00385835">
              <w:rPr>
                <w:rFonts w:ascii="Times New Roman" w:eastAsia="AngsanaUPC" w:hAnsi="Times New Roman"/>
                <w:bCs/>
                <w:iCs/>
                <w:sz w:val="24"/>
                <w:szCs w:val="24"/>
                <w:lang w:eastAsia="lt-LT"/>
              </w:rPr>
              <w:t>IRT</w:t>
            </w:r>
            <w:proofErr w:type="gramEnd"/>
            <w:r w:rsidRPr="00385835">
              <w:rPr>
                <w:rFonts w:ascii="Times New Roman" w:eastAsia="AngsanaUPC" w:hAnsi="Times New Roman"/>
                <w:bCs/>
                <w:iCs/>
                <w:sz w:val="24"/>
                <w:szCs w:val="24"/>
                <w:lang w:eastAsia="lt-LT"/>
              </w:rPr>
              <w:t xml:space="preserve"> yra viena iš prioritetinių MTEP ir inovacijų raidos krypčių, nustatytų Sumanios specializacijos strategijoje.</w:t>
            </w:r>
          </w:p>
          <w:p w:rsidR="00385835" w:rsidRPr="00385835" w:rsidRDefault="00385835" w:rsidP="00650E41">
            <w:pPr>
              <w:widowControl w:val="0"/>
              <w:numPr>
                <w:ilvl w:val="0"/>
                <w:numId w:val="60"/>
              </w:numPr>
              <w:tabs>
                <w:tab w:val="left" w:pos="601"/>
              </w:tabs>
              <w:spacing w:after="0" w:line="240" w:lineRule="auto"/>
              <w:ind w:left="34" w:firstLine="0"/>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Veiksmų programos 2.1 investicinį prioritetą įgyvendinantys projektai bus atrenkami</w:t>
            </w:r>
            <w:r w:rsidRPr="00385835">
              <w:rPr>
                <w:rFonts w:ascii="Times New Roman" w:eastAsia="AngsanaUPC" w:hAnsi="Times New Roman"/>
                <w:bCs/>
                <w:iCs/>
                <w:sz w:val="24"/>
                <w:szCs w:val="24"/>
                <w:lang w:eastAsia="lt-LT"/>
              </w:rPr>
              <w:t xml:space="preserve"> projektų konkurso būdu ir valstybės projektų planavimo būdu (tiesiogiai skiriant subsidiją).</w:t>
            </w:r>
            <w:r w:rsidRPr="00385835">
              <w:rPr>
                <w:rFonts w:ascii="Times New Roman" w:eastAsia="AngsanaUPC" w:hAnsi="Times New Roman"/>
                <w:bCs/>
                <w:sz w:val="24"/>
                <w:szCs w:val="24"/>
                <w:lang w:eastAsia="lt-LT"/>
              </w:rPr>
              <w:t xml:space="preserve"> Jeigu konkrečiam projektui subsidijos skiriamos tiesiogiai, ši procedūra atitiks sąlygas, nustatytas Bendrųjų nuostatų reglamento 125.3 str. (a) dalyje (ii) punkte. Subsidijų skyrimo procedūra bus nediskriminuojanti ir skaidri.</w:t>
            </w:r>
          </w:p>
          <w:p w:rsidR="00385835" w:rsidRPr="00385835" w:rsidRDefault="00385835" w:rsidP="00650E41">
            <w:pPr>
              <w:widowControl w:val="0"/>
              <w:numPr>
                <w:ilvl w:val="0"/>
                <w:numId w:val="60"/>
              </w:numPr>
              <w:tabs>
                <w:tab w:val="left" w:pos="601"/>
              </w:tabs>
              <w:spacing w:after="0" w:line="240" w:lineRule="auto"/>
              <w:ind w:left="34" w:firstLine="0"/>
              <w:jc w:val="both"/>
              <w:rPr>
                <w:rFonts w:ascii="Times New Roman" w:eastAsia="AngsanaUPC" w:hAnsi="Times New Roman"/>
                <w:bCs/>
                <w:sz w:val="24"/>
                <w:szCs w:val="24"/>
                <w:lang w:eastAsia="lt-LT"/>
              </w:rPr>
            </w:pPr>
            <w:r w:rsidRPr="00385835">
              <w:rPr>
                <w:rFonts w:ascii="Times New Roman" w:eastAsia="AngsanaUPC" w:hAnsi="Times New Roman"/>
                <w:bCs/>
                <w:iCs/>
                <w:sz w:val="24"/>
                <w:szCs w:val="24"/>
                <w:lang w:eastAsia="lt-LT"/>
              </w:rPr>
              <w:t>Įgyvendinant šį investicinį prioritetą, planuojama tiesioginė parama projektų vykdytojams užtikrins, kad valstybės investicijos bus skiriamos tik tokia apimtimi, kuri būtina, kad ištais</w:t>
            </w:r>
            <w:r w:rsidR="00240913">
              <w:rPr>
                <w:rFonts w:ascii="Times New Roman" w:eastAsia="AngsanaUPC" w:hAnsi="Times New Roman"/>
                <w:bCs/>
                <w:iCs/>
                <w:sz w:val="24"/>
                <w:szCs w:val="24"/>
                <w:lang w:eastAsia="lt-LT"/>
              </w:rPr>
              <w:t>ytų</w:t>
            </w:r>
            <w:r w:rsidRPr="00385835">
              <w:rPr>
                <w:rFonts w:ascii="Times New Roman" w:eastAsia="AngsanaUPC" w:hAnsi="Times New Roman"/>
                <w:bCs/>
                <w:iCs/>
                <w:sz w:val="24"/>
                <w:szCs w:val="24"/>
                <w:lang w:eastAsia="lt-LT"/>
              </w:rPr>
              <w:t xml:space="preserve"> rinkos trūkumus (t.y. bus investuojama tik į naujos kartos interneto prieigos „baltąsias“ sritis, o valstybės paramą gavę subjektai veiks laikydamiesi ES konkurencijos taisyklių).</w:t>
            </w:r>
          </w:p>
          <w:p w:rsidR="00385835" w:rsidRPr="00385835" w:rsidRDefault="00385835" w:rsidP="00650E41">
            <w:pPr>
              <w:widowControl w:val="0"/>
              <w:numPr>
                <w:ilvl w:val="0"/>
                <w:numId w:val="60"/>
              </w:numPr>
              <w:tabs>
                <w:tab w:val="left" w:pos="601"/>
              </w:tabs>
              <w:spacing w:after="0" w:line="240" w:lineRule="auto"/>
              <w:ind w:left="34" w:firstLine="0"/>
              <w:jc w:val="both"/>
              <w:rPr>
                <w:rFonts w:ascii="Times New Roman" w:eastAsia="AngsanaUPC" w:hAnsi="Times New Roman"/>
                <w:bCs/>
                <w:sz w:val="24"/>
                <w:szCs w:val="24"/>
                <w:lang w:eastAsia="lt-LT"/>
              </w:rPr>
            </w:pPr>
            <w:r w:rsidRPr="00385835">
              <w:rPr>
                <w:rFonts w:ascii="Times New Roman" w:eastAsia="AngsanaUPC" w:hAnsi="Times New Roman"/>
                <w:bCs/>
                <w:iCs/>
                <w:sz w:val="24"/>
                <w:szCs w:val="24"/>
                <w:lang w:eastAsia="lt-LT"/>
              </w:rPr>
              <w:t>Investicijos pagal šį prioritetą bus derinamos su panašiais veiksmais numatytais Lietuvos 2014–2020 m. kaimo plėtros veiksmų programoje.</w:t>
            </w:r>
          </w:p>
          <w:p w:rsidR="00385835" w:rsidRPr="00385835" w:rsidRDefault="00385835" w:rsidP="00650E41">
            <w:pPr>
              <w:widowControl w:val="0"/>
              <w:numPr>
                <w:ilvl w:val="0"/>
                <w:numId w:val="60"/>
              </w:numPr>
              <w:tabs>
                <w:tab w:val="left" w:pos="601"/>
              </w:tabs>
              <w:spacing w:after="0" w:line="240" w:lineRule="auto"/>
              <w:ind w:left="34" w:firstLine="0"/>
              <w:jc w:val="both"/>
              <w:rPr>
                <w:rFonts w:ascii="Times New Roman" w:eastAsia="AngsanaUPC" w:hAnsi="Times New Roman"/>
                <w:bCs/>
                <w:sz w:val="24"/>
                <w:szCs w:val="24"/>
                <w:lang w:eastAsia="lt-LT"/>
              </w:rPr>
            </w:pPr>
            <w:r w:rsidRPr="00385835">
              <w:rPr>
                <w:rFonts w:ascii="Times New Roman" w:eastAsia="AngsanaUPC" w:hAnsi="Times New Roman"/>
                <w:bCs/>
                <w:iCs/>
                <w:sz w:val="24"/>
                <w:szCs w:val="24"/>
                <w:lang w:eastAsia="lt-LT"/>
              </w:rPr>
              <w:t>Veiksmų programos 2.2 investicinį prioritetą įgyvendinantys projektai bus atrenkami projektų konkurso būdu ir valstybės projektų planavimo būdu (tiesiogiai skiriant subsidiją). Jeigu konkrečiam projektui subsidijos skiriamos tiesiogiai, ši procedūra atitiks sąlygas, nustatytas Bendrųjų nuostatų reglamento 125.3 str. (a) dalyje (ii) punkte. Subsidijų skyrimo procedūra bus nediskriminuojanti ir skaidri.</w:t>
            </w:r>
          </w:p>
          <w:p w:rsidR="00385835" w:rsidRPr="00385835" w:rsidRDefault="00385835" w:rsidP="00650E41">
            <w:pPr>
              <w:widowControl w:val="0"/>
              <w:numPr>
                <w:ilvl w:val="0"/>
                <w:numId w:val="60"/>
              </w:numPr>
              <w:tabs>
                <w:tab w:val="left" w:pos="601"/>
              </w:tabs>
              <w:spacing w:after="0" w:line="240" w:lineRule="auto"/>
              <w:ind w:left="34" w:firstLine="0"/>
              <w:jc w:val="both"/>
              <w:rPr>
                <w:rFonts w:ascii="Times New Roman" w:eastAsia="AngsanaUPC" w:hAnsi="Times New Roman"/>
                <w:bCs/>
                <w:sz w:val="24"/>
                <w:szCs w:val="24"/>
                <w:lang w:eastAsia="lt-LT"/>
              </w:rPr>
            </w:pPr>
            <w:r w:rsidRPr="00385835">
              <w:rPr>
                <w:rFonts w:ascii="Times New Roman" w:eastAsia="AngsanaUPC" w:hAnsi="Times New Roman"/>
                <w:bCs/>
                <w:iCs/>
                <w:sz w:val="24"/>
                <w:szCs w:val="24"/>
                <w:lang w:eastAsia="lt-LT"/>
              </w:rPr>
              <w:t>Investicijos pagal šį prioritetą bus derinamos su panašiais veiksmais numatytais Lietuvos 2014–2020 m. kaimo plėtros veiksmų programoje.</w:t>
            </w:r>
          </w:p>
          <w:p w:rsidR="00385835" w:rsidRPr="00385835" w:rsidRDefault="00385835" w:rsidP="00650E41">
            <w:pPr>
              <w:widowControl w:val="0"/>
              <w:numPr>
                <w:ilvl w:val="0"/>
                <w:numId w:val="60"/>
              </w:numPr>
              <w:tabs>
                <w:tab w:val="left" w:pos="601"/>
              </w:tabs>
              <w:spacing w:after="0" w:line="240" w:lineRule="auto"/>
              <w:ind w:left="34" w:firstLine="0"/>
              <w:jc w:val="both"/>
              <w:rPr>
                <w:rFonts w:ascii="Times New Roman" w:eastAsia="AngsanaUPC" w:hAnsi="Times New Roman"/>
                <w:bCs/>
                <w:sz w:val="24"/>
                <w:szCs w:val="24"/>
                <w:lang w:eastAsia="lt-LT"/>
              </w:rPr>
            </w:pPr>
            <w:r w:rsidRPr="00385835">
              <w:rPr>
                <w:rFonts w:ascii="Times New Roman" w:eastAsia="AngsanaUPC" w:hAnsi="Times New Roman"/>
                <w:bCs/>
                <w:iCs/>
                <w:sz w:val="24"/>
                <w:szCs w:val="24"/>
                <w:lang w:eastAsia="lt-LT"/>
              </w:rPr>
              <w:t xml:space="preserve">Veiksmų programos 2.3. investicinį prioritetą įgyvendinantys projektai bus atrenkami projektų konkurso būdu ir valstybės projektų planavimo būdu (tiesiogiai skiriant subsidiją). Jeigu konkrečiam projektui subsidijos skiriamos tiesiogiai, ši procedūra atitiks sąlygas, nustatytas </w:t>
            </w:r>
            <w:r w:rsidRPr="00385835">
              <w:rPr>
                <w:rFonts w:ascii="Times New Roman" w:eastAsia="AngsanaUPC" w:hAnsi="Times New Roman"/>
                <w:bCs/>
                <w:iCs/>
                <w:sz w:val="24"/>
                <w:szCs w:val="24"/>
                <w:lang w:eastAsia="lt-LT"/>
              </w:rPr>
              <w:lastRenderedPageBreak/>
              <w:t>Bendrųjų nuostatų reglamento 125.3 str. (a) dalyje (ii) punkte. Subsidijų skyrimo procedūra bus nediskriminuojanti ir skaidri.</w:t>
            </w:r>
          </w:p>
          <w:p w:rsidR="00385835" w:rsidRPr="00385835" w:rsidRDefault="00385835" w:rsidP="00650E41">
            <w:pPr>
              <w:widowControl w:val="0"/>
              <w:numPr>
                <w:ilvl w:val="0"/>
                <w:numId w:val="60"/>
              </w:numPr>
              <w:tabs>
                <w:tab w:val="left" w:pos="601"/>
              </w:tabs>
              <w:spacing w:after="0" w:line="240" w:lineRule="auto"/>
              <w:ind w:left="34" w:firstLine="0"/>
              <w:jc w:val="both"/>
              <w:rPr>
                <w:rFonts w:ascii="Times New Roman" w:eastAsia="AngsanaUPC" w:hAnsi="Times New Roman"/>
                <w:bCs/>
                <w:sz w:val="24"/>
                <w:szCs w:val="24"/>
                <w:lang w:eastAsia="lt-LT"/>
              </w:rPr>
            </w:pPr>
            <w:r w:rsidRPr="00385835">
              <w:rPr>
                <w:rFonts w:ascii="Times New Roman" w:eastAsia="AngsanaUPC" w:hAnsi="Times New Roman"/>
                <w:bCs/>
                <w:iCs/>
                <w:sz w:val="24"/>
                <w:szCs w:val="24"/>
                <w:lang w:eastAsia="lt-LT"/>
              </w:rPr>
              <w:t>2.3.1. konkretaus uždavinio veiklos, bus derinamos su 10 prioriteto apimtyje numatomomis įgyvendinti iniciatyvomis, skirtomis didinti viešojo sektoriaus paslaugų kokybę.</w:t>
            </w:r>
          </w:p>
          <w:p w:rsidR="00385835" w:rsidRPr="001E0FD8" w:rsidRDefault="00385835" w:rsidP="00650E41">
            <w:pPr>
              <w:widowControl w:val="0"/>
              <w:numPr>
                <w:ilvl w:val="0"/>
                <w:numId w:val="60"/>
              </w:numPr>
              <w:tabs>
                <w:tab w:val="left" w:pos="601"/>
              </w:tabs>
              <w:spacing w:after="0" w:line="240" w:lineRule="auto"/>
              <w:ind w:left="34" w:firstLine="0"/>
              <w:jc w:val="both"/>
              <w:rPr>
                <w:rFonts w:ascii="Times New Roman" w:eastAsia="AngsanaUPC" w:hAnsi="Times New Roman"/>
                <w:bCs/>
                <w:sz w:val="24"/>
                <w:szCs w:val="24"/>
                <w:lang w:eastAsia="lt-LT"/>
              </w:rPr>
            </w:pPr>
            <w:r w:rsidRPr="00385835">
              <w:rPr>
                <w:rFonts w:ascii="Times New Roman" w:eastAsia="AngsanaUPC" w:hAnsi="Times New Roman"/>
                <w:bCs/>
                <w:iCs/>
                <w:sz w:val="24"/>
                <w:szCs w:val="24"/>
                <w:lang w:eastAsia="lt-LT"/>
              </w:rPr>
              <w:t>Verslo įmonių iniciatyvos, diegiant ir tobulinant elektroninio verslo sprendimus, skirtus optimizuoti su gamybos ir (ar) paslaugų teikimu ir veiklos organizavimu susijusius verslo procesus, bus finansuojamos pagal 3 prioritetą.</w:t>
            </w:r>
          </w:p>
          <w:p w:rsidR="001E0FD8" w:rsidRPr="003E71A2" w:rsidRDefault="001E0FD8" w:rsidP="001E0FD8">
            <w:pPr>
              <w:widowControl w:val="0"/>
              <w:tabs>
                <w:tab w:val="left" w:pos="601"/>
              </w:tabs>
              <w:spacing w:after="0" w:line="240" w:lineRule="auto"/>
              <w:ind w:left="34"/>
              <w:jc w:val="both"/>
              <w:rPr>
                <w:rFonts w:ascii="Times New Roman" w:eastAsia="AngsanaUPC" w:hAnsi="Times New Roman"/>
                <w:bCs/>
                <w:sz w:val="24"/>
                <w:szCs w:val="24"/>
                <w:lang w:eastAsia="lt-LT"/>
              </w:rPr>
            </w:pPr>
            <w:r w:rsidRPr="003E71A2">
              <w:rPr>
                <w:rFonts w:ascii="Times New Roman" w:eastAsia="AngsanaUPC" w:hAnsi="Times New Roman"/>
                <w:bCs/>
                <w:iCs/>
                <w:sz w:val="24"/>
                <w:szCs w:val="24"/>
                <w:lang w:eastAsia="lt-LT"/>
              </w:rPr>
              <w:t xml:space="preserve">* Esant pagrįstam poreikiui pagal kiekvieną investicinį prioritetą gali būti taikomi ir kiti projektų atrankos būdai nurodyti pirmojo prioriteto dalyje </w:t>
            </w:r>
            <w:r w:rsidRPr="003E71A2">
              <w:rPr>
                <w:rFonts w:ascii="Times New Roman" w:eastAsia="AngsanaUPC" w:hAnsi="Times New Roman"/>
                <w:bCs/>
                <w:i/>
                <w:iCs/>
                <w:sz w:val="24"/>
                <w:szCs w:val="24"/>
                <w:lang w:eastAsia="lt-LT"/>
              </w:rPr>
              <w:t>„Projektų/veiksmų atrankos principai</w:t>
            </w:r>
            <w:r w:rsidR="003E71A2">
              <w:rPr>
                <w:rFonts w:ascii="Times New Roman" w:eastAsia="AngsanaUPC" w:hAnsi="Times New Roman"/>
                <w:bCs/>
                <w:i/>
                <w:iCs/>
                <w:sz w:val="24"/>
                <w:szCs w:val="24"/>
                <w:lang w:eastAsia="lt-LT"/>
              </w:rPr>
              <w:t>“</w:t>
            </w:r>
            <w:r w:rsidRPr="003E71A2">
              <w:rPr>
                <w:rFonts w:ascii="Times New Roman" w:eastAsia="AngsanaUPC" w:hAnsi="Times New Roman"/>
                <w:bCs/>
                <w:i/>
                <w:iCs/>
                <w:sz w:val="24"/>
                <w:szCs w:val="24"/>
                <w:lang w:eastAsia="lt-LT"/>
              </w:rPr>
              <w:t>.</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i/>
          <w:i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746"/>
      </w:tblGrid>
      <w:tr w:rsidR="00385835" w:rsidRPr="00385835" w:rsidTr="00385835">
        <w:tc>
          <w:tcPr>
            <w:tcW w:w="9746"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i/>
                <w:iCs/>
                <w:sz w:val="24"/>
                <w:szCs w:val="24"/>
                <w:lang w:eastAsia="lt-LT"/>
              </w:rPr>
              <w:t>Finansiniai instrumentai ir jų aprašymas</w:t>
            </w:r>
          </w:p>
        </w:tc>
      </w:tr>
      <w:tr w:rsidR="00385835" w:rsidRPr="00385835" w:rsidTr="00385835">
        <w:tc>
          <w:tcPr>
            <w:tcW w:w="9746" w:type="dxa"/>
            <w:shd w:val="clear" w:color="auto" w:fill="auto"/>
          </w:tcPr>
          <w:p w:rsidR="00385835" w:rsidRPr="00385835" w:rsidRDefault="00385835" w:rsidP="00385835">
            <w:pPr>
              <w:widowControl w:val="0"/>
              <w:tabs>
                <w:tab w:val="left" w:pos="622"/>
              </w:tabs>
              <w:spacing w:after="0" w:line="240" w:lineRule="auto"/>
              <w:ind w:firstLine="624"/>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Šiuo metu šio veiksmų programos prioriteto investiciniams prioritetams įgyvendinti finansinių instrumentų taikyti nenumatoma, tačiau įgyvendinimo metu atsižvelgiant į išankstinio (</w:t>
            </w:r>
            <w:r w:rsidRPr="00385835">
              <w:rPr>
                <w:rFonts w:ascii="Times New Roman" w:eastAsia="AngsanaUPC" w:hAnsi="Times New Roman"/>
                <w:bCs/>
                <w:i/>
                <w:iCs/>
                <w:sz w:val="24"/>
                <w:szCs w:val="24"/>
                <w:lang w:eastAsia="lt-LT"/>
              </w:rPr>
              <w:t>ex ante</w:t>
            </w:r>
            <w:r w:rsidRPr="00385835">
              <w:rPr>
                <w:rFonts w:ascii="Times New Roman" w:eastAsia="AngsanaUPC" w:hAnsi="Times New Roman"/>
                <w:bCs/>
                <w:iCs/>
                <w:sz w:val="24"/>
                <w:szCs w:val="24"/>
                <w:lang w:eastAsia="lt-LT"/>
              </w:rPr>
              <w:t>) vertinimo rezultatus gali būti numatytas finansinių instrumentų taikymas.</w:t>
            </w:r>
          </w:p>
        </w:tc>
      </w:tr>
    </w:tbl>
    <w:p w:rsidR="00385835" w:rsidRPr="00385835" w:rsidRDefault="00385835" w:rsidP="00385835">
      <w:pPr>
        <w:widowControl w:val="0"/>
        <w:tabs>
          <w:tab w:val="left" w:pos="622"/>
        </w:tabs>
        <w:spacing w:after="0" w:line="240" w:lineRule="auto"/>
        <w:jc w:val="both"/>
        <w:rPr>
          <w:rFonts w:ascii="Times New Roman" w:hAnsi="Times New Roman"/>
          <w:i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746"/>
      </w:tblGrid>
      <w:tr w:rsidR="00385835" w:rsidRPr="00385835" w:rsidTr="00385835">
        <w:tc>
          <w:tcPr>
            <w:tcW w:w="9746" w:type="dxa"/>
            <w:shd w:val="clear" w:color="auto" w:fill="EEECE1"/>
          </w:tcPr>
          <w:p w:rsidR="00385835" w:rsidRPr="00385835" w:rsidRDefault="00385835" w:rsidP="00385835">
            <w:pPr>
              <w:spacing w:after="0"/>
              <w:rPr>
                <w:rFonts w:ascii="Times New Roman" w:hAnsi="Times New Roman"/>
                <w:b/>
                <w:bCs/>
                <w:sz w:val="24"/>
                <w:szCs w:val="24"/>
              </w:rPr>
            </w:pPr>
            <w:r w:rsidRPr="00385835">
              <w:rPr>
                <w:rFonts w:ascii="Times New Roman" w:hAnsi="Times New Roman"/>
                <w:b/>
                <w:bCs/>
                <w:i/>
                <w:iCs/>
                <w:sz w:val="24"/>
                <w:szCs w:val="24"/>
              </w:rPr>
              <w:t>Didelės apimties projektai</w:t>
            </w:r>
          </w:p>
        </w:tc>
      </w:tr>
      <w:tr w:rsidR="00385835" w:rsidRPr="00385835" w:rsidTr="00385835">
        <w:tc>
          <w:tcPr>
            <w:tcW w:w="9746" w:type="dxa"/>
            <w:shd w:val="clear" w:color="auto" w:fill="auto"/>
          </w:tcPr>
          <w:p w:rsidR="00385835" w:rsidRPr="00385835" w:rsidRDefault="00385835" w:rsidP="00385835">
            <w:pPr>
              <w:spacing w:after="0" w:line="240" w:lineRule="auto"/>
              <w:ind w:firstLine="624"/>
              <w:rPr>
                <w:rFonts w:ascii="Times New Roman" w:hAnsi="Times New Roman"/>
                <w:bCs/>
                <w:iCs/>
                <w:sz w:val="24"/>
                <w:szCs w:val="24"/>
              </w:rPr>
            </w:pPr>
            <w:r w:rsidRPr="00385835">
              <w:rPr>
                <w:rFonts w:ascii="Times New Roman" w:hAnsi="Times New Roman"/>
                <w:bCs/>
                <w:iCs/>
                <w:sz w:val="24"/>
                <w:szCs w:val="24"/>
              </w:rPr>
              <w:t>Pagal šį veiksmų programos prioritetą didelės apimties projektų vykdyti nenumatoma.</w:t>
            </w:r>
          </w:p>
        </w:tc>
      </w:tr>
    </w:tbl>
    <w:p w:rsidR="00385835" w:rsidRPr="00385835" w:rsidRDefault="00385835" w:rsidP="00385835">
      <w:pPr>
        <w:widowControl w:val="0"/>
        <w:tabs>
          <w:tab w:val="left" w:pos="622"/>
        </w:tabs>
        <w:spacing w:after="0" w:line="240" w:lineRule="auto"/>
        <w:jc w:val="both"/>
        <w:rPr>
          <w:rFonts w:ascii="Times New Roman" w:hAnsi="Times New Roman"/>
          <w:iCs/>
          <w:sz w:val="24"/>
          <w:szCs w:val="24"/>
        </w:rPr>
      </w:pPr>
    </w:p>
    <w:p w:rsidR="00385835" w:rsidRPr="00385835" w:rsidRDefault="00385835" w:rsidP="00385835">
      <w:pPr>
        <w:widowControl w:val="0"/>
        <w:tabs>
          <w:tab w:val="left" w:pos="622"/>
        </w:tabs>
        <w:spacing w:after="0" w:line="240" w:lineRule="auto"/>
        <w:jc w:val="both"/>
        <w:rPr>
          <w:rFonts w:ascii="Times New Roman" w:eastAsia="AngsanaUPC" w:hAnsi="Times New Roman"/>
          <w:b/>
          <w:bCs/>
          <w:i/>
          <w:iCs/>
          <w:sz w:val="24"/>
          <w:szCs w:val="24"/>
          <w:lang w:eastAsia="lt-LT"/>
        </w:rPr>
        <w:sectPr w:rsidR="00385835" w:rsidRPr="00385835" w:rsidSect="007E2373">
          <w:pgSz w:w="11906" w:h="16838" w:code="9"/>
          <w:pgMar w:top="1701" w:right="567" w:bottom="1134" w:left="1701" w:header="567" w:footer="567" w:gutter="0"/>
          <w:cols w:space="1296"/>
          <w:docGrid w:linePitch="360"/>
        </w:sectPr>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1276"/>
        <w:gridCol w:w="1985"/>
        <w:gridCol w:w="850"/>
        <w:gridCol w:w="709"/>
        <w:gridCol w:w="850"/>
        <w:gridCol w:w="993"/>
        <w:gridCol w:w="1134"/>
        <w:gridCol w:w="992"/>
        <w:gridCol w:w="5245"/>
      </w:tblGrid>
      <w:tr w:rsidR="00385835" w:rsidRPr="00385835" w:rsidTr="00385835">
        <w:trPr>
          <w:tblHeader/>
        </w:trPr>
        <w:tc>
          <w:tcPr>
            <w:tcW w:w="14034" w:type="dxa"/>
            <w:gridSpan w:val="9"/>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i/>
                <w:iCs/>
                <w:sz w:val="24"/>
                <w:szCs w:val="24"/>
                <w:lang w:eastAsia="lt-LT"/>
              </w:rPr>
              <w:lastRenderedPageBreak/>
              <w:t>Prioriteto veiklos rezultatų peržiūros planas</w:t>
            </w:r>
          </w:p>
        </w:tc>
      </w:tr>
      <w:tr w:rsidR="00385835" w:rsidRPr="00385835" w:rsidTr="00812737">
        <w:trPr>
          <w:cantSplit/>
          <w:trHeight w:val="1134"/>
          <w:tblHeader/>
        </w:trPr>
        <w:tc>
          <w:tcPr>
            <w:tcW w:w="1276"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Rodiklio rūšis</w:t>
            </w:r>
          </w:p>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(įgyvendinimo žingsniai, finansinis, produkto ir rezultato rodiklis)</w:t>
            </w:r>
          </w:p>
        </w:tc>
        <w:tc>
          <w:tcPr>
            <w:tcW w:w="1985"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Rodiklio apibrėžimas arba įgyvendinimo žingsnis</w:t>
            </w:r>
          </w:p>
        </w:tc>
        <w:tc>
          <w:tcPr>
            <w:tcW w:w="850"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Matavimo vienetas</w:t>
            </w:r>
          </w:p>
        </w:tc>
        <w:tc>
          <w:tcPr>
            <w:tcW w:w="709"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Fondas</w:t>
            </w:r>
          </w:p>
        </w:tc>
        <w:tc>
          <w:tcPr>
            <w:tcW w:w="850"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Regiono kategorija</w:t>
            </w:r>
          </w:p>
        </w:tc>
        <w:tc>
          <w:tcPr>
            <w:tcW w:w="993"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Tarpinė reikšmė (2018)</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Siektina reikšmė (2023)</w:t>
            </w:r>
          </w:p>
        </w:tc>
        <w:tc>
          <w:tcPr>
            <w:tcW w:w="992"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Duomenų šaltinis</w:t>
            </w:r>
          </w:p>
        </w:tc>
        <w:tc>
          <w:tcPr>
            <w:tcW w:w="5245"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Rodiklių tinkamumo pagrindimas</w:t>
            </w:r>
          </w:p>
        </w:tc>
      </w:tr>
      <w:tr w:rsidR="00385835" w:rsidRPr="00385835" w:rsidTr="00812737">
        <w:tc>
          <w:tcPr>
            <w:tcW w:w="1276" w:type="dxa"/>
            <w:shd w:val="clear" w:color="auto" w:fill="FFFFFF"/>
          </w:tcPr>
          <w:p w:rsidR="00385835" w:rsidRPr="00385835" w:rsidRDefault="00385835" w:rsidP="00385835">
            <w:pPr>
              <w:spacing w:after="0" w:line="240" w:lineRule="auto"/>
              <w:rPr>
                <w:rFonts w:ascii="Times New Roman" w:hAnsi="Times New Roman"/>
                <w:sz w:val="16"/>
                <w:szCs w:val="16"/>
              </w:rPr>
            </w:pPr>
            <w:r w:rsidRPr="00385835">
              <w:rPr>
                <w:rFonts w:ascii="Times New Roman" w:hAnsi="Times New Roman"/>
                <w:sz w:val="16"/>
                <w:szCs w:val="16"/>
              </w:rPr>
              <w:t>Finansinis</w:t>
            </w:r>
            <w:r w:rsidRPr="00385835">
              <w:rPr>
                <w:rFonts w:eastAsia="AngsanaUPC"/>
                <w:bCs/>
                <w:iCs/>
                <w:sz w:val="18"/>
                <w:szCs w:val="18"/>
              </w:rPr>
              <w:t xml:space="preserve"> </w:t>
            </w:r>
            <w:r w:rsidRPr="00385835">
              <w:rPr>
                <w:rFonts w:ascii="Times New Roman" w:hAnsi="Times New Roman"/>
                <w:sz w:val="16"/>
                <w:szCs w:val="16"/>
              </w:rPr>
              <w:t>rodiklis</w:t>
            </w:r>
          </w:p>
        </w:tc>
        <w:tc>
          <w:tcPr>
            <w:tcW w:w="1985" w:type="dxa"/>
            <w:shd w:val="clear" w:color="auto" w:fill="FFFFFF"/>
          </w:tcPr>
          <w:p w:rsidR="00385835" w:rsidRPr="00385835" w:rsidRDefault="00385835" w:rsidP="00385835">
            <w:pPr>
              <w:spacing w:after="0" w:line="240" w:lineRule="auto"/>
              <w:rPr>
                <w:rFonts w:ascii="Times New Roman" w:hAnsi="Times New Roman"/>
                <w:i/>
                <w:sz w:val="16"/>
                <w:szCs w:val="16"/>
              </w:rPr>
            </w:pPr>
            <w:r w:rsidRPr="00385835">
              <w:rPr>
                <w:rFonts w:ascii="Times New Roman" w:hAnsi="Times New Roman"/>
                <w:color w:val="000000"/>
                <w:sz w:val="16"/>
                <w:szCs w:val="16"/>
              </w:rPr>
              <w:t>Bendra tinkamų finansuoti išlaidų suma</w:t>
            </w:r>
            <w:r w:rsidR="00442A2A">
              <w:rPr>
                <w:rFonts w:ascii="Times New Roman" w:hAnsi="Times New Roman"/>
                <w:color w:val="000000"/>
                <w:sz w:val="16"/>
                <w:szCs w:val="16"/>
              </w:rPr>
              <w:t>,</w:t>
            </w:r>
            <w:r w:rsidRPr="00385835">
              <w:rPr>
                <w:rFonts w:ascii="Times New Roman" w:hAnsi="Times New Roman"/>
                <w:color w:val="000000"/>
                <w:sz w:val="16"/>
                <w:szCs w:val="16"/>
              </w:rPr>
              <w:t xml:space="preserve"> pripažinta tinkama deklaruoti EK</w:t>
            </w:r>
          </w:p>
        </w:tc>
        <w:tc>
          <w:tcPr>
            <w:tcW w:w="850" w:type="dxa"/>
            <w:shd w:val="clear" w:color="auto" w:fill="FFFFFF"/>
          </w:tcPr>
          <w:p w:rsidR="00385835" w:rsidRPr="00385835" w:rsidRDefault="00385835" w:rsidP="00385835">
            <w:pPr>
              <w:spacing w:after="0" w:line="240" w:lineRule="auto"/>
              <w:jc w:val="center"/>
              <w:rPr>
                <w:rFonts w:ascii="Times New Roman" w:hAnsi="Times New Roman"/>
                <w:i/>
                <w:sz w:val="16"/>
                <w:szCs w:val="16"/>
              </w:rPr>
            </w:pPr>
            <w:r w:rsidRPr="00385835">
              <w:rPr>
                <w:rFonts w:ascii="Times New Roman" w:hAnsi="Times New Roman"/>
                <w:sz w:val="16"/>
                <w:szCs w:val="16"/>
              </w:rPr>
              <w:t>Eurai</w:t>
            </w:r>
          </w:p>
        </w:tc>
        <w:tc>
          <w:tcPr>
            <w:tcW w:w="709" w:type="dxa"/>
            <w:shd w:val="clear" w:color="auto" w:fill="FFFFFF"/>
          </w:tcPr>
          <w:p w:rsidR="00385835" w:rsidRPr="00385835" w:rsidRDefault="00385835" w:rsidP="00385835">
            <w:pPr>
              <w:spacing w:after="0" w:line="240" w:lineRule="auto"/>
              <w:jc w:val="center"/>
              <w:rPr>
                <w:rFonts w:ascii="Times New Roman" w:hAnsi="Times New Roman"/>
                <w:sz w:val="16"/>
                <w:szCs w:val="16"/>
              </w:rPr>
            </w:pPr>
            <w:r w:rsidRPr="00385835">
              <w:rPr>
                <w:rFonts w:ascii="Times New Roman" w:hAnsi="Times New Roman"/>
                <w:sz w:val="16"/>
                <w:szCs w:val="16"/>
              </w:rPr>
              <w:t>ERPF</w:t>
            </w:r>
          </w:p>
        </w:tc>
        <w:tc>
          <w:tcPr>
            <w:tcW w:w="850" w:type="dxa"/>
            <w:shd w:val="clear" w:color="auto" w:fill="FFFFFF"/>
          </w:tcPr>
          <w:p w:rsidR="00385835" w:rsidRPr="00385835" w:rsidRDefault="00385835" w:rsidP="00385835">
            <w:pPr>
              <w:spacing w:after="0" w:line="240" w:lineRule="auto"/>
              <w:jc w:val="center"/>
              <w:rPr>
                <w:rFonts w:ascii="Times New Roman" w:hAnsi="Times New Roman"/>
                <w:sz w:val="16"/>
                <w:szCs w:val="16"/>
              </w:rPr>
            </w:pPr>
            <w:r w:rsidRPr="00385835">
              <w:rPr>
                <w:rFonts w:ascii="Times New Roman" w:hAnsi="Times New Roman"/>
                <w:sz w:val="16"/>
                <w:szCs w:val="16"/>
              </w:rPr>
              <w:t>Mažiau išsivystęs</w:t>
            </w:r>
          </w:p>
        </w:tc>
        <w:tc>
          <w:tcPr>
            <w:tcW w:w="993" w:type="dxa"/>
            <w:shd w:val="clear" w:color="auto" w:fill="FFFFFF"/>
          </w:tcPr>
          <w:p w:rsidR="00AD3326" w:rsidRPr="00DB150F" w:rsidRDefault="00DB150F" w:rsidP="0070076F">
            <w:pPr>
              <w:jc w:val="center"/>
              <w:rPr>
                <w:rFonts w:ascii="Times New Roman" w:hAnsi="Times New Roman"/>
                <w:b/>
                <w:sz w:val="16"/>
                <w:szCs w:val="16"/>
              </w:rPr>
            </w:pPr>
            <w:r w:rsidRPr="00346968">
              <w:rPr>
                <w:rFonts w:ascii="Times New Roman" w:hAnsi="Times New Roman"/>
                <w:sz w:val="16"/>
                <w:szCs w:val="16"/>
              </w:rPr>
              <w:t>20.817.568</w:t>
            </w:r>
          </w:p>
        </w:tc>
        <w:tc>
          <w:tcPr>
            <w:tcW w:w="1134" w:type="dxa"/>
            <w:shd w:val="clear" w:color="auto" w:fill="FFFFFF"/>
          </w:tcPr>
          <w:p w:rsidR="00385835" w:rsidRPr="00D54F90" w:rsidRDefault="00EE2A95" w:rsidP="00954D8D">
            <w:pPr>
              <w:jc w:val="center"/>
              <w:rPr>
                <w:rFonts w:ascii="Times New Roman" w:hAnsi="Times New Roman"/>
                <w:sz w:val="16"/>
                <w:szCs w:val="16"/>
              </w:rPr>
            </w:pPr>
            <w:r w:rsidRPr="00891769">
              <w:rPr>
                <w:rFonts w:ascii="Times New Roman" w:hAnsi="Times New Roman"/>
                <w:sz w:val="16"/>
                <w:szCs w:val="16"/>
              </w:rPr>
              <w:t>2</w:t>
            </w:r>
            <w:r w:rsidR="005F6EE3" w:rsidRPr="00891769">
              <w:rPr>
                <w:rFonts w:ascii="Times New Roman" w:hAnsi="Times New Roman"/>
                <w:sz w:val="16"/>
                <w:szCs w:val="16"/>
              </w:rPr>
              <w:t>12</w:t>
            </w:r>
            <w:r w:rsidR="00D90882" w:rsidRPr="00891769">
              <w:rPr>
                <w:rFonts w:ascii="Times New Roman" w:hAnsi="Times New Roman"/>
                <w:sz w:val="16"/>
                <w:szCs w:val="16"/>
              </w:rPr>
              <w:t>.</w:t>
            </w:r>
            <w:r w:rsidR="005F6EE3" w:rsidRPr="00891769">
              <w:rPr>
                <w:rFonts w:ascii="Times New Roman" w:hAnsi="Times New Roman"/>
                <w:sz w:val="16"/>
                <w:szCs w:val="16"/>
              </w:rPr>
              <w:t>102</w:t>
            </w:r>
            <w:r w:rsidR="00D90882" w:rsidRPr="00891769">
              <w:rPr>
                <w:rFonts w:ascii="Times New Roman" w:hAnsi="Times New Roman"/>
                <w:sz w:val="16"/>
                <w:szCs w:val="16"/>
              </w:rPr>
              <w:t>.</w:t>
            </w:r>
            <w:r w:rsidR="005F6EE3" w:rsidRPr="00891769">
              <w:rPr>
                <w:rFonts w:ascii="Times New Roman" w:hAnsi="Times New Roman"/>
                <w:sz w:val="16"/>
                <w:szCs w:val="16"/>
              </w:rPr>
              <w:t>688</w:t>
            </w:r>
          </w:p>
        </w:tc>
        <w:tc>
          <w:tcPr>
            <w:tcW w:w="992" w:type="dxa"/>
            <w:shd w:val="clear" w:color="auto" w:fill="FFFFFF"/>
          </w:tcPr>
          <w:p w:rsidR="00385835" w:rsidRPr="00385835" w:rsidRDefault="00385835" w:rsidP="00385835">
            <w:pPr>
              <w:spacing w:after="0" w:line="240" w:lineRule="auto"/>
              <w:jc w:val="center"/>
              <w:rPr>
                <w:rFonts w:ascii="Times New Roman" w:hAnsi="Times New Roman"/>
                <w:sz w:val="16"/>
                <w:szCs w:val="16"/>
              </w:rPr>
            </w:pPr>
            <w:r w:rsidRPr="00385835">
              <w:rPr>
                <w:rFonts w:ascii="Times New Roman" w:hAnsi="Times New Roman"/>
                <w:sz w:val="16"/>
                <w:szCs w:val="16"/>
              </w:rPr>
              <w:t>Duomenys iš projektų</w:t>
            </w:r>
          </w:p>
        </w:tc>
        <w:tc>
          <w:tcPr>
            <w:tcW w:w="5245" w:type="dxa"/>
            <w:shd w:val="clear" w:color="auto" w:fill="FFFFFF"/>
          </w:tcPr>
          <w:p w:rsidR="00385835" w:rsidRPr="00385835" w:rsidRDefault="00385835" w:rsidP="00385835">
            <w:pPr>
              <w:spacing w:after="0" w:line="240" w:lineRule="auto"/>
              <w:rPr>
                <w:rFonts w:ascii="Times New Roman" w:hAnsi="Times New Roman"/>
                <w:sz w:val="16"/>
                <w:szCs w:val="16"/>
              </w:rPr>
            </w:pPr>
            <w:r w:rsidRPr="00385835">
              <w:rPr>
                <w:rFonts w:ascii="Times New Roman" w:hAnsi="Times New Roman"/>
                <w:sz w:val="16"/>
                <w:szCs w:val="16"/>
              </w:rPr>
              <w:t>Privalomas rodiklis, kuris atspindi finansinę prioriteto įgyvendinimo pažangą.</w:t>
            </w:r>
          </w:p>
        </w:tc>
      </w:tr>
      <w:tr w:rsidR="00385835" w:rsidRPr="00385835" w:rsidTr="00812737">
        <w:trPr>
          <w:trHeight w:val="251"/>
        </w:trPr>
        <w:tc>
          <w:tcPr>
            <w:tcW w:w="1276" w:type="dxa"/>
            <w:shd w:val="clear" w:color="auto" w:fill="auto"/>
          </w:tcPr>
          <w:p w:rsidR="00385835" w:rsidRPr="00812737" w:rsidRDefault="00385835" w:rsidP="00812737">
            <w:pPr>
              <w:spacing w:after="0" w:line="240" w:lineRule="auto"/>
              <w:rPr>
                <w:rFonts w:ascii="Times New Roman" w:hAnsi="Times New Roman"/>
                <w:sz w:val="16"/>
                <w:szCs w:val="16"/>
              </w:rPr>
            </w:pPr>
            <w:r w:rsidRPr="00812737">
              <w:rPr>
                <w:rFonts w:ascii="Times New Roman" w:hAnsi="Times New Roman"/>
                <w:sz w:val="16"/>
                <w:szCs w:val="16"/>
              </w:rPr>
              <w:t>Produkto rodiklis</w:t>
            </w:r>
          </w:p>
        </w:tc>
        <w:tc>
          <w:tcPr>
            <w:tcW w:w="1985" w:type="dxa"/>
            <w:shd w:val="clear" w:color="auto" w:fill="auto"/>
          </w:tcPr>
          <w:p w:rsidR="00385835" w:rsidRPr="00812737" w:rsidRDefault="00385835" w:rsidP="00812737">
            <w:pPr>
              <w:spacing w:after="0" w:line="240" w:lineRule="auto"/>
              <w:rPr>
                <w:rFonts w:ascii="Times New Roman" w:hAnsi="Times New Roman"/>
                <w:bCs/>
                <w:sz w:val="16"/>
                <w:szCs w:val="16"/>
              </w:rPr>
            </w:pPr>
            <w:r w:rsidRPr="00812737">
              <w:rPr>
                <w:rFonts w:ascii="Times New Roman" w:hAnsi="Times New Roman"/>
                <w:bCs/>
                <w:sz w:val="16"/>
                <w:szCs w:val="16"/>
              </w:rPr>
              <w:t>Sukurtos elektroninės paslaugos</w:t>
            </w:r>
          </w:p>
        </w:tc>
        <w:tc>
          <w:tcPr>
            <w:tcW w:w="850" w:type="dxa"/>
            <w:shd w:val="clear" w:color="auto" w:fill="auto"/>
          </w:tcPr>
          <w:p w:rsidR="00385835" w:rsidRPr="00812737" w:rsidRDefault="00385835" w:rsidP="00812737">
            <w:pPr>
              <w:spacing w:after="0" w:line="240" w:lineRule="auto"/>
              <w:jc w:val="center"/>
              <w:rPr>
                <w:rFonts w:ascii="Times New Roman" w:hAnsi="Times New Roman"/>
                <w:bCs/>
                <w:sz w:val="16"/>
                <w:szCs w:val="16"/>
              </w:rPr>
            </w:pPr>
            <w:r w:rsidRPr="00812737">
              <w:rPr>
                <w:rFonts w:ascii="Times New Roman" w:hAnsi="Times New Roman"/>
                <w:bCs/>
                <w:sz w:val="16"/>
                <w:szCs w:val="16"/>
              </w:rPr>
              <w:t>Skaičius</w:t>
            </w:r>
          </w:p>
        </w:tc>
        <w:tc>
          <w:tcPr>
            <w:tcW w:w="709" w:type="dxa"/>
            <w:shd w:val="clear" w:color="auto" w:fill="auto"/>
          </w:tcPr>
          <w:p w:rsidR="00385835" w:rsidRPr="00812737" w:rsidRDefault="00385835" w:rsidP="00812737">
            <w:pPr>
              <w:spacing w:after="0" w:line="240" w:lineRule="auto"/>
              <w:jc w:val="center"/>
              <w:rPr>
                <w:rFonts w:ascii="Times New Roman" w:hAnsi="Times New Roman"/>
                <w:bCs/>
                <w:sz w:val="16"/>
                <w:szCs w:val="16"/>
              </w:rPr>
            </w:pPr>
            <w:r w:rsidRPr="00812737">
              <w:rPr>
                <w:rFonts w:ascii="Times New Roman" w:hAnsi="Times New Roman"/>
                <w:bCs/>
                <w:sz w:val="16"/>
                <w:szCs w:val="16"/>
              </w:rPr>
              <w:t>ERPF</w:t>
            </w:r>
          </w:p>
        </w:tc>
        <w:tc>
          <w:tcPr>
            <w:tcW w:w="850" w:type="dxa"/>
            <w:shd w:val="clear" w:color="auto" w:fill="auto"/>
          </w:tcPr>
          <w:p w:rsidR="00385835" w:rsidRPr="00812737" w:rsidRDefault="00385835" w:rsidP="00812737">
            <w:pPr>
              <w:widowControl w:val="0"/>
              <w:tabs>
                <w:tab w:val="left" w:pos="622"/>
              </w:tabs>
              <w:spacing w:after="0"/>
              <w:jc w:val="center"/>
              <w:rPr>
                <w:bCs/>
                <w:iCs/>
                <w:sz w:val="16"/>
                <w:szCs w:val="16"/>
              </w:rPr>
            </w:pPr>
            <w:r w:rsidRPr="00812737">
              <w:rPr>
                <w:rFonts w:ascii="Times New Roman" w:hAnsi="Times New Roman"/>
                <w:sz w:val="16"/>
                <w:szCs w:val="16"/>
              </w:rPr>
              <w:t>Mažiau išsivystęs</w:t>
            </w:r>
          </w:p>
        </w:tc>
        <w:tc>
          <w:tcPr>
            <w:tcW w:w="993" w:type="dxa"/>
            <w:shd w:val="clear" w:color="auto" w:fill="auto"/>
          </w:tcPr>
          <w:p w:rsidR="00385835" w:rsidRPr="00812737" w:rsidRDefault="00385835" w:rsidP="00812737">
            <w:pPr>
              <w:spacing w:after="0" w:line="240" w:lineRule="auto"/>
              <w:jc w:val="center"/>
              <w:rPr>
                <w:rFonts w:ascii="Times New Roman" w:hAnsi="Times New Roman"/>
                <w:sz w:val="16"/>
                <w:szCs w:val="16"/>
              </w:rPr>
            </w:pPr>
            <w:r w:rsidRPr="00812737">
              <w:rPr>
                <w:rFonts w:ascii="Times New Roman" w:hAnsi="Times New Roman"/>
                <w:sz w:val="16"/>
                <w:szCs w:val="16"/>
              </w:rPr>
              <w:t>0</w:t>
            </w:r>
          </w:p>
        </w:tc>
        <w:tc>
          <w:tcPr>
            <w:tcW w:w="1134" w:type="dxa"/>
            <w:shd w:val="clear" w:color="auto" w:fill="auto"/>
          </w:tcPr>
          <w:p w:rsidR="00385835" w:rsidRPr="00812737" w:rsidRDefault="00EE2A95" w:rsidP="00812737">
            <w:pPr>
              <w:spacing w:after="0" w:line="240" w:lineRule="auto"/>
              <w:jc w:val="center"/>
              <w:rPr>
                <w:rFonts w:ascii="Times New Roman" w:hAnsi="Times New Roman"/>
                <w:sz w:val="16"/>
                <w:szCs w:val="16"/>
              </w:rPr>
            </w:pPr>
            <w:r w:rsidRPr="00812737">
              <w:rPr>
                <w:rFonts w:ascii="Times New Roman" w:hAnsi="Times New Roman"/>
                <w:sz w:val="16"/>
                <w:szCs w:val="16"/>
              </w:rPr>
              <w:t>170</w:t>
            </w:r>
          </w:p>
        </w:tc>
        <w:tc>
          <w:tcPr>
            <w:tcW w:w="992" w:type="dxa"/>
            <w:shd w:val="clear" w:color="auto" w:fill="auto"/>
          </w:tcPr>
          <w:p w:rsidR="00385835" w:rsidRPr="00812737" w:rsidDel="007F0983" w:rsidRDefault="00385835" w:rsidP="00812737">
            <w:pPr>
              <w:spacing w:after="0" w:line="240" w:lineRule="auto"/>
              <w:jc w:val="center"/>
              <w:rPr>
                <w:rFonts w:ascii="Times New Roman" w:hAnsi="Times New Roman"/>
                <w:sz w:val="16"/>
                <w:szCs w:val="16"/>
              </w:rPr>
            </w:pPr>
            <w:r w:rsidRPr="00812737">
              <w:rPr>
                <w:rFonts w:ascii="Times New Roman" w:hAnsi="Times New Roman"/>
                <w:sz w:val="16"/>
                <w:szCs w:val="16"/>
              </w:rPr>
              <w:t>Duomenys iš projektų</w:t>
            </w:r>
          </w:p>
        </w:tc>
        <w:tc>
          <w:tcPr>
            <w:tcW w:w="5245" w:type="dxa"/>
            <w:shd w:val="clear" w:color="auto" w:fill="auto"/>
          </w:tcPr>
          <w:p w:rsidR="00442A2A" w:rsidRPr="00812737" w:rsidRDefault="00385835" w:rsidP="00812737">
            <w:pPr>
              <w:spacing w:after="0" w:line="240" w:lineRule="auto"/>
              <w:rPr>
                <w:rFonts w:ascii="Times New Roman" w:hAnsi="Times New Roman"/>
                <w:sz w:val="16"/>
                <w:szCs w:val="16"/>
              </w:rPr>
            </w:pPr>
            <w:r w:rsidRPr="00812737">
              <w:rPr>
                <w:rFonts w:ascii="Times New Roman" w:hAnsi="Times New Roman"/>
                <w:sz w:val="16"/>
                <w:szCs w:val="16"/>
              </w:rPr>
              <w:t xml:space="preserve">Rodiklis atspindi prioriteto įgyvendinimo eigą, nes jo pasiekimui skirta </w:t>
            </w:r>
          </w:p>
          <w:p w:rsidR="00385835" w:rsidRPr="00812737" w:rsidRDefault="00EE2A95" w:rsidP="00812737">
            <w:pPr>
              <w:spacing w:after="0" w:line="240" w:lineRule="auto"/>
              <w:rPr>
                <w:rFonts w:ascii="Times New Roman" w:hAnsi="Times New Roman"/>
                <w:sz w:val="16"/>
                <w:szCs w:val="16"/>
              </w:rPr>
            </w:pPr>
            <w:r w:rsidRPr="00812737">
              <w:rPr>
                <w:rFonts w:ascii="Times New Roman" w:hAnsi="Times New Roman"/>
                <w:sz w:val="16"/>
                <w:szCs w:val="16"/>
              </w:rPr>
              <w:t>48</w:t>
            </w:r>
            <w:r w:rsidR="00385835" w:rsidRPr="00812737">
              <w:rPr>
                <w:rFonts w:ascii="Times New Roman" w:hAnsi="Times New Roman"/>
                <w:sz w:val="16"/>
                <w:szCs w:val="16"/>
              </w:rPr>
              <w:t xml:space="preserve"> proc. šio prioriteto įgyvendinimui skirtų ERPF lėšų.</w:t>
            </w:r>
          </w:p>
        </w:tc>
      </w:tr>
      <w:tr w:rsidR="00385835" w:rsidRPr="00385835" w:rsidTr="00812737">
        <w:tc>
          <w:tcPr>
            <w:tcW w:w="1276" w:type="dxa"/>
            <w:shd w:val="clear" w:color="auto" w:fill="auto"/>
          </w:tcPr>
          <w:p w:rsidR="00385835" w:rsidRPr="00385835" w:rsidRDefault="00385835" w:rsidP="00385835">
            <w:pPr>
              <w:spacing w:after="0" w:line="240" w:lineRule="auto"/>
              <w:rPr>
                <w:rFonts w:ascii="Times New Roman" w:hAnsi="Times New Roman"/>
                <w:sz w:val="16"/>
                <w:szCs w:val="16"/>
              </w:rPr>
            </w:pPr>
            <w:r w:rsidRPr="00385835">
              <w:rPr>
                <w:rFonts w:ascii="Times New Roman" w:hAnsi="Times New Roman"/>
                <w:sz w:val="16"/>
                <w:szCs w:val="16"/>
              </w:rPr>
              <w:t>Įgyvendinimo žingsnis</w:t>
            </w:r>
          </w:p>
        </w:tc>
        <w:tc>
          <w:tcPr>
            <w:tcW w:w="1985" w:type="dxa"/>
            <w:shd w:val="clear" w:color="auto" w:fill="auto"/>
          </w:tcPr>
          <w:p w:rsidR="00385835" w:rsidRPr="00385835" w:rsidRDefault="00385835" w:rsidP="00385835">
            <w:pPr>
              <w:spacing w:after="0" w:line="240" w:lineRule="auto"/>
              <w:rPr>
                <w:rFonts w:ascii="Times New Roman" w:hAnsi="Times New Roman"/>
                <w:sz w:val="16"/>
                <w:szCs w:val="16"/>
              </w:rPr>
            </w:pPr>
            <w:r w:rsidRPr="00385835">
              <w:rPr>
                <w:rFonts w:ascii="Times New Roman" w:hAnsi="Times New Roman"/>
                <w:sz w:val="16"/>
                <w:szCs w:val="16"/>
              </w:rPr>
              <w:t>Projektų finansavimo ir administravimo sutartyse suplanuota produkto rodiklio „</w:t>
            </w:r>
            <w:r w:rsidRPr="00385835">
              <w:rPr>
                <w:rFonts w:ascii="Times New Roman" w:hAnsi="Times New Roman"/>
                <w:bCs/>
                <w:sz w:val="16"/>
                <w:szCs w:val="16"/>
              </w:rPr>
              <w:t>Sukurtos elektroninės paslaugos</w:t>
            </w:r>
            <w:r w:rsidRPr="00385835">
              <w:rPr>
                <w:rFonts w:ascii="Times New Roman" w:hAnsi="Times New Roman"/>
                <w:sz w:val="16"/>
                <w:szCs w:val="16"/>
              </w:rPr>
              <w:t>“ reikšmė</w:t>
            </w:r>
          </w:p>
        </w:tc>
        <w:tc>
          <w:tcPr>
            <w:tcW w:w="850" w:type="dxa"/>
            <w:shd w:val="clear" w:color="auto" w:fill="auto"/>
          </w:tcPr>
          <w:p w:rsidR="00385835" w:rsidRPr="00385835" w:rsidRDefault="00385835" w:rsidP="00385835">
            <w:pPr>
              <w:spacing w:after="0" w:line="240" w:lineRule="auto"/>
              <w:jc w:val="center"/>
              <w:rPr>
                <w:rFonts w:ascii="Times New Roman" w:hAnsi="Times New Roman"/>
                <w:bCs/>
                <w:sz w:val="16"/>
                <w:szCs w:val="16"/>
              </w:rPr>
            </w:pPr>
            <w:r w:rsidRPr="00385835">
              <w:rPr>
                <w:rFonts w:ascii="Times New Roman" w:hAnsi="Times New Roman"/>
                <w:bCs/>
                <w:sz w:val="16"/>
                <w:szCs w:val="16"/>
              </w:rPr>
              <w:t>Skaičius</w:t>
            </w:r>
          </w:p>
        </w:tc>
        <w:tc>
          <w:tcPr>
            <w:tcW w:w="709" w:type="dxa"/>
            <w:shd w:val="clear" w:color="auto" w:fill="auto"/>
          </w:tcPr>
          <w:p w:rsidR="00385835" w:rsidRPr="00385835" w:rsidRDefault="00385835" w:rsidP="00385835">
            <w:pPr>
              <w:spacing w:after="0" w:line="240" w:lineRule="auto"/>
              <w:jc w:val="center"/>
              <w:rPr>
                <w:rFonts w:ascii="Times New Roman" w:hAnsi="Times New Roman"/>
                <w:bCs/>
                <w:sz w:val="16"/>
                <w:szCs w:val="16"/>
              </w:rPr>
            </w:pPr>
            <w:r w:rsidRPr="00385835">
              <w:rPr>
                <w:rFonts w:ascii="Times New Roman" w:hAnsi="Times New Roman"/>
                <w:bCs/>
                <w:sz w:val="16"/>
                <w:szCs w:val="16"/>
              </w:rPr>
              <w:t>ERPF</w:t>
            </w:r>
          </w:p>
        </w:tc>
        <w:tc>
          <w:tcPr>
            <w:tcW w:w="850" w:type="dxa"/>
            <w:shd w:val="clear" w:color="auto" w:fill="auto"/>
          </w:tcPr>
          <w:p w:rsidR="00385835" w:rsidRPr="00385835" w:rsidRDefault="00385835" w:rsidP="00385835">
            <w:pPr>
              <w:widowControl w:val="0"/>
              <w:tabs>
                <w:tab w:val="left" w:pos="622"/>
              </w:tabs>
              <w:jc w:val="center"/>
              <w:rPr>
                <w:bCs/>
                <w:iCs/>
                <w:sz w:val="20"/>
              </w:rPr>
            </w:pPr>
            <w:r w:rsidRPr="00385835">
              <w:rPr>
                <w:rFonts w:ascii="Times New Roman" w:hAnsi="Times New Roman"/>
                <w:sz w:val="16"/>
                <w:szCs w:val="16"/>
              </w:rPr>
              <w:t>Mažiau išsivystęs</w:t>
            </w:r>
          </w:p>
        </w:tc>
        <w:tc>
          <w:tcPr>
            <w:tcW w:w="993" w:type="dxa"/>
            <w:shd w:val="clear" w:color="auto" w:fill="auto"/>
          </w:tcPr>
          <w:p w:rsidR="00385835" w:rsidRPr="00385835" w:rsidRDefault="00EE2A95" w:rsidP="00385835">
            <w:pPr>
              <w:spacing w:after="0" w:line="240" w:lineRule="auto"/>
              <w:jc w:val="center"/>
              <w:rPr>
                <w:rFonts w:ascii="Times New Roman" w:hAnsi="Times New Roman"/>
                <w:sz w:val="16"/>
                <w:szCs w:val="16"/>
              </w:rPr>
            </w:pPr>
            <w:r>
              <w:rPr>
                <w:rFonts w:ascii="Times New Roman" w:hAnsi="Times New Roman"/>
                <w:sz w:val="16"/>
                <w:szCs w:val="16"/>
              </w:rPr>
              <w:t>85</w:t>
            </w:r>
          </w:p>
        </w:tc>
        <w:tc>
          <w:tcPr>
            <w:tcW w:w="1134" w:type="dxa"/>
            <w:shd w:val="clear" w:color="auto" w:fill="auto"/>
          </w:tcPr>
          <w:p w:rsidR="00385835" w:rsidRPr="00385835" w:rsidRDefault="00385835" w:rsidP="00385835">
            <w:pPr>
              <w:spacing w:after="0" w:line="240" w:lineRule="auto"/>
              <w:jc w:val="center"/>
              <w:rPr>
                <w:rFonts w:ascii="Times New Roman" w:hAnsi="Times New Roman"/>
                <w:sz w:val="16"/>
                <w:szCs w:val="16"/>
              </w:rPr>
            </w:pPr>
            <w:r w:rsidRPr="00385835">
              <w:rPr>
                <w:rFonts w:ascii="Times New Roman" w:hAnsi="Times New Roman"/>
                <w:sz w:val="16"/>
                <w:szCs w:val="16"/>
              </w:rPr>
              <w:t>-</w:t>
            </w:r>
          </w:p>
        </w:tc>
        <w:tc>
          <w:tcPr>
            <w:tcW w:w="992" w:type="dxa"/>
            <w:shd w:val="clear" w:color="auto" w:fill="auto"/>
          </w:tcPr>
          <w:p w:rsidR="00385835" w:rsidRPr="00385835" w:rsidDel="007F0983" w:rsidRDefault="00385835" w:rsidP="00385835">
            <w:pPr>
              <w:spacing w:after="0" w:line="240" w:lineRule="auto"/>
              <w:jc w:val="center"/>
              <w:rPr>
                <w:rFonts w:ascii="Times New Roman" w:hAnsi="Times New Roman"/>
                <w:sz w:val="16"/>
                <w:szCs w:val="16"/>
              </w:rPr>
            </w:pPr>
            <w:r w:rsidRPr="00385835">
              <w:rPr>
                <w:rFonts w:ascii="Times New Roman" w:hAnsi="Times New Roman"/>
                <w:sz w:val="16"/>
                <w:szCs w:val="16"/>
              </w:rPr>
              <w:t>Duomenys iš projektų</w:t>
            </w:r>
          </w:p>
        </w:tc>
        <w:tc>
          <w:tcPr>
            <w:tcW w:w="5245" w:type="dxa"/>
            <w:shd w:val="clear" w:color="auto" w:fill="auto"/>
          </w:tcPr>
          <w:p w:rsidR="00385835" w:rsidRPr="00385835" w:rsidRDefault="00385835" w:rsidP="00385835">
            <w:pPr>
              <w:spacing w:after="0" w:line="240" w:lineRule="auto"/>
              <w:rPr>
                <w:rFonts w:ascii="Times New Roman" w:hAnsi="Times New Roman"/>
                <w:sz w:val="16"/>
                <w:szCs w:val="16"/>
              </w:rPr>
            </w:pPr>
            <w:r w:rsidRPr="00385835">
              <w:rPr>
                <w:rFonts w:ascii="Times New Roman" w:hAnsi="Times New Roman"/>
                <w:sz w:val="16"/>
                <w:szCs w:val="16"/>
              </w:rPr>
              <w:t>Įgyvendinimo žingsnis pasirinktas, nes iki 2018 m. nebus baigtų projektų, kuriančių el. paslaugas, atsižvelgiant į vėlesnę proj</w:t>
            </w:r>
            <w:r w:rsidR="00442A2A">
              <w:rPr>
                <w:rFonts w:ascii="Times New Roman" w:hAnsi="Times New Roman"/>
                <w:sz w:val="16"/>
                <w:szCs w:val="16"/>
              </w:rPr>
              <w:t>ektų įgyvendinimo pradžią (2017</w:t>
            </w:r>
            <w:r w:rsidR="00442A2A" w:rsidRPr="00442A2A">
              <w:rPr>
                <w:rFonts w:ascii="Times New Roman" w:hAnsi="Times New Roman"/>
                <w:color w:val="000000"/>
                <w:sz w:val="16"/>
                <w:szCs w:val="24"/>
              </w:rPr>
              <w:t>–</w:t>
            </w:r>
            <w:r w:rsidRPr="00385835">
              <w:rPr>
                <w:rFonts w:ascii="Times New Roman" w:hAnsi="Times New Roman"/>
                <w:sz w:val="16"/>
                <w:szCs w:val="16"/>
              </w:rPr>
              <w:t>2018), kuri yra numatoma dėl poreikio atlikti parengiamuosius darbus, būtinus pradėti įgyvendinti</w:t>
            </w:r>
            <w:proofErr w:type="gramStart"/>
            <w:r w:rsidRPr="00385835">
              <w:rPr>
                <w:rFonts w:ascii="Times New Roman" w:hAnsi="Times New Roman"/>
                <w:sz w:val="16"/>
                <w:szCs w:val="16"/>
              </w:rPr>
              <w:t xml:space="preserve">  </w:t>
            </w:r>
            <w:proofErr w:type="gramEnd"/>
            <w:r w:rsidRPr="00385835">
              <w:rPr>
                <w:rFonts w:ascii="Times New Roman" w:hAnsi="Times New Roman"/>
                <w:sz w:val="16"/>
                <w:szCs w:val="16"/>
              </w:rPr>
              <w:t>elektroninių paslaugų sukūrimui skirtas veiklas. Projektų finansavimo ir administravimo sutartyse suplanuota produkto rodiklio reikšmė rodys, ar projektai bus įgyvendinti numatyta apimtimi.</w:t>
            </w:r>
          </w:p>
        </w:tc>
      </w:tr>
      <w:tr w:rsidR="00EE2A95" w:rsidRPr="00385835" w:rsidTr="00812737">
        <w:tc>
          <w:tcPr>
            <w:tcW w:w="1276" w:type="dxa"/>
            <w:shd w:val="clear" w:color="auto" w:fill="auto"/>
          </w:tcPr>
          <w:p w:rsidR="00EE2A95" w:rsidRPr="00EE2A95" w:rsidRDefault="00EE2A95" w:rsidP="00BE2E68">
            <w:pPr>
              <w:spacing w:after="0" w:line="240" w:lineRule="auto"/>
              <w:rPr>
                <w:rFonts w:ascii="Times New Roman" w:hAnsi="Times New Roman"/>
                <w:sz w:val="16"/>
                <w:szCs w:val="16"/>
              </w:rPr>
            </w:pPr>
            <w:r w:rsidRPr="00EE2A95">
              <w:rPr>
                <w:rFonts w:ascii="Times New Roman" w:hAnsi="Times New Roman"/>
                <w:sz w:val="16"/>
                <w:szCs w:val="16"/>
              </w:rPr>
              <w:t>Produkto rodiklis</w:t>
            </w:r>
          </w:p>
        </w:tc>
        <w:tc>
          <w:tcPr>
            <w:tcW w:w="1985" w:type="dxa"/>
            <w:shd w:val="clear" w:color="auto" w:fill="auto"/>
          </w:tcPr>
          <w:p w:rsidR="00EE2A95" w:rsidRPr="00EE2A95" w:rsidRDefault="00EE2A95" w:rsidP="00BE2E68">
            <w:pPr>
              <w:spacing w:after="0" w:line="240" w:lineRule="auto"/>
              <w:rPr>
                <w:rFonts w:ascii="Times New Roman" w:hAnsi="Times New Roman"/>
                <w:sz w:val="16"/>
                <w:szCs w:val="16"/>
              </w:rPr>
            </w:pPr>
            <w:r w:rsidRPr="00EE2A95">
              <w:rPr>
                <w:rFonts w:ascii="Times New Roman" w:hAnsi="Times New Roman"/>
                <w:sz w:val="16"/>
                <w:szCs w:val="16"/>
              </w:rPr>
              <w:t>Įgyvendinti sprendimai, skirti viešojo sektoriaus bendro naudojimo informacinių ir ryšių technologijų infrastruktūros optimizavimui, sąveikumo ir saugos užtikrinimui</w:t>
            </w:r>
          </w:p>
        </w:tc>
        <w:tc>
          <w:tcPr>
            <w:tcW w:w="850" w:type="dxa"/>
            <w:shd w:val="clear" w:color="auto" w:fill="auto"/>
          </w:tcPr>
          <w:p w:rsidR="00EE2A95" w:rsidRPr="00EE2A95" w:rsidRDefault="00EE2A95" w:rsidP="00BE2E68">
            <w:pPr>
              <w:spacing w:after="0" w:line="240" w:lineRule="auto"/>
              <w:jc w:val="center"/>
              <w:rPr>
                <w:rFonts w:ascii="Times New Roman" w:hAnsi="Times New Roman"/>
                <w:bCs/>
                <w:sz w:val="16"/>
                <w:szCs w:val="16"/>
              </w:rPr>
            </w:pPr>
            <w:r w:rsidRPr="00EE2A95">
              <w:rPr>
                <w:rFonts w:ascii="Times New Roman" w:hAnsi="Times New Roman"/>
                <w:bCs/>
                <w:sz w:val="16"/>
                <w:szCs w:val="16"/>
              </w:rPr>
              <w:t>Skaičius</w:t>
            </w:r>
          </w:p>
        </w:tc>
        <w:tc>
          <w:tcPr>
            <w:tcW w:w="709" w:type="dxa"/>
            <w:shd w:val="clear" w:color="auto" w:fill="auto"/>
          </w:tcPr>
          <w:p w:rsidR="00EE2A95" w:rsidRPr="00EE2A95" w:rsidRDefault="00EE2A95" w:rsidP="00BE2E68">
            <w:pPr>
              <w:spacing w:after="0" w:line="240" w:lineRule="auto"/>
              <w:jc w:val="center"/>
              <w:rPr>
                <w:rFonts w:ascii="Times New Roman" w:hAnsi="Times New Roman"/>
                <w:bCs/>
                <w:sz w:val="16"/>
                <w:szCs w:val="16"/>
              </w:rPr>
            </w:pPr>
            <w:r w:rsidRPr="00EE2A95">
              <w:rPr>
                <w:rFonts w:ascii="Times New Roman" w:hAnsi="Times New Roman"/>
                <w:bCs/>
                <w:sz w:val="16"/>
                <w:szCs w:val="16"/>
              </w:rPr>
              <w:t>ERPF</w:t>
            </w:r>
          </w:p>
        </w:tc>
        <w:tc>
          <w:tcPr>
            <w:tcW w:w="850" w:type="dxa"/>
            <w:shd w:val="clear" w:color="auto" w:fill="auto"/>
          </w:tcPr>
          <w:p w:rsidR="00EE2A95" w:rsidRPr="00EE2A95" w:rsidRDefault="00EE2A95" w:rsidP="00BE2E68">
            <w:pPr>
              <w:widowControl w:val="0"/>
              <w:tabs>
                <w:tab w:val="left" w:pos="622"/>
              </w:tabs>
              <w:spacing w:after="0"/>
              <w:jc w:val="center"/>
              <w:rPr>
                <w:rFonts w:ascii="Times New Roman" w:hAnsi="Times New Roman"/>
                <w:sz w:val="16"/>
                <w:szCs w:val="16"/>
              </w:rPr>
            </w:pPr>
            <w:r w:rsidRPr="00EE2A95">
              <w:rPr>
                <w:rFonts w:ascii="Times New Roman" w:hAnsi="Times New Roman"/>
                <w:sz w:val="16"/>
                <w:szCs w:val="16"/>
              </w:rPr>
              <w:t>Mažiau išsivystęs</w:t>
            </w:r>
          </w:p>
        </w:tc>
        <w:tc>
          <w:tcPr>
            <w:tcW w:w="993" w:type="dxa"/>
            <w:shd w:val="clear" w:color="auto" w:fill="auto"/>
          </w:tcPr>
          <w:p w:rsidR="00EE2A95" w:rsidRPr="00EE2A95" w:rsidRDefault="00EE2A95" w:rsidP="00BE2E68">
            <w:pPr>
              <w:spacing w:after="0" w:line="240" w:lineRule="auto"/>
              <w:jc w:val="center"/>
              <w:rPr>
                <w:rFonts w:ascii="Times New Roman" w:hAnsi="Times New Roman"/>
                <w:sz w:val="16"/>
                <w:szCs w:val="16"/>
              </w:rPr>
            </w:pPr>
            <w:r w:rsidRPr="00EE2A95">
              <w:rPr>
                <w:rFonts w:ascii="Times New Roman" w:hAnsi="Times New Roman"/>
                <w:sz w:val="16"/>
                <w:szCs w:val="16"/>
              </w:rPr>
              <w:t>-</w:t>
            </w:r>
          </w:p>
        </w:tc>
        <w:tc>
          <w:tcPr>
            <w:tcW w:w="1134" w:type="dxa"/>
            <w:shd w:val="clear" w:color="auto" w:fill="auto"/>
          </w:tcPr>
          <w:p w:rsidR="00EE2A95" w:rsidRPr="00EE2A95" w:rsidRDefault="00EE2A95" w:rsidP="00BE2E68">
            <w:pPr>
              <w:spacing w:after="0" w:line="240" w:lineRule="auto"/>
              <w:jc w:val="center"/>
              <w:rPr>
                <w:rFonts w:ascii="Times New Roman" w:hAnsi="Times New Roman"/>
                <w:sz w:val="16"/>
                <w:szCs w:val="16"/>
              </w:rPr>
            </w:pPr>
            <w:r w:rsidRPr="00EE2A95">
              <w:rPr>
                <w:rFonts w:ascii="Times New Roman" w:hAnsi="Times New Roman"/>
                <w:sz w:val="16"/>
                <w:szCs w:val="16"/>
              </w:rPr>
              <w:t>3</w:t>
            </w:r>
          </w:p>
        </w:tc>
        <w:tc>
          <w:tcPr>
            <w:tcW w:w="992" w:type="dxa"/>
            <w:shd w:val="clear" w:color="auto" w:fill="auto"/>
          </w:tcPr>
          <w:p w:rsidR="00EE2A95" w:rsidRPr="00EE2A95" w:rsidRDefault="00EE2A95" w:rsidP="00BE2E68">
            <w:pPr>
              <w:spacing w:after="0" w:line="240" w:lineRule="auto"/>
              <w:jc w:val="center"/>
              <w:rPr>
                <w:rFonts w:ascii="Times New Roman" w:hAnsi="Times New Roman"/>
                <w:sz w:val="16"/>
                <w:szCs w:val="16"/>
              </w:rPr>
            </w:pPr>
            <w:r w:rsidRPr="00EE2A95">
              <w:rPr>
                <w:rFonts w:ascii="Times New Roman" w:hAnsi="Times New Roman"/>
                <w:sz w:val="16"/>
                <w:szCs w:val="16"/>
              </w:rPr>
              <w:t>Duomenys iš projektų</w:t>
            </w:r>
          </w:p>
        </w:tc>
        <w:tc>
          <w:tcPr>
            <w:tcW w:w="5245" w:type="dxa"/>
            <w:shd w:val="clear" w:color="auto" w:fill="auto"/>
          </w:tcPr>
          <w:p w:rsidR="00EE2A95" w:rsidRPr="00EE2A95" w:rsidRDefault="00EE2A95" w:rsidP="00BE2E68">
            <w:pPr>
              <w:spacing w:after="0" w:line="240" w:lineRule="auto"/>
              <w:rPr>
                <w:rFonts w:ascii="Times New Roman" w:hAnsi="Times New Roman"/>
                <w:sz w:val="16"/>
                <w:szCs w:val="16"/>
              </w:rPr>
            </w:pPr>
            <w:r w:rsidRPr="00EE2A95">
              <w:rPr>
                <w:rFonts w:ascii="Times New Roman" w:hAnsi="Times New Roman"/>
                <w:sz w:val="16"/>
                <w:szCs w:val="16"/>
              </w:rPr>
              <w:t>Rodiklis atspindi prioriteto įgyvendinimo eigą, nes jo pasiekimui skirta</w:t>
            </w:r>
          </w:p>
          <w:p w:rsidR="00EE2A95" w:rsidRPr="00EE2A95" w:rsidRDefault="00EE2A95" w:rsidP="00BE2E68">
            <w:pPr>
              <w:spacing w:after="0" w:line="240" w:lineRule="auto"/>
              <w:rPr>
                <w:rFonts w:ascii="Times New Roman" w:hAnsi="Times New Roman"/>
                <w:sz w:val="16"/>
                <w:szCs w:val="16"/>
              </w:rPr>
            </w:pPr>
            <w:r w:rsidRPr="00EE2A95">
              <w:rPr>
                <w:rFonts w:ascii="Times New Roman" w:hAnsi="Times New Roman"/>
                <w:sz w:val="16"/>
                <w:szCs w:val="16"/>
              </w:rPr>
              <w:t>18 proc. šio prioriteto įgyvendinimui skirtų ERPF lėšų.</w:t>
            </w:r>
          </w:p>
        </w:tc>
      </w:tr>
      <w:tr w:rsidR="00EE2A95" w:rsidRPr="00385835" w:rsidTr="00812737">
        <w:tc>
          <w:tcPr>
            <w:tcW w:w="1276" w:type="dxa"/>
            <w:shd w:val="clear" w:color="auto" w:fill="auto"/>
          </w:tcPr>
          <w:p w:rsidR="00EE2A95" w:rsidRPr="00EE2A95" w:rsidRDefault="00EE2A95" w:rsidP="00BE2E68">
            <w:pPr>
              <w:spacing w:after="0" w:line="240" w:lineRule="auto"/>
              <w:rPr>
                <w:rFonts w:ascii="Times New Roman" w:hAnsi="Times New Roman"/>
                <w:sz w:val="16"/>
                <w:szCs w:val="16"/>
              </w:rPr>
            </w:pPr>
            <w:r w:rsidRPr="00EE2A95">
              <w:rPr>
                <w:rFonts w:ascii="Times New Roman" w:hAnsi="Times New Roman"/>
                <w:sz w:val="16"/>
                <w:szCs w:val="16"/>
              </w:rPr>
              <w:t>Įgyvendinimo žingsnis</w:t>
            </w:r>
          </w:p>
        </w:tc>
        <w:tc>
          <w:tcPr>
            <w:tcW w:w="1985" w:type="dxa"/>
            <w:shd w:val="clear" w:color="auto" w:fill="auto"/>
          </w:tcPr>
          <w:p w:rsidR="00EE2A95" w:rsidRPr="00EE2A95" w:rsidRDefault="00EE2A95" w:rsidP="00BE2E68">
            <w:pPr>
              <w:spacing w:after="0" w:line="240" w:lineRule="auto"/>
              <w:rPr>
                <w:rFonts w:ascii="Times New Roman" w:hAnsi="Times New Roman"/>
                <w:sz w:val="16"/>
                <w:szCs w:val="16"/>
              </w:rPr>
            </w:pPr>
            <w:r w:rsidRPr="00EE2A95">
              <w:rPr>
                <w:rFonts w:ascii="Times New Roman" w:hAnsi="Times New Roman"/>
                <w:sz w:val="16"/>
                <w:szCs w:val="16"/>
              </w:rPr>
              <w:t>Projektų finansavimo ir administravimo sutartyse suplanuota produkto rodiklio „Įgyvendinti sprendimai, skirti viešojo sektoriaus bendro naudojimo informacinių ir ryšių technologijų infrastruktūros optimizavimui, sąveikumo ir saugos užtikrinimui“ reikšmė</w:t>
            </w:r>
          </w:p>
        </w:tc>
        <w:tc>
          <w:tcPr>
            <w:tcW w:w="850" w:type="dxa"/>
            <w:shd w:val="clear" w:color="auto" w:fill="auto"/>
          </w:tcPr>
          <w:p w:rsidR="00EE2A95" w:rsidRPr="00EE2A95" w:rsidRDefault="00EE2A95" w:rsidP="00BE2E68">
            <w:pPr>
              <w:spacing w:after="0" w:line="240" w:lineRule="auto"/>
              <w:jc w:val="center"/>
              <w:rPr>
                <w:rFonts w:ascii="Times New Roman" w:hAnsi="Times New Roman"/>
                <w:bCs/>
                <w:sz w:val="16"/>
                <w:szCs w:val="16"/>
              </w:rPr>
            </w:pPr>
            <w:r w:rsidRPr="00EE2A95">
              <w:rPr>
                <w:rFonts w:ascii="Times New Roman" w:hAnsi="Times New Roman"/>
                <w:bCs/>
                <w:sz w:val="16"/>
                <w:szCs w:val="16"/>
              </w:rPr>
              <w:t>Skaičius</w:t>
            </w:r>
          </w:p>
        </w:tc>
        <w:tc>
          <w:tcPr>
            <w:tcW w:w="709" w:type="dxa"/>
            <w:shd w:val="clear" w:color="auto" w:fill="auto"/>
          </w:tcPr>
          <w:p w:rsidR="00EE2A95" w:rsidRPr="00EE2A95" w:rsidRDefault="00EE2A95" w:rsidP="00BE2E68">
            <w:pPr>
              <w:spacing w:after="0" w:line="240" w:lineRule="auto"/>
              <w:jc w:val="center"/>
              <w:rPr>
                <w:rFonts w:ascii="Times New Roman" w:hAnsi="Times New Roman"/>
                <w:bCs/>
                <w:sz w:val="16"/>
                <w:szCs w:val="16"/>
              </w:rPr>
            </w:pPr>
            <w:r w:rsidRPr="00EE2A95">
              <w:rPr>
                <w:rFonts w:ascii="Times New Roman" w:hAnsi="Times New Roman"/>
                <w:bCs/>
                <w:sz w:val="16"/>
                <w:szCs w:val="16"/>
              </w:rPr>
              <w:t>ERPF</w:t>
            </w:r>
          </w:p>
        </w:tc>
        <w:tc>
          <w:tcPr>
            <w:tcW w:w="850" w:type="dxa"/>
            <w:shd w:val="clear" w:color="auto" w:fill="auto"/>
          </w:tcPr>
          <w:p w:rsidR="00EE2A95" w:rsidRPr="00EE2A95" w:rsidRDefault="00EE2A95" w:rsidP="00BE2E68">
            <w:pPr>
              <w:widowControl w:val="0"/>
              <w:tabs>
                <w:tab w:val="left" w:pos="622"/>
              </w:tabs>
              <w:spacing w:after="0"/>
              <w:jc w:val="center"/>
              <w:rPr>
                <w:rFonts w:ascii="Times New Roman" w:hAnsi="Times New Roman"/>
                <w:sz w:val="16"/>
                <w:szCs w:val="16"/>
              </w:rPr>
            </w:pPr>
            <w:r w:rsidRPr="00EE2A95">
              <w:rPr>
                <w:rFonts w:ascii="Times New Roman" w:hAnsi="Times New Roman"/>
                <w:sz w:val="16"/>
                <w:szCs w:val="16"/>
              </w:rPr>
              <w:t>Mažiau išsivystęs</w:t>
            </w:r>
          </w:p>
        </w:tc>
        <w:tc>
          <w:tcPr>
            <w:tcW w:w="993" w:type="dxa"/>
            <w:shd w:val="clear" w:color="auto" w:fill="auto"/>
          </w:tcPr>
          <w:p w:rsidR="00EE2A95" w:rsidRPr="00EE2A95" w:rsidRDefault="00EE2A95" w:rsidP="00BE2E68">
            <w:pPr>
              <w:spacing w:after="0" w:line="240" w:lineRule="auto"/>
              <w:jc w:val="center"/>
              <w:rPr>
                <w:rFonts w:ascii="Times New Roman" w:hAnsi="Times New Roman"/>
                <w:sz w:val="16"/>
                <w:szCs w:val="16"/>
              </w:rPr>
            </w:pPr>
            <w:r w:rsidRPr="00EE2A95">
              <w:rPr>
                <w:rFonts w:ascii="Times New Roman" w:hAnsi="Times New Roman"/>
                <w:sz w:val="16"/>
                <w:szCs w:val="16"/>
              </w:rPr>
              <w:t>1</w:t>
            </w:r>
          </w:p>
        </w:tc>
        <w:tc>
          <w:tcPr>
            <w:tcW w:w="1134" w:type="dxa"/>
            <w:shd w:val="clear" w:color="auto" w:fill="auto"/>
          </w:tcPr>
          <w:p w:rsidR="00EE2A95" w:rsidRPr="00EE2A95" w:rsidRDefault="00EE2A95" w:rsidP="00BE2E68">
            <w:pPr>
              <w:spacing w:after="0" w:line="240" w:lineRule="auto"/>
              <w:jc w:val="center"/>
              <w:rPr>
                <w:rFonts w:ascii="Times New Roman" w:hAnsi="Times New Roman"/>
                <w:sz w:val="16"/>
                <w:szCs w:val="16"/>
              </w:rPr>
            </w:pPr>
            <w:r w:rsidRPr="00EE2A95">
              <w:rPr>
                <w:rFonts w:ascii="Times New Roman" w:hAnsi="Times New Roman"/>
                <w:sz w:val="16"/>
                <w:szCs w:val="16"/>
              </w:rPr>
              <w:t>-</w:t>
            </w:r>
          </w:p>
        </w:tc>
        <w:tc>
          <w:tcPr>
            <w:tcW w:w="992" w:type="dxa"/>
            <w:shd w:val="clear" w:color="auto" w:fill="auto"/>
          </w:tcPr>
          <w:p w:rsidR="00EE2A95" w:rsidRPr="00EE2A95" w:rsidRDefault="00EE2A95" w:rsidP="00BE2E68">
            <w:pPr>
              <w:spacing w:after="0" w:line="240" w:lineRule="auto"/>
              <w:jc w:val="center"/>
              <w:rPr>
                <w:rFonts w:ascii="Times New Roman" w:hAnsi="Times New Roman"/>
                <w:sz w:val="16"/>
                <w:szCs w:val="16"/>
              </w:rPr>
            </w:pPr>
            <w:r w:rsidRPr="00EE2A95">
              <w:rPr>
                <w:rFonts w:ascii="Times New Roman" w:hAnsi="Times New Roman"/>
                <w:sz w:val="16"/>
                <w:szCs w:val="16"/>
              </w:rPr>
              <w:t>Duomenys iš projektų</w:t>
            </w:r>
          </w:p>
        </w:tc>
        <w:tc>
          <w:tcPr>
            <w:tcW w:w="5245" w:type="dxa"/>
            <w:shd w:val="clear" w:color="auto" w:fill="auto"/>
          </w:tcPr>
          <w:p w:rsidR="00EE2A95" w:rsidRPr="00EE2A95" w:rsidRDefault="00EE2A95" w:rsidP="00EE2A95">
            <w:pPr>
              <w:spacing w:after="0" w:line="240" w:lineRule="auto"/>
              <w:rPr>
                <w:rFonts w:ascii="Times New Roman" w:hAnsi="Times New Roman"/>
                <w:sz w:val="16"/>
                <w:szCs w:val="16"/>
              </w:rPr>
            </w:pPr>
            <w:r w:rsidRPr="00EE2A95">
              <w:rPr>
                <w:rFonts w:ascii="Times New Roman" w:hAnsi="Times New Roman"/>
                <w:sz w:val="16"/>
                <w:szCs w:val="16"/>
              </w:rPr>
              <w:t>Įgyvendinimo žingsnis pasirinktas, nes iki 2018 m. nebus baigtų projektų, siekiančių šio rodiklio dėl vėlesnės projektų įgyvendinimo pradžios (2017–2018), kuri yra numatoma dėl poreikio atlikti parengiamuosius darbus, būtinus pradėti įgyvendinti projektuose numatytas veiklas. Projektų finansavimo ir administravimo sutartyse suplanuota produkto rodiklio reikšmė rodys, ar projektai bus įgyvendinti numatyta apimtimi.</w:t>
            </w:r>
          </w:p>
        </w:tc>
      </w:tr>
    </w:tbl>
    <w:p w:rsidR="00385835" w:rsidRPr="00385835" w:rsidRDefault="00385835" w:rsidP="00385835">
      <w:pPr>
        <w:spacing w:after="0" w:line="240" w:lineRule="auto"/>
        <w:rPr>
          <w:rFonts w:ascii="Times New Roman" w:hAnsi="Times New Roman"/>
          <w:sz w:val="24"/>
          <w:szCs w:val="24"/>
        </w:rPr>
      </w:pPr>
    </w:p>
    <w:p w:rsidR="00385835" w:rsidRPr="00385835" w:rsidRDefault="00385835" w:rsidP="00385835">
      <w:pPr>
        <w:autoSpaceDE w:val="0"/>
        <w:autoSpaceDN w:val="0"/>
        <w:adjustRightInd w:val="0"/>
        <w:spacing w:after="0" w:line="240" w:lineRule="auto"/>
        <w:ind w:firstLine="851"/>
        <w:jc w:val="both"/>
        <w:rPr>
          <w:rFonts w:ascii="Times New Roman" w:hAnsi="Times New Roman"/>
          <w:color w:val="000000"/>
          <w:sz w:val="24"/>
          <w:szCs w:val="24"/>
        </w:rPr>
      </w:pPr>
      <w:r w:rsidRPr="00385835">
        <w:rPr>
          <w:rFonts w:ascii="Times New Roman" w:hAnsi="Times New Roman"/>
          <w:color w:val="000000"/>
          <w:sz w:val="24"/>
          <w:szCs w:val="24"/>
        </w:rPr>
        <w:t>Į veiklos peržiūros planą įtrauktų rodiklių tarpinės ir galutinės reikšmės nustatytos, įvertinus istorinius ankstesnio programavimo laikotarpio lėšų panaudojimo ir rodiklių pasiekimo duomenis, t.</w:t>
      </w:r>
      <w:r w:rsidR="00954D8D">
        <w:rPr>
          <w:rFonts w:ascii="Times New Roman" w:hAnsi="Times New Roman"/>
          <w:color w:val="000000"/>
          <w:sz w:val="24"/>
          <w:szCs w:val="24"/>
        </w:rPr>
        <w:t xml:space="preserve"> </w:t>
      </w:r>
      <w:r w:rsidRPr="00385835">
        <w:rPr>
          <w:rFonts w:ascii="Times New Roman" w:hAnsi="Times New Roman"/>
          <w:color w:val="000000"/>
          <w:sz w:val="24"/>
          <w:szCs w:val="24"/>
        </w:rPr>
        <w:t>y.</w:t>
      </w:r>
      <w:r w:rsidR="003D0AAF" w:rsidRPr="00385835">
        <w:rPr>
          <w:rFonts w:ascii="Times New Roman" w:hAnsi="Times New Roman"/>
          <w:color w:val="000000"/>
          <w:sz w:val="24"/>
          <w:szCs w:val="24"/>
        </w:rPr>
        <w:t xml:space="preserve"> </w:t>
      </w:r>
      <w:r w:rsidRPr="00385835">
        <w:rPr>
          <w:rFonts w:ascii="Times New Roman" w:hAnsi="Times New Roman"/>
          <w:color w:val="000000"/>
          <w:sz w:val="24"/>
          <w:szCs w:val="24"/>
        </w:rPr>
        <w:t xml:space="preserve">gyvendinant panašaus pobūdžio intervencijas per analogišką laikotarpį pasiektas rodiklių reikšmes, tuo pačiu atsižvelgiant į šiame programavimo laikotarpyje numatomas investicijų ir veiklų apimtis. </w:t>
      </w:r>
    </w:p>
    <w:p w:rsidR="00C54F1A" w:rsidRDefault="00385835" w:rsidP="00385835">
      <w:pPr>
        <w:spacing w:after="0" w:line="240" w:lineRule="auto"/>
        <w:ind w:firstLine="851"/>
        <w:jc w:val="both"/>
        <w:rPr>
          <w:rFonts w:ascii="Times New Roman" w:hAnsi="Times New Roman"/>
          <w:color w:val="000000"/>
          <w:sz w:val="24"/>
          <w:szCs w:val="24"/>
        </w:rPr>
      </w:pPr>
      <w:r w:rsidRPr="00385835">
        <w:rPr>
          <w:rFonts w:ascii="Times New Roman" w:hAnsi="Times New Roman"/>
          <w:color w:val="000000"/>
          <w:sz w:val="24"/>
          <w:szCs w:val="24"/>
        </w:rPr>
        <w:lastRenderedPageBreak/>
        <w:t xml:space="preserve">Nustatant tarpines rodiklių reikšmes, taip pat atsižvelgta į sektoriaus pasirengimą panaudoti </w:t>
      </w:r>
      <w:r w:rsidR="000F4AE6">
        <w:rPr>
          <w:rFonts w:ascii="Times New Roman" w:hAnsi="Times New Roman"/>
          <w:color w:val="000000"/>
          <w:sz w:val="24"/>
          <w:szCs w:val="24"/>
        </w:rPr>
        <w:t>ES fondų</w:t>
      </w:r>
      <w:r w:rsidRPr="00385835">
        <w:rPr>
          <w:rFonts w:ascii="Times New Roman" w:hAnsi="Times New Roman"/>
          <w:color w:val="000000"/>
          <w:sz w:val="24"/>
          <w:szCs w:val="24"/>
        </w:rPr>
        <w:t xml:space="preserve"> lėšas – poreikį </w:t>
      </w:r>
      <w:r w:rsidRPr="00385835">
        <w:rPr>
          <w:rFonts w:ascii="Times New Roman" w:hAnsi="Times New Roman"/>
          <w:sz w:val="24"/>
          <w:szCs w:val="24"/>
        </w:rPr>
        <w:t xml:space="preserve">įvertinti ankstesnio programavimo laikotarpio rezultatus ir sukurti </w:t>
      </w:r>
      <w:r w:rsidRPr="00385835">
        <w:rPr>
          <w:rFonts w:ascii="Times New Roman" w:hAnsi="Times New Roman"/>
          <w:bCs/>
          <w:color w:val="000000"/>
          <w:sz w:val="24"/>
          <w:szCs w:val="24"/>
        </w:rPr>
        <w:t xml:space="preserve">elektroninių paslaugų apibrėžimo, tipizavimo ir vertinimo modelį, kuris sudarytų galimybes </w:t>
      </w:r>
      <w:r w:rsidRPr="00385835">
        <w:rPr>
          <w:rFonts w:ascii="Times New Roman" w:hAnsi="Times New Roman"/>
          <w:color w:val="000000"/>
          <w:sz w:val="24"/>
          <w:szCs w:val="24"/>
        </w:rPr>
        <w:t xml:space="preserve">visapusiškai vertinti kuriamas elektronines paslaugas, apibrėžti prioritetines elektroninių paslaugų plėtros sritis bei numatyti reikalavimus </w:t>
      </w:r>
    </w:p>
    <w:p w:rsidR="00AC33BC" w:rsidRPr="00385835" w:rsidRDefault="00385835" w:rsidP="00C54F1A">
      <w:pPr>
        <w:spacing w:after="0" w:line="240" w:lineRule="auto"/>
        <w:jc w:val="both"/>
        <w:rPr>
          <w:rFonts w:ascii="Times New Roman" w:hAnsi="Times New Roman"/>
          <w:sz w:val="24"/>
          <w:szCs w:val="24"/>
          <w:lang w:eastAsia="lt-LT"/>
        </w:rPr>
      </w:pPr>
      <w:r w:rsidRPr="00385835">
        <w:rPr>
          <w:rFonts w:ascii="Times New Roman" w:hAnsi="Times New Roman"/>
          <w:color w:val="000000"/>
          <w:sz w:val="24"/>
          <w:szCs w:val="24"/>
        </w:rPr>
        <w:t>e. paslaugas kuriantiems projektams.</w:t>
      </w:r>
    </w:p>
    <w:p w:rsidR="00385835" w:rsidRPr="00385835" w:rsidRDefault="00385835" w:rsidP="00385835">
      <w:pPr>
        <w:spacing w:after="0" w:line="240" w:lineRule="auto"/>
        <w:rPr>
          <w:rFonts w:ascii="Times New Roman" w:hAnsi="Times New Roman"/>
          <w:sz w:val="24"/>
          <w:szCs w:val="24"/>
        </w:rPr>
      </w:pPr>
    </w:p>
    <w:p w:rsidR="007E2373" w:rsidRDefault="007E2373" w:rsidP="00385835">
      <w:pPr>
        <w:widowControl w:val="0"/>
        <w:tabs>
          <w:tab w:val="left" w:pos="622"/>
        </w:tabs>
        <w:spacing w:after="0" w:line="240" w:lineRule="auto"/>
        <w:jc w:val="both"/>
        <w:rPr>
          <w:rFonts w:ascii="Times New Roman" w:eastAsia="AngsanaUPC" w:hAnsi="Times New Roman"/>
          <w:b/>
          <w:bCs/>
          <w:sz w:val="24"/>
          <w:szCs w:val="24"/>
          <w:lang w:eastAsia="lt-LT"/>
        </w:rPr>
        <w:sectPr w:rsidR="007E2373" w:rsidSect="00DD263E">
          <w:pgSz w:w="16838" w:h="11906" w:orient="landscape" w:code="9"/>
          <w:pgMar w:top="1701" w:right="1701" w:bottom="567" w:left="1134" w:header="567" w:footer="567" w:gutter="0"/>
          <w:cols w:space="1296"/>
          <w:docGrid w:linePitch="360"/>
        </w:sectPr>
      </w:pPr>
    </w:p>
    <w:p w:rsidR="00385835" w:rsidRPr="002447B3" w:rsidRDefault="006932B7" w:rsidP="00385835">
      <w:pPr>
        <w:widowControl w:val="0"/>
        <w:tabs>
          <w:tab w:val="left" w:pos="622"/>
        </w:tabs>
        <w:spacing w:after="0" w:line="240" w:lineRule="auto"/>
        <w:jc w:val="both"/>
        <w:rPr>
          <w:rFonts w:ascii="Times New Roman" w:hAnsi="Times New Roman"/>
          <w:b/>
          <w:bCs/>
          <w:i/>
          <w:iCs/>
          <w:sz w:val="24"/>
          <w:szCs w:val="24"/>
        </w:rPr>
      </w:pPr>
      <w:r w:rsidRPr="002447B3">
        <w:rPr>
          <w:rFonts w:ascii="Times New Roman" w:hAnsi="Times New Roman"/>
          <w:b/>
          <w:bCs/>
          <w:i/>
          <w:iCs/>
          <w:sz w:val="24"/>
          <w:szCs w:val="24"/>
        </w:rPr>
        <w:lastRenderedPageBreak/>
        <w:t>Numatomas išlaidų pasiskirstymas pagal kategorijas</w:t>
      </w:r>
    </w:p>
    <w:p w:rsidR="006932B7" w:rsidRPr="002447B3" w:rsidRDefault="006932B7"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09"/>
        <w:gridCol w:w="6378"/>
        <w:gridCol w:w="1843"/>
      </w:tblGrid>
      <w:tr w:rsidR="007E2373" w:rsidRPr="002447B3" w:rsidTr="00322BE2">
        <w:trPr>
          <w:tblHeader/>
        </w:trPr>
        <w:tc>
          <w:tcPr>
            <w:tcW w:w="9781" w:type="dxa"/>
            <w:gridSpan w:val="4"/>
            <w:shd w:val="clear" w:color="auto" w:fill="EEECE1"/>
            <w:vAlign w:val="center"/>
          </w:tcPr>
          <w:p w:rsidR="007E2373" w:rsidRPr="002447B3" w:rsidRDefault="007E2373" w:rsidP="00322BE2">
            <w:pPr>
              <w:widowControl w:val="0"/>
              <w:tabs>
                <w:tab w:val="left" w:pos="622"/>
              </w:tabs>
              <w:spacing w:after="0" w:line="240" w:lineRule="auto"/>
              <w:rPr>
                <w:rFonts w:ascii="Times New Roman" w:eastAsia="AngsanaUPC" w:hAnsi="Times New Roman"/>
                <w:b/>
                <w:bCs/>
                <w:i/>
                <w:sz w:val="20"/>
                <w:szCs w:val="20"/>
                <w:lang w:eastAsia="lt-LT"/>
              </w:rPr>
            </w:pPr>
            <w:r w:rsidRPr="002447B3">
              <w:rPr>
                <w:rFonts w:ascii="Times New Roman" w:eastAsia="AngsanaUPC" w:hAnsi="Times New Roman"/>
                <w:b/>
                <w:bCs/>
                <w:i/>
                <w:sz w:val="20"/>
                <w:szCs w:val="20"/>
                <w:lang w:eastAsia="lt-LT"/>
              </w:rPr>
              <w:t>Intervencinių veiksmų sritis</w:t>
            </w:r>
          </w:p>
        </w:tc>
      </w:tr>
      <w:tr w:rsidR="006932B7" w:rsidRPr="002447B3" w:rsidTr="006932B7">
        <w:tc>
          <w:tcPr>
            <w:tcW w:w="851" w:type="dxa"/>
            <w:shd w:val="clear" w:color="auto" w:fill="EEECE1"/>
            <w:vAlign w:val="center"/>
          </w:tcPr>
          <w:p w:rsidR="006932B7" w:rsidRPr="002447B3" w:rsidRDefault="006932B7" w:rsidP="006932B7">
            <w:pPr>
              <w:widowControl w:val="0"/>
              <w:tabs>
                <w:tab w:val="left" w:pos="622"/>
              </w:tabs>
              <w:spacing w:after="0" w:line="240" w:lineRule="auto"/>
              <w:jc w:val="center"/>
              <w:rPr>
                <w:rFonts w:ascii="Times New Roman" w:eastAsia="AngsanaUPC" w:hAnsi="Times New Roman"/>
                <w:b/>
                <w:bCs/>
                <w:sz w:val="18"/>
                <w:szCs w:val="18"/>
                <w:lang w:eastAsia="lt-LT"/>
              </w:rPr>
            </w:pPr>
            <w:r w:rsidRPr="002447B3">
              <w:rPr>
                <w:rFonts w:ascii="Times New Roman" w:eastAsia="AngsanaUPC" w:hAnsi="Times New Roman"/>
                <w:b/>
                <w:bCs/>
                <w:sz w:val="18"/>
                <w:szCs w:val="18"/>
                <w:lang w:eastAsia="lt-LT"/>
              </w:rPr>
              <w:t>Fondas</w:t>
            </w:r>
          </w:p>
        </w:tc>
        <w:tc>
          <w:tcPr>
            <w:tcW w:w="709" w:type="dxa"/>
            <w:shd w:val="clear" w:color="auto" w:fill="EEECE1"/>
            <w:vAlign w:val="center"/>
          </w:tcPr>
          <w:p w:rsidR="006932B7" w:rsidRPr="002447B3" w:rsidRDefault="006932B7" w:rsidP="00322BE2">
            <w:pPr>
              <w:widowControl w:val="0"/>
              <w:tabs>
                <w:tab w:val="left" w:pos="622"/>
              </w:tabs>
              <w:spacing w:after="0" w:line="240" w:lineRule="auto"/>
              <w:jc w:val="center"/>
              <w:rPr>
                <w:rFonts w:ascii="Times New Roman" w:eastAsia="AngsanaUPC" w:hAnsi="Times New Roman"/>
                <w:b/>
                <w:bCs/>
                <w:sz w:val="18"/>
                <w:szCs w:val="18"/>
                <w:lang w:eastAsia="lt-LT"/>
              </w:rPr>
            </w:pPr>
            <w:r w:rsidRPr="002447B3">
              <w:rPr>
                <w:rFonts w:ascii="Times New Roman" w:eastAsia="AngsanaUPC" w:hAnsi="Times New Roman"/>
                <w:b/>
                <w:bCs/>
                <w:sz w:val="18"/>
                <w:szCs w:val="18"/>
                <w:lang w:eastAsia="lt-LT"/>
              </w:rPr>
              <w:t>Kodas</w:t>
            </w:r>
          </w:p>
        </w:tc>
        <w:tc>
          <w:tcPr>
            <w:tcW w:w="6378" w:type="dxa"/>
            <w:shd w:val="clear" w:color="auto" w:fill="EEECE1"/>
            <w:vAlign w:val="center"/>
          </w:tcPr>
          <w:p w:rsidR="006932B7" w:rsidRPr="002447B3" w:rsidRDefault="006932B7" w:rsidP="00322BE2">
            <w:pPr>
              <w:widowControl w:val="0"/>
              <w:tabs>
                <w:tab w:val="left" w:pos="622"/>
              </w:tabs>
              <w:spacing w:after="0" w:line="240" w:lineRule="auto"/>
              <w:jc w:val="center"/>
              <w:rPr>
                <w:rFonts w:ascii="Times New Roman" w:eastAsia="AngsanaUPC" w:hAnsi="Times New Roman"/>
                <w:b/>
                <w:bCs/>
                <w:sz w:val="18"/>
                <w:szCs w:val="18"/>
                <w:lang w:eastAsia="lt-LT"/>
              </w:rPr>
            </w:pPr>
            <w:r w:rsidRPr="002447B3">
              <w:rPr>
                <w:rFonts w:ascii="Times New Roman" w:eastAsia="AngsanaUPC" w:hAnsi="Times New Roman"/>
                <w:b/>
                <w:bCs/>
                <w:sz w:val="18"/>
                <w:szCs w:val="18"/>
                <w:lang w:eastAsia="lt-LT"/>
              </w:rPr>
              <w:t>Pavadinimas</w:t>
            </w:r>
          </w:p>
        </w:tc>
        <w:tc>
          <w:tcPr>
            <w:tcW w:w="1843" w:type="dxa"/>
            <w:shd w:val="clear" w:color="auto" w:fill="EEECE1"/>
            <w:vAlign w:val="center"/>
          </w:tcPr>
          <w:p w:rsidR="006932B7" w:rsidRPr="002447B3" w:rsidRDefault="006932B7" w:rsidP="00322BE2">
            <w:pPr>
              <w:widowControl w:val="0"/>
              <w:tabs>
                <w:tab w:val="left" w:pos="622"/>
              </w:tabs>
              <w:spacing w:after="0" w:line="240" w:lineRule="auto"/>
              <w:jc w:val="center"/>
              <w:rPr>
                <w:rFonts w:ascii="Times New Roman" w:eastAsia="AngsanaUPC" w:hAnsi="Times New Roman"/>
                <w:b/>
                <w:bCs/>
                <w:sz w:val="18"/>
                <w:szCs w:val="18"/>
                <w:lang w:eastAsia="lt-LT"/>
              </w:rPr>
            </w:pPr>
            <w:r w:rsidRPr="002447B3">
              <w:rPr>
                <w:rFonts w:ascii="Times New Roman" w:eastAsia="AngsanaUPC" w:hAnsi="Times New Roman"/>
                <w:b/>
                <w:bCs/>
                <w:sz w:val="18"/>
                <w:szCs w:val="18"/>
                <w:lang w:eastAsia="lt-LT"/>
              </w:rPr>
              <w:t>Finansinė proporcija (eurais)</w:t>
            </w:r>
          </w:p>
        </w:tc>
      </w:tr>
      <w:tr w:rsidR="006932B7" w:rsidRPr="002447B3" w:rsidTr="006932B7">
        <w:tc>
          <w:tcPr>
            <w:tcW w:w="851" w:type="dxa"/>
            <w:shd w:val="clear" w:color="auto" w:fill="auto"/>
            <w:vAlign w:val="center"/>
          </w:tcPr>
          <w:p w:rsidR="006932B7" w:rsidRPr="002447B3" w:rsidRDefault="006932B7" w:rsidP="00322BE2">
            <w:pPr>
              <w:widowControl w:val="0"/>
              <w:tabs>
                <w:tab w:val="left" w:pos="622"/>
              </w:tabs>
              <w:spacing w:after="0" w:line="240" w:lineRule="auto"/>
              <w:rPr>
                <w:rFonts w:ascii="Times New Roman" w:eastAsia="AngsanaUPC" w:hAnsi="Times New Roman"/>
                <w:bCs/>
                <w:sz w:val="18"/>
                <w:szCs w:val="18"/>
                <w:lang w:eastAsia="lt-LT"/>
              </w:rPr>
            </w:pPr>
            <w:r w:rsidRPr="002447B3">
              <w:rPr>
                <w:rFonts w:ascii="Times New Roman" w:eastAsia="AngsanaUPC" w:hAnsi="Times New Roman"/>
                <w:bCs/>
                <w:sz w:val="18"/>
                <w:szCs w:val="18"/>
                <w:lang w:eastAsia="lt-LT"/>
              </w:rPr>
              <w:t>ERPF</w:t>
            </w:r>
          </w:p>
        </w:tc>
        <w:tc>
          <w:tcPr>
            <w:tcW w:w="709" w:type="dxa"/>
            <w:shd w:val="clear" w:color="auto" w:fill="auto"/>
            <w:vAlign w:val="center"/>
          </w:tcPr>
          <w:p w:rsidR="006932B7" w:rsidRPr="002447B3" w:rsidRDefault="006932B7" w:rsidP="009D62C6">
            <w:pPr>
              <w:widowControl w:val="0"/>
              <w:tabs>
                <w:tab w:val="left" w:pos="622"/>
              </w:tabs>
              <w:spacing w:after="0" w:line="240" w:lineRule="auto"/>
              <w:rPr>
                <w:rFonts w:ascii="Times New Roman" w:eastAsia="AngsanaUPC" w:hAnsi="Times New Roman"/>
                <w:bCs/>
                <w:sz w:val="18"/>
                <w:szCs w:val="18"/>
                <w:lang w:eastAsia="lt-LT"/>
              </w:rPr>
            </w:pPr>
            <w:r w:rsidRPr="002447B3">
              <w:rPr>
                <w:rFonts w:ascii="Times New Roman" w:eastAsia="AngsanaUPC" w:hAnsi="Times New Roman"/>
                <w:bCs/>
                <w:sz w:val="18"/>
                <w:szCs w:val="18"/>
                <w:lang w:eastAsia="lt-LT"/>
              </w:rPr>
              <w:t>46</w:t>
            </w:r>
          </w:p>
        </w:tc>
        <w:tc>
          <w:tcPr>
            <w:tcW w:w="6378" w:type="dxa"/>
            <w:shd w:val="clear" w:color="auto" w:fill="auto"/>
            <w:vAlign w:val="center"/>
          </w:tcPr>
          <w:p w:rsidR="006932B7" w:rsidRPr="002447B3" w:rsidRDefault="006932B7" w:rsidP="007E2373">
            <w:pPr>
              <w:spacing w:after="0" w:line="240" w:lineRule="auto"/>
              <w:rPr>
                <w:rFonts w:ascii="Times New Roman" w:hAnsi="Times New Roman"/>
                <w:color w:val="000000"/>
                <w:sz w:val="18"/>
                <w:szCs w:val="18"/>
              </w:rPr>
            </w:pPr>
            <w:r w:rsidRPr="002447B3">
              <w:rPr>
                <w:rFonts w:ascii="Times New Roman" w:hAnsi="Times New Roman"/>
                <w:color w:val="000000"/>
                <w:sz w:val="18"/>
                <w:szCs w:val="18"/>
              </w:rPr>
              <w:t>IRT: spartusis plačiajuostis tinklas (prieiga ir (arba) vietinė linija; ≥ 30 Mbps)</w:t>
            </w:r>
          </w:p>
        </w:tc>
        <w:tc>
          <w:tcPr>
            <w:tcW w:w="1843" w:type="dxa"/>
            <w:shd w:val="clear" w:color="auto" w:fill="auto"/>
            <w:vAlign w:val="center"/>
          </w:tcPr>
          <w:p w:rsidR="006932B7" w:rsidRPr="00EE2A95" w:rsidRDefault="00EE2A95" w:rsidP="00322BE2">
            <w:pPr>
              <w:spacing w:after="0" w:line="240" w:lineRule="auto"/>
              <w:jc w:val="right"/>
              <w:rPr>
                <w:rFonts w:ascii="Times New Roman" w:hAnsi="Times New Roman"/>
                <w:color w:val="000000"/>
                <w:sz w:val="18"/>
                <w:szCs w:val="18"/>
              </w:rPr>
            </w:pPr>
            <w:r w:rsidRPr="00EE2A95">
              <w:rPr>
                <w:rFonts w:ascii="Times New Roman" w:hAnsi="Times New Roman"/>
                <w:color w:val="000000"/>
                <w:sz w:val="18"/>
                <w:szCs w:val="18"/>
              </w:rPr>
              <w:t>17</w:t>
            </w:r>
            <w:r w:rsidR="00D90882">
              <w:rPr>
                <w:rFonts w:ascii="Times New Roman" w:hAnsi="Times New Roman"/>
                <w:color w:val="000000"/>
                <w:sz w:val="18"/>
                <w:szCs w:val="18"/>
              </w:rPr>
              <w:t>.</w:t>
            </w:r>
            <w:r w:rsidRPr="00EE2A95">
              <w:rPr>
                <w:rFonts w:ascii="Times New Roman" w:hAnsi="Times New Roman"/>
                <w:color w:val="000000"/>
                <w:sz w:val="18"/>
                <w:szCs w:val="18"/>
              </w:rPr>
              <w:t>525</w:t>
            </w:r>
            <w:r w:rsidR="00D90882">
              <w:rPr>
                <w:rFonts w:ascii="Times New Roman" w:hAnsi="Times New Roman"/>
                <w:color w:val="000000"/>
                <w:sz w:val="18"/>
                <w:szCs w:val="18"/>
              </w:rPr>
              <w:t>.</w:t>
            </w:r>
            <w:r w:rsidRPr="00EE2A95">
              <w:rPr>
                <w:rFonts w:ascii="Times New Roman" w:hAnsi="Times New Roman"/>
                <w:color w:val="000000"/>
                <w:sz w:val="18"/>
                <w:szCs w:val="18"/>
              </w:rPr>
              <w:t>075</w:t>
            </w:r>
          </w:p>
        </w:tc>
      </w:tr>
      <w:tr w:rsidR="006932B7" w:rsidRPr="002447B3" w:rsidTr="006932B7">
        <w:tc>
          <w:tcPr>
            <w:tcW w:w="851" w:type="dxa"/>
            <w:shd w:val="clear" w:color="auto" w:fill="auto"/>
            <w:vAlign w:val="center"/>
          </w:tcPr>
          <w:p w:rsidR="006932B7" w:rsidRPr="002447B3" w:rsidRDefault="006932B7" w:rsidP="00322BE2">
            <w:pPr>
              <w:widowControl w:val="0"/>
              <w:tabs>
                <w:tab w:val="left" w:pos="622"/>
              </w:tabs>
              <w:spacing w:after="0" w:line="240" w:lineRule="auto"/>
              <w:rPr>
                <w:rFonts w:ascii="Times New Roman" w:eastAsia="AngsanaUPC" w:hAnsi="Times New Roman"/>
                <w:bCs/>
                <w:sz w:val="18"/>
                <w:szCs w:val="18"/>
                <w:lang w:eastAsia="lt-LT"/>
              </w:rPr>
            </w:pPr>
            <w:r w:rsidRPr="002447B3">
              <w:rPr>
                <w:rFonts w:ascii="Times New Roman" w:eastAsia="AngsanaUPC" w:hAnsi="Times New Roman"/>
                <w:bCs/>
                <w:sz w:val="18"/>
                <w:szCs w:val="18"/>
                <w:lang w:eastAsia="lt-LT"/>
              </w:rPr>
              <w:t>ERPF</w:t>
            </w:r>
          </w:p>
        </w:tc>
        <w:tc>
          <w:tcPr>
            <w:tcW w:w="709" w:type="dxa"/>
            <w:shd w:val="clear" w:color="auto" w:fill="auto"/>
            <w:vAlign w:val="center"/>
          </w:tcPr>
          <w:p w:rsidR="006932B7" w:rsidRPr="002447B3" w:rsidRDefault="006932B7" w:rsidP="009D62C6">
            <w:pPr>
              <w:widowControl w:val="0"/>
              <w:tabs>
                <w:tab w:val="left" w:pos="622"/>
              </w:tabs>
              <w:spacing w:after="0" w:line="240" w:lineRule="auto"/>
              <w:rPr>
                <w:rFonts w:ascii="Times New Roman" w:eastAsia="AngsanaUPC" w:hAnsi="Times New Roman"/>
                <w:bCs/>
                <w:sz w:val="18"/>
                <w:szCs w:val="18"/>
                <w:lang w:eastAsia="lt-LT"/>
              </w:rPr>
            </w:pPr>
            <w:r w:rsidRPr="002447B3">
              <w:rPr>
                <w:rFonts w:ascii="Times New Roman" w:eastAsia="AngsanaUPC" w:hAnsi="Times New Roman"/>
                <w:bCs/>
                <w:sz w:val="18"/>
                <w:szCs w:val="18"/>
                <w:lang w:eastAsia="lt-LT"/>
              </w:rPr>
              <w:t>47</w:t>
            </w:r>
          </w:p>
        </w:tc>
        <w:tc>
          <w:tcPr>
            <w:tcW w:w="6378" w:type="dxa"/>
            <w:shd w:val="clear" w:color="auto" w:fill="auto"/>
            <w:vAlign w:val="center"/>
          </w:tcPr>
          <w:p w:rsidR="006932B7" w:rsidRPr="002447B3" w:rsidRDefault="006932B7" w:rsidP="007E2373">
            <w:pPr>
              <w:spacing w:after="0" w:line="240" w:lineRule="auto"/>
              <w:rPr>
                <w:rFonts w:ascii="Times New Roman" w:hAnsi="Times New Roman"/>
                <w:color w:val="000000"/>
                <w:sz w:val="18"/>
                <w:szCs w:val="18"/>
              </w:rPr>
            </w:pPr>
            <w:r w:rsidRPr="002447B3">
              <w:rPr>
                <w:rFonts w:ascii="Times New Roman" w:hAnsi="Times New Roman"/>
                <w:color w:val="000000"/>
                <w:sz w:val="18"/>
                <w:szCs w:val="18"/>
              </w:rPr>
              <w:t>IRT: labai spartus plačiajuostis tinklas (prieiga ir (arba) vietinė linija; ≥ 100 Mbps)</w:t>
            </w:r>
          </w:p>
        </w:tc>
        <w:tc>
          <w:tcPr>
            <w:tcW w:w="1843" w:type="dxa"/>
            <w:shd w:val="clear" w:color="auto" w:fill="auto"/>
            <w:vAlign w:val="center"/>
          </w:tcPr>
          <w:p w:rsidR="006932B7" w:rsidRPr="00EE2A95" w:rsidRDefault="00EE2A95" w:rsidP="00322BE2">
            <w:pPr>
              <w:spacing w:after="0" w:line="240" w:lineRule="auto"/>
              <w:jc w:val="right"/>
              <w:rPr>
                <w:rFonts w:ascii="Times New Roman" w:hAnsi="Times New Roman"/>
                <w:color w:val="000000"/>
                <w:sz w:val="18"/>
                <w:szCs w:val="18"/>
              </w:rPr>
            </w:pPr>
            <w:r w:rsidRPr="00EE2A95">
              <w:rPr>
                <w:rFonts w:ascii="Times New Roman" w:hAnsi="Times New Roman"/>
                <w:color w:val="000000"/>
                <w:sz w:val="18"/>
                <w:szCs w:val="18"/>
              </w:rPr>
              <w:t>17</w:t>
            </w:r>
            <w:r w:rsidR="00D90882">
              <w:rPr>
                <w:rFonts w:ascii="Times New Roman" w:hAnsi="Times New Roman"/>
                <w:color w:val="000000"/>
                <w:sz w:val="18"/>
                <w:szCs w:val="18"/>
              </w:rPr>
              <w:t>.</w:t>
            </w:r>
            <w:r w:rsidRPr="00EE2A95">
              <w:rPr>
                <w:rFonts w:ascii="Times New Roman" w:hAnsi="Times New Roman"/>
                <w:color w:val="000000"/>
                <w:sz w:val="18"/>
                <w:szCs w:val="18"/>
              </w:rPr>
              <w:t>525</w:t>
            </w:r>
            <w:r w:rsidR="00D90882">
              <w:rPr>
                <w:rFonts w:ascii="Times New Roman" w:hAnsi="Times New Roman"/>
                <w:color w:val="000000"/>
                <w:sz w:val="18"/>
                <w:szCs w:val="18"/>
              </w:rPr>
              <w:t>.</w:t>
            </w:r>
            <w:r w:rsidRPr="00EE2A95">
              <w:rPr>
                <w:rFonts w:ascii="Times New Roman" w:hAnsi="Times New Roman"/>
                <w:color w:val="000000"/>
                <w:sz w:val="18"/>
                <w:szCs w:val="18"/>
              </w:rPr>
              <w:t>075</w:t>
            </w:r>
          </w:p>
        </w:tc>
      </w:tr>
      <w:tr w:rsidR="006932B7" w:rsidRPr="002447B3" w:rsidTr="006932B7">
        <w:tc>
          <w:tcPr>
            <w:tcW w:w="851" w:type="dxa"/>
            <w:shd w:val="clear" w:color="auto" w:fill="auto"/>
            <w:vAlign w:val="center"/>
          </w:tcPr>
          <w:p w:rsidR="006932B7" w:rsidRPr="002447B3" w:rsidRDefault="006932B7" w:rsidP="00322BE2">
            <w:pPr>
              <w:widowControl w:val="0"/>
              <w:tabs>
                <w:tab w:val="left" w:pos="622"/>
              </w:tabs>
              <w:spacing w:after="0" w:line="240" w:lineRule="auto"/>
              <w:rPr>
                <w:rFonts w:ascii="Times New Roman" w:eastAsia="AngsanaUPC" w:hAnsi="Times New Roman"/>
                <w:bCs/>
                <w:sz w:val="18"/>
                <w:szCs w:val="18"/>
                <w:lang w:eastAsia="lt-LT"/>
              </w:rPr>
            </w:pPr>
            <w:r w:rsidRPr="002447B3">
              <w:rPr>
                <w:rFonts w:ascii="Times New Roman" w:eastAsia="AngsanaUPC" w:hAnsi="Times New Roman"/>
                <w:bCs/>
                <w:sz w:val="18"/>
                <w:szCs w:val="18"/>
                <w:lang w:eastAsia="lt-LT"/>
              </w:rPr>
              <w:t>ERPF</w:t>
            </w:r>
          </w:p>
        </w:tc>
        <w:tc>
          <w:tcPr>
            <w:tcW w:w="709" w:type="dxa"/>
            <w:shd w:val="clear" w:color="auto" w:fill="auto"/>
            <w:vAlign w:val="center"/>
          </w:tcPr>
          <w:p w:rsidR="006932B7" w:rsidRPr="002447B3" w:rsidRDefault="006932B7" w:rsidP="009D62C6">
            <w:pPr>
              <w:widowControl w:val="0"/>
              <w:tabs>
                <w:tab w:val="left" w:pos="622"/>
              </w:tabs>
              <w:spacing w:after="0" w:line="240" w:lineRule="auto"/>
              <w:rPr>
                <w:rFonts w:ascii="Times New Roman" w:eastAsia="AngsanaUPC" w:hAnsi="Times New Roman"/>
                <w:bCs/>
                <w:sz w:val="18"/>
                <w:szCs w:val="18"/>
                <w:lang w:eastAsia="lt-LT"/>
              </w:rPr>
            </w:pPr>
            <w:r w:rsidRPr="002447B3">
              <w:rPr>
                <w:rFonts w:ascii="Times New Roman" w:eastAsia="AngsanaUPC" w:hAnsi="Times New Roman"/>
                <w:bCs/>
                <w:sz w:val="18"/>
                <w:szCs w:val="18"/>
                <w:lang w:eastAsia="lt-LT"/>
              </w:rPr>
              <w:t>48</w:t>
            </w:r>
          </w:p>
        </w:tc>
        <w:tc>
          <w:tcPr>
            <w:tcW w:w="6378" w:type="dxa"/>
            <w:shd w:val="clear" w:color="auto" w:fill="auto"/>
            <w:vAlign w:val="center"/>
          </w:tcPr>
          <w:p w:rsidR="006932B7" w:rsidRPr="002447B3" w:rsidRDefault="006932B7" w:rsidP="007E2373">
            <w:pPr>
              <w:spacing w:after="0" w:line="240" w:lineRule="auto"/>
              <w:rPr>
                <w:rFonts w:ascii="Times New Roman" w:hAnsi="Times New Roman"/>
                <w:color w:val="000000"/>
                <w:sz w:val="18"/>
                <w:szCs w:val="18"/>
              </w:rPr>
            </w:pPr>
            <w:r w:rsidRPr="002447B3">
              <w:rPr>
                <w:rFonts w:ascii="Times New Roman" w:hAnsi="Times New Roman"/>
                <w:color w:val="000000"/>
                <w:sz w:val="18"/>
                <w:szCs w:val="18"/>
              </w:rPr>
              <w:t xml:space="preserve">IRT: kitų tipų IRT infrastruktūra ir (arba) didelės apimties kompiuterių ištekliai ir (arba) įranga (įskaitant e. infrastruktūrą, duomenų centrus ir jutiklius, taip pat įterptus į kitą infrastruktūrą, </w:t>
            </w:r>
            <w:proofErr w:type="gramStart"/>
            <w:r w:rsidRPr="002447B3">
              <w:rPr>
                <w:rFonts w:ascii="Times New Roman" w:hAnsi="Times New Roman"/>
                <w:color w:val="000000"/>
                <w:sz w:val="18"/>
                <w:szCs w:val="18"/>
              </w:rPr>
              <w:t>pvz.</w:t>
            </w:r>
            <w:proofErr w:type="gramEnd"/>
            <w:r w:rsidRPr="002447B3">
              <w:rPr>
                <w:rFonts w:ascii="Times New Roman" w:hAnsi="Times New Roman"/>
                <w:color w:val="000000"/>
                <w:sz w:val="18"/>
                <w:szCs w:val="18"/>
              </w:rPr>
              <w:t xml:space="preserve"> mokslinių tyrimų įranga, aplinkosaugos ir socialinę infrastruktūrą)</w:t>
            </w:r>
          </w:p>
        </w:tc>
        <w:tc>
          <w:tcPr>
            <w:tcW w:w="1843" w:type="dxa"/>
            <w:shd w:val="clear" w:color="auto" w:fill="auto"/>
            <w:vAlign w:val="center"/>
          </w:tcPr>
          <w:p w:rsidR="006932B7" w:rsidRPr="00EE2A95" w:rsidRDefault="00EE2A95" w:rsidP="00D90882">
            <w:pPr>
              <w:spacing w:after="0" w:line="240" w:lineRule="auto"/>
              <w:jc w:val="right"/>
              <w:rPr>
                <w:rFonts w:ascii="Times New Roman" w:hAnsi="Times New Roman"/>
                <w:color w:val="000000"/>
                <w:sz w:val="18"/>
                <w:szCs w:val="18"/>
              </w:rPr>
            </w:pPr>
            <w:r w:rsidRPr="00EE2A95">
              <w:rPr>
                <w:rFonts w:ascii="Times New Roman" w:hAnsi="Times New Roman"/>
                <w:color w:val="000000"/>
                <w:sz w:val="18"/>
                <w:szCs w:val="18"/>
              </w:rPr>
              <w:t>6</w:t>
            </w:r>
            <w:r w:rsidR="00D90882">
              <w:rPr>
                <w:rFonts w:ascii="Times New Roman" w:hAnsi="Times New Roman"/>
                <w:color w:val="000000"/>
                <w:sz w:val="18"/>
                <w:szCs w:val="18"/>
              </w:rPr>
              <w:t>.</w:t>
            </w:r>
            <w:r w:rsidRPr="00EE2A95">
              <w:rPr>
                <w:rFonts w:ascii="Times New Roman" w:hAnsi="Times New Roman"/>
                <w:color w:val="000000"/>
                <w:sz w:val="18"/>
                <w:szCs w:val="18"/>
              </w:rPr>
              <w:t>641</w:t>
            </w:r>
            <w:r w:rsidR="00D90882">
              <w:rPr>
                <w:rFonts w:ascii="Times New Roman" w:hAnsi="Times New Roman"/>
                <w:color w:val="000000"/>
                <w:sz w:val="18"/>
                <w:szCs w:val="18"/>
              </w:rPr>
              <w:t>.</w:t>
            </w:r>
            <w:r w:rsidRPr="00EE2A95">
              <w:rPr>
                <w:rFonts w:ascii="Times New Roman" w:hAnsi="Times New Roman"/>
                <w:color w:val="000000"/>
                <w:sz w:val="18"/>
                <w:szCs w:val="18"/>
              </w:rPr>
              <w:t>120</w:t>
            </w:r>
          </w:p>
        </w:tc>
      </w:tr>
      <w:tr w:rsidR="006932B7" w:rsidRPr="002447B3" w:rsidTr="006932B7">
        <w:tc>
          <w:tcPr>
            <w:tcW w:w="851" w:type="dxa"/>
            <w:shd w:val="clear" w:color="auto" w:fill="auto"/>
            <w:vAlign w:val="center"/>
          </w:tcPr>
          <w:p w:rsidR="006932B7" w:rsidRPr="002447B3" w:rsidRDefault="006932B7" w:rsidP="00322BE2">
            <w:pPr>
              <w:widowControl w:val="0"/>
              <w:tabs>
                <w:tab w:val="left" w:pos="622"/>
              </w:tabs>
              <w:spacing w:after="0" w:line="240" w:lineRule="auto"/>
              <w:rPr>
                <w:rFonts w:ascii="Times New Roman" w:eastAsia="AngsanaUPC" w:hAnsi="Times New Roman"/>
                <w:bCs/>
                <w:sz w:val="18"/>
                <w:szCs w:val="18"/>
                <w:lang w:eastAsia="lt-LT"/>
              </w:rPr>
            </w:pPr>
            <w:r w:rsidRPr="002447B3">
              <w:rPr>
                <w:rFonts w:ascii="Times New Roman" w:eastAsia="AngsanaUPC" w:hAnsi="Times New Roman"/>
                <w:bCs/>
                <w:sz w:val="18"/>
                <w:szCs w:val="18"/>
                <w:lang w:eastAsia="lt-LT"/>
              </w:rPr>
              <w:t>ERPF</w:t>
            </w:r>
          </w:p>
        </w:tc>
        <w:tc>
          <w:tcPr>
            <w:tcW w:w="709" w:type="dxa"/>
            <w:shd w:val="clear" w:color="auto" w:fill="auto"/>
            <w:vAlign w:val="center"/>
          </w:tcPr>
          <w:p w:rsidR="006932B7" w:rsidRPr="002447B3" w:rsidRDefault="006932B7" w:rsidP="009D62C6">
            <w:pPr>
              <w:widowControl w:val="0"/>
              <w:tabs>
                <w:tab w:val="left" w:pos="622"/>
              </w:tabs>
              <w:spacing w:after="0" w:line="240" w:lineRule="auto"/>
              <w:rPr>
                <w:rFonts w:ascii="Times New Roman" w:eastAsia="AngsanaUPC" w:hAnsi="Times New Roman"/>
                <w:bCs/>
                <w:sz w:val="18"/>
                <w:szCs w:val="18"/>
                <w:lang w:eastAsia="lt-LT"/>
              </w:rPr>
            </w:pPr>
            <w:r w:rsidRPr="002447B3">
              <w:rPr>
                <w:rFonts w:ascii="Times New Roman" w:eastAsia="AngsanaUPC" w:hAnsi="Times New Roman"/>
                <w:bCs/>
                <w:sz w:val="18"/>
                <w:szCs w:val="18"/>
                <w:lang w:eastAsia="lt-LT"/>
              </w:rPr>
              <w:t>78</w:t>
            </w:r>
          </w:p>
        </w:tc>
        <w:tc>
          <w:tcPr>
            <w:tcW w:w="6378" w:type="dxa"/>
            <w:shd w:val="clear" w:color="auto" w:fill="auto"/>
            <w:vAlign w:val="center"/>
          </w:tcPr>
          <w:p w:rsidR="006932B7" w:rsidRPr="002447B3" w:rsidRDefault="006932B7" w:rsidP="007E2373">
            <w:pPr>
              <w:spacing w:after="0" w:line="240" w:lineRule="auto"/>
              <w:rPr>
                <w:rFonts w:ascii="Times New Roman" w:hAnsi="Times New Roman"/>
                <w:color w:val="000000"/>
                <w:sz w:val="18"/>
                <w:szCs w:val="18"/>
              </w:rPr>
            </w:pPr>
            <w:r w:rsidRPr="002447B3">
              <w:rPr>
                <w:rFonts w:ascii="Times New Roman" w:hAnsi="Times New Roman"/>
                <w:color w:val="000000"/>
                <w:sz w:val="18"/>
                <w:szCs w:val="18"/>
              </w:rPr>
              <w:t>e. valdžios paslaugos ir taikomosios programos (įskaitant e. viešąjį pirkimą, viešojo administravimo pertvarkos palaikymo IRT priemones, kibernetinio saugumo, patikimumo ir privatumo užtikrinimo priemones, e. teisingumą ir e. demokratiją)</w:t>
            </w:r>
          </w:p>
        </w:tc>
        <w:tc>
          <w:tcPr>
            <w:tcW w:w="1843" w:type="dxa"/>
            <w:shd w:val="clear" w:color="auto" w:fill="auto"/>
            <w:vAlign w:val="center"/>
          </w:tcPr>
          <w:p w:rsidR="006932B7" w:rsidRPr="00891769" w:rsidRDefault="005F6EE3" w:rsidP="00D90882">
            <w:pPr>
              <w:spacing w:after="0" w:line="240" w:lineRule="auto"/>
              <w:jc w:val="right"/>
              <w:rPr>
                <w:rFonts w:ascii="Times New Roman" w:hAnsi="Times New Roman"/>
                <w:color w:val="000000"/>
                <w:sz w:val="18"/>
                <w:szCs w:val="18"/>
              </w:rPr>
            </w:pPr>
            <w:r w:rsidRPr="00891769">
              <w:rPr>
                <w:rFonts w:ascii="Times New Roman" w:hAnsi="Times New Roman"/>
                <w:color w:val="000000"/>
                <w:sz w:val="18"/>
                <w:szCs w:val="18"/>
              </w:rPr>
              <w:t>86.658.94</w:t>
            </w:r>
            <w:r w:rsidR="00954D8D" w:rsidRPr="00891769">
              <w:rPr>
                <w:rFonts w:ascii="Times New Roman" w:hAnsi="Times New Roman"/>
                <w:color w:val="000000"/>
                <w:sz w:val="18"/>
                <w:szCs w:val="18"/>
              </w:rPr>
              <w:t>2</w:t>
            </w:r>
          </w:p>
        </w:tc>
      </w:tr>
      <w:tr w:rsidR="006932B7" w:rsidRPr="002447B3" w:rsidTr="006932B7">
        <w:tc>
          <w:tcPr>
            <w:tcW w:w="851" w:type="dxa"/>
            <w:shd w:val="clear" w:color="auto" w:fill="auto"/>
            <w:vAlign w:val="center"/>
          </w:tcPr>
          <w:p w:rsidR="006932B7" w:rsidRPr="002447B3" w:rsidRDefault="006932B7" w:rsidP="00322BE2">
            <w:pPr>
              <w:widowControl w:val="0"/>
              <w:tabs>
                <w:tab w:val="left" w:pos="622"/>
              </w:tabs>
              <w:spacing w:after="0" w:line="240" w:lineRule="auto"/>
              <w:rPr>
                <w:rFonts w:ascii="Times New Roman" w:eastAsia="AngsanaUPC" w:hAnsi="Times New Roman"/>
                <w:bCs/>
                <w:sz w:val="18"/>
                <w:szCs w:val="18"/>
                <w:lang w:eastAsia="lt-LT"/>
              </w:rPr>
            </w:pPr>
            <w:r w:rsidRPr="002447B3">
              <w:rPr>
                <w:rFonts w:ascii="Times New Roman" w:eastAsia="AngsanaUPC" w:hAnsi="Times New Roman"/>
                <w:bCs/>
                <w:sz w:val="18"/>
                <w:szCs w:val="18"/>
                <w:lang w:eastAsia="lt-LT"/>
              </w:rPr>
              <w:t>ERPF</w:t>
            </w:r>
          </w:p>
        </w:tc>
        <w:tc>
          <w:tcPr>
            <w:tcW w:w="709" w:type="dxa"/>
            <w:shd w:val="clear" w:color="auto" w:fill="auto"/>
            <w:vAlign w:val="center"/>
          </w:tcPr>
          <w:p w:rsidR="006932B7" w:rsidRPr="002447B3" w:rsidRDefault="006932B7" w:rsidP="009D62C6">
            <w:pPr>
              <w:widowControl w:val="0"/>
              <w:tabs>
                <w:tab w:val="left" w:pos="622"/>
              </w:tabs>
              <w:spacing w:after="0" w:line="240" w:lineRule="auto"/>
              <w:rPr>
                <w:rFonts w:ascii="Times New Roman" w:eastAsia="AngsanaUPC" w:hAnsi="Times New Roman"/>
                <w:bCs/>
                <w:sz w:val="18"/>
                <w:szCs w:val="18"/>
                <w:lang w:eastAsia="lt-LT"/>
              </w:rPr>
            </w:pPr>
            <w:r w:rsidRPr="002447B3">
              <w:rPr>
                <w:rFonts w:ascii="Times New Roman" w:eastAsia="AngsanaUPC" w:hAnsi="Times New Roman"/>
                <w:bCs/>
                <w:sz w:val="18"/>
                <w:szCs w:val="18"/>
                <w:lang w:eastAsia="lt-LT"/>
              </w:rPr>
              <w:t>79</w:t>
            </w:r>
          </w:p>
        </w:tc>
        <w:tc>
          <w:tcPr>
            <w:tcW w:w="6378" w:type="dxa"/>
            <w:shd w:val="clear" w:color="auto" w:fill="auto"/>
            <w:vAlign w:val="center"/>
          </w:tcPr>
          <w:p w:rsidR="006932B7" w:rsidRPr="002447B3" w:rsidRDefault="006932B7" w:rsidP="009D1AF9">
            <w:pPr>
              <w:spacing w:after="0" w:line="240" w:lineRule="auto"/>
              <w:rPr>
                <w:rFonts w:ascii="Times New Roman" w:hAnsi="Times New Roman"/>
                <w:color w:val="000000"/>
                <w:sz w:val="18"/>
                <w:szCs w:val="18"/>
              </w:rPr>
            </w:pPr>
            <w:r w:rsidRPr="002447B3">
              <w:rPr>
                <w:rFonts w:ascii="Times New Roman" w:hAnsi="Times New Roman"/>
                <w:color w:val="000000"/>
                <w:sz w:val="18"/>
                <w:szCs w:val="18"/>
              </w:rPr>
              <w:t>Prieiga prie viešojo sektoriaus informacijos (įskaitant atvirųjų duomenų e. kultūrą, skaitmenines bibliotekas, e. turinį ir e. turizmą)</w:t>
            </w:r>
          </w:p>
        </w:tc>
        <w:tc>
          <w:tcPr>
            <w:tcW w:w="1843" w:type="dxa"/>
            <w:shd w:val="clear" w:color="auto" w:fill="auto"/>
            <w:vAlign w:val="center"/>
          </w:tcPr>
          <w:p w:rsidR="006932B7" w:rsidRPr="00891769" w:rsidRDefault="00954D8D" w:rsidP="005F6EE3">
            <w:pPr>
              <w:spacing w:after="0" w:line="240" w:lineRule="auto"/>
              <w:jc w:val="right"/>
              <w:rPr>
                <w:rFonts w:ascii="Times New Roman" w:hAnsi="Times New Roman"/>
                <w:color w:val="000000"/>
                <w:sz w:val="18"/>
                <w:szCs w:val="18"/>
              </w:rPr>
            </w:pPr>
            <w:r w:rsidRPr="00891769">
              <w:rPr>
                <w:rFonts w:ascii="Times New Roman" w:hAnsi="Times New Roman"/>
                <w:color w:val="000000"/>
                <w:sz w:val="18"/>
                <w:szCs w:val="18"/>
              </w:rPr>
              <w:t>2</w:t>
            </w:r>
            <w:r w:rsidR="005F6EE3" w:rsidRPr="00891769">
              <w:rPr>
                <w:rFonts w:ascii="Times New Roman" w:hAnsi="Times New Roman"/>
                <w:color w:val="000000"/>
                <w:sz w:val="18"/>
                <w:szCs w:val="18"/>
              </w:rPr>
              <w:t>8</w:t>
            </w:r>
            <w:r w:rsidR="00D90882" w:rsidRPr="00891769">
              <w:rPr>
                <w:rFonts w:ascii="Times New Roman" w:hAnsi="Times New Roman"/>
                <w:color w:val="000000"/>
                <w:sz w:val="18"/>
                <w:szCs w:val="18"/>
              </w:rPr>
              <w:t>.</w:t>
            </w:r>
            <w:r w:rsidR="005F6EE3" w:rsidRPr="00891769">
              <w:rPr>
                <w:rFonts w:ascii="Times New Roman" w:hAnsi="Times New Roman"/>
                <w:color w:val="000000"/>
                <w:sz w:val="18"/>
                <w:szCs w:val="18"/>
              </w:rPr>
              <w:t>225</w:t>
            </w:r>
            <w:r w:rsidR="00D90882" w:rsidRPr="00891769">
              <w:rPr>
                <w:rFonts w:ascii="Times New Roman" w:hAnsi="Times New Roman"/>
                <w:color w:val="000000"/>
                <w:sz w:val="18"/>
                <w:szCs w:val="18"/>
              </w:rPr>
              <w:t>.</w:t>
            </w:r>
            <w:r w:rsidR="005F6EE3" w:rsidRPr="00891769">
              <w:rPr>
                <w:rFonts w:ascii="Times New Roman" w:hAnsi="Times New Roman"/>
                <w:color w:val="000000"/>
                <w:sz w:val="18"/>
                <w:szCs w:val="18"/>
              </w:rPr>
              <w:t>796</w:t>
            </w:r>
          </w:p>
        </w:tc>
      </w:tr>
      <w:tr w:rsidR="006932B7" w:rsidRPr="002447B3" w:rsidTr="006932B7">
        <w:tc>
          <w:tcPr>
            <w:tcW w:w="851" w:type="dxa"/>
            <w:shd w:val="clear" w:color="auto" w:fill="auto"/>
            <w:vAlign w:val="center"/>
          </w:tcPr>
          <w:p w:rsidR="006932B7" w:rsidRPr="002447B3" w:rsidRDefault="006932B7" w:rsidP="00322BE2">
            <w:pPr>
              <w:widowControl w:val="0"/>
              <w:tabs>
                <w:tab w:val="left" w:pos="622"/>
              </w:tabs>
              <w:spacing w:after="0" w:line="240" w:lineRule="auto"/>
              <w:rPr>
                <w:rFonts w:ascii="Times New Roman" w:eastAsia="AngsanaUPC" w:hAnsi="Times New Roman"/>
                <w:bCs/>
                <w:sz w:val="18"/>
                <w:szCs w:val="18"/>
                <w:lang w:eastAsia="lt-LT"/>
              </w:rPr>
            </w:pPr>
            <w:r w:rsidRPr="002447B3">
              <w:rPr>
                <w:rFonts w:ascii="Times New Roman" w:eastAsia="AngsanaUPC" w:hAnsi="Times New Roman"/>
                <w:bCs/>
                <w:sz w:val="18"/>
                <w:szCs w:val="18"/>
                <w:lang w:eastAsia="lt-LT"/>
              </w:rPr>
              <w:t>ERPF</w:t>
            </w:r>
          </w:p>
        </w:tc>
        <w:tc>
          <w:tcPr>
            <w:tcW w:w="709" w:type="dxa"/>
            <w:shd w:val="clear" w:color="auto" w:fill="auto"/>
            <w:vAlign w:val="center"/>
          </w:tcPr>
          <w:p w:rsidR="006932B7" w:rsidRPr="002447B3" w:rsidRDefault="006932B7" w:rsidP="009D62C6">
            <w:pPr>
              <w:widowControl w:val="0"/>
              <w:tabs>
                <w:tab w:val="left" w:pos="622"/>
              </w:tabs>
              <w:spacing w:after="0" w:line="240" w:lineRule="auto"/>
              <w:rPr>
                <w:rFonts w:ascii="Times New Roman" w:eastAsia="AngsanaUPC" w:hAnsi="Times New Roman"/>
                <w:bCs/>
                <w:sz w:val="18"/>
                <w:szCs w:val="18"/>
                <w:lang w:eastAsia="lt-LT"/>
              </w:rPr>
            </w:pPr>
            <w:r w:rsidRPr="002447B3">
              <w:rPr>
                <w:rFonts w:ascii="Times New Roman" w:eastAsia="AngsanaUPC" w:hAnsi="Times New Roman"/>
                <w:bCs/>
                <w:sz w:val="18"/>
                <w:szCs w:val="18"/>
                <w:lang w:eastAsia="lt-LT"/>
              </w:rPr>
              <w:t>80</w:t>
            </w:r>
          </w:p>
        </w:tc>
        <w:tc>
          <w:tcPr>
            <w:tcW w:w="6378" w:type="dxa"/>
            <w:shd w:val="clear" w:color="auto" w:fill="auto"/>
            <w:vAlign w:val="center"/>
          </w:tcPr>
          <w:p w:rsidR="006932B7" w:rsidRPr="002447B3" w:rsidRDefault="006932B7" w:rsidP="009D1AF9">
            <w:pPr>
              <w:spacing w:after="0" w:line="240" w:lineRule="auto"/>
              <w:rPr>
                <w:rFonts w:ascii="Times New Roman" w:hAnsi="Times New Roman"/>
                <w:color w:val="000000"/>
                <w:sz w:val="18"/>
                <w:szCs w:val="18"/>
              </w:rPr>
            </w:pPr>
            <w:r w:rsidRPr="002447B3">
              <w:rPr>
                <w:rFonts w:ascii="Times New Roman" w:hAnsi="Times New Roman"/>
                <w:color w:val="000000"/>
                <w:sz w:val="18"/>
                <w:szCs w:val="18"/>
              </w:rPr>
              <w:t>e. įtraukties, e. prieinamumo, e. mokymosi ir e. švietimo paslaugos ir taikomosios programos, skaitmeninis raštingumas</w:t>
            </w:r>
          </w:p>
        </w:tc>
        <w:tc>
          <w:tcPr>
            <w:tcW w:w="1843" w:type="dxa"/>
            <w:shd w:val="clear" w:color="auto" w:fill="auto"/>
            <w:vAlign w:val="center"/>
          </w:tcPr>
          <w:p w:rsidR="006932B7" w:rsidRPr="00891769" w:rsidRDefault="00EE2A95" w:rsidP="00954D8D">
            <w:pPr>
              <w:spacing w:after="0" w:line="240" w:lineRule="auto"/>
              <w:jc w:val="right"/>
              <w:rPr>
                <w:rFonts w:ascii="Times New Roman" w:hAnsi="Times New Roman"/>
                <w:color w:val="000000"/>
                <w:sz w:val="18"/>
                <w:szCs w:val="18"/>
              </w:rPr>
            </w:pPr>
            <w:r w:rsidRPr="00891769">
              <w:rPr>
                <w:rFonts w:ascii="Times New Roman" w:hAnsi="Times New Roman"/>
                <w:color w:val="000000"/>
                <w:sz w:val="18"/>
                <w:szCs w:val="18"/>
              </w:rPr>
              <w:t>14</w:t>
            </w:r>
            <w:r w:rsidR="00D90882" w:rsidRPr="00891769">
              <w:rPr>
                <w:rFonts w:ascii="Times New Roman" w:hAnsi="Times New Roman"/>
                <w:color w:val="000000"/>
                <w:sz w:val="18"/>
                <w:szCs w:val="18"/>
              </w:rPr>
              <w:t>.</w:t>
            </w:r>
            <w:r w:rsidR="00954D8D" w:rsidRPr="00891769">
              <w:rPr>
                <w:rFonts w:ascii="Times New Roman" w:hAnsi="Times New Roman"/>
                <w:color w:val="000000"/>
                <w:sz w:val="18"/>
                <w:szCs w:val="18"/>
              </w:rPr>
              <w:t>190</w:t>
            </w:r>
            <w:r w:rsidR="00D90882" w:rsidRPr="00891769">
              <w:rPr>
                <w:rFonts w:ascii="Times New Roman" w:hAnsi="Times New Roman"/>
                <w:color w:val="000000"/>
                <w:sz w:val="18"/>
                <w:szCs w:val="18"/>
              </w:rPr>
              <w:t>.</w:t>
            </w:r>
            <w:r w:rsidR="00954D8D" w:rsidRPr="00891769">
              <w:rPr>
                <w:rFonts w:ascii="Times New Roman" w:hAnsi="Times New Roman"/>
                <w:color w:val="000000"/>
                <w:sz w:val="18"/>
                <w:szCs w:val="18"/>
              </w:rPr>
              <w:t>462</w:t>
            </w:r>
          </w:p>
        </w:tc>
      </w:tr>
      <w:tr w:rsidR="006932B7" w:rsidRPr="002447B3" w:rsidTr="006932B7">
        <w:tc>
          <w:tcPr>
            <w:tcW w:w="851" w:type="dxa"/>
            <w:shd w:val="clear" w:color="auto" w:fill="auto"/>
            <w:vAlign w:val="center"/>
          </w:tcPr>
          <w:p w:rsidR="006932B7" w:rsidRPr="002447B3" w:rsidRDefault="006932B7" w:rsidP="00322BE2">
            <w:pPr>
              <w:widowControl w:val="0"/>
              <w:tabs>
                <w:tab w:val="left" w:pos="622"/>
              </w:tabs>
              <w:spacing w:after="0" w:line="240" w:lineRule="auto"/>
              <w:rPr>
                <w:rFonts w:ascii="Times New Roman" w:eastAsia="AngsanaUPC" w:hAnsi="Times New Roman"/>
                <w:bCs/>
                <w:sz w:val="18"/>
                <w:szCs w:val="18"/>
                <w:lang w:eastAsia="lt-LT"/>
              </w:rPr>
            </w:pPr>
            <w:r w:rsidRPr="002447B3">
              <w:rPr>
                <w:rFonts w:ascii="Times New Roman" w:eastAsia="AngsanaUPC" w:hAnsi="Times New Roman"/>
                <w:bCs/>
                <w:sz w:val="18"/>
                <w:szCs w:val="18"/>
                <w:lang w:eastAsia="lt-LT"/>
              </w:rPr>
              <w:t>ERPF</w:t>
            </w:r>
          </w:p>
        </w:tc>
        <w:tc>
          <w:tcPr>
            <w:tcW w:w="709" w:type="dxa"/>
            <w:shd w:val="clear" w:color="auto" w:fill="auto"/>
            <w:vAlign w:val="center"/>
          </w:tcPr>
          <w:p w:rsidR="006932B7" w:rsidRPr="002447B3" w:rsidRDefault="006932B7" w:rsidP="009D62C6">
            <w:pPr>
              <w:widowControl w:val="0"/>
              <w:tabs>
                <w:tab w:val="left" w:pos="622"/>
              </w:tabs>
              <w:spacing w:after="0" w:line="240" w:lineRule="auto"/>
              <w:rPr>
                <w:rFonts w:ascii="Times New Roman" w:eastAsia="AngsanaUPC" w:hAnsi="Times New Roman"/>
                <w:bCs/>
                <w:sz w:val="18"/>
                <w:szCs w:val="18"/>
                <w:lang w:eastAsia="lt-LT"/>
              </w:rPr>
            </w:pPr>
            <w:r w:rsidRPr="002447B3">
              <w:rPr>
                <w:rFonts w:ascii="Times New Roman" w:eastAsia="AngsanaUPC" w:hAnsi="Times New Roman"/>
                <w:bCs/>
                <w:sz w:val="18"/>
                <w:szCs w:val="18"/>
                <w:lang w:eastAsia="lt-LT"/>
              </w:rPr>
              <w:t>81</w:t>
            </w:r>
          </w:p>
        </w:tc>
        <w:tc>
          <w:tcPr>
            <w:tcW w:w="6378" w:type="dxa"/>
            <w:shd w:val="clear" w:color="auto" w:fill="auto"/>
            <w:vAlign w:val="center"/>
          </w:tcPr>
          <w:p w:rsidR="006932B7" w:rsidRPr="002447B3" w:rsidRDefault="006932B7" w:rsidP="009D1AF9">
            <w:pPr>
              <w:spacing w:after="0" w:line="240" w:lineRule="auto"/>
              <w:rPr>
                <w:rFonts w:ascii="Times New Roman" w:hAnsi="Times New Roman"/>
                <w:color w:val="000000"/>
                <w:sz w:val="18"/>
                <w:szCs w:val="18"/>
              </w:rPr>
            </w:pPr>
            <w:r w:rsidRPr="002447B3">
              <w:rPr>
                <w:rFonts w:ascii="Times New Roman" w:hAnsi="Times New Roman"/>
                <w:color w:val="000000"/>
                <w:sz w:val="18"/>
                <w:szCs w:val="18"/>
              </w:rPr>
              <w:t>Vyresnių žmonių sveikatą ir aktyvumą išsaugoti padedantys IRT sprendimai ir e. sveikatos paslaugos bei taikomosios programos (įskaitant e. priežiūrą ir kasdienį gyvenimą palengvinančią aplinką)</w:t>
            </w:r>
          </w:p>
        </w:tc>
        <w:tc>
          <w:tcPr>
            <w:tcW w:w="1843" w:type="dxa"/>
            <w:shd w:val="clear" w:color="auto" w:fill="auto"/>
            <w:vAlign w:val="center"/>
          </w:tcPr>
          <w:p w:rsidR="006932B7" w:rsidRPr="00891769" w:rsidRDefault="005F6EE3" w:rsidP="00322BE2">
            <w:pPr>
              <w:spacing w:after="0" w:line="240" w:lineRule="auto"/>
              <w:jc w:val="right"/>
              <w:rPr>
                <w:rFonts w:ascii="Times New Roman" w:hAnsi="Times New Roman"/>
                <w:color w:val="000000"/>
                <w:sz w:val="18"/>
                <w:szCs w:val="18"/>
              </w:rPr>
            </w:pPr>
            <w:r w:rsidRPr="00891769">
              <w:rPr>
                <w:rFonts w:ascii="Times New Roman" w:hAnsi="Times New Roman"/>
                <w:color w:val="000000"/>
                <w:sz w:val="18"/>
                <w:szCs w:val="18"/>
              </w:rPr>
              <w:t>9</w:t>
            </w:r>
            <w:r w:rsidR="00D90882" w:rsidRPr="00891769">
              <w:rPr>
                <w:rFonts w:ascii="Times New Roman" w:hAnsi="Times New Roman"/>
                <w:color w:val="000000"/>
                <w:sz w:val="18"/>
                <w:szCs w:val="18"/>
              </w:rPr>
              <w:t>.</w:t>
            </w:r>
            <w:r w:rsidRPr="00891769">
              <w:rPr>
                <w:rFonts w:ascii="Times New Roman" w:hAnsi="Times New Roman"/>
                <w:color w:val="000000"/>
                <w:sz w:val="18"/>
                <w:szCs w:val="18"/>
              </w:rPr>
              <w:t>520</w:t>
            </w:r>
            <w:r w:rsidR="00D90882" w:rsidRPr="00891769">
              <w:rPr>
                <w:rFonts w:ascii="Times New Roman" w:hAnsi="Times New Roman"/>
                <w:color w:val="000000"/>
                <w:sz w:val="18"/>
                <w:szCs w:val="18"/>
              </w:rPr>
              <w:t>.</w:t>
            </w:r>
            <w:r w:rsidRPr="00891769">
              <w:rPr>
                <w:rFonts w:ascii="Times New Roman" w:hAnsi="Times New Roman"/>
                <w:color w:val="000000"/>
                <w:sz w:val="18"/>
                <w:szCs w:val="18"/>
              </w:rPr>
              <w:t>814</w:t>
            </w:r>
          </w:p>
        </w:tc>
      </w:tr>
    </w:tbl>
    <w:p w:rsidR="007E2373" w:rsidRPr="002447B3" w:rsidRDefault="007E2373" w:rsidP="007E2373">
      <w:pPr>
        <w:spacing w:after="0" w:line="240" w:lineRule="auto"/>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783"/>
        <w:gridCol w:w="6411"/>
        <w:gridCol w:w="1775"/>
      </w:tblGrid>
      <w:tr w:rsidR="007E2373" w:rsidRPr="002447B3" w:rsidTr="00BB0960">
        <w:tc>
          <w:tcPr>
            <w:tcW w:w="9746" w:type="dxa"/>
            <w:gridSpan w:val="4"/>
            <w:shd w:val="clear" w:color="auto" w:fill="EEECE1"/>
          </w:tcPr>
          <w:p w:rsidR="007E2373" w:rsidRPr="002447B3" w:rsidRDefault="007E2373" w:rsidP="00BB0960">
            <w:pPr>
              <w:spacing w:after="0" w:line="240" w:lineRule="auto"/>
              <w:rPr>
                <w:rFonts w:ascii="Times New Roman" w:hAnsi="Times New Roman"/>
                <w:i/>
                <w:sz w:val="20"/>
                <w:szCs w:val="20"/>
              </w:rPr>
            </w:pPr>
            <w:r w:rsidRPr="002447B3">
              <w:rPr>
                <w:rFonts w:ascii="Times New Roman" w:hAnsi="Times New Roman"/>
                <w:b/>
                <w:bCs/>
                <w:i/>
                <w:sz w:val="20"/>
                <w:szCs w:val="20"/>
              </w:rPr>
              <w:t>Finansavimo forma</w:t>
            </w:r>
          </w:p>
        </w:tc>
      </w:tr>
      <w:tr w:rsidR="006932B7" w:rsidRPr="002447B3" w:rsidTr="006932B7">
        <w:tc>
          <w:tcPr>
            <w:tcW w:w="777" w:type="dxa"/>
            <w:shd w:val="clear" w:color="auto" w:fill="EEECE1"/>
            <w:vAlign w:val="center"/>
          </w:tcPr>
          <w:p w:rsidR="006932B7" w:rsidRPr="002447B3" w:rsidRDefault="006932B7" w:rsidP="009D62C6">
            <w:pPr>
              <w:widowControl w:val="0"/>
              <w:tabs>
                <w:tab w:val="left" w:pos="622"/>
              </w:tabs>
              <w:spacing w:after="0" w:line="240" w:lineRule="auto"/>
              <w:jc w:val="center"/>
              <w:rPr>
                <w:rFonts w:ascii="Times New Roman" w:eastAsia="AngsanaUPC" w:hAnsi="Times New Roman"/>
                <w:b/>
                <w:bCs/>
                <w:sz w:val="18"/>
                <w:szCs w:val="18"/>
                <w:lang w:eastAsia="lt-LT"/>
              </w:rPr>
            </w:pPr>
            <w:r w:rsidRPr="002447B3">
              <w:rPr>
                <w:rFonts w:ascii="Times New Roman" w:eastAsia="AngsanaUPC" w:hAnsi="Times New Roman"/>
                <w:b/>
                <w:bCs/>
                <w:sz w:val="18"/>
                <w:szCs w:val="18"/>
                <w:lang w:eastAsia="lt-LT"/>
              </w:rPr>
              <w:t>Fondas</w:t>
            </w:r>
          </w:p>
        </w:tc>
        <w:tc>
          <w:tcPr>
            <w:tcW w:w="783" w:type="dxa"/>
            <w:shd w:val="clear" w:color="auto" w:fill="EEECE1"/>
            <w:vAlign w:val="center"/>
          </w:tcPr>
          <w:p w:rsidR="006932B7" w:rsidRPr="002447B3" w:rsidRDefault="006932B7" w:rsidP="00BB0960">
            <w:pPr>
              <w:widowControl w:val="0"/>
              <w:tabs>
                <w:tab w:val="left" w:pos="622"/>
              </w:tabs>
              <w:spacing w:after="0" w:line="240" w:lineRule="auto"/>
              <w:jc w:val="center"/>
              <w:rPr>
                <w:rFonts w:ascii="Times New Roman" w:eastAsia="AngsanaUPC" w:hAnsi="Times New Roman"/>
                <w:b/>
                <w:bCs/>
                <w:sz w:val="18"/>
                <w:szCs w:val="18"/>
                <w:lang w:eastAsia="lt-LT"/>
              </w:rPr>
            </w:pPr>
            <w:r w:rsidRPr="002447B3">
              <w:rPr>
                <w:rFonts w:ascii="Times New Roman" w:eastAsia="AngsanaUPC" w:hAnsi="Times New Roman"/>
                <w:b/>
                <w:bCs/>
                <w:sz w:val="18"/>
                <w:szCs w:val="18"/>
                <w:lang w:eastAsia="lt-LT"/>
              </w:rPr>
              <w:t>Kodas</w:t>
            </w:r>
          </w:p>
        </w:tc>
        <w:tc>
          <w:tcPr>
            <w:tcW w:w="6411" w:type="dxa"/>
            <w:shd w:val="clear" w:color="auto" w:fill="EEECE1"/>
            <w:vAlign w:val="center"/>
          </w:tcPr>
          <w:p w:rsidR="006932B7" w:rsidRPr="002447B3" w:rsidRDefault="006932B7" w:rsidP="00BB0960">
            <w:pPr>
              <w:widowControl w:val="0"/>
              <w:tabs>
                <w:tab w:val="left" w:pos="622"/>
              </w:tabs>
              <w:spacing w:after="0" w:line="240" w:lineRule="auto"/>
              <w:jc w:val="center"/>
              <w:rPr>
                <w:rFonts w:ascii="Times New Roman" w:eastAsia="AngsanaUPC" w:hAnsi="Times New Roman"/>
                <w:b/>
                <w:bCs/>
                <w:sz w:val="18"/>
                <w:szCs w:val="18"/>
                <w:lang w:eastAsia="lt-LT"/>
              </w:rPr>
            </w:pPr>
            <w:r w:rsidRPr="002447B3">
              <w:rPr>
                <w:rFonts w:ascii="Times New Roman" w:eastAsia="AngsanaUPC" w:hAnsi="Times New Roman"/>
                <w:b/>
                <w:bCs/>
                <w:sz w:val="18"/>
                <w:szCs w:val="18"/>
                <w:lang w:eastAsia="lt-LT"/>
              </w:rPr>
              <w:t>Pavadinimas</w:t>
            </w:r>
          </w:p>
        </w:tc>
        <w:tc>
          <w:tcPr>
            <w:tcW w:w="1775" w:type="dxa"/>
            <w:shd w:val="clear" w:color="auto" w:fill="EEECE1"/>
            <w:vAlign w:val="center"/>
          </w:tcPr>
          <w:p w:rsidR="006932B7" w:rsidRPr="002447B3" w:rsidRDefault="006932B7" w:rsidP="00BB0960">
            <w:pPr>
              <w:widowControl w:val="0"/>
              <w:tabs>
                <w:tab w:val="left" w:pos="622"/>
              </w:tabs>
              <w:spacing w:after="0" w:line="240" w:lineRule="auto"/>
              <w:jc w:val="center"/>
              <w:rPr>
                <w:rFonts w:ascii="Times New Roman" w:eastAsia="AngsanaUPC" w:hAnsi="Times New Roman"/>
                <w:b/>
                <w:bCs/>
                <w:sz w:val="18"/>
                <w:szCs w:val="18"/>
                <w:lang w:eastAsia="lt-LT"/>
              </w:rPr>
            </w:pPr>
            <w:r w:rsidRPr="002447B3">
              <w:rPr>
                <w:rFonts w:ascii="Times New Roman" w:eastAsia="AngsanaUPC" w:hAnsi="Times New Roman"/>
                <w:b/>
                <w:bCs/>
                <w:sz w:val="18"/>
                <w:szCs w:val="18"/>
                <w:lang w:eastAsia="lt-LT"/>
              </w:rPr>
              <w:t>Finansinė proporcija (eurais)</w:t>
            </w:r>
          </w:p>
        </w:tc>
      </w:tr>
      <w:tr w:rsidR="006932B7" w:rsidRPr="002447B3" w:rsidTr="006932B7">
        <w:tc>
          <w:tcPr>
            <w:tcW w:w="777" w:type="dxa"/>
            <w:shd w:val="clear" w:color="auto" w:fill="auto"/>
            <w:vAlign w:val="center"/>
          </w:tcPr>
          <w:p w:rsidR="006932B7" w:rsidRPr="002447B3" w:rsidRDefault="006932B7" w:rsidP="009D62C6">
            <w:pPr>
              <w:widowControl w:val="0"/>
              <w:tabs>
                <w:tab w:val="left" w:pos="622"/>
              </w:tabs>
              <w:spacing w:after="0" w:line="240" w:lineRule="auto"/>
              <w:rPr>
                <w:rFonts w:ascii="Times New Roman" w:eastAsia="AngsanaUPC" w:hAnsi="Times New Roman"/>
                <w:bCs/>
                <w:sz w:val="18"/>
                <w:szCs w:val="18"/>
                <w:lang w:eastAsia="lt-LT"/>
              </w:rPr>
            </w:pPr>
            <w:r w:rsidRPr="002447B3">
              <w:rPr>
                <w:rFonts w:ascii="Times New Roman" w:eastAsia="AngsanaUPC" w:hAnsi="Times New Roman"/>
                <w:bCs/>
                <w:sz w:val="18"/>
                <w:szCs w:val="18"/>
                <w:lang w:eastAsia="lt-LT"/>
              </w:rPr>
              <w:t>ERPF</w:t>
            </w:r>
          </w:p>
        </w:tc>
        <w:tc>
          <w:tcPr>
            <w:tcW w:w="783" w:type="dxa"/>
            <w:shd w:val="clear" w:color="auto" w:fill="auto"/>
            <w:vAlign w:val="center"/>
          </w:tcPr>
          <w:p w:rsidR="006932B7" w:rsidRPr="002447B3" w:rsidRDefault="00386A96" w:rsidP="00BB0960">
            <w:pPr>
              <w:widowControl w:val="0"/>
              <w:tabs>
                <w:tab w:val="left" w:pos="622"/>
              </w:tabs>
              <w:spacing w:after="0" w:line="240" w:lineRule="auto"/>
              <w:jc w:val="center"/>
              <w:rPr>
                <w:rFonts w:ascii="Times New Roman" w:eastAsia="AngsanaUPC" w:hAnsi="Times New Roman"/>
                <w:bCs/>
                <w:sz w:val="18"/>
                <w:szCs w:val="18"/>
                <w:lang w:val="en-GB" w:eastAsia="lt-LT"/>
              </w:rPr>
            </w:pPr>
            <w:r w:rsidRPr="002447B3">
              <w:rPr>
                <w:rFonts w:ascii="Times New Roman" w:eastAsia="AngsanaUPC" w:hAnsi="Times New Roman"/>
                <w:bCs/>
                <w:sz w:val="18"/>
                <w:szCs w:val="18"/>
                <w:lang w:val="en-GB" w:eastAsia="lt-LT"/>
              </w:rPr>
              <w:t>0</w:t>
            </w:r>
            <w:r w:rsidR="006932B7" w:rsidRPr="002447B3">
              <w:rPr>
                <w:rFonts w:ascii="Times New Roman" w:eastAsia="AngsanaUPC" w:hAnsi="Times New Roman"/>
                <w:bCs/>
                <w:sz w:val="18"/>
                <w:szCs w:val="18"/>
                <w:lang w:val="en-GB" w:eastAsia="lt-LT"/>
              </w:rPr>
              <w:t>1</w:t>
            </w:r>
          </w:p>
        </w:tc>
        <w:tc>
          <w:tcPr>
            <w:tcW w:w="6411" w:type="dxa"/>
            <w:shd w:val="clear" w:color="auto" w:fill="auto"/>
            <w:vAlign w:val="center"/>
          </w:tcPr>
          <w:p w:rsidR="006932B7" w:rsidRPr="002447B3" w:rsidRDefault="006932B7" w:rsidP="00BB0960">
            <w:pPr>
              <w:widowControl w:val="0"/>
              <w:tabs>
                <w:tab w:val="left" w:pos="622"/>
              </w:tabs>
              <w:spacing w:after="0" w:line="240" w:lineRule="auto"/>
              <w:rPr>
                <w:rFonts w:ascii="Times New Roman" w:eastAsia="AngsanaUPC" w:hAnsi="Times New Roman"/>
                <w:bCs/>
                <w:sz w:val="18"/>
                <w:szCs w:val="18"/>
                <w:lang w:eastAsia="lt-LT"/>
              </w:rPr>
            </w:pPr>
            <w:r w:rsidRPr="002447B3">
              <w:rPr>
                <w:rFonts w:ascii="Times New Roman" w:eastAsia="AngsanaUPC" w:hAnsi="Times New Roman"/>
                <w:bCs/>
                <w:sz w:val="18"/>
                <w:szCs w:val="18"/>
                <w:lang w:eastAsia="lt-LT"/>
              </w:rPr>
              <w:t>Negrąžinamoji subsidija</w:t>
            </w:r>
          </w:p>
        </w:tc>
        <w:tc>
          <w:tcPr>
            <w:tcW w:w="1775" w:type="dxa"/>
            <w:shd w:val="clear" w:color="auto" w:fill="auto"/>
            <w:vAlign w:val="center"/>
          </w:tcPr>
          <w:p w:rsidR="006932B7" w:rsidRPr="00EE2A95" w:rsidRDefault="00EE2A95" w:rsidP="00954D8D">
            <w:pPr>
              <w:widowControl w:val="0"/>
              <w:tabs>
                <w:tab w:val="left" w:pos="622"/>
              </w:tabs>
              <w:spacing w:after="0" w:line="240" w:lineRule="auto"/>
              <w:jc w:val="right"/>
              <w:rPr>
                <w:rFonts w:ascii="Times New Roman" w:eastAsia="AngsanaUPC" w:hAnsi="Times New Roman"/>
                <w:bCs/>
                <w:sz w:val="18"/>
                <w:szCs w:val="18"/>
                <w:lang w:val="en-GB" w:eastAsia="lt-LT"/>
              </w:rPr>
            </w:pPr>
            <w:r w:rsidRPr="00891769">
              <w:rPr>
                <w:rFonts w:ascii="Times New Roman" w:eastAsia="AngsanaUPC" w:hAnsi="Times New Roman"/>
                <w:bCs/>
                <w:sz w:val="18"/>
                <w:szCs w:val="18"/>
                <w:lang w:eastAsia="lt-LT"/>
              </w:rPr>
              <w:t>18</w:t>
            </w:r>
            <w:r w:rsidR="005F6EE3" w:rsidRPr="00891769">
              <w:rPr>
                <w:rFonts w:ascii="Times New Roman" w:eastAsia="AngsanaUPC" w:hAnsi="Times New Roman"/>
                <w:bCs/>
                <w:sz w:val="18"/>
                <w:szCs w:val="18"/>
                <w:lang w:eastAsia="lt-LT"/>
              </w:rPr>
              <w:t>0</w:t>
            </w:r>
            <w:r w:rsidR="00D90882" w:rsidRPr="00891769">
              <w:rPr>
                <w:rFonts w:ascii="Times New Roman" w:eastAsia="AngsanaUPC" w:hAnsi="Times New Roman"/>
                <w:bCs/>
                <w:sz w:val="18"/>
                <w:szCs w:val="18"/>
                <w:lang w:eastAsia="lt-LT"/>
              </w:rPr>
              <w:t>.</w:t>
            </w:r>
            <w:r w:rsidR="00954D8D" w:rsidRPr="00891769">
              <w:rPr>
                <w:rFonts w:ascii="Times New Roman" w:eastAsia="AngsanaUPC" w:hAnsi="Times New Roman"/>
                <w:bCs/>
                <w:sz w:val="18"/>
                <w:szCs w:val="18"/>
                <w:lang w:eastAsia="lt-LT"/>
              </w:rPr>
              <w:t>287</w:t>
            </w:r>
            <w:r w:rsidR="00D90882" w:rsidRPr="00891769">
              <w:rPr>
                <w:rFonts w:ascii="Times New Roman" w:eastAsia="AngsanaUPC" w:hAnsi="Times New Roman"/>
                <w:bCs/>
                <w:sz w:val="18"/>
                <w:szCs w:val="18"/>
                <w:lang w:eastAsia="lt-LT"/>
              </w:rPr>
              <w:t>.</w:t>
            </w:r>
            <w:r w:rsidRPr="00891769">
              <w:rPr>
                <w:rFonts w:ascii="Times New Roman" w:eastAsia="AngsanaUPC" w:hAnsi="Times New Roman"/>
                <w:bCs/>
                <w:sz w:val="18"/>
                <w:szCs w:val="18"/>
                <w:lang w:eastAsia="lt-LT"/>
              </w:rPr>
              <w:t>284</w:t>
            </w:r>
          </w:p>
        </w:tc>
      </w:tr>
    </w:tbl>
    <w:p w:rsidR="007E2373" w:rsidRPr="002447B3" w:rsidRDefault="007E2373" w:rsidP="007E2373">
      <w:pPr>
        <w:spacing w:after="0" w:line="240" w:lineRule="auto"/>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783"/>
        <w:gridCol w:w="6390"/>
        <w:gridCol w:w="1796"/>
      </w:tblGrid>
      <w:tr w:rsidR="007E2373" w:rsidRPr="002447B3" w:rsidTr="00BB0960">
        <w:tc>
          <w:tcPr>
            <w:tcW w:w="9746" w:type="dxa"/>
            <w:gridSpan w:val="4"/>
            <w:shd w:val="clear" w:color="auto" w:fill="EEECE1"/>
          </w:tcPr>
          <w:p w:rsidR="007E2373" w:rsidRPr="002447B3" w:rsidRDefault="007E2373" w:rsidP="00BB0960">
            <w:pPr>
              <w:spacing w:after="0" w:line="240" w:lineRule="auto"/>
              <w:rPr>
                <w:rFonts w:ascii="Times New Roman" w:hAnsi="Times New Roman"/>
                <w:i/>
                <w:sz w:val="20"/>
                <w:szCs w:val="20"/>
              </w:rPr>
            </w:pPr>
            <w:r w:rsidRPr="002447B3">
              <w:rPr>
                <w:rFonts w:ascii="Times New Roman" w:hAnsi="Times New Roman"/>
                <w:b/>
                <w:bCs/>
                <w:i/>
                <w:sz w:val="20"/>
                <w:szCs w:val="20"/>
              </w:rPr>
              <w:t>Teritorijų tipas</w:t>
            </w:r>
          </w:p>
        </w:tc>
      </w:tr>
      <w:tr w:rsidR="006932B7" w:rsidRPr="002447B3" w:rsidTr="006932B7">
        <w:tc>
          <w:tcPr>
            <w:tcW w:w="777" w:type="dxa"/>
            <w:shd w:val="clear" w:color="auto" w:fill="EEECE1"/>
            <w:vAlign w:val="center"/>
          </w:tcPr>
          <w:p w:rsidR="006932B7" w:rsidRPr="002447B3" w:rsidRDefault="006932B7" w:rsidP="009D62C6">
            <w:pPr>
              <w:widowControl w:val="0"/>
              <w:tabs>
                <w:tab w:val="left" w:pos="622"/>
              </w:tabs>
              <w:spacing w:after="0" w:line="240" w:lineRule="auto"/>
              <w:jc w:val="center"/>
              <w:rPr>
                <w:rFonts w:ascii="Times New Roman" w:eastAsia="AngsanaUPC" w:hAnsi="Times New Roman"/>
                <w:b/>
                <w:bCs/>
                <w:sz w:val="18"/>
                <w:szCs w:val="18"/>
                <w:lang w:eastAsia="lt-LT"/>
              </w:rPr>
            </w:pPr>
            <w:r w:rsidRPr="002447B3">
              <w:rPr>
                <w:rFonts w:ascii="Times New Roman" w:eastAsia="AngsanaUPC" w:hAnsi="Times New Roman"/>
                <w:b/>
                <w:bCs/>
                <w:sz w:val="18"/>
                <w:szCs w:val="18"/>
                <w:lang w:eastAsia="lt-LT"/>
              </w:rPr>
              <w:t>Fondas</w:t>
            </w:r>
          </w:p>
        </w:tc>
        <w:tc>
          <w:tcPr>
            <w:tcW w:w="783" w:type="dxa"/>
            <w:shd w:val="clear" w:color="auto" w:fill="EEECE1"/>
            <w:vAlign w:val="center"/>
          </w:tcPr>
          <w:p w:rsidR="006932B7" w:rsidRPr="002447B3" w:rsidRDefault="006932B7" w:rsidP="009D62C6">
            <w:pPr>
              <w:widowControl w:val="0"/>
              <w:tabs>
                <w:tab w:val="left" w:pos="622"/>
              </w:tabs>
              <w:spacing w:after="0" w:line="240" w:lineRule="auto"/>
              <w:jc w:val="center"/>
              <w:rPr>
                <w:rFonts w:ascii="Times New Roman" w:eastAsia="AngsanaUPC" w:hAnsi="Times New Roman"/>
                <w:b/>
                <w:bCs/>
                <w:sz w:val="18"/>
                <w:szCs w:val="18"/>
                <w:lang w:eastAsia="lt-LT"/>
              </w:rPr>
            </w:pPr>
            <w:r w:rsidRPr="002447B3">
              <w:rPr>
                <w:rFonts w:ascii="Times New Roman" w:eastAsia="AngsanaUPC" w:hAnsi="Times New Roman"/>
                <w:b/>
                <w:bCs/>
                <w:sz w:val="18"/>
                <w:szCs w:val="18"/>
                <w:lang w:eastAsia="lt-LT"/>
              </w:rPr>
              <w:t>Kodas</w:t>
            </w:r>
          </w:p>
        </w:tc>
        <w:tc>
          <w:tcPr>
            <w:tcW w:w="6390" w:type="dxa"/>
            <w:shd w:val="clear" w:color="auto" w:fill="EEECE1"/>
            <w:vAlign w:val="center"/>
          </w:tcPr>
          <w:p w:rsidR="006932B7" w:rsidRPr="002447B3" w:rsidRDefault="006932B7" w:rsidP="00BB0960">
            <w:pPr>
              <w:widowControl w:val="0"/>
              <w:tabs>
                <w:tab w:val="left" w:pos="622"/>
              </w:tabs>
              <w:spacing w:after="0" w:line="240" w:lineRule="auto"/>
              <w:jc w:val="center"/>
              <w:rPr>
                <w:rFonts w:ascii="Times New Roman" w:eastAsia="AngsanaUPC" w:hAnsi="Times New Roman"/>
                <w:b/>
                <w:bCs/>
                <w:sz w:val="18"/>
                <w:szCs w:val="18"/>
                <w:lang w:eastAsia="lt-LT"/>
              </w:rPr>
            </w:pPr>
            <w:r w:rsidRPr="002447B3">
              <w:rPr>
                <w:rFonts w:ascii="Times New Roman" w:eastAsia="AngsanaUPC" w:hAnsi="Times New Roman"/>
                <w:b/>
                <w:bCs/>
                <w:sz w:val="18"/>
                <w:szCs w:val="18"/>
                <w:lang w:eastAsia="lt-LT"/>
              </w:rPr>
              <w:t>Pavadinimas</w:t>
            </w:r>
          </w:p>
        </w:tc>
        <w:tc>
          <w:tcPr>
            <w:tcW w:w="1796" w:type="dxa"/>
            <w:shd w:val="clear" w:color="auto" w:fill="EEECE1"/>
            <w:vAlign w:val="center"/>
          </w:tcPr>
          <w:p w:rsidR="006932B7" w:rsidRPr="002447B3" w:rsidRDefault="006932B7" w:rsidP="00BB0960">
            <w:pPr>
              <w:widowControl w:val="0"/>
              <w:tabs>
                <w:tab w:val="left" w:pos="622"/>
              </w:tabs>
              <w:spacing w:after="0" w:line="240" w:lineRule="auto"/>
              <w:jc w:val="center"/>
              <w:rPr>
                <w:rFonts w:ascii="Times New Roman" w:eastAsia="AngsanaUPC" w:hAnsi="Times New Roman"/>
                <w:b/>
                <w:bCs/>
                <w:sz w:val="18"/>
                <w:szCs w:val="18"/>
                <w:lang w:eastAsia="lt-LT"/>
              </w:rPr>
            </w:pPr>
            <w:r w:rsidRPr="002447B3">
              <w:rPr>
                <w:rFonts w:ascii="Times New Roman" w:eastAsia="AngsanaUPC" w:hAnsi="Times New Roman"/>
                <w:b/>
                <w:bCs/>
                <w:sz w:val="18"/>
                <w:szCs w:val="18"/>
                <w:lang w:eastAsia="lt-LT"/>
              </w:rPr>
              <w:t>Finansinė proporcija (eurais)</w:t>
            </w:r>
          </w:p>
        </w:tc>
      </w:tr>
      <w:tr w:rsidR="006932B7" w:rsidRPr="002447B3" w:rsidTr="006932B7">
        <w:tc>
          <w:tcPr>
            <w:tcW w:w="777" w:type="dxa"/>
            <w:shd w:val="clear" w:color="auto" w:fill="auto"/>
            <w:vAlign w:val="center"/>
          </w:tcPr>
          <w:p w:rsidR="006932B7" w:rsidRPr="002447B3" w:rsidRDefault="006932B7" w:rsidP="009D62C6">
            <w:pPr>
              <w:widowControl w:val="0"/>
              <w:tabs>
                <w:tab w:val="left" w:pos="622"/>
              </w:tabs>
              <w:spacing w:after="0" w:line="240" w:lineRule="auto"/>
              <w:rPr>
                <w:rFonts w:ascii="Times New Roman" w:eastAsia="AngsanaUPC" w:hAnsi="Times New Roman"/>
                <w:bCs/>
                <w:sz w:val="18"/>
                <w:szCs w:val="18"/>
                <w:lang w:eastAsia="lt-LT"/>
              </w:rPr>
            </w:pPr>
            <w:r w:rsidRPr="002447B3">
              <w:rPr>
                <w:rFonts w:ascii="Times New Roman" w:eastAsia="AngsanaUPC" w:hAnsi="Times New Roman"/>
                <w:bCs/>
                <w:sz w:val="18"/>
                <w:szCs w:val="18"/>
                <w:lang w:eastAsia="lt-LT"/>
              </w:rPr>
              <w:t>ERPF</w:t>
            </w:r>
          </w:p>
        </w:tc>
        <w:tc>
          <w:tcPr>
            <w:tcW w:w="783" w:type="dxa"/>
            <w:shd w:val="clear" w:color="auto" w:fill="auto"/>
            <w:vAlign w:val="center"/>
          </w:tcPr>
          <w:p w:rsidR="006932B7" w:rsidRPr="002447B3" w:rsidRDefault="00386A96" w:rsidP="009D62C6">
            <w:pPr>
              <w:widowControl w:val="0"/>
              <w:tabs>
                <w:tab w:val="left" w:pos="622"/>
              </w:tabs>
              <w:spacing w:after="0" w:line="240" w:lineRule="auto"/>
              <w:jc w:val="center"/>
              <w:rPr>
                <w:rFonts w:ascii="Times New Roman" w:eastAsia="AngsanaUPC" w:hAnsi="Times New Roman"/>
                <w:bCs/>
                <w:sz w:val="18"/>
                <w:szCs w:val="18"/>
                <w:lang w:val="en-GB" w:eastAsia="lt-LT"/>
              </w:rPr>
            </w:pPr>
            <w:r w:rsidRPr="002447B3">
              <w:rPr>
                <w:rFonts w:ascii="Times New Roman" w:eastAsia="AngsanaUPC" w:hAnsi="Times New Roman"/>
                <w:bCs/>
                <w:sz w:val="18"/>
                <w:szCs w:val="18"/>
                <w:lang w:val="en-GB" w:eastAsia="lt-LT"/>
              </w:rPr>
              <w:t>0</w:t>
            </w:r>
            <w:r w:rsidR="006932B7" w:rsidRPr="002447B3">
              <w:rPr>
                <w:rFonts w:ascii="Times New Roman" w:eastAsia="AngsanaUPC" w:hAnsi="Times New Roman"/>
                <w:bCs/>
                <w:sz w:val="18"/>
                <w:szCs w:val="18"/>
                <w:lang w:val="en-GB" w:eastAsia="lt-LT"/>
              </w:rPr>
              <w:t>7</w:t>
            </w:r>
          </w:p>
        </w:tc>
        <w:tc>
          <w:tcPr>
            <w:tcW w:w="6390" w:type="dxa"/>
            <w:shd w:val="clear" w:color="auto" w:fill="auto"/>
            <w:vAlign w:val="center"/>
          </w:tcPr>
          <w:p w:rsidR="006932B7" w:rsidRPr="002447B3" w:rsidRDefault="006932B7" w:rsidP="00BB0960">
            <w:pPr>
              <w:widowControl w:val="0"/>
              <w:tabs>
                <w:tab w:val="left" w:pos="622"/>
              </w:tabs>
              <w:spacing w:after="0" w:line="240" w:lineRule="auto"/>
              <w:rPr>
                <w:rFonts w:ascii="Times New Roman" w:eastAsia="AngsanaUPC" w:hAnsi="Times New Roman"/>
                <w:bCs/>
                <w:sz w:val="18"/>
                <w:szCs w:val="18"/>
                <w:lang w:eastAsia="lt-LT"/>
              </w:rPr>
            </w:pPr>
            <w:r w:rsidRPr="002447B3">
              <w:rPr>
                <w:rFonts w:ascii="Times New Roman" w:eastAsia="AngsanaUPC" w:hAnsi="Times New Roman"/>
                <w:bCs/>
                <w:sz w:val="18"/>
                <w:szCs w:val="18"/>
                <w:lang w:eastAsia="lt-LT"/>
              </w:rPr>
              <w:t>Netaikoma</w:t>
            </w:r>
          </w:p>
        </w:tc>
        <w:tc>
          <w:tcPr>
            <w:tcW w:w="1796" w:type="dxa"/>
            <w:shd w:val="clear" w:color="auto" w:fill="auto"/>
            <w:vAlign w:val="center"/>
          </w:tcPr>
          <w:p w:rsidR="006932B7" w:rsidRPr="00EE2A95" w:rsidRDefault="005F6EE3" w:rsidP="00D90882">
            <w:pPr>
              <w:widowControl w:val="0"/>
              <w:tabs>
                <w:tab w:val="left" w:pos="622"/>
              </w:tabs>
              <w:spacing w:after="0" w:line="240" w:lineRule="auto"/>
              <w:jc w:val="right"/>
              <w:rPr>
                <w:rFonts w:ascii="Times New Roman" w:eastAsia="AngsanaUPC" w:hAnsi="Times New Roman"/>
                <w:bCs/>
                <w:sz w:val="18"/>
                <w:szCs w:val="18"/>
                <w:lang w:val="en-GB" w:eastAsia="lt-LT"/>
              </w:rPr>
            </w:pPr>
            <w:r w:rsidRPr="00891769">
              <w:rPr>
                <w:rFonts w:ascii="Times New Roman" w:eastAsia="AngsanaUPC" w:hAnsi="Times New Roman"/>
                <w:bCs/>
                <w:sz w:val="18"/>
                <w:szCs w:val="18"/>
                <w:lang w:eastAsia="lt-LT"/>
              </w:rPr>
              <w:t>180</w:t>
            </w:r>
            <w:r w:rsidR="00954D8D" w:rsidRPr="00891769">
              <w:rPr>
                <w:rFonts w:ascii="Times New Roman" w:eastAsia="AngsanaUPC" w:hAnsi="Times New Roman"/>
                <w:bCs/>
                <w:sz w:val="18"/>
                <w:szCs w:val="18"/>
                <w:lang w:eastAsia="lt-LT"/>
              </w:rPr>
              <w:t>.287.284</w:t>
            </w:r>
          </w:p>
        </w:tc>
      </w:tr>
    </w:tbl>
    <w:p w:rsidR="007E2373" w:rsidRPr="002447B3" w:rsidRDefault="007E2373" w:rsidP="007E2373">
      <w:pPr>
        <w:spacing w:after="0" w:line="240" w:lineRule="auto"/>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9"/>
        <w:gridCol w:w="6378"/>
        <w:gridCol w:w="1808"/>
      </w:tblGrid>
      <w:tr w:rsidR="007E2373" w:rsidRPr="002447B3" w:rsidTr="00BB0960">
        <w:tc>
          <w:tcPr>
            <w:tcW w:w="9746" w:type="dxa"/>
            <w:gridSpan w:val="4"/>
            <w:shd w:val="clear" w:color="auto" w:fill="EEECE1"/>
          </w:tcPr>
          <w:p w:rsidR="007E2373" w:rsidRPr="002447B3" w:rsidRDefault="007E2373" w:rsidP="00BB0960">
            <w:pPr>
              <w:spacing w:after="0" w:line="240" w:lineRule="auto"/>
              <w:rPr>
                <w:rFonts w:ascii="Times New Roman" w:hAnsi="Times New Roman"/>
                <w:i/>
                <w:sz w:val="20"/>
                <w:szCs w:val="20"/>
              </w:rPr>
            </w:pPr>
            <w:r w:rsidRPr="002447B3">
              <w:rPr>
                <w:rFonts w:ascii="Times New Roman" w:hAnsi="Times New Roman"/>
                <w:b/>
                <w:bCs/>
                <w:i/>
                <w:sz w:val="20"/>
                <w:szCs w:val="20"/>
              </w:rPr>
              <w:t>Teritorinės paramos paskirstymo priemonės</w:t>
            </w:r>
          </w:p>
        </w:tc>
      </w:tr>
      <w:tr w:rsidR="006932B7" w:rsidRPr="00D54F90" w:rsidTr="006932B7">
        <w:tc>
          <w:tcPr>
            <w:tcW w:w="851" w:type="dxa"/>
            <w:shd w:val="clear" w:color="auto" w:fill="EEECE1"/>
            <w:vAlign w:val="center"/>
          </w:tcPr>
          <w:p w:rsidR="006932B7" w:rsidRPr="002447B3" w:rsidRDefault="006932B7" w:rsidP="009D62C6">
            <w:pPr>
              <w:widowControl w:val="0"/>
              <w:tabs>
                <w:tab w:val="left" w:pos="622"/>
              </w:tabs>
              <w:spacing w:after="0" w:line="240" w:lineRule="auto"/>
              <w:jc w:val="center"/>
              <w:rPr>
                <w:rFonts w:ascii="Times New Roman" w:eastAsia="AngsanaUPC" w:hAnsi="Times New Roman"/>
                <w:b/>
                <w:bCs/>
                <w:sz w:val="18"/>
                <w:szCs w:val="18"/>
                <w:lang w:eastAsia="lt-LT"/>
              </w:rPr>
            </w:pPr>
            <w:r w:rsidRPr="002447B3">
              <w:rPr>
                <w:rFonts w:ascii="Times New Roman" w:eastAsia="AngsanaUPC" w:hAnsi="Times New Roman"/>
                <w:b/>
                <w:bCs/>
                <w:sz w:val="18"/>
                <w:szCs w:val="18"/>
                <w:lang w:eastAsia="lt-LT"/>
              </w:rPr>
              <w:t>Fondas</w:t>
            </w:r>
          </w:p>
        </w:tc>
        <w:tc>
          <w:tcPr>
            <w:tcW w:w="709" w:type="dxa"/>
            <w:shd w:val="clear" w:color="auto" w:fill="EEECE1"/>
            <w:vAlign w:val="center"/>
          </w:tcPr>
          <w:p w:rsidR="006932B7" w:rsidRPr="002447B3" w:rsidRDefault="006932B7" w:rsidP="00BB0960">
            <w:pPr>
              <w:widowControl w:val="0"/>
              <w:tabs>
                <w:tab w:val="left" w:pos="622"/>
              </w:tabs>
              <w:spacing w:after="0" w:line="240" w:lineRule="auto"/>
              <w:jc w:val="center"/>
              <w:rPr>
                <w:rFonts w:ascii="Times New Roman" w:eastAsia="AngsanaUPC" w:hAnsi="Times New Roman"/>
                <w:b/>
                <w:bCs/>
                <w:sz w:val="18"/>
                <w:szCs w:val="18"/>
                <w:lang w:eastAsia="lt-LT"/>
              </w:rPr>
            </w:pPr>
            <w:r w:rsidRPr="002447B3">
              <w:rPr>
                <w:rFonts w:ascii="Times New Roman" w:eastAsia="AngsanaUPC" w:hAnsi="Times New Roman"/>
                <w:b/>
                <w:bCs/>
                <w:sz w:val="18"/>
                <w:szCs w:val="18"/>
                <w:lang w:eastAsia="lt-LT"/>
              </w:rPr>
              <w:t>Kodas</w:t>
            </w:r>
          </w:p>
        </w:tc>
        <w:tc>
          <w:tcPr>
            <w:tcW w:w="6378" w:type="dxa"/>
            <w:shd w:val="clear" w:color="auto" w:fill="EEECE1"/>
            <w:vAlign w:val="center"/>
          </w:tcPr>
          <w:p w:rsidR="006932B7" w:rsidRPr="002447B3" w:rsidRDefault="006932B7" w:rsidP="00BB0960">
            <w:pPr>
              <w:widowControl w:val="0"/>
              <w:tabs>
                <w:tab w:val="left" w:pos="622"/>
              </w:tabs>
              <w:spacing w:after="0" w:line="240" w:lineRule="auto"/>
              <w:jc w:val="center"/>
              <w:rPr>
                <w:rFonts w:ascii="Times New Roman" w:eastAsia="AngsanaUPC" w:hAnsi="Times New Roman"/>
                <w:b/>
                <w:bCs/>
                <w:sz w:val="18"/>
                <w:szCs w:val="18"/>
                <w:lang w:eastAsia="lt-LT"/>
              </w:rPr>
            </w:pPr>
            <w:r w:rsidRPr="002447B3">
              <w:rPr>
                <w:rFonts w:ascii="Times New Roman" w:eastAsia="AngsanaUPC" w:hAnsi="Times New Roman"/>
                <w:b/>
                <w:bCs/>
                <w:sz w:val="18"/>
                <w:szCs w:val="18"/>
                <w:lang w:eastAsia="lt-LT"/>
              </w:rPr>
              <w:t>Pavadinimas</w:t>
            </w:r>
          </w:p>
        </w:tc>
        <w:tc>
          <w:tcPr>
            <w:tcW w:w="1808" w:type="dxa"/>
            <w:shd w:val="clear" w:color="auto" w:fill="EEECE1"/>
            <w:vAlign w:val="center"/>
          </w:tcPr>
          <w:p w:rsidR="006932B7" w:rsidRPr="00D54F90" w:rsidRDefault="006932B7" w:rsidP="00BB0960">
            <w:pPr>
              <w:widowControl w:val="0"/>
              <w:tabs>
                <w:tab w:val="left" w:pos="622"/>
              </w:tabs>
              <w:spacing w:after="0" w:line="240" w:lineRule="auto"/>
              <w:jc w:val="center"/>
              <w:rPr>
                <w:rFonts w:ascii="Times New Roman" w:eastAsia="AngsanaUPC" w:hAnsi="Times New Roman"/>
                <w:b/>
                <w:bCs/>
                <w:sz w:val="18"/>
                <w:szCs w:val="18"/>
                <w:lang w:eastAsia="lt-LT"/>
              </w:rPr>
            </w:pPr>
            <w:r w:rsidRPr="00D54F90">
              <w:rPr>
                <w:rFonts w:ascii="Times New Roman" w:eastAsia="AngsanaUPC" w:hAnsi="Times New Roman"/>
                <w:b/>
                <w:bCs/>
                <w:sz w:val="18"/>
                <w:szCs w:val="18"/>
                <w:lang w:eastAsia="lt-LT"/>
              </w:rPr>
              <w:t>Finansinė proporcija (eurais)</w:t>
            </w:r>
          </w:p>
        </w:tc>
      </w:tr>
      <w:tr w:rsidR="006932B7" w:rsidRPr="00D54F90" w:rsidTr="006932B7">
        <w:tc>
          <w:tcPr>
            <w:tcW w:w="851" w:type="dxa"/>
            <w:shd w:val="clear" w:color="auto" w:fill="auto"/>
            <w:vAlign w:val="center"/>
          </w:tcPr>
          <w:p w:rsidR="006932B7" w:rsidRPr="002447B3" w:rsidRDefault="006932B7" w:rsidP="009D62C6">
            <w:pPr>
              <w:widowControl w:val="0"/>
              <w:tabs>
                <w:tab w:val="left" w:pos="622"/>
              </w:tabs>
              <w:spacing w:after="0" w:line="240" w:lineRule="auto"/>
              <w:rPr>
                <w:rFonts w:ascii="Times New Roman" w:eastAsia="AngsanaUPC" w:hAnsi="Times New Roman"/>
                <w:bCs/>
                <w:sz w:val="18"/>
                <w:szCs w:val="18"/>
                <w:lang w:eastAsia="lt-LT"/>
              </w:rPr>
            </w:pPr>
            <w:r w:rsidRPr="002447B3">
              <w:rPr>
                <w:rFonts w:ascii="Times New Roman" w:eastAsia="AngsanaUPC" w:hAnsi="Times New Roman"/>
                <w:bCs/>
                <w:sz w:val="18"/>
                <w:szCs w:val="18"/>
                <w:lang w:eastAsia="lt-LT"/>
              </w:rPr>
              <w:t>ERPF</w:t>
            </w:r>
          </w:p>
        </w:tc>
        <w:tc>
          <w:tcPr>
            <w:tcW w:w="709" w:type="dxa"/>
            <w:shd w:val="clear" w:color="auto" w:fill="auto"/>
            <w:vAlign w:val="center"/>
          </w:tcPr>
          <w:p w:rsidR="006932B7" w:rsidRPr="002447B3" w:rsidRDefault="00386A96" w:rsidP="00BB0960">
            <w:pPr>
              <w:widowControl w:val="0"/>
              <w:tabs>
                <w:tab w:val="left" w:pos="622"/>
              </w:tabs>
              <w:spacing w:after="0" w:line="240" w:lineRule="auto"/>
              <w:jc w:val="center"/>
              <w:rPr>
                <w:rFonts w:ascii="Times New Roman" w:eastAsia="AngsanaUPC" w:hAnsi="Times New Roman"/>
                <w:bCs/>
                <w:sz w:val="18"/>
                <w:szCs w:val="18"/>
                <w:lang w:val="en-GB" w:eastAsia="lt-LT"/>
              </w:rPr>
            </w:pPr>
            <w:r w:rsidRPr="002447B3">
              <w:rPr>
                <w:rFonts w:ascii="Times New Roman" w:eastAsia="AngsanaUPC" w:hAnsi="Times New Roman"/>
                <w:bCs/>
                <w:sz w:val="18"/>
                <w:szCs w:val="18"/>
                <w:lang w:val="en-GB" w:eastAsia="lt-LT"/>
              </w:rPr>
              <w:t>0</w:t>
            </w:r>
            <w:r w:rsidR="006932B7" w:rsidRPr="002447B3">
              <w:rPr>
                <w:rFonts w:ascii="Times New Roman" w:eastAsia="AngsanaUPC" w:hAnsi="Times New Roman"/>
                <w:bCs/>
                <w:sz w:val="18"/>
                <w:szCs w:val="18"/>
                <w:lang w:val="en-GB" w:eastAsia="lt-LT"/>
              </w:rPr>
              <w:t>7</w:t>
            </w:r>
          </w:p>
        </w:tc>
        <w:tc>
          <w:tcPr>
            <w:tcW w:w="6378" w:type="dxa"/>
            <w:shd w:val="clear" w:color="auto" w:fill="auto"/>
            <w:vAlign w:val="center"/>
          </w:tcPr>
          <w:p w:rsidR="006932B7" w:rsidRPr="002447B3" w:rsidRDefault="006932B7" w:rsidP="00BB0960">
            <w:pPr>
              <w:widowControl w:val="0"/>
              <w:tabs>
                <w:tab w:val="left" w:pos="622"/>
              </w:tabs>
              <w:spacing w:after="0" w:line="240" w:lineRule="auto"/>
              <w:rPr>
                <w:rFonts w:ascii="Times New Roman" w:eastAsia="AngsanaUPC" w:hAnsi="Times New Roman"/>
                <w:bCs/>
                <w:sz w:val="18"/>
                <w:szCs w:val="18"/>
                <w:lang w:eastAsia="lt-LT"/>
              </w:rPr>
            </w:pPr>
            <w:r w:rsidRPr="002447B3">
              <w:rPr>
                <w:rFonts w:ascii="Times New Roman" w:eastAsia="AngsanaUPC" w:hAnsi="Times New Roman"/>
                <w:bCs/>
                <w:sz w:val="18"/>
                <w:szCs w:val="18"/>
                <w:lang w:eastAsia="lt-LT"/>
              </w:rPr>
              <w:t>Netaikoma</w:t>
            </w:r>
          </w:p>
        </w:tc>
        <w:tc>
          <w:tcPr>
            <w:tcW w:w="1808" w:type="dxa"/>
            <w:shd w:val="clear" w:color="auto" w:fill="auto"/>
            <w:vAlign w:val="center"/>
          </w:tcPr>
          <w:p w:rsidR="006932B7" w:rsidRPr="00D54F90" w:rsidRDefault="005F6EE3" w:rsidP="00D90882">
            <w:pPr>
              <w:widowControl w:val="0"/>
              <w:tabs>
                <w:tab w:val="left" w:pos="622"/>
              </w:tabs>
              <w:spacing w:after="0" w:line="240" w:lineRule="auto"/>
              <w:jc w:val="right"/>
              <w:rPr>
                <w:rFonts w:ascii="Times New Roman" w:eastAsia="AngsanaUPC" w:hAnsi="Times New Roman"/>
                <w:bCs/>
                <w:sz w:val="18"/>
                <w:szCs w:val="18"/>
                <w:lang w:val="en-GB" w:eastAsia="lt-LT"/>
              </w:rPr>
            </w:pPr>
            <w:r w:rsidRPr="00891769">
              <w:rPr>
                <w:rFonts w:ascii="Times New Roman" w:eastAsia="AngsanaUPC" w:hAnsi="Times New Roman"/>
                <w:bCs/>
                <w:sz w:val="18"/>
                <w:szCs w:val="18"/>
                <w:lang w:eastAsia="lt-LT"/>
              </w:rPr>
              <w:t>180</w:t>
            </w:r>
            <w:r w:rsidR="00954D8D" w:rsidRPr="00891769">
              <w:rPr>
                <w:rFonts w:ascii="Times New Roman" w:eastAsia="AngsanaUPC" w:hAnsi="Times New Roman"/>
                <w:bCs/>
                <w:sz w:val="18"/>
                <w:szCs w:val="18"/>
                <w:lang w:eastAsia="lt-LT"/>
              </w:rPr>
              <w:t>.287.284</w:t>
            </w:r>
          </w:p>
        </w:tc>
      </w:tr>
    </w:tbl>
    <w:p w:rsidR="007E2373" w:rsidRDefault="007E2373" w:rsidP="00385835">
      <w:pPr>
        <w:widowControl w:val="0"/>
        <w:tabs>
          <w:tab w:val="left" w:pos="622"/>
        </w:tabs>
        <w:spacing w:after="0" w:line="240" w:lineRule="auto"/>
        <w:jc w:val="both"/>
        <w:rPr>
          <w:rFonts w:ascii="Times New Roman" w:eastAsia="AngsanaUPC" w:hAnsi="Times New Roman"/>
          <w:b/>
          <w:bCs/>
          <w:sz w:val="24"/>
          <w:szCs w:val="24"/>
          <w:lang w:eastAsia="lt-LT"/>
        </w:rPr>
      </w:pPr>
    </w:p>
    <w:p w:rsidR="007E2373" w:rsidRDefault="007E2373" w:rsidP="00385835">
      <w:pPr>
        <w:widowControl w:val="0"/>
        <w:tabs>
          <w:tab w:val="left" w:pos="622"/>
        </w:tabs>
        <w:spacing w:after="0" w:line="240" w:lineRule="auto"/>
        <w:jc w:val="both"/>
        <w:rPr>
          <w:rFonts w:ascii="Times New Roman" w:eastAsia="AngsanaUPC" w:hAnsi="Times New Roman"/>
          <w:b/>
          <w:bCs/>
          <w:sz w:val="24"/>
          <w:szCs w:val="24"/>
          <w:lang w:eastAsia="lt-LT"/>
        </w:rPr>
        <w:sectPr w:rsidR="007E2373" w:rsidSect="007E2373">
          <w:pgSz w:w="11906" w:h="16838" w:code="9"/>
          <w:pgMar w:top="1701" w:right="567" w:bottom="1134" w:left="1701" w:header="567" w:footer="567" w:gutter="0"/>
          <w:cols w:space="1296"/>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638"/>
      </w:tblGrid>
      <w:tr w:rsidR="00385835" w:rsidRPr="00385835" w:rsidTr="00385835">
        <w:trPr>
          <w:trHeight w:val="416"/>
        </w:trPr>
        <w:tc>
          <w:tcPr>
            <w:tcW w:w="9638" w:type="dxa"/>
            <w:shd w:val="clear" w:color="auto" w:fill="EEECE1"/>
            <w:vAlign w:val="center"/>
          </w:tcPr>
          <w:p w:rsidR="00385835" w:rsidRPr="00385835" w:rsidRDefault="00385835" w:rsidP="00385835">
            <w:pPr>
              <w:keepNext/>
              <w:spacing w:after="0" w:line="240" w:lineRule="auto"/>
              <w:jc w:val="both"/>
              <w:outlineLvl w:val="1"/>
              <w:rPr>
                <w:rFonts w:ascii="Times New Roman" w:eastAsia="AngsanaUPC" w:hAnsi="Times New Roman"/>
                <w:b/>
                <w:bCs/>
                <w:iCs/>
                <w:sz w:val="24"/>
                <w:szCs w:val="28"/>
                <w:lang w:eastAsia="lt-LT"/>
              </w:rPr>
            </w:pPr>
            <w:bookmarkStart w:id="6" w:name="_Toc69836222"/>
            <w:r w:rsidRPr="00385835">
              <w:rPr>
                <w:rFonts w:ascii="Times New Roman" w:eastAsia="AngsanaUPC" w:hAnsi="Times New Roman"/>
                <w:b/>
                <w:bCs/>
                <w:iCs/>
                <w:sz w:val="24"/>
                <w:szCs w:val="28"/>
                <w:lang w:eastAsia="lt-LT"/>
              </w:rPr>
              <w:lastRenderedPageBreak/>
              <w:t>3 PRIORITETAS. SMULKIOJO IR VIDUTINIO VERSLO KONKURENCINGUMO SKATINIMAS</w:t>
            </w:r>
            <w:bookmarkEnd w:id="6"/>
          </w:p>
        </w:tc>
      </w:tr>
    </w:tbl>
    <w:p w:rsidR="00385835" w:rsidRPr="00385835" w:rsidRDefault="00385835" w:rsidP="00385835">
      <w:pPr>
        <w:spacing w:after="0" w:line="240" w:lineRule="auto"/>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vAlign w:val="center"/>
          </w:tcPr>
          <w:p w:rsidR="00385835" w:rsidRPr="00385835" w:rsidRDefault="00385835" w:rsidP="00385835">
            <w:pPr>
              <w:widowControl w:val="0"/>
              <w:tabs>
                <w:tab w:val="left" w:pos="622"/>
              </w:tabs>
              <w:spacing w:after="0" w:line="240" w:lineRule="auto"/>
              <w:rPr>
                <w:rFonts w:ascii="Times New Roman" w:eastAsia="AngsanaUPC" w:hAnsi="Times New Roman"/>
                <w:b/>
                <w:bCs/>
                <w:iCs/>
                <w:sz w:val="24"/>
                <w:szCs w:val="24"/>
                <w:lang w:eastAsia="lt-LT"/>
              </w:rPr>
            </w:pPr>
            <w:r w:rsidRPr="00385835">
              <w:rPr>
                <w:rFonts w:ascii="Times New Roman" w:eastAsia="AngsanaUPC" w:hAnsi="Times New Roman"/>
                <w:b/>
                <w:bCs/>
                <w:iCs/>
                <w:sz w:val="24"/>
                <w:szCs w:val="24"/>
                <w:lang w:eastAsia="lt-LT"/>
              </w:rPr>
              <w:t>3.1. INVESTICINIS PRIORITETAS</w:t>
            </w:r>
          </w:p>
        </w:tc>
        <w:tc>
          <w:tcPr>
            <w:tcW w:w="7336" w:type="dxa"/>
            <w:shd w:val="clear" w:color="auto" w:fill="EEECE1"/>
          </w:tcPr>
          <w:p w:rsidR="00385835" w:rsidRPr="00385835" w:rsidRDefault="00385835" w:rsidP="00385835">
            <w:pPr>
              <w:spacing w:after="0" w:line="240" w:lineRule="auto"/>
              <w:jc w:val="both"/>
              <w:rPr>
                <w:rFonts w:ascii="Times New Roman" w:hAnsi="Times New Roman"/>
                <w:b/>
                <w:sz w:val="24"/>
                <w:szCs w:val="24"/>
              </w:rPr>
            </w:pPr>
            <w:r w:rsidRPr="00385835">
              <w:rPr>
                <w:rFonts w:ascii="Times New Roman" w:hAnsi="Times New Roman"/>
                <w:b/>
                <w:sz w:val="24"/>
                <w:szCs w:val="24"/>
              </w:rPr>
              <w:t>Verslumo, ypač sudarant palankesnes sąlygas pritaikyti naujas idėjas ekonominei veiklai, ir naujų įmonių, įskaitant verslo inkubat</w:t>
            </w:r>
            <w:r w:rsidR="00031EF1">
              <w:rPr>
                <w:rFonts w:ascii="Times New Roman" w:hAnsi="Times New Roman"/>
                <w:b/>
                <w:sz w:val="24"/>
                <w:szCs w:val="24"/>
              </w:rPr>
              <w:t>orius, steigimo skatinimas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FONDAS</w:t>
            </w:r>
          </w:p>
        </w:tc>
        <w:tc>
          <w:tcPr>
            <w:tcW w:w="7336"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Europos regioninės plėtros fondas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vAlign w:val="center"/>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3.1.1. KONKRETUS UŽDAVINYS</w:t>
            </w:r>
          </w:p>
        </w:tc>
        <w:tc>
          <w:tcPr>
            <w:tcW w:w="7336" w:type="dxa"/>
            <w:shd w:val="clear" w:color="auto" w:fill="EEECE1"/>
            <w:vAlign w:val="center"/>
          </w:tcPr>
          <w:p w:rsidR="00385835" w:rsidRPr="00385835" w:rsidRDefault="00385835" w:rsidP="00385835">
            <w:pPr>
              <w:spacing w:after="0" w:line="240" w:lineRule="auto"/>
              <w:jc w:val="both"/>
              <w:rPr>
                <w:rFonts w:ascii="Times New Roman" w:hAnsi="Times New Roman"/>
                <w:b/>
                <w:sz w:val="24"/>
                <w:szCs w:val="24"/>
              </w:rPr>
            </w:pPr>
            <w:r w:rsidRPr="00385835">
              <w:rPr>
                <w:rFonts w:ascii="Times New Roman" w:hAnsi="Times New Roman"/>
                <w:b/>
                <w:sz w:val="24"/>
                <w:szCs w:val="24"/>
              </w:rPr>
              <w:t>Padidinti verslumo lygį</w:t>
            </w:r>
          </w:p>
        </w:tc>
      </w:tr>
      <w:tr w:rsidR="00385835" w:rsidRPr="00385835" w:rsidTr="00385835">
        <w:tblPrEx>
          <w:shd w:val="clear" w:color="auto" w:fill="auto"/>
        </w:tblPrEx>
        <w:tc>
          <w:tcPr>
            <w:tcW w:w="9746" w:type="dxa"/>
            <w:gridSpan w:val="2"/>
            <w:shd w:val="clear" w:color="auto" w:fill="auto"/>
          </w:tcPr>
          <w:p w:rsidR="00385835" w:rsidRPr="00D54F90" w:rsidRDefault="00385835" w:rsidP="00385835">
            <w:pPr>
              <w:widowControl w:val="0"/>
              <w:tabs>
                <w:tab w:val="left" w:pos="622"/>
              </w:tabs>
              <w:spacing w:after="0" w:line="240" w:lineRule="auto"/>
              <w:ind w:firstLine="624"/>
              <w:jc w:val="both"/>
              <w:rPr>
                <w:rFonts w:ascii="Times New Roman" w:eastAsia="AngsanaUPC" w:hAnsi="Times New Roman"/>
                <w:bCs/>
                <w:sz w:val="24"/>
                <w:szCs w:val="24"/>
                <w:lang w:eastAsia="lt-LT"/>
              </w:rPr>
            </w:pPr>
            <w:r w:rsidRPr="00D54F90">
              <w:rPr>
                <w:rFonts w:ascii="Times New Roman" w:eastAsia="AngsanaUPC" w:hAnsi="Times New Roman"/>
                <w:bCs/>
                <w:sz w:val="24"/>
                <w:szCs w:val="24"/>
                <w:lang w:eastAsia="lt-LT"/>
              </w:rPr>
              <w:t xml:space="preserve">Remiantis statistikos duomenimis Lietuva atsilieka nuo ES-27 vidurkio pagal verslumo lygį. Trūksta verslumą skatinančių iniciatyvų ir finansavimo, </w:t>
            </w:r>
            <w:r w:rsidR="006424FA" w:rsidRPr="00D54F90">
              <w:rPr>
                <w:rFonts w:ascii="Times New Roman" w:eastAsia="AngsanaUPC" w:hAnsi="Times New Roman"/>
                <w:bCs/>
                <w:sz w:val="24"/>
                <w:szCs w:val="24"/>
                <w:lang w:eastAsia="lt-LT"/>
              </w:rPr>
              <w:t>dėl kurių</w:t>
            </w:r>
            <w:r w:rsidRPr="00D54F90">
              <w:rPr>
                <w:rFonts w:ascii="Times New Roman" w:eastAsia="AngsanaUPC" w:hAnsi="Times New Roman"/>
                <w:bCs/>
                <w:sz w:val="24"/>
                <w:szCs w:val="24"/>
                <w:lang w:eastAsia="lt-LT"/>
              </w:rPr>
              <w:t xml:space="preserve"> galėtų sparčiau steigtis nauji SVV subjektai.</w:t>
            </w:r>
          </w:p>
          <w:p w:rsidR="00385835" w:rsidRPr="00D54F90" w:rsidRDefault="00385835" w:rsidP="00385835">
            <w:pPr>
              <w:widowControl w:val="0"/>
              <w:tabs>
                <w:tab w:val="left" w:pos="622"/>
              </w:tabs>
              <w:spacing w:after="0" w:line="240" w:lineRule="auto"/>
              <w:ind w:firstLine="624"/>
              <w:jc w:val="both"/>
              <w:rPr>
                <w:rFonts w:ascii="Times New Roman" w:eastAsia="AngsanaUPC" w:hAnsi="Times New Roman"/>
                <w:bCs/>
                <w:sz w:val="24"/>
                <w:szCs w:val="24"/>
                <w:lang w:eastAsia="lt-LT"/>
              </w:rPr>
            </w:pPr>
            <w:r w:rsidRPr="00891769">
              <w:rPr>
                <w:rFonts w:ascii="Times New Roman" w:eastAsia="AngsanaUPC" w:hAnsi="Times New Roman"/>
                <w:bCs/>
                <w:sz w:val="24"/>
                <w:szCs w:val="24"/>
                <w:lang w:eastAsia="lt-LT"/>
              </w:rPr>
              <w:t>Vienu</w:t>
            </w:r>
            <w:r w:rsidR="006424FA" w:rsidRPr="00891769">
              <w:rPr>
                <w:rFonts w:ascii="Times New Roman" w:eastAsia="AngsanaUPC" w:hAnsi="Times New Roman"/>
                <w:bCs/>
                <w:sz w:val="24"/>
                <w:szCs w:val="24"/>
                <w:lang w:eastAsia="lt-LT"/>
              </w:rPr>
              <w:t xml:space="preserve"> iš</w:t>
            </w:r>
            <w:r w:rsidRPr="00891769">
              <w:rPr>
                <w:rFonts w:ascii="Times New Roman" w:eastAsia="AngsanaUPC" w:hAnsi="Times New Roman"/>
                <w:bCs/>
                <w:sz w:val="24"/>
                <w:szCs w:val="24"/>
                <w:lang w:eastAsia="lt-LT"/>
              </w:rPr>
              <w:t xml:space="preserve"> pagrindinių Lietuvos verslo aplinkos trūkumų išlieka nepakankamas SVV subjektų, </w:t>
            </w:r>
            <w:r w:rsidR="00954D8D" w:rsidRPr="00891769">
              <w:rPr>
                <w:rFonts w:ascii="Times New Roman" w:hAnsi="Times New Roman"/>
                <w:sz w:val="24"/>
                <w:szCs w:val="24"/>
              </w:rPr>
              <w:t>taip pat</w:t>
            </w:r>
            <w:r w:rsidR="00954D8D" w:rsidRPr="00891769">
              <w:rPr>
                <w:rFonts w:ascii="Times New Roman" w:hAnsi="Times New Roman"/>
                <w:color w:val="000000"/>
                <w:sz w:val="24"/>
                <w:szCs w:val="24"/>
              </w:rPr>
              <w:t xml:space="preserve"> ir fizinių asmenų, ketinančių pradėti verslą</w:t>
            </w:r>
            <w:r w:rsidRPr="00891769">
              <w:rPr>
                <w:rFonts w:ascii="Times New Roman" w:eastAsia="AngsanaUPC" w:hAnsi="Times New Roman"/>
                <w:bCs/>
                <w:sz w:val="24"/>
                <w:szCs w:val="24"/>
                <w:lang w:eastAsia="lt-LT"/>
              </w:rPr>
              <w:t>, prieinamumas prie reikalingų išorinių finansavimo šaltinių, todėl 2014–2020 m. programavimo laikotarpiu</w:t>
            </w:r>
            <w:r w:rsidRPr="00D54F90">
              <w:rPr>
                <w:rFonts w:ascii="Times New Roman" w:eastAsia="AngsanaUPC" w:hAnsi="Times New Roman"/>
                <w:bCs/>
                <w:sz w:val="24"/>
                <w:szCs w:val="24"/>
                <w:lang w:eastAsia="lt-LT"/>
              </w:rPr>
              <w:t xml:space="preserve"> Lietuva planuoja diegti ir įgyvendinti įvairius verslo finansavimo modelius, ypatingą dėmesį skiriant pradedančiajam verslui. </w:t>
            </w:r>
          </w:p>
          <w:p w:rsidR="00385835" w:rsidRPr="00D54F90" w:rsidRDefault="00385835" w:rsidP="00385835">
            <w:pPr>
              <w:widowControl w:val="0"/>
              <w:tabs>
                <w:tab w:val="left" w:pos="622"/>
              </w:tabs>
              <w:spacing w:after="0" w:line="240" w:lineRule="auto"/>
              <w:ind w:firstLine="624"/>
              <w:jc w:val="both"/>
              <w:rPr>
                <w:rFonts w:ascii="Times New Roman" w:eastAsia="AngsanaUPC" w:hAnsi="Times New Roman"/>
                <w:bCs/>
                <w:sz w:val="24"/>
                <w:szCs w:val="24"/>
                <w:lang w:eastAsia="lt-LT"/>
              </w:rPr>
            </w:pPr>
            <w:r w:rsidRPr="00D54F90">
              <w:rPr>
                <w:rFonts w:ascii="Times New Roman" w:eastAsia="AngsanaUPC" w:hAnsi="Times New Roman"/>
                <w:bCs/>
                <w:sz w:val="24"/>
                <w:szCs w:val="24"/>
                <w:lang w:eastAsia="lt-LT"/>
              </w:rPr>
              <w:t>Iš kitos pusės, fiziniai asmenys, ketinantys pradėti savo verslą, ir ne ilgiau kaip 5 metus veikiantys SVV subjektai, dėl ribotų finansinių galimybių dažnai negali gauti reikiamos informacinės, konsultacinės</w:t>
            </w:r>
            <w:r w:rsidR="006424FA" w:rsidRPr="00D54F90">
              <w:rPr>
                <w:rFonts w:ascii="Times New Roman" w:eastAsia="AngsanaUPC" w:hAnsi="Times New Roman"/>
                <w:bCs/>
                <w:sz w:val="24"/>
                <w:szCs w:val="24"/>
                <w:lang w:eastAsia="lt-LT"/>
              </w:rPr>
              <w:t>,</w:t>
            </w:r>
            <w:r w:rsidRPr="00D54F90">
              <w:rPr>
                <w:rFonts w:ascii="Times New Roman" w:eastAsia="AngsanaUPC" w:hAnsi="Times New Roman"/>
                <w:bCs/>
                <w:sz w:val="24"/>
                <w:szCs w:val="24"/>
                <w:lang w:eastAsia="lt-LT"/>
              </w:rPr>
              <w:t xml:space="preserve"> metodinės ir kitos paramos verslo pradžios, finansavimo šaltinių, potencialių rinkų paieškos, naujų technologijų diegimo ir kitais verslo organizavimo klausimais. Siekiant padidinti paslaugų verslui prieinamumą ir pasiūlą, 2014–2020 m. programavimo laikotarpiu Lietuva planuoja </w:t>
            </w:r>
            <w:r w:rsidRPr="00891769">
              <w:rPr>
                <w:rFonts w:ascii="Times New Roman" w:eastAsia="AngsanaUPC" w:hAnsi="Times New Roman"/>
                <w:bCs/>
                <w:sz w:val="24"/>
                <w:szCs w:val="24"/>
                <w:lang w:eastAsia="lt-LT"/>
              </w:rPr>
              <w:t xml:space="preserve">sukurti </w:t>
            </w:r>
            <w:r w:rsidR="00954D8D" w:rsidRPr="00891769">
              <w:rPr>
                <w:rFonts w:ascii="Times New Roman" w:eastAsia="AngsanaUPC" w:hAnsi="Times New Roman"/>
                <w:bCs/>
                <w:sz w:val="24"/>
                <w:szCs w:val="24"/>
                <w:lang w:eastAsia="lt-LT"/>
              </w:rPr>
              <w:t>Verslo konsultantų tinklą</w:t>
            </w:r>
            <w:r w:rsidRPr="00891769">
              <w:rPr>
                <w:rFonts w:ascii="Times New Roman" w:eastAsia="AngsanaUPC" w:hAnsi="Times New Roman"/>
                <w:bCs/>
                <w:sz w:val="24"/>
                <w:szCs w:val="24"/>
                <w:lang w:eastAsia="lt-LT"/>
              </w:rPr>
              <w:t>, kuriuo siekiama visose Lietuvos savivaldybėse atkurti galimybę verslininkams esant poreikiui gauti aukštos</w:t>
            </w:r>
            <w:r w:rsidRPr="00D54F90">
              <w:rPr>
                <w:rFonts w:ascii="Times New Roman" w:eastAsia="AngsanaUPC" w:hAnsi="Times New Roman"/>
                <w:bCs/>
                <w:sz w:val="24"/>
                <w:szCs w:val="24"/>
                <w:lang w:eastAsia="lt-LT"/>
              </w:rPr>
              <w:t xml:space="preserve"> kokybės informavimo</w:t>
            </w:r>
            <w:r w:rsidR="00954D8D" w:rsidRPr="00D54F90">
              <w:rPr>
                <w:rFonts w:ascii="Times New Roman" w:eastAsia="AngsanaUPC" w:hAnsi="Times New Roman"/>
                <w:bCs/>
                <w:sz w:val="24"/>
                <w:szCs w:val="24"/>
                <w:lang w:eastAsia="lt-LT"/>
              </w:rPr>
              <w:t xml:space="preserve"> </w:t>
            </w:r>
            <w:r w:rsidRPr="00D54F90">
              <w:rPr>
                <w:rFonts w:ascii="Times New Roman" w:eastAsia="AngsanaUPC" w:hAnsi="Times New Roman"/>
                <w:bCs/>
                <w:sz w:val="24"/>
                <w:szCs w:val="24"/>
                <w:lang w:eastAsia="lt-LT"/>
              </w:rPr>
              <w:t>/</w:t>
            </w:r>
            <w:r w:rsidR="00954D8D" w:rsidRPr="00D54F90">
              <w:rPr>
                <w:rFonts w:ascii="Times New Roman" w:eastAsia="AngsanaUPC" w:hAnsi="Times New Roman"/>
                <w:bCs/>
                <w:sz w:val="24"/>
                <w:szCs w:val="24"/>
                <w:lang w:eastAsia="lt-LT"/>
              </w:rPr>
              <w:t xml:space="preserve"> </w:t>
            </w:r>
            <w:r w:rsidRPr="00D54F90">
              <w:rPr>
                <w:rFonts w:ascii="Times New Roman" w:eastAsia="AngsanaUPC" w:hAnsi="Times New Roman"/>
                <w:bCs/>
                <w:sz w:val="24"/>
                <w:szCs w:val="24"/>
                <w:lang w:eastAsia="lt-LT"/>
              </w:rPr>
              <w:t>konsultavimo paslaugas įvairiais verslo klausimais. Atsižvelgiant į tai, kad pradedančiųjų SVV subjektų paslaugų verslui poreikis pagal tematiką skiriasi, numatoma paslaugas verslui grupuoti pagal kiekvienos iš tikslinių grupių (veikiantys iki vienerių metų, nuo 1 iki 3 metų ir nuo 3 iki 5 metų) paslaugų verslui poreikių specifiką.</w:t>
            </w:r>
          </w:p>
          <w:p w:rsidR="00385835" w:rsidRPr="00D54F90" w:rsidRDefault="00385835" w:rsidP="00385835">
            <w:pPr>
              <w:widowControl w:val="0"/>
              <w:tabs>
                <w:tab w:val="left" w:pos="622"/>
              </w:tabs>
              <w:spacing w:after="0" w:line="240" w:lineRule="auto"/>
              <w:ind w:firstLine="624"/>
              <w:jc w:val="both"/>
              <w:rPr>
                <w:rFonts w:ascii="Times New Roman" w:eastAsia="AngsanaUPC" w:hAnsi="Times New Roman"/>
                <w:bCs/>
                <w:sz w:val="24"/>
                <w:szCs w:val="24"/>
                <w:lang w:eastAsia="lt-LT"/>
              </w:rPr>
            </w:pPr>
            <w:r w:rsidRPr="00D54F90">
              <w:rPr>
                <w:rFonts w:ascii="Times New Roman" w:eastAsia="AngsanaUPC" w:hAnsi="Times New Roman"/>
                <w:bCs/>
                <w:iCs/>
                <w:sz w:val="24"/>
                <w:szCs w:val="24"/>
                <w:lang w:eastAsia="lt-LT"/>
              </w:rPr>
              <w:t>Įgyvendinus šį uždavinį tikimąsi, kad padidės šalies verslumo lygis, verslą pradės nauji asmenys, steigsis naujos verslo įmonės, kas savo ruožtu mažins nedarbą bei prisidės prie šalies ekonominio augimo.</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533"/>
        <w:gridCol w:w="2019"/>
        <w:gridCol w:w="1134"/>
        <w:gridCol w:w="1134"/>
        <w:gridCol w:w="899"/>
        <w:gridCol w:w="959"/>
        <w:gridCol w:w="849"/>
        <w:gridCol w:w="983"/>
        <w:gridCol w:w="1236"/>
      </w:tblGrid>
      <w:tr w:rsidR="00385835" w:rsidRPr="00385835" w:rsidTr="00385835">
        <w:tc>
          <w:tcPr>
            <w:tcW w:w="9746" w:type="dxa"/>
            <w:gridSpan w:val="9"/>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i/>
                <w:iCs/>
                <w:sz w:val="24"/>
                <w:szCs w:val="24"/>
                <w:lang w:eastAsia="lt-LT"/>
              </w:rPr>
            </w:pPr>
            <w:r w:rsidRPr="00385835">
              <w:rPr>
                <w:rFonts w:ascii="Times New Roman" w:eastAsia="AngsanaUPC" w:hAnsi="Times New Roman"/>
                <w:b/>
                <w:bCs/>
                <w:i/>
                <w:iCs/>
                <w:sz w:val="24"/>
                <w:szCs w:val="24"/>
                <w:lang w:eastAsia="lt-LT"/>
              </w:rPr>
              <w:t xml:space="preserve">ERPF </w:t>
            </w:r>
            <w:r w:rsidR="00DA04FC">
              <w:rPr>
                <w:rFonts w:ascii="Times New Roman" w:eastAsia="AngsanaUPC" w:hAnsi="Times New Roman"/>
                <w:b/>
                <w:bCs/>
                <w:i/>
                <w:iCs/>
                <w:sz w:val="24"/>
                <w:szCs w:val="24"/>
                <w:lang w:eastAsia="lt-LT"/>
              </w:rPr>
              <w:t>specialieji</w:t>
            </w:r>
            <w:r w:rsidR="00DA04FC" w:rsidRPr="00385835">
              <w:rPr>
                <w:rFonts w:ascii="Times New Roman" w:eastAsia="AngsanaUPC" w:hAnsi="Times New Roman"/>
                <w:b/>
                <w:bCs/>
                <w:i/>
                <w:iCs/>
                <w:sz w:val="24"/>
                <w:szCs w:val="24"/>
                <w:lang w:eastAsia="lt-LT"/>
              </w:rPr>
              <w:t xml:space="preserve"> </w:t>
            </w:r>
            <w:r w:rsidRPr="00385835">
              <w:rPr>
                <w:rFonts w:ascii="Times New Roman" w:eastAsia="AngsanaUPC" w:hAnsi="Times New Roman"/>
                <w:b/>
                <w:bCs/>
                <w:i/>
                <w:iCs/>
                <w:sz w:val="24"/>
                <w:szCs w:val="24"/>
                <w:lang w:eastAsia="lt-LT"/>
              </w:rPr>
              <w:t>programos rezultato rodikliai</w:t>
            </w:r>
          </w:p>
        </w:tc>
      </w:tr>
      <w:tr w:rsidR="00385835" w:rsidRPr="00385835" w:rsidTr="00385835">
        <w:tblPrEx>
          <w:shd w:val="clear" w:color="auto" w:fill="auto"/>
        </w:tblPrEx>
        <w:trPr>
          <w:cantSplit/>
          <w:trHeight w:val="737"/>
        </w:trPr>
        <w:tc>
          <w:tcPr>
            <w:tcW w:w="533"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Nr.</w:t>
            </w:r>
          </w:p>
        </w:tc>
        <w:tc>
          <w:tcPr>
            <w:tcW w:w="2019"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Rodiklio pavadinimas</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Matavimo vienetas</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Regiono kategorija</w:t>
            </w:r>
          </w:p>
        </w:tc>
        <w:tc>
          <w:tcPr>
            <w:tcW w:w="899"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 reikšmė</w:t>
            </w:r>
          </w:p>
        </w:tc>
        <w:tc>
          <w:tcPr>
            <w:tcW w:w="959"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Pradinės reikšmės metai</w:t>
            </w:r>
          </w:p>
        </w:tc>
        <w:tc>
          <w:tcPr>
            <w:tcW w:w="849"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Siektina reikšmė (2023)</w:t>
            </w:r>
          </w:p>
        </w:tc>
        <w:tc>
          <w:tcPr>
            <w:tcW w:w="983"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Duomenų šaltinis</w:t>
            </w:r>
          </w:p>
        </w:tc>
        <w:tc>
          <w:tcPr>
            <w:tcW w:w="1236"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Atsiskaitymo dažnumas</w:t>
            </w:r>
          </w:p>
        </w:tc>
      </w:tr>
      <w:tr w:rsidR="00385835" w:rsidRPr="00385835" w:rsidTr="00385835">
        <w:tblPrEx>
          <w:shd w:val="clear" w:color="auto" w:fill="auto"/>
        </w:tblPrEx>
        <w:tc>
          <w:tcPr>
            <w:tcW w:w="533"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w:t>
            </w:r>
          </w:p>
        </w:tc>
        <w:tc>
          <w:tcPr>
            <w:tcW w:w="2019" w:type="dxa"/>
            <w:shd w:val="clear" w:color="auto" w:fill="auto"/>
            <w:vAlign w:val="center"/>
          </w:tcPr>
          <w:p w:rsidR="00385835" w:rsidRPr="00385835" w:rsidRDefault="00385835" w:rsidP="00385835">
            <w:pPr>
              <w:widowControl w:val="0"/>
              <w:tabs>
                <w:tab w:val="left" w:pos="622"/>
              </w:tabs>
              <w:spacing w:after="0" w:line="240" w:lineRule="auto"/>
              <w:rPr>
                <w:rFonts w:ascii="Times New Roman" w:eastAsia="AngsanaUPC" w:hAnsi="Times New Roman"/>
                <w:bCs/>
                <w:sz w:val="18"/>
                <w:szCs w:val="18"/>
                <w:lang w:eastAsia="lt-LT"/>
              </w:rPr>
            </w:pPr>
            <w:r w:rsidRPr="00385835">
              <w:rPr>
                <w:rFonts w:ascii="Times New Roman" w:eastAsia="AngsanaUPC" w:hAnsi="Times New Roman"/>
                <w:bCs/>
                <w:sz w:val="18"/>
                <w:szCs w:val="18"/>
                <w:lang w:eastAsia="lt-LT"/>
              </w:rPr>
              <w:t>Verslumo lygis: įmonių ir fizinių asmenų, tenkančių 1000 gyventojų, skaičius*</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18"/>
                <w:szCs w:val="18"/>
                <w:lang w:eastAsia="lt-LT"/>
              </w:rPr>
            </w:pPr>
            <w:r w:rsidRPr="00385835">
              <w:rPr>
                <w:rFonts w:ascii="Times New Roman" w:eastAsia="AngsanaUPC" w:hAnsi="Times New Roman"/>
                <w:bCs/>
                <w:sz w:val="18"/>
                <w:szCs w:val="18"/>
                <w:lang w:eastAsia="lt-LT"/>
              </w:rPr>
              <w:t>Skaičius</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18"/>
                <w:szCs w:val="18"/>
                <w:lang w:eastAsia="lt-LT"/>
              </w:rPr>
            </w:pPr>
            <w:r w:rsidRPr="00385835">
              <w:rPr>
                <w:rFonts w:ascii="Times New Roman" w:eastAsia="AngsanaUPC" w:hAnsi="Times New Roman"/>
                <w:bCs/>
                <w:sz w:val="18"/>
                <w:szCs w:val="18"/>
                <w:lang w:eastAsia="lt-LT"/>
              </w:rPr>
              <w:t>Mažiau išsivystęs</w:t>
            </w:r>
          </w:p>
        </w:tc>
        <w:tc>
          <w:tcPr>
            <w:tcW w:w="899"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39</w:t>
            </w:r>
          </w:p>
        </w:tc>
        <w:tc>
          <w:tcPr>
            <w:tcW w:w="959"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2010</w:t>
            </w:r>
          </w:p>
        </w:tc>
        <w:tc>
          <w:tcPr>
            <w:tcW w:w="849"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vertAlign w:val="superscript"/>
                <w:lang w:eastAsia="lt-LT"/>
              </w:rPr>
            </w:pPr>
            <w:r w:rsidRPr="00385835">
              <w:rPr>
                <w:rFonts w:ascii="Times New Roman" w:eastAsia="AngsanaUPC" w:hAnsi="Times New Roman"/>
                <w:bCs/>
                <w:iCs/>
                <w:sz w:val="18"/>
                <w:szCs w:val="18"/>
                <w:lang w:eastAsia="lt-LT"/>
              </w:rPr>
              <w:t>48</w:t>
            </w:r>
          </w:p>
        </w:tc>
        <w:tc>
          <w:tcPr>
            <w:tcW w:w="983"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Eurostatas</w:t>
            </w:r>
          </w:p>
        </w:tc>
        <w:tc>
          <w:tcPr>
            <w:tcW w:w="1236"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 Eurostatas skaičiuoja tik įmones veikiančias B</w:t>
      </w:r>
      <w:proofErr w:type="gramStart"/>
      <w:r w:rsidRPr="00385835">
        <w:rPr>
          <w:rFonts w:ascii="Times New Roman" w:eastAsia="AngsanaUPC" w:hAnsi="Times New Roman"/>
          <w:bCs/>
          <w:iCs/>
          <w:sz w:val="18"/>
          <w:szCs w:val="18"/>
          <w:lang w:eastAsia="lt-LT"/>
        </w:rPr>
        <w:t>-</w:t>
      </w:r>
      <w:proofErr w:type="gramEnd"/>
      <w:r w:rsidRPr="00385835">
        <w:rPr>
          <w:rFonts w:ascii="Times New Roman" w:eastAsia="AngsanaUPC" w:hAnsi="Times New Roman"/>
          <w:bCs/>
          <w:iCs/>
          <w:sz w:val="18"/>
          <w:szCs w:val="18"/>
          <w:lang w:eastAsia="lt-LT"/>
        </w:rPr>
        <w:t>N ekonominėse veiklose (pagal EVRK2), t. y.</w:t>
      </w:r>
      <w:r w:rsidR="0068679B">
        <w:rPr>
          <w:rFonts w:ascii="Times New Roman" w:eastAsia="AngsanaUPC" w:hAnsi="Times New Roman"/>
          <w:bCs/>
          <w:iCs/>
          <w:sz w:val="18"/>
          <w:szCs w:val="18"/>
          <w:lang w:eastAsia="lt-LT"/>
        </w:rPr>
        <w:t>,</w:t>
      </w:r>
      <w:r w:rsidRPr="00385835">
        <w:rPr>
          <w:rFonts w:ascii="Times New Roman" w:eastAsia="AngsanaUPC" w:hAnsi="Times New Roman"/>
          <w:bCs/>
          <w:iCs/>
          <w:sz w:val="18"/>
          <w:szCs w:val="18"/>
          <w:lang w:eastAsia="lt-LT"/>
        </w:rPr>
        <w:t xml:space="preserve"> neima Žemės ūkio, kitų veiklų ir holdingų</w:t>
      </w:r>
    </w:p>
    <w:p w:rsidR="00FF08C5" w:rsidRDefault="00FF08C5" w:rsidP="00385835">
      <w:pPr>
        <w:widowControl w:val="0"/>
        <w:tabs>
          <w:tab w:val="left" w:pos="622"/>
        </w:tabs>
        <w:spacing w:after="0" w:line="240" w:lineRule="auto"/>
        <w:jc w:val="both"/>
        <w:rPr>
          <w:rFonts w:ascii="Times New Roman" w:eastAsia="AngsanaUPC" w:hAnsi="Times New Roman"/>
          <w:b/>
          <w:bCs/>
          <w:i/>
          <w:i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746"/>
      </w:tblGrid>
      <w:tr w:rsidR="00385835" w:rsidRPr="00385835" w:rsidTr="00385835">
        <w:tc>
          <w:tcPr>
            <w:tcW w:w="9746"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i/>
                <w:iCs/>
                <w:sz w:val="24"/>
                <w:szCs w:val="24"/>
                <w:lang w:eastAsia="lt-LT"/>
              </w:rPr>
            </w:pPr>
            <w:r w:rsidRPr="00385835">
              <w:rPr>
                <w:rFonts w:ascii="Times New Roman" w:eastAsia="AngsanaUPC" w:hAnsi="Times New Roman"/>
                <w:b/>
                <w:bCs/>
                <w:i/>
                <w:iCs/>
                <w:sz w:val="24"/>
                <w:szCs w:val="24"/>
                <w:lang w:eastAsia="lt-LT"/>
              </w:rPr>
              <w:t>3.1 Investicinio prioriteto įgyvendinimo veiklos</w:t>
            </w:r>
          </w:p>
        </w:tc>
      </w:tr>
      <w:tr w:rsidR="00385835" w:rsidRPr="00385835" w:rsidTr="00385835">
        <w:tblPrEx>
          <w:shd w:val="clear" w:color="auto" w:fill="auto"/>
        </w:tblPrEx>
        <w:tc>
          <w:tcPr>
            <w:tcW w:w="9746" w:type="dxa"/>
            <w:shd w:val="clear" w:color="auto" w:fill="auto"/>
          </w:tcPr>
          <w:p w:rsidR="00385835" w:rsidRPr="00891769" w:rsidRDefault="00385835" w:rsidP="00650E41">
            <w:pPr>
              <w:widowControl w:val="0"/>
              <w:numPr>
                <w:ilvl w:val="0"/>
                <w:numId w:val="14"/>
              </w:numPr>
              <w:tabs>
                <w:tab w:val="left" w:pos="459"/>
              </w:tabs>
              <w:spacing w:after="0" w:line="240" w:lineRule="auto"/>
              <w:ind w:left="34" w:firstLine="0"/>
              <w:jc w:val="both"/>
              <w:rPr>
                <w:rFonts w:ascii="Times New Roman" w:eastAsia="AngsanaUPC" w:hAnsi="Times New Roman"/>
                <w:bCs/>
                <w:iCs/>
                <w:sz w:val="24"/>
                <w:szCs w:val="24"/>
                <w:lang w:eastAsia="lt-LT"/>
              </w:rPr>
            </w:pPr>
            <w:r w:rsidRPr="00891769">
              <w:rPr>
                <w:rFonts w:ascii="Times New Roman" w:eastAsia="AngsanaUPC" w:hAnsi="Times New Roman"/>
                <w:bCs/>
                <w:iCs/>
                <w:sz w:val="24"/>
                <w:szCs w:val="24"/>
                <w:lang w:eastAsia="lt-LT"/>
              </w:rPr>
              <w:t>Aukštos kokybės konsult</w:t>
            </w:r>
            <w:r w:rsidR="00954D8D" w:rsidRPr="00891769">
              <w:rPr>
                <w:rFonts w:ascii="Times New Roman" w:eastAsia="AngsanaUPC" w:hAnsi="Times New Roman"/>
                <w:bCs/>
                <w:iCs/>
                <w:sz w:val="24"/>
                <w:szCs w:val="24"/>
                <w:lang w:eastAsia="lt-LT"/>
              </w:rPr>
              <w:t xml:space="preserve">acinių paslaugų SVV subjektams, </w:t>
            </w:r>
            <w:r w:rsidR="00954D8D" w:rsidRPr="00891769">
              <w:rPr>
                <w:rFonts w:ascii="Times New Roman" w:hAnsi="Times New Roman"/>
                <w:sz w:val="24"/>
                <w:szCs w:val="24"/>
              </w:rPr>
              <w:t>taip pat</w:t>
            </w:r>
            <w:r w:rsidR="00954D8D" w:rsidRPr="00891769">
              <w:rPr>
                <w:rFonts w:ascii="Times New Roman" w:hAnsi="Times New Roman"/>
                <w:color w:val="000000"/>
                <w:sz w:val="24"/>
                <w:szCs w:val="24"/>
              </w:rPr>
              <w:t xml:space="preserve"> fiziniams asmenims, ketinantiems pradėti verslą, </w:t>
            </w:r>
            <w:r w:rsidRPr="00891769">
              <w:rPr>
                <w:rFonts w:ascii="Times New Roman" w:eastAsia="AngsanaUPC" w:hAnsi="Times New Roman"/>
                <w:bCs/>
                <w:iCs/>
                <w:sz w:val="24"/>
                <w:szCs w:val="24"/>
                <w:lang w:eastAsia="lt-LT"/>
              </w:rPr>
              <w:t xml:space="preserve">įvertinant kiekvienos iš tikslinių grupių (veikiantys iki vienerių metų, nuo 1 iki 3 metų ir nuo 3 iki 5 metų) paslaugų verslui poreikių specifiką, teikimas, ypatingą dėmesį skiriant </w:t>
            </w:r>
            <w:r w:rsidR="007A704D" w:rsidRPr="00891769">
              <w:rPr>
                <w:rFonts w:ascii="Times New Roman" w:eastAsia="AngsanaUPC" w:hAnsi="Times New Roman"/>
                <w:bCs/>
                <w:iCs/>
                <w:sz w:val="24"/>
                <w:szCs w:val="24"/>
                <w:lang w:eastAsia="lt-LT"/>
              </w:rPr>
              <w:t xml:space="preserve">regionuose veikiantiems </w:t>
            </w:r>
            <w:r w:rsidR="00E71033" w:rsidRPr="00891769">
              <w:rPr>
                <w:rFonts w:ascii="Times New Roman" w:eastAsia="AngsanaUPC" w:hAnsi="Times New Roman"/>
                <w:bCs/>
                <w:iCs/>
                <w:sz w:val="24"/>
                <w:szCs w:val="24"/>
                <w:lang w:eastAsia="lt-LT"/>
              </w:rPr>
              <w:t xml:space="preserve">SVV </w:t>
            </w:r>
            <w:r w:rsidR="007A704D" w:rsidRPr="00891769">
              <w:rPr>
                <w:rFonts w:ascii="Times New Roman" w:eastAsia="AngsanaUPC" w:hAnsi="Times New Roman"/>
                <w:bCs/>
                <w:iCs/>
                <w:sz w:val="24"/>
                <w:szCs w:val="24"/>
                <w:lang w:eastAsia="lt-LT"/>
              </w:rPr>
              <w:t>subjektams</w:t>
            </w:r>
            <w:r w:rsidRPr="00891769">
              <w:rPr>
                <w:rFonts w:ascii="Times New Roman" w:eastAsia="AngsanaUPC" w:hAnsi="Times New Roman"/>
                <w:bCs/>
                <w:iCs/>
                <w:sz w:val="24"/>
                <w:szCs w:val="24"/>
                <w:lang w:eastAsia="lt-LT"/>
              </w:rPr>
              <w:t xml:space="preserve">. Specializuotas konsultacines paslaugas numatoma teikti pasinaudojant </w:t>
            </w:r>
            <w:r w:rsidR="00954D8D" w:rsidRPr="00891769">
              <w:rPr>
                <w:rFonts w:ascii="Times New Roman" w:hAnsi="Times New Roman"/>
                <w:color w:val="000000"/>
                <w:sz w:val="24"/>
                <w:szCs w:val="24"/>
              </w:rPr>
              <w:t>Verslo konsultantų tinklo</w:t>
            </w:r>
            <w:r w:rsidR="00954D8D" w:rsidRPr="00891769">
              <w:rPr>
                <w:rFonts w:ascii="Times New Roman" w:eastAsia="AngsanaUPC" w:hAnsi="Times New Roman"/>
                <w:bCs/>
                <w:iCs/>
                <w:sz w:val="24"/>
                <w:szCs w:val="24"/>
                <w:lang w:eastAsia="lt-LT"/>
              </w:rPr>
              <w:t xml:space="preserve"> </w:t>
            </w:r>
            <w:r w:rsidRPr="00891769">
              <w:rPr>
                <w:rFonts w:ascii="Times New Roman" w:eastAsia="AngsanaUPC" w:hAnsi="Times New Roman"/>
                <w:bCs/>
                <w:iCs/>
                <w:sz w:val="24"/>
                <w:szCs w:val="24"/>
                <w:lang w:eastAsia="lt-LT"/>
              </w:rPr>
              <w:t>paslaugomis.</w:t>
            </w:r>
          </w:p>
          <w:p w:rsidR="00385835" w:rsidRPr="00891769" w:rsidRDefault="00385835" w:rsidP="00650E41">
            <w:pPr>
              <w:widowControl w:val="0"/>
              <w:numPr>
                <w:ilvl w:val="0"/>
                <w:numId w:val="14"/>
              </w:numPr>
              <w:tabs>
                <w:tab w:val="left" w:pos="459"/>
              </w:tabs>
              <w:spacing w:after="0" w:line="240" w:lineRule="auto"/>
              <w:ind w:left="34"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 xml:space="preserve">Verslo poreikius atitinkančių finansavimo modelių rėmimas. Numatoma įgyvendinti SVV </w:t>
            </w:r>
            <w:r w:rsidRPr="00385835">
              <w:rPr>
                <w:rFonts w:ascii="Times New Roman" w:eastAsia="AngsanaUPC" w:hAnsi="Times New Roman"/>
                <w:bCs/>
                <w:iCs/>
                <w:sz w:val="24"/>
                <w:szCs w:val="24"/>
                <w:lang w:eastAsia="lt-LT"/>
              </w:rPr>
              <w:lastRenderedPageBreak/>
              <w:t>subjektų finansavimo priemones, kurios leistų užtikrinti finansinių š</w:t>
            </w:r>
            <w:r w:rsidR="007A704D">
              <w:rPr>
                <w:rFonts w:ascii="Times New Roman" w:eastAsia="AngsanaUPC" w:hAnsi="Times New Roman"/>
                <w:bCs/>
                <w:iCs/>
                <w:sz w:val="24"/>
                <w:szCs w:val="24"/>
                <w:lang w:eastAsia="lt-LT"/>
              </w:rPr>
              <w:t>altinių prieinamumą (lengvatinių paskolų, garantijų, rizikos kapitalo fondų, dalinio palūkanų kompensavimo</w:t>
            </w:r>
            <w:r w:rsidRPr="00385835">
              <w:rPr>
                <w:rFonts w:ascii="Times New Roman" w:eastAsia="AngsanaUPC" w:hAnsi="Times New Roman"/>
                <w:bCs/>
                <w:iCs/>
                <w:sz w:val="24"/>
                <w:szCs w:val="24"/>
                <w:lang w:eastAsia="lt-LT"/>
              </w:rPr>
              <w:t xml:space="preserve"> ir pan.) verslui, ypatingą</w:t>
            </w:r>
            <w:r w:rsidR="000678DA">
              <w:rPr>
                <w:rFonts w:ascii="Times New Roman" w:eastAsia="AngsanaUPC" w:hAnsi="Times New Roman"/>
                <w:bCs/>
                <w:iCs/>
                <w:sz w:val="24"/>
                <w:szCs w:val="24"/>
                <w:lang w:eastAsia="lt-LT"/>
              </w:rPr>
              <w:t xml:space="preserve"> dėmesį skiriant naujam </w:t>
            </w:r>
            <w:r w:rsidR="000678DA" w:rsidRPr="00891769">
              <w:rPr>
                <w:rFonts w:ascii="Times New Roman" w:eastAsia="AngsanaUPC" w:hAnsi="Times New Roman"/>
                <w:bCs/>
                <w:iCs/>
                <w:sz w:val="24"/>
                <w:szCs w:val="24"/>
                <w:lang w:eastAsia="lt-LT"/>
              </w:rPr>
              <w:t>verslui, ir MVĮ apyvartinio kapitalo finansavimo priemones, siekiant veiksmingai reaguoti į visuomenės sveikatos krizę.</w:t>
            </w:r>
          </w:p>
          <w:p w:rsidR="00385835" w:rsidRPr="00385835" w:rsidRDefault="00385835" w:rsidP="00C652C2">
            <w:pPr>
              <w:widowControl w:val="0"/>
              <w:tabs>
                <w:tab w:val="left" w:pos="459"/>
              </w:tabs>
              <w:spacing w:after="0" w:line="240" w:lineRule="auto"/>
              <w:ind w:left="34"/>
              <w:jc w:val="both"/>
              <w:rPr>
                <w:rFonts w:ascii="Times New Roman" w:eastAsia="AngsanaUPC" w:hAnsi="Times New Roman"/>
                <w:bCs/>
                <w:iCs/>
                <w:sz w:val="24"/>
                <w:szCs w:val="24"/>
                <w:lang w:eastAsia="lt-LT"/>
              </w:rPr>
            </w:pP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563"/>
        <w:gridCol w:w="2503"/>
        <w:gridCol w:w="1129"/>
        <w:gridCol w:w="847"/>
        <w:gridCol w:w="1129"/>
        <w:gridCol w:w="1206"/>
        <w:gridCol w:w="1129"/>
        <w:gridCol w:w="1240"/>
      </w:tblGrid>
      <w:tr w:rsidR="00385835" w:rsidRPr="00385835" w:rsidTr="00385835">
        <w:tc>
          <w:tcPr>
            <w:tcW w:w="9746" w:type="dxa"/>
            <w:gridSpan w:val="8"/>
            <w:shd w:val="clear" w:color="auto" w:fill="EEECE1"/>
          </w:tcPr>
          <w:p w:rsidR="00385835" w:rsidRPr="00385835" w:rsidRDefault="00385835" w:rsidP="00DA04FC">
            <w:pPr>
              <w:widowControl w:val="0"/>
              <w:tabs>
                <w:tab w:val="left" w:pos="622"/>
              </w:tabs>
              <w:spacing w:after="0" w:line="240" w:lineRule="auto"/>
              <w:jc w:val="both"/>
              <w:rPr>
                <w:rFonts w:ascii="Times New Roman" w:eastAsia="AngsanaUPC" w:hAnsi="Times New Roman"/>
                <w:b/>
                <w:bCs/>
                <w:i/>
                <w:iCs/>
                <w:sz w:val="24"/>
                <w:szCs w:val="24"/>
                <w:lang w:eastAsia="lt-LT"/>
              </w:rPr>
            </w:pPr>
            <w:r w:rsidRPr="00385835">
              <w:rPr>
                <w:rFonts w:ascii="Times New Roman" w:eastAsia="AngsanaUPC" w:hAnsi="Times New Roman"/>
                <w:b/>
                <w:bCs/>
                <w:i/>
                <w:iCs/>
                <w:sz w:val="24"/>
                <w:szCs w:val="24"/>
                <w:lang w:eastAsia="lt-LT"/>
              </w:rPr>
              <w:t xml:space="preserve">ERPF bendrieji ir </w:t>
            </w:r>
            <w:r w:rsidR="00DA04FC">
              <w:rPr>
                <w:rFonts w:ascii="Times New Roman" w:eastAsia="AngsanaUPC" w:hAnsi="Times New Roman"/>
                <w:b/>
                <w:bCs/>
                <w:i/>
                <w:iCs/>
                <w:sz w:val="24"/>
                <w:szCs w:val="24"/>
                <w:lang w:eastAsia="lt-LT"/>
              </w:rPr>
              <w:t>specialieji</w:t>
            </w:r>
            <w:r w:rsidR="00DA04FC" w:rsidRPr="00385835">
              <w:rPr>
                <w:rFonts w:ascii="Times New Roman" w:eastAsia="AngsanaUPC" w:hAnsi="Times New Roman"/>
                <w:b/>
                <w:bCs/>
                <w:i/>
                <w:iCs/>
                <w:sz w:val="24"/>
                <w:szCs w:val="24"/>
                <w:lang w:eastAsia="lt-LT"/>
              </w:rPr>
              <w:t xml:space="preserve"> </w:t>
            </w:r>
            <w:r w:rsidRPr="00385835">
              <w:rPr>
                <w:rFonts w:ascii="Times New Roman" w:eastAsia="AngsanaUPC" w:hAnsi="Times New Roman"/>
                <w:b/>
                <w:bCs/>
                <w:i/>
                <w:iCs/>
                <w:sz w:val="24"/>
                <w:szCs w:val="24"/>
                <w:lang w:eastAsia="lt-LT"/>
              </w:rPr>
              <w:t xml:space="preserve">programos produkto rodikliai </w:t>
            </w:r>
          </w:p>
        </w:tc>
      </w:tr>
      <w:tr w:rsidR="00385835" w:rsidRPr="00385835" w:rsidTr="00385835">
        <w:tblPrEx>
          <w:shd w:val="clear" w:color="auto" w:fill="auto"/>
        </w:tblPrEx>
        <w:tc>
          <w:tcPr>
            <w:tcW w:w="563"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Nr.</w:t>
            </w:r>
          </w:p>
        </w:tc>
        <w:tc>
          <w:tcPr>
            <w:tcW w:w="2503"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Rodiklio pavadinimas</w:t>
            </w:r>
          </w:p>
        </w:tc>
        <w:tc>
          <w:tcPr>
            <w:tcW w:w="1129"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Matavimo vienetas</w:t>
            </w:r>
          </w:p>
        </w:tc>
        <w:tc>
          <w:tcPr>
            <w:tcW w:w="847"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Fondas</w:t>
            </w:r>
          </w:p>
        </w:tc>
        <w:tc>
          <w:tcPr>
            <w:tcW w:w="1129"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Regiono kategorija</w:t>
            </w:r>
          </w:p>
        </w:tc>
        <w:tc>
          <w:tcPr>
            <w:tcW w:w="1206"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Siektina reikšmė (2023)</w:t>
            </w:r>
          </w:p>
        </w:tc>
        <w:tc>
          <w:tcPr>
            <w:tcW w:w="1129"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Duomenų šaltinis</w:t>
            </w:r>
          </w:p>
        </w:tc>
        <w:tc>
          <w:tcPr>
            <w:tcW w:w="1240"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Atsiskaitymo dažnumas</w:t>
            </w:r>
          </w:p>
        </w:tc>
      </w:tr>
      <w:tr w:rsidR="00385835" w:rsidRPr="00385835" w:rsidTr="00385835">
        <w:tblPrEx>
          <w:shd w:val="clear" w:color="auto" w:fill="auto"/>
        </w:tblPrEx>
        <w:tc>
          <w:tcPr>
            <w:tcW w:w="563" w:type="dxa"/>
            <w:shd w:val="clear" w:color="auto" w:fill="auto"/>
            <w:vAlign w:val="center"/>
          </w:tcPr>
          <w:p w:rsidR="00385835" w:rsidRPr="00891769" w:rsidRDefault="00D54F90"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891769">
              <w:rPr>
                <w:rFonts w:ascii="Times New Roman" w:eastAsia="AngsanaUPC" w:hAnsi="Times New Roman"/>
                <w:bCs/>
                <w:iCs/>
                <w:sz w:val="18"/>
                <w:szCs w:val="18"/>
                <w:lang w:eastAsia="lt-LT"/>
              </w:rPr>
              <w:t>1</w:t>
            </w:r>
            <w:r w:rsidR="00385835" w:rsidRPr="00891769">
              <w:rPr>
                <w:rFonts w:ascii="Times New Roman" w:eastAsia="AngsanaUPC" w:hAnsi="Times New Roman"/>
                <w:bCs/>
                <w:iCs/>
                <w:sz w:val="18"/>
                <w:szCs w:val="18"/>
                <w:lang w:eastAsia="lt-LT"/>
              </w:rPr>
              <w:t>.</w:t>
            </w:r>
          </w:p>
        </w:tc>
        <w:tc>
          <w:tcPr>
            <w:tcW w:w="2503" w:type="dxa"/>
            <w:shd w:val="clear" w:color="auto" w:fill="auto"/>
            <w:vAlign w:val="center"/>
          </w:tcPr>
          <w:p w:rsidR="00385835" w:rsidRPr="00385835" w:rsidRDefault="00385835" w:rsidP="00385835">
            <w:pPr>
              <w:widowControl w:val="0"/>
              <w:tabs>
                <w:tab w:val="left" w:pos="622"/>
              </w:tabs>
              <w:spacing w:after="0" w:line="240" w:lineRule="auto"/>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 xml:space="preserve">Kitos formos nei subsidija finansinę paramą gaunančių įmonių skaičius </w:t>
            </w:r>
          </w:p>
        </w:tc>
        <w:tc>
          <w:tcPr>
            <w:tcW w:w="1129"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Įmonės</w:t>
            </w:r>
          </w:p>
        </w:tc>
        <w:tc>
          <w:tcPr>
            <w:tcW w:w="84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ERPF</w:t>
            </w:r>
          </w:p>
        </w:tc>
        <w:tc>
          <w:tcPr>
            <w:tcW w:w="1129" w:type="dxa"/>
            <w:shd w:val="clear" w:color="auto" w:fill="auto"/>
            <w:vAlign w:val="center"/>
          </w:tcPr>
          <w:p w:rsidR="00385835" w:rsidRPr="00385835" w:rsidRDefault="00385835" w:rsidP="00385835">
            <w:pPr>
              <w:spacing w:after="0" w:line="240" w:lineRule="auto"/>
              <w:jc w:val="center"/>
              <w:rPr>
                <w:sz w:val="18"/>
                <w:szCs w:val="18"/>
              </w:rPr>
            </w:pPr>
            <w:r w:rsidRPr="00385835">
              <w:rPr>
                <w:rFonts w:ascii="Times New Roman" w:eastAsia="AngsanaUPC" w:hAnsi="Times New Roman"/>
                <w:bCs/>
                <w:sz w:val="18"/>
                <w:szCs w:val="18"/>
                <w:lang w:eastAsia="lt-LT"/>
              </w:rPr>
              <w:t>Mažiau išsivystęs</w:t>
            </w:r>
          </w:p>
        </w:tc>
        <w:tc>
          <w:tcPr>
            <w:tcW w:w="1206" w:type="dxa"/>
            <w:shd w:val="clear" w:color="auto" w:fill="auto"/>
            <w:vAlign w:val="center"/>
          </w:tcPr>
          <w:p w:rsidR="00385835" w:rsidRPr="00891769" w:rsidRDefault="000678DA"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891769">
              <w:rPr>
                <w:rFonts w:ascii="Times New Roman" w:eastAsia="AngsanaUPC" w:hAnsi="Times New Roman"/>
                <w:bCs/>
                <w:iCs/>
                <w:sz w:val="18"/>
                <w:szCs w:val="18"/>
                <w:lang w:eastAsia="lt-LT"/>
              </w:rPr>
              <w:t>1554</w:t>
            </w:r>
          </w:p>
        </w:tc>
        <w:tc>
          <w:tcPr>
            <w:tcW w:w="1129"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Cs/>
                <w:iCs/>
                <w:sz w:val="18"/>
                <w:szCs w:val="18"/>
                <w:lang w:eastAsia="lt-LT"/>
              </w:rPr>
              <w:t>Duomenys iš projektų</w:t>
            </w:r>
          </w:p>
        </w:tc>
        <w:tc>
          <w:tcPr>
            <w:tcW w:w="1240" w:type="dxa"/>
            <w:shd w:val="clear" w:color="auto" w:fill="auto"/>
            <w:vAlign w:val="center"/>
          </w:tcPr>
          <w:p w:rsidR="00385835" w:rsidRPr="00385835" w:rsidRDefault="00385835" w:rsidP="00385835">
            <w:pPr>
              <w:spacing w:after="0" w:line="240" w:lineRule="auto"/>
              <w:jc w:val="center"/>
            </w:pPr>
            <w:r w:rsidRPr="00385835">
              <w:rPr>
                <w:rFonts w:ascii="Times New Roman" w:eastAsia="AngsanaUPC" w:hAnsi="Times New Roman"/>
                <w:bCs/>
                <w:iCs/>
                <w:sz w:val="18"/>
                <w:szCs w:val="18"/>
                <w:lang w:eastAsia="lt-LT"/>
              </w:rPr>
              <w:t>Kartą per metus</w:t>
            </w:r>
          </w:p>
        </w:tc>
      </w:tr>
      <w:tr w:rsidR="00385835" w:rsidRPr="00385835" w:rsidTr="00385835">
        <w:tblPrEx>
          <w:shd w:val="clear" w:color="auto" w:fill="auto"/>
        </w:tblPrEx>
        <w:tc>
          <w:tcPr>
            <w:tcW w:w="563" w:type="dxa"/>
            <w:shd w:val="clear" w:color="auto" w:fill="auto"/>
            <w:vAlign w:val="center"/>
          </w:tcPr>
          <w:p w:rsidR="00385835" w:rsidRPr="00891769" w:rsidRDefault="00D54F90"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891769">
              <w:rPr>
                <w:rFonts w:ascii="Times New Roman" w:eastAsia="AngsanaUPC" w:hAnsi="Times New Roman"/>
                <w:bCs/>
                <w:iCs/>
                <w:sz w:val="18"/>
                <w:szCs w:val="18"/>
                <w:lang w:eastAsia="lt-LT"/>
              </w:rPr>
              <w:t>2</w:t>
            </w:r>
            <w:r w:rsidR="00385835" w:rsidRPr="00891769">
              <w:rPr>
                <w:rFonts w:ascii="Times New Roman" w:eastAsia="AngsanaUPC" w:hAnsi="Times New Roman"/>
                <w:bCs/>
                <w:iCs/>
                <w:sz w:val="18"/>
                <w:szCs w:val="18"/>
                <w:lang w:eastAsia="lt-LT"/>
              </w:rPr>
              <w:t>.</w:t>
            </w:r>
          </w:p>
        </w:tc>
        <w:tc>
          <w:tcPr>
            <w:tcW w:w="2503" w:type="dxa"/>
            <w:shd w:val="clear" w:color="auto" w:fill="auto"/>
            <w:vAlign w:val="center"/>
          </w:tcPr>
          <w:p w:rsidR="00385835" w:rsidRPr="00385835" w:rsidRDefault="00385835" w:rsidP="00385835">
            <w:pPr>
              <w:widowControl w:val="0"/>
              <w:tabs>
                <w:tab w:val="left" w:pos="622"/>
              </w:tabs>
              <w:spacing w:after="0" w:line="240" w:lineRule="auto"/>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Privačios investicijos, atitinkančios viešąją paramą įmonėms (ne subsidijos)</w:t>
            </w:r>
          </w:p>
        </w:tc>
        <w:tc>
          <w:tcPr>
            <w:tcW w:w="1129"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EUR</w:t>
            </w:r>
          </w:p>
        </w:tc>
        <w:tc>
          <w:tcPr>
            <w:tcW w:w="847" w:type="dxa"/>
            <w:shd w:val="clear" w:color="auto" w:fill="auto"/>
            <w:vAlign w:val="center"/>
          </w:tcPr>
          <w:p w:rsidR="00385835" w:rsidRPr="00385835" w:rsidRDefault="00385835" w:rsidP="00385835">
            <w:pPr>
              <w:widowControl w:val="0"/>
              <w:tabs>
                <w:tab w:val="left" w:pos="622"/>
              </w:tabs>
              <w:spacing w:after="0" w:line="240" w:lineRule="auto"/>
              <w:jc w:val="center"/>
              <w:rPr>
                <w:sz w:val="18"/>
                <w:szCs w:val="18"/>
              </w:rPr>
            </w:pPr>
            <w:r w:rsidRPr="00385835">
              <w:rPr>
                <w:rFonts w:ascii="Times New Roman" w:eastAsia="AngsanaUPC" w:hAnsi="Times New Roman"/>
                <w:bCs/>
                <w:iCs/>
                <w:sz w:val="18"/>
                <w:szCs w:val="18"/>
                <w:lang w:eastAsia="lt-LT"/>
              </w:rPr>
              <w:t>ERPF</w:t>
            </w:r>
          </w:p>
        </w:tc>
        <w:tc>
          <w:tcPr>
            <w:tcW w:w="1129" w:type="dxa"/>
            <w:shd w:val="clear" w:color="auto" w:fill="auto"/>
            <w:vAlign w:val="center"/>
          </w:tcPr>
          <w:p w:rsidR="00385835" w:rsidRPr="00385835" w:rsidRDefault="00385835" w:rsidP="00385835">
            <w:pPr>
              <w:spacing w:after="0" w:line="240" w:lineRule="auto"/>
              <w:jc w:val="center"/>
              <w:rPr>
                <w:sz w:val="18"/>
                <w:szCs w:val="18"/>
              </w:rPr>
            </w:pPr>
            <w:r w:rsidRPr="00385835">
              <w:rPr>
                <w:rFonts w:ascii="Times New Roman" w:eastAsia="AngsanaUPC" w:hAnsi="Times New Roman"/>
                <w:bCs/>
                <w:sz w:val="18"/>
                <w:szCs w:val="18"/>
                <w:lang w:eastAsia="lt-LT"/>
              </w:rPr>
              <w:t>Mažiau išsivystęs</w:t>
            </w:r>
          </w:p>
        </w:tc>
        <w:tc>
          <w:tcPr>
            <w:tcW w:w="1206" w:type="dxa"/>
            <w:shd w:val="clear" w:color="auto" w:fill="auto"/>
            <w:vAlign w:val="center"/>
          </w:tcPr>
          <w:p w:rsidR="00385835" w:rsidRPr="00891769" w:rsidRDefault="000678DA" w:rsidP="00D90882">
            <w:pPr>
              <w:widowControl w:val="0"/>
              <w:tabs>
                <w:tab w:val="left" w:pos="622"/>
              </w:tabs>
              <w:spacing w:after="0" w:line="240" w:lineRule="auto"/>
              <w:jc w:val="center"/>
              <w:rPr>
                <w:rFonts w:ascii="Times New Roman" w:eastAsia="AngsanaUPC" w:hAnsi="Times New Roman"/>
                <w:bCs/>
                <w:iCs/>
                <w:sz w:val="18"/>
                <w:szCs w:val="18"/>
                <w:lang w:eastAsia="lt-LT"/>
              </w:rPr>
            </w:pPr>
            <w:r w:rsidRPr="00891769">
              <w:rPr>
                <w:rFonts w:ascii="Times New Roman" w:eastAsia="AngsanaUPC" w:hAnsi="Times New Roman"/>
                <w:bCs/>
                <w:iCs/>
                <w:sz w:val="18"/>
                <w:szCs w:val="18"/>
                <w:lang w:eastAsia="lt-LT"/>
              </w:rPr>
              <w:t>374</w:t>
            </w:r>
            <w:r w:rsidR="00D90882" w:rsidRPr="00891769">
              <w:rPr>
                <w:rFonts w:ascii="Times New Roman" w:eastAsia="AngsanaUPC" w:hAnsi="Times New Roman"/>
                <w:bCs/>
                <w:iCs/>
                <w:sz w:val="18"/>
                <w:szCs w:val="18"/>
                <w:lang w:eastAsia="lt-LT"/>
              </w:rPr>
              <w:t>.</w:t>
            </w:r>
            <w:r w:rsidRPr="00891769">
              <w:rPr>
                <w:rFonts w:ascii="Times New Roman" w:eastAsia="AngsanaUPC" w:hAnsi="Times New Roman"/>
                <w:bCs/>
                <w:iCs/>
                <w:sz w:val="18"/>
                <w:szCs w:val="18"/>
                <w:lang w:eastAsia="lt-LT"/>
              </w:rPr>
              <w:t>232</w:t>
            </w:r>
            <w:r w:rsidR="00D90882" w:rsidRPr="00891769">
              <w:rPr>
                <w:rFonts w:ascii="Times New Roman" w:eastAsia="AngsanaUPC" w:hAnsi="Times New Roman"/>
                <w:bCs/>
                <w:iCs/>
                <w:sz w:val="18"/>
                <w:szCs w:val="18"/>
                <w:lang w:eastAsia="lt-LT"/>
              </w:rPr>
              <w:t>.</w:t>
            </w:r>
            <w:r w:rsidR="00385835" w:rsidRPr="00891769">
              <w:rPr>
                <w:rFonts w:ascii="Times New Roman" w:eastAsia="AngsanaUPC" w:hAnsi="Times New Roman"/>
                <w:bCs/>
                <w:iCs/>
                <w:sz w:val="18"/>
                <w:szCs w:val="18"/>
                <w:lang w:eastAsia="lt-LT"/>
              </w:rPr>
              <w:t>000</w:t>
            </w:r>
          </w:p>
        </w:tc>
        <w:tc>
          <w:tcPr>
            <w:tcW w:w="1129"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Cs/>
                <w:iCs/>
                <w:sz w:val="18"/>
                <w:szCs w:val="18"/>
                <w:lang w:eastAsia="lt-LT"/>
              </w:rPr>
              <w:t>Duomenys iš projektų</w:t>
            </w:r>
          </w:p>
        </w:tc>
        <w:tc>
          <w:tcPr>
            <w:tcW w:w="1240" w:type="dxa"/>
            <w:shd w:val="clear" w:color="auto" w:fill="auto"/>
            <w:vAlign w:val="center"/>
          </w:tcPr>
          <w:p w:rsidR="00385835" w:rsidRPr="00385835" w:rsidRDefault="00385835" w:rsidP="00385835">
            <w:pPr>
              <w:spacing w:after="0" w:line="240" w:lineRule="auto"/>
              <w:jc w:val="center"/>
            </w:pPr>
            <w:r w:rsidRPr="00385835">
              <w:rPr>
                <w:rFonts w:ascii="Times New Roman" w:eastAsia="AngsanaUPC" w:hAnsi="Times New Roman"/>
                <w:bCs/>
                <w:iCs/>
                <w:sz w:val="18"/>
                <w:szCs w:val="18"/>
                <w:lang w:eastAsia="lt-LT"/>
              </w:rPr>
              <w:t>Kartą per metus</w:t>
            </w:r>
          </w:p>
        </w:tc>
      </w:tr>
      <w:tr w:rsidR="00385835" w:rsidRPr="00385835" w:rsidTr="00385835">
        <w:tblPrEx>
          <w:shd w:val="clear" w:color="auto" w:fill="auto"/>
        </w:tblPrEx>
        <w:tc>
          <w:tcPr>
            <w:tcW w:w="563" w:type="dxa"/>
            <w:shd w:val="clear" w:color="auto" w:fill="auto"/>
            <w:vAlign w:val="center"/>
          </w:tcPr>
          <w:p w:rsidR="00385835" w:rsidRPr="00891769" w:rsidRDefault="00D54F90" w:rsidP="00385835">
            <w:pPr>
              <w:widowControl w:val="0"/>
              <w:tabs>
                <w:tab w:val="left" w:pos="622"/>
              </w:tabs>
              <w:spacing w:after="0" w:line="240" w:lineRule="auto"/>
              <w:jc w:val="center"/>
              <w:rPr>
                <w:rFonts w:ascii="Times New Roman" w:eastAsia="AngsanaUPC" w:hAnsi="Times New Roman"/>
                <w:bCs/>
                <w:iCs/>
                <w:sz w:val="18"/>
                <w:szCs w:val="20"/>
                <w:lang w:eastAsia="lt-LT"/>
              </w:rPr>
            </w:pPr>
            <w:r w:rsidRPr="00891769">
              <w:rPr>
                <w:rFonts w:ascii="Times New Roman" w:eastAsia="AngsanaUPC" w:hAnsi="Times New Roman"/>
                <w:bCs/>
                <w:iCs/>
                <w:sz w:val="18"/>
                <w:szCs w:val="20"/>
                <w:lang w:eastAsia="lt-LT"/>
              </w:rPr>
              <w:t>3</w:t>
            </w:r>
            <w:r w:rsidR="00385835" w:rsidRPr="00891769">
              <w:rPr>
                <w:rFonts w:ascii="Times New Roman" w:eastAsia="AngsanaUPC" w:hAnsi="Times New Roman"/>
                <w:bCs/>
                <w:iCs/>
                <w:sz w:val="18"/>
                <w:szCs w:val="20"/>
                <w:lang w:eastAsia="lt-LT"/>
              </w:rPr>
              <w:t>.</w:t>
            </w:r>
          </w:p>
        </w:tc>
        <w:tc>
          <w:tcPr>
            <w:tcW w:w="2503" w:type="dxa"/>
            <w:shd w:val="clear" w:color="auto" w:fill="auto"/>
          </w:tcPr>
          <w:p w:rsidR="00385835" w:rsidRPr="00385835" w:rsidRDefault="00385835" w:rsidP="00385835">
            <w:pPr>
              <w:widowControl w:val="0"/>
              <w:tabs>
                <w:tab w:val="left" w:pos="622"/>
              </w:tabs>
              <w:spacing w:after="0" w:line="240" w:lineRule="auto"/>
              <w:jc w:val="both"/>
              <w:rPr>
                <w:rFonts w:ascii="Times New Roman" w:eastAsia="AngsanaUPC" w:hAnsi="Times New Roman"/>
                <w:bCs/>
                <w:iCs/>
                <w:sz w:val="18"/>
                <w:szCs w:val="20"/>
                <w:lang w:eastAsia="lt-LT"/>
              </w:rPr>
            </w:pPr>
            <w:r w:rsidRPr="00385835">
              <w:rPr>
                <w:rFonts w:ascii="Times New Roman" w:hAnsi="Times New Roman"/>
                <w:sz w:val="18"/>
                <w:szCs w:val="20"/>
              </w:rPr>
              <w:t>Naujų įmonių, gavusių investicijas, skaičius</w:t>
            </w:r>
          </w:p>
        </w:tc>
        <w:tc>
          <w:tcPr>
            <w:tcW w:w="1129"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20"/>
                <w:lang w:eastAsia="lt-LT"/>
              </w:rPr>
            </w:pPr>
            <w:r w:rsidRPr="00385835">
              <w:rPr>
                <w:rFonts w:ascii="Times New Roman" w:eastAsia="AngsanaUPC" w:hAnsi="Times New Roman"/>
                <w:bCs/>
                <w:iCs/>
                <w:sz w:val="18"/>
                <w:szCs w:val="18"/>
                <w:lang w:eastAsia="lt-LT"/>
              </w:rPr>
              <w:t>Įmonės</w:t>
            </w:r>
          </w:p>
        </w:tc>
        <w:tc>
          <w:tcPr>
            <w:tcW w:w="84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20"/>
                <w:lang w:eastAsia="lt-LT"/>
              </w:rPr>
            </w:pPr>
            <w:r w:rsidRPr="00385835">
              <w:rPr>
                <w:rFonts w:ascii="Times New Roman" w:eastAsia="AngsanaUPC" w:hAnsi="Times New Roman"/>
                <w:bCs/>
                <w:iCs/>
                <w:sz w:val="18"/>
                <w:szCs w:val="20"/>
                <w:lang w:eastAsia="lt-LT"/>
              </w:rPr>
              <w:t>ERPF</w:t>
            </w:r>
          </w:p>
        </w:tc>
        <w:tc>
          <w:tcPr>
            <w:tcW w:w="1129"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20"/>
                <w:lang w:eastAsia="lt-LT"/>
              </w:rPr>
            </w:pPr>
            <w:r w:rsidRPr="00385835">
              <w:rPr>
                <w:rFonts w:ascii="Times New Roman" w:eastAsia="AngsanaUPC" w:hAnsi="Times New Roman"/>
                <w:bCs/>
                <w:iCs/>
                <w:sz w:val="18"/>
                <w:szCs w:val="20"/>
                <w:lang w:eastAsia="lt-LT"/>
              </w:rPr>
              <w:t>Mažiau išsivystęs</w:t>
            </w:r>
          </w:p>
        </w:tc>
        <w:tc>
          <w:tcPr>
            <w:tcW w:w="1206" w:type="dxa"/>
            <w:shd w:val="clear" w:color="auto" w:fill="auto"/>
            <w:vAlign w:val="center"/>
          </w:tcPr>
          <w:p w:rsidR="00385835" w:rsidRPr="00891769" w:rsidRDefault="00C652C2" w:rsidP="00385835">
            <w:pPr>
              <w:widowControl w:val="0"/>
              <w:tabs>
                <w:tab w:val="left" w:pos="622"/>
              </w:tabs>
              <w:spacing w:after="0" w:line="240" w:lineRule="auto"/>
              <w:jc w:val="center"/>
              <w:rPr>
                <w:rFonts w:ascii="Times New Roman" w:eastAsia="AngsanaUPC" w:hAnsi="Times New Roman"/>
                <w:bCs/>
                <w:iCs/>
                <w:sz w:val="18"/>
                <w:szCs w:val="20"/>
                <w:lang w:eastAsia="lt-LT"/>
              </w:rPr>
            </w:pPr>
            <w:r w:rsidRPr="00891769">
              <w:rPr>
                <w:rFonts w:ascii="Times New Roman" w:eastAsia="AngsanaUPC" w:hAnsi="Times New Roman"/>
                <w:bCs/>
                <w:iCs/>
                <w:sz w:val="18"/>
                <w:szCs w:val="20"/>
                <w:lang w:eastAsia="lt-LT"/>
              </w:rPr>
              <w:t>1 500</w:t>
            </w:r>
          </w:p>
        </w:tc>
        <w:tc>
          <w:tcPr>
            <w:tcW w:w="1129"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20"/>
                <w:lang w:eastAsia="lt-LT"/>
              </w:rPr>
            </w:pPr>
            <w:r w:rsidRPr="00385835">
              <w:rPr>
                <w:rFonts w:ascii="Times New Roman" w:eastAsia="AngsanaUPC" w:hAnsi="Times New Roman"/>
                <w:bCs/>
                <w:iCs/>
                <w:sz w:val="18"/>
                <w:szCs w:val="20"/>
                <w:lang w:eastAsia="lt-LT"/>
              </w:rPr>
              <w:t>Duomenys iš projektų</w:t>
            </w:r>
          </w:p>
        </w:tc>
        <w:tc>
          <w:tcPr>
            <w:tcW w:w="1240" w:type="dxa"/>
            <w:shd w:val="clear" w:color="auto" w:fill="auto"/>
            <w:vAlign w:val="center"/>
          </w:tcPr>
          <w:p w:rsidR="00385835" w:rsidRPr="00385835" w:rsidRDefault="00385835" w:rsidP="00385835">
            <w:pPr>
              <w:spacing w:after="0" w:line="240" w:lineRule="auto"/>
              <w:jc w:val="center"/>
            </w:pPr>
            <w:r w:rsidRPr="00385835">
              <w:rPr>
                <w:rFonts w:ascii="Times New Roman" w:eastAsia="AngsanaUPC" w:hAnsi="Times New Roman"/>
                <w:bCs/>
                <w:iCs/>
                <w:sz w:val="18"/>
                <w:szCs w:val="18"/>
                <w:lang w:eastAsia="lt-LT"/>
              </w:rPr>
              <w:t>Kartą per metus</w:t>
            </w:r>
          </w:p>
        </w:tc>
      </w:tr>
      <w:tr w:rsidR="00385835" w:rsidRPr="00385835" w:rsidTr="00385835">
        <w:tblPrEx>
          <w:shd w:val="clear" w:color="auto" w:fill="auto"/>
        </w:tblPrEx>
        <w:tc>
          <w:tcPr>
            <w:tcW w:w="563" w:type="dxa"/>
            <w:shd w:val="clear" w:color="auto" w:fill="auto"/>
            <w:vAlign w:val="center"/>
          </w:tcPr>
          <w:p w:rsidR="00385835" w:rsidRPr="00891769" w:rsidRDefault="00D54F90" w:rsidP="00385835">
            <w:pPr>
              <w:widowControl w:val="0"/>
              <w:tabs>
                <w:tab w:val="left" w:pos="622"/>
              </w:tabs>
              <w:spacing w:after="0" w:line="240" w:lineRule="auto"/>
              <w:jc w:val="center"/>
              <w:rPr>
                <w:rFonts w:ascii="Times New Roman" w:eastAsia="AngsanaUPC" w:hAnsi="Times New Roman"/>
                <w:bCs/>
                <w:iCs/>
                <w:sz w:val="18"/>
                <w:szCs w:val="20"/>
                <w:lang w:eastAsia="lt-LT"/>
              </w:rPr>
            </w:pPr>
            <w:r w:rsidRPr="00891769">
              <w:rPr>
                <w:rFonts w:ascii="Times New Roman" w:eastAsia="AngsanaUPC" w:hAnsi="Times New Roman"/>
                <w:bCs/>
                <w:iCs/>
                <w:sz w:val="18"/>
                <w:szCs w:val="20"/>
                <w:lang w:eastAsia="lt-LT"/>
              </w:rPr>
              <w:t>4</w:t>
            </w:r>
            <w:r w:rsidR="00385835" w:rsidRPr="00891769">
              <w:rPr>
                <w:rFonts w:ascii="Times New Roman" w:eastAsia="AngsanaUPC" w:hAnsi="Times New Roman"/>
                <w:bCs/>
                <w:iCs/>
                <w:sz w:val="18"/>
                <w:szCs w:val="20"/>
                <w:lang w:eastAsia="lt-LT"/>
              </w:rPr>
              <w:t>.</w:t>
            </w:r>
          </w:p>
        </w:tc>
        <w:tc>
          <w:tcPr>
            <w:tcW w:w="2503" w:type="dxa"/>
            <w:shd w:val="clear" w:color="auto" w:fill="auto"/>
            <w:vAlign w:val="center"/>
          </w:tcPr>
          <w:p w:rsidR="00385835" w:rsidRPr="00385835" w:rsidRDefault="00385835" w:rsidP="00385835">
            <w:pPr>
              <w:keepNext/>
              <w:spacing w:before="100" w:beforeAutospacing="1" w:after="100" w:afterAutospacing="1" w:line="240" w:lineRule="auto"/>
              <w:rPr>
                <w:rFonts w:ascii="Times New Roman" w:eastAsia="Times New Roman" w:hAnsi="Times New Roman"/>
                <w:color w:val="000000"/>
                <w:sz w:val="18"/>
                <w:szCs w:val="18"/>
                <w:lang w:eastAsia="lt-LT"/>
              </w:rPr>
            </w:pPr>
            <w:r w:rsidRPr="00385835">
              <w:rPr>
                <w:rFonts w:ascii="Times New Roman" w:eastAsia="AngsanaUPC" w:hAnsi="Times New Roman"/>
                <w:bCs/>
                <w:iCs/>
                <w:sz w:val="18"/>
                <w:szCs w:val="18"/>
                <w:lang w:eastAsia="lt-LT"/>
              </w:rPr>
              <w:t>Subsidijas gaunančių įmonių skaičius</w:t>
            </w:r>
          </w:p>
        </w:tc>
        <w:tc>
          <w:tcPr>
            <w:tcW w:w="1129" w:type="dxa"/>
            <w:shd w:val="clear" w:color="auto" w:fill="auto"/>
            <w:vAlign w:val="center"/>
          </w:tcPr>
          <w:p w:rsidR="00385835" w:rsidRPr="00385835" w:rsidRDefault="00385835" w:rsidP="00385835">
            <w:pPr>
              <w:keepNext/>
              <w:spacing w:before="100" w:beforeAutospacing="1" w:after="100" w:afterAutospacing="1" w:line="240" w:lineRule="auto"/>
              <w:jc w:val="center"/>
              <w:rPr>
                <w:rFonts w:ascii="Times New Roman" w:eastAsia="Times New Roman" w:hAnsi="Times New Roman"/>
                <w:color w:val="000000"/>
                <w:sz w:val="18"/>
                <w:szCs w:val="18"/>
                <w:lang w:eastAsia="lt-LT"/>
              </w:rPr>
            </w:pPr>
            <w:r w:rsidRPr="00385835">
              <w:rPr>
                <w:rFonts w:ascii="Times New Roman" w:eastAsia="AngsanaUPC" w:hAnsi="Times New Roman"/>
                <w:bCs/>
                <w:iCs/>
                <w:sz w:val="18"/>
                <w:szCs w:val="18"/>
                <w:lang w:eastAsia="lt-LT"/>
              </w:rPr>
              <w:t>Įmonės</w:t>
            </w:r>
          </w:p>
        </w:tc>
        <w:tc>
          <w:tcPr>
            <w:tcW w:w="84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ERPF</w:t>
            </w:r>
          </w:p>
        </w:tc>
        <w:tc>
          <w:tcPr>
            <w:tcW w:w="1129"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sz w:val="18"/>
                <w:szCs w:val="18"/>
                <w:lang w:eastAsia="lt-LT"/>
              </w:rPr>
              <w:t>Mažiau išsivystęs</w:t>
            </w:r>
          </w:p>
        </w:tc>
        <w:tc>
          <w:tcPr>
            <w:tcW w:w="1206" w:type="dxa"/>
            <w:shd w:val="clear" w:color="auto" w:fill="auto"/>
            <w:vAlign w:val="center"/>
          </w:tcPr>
          <w:p w:rsidR="00385835" w:rsidRPr="00891769" w:rsidRDefault="00C652C2"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891769">
              <w:rPr>
                <w:rFonts w:ascii="Times New Roman" w:eastAsia="AngsanaUPC" w:hAnsi="Times New Roman"/>
                <w:bCs/>
                <w:iCs/>
                <w:sz w:val="18"/>
                <w:szCs w:val="18"/>
                <w:lang w:eastAsia="lt-LT"/>
              </w:rPr>
              <w:t>1 800</w:t>
            </w:r>
          </w:p>
        </w:tc>
        <w:tc>
          <w:tcPr>
            <w:tcW w:w="1129"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Duomenys iš projektų</w:t>
            </w:r>
          </w:p>
        </w:tc>
        <w:tc>
          <w:tcPr>
            <w:tcW w:w="1240" w:type="dxa"/>
            <w:shd w:val="clear" w:color="auto" w:fill="auto"/>
            <w:vAlign w:val="center"/>
          </w:tcPr>
          <w:p w:rsidR="00385835" w:rsidRPr="00385835" w:rsidRDefault="00385835" w:rsidP="00385835">
            <w:pPr>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385835" w:rsidRPr="00385835" w:rsidTr="00385835">
        <w:tblPrEx>
          <w:shd w:val="clear" w:color="auto" w:fill="auto"/>
        </w:tblPrEx>
        <w:tc>
          <w:tcPr>
            <w:tcW w:w="563" w:type="dxa"/>
            <w:shd w:val="clear" w:color="auto" w:fill="auto"/>
            <w:vAlign w:val="center"/>
          </w:tcPr>
          <w:p w:rsidR="00385835" w:rsidRPr="00891769" w:rsidRDefault="00D54F90" w:rsidP="00385835">
            <w:pPr>
              <w:widowControl w:val="0"/>
              <w:tabs>
                <w:tab w:val="left" w:pos="622"/>
              </w:tabs>
              <w:spacing w:after="0" w:line="240" w:lineRule="auto"/>
              <w:jc w:val="center"/>
              <w:rPr>
                <w:rFonts w:ascii="Times New Roman" w:eastAsia="AngsanaUPC" w:hAnsi="Times New Roman"/>
                <w:bCs/>
                <w:iCs/>
                <w:sz w:val="18"/>
                <w:szCs w:val="20"/>
                <w:lang w:eastAsia="lt-LT"/>
              </w:rPr>
            </w:pPr>
            <w:r w:rsidRPr="00891769">
              <w:rPr>
                <w:rFonts w:ascii="Times New Roman" w:eastAsia="AngsanaUPC" w:hAnsi="Times New Roman"/>
                <w:bCs/>
                <w:iCs/>
                <w:sz w:val="18"/>
                <w:szCs w:val="20"/>
                <w:lang w:eastAsia="lt-LT"/>
              </w:rPr>
              <w:t>5</w:t>
            </w:r>
            <w:r w:rsidR="00385835" w:rsidRPr="00891769">
              <w:rPr>
                <w:rFonts w:ascii="Times New Roman" w:eastAsia="AngsanaUPC" w:hAnsi="Times New Roman"/>
                <w:bCs/>
                <w:iCs/>
                <w:sz w:val="18"/>
                <w:szCs w:val="20"/>
                <w:lang w:eastAsia="lt-LT"/>
              </w:rPr>
              <w:t>.</w:t>
            </w:r>
          </w:p>
        </w:tc>
        <w:tc>
          <w:tcPr>
            <w:tcW w:w="2503" w:type="dxa"/>
            <w:shd w:val="clear" w:color="auto" w:fill="auto"/>
            <w:vAlign w:val="center"/>
          </w:tcPr>
          <w:p w:rsidR="00385835" w:rsidRPr="00385835" w:rsidRDefault="00385835" w:rsidP="00385835">
            <w:pPr>
              <w:keepNext/>
              <w:spacing w:before="100" w:beforeAutospacing="1" w:after="100" w:afterAutospacing="1" w:line="240" w:lineRule="auto"/>
              <w:rPr>
                <w:rFonts w:ascii="Times New Roman" w:eastAsia="Times New Roman" w:hAnsi="Times New Roman"/>
                <w:color w:val="000000"/>
                <w:sz w:val="18"/>
                <w:szCs w:val="18"/>
                <w:lang w:eastAsia="lt-LT"/>
              </w:rPr>
            </w:pPr>
            <w:r w:rsidRPr="00385835">
              <w:rPr>
                <w:rFonts w:ascii="Times New Roman" w:eastAsia="AngsanaUPC" w:hAnsi="Times New Roman"/>
                <w:bCs/>
                <w:iCs/>
                <w:sz w:val="18"/>
                <w:szCs w:val="18"/>
                <w:lang w:eastAsia="lt-LT"/>
              </w:rPr>
              <w:t xml:space="preserve">Privačios investicijos, atitinkančios viešąją paramą įmonėms (subsidijos) </w:t>
            </w:r>
          </w:p>
        </w:tc>
        <w:tc>
          <w:tcPr>
            <w:tcW w:w="1129" w:type="dxa"/>
            <w:shd w:val="clear" w:color="auto" w:fill="auto"/>
            <w:vAlign w:val="center"/>
          </w:tcPr>
          <w:p w:rsidR="00385835" w:rsidRPr="00385835" w:rsidRDefault="00385835" w:rsidP="00385835">
            <w:pPr>
              <w:keepNext/>
              <w:spacing w:before="100" w:beforeAutospacing="1" w:after="100" w:afterAutospacing="1" w:line="240" w:lineRule="auto"/>
              <w:jc w:val="center"/>
              <w:rPr>
                <w:rFonts w:ascii="Times New Roman" w:eastAsia="Times New Roman" w:hAnsi="Times New Roman"/>
                <w:color w:val="000000"/>
                <w:sz w:val="18"/>
                <w:szCs w:val="18"/>
                <w:lang w:eastAsia="lt-LT"/>
              </w:rPr>
            </w:pPr>
            <w:r w:rsidRPr="00385835">
              <w:rPr>
                <w:rFonts w:ascii="Times New Roman" w:eastAsia="AngsanaUPC" w:hAnsi="Times New Roman"/>
                <w:bCs/>
                <w:iCs/>
                <w:sz w:val="18"/>
                <w:szCs w:val="18"/>
                <w:lang w:eastAsia="lt-LT"/>
              </w:rPr>
              <w:t>EUR</w:t>
            </w:r>
          </w:p>
        </w:tc>
        <w:tc>
          <w:tcPr>
            <w:tcW w:w="84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ERPF</w:t>
            </w:r>
          </w:p>
        </w:tc>
        <w:tc>
          <w:tcPr>
            <w:tcW w:w="1129"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sz w:val="18"/>
                <w:szCs w:val="18"/>
                <w:lang w:eastAsia="lt-LT"/>
              </w:rPr>
              <w:t>Mažiau išsivystęs</w:t>
            </w:r>
          </w:p>
        </w:tc>
        <w:tc>
          <w:tcPr>
            <w:tcW w:w="1206" w:type="dxa"/>
            <w:shd w:val="clear" w:color="auto" w:fill="auto"/>
            <w:vAlign w:val="center"/>
          </w:tcPr>
          <w:p w:rsidR="00385835" w:rsidRPr="00891769" w:rsidRDefault="00C652C2" w:rsidP="00D90882">
            <w:pPr>
              <w:widowControl w:val="0"/>
              <w:tabs>
                <w:tab w:val="left" w:pos="622"/>
              </w:tabs>
              <w:spacing w:after="0" w:line="240" w:lineRule="auto"/>
              <w:jc w:val="center"/>
              <w:rPr>
                <w:rFonts w:ascii="Times New Roman" w:eastAsia="AngsanaUPC" w:hAnsi="Times New Roman"/>
                <w:bCs/>
                <w:iCs/>
                <w:sz w:val="18"/>
                <w:szCs w:val="18"/>
                <w:lang w:eastAsia="lt-LT"/>
              </w:rPr>
            </w:pPr>
            <w:r w:rsidRPr="00891769">
              <w:rPr>
                <w:rFonts w:ascii="Times New Roman" w:eastAsia="AngsanaUPC" w:hAnsi="Times New Roman"/>
                <w:bCs/>
                <w:iCs/>
                <w:sz w:val="18"/>
                <w:szCs w:val="18"/>
                <w:lang w:eastAsia="lt-LT"/>
              </w:rPr>
              <w:t>750.000</w:t>
            </w:r>
          </w:p>
        </w:tc>
        <w:tc>
          <w:tcPr>
            <w:tcW w:w="1129"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Duomenys iš projektų</w:t>
            </w:r>
          </w:p>
        </w:tc>
        <w:tc>
          <w:tcPr>
            <w:tcW w:w="1240" w:type="dxa"/>
            <w:shd w:val="clear" w:color="auto" w:fill="auto"/>
            <w:vAlign w:val="center"/>
          </w:tcPr>
          <w:p w:rsidR="00385835" w:rsidRPr="00385835" w:rsidRDefault="00385835" w:rsidP="00385835">
            <w:pPr>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1E0FD8" w:rsidRPr="003E71A2" w:rsidTr="00385835">
        <w:tblPrEx>
          <w:shd w:val="clear" w:color="auto" w:fill="auto"/>
        </w:tblPrEx>
        <w:tc>
          <w:tcPr>
            <w:tcW w:w="563" w:type="dxa"/>
            <w:shd w:val="clear" w:color="auto" w:fill="auto"/>
            <w:vAlign w:val="center"/>
          </w:tcPr>
          <w:p w:rsidR="001E0FD8" w:rsidRPr="00891769" w:rsidRDefault="00D54F90" w:rsidP="001E0FD8">
            <w:pPr>
              <w:widowControl w:val="0"/>
              <w:tabs>
                <w:tab w:val="left" w:pos="622"/>
              </w:tabs>
              <w:spacing w:after="0" w:line="240" w:lineRule="auto"/>
              <w:jc w:val="center"/>
              <w:rPr>
                <w:rFonts w:ascii="Times New Roman" w:eastAsia="AngsanaUPC" w:hAnsi="Times New Roman"/>
                <w:bCs/>
                <w:iCs/>
                <w:sz w:val="18"/>
                <w:szCs w:val="20"/>
                <w:lang w:eastAsia="lt-LT"/>
              </w:rPr>
            </w:pPr>
            <w:r w:rsidRPr="00891769">
              <w:rPr>
                <w:rFonts w:ascii="Times New Roman" w:eastAsia="AngsanaUPC" w:hAnsi="Times New Roman"/>
                <w:bCs/>
                <w:iCs/>
                <w:sz w:val="18"/>
                <w:szCs w:val="20"/>
                <w:lang w:eastAsia="lt-LT"/>
              </w:rPr>
              <w:t>6.</w:t>
            </w:r>
          </w:p>
        </w:tc>
        <w:tc>
          <w:tcPr>
            <w:tcW w:w="2503" w:type="dxa"/>
            <w:shd w:val="clear" w:color="auto" w:fill="auto"/>
            <w:vAlign w:val="center"/>
          </w:tcPr>
          <w:p w:rsidR="001E0FD8" w:rsidRPr="003E71A2" w:rsidRDefault="001E0FD8" w:rsidP="001E0FD8">
            <w:pPr>
              <w:widowControl w:val="0"/>
              <w:tabs>
                <w:tab w:val="left" w:pos="622"/>
              </w:tabs>
              <w:spacing w:after="0" w:line="240" w:lineRule="auto"/>
              <w:rPr>
                <w:rFonts w:ascii="Times New Roman" w:eastAsia="Times New Roman" w:hAnsi="Times New Roman"/>
                <w:sz w:val="18"/>
                <w:szCs w:val="18"/>
              </w:rPr>
            </w:pPr>
            <w:r w:rsidRPr="003E71A2">
              <w:rPr>
                <w:rFonts w:ascii="Times New Roman" w:eastAsia="Times New Roman" w:hAnsi="Times New Roman"/>
                <w:sz w:val="18"/>
                <w:szCs w:val="18"/>
              </w:rPr>
              <w:t>Investicijas gaunančių įmonių skaičius</w:t>
            </w:r>
          </w:p>
        </w:tc>
        <w:tc>
          <w:tcPr>
            <w:tcW w:w="1129" w:type="dxa"/>
            <w:shd w:val="clear" w:color="auto" w:fill="auto"/>
            <w:vAlign w:val="center"/>
          </w:tcPr>
          <w:p w:rsidR="001E0FD8" w:rsidRPr="003E71A2" w:rsidRDefault="001E0FD8" w:rsidP="001E0FD8">
            <w:pPr>
              <w:widowControl w:val="0"/>
              <w:tabs>
                <w:tab w:val="left" w:pos="622"/>
              </w:tabs>
              <w:spacing w:after="0" w:line="240" w:lineRule="auto"/>
              <w:jc w:val="center"/>
              <w:rPr>
                <w:rFonts w:ascii="Times New Roman" w:eastAsia="AngsanaUPC" w:hAnsi="Times New Roman"/>
                <w:bCs/>
                <w:iCs/>
                <w:sz w:val="18"/>
                <w:szCs w:val="18"/>
                <w:lang w:eastAsia="lt-LT"/>
              </w:rPr>
            </w:pPr>
            <w:r w:rsidRPr="003E71A2">
              <w:rPr>
                <w:rFonts w:ascii="Times New Roman" w:eastAsia="AngsanaUPC" w:hAnsi="Times New Roman"/>
                <w:bCs/>
                <w:iCs/>
                <w:sz w:val="18"/>
                <w:szCs w:val="18"/>
                <w:lang w:eastAsia="lt-LT"/>
              </w:rPr>
              <w:t>Įmonės</w:t>
            </w:r>
          </w:p>
        </w:tc>
        <w:tc>
          <w:tcPr>
            <w:tcW w:w="847" w:type="dxa"/>
            <w:shd w:val="clear" w:color="auto" w:fill="auto"/>
            <w:vAlign w:val="center"/>
          </w:tcPr>
          <w:p w:rsidR="001E0FD8" w:rsidRPr="003E71A2" w:rsidRDefault="001E0FD8" w:rsidP="001E0FD8">
            <w:pPr>
              <w:widowControl w:val="0"/>
              <w:tabs>
                <w:tab w:val="left" w:pos="622"/>
              </w:tabs>
              <w:spacing w:after="0" w:line="240" w:lineRule="auto"/>
              <w:jc w:val="center"/>
              <w:rPr>
                <w:rFonts w:ascii="Times New Roman" w:eastAsia="AngsanaUPC" w:hAnsi="Times New Roman"/>
                <w:bCs/>
                <w:iCs/>
                <w:sz w:val="18"/>
                <w:szCs w:val="18"/>
                <w:lang w:eastAsia="lt-LT"/>
              </w:rPr>
            </w:pPr>
            <w:r w:rsidRPr="003E71A2">
              <w:rPr>
                <w:rFonts w:ascii="Times New Roman" w:eastAsia="AngsanaUPC" w:hAnsi="Times New Roman"/>
                <w:bCs/>
                <w:iCs/>
                <w:sz w:val="18"/>
                <w:szCs w:val="18"/>
                <w:lang w:eastAsia="lt-LT"/>
              </w:rPr>
              <w:t>ERPF</w:t>
            </w:r>
          </w:p>
        </w:tc>
        <w:tc>
          <w:tcPr>
            <w:tcW w:w="1129" w:type="dxa"/>
            <w:shd w:val="clear" w:color="auto" w:fill="auto"/>
            <w:vAlign w:val="center"/>
          </w:tcPr>
          <w:p w:rsidR="001E0FD8" w:rsidRPr="003E71A2" w:rsidRDefault="001E0FD8" w:rsidP="001E0FD8">
            <w:pPr>
              <w:widowControl w:val="0"/>
              <w:tabs>
                <w:tab w:val="left" w:pos="622"/>
              </w:tabs>
              <w:spacing w:after="0" w:line="240" w:lineRule="auto"/>
              <w:jc w:val="center"/>
              <w:rPr>
                <w:rFonts w:ascii="Times New Roman" w:eastAsia="AngsanaUPC" w:hAnsi="Times New Roman"/>
                <w:bCs/>
                <w:sz w:val="18"/>
                <w:szCs w:val="18"/>
                <w:lang w:eastAsia="lt-LT"/>
              </w:rPr>
            </w:pPr>
            <w:r w:rsidRPr="003E71A2">
              <w:rPr>
                <w:rFonts w:ascii="Times New Roman" w:eastAsia="AngsanaUPC" w:hAnsi="Times New Roman"/>
                <w:bCs/>
                <w:iCs/>
                <w:sz w:val="18"/>
                <w:szCs w:val="18"/>
                <w:lang w:eastAsia="lt-LT"/>
              </w:rPr>
              <w:t>Mažiau išsivystęs</w:t>
            </w:r>
          </w:p>
        </w:tc>
        <w:tc>
          <w:tcPr>
            <w:tcW w:w="1206" w:type="dxa"/>
            <w:shd w:val="clear" w:color="auto" w:fill="auto"/>
            <w:vAlign w:val="center"/>
          </w:tcPr>
          <w:p w:rsidR="001E0FD8" w:rsidRPr="00891769" w:rsidRDefault="001E0FD8" w:rsidP="001E0FD8">
            <w:pPr>
              <w:widowControl w:val="0"/>
              <w:tabs>
                <w:tab w:val="left" w:pos="622"/>
              </w:tabs>
              <w:spacing w:after="0" w:line="240" w:lineRule="auto"/>
              <w:jc w:val="center"/>
              <w:rPr>
                <w:rFonts w:ascii="Times New Roman" w:eastAsia="Times New Roman" w:hAnsi="Times New Roman"/>
                <w:sz w:val="18"/>
                <w:szCs w:val="18"/>
              </w:rPr>
            </w:pPr>
            <w:r w:rsidRPr="00891769">
              <w:rPr>
                <w:rFonts w:ascii="Times New Roman" w:eastAsia="Times New Roman" w:hAnsi="Times New Roman"/>
                <w:sz w:val="18"/>
                <w:szCs w:val="18"/>
              </w:rPr>
              <w:t>750</w:t>
            </w:r>
          </w:p>
        </w:tc>
        <w:tc>
          <w:tcPr>
            <w:tcW w:w="1129" w:type="dxa"/>
            <w:shd w:val="clear" w:color="auto" w:fill="auto"/>
            <w:vAlign w:val="center"/>
          </w:tcPr>
          <w:p w:rsidR="001E0FD8" w:rsidRPr="003E71A2" w:rsidRDefault="001E0FD8" w:rsidP="001E0FD8">
            <w:pPr>
              <w:widowControl w:val="0"/>
              <w:tabs>
                <w:tab w:val="left" w:pos="622"/>
              </w:tabs>
              <w:spacing w:after="0" w:line="240" w:lineRule="auto"/>
              <w:jc w:val="center"/>
              <w:rPr>
                <w:rFonts w:ascii="Times New Roman" w:eastAsia="AngsanaUPC" w:hAnsi="Times New Roman"/>
                <w:bCs/>
                <w:iCs/>
                <w:sz w:val="18"/>
                <w:szCs w:val="18"/>
                <w:lang w:eastAsia="lt-LT"/>
              </w:rPr>
            </w:pPr>
            <w:r w:rsidRPr="003E71A2">
              <w:rPr>
                <w:rFonts w:ascii="Times New Roman" w:eastAsia="AngsanaUPC" w:hAnsi="Times New Roman"/>
                <w:bCs/>
                <w:iCs/>
                <w:sz w:val="18"/>
                <w:szCs w:val="18"/>
                <w:lang w:eastAsia="lt-LT"/>
              </w:rPr>
              <w:t>Duomenys iš projektų</w:t>
            </w:r>
          </w:p>
        </w:tc>
        <w:tc>
          <w:tcPr>
            <w:tcW w:w="1240" w:type="dxa"/>
            <w:shd w:val="clear" w:color="auto" w:fill="auto"/>
            <w:vAlign w:val="center"/>
          </w:tcPr>
          <w:p w:rsidR="001E0FD8" w:rsidRPr="003E71A2" w:rsidRDefault="001E0FD8" w:rsidP="001E0FD8">
            <w:pPr>
              <w:widowControl w:val="0"/>
              <w:tabs>
                <w:tab w:val="left" w:pos="622"/>
              </w:tabs>
              <w:spacing w:after="0" w:line="240" w:lineRule="auto"/>
              <w:jc w:val="center"/>
              <w:rPr>
                <w:rFonts w:ascii="Times New Roman" w:eastAsia="AngsanaUPC" w:hAnsi="Times New Roman"/>
                <w:bCs/>
                <w:iCs/>
                <w:sz w:val="18"/>
                <w:szCs w:val="18"/>
                <w:lang w:eastAsia="lt-LT"/>
              </w:rPr>
            </w:pPr>
            <w:r w:rsidRPr="003E71A2">
              <w:rPr>
                <w:rFonts w:ascii="Times New Roman" w:eastAsia="AngsanaUPC" w:hAnsi="Times New Roman"/>
                <w:bCs/>
                <w:iCs/>
                <w:sz w:val="18"/>
                <w:szCs w:val="18"/>
                <w:lang w:eastAsia="lt-LT"/>
              </w:rPr>
              <w:t>Kartą per metus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i/>
          <w:i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vAlign w:val="center"/>
          </w:tcPr>
          <w:p w:rsidR="00385835" w:rsidRPr="00385835" w:rsidRDefault="00385835" w:rsidP="00385835">
            <w:pPr>
              <w:widowControl w:val="0"/>
              <w:tabs>
                <w:tab w:val="left" w:pos="622"/>
              </w:tabs>
              <w:spacing w:after="0" w:line="240" w:lineRule="auto"/>
              <w:rPr>
                <w:rFonts w:ascii="Times New Roman" w:eastAsia="AngsanaUPC" w:hAnsi="Times New Roman"/>
                <w:b/>
                <w:bCs/>
                <w:iCs/>
                <w:sz w:val="24"/>
                <w:szCs w:val="24"/>
                <w:lang w:eastAsia="lt-LT"/>
              </w:rPr>
            </w:pPr>
            <w:r w:rsidRPr="00385835">
              <w:rPr>
                <w:rFonts w:ascii="Times New Roman" w:eastAsia="AngsanaUPC" w:hAnsi="Times New Roman"/>
                <w:b/>
                <w:bCs/>
                <w:iCs/>
                <w:sz w:val="24"/>
                <w:szCs w:val="24"/>
                <w:lang w:eastAsia="lt-LT"/>
              </w:rPr>
              <w:t>3.2. INVESTICINIS PRIORITETAS</w:t>
            </w:r>
          </w:p>
        </w:tc>
        <w:tc>
          <w:tcPr>
            <w:tcW w:w="7336" w:type="dxa"/>
            <w:shd w:val="clear" w:color="auto" w:fill="EEECE1"/>
          </w:tcPr>
          <w:p w:rsidR="00385835" w:rsidRPr="00385835" w:rsidRDefault="00385835" w:rsidP="00385835">
            <w:pPr>
              <w:spacing w:after="0" w:line="240" w:lineRule="auto"/>
              <w:jc w:val="both"/>
              <w:rPr>
                <w:rFonts w:ascii="Times New Roman" w:hAnsi="Times New Roman"/>
                <w:b/>
                <w:sz w:val="24"/>
                <w:szCs w:val="24"/>
              </w:rPr>
            </w:pPr>
            <w:r w:rsidRPr="00385835">
              <w:rPr>
                <w:rFonts w:ascii="Times New Roman" w:hAnsi="Times New Roman"/>
                <w:b/>
                <w:sz w:val="24"/>
                <w:szCs w:val="24"/>
              </w:rPr>
              <w:t>Naujų MVĮ verslo modelių, ypač internacionalizavim</w:t>
            </w:r>
            <w:r w:rsidR="00031EF1">
              <w:rPr>
                <w:rFonts w:ascii="Times New Roman" w:hAnsi="Times New Roman"/>
                <w:b/>
                <w:sz w:val="24"/>
                <w:szCs w:val="24"/>
              </w:rPr>
              <w:t>o, kūrimas ir įgyvendinimas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FONDAS</w:t>
            </w:r>
          </w:p>
        </w:tc>
        <w:tc>
          <w:tcPr>
            <w:tcW w:w="7336"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Europos regioninės plėtros fondas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vAlign w:val="center"/>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3.2.1. KONKRETUS UŽDAVINYS</w:t>
            </w:r>
          </w:p>
        </w:tc>
        <w:tc>
          <w:tcPr>
            <w:tcW w:w="7336" w:type="dxa"/>
            <w:shd w:val="clear" w:color="auto" w:fill="EEECE1"/>
            <w:vAlign w:val="center"/>
          </w:tcPr>
          <w:p w:rsidR="00385835" w:rsidRPr="00385835" w:rsidRDefault="00385835" w:rsidP="00385835">
            <w:pPr>
              <w:spacing w:after="0" w:line="240" w:lineRule="auto"/>
              <w:jc w:val="both"/>
              <w:rPr>
                <w:rFonts w:ascii="Times New Roman" w:hAnsi="Times New Roman"/>
                <w:b/>
                <w:sz w:val="24"/>
                <w:szCs w:val="24"/>
              </w:rPr>
            </w:pPr>
            <w:r w:rsidRPr="00385835">
              <w:rPr>
                <w:rFonts w:ascii="Times New Roman" w:hAnsi="Times New Roman"/>
                <w:b/>
                <w:sz w:val="24"/>
                <w:szCs w:val="24"/>
              </w:rPr>
              <w:t>Padidinti MVĮ tarptautiškumą</w:t>
            </w:r>
          </w:p>
        </w:tc>
      </w:tr>
      <w:tr w:rsidR="00385835" w:rsidRPr="00385835" w:rsidTr="00385835">
        <w:tblPrEx>
          <w:shd w:val="clear" w:color="auto" w:fill="auto"/>
        </w:tblPrEx>
        <w:tc>
          <w:tcPr>
            <w:tcW w:w="9746" w:type="dxa"/>
            <w:gridSpan w:val="2"/>
            <w:shd w:val="clear" w:color="auto" w:fill="auto"/>
          </w:tcPr>
          <w:p w:rsidR="00385835" w:rsidRPr="00385835" w:rsidRDefault="00385835" w:rsidP="00385835">
            <w:pPr>
              <w:widowControl w:val="0"/>
              <w:tabs>
                <w:tab w:val="left" w:pos="622"/>
              </w:tabs>
              <w:spacing w:after="0" w:line="240" w:lineRule="auto"/>
              <w:ind w:firstLine="624"/>
              <w:jc w:val="both"/>
              <w:rPr>
                <w:rFonts w:ascii="Times New Roman" w:eastAsia="AngsanaUPC" w:hAnsi="Times New Roman"/>
                <w:bCs/>
                <w:iCs/>
                <w:sz w:val="24"/>
                <w:szCs w:val="24"/>
                <w:lang w:eastAsia="lt-LT"/>
              </w:rPr>
            </w:pPr>
            <w:r w:rsidRPr="00385835">
              <w:rPr>
                <w:rFonts w:ascii="Times New Roman" w:eastAsia="AngsanaUPC" w:hAnsi="Times New Roman"/>
                <w:bCs/>
                <w:sz w:val="24"/>
                <w:szCs w:val="24"/>
                <w:lang w:eastAsia="lt-LT"/>
              </w:rPr>
              <w:t xml:space="preserve">Lietuvos, kaip labai mažą vidaus rinką turinčios valstybės, ekonomikos augimas ir gerovės didėjimas tiesiogiai priklauso nuo šalies MVĮ gebėjimo kurti ir eksportuoti tarptautiniu mastu konkurencingus gaminius bei paslaugas bei įsitraukti į tarptautines tinklų grandines. Deja, lyginant su kitomis panašaus dydžio ir išsivystymo lygio valstybėmis, Lietuvos vietinės kilmės prekių eksporto apimtys yra mažos, o jų augimo tendencijos, nors šiuo metu ir teigiamos, nėra pakankamos </w:t>
            </w:r>
            <w:r w:rsidR="007A704D">
              <w:rPr>
                <w:rFonts w:ascii="Times New Roman" w:eastAsia="AngsanaUPC" w:hAnsi="Times New Roman"/>
                <w:bCs/>
                <w:sz w:val="24"/>
                <w:szCs w:val="24"/>
                <w:lang w:eastAsia="lt-LT"/>
              </w:rPr>
              <w:t>itin geram</w:t>
            </w:r>
            <w:r w:rsidRPr="00385835">
              <w:rPr>
                <w:rFonts w:ascii="Times New Roman" w:eastAsia="AngsanaUPC" w:hAnsi="Times New Roman"/>
                <w:bCs/>
                <w:sz w:val="24"/>
                <w:szCs w:val="24"/>
                <w:lang w:eastAsia="lt-LT"/>
              </w:rPr>
              <w:t xml:space="preserve"> rezultatui pasiekti. Daugeliu atveju Lietuvos įmonės veikia pavieniui, todėl nepavyksta pasiekti geresnių rezultatų tarptautinėje rinkoje.</w:t>
            </w:r>
            <w:r w:rsidRPr="00385835" w:rsidDel="00917D87">
              <w:rPr>
                <w:rFonts w:ascii="Times New Roman" w:eastAsia="AngsanaUPC" w:hAnsi="Times New Roman"/>
                <w:bCs/>
                <w:sz w:val="24"/>
                <w:szCs w:val="24"/>
                <w:lang w:eastAsia="lt-LT"/>
              </w:rPr>
              <w:t xml:space="preserve"> </w:t>
            </w:r>
            <w:r w:rsidRPr="00385835">
              <w:rPr>
                <w:rFonts w:ascii="Times New Roman" w:eastAsia="AngsanaUPC" w:hAnsi="Times New Roman"/>
                <w:bCs/>
                <w:sz w:val="24"/>
                <w:szCs w:val="24"/>
                <w:lang w:eastAsia="lt-LT"/>
              </w:rPr>
              <w:t xml:space="preserve">Maža to, dabartinė šalies ūkio ir pramonės struktūra yra itin jautri neišvengiamai kylančioms žaliavų, darbo jėgos ir kuro kainoms, </w:t>
            </w:r>
            <w:proofErr w:type="gramStart"/>
            <w:r w:rsidRPr="00385835">
              <w:rPr>
                <w:rFonts w:ascii="Times New Roman" w:eastAsia="AngsanaUPC" w:hAnsi="Times New Roman"/>
                <w:bCs/>
                <w:sz w:val="24"/>
                <w:szCs w:val="24"/>
                <w:lang w:eastAsia="lt-LT"/>
              </w:rPr>
              <w:t>tuo tarpu</w:t>
            </w:r>
            <w:proofErr w:type="gramEnd"/>
            <w:r w:rsidRPr="00385835">
              <w:rPr>
                <w:rFonts w:ascii="Times New Roman" w:eastAsia="AngsanaUPC" w:hAnsi="Times New Roman"/>
                <w:bCs/>
                <w:sz w:val="24"/>
                <w:szCs w:val="24"/>
                <w:lang w:eastAsia="lt-LT"/>
              </w:rPr>
              <w:t xml:space="preserve"> žinioms imlių produktų eksportas tebėra labai nedidelis. Tai rodo, kad nepaisant pastaruoju metu pastebimo </w:t>
            </w:r>
            <w:proofErr w:type="gramStart"/>
            <w:r w:rsidRPr="00385835">
              <w:rPr>
                <w:rFonts w:ascii="Times New Roman" w:eastAsia="AngsanaUPC" w:hAnsi="Times New Roman"/>
                <w:bCs/>
                <w:sz w:val="24"/>
                <w:szCs w:val="24"/>
                <w:lang w:eastAsia="lt-LT"/>
              </w:rPr>
              <w:t>pardavimų</w:t>
            </w:r>
            <w:proofErr w:type="gramEnd"/>
            <w:r w:rsidRPr="00385835">
              <w:rPr>
                <w:rFonts w:ascii="Times New Roman" w:eastAsia="AngsanaUPC" w:hAnsi="Times New Roman"/>
                <w:bCs/>
                <w:sz w:val="24"/>
                <w:szCs w:val="24"/>
                <w:lang w:eastAsia="lt-LT"/>
              </w:rPr>
              <w:t xml:space="preserve"> augimo, esant labai ribotai vidaus rinkai, Lietuvos </w:t>
            </w:r>
            <w:r w:rsidRPr="00385835">
              <w:rPr>
                <w:rFonts w:ascii="Times New Roman" w:eastAsia="AngsanaUPC" w:hAnsi="Times New Roman"/>
                <w:bCs/>
                <w:iCs/>
                <w:sz w:val="24"/>
                <w:szCs w:val="24"/>
                <w:lang w:eastAsia="lt-LT"/>
              </w:rPr>
              <w:t>MVĮ išlieka pažeidžiamos vidutinėje ir ilgalaikėje perspektyvoje, todėl greta kitų priemonių, skatinančių įmones kurti naujus ar tobulinti esamus produktus, didinti produktyvumą, būtina imtis priemonių, skatinančių įmones</w:t>
            </w:r>
            <w:r w:rsidR="007A704D">
              <w:rPr>
                <w:rFonts w:ascii="Times New Roman" w:eastAsia="AngsanaUPC" w:hAnsi="Times New Roman"/>
                <w:bCs/>
                <w:iCs/>
                <w:sz w:val="24"/>
                <w:szCs w:val="24"/>
                <w:lang w:eastAsia="lt-LT"/>
              </w:rPr>
              <w:t>,</w:t>
            </w:r>
            <w:r w:rsidRPr="00385835">
              <w:rPr>
                <w:rFonts w:ascii="Times New Roman" w:eastAsia="AngsanaUPC" w:hAnsi="Times New Roman"/>
                <w:bCs/>
                <w:iCs/>
                <w:sz w:val="24"/>
                <w:szCs w:val="24"/>
                <w:lang w:eastAsia="lt-LT"/>
              </w:rPr>
              <w:t xml:space="preserve"> kuo daugiau dėmesio skirti užsienio rinkų įsisavinimui ir plėtrai bei įsitraukimui į tarptautines tinklų grandines. Siekiant efektyviau įgyvendinti šį uždavinį, kur tinkama, numatoma bendradarbiauti su kitomis regiono šalimis įgyvendinant ES BJRS, kurios įgyvendinimu taip pat siekiama paskatinti MVĮ tarptautiškumą ir kartu konkurencingumą regione.</w:t>
            </w:r>
          </w:p>
          <w:p w:rsidR="00385835" w:rsidRPr="00385835" w:rsidRDefault="00385835" w:rsidP="00385835">
            <w:pPr>
              <w:widowControl w:val="0"/>
              <w:tabs>
                <w:tab w:val="left" w:pos="622"/>
              </w:tabs>
              <w:spacing w:after="0" w:line="240" w:lineRule="auto"/>
              <w:ind w:firstLine="624"/>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 xml:space="preserve">2014–2020 m. programavimo laikotarpiu įgyvendinus šį uždavinį tikimąsi, kad MVĮ bus suteiktos didesnės galimybės plačiau išnaudoti tarptautines nišas, jungtis į tarptautinius tinklus ieškant partnerių, pristatant savo produktus ir paslaugas užsienyje, tokiu būdu </w:t>
            </w:r>
            <w:r w:rsidR="00FD6C74">
              <w:rPr>
                <w:rFonts w:ascii="Times New Roman" w:eastAsia="AngsanaUPC" w:hAnsi="Times New Roman"/>
                <w:bCs/>
                <w:sz w:val="24"/>
                <w:szCs w:val="24"/>
                <w:lang w:eastAsia="lt-LT"/>
              </w:rPr>
              <w:t xml:space="preserve">įmonės </w:t>
            </w:r>
            <w:r w:rsidRPr="00385835">
              <w:rPr>
                <w:rFonts w:ascii="Times New Roman" w:eastAsia="AngsanaUPC" w:hAnsi="Times New Roman"/>
                <w:bCs/>
                <w:sz w:val="24"/>
                <w:szCs w:val="24"/>
                <w:lang w:eastAsia="lt-LT"/>
              </w:rPr>
              <w:t>bus geriau pasirengusios eksportuoti savo gaminamą produkciją užsienio rinkose.</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531"/>
        <w:gridCol w:w="2114"/>
        <w:gridCol w:w="1006"/>
        <w:gridCol w:w="1006"/>
        <w:gridCol w:w="826"/>
        <w:gridCol w:w="897"/>
        <w:gridCol w:w="873"/>
        <w:gridCol w:w="1256"/>
        <w:gridCol w:w="1237"/>
      </w:tblGrid>
      <w:tr w:rsidR="00385835" w:rsidRPr="00385835" w:rsidTr="00385835">
        <w:tc>
          <w:tcPr>
            <w:tcW w:w="9746" w:type="dxa"/>
            <w:gridSpan w:val="9"/>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i/>
                <w:iCs/>
                <w:sz w:val="24"/>
                <w:szCs w:val="24"/>
                <w:lang w:eastAsia="lt-LT"/>
              </w:rPr>
            </w:pPr>
            <w:r w:rsidRPr="00385835">
              <w:rPr>
                <w:rFonts w:ascii="Times New Roman" w:eastAsia="AngsanaUPC" w:hAnsi="Times New Roman"/>
                <w:b/>
                <w:bCs/>
                <w:i/>
                <w:iCs/>
                <w:sz w:val="24"/>
                <w:szCs w:val="24"/>
                <w:lang w:eastAsia="lt-LT"/>
              </w:rPr>
              <w:lastRenderedPageBreak/>
              <w:t xml:space="preserve">ERPF </w:t>
            </w:r>
            <w:r w:rsidR="00DA04FC">
              <w:rPr>
                <w:rFonts w:ascii="Times New Roman" w:eastAsia="AngsanaUPC" w:hAnsi="Times New Roman"/>
                <w:b/>
                <w:bCs/>
                <w:i/>
                <w:iCs/>
                <w:sz w:val="24"/>
                <w:szCs w:val="24"/>
                <w:lang w:eastAsia="lt-LT"/>
              </w:rPr>
              <w:t>specialieji</w:t>
            </w:r>
            <w:r w:rsidR="00DA04FC" w:rsidRPr="00385835">
              <w:rPr>
                <w:rFonts w:ascii="Times New Roman" w:eastAsia="AngsanaUPC" w:hAnsi="Times New Roman"/>
                <w:b/>
                <w:bCs/>
                <w:i/>
                <w:iCs/>
                <w:sz w:val="24"/>
                <w:szCs w:val="24"/>
                <w:lang w:eastAsia="lt-LT"/>
              </w:rPr>
              <w:t xml:space="preserve"> </w:t>
            </w:r>
            <w:r w:rsidRPr="00385835">
              <w:rPr>
                <w:rFonts w:ascii="Times New Roman" w:eastAsia="AngsanaUPC" w:hAnsi="Times New Roman"/>
                <w:b/>
                <w:bCs/>
                <w:i/>
                <w:iCs/>
                <w:sz w:val="24"/>
                <w:szCs w:val="24"/>
                <w:lang w:eastAsia="lt-LT"/>
              </w:rPr>
              <w:t>programos rezultato rodikliai</w:t>
            </w:r>
          </w:p>
        </w:tc>
      </w:tr>
      <w:tr w:rsidR="00385835" w:rsidRPr="00385835" w:rsidTr="00385835">
        <w:tblPrEx>
          <w:shd w:val="clear" w:color="auto" w:fill="auto"/>
        </w:tblPrEx>
        <w:trPr>
          <w:cantSplit/>
          <w:trHeight w:val="737"/>
        </w:trPr>
        <w:tc>
          <w:tcPr>
            <w:tcW w:w="532"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Nr.</w:t>
            </w:r>
          </w:p>
        </w:tc>
        <w:tc>
          <w:tcPr>
            <w:tcW w:w="2132"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Rodiklio pavadinimas</w:t>
            </w:r>
          </w:p>
        </w:tc>
        <w:tc>
          <w:tcPr>
            <w:tcW w:w="986"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Matavimo vienetas</w:t>
            </w:r>
          </w:p>
        </w:tc>
        <w:tc>
          <w:tcPr>
            <w:tcW w:w="1006"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Regiono kategorija</w:t>
            </w:r>
          </w:p>
        </w:tc>
        <w:tc>
          <w:tcPr>
            <w:tcW w:w="826"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 reikšmė</w:t>
            </w:r>
          </w:p>
        </w:tc>
        <w:tc>
          <w:tcPr>
            <w:tcW w:w="897"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Pradinės reikšmės metai</w:t>
            </w:r>
          </w:p>
        </w:tc>
        <w:tc>
          <w:tcPr>
            <w:tcW w:w="87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Siektina reikšmė (2023)</w:t>
            </w:r>
          </w:p>
        </w:tc>
        <w:tc>
          <w:tcPr>
            <w:tcW w:w="1256"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Duomenų šaltinis</w:t>
            </w:r>
          </w:p>
        </w:tc>
        <w:tc>
          <w:tcPr>
            <w:tcW w:w="1237"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Atsiskaitymo dažnumas</w:t>
            </w:r>
          </w:p>
        </w:tc>
      </w:tr>
      <w:tr w:rsidR="00385835" w:rsidRPr="00385835" w:rsidTr="00385835">
        <w:tblPrEx>
          <w:shd w:val="clear" w:color="auto" w:fill="auto"/>
        </w:tblPrEx>
        <w:tc>
          <w:tcPr>
            <w:tcW w:w="532"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w:t>
            </w:r>
          </w:p>
        </w:tc>
        <w:tc>
          <w:tcPr>
            <w:tcW w:w="2132" w:type="dxa"/>
            <w:shd w:val="clear" w:color="auto" w:fill="auto"/>
            <w:vAlign w:val="center"/>
          </w:tcPr>
          <w:p w:rsidR="00385835" w:rsidRPr="00385835" w:rsidRDefault="00385835" w:rsidP="00385835">
            <w:pPr>
              <w:widowControl w:val="0"/>
              <w:tabs>
                <w:tab w:val="left" w:pos="622"/>
              </w:tabs>
              <w:spacing w:after="0" w:line="240" w:lineRule="auto"/>
              <w:rPr>
                <w:sz w:val="18"/>
                <w:szCs w:val="18"/>
              </w:rPr>
            </w:pPr>
            <w:r w:rsidRPr="00385835">
              <w:rPr>
                <w:rFonts w:ascii="Times New Roman" w:eastAsia="AngsanaUPC" w:hAnsi="Times New Roman"/>
                <w:bCs/>
                <w:sz w:val="18"/>
                <w:szCs w:val="18"/>
                <w:lang w:eastAsia="lt-LT"/>
              </w:rPr>
              <w:t>MVĮ lietuviškos kilmės prekių eksporto dalis nuo BVP</w:t>
            </w:r>
          </w:p>
        </w:tc>
        <w:tc>
          <w:tcPr>
            <w:tcW w:w="986"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18"/>
                <w:szCs w:val="18"/>
                <w:lang w:eastAsia="lt-LT"/>
              </w:rPr>
            </w:pPr>
            <w:r w:rsidRPr="00385835">
              <w:rPr>
                <w:rFonts w:ascii="Times New Roman" w:eastAsia="AngsanaUPC" w:hAnsi="Times New Roman"/>
                <w:bCs/>
                <w:sz w:val="18"/>
                <w:szCs w:val="18"/>
                <w:lang w:eastAsia="lt-LT"/>
              </w:rPr>
              <w:t>Proc.</w:t>
            </w:r>
          </w:p>
        </w:tc>
        <w:tc>
          <w:tcPr>
            <w:tcW w:w="1006"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18"/>
                <w:szCs w:val="18"/>
                <w:lang w:eastAsia="lt-LT"/>
              </w:rPr>
            </w:pPr>
            <w:r w:rsidRPr="00385835">
              <w:rPr>
                <w:rFonts w:ascii="Times New Roman" w:eastAsia="AngsanaUPC" w:hAnsi="Times New Roman"/>
                <w:bCs/>
                <w:sz w:val="18"/>
                <w:szCs w:val="18"/>
                <w:lang w:eastAsia="lt-LT"/>
              </w:rPr>
              <w:t>Mažiau išsivystęs</w:t>
            </w:r>
          </w:p>
        </w:tc>
        <w:tc>
          <w:tcPr>
            <w:tcW w:w="826"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hAnsi="Times New Roman"/>
                <w:bCs/>
                <w:sz w:val="18"/>
                <w:szCs w:val="18"/>
              </w:rPr>
              <w:t>16,3</w:t>
            </w:r>
          </w:p>
        </w:tc>
        <w:tc>
          <w:tcPr>
            <w:tcW w:w="89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2013</w:t>
            </w:r>
          </w:p>
        </w:tc>
        <w:tc>
          <w:tcPr>
            <w:tcW w:w="87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18,1</w:t>
            </w:r>
          </w:p>
        </w:tc>
        <w:tc>
          <w:tcPr>
            <w:tcW w:w="1256"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Lietuvos statistikos departamentas</w:t>
            </w:r>
          </w:p>
        </w:tc>
        <w:tc>
          <w:tcPr>
            <w:tcW w:w="123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i/>
          <w:i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746"/>
      </w:tblGrid>
      <w:tr w:rsidR="00385835" w:rsidRPr="00385835" w:rsidTr="00385835">
        <w:tc>
          <w:tcPr>
            <w:tcW w:w="9746"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i/>
                <w:iCs/>
                <w:sz w:val="24"/>
                <w:szCs w:val="24"/>
                <w:lang w:eastAsia="lt-LT"/>
              </w:rPr>
            </w:pPr>
            <w:r w:rsidRPr="00385835">
              <w:rPr>
                <w:rFonts w:ascii="Times New Roman" w:eastAsia="AngsanaUPC" w:hAnsi="Times New Roman"/>
                <w:b/>
                <w:bCs/>
                <w:i/>
                <w:iCs/>
                <w:sz w:val="24"/>
                <w:szCs w:val="24"/>
                <w:lang w:eastAsia="lt-LT"/>
              </w:rPr>
              <w:t>3.2 Investicinio prioriteto įgyvendinimo veiklos</w:t>
            </w:r>
          </w:p>
        </w:tc>
      </w:tr>
      <w:tr w:rsidR="00385835" w:rsidRPr="00385835" w:rsidTr="00C652C2">
        <w:tblPrEx>
          <w:shd w:val="clear" w:color="auto" w:fill="auto"/>
        </w:tblPrEx>
        <w:trPr>
          <w:trHeight w:val="4562"/>
        </w:trPr>
        <w:tc>
          <w:tcPr>
            <w:tcW w:w="9746" w:type="dxa"/>
            <w:shd w:val="clear" w:color="auto" w:fill="auto"/>
          </w:tcPr>
          <w:p w:rsidR="00385835" w:rsidRPr="00467020" w:rsidRDefault="00385835" w:rsidP="00650E41">
            <w:pPr>
              <w:widowControl w:val="0"/>
              <w:numPr>
                <w:ilvl w:val="0"/>
                <w:numId w:val="16"/>
              </w:numPr>
              <w:tabs>
                <w:tab w:val="left" w:pos="34"/>
                <w:tab w:val="left" w:pos="459"/>
                <w:tab w:val="left" w:pos="601"/>
              </w:tabs>
              <w:spacing w:after="0" w:line="240" w:lineRule="auto"/>
              <w:ind w:left="34" w:firstLine="0"/>
              <w:jc w:val="both"/>
              <w:rPr>
                <w:rFonts w:ascii="Times New Roman" w:eastAsia="AngsanaUPC" w:hAnsi="Times New Roman"/>
                <w:bCs/>
                <w:iCs/>
                <w:sz w:val="24"/>
                <w:szCs w:val="24"/>
                <w:lang w:eastAsia="lt-LT"/>
              </w:rPr>
            </w:pPr>
            <w:r w:rsidRPr="00467020">
              <w:rPr>
                <w:rFonts w:ascii="Times New Roman" w:eastAsia="AngsanaUPC" w:hAnsi="Times New Roman"/>
                <w:bCs/>
                <w:iCs/>
                <w:sz w:val="24"/>
                <w:szCs w:val="24"/>
                <w:lang w:eastAsia="lt-LT"/>
              </w:rPr>
              <w:t xml:space="preserve">Aukštos kokybės konsultacijų eksporto ir įmonių tarptautinio bendradarbiavimo skatinimo klausimais teikimas šioms tikslinėms grupėms: iki trejų metų veikiančioms MVĮ ir </w:t>
            </w:r>
            <w:r w:rsidR="00A64507" w:rsidRPr="00467020">
              <w:rPr>
                <w:rFonts w:ascii="Times New Roman" w:eastAsia="AngsanaUPC" w:hAnsi="Times New Roman"/>
                <w:bCs/>
                <w:iCs/>
                <w:sz w:val="24"/>
                <w:szCs w:val="24"/>
                <w:lang w:eastAsia="lt-LT"/>
              </w:rPr>
              <w:t>daugiau nei</w:t>
            </w:r>
            <w:r w:rsidRPr="00467020">
              <w:rPr>
                <w:rFonts w:ascii="Times New Roman" w:eastAsia="AngsanaUPC" w:hAnsi="Times New Roman"/>
                <w:bCs/>
                <w:iCs/>
                <w:sz w:val="24"/>
                <w:szCs w:val="24"/>
                <w:lang w:eastAsia="lt-LT"/>
              </w:rPr>
              <w:t xml:space="preserve"> trejų metų veikiančioms MVĮ. Specializuotas konsultacines paslaugas numatoma teikti pasinaudojant </w:t>
            </w:r>
            <w:r w:rsidR="00C652C2" w:rsidRPr="00467020">
              <w:rPr>
                <w:rFonts w:ascii="Times New Roman" w:eastAsia="AngsanaUPC" w:hAnsi="Times New Roman"/>
                <w:bCs/>
                <w:iCs/>
                <w:sz w:val="24"/>
                <w:szCs w:val="24"/>
                <w:lang w:eastAsia="lt-LT"/>
              </w:rPr>
              <w:t xml:space="preserve">Verslo konsultantų tinklo </w:t>
            </w:r>
            <w:r w:rsidRPr="00467020">
              <w:rPr>
                <w:rFonts w:ascii="Times New Roman" w:eastAsia="AngsanaUPC" w:hAnsi="Times New Roman"/>
                <w:bCs/>
                <w:iCs/>
                <w:sz w:val="24"/>
                <w:szCs w:val="24"/>
                <w:lang w:eastAsia="lt-LT"/>
              </w:rPr>
              <w:t>paslaugomis.</w:t>
            </w:r>
          </w:p>
          <w:p w:rsidR="00385835" w:rsidRPr="00385835" w:rsidRDefault="00EE2A95" w:rsidP="00650E41">
            <w:pPr>
              <w:widowControl w:val="0"/>
              <w:numPr>
                <w:ilvl w:val="0"/>
                <w:numId w:val="16"/>
              </w:numPr>
              <w:tabs>
                <w:tab w:val="left" w:pos="34"/>
                <w:tab w:val="left" w:pos="459"/>
                <w:tab w:val="left" w:pos="601"/>
              </w:tabs>
              <w:spacing w:after="0" w:line="240" w:lineRule="auto"/>
              <w:ind w:left="34" w:firstLine="0"/>
              <w:jc w:val="both"/>
              <w:rPr>
                <w:rFonts w:ascii="Times New Roman" w:eastAsia="AngsanaUPC" w:hAnsi="Times New Roman"/>
                <w:bCs/>
                <w:iCs/>
                <w:sz w:val="24"/>
                <w:szCs w:val="24"/>
                <w:lang w:eastAsia="lt-LT"/>
              </w:rPr>
            </w:pPr>
            <w:r w:rsidRPr="00D54F90">
              <w:rPr>
                <w:rFonts w:ascii="Times New Roman" w:eastAsia="AngsanaUPC" w:hAnsi="Times New Roman"/>
                <w:bCs/>
                <w:iCs/>
                <w:sz w:val="24"/>
                <w:szCs w:val="24"/>
                <w:lang w:eastAsia="lt-LT"/>
              </w:rPr>
              <w:t>Įmonių ir jų produkcijos pristatymas užsienio</w:t>
            </w:r>
            <w:r w:rsidRPr="00EE2A95">
              <w:rPr>
                <w:rFonts w:ascii="Times New Roman" w:eastAsia="AngsanaUPC" w:hAnsi="Times New Roman"/>
                <w:bCs/>
                <w:iCs/>
                <w:sz w:val="24"/>
                <w:szCs w:val="24"/>
                <w:lang w:eastAsia="lt-LT"/>
              </w:rPr>
              <w:t xml:space="preserve"> rinkose. Numatoma remti veiklas, susijusias su MVĮ ir jų produkcijos pristatymu užsienyje ir (ar) Lietuvoje vykstančiose tarptautinėse parodose, mugėse ir verslo misijose. Taip pat numatoma remti MVĮ </w:t>
            </w:r>
            <w:r w:rsidRPr="0067762F">
              <w:rPr>
                <w:rFonts w:ascii="Times New Roman" w:eastAsia="AngsanaUPC" w:hAnsi="Times New Roman"/>
                <w:bCs/>
                <w:iCs/>
                <w:sz w:val="24"/>
                <w:szCs w:val="24"/>
                <w:lang w:eastAsia="lt-LT"/>
              </w:rPr>
              <w:t>perspektyvinių sektorių tikslinėse eksporto rinkose produkcijos eksporto strategijų parengimą ir jų įgyvendinimą, įskaitant rinkų tyrimus, rinkodaros veiksmus</w:t>
            </w:r>
            <w:r w:rsidRPr="00EE2A95">
              <w:rPr>
                <w:rFonts w:ascii="Times New Roman" w:eastAsia="AngsanaUPC" w:hAnsi="Times New Roman"/>
                <w:bCs/>
                <w:iCs/>
                <w:sz w:val="24"/>
                <w:szCs w:val="24"/>
                <w:lang w:eastAsia="lt-LT"/>
              </w:rPr>
              <w:t>, kas didins Lietuvos įmonių tarptautinį konkurencingumą</w:t>
            </w:r>
            <w:r w:rsidR="00385835" w:rsidRPr="00385835">
              <w:rPr>
                <w:rFonts w:ascii="Times New Roman" w:eastAsia="AngsanaUPC" w:hAnsi="Times New Roman"/>
                <w:bCs/>
                <w:iCs/>
                <w:sz w:val="24"/>
                <w:szCs w:val="24"/>
                <w:lang w:eastAsia="lt-LT"/>
              </w:rPr>
              <w:t>.</w:t>
            </w:r>
          </w:p>
          <w:p w:rsidR="00385835" w:rsidRPr="00385835" w:rsidRDefault="00385835" w:rsidP="00650E41">
            <w:pPr>
              <w:widowControl w:val="0"/>
              <w:numPr>
                <w:ilvl w:val="0"/>
                <w:numId w:val="16"/>
              </w:numPr>
              <w:tabs>
                <w:tab w:val="left" w:pos="34"/>
                <w:tab w:val="left" w:pos="459"/>
                <w:tab w:val="left" w:pos="601"/>
              </w:tabs>
              <w:spacing w:after="0" w:line="240" w:lineRule="auto"/>
              <w:ind w:left="34"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 xml:space="preserve">Įmonių gaminių ir paslaugų sertifikavimas. Numatoma teikti finansavimą </w:t>
            </w:r>
            <w:r w:rsidR="00686FD0">
              <w:rPr>
                <w:rFonts w:ascii="Times New Roman" w:eastAsia="AngsanaUPC" w:hAnsi="Times New Roman"/>
                <w:bCs/>
                <w:iCs/>
                <w:sz w:val="24"/>
                <w:szCs w:val="24"/>
                <w:lang w:eastAsia="lt-LT"/>
              </w:rPr>
              <w:t xml:space="preserve">planuojamų eksportuoti produktų </w:t>
            </w:r>
            <w:r w:rsidRPr="00385835">
              <w:rPr>
                <w:rFonts w:ascii="Times New Roman" w:eastAsia="AngsanaUPC" w:hAnsi="Times New Roman"/>
                <w:bCs/>
                <w:iCs/>
                <w:sz w:val="24"/>
                <w:szCs w:val="24"/>
                <w:lang w:eastAsia="lt-LT"/>
              </w:rPr>
              <w:t>sertifikavimo paslaugoms įsigyti.</w:t>
            </w:r>
          </w:p>
          <w:p w:rsidR="00385835" w:rsidRPr="00385835" w:rsidRDefault="00385835" w:rsidP="00812737">
            <w:pPr>
              <w:widowControl w:val="0"/>
              <w:numPr>
                <w:ilvl w:val="0"/>
                <w:numId w:val="16"/>
              </w:numPr>
              <w:tabs>
                <w:tab w:val="left" w:pos="34"/>
                <w:tab w:val="left" w:pos="459"/>
                <w:tab w:val="left" w:pos="601"/>
              </w:tabs>
              <w:spacing w:after="0" w:line="240" w:lineRule="auto"/>
              <w:ind w:left="34"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MVĮ tinklo, siekiant įsitraukti į tarptautines tinklų grandines, kūrimo skatinimas. Numatoma remti įmonių grupių (klasterių) sinergija paremtas veiklas, nukreiptas į naujų eksporto rinkų paiešką, konsultacines, įskaitant ekspertines, paslaugas, narystės tarptautiniuose tinkluose (platformose) mokestį, rinkodaros priemonių, skirtų įsiliejimui į tarptautinius tinklus, rengimą ir kt.</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566"/>
        <w:gridCol w:w="2553"/>
        <w:gridCol w:w="1134"/>
        <w:gridCol w:w="850"/>
        <w:gridCol w:w="1134"/>
        <w:gridCol w:w="1134"/>
        <w:gridCol w:w="1134"/>
        <w:gridCol w:w="1241"/>
      </w:tblGrid>
      <w:tr w:rsidR="00385835" w:rsidRPr="00385835" w:rsidTr="003E71A2">
        <w:trPr>
          <w:tblHeader/>
        </w:trPr>
        <w:tc>
          <w:tcPr>
            <w:tcW w:w="9746" w:type="dxa"/>
            <w:gridSpan w:val="8"/>
            <w:shd w:val="clear" w:color="auto" w:fill="EEECE1"/>
          </w:tcPr>
          <w:p w:rsidR="00385835" w:rsidRPr="00385835" w:rsidRDefault="00385835" w:rsidP="00DA04FC">
            <w:pPr>
              <w:widowControl w:val="0"/>
              <w:tabs>
                <w:tab w:val="left" w:pos="622"/>
              </w:tabs>
              <w:spacing w:after="0" w:line="240" w:lineRule="auto"/>
              <w:jc w:val="both"/>
              <w:rPr>
                <w:rFonts w:ascii="Times New Roman" w:eastAsia="AngsanaUPC" w:hAnsi="Times New Roman"/>
                <w:b/>
                <w:bCs/>
                <w:i/>
                <w:iCs/>
                <w:sz w:val="24"/>
                <w:szCs w:val="24"/>
                <w:lang w:eastAsia="lt-LT"/>
              </w:rPr>
            </w:pPr>
            <w:r w:rsidRPr="00385835">
              <w:rPr>
                <w:rFonts w:ascii="Times New Roman" w:eastAsia="AngsanaUPC" w:hAnsi="Times New Roman"/>
                <w:b/>
                <w:bCs/>
                <w:i/>
                <w:iCs/>
                <w:sz w:val="24"/>
                <w:szCs w:val="24"/>
                <w:lang w:eastAsia="lt-LT"/>
              </w:rPr>
              <w:t xml:space="preserve">ERPF bendrieji ir </w:t>
            </w:r>
            <w:r w:rsidR="00DA04FC">
              <w:rPr>
                <w:rFonts w:ascii="Times New Roman" w:eastAsia="AngsanaUPC" w:hAnsi="Times New Roman"/>
                <w:b/>
                <w:bCs/>
                <w:i/>
                <w:iCs/>
                <w:sz w:val="24"/>
                <w:szCs w:val="24"/>
                <w:lang w:eastAsia="lt-LT"/>
              </w:rPr>
              <w:t>specialieji</w:t>
            </w:r>
            <w:r w:rsidR="00DA04FC" w:rsidRPr="00385835">
              <w:rPr>
                <w:rFonts w:ascii="Times New Roman" w:eastAsia="AngsanaUPC" w:hAnsi="Times New Roman"/>
                <w:b/>
                <w:bCs/>
                <w:i/>
                <w:iCs/>
                <w:sz w:val="24"/>
                <w:szCs w:val="24"/>
                <w:lang w:eastAsia="lt-LT"/>
              </w:rPr>
              <w:t xml:space="preserve"> </w:t>
            </w:r>
            <w:r w:rsidRPr="00385835">
              <w:rPr>
                <w:rFonts w:ascii="Times New Roman" w:eastAsia="AngsanaUPC" w:hAnsi="Times New Roman"/>
                <w:b/>
                <w:bCs/>
                <w:i/>
                <w:iCs/>
                <w:sz w:val="24"/>
                <w:szCs w:val="24"/>
                <w:lang w:eastAsia="lt-LT"/>
              </w:rPr>
              <w:t xml:space="preserve">programos produkto rodikliai </w:t>
            </w:r>
          </w:p>
        </w:tc>
      </w:tr>
      <w:tr w:rsidR="00385835" w:rsidRPr="00385835" w:rsidTr="003E71A2">
        <w:tblPrEx>
          <w:shd w:val="clear" w:color="auto" w:fill="auto"/>
        </w:tblPrEx>
        <w:trPr>
          <w:tblHeader/>
        </w:trPr>
        <w:tc>
          <w:tcPr>
            <w:tcW w:w="566"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Nr.</w:t>
            </w:r>
          </w:p>
        </w:tc>
        <w:tc>
          <w:tcPr>
            <w:tcW w:w="2553"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Rodiklio pavadinimas</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Matavimo vienetas</w:t>
            </w:r>
          </w:p>
        </w:tc>
        <w:tc>
          <w:tcPr>
            <w:tcW w:w="850"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Fondas</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Regiono kategorija</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Siektina reikšmė (2023)</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Duomenų šaltinis</w:t>
            </w:r>
          </w:p>
        </w:tc>
        <w:tc>
          <w:tcPr>
            <w:tcW w:w="124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Atsiskaitymo dažnumas</w:t>
            </w:r>
          </w:p>
        </w:tc>
      </w:tr>
      <w:tr w:rsidR="00385835" w:rsidRPr="00385835" w:rsidTr="00385835">
        <w:tblPrEx>
          <w:shd w:val="clear" w:color="auto" w:fill="auto"/>
        </w:tblPrEx>
        <w:tc>
          <w:tcPr>
            <w:tcW w:w="566" w:type="dxa"/>
            <w:shd w:val="clear" w:color="auto" w:fill="auto"/>
            <w:vAlign w:val="center"/>
          </w:tcPr>
          <w:p w:rsidR="00385835" w:rsidRPr="00467020"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467020">
              <w:rPr>
                <w:rFonts w:ascii="Times New Roman" w:eastAsia="AngsanaUPC" w:hAnsi="Times New Roman"/>
                <w:bCs/>
                <w:iCs/>
                <w:sz w:val="18"/>
                <w:szCs w:val="18"/>
                <w:lang w:eastAsia="lt-LT"/>
              </w:rPr>
              <w:t>1.</w:t>
            </w:r>
          </w:p>
        </w:tc>
        <w:tc>
          <w:tcPr>
            <w:tcW w:w="2553" w:type="dxa"/>
            <w:shd w:val="clear" w:color="auto" w:fill="auto"/>
            <w:vAlign w:val="center"/>
          </w:tcPr>
          <w:p w:rsidR="00385835" w:rsidRPr="00467020" w:rsidRDefault="00385835" w:rsidP="00385835">
            <w:pPr>
              <w:widowControl w:val="0"/>
              <w:tabs>
                <w:tab w:val="left" w:pos="622"/>
              </w:tabs>
              <w:spacing w:after="0" w:line="240" w:lineRule="auto"/>
              <w:rPr>
                <w:rFonts w:ascii="Times New Roman" w:eastAsia="AngsanaUPC" w:hAnsi="Times New Roman"/>
                <w:bCs/>
                <w:iCs/>
                <w:sz w:val="18"/>
                <w:szCs w:val="18"/>
                <w:lang w:eastAsia="lt-LT"/>
              </w:rPr>
            </w:pPr>
            <w:r w:rsidRPr="00467020">
              <w:rPr>
                <w:rFonts w:ascii="Times New Roman" w:eastAsia="AngsanaUPC" w:hAnsi="Times New Roman"/>
                <w:bCs/>
                <w:iCs/>
                <w:sz w:val="18"/>
                <w:szCs w:val="18"/>
                <w:lang w:eastAsia="lt-LT"/>
              </w:rPr>
              <w:t xml:space="preserve">Privačios investicijos, atitinkančios viešąją paramą įmonėms (subsidijos) </w:t>
            </w:r>
          </w:p>
        </w:tc>
        <w:tc>
          <w:tcPr>
            <w:tcW w:w="1134" w:type="dxa"/>
            <w:shd w:val="clear" w:color="auto" w:fill="auto"/>
            <w:vAlign w:val="center"/>
          </w:tcPr>
          <w:p w:rsidR="00385835" w:rsidRPr="00467020"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467020">
              <w:rPr>
                <w:rFonts w:ascii="Times New Roman" w:eastAsia="AngsanaUPC" w:hAnsi="Times New Roman"/>
                <w:bCs/>
                <w:iCs/>
                <w:sz w:val="18"/>
                <w:szCs w:val="18"/>
                <w:lang w:eastAsia="lt-LT"/>
              </w:rPr>
              <w:t>EUR</w:t>
            </w:r>
          </w:p>
        </w:tc>
        <w:tc>
          <w:tcPr>
            <w:tcW w:w="850" w:type="dxa"/>
            <w:shd w:val="clear" w:color="auto" w:fill="auto"/>
            <w:vAlign w:val="center"/>
          </w:tcPr>
          <w:p w:rsidR="00385835" w:rsidRPr="00467020"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467020">
              <w:rPr>
                <w:rFonts w:ascii="Times New Roman" w:eastAsia="AngsanaUPC" w:hAnsi="Times New Roman"/>
                <w:bCs/>
                <w:iCs/>
                <w:sz w:val="18"/>
                <w:szCs w:val="18"/>
                <w:lang w:eastAsia="lt-LT"/>
              </w:rPr>
              <w:t>ERPF</w:t>
            </w:r>
          </w:p>
        </w:tc>
        <w:tc>
          <w:tcPr>
            <w:tcW w:w="1134" w:type="dxa"/>
            <w:shd w:val="clear" w:color="auto" w:fill="auto"/>
            <w:vAlign w:val="center"/>
          </w:tcPr>
          <w:p w:rsidR="00385835" w:rsidRPr="00467020" w:rsidRDefault="00385835" w:rsidP="00385835">
            <w:pPr>
              <w:widowControl w:val="0"/>
              <w:tabs>
                <w:tab w:val="left" w:pos="622"/>
              </w:tabs>
              <w:spacing w:after="0" w:line="240" w:lineRule="auto"/>
              <w:jc w:val="center"/>
              <w:rPr>
                <w:rFonts w:ascii="Times New Roman" w:eastAsia="AngsanaUPC" w:hAnsi="Times New Roman"/>
                <w:bCs/>
                <w:sz w:val="18"/>
                <w:szCs w:val="18"/>
                <w:lang w:eastAsia="lt-LT"/>
              </w:rPr>
            </w:pPr>
            <w:r w:rsidRPr="00467020">
              <w:rPr>
                <w:rFonts w:ascii="Times New Roman" w:eastAsia="AngsanaUPC" w:hAnsi="Times New Roman"/>
                <w:bCs/>
                <w:sz w:val="18"/>
                <w:szCs w:val="18"/>
                <w:lang w:eastAsia="lt-LT"/>
              </w:rPr>
              <w:t>Mažiau išsivystęs</w:t>
            </w:r>
          </w:p>
        </w:tc>
        <w:tc>
          <w:tcPr>
            <w:tcW w:w="1134" w:type="dxa"/>
            <w:shd w:val="clear" w:color="auto" w:fill="auto"/>
            <w:vAlign w:val="center"/>
          </w:tcPr>
          <w:p w:rsidR="00385835" w:rsidRPr="00467020" w:rsidRDefault="00C652C2" w:rsidP="00D90882">
            <w:pPr>
              <w:widowControl w:val="0"/>
              <w:tabs>
                <w:tab w:val="left" w:pos="622"/>
              </w:tabs>
              <w:spacing w:after="0" w:line="240" w:lineRule="auto"/>
              <w:jc w:val="center"/>
              <w:rPr>
                <w:rFonts w:ascii="Times New Roman" w:eastAsia="AngsanaUPC" w:hAnsi="Times New Roman"/>
                <w:bCs/>
                <w:iCs/>
                <w:sz w:val="18"/>
                <w:szCs w:val="18"/>
                <w:lang w:eastAsia="lt-LT"/>
              </w:rPr>
            </w:pPr>
            <w:r w:rsidRPr="00467020">
              <w:rPr>
                <w:rFonts w:ascii="Times New Roman" w:eastAsia="AngsanaUPC" w:hAnsi="Times New Roman"/>
                <w:bCs/>
                <w:iCs/>
                <w:sz w:val="18"/>
                <w:szCs w:val="18"/>
                <w:lang w:eastAsia="lt-LT"/>
              </w:rPr>
              <w:t>35</w:t>
            </w:r>
            <w:r w:rsidR="00D90882" w:rsidRPr="00467020">
              <w:rPr>
                <w:rFonts w:ascii="Times New Roman" w:eastAsia="AngsanaUPC" w:hAnsi="Times New Roman"/>
                <w:bCs/>
                <w:iCs/>
                <w:sz w:val="18"/>
                <w:szCs w:val="18"/>
                <w:lang w:eastAsia="lt-LT"/>
              </w:rPr>
              <w:t>.</w:t>
            </w:r>
            <w:r w:rsidR="00385835" w:rsidRPr="00467020">
              <w:rPr>
                <w:rFonts w:ascii="Times New Roman" w:eastAsia="AngsanaUPC" w:hAnsi="Times New Roman"/>
                <w:bCs/>
                <w:iCs/>
                <w:sz w:val="18"/>
                <w:szCs w:val="18"/>
                <w:lang w:eastAsia="lt-LT"/>
              </w:rPr>
              <w:t>000</w:t>
            </w:r>
            <w:r w:rsidR="00D90882" w:rsidRPr="00467020">
              <w:rPr>
                <w:rFonts w:ascii="Times New Roman" w:eastAsia="AngsanaUPC" w:hAnsi="Times New Roman"/>
                <w:bCs/>
                <w:iCs/>
                <w:sz w:val="18"/>
                <w:szCs w:val="18"/>
                <w:lang w:eastAsia="lt-LT"/>
              </w:rPr>
              <w:t>.</w:t>
            </w:r>
            <w:r w:rsidR="00385835" w:rsidRPr="00467020">
              <w:rPr>
                <w:rFonts w:ascii="Times New Roman" w:eastAsia="AngsanaUPC" w:hAnsi="Times New Roman"/>
                <w:bCs/>
                <w:iCs/>
                <w:sz w:val="18"/>
                <w:szCs w:val="18"/>
                <w:lang w:eastAsia="lt-LT"/>
              </w:rPr>
              <w:t>000</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Duomenys iš projektų</w:t>
            </w:r>
          </w:p>
        </w:tc>
        <w:tc>
          <w:tcPr>
            <w:tcW w:w="124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385835" w:rsidRPr="00385835" w:rsidTr="00385835">
        <w:tblPrEx>
          <w:shd w:val="clear" w:color="auto" w:fill="auto"/>
        </w:tblPrEx>
        <w:tc>
          <w:tcPr>
            <w:tcW w:w="566" w:type="dxa"/>
            <w:shd w:val="clear" w:color="auto" w:fill="auto"/>
            <w:vAlign w:val="center"/>
          </w:tcPr>
          <w:p w:rsidR="00385835" w:rsidRPr="00467020" w:rsidRDefault="00385835" w:rsidP="00385835">
            <w:pPr>
              <w:widowControl w:val="0"/>
              <w:tabs>
                <w:tab w:val="left" w:pos="622"/>
              </w:tabs>
              <w:spacing w:after="0" w:line="240" w:lineRule="auto"/>
              <w:jc w:val="center"/>
              <w:rPr>
                <w:rFonts w:ascii="Times New Roman" w:eastAsia="AngsanaUPC" w:hAnsi="Times New Roman"/>
                <w:bCs/>
                <w:iCs/>
                <w:sz w:val="20"/>
                <w:szCs w:val="20"/>
                <w:lang w:eastAsia="lt-LT"/>
              </w:rPr>
            </w:pPr>
            <w:r w:rsidRPr="00467020">
              <w:rPr>
                <w:rFonts w:ascii="Times New Roman" w:eastAsia="AngsanaUPC" w:hAnsi="Times New Roman"/>
                <w:bCs/>
                <w:iCs/>
                <w:sz w:val="18"/>
                <w:szCs w:val="18"/>
                <w:lang w:eastAsia="lt-LT"/>
              </w:rPr>
              <w:t>2.</w:t>
            </w:r>
          </w:p>
        </w:tc>
        <w:tc>
          <w:tcPr>
            <w:tcW w:w="2553" w:type="dxa"/>
            <w:shd w:val="clear" w:color="auto" w:fill="auto"/>
            <w:vAlign w:val="center"/>
          </w:tcPr>
          <w:p w:rsidR="00385835" w:rsidRPr="00467020" w:rsidRDefault="00385835" w:rsidP="00385835">
            <w:pPr>
              <w:widowControl w:val="0"/>
              <w:tabs>
                <w:tab w:val="left" w:pos="622"/>
              </w:tabs>
              <w:spacing w:after="0" w:line="240" w:lineRule="auto"/>
              <w:rPr>
                <w:rFonts w:ascii="Times New Roman" w:eastAsia="AngsanaUPC" w:hAnsi="Times New Roman"/>
                <w:bCs/>
                <w:iCs/>
                <w:sz w:val="20"/>
                <w:szCs w:val="20"/>
                <w:lang w:eastAsia="lt-LT"/>
              </w:rPr>
            </w:pPr>
            <w:r w:rsidRPr="00467020">
              <w:rPr>
                <w:rFonts w:ascii="Times New Roman" w:eastAsia="AngsanaUPC" w:hAnsi="Times New Roman"/>
                <w:bCs/>
                <w:iCs/>
                <w:sz w:val="18"/>
                <w:szCs w:val="18"/>
                <w:lang w:eastAsia="lt-LT"/>
              </w:rPr>
              <w:t>Subsidijas gaunančių įmonių skaičius</w:t>
            </w:r>
          </w:p>
        </w:tc>
        <w:tc>
          <w:tcPr>
            <w:tcW w:w="1134" w:type="dxa"/>
            <w:shd w:val="clear" w:color="auto" w:fill="auto"/>
            <w:vAlign w:val="center"/>
          </w:tcPr>
          <w:p w:rsidR="00385835" w:rsidRPr="00467020" w:rsidRDefault="00385835" w:rsidP="00385835">
            <w:pPr>
              <w:widowControl w:val="0"/>
              <w:tabs>
                <w:tab w:val="left" w:pos="622"/>
              </w:tabs>
              <w:spacing w:after="0" w:line="240" w:lineRule="auto"/>
              <w:jc w:val="center"/>
              <w:rPr>
                <w:rFonts w:ascii="Times New Roman" w:eastAsia="AngsanaUPC" w:hAnsi="Times New Roman"/>
                <w:bCs/>
                <w:iCs/>
                <w:sz w:val="20"/>
                <w:szCs w:val="20"/>
                <w:lang w:eastAsia="lt-LT"/>
              </w:rPr>
            </w:pPr>
            <w:r w:rsidRPr="00467020">
              <w:rPr>
                <w:rFonts w:ascii="Times New Roman" w:eastAsia="AngsanaUPC" w:hAnsi="Times New Roman"/>
                <w:bCs/>
                <w:iCs/>
                <w:sz w:val="18"/>
                <w:szCs w:val="18"/>
                <w:lang w:eastAsia="lt-LT"/>
              </w:rPr>
              <w:t>Įmonės</w:t>
            </w:r>
          </w:p>
        </w:tc>
        <w:tc>
          <w:tcPr>
            <w:tcW w:w="850" w:type="dxa"/>
            <w:shd w:val="clear" w:color="auto" w:fill="auto"/>
            <w:vAlign w:val="center"/>
          </w:tcPr>
          <w:p w:rsidR="00385835" w:rsidRPr="00467020" w:rsidRDefault="00385835" w:rsidP="00385835">
            <w:pPr>
              <w:widowControl w:val="0"/>
              <w:tabs>
                <w:tab w:val="left" w:pos="622"/>
              </w:tabs>
              <w:spacing w:after="0" w:line="240" w:lineRule="auto"/>
              <w:jc w:val="center"/>
              <w:rPr>
                <w:rFonts w:ascii="Times New Roman" w:eastAsia="AngsanaUPC" w:hAnsi="Times New Roman"/>
                <w:bCs/>
                <w:iCs/>
                <w:sz w:val="20"/>
                <w:szCs w:val="20"/>
                <w:lang w:eastAsia="lt-LT"/>
              </w:rPr>
            </w:pPr>
            <w:r w:rsidRPr="00467020">
              <w:rPr>
                <w:rFonts w:ascii="Times New Roman" w:eastAsia="AngsanaUPC" w:hAnsi="Times New Roman"/>
                <w:bCs/>
                <w:iCs/>
                <w:sz w:val="18"/>
                <w:szCs w:val="18"/>
                <w:lang w:eastAsia="lt-LT"/>
              </w:rPr>
              <w:t>ERPF</w:t>
            </w:r>
          </w:p>
        </w:tc>
        <w:tc>
          <w:tcPr>
            <w:tcW w:w="1134" w:type="dxa"/>
            <w:shd w:val="clear" w:color="auto" w:fill="auto"/>
            <w:vAlign w:val="center"/>
          </w:tcPr>
          <w:p w:rsidR="00385835" w:rsidRPr="00467020" w:rsidRDefault="00385835" w:rsidP="00385835">
            <w:pPr>
              <w:widowControl w:val="0"/>
              <w:tabs>
                <w:tab w:val="left" w:pos="622"/>
              </w:tabs>
              <w:spacing w:after="0" w:line="240" w:lineRule="auto"/>
              <w:jc w:val="center"/>
              <w:rPr>
                <w:rFonts w:ascii="Times New Roman" w:eastAsia="AngsanaUPC" w:hAnsi="Times New Roman"/>
                <w:b/>
                <w:bCs/>
                <w:iCs/>
                <w:sz w:val="20"/>
                <w:szCs w:val="20"/>
                <w:lang w:eastAsia="lt-LT"/>
              </w:rPr>
            </w:pPr>
            <w:r w:rsidRPr="00467020">
              <w:rPr>
                <w:rFonts w:ascii="Times New Roman" w:eastAsia="AngsanaUPC" w:hAnsi="Times New Roman"/>
                <w:bCs/>
                <w:sz w:val="18"/>
                <w:szCs w:val="18"/>
                <w:lang w:eastAsia="lt-LT"/>
              </w:rPr>
              <w:t>Mažiau išsivystęs</w:t>
            </w:r>
          </w:p>
        </w:tc>
        <w:tc>
          <w:tcPr>
            <w:tcW w:w="1134" w:type="dxa"/>
            <w:shd w:val="clear" w:color="auto" w:fill="auto"/>
            <w:vAlign w:val="center"/>
          </w:tcPr>
          <w:p w:rsidR="00385835" w:rsidRPr="00467020" w:rsidRDefault="00C652C2"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467020">
              <w:rPr>
                <w:rFonts w:ascii="Times New Roman" w:eastAsia="AngsanaUPC" w:hAnsi="Times New Roman"/>
                <w:bCs/>
                <w:iCs/>
                <w:sz w:val="18"/>
                <w:szCs w:val="18"/>
                <w:lang w:eastAsia="lt-LT"/>
              </w:rPr>
              <w:t>670</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Duomenys iš projektų</w:t>
            </w:r>
          </w:p>
        </w:tc>
        <w:tc>
          <w:tcPr>
            <w:tcW w:w="124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1E0FD8" w:rsidRPr="003E71A2" w:rsidTr="00385835">
        <w:tblPrEx>
          <w:shd w:val="clear" w:color="auto" w:fill="auto"/>
        </w:tblPrEx>
        <w:tc>
          <w:tcPr>
            <w:tcW w:w="566" w:type="dxa"/>
            <w:shd w:val="clear" w:color="auto" w:fill="auto"/>
            <w:vAlign w:val="center"/>
          </w:tcPr>
          <w:p w:rsidR="001E0FD8" w:rsidRPr="00467020" w:rsidRDefault="00D54F90" w:rsidP="001E0FD8">
            <w:pPr>
              <w:widowControl w:val="0"/>
              <w:tabs>
                <w:tab w:val="left" w:pos="622"/>
              </w:tabs>
              <w:spacing w:after="0" w:line="240" w:lineRule="auto"/>
              <w:jc w:val="center"/>
              <w:rPr>
                <w:rFonts w:ascii="Times New Roman" w:eastAsia="AngsanaUPC" w:hAnsi="Times New Roman"/>
                <w:bCs/>
                <w:iCs/>
                <w:sz w:val="18"/>
                <w:szCs w:val="18"/>
                <w:lang w:eastAsia="lt-LT"/>
              </w:rPr>
            </w:pPr>
            <w:r w:rsidRPr="00467020">
              <w:rPr>
                <w:rFonts w:ascii="Times New Roman" w:eastAsia="AngsanaUPC" w:hAnsi="Times New Roman"/>
                <w:bCs/>
                <w:iCs/>
                <w:sz w:val="18"/>
                <w:szCs w:val="18"/>
                <w:lang w:eastAsia="lt-LT"/>
              </w:rPr>
              <w:t>3</w:t>
            </w:r>
            <w:r w:rsidR="001E0FD8" w:rsidRPr="00467020">
              <w:rPr>
                <w:rFonts w:ascii="Times New Roman" w:eastAsia="AngsanaUPC" w:hAnsi="Times New Roman"/>
                <w:bCs/>
                <w:iCs/>
                <w:sz w:val="18"/>
                <w:szCs w:val="18"/>
                <w:lang w:eastAsia="lt-LT"/>
              </w:rPr>
              <w:t>.</w:t>
            </w:r>
          </w:p>
        </w:tc>
        <w:tc>
          <w:tcPr>
            <w:tcW w:w="2553" w:type="dxa"/>
            <w:shd w:val="clear" w:color="auto" w:fill="auto"/>
            <w:vAlign w:val="center"/>
          </w:tcPr>
          <w:p w:rsidR="001E0FD8" w:rsidRPr="00467020" w:rsidRDefault="001E0FD8" w:rsidP="001E0FD8">
            <w:pPr>
              <w:widowControl w:val="0"/>
              <w:tabs>
                <w:tab w:val="left" w:pos="622"/>
              </w:tabs>
              <w:spacing w:after="0" w:line="240" w:lineRule="auto"/>
              <w:rPr>
                <w:rFonts w:ascii="Times New Roman" w:eastAsia="AngsanaUPC" w:hAnsi="Times New Roman"/>
                <w:bCs/>
                <w:iCs/>
                <w:sz w:val="18"/>
                <w:szCs w:val="18"/>
                <w:lang w:eastAsia="lt-LT"/>
              </w:rPr>
            </w:pPr>
            <w:r w:rsidRPr="00467020">
              <w:rPr>
                <w:rFonts w:ascii="Times New Roman" w:eastAsia="Times New Roman" w:hAnsi="Times New Roman"/>
                <w:sz w:val="18"/>
                <w:szCs w:val="18"/>
              </w:rPr>
              <w:t>Investicijas gaunančių įmonių skaičius</w:t>
            </w:r>
          </w:p>
        </w:tc>
        <w:tc>
          <w:tcPr>
            <w:tcW w:w="1134" w:type="dxa"/>
            <w:shd w:val="clear" w:color="auto" w:fill="auto"/>
            <w:vAlign w:val="center"/>
          </w:tcPr>
          <w:p w:rsidR="001E0FD8" w:rsidRPr="00467020" w:rsidRDefault="001E0FD8" w:rsidP="001E0FD8">
            <w:pPr>
              <w:widowControl w:val="0"/>
              <w:tabs>
                <w:tab w:val="left" w:pos="622"/>
              </w:tabs>
              <w:spacing w:after="0" w:line="240" w:lineRule="auto"/>
              <w:jc w:val="center"/>
              <w:rPr>
                <w:rFonts w:ascii="Times New Roman" w:eastAsia="AngsanaUPC" w:hAnsi="Times New Roman"/>
                <w:bCs/>
                <w:iCs/>
                <w:sz w:val="18"/>
                <w:szCs w:val="18"/>
                <w:lang w:eastAsia="lt-LT"/>
              </w:rPr>
            </w:pPr>
            <w:r w:rsidRPr="00467020">
              <w:rPr>
                <w:rFonts w:ascii="Times New Roman" w:eastAsia="AngsanaUPC" w:hAnsi="Times New Roman"/>
                <w:bCs/>
                <w:iCs/>
                <w:sz w:val="18"/>
                <w:szCs w:val="18"/>
                <w:lang w:eastAsia="lt-LT"/>
              </w:rPr>
              <w:t>Įmonės</w:t>
            </w:r>
          </w:p>
        </w:tc>
        <w:tc>
          <w:tcPr>
            <w:tcW w:w="850" w:type="dxa"/>
            <w:shd w:val="clear" w:color="auto" w:fill="auto"/>
            <w:vAlign w:val="center"/>
          </w:tcPr>
          <w:p w:rsidR="001E0FD8" w:rsidRPr="00467020" w:rsidRDefault="001E0FD8" w:rsidP="001E0FD8">
            <w:pPr>
              <w:widowControl w:val="0"/>
              <w:tabs>
                <w:tab w:val="left" w:pos="622"/>
              </w:tabs>
              <w:spacing w:after="0" w:line="240" w:lineRule="auto"/>
              <w:jc w:val="center"/>
              <w:rPr>
                <w:rFonts w:ascii="Times New Roman" w:eastAsia="AngsanaUPC" w:hAnsi="Times New Roman"/>
                <w:bCs/>
                <w:iCs/>
                <w:sz w:val="18"/>
                <w:szCs w:val="18"/>
                <w:lang w:eastAsia="lt-LT"/>
              </w:rPr>
            </w:pPr>
            <w:r w:rsidRPr="00467020">
              <w:rPr>
                <w:rFonts w:ascii="Times New Roman" w:eastAsia="AngsanaUPC" w:hAnsi="Times New Roman"/>
                <w:bCs/>
                <w:iCs/>
                <w:sz w:val="18"/>
                <w:szCs w:val="18"/>
                <w:lang w:eastAsia="lt-LT"/>
              </w:rPr>
              <w:t>ERPF</w:t>
            </w:r>
          </w:p>
        </w:tc>
        <w:tc>
          <w:tcPr>
            <w:tcW w:w="1134" w:type="dxa"/>
            <w:shd w:val="clear" w:color="auto" w:fill="auto"/>
            <w:vAlign w:val="center"/>
          </w:tcPr>
          <w:p w:rsidR="001E0FD8" w:rsidRPr="00467020" w:rsidRDefault="001E0FD8" w:rsidP="001E0FD8">
            <w:pPr>
              <w:widowControl w:val="0"/>
              <w:tabs>
                <w:tab w:val="left" w:pos="622"/>
              </w:tabs>
              <w:spacing w:after="0" w:line="240" w:lineRule="auto"/>
              <w:jc w:val="center"/>
              <w:rPr>
                <w:rFonts w:ascii="Times New Roman" w:eastAsia="AngsanaUPC" w:hAnsi="Times New Roman"/>
                <w:bCs/>
                <w:sz w:val="18"/>
                <w:szCs w:val="18"/>
                <w:lang w:eastAsia="lt-LT"/>
              </w:rPr>
            </w:pPr>
            <w:r w:rsidRPr="00467020">
              <w:rPr>
                <w:rFonts w:ascii="Times New Roman" w:eastAsia="AngsanaUPC" w:hAnsi="Times New Roman"/>
                <w:bCs/>
                <w:iCs/>
                <w:sz w:val="18"/>
                <w:szCs w:val="18"/>
                <w:lang w:eastAsia="lt-LT"/>
              </w:rPr>
              <w:t>Mažiau išsivystęs</w:t>
            </w:r>
          </w:p>
        </w:tc>
        <w:tc>
          <w:tcPr>
            <w:tcW w:w="1134" w:type="dxa"/>
            <w:shd w:val="clear" w:color="auto" w:fill="auto"/>
            <w:vAlign w:val="center"/>
          </w:tcPr>
          <w:p w:rsidR="001E0FD8" w:rsidRPr="00467020" w:rsidRDefault="001E0FD8" w:rsidP="001E0FD8">
            <w:pPr>
              <w:widowControl w:val="0"/>
              <w:tabs>
                <w:tab w:val="left" w:pos="622"/>
              </w:tabs>
              <w:spacing w:after="0" w:line="240" w:lineRule="auto"/>
              <w:jc w:val="center"/>
              <w:rPr>
                <w:rFonts w:ascii="Times New Roman" w:eastAsia="Times New Roman" w:hAnsi="Times New Roman"/>
                <w:sz w:val="18"/>
                <w:szCs w:val="18"/>
              </w:rPr>
            </w:pPr>
            <w:r w:rsidRPr="00467020">
              <w:rPr>
                <w:rFonts w:ascii="Times New Roman" w:eastAsia="Times New Roman" w:hAnsi="Times New Roman"/>
                <w:sz w:val="18"/>
                <w:szCs w:val="18"/>
              </w:rPr>
              <w:t>480</w:t>
            </w:r>
          </w:p>
        </w:tc>
        <w:tc>
          <w:tcPr>
            <w:tcW w:w="1134" w:type="dxa"/>
            <w:shd w:val="clear" w:color="auto" w:fill="auto"/>
            <w:vAlign w:val="center"/>
          </w:tcPr>
          <w:p w:rsidR="001E0FD8" w:rsidRPr="003E71A2" w:rsidRDefault="001E0FD8" w:rsidP="001E0FD8">
            <w:pPr>
              <w:widowControl w:val="0"/>
              <w:tabs>
                <w:tab w:val="left" w:pos="622"/>
              </w:tabs>
              <w:spacing w:after="0" w:line="240" w:lineRule="auto"/>
              <w:jc w:val="center"/>
              <w:rPr>
                <w:rFonts w:ascii="Times New Roman" w:eastAsia="AngsanaUPC" w:hAnsi="Times New Roman"/>
                <w:bCs/>
                <w:iCs/>
                <w:sz w:val="18"/>
                <w:szCs w:val="18"/>
                <w:lang w:eastAsia="lt-LT"/>
              </w:rPr>
            </w:pPr>
            <w:r w:rsidRPr="003E71A2">
              <w:rPr>
                <w:rFonts w:ascii="Times New Roman" w:eastAsia="AngsanaUPC" w:hAnsi="Times New Roman"/>
                <w:bCs/>
                <w:iCs/>
                <w:sz w:val="18"/>
                <w:szCs w:val="18"/>
                <w:lang w:eastAsia="lt-LT"/>
              </w:rPr>
              <w:t>Duomenys iš projektų</w:t>
            </w:r>
          </w:p>
        </w:tc>
        <w:tc>
          <w:tcPr>
            <w:tcW w:w="1241" w:type="dxa"/>
            <w:shd w:val="clear" w:color="auto" w:fill="auto"/>
            <w:vAlign w:val="center"/>
          </w:tcPr>
          <w:p w:rsidR="001E0FD8" w:rsidRPr="003E71A2" w:rsidRDefault="001E0FD8" w:rsidP="001E0FD8">
            <w:pPr>
              <w:widowControl w:val="0"/>
              <w:tabs>
                <w:tab w:val="left" w:pos="622"/>
              </w:tabs>
              <w:spacing w:after="0" w:line="240" w:lineRule="auto"/>
              <w:jc w:val="center"/>
              <w:rPr>
                <w:rFonts w:ascii="Times New Roman" w:eastAsia="AngsanaUPC" w:hAnsi="Times New Roman"/>
                <w:bCs/>
                <w:iCs/>
                <w:sz w:val="18"/>
                <w:szCs w:val="18"/>
                <w:lang w:eastAsia="lt-LT"/>
              </w:rPr>
            </w:pPr>
            <w:r w:rsidRPr="003E71A2">
              <w:rPr>
                <w:rFonts w:ascii="Times New Roman" w:eastAsia="AngsanaUPC" w:hAnsi="Times New Roman"/>
                <w:bCs/>
                <w:iCs/>
                <w:sz w:val="18"/>
                <w:szCs w:val="18"/>
                <w:lang w:eastAsia="lt-LT"/>
              </w:rPr>
              <w:t>Kartą per metus</w:t>
            </w:r>
          </w:p>
        </w:tc>
      </w:tr>
    </w:tbl>
    <w:p w:rsidR="00385835" w:rsidRPr="00385835" w:rsidRDefault="00385835" w:rsidP="00385835">
      <w:pPr>
        <w:spacing w:after="0" w:line="240" w:lineRule="auto"/>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vAlign w:val="center"/>
          </w:tcPr>
          <w:p w:rsidR="00385835" w:rsidRPr="00385835" w:rsidRDefault="00385835" w:rsidP="00385835">
            <w:pPr>
              <w:widowControl w:val="0"/>
              <w:tabs>
                <w:tab w:val="left" w:pos="622"/>
              </w:tabs>
              <w:spacing w:after="0" w:line="240" w:lineRule="auto"/>
              <w:rPr>
                <w:rFonts w:ascii="Times New Roman" w:eastAsia="AngsanaUPC" w:hAnsi="Times New Roman"/>
                <w:b/>
                <w:bCs/>
                <w:iCs/>
                <w:sz w:val="24"/>
                <w:szCs w:val="24"/>
                <w:lang w:eastAsia="lt-LT"/>
              </w:rPr>
            </w:pPr>
            <w:r w:rsidRPr="00385835">
              <w:rPr>
                <w:rFonts w:ascii="Times New Roman" w:eastAsia="AngsanaUPC" w:hAnsi="Times New Roman"/>
                <w:b/>
                <w:bCs/>
                <w:iCs/>
                <w:sz w:val="24"/>
                <w:szCs w:val="24"/>
                <w:lang w:eastAsia="lt-LT"/>
              </w:rPr>
              <w:t>3.3. INVESTICINIS PRIORITETAS</w:t>
            </w:r>
          </w:p>
        </w:tc>
        <w:tc>
          <w:tcPr>
            <w:tcW w:w="7336" w:type="dxa"/>
            <w:shd w:val="clear" w:color="auto" w:fill="EEECE1"/>
          </w:tcPr>
          <w:p w:rsidR="00385835" w:rsidRPr="00385835" w:rsidRDefault="00385835" w:rsidP="00385835">
            <w:pPr>
              <w:spacing w:after="0" w:line="240" w:lineRule="auto"/>
              <w:jc w:val="both"/>
              <w:rPr>
                <w:rFonts w:ascii="Times New Roman" w:hAnsi="Times New Roman"/>
                <w:b/>
                <w:sz w:val="24"/>
                <w:szCs w:val="24"/>
              </w:rPr>
            </w:pPr>
            <w:r w:rsidRPr="00385835">
              <w:rPr>
                <w:rFonts w:ascii="Times New Roman" w:hAnsi="Times New Roman"/>
                <w:b/>
                <w:sz w:val="24"/>
                <w:szCs w:val="24"/>
              </w:rPr>
              <w:t>MVĮ gebėjimų augti regioninėse, nacionalinėse ir tarptautinėse rinkose ir inovacijų</w:t>
            </w:r>
            <w:r w:rsidRPr="00385835">
              <w:rPr>
                <w:rFonts w:ascii="Times New Roman" w:eastAsia="Times New Roman" w:hAnsi="Times New Roman"/>
                <w:sz w:val="20"/>
                <w:szCs w:val="20"/>
                <w:lang w:eastAsia="lt-LT"/>
              </w:rPr>
              <w:t xml:space="preserve"> </w:t>
            </w:r>
            <w:r w:rsidRPr="00385835">
              <w:rPr>
                <w:rFonts w:ascii="Times New Roman" w:eastAsia="Times New Roman" w:hAnsi="Times New Roman"/>
                <w:b/>
                <w:sz w:val="24"/>
                <w:szCs w:val="20"/>
                <w:lang w:eastAsia="lt-LT"/>
              </w:rPr>
              <w:t>diegimo</w:t>
            </w:r>
            <w:r w:rsidRPr="00385835">
              <w:rPr>
                <w:rFonts w:ascii="Times New Roman" w:hAnsi="Times New Roman"/>
                <w:b/>
                <w:sz w:val="32"/>
                <w:szCs w:val="24"/>
              </w:rPr>
              <w:t xml:space="preserve"> </w:t>
            </w:r>
            <w:r w:rsidR="00031EF1">
              <w:rPr>
                <w:rFonts w:ascii="Times New Roman" w:hAnsi="Times New Roman"/>
                <w:b/>
                <w:sz w:val="24"/>
                <w:szCs w:val="24"/>
              </w:rPr>
              <w:t>procesuose rėmimas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FONDAS</w:t>
            </w:r>
          </w:p>
        </w:tc>
        <w:tc>
          <w:tcPr>
            <w:tcW w:w="7336"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Europos regioninės plėtros fondas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vAlign w:val="center"/>
          </w:tcPr>
          <w:p w:rsidR="00385835" w:rsidRPr="00385835" w:rsidRDefault="00385835" w:rsidP="00385835">
            <w:pPr>
              <w:widowControl w:val="0"/>
              <w:tabs>
                <w:tab w:val="left" w:pos="622"/>
              </w:tabs>
              <w:spacing w:after="0" w:line="240" w:lineRule="auto"/>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3.3.1. KONKRETUS UŽDAVINYS</w:t>
            </w:r>
          </w:p>
        </w:tc>
        <w:tc>
          <w:tcPr>
            <w:tcW w:w="7336" w:type="dxa"/>
            <w:shd w:val="clear" w:color="auto" w:fill="EEECE1"/>
            <w:vAlign w:val="center"/>
          </w:tcPr>
          <w:p w:rsidR="00385835" w:rsidRPr="00385835" w:rsidRDefault="00385835" w:rsidP="00385835">
            <w:pPr>
              <w:spacing w:after="0" w:line="240" w:lineRule="auto"/>
              <w:jc w:val="both"/>
              <w:rPr>
                <w:rFonts w:ascii="Times New Roman" w:hAnsi="Times New Roman"/>
                <w:b/>
                <w:sz w:val="24"/>
                <w:szCs w:val="24"/>
              </w:rPr>
            </w:pPr>
            <w:r w:rsidRPr="00385835">
              <w:rPr>
                <w:rFonts w:ascii="Times New Roman" w:hAnsi="Times New Roman"/>
                <w:b/>
                <w:sz w:val="24"/>
                <w:szCs w:val="24"/>
              </w:rPr>
              <w:t>Padidinti MVĮ produktyvumą</w:t>
            </w:r>
          </w:p>
        </w:tc>
      </w:tr>
      <w:tr w:rsidR="00385835" w:rsidRPr="00385835" w:rsidTr="00385835">
        <w:tblPrEx>
          <w:shd w:val="clear" w:color="auto" w:fill="auto"/>
        </w:tblPrEx>
        <w:tc>
          <w:tcPr>
            <w:tcW w:w="9746" w:type="dxa"/>
            <w:gridSpan w:val="2"/>
            <w:shd w:val="clear" w:color="auto" w:fill="auto"/>
          </w:tcPr>
          <w:p w:rsidR="00385835" w:rsidRPr="00385835" w:rsidRDefault="00385835" w:rsidP="00385835">
            <w:pPr>
              <w:widowControl w:val="0"/>
              <w:tabs>
                <w:tab w:val="left" w:pos="622"/>
              </w:tabs>
              <w:spacing w:after="0" w:line="240" w:lineRule="auto"/>
              <w:ind w:firstLine="624"/>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 xml:space="preserve">Lietuva, remiantis statistiniais duomenimis, beveik trigubai atsilieka nuo ES-27 vidurkio pagal gamybos sąnaudomis sukuriamą pridėtinę vertę, tenkančią vienam MVĮ darbuotojui. Apdirbamosios pramonės, kuri yra svarbiausias Lietuvos ūkio sektorius, produktyvumas taip pat </w:t>
            </w:r>
            <w:r w:rsidR="008A0834">
              <w:rPr>
                <w:rFonts w:ascii="Times New Roman" w:eastAsia="AngsanaUPC" w:hAnsi="Times New Roman"/>
                <w:bCs/>
                <w:sz w:val="24"/>
                <w:szCs w:val="24"/>
                <w:lang w:eastAsia="lt-LT"/>
              </w:rPr>
              <w:t>smarkiai</w:t>
            </w:r>
            <w:r w:rsidRPr="00385835">
              <w:rPr>
                <w:rFonts w:ascii="Times New Roman" w:eastAsia="AngsanaUPC" w:hAnsi="Times New Roman"/>
                <w:bCs/>
                <w:sz w:val="24"/>
                <w:szCs w:val="24"/>
                <w:lang w:eastAsia="lt-LT"/>
              </w:rPr>
              <w:t xml:space="preserve"> atsilieka nuo ES-27 vidurkio. MVĮ darbo našumą dažnai riboja žemas jų įnovatyvumo lygis, kuris</w:t>
            </w:r>
            <w:r w:rsidR="008A0834">
              <w:rPr>
                <w:rFonts w:ascii="Times New Roman" w:eastAsia="AngsanaUPC" w:hAnsi="Times New Roman"/>
                <w:bCs/>
                <w:sz w:val="24"/>
                <w:szCs w:val="24"/>
                <w:lang w:eastAsia="lt-LT"/>
              </w:rPr>
              <w:t>,</w:t>
            </w:r>
            <w:r w:rsidRPr="00385835">
              <w:rPr>
                <w:rFonts w:ascii="Times New Roman" w:eastAsia="AngsanaUPC" w:hAnsi="Times New Roman"/>
                <w:bCs/>
                <w:sz w:val="24"/>
                <w:szCs w:val="24"/>
                <w:lang w:eastAsia="lt-LT"/>
              </w:rPr>
              <w:t xml:space="preserve"> savo ruožtu</w:t>
            </w:r>
            <w:r w:rsidR="008A0834">
              <w:rPr>
                <w:rFonts w:ascii="Times New Roman" w:eastAsia="AngsanaUPC" w:hAnsi="Times New Roman"/>
                <w:bCs/>
                <w:sz w:val="24"/>
                <w:szCs w:val="24"/>
                <w:lang w:eastAsia="lt-LT"/>
              </w:rPr>
              <w:t>,</w:t>
            </w:r>
            <w:r w:rsidRPr="00385835">
              <w:rPr>
                <w:rFonts w:ascii="Times New Roman" w:eastAsia="AngsanaUPC" w:hAnsi="Times New Roman"/>
                <w:bCs/>
                <w:sz w:val="24"/>
                <w:szCs w:val="24"/>
                <w:lang w:eastAsia="lt-LT"/>
              </w:rPr>
              <w:t xml:space="preserve"> mažina MVĮ konkurencinį pranašumą. Pagrindinis veiksnys, ribojantis MVĮ inovacinę veiklą, yra technologinių inovacijų diegimo versle ir technologinių pajėgumų tobulinimo aukšta kaina bei </w:t>
            </w:r>
            <w:r w:rsidR="008A0834">
              <w:rPr>
                <w:rFonts w:ascii="Times New Roman" w:eastAsia="AngsanaUPC" w:hAnsi="Times New Roman"/>
                <w:bCs/>
                <w:sz w:val="24"/>
                <w:szCs w:val="24"/>
                <w:lang w:eastAsia="lt-LT"/>
              </w:rPr>
              <w:t>lėšų trūkumas įmonėse, taip pat</w:t>
            </w:r>
            <w:r w:rsidRPr="00385835">
              <w:rPr>
                <w:rFonts w:ascii="Times New Roman" w:eastAsia="AngsanaUPC" w:hAnsi="Times New Roman"/>
                <w:bCs/>
                <w:sz w:val="24"/>
                <w:szCs w:val="24"/>
                <w:lang w:eastAsia="lt-LT"/>
              </w:rPr>
              <w:t xml:space="preserve"> nepakankamas įmonių organizacinių ir netechnologinių inovacijų diegimo versle aktyvumas. </w:t>
            </w:r>
          </w:p>
          <w:p w:rsidR="00385835" w:rsidRPr="00385835" w:rsidRDefault="00385835" w:rsidP="00385835">
            <w:pPr>
              <w:widowControl w:val="0"/>
              <w:tabs>
                <w:tab w:val="left" w:pos="622"/>
              </w:tabs>
              <w:spacing w:after="0" w:line="240" w:lineRule="auto"/>
              <w:ind w:firstLine="624"/>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lastRenderedPageBreak/>
              <w:t xml:space="preserve">2014–2020 m. programavimo laikotarpiu Lietuva sieks padidinti šalies MVĮ konkurencingumą, skatindama inovacijų diegimą versle, remdama investicijas į technologinių pajėgumų tobulinimą, tuo pačiu skatins MVĮ įsidiegti naujausius valdymo metodus, standartus, </w:t>
            </w:r>
            <w:r w:rsidR="0067762F" w:rsidRPr="0067762F">
              <w:rPr>
                <w:rFonts w:ascii="Times New Roman" w:eastAsia="AngsanaUPC" w:hAnsi="Times New Roman"/>
                <w:bCs/>
                <w:sz w:val="24"/>
                <w:szCs w:val="24"/>
                <w:lang w:eastAsia="lt-LT"/>
              </w:rPr>
              <w:t>savarankiškai veikiančias gamybos procesų skaitmenizavimo technologijas, kurios padės užtikrinti vertės kūrimo grandinės efektyvumą</w:t>
            </w:r>
            <w:r w:rsidRPr="00385835">
              <w:rPr>
                <w:rFonts w:ascii="Times New Roman" w:eastAsia="AngsanaUPC" w:hAnsi="Times New Roman"/>
                <w:bCs/>
                <w:sz w:val="24"/>
                <w:szCs w:val="24"/>
                <w:lang w:eastAsia="lt-LT"/>
              </w:rPr>
              <w:t>. Šios investicijos paskatins įmonių produktyvumo augimą ir suteiks joms galimybę sutaupytus laiko ir finansinius išteklius panaudoti naujų aukštesnės pridėtinės vertės produktų ir paslaugų kūrimui ar esamų tobulinimui.</w:t>
            </w:r>
          </w:p>
          <w:p w:rsidR="00385835" w:rsidRPr="00385835" w:rsidRDefault="00385835" w:rsidP="00385835">
            <w:pPr>
              <w:widowControl w:val="0"/>
              <w:tabs>
                <w:tab w:val="left" w:pos="622"/>
              </w:tabs>
              <w:spacing w:after="0" w:line="240" w:lineRule="auto"/>
              <w:ind w:firstLine="624"/>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Siekiant tradicinės pramonės transformacijos, numatoma remti svarbių pramonės inovatyvumui ir visos ekonomikos augimui technologijų – DPT – diegimą MVĮ gamybos procesuose. DPT daro įvairialypį poveikį daugeliui įvairių pramonės vertės grandinių ir sektorių. Taikant jas</w:t>
            </w:r>
            <w:r w:rsidR="00586162">
              <w:rPr>
                <w:rFonts w:ascii="Times New Roman" w:eastAsia="AngsanaUPC" w:hAnsi="Times New Roman"/>
                <w:bCs/>
                <w:sz w:val="24"/>
                <w:szCs w:val="24"/>
                <w:lang w:eastAsia="lt-LT"/>
              </w:rPr>
              <w:t>,</w:t>
            </w:r>
            <w:r w:rsidRPr="00385835">
              <w:rPr>
                <w:rFonts w:ascii="Times New Roman" w:eastAsia="AngsanaUPC" w:hAnsi="Times New Roman"/>
                <w:bCs/>
                <w:sz w:val="24"/>
                <w:szCs w:val="24"/>
                <w:lang w:eastAsia="lt-LT"/>
              </w:rPr>
              <w:t xml:space="preserve"> kuriama vertė visoje grandinėje – nuo medžiagų, įrangos ir prietaisų iki gaminių ir paslaugų. Numatoma paskatinti MVĮ pasinaudoti mokslinių tyrimų rezultatais ir plėtoti masinę pramoninę DPT technologijomis grįstų produktų gamybą ir teikimą. </w:t>
            </w:r>
          </w:p>
          <w:p w:rsidR="00385835" w:rsidRPr="00385835" w:rsidRDefault="00385835" w:rsidP="00031EF1">
            <w:pPr>
              <w:widowControl w:val="0"/>
              <w:tabs>
                <w:tab w:val="left" w:pos="622"/>
              </w:tabs>
              <w:spacing w:after="0" w:line="240" w:lineRule="auto"/>
              <w:ind w:firstLine="624"/>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Įgyvendinus šį uždavinį, tikimasi, kad išaugs Lietuvos MVĮ produktyvumas.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567"/>
        <w:gridCol w:w="1701"/>
        <w:gridCol w:w="1134"/>
        <w:gridCol w:w="1134"/>
        <w:gridCol w:w="993"/>
        <w:gridCol w:w="992"/>
        <w:gridCol w:w="992"/>
        <w:gridCol w:w="992"/>
        <w:gridCol w:w="1241"/>
      </w:tblGrid>
      <w:tr w:rsidR="00385835" w:rsidRPr="00385835" w:rsidTr="00385835">
        <w:tc>
          <w:tcPr>
            <w:tcW w:w="9746" w:type="dxa"/>
            <w:gridSpan w:val="9"/>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i/>
                <w:iCs/>
                <w:sz w:val="24"/>
                <w:szCs w:val="24"/>
                <w:lang w:eastAsia="lt-LT"/>
              </w:rPr>
            </w:pPr>
            <w:r w:rsidRPr="00385835">
              <w:rPr>
                <w:rFonts w:ascii="Times New Roman" w:eastAsia="AngsanaUPC" w:hAnsi="Times New Roman"/>
                <w:b/>
                <w:bCs/>
                <w:i/>
                <w:iCs/>
                <w:sz w:val="24"/>
                <w:szCs w:val="24"/>
                <w:lang w:eastAsia="lt-LT"/>
              </w:rPr>
              <w:t xml:space="preserve">ERPF </w:t>
            </w:r>
            <w:r w:rsidR="00DA04FC">
              <w:rPr>
                <w:rFonts w:ascii="Times New Roman" w:eastAsia="AngsanaUPC" w:hAnsi="Times New Roman"/>
                <w:b/>
                <w:bCs/>
                <w:i/>
                <w:iCs/>
                <w:sz w:val="24"/>
                <w:szCs w:val="24"/>
                <w:lang w:eastAsia="lt-LT"/>
              </w:rPr>
              <w:t>specialieji</w:t>
            </w:r>
            <w:r w:rsidR="00DA04FC" w:rsidRPr="00385835">
              <w:rPr>
                <w:rFonts w:ascii="Times New Roman" w:eastAsia="AngsanaUPC" w:hAnsi="Times New Roman"/>
                <w:b/>
                <w:bCs/>
                <w:i/>
                <w:iCs/>
                <w:sz w:val="24"/>
                <w:szCs w:val="24"/>
                <w:lang w:eastAsia="lt-LT"/>
              </w:rPr>
              <w:t xml:space="preserve"> </w:t>
            </w:r>
            <w:r w:rsidRPr="00385835">
              <w:rPr>
                <w:rFonts w:ascii="Times New Roman" w:eastAsia="AngsanaUPC" w:hAnsi="Times New Roman"/>
                <w:b/>
                <w:bCs/>
                <w:i/>
                <w:iCs/>
                <w:sz w:val="24"/>
                <w:szCs w:val="24"/>
                <w:lang w:eastAsia="lt-LT"/>
              </w:rPr>
              <w:t>programos rezultato rodikliai</w:t>
            </w:r>
          </w:p>
        </w:tc>
      </w:tr>
      <w:tr w:rsidR="00385835" w:rsidRPr="00385835" w:rsidTr="00385835">
        <w:tblPrEx>
          <w:shd w:val="clear" w:color="auto" w:fill="auto"/>
        </w:tblPrEx>
        <w:trPr>
          <w:cantSplit/>
          <w:trHeight w:val="737"/>
        </w:trPr>
        <w:tc>
          <w:tcPr>
            <w:tcW w:w="567"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Nr.</w:t>
            </w:r>
          </w:p>
        </w:tc>
        <w:tc>
          <w:tcPr>
            <w:tcW w:w="170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Rodiklio pavadinimas</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Matavimo vienetas</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Regiono kategorija</w:t>
            </w:r>
          </w:p>
        </w:tc>
        <w:tc>
          <w:tcPr>
            <w:tcW w:w="993"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 reikšmė</w:t>
            </w:r>
          </w:p>
        </w:tc>
        <w:tc>
          <w:tcPr>
            <w:tcW w:w="992"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Pradinės reikšmės metai</w:t>
            </w:r>
          </w:p>
        </w:tc>
        <w:tc>
          <w:tcPr>
            <w:tcW w:w="992"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Siektina reikšmė (2023)</w:t>
            </w:r>
          </w:p>
        </w:tc>
        <w:tc>
          <w:tcPr>
            <w:tcW w:w="992"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Duomenų šaltinis</w:t>
            </w:r>
          </w:p>
        </w:tc>
        <w:tc>
          <w:tcPr>
            <w:tcW w:w="124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Atsiskaitymo dažnumas</w:t>
            </w:r>
          </w:p>
        </w:tc>
      </w:tr>
      <w:tr w:rsidR="00385835" w:rsidRPr="00385835" w:rsidTr="00385835">
        <w:tblPrEx>
          <w:shd w:val="clear" w:color="auto" w:fill="auto"/>
        </w:tblPrEx>
        <w:tc>
          <w:tcPr>
            <w:tcW w:w="56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w:t>
            </w:r>
          </w:p>
        </w:tc>
        <w:tc>
          <w:tcPr>
            <w:tcW w:w="1701" w:type="dxa"/>
            <w:shd w:val="clear" w:color="auto" w:fill="auto"/>
            <w:vAlign w:val="center"/>
          </w:tcPr>
          <w:p w:rsidR="00385835" w:rsidRPr="00385835" w:rsidRDefault="00385835" w:rsidP="00385835">
            <w:pPr>
              <w:widowControl w:val="0"/>
              <w:tabs>
                <w:tab w:val="left" w:pos="622"/>
              </w:tabs>
              <w:spacing w:after="0" w:line="240" w:lineRule="auto"/>
              <w:rPr>
                <w:rFonts w:ascii="Times New Roman" w:eastAsia="AngsanaUPC" w:hAnsi="Times New Roman"/>
                <w:bCs/>
                <w:sz w:val="18"/>
                <w:szCs w:val="18"/>
                <w:lang w:eastAsia="lt-LT"/>
              </w:rPr>
            </w:pPr>
            <w:r w:rsidRPr="00385835">
              <w:rPr>
                <w:rFonts w:ascii="Times New Roman" w:eastAsia="AngsanaUPC" w:hAnsi="Times New Roman"/>
                <w:bCs/>
                <w:sz w:val="18"/>
                <w:szCs w:val="18"/>
                <w:lang w:eastAsia="lt-LT"/>
              </w:rPr>
              <w:t>Pridėtinė vertė gamybos sąnaudomis, sukurta MVĮ, tenkanti vienam darbuotojui*</w:t>
            </w:r>
          </w:p>
        </w:tc>
        <w:tc>
          <w:tcPr>
            <w:tcW w:w="1134" w:type="dxa"/>
            <w:shd w:val="clear" w:color="auto" w:fill="auto"/>
            <w:vAlign w:val="center"/>
          </w:tcPr>
          <w:p w:rsidR="00385835" w:rsidRPr="00385835" w:rsidDel="00457B39" w:rsidRDefault="00385835" w:rsidP="00385835">
            <w:pPr>
              <w:widowControl w:val="0"/>
              <w:tabs>
                <w:tab w:val="left" w:pos="622"/>
              </w:tabs>
              <w:spacing w:after="0" w:line="240" w:lineRule="auto"/>
              <w:jc w:val="center"/>
              <w:rPr>
                <w:rFonts w:ascii="Times New Roman" w:eastAsia="AngsanaUPC" w:hAnsi="Times New Roman"/>
                <w:bCs/>
                <w:sz w:val="18"/>
                <w:szCs w:val="18"/>
                <w:lang w:eastAsia="lt-LT"/>
              </w:rPr>
            </w:pPr>
            <w:r w:rsidRPr="00385835">
              <w:rPr>
                <w:rFonts w:ascii="Times New Roman" w:eastAsia="AngsanaUPC" w:hAnsi="Times New Roman"/>
                <w:bCs/>
                <w:sz w:val="18"/>
                <w:szCs w:val="18"/>
                <w:lang w:eastAsia="lt-LT"/>
              </w:rPr>
              <w:t>EUR per metus</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18"/>
                <w:szCs w:val="18"/>
                <w:lang w:eastAsia="lt-LT"/>
              </w:rPr>
            </w:pPr>
            <w:r w:rsidRPr="00385835">
              <w:rPr>
                <w:rFonts w:ascii="Times New Roman" w:eastAsia="AngsanaUPC" w:hAnsi="Times New Roman"/>
                <w:bCs/>
                <w:sz w:val="18"/>
                <w:szCs w:val="18"/>
                <w:lang w:eastAsia="lt-LT"/>
              </w:rPr>
              <w:t>Mažiau išsivystęs</w:t>
            </w:r>
          </w:p>
        </w:tc>
        <w:tc>
          <w:tcPr>
            <w:tcW w:w="993" w:type="dxa"/>
            <w:shd w:val="clear" w:color="auto" w:fill="auto"/>
            <w:vAlign w:val="center"/>
          </w:tcPr>
          <w:p w:rsidR="00385835" w:rsidRPr="00385835" w:rsidRDefault="00385835" w:rsidP="00FA5D33">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12</w:t>
            </w:r>
            <w:r w:rsidR="00FA5D33">
              <w:rPr>
                <w:rFonts w:ascii="Times New Roman" w:eastAsia="AngsanaUPC" w:hAnsi="Times New Roman"/>
                <w:bCs/>
                <w:iCs/>
                <w:sz w:val="18"/>
                <w:szCs w:val="18"/>
                <w:lang w:eastAsia="lt-LT"/>
              </w:rPr>
              <w:t>.</w:t>
            </w:r>
            <w:r w:rsidRPr="00385835">
              <w:rPr>
                <w:rFonts w:ascii="Times New Roman" w:eastAsia="AngsanaUPC" w:hAnsi="Times New Roman"/>
                <w:bCs/>
                <w:iCs/>
                <w:sz w:val="18"/>
                <w:szCs w:val="18"/>
                <w:lang w:eastAsia="lt-LT"/>
              </w:rPr>
              <w:t>432</w:t>
            </w:r>
          </w:p>
        </w:tc>
        <w:tc>
          <w:tcPr>
            <w:tcW w:w="992"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2011</w:t>
            </w:r>
          </w:p>
        </w:tc>
        <w:tc>
          <w:tcPr>
            <w:tcW w:w="992" w:type="dxa"/>
            <w:shd w:val="clear" w:color="auto" w:fill="auto"/>
            <w:vAlign w:val="center"/>
          </w:tcPr>
          <w:p w:rsidR="00385835" w:rsidRPr="00385835" w:rsidRDefault="00385835" w:rsidP="00D90882">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17</w:t>
            </w:r>
            <w:r w:rsidR="00D90882">
              <w:rPr>
                <w:rFonts w:ascii="Times New Roman" w:eastAsia="AngsanaUPC" w:hAnsi="Times New Roman"/>
                <w:bCs/>
                <w:iCs/>
                <w:sz w:val="18"/>
                <w:szCs w:val="18"/>
                <w:lang w:eastAsia="lt-LT"/>
              </w:rPr>
              <w:t>.</w:t>
            </w:r>
            <w:r w:rsidRPr="00385835">
              <w:rPr>
                <w:rFonts w:ascii="Times New Roman" w:eastAsia="AngsanaUPC" w:hAnsi="Times New Roman"/>
                <w:bCs/>
                <w:iCs/>
                <w:sz w:val="18"/>
                <w:szCs w:val="18"/>
                <w:lang w:eastAsia="lt-LT"/>
              </w:rPr>
              <w:t>726</w:t>
            </w:r>
          </w:p>
        </w:tc>
        <w:tc>
          <w:tcPr>
            <w:tcW w:w="992"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Eurostatas</w:t>
            </w:r>
          </w:p>
        </w:tc>
        <w:tc>
          <w:tcPr>
            <w:tcW w:w="124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i/>
          <w:iCs/>
          <w:sz w:val="16"/>
          <w:szCs w:val="16"/>
          <w:lang w:eastAsia="lt-LT"/>
        </w:rPr>
      </w:pPr>
      <w:r w:rsidRPr="00E70E83">
        <w:rPr>
          <w:rFonts w:ascii="Times New Roman" w:eastAsia="AngsanaUPC" w:hAnsi="Times New Roman"/>
          <w:b/>
          <w:bCs/>
          <w:i/>
          <w:iCs/>
          <w:sz w:val="16"/>
          <w:szCs w:val="16"/>
          <w:lang w:eastAsia="lt-LT"/>
        </w:rPr>
        <w:t xml:space="preserve">* - </w:t>
      </w:r>
      <w:r w:rsidRPr="00E70E83">
        <w:rPr>
          <w:rFonts w:ascii="Times New Roman" w:hAnsi="Times New Roman"/>
          <w:sz w:val="16"/>
          <w:szCs w:val="16"/>
        </w:rPr>
        <w:t>Visos SVV įmonės be finansų ir draudimo srities įmonių.</w:t>
      </w:r>
      <w:r w:rsidRPr="00385835">
        <w:rPr>
          <w:rFonts w:ascii="Times New Roman" w:hAnsi="Times New Roman"/>
          <w:sz w:val="16"/>
          <w:szCs w:val="16"/>
        </w:rPr>
        <w:t xml:space="preserve"> </w:t>
      </w:r>
    </w:p>
    <w:p w:rsidR="003E71A2" w:rsidRPr="00D90882" w:rsidRDefault="003E71A2" w:rsidP="00385835">
      <w:pPr>
        <w:widowControl w:val="0"/>
        <w:tabs>
          <w:tab w:val="left" w:pos="622"/>
        </w:tabs>
        <w:spacing w:after="0" w:line="240" w:lineRule="auto"/>
        <w:jc w:val="both"/>
        <w:rPr>
          <w:rFonts w:ascii="Times New Roman" w:eastAsia="AngsanaUPC" w:hAnsi="Times New Roman"/>
          <w:bCs/>
          <w:i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vAlign w:val="center"/>
          </w:tcPr>
          <w:p w:rsidR="00385835" w:rsidRPr="00385835" w:rsidRDefault="00385835" w:rsidP="00385835">
            <w:pPr>
              <w:widowControl w:val="0"/>
              <w:tabs>
                <w:tab w:val="left" w:pos="622"/>
              </w:tabs>
              <w:spacing w:after="0" w:line="240" w:lineRule="auto"/>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3.3.2. KONKRETUS UŽDAVINYS</w:t>
            </w:r>
          </w:p>
        </w:tc>
        <w:tc>
          <w:tcPr>
            <w:tcW w:w="7336" w:type="dxa"/>
            <w:shd w:val="clear" w:color="auto" w:fill="EEECE1"/>
            <w:vAlign w:val="center"/>
          </w:tcPr>
          <w:p w:rsidR="00385835" w:rsidRPr="00385835" w:rsidRDefault="00385835" w:rsidP="00471DD9">
            <w:pPr>
              <w:spacing w:after="0" w:line="240" w:lineRule="auto"/>
              <w:jc w:val="both"/>
              <w:rPr>
                <w:rFonts w:ascii="Times New Roman" w:hAnsi="Times New Roman"/>
                <w:b/>
                <w:sz w:val="24"/>
                <w:szCs w:val="24"/>
              </w:rPr>
            </w:pPr>
            <w:r w:rsidRPr="00385835">
              <w:rPr>
                <w:rFonts w:ascii="Times New Roman" w:hAnsi="Times New Roman"/>
                <w:b/>
                <w:sz w:val="24"/>
                <w:szCs w:val="24"/>
              </w:rPr>
              <w:t>Padidinti MVĮ investicijas į ekoinovacijas ir kitas efektyviai išteklius naudojančias technologijas</w:t>
            </w:r>
          </w:p>
        </w:tc>
      </w:tr>
      <w:tr w:rsidR="00385835" w:rsidRPr="00385835" w:rsidTr="00385835">
        <w:tblPrEx>
          <w:shd w:val="clear" w:color="auto" w:fill="auto"/>
        </w:tblPrEx>
        <w:tc>
          <w:tcPr>
            <w:tcW w:w="9746" w:type="dxa"/>
            <w:gridSpan w:val="2"/>
            <w:shd w:val="clear" w:color="auto" w:fill="auto"/>
          </w:tcPr>
          <w:p w:rsidR="00385835" w:rsidRPr="00385835" w:rsidRDefault="00385835" w:rsidP="00E70E83">
            <w:pPr>
              <w:widowControl w:val="0"/>
              <w:tabs>
                <w:tab w:val="left" w:pos="622"/>
              </w:tabs>
              <w:spacing w:after="0" w:line="240" w:lineRule="auto"/>
              <w:ind w:firstLine="601"/>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Remiantis statistikos duomenimis</w:t>
            </w:r>
            <w:r w:rsidR="00CA09E8">
              <w:rPr>
                <w:rFonts w:ascii="Times New Roman" w:eastAsia="AngsanaUPC" w:hAnsi="Times New Roman"/>
                <w:bCs/>
                <w:sz w:val="24"/>
                <w:szCs w:val="24"/>
                <w:lang w:eastAsia="lt-LT"/>
              </w:rPr>
              <w:t>,</w:t>
            </w:r>
            <w:r w:rsidRPr="00385835">
              <w:rPr>
                <w:rFonts w:ascii="Times New Roman" w:eastAsia="AngsanaUPC" w:hAnsi="Times New Roman"/>
                <w:bCs/>
                <w:sz w:val="24"/>
                <w:szCs w:val="24"/>
                <w:lang w:eastAsia="lt-LT"/>
              </w:rPr>
              <w:t xml:space="preserve"> Lietuva vis dar atsilieka nuo ES-27 v</w:t>
            </w:r>
            <w:r w:rsidR="00471DD9">
              <w:rPr>
                <w:rFonts w:ascii="Times New Roman" w:eastAsia="AngsanaUPC" w:hAnsi="Times New Roman"/>
                <w:bCs/>
                <w:sz w:val="24"/>
                <w:szCs w:val="24"/>
                <w:lang w:eastAsia="lt-LT"/>
              </w:rPr>
              <w:t>idurkio pagal investicijų į eko</w:t>
            </w:r>
            <w:r w:rsidRPr="00385835">
              <w:rPr>
                <w:rFonts w:ascii="Times New Roman" w:eastAsia="AngsanaUPC" w:hAnsi="Times New Roman"/>
                <w:bCs/>
                <w:sz w:val="24"/>
                <w:szCs w:val="24"/>
                <w:lang w:eastAsia="lt-LT"/>
              </w:rPr>
              <w:t>inovacijas lygį, mažai dėmesio skiria ekonominį šalies augimą lemiančiam MVĮ technologiniam, ypač į išteklių taupymą nukreiptam, proveržiui.</w:t>
            </w:r>
          </w:p>
          <w:p w:rsidR="00385835" w:rsidRPr="00385835" w:rsidRDefault="00385835" w:rsidP="00E70E83">
            <w:pPr>
              <w:widowControl w:val="0"/>
              <w:tabs>
                <w:tab w:val="left" w:pos="622"/>
              </w:tabs>
              <w:spacing w:after="0" w:line="240" w:lineRule="auto"/>
              <w:ind w:firstLine="601"/>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Išaugusios medžiagų, energijos ir kitų išteklių kainos lemia po</w:t>
            </w:r>
            <w:r w:rsidR="00471DD9">
              <w:rPr>
                <w:rFonts w:ascii="Times New Roman" w:eastAsia="AngsanaUPC" w:hAnsi="Times New Roman"/>
                <w:bCs/>
                <w:sz w:val="24"/>
                <w:szCs w:val="24"/>
                <w:lang w:eastAsia="lt-LT"/>
              </w:rPr>
              <w:t>reikį paskatinti MVĮ diegti eko</w:t>
            </w:r>
            <w:r w:rsidRPr="00385835">
              <w:rPr>
                <w:rFonts w:ascii="Times New Roman" w:eastAsia="AngsanaUPC" w:hAnsi="Times New Roman"/>
                <w:bCs/>
                <w:sz w:val="24"/>
                <w:szCs w:val="24"/>
                <w:lang w:eastAsia="lt-LT"/>
              </w:rPr>
              <w:t>inovatyvius produktus,</w:t>
            </w:r>
            <w:r w:rsidR="00471DD9">
              <w:rPr>
                <w:rFonts w:ascii="Times New Roman" w:eastAsia="AngsanaUPC" w:hAnsi="Times New Roman"/>
                <w:bCs/>
                <w:sz w:val="24"/>
                <w:szCs w:val="24"/>
                <w:lang w:eastAsia="lt-LT"/>
              </w:rPr>
              <w:t xml:space="preserve"> procesus bei organizacines eko</w:t>
            </w:r>
            <w:r w:rsidRPr="00385835">
              <w:rPr>
                <w:rFonts w:ascii="Times New Roman" w:eastAsia="AngsanaUPC" w:hAnsi="Times New Roman"/>
                <w:bCs/>
                <w:sz w:val="24"/>
                <w:szCs w:val="24"/>
                <w:lang w:eastAsia="lt-LT"/>
              </w:rPr>
              <w:t>inovacijas. Nauji ar technologiškai patobulinti produktų gamybos metodai bei paslaugų teikimo procesai, taip pat nauji verslo modeliai, naujos vadybos sistemos suteiks MVĮ konkurencinį pranašumą, mažins produkcijos sąnaudas, didins apimtis ir tokiu būdu prisidės prie šalies ekonomikos augimo.</w:t>
            </w:r>
          </w:p>
          <w:p w:rsidR="00385835" w:rsidRPr="00385835" w:rsidRDefault="00385835" w:rsidP="00E70E83">
            <w:pPr>
              <w:widowControl w:val="0"/>
              <w:tabs>
                <w:tab w:val="left" w:pos="622"/>
              </w:tabs>
              <w:spacing w:after="0" w:line="240" w:lineRule="auto"/>
              <w:ind w:firstLine="601"/>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Lietuvos įmonės, siekiant minimizuoti neigiamas klimato kaitos ir šiltnamio efekto pasekmes, bus skatinamos didinti naudojamų medžiagų ir energijos vartojimo efektyvumą, diegiant „žaliąsias“ technologijas. Tokių technologijų diegimas padidins aplinkai draugiškų medžiagų ir antrinių žaliavų pakartotinio naudojimo mastus, užtikrins nuolat atsinaujinantį (angl.</w:t>
            </w:r>
            <w:r w:rsidRPr="00385835">
              <w:rPr>
                <w:rFonts w:ascii="Times New Roman" w:eastAsia="AngsanaUPC" w:hAnsi="Times New Roman"/>
                <w:bCs/>
                <w:i/>
                <w:sz w:val="24"/>
                <w:szCs w:val="24"/>
                <w:lang w:eastAsia="lt-LT"/>
              </w:rPr>
              <w:t xml:space="preserve"> lifecycle</w:t>
            </w:r>
            <w:r w:rsidRPr="00385835">
              <w:rPr>
                <w:rFonts w:ascii="Times New Roman" w:eastAsia="AngsanaUPC" w:hAnsi="Times New Roman"/>
                <w:bCs/>
                <w:sz w:val="24"/>
                <w:szCs w:val="24"/>
                <w:lang w:eastAsia="lt-LT"/>
              </w:rPr>
              <w:t xml:space="preserve">) MVĮ produkcijos gamybos ir teikimo procesą bei sumažins neigiamą ūkinės veiklos poveikį aplinkai. </w:t>
            </w:r>
          </w:p>
          <w:p w:rsidR="00385835" w:rsidRPr="00385835" w:rsidRDefault="00385835" w:rsidP="00773048">
            <w:pPr>
              <w:widowControl w:val="0"/>
              <w:tabs>
                <w:tab w:val="left" w:pos="622"/>
              </w:tabs>
              <w:spacing w:after="0" w:line="240" w:lineRule="auto"/>
              <w:ind w:firstLine="624"/>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Įgyvendinus šį u</w:t>
            </w:r>
            <w:r w:rsidR="00471DD9">
              <w:rPr>
                <w:rFonts w:ascii="Times New Roman" w:eastAsia="AngsanaUPC" w:hAnsi="Times New Roman"/>
                <w:bCs/>
                <w:sz w:val="24"/>
                <w:szCs w:val="24"/>
                <w:lang w:eastAsia="lt-LT"/>
              </w:rPr>
              <w:t>ždavinį</w:t>
            </w:r>
            <w:r w:rsidR="00773048">
              <w:rPr>
                <w:rFonts w:ascii="Times New Roman" w:eastAsia="AngsanaUPC" w:hAnsi="Times New Roman"/>
                <w:bCs/>
                <w:sz w:val="24"/>
                <w:szCs w:val="24"/>
                <w:lang w:eastAsia="lt-LT"/>
              </w:rPr>
              <w:t>,</w:t>
            </w:r>
            <w:r w:rsidR="00471DD9">
              <w:rPr>
                <w:rFonts w:ascii="Times New Roman" w:eastAsia="AngsanaUPC" w:hAnsi="Times New Roman"/>
                <w:bCs/>
                <w:sz w:val="24"/>
                <w:szCs w:val="24"/>
                <w:lang w:eastAsia="lt-LT"/>
              </w:rPr>
              <w:t xml:space="preserve"> tikimąsi paskatinti eko</w:t>
            </w:r>
            <w:r w:rsidRPr="00385835">
              <w:rPr>
                <w:rFonts w:ascii="Times New Roman" w:eastAsia="AngsanaUPC" w:hAnsi="Times New Roman"/>
                <w:bCs/>
                <w:sz w:val="24"/>
                <w:szCs w:val="24"/>
                <w:lang w:eastAsia="lt-LT"/>
              </w:rPr>
              <w:t xml:space="preserve">inovatyvius procesus Lietuvos MVĮ. Numatytos veiklos paskatins įmones dažniau diegti efektyviai resursus ir išteklius naudojančias technologijas, kuriomis </w:t>
            </w:r>
            <w:r w:rsidR="00773048" w:rsidRPr="00385835">
              <w:rPr>
                <w:rFonts w:ascii="Times New Roman" w:eastAsia="AngsanaUPC" w:hAnsi="Times New Roman"/>
                <w:bCs/>
                <w:sz w:val="24"/>
                <w:szCs w:val="24"/>
                <w:lang w:eastAsia="lt-LT"/>
              </w:rPr>
              <w:t xml:space="preserve">apmokius darbuotojus </w:t>
            </w:r>
            <w:r w:rsidRPr="00385835">
              <w:rPr>
                <w:rFonts w:ascii="Times New Roman" w:eastAsia="AngsanaUPC" w:hAnsi="Times New Roman"/>
                <w:bCs/>
                <w:sz w:val="24"/>
                <w:szCs w:val="24"/>
                <w:lang w:eastAsia="lt-LT"/>
              </w:rPr>
              <w:t>dirbti, tikimąsi prisidėti prie „žaliųjų“ darbo vietų kūrimo Lietuvoje.</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i/>
          <w:i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532"/>
        <w:gridCol w:w="1736"/>
        <w:gridCol w:w="1008"/>
        <w:gridCol w:w="1008"/>
        <w:gridCol w:w="868"/>
        <w:gridCol w:w="944"/>
        <w:gridCol w:w="7"/>
        <w:gridCol w:w="952"/>
        <w:gridCol w:w="1442"/>
        <w:gridCol w:w="1249"/>
      </w:tblGrid>
      <w:tr w:rsidR="00385835" w:rsidRPr="00385835" w:rsidTr="00385835">
        <w:tc>
          <w:tcPr>
            <w:tcW w:w="9746" w:type="dxa"/>
            <w:gridSpan w:val="10"/>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i/>
                <w:iCs/>
                <w:sz w:val="24"/>
                <w:szCs w:val="24"/>
                <w:lang w:eastAsia="lt-LT"/>
              </w:rPr>
            </w:pPr>
            <w:r w:rsidRPr="00385835">
              <w:rPr>
                <w:rFonts w:ascii="Times New Roman" w:eastAsia="AngsanaUPC" w:hAnsi="Times New Roman"/>
                <w:b/>
                <w:bCs/>
                <w:i/>
                <w:iCs/>
                <w:sz w:val="24"/>
                <w:szCs w:val="24"/>
                <w:lang w:eastAsia="lt-LT"/>
              </w:rPr>
              <w:t xml:space="preserve">ERPF </w:t>
            </w:r>
            <w:r w:rsidR="00DA04FC">
              <w:rPr>
                <w:rFonts w:ascii="Times New Roman" w:eastAsia="AngsanaUPC" w:hAnsi="Times New Roman"/>
                <w:b/>
                <w:bCs/>
                <w:i/>
                <w:iCs/>
                <w:sz w:val="24"/>
                <w:szCs w:val="24"/>
                <w:lang w:eastAsia="lt-LT"/>
              </w:rPr>
              <w:t>specialieji</w:t>
            </w:r>
            <w:r w:rsidR="00DA04FC" w:rsidRPr="00385835">
              <w:rPr>
                <w:rFonts w:ascii="Times New Roman" w:eastAsia="AngsanaUPC" w:hAnsi="Times New Roman"/>
                <w:b/>
                <w:bCs/>
                <w:i/>
                <w:iCs/>
                <w:sz w:val="24"/>
                <w:szCs w:val="24"/>
                <w:lang w:eastAsia="lt-LT"/>
              </w:rPr>
              <w:t xml:space="preserve"> </w:t>
            </w:r>
            <w:r w:rsidRPr="00385835">
              <w:rPr>
                <w:rFonts w:ascii="Times New Roman" w:eastAsia="AngsanaUPC" w:hAnsi="Times New Roman"/>
                <w:b/>
                <w:bCs/>
                <w:i/>
                <w:iCs/>
                <w:sz w:val="24"/>
                <w:szCs w:val="24"/>
                <w:lang w:eastAsia="lt-LT"/>
              </w:rPr>
              <w:t>programos rezultato rodikliai</w:t>
            </w:r>
          </w:p>
        </w:tc>
      </w:tr>
      <w:tr w:rsidR="00E70E83" w:rsidRPr="00385835" w:rsidTr="00812737">
        <w:tblPrEx>
          <w:shd w:val="clear" w:color="auto" w:fill="auto"/>
        </w:tblPrEx>
        <w:trPr>
          <w:cantSplit/>
          <w:trHeight w:val="576"/>
        </w:trPr>
        <w:tc>
          <w:tcPr>
            <w:tcW w:w="532"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Nr.</w:t>
            </w:r>
          </w:p>
        </w:tc>
        <w:tc>
          <w:tcPr>
            <w:tcW w:w="1736"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Rodiklio pavadinimas</w:t>
            </w:r>
          </w:p>
        </w:tc>
        <w:tc>
          <w:tcPr>
            <w:tcW w:w="1008"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Matavimo vienetas</w:t>
            </w:r>
          </w:p>
        </w:tc>
        <w:tc>
          <w:tcPr>
            <w:tcW w:w="1008"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Regiono kategorija</w:t>
            </w:r>
          </w:p>
        </w:tc>
        <w:tc>
          <w:tcPr>
            <w:tcW w:w="868"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 reikšmė</w:t>
            </w:r>
          </w:p>
        </w:tc>
        <w:tc>
          <w:tcPr>
            <w:tcW w:w="951" w:type="dxa"/>
            <w:gridSpan w:val="2"/>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Pradinės reikšmės metai</w:t>
            </w:r>
          </w:p>
        </w:tc>
        <w:tc>
          <w:tcPr>
            <w:tcW w:w="952"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Siektina reikšmė (2023)</w:t>
            </w:r>
          </w:p>
        </w:tc>
        <w:tc>
          <w:tcPr>
            <w:tcW w:w="1442"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Duomenų šaltinis</w:t>
            </w:r>
          </w:p>
        </w:tc>
        <w:tc>
          <w:tcPr>
            <w:tcW w:w="1249"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Atsiskaitymo dažnumas</w:t>
            </w:r>
          </w:p>
        </w:tc>
      </w:tr>
      <w:tr w:rsidR="00E70E83" w:rsidRPr="00385835" w:rsidTr="00E70E83">
        <w:tblPrEx>
          <w:shd w:val="clear" w:color="auto" w:fill="auto"/>
        </w:tblPrEx>
        <w:tc>
          <w:tcPr>
            <w:tcW w:w="532" w:type="dxa"/>
            <w:shd w:val="clear" w:color="auto" w:fill="auto"/>
            <w:vAlign w:val="center"/>
          </w:tcPr>
          <w:p w:rsidR="00385835" w:rsidRPr="00467020"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467020">
              <w:rPr>
                <w:rFonts w:ascii="Times New Roman" w:eastAsia="AngsanaUPC" w:hAnsi="Times New Roman"/>
                <w:bCs/>
                <w:iCs/>
                <w:sz w:val="18"/>
                <w:szCs w:val="18"/>
                <w:lang w:eastAsia="lt-LT"/>
              </w:rPr>
              <w:t>1.</w:t>
            </w:r>
          </w:p>
        </w:tc>
        <w:tc>
          <w:tcPr>
            <w:tcW w:w="1736" w:type="dxa"/>
            <w:shd w:val="clear" w:color="auto" w:fill="auto"/>
            <w:vAlign w:val="center"/>
          </w:tcPr>
          <w:p w:rsidR="00385835" w:rsidRPr="00467020" w:rsidRDefault="00E70E83" w:rsidP="00471DD9">
            <w:pPr>
              <w:widowControl w:val="0"/>
              <w:tabs>
                <w:tab w:val="left" w:pos="622"/>
              </w:tabs>
              <w:spacing w:after="0" w:line="240" w:lineRule="auto"/>
              <w:rPr>
                <w:rFonts w:ascii="Times New Roman" w:eastAsia="AngsanaUPC" w:hAnsi="Times New Roman"/>
                <w:bCs/>
                <w:sz w:val="18"/>
                <w:szCs w:val="18"/>
                <w:lang w:eastAsia="lt-LT"/>
              </w:rPr>
            </w:pPr>
            <w:r w:rsidRPr="00467020">
              <w:rPr>
                <w:rFonts w:ascii="Times New Roman" w:eastAsia="AngsanaUPC" w:hAnsi="Times New Roman"/>
                <w:bCs/>
                <w:sz w:val="18"/>
                <w:szCs w:val="18"/>
                <w:lang w:eastAsia="lt-LT"/>
              </w:rPr>
              <w:t xml:space="preserve">Įmonių, diegusių </w:t>
            </w:r>
            <w:r w:rsidRPr="00467020">
              <w:rPr>
                <w:rFonts w:ascii="Times New Roman" w:eastAsia="AngsanaUPC" w:hAnsi="Times New Roman"/>
                <w:bCs/>
                <w:sz w:val="18"/>
                <w:szCs w:val="18"/>
                <w:lang w:eastAsia="lt-LT"/>
              </w:rPr>
              <w:lastRenderedPageBreak/>
              <w:t>aplinkosaugos inovacijas, dalis</w:t>
            </w:r>
          </w:p>
        </w:tc>
        <w:tc>
          <w:tcPr>
            <w:tcW w:w="1008" w:type="dxa"/>
            <w:shd w:val="clear" w:color="auto" w:fill="auto"/>
            <w:vAlign w:val="center"/>
          </w:tcPr>
          <w:p w:rsidR="00385835" w:rsidRPr="00467020" w:rsidRDefault="00385835" w:rsidP="00385835">
            <w:pPr>
              <w:widowControl w:val="0"/>
              <w:tabs>
                <w:tab w:val="left" w:pos="622"/>
              </w:tabs>
              <w:spacing w:after="0" w:line="240" w:lineRule="auto"/>
              <w:jc w:val="center"/>
              <w:rPr>
                <w:rFonts w:ascii="Times New Roman" w:eastAsia="AngsanaUPC" w:hAnsi="Times New Roman"/>
                <w:bCs/>
                <w:sz w:val="18"/>
                <w:szCs w:val="18"/>
                <w:lang w:eastAsia="lt-LT"/>
              </w:rPr>
            </w:pPr>
            <w:r w:rsidRPr="00467020">
              <w:rPr>
                <w:rFonts w:ascii="Times New Roman" w:eastAsia="AngsanaUPC" w:hAnsi="Times New Roman"/>
                <w:bCs/>
                <w:sz w:val="18"/>
                <w:szCs w:val="18"/>
                <w:lang w:eastAsia="lt-LT"/>
              </w:rPr>
              <w:lastRenderedPageBreak/>
              <w:t>Proc.</w:t>
            </w:r>
          </w:p>
        </w:tc>
        <w:tc>
          <w:tcPr>
            <w:tcW w:w="1008" w:type="dxa"/>
            <w:shd w:val="clear" w:color="auto" w:fill="auto"/>
            <w:vAlign w:val="center"/>
          </w:tcPr>
          <w:p w:rsidR="00385835" w:rsidRPr="00467020" w:rsidRDefault="00385835" w:rsidP="00385835">
            <w:pPr>
              <w:widowControl w:val="0"/>
              <w:tabs>
                <w:tab w:val="left" w:pos="622"/>
              </w:tabs>
              <w:spacing w:after="0" w:line="240" w:lineRule="auto"/>
              <w:jc w:val="center"/>
              <w:rPr>
                <w:rFonts w:ascii="Times New Roman" w:eastAsia="AngsanaUPC" w:hAnsi="Times New Roman"/>
                <w:bCs/>
                <w:sz w:val="18"/>
                <w:szCs w:val="18"/>
                <w:lang w:eastAsia="lt-LT"/>
              </w:rPr>
            </w:pPr>
            <w:r w:rsidRPr="00467020">
              <w:rPr>
                <w:rFonts w:ascii="Times New Roman" w:eastAsia="AngsanaUPC" w:hAnsi="Times New Roman"/>
                <w:bCs/>
                <w:sz w:val="18"/>
                <w:szCs w:val="18"/>
                <w:lang w:eastAsia="lt-LT"/>
              </w:rPr>
              <w:t xml:space="preserve">Mažiau </w:t>
            </w:r>
            <w:r w:rsidRPr="00467020">
              <w:rPr>
                <w:rFonts w:ascii="Times New Roman" w:eastAsia="AngsanaUPC" w:hAnsi="Times New Roman"/>
                <w:bCs/>
                <w:sz w:val="18"/>
                <w:szCs w:val="18"/>
                <w:lang w:eastAsia="lt-LT"/>
              </w:rPr>
              <w:lastRenderedPageBreak/>
              <w:t>išsivystęs</w:t>
            </w:r>
          </w:p>
        </w:tc>
        <w:tc>
          <w:tcPr>
            <w:tcW w:w="868" w:type="dxa"/>
            <w:shd w:val="clear" w:color="auto" w:fill="auto"/>
            <w:vAlign w:val="center"/>
          </w:tcPr>
          <w:p w:rsidR="00385835" w:rsidRPr="00467020" w:rsidRDefault="00E70E83"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467020">
              <w:rPr>
                <w:rFonts w:ascii="Times New Roman" w:eastAsia="AngsanaUPC" w:hAnsi="Times New Roman"/>
                <w:bCs/>
                <w:iCs/>
                <w:sz w:val="18"/>
                <w:szCs w:val="18"/>
                <w:lang w:eastAsia="lt-LT"/>
              </w:rPr>
              <w:lastRenderedPageBreak/>
              <w:t>20,7</w:t>
            </w:r>
          </w:p>
        </w:tc>
        <w:tc>
          <w:tcPr>
            <w:tcW w:w="944" w:type="dxa"/>
            <w:shd w:val="clear" w:color="auto" w:fill="auto"/>
            <w:vAlign w:val="center"/>
          </w:tcPr>
          <w:p w:rsidR="00385835" w:rsidRPr="00467020" w:rsidRDefault="00385835" w:rsidP="00E70E83">
            <w:pPr>
              <w:widowControl w:val="0"/>
              <w:tabs>
                <w:tab w:val="left" w:pos="622"/>
              </w:tabs>
              <w:spacing w:after="0" w:line="240" w:lineRule="auto"/>
              <w:jc w:val="center"/>
              <w:rPr>
                <w:rFonts w:ascii="Times New Roman" w:eastAsia="AngsanaUPC" w:hAnsi="Times New Roman"/>
                <w:bCs/>
                <w:iCs/>
                <w:sz w:val="18"/>
                <w:szCs w:val="18"/>
                <w:lang w:eastAsia="lt-LT"/>
              </w:rPr>
            </w:pPr>
            <w:r w:rsidRPr="00467020">
              <w:rPr>
                <w:rFonts w:ascii="Times New Roman" w:eastAsia="AngsanaUPC" w:hAnsi="Times New Roman"/>
                <w:bCs/>
                <w:iCs/>
                <w:sz w:val="18"/>
                <w:szCs w:val="18"/>
                <w:lang w:eastAsia="lt-LT"/>
              </w:rPr>
              <w:t>201</w:t>
            </w:r>
            <w:r w:rsidR="00E70E83" w:rsidRPr="00467020">
              <w:rPr>
                <w:rFonts w:ascii="Times New Roman" w:eastAsia="AngsanaUPC" w:hAnsi="Times New Roman"/>
                <w:bCs/>
                <w:iCs/>
                <w:sz w:val="18"/>
                <w:szCs w:val="18"/>
                <w:lang w:eastAsia="lt-LT"/>
              </w:rPr>
              <w:t>4</w:t>
            </w:r>
          </w:p>
        </w:tc>
        <w:tc>
          <w:tcPr>
            <w:tcW w:w="959" w:type="dxa"/>
            <w:gridSpan w:val="2"/>
            <w:shd w:val="clear" w:color="auto" w:fill="auto"/>
            <w:vAlign w:val="center"/>
          </w:tcPr>
          <w:p w:rsidR="00385835" w:rsidRPr="00467020" w:rsidRDefault="00E70E83"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467020">
              <w:rPr>
                <w:rFonts w:ascii="Times New Roman" w:eastAsia="AngsanaUPC" w:hAnsi="Times New Roman"/>
                <w:bCs/>
                <w:iCs/>
                <w:sz w:val="18"/>
                <w:szCs w:val="18"/>
                <w:lang w:eastAsia="lt-LT"/>
              </w:rPr>
              <w:t>50,09</w:t>
            </w:r>
          </w:p>
        </w:tc>
        <w:tc>
          <w:tcPr>
            <w:tcW w:w="1442" w:type="dxa"/>
            <w:shd w:val="clear" w:color="auto" w:fill="auto"/>
            <w:vAlign w:val="center"/>
          </w:tcPr>
          <w:p w:rsidR="00385835" w:rsidRPr="00467020" w:rsidRDefault="00E70E83"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467020">
              <w:rPr>
                <w:rFonts w:ascii="Times New Roman" w:eastAsia="AngsanaUPC" w:hAnsi="Times New Roman"/>
                <w:bCs/>
                <w:iCs/>
                <w:sz w:val="18"/>
                <w:szCs w:val="18"/>
                <w:lang w:eastAsia="lt-LT"/>
              </w:rPr>
              <w:t xml:space="preserve">Statistikos </w:t>
            </w:r>
            <w:r w:rsidRPr="00467020">
              <w:rPr>
                <w:rFonts w:ascii="Times New Roman" w:eastAsia="AngsanaUPC" w:hAnsi="Times New Roman"/>
                <w:bCs/>
                <w:iCs/>
                <w:sz w:val="18"/>
                <w:szCs w:val="18"/>
                <w:lang w:eastAsia="lt-LT"/>
              </w:rPr>
              <w:lastRenderedPageBreak/>
              <w:t>departamentas</w:t>
            </w:r>
          </w:p>
        </w:tc>
        <w:tc>
          <w:tcPr>
            <w:tcW w:w="1249" w:type="dxa"/>
            <w:shd w:val="clear" w:color="auto" w:fill="auto"/>
            <w:vAlign w:val="center"/>
          </w:tcPr>
          <w:p w:rsidR="00385835" w:rsidRPr="00467020"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467020">
              <w:rPr>
                <w:rFonts w:ascii="Times New Roman" w:eastAsia="AngsanaUPC" w:hAnsi="Times New Roman"/>
                <w:bCs/>
                <w:iCs/>
                <w:sz w:val="18"/>
                <w:szCs w:val="18"/>
                <w:lang w:eastAsia="lt-LT"/>
              </w:rPr>
              <w:lastRenderedPageBreak/>
              <w:t xml:space="preserve">Kartą per </w:t>
            </w:r>
            <w:r w:rsidR="00E70E83" w:rsidRPr="00467020">
              <w:rPr>
                <w:rFonts w:ascii="Times New Roman" w:eastAsia="AngsanaUPC" w:hAnsi="Times New Roman"/>
                <w:bCs/>
                <w:iCs/>
                <w:sz w:val="18"/>
                <w:szCs w:val="18"/>
                <w:lang w:eastAsia="lt-LT"/>
              </w:rPr>
              <w:t xml:space="preserve">2 </w:t>
            </w:r>
            <w:r w:rsidRPr="00467020">
              <w:rPr>
                <w:rFonts w:ascii="Times New Roman" w:eastAsia="AngsanaUPC" w:hAnsi="Times New Roman"/>
                <w:bCs/>
                <w:iCs/>
                <w:sz w:val="18"/>
                <w:szCs w:val="18"/>
                <w:lang w:eastAsia="lt-LT"/>
              </w:rPr>
              <w:lastRenderedPageBreak/>
              <w:t>metus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i/>
          <w:i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746"/>
      </w:tblGrid>
      <w:tr w:rsidR="00385835" w:rsidRPr="00385835" w:rsidTr="00385835">
        <w:tc>
          <w:tcPr>
            <w:tcW w:w="9746"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i/>
                <w:iCs/>
                <w:sz w:val="24"/>
                <w:szCs w:val="24"/>
                <w:lang w:eastAsia="lt-LT"/>
              </w:rPr>
            </w:pPr>
            <w:r w:rsidRPr="00385835">
              <w:rPr>
                <w:rFonts w:ascii="Times New Roman" w:eastAsia="AngsanaUPC" w:hAnsi="Times New Roman"/>
                <w:b/>
                <w:bCs/>
                <w:i/>
                <w:iCs/>
                <w:sz w:val="24"/>
                <w:szCs w:val="24"/>
                <w:lang w:eastAsia="lt-LT"/>
              </w:rPr>
              <w:t>3.3 Investicinio prioriteto įgyvendinimo veiklos</w:t>
            </w:r>
          </w:p>
        </w:tc>
      </w:tr>
      <w:tr w:rsidR="00385835" w:rsidRPr="00385835" w:rsidTr="00385835">
        <w:tblPrEx>
          <w:shd w:val="clear" w:color="auto" w:fill="auto"/>
        </w:tblPrEx>
        <w:tc>
          <w:tcPr>
            <w:tcW w:w="9746" w:type="dxa"/>
            <w:shd w:val="clear" w:color="auto" w:fill="auto"/>
          </w:tcPr>
          <w:p w:rsidR="00385835" w:rsidRPr="00385835" w:rsidRDefault="00385835" w:rsidP="00031EF1">
            <w:pPr>
              <w:widowControl w:val="0"/>
              <w:tabs>
                <w:tab w:val="left" w:pos="0"/>
                <w:tab w:val="left" w:pos="459"/>
                <w:tab w:val="left" w:pos="601"/>
              </w:tabs>
              <w:spacing w:after="0" w:line="240" w:lineRule="auto"/>
              <w:ind w:left="34"/>
              <w:jc w:val="both"/>
              <w:rPr>
                <w:rFonts w:ascii="Times New Roman" w:eastAsia="AngsanaUPC" w:hAnsi="Times New Roman"/>
                <w:bCs/>
                <w:i/>
                <w:iCs/>
                <w:sz w:val="24"/>
                <w:szCs w:val="24"/>
                <w:lang w:eastAsia="lt-LT"/>
              </w:rPr>
            </w:pPr>
            <w:r w:rsidRPr="00385835">
              <w:rPr>
                <w:rFonts w:ascii="Times New Roman" w:eastAsia="AngsanaUPC" w:hAnsi="Times New Roman"/>
                <w:bCs/>
                <w:i/>
                <w:iCs/>
                <w:sz w:val="24"/>
                <w:szCs w:val="24"/>
                <w:lang w:eastAsia="lt-LT"/>
              </w:rPr>
              <w:t>3.3.1. konkretaus uždavinio veiklos:</w:t>
            </w:r>
          </w:p>
          <w:p w:rsidR="00385835" w:rsidRPr="00385835" w:rsidRDefault="00385835" w:rsidP="00650E41">
            <w:pPr>
              <w:widowControl w:val="0"/>
              <w:numPr>
                <w:ilvl w:val="0"/>
                <w:numId w:val="15"/>
              </w:numPr>
              <w:tabs>
                <w:tab w:val="left" w:pos="0"/>
                <w:tab w:val="left" w:pos="459"/>
                <w:tab w:val="left" w:pos="885"/>
              </w:tabs>
              <w:spacing w:after="0" w:line="240" w:lineRule="auto"/>
              <w:ind w:left="34"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 xml:space="preserve">Modernių technologijų diegimas, pritaikant esamus </w:t>
            </w:r>
            <w:proofErr w:type="gramStart"/>
            <w:r w:rsidRPr="00385835">
              <w:rPr>
                <w:rFonts w:ascii="Times New Roman" w:eastAsia="AngsanaUPC" w:hAnsi="Times New Roman"/>
                <w:bCs/>
                <w:iCs/>
                <w:sz w:val="24"/>
                <w:szCs w:val="24"/>
                <w:lang w:eastAsia="lt-LT"/>
              </w:rPr>
              <w:t>ir kuriant naujus gamybos ir paslaugų teikimo pajėgumus naujiems ir esamiems produktams gaminti ir paslaugoms teikti</w:t>
            </w:r>
            <w:proofErr w:type="gramEnd"/>
            <w:r w:rsidRPr="00385835">
              <w:rPr>
                <w:rFonts w:ascii="Times New Roman" w:eastAsia="AngsanaUPC" w:hAnsi="Times New Roman"/>
                <w:bCs/>
                <w:iCs/>
                <w:sz w:val="24"/>
                <w:szCs w:val="24"/>
                <w:lang w:eastAsia="lt-LT"/>
              </w:rPr>
              <w:t>. Finansavimas bus teikiamas skatinti įmonių investicijas į naujų gamybos technologinių linijų įsigijimą ir įdiegimą, esamų gamybos technologinių linijų modernizavimą, įmonės vidinių inžinerinių tinklų, kurių reikia naujoms gamybos technologinėms linijoms diegti ar esamoms modernizuoti, įrengimą, modernių ir efektyvių technologijų diegimą paslaugų sektoriuose, taip pat užtikrinti šių gamybos ir paslaugų teikimo pajėgumų veikimą.</w:t>
            </w:r>
          </w:p>
          <w:p w:rsidR="00385835" w:rsidRPr="0067762F" w:rsidRDefault="0067762F" w:rsidP="00650E41">
            <w:pPr>
              <w:widowControl w:val="0"/>
              <w:numPr>
                <w:ilvl w:val="0"/>
                <w:numId w:val="15"/>
              </w:numPr>
              <w:tabs>
                <w:tab w:val="left" w:pos="0"/>
                <w:tab w:val="left" w:pos="459"/>
                <w:tab w:val="left" w:pos="885"/>
              </w:tabs>
              <w:spacing w:after="0" w:line="240" w:lineRule="auto"/>
              <w:ind w:left="34" w:firstLine="0"/>
              <w:jc w:val="both"/>
              <w:rPr>
                <w:rFonts w:ascii="Times New Roman" w:eastAsia="AngsanaUPC" w:hAnsi="Times New Roman"/>
                <w:bCs/>
                <w:iCs/>
                <w:sz w:val="24"/>
                <w:szCs w:val="24"/>
                <w:lang w:eastAsia="lt-LT"/>
              </w:rPr>
            </w:pPr>
            <w:r w:rsidRPr="0067762F">
              <w:rPr>
                <w:rFonts w:ascii="Times New Roman" w:eastAsia="AngsanaUPC" w:hAnsi="Times New Roman"/>
                <w:bCs/>
                <w:iCs/>
                <w:sz w:val="24"/>
                <w:szCs w:val="24"/>
                <w:lang w:eastAsia="lt-LT"/>
              </w:rPr>
              <w:t>Gamybos procesų automatizavimo ir skaitmenizavimo technologijų diegimo skatinimas (pramonės skaitmenizavimas).</w:t>
            </w:r>
          </w:p>
          <w:p w:rsidR="00385835" w:rsidRPr="00385835" w:rsidRDefault="00385835" w:rsidP="00650E41">
            <w:pPr>
              <w:widowControl w:val="0"/>
              <w:numPr>
                <w:ilvl w:val="0"/>
                <w:numId w:val="15"/>
              </w:numPr>
              <w:tabs>
                <w:tab w:val="left" w:pos="0"/>
                <w:tab w:val="left" w:pos="459"/>
                <w:tab w:val="left" w:pos="885"/>
              </w:tabs>
              <w:spacing w:after="0" w:line="240" w:lineRule="auto"/>
              <w:ind w:left="34"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Netechnologinių inovacijų sukūrimo ir (ar) diegimo gamybos procesuose ir (ar) paslaugose skatinimas, pritaikant originalius gaminių</w:t>
            </w:r>
            <w:r w:rsidR="00DE5038">
              <w:rPr>
                <w:rFonts w:ascii="Times New Roman" w:eastAsia="AngsanaUPC" w:hAnsi="Times New Roman"/>
                <w:bCs/>
                <w:iCs/>
                <w:sz w:val="24"/>
                <w:szCs w:val="24"/>
                <w:lang w:eastAsia="lt-LT"/>
              </w:rPr>
              <w:t xml:space="preserve"> </w:t>
            </w:r>
            <w:r w:rsidRPr="00385835">
              <w:rPr>
                <w:rFonts w:ascii="Times New Roman" w:eastAsia="AngsanaUPC" w:hAnsi="Times New Roman"/>
                <w:bCs/>
                <w:iCs/>
                <w:sz w:val="24"/>
                <w:szCs w:val="24"/>
                <w:lang w:eastAsia="lt-LT"/>
              </w:rPr>
              <w:t>/</w:t>
            </w:r>
            <w:r w:rsidR="00DE5038">
              <w:rPr>
                <w:rFonts w:ascii="Times New Roman" w:eastAsia="AngsanaUPC" w:hAnsi="Times New Roman"/>
                <w:bCs/>
                <w:iCs/>
                <w:sz w:val="24"/>
                <w:szCs w:val="24"/>
                <w:lang w:eastAsia="lt-LT"/>
              </w:rPr>
              <w:t xml:space="preserve"> </w:t>
            </w:r>
            <w:r w:rsidRPr="00385835">
              <w:rPr>
                <w:rFonts w:ascii="Times New Roman" w:eastAsia="AngsanaUPC" w:hAnsi="Times New Roman"/>
                <w:bCs/>
                <w:iCs/>
                <w:sz w:val="24"/>
                <w:szCs w:val="24"/>
                <w:lang w:eastAsia="lt-LT"/>
              </w:rPr>
              <w:t>paslaugų dizaino sprendimus, numatant produkto, proceso ir paslaugų standartų diegimą MVĮ ir pan. Taip pat bus remiamas inovatyvių vadybos metodų ir valdymo sistemų diegimas įmonėse.</w:t>
            </w:r>
          </w:p>
          <w:p w:rsidR="00385835" w:rsidRDefault="00385835" w:rsidP="00650E41">
            <w:pPr>
              <w:widowControl w:val="0"/>
              <w:numPr>
                <w:ilvl w:val="0"/>
                <w:numId w:val="15"/>
              </w:numPr>
              <w:tabs>
                <w:tab w:val="left" w:pos="0"/>
                <w:tab w:val="left" w:pos="459"/>
                <w:tab w:val="left" w:pos="885"/>
              </w:tabs>
              <w:spacing w:after="0" w:line="240" w:lineRule="auto"/>
              <w:ind w:left="34"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Investicijos į DPT diegimą Lietuvos tradicinės pramonės šakose, siekiant stiprinti ir modernizuoti MVĮ pramoninę bazę, sudarant sąlygas masinei inovatyvių produktų, panaudojant DPT, gamybai plėtoti. Takoskyra su 1 prioritetu, kuriame numatoma remti DPT tik iki pilotinės linijos diegimo.</w:t>
            </w:r>
          </w:p>
          <w:p w:rsidR="00FF08C5" w:rsidRPr="00385835" w:rsidRDefault="00FF08C5" w:rsidP="00FF08C5">
            <w:pPr>
              <w:widowControl w:val="0"/>
              <w:tabs>
                <w:tab w:val="left" w:pos="0"/>
                <w:tab w:val="left" w:pos="459"/>
                <w:tab w:val="left" w:pos="885"/>
              </w:tabs>
              <w:spacing w:after="0" w:line="240" w:lineRule="auto"/>
              <w:ind w:left="34"/>
              <w:jc w:val="both"/>
              <w:rPr>
                <w:rFonts w:ascii="Times New Roman" w:eastAsia="AngsanaUPC" w:hAnsi="Times New Roman"/>
                <w:bCs/>
                <w:iCs/>
                <w:sz w:val="24"/>
                <w:szCs w:val="24"/>
                <w:lang w:eastAsia="lt-LT"/>
              </w:rPr>
            </w:pPr>
          </w:p>
          <w:p w:rsidR="00385835" w:rsidRPr="00385835" w:rsidRDefault="00385835" w:rsidP="00031EF1">
            <w:pPr>
              <w:widowControl w:val="0"/>
              <w:tabs>
                <w:tab w:val="left" w:pos="0"/>
                <w:tab w:val="left" w:pos="459"/>
                <w:tab w:val="left" w:pos="601"/>
              </w:tabs>
              <w:spacing w:after="0" w:line="240" w:lineRule="auto"/>
              <w:ind w:left="34"/>
              <w:jc w:val="both"/>
              <w:rPr>
                <w:rFonts w:ascii="Times New Roman" w:eastAsia="AngsanaUPC" w:hAnsi="Times New Roman"/>
                <w:bCs/>
                <w:i/>
                <w:iCs/>
                <w:sz w:val="24"/>
                <w:szCs w:val="24"/>
                <w:lang w:eastAsia="lt-LT"/>
              </w:rPr>
            </w:pPr>
            <w:r w:rsidRPr="00385835">
              <w:rPr>
                <w:rFonts w:ascii="Times New Roman" w:eastAsia="AngsanaUPC" w:hAnsi="Times New Roman"/>
                <w:bCs/>
                <w:i/>
                <w:iCs/>
                <w:sz w:val="24"/>
                <w:szCs w:val="24"/>
                <w:lang w:eastAsia="lt-LT"/>
              </w:rPr>
              <w:t>3.3.2. konkretaus uždavinio veiklos:</w:t>
            </w:r>
          </w:p>
          <w:p w:rsidR="00385835" w:rsidRPr="00385835" w:rsidRDefault="00385835" w:rsidP="00650E41">
            <w:pPr>
              <w:numPr>
                <w:ilvl w:val="0"/>
                <w:numId w:val="15"/>
              </w:numPr>
              <w:tabs>
                <w:tab w:val="left" w:pos="0"/>
                <w:tab w:val="left" w:pos="459"/>
                <w:tab w:val="left" w:pos="885"/>
              </w:tabs>
              <w:spacing w:after="0" w:line="240" w:lineRule="auto"/>
              <w:ind w:left="34" w:firstLine="0"/>
              <w:jc w:val="both"/>
              <w:rPr>
                <w:rFonts w:ascii="Times New Roman" w:hAnsi="Times New Roman"/>
                <w:sz w:val="24"/>
                <w:szCs w:val="24"/>
              </w:rPr>
            </w:pPr>
            <w:r w:rsidRPr="00385835">
              <w:rPr>
                <w:rFonts w:ascii="Times New Roman" w:eastAsia="AngsanaUPC" w:hAnsi="Times New Roman"/>
                <w:bCs/>
                <w:iCs/>
                <w:sz w:val="24"/>
                <w:szCs w:val="24"/>
                <w:lang w:eastAsia="lt-LT"/>
              </w:rPr>
              <w:t xml:space="preserve">Technologinių ekoinovacijų diegimas ir skatinimas. Siekiant sumažinti </w:t>
            </w:r>
            <w:r w:rsidRPr="00385835">
              <w:rPr>
                <w:rFonts w:ascii="Times New Roman" w:eastAsia="AngsanaUPC" w:hAnsi="Times New Roman"/>
                <w:bCs/>
                <w:sz w:val="24"/>
                <w:szCs w:val="24"/>
                <w:lang w:eastAsia="lt-LT"/>
              </w:rPr>
              <w:t>neigiamas klimato kaitos ir šiltnamio efekto pasekmes, nu</w:t>
            </w:r>
            <w:r w:rsidRPr="00385835">
              <w:rPr>
                <w:rFonts w:ascii="Times New Roman" w:hAnsi="Times New Roman"/>
                <w:sz w:val="24"/>
                <w:szCs w:val="24"/>
              </w:rPr>
              <w:t>matomos investicijos į materialųjį turtą (įrenginiu</w:t>
            </w:r>
            <w:r w:rsidR="00022A85">
              <w:rPr>
                <w:rFonts w:ascii="Times New Roman" w:hAnsi="Times New Roman"/>
                <w:sz w:val="24"/>
                <w:szCs w:val="24"/>
              </w:rPr>
              <w:t>s, technologijas), kurį įdiegus</w:t>
            </w:r>
            <w:r w:rsidRPr="00385835">
              <w:rPr>
                <w:rFonts w:ascii="Times New Roman" w:hAnsi="Times New Roman"/>
                <w:sz w:val="24"/>
                <w:szCs w:val="24"/>
              </w:rPr>
              <w:t xml:space="preserve"> mažėja neigiamas ūkinės veiklos poveikis aplinkai, skatinama pramoninė simbiozė</w:t>
            </w:r>
            <w:r w:rsidRPr="00385835">
              <w:rPr>
                <w:rFonts w:ascii="Times New Roman" w:hAnsi="Times New Roman"/>
                <w:color w:val="FF0000"/>
                <w:sz w:val="24"/>
                <w:szCs w:val="24"/>
              </w:rPr>
              <w:t xml:space="preserve"> </w:t>
            </w:r>
            <w:r w:rsidRPr="00385835">
              <w:rPr>
                <w:rFonts w:ascii="Times New Roman" w:hAnsi="Times New Roman"/>
                <w:sz w:val="24"/>
                <w:szCs w:val="24"/>
              </w:rPr>
              <w:t>ir užtikrinamas tęstinis aplinkos apsaugos efektas</w:t>
            </w:r>
            <w:r w:rsidR="00022A85">
              <w:rPr>
                <w:rFonts w:ascii="Times New Roman" w:hAnsi="Times New Roman"/>
                <w:sz w:val="24"/>
                <w:szCs w:val="24"/>
              </w:rPr>
              <w:t>,</w:t>
            </w:r>
            <w:r w:rsidRPr="00385835">
              <w:rPr>
                <w:rFonts w:ascii="Times New Roman" w:hAnsi="Times New Roman"/>
                <w:sz w:val="24"/>
                <w:szCs w:val="24"/>
              </w:rPr>
              <w:t xml:space="preserve"> t. y.</w:t>
            </w:r>
            <w:r w:rsidR="00022A85">
              <w:rPr>
                <w:rFonts w:ascii="Times New Roman" w:hAnsi="Times New Roman"/>
                <w:sz w:val="24"/>
                <w:szCs w:val="24"/>
              </w:rPr>
              <w:t>,</w:t>
            </w:r>
            <w:r w:rsidRPr="00385835">
              <w:rPr>
                <w:rFonts w:ascii="Times New Roman" w:hAnsi="Times New Roman"/>
                <w:sz w:val="24"/>
                <w:szCs w:val="24"/>
              </w:rPr>
              <w:t xml:space="preserve"> investicijos į švaresnės gamybos inovacijas (jų įdiegimą), kuriose taikomi racionalių išteklių naudojimo ir taršos prevencijos metodai (</w:t>
            </w:r>
            <w:r w:rsidR="00686878">
              <w:rPr>
                <w:rFonts w:ascii="Times New Roman" w:hAnsi="Times New Roman"/>
                <w:sz w:val="24"/>
                <w:szCs w:val="24"/>
              </w:rPr>
              <w:t>pavyzdžiui</w:t>
            </w:r>
            <w:r w:rsidRPr="00385835">
              <w:rPr>
                <w:rFonts w:ascii="Times New Roman" w:hAnsi="Times New Roman"/>
                <w:sz w:val="24"/>
                <w:szCs w:val="24"/>
              </w:rPr>
              <w:t>, proceso</w:t>
            </w:r>
            <w:r w:rsidR="00022A85">
              <w:rPr>
                <w:rFonts w:ascii="Times New Roman" w:hAnsi="Times New Roman"/>
                <w:sz w:val="24"/>
                <w:szCs w:val="24"/>
              </w:rPr>
              <w:t xml:space="preserve"> modernizavimas (optimizavimas), siekiant </w:t>
            </w:r>
            <w:r w:rsidRPr="00385835">
              <w:rPr>
                <w:rFonts w:ascii="Times New Roman" w:hAnsi="Times New Roman"/>
                <w:sz w:val="24"/>
                <w:szCs w:val="24"/>
              </w:rPr>
              <w:t>sumažinti neigiamą poveikį aplinkai ir (ar) tausoti gamtos išteklius, beatliekinė gamyba, atliekų pakartotinis naudojimas ir (ar) perdirbimas, atliekamos šilumos panaudojimas (rekuperavimas, regeneravimas), srautų atskyrimas, kt.).</w:t>
            </w:r>
          </w:p>
          <w:p w:rsidR="00385835" w:rsidRPr="00385835" w:rsidRDefault="00385835" w:rsidP="00650E41">
            <w:pPr>
              <w:numPr>
                <w:ilvl w:val="0"/>
                <w:numId w:val="15"/>
              </w:numPr>
              <w:tabs>
                <w:tab w:val="left" w:pos="0"/>
                <w:tab w:val="left" w:pos="459"/>
                <w:tab w:val="left" w:pos="885"/>
              </w:tabs>
              <w:spacing w:after="0" w:line="240" w:lineRule="auto"/>
              <w:ind w:left="34" w:firstLine="0"/>
              <w:jc w:val="both"/>
              <w:rPr>
                <w:rFonts w:ascii="Times New Roman" w:eastAsia="AngsanaUPC" w:hAnsi="Times New Roman"/>
                <w:bCs/>
                <w:iCs/>
                <w:sz w:val="24"/>
                <w:szCs w:val="24"/>
                <w:lang w:eastAsia="lt-LT"/>
              </w:rPr>
            </w:pPr>
            <w:r w:rsidRPr="00385835">
              <w:rPr>
                <w:rFonts w:ascii="Times New Roman" w:hAnsi="Times New Roman"/>
                <w:sz w:val="24"/>
                <w:szCs w:val="24"/>
              </w:rPr>
              <w:t>Netechnologinių ekoinovacijų diegimas ir skatinimas. N</w:t>
            </w:r>
            <w:r w:rsidRPr="00385835">
              <w:rPr>
                <w:rFonts w:ascii="Times New Roman" w:eastAsia="AngsanaUPC" w:hAnsi="Times New Roman"/>
                <w:bCs/>
                <w:iCs/>
                <w:sz w:val="24"/>
                <w:szCs w:val="24"/>
                <w:lang w:eastAsia="lt-LT"/>
              </w:rPr>
              <w:t xml:space="preserve">umatoma remti aplinkosaugos vadybos/valdymo sistemų pagal tarptautinių standartų reikalavimus diegimą ir (ar) gamybos technologinių ir (ar) aplinkosaugos auditų, </w:t>
            </w:r>
            <w:r w:rsidR="00022A85">
              <w:rPr>
                <w:rFonts w:ascii="Times New Roman" w:eastAsia="AngsanaUPC" w:hAnsi="Times New Roman"/>
                <w:bCs/>
                <w:iCs/>
                <w:sz w:val="24"/>
                <w:szCs w:val="24"/>
                <w:lang w:eastAsia="lt-LT"/>
              </w:rPr>
              <w:t>padėsiančių pateikti</w:t>
            </w:r>
            <w:r w:rsidRPr="00385835">
              <w:rPr>
                <w:rFonts w:ascii="Times New Roman" w:eastAsia="AngsanaUPC" w:hAnsi="Times New Roman"/>
                <w:bCs/>
                <w:iCs/>
                <w:sz w:val="24"/>
                <w:szCs w:val="24"/>
                <w:lang w:eastAsia="lt-LT"/>
              </w:rPr>
              <w:t xml:space="preserve"> racionalaus išteklių naudojimo ir taršos prevencijos anali</w:t>
            </w:r>
            <w:r w:rsidR="00022A85">
              <w:rPr>
                <w:rFonts w:ascii="Times New Roman" w:eastAsia="AngsanaUPC" w:hAnsi="Times New Roman"/>
                <w:bCs/>
                <w:iCs/>
                <w:sz w:val="24"/>
                <w:szCs w:val="24"/>
                <w:lang w:eastAsia="lt-LT"/>
              </w:rPr>
              <w:t>zę</w:t>
            </w:r>
            <w:r w:rsidRPr="00385835">
              <w:rPr>
                <w:rFonts w:ascii="Times New Roman" w:eastAsia="AngsanaUPC" w:hAnsi="Times New Roman"/>
                <w:bCs/>
                <w:iCs/>
                <w:sz w:val="24"/>
                <w:szCs w:val="24"/>
                <w:lang w:eastAsia="lt-LT"/>
              </w:rPr>
              <w:t xml:space="preserve">. </w:t>
            </w:r>
            <w:r w:rsidRPr="00385835">
              <w:rPr>
                <w:rFonts w:ascii="Times New Roman" w:hAnsi="Times New Roman"/>
                <w:sz w:val="24"/>
                <w:szCs w:val="24"/>
              </w:rPr>
              <w:t>Taip pat numatoma</w:t>
            </w:r>
            <w:r w:rsidRPr="00385835">
              <w:rPr>
                <w:rFonts w:ascii="Times New Roman" w:eastAsia="AngsanaUPC" w:hAnsi="Times New Roman"/>
                <w:bCs/>
                <w:iCs/>
                <w:sz w:val="24"/>
                <w:szCs w:val="24"/>
                <w:lang w:eastAsia="lt-LT"/>
              </w:rPr>
              <w:t xml:space="preserve"> paremti projektus, kuriais skatinamas ekologiškas projektavimas, t. y.</w:t>
            </w:r>
            <w:r w:rsidR="0072020B">
              <w:rPr>
                <w:rFonts w:ascii="Times New Roman" w:eastAsia="AngsanaUPC" w:hAnsi="Times New Roman"/>
                <w:bCs/>
                <w:iCs/>
                <w:sz w:val="24"/>
                <w:szCs w:val="24"/>
                <w:lang w:eastAsia="lt-LT"/>
              </w:rPr>
              <w:t>,</w:t>
            </w:r>
            <w:r w:rsidRPr="00385835">
              <w:rPr>
                <w:rFonts w:ascii="Times New Roman" w:eastAsia="AngsanaUPC" w:hAnsi="Times New Roman"/>
                <w:bCs/>
                <w:iCs/>
                <w:sz w:val="24"/>
                <w:szCs w:val="24"/>
                <w:lang w:eastAsia="lt-LT"/>
              </w:rPr>
              <w:t xml:space="preserve"> numatoma pagerinti gaminių ekologiškumą per visą jų gy</w:t>
            </w:r>
            <w:r w:rsidR="002D2BB3">
              <w:rPr>
                <w:rFonts w:ascii="Times New Roman" w:eastAsia="AngsanaUPC" w:hAnsi="Times New Roman"/>
                <w:bCs/>
                <w:iCs/>
                <w:sz w:val="24"/>
                <w:szCs w:val="24"/>
                <w:lang w:eastAsia="lt-LT"/>
              </w:rPr>
              <w:t>vavimo ciklą (žaliavų parinkimą ir naudojimą, gamybą, pakavimą, transportavimą, naudojimą</w:t>
            </w:r>
            <w:r w:rsidRPr="00385835">
              <w:rPr>
                <w:rFonts w:ascii="Times New Roman" w:eastAsia="AngsanaUPC" w:hAnsi="Times New Roman"/>
                <w:bCs/>
                <w:iCs/>
                <w:sz w:val="24"/>
                <w:szCs w:val="24"/>
                <w:lang w:eastAsia="lt-LT"/>
              </w:rPr>
              <w:t>), ekologinius aspektus sistemingai įtraukiant pačiame ankstyviausiame gaminio projektavimo etape.</w:t>
            </w:r>
          </w:p>
          <w:p w:rsidR="00385835" w:rsidRPr="00385835" w:rsidRDefault="00385835" w:rsidP="00650E41">
            <w:pPr>
              <w:numPr>
                <w:ilvl w:val="0"/>
                <w:numId w:val="15"/>
              </w:numPr>
              <w:tabs>
                <w:tab w:val="left" w:pos="0"/>
                <w:tab w:val="left" w:pos="459"/>
                <w:tab w:val="left" w:pos="897"/>
              </w:tabs>
              <w:spacing w:after="0" w:line="240" w:lineRule="auto"/>
              <w:ind w:left="34"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Taip pat numatoma remti konsultacinių (ekspertinių) paslaugų teikimą MVĮ efektyvesnio išteklių naudojimo, gamtinių resursų tausojimo ir pan. klausimais.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565"/>
        <w:gridCol w:w="2412"/>
        <w:gridCol w:w="1134"/>
        <w:gridCol w:w="992"/>
        <w:gridCol w:w="1134"/>
        <w:gridCol w:w="1276"/>
        <w:gridCol w:w="1134"/>
        <w:gridCol w:w="992"/>
      </w:tblGrid>
      <w:tr w:rsidR="00385835" w:rsidRPr="00385835" w:rsidTr="00812737">
        <w:trPr>
          <w:tblHeader/>
        </w:trPr>
        <w:tc>
          <w:tcPr>
            <w:tcW w:w="9639" w:type="dxa"/>
            <w:gridSpan w:val="8"/>
            <w:shd w:val="clear" w:color="auto" w:fill="EEECE1"/>
          </w:tcPr>
          <w:p w:rsidR="00385835" w:rsidRPr="00385835" w:rsidRDefault="00385835" w:rsidP="00DA04FC">
            <w:pPr>
              <w:widowControl w:val="0"/>
              <w:tabs>
                <w:tab w:val="left" w:pos="622"/>
              </w:tabs>
              <w:spacing w:after="0" w:line="240" w:lineRule="auto"/>
              <w:jc w:val="both"/>
              <w:rPr>
                <w:rFonts w:ascii="Times New Roman" w:eastAsia="AngsanaUPC" w:hAnsi="Times New Roman"/>
                <w:b/>
                <w:bCs/>
                <w:i/>
                <w:iCs/>
                <w:sz w:val="24"/>
                <w:szCs w:val="24"/>
                <w:lang w:eastAsia="lt-LT"/>
              </w:rPr>
            </w:pPr>
            <w:r w:rsidRPr="00385835">
              <w:rPr>
                <w:rFonts w:ascii="Times New Roman" w:eastAsia="AngsanaUPC" w:hAnsi="Times New Roman"/>
                <w:b/>
                <w:bCs/>
                <w:i/>
                <w:iCs/>
                <w:sz w:val="24"/>
                <w:szCs w:val="24"/>
                <w:lang w:eastAsia="lt-LT"/>
              </w:rPr>
              <w:t xml:space="preserve">ERPF bendrieji ir </w:t>
            </w:r>
            <w:r w:rsidR="00DA04FC">
              <w:rPr>
                <w:rFonts w:ascii="Times New Roman" w:eastAsia="AngsanaUPC" w:hAnsi="Times New Roman"/>
                <w:b/>
                <w:bCs/>
                <w:i/>
                <w:iCs/>
                <w:sz w:val="24"/>
                <w:szCs w:val="24"/>
                <w:lang w:eastAsia="lt-LT"/>
              </w:rPr>
              <w:t>specialieji</w:t>
            </w:r>
            <w:r w:rsidR="00DA04FC" w:rsidRPr="00385835">
              <w:rPr>
                <w:rFonts w:ascii="Times New Roman" w:eastAsia="AngsanaUPC" w:hAnsi="Times New Roman"/>
                <w:b/>
                <w:bCs/>
                <w:i/>
                <w:iCs/>
                <w:sz w:val="24"/>
                <w:szCs w:val="24"/>
                <w:lang w:eastAsia="lt-LT"/>
              </w:rPr>
              <w:t xml:space="preserve"> </w:t>
            </w:r>
            <w:r w:rsidRPr="00385835">
              <w:rPr>
                <w:rFonts w:ascii="Times New Roman" w:eastAsia="AngsanaUPC" w:hAnsi="Times New Roman"/>
                <w:b/>
                <w:bCs/>
                <w:i/>
                <w:iCs/>
                <w:sz w:val="24"/>
                <w:szCs w:val="24"/>
                <w:lang w:eastAsia="lt-LT"/>
              </w:rPr>
              <w:t>programos produkto rodikliai</w:t>
            </w:r>
          </w:p>
        </w:tc>
      </w:tr>
      <w:tr w:rsidR="00385835" w:rsidRPr="00385835" w:rsidTr="00812737">
        <w:tblPrEx>
          <w:shd w:val="clear" w:color="auto" w:fill="auto"/>
        </w:tblPrEx>
        <w:trPr>
          <w:tblHeader/>
        </w:trPr>
        <w:tc>
          <w:tcPr>
            <w:tcW w:w="565"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20"/>
                <w:szCs w:val="20"/>
                <w:lang w:eastAsia="lt-LT"/>
              </w:rPr>
            </w:pPr>
            <w:r w:rsidRPr="00385835">
              <w:rPr>
                <w:rFonts w:ascii="Times New Roman" w:eastAsia="AngsanaUPC" w:hAnsi="Times New Roman"/>
                <w:b/>
                <w:bCs/>
                <w:iCs/>
                <w:sz w:val="20"/>
                <w:szCs w:val="20"/>
                <w:lang w:eastAsia="lt-LT"/>
              </w:rPr>
              <w:t>Nr.</w:t>
            </w:r>
          </w:p>
        </w:tc>
        <w:tc>
          <w:tcPr>
            <w:tcW w:w="2412"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20"/>
                <w:szCs w:val="20"/>
                <w:lang w:eastAsia="lt-LT"/>
              </w:rPr>
            </w:pPr>
            <w:r w:rsidRPr="00385835">
              <w:rPr>
                <w:rFonts w:ascii="Times New Roman" w:eastAsia="AngsanaUPC" w:hAnsi="Times New Roman"/>
                <w:b/>
                <w:bCs/>
                <w:iCs/>
                <w:sz w:val="20"/>
                <w:szCs w:val="20"/>
                <w:lang w:eastAsia="lt-LT"/>
              </w:rPr>
              <w:t>Rodiklio pavadinimas</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20"/>
                <w:szCs w:val="20"/>
                <w:lang w:eastAsia="lt-LT"/>
              </w:rPr>
            </w:pPr>
            <w:r w:rsidRPr="00385835">
              <w:rPr>
                <w:rFonts w:ascii="Times New Roman" w:eastAsia="AngsanaUPC" w:hAnsi="Times New Roman"/>
                <w:b/>
                <w:bCs/>
                <w:iCs/>
                <w:sz w:val="20"/>
                <w:szCs w:val="20"/>
                <w:lang w:eastAsia="lt-LT"/>
              </w:rPr>
              <w:t>Matavimo vienetas</w:t>
            </w:r>
          </w:p>
        </w:tc>
        <w:tc>
          <w:tcPr>
            <w:tcW w:w="992"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20"/>
                <w:szCs w:val="20"/>
                <w:lang w:eastAsia="lt-LT"/>
              </w:rPr>
            </w:pPr>
            <w:r w:rsidRPr="00385835">
              <w:rPr>
                <w:rFonts w:ascii="Times New Roman" w:eastAsia="AngsanaUPC" w:hAnsi="Times New Roman"/>
                <w:b/>
                <w:bCs/>
                <w:iCs/>
                <w:sz w:val="20"/>
                <w:szCs w:val="20"/>
                <w:lang w:eastAsia="lt-LT"/>
              </w:rPr>
              <w:t>Fondas</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20"/>
                <w:szCs w:val="20"/>
                <w:lang w:eastAsia="lt-LT"/>
              </w:rPr>
            </w:pPr>
            <w:r w:rsidRPr="00385835">
              <w:rPr>
                <w:rFonts w:ascii="Times New Roman" w:eastAsia="AngsanaUPC" w:hAnsi="Times New Roman"/>
                <w:b/>
                <w:bCs/>
                <w:iCs/>
                <w:sz w:val="20"/>
                <w:szCs w:val="20"/>
                <w:lang w:eastAsia="lt-LT"/>
              </w:rPr>
              <w:t>Regiono kategorija</w:t>
            </w:r>
          </w:p>
        </w:tc>
        <w:tc>
          <w:tcPr>
            <w:tcW w:w="1276"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20"/>
                <w:szCs w:val="20"/>
                <w:lang w:eastAsia="lt-LT"/>
              </w:rPr>
            </w:pPr>
            <w:r w:rsidRPr="00385835">
              <w:rPr>
                <w:rFonts w:ascii="Times New Roman" w:eastAsia="AngsanaUPC" w:hAnsi="Times New Roman"/>
                <w:b/>
                <w:bCs/>
                <w:iCs/>
                <w:sz w:val="20"/>
                <w:szCs w:val="20"/>
                <w:lang w:eastAsia="lt-LT"/>
              </w:rPr>
              <w:t>Siektina reikšmė (2023)</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20"/>
                <w:szCs w:val="20"/>
                <w:lang w:eastAsia="lt-LT"/>
              </w:rPr>
            </w:pPr>
            <w:r w:rsidRPr="00385835">
              <w:rPr>
                <w:rFonts w:ascii="Times New Roman" w:eastAsia="AngsanaUPC" w:hAnsi="Times New Roman"/>
                <w:b/>
                <w:bCs/>
                <w:iCs/>
                <w:sz w:val="20"/>
                <w:szCs w:val="20"/>
                <w:lang w:eastAsia="lt-LT"/>
              </w:rPr>
              <w:t>Duomenų šaltinis</w:t>
            </w:r>
          </w:p>
        </w:tc>
        <w:tc>
          <w:tcPr>
            <w:tcW w:w="992"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Atsiskaitymo dažnumas</w:t>
            </w:r>
          </w:p>
        </w:tc>
      </w:tr>
      <w:tr w:rsidR="00385835" w:rsidRPr="00385835" w:rsidTr="00385835">
        <w:tblPrEx>
          <w:shd w:val="clear" w:color="auto" w:fill="auto"/>
        </w:tblPrEx>
        <w:tc>
          <w:tcPr>
            <w:tcW w:w="565" w:type="dxa"/>
            <w:shd w:val="clear" w:color="auto" w:fill="auto"/>
            <w:vAlign w:val="center"/>
          </w:tcPr>
          <w:p w:rsidR="00385835" w:rsidRPr="00D54F90"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D54F90">
              <w:rPr>
                <w:rFonts w:ascii="Times New Roman" w:eastAsia="AngsanaUPC" w:hAnsi="Times New Roman"/>
                <w:bCs/>
                <w:iCs/>
                <w:sz w:val="18"/>
                <w:szCs w:val="18"/>
                <w:lang w:eastAsia="lt-LT"/>
              </w:rPr>
              <w:t>1.</w:t>
            </w:r>
          </w:p>
        </w:tc>
        <w:tc>
          <w:tcPr>
            <w:tcW w:w="2412" w:type="dxa"/>
            <w:shd w:val="clear" w:color="auto" w:fill="auto"/>
          </w:tcPr>
          <w:p w:rsidR="00385835" w:rsidRPr="00D54F90" w:rsidRDefault="00385835" w:rsidP="00385835">
            <w:pPr>
              <w:widowControl w:val="0"/>
              <w:tabs>
                <w:tab w:val="left" w:pos="622"/>
              </w:tabs>
              <w:spacing w:after="0" w:line="240" w:lineRule="auto"/>
              <w:rPr>
                <w:rFonts w:ascii="Times New Roman" w:eastAsia="AngsanaUPC" w:hAnsi="Times New Roman"/>
                <w:bCs/>
                <w:iCs/>
                <w:sz w:val="18"/>
                <w:szCs w:val="18"/>
                <w:lang w:eastAsia="lt-LT"/>
              </w:rPr>
            </w:pPr>
            <w:r w:rsidRPr="00D54F90">
              <w:rPr>
                <w:rFonts w:ascii="Times New Roman" w:eastAsia="AngsanaUPC" w:hAnsi="Times New Roman"/>
                <w:bCs/>
                <w:iCs/>
                <w:sz w:val="18"/>
                <w:szCs w:val="18"/>
                <w:lang w:eastAsia="lt-LT"/>
              </w:rPr>
              <w:t>Privačios investicijos, atitinkančios viešąją paramą įmonėms (subsidijos)</w:t>
            </w:r>
          </w:p>
        </w:tc>
        <w:tc>
          <w:tcPr>
            <w:tcW w:w="1134" w:type="dxa"/>
            <w:shd w:val="clear" w:color="auto" w:fill="auto"/>
            <w:vAlign w:val="center"/>
          </w:tcPr>
          <w:p w:rsidR="00385835" w:rsidRPr="00D54F90"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D54F90">
              <w:rPr>
                <w:rFonts w:ascii="Times New Roman" w:eastAsia="AngsanaUPC" w:hAnsi="Times New Roman"/>
                <w:bCs/>
                <w:iCs/>
                <w:sz w:val="18"/>
                <w:szCs w:val="18"/>
                <w:lang w:eastAsia="lt-LT"/>
              </w:rPr>
              <w:t>EUR</w:t>
            </w:r>
          </w:p>
        </w:tc>
        <w:tc>
          <w:tcPr>
            <w:tcW w:w="992" w:type="dxa"/>
            <w:shd w:val="clear" w:color="auto" w:fill="auto"/>
            <w:vAlign w:val="center"/>
          </w:tcPr>
          <w:p w:rsidR="00385835" w:rsidRPr="00D54F90"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D54F90">
              <w:rPr>
                <w:rFonts w:ascii="Times New Roman" w:eastAsia="AngsanaUPC" w:hAnsi="Times New Roman"/>
                <w:bCs/>
                <w:iCs/>
                <w:sz w:val="18"/>
                <w:szCs w:val="18"/>
                <w:lang w:eastAsia="lt-LT"/>
              </w:rPr>
              <w:t>ERPF</w:t>
            </w:r>
          </w:p>
        </w:tc>
        <w:tc>
          <w:tcPr>
            <w:tcW w:w="1134" w:type="dxa"/>
            <w:shd w:val="clear" w:color="auto" w:fill="auto"/>
            <w:vAlign w:val="center"/>
          </w:tcPr>
          <w:p w:rsidR="00385835" w:rsidRPr="00D54F90" w:rsidRDefault="00385835" w:rsidP="00385835">
            <w:pPr>
              <w:widowControl w:val="0"/>
              <w:tabs>
                <w:tab w:val="left" w:pos="622"/>
              </w:tabs>
              <w:spacing w:after="0" w:line="240" w:lineRule="auto"/>
              <w:jc w:val="center"/>
              <w:rPr>
                <w:rFonts w:ascii="Times New Roman" w:eastAsia="AngsanaUPC" w:hAnsi="Times New Roman"/>
                <w:bCs/>
                <w:sz w:val="18"/>
                <w:szCs w:val="18"/>
                <w:lang w:eastAsia="lt-LT"/>
              </w:rPr>
            </w:pPr>
            <w:r w:rsidRPr="00D54F90">
              <w:rPr>
                <w:rFonts w:ascii="Times New Roman" w:eastAsia="AngsanaUPC" w:hAnsi="Times New Roman"/>
                <w:bCs/>
                <w:sz w:val="18"/>
                <w:szCs w:val="18"/>
                <w:lang w:eastAsia="lt-LT"/>
              </w:rPr>
              <w:t>Mažiau išsivystęs</w:t>
            </w:r>
          </w:p>
        </w:tc>
        <w:tc>
          <w:tcPr>
            <w:tcW w:w="1276" w:type="dxa"/>
            <w:shd w:val="clear" w:color="auto" w:fill="auto"/>
            <w:vAlign w:val="center"/>
          </w:tcPr>
          <w:p w:rsidR="00385835" w:rsidRPr="002C08FA" w:rsidRDefault="00385835" w:rsidP="00E70E83">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3</w:t>
            </w:r>
            <w:r w:rsidR="000678DA" w:rsidRPr="002C08FA">
              <w:rPr>
                <w:rFonts w:ascii="Times New Roman" w:eastAsia="AngsanaUPC" w:hAnsi="Times New Roman"/>
                <w:bCs/>
                <w:iCs/>
                <w:sz w:val="18"/>
                <w:szCs w:val="18"/>
                <w:lang w:eastAsia="lt-LT"/>
              </w:rPr>
              <w:t>38</w:t>
            </w:r>
            <w:r w:rsidR="00D90882" w:rsidRPr="002C08FA">
              <w:rPr>
                <w:rFonts w:ascii="Times New Roman" w:eastAsia="AngsanaUPC" w:hAnsi="Times New Roman"/>
                <w:bCs/>
                <w:iCs/>
                <w:sz w:val="18"/>
                <w:szCs w:val="18"/>
                <w:lang w:eastAsia="lt-LT"/>
              </w:rPr>
              <w:t>.</w:t>
            </w:r>
            <w:r w:rsidR="000678DA" w:rsidRPr="002C08FA">
              <w:rPr>
                <w:rFonts w:ascii="Times New Roman" w:eastAsia="AngsanaUPC" w:hAnsi="Times New Roman"/>
                <w:bCs/>
                <w:iCs/>
                <w:sz w:val="18"/>
                <w:szCs w:val="18"/>
                <w:lang w:eastAsia="lt-LT"/>
              </w:rPr>
              <w:t>3</w:t>
            </w:r>
            <w:r w:rsidRPr="002C08FA">
              <w:rPr>
                <w:rFonts w:ascii="Times New Roman" w:eastAsia="AngsanaUPC" w:hAnsi="Times New Roman"/>
                <w:bCs/>
                <w:iCs/>
                <w:sz w:val="18"/>
                <w:szCs w:val="18"/>
                <w:lang w:eastAsia="lt-LT"/>
              </w:rPr>
              <w:t>00</w:t>
            </w:r>
            <w:r w:rsidR="00D90882" w:rsidRPr="002C08FA">
              <w:rPr>
                <w:rFonts w:ascii="Times New Roman" w:eastAsia="AngsanaUPC" w:hAnsi="Times New Roman"/>
                <w:bCs/>
                <w:iCs/>
                <w:sz w:val="18"/>
                <w:szCs w:val="18"/>
                <w:lang w:eastAsia="lt-LT"/>
              </w:rPr>
              <w:t>.</w:t>
            </w:r>
            <w:r w:rsidRPr="002C08FA">
              <w:rPr>
                <w:rFonts w:ascii="Times New Roman" w:eastAsia="AngsanaUPC" w:hAnsi="Times New Roman"/>
                <w:bCs/>
                <w:iCs/>
                <w:sz w:val="18"/>
                <w:szCs w:val="18"/>
                <w:lang w:eastAsia="lt-LT"/>
              </w:rPr>
              <w:t>000</w:t>
            </w:r>
          </w:p>
        </w:tc>
        <w:tc>
          <w:tcPr>
            <w:tcW w:w="1134" w:type="dxa"/>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Duomenys iš projektų</w:t>
            </w:r>
          </w:p>
        </w:tc>
        <w:tc>
          <w:tcPr>
            <w:tcW w:w="992"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385835" w:rsidRPr="00385835" w:rsidTr="00385835">
        <w:tblPrEx>
          <w:shd w:val="clear" w:color="auto" w:fill="auto"/>
        </w:tblPrEx>
        <w:tc>
          <w:tcPr>
            <w:tcW w:w="565" w:type="dxa"/>
            <w:shd w:val="clear" w:color="auto" w:fill="auto"/>
            <w:vAlign w:val="center"/>
          </w:tcPr>
          <w:p w:rsidR="00385835" w:rsidRPr="00D54F90"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D54F90">
              <w:rPr>
                <w:rFonts w:ascii="Times New Roman" w:eastAsia="AngsanaUPC" w:hAnsi="Times New Roman"/>
                <w:bCs/>
                <w:iCs/>
                <w:sz w:val="18"/>
                <w:szCs w:val="18"/>
                <w:lang w:eastAsia="lt-LT"/>
              </w:rPr>
              <w:t>2.</w:t>
            </w:r>
          </w:p>
        </w:tc>
        <w:tc>
          <w:tcPr>
            <w:tcW w:w="2412" w:type="dxa"/>
            <w:shd w:val="clear" w:color="auto" w:fill="auto"/>
            <w:vAlign w:val="center"/>
          </w:tcPr>
          <w:p w:rsidR="00385835" w:rsidRPr="00D54F90" w:rsidRDefault="00385835" w:rsidP="00385835">
            <w:pPr>
              <w:widowControl w:val="0"/>
              <w:tabs>
                <w:tab w:val="left" w:pos="622"/>
              </w:tabs>
              <w:spacing w:after="0" w:line="240" w:lineRule="auto"/>
              <w:rPr>
                <w:rFonts w:ascii="Times New Roman" w:eastAsia="AngsanaUPC" w:hAnsi="Times New Roman"/>
                <w:bCs/>
                <w:iCs/>
                <w:sz w:val="18"/>
                <w:szCs w:val="18"/>
                <w:lang w:eastAsia="lt-LT"/>
              </w:rPr>
            </w:pPr>
            <w:r w:rsidRPr="00D54F90">
              <w:rPr>
                <w:rFonts w:ascii="Times New Roman" w:eastAsia="AngsanaUPC" w:hAnsi="Times New Roman"/>
                <w:bCs/>
                <w:iCs/>
                <w:sz w:val="18"/>
                <w:szCs w:val="20"/>
                <w:lang w:eastAsia="lt-LT"/>
              </w:rPr>
              <w:t xml:space="preserve">Subsidijas gaunančių įmonių </w:t>
            </w:r>
            <w:r w:rsidRPr="00D54F90">
              <w:rPr>
                <w:rFonts w:ascii="Times New Roman" w:eastAsia="AngsanaUPC" w:hAnsi="Times New Roman"/>
                <w:bCs/>
                <w:iCs/>
                <w:sz w:val="18"/>
                <w:szCs w:val="20"/>
                <w:lang w:eastAsia="lt-LT"/>
              </w:rPr>
              <w:lastRenderedPageBreak/>
              <w:t>skaičius</w:t>
            </w:r>
            <w:r w:rsidRPr="00D54F90">
              <w:rPr>
                <w:rFonts w:ascii="Times New Roman" w:eastAsia="AngsanaUPC" w:hAnsi="Times New Roman"/>
                <w:bCs/>
                <w:iCs/>
                <w:sz w:val="18"/>
                <w:szCs w:val="18"/>
                <w:lang w:eastAsia="lt-LT"/>
              </w:rPr>
              <w:t xml:space="preserve"> </w:t>
            </w:r>
          </w:p>
        </w:tc>
        <w:tc>
          <w:tcPr>
            <w:tcW w:w="1134" w:type="dxa"/>
            <w:shd w:val="clear" w:color="auto" w:fill="auto"/>
            <w:vAlign w:val="center"/>
          </w:tcPr>
          <w:p w:rsidR="00385835" w:rsidRPr="00D54F90"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D54F90">
              <w:rPr>
                <w:rFonts w:ascii="Times New Roman" w:eastAsia="AngsanaUPC" w:hAnsi="Times New Roman"/>
                <w:bCs/>
                <w:iCs/>
                <w:sz w:val="18"/>
                <w:szCs w:val="18"/>
                <w:lang w:eastAsia="lt-LT"/>
              </w:rPr>
              <w:lastRenderedPageBreak/>
              <w:t>Įmonės</w:t>
            </w:r>
          </w:p>
        </w:tc>
        <w:tc>
          <w:tcPr>
            <w:tcW w:w="992" w:type="dxa"/>
            <w:shd w:val="clear" w:color="auto" w:fill="auto"/>
            <w:vAlign w:val="center"/>
          </w:tcPr>
          <w:p w:rsidR="00385835" w:rsidRPr="00D54F90"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D54F90">
              <w:rPr>
                <w:rFonts w:ascii="Times New Roman" w:eastAsia="AngsanaUPC" w:hAnsi="Times New Roman"/>
                <w:bCs/>
                <w:iCs/>
                <w:sz w:val="18"/>
                <w:szCs w:val="18"/>
                <w:lang w:eastAsia="lt-LT"/>
              </w:rPr>
              <w:t>ERPF</w:t>
            </w:r>
          </w:p>
        </w:tc>
        <w:tc>
          <w:tcPr>
            <w:tcW w:w="1134" w:type="dxa"/>
            <w:shd w:val="clear" w:color="auto" w:fill="auto"/>
            <w:vAlign w:val="center"/>
          </w:tcPr>
          <w:p w:rsidR="00385835" w:rsidRPr="00D54F90" w:rsidRDefault="00385835" w:rsidP="00385835">
            <w:pPr>
              <w:widowControl w:val="0"/>
              <w:tabs>
                <w:tab w:val="left" w:pos="622"/>
              </w:tabs>
              <w:spacing w:after="0" w:line="240" w:lineRule="auto"/>
              <w:jc w:val="center"/>
              <w:rPr>
                <w:rFonts w:ascii="Times New Roman" w:eastAsia="AngsanaUPC" w:hAnsi="Times New Roman"/>
                <w:bCs/>
                <w:sz w:val="18"/>
                <w:szCs w:val="18"/>
                <w:lang w:eastAsia="lt-LT"/>
              </w:rPr>
            </w:pPr>
            <w:r w:rsidRPr="00D54F90">
              <w:rPr>
                <w:rFonts w:ascii="Times New Roman" w:eastAsia="AngsanaUPC" w:hAnsi="Times New Roman"/>
                <w:bCs/>
                <w:sz w:val="18"/>
                <w:szCs w:val="18"/>
                <w:lang w:eastAsia="lt-LT"/>
              </w:rPr>
              <w:t xml:space="preserve">Mažiau </w:t>
            </w:r>
            <w:r w:rsidRPr="00D54F90">
              <w:rPr>
                <w:rFonts w:ascii="Times New Roman" w:eastAsia="AngsanaUPC" w:hAnsi="Times New Roman"/>
                <w:bCs/>
                <w:sz w:val="18"/>
                <w:szCs w:val="18"/>
                <w:lang w:eastAsia="lt-LT"/>
              </w:rPr>
              <w:lastRenderedPageBreak/>
              <w:t>išsivystęs</w:t>
            </w:r>
          </w:p>
        </w:tc>
        <w:tc>
          <w:tcPr>
            <w:tcW w:w="1276" w:type="dxa"/>
            <w:shd w:val="clear" w:color="auto" w:fill="auto"/>
            <w:vAlign w:val="center"/>
          </w:tcPr>
          <w:p w:rsidR="00385835" w:rsidRPr="002C08FA" w:rsidRDefault="0067762F" w:rsidP="000678DA">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lastRenderedPageBreak/>
              <w:t>8</w:t>
            </w:r>
            <w:r w:rsidR="000678DA" w:rsidRPr="002C08FA">
              <w:rPr>
                <w:rFonts w:ascii="Times New Roman" w:eastAsia="AngsanaUPC" w:hAnsi="Times New Roman"/>
                <w:bCs/>
                <w:iCs/>
                <w:sz w:val="18"/>
                <w:szCs w:val="18"/>
                <w:lang w:eastAsia="lt-LT"/>
              </w:rPr>
              <w:t>85</w:t>
            </w:r>
          </w:p>
        </w:tc>
        <w:tc>
          <w:tcPr>
            <w:tcW w:w="1134" w:type="dxa"/>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 xml:space="preserve">Duomenys </w:t>
            </w:r>
            <w:r w:rsidRPr="00385835">
              <w:rPr>
                <w:rFonts w:ascii="Times New Roman" w:eastAsia="AngsanaUPC" w:hAnsi="Times New Roman"/>
                <w:bCs/>
                <w:iCs/>
                <w:sz w:val="18"/>
                <w:szCs w:val="18"/>
                <w:lang w:eastAsia="lt-LT"/>
              </w:rPr>
              <w:lastRenderedPageBreak/>
              <w:t>iš projektų</w:t>
            </w:r>
          </w:p>
        </w:tc>
        <w:tc>
          <w:tcPr>
            <w:tcW w:w="992"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lastRenderedPageBreak/>
              <w:t xml:space="preserve">Kartą per </w:t>
            </w:r>
            <w:r w:rsidRPr="00385835">
              <w:rPr>
                <w:rFonts w:ascii="Times New Roman" w:eastAsia="AngsanaUPC" w:hAnsi="Times New Roman"/>
                <w:bCs/>
                <w:iCs/>
                <w:sz w:val="18"/>
                <w:szCs w:val="18"/>
                <w:lang w:eastAsia="lt-LT"/>
              </w:rPr>
              <w:lastRenderedPageBreak/>
              <w:t>metus</w:t>
            </w:r>
          </w:p>
        </w:tc>
      </w:tr>
      <w:tr w:rsidR="00385835" w:rsidRPr="00385835" w:rsidTr="00385835">
        <w:tblPrEx>
          <w:shd w:val="clear" w:color="auto" w:fill="auto"/>
        </w:tblPrEx>
        <w:tc>
          <w:tcPr>
            <w:tcW w:w="565" w:type="dxa"/>
            <w:shd w:val="clear" w:color="auto" w:fill="auto"/>
            <w:vAlign w:val="center"/>
          </w:tcPr>
          <w:p w:rsidR="00385835" w:rsidRPr="00D54F90"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D54F90">
              <w:rPr>
                <w:rFonts w:ascii="Times New Roman" w:eastAsia="AngsanaUPC" w:hAnsi="Times New Roman"/>
                <w:bCs/>
                <w:iCs/>
                <w:sz w:val="18"/>
                <w:szCs w:val="18"/>
                <w:lang w:eastAsia="lt-LT"/>
              </w:rPr>
              <w:lastRenderedPageBreak/>
              <w:t>3.</w:t>
            </w:r>
          </w:p>
        </w:tc>
        <w:tc>
          <w:tcPr>
            <w:tcW w:w="2412" w:type="dxa"/>
            <w:shd w:val="clear" w:color="auto" w:fill="auto"/>
          </w:tcPr>
          <w:p w:rsidR="00385835" w:rsidRPr="00D54F90" w:rsidRDefault="00385835" w:rsidP="00385835">
            <w:pPr>
              <w:widowControl w:val="0"/>
              <w:tabs>
                <w:tab w:val="left" w:pos="622"/>
              </w:tabs>
              <w:spacing w:after="0" w:line="240" w:lineRule="auto"/>
              <w:rPr>
                <w:rFonts w:ascii="Times New Roman" w:eastAsia="AngsanaUPC" w:hAnsi="Times New Roman"/>
                <w:bCs/>
                <w:iCs/>
                <w:sz w:val="18"/>
                <w:szCs w:val="18"/>
                <w:lang w:eastAsia="lt-LT"/>
              </w:rPr>
            </w:pPr>
            <w:r w:rsidRPr="00D54F90">
              <w:rPr>
                <w:rFonts w:ascii="Times New Roman" w:eastAsia="AngsanaUPC" w:hAnsi="Times New Roman"/>
                <w:bCs/>
                <w:iCs/>
                <w:sz w:val="18"/>
                <w:szCs w:val="18"/>
                <w:lang w:eastAsia="lt-LT"/>
              </w:rPr>
              <w:t>Privačios investicijos, atitinkančios viešąją paramą įmonėms (ne subsidijos)</w:t>
            </w:r>
          </w:p>
        </w:tc>
        <w:tc>
          <w:tcPr>
            <w:tcW w:w="1134" w:type="dxa"/>
            <w:shd w:val="clear" w:color="auto" w:fill="auto"/>
            <w:vAlign w:val="center"/>
          </w:tcPr>
          <w:p w:rsidR="00385835" w:rsidRPr="00D54F90"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D54F90">
              <w:rPr>
                <w:rFonts w:ascii="Times New Roman" w:eastAsia="AngsanaUPC" w:hAnsi="Times New Roman"/>
                <w:bCs/>
                <w:iCs/>
                <w:sz w:val="18"/>
                <w:szCs w:val="18"/>
                <w:lang w:eastAsia="lt-LT"/>
              </w:rPr>
              <w:t>EUR</w:t>
            </w:r>
          </w:p>
        </w:tc>
        <w:tc>
          <w:tcPr>
            <w:tcW w:w="992" w:type="dxa"/>
            <w:shd w:val="clear" w:color="auto" w:fill="auto"/>
            <w:vAlign w:val="center"/>
          </w:tcPr>
          <w:p w:rsidR="00385835" w:rsidRPr="00D54F90"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D54F90">
              <w:rPr>
                <w:rFonts w:ascii="Times New Roman" w:eastAsia="AngsanaUPC" w:hAnsi="Times New Roman"/>
                <w:bCs/>
                <w:iCs/>
                <w:sz w:val="18"/>
                <w:szCs w:val="18"/>
                <w:lang w:eastAsia="lt-LT"/>
              </w:rPr>
              <w:t>ERPF</w:t>
            </w:r>
          </w:p>
        </w:tc>
        <w:tc>
          <w:tcPr>
            <w:tcW w:w="1134" w:type="dxa"/>
            <w:shd w:val="clear" w:color="auto" w:fill="auto"/>
            <w:vAlign w:val="center"/>
          </w:tcPr>
          <w:p w:rsidR="00385835" w:rsidRPr="00D54F90" w:rsidRDefault="00385835" w:rsidP="00385835">
            <w:pPr>
              <w:widowControl w:val="0"/>
              <w:tabs>
                <w:tab w:val="left" w:pos="622"/>
              </w:tabs>
              <w:spacing w:after="0" w:line="240" w:lineRule="auto"/>
              <w:jc w:val="center"/>
              <w:rPr>
                <w:rFonts w:ascii="Times New Roman" w:eastAsia="AngsanaUPC" w:hAnsi="Times New Roman"/>
                <w:bCs/>
                <w:sz w:val="18"/>
                <w:szCs w:val="18"/>
                <w:lang w:eastAsia="lt-LT"/>
              </w:rPr>
            </w:pPr>
            <w:r w:rsidRPr="00D54F90">
              <w:rPr>
                <w:rFonts w:ascii="Times New Roman" w:eastAsia="AngsanaUPC" w:hAnsi="Times New Roman"/>
                <w:bCs/>
                <w:sz w:val="18"/>
                <w:szCs w:val="18"/>
                <w:lang w:eastAsia="lt-LT"/>
              </w:rPr>
              <w:t>Mažiau išsivystęs</w:t>
            </w:r>
          </w:p>
        </w:tc>
        <w:tc>
          <w:tcPr>
            <w:tcW w:w="1276" w:type="dxa"/>
            <w:shd w:val="clear" w:color="auto" w:fill="auto"/>
            <w:vAlign w:val="center"/>
          </w:tcPr>
          <w:p w:rsidR="00385835" w:rsidRPr="002C08FA" w:rsidRDefault="000678DA" w:rsidP="00D90882">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23.270.000</w:t>
            </w:r>
          </w:p>
        </w:tc>
        <w:tc>
          <w:tcPr>
            <w:tcW w:w="1134" w:type="dxa"/>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Duomenys iš projektų</w:t>
            </w:r>
          </w:p>
        </w:tc>
        <w:tc>
          <w:tcPr>
            <w:tcW w:w="992"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385835" w:rsidRPr="00385835" w:rsidTr="00385835">
        <w:tblPrEx>
          <w:shd w:val="clear" w:color="auto" w:fill="auto"/>
        </w:tblPrEx>
        <w:tc>
          <w:tcPr>
            <w:tcW w:w="565" w:type="dxa"/>
            <w:shd w:val="clear" w:color="auto" w:fill="auto"/>
            <w:vAlign w:val="center"/>
          </w:tcPr>
          <w:p w:rsidR="00385835" w:rsidRPr="00D54F90"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D54F90">
              <w:rPr>
                <w:rFonts w:ascii="Times New Roman" w:eastAsia="AngsanaUPC" w:hAnsi="Times New Roman"/>
                <w:bCs/>
                <w:iCs/>
                <w:sz w:val="18"/>
                <w:szCs w:val="18"/>
                <w:lang w:eastAsia="lt-LT"/>
              </w:rPr>
              <w:t>4.</w:t>
            </w:r>
          </w:p>
        </w:tc>
        <w:tc>
          <w:tcPr>
            <w:tcW w:w="2412" w:type="dxa"/>
            <w:shd w:val="clear" w:color="auto" w:fill="auto"/>
          </w:tcPr>
          <w:p w:rsidR="00385835" w:rsidRPr="00D54F90" w:rsidRDefault="00385835" w:rsidP="00385835">
            <w:pPr>
              <w:widowControl w:val="0"/>
              <w:tabs>
                <w:tab w:val="left" w:pos="622"/>
              </w:tabs>
              <w:spacing w:after="0" w:line="240" w:lineRule="auto"/>
              <w:rPr>
                <w:rFonts w:ascii="Times New Roman" w:eastAsia="AngsanaUPC" w:hAnsi="Times New Roman"/>
                <w:bCs/>
                <w:iCs/>
                <w:sz w:val="18"/>
                <w:szCs w:val="18"/>
                <w:lang w:eastAsia="lt-LT"/>
              </w:rPr>
            </w:pPr>
            <w:r w:rsidRPr="00D54F90">
              <w:rPr>
                <w:rFonts w:ascii="Times New Roman" w:eastAsia="AngsanaUPC" w:hAnsi="Times New Roman"/>
                <w:bCs/>
                <w:iCs/>
                <w:sz w:val="18"/>
                <w:szCs w:val="18"/>
                <w:lang w:eastAsia="lt-LT"/>
              </w:rPr>
              <w:t>Kitos formos nei subsidija finansinę paramą gaunančių įmonių skaičius</w:t>
            </w:r>
          </w:p>
        </w:tc>
        <w:tc>
          <w:tcPr>
            <w:tcW w:w="1134" w:type="dxa"/>
            <w:shd w:val="clear" w:color="auto" w:fill="auto"/>
            <w:vAlign w:val="center"/>
          </w:tcPr>
          <w:p w:rsidR="00385835" w:rsidRPr="00D54F90"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D54F90">
              <w:rPr>
                <w:rFonts w:ascii="Times New Roman" w:eastAsia="AngsanaUPC" w:hAnsi="Times New Roman"/>
                <w:bCs/>
                <w:iCs/>
                <w:sz w:val="18"/>
                <w:szCs w:val="18"/>
                <w:lang w:eastAsia="lt-LT"/>
              </w:rPr>
              <w:t>Įmonės</w:t>
            </w:r>
          </w:p>
        </w:tc>
        <w:tc>
          <w:tcPr>
            <w:tcW w:w="992" w:type="dxa"/>
            <w:shd w:val="clear" w:color="auto" w:fill="auto"/>
            <w:vAlign w:val="center"/>
          </w:tcPr>
          <w:p w:rsidR="00385835" w:rsidRPr="00D54F90"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D54F90">
              <w:rPr>
                <w:rFonts w:ascii="Times New Roman" w:eastAsia="AngsanaUPC" w:hAnsi="Times New Roman"/>
                <w:bCs/>
                <w:iCs/>
                <w:sz w:val="18"/>
                <w:szCs w:val="18"/>
                <w:lang w:eastAsia="lt-LT"/>
              </w:rPr>
              <w:t>ERPF</w:t>
            </w:r>
          </w:p>
        </w:tc>
        <w:tc>
          <w:tcPr>
            <w:tcW w:w="1134" w:type="dxa"/>
            <w:shd w:val="clear" w:color="auto" w:fill="auto"/>
            <w:vAlign w:val="center"/>
          </w:tcPr>
          <w:p w:rsidR="00385835" w:rsidRPr="00D54F90" w:rsidRDefault="00385835" w:rsidP="00385835">
            <w:pPr>
              <w:widowControl w:val="0"/>
              <w:tabs>
                <w:tab w:val="left" w:pos="622"/>
              </w:tabs>
              <w:spacing w:after="0" w:line="240" w:lineRule="auto"/>
              <w:jc w:val="center"/>
              <w:rPr>
                <w:rFonts w:ascii="Times New Roman" w:eastAsia="AngsanaUPC" w:hAnsi="Times New Roman"/>
                <w:bCs/>
                <w:sz w:val="18"/>
                <w:szCs w:val="18"/>
                <w:lang w:eastAsia="lt-LT"/>
              </w:rPr>
            </w:pPr>
            <w:r w:rsidRPr="00D54F90">
              <w:rPr>
                <w:rFonts w:ascii="Times New Roman" w:eastAsia="AngsanaUPC" w:hAnsi="Times New Roman"/>
                <w:bCs/>
                <w:sz w:val="18"/>
                <w:szCs w:val="18"/>
                <w:lang w:eastAsia="lt-LT"/>
              </w:rPr>
              <w:t>Mažiau išsivystęs</w:t>
            </w:r>
          </w:p>
        </w:tc>
        <w:tc>
          <w:tcPr>
            <w:tcW w:w="1276" w:type="dxa"/>
            <w:shd w:val="clear" w:color="auto" w:fill="auto"/>
            <w:vAlign w:val="center"/>
          </w:tcPr>
          <w:p w:rsidR="00385835" w:rsidRPr="002C08FA" w:rsidRDefault="000678DA"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40</w:t>
            </w:r>
          </w:p>
        </w:tc>
        <w:tc>
          <w:tcPr>
            <w:tcW w:w="1134" w:type="dxa"/>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Duomenys iš projektų</w:t>
            </w:r>
          </w:p>
        </w:tc>
        <w:tc>
          <w:tcPr>
            <w:tcW w:w="992"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1E0FD8" w:rsidRPr="003E71A2" w:rsidTr="00385835">
        <w:tblPrEx>
          <w:shd w:val="clear" w:color="auto" w:fill="auto"/>
        </w:tblPrEx>
        <w:tc>
          <w:tcPr>
            <w:tcW w:w="565" w:type="dxa"/>
            <w:shd w:val="clear" w:color="auto" w:fill="auto"/>
            <w:vAlign w:val="center"/>
          </w:tcPr>
          <w:p w:rsidR="001E0FD8" w:rsidRPr="002C08FA" w:rsidRDefault="00D54F90" w:rsidP="001E0FD8">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5</w:t>
            </w:r>
            <w:r w:rsidR="001E0FD8" w:rsidRPr="002C08FA">
              <w:rPr>
                <w:rFonts w:ascii="Times New Roman" w:eastAsia="AngsanaUPC" w:hAnsi="Times New Roman"/>
                <w:bCs/>
                <w:iCs/>
                <w:sz w:val="18"/>
                <w:szCs w:val="18"/>
                <w:lang w:eastAsia="lt-LT"/>
              </w:rPr>
              <w:t>.</w:t>
            </w:r>
          </w:p>
        </w:tc>
        <w:tc>
          <w:tcPr>
            <w:tcW w:w="2412" w:type="dxa"/>
            <w:shd w:val="clear" w:color="auto" w:fill="auto"/>
            <w:vAlign w:val="center"/>
          </w:tcPr>
          <w:p w:rsidR="001E0FD8" w:rsidRPr="00D54F90" w:rsidRDefault="001E0FD8" w:rsidP="001E0FD8">
            <w:pPr>
              <w:widowControl w:val="0"/>
              <w:tabs>
                <w:tab w:val="left" w:pos="622"/>
              </w:tabs>
              <w:spacing w:after="0" w:line="240" w:lineRule="auto"/>
              <w:rPr>
                <w:rFonts w:ascii="Times New Roman" w:eastAsia="AngsanaUPC" w:hAnsi="Times New Roman"/>
                <w:bCs/>
                <w:iCs/>
                <w:sz w:val="18"/>
                <w:szCs w:val="18"/>
                <w:lang w:eastAsia="lt-LT"/>
              </w:rPr>
            </w:pPr>
            <w:r w:rsidRPr="00D54F90">
              <w:rPr>
                <w:rFonts w:ascii="Times New Roman" w:eastAsia="Times New Roman" w:hAnsi="Times New Roman"/>
                <w:sz w:val="18"/>
                <w:szCs w:val="18"/>
              </w:rPr>
              <w:t>Investicijas gaunančių įmonių skaičius</w:t>
            </w:r>
          </w:p>
        </w:tc>
        <w:tc>
          <w:tcPr>
            <w:tcW w:w="1134" w:type="dxa"/>
            <w:shd w:val="clear" w:color="auto" w:fill="auto"/>
            <w:vAlign w:val="center"/>
          </w:tcPr>
          <w:p w:rsidR="001E0FD8" w:rsidRPr="00D54F90" w:rsidRDefault="001E0FD8" w:rsidP="001E0FD8">
            <w:pPr>
              <w:widowControl w:val="0"/>
              <w:tabs>
                <w:tab w:val="left" w:pos="622"/>
              </w:tabs>
              <w:spacing w:after="0" w:line="240" w:lineRule="auto"/>
              <w:jc w:val="center"/>
              <w:rPr>
                <w:rFonts w:ascii="Times New Roman" w:eastAsia="AngsanaUPC" w:hAnsi="Times New Roman"/>
                <w:bCs/>
                <w:iCs/>
                <w:sz w:val="18"/>
                <w:szCs w:val="18"/>
                <w:lang w:eastAsia="lt-LT"/>
              </w:rPr>
            </w:pPr>
            <w:r w:rsidRPr="00D54F90">
              <w:rPr>
                <w:rFonts w:ascii="Times New Roman" w:eastAsia="AngsanaUPC" w:hAnsi="Times New Roman"/>
                <w:bCs/>
                <w:iCs/>
                <w:sz w:val="18"/>
                <w:szCs w:val="18"/>
                <w:lang w:eastAsia="lt-LT"/>
              </w:rPr>
              <w:t>Įmonės</w:t>
            </w:r>
          </w:p>
        </w:tc>
        <w:tc>
          <w:tcPr>
            <w:tcW w:w="992" w:type="dxa"/>
            <w:shd w:val="clear" w:color="auto" w:fill="auto"/>
            <w:vAlign w:val="center"/>
          </w:tcPr>
          <w:p w:rsidR="001E0FD8" w:rsidRPr="00D54F90" w:rsidRDefault="001E0FD8" w:rsidP="001E0FD8">
            <w:pPr>
              <w:widowControl w:val="0"/>
              <w:tabs>
                <w:tab w:val="left" w:pos="622"/>
              </w:tabs>
              <w:spacing w:after="0" w:line="240" w:lineRule="auto"/>
              <w:jc w:val="center"/>
              <w:rPr>
                <w:rFonts w:ascii="Times New Roman" w:eastAsia="AngsanaUPC" w:hAnsi="Times New Roman"/>
                <w:bCs/>
                <w:iCs/>
                <w:sz w:val="18"/>
                <w:szCs w:val="18"/>
                <w:lang w:eastAsia="lt-LT"/>
              </w:rPr>
            </w:pPr>
            <w:r w:rsidRPr="00D54F90">
              <w:rPr>
                <w:rFonts w:ascii="Times New Roman" w:eastAsia="AngsanaUPC" w:hAnsi="Times New Roman"/>
                <w:bCs/>
                <w:iCs/>
                <w:sz w:val="18"/>
                <w:szCs w:val="18"/>
                <w:lang w:eastAsia="lt-LT"/>
              </w:rPr>
              <w:t>ERPF</w:t>
            </w:r>
          </w:p>
        </w:tc>
        <w:tc>
          <w:tcPr>
            <w:tcW w:w="1134" w:type="dxa"/>
            <w:shd w:val="clear" w:color="auto" w:fill="auto"/>
            <w:vAlign w:val="center"/>
          </w:tcPr>
          <w:p w:rsidR="001E0FD8" w:rsidRPr="00D54F90" w:rsidRDefault="001E0FD8" w:rsidP="001E0FD8">
            <w:pPr>
              <w:widowControl w:val="0"/>
              <w:tabs>
                <w:tab w:val="left" w:pos="622"/>
              </w:tabs>
              <w:spacing w:after="0" w:line="240" w:lineRule="auto"/>
              <w:jc w:val="center"/>
              <w:rPr>
                <w:rFonts w:ascii="Times New Roman" w:eastAsia="AngsanaUPC" w:hAnsi="Times New Roman"/>
                <w:bCs/>
                <w:sz w:val="18"/>
                <w:szCs w:val="18"/>
                <w:lang w:eastAsia="lt-LT"/>
              </w:rPr>
            </w:pPr>
            <w:r w:rsidRPr="00D54F90">
              <w:rPr>
                <w:rFonts w:ascii="Times New Roman" w:eastAsia="AngsanaUPC" w:hAnsi="Times New Roman"/>
                <w:bCs/>
                <w:iCs/>
                <w:sz w:val="18"/>
                <w:szCs w:val="18"/>
                <w:lang w:eastAsia="lt-LT"/>
              </w:rPr>
              <w:t>Mažiau išsivystęs</w:t>
            </w:r>
          </w:p>
        </w:tc>
        <w:tc>
          <w:tcPr>
            <w:tcW w:w="1276" w:type="dxa"/>
            <w:shd w:val="clear" w:color="auto" w:fill="auto"/>
            <w:vAlign w:val="center"/>
          </w:tcPr>
          <w:p w:rsidR="001E0FD8" w:rsidRPr="00D54F90" w:rsidRDefault="001E0FD8" w:rsidP="00D90882">
            <w:pPr>
              <w:widowControl w:val="0"/>
              <w:tabs>
                <w:tab w:val="left" w:pos="622"/>
              </w:tabs>
              <w:spacing w:after="0" w:line="240" w:lineRule="auto"/>
              <w:jc w:val="center"/>
              <w:rPr>
                <w:rFonts w:ascii="Times New Roman" w:eastAsia="Times New Roman" w:hAnsi="Times New Roman"/>
                <w:sz w:val="18"/>
                <w:szCs w:val="18"/>
              </w:rPr>
            </w:pPr>
            <w:r w:rsidRPr="00D54F90">
              <w:rPr>
                <w:rFonts w:ascii="Times New Roman" w:eastAsia="Times New Roman" w:hAnsi="Times New Roman"/>
                <w:sz w:val="18"/>
                <w:szCs w:val="18"/>
              </w:rPr>
              <w:t>1</w:t>
            </w:r>
            <w:r w:rsidR="00D90882" w:rsidRPr="00D54F90">
              <w:rPr>
                <w:rFonts w:ascii="Times New Roman" w:eastAsia="Times New Roman" w:hAnsi="Times New Roman"/>
                <w:sz w:val="18"/>
                <w:szCs w:val="18"/>
              </w:rPr>
              <w:t>.</w:t>
            </w:r>
            <w:r w:rsidRPr="00D54F90">
              <w:rPr>
                <w:rFonts w:ascii="Times New Roman" w:eastAsia="Times New Roman" w:hAnsi="Times New Roman"/>
                <w:sz w:val="18"/>
                <w:szCs w:val="18"/>
              </w:rPr>
              <w:t>000</w:t>
            </w:r>
          </w:p>
        </w:tc>
        <w:tc>
          <w:tcPr>
            <w:tcW w:w="1134" w:type="dxa"/>
            <w:vAlign w:val="center"/>
          </w:tcPr>
          <w:p w:rsidR="001E0FD8" w:rsidRPr="003E71A2" w:rsidRDefault="001E0FD8" w:rsidP="001E0FD8">
            <w:pPr>
              <w:widowControl w:val="0"/>
              <w:tabs>
                <w:tab w:val="left" w:pos="622"/>
              </w:tabs>
              <w:spacing w:after="0" w:line="240" w:lineRule="auto"/>
              <w:jc w:val="center"/>
              <w:rPr>
                <w:rFonts w:ascii="Times New Roman" w:eastAsia="AngsanaUPC" w:hAnsi="Times New Roman"/>
                <w:bCs/>
                <w:iCs/>
                <w:sz w:val="18"/>
                <w:szCs w:val="18"/>
                <w:lang w:eastAsia="lt-LT"/>
              </w:rPr>
            </w:pPr>
            <w:r w:rsidRPr="003E71A2">
              <w:rPr>
                <w:rFonts w:ascii="Times New Roman" w:eastAsia="AngsanaUPC" w:hAnsi="Times New Roman"/>
                <w:bCs/>
                <w:iCs/>
                <w:sz w:val="18"/>
                <w:szCs w:val="18"/>
                <w:lang w:eastAsia="lt-LT"/>
              </w:rPr>
              <w:t>Duomenys iš projektų</w:t>
            </w:r>
          </w:p>
        </w:tc>
        <w:tc>
          <w:tcPr>
            <w:tcW w:w="992" w:type="dxa"/>
            <w:shd w:val="clear" w:color="auto" w:fill="auto"/>
            <w:vAlign w:val="center"/>
          </w:tcPr>
          <w:p w:rsidR="001E0FD8" w:rsidRPr="003E71A2" w:rsidRDefault="001E0FD8" w:rsidP="001E0FD8">
            <w:pPr>
              <w:widowControl w:val="0"/>
              <w:tabs>
                <w:tab w:val="left" w:pos="622"/>
              </w:tabs>
              <w:spacing w:after="0" w:line="240" w:lineRule="auto"/>
              <w:jc w:val="center"/>
              <w:rPr>
                <w:rFonts w:ascii="Times New Roman" w:eastAsia="AngsanaUPC" w:hAnsi="Times New Roman"/>
                <w:bCs/>
                <w:iCs/>
                <w:sz w:val="18"/>
                <w:szCs w:val="18"/>
                <w:lang w:eastAsia="lt-LT"/>
              </w:rPr>
            </w:pPr>
            <w:r w:rsidRPr="003E71A2">
              <w:rPr>
                <w:rFonts w:ascii="Times New Roman" w:eastAsia="AngsanaUPC" w:hAnsi="Times New Roman"/>
                <w:bCs/>
                <w:iCs/>
                <w:sz w:val="18"/>
                <w:szCs w:val="18"/>
                <w:lang w:eastAsia="lt-LT"/>
              </w:rPr>
              <w:t>Kartą per metus</w:t>
            </w:r>
          </w:p>
        </w:tc>
      </w:tr>
      <w:tr w:rsidR="001E0FD8" w:rsidRPr="003E71A2" w:rsidTr="00385835">
        <w:tblPrEx>
          <w:shd w:val="clear" w:color="auto" w:fill="auto"/>
        </w:tblPrEx>
        <w:tc>
          <w:tcPr>
            <w:tcW w:w="565" w:type="dxa"/>
            <w:shd w:val="clear" w:color="auto" w:fill="auto"/>
            <w:vAlign w:val="center"/>
          </w:tcPr>
          <w:p w:rsidR="001E0FD8" w:rsidRPr="002C08FA" w:rsidRDefault="00D54F90" w:rsidP="001E0FD8">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6</w:t>
            </w:r>
            <w:r w:rsidR="001E0FD8" w:rsidRPr="002C08FA">
              <w:rPr>
                <w:rFonts w:ascii="Times New Roman" w:eastAsia="AngsanaUPC" w:hAnsi="Times New Roman"/>
                <w:bCs/>
                <w:iCs/>
                <w:sz w:val="18"/>
                <w:szCs w:val="18"/>
                <w:lang w:eastAsia="lt-LT"/>
              </w:rPr>
              <w:t>.</w:t>
            </w:r>
          </w:p>
        </w:tc>
        <w:tc>
          <w:tcPr>
            <w:tcW w:w="2412" w:type="dxa"/>
            <w:shd w:val="clear" w:color="auto" w:fill="auto"/>
            <w:vAlign w:val="center"/>
          </w:tcPr>
          <w:p w:rsidR="001E0FD8" w:rsidRPr="00D54F90" w:rsidRDefault="001E0FD8" w:rsidP="001E0FD8">
            <w:pPr>
              <w:widowControl w:val="0"/>
              <w:tabs>
                <w:tab w:val="left" w:pos="622"/>
              </w:tabs>
              <w:spacing w:after="0" w:line="240" w:lineRule="auto"/>
              <w:rPr>
                <w:rFonts w:ascii="Times New Roman" w:eastAsia="Times New Roman" w:hAnsi="Times New Roman"/>
                <w:sz w:val="18"/>
                <w:szCs w:val="18"/>
              </w:rPr>
            </w:pPr>
            <w:r w:rsidRPr="00D54F90">
              <w:rPr>
                <w:rFonts w:ascii="Times New Roman" w:eastAsia="Times New Roman" w:hAnsi="Times New Roman"/>
                <w:sz w:val="18"/>
                <w:szCs w:val="18"/>
              </w:rPr>
              <w:t>Investicijas gavusiose įmonėse naujai sukurtos ilgalaikės darbo vietos</w:t>
            </w:r>
          </w:p>
        </w:tc>
        <w:tc>
          <w:tcPr>
            <w:tcW w:w="1134" w:type="dxa"/>
            <w:shd w:val="clear" w:color="auto" w:fill="auto"/>
            <w:vAlign w:val="center"/>
          </w:tcPr>
          <w:p w:rsidR="001E0FD8" w:rsidRPr="00D54F90" w:rsidRDefault="001E0FD8" w:rsidP="001E0FD8">
            <w:pPr>
              <w:widowControl w:val="0"/>
              <w:tabs>
                <w:tab w:val="left" w:pos="622"/>
              </w:tabs>
              <w:spacing w:after="0" w:line="240" w:lineRule="auto"/>
              <w:jc w:val="center"/>
              <w:rPr>
                <w:rFonts w:ascii="Times New Roman" w:eastAsia="AngsanaUPC" w:hAnsi="Times New Roman"/>
                <w:bCs/>
                <w:iCs/>
                <w:sz w:val="18"/>
                <w:szCs w:val="18"/>
                <w:lang w:eastAsia="lt-LT"/>
              </w:rPr>
            </w:pPr>
            <w:r w:rsidRPr="00D54F90">
              <w:rPr>
                <w:rFonts w:ascii="Times New Roman" w:eastAsia="AngsanaUPC" w:hAnsi="Times New Roman"/>
                <w:bCs/>
                <w:iCs/>
                <w:sz w:val="18"/>
                <w:szCs w:val="18"/>
                <w:lang w:eastAsia="lt-LT"/>
              </w:rPr>
              <w:t>Visos darbo dienos ekvivalentai</w:t>
            </w:r>
          </w:p>
        </w:tc>
        <w:tc>
          <w:tcPr>
            <w:tcW w:w="992" w:type="dxa"/>
            <w:shd w:val="clear" w:color="auto" w:fill="auto"/>
            <w:vAlign w:val="center"/>
          </w:tcPr>
          <w:p w:rsidR="001E0FD8" w:rsidRPr="00D54F90" w:rsidRDefault="001E0FD8" w:rsidP="001E0FD8">
            <w:pPr>
              <w:widowControl w:val="0"/>
              <w:tabs>
                <w:tab w:val="left" w:pos="622"/>
              </w:tabs>
              <w:spacing w:after="0" w:line="240" w:lineRule="auto"/>
              <w:jc w:val="center"/>
              <w:rPr>
                <w:rFonts w:ascii="Times New Roman" w:eastAsia="AngsanaUPC" w:hAnsi="Times New Roman"/>
                <w:bCs/>
                <w:iCs/>
                <w:sz w:val="18"/>
                <w:szCs w:val="18"/>
                <w:lang w:eastAsia="lt-LT"/>
              </w:rPr>
            </w:pPr>
            <w:r w:rsidRPr="00D54F90">
              <w:rPr>
                <w:rFonts w:ascii="Times New Roman" w:eastAsia="AngsanaUPC" w:hAnsi="Times New Roman"/>
                <w:bCs/>
                <w:iCs/>
                <w:sz w:val="18"/>
                <w:szCs w:val="18"/>
                <w:lang w:eastAsia="lt-LT"/>
              </w:rPr>
              <w:t>ERPF</w:t>
            </w:r>
          </w:p>
        </w:tc>
        <w:tc>
          <w:tcPr>
            <w:tcW w:w="1134" w:type="dxa"/>
            <w:shd w:val="clear" w:color="auto" w:fill="auto"/>
            <w:vAlign w:val="center"/>
          </w:tcPr>
          <w:p w:rsidR="001E0FD8" w:rsidRPr="00D54F90" w:rsidRDefault="001E0FD8" w:rsidP="001E0FD8">
            <w:pPr>
              <w:widowControl w:val="0"/>
              <w:tabs>
                <w:tab w:val="left" w:pos="622"/>
              </w:tabs>
              <w:spacing w:after="0" w:line="240" w:lineRule="auto"/>
              <w:jc w:val="center"/>
              <w:rPr>
                <w:rFonts w:ascii="Times New Roman" w:eastAsia="AngsanaUPC" w:hAnsi="Times New Roman"/>
                <w:bCs/>
                <w:sz w:val="18"/>
                <w:szCs w:val="18"/>
                <w:lang w:eastAsia="lt-LT"/>
              </w:rPr>
            </w:pPr>
            <w:r w:rsidRPr="00D54F90">
              <w:rPr>
                <w:rFonts w:ascii="Times New Roman" w:eastAsia="AngsanaUPC" w:hAnsi="Times New Roman"/>
                <w:bCs/>
                <w:iCs/>
                <w:sz w:val="18"/>
                <w:szCs w:val="18"/>
                <w:lang w:eastAsia="lt-LT"/>
              </w:rPr>
              <w:t>Mažiau išsivystęs</w:t>
            </w:r>
          </w:p>
        </w:tc>
        <w:tc>
          <w:tcPr>
            <w:tcW w:w="1276" w:type="dxa"/>
            <w:shd w:val="clear" w:color="auto" w:fill="auto"/>
            <w:vAlign w:val="center"/>
          </w:tcPr>
          <w:p w:rsidR="001E0FD8" w:rsidRPr="00D54F90" w:rsidRDefault="001E0FD8" w:rsidP="00D90882">
            <w:pPr>
              <w:widowControl w:val="0"/>
              <w:tabs>
                <w:tab w:val="left" w:pos="622"/>
              </w:tabs>
              <w:spacing w:after="0" w:line="240" w:lineRule="auto"/>
              <w:jc w:val="center"/>
              <w:rPr>
                <w:rFonts w:ascii="Times New Roman" w:eastAsia="Times New Roman" w:hAnsi="Times New Roman"/>
                <w:sz w:val="18"/>
                <w:szCs w:val="18"/>
              </w:rPr>
            </w:pPr>
            <w:r w:rsidRPr="00D54F90">
              <w:rPr>
                <w:rFonts w:ascii="Times New Roman" w:eastAsia="Times New Roman" w:hAnsi="Times New Roman"/>
                <w:sz w:val="18"/>
                <w:szCs w:val="18"/>
              </w:rPr>
              <w:t>1</w:t>
            </w:r>
            <w:r w:rsidR="00D90882" w:rsidRPr="00D54F90">
              <w:rPr>
                <w:rFonts w:ascii="Times New Roman" w:eastAsia="Times New Roman" w:hAnsi="Times New Roman"/>
                <w:sz w:val="18"/>
                <w:szCs w:val="18"/>
              </w:rPr>
              <w:t>.</w:t>
            </w:r>
            <w:r w:rsidRPr="00D54F90">
              <w:rPr>
                <w:rFonts w:ascii="Times New Roman" w:eastAsia="Times New Roman" w:hAnsi="Times New Roman"/>
                <w:sz w:val="18"/>
                <w:szCs w:val="18"/>
              </w:rPr>
              <w:t>200</w:t>
            </w:r>
          </w:p>
        </w:tc>
        <w:tc>
          <w:tcPr>
            <w:tcW w:w="1134" w:type="dxa"/>
            <w:vAlign w:val="center"/>
          </w:tcPr>
          <w:p w:rsidR="001E0FD8" w:rsidRPr="003E71A2" w:rsidRDefault="001E0FD8" w:rsidP="001E0FD8">
            <w:pPr>
              <w:widowControl w:val="0"/>
              <w:tabs>
                <w:tab w:val="left" w:pos="622"/>
              </w:tabs>
              <w:spacing w:after="0" w:line="240" w:lineRule="auto"/>
              <w:jc w:val="center"/>
              <w:rPr>
                <w:rFonts w:ascii="Times New Roman" w:eastAsia="AngsanaUPC" w:hAnsi="Times New Roman"/>
                <w:bCs/>
                <w:iCs/>
                <w:sz w:val="18"/>
                <w:szCs w:val="18"/>
                <w:lang w:eastAsia="lt-LT"/>
              </w:rPr>
            </w:pPr>
            <w:r w:rsidRPr="003E71A2">
              <w:rPr>
                <w:rFonts w:ascii="Times New Roman" w:eastAsia="AngsanaUPC" w:hAnsi="Times New Roman"/>
                <w:bCs/>
                <w:iCs/>
                <w:sz w:val="18"/>
                <w:szCs w:val="18"/>
                <w:lang w:eastAsia="lt-LT"/>
              </w:rPr>
              <w:t>Duomenys iš projektų</w:t>
            </w:r>
          </w:p>
        </w:tc>
        <w:tc>
          <w:tcPr>
            <w:tcW w:w="992" w:type="dxa"/>
            <w:shd w:val="clear" w:color="auto" w:fill="auto"/>
            <w:vAlign w:val="center"/>
          </w:tcPr>
          <w:p w:rsidR="001E0FD8" w:rsidRPr="003E71A2" w:rsidRDefault="001E0FD8" w:rsidP="001E0FD8">
            <w:pPr>
              <w:widowControl w:val="0"/>
              <w:tabs>
                <w:tab w:val="left" w:pos="622"/>
              </w:tabs>
              <w:spacing w:after="0" w:line="240" w:lineRule="auto"/>
              <w:jc w:val="center"/>
              <w:rPr>
                <w:rFonts w:ascii="Times New Roman" w:eastAsia="AngsanaUPC" w:hAnsi="Times New Roman"/>
                <w:bCs/>
                <w:iCs/>
                <w:sz w:val="18"/>
                <w:szCs w:val="18"/>
                <w:lang w:eastAsia="lt-LT"/>
              </w:rPr>
            </w:pPr>
            <w:r w:rsidRPr="003E71A2">
              <w:rPr>
                <w:rFonts w:ascii="Times New Roman" w:eastAsia="AngsanaUPC" w:hAnsi="Times New Roman"/>
                <w:bCs/>
                <w:iCs/>
                <w:sz w:val="18"/>
                <w:szCs w:val="18"/>
                <w:lang w:eastAsia="lt-LT"/>
              </w:rPr>
              <w:t>Kartą per metus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746"/>
      </w:tblGrid>
      <w:tr w:rsidR="00385835" w:rsidRPr="00385835" w:rsidTr="00385835">
        <w:tc>
          <w:tcPr>
            <w:tcW w:w="9746"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i/>
                <w:iCs/>
                <w:sz w:val="24"/>
                <w:szCs w:val="24"/>
                <w:lang w:eastAsia="lt-LT"/>
              </w:rPr>
              <w:t>Projektų</w:t>
            </w:r>
            <w:r w:rsidR="00E70E83">
              <w:rPr>
                <w:rFonts w:ascii="Times New Roman" w:eastAsia="AngsanaUPC" w:hAnsi="Times New Roman"/>
                <w:b/>
                <w:bCs/>
                <w:i/>
                <w:iCs/>
                <w:sz w:val="24"/>
                <w:szCs w:val="24"/>
                <w:lang w:eastAsia="lt-LT"/>
              </w:rPr>
              <w:t xml:space="preserve"> </w:t>
            </w:r>
            <w:r w:rsidRPr="00385835">
              <w:rPr>
                <w:rFonts w:ascii="Times New Roman" w:eastAsia="AngsanaUPC" w:hAnsi="Times New Roman"/>
                <w:b/>
                <w:bCs/>
                <w:i/>
                <w:iCs/>
                <w:sz w:val="24"/>
                <w:szCs w:val="24"/>
                <w:lang w:eastAsia="lt-LT"/>
              </w:rPr>
              <w:t>/</w:t>
            </w:r>
            <w:r w:rsidR="00E70E83">
              <w:rPr>
                <w:rFonts w:ascii="Times New Roman" w:eastAsia="AngsanaUPC" w:hAnsi="Times New Roman"/>
                <w:b/>
                <w:bCs/>
                <w:i/>
                <w:iCs/>
                <w:sz w:val="24"/>
                <w:szCs w:val="24"/>
                <w:lang w:eastAsia="lt-LT"/>
              </w:rPr>
              <w:t xml:space="preserve"> </w:t>
            </w:r>
            <w:r w:rsidRPr="00385835">
              <w:rPr>
                <w:rFonts w:ascii="Times New Roman" w:eastAsia="AngsanaUPC" w:hAnsi="Times New Roman"/>
                <w:b/>
                <w:bCs/>
                <w:i/>
                <w:iCs/>
                <w:sz w:val="24"/>
                <w:szCs w:val="24"/>
                <w:lang w:eastAsia="lt-LT"/>
              </w:rPr>
              <w:t>veiksmų atrankos principai</w:t>
            </w:r>
          </w:p>
        </w:tc>
      </w:tr>
      <w:tr w:rsidR="00385835" w:rsidRPr="00385835" w:rsidTr="00385835">
        <w:tc>
          <w:tcPr>
            <w:tcW w:w="9746" w:type="dxa"/>
            <w:shd w:val="clear" w:color="auto" w:fill="auto"/>
          </w:tcPr>
          <w:p w:rsidR="00385835" w:rsidRPr="00385835" w:rsidRDefault="00385835" w:rsidP="00031EF1">
            <w:pPr>
              <w:widowControl w:val="0"/>
              <w:tabs>
                <w:tab w:val="left" w:pos="459"/>
              </w:tabs>
              <w:spacing w:after="0" w:line="240" w:lineRule="auto"/>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Atrenkant projektus bus laikomasi šių pagrindinių principų:</w:t>
            </w:r>
          </w:p>
          <w:p w:rsidR="00385835" w:rsidRPr="00385835" w:rsidRDefault="00385835" w:rsidP="00650E41">
            <w:pPr>
              <w:widowControl w:val="0"/>
              <w:numPr>
                <w:ilvl w:val="0"/>
                <w:numId w:val="61"/>
              </w:numPr>
              <w:tabs>
                <w:tab w:val="left" w:pos="459"/>
              </w:tabs>
              <w:spacing w:after="0" w:line="240" w:lineRule="auto"/>
              <w:ind w:left="0"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Veiksmų programos 3.1. investicinį prioritetą įgyvendinantys projektai bus atrenkami konkurso būdu.</w:t>
            </w:r>
          </w:p>
          <w:p w:rsidR="00385835" w:rsidRPr="00385835" w:rsidRDefault="00385835" w:rsidP="00650E41">
            <w:pPr>
              <w:widowControl w:val="0"/>
              <w:numPr>
                <w:ilvl w:val="0"/>
                <w:numId w:val="53"/>
              </w:numPr>
              <w:tabs>
                <w:tab w:val="left" w:pos="459"/>
              </w:tabs>
              <w:spacing w:after="0" w:line="240" w:lineRule="auto"/>
              <w:ind w:left="0"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Atrenkant projektus finansavimui, bus atsižvelgiama į sumanios specializacijos strategijoje nustatytus prioritetus.</w:t>
            </w:r>
          </w:p>
          <w:p w:rsidR="00385835" w:rsidRPr="00385835" w:rsidRDefault="00385835" w:rsidP="00650E41">
            <w:pPr>
              <w:widowControl w:val="0"/>
              <w:numPr>
                <w:ilvl w:val="0"/>
                <w:numId w:val="61"/>
              </w:numPr>
              <w:tabs>
                <w:tab w:val="left" w:pos="459"/>
              </w:tabs>
              <w:spacing w:after="0" w:line="240" w:lineRule="auto"/>
              <w:ind w:left="0"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 xml:space="preserve">Verslumo skatinimo intervencijas papildys 2 ir 10 prioritetų veiksmai, nukreipti į verslo aplinkos gerinimą, reguliacinės bei administracinės naštos mažinimą; verslumo skatinimo priemonės bus koordinuojamos su 7 prioriteto intervencijomis, nukreiptomis į </w:t>
            </w:r>
            <w:r w:rsidR="00B231D7" w:rsidRPr="00B231D7">
              <w:rPr>
                <w:rFonts w:ascii="Times New Roman" w:eastAsia="AngsanaUPC" w:hAnsi="Times New Roman"/>
                <w:bCs/>
                <w:iCs/>
                <w:sz w:val="24"/>
                <w:szCs w:val="24"/>
                <w:lang w:eastAsia="lt-LT"/>
              </w:rPr>
              <w:t xml:space="preserve">miestų teritorijų atgaivinimą (regeneravimą), apleistų teritorijų ir objektų pertvarkymą (konversiją) ir jų pasiekiamumo gerinimą, </w:t>
            </w:r>
            <w:r w:rsidRPr="00385835">
              <w:rPr>
                <w:rFonts w:ascii="Times New Roman" w:eastAsia="AngsanaUPC" w:hAnsi="Times New Roman"/>
                <w:bCs/>
                <w:iCs/>
                <w:sz w:val="24"/>
                <w:szCs w:val="24"/>
                <w:lang w:eastAsia="lt-LT"/>
              </w:rPr>
              <w:t>pažeidžiamų gyventojų (taip pat ir jaunimo) grupių verslumo ir savarankiško užimtumo didinimą ir 9 prioriteto investicijomis į mokymosi visą gyvenimą sistemos tobulinimą.</w:t>
            </w:r>
          </w:p>
          <w:p w:rsidR="00385835" w:rsidRPr="00B231D7" w:rsidRDefault="00B231D7" w:rsidP="00650E41">
            <w:pPr>
              <w:widowControl w:val="0"/>
              <w:numPr>
                <w:ilvl w:val="0"/>
                <w:numId w:val="61"/>
              </w:numPr>
              <w:tabs>
                <w:tab w:val="left" w:pos="459"/>
              </w:tabs>
              <w:spacing w:after="0" w:line="240" w:lineRule="auto"/>
              <w:ind w:left="0" w:firstLine="0"/>
              <w:jc w:val="both"/>
              <w:rPr>
                <w:rFonts w:ascii="Times New Roman" w:eastAsia="AngsanaUPC" w:hAnsi="Times New Roman"/>
                <w:bCs/>
                <w:iCs/>
                <w:sz w:val="24"/>
                <w:szCs w:val="24"/>
                <w:lang w:eastAsia="lt-LT"/>
              </w:rPr>
            </w:pPr>
            <w:r w:rsidRPr="00B231D7">
              <w:rPr>
                <w:rFonts w:ascii="Times New Roman" w:eastAsia="Times New Roman" w:hAnsi="Times New Roman"/>
                <w:sz w:val="24"/>
                <w:szCs w:val="24"/>
              </w:rPr>
              <w:t xml:space="preserve">Šio investicinio prioriteto veiklos gali būti įgyvendinamos, taikant ITI įgyvendinimo mechanizmą, </w:t>
            </w:r>
            <w:r w:rsidRPr="00B231D7">
              <w:rPr>
                <w:rFonts w:ascii="Times New Roman" w:hAnsi="Times New Roman"/>
                <w:sz w:val="24"/>
                <w:szCs w:val="24"/>
              </w:rPr>
              <w:t xml:space="preserve">nustatytą </w:t>
            </w:r>
            <w:r w:rsidRPr="00B231D7">
              <w:rPr>
                <w:rFonts w:ascii="Times New Roman" w:eastAsia="Times New Roman" w:hAnsi="Times New Roman"/>
                <w:color w:val="000000"/>
                <w:sz w:val="24"/>
                <w:szCs w:val="24"/>
              </w:rPr>
              <w:t>Veiksmų programos 4 skirsnyje,</w:t>
            </w:r>
            <w:r w:rsidRPr="00B231D7">
              <w:rPr>
                <w:rFonts w:ascii="Times New Roman" w:eastAsia="Times New Roman" w:hAnsi="Times New Roman"/>
                <w:sz w:val="24"/>
                <w:szCs w:val="24"/>
              </w:rPr>
              <w:t xml:space="preserve"> per ITVP.</w:t>
            </w:r>
          </w:p>
          <w:p w:rsidR="00385835" w:rsidRPr="00385835" w:rsidRDefault="00385835" w:rsidP="00650E41">
            <w:pPr>
              <w:widowControl w:val="0"/>
              <w:numPr>
                <w:ilvl w:val="0"/>
                <w:numId w:val="53"/>
              </w:numPr>
              <w:tabs>
                <w:tab w:val="left" w:pos="459"/>
              </w:tabs>
              <w:spacing w:after="0" w:line="240" w:lineRule="auto"/>
              <w:ind w:left="0"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Veiksmų programos 3.2. investicinį prioritetą įgyvendinantys projektai bus atrenkami konkurso būdu ir tęstinės projektų atrankos būdu.</w:t>
            </w:r>
          </w:p>
          <w:p w:rsidR="00385835" w:rsidRPr="002D2BB3" w:rsidRDefault="00385835" w:rsidP="00650E41">
            <w:pPr>
              <w:widowControl w:val="0"/>
              <w:numPr>
                <w:ilvl w:val="0"/>
                <w:numId w:val="53"/>
              </w:numPr>
              <w:tabs>
                <w:tab w:val="left" w:pos="459"/>
              </w:tabs>
              <w:spacing w:after="0" w:line="240" w:lineRule="auto"/>
              <w:ind w:left="0"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Atrenkant projektus finansavimui, bus atsižvelgiama į sumanios specializacijos strategijoje nustatytus prioritetus.</w:t>
            </w:r>
          </w:p>
          <w:p w:rsidR="00385835" w:rsidRPr="00385835" w:rsidRDefault="00385835" w:rsidP="00650E41">
            <w:pPr>
              <w:widowControl w:val="0"/>
              <w:numPr>
                <w:ilvl w:val="0"/>
                <w:numId w:val="53"/>
              </w:numPr>
              <w:tabs>
                <w:tab w:val="left" w:pos="459"/>
              </w:tabs>
              <w:spacing w:after="0" w:line="240" w:lineRule="auto"/>
              <w:ind w:left="0"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Veiksmų programos 3.3. investicinį prioritetą įgyvendinantys projektai bus atrenkami projektų konkurso būdu ir tęstinės projektų atrankos būdu.</w:t>
            </w:r>
          </w:p>
          <w:p w:rsidR="00385835" w:rsidRPr="00385835" w:rsidRDefault="00385835" w:rsidP="00650E41">
            <w:pPr>
              <w:widowControl w:val="0"/>
              <w:numPr>
                <w:ilvl w:val="0"/>
                <w:numId w:val="53"/>
              </w:numPr>
              <w:tabs>
                <w:tab w:val="left" w:pos="459"/>
              </w:tabs>
              <w:spacing w:after="0" w:line="240" w:lineRule="auto"/>
              <w:ind w:left="0"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Atrenkant projektus finansavimui, bus atsižvelgiama į sumanios specializacijos strategijoje nustatytus prioritetus.</w:t>
            </w:r>
          </w:p>
          <w:p w:rsidR="00385835" w:rsidRPr="00385835" w:rsidRDefault="00385835" w:rsidP="00650E41">
            <w:pPr>
              <w:widowControl w:val="0"/>
              <w:numPr>
                <w:ilvl w:val="0"/>
                <w:numId w:val="53"/>
              </w:numPr>
              <w:tabs>
                <w:tab w:val="left" w:pos="459"/>
              </w:tabs>
              <w:spacing w:after="0" w:line="240" w:lineRule="auto"/>
              <w:ind w:left="0"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 xml:space="preserve">Verslo konkurencingumo didinimo intervencijas papildys 2 ir 10 prioritetų veiksmai, nukreipti į verslo aplinkos gerinimą, reguliacinės bei administracinės naštos mažinimą; verslo konkurencingumo didinimo veiksmai bus koordinuojami su 7 ir 9 prioritetų intervencijomis, skirtomis </w:t>
            </w:r>
            <w:r w:rsidR="00B231D7" w:rsidRPr="00B231D7">
              <w:rPr>
                <w:rFonts w:ascii="Times New Roman" w:eastAsia="AngsanaUPC" w:hAnsi="Times New Roman"/>
                <w:bCs/>
                <w:iCs/>
                <w:sz w:val="24"/>
                <w:szCs w:val="24"/>
                <w:lang w:eastAsia="lt-LT"/>
              </w:rPr>
              <w:t>atgaivinti (regeneruoti) miestų teritorijas, pertvarkyti (konvertuoti) apleistas teritorijas ir objektus, gerinti ir jų pasiekiamumą,</w:t>
            </w:r>
            <w:r w:rsidR="00B231D7">
              <w:rPr>
                <w:rFonts w:ascii="Times New Roman" w:eastAsia="AngsanaUPC" w:hAnsi="Times New Roman"/>
                <w:b/>
                <w:bCs/>
                <w:iCs/>
                <w:sz w:val="24"/>
                <w:szCs w:val="24"/>
                <w:lang w:eastAsia="lt-LT"/>
              </w:rPr>
              <w:t xml:space="preserve"> </w:t>
            </w:r>
            <w:r w:rsidRPr="00385835">
              <w:rPr>
                <w:rFonts w:ascii="Times New Roman" w:eastAsia="AngsanaUPC" w:hAnsi="Times New Roman"/>
                <w:bCs/>
                <w:iCs/>
                <w:sz w:val="24"/>
                <w:szCs w:val="24"/>
                <w:lang w:eastAsia="lt-LT"/>
              </w:rPr>
              <w:t>didinti darbo jėgos judumą ir švietimo ir mokymo suteikiamų kompetencijų atitikimą darbo rinkos poreikiams;</w:t>
            </w:r>
          </w:p>
          <w:p w:rsidR="00385835" w:rsidRPr="00B231D7" w:rsidRDefault="00B231D7" w:rsidP="00650E41">
            <w:pPr>
              <w:widowControl w:val="0"/>
              <w:numPr>
                <w:ilvl w:val="0"/>
                <w:numId w:val="53"/>
              </w:numPr>
              <w:tabs>
                <w:tab w:val="left" w:pos="459"/>
              </w:tabs>
              <w:spacing w:after="0" w:line="240" w:lineRule="auto"/>
              <w:ind w:left="0" w:firstLine="0"/>
              <w:jc w:val="both"/>
              <w:rPr>
                <w:rFonts w:ascii="Times New Roman" w:eastAsia="AngsanaUPC" w:hAnsi="Times New Roman"/>
                <w:bCs/>
                <w:iCs/>
                <w:sz w:val="24"/>
                <w:szCs w:val="24"/>
                <w:lang w:eastAsia="lt-LT"/>
              </w:rPr>
            </w:pPr>
            <w:r w:rsidRPr="00B231D7">
              <w:rPr>
                <w:rFonts w:ascii="Times New Roman" w:eastAsia="Times New Roman" w:hAnsi="Times New Roman"/>
                <w:sz w:val="24"/>
                <w:szCs w:val="24"/>
              </w:rPr>
              <w:t xml:space="preserve">Šio investicinio prioriteto veiklos gali būti įgyvendinamos, taikant ITI įgyvendinimo mechanizmą, </w:t>
            </w:r>
            <w:r w:rsidRPr="00B231D7">
              <w:rPr>
                <w:rFonts w:ascii="Times New Roman" w:hAnsi="Times New Roman"/>
                <w:sz w:val="24"/>
                <w:szCs w:val="24"/>
              </w:rPr>
              <w:t xml:space="preserve">nustatytą </w:t>
            </w:r>
            <w:r w:rsidRPr="00B231D7">
              <w:rPr>
                <w:rFonts w:ascii="Times New Roman" w:eastAsia="Times New Roman" w:hAnsi="Times New Roman"/>
                <w:color w:val="000000"/>
                <w:sz w:val="24"/>
                <w:szCs w:val="24"/>
              </w:rPr>
              <w:t>Veiksmų programos 4 skirsnyje,</w:t>
            </w:r>
            <w:r w:rsidRPr="00B231D7">
              <w:rPr>
                <w:rFonts w:ascii="Times New Roman" w:eastAsia="Times New Roman" w:hAnsi="Times New Roman"/>
                <w:sz w:val="24"/>
                <w:szCs w:val="24"/>
              </w:rPr>
              <w:t xml:space="preserve"> per ITVP.</w:t>
            </w:r>
          </w:p>
          <w:p w:rsidR="001E0FD8" w:rsidRPr="003E71A2" w:rsidRDefault="001E0FD8" w:rsidP="001E0FD8">
            <w:pPr>
              <w:tabs>
                <w:tab w:val="left" w:pos="459"/>
                <w:tab w:val="left" w:pos="885"/>
              </w:tabs>
              <w:spacing w:after="0" w:line="240" w:lineRule="auto"/>
              <w:jc w:val="both"/>
              <w:rPr>
                <w:rFonts w:ascii="Times New Roman" w:eastAsia="AngsanaUPC" w:hAnsi="Times New Roman"/>
                <w:bCs/>
                <w:iCs/>
                <w:sz w:val="24"/>
                <w:szCs w:val="24"/>
                <w:lang w:eastAsia="lt-LT"/>
              </w:rPr>
            </w:pPr>
            <w:r w:rsidRPr="003E71A2">
              <w:rPr>
                <w:rFonts w:ascii="Times New Roman" w:eastAsia="AngsanaUPC" w:hAnsi="Times New Roman"/>
                <w:bCs/>
                <w:iCs/>
                <w:sz w:val="24"/>
                <w:szCs w:val="24"/>
                <w:lang w:eastAsia="lt-LT"/>
              </w:rPr>
              <w:t xml:space="preserve">* Esant poreikiui pagal kiekvieną investicinį prioritetą gali būti taikomi ir kiti projektų atrankos būdai nurodyti pirmojo prioriteto dalyje </w:t>
            </w:r>
            <w:r w:rsidRPr="003E71A2">
              <w:rPr>
                <w:rFonts w:ascii="Times New Roman" w:eastAsia="AngsanaUPC" w:hAnsi="Times New Roman"/>
                <w:bCs/>
                <w:i/>
                <w:iCs/>
                <w:sz w:val="24"/>
                <w:szCs w:val="24"/>
                <w:lang w:eastAsia="lt-LT"/>
              </w:rPr>
              <w:t>„Projektų</w:t>
            </w:r>
            <w:r w:rsidR="00DE5038">
              <w:rPr>
                <w:rFonts w:ascii="Times New Roman" w:eastAsia="AngsanaUPC" w:hAnsi="Times New Roman"/>
                <w:bCs/>
                <w:i/>
                <w:iCs/>
                <w:sz w:val="24"/>
                <w:szCs w:val="24"/>
                <w:lang w:eastAsia="lt-LT"/>
              </w:rPr>
              <w:t xml:space="preserve"> </w:t>
            </w:r>
            <w:r w:rsidRPr="003E71A2">
              <w:rPr>
                <w:rFonts w:ascii="Times New Roman" w:eastAsia="AngsanaUPC" w:hAnsi="Times New Roman"/>
                <w:bCs/>
                <w:i/>
                <w:iCs/>
                <w:sz w:val="24"/>
                <w:szCs w:val="24"/>
                <w:lang w:eastAsia="lt-LT"/>
              </w:rPr>
              <w:t>/</w:t>
            </w:r>
            <w:r w:rsidR="00DE5038">
              <w:rPr>
                <w:rFonts w:ascii="Times New Roman" w:eastAsia="AngsanaUPC" w:hAnsi="Times New Roman"/>
                <w:bCs/>
                <w:i/>
                <w:iCs/>
                <w:sz w:val="24"/>
                <w:szCs w:val="24"/>
                <w:lang w:eastAsia="lt-LT"/>
              </w:rPr>
              <w:t xml:space="preserve"> </w:t>
            </w:r>
            <w:r w:rsidRPr="003E71A2">
              <w:rPr>
                <w:rFonts w:ascii="Times New Roman" w:eastAsia="AngsanaUPC" w:hAnsi="Times New Roman"/>
                <w:bCs/>
                <w:i/>
                <w:iCs/>
                <w:sz w:val="24"/>
                <w:szCs w:val="24"/>
                <w:lang w:eastAsia="lt-LT"/>
              </w:rPr>
              <w:t>veiksmų atrankos principai</w:t>
            </w:r>
            <w:r w:rsidR="003E71A2">
              <w:rPr>
                <w:rFonts w:ascii="Times New Roman" w:eastAsia="AngsanaUPC" w:hAnsi="Times New Roman"/>
                <w:bCs/>
                <w:i/>
                <w:iCs/>
                <w:sz w:val="24"/>
                <w:szCs w:val="24"/>
                <w:lang w:eastAsia="lt-LT"/>
              </w:rPr>
              <w:t>“</w:t>
            </w:r>
            <w:r w:rsidRPr="003E71A2">
              <w:rPr>
                <w:rFonts w:ascii="Times New Roman" w:eastAsia="AngsanaUPC" w:hAnsi="Times New Roman"/>
                <w:bCs/>
                <w:i/>
                <w:iCs/>
                <w:sz w:val="24"/>
                <w:szCs w:val="24"/>
                <w:lang w:eastAsia="lt-LT"/>
              </w:rPr>
              <w:t>.</w:t>
            </w:r>
          </w:p>
        </w:tc>
      </w:tr>
    </w:tbl>
    <w:p w:rsid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p w:rsidR="00812737" w:rsidRPr="00385835" w:rsidRDefault="00812737"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746"/>
      </w:tblGrid>
      <w:tr w:rsidR="00385835" w:rsidRPr="00385835" w:rsidTr="00385835">
        <w:tc>
          <w:tcPr>
            <w:tcW w:w="9746"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i/>
                <w:iCs/>
                <w:sz w:val="24"/>
                <w:szCs w:val="24"/>
                <w:lang w:eastAsia="lt-LT"/>
              </w:rPr>
              <w:lastRenderedPageBreak/>
              <w:t>Finansiniai instrumentai ir jų aprašymas</w:t>
            </w:r>
          </w:p>
        </w:tc>
      </w:tr>
      <w:tr w:rsidR="00385835" w:rsidRPr="00385835" w:rsidTr="00385835">
        <w:tc>
          <w:tcPr>
            <w:tcW w:w="9746" w:type="dxa"/>
            <w:shd w:val="clear" w:color="auto" w:fill="auto"/>
          </w:tcPr>
          <w:p w:rsidR="00385835" w:rsidRPr="00385835" w:rsidRDefault="00385835" w:rsidP="00385835">
            <w:pPr>
              <w:widowControl w:val="0"/>
              <w:tabs>
                <w:tab w:val="left" w:pos="622"/>
              </w:tabs>
              <w:spacing w:after="0" w:line="240" w:lineRule="auto"/>
              <w:ind w:firstLine="624"/>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Šiuo metu yra analizuojamos finansinių instrumentų panaudojimo galimybės. Naujos finansinės priemonės bus įgyvendinamos arba jau egzistuojančių priemonių įgyvendinimas bus tęsiamas, atsižvelgiant į išankstinio (</w:t>
            </w:r>
            <w:r w:rsidRPr="00385835">
              <w:rPr>
                <w:rFonts w:ascii="Times New Roman" w:eastAsia="AngsanaUPC" w:hAnsi="Times New Roman"/>
                <w:bCs/>
                <w:i/>
                <w:iCs/>
                <w:sz w:val="24"/>
                <w:szCs w:val="24"/>
                <w:lang w:eastAsia="lt-LT"/>
              </w:rPr>
              <w:t>ex ante</w:t>
            </w:r>
            <w:r w:rsidRPr="00385835">
              <w:rPr>
                <w:rFonts w:ascii="Times New Roman" w:eastAsia="AngsanaUPC" w:hAnsi="Times New Roman"/>
                <w:bCs/>
                <w:iCs/>
                <w:sz w:val="24"/>
                <w:szCs w:val="24"/>
                <w:lang w:eastAsia="lt-LT"/>
              </w:rPr>
              <w:t xml:space="preserve">) vertinimo rezultatus. </w:t>
            </w:r>
          </w:p>
          <w:p w:rsidR="00385835" w:rsidRPr="00385835" w:rsidRDefault="00385835" w:rsidP="00E70E83">
            <w:pPr>
              <w:widowControl w:val="0"/>
              <w:tabs>
                <w:tab w:val="left" w:pos="622"/>
              </w:tabs>
              <w:spacing w:after="0" w:line="240" w:lineRule="auto"/>
              <w:ind w:firstLine="601"/>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Įgyvendinant 3.1.1 uždavinio veiklą – verslo poreikius atitinkančių finansavimo modelių rėmimas – 3.2.1 uždavinio ir 3.3.1 investicinio prioriteto uždavinio veiklas numatoma įgyvendinti įvairias finansines priemones, kurios būtų pritaikytos skirtingiems verslo poreikiams, t. y.</w:t>
            </w:r>
            <w:r w:rsidR="000A0DDC">
              <w:rPr>
                <w:rFonts w:ascii="Times New Roman" w:eastAsia="AngsanaUPC" w:hAnsi="Times New Roman"/>
                <w:bCs/>
                <w:iCs/>
                <w:sz w:val="24"/>
                <w:szCs w:val="24"/>
                <w:lang w:eastAsia="lt-LT"/>
              </w:rPr>
              <w:t>,</w:t>
            </w:r>
            <w:r w:rsidRPr="00385835">
              <w:rPr>
                <w:rFonts w:ascii="Times New Roman" w:eastAsia="AngsanaUPC" w:hAnsi="Times New Roman"/>
                <w:bCs/>
                <w:iCs/>
                <w:sz w:val="24"/>
                <w:szCs w:val="24"/>
                <w:lang w:eastAsia="lt-LT"/>
              </w:rPr>
              <w:t xml:space="preserve"> galės būti teikiamos tiek lengvatinės paskolos, tiek garantijos, tiek investuojamas rizikos kapitalas ar įgyvendinamos kitos reikalingos finansinės priemonės.</w:t>
            </w:r>
          </w:p>
          <w:p w:rsidR="00385835" w:rsidRPr="00385835" w:rsidRDefault="00385835" w:rsidP="00D7701C">
            <w:pPr>
              <w:widowControl w:val="0"/>
              <w:tabs>
                <w:tab w:val="left" w:pos="622"/>
              </w:tabs>
              <w:spacing w:after="0" w:line="240" w:lineRule="auto"/>
              <w:ind w:firstLine="624"/>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Atsižvelgiant į tai, kad galimybės pasinaudoti iš 2007–2013 m</w:t>
            </w:r>
            <w:r w:rsidR="00112ACE">
              <w:rPr>
                <w:rFonts w:ascii="Times New Roman" w:eastAsia="AngsanaUPC" w:hAnsi="Times New Roman"/>
                <w:bCs/>
                <w:iCs/>
                <w:sz w:val="24"/>
                <w:szCs w:val="24"/>
                <w:lang w:eastAsia="lt-LT"/>
              </w:rPr>
              <w:t>.</w:t>
            </w:r>
            <w:r w:rsidRPr="00385835">
              <w:rPr>
                <w:rFonts w:ascii="Times New Roman" w:eastAsia="AngsanaUPC" w:hAnsi="Times New Roman"/>
                <w:bCs/>
                <w:iCs/>
                <w:sz w:val="24"/>
                <w:szCs w:val="24"/>
                <w:lang w:eastAsia="lt-LT"/>
              </w:rPr>
              <w:t xml:space="preserve"> ES </w:t>
            </w:r>
            <w:r w:rsidR="00D7701C">
              <w:rPr>
                <w:rFonts w:ascii="Times New Roman" w:eastAsia="AngsanaUPC" w:hAnsi="Times New Roman"/>
                <w:bCs/>
                <w:iCs/>
                <w:sz w:val="24"/>
                <w:szCs w:val="24"/>
                <w:lang w:eastAsia="lt-LT"/>
              </w:rPr>
              <w:t>fondų</w:t>
            </w:r>
            <w:r w:rsidRPr="00385835">
              <w:rPr>
                <w:rFonts w:ascii="Times New Roman" w:eastAsia="AngsanaUPC" w:hAnsi="Times New Roman"/>
                <w:bCs/>
                <w:iCs/>
                <w:sz w:val="24"/>
                <w:szCs w:val="24"/>
                <w:lang w:eastAsia="lt-LT"/>
              </w:rPr>
              <w:t xml:space="preserve"> įgyvendinamomis finansinėmis priemonėmis baigsis 2014–2015 m</w:t>
            </w:r>
            <w:r w:rsidR="00112ACE">
              <w:rPr>
                <w:rFonts w:ascii="Times New Roman" w:eastAsia="AngsanaUPC" w:hAnsi="Times New Roman"/>
                <w:bCs/>
                <w:iCs/>
                <w:sz w:val="24"/>
                <w:szCs w:val="24"/>
                <w:lang w:eastAsia="lt-LT"/>
              </w:rPr>
              <w:t>.</w:t>
            </w:r>
            <w:r w:rsidRPr="00385835">
              <w:rPr>
                <w:rFonts w:ascii="Times New Roman" w:eastAsia="AngsanaUPC" w:hAnsi="Times New Roman"/>
                <w:bCs/>
                <w:iCs/>
                <w:sz w:val="24"/>
                <w:szCs w:val="24"/>
                <w:lang w:eastAsia="lt-LT"/>
              </w:rPr>
              <w:t>, t. y.</w:t>
            </w:r>
            <w:r w:rsidR="000A0DDC">
              <w:rPr>
                <w:rFonts w:ascii="Times New Roman" w:eastAsia="AngsanaUPC" w:hAnsi="Times New Roman"/>
                <w:bCs/>
                <w:iCs/>
                <w:sz w:val="24"/>
                <w:szCs w:val="24"/>
                <w:lang w:eastAsia="lt-LT"/>
              </w:rPr>
              <w:t>,</w:t>
            </w:r>
            <w:r w:rsidRPr="00385835">
              <w:rPr>
                <w:rFonts w:ascii="Times New Roman" w:eastAsia="AngsanaUPC" w:hAnsi="Times New Roman"/>
                <w:bCs/>
                <w:iCs/>
                <w:sz w:val="24"/>
                <w:szCs w:val="24"/>
                <w:lang w:eastAsia="lt-LT"/>
              </w:rPr>
              <w:t xml:space="preserve"> baigsis SVV paskolų sutarčių pasirašymo, įtraukimo į garantijų portfelius ar investavimo (rizikos kapitalo fondų atveju) laikotarpiai, naujos finansinės priemonės ar esamų priemonių pratęsimas sudarys tolimesnes galimybes SVV subjektams pasinaudoti reikalingais finansavimo šaltiniais jų projektams įgyvendinti bei taip padės užtikrinti verslumo lygio šalyje augimą ir SVV plėtros politikos tęstinumą.</w:t>
            </w:r>
          </w:p>
        </w:tc>
      </w:tr>
    </w:tbl>
    <w:p w:rsidR="00385835" w:rsidRPr="00385835" w:rsidRDefault="00385835" w:rsidP="00385835">
      <w:pPr>
        <w:widowControl w:val="0"/>
        <w:tabs>
          <w:tab w:val="left" w:pos="622"/>
        </w:tabs>
        <w:spacing w:after="0" w:line="240" w:lineRule="auto"/>
        <w:jc w:val="both"/>
        <w:rPr>
          <w:rFonts w:ascii="Times New Roman" w:hAnsi="Times New Roman"/>
          <w:i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746"/>
      </w:tblGrid>
      <w:tr w:rsidR="00385835" w:rsidRPr="00385835" w:rsidTr="00385835">
        <w:tc>
          <w:tcPr>
            <w:tcW w:w="9746"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i/>
                <w:iCs/>
                <w:sz w:val="24"/>
                <w:szCs w:val="24"/>
                <w:lang w:eastAsia="lt-LT"/>
              </w:rPr>
              <w:t>Didelės apimties projektai</w:t>
            </w:r>
          </w:p>
        </w:tc>
      </w:tr>
      <w:tr w:rsidR="00385835" w:rsidRPr="00385835" w:rsidTr="00385835">
        <w:tc>
          <w:tcPr>
            <w:tcW w:w="9746" w:type="dxa"/>
            <w:shd w:val="clear" w:color="auto" w:fill="auto"/>
          </w:tcPr>
          <w:p w:rsidR="00385835" w:rsidRPr="00385835" w:rsidRDefault="00385835" w:rsidP="00385835">
            <w:pPr>
              <w:widowControl w:val="0"/>
              <w:tabs>
                <w:tab w:val="left" w:pos="622"/>
              </w:tabs>
              <w:spacing w:after="0" w:line="240" w:lineRule="auto"/>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Pagal šį veiksmų programos prioritetą didelės apimties projektų vykdyti nenumatoma.</w:t>
            </w:r>
          </w:p>
        </w:tc>
      </w:tr>
    </w:tbl>
    <w:p w:rsidR="00385835" w:rsidRPr="00385835" w:rsidRDefault="00385835" w:rsidP="00385835">
      <w:pPr>
        <w:widowControl w:val="0"/>
        <w:tabs>
          <w:tab w:val="left" w:pos="622"/>
        </w:tabs>
        <w:spacing w:after="0" w:line="240" w:lineRule="auto"/>
        <w:jc w:val="both"/>
        <w:rPr>
          <w:rFonts w:ascii="Times New Roman" w:hAnsi="Times New Roman"/>
          <w:iCs/>
          <w:sz w:val="24"/>
          <w:szCs w:val="24"/>
        </w:rPr>
      </w:pPr>
    </w:p>
    <w:p w:rsidR="00385835" w:rsidRPr="00385835" w:rsidRDefault="00385835" w:rsidP="00385835">
      <w:pPr>
        <w:widowControl w:val="0"/>
        <w:tabs>
          <w:tab w:val="left" w:pos="622"/>
        </w:tabs>
        <w:spacing w:after="0" w:line="240" w:lineRule="auto"/>
        <w:jc w:val="both"/>
        <w:rPr>
          <w:rFonts w:ascii="Times New Roman" w:eastAsia="AngsanaUPC" w:hAnsi="Times New Roman"/>
          <w:b/>
          <w:bCs/>
          <w:i/>
          <w:iCs/>
          <w:sz w:val="24"/>
          <w:szCs w:val="24"/>
          <w:lang w:eastAsia="lt-LT"/>
        </w:rPr>
        <w:sectPr w:rsidR="00385835" w:rsidRPr="00385835" w:rsidSect="00AC19DA">
          <w:pgSz w:w="11906" w:h="16838" w:code="9"/>
          <w:pgMar w:top="1701" w:right="567" w:bottom="1134" w:left="1701" w:header="567" w:footer="567" w:gutter="0"/>
          <w:cols w:space="1296"/>
          <w:docGrid w:linePitch="360"/>
        </w:sectPr>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1559"/>
        <w:gridCol w:w="1843"/>
        <w:gridCol w:w="851"/>
        <w:gridCol w:w="850"/>
        <w:gridCol w:w="851"/>
        <w:gridCol w:w="1134"/>
        <w:gridCol w:w="1134"/>
        <w:gridCol w:w="992"/>
        <w:gridCol w:w="4820"/>
      </w:tblGrid>
      <w:tr w:rsidR="00385835" w:rsidRPr="00385835" w:rsidTr="00385835">
        <w:tc>
          <w:tcPr>
            <w:tcW w:w="14034" w:type="dxa"/>
            <w:gridSpan w:val="9"/>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i/>
                <w:iCs/>
                <w:sz w:val="24"/>
                <w:szCs w:val="24"/>
                <w:lang w:eastAsia="lt-LT"/>
              </w:rPr>
              <w:lastRenderedPageBreak/>
              <w:t>Prioriteto veiklos rezultatų peržiūros planas</w:t>
            </w:r>
          </w:p>
        </w:tc>
      </w:tr>
      <w:tr w:rsidR="00385835" w:rsidRPr="00385835" w:rsidTr="00385835">
        <w:trPr>
          <w:cantSplit/>
          <w:trHeight w:val="1134"/>
        </w:trPr>
        <w:tc>
          <w:tcPr>
            <w:tcW w:w="1559"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Rodiklio rūšis (įgyvendinimo žingsniai, finansinis, produkto ir rezultato rodiklis)</w:t>
            </w:r>
          </w:p>
        </w:tc>
        <w:tc>
          <w:tcPr>
            <w:tcW w:w="1843"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Rodiklio apibrėžimas arba įgyvendinimo žingsnis</w:t>
            </w:r>
          </w:p>
        </w:tc>
        <w:tc>
          <w:tcPr>
            <w:tcW w:w="851"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Matavimo vienetas</w:t>
            </w:r>
          </w:p>
        </w:tc>
        <w:tc>
          <w:tcPr>
            <w:tcW w:w="850"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Fondas</w:t>
            </w:r>
          </w:p>
        </w:tc>
        <w:tc>
          <w:tcPr>
            <w:tcW w:w="851"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Regiono kategorija</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Tarpinė reikšmė (2018)</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Siektina reikšmė (2023)</w:t>
            </w:r>
          </w:p>
        </w:tc>
        <w:tc>
          <w:tcPr>
            <w:tcW w:w="992"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Duomenų šaltinis</w:t>
            </w:r>
          </w:p>
        </w:tc>
        <w:tc>
          <w:tcPr>
            <w:tcW w:w="4820"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Rodiklių tinkamumo pagrindimas</w:t>
            </w:r>
          </w:p>
        </w:tc>
      </w:tr>
      <w:tr w:rsidR="00385835" w:rsidRPr="00385835" w:rsidTr="00A51B0A">
        <w:tc>
          <w:tcPr>
            <w:tcW w:w="1559" w:type="dxa"/>
            <w:shd w:val="clear" w:color="auto" w:fill="auto"/>
          </w:tcPr>
          <w:p w:rsidR="00385835" w:rsidRPr="003414F8" w:rsidRDefault="00385835" w:rsidP="00385835">
            <w:pPr>
              <w:spacing w:after="0" w:line="240" w:lineRule="auto"/>
              <w:rPr>
                <w:rFonts w:ascii="Times New Roman" w:hAnsi="Times New Roman"/>
                <w:sz w:val="16"/>
                <w:szCs w:val="16"/>
              </w:rPr>
            </w:pPr>
            <w:r w:rsidRPr="003414F8">
              <w:rPr>
                <w:rFonts w:ascii="Times New Roman" w:hAnsi="Times New Roman"/>
                <w:sz w:val="16"/>
                <w:szCs w:val="16"/>
              </w:rPr>
              <w:t>Finansinis</w:t>
            </w:r>
            <w:r w:rsidRPr="003414F8">
              <w:rPr>
                <w:rFonts w:eastAsia="AngsanaUPC"/>
                <w:bCs/>
                <w:iCs/>
                <w:sz w:val="18"/>
                <w:szCs w:val="18"/>
              </w:rPr>
              <w:t xml:space="preserve"> </w:t>
            </w:r>
            <w:r w:rsidRPr="003414F8">
              <w:rPr>
                <w:rFonts w:ascii="Times New Roman" w:hAnsi="Times New Roman"/>
                <w:sz w:val="16"/>
                <w:szCs w:val="16"/>
              </w:rPr>
              <w:t>rodiklis</w:t>
            </w:r>
          </w:p>
        </w:tc>
        <w:tc>
          <w:tcPr>
            <w:tcW w:w="1843" w:type="dxa"/>
            <w:shd w:val="clear" w:color="auto" w:fill="auto"/>
            <w:vAlign w:val="center"/>
          </w:tcPr>
          <w:p w:rsidR="00385835" w:rsidRPr="003414F8" w:rsidRDefault="00385835" w:rsidP="00385835">
            <w:pPr>
              <w:spacing w:after="0" w:line="240" w:lineRule="auto"/>
              <w:rPr>
                <w:rFonts w:ascii="Times New Roman" w:hAnsi="Times New Roman"/>
                <w:i/>
                <w:sz w:val="16"/>
                <w:szCs w:val="16"/>
              </w:rPr>
            </w:pPr>
            <w:r w:rsidRPr="003414F8">
              <w:rPr>
                <w:rFonts w:ascii="Times New Roman" w:hAnsi="Times New Roman"/>
                <w:color w:val="000000"/>
                <w:sz w:val="16"/>
                <w:szCs w:val="16"/>
              </w:rPr>
              <w:t>Bendra tinkamų finansuoti išlaidų suma</w:t>
            </w:r>
            <w:r w:rsidR="000A0DDC" w:rsidRPr="003414F8">
              <w:rPr>
                <w:rFonts w:ascii="Times New Roman" w:hAnsi="Times New Roman"/>
                <w:color w:val="000000"/>
                <w:sz w:val="16"/>
                <w:szCs w:val="16"/>
              </w:rPr>
              <w:t>,</w:t>
            </w:r>
            <w:r w:rsidRPr="003414F8">
              <w:rPr>
                <w:rFonts w:ascii="Times New Roman" w:hAnsi="Times New Roman"/>
                <w:color w:val="000000"/>
                <w:sz w:val="16"/>
                <w:szCs w:val="16"/>
              </w:rPr>
              <w:t xml:space="preserve"> pripažinta tinkama deklaruoti EK</w:t>
            </w:r>
          </w:p>
        </w:tc>
        <w:tc>
          <w:tcPr>
            <w:tcW w:w="851" w:type="dxa"/>
            <w:shd w:val="clear" w:color="auto" w:fill="auto"/>
          </w:tcPr>
          <w:p w:rsidR="00385835" w:rsidRPr="003414F8" w:rsidRDefault="00385835" w:rsidP="00385835">
            <w:pPr>
              <w:spacing w:after="0" w:line="240" w:lineRule="auto"/>
              <w:jc w:val="center"/>
              <w:rPr>
                <w:rFonts w:ascii="Times New Roman" w:hAnsi="Times New Roman"/>
                <w:i/>
                <w:sz w:val="16"/>
                <w:szCs w:val="16"/>
              </w:rPr>
            </w:pPr>
            <w:r w:rsidRPr="003414F8">
              <w:rPr>
                <w:rFonts w:ascii="Times New Roman" w:hAnsi="Times New Roman"/>
                <w:sz w:val="16"/>
                <w:szCs w:val="16"/>
              </w:rPr>
              <w:t>Eurai</w:t>
            </w:r>
          </w:p>
        </w:tc>
        <w:tc>
          <w:tcPr>
            <w:tcW w:w="850" w:type="dxa"/>
            <w:shd w:val="clear" w:color="auto" w:fill="auto"/>
          </w:tcPr>
          <w:p w:rsidR="00385835" w:rsidRPr="003414F8" w:rsidRDefault="00385835" w:rsidP="00385835">
            <w:pPr>
              <w:spacing w:after="0" w:line="240" w:lineRule="auto"/>
              <w:jc w:val="center"/>
              <w:rPr>
                <w:rFonts w:ascii="Times New Roman" w:hAnsi="Times New Roman"/>
                <w:sz w:val="16"/>
                <w:szCs w:val="16"/>
              </w:rPr>
            </w:pPr>
            <w:r w:rsidRPr="003414F8">
              <w:rPr>
                <w:rFonts w:ascii="Times New Roman" w:hAnsi="Times New Roman"/>
                <w:sz w:val="16"/>
                <w:szCs w:val="16"/>
              </w:rPr>
              <w:t>ERPF</w:t>
            </w:r>
          </w:p>
        </w:tc>
        <w:tc>
          <w:tcPr>
            <w:tcW w:w="851" w:type="dxa"/>
            <w:shd w:val="clear" w:color="auto" w:fill="auto"/>
          </w:tcPr>
          <w:p w:rsidR="00385835" w:rsidRPr="003414F8" w:rsidRDefault="00385835" w:rsidP="00385835">
            <w:pPr>
              <w:spacing w:after="0" w:line="240" w:lineRule="auto"/>
              <w:jc w:val="center"/>
              <w:rPr>
                <w:rFonts w:ascii="Times New Roman" w:hAnsi="Times New Roman"/>
                <w:sz w:val="16"/>
                <w:szCs w:val="16"/>
              </w:rPr>
            </w:pPr>
            <w:r w:rsidRPr="003414F8">
              <w:rPr>
                <w:rFonts w:ascii="Times New Roman" w:hAnsi="Times New Roman"/>
                <w:sz w:val="16"/>
                <w:szCs w:val="16"/>
              </w:rPr>
              <w:t>Mažiau išsivystęs</w:t>
            </w:r>
          </w:p>
        </w:tc>
        <w:tc>
          <w:tcPr>
            <w:tcW w:w="1134" w:type="dxa"/>
            <w:shd w:val="clear" w:color="auto" w:fill="auto"/>
          </w:tcPr>
          <w:p w:rsidR="00DB150F" w:rsidRPr="003414F8" w:rsidRDefault="00DB150F" w:rsidP="00DB150F">
            <w:pPr>
              <w:spacing w:after="0" w:line="240" w:lineRule="auto"/>
              <w:jc w:val="center"/>
              <w:rPr>
                <w:rFonts w:ascii="Times New Roman" w:hAnsi="Times New Roman"/>
                <w:color w:val="000000"/>
                <w:sz w:val="16"/>
                <w:szCs w:val="16"/>
              </w:rPr>
            </w:pPr>
            <w:r w:rsidRPr="003414F8">
              <w:rPr>
                <w:rFonts w:ascii="Times New Roman" w:hAnsi="Times New Roman"/>
                <w:bCs/>
                <w:color w:val="000000"/>
                <w:sz w:val="16"/>
                <w:szCs w:val="16"/>
              </w:rPr>
              <w:t>129.227.614</w:t>
            </w:r>
          </w:p>
        </w:tc>
        <w:tc>
          <w:tcPr>
            <w:tcW w:w="1134" w:type="dxa"/>
            <w:shd w:val="clear" w:color="auto" w:fill="auto"/>
          </w:tcPr>
          <w:p w:rsidR="00385835" w:rsidRPr="002C08FA" w:rsidRDefault="00A51B0A" w:rsidP="00E70E83">
            <w:pPr>
              <w:jc w:val="center"/>
              <w:rPr>
                <w:rFonts w:ascii="Times New Roman" w:hAnsi="Times New Roman"/>
                <w:bCs/>
                <w:color w:val="000000"/>
                <w:sz w:val="16"/>
                <w:szCs w:val="16"/>
              </w:rPr>
            </w:pPr>
            <w:r w:rsidRPr="002C08FA">
              <w:rPr>
                <w:rFonts w:ascii="Times New Roman" w:hAnsi="Times New Roman"/>
                <w:color w:val="000000"/>
                <w:sz w:val="16"/>
                <w:szCs w:val="16"/>
              </w:rPr>
              <w:t>666.709.711</w:t>
            </w:r>
          </w:p>
        </w:tc>
        <w:tc>
          <w:tcPr>
            <w:tcW w:w="992" w:type="dxa"/>
            <w:shd w:val="clear" w:color="auto" w:fill="auto"/>
          </w:tcPr>
          <w:p w:rsidR="00385835" w:rsidRPr="002C08FA" w:rsidRDefault="00385835" w:rsidP="00385835">
            <w:pPr>
              <w:spacing w:after="0" w:line="240" w:lineRule="auto"/>
              <w:jc w:val="center"/>
              <w:rPr>
                <w:rFonts w:ascii="Times New Roman" w:hAnsi="Times New Roman"/>
                <w:sz w:val="16"/>
                <w:szCs w:val="16"/>
              </w:rPr>
            </w:pPr>
            <w:r w:rsidRPr="002C08FA">
              <w:rPr>
                <w:rFonts w:ascii="Times New Roman" w:hAnsi="Times New Roman"/>
                <w:sz w:val="16"/>
                <w:szCs w:val="16"/>
              </w:rPr>
              <w:t>Duomenys iš projektų</w:t>
            </w:r>
          </w:p>
        </w:tc>
        <w:tc>
          <w:tcPr>
            <w:tcW w:w="4820" w:type="dxa"/>
            <w:shd w:val="clear" w:color="auto" w:fill="auto"/>
          </w:tcPr>
          <w:p w:rsidR="00385835" w:rsidRPr="002C08FA" w:rsidRDefault="00385835" w:rsidP="00385835">
            <w:pPr>
              <w:spacing w:after="0" w:line="240" w:lineRule="auto"/>
              <w:rPr>
                <w:rFonts w:ascii="Times New Roman" w:hAnsi="Times New Roman"/>
                <w:sz w:val="16"/>
                <w:szCs w:val="16"/>
              </w:rPr>
            </w:pPr>
            <w:r w:rsidRPr="002C08FA">
              <w:rPr>
                <w:rFonts w:ascii="Times New Roman" w:hAnsi="Times New Roman"/>
                <w:sz w:val="16"/>
                <w:szCs w:val="16"/>
              </w:rPr>
              <w:t>Privalomas rodiklis, kuris atspindi finansinę prioriteto įgyvendinimo pažangą.</w:t>
            </w:r>
          </w:p>
        </w:tc>
      </w:tr>
      <w:tr w:rsidR="00385835" w:rsidRPr="00812737" w:rsidTr="00812737">
        <w:trPr>
          <w:trHeight w:val="365"/>
        </w:trPr>
        <w:tc>
          <w:tcPr>
            <w:tcW w:w="1559" w:type="dxa"/>
            <w:shd w:val="clear" w:color="auto" w:fill="auto"/>
          </w:tcPr>
          <w:p w:rsidR="00385835" w:rsidRPr="00812737" w:rsidRDefault="00385835" w:rsidP="00812737">
            <w:pPr>
              <w:spacing w:after="0" w:line="240" w:lineRule="auto"/>
              <w:rPr>
                <w:rFonts w:ascii="Times New Roman" w:hAnsi="Times New Roman"/>
                <w:sz w:val="16"/>
                <w:szCs w:val="16"/>
              </w:rPr>
            </w:pPr>
            <w:r w:rsidRPr="00812737">
              <w:rPr>
                <w:rFonts w:ascii="Times New Roman" w:hAnsi="Times New Roman"/>
                <w:sz w:val="16"/>
                <w:szCs w:val="16"/>
              </w:rPr>
              <w:t>Produkto rodiklis</w:t>
            </w:r>
          </w:p>
        </w:tc>
        <w:tc>
          <w:tcPr>
            <w:tcW w:w="1843" w:type="dxa"/>
            <w:shd w:val="clear" w:color="auto" w:fill="auto"/>
          </w:tcPr>
          <w:p w:rsidR="00385835" w:rsidRPr="00812737" w:rsidRDefault="00385835" w:rsidP="00812737">
            <w:pPr>
              <w:spacing w:after="0" w:line="240" w:lineRule="auto"/>
              <w:rPr>
                <w:rFonts w:ascii="Times New Roman" w:hAnsi="Times New Roman"/>
                <w:bCs/>
                <w:sz w:val="16"/>
                <w:szCs w:val="16"/>
              </w:rPr>
            </w:pPr>
            <w:r w:rsidRPr="00812737">
              <w:rPr>
                <w:rFonts w:ascii="Times New Roman" w:hAnsi="Times New Roman"/>
                <w:bCs/>
                <w:sz w:val="16"/>
                <w:szCs w:val="16"/>
              </w:rPr>
              <w:t xml:space="preserve">Subsidijas gaunančių įmonių skaičius </w:t>
            </w:r>
          </w:p>
        </w:tc>
        <w:tc>
          <w:tcPr>
            <w:tcW w:w="851" w:type="dxa"/>
            <w:shd w:val="clear" w:color="auto" w:fill="auto"/>
          </w:tcPr>
          <w:p w:rsidR="00385835" w:rsidRPr="00812737" w:rsidRDefault="00385835" w:rsidP="00812737">
            <w:pPr>
              <w:spacing w:after="0" w:line="240" w:lineRule="auto"/>
              <w:jc w:val="center"/>
              <w:rPr>
                <w:rFonts w:ascii="Times New Roman" w:hAnsi="Times New Roman"/>
                <w:bCs/>
                <w:sz w:val="16"/>
                <w:szCs w:val="16"/>
              </w:rPr>
            </w:pPr>
            <w:r w:rsidRPr="00812737">
              <w:rPr>
                <w:rFonts w:ascii="Times New Roman" w:hAnsi="Times New Roman"/>
                <w:bCs/>
                <w:sz w:val="16"/>
                <w:szCs w:val="16"/>
              </w:rPr>
              <w:t>Įmonės</w:t>
            </w:r>
          </w:p>
        </w:tc>
        <w:tc>
          <w:tcPr>
            <w:tcW w:w="850" w:type="dxa"/>
            <w:shd w:val="clear" w:color="auto" w:fill="auto"/>
          </w:tcPr>
          <w:p w:rsidR="00385835" w:rsidRPr="00812737" w:rsidRDefault="00385835" w:rsidP="00812737">
            <w:pPr>
              <w:spacing w:after="0" w:line="240" w:lineRule="auto"/>
              <w:jc w:val="center"/>
              <w:rPr>
                <w:rFonts w:ascii="Times New Roman" w:hAnsi="Times New Roman"/>
                <w:bCs/>
                <w:sz w:val="16"/>
                <w:szCs w:val="16"/>
              </w:rPr>
            </w:pPr>
            <w:r w:rsidRPr="00812737">
              <w:rPr>
                <w:rFonts w:ascii="Times New Roman" w:hAnsi="Times New Roman"/>
                <w:bCs/>
                <w:sz w:val="16"/>
                <w:szCs w:val="16"/>
              </w:rPr>
              <w:t>ERPF</w:t>
            </w:r>
          </w:p>
        </w:tc>
        <w:tc>
          <w:tcPr>
            <w:tcW w:w="851" w:type="dxa"/>
            <w:shd w:val="clear" w:color="auto" w:fill="auto"/>
          </w:tcPr>
          <w:p w:rsidR="00385835" w:rsidRPr="00812737" w:rsidRDefault="00385835" w:rsidP="00812737">
            <w:pPr>
              <w:widowControl w:val="0"/>
              <w:tabs>
                <w:tab w:val="left" w:pos="622"/>
              </w:tabs>
              <w:spacing w:after="0"/>
              <w:jc w:val="center"/>
              <w:rPr>
                <w:bCs/>
                <w:iCs/>
                <w:sz w:val="16"/>
                <w:szCs w:val="16"/>
              </w:rPr>
            </w:pPr>
            <w:r w:rsidRPr="00812737">
              <w:rPr>
                <w:rFonts w:ascii="Times New Roman" w:hAnsi="Times New Roman"/>
                <w:sz w:val="16"/>
                <w:szCs w:val="16"/>
              </w:rPr>
              <w:t>Mažiau išsivystęs</w:t>
            </w:r>
          </w:p>
        </w:tc>
        <w:tc>
          <w:tcPr>
            <w:tcW w:w="1134" w:type="dxa"/>
            <w:shd w:val="clear" w:color="auto" w:fill="auto"/>
          </w:tcPr>
          <w:p w:rsidR="00385835" w:rsidRPr="00812737" w:rsidRDefault="00385835" w:rsidP="00812737">
            <w:pPr>
              <w:spacing w:after="0" w:line="240" w:lineRule="auto"/>
              <w:jc w:val="center"/>
              <w:rPr>
                <w:rFonts w:ascii="Times New Roman" w:hAnsi="Times New Roman"/>
                <w:sz w:val="16"/>
                <w:szCs w:val="16"/>
              </w:rPr>
            </w:pPr>
            <w:r w:rsidRPr="00812737">
              <w:rPr>
                <w:rFonts w:ascii="Times New Roman" w:hAnsi="Times New Roman"/>
                <w:sz w:val="16"/>
                <w:szCs w:val="16"/>
              </w:rPr>
              <w:t>210</w:t>
            </w:r>
          </w:p>
        </w:tc>
        <w:tc>
          <w:tcPr>
            <w:tcW w:w="1134" w:type="dxa"/>
            <w:shd w:val="clear" w:color="auto" w:fill="auto"/>
          </w:tcPr>
          <w:p w:rsidR="00385835" w:rsidRPr="00812737" w:rsidRDefault="00E70E83" w:rsidP="00812737">
            <w:pPr>
              <w:spacing w:after="0" w:line="240" w:lineRule="auto"/>
              <w:jc w:val="center"/>
              <w:rPr>
                <w:rFonts w:ascii="Times New Roman" w:hAnsi="Times New Roman"/>
                <w:sz w:val="16"/>
                <w:szCs w:val="16"/>
              </w:rPr>
            </w:pPr>
            <w:r w:rsidRPr="00812737">
              <w:rPr>
                <w:rFonts w:ascii="Times New Roman" w:hAnsi="Times New Roman"/>
                <w:sz w:val="16"/>
                <w:szCs w:val="16"/>
              </w:rPr>
              <w:t>3 3</w:t>
            </w:r>
            <w:r w:rsidR="00A51B0A" w:rsidRPr="00812737">
              <w:rPr>
                <w:rFonts w:ascii="Times New Roman" w:hAnsi="Times New Roman"/>
                <w:sz w:val="16"/>
                <w:szCs w:val="16"/>
              </w:rPr>
              <w:t>55</w:t>
            </w:r>
          </w:p>
        </w:tc>
        <w:tc>
          <w:tcPr>
            <w:tcW w:w="992" w:type="dxa"/>
            <w:shd w:val="clear" w:color="auto" w:fill="auto"/>
          </w:tcPr>
          <w:p w:rsidR="00385835" w:rsidRPr="00812737" w:rsidDel="007F0983" w:rsidRDefault="00385835" w:rsidP="00812737">
            <w:pPr>
              <w:spacing w:after="0" w:line="240" w:lineRule="auto"/>
              <w:jc w:val="center"/>
              <w:rPr>
                <w:rFonts w:ascii="Times New Roman" w:hAnsi="Times New Roman"/>
                <w:sz w:val="16"/>
                <w:szCs w:val="16"/>
              </w:rPr>
            </w:pPr>
            <w:r w:rsidRPr="00812737">
              <w:rPr>
                <w:rFonts w:ascii="Times New Roman" w:hAnsi="Times New Roman"/>
                <w:sz w:val="16"/>
                <w:szCs w:val="16"/>
              </w:rPr>
              <w:t>Duomenys iš projektų</w:t>
            </w:r>
          </w:p>
        </w:tc>
        <w:tc>
          <w:tcPr>
            <w:tcW w:w="4820" w:type="dxa"/>
          </w:tcPr>
          <w:p w:rsidR="00385835" w:rsidRPr="00812737" w:rsidRDefault="00385835" w:rsidP="00812737">
            <w:pPr>
              <w:spacing w:after="0" w:line="240" w:lineRule="auto"/>
              <w:rPr>
                <w:rFonts w:ascii="Times New Roman" w:hAnsi="Times New Roman"/>
                <w:sz w:val="16"/>
                <w:szCs w:val="16"/>
              </w:rPr>
            </w:pPr>
            <w:r w:rsidRPr="00812737">
              <w:rPr>
                <w:rFonts w:ascii="Times New Roman" w:hAnsi="Times New Roman"/>
                <w:sz w:val="16"/>
                <w:szCs w:val="16"/>
              </w:rPr>
              <w:t>Rodiklis atspindi prioriteto įgyvendinimo e</w:t>
            </w:r>
            <w:r w:rsidR="00A51B0A" w:rsidRPr="00812737">
              <w:rPr>
                <w:rFonts w:ascii="Times New Roman" w:hAnsi="Times New Roman"/>
                <w:sz w:val="16"/>
                <w:szCs w:val="16"/>
              </w:rPr>
              <w:t xml:space="preserve">igą, nes jo pasiekimui skirta </w:t>
            </w:r>
            <w:r w:rsidR="002C08FA" w:rsidRPr="00812737">
              <w:rPr>
                <w:rFonts w:ascii="Times New Roman" w:hAnsi="Times New Roman"/>
                <w:sz w:val="16"/>
                <w:szCs w:val="16"/>
              </w:rPr>
              <w:t>6</w:t>
            </w:r>
            <w:r w:rsidR="00921DC0" w:rsidRPr="00812737">
              <w:rPr>
                <w:rFonts w:ascii="Times New Roman" w:hAnsi="Times New Roman"/>
                <w:sz w:val="16"/>
                <w:szCs w:val="16"/>
              </w:rPr>
              <w:t>2</w:t>
            </w:r>
            <w:r w:rsidRPr="00812737">
              <w:rPr>
                <w:rFonts w:ascii="Times New Roman" w:hAnsi="Times New Roman"/>
                <w:sz w:val="16"/>
                <w:szCs w:val="16"/>
              </w:rPr>
              <w:t xml:space="preserve"> proc. šio prioriteto įgyvendinimui skirtų ERPF lėšų.</w:t>
            </w:r>
          </w:p>
        </w:tc>
      </w:tr>
    </w:tbl>
    <w:p w:rsidR="00385835" w:rsidRPr="00385835" w:rsidRDefault="00385835" w:rsidP="00385835">
      <w:pPr>
        <w:spacing w:after="0" w:line="240" w:lineRule="auto"/>
        <w:rPr>
          <w:rFonts w:ascii="Times New Roman" w:hAnsi="Times New Roman"/>
          <w:sz w:val="24"/>
          <w:szCs w:val="24"/>
        </w:rPr>
      </w:pPr>
    </w:p>
    <w:p w:rsidR="00385835" w:rsidRPr="00385835" w:rsidRDefault="00385835" w:rsidP="00385835">
      <w:pPr>
        <w:autoSpaceDE w:val="0"/>
        <w:autoSpaceDN w:val="0"/>
        <w:adjustRightInd w:val="0"/>
        <w:spacing w:after="0" w:line="240" w:lineRule="auto"/>
        <w:ind w:firstLine="851"/>
        <w:jc w:val="both"/>
        <w:rPr>
          <w:rFonts w:ascii="Times New Roman" w:hAnsi="Times New Roman"/>
          <w:color w:val="000000"/>
          <w:sz w:val="24"/>
          <w:szCs w:val="24"/>
        </w:rPr>
      </w:pPr>
      <w:r w:rsidRPr="00385835">
        <w:rPr>
          <w:rFonts w:ascii="Times New Roman" w:hAnsi="Times New Roman"/>
          <w:color w:val="000000"/>
          <w:sz w:val="24"/>
          <w:szCs w:val="24"/>
        </w:rPr>
        <w:t>Į veiklos peržiūros planą įtrauktų rodiklių tarpinės ir galutinės reikšmės nustatytos, įvertinus istorinius ankstesnio programavimo laikotarpio lėšų panaudojimo ir rodiklių pasiekimo duomenis, t.</w:t>
      </w:r>
      <w:r w:rsidR="00E70E83">
        <w:rPr>
          <w:rFonts w:ascii="Times New Roman" w:hAnsi="Times New Roman"/>
          <w:color w:val="000000"/>
          <w:sz w:val="24"/>
          <w:szCs w:val="24"/>
        </w:rPr>
        <w:t xml:space="preserve"> </w:t>
      </w:r>
      <w:r w:rsidRPr="00385835">
        <w:rPr>
          <w:rFonts w:ascii="Times New Roman" w:hAnsi="Times New Roman"/>
          <w:color w:val="000000"/>
          <w:sz w:val="24"/>
          <w:szCs w:val="24"/>
        </w:rPr>
        <w:t xml:space="preserve">y. įgyvendinant panašaus pobūdžio intervencijas per analogišką laikotarpį pasiektas rodiklių reikšmes – investuotų lėšų apimtis ir skirtingomis finansavimo formomis paremtų įmonių skaičių, tuo pačiu atsižvelgiant į šiame programavimo laikotarpyje numatomas investicijų ir veiklų apimtis. </w:t>
      </w:r>
    </w:p>
    <w:p w:rsidR="00AC33BC" w:rsidRPr="002447B3" w:rsidRDefault="00385835" w:rsidP="002447B3">
      <w:pPr>
        <w:spacing w:after="0" w:line="240" w:lineRule="auto"/>
        <w:ind w:firstLine="851"/>
        <w:jc w:val="both"/>
        <w:rPr>
          <w:rFonts w:ascii="Times New Roman" w:hAnsi="Times New Roman"/>
          <w:color w:val="000000"/>
          <w:sz w:val="24"/>
          <w:szCs w:val="24"/>
        </w:rPr>
      </w:pPr>
      <w:r w:rsidRPr="00385835">
        <w:rPr>
          <w:rFonts w:ascii="Times New Roman" w:hAnsi="Times New Roman"/>
          <w:color w:val="000000"/>
          <w:sz w:val="24"/>
          <w:szCs w:val="24"/>
        </w:rPr>
        <w:t>Nustatant tarpines rodiklių reikšmes, taip pat atsižvelgta į laikotarpį, reikalingą prioriteto veiklų įgyvendinimo pasirengimui, atsižvelgiant į numatomą veiksmų programos patvirtinimo terminą.</w:t>
      </w:r>
    </w:p>
    <w:p w:rsidR="00385835" w:rsidRPr="00385835" w:rsidRDefault="00385835" w:rsidP="00385835">
      <w:pPr>
        <w:spacing w:after="0" w:line="240" w:lineRule="auto"/>
        <w:rPr>
          <w:rFonts w:ascii="Times New Roman" w:hAnsi="Times New Roman"/>
          <w:sz w:val="24"/>
          <w:szCs w:val="24"/>
        </w:rPr>
      </w:pPr>
    </w:p>
    <w:p w:rsidR="00595F1C" w:rsidRDefault="00595F1C" w:rsidP="00712C9F">
      <w:pPr>
        <w:widowControl w:val="0"/>
        <w:tabs>
          <w:tab w:val="left" w:pos="622"/>
        </w:tabs>
        <w:spacing w:after="0" w:line="240" w:lineRule="auto"/>
        <w:jc w:val="both"/>
        <w:rPr>
          <w:rFonts w:ascii="Times New Roman" w:eastAsia="AngsanaUPC" w:hAnsi="Times New Roman"/>
          <w:b/>
          <w:bCs/>
          <w:i/>
          <w:iCs/>
          <w:sz w:val="24"/>
          <w:szCs w:val="24"/>
          <w:lang w:eastAsia="lt-LT"/>
        </w:rPr>
        <w:sectPr w:rsidR="00595F1C" w:rsidSect="005B2280">
          <w:pgSz w:w="16838" w:h="11906" w:orient="landscape" w:code="9"/>
          <w:pgMar w:top="1701" w:right="1701" w:bottom="567" w:left="1134" w:header="567" w:footer="567" w:gutter="0"/>
          <w:cols w:space="1296"/>
          <w:docGrid w:linePitch="360"/>
        </w:sectPr>
      </w:pPr>
    </w:p>
    <w:p w:rsidR="00712C9F" w:rsidRPr="002447B3" w:rsidRDefault="00595F1C" w:rsidP="00712C9F">
      <w:pPr>
        <w:widowControl w:val="0"/>
        <w:tabs>
          <w:tab w:val="left" w:pos="622"/>
        </w:tabs>
        <w:spacing w:after="0" w:line="240" w:lineRule="auto"/>
        <w:jc w:val="both"/>
        <w:rPr>
          <w:rFonts w:ascii="Times New Roman" w:hAnsi="Times New Roman"/>
          <w:b/>
          <w:bCs/>
          <w:iCs/>
          <w:sz w:val="18"/>
          <w:szCs w:val="18"/>
        </w:rPr>
      </w:pPr>
      <w:r w:rsidRPr="002447B3">
        <w:rPr>
          <w:rFonts w:ascii="Times New Roman" w:eastAsia="AngsanaUPC" w:hAnsi="Times New Roman"/>
          <w:b/>
          <w:bCs/>
          <w:i/>
          <w:iCs/>
          <w:sz w:val="24"/>
          <w:szCs w:val="24"/>
          <w:lang w:eastAsia="lt-LT"/>
        </w:rPr>
        <w:lastRenderedPageBreak/>
        <w:t>Numatomas išlaidų pasiskirstymas pagal kategorijas</w:t>
      </w:r>
    </w:p>
    <w:p w:rsidR="00595F1C" w:rsidRPr="002447B3" w:rsidRDefault="00595F1C" w:rsidP="00712C9F">
      <w:pPr>
        <w:widowControl w:val="0"/>
        <w:tabs>
          <w:tab w:val="left" w:pos="622"/>
        </w:tabs>
        <w:spacing w:after="0" w:line="240" w:lineRule="auto"/>
        <w:jc w:val="both"/>
        <w:rPr>
          <w:rFonts w:ascii="Times New Roman" w:hAnsi="Times New Roman"/>
          <w:b/>
          <w:bCs/>
          <w:iCs/>
          <w:sz w:val="18"/>
          <w:szCs w:val="1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09"/>
        <w:gridCol w:w="6378"/>
        <w:gridCol w:w="1843"/>
      </w:tblGrid>
      <w:tr w:rsidR="00712C9F" w:rsidRPr="002447B3" w:rsidTr="00322BE2">
        <w:trPr>
          <w:tblHeader/>
        </w:trPr>
        <w:tc>
          <w:tcPr>
            <w:tcW w:w="9781" w:type="dxa"/>
            <w:gridSpan w:val="4"/>
            <w:shd w:val="clear" w:color="auto" w:fill="EEECE1"/>
            <w:vAlign w:val="center"/>
          </w:tcPr>
          <w:p w:rsidR="00712C9F" w:rsidRPr="002447B3" w:rsidRDefault="00712C9F" w:rsidP="00712C9F">
            <w:pPr>
              <w:widowControl w:val="0"/>
              <w:tabs>
                <w:tab w:val="left" w:pos="622"/>
              </w:tabs>
              <w:spacing w:after="0" w:line="240" w:lineRule="auto"/>
              <w:jc w:val="both"/>
              <w:rPr>
                <w:rFonts w:ascii="Times New Roman" w:hAnsi="Times New Roman"/>
                <w:b/>
                <w:bCs/>
                <w:i/>
                <w:iCs/>
                <w:sz w:val="18"/>
                <w:szCs w:val="18"/>
              </w:rPr>
            </w:pPr>
            <w:r w:rsidRPr="002447B3">
              <w:rPr>
                <w:rFonts w:ascii="Times New Roman" w:hAnsi="Times New Roman"/>
                <w:b/>
                <w:bCs/>
                <w:i/>
                <w:iCs/>
                <w:sz w:val="18"/>
                <w:szCs w:val="18"/>
              </w:rPr>
              <w:t>Intervencinių veiksmų sritis</w:t>
            </w:r>
          </w:p>
        </w:tc>
      </w:tr>
      <w:tr w:rsidR="003D4200" w:rsidRPr="002447B3" w:rsidTr="003D4200">
        <w:tc>
          <w:tcPr>
            <w:tcW w:w="851" w:type="dxa"/>
            <w:shd w:val="clear" w:color="auto" w:fill="EEECE1"/>
            <w:vAlign w:val="center"/>
          </w:tcPr>
          <w:p w:rsidR="003D4200" w:rsidRPr="002447B3" w:rsidRDefault="003D4200" w:rsidP="00712C9F">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Fondas</w:t>
            </w:r>
          </w:p>
        </w:tc>
        <w:tc>
          <w:tcPr>
            <w:tcW w:w="709" w:type="dxa"/>
            <w:shd w:val="clear" w:color="auto" w:fill="EEECE1"/>
            <w:vAlign w:val="center"/>
          </w:tcPr>
          <w:p w:rsidR="003D4200" w:rsidRPr="002447B3" w:rsidRDefault="003D4200" w:rsidP="00712C9F">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Kodas</w:t>
            </w:r>
          </w:p>
        </w:tc>
        <w:tc>
          <w:tcPr>
            <w:tcW w:w="6378" w:type="dxa"/>
            <w:shd w:val="clear" w:color="auto" w:fill="EEECE1"/>
            <w:vAlign w:val="center"/>
          </w:tcPr>
          <w:p w:rsidR="003D4200" w:rsidRPr="002447B3" w:rsidRDefault="003D4200" w:rsidP="00712C9F">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Pavadinimas</w:t>
            </w:r>
          </w:p>
        </w:tc>
        <w:tc>
          <w:tcPr>
            <w:tcW w:w="1843" w:type="dxa"/>
            <w:shd w:val="clear" w:color="auto" w:fill="EEECE1"/>
            <w:vAlign w:val="center"/>
          </w:tcPr>
          <w:p w:rsidR="003D4200" w:rsidRPr="002447B3" w:rsidRDefault="003D4200" w:rsidP="008D1CA8">
            <w:pPr>
              <w:widowControl w:val="0"/>
              <w:tabs>
                <w:tab w:val="left" w:pos="622"/>
              </w:tabs>
              <w:spacing w:after="0" w:line="240" w:lineRule="auto"/>
              <w:jc w:val="center"/>
              <w:rPr>
                <w:rFonts w:ascii="Times New Roman" w:hAnsi="Times New Roman"/>
                <w:b/>
                <w:bCs/>
                <w:iCs/>
                <w:sz w:val="18"/>
                <w:szCs w:val="18"/>
              </w:rPr>
            </w:pPr>
            <w:r w:rsidRPr="002447B3">
              <w:rPr>
                <w:rFonts w:ascii="Times New Roman" w:hAnsi="Times New Roman"/>
                <w:b/>
                <w:bCs/>
                <w:iCs/>
                <w:sz w:val="18"/>
                <w:szCs w:val="18"/>
              </w:rPr>
              <w:t>Finansinė proporcija (eurais)</w:t>
            </w:r>
          </w:p>
        </w:tc>
      </w:tr>
      <w:tr w:rsidR="003D4200" w:rsidRPr="002447B3" w:rsidTr="003D4200">
        <w:tc>
          <w:tcPr>
            <w:tcW w:w="851" w:type="dxa"/>
            <w:shd w:val="clear" w:color="auto" w:fill="auto"/>
            <w:vAlign w:val="center"/>
          </w:tcPr>
          <w:p w:rsidR="003D4200" w:rsidRPr="00B21DA6" w:rsidRDefault="003D4200" w:rsidP="003D4200">
            <w:pPr>
              <w:widowControl w:val="0"/>
              <w:tabs>
                <w:tab w:val="left" w:pos="622"/>
              </w:tabs>
              <w:spacing w:after="0" w:line="240" w:lineRule="auto"/>
              <w:jc w:val="center"/>
              <w:rPr>
                <w:rFonts w:ascii="Times New Roman" w:eastAsia="AngsanaUPC" w:hAnsi="Times New Roman"/>
                <w:bCs/>
                <w:sz w:val="18"/>
                <w:szCs w:val="18"/>
                <w:lang w:val="en-GB" w:eastAsia="lt-LT"/>
              </w:rPr>
            </w:pPr>
            <w:r w:rsidRPr="00B21DA6">
              <w:rPr>
                <w:rFonts w:ascii="Times New Roman" w:eastAsia="AngsanaUPC" w:hAnsi="Times New Roman"/>
                <w:bCs/>
                <w:sz w:val="18"/>
                <w:szCs w:val="18"/>
                <w:lang w:val="en-GB" w:eastAsia="lt-LT"/>
              </w:rPr>
              <w:t>ERPF</w:t>
            </w:r>
          </w:p>
        </w:tc>
        <w:tc>
          <w:tcPr>
            <w:tcW w:w="709" w:type="dxa"/>
            <w:shd w:val="clear" w:color="auto" w:fill="auto"/>
            <w:vAlign w:val="center"/>
          </w:tcPr>
          <w:p w:rsidR="003D4200" w:rsidRPr="00B21DA6" w:rsidRDefault="003D4200" w:rsidP="00322BE2">
            <w:pPr>
              <w:widowControl w:val="0"/>
              <w:tabs>
                <w:tab w:val="left" w:pos="622"/>
              </w:tabs>
              <w:spacing w:after="0" w:line="240" w:lineRule="auto"/>
              <w:jc w:val="center"/>
              <w:rPr>
                <w:rFonts w:ascii="Times New Roman" w:eastAsia="AngsanaUPC" w:hAnsi="Times New Roman"/>
                <w:bCs/>
                <w:sz w:val="18"/>
                <w:szCs w:val="18"/>
                <w:lang w:val="en-GB" w:eastAsia="lt-LT"/>
              </w:rPr>
            </w:pPr>
            <w:r w:rsidRPr="00B21DA6">
              <w:rPr>
                <w:rFonts w:ascii="Times New Roman" w:eastAsia="AngsanaUPC" w:hAnsi="Times New Roman"/>
                <w:bCs/>
                <w:sz w:val="18"/>
                <w:szCs w:val="18"/>
                <w:lang w:val="en-GB" w:eastAsia="lt-LT"/>
              </w:rPr>
              <w:t>66</w:t>
            </w:r>
          </w:p>
        </w:tc>
        <w:tc>
          <w:tcPr>
            <w:tcW w:w="6378" w:type="dxa"/>
            <w:shd w:val="clear" w:color="auto" w:fill="auto"/>
            <w:vAlign w:val="center"/>
          </w:tcPr>
          <w:p w:rsidR="003D4200" w:rsidRPr="00B21DA6" w:rsidRDefault="003D4200" w:rsidP="00595F1C">
            <w:pPr>
              <w:widowControl w:val="0"/>
              <w:tabs>
                <w:tab w:val="left" w:pos="622"/>
              </w:tabs>
              <w:spacing w:after="0" w:line="240" w:lineRule="auto"/>
              <w:rPr>
                <w:rFonts w:ascii="Times New Roman" w:eastAsia="AngsanaUPC" w:hAnsi="Times New Roman"/>
                <w:bCs/>
                <w:sz w:val="18"/>
                <w:szCs w:val="18"/>
                <w:lang w:eastAsia="lt-LT"/>
              </w:rPr>
            </w:pPr>
            <w:r w:rsidRPr="00B21DA6">
              <w:rPr>
                <w:rFonts w:ascii="Times New Roman" w:eastAsia="AngsanaUPC" w:hAnsi="Times New Roman"/>
                <w:bCs/>
                <w:sz w:val="18"/>
                <w:szCs w:val="18"/>
                <w:lang w:eastAsia="lt-LT"/>
              </w:rPr>
              <w:t>MVĮ ir MVĮ grupėms skirtos pažangios paramos paslaugos (įskaitant valdymo, rinkodaros ir projektavimo paslaugas)</w:t>
            </w:r>
          </w:p>
        </w:tc>
        <w:tc>
          <w:tcPr>
            <w:tcW w:w="1843" w:type="dxa"/>
            <w:shd w:val="clear" w:color="auto" w:fill="auto"/>
            <w:vAlign w:val="center"/>
          </w:tcPr>
          <w:p w:rsidR="003D4200" w:rsidRPr="00B21DA6" w:rsidRDefault="00B21DA6" w:rsidP="00B21DA6">
            <w:pPr>
              <w:widowControl w:val="0"/>
              <w:tabs>
                <w:tab w:val="left" w:pos="622"/>
              </w:tabs>
              <w:spacing w:after="0" w:line="240" w:lineRule="auto"/>
              <w:jc w:val="right"/>
              <w:rPr>
                <w:rFonts w:ascii="Times New Roman" w:eastAsia="AngsanaUPC" w:hAnsi="Times New Roman"/>
                <w:bCs/>
                <w:sz w:val="18"/>
                <w:szCs w:val="18"/>
                <w:lang w:val="en-GB" w:eastAsia="lt-LT"/>
              </w:rPr>
            </w:pPr>
            <w:r w:rsidRPr="00B21DA6">
              <w:rPr>
                <w:rFonts w:ascii="Times New Roman" w:eastAsia="AngsanaUPC" w:hAnsi="Times New Roman"/>
                <w:bCs/>
                <w:sz w:val="18"/>
                <w:szCs w:val="18"/>
                <w:lang w:val="en-GB" w:eastAsia="lt-LT"/>
              </w:rPr>
              <w:t>44</w:t>
            </w:r>
            <w:r w:rsidR="00C76808">
              <w:rPr>
                <w:rFonts w:ascii="Times New Roman" w:eastAsia="AngsanaUPC" w:hAnsi="Times New Roman"/>
                <w:bCs/>
                <w:sz w:val="18"/>
                <w:szCs w:val="18"/>
                <w:lang w:val="en-GB" w:eastAsia="lt-LT"/>
              </w:rPr>
              <w:t>.</w:t>
            </w:r>
            <w:r w:rsidRPr="00B21DA6">
              <w:rPr>
                <w:rFonts w:ascii="Times New Roman" w:eastAsia="AngsanaUPC" w:hAnsi="Times New Roman"/>
                <w:bCs/>
                <w:sz w:val="18"/>
                <w:szCs w:val="18"/>
                <w:lang w:val="en-GB" w:eastAsia="lt-LT"/>
              </w:rPr>
              <w:t>758</w:t>
            </w:r>
            <w:r w:rsidR="00C76808">
              <w:rPr>
                <w:rFonts w:ascii="Times New Roman" w:eastAsia="AngsanaUPC" w:hAnsi="Times New Roman"/>
                <w:bCs/>
                <w:sz w:val="18"/>
                <w:szCs w:val="18"/>
                <w:lang w:val="en-GB" w:eastAsia="lt-LT"/>
              </w:rPr>
              <w:t>.</w:t>
            </w:r>
            <w:r w:rsidRPr="00B21DA6">
              <w:rPr>
                <w:rFonts w:ascii="Times New Roman" w:eastAsia="AngsanaUPC" w:hAnsi="Times New Roman"/>
                <w:bCs/>
                <w:sz w:val="18"/>
                <w:szCs w:val="18"/>
                <w:lang w:val="en-GB" w:eastAsia="lt-LT"/>
              </w:rPr>
              <w:t>877</w:t>
            </w:r>
          </w:p>
        </w:tc>
      </w:tr>
      <w:tr w:rsidR="003D4200" w:rsidRPr="002447B3" w:rsidTr="003D4200">
        <w:tc>
          <w:tcPr>
            <w:tcW w:w="851" w:type="dxa"/>
            <w:shd w:val="clear" w:color="auto" w:fill="auto"/>
            <w:vAlign w:val="center"/>
          </w:tcPr>
          <w:p w:rsidR="003D4200" w:rsidRPr="00B21DA6" w:rsidRDefault="003D4200" w:rsidP="003D4200">
            <w:pPr>
              <w:widowControl w:val="0"/>
              <w:tabs>
                <w:tab w:val="left" w:pos="622"/>
              </w:tabs>
              <w:spacing w:after="0" w:line="240" w:lineRule="auto"/>
              <w:jc w:val="center"/>
              <w:rPr>
                <w:rFonts w:ascii="Times New Roman" w:eastAsia="AngsanaUPC" w:hAnsi="Times New Roman"/>
                <w:bCs/>
                <w:sz w:val="18"/>
                <w:szCs w:val="18"/>
                <w:lang w:val="en-GB" w:eastAsia="lt-LT"/>
              </w:rPr>
            </w:pPr>
            <w:r w:rsidRPr="00B21DA6">
              <w:rPr>
                <w:rFonts w:ascii="Times New Roman" w:eastAsia="AngsanaUPC" w:hAnsi="Times New Roman"/>
                <w:bCs/>
                <w:sz w:val="18"/>
                <w:szCs w:val="18"/>
                <w:lang w:val="en-GB" w:eastAsia="lt-LT"/>
              </w:rPr>
              <w:t>ERPF</w:t>
            </w:r>
          </w:p>
        </w:tc>
        <w:tc>
          <w:tcPr>
            <w:tcW w:w="709" w:type="dxa"/>
            <w:shd w:val="clear" w:color="auto" w:fill="auto"/>
            <w:vAlign w:val="center"/>
          </w:tcPr>
          <w:p w:rsidR="003D4200" w:rsidRPr="00B21DA6" w:rsidRDefault="003D4200" w:rsidP="00322BE2">
            <w:pPr>
              <w:widowControl w:val="0"/>
              <w:tabs>
                <w:tab w:val="left" w:pos="622"/>
              </w:tabs>
              <w:spacing w:after="0" w:line="240" w:lineRule="auto"/>
              <w:jc w:val="center"/>
              <w:rPr>
                <w:rFonts w:ascii="Times New Roman" w:eastAsia="AngsanaUPC" w:hAnsi="Times New Roman"/>
                <w:bCs/>
                <w:sz w:val="18"/>
                <w:szCs w:val="18"/>
                <w:lang w:val="en-GB" w:eastAsia="lt-LT"/>
              </w:rPr>
            </w:pPr>
            <w:r w:rsidRPr="00B21DA6">
              <w:rPr>
                <w:rFonts w:ascii="Times New Roman" w:eastAsia="AngsanaUPC" w:hAnsi="Times New Roman"/>
                <w:bCs/>
                <w:sz w:val="18"/>
                <w:szCs w:val="18"/>
                <w:lang w:val="en-GB" w:eastAsia="lt-LT"/>
              </w:rPr>
              <w:t>67</w:t>
            </w:r>
          </w:p>
        </w:tc>
        <w:tc>
          <w:tcPr>
            <w:tcW w:w="6378" w:type="dxa"/>
            <w:shd w:val="clear" w:color="auto" w:fill="auto"/>
            <w:vAlign w:val="center"/>
          </w:tcPr>
          <w:p w:rsidR="003D4200" w:rsidRPr="00B21DA6" w:rsidRDefault="003D4200" w:rsidP="00595F1C">
            <w:pPr>
              <w:widowControl w:val="0"/>
              <w:tabs>
                <w:tab w:val="left" w:pos="622"/>
              </w:tabs>
              <w:spacing w:after="0" w:line="240" w:lineRule="auto"/>
              <w:rPr>
                <w:rFonts w:ascii="Times New Roman" w:eastAsia="AngsanaUPC" w:hAnsi="Times New Roman"/>
                <w:bCs/>
                <w:sz w:val="18"/>
                <w:szCs w:val="18"/>
                <w:lang w:eastAsia="lt-LT"/>
              </w:rPr>
            </w:pPr>
            <w:r w:rsidRPr="00B21DA6">
              <w:rPr>
                <w:rFonts w:ascii="Times New Roman" w:eastAsia="AngsanaUPC" w:hAnsi="Times New Roman"/>
                <w:bCs/>
                <w:sz w:val="18"/>
                <w:szCs w:val="18"/>
                <w:lang w:eastAsia="lt-LT"/>
              </w:rPr>
              <w:t>MVĮ verslo vystymas, parama verslumui ir inkubatoriams (įskaitant paramą pumpu</w:t>
            </w:r>
            <w:r w:rsidRPr="00B21DA6">
              <w:t xml:space="preserve"> </w:t>
            </w:r>
            <w:r w:rsidRPr="00B21DA6">
              <w:rPr>
                <w:rFonts w:ascii="Times New Roman" w:eastAsia="AngsanaUPC" w:hAnsi="Times New Roman"/>
                <w:bCs/>
                <w:sz w:val="18"/>
                <w:szCs w:val="18"/>
                <w:lang w:eastAsia="lt-LT"/>
              </w:rPr>
              <w:t>rinėms ir atskirtosioms įmonėms)</w:t>
            </w:r>
          </w:p>
        </w:tc>
        <w:tc>
          <w:tcPr>
            <w:tcW w:w="1843" w:type="dxa"/>
            <w:shd w:val="clear" w:color="auto" w:fill="auto"/>
            <w:vAlign w:val="center"/>
          </w:tcPr>
          <w:p w:rsidR="003D4200" w:rsidRPr="00D54F90" w:rsidRDefault="00CA08F4" w:rsidP="00E70E83">
            <w:pPr>
              <w:widowControl w:val="0"/>
              <w:tabs>
                <w:tab w:val="left" w:pos="622"/>
              </w:tabs>
              <w:spacing w:after="0" w:line="240" w:lineRule="auto"/>
              <w:jc w:val="right"/>
              <w:rPr>
                <w:rFonts w:ascii="Times New Roman" w:eastAsia="AngsanaUPC" w:hAnsi="Times New Roman"/>
                <w:bCs/>
                <w:sz w:val="18"/>
                <w:szCs w:val="18"/>
                <w:lang w:val="en-GB" w:eastAsia="lt-LT"/>
              </w:rPr>
            </w:pPr>
            <w:r w:rsidRPr="002C08FA">
              <w:rPr>
                <w:rFonts w:ascii="Times New Roman" w:eastAsia="AngsanaUPC" w:hAnsi="Times New Roman"/>
                <w:bCs/>
                <w:sz w:val="18"/>
                <w:szCs w:val="18"/>
                <w:lang w:val="en-GB" w:eastAsia="lt-LT"/>
              </w:rPr>
              <w:t>32</w:t>
            </w:r>
            <w:r w:rsidR="00E70E83" w:rsidRPr="002C08FA">
              <w:rPr>
                <w:rFonts w:ascii="Times New Roman" w:eastAsia="AngsanaUPC" w:hAnsi="Times New Roman"/>
                <w:bCs/>
                <w:sz w:val="18"/>
                <w:szCs w:val="18"/>
                <w:lang w:val="en-GB" w:eastAsia="lt-LT"/>
              </w:rPr>
              <w:t>8</w:t>
            </w:r>
            <w:r w:rsidR="00C76808" w:rsidRPr="002C08FA">
              <w:rPr>
                <w:rFonts w:ascii="Times New Roman" w:eastAsia="AngsanaUPC" w:hAnsi="Times New Roman"/>
                <w:bCs/>
                <w:sz w:val="18"/>
                <w:szCs w:val="18"/>
                <w:lang w:val="en-GB" w:eastAsia="lt-LT"/>
              </w:rPr>
              <w:t>.</w:t>
            </w:r>
            <w:r w:rsidR="00E70E83" w:rsidRPr="002C08FA">
              <w:rPr>
                <w:rFonts w:ascii="Times New Roman" w:eastAsia="AngsanaUPC" w:hAnsi="Times New Roman"/>
                <w:bCs/>
                <w:sz w:val="18"/>
                <w:szCs w:val="18"/>
                <w:lang w:val="en-GB" w:eastAsia="lt-LT"/>
              </w:rPr>
              <w:t>7</w:t>
            </w:r>
            <w:r w:rsidR="00B21DA6" w:rsidRPr="002C08FA">
              <w:rPr>
                <w:rFonts w:ascii="Times New Roman" w:eastAsia="AngsanaUPC" w:hAnsi="Times New Roman"/>
                <w:bCs/>
                <w:sz w:val="18"/>
                <w:szCs w:val="18"/>
                <w:lang w:val="en-GB" w:eastAsia="lt-LT"/>
              </w:rPr>
              <w:t>30</w:t>
            </w:r>
            <w:r w:rsidR="00C76808" w:rsidRPr="002C08FA">
              <w:rPr>
                <w:rFonts w:ascii="Times New Roman" w:eastAsia="AngsanaUPC" w:hAnsi="Times New Roman"/>
                <w:bCs/>
                <w:sz w:val="18"/>
                <w:szCs w:val="18"/>
                <w:lang w:val="en-GB" w:eastAsia="lt-LT"/>
              </w:rPr>
              <w:t>.</w:t>
            </w:r>
            <w:r w:rsidR="00B21DA6" w:rsidRPr="002C08FA">
              <w:rPr>
                <w:rFonts w:ascii="Times New Roman" w:eastAsia="AngsanaUPC" w:hAnsi="Times New Roman"/>
                <w:bCs/>
                <w:sz w:val="18"/>
                <w:szCs w:val="18"/>
                <w:lang w:val="en-GB" w:eastAsia="lt-LT"/>
              </w:rPr>
              <w:t>617</w:t>
            </w:r>
          </w:p>
        </w:tc>
      </w:tr>
      <w:tr w:rsidR="003D4200" w:rsidRPr="002447B3" w:rsidTr="003D4200">
        <w:tc>
          <w:tcPr>
            <w:tcW w:w="851" w:type="dxa"/>
            <w:shd w:val="clear" w:color="auto" w:fill="auto"/>
            <w:vAlign w:val="center"/>
          </w:tcPr>
          <w:p w:rsidR="003D4200" w:rsidRPr="00B21DA6" w:rsidRDefault="003D4200" w:rsidP="003D4200">
            <w:pPr>
              <w:widowControl w:val="0"/>
              <w:tabs>
                <w:tab w:val="left" w:pos="622"/>
              </w:tabs>
              <w:spacing w:after="0" w:line="240" w:lineRule="auto"/>
              <w:jc w:val="center"/>
              <w:rPr>
                <w:rFonts w:ascii="Times New Roman" w:eastAsia="AngsanaUPC" w:hAnsi="Times New Roman"/>
                <w:bCs/>
                <w:sz w:val="18"/>
                <w:szCs w:val="18"/>
                <w:lang w:val="en-GB" w:eastAsia="lt-LT"/>
              </w:rPr>
            </w:pPr>
            <w:r w:rsidRPr="00B21DA6">
              <w:rPr>
                <w:rFonts w:ascii="Times New Roman" w:eastAsia="AngsanaUPC" w:hAnsi="Times New Roman"/>
                <w:bCs/>
                <w:sz w:val="18"/>
                <w:szCs w:val="18"/>
                <w:lang w:val="en-GB" w:eastAsia="lt-LT"/>
              </w:rPr>
              <w:t>ERPF</w:t>
            </w:r>
          </w:p>
        </w:tc>
        <w:tc>
          <w:tcPr>
            <w:tcW w:w="709" w:type="dxa"/>
            <w:shd w:val="clear" w:color="auto" w:fill="auto"/>
            <w:vAlign w:val="center"/>
          </w:tcPr>
          <w:p w:rsidR="003D4200" w:rsidRPr="00B21DA6" w:rsidRDefault="003D4200" w:rsidP="00322BE2">
            <w:pPr>
              <w:widowControl w:val="0"/>
              <w:tabs>
                <w:tab w:val="left" w:pos="622"/>
              </w:tabs>
              <w:spacing w:after="0" w:line="240" w:lineRule="auto"/>
              <w:jc w:val="center"/>
              <w:rPr>
                <w:rFonts w:ascii="Times New Roman" w:eastAsia="AngsanaUPC" w:hAnsi="Times New Roman"/>
                <w:bCs/>
                <w:sz w:val="18"/>
                <w:szCs w:val="18"/>
                <w:lang w:val="en-GB" w:eastAsia="lt-LT"/>
              </w:rPr>
            </w:pPr>
            <w:r w:rsidRPr="00B21DA6">
              <w:rPr>
                <w:rFonts w:ascii="Times New Roman" w:eastAsia="AngsanaUPC" w:hAnsi="Times New Roman"/>
                <w:bCs/>
                <w:sz w:val="18"/>
                <w:szCs w:val="18"/>
                <w:lang w:val="en-GB" w:eastAsia="lt-LT"/>
              </w:rPr>
              <w:t>68</w:t>
            </w:r>
          </w:p>
        </w:tc>
        <w:tc>
          <w:tcPr>
            <w:tcW w:w="6378" w:type="dxa"/>
            <w:shd w:val="clear" w:color="auto" w:fill="auto"/>
            <w:vAlign w:val="center"/>
          </w:tcPr>
          <w:p w:rsidR="003D4200" w:rsidRPr="00B21DA6" w:rsidRDefault="003D4200" w:rsidP="00184094">
            <w:pPr>
              <w:widowControl w:val="0"/>
              <w:tabs>
                <w:tab w:val="left" w:pos="622"/>
              </w:tabs>
              <w:spacing w:after="0" w:line="240" w:lineRule="auto"/>
              <w:rPr>
                <w:rFonts w:ascii="Times New Roman" w:eastAsia="AngsanaUPC" w:hAnsi="Times New Roman"/>
                <w:bCs/>
                <w:sz w:val="18"/>
                <w:szCs w:val="18"/>
                <w:lang w:eastAsia="lt-LT"/>
              </w:rPr>
            </w:pPr>
            <w:r w:rsidRPr="00B21DA6">
              <w:rPr>
                <w:rFonts w:ascii="Times New Roman" w:eastAsia="AngsanaUPC" w:hAnsi="Times New Roman"/>
                <w:bCs/>
                <w:sz w:val="18"/>
                <w:szCs w:val="18"/>
                <w:lang w:eastAsia="lt-LT"/>
              </w:rPr>
              <w:t>MVĮ efektyvus energijos vartojimas ir jose vykdomi parodomieji projektai, taip pat pagalbinės priemonės</w:t>
            </w:r>
          </w:p>
        </w:tc>
        <w:tc>
          <w:tcPr>
            <w:tcW w:w="1843" w:type="dxa"/>
            <w:shd w:val="clear" w:color="auto" w:fill="auto"/>
            <w:vAlign w:val="center"/>
          </w:tcPr>
          <w:p w:rsidR="003D4200" w:rsidRPr="00D54F90" w:rsidRDefault="003D4200" w:rsidP="00B21DA6">
            <w:pPr>
              <w:widowControl w:val="0"/>
              <w:tabs>
                <w:tab w:val="left" w:pos="622"/>
              </w:tabs>
              <w:spacing w:after="0" w:line="240" w:lineRule="auto"/>
              <w:jc w:val="right"/>
              <w:rPr>
                <w:rFonts w:ascii="Times New Roman" w:eastAsia="AngsanaUPC" w:hAnsi="Times New Roman"/>
                <w:bCs/>
                <w:sz w:val="18"/>
                <w:szCs w:val="18"/>
                <w:lang w:val="en-GB" w:eastAsia="lt-LT"/>
              </w:rPr>
            </w:pPr>
            <w:r w:rsidRPr="00D54F90">
              <w:rPr>
                <w:rFonts w:ascii="Times New Roman" w:eastAsia="AngsanaUPC" w:hAnsi="Times New Roman"/>
                <w:bCs/>
                <w:sz w:val="18"/>
                <w:szCs w:val="18"/>
                <w:lang w:val="en-GB" w:eastAsia="lt-LT"/>
              </w:rPr>
              <w:t>5</w:t>
            </w:r>
            <w:r w:rsidR="00C76808" w:rsidRPr="00D54F90">
              <w:rPr>
                <w:rFonts w:ascii="Times New Roman" w:eastAsia="AngsanaUPC" w:hAnsi="Times New Roman"/>
                <w:bCs/>
                <w:sz w:val="18"/>
                <w:szCs w:val="18"/>
                <w:lang w:val="en-GB" w:eastAsia="lt-LT"/>
              </w:rPr>
              <w:t>.</w:t>
            </w:r>
            <w:r w:rsidRPr="00D54F90">
              <w:rPr>
                <w:rFonts w:ascii="Times New Roman" w:eastAsia="AngsanaUPC" w:hAnsi="Times New Roman"/>
                <w:bCs/>
                <w:sz w:val="18"/>
                <w:szCs w:val="18"/>
                <w:lang w:val="en-GB" w:eastAsia="lt-LT"/>
              </w:rPr>
              <w:t>792</w:t>
            </w:r>
            <w:r w:rsidR="00C76808" w:rsidRPr="00D54F90">
              <w:rPr>
                <w:rFonts w:ascii="Times New Roman" w:eastAsia="AngsanaUPC" w:hAnsi="Times New Roman"/>
                <w:bCs/>
                <w:sz w:val="18"/>
                <w:szCs w:val="18"/>
                <w:lang w:val="en-GB" w:eastAsia="lt-LT"/>
              </w:rPr>
              <w:t>.</w:t>
            </w:r>
            <w:r w:rsidRPr="00D54F90">
              <w:rPr>
                <w:rFonts w:ascii="Times New Roman" w:eastAsia="AngsanaUPC" w:hAnsi="Times New Roman"/>
                <w:bCs/>
                <w:sz w:val="18"/>
                <w:szCs w:val="18"/>
                <w:lang w:val="en-GB" w:eastAsia="lt-LT"/>
              </w:rPr>
              <w:t>400</w:t>
            </w:r>
          </w:p>
        </w:tc>
      </w:tr>
      <w:tr w:rsidR="003D4200" w:rsidRPr="002447B3" w:rsidTr="003D4200">
        <w:tc>
          <w:tcPr>
            <w:tcW w:w="851" w:type="dxa"/>
            <w:shd w:val="clear" w:color="auto" w:fill="auto"/>
            <w:vAlign w:val="center"/>
          </w:tcPr>
          <w:p w:rsidR="003D4200" w:rsidRPr="00B21DA6" w:rsidRDefault="003D4200" w:rsidP="003D4200">
            <w:pPr>
              <w:widowControl w:val="0"/>
              <w:tabs>
                <w:tab w:val="left" w:pos="622"/>
              </w:tabs>
              <w:spacing w:after="0" w:line="240" w:lineRule="auto"/>
              <w:jc w:val="center"/>
              <w:rPr>
                <w:rFonts w:ascii="Times New Roman" w:eastAsia="AngsanaUPC" w:hAnsi="Times New Roman"/>
                <w:bCs/>
                <w:sz w:val="18"/>
                <w:szCs w:val="18"/>
                <w:lang w:val="en-GB" w:eastAsia="lt-LT"/>
              </w:rPr>
            </w:pPr>
            <w:r w:rsidRPr="00B21DA6">
              <w:rPr>
                <w:rFonts w:ascii="Times New Roman" w:eastAsia="AngsanaUPC" w:hAnsi="Times New Roman"/>
                <w:bCs/>
                <w:sz w:val="18"/>
                <w:szCs w:val="18"/>
                <w:lang w:val="en-GB" w:eastAsia="lt-LT"/>
              </w:rPr>
              <w:t>ERPF</w:t>
            </w:r>
          </w:p>
        </w:tc>
        <w:tc>
          <w:tcPr>
            <w:tcW w:w="709" w:type="dxa"/>
            <w:shd w:val="clear" w:color="auto" w:fill="auto"/>
            <w:vAlign w:val="center"/>
          </w:tcPr>
          <w:p w:rsidR="003D4200" w:rsidRPr="00B21DA6" w:rsidRDefault="003D4200" w:rsidP="00322BE2">
            <w:pPr>
              <w:widowControl w:val="0"/>
              <w:tabs>
                <w:tab w:val="left" w:pos="622"/>
              </w:tabs>
              <w:spacing w:after="0" w:line="240" w:lineRule="auto"/>
              <w:jc w:val="center"/>
              <w:rPr>
                <w:rFonts w:ascii="Times New Roman" w:eastAsia="AngsanaUPC" w:hAnsi="Times New Roman"/>
                <w:bCs/>
                <w:sz w:val="18"/>
                <w:szCs w:val="18"/>
                <w:lang w:val="en-GB" w:eastAsia="lt-LT"/>
              </w:rPr>
            </w:pPr>
            <w:r w:rsidRPr="00B21DA6">
              <w:rPr>
                <w:rFonts w:ascii="Times New Roman" w:eastAsia="AngsanaUPC" w:hAnsi="Times New Roman"/>
                <w:bCs/>
                <w:sz w:val="18"/>
                <w:szCs w:val="18"/>
                <w:lang w:val="en-GB" w:eastAsia="lt-LT"/>
              </w:rPr>
              <w:t>69</w:t>
            </w:r>
          </w:p>
        </w:tc>
        <w:tc>
          <w:tcPr>
            <w:tcW w:w="6378" w:type="dxa"/>
            <w:shd w:val="clear" w:color="auto" w:fill="auto"/>
            <w:vAlign w:val="center"/>
          </w:tcPr>
          <w:p w:rsidR="003D4200" w:rsidRPr="00B21DA6" w:rsidRDefault="003D4200" w:rsidP="00184094">
            <w:pPr>
              <w:widowControl w:val="0"/>
              <w:tabs>
                <w:tab w:val="left" w:pos="622"/>
              </w:tabs>
              <w:spacing w:after="0" w:line="240" w:lineRule="auto"/>
              <w:rPr>
                <w:rFonts w:ascii="Times New Roman" w:eastAsia="AngsanaUPC" w:hAnsi="Times New Roman"/>
                <w:bCs/>
                <w:sz w:val="18"/>
                <w:szCs w:val="18"/>
                <w:lang w:eastAsia="lt-LT"/>
              </w:rPr>
            </w:pPr>
            <w:r w:rsidRPr="00B21DA6">
              <w:rPr>
                <w:rFonts w:ascii="Times New Roman" w:eastAsia="AngsanaUPC" w:hAnsi="Times New Roman"/>
                <w:bCs/>
                <w:sz w:val="18"/>
                <w:szCs w:val="18"/>
                <w:lang w:eastAsia="lt-LT"/>
              </w:rPr>
              <w:t>Parama ekologiškiems gamybos procesams ir efektyviam išteklių naudojimui MVĮ</w:t>
            </w:r>
            <w:r w:rsidR="00184094" w:rsidRPr="00B21DA6">
              <w:rPr>
                <w:rFonts w:ascii="Times New Roman" w:eastAsia="AngsanaUPC" w:hAnsi="Times New Roman"/>
                <w:bCs/>
                <w:sz w:val="18"/>
                <w:szCs w:val="18"/>
                <w:lang w:eastAsia="lt-LT"/>
              </w:rPr>
              <w:t xml:space="preserve"> </w:t>
            </w:r>
            <w:r w:rsidRPr="00B21DA6">
              <w:rPr>
                <w:rFonts w:ascii="Times New Roman" w:eastAsia="AngsanaUPC" w:hAnsi="Times New Roman"/>
                <w:bCs/>
                <w:sz w:val="18"/>
                <w:szCs w:val="18"/>
                <w:lang w:eastAsia="lt-LT"/>
              </w:rPr>
              <w:t>užtikrinti</w:t>
            </w:r>
          </w:p>
        </w:tc>
        <w:tc>
          <w:tcPr>
            <w:tcW w:w="1843" w:type="dxa"/>
            <w:shd w:val="clear" w:color="auto" w:fill="auto"/>
            <w:vAlign w:val="center"/>
          </w:tcPr>
          <w:p w:rsidR="003D4200" w:rsidRPr="00D54F90" w:rsidRDefault="00B21DA6" w:rsidP="00322BE2">
            <w:pPr>
              <w:widowControl w:val="0"/>
              <w:tabs>
                <w:tab w:val="left" w:pos="622"/>
              </w:tabs>
              <w:spacing w:after="0" w:line="240" w:lineRule="auto"/>
              <w:jc w:val="right"/>
              <w:rPr>
                <w:rFonts w:ascii="Times New Roman" w:eastAsia="AngsanaUPC" w:hAnsi="Times New Roman"/>
                <w:bCs/>
                <w:sz w:val="18"/>
                <w:szCs w:val="18"/>
                <w:lang w:val="en-GB" w:eastAsia="lt-LT"/>
              </w:rPr>
            </w:pPr>
            <w:r w:rsidRPr="00D54F90">
              <w:rPr>
                <w:rFonts w:ascii="Times New Roman" w:eastAsia="AngsanaUPC" w:hAnsi="Times New Roman"/>
                <w:bCs/>
                <w:sz w:val="18"/>
                <w:szCs w:val="18"/>
                <w:lang w:val="en-GB" w:eastAsia="lt-LT"/>
              </w:rPr>
              <w:t>166</w:t>
            </w:r>
            <w:r w:rsidR="00C76808" w:rsidRPr="00D54F90">
              <w:rPr>
                <w:rFonts w:ascii="Times New Roman" w:eastAsia="AngsanaUPC" w:hAnsi="Times New Roman"/>
                <w:bCs/>
                <w:sz w:val="18"/>
                <w:szCs w:val="18"/>
                <w:lang w:val="en-GB" w:eastAsia="lt-LT"/>
              </w:rPr>
              <w:t>.</w:t>
            </w:r>
            <w:r w:rsidRPr="00D54F90">
              <w:rPr>
                <w:rFonts w:ascii="Times New Roman" w:eastAsia="AngsanaUPC" w:hAnsi="Times New Roman"/>
                <w:bCs/>
                <w:sz w:val="18"/>
                <w:szCs w:val="18"/>
                <w:lang w:val="en-GB" w:eastAsia="lt-LT"/>
              </w:rPr>
              <w:t>531</w:t>
            </w:r>
            <w:r w:rsidR="00C76808" w:rsidRPr="00D54F90">
              <w:rPr>
                <w:rFonts w:ascii="Times New Roman" w:eastAsia="AngsanaUPC" w:hAnsi="Times New Roman"/>
                <w:bCs/>
                <w:sz w:val="18"/>
                <w:szCs w:val="18"/>
                <w:lang w:val="en-GB" w:eastAsia="lt-LT"/>
              </w:rPr>
              <w:t>.</w:t>
            </w:r>
            <w:r w:rsidRPr="00D54F90">
              <w:rPr>
                <w:rFonts w:ascii="Times New Roman" w:eastAsia="AngsanaUPC" w:hAnsi="Times New Roman"/>
                <w:bCs/>
                <w:sz w:val="18"/>
                <w:szCs w:val="18"/>
                <w:lang w:val="en-GB" w:eastAsia="lt-LT"/>
              </w:rPr>
              <w:t>511</w:t>
            </w:r>
          </w:p>
        </w:tc>
      </w:tr>
      <w:tr w:rsidR="00B21DA6" w:rsidRPr="002447B3" w:rsidTr="003D4200">
        <w:tc>
          <w:tcPr>
            <w:tcW w:w="851" w:type="dxa"/>
            <w:shd w:val="clear" w:color="auto" w:fill="auto"/>
            <w:vAlign w:val="center"/>
          </w:tcPr>
          <w:p w:rsidR="00B21DA6" w:rsidRPr="00B21DA6" w:rsidRDefault="00B21DA6" w:rsidP="00BE2E68">
            <w:pPr>
              <w:widowControl w:val="0"/>
              <w:tabs>
                <w:tab w:val="left" w:pos="622"/>
              </w:tabs>
              <w:spacing w:after="0" w:line="240" w:lineRule="auto"/>
              <w:jc w:val="center"/>
              <w:rPr>
                <w:rFonts w:ascii="Times New Roman" w:eastAsia="AngsanaUPC" w:hAnsi="Times New Roman"/>
                <w:bCs/>
                <w:sz w:val="18"/>
                <w:szCs w:val="18"/>
                <w:lang w:val="en-GB" w:eastAsia="lt-LT"/>
              </w:rPr>
            </w:pPr>
            <w:r w:rsidRPr="00B21DA6">
              <w:rPr>
                <w:rFonts w:ascii="Times New Roman" w:eastAsia="AngsanaUPC" w:hAnsi="Times New Roman"/>
                <w:bCs/>
                <w:sz w:val="18"/>
                <w:szCs w:val="18"/>
                <w:lang w:val="en-GB" w:eastAsia="lt-LT"/>
              </w:rPr>
              <w:t>ERPF</w:t>
            </w:r>
          </w:p>
        </w:tc>
        <w:tc>
          <w:tcPr>
            <w:tcW w:w="709" w:type="dxa"/>
            <w:shd w:val="clear" w:color="auto" w:fill="auto"/>
            <w:vAlign w:val="center"/>
          </w:tcPr>
          <w:p w:rsidR="00B21DA6" w:rsidRPr="00B21DA6" w:rsidRDefault="00B21DA6" w:rsidP="00BE2E68">
            <w:pPr>
              <w:widowControl w:val="0"/>
              <w:tabs>
                <w:tab w:val="left" w:pos="622"/>
              </w:tabs>
              <w:spacing w:after="0" w:line="240" w:lineRule="auto"/>
              <w:jc w:val="center"/>
              <w:rPr>
                <w:rFonts w:ascii="Times New Roman" w:eastAsia="AngsanaUPC" w:hAnsi="Times New Roman"/>
                <w:bCs/>
                <w:sz w:val="18"/>
                <w:szCs w:val="18"/>
                <w:lang w:val="en-GB" w:eastAsia="lt-LT"/>
              </w:rPr>
            </w:pPr>
            <w:r w:rsidRPr="00B21DA6">
              <w:rPr>
                <w:rFonts w:ascii="Times New Roman" w:eastAsia="AngsanaUPC" w:hAnsi="Times New Roman"/>
                <w:bCs/>
                <w:sz w:val="18"/>
                <w:szCs w:val="18"/>
                <w:lang w:val="en-GB" w:eastAsia="lt-LT"/>
              </w:rPr>
              <w:t>71</w:t>
            </w:r>
          </w:p>
        </w:tc>
        <w:tc>
          <w:tcPr>
            <w:tcW w:w="6378" w:type="dxa"/>
            <w:shd w:val="clear" w:color="auto" w:fill="auto"/>
            <w:vAlign w:val="center"/>
          </w:tcPr>
          <w:p w:rsidR="00B21DA6" w:rsidRPr="00B21DA6" w:rsidRDefault="00B21DA6" w:rsidP="00BE2E68">
            <w:pPr>
              <w:widowControl w:val="0"/>
              <w:tabs>
                <w:tab w:val="left" w:pos="622"/>
              </w:tabs>
              <w:spacing w:after="0" w:line="240" w:lineRule="auto"/>
              <w:rPr>
                <w:rFonts w:ascii="Times New Roman" w:eastAsia="AngsanaUPC" w:hAnsi="Times New Roman"/>
                <w:bCs/>
                <w:sz w:val="18"/>
                <w:szCs w:val="18"/>
                <w:lang w:eastAsia="lt-LT"/>
              </w:rPr>
            </w:pPr>
            <w:r w:rsidRPr="00B21DA6">
              <w:rPr>
                <w:rFonts w:ascii="Times New Roman" w:eastAsia="AngsanaUPC" w:hAnsi="Times New Roman"/>
                <w:bCs/>
                <w:sz w:val="18"/>
                <w:szCs w:val="18"/>
                <w:lang w:eastAsia="lt-LT"/>
              </w:rPr>
              <w:t>Įmonių, kurių specializacija – teikimas paslaugų, padedančių pereiti prie mažo anglies dioksido kiekio technologijų ekonomikos ir didinti atsparumą klimato kaitai, vystymas ir skatinimas (įskaitant paramą tokioms paslaugoms)</w:t>
            </w:r>
          </w:p>
        </w:tc>
        <w:tc>
          <w:tcPr>
            <w:tcW w:w="1843" w:type="dxa"/>
            <w:shd w:val="clear" w:color="auto" w:fill="auto"/>
            <w:vAlign w:val="center"/>
          </w:tcPr>
          <w:p w:rsidR="00B21DA6" w:rsidRPr="00D54F90" w:rsidRDefault="00B21DA6" w:rsidP="00BE2E68">
            <w:pPr>
              <w:widowControl w:val="0"/>
              <w:tabs>
                <w:tab w:val="left" w:pos="622"/>
              </w:tabs>
              <w:spacing w:after="0" w:line="240" w:lineRule="auto"/>
              <w:jc w:val="right"/>
              <w:rPr>
                <w:rFonts w:ascii="Times New Roman" w:eastAsia="AngsanaUPC" w:hAnsi="Times New Roman"/>
                <w:bCs/>
                <w:sz w:val="18"/>
                <w:szCs w:val="18"/>
                <w:lang w:val="en-GB" w:eastAsia="lt-LT"/>
              </w:rPr>
            </w:pPr>
            <w:r w:rsidRPr="00D54F90">
              <w:rPr>
                <w:rFonts w:ascii="Times New Roman" w:eastAsia="AngsanaUPC" w:hAnsi="Times New Roman"/>
                <w:bCs/>
                <w:sz w:val="18"/>
                <w:szCs w:val="18"/>
                <w:lang w:val="en-GB" w:eastAsia="lt-LT"/>
              </w:rPr>
              <w:t>1</w:t>
            </w:r>
            <w:r w:rsidR="00C76808" w:rsidRPr="00D54F90">
              <w:rPr>
                <w:rFonts w:ascii="Times New Roman" w:eastAsia="AngsanaUPC" w:hAnsi="Times New Roman"/>
                <w:bCs/>
                <w:sz w:val="18"/>
                <w:szCs w:val="18"/>
                <w:lang w:val="en-GB" w:eastAsia="lt-LT"/>
              </w:rPr>
              <w:t>.</w:t>
            </w:r>
            <w:r w:rsidRPr="00D54F90">
              <w:rPr>
                <w:rFonts w:ascii="Times New Roman" w:eastAsia="AngsanaUPC" w:hAnsi="Times New Roman"/>
                <w:bCs/>
                <w:sz w:val="18"/>
                <w:szCs w:val="18"/>
                <w:lang w:val="en-GB" w:eastAsia="lt-LT"/>
              </w:rPr>
              <w:t>448</w:t>
            </w:r>
            <w:r w:rsidR="00C76808" w:rsidRPr="00D54F90">
              <w:rPr>
                <w:rFonts w:ascii="Times New Roman" w:eastAsia="AngsanaUPC" w:hAnsi="Times New Roman"/>
                <w:bCs/>
                <w:sz w:val="18"/>
                <w:szCs w:val="18"/>
                <w:lang w:val="en-GB" w:eastAsia="lt-LT"/>
              </w:rPr>
              <w:t>.</w:t>
            </w:r>
            <w:r w:rsidRPr="00D54F90">
              <w:rPr>
                <w:rFonts w:ascii="Times New Roman" w:eastAsia="AngsanaUPC" w:hAnsi="Times New Roman"/>
                <w:bCs/>
                <w:sz w:val="18"/>
                <w:szCs w:val="18"/>
                <w:lang w:val="en-GB" w:eastAsia="lt-LT"/>
              </w:rPr>
              <w:t>100</w:t>
            </w:r>
          </w:p>
        </w:tc>
      </w:tr>
      <w:tr w:rsidR="003D4200" w:rsidRPr="002447B3" w:rsidTr="003D4200">
        <w:tc>
          <w:tcPr>
            <w:tcW w:w="851" w:type="dxa"/>
            <w:shd w:val="clear" w:color="auto" w:fill="auto"/>
            <w:vAlign w:val="center"/>
          </w:tcPr>
          <w:p w:rsidR="003D4200" w:rsidRPr="00B21DA6" w:rsidRDefault="003D4200" w:rsidP="003D4200">
            <w:pPr>
              <w:widowControl w:val="0"/>
              <w:tabs>
                <w:tab w:val="left" w:pos="622"/>
              </w:tabs>
              <w:spacing w:after="0" w:line="240" w:lineRule="auto"/>
              <w:jc w:val="center"/>
              <w:rPr>
                <w:rFonts w:ascii="Times New Roman" w:eastAsia="AngsanaUPC" w:hAnsi="Times New Roman"/>
                <w:bCs/>
                <w:sz w:val="18"/>
                <w:szCs w:val="18"/>
                <w:lang w:val="en-GB" w:eastAsia="lt-LT"/>
              </w:rPr>
            </w:pPr>
            <w:r w:rsidRPr="00B21DA6">
              <w:rPr>
                <w:rFonts w:ascii="Times New Roman" w:eastAsia="AngsanaUPC" w:hAnsi="Times New Roman"/>
                <w:bCs/>
                <w:sz w:val="18"/>
                <w:szCs w:val="18"/>
                <w:lang w:val="en-GB" w:eastAsia="lt-LT"/>
              </w:rPr>
              <w:t>ERPF</w:t>
            </w:r>
          </w:p>
        </w:tc>
        <w:tc>
          <w:tcPr>
            <w:tcW w:w="709" w:type="dxa"/>
            <w:shd w:val="clear" w:color="auto" w:fill="auto"/>
            <w:vAlign w:val="center"/>
          </w:tcPr>
          <w:p w:rsidR="003D4200" w:rsidRPr="00B21DA6" w:rsidRDefault="003D4200" w:rsidP="00322BE2">
            <w:pPr>
              <w:widowControl w:val="0"/>
              <w:tabs>
                <w:tab w:val="left" w:pos="622"/>
              </w:tabs>
              <w:spacing w:after="0" w:line="240" w:lineRule="auto"/>
              <w:jc w:val="center"/>
              <w:rPr>
                <w:rFonts w:ascii="Times New Roman" w:eastAsia="AngsanaUPC" w:hAnsi="Times New Roman"/>
                <w:bCs/>
                <w:sz w:val="18"/>
                <w:szCs w:val="18"/>
                <w:lang w:val="en-GB" w:eastAsia="lt-LT"/>
              </w:rPr>
            </w:pPr>
            <w:r w:rsidRPr="00B21DA6">
              <w:rPr>
                <w:rFonts w:ascii="Times New Roman" w:eastAsia="AngsanaUPC" w:hAnsi="Times New Roman"/>
                <w:bCs/>
                <w:sz w:val="18"/>
                <w:szCs w:val="18"/>
                <w:lang w:val="en-GB" w:eastAsia="lt-LT"/>
              </w:rPr>
              <w:t>75</w:t>
            </w:r>
          </w:p>
        </w:tc>
        <w:tc>
          <w:tcPr>
            <w:tcW w:w="6378" w:type="dxa"/>
            <w:shd w:val="clear" w:color="auto" w:fill="auto"/>
            <w:vAlign w:val="center"/>
          </w:tcPr>
          <w:p w:rsidR="003D4200" w:rsidRPr="00B21DA6" w:rsidRDefault="003D4200" w:rsidP="00595F1C">
            <w:pPr>
              <w:widowControl w:val="0"/>
              <w:tabs>
                <w:tab w:val="left" w:pos="622"/>
              </w:tabs>
              <w:spacing w:after="0" w:line="240" w:lineRule="auto"/>
              <w:rPr>
                <w:rFonts w:ascii="Times New Roman" w:eastAsia="AngsanaUPC" w:hAnsi="Times New Roman"/>
                <w:bCs/>
                <w:sz w:val="18"/>
                <w:szCs w:val="18"/>
                <w:lang w:eastAsia="lt-LT"/>
              </w:rPr>
            </w:pPr>
            <w:r w:rsidRPr="00B21DA6">
              <w:rPr>
                <w:rFonts w:ascii="Times New Roman" w:eastAsia="AngsanaUPC" w:hAnsi="Times New Roman"/>
                <w:bCs/>
                <w:sz w:val="18"/>
                <w:szCs w:val="18"/>
                <w:lang w:eastAsia="lt-LT"/>
              </w:rPr>
              <w:t>Pačiose MVĮ arba joms teikiamų komercinio turizmo paslaugų plėtojimas ir populiarinimas</w:t>
            </w:r>
          </w:p>
        </w:tc>
        <w:tc>
          <w:tcPr>
            <w:tcW w:w="1843" w:type="dxa"/>
            <w:shd w:val="clear" w:color="auto" w:fill="auto"/>
            <w:vAlign w:val="center"/>
          </w:tcPr>
          <w:p w:rsidR="003D4200" w:rsidRPr="00D54F90" w:rsidRDefault="003D4200" w:rsidP="00B21DA6">
            <w:pPr>
              <w:widowControl w:val="0"/>
              <w:tabs>
                <w:tab w:val="left" w:pos="622"/>
              </w:tabs>
              <w:spacing w:after="0" w:line="240" w:lineRule="auto"/>
              <w:jc w:val="right"/>
              <w:rPr>
                <w:rFonts w:ascii="Times New Roman" w:eastAsia="AngsanaUPC" w:hAnsi="Times New Roman"/>
                <w:bCs/>
                <w:sz w:val="18"/>
                <w:szCs w:val="18"/>
                <w:lang w:val="en-GB" w:eastAsia="lt-LT"/>
              </w:rPr>
            </w:pPr>
            <w:r w:rsidRPr="00D54F90">
              <w:rPr>
                <w:rFonts w:ascii="Times New Roman" w:eastAsia="AngsanaUPC" w:hAnsi="Times New Roman"/>
                <w:bCs/>
                <w:sz w:val="18"/>
                <w:szCs w:val="18"/>
                <w:lang w:val="en-GB" w:eastAsia="lt-LT"/>
              </w:rPr>
              <w:t>14</w:t>
            </w:r>
            <w:r w:rsidR="00C76808" w:rsidRPr="00D54F90">
              <w:rPr>
                <w:rFonts w:ascii="Times New Roman" w:eastAsia="AngsanaUPC" w:hAnsi="Times New Roman"/>
                <w:bCs/>
                <w:sz w:val="18"/>
                <w:szCs w:val="18"/>
                <w:lang w:val="en-GB" w:eastAsia="lt-LT"/>
              </w:rPr>
              <w:t>.</w:t>
            </w:r>
            <w:r w:rsidRPr="00D54F90">
              <w:rPr>
                <w:rFonts w:ascii="Times New Roman" w:eastAsia="AngsanaUPC" w:hAnsi="Times New Roman"/>
                <w:bCs/>
                <w:sz w:val="18"/>
                <w:szCs w:val="18"/>
                <w:lang w:val="en-GB" w:eastAsia="lt-LT"/>
              </w:rPr>
              <w:t>481</w:t>
            </w:r>
            <w:r w:rsidR="00C76808" w:rsidRPr="00D54F90">
              <w:rPr>
                <w:rFonts w:ascii="Times New Roman" w:eastAsia="AngsanaUPC" w:hAnsi="Times New Roman"/>
                <w:bCs/>
                <w:sz w:val="18"/>
                <w:szCs w:val="18"/>
                <w:lang w:val="en-GB" w:eastAsia="lt-LT"/>
              </w:rPr>
              <w:t>.</w:t>
            </w:r>
            <w:r w:rsidRPr="00D54F90">
              <w:rPr>
                <w:rFonts w:ascii="Times New Roman" w:eastAsia="AngsanaUPC" w:hAnsi="Times New Roman"/>
                <w:bCs/>
                <w:sz w:val="18"/>
                <w:szCs w:val="18"/>
                <w:lang w:val="en-GB" w:eastAsia="lt-LT"/>
              </w:rPr>
              <w:t>001</w:t>
            </w:r>
          </w:p>
        </w:tc>
      </w:tr>
      <w:tr w:rsidR="003D4200" w:rsidRPr="002447B3" w:rsidTr="003D4200">
        <w:tc>
          <w:tcPr>
            <w:tcW w:w="851" w:type="dxa"/>
            <w:shd w:val="clear" w:color="auto" w:fill="auto"/>
            <w:vAlign w:val="center"/>
          </w:tcPr>
          <w:p w:rsidR="003D4200" w:rsidRPr="00B21DA6" w:rsidRDefault="003D4200" w:rsidP="003D4200">
            <w:pPr>
              <w:widowControl w:val="0"/>
              <w:tabs>
                <w:tab w:val="left" w:pos="622"/>
              </w:tabs>
              <w:spacing w:after="0" w:line="240" w:lineRule="auto"/>
              <w:jc w:val="center"/>
              <w:rPr>
                <w:rFonts w:ascii="Times New Roman" w:eastAsia="AngsanaUPC" w:hAnsi="Times New Roman"/>
                <w:bCs/>
                <w:sz w:val="18"/>
                <w:szCs w:val="18"/>
                <w:lang w:val="en-GB" w:eastAsia="lt-LT"/>
              </w:rPr>
            </w:pPr>
            <w:r w:rsidRPr="00B21DA6">
              <w:rPr>
                <w:rFonts w:ascii="Times New Roman" w:eastAsia="AngsanaUPC" w:hAnsi="Times New Roman"/>
                <w:bCs/>
                <w:sz w:val="18"/>
                <w:szCs w:val="18"/>
                <w:lang w:val="en-GB" w:eastAsia="lt-LT"/>
              </w:rPr>
              <w:t>ERPF</w:t>
            </w:r>
          </w:p>
        </w:tc>
        <w:tc>
          <w:tcPr>
            <w:tcW w:w="709" w:type="dxa"/>
            <w:shd w:val="clear" w:color="auto" w:fill="auto"/>
            <w:vAlign w:val="center"/>
          </w:tcPr>
          <w:p w:rsidR="003D4200" w:rsidRPr="00B21DA6" w:rsidRDefault="003D4200" w:rsidP="00322BE2">
            <w:pPr>
              <w:widowControl w:val="0"/>
              <w:tabs>
                <w:tab w:val="left" w:pos="622"/>
              </w:tabs>
              <w:spacing w:after="0" w:line="240" w:lineRule="auto"/>
              <w:jc w:val="center"/>
              <w:rPr>
                <w:rFonts w:ascii="Times New Roman" w:eastAsia="AngsanaUPC" w:hAnsi="Times New Roman"/>
                <w:bCs/>
                <w:sz w:val="18"/>
                <w:szCs w:val="18"/>
                <w:lang w:val="en-GB" w:eastAsia="lt-LT"/>
              </w:rPr>
            </w:pPr>
            <w:r w:rsidRPr="00B21DA6">
              <w:rPr>
                <w:rFonts w:ascii="Times New Roman" w:eastAsia="AngsanaUPC" w:hAnsi="Times New Roman"/>
                <w:bCs/>
                <w:sz w:val="18"/>
                <w:szCs w:val="18"/>
                <w:lang w:val="en-GB" w:eastAsia="lt-LT"/>
              </w:rPr>
              <w:t>82</w:t>
            </w:r>
          </w:p>
        </w:tc>
        <w:tc>
          <w:tcPr>
            <w:tcW w:w="6378" w:type="dxa"/>
            <w:shd w:val="clear" w:color="auto" w:fill="auto"/>
            <w:vAlign w:val="center"/>
          </w:tcPr>
          <w:p w:rsidR="003D4200" w:rsidRPr="00B21DA6" w:rsidRDefault="003D4200" w:rsidP="00184094">
            <w:pPr>
              <w:widowControl w:val="0"/>
              <w:tabs>
                <w:tab w:val="left" w:pos="622"/>
              </w:tabs>
              <w:spacing w:after="0" w:line="240" w:lineRule="auto"/>
              <w:rPr>
                <w:rFonts w:ascii="Times New Roman" w:eastAsia="AngsanaUPC" w:hAnsi="Times New Roman"/>
                <w:bCs/>
                <w:sz w:val="18"/>
                <w:szCs w:val="18"/>
                <w:lang w:eastAsia="lt-LT"/>
              </w:rPr>
            </w:pPr>
            <w:r w:rsidRPr="00B21DA6">
              <w:rPr>
                <w:rFonts w:ascii="Times New Roman" w:eastAsia="AngsanaUPC" w:hAnsi="Times New Roman"/>
                <w:bCs/>
                <w:sz w:val="18"/>
                <w:szCs w:val="18"/>
                <w:lang w:eastAsia="lt-LT"/>
              </w:rPr>
              <w:t>IRT paslaugos ir taikomosios programos, skirtos MVĮ (įskaitant e. prekybą, e. verslą</w:t>
            </w:r>
            <w:r w:rsidR="00184094" w:rsidRPr="00B21DA6">
              <w:rPr>
                <w:rFonts w:ascii="Times New Roman" w:eastAsia="AngsanaUPC" w:hAnsi="Times New Roman"/>
                <w:bCs/>
                <w:sz w:val="18"/>
                <w:szCs w:val="18"/>
                <w:lang w:eastAsia="lt-LT"/>
              </w:rPr>
              <w:t xml:space="preserve"> </w:t>
            </w:r>
            <w:r w:rsidRPr="00B21DA6">
              <w:rPr>
                <w:rFonts w:ascii="Times New Roman" w:eastAsia="AngsanaUPC" w:hAnsi="Times New Roman"/>
                <w:bCs/>
                <w:sz w:val="18"/>
                <w:szCs w:val="18"/>
                <w:lang w:eastAsia="lt-LT"/>
              </w:rPr>
              <w:t>ir tinkle vykdomus verslo procesus), gyvosioms laboratorijoms, interneto verslininkams ir IRT pradedančiosioms įmonėms</w:t>
            </w:r>
          </w:p>
        </w:tc>
        <w:tc>
          <w:tcPr>
            <w:tcW w:w="1843" w:type="dxa"/>
            <w:shd w:val="clear" w:color="auto" w:fill="auto"/>
            <w:vAlign w:val="center"/>
          </w:tcPr>
          <w:p w:rsidR="003D4200" w:rsidRPr="00D54F90" w:rsidRDefault="00B21DA6" w:rsidP="00322BE2">
            <w:pPr>
              <w:widowControl w:val="0"/>
              <w:tabs>
                <w:tab w:val="left" w:pos="622"/>
              </w:tabs>
              <w:spacing w:after="0" w:line="240" w:lineRule="auto"/>
              <w:jc w:val="right"/>
              <w:rPr>
                <w:rFonts w:ascii="Times New Roman" w:eastAsia="AngsanaUPC" w:hAnsi="Times New Roman"/>
                <w:bCs/>
                <w:sz w:val="18"/>
                <w:szCs w:val="18"/>
                <w:lang w:val="en-GB" w:eastAsia="lt-LT"/>
              </w:rPr>
            </w:pPr>
            <w:r w:rsidRPr="00D54F90">
              <w:rPr>
                <w:rFonts w:ascii="Times New Roman" w:eastAsia="AngsanaUPC" w:hAnsi="Times New Roman"/>
                <w:bCs/>
                <w:sz w:val="18"/>
                <w:szCs w:val="18"/>
                <w:lang w:val="en-GB" w:eastAsia="lt-LT"/>
              </w:rPr>
              <w:t>4</w:t>
            </w:r>
            <w:r w:rsidR="00C76808" w:rsidRPr="00D54F90">
              <w:rPr>
                <w:rFonts w:ascii="Times New Roman" w:eastAsia="AngsanaUPC" w:hAnsi="Times New Roman"/>
                <w:bCs/>
                <w:sz w:val="18"/>
                <w:szCs w:val="18"/>
                <w:lang w:val="en-GB" w:eastAsia="lt-LT"/>
              </w:rPr>
              <w:t>.</w:t>
            </w:r>
            <w:r w:rsidRPr="00D54F90">
              <w:rPr>
                <w:rFonts w:ascii="Times New Roman" w:eastAsia="AngsanaUPC" w:hAnsi="Times New Roman"/>
                <w:bCs/>
                <w:sz w:val="18"/>
                <w:szCs w:val="18"/>
                <w:lang w:val="en-GB" w:eastAsia="lt-LT"/>
              </w:rPr>
              <w:t>960</w:t>
            </w:r>
            <w:r w:rsidR="00C76808" w:rsidRPr="00D54F90">
              <w:rPr>
                <w:rFonts w:ascii="Times New Roman" w:eastAsia="AngsanaUPC" w:hAnsi="Times New Roman"/>
                <w:bCs/>
                <w:sz w:val="18"/>
                <w:szCs w:val="18"/>
                <w:lang w:val="en-GB" w:eastAsia="lt-LT"/>
              </w:rPr>
              <w:t>.</w:t>
            </w:r>
            <w:r w:rsidRPr="00D54F90">
              <w:rPr>
                <w:rFonts w:ascii="Times New Roman" w:eastAsia="AngsanaUPC" w:hAnsi="Times New Roman"/>
                <w:bCs/>
                <w:sz w:val="18"/>
                <w:szCs w:val="18"/>
                <w:lang w:val="en-GB" w:eastAsia="lt-LT"/>
              </w:rPr>
              <w:t>747</w:t>
            </w:r>
          </w:p>
        </w:tc>
      </w:tr>
    </w:tbl>
    <w:p w:rsidR="00712C9F" w:rsidRPr="002447B3" w:rsidRDefault="00712C9F" w:rsidP="00712C9F">
      <w:pPr>
        <w:widowControl w:val="0"/>
        <w:tabs>
          <w:tab w:val="left" w:pos="622"/>
        </w:tabs>
        <w:spacing w:after="0" w:line="240" w:lineRule="auto"/>
        <w:jc w:val="both"/>
        <w:rPr>
          <w:rFonts w:ascii="Times New Roman" w:hAnsi="Times New Roman"/>
          <w:iCs/>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9"/>
        <w:gridCol w:w="6378"/>
        <w:gridCol w:w="1808"/>
      </w:tblGrid>
      <w:tr w:rsidR="00712C9F" w:rsidRPr="002447B3" w:rsidTr="00BB0960">
        <w:tc>
          <w:tcPr>
            <w:tcW w:w="9746" w:type="dxa"/>
            <w:gridSpan w:val="4"/>
            <w:shd w:val="clear" w:color="auto" w:fill="EEECE1"/>
          </w:tcPr>
          <w:p w:rsidR="00712C9F" w:rsidRPr="002447B3" w:rsidRDefault="00712C9F" w:rsidP="00BB0960">
            <w:pPr>
              <w:widowControl w:val="0"/>
              <w:tabs>
                <w:tab w:val="left" w:pos="622"/>
              </w:tabs>
              <w:spacing w:after="0" w:line="240" w:lineRule="auto"/>
              <w:jc w:val="both"/>
              <w:rPr>
                <w:rFonts w:ascii="Times New Roman" w:hAnsi="Times New Roman"/>
                <w:i/>
                <w:iCs/>
                <w:sz w:val="18"/>
                <w:szCs w:val="18"/>
              </w:rPr>
            </w:pPr>
            <w:r w:rsidRPr="002447B3">
              <w:rPr>
                <w:rFonts w:ascii="Times New Roman" w:hAnsi="Times New Roman"/>
                <w:b/>
                <w:bCs/>
                <w:i/>
                <w:iCs/>
                <w:sz w:val="18"/>
                <w:szCs w:val="18"/>
              </w:rPr>
              <w:t>Finansavimo forma</w:t>
            </w:r>
          </w:p>
        </w:tc>
      </w:tr>
      <w:tr w:rsidR="003D4200" w:rsidRPr="002447B3" w:rsidTr="003D4200">
        <w:tc>
          <w:tcPr>
            <w:tcW w:w="851" w:type="dxa"/>
            <w:shd w:val="clear" w:color="auto" w:fill="EEECE1"/>
            <w:vAlign w:val="center"/>
          </w:tcPr>
          <w:p w:rsidR="003D4200" w:rsidRPr="002447B3" w:rsidRDefault="003D4200" w:rsidP="00BB0960">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Fondas</w:t>
            </w:r>
          </w:p>
        </w:tc>
        <w:tc>
          <w:tcPr>
            <w:tcW w:w="709" w:type="dxa"/>
            <w:shd w:val="clear" w:color="auto" w:fill="EEECE1"/>
            <w:vAlign w:val="center"/>
          </w:tcPr>
          <w:p w:rsidR="003D4200" w:rsidRPr="002447B3" w:rsidRDefault="003D4200" w:rsidP="003D4200">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Kodas</w:t>
            </w:r>
          </w:p>
        </w:tc>
        <w:tc>
          <w:tcPr>
            <w:tcW w:w="6378" w:type="dxa"/>
            <w:shd w:val="clear" w:color="auto" w:fill="EEECE1"/>
            <w:vAlign w:val="center"/>
          </w:tcPr>
          <w:p w:rsidR="003D4200" w:rsidRPr="002447B3" w:rsidRDefault="003D4200" w:rsidP="00BB0960">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Pavadinimas</w:t>
            </w:r>
          </w:p>
        </w:tc>
        <w:tc>
          <w:tcPr>
            <w:tcW w:w="1808" w:type="dxa"/>
            <w:shd w:val="clear" w:color="auto" w:fill="EEECE1"/>
            <w:vAlign w:val="center"/>
          </w:tcPr>
          <w:p w:rsidR="003D4200" w:rsidRPr="002447B3" w:rsidRDefault="003D4200" w:rsidP="00BB0960">
            <w:pPr>
              <w:widowControl w:val="0"/>
              <w:tabs>
                <w:tab w:val="left" w:pos="622"/>
              </w:tabs>
              <w:spacing w:after="0" w:line="240" w:lineRule="auto"/>
              <w:jc w:val="center"/>
              <w:rPr>
                <w:rFonts w:ascii="Times New Roman" w:hAnsi="Times New Roman"/>
                <w:b/>
                <w:bCs/>
                <w:iCs/>
                <w:sz w:val="18"/>
                <w:szCs w:val="18"/>
              </w:rPr>
            </w:pPr>
            <w:r w:rsidRPr="002447B3">
              <w:rPr>
                <w:rFonts w:ascii="Times New Roman" w:hAnsi="Times New Roman"/>
                <w:b/>
                <w:bCs/>
                <w:iCs/>
                <w:sz w:val="18"/>
                <w:szCs w:val="18"/>
              </w:rPr>
              <w:t>Finansinė proporcija (eurais)</w:t>
            </w:r>
          </w:p>
        </w:tc>
      </w:tr>
      <w:tr w:rsidR="003D4200" w:rsidRPr="002447B3" w:rsidTr="003D4200">
        <w:tc>
          <w:tcPr>
            <w:tcW w:w="851" w:type="dxa"/>
            <w:shd w:val="clear" w:color="auto" w:fill="auto"/>
            <w:vAlign w:val="center"/>
          </w:tcPr>
          <w:p w:rsidR="003D4200" w:rsidRPr="002447B3" w:rsidRDefault="003D4200" w:rsidP="003D4200">
            <w:pPr>
              <w:widowControl w:val="0"/>
              <w:tabs>
                <w:tab w:val="left" w:pos="622"/>
              </w:tabs>
              <w:spacing w:after="0" w:line="240" w:lineRule="auto"/>
              <w:jc w:val="center"/>
              <w:rPr>
                <w:rFonts w:ascii="Times New Roman" w:eastAsia="AngsanaUPC" w:hAnsi="Times New Roman"/>
                <w:bCs/>
                <w:sz w:val="18"/>
                <w:szCs w:val="18"/>
                <w:lang w:val="en-GB" w:eastAsia="lt-LT"/>
              </w:rPr>
            </w:pPr>
            <w:r w:rsidRPr="002447B3">
              <w:rPr>
                <w:rFonts w:ascii="Times New Roman" w:eastAsia="AngsanaUPC" w:hAnsi="Times New Roman"/>
                <w:bCs/>
                <w:sz w:val="18"/>
                <w:szCs w:val="18"/>
                <w:lang w:val="en-GB" w:eastAsia="lt-LT"/>
              </w:rPr>
              <w:t>ERPF</w:t>
            </w:r>
          </w:p>
        </w:tc>
        <w:tc>
          <w:tcPr>
            <w:tcW w:w="709" w:type="dxa"/>
            <w:shd w:val="clear" w:color="auto" w:fill="auto"/>
            <w:vAlign w:val="center"/>
          </w:tcPr>
          <w:p w:rsidR="003D4200" w:rsidRPr="002447B3" w:rsidRDefault="003D4200" w:rsidP="00BB0960">
            <w:pPr>
              <w:widowControl w:val="0"/>
              <w:tabs>
                <w:tab w:val="left" w:pos="622"/>
              </w:tabs>
              <w:spacing w:after="0" w:line="240" w:lineRule="auto"/>
              <w:jc w:val="center"/>
              <w:rPr>
                <w:rFonts w:ascii="Times New Roman" w:eastAsia="AngsanaUPC" w:hAnsi="Times New Roman"/>
                <w:bCs/>
                <w:sz w:val="18"/>
                <w:szCs w:val="18"/>
                <w:lang w:val="en-GB" w:eastAsia="lt-LT"/>
              </w:rPr>
            </w:pPr>
            <w:r w:rsidRPr="002447B3">
              <w:rPr>
                <w:rFonts w:ascii="Times New Roman" w:eastAsia="AngsanaUPC" w:hAnsi="Times New Roman"/>
                <w:bCs/>
                <w:sz w:val="18"/>
                <w:szCs w:val="18"/>
                <w:lang w:val="en-GB" w:eastAsia="lt-LT"/>
              </w:rPr>
              <w:t>01</w:t>
            </w:r>
          </w:p>
        </w:tc>
        <w:tc>
          <w:tcPr>
            <w:tcW w:w="6378" w:type="dxa"/>
            <w:shd w:val="clear" w:color="auto" w:fill="auto"/>
            <w:vAlign w:val="center"/>
          </w:tcPr>
          <w:p w:rsidR="003D4200" w:rsidRPr="008F339D" w:rsidRDefault="003D4200" w:rsidP="00BB0960">
            <w:pPr>
              <w:widowControl w:val="0"/>
              <w:tabs>
                <w:tab w:val="left" w:pos="622"/>
              </w:tabs>
              <w:spacing w:after="0" w:line="240" w:lineRule="auto"/>
              <w:rPr>
                <w:rFonts w:ascii="Times New Roman" w:eastAsia="AngsanaUPC" w:hAnsi="Times New Roman"/>
                <w:bCs/>
                <w:sz w:val="18"/>
                <w:szCs w:val="18"/>
                <w:lang w:eastAsia="lt-LT"/>
              </w:rPr>
            </w:pPr>
            <w:r w:rsidRPr="008F339D">
              <w:rPr>
                <w:rFonts w:ascii="Times New Roman" w:eastAsia="AngsanaUPC" w:hAnsi="Times New Roman"/>
                <w:bCs/>
                <w:sz w:val="18"/>
                <w:szCs w:val="18"/>
                <w:lang w:eastAsia="lt-LT"/>
              </w:rPr>
              <w:t>Negrąžinamoji subsidija</w:t>
            </w:r>
          </w:p>
        </w:tc>
        <w:tc>
          <w:tcPr>
            <w:tcW w:w="1808" w:type="dxa"/>
            <w:shd w:val="clear" w:color="auto" w:fill="auto"/>
            <w:vAlign w:val="center"/>
          </w:tcPr>
          <w:p w:rsidR="003D4200" w:rsidRPr="002C08FA" w:rsidRDefault="00CA08F4" w:rsidP="00B21DA6">
            <w:pPr>
              <w:widowControl w:val="0"/>
              <w:tabs>
                <w:tab w:val="left" w:pos="622"/>
              </w:tabs>
              <w:spacing w:after="0" w:line="240" w:lineRule="auto"/>
              <w:jc w:val="right"/>
              <w:rPr>
                <w:rFonts w:ascii="Times New Roman" w:eastAsia="AngsanaUPC" w:hAnsi="Times New Roman"/>
                <w:bCs/>
                <w:sz w:val="18"/>
                <w:szCs w:val="18"/>
                <w:lang w:val="en-GB" w:eastAsia="lt-LT"/>
              </w:rPr>
            </w:pPr>
            <w:r w:rsidRPr="002C08FA">
              <w:rPr>
                <w:rFonts w:ascii="Times New Roman" w:eastAsia="AngsanaUPC" w:hAnsi="Times New Roman"/>
                <w:bCs/>
                <w:sz w:val="18"/>
                <w:szCs w:val="18"/>
                <w:lang w:val="en-GB" w:eastAsia="lt-LT"/>
              </w:rPr>
              <w:t>36</w:t>
            </w:r>
            <w:r w:rsidR="00734C27" w:rsidRPr="002C08FA">
              <w:rPr>
                <w:rFonts w:ascii="Times New Roman" w:eastAsia="AngsanaUPC" w:hAnsi="Times New Roman"/>
                <w:bCs/>
                <w:sz w:val="18"/>
                <w:szCs w:val="18"/>
                <w:lang w:val="en-GB" w:eastAsia="lt-LT"/>
              </w:rPr>
              <w:t>2</w:t>
            </w:r>
            <w:r w:rsidR="00C76808" w:rsidRPr="002C08FA">
              <w:rPr>
                <w:rFonts w:ascii="Times New Roman" w:eastAsia="AngsanaUPC" w:hAnsi="Times New Roman"/>
                <w:bCs/>
                <w:sz w:val="18"/>
                <w:szCs w:val="18"/>
                <w:lang w:val="en-GB" w:eastAsia="lt-LT"/>
              </w:rPr>
              <w:t>.</w:t>
            </w:r>
            <w:r w:rsidR="00734C27" w:rsidRPr="002C08FA">
              <w:rPr>
                <w:rFonts w:ascii="Times New Roman" w:eastAsia="AngsanaUPC" w:hAnsi="Times New Roman"/>
                <w:bCs/>
                <w:sz w:val="18"/>
                <w:szCs w:val="18"/>
                <w:lang w:val="en-GB" w:eastAsia="lt-LT"/>
              </w:rPr>
              <w:t>589</w:t>
            </w:r>
            <w:r w:rsidR="00C76808" w:rsidRPr="002C08FA">
              <w:rPr>
                <w:rFonts w:ascii="Times New Roman" w:eastAsia="AngsanaUPC" w:hAnsi="Times New Roman"/>
                <w:bCs/>
                <w:sz w:val="18"/>
                <w:szCs w:val="18"/>
                <w:lang w:val="en-GB" w:eastAsia="lt-LT"/>
              </w:rPr>
              <w:t>.</w:t>
            </w:r>
            <w:r w:rsidR="00734C27" w:rsidRPr="002C08FA">
              <w:rPr>
                <w:rFonts w:ascii="Times New Roman" w:eastAsia="AngsanaUPC" w:hAnsi="Times New Roman"/>
                <w:bCs/>
                <w:sz w:val="18"/>
                <w:szCs w:val="18"/>
                <w:lang w:val="en-GB" w:eastAsia="lt-LT"/>
              </w:rPr>
              <w:t>128</w:t>
            </w:r>
          </w:p>
        </w:tc>
      </w:tr>
      <w:tr w:rsidR="00B21DA6" w:rsidRPr="002447B3" w:rsidTr="003D4200">
        <w:tc>
          <w:tcPr>
            <w:tcW w:w="851" w:type="dxa"/>
            <w:shd w:val="clear" w:color="auto" w:fill="auto"/>
            <w:vAlign w:val="center"/>
          </w:tcPr>
          <w:p w:rsidR="00B21DA6" w:rsidRPr="00B21DA6" w:rsidRDefault="00B21DA6" w:rsidP="00BE2E68">
            <w:pPr>
              <w:widowControl w:val="0"/>
              <w:tabs>
                <w:tab w:val="left" w:pos="622"/>
              </w:tabs>
              <w:spacing w:after="0" w:line="240" w:lineRule="auto"/>
              <w:jc w:val="center"/>
              <w:rPr>
                <w:rFonts w:ascii="Times New Roman" w:eastAsia="AngsanaUPC" w:hAnsi="Times New Roman"/>
                <w:bCs/>
                <w:sz w:val="18"/>
                <w:szCs w:val="18"/>
                <w:lang w:val="en-GB" w:eastAsia="lt-LT"/>
              </w:rPr>
            </w:pPr>
            <w:r w:rsidRPr="00B21DA6">
              <w:rPr>
                <w:rFonts w:ascii="Times New Roman" w:eastAsia="AngsanaUPC" w:hAnsi="Times New Roman"/>
                <w:bCs/>
                <w:sz w:val="18"/>
                <w:szCs w:val="18"/>
                <w:lang w:val="en-GB" w:eastAsia="lt-LT"/>
              </w:rPr>
              <w:t>ERPF</w:t>
            </w:r>
          </w:p>
        </w:tc>
        <w:tc>
          <w:tcPr>
            <w:tcW w:w="709" w:type="dxa"/>
            <w:shd w:val="clear" w:color="auto" w:fill="auto"/>
            <w:vAlign w:val="center"/>
          </w:tcPr>
          <w:p w:rsidR="00B21DA6" w:rsidRPr="00B21DA6" w:rsidRDefault="00B21DA6" w:rsidP="00BE2E68">
            <w:pPr>
              <w:widowControl w:val="0"/>
              <w:tabs>
                <w:tab w:val="left" w:pos="622"/>
              </w:tabs>
              <w:spacing w:after="0" w:line="240" w:lineRule="auto"/>
              <w:jc w:val="center"/>
              <w:rPr>
                <w:rFonts w:ascii="Times New Roman" w:eastAsia="AngsanaUPC" w:hAnsi="Times New Roman"/>
                <w:bCs/>
                <w:sz w:val="18"/>
                <w:szCs w:val="18"/>
                <w:lang w:val="en-GB" w:eastAsia="lt-LT"/>
              </w:rPr>
            </w:pPr>
            <w:r w:rsidRPr="00B21DA6">
              <w:rPr>
                <w:rFonts w:ascii="Times New Roman" w:eastAsia="AngsanaUPC" w:hAnsi="Times New Roman"/>
                <w:bCs/>
                <w:sz w:val="18"/>
                <w:szCs w:val="18"/>
                <w:lang w:val="en-GB" w:eastAsia="lt-LT"/>
              </w:rPr>
              <w:t>02</w:t>
            </w:r>
          </w:p>
        </w:tc>
        <w:tc>
          <w:tcPr>
            <w:tcW w:w="6378" w:type="dxa"/>
            <w:shd w:val="clear" w:color="auto" w:fill="auto"/>
            <w:vAlign w:val="center"/>
          </w:tcPr>
          <w:p w:rsidR="00B21DA6" w:rsidRPr="008F339D" w:rsidRDefault="00B21DA6" w:rsidP="00BE2E68">
            <w:pPr>
              <w:widowControl w:val="0"/>
              <w:tabs>
                <w:tab w:val="left" w:pos="622"/>
              </w:tabs>
              <w:spacing w:after="0" w:line="240" w:lineRule="auto"/>
              <w:rPr>
                <w:rFonts w:ascii="Times New Roman" w:eastAsia="AngsanaUPC" w:hAnsi="Times New Roman"/>
                <w:bCs/>
                <w:sz w:val="18"/>
                <w:szCs w:val="18"/>
                <w:lang w:eastAsia="lt-LT"/>
              </w:rPr>
            </w:pPr>
            <w:r w:rsidRPr="008F339D">
              <w:rPr>
                <w:rFonts w:ascii="Times New Roman" w:eastAsia="AngsanaUPC" w:hAnsi="Times New Roman"/>
                <w:bCs/>
                <w:sz w:val="18"/>
                <w:szCs w:val="18"/>
                <w:lang w:eastAsia="lt-LT"/>
              </w:rPr>
              <w:t>Grąžinamoji subsidija</w:t>
            </w:r>
          </w:p>
        </w:tc>
        <w:tc>
          <w:tcPr>
            <w:tcW w:w="1808" w:type="dxa"/>
            <w:shd w:val="clear" w:color="auto" w:fill="auto"/>
            <w:vAlign w:val="center"/>
          </w:tcPr>
          <w:p w:rsidR="00B21DA6" w:rsidRPr="002C08FA" w:rsidRDefault="00734C27" w:rsidP="00BE2E68">
            <w:pPr>
              <w:widowControl w:val="0"/>
              <w:tabs>
                <w:tab w:val="left" w:pos="622"/>
              </w:tabs>
              <w:spacing w:after="0" w:line="240" w:lineRule="auto"/>
              <w:jc w:val="right"/>
              <w:rPr>
                <w:rFonts w:ascii="Times New Roman" w:eastAsia="AngsanaUPC" w:hAnsi="Times New Roman"/>
                <w:bCs/>
                <w:sz w:val="18"/>
                <w:szCs w:val="18"/>
                <w:lang w:val="en-GB" w:eastAsia="lt-LT"/>
              </w:rPr>
            </w:pPr>
            <w:r w:rsidRPr="002C08FA">
              <w:rPr>
                <w:rFonts w:ascii="Times New Roman" w:eastAsia="AngsanaUPC" w:hAnsi="Times New Roman"/>
                <w:bCs/>
                <w:sz w:val="18"/>
                <w:szCs w:val="18"/>
                <w:lang w:val="en-GB" w:eastAsia="lt-LT"/>
              </w:rPr>
              <w:t>20</w:t>
            </w:r>
            <w:r w:rsidR="00C76808" w:rsidRPr="002C08FA">
              <w:rPr>
                <w:rFonts w:ascii="Times New Roman" w:eastAsia="AngsanaUPC" w:hAnsi="Times New Roman"/>
                <w:bCs/>
                <w:sz w:val="18"/>
                <w:szCs w:val="18"/>
                <w:lang w:val="en-GB" w:eastAsia="lt-LT"/>
              </w:rPr>
              <w:t>.</w:t>
            </w:r>
            <w:r w:rsidRPr="002C08FA">
              <w:rPr>
                <w:rFonts w:ascii="Times New Roman" w:eastAsia="AngsanaUPC" w:hAnsi="Times New Roman"/>
                <w:bCs/>
                <w:sz w:val="18"/>
                <w:szCs w:val="18"/>
                <w:lang w:val="en-GB" w:eastAsia="lt-LT"/>
              </w:rPr>
              <w:t>344</w:t>
            </w:r>
            <w:r w:rsidR="00C76808" w:rsidRPr="002C08FA">
              <w:rPr>
                <w:rFonts w:ascii="Times New Roman" w:eastAsia="AngsanaUPC" w:hAnsi="Times New Roman"/>
                <w:bCs/>
                <w:sz w:val="18"/>
                <w:szCs w:val="18"/>
                <w:lang w:val="en-GB" w:eastAsia="lt-LT"/>
              </w:rPr>
              <w:t>.</w:t>
            </w:r>
            <w:r w:rsidRPr="002C08FA">
              <w:rPr>
                <w:rFonts w:ascii="Times New Roman" w:eastAsia="AngsanaUPC" w:hAnsi="Times New Roman"/>
                <w:bCs/>
                <w:sz w:val="18"/>
                <w:szCs w:val="18"/>
                <w:lang w:val="en-GB" w:eastAsia="lt-LT"/>
              </w:rPr>
              <w:t>514</w:t>
            </w:r>
          </w:p>
        </w:tc>
      </w:tr>
      <w:tr w:rsidR="003D4200" w:rsidRPr="002447B3" w:rsidTr="003D4200">
        <w:tc>
          <w:tcPr>
            <w:tcW w:w="851" w:type="dxa"/>
            <w:shd w:val="clear" w:color="auto" w:fill="auto"/>
            <w:vAlign w:val="center"/>
          </w:tcPr>
          <w:p w:rsidR="003D4200" w:rsidRPr="002447B3" w:rsidRDefault="003D4200" w:rsidP="003D4200">
            <w:pPr>
              <w:widowControl w:val="0"/>
              <w:tabs>
                <w:tab w:val="left" w:pos="622"/>
              </w:tabs>
              <w:spacing w:after="0" w:line="240" w:lineRule="auto"/>
              <w:jc w:val="center"/>
              <w:rPr>
                <w:rFonts w:ascii="Times New Roman" w:eastAsia="AngsanaUPC" w:hAnsi="Times New Roman"/>
                <w:bCs/>
                <w:sz w:val="18"/>
                <w:szCs w:val="18"/>
                <w:lang w:val="en-GB" w:eastAsia="lt-LT"/>
              </w:rPr>
            </w:pPr>
            <w:r w:rsidRPr="002447B3">
              <w:rPr>
                <w:rFonts w:ascii="Times New Roman" w:eastAsia="AngsanaUPC" w:hAnsi="Times New Roman"/>
                <w:bCs/>
                <w:sz w:val="18"/>
                <w:szCs w:val="18"/>
                <w:lang w:val="en-GB" w:eastAsia="lt-LT"/>
              </w:rPr>
              <w:t>ERPF</w:t>
            </w:r>
          </w:p>
        </w:tc>
        <w:tc>
          <w:tcPr>
            <w:tcW w:w="709" w:type="dxa"/>
            <w:shd w:val="clear" w:color="auto" w:fill="auto"/>
            <w:vAlign w:val="center"/>
          </w:tcPr>
          <w:p w:rsidR="003D4200" w:rsidRPr="002447B3" w:rsidRDefault="003D4200" w:rsidP="00BB0960">
            <w:pPr>
              <w:widowControl w:val="0"/>
              <w:tabs>
                <w:tab w:val="left" w:pos="622"/>
              </w:tabs>
              <w:spacing w:after="0" w:line="240" w:lineRule="auto"/>
              <w:jc w:val="center"/>
              <w:rPr>
                <w:rFonts w:ascii="Times New Roman" w:eastAsia="AngsanaUPC" w:hAnsi="Times New Roman"/>
                <w:bCs/>
                <w:sz w:val="18"/>
                <w:szCs w:val="18"/>
                <w:lang w:val="en-GB" w:eastAsia="lt-LT"/>
              </w:rPr>
            </w:pPr>
            <w:r w:rsidRPr="002447B3">
              <w:rPr>
                <w:rFonts w:ascii="Times New Roman" w:eastAsia="AngsanaUPC" w:hAnsi="Times New Roman"/>
                <w:bCs/>
                <w:sz w:val="18"/>
                <w:szCs w:val="18"/>
                <w:lang w:val="en-GB" w:eastAsia="lt-LT"/>
              </w:rPr>
              <w:t>03</w:t>
            </w:r>
          </w:p>
        </w:tc>
        <w:tc>
          <w:tcPr>
            <w:tcW w:w="6378" w:type="dxa"/>
            <w:shd w:val="clear" w:color="auto" w:fill="auto"/>
          </w:tcPr>
          <w:p w:rsidR="003D4200" w:rsidRPr="002447B3" w:rsidRDefault="003D4200" w:rsidP="00BB0960">
            <w:pPr>
              <w:spacing w:after="0" w:line="240" w:lineRule="auto"/>
              <w:rPr>
                <w:rFonts w:ascii="Times New Roman" w:hAnsi="Times New Roman"/>
                <w:sz w:val="18"/>
                <w:szCs w:val="18"/>
              </w:rPr>
            </w:pPr>
            <w:r w:rsidRPr="002447B3">
              <w:rPr>
                <w:rFonts w:ascii="Times New Roman" w:hAnsi="Times New Roman"/>
                <w:sz w:val="18"/>
                <w:szCs w:val="18"/>
              </w:rPr>
              <w:t>Naudojantis finansinėmis priemonėmis teikiama parama: rizikos ir nuosavas kapitalas arba lygiavertė priemonė</w:t>
            </w:r>
          </w:p>
        </w:tc>
        <w:tc>
          <w:tcPr>
            <w:tcW w:w="1808" w:type="dxa"/>
            <w:shd w:val="clear" w:color="auto" w:fill="auto"/>
            <w:vAlign w:val="center"/>
          </w:tcPr>
          <w:p w:rsidR="003D4200" w:rsidRPr="00D54F90" w:rsidRDefault="003D4200" w:rsidP="00B21DA6">
            <w:pPr>
              <w:spacing w:after="0" w:line="240" w:lineRule="auto"/>
              <w:jc w:val="right"/>
              <w:rPr>
                <w:rFonts w:ascii="Times New Roman" w:hAnsi="Times New Roman"/>
                <w:sz w:val="18"/>
                <w:szCs w:val="18"/>
              </w:rPr>
            </w:pPr>
            <w:r w:rsidRPr="00D54F90">
              <w:rPr>
                <w:rFonts w:ascii="Times New Roman" w:hAnsi="Times New Roman"/>
                <w:sz w:val="18"/>
                <w:szCs w:val="18"/>
              </w:rPr>
              <w:t>83</w:t>
            </w:r>
            <w:r w:rsidR="00C76808" w:rsidRPr="00D54F90">
              <w:rPr>
                <w:rFonts w:ascii="Times New Roman" w:hAnsi="Times New Roman"/>
                <w:sz w:val="18"/>
                <w:szCs w:val="18"/>
              </w:rPr>
              <w:t>.</w:t>
            </w:r>
            <w:r w:rsidRPr="00D54F90">
              <w:rPr>
                <w:rFonts w:ascii="Times New Roman" w:hAnsi="Times New Roman"/>
                <w:sz w:val="18"/>
                <w:szCs w:val="18"/>
              </w:rPr>
              <w:t>989</w:t>
            </w:r>
            <w:r w:rsidR="00C76808" w:rsidRPr="00D54F90">
              <w:rPr>
                <w:rFonts w:ascii="Times New Roman" w:hAnsi="Times New Roman"/>
                <w:sz w:val="18"/>
                <w:szCs w:val="18"/>
              </w:rPr>
              <w:t>.</w:t>
            </w:r>
            <w:r w:rsidRPr="00D54F90">
              <w:rPr>
                <w:rFonts w:ascii="Times New Roman" w:hAnsi="Times New Roman"/>
                <w:sz w:val="18"/>
                <w:szCs w:val="18"/>
              </w:rPr>
              <w:t>805</w:t>
            </w:r>
          </w:p>
        </w:tc>
      </w:tr>
      <w:tr w:rsidR="003D4200" w:rsidRPr="002447B3" w:rsidTr="003D4200">
        <w:tc>
          <w:tcPr>
            <w:tcW w:w="851" w:type="dxa"/>
            <w:shd w:val="clear" w:color="auto" w:fill="auto"/>
            <w:vAlign w:val="center"/>
          </w:tcPr>
          <w:p w:rsidR="003D4200" w:rsidRPr="002447B3" w:rsidRDefault="003D4200" w:rsidP="003D4200">
            <w:pPr>
              <w:widowControl w:val="0"/>
              <w:tabs>
                <w:tab w:val="left" w:pos="622"/>
              </w:tabs>
              <w:spacing w:after="0" w:line="240" w:lineRule="auto"/>
              <w:jc w:val="center"/>
              <w:rPr>
                <w:rFonts w:ascii="Times New Roman" w:eastAsia="AngsanaUPC" w:hAnsi="Times New Roman"/>
                <w:bCs/>
                <w:sz w:val="18"/>
                <w:szCs w:val="18"/>
                <w:lang w:val="en-GB" w:eastAsia="lt-LT"/>
              </w:rPr>
            </w:pPr>
            <w:r w:rsidRPr="002447B3">
              <w:rPr>
                <w:rFonts w:ascii="Times New Roman" w:eastAsia="AngsanaUPC" w:hAnsi="Times New Roman"/>
                <w:bCs/>
                <w:sz w:val="18"/>
                <w:szCs w:val="18"/>
                <w:lang w:val="en-GB" w:eastAsia="lt-LT"/>
              </w:rPr>
              <w:t>ERPF</w:t>
            </w:r>
          </w:p>
        </w:tc>
        <w:tc>
          <w:tcPr>
            <w:tcW w:w="709" w:type="dxa"/>
            <w:shd w:val="clear" w:color="auto" w:fill="auto"/>
            <w:vAlign w:val="center"/>
          </w:tcPr>
          <w:p w:rsidR="003D4200" w:rsidRPr="002447B3" w:rsidRDefault="003D4200" w:rsidP="00BB0960">
            <w:pPr>
              <w:widowControl w:val="0"/>
              <w:tabs>
                <w:tab w:val="left" w:pos="622"/>
              </w:tabs>
              <w:spacing w:after="0" w:line="240" w:lineRule="auto"/>
              <w:jc w:val="center"/>
              <w:rPr>
                <w:rFonts w:ascii="Times New Roman" w:eastAsia="AngsanaUPC" w:hAnsi="Times New Roman"/>
                <w:bCs/>
                <w:sz w:val="18"/>
                <w:szCs w:val="18"/>
                <w:lang w:val="en-GB" w:eastAsia="lt-LT"/>
              </w:rPr>
            </w:pPr>
            <w:r w:rsidRPr="002447B3">
              <w:rPr>
                <w:rFonts w:ascii="Times New Roman" w:eastAsia="AngsanaUPC" w:hAnsi="Times New Roman"/>
                <w:bCs/>
                <w:sz w:val="18"/>
                <w:szCs w:val="18"/>
                <w:lang w:val="en-GB" w:eastAsia="lt-LT"/>
              </w:rPr>
              <w:t>04</w:t>
            </w:r>
          </w:p>
        </w:tc>
        <w:tc>
          <w:tcPr>
            <w:tcW w:w="6378" w:type="dxa"/>
            <w:shd w:val="clear" w:color="auto" w:fill="auto"/>
          </w:tcPr>
          <w:p w:rsidR="003D4200" w:rsidRPr="002447B3" w:rsidRDefault="003D4200" w:rsidP="00BB0960">
            <w:pPr>
              <w:spacing w:after="0" w:line="240" w:lineRule="auto"/>
              <w:rPr>
                <w:rFonts w:ascii="Times New Roman" w:hAnsi="Times New Roman"/>
                <w:sz w:val="18"/>
                <w:szCs w:val="18"/>
              </w:rPr>
            </w:pPr>
            <w:r w:rsidRPr="002447B3">
              <w:rPr>
                <w:rFonts w:ascii="Times New Roman" w:hAnsi="Times New Roman"/>
                <w:sz w:val="18"/>
                <w:szCs w:val="18"/>
              </w:rPr>
              <w:t>Naudojantis finansinėmis priemonėmis teikiama parama: paskola arba lygiavertė priemonė</w:t>
            </w:r>
          </w:p>
        </w:tc>
        <w:tc>
          <w:tcPr>
            <w:tcW w:w="1808" w:type="dxa"/>
            <w:shd w:val="clear" w:color="auto" w:fill="auto"/>
            <w:vAlign w:val="center"/>
          </w:tcPr>
          <w:p w:rsidR="003D4200" w:rsidRPr="002447B3" w:rsidRDefault="003D4200" w:rsidP="00B21DA6">
            <w:pPr>
              <w:spacing w:after="0" w:line="240" w:lineRule="auto"/>
              <w:jc w:val="right"/>
              <w:rPr>
                <w:rFonts w:ascii="Times New Roman" w:hAnsi="Times New Roman"/>
                <w:sz w:val="18"/>
                <w:szCs w:val="18"/>
              </w:rPr>
            </w:pPr>
            <w:r w:rsidRPr="002447B3">
              <w:rPr>
                <w:rFonts w:ascii="Times New Roman" w:hAnsi="Times New Roman"/>
                <w:sz w:val="18"/>
                <w:szCs w:val="18"/>
              </w:rPr>
              <w:t>57</w:t>
            </w:r>
            <w:r w:rsidR="00C76808">
              <w:rPr>
                <w:rFonts w:ascii="Times New Roman" w:hAnsi="Times New Roman"/>
                <w:sz w:val="18"/>
                <w:szCs w:val="18"/>
              </w:rPr>
              <w:t>.</w:t>
            </w:r>
            <w:r w:rsidRPr="002447B3">
              <w:rPr>
                <w:rFonts w:ascii="Times New Roman" w:hAnsi="Times New Roman"/>
                <w:sz w:val="18"/>
                <w:szCs w:val="18"/>
              </w:rPr>
              <w:t>924</w:t>
            </w:r>
            <w:r w:rsidR="00C76808">
              <w:rPr>
                <w:rFonts w:ascii="Times New Roman" w:hAnsi="Times New Roman"/>
                <w:sz w:val="18"/>
                <w:szCs w:val="18"/>
              </w:rPr>
              <w:t>.</w:t>
            </w:r>
            <w:r w:rsidRPr="002447B3">
              <w:rPr>
                <w:rFonts w:ascii="Times New Roman" w:hAnsi="Times New Roman"/>
                <w:sz w:val="18"/>
                <w:szCs w:val="18"/>
              </w:rPr>
              <w:t>004</w:t>
            </w:r>
          </w:p>
        </w:tc>
      </w:tr>
      <w:tr w:rsidR="003D4200" w:rsidRPr="002447B3" w:rsidTr="003D4200">
        <w:tc>
          <w:tcPr>
            <w:tcW w:w="851" w:type="dxa"/>
            <w:shd w:val="clear" w:color="auto" w:fill="auto"/>
            <w:vAlign w:val="center"/>
          </w:tcPr>
          <w:p w:rsidR="003D4200" w:rsidRPr="002447B3" w:rsidRDefault="003D4200" w:rsidP="003D4200">
            <w:pPr>
              <w:widowControl w:val="0"/>
              <w:tabs>
                <w:tab w:val="left" w:pos="622"/>
              </w:tabs>
              <w:spacing w:after="0" w:line="240" w:lineRule="auto"/>
              <w:jc w:val="center"/>
              <w:rPr>
                <w:rFonts w:ascii="Times New Roman" w:eastAsia="AngsanaUPC" w:hAnsi="Times New Roman"/>
                <w:bCs/>
                <w:sz w:val="18"/>
                <w:szCs w:val="18"/>
                <w:lang w:val="en-GB" w:eastAsia="lt-LT"/>
              </w:rPr>
            </w:pPr>
            <w:r w:rsidRPr="002447B3">
              <w:rPr>
                <w:rFonts w:ascii="Times New Roman" w:eastAsia="AngsanaUPC" w:hAnsi="Times New Roman"/>
                <w:bCs/>
                <w:sz w:val="18"/>
                <w:szCs w:val="18"/>
                <w:lang w:val="en-GB" w:eastAsia="lt-LT"/>
              </w:rPr>
              <w:t>ERPF</w:t>
            </w:r>
          </w:p>
        </w:tc>
        <w:tc>
          <w:tcPr>
            <w:tcW w:w="709" w:type="dxa"/>
            <w:shd w:val="clear" w:color="auto" w:fill="auto"/>
            <w:vAlign w:val="center"/>
          </w:tcPr>
          <w:p w:rsidR="003D4200" w:rsidRPr="002447B3" w:rsidRDefault="003D4200" w:rsidP="00BB0960">
            <w:pPr>
              <w:widowControl w:val="0"/>
              <w:tabs>
                <w:tab w:val="left" w:pos="622"/>
              </w:tabs>
              <w:spacing w:after="0" w:line="240" w:lineRule="auto"/>
              <w:jc w:val="center"/>
              <w:rPr>
                <w:rFonts w:ascii="Times New Roman" w:eastAsia="AngsanaUPC" w:hAnsi="Times New Roman"/>
                <w:bCs/>
                <w:sz w:val="18"/>
                <w:szCs w:val="18"/>
                <w:lang w:val="en-GB" w:eastAsia="lt-LT"/>
              </w:rPr>
            </w:pPr>
            <w:r w:rsidRPr="002447B3">
              <w:rPr>
                <w:rFonts w:ascii="Times New Roman" w:eastAsia="AngsanaUPC" w:hAnsi="Times New Roman"/>
                <w:bCs/>
                <w:sz w:val="18"/>
                <w:szCs w:val="18"/>
                <w:lang w:val="en-GB" w:eastAsia="lt-LT"/>
              </w:rPr>
              <w:t>05</w:t>
            </w:r>
          </w:p>
        </w:tc>
        <w:tc>
          <w:tcPr>
            <w:tcW w:w="6378" w:type="dxa"/>
            <w:shd w:val="clear" w:color="auto" w:fill="auto"/>
          </w:tcPr>
          <w:p w:rsidR="003D4200" w:rsidRPr="002447B3" w:rsidRDefault="003D4200" w:rsidP="00BB0960">
            <w:pPr>
              <w:spacing w:after="0" w:line="240" w:lineRule="auto"/>
              <w:rPr>
                <w:rFonts w:ascii="Times New Roman" w:hAnsi="Times New Roman"/>
                <w:sz w:val="18"/>
                <w:szCs w:val="18"/>
              </w:rPr>
            </w:pPr>
            <w:r w:rsidRPr="002447B3">
              <w:rPr>
                <w:rFonts w:ascii="Times New Roman" w:hAnsi="Times New Roman"/>
                <w:sz w:val="18"/>
                <w:szCs w:val="18"/>
              </w:rPr>
              <w:t>Naudojantis finansinėmis priemonėmis teikiama parama: garantija arba lygiavertė priemonė</w:t>
            </w:r>
          </w:p>
        </w:tc>
        <w:tc>
          <w:tcPr>
            <w:tcW w:w="1808" w:type="dxa"/>
            <w:shd w:val="clear" w:color="auto" w:fill="auto"/>
            <w:vAlign w:val="center"/>
          </w:tcPr>
          <w:p w:rsidR="003D4200" w:rsidRPr="002447B3" w:rsidRDefault="003D4200" w:rsidP="00B21DA6">
            <w:pPr>
              <w:spacing w:after="0" w:line="240" w:lineRule="auto"/>
              <w:jc w:val="right"/>
              <w:rPr>
                <w:rFonts w:ascii="Times New Roman" w:hAnsi="Times New Roman"/>
                <w:sz w:val="18"/>
                <w:szCs w:val="18"/>
              </w:rPr>
            </w:pPr>
            <w:r w:rsidRPr="002447B3">
              <w:rPr>
                <w:rFonts w:ascii="Times New Roman" w:hAnsi="Times New Roman"/>
                <w:sz w:val="18"/>
                <w:szCs w:val="18"/>
              </w:rPr>
              <w:t>24</w:t>
            </w:r>
            <w:r w:rsidR="00C76808">
              <w:rPr>
                <w:rFonts w:ascii="Times New Roman" w:hAnsi="Times New Roman"/>
                <w:sz w:val="18"/>
                <w:szCs w:val="18"/>
              </w:rPr>
              <w:t>.</w:t>
            </w:r>
            <w:r w:rsidRPr="002447B3">
              <w:rPr>
                <w:rFonts w:ascii="Times New Roman" w:hAnsi="Times New Roman"/>
                <w:sz w:val="18"/>
                <w:szCs w:val="18"/>
              </w:rPr>
              <w:t>478</w:t>
            </w:r>
            <w:r w:rsidR="00C76808">
              <w:rPr>
                <w:rFonts w:ascii="Times New Roman" w:hAnsi="Times New Roman"/>
                <w:sz w:val="18"/>
                <w:szCs w:val="18"/>
              </w:rPr>
              <w:t>.</w:t>
            </w:r>
            <w:r w:rsidRPr="002447B3">
              <w:rPr>
                <w:rFonts w:ascii="Times New Roman" w:hAnsi="Times New Roman"/>
                <w:sz w:val="18"/>
                <w:szCs w:val="18"/>
              </w:rPr>
              <w:t>601</w:t>
            </w:r>
          </w:p>
        </w:tc>
      </w:tr>
      <w:tr w:rsidR="003D4200" w:rsidRPr="002447B3" w:rsidTr="003D4200">
        <w:tc>
          <w:tcPr>
            <w:tcW w:w="851" w:type="dxa"/>
            <w:shd w:val="clear" w:color="auto" w:fill="auto"/>
            <w:vAlign w:val="center"/>
          </w:tcPr>
          <w:p w:rsidR="003D4200" w:rsidRPr="002447B3" w:rsidRDefault="003D4200" w:rsidP="003D4200">
            <w:pPr>
              <w:widowControl w:val="0"/>
              <w:tabs>
                <w:tab w:val="left" w:pos="622"/>
              </w:tabs>
              <w:spacing w:after="0" w:line="240" w:lineRule="auto"/>
              <w:jc w:val="center"/>
              <w:rPr>
                <w:rFonts w:ascii="Times New Roman" w:eastAsia="AngsanaUPC" w:hAnsi="Times New Roman"/>
                <w:bCs/>
                <w:sz w:val="18"/>
                <w:szCs w:val="18"/>
                <w:lang w:val="en-GB" w:eastAsia="lt-LT"/>
              </w:rPr>
            </w:pPr>
            <w:r w:rsidRPr="002447B3">
              <w:rPr>
                <w:rFonts w:ascii="Times New Roman" w:eastAsia="AngsanaUPC" w:hAnsi="Times New Roman"/>
                <w:bCs/>
                <w:sz w:val="18"/>
                <w:szCs w:val="18"/>
                <w:lang w:val="en-GB" w:eastAsia="lt-LT"/>
              </w:rPr>
              <w:t>ERPF</w:t>
            </w:r>
          </w:p>
        </w:tc>
        <w:tc>
          <w:tcPr>
            <w:tcW w:w="709" w:type="dxa"/>
            <w:shd w:val="clear" w:color="auto" w:fill="auto"/>
            <w:vAlign w:val="center"/>
          </w:tcPr>
          <w:p w:rsidR="003D4200" w:rsidRPr="002447B3" w:rsidRDefault="003D4200" w:rsidP="00BB0960">
            <w:pPr>
              <w:widowControl w:val="0"/>
              <w:tabs>
                <w:tab w:val="left" w:pos="622"/>
              </w:tabs>
              <w:spacing w:after="0" w:line="240" w:lineRule="auto"/>
              <w:jc w:val="center"/>
              <w:rPr>
                <w:rFonts w:ascii="Times New Roman" w:eastAsia="AngsanaUPC" w:hAnsi="Times New Roman"/>
                <w:bCs/>
                <w:sz w:val="18"/>
                <w:szCs w:val="18"/>
                <w:lang w:val="en-GB" w:eastAsia="lt-LT"/>
              </w:rPr>
            </w:pPr>
            <w:r w:rsidRPr="002447B3">
              <w:rPr>
                <w:rFonts w:ascii="Times New Roman" w:eastAsia="AngsanaUPC" w:hAnsi="Times New Roman"/>
                <w:bCs/>
                <w:sz w:val="18"/>
                <w:szCs w:val="18"/>
                <w:lang w:val="en-GB" w:eastAsia="lt-LT"/>
              </w:rPr>
              <w:t>06</w:t>
            </w:r>
          </w:p>
        </w:tc>
        <w:tc>
          <w:tcPr>
            <w:tcW w:w="6378" w:type="dxa"/>
            <w:shd w:val="clear" w:color="auto" w:fill="auto"/>
          </w:tcPr>
          <w:p w:rsidR="003D4200" w:rsidRPr="002447B3" w:rsidRDefault="003D4200" w:rsidP="00BB0960">
            <w:pPr>
              <w:spacing w:after="0" w:line="240" w:lineRule="auto"/>
              <w:rPr>
                <w:rFonts w:ascii="Times New Roman" w:hAnsi="Times New Roman"/>
                <w:sz w:val="18"/>
                <w:szCs w:val="18"/>
              </w:rPr>
            </w:pPr>
            <w:r w:rsidRPr="002447B3">
              <w:rPr>
                <w:rFonts w:ascii="Times New Roman" w:hAnsi="Times New Roman"/>
                <w:sz w:val="18"/>
                <w:szCs w:val="18"/>
              </w:rPr>
              <w:t>Naudojantis finansinėmis priemonėmis teikiama parama: palūkanų subsidija, garantinio mokesčio subsidija, techninė parama arba lygiavertė priemonė</w:t>
            </w:r>
          </w:p>
        </w:tc>
        <w:tc>
          <w:tcPr>
            <w:tcW w:w="1808" w:type="dxa"/>
            <w:shd w:val="clear" w:color="auto" w:fill="auto"/>
            <w:vAlign w:val="center"/>
          </w:tcPr>
          <w:p w:rsidR="003D4200" w:rsidRPr="002447B3" w:rsidRDefault="003D4200" w:rsidP="00B21DA6">
            <w:pPr>
              <w:spacing w:after="0" w:line="240" w:lineRule="auto"/>
              <w:jc w:val="right"/>
              <w:rPr>
                <w:rFonts w:ascii="Times New Roman" w:hAnsi="Times New Roman"/>
                <w:sz w:val="18"/>
                <w:szCs w:val="18"/>
              </w:rPr>
            </w:pPr>
            <w:r w:rsidRPr="002447B3">
              <w:rPr>
                <w:rFonts w:ascii="Times New Roman" w:hAnsi="Times New Roman"/>
                <w:sz w:val="18"/>
                <w:szCs w:val="18"/>
              </w:rPr>
              <w:t>17</w:t>
            </w:r>
            <w:r w:rsidR="00C76808">
              <w:rPr>
                <w:rFonts w:ascii="Times New Roman" w:hAnsi="Times New Roman"/>
                <w:sz w:val="18"/>
                <w:szCs w:val="18"/>
              </w:rPr>
              <w:t>.</w:t>
            </w:r>
            <w:r w:rsidRPr="002447B3">
              <w:rPr>
                <w:rFonts w:ascii="Times New Roman" w:hAnsi="Times New Roman"/>
                <w:sz w:val="18"/>
                <w:szCs w:val="18"/>
              </w:rPr>
              <w:t>377</w:t>
            </w:r>
            <w:r w:rsidR="00C76808">
              <w:rPr>
                <w:rFonts w:ascii="Times New Roman" w:hAnsi="Times New Roman"/>
                <w:sz w:val="18"/>
                <w:szCs w:val="18"/>
              </w:rPr>
              <w:t>.</w:t>
            </w:r>
            <w:r w:rsidRPr="002447B3">
              <w:rPr>
                <w:rFonts w:ascii="Times New Roman" w:hAnsi="Times New Roman"/>
                <w:sz w:val="18"/>
                <w:szCs w:val="18"/>
              </w:rPr>
              <w:t>201</w:t>
            </w:r>
          </w:p>
        </w:tc>
      </w:tr>
    </w:tbl>
    <w:p w:rsidR="00712C9F" w:rsidRPr="002447B3" w:rsidRDefault="00712C9F" w:rsidP="00712C9F">
      <w:pPr>
        <w:widowControl w:val="0"/>
        <w:tabs>
          <w:tab w:val="left" w:pos="622"/>
        </w:tabs>
        <w:spacing w:after="0" w:line="240" w:lineRule="auto"/>
        <w:jc w:val="both"/>
        <w:rPr>
          <w:rFonts w:ascii="Times New Roman" w:hAnsi="Times New Roman"/>
          <w:iCs/>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707"/>
        <w:gridCol w:w="6368"/>
        <w:gridCol w:w="1807"/>
      </w:tblGrid>
      <w:tr w:rsidR="00712C9F" w:rsidRPr="002447B3" w:rsidTr="00BB0960">
        <w:tc>
          <w:tcPr>
            <w:tcW w:w="9746" w:type="dxa"/>
            <w:gridSpan w:val="4"/>
            <w:shd w:val="clear" w:color="auto" w:fill="EEECE1"/>
          </w:tcPr>
          <w:p w:rsidR="00712C9F" w:rsidRPr="002447B3" w:rsidRDefault="00712C9F" w:rsidP="00BB0960">
            <w:pPr>
              <w:widowControl w:val="0"/>
              <w:tabs>
                <w:tab w:val="left" w:pos="622"/>
              </w:tabs>
              <w:spacing w:after="0" w:line="240" w:lineRule="auto"/>
              <w:jc w:val="both"/>
              <w:rPr>
                <w:rFonts w:ascii="Times New Roman" w:hAnsi="Times New Roman"/>
                <w:i/>
                <w:iCs/>
                <w:sz w:val="18"/>
                <w:szCs w:val="18"/>
              </w:rPr>
            </w:pPr>
            <w:r w:rsidRPr="002447B3">
              <w:rPr>
                <w:rFonts w:ascii="Times New Roman" w:hAnsi="Times New Roman"/>
                <w:b/>
                <w:bCs/>
                <w:i/>
                <w:iCs/>
                <w:sz w:val="18"/>
                <w:szCs w:val="18"/>
              </w:rPr>
              <w:t>Teritorijų tipas</w:t>
            </w:r>
          </w:p>
        </w:tc>
      </w:tr>
      <w:tr w:rsidR="003D4200" w:rsidRPr="002447B3" w:rsidTr="003D4200">
        <w:tc>
          <w:tcPr>
            <w:tcW w:w="864" w:type="dxa"/>
            <w:shd w:val="clear" w:color="auto" w:fill="EEECE1"/>
            <w:vAlign w:val="center"/>
          </w:tcPr>
          <w:p w:rsidR="003D4200" w:rsidRPr="002447B3" w:rsidRDefault="003D4200" w:rsidP="009D62C6">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Fondas</w:t>
            </w:r>
          </w:p>
        </w:tc>
        <w:tc>
          <w:tcPr>
            <w:tcW w:w="696" w:type="dxa"/>
            <w:shd w:val="clear" w:color="auto" w:fill="EEECE1"/>
            <w:vAlign w:val="center"/>
          </w:tcPr>
          <w:p w:rsidR="003D4200" w:rsidRPr="002447B3" w:rsidRDefault="003D4200" w:rsidP="009D62C6">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Kodas</w:t>
            </w:r>
          </w:p>
        </w:tc>
        <w:tc>
          <w:tcPr>
            <w:tcW w:w="6378" w:type="dxa"/>
            <w:shd w:val="clear" w:color="auto" w:fill="EEECE1"/>
            <w:vAlign w:val="center"/>
          </w:tcPr>
          <w:p w:rsidR="003D4200" w:rsidRPr="002447B3" w:rsidRDefault="003D4200" w:rsidP="00BB0960">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Pavadinimas</w:t>
            </w:r>
          </w:p>
        </w:tc>
        <w:tc>
          <w:tcPr>
            <w:tcW w:w="1808" w:type="dxa"/>
            <w:shd w:val="clear" w:color="auto" w:fill="EEECE1"/>
            <w:vAlign w:val="center"/>
          </w:tcPr>
          <w:p w:rsidR="003D4200" w:rsidRPr="002447B3" w:rsidRDefault="003D4200" w:rsidP="00BB0960">
            <w:pPr>
              <w:widowControl w:val="0"/>
              <w:tabs>
                <w:tab w:val="left" w:pos="622"/>
              </w:tabs>
              <w:spacing w:after="0" w:line="240" w:lineRule="auto"/>
              <w:jc w:val="center"/>
              <w:rPr>
                <w:rFonts w:ascii="Times New Roman" w:hAnsi="Times New Roman"/>
                <w:b/>
                <w:bCs/>
                <w:iCs/>
                <w:sz w:val="18"/>
                <w:szCs w:val="18"/>
              </w:rPr>
            </w:pPr>
            <w:r w:rsidRPr="002447B3">
              <w:rPr>
                <w:rFonts w:ascii="Times New Roman" w:hAnsi="Times New Roman"/>
                <w:b/>
                <w:bCs/>
                <w:iCs/>
                <w:sz w:val="18"/>
                <w:szCs w:val="18"/>
              </w:rPr>
              <w:t>Finansinė proporcija (eurais)</w:t>
            </w:r>
          </w:p>
        </w:tc>
      </w:tr>
      <w:tr w:rsidR="003D4200" w:rsidRPr="002447B3" w:rsidTr="003D4200">
        <w:tc>
          <w:tcPr>
            <w:tcW w:w="864" w:type="dxa"/>
            <w:shd w:val="clear" w:color="auto" w:fill="auto"/>
            <w:vAlign w:val="center"/>
          </w:tcPr>
          <w:p w:rsidR="003D4200" w:rsidRPr="002447B3" w:rsidRDefault="003D4200" w:rsidP="009D62C6">
            <w:pPr>
              <w:widowControl w:val="0"/>
              <w:tabs>
                <w:tab w:val="left" w:pos="622"/>
              </w:tabs>
              <w:spacing w:after="0" w:line="240" w:lineRule="auto"/>
              <w:jc w:val="center"/>
              <w:rPr>
                <w:rFonts w:ascii="Times New Roman" w:eastAsia="AngsanaUPC" w:hAnsi="Times New Roman"/>
                <w:bCs/>
                <w:sz w:val="18"/>
                <w:szCs w:val="18"/>
                <w:lang w:val="en-GB" w:eastAsia="lt-LT"/>
              </w:rPr>
            </w:pPr>
            <w:r w:rsidRPr="002447B3">
              <w:rPr>
                <w:rFonts w:ascii="Times New Roman" w:eastAsia="AngsanaUPC" w:hAnsi="Times New Roman"/>
                <w:bCs/>
                <w:sz w:val="18"/>
                <w:szCs w:val="18"/>
                <w:lang w:val="en-GB" w:eastAsia="lt-LT"/>
              </w:rPr>
              <w:t>ERPF</w:t>
            </w:r>
          </w:p>
        </w:tc>
        <w:tc>
          <w:tcPr>
            <w:tcW w:w="696" w:type="dxa"/>
            <w:shd w:val="clear" w:color="auto" w:fill="auto"/>
            <w:vAlign w:val="center"/>
          </w:tcPr>
          <w:p w:rsidR="003D4200" w:rsidRPr="002447B3" w:rsidRDefault="003D4200" w:rsidP="009D62C6">
            <w:pPr>
              <w:widowControl w:val="0"/>
              <w:tabs>
                <w:tab w:val="left" w:pos="622"/>
              </w:tabs>
              <w:spacing w:after="0" w:line="240" w:lineRule="auto"/>
              <w:jc w:val="both"/>
              <w:rPr>
                <w:rFonts w:ascii="Times New Roman" w:hAnsi="Times New Roman"/>
                <w:bCs/>
                <w:iCs/>
                <w:sz w:val="18"/>
                <w:szCs w:val="18"/>
                <w:lang w:val="en-GB"/>
              </w:rPr>
            </w:pPr>
            <w:r w:rsidRPr="002447B3">
              <w:rPr>
                <w:rFonts w:ascii="Times New Roman" w:hAnsi="Times New Roman"/>
                <w:bCs/>
                <w:iCs/>
                <w:sz w:val="18"/>
                <w:szCs w:val="18"/>
                <w:lang w:val="en-GB"/>
              </w:rPr>
              <w:t>07</w:t>
            </w:r>
          </w:p>
        </w:tc>
        <w:tc>
          <w:tcPr>
            <w:tcW w:w="6378" w:type="dxa"/>
            <w:shd w:val="clear" w:color="auto" w:fill="auto"/>
            <w:vAlign w:val="center"/>
          </w:tcPr>
          <w:p w:rsidR="003D4200" w:rsidRPr="002447B3" w:rsidRDefault="003D4200" w:rsidP="00BB0960">
            <w:pPr>
              <w:widowControl w:val="0"/>
              <w:tabs>
                <w:tab w:val="left" w:pos="622"/>
              </w:tabs>
              <w:spacing w:after="0" w:line="240" w:lineRule="auto"/>
              <w:jc w:val="both"/>
              <w:rPr>
                <w:rFonts w:ascii="Times New Roman" w:hAnsi="Times New Roman"/>
                <w:bCs/>
                <w:iCs/>
                <w:sz w:val="18"/>
                <w:szCs w:val="18"/>
              </w:rPr>
            </w:pPr>
            <w:r w:rsidRPr="002447B3">
              <w:rPr>
                <w:rFonts w:ascii="Times New Roman" w:hAnsi="Times New Roman"/>
                <w:bCs/>
                <w:iCs/>
                <w:sz w:val="18"/>
                <w:szCs w:val="18"/>
              </w:rPr>
              <w:t>Netaikoma</w:t>
            </w:r>
          </w:p>
        </w:tc>
        <w:tc>
          <w:tcPr>
            <w:tcW w:w="1808" w:type="dxa"/>
            <w:shd w:val="clear" w:color="auto" w:fill="auto"/>
            <w:vAlign w:val="center"/>
          </w:tcPr>
          <w:p w:rsidR="003D4200" w:rsidRPr="00B21DA6" w:rsidRDefault="00CA08F4" w:rsidP="00C76808">
            <w:pPr>
              <w:widowControl w:val="0"/>
              <w:tabs>
                <w:tab w:val="left" w:pos="622"/>
              </w:tabs>
              <w:spacing w:after="0" w:line="240" w:lineRule="auto"/>
              <w:jc w:val="right"/>
              <w:rPr>
                <w:rFonts w:ascii="Times New Roman" w:hAnsi="Times New Roman"/>
                <w:bCs/>
                <w:iCs/>
                <w:sz w:val="18"/>
                <w:szCs w:val="18"/>
                <w:lang w:val="en-GB"/>
              </w:rPr>
            </w:pPr>
            <w:r w:rsidRPr="002C08FA">
              <w:rPr>
                <w:rFonts w:ascii="Times New Roman" w:eastAsia="AngsanaUPC" w:hAnsi="Times New Roman"/>
                <w:bCs/>
                <w:sz w:val="18"/>
                <w:szCs w:val="18"/>
                <w:lang w:val="en-GB" w:eastAsia="lt-LT"/>
              </w:rPr>
              <w:t>56</w:t>
            </w:r>
            <w:r w:rsidR="00734C27" w:rsidRPr="002C08FA">
              <w:rPr>
                <w:rFonts w:ascii="Times New Roman" w:eastAsia="AngsanaUPC" w:hAnsi="Times New Roman"/>
                <w:bCs/>
                <w:sz w:val="18"/>
                <w:szCs w:val="18"/>
                <w:lang w:val="en-GB" w:eastAsia="lt-LT"/>
              </w:rPr>
              <w:t>6</w:t>
            </w:r>
            <w:r w:rsidR="00C76808" w:rsidRPr="002C08FA">
              <w:rPr>
                <w:rFonts w:ascii="Times New Roman" w:eastAsia="AngsanaUPC" w:hAnsi="Times New Roman"/>
                <w:bCs/>
                <w:sz w:val="18"/>
                <w:szCs w:val="18"/>
                <w:lang w:val="en-GB" w:eastAsia="lt-LT"/>
              </w:rPr>
              <w:t>.</w:t>
            </w:r>
            <w:r w:rsidR="00734C27" w:rsidRPr="002C08FA">
              <w:rPr>
                <w:rFonts w:ascii="Times New Roman" w:eastAsia="AngsanaUPC" w:hAnsi="Times New Roman"/>
                <w:bCs/>
                <w:sz w:val="18"/>
                <w:szCs w:val="18"/>
                <w:lang w:val="en-GB" w:eastAsia="lt-LT"/>
              </w:rPr>
              <w:t>7</w:t>
            </w:r>
            <w:r w:rsidR="00B21DA6" w:rsidRPr="002C08FA">
              <w:rPr>
                <w:rFonts w:ascii="Times New Roman" w:eastAsia="AngsanaUPC" w:hAnsi="Times New Roman"/>
                <w:bCs/>
                <w:sz w:val="18"/>
                <w:szCs w:val="18"/>
                <w:lang w:val="en-GB" w:eastAsia="lt-LT"/>
              </w:rPr>
              <w:t>03</w:t>
            </w:r>
            <w:r w:rsidR="00C76808" w:rsidRPr="002C08FA">
              <w:rPr>
                <w:rFonts w:ascii="Times New Roman" w:eastAsia="AngsanaUPC" w:hAnsi="Times New Roman"/>
                <w:bCs/>
                <w:sz w:val="18"/>
                <w:szCs w:val="18"/>
                <w:lang w:val="en-GB" w:eastAsia="lt-LT"/>
              </w:rPr>
              <w:t>.</w:t>
            </w:r>
            <w:r w:rsidR="00B21DA6" w:rsidRPr="002C08FA">
              <w:rPr>
                <w:rFonts w:ascii="Times New Roman" w:eastAsia="AngsanaUPC" w:hAnsi="Times New Roman"/>
                <w:bCs/>
                <w:sz w:val="18"/>
                <w:szCs w:val="18"/>
                <w:lang w:val="en-GB" w:eastAsia="lt-LT"/>
              </w:rPr>
              <w:t>253</w:t>
            </w:r>
          </w:p>
        </w:tc>
      </w:tr>
    </w:tbl>
    <w:p w:rsidR="00712C9F" w:rsidRPr="002447B3" w:rsidRDefault="00712C9F" w:rsidP="00712C9F">
      <w:pPr>
        <w:widowControl w:val="0"/>
        <w:tabs>
          <w:tab w:val="left" w:pos="622"/>
        </w:tabs>
        <w:spacing w:after="0" w:line="240" w:lineRule="auto"/>
        <w:jc w:val="both"/>
        <w:rPr>
          <w:rFonts w:ascii="Times New Roman" w:hAnsi="Times New Roman"/>
          <w:iCs/>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777"/>
        <w:gridCol w:w="6378"/>
        <w:gridCol w:w="1808"/>
      </w:tblGrid>
      <w:tr w:rsidR="00712C9F" w:rsidRPr="002447B3" w:rsidTr="00BB0960">
        <w:tc>
          <w:tcPr>
            <w:tcW w:w="9746" w:type="dxa"/>
            <w:gridSpan w:val="4"/>
            <w:shd w:val="clear" w:color="auto" w:fill="EEECE1"/>
          </w:tcPr>
          <w:p w:rsidR="00712C9F" w:rsidRPr="002447B3" w:rsidRDefault="00712C9F" w:rsidP="00BB0960">
            <w:pPr>
              <w:widowControl w:val="0"/>
              <w:tabs>
                <w:tab w:val="left" w:pos="622"/>
              </w:tabs>
              <w:spacing w:after="0" w:line="240" w:lineRule="auto"/>
              <w:jc w:val="both"/>
              <w:rPr>
                <w:rFonts w:ascii="Times New Roman" w:hAnsi="Times New Roman"/>
                <w:i/>
                <w:iCs/>
                <w:sz w:val="18"/>
                <w:szCs w:val="18"/>
              </w:rPr>
            </w:pPr>
            <w:r w:rsidRPr="002447B3">
              <w:rPr>
                <w:rFonts w:ascii="Times New Roman" w:hAnsi="Times New Roman"/>
                <w:b/>
                <w:bCs/>
                <w:i/>
                <w:iCs/>
                <w:sz w:val="18"/>
                <w:szCs w:val="18"/>
              </w:rPr>
              <w:t>Teritorinės paramos paskirstymo priemonės</w:t>
            </w:r>
          </w:p>
        </w:tc>
      </w:tr>
      <w:tr w:rsidR="003D4200" w:rsidRPr="002447B3" w:rsidTr="003D4200">
        <w:tc>
          <w:tcPr>
            <w:tcW w:w="783" w:type="dxa"/>
            <w:shd w:val="clear" w:color="auto" w:fill="EEECE1"/>
            <w:vAlign w:val="center"/>
          </w:tcPr>
          <w:p w:rsidR="003D4200" w:rsidRPr="002447B3" w:rsidRDefault="003D4200" w:rsidP="009D62C6">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Fondas</w:t>
            </w:r>
          </w:p>
        </w:tc>
        <w:tc>
          <w:tcPr>
            <w:tcW w:w="777" w:type="dxa"/>
            <w:shd w:val="clear" w:color="auto" w:fill="EEECE1"/>
            <w:vAlign w:val="center"/>
          </w:tcPr>
          <w:p w:rsidR="003D4200" w:rsidRPr="002447B3" w:rsidRDefault="003D4200" w:rsidP="009D62C6">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Kodas</w:t>
            </w:r>
          </w:p>
        </w:tc>
        <w:tc>
          <w:tcPr>
            <w:tcW w:w="6378" w:type="dxa"/>
            <w:shd w:val="clear" w:color="auto" w:fill="EEECE1"/>
            <w:vAlign w:val="center"/>
          </w:tcPr>
          <w:p w:rsidR="003D4200" w:rsidRPr="002447B3" w:rsidRDefault="003D4200" w:rsidP="00BB0960">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Pavadinimas</w:t>
            </w:r>
          </w:p>
        </w:tc>
        <w:tc>
          <w:tcPr>
            <w:tcW w:w="1808" w:type="dxa"/>
            <w:shd w:val="clear" w:color="auto" w:fill="EEECE1"/>
            <w:vAlign w:val="center"/>
          </w:tcPr>
          <w:p w:rsidR="003D4200" w:rsidRPr="002447B3" w:rsidRDefault="003D4200" w:rsidP="00BB0960">
            <w:pPr>
              <w:widowControl w:val="0"/>
              <w:tabs>
                <w:tab w:val="left" w:pos="622"/>
              </w:tabs>
              <w:spacing w:after="0" w:line="240" w:lineRule="auto"/>
              <w:jc w:val="center"/>
              <w:rPr>
                <w:rFonts w:ascii="Times New Roman" w:hAnsi="Times New Roman"/>
                <w:b/>
                <w:bCs/>
                <w:iCs/>
                <w:sz w:val="18"/>
                <w:szCs w:val="18"/>
              </w:rPr>
            </w:pPr>
            <w:r w:rsidRPr="002447B3">
              <w:rPr>
                <w:rFonts w:ascii="Times New Roman" w:hAnsi="Times New Roman"/>
                <w:b/>
                <w:bCs/>
                <w:iCs/>
                <w:sz w:val="18"/>
                <w:szCs w:val="18"/>
              </w:rPr>
              <w:t>Finansinė proporcija (eurais)</w:t>
            </w:r>
          </w:p>
        </w:tc>
      </w:tr>
      <w:tr w:rsidR="003D4200" w:rsidRPr="00BB0960" w:rsidTr="003D4200">
        <w:tc>
          <w:tcPr>
            <w:tcW w:w="783" w:type="dxa"/>
            <w:shd w:val="clear" w:color="auto" w:fill="auto"/>
            <w:vAlign w:val="center"/>
          </w:tcPr>
          <w:p w:rsidR="003D4200" w:rsidRPr="002447B3" w:rsidRDefault="003D4200" w:rsidP="009D62C6">
            <w:pPr>
              <w:widowControl w:val="0"/>
              <w:tabs>
                <w:tab w:val="left" w:pos="622"/>
              </w:tabs>
              <w:spacing w:after="0" w:line="240" w:lineRule="auto"/>
              <w:jc w:val="center"/>
              <w:rPr>
                <w:rFonts w:ascii="Times New Roman" w:eastAsia="AngsanaUPC" w:hAnsi="Times New Roman"/>
                <w:bCs/>
                <w:sz w:val="18"/>
                <w:szCs w:val="18"/>
                <w:lang w:val="en-GB" w:eastAsia="lt-LT"/>
              </w:rPr>
            </w:pPr>
            <w:r w:rsidRPr="002447B3">
              <w:rPr>
                <w:rFonts w:ascii="Times New Roman" w:eastAsia="AngsanaUPC" w:hAnsi="Times New Roman"/>
                <w:bCs/>
                <w:sz w:val="18"/>
                <w:szCs w:val="18"/>
                <w:lang w:val="en-GB" w:eastAsia="lt-LT"/>
              </w:rPr>
              <w:t>ERPF</w:t>
            </w:r>
          </w:p>
        </w:tc>
        <w:tc>
          <w:tcPr>
            <w:tcW w:w="777" w:type="dxa"/>
            <w:shd w:val="clear" w:color="auto" w:fill="auto"/>
            <w:vAlign w:val="center"/>
          </w:tcPr>
          <w:p w:rsidR="003D4200" w:rsidRPr="002447B3" w:rsidRDefault="003D4200" w:rsidP="009D62C6">
            <w:pPr>
              <w:widowControl w:val="0"/>
              <w:tabs>
                <w:tab w:val="left" w:pos="622"/>
              </w:tabs>
              <w:spacing w:after="0" w:line="240" w:lineRule="auto"/>
              <w:jc w:val="both"/>
              <w:rPr>
                <w:rFonts w:ascii="Times New Roman" w:hAnsi="Times New Roman"/>
                <w:bCs/>
                <w:iCs/>
                <w:sz w:val="18"/>
                <w:szCs w:val="18"/>
                <w:lang w:val="en-GB"/>
              </w:rPr>
            </w:pPr>
            <w:r w:rsidRPr="002447B3">
              <w:rPr>
                <w:rFonts w:ascii="Times New Roman" w:hAnsi="Times New Roman"/>
                <w:bCs/>
                <w:iCs/>
                <w:sz w:val="18"/>
                <w:szCs w:val="18"/>
                <w:lang w:val="en-GB"/>
              </w:rPr>
              <w:t>07</w:t>
            </w:r>
          </w:p>
        </w:tc>
        <w:tc>
          <w:tcPr>
            <w:tcW w:w="6378" w:type="dxa"/>
            <w:shd w:val="clear" w:color="auto" w:fill="auto"/>
            <w:vAlign w:val="center"/>
          </w:tcPr>
          <w:p w:rsidR="003D4200" w:rsidRPr="002447B3" w:rsidRDefault="003D4200" w:rsidP="00BB0960">
            <w:pPr>
              <w:widowControl w:val="0"/>
              <w:tabs>
                <w:tab w:val="left" w:pos="622"/>
              </w:tabs>
              <w:spacing w:after="0" w:line="240" w:lineRule="auto"/>
              <w:jc w:val="both"/>
              <w:rPr>
                <w:rFonts w:ascii="Times New Roman" w:hAnsi="Times New Roman"/>
                <w:bCs/>
                <w:iCs/>
                <w:sz w:val="18"/>
                <w:szCs w:val="18"/>
              </w:rPr>
            </w:pPr>
            <w:r w:rsidRPr="002447B3">
              <w:rPr>
                <w:rFonts w:ascii="Times New Roman" w:hAnsi="Times New Roman"/>
                <w:bCs/>
                <w:iCs/>
                <w:sz w:val="18"/>
                <w:szCs w:val="18"/>
              </w:rPr>
              <w:t>Netaikoma</w:t>
            </w:r>
          </w:p>
        </w:tc>
        <w:tc>
          <w:tcPr>
            <w:tcW w:w="1808" w:type="dxa"/>
            <w:shd w:val="clear" w:color="auto" w:fill="auto"/>
            <w:vAlign w:val="center"/>
          </w:tcPr>
          <w:p w:rsidR="003D4200" w:rsidRPr="00B21DA6" w:rsidRDefault="00CA08F4" w:rsidP="00C76808">
            <w:pPr>
              <w:widowControl w:val="0"/>
              <w:tabs>
                <w:tab w:val="left" w:pos="622"/>
              </w:tabs>
              <w:spacing w:after="0" w:line="240" w:lineRule="auto"/>
              <w:jc w:val="right"/>
              <w:rPr>
                <w:rFonts w:ascii="Times New Roman" w:hAnsi="Times New Roman"/>
                <w:bCs/>
                <w:iCs/>
                <w:sz w:val="18"/>
                <w:szCs w:val="18"/>
                <w:lang w:val="en-GB"/>
              </w:rPr>
            </w:pPr>
            <w:r w:rsidRPr="002C08FA">
              <w:rPr>
                <w:rFonts w:ascii="Times New Roman" w:eastAsia="AngsanaUPC" w:hAnsi="Times New Roman"/>
                <w:bCs/>
                <w:sz w:val="18"/>
                <w:szCs w:val="18"/>
                <w:lang w:val="en-GB" w:eastAsia="lt-LT"/>
              </w:rPr>
              <w:t>56</w:t>
            </w:r>
            <w:r w:rsidR="00734C27" w:rsidRPr="002C08FA">
              <w:rPr>
                <w:rFonts w:ascii="Times New Roman" w:eastAsia="AngsanaUPC" w:hAnsi="Times New Roman"/>
                <w:bCs/>
                <w:sz w:val="18"/>
                <w:szCs w:val="18"/>
                <w:lang w:val="en-GB" w:eastAsia="lt-LT"/>
              </w:rPr>
              <w:t>6.703.253</w:t>
            </w:r>
          </w:p>
        </w:tc>
      </w:tr>
    </w:tbl>
    <w:p w:rsidR="00712C9F" w:rsidRDefault="00712C9F" w:rsidP="00385835">
      <w:pPr>
        <w:widowControl w:val="0"/>
        <w:tabs>
          <w:tab w:val="left" w:pos="622"/>
        </w:tabs>
        <w:spacing w:after="0" w:line="240" w:lineRule="auto"/>
        <w:jc w:val="both"/>
        <w:rPr>
          <w:rFonts w:ascii="Times New Roman" w:hAnsi="Times New Roman"/>
          <w:iCs/>
          <w:sz w:val="18"/>
          <w:szCs w:val="18"/>
        </w:rPr>
      </w:pPr>
    </w:p>
    <w:p w:rsidR="00595F1C" w:rsidRDefault="00595F1C" w:rsidP="00385835">
      <w:pPr>
        <w:widowControl w:val="0"/>
        <w:tabs>
          <w:tab w:val="left" w:pos="622"/>
        </w:tabs>
        <w:spacing w:after="0" w:line="240" w:lineRule="auto"/>
        <w:jc w:val="both"/>
        <w:rPr>
          <w:rFonts w:ascii="Times New Roman" w:hAnsi="Times New Roman"/>
          <w:iCs/>
          <w:sz w:val="18"/>
          <w:szCs w:val="18"/>
        </w:rPr>
        <w:sectPr w:rsidR="00595F1C" w:rsidSect="00595F1C">
          <w:pgSz w:w="11906" w:h="16838" w:code="9"/>
          <w:pgMar w:top="1701" w:right="567" w:bottom="1134" w:left="1701" w:header="567" w:footer="567" w:gutter="0"/>
          <w:cols w:space="1296"/>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746"/>
      </w:tblGrid>
      <w:tr w:rsidR="00385835" w:rsidRPr="00385835" w:rsidTr="00385835">
        <w:trPr>
          <w:trHeight w:val="416"/>
        </w:trPr>
        <w:tc>
          <w:tcPr>
            <w:tcW w:w="9746" w:type="dxa"/>
            <w:shd w:val="clear" w:color="auto" w:fill="EEECE1"/>
            <w:vAlign w:val="center"/>
          </w:tcPr>
          <w:p w:rsidR="00385835" w:rsidRPr="00385835" w:rsidRDefault="00385835" w:rsidP="00385835">
            <w:pPr>
              <w:keepNext/>
              <w:spacing w:after="0" w:line="240" w:lineRule="auto"/>
              <w:jc w:val="both"/>
              <w:outlineLvl w:val="1"/>
              <w:rPr>
                <w:rFonts w:ascii="Times New Roman" w:eastAsia="AngsanaUPC" w:hAnsi="Times New Roman"/>
                <w:b/>
                <w:bCs/>
                <w:iCs/>
                <w:sz w:val="24"/>
                <w:szCs w:val="28"/>
                <w:lang w:eastAsia="lt-LT"/>
              </w:rPr>
            </w:pPr>
            <w:bookmarkStart w:id="7" w:name="_Toc69836223"/>
            <w:r w:rsidRPr="00385835">
              <w:rPr>
                <w:rFonts w:ascii="Times New Roman" w:eastAsia="AngsanaUPC" w:hAnsi="Times New Roman"/>
                <w:b/>
                <w:bCs/>
                <w:iCs/>
                <w:sz w:val="24"/>
                <w:szCs w:val="28"/>
                <w:lang w:eastAsia="lt-LT"/>
              </w:rPr>
              <w:lastRenderedPageBreak/>
              <w:t>4 PRIORITETAS. ENERGIJOS EFEKTYVUMO IR ATSINAUJINANČIŲ IŠTEKLIŲ ENERGIJOS GAMYBOS IR NAUDOJIMO SKATINIMAS</w:t>
            </w:r>
            <w:bookmarkEnd w:id="7"/>
          </w:p>
        </w:tc>
      </w:tr>
      <w:tr w:rsidR="00385835" w:rsidRPr="00385835" w:rsidTr="00385835">
        <w:trPr>
          <w:trHeight w:val="294"/>
        </w:trPr>
        <w:tc>
          <w:tcPr>
            <w:tcW w:w="9746" w:type="dxa"/>
            <w:shd w:val="clear" w:color="auto" w:fill="auto"/>
            <w:vAlign w:val="center"/>
          </w:tcPr>
          <w:p w:rsidR="00385835" w:rsidRPr="002C08FA" w:rsidRDefault="00385835" w:rsidP="00385835">
            <w:pPr>
              <w:widowControl w:val="0"/>
              <w:tabs>
                <w:tab w:val="left" w:pos="622"/>
              </w:tabs>
              <w:spacing w:after="0" w:line="240" w:lineRule="auto"/>
              <w:ind w:firstLine="624"/>
              <w:jc w:val="both"/>
              <w:rPr>
                <w:rFonts w:ascii="Times New Roman" w:eastAsia="AngsanaUPC" w:hAnsi="Times New Roman"/>
                <w:bCs/>
                <w:sz w:val="24"/>
                <w:szCs w:val="24"/>
                <w:lang w:eastAsia="lt-LT"/>
              </w:rPr>
            </w:pPr>
            <w:r w:rsidRPr="002C08FA">
              <w:rPr>
                <w:rFonts w:ascii="Times New Roman" w:eastAsia="AngsanaUPC" w:hAnsi="Times New Roman"/>
                <w:bCs/>
                <w:sz w:val="24"/>
                <w:szCs w:val="24"/>
                <w:lang w:eastAsia="lt-LT"/>
              </w:rPr>
              <w:t>Įgyvendinant šį prioritetą</w:t>
            </w:r>
            <w:r w:rsidR="000A0DDC" w:rsidRPr="002C08FA">
              <w:rPr>
                <w:rFonts w:ascii="Times New Roman" w:eastAsia="AngsanaUPC" w:hAnsi="Times New Roman"/>
                <w:bCs/>
                <w:sz w:val="24"/>
                <w:szCs w:val="24"/>
                <w:lang w:eastAsia="lt-LT"/>
              </w:rPr>
              <w:t>,</w:t>
            </w:r>
            <w:r w:rsidRPr="002C08FA">
              <w:rPr>
                <w:rFonts w:ascii="Times New Roman" w:eastAsia="AngsanaUPC" w:hAnsi="Times New Roman"/>
                <w:bCs/>
                <w:sz w:val="24"/>
                <w:szCs w:val="24"/>
                <w:lang w:eastAsia="lt-LT"/>
              </w:rPr>
              <w:t xml:space="preserve"> bus investuojama į veiklas, apimančias nuoseklią AIE plėtrą ir energijos efektyvumo skatinimą įvairiuose sektoriuose (AIE skatinam</w:t>
            </w:r>
            <w:r w:rsidR="00734C27" w:rsidRPr="002C08FA">
              <w:rPr>
                <w:rFonts w:ascii="Times New Roman" w:eastAsia="AngsanaUPC" w:hAnsi="Times New Roman"/>
                <w:bCs/>
                <w:sz w:val="24"/>
                <w:szCs w:val="24"/>
                <w:lang w:eastAsia="lt-LT"/>
              </w:rPr>
              <w:t>a</w:t>
            </w:r>
            <w:r w:rsidRPr="002C08FA">
              <w:rPr>
                <w:rFonts w:ascii="Times New Roman" w:eastAsia="AngsanaUPC" w:hAnsi="Times New Roman"/>
                <w:bCs/>
                <w:sz w:val="24"/>
                <w:szCs w:val="24"/>
                <w:lang w:eastAsia="lt-LT"/>
              </w:rPr>
              <w:t xml:space="preserve"> šilumos ir elek</w:t>
            </w:r>
            <w:r w:rsidR="00734C27" w:rsidRPr="002C08FA">
              <w:rPr>
                <w:rFonts w:ascii="Times New Roman" w:eastAsia="AngsanaUPC" w:hAnsi="Times New Roman"/>
                <w:bCs/>
                <w:sz w:val="24"/>
                <w:szCs w:val="24"/>
                <w:lang w:eastAsia="lt-LT"/>
              </w:rPr>
              <w:t>tros energijos srityse,</w:t>
            </w:r>
            <w:r w:rsidRPr="002C08FA">
              <w:rPr>
                <w:rFonts w:ascii="Times New Roman" w:eastAsia="AngsanaUPC" w:hAnsi="Times New Roman"/>
                <w:bCs/>
                <w:sz w:val="24"/>
                <w:szCs w:val="24"/>
                <w:lang w:eastAsia="lt-LT"/>
              </w:rPr>
              <w:t xml:space="preserve"> pramonės įmonėse; modernizuoja</w:t>
            </w:r>
            <w:r w:rsidR="00734C27" w:rsidRPr="002C08FA">
              <w:rPr>
                <w:rFonts w:ascii="Times New Roman" w:eastAsia="AngsanaUPC" w:hAnsi="Times New Roman"/>
                <w:bCs/>
                <w:sz w:val="24"/>
                <w:szCs w:val="24"/>
                <w:lang w:eastAsia="lt-LT"/>
              </w:rPr>
              <w:t>nt</w:t>
            </w:r>
            <w:r w:rsidRPr="002C08FA">
              <w:rPr>
                <w:rFonts w:ascii="Times New Roman" w:eastAsia="AngsanaUPC" w:hAnsi="Times New Roman"/>
                <w:bCs/>
                <w:sz w:val="24"/>
                <w:szCs w:val="24"/>
                <w:lang w:eastAsia="lt-LT"/>
              </w:rPr>
              <w:t xml:space="preserve"> šilumos ir elektros energijos tinkl</w:t>
            </w:r>
            <w:r w:rsidR="00734C27" w:rsidRPr="002C08FA">
              <w:rPr>
                <w:rFonts w:ascii="Times New Roman" w:eastAsia="AngsanaUPC" w:hAnsi="Times New Roman"/>
                <w:bCs/>
                <w:sz w:val="24"/>
                <w:szCs w:val="24"/>
                <w:lang w:eastAsia="lt-LT"/>
              </w:rPr>
              <w:t>us</w:t>
            </w:r>
            <w:r w:rsidRPr="002C08FA">
              <w:rPr>
                <w:rFonts w:ascii="Times New Roman" w:eastAsia="AngsanaUPC" w:hAnsi="Times New Roman"/>
                <w:bCs/>
                <w:sz w:val="24"/>
                <w:szCs w:val="24"/>
                <w:lang w:eastAsia="lt-LT"/>
              </w:rPr>
              <w:t>, siekia</w:t>
            </w:r>
            <w:r w:rsidR="00734C27" w:rsidRPr="002C08FA">
              <w:rPr>
                <w:rFonts w:ascii="Times New Roman" w:eastAsia="AngsanaUPC" w:hAnsi="Times New Roman"/>
                <w:bCs/>
                <w:sz w:val="24"/>
                <w:szCs w:val="24"/>
                <w:lang w:eastAsia="lt-LT"/>
              </w:rPr>
              <w:t>ma</w:t>
            </w:r>
            <w:r w:rsidRPr="002C08FA">
              <w:rPr>
                <w:rFonts w:ascii="Times New Roman" w:eastAsia="AngsanaUPC" w:hAnsi="Times New Roman"/>
                <w:bCs/>
                <w:sz w:val="24"/>
                <w:szCs w:val="24"/>
                <w:lang w:eastAsia="lt-LT"/>
              </w:rPr>
              <w:t xml:space="preserve"> </w:t>
            </w:r>
            <w:r w:rsidR="00734C27" w:rsidRPr="002C08FA">
              <w:rPr>
                <w:rFonts w:ascii="Times New Roman" w:eastAsia="AngsanaUPC" w:hAnsi="Times New Roman"/>
                <w:bCs/>
                <w:sz w:val="24"/>
                <w:szCs w:val="24"/>
                <w:lang w:eastAsia="lt-LT"/>
              </w:rPr>
              <w:t xml:space="preserve">AIE </w:t>
            </w:r>
            <w:r w:rsidRPr="002C08FA">
              <w:rPr>
                <w:rFonts w:ascii="Times New Roman" w:eastAsia="AngsanaUPC" w:hAnsi="Times New Roman"/>
                <w:bCs/>
                <w:sz w:val="24"/>
                <w:szCs w:val="24"/>
                <w:lang w:eastAsia="lt-LT"/>
              </w:rPr>
              <w:t xml:space="preserve">integruoti į </w:t>
            </w:r>
            <w:r w:rsidR="00734C27" w:rsidRPr="002C08FA">
              <w:rPr>
                <w:rFonts w:ascii="Times New Roman" w:eastAsia="AngsanaUPC" w:hAnsi="Times New Roman"/>
                <w:bCs/>
                <w:sz w:val="24"/>
                <w:szCs w:val="24"/>
                <w:lang w:eastAsia="lt-LT"/>
              </w:rPr>
              <w:t xml:space="preserve">energijos </w:t>
            </w:r>
            <w:r w:rsidRPr="002C08FA">
              <w:rPr>
                <w:rFonts w:ascii="Times New Roman" w:eastAsia="AngsanaUPC" w:hAnsi="Times New Roman"/>
                <w:bCs/>
                <w:sz w:val="24"/>
                <w:szCs w:val="24"/>
                <w:lang w:eastAsia="lt-LT"/>
              </w:rPr>
              <w:t xml:space="preserve">rinką; energijos </w:t>
            </w:r>
            <w:r w:rsidR="00734C27" w:rsidRPr="002C08FA">
              <w:rPr>
                <w:rFonts w:ascii="Times New Roman" w:eastAsia="AngsanaUPC" w:hAnsi="Times New Roman"/>
                <w:bCs/>
                <w:sz w:val="24"/>
                <w:szCs w:val="24"/>
                <w:lang w:eastAsia="lt-LT"/>
              </w:rPr>
              <w:t xml:space="preserve">vartojimo </w:t>
            </w:r>
            <w:r w:rsidRPr="002C08FA">
              <w:rPr>
                <w:rFonts w:ascii="Times New Roman" w:eastAsia="AngsanaUPC" w:hAnsi="Times New Roman"/>
                <w:bCs/>
                <w:sz w:val="24"/>
                <w:szCs w:val="24"/>
                <w:lang w:eastAsia="lt-LT"/>
              </w:rPr>
              <w:t xml:space="preserve">efektyvumas skatinamas visoje energijos grandinėje </w:t>
            </w:r>
            <w:proofErr w:type="gramStart"/>
            <w:r w:rsidRPr="002C08FA">
              <w:rPr>
                <w:rFonts w:ascii="Times New Roman" w:eastAsia="AngsanaUPC" w:hAnsi="Times New Roman"/>
                <w:bCs/>
                <w:sz w:val="24"/>
                <w:szCs w:val="24"/>
                <w:lang w:eastAsia="lt-LT"/>
              </w:rPr>
              <w:t>(</w:t>
            </w:r>
            <w:proofErr w:type="gramEnd"/>
            <w:r w:rsidR="00734C27" w:rsidRPr="002C08FA">
              <w:rPr>
                <w:rFonts w:ascii="Times New Roman" w:eastAsia="AngsanaUPC" w:hAnsi="Times New Roman"/>
                <w:bCs/>
                <w:sz w:val="24"/>
                <w:szCs w:val="24"/>
                <w:lang w:eastAsia="lt-LT"/>
              </w:rPr>
              <w:t xml:space="preserve">energijos </w:t>
            </w:r>
            <w:r w:rsidRPr="002C08FA">
              <w:rPr>
                <w:rFonts w:ascii="Times New Roman" w:eastAsia="AngsanaUPC" w:hAnsi="Times New Roman"/>
                <w:bCs/>
                <w:sz w:val="24"/>
                <w:szCs w:val="24"/>
                <w:lang w:eastAsia="lt-LT"/>
              </w:rPr>
              <w:t>gamyboje,</w:t>
            </w:r>
            <w:r w:rsidR="00734C27" w:rsidRPr="002C08FA">
              <w:rPr>
                <w:rFonts w:ascii="Times New Roman" w:eastAsia="AngsanaUPC" w:hAnsi="Times New Roman"/>
                <w:bCs/>
                <w:sz w:val="24"/>
                <w:szCs w:val="24"/>
                <w:lang w:eastAsia="lt-LT"/>
              </w:rPr>
              <w:t xml:space="preserve"> tiekime ir vartojime). S</w:t>
            </w:r>
            <w:r w:rsidRPr="002C08FA">
              <w:rPr>
                <w:rFonts w:ascii="Times New Roman" w:eastAsia="AngsanaUPC" w:hAnsi="Times New Roman"/>
                <w:bCs/>
                <w:sz w:val="24"/>
                <w:szCs w:val="24"/>
                <w:lang w:eastAsia="lt-LT"/>
              </w:rPr>
              <w:t xml:space="preserve">iekiant efektyviai spręsti energijos </w:t>
            </w:r>
            <w:r w:rsidR="00734C27" w:rsidRPr="002C08FA">
              <w:rPr>
                <w:rFonts w:ascii="Times New Roman" w:eastAsia="AngsanaUPC" w:hAnsi="Times New Roman"/>
                <w:bCs/>
                <w:sz w:val="24"/>
                <w:szCs w:val="24"/>
                <w:lang w:eastAsia="lt-LT"/>
              </w:rPr>
              <w:t xml:space="preserve">vartojimo </w:t>
            </w:r>
            <w:r w:rsidRPr="002C08FA">
              <w:rPr>
                <w:rFonts w:ascii="Times New Roman" w:eastAsia="AngsanaUPC" w:hAnsi="Times New Roman"/>
                <w:bCs/>
                <w:sz w:val="24"/>
                <w:szCs w:val="24"/>
                <w:lang w:eastAsia="lt-LT"/>
              </w:rPr>
              <w:t xml:space="preserve">efektyvumo ir </w:t>
            </w:r>
            <w:r w:rsidR="00734C27" w:rsidRPr="002C08FA">
              <w:rPr>
                <w:rFonts w:ascii="Times New Roman" w:eastAsia="AngsanaUPC" w:hAnsi="Times New Roman"/>
                <w:bCs/>
                <w:sz w:val="24"/>
                <w:szCs w:val="24"/>
                <w:lang w:eastAsia="lt-LT"/>
              </w:rPr>
              <w:t xml:space="preserve">AIE </w:t>
            </w:r>
            <w:r w:rsidRPr="002C08FA">
              <w:rPr>
                <w:rFonts w:ascii="Times New Roman" w:eastAsia="AngsanaUPC" w:hAnsi="Times New Roman"/>
                <w:bCs/>
                <w:sz w:val="24"/>
                <w:szCs w:val="24"/>
                <w:lang w:eastAsia="lt-LT"/>
              </w:rPr>
              <w:t xml:space="preserve">gamybos ir naudojimo iššūkius, būtina derinti ERPF ir </w:t>
            </w:r>
            <w:r w:rsidRPr="002C08FA">
              <w:rPr>
                <w:rFonts w:ascii="Times New Roman" w:eastAsia="AngsanaUPC" w:hAnsi="Times New Roman"/>
                <w:bCs/>
                <w:iCs/>
                <w:sz w:val="24"/>
                <w:szCs w:val="24"/>
                <w:lang w:eastAsia="lt-LT"/>
              </w:rPr>
              <w:t>SaF</w:t>
            </w:r>
            <w:r w:rsidRPr="002C08FA">
              <w:rPr>
                <w:rFonts w:ascii="Times New Roman" w:eastAsia="AngsanaUPC" w:hAnsi="Times New Roman"/>
                <w:bCs/>
                <w:sz w:val="24"/>
                <w:szCs w:val="24"/>
                <w:lang w:eastAsia="lt-LT"/>
              </w:rPr>
              <w:t xml:space="preserve"> finansuojamas veiklas, </w:t>
            </w:r>
            <w:r w:rsidR="00734C27" w:rsidRPr="002C08FA">
              <w:rPr>
                <w:rFonts w:ascii="Times New Roman" w:eastAsia="AngsanaUPC" w:hAnsi="Times New Roman"/>
                <w:bCs/>
                <w:sz w:val="24"/>
                <w:szCs w:val="24"/>
                <w:lang w:eastAsia="lt-LT"/>
              </w:rPr>
              <w:t xml:space="preserve">sudarant sąlygas </w:t>
            </w:r>
            <w:r w:rsidRPr="002C08FA">
              <w:rPr>
                <w:rFonts w:ascii="Times New Roman" w:eastAsia="AngsanaUPC" w:hAnsi="Times New Roman"/>
                <w:bCs/>
                <w:sz w:val="24"/>
                <w:szCs w:val="24"/>
                <w:lang w:eastAsia="lt-LT"/>
              </w:rPr>
              <w:t>įgyvendinti integruot</w:t>
            </w:r>
            <w:r w:rsidR="00734C27" w:rsidRPr="002C08FA">
              <w:rPr>
                <w:rFonts w:ascii="Times New Roman" w:eastAsia="AngsanaUPC" w:hAnsi="Times New Roman"/>
                <w:bCs/>
                <w:sz w:val="24"/>
                <w:szCs w:val="24"/>
                <w:lang w:eastAsia="lt-LT"/>
              </w:rPr>
              <w:t xml:space="preserve">u požiūriu pagrįstus projektus ir taip užtikrinti </w:t>
            </w:r>
            <w:r w:rsidRPr="002C08FA">
              <w:rPr>
                <w:rFonts w:ascii="Times New Roman" w:eastAsia="AngsanaUPC" w:hAnsi="Times New Roman"/>
                <w:bCs/>
                <w:sz w:val="24"/>
                <w:szCs w:val="24"/>
                <w:lang w:eastAsia="lt-LT"/>
              </w:rPr>
              <w:t xml:space="preserve">išsamią veiksmų programos prioriteto įgyvendinimo stebėseną ir kokybišką atsiskaitymą. </w:t>
            </w:r>
          </w:p>
          <w:p w:rsidR="00385835" w:rsidRPr="00385835" w:rsidRDefault="00385835" w:rsidP="00385835">
            <w:pPr>
              <w:widowControl w:val="0"/>
              <w:tabs>
                <w:tab w:val="left" w:pos="622"/>
              </w:tabs>
              <w:spacing w:after="0" w:line="240" w:lineRule="auto"/>
              <w:ind w:firstLine="624"/>
              <w:jc w:val="both"/>
              <w:rPr>
                <w:rFonts w:ascii="Times New Roman" w:eastAsia="AngsanaUPC" w:hAnsi="Times New Roman"/>
                <w:b/>
                <w:bCs/>
                <w:sz w:val="24"/>
                <w:szCs w:val="24"/>
                <w:lang w:eastAsia="lt-LT"/>
              </w:rPr>
            </w:pPr>
            <w:r w:rsidRPr="002C08FA">
              <w:rPr>
                <w:rFonts w:ascii="Times New Roman" w:eastAsia="AngsanaUPC" w:hAnsi="Times New Roman"/>
                <w:bCs/>
                <w:sz w:val="24"/>
                <w:szCs w:val="24"/>
                <w:lang w:eastAsia="lt-LT"/>
              </w:rPr>
              <w:t>Taip pat ERPF fondo lėšomis numatoma skatinti darnų judumą, kuriant efektyvią viešojo ir privataus transporto sąveiką, didinant viešojo transporto patrauklumą ir prieinamumą bei diegiant tam skirtas ITS. Papildant šias veiklas</w:t>
            </w:r>
            <w:r w:rsidR="000A0DDC" w:rsidRPr="002C08FA">
              <w:rPr>
                <w:rFonts w:ascii="Times New Roman" w:eastAsia="AngsanaUPC" w:hAnsi="Times New Roman"/>
                <w:bCs/>
                <w:sz w:val="24"/>
                <w:szCs w:val="24"/>
                <w:lang w:eastAsia="lt-LT"/>
              </w:rPr>
              <w:t>,</w:t>
            </w:r>
            <w:r w:rsidRPr="002C08FA">
              <w:rPr>
                <w:rFonts w:ascii="Times New Roman" w:eastAsia="AngsanaUPC" w:hAnsi="Times New Roman"/>
                <w:bCs/>
                <w:sz w:val="24"/>
                <w:szCs w:val="24"/>
                <w:lang w:eastAsia="lt-LT"/>
              </w:rPr>
              <w:t xml:space="preserve"> iš SaF fondo lėšų bus atnaujinamas pasenęs ir aplinką teršiantis viešojo transporto priemonių parkas, taip didinant viešojo transporto patrauklumą.</w:t>
            </w:r>
          </w:p>
        </w:tc>
      </w:tr>
    </w:tbl>
    <w:p w:rsidR="00385835" w:rsidRPr="00385835" w:rsidRDefault="00385835" w:rsidP="00385835">
      <w:pPr>
        <w:spacing w:after="0" w:line="240" w:lineRule="auto"/>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vAlign w:val="center"/>
          </w:tcPr>
          <w:p w:rsidR="00385835" w:rsidRPr="00385835" w:rsidRDefault="00385835" w:rsidP="00385835">
            <w:pPr>
              <w:widowControl w:val="0"/>
              <w:tabs>
                <w:tab w:val="left" w:pos="622"/>
              </w:tabs>
              <w:spacing w:after="0" w:line="240" w:lineRule="auto"/>
              <w:rPr>
                <w:rFonts w:ascii="Times New Roman" w:eastAsia="AngsanaUPC" w:hAnsi="Times New Roman"/>
                <w:b/>
                <w:bCs/>
                <w:iCs/>
                <w:sz w:val="24"/>
                <w:szCs w:val="24"/>
                <w:lang w:eastAsia="lt-LT"/>
              </w:rPr>
            </w:pPr>
            <w:r w:rsidRPr="00385835">
              <w:rPr>
                <w:rFonts w:ascii="Times New Roman" w:eastAsia="AngsanaUPC" w:hAnsi="Times New Roman"/>
                <w:b/>
                <w:bCs/>
                <w:iCs/>
                <w:sz w:val="24"/>
                <w:szCs w:val="24"/>
                <w:lang w:eastAsia="lt-LT"/>
              </w:rPr>
              <w:t>4.1. INVESTICINIS PRIORITETAS</w:t>
            </w:r>
          </w:p>
        </w:tc>
        <w:tc>
          <w:tcPr>
            <w:tcW w:w="7336" w:type="dxa"/>
            <w:shd w:val="clear" w:color="auto" w:fill="EEECE1"/>
            <w:vAlign w:val="center"/>
          </w:tcPr>
          <w:p w:rsidR="00385835" w:rsidRPr="00385835" w:rsidRDefault="00385835" w:rsidP="00385835">
            <w:pPr>
              <w:spacing w:after="0" w:line="240" w:lineRule="auto"/>
              <w:rPr>
                <w:rFonts w:ascii="Times New Roman" w:hAnsi="Times New Roman"/>
                <w:b/>
                <w:sz w:val="24"/>
                <w:szCs w:val="24"/>
              </w:rPr>
            </w:pPr>
            <w:r w:rsidRPr="00385835">
              <w:rPr>
                <w:rFonts w:ascii="Times New Roman" w:hAnsi="Times New Roman"/>
                <w:b/>
                <w:sz w:val="24"/>
                <w:szCs w:val="24"/>
              </w:rPr>
              <w:t>AIE gamybos ir skirstymo skatinimas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FONDAS</w:t>
            </w:r>
          </w:p>
        </w:tc>
        <w:tc>
          <w:tcPr>
            <w:tcW w:w="7336"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Sanglaudos fondas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tcPr>
          <w:p w:rsidR="00385835" w:rsidRPr="00385835" w:rsidRDefault="00385835" w:rsidP="00385835">
            <w:pPr>
              <w:widowControl w:val="0"/>
              <w:tabs>
                <w:tab w:val="left" w:pos="622"/>
              </w:tabs>
              <w:spacing w:after="0" w:line="240" w:lineRule="auto"/>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4.1.1. KONKRETUS UŽDAVINYS</w:t>
            </w:r>
          </w:p>
        </w:tc>
        <w:tc>
          <w:tcPr>
            <w:tcW w:w="7336" w:type="dxa"/>
            <w:shd w:val="clear" w:color="auto" w:fill="EEECE1"/>
            <w:vAlign w:val="center"/>
          </w:tcPr>
          <w:p w:rsidR="00385835" w:rsidRPr="00385835" w:rsidRDefault="00385835" w:rsidP="00385835">
            <w:pPr>
              <w:spacing w:after="0" w:line="240" w:lineRule="auto"/>
              <w:jc w:val="both"/>
              <w:rPr>
                <w:rFonts w:ascii="Times New Roman" w:hAnsi="Times New Roman"/>
                <w:b/>
                <w:sz w:val="24"/>
                <w:szCs w:val="24"/>
              </w:rPr>
            </w:pPr>
            <w:r w:rsidRPr="00385835">
              <w:rPr>
                <w:rFonts w:ascii="Times New Roman" w:hAnsi="Times New Roman"/>
                <w:b/>
                <w:sz w:val="24"/>
                <w:szCs w:val="24"/>
              </w:rPr>
              <w:t>Padidinti atsinaujinančių i</w:t>
            </w:r>
            <w:r w:rsidR="00031EF1">
              <w:rPr>
                <w:rFonts w:ascii="Times New Roman" w:hAnsi="Times New Roman"/>
                <w:b/>
                <w:sz w:val="24"/>
                <w:szCs w:val="24"/>
              </w:rPr>
              <w:t>šteklių energijos naudojimą</w:t>
            </w:r>
          </w:p>
        </w:tc>
      </w:tr>
      <w:tr w:rsidR="00385835" w:rsidRPr="00385835" w:rsidTr="00385835">
        <w:tc>
          <w:tcPr>
            <w:tcW w:w="9746" w:type="dxa"/>
            <w:gridSpan w:val="2"/>
            <w:shd w:val="clear" w:color="auto" w:fill="auto"/>
          </w:tcPr>
          <w:p w:rsidR="005875CB" w:rsidRPr="002C08FA" w:rsidRDefault="005875CB" w:rsidP="005875CB">
            <w:pPr>
              <w:widowControl w:val="0"/>
              <w:shd w:val="clear" w:color="auto" w:fill="FFFFFF"/>
              <w:spacing w:after="0" w:line="240" w:lineRule="auto"/>
              <w:ind w:firstLine="601"/>
              <w:jc w:val="both"/>
              <w:textAlignment w:val="baseline"/>
              <w:rPr>
                <w:rFonts w:ascii="Times New Roman" w:eastAsia="Times New Roman" w:hAnsi="Times New Roman"/>
                <w:color w:val="000000"/>
                <w:sz w:val="24"/>
                <w:szCs w:val="24"/>
              </w:rPr>
            </w:pPr>
            <w:r w:rsidRPr="002C08FA">
              <w:rPr>
                <w:rFonts w:ascii="Times New Roman" w:eastAsia="Times New Roman" w:hAnsi="Times New Roman"/>
                <w:color w:val="000000"/>
                <w:sz w:val="24"/>
                <w:szCs w:val="24"/>
              </w:rPr>
              <w:t>Lietuvos tikslas iki 2020 m. padidinti AIE dalį bendrame galutiniame energijos suvartojimo balanse mažiausiai iki 2</w:t>
            </w:r>
            <w:r w:rsidR="00734C27" w:rsidRPr="002C08FA">
              <w:rPr>
                <w:rFonts w:ascii="Times New Roman" w:eastAsia="Times New Roman" w:hAnsi="Times New Roman"/>
                <w:color w:val="000000"/>
                <w:sz w:val="24"/>
                <w:szCs w:val="24"/>
              </w:rPr>
              <w:t>8</w:t>
            </w:r>
            <w:r w:rsidRPr="002C08FA">
              <w:rPr>
                <w:rFonts w:ascii="Times New Roman" w:eastAsia="Times New Roman" w:hAnsi="Times New Roman"/>
                <w:color w:val="000000"/>
                <w:sz w:val="24"/>
                <w:szCs w:val="24"/>
              </w:rPr>
              <w:t xml:space="preserve"> proc</w:t>
            </w:r>
            <w:r w:rsidR="00734C27" w:rsidRPr="002C08FA">
              <w:rPr>
                <w:rFonts w:ascii="Times New Roman" w:eastAsia="Times New Roman" w:hAnsi="Times New Roman"/>
                <w:color w:val="000000"/>
                <w:sz w:val="24"/>
                <w:szCs w:val="24"/>
              </w:rPr>
              <w:t>. bei Europos Sąjungos tikslas –</w:t>
            </w:r>
            <w:r w:rsidRPr="002C08FA">
              <w:rPr>
                <w:rFonts w:ascii="Times New Roman" w:eastAsia="Times New Roman" w:hAnsi="Times New Roman"/>
                <w:color w:val="000000"/>
                <w:sz w:val="24"/>
                <w:szCs w:val="24"/>
              </w:rPr>
              <w:t xml:space="preserve"> mažiausiai iki 27 proc. iki 2030 m. (2014 m. ji sudarė 23,86 proc.). Taip pat </w:t>
            </w:r>
            <w:r w:rsidR="00734C27" w:rsidRPr="002C08FA">
              <w:rPr>
                <w:rFonts w:ascii="Times New Roman" w:eastAsia="Times New Roman" w:hAnsi="Times New Roman"/>
                <w:color w:val="000000"/>
                <w:sz w:val="24"/>
                <w:szCs w:val="24"/>
              </w:rPr>
              <w:t xml:space="preserve">Lietuva siekia iki 2020 m. </w:t>
            </w:r>
            <w:r w:rsidRPr="002C08FA">
              <w:rPr>
                <w:rFonts w:ascii="Times New Roman" w:eastAsia="Times New Roman" w:hAnsi="Times New Roman"/>
                <w:color w:val="000000"/>
                <w:sz w:val="24"/>
                <w:szCs w:val="24"/>
              </w:rPr>
              <w:t xml:space="preserve">padidinti AIE dalį centralizuotai tiekiamos šilumos kuro balanse ne mažiau kaip iki </w:t>
            </w:r>
            <w:r w:rsidR="00734C27" w:rsidRPr="002C08FA">
              <w:rPr>
                <w:rFonts w:ascii="Times New Roman" w:eastAsia="Times New Roman" w:hAnsi="Times New Roman"/>
                <w:color w:val="000000"/>
                <w:sz w:val="24"/>
                <w:szCs w:val="24"/>
              </w:rPr>
              <w:t>7</w:t>
            </w:r>
            <w:r w:rsidRPr="002C08FA">
              <w:rPr>
                <w:rFonts w:ascii="Times New Roman" w:eastAsia="Times New Roman" w:hAnsi="Times New Roman"/>
                <w:color w:val="000000"/>
                <w:sz w:val="24"/>
                <w:szCs w:val="24"/>
              </w:rPr>
              <w:t xml:space="preserve">0 procentų (2014 m. buvo apie 46 proc.), </w:t>
            </w:r>
            <w:r w:rsidR="00734C27" w:rsidRPr="002C08FA">
              <w:rPr>
                <w:rFonts w:ascii="Times New Roman" w:eastAsia="Times New Roman" w:hAnsi="Times New Roman"/>
                <w:color w:val="000000"/>
                <w:sz w:val="24"/>
                <w:szCs w:val="24"/>
              </w:rPr>
              <w:t>o</w:t>
            </w:r>
            <w:r w:rsidRPr="002C08FA">
              <w:rPr>
                <w:rFonts w:ascii="Times New Roman" w:eastAsia="Times New Roman" w:hAnsi="Times New Roman"/>
                <w:color w:val="000000"/>
                <w:sz w:val="24"/>
                <w:szCs w:val="24"/>
              </w:rPr>
              <w:t xml:space="preserve"> AEI </w:t>
            </w:r>
            <w:r w:rsidR="00734C27" w:rsidRPr="002C08FA">
              <w:rPr>
                <w:rFonts w:ascii="Times New Roman" w:eastAsia="Times New Roman" w:hAnsi="Times New Roman"/>
                <w:color w:val="000000"/>
                <w:sz w:val="24"/>
                <w:szCs w:val="24"/>
              </w:rPr>
              <w:t>dalį pagaminamą</w:t>
            </w:r>
            <w:r w:rsidRPr="002C08FA">
              <w:rPr>
                <w:rFonts w:ascii="Times New Roman" w:eastAsia="Times New Roman" w:hAnsi="Times New Roman"/>
                <w:color w:val="000000"/>
                <w:sz w:val="24"/>
                <w:szCs w:val="24"/>
              </w:rPr>
              <w:t xml:space="preserve"> elektros energijos </w:t>
            </w:r>
            <w:r w:rsidR="00734C27" w:rsidRPr="002C08FA">
              <w:rPr>
                <w:rFonts w:ascii="Times New Roman" w:eastAsia="Times New Roman" w:hAnsi="Times New Roman"/>
                <w:color w:val="000000"/>
                <w:sz w:val="24"/>
                <w:szCs w:val="24"/>
              </w:rPr>
              <w:t>sektoriuje</w:t>
            </w:r>
            <w:r w:rsidRPr="002C08FA">
              <w:rPr>
                <w:rFonts w:ascii="Times New Roman" w:eastAsia="Times New Roman" w:hAnsi="Times New Roman"/>
                <w:color w:val="000000"/>
                <w:sz w:val="24"/>
                <w:szCs w:val="24"/>
              </w:rPr>
              <w:t xml:space="preserve"> </w:t>
            </w:r>
            <w:r w:rsidR="00734C27" w:rsidRPr="002C08FA">
              <w:rPr>
                <w:rFonts w:ascii="Times New Roman" w:eastAsia="Times New Roman" w:hAnsi="Times New Roman"/>
                <w:color w:val="000000"/>
                <w:sz w:val="24"/>
                <w:szCs w:val="24"/>
              </w:rPr>
              <w:t xml:space="preserve">– </w:t>
            </w:r>
            <w:r w:rsidRPr="002C08FA">
              <w:rPr>
                <w:rFonts w:ascii="Times New Roman" w:eastAsia="Times New Roman" w:hAnsi="Times New Roman"/>
                <w:color w:val="000000"/>
                <w:sz w:val="24"/>
                <w:szCs w:val="24"/>
              </w:rPr>
              <w:t xml:space="preserve">ne mažiau kaip iki </w:t>
            </w:r>
            <w:r w:rsidR="00734C27" w:rsidRPr="002C08FA">
              <w:rPr>
                <w:rFonts w:ascii="Times New Roman" w:eastAsia="Times New Roman" w:hAnsi="Times New Roman"/>
                <w:color w:val="000000"/>
                <w:sz w:val="24"/>
                <w:szCs w:val="24"/>
              </w:rPr>
              <w:t>3</w:t>
            </w:r>
            <w:r w:rsidRPr="002C08FA">
              <w:rPr>
                <w:rFonts w:ascii="Times New Roman" w:eastAsia="Times New Roman" w:hAnsi="Times New Roman"/>
                <w:color w:val="000000"/>
                <w:sz w:val="24"/>
                <w:szCs w:val="24"/>
              </w:rPr>
              <w:t xml:space="preserve">0 procentų </w:t>
            </w:r>
            <w:proofErr w:type="gramStart"/>
            <w:r w:rsidRPr="002C08FA">
              <w:rPr>
                <w:rFonts w:ascii="Times New Roman" w:eastAsia="Times New Roman" w:hAnsi="Times New Roman"/>
                <w:color w:val="000000"/>
                <w:sz w:val="24"/>
                <w:szCs w:val="24"/>
              </w:rPr>
              <w:t>(</w:t>
            </w:r>
            <w:proofErr w:type="gramEnd"/>
            <w:r w:rsidRPr="002C08FA">
              <w:rPr>
                <w:rFonts w:ascii="Times New Roman" w:eastAsia="Times New Roman" w:hAnsi="Times New Roman"/>
                <w:color w:val="000000"/>
                <w:sz w:val="24"/>
                <w:szCs w:val="24"/>
              </w:rPr>
              <w:t xml:space="preserve">2014 m. buvo 13,7 proc.). </w:t>
            </w:r>
          </w:p>
          <w:p w:rsidR="005875CB" w:rsidRPr="002C08FA" w:rsidRDefault="005875CB" w:rsidP="005875CB">
            <w:pPr>
              <w:widowControl w:val="0"/>
              <w:shd w:val="clear" w:color="auto" w:fill="FFFFFF"/>
              <w:spacing w:after="0" w:line="240" w:lineRule="auto"/>
              <w:ind w:firstLine="601"/>
              <w:jc w:val="both"/>
              <w:textAlignment w:val="baseline"/>
              <w:rPr>
                <w:rFonts w:ascii="Times New Roman" w:eastAsia="Times New Roman" w:hAnsi="Times New Roman"/>
                <w:color w:val="000000"/>
                <w:sz w:val="24"/>
                <w:szCs w:val="24"/>
              </w:rPr>
            </w:pPr>
            <w:r w:rsidRPr="002C08FA">
              <w:rPr>
                <w:rFonts w:ascii="Times New Roman" w:eastAsia="Times New Roman" w:hAnsi="Times New Roman"/>
                <w:color w:val="000000"/>
                <w:sz w:val="24"/>
                <w:szCs w:val="24"/>
              </w:rPr>
              <w:t>Lietuvoje centralizuotai apšildoma apie 65 proc. viso miestuose esamo gyvenamojo ploto. Šiuo metu Lietuvos centralizuoto šilumos tiekimo sektoriuje brangesnės gamtinės dujos vis dar sudaro ženklią dalį bendrame kuro balanse (2014 m. apie 47 proc. nuo bendro šilumos kuro balanso). Siekiant mažiausiomis sąnaudomis užtikrinti patikimą ir kokybišką centralizuotos šilumos tiekimą vartotojams, būtina brangias importuojamas dujas pakeisti vietiniu, pigesniu biokuru, kuris šiuo metu Lietuvoje turi didžiausią potencialą</w:t>
            </w:r>
            <w:r w:rsidR="00734C27" w:rsidRPr="002C08FA">
              <w:rPr>
                <w:rFonts w:ascii="Times New Roman" w:eastAsia="Times New Roman" w:hAnsi="Times New Roman"/>
                <w:color w:val="000000"/>
                <w:sz w:val="24"/>
                <w:szCs w:val="24"/>
              </w:rPr>
              <w:t xml:space="preserve">, arba kitomis </w:t>
            </w:r>
            <w:r w:rsidR="00734C27" w:rsidRPr="002C08FA">
              <w:rPr>
                <w:rFonts w:ascii="Times New Roman" w:eastAsia="Times New Roman" w:hAnsi="Times New Roman"/>
                <w:bCs/>
                <w:color w:val="000000"/>
                <w:sz w:val="24"/>
                <w:szCs w:val="24"/>
              </w:rPr>
              <w:t>efektyvesnėmis AIE naudojančiomis technologijomis</w:t>
            </w:r>
            <w:r w:rsidR="00734C27" w:rsidRPr="002C08FA">
              <w:rPr>
                <w:rFonts w:ascii="Times New Roman" w:eastAsia="Times New Roman" w:hAnsi="Times New Roman"/>
                <w:color w:val="000000"/>
                <w:sz w:val="24"/>
                <w:szCs w:val="24"/>
              </w:rPr>
              <w:t>.</w:t>
            </w:r>
            <w:r w:rsidRPr="002C08FA">
              <w:rPr>
                <w:rFonts w:ascii="Times New Roman" w:eastAsia="Times New Roman" w:hAnsi="Times New Roman"/>
                <w:color w:val="000000"/>
                <w:sz w:val="24"/>
                <w:szCs w:val="24"/>
              </w:rPr>
              <w:t xml:space="preserve"> </w:t>
            </w:r>
          </w:p>
          <w:p w:rsidR="00B2756A" w:rsidRPr="002C08FA" w:rsidRDefault="00B2756A" w:rsidP="005875CB">
            <w:pPr>
              <w:widowControl w:val="0"/>
              <w:shd w:val="clear" w:color="auto" w:fill="FFFFFF"/>
              <w:spacing w:after="0" w:line="240" w:lineRule="auto"/>
              <w:ind w:firstLine="601"/>
              <w:jc w:val="both"/>
              <w:textAlignment w:val="baseline"/>
              <w:rPr>
                <w:rFonts w:ascii="Times New Roman" w:eastAsia="Times New Roman" w:hAnsi="Times New Roman"/>
                <w:color w:val="000000"/>
                <w:sz w:val="24"/>
                <w:szCs w:val="24"/>
              </w:rPr>
            </w:pPr>
            <w:r w:rsidRPr="002C08FA">
              <w:rPr>
                <w:rFonts w:ascii="Times New Roman" w:eastAsia="Times New Roman" w:hAnsi="Times New Roman"/>
                <w:color w:val="000000"/>
                <w:sz w:val="24"/>
                <w:szCs w:val="24"/>
              </w:rPr>
              <w:t xml:space="preserve">Lietuvai esant vienai iš didžiausių elektros energijos importuotojų labai svarbi vietinė elektros energijos gamyba ir gamybos pajėgumų didinimas, kuris ženkliai prisidės prie energetikos sektoriaus dekarbonizavimo tikslų. Šiuo metu Lietuvoje yra instaliuota apie 77 MW saulės šviesos elektrinių, iš kurių tik 3 MW yra naudojamos namų ūkių reikmėms. Papildomai </w:t>
            </w:r>
            <w:r w:rsidR="00CA08F4" w:rsidRPr="002C08FA">
              <w:rPr>
                <w:rFonts w:ascii="Times New Roman" w:eastAsia="Times New Roman" w:hAnsi="Times New Roman"/>
                <w:color w:val="000000"/>
                <w:sz w:val="24"/>
                <w:szCs w:val="24"/>
              </w:rPr>
              <w:t>107</w:t>
            </w:r>
            <w:r w:rsidRPr="002C08FA">
              <w:rPr>
                <w:rFonts w:ascii="Times New Roman" w:eastAsia="Times New Roman" w:hAnsi="Times New Roman"/>
                <w:color w:val="000000"/>
                <w:sz w:val="24"/>
                <w:szCs w:val="24"/>
              </w:rPr>
              <w:t xml:space="preserve"> MW padidinus </w:t>
            </w:r>
            <w:r w:rsidR="00F35476" w:rsidRPr="002C08FA">
              <w:rPr>
                <w:rFonts w:ascii="Times New Roman" w:eastAsia="Times New Roman" w:hAnsi="Times New Roman"/>
                <w:color w:val="000000"/>
                <w:sz w:val="24"/>
                <w:szCs w:val="24"/>
              </w:rPr>
              <w:t xml:space="preserve">AIE </w:t>
            </w:r>
            <w:r w:rsidRPr="002C08FA">
              <w:rPr>
                <w:rFonts w:ascii="Times New Roman" w:eastAsia="Times New Roman" w:hAnsi="Times New Roman"/>
                <w:color w:val="000000"/>
                <w:sz w:val="24"/>
                <w:szCs w:val="24"/>
              </w:rPr>
              <w:t>gamybos pajėgumus, kurie būtų orientuoti į namų ūkius, padidėtų elektros energijos sistemos patikimumas, vartotojai energiją gamintų savarankiškai ir efektyviai (sumažėtų elektros energijos gamybos nuostoliai), neteršdami aplinkos, gamindami ir vartodami energiją sąmojingiau atsižvelgdami į savo poreikius.</w:t>
            </w:r>
          </w:p>
          <w:p w:rsidR="00385835" w:rsidRPr="007F34F1" w:rsidRDefault="005875CB" w:rsidP="00B2756A">
            <w:pPr>
              <w:widowControl w:val="0"/>
              <w:tabs>
                <w:tab w:val="left" w:pos="622"/>
              </w:tabs>
              <w:spacing w:after="0" w:line="240" w:lineRule="auto"/>
              <w:ind w:firstLine="601"/>
              <w:jc w:val="both"/>
              <w:rPr>
                <w:rFonts w:ascii="Times New Roman" w:eastAsia="AngsanaUPC" w:hAnsi="Times New Roman"/>
                <w:bCs/>
                <w:sz w:val="24"/>
                <w:szCs w:val="24"/>
                <w:lang w:eastAsia="lt-LT"/>
              </w:rPr>
            </w:pPr>
            <w:r w:rsidRPr="002C08FA">
              <w:rPr>
                <w:rFonts w:ascii="Times New Roman" w:eastAsia="Times New Roman" w:hAnsi="Times New Roman"/>
                <w:color w:val="000000"/>
                <w:sz w:val="24"/>
                <w:szCs w:val="24"/>
              </w:rPr>
              <w:t xml:space="preserve">Lietuva siekia padidinti šalies energetinį saugumą, sumažinti energetinį skurdą šalyje, padėti tolygiai vystytis šalies regionams bei pagerinti importo–eksporto balansą, optimaliai naudojant </w:t>
            </w:r>
            <w:r w:rsidR="00B2756A" w:rsidRPr="002C08FA">
              <w:rPr>
                <w:rFonts w:ascii="Times New Roman" w:eastAsia="Times New Roman" w:hAnsi="Times New Roman"/>
                <w:color w:val="000000"/>
                <w:sz w:val="24"/>
                <w:szCs w:val="24"/>
              </w:rPr>
              <w:t>AIE</w:t>
            </w:r>
            <w:r w:rsidRPr="002C08FA">
              <w:rPr>
                <w:rFonts w:ascii="Times New Roman" w:eastAsia="Times New Roman" w:hAnsi="Times New Roman"/>
                <w:color w:val="000000"/>
                <w:sz w:val="24"/>
                <w:szCs w:val="24"/>
              </w:rPr>
              <w:t>, intensyviau išnaudojant kogeneracijos (bendro proceso metu gaminančių ir šilumą, ir elektrą) jėgainių, atitinkančių Europos Parlamento ir Tarybos direktyvą 2012/27/ES dėl energijos vartojimo efektyvumo, teikiamus pranašumus.</w:t>
            </w:r>
          </w:p>
        </w:tc>
      </w:tr>
    </w:tbl>
    <w:p w:rsid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p>
    <w:p w:rsidR="00812737" w:rsidRPr="00385835" w:rsidRDefault="00812737"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567"/>
        <w:gridCol w:w="1985"/>
        <w:gridCol w:w="1134"/>
        <w:gridCol w:w="1134"/>
        <w:gridCol w:w="850"/>
        <w:gridCol w:w="993"/>
        <w:gridCol w:w="850"/>
        <w:gridCol w:w="992"/>
        <w:gridCol w:w="1241"/>
      </w:tblGrid>
      <w:tr w:rsidR="00385835" w:rsidRPr="00385835" w:rsidTr="00385835">
        <w:tc>
          <w:tcPr>
            <w:tcW w:w="9746" w:type="dxa"/>
            <w:gridSpan w:val="9"/>
            <w:shd w:val="clear" w:color="auto" w:fill="EEECE1"/>
          </w:tcPr>
          <w:p w:rsidR="00385835" w:rsidRPr="00385835" w:rsidRDefault="006E43E5" w:rsidP="00385835">
            <w:pPr>
              <w:widowControl w:val="0"/>
              <w:tabs>
                <w:tab w:val="left" w:pos="622"/>
              </w:tabs>
              <w:spacing w:after="0" w:line="240" w:lineRule="auto"/>
              <w:jc w:val="both"/>
              <w:rPr>
                <w:rFonts w:ascii="Times New Roman" w:eastAsia="AngsanaUPC" w:hAnsi="Times New Roman"/>
                <w:b/>
                <w:bCs/>
                <w:i/>
                <w:iCs/>
                <w:sz w:val="24"/>
                <w:szCs w:val="24"/>
                <w:lang w:eastAsia="lt-LT"/>
              </w:rPr>
            </w:pPr>
            <w:r>
              <w:rPr>
                <w:rFonts w:ascii="Times New Roman" w:eastAsia="AngsanaUPC" w:hAnsi="Times New Roman"/>
                <w:b/>
                <w:bCs/>
                <w:i/>
                <w:iCs/>
                <w:sz w:val="24"/>
                <w:szCs w:val="24"/>
                <w:lang w:eastAsia="lt-LT"/>
              </w:rPr>
              <w:lastRenderedPageBreak/>
              <w:t>SaF</w:t>
            </w:r>
            <w:r w:rsidRPr="00385835">
              <w:rPr>
                <w:rFonts w:ascii="Times New Roman" w:eastAsia="AngsanaUPC" w:hAnsi="Times New Roman"/>
                <w:b/>
                <w:bCs/>
                <w:i/>
                <w:iCs/>
                <w:sz w:val="24"/>
                <w:szCs w:val="24"/>
                <w:lang w:eastAsia="lt-LT"/>
              </w:rPr>
              <w:t xml:space="preserve"> </w:t>
            </w:r>
            <w:r w:rsidR="00DA04FC">
              <w:rPr>
                <w:rFonts w:ascii="Times New Roman" w:eastAsia="AngsanaUPC" w:hAnsi="Times New Roman"/>
                <w:b/>
                <w:bCs/>
                <w:i/>
                <w:iCs/>
                <w:sz w:val="24"/>
                <w:szCs w:val="24"/>
                <w:lang w:eastAsia="lt-LT"/>
              </w:rPr>
              <w:t>specialieji</w:t>
            </w:r>
            <w:r w:rsidR="00DA04FC" w:rsidRPr="00385835">
              <w:rPr>
                <w:rFonts w:ascii="Times New Roman" w:eastAsia="AngsanaUPC" w:hAnsi="Times New Roman"/>
                <w:b/>
                <w:bCs/>
                <w:i/>
                <w:iCs/>
                <w:sz w:val="24"/>
                <w:szCs w:val="24"/>
                <w:lang w:eastAsia="lt-LT"/>
              </w:rPr>
              <w:t xml:space="preserve"> </w:t>
            </w:r>
            <w:r w:rsidR="00385835" w:rsidRPr="00385835">
              <w:rPr>
                <w:rFonts w:ascii="Times New Roman" w:eastAsia="AngsanaUPC" w:hAnsi="Times New Roman"/>
                <w:b/>
                <w:bCs/>
                <w:i/>
                <w:iCs/>
                <w:sz w:val="24"/>
                <w:szCs w:val="24"/>
                <w:lang w:eastAsia="lt-LT"/>
              </w:rPr>
              <w:t>programos rezultato rodikliai</w:t>
            </w:r>
          </w:p>
        </w:tc>
      </w:tr>
      <w:tr w:rsidR="00385835" w:rsidRPr="00385835" w:rsidTr="00385835">
        <w:tblPrEx>
          <w:shd w:val="clear" w:color="auto" w:fill="auto"/>
        </w:tblPrEx>
        <w:trPr>
          <w:cantSplit/>
          <w:trHeight w:val="721"/>
        </w:trPr>
        <w:tc>
          <w:tcPr>
            <w:tcW w:w="567"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Nr.</w:t>
            </w:r>
          </w:p>
        </w:tc>
        <w:tc>
          <w:tcPr>
            <w:tcW w:w="1985"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Rodiklio pavadinimas</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Matavimo vienetas</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Regiono kategorija</w:t>
            </w:r>
          </w:p>
        </w:tc>
        <w:tc>
          <w:tcPr>
            <w:tcW w:w="850"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 reikšmė</w:t>
            </w:r>
          </w:p>
        </w:tc>
        <w:tc>
          <w:tcPr>
            <w:tcW w:w="993"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Pradinės reikšmės metai</w:t>
            </w:r>
          </w:p>
        </w:tc>
        <w:tc>
          <w:tcPr>
            <w:tcW w:w="850"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Siektina reikšmė (2023)</w:t>
            </w:r>
          </w:p>
        </w:tc>
        <w:tc>
          <w:tcPr>
            <w:tcW w:w="992"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Duomenų šaltinis</w:t>
            </w:r>
          </w:p>
        </w:tc>
        <w:tc>
          <w:tcPr>
            <w:tcW w:w="124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Atsiskaitymo dažnumas</w:t>
            </w:r>
          </w:p>
        </w:tc>
      </w:tr>
      <w:tr w:rsidR="00385835" w:rsidRPr="00385835" w:rsidTr="00385835">
        <w:tblPrEx>
          <w:shd w:val="clear" w:color="auto" w:fill="auto"/>
        </w:tblPrEx>
        <w:tc>
          <w:tcPr>
            <w:tcW w:w="56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w:t>
            </w:r>
          </w:p>
        </w:tc>
        <w:tc>
          <w:tcPr>
            <w:tcW w:w="1985" w:type="dxa"/>
            <w:shd w:val="clear" w:color="auto" w:fill="auto"/>
            <w:vAlign w:val="center"/>
          </w:tcPr>
          <w:p w:rsidR="00385835" w:rsidRPr="00385835" w:rsidRDefault="00385835" w:rsidP="00385835">
            <w:pPr>
              <w:widowControl w:val="0"/>
              <w:tabs>
                <w:tab w:val="left" w:pos="622"/>
              </w:tabs>
              <w:spacing w:after="0" w:line="240" w:lineRule="auto"/>
              <w:rPr>
                <w:rFonts w:ascii="Times New Roman" w:eastAsia="AngsanaUPC" w:hAnsi="Times New Roman"/>
                <w:bCs/>
                <w:sz w:val="18"/>
                <w:szCs w:val="18"/>
                <w:lang w:eastAsia="lt-LT"/>
              </w:rPr>
            </w:pPr>
            <w:r w:rsidRPr="00385835">
              <w:rPr>
                <w:rFonts w:ascii="Times New Roman" w:hAnsi="Times New Roman"/>
                <w:sz w:val="18"/>
                <w:szCs w:val="18"/>
              </w:rPr>
              <w:t>Atsinaujinančių išteklių energijos dalis galutiniame energijos balanse</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18"/>
                <w:szCs w:val="18"/>
                <w:lang w:eastAsia="lt-LT"/>
              </w:rPr>
            </w:pPr>
            <w:r w:rsidRPr="00385835">
              <w:rPr>
                <w:rFonts w:ascii="Times New Roman" w:eastAsia="AngsanaUPC" w:hAnsi="Times New Roman"/>
                <w:bCs/>
                <w:sz w:val="18"/>
                <w:szCs w:val="18"/>
                <w:lang w:eastAsia="lt-LT"/>
              </w:rPr>
              <w:t>Proc.</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18"/>
                <w:szCs w:val="18"/>
                <w:lang w:eastAsia="lt-LT"/>
              </w:rPr>
            </w:pPr>
            <w:r w:rsidRPr="00385835">
              <w:rPr>
                <w:rFonts w:ascii="Times New Roman" w:eastAsia="AngsanaUPC" w:hAnsi="Times New Roman"/>
                <w:bCs/>
                <w:sz w:val="18"/>
                <w:szCs w:val="18"/>
                <w:lang w:eastAsia="lt-LT"/>
              </w:rPr>
              <w:t>Mažiau išsivystęs</w:t>
            </w:r>
          </w:p>
        </w:tc>
        <w:tc>
          <w:tcPr>
            <w:tcW w:w="850"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21,72</w:t>
            </w:r>
          </w:p>
        </w:tc>
        <w:tc>
          <w:tcPr>
            <w:tcW w:w="993"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2012</w:t>
            </w:r>
          </w:p>
        </w:tc>
        <w:tc>
          <w:tcPr>
            <w:tcW w:w="850" w:type="dxa"/>
            <w:shd w:val="clear" w:color="auto" w:fill="auto"/>
            <w:vAlign w:val="center"/>
          </w:tcPr>
          <w:p w:rsidR="00385835" w:rsidRPr="00385835" w:rsidRDefault="00385835" w:rsidP="00B2756A">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w:t>
            </w:r>
            <w:r w:rsidR="00B2756A">
              <w:rPr>
                <w:rFonts w:ascii="Times New Roman" w:eastAsia="AngsanaUPC" w:hAnsi="Times New Roman"/>
                <w:bCs/>
                <w:iCs/>
                <w:sz w:val="18"/>
                <w:szCs w:val="18"/>
                <w:lang w:eastAsia="lt-LT"/>
              </w:rPr>
              <w:t>8</w:t>
            </w:r>
          </w:p>
        </w:tc>
        <w:tc>
          <w:tcPr>
            <w:tcW w:w="992"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Lietuvos statistikos departa-mentas</w:t>
            </w:r>
          </w:p>
        </w:tc>
        <w:tc>
          <w:tcPr>
            <w:tcW w:w="124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385835" w:rsidRPr="00385835" w:rsidTr="00385835">
        <w:tc>
          <w:tcPr>
            <w:tcW w:w="9746" w:type="dxa"/>
            <w:tcBorders>
              <w:top w:val="single" w:sz="4" w:space="0" w:color="auto"/>
              <w:left w:val="single" w:sz="4" w:space="0" w:color="auto"/>
              <w:bottom w:val="single" w:sz="4" w:space="0" w:color="auto"/>
              <w:right w:val="single" w:sz="4" w:space="0" w:color="auto"/>
            </w:tcBorders>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Cs/>
                <w:iCs/>
                <w:sz w:val="24"/>
                <w:szCs w:val="24"/>
                <w:lang w:eastAsia="lt-LT"/>
              </w:rPr>
            </w:pPr>
            <w:r w:rsidRPr="00385835">
              <w:rPr>
                <w:rFonts w:ascii="Times New Roman" w:eastAsia="AngsanaUPC" w:hAnsi="Times New Roman"/>
                <w:b/>
                <w:bCs/>
                <w:i/>
                <w:iCs/>
                <w:sz w:val="24"/>
                <w:szCs w:val="24"/>
                <w:lang w:eastAsia="lt-LT"/>
              </w:rPr>
              <w:t>4.1. Investicinio prioriteto įgyvendinimo veiklos</w:t>
            </w:r>
          </w:p>
        </w:tc>
      </w:tr>
      <w:tr w:rsidR="00385835" w:rsidRPr="00385835" w:rsidTr="00385835">
        <w:tc>
          <w:tcPr>
            <w:tcW w:w="9746" w:type="dxa"/>
            <w:shd w:val="clear" w:color="auto" w:fill="auto"/>
          </w:tcPr>
          <w:p w:rsidR="00EF1F2E" w:rsidRPr="002C08FA" w:rsidRDefault="00385835" w:rsidP="00650E41">
            <w:pPr>
              <w:widowControl w:val="0"/>
              <w:numPr>
                <w:ilvl w:val="0"/>
                <w:numId w:val="77"/>
              </w:numPr>
              <w:tabs>
                <w:tab w:val="left" w:pos="459"/>
                <w:tab w:val="left" w:pos="1665"/>
              </w:tabs>
              <w:spacing w:after="0" w:line="240" w:lineRule="auto"/>
              <w:ind w:left="34" w:firstLine="0"/>
              <w:jc w:val="both"/>
              <w:rPr>
                <w:rFonts w:ascii="Times New Roman" w:eastAsia="AngsanaUPC" w:hAnsi="Times New Roman"/>
                <w:bCs/>
                <w:iCs/>
                <w:sz w:val="24"/>
                <w:szCs w:val="24"/>
                <w:lang w:eastAsia="lt-LT"/>
              </w:rPr>
            </w:pPr>
            <w:r w:rsidRPr="002C08FA">
              <w:rPr>
                <w:rFonts w:ascii="Times New Roman" w:eastAsia="AngsanaUPC" w:hAnsi="Times New Roman"/>
                <w:bCs/>
                <w:iCs/>
                <w:sz w:val="24"/>
                <w:szCs w:val="24"/>
                <w:lang w:eastAsia="lt-LT"/>
              </w:rPr>
              <w:t>AIE panaudojimas šilumo</w:t>
            </w:r>
            <w:r w:rsidR="00EF1F2E" w:rsidRPr="002C08FA">
              <w:rPr>
                <w:rFonts w:ascii="Times New Roman" w:eastAsia="AngsanaUPC" w:hAnsi="Times New Roman"/>
                <w:bCs/>
                <w:iCs/>
                <w:sz w:val="24"/>
                <w:szCs w:val="24"/>
                <w:lang w:eastAsia="lt-LT"/>
              </w:rPr>
              <w:t>s ir elektros energijos gamybai:</w:t>
            </w:r>
          </w:p>
          <w:p w:rsidR="00385835" w:rsidRPr="002C08FA" w:rsidRDefault="00385835" w:rsidP="00650E41">
            <w:pPr>
              <w:widowControl w:val="0"/>
              <w:numPr>
                <w:ilvl w:val="0"/>
                <w:numId w:val="19"/>
              </w:numPr>
              <w:tabs>
                <w:tab w:val="left" w:pos="459"/>
                <w:tab w:val="left" w:pos="885"/>
              </w:tabs>
              <w:spacing w:after="0" w:line="240" w:lineRule="auto"/>
              <w:ind w:left="0" w:firstLine="601"/>
              <w:jc w:val="both"/>
              <w:rPr>
                <w:rFonts w:ascii="Times New Roman" w:eastAsia="AngsanaUPC" w:hAnsi="Times New Roman"/>
                <w:bCs/>
                <w:iCs/>
                <w:sz w:val="24"/>
                <w:szCs w:val="24"/>
                <w:lang w:eastAsia="lt-LT"/>
              </w:rPr>
            </w:pPr>
            <w:r w:rsidRPr="002C08FA">
              <w:rPr>
                <w:rFonts w:ascii="Times New Roman" w:eastAsia="AngsanaUPC" w:hAnsi="Times New Roman"/>
                <w:bCs/>
                <w:iCs/>
                <w:sz w:val="24"/>
                <w:szCs w:val="24"/>
                <w:lang w:eastAsia="lt-LT"/>
              </w:rPr>
              <w:t xml:space="preserve">Planuojama remti AIE (daugiausiai vietinio biokuro, ypač atliekinės medienos) plėtrą kogeneracinėse elektrinėse, ypač didžiųjų miestų, kuriuose pagaminama ir suvartojama daugiau nei pusė centralizuotai tiekiamos šilumos šalyje, o pagrindinis kuras – gamtinės dujos, ir elektros sektoriuose. </w:t>
            </w:r>
          </w:p>
          <w:p w:rsidR="00385835" w:rsidRPr="002C08FA" w:rsidRDefault="00385835" w:rsidP="00650E41">
            <w:pPr>
              <w:widowControl w:val="0"/>
              <w:numPr>
                <w:ilvl w:val="0"/>
                <w:numId w:val="19"/>
              </w:numPr>
              <w:tabs>
                <w:tab w:val="left" w:pos="459"/>
                <w:tab w:val="left" w:pos="885"/>
              </w:tabs>
              <w:spacing w:after="0" w:line="240" w:lineRule="auto"/>
              <w:ind w:left="0" w:firstLine="601"/>
              <w:jc w:val="both"/>
              <w:rPr>
                <w:rFonts w:ascii="Times New Roman" w:eastAsia="AngsanaUPC" w:hAnsi="Times New Roman"/>
                <w:bCs/>
                <w:iCs/>
                <w:sz w:val="24"/>
                <w:szCs w:val="24"/>
                <w:lang w:eastAsia="lt-LT"/>
              </w:rPr>
            </w:pPr>
            <w:r w:rsidRPr="002C08FA">
              <w:rPr>
                <w:rFonts w:ascii="Times New Roman" w:eastAsia="AngsanaUPC" w:hAnsi="Times New Roman"/>
                <w:bCs/>
                <w:iCs/>
                <w:sz w:val="24"/>
                <w:szCs w:val="24"/>
                <w:lang w:eastAsia="lt-LT"/>
              </w:rPr>
              <w:t>AIE panaudojimas šilumos gamybai, keičiant senus, iškastinį kurą naudojančius</w:t>
            </w:r>
            <w:r w:rsidR="00F35476" w:rsidRPr="002C08FA">
              <w:rPr>
                <w:rFonts w:ascii="Times New Roman" w:eastAsia="AngsanaUPC" w:hAnsi="Times New Roman"/>
                <w:bCs/>
                <w:iCs/>
                <w:sz w:val="24"/>
                <w:szCs w:val="24"/>
                <w:lang w:eastAsia="lt-LT"/>
              </w:rPr>
              <w:t>, susidėvėjusius katilus į naujas ir efektyvia</w:t>
            </w:r>
            <w:r w:rsidRPr="002C08FA">
              <w:rPr>
                <w:rFonts w:ascii="Times New Roman" w:eastAsia="AngsanaUPC" w:hAnsi="Times New Roman"/>
                <w:bCs/>
                <w:iCs/>
                <w:sz w:val="24"/>
                <w:szCs w:val="24"/>
                <w:lang w:eastAsia="lt-LT"/>
              </w:rPr>
              <w:t xml:space="preserve">s </w:t>
            </w:r>
            <w:r w:rsidR="00F35476" w:rsidRPr="002C08FA">
              <w:rPr>
                <w:rFonts w:ascii="Times New Roman" w:eastAsia="AngsanaUPC" w:hAnsi="Times New Roman"/>
                <w:bCs/>
                <w:iCs/>
                <w:sz w:val="24"/>
                <w:szCs w:val="24"/>
                <w:lang w:eastAsia="lt-LT"/>
              </w:rPr>
              <w:t>AIE naudojančias technologijas CŠT sektoriuje</w:t>
            </w:r>
            <w:r w:rsidRPr="002C08FA">
              <w:rPr>
                <w:rFonts w:ascii="Times New Roman" w:eastAsia="AngsanaUPC" w:hAnsi="Times New Roman"/>
                <w:bCs/>
                <w:iCs/>
                <w:sz w:val="24"/>
                <w:szCs w:val="24"/>
                <w:lang w:eastAsia="lt-LT"/>
              </w:rPr>
              <w:t>.</w:t>
            </w:r>
          </w:p>
          <w:p w:rsidR="00EF1F2E" w:rsidRPr="002C08FA" w:rsidRDefault="00EF1F2E" w:rsidP="00650E41">
            <w:pPr>
              <w:widowControl w:val="0"/>
              <w:numPr>
                <w:ilvl w:val="0"/>
                <w:numId w:val="19"/>
              </w:numPr>
              <w:tabs>
                <w:tab w:val="left" w:pos="459"/>
                <w:tab w:val="left" w:pos="885"/>
              </w:tabs>
              <w:spacing w:after="0" w:line="240" w:lineRule="auto"/>
              <w:ind w:left="0" w:firstLine="601"/>
              <w:jc w:val="both"/>
              <w:rPr>
                <w:rFonts w:ascii="Times New Roman" w:eastAsia="AngsanaUPC" w:hAnsi="Times New Roman"/>
                <w:bCs/>
                <w:iCs/>
                <w:sz w:val="24"/>
                <w:szCs w:val="24"/>
                <w:lang w:eastAsia="lt-LT"/>
              </w:rPr>
            </w:pPr>
            <w:r w:rsidRPr="002C08FA">
              <w:rPr>
                <w:rFonts w:ascii="Times New Roman" w:eastAsia="AngsanaUPC" w:hAnsi="Times New Roman"/>
                <w:bCs/>
                <w:iCs/>
                <w:sz w:val="24"/>
                <w:szCs w:val="24"/>
                <w:lang w:eastAsia="lt-LT"/>
              </w:rPr>
              <w:t>Senų susidėvėjusi</w:t>
            </w:r>
            <w:r w:rsidR="00F35476" w:rsidRPr="002C08FA">
              <w:rPr>
                <w:rFonts w:ascii="Times New Roman" w:eastAsia="AngsanaUPC" w:hAnsi="Times New Roman"/>
                <w:bCs/>
                <w:iCs/>
                <w:sz w:val="24"/>
                <w:szCs w:val="24"/>
                <w:lang w:eastAsia="lt-LT"/>
              </w:rPr>
              <w:t>ų</w:t>
            </w:r>
            <w:r w:rsidRPr="002C08FA">
              <w:rPr>
                <w:rFonts w:ascii="Times New Roman" w:eastAsia="AngsanaUPC" w:hAnsi="Times New Roman"/>
                <w:bCs/>
                <w:iCs/>
                <w:sz w:val="24"/>
                <w:szCs w:val="24"/>
                <w:lang w:eastAsia="lt-LT"/>
              </w:rPr>
              <w:t xml:space="preserve"> biokuro katilų keitimas į nauj</w:t>
            </w:r>
            <w:r w:rsidR="00F35476" w:rsidRPr="002C08FA">
              <w:rPr>
                <w:rFonts w:ascii="Times New Roman" w:eastAsia="AngsanaUPC" w:hAnsi="Times New Roman"/>
                <w:bCs/>
                <w:iCs/>
                <w:sz w:val="24"/>
                <w:szCs w:val="24"/>
                <w:lang w:eastAsia="lt-LT"/>
              </w:rPr>
              <w:t>a</w:t>
            </w:r>
            <w:r w:rsidRPr="002C08FA">
              <w:rPr>
                <w:rFonts w:ascii="Times New Roman" w:eastAsia="AngsanaUPC" w:hAnsi="Times New Roman"/>
                <w:bCs/>
                <w:iCs/>
                <w:sz w:val="24"/>
                <w:szCs w:val="24"/>
                <w:lang w:eastAsia="lt-LT"/>
              </w:rPr>
              <w:t>s ir efektyvi</w:t>
            </w:r>
            <w:r w:rsidR="00F35476" w:rsidRPr="002C08FA">
              <w:rPr>
                <w:rFonts w:ascii="Times New Roman" w:eastAsia="AngsanaUPC" w:hAnsi="Times New Roman"/>
                <w:bCs/>
                <w:iCs/>
                <w:sz w:val="24"/>
                <w:szCs w:val="24"/>
                <w:lang w:eastAsia="lt-LT"/>
              </w:rPr>
              <w:t>a</w:t>
            </w:r>
            <w:r w:rsidRPr="002C08FA">
              <w:rPr>
                <w:rFonts w:ascii="Times New Roman" w:eastAsia="AngsanaUPC" w:hAnsi="Times New Roman"/>
                <w:bCs/>
                <w:iCs/>
                <w:sz w:val="24"/>
                <w:szCs w:val="24"/>
                <w:lang w:eastAsia="lt-LT"/>
              </w:rPr>
              <w:t xml:space="preserve">s </w:t>
            </w:r>
            <w:r w:rsidR="00F35476" w:rsidRPr="002C08FA">
              <w:rPr>
                <w:rFonts w:ascii="Times New Roman" w:eastAsia="AngsanaUPC" w:hAnsi="Times New Roman"/>
                <w:bCs/>
                <w:iCs/>
                <w:sz w:val="24"/>
                <w:szCs w:val="24"/>
                <w:lang w:eastAsia="lt-LT"/>
              </w:rPr>
              <w:t xml:space="preserve">AIE naudojančias technologijas CŠT </w:t>
            </w:r>
            <w:r w:rsidRPr="002C08FA">
              <w:rPr>
                <w:rFonts w:ascii="Times New Roman" w:eastAsia="AngsanaUPC" w:hAnsi="Times New Roman"/>
                <w:bCs/>
                <w:iCs/>
                <w:sz w:val="24"/>
                <w:szCs w:val="24"/>
                <w:lang w:eastAsia="lt-LT"/>
              </w:rPr>
              <w:t>sektoriuje.</w:t>
            </w:r>
          </w:p>
          <w:p w:rsidR="00385835" w:rsidRPr="002C08FA" w:rsidRDefault="00385835" w:rsidP="00F35476">
            <w:pPr>
              <w:widowControl w:val="0"/>
              <w:tabs>
                <w:tab w:val="left" w:pos="459"/>
                <w:tab w:val="left" w:pos="1665"/>
              </w:tabs>
              <w:spacing w:after="0" w:line="240" w:lineRule="auto"/>
              <w:ind w:left="34" w:firstLine="567"/>
              <w:jc w:val="both"/>
              <w:rPr>
                <w:rFonts w:ascii="Times New Roman" w:eastAsia="AngsanaUPC" w:hAnsi="Times New Roman"/>
                <w:bCs/>
                <w:iCs/>
                <w:sz w:val="24"/>
                <w:szCs w:val="24"/>
                <w:lang w:eastAsia="lt-LT"/>
              </w:rPr>
            </w:pPr>
            <w:r w:rsidRPr="002C08FA">
              <w:rPr>
                <w:rFonts w:ascii="Times New Roman" w:eastAsia="AngsanaUPC" w:hAnsi="Times New Roman"/>
                <w:bCs/>
                <w:iCs/>
                <w:sz w:val="24"/>
                <w:szCs w:val="24"/>
                <w:lang w:eastAsia="lt-LT"/>
              </w:rPr>
              <w:t>Investicijų į elektrinių atnaujinimą tinkamumas bus įvertintas</w:t>
            </w:r>
            <w:r w:rsidR="00E30F88" w:rsidRPr="002C08FA">
              <w:rPr>
                <w:rFonts w:ascii="Times New Roman" w:eastAsia="AngsanaUPC" w:hAnsi="Times New Roman"/>
                <w:bCs/>
                <w:iCs/>
                <w:sz w:val="24"/>
                <w:szCs w:val="24"/>
                <w:lang w:eastAsia="lt-LT"/>
              </w:rPr>
              <w:t>,</w:t>
            </w:r>
            <w:r w:rsidRPr="002C08FA">
              <w:rPr>
                <w:rFonts w:ascii="Times New Roman" w:eastAsia="AngsanaUPC" w:hAnsi="Times New Roman"/>
                <w:bCs/>
                <w:iCs/>
                <w:sz w:val="24"/>
                <w:szCs w:val="24"/>
                <w:lang w:eastAsia="lt-LT"/>
              </w:rPr>
              <w:t xml:space="preserve"> atsižvelgiant į direktyvos dėl prekybos išmetamųjų teršalų leidimais sistemos (ETS) ir </w:t>
            </w:r>
            <w:r w:rsidR="006E43E5" w:rsidRPr="002C08FA">
              <w:rPr>
                <w:rFonts w:ascii="Times New Roman" w:eastAsia="AngsanaUPC" w:hAnsi="Times New Roman"/>
                <w:bCs/>
                <w:iCs/>
                <w:sz w:val="24"/>
                <w:szCs w:val="24"/>
                <w:lang w:eastAsia="lt-LT"/>
              </w:rPr>
              <w:t>SaF r</w:t>
            </w:r>
            <w:r w:rsidRPr="002C08FA">
              <w:rPr>
                <w:rFonts w:ascii="Times New Roman" w:eastAsia="AngsanaUPC" w:hAnsi="Times New Roman"/>
                <w:bCs/>
                <w:iCs/>
                <w:sz w:val="24"/>
                <w:szCs w:val="24"/>
                <w:lang w:eastAsia="lt-LT"/>
              </w:rPr>
              <w:t xml:space="preserve">eglamento </w:t>
            </w:r>
            <w:r w:rsidR="006E43E5" w:rsidRPr="002C08FA">
              <w:rPr>
                <w:rFonts w:ascii="Times New Roman" w:eastAsia="AngsanaUPC" w:hAnsi="Times New Roman"/>
                <w:bCs/>
                <w:iCs/>
                <w:sz w:val="24"/>
                <w:szCs w:val="24"/>
                <w:lang w:eastAsia="lt-LT"/>
              </w:rPr>
              <w:t>2</w:t>
            </w:r>
            <w:r w:rsidRPr="002C08FA">
              <w:rPr>
                <w:rFonts w:ascii="Times New Roman" w:eastAsia="AngsanaUPC" w:hAnsi="Times New Roman"/>
                <w:bCs/>
                <w:iCs/>
                <w:sz w:val="24"/>
                <w:szCs w:val="24"/>
                <w:lang w:eastAsia="lt-LT"/>
              </w:rPr>
              <w:t xml:space="preserve"> straipsnio (</w:t>
            </w:r>
            <w:r w:rsidR="006E43E5" w:rsidRPr="002C08FA">
              <w:rPr>
                <w:rFonts w:ascii="Times New Roman" w:eastAsia="AngsanaUPC" w:hAnsi="Times New Roman"/>
                <w:bCs/>
                <w:iCs/>
                <w:sz w:val="24"/>
                <w:szCs w:val="24"/>
                <w:lang w:eastAsia="lt-LT"/>
              </w:rPr>
              <w:t>2</w:t>
            </w:r>
            <w:r w:rsidRPr="002C08FA">
              <w:rPr>
                <w:rFonts w:ascii="Times New Roman" w:eastAsia="AngsanaUPC" w:hAnsi="Times New Roman"/>
                <w:bCs/>
                <w:iCs/>
                <w:sz w:val="24"/>
                <w:szCs w:val="24"/>
                <w:lang w:eastAsia="lt-LT"/>
              </w:rPr>
              <w:t>)(b) dalies nuostatas.</w:t>
            </w:r>
            <w:r w:rsidR="006E43E5" w:rsidRPr="002C08FA">
              <w:rPr>
                <w:rFonts w:ascii="Times New Roman" w:eastAsia="AngsanaUPC" w:hAnsi="Times New Roman"/>
                <w:bCs/>
                <w:iCs/>
                <w:sz w:val="24"/>
                <w:szCs w:val="24"/>
                <w:lang w:eastAsia="lt-LT"/>
              </w:rPr>
              <w:t xml:space="preserve"> </w:t>
            </w:r>
          </w:p>
          <w:p w:rsidR="00B2756A" w:rsidRPr="00B2756A" w:rsidRDefault="00B2756A" w:rsidP="00650E41">
            <w:pPr>
              <w:widowControl w:val="0"/>
              <w:numPr>
                <w:ilvl w:val="0"/>
                <w:numId w:val="64"/>
              </w:numPr>
              <w:tabs>
                <w:tab w:val="left" w:pos="459"/>
                <w:tab w:val="left" w:pos="568"/>
              </w:tabs>
              <w:spacing w:after="0" w:line="240" w:lineRule="auto"/>
              <w:ind w:left="34" w:firstLine="0"/>
              <w:jc w:val="both"/>
              <w:rPr>
                <w:rFonts w:ascii="Times New Roman" w:eastAsia="AngsanaUPC" w:hAnsi="Times New Roman"/>
                <w:bCs/>
                <w:iCs/>
                <w:sz w:val="24"/>
                <w:szCs w:val="24"/>
                <w:lang w:eastAsia="lt-LT"/>
              </w:rPr>
            </w:pPr>
            <w:r w:rsidRPr="002C08FA">
              <w:rPr>
                <w:rFonts w:ascii="Times New Roman" w:eastAsia="AngsanaUPC" w:hAnsi="Times New Roman"/>
                <w:bCs/>
                <w:iCs/>
                <w:sz w:val="24"/>
                <w:szCs w:val="24"/>
                <w:lang w:eastAsia="lt-LT"/>
              </w:rPr>
              <w:t>Paskirstytosios elektros energijos ge</w:t>
            </w:r>
            <w:r w:rsidR="00CA08F4" w:rsidRPr="002C08FA">
              <w:rPr>
                <w:rFonts w:ascii="Times New Roman" w:eastAsia="AngsanaUPC" w:hAnsi="Times New Roman"/>
                <w:bCs/>
                <w:iCs/>
                <w:sz w:val="24"/>
                <w:szCs w:val="24"/>
                <w:lang w:eastAsia="lt-LT"/>
              </w:rPr>
              <w:t>neracijos plėtra namų ūkių reikmėms</w:t>
            </w:r>
            <w:r w:rsidRPr="002C08FA">
              <w:rPr>
                <w:rFonts w:ascii="Times New Roman" w:eastAsia="AngsanaUPC" w:hAnsi="Times New Roman"/>
                <w:bCs/>
                <w:i/>
                <w:iCs/>
                <w:sz w:val="24"/>
                <w:szCs w:val="24"/>
                <w:lang w:eastAsia="lt-LT"/>
              </w:rPr>
              <w:t>.</w:t>
            </w:r>
            <w:r w:rsidRPr="002C08FA">
              <w:rPr>
                <w:rFonts w:ascii="Times New Roman" w:eastAsia="AngsanaUPC" w:hAnsi="Times New Roman"/>
                <w:bCs/>
                <w:iCs/>
                <w:sz w:val="24"/>
                <w:szCs w:val="24"/>
                <w:lang w:eastAsia="lt-LT"/>
              </w:rPr>
              <w:t xml:space="preserve"> Remiamos AIE naudojančios technologijos, skirtos pasigaminti elektros energiją namų ūkių reikmėms.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i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746"/>
      </w:tblGrid>
      <w:tr w:rsidR="00385835" w:rsidRPr="00385835" w:rsidTr="00385835">
        <w:tc>
          <w:tcPr>
            <w:tcW w:w="9746"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i/>
                <w:iCs/>
                <w:sz w:val="24"/>
                <w:szCs w:val="24"/>
                <w:lang w:eastAsia="lt-LT"/>
              </w:rPr>
              <w:t>Didelės apimties projektai</w:t>
            </w:r>
          </w:p>
        </w:tc>
      </w:tr>
      <w:tr w:rsidR="00385835" w:rsidRPr="00385835" w:rsidTr="00385835">
        <w:tc>
          <w:tcPr>
            <w:tcW w:w="9746" w:type="dxa"/>
            <w:shd w:val="clear" w:color="auto" w:fill="auto"/>
          </w:tcPr>
          <w:p w:rsidR="00784CD6" w:rsidRPr="00784CD6" w:rsidRDefault="00784CD6" w:rsidP="00784CD6">
            <w:pPr>
              <w:widowControl w:val="0"/>
              <w:shd w:val="clear" w:color="auto" w:fill="FFFFFF"/>
              <w:spacing w:after="0" w:line="240" w:lineRule="auto"/>
              <w:ind w:firstLine="601"/>
              <w:jc w:val="both"/>
              <w:textAlignment w:val="baseline"/>
              <w:rPr>
                <w:rFonts w:ascii="Times New Roman" w:eastAsia="Times New Roman" w:hAnsi="Times New Roman"/>
                <w:color w:val="000000"/>
                <w:sz w:val="24"/>
                <w:szCs w:val="24"/>
              </w:rPr>
            </w:pPr>
            <w:r w:rsidRPr="00784CD6">
              <w:rPr>
                <w:rFonts w:ascii="Times New Roman" w:eastAsia="Times New Roman" w:hAnsi="Times New Roman"/>
                <w:color w:val="000000"/>
                <w:sz w:val="24"/>
                <w:szCs w:val="24"/>
              </w:rPr>
              <w:t>Didelio naudingumo kogeneracijos pajėgumų, naudojančių atsinaujinančius energijos išteklius, sukūrimas</w:t>
            </w:r>
            <w:r>
              <w:rPr>
                <w:rFonts w:ascii="Times New Roman" w:eastAsia="Times New Roman" w:hAnsi="Times New Roman"/>
                <w:color w:val="000000"/>
                <w:sz w:val="24"/>
                <w:szCs w:val="24"/>
              </w:rPr>
              <w:t xml:space="preserve"> </w:t>
            </w:r>
            <w:r w:rsidRPr="00784CD6">
              <w:rPr>
                <w:rFonts w:ascii="Times New Roman" w:eastAsia="Times New Roman" w:hAnsi="Times New Roman"/>
                <w:color w:val="000000"/>
                <w:sz w:val="24"/>
                <w:szCs w:val="24"/>
              </w:rPr>
              <w:t xml:space="preserve">Vilniaus mieste. </w:t>
            </w:r>
          </w:p>
          <w:p w:rsidR="001E0FD8" w:rsidRPr="00784CD6" w:rsidRDefault="00784CD6" w:rsidP="00784CD6">
            <w:pPr>
              <w:widowControl w:val="0"/>
              <w:tabs>
                <w:tab w:val="left" w:pos="622"/>
              </w:tabs>
              <w:spacing w:after="0" w:line="240" w:lineRule="auto"/>
              <w:ind w:firstLine="624"/>
              <w:jc w:val="both"/>
              <w:rPr>
                <w:rFonts w:ascii="Times New Roman" w:eastAsia="AngsanaUPC" w:hAnsi="Times New Roman"/>
                <w:bCs/>
                <w:strike/>
                <w:sz w:val="24"/>
                <w:szCs w:val="24"/>
                <w:lang w:eastAsia="lt-LT"/>
              </w:rPr>
            </w:pPr>
            <w:r w:rsidRPr="00784CD6">
              <w:rPr>
                <w:rFonts w:ascii="Times New Roman" w:eastAsia="Times New Roman" w:hAnsi="Times New Roman"/>
                <w:color w:val="000000"/>
                <w:sz w:val="24"/>
                <w:szCs w:val="24"/>
              </w:rPr>
              <w:t>Vilniuje suvartojama apie trečdalį visos Lietuvoje centralizuotai tiekiamos šilumos. Didžiąją dalį kuro balanso Vilniaus mieste sudaro brangesnės už vietinį biokurą importuojamos gamtinės dujos. AEI dalis kuro balanse yra nepakankama, o daugiausia naudojančių įrenginių yra skirti gaminti tik šilumą. Todėl užtikrinus naujų didelio naudingumo kogeneracijos įrenginių, naudojančių biokurą, veikimą Vilniaus mieste bus padidintas didžiausios Lietuvoje centralizuoto šilumos tiekimo sistemos efektyvumas. Įgyvendinus šį didelės apimties projektą, kuris atitinka aplinkos apsaugos teisės aktus, būtų ne tik prisidėta prie darnios AIE sektoriaus plėtros, bet ir socialinės atskirties mažinimo bei energetinės nepriklausomybės didinimo.</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564"/>
        <w:gridCol w:w="2838"/>
        <w:gridCol w:w="1134"/>
        <w:gridCol w:w="851"/>
        <w:gridCol w:w="1134"/>
        <w:gridCol w:w="850"/>
        <w:gridCol w:w="1134"/>
        <w:gridCol w:w="1241"/>
      </w:tblGrid>
      <w:tr w:rsidR="00385835" w:rsidRPr="00385835" w:rsidTr="00385835">
        <w:tc>
          <w:tcPr>
            <w:tcW w:w="9746" w:type="dxa"/>
            <w:gridSpan w:val="8"/>
            <w:shd w:val="clear" w:color="auto" w:fill="EEECE1"/>
          </w:tcPr>
          <w:p w:rsidR="00385835" w:rsidRPr="00385835" w:rsidRDefault="00385835" w:rsidP="00D57AC3">
            <w:pPr>
              <w:widowControl w:val="0"/>
              <w:tabs>
                <w:tab w:val="left" w:pos="622"/>
              </w:tabs>
              <w:spacing w:after="0" w:line="240" w:lineRule="auto"/>
              <w:jc w:val="both"/>
              <w:rPr>
                <w:rFonts w:ascii="Times New Roman" w:eastAsia="AngsanaUPC" w:hAnsi="Times New Roman"/>
                <w:b/>
                <w:bCs/>
                <w:i/>
                <w:iCs/>
                <w:sz w:val="24"/>
                <w:szCs w:val="24"/>
                <w:lang w:eastAsia="lt-LT"/>
              </w:rPr>
            </w:pPr>
            <w:r w:rsidRPr="00385835">
              <w:rPr>
                <w:rFonts w:ascii="Times New Roman" w:eastAsia="AngsanaUPC" w:hAnsi="Times New Roman"/>
                <w:b/>
                <w:bCs/>
                <w:i/>
                <w:iCs/>
                <w:sz w:val="24"/>
                <w:szCs w:val="24"/>
                <w:lang w:eastAsia="lt-LT"/>
              </w:rPr>
              <w:t xml:space="preserve">SaF bendrieji ir </w:t>
            </w:r>
            <w:r w:rsidR="00D57AC3">
              <w:rPr>
                <w:rFonts w:ascii="Times New Roman" w:eastAsia="AngsanaUPC" w:hAnsi="Times New Roman"/>
                <w:b/>
                <w:bCs/>
                <w:i/>
                <w:iCs/>
                <w:sz w:val="24"/>
                <w:szCs w:val="24"/>
                <w:lang w:eastAsia="lt-LT"/>
              </w:rPr>
              <w:t>specialieji</w:t>
            </w:r>
            <w:r w:rsidR="00D57AC3" w:rsidRPr="00385835">
              <w:rPr>
                <w:rFonts w:ascii="Times New Roman" w:eastAsia="AngsanaUPC" w:hAnsi="Times New Roman"/>
                <w:b/>
                <w:bCs/>
                <w:i/>
                <w:iCs/>
                <w:sz w:val="24"/>
                <w:szCs w:val="24"/>
                <w:lang w:eastAsia="lt-LT"/>
              </w:rPr>
              <w:t xml:space="preserve"> </w:t>
            </w:r>
            <w:r w:rsidRPr="00385835">
              <w:rPr>
                <w:rFonts w:ascii="Times New Roman" w:eastAsia="AngsanaUPC" w:hAnsi="Times New Roman"/>
                <w:b/>
                <w:bCs/>
                <w:i/>
                <w:iCs/>
                <w:sz w:val="24"/>
                <w:szCs w:val="24"/>
                <w:lang w:eastAsia="lt-LT"/>
              </w:rPr>
              <w:t xml:space="preserve">produkto rodikliai </w:t>
            </w:r>
          </w:p>
        </w:tc>
      </w:tr>
      <w:tr w:rsidR="00385835" w:rsidRPr="00385835" w:rsidTr="00812737">
        <w:tblPrEx>
          <w:shd w:val="clear" w:color="auto" w:fill="auto"/>
        </w:tblPrEx>
        <w:tc>
          <w:tcPr>
            <w:tcW w:w="56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Nr.</w:t>
            </w:r>
          </w:p>
        </w:tc>
        <w:tc>
          <w:tcPr>
            <w:tcW w:w="2838"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Rodiklio pavadinimas</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Matavimo vienetas</w:t>
            </w:r>
          </w:p>
        </w:tc>
        <w:tc>
          <w:tcPr>
            <w:tcW w:w="85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Fondas</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Regiono kategorija</w:t>
            </w:r>
          </w:p>
        </w:tc>
        <w:tc>
          <w:tcPr>
            <w:tcW w:w="850"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Siektina reikšmė (2023)</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Duomenų šaltinis</w:t>
            </w:r>
          </w:p>
        </w:tc>
        <w:tc>
          <w:tcPr>
            <w:tcW w:w="124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Atsiskaitymo dažnumas</w:t>
            </w:r>
          </w:p>
        </w:tc>
      </w:tr>
      <w:tr w:rsidR="001E0FD8" w:rsidRPr="00385835" w:rsidTr="00812737">
        <w:tblPrEx>
          <w:shd w:val="clear" w:color="auto" w:fill="auto"/>
        </w:tblPrEx>
        <w:tc>
          <w:tcPr>
            <w:tcW w:w="564" w:type="dxa"/>
            <w:shd w:val="clear" w:color="auto" w:fill="auto"/>
            <w:vAlign w:val="center"/>
          </w:tcPr>
          <w:p w:rsidR="001E0FD8" w:rsidRPr="00385835" w:rsidRDefault="001E0FD8"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w:t>
            </w:r>
          </w:p>
        </w:tc>
        <w:tc>
          <w:tcPr>
            <w:tcW w:w="2838" w:type="dxa"/>
            <w:shd w:val="clear" w:color="auto" w:fill="auto"/>
            <w:vAlign w:val="center"/>
          </w:tcPr>
          <w:p w:rsidR="001E0FD8" w:rsidRPr="00385835" w:rsidRDefault="001E0FD8" w:rsidP="00385835">
            <w:pPr>
              <w:widowControl w:val="0"/>
              <w:tabs>
                <w:tab w:val="left" w:pos="622"/>
              </w:tabs>
              <w:spacing w:after="0" w:line="240" w:lineRule="auto"/>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 xml:space="preserve">Papildomi atsinaujinančių išteklių energijos gamybos pajėgumai </w:t>
            </w:r>
          </w:p>
        </w:tc>
        <w:tc>
          <w:tcPr>
            <w:tcW w:w="1134" w:type="dxa"/>
            <w:shd w:val="clear" w:color="auto" w:fill="auto"/>
            <w:vAlign w:val="center"/>
          </w:tcPr>
          <w:p w:rsidR="001E0FD8" w:rsidRPr="00385835" w:rsidRDefault="001E0FD8"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MW</w:t>
            </w:r>
          </w:p>
        </w:tc>
        <w:tc>
          <w:tcPr>
            <w:tcW w:w="851" w:type="dxa"/>
            <w:shd w:val="clear" w:color="auto" w:fill="auto"/>
            <w:vAlign w:val="center"/>
          </w:tcPr>
          <w:p w:rsidR="001E0FD8" w:rsidRPr="00385835" w:rsidRDefault="001E0FD8"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SaF</w:t>
            </w:r>
          </w:p>
        </w:tc>
        <w:tc>
          <w:tcPr>
            <w:tcW w:w="1134" w:type="dxa"/>
            <w:shd w:val="clear" w:color="auto" w:fill="auto"/>
            <w:vAlign w:val="center"/>
          </w:tcPr>
          <w:p w:rsidR="001E0FD8" w:rsidRPr="00DA04FC" w:rsidRDefault="00B50164" w:rsidP="00385835">
            <w:pPr>
              <w:widowControl w:val="0"/>
              <w:tabs>
                <w:tab w:val="left" w:pos="622"/>
              </w:tabs>
              <w:spacing w:after="0" w:line="240" w:lineRule="auto"/>
              <w:jc w:val="center"/>
              <w:rPr>
                <w:rFonts w:ascii="Times New Roman" w:eastAsia="AngsanaUPC" w:hAnsi="Times New Roman"/>
                <w:bCs/>
                <w:iCs/>
                <w:sz w:val="18"/>
                <w:szCs w:val="18"/>
                <w:lang w:eastAsia="lt-LT"/>
              </w:rPr>
            </w:pPr>
            <w:r>
              <w:rPr>
                <w:rFonts w:ascii="Times New Roman" w:eastAsia="AngsanaUPC" w:hAnsi="Times New Roman"/>
                <w:bCs/>
                <w:sz w:val="18"/>
                <w:szCs w:val="18"/>
                <w:lang w:eastAsia="lt-LT"/>
              </w:rPr>
              <w:t>–</w:t>
            </w:r>
          </w:p>
        </w:tc>
        <w:tc>
          <w:tcPr>
            <w:tcW w:w="850" w:type="dxa"/>
            <w:shd w:val="clear" w:color="auto" w:fill="auto"/>
            <w:vAlign w:val="center"/>
          </w:tcPr>
          <w:p w:rsidR="001E0FD8" w:rsidRPr="002C08FA" w:rsidRDefault="00CA08F4" w:rsidP="007F34F1">
            <w:pPr>
              <w:widowControl w:val="0"/>
              <w:shd w:val="clear" w:color="auto" w:fill="FFFFFF"/>
              <w:spacing w:after="0"/>
              <w:jc w:val="center"/>
              <w:textAlignment w:val="baseline"/>
              <w:rPr>
                <w:rFonts w:ascii="Times New Roman" w:hAnsi="Times New Roman"/>
                <w:color w:val="000000"/>
                <w:sz w:val="18"/>
                <w:szCs w:val="18"/>
              </w:rPr>
            </w:pPr>
            <w:r w:rsidRPr="002C08FA">
              <w:rPr>
                <w:rFonts w:ascii="Times New Roman" w:hAnsi="Times New Roman"/>
                <w:color w:val="000000"/>
                <w:sz w:val="18"/>
                <w:szCs w:val="18"/>
              </w:rPr>
              <w:t>423</w:t>
            </w:r>
          </w:p>
        </w:tc>
        <w:tc>
          <w:tcPr>
            <w:tcW w:w="1134" w:type="dxa"/>
            <w:shd w:val="clear" w:color="auto" w:fill="auto"/>
            <w:vAlign w:val="center"/>
          </w:tcPr>
          <w:p w:rsidR="001E0FD8" w:rsidRPr="00385835" w:rsidRDefault="001E0FD8"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Duomenys iš projektų</w:t>
            </w:r>
          </w:p>
        </w:tc>
        <w:tc>
          <w:tcPr>
            <w:tcW w:w="1241" w:type="dxa"/>
            <w:shd w:val="clear" w:color="auto" w:fill="auto"/>
            <w:vAlign w:val="center"/>
          </w:tcPr>
          <w:p w:rsidR="001E0FD8" w:rsidRPr="00385835" w:rsidRDefault="001E0FD8"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1E0FD8" w:rsidRPr="00385835" w:rsidTr="00812737">
        <w:tblPrEx>
          <w:shd w:val="clear" w:color="auto" w:fill="auto"/>
        </w:tblPrEx>
        <w:tc>
          <w:tcPr>
            <w:tcW w:w="564" w:type="dxa"/>
            <w:shd w:val="clear" w:color="auto" w:fill="auto"/>
            <w:vAlign w:val="center"/>
          </w:tcPr>
          <w:p w:rsidR="001E0FD8" w:rsidRPr="00385835" w:rsidRDefault="001E0FD8"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w:t>
            </w:r>
          </w:p>
        </w:tc>
        <w:tc>
          <w:tcPr>
            <w:tcW w:w="2838" w:type="dxa"/>
            <w:shd w:val="clear" w:color="auto" w:fill="auto"/>
            <w:vAlign w:val="center"/>
          </w:tcPr>
          <w:p w:rsidR="001E0FD8" w:rsidRPr="00385835" w:rsidRDefault="001E0FD8" w:rsidP="00385835">
            <w:pPr>
              <w:widowControl w:val="0"/>
              <w:tabs>
                <w:tab w:val="left" w:pos="622"/>
              </w:tabs>
              <w:spacing w:after="0" w:line="240" w:lineRule="auto"/>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 xml:space="preserve">Bendras metinis šiltnamio efektą sukeliančių dujų </w:t>
            </w:r>
            <w:r w:rsidR="00CD6455">
              <w:rPr>
                <w:rFonts w:ascii="Times New Roman" w:eastAsia="AngsanaUPC" w:hAnsi="Times New Roman"/>
                <w:bCs/>
                <w:iCs/>
                <w:sz w:val="18"/>
                <w:szCs w:val="18"/>
                <w:lang w:eastAsia="lt-LT"/>
              </w:rPr>
              <w:t xml:space="preserve">kiekio </w:t>
            </w:r>
            <w:r w:rsidRPr="00385835">
              <w:rPr>
                <w:rFonts w:ascii="Times New Roman" w:eastAsia="AngsanaUPC" w:hAnsi="Times New Roman"/>
                <w:bCs/>
                <w:iCs/>
                <w:sz w:val="18"/>
                <w:szCs w:val="18"/>
                <w:lang w:eastAsia="lt-LT"/>
              </w:rPr>
              <w:t>sumažėjimas</w:t>
            </w:r>
          </w:p>
        </w:tc>
        <w:tc>
          <w:tcPr>
            <w:tcW w:w="1134" w:type="dxa"/>
            <w:shd w:val="clear" w:color="auto" w:fill="auto"/>
            <w:vAlign w:val="center"/>
          </w:tcPr>
          <w:p w:rsidR="001E0FD8" w:rsidRPr="00385835" w:rsidRDefault="001E0FD8"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t CO</w:t>
            </w:r>
            <w:r w:rsidRPr="00385835">
              <w:rPr>
                <w:rFonts w:ascii="Times New Roman" w:eastAsia="AngsanaUPC" w:hAnsi="Times New Roman"/>
                <w:bCs/>
                <w:iCs/>
                <w:sz w:val="18"/>
                <w:szCs w:val="18"/>
                <w:vertAlign w:val="subscript"/>
                <w:lang w:eastAsia="lt-LT"/>
              </w:rPr>
              <w:t>2</w:t>
            </w:r>
            <w:r w:rsidRPr="00385835">
              <w:rPr>
                <w:rFonts w:ascii="Times New Roman" w:eastAsia="AngsanaUPC" w:hAnsi="Times New Roman"/>
                <w:bCs/>
                <w:iCs/>
                <w:sz w:val="18"/>
                <w:szCs w:val="18"/>
                <w:lang w:eastAsia="lt-LT"/>
              </w:rPr>
              <w:t xml:space="preserve"> ekvivalentu</w:t>
            </w:r>
          </w:p>
        </w:tc>
        <w:tc>
          <w:tcPr>
            <w:tcW w:w="851" w:type="dxa"/>
            <w:shd w:val="clear" w:color="auto" w:fill="auto"/>
            <w:vAlign w:val="center"/>
          </w:tcPr>
          <w:p w:rsidR="001E0FD8" w:rsidRPr="00385835" w:rsidRDefault="001E0FD8"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SaF</w:t>
            </w:r>
          </w:p>
        </w:tc>
        <w:tc>
          <w:tcPr>
            <w:tcW w:w="1134" w:type="dxa"/>
            <w:shd w:val="clear" w:color="auto" w:fill="auto"/>
            <w:vAlign w:val="center"/>
          </w:tcPr>
          <w:p w:rsidR="001E0FD8" w:rsidRPr="00DA04FC" w:rsidRDefault="001E0FD8"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DA04FC">
              <w:rPr>
                <w:rFonts w:ascii="Times New Roman" w:eastAsia="AngsanaUPC" w:hAnsi="Times New Roman"/>
                <w:bCs/>
                <w:sz w:val="18"/>
                <w:szCs w:val="18"/>
                <w:lang w:eastAsia="lt-LT"/>
              </w:rPr>
              <w:t>–</w:t>
            </w:r>
          </w:p>
        </w:tc>
        <w:tc>
          <w:tcPr>
            <w:tcW w:w="850" w:type="dxa"/>
            <w:shd w:val="clear" w:color="auto" w:fill="auto"/>
            <w:vAlign w:val="center"/>
          </w:tcPr>
          <w:p w:rsidR="001E0FD8" w:rsidRPr="002C08FA" w:rsidRDefault="00784CD6" w:rsidP="00B50164">
            <w:pPr>
              <w:widowControl w:val="0"/>
              <w:shd w:val="clear" w:color="auto" w:fill="FFFFFF"/>
              <w:spacing w:after="0"/>
              <w:jc w:val="center"/>
              <w:textAlignment w:val="baseline"/>
              <w:rPr>
                <w:rFonts w:ascii="Times New Roman" w:hAnsi="Times New Roman"/>
                <w:color w:val="000000"/>
                <w:sz w:val="18"/>
                <w:szCs w:val="18"/>
              </w:rPr>
            </w:pPr>
            <w:r w:rsidRPr="002C08FA">
              <w:rPr>
                <w:rFonts w:ascii="Times New Roman" w:hAnsi="Times New Roman"/>
                <w:color w:val="000000"/>
                <w:sz w:val="18"/>
                <w:szCs w:val="18"/>
              </w:rPr>
              <w:t>4</w:t>
            </w:r>
            <w:r w:rsidR="00CA08F4" w:rsidRPr="002C08FA">
              <w:rPr>
                <w:rFonts w:ascii="Times New Roman" w:hAnsi="Times New Roman"/>
                <w:color w:val="000000"/>
                <w:sz w:val="18"/>
                <w:szCs w:val="18"/>
              </w:rPr>
              <w:t>49</w:t>
            </w:r>
            <w:r w:rsidR="00C76808" w:rsidRPr="002C08FA">
              <w:rPr>
                <w:rFonts w:ascii="Times New Roman" w:hAnsi="Times New Roman"/>
                <w:color w:val="000000"/>
                <w:sz w:val="18"/>
                <w:szCs w:val="18"/>
              </w:rPr>
              <w:t>.</w:t>
            </w:r>
            <w:r w:rsidR="00CA08F4" w:rsidRPr="002C08FA">
              <w:rPr>
                <w:rFonts w:ascii="Times New Roman" w:hAnsi="Times New Roman"/>
                <w:color w:val="000000"/>
                <w:sz w:val="18"/>
                <w:szCs w:val="18"/>
              </w:rPr>
              <w:t>3</w:t>
            </w:r>
            <w:r w:rsidR="00B50164" w:rsidRPr="002C08FA">
              <w:rPr>
                <w:rFonts w:ascii="Times New Roman" w:hAnsi="Times New Roman"/>
                <w:color w:val="000000"/>
                <w:sz w:val="18"/>
                <w:szCs w:val="18"/>
              </w:rPr>
              <w:t>05</w:t>
            </w:r>
          </w:p>
        </w:tc>
        <w:tc>
          <w:tcPr>
            <w:tcW w:w="1134" w:type="dxa"/>
            <w:shd w:val="clear" w:color="auto" w:fill="auto"/>
            <w:vAlign w:val="center"/>
          </w:tcPr>
          <w:p w:rsidR="001E0FD8" w:rsidRPr="00385835" w:rsidRDefault="001E0FD8"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Duomenys iš projektų</w:t>
            </w:r>
          </w:p>
        </w:tc>
        <w:tc>
          <w:tcPr>
            <w:tcW w:w="1241" w:type="dxa"/>
            <w:shd w:val="clear" w:color="auto" w:fill="auto"/>
            <w:vAlign w:val="center"/>
          </w:tcPr>
          <w:p w:rsidR="001E0FD8" w:rsidRPr="00385835" w:rsidRDefault="001E0FD8"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vAlign w:val="center"/>
          </w:tcPr>
          <w:p w:rsidR="00385835" w:rsidRPr="00385835" w:rsidRDefault="00385835" w:rsidP="00385835">
            <w:pPr>
              <w:widowControl w:val="0"/>
              <w:tabs>
                <w:tab w:val="left" w:pos="622"/>
              </w:tabs>
              <w:spacing w:after="0" w:line="240" w:lineRule="auto"/>
              <w:rPr>
                <w:rFonts w:ascii="Times New Roman" w:eastAsia="AngsanaUPC" w:hAnsi="Times New Roman"/>
                <w:b/>
                <w:bCs/>
                <w:iCs/>
                <w:sz w:val="24"/>
                <w:szCs w:val="24"/>
                <w:lang w:eastAsia="lt-LT"/>
              </w:rPr>
            </w:pPr>
            <w:r w:rsidRPr="00385835">
              <w:rPr>
                <w:rFonts w:ascii="Times New Roman" w:eastAsia="AngsanaUPC" w:hAnsi="Times New Roman"/>
                <w:b/>
                <w:bCs/>
                <w:iCs/>
                <w:sz w:val="24"/>
                <w:szCs w:val="24"/>
                <w:lang w:eastAsia="lt-LT"/>
              </w:rPr>
              <w:t>4.2. INVESTICINIS PRIORITETAS</w:t>
            </w:r>
          </w:p>
        </w:tc>
        <w:tc>
          <w:tcPr>
            <w:tcW w:w="7336" w:type="dxa"/>
            <w:shd w:val="clear" w:color="auto" w:fill="EEECE1"/>
          </w:tcPr>
          <w:p w:rsidR="00385835" w:rsidRPr="00385835" w:rsidRDefault="00385835" w:rsidP="00385835">
            <w:pPr>
              <w:spacing w:after="0" w:line="240" w:lineRule="auto"/>
              <w:jc w:val="both"/>
              <w:rPr>
                <w:rFonts w:ascii="Times New Roman" w:hAnsi="Times New Roman"/>
                <w:b/>
                <w:sz w:val="24"/>
                <w:szCs w:val="24"/>
              </w:rPr>
            </w:pPr>
            <w:r w:rsidRPr="00385835">
              <w:rPr>
                <w:rFonts w:ascii="Times New Roman" w:hAnsi="Times New Roman"/>
                <w:b/>
                <w:sz w:val="24"/>
                <w:szCs w:val="24"/>
              </w:rPr>
              <w:t xml:space="preserve">Energijos vartojimo efektyvumo ir </w:t>
            </w:r>
            <w:r w:rsidRPr="00385835">
              <w:rPr>
                <w:rFonts w:ascii="Times New Roman" w:eastAsia="Times New Roman" w:hAnsi="Times New Roman"/>
                <w:b/>
                <w:sz w:val="24"/>
                <w:szCs w:val="20"/>
                <w:lang w:eastAsia="lt-LT"/>
              </w:rPr>
              <w:t>atsinaujinančių išteklių</w:t>
            </w:r>
            <w:r w:rsidRPr="00385835">
              <w:rPr>
                <w:rFonts w:ascii="Times New Roman" w:eastAsia="Times New Roman" w:hAnsi="Times New Roman"/>
                <w:sz w:val="24"/>
                <w:szCs w:val="20"/>
                <w:lang w:eastAsia="lt-LT"/>
              </w:rPr>
              <w:t xml:space="preserve"> </w:t>
            </w:r>
            <w:r w:rsidRPr="00385835">
              <w:rPr>
                <w:rFonts w:ascii="Times New Roman" w:hAnsi="Times New Roman"/>
                <w:b/>
                <w:sz w:val="24"/>
                <w:szCs w:val="24"/>
              </w:rPr>
              <w:t>energijos vartojimo įmonėse skatinimas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FONDAS</w:t>
            </w:r>
          </w:p>
        </w:tc>
        <w:tc>
          <w:tcPr>
            <w:tcW w:w="7336"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Europos regioninės plėtros fondas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vAlign w:val="center"/>
          </w:tcPr>
          <w:p w:rsidR="00385835" w:rsidRPr="00385835" w:rsidRDefault="00385835" w:rsidP="00385835">
            <w:pPr>
              <w:widowControl w:val="0"/>
              <w:tabs>
                <w:tab w:val="left" w:pos="622"/>
              </w:tabs>
              <w:spacing w:after="0" w:line="240" w:lineRule="auto"/>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 xml:space="preserve">4.2.1. KONKRETUS </w:t>
            </w:r>
            <w:r w:rsidRPr="00385835">
              <w:rPr>
                <w:rFonts w:ascii="Times New Roman" w:eastAsia="AngsanaUPC" w:hAnsi="Times New Roman"/>
                <w:b/>
                <w:bCs/>
                <w:sz w:val="24"/>
                <w:szCs w:val="24"/>
                <w:lang w:eastAsia="lt-LT"/>
              </w:rPr>
              <w:lastRenderedPageBreak/>
              <w:t>UŽDAVINYS</w:t>
            </w:r>
          </w:p>
        </w:tc>
        <w:tc>
          <w:tcPr>
            <w:tcW w:w="7336" w:type="dxa"/>
            <w:shd w:val="clear" w:color="auto" w:fill="EEECE1"/>
            <w:vAlign w:val="center"/>
          </w:tcPr>
          <w:p w:rsidR="00385835" w:rsidRPr="00385835" w:rsidRDefault="00385835" w:rsidP="00385835">
            <w:pPr>
              <w:spacing w:after="0" w:line="240" w:lineRule="auto"/>
              <w:jc w:val="both"/>
              <w:rPr>
                <w:rFonts w:ascii="Times New Roman" w:hAnsi="Times New Roman"/>
                <w:b/>
                <w:sz w:val="24"/>
                <w:szCs w:val="24"/>
              </w:rPr>
            </w:pPr>
            <w:r w:rsidRPr="00385835">
              <w:rPr>
                <w:rFonts w:ascii="Times New Roman" w:hAnsi="Times New Roman"/>
                <w:b/>
                <w:sz w:val="24"/>
                <w:szCs w:val="24"/>
              </w:rPr>
              <w:lastRenderedPageBreak/>
              <w:t>Sumažinti energijos vartojimo i</w:t>
            </w:r>
            <w:r w:rsidR="00031EF1">
              <w:rPr>
                <w:rFonts w:ascii="Times New Roman" w:hAnsi="Times New Roman"/>
                <w:b/>
                <w:sz w:val="24"/>
                <w:szCs w:val="24"/>
              </w:rPr>
              <w:t>ntensyvumą pramonės įmonėse</w:t>
            </w:r>
          </w:p>
        </w:tc>
      </w:tr>
      <w:tr w:rsidR="00385835" w:rsidRPr="00385835" w:rsidTr="00385835">
        <w:tc>
          <w:tcPr>
            <w:tcW w:w="9746" w:type="dxa"/>
            <w:gridSpan w:val="2"/>
            <w:shd w:val="clear" w:color="auto" w:fill="auto"/>
          </w:tcPr>
          <w:p w:rsidR="00385835" w:rsidRPr="00385835" w:rsidRDefault="00385835" w:rsidP="00385835">
            <w:pPr>
              <w:widowControl w:val="0"/>
              <w:tabs>
                <w:tab w:val="left" w:pos="622"/>
              </w:tabs>
              <w:spacing w:after="0" w:line="240" w:lineRule="auto"/>
              <w:ind w:firstLine="624"/>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lastRenderedPageBreak/>
              <w:t>Remiantis statistiniais duomenimis, Lietuvos pramonės įmonių energijos suvartojimo intensyvumas dvigubai didesnis negu ES-27 vidurkis. Pramonės įmonės produkcijos gamybai sunaudoja žymiai daugiau energijos negu kitų ES šalių įmonės. Tai tiesiogiai mažina pramonės įmonių konkurencingumą rinkoje ir didina produkcijos savikainą. Bendrame suvartojamos energijos balanse pramonės įmonių sunaudojamas energijos kiekis yra apie 20 proc.</w:t>
            </w:r>
          </w:p>
          <w:p w:rsidR="00385835" w:rsidRPr="00385835" w:rsidRDefault="00385835" w:rsidP="00205E6E">
            <w:pPr>
              <w:widowControl w:val="0"/>
              <w:tabs>
                <w:tab w:val="left" w:pos="622"/>
              </w:tabs>
              <w:spacing w:after="0" w:line="240" w:lineRule="auto"/>
              <w:ind w:firstLine="624"/>
              <w:jc w:val="both"/>
              <w:rPr>
                <w:rFonts w:ascii="Times New Roman" w:eastAsia="AngsanaUPC" w:hAnsi="Times New Roman"/>
                <w:bCs/>
                <w:iCs/>
                <w:sz w:val="24"/>
                <w:szCs w:val="24"/>
                <w:lang w:eastAsia="lt-LT"/>
              </w:rPr>
            </w:pPr>
            <w:r w:rsidRPr="00385835">
              <w:rPr>
                <w:rFonts w:ascii="Times New Roman" w:eastAsia="AngsanaUPC" w:hAnsi="Times New Roman"/>
                <w:bCs/>
                <w:sz w:val="24"/>
                <w:szCs w:val="24"/>
                <w:lang w:eastAsia="lt-LT"/>
              </w:rPr>
              <w:t xml:space="preserve">Todėl planuojama skatinti </w:t>
            </w:r>
            <w:r w:rsidRPr="00385835">
              <w:rPr>
                <w:rFonts w:ascii="Times New Roman" w:eastAsia="AngsanaUPC" w:hAnsi="Times New Roman"/>
                <w:bCs/>
                <w:iCs/>
                <w:sz w:val="24"/>
                <w:szCs w:val="24"/>
                <w:lang w:eastAsia="lt-LT"/>
              </w:rPr>
              <w:t xml:space="preserve">AIE </w:t>
            </w:r>
            <w:r w:rsidRPr="00385835">
              <w:rPr>
                <w:rFonts w:ascii="Times New Roman" w:eastAsia="AngsanaUPC" w:hAnsi="Times New Roman"/>
                <w:bCs/>
                <w:sz w:val="24"/>
                <w:szCs w:val="24"/>
                <w:lang w:eastAsia="lt-LT"/>
              </w:rPr>
              <w:t>(atsinaujinantys energijos ištekliai suprantami</w:t>
            </w:r>
            <w:r w:rsidR="00D21E6D">
              <w:rPr>
                <w:rFonts w:ascii="Times New Roman" w:eastAsia="AngsanaUPC" w:hAnsi="Times New Roman"/>
                <w:bCs/>
                <w:sz w:val="24"/>
                <w:szCs w:val="24"/>
                <w:lang w:eastAsia="lt-LT"/>
              </w:rPr>
              <w:t>,</w:t>
            </w:r>
            <w:r w:rsidRPr="00385835">
              <w:rPr>
                <w:rFonts w:ascii="Times New Roman" w:eastAsia="AngsanaUPC" w:hAnsi="Times New Roman"/>
                <w:bCs/>
                <w:sz w:val="24"/>
                <w:szCs w:val="24"/>
                <w:lang w:eastAsia="lt-LT"/>
              </w:rPr>
              <w:t xml:space="preserve"> kaip tokie atsinaujinantys neiškastiniai energijos šaltiniai: vėjas, saulė, aeroterminiai, geoterminiai </w:t>
            </w:r>
            <w:proofErr w:type="gramStart"/>
            <w:r w:rsidRPr="00385835">
              <w:rPr>
                <w:rFonts w:ascii="Times New Roman" w:eastAsia="AngsanaUPC" w:hAnsi="Times New Roman"/>
                <w:bCs/>
                <w:sz w:val="24"/>
                <w:szCs w:val="24"/>
                <w:lang w:eastAsia="lt-LT"/>
              </w:rPr>
              <w:t>ir hidroterminiai ir vandenynų energijos ištekliai</w:t>
            </w:r>
            <w:proofErr w:type="gramEnd"/>
            <w:r w:rsidRPr="00385835">
              <w:rPr>
                <w:rFonts w:ascii="Times New Roman" w:eastAsia="AngsanaUPC" w:hAnsi="Times New Roman"/>
                <w:bCs/>
                <w:sz w:val="24"/>
                <w:szCs w:val="24"/>
                <w:lang w:eastAsia="lt-LT"/>
              </w:rPr>
              <w:t xml:space="preserve">, hidroenergijos ištekliai, biomasė, sąvartynų dujos, nuotekų perdirbimo įrenginių dujos ir biodujos), </w:t>
            </w:r>
            <w:r w:rsidRPr="00385835">
              <w:rPr>
                <w:rFonts w:ascii="Times New Roman" w:eastAsia="AngsanaUPC" w:hAnsi="Times New Roman"/>
                <w:bCs/>
                <w:iCs/>
                <w:sz w:val="24"/>
                <w:szCs w:val="24"/>
                <w:lang w:eastAsia="lt-LT"/>
              </w:rPr>
              <w:t xml:space="preserve">naudojančių energijos gamybos pajėgumų įrengimą, naujų AIE efektyvesnio panaudojimo technologijų diegimą pramonės įmonėse, siekiant naudoti energiją </w:t>
            </w:r>
            <w:r w:rsidR="00205E6E">
              <w:rPr>
                <w:rFonts w:ascii="Times New Roman" w:eastAsia="AngsanaUPC" w:hAnsi="Times New Roman"/>
                <w:bCs/>
                <w:iCs/>
                <w:sz w:val="24"/>
                <w:szCs w:val="24"/>
                <w:lang w:eastAsia="lt-LT"/>
              </w:rPr>
              <w:t xml:space="preserve">pačių </w:t>
            </w:r>
            <w:r w:rsidRPr="00385835">
              <w:rPr>
                <w:rFonts w:ascii="Times New Roman" w:eastAsia="AngsanaUPC" w:hAnsi="Times New Roman"/>
                <w:bCs/>
                <w:iCs/>
                <w:sz w:val="24"/>
                <w:szCs w:val="24"/>
                <w:lang w:eastAsia="lt-LT"/>
              </w:rPr>
              <w:t xml:space="preserve">įmonių vidiniams poreikiams tenkinti, </w:t>
            </w:r>
            <w:r w:rsidR="00205E6E">
              <w:rPr>
                <w:rFonts w:ascii="Times New Roman" w:eastAsia="AngsanaUPC" w:hAnsi="Times New Roman"/>
                <w:bCs/>
                <w:iCs/>
                <w:sz w:val="24"/>
                <w:szCs w:val="24"/>
                <w:lang w:eastAsia="lt-LT"/>
              </w:rPr>
              <w:t xml:space="preserve">sudarant galimybę perteklinę energiją tiekti kitoms pramonės įmonėms ar perduoti į centralizuotus </w:t>
            </w:r>
            <w:r w:rsidRPr="00385835">
              <w:rPr>
                <w:rFonts w:ascii="Times New Roman" w:eastAsia="AngsanaUPC" w:hAnsi="Times New Roman"/>
                <w:bCs/>
                <w:iCs/>
                <w:sz w:val="24"/>
                <w:szCs w:val="24"/>
                <w:lang w:eastAsia="lt-LT"/>
              </w:rPr>
              <w:t>energetinius tinklus.</w:t>
            </w:r>
            <w:r w:rsidRPr="00385835">
              <w:rPr>
                <w:rFonts w:ascii="Times New Roman" w:eastAsia="AngsanaUPC" w:hAnsi="Times New Roman"/>
                <w:bCs/>
                <w:sz w:val="24"/>
                <w:szCs w:val="24"/>
                <w:lang w:eastAsia="lt-LT"/>
              </w:rPr>
              <w:t xml:space="preserve"> Taip pat numatomas tinkamų technologinių sprendimų pritaikymas gamybos procese ir energetinio audito atlikimas, kurie įgalina didinti pramonės įmonių energijos vartojimo efektyvumą ir mažinti energijos vartojimo intensyvumą.</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560"/>
        <w:gridCol w:w="1850"/>
        <w:gridCol w:w="1134"/>
        <w:gridCol w:w="1134"/>
        <w:gridCol w:w="851"/>
        <w:gridCol w:w="992"/>
        <w:gridCol w:w="850"/>
        <w:gridCol w:w="1134"/>
        <w:gridCol w:w="1241"/>
      </w:tblGrid>
      <w:tr w:rsidR="00385835" w:rsidRPr="00385835" w:rsidTr="00385835">
        <w:tc>
          <w:tcPr>
            <w:tcW w:w="9746" w:type="dxa"/>
            <w:gridSpan w:val="9"/>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i/>
                <w:iCs/>
                <w:sz w:val="24"/>
                <w:szCs w:val="24"/>
                <w:lang w:eastAsia="lt-LT"/>
              </w:rPr>
            </w:pPr>
            <w:r w:rsidRPr="00385835">
              <w:rPr>
                <w:rFonts w:ascii="Times New Roman" w:eastAsia="AngsanaUPC" w:hAnsi="Times New Roman"/>
                <w:b/>
                <w:bCs/>
                <w:i/>
                <w:iCs/>
                <w:sz w:val="24"/>
                <w:szCs w:val="24"/>
                <w:lang w:eastAsia="lt-LT"/>
              </w:rPr>
              <w:t xml:space="preserve">ERPF </w:t>
            </w:r>
            <w:r w:rsidR="00DA04FC">
              <w:rPr>
                <w:rFonts w:ascii="Times New Roman" w:eastAsia="AngsanaUPC" w:hAnsi="Times New Roman"/>
                <w:b/>
                <w:bCs/>
                <w:i/>
                <w:iCs/>
                <w:sz w:val="24"/>
                <w:szCs w:val="24"/>
                <w:lang w:eastAsia="lt-LT"/>
              </w:rPr>
              <w:t>specialieji</w:t>
            </w:r>
            <w:r w:rsidR="00DA04FC" w:rsidRPr="00385835">
              <w:rPr>
                <w:rFonts w:ascii="Times New Roman" w:eastAsia="AngsanaUPC" w:hAnsi="Times New Roman"/>
                <w:b/>
                <w:bCs/>
                <w:i/>
                <w:iCs/>
                <w:sz w:val="24"/>
                <w:szCs w:val="24"/>
                <w:lang w:eastAsia="lt-LT"/>
              </w:rPr>
              <w:t xml:space="preserve"> </w:t>
            </w:r>
            <w:r w:rsidRPr="00385835">
              <w:rPr>
                <w:rFonts w:ascii="Times New Roman" w:eastAsia="AngsanaUPC" w:hAnsi="Times New Roman"/>
                <w:b/>
                <w:bCs/>
                <w:i/>
                <w:iCs/>
                <w:sz w:val="24"/>
                <w:szCs w:val="24"/>
                <w:lang w:eastAsia="lt-LT"/>
              </w:rPr>
              <w:t>programos rezultato rodikliai</w:t>
            </w:r>
          </w:p>
        </w:tc>
      </w:tr>
      <w:tr w:rsidR="00385835" w:rsidRPr="00385835" w:rsidTr="00385835">
        <w:tblPrEx>
          <w:shd w:val="clear" w:color="auto" w:fill="auto"/>
        </w:tblPrEx>
        <w:trPr>
          <w:cantSplit/>
          <w:trHeight w:val="702"/>
        </w:trPr>
        <w:tc>
          <w:tcPr>
            <w:tcW w:w="560"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Nr.</w:t>
            </w:r>
          </w:p>
        </w:tc>
        <w:tc>
          <w:tcPr>
            <w:tcW w:w="1850"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Rodiklio pavadinimas</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Rodiklio matavimo vienetai</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Regiono kategorija</w:t>
            </w:r>
          </w:p>
        </w:tc>
        <w:tc>
          <w:tcPr>
            <w:tcW w:w="85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 reikšmė</w:t>
            </w:r>
          </w:p>
        </w:tc>
        <w:tc>
          <w:tcPr>
            <w:tcW w:w="992"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Pradinės reikšmės metai</w:t>
            </w:r>
          </w:p>
        </w:tc>
        <w:tc>
          <w:tcPr>
            <w:tcW w:w="850"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Siektina reikšmė (2023)</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Duomenų šaltinis</w:t>
            </w:r>
          </w:p>
        </w:tc>
        <w:tc>
          <w:tcPr>
            <w:tcW w:w="124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Atsiskaitymo dažnumas</w:t>
            </w:r>
          </w:p>
        </w:tc>
      </w:tr>
      <w:tr w:rsidR="00385835" w:rsidRPr="00385835" w:rsidTr="00385835">
        <w:tblPrEx>
          <w:shd w:val="clear" w:color="auto" w:fill="auto"/>
        </w:tblPrEx>
        <w:tc>
          <w:tcPr>
            <w:tcW w:w="560"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w:t>
            </w:r>
          </w:p>
        </w:tc>
        <w:tc>
          <w:tcPr>
            <w:tcW w:w="1850" w:type="dxa"/>
            <w:shd w:val="clear" w:color="auto" w:fill="auto"/>
            <w:vAlign w:val="center"/>
          </w:tcPr>
          <w:p w:rsidR="00385835" w:rsidRPr="00385835" w:rsidRDefault="00385835" w:rsidP="00385835">
            <w:pPr>
              <w:widowControl w:val="0"/>
              <w:tabs>
                <w:tab w:val="left" w:pos="622"/>
              </w:tabs>
              <w:spacing w:after="0" w:line="240" w:lineRule="auto"/>
              <w:rPr>
                <w:rFonts w:ascii="Times New Roman" w:eastAsia="AngsanaUPC" w:hAnsi="Times New Roman"/>
                <w:bCs/>
                <w:sz w:val="18"/>
                <w:szCs w:val="18"/>
                <w:lang w:eastAsia="lt-LT"/>
              </w:rPr>
            </w:pPr>
            <w:r w:rsidRPr="00385835">
              <w:rPr>
                <w:rFonts w:ascii="Times New Roman" w:eastAsia="AngsanaUPC" w:hAnsi="Times New Roman"/>
                <w:bCs/>
                <w:sz w:val="18"/>
                <w:szCs w:val="18"/>
                <w:lang w:eastAsia="lt-LT"/>
              </w:rPr>
              <w:t>Energijos suvartojimo intensyvumas pramonės įmonėse</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18"/>
                <w:szCs w:val="18"/>
                <w:lang w:eastAsia="lt-LT"/>
              </w:rPr>
            </w:pPr>
            <w:r w:rsidRPr="00385835">
              <w:rPr>
                <w:rFonts w:ascii="Times New Roman" w:eastAsia="AngsanaUPC" w:hAnsi="Times New Roman"/>
                <w:bCs/>
                <w:sz w:val="18"/>
                <w:szCs w:val="18"/>
                <w:lang w:eastAsia="lt-LT"/>
              </w:rPr>
              <w:t>kg naftos ekvivalento 1000 eurų</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18"/>
                <w:szCs w:val="18"/>
                <w:lang w:eastAsia="lt-LT"/>
              </w:rPr>
            </w:pPr>
            <w:r w:rsidRPr="00385835">
              <w:rPr>
                <w:rFonts w:ascii="Times New Roman" w:eastAsia="AngsanaUPC" w:hAnsi="Times New Roman"/>
                <w:bCs/>
                <w:sz w:val="18"/>
                <w:szCs w:val="18"/>
                <w:lang w:eastAsia="lt-LT"/>
              </w:rPr>
              <w:t>Mažiau išsivystęs</w:t>
            </w:r>
          </w:p>
        </w:tc>
        <w:tc>
          <w:tcPr>
            <w:tcW w:w="85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222,9</w:t>
            </w:r>
          </w:p>
        </w:tc>
        <w:tc>
          <w:tcPr>
            <w:tcW w:w="992"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2012</w:t>
            </w:r>
          </w:p>
        </w:tc>
        <w:tc>
          <w:tcPr>
            <w:tcW w:w="850"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152,9</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Eurostatas</w:t>
            </w:r>
          </w:p>
        </w:tc>
        <w:tc>
          <w:tcPr>
            <w:tcW w:w="124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bl>
    <w:p w:rsidR="00385835" w:rsidRPr="00812737"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385835" w:rsidRPr="00385835" w:rsidTr="00385835">
        <w:tc>
          <w:tcPr>
            <w:tcW w:w="9746" w:type="dxa"/>
            <w:tcBorders>
              <w:top w:val="single" w:sz="4" w:space="0" w:color="auto"/>
              <w:left w:val="single" w:sz="4" w:space="0" w:color="auto"/>
              <w:bottom w:val="single" w:sz="4" w:space="0" w:color="auto"/>
              <w:right w:val="single" w:sz="4" w:space="0" w:color="auto"/>
            </w:tcBorders>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Cs/>
                <w:iCs/>
                <w:sz w:val="24"/>
                <w:szCs w:val="24"/>
                <w:lang w:eastAsia="lt-LT"/>
              </w:rPr>
            </w:pPr>
            <w:r w:rsidRPr="00385835">
              <w:rPr>
                <w:rFonts w:ascii="Times New Roman" w:eastAsia="AngsanaUPC" w:hAnsi="Times New Roman"/>
                <w:b/>
                <w:bCs/>
                <w:i/>
                <w:iCs/>
                <w:sz w:val="24"/>
                <w:szCs w:val="24"/>
                <w:lang w:eastAsia="lt-LT"/>
              </w:rPr>
              <w:t>4.2. Investicinio prioriteto įgyvendinimo veiklos</w:t>
            </w:r>
          </w:p>
        </w:tc>
      </w:tr>
      <w:tr w:rsidR="00385835" w:rsidRPr="00385835" w:rsidTr="00385835">
        <w:tc>
          <w:tcPr>
            <w:tcW w:w="9746" w:type="dxa"/>
            <w:shd w:val="clear" w:color="auto" w:fill="auto"/>
          </w:tcPr>
          <w:p w:rsidR="00385835" w:rsidRPr="002C08FA" w:rsidRDefault="00385835" w:rsidP="00650E41">
            <w:pPr>
              <w:widowControl w:val="0"/>
              <w:numPr>
                <w:ilvl w:val="0"/>
                <w:numId w:val="22"/>
              </w:numPr>
              <w:tabs>
                <w:tab w:val="left" w:pos="0"/>
                <w:tab w:val="left" w:pos="459"/>
                <w:tab w:val="left" w:pos="979"/>
              </w:tabs>
              <w:spacing w:after="0" w:line="240" w:lineRule="auto"/>
              <w:ind w:left="34" w:firstLine="0"/>
              <w:jc w:val="both"/>
              <w:rPr>
                <w:rFonts w:ascii="Times New Roman" w:eastAsia="AngsanaUPC" w:hAnsi="Times New Roman"/>
                <w:bCs/>
                <w:iCs/>
                <w:sz w:val="24"/>
                <w:szCs w:val="24"/>
                <w:lang w:eastAsia="lt-LT"/>
              </w:rPr>
            </w:pPr>
            <w:r w:rsidRPr="002C08FA">
              <w:rPr>
                <w:rFonts w:ascii="Times New Roman" w:eastAsia="AngsanaUPC" w:hAnsi="Times New Roman"/>
                <w:bCs/>
                <w:iCs/>
                <w:sz w:val="24"/>
                <w:szCs w:val="24"/>
                <w:lang w:eastAsia="lt-LT"/>
              </w:rPr>
              <w:t>AIE panaudojimas pramonės įmonėse. Pagal šią veiklą numatoma finansuoti AIE naudojančių energijos gamybos pajėgumų įrengimą, naujų AIE efektyvesnio panaudojimo technologijų kūrimą ir diegimą pramonės įmonėse, siekiant naudoti energiją</w:t>
            </w:r>
            <w:r w:rsidR="00205E6E" w:rsidRPr="002C08FA">
              <w:rPr>
                <w:rFonts w:ascii="Times New Roman" w:eastAsia="AngsanaUPC" w:hAnsi="Times New Roman"/>
                <w:bCs/>
                <w:iCs/>
                <w:sz w:val="24"/>
                <w:szCs w:val="24"/>
                <w:lang w:eastAsia="lt-LT"/>
              </w:rPr>
              <w:t xml:space="preserve"> pačių įmonių vidiniams poreikiams tenkinti, sudarant galimybę perteklinę energiją tiekti kitoms pramonės įmonėms ar perduoti į centralizuotus energetinius tinklus</w:t>
            </w:r>
            <w:r w:rsidRPr="002C08FA">
              <w:rPr>
                <w:rFonts w:ascii="Times New Roman" w:eastAsia="AngsanaUPC" w:hAnsi="Times New Roman"/>
                <w:bCs/>
                <w:iCs/>
                <w:sz w:val="24"/>
                <w:szCs w:val="24"/>
                <w:lang w:eastAsia="lt-LT"/>
              </w:rPr>
              <w:t>.</w:t>
            </w:r>
          </w:p>
          <w:p w:rsidR="00385835" w:rsidRPr="002C08FA" w:rsidRDefault="00385835" w:rsidP="00650E41">
            <w:pPr>
              <w:widowControl w:val="0"/>
              <w:numPr>
                <w:ilvl w:val="0"/>
                <w:numId w:val="22"/>
              </w:numPr>
              <w:tabs>
                <w:tab w:val="left" w:pos="0"/>
                <w:tab w:val="left" w:pos="459"/>
                <w:tab w:val="left" w:pos="979"/>
              </w:tabs>
              <w:spacing w:after="0" w:line="240" w:lineRule="auto"/>
              <w:ind w:left="34" w:firstLine="0"/>
              <w:jc w:val="both"/>
              <w:rPr>
                <w:rFonts w:ascii="Times New Roman" w:eastAsia="AngsanaUPC" w:hAnsi="Times New Roman"/>
                <w:bCs/>
                <w:iCs/>
                <w:sz w:val="24"/>
                <w:szCs w:val="24"/>
                <w:lang w:eastAsia="lt-LT"/>
              </w:rPr>
            </w:pPr>
            <w:r w:rsidRPr="002C08FA">
              <w:rPr>
                <w:rFonts w:ascii="Times New Roman" w:eastAsia="AngsanaUPC" w:hAnsi="Times New Roman"/>
                <w:bCs/>
                <w:iCs/>
                <w:sz w:val="24"/>
                <w:szCs w:val="24"/>
                <w:lang w:eastAsia="lt-LT"/>
              </w:rPr>
              <w:t>Įrangos ir technologijų (technologinių sprendimų), įgalinančių didinti energijos vartojimo efektyvumą pramonės įmonėse, diegimas.</w:t>
            </w:r>
          </w:p>
          <w:p w:rsidR="00385835" w:rsidRPr="00385835" w:rsidRDefault="00385835" w:rsidP="00650E41">
            <w:pPr>
              <w:widowControl w:val="0"/>
              <w:numPr>
                <w:ilvl w:val="0"/>
                <w:numId w:val="22"/>
              </w:numPr>
              <w:tabs>
                <w:tab w:val="left" w:pos="0"/>
                <w:tab w:val="left" w:pos="459"/>
                <w:tab w:val="left" w:pos="979"/>
              </w:tabs>
              <w:spacing w:after="0" w:line="240" w:lineRule="auto"/>
              <w:ind w:left="34" w:firstLine="0"/>
              <w:jc w:val="both"/>
              <w:rPr>
                <w:rFonts w:ascii="Times New Roman" w:eastAsia="AngsanaUPC" w:hAnsi="Times New Roman"/>
                <w:bCs/>
                <w:iCs/>
                <w:sz w:val="24"/>
                <w:szCs w:val="24"/>
                <w:lang w:eastAsia="lt-LT"/>
              </w:rPr>
            </w:pPr>
            <w:r w:rsidRPr="002C08FA">
              <w:rPr>
                <w:rFonts w:ascii="Times New Roman" w:eastAsia="AngsanaUPC" w:hAnsi="Times New Roman"/>
                <w:bCs/>
                <w:iCs/>
                <w:sz w:val="24"/>
                <w:szCs w:val="24"/>
                <w:lang w:eastAsia="lt-LT"/>
              </w:rPr>
              <w:t>Energetinio audito pramonės įmonėse atlikimas. Paramą planuojama teikti</w:t>
            </w:r>
            <w:r w:rsidR="00AE56FE" w:rsidRPr="002C08FA">
              <w:rPr>
                <w:rFonts w:ascii="Times New Roman" w:eastAsia="AngsanaUPC" w:hAnsi="Times New Roman"/>
                <w:bCs/>
                <w:iCs/>
                <w:sz w:val="24"/>
                <w:szCs w:val="24"/>
                <w:lang w:eastAsia="lt-LT"/>
              </w:rPr>
              <w:t>,</w:t>
            </w:r>
            <w:r w:rsidRPr="002C08FA">
              <w:rPr>
                <w:rFonts w:ascii="Times New Roman" w:eastAsia="AngsanaUPC" w:hAnsi="Times New Roman"/>
                <w:bCs/>
                <w:iCs/>
                <w:sz w:val="24"/>
                <w:szCs w:val="24"/>
                <w:lang w:eastAsia="lt-LT"/>
              </w:rPr>
              <w:t xml:space="preserve"> finansuojant energetinio audito atlikimą pramonės įmonėse. </w:t>
            </w:r>
            <w:r w:rsidR="00974F13" w:rsidRPr="002C08FA">
              <w:rPr>
                <w:rFonts w:ascii="Times New Roman" w:eastAsia="AngsanaUPC" w:hAnsi="Times New Roman"/>
                <w:bCs/>
                <w:iCs/>
                <w:sz w:val="24"/>
                <w:szCs w:val="24"/>
                <w:lang w:eastAsia="lt-LT"/>
              </w:rPr>
              <w:t xml:space="preserve">Vadovaujantis </w:t>
            </w:r>
            <w:r w:rsidR="00974F13" w:rsidRPr="002C08FA">
              <w:rPr>
                <w:rFonts w:ascii="Times New Roman" w:hAnsi="Times New Roman"/>
                <w:color w:val="000000"/>
                <w:sz w:val="24"/>
                <w:szCs w:val="24"/>
                <w:lang w:eastAsia="lt-LT"/>
              </w:rPr>
              <w:t>valstybės pagalbos taisyklėmis, prioritetas bus teikiamas MVĮ. Numatoma finansuoti didelių įmonių energetinius auditus, jeigu energijos vartojimo auditas atliekamas papildomai su pagal Direktyvą 2012/27/ES prival</w:t>
            </w:r>
            <w:r w:rsidR="00D3095F" w:rsidRPr="002C08FA">
              <w:rPr>
                <w:rFonts w:ascii="Times New Roman" w:hAnsi="Times New Roman"/>
                <w:color w:val="000000"/>
                <w:sz w:val="24"/>
                <w:szCs w:val="24"/>
                <w:lang w:eastAsia="lt-LT"/>
              </w:rPr>
              <w:t>omu energijos vartojimo auditu.</w:t>
            </w:r>
            <w:r w:rsidR="00974F13" w:rsidRPr="002C08FA">
              <w:rPr>
                <w:rFonts w:ascii="Times New Roman" w:hAnsi="Times New Roman"/>
                <w:color w:val="000000"/>
                <w:sz w:val="24"/>
                <w:szCs w:val="24"/>
                <w:lang w:eastAsia="lt-LT"/>
              </w:rPr>
              <w:t xml:space="preserve"> </w:t>
            </w:r>
            <w:r w:rsidRPr="002C08FA">
              <w:rPr>
                <w:rFonts w:ascii="Times New Roman" w:eastAsia="AngsanaUPC" w:hAnsi="Times New Roman"/>
                <w:bCs/>
                <w:iCs/>
                <w:sz w:val="24"/>
                <w:szCs w:val="24"/>
                <w:lang w:eastAsia="lt-LT"/>
              </w:rPr>
              <w:t>Audito metu identifikuojamos energijos vartojimo efektyvumo didinimo ir anglies dioksido emisijos mažinimo galimybės bei numatomos atitinkamos priemonės siekiamam rezultatui pasiekti.</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i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746"/>
      </w:tblGrid>
      <w:tr w:rsidR="00385835" w:rsidRPr="00385835" w:rsidTr="00385835">
        <w:tc>
          <w:tcPr>
            <w:tcW w:w="9746"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i/>
                <w:iCs/>
                <w:sz w:val="24"/>
                <w:szCs w:val="24"/>
                <w:lang w:eastAsia="lt-LT"/>
              </w:rPr>
              <w:t>Didelės apimties projektai</w:t>
            </w:r>
          </w:p>
        </w:tc>
      </w:tr>
      <w:tr w:rsidR="00385835" w:rsidRPr="00385835" w:rsidTr="00385835">
        <w:tc>
          <w:tcPr>
            <w:tcW w:w="9746" w:type="dxa"/>
            <w:shd w:val="clear" w:color="auto" w:fill="auto"/>
          </w:tcPr>
          <w:p w:rsidR="00385835" w:rsidRPr="00385835" w:rsidRDefault="00385835" w:rsidP="00385835">
            <w:pPr>
              <w:widowControl w:val="0"/>
              <w:tabs>
                <w:tab w:val="left" w:pos="622"/>
                <w:tab w:val="left" w:pos="1665"/>
              </w:tabs>
              <w:spacing w:after="0" w:line="240" w:lineRule="auto"/>
              <w:ind w:firstLine="624"/>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Pagal šį investicinį prioritetą didelės apimties projektų vykdyti nenumatoma.</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560"/>
        <w:gridCol w:w="2559"/>
        <w:gridCol w:w="1134"/>
        <w:gridCol w:w="850"/>
        <w:gridCol w:w="1134"/>
        <w:gridCol w:w="1134"/>
        <w:gridCol w:w="1134"/>
        <w:gridCol w:w="1241"/>
      </w:tblGrid>
      <w:tr w:rsidR="00385835" w:rsidRPr="00385835" w:rsidTr="00385835">
        <w:tc>
          <w:tcPr>
            <w:tcW w:w="9746" w:type="dxa"/>
            <w:gridSpan w:val="8"/>
            <w:shd w:val="clear" w:color="auto" w:fill="EEECE1"/>
          </w:tcPr>
          <w:p w:rsidR="00385835" w:rsidRPr="00385835" w:rsidRDefault="00385835" w:rsidP="00DA04FC">
            <w:pPr>
              <w:widowControl w:val="0"/>
              <w:tabs>
                <w:tab w:val="left" w:pos="622"/>
              </w:tabs>
              <w:spacing w:after="0" w:line="240" w:lineRule="auto"/>
              <w:jc w:val="both"/>
              <w:rPr>
                <w:rFonts w:ascii="Times New Roman" w:eastAsia="AngsanaUPC" w:hAnsi="Times New Roman"/>
                <w:b/>
                <w:bCs/>
                <w:i/>
                <w:iCs/>
                <w:sz w:val="24"/>
                <w:szCs w:val="24"/>
                <w:lang w:eastAsia="lt-LT"/>
              </w:rPr>
            </w:pPr>
            <w:r w:rsidRPr="00385835">
              <w:rPr>
                <w:rFonts w:ascii="Times New Roman" w:eastAsia="AngsanaUPC" w:hAnsi="Times New Roman"/>
                <w:b/>
                <w:bCs/>
                <w:i/>
                <w:iCs/>
                <w:sz w:val="24"/>
                <w:szCs w:val="24"/>
                <w:lang w:eastAsia="lt-LT"/>
              </w:rPr>
              <w:t xml:space="preserve">ERPF bendrieji ir </w:t>
            </w:r>
            <w:r w:rsidR="00DA04FC">
              <w:rPr>
                <w:rFonts w:ascii="Times New Roman" w:eastAsia="AngsanaUPC" w:hAnsi="Times New Roman"/>
                <w:b/>
                <w:bCs/>
                <w:i/>
                <w:iCs/>
                <w:sz w:val="24"/>
                <w:szCs w:val="24"/>
                <w:lang w:eastAsia="lt-LT"/>
              </w:rPr>
              <w:t>specialieji programos</w:t>
            </w:r>
            <w:r w:rsidR="00DA04FC" w:rsidRPr="00385835">
              <w:rPr>
                <w:rFonts w:ascii="Times New Roman" w:eastAsia="AngsanaUPC" w:hAnsi="Times New Roman"/>
                <w:b/>
                <w:bCs/>
                <w:i/>
                <w:iCs/>
                <w:sz w:val="24"/>
                <w:szCs w:val="24"/>
                <w:lang w:eastAsia="lt-LT"/>
              </w:rPr>
              <w:t xml:space="preserve"> </w:t>
            </w:r>
            <w:r w:rsidRPr="00385835">
              <w:rPr>
                <w:rFonts w:ascii="Times New Roman" w:eastAsia="AngsanaUPC" w:hAnsi="Times New Roman"/>
                <w:b/>
                <w:bCs/>
                <w:i/>
                <w:iCs/>
                <w:sz w:val="24"/>
                <w:szCs w:val="24"/>
                <w:lang w:eastAsia="lt-LT"/>
              </w:rPr>
              <w:t xml:space="preserve">produkto rodikliai </w:t>
            </w:r>
          </w:p>
        </w:tc>
      </w:tr>
      <w:tr w:rsidR="00385835" w:rsidRPr="00385835" w:rsidTr="00385835">
        <w:tblPrEx>
          <w:shd w:val="clear" w:color="auto" w:fill="auto"/>
        </w:tblPrEx>
        <w:tc>
          <w:tcPr>
            <w:tcW w:w="560"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Nr.</w:t>
            </w:r>
          </w:p>
        </w:tc>
        <w:tc>
          <w:tcPr>
            <w:tcW w:w="2559"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Rodiklio pavadinimas</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Matavimo vienetas</w:t>
            </w:r>
          </w:p>
        </w:tc>
        <w:tc>
          <w:tcPr>
            <w:tcW w:w="850"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Fondas</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Regiono kategorija</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Siektina reikšmė (2023)</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Duomenų šaltinis</w:t>
            </w:r>
          </w:p>
        </w:tc>
        <w:tc>
          <w:tcPr>
            <w:tcW w:w="124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Atsiskaitymo dažnumas</w:t>
            </w:r>
          </w:p>
        </w:tc>
      </w:tr>
      <w:tr w:rsidR="00385835" w:rsidRPr="00385835" w:rsidTr="00385835">
        <w:tblPrEx>
          <w:shd w:val="clear" w:color="auto" w:fill="auto"/>
        </w:tblPrEx>
        <w:tc>
          <w:tcPr>
            <w:tcW w:w="560"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1.</w:t>
            </w:r>
          </w:p>
        </w:tc>
        <w:tc>
          <w:tcPr>
            <w:tcW w:w="2559" w:type="dxa"/>
            <w:shd w:val="clear" w:color="auto" w:fill="auto"/>
            <w:vAlign w:val="center"/>
          </w:tcPr>
          <w:p w:rsidR="00385835" w:rsidRPr="002C08FA" w:rsidRDefault="00385835" w:rsidP="00385835">
            <w:pPr>
              <w:widowControl w:val="0"/>
              <w:tabs>
                <w:tab w:val="left" w:pos="622"/>
              </w:tabs>
              <w:spacing w:after="0" w:line="240" w:lineRule="auto"/>
              <w:rPr>
                <w:rFonts w:ascii="Times New Roman" w:eastAsia="AngsanaUPC" w:hAnsi="Times New Roman"/>
                <w:b/>
                <w:bCs/>
                <w:iCs/>
                <w:sz w:val="18"/>
                <w:szCs w:val="18"/>
                <w:lang w:eastAsia="lt-LT"/>
              </w:rPr>
            </w:pPr>
            <w:r w:rsidRPr="002C08FA">
              <w:rPr>
                <w:rFonts w:ascii="Times New Roman" w:eastAsia="AngsanaUPC" w:hAnsi="Times New Roman"/>
                <w:bCs/>
                <w:iCs/>
                <w:sz w:val="18"/>
                <w:szCs w:val="18"/>
                <w:lang w:eastAsia="lt-LT"/>
              </w:rPr>
              <w:t>Papildomi atsinaujinančių išteklių energijos pajėgumai</w:t>
            </w:r>
          </w:p>
        </w:tc>
        <w:tc>
          <w:tcPr>
            <w:tcW w:w="1134"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MW</w:t>
            </w:r>
          </w:p>
        </w:tc>
        <w:tc>
          <w:tcPr>
            <w:tcW w:w="850"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ERPF</w:t>
            </w:r>
          </w:p>
        </w:tc>
        <w:tc>
          <w:tcPr>
            <w:tcW w:w="1134"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Mažiau išsivystęs</w:t>
            </w:r>
          </w:p>
        </w:tc>
        <w:tc>
          <w:tcPr>
            <w:tcW w:w="1134" w:type="dxa"/>
            <w:shd w:val="clear" w:color="auto" w:fill="auto"/>
            <w:vAlign w:val="center"/>
          </w:tcPr>
          <w:p w:rsidR="00385835" w:rsidRPr="002C08FA" w:rsidRDefault="00385835" w:rsidP="00AE56FE">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5</w:t>
            </w:r>
            <w:r w:rsidR="00AE56FE" w:rsidRPr="002C08FA">
              <w:rPr>
                <w:rFonts w:ascii="Times New Roman" w:eastAsia="AngsanaUPC" w:hAnsi="Times New Roman"/>
                <w:bCs/>
                <w:iCs/>
                <w:sz w:val="18"/>
                <w:szCs w:val="18"/>
                <w:lang w:eastAsia="lt-LT"/>
              </w:rPr>
              <w:t>0</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Duomenys iš projektų</w:t>
            </w:r>
          </w:p>
        </w:tc>
        <w:tc>
          <w:tcPr>
            <w:tcW w:w="124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1E0FD8" w:rsidRPr="007F34F1" w:rsidTr="00385835">
        <w:tblPrEx>
          <w:shd w:val="clear" w:color="auto" w:fill="auto"/>
        </w:tblPrEx>
        <w:tc>
          <w:tcPr>
            <w:tcW w:w="560" w:type="dxa"/>
            <w:shd w:val="clear" w:color="auto" w:fill="auto"/>
            <w:vAlign w:val="center"/>
          </w:tcPr>
          <w:p w:rsidR="001E0FD8" w:rsidRPr="002C08FA" w:rsidRDefault="00D54F90" w:rsidP="001E0FD8">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2</w:t>
            </w:r>
            <w:r w:rsidR="001E0FD8" w:rsidRPr="002C08FA">
              <w:rPr>
                <w:rFonts w:ascii="Times New Roman" w:eastAsia="AngsanaUPC" w:hAnsi="Times New Roman"/>
                <w:bCs/>
                <w:iCs/>
                <w:sz w:val="18"/>
                <w:szCs w:val="18"/>
                <w:lang w:eastAsia="lt-LT"/>
              </w:rPr>
              <w:t>.</w:t>
            </w:r>
          </w:p>
        </w:tc>
        <w:tc>
          <w:tcPr>
            <w:tcW w:w="2559" w:type="dxa"/>
            <w:shd w:val="clear" w:color="auto" w:fill="auto"/>
            <w:vAlign w:val="center"/>
          </w:tcPr>
          <w:p w:rsidR="001E0FD8" w:rsidRPr="002C08FA" w:rsidRDefault="001E0FD8" w:rsidP="001E0FD8">
            <w:pPr>
              <w:widowControl w:val="0"/>
              <w:tabs>
                <w:tab w:val="left" w:pos="622"/>
              </w:tabs>
              <w:spacing w:after="0" w:line="240" w:lineRule="auto"/>
              <w:rPr>
                <w:rFonts w:ascii="Times New Roman" w:eastAsia="AngsanaUPC" w:hAnsi="Times New Roman"/>
                <w:bCs/>
                <w:iCs/>
                <w:sz w:val="18"/>
                <w:szCs w:val="18"/>
                <w:lang w:eastAsia="lt-LT"/>
              </w:rPr>
            </w:pPr>
            <w:r w:rsidRPr="002C08FA">
              <w:rPr>
                <w:rFonts w:ascii="Times New Roman" w:eastAsia="Times New Roman" w:hAnsi="Times New Roman"/>
                <w:sz w:val="18"/>
                <w:szCs w:val="18"/>
              </w:rPr>
              <w:t>Investicijas gaunančių įmonių skaičius</w:t>
            </w:r>
          </w:p>
        </w:tc>
        <w:tc>
          <w:tcPr>
            <w:tcW w:w="1134" w:type="dxa"/>
            <w:shd w:val="clear" w:color="auto" w:fill="auto"/>
            <w:vAlign w:val="center"/>
          </w:tcPr>
          <w:p w:rsidR="001E0FD8" w:rsidRPr="002C08FA" w:rsidRDefault="001E0FD8" w:rsidP="001E0FD8">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Įmonės</w:t>
            </w:r>
          </w:p>
        </w:tc>
        <w:tc>
          <w:tcPr>
            <w:tcW w:w="850" w:type="dxa"/>
            <w:shd w:val="clear" w:color="auto" w:fill="auto"/>
            <w:vAlign w:val="center"/>
          </w:tcPr>
          <w:p w:rsidR="001E0FD8" w:rsidRPr="002C08FA" w:rsidRDefault="001E0FD8" w:rsidP="001E0FD8">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ERPF</w:t>
            </w:r>
          </w:p>
        </w:tc>
        <w:tc>
          <w:tcPr>
            <w:tcW w:w="1134" w:type="dxa"/>
            <w:shd w:val="clear" w:color="auto" w:fill="auto"/>
            <w:vAlign w:val="center"/>
          </w:tcPr>
          <w:p w:rsidR="001E0FD8" w:rsidRPr="002C08FA" w:rsidRDefault="001E0FD8" w:rsidP="001E0FD8">
            <w:pPr>
              <w:widowControl w:val="0"/>
              <w:tabs>
                <w:tab w:val="left" w:pos="622"/>
              </w:tabs>
              <w:spacing w:after="0" w:line="240" w:lineRule="auto"/>
              <w:jc w:val="center"/>
              <w:rPr>
                <w:rFonts w:ascii="Times New Roman" w:eastAsia="AngsanaUPC" w:hAnsi="Times New Roman"/>
                <w:bCs/>
                <w:sz w:val="18"/>
                <w:szCs w:val="18"/>
                <w:lang w:eastAsia="lt-LT"/>
              </w:rPr>
            </w:pPr>
            <w:r w:rsidRPr="002C08FA">
              <w:rPr>
                <w:rFonts w:ascii="Times New Roman" w:eastAsia="AngsanaUPC" w:hAnsi="Times New Roman"/>
                <w:bCs/>
                <w:iCs/>
                <w:sz w:val="18"/>
                <w:szCs w:val="18"/>
                <w:lang w:eastAsia="lt-LT"/>
              </w:rPr>
              <w:t>Mažiau išsivystęs</w:t>
            </w:r>
          </w:p>
        </w:tc>
        <w:tc>
          <w:tcPr>
            <w:tcW w:w="1134" w:type="dxa"/>
            <w:shd w:val="clear" w:color="auto" w:fill="auto"/>
            <w:vAlign w:val="center"/>
          </w:tcPr>
          <w:p w:rsidR="001E0FD8" w:rsidRPr="002C08FA" w:rsidRDefault="00AE56FE" w:rsidP="001E0FD8">
            <w:pPr>
              <w:widowControl w:val="0"/>
              <w:tabs>
                <w:tab w:val="left" w:pos="622"/>
              </w:tabs>
              <w:spacing w:after="0" w:line="240" w:lineRule="auto"/>
              <w:jc w:val="center"/>
              <w:rPr>
                <w:rFonts w:ascii="Times New Roman" w:eastAsia="Times New Roman" w:hAnsi="Times New Roman"/>
                <w:sz w:val="18"/>
                <w:szCs w:val="18"/>
              </w:rPr>
            </w:pPr>
            <w:r w:rsidRPr="002C08FA">
              <w:rPr>
                <w:rFonts w:ascii="Times New Roman" w:eastAsia="Times New Roman" w:hAnsi="Times New Roman"/>
                <w:sz w:val="18"/>
                <w:szCs w:val="18"/>
              </w:rPr>
              <w:t>151</w:t>
            </w:r>
          </w:p>
        </w:tc>
        <w:tc>
          <w:tcPr>
            <w:tcW w:w="1134" w:type="dxa"/>
            <w:shd w:val="clear" w:color="auto" w:fill="auto"/>
            <w:vAlign w:val="center"/>
          </w:tcPr>
          <w:p w:rsidR="001E0FD8" w:rsidRPr="007F34F1" w:rsidRDefault="001E0FD8" w:rsidP="001E0FD8">
            <w:pPr>
              <w:widowControl w:val="0"/>
              <w:tabs>
                <w:tab w:val="left" w:pos="622"/>
              </w:tabs>
              <w:spacing w:after="0" w:line="240" w:lineRule="auto"/>
              <w:jc w:val="center"/>
              <w:rPr>
                <w:rFonts w:ascii="Times New Roman" w:eastAsia="AngsanaUPC" w:hAnsi="Times New Roman"/>
                <w:bCs/>
                <w:iCs/>
                <w:sz w:val="18"/>
                <w:szCs w:val="18"/>
                <w:lang w:eastAsia="lt-LT"/>
              </w:rPr>
            </w:pPr>
            <w:r w:rsidRPr="007F34F1">
              <w:rPr>
                <w:rFonts w:ascii="Times New Roman" w:eastAsia="AngsanaUPC" w:hAnsi="Times New Roman"/>
                <w:bCs/>
                <w:iCs/>
                <w:sz w:val="18"/>
                <w:szCs w:val="18"/>
                <w:lang w:eastAsia="lt-LT"/>
              </w:rPr>
              <w:t>Duomenys iš projektų</w:t>
            </w:r>
          </w:p>
        </w:tc>
        <w:tc>
          <w:tcPr>
            <w:tcW w:w="1241" w:type="dxa"/>
            <w:shd w:val="clear" w:color="auto" w:fill="auto"/>
            <w:vAlign w:val="center"/>
          </w:tcPr>
          <w:p w:rsidR="001E0FD8" w:rsidRPr="007F34F1" w:rsidRDefault="001E0FD8" w:rsidP="001E0FD8">
            <w:pPr>
              <w:widowControl w:val="0"/>
              <w:tabs>
                <w:tab w:val="left" w:pos="622"/>
              </w:tabs>
              <w:spacing w:after="0" w:line="240" w:lineRule="auto"/>
              <w:jc w:val="center"/>
              <w:rPr>
                <w:rFonts w:ascii="Times New Roman" w:eastAsia="AngsanaUPC" w:hAnsi="Times New Roman"/>
                <w:bCs/>
                <w:iCs/>
                <w:sz w:val="18"/>
                <w:szCs w:val="18"/>
                <w:lang w:eastAsia="lt-LT"/>
              </w:rPr>
            </w:pPr>
            <w:r w:rsidRPr="007F34F1">
              <w:rPr>
                <w:rFonts w:ascii="Times New Roman" w:eastAsia="AngsanaUPC" w:hAnsi="Times New Roman"/>
                <w:bCs/>
                <w:iCs/>
                <w:sz w:val="18"/>
                <w:szCs w:val="18"/>
                <w:lang w:eastAsia="lt-LT"/>
              </w:rPr>
              <w:t>Kartą per metus</w:t>
            </w:r>
          </w:p>
        </w:tc>
      </w:tr>
      <w:tr w:rsidR="001E0FD8" w:rsidRPr="007F34F1" w:rsidTr="00385835">
        <w:tblPrEx>
          <w:shd w:val="clear" w:color="auto" w:fill="auto"/>
        </w:tblPrEx>
        <w:tc>
          <w:tcPr>
            <w:tcW w:w="560" w:type="dxa"/>
            <w:shd w:val="clear" w:color="auto" w:fill="auto"/>
            <w:vAlign w:val="center"/>
          </w:tcPr>
          <w:p w:rsidR="001E0FD8" w:rsidRPr="002C08FA" w:rsidRDefault="00D54F90" w:rsidP="001E0FD8">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3</w:t>
            </w:r>
            <w:r w:rsidR="001E0FD8" w:rsidRPr="002C08FA">
              <w:rPr>
                <w:rFonts w:ascii="Times New Roman" w:eastAsia="AngsanaUPC" w:hAnsi="Times New Roman"/>
                <w:bCs/>
                <w:iCs/>
                <w:sz w:val="18"/>
                <w:szCs w:val="18"/>
                <w:lang w:eastAsia="lt-LT"/>
              </w:rPr>
              <w:t>.</w:t>
            </w:r>
          </w:p>
        </w:tc>
        <w:tc>
          <w:tcPr>
            <w:tcW w:w="2559" w:type="dxa"/>
            <w:shd w:val="clear" w:color="auto" w:fill="auto"/>
            <w:vAlign w:val="center"/>
          </w:tcPr>
          <w:p w:rsidR="001E0FD8" w:rsidRPr="002C08FA" w:rsidRDefault="001E0FD8" w:rsidP="001E0FD8">
            <w:pPr>
              <w:widowControl w:val="0"/>
              <w:tabs>
                <w:tab w:val="left" w:pos="622"/>
              </w:tabs>
              <w:spacing w:after="0" w:line="240" w:lineRule="auto"/>
              <w:rPr>
                <w:rFonts w:ascii="Times New Roman" w:eastAsia="BatangChe" w:hAnsi="Times New Roman"/>
                <w:sz w:val="18"/>
                <w:szCs w:val="18"/>
              </w:rPr>
            </w:pPr>
            <w:r w:rsidRPr="002C08FA">
              <w:rPr>
                <w:rFonts w:ascii="Times New Roman" w:eastAsia="BatangChe" w:hAnsi="Times New Roman"/>
                <w:sz w:val="18"/>
                <w:szCs w:val="18"/>
              </w:rPr>
              <w:t xml:space="preserve">Subsidijas gaunančių įmonių </w:t>
            </w:r>
            <w:r w:rsidRPr="002C08FA">
              <w:rPr>
                <w:rFonts w:ascii="Times New Roman" w:eastAsia="BatangChe" w:hAnsi="Times New Roman"/>
                <w:sz w:val="18"/>
                <w:szCs w:val="18"/>
              </w:rPr>
              <w:lastRenderedPageBreak/>
              <w:t>skaičius</w:t>
            </w:r>
          </w:p>
        </w:tc>
        <w:tc>
          <w:tcPr>
            <w:tcW w:w="1134" w:type="dxa"/>
            <w:shd w:val="clear" w:color="auto" w:fill="auto"/>
            <w:vAlign w:val="center"/>
          </w:tcPr>
          <w:p w:rsidR="001E0FD8" w:rsidRPr="002C08FA" w:rsidRDefault="001E0FD8" w:rsidP="001E0FD8">
            <w:pPr>
              <w:widowControl w:val="0"/>
              <w:tabs>
                <w:tab w:val="left" w:pos="622"/>
              </w:tabs>
              <w:spacing w:after="0" w:line="240" w:lineRule="auto"/>
              <w:jc w:val="center"/>
              <w:rPr>
                <w:rFonts w:ascii="Times New Roman" w:eastAsia="Times New Roman" w:hAnsi="Times New Roman"/>
                <w:sz w:val="18"/>
                <w:szCs w:val="18"/>
              </w:rPr>
            </w:pPr>
            <w:r w:rsidRPr="002C08FA">
              <w:rPr>
                <w:rFonts w:ascii="Times New Roman" w:eastAsia="Times New Roman" w:hAnsi="Times New Roman"/>
                <w:sz w:val="18"/>
                <w:szCs w:val="18"/>
              </w:rPr>
              <w:lastRenderedPageBreak/>
              <w:t>Įmonės</w:t>
            </w:r>
          </w:p>
        </w:tc>
        <w:tc>
          <w:tcPr>
            <w:tcW w:w="850" w:type="dxa"/>
            <w:shd w:val="clear" w:color="auto" w:fill="auto"/>
            <w:vAlign w:val="center"/>
          </w:tcPr>
          <w:p w:rsidR="001E0FD8" w:rsidRPr="002C08FA" w:rsidRDefault="001E0FD8" w:rsidP="001E0FD8">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ERPF</w:t>
            </w:r>
          </w:p>
        </w:tc>
        <w:tc>
          <w:tcPr>
            <w:tcW w:w="1134" w:type="dxa"/>
            <w:shd w:val="clear" w:color="auto" w:fill="auto"/>
            <w:vAlign w:val="center"/>
          </w:tcPr>
          <w:p w:rsidR="001E0FD8" w:rsidRPr="002C08FA" w:rsidRDefault="001E0FD8" w:rsidP="001E0FD8">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 xml:space="preserve">Mažiau </w:t>
            </w:r>
            <w:r w:rsidRPr="002C08FA">
              <w:rPr>
                <w:rFonts w:ascii="Times New Roman" w:eastAsia="AngsanaUPC" w:hAnsi="Times New Roman"/>
                <w:bCs/>
                <w:iCs/>
                <w:sz w:val="18"/>
                <w:szCs w:val="18"/>
                <w:lang w:eastAsia="lt-LT"/>
              </w:rPr>
              <w:lastRenderedPageBreak/>
              <w:t>išsivystęs</w:t>
            </w:r>
          </w:p>
        </w:tc>
        <w:tc>
          <w:tcPr>
            <w:tcW w:w="1134" w:type="dxa"/>
            <w:shd w:val="clear" w:color="auto" w:fill="auto"/>
            <w:vAlign w:val="center"/>
          </w:tcPr>
          <w:p w:rsidR="001E0FD8" w:rsidRPr="002C08FA" w:rsidRDefault="00AE56FE" w:rsidP="001E0FD8">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lastRenderedPageBreak/>
              <w:t>151</w:t>
            </w:r>
          </w:p>
        </w:tc>
        <w:tc>
          <w:tcPr>
            <w:tcW w:w="1134" w:type="dxa"/>
            <w:shd w:val="clear" w:color="auto" w:fill="auto"/>
            <w:vAlign w:val="center"/>
          </w:tcPr>
          <w:p w:rsidR="001E0FD8" w:rsidRPr="007F34F1" w:rsidRDefault="001E0FD8" w:rsidP="001E0FD8">
            <w:pPr>
              <w:widowControl w:val="0"/>
              <w:tabs>
                <w:tab w:val="left" w:pos="622"/>
              </w:tabs>
              <w:spacing w:after="0" w:line="240" w:lineRule="auto"/>
              <w:jc w:val="center"/>
              <w:rPr>
                <w:rFonts w:ascii="Times New Roman" w:eastAsia="AngsanaUPC" w:hAnsi="Times New Roman"/>
                <w:bCs/>
                <w:iCs/>
                <w:sz w:val="18"/>
                <w:szCs w:val="18"/>
                <w:lang w:eastAsia="lt-LT"/>
              </w:rPr>
            </w:pPr>
            <w:r w:rsidRPr="007F34F1">
              <w:rPr>
                <w:rFonts w:ascii="Times New Roman" w:eastAsia="AngsanaUPC" w:hAnsi="Times New Roman"/>
                <w:bCs/>
                <w:iCs/>
                <w:sz w:val="18"/>
                <w:szCs w:val="18"/>
                <w:lang w:eastAsia="lt-LT"/>
              </w:rPr>
              <w:t xml:space="preserve">Duomenys </w:t>
            </w:r>
            <w:r w:rsidRPr="007F34F1">
              <w:rPr>
                <w:rFonts w:ascii="Times New Roman" w:eastAsia="AngsanaUPC" w:hAnsi="Times New Roman"/>
                <w:bCs/>
                <w:iCs/>
                <w:sz w:val="18"/>
                <w:szCs w:val="18"/>
                <w:lang w:eastAsia="lt-LT"/>
              </w:rPr>
              <w:lastRenderedPageBreak/>
              <w:t>iš projektų</w:t>
            </w:r>
          </w:p>
        </w:tc>
        <w:tc>
          <w:tcPr>
            <w:tcW w:w="1241" w:type="dxa"/>
            <w:shd w:val="clear" w:color="auto" w:fill="auto"/>
            <w:vAlign w:val="center"/>
          </w:tcPr>
          <w:p w:rsidR="001E0FD8" w:rsidRPr="007F34F1" w:rsidRDefault="001E0FD8" w:rsidP="001E0FD8">
            <w:pPr>
              <w:widowControl w:val="0"/>
              <w:tabs>
                <w:tab w:val="left" w:pos="622"/>
              </w:tabs>
              <w:spacing w:after="0" w:line="240" w:lineRule="auto"/>
              <w:jc w:val="center"/>
              <w:rPr>
                <w:rFonts w:ascii="Times New Roman" w:eastAsia="AngsanaUPC" w:hAnsi="Times New Roman"/>
                <w:bCs/>
                <w:iCs/>
                <w:sz w:val="18"/>
                <w:szCs w:val="18"/>
                <w:lang w:eastAsia="lt-LT"/>
              </w:rPr>
            </w:pPr>
            <w:r w:rsidRPr="007F34F1">
              <w:rPr>
                <w:rFonts w:ascii="Times New Roman" w:eastAsia="AngsanaUPC" w:hAnsi="Times New Roman"/>
                <w:bCs/>
                <w:iCs/>
                <w:sz w:val="18"/>
                <w:szCs w:val="18"/>
                <w:lang w:eastAsia="lt-LT"/>
              </w:rPr>
              <w:lastRenderedPageBreak/>
              <w:t xml:space="preserve">Kartą per </w:t>
            </w:r>
            <w:r w:rsidRPr="007F34F1">
              <w:rPr>
                <w:rFonts w:ascii="Times New Roman" w:eastAsia="AngsanaUPC" w:hAnsi="Times New Roman"/>
                <w:bCs/>
                <w:iCs/>
                <w:sz w:val="18"/>
                <w:szCs w:val="18"/>
                <w:lang w:eastAsia="lt-LT"/>
              </w:rPr>
              <w:lastRenderedPageBreak/>
              <w:t>metus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vAlign w:val="center"/>
          </w:tcPr>
          <w:p w:rsidR="00385835" w:rsidRPr="00385835" w:rsidRDefault="00385835" w:rsidP="00385835">
            <w:pPr>
              <w:widowControl w:val="0"/>
              <w:tabs>
                <w:tab w:val="left" w:pos="622"/>
              </w:tabs>
              <w:spacing w:after="0" w:line="240" w:lineRule="auto"/>
              <w:jc w:val="both"/>
              <w:rPr>
                <w:rFonts w:ascii="Times New Roman" w:eastAsia="AngsanaUPC" w:hAnsi="Times New Roman"/>
                <w:b/>
                <w:bCs/>
                <w:iCs/>
                <w:sz w:val="24"/>
                <w:szCs w:val="24"/>
                <w:lang w:eastAsia="lt-LT"/>
              </w:rPr>
            </w:pPr>
            <w:r w:rsidRPr="00385835">
              <w:rPr>
                <w:rFonts w:ascii="Times New Roman" w:eastAsia="AngsanaUPC" w:hAnsi="Times New Roman"/>
                <w:b/>
                <w:bCs/>
                <w:iCs/>
                <w:sz w:val="24"/>
                <w:szCs w:val="24"/>
                <w:lang w:eastAsia="lt-LT"/>
              </w:rPr>
              <w:t>4.3. INVESTICINIS PRIORITETAS</w:t>
            </w:r>
          </w:p>
        </w:tc>
        <w:tc>
          <w:tcPr>
            <w:tcW w:w="7336" w:type="dxa"/>
            <w:shd w:val="clear" w:color="auto" w:fill="EEECE1"/>
          </w:tcPr>
          <w:p w:rsidR="00385835" w:rsidRPr="00385835" w:rsidRDefault="00385835" w:rsidP="00385835">
            <w:pPr>
              <w:spacing w:after="0" w:line="240" w:lineRule="auto"/>
              <w:jc w:val="both"/>
              <w:rPr>
                <w:rFonts w:ascii="Times New Roman" w:hAnsi="Times New Roman"/>
                <w:b/>
                <w:sz w:val="24"/>
                <w:szCs w:val="24"/>
              </w:rPr>
            </w:pPr>
            <w:r w:rsidRPr="00385835">
              <w:rPr>
                <w:rFonts w:ascii="Times New Roman" w:hAnsi="Times New Roman"/>
                <w:b/>
                <w:sz w:val="24"/>
                <w:szCs w:val="24"/>
              </w:rPr>
              <w:t>Energijos vartojimo efektyvumo, pažangaus energijos valdymo ir AIE vartojimo viešosiose infrastruktūrose, įskaitant viešuosius pastatus ir gyvenamųjų namų sektorių, rėmimas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FONDAS</w:t>
            </w:r>
          </w:p>
        </w:tc>
        <w:tc>
          <w:tcPr>
            <w:tcW w:w="7336"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Europos regioninės plėtros fondas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vAlign w:val="center"/>
          </w:tcPr>
          <w:p w:rsidR="00385835" w:rsidRPr="00385835" w:rsidRDefault="00385835" w:rsidP="00385835">
            <w:pPr>
              <w:widowControl w:val="0"/>
              <w:tabs>
                <w:tab w:val="left" w:pos="622"/>
              </w:tabs>
              <w:spacing w:after="0" w:line="240" w:lineRule="auto"/>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4.3.1. KONKRETUS UŽDAVINYS</w:t>
            </w:r>
          </w:p>
        </w:tc>
        <w:tc>
          <w:tcPr>
            <w:tcW w:w="7336" w:type="dxa"/>
            <w:shd w:val="clear" w:color="auto" w:fill="EEECE1"/>
            <w:vAlign w:val="center"/>
          </w:tcPr>
          <w:p w:rsidR="00385835" w:rsidRPr="00385835" w:rsidRDefault="00385835" w:rsidP="00385835">
            <w:pPr>
              <w:spacing w:after="0" w:line="240" w:lineRule="auto"/>
              <w:jc w:val="both"/>
              <w:rPr>
                <w:rFonts w:ascii="Times New Roman" w:hAnsi="Times New Roman"/>
                <w:b/>
                <w:sz w:val="24"/>
                <w:szCs w:val="24"/>
              </w:rPr>
            </w:pPr>
            <w:r w:rsidRPr="00385835">
              <w:rPr>
                <w:rFonts w:ascii="Times New Roman" w:hAnsi="Times New Roman"/>
                <w:b/>
                <w:sz w:val="24"/>
                <w:szCs w:val="24"/>
              </w:rPr>
              <w:t>Sumažinti energijos suvartojimą viešojoje infrastruktūroj</w:t>
            </w:r>
            <w:r w:rsidR="00031EF1">
              <w:rPr>
                <w:rFonts w:ascii="Times New Roman" w:hAnsi="Times New Roman"/>
                <w:b/>
                <w:sz w:val="24"/>
                <w:szCs w:val="24"/>
              </w:rPr>
              <w:t>e ir daugiabučiuose namuose</w:t>
            </w:r>
          </w:p>
        </w:tc>
      </w:tr>
      <w:tr w:rsidR="00385835" w:rsidRPr="00385835" w:rsidTr="00385835">
        <w:tc>
          <w:tcPr>
            <w:tcW w:w="9746" w:type="dxa"/>
            <w:gridSpan w:val="2"/>
            <w:shd w:val="clear" w:color="auto" w:fill="auto"/>
          </w:tcPr>
          <w:p w:rsidR="00385835" w:rsidRPr="00385835" w:rsidRDefault="00385835" w:rsidP="00385835">
            <w:pPr>
              <w:widowControl w:val="0"/>
              <w:tabs>
                <w:tab w:val="left" w:pos="622"/>
              </w:tabs>
              <w:spacing w:after="0" w:line="240" w:lineRule="auto"/>
              <w:ind w:firstLine="601"/>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Lietuvoje energijos vartojimo efektyvumas per pastarąjį dešimtmetį (2000–2010 m.) sparčiai augo. 2010 m. galutinės energijos vartojimo intensyvumas Lietuvoje buvo 21,5 proc. mažesnis nei 2000 m.</w:t>
            </w:r>
          </w:p>
          <w:p w:rsidR="00385835" w:rsidRPr="00385835" w:rsidRDefault="00385835" w:rsidP="00385835">
            <w:pPr>
              <w:widowControl w:val="0"/>
              <w:tabs>
                <w:tab w:val="left" w:pos="622"/>
              </w:tabs>
              <w:spacing w:after="0" w:line="240" w:lineRule="auto"/>
              <w:ind w:firstLine="601"/>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Nepaisant teigiamų energijos intensyvumo pokyčių, Lietuvoje energijos suvartojama žymiai daugiau nei vidutiniškai ES ar atitinkamose senosiose ES šalyse narėse. Atnaujinant esamus daugiabučius ir viešosios paskirties pastatus galima pasiekti nuo 30 iki 50 proc. ekonominį energijo</w:t>
            </w:r>
            <w:r w:rsidR="00D21E6D">
              <w:rPr>
                <w:rFonts w:ascii="Times New Roman" w:eastAsia="AngsanaUPC" w:hAnsi="Times New Roman"/>
                <w:bCs/>
                <w:sz w:val="24"/>
                <w:szCs w:val="24"/>
                <w:lang w:eastAsia="lt-LT"/>
              </w:rPr>
              <w:t xml:space="preserve">s taupymo potencialą; taip pat, </w:t>
            </w:r>
            <w:r w:rsidRPr="00385835">
              <w:rPr>
                <w:rFonts w:ascii="Times New Roman" w:eastAsia="AngsanaUPC" w:hAnsi="Times New Roman"/>
                <w:bCs/>
                <w:sz w:val="24"/>
                <w:szCs w:val="24"/>
                <w:lang w:eastAsia="lt-LT"/>
              </w:rPr>
              <w:t>siekiant įgyvendinti Europos Parlamento ir Tarybos direktyvos 2012/27/ES dėl energijos vartojimo efektyvumo reikalavimus iki 2020 m. 20 proc. sumažinti energijos suvartojimą ir pasiekti minimalius pastatų energinio naudingumo reikalavimus bei kasmet renovuoti po 3 proc. bendro centrinės valdžios subjektams priklausančių ir jų naudojamų šildomų ir (arba) vėsinamų pastatų patalpų ploto</w:t>
            </w:r>
            <w:r w:rsidR="00D21E6D">
              <w:rPr>
                <w:rFonts w:ascii="Times New Roman" w:eastAsia="AngsanaUPC" w:hAnsi="Times New Roman"/>
                <w:bCs/>
                <w:sz w:val="24"/>
                <w:szCs w:val="24"/>
                <w:lang w:eastAsia="lt-LT"/>
              </w:rPr>
              <w:t>,</w:t>
            </w:r>
            <w:r w:rsidRPr="00385835">
              <w:rPr>
                <w:rFonts w:ascii="Times New Roman" w:eastAsia="AngsanaUPC" w:hAnsi="Times New Roman"/>
                <w:bCs/>
                <w:sz w:val="24"/>
                <w:szCs w:val="24"/>
                <w:lang w:eastAsia="lt-LT"/>
              </w:rPr>
              <w:t xml:space="preserve"> būtina tęsti investicijas į senų daugiabučių, gyvenamųjų ir viešosios paskirties pastatų energijos vartojimo efektyvumo didinimą. </w:t>
            </w:r>
          </w:p>
          <w:p w:rsidR="00385835" w:rsidRPr="00385835" w:rsidRDefault="00385835" w:rsidP="00385835">
            <w:pPr>
              <w:widowControl w:val="0"/>
              <w:tabs>
                <w:tab w:val="left" w:pos="622"/>
              </w:tabs>
              <w:spacing w:after="0" w:line="240" w:lineRule="auto"/>
              <w:ind w:firstLine="601"/>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 xml:space="preserve">Gyvenamųjų namų renovavimo sėkmei reikalingas platesnis valdymo ir socialinių inovacijų panaudojimas šioje srityje – kvartalinės renovacijos, Energy service company (ESCO) modeliu besiremiančios renovacijos, išradingesnis kompleksinis renovacijos viešinimas ir valdymas. </w:t>
            </w:r>
          </w:p>
          <w:p w:rsidR="00385835" w:rsidRPr="002C08FA" w:rsidRDefault="00385835" w:rsidP="00385835">
            <w:pPr>
              <w:widowControl w:val="0"/>
              <w:tabs>
                <w:tab w:val="left" w:pos="622"/>
              </w:tabs>
              <w:spacing w:after="0" w:line="240" w:lineRule="auto"/>
              <w:ind w:firstLine="601"/>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 xml:space="preserve">Siektinas ekonominis energijos taupymo potencialas gyvenamuosiuose pastatuose ir jų inžinerinėse sistemose – 5,2 TWh, o visuomeninės paskirties pastatuose ir jų inžinerinėse </w:t>
            </w:r>
            <w:r w:rsidRPr="002C08FA">
              <w:rPr>
                <w:rFonts w:ascii="Times New Roman" w:eastAsia="AngsanaUPC" w:hAnsi="Times New Roman"/>
                <w:bCs/>
                <w:sz w:val="24"/>
                <w:szCs w:val="24"/>
                <w:lang w:eastAsia="lt-LT"/>
              </w:rPr>
              <w:t>sistemose – 2,5 TWh.</w:t>
            </w:r>
          </w:p>
          <w:p w:rsidR="00385835" w:rsidRPr="00385835" w:rsidRDefault="00385835" w:rsidP="00AE56FE">
            <w:pPr>
              <w:widowControl w:val="0"/>
              <w:tabs>
                <w:tab w:val="left" w:pos="622"/>
              </w:tabs>
              <w:spacing w:after="0" w:line="240" w:lineRule="auto"/>
              <w:ind w:firstLine="601"/>
              <w:jc w:val="both"/>
              <w:rPr>
                <w:rFonts w:ascii="Times New Roman" w:eastAsia="AngsanaUPC" w:hAnsi="Times New Roman"/>
                <w:bCs/>
                <w:sz w:val="24"/>
                <w:szCs w:val="24"/>
                <w:lang w:eastAsia="lt-LT"/>
              </w:rPr>
            </w:pPr>
            <w:r w:rsidRPr="002C08FA">
              <w:rPr>
                <w:rFonts w:ascii="Times New Roman" w:eastAsia="AngsanaUPC" w:hAnsi="Times New Roman"/>
                <w:bCs/>
                <w:sz w:val="24"/>
                <w:szCs w:val="24"/>
                <w:lang w:eastAsia="lt-LT"/>
              </w:rPr>
              <w:t>Taip pat nemažas energijos taupymo potencialas yra ir modernizuojant gatvių apšvietimą. Sėkmingai įgyvendinus tokius projektus, būtų galima sutaupyti iki 50 proc. energijos, o eksploatacijos sąnaudos sumažėtų 60 proc.</w:t>
            </w:r>
            <w:r w:rsidRPr="00385835">
              <w:rPr>
                <w:rFonts w:ascii="Times New Roman" w:eastAsia="AngsanaUPC" w:hAnsi="Times New Roman"/>
                <w:bCs/>
                <w:sz w:val="24"/>
                <w:szCs w:val="24"/>
                <w:lang w:eastAsia="lt-LT"/>
              </w:rPr>
              <w:t xml:space="preserve"> </w:t>
            </w:r>
          </w:p>
        </w:tc>
      </w:tr>
    </w:tbl>
    <w:p w:rsidR="007F34F1" w:rsidRPr="00385835" w:rsidRDefault="007F34F1"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567"/>
        <w:gridCol w:w="1701"/>
        <w:gridCol w:w="1134"/>
        <w:gridCol w:w="1134"/>
        <w:gridCol w:w="851"/>
        <w:gridCol w:w="992"/>
        <w:gridCol w:w="851"/>
        <w:gridCol w:w="1275"/>
        <w:gridCol w:w="1241"/>
      </w:tblGrid>
      <w:tr w:rsidR="00385835" w:rsidRPr="00385835" w:rsidTr="00385835">
        <w:tc>
          <w:tcPr>
            <w:tcW w:w="9746" w:type="dxa"/>
            <w:gridSpan w:val="9"/>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i/>
                <w:iCs/>
                <w:sz w:val="24"/>
                <w:szCs w:val="24"/>
                <w:lang w:eastAsia="lt-LT"/>
              </w:rPr>
            </w:pPr>
            <w:r w:rsidRPr="00385835">
              <w:rPr>
                <w:rFonts w:ascii="Times New Roman" w:eastAsia="AngsanaUPC" w:hAnsi="Times New Roman"/>
                <w:b/>
                <w:bCs/>
                <w:i/>
                <w:iCs/>
                <w:sz w:val="24"/>
                <w:szCs w:val="24"/>
                <w:lang w:eastAsia="lt-LT"/>
              </w:rPr>
              <w:t xml:space="preserve">ERPF </w:t>
            </w:r>
            <w:r w:rsidR="00DA04FC">
              <w:rPr>
                <w:rFonts w:ascii="Times New Roman" w:eastAsia="AngsanaUPC" w:hAnsi="Times New Roman"/>
                <w:b/>
                <w:bCs/>
                <w:i/>
                <w:iCs/>
                <w:sz w:val="24"/>
                <w:szCs w:val="24"/>
                <w:lang w:eastAsia="lt-LT"/>
              </w:rPr>
              <w:t xml:space="preserve">specialieji </w:t>
            </w:r>
            <w:r w:rsidRPr="00385835">
              <w:rPr>
                <w:rFonts w:ascii="Times New Roman" w:eastAsia="AngsanaUPC" w:hAnsi="Times New Roman"/>
                <w:b/>
                <w:bCs/>
                <w:i/>
                <w:iCs/>
                <w:sz w:val="24"/>
                <w:szCs w:val="24"/>
                <w:lang w:eastAsia="lt-LT"/>
              </w:rPr>
              <w:t>programos rezultato rodikliai</w:t>
            </w:r>
          </w:p>
        </w:tc>
      </w:tr>
      <w:tr w:rsidR="00385835" w:rsidRPr="00385835" w:rsidTr="00784CD6">
        <w:tblPrEx>
          <w:shd w:val="clear" w:color="auto" w:fill="auto"/>
        </w:tblPrEx>
        <w:trPr>
          <w:cantSplit/>
          <w:trHeight w:val="665"/>
        </w:trPr>
        <w:tc>
          <w:tcPr>
            <w:tcW w:w="567" w:type="dxa"/>
            <w:shd w:val="clear" w:color="auto" w:fill="F2F2F2"/>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Nr.</w:t>
            </w:r>
          </w:p>
        </w:tc>
        <w:tc>
          <w:tcPr>
            <w:tcW w:w="1701" w:type="dxa"/>
            <w:shd w:val="clear" w:color="auto" w:fill="F2F2F2"/>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Rodiklio pavadinimas</w:t>
            </w:r>
          </w:p>
        </w:tc>
        <w:tc>
          <w:tcPr>
            <w:tcW w:w="1134" w:type="dxa"/>
            <w:shd w:val="clear" w:color="auto" w:fill="F2F2F2"/>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Matavimo vienetas</w:t>
            </w:r>
          </w:p>
        </w:tc>
        <w:tc>
          <w:tcPr>
            <w:tcW w:w="1134" w:type="dxa"/>
            <w:shd w:val="clear" w:color="auto" w:fill="F2F2F2"/>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Regiono kategorija</w:t>
            </w:r>
          </w:p>
        </w:tc>
        <w:tc>
          <w:tcPr>
            <w:tcW w:w="851" w:type="dxa"/>
            <w:shd w:val="clear" w:color="auto" w:fill="F2F2F2"/>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 reikšmė</w:t>
            </w:r>
          </w:p>
        </w:tc>
        <w:tc>
          <w:tcPr>
            <w:tcW w:w="992" w:type="dxa"/>
            <w:shd w:val="clear" w:color="auto" w:fill="F2F2F2"/>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Pradinės reikšmės metai</w:t>
            </w:r>
          </w:p>
        </w:tc>
        <w:tc>
          <w:tcPr>
            <w:tcW w:w="851" w:type="dxa"/>
            <w:shd w:val="clear" w:color="auto" w:fill="F2F2F2"/>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Siektina reikšmė (2023)</w:t>
            </w:r>
          </w:p>
        </w:tc>
        <w:tc>
          <w:tcPr>
            <w:tcW w:w="1275" w:type="dxa"/>
            <w:shd w:val="clear" w:color="auto" w:fill="F2F2F2"/>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Duomenų šaltinis</w:t>
            </w:r>
          </w:p>
        </w:tc>
        <w:tc>
          <w:tcPr>
            <w:tcW w:w="1241" w:type="dxa"/>
            <w:shd w:val="clear" w:color="auto" w:fill="F2F2F2"/>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Atsiskaitymo dažnumas</w:t>
            </w:r>
          </w:p>
        </w:tc>
      </w:tr>
      <w:tr w:rsidR="00385835" w:rsidRPr="00385835" w:rsidTr="00784CD6">
        <w:tblPrEx>
          <w:shd w:val="clear" w:color="auto" w:fill="auto"/>
        </w:tblPrEx>
        <w:tc>
          <w:tcPr>
            <w:tcW w:w="56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w:t>
            </w:r>
          </w:p>
        </w:tc>
        <w:tc>
          <w:tcPr>
            <w:tcW w:w="1701" w:type="dxa"/>
            <w:shd w:val="clear" w:color="auto" w:fill="auto"/>
            <w:vAlign w:val="center"/>
          </w:tcPr>
          <w:p w:rsidR="00385835" w:rsidRPr="00385835" w:rsidRDefault="00385835" w:rsidP="00385835">
            <w:pPr>
              <w:widowControl w:val="0"/>
              <w:autoSpaceDE w:val="0"/>
              <w:autoSpaceDN w:val="0"/>
              <w:adjustRightInd w:val="0"/>
              <w:spacing w:after="0" w:line="240" w:lineRule="auto"/>
              <w:rPr>
                <w:rFonts w:ascii="Times New Roman" w:eastAsia="AngsanaUPC" w:hAnsi="Times New Roman"/>
                <w:sz w:val="18"/>
                <w:szCs w:val="18"/>
                <w:lang w:eastAsia="lt-LT"/>
              </w:rPr>
            </w:pPr>
            <w:r w:rsidRPr="00385835">
              <w:rPr>
                <w:rFonts w:ascii="Times New Roman" w:eastAsia="AngsanaUPC" w:hAnsi="Times New Roman"/>
                <w:bCs/>
                <w:sz w:val="18"/>
                <w:szCs w:val="18"/>
                <w:lang w:eastAsia="lt-LT"/>
              </w:rPr>
              <w:t>Sunaudotas galutinės</w:t>
            </w:r>
            <w:r w:rsidRPr="00385835">
              <w:rPr>
                <w:rFonts w:ascii="Times New Roman" w:eastAsia="AngsanaUPC" w:hAnsi="Times New Roman"/>
                <w:sz w:val="18"/>
                <w:szCs w:val="18"/>
                <w:lang w:eastAsia="lt-LT"/>
              </w:rPr>
              <w:t xml:space="preserve"> energijos </w:t>
            </w:r>
            <w:r w:rsidRPr="00385835">
              <w:rPr>
                <w:rFonts w:ascii="Times New Roman" w:eastAsia="AngsanaUPC" w:hAnsi="Times New Roman"/>
                <w:bCs/>
                <w:sz w:val="18"/>
                <w:szCs w:val="18"/>
                <w:lang w:eastAsia="lt-LT"/>
              </w:rPr>
              <w:t>kiekis paslaugų ir namų ūkių sektoriuose</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18"/>
                <w:szCs w:val="18"/>
                <w:lang w:eastAsia="lt-LT"/>
              </w:rPr>
            </w:pPr>
            <w:r w:rsidRPr="00385835">
              <w:rPr>
                <w:rFonts w:ascii="Times New Roman" w:eastAsia="AngsanaUPC" w:hAnsi="Times New Roman"/>
                <w:bCs/>
                <w:sz w:val="18"/>
                <w:szCs w:val="18"/>
                <w:lang w:eastAsia="lt-LT"/>
              </w:rPr>
              <w:t>tūkst. tne</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18"/>
                <w:szCs w:val="18"/>
                <w:lang w:eastAsia="lt-LT"/>
              </w:rPr>
            </w:pPr>
            <w:r w:rsidRPr="00385835">
              <w:rPr>
                <w:rFonts w:ascii="Times New Roman" w:eastAsia="AngsanaUPC" w:hAnsi="Times New Roman"/>
                <w:bCs/>
                <w:sz w:val="18"/>
                <w:szCs w:val="18"/>
                <w:lang w:eastAsia="lt-LT"/>
              </w:rPr>
              <w:t>Mažiau išsivystęs</w:t>
            </w:r>
          </w:p>
        </w:tc>
        <w:tc>
          <w:tcPr>
            <w:tcW w:w="851" w:type="dxa"/>
            <w:shd w:val="clear" w:color="auto" w:fill="auto"/>
            <w:vAlign w:val="center"/>
          </w:tcPr>
          <w:p w:rsidR="00385835" w:rsidRPr="00385835" w:rsidRDefault="00385835" w:rsidP="005F38BD">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w:t>
            </w:r>
            <w:r w:rsidR="005F38BD">
              <w:rPr>
                <w:rFonts w:ascii="Times New Roman" w:eastAsia="AngsanaUPC" w:hAnsi="Times New Roman"/>
                <w:bCs/>
                <w:iCs/>
                <w:sz w:val="18"/>
                <w:szCs w:val="18"/>
                <w:lang w:eastAsia="lt-LT"/>
              </w:rPr>
              <w:t>.</w:t>
            </w:r>
            <w:r w:rsidRPr="00385835">
              <w:rPr>
                <w:rFonts w:ascii="Times New Roman" w:eastAsia="AngsanaUPC" w:hAnsi="Times New Roman"/>
                <w:bCs/>
                <w:iCs/>
                <w:sz w:val="18"/>
                <w:szCs w:val="18"/>
                <w:lang w:eastAsia="lt-LT"/>
              </w:rPr>
              <w:t>109,6</w:t>
            </w:r>
          </w:p>
        </w:tc>
        <w:tc>
          <w:tcPr>
            <w:tcW w:w="992"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2011</w:t>
            </w:r>
          </w:p>
        </w:tc>
        <w:tc>
          <w:tcPr>
            <w:tcW w:w="851" w:type="dxa"/>
            <w:shd w:val="clear" w:color="auto" w:fill="auto"/>
            <w:vAlign w:val="center"/>
          </w:tcPr>
          <w:p w:rsidR="00385835" w:rsidRPr="00385835" w:rsidRDefault="00385835" w:rsidP="00C76808">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w:t>
            </w:r>
            <w:r w:rsidR="00C76808">
              <w:rPr>
                <w:rFonts w:ascii="Times New Roman" w:eastAsia="AngsanaUPC" w:hAnsi="Times New Roman"/>
                <w:bCs/>
                <w:iCs/>
                <w:sz w:val="18"/>
                <w:szCs w:val="18"/>
                <w:lang w:eastAsia="lt-LT"/>
              </w:rPr>
              <w:t>.</w:t>
            </w:r>
            <w:r w:rsidRPr="00385835">
              <w:rPr>
                <w:rFonts w:ascii="Times New Roman" w:eastAsia="AngsanaUPC" w:hAnsi="Times New Roman"/>
                <w:bCs/>
                <w:iCs/>
                <w:sz w:val="18"/>
                <w:szCs w:val="18"/>
                <w:lang w:eastAsia="lt-LT"/>
              </w:rPr>
              <w:t>680</w:t>
            </w:r>
          </w:p>
        </w:tc>
        <w:tc>
          <w:tcPr>
            <w:tcW w:w="1275"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Lietuvos statistikos departamentas</w:t>
            </w:r>
          </w:p>
        </w:tc>
        <w:tc>
          <w:tcPr>
            <w:tcW w:w="124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FONDAS</w:t>
            </w:r>
          </w:p>
        </w:tc>
        <w:tc>
          <w:tcPr>
            <w:tcW w:w="7336"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Sanglaudos fondas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vAlign w:val="center"/>
          </w:tcPr>
          <w:p w:rsidR="00385835" w:rsidRPr="00385835" w:rsidRDefault="00385835" w:rsidP="00385835">
            <w:pPr>
              <w:widowControl w:val="0"/>
              <w:tabs>
                <w:tab w:val="left" w:pos="622"/>
              </w:tabs>
              <w:spacing w:after="0" w:line="240" w:lineRule="auto"/>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4.3.2. KONKRETUS UŽDAVINYS</w:t>
            </w:r>
          </w:p>
        </w:tc>
        <w:tc>
          <w:tcPr>
            <w:tcW w:w="7336" w:type="dxa"/>
            <w:shd w:val="clear" w:color="auto" w:fill="EEECE1"/>
            <w:vAlign w:val="center"/>
          </w:tcPr>
          <w:p w:rsidR="00385835" w:rsidRPr="00385835" w:rsidRDefault="00385835" w:rsidP="00385835">
            <w:pPr>
              <w:spacing w:after="0" w:line="240" w:lineRule="auto"/>
              <w:jc w:val="both"/>
              <w:rPr>
                <w:rFonts w:ascii="Times New Roman" w:hAnsi="Times New Roman"/>
                <w:b/>
                <w:sz w:val="24"/>
                <w:szCs w:val="24"/>
              </w:rPr>
            </w:pPr>
            <w:r w:rsidRPr="00385835">
              <w:rPr>
                <w:rFonts w:ascii="Times New Roman" w:hAnsi="Times New Roman"/>
                <w:b/>
                <w:sz w:val="24"/>
                <w:szCs w:val="24"/>
              </w:rPr>
              <w:t>Padidinti energijos vartojimo efektyvumą šilumos tiekim</w:t>
            </w:r>
            <w:r w:rsidR="00031EF1">
              <w:rPr>
                <w:rFonts w:ascii="Times New Roman" w:hAnsi="Times New Roman"/>
                <w:b/>
                <w:sz w:val="24"/>
                <w:szCs w:val="24"/>
              </w:rPr>
              <w:t>o srityje ir namų ūkiuose</w:t>
            </w:r>
          </w:p>
        </w:tc>
      </w:tr>
      <w:tr w:rsidR="00385835" w:rsidRPr="00385835" w:rsidTr="00385835">
        <w:tc>
          <w:tcPr>
            <w:tcW w:w="9746" w:type="dxa"/>
            <w:gridSpan w:val="2"/>
            <w:shd w:val="clear" w:color="auto" w:fill="auto"/>
          </w:tcPr>
          <w:p w:rsidR="00385835" w:rsidRPr="00385835" w:rsidRDefault="00385835" w:rsidP="00385835">
            <w:pPr>
              <w:widowControl w:val="0"/>
              <w:tabs>
                <w:tab w:val="left" w:pos="622"/>
              </w:tabs>
              <w:spacing w:after="0" w:line="240" w:lineRule="auto"/>
              <w:ind w:firstLine="624"/>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Siekiant spręsti 4.3.1. uždavinio aprašyme minimas energijos intensyvumo/efektyvumo problemas, bus taip pat investuojama į toliau aprašomas sritis.</w:t>
            </w:r>
          </w:p>
          <w:p w:rsidR="00385835" w:rsidRPr="00D54F90" w:rsidRDefault="00AE56FE" w:rsidP="00385835">
            <w:pPr>
              <w:widowControl w:val="0"/>
              <w:tabs>
                <w:tab w:val="left" w:pos="622"/>
              </w:tabs>
              <w:spacing w:after="0" w:line="240" w:lineRule="auto"/>
              <w:ind w:firstLine="624"/>
              <w:jc w:val="both"/>
              <w:rPr>
                <w:rFonts w:ascii="Times New Roman" w:eastAsia="AngsanaUPC" w:hAnsi="Times New Roman"/>
                <w:bCs/>
                <w:sz w:val="24"/>
                <w:szCs w:val="24"/>
                <w:lang w:eastAsia="lt-LT"/>
              </w:rPr>
            </w:pPr>
            <w:r w:rsidRPr="002C08FA">
              <w:rPr>
                <w:rFonts w:ascii="Times New Roman" w:eastAsia="AngsanaUPC" w:hAnsi="Times New Roman"/>
                <w:bCs/>
                <w:sz w:val="24"/>
                <w:szCs w:val="24"/>
                <w:lang w:eastAsia="lt-LT"/>
              </w:rPr>
              <w:t>CŠT</w:t>
            </w:r>
            <w:r w:rsidR="00385835" w:rsidRPr="002C08FA">
              <w:rPr>
                <w:rFonts w:ascii="Times New Roman" w:eastAsia="AngsanaUPC" w:hAnsi="Times New Roman"/>
                <w:bCs/>
                <w:sz w:val="24"/>
                <w:szCs w:val="24"/>
                <w:lang w:eastAsia="lt-LT"/>
              </w:rPr>
              <w:t xml:space="preserve"> </w:t>
            </w:r>
            <w:r w:rsidR="00C909E5" w:rsidRPr="002C08FA">
              <w:rPr>
                <w:rFonts w:ascii="Times New Roman" w:eastAsia="AngsanaUPC" w:hAnsi="Times New Roman"/>
                <w:bCs/>
                <w:sz w:val="24"/>
                <w:szCs w:val="24"/>
                <w:lang w:eastAsia="lt-LT"/>
              </w:rPr>
              <w:t xml:space="preserve">ir šilumos apskaitos </w:t>
            </w:r>
            <w:r w:rsidR="00385835" w:rsidRPr="002C08FA">
              <w:rPr>
                <w:rFonts w:ascii="Times New Roman" w:eastAsia="AngsanaUPC" w:hAnsi="Times New Roman"/>
                <w:bCs/>
                <w:sz w:val="24"/>
                <w:szCs w:val="24"/>
                <w:lang w:eastAsia="lt-LT"/>
              </w:rPr>
              <w:t xml:space="preserve">modernizavimas leistų sumažinti šilumos perdavimo nuostolius tinkluose, pirminės </w:t>
            </w:r>
            <w:r w:rsidRPr="002C08FA">
              <w:rPr>
                <w:rFonts w:ascii="Times New Roman" w:eastAsia="AngsanaUPC" w:hAnsi="Times New Roman"/>
                <w:bCs/>
                <w:sz w:val="24"/>
                <w:szCs w:val="24"/>
                <w:lang w:eastAsia="lt-LT"/>
              </w:rPr>
              <w:t>energijos poreikį</w:t>
            </w:r>
            <w:r w:rsidR="00385835" w:rsidRPr="002C08FA">
              <w:rPr>
                <w:rFonts w:ascii="Times New Roman" w:eastAsia="AngsanaUPC" w:hAnsi="Times New Roman"/>
                <w:bCs/>
                <w:sz w:val="24"/>
                <w:szCs w:val="24"/>
                <w:lang w:eastAsia="lt-LT"/>
              </w:rPr>
              <w:t xml:space="preserve"> bei padidinti šilumos perdavimo patikimumą vartotojams. Nustatyta, kad šilumos nuostolius trasose Lietuvoje techniškai įmanoma sumažinti nuo dabar esamų 16,6 proc. iki 12 proc., o pasinaudojus ES fondų lėšomis per 2014–2020 m. laikotarpį, </w:t>
            </w:r>
            <w:r w:rsidR="00385835" w:rsidRPr="002C08FA">
              <w:rPr>
                <w:rFonts w:ascii="Times New Roman" w:eastAsia="AngsanaUPC" w:hAnsi="Times New Roman"/>
                <w:bCs/>
                <w:sz w:val="24"/>
                <w:szCs w:val="24"/>
                <w:lang w:eastAsia="lt-LT"/>
              </w:rPr>
              <w:lastRenderedPageBreak/>
              <w:t>tikimasi nuostolius sumažinti iki 14 proc.</w:t>
            </w:r>
          </w:p>
          <w:p w:rsidR="00385835" w:rsidRPr="002C08FA" w:rsidRDefault="00385835" w:rsidP="00AE56FE">
            <w:pPr>
              <w:widowControl w:val="0"/>
              <w:tabs>
                <w:tab w:val="left" w:pos="622"/>
              </w:tabs>
              <w:spacing w:after="0" w:line="240" w:lineRule="auto"/>
              <w:ind w:firstLine="624"/>
              <w:jc w:val="both"/>
              <w:rPr>
                <w:rFonts w:ascii="Times New Roman" w:hAnsi="Times New Roman"/>
                <w:sz w:val="24"/>
                <w:szCs w:val="24"/>
                <w:lang w:eastAsia="lt-LT"/>
              </w:rPr>
            </w:pPr>
            <w:r w:rsidRPr="00D54F90">
              <w:rPr>
                <w:rFonts w:ascii="Times New Roman" w:eastAsia="AngsanaUPC" w:hAnsi="Times New Roman"/>
                <w:bCs/>
                <w:sz w:val="24"/>
                <w:szCs w:val="24"/>
                <w:lang w:eastAsia="lt-LT"/>
              </w:rPr>
              <w:t>Kita opi Lietuvos problema – neefektyvus biomasės vartojimas šilumos gamybai prie centralizuotai tiekiamos šilumos sistemos neprijungtuose namų ūkiuose. Tokiuose namų ūkiuose yra sunaudojama beveik tris kartus daugiau biokuro negu centralizuotai tiekiamos šilumos sektoriuje (</w:t>
            </w:r>
            <w:r w:rsidRPr="00D54F90">
              <w:rPr>
                <w:rFonts w:ascii="Times New Roman" w:hAnsi="Times New Roman"/>
                <w:sz w:val="24"/>
                <w:szCs w:val="24"/>
                <w:lang w:eastAsia="lt-LT"/>
              </w:rPr>
              <w:t xml:space="preserve">kad </w:t>
            </w:r>
            <w:r w:rsidR="002D25BD" w:rsidRPr="00D54F90">
              <w:rPr>
                <w:rFonts w:ascii="Times New Roman" w:hAnsi="Times New Roman"/>
                <w:sz w:val="24"/>
                <w:szCs w:val="24"/>
                <w:lang w:eastAsia="lt-LT"/>
              </w:rPr>
              <w:t xml:space="preserve">būtų pagaminta </w:t>
            </w:r>
            <w:r w:rsidRPr="00D54F90">
              <w:rPr>
                <w:rFonts w:ascii="Times New Roman" w:hAnsi="Times New Roman"/>
                <w:sz w:val="24"/>
                <w:szCs w:val="24"/>
                <w:lang w:eastAsia="lt-LT"/>
              </w:rPr>
              <w:t>1MWh šilumos, CŠT sektoriuje sunaudojama apie 100 kg naftos ekvivalento biokuro, individua</w:t>
            </w:r>
            <w:r w:rsidR="002D25BD" w:rsidRPr="00D54F90">
              <w:rPr>
                <w:rFonts w:ascii="Times New Roman" w:hAnsi="Times New Roman"/>
                <w:sz w:val="24"/>
                <w:szCs w:val="24"/>
                <w:lang w:eastAsia="lt-LT"/>
              </w:rPr>
              <w:t>liai šilumą gaminančių apie 170</w:t>
            </w:r>
            <w:r w:rsidR="002D25BD" w:rsidRPr="00D54F90">
              <w:rPr>
                <w:rFonts w:ascii="Times New Roman" w:eastAsia="AngsanaUPC" w:hAnsi="Times New Roman"/>
                <w:bCs/>
                <w:sz w:val="24"/>
                <w:szCs w:val="24"/>
                <w:lang w:eastAsia="lt-LT"/>
              </w:rPr>
              <w:t>–</w:t>
            </w:r>
            <w:r w:rsidRPr="00D54F90">
              <w:rPr>
                <w:rFonts w:ascii="Times New Roman" w:hAnsi="Times New Roman"/>
                <w:sz w:val="24"/>
                <w:szCs w:val="24"/>
                <w:lang w:eastAsia="lt-LT"/>
              </w:rPr>
              <w:t>200 kg naftos ekvivalento biokuro</w:t>
            </w:r>
            <w:r w:rsidRPr="002C08FA">
              <w:rPr>
                <w:rFonts w:ascii="Times New Roman" w:hAnsi="Times New Roman"/>
                <w:sz w:val="24"/>
                <w:szCs w:val="24"/>
                <w:lang w:eastAsia="lt-LT"/>
              </w:rPr>
              <w:t>)</w:t>
            </w:r>
            <w:r w:rsidRPr="002C08FA">
              <w:rPr>
                <w:rFonts w:ascii="Times New Roman" w:eastAsia="AngsanaUPC" w:hAnsi="Times New Roman"/>
                <w:bCs/>
                <w:sz w:val="24"/>
                <w:szCs w:val="24"/>
                <w:lang w:eastAsia="lt-LT"/>
              </w:rPr>
              <w:t xml:space="preserve">. </w:t>
            </w:r>
            <w:r w:rsidR="00AE56FE" w:rsidRPr="002C08FA">
              <w:rPr>
                <w:rFonts w:ascii="Times New Roman" w:eastAsia="AngsanaUPC" w:hAnsi="Times New Roman"/>
                <w:bCs/>
                <w:sz w:val="24"/>
                <w:szCs w:val="24"/>
                <w:lang w:eastAsia="lt-LT"/>
              </w:rPr>
              <w:t>Namų ūkiuose s</w:t>
            </w:r>
            <w:r w:rsidRPr="002C08FA">
              <w:rPr>
                <w:rFonts w:ascii="Times New Roman" w:eastAsia="AngsanaUPC" w:hAnsi="Times New Roman"/>
                <w:bCs/>
                <w:sz w:val="24"/>
                <w:szCs w:val="24"/>
                <w:lang w:eastAsia="lt-LT"/>
              </w:rPr>
              <w:t xml:space="preserve">enų katilų pakeitimas </w:t>
            </w:r>
            <w:r w:rsidR="00AE56FE" w:rsidRPr="002C08FA">
              <w:rPr>
                <w:rFonts w:ascii="Times New Roman" w:eastAsia="AngsanaUPC" w:hAnsi="Times New Roman"/>
                <w:bCs/>
                <w:sz w:val="24"/>
                <w:szCs w:val="24"/>
                <w:lang w:eastAsia="lt-LT"/>
              </w:rPr>
              <w:t xml:space="preserve">į efektyvesnes AIE naudojančias technologijas ir (ar) prijungimas namų ūkių prie CŠT </w:t>
            </w:r>
            <w:r w:rsidRPr="002C08FA">
              <w:rPr>
                <w:rFonts w:ascii="Times New Roman" w:eastAsia="AngsanaUPC" w:hAnsi="Times New Roman"/>
                <w:bCs/>
                <w:sz w:val="24"/>
                <w:szCs w:val="24"/>
                <w:lang w:eastAsia="lt-LT"/>
              </w:rPr>
              <w:t xml:space="preserve">leistų 40 proc. sumažinti šiuo metu sunaudojamo biokuro kiekį, </w:t>
            </w:r>
            <w:r w:rsidRPr="002C08FA">
              <w:rPr>
                <w:rFonts w:ascii="Times New Roman" w:hAnsi="Times New Roman"/>
                <w:sz w:val="24"/>
                <w:szCs w:val="24"/>
                <w:lang w:eastAsia="lt-LT"/>
              </w:rPr>
              <w:t>kuris sunaudojamas namų ūkiuose</w:t>
            </w:r>
            <w:r w:rsidRPr="002C08FA">
              <w:rPr>
                <w:rFonts w:ascii="Times New Roman" w:eastAsia="AngsanaUPC" w:hAnsi="Times New Roman"/>
                <w:bCs/>
                <w:sz w:val="24"/>
                <w:szCs w:val="24"/>
                <w:lang w:eastAsia="lt-LT"/>
              </w:rPr>
              <w:t xml:space="preserve">. </w:t>
            </w:r>
            <w:proofErr w:type="gramStart"/>
            <w:r w:rsidRPr="002C08FA">
              <w:rPr>
                <w:rFonts w:ascii="Times New Roman" w:eastAsia="AngsanaUPC" w:hAnsi="Times New Roman"/>
                <w:bCs/>
                <w:sz w:val="24"/>
                <w:szCs w:val="24"/>
                <w:lang w:eastAsia="lt-LT"/>
              </w:rPr>
              <w:t>Tuo pačiu</w:t>
            </w:r>
            <w:proofErr w:type="gramEnd"/>
            <w:r w:rsidRPr="002C08FA">
              <w:rPr>
                <w:rFonts w:ascii="Times New Roman" w:eastAsia="AngsanaUPC" w:hAnsi="Times New Roman"/>
                <w:bCs/>
                <w:sz w:val="24"/>
                <w:szCs w:val="24"/>
                <w:lang w:eastAsia="lt-LT"/>
              </w:rPr>
              <w:t xml:space="preserve"> būtų sumažinta ir oro tarša, </w:t>
            </w:r>
            <w:r w:rsidRPr="002C08FA">
              <w:rPr>
                <w:rFonts w:ascii="Times New Roman" w:hAnsi="Times New Roman"/>
                <w:sz w:val="24"/>
                <w:szCs w:val="24"/>
                <w:lang w:eastAsia="lt-LT"/>
              </w:rPr>
              <w:t>dėl mažiau sunaudojamo biokuro būtų mažiau į aplinką išmetama kietųjų dalelių.</w:t>
            </w:r>
          </w:p>
          <w:p w:rsidR="00C909E5" w:rsidRPr="00385835" w:rsidRDefault="00C909E5" w:rsidP="00AE56FE">
            <w:pPr>
              <w:widowControl w:val="0"/>
              <w:tabs>
                <w:tab w:val="left" w:pos="622"/>
              </w:tabs>
              <w:spacing w:after="0" w:line="240" w:lineRule="auto"/>
              <w:ind w:firstLine="624"/>
              <w:jc w:val="both"/>
              <w:rPr>
                <w:rFonts w:ascii="Times New Roman" w:eastAsia="AngsanaUPC" w:hAnsi="Times New Roman"/>
                <w:bCs/>
                <w:sz w:val="24"/>
                <w:szCs w:val="24"/>
                <w:lang w:eastAsia="lt-LT"/>
              </w:rPr>
            </w:pPr>
            <w:r w:rsidRPr="002C08FA">
              <w:rPr>
                <w:rFonts w:ascii="Times New Roman" w:eastAsia="AngsanaUPC" w:hAnsi="Times New Roman"/>
                <w:bCs/>
                <w:sz w:val="24"/>
                <w:szCs w:val="24"/>
                <w:lang w:eastAsia="lt-LT"/>
              </w:rPr>
              <w:t>Centralizuotai tiekiamos šilumos apskaitos modernizavimas. Remiamas išmaniųjų energijos apskaitos ir valdymo sistemų diegimas šilumos ir karšto vandens duomenų nuskaitymui, apdorojimui ir perdavimui nuotoliniu būdu.</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563"/>
        <w:gridCol w:w="1564"/>
        <w:gridCol w:w="1134"/>
        <w:gridCol w:w="1134"/>
        <w:gridCol w:w="850"/>
        <w:gridCol w:w="992"/>
        <w:gridCol w:w="851"/>
        <w:gridCol w:w="1417"/>
        <w:gridCol w:w="1241"/>
      </w:tblGrid>
      <w:tr w:rsidR="00385835" w:rsidRPr="00385835" w:rsidTr="00385835">
        <w:tc>
          <w:tcPr>
            <w:tcW w:w="9746" w:type="dxa"/>
            <w:gridSpan w:val="9"/>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i/>
                <w:iCs/>
                <w:sz w:val="24"/>
                <w:szCs w:val="24"/>
                <w:lang w:eastAsia="lt-LT"/>
              </w:rPr>
            </w:pPr>
            <w:r w:rsidRPr="00385835">
              <w:rPr>
                <w:rFonts w:ascii="Times New Roman" w:eastAsia="AngsanaUPC" w:hAnsi="Times New Roman"/>
                <w:b/>
                <w:bCs/>
                <w:i/>
                <w:iCs/>
                <w:sz w:val="24"/>
                <w:szCs w:val="24"/>
                <w:lang w:eastAsia="lt-LT"/>
              </w:rPr>
              <w:t xml:space="preserve">SaF </w:t>
            </w:r>
            <w:r w:rsidR="00DA04FC">
              <w:rPr>
                <w:rFonts w:ascii="Times New Roman" w:eastAsia="AngsanaUPC" w:hAnsi="Times New Roman"/>
                <w:b/>
                <w:bCs/>
                <w:i/>
                <w:iCs/>
                <w:sz w:val="24"/>
                <w:szCs w:val="24"/>
                <w:lang w:eastAsia="lt-LT"/>
              </w:rPr>
              <w:t xml:space="preserve">specialieji </w:t>
            </w:r>
            <w:r w:rsidRPr="00385835">
              <w:rPr>
                <w:rFonts w:ascii="Times New Roman" w:eastAsia="AngsanaUPC" w:hAnsi="Times New Roman"/>
                <w:b/>
                <w:bCs/>
                <w:i/>
                <w:iCs/>
                <w:sz w:val="24"/>
                <w:szCs w:val="24"/>
                <w:lang w:eastAsia="lt-LT"/>
              </w:rPr>
              <w:t>programos rezultato rodikliai</w:t>
            </w:r>
          </w:p>
        </w:tc>
      </w:tr>
      <w:tr w:rsidR="00385835" w:rsidRPr="00385835" w:rsidTr="004F39B3">
        <w:tblPrEx>
          <w:shd w:val="clear" w:color="auto" w:fill="auto"/>
        </w:tblPrEx>
        <w:trPr>
          <w:cantSplit/>
          <w:trHeight w:val="739"/>
        </w:trPr>
        <w:tc>
          <w:tcPr>
            <w:tcW w:w="563" w:type="dxa"/>
            <w:shd w:val="clear" w:color="auto" w:fill="F2F2F2"/>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Nr.</w:t>
            </w:r>
          </w:p>
        </w:tc>
        <w:tc>
          <w:tcPr>
            <w:tcW w:w="1564" w:type="dxa"/>
            <w:shd w:val="clear" w:color="auto" w:fill="F2F2F2"/>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Rodiklio pavadinimas</w:t>
            </w:r>
          </w:p>
        </w:tc>
        <w:tc>
          <w:tcPr>
            <w:tcW w:w="1134" w:type="dxa"/>
            <w:shd w:val="clear" w:color="auto" w:fill="F2F2F2"/>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Matavimo vienetas</w:t>
            </w:r>
          </w:p>
        </w:tc>
        <w:tc>
          <w:tcPr>
            <w:tcW w:w="1134" w:type="dxa"/>
            <w:shd w:val="clear" w:color="auto" w:fill="F2F2F2"/>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Regiono kategorija</w:t>
            </w:r>
          </w:p>
        </w:tc>
        <w:tc>
          <w:tcPr>
            <w:tcW w:w="850" w:type="dxa"/>
            <w:shd w:val="clear" w:color="auto" w:fill="F2F2F2"/>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 reikšmė</w:t>
            </w:r>
          </w:p>
        </w:tc>
        <w:tc>
          <w:tcPr>
            <w:tcW w:w="992" w:type="dxa"/>
            <w:shd w:val="clear" w:color="auto" w:fill="F2F2F2"/>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Pradinės reikšmės metai</w:t>
            </w:r>
          </w:p>
        </w:tc>
        <w:tc>
          <w:tcPr>
            <w:tcW w:w="851" w:type="dxa"/>
            <w:shd w:val="clear" w:color="auto" w:fill="F2F2F2"/>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Siektina reikšmė (2023)</w:t>
            </w:r>
          </w:p>
        </w:tc>
        <w:tc>
          <w:tcPr>
            <w:tcW w:w="1417" w:type="dxa"/>
            <w:shd w:val="clear" w:color="auto" w:fill="F2F2F2"/>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Duomenų šaltinis</w:t>
            </w:r>
          </w:p>
        </w:tc>
        <w:tc>
          <w:tcPr>
            <w:tcW w:w="1241" w:type="dxa"/>
            <w:shd w:val="clear" w:color="auto" w:fill="F2F2F2"/>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Atsiskaitymo dažnumas</w:t>
            </w:r>
          </w:p>
        </w:tc>
      </w:tr>
      <w:tr w:rsidR="00385835" w:rsidRPr="00385835" w:rsidTr="004F39B3">
        <w:tblPrEx>
          <w:shd w:val="clear" w:color="auto" w:fill="auto"/>
        </w:tblPrEx>
        <w:tc>
          <w:tcPr>
            <w:tcW w:w="563" w:type="dxa"/>
            <w:shd w:val="clear" w:color="auto" w:fill="auto"/>
            <w:vAlign w:val="center"/>
          </w:tcPr>
          <w:p w:rsidR="00385835" w:rsidRPr="00D54F90"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D54F90">
              <w:rPr>
                <w:rFonts w:ascii="Times New Roman" w:hAnsi="Times New Roman"/>
                <w:sz w:val="18"/>
                <w:szCs w:val="18"/>
                <w:lang w:eastAsia="lt-LT"/>
              </w:rPr>
              <w:t>1.</w:t>
            </w:r>
          </w:p>
        </w:tc>
        <w:tc>
          <w:tcPr>
            <w:tcW w:w="1564" w:type="dxa"/>
            <w:shd w:val="clear" w:color="auto" w:fill="auto"/>
            <w:vAlign w:val="center"/>
          </w:tcPr>
          <w:p w:rsidR="00385835" w:rsidRPr="00D54F90" w:rsidRDefault="00385835" w:rsidP="00385835">
            <w:pPr>
              <w:widowControl w:val="0"/>
              <w:tabs>
                <w:tab w:val="left" w:pos="622"/>
              </w:tabs>
              <w:spacing w:after="0" w:line="240" w:lineRule="auto"/>
              <w:rPr>
                <w:rFonts w:ascii="Times New Roman" w:eastAsia="AngsanaUPC" w:hAnsi="Times New Roman"/>
                <w:bCs/>
                <w:sz w:val="18"/>
                <w:szCs w:val="18"/>
                <w:lang w:eastAsia="lt-LT"/>
              </w:rPr>
            </w:pPr>
            <w:r w:rsidRPr="00D54F90">
              <w:rPr>
                <w:rFonts w:ascii="Times New Roman" w:hAnsi="Times New Roman"/>
                <w:sz w:val="18"/>
                <w:szCs w:val="18"/>
                <w:lang w:eastAsia="lt-LT"/>
              </w:rPr>
              <w:t>Transportavimo bei paskirstymo nuostoliai šilumos tinkluose</w:t>
            </w:r>
          </w:p>
        </w:tc>
        <w:tc>
          <w:tcPr>
            <w:tcW w:w="1134" w:type="dxa"/>
            <w:shd w:val="clear" w:color="auto" w:fill="auto"/>
            <w:vAlign w:val="center"/>
          </w:tcPr>
          <w:p w:rsidR="00385835" w:rsidRPr="00D54F90" w:rsidRDefault="00385835" w:rsidP="00385835">
            <w:pPr>
              <w:widowControl w:val="0"/>
              <w:tabs>
                <w:tab w:val="left" w:pos="622"/>
              </w:tabs>
              <w:spacing w:after="0" w:line="240" w:lineRule="auto"/>
              <w:jc w:val="center"/>
              <w:rPr>
                <w:rFonts w:ascii="Times New Roman" w:eastAsia="AngsanaUPC" w:hAnsi="Times New Roman"/>
                <w:bCs/>
                <w:sz w:val="18"/>
                <w:szCs w:val="18"/>
                <w:lang w:eastAsia="lt-LT"/>
              </w:rPr>
            </w:pPr>
            <w:r w:rsidRPr="00D54F90">
              <w:rPr>
                <w:rFonts w:ascii="Times New Roman" w:hAnsi="Times New Roman"/>
                <w:sz w:val="18"/>
                <w:szCs w:val="18"/>
                <w:lang w:eastAsia="lt-LT"/>
              </w:rPr>
              <w:t>Tūkst. tne</w:t>
            </w:r>
          </w:p>
        </w:tc>
        <w:tc>
          <w:tcPr>
            <w:tcW w:w="1134" w:type="dxa"/>
            <w:shd w:val="clear" w:color="auto" w:fill="auto"/>
            <w:vAlign w:val="center"/>
          </w:tcPr>
          <w:p w:rsidR="00385835" w:rsidRPr="00D54F90" w:rsidRDefault="00515A37" w:rsidP="00385835">
            <w:pPr>
              <w:widowControl w:val="0"/>
              <w:tabs>
                <w:tab w:val="left" w:pos="622"/>
              </w:tabs>
              <w:spacing w:after="0" w:line="240" w:lineRule="auto"/>
              <w:jc w:val="center"/>
              <w:rPr>
                <w:rFonts w:ascii="Times New Roman" w:eastAsia="AngsanaUPC" w:hAnsi="Times New Roman"/>
                <w:bCs/>
                <w:sz w:val="18"/>
                <w:szCs w:val="18"/>
                <w:lang w:eastAsia="lt-LT"/>
              </w:rPr>
            </w:pPr>
            <w:r w:rsidRPr="00D54F90">
              <w:rPr>
                <w:rFonts w:ascii="Times New Roman" w:eastAsia="AngsanaUPC" w:hAnsi="Times New Roman"/>
                <w:bCs/>
                <w:sz w:val="18"/>
                <w:szCs w:val="18"/>
                <w:lang w:eastAsia="lt-LT"/>
              </w:rPr>
              <w:t>–</w:t>
            </w:r>
          </w:p>
        </w:tc>
        <w:tc>
          <w:tcPr>
            <w:tcW w:w="850" w:type="dxa"/>
            <w:shd w:val="clear" w:color="auto" w:fill="auto"/>
            <w:vAlign w:val="center"/>
          </w:tcPr>
          <w:p w:rsidR="00385835" w:rsidRPr="00D54F90" w:rsidDel="00682492"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D54F90">
              <w:rPr>
                <w:rFonts w:ascii="Times New Roman" w:hAnsi="Times New Roman"/>
                <w:sz w:val="18"/>
                <w:szCs w:val="18"/>
              </w:rPr>
              <w:t>127</w:t>
            </w:r>
          </w:p>
        </w:tc>
        <w:tc>
          <w:tcPr>
            <w:tcW w:w="992" w:type="dxa"/>
            <w:shd w:val="clear" w:color="auto" w:fill="auto"/>
            <w:vAlign w:val="center"/>
          </w:tcPr>
          <w:p w:rsidR="00385835" w:rsidRPr="00D54F90"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D54F90">
              <w:rPr>
                <w:rFonts w:ascii="Times New Roman" w:hAnsi="Times New Roman"/>
                <w:sz w:val="18"/>
                <w:szCs w:val="18"/>
                <w:lang w:eastAsia="lt-LT"/>
              </w:rPr>
              <w:t>2013</w:t>
            </w:r>
          </w:p>
        </w:tc>
        <w:tc>
          <w:tcPr>
            <w:tcW w:w="851" w:type="dxa"/>
            <w:shd w:val="clear" w:color="auto" w:fill="auto"/>
            <w:vAlign w:val="center"/>
          </w:tcPr>
          <w:p w:rsidR="00385835" w:rsidRPr="002C08FA" w:rsidDel="00682492" w:rsidRDefault="00385835" w:rsidP="00AE56FE">
            <w:pPr>
              <w:widowControl w:val="0"/>
              <w:tabs>
                <w:tab w:val="left" w:pos="622"/>
              </w:tabs>
              <w:spacing w:after="0" w:line="240" w:lineRule="auto"/>
              <w:jc w:val="center"/>
              <w:rPr>
                <w:rFonts w:ascii="Times New Roman" w:eastAsia="AngsanaUPC" w:hAnsi="Times New Roman"/>
                <w:bCs/>
                <w:iCs/>
                <w:sz w:val="18"/>
                <w:szCs w:val="18"/>
                <w:highlight w:val="green"/>
                <w:lang w:eastAsia="lt-LT"/>
              </w:rPr>
            </w:pPr>
            <w:r w:rsidRPr="002C08FA">
              <w:rPr>
                <w:rFonts w:ascii="Times New Roman" w:hAnsi="Times New Roman"/>
                <w:sz w:val="18"/>
                <w:szCs w:val="18"/>
              </w:rPr>
              <w:t>11</w:t>
            </w:r>
            <w:r w:rsidR="00AE56FE" w:rsidRPr="002C08FA">
              <w:rPr>
                <w:rFonts w:ascii="Times New Roman" w:hAnsi="Times New Roman"/>
                <w:sz w:val="18"/>
                <w:szCs w:val="18"/>
              </w:rPr>
              <w:t>1</w:t>
            </w:r>
          </w:p>
        </w:tc>
        <w:tc>
          <w:tcPr>
            <w:tcW w:w="1417" w:type="dxa"/>
            <w:shd w:val="clear" w:color="auto" w:fill="auto"/>
            <w:vAlign w:val="center"/>
          </w:tcPr>
          <w:p w:rsidR="00385835" w:rsidRPr="00D54F90" w:rsidRDefault="00385835" w:rsidP="004F39B3">
            <w:pPr>
              <w:spacing w:after="0" w:line="240" w:lineRule="auto"/>
              <w:jc w:val="center"/>
              <w:rPr>
                <w:rFonts w:ascii="Times New Roman" w:eastAsia="AngsanaUPC" w:hAnsi="Times New Roman"/>
                <w:bCs/>
                <w:iCs/>
                <w:sz w:val="18"/>
                <w:szCs w:val="18"/>
                <w:lang w:eastAsia="lt-LT"/>
              </w:rPr>
            </w:pPr>
            <w:r w:rsidRPr="00D54F90">
              <w:rPr>
                <w:rFonts w:ascii="Times New Roman" w:hAnsi="Times New Roman"/>
                <w:sz w:val="18"/>
                <w:szCs w:val="18"/>
                <w:lang w:eastAsia="lt-LT"/>
              </w:rPr>
              <w:t>Lietuvos statistikos departamentas,</w:t>
            </w:r>
            <w:r w:rsidR="004F39B3">
              <w:rPr>
                <w:rFonts w:ascii="Times New Roman" w:hAnsi="Times New Roman"/>
                <w:sz w:val="18"/>
                <w:szCs w:val="18"/>
                <w:lang w:eastAsia="lt-LT"/>
              </w:rPr>
              <w:t xml:space="preserve"> </w:t>
            </w:r>
            <w:r w:rsidRPr="00D54F90">
              <w:rPr>
                <w:rFonts w:ascii="Times New Roman" w:hAnsi="Times New Roman"/>
                <w:sz w:val="18"/>
                <w:szCs w:val="18"/>
                <w:lang w:eastAsia="lt-LT"/>
              </w:rPr>
              <w:t>Lietuvos šilumos tiekėjų asociacija</w:t>
            </w:r>
          </w:p>
        </w:tc>
        <w:tc>
          <w:tcPr>
            <w:tcW w:w="124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hAnsi="Times New Roman"/>
                <w:sz w:val="18"/>
                <w:szCs w:val="18"/>
                <w:lang w:eastAsia="lt-LT"/>
              </w:rPr>
              <w:t>Kartą per metus</w:t>
            </w:r>
          </w:p>
        </w:tc>
      </w:tr>
      <w:tr w:rsidR="00385835" w:rsidRPr="00385835" w:rsidTr="004F39B3">
        <w:tblPrEx>
          <w:shd w:val="clear" w:color="auto" w:fill="auto"/>
        </w:tblPrEx>
        <w:tc>
          <w:tcPr>
            <w:tcW w:w="563" w:type="dxa"/>
            <w:shd w:val="clear" w:color="auto" w:fill="auto"/>
            <w:vAlign w:val="center"/>
          </w:tcPr>
          <w:p w:rsidR="00385835" w:rsidRPr="00D54F90"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D54F90">
              <w:rPr>
                <w:rFonts w:ascii="Times New Roman" w:hAnsi="Times New Roman"/>
                <w:sz w:val="18"/>
                <w:szCs w:val="18"/>
                <w:lang w:eastAsia="lt-LT"/>
              </w:rPr>
              <w:t>2.</w:t>
            </w:r>
          </w:p>
        </w:tc>
        <w:tc>
          <w:tcPr>
            <w:tcW w:w="1564" w:type="dxa"/>
            <w:shd w:val="clear" w:color="auto" w:fill="auto"/>
            <w:vAlign w:val="center"/>
          </w:tcPr>
          <w:p w:rsidR="00385835" w:rsidRPr="00D54F90" w:rsidRDefault="00385835" w:rsidP="00385835">
            <w:pPr>
              <w:widowControl w:val="0"/>
              <w:tabs>
                <w:tab w:val="left" w:pos="622"/>
              </w:tabs>
              <w:spacing w:after="0" w:line="240" w:lineRule="auto"/>
              <w:rPr>
                <w:rFonts w:ascii="Times New Roman" w:eastAsia="AngsanaUPC" w:hAnsi="Times New Roman"/>
                <w:bCs/>
                <w:sz w:val="18"/>
                <w:szCs w:val="18"/>
                <w:lang w:eastAsia="lt-LT"/>
              </w:rPr>
            </w:pPr>
            <w:r w:rsidRPr="00D54F90">
              <w:rPr>
                <w:rFonts w:ascii="Times New Roman" w:hAnsi="Times New Roman"/>
                <w:sz w:val="18"/>
                <w:szCs w:val="18"/>
                <w:lang w:eastAsia="lt-LT"/>
              </w:rPr>
              <w:t>Energijos suvartojimas namų ūkiuose (neprijungtuose prie centralizuotų šilumos tinklų)</w:t>
            </w:r>
          </w:p>
        </w:tc>
        <w:tc>
          <w:tcPr>
            <w:tcW w:w="1134" w:type="dxa"/>
            <w:shd w:val="clear" w:color="auto" w:fill="auto"/>
            <w:vAlign w:val="center"/>
          </w:tcPr>
          <w:p w:rsidR="00385835" w:rsidRPr="00D54F90" w:rsidRDefault="00385835" w:rsidP="00385835">
            <w:pPr>
              <w:widowControl w:val="0"/>
              <w:tabs>
                <w:tab w:val="left" w:pos="622"/>
              </w:tabs>
              <w:spacing w:after="0" w:line="240" w:lineRule="auto"/>
              <w:jc w:val="center"/>
              <w:rPr>
                <w:rFonts w:ascii="Times New Roman" w:eastAsia="AngsanaUPC" w:hAnsi="Times New Roman"/>
                <w:bCs/>
                <w:sz w:val="18"/>
                <w:szCs w:val="18"/>
                <w:lang w:eastAsia="lt-LT"/>
              </w:rPr>
            </w:pPr>
            <w:r w:rsidRPr="00D54F90">
              <w:rPr>
                <w:rFonts w:ascii="Times New Roman" w:hAnsi="Times New Roman"/>
                <w:sz w:val="18"/>
                <w:szCs w:val="18"/>
                <w:lang w:eastAsia="lt-LT"/>
              </w:rPr>
              <w:t>Tūkst. tne</w:t>
            </w:r>
          </w:p>
        </w:tc>
        <w:tc>
          <w:tcPr>
            <w:tcW w:w="1134" w:type="dxa"/>
            <w:shd w:val="clear" w:color="auto" w:fill="auto"/>
            <w:vAlign w:val="center"/>
          </w:tcPr>
          <w:p w:rsidR="00385835" w:rsidRPr="00D54F90" w:rsidRDefault="00515A37" w:rsidP="00385835">
            <w:pPr>
              <w:widowControl w:val="0"/>
              <w:tabs>
                <w:tab w:val="left" w:pos="622"/>
              </w:tabs>
              <w:spacing w:after="0" w:line="240" w:lineRule="auto"/>
              <w:jc w:val="center"/>
              <w:rPr>
                <w:rFonts w:ascii="Times New Roman" w:eastAsia="AngsanaUPC" w:hAnsi="Times New Roman"/>
                <w:bCs/>
                <w:sz w:val="18"/>
                <w:szCs w:val="18"/>
                <w:lang w:eastAsia="lt-LT"/>
              </w:rPr>
            </w:pPr>
            <w:r w:rsidRPr="00D54F90">
              <w:rPr>
                <w:rFonts w:ascii="Times New Roman" w:eastAsia="AngsanaUPC" w:hAnsi="Times New Roman"/>
                <w:bCs/>
                <w:sz w:val="18"/>
                <w:szCs w:val="18"/>
                <w:lang w:eastAsia="lt-LT"/>
              </w:rPr>
              <w:t>–</w:t>
            </w:r>
          </w:p>
        </w:tc>
        <w:tc>
          <w:tcPr>
            <w:tcW w:w="850" w:type="dxa"/>
            <w:shd w:val="clear" w:color="auto" w:fill="auto"/>
            <w:vAlign w:val="center"/>
          </w:tcPr>
          <w:p w:rsidR="00385835" w:rsidRPr="00D54F90" w:rsidDel="00682492"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D54F90">
              <w:rPr>
                <w:rFonts w:ascii="Times New Roman" w:hAnsi="Times New Roman"/>
                <w:sz w:val="18"/>
                <w:szCs w:val="18"/>
                <w:lang w:eastAsia="lt-LT"/>
              </w:rPr>
              <w:t>540</w:t>
            </w:r>
          </w:p>
        </w:tc>
        <w:tc>
          <w:tcPr>
            <w:tcW w:w="992" w:type="dxa"/>
            <w:shd w:val="clear" w:color="auto" w:fill="auto"/>
            <w:vAlign w:val="center"/>
          </w:tcPr>
          <w:p w:rsidR="00385835" w:rsidRPr="00D54F90"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D54F90">
              <w:rPr>
                <w:rFonts w:ascii="Times New Roman" w:hAnsi="Times New Roman"/>
                <w:sz w:val="18"/>
                <w:szCs w:val="18"/>
                <w:lang w:eastAsia="lt-LT"/>
              </w:rPr>
              <w:t>2013</w:t>
            </w:r>
          </w:p>
        </w:tc>
        <w:tc>
          <w:tcPr>
            <w:tcW w:w="851" w:type="dxa"/>
            <w:shd w:val="clear" w:color="auto" w:fill="auto"/>
            <w:vAlign w:val="center"/>
          </w:tcPr>
          <w:p w:rsidR="00385835" w:rsidRPr="002C08FA" w:rsidDel="00682492" w:rsidRDefault="00784CD6" w:rsidP="00AE56FE">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hAnsi="Times New Roman"/>
                <w:sz w:val="18"/>
                <w:szCs w:val="18"/>
                <w:lang w:eastAsia="lt-LT"/>
              </w:rPr>
              <w:t>3</w:t>
            </w:r>
            <w:r w:rsidR="00AE56FE" w:rsidRPr="002C08FA">
              <w:rPr>
                <w:rFonts w:ascii="Times New Roman" w:hAnsi="Times New Roman"/>
                <w:sz w:val="18"/>
                <w:szCs w:val="18"/>
                <w:lang w:eastAsia="lt-LT"/>
              </w:rPr>
              <w:t>9</w:t>
            </w:r>
            <w:r w:rsidRPr="002C08FA">
              <w:rPr>
                <w:rFonts w:ascii="Times New Roman" w:hAnsi="Times New Roman"/>
                <w:sz w:val="18"/>
                <w:szCs w:val="18"/>
                <w:lang w:eastAsia="lt-LT"/>
              </w:rPr>
              <w:t>0</w:t>
            </w:r>
          </w:p>
        </w:tc>
        <w:tc>
          <w:tcPr>
            <w:tcW w:w="1417" w:type="dxa"/>
            <w:shd w:val="clear" w:color="auto" w:fill="auto"/>
            <w:vAlign w:val="center"/>
          </w:tcPr>
          <w:p w:rsidR="00385835" w:rsidRPr="002C08FA" w:rsidRDefault="00AE56FE" w:rsidP="00C76808">
            <w:pPr>
              <w:spacing w:after="0" w:line="240" w:lineRule="auto"/>
              <w:jc w:val="center"/>
              <w:rPr>
                <w:rFonts w:ascii="Times New Roman" w:eastAsia="AngsanaUPC" w:hAnsi="Times New Roman"/>
                <w:bCs/>
                <w:iCs/>
                <w:sz w:val="18"/>
                <w:szCs w:val="18"/>
                <w:lang w:eastAsia="lt-LT"/>
              </w:rPr>
            </w:pPr>
            <w:r w:rsidRPr="002C08FA">
              <w:rPr>
                <w:rFonts w:ascii="Times New Roman" w:hAnsi="Times New Roman"/>
                <w:sz w:val="18"/>
                <w:szCs w:val="18"/>
                <w:lang w:eastAsia="lt-LT"/>
              </w:rPr>
              <w:t>Lietuvos statistikos departamentas</w:t>
            </w:r>
          </w:p>
        </w:tc>
        <w:tc>
          <w:tcPr>
            <w:tcW w:w="124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hAnsi="Times New Roman"/>
                <w:sz w:val="18"/>
                <w:szCs w:val="18"/>
                <w:lang w:eastAsia="lt-LT"/>
              </w:rPr>
              <w:t>Kartą per metus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385835" w:rsidRPr="00385835" w:rsidTr="00385835">
        <w:tc>
          <w:tcPr>
            <w:tcW w:w="9746" w:type="dxa"/>
            <w:tcBorders>
              <w:top w:val="single" w:sz="4" w:space="0" w:color="auto"/>
              <w:left w:val="single" w:sz="4" w:space="0" w:color="auto"/>
              <w:bottom w:val="single" w:sz="4" w:space="0" w:color="auto"/>
              <w:right w:val="single" w:sz="4" w:space="0" w:color="auto"/>
            </w:tcBorders>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Cs/>
                <w:iCs/>
                <w:sz w:val="24"/>
                <w:szCs w:val="24"/>
                <w:lang w:eastAsia="lt-LT"/>
              </w:rPr>
            </w:pPr>
            <w:r w:rsidRPr="00385835">
              <w:rPr>
                <w:rFonts w:ascii="Times New Roman" w:eastAsia="AngsanaUPC" w:hAnsi="Times New Roman"/>
                <w:b/>
                <w:bCs/>
                <w:i/>
                <w:iCs/>
                <w:sz w:val="24"/>
                <w:szCs w:val="24"/>
                <w:lang w:eastAsia="lt-LT"/>
              </w:rPr>
              <w:t>4.3. Investicinio prioriteto įgyvendinimo veiklos</w:t>
            </w:r>
          </w:p>
        </w:tc>
      </w:tr>
      <w:tr w:rsidR="00385835" w:rsidRPr="00385835" w:rsidTr="00385835">
        <w:tc>
          <w:tcPr>
            <w:tcW w:w="9746" w:type="dxa"/>
            <w:shd w:val="clear" w:color="auto" w:fill="auto"/>
          </w:tcPr>
          <w:p w:rsidR="00385835" w:rsidRPr="00385835" w:rsidRDefault="00385835" w:rsidP="00650E41">
            <w:pPr>
              <w:widowControl w:val="0"/>
              <w:numPr>
                <w:ilvl w:val="0"/>
                <w:numId w:val="21"/>
              </w:numPr>
              <w:tabs>
                <w:tab w:val="left" w:pos="34"/>
                <w:tab w:val="left" w:pos="459"/>
              </w:tabs>
              <w:spacing w:after="0" w:line="240" w:lineRule="auto"/>
              <w:ind w:left="34"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 xml:space="preserve">Daugiabučių namų atnaujinimas ir modernizavimas energetinį efektyvumą didinančiomis priemonėmis (įskaitant socialinių grupių gyvenamosios paskirties pastatus). Numatoma finansuoti pastato energetinį naudingumą didinančias ir kitas pastato atnaujinimo (modernizavimo) (įskaitant kapitalinę renovaciją) priemones </w:t>
            </w:r>
            <w:proofErr w:type="gramStart"/>
            <w:r w:rsidRPr="00385835">
              <w:rPr>
                <w:rFonts w:ascii="Times New Roman" w:eastAsia="AngsanaUPC" w:hAnsi="Times New Roman"/>
                <w:bCs/>
                <w:iCs/>
                <w:sz w:val="24"/>
                <w:szCs w:val="24"/>
                <w:lang w:eastAsia="lt-LT"/>
              </w:rPr>
              <w:t>(</w:t>
            </w:r>
            <w:proofErr w:type="gramEnd"/>
            <w:r w:rsidRPr="00385835">
              <w:rPr>
                <w:rFonts w:ascii="Times New Roman" w:eastAsia="AngsanaUPC" w:hAnsi="Times New Roman"/>
                <w:bCs/>
                <w:iCs/>
                <w:sz w:val="24"/>
                <w:szCs w:val="24"/>
                <w:lang w:eastAsia="lt-LT"/>
              </w:rPr>
              <w:t>šildymo ir karšto vandens sistemų, ventiliacijos ir rekuperacijos sistemų pertvarkym</w:t>
            </w:r>
            <w:r w:rsidR="002D25BD">
              <w:rPr>
                <w:rFonts w:ascii="Times New Roman" w:eastAsia="AngsanaUPC" w:hAnsi="Times New Roman"/>
                <w:bCs/>
                <w:iCs/>
                <w:sz w:val="24"/>
                <w:szCs w:val="24"/>
                <w:lang w:eastAsia="lt-LT"/>
              </w:rPr>
              <w:t>ą, keitimą ar įrengimą</w:t>
            </w:r>
            <w:r w:rsidRPr="00385835">
              <w:rPr>
                <w:rFonts w:ascii="Times New Roman" w:eastAsia="AngsanaUPC" w:hAnsi="Times New Roman"/>
                <w:bCs/>
                <w:iCs/>
                <w:sz w:val="24"/>
                <w:szCs w:val="24"/>
                <w:lang w:eastAsia="lt-LT"/>
              </w:rPr>
              <w:t>,</w:t>
            </w:r>
            <w:r w:rsidR="002D25BD">
              <w:rPr>
                <w:rFonts w:ascii="Times New Roman" w:eastAsia="AngsanaUPC" w:hAnsi="Times New Roman"/>
                <w:bCs/>
                <w:iCs/>
                <w:sz w:val="24"/>
                <w:szCs w:val="24"/>
                <w:lang w:eastAsia="lt-LT"/>
              </w:rPr>
              <w:t xml:space="preserve"> pastato fasado sienų šiltinimą,</w:t>
            </w:r>
            <w:r w:rsidRPr="00385835">
              <w:rPr>
                <w:rFonts w:ascii="Times New Roman" w:eastAsia="AngsanaUPC" w:hAnsi="Times New Roman"/>
                <w:bCs/>
                <w:iCs/>
                <w:sz w:val="24"/>
                <w:szCs w:val="24"/>
                <w:lang w:eastAsia="lt-LT"/>
              </w:rPr>
              <w:t xml:space="preserve"> įskaitant sienų konstrukcijos defektų pašalinimą ir nuogrindos sutvarkymą,</w:t>
            </w:r>
            <w:r w:rsidR="002D25BD">
              <w:rPr>
                <w:rFonts w:ascii="Times New Roman" w:eastAsia="AngsanaUPC" w:hAnsi="Times New Roman"/>
                <w:bCs/>
                <w:iCs/>
                <w:sz w:val="24"/>
                <w:szCs w:val="24"/>
                <w:lang w:eastAsia="lt-LT"/>
              </w:rPr>
              <w:t xml:space="preserve"> balkonų ar lodžijų įstiklinimą</w:t>
            </w:r>
            <w:r w:rsidRPr="00385835">
              <w:rPr>
                <w:rFonts w:ascii="Times New Roman" w:eastAsia="AngsanaUPC" w:hAnsi="Times New Roman"/>
                <w:bCs/>
                <w:iCs/>
                <w:sz w:val="24"/>
                <w:szCs w:val="24"/>
                <w:lang w:eastAsia="lt-LT"/>
              </w:rPr>
              <w:t>, jų es</w:t>
            </w:r>
            <w:r w:rsidR="002D25BD">
              <w:rPr>
                <w:rFonts w:ascii="Times New Roman" w:eastAsia="AngsanaUPC" w:hAnsi="Times New Roman"/>
                <w:bCs/>
                <w:iCs/>
                <w:sz w:val="24"/>
                <w:szCs w:val="24"/>
                <w:lang w:eastAsia="lt-LT"/>
              </w:rPr>
              <w:t>amos konstrukcijos sustiprinimą ar įrengimą</w:t>
            </w:r>
            <w:r w:rsidRPr="00385835">
              <w:rPr>
                <w:rFonts w:ascii="Times New Roman" w:eastAsia="AngsanaUPC" w:hAnsi="Times New Roman"/>
                <w:bCs/>
                <w:iCs/>
                <w:sz w:val="24"/>
                <w:szCs w:val="24"/>
                <w:lang w:eastAsia="lt-LT"/>
              </w:rPr>
              <w:t>, taip pat laiptinių lauk</w:t>
            </w:r>
            <w:r w:rsidR="002D25BD">
              <w:rPr>
                <w:rFonts w:ascii="Times New Roman" w:eastAsia="AngsanaUPC" w:hAnsi="Times New Roman"/>
                <w:bCs/>
                <w:iCs/>
                <w:sz w:val="24"/>
                <w:szCs w:val="24"/>
                <w:lang w:eastAsia="lt-LT"/>
              </w:rPr>
              <w:t>o durų ir patalpų langų keitimą</w:t>
            </w:r>
            <w:r w:rsidRPr="00385835">
              <w:rPr>
                <w:rFonts w:ascii="Times New Roman" w:eastAsia="AngsanaUPC" w:hAnsi="Times New Roman"/>
                <w:bCs/>
                <w:iCs/>
                <w:sz w:val="24"/>
                <w:szCs w:val="24"/>
                <w:lang w:eastAsia="lt-LT"/>
              </w:rPr>
              <w:t xml:space="preserve"> į mažiau šilumą praleidžian</w:t>
            </w:r>
            <w:r w:rsidR="002D25BD">
              <w:rPr>
                <w:rFonts w:ascii="Times New Roman" w:eastAsia="AngsanaUPC" w:hAnsi="Times New Roman"/>
                <w:bCs/>
                <w:iCs/>
                <w:sz w:val="24"/>
                <w:szCs w:val="24"/>
                <w:lang w:eastAsia="lt-LT"/>
              </w:rPr>
              <w:t>čius, rūsio perdangos šiltinimą</w:t>
            </w:r>
            <w:r w:rsidRPr="00385835">
              <w:rPr>
                <w:rFonts w:ascii="Times New Roman" w:eastAsia="AngsanaUPC" w:hAnsi="Times New Roman"/>
                <w:bCs/>
                <w:iCs/>
                <w:sz w:val="24"/>
                <w:szCs w:val="24"/>
                <w:lang w:eastAsia="lt-LT"/>
              </w:rPr>
              <w:t>, liftų atnau</w:t>
            </w:r>
            <w:r w:rsidR="002D25BD">
              <w:rPr>
                <w:rFonts w:ascii="Times New Roman" w:eastAsia="AngsanaUPC" w:hAnsi="Times New Roman"/>
                <w:bCs/>
                <w:iCs/>
                <w:sz w:val="24"/>
                <w:szCs w:val="24"/>
                <w:lang w:eastAsia="lt-LT"/>
              </w:rPr>
              <w:t>jinimą</w:t>
            </w:r>
            <w:r w:rsidRPr="00385835">
              <w:rPr>
                <w:rFonts w:ascii="Times New Roman" w:eastAsia="AngsanaUPC" w:hAnsi="Times New Roman"/>
                <w:bCs/>
                <w:iCs/>
                <w:sz w:val="24"/>
                <w:szCs w:val="24"/>
                <w:lang w:eastAsia="lt-LT"/>
              </w:rPr>
              <w:t>, kitų pastato bendrojo naudojimo</w:t>
            </w:r>
            <w:r w:rsidR="002D25BD">
              <w:rPr>
                <w:rFonts w:ascii="Times New Roman" w:eastAsia="AngsanaUPC" w:hAnsi="Times New Roman"/>
                <w:bCs/>
                <w:iCs/>
                <w:sz w:val="24"/>
                <w:szCs w:val="24"/>
                <w:lang w:eastAsia="lt-LT"/>
              </w:rPr>
              <w:t xml:space="preserve"> inžinerinių sistemų sutvarkymą</w:t>
            </w:r>
            <w:r w:rsidRPr="00385835">
              <w:rPr>
                <w:rFonts w:ascii="Times New Roman" w:eastAsia="AngsanaUPC" w:hAnsi="Times New Roman"/>
                <w:bCs/>
                <w:iCs/>
                <w:sz w:val="24"/>
                <w:szCs w:val="24"/>
                <w:lang w:eastAsia="lt-LT"/>
              </w:rPr>
              <w:t xml:space="preserve"> ir kitos tiesiogiai su atliekam</w:t>
            </w:r>
            <w:r w:rsidR="002D25BD">
              <w:rPr>
                <w:rFonts w:ascii="Times New Roman" w:eastAsia="AngsanaUPC" w:hAnsi="Times New Roman"/>
                <w:bCs/>
                <w:iCs/>
                <w:sz w:val="24"/>
                <w:szCs w:val="24"/>
                <w:lang w:eastAsia="lt-LT"/>
              </w:rPr>
              <w:t>ais darbais susijusias priemones</w:t>
            </w:r>
            <w:r w:rsidRPr="00385835">
              <w:rPr>
                <w:rFonts w:ascii="Times New Roman" w:eastAsia="AngsanaUPC" w:hAnsi="Times New Roman"/>
                <w:bCs/>
                <w:iCs/>
                <w:sz w:val="24"/>
                <w:szCs w:val="24"/>
                <w:lang w:eastAsia="lt-LT"/>
              </w:rPr>
              <w:t>), įskaitant AIE juose diegimą ir įrengimą, siekiant atitikti ne mažesnę kaip C pastato energinio naudingum</w:t>
            </w:r>
            <w:r w:rsidR="00D3095F">
              <w:rPr>
                <w:rFonts w:ascii="Times New Roman" w:eastAsia="AngsanaUPC" w:hAnsi="Times New Roman"/>
                <w:bCs/>
                <w:iCs/>
                <w:sz w:val="24"/>
                <w:szCs w:val="24"/>
                <w:lang w:eastAsia="lt-LT"/>
              </w:rPr>
              <w:t xml:space="preserve">o klasę (angl. </w:t>
            </w:r>
            <w:r w:rsidR="00D3095F" w:rsidRPr="00D3095F">
              <w:rPr>
                <w:rFonts w:ascii="Times New Roman" w:eastAsia="AngsanaUPC" w:hAnsi="Times New Roman"/>
                <w:bCs/>
                <w:i/>
                <w:iCs/>
                <w:sz w:val="24"/>
                <w:szCs w:val="24"/>
                <w:lang w:eastAsia="lt-LT"/>
              </w:rPr>
              <w:t>major renovation</w:t>
            </w:r>
            <w:r w:rsidR="00D3095F">
              <w:rPr>
                <w:rFonts w:ascii="Times New Roman" w:eastAsia="AngsanaUPC" w:hAnsi="Times New Roman"/>
                <w:bCs/>
                <w:iCs/>
                <w:sz w:val="24"/>
                <w:szCs w:val="24"/>
                <w:lang w:eastAsia="lt-LT"/>
              </w:rPr>
              <w:t>,</w:t>
            </w:r>
            <w:r w:rsidRPr="00385835">
              <w:rPr>
                <w:rFonts w:ascii="Times New Roman" w:eastAsia="AngsanaUPC" w:hAnsi="Times New Roman"/>
                <w:bCs/>
                <w:iCs/>
                <w:sz w:val="24"/>
                <w:szCs w:val="24"/>
                <w:lang w:eastAsia="lt-LT"/>
              </w:rPr>
              <w:t xml:space="preserve"> kaip tai nustatyta Europos Parlamento ir Tarybos direktyvoje 2010/31/EU dėl pastatų energetinio efektyvumo).</w:t>
            </w:r>
          </w:p>
          <w:p w:rsidR="00385835" w:rsidRPr="00385835" w:rsidRDefault="00385835" w:rsidP="00650E41">
            <w:pPr>
              <w:widowControl w:val="0"/>
              <w:numPr>
                <w:ilvl w:val="0"/>
                <w:numId w:val="21"/>
              </w:numPr>
              <w:tabs>
                <w:tab w:val="left" w:pos="34"/>
                <w:tab w:val="left" w:pos="459"/>
              </w:tabs>
              <w:spacing w:after="0" w:line="240" w:lineRule="auto"/>
              <w:ind w:left="34"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Valstybės, savivaldybių institucijų ir įstaigų naudojamų pastatų renovacija ir modernizavimas. Planuojama remti valstybės, savivaldybių institucijų ir įstaigų pastatų, priklausančių valstybės, savivaldybių institucijoms ir įstaigoms nuosavybės teise ir (arba) valdomų kitais teisėtais pagrindais, renovavimo priem</w:t>
            </w:r>
            <w:r w:rsidR="008D0EBB">
              <w:rPr>
                <w:rFonts w:ascii="Times New Roman" w:eastAsia="AngsanaUPC" w:hAnsi="Times New Roman"/>
                <w:bCs/>
                <w:iCs/>
                <w:sz w:val="24"/>
                <w:szCs w:val="24"/>
                <w:lang w:eastAsia="lt-LT"/>
              </w:rPr>
              <w:t>ones (išorinių atitvarų remontą ir (arba) rekonstravimą</w:t>
            </w:r>
            <w:r w:rsidRPr="00385835">
              <w:rPr>
                <w:rFonts w:ascii="Times New Roman" w:eastAsia="AngsanaUPC" w:hAnsi="Times New Roman"/>
                <w:bCs/>
                <w:iCs/>
                <w:sz w:val="24"/>
                <w:szCs w:val="24"/>
                <w:lang w:eastAsia="lt-LT"/>
              </w:rPr>
              <w:t>, pastatų ene</w:t>
            </w:r>
            <w:r w:rsidR="008D0EBB">
              <w:rPr>
                <w:rFonts w:ascii="Times New Roman" w:eastAsia="AngsanaUPC" w:hAnsi="Times New Roman"/>
                <w:bCs/>
                <w:iCs/>
                <w:sz w:val="24"/>
                <w:szCs w:val="24"/>
                <w:lang w:eastAsia="lt-LT"/>
              </w:rPr>
              <w:t>rgetikos sistemų modernizavimą ir (arba) rekonstravimą ir kitas susijusios priemone</w:t>
            </w:r>
            <w:r w:rsidRPr="00385835">
              <w:rPr>
                <w:rFonts w:ascii="Times New Roman" w:eastAsia="AngsanaUPC" w:hAnsi="Times New Roman"/>
                <w:bCs/>
                <w:iCs/>
                <w:sz w:val="24"/>
                <w:szCs w:val="24"/>
                <w:lang w:eastAsia="lt-LT"/>
              </w:rPr>
              <w:t>s), siekiant pagerinti pastatų energines savybes, siekiant atitikti ne mažesnę kaip C pastato e</w:t>
            </w:r>
            <w:r w:rsidR="00D3095F">
              <w:rPr>
                <w:rFonts w:ascii="Times New Roman" w:eastAsia="AngsanaUPC" w:hAnsi="Times New Roman"/>
                <w:bCs/>
                <w:iCs/>
                <w:sz w:val="24"/>
                <w:szCs w:val="24"/>
                <w:lang w:eastAsia="lt-LT"/>
              </w:rPr>
              <w:t xml:space="preserve">nerginio naudingumo klasę (angl. </w:t>
            </w:r>
            <w:r w:rsidR="00D3095F">
              <w:rPr>
                <w:rFonts w:ascii="Times New Roman" w:eastAsia="AngsanaUPC" w:hAnsi="Times New Roman"/>
                <w:bCs/>
                <w:i/>
                <w:iCs/>
                <w:sz w:val="24"/>
                <w:szCs w:val="24"/>
                <w:lang w:eastAsia="lt-LT"/>
              </w:rPr>
              <w:t>major renovation,</w:t>
            </w:r>
            <w:r w:rsidRPr="00385835">
              <w:rPr>
                <w:rFonts w:ascii="Times New Roman" w:eastAsia="AngsanaUPC" w:hAnsi="Times New Roman"/>
                <w:bCs/>
                <w:iCs/>
                <w:sz w:val="24"/>
                <w:szCs w:val="24"/>
                <w:lang w:eastAsia="lt-LT"/>
              </w:rPr>
              <w:t xml:space="preserve"> kaip tai nustatyta Europos Parlamento ir Tarybos direktyvoje 2010/31/EU dėl pastatų energetinio efektyvumo) atsižvelgiant į energinio naudingumo susitarimų principą, taip pat AIE panaudojimo energijos gamybai juose skatinimui.</w:t>
            </w:r>
          </w:p>
          <w:p w:rsidR="00385835" w:rsidRPr="002C08FA" w:rsidRDefault="00385835" w:rsidP="00650E41">
            <w:pPr>
              <w:widowControl w:val="0"/>
              <w:numPr>
                <w:ilvl w:val="0"/>
                <w:numId w:val="21"/>
              </w:numPr>
              <w:tabs>
                <w:tab w:val="left" w:pos="34"/>
                <w:tab w:val="left" w:pos="459"/>
              </w:tabs>
              <w:spacing w:after="0" w:line="240" w:lineRule="auto"/>
              <w:ind w:left="34"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lastRenderedPageBreak/>
              <w:t>Viešosios paskirties pastatų ir daugiabučių namų atnaujinimo skatinimas ir priežiūra. Numatoma finansuoti skatinimo veiklas (viešosios paskirties pastatų ir daugiabuč</w:t>
            </w:r>
            <w:r w:rsidR="008D0EBB">
              <w:rPr>
                <w:rFonts w:ascii="Times New Roman" w:eastAsia="AngsanaUPC" w:hAnsi="Times New Roman"/>
                <w:bCs/>
                <w:iCs/>
                <w:sz w:val="24"/>
                <w:szCs w:val="24"/>
                <w:lang w:eastAsia="lt-LT"/>
              </w:rPr>
              <w:t>ių namų modernizavimo viešinimą</w:t>
            </w:r>
            <w:r w:rsidRPr="00385835">
              <w:rPr>
                <w:rFonts w:ascii="Times New Roman" w:eastAsia="AngsanaUPC" w:hAnsi="Times New Roman"/>
                <w:bCs/>
                <w:iCs/>
                <w:sz w:val="24"/>
                <w:szCs w:val="24"/>
                <w:lang w:eastAsia="lt-LT"/>
              </w:rPr>
              <w:t>, viešosios paskirties pastatų valdytojų ir daugiab</w:t>
            </w:r>
            <w:r w:rsidR="008D0EBB">
              <w:rPr>
                <w:rFonts w:ascii="Times New Roman" w:eastAsia="AngsanaUPC" w:hAnsi="Times New Roman"/>
                <w:bCs/>
                <w:iCs/>
                <w:sz w:val="24"/>
                <w:szCs w:val="24"/>
                <w:lang w:eastAsia="lt-LT"/>
              </w:rPr>
              <w:t>učių namų savininkų</w:t>
            </w:r>
            <w:r w:rsidR="00B2756A" w:rsidRPr="00B2756A">
              <w:rPr>
                <w:rFonts w:ascii="Times New Roman" w:eastAsia="AngsanaUPC" w:hAnsi="Times New Roman"/>
                <w:b/>
                <w:bCs/>
                <w:iCs/>
                <w:sz w:val="24"/>
                <w:szCs w:val="24"/>
                <w:lang w:eastAsia="lt-LT"/>
              </w:rPr>
              <w:t xml:space="preserve"> </w:t>
            </w:r>
            <w:r w:rsidR="00B2756A" w:rsidRPr="00674AA6">
              <w:rPr>
                <w:rFonts w:ascii="Times New Roman" w:eastAsia="AngsanaUPC" w:hAnsi="Times New Roman"/>
                <w:bCs/>
                <w:iCs/>
                <w:sz w:val="24"/>
                <w:szCs w:val="24"/>
                <w:lang w:eastAsia="lt-LT"/>
              </w:rPr>
              <w:t>ir</w:t>
            </w:r>
            <w:r w:rsidR="002C08FA">
              <w:rPr>
                <w:rFonts w:ascii="Times New Roman" w:eastAsia="AngsanaUPC" w:hAnsi="Times New Roman"/>
                <w:bCs/>
                <w:iCs/>
                <w:sz w:val="24"/>
                <w:szCs w:val="24"/>
                <w:lang w:eastAsia="lt-LT"/>
              </w:rPr>
              <w:t xml:space="preserve"> </w:t>
            </w:r>
            <w:r w:rsidR="00B2756A" w:rsidRPr="00674AA6">
              <w:rPr>
                <w:rFonts w:ascii="Times New Roman" w:eastAsia="AngsanaUPC" w:hAnsi="Times New Roman"/>
                <w:bCs/>
                <w:iCs/>
                <w:sz w:val="24"/>
                <w:szCs w:val="24"/>
                <w:lang w:eastAsia="lt-LT"/>
              </w:rPr>
              <w:t>/</w:t>
            </w:r>
            <w:r w:rsidR="002C08FA">
              <w:rPr>
                <w:rFonts w:ascii="Times New Roman" w:eastAsia="AngsanaUPC" w:hAnsi="Times New Roman"/>
                <w:bCs/>
                <w:iCs/>
                <w:sz w:val="24"/>
                <w:szCs w:val="24"/>
                <w:lang w:eastAsia="lt-LT"/>
              </w:rPr>
              <w:t xml:space="preserve"> </w:t>
            </w:r>
            <w:r w:rsidR="00B2756A" w:rsidRPr="00674AA6">
              <w:rPr>
                <w:rFonts w:ascii="Times New Roman" w:eastAsia="AngsanaUPC" w:hAnsi="Times New Roman"/>
                <w:bCs/>
                <w:iCs/>
                <w:sz w:val="24"/>
                <w:szCs w:val="24"/>
                <w:lang w:eastAsia="lt-LT"/>
              </w:rPr>
              <w:t>ar valdytojų</w:t>
            </w:r>
            <w:r w:rsidR="008D0EBB" w:rsidRPr="00674AA6">
              <w:rPr>
                <w:rFonts w:ascii="Times New Roman" w:eastAsia="AngsanaUPC" w:hAnsi="Times New Roman"/>
                <w:bCs/>
                <w:iCs/>
                <w:sz w:val="24"/>
                <w:szCs w:val="24"/>
                <w:lang w:eastAsia="lt-LT"/>
              </w:rPr>
              <w:t xml:space="preserve"> informavimą ir konsultavimą</w:t>
            </w:r>
            <w:r w:rsidRPr="00674AA6">
              <w:rPr>
                <w:rFonts w:ascii="Times New Roman" w:eastAsia="AngsanaUPC" w:hAnsi="Times New Roman"/>
                <w:bCs/>
                <w:iCs/>
                <w:sz w:val="24"/>
                <w:szCs w:val="24"/>
                <w:lang w:eastAsia="lt-LT"/>
              </w:rPr>
              <w:t xml:space="preserve">), </w:t>
            </w:r>
            <w:r w:rsidR="00674AA6" w:rsidRPr="00674AA6">
              <w:rPr>
                <w:rFonts w:ascii="Times New Roman" w:eastAsia="AngsanaUPC" w:hAnsi="Times New Roman"/>
                <w:bCs/>
                <w:iCs/>
                <w:sz w:val="24"/>
                <w:szCs w:val="24"/>
                <w:lang w:eastAsia="lt-LT"/>
              </w:rPr>
              <w:t>tipinių ir investicinių projektų rengimą</w:t>
            </w:r>
            <w:r w:rsidRPr="00674AA6">
              <w:rPr>
                <w:rFonts w:ascii="Times New Roman" w:eastAsia="AngsanaUPC" w:hAnsi="Times New Roman"/>
                <w:bCs/>
                <w:iCs/>
                <w:sz w:val="24"/>
                <w:szCs w:val="24"/>
                <w:lang w:eastAsia="lt-LT"/>
              </w:rPr>
              <w:t xml:space="preserve">, </w:t>
            </w:r>
            <w:r w:rsidR="00674AA6" w:rsidRPr="00674AA6">
              <w:rPr>
                <w:rFonts w:ascii="Times New Roman" w:eastAsia="AngsanaUPC" w:hAnsi="Times New Roman"/>
                <w:bCs/>
                <w:iCs/>
                <w:sz w:val="24"/>
                <w:szCs w:val="24"/>
                <w:lang w:eastAsia="lt-LT"/>
              </w:rPr>
              <w:t xml:space="preserve">projektų administravimą, statybos techninę priežiūrą, </w:t>
            </w:r>
            <w:r w:rsidRPr="00385835">
              <w:rPr>
                <w:rFonts w:ascii="Times New Roman" w:eastAsia="AngsanaUPC" w:hAnsi="Times New Roman"/>
                <w:bCs/>
                <w:iCs/>
                <w:sz w:val="24"/>
                <w:szCs w:val="24"/>
                <w:lang w:eastAsia="lt-LT"/>
              </w:rPr>
              <w:t xml:space="preserve">taip pat vykdyti projektų įgyvendinimo priežiūrą, </w:t>
            </w:r>
            <w:r w:rsidRPr="002C08FA">
              <w:rPr>
                <w:rFonts w:ascii="Times New Roman" w:eastAsia="AngsanaUPC" w:hAnsi="Times New Roman"/>
                <w:bCs/>
                <w:iCs/>
                <w:sz w:val="24"/>
                <w:szCs w:val="24"/>
                <w:lang w:eastAsia="lt-LT"/>
              </w:rPr>
              <w:t>kontrolę.</w:t>
            </w:r>
          </w:p>
          <w:p w:rsidR="00385835" w:rsidRPr="002C08FA" w:rsidRDefault="00AE56FE" w:rsidP="00650E41">
            <w:pPr>
              <w:widowControl w:val="0"/>
              <w:numPr>
                <w:ilvl w:val="0"/>
                <w:numId w:val="21"/>
              </w:numPr>
              <w:tabs>
                <w:tab w:val="left" w:pos="34"/>
                <w:tab w:val="left" w:pos="459"/>
              </w:tabs>
              <w:spacing w:after="0" w:line="240" w:lineRule="auto"/>
              <w:ind w:left="34" w:firstLine="0"/>
              <w:jc w:val="both"/>
              <w:rPr>
                <w:rFonts w:ascii="Times New Roman" w:eastAsia="AngsanaUPC" w:hAnsi="Times New Roman"/>
                <w:bCs/>
                <w:iCs/>
                <w:sz w:val="24"/>
                <w:szCs w:val="24"/>
                <w:lang w:eastAsia="lt-LT"/>
              </w:rPr>
            </w:pPr>
            <w:r w:rsidRPr="002C08FA">
              <w:rPr>
                <w:rFonts w:ascii="Times New Roman" w:eastAsia="AngsanaUPC" w:hAnsi="Times New Roman"/>
                <w:bCs/>
                <w:iCs/>
                <w:sz w:val="24"/>
                <w:szCs w:val="24"/>
                <w:lang w:eastAsia="lt-LT"/>
              </w:rPr>
              <w:t>G</w:t>
            </w:r>
            <w:r w:rsidR="00385835" w:rsidRPr="002C08FA">
              <w:rPr>
                <w:rFonts w:ascii="Times New Roman" w:eastAsia="AngsanaUPC" w:hAnsi="Times New Roman"/>
                <w:bCs/>
                <w:iCs/>
                <w:sz w:val="24"/>
                <w:szCs w:val="24"/>
                <w:lang w:eastAsia="lt-LT"/>
              </w:rPr>
              <w:t xml:space="preserve">atvių apšvietimo </w:t>
            </w:r>
            <w:r w:rsidRPr="002C08FA">
              <w:rPr>
                <w:rFonts w:ascii="Times New Roman" w:eastAsia="AngsanaUPC" w:hAnsi="Times New Roman"/>
                <w:bCs/>
                <w:iCs/>
                <w:sz w:val="24"/>
                <w:szCs w:val="24"/>
                <w:lang w:eastAsia="lt-LT"/>
              </w:rPr>
              <w:t xml:space="preserve">tinklų </w:t>
            </w:r>
            <w:r w:rsidR="00385835" w:rsidRPr="002C08FA">
              <w:rPr>
                <w:rFonts w:ascii="Times New Roman" w:eastAsia="AngsanaUPC" w:hAnsi="Times New Roman"/>
                <w:bCs/>
                <w:iCs/>
                <w:sz w:val="24"/>
                <w:szCs w:val="24"/>
                <w:lang w:eastAsia="lt-LT"/>
              </w:rPr>
              <w:t>modernizavimas</w:t>
            </w:r>
            <w:r w:rsidRPr="002C08FA">
              <w:rPr>
                <w:rFonts w:ascii="Times New Roman" w:eastAsia="AngsanaUPC" w:hAnsi="Times New Roman"/>
                <w:bCs/>
                <w:iCs/>
                <w:sz w:val="24"/>
                <w:szCs w:val="24"/>
                <w:lang w:eastAsia="lt-LT"/>
              </w:rPr>
              <w:t>. P</w:t>
            </w:r>
            <w:r w:rsidR="00385835" w:rsidRPr="002C08FA">
              <w:rPr>
                <w:rFonts w:ascii="Times New Roman" w:eastAsia="AngsanaUPC" w:hAnsi="Times New Roman"/>
                <w:bCs/>
                <w:iCs/>
                <w:sz w:val="24"/>
                <w:szCs w:val="24"/>
                <w:lang w:eastAsia="lt-LT"/>
              </w:rPr>
              <w:t xml:space="preserve">lanuojama remti miestų gatvių šviestuvų, atramų atnaujinimą, intelektualios </w:t>
            </w:r>
            <w:r w:rsidRPr="002C08FA">
              <w:rPr>
                <w:rFonts w:ascii="Times New Roman" w:eastAsia="AngsanaUPC" w:hAnsi="Times New Roman"/>
                <w:bCs/>
                <w:iCs/>
                <w:sz w:val="24"/>
                <w:szCs w:val="24"/>
                <w:lang w:eastAsia="lt-LT"/>
              </w:rPr>
              <w:t xml:space="preserve">valdymo ir </w:t>
            </w:r>
            <w:r w:rsidR="00385835" w:rsidRPr="002C08FA">
              <w:rPr>
                <w:rFonts w:ascii="Times New Roman" w:eastAsia="AngsanaUPC" w:hAnsi="Times New Roman"/>
                <w:bCs/>
                <w:iCs/>
                <w:sz w:val="24"/>
                <w:szCs w:val="24"/>
                <w:lang w:eastAsia="lt-LT"/>
              </w:rPr>
              <w:t>kontrolės sistemos diegimą, skirstymo bei maitinimo spintų atnaujinimą</w:t>
            </w:r>
            <w:r w:rsidRPr="002C08FA">
              <w:rPr>
                <w:rFonts w:ascii="Times New Roman" w:eastAsia="AngsanaUPC" w:hAnsi="Times New Roman"/>
                <w:bCs/>
                <w:iCs/>
                <w:sz w:val="24"/>
                <w:szCs w:val="24"/>
                <w:lang w:eastAsia="lt-LT"/>
              </w:rPr>
              <w:t>, kitus su tinklų modernizavimu susijusius darbus</w:t>
            </w:r>
            <w:r w:rsidR="00385835" w:rsidRPr="002C08FA">
              <w:rPr>
                <w:rFonts w:ascii="Times New Roman" w:eastAsia="AngsanaUPC" w:hAnsi="Times New Roman"/>
                <w:bCs/>
                <w:iCs/>
                <w:sz w:val="24"/>
                <w:szCs w:val="24"/>
                <w:lang w:eastAsia="lt-LT"/>
              </w:rPr>
              <w:t>.</w:t>
            </w:r>
          </w:p>
          <w:p w:rsidR="00385835" w:rsidRPr="002C08FA" w:rsidRDefault="00385835" w:rsidP="00650E41">
            <w:pPr>
              <w:widowControl w:val="0"/>
              <w:numPr>
                <w:ilvl w:val="0"/>
                <w:numId w:val="21"/>
              </w:numPr>
              <w:tabs>
                <w:tab w:val="left" w:pos="34"/>
                <w:tab w:val="left" w:pos="459"/>
              </w:tabs>
              <w:spacing w:after="0" w:line="240" w:lineRule="auto"/>
              <w:ind w:left="34" w:firstLine="0"/>
              <w:jc w:val="both"/>
              <w:rPr>
                <w:rFonts w:ascii="Times New Roman" w:eastAsia="AngsanaUPC" w:hAnsi="Times New Roman"/>
                <w:bCs/>
                <w:iCs/>
                <w:sz w:val="24"/>
                <w:szCs w:val="24"/>
                <w:lang w:eastAsia="lt-LT"/>
              </w:rPr>
            </w:pPr>
            <w:r w:rsidRPr="002C08FA">
              <w:rPr>
                <w:rFonts w:ascii="Times New Roman" w:eastAsia="AngsanaUPC" w:hAnsi="Times New Roman"/>
                <w:bCs/>
                <w:iCs/>
                <w:sz w:val="24"/>
                <w:szCs w:val="24"/>
                <w:lang w:eastAsia="lt-LT"/>
              </w:rPr>
              <w:t xml:space="preserve">Energijos gamybos efektyvumo ir AIE naudojimo namų ūkiuose didinimas. Remiamas neefektyviai biomasę naudojančių katilų namų ūkiuose, kurie nėra prijungti prie </w:t>
            </w:r>
            <w:r w:rsidR="00AE56FE" w:rsidRPr="002C08FA">
              <w:rPr>
                <w:rFonts w:ascii="Times New Roman" w:eastAsia="AngsanaUPC" w:hAnsi="Times New Roman"/>
                <w:bCs/>
                <w:iCs/>
                <w:sz w:val="24"/>
                <w:szCs w:val="24"/>
                <w:lang w:eastAsia="lt-LT"/>
              </w:rPr>
              <w:t>CŠT</w:t>
            </w:r>
            <w:r w:rsidRPr="002C08FA">
              <w:rPr>
                <w:rFonts w:ascii="Times New Roman" w:eastAsia="AngsanaUPC" w:hAnsi="Times New Roman"/>
                <w:bCs/>
                <w:iCs/>
                <w:sz w:val="24"/>
                <w:szCs w:val="24"/>
                <w:lang w:eastAsia="lt-LT"/>
              </w:rPr>
              <w:t>, keitimas į efektyvesnes technologijas, naudojančias AIE šilumos</w:t>
            </w:r>
            <w:r w:rsidR="00674AA6" w:rsidRPr="002C08FA">
              <w:rPr>
                <w:rFonts w:ascii="Times New Roman" w:eastAsia="AngsanaUPC" w:hAnsi="Times New Roman"/>
                <w:bCs/>
                <w:sz w:val="24"/>
                <w:szCs w:val="24"/>
                <w:lang w:eastAsia="lt-LT"/>
              </w:rPr>
              <w:t xml:space="preserve"> </w:t>
            </w:r>
            <w:r w:rsidR="00674AA6" w:rsidRPr="002C08FA">
              <w:rPr>
                <w:rFonts w:ascii="Times New Roman" w:eastAsia="AngsanaUPC" w:hAnsi="Times New Roman"/>
                <w:bCs/>
                <w:iCs/>
                <w:sz w:val="24"/>
                <w:szCs w:val="24"/>
                <w:lang w:eastAsia="lt-LT"/>
              </w:rPr>
              <w:t>ir (ar) karšto vandens</w:t>
            </w:r>
            <w:r w:rsidRPr="002C08FA">
              <w:rPr>
                <w:rFonts w:ascii="Times New Roman" w:eastAsia="AngsanaUPC" w:hAnsi="Times New Roman"/>
                <w:bCs/>
                <w:iCs/>
                <w:sz w:val="24"/>
                <w:szCs w:val="24"/>
                <w:lang w:eastAsia="lt-LT"/>
              </w:rPr>
              <w:t xml:space="preserve"> </w:t>
            </w:r>
            <w:r w:rsidR="00AE56FE" w:rsidRPr="002C08FA">
              <w:rPr>
                <w:rFonts w:ascii="Times New Roman" w:eastAsia="AngsanaUPC" w:hAnsi="Times New Roman"/>
                <w:bCs/>
                <w:iCs/>
                <w:sz w:val="24"/>
                <w:szCs w:val="24"/>
                <w:lang w:eastAsia="lt-LT"/>
              </w:rPr>
              <w:t>gamybai, ir (arba) namų ūkių prijungimas prie CŠT.</w:t>
            </w:r>
          </w:p>
          <w:p w:rsidR="00385835" w:rsidRPr="00385835" w:rsidRDefault="00385835" w:rsidP="00650E41">
            <w:pPr>
              <w:widowControl w:val="0"/>
              <w:numPr>
                <w:ilvl w:val="0"/>
                <w:numId w:val="21"/>
              </w:numPr>
              <w:tabs>
                <w:tab w:val="left" w:pos="34"/>
                <w:tab w:val="left" w:pos="459"/>
              </w:tabs>
              <w:spacing w:after="0" w:line="240" w:lineRule="auto"/>
              <w:ind w:left="34" w:firstLine="0"/>
              <w:jc w:val="both"/>
              <w:rPr>
                <w:rFonts w:ascii="Times New Roman" w:eastAsia="AngsanaUPC" w:hAnsi="Times New Roman"/>
                <w:bCs/>
                <w:iCs/>
                <w:sz w:val="24"/>
                <w:szCs w:val="24"/>
                <w:lang w:eastAsia="lt-LT"/>
              </w:rPr>
            </w:pPr>
            <w:r w:rsidRPr="002C08FA">
              <w:rPr>
                <w:rFonts w:ascii="Times New Roman" w:eastAsia="AngsanaUPC" w:hAnsi="Times New Roman"/>
                <w:bCs/>
                <w:iCs/>
                <w:sz w:val="24"/>
                <w:szCs w:val="24"/>
                <w:lang w:eastAsia="lt-LT"/>
              </w:rPr>
              <w:t>Centralizuotai tiekiamos šilumos tinklų modernizacija ir plėtra. Remiamas šilumos tinklų modernizavimas šilumos perdavimo nuostolių mažinimui, tinklų darbo patikimumo didinimui</w:t>
            </w:r>
            <w:r w:rsidR="00674AA6" w:rsidRPr="002C08FA">
              <w:rPr>
                <w:rFonts w:ascii="Times New Roman" w:eastAsia="Times New Roman" w:hAnsi="Times New Roman"/>
                <w:sz w:val="24"/>
                <w:szCs w:val="24"/>
              </w:rPr>
              <w:t xml:space="preserve"> </w:t>
            </w:r>
            <w:r w:rsidR="00674AA6" w:rsidRPr="002C08FA">
              <w:rPr>
                <w:rFonts w:ascii="Times New Roman" w:eastAsia="AngsanaUPC" w:hAnsi="Times New Roman"/>
                <w:bCs/>
                <w:iCs/>
                <w:sz w:val="24"/>
                <w:szCs w:val="24"/>
                <w:lang w:eastAsia="lt-LT"/>
              </w:rPr>
              <w:t>bei šilumos tinklų plėtra perdavimo tinklų optimizavimui ir naujų vartotojų prijungimui</w:t>
            </w:r>
            <w:r w:rsidRPr="002C08FA">
              <w:rPr>
                <w:rFonts w:ascii="Times New Roman" w:eastAsia="AngsanaUPC" w:hAnsi="Times New Roman"/>
                <w:bCs/>
                <w:iCs/>
                <w:sz w:val="24"/>
                <w:szCs w:val="24"/>
                <w:lang w:eastAsia="lt-LT"/>
              </w:rPr>
              <w:t>.</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i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746"/>
      </w:tblGrid>
      <w:tr w:rsidR="00385835" w:rsidRPr="00385835" w:rsidTr="00385835">
        <w:tc>
          <w:tcPr>
            <w:tcW w:w="9746"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i/>
                <w:iCs/>
                <w:sz w:val="24"/>
                <w:szCs w:val="24"/>
                <w:lang w:eastAsia="lt-LT"/>
              </w:rPr>
              <w:t>Didelės apimties projektai</w:t>
            </w:r>
          </w:p>
        </w:tc>
      </w:tr>
      <w:tr w:rsidR="00385835" w:rsidRPr="00385835" w:rsidTr="00385835">
        <w:tc>
          <w:tcPr>
            <w:tcW w:w="9746" w:type="dxa"/>
            <w:shd w:val="clear" w:color="auto" w:fill="auto"/>
          </w:tcPr>
          <w:p w:rsidR="00385835" w:rsidRPr="00385835" w:rsidRDefault="00385835" w:rsidP="00385835">
            <w:pPr>
              <w:widowControl w:val="0"/>
              <w:tabs>
                <w:tab w:val="left" w:pos="622"/>
              </w:tabs>
              <w:spacing w:after="0" w:line="240" w:lineRule="auto"/>
              <w:ind w:firstLine="624"/>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Pagal šį investicinį prioritetą didelės apimties projektų vykdyti nenumatoma.</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567"/>
        <w:gridCol w:w="2552"/>
        <w:gridCol w:w="1134"/>
        <w:gridCol w:w="850"/>
        <w:gridCol w:w="1134"/>
        <w:gridCol w:w="1134"/>
        <w:gridCol w:w="1134"/>
        <w:gridCol w:w="1241"/>
      </w:tblGrid>
      <w:tr w:rsidR="00385835" w:rsidRPr="00385835" w:rsidTr="007F34F1">
        <w:trPr>
          <w:tblHeader/>
        </w:trPr>
        <w:tc>
          <w:tcPr>
            <w:tcW w:w="9746" w:type="dxa"/>
            <w:gridSpan w:val="8"/>
            <w:shd w:val="clear" w:color="auto" w:fill="EEECE1"/>
          </w:tcPr>
          <w:p w:rsidR="00385835" w:rsidRPr="00385835" w:rsidRDefault="00385835" w:rsidP="00DA04FC">
            <w:pPr>
              <w:widowControl w:val="0"/>
              <w:tabs>
                <w:tab w:val="left" w:pos="622"/>
              </w:tabs>
              <w:spacing w:after="0" w:line="240" w:lineRule="auto"/>
              <w:jc w:val="both"/>
              <w:rPr>
                <w:rFonts w:ascii="Times New Roman" w:eastAsia="AngsanaUPC" w:hAnsi="Times New Roman"/>
                <w:b/>
                <w:bCs/>
                <w:i/>
                <w:iCs/>
                <w:sz w:val="24"/>
                <w:szCs w:val="24"/>
                <w:lang w:eastAsia="lt-LT"/>
              </w:rPr>
            </w:pPr>
            <w:r w:rsidRPr="00385835">
              <w:rPr>
                <w:rFonts w:ascii="Times New Roman" w:eastAsia="AngsanaUPC" w:hAnsi="Times New Roman"/>
                <w:b/>
                <w:bCs/>
                <w:i/>
                <w:iCs/>
                <w:sz w:val="24"/>
                <w:szCs w:val="24"/>
                <w:lang w:eastAsia="lt-LT"/>
              </w:rPr>
              <w:t xml:space="preserve">ERPF ir SaF bendrieji ir </w:t>
            </w:r>
            <w:r w:rsidR="00DA04FC">
              <w:rPr>
                <w:rFonts w:ascii="Times New Roman" w:eastAsia="AngsanaUPC" w:hAnsi="Times New Roman"/>
                <w:b/>
                <w:bCs/>
                <w:i/>
                <w:iCs/>
                <w:sz w:val="24"/>
                <w:szCs w:val="24"/>
                <w:lang w:eastAsia="lt-LT"/>
              </w:rPr>
              <w:t xml:space="preserve">specialieji </w:t>
            </w:r>
            <w:r w:rsidRPr="00385835">
              <w:rPr>
                <w:rFonts w:ascii="Times New Roman" w:eastAsia="AngsanaUPC" w:hAnsi="Times New Roman"/>
                <w:b/>
                <w:bCs/>
                <w:i/>
                <w:iCs/>
                <w:sz w:val="24"/>
                <w:szCs w:val="24"/>
                <w:lang w:eastAsia="lt-LT"/>
              </w:rPr>
              <w:t xml:space="preserve">programos produkto rodikliai </w:t>
            </w:r>
          </w:p>
        </w:tc>
      </w:tr>
      <w:tr w:rsidR="00385835" w:rsidRPr="00385835" w:rsidTr="007F34F1">
        <w:tblPrEx>
          <w:shd w:val="clear" w:color="auto" w:fill="auto"/>
        </w:tblPrEx>
        <w:trPr>
          <w:tblHeader/>
        </w:trPr>
        <w:tc>
          <w:tcPr>
            <w:tcW w:w="567"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Nr.</w:t>
            </w:r>
          </w:p>
        </w:tc>
        <w:tc>
          <w:tcPr>
            <w:tcW w:w="2552"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Rodiklio pavadinimas</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Matavimo vienetas</w:t>
            </w:r>
          </w:p>
        </w:tc>
        <w:tc>
          <w:tcPr>
            <w:tcW w:w="850"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Fondas</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Regiono kategorija</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Siektina reikšmė (2023)</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Duomenų šaltinis</w:t>
            </w:r>
          </w:p>
        </w:tc>
        <w:tc>
          <w:tcPr>
            <w:tcW w:w="124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Atsiskaitymo dažnumas</w:t>
            </w:r>
          </w:p>
        </w:tc>
      </w:tr>
      <w:tr w:rsidR="00385835" w:rsidRPr="00385835" w:rsidTr="00385835">
        <w:tblPrEx>
          <w:shd w:val="clear" w:color="auto" w:fill="auto"/>
        </w:tblPrEx>
        <w:tc>
          <w:tcPr>
            <w:tcW w:w="567"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1.</w:t>
            </w:r>
          </w:p>
        </w:tc>
        <w:tc>
          <w:tcPr>
            <w:tcW w:w="2552" w:type="dxa"/>
            <w:shd w:val="clear" w:color="auto" w:fill="auto"/>
            <w:vAlign w:val="center"/>
          </w:tcPr>
          <w:p w:rsidR="00385835" w:rsidRPr="002C08FA" w:rsidRDefault="00385835" w:rsidP="00385835">
            <w:pPr>
              <w:widowControl w:val="0"/>
              <w:tabs>
                <w:tab w:val="left" w:pos="622"/>
              </w:tabs>
              <w:spacing w:after="0" w:line="240" w:lineRule="auto"/>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 xml:space="preserve">Namų ūkių, priskirtų geresnei energijos vartojimo efektyvumo klasei, skaičius </w:t>
            </w:r>
          </w:p>
        </w:tc>
        <w:tc>
          <w:tcPr>
            <w:tcW w:w="1134"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Namų ūkiai</w:t>
            </w:r>
          </w:p>
        </w:tc>
        <w:tc>
          <w:tcPr>
            <w:tcW w:w="850"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ERPF</w:t>
            </w:r>
          </w:p>
        </w:tc>
        <w:tc>
          <w:tcPr>
            <w:tcW w:w="1134"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Mažiau išsivystęs</w:t>
            </w:r>
          </w:p>
        </w:tc>
        <w:tc>
          <w:tcPr>
            <w:tcW w:w="1134" w:type="dxa"/>
            <w:shd w:val="clear" w:color="auto" w:fill="auto"/>
            <w:vAlign w:val="center"/>
          </w:tcPr>
          <w:p w:rsidR="00385835" w:rsidRPr="002C08FA" w:rsidRDefault="00385835" w:rsidP="00C76808">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30</w:t>
            </w:r>
            <w:r w:rsidR="00C76808" w:rsidRPr="002C08FA">
              <w:rPr>
                <w:rFonts w:ascii="Times New Roman" w:eastAsia="AngsanaUPC" w:hAnsi="Times New Roman"/>
                <w:bCs/>
                <w:iCs/>
                <w:sz w:val="18"/>
                <w:szCs w:val="18"/>
                <w:lang w:eastAsia="lt-LT"/>
              </w:rPr>
              <w:t>.</w:t>
            </w:r>
            <w:r w:rsidRPr="002C08FA">
              <w:rPr>
                <w:rFonts w:ascii="Times New Roman" w:eastAsia="AngsanaUPC" w:hAnsi="Times New Roman"/>
                <w:bCs/>
                <w:iCs/>
                <w:sz w:val="18"/>
                <w:szCs w:val="18"/>
                <w:lang w:eastAsia="lt-LT"/>
              </w:rPr>
              <w:t>000</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Duomenys iš projektų</w:t>
            </w:r>
          </w:p>
        </w:tc>
        <w:tc>
          <w:tcPr>
            <w:tcW w:w="124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385835" w:rsidRPr="00385835" w:rsidTr="00385835">
        <w:tblPrEx>
          <w:shd w:val="clear" w:color="auto" w:fill="auto"/>
        </w:tblPrEx>
        <w:tc>
          <w:tcPr>
            <w:tcW w:w="567"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 xml:space="preserve">2. </w:t>
            </w:r>
          </w:p>
        </w:tc>
        <w:tc>
          <w:tcPr>
            <w:tcW w:w="2552" w:type="dxa"/>
            <w:shd w:val="clear" w:color="auto" w:fill="auto"/>
            <w:vAlign w:val="center"/>
          </w:tcPr>
          <w:p w:rsidR="00385835" w:rsidRPr="002C08FA" w:rsidRDefault="00385835" w:rsidP="00385835">
            <w:pPr>
              <w:widowControl w:val="0"/>
              <w:tabs>
                <w:tab w:val="left" w:pos="622"/>
              </w:tabs>
              <w:spacing w:after="0" w:line="240" w:lineRule="auto"/>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Metinis pirminės energijos suvartojimo viešuosiuose pastatuose sumažėjimas</w:t>
            </w:r>
          </w:p>
        </w:tc>
        <w:tc>
          <w:tcPr>
            <w:tcW w:w="1134"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kWh/per metus</w:t>
            </w:r>
          </w:p>
        </w:tc>
        <w:tc>
          <w:tcPr>
            <w:tcW w:w="850"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ERPF</w:t>
            </w:r>
          </w:p>
        </w:tc>
        <w:tc>
          <w:tcPr>
            <w:tcW w:w="1134"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Mažiau išsivystęs</w:t>
            </w:r>
          </w:p>
        </w:tc>
        <w:tc>
          <w:tcPr>
            <w:tcW w:w="1134" w:type="dxa"/>
            <w:shd w:val="clear" w:color="auto" w:fill="auto"/>
            <w:vAlign w:val="center"/>
          </w:tcPr>
          <w:p w:rsidR="00385835" w:rsidRPr="002C08FA" w:rsidRDefault="00C909E5" w:rsidP="00C76808">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39</w:t>
            </w:r>
            <w:r w:rsidR="00C76808" w:rsidRPr="002C08FA">
              <w:rPr>
                <w:rFonts w:ascii="Times New Roman" w:eastAsia="AngsanaUPC" w:hAnsi="Times New Roman"/>
                <w:bCs/>
                <w:iCs/>
                <w:sz w:val="18"/>
                <w:szCs w:val="18"/>
                <w:lang w:eastAsia="lt-LT"/>
              </w:rPr>
              <w:t>.</w:t>
            </w:r>
            <w:r w:rsidR="00385835" w:rsidRPr="002C08FA">
              <w:rPr>
                <w:rFonts w:ascii="Times New Roman" w:eastAsia="AngsanaUPC" w:hAnsi="Times New Roman"/>
                <w:bCs/>
                <w:iCs/>
                <w:sz w:val="18"/>
                <w:szCs w:val="18"/>
                <w:lang w:eastAsia="lt-LT"/>
              </w:rPr>
              <w:t>000</w:t>
            </w:r>
            <w:r w:rsidR="00C76808" w:rsidRPr="002C08FA">
              <w:rPr>
                <w:rFonts w:ascii="Times New Roman" w:eastAsia="AngsanaUPC" w:hAnsi="Times New Roman"/>
                <w:bCs/>
                <w:iCs/>
                <w:sz w:val="18"/>
                <w:szCs w:val="18"/>
                <w:lang w:eastAsia="lt-LT"/>
              </w:rPr>
              <w:t>.</w:t>
            </w:r>
            <w:r w:rsidR="00385835" w:rsidRPr="002C08FA">
              <w:rPr>
                <w:rFonts w:ascii="Times New Roman" w:eastAsia="AngsanaUPC" w:hAnsi="Times New Roman"/>
                <w:bCs/>
                <w:iCs/>
                <w:sz w:val="18"/>
                <w:szCs w:val="18"/>
                <w:lang w:eastAsia="lt-LT"/>
              </w:rPr>
              <w:t>000</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Duomenys iš projektų</w:t>
            </w:r>
          </w:p>
        </w:tc>
        <w:tc>
          <w:tcPr>
            <w:tcW w:w="124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385835" w:rsidRPr="00385835" w:rsidTr="00385835">
        <w:tblPrEx>
          <w:shd w:val="clear" w:color="auto" w:fill="auto"/>
        </w:tblPrEx>
        <w:tc>
          <w:tcPr>
            <w:tcW w:w="567"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 xml:space="preserve">3. </w:t>
            </w:r>
          </w:p>
        </w:tc>
        <w:tc>
          <w:tcPr>
            <w:tcW w:w="2552" w:type="dxa"/>
            <w:shd w:val="clear" w:color="auto" w:fill="auto"/>
            <w:vAlign w:val="center"/>
          </w:tcPr>
          <w:p w:rsidR="00385835" w:rsidRPr="002C08FA" w:rsidRDefault="00C909E5" w:rsidP="00385835">
            <w:pPr>
              <w:widowControl w:val="0"/>
              <w:tabs>
                <w:tab w:val="left" w:pos="622"/>
              </w:tabs>
              <w:spacing w:after="0" w:line="240" w:lineRule="auto"/>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Modernizuotų</w:t>
            </w:r>
            <w:r w:rsidR="00AE56FE" w:rsidRPr="002C08FA">
              <w:rPr>
                <w:rFonts w:ascii="Times New Roman" w:eastAsia="AngsanaUPC" w:hAnsi="Times New Roman"/>
                <w:bCs/>
                <w:iCs/>
                <w:sz w:val="18"/>
                <w:szCs w:val="18"/>
                <w:lang w:eastAsia="lt-LT"/>
              </w:rPr>
              <w:t xml:space="preserve"> šviestuvų skaičius</w:t>
            </w:r>
          </w:p>
        </w:tc>
        <w:tc>
          <w:tcPr>
            <w:tcW w:w="1134" w:type="dxa"/>
            <w:shd w:val="clear" w:color="auto" w:fill="auto"/>
            <w:vAlign w:val="center"/>
          </w:tcPr>
          <w:p w:rsidR="00385835" w:rsidRPr="002C08FA" w:rsidRDefault="00AE56FE"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Šviestuvai</w:t>
            </w:r>
          </w:p>
        </w:tc>
        <w:tc>
          <w:tcPr>
            <w:tcW w:w="850"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ERPF</w:t>
            </w:r>
          </w:p>
        </w:tc>
        <w:tc>
          <w:tcPr>
            <w:tcW w:w="1134"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Mažiau išsivystęs</w:t>
            </w:r>
          </w:p>
        </w:tc>
        <w:tc>
          <w:tcPr>
            <w:tcW w:w="1134" w:type="dxa"/>
            <w:shd w:val="clear" w:color="auto" w:fill="auto"/>
            <w:vAlign w:val="center"/>
          </w:tcPr>
          <w:p w:rsidR="00385835" w:rsidRPr="002C08FA" w:rsidRDefault="00C909E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11.7</w:t>
            </w:r>
            <w:r w:rsidR="00AE56FE" w:rsidRPr="002C08FA">
              <w:rPr>
                <w:rFonts w:ascii="Times New Roman" w:eastAsia="AngsanaUPC" w:hAnsi="Times New Roman"/>
                <w:bCs/>
                <w:iCs/>
                <w:sz w:val="18"/>
                <w:szCs w:val="18"/>
                <w:lang w:eastAsia="lt-LT"/>
              </w:rPr>
              <w:t>00</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Duomenys iš projektų</w:t>
            </w:r>
          </w:p>
        </w:tc>
        <w:tc>
          <w:tcPr>
            <w:tcW w:w="124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385835" w:rsidRPr="00385835" w:rsidTr="00385835">
        <w:tblPrEx>
          <w:shd w:val="clear" w:color="auto" w:fill="auto"/>
        </w:tblPrEx>
        <w:tc>
          <w:tcPr>
            <w:tcW w:w="567"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4.</w:t>
            </w:r>
          </w:p>
        </w:tc>
        <w:tc>
          <w:tcPr>
            <w:tcW w:w="2552" w:type="dxa"/>
            <w:shd w:val="clear" w:color="auto" w:fill="auto"/>
            <w:vAlign w:val="center"/>
          </w:tcPr>
          <w:p w:rsidR="00385835" w:rsidRPr="002C08FA" w:rsidRDefault="00385835" w:rsidP="00385835">
            <w:pPr>
              <w:widowControl w:val="0"/>
              <w:tabs>
                <w:tab w:val="left" w:pos="622"/>
              </w:tabs>
              <w:spacing w:after="0" w:line="240" w:lineRule="auto"/>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Bendras metinis šiltnamio efektą sukeliančių dujų kiekio sumažėjimas</w:t>
            </w:r>
          </w:p>
        </w:tc>
        <w:tc>
          <w:tcPr>
            <w:tcW w:w="1134"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t CO</w:t>
            </w:r>
            <w:r w:rsidRPr="002C08FA">
              <w:rPr>
                <w:rFonts w:ascii="Times New Roman" w:eastAsia="AngsanaUPC" w:hAnsi="Times New Roman"/>
                <w:bCs/>
                <w:iCs/>
                <w:sz w:val="18"/>
                <w:szCs w:val="18"/>
                <w:vertAlign w:val="subscript"/>
                <w:lang w:eastAsia="lt-LT"/>
              </w:rPr>
              <w:t>2</w:t>
            </w:r>
            <w:r w:rsidRPr="002C08FA">
              <w:rPr>
                <w:rFonts w:ascii="Times New Roman" w:eastAsia="AngsanaUPC" w:hAnsi="Times New Roman"/>
                <w:bCs/>
                <w:iCs/>
                <w:sz w:val="18"/>
                <w:szCs w:val="18"/>
                <w:lang w:eastAsia="lt-LT"/>
              </w:rPr>
              <w:t xml:space="preserve"> ekvivalentu </w:t>
            </w:r>
          </w:p>
        </w:tc>
        <w:tc>
          <w:tcPr>
            <w:tcW w:w="850" w:type="dxa"/>
            <w:shd w:val="clear" w:color="auto" w:fill="auto"/>
            <w:vAlign w:val="center"/>
          </w:tcPr>
          <w:p w:rsidR="00385835" w:rsidRPr="002C08FA" w:rsidRDefault="00385835" w:rsidP="004F39B3">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ERPF</w:t>
            </w:r>
          </w:p>
        </w:tc>
        <w:tc>
          <w:tcPr>
            <w:tcW w:w="1134"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Mažiau išsivystęs</w:t>
            </w:r>
          </w:p>
        </w:tc>
        <w:tc>
          <w:tcPr>
            <w:tcW w:w="1134" w:type="dxa"/>
            <w:shd w:val="clear" w:color="auto" w:fill="auto"/>
            <w:vAlign w:val="center"/>
          </w:tcPr>
          <w:p w:rsidR="00385835" w:rsidRPr="002C08FA" w:rsidRDefault="00C909E5" w:rsidP="00C76808">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val="en-US" w:eastAsia="lt-LT"/>
              </w:rPr>
              <w:t>73</w:t>
            </w:r>
            <w:r w:rsidR="00C76808" w:rsidRPr="002C08FA">
              <w:rPr>
                <w:rFonts w:ascii="Times New Roman" w:eastAsia="AngsanaUPC" w:hAnsi="Times New Roman"/>
                <w:bCs/>
                <w:iCs/>
                <w:sz w:val="18"/>
                <w:szCs w:val="18"/>
                <w:lang w:val="en-US" w:eastAsia="lt-LT"/>
              </w:rPr>
              <w:t>.</w:t>
            </w:r>
            <w:r w:rsidRPr="002C08FA">
              <w:rPr>
                <w:rFonts w:ascii="Times New Roman" w:eastAsia="AngsanaUPC" w:hAnsi="Times New Roman"/>
                <w:bCs/>
                <w:iCs/>
                <w:sz w:val="18"/>
                <w:szCs w:val="18"/>
                <w:lang w:val="en-US" w:eastAsia="lt-LT"/>
              </w:rPr>
              <w:t>223</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Duomenys iš projektų</w:t>
            </w:r>
          </w:p>
        </w:tc>
        <w:tc>
          <w:tcPr>
            <w:tcW w:w="124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385835" w:rsidRPr="00385835" w:rsidTr="00385835">
        <w:tblPrEx>
          <w:shd w:val="clear" w:color="auto" w:fill="auto"/>
        </w:tblPrEx>
        <w:tc>
          <w:tcPr>
            <w:tcW w:w="567"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5.</w:t>
            </w:r>
          </w:p>
        </w:tc>
        <w:tc>
          <w:tcPr>
            <w:tcW w:w="2552" w:type="dxa"/>
            <w:shd w:val="clear" w:color="auto" w:fill="auto"/>
            <w:vAlign w:val="center"/>
          </w:tcPr>
          <w:p w:rsidR="00385835" w:rsidRPr="002C08FA" w:rsidRDefault="00385835" w:rsidP="00385835">
            <w:pPr>
              <w:widowControl w:val="0"/>
              <w:tabs>
                <w:tab w:val="left" w:pos="622"/>
              </w:tabs>
              <w:spacing w:after="0" w:line="240" w:lineRule="auto"/>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Namų ūkiai, kuriuose padidintas atsinaujinančių išteklių energijos naudojimo efektyvumas</w:t>
            </w:r>
          </w:p>
        </w:tc>
        <w:tc>
          <w:tcPr>
            <w:tcW w:w="1134"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Namų ūkiai</w:t>
            </w:r>
          </w:p>
        </w:tc>
        <w:tc>
          <w:tcPr>
            <w:tcW w:w="850"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SaF</w:t>
            </w:r>
          </w:p>
        </w:tc>
        <w:tc>
          <w:tcPr>
            <w:tcW w:w="1134" w:type="dxa"/>
            <w:shd w:val="clear" w:color="auto" w:fill="auto"/>
            <w:vAlign w:val="center"/>
          </w:tcPr>
          <w:p w:rsidR="00385835" w:rsidRPr="002C08FA" w:rsidRDefault="00515A37"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sz w:val="18"/>
                <w:szCs w:val="18"/>
                <w:lang w:eastAsia="lt-LT"/>
              </w:rPr>
              <w:t>–</w:t>
            </w:r>
          </w:p>
        </w:tc>
        <w:tc>
          <w:tcPr>
            <w:tcW w:w="1134" w:type="dxa"/>
            <w:shd w:val="clear" w:color="auto" w:fill="auto"/>
            <w:vAlign w:val="center"/>
          </w:tcPr>
          <w:p w:rsidR="00385835" w:rsidRPr="002C08FA" w:rsidRDefault="00C909E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6</w:t>
            </w:r>
            <w:r w:rsidR="00C76808" w:rsidRPr="002C08FA">
              <w:rPr>
                <w:rFonts w:ascii="Times New Roman" w:eastAsia="AngsanaUPC" w:hAnsi="Times New Roman"/>
                <w:bCs/>
                <w:iCs/>
                <w:sz w:val="18"/>
                <w:szCs w:val="18"/>
                <w:lang w:eastAsia="lt-LT"/>
              </w:rPr>
              <w:t>.</w:t>
            </w:r>
            <w:r w:rsidRPr="002C08FA">
              <w:rPr>
                <w:rFonts w:ascii="Times New Roman" w:eastAsia="AngsanaUPC" w:hAnsi="Times New Roman"/>
                <w:bCs/>
                <w:iCs/>
                <w:sz w:val="18"/>
                <w:szCs w:val="18"/>
                <w:lang w:eastAsia="lt-LT"/>
              </w:rPr>
              <w:t>0</w:t>
            </w:r>
            <w:r w:rsidR="00385835" w:rsidRPr="002C08FA">
              <w:rPr>
                <w:rFonts w:ascii="Times New Roman" w:eastAsia="AngsanaUPC" w:hAnsi="Times New Roman"/>
                <w:bCs/>
                <w:iCs/>
                <w:sz w:val="18"/>
                <w:szCs w:val="18"/>
                <w:lang w:eastAsia="lt-LT"/>
              </w:rPr>
              <w:t>00</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Duomenys iš projektų</w:t>
            </w:r>
          </w:p>
        </w:tc>
        <w:tc>
          <w:tcPr>
            <w:tcW w:w="1241" w:type="dxa"/>
            <w:shd w:val="clear" w:color="auto" w:fill="auto"/>
            <w:vAlign w:val="center"/>
          </w:tcPr>
          <w:p w:rsidR="00385835" w:rsidRPr="00385835" w:rsidDel="0054055D"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385835" w:rsidRPr="00385835" w:rsidTr="00385835">
        <w:tblPrEx>
          <w:shd w:val="clear" w:color="auto" w:fill="auto"/>
        </w:tblPrEx>
        <w:tc>
          <w:tcPr>
            <w:tcW w:w="567"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6.</w:t>
            </w:r>
          </w:p>
        </w:tc>
        <w:tc>
          <w:tcPr>
            <w:tcW w:w="2552" w:type="dxa"/>
            <w:shd w:val="clear" w:color="auto" w:fill="auto"/>
            <w:vAlign w:val="center"/>
          </w:tcPr>
          <w:p w:rsidR="00385835" w:rsidRPr="002C08FA" w:rsidRDefault="00385835" w:rsidP="00385835">
            <w:pPr>
              <w:widowControl w:val="0"/>
              <w:tabs>
                <w:tab w:val="left" w:pos="622"/>
              </w:tabs>
              <w:spacing w:after="0" w:line="240" w:lineRule="auto"/>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Šilumos vartotojai, kuriems šiluma tiekiama patikimiau ir pagerėjo tiekimo kokybė</w:t>
            </w:r>
          </w:p>
        </w:tc>
        <w:tc>
          <w:tcPr>
            <w:tcW w:w="1134"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Asmenys</w:t>
            </w:r>
          </w:p>
        </w:tc>
        <w:tc>
          <w:tcPr>
            <w:tcW w:w="850"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SaF</w:t>
            </w:r>
          </w:p>
        </w:tc>
        <w:tc>
          <w:tcPr>
            <w:tcW w:w="1134" w:type="dxa"/>
            <w:shd w:val="clear" w:color="auto" w:fill="auto"/>
            <w:vAlign w:val="center"/>
          </w:tcPr>
          <w:p w:rsidR="00385835" w:rsidRPr="002C08FA" w:rsidRDefault="00515A37"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sz w:val="18"/>
                <w:szCs w:val="18"/>
                <w:lang w:eastAsia="lt-LT"/>
              </w:rPr>
              <w:t>–</w:t>
            </w:r>
          </w:p>
        </w:tc>
        <w:tc>
          <w:tcPr>
            <w:tcW w:w="1134" w:type="dxa"/>
            <w:shd w:val="clear" w:color="auto" w:fill="auto"/>
            <w:vAlign w:val="center"/>
          </w:tcPr>
          <w:p w:rsidR="00385835" w:rsidRPr="002C08FA" w:rsidRDefault="00AE56FE" w:rsidP="00C76808">
            <w:pPr>
              <w:widowControl w:val="0"/>
              <w:tabs>
                <w:tab w:val="left" w:pos="622"/>
              </w:tabs>
              <w:spacing w:after="0" w:line="240" w:lineRule="auto"/>
              <w:jc w:val="center"/>
              <w:rPr>
                <w:rFonts w:ascii="Times New Roman" w:eastAsia="AngsanaUPC" w:hAnsi="Times New Roman"/>
                <w:bCs/>
                <w:iCs/>
                <w:sz w:val="18"/>
                <w:szCs w:val="18"/>
                <w:lang w:val="en-US" w:eastAsia="lt-LT"/>
              </w:rPr>
            </w:pPr>
            <w:r w:rsidRPr="002C08FA">
              <w:rPr>
                <w:rFonts w:ascii="Times New Roman" w:eastAsia="AngsanaUPC" w:hAnsi="Times New Roman"/>
                <w:bCs/>
                <w:iCs/>
                <w:sz w:val="18"/>
                <w:szCs w:val="18"/>
                <w:lang w:val="en-US" w:eastAsia="lt-LT"/>
              </w:rPr>
              <w:t>93</w:t>
            </w:r>
            <w:r w:rsidR="00385835" w:rsidRPr="002C08FA">
              <w:rPr>
                <w:rFonts w:ascii="Times New Roman" w:eastAsia="AngsanaUPC" w:hAnsi="Times New Roman"/>
                <w:bCs/>
                <w:iCs/>
                <w:sz w:val="18"/>
                <w:szCs w:val="18"/>
                <w:lang w:val="en-US" w:eastAsia="lt-LT"/>
              </w:rPr>
              <w:t>0</w:t>
            </w:r>
            <w:r w:rsidR="00C76808" w:rsidRPr="002C08FA">
              <w:rPr>
                <w:rFonts w:ascii="Times New Roman" w:eastAsia="AngsanaUPC" w:hAnsi="Times New Roman"/>
                <w:bCs/>
                <w:iCs/>
                <w:sz w:val="18"/>
                <w:szCs w:val="18"/>
                <w:lang w:val="en-US" w:eastAsia="lt-LT"/>
              </w:rPr>
              <w:t>.</w:t>
            </w:r>
            <w:r w:rsidR="00385835" w:rsidRPr="002C08FA">
              <w:rPr>
                <w:rFonts w:ascii="Times New Roman" w:eastAsia="AngsanaUPC" w:hAnsi="Times New Roman"/>
                <w:bCs/>
                <w:iCs/>
                <w:sz w:val="18"/>
                <w:szCs w:val="18"/>
                <w:lang w:val="en-US" w:eastAsia="lt-LT"/>
              </w:rPr>
              <w:t>000</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Duomenys iš projektų</w:t>
            </w:r>
          </w:p>
        </w:tc>
        <w:tc>
          <w:tcPr>
            <w:tcW w:w="124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r w:rsidRPr="00385835" w:rsidDel="0054055D">
              <w:rPr>
                <w:rFonts w:ascii="Times New Roman" w:eastAsia="AngsanaUPC" w:hAnsi="Times New Roman"/>
                <w:bCs/>
                <w:iCs/>
                <w:sz w:val="18"/>
                <w:szCs w:val="18"/>
                <w:lang w:eastAsia="lt-LT"/>
              </w:rPr>
              <w:t xml:space="preserve"> </w:t>
            </w:r>
          </w:p>
        </w:tc>
      </w:tr>
      <w:tr w:rsidR="00385835" w:rsidRPr="00385835" w:rsidTr="00385835">
        <w:tblPrEx>
          <w:shd w:val="clear" w:color="auto" w:fill="auto"/>
        </w:tblPrEx>
        <w:tc>
          <w:tcPr>
            <w:tcW w:w="567"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7.</w:t>
            </w:r>
          </w:p>
        </w:tc>
        <w:tc>
          <w:tcPr>
            <w:tcW w:w="2552" w:type="dxa"/>
            <w:shd w:val="clear" w:color="auto" w:fill="auto"/>
            <w:vAlign w:val="center"/>
          </w:tcPr>
          <w:p w:rsidR="00385835" w:rsidRPr="002C08FA" w:rsidRDefault="00385835" w:rsidP="00385835">
            <w:pPr>
              <w:widowControl w:val="0"/>
              <w:tabs>
                <w:tab w:val="left" w:pos="622"/>
              </w:tabs>
              <w:spacing w:after="0" w:line="240" w:lineRule="auto"/>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Modernizuoti centralizuoto šilumos tiekimo tinklai</w:t>
            </w:r>
          </w:p>
        </w:tc>
        <w:tc>
          <w:tcPr>
            <w:tcW w:w="1134"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Km</w:t>
            </w:r>
          </w:p>
        </w:tc>
        <w:tc>
          <w:tcPr>
            <w:tcW w:w="850"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SaF</w:t>
            </w:r>
          </w:p>
        </w:tc>
        <w:tc>
          <w:tcPr>
            <w:tcW w:w="1134" w:type="dxa"/>
            <w:shd w:val="clear" w:color="auto" w:fill="auto"/>
            <w:vAlign w:val="center"/>
          </w:tcPr>
          <w:p w:rsidR="00385835" w:rsidRPr="002C08FA" w:rsidRDefault="00515A37"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sz w:val="18"/>
                <w:szCs w:val="18"/>
                <w:lang w:eastAsia="lt-LT"/>
              </w:rPr>
              <w:t>–</w:t>
            </w:r>
          </w:p>
        </w:tc>
        <w:tc>
          <w:tcPr>
            <w:tcW w:w="1134" w:type="dxa"/>
            <w:shd w:val="clear" w:color="auto" w:fill="auto"/>
            <w:vAlign w:val="center"/>
          </w:tcPr>
          <w:p w:rsidR="00385835" w:rsidRPr="002C08FA" w:rsidRDefault="00F55AFC" w:rsidP="00385835">
            <w:pPr>
              <w:widowControl w:val="0"/>
              <w:tabs>
                <w:tab w:val="left" w:pos="622"/>
              </w:tabs>
              <w:spacing w:after="0" w:line="240" w:lineRule="auto"/>
              <w:jc w:val="center"/>
              <w:rPr>
                <w:rFonts w:ascii="Times New Roman" w:eastAsia="AngsanaUPC" w:hAnsi="Times New Roman"/>
                <w:bCs/>
                <w:iCs/>
                <w:sz w:val="18"/>
                <w:szCs w:val="18"/>
                <w:lang w:val="en-US" w:eastAsia="lt-LT"/>
              </w:rPr>
            </w:pPr>
            <w:r w:rsidRPr="002C08FA">
              <w:rPr>
                <w:rFonts w:ascii="Times New Roman" w:eastAsia="AngsanaUPC" w:hAnsi="Times New Roman"/>
                <w:bCs/>
                <w:iCs/>
                <w:sz w:val="18"/>
                <w:szCs w:val="18"/>
                <w:lang w:val="en-US" w:eastAsia="lt-LT"/>
              </w:rPr>
              <w:t>1.0</w:t>
            </w:r>
            <w:r w:rsidR="00385835" w:rsidRPr="002C08FA">
              <w:rPr>
                <w:rFonts w:ascii="Times New Roman" w:eastAsia="AngsanaUPC" w:hAnsi="Times New Roman"/>
                <w:bCs/>
                <w:iCs/>
                <w:sz w:val="18"/>
                <w:szCs w:val="18"/>
                <w:lang w:val="en-US" w:eastAsia="lt-LT"/>
              </w:rPr>
              <w:t>00</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Duomenys iš projektų</w:t>
            </w:r>
          </w:p>
        </w:tc>
        <w:tc>
          <w:tcPr>
            <w:tcW w:w="124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r w:rsidRPr="00385835" w:rsidDel="0054055D">
              <w:rPr>
                <w:rFonts w:ascii="Times New Roman" w:eastAsia="AngsanaUPC" w:hAnsi="Times New Roman"/>
                <w:bCs/>
                <w:iCs/>
                <w:sz w:val="18"/>
                <w:szCs w:val="18"/>
                <w:lang w:eastAsia="lt-LT"/>
              </w:rPr>
              <w:t xml:space="preserve"> </w:t>
            </w:r>
          </w:p>
        </w:tc>
      </w:tr>
    </w:tbl>
    <w:p w:rsidR="00784CD6" w:rsidRPr="00385835" w:rsidRDefault="00784CD6" w:rsidP="00385835">
      <w:pPr>
        <w:spacing w:after="0" w:line="240" w:lineRule="auto"/>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vAlign w:val="center"/>
          </w:tcPr>
          <w:p w:rsidR="00385835" w:rsidRPr="00385835" w:rsidRDefault="00385835" w:rsidP="00385835">
            <w:pPr>
              <w:widowControl w:val="0"/>
              <w:tabs>
                <w:tab w:val="left" w:pos="622"/>
              </w:tabs>
              <w:spacing w:after="0" w:line="240" w:lineRule="auto"/>
              <w:jc w:val="both"/>
              <w:rPr>
                <w:rFonts w:ascii="Times New Roman" w:eastAsia="AngsanaUPC" w:hAnsi="Times New Roman"/>
                <w:b/>
                <w:bCs/>
                <w:iCs/>
                <w:sz w:val="24"/>
                <w:szCs w:val="24"/>
                <w:lang w:eastAsia="lt-LT"/>
              </w:rPr>
            </w:pPr>
            <w:r w:rsidRPr="00385835">
              <w:rPr>
                <w:rFonts w:ascii="Times New Roman" w:eastAsia="AngsanaUPC" w:hAnsi="Times New Roman"/>
                <w:b/>
                <w:bCs/>
                <w:iCs/>
                <w:sz w:val="24"/>
                <w:szCs w:val="24"/>
                <w:lang w:eastAsia="lt-LT"/>
              </w:rPr>
              <w:t>4.4. INVESTICINIS PRIORITETAS</w:t>
            </w:r>
          </w:p>
        </w:tc>
        <w:tc>
          <w:tcPr>
            <w:tcW w:w="7336" w:type="dxa"/>
            <w:shd w:val="clear" w:color="auto" w:fill="EEECE1"/>
          </w:tcPr>
          <w:p w:rsidR="00385835" w:rsidRPr="00385835" w:rsidRDefault="00385835" w:rsidP="00385835">
            <w:pPr>
              <w:spacing w:after="0" w:line="240" w:lineRule="auto"/>
              <w:jc w:val="both"/>
              <w:rPr>
                <w:rFonts w:ascii="Times New Roman" w:hAnsi="Times New Roman"/>
                <w:b/>
                <w:sz w:val="24"/>
                <w:szCs w:val="24"/>
              </w:rPr>
            </w:pPr>
            <w:r w:rsidRPr="00385835">
              <w:rPr>
                <w:rFonts w:ascii="Times New Roman" w:hAnsi="Times New Roman"/>
                <w:b/>
                <w:sz w:val="24"/>
                <w:szCs w:val="24"/>
              </w:rPr>
              <w:t>Pažangiųjų žemos ir vidutinės įtampos paskirstymo sistemų diegimas ir plėtojimas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FONDAS</w:t>
            </w:r>
          </w:p>
        </w:tc>
        <w:tc>
          <w:tcPr>
            <w:tcW w:w="7336"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Sanglaudos fondas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4.4.1. KONKRETUS UŽDAVINYS</w:t>
            </w:r>
          </w:p>
        </w:tc>
        <w:tc>
          <w:tcPr>
            <w:tcW w:w="7336" w:type="dxa"/>
            <w:shd w:val="clear" w:color="auto" w:fill="EEECE1"/>
            <w:vAlign w:val="center"/>
          </w:tcPr>
          <w:p w:rsidR="00385835" w:rsidRPr="00385835" w:rsidRDefault="00385835" w:rsidP="00385835">
            <w:pPr>
              <w:spacing w:after="0" w:line="240" w:lineRule="auto"/>
              <w:jc w:val="both"/>
              <w:rPr>
                <w:rFonts w:ascii="Times New Roman" w:hAnsi="Times New Roman"/>
                <w:b/>
                <w:sz w:val="24"/>
                <w:szCs w:val="24"/>
              </w:rPr>
            </w:pPr>
            <w:r w:rsidRPr="00385835">
              <w:rPr>
                <w:rFonts w:ascii="Times New Roman" w:hAnsi="Times New Roman"/>
                <w:b/>
                <w:sz w:val="24"/>
                <w:szCs w:val="24"/>
              </w:rPr>
              <w:t>Išbandyti pažangiojo tinklo technol</w:t>
            </w:r>
            <w:r w:rsidR="00031EF1">
              <w:rPr>
                <w:rFonts w:ascii="Times New Roman" w:hAnsi="Times New Roman"/>
                <w:b/>
                <w:sz w:val="24"/>
                <w:szCs w:val="24"/>
              </w:rPr>
              <w:t>ogijų diegimo perspektyvas</w:t>
            </w:r>
          </w:p>
        </w:tc>
      </w:tr>
      <w:tr w:rsidR="00385835" w:rsidRPr="00385835" w:rsidTr="00385835">
        <w:tc>
          <w:tcPr>
            <w:tcW w:w="9746" w:type="dxa"/>
            <w:gridSpan w:val="2"/>
            <w:shd w:val="clear" w:color="auto" w:fill="auto"/>
          </w:tcPr>
          <w:p w:rsidR="00385835" w:rsidRPr="00385835" w:rsidRDefault="00385835" w:rsidP="00385835">
            <w:pPr>
              <w:widowControl w:val="0"/>
              <w:tabs>
                <w:tab w:val="left" w:pos="622"/>
              </w:tabs>
              <w:spacing w:after="0" w:line="240" w:lineRule="auto"/>
              <w:ind w:firstLine="624"/>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Pažangiųjų tinklų, vis</w:t>
            </w:r>
            <w:r w:rsidR="007371A0">
              <w:rPr>
                <w:rFonts w:ascii="Times New Roman" w:eastAsia="AngsanaUPC" w:hAnsi="Times New Roman"/>
                <w:bCs/>
                <w:sz w:val="24"/>
                <w:szCs w:val="24"/>
                <w:lang w:eastAsia="lt-LT"/>
              </w:rPr>
              <w:t>ų pirma, pažangiosios apskaitos</w:t>
            </w:r>
            <w:r w:rsidRPr="00385835">
              <w:rPr>
                <w:rFonts w:ascii="Times New Roman" w:eastAsia="AngsanaUPC" w:hAnsi="Times New Roman"/>
                <w:bCs/>
                <w:sz w:val="24"/>
                <w:szCs w:val="24"/>
                <w:lang w:eastAsia="lt-LT"/>
              </w:rPr>
              <w:t xml:space="preserve"> diegimą numato ES politinio ir teisinio pobūdžio dokumentai, </w:t>
            </w:r>
            <w:proofErr w:type="gramStart"/>
            <w:r w:rsidRPr="00385835">
              <w:rPr>
                <w:rFonts w:ascii="Times New Roman" w:eastAsia="AngsanaUPC" w:hAnsi="Times New Roman"/>
                <w:bCs/>
                <w:sz w:val="24"/>
                <w:szCs w:val="24"/>
                <w:lang w:eastAsia="lt-LT"/>
              </w:rPr>
              <w:t>tame tarpe</w:t>
            </w:r>
            <w:proofErr w:type="gramEnd"/>
            <w:r w:rsidRPr="00385835">
              <w:rPr>
                <w:rFonts w:ascii="Times New Roman" w:eastAsia="AngsanaUPC" w:hAnsi="Times New Roman"/>
                <w:bCs/>
                <w:sz w:val="24"/>
                <w:szCs w:val="24"/>
                <w:lang w:eastAsia="lt-LT"/>
              </w:rPr>
              <w:t xml:space="preserve"> ir direktyva 2009/72/EB. Pažangioji apskaita ir pažangieji tinklai laikomi priemone</w:t>
            </w:r>
            <w:r w:rsidR="007371A0">
              <w:rPr>
                <w:rFonts w:ascii="Times New Roman" w:eastAsia="AngsanaUPC" w:hAnsi="Times New Roman"/>
                <w:bCs/>
                <w:sz w:val="24"/>
                <w:szCs w:val="24"/>
                <w:lang w:eastAsia="lt-LT"/>
              </w:rPr>
              <w:t>,</w:t>
            </w:r>
            <w:r w:rsidRPr="00385835">
              <w:rPr>
                <w:rFonts w:ascii="Times New Roman" w:eastAsia="AngsanaUPC" w:hAnsi="Times New Roman"/>
                <w:bCs/>
                <w:sz w:val="24"/>
                <w:szCs w:val="24"/>
                <w:lang w:eastAsia="lt-LT"/>
              </w:rPr>
              <w:t xml:space="preserve"> padėsiančia elektros energijos vartotojams visiškai įsitraukti ir </w:t>
            </w:r>
            <w:r w:rsidRPr="00385835">
              <w:rPr>
                <w:rFonts w:ascii="Times New Roman" w:eastAsia="AngsanaUPC" w:hAnsi="Times New Roman"/>
                <w:bCs/>
                <w:sz w:val="24"/>
                <w:szCs w:val="24"/>
                <w:lang w:eastAsia="lt-LT"/>
              </w:rPr>
              <w:lastRenderedPageBreak/>
              <w:t xml:space="preserve">aktyviai dalyvauti liberalizuotoje elektros energijos rinkoje. </w:t>
            </w:r>
          </w:p>
          <w:p w:rsidR="00385835" w:rsidRPr="00385835" w:rsidRDefault="00385835" w:rsidP="00385835">
            <w:pPr>
              <w:widowControl w:val="0"/>
              <w:tabs>
                <w:tab w:val="left" w:pos="622"/>
              </w:tabs>
              <w:spacing w:after="0" w:line="240" w:lineRule="auto"/>
              <w:ind w:firstLine="624"/>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 xml:space="preserve">Lyginant su kitomis ES šalimis, Lietuvoje </w:t>
            </w:r>
            <w:r w:rsidR="006B4B9B" w:rsidRPr="002C08FA">
              <w:rPr>
                <w:rFonts w:ascii="Times New Roman" w:eastAsia="AngsanaUPC" w:hAnsi="Times New Roman"/>
                <w:bCs/>
                <w:sz w:val="24"/>
                <w:szCs w:val="24"/>
                <w:lang w:eastAsia="lt-LT"/>
              </w:rPr>
              <w:t xml:space="preserve">pažangiųjų </w:t>
            </w:r>
            <w:r w:rsidRPr="002C08FA">
              <w:rPr>
                <w:rFonts w:ascii="Times New Roman" w:eastAsia="AngsanaUPC" w:hAnsi="Times New Roman"/>
                <w:bCs/>
                <w:sz w:val="24"/>
                <w:szCs w:val="24"/>
                <w:lang w:eastAsia="lt-LT"/>
              </w:rPr>
              <w:t>technologijų</w:t>
            </w:r>
            <w:r w:rsidRPr="00385835">
              <w:rPr>
                <w:rFonts w:ascii="Times New Roman" w:eastAsia="AngsanaUPC" w:hAnsi="Times New Roman"/>
                <w:bCs/>
                <w:sz w:val="24"/>
                <w:szCs w:val="24"/>
                <w:lang w:eastAsia="lt-LT"/>
              </w:rPr>
              <w:t xml:space="preserve"> naudojimas skirstomojo elektros tinklo valdymui ir paslaugų galutiniams vartotojus teikimui šiuo metu yra menkai išvystytas. Nuotolinio rodmenų nuskaitymo technologija naudojama tik pas dalį stambių verslo klientų, tinklo valdymo automatizavimas naudojamas fragmentiškai, izoliuotose tinklo zonose. Siekiant užtikrinti technologinį tinklo atsinaujinimą, galimybes tinklą valdyti efektyviau ir sudaryti technologines prielaidas galutiniams vartotojams dalyvauti bendroje elektros rinkoje, būtina skatinti išmaniųjų technologijų skirstomajame tinkle plėtrą.</w:t>
            </w:r>
          </w:p>
          <w:p w:rsidR="00385835" w:rsidRPr="00385835" w:rsidRDefault="00385835" w:rsidP="00385835">
            <w:pPr>
              <w:widowControl w:val="0"/>
              <w:tabs>
                <w:tab w:val="left" w:pos="622"/>
              </w:tabs>
              <w:spacing w:after="0" w:line="240" w:lineRule="auto"/>
              <w:ind w:firstLine="624"/>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2014–2020 m. programavimo laikotarpiu Lietuva sieks investuoti į pažangias elektros paskirstymo tinklo valdymo technologijas, kurios leidžia kurti naujas paslaugas vartotojams ir jiems aktyviai dalyvauti elektros rinkoje (paskirstytoji gamyba, paklausos valdymas, energijos kaupimas ir kt.) efektyviau ir operatyviau valdyti tinklą (tokiu būdu mažėja tinklo priežiūros išlaidos bei kyla elektros tiekimo patikimumo rodikliai).</w:t>
            </w:r>
          </w:p>
          <w:p w:rsidR="00385835" w:rsidRPr="00385835" w:rsidRDefault="006B4B9B" w:rsidP="00385835">
            <w:pPr>
              <w:widowControl w:val="0"/>
              <w:tabs>
                <w:tab w:val="left" w:pos="622"/>
              </w:tabs>
              <w:spacing w:after="0" w:line="240" w:lineRule="auto"/>
              <w:ind w:firstLine="624"/>
              <w:jc w:val="both"/>
              <w:rPr>
                <w:rFonts w:ascii="Times New Roman" w:eastAsia="AngsanaUPC" w:hAnsi="Times New Roman"/>
                <w:bCs/>
                <w:sz w:val="24"/>
                <w:szCs w:val="24"/>
                <w:lang w:eastAsia="lt-LT"/>
              </w:rPr>
            </w:pPr>
            <w:r w:rsidRPr="002C08FA">
              <w:rPr>
                <w:rFonts w:ascii="Times New Roman" w:eastAsia="AngsanaUPC" w:hAnsi="Times New Roman"/>
                <w:bCs/>
                <w:sz w:val="24"/>
                <w:szCs w:val="24"/>
                <w:lang w:eastAsia="lt-LT"/>
              </w:rPr>
              <w:t>Siekiant spręsti paskirstytosios gamybos, pirmiausia, didelio kiekio AIE integravimo į žemos ir vidutinės įtampos elektros skirstomuosius tinklus problemą, bus siekiama diegti pažangiąsias technologijas, kurios sukurs galimybes didinti energijos vartojimo efektyvumą, taip pat suteiks vartotojams daugiau informacijos apie elektros energijos kainas, siūlant jų poreikiams labiau pritaikytą kainodarą bei sudarys prielaidas naujų paslaugų atsiradimui.</w:t>
            </w:r>
          </w:p>
        </w:tc>
      </w:tr>
    </w:tbl>
    <w:p w:rsidR="005F38BD" w:rsidRPr="00385835" w:rsidRDefault="005F38BD"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562"/>
        <w:gridCol w:w="1848"/>
        <w:gridCol w:w="1134"/>
        <w:gridCol w:w="1134"/>
        <w:gridCol w:w="851"/>
        <w:gridCol w:w="992"/>
        <w:gridCol w:w="850"/>
        <w:gridCol w:w="1135"/>
        <w:gridCol w:w="1240"/>
      </w:tblGrid>
      <w:tr w:rsidR="00385835" w:rsidRPr="00385835" w:rsidTr="00385835">
        <w:tc>
          <w:tcPr>
            <w:tcW w:w="9746" w:type="dxa"/>
            <w:gridSpan w:val="9"/>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i/>
                <w:iCs/>
                <w:sz w:val="24"/>
                <w:szCs w:val="24"/>
                <w:lang w:eastAsia="lt-LT"/>
              </w:rPr>
            </w:pPr>
            <w:r w:rsidRPr="00385835">
              <w:rPr>
                <w:rFonts w:ascii="Times New Roman" w:eastAsia="AngsanaUPC" w:hAnsi="Times New Roman"/>
                <w:b/>
                <w:bCs/>
                <w:i/>
                <w:iCs/>
                <w:sz w:val="24"/>
                <w:szCs w:val="24"/>
                <w:lang w:eastAsia="lt-LT"/>
              </w:rPr>
              <w:t xml:space="preserve">SaF </w:t>
            </w:r>
            <w:r w:rsidR="00DA04FC">
              <w:rPr>
                <w:rFonts w:ascii="Times New Roman" w:eastAsia="AngsanaUPC" w:hAnsi="Times New Roman"/>
                <w:b/>
                <w:bCs/>
                <w:i/>
                <w:iCs/>
                <w:sz w:val="24"/>
                <w:szCs w:val="24"/>
                <w:lang w:eastAsia="lt-LT"/>
              </w:rPr>
              <w:t xml:space="preserve">specialieji </w:t>
            </w:r>
            <w:r w:rsidRPr="00385835">
              <w:rPr>
                <w:rFonts w:ascii="Times New Roman" w:eastAsia="AngsanaUPC" w:hAnsi="Times New Roman"/>
                <w:b/>
                <w:bCs/>
                <w:i/>
                <w:iCs/>
                <w:sz w:val="24"/>
                <w:szCs w:val="24"/>
                <w:lang w:eastAsia="lt-LT"/>
              </w:rPr>
              <w:t>programos rezultato rodikliai</w:t>
            </w:r>
          </w:p>
        </w:tc>
      </w:tr>
      <w:tr w:rsidR="00385835" w:rsidRPr="00385835" w:rsidTr="005F38BD">
        <w:tblPrEx>
          <w:shd w:val="clear" w:color="auto" w:fill="auto"/>
        </w:tblPrEx>
        <w:trPr>
          <w:cantSplit/>
          <w:trHeight w:val="685"/>
        </w:trPr>
        <w:tc>
          <w:tcPr>
            <w:tcW w:w="562"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Nr.</w:t>
            </w:r>
          </w:p>
        </w:tc>
        <w:tc>
          <w:tcPr>
            <w:tcW w:w="1848"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Rodiklio pavadinimas</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Matavimo vienetas</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Regiono kategorija</w:t>
            </w:r>
          </w:p>
        </w:tc>
        <w:tc>
          <w:tcPr>
            <w:tcW w:w="85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 reikšmė</w:t>
            </w:r>
          </w:p>
        </w:tc>
        <w:tc>
          <w:tcPr>
            <w:tcW w:w="992"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Pradinės reikšmės metai</w:t>
            </w:r>
          </w:p>
        </w:tc>
        <w:tc>
          <w:tcPr>
            <w:tcW w:w="850"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Siektina reikšmė (2023)</w:t>
            </w:r>
          </w:p>
        </w:tc>
        <w:tc>
          <w:tcPr>
            <w:tcW w:w="1135"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Duomenų šaltinis</w:t>
            </w:r>
          </w:p>
        </w:tc>
        <w:tc>
          <w:tcPr>
            <w:tcW w:w="1240"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Atsiskaitymo dažnumas</w:t>
            </w:r>
          </w:p>
        </w:tc>
      </w:tr>
      <w:tr w:rsidR="00385835" w:rsidRPr="00385835" w:rsidTr="005F38BD">
        <w:tblPrEx>
          <w:shd w:val="clear" w:color="auto" w:fill="auto"/>
        </w:tblPrEx>
        <w:tc>
          <w:tcPr>
            <w:tcW w:w="562"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w:t>
            </w:r>
          </w:p>
        </w:tc>
        <w:tc>
          <w:tcPr>
            <w:tcW w:w="1848" w:type="dxa"/>
            <w:shd w:val="clear" w:color="auto" w:fill="auto"/>
            <w:vAlign w:val="center"/>
          </w:tcPr>
          <w:p w:rsidR="00385835" w:rsidRPr="00385835" w:rsidRDefault="00385835" w:rsidP="005F38BD">
            <w:pPr>
              <w:widowControl w:val="0"/>
              <w:tabs>
                <w:tab w:val="left" w:pos="622"/>
              </w:tabs>
              <w:spacing w:after="0" w:line="240" w:lineRule="auto"/>
              <w:rPr>
                <w:rFonts w:ascii="Times New Roman" w:eastAsia="AngsanaUPC" w:hAnsi="Times New Roman"/>
                <w:bCs/>
                <w:sz w:val="18"/>
                <w:szCs w:val="18"/>
                <w:lang w:eastAsia="lt-LT"/>
              </w:rPr>
            </w:pPr>
            <w:r w:rsidRPr="00385835">
              <w:rPr>
                <w:rFonts w:ascii="Times New Roman" w:eastAsia="AngsanaUPC" w:hAnsi="Times New Roman"/>
                <w:bCs/>
                <w:sz w:val="18"/>
                <w:szCs w:val="18"/>
                <w:lang w:eastAsia="lt-LT"/>
              </w:rPr>
              <w:t>Elektros energijos tiekimo kokybės pagerėjimas</w:t>
            </w:r>
            <w:r w:rsidR="005F38BD">
              <w:rPr>
                <w:rFonts w:ascii="Times New Roman" w:eastAsia="AngsanaUPC" w:hAnsi="Times New Roman"/>
                <w:bCs/>
                <w:sz w:val="18"/>
                <w:szCs w:val="18"/>
                <w:lang w:eastAsia="lt-LT"/>
              </w:rPr>
              <w:t xml:space="preserve"> </w:t>
            </w:r>
            <w:r w:rsidRPr="00385835">
              <w:rPr>
                <w:rFonts w:ascii="Times New Roman" w:eastAsia="AngsanaUPC" w:hAnsi="Times New Roman"/>
                <w:bCs/>
                <w:sz w:val="18"/>
                <w:szCs w:val="18"/>
                <w:lang w:eastAsia="lt-LT"/>
              </w:rPr>
              <w:t>(SAIDI</w:t>
            </w:r>
            <w:r w:rsidRPr="00385835">
              <w:rPr>
                <w:rFonts w:ascii="Times New Roman" w:eastAsia="AngsanaUPC" w:hAnsi="Times New Roman"/>
                <w:bCs/>
                <w:sz w:val="18"/>
                <w:szCs w:val="18"/>
                <w:vertAlign w:val="superscript"/>
                <w:lang w:eastAsia="lt-LT"/>
              </w:rPr>
              <w:footnoteReference w:id="2"/>
            </w:r>
            <w:r w:rsidRPr="00385835">
              <w:rPr>
                <w:rFonts w:ascii="Times New Roman" w:eastAsia="AngsanaUPC" w:hAnsi="Times New Roman"/>
                <w:bCs/>
                <w:sz w:val="18"/>
                <w:szCs w:val="18"/>
                <w:lang w:eastAsia="lt-LT"/>
              </w:rPr>
              <w:t>)</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18"/>
                <w:szCs w:val="18"/>
                <w:lang w:eastAsia="lt-LT"/>
              </w:rPr>
            </w:pPr>
            <w:r w:rsidRPr="00385835">
              <w:rPr>
                <w:rFonts w:ascii="Times New Roman" w:hAnsi="Times New Roman"/>
                <w:color w:val="000000"/>
                <w:sz w:val="18"/>
                <w:szCs w:val="18"/>
                <w:shd w:val="clear" w:color="auto" w:fill="FFFFFF"/>
              </w:rPr>
              <w:t>Minutės</w:t>
            </w:r>
          </w:p>
        </w:tc>
        <w:tc>
          <w:tcPr>
            <w:tcW w:w="1134" w:type="dxa"/>
            <w:shd w:val="clear" w:color="auto" w:fill="auto"/>
            <w:vAlign w:val="center"/>
          </w:tcPr>
          <w:p w:rsidR="00385835" w:rsidRPr="00385835" w:rsidRDefault="00515A37" w:rsidP="00385835">
            <w:pPr>
              <w:widowControl w:val="0"/>
              <w:tabs>
                <w:tab w:val="left" w:pos="622"/>
              </w:tabs>
              <w:spacing w:after="0" w:line="240" w:lineRule="auto"/>
              <w:jc w:val="center"/>
              <w:rPr>
                <w:rFonts w:ascii="Times New Roman" w:eastAsia="AngsanaUPC" w:hAnsi="Times New Roman"/>
                <w:bCs/>
                <w:sz w:val="18"/>
                <w:szCs w:val="18"/>
                <w:lang w:eastAsia="lt-LT"/>
              </w:rPr>
            </w:pPr>
            <w:r>
              <w:rPr>
                <w:rFonts w:ascii="Times New Roman" w:eastAsia="AngsanaUPC" w:hAnsi="Times New Roman"/>
                <w:bCs/>
                <w:sz w:val="18"/>
                <w:szCs w:val="18"/>
                <w:lang w:eastAsia="lt-LT"/>
              </w:rPr>
              <w:t>–</w:t>
            </w:r>
          </w:p>
        </w:tc>
        <w:tc>
          <w:tcPr>
            <w:tcW w:w="851" w:type="dxa"/>
            <w:shd w:val="clear" w:color="auto" w:fill="auto"/>
            <w:vAlign w:val="center"/>
          </w:tcPr>
          <w:p w:rsidR="00385835" w:rsidRPr="002C08FA" w:rsidRDefault="00A55C77"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154</w:t>
            </w:r>
          </w:p>
        </w:tc>
        <w:tc>
          <w:tcPr>
            <w:tcW w:w="992" w:type="dxa"/>
            <w:shd w:val="clear" w:color="auto" w:fill="auto"/>
            <w:vAlign w:val="center"/>
          </w:tcPr>
          <w:p w:rsidR="00385835" w:rsidRPr="00FD0728" w:rsidRDefault="00385835" w:rsidP="00A55C77">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201</w:t>
            </w:r>
            <w:r w:rsidR="00A55C77" w:rsidRPr="009F5AEA">
              <w:rPr>
                <w:rFonts w:ascii="Times New Roman" w:eastAsia="AngsanaUPC" w:hAnsi="Times New Roman"/>
                <w:bCs/>
                <w:iCs/>
                <w:sz w:val="18"/>
                <w:szCs w:val="18"/>
                <w:lang w:eastAsia="lt-LT"/>
              </w:rPr>
              <w:t>3</w:t>
            </w:r>
          </w:p>
        </w:tc>
        <w:tc>
          <w:tcPr>
            <w:tcW w:w="850" w:type="dxa"/>
            <w:shd w:val="clear" w:color="auto" w:fill="auto"/>
            <w:vAlign w:val="center"/>
          </w:tcPr>
          <w:p w:rsidR="00385835" w:rsidRPr="002B14C1" w:rsidRDefault="00A55C77"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021B3E">
              <w:rPr>
                <w:rFonts w:ascii="Times New Roman" w:eastAsia="AngsanaUPC" w:hAnsi="Times New Roman"/>
                <w:bCs/>
                <w:iCs/>
                <w:sz w:val="18"/>
                <w:szCs w:val="18"/>
                <w:lang w:eastAsia="lt-LT"/>
              </w:rPr>
              <w:t>91</w:t>
            </w:r>
          </w:p>
        </w:tc>
        <w:tc>
          <w:tcPr>
            <w:tcW w:w="1135"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hAnsi="Times New Roman"/>
                <w:color w:val="222222"/>
                <w:sz w:val="18"/>
                <w:szCs w:val="18"/>
              </w:rPr>
              <w:t>Valstybinė kainų ir energetikos kontrolės komisija</w:t>
            </w:r>
          </w:p>
        </w:tc>
        <w:tc>
          <w:tcPr>
            <w:tcW w:w="1240"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385835" w:rsidRPr="00385835" w:rsidTr="00385835">
        <w:tc>
          <w:tcPr>
            <w:tcW w:w="9746" w:type="dxa"/>
            <w:tcBorders>
              <w:top w:val="single" w:sz="4" w:space="0" w:color="auto"/>
              <w:left w:val="single" w:sz="4" w:space="0" w:color="auto"/>
              <w:bottom w:val="single" w:sz="4" w:space="0" w:color="auto"/>
              <w:right w:val="single" w:sz="4" w:space="0" w:color="auto"/>
            </w:tcBorders>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Cs/>
                <w:iCs/>
                <w:sz w:val="24"/>
                <w:szCs w:val="24"/>
                <w:lang w:eastAsia="lt-LT"/>
              </w:rPr>
            </w:pPr>
            <w:r w:rsidRPr="00385835">
              <w:rPr>
                <w:rFonts w:ascii="Times New Roman" w:eastAsia="AngsanaUPC" w:hAnsi="Times New Roman"/>
                <w:b/>
                <w:bCs/>
                <w:i/>
                <w:iCs/>
                <w:sz w:val="24"/>
                <w:szCs w:val="24"/>
                <w:lang w:eastAsia="lt-LT"/>
              </w:rPr>
              <w:t>4.4. Investicinio prioriteto įgyvendinimo veiklos</w:t>
            </w:r>
          </w:p>
        </w:tc>
      </w:tr>
      <w:tr w:rsidR="00385835" w:rsidRPr="00385835" w:rsidTr="00385835">
        <w:tc>
          <w:tcPr>
            <w:tcW w:w="9746" w:type="dxa"/>
            <w:shd w:val="clear" w:color="auto" w:fill="auto"/>
          </w:tcPr>
          <w:p w:rsidR="00385835" w:rsidRPr="002C08FA" w:rsidRDefault="00A55C77" w:rsidP="00385835">
            <w:pPr>
              <w:widowControl w:val="0"/>
              <w:tabs>
                <w:tab w:val="left" w:pos="622"/>
              </w:tabs>
              <w:spacing w:after="0" w:line="240" w:lineRule="auto"/>
              <w:ind w:firstLine="624"/>
              <w:jc w:val="both"/>
              <w:rPr>
                <w:rFonts w:ascii="Times New Roman" w:eastAsia="AngsanaUPC" w:hAnsi="Times New Roman"/>
                <w:bCs/>
                <w:iCs/>
                <w:sz w:val="24"/>
                <w:szCs w:val="24"/>
                <w:lang w:eastAsia="lt-LT"/>
              </w:rPr>
            </w:pPr>
            <w:r>
              <w:rPr>
                <w:rFonts w:ascii="Times New Roman" w:eastAsia="AngsanaUPC" w:hAnsi="Times New Roman"/>
                <w:bCs/>
                <w:iCs/>
                <w:sz w:val="24"/>
                <w:szCs w:val="24"/>
                <w:lang w:eastAsia="lt-LT"/>
              </w:rPr>
              <w:t xml:space="preserve">Elektros </w:t>
            </w:r>
            <w:r w:rsidR="00385835" w:rsidRPr="002C08FA">
              <w:rPr>
                <w:rFonts w:ascii="Times New Roman" w:eastAsia="AngsanaUPC" w:hAnsi="Times New Roman"/>
                <w:bCs/>
                <w:iCs/>
                <w:sz w:val="24"/>
                <w:szCs w:val="24"/>
                <w:lang w:eastAsia="lt-LT"/>
              </w:rPr>
              <w:t>skirstymo tinklų modernizavimas ir plėtra bei pažangiųjų technologijų diegimas. Planuojama finansuoti vidutinės ir žemos įtampos</w:t>
            </w:r>
            <w:r w:rsidR="00385835" w:rsidRPr="002C08FA">
              <w:t xml:space="preserve"> </w:t>
            </w:r>
            <w:r w:rsidRPr="002C08FA">
              <w:rPr>
                <w:rFonts w:ascii="Times New Roman" w:eastAsia="AngsanaUPC" w:hAnsi="Times New Roman"/>
                <w:bCs/>
                <w:iCs/>
                <w:sz w:val="24"/>
                <w:szCs w:val="24"/>
                <w:lang w:eastAsia="lt-LT"/>
              </w:rPr>
              <w:t>skirstomojo tinklo pastočių,</w:t>
            </w:r>
            <w:r w:rsidR="00385835" w:rsidRPr="002C08FA">
              <w:rPr>
                <w:rFonts w:ascii="Times New Roman" w:eastAsia="AngsanaUPC" w:hAnsi="Times New Roman"/>
                <w:bCs/>
                <w:iCs/>
                <w:sz w:val="24"/>
                <w:szCs w:val="24"/>
                <w:lang w:eastAsia="lt-LT"/>
              </w:rPr>
              <w:t xml:space="preserve"> skirstomųjų punktų ir linijų atnaujinimą, diegiant naujus įrenginius ir (ar) tinklo elementus su papildomomis įrenginių ir (ar) tinklo elementų techninėmis</w:t>
            </w:r>
            <w:proofErr w:type="gramStart"/>
            <w:r w:rsidR="00385835" w:rsidRPr="002C08FA">
              <w:rPr>
                <w:rFonts w:ascii="Times New Roman" w:eastAsia="AngsanaUPC" w:hAnsi="Times New Roman"/>
                <w:bCs/>
                <w:iCs/>
                <w:sz w:val="24"/>
                <w:szCs w:val="24"/>
                <w:lang w:eastAsia="lt-LT"/>
              </w:rPr>
              <w:t>-</w:t>
            </w:r>
            <w:proofErr w:type="gramEnd"/>
            <w:r w:rsidR="00385835" w:rsidRPr="002C08FA">
              <w:rPr>
                <w:rFonts w:ascii="Times New Roman" w:eastAsia="AngsanaUPC" w:hAnsi="Times New Roman"/>
                <w:bCs/>
                <w:iCs/>
                <w:sz w:val="24"/>
                <w:szCs w:val="24"/>
                <w:lang w:eastAsia="lt-LT"/>
              </w:rPr>
              <w:t>funkcinėmis savybėmis, skirtomis pažangiam tinklui valdyti. Taip pat bus remiamos pažangios elektros tinklo valdymo sistemos – įskaitant, bet neapsiribojant, duomenų perdavimo ir nuotolinio valdymo įrenginių montavimą skirstomuosiuose punktuose ir transformatorinėse pastotėse, jų valdymo sistemų diegimą bei</w:t>
            </w:r>
            <w:proofErr w:type="gramStart"/>
            <w:r w:rsidR="00385835" w:rsidRPr="002C08FA">
              <w:rPr>
                <w:rFonts w:ascii="Times New Roman" w:eastAsia="AngsanaUPC" w:hAnsi="Times New Roman"/>
                <w:bCs/>
                <w:iCs/>
                <w:sz w:val="24"/>
                <w:szCs w:val="24"/>
                <w:lang w:eastAsia="lt-LT"/>
              </w:rPr>
              <w:t xml:space="preserve">  </w:t>
            </w:r>
            <w:proofErr w:type="gramEnd"/>
            <w:r w:rsidR="00385835" w:rsidRPr="002C08FA">
              <w:rPr>
                <w:rFonts w:ascii="Times New Roman" w:eastAsia="AngsanaUPC" w:hAnsi="Times New Roman"/>
                <w:bCs/>
                <w:iCs/>
                <w:sz w:val="24"/>
                <w:szCs w:val="24"/>
                <w:lang w:eastAsia="lt-LT"/>
              </w:rPr>
              <w:t>pažangiosios apskaitos įrenginių ir jų valdymo sistemų diegimą.</w:t>
            </w:r>
          </w:p>
          <w:p w:rsidR="00385835" w:rsidRPr="00385835" w:rsidRDefault="00385835" w:rsidP="00385835">
            <w:pPr>
              <w:widowControl w:val="0"/>
              <w:tabs>
                <w:tab w:val="left" w:pos="622"/>
              </w:tabs>
              <w:spacing w:after="0" w:line="240" w:lineRule="auto"/>
              <w:ind w:firstLine="624"/>
              <w:jc w:val="both"/>
              <w:rPr>
                <w:rFonts w:ascii="Times New Roman" w:eastAsia="AngsanaUPC" w:hAnsi="Times New Roman"/>
                <w:bCs/>
                <w:iCs/>
                <w:sz w:val="24"/>
                <w:szCs w:val="24"/>
                <w:lang w:eastAsia="lt-LT"/>
              </w:rPr>
            </w:pPr>
            <w:r w:rsidRPr="002C08FA">
              <w:rPr>
                <w:rFonts w:ascii="Times New Roman" w:eastAsia="AngsanaUPC" w:hAnsi="Times New Roman"/>
                <w:bCs/>
                <w:iCs/>
                <w:sz w:val="24"/>
                <w:szCs w:val="24"/>
                <w:lang w:eastAsia="lt-LT"/>
              </w:rPr>
              <w:t>Įgyvendinu</w:t>
            </w:r>
            <w:r w:rsidR="00A55C77" w:rsidRPr="002C08FA">
              <w:rPr>
                <w:rFonts w:ascii="Times New Roman" w:eastAsia="AngsanaUPC" w:hAnsi="Times New Roman"/>
                <w:bCs/>
                <w:iCs/>
                <w:sz w:val="24"/>
                <w:szCs w:val="24"/>
                <w:lang w:eastAsia="lt-LT"/>
              </w:rPr>
              <w:t xml:space="preserve">s minėtus projektus, elektros </w:t>
            </w:r>
            <w:r w:rsidRPr="002C08FA">
              <w:rPr>
                <w:rFonts w:ascii="Times New Roman" w:eastAsia="AngsanaUPC" w:hAnsi="Times New Roman"/>
                <w:bCs/>
                <w:iCs/>
                <w:sz w:val="24"/>
                <w:szCs w:val="24"/>
                <w:lang w:eastAsia="lt-LT"/>
              </w:rPr>
              <w:t>skirstymo tinklai atitiks Europos Parlamento ir Tarybos reglamento 347/2013 dėl transeuropinės energetikos infrastruktūros gairių</w:t>
            </w:r>
            <w:proofErr w:type="gramStart"/>
            <w:r w:rsidRPr="002C08FA">
              <w:rPr>
                <w:rFonts w:ascii="Times New Roman" w:eastAsia="AngsanaUPC" w:hAnsi="Times New Roman"/>
                <w:bCs/>
                <w:iCs/>
                <w:sz w:val="24"/>
                <w:szCs w:val="24"/>
                <w:lang w:eastAsia="lt-LT"/>
              </w:rPr>
              <w:t xml:space="preserve">  </w:t>
            </w:r>
            <w:proofErr w:type="gramEnd"/>
            <w:r w:rsidRPr="002C08FA">
              <w:rPr>
                <w:rFonts w:ascii="Times New Roman" w:eastAsia="AngsanaUPC" w:hAnsi="Times New Roman"/>
                <w:bCs/>
                <w:iCs/>
                <w:sz w:val="24"/>
                <w:szCs w:val="24"/>
                <w:lang w:eastAsia="lt-LT"/>
              </w:rPr>
              <w:t>pažangiojo  tinklo standartus (tinklas, kuris gali ekonominiu požiūriu</w:t>
            </w:r>
            <w:r w:rsidRPr="00385835">
              <w:rPr>
                <w:rFonts w:ascii="Times New Roman" w:eastAsia="AngsanaUPC" w:hAnsi="Times New Roman"/>
                <w:bCs/>
                <w:iCs/>
                <w:sz w:val="24"/>
                <w:szCs w:val="24"/>
                <w:lang w:eastAsia="lt-LT"/>
              </w:rPr>
              <w:t xml:space="preserve"> veiksmingai padėti integruoti visų prie tinklo prisijungusių naudotojų, įskaitant gamintojus, vartotojus ir abu šias veiklas vykdančius subjektus, elgesį ir veiksmus, siekiant užtikrinti ekonominiu požiūriu veiksmingą ir tvarią elektros energijos sistemą, kuriai būdingi nedideli nuostoliai, aukšta kokybė, didelis tiekimo saugumas ir sauga).</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i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746"/>
      </w:tblGrid>
      <w:tr w:rsidR="00385835" w:rsidRPr="00385835" w:rsidTr="00385835">
        <w:tc>
          <w:tcPr>
            <w:tcW w:w="9746"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i/>
                <w:iCs/>
                <w:sz w:val="24"/>
                <w:szCs w:val="24"/>
                <w:lang w:eastAsia="lt-LT"/>
              </w:rPr>
              <w:t>Didelės apimties projektai</w:t>
            </w:r>
          </w:p>
        </w:tc>
      </w:tr>
      <w:tr w:rsidR="00385835" w:rsidRPr="00385835" w:rsidTr="00385835">
        <w:tc>
          <w:tcPr>
            <w:tcW w:w="9746" w:type="dxa"/>
            <w:shd w:val="clear" w:color="auto" w:fill="auto"/>
          </w:tcPr>
          <w:p w:rsidR="00385835" w:rsidRPr="00385835" w:rsidRDefault="00385835" w:rsidP="00385835">
            <w:pPr>
              <w:widowControl w:val="0"/>
              <w:tabs>
                <w:tab w:val="left" w:pos="622"/>
              </w:tabs>
              <w:spacing w:after="0" w:line="240" w:lineRule="auto"/>
              <w:ind w:firstLine="624"/>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Pagal šį investicinį prioritetą didelės apimties projektų vykdyti nenumatoma.</w:t>
            </w:r>
          </w:p>
        </w:tc>
      </w:tr>
    </w:tbl>
    <w:p w:rsid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p w:rsidR="004F39B3" w:rsidRPr="00385835" w:rsidRDefault="004F39B3"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567"/>
        <w:gridCol w:w="2835"/>
        <w:gridCol w:w="1134"/>
        <w:gridCol w:w="851"/>
        <w:gridCol w:w="1134"/>
        <w:gridCol w:w="850"/>
        <w:gridCol w:w="1134"/>
        <w:gridCol w:w="1241"/>
      </w:tblGrid>
      <w:tr w:rsidR="00385835" w:rsidRPr="00385835" w:rsidTr="00385835">
        <w:tc>
          <w:tcPr>
            <w:tcW w:w="9746" w:type="dxa"/>
            <w:gridSpan w:val="8"/>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i/>
                <w:iCs/>
                <w:sz w:val="24"/>
                <w:szCs w:val="24"/>
                <w:lang w:eastAsia="lt-LT"/>
              </w:rPr>
            </w:pPr>
            <w:r w:rsidRPr="00385835">
              <w:rPr>
                <w:rFonts w:ascii="Times New Roman" w:eastAsia="AngsanaUPC" w:hAnsi="Times New Roman"/>
                <w:b/>
                <w:bCs/>
                <w:i/>
                <w:iCs/>
                <w:sz w:val="24"/>
                <w:szCs w:val="24"/>
                <w:lang w:eastAsia="lt-LT"/>
              </w:rPr>
              <w:lastRenderedPageBreak/>
              <w:t xml:space="preserve">SaF bendrieji ir </w:t>
            </w:r>
            <w:r w:rsidR="00DA04FC">
              <w:rPr>
                <w:rFonts w:ascii="Times New Roman" w:eastAsia="AngsanaUPC" w:hAnsi="Times New Roman"/>
                <w:b/>
                <w:bCs/>
                <w:i/>
                <w:iCs/>
                <w:sz w:val="24"/>
                <w:szCs w:val="24"/>
                <w:lang w:eastAsia="lt-LT"/>
              </w:rPr>
              <w:t xml:space="preserve">specialieji programos </w:t>
            </w:r>
            <w:r w:rsidRPr="00385835">
              <w:rPr>
                <w:rFonts w:ascii="Times New Roman" w:eastAsia="AngsanaUPC" w:hAnsi="Times New Roman"/>
                <w:b/>
                <w:bCs/>
                <w:i/>
                <w:iCs/>
                <w:sz w:val="24"/>
                <w:szCs w:val="24"/>
                <w:lang w:eastAsia="lt-LT"/>
              </w:rPr>
              <w:t xml:space="preserve">produkto rodikliai </w:t>
            </w:r>
          </w:p>
        </w:tc>
      </w:tr>
      <w:tr w:rsidR="00385835" w:rsidRPr="00385835" w:rsidTr="00385835">
        <w:tblPrEx>
          <w:shd w:val="clear" w:color="auto" w:fill="auto"/>
        </w:tblPrEx>
        <w:tc>
          <w:tcPr>
            <w:tcW w:w="567"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Nr.</w:t>
            </w:r>
          </w:p>
        </w:tc>
        <w:tc>
          <w:tcPr>
            <w:tcW w:w="2835"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Rodiklio pavadinimas</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Matavimo vienetas</w:t>
            </w:r>
          </w:p>
        </w:tc>
        <w:tc>
          <w:tcPr>
            <w:tcW w:w="85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Fondas</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Regiono kategorija</w:t>
            </w:r>
          </w:p>
        </w:tc>
        <w:tc>
          <w:tcPr>
            <w:tcW w:w="850"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Siektina reikšmė (2023)</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Duomenų šaltinis</w:t>
            </w:r>
          </w:p>
        </w:tc>
        <w:tc>
          <w:tcPr>
            <w:tcW w:w="124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Atsiskaitymo dažnumas</w:t>
            </w:r>
          </w:p>
        </w:tc>
      </w:tr>
      <w:tr w:rsidR="00385835" w:rsidRPr="00385835" w:rsidTr="00385835">
        <w:tblPrEx>
          <w:shd w:val="clear" w:color="auto" w:fill="auto"/>
        </w:tblPrEx>
        <w:tc>
          <w:tcPr>
            <w:tcW w:w="56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w:t>
            </w:r>
          </w:p>
        </w:tc>
        <w:tc>
          <w:tcPr>
            <w:tcW w:w="2835" w:type="dxa"/>
            <w:shd w:val="clear" w:color="auto" w:fill="auto"/>
            <w:vAlign w:val="center"/>
          </w:tcPr>
          <w:p w:rsidR="00385835" w:rsidRPr="002C08FA" w:rsidRDefault="00385835" w:rsidP="00385835">
            <w:pPr>
              <w:widowControl w:val="0"/>
              <w:tabs>
                <w:tab w:val="left" w:pos="622"/>
              </w:tabs>
              <w:spacing w:after="0" w:line="240" w:lineRule="auto"/>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Papildomai prie pažangiųjų tinklų prijungtų vartotojų skaičius</w:t>
            </w:r>
          </w:p>
        </w:tc>
        <w:tc>
          <w:tcPr>
            <w:tcW w:w="1134"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Vartotojai</w:t>
            </w:r>
          </w:p>
        </w:tc>
        <w:tc>
          <w:tcPr>
            <w:tcW w:w="851"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SaF</w:t>
            </w:r>
          </w:p>
        </w:tc>
        <w:tc>
          <w:tcPr>
            <w:tcW w:w="1134" w:type="dxa"/>
            <w:shd w:val="clear" w:color="auto" w:fill="auto"/>
            <w:vAlign w:val="center"/>
          </w:tcPr>
          <w:p w:rsidR="00385835" w:rsidRPr="002C08FA" w:rsidRDefault="00515A37"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sz w:val="18"/>
                <w:szCs w:val="18"/>
                <w:lang w:eastAsia="lt-LT"/>
              </w:rPr>
              <w:t>–</w:t>
            </w:r>
          </w:p>
        </w:tc>
        <w:tc>
          <w:tcPr>
            <w:tcW w:w="850" w:type="dxa"/>
            <w:shd w:val="clear" w:color="auto" w:fill="auto"/>
            <w:vAlign w:val="center"/>
          </w:tcPr>
          <w:p w:rsidR="00385835" w:rsidRPr="002C08FA" w:rsidRDefault="00C909E5" w:rsidP="00C76808">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325</w:t>
            </w:r>
            <w:r w:rsidR="00C76808" w:rsidRPr="002C08FA">
              <w:rPr>
                <w:rFonts w:ascii="Times New Roman" w:eastAsia="AngsanaUPC" w:hAnsi="Times New Roman"/>
                <w:bCs/>
                <w:iCs/>
                <w:sz w:val="18"/>
                <w:szCs w:val="18"/>
                <w:lang w:eastAsia="lt-LT"/>
              </w:rPr>
              <w:t>.</w:t>
            </w:r>
            <w:r w:rsidR="00385835" w:rsidRPr="002C08FA">
              <w:rPr>
                <w:rFonts w:ascii="Times New Roman" w:eastAsia="AngsanaUPC" w:hAnsi="Times New Roman"/>
                <w:bCs/>
                <w:iCs/>
                <w:sz w:val="18"/>
                <w:szCs w:val="18"/>
                <w:lang w:eastAsia="lt-LT"/>
              </w:rPr>
              <w:t>000</w:t>
            </w:r>
          </w:p>
        </w:tc>
        <w:tc>
          <w:tcPr>
            <w:tcW w:w="1134"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Duomenys iš projektų</w:t>
            </w:r>
          </w:p>
        </w:tc>
        <w:tc>
          <w:tcPr>
            <w:tcW w:w="124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385835" w:rsidRPr="00385835" w:rsidTr="00385835">
        <w:tblPrEx>
          <w:shd w:val="clear" w:color="auto" w:fill="auto"/>
        </w:tblPrEx>
        <w:tc>
          <w:tcPr>
            <w:tcW w:w="56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w:t>
            </w:r>
          </w:p>
        </w:tc>
        <w:tc>
          <w:tcPr>
            <w:tcW w:w="2835" w:type="dxa"/>
            <w:shd w:val="clear" w:color="auto" w:fill="auto"/>
            <w:vAlign w:val="center"/>
          </w:tcPr>
          <w:p w:rsidR="00385835" w:rsidRPr="002C08FA" w:rsidRDefault="00385835" w:rsidP="00385835">
            <w:pPr>
              <w:widowControl w:val="0"/>
              <w:tabs>
                <w:tab w:val="left" w:pos="622"/>
              </w:tabs>
              <w:spacing w:after="0" w:line="240" w:lineRule="auto"/>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Įrengtos naujos ir (arba) atnaujintos transformatorių pastotės</w:t>
            </w:r>
            <w:r w:rsidR="00950675" w:rsidRPr="002C08FA">
              <w:rPr>
                <w:rFonts w:ascii="Times New Roman" w:eastAsia="AngsanaUPC" w:hAnsi="Times New Roman"/>
                <w:bCs/>
                <w:iCs/>
                <w:sz w:val="18"/>
                <w:szCs w:val="18"/>
                <w:lang w:eastAsia="lt-LT"/>
              </w:rPr>
              <w:t>, skirstomieji punktai</w:t>
            </w:r>
            <w:r w:rsidRPr="002C08FA">
              <w:rPr>
                <w:rFonts w:ascii="Times New Roman" w:eastAsia="AngsanaUPC" w:hAnsi="Times New Roman"/>
                <w:bCs/>
                <w:iCs/>
                <w:sz w:val="18"/>
                <w:szCs w:val="18"/>
                <w:lang w:eastAsia="lt-LT"/>
              </w:rPr>
              <w:t xml:space="preserve"> ir (arba) skirstyklos, suk</w:t>
            </w:r>
            <w:r w:rsidR="00950675" w:rsidRPr="002C08FA">
              <w:rPr>
                <w:rFonts w:ascii="Times New Roman" w:eastAsia="AngsanaUPC" w:hAnsi="Times New Roman"/>
                <w:bCs/>
                <w:iCs/>
                <w:sz w:val="18"/>
                <w:szCs w:val="18"/>
                <w:lang w:eastAsia="lt-LT"/>
              </w:rPr>
              <w:t>uriant bent 3 naujas pažangiojo</w:t>
            </w:r>
            <w:r w:rsidRPr="002C08FA">
              <w:rPr>
                <w:rFonts w:ascii="Times New Roman" w:eastAsia="AngsanaUPC" w:hAnsi="Times New Roman"/>
                <w:bCs/>
                <w:iCs/>
                <w:sz w:val="18"/>
                <w:szCs w:val="18"/>
                <w:lang w:eastAsia="lt-LT"/>
              </w:rPr>
              <w:t xml:space="preserve"> elektros tinklo technines</w:t>
            </w:r>
            <w:proofErr w:type="gramStart"/>
            <w:r w:rsidRPr="002C08FA">
              <w:rPr>
                <w:rFonts w:ascii="Times New Roman" w:eastAsia="AngsanaUPC" w:hAnsi="Times New Roman"/>
                <w:bCs/>
                <w:iCs/>
                <w:sz w:val="18"/>
                <w:szCs w:val="18"/>
                <w:lang w:eastAsia="lt-LT"/>
              </w:rPr>
              <w:t>-</w:t>
            </w:r>
            <w:proofErr w:type="gramEnd"/>
            <w:r w:rsidRPr="002C08FA">
              <w:rPr>
                <w:rFonts w:ascii="Times New Roman" w:eastAsia="AngsanaUPC" w:hAnsi="Times New Roman"/>
                <w:bCs/>
                <w:iCs/>
                <w:sz w:val="18"/>
                <w:szCs w:val="18"/>
                <w:lang w:eastAsia="lt-LT"/>
              </w:rPr>
              <w:t>funkcines savybes</w:t>
            </w:r>
          </w:p>
        </w:tc>
        <w:tc>
          <w:tcPr>
            <w:tcW w:w="1134"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 xml:space="preserve">Skaičius </w:t>
            </w:r>
          </w:p>
        </w:tc>
        <w:tc>
          <w:tcPr>
            <w:tcW w:w="851"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SaF</w:t>
            </w:r>
          </w:p>
        </w:tc>
        <w:tc>
          <w:tcPr>
            <w:tcW w:w="1134" w:type="dxa"/>
            <w:shd w:val="clear" w:color="auto" w:fill="auto"/>
            <w:vAlign w:val="center"/>
          </w:tcPr>
          <w:p w:rsidR="00385835" w:rsidRPr="002C08FA" w:rsidRDefault="00515A37"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sz w:val="18"/>
                <w:szCs w:val="18"/>
                <w:lang w:eastAsia="lt-LT"/>
              </w:rPr>
              <w:t>–</w:t>
            </w:r>
          </w:p>
        </w:tc>
        <w:tc>
          <w:tcPr>
            <w:tcW w:w="850" w:type="dxa"/>
            <w:shd w:val="clear" w:color="auto" w:fill="auto"/>
            <w:vAlign w:val="center"/>
          </w:tcPr>
          <w:p w:rsidR="00385835" w:rsidRPr="002C08FA" w:rsidRDefault="00C909E5" w:rsidP="00385835">
            <w:pPr>
              <w:widowControl w:val="0"/>
              <w:tabs>
                <w:tab w:val="left" w:pos="622"/>
              </w:tabs>
              <w:spacing w:after="0" w:line="240" w:lineRule="auto"/>
              <w:jc w:val="center"/>
              <w:rPr>
                <w:rFonts w:ascii="Times New Roman" w:eastAsia="AngsanaUPC" w:hAnsi="Times New Roman"/>
                <w:bCs/>
                <w:iCs/>
                <w:sz w:val="18"/>
                <w:szCs w:val="18"/>
                <w:lang w:val="en-US" w:eastAsia="lt-LT"/>
              </w:rPr>
            </w:pPr>
            <w:r w:rsidRPr="002C08FA">
              <w:rPr>
                <w:rFonts w:ascii="Times New Roman" w:eastAsia="AngsanaUPC" w:hAnsi="Times New Roman"/>
                <w:bCs/>
                <w:iCs/>
                <w:sz w:val="18"/>
                <w:szCs w:val="18"/>
                <w:lang w:val="en-US" w:eastAsia="lt-LT"/>
              </w:rPr>
              <w:t>72</w:t>
            </w:r>
          </w:p>
        </w:tc>
        <w:tc>
          <w:tcPr>
            <w:tcW w:w="1134"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Duomenys iš projektų</w:t>
            </w:r>
          </w:p>
        </w:tc>
        <w:tc>
          <w:tcPr>
            <w:tcW w:w="124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vAlign w:val="center"/>
          </w:tcPr>
          <w:p w:rsidR="00385835" w:rsidRPr="00385835" w:rsidRDefault="00385835" w:rsidP="00385835">
            <w:pPr>
              <w:widowControl w:val="0"/>
              <w:tabs>
                <w:tab w:val="left" w:pos="622"/>
              </w:tabs>
              <w:spacing w:after="0" w:line="240" w:lineRule="auto"/>
              <w:jc w:val="both"/>
              <w:rPr>
                <w:rFonts w:ascii="Times New Roman" w:eastAsia="AngsanaUPC" w:hAnsi="Times New Roman"/>
                <w:b/>
                <w:bCs/>
                <w:iCs/>
                <w:sz w:val="24"/>
                <w:szCs w:val="24"/>
                <w:lang w:eastAsia="lt-LT"/>
              </w:rPr>
            </w:pPr>
            <w:r w:rsidRPr="00385835">
              <w:rPr>
                <w:rFonts w:ascii="Times New Roman" w:eastAsia="AngsanaUPC" w:hAnsi="Times New Roman"/>
                <w:b/>
                <w:bCs/>
                <w:iCs/>
                <w:sz w:val="24"/>
                <w:szCs w:val="24"/>
                <w:lang w:eastAsia="lt-LT"/>
              </w:rPr>
              <w:t>4.5. INVESTICINIS PRIORITETAS</w:t>
            </w:r>
          </w:p>
        </w:tc>
        <w:tc>
          <w:tcPr>
            <w:tcW w:w="7336"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iCs/>
                <w:sz w:val="24"/>
                <w:szCs w:val="24"/>
                <w:lang w:eastAsia="lt-LT"/>
              </w:rPr>
            </w:pPr>
            <w:r w:rsidRPr="00385835">
              <w:rPr>
                <w:rFonts w:ascii="Times New Roman" w:eastAsia="AngsanaUPC" w:hAnsi="Times New Roman"/>
                <w:b/>
                <w:bCs/>
                <w:iCs/>
                <w:sz w:val="24"/>
                <w:szCs w:val="24"/>
                <w:lang w:eastAsia="lt-LT"/>
              </w:rPr>
              <w:t>Anglies dioksido kiekio mažinimo strategijų įgyvendinimo visų rūšių, ypač miesto, teritorijose skatinimas, darnaus ir įvairių rūšių judumo miestuose skatinimas ir priemonių, skirtų poveikiui aplinkai sušvelninti, diegimas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i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iCs/>
                <w:sz w:val="24"/>
                <w:szCs w:val="24"/>
                <w:lang w:eastAsia="lt-LT"/>
              </w:rPr>
            </w:pPr>
            <w:r w:rsidRPr="00385835">
              <w:rPr>
                <w:rFonts w:ascii="Times New Roman" w:eastAsia="AngsanaUPC" w:hAnsi="Times New Roman"/>
                <w:b/>
                <w:bCs/>
                <w:iCs/>
                <w:sz w:val="24"/>
                <w:szCs w:val="24"/>
                <w:lang w:eastAsia="lt-LT"/>
              </w:rPr>
              <w:t>FONDAS</w:t>
            </w:r>
          </w:p>
        </w:tc>
        <w:tc>
          <w:tcPr>
            <w:tcW w:w="7336"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iCs/>
                <w:sz w:val="24"/>
                <w:szCs w:val="24"/>
                <w:lang w:eastAsia="lt-LT"/>
              </w:rPr>
            </w:pPr>
            <w:r w:rsidRPr="00385835">
              <w:rPr>
                <w:rFonts w:ascii="Times New Roman" w:eastAsia="AngsanaUPC" w:hAnsi="Times New Roman"/>
                <w:b/>
                <w:bCs/>
                <w:iCs/>
                <w:sz w:val="24"/>
                <w:szCs w:val="24"/>
                <w:lang w:eastAsia="lt-LT"/>
              </w:rPr>
              <w:t>Europos regioninės plėtros fondas, Sanglaudos fondas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i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iCs/>
                <w:sz w:val="24"/>
                <w:szCs w:val="24"/>
                <w:lang w:eastAsia="lt-LT"/>
              </w:rPr>
            </w:pPr>
            <w:r w:rsidRPr="00385835">
              <w:rPr>
                <w:rFonts w:ascii="Times New Roman" w:eastAsia="AngsanaUPC" w:hAnsi="Times New Roman"/>
                <w:b/>
                <w:bCs/>
                <w:iCs/>
                <w:sz w:val="24"/>
                <w:szCs w:val="24"/>
                <w:lang w:eastAsia="lt-LT"/>
              </w:rPr>
              <w:t>4.5.1. KONKRETUS UŽDAVINYS</w:t>
            </w:r>
          </w:p>
        </w:tc>
        <w:tc>
          <w:tcPr>
            <w:tcW w:w="7336" w:type="dxa"/>
            <w:shd w:val="clear" w:color="auto" w:fill="EEECE1"/>
            <w:vAlign w:val="center"/>
          </w:tcPr>
          <w:p w:rsidR="00385835" w:rsidRPr="00385835" w:rsidRDefault="00385835" w:rsidP="00385835">
            <w:pPr>
              <w:widowControl w:val="0"/>
              <w:tabs>
                <w:tab w:val="left" w:pos="622"/>
              </w:tabs>
              <w:spacing w:after="0" w:line="240" w:lineRule="auto"/>
              <w:jc w:val="both"/>
              <w:rPr>
                <w:rFonts w:ascii="Times New Roman" w:eastAsia="AngsanaUPC" w:hAnsi="Times New Roman"/>
                <w:b/>
                <w:bCs/>
                <w:iCs/>
                <w:sz w:val="24"/>
                <w:szCs w:val="24"/>
                <w:lang w:eastAsia="lt-LT"/>
              </w:rPr>
            </w:pPr>
            <w:r w:rsidRPr="00385835">
              <w:rPr>
                <w:rFonts w:ascii="Times New Roman" w:eastAsia="AngsanaUPC" w:hAnsi="Times New Roman"/>
                <w:b/>
                <w:bCs/>
                <w:iCs/>
                <w:sz w:val="24"/>
                <w:szCs w:val="24"/>
                <w:lang w:eastAsia="lt-LT"/>
              </w:rPr>
              <w:t>Skatinti darnų judumą ir plėtoti aplinkai draugišką transportą</w:t>
            </w:r>
            <w:r w:rsidR="009856BF">
              <w:rPr>
                <w:rFonts w:ascii="Times New Roman" w:eastAsia="AngsanaUPC" w:hAnsi="Times New Roman"/>
                <w:b/>
                <w:bCs/>
                <w:iCs/>
                <w:sz w:val="24"/>
                <w:szCs w:val="24"/>
                <w:lang w:eastAsia="lt-LT"/>
              </w:rPr>
              <w:t>,</w:t>
            </w:r>
            <w:r w:rsidRPr="00385835">
              <w:rPr>
                <w:rFonts w:ascii="Times New Roman" w:eastAsia="AngsanaUPC" w:hAnsi="Times New Roman"/>
                <w:b/>
                <w:bCs/>
                <w:iCs/>
                <w:sz w:val="24"/>
                <w:szCs w:val="24"/>
                <w:lang w:eastAsia="lt-LT"/>
              </w:rPr>
              <w:t xml:space="preserve"> siekiant sumažinti ang</w:t>
            </w:r>
            <w:r w:rsidR="00031EF1">
              <w:rPr>
                <w:rFonts w:ascii="Times New Roman" w:eastAsia="AngsanaUPC" w:hAnsi="Times New Roman"/>
                <w:b/>
                <w:bCs/>
                <w:iCs/>
                <w:sz w:val="24"/>
                <w:szCs w:val="24"/>
                <w:lang w:eastAsia="lt-LT"/>
              </w:rPr>
              <w:t>lies dioksido išmetimus</w:t>
            </w:r>
          </w:p>
        </w:tc>
      </w:tr>
      <w:tr w:rsidR="00385835" w:rsidRPr="00385835" w:rsidTr="00385835">
        <w:tc>
          <w:tcPr>
            <w:tcW w:w="9746" w:type="dxa"/>
            <w:gridSpan w:val="2"/>
            <w:shd w:val="clear" w:color="auto" w:fill="auto"/>
          </w:tcPr>
          <w:p w:rsidR="00385835" w:rsidRPr="00385835" w:rsidRDefault="00385835" w:rsidP="00385835">
            <w:pPr>
              <w:widowControl w:val="0"/>
              <w:tabs>
                <w:tab w:val="left" w:pos="622"/>
              </w:tabs>
              <w:spacing w:after="0" w:line="240" w:lineRule="auto"/>
              <w:ind w:firstLine="624"/>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Transporto sukuriamą CO</w:t>
            </w:r>
            <w:r w:rsidRPr="00385835">
              <w:rPr>
                <w:rFonts w:ascii="Times New Roman" w:eastAsia="AngsanaUPC" w:hAnsi="Times New Roman"/>
                <w:bCs/>
                <w:iCs/>
                <w:sz w:val="24"/>
                <w:szCs w:val="24"/>
                <w:vertAlign w:val="subscript"/>
                <w:lang w:eastAsia="lt-LT"/>
              </w:rPr>
              <w:t>2</w:t>
            </w:r>
            <w:r w:rsidRPr="00385835">
              <w:rPr>
                <w:rFonts w:ascii="Times New Roman" w:eastAsia="AngsanaUPC" w:hAnsi="Times New Roman"/>
                <w:bCs/>
                <w:iCs/>
                <w:sz w:val="24"/>
                <w:szCs w:val="24"/>
                <w:lang w:eastAsia="lt-LT"/>
              </w:rPr>
              <w:t xml:space="preserve"> emisiją Lietuvoje didele dalimi lemia augantis asmeninių automobilių skaičius ir jų naudojimas. Nuo 2007 iki 2012 metų automobilių skaičius 1000-čiui</w:t>
            </w:r>
            <w:proofErr w:type="gramStart"/>
            <w:r w:rsidRPr="00385835">
              <w:rPr>
                <w:rFonts w:ascii="Times New Roman" w:eastAsia="AngsanaUPC" w:hAnsi="Times New Roman"/>
                <w:bCs/>
                <w:iCs/>
                <w:sz w:val="24"/>
                <w:szCs w:val="24"/>
                <w:lang w:eastAsia="lt-LT"/>
              </w:rPr>
              <w:t xml:space="preserve">  </w:t>
            </w:r>
            <w:proofErr w:type="gramEnd"/>
            <w:r w:rsidRPr="00385835">
              <w:rPr>
                <w:rFonts w:ascii="Times New Roman" w:eastAsia="AngsanaUPC" w:hAnsi="Times New Roman"/>
                <w:bCs/>
                <w:iCs/>
                <w:sz w:val="24"/>
                <w:szCs w:val="24"/>
                <w:lang w:eastAsia="lt-LT"/>
              </w:rPr>
              <w:t xml:space="preserve">gyventojų didėjo kasmet ir padidėjo nuo 450 iki 541, </w:t>
            </w:r>
            <w:r w:rsidRPr="00FB59C0">
              <w:rPr>
                <w:rFonts w:ascii="Times New Roman" w:eastAsia="AngsanaUPC" w:hAnsi="Times New Roman"/>
                <w:bCs/>
                <w:iCs/>
                <w:sz w:val="24"/>
                <w:szCs w:val="24"/>
                <w:lang w:eastAsia="lt-LT"/>
              </w:rPr>
              <w:t>t.</w:t>
            </w:r>
            <w:r w:rsidR="00C909E5" w:rsidRPr="00FB59C0">
              <w:rPr>
                <w:rFonts w:ascii="Times New Roman" w:eastAsia="AngsanaUPC" w:hAnsi="Times New Roman"/>
                <w:bCs/>
                <w:iCs/>
                <w:sz w:val="24"/>
                <w:szCs w:val="24"/>
                <w:lang w:eastAsia="lt-LT"/>
              </w:rPr>
              <w:t xml:space="preserve"> </w:t>
            </w:r>
            <w:r w:rsidRPr="00FB59C0">
              <w:rPr>
                <w:rFonts w:ascii="Times New Roman" w:eastAsia="AngsanaUPC" w:hAnsi="Times New Roman"/>
                <w:bCs/>
                <w:iCs/>
                <w:sz w:val="24"/>
                <w:szCs w:val="24"/>
                <w:lang w:eastAsia="lt-LT"/>
              </w:rPr>
              <w:t>y.</w:t>
            </w:r>
            <w:r w:rsidR="003D0AAF" w:rsidRPr="00FB59C0">
              <w:rPr>
                <w:rFonts w:ascii="Times New Roman" w:eastAsia="AngsanaUPC" w:hAnsi="Times New Roman"/>
                <w:bCs/>
                <w:iCs/>
                <w:sz w:val="24"/>
                <w:szCs w:val="24"/>
                <w:lang w:eastAsia="lt-LT"/>
              </w:rPr>
              <w:t xml:space="preserve"> </w:t>
            </w:r>
            <w:r w:rsidR="00FB59C0" w:rsidRPr="00FB59C0">
              <w:rPr>
                <w:rFonts w:ascii="Times New Roman" w:eastAsia="AngsanaUPC" w:hAnsi="Times New Roman"/>
                <w:bCs/>
                <w:iCs/>
                <w:sz w:val="24"/>
                <w:szCs w:val="24"/>
                <w:lang w:eastAsia="lt-LT"/>
              </w:rPr>
              <w:t>2</w:t>
            </w:r>
            <w:r w:rsidRPr="00FB59C0">
              <w:rPr>
                <w:rFonts w:ascii="Times New Roman" w:eastAsia="AngsanaUPC" w:hAnsi="Times New Roman"/>
                <w:bCs/>
                <w:iCs/>
                <w:sz w:val="24"/>
                <w:szCs w:val="24"/>
                <w:lang w:eastAsia="lt-LT"/>
              </w:rPr>
              <w:t>0 proc. Per</w:t>
            </w:r>
            <w:r w:rsidRPr="00385835">
              <w:rPr>
                <w:rFonts w:ascii="Times New Roman" w:eastAsia="AngsanaUPC" w:hAnsi="Times New Roman"/>
                <w:bCs/>
                <w:iCs/>
                <w:sz w:val="24"/>
                <w:szCs w:val="24"/>
                <w:lang w:eastAsia="lt-LT"/>
              </w:rPr>
              <w:t xml:space="preserve"> tą patį laikotarpį metinis miestų autobusais vežtų keleivių skaičius sumažėjo nuo 259,4 iki 234,8 milijonų (9,2 proc.), priemiesčio – nuo 38,2 iki 26,1 </w:t>
            </w:r>
            <w:proofErr w:type="gramStart"/>
            <w:r w:rsidRPr="00385835">
              <w:rPr>
                <w:rFonts w:ascii="Times New Roman" w:eastAsia="AngsanaUPC" w:hAnsi="Times New Roman"/>
                <w:bCs/>
                <w:iCs/>
                <w:sz w:val="24"/>
                <w:szCs w:val="24"/>
                <w:lang w:eastAsia="lt-LT"/>
              </w:rPr>
              <w:t>milijonų</w:t>
            </w:r>
            <w:proofErr w:type="gramEnd"/>
            <w:r w:rsidRPr="00385835">
              <w:rPr>
                <w:rFonts w:ascii="Times New Roman" w:eastAsia="AngsanaUPC" w:hAnsi="Times New Roman"/>
                <w:bCs/>
                <w:iCs/>
                <w:sz w:val="24"/>
                <w:szCs w:val="24"/>
                <w:lang w:eastAsia="lt-LT"/>
              </w:rPr>
              <w:t xml:space="preserve"> (31,6 proc.) keleivių. Didėjant automobilių skaičiui, neturint </w:t>
            </w:r>
            <w:r w:rsidR="00C909E5">
              <w:rPr>
                <w:rFonts w:ascii="Times New Roman" w:eastAsia="AngsanaUPC" w:hAnsi="Times New Roman"/>
                <w:bCs/>
                <w:iCs/>
                <w:sz w:val="24"/>
                <w:szCs w:val="24"/>
                <w:lang w:eastAsia="lt-LT"/>
              </w:rPr>
              <w:t>efektyvių eismo valdymo sistemų</w:t>
            </w:r>
            <w:r w:rsidR="009856BF">
              <w:rPr>
                <w:rFonts w:ascii="Times New Roman" w:eastAsia="AngsanaUPC" w:hAnsi="Times New Roman"/>
                <w:bCs/>
                <w:iCs/>
                <w:sz w:val="24"/>
                <w:szCs w:val="24"/>
                <w:lang w:eastAsia="lt-LT"/>
              </w:rPr>
              <w:t>,</w:t>
            </w:r>
            <w:r w:rsidR="00C909E5">
              <w:rPr>
                <w:rFonts w:ascii="Times New Roman" w:eastAsia="AngsanaUPC" w:hAnsi="Times New Roman"/>
                <w:bCs/>
                <w:iCs/>
                <w:sz w:val="24"/>
                <w:szCs w:val="24"/>
                <w:lang w:eastAsia="lt-LT"/>
              </w:rPr>
              <w:t xml:space="preserve"> </w:t>
            </w:r>
            <w:r w:rsidRPr="00385835">
              <w:rPr>
                <w:rFonts w:ascii="Times New Roman" w:eastAsia="AngsanaUPC" w:hAnsi="Times New Roman"/>
                <w:bCs/>
                <w:iCs/>
                <w:sz w:val="24"/>
                <w:szCs w:val="24"/>
                <w:lang w:eastAsia="lt-LT"/>
              </w:rPr>
              <w:t>ypač didesniuose miestuose, susidaro eismo spūstys, kas savo ruožtu dar labiau didina oro taršą CO</w:t>
            </w:r>
            <w:r w:rsidRPr="00385835">
              <w:rPr>
                <w:rFonts w:ascii="Times New Roman" w:eastAsia="AngsanaUPC" w:hAnsi="Times New Roman"/>
                <w:bCs/>
                <w:iCs/>
                <w:sz w:val="24"/>
                <w:szCs w:val="24"/>
                <w:vertAlign w:val="subscript"/>
                <w:lang w:eastAsia="lt-LT"/>
              </w:rPr>
              <w:t>2.</w:t>
            </w:r>
          </w:p>
          <w:p w:rsidR="00385835" w:rsidRPr="00385835" w:rsidRDefault="00385835" w:rsidP="00385835">
            <w:pPr>
              <w:widowControl w:val="0"/>
              <w:tabs>
                <w:tab w:val="left" w:pos="622"/>
              </w:tabs>
              <w:spacing w:after="0" w:line="240" w:lineRule="auto"/>
              <w:ind w:firstLine="624"/>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Lietuvoje vieną</w:t>
            </w:r>
            <w:r w:rsidR="009856BF">
              <w:rPr>
                <w:rFonts w:ascii="Times New Roman" w:eastAsia="AngsanaUPC" w:hAnsi="Times New Roman"/>
                <w:bCs/>
                <w:iCs/>
                <w:sz w:val="24"/>
                <w:szCs w:val="24"/>
                <w:lang w:eastAsia="lt-LT"/>
              </w:rPr>
              <w:t xml:space="preserve"> iš</w:t>
            </w:r>
            <w:r w:rsidRPr="00385835">
              <w:rPr>
                <w:rFonts w:ascii="Times New Roman" w:eastAsia="AngsanaUPC" w:hAnsi="Times New Roman"/>
                <w:bCs/>
                <w:iCs/>
                <w:sz w:val="24"/>
                <w:szCs w:val="24"/>
                <w:lang w:eastAsia="lt-LT"/>
              </w:rPr>
              <w:t xml:space="preserve"> aukščiausių automobilizacijos lygių visoje ES nulemia nekokybiškas ir nepatrauklus viešasis transportas. Fiziškai ir morališkai pasenę autobusai </w:t>
            </w:r>
            <w:r w:rsidR="005009CE">
              <w:rPr>
                <w:rFonts w:ascii="Times New Roman" w:eastAsia="AngsanaUPC" w:hAnsi="Times New Roman"/>
                <w:bCs/>
                <w:iCs/>
                <w:sz w:val="24"/>
                <w:szCs w:val="24"/>
                <w:lang w:eastAsia="lt-LT"/>
              </w:rPr>
              <w:t>neskatina</w:t>
            </w:r>
            <w:r w:rsidR="005009CE" w:rsidRPr="00385835">
              <w:rPr>
                <w:rFonts w:ascii="Times New Roman" w:eastAsia="AngsanaUPC" w:hAnsi="Times New Roman"/>
                <w:bCs/>
                <w:iCs/>
                <w:sz w:val="24"/>
                <w:szCs w:val="24"/>
                <w:lang w:eastAsia="lt-LT"/>
              </w:rPr>
              <w:t xml:space="preserve"> </w:t>
            </w:r>
            <w:r w:rsidRPr="00385835">
              <w:rPr>
                <w:rFonts w:ascii="Times New Roman" w:eastAsia="AngsanaUPC" w:hAnsi="Times New Roman"/>
                <w:bCs/>
                <w:iCs/>
                <w:sz w:val="24"/>
                <w:szCs w:val="24"/>
                <w:lang w:eastAsia="lt-LT"/>
              </w:rPr>
              <w:t>vidutines pajamas gaunančius gyventojus</w:t>
            </w:r>
            <w:r w:rsidR="005009CE">
              <w:rPr>
                <w:rFonts w:ascii="Times New Roman" w:eastAsia="AngsanaUPC" w:hAnsi="Times New Roman"/>
                <w:bCs/>
                <w:iCs/>
                <w:sz w:val="24"/>
                <w:szCs w:val="24"/>
                <w:lang w:eastAsia="lt-LT"/>
              </w:rPr>
              <w:t xml:space="preserve"> naudotis viešuoju</w:t>
            </w:r>
            <w:r w:rsidR="005009CE" w:rsidRPr="00385835">
              <w:rPr>
                <w:rFonts w:ascii="Times New Roman" w:eastAsia="AngsanaUPC" w:hAnsi="Times New Roman"/>
                <w:bCs/>
                <w:iCs/>
                <w:sz w:val="24"/>
                <w:szCs w:val="24"/>
                <w:lang w:eastAsia="lt-LT"/>
              </w:rPr>
              <w:t xml:space="preserve"> transport</w:t>
            </w:r>
            <w:r w:rsidR="005009CE">
              <w:rPr>
                <w:rFonts w:ascii="Times New Roman" w:eastAsia="AngsanaUPC" w:hAnsi="Times New Roman"/>
                <w:bCs/>
                <w:iCs/>
                <w:sz w:val="24"/>
                <w:szCs w:val="24"/>
                <w:lang w:eastAsia="lt-LT"/>
              </w:rPr>
              <w:t>u</w:t>
            </w:r>
            <w:r w:rsidRPr="00385835">
              <w:rPr>
                <w:rFonts w:ascii="Times New Roman" w:eastAsia="AngsanaUPC" w:hAnsi="Times New Roman"/>
                <w:bCs/>
                <w:iCs/>
                <w:sz w:val="24"/>
                <w:szCs w:val="24"/>
                <w:lang w:eastAsia="lt-LT"/>
              </w:rPr>
              <w:t>. Be to</w:t>
            </w:r>
            <w:r w:rsidR="005009CE">
              <w:rPr>
                <w:rFonts w:ascii="Times New Roman" w:eastAsia="AngsanaUPC" w:hAnsi="Times New Roman"/>
                <w:bCs/>
                <w:iCs/>
                <w:sz w:val="24"/>
                <w:szCs w:val="24"/>
                <w:lang w:eastAsia="lt-LT"/>
              </w:rPr>
              <w:t>,</w:t>
            </w:r>
            <w:r w:rsidRPr="00385835">
              <w:rPr>
                <w:rFonts w:ascii="Times New Roman" w:eastAsia="AngsanaUPC" w:hAnsi="Times New Roman"/>
                <w:bCs/>
                <w:iCs/>
                <w:sz w:val="24"/>
                <w:szCs w:val="24"/>
                <w:lang w:eastAsia="lt-LT"/>
              </w:rPr>
              <w:t xml:space="preserve"> šalies autobusų parkų nudėvėtų autobusų varikliai teršia aplinką CO</w:t>
            </w:r>
            <w:r w:rsidRPr="00385835">
              <w:rPr>
                <w:rFonts w:ascii="Times New Roman" w:eastAsia="AngsanaUPC" w:hAnsi="Times New Roman"/>
                <w:bCs/>
                <w:iCs/>
                <w:sz w:val="24"/>
                <w:szCs w:val="24"/>
                <w:vertAlign w:val="subscript"/>
                <w:lang w:eastAsia="lt-LT"/>
              </w:rPr>
              <w:t>2</w:t>
            </w:r>
            <w:r w:rsidRPr="00385835">
              <w:rPr>
                <w:rFonts w:ascii="Times New Roman" w:eastAsia="AngsanaUPC" w:hAnsi="Times New Roman"/>
                <w:bCs/>
                <w:iCs/>
                <w:sz w:val="24"/>
                <w:szCs w:val="24"/>
                <w:lang w:eastAsia="lt-LT"/>
              </w:rPr>
              <w:t xml:space="preserve"> ir kitais teršalais, o tai dar labiau nuteikia visuomenę prieš viešąjį transportą. Viešasis vietinis (miesto ir priemiesčio) transportas taip pat yra nepatrauklus dėl jo eksploatacinių parametrų – greičio, nepakanka efektyvių miesto eismo valdymo priemonių, autobusų juostų, intelektinių </w:t>
            </w:r>
            <w:r w:rsidR="007239E5">
              <w:rPr>
                <w:rFonts w:ascii="Times New Roman" w:eastAsia="AngsanaUPC" w:hAnsi="Times New Roman"/>
                <w:bCs/>
                <w:iCs/>
                <w:sz w:val="24"/>
                <w:szCs w:val="24"/>
                <w:lang w:eastAsia="lt-LT"/>
              </w:rPr>
              <w:t>transporto (</w:t>
            </w:r>
            <w:r w:rsidRPr="00385835">
              <w:rPr>
                <w:rFonts w:ascii="Times New Roman" w:eastAsia="AngsanaUPC" w:hAnsi="Times New Roman"/>
                <w:bCs/>
                <w:iCs/>
                <w:sz w:val="24"/>
                <w:szCs w:val="24"/>
                <w:lang w:eastAsia="lt-LT"/>
              </w:rPr>
              <w:t>eismo valdymo</w:t>
            </w:r>
            <w:r w:rsidR="007239E5">
              <w:rPr>
                <w:rFonts w:ascii="Times New Roman" w:eastAsia="AngsanaUPC" w:hAnsi="Times New Roman"/>
                <w:bCs/>
                <w:iCs/>
                <w:sz w:val="24"/>
                <w:szCs w:val="24"/>
                <w:lang w:eastAsia="lt-LT"/>
              </w:rPr>
              <w:t>)</w:t>
            </w:r>
            <w:r w:rsidRPr="00385835">
              <w:rPr>
                <w:rFonts w:ascii="Times New Roman" w:eastAsia="AngsanaUPC" w:hAnsi="Times New Roman"/>
                <w:bCs/>
                <w:iCs/>
                <w:sz w:val="24"/>
                <w:szCs w:val="24"/>
                <w:lang w:eastAsia="lt-LT"/>
              </w:rPr>
              <w:t xml:space="preserve"> sistemų, kurios yra būtinos didinant viešojo transporto konkurencin</w:t>
            </w:r>
            <w:r w:rsidR="00D22097">
              <w:rPr>
                <w:rFonts w:ascii="Times New Roman" w:eastAsia="AngsanaUPC" w:hAnsi="Times New Roman"/>
                <w:bCs/>
                <w:iCs/>
                <w:sz w:val="24"/>
                <w:szCs w:val="24"/>
                <w:lang w:eastAsia="lt-LT"/>
              </w:rPr>
              <w:t>gumą,</w:t>
            </w:r>
            <w:r w:rsidR="00C909E5">
              <w:rPr>
                <w:rFonts w:ascii="Times New Roman" w:eastAsia="AngsanaUPC" w:hAnsi="Times New Roman"/>
                <w:bCs/>
                <w:iCs/>
                <w:sz w:val="24"/>
                <w:szCs w:val="24"/>
                <w:lang w:eastAsia="lt-LT"/>
              </w:rPr>
              <w:t xml:space="preserve"> </w:t>
            </w:r>
            <w:r w:rsidRPr="00385835">
              <w:rPr>
                <w:rFonts w:ascii="Times New Roman" w:eastAsia="AngsanaUPC" w:hAnsi="Times New Roman"/>
                <w:bCs/>
                <w:iCs/>
                <w:sz w:val="24"/>
                <w:szCs w:val="24"/>
                <w:lang w:eastAsia="lt-LT"/>
              </w:rPr>
              <w:t>taip pat prisidėtų prie spūsčių mažinimo.</w:t>
            </w:r>
          </w:p>
          <w:p w:rsidR="00385835" w:rsidRPr="00385835" w:rsidRDefault="00385835" w:rsidP="00385835">
            <w:pPr>
              <w:widowControl w:val="0"/>
              <w:tabs>
                <w:tab w:val="left" w:pos="622"/>
              </w:tabs>
              <w:spacing w:after="0" w:line="240" w:lineRule="auto"/>
              <w:ind w:firstLine="624"/>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 xml:space="preserve">Darnaus transporto kliūtimi yra nebuvimas viešojo ir privataus transporto sąveikos – neišvystytos kombinuotojo transporto kelionių sistemos </w:t>
            </w:r>
            <w:proofErr w:type="gramStart"/>
            <w:r w:rsidRPr="00385835">
              <w:rPr>
                <w:rFonts w:ascii="Times New Roman" w:eastAsia="AngsanaUPC" w:hAnsi="Times New Roman"/>
                <w:bCs/>
                <w:iCs/>
                <w:sz w:val="24"/>
                <w:szCs w:val="24"/>
                <w:lang w:eastAsia="lt-LT"/>
              </w:rPr>
              <w:t>(</w:t>
            </w:r>
            <w:proofErr w:type="gramEnd"/>
            <w:r w:rsidRPr="00385835">
              <w:rPr>
                <w:rFonts w:ascii="Times New Roman" w:eastAsia="AngsanaUPC" w:hAnsi="Times New Roman"/>
                <w:bCs/>
                <w:iCs/>
                <w:sz w:val="24"/>
                <w:szCs w:val="24"/>
                <w:lang w:eastAsia="lt-LT"/>
              </w:rPr>
              <w:t xml:space="preserve">angl. </w:t>
            </w:r>
            <w:r w:rsidRPr="00385835">
              <w:rPr>
                <w:rFonts w:ascii="Times New Roman" w:eastAsia="AngsanaUPC" w:hAnsi="Times New Roman"/>
                <w:bCs/>
                <w:i/>
                <w:iCs/>
                <w:sz w:val="24"/>
                <w:szCs w:val="24"/>
                <w:lang w:eastAsia="lt-LT"/>
              </w:rPr>
              <w:t>Park&amp;Ride</w:t>
            </w:r>
            <w:r w:rsidRPr="00385835">
              <w:rPr>
                <w:rFonts w:ascii="Times New Roman" w:eastAsia="AngsanaUPC" w:hAnsi="Times New Roman"/>
                <w:bCs/>
                <w:iCs/>
                <w:sz w:val="24"/>
                <w:szCs w:val="24"/>
                <w:lang w:eastAsia="lt-LT"/>
              </w:rPr>
              <w:t xml:space="preserve"> bei </w:t>
            </w:r>
            <w:r w:rsidRPr="00385835">
              <w:rPr>
                <w:rFonts w:ascii="Times New Roman" w:eastAsia="AngsanaUPC" w:hAnsi="Times New Roman"/>
                <w:bCs/>
                <w:i/>
                <w:iCs/>
                <w:sz w:val="24"/>
                <w:szCs w:val="24"/>
                <w:lang w:eastAsia="lt-LT"/>
              </w:rPr>
              <w:t>Bike&amp;Ride</w:t>
            </w:r>
            <w:r w:rsidRPr="00385835">
              <w:rPr>
                <w:rFonts w:ascii="Times New Roman" w:eastAsia="AngsanaUPC" w:hAnsi="Times New Roman"/>
                <w:bCs/>
                <w:iCs/>
                <w:sz w:val="24"/>
                <w:szCs w:val="24"/>
                <w:lang w:eastAsia="lt-LT"/>
              </w:rPr>
              <w:t xml:space="preserve">), nepakankama sąveika tarp keleivių vežimo skirtingomis viešojo transporto rūšimis. </w:t>
            </w:r>
          </w:p>
          <w:p w:rsidR="00385835" w:rsidRPr="00385835" w:rsidRDefault="00385835" w:rsidP="00385835">
            <w:pPr>
              <w:widowControl w:val="0"/>
              <w:tabs>
                <w:tab w:val="left" w:pos="622"/>
              </w:tabs>
              <w:spacing w:after="0" w:line="240" w:lineRule="auto"/>
              <w:ind w:firstLine="624"/>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 xml:space="preserve">Dviračiai galėtų tapti </w:t>
            </w:r>
            <w:proofErr w:type="gramStart"/>
            <w:r w:rsidRPr="00385835">
              <w:rPr>
                <w:rFonts w:ascii="Times New Roman" w:eastAsia="AngsanaUPC" w:hAnsi="Times New Roman"/>
                <w:bCs/>
                <w:iCs/>
                <w:sz w:val="24"/>
                <w:szCs w:val="24"/>
                <w:lang w:eastAsia="lt-LT"/>
              </w:rPr>
              <w:t>puikia</w:t>
            </w:r>
            <w:proofErr w:type="gramEnd"/>
            <w:r w:rsidRPr="00385835">
              <w:rPr>
                <w:rFonts w:ascii="Times New Roman" w:eastAsia="AngsanaUPC" w:hAnsi="Times New Roman"/>
                <w:bCs/>
                <w:iCs/>
                <w:sz w:val="24"/>
                <w:szCs w:val="24"/>
                <w:lang w:eastAsia="lt-LT"/>
              </w:rPr>
              <w:t xml:space="preserve"> alternatyva automobiliams, tačiau dviračių takų nepakanka, o ir esami yra labai nesaugūs eismo požiūriu. Dviratininkams dažnai tenka rinktis </w:t>
            </w:r>
            <w:proofErr w:type="gramStart"/>
            <w:r w:rsidRPr="00385835">
              <w:rPr>
                <w:rFonts w:ascii="Times New Roman" w:eastAsia="AngsanaUPC" w:hAnsi="Times New Roman"/>
                <w:bCs/>
                <w:iCs/>
                <w:sz w:val="24"/>
                <w:szCs w:val="24"/>
                <w:lang w:eastAsia="lt-LT"/>
              </w:rPr>
              <w:t>važiuojamą</w:t>
            </w:r>
            <w:proofErr w:type="gramEnd"/>
            <w:r w:rsidRPr="00385835">
              <w:rPr>
                <w:rFonts w:ascii="Times New Roman" w:eastAsia="AngsanaUPC" w:hAnsi="Times New Roman"/>
                <w:bCs/>
                <w:iCs/>
                <w:sz w:val="24"/>
                <w:szCs w:val="24"/>
                <w:lang w:eastAsia="lt-LT"/>
              </w:rPr>
              <w:t xml:space="preserve"> dalį, nes dviračių takai tik fragmentiški, trūksta vientisų trasų. Lietuva viena</w:t>
            </w:r>
            <w:r w:rsidR="00D22097">
              <w:rPr>
                <w:rFonts w:ascii="Times New Roman" w:eastAsia="AngsanaUPC" w:hAnsi="Times New Roman"/>
                <w:bCs/>
                <w:iCs/>
                <w:sz w:val="24"/>
                <w:szCs w:val="24"/>
                <w:lang w:eastAsia="lt-LT"/>
              </w:rPr>
              <w:t xml:space="preserve"> iš</w:t>
            </w:r>
            <w:r w:rsidRPr="00385835">
              <w:rPr>
                <w:rFonts w:ascii="Times New Roman" w:eastAsia="AngsanaUPC" w:hAnsi="Times New Roman"/>
                <w:bCs/>
                <w:iCs/>
                <w:sz w:val="24"/>
                <w:szCs w:val="24"/>
                <w:lang w:eastAsia="lt-LT"/>
              </w:rPr>
              <w:t xml:space="preserve"> pirmaujančių pagal žuvusiųjų dviratininkų skaičių, o tai atgraso žmones kelionėms į darbą rinktis dviračius vietoj automobilio. Dviračių takų tiesimas yra būtina priemonė skatinti naudojimąsi dviračiai</w:t>
            </w:r>
            <w:r w:rsidR="00D22097">
              <w:rPr>
                <w:rFonts w:ascii="Times New Roman" w:eastAsia="AngsanaUPC" w:hAnsi="Times New Roman"/>
                <w:bCs/>
                <w:iCs/>
                <w:sz w:val="24"/>
                <w:szCs w:val="24"/>
                <w:lang w:eastAsia="lt-LT"/>
              </w:rPr>
              <w:t>s</w:t>
            </w:r>
            <w:r w:rsidRPr="00385835">
              <w:rPr>
                <w:rFonts w:ascii="Times New Roman" w:eastAsia="AngsanaUPC" w:hAnsi="Times New Roman"/>
                <w:bCs/>
                <w:iCs/>
                <w:sz w:val="24"/>
                <w:szCs w:val="24"/>
                <w:lang w:eastAsia="lt-LT"/>
              </w:rPr>
              <w:t xml:space="preserve"> taip mažinant automobilių naudojimą. </w:t>
            </w:r>
          </w:p>
          <w:p w:rsidR="00385835" w:rsidRPr="00385835" w:rsidRDefault="00385835" w:rsidP="007239E5">
            <w:pPr>
              <w:widowControl w:val="0"/>
              <w:tabs>
                <w:tab w:val="left" w:pos="622"/>
              </w:tabs>
              <w:spacing w:after="0" w:line="240" w:lineRule="auto"/>
              <w:ind w:firstLine="624"/>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2014–2020 m. programavimo laikotarpiu</w:t>
            </w:r>
            <w:r w:rsidR="00DC742A">
              <w:rPr>
                <w:rFonts w:ascii="Times New Roman" w:eastAsia="AngsanaUPC" w:hAnsi="Times New Roman"/>
                <w:bCs/>
                <w:iCs/>
                <w:sz w:val="24"/>
                <w:szCs w:val="24"/>
                <w:lang w:eastAsia="lt-LT"/>
              </w:rPr>
              <w:t>,</w:t>
            </w:r>
            <w:r w:rsidRPr="00385835">
              <w:rPr>
                <w:rFonts w:ascii="Times New Roman" w:eastAsia="AngsanaUPC" w:hAnsi="Times New Roman"/>
                <w:bCs/>
                <w:iCs/>
                <w:sz w:val="24"/>
                <w:szCs w:val="24"/>
                <w:lang w:eastAsia="lt-LT"/>
              </w:rPr>
              <w:t xml:space="preserve"> įgyvendinus infrastruktūrines priemones </w:t>
            </w:r>
            <w:r w:rsidR="007239E5">
              <w:rPr>
                <w:rFonts w:ascii="Times New Roman" w:eastAsia="AngsanaUPC" w:hAnsi="Times New Roman"/>
                <w:bCs/>
                <w:iCs/>
                <w:sz w:val="24"/>
                <w:szCs w:val="24"/>
                <w:lang w:eastAsia="lt-LT"/>
              </w:rPr>
              <w:t xml:space="preserve">ir intelektines transporto sistemas, </w:t>
            </w:r>
            <w:r w:rsidRPr="00385835">
              <w:rPr>
                <w:rFonts w:ascii="Times New Roman" w:eastAsia="AngsanaUPC" w:hAnsi="Times New Roman"/>
                <w:bCs/>
                <w:iCs/>
                <w:sz w:val="24"/>
                <w:szCs w:val="24"/>
                <w:lang w:eastAsia="lt-LT"/>
              </w:rPr>
              <w:t>skirtas efektyviau naudotis automobiliais ir sumažinti automobilių spūstis, įsigijus naujų autobusų</w:t>
            </w:r>
            <w:r w:rsidR="00DC742A">
              <w:rPr>
                <w:rFonts w:ascii="Times New Roman" w:eastAsia="AngsanaUPC" w:hAnsi="Times New Roman"/>
                <w:bCs/>
                <w:iCs/>
                <w:sz w:val="24"/>
                <w:szCs w:val="24"/>
                <w:lang w:eastAsia="lt-LT"/>
              </w:rPr>
              <w:t>,</w:t>
            </w:r>
            <w:r w:rsidRPr="00385835">
              <w:rPr>
                <w:rFonts w:ascii="Times New Roman" w:eastAsia="AngsanaUPC" w:hAnsi="Times New Roman"/>
                <w:bCs/>
                <w:iCs/>
                <w:sz w:val="24"/>
                <w:szCs w:val="24"/>
                <w:lang w:eastAsia="lt-LT"/>
              </w:rPr>
              <w:t xml:space="preserve"> bus paskatinta gyventojus rinktis viešąjį miest</w:t>
            </w:r>
            <w:r w:rsidR="00DC742A">
              <w:rPr>
                <w:rFonts w:ascii="Times New Roman" w:eastAsia="AngsanaUPC" w:hAnsi="Times New Roman"/>
                <w:bCs/>
                <w:iCs/>
                <w:sz w:val="24"/>
                <w:szCs w:val="24"/>
                <w:lang w:eastAsia="lt-LT"/>
              </w:rPr>
              <w:t>o ir priemiestinį transportą,</w:t>
            </w:r>
            <w:r w:rsidR="00B012EA">
              <w:rPr>
                <w:rFonts w:ascii="Times New Roman" w:eastAsia="AngsanaUPC" w:hAnsi="Times New Roman"/>
                <w:bCs/>
                <w:iCs/>
                <w:sz w:val="24"/>
                <w:szCs w:val="24"/>
                <w:lang w:eastAsia="lt-LT"/>
              </w:rPr>
              <w:t xml:space="preserve"> </w:t>
            </w:r>
            <w:r w:rsidRPr="00385835">
              <w:rPr>
                <w:rFonts w:ascii="Times New Roman" w:eastAsia="AngsanaUPC" w:hAnsi="Times New Roman"/>
                <w:bCs/>
                <w:iCs/>
                <w:sz w:val="24"/>
                <w:szCs w:val="24"/>
                <w:lang w:eastAsia="lt-LT"/>
              </w:rPr>
              <w:t xml:space="preserve">taip pat kitus darnaus transporto sprendimus – dviračius, elektromobilius, keliones pėsčiomis. Siekiant užtikrinti žmonių bei verslo darnų judumą ir tuo pačiu nedidinti automobilių skaičiaus, numatoma parengti darnaus judumo planus, kuriais vadovaujantis bus koordinuojama transporto infrastruktūros plėtra, didinamas jos efektyvumas, koordinuotai diegiamos naujos </w:t>
            </w:r>
            <w:r w:rsidRPr="00385835">
              <w:rPr>
                <w:rFonts w:ascii="Times New Roman" w:eastAsia="AngsanaUPC" w:hAnsi="Times New Roman"/>
                <w:bCs/>
                <w:iCs/>
                <w:sz w:val="24"/>
                <w:szCs w:val="24"/>
                <w:lang w:eastAsia="lt-LT"/>
              </w:rPr>
              <w:lastRenderedPageBreak/>
              <w:t>transporto paslaugos, derinant transporto rūšis, keičiamas keleivių požiūris į viešąjį transportą ir elgsena, bus įrengtos elektromobilių įkrovimo stotelės, kurios sudarys galimybę plačiau šalyje naudoti elektromobilius. Taip pat numatoma naudoti daugiau alternatyviųjų ir m</w:t>
            </w:r>
            <w:r w:rsidR="00DC742A">
              <w:rPr>
                <w:rFonts w:ascii="Times New Roman" w:eastAsia="AngsanaUPC" w:hAnsi="Times New Roman"/>
                <w:bCs/>
                <w:iCs/>
                <w:sz w:val="24"/>
                <w:szCs w:val="24"/>
                <w:lang w:eastAsia="lt-LT"/>
              </w:rPr>
              <w:t xml:space="preserve">ažiau aplinką teršiančių degalų </w:t>
            </w:r>
            <w:r w:rsidRPr="00385835">
              <w:rPr>
                <w:rFonts w:ascii="Times New Roman" w:eastAsia="AngsanaUPC" w:hAnsi="Times New Roman"/>
                <w:bCs/>
                <w:iCs/>
                <w:sz w:val="24"/>
                <w:szCs w:val="24"/>
                <w:lang w:eastAsia="lt-LT"/>
              </w:rPr>
              <w:t>ir taip mažinti aplinkos taršą (siekiama, kad 2020 m. 10 proc. kuro transporto sektoriuje būtų pagaminama iš AIE).</w:t>
            </w:r>
            <w:r w:rsidR="007239E5">
              <w:rPr>
                <w:rFonts w:ascii="Times New Roman" w:eastAsia="AngsanaUPC" w:hAnsi="Times New Roman"/>
                <w:bCs/>
                <w:iCs/>
                <w:sz w:val="24"/>
                <w:szCs w:val="24"/>
                <w:lang w:eastAsia="lt-LT"/>
              </w:rPr>
              <w:t xml:space="preserve"> </w:t>
            </w:r>
            <w:r w:rsidRPr="00385835">
              <w:rPr>
                <w:rFonts w:ascii="Times New Roman" w:eastAsia="AngsanaUPC" w:hAnsi="Times New Roman"/>
                <w:bCs/>
                <w:iCs/>
                <w:sz w:val="24"/>
                <w:szCs w:val="24"/>
                <w:lang w:eastAsia="lt-LT"/>
              </w:rPr>
              <w:t>Numatytais kompleksiniais darnaus judumo sprendimais per 2014–2023 metus tikimasi 10 proc. sumažinti namų ūkių iš transporto veiklos į atmosferą išmestą CO</w:t>
            </w:r>
            <w:r w:rsidRPr="00385835">
              <w:rPr>
                <w:rFonts w:ascii="Times New Roman" w:eastAsia="AngsanaUPC" w:hAnsi="Times New Roman"/>
                <w:bCs/>
                <w:iCs/>
                <w:sz w:val="24"/>
                <w:szCs w:val="24"/>
                <w:vertAlign w:val="subscript"/>
                <w:lang w:eastAsia="lt-LT"/>
              </w:rPr>
              <w:t>2</w:t>
            </w:r>
            <w:r w:rsidRPr="00385835">
              <w:rPr>
                <w:rFonts w:ascii="Times New Roman" w:eastAsia="AngsanaUPC" w:hAnsi="Times New Roman"/>
                <w:bCs/>
                <w:iCs/>
                <w:sz w:val="24"/>
                <w:szCs w:val="24"/>
                <w:lang w:eastAsia="lt-LT"/>
              </w:rPr>
              <w:t xml:space="preserve"> bei sustabdyti keleivių skaičiaus mažėjimą vietiniame viešajame susisiekime, o naudojimąsi miesto viešuoju transportu padidinti 3,9 proc.</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i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562"/>
        <w:gridCol w:w="1565"/>
        <w:gridCol w:w="992"/>
        <w:gridCol w:w="992"/>
        <w:gridCol w:w="1134"/>
        <w:gridCol w:w="851"/>
        <w:gridCol w:w="1134"/>
        <w:gridCol w:w="1275"/>
        <w:gridCol w:w="1241"/>
      </w:tblGrid>
      <w:tr w:rsidR="00385835" w:rsidRPr="00385835" w:rsidTr="00385835">
        <w:tc>
          <w:tcPr>
            <w:tcW w:w="9746" w:type="dxa"/>
            <w:gridSpan w:val="9"/>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i/>
                <w:iCs/>
                <w:sz w:val="24"/>
                <w:szCs w:val="24"/>
                <w:lang w:eastAsia="lt-LT"/>
              </w:rPr>
            </w:pPr>
            <w:r w:rsidRPr="00385835">
              <w:rPr>
                <w:rFonts w:ascii="Times New Roman" w:eastAsia="AngsanaUPC" w:hAnsi="Times New Roman"/>
                <w:b/>
                <w:bCs/>
                <w:i/>
                <w:iCs/>
                <w:sz w:val="24"/>
                <w:szCs w:val="24"/>
                <w:lang w:eastAsia="lt-LT"/>
              </w:rPr>
              <w:t xml:space="preserve">ERPF ir SaF </w:t>
            </w:r>
            <w:r w:rsidR="00DA04FC">
              <w:rPr>
                <w:rFonts w:ascii="Times New Roman" w:eastAsia="AngsanaUPC" w:hAnsi="Times New Roman"/>
                <w:b/>
                <w:bCs/>
                <w:i/>
                <w:iCs/>
                <w:sz w:val="24"/>
                <w:szCs w:val="24"/>
                <w:lang w:eastAsia="lt-LT"/>
              </w:rPr>
              <w:t xml:space="preserve">specialieji </w:t>
            </w:r>
            <w:r w:rsidRPr="00385835">
              <w:rPr>
                <w:rFonts w:ascii="Times New Roman" w:eastAsia="AngsanaUPC" w:hAnsi="Times New Roman"/>
                <w:b/>
                <w:bCs/>
                <w:i/>
                <w:iCs/>
                <w:sz w:val="24"/>
                <w:szCs w:val="24"/>
                <w:lang w:eastAsia="lt-LT"/>
              </w:rPr>
              <w:t>programos rezultato rodikliai</w:t>
            </w:r>
          </w:p>
        </w:tc>
      </w:tr>
      <w:tr w:rsidR="00385835" w:rsidRPr="00385835" w:rsidTr="005F38BD">
        <w:tblPrEx>
          <w:shd w:val="clear" w:color="auto" w:fill="auto"/>
        </w:tblPrEx>
        <w:trPr>
          <w:cantSplit/>
          <w:trHeight w:val="535"/>
        </w:trPr>
        <w:tc>
          <w:tcPr>
            <w:tcW w:w="562"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Nr.</w:t>
            </w:r>
          </w:p>
        </w:tc>
        <w:tc>
          <w:tcPr>
            <w:tcW w:w="1565"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Rodiklio pavadinimas</w:t>
            </w:r>
          </w:p>
        </w:tc>
        <w:tc>
          <w:tcPr>
            <w:tcW w:w="992"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Matavimo vienetas</w:t>
            </w:r>
          </w:p>
        </w:tc>
        <w:tc>
          <w:tcPr>
            <w:tcW w:w="992"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Regiono kategorija</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Pradinė reikšmė</w:t>
            </w:r>
          </w:p>
        </w:tc>
        <w:tc>
          <w:tcPr>
            <w:tcW w:w="85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Pradinės reikšmės metai</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Siektina reikšmė (2023)</w:t>
            </w:r>
          </w:p>
        </w:tc>
        <w:tc>
          <w:tcPr>
            <w:tcW w:w="1275"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Duomenų šaltinis</w:t>
            </w:r>
          </w:p>
        </w:tc>
        <w:tc>
          <w:tcPr>
            <w:tcW w:w="124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Atsiskaitymo dažnumas</w:t>
            </w:r>
          </w:p>
        </w:tc>
      </w:tr>
      <w:tr w:rsidR="00385835" w:rsidRPr="004F39B3" w:rsidTr="00385835">
        <w:tblPrEx>
          <w:shd w:val="clear" w:color="auto" w:fill="auto"/>
        </w:tblPrEx>
        <w:tc>
          <w:tcPr>
            <w:tcW w:w="562" w:type="dxa"/>
            <w:shd w:val="clear" w:color="auto" w:fill="auto"/>
            <w:vAlign w:val="center"/>
          </w:tcPr>
          <w:p w:rsidR="00385835" w:rsidRPr="004F39B3"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4F39B3">
              <w:rPr>
                <w:rFonts w:ascii="Times New Roman" w:eastAsia="AngsanaUPC" w:hAnsi="Times New Roman"/>
                <w:bCs/>
                <w:iCs/>
                <w:sz w:val="18"/>
                <w:szCs w:val="18"/>
                <w:lang w:eastAsia="lt-LT"/>
              </w:rPr>
              <w:t>1.</w:t>
            </w:r>
          </w:p>
        </w:tc>
        <w:tc>
          <w:tcPr>
            <w:tcW w:w="1565" w:type="dxa"/>
            <w:shd w:val="clear" w:color="auto" w:fill="auto"/>
            <w:vAlign w:val="center"/>
          </w:tcPr>
          <w:p w:rsidR="00385835" w:rsidRPr="004F39B3" w:rsidRDefault="00385835" w:rsidP="00385835">
            <w:pPr>
              <w:widowControl w:val="0"/>
              <w:tabs>
                <w:tab w:val="left" w:pos="622"/>
              </w:tabs>
              <w:spacing w:after="0" w:line="240" w:lineRule="auto"/>
              <w:rPr>
                <w:rFonts w:ascii="Times New Roman" w:eastAsia="AngsanaUPC" w:hAnsi="Times New Roman"/>
                <w:bCs/>
                <w:sz w:val="18"/>
                <w:szCs w:val="18"/>
                <w:lang w:eastAsia="lt-LT"/>
              </w:rPr>
            </w:pPr>
            <w:r w:rsidRPr="004F39B3">
              <w:rPr>
                <w:rFonts w:ascii="Times New Roman" w:eastAsia="AngsanaUPC" w:hAnsi="Times New Roman"/>
                <w:bCs/>
                <w:sz w:val="18"/>
                <w:szCs w:val="18"/>
                <w:lang w:eastAsia="lt-LT"/>
              </w:rPr>
              <w:t xml:space="preserve">Anglies dioksido (išskyrus išsiskiriantį iš biomasės) kiekis, namų ūkių išmestas į atmosferą iš transporto veiklos </w:t>
            </w:r>
          </w:p>
        </w:tc>
        <w:tc>
          <w:tcPr>
            <w:tcW w:w="992" w:type="dxa"/>
            <w:shd w:val="clear" w:color="auto" w:fill="auto"/>
            <w:vAlign w:val="center"/>
          </w:tcPr>
          <w:p w:rsidR="00385835" w:rsidRPr="004F39B3" w:rsidRDefault="00385835" w:rsidP="00385835">
            <w:pPr>
              <w:widowControl w:val="0"/>
              <w:tabs>
                <w:tab w:val="left" w:pos="622"/>
              </w:tabs>
              <w:spacing w:after="0" w:line="240" w:lineRule="auto"/>
              <w:jc w:val="center"/>
              <w:rPr>
                <w:rFonts w:ascii="Times New Roman" w:eastAsia="AngsanaUPC" w:hAnsi="Times New Roman"/>
                <w:bCs/>
                <w:sz w:val="18"/>
                <w:szCs w:val="18"/>
                <w:lang w:eastAsia="lt-LT"/>
              </w:rPr>
            </w:pPr>
            <w:r w:rsidRPr="004F39B3">
              <w:rPr>
                <w:rFonts w:ascii="Times New Roman" w:eastAsia="AngsanaUPC" w:hAnsi="Times New Roman"/>
                <w:bCs/>
                <w:sz w:val="18"/>
                <w:szCs w:val="18"/>
                <w:lang w:eastAsia="lt-LT"/>
              </w:rPr>
              <w:t>Tūkst. tonų</w:t>
            </w:r>
          </w:p>
        </w:tc>
        <w:tc>
          <w:tcPr>
            <w:tcW w:w="992" w:type="dxa"/>
            <w:shd w:val="clear" w:color="auto" w:fill="auto"/>
            <w:vAlign w:val="center"/>
          </w:tcPr>
          <w:p w:rsidR="00385835" w:rsidRPr="004F39B3" w:rsidRDefault="00385835" w:rsidP="00385835">
            <w:pPr>
              <w:widowControl w:val="0"/>
              <w:tabs>
                <w:tab w:val="left" w:pos="622"/>
              </w:tabs>
              <w:spacing w:after="0" w:line="240" w:lineRule="auto"/>
              <w:jc w:val="center"/>
              <w:rPr>
                <w:rFonts w:ascii="Times New Roman" w:eastAsia="AngsanaUPC" w:hAnsi="Times New Roman"/>
                <w:bCs/>
                <w:sz w:val="18"/>
                <w:szCs w:val="18"/>
                <w:lang w:eastAsia="lt-LT"/>
              </w:rPr>
            </w:pPr>
            <w:r w:rsidRPr="004F39B3">
              <w:rPr>
                <w:rFonts w:ascii="Times New Roman" w:eastAsia="AngsanaUPC" w:hAnsi="Times New Roman"/>
                <w:bCs/>
                <w:iCs/>
                <w:sz w:val="18"/>
                <w:szCs w:val="18"/>
                <w:lang w:eastAsia="lt-LT"/>
              </w:rPr>
              <w:t>Mažiau išsivystęs</w:t>
            </w:r>
          </w:p>
        </w:tc>
        <w:tc>
          <w:tcPr>
            <w:tcW w:w="1134" w:type="dxa"/>
            <w:shd w:val="clear" w:color="auto" w:fill="auto"/>
            <w:vAlign w:val="center"/>
          </w:tcPr>
          <w:p w:rsidR="00385835" w:rsidRPr="004F39B3" w:rsidRDefault="0095067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4F39B3">
              <w:rPr>
                <w:rFonts w:ascii="Times New Roman" w:eastAsia="AngsanaUPC" w:hAnsi="Times New Roman"/>
                <w:bCs/>
                <w:sz w:val="18"/>
                <w:szCs w:val="18"/>
                <w:lang w:eastAsia="lt-LT"/>
              </w:rPr>
              <w:t>2</w:t>
            </w:r>
            <w:r w:rsidR="004F39B3">
              <w:rPr>
                <w:rFonts w:ascii="Times New Roman" w:eastAsia="AngsanaUPC" w:hAnsi="Times New Roman"/>
                <w:bCs/>
                <w:sz w:val="18"/>
                <w:szCs w:val="18"/>
                <w:lang w:eastAsia="lt-LT"/>
              </w:rPr>
              <w:t>.</w:t>
            </w:r>
            <w:r w:rsidRPr="004F39B3">
              <w:rPr>
                <w:rFonts w:ascii="Times New Roman" w:eastAsia="AngsanaUPC" w:hAnsi="Times New Roman"/>
                <w:bCs/>
                <w:sz w:val="18"/>
                <w:szCs w:val="18"/>
                <w:lang w:eastAsia="lt-LT"/>
              </w:rPr>
              <w:t>703,3</w:t>
            </w:r>
          </w:p>
        </w:tc>
        <w:tc>
          <w:tcPr>
            <w:tcW w:w="851" w:type="dxa"/>
            <w:shd w:val="clear" w:color="auto" w:fill="auto"/>
            <w:vAlign w:val="center"/>
          </w:tcPr>
          <w:p w:rsidR="00385835" w:rsidRPr="004F39B3"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4F39B3">
              <w:rPr>
                <w:rFonts w:ascii="Times New Roman" w:eastAsia="AngsanaUPC" w:hAnsi="Times New Roman"/>
                <w:bCs/>
                <w:iCs/>
                <w:sz w:val="18"/>
                <w:szCs w:val="18"/>
                <w:lang w:eastAsia="lt-LT"/>
              </w:rPr>
              <w:t>2011</w:t>
            </w:r>
          </w:p>
        </w:tc>
        <w:tc>
          <w:tcPr>
            <w:tcW w:w="1134" w:type="dxa"/>
            <w:shd w:val="clear" w:color="auto" w:fill="auto"/>
            <w:vAlign w:val="center"/>
          </w:tcPr>
          <w:p w:rsidR="00385835" w:rsidRPr="004F39B3" w:rsidRDefault="0095067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4F39B3">
              <w:rPr>
                <w:rFonts w:ascii="Times New Roman" w:eastAsia="AngsanaUPC" w:hAnsi="Times New Roman"/>
                <w:bCs/>
                <w:sz w:val="18"/>
                <w:szCs w:val="18"/>
                <w:lang w:eastAsia="lt-LT"/>
              </w:rPr>
              <w:t>2</w:t>
            </w:r>
            <w:r w:rsidR="004F39B3">
              <w:rPr>
                <w:rFonts w:ascii="Times New Roman" w:eastAsia="AngsanaUPC" w:hAnsi="Times New Roman"/>
                <w:bCs/>
                <w:sz w:val="18"/>
                <w:szCs w:val="18"/>
                <w:lang w:eastAsia="lt-LT"/>
              </w:rPr>
              <w:t>.</w:t>
            </w:r>
            <w:r w:rsidRPr="004F39B3">
              <w:rPr>
                <w:rFonts w:ascii="Times New Roman" w:eastAsia="AngsanaUPC" w:hAnsi="Times New Roman"/>
                <w:bCs/>
                <w:sz w:val="18"/>
                <w:szCs w:val="18"/>
                <w:lang w:eastAsia="lt-LT"/>
              </w:rPr>
              <w:t>428,0</w:t>
            </w:r>
          </w:p>
        </w:tc>
        <w:tc>
          <w:tcPr>
            <w:tcW w:w="1275" w:type="dxa"/>
            <w:shd w:val="clear" w:color="auto" w:fill="auto"/>
            <w:vAlign w:val="center"/>
          </w:tcPr>
          <w:p w:rsidR="00385835" w:rsidRPr="004F39B3"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4F39B3">
              <w:rPr>
                <w:rFonts w:ascii="Times New Roman" w:eastAsia="AngsanaUPC" w:hAnsi="Times New Roman"/>
                <w:bCs/>
                <w:iCs/>
                <w:sz w:val="18"/>
                <w:szCs w:val="18"/>
                <w:lang w:eastAsia="lt-LT"/>
              </w:rPr>
              <w:t>Lietuvos statistikos departamentas</w:t>
            </w:r>
          </w:p>
        </w:tc>
        <w:tc>
          <w:tcPr>
            <w:tcW w:w="1241" w:type="dxa"/>
            <w:shd w:val="clear" w:color="auto" w:fill="auto"/>
            <w:vAlign w:val="center"/>
          </w:tcPr>
          <w:p w:rsidR="00385835" w:rsidRPr="004F39B3"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4F39B3">
              <w:rPr>
                <w:rFonts w:ascii="Times New Roman" w:eastAsia="AngsanaUPC" w:hAnsi="Times New Roman"/>
                <w:bCs/>
                <w:iCs/>
                <w:sz w:val="18"/>
                <w:szCs w:val="18"/>
                <w:lang w:eastAsia="lt-LT"/>
              </w:rPr>
              <w:t>Kartą per metus</w:t>
            </w:r>
          </w:p>
        </w:tc>
      </w:tr>
      <w:tr w:rsidR="00385835" w:rsidRPr="004F39B3" w:rsidTr="00385835">
        <w:tblPrEx>
          <w:shd w:val="clear" w:color="auto" w:fill="auto"/>
        </w:tblPrEx>
        <w:tc>
          <w:tcPr>
            <w:tcW w:w="562" w:type="dxa"/>
            <w:shd w:val="clear" w:color="auto" w:fill="auto"/>
            <w:vAlign w:val="center"/>
          </w:tcPr>
          <w:p w:rsidR="00385835" w:rsidRPr="004F39B3"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4F39B3">
              <w:rPr>
                <w:rFonts w:ascii="Times New Roman" w:eastAsia="AngsanaUPC" w:hAnsi="Times New Roman"/>
                <w:bCs/>
                <w:iCs/>
                <w:sz w:val="18"/>
                <w:szCs w:val="18"/>
                <w:lang w:eastAsia="lt-LT"/>
              </w:rPr>
              <w:t>2.</w:t>
            </w:r>
          </w:p>
        </w:tc>
        <w:tc>
          <w:tcPr>
            <w:tcW w:w="1565" w:type="dxa"/>
            <w:shd w:val="clear" w:color="auto" w:fill="auto"/>
            <w:vAlign w:val="center"/>
          </w:tcPr>
          <w:p w:rsidR="00385835" w:rsidRPr="004F39B3" w:rsidRDefault="00385835" w:rsidP="00385835">
            <w:pPr>
              <w:widowControl w:val="0"/>
              <w:tabs>
                <w:tab w:val="left" w:pos="622"/>
              </w:tabs>
              <w:spacing w:after="0" w:line="240" w:lineRule="auto"/>
              <w:rPr>
                <w:rFonts w:ascii="Times New Roman" w:eastAsia="AngsanaUPC" w:hAnsi="Times New Roman"/>
                <w:bCs/>
                <w:sz w:val="18"/>
                <w:szCs w:val="18"/>
                <w:lang w:eastAsia="lt-LT"/>
              </w:rPr>
            </w:pPr>
            <w:r w:rsidRPr="004F39B3">
              <w:rPr>
                <w:rFonts w:ascii="Times New Roman" w:eastAsia="AngsanaUPC" w:hAnsi="Times New Roman"/>
                <w:bCs/>
                <w:sz w:val="18"/>
                <w:szCs w:val="18"/>
                <w:lang w:eastAsia="lt-LT"/>
              </w:rPr>
              <w:t>Viešuoju miesto transportu vežamų keleivių skaičius</w:t>
            </w:r>
          </w:p>
        </w:tc>
        <w:tc>
          <w:tcPr>
            <w:tcW w:w="992" w:type="dxa"/>
            <w:shd w:val="clear" w:color="auto" w:fill="auto"/>
            <w:vAlign w:val="center"/>
          </w:tcPr>
          <w:p w:rsidR="00385835" w:rsidRPr="004F39B3" w:rsidRDefault="00385835" w:rsidP="00385835">
            <w:pPr>
              <w:widowControl w:val="0"/>
              <w:tabs>
                <w:tab w:val="left" w:pos="622"/>
              </w:tabs>
              <w:spacing w:after="0" w:line="240" w:lineRule="auto"/>
              <w:jc w:val="center"/>
              <w:rPr>
                <w:rFonts w:ascii="Times New Roman" w:eastAsia="AngsanaUPC" w:hAnsi="Times New Roman"/>
                <w:bCs/>
                <w:sz w:val="18"/>
                <w:szCs w:val="18"/>
                <w:lang w:eastAsia="lt-LT"/>
              </w:rPr>
            </w:pPr>
            <w:r w:rsidRPr="004F39B3">
              <w:rPr>
                <w:rFonts w:ascii="Times New Roman" w:eastAsia="AngsanaUPC" w:hAnsi="Times New Roman"/>
                <w:bCs/>
                <w:sz w:val="18"/>
                <w:szCs w:val="18"/>
                <w:lang w:eastAsia="lt-LT"/>
              </w:rPr>
              <w:t>Skaičius</w:t>
            </w:r>
          </w:p>
        </w:tc>
        <w:tc>
          <w:tcPr>
            <w:tcW w:w="992" w:type="dxa"/>
            <w:shd w:val="clear" w:color="auto" w:fill="auto"/>
            <w:vAlign w:val="center"/>
          </w:tcPr>
          <w:p w:rsidR="00385835" w:rsidRPr="004F39B3"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4F39B3">
              <w:rPr>
                <w:rFonts w:ascii="Times New Roman" w:eastAsia="AngsanaUPC" w:hAnsi="Times New Roman"/>
                <w:bCs/>
                <w:iCs/>
                <w:sz w:val="18"/>
                <w:szCs w:val="18"/>
                <w:lang w:eastAsia="lt-LT"/>
              </w:rPr>
              <w:t>Mažiau išsivystęs</w:t>
            </w:r>
          </w:p>
        </w:tc>
        <w:tc>
          <w:tcPr>
            <w:tcW w:w="1134" w:type="dxa"/>
            <w:shd w:val="clear" w:color="auto" w:fill="auto"/>
            <w:vAlign w:val="center"/>
          </w:tcPr>
          <w:p w:rsidR="00385835" w:rsidRPr="004F39B3" w:rsidRDefault="00950675" w:rsidP="00950675">
            <w:pPr>
              <w:widowControl w:val="0"/>
              <w:tabs>
                <w:tab w:val="left" w:pos="622"/>
              </w:tabs>
              <w:spacing w:after="0" w:line="240" w:lineRule="auto"/>
              <w:jc w:val="center"/>
              <w:rPr>
                <w:rFonts w:ascii="Times New Roman" w:eastAsia="AngsanaUPC" w:hAnsi="Times New Roman"/>
                <w:bCs/>
                <w:sz w:val="18"/>
                <w:szCs w:val="18"/>
                <w:lang w:eastAsia="lt-LT"/>
              </w:rPr>
            </w:pPr>
            <w:r w:rsidRPr="004F39B3">
              <w:rPr>
                <w:rFonts w:ascii="Times New Roman" w:eastAsia="AngsanaUPC" w:hAnsi="Times New Roman"/>
                <w:bCs/>
                <w:iCs/>
                <w:sz w:val="18"/>
                <w:szCs w:val="18"/>
                <w:lang w:eastAsia="lt-LT"/>
              </w:rPr>
              <w:t>389</w:t>
            </w:r>
            <w:r w:rsidR="00C76808" w:rsidRPr="004F39B3">
              <w:rPr>
                <w:rFonts w:ascii="Times New Roman" w:eastAsia="AngsanaUPC" w:hAnsi="Times New Roman"/>
                <w:bCs/>
                <w:iCs/>
                <w:sz w:val="18"/>
                <w:szCs w:val="18"/>
                <w:lang w:eastAsia="lt-LT"/>
              </w:rPr>
              <w:t>.</w:t>
            </w:r>
            <w:r w:rsidRPr="004F39B3">
              <w:rPr>
                <w:rFonts w:ascii="Times New Roman" w:eastAsia="AngsanaUPC" w:hAnsi="Times New Roman"/>
                <w:bCs/>
                <w:iCs/>
                <w:sz w:val="18"/>
                <w:szCs w:val="18"/>
                <w:lang w:eastAsia="lt-LT"/>
              </w:rPr>
              <w:t>421</w:t>
            </w:r>
            <w:r w:rsidR="00C76808" w:rsidRPr="004F39B3">
              <w:rPr>
                <w:rFonts w:ascii="Times New Roman" w:eastAsia="AngsanaUPC" w:hAnsi="Times New Roman"/>
                <w:bCs/>
                <w:iCs/>
                <w:sz w:val="18"/>
                <w:szCs w:val="18"/>
                <w:lang w:eastAsia="lt-LT"/>
              </w:rPr>
              <w:t>.</w:t>
            </w:r>
            <w:r w:rsidRPr="004F39B3">
              <w:rPr>
                <w:rFonts w:ascii="Times New Roman" w:eastAsia="AngsanaUPC" w:hAnsi="Times New Roman"/>
                <w:bCs/>
                <w:iCs/>
                <w:sz w:val="18"/>
                <w:szCs w:val="18"/>
                <w:lang w:eastAsia="lt-LT"/>
              </w:rPr>
              <w:t>8</w:t>
            </w:r>
            <w:r w:rsidR="00385835" w:rsidRPr="004F39B3">
              <w:rPr>
                <w:rFonts w:ascii="Times New Roman" w:eastAsia="AngsanaUPC" w:hAnsi="Times New Roman"/>
                <w:bCs/>
                <w:iCs/>
                <w:sz w:val="18"/>
                <w:szCs w:val="18"/>
                <w:lang w:eastAsia="lt-LT"/>
              </w:rPr>
              <w:t>00</w:t>
            </w:r>
          </w:p>
        </w:tc>
        <w:tc>
          <w:tcPr>
            <w:tcW w:w="851" w:type="dxa"/>
            <w:shd w:val="clear" w:color="auto" w:fill="auto"/>
            <w:vAlign w:val="center"/>
          </w:tcPr>
          <w:p w:rsidR="00385835" w:rsidRPr="004F39B3"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4F39B3">
              <w:rPr>
                <w:rFonts w:ascii="Times New Roman" w:eastAsia="AngsanaUPC" w:hAnsi="Times New Roman"/>
                <w:bCs/>
                <w:iCs/>
                <w:sz w:val="18"/>
                <w:szCs w:val="18"/>
                <w:lang w:eastAsia="lt-LT"/>
              </w:rPr>
              <w:t>2013</w:t>
            </w:r>
          </w:p>
        </w:tc>
        <w:tc>
          <w:tcPr>
            <w:tcW w:w="1134" w:type="dxa"/>
            <w:shd w:val="clear" w:color="auto" w:fill="auto"/>
            <w:vAlign w:val="center"/>
          </w:tcPr>
          <w:p w:rsidR="00385835" w:rsidRPr="004F39B3" w:rsidRDefault="0005415A" w:rsidP="00C76808">
            <w:pPr>
              <w:widowControl w:val="0"/>
              <w:tabs>
                <w:tab w:val="left" w:pos="622"/>
              </w:tabs>
              <w:spacing w:after="0" w:line="240" w:lineRule="auto"/>
              <w:jc w:val="center"/>
              <w:rPr>
                <w:rFonts w:ascii="Times New Roman" w:eastAsia="AngsanaUPC" w:hAnsi="Times New Roman"/>
                <w:bCs/>
                <w:sz w:val="18"/>
                <w:szCs w:val="18"/>
                <w:lang w:eastAsia="lt-LT"/>
              </w:rPr>
            </w:pPr>
            <w:r w:rsidRPr="004F39B3">
              <w:rPr>
                <w:rFonts w:ascii="Times New Roman" w:eastAsia="AngsanaUPC" w:hAnsi="Times New Roman"/>
                <w:bCs/>
                <w:iCs/>
                <w:sz w:val="18"/>
                <w:szCs w:val="18"/>
                <w:lang w:eastAsia="lt-LT"/>
              </w:rPr>
              <w:t>389</w:t>
            </w:r>
            <w:r w:rsidR="00C76808" w:rsidRPr="004F39B3">
              <w:rPr>
                <w:rFonts w:ascii="Times New Roman" w:eastAsia="AngsanaUPC" w:hAnsi="Times New Roman"/>
                <w:bCs/>
                <w:iCs/>
                <w:sz w:val="18"/>
                <w:szCs w:val="18"/>
                <w:lang w:eastAsia="lt-LT"/>
              </w:rPr>
              <w:t>.</w:t>
            </w:r>
            <w:r w:rsidRPr="004F39B3">
              <w:rPr>
                <w:rFonts w:ascii="Times New Roman" w:eastAsia="AngsanaUPC" w:hAnsi="Times New Roman"/>
                <w:bCs/>
                <w:iCs/>
                <w:sz w:val="18"/>
                <w:szCs w:val="18"/>
                <w:lang w:eastAsia="lt-LT"/>
              </w:rPr>
              <w:t>5</w:t>
            </w:r>
            <w:r w:rsidR="00385835" w:rsidRPr="004F39B3">
              <w:rPr>
                <w:rFonts w:ascii="Times New Roman" w:eastAsia="AngsanaUPC" w:hAnsi="Times New Roman"/>
                <w:bCs/>
                <w:iCs/>
                <w:sz w:val="18"/>
                <w:szCs w:val="18"/>
                <w:lang w:eastAsia="lt-LT"/>
              </w:rPr>
              <w:t>00</w:t>
            </w:r>
            <w:r w:rsidR="00C76808" w:rsidRPr="004F39B3">
              <w:rPr>
                <w:rFonts w:ascii="Times New Roman" w:eastAsia="AngsanaUPC" w:hAnsi="Times New Roman"/>
                <w:bCs/>
                <w:iCs/>
                <w:sz w:val="18"/>
                <w:szCs w:val="18"/>
                <w:lang w:eastAsia="lt-LT"/>
              </w:rPr>
              <w:t>.</w:t>
            </w:r>
            <w:r w:rsidR="00385835" w:rsidRPr="004F39B3">
              <w:rPr>
                <w:rFonts w:ascii="Times New Roman" w:eastAsia="AngsanaUPC" w:hAnsi="Times New Roman"/>
                <w:bCs/>
                <w:iCs/>
                <w:sz w:val="18"/>
                <w:szCs w:val="18"/>
                <w:lang w:eastAsia="lt-LT"/>
              </w:rPr>
              <w:t>000</w:t>
            </w:r>
          </w:p>
        </w:tc>
        <w:tc>
          <w:tcPr>
            <w:tcW w:w="1275" w:type="dxa"/>
            <w:shd w:val="clear" w:color="auto" w:fill="auto"/>
            <w:vAlign w:val="center"/>
          </w:tcPr>
          <w:p w:rsidR="00385835" w:rsidRPr="004F39B3"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4F39B3">
              <w:rPr>
                <w:rFonts w:ascii="Times New Roman" w:eastAsia="AngsanaUPC" w:hAnsi="Times New Roman"/>
                <w:bCs/>
                <w:iCs/>
                <w:sz w:val="18"/>
                <w:szCs w:val="18"/>
                <w:lang w:eastAsia="lt-LT"/>
              </w:rPr>
              <w:t>Lietuvos statistikos departamentas</w:t>
            </w:r>
          </w:p>
        </w:tc>
        <w:tc>
          <w:tcPr>
            <w:tcW w:w="1241" w:type="dxa"/>
            <w:shd w:val="clear" w:color="auto" w:fill="auto"/>
            <w:vAlign w:val="center"/>
          </w:tcPr>
          <w:p w:rsidR="00385835" w:rsidRPr="004F39B3"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4F39B3">
              <w:rPr>
                <w:rFonts w:ascii="Times New Roman" w:eastAsia="AngsanaUPC" w:hAnsi="Times New Roman"/>
                <w:bCs/>
                <w:iCs/>
                <w:sz w:val="18"/>
                <w:szCs w:val="18"/>
                <w:lang w:eastAsia="lt-LT"/>
              </w:rPr>
              <w:t>Kartą per metus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385835" w:rsidRPr="00385835" w:rsidTr="00385835">
        <w:tc>
          <w:tcPr>
            <w:tcW w:w="9746" w:type="dxa"/>
            <w:tcBorders>
              <w:top w:val="single" w:sz="4" w:space="0" w:color="auto"/>
              <w:left w:val="single" w:sz="4" w:space="0" w:color="auto"/>
              <w:bottom w:val="single" w:sz="4" w:space="0" w:color="auto"/>
              <w:right w:val="single" w:sz="4" w:space="0" w:color="auto"/>
            </w:tcBorders>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Cs/>
                <w:iCs/>
                <w:sz w:val="24"/>
                <w:szCs w:val="24"/>
                <w:lang w:eastAsia="lt-LT"/>
              </w:rPr>
            </w:pPr>
            <w:r w:rsidRPr="00385835">
              <w:rPr>
                <w:rFonts w:ascii="Times New Roman" w:eastAsia="AngsanaUPC" w:hAnsi="Times New Roman"/>
                <w:b/>
                <w:bCs/>
                <w:i/>
                <w:iCs/>
                <w:sz w:val="24"/>
                <w:szCs w:val="24"/>
                <w:lang w:eastAsia="lt-LT"/>
              </w:rPr>
              <w:t>4.5. Investicinio prioriteto įgyvendinimo veiklos</w:t>
            </w:r>
          </w:p>
        </w:tc>
      </w:tr>
      <w:tr w:rsidR="00385835" w:rsidRPr="00385835" w:rsidTr="00385835">
        <w:tc>
          <w:tcPr>
            <w:tcW w:w="9746" w:type="dxa"/>
            <w:shd w:val="clear" w:color="auto" w:fill="auto"/>
          </w:tcPr>
          <w:p w:rsidR="00385835" w:rsidRPr="00D54F90" w:rsidRDefault="00385835" w:rsidP="00650E41">
            <w:pPr>
              <w:widowControl w:val="0"/>
              <w:numPr>
                <w:ilvl w:val="0"/>
                <w:numId w:val="63"/>
              </w:numPr>
              <w:tabs>
                <w:tab w:val="left" w:pos="459"/>
                <w:tab w:val="left" w:pos="885"/>
              </w:tabs>
              <w:spacing w:after="0" w:line="240" w:lineRule="auto"/>
              <w:ind w:left="34" w:firstLine="0"/>
              <w:jc w:val="both"/>
              <w:rPr>
                <w:rFonts w:ascii="Times New Roman" w:eastAsia="AngsanaUPC" w:hAnsi="Times New Roman"/>
                <w:bCs/>
                <w:iCs/>
                <w:sz w:val="24"/>
                <w:szCs w:val="24"/>
                <w:lang w:eastAsia="lt-LT"/>
              </w:rPr>
            </w:pPr>
            <w:r w:rsidRPr="00D54F90">
              <w:rPr>
                <w:rFonts w:ascii="Times New Roman" w:eastAsia="AngsanaUPC" w:hAnsi="Times New Roman"/>
                <w:bCs/>
                <w:iCs/>
                <w:sz w:val="24"/>
                <w:szCs w:val="24"/>
                <w:lang w:eastAsia="lt-LT"/>
              </w:rPr>
              <w:t>Darnaus judumo planų (SUMP) rengimas ir juose numatytų darnaus judumo priemonių įgyvendinimas miestų ir rajonų savivaldybėse;</w:t>
            </w:r>
          </w:p>
          <w:p w:rsidR="00385835" w:rsidRPr="002C08FA" w:rsidRDefault="00385835" w:rsidP="00650E41">
            <w:pPr>
              <w:widowControl w:val="0"/>
              <w:numPr>
                <w:ilvl w:val="0"/>
                <w:numId w:val="63"/>
              </w:numPr>
              <w:tabs>
                <w:tab w:val="left" w:pos="459"/>
                <w:tab w:val="left" w:pos="885"/>
              </w:tabs>
              <w:spacing w:after="0" w:line="240" w:lineRule="auto"/>
              <w:ind w:left="34" w:firstLine="0"/>
              <w:jc w:val="both"/>
              <w:rPr>
                <w:rFonts w:ascii="Times New Roman" w:eastAsia="AngsanaUPC" w:hAnsi="Times New Roman"/>
                <w:bCs/>
                <w:iCs/>
                <w:sz w:val="24"/>
                <w:szCs w:val="24"/>
                <w:lang w:eastAsia="lt-LT"/>
              </w:rPr>
            </w:pPr>
            <w:r w:rsidRPr="00D54F90">
              <w:rPr>
                <w:rFonts w:ascii="Times New Roman" w:eastAsia="AngsanaUPC" w:hAnsi="Times New Roman"/>
                <w:bCs/>
                <w:iCs/>
                <w:sz w:val="24"/>
                <w:szCs w:val="24"/>
                <w:lang w:eastAsia="lt-LT"/>
              </w:rPr>
              <w:t>Draugiškų aplinkai vietinio susisiekimo (miesto ir priemiestinio) viešojo</w:t>
            </w:r>
            <w:r w:rsidR="00BE46C7" w:rsidRPr="00BE46C7">
              <w:rPr>
                <w:rFonts w:ascii="Times New Roman" w:eastAsia="AngsanaUPC" w:hAnsi="Times New Roman"/>
                <w:bCs/>
                <w:iCs/>
                <w:sz w:val="24"/>
                <w:szCs w:val="24"/>
                <w:lang w:eastAsia="lt-LT"/>
              </w:rPr>
              <w:t xml:space="preserve"> ir / arba privataus</w:t>
            </w:r>
            <w:r w:rsidRPr="00D54F90">
              <w:rPr>
                <w:rFonts w:ascii="Times New Roman" w:eastAsia="AngsanaUPC" w:hAnsi="Times New Roman"/>
                <w:bCs/>
                <w:iCs/>
                <w:sz w:val="24"/>
                <w:szCs w:val="24"/>
                <w:lang w:eastAsia="lt-LT"/>
              </w:rPr>
              <w:t xml:space="preserve"> transporto priemonių įsigijimas</w:t>
            </w:r>
            <w:r w:rsidR="00AE6C76" w:rsidRPr="00D54F90">
              <w:rPr>
                <w:rFonts w:ascii="Times New Roman" w:eastAsia="AngsanaUPC" w:hAnsi="Times New Roman"/>
                <w:bCs/>
                <w:iCs/>
                <w:sz w:val="24"/>
                <w:szCs w:val="24"/>
                <w:lang w:eastAsia="lt-LT"/>
              </w:rPr>
              <w:t>.</w:t>
            </w:r>
            <w:r w:rsidRPr="00D54F90">
              <w:rPr>
                <w:rFonts w:ascii="Times New Roman" w:eastAsia="AngsanaUPC" w:hAnsi="Times New Roman"/>
                <w:bCs/>
                <w:iCs/>
                <w:sz w:val="24"/>
                <w:szCs w:val="24"/>
                <w:lang w:eastAsia="lt-LT"/>
              </w:rPr>
              <w:t xml:space="preserve"> </w:t>
            </w:r>
            <w:r w:rsidR="00AE6C76" w:rsidRPr="00D54F90">
              <w:rPr>
                <w:rFonts w:ascii="Times New Roman" w:eastAsia="AngsanaUPC" w:hAnsi="Times New Roman"/>
                <w:bCs/>
                <w:iCs/>
                <w:sz w:val="24"/>
                <w:szCs w:val="24"/>
                <w:lang w:eastAsia="lt-LT"/>
              </w:rPr>
              <w:t xml:space="preserve">Viešojo </w:t>
            </w:r>
            <w:r w:rsidRPr="00D54F90">
              <w:rPr>
                <w:rFonts w:ascii="Times New Roman" w:eastAsia="AngsanaUPC" w:hAnsi="Times New Roman"/>
                <w:bCs/>
                <w:iCs/>
                <w:sz w:val="24"/>
                <w:szCs w:val="24"/>
                <w:lang w:eastAsia="lt-LT"/>
              </w:rPr>
              <w:t xml:space="preserve">transporto paslaugų ir įrangos riboto judumo ir fizinę negalią turinčių asmenų poreikiams tenkinti diegimas, </w:t>
            </w:r>
            <w:r w:rsidRPr="002C08FA">
              <w:rPr>
                <w:rFonts w:ascii="Times New Roman" w:eastAsia="AngsanaUPC" w:hAnsi="Times New Roman"/>
                <w:bCs/>
                <w:iCs/>
                <w:sz w:val="24"/>
                <w:szCs w:val="24"/>
                <w:lang w:eastAsia="lt-LT"/>
              </w:rPr>
              <w:t xml:space="preserve">pritaikant </w:t>
            </w:r>
            <w:r w:rsidR="00B5691E" w:rsidRPr="002C08FA">
              <w:rPr>
                <w:rFonts w:ascii="Times New Roman" w:eastAsia="AngsanaUPC" w:hAnsi="Times New Roman"/>
                <w:bCs/>
                <w:iCs/>
                <w:sz w:val="24"/>
                <w:szCs w:val="24"/>
                <w:lang w:eastAsia="lt-LT"/>
              </w:rPr>
              <w:t>universalaus dizaino sprendimus;</w:t>
            </w:r>
          </w:p>
          <w:p w:rsidR="00385835" w:rsidRPr="002C08FA" w:rsidRDefault="00385835" w:rsidP="00650E41">
            <w:pPr>
              <w:widowControl w:val="0"/>
              <w:numPr>
                <w:ilvl w:val="0"/>
                <w:numId w:val="63"/>
              </w:numPr>
              <w:tabs>
                <w:tab w:val="left" w:pos="459"/>
                <w:tab w:val="left" w:pos="885"/>
              </w:tabs>
              <w:spacing w:after="0" w:line="240" w:lineRule="auto"/>
              <w:ind w:left="34" w:firstLine="0"/>
              <w:jc w:val="both"/>
              <w:rPr>
                <w:rFonts w:ascii="Times New Roman" w:eastAsia="AngsanaUPC" w:hAnsi="Times New Roman"/>
                <w:bCs/>
                <w:iCs/>
                <w:sz w:val="24"/>
                <w:szCs w:val="24"/>
                <w:lang w:eastAsia="lt-LT"/>
              </w:rPr>
            </w:pPr>
            <w:r w:rsidRPr="002C08FA">
              <w:rPr>
                <w:rFonts w:ascii="Times New Roman" w:eastAsia="AngsanaUPC" w:hAnsi="Times New Roman"/>
                <w:bCs/>
                <w:iCs/>
                <w:sz w:val="24"/>
                <w:szCs w:val="24"/>
                <w:lang w:eastAsia="lt-LT"/>
              </w:rPr>
              <w:t xml:space="preserve">Miestų gatvių pritaikymas viešojo </w:t>
            </w:r>
            <w:r w:rsidR="0005415A" w:rsidRPr="002C08FA">
              <w:rPr>
                <w:rFonts w:ascii="Times New Roman" w:eastAsia="AngsanaUPC" w:hAnsi="Times New Roman"/>
                <w:bCs/>
                <w:iCs/>
                <w:sz w:val="24"/>
                <w:szCs w:val="24"/>
                <w:lang w:eastAsia="lt-LT"/>
              </w:rPr>
              <w:t xml:space="preserve">ir / arba privataus </w:t>
            </w:r>
            <w:r w:rsidRPr="002C08FA">
              <w:rPr>
                <w:rFonts w:ascii="Times New Roman" w:eastAsia="AngsanaUPC" w:hAnsi="Times New Roman"/>
                <w:bCs/>
                <w:iCs/>
                <w:sz w:val="24"/>
                <w:szCs w:val="24"/>
                <w:lang w:eastAsia="lt-LT"/>
              </w:rPr>
              <w:t>transporto poreikiams (greitųjų autobusų sistemos diegimas ir kt.); šiuolaikiškų inžinerinių eismo saugos (</w:t>
            </w:r>
            <w:r w:rsidR="00686878" w:rsidRPr="002C08FA">
              <w:rPr>
                <w:rFonts w:ascii="Times New Roman" w:eastAsia="AngsanaUPC" w:hAnsi="Times New Roman"/>
                <w:bCs/>
                <w:iCs/>
                <w:sz w:val="24"/>
                <w:szCs w:val="24"/>
                <w:lang w:eastAsia="lt-LT"/>
              </w:rPr>
              <w:t>pavyzdžiui,</w:t>
            </w:r>
            <w:r w:rsidR="00DC742A" w:rsidRPr="002C08FA">
              <w:rPr>
                <w:rFonts w:ascii="Times New Roman" w:eastAsia="AngsanaUPC" w:hAnsi="Times New Roman"/>
                <w:bCs/>
                <w:iCs/>
                <w:sz w:val="24"/>
                <w:szCs w:val="24"/>
                <w:lang w:eastAsia="lt-LT"/>
              </w:rPr>
              <w:t xml:space="preserve"> perėjų, atitvarų, žiedinių sankryžų</w:t>
            </w:r>
            <w:r w:rsidRPr="002C08FA">
              <w:rPr>
                <w:rFonts w:ascii="Times New Roman" w:eastAsia="AngsanaUPC" w:hAnsi="Times New Roman"/>
                <w:bCs/>
                <w:iCs/>
                <w:sz w:val="24"/>
                <w:szCs w:val="24"/>
                <w:lang w:eastAsia="lt-LT"/>
              </w:rPr>
              <w:t xml:space="preserve"> ir pan.) ir saugumo (</w:t>
            </w:r>
            <w:r w:rsidR="00686878" w:rsidRPr="002C08FA">
              <w:rPr>
                <w:rFonts w:ascii="Times New Roman" w:eastAsia="AngsanaUPC" w:hAnsi="Times New Roman"/>
                <w:bCs/>
                <w:iCs/>
                <w:sz w:val="24"/>
                <w:szCs w:val="24"/>
                <w:lang w:eastAsia="lt-LT"/>
              </w:rPr>
              <w:t>pavyzdžiui</w:t>
            </w:r>
            <w:r w:rsidR="00565898" w:rsidRPr="002C08FA">
              <w:rPr>
                <w:rFonts w:ascii="Times New Roman" w:eastAsia="AngsanaUPC" w:hAnsi="Times New Roman"/>
                <w:bCs/>
                <w:iCs/>
                <w:sz w:val="24"/>
                <w:szCs w:val="24"/>
                <w:lang w:eastAsia="lt-LT"/>
              </w:rPr>
              <w:t>,</w:t>
            </w:r>
            <w:r w:rsidR="00DC742A" w:rsidRPr="002C08FA">
              <w:rPr>
                <w:rFonts w:ascii="Times New Roman" w:eastAsia="AngsanaUPC" w:hAnsi="Times New Roman"/>
                <w:bCs/>
                <w:iCs/>
                <w:sz w:val="24"/>
                <w:szCs w:val="24"/>
                <w:lang w:eastAsia="lt-LT"/>
              </w:rPr>
              <w:t xml:space="preserve"> stebėsenos sistemų) </w:t>
            </w:r>
            <w:r w:rsidRPr="002C08FA">
              <w:rPr>
                <w:rFonts w:ascii="Times New Roman" w:eastAsia="AngsanaUPC" w:hAnsi="Times New Roman"/>
                <w:bCs/>
                <w:iCs/>
                <w:sz w:val="24"/>
                <w:szCs w:val="24"/>
                <w:lang w:eastAsia="lt-LT"/>
              </w:rPr>
              <w:t>priemonių diegimas; dviračių ir</w:t>
            </w:r>
            <w:r w:rsidR="00790A90" w:rsidRPr="002C08FA">
              <w:rPr>
                <w:rFonts w:ascii="Times New Roman" w:eastAsia="AngsanaUPC" w:hAnsi="Times New Roman"/>
                <w:bCs/>
                <w:iCs/>
                <w:sz w:val="24"/>
                <w:szCs w:val="24"/>
                <w:lang w:eastAsia="lt-LT"/>
              </w:rPr>
              <w:t xml:space="preserve"> </w:t>
            </w:r>
            <w:r w:rsidRPr="002C08FA">
              <w:rPr>
                <w:rFonts w:ascii="Times New Roman" w:eastAsia="AngsanaUPC" w:hAnsi="Times New Roman"/>
                <w:bCs/>
                <w:iCs/>
                <w:sz w:val="24"/>
                <w:szCs w:val="24"/>
                <w:lang w:eastAsia="lt-LT"/>
              </w:rPr>
              <w:t>/</w:t>
            </w:r>
            <w:r w:rsidR="00790A90" w:rsidRPr="002C08FA">
              <w:rPr>
                <w:rFonts w:ascii="Times New Roman" w:eastAsia="AngsanaUPC" w:hAnsi="Times New Roman"/>
                <w:bCs/>
                <w:iCs/>
                <w:sz w:val="24"/>
                <w:szCs w:val="24"/>
                <w:lang w:eastAsia="lt-LT"/>
              </w:rPr>
              <w:t xml:space="preserve"> </w:t>
            </w:r>
            <w:r w:rsidRPr="002C08FA">
              <w:rPr>
                <w:rFonts w:ascii="Times New Roman" w:eastAsia="AngsanaUPC" w:hAnsi="Times New Roman"/>
                <w:bCs/>
                <w:iCs/>
                <w:sz w:val="24"/>
                <w:szCs w:val="24"/>
                <w:lang w:eastAsia="lt-LT"/>
              </w:rPr>
              <w:t>ar pėsčiųjų takų ir</w:t>
            </w:r>
            <w:r w:rsidR="00790A90" w:rsidRPr="002C08FA">
              <w:rPr>
                <w:rFonts w:ascii="Times New Roman" w:eastAsia="AngsanaUPC" w:hAnsi="Times New Roman"/>
                <w:bCs/>
                <w:iCs/>
                <w:sz w:val="24"/>
                <w:szCs w:val="24"/>
                <w:lang w:eastAsia="lt-LT"/>
              </w:rPr>
              <w:t xml:space="preserve"> </w:t>
            </w:r>
            <w:r w:rsidRPr="002C08FA">
              <w:rPr>
                <w:rFonts w:ascii="Times New Roman" w:eastAsia="AngsanaUPC" w:hAnsi="Times New Roman"/>
                <w:bCs/>
                <w:iCs/>
                <w:sz w:val="24"/>
                <w:szCs w:val="24"/>
                <w:lang w:eastAsia="lt-LT"/>
              </w:rPr>
              <w:t>/</w:t>
            </w:r>
            <w:r w:rsidR="00790A90" w:rsidRPr="002C08FA">
              <w:rPr>
                <w:rFonts w:ascii="Times New Roman" w:eastAsia="AngsanaUPC" w:hAnsi="Times New Roman"/>
                <w:bCs/>
                <w:iCs/>
                <w:sz w:val="24"/>
                <w:szCs w:val="24"/>
                <w:lang w:eastAsia="lt-LT"/>
              </w:rPr>
              <w:t xml:space="preserve"> </w:t>
            </w:r>
            <w:r w:rsidRPr="002C08FA">
              <w:rPr>
                <w:rFonts w:ascii="Times New Roman" w:eastAsia="AngsanaUPC" w:hAnsi="Times New Roman"/>
                <w:bCs/>
                <w:iCs/>
                <w:sz w:val="24"/>
                <w:szCs w:val="24"/>
                <w:lang w:eastAsia="lt-LT"/>
              </w:rPr>
              <w:t>ar trasų rekonstrukcija ir plėtra;</w:t>
            </w:r>
          </w:p>
          <w:p w:rsidR="00385835" w:rsidRPr="00385835" w:rsidRDefault="00385835" w:rsidP="00650E41">
            <w:pPr>
              <w:widowControl w:val="0"/>
              <w:numPr>
                <w:ilvl w:val="0"/>
                <w:numId w:val="63"/>
              </w:numPr>
              <w:tabs>
                <w:tab w:val="left" w:pos="459"/>
                <w:tab w:val="left" w:pos="885"/>
              </w:tabs>
              <w:spacing w:after="0" w:line="240" w:lineRule="auto"/>
              <w:ind w:left="34" w:firstLine="0"/>
              <w:jc w:val="both"/>
              <w:rPr>
                <w:rFonts w:ascii="Times New Roman" w:eastAsia="AngsanaUPC" w:hAnsi="Times New Roman"/>
                <w:bCs/>
                <w:iCs/>
                <w:sz w:val="24"/>
                <w:szCs w:val="24"/>
                <w:lang w:eastAsia="lt-LT"/>
              </w:rPr>
            </w:pPr>
            <w:r w:rsidRPr="002C08FA">
              <w:rPr>
                <w:rFonts w:ascii="Times New Roman" w:eastAsia="AngsanaUPC" w:hAnsi="Times New Roman"/>
                <w:bCs/>
                <w:iCs/>
                <w:sz w:val="24"/>
                <w:szCs w:val="24"/>
                <w:lang w:eastAsia="lt-LT"/>
              </w:rPr>
              <w:t xml:space="preserve">Intelektinių </w:t>
            </w:r>
            <w:r w:rsidR="00407954" w:rsidRPr="002C08FA">
              <w:rPr>
                <w:rFonts w:ascii="Times New Roman" w:eastAsia="AngsanaUPC" w:hAnsi="Times New Roman"/>
                <w:bCs/>
                <w:iCs/>
                <w:sz w:val="24"/>
                <w:szCs w:val="24"/>
                <w:lang w:eastAsia="lt-LT"/>
              </w:rPr>
              <w:t xml:space="preserve">transporto </w:t>
            </w:r>
            <w:r w:rsidRPr="002C08FA">
              <w:rPr>
                <w:rFonts w:ascii="Times New Roman" w:eastAsia="AngsanaUPC" w:hAnsi="Times New Roman"/>
                <w:bCs/>
                <w:iCs/>
                <w:sz w:val="24"/>
                <w:szCs w:val="24"/>
                <w:lang w:eastAsia="lt-LT"/>
              </w:rPr>
              <w:t xml:space="preserve">sistemų diegimas didinant viešojo </w:t>
            </w:r>
            <w:r w:rsidR="0005415A" w:rsidRPr="002C08FA">
              <w:rPr>
                <w:rFonts w:ascii="Times New Roman" w:eastAsia="AngsanaUPC" w:hAnsi="Times New Roman"/>
                <w:bCs/>
                <w:iCs/>
                <w:sz w:val="24"/>
                <w:szCs w:val="24"/>
                <w:lang w:eastAsia="lt-LT"/>
              </w:rPr>
              <w:t xml:space="preserve">ir / arba privataus </w:t>
            </w:r>
            <w:r w:rsidRPr="002C08FA">
              <w:rPr>
                <w:rFonts w:ascii="Times New Roman" w:eastAsia="AngsanaUPC" w:hAnsi="Times New Roman"/>
                <w:bCs/>
                <w:iCs/>
                <w:sz w:val="24"/>
                <w:szCs w:val="24"/>
                <w:lang w:eastAsia="lt-LT"/>
              </w:rPr>
              <w:t xml:space="preserve">transporto sistemos efektyvumą </w:t>
            </w:r>
            <w:proofErr w:type="gramStart"/>
            <w:r w:rsidRPr="002C08FA">
              <w:rPr>
                <w:rFonts w:ascii="Times New Roman" w:eastAsia="AngsanaUPC" w:hAnsi="Times New Roman"/>
                <w:bCs/>
                <w:iCs/>
                <w:sz w:val="24"/>
                <w:szCs w:val="24"/>
                <w:lang w:eastAsia="lt-LT"/>
              </w:rPr>
              <w:t>(</w:t>
            </w:r>
            <w:proofErr w:type="gramEnd"/>
            <w:r w:rsidRPr="002C08FA">
              <w:rPr>
                <w:rFonts w:ascii="Times New Roman" w:eastAsia="AngsanaUPC" w:hAnsi="Times New Roman"/>
                <w:bCs/>
                <w:iCs/>
                <w:sz w:val="24"/>
                <w:szCs w:val="24"/>
                <w:lang w:eastAsia="lt-LT"/>
              </w:rPr>
              <w:t>viešojo transporto pirmumo sistemos, intermodalinio susisiekimo sistemos, elektroninės bilietų sistemos, kelionės tęstinumo užtikrinimas ir kokybės gerinimas</w:t>
            </w:r>
            <w:r w:rsidR="00DC742A" w:rsidRPr="002C08FA">
              <w:rPr>
                <w:rFonts w:ascii="Times New Roman" w:eastAsia="AngsanaUPC" w:hAnsi="Times New Roman"/>
                <w:bCs/>
                <w:iCs/>
                <w:sz w:val="24"/>
                <w:szCs w:val="24"/>
                <w:lang w:eastAsia="lt-LT"/>
              </w:rPr>
              <w:t>,</w:t>
            </w:r>
            <w:r w:rsidRPr="002C08FA">
              <w:rPr>
                <w:rFonts w:ascii="Times New Roman" w:eastAsia="AngsanaUPC" w:hAnsi="Times New Roman"/>
                <w:bCs/>
                <w:iCs/>
                <w:sz w:val="24"/>
                <w:szCs w:val="24"/>
                <w:lang w:eastAsia="lt-LT"/>
              </w:rPr>
              <w:t xml:space="preserve"> diegiant multimodalinių maršrutų planavimo ir paieškos sistemas, gerinant viešojo </w:t>
            </w:r>
            <w:r w:rsidR="0005415A" w:rsidRPr="002C08FA">
              <w:rPr>
                <w:rFonts w:ascii="Times New Roman" w:eastAsia="AngsanaUPC" w:hAnsi="Times New Roman"/>
                <w:bCs/>
                <w:iCs/>
                <w:sz w:val="24"/>
                <w:szCs w:val="24"/>
                <w:lang w:eastAsia="lt-LT"/>
              </w:rPr>
              <w:t xml:space="preserve">ir / arba privataus </w:t>
            </w:r>
            <w:r w:rsidRPr="002C08FA">
              <w:rPr>
                <w:rFonts w:ascii="Times New Roman" w:eastAsia="AngsanaUPC" w:hAnsi="Times New Roman"/>
                <w:bCs/>
                <w:iCs/>
                <w:sz w:val="24"/>
                <w:szCs w:val="24"/>
                <w:lang w:eastAsia="lt-LT"/>
              </w:rPr>
              <w:t>transporto informacijos paieškos ir sklaidos sistemas, didinant transporto sistemos</w:t>
            </w:r>
            <w:r w:rsidRPr="00D54F90">
              <w:rPr>
                <w:rFonts w:ascii="Times New Roman" w:eastAsia="AngsanaUPC" w:hAnsi="Times New Roman"/>
                <w:bCs/>
                <w:iCs/>
                <w:sz w:val="24"/>
                <w:szCs w:val="24"/>
                <w:lang w:eastAsia="lt-LT"/>
              </w:rPr>
              <w:t xml:space="preserve"> prieinamumą</w:t>
            </w:r>
            <w:r w:rsidRPr="00385835">
              <w:rPr>
                <w:rFonts w:ascii="Times New Roman" w:eastAsia="AngsanaUPC" w:hAnsi="Times New Roman"/>
                <w:bCs/>
                <w:iCs/>
                <w:sz w:val="24"/>
                <w:szCs w:val="24"/>
                <w:lang w:eastAsia="lt-LT"/>
              </w:rPr>
              <w:t xml:space="preserve"> žmonėms su specialiaisiais poreikiais ir kt.);</w:t>
            </w:r>
          </w:p>
          <w:p w:rsidR="00385835" w:rsidRPr="00385835" w:rsidRDefault="00385835" w:rsidP="00650E41">
            <w:pPr>
              <w:widowControl w:val="0"/>
              <w:numPr>
                <w:ilvl w:val="0"/>
                <w:numId w:val="63"/>
              </w:numPr>
              <w:tabs>
                <w:tab w:val="left" w:pos="459"/>
                <w:tab w:val="left" w:pos="885"/>
              </w:tabs>
              <w:spacing w:after="0" w:line="240" w:lineRule="auto"/>
              <w:ind w:left="34"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Viešojo ir privataus transporto sąveikos ir darnaus judumo sistemų kūrimas (</w:t>
            </w:r>
            <w:r w:rsidRPr="00385835">
              <w:rPr>
                <w:rFonts w:ascii="Times New Roman" w:eastAsia="AngsanaUPC" w:hAnsi="Times New Roman"/>
                <w:bCs/>
                <w:i/>
                <w:iCs/>
                <w:sz w:val="24"/>
                <w:szCs w:val="24"/>
                <w:lang w:eastAsia="lt-LT"/>
              </w:rPr>
              <w:t>Park&amp;Ride</w:t>
            </w:r>
            <w:r w:rsidRPr="00385835">
              <w:rPr>
                <w:rFonts w:ascii="Times New Roman" w:eastAsia="AngsanaUPC" w:hAnsi="Times New Roman"/>
                <w:bCs/>
                <w:iCs/>
                <w:sz w:val="24"/>
                <w:szCs w:val="24"/>
                <w:lang w:eastAsia="lt-LT"/>
              </w:rPr>
              <w:t xml:space="preserve">, </w:t>
            </w:r>
            <w:r w:rsidRPr="00385835">
              <w:rPr>
                <w:rFonts w:ascii="Times New Roman" w:eastAsia="AngsanaUPC" w:hAnsi="Times New Roman"/>
                <w:bCs/>
                <w:i/>
                <w:iCs/>
                <w:sz w:val="24"/>
                <w:szCs w:val="24"/>
                <w:lang w:eastAsia="lt-LT"/>
              </w:rPr>
              <w:t>Bike&amp;Ride</w:t>
            </w:r>
            <w:r w:rsidRPr="00385835">
              <w:rPr>
                <w:rFonts w:ascii="Times New Roman" w:eastAsia="AngsanaUPC" w:hAnsi="Times New Roman"/>
                <w:bCs/>
                <w:iCs/>
                <w:sz w:val="24"/>
                <w:szCs w:val="24"/>
                <w:lang w:eastAsia="lt-LT"/>
              </w:rPr>
              <w:t xml:space="preserve"> aikštelės ir kt., viešųjų dviračių sistemos </w:t>
            </w:r>
            <w:proofErr w:type="gramStart"/>
            <w:r w:rsidRPr="00385835">
              <w:rPr>
                <w:rFonts w:ascii="Times New Roman" w:eastAsia="AngsanaUPC" w:hAnsi="Times New Roman"/>
                <w:bCs/>
                <w:iCs/>
                <w:sz w:val="24"/>
                <w:szCs w:val="24"/>
                <w:lang w:eastAsia="lt-LT"/>
              </w:rPr>
              <w:t>(</w:t>
            </w:r>
            <w:proofErr w:type="gramEnd"/>
            <w:r w:rsidRPr="00385835">
              <w:rPr>
                <w:rFonts w:ascii="Times New Roman" w:eastAsia="AngsanaUPC" w:hAnsi="Times New Roman"/>
                <w:bCs/>
                <w:iCs/>
                <w:sz w:val="24"/>
                <w:szCs w:val="24"/>
                <w:lang w:eastAsia="lt-LT"/>
              </w:rPr>
              <w:t xml:space="preserve">angl. </w:t>
            </w:r>
            <w:r w:rsidRPr="00385835">
              <w:rPr>
                <w:rFonts w:ascii="Times New Roman" w:eastAsia="AngsanaUPC" w:hAnsi="Times New Roman"/>
                <w:bCs/>
                <w:i/>
                <w:iCs/>
                <w:sz w:val="24"/>
                <w:szCs w:val="24"/>
                <w:lang w:eastAsia="lt-LT"/>
              </w:rPr>
              <w:t>Bike Sharing</w:t>
            </w:r>
            <w:proofErr w:type="gramStart"/>
            <w:r w:rsidRPr="00385835">
              <w:rPr>
                <w:rFonts w:ascii="Times New Roman" w:eastAsia="AngsanaUPC" w:hAnsi="Times New Roman"/>
                <w:bCs/>
                <w:iCs/>
                <w:sz w:val="24"/>
                <w:szCs w:val="24"/>
                <w:lang w:eastAsia="lt-LT"/>
              </w:rPr>
              <w:t>)</w:t>
            </w:r>
            <w:r w:rsidR="006C71AE">
              <w:rPr>
                <w:rFonts w:ascii="Times New Roman" w:eastAsia="AngsanaUPC" w:hAnsi="Times New Roman"/>
                <w:bCs/>
                <w:iCs/>
                <w:sz w:val="24"/>
                <w:szCs w:val="24"/>
                <w:lang w:eastAsia="lt-LT"/>
              </w:rPr>
              <w:t>)</w:t>
            </w:r>
            <w:proofErr w:type="gramEnd"/>
            <w:r w:rsidRPr="00385835">
              <w:rPr>
                <w:rFonts w:ascii="Times New Roman" w:eastAsia="AngsanaUPC" w:hAnsi="Times New Roman"/>
                <w:bCs/>
                <w:iCs/>
                <w:sz w:val="24"/>
                <w:szCs w:val="24"/>
                <w:lang w:eastAsia="lt-LT"/>
              </w:rPr>
              <w:t>;</w:t>
            </w:r>
          </w:p>
          <w:p w:rsidR="00385835" w:rsidRPr="00385835" w:rsidRDefault="00385835" w:rsidP="00650E41">
            <w:pPr>
              <w:widowControl w:val="0"/>
              <w:numPr>
                <w:ilvl w:val="0"/>
                <w:numId w:val="63"/>
              </w:numPr>
              <w:tabs>
                <w:tab w:val="left" w:pos="459"/>
                <w:tab w:val="left" w:pos="885"/>
              </w:tabs>
              <w:spacing w:after="0" w:line="240" w:lineRule="auto"/>
              <w:ind w:left="34"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Elektromobilių pakrovimo</w:t>
            </w:r>
            <w:r w:rsidR="00790A90">
              <w:rPr>
                <w:rFonts w:ascii="Times New Roman" w:eastAsia="AngsanaUPC" w:hAnsi="Times New Roman"/>
                <w:bCs/>
                <w:iCs/>
                <w:sz w:val="24"/>
                <w:szCs w:val="24"/>
                <w:lang w:eastAsia="lt-LT"/>
              </w:rPr>
              <w:t xml:space="preserve"> </w:t>
            </w:r>
            <w:r w:rsidRPr="00385835">
              <w:rPr>
                <w:rFonts w:ascii="Times New Roman" w:eastAsia="AngsanaUPC" w:hAnsi="Times New Roman"/>
                <w:bCs/>
                <w:iCs/>
                <w:sz w:val="24"/>
                <w:szCs w:val="24"/>
                <w:lang w:eastAsia="lt-LT"/>
              </w:rPr>
              <w:t>/ baterijų keitimo infrastruktūros</w:t>
            </w:r>
            <w:r w:rsidR="00790A90">
              <w:rPr>
                <w:rFonts w:ascii="Times New Roman" w:eastAsia="AngsanaUPC" w:hAnsi="Times New Roman"/>
                <w:bCs/>
                <w:iCs/>
                <w:sz w:val="24"/>
                <w:szCs w:val="24"/>
                <w:lang w:eastAsia="lt-LT"/>
              </w:rPr>
              <w:t xml:space="preserve"> </w:t>
            </w:r>
            <w:r w:rsidRPr="00385835">
              <w:rPr>
                <w:rFonts w:ascii="Times New Roman" w:eastAsia="AngsanaUPC" w:hAnsi="Times New Roman"/>
                <w:bCs/>
                <w:iCs/>
                <w:sz w:val="24"/>
                <w:szCs w:val="24"/>
                <w:lang w:eastAsia="lt-LT"/>
              </w:rPr>
              <w:t>/</w:t>
            </w:r>
            <w:r w:rsidR="00790A90">
              <w:rPr>
                <w:rFonts w:ascii="Times New Roman" w:eastAsia="AngsanaUPC" w:hAnsi="Times New Roman"/>
                <w:bCs/>
                <w:iCs/>
                <w:sz w:val="24"/>
                <w:szCs w:val="24"/>
                <w:lang w:eastAsia="lt-LT"/>
              </w:rPr>
              <w:t xml:space="preserve"> </w:t>
            </w:r>
            <w:r w:rsidRPr="00385835">
              <w:rPr>
                <w:rFonts w:ascii="Times New Roman" w:eastAsia="AngsanaUPC" w:hAnsi="Times New Roman"/>
                <w:bCs/>
                <w:iCs/>
                <w:sz w:val="24"/>
                <w:szCs w:val="24"/>
                <w:lang w:eastAsia="lt-LT"/>
              </w:rPr>
              <w:t>stotelių tinklo plėtra.</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i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746"/>
      </w:tblGrid>
      <w:tr w:rsidR="00385835" w:rsidRPr="00385835" w:rsidTr="00385835">
        <w:tc>
          <w:tcPr>
            <w:tcW w:w="9746"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i/>
                <w:iCs/>
                <w:sz w:val="24"/>
                <w:szCs w:val="24"/>
                <w:lang w:eastAsia="lt-LT"/>
              </w:rPr>
              <w:t>Didelės apimties projektai</w:t>
            </w:r>
          </w:p>
        </w:tc>
      </w:tr>
      <w:tr w:rsidR="00385835" w:rsidRPr="00385835" w:rsidTr="00385835">
        <w:tc>
          <w:tcPr>
            <w:tcW w:w="9746" w:type="dxa"/>
            <w:shd w:val="clear" w:color="auto" w:fill="auto"/>
          </w:tcPr>
          <w:p w:rsidR="00385835" w:rsidRPr="00385835" w:rsidRDefault="00385835" w:rsidP="00385835">
            <w:pPr>
              <w:widowControl w:val="0"/>
              <w:tabs>
                <w:tab w:val="left" w:pos="622"/>
              </w:tabs>
              <w:spacing w:after="0" w:line="240" w:lineRule="auto"/>
              <w:ind w:firstLine="624"/>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Pagal šį investicinį prioritetą didelės apimties projektų vykdyti nenumatoma.</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567"/>
        <w:gridCol w:w="2835"/>
        <w:gridCol w:w="1134"/>
        <w:gridCol w:w="851"/>
        <w:gridCol w:w="1134"/>
        <w:gridCol w:w="850"/>
        <w:gridCol w:w="1134"/>
        <w:gridCol w:w="1241"/>
      </w:tblGrid>
      <w:tr w:rsidR="00385835" w:rsidRPr="00385835" w:rsidTr="00385835">
        <w:trPr>
          <w:tblHeader/>
        </w:trPr>
        <w:tc>
          <w:tcPr>
            <w:tcW w:w="9746" w:type="dxa"/>
            <w:gridSpan w:val="8"/>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i/>
                <w:iCs/>
                <w:sz w:val="24"/>
                <w:szCs w:val="24"/>
                <w:lang w:eastAsia="lt-LT"/>
              </w:rPr>
            </w:pPr>
            <w:r w:rsidRPr="00385835">
              <w:rPr>
                <w:rFonts w:ascii="Times New Roman" w:eastAsia="AngsanaUPC" w:hAnsi="Times New Roman"/>
                <w:b/>
                <w:bCs/>
                <w:i/>
                <w:iCs/>
                <w:sz w:val="24"/>
                <w:szCs w:val="24"/>
                <w:lang w:eastAsia="lt-LT"/>
              </w:rPr>
              <w:t xml:space="preserve">ERPF ir SaF bendrieji ir </w:t>
            </w:r>
            <w:r w:rsidR="00DA04FC">
              <w:rPr>
                <w:rFonts w:ascii="Times New Roman" w:eastAsia="AngsanaUPC" w:hAnsi="Times New Roman"/>
                <w:b/>
                <w:bCs/>
                <w:i/>
                <w:iCs/>
                <w:sz w:val="24"/>
                <w:szCs w:val="24"/>
                <w:lang w:eastAsia="lt-LT"/>
              </w:rPr>
              <w:t xml:space="preserve">specialieji programos </w:t>
            </w:r>
            <w:r w:rsidRPr="00385835">
              <w:rPr>
                <w:rFonts w:ascii="Times New Roman" w:eastAsia="AngsanaUPC" w:hAnsi="Times New Roman"/>
                <w:b/>
                <w:bCs/>
                <w:i/>
                <w:iCs/>
                <w:sz w:val="24"/>
                <w:szCs w:val="24"/>
                <w:lang w:eastAsia="lt-LT"/>
              </w:rPr>
              <w:t xml:space="preserve">produkto rodikliai </w:t>
            </w:r>
          </w:p>
        </w:tc>
      </w:tr>
      <w:tr w:rsidR="00385835" w:rsidRPr="00385835" w:rsidTr="00385835">
        <w:tblPrEx>
          <w:shd w:val="clear" w:color="auto" w:fill="auto"/>
        </w:tblPrEx>
        <w:trPr>
          <w:tblHeader/>
        </w:trPr>
        <w:tc>
          <w:tcPr>
            <w:tcW w:w="567"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Nr.</w:t>
            </w:r>
          </w:p>
        </w:tc>
        <w:tc>
          <w:tcPr>
            <w:tcW w:w="2835"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Rodiklio pavadinimas</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Matavimo vienetas</w:t>
            </w:r>
          </w:p>
        </w:tc>
        <w:tc>
          <w:tcPr>
            <w:tcW w:w="85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Fondas</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Regiono kategorija</w:t>
            </w:r>
          </w:p>
        </w:tc>
        <w:tc>
          <w:tcPr>
            <w:tcW w:w="850"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Siektina reikšmė (2023)</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Duomenų šaltinis</w:t>
            </w:r>
          </w:p>
        </w:tc>
        <w:tc>
          <w:tcPr>
            <w:tcW w:w="124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Atsiskaitymo dažnumas</w:t>
            </w:r>
          </w:p>
        </w:tc>
      </w:tr>
      <w:tr w:rsidR="00385835" w:rsidRPr="00385835" w:rsidTr="00385835">
        <w:tblPrEx>
          <w:shd w:val="clear" w:color="auto" w:fill="auto"/>
        </w:tblPrEx>
        <w:tc>
          <w:tcPr>
            <w:tcW w:w="567" w:type="dxa"/>
            <w:shd w:val="clear" w:color="auto" w:fill="auto"/>
            <w:vAlign w:val="center"/>
          </w:tcPr>
          <w:p w:rsidR="00385835" w:rsidRPr="002C08FA" w:rsidRDefault="00790A90"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1</w:t>
            </w:r>
            <w:r w:rsidR="00385835" w:rsidRPr="002C08FA">
              <w:rPr>
                <w:rFonts w:ascii="Times New Roman" w:eastAsia="AngsanaUPC" w:hAnsi="Times New Roman"/>
                <w:bCs/>
                <w:iCs/>
                <w:sz w:val="18"/>
                <w:szCs w:val="18"/>
                <w:lang w:eastAsia="lt-LT"/>
              </w:rPr>
              <w:t>.</w:t>
            </w:r>
          </w:p>
        </w:tc>
        <w:tc>
          <w:tcPr>
            <w:tcW w:w="2835" w:type="dxa"/>
            <w:shd w:val="clear" w:color="auto" w:fill="auto"/>
            <w:vAlign w:val="center"/>
          </w:tcPr>
          <w:p w:rsidR="00385835" w:rsidRPr="002C08FA" w:rsidRDefault="00385835" w:rsidP="00385835">
            <w:pPr>
              <w:widowControl w:val="0"/>
              <w:tabs>
                <w:tab w:val="left" w:pos="622"/>
              </w:tabs>
              <w:spacing w:after="0" w:line="240" w:lineRule="auto"/>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Įrengtų naujų dviračių ir/ar pėsčiųjų takų ir/ar trasų ilgis</w:t>
            </w:r>
          </w:p>
        </w:tc>
        <w:tc>
          <w:tcPr>
            <w:tcW w:w="1134"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Km</w:t>
            </w:r>
          </w:p>
        </w:tc>
        <w:tc>
          <w:tcPr>
            <w:tcW w:w="851"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ERPF</w:t>
            </w:r>
          </w:p>
        </w:tc>
        <w:tc>
          <w:tcPr>
            <w:tcW w:w="1134" w:type="dxa"/>
            <w:shd w:val="clear" w:color="auto" w:fill="auto"/>
            <w:vAlign w:val="center"/>
          </w:tcPr>
          <w:p w:rsidR="00385835" w:rsidRPr="002C08FA" w:rsidRDefault="00385835" w:rsidP="00385835">
            <w:pPr>
              <w:spacing w:after="0" w:line="240" w:lineRule="auto"/>
              <w:jc w:val="center"/>
              <w:rPr>
                <w:sz w:val="18"/>
                <w:szCs w:val="18"/>
              </w:rPr>
            </w:pPr>
            <w:r w:rsidRPr="002C08FA">
              <w:rPr>
                <w:rFonts w:ascii="Times New Roman" w:eastAsia="AngsanaUPC" w:hAnsi="Times New Roman"/>
                <w:bCs/>
                <w:iCs/>
                <w:sz w:val="18"/>
                <w:szCs w:val="18"/>
                <w:lang w:eastAsia="lt-LT"/>
              </w:rPr>
              <w:t>Mažiau išsivystęs</w:t>
            </w:r>
          </w:p>
        </w:tc>
        <w:tc>
          <w:tcPr>
            <w:tcW w:w="850" w:type="dxa"/>
            <w:shd w:val="clear" w:color="auto" w:fill="auto"/>
            <w:vAlign w:val="center"/>
          </w:tcPr>
          <w:p w:rsidR="00385835" w:rsidRPr="002C08FA" w:rsidRDefault="00385835" w:rsidP="00385835">
            <w:pPr>
              <w:spacing w:after="0" w:line="240" w:lineRule="auto"/>
              <w:jc w:val="center"/>
              <w:rPr>
                <w:rFonts w:ascii="Times New Roman" w:hAnsi="Times New Roman"/>
                <w:sz w:val="18"/>
                <w:szCs w:val="18"/>
              </w:rPr>
            </w:pPr>
            <w:r w:rsidRPr="002C08FA">
              <w:rPr>
                <w:rFonts w:ascii="Times New Roman" w:hAnsi="Times New Roman"/>
                <w:sz w:val="18"/>
                <w:szCs w:val="18"/>
              </w:rPr>
              <w:t>5</w:t>
            </w:r>
            <w:r w:rsidR="00E25536" w:rsidRPr="002C08FA">
              <w:rPr>
                <w:rFonts w:ascii="Times New Roman" w:hAnsi="Times New Roman"/>
                <w:sz w:val="18"/>
                <w:szCs w:val="18"/>
              </w:rPr>
              <w:t>0</w:t>
            </w:r>
          </w:p>
        </w:tc>
        <w:tc>
          <w:tcPr>
            <w:tcW w:w="1134"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Duomenys iš projektų</w:t>
            </w:r>
          </w:p>
        </w:tc>
        <w:tc>
          <w:tcPr>
            <w:tcW w:w="1241"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Kartą per metus</w:t>
            </w:r>
          </w:p>
        </w:tc>
      </w:tr>
      <w:tr w:rsidR="00385835" w:rsidRPr="00385835" w:rsidTr="00385835">
        <w:tblPrEx>
          <w:shd w:val="clear" w:color="auto" w:fill="auto"/>
        </w:tblPrEx>
        <w:tc>
          <w:tcPr>
            <w:tcW w:w="567" w:type="dxa"/>
            <w:shd w:val="clear" w:color="auto" w:fill="auto"/>
            <w:vAlign w:val="center"/>
          </w:tcPr>
          <w:p w:rsidR="00385835" w:rsidRPr="002C08FA" w:rsidRDefault="00790A90"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lastRenderedPageBreak/>
              <w:t>2</w:t>
            </w:r>
            <w:r w:rsidR="00385835" w:rsidRPr="002C08FA">
              <w:rPr>
                <w:rFonts w:ascii="Times New Roman" w:eastAsia="AngsanaUPC" w:hAnsi="Times New Roman"/>
                <w:bCs/>
                <w:iCs/>
                <w:sz w:val="18"/>
                <w:szCs w:val="18"/>
                <w:lang w:eastAsia="lt-LT"/>
              </w:rPr>
              <w:t>.</w:t>
            </w:r>
          </w:p>
        </w:tc>
        <w:tc>
          <w:tcPr>
            <w:tcW w:w="2835" w:type="dxa"/>
            <w:shd w:val="clear" w:color="auto" w:fill="auto"/>
            <w:vAlign w:val="center"/>
          </w:tcPr>
          <w:p w:rsidR="00385835" w:rsidRPr="002C08FA" w:rsidRDefault="00385835" w:rsidP="00385835">
            <w:pPr>
              <w:widowControl w:val="0"/>
              <w:tabs>
                <w:tab w:val="left" w:pos="622"/>
              </w:tabs>
              <w:spacing w:after="0" w:line="240" w:lineRule="auto"/>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Rekonstruotų dviračių ir/ar pėsčiųjų takų ir/ar trasų ilgis</w:t>
            </w:r>
          </w:p>
        </w:tc>
        <w:tc>
          <w:tcPr>
            <w:tcW w:w="1134"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Km</w:t>
            </w:r>
          </w:p>
        </w:tc>
        <w:tc>
          <w:tcPr>
            <w:tcW w:w="851"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ERPF</w:t>
            </w:r>
          </w:p>
        </w:tc>
        <w:tc>
          <w:tcPr>
            <w:tcW w:w="1134" w:type="dxa"/>
            <w:shd w:val="clear" w:color="auto" w:fill="auto"/>
            <w:vAlign w:val="center"/>
          </w:tcPr>
          <w:p w:rsidR="00385835" w:rsidRPr="002C08FA" w:rsidRDefault="00385835" w:rsidP="00385835">
            <w:pPr>
              <w:spacing w:after="0" w:line="240" w:lineRule="auto"/>
              <w:jc w:val="center"/>
              <w:rPr>
                <w:sz w:val="18"/>
                <w:szCs w:val="18"/>
              </w:rPr>
            </w:pPr>
            <w:r w:rsidRPr="002C08FA">
              <w:rPr>
                <w:rFonts w:ascii="Times New Roman" w:eastAsia="AngsanaUPC" w:hAnsi="Times New Roman"/>
                <w:bCs/>
                <w:iCs/>
                <w:sz w:val="18"/>
                <w:szCs w:val="18"/>
                <w:lang w:eastAsia="lt-LT"/>
              </w:rPr>
              <w:t>Mažiau išsivystęs</w:t>
            </w:r>
          </w:p>
        </w:tc>
        <w:tc>
          <w:tcPr>
            <w:tcW w:w="850" w:type="dxa"/>
            <w:shd w:val="clear" w:color="auto" w:fill="auto"/>
            <w:vAlign w:val="center"/>
          </w:tcPr>
          <w:p w:rsidR="00385835" w:rsidRPr="002C08FA" w:rsidRDefault="00E25536" w:rsidP="00385835">
            <w:pPr>
              <w:spacing w:after="0" w:line="240" w:lineRule="auto"/>
              <w:jc w:val="center"/>
              <w:rPr>
                <w:rFonts w:ascii="Times New Roman" w:hAnsi="Times New Roman"/>
                <w:sz w:val="18"/>
                <w:szCs w:val="18"/>
              </w:rPr>
            </w:pPr>
            <w:r w:rsidRPr="002C08FA">
              <w:rPr>
                <w:rFonts w:ascii="Times New Roman" w:hAnsi="Times New Roman"/>
                <w:sz w:val="18"/>
                <w:szCs w:val="18"/>
              </w:rPr>
              <w:t>2</w:t>
            </w:r>
            <w:r w:rsidR="00385835" w:rsidRPr="002C08FA">
              <w:rPr>
                <w:rFonts w:ascii="Times New Roman" w:hAnsi="Times New Roman"/>
                <w:sz w:val="18"/>
                <w:szCs w:val="18"/>
              </w:rPr>
              <w:t>0</w:t>
            </w:r>
          </w:p>
        </w:tc>
        <w:tc>
          <w:tcPr>
            <w:tcW w:w="1134"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Duomenys iš projektų</w:t>
            </w:r>
          </w:p>
        </w:tc>
        <w:tc>
          <w:tcPr>
            <w:tcW w:w="1241"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Kartą per metus</w:t>
            </w:r>
          </w:p>
        </w:tc>
      </w:tr>
      <w:tr w:rsidR="00385835" w:rsidRPr="00385835" w:rsidTr="00385835">
        <w:tblPrEx>
          <w:shd w:val="clear" w:color="auto" w:fill="auto"/>
        </w:tblPrEx>
        <w:tc>
          <w:tcPr>
            <w:tcW w:w="567" w:type="dxa"/>
            <w:shd w:val="clear" w:color="auto" w:fill="auto"/>
            <w:vAlign w:val="center"/>
          </w:tcPr>
          <w:p w:rsidR="00385835" w:rsidRPr="002C08FA" w:rsidRDefault="00790A90"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3</w:t>
            </w:r>
            <w:r w:rsidR="00385835" w:rsidRPr="002C08FA">
              <w:rPr>
                <w:rFonts w:ascii="Times New Roman" w:eastAsia="AngsanaUPC" w:hAnsi="Times New Roman"/>
                <w:bCs/>
                <w:iCs/>
                <w:sz w:val="18"/>
                <w:szCs w:val="18"/>
                <w:lang w:eastAsia="lt-LT"/>
              </w:rPr>
              <w:t>.</w:t>
            </w:r>
          </w:p>
        </w:tc>
        <w:tc>
          <w:tcPr>
            <w:tcW w:w="2835" w:type="dxa"/>
            <w:shd w:val="clear" w:color="auto" w:fill="auto"/>
            <w:vAlign w:val="center"/>
          </w:tcPr>
          <w:p w:rsidR="00385835" w:rsidRPr="002C08FA" w:rsidRDefault="00385835" w:rsidP="00385835">
            <w:pPr>
              <w:widowControl w:val="0"/>
              <w:tabs>
                <w:tab w:val="left" w:pos="622"/>
              </w:tabs>
              <w:spacing w:after="0" w:line="240" w:lineRule="auto"/>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Įgyvendintos darnaus judumo priemonės</w:t>
            </w:r>
          </w:p>
        </w:tc>
        <w:tc>
          <w:tcPr>
            <w:tcW w:w="1134"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Skaičius</w:t>
            </w:r>
          </w:p>
        </w:tc>
        <w:tc>
          <w:tcPr>
            <w:tcW w:w="851"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ERPF</w:t>
            </w:r>
          </w:p>
        </w:tc>
        <w:tc>
          <w:tcPr>
            <w:tcW w:w="1134" w:type="dxa"/>
            <w:shd w:val="clear" w:color="auto" w:fill="auto"/>
            <w:vAlign w:val="center"/>
          </w:tcPr>
          <w:p w:rsidR="00385835" w:rsidRPr="002C08FA" w:rsidRDefault="00385835" w:rsidP="00385835">
            <w:pPr>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Mažiau išsivystęs</w:t>
            </w:r>
          </w:p>
        </w:tc>
        <w:tc>
          <w:tcPr>
            <w:tcW w:w="850" w:type="dxa"/>
            <w:shd w:val="clear" w:color="auto" w:fill="auto"/>
            <w:vAlign w:val="center"/>
          </w:tcPr>
          <w:p w:rsidR="00385835" w:rsidRPr="002C08FA" w:rsidRDefault="00385835" w:rsidP="00385835">
            <w:pPr>
              <w:spacing w:after="0" w:line="240" w:lineRule="auto"/>
              <w:jc w:val="center"/>
              <w:rPr>
                <w:rFonts w:ascii="Times New Roman" w:hAnsi="Times New Roman"/>
                <w:sz w:val="18"/>
                <w:szCs w:val="18"/>
              </w:rPr>
            </w:pPr>
            <w:r w:rsidRPr="002C08FA">
              <w:rPr>
                <w:rFonts w:ascii="Times New Roman" w:hAnsi="Times New Roman"/>
                <w:sz w:val="18"/>
                <w:szCs w:val="18"/>
              </w:rPr>
              <w:t>10</w:t>
            </w:r>
          </w:p>
        </w:tc>
        <w:tc>
          <w:tcPr>
            <w:tcW w:w="1134"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Duomenys iš projektų</w:t>
            </w:r>
          </w:p>
        </w:tc>
        <w:tc>
          <w:tcPr>
            <w:tcW w:w="1241"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Kartą per metus</w:t>
            </w:r>
          </w:p>
        </w:tc>
      </w:tr>
      <w:tr w:rsidR="00385835" w:rsidRPr="00385835" w:rsidTr="00385835">
        <w:tblPrEx>
          <w:shd w:val="clear" w:color="auto" w:fill="auto"/>
        </w:tblPrEx>
        <w:tc>
          <w:tcPr>
            <w:tcW w:w="567" w:type="dxa"/>
            <w:shd w:val="clear" w:color="auto" w:fill="auto"/>
            <w:vAlign w:val="center"/>
          </w:tcPr>
          <w:p w:rsidR="00385835" w:rsidRPr="002C08FA" w:rsidRDefault="00790A90"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4</w:t>
            </w:r>
            <w:r w:rsidR="00385835" w:rsidRPr="002C08FA">
              <w:rPr>
                <w:rFonts w:ascii="Times New Roman" w:eastAsia="AngsanaUPC" w:hAnsi="Times New Roman"/>
                <w:bCs/>
                <w:iCs/>
                <w:sz w:val="18"/>
                <w:szCs w:val="18"/>
                <w:lang w:eastAsia="lt-LT"/>
              </w:rPr>
              <w:t>.</w:t>
            </w:r>
          </w:p>
        </w:tc>
        <w:tc>
          <w:tcPr>
            <w:tcW w:w="2835" w:type="dxa"/>
            <w:shd w:val="clear" w:color="auto" w:fill="auto"/>
            <w:vAlign w:val="center"/>
          </w:tcPr>
          <w:p w:rsidR="00385835" w:rsidRPr="002C08FA" w:rsidRDefault="00385835" w:rsidP="00385835">
            <w:pPr>
              <w:widowControl w:val="0"/>
              <w:tabs>
                <w:tab w:val="left" w:pos="622"/>
              </w:tabs>
              <w:spacing w:after="0" w:line="240" w:lineRule="auto"/>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 xml:space="preserve">Įdiegtos intelektinės </w:t>
            </w:r>
            <w:r w:rsidR="00B1361B" w:rsidRPr="002C08FA">
              <w:rPr>
                <w:rFonts w:ascii="Times New Roman" w:eastAsia="AngsanaUPC" w:hAnsi="Times New Roman"/>
                <w:bCs/>
                <w:iCs/>
                <w:sz w:val="18"/>
                <w:szCs w:val="18"/>
                <w:lang w:eastAsia="lt-LT"/>
              </w:rPr>
              <w:t xml:space="preserve">transporto </w:t>
            </w:r>
            <w:r w:rsidRPr="002C08FA">
              <w:rPr>
                <w:rFonts w:ascii="Times New Roman" w:eastAsia="AngsanaUPC" w:hAnsi="Times New Roman"/>
                <w:bCs/>
                <w:iCs/>
                <w:sz w:val="18"/>
                <w:szCs w:val="18"/>
                <w:lang w:eastAsia="lt-LT"/>
              </w:rPr>
              <w:t>sistemos</w:t>
            </w:r>
          </w:p>
        </w:tc>
        <w:tc>
          <w:tcPr>
            <w:tcW w:w="1134"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Skaičius</w:t>
            </w:r>
          </w:p>
        </w:tc>
        <w:tc>
          <w:tcPr>
            <w:tcW w:w="851"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ERPF</w:t>
            </w:r>
          </w:p>
        </w:tc>
        <w:tc>
          <w:tcPr>
            <w:tcW w:w="1134" w:type="dxa"/>
            <w:shd w:val="clear" w:color="auto" w:fill="auto"/>
            <w:vAlign w:val="center"/>
          </w:tcPr>
          <w:p w:rsidR="00385835" w:rsidRPr="002C08FA" w:rsidRDefault="00385835" w:rsidP="00385835">
            <w:pPr>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Mažiau išsivystęs</w:t>
            </w:r>
          </w:p>
        </w:tc>
        <w:tc>
          <w:tcPr>
            <w:tcW w:w="850" w:type="dxa"/>
            <w:shd w:val="clear" w:color="auto" w:fill="auto"/>
            <w:vAlign w:val="center"/>
          </w:tcPr>
          <w:p w:rsidR="00385835" w:rsidRPr="002C08FA" w:rsidRDefault="00385835" w:rsidP="00385835">
            <w:pPr>
              <w:spacing w:after="0" w:line="240" w:lineRule="auto"/>
              <w:jc w:val="center"/>
              <w:rPr>
                <w:rFonts w:ascii="Times New Roman" w:hAnsi="Times New Roman"/>
                <w:sz w:val="18"/>
                <w:szCs w:val="18"/>
              </w:rPr>
            </w:pPr>
            <w:r w:rsidRPr="002C08FA">
              <w:rPr>
                <w:rFonts w:ascii="Times New Roman" w:hAnsi="Times New Roman"/>
                <w:sz w:val="18"/>
                <w:szCs w:val="18"/>
              </w:rPr>
              <w:t>5</w:t>
            </w:r>
          </w:p>
        </w:tc>
        <w:tc>
          <w:tcPr>
            <w:tcW w:w="1134"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Duomenys iš projektų</w:t>
            </w:r>
          </w:p>
        </w:tc>
        <w:tc>
          <w:tcPr>
            <w:tcW w:w="1241"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Kartą per metus</w:t>
            </w:r>
          </w:p>
        </w:tc>
      </w:tr>
      <w:tr w:rsidR="00385835" w:rsidRPr="00385835" w:rsidTr="00385835">
        <w:tblPrEx>
          <w:shd w:val="clear" w:color="auto" w:fill="auto"/>
        </w:tblPrEx>
        <w:tc>
          <w:tcPr>
            <w:tcW w:w="567" w:type="dxa"/>
            <w:shd w:val="clear" w:color="auto" w:fill="auto"/>
            <w:vAlign w:val="center"/>
          </w:tcPr>
          <w:p w:rsidR="00385835" w:rsidRPr="002C08FA" w:rsidRDefault="00790A90"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5</w:t>
            </w:r>
            <w:r w:rsidR="00385835" w:rsidRPr="002C08FA">
              <w:rPr>
                <w:rFonts w:ascii="Times New Roman" w:eastAsia="AngsanaUPC" w:hAnsi="Times New Roman"/>
                <w:bCs/>
                <w:iCs/>
                <w:sz w:val="18"/>
                <w:szCs w:val="18"/>
                <w:lang w:eastAsia="lt-LT"/>
              </w:rPr>
              <w:t>.</w:t>
            </w:r>
          </w:p>
        </w:tc>
        <w:tc>
          <w:tcPr>
            <w:tcW w:w="2835" w:type="dxa"/>
            <w:shd w:val="clear" w:color="auto" w:fill="auto"/>
            <w:vAlign w:val="center"/>
          </w:tcPr>
          <w:p w:rsidR="00385835" w:rsidRPr="002C08FA" w:rsidRDefault="00385835" w:rsidP="00385835">
            <w:pPr>
              <w:widowControl w:val="0"/>
              <w:tabs>
                <w:tab w:val="left" w:pos="622"/>
              </w:tabs>
              <w:spacing w:after="0" w:line="240" w:lineRule="auto"/>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 xml:space="preserve">Įsigytos naujos ekologiškos viešojo transporto priemonės </w:t>
            </w:r>
          </w:p>
        </w:tc>
        <w:tc>
          <w:tcPr>
            <w:tcW w:w="1134"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Skaičius</w:t>
            </w:r>
          </w:p>
        </w:tc>
        <w:tc>
          <w:tcPr>
            <w:tcW w:w="851"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SaF</w:t>
            </w:r>
          </w:p>
        </w:tc>
        <w:tc>
          <w:tcPr>
            <w:tcW w:w="1134" w:type="dxa"/>
            <w:shd w:val="clear" w:color="auto" w:fill="auto"/>
            <w:vAlign w:val="center"/>
          </w:tcPr>
          <w:p w:rsidR="00385835" w:rsidRPr="002C08FA" w:rsidRDefault="00515A37" w:rsidP="00385835">
            <w:pPr>
              <w:spacing w:after="0" w:line="240" w:lineRule="auto"/>
              <w:jc w:val="center"/>
              <w:rPr>
                <w:sz w:val="18"/>
                <w:szCs w:val="18"/>
              </w:rPr>
            </w:pPr>
            <w:r w:rsidRPr="002C08FA">
              <w:rPr>
                <w:rFonts w:ascii="Times New Roman" w:eastAsia="AngsanaUPC" w:hAnsi="Times New Roman"/>
                <w:bCs/>
                <w:sz w:val="18"/>
                <w:szCs w:val="18"/>
                <w:lang w:eastAsia="lt-LT"/>
              </w:rPr>
              <w:t>–</w:t>
            </w:r>
          </w:p>
        </w:tc>
        <w:tc>
          <w:tcPr>
            <w:tcW w:w="850" w:type="dxa"/>
            <w:shd w:val="clear" w:color="auto" w:fill="auto"/>
            <w:vAlign w:val="center"/>
          </w:tcPr>
          <w:p w:rsidR="00385835" w:rsidRPr="002C08FA" w:rsidRDefault="00385835" w:rsidP="00385835">
            <w:pPr>
              <w:spacing w:after="0" w:line="240" w:lineRule="auto"/>
              <w:jc w:val="center"/>
              <w:rPr>
                <w:rFonts w:ascii="Times New Roman" w:hAnsi="Times New Roman"/>
                <w:sz w:val="18"/>
                <w:szCs w:val="18"/>
              </w:rPr>
            </w:pPr>
            <w:r w:rsidRPr="002C08FA">
              <w:rPr>
                <w:rFonts w:ascii="Times New Roman" w:hAnsi="Times New Roman"/>
                <w:sz w:val="18"/>
                <w:szCs w:val="18"/>
              </w:rPr>
              <w:t>120</w:t>
            </w:r>
          </w:p>
        </w:tc>
        <w:tc>
          <w:tcPr>
            <w:tcW w:w="1134"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Duomenys iš projektų</w:t>
            </w:r>
          </w:p>
        </w:tc>
        <w:tc>
          <w:tcPr>
            <w:tcW w:w="1241"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Kartą per metus</w:t>
            </w:r>
          </w:p>
        </w:tc>
      </w:tr>
      <w:tr w:rsidR="00790A90" w:rsidRPr="00385835" w:rsidTr="00385835">
        <w:tblPrEx>
          <w:shd w:val="clear" w:color="auto" w:fill="auto"/>
        </w:tblPrEx>
        <w:tc>
          <w:tcPr>
            <w:tcW w:w="567" w:type="dxa"/>
            <w:shd w:val="clear" w:color="auto" w:fill="auto"/>
            <w:vAlign w:val="center"/>
          </w:tcPr>
          <w:p w:rsidR="00790A90" w:rsidRPr="002C08FA" w:rsidRDefault="00790A90"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 xml:space="preserve">6. </w:t>
            </w:r>
          </w:p>
        </w:tc>
        <w:tc>
          <w:tcPr>
            <w:tcW w:w="2835" w:type="dxa"/>
            <w:shd w:val="clear" w:color="auto" w:fill="auto"/>
            <w:vAlign w:val="center"/>
          </w:tcPr>
          <w:p w:rsidR="00790A90" w:rsidRPr="002C08FA" w:rsidRDefault="00790A90" w:rsidP="00790A90">
            <w:pPr>
              <w:widowControl w:val="0"/>
              <w:tabs>
                <w:tab w:val="left" w:pos="622"/>
              </w:tabs>
              <w:spacing w:after="0" w:line="240" w:lineRule="auto"/>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Kitos formos nei subsidija finansinę paramą gaunančių įmonių skaičius</w:t>
            </w:r>
          </w:p>
        </w:tc>
        <w:tc>
          <w:tcPr>
            <w:tcW w:w="1134" w:type="dxa"/>
            <w:shd w:val="clear" w:color="auto" w:fill="auto"/>
            <w:vAlign w:val="center"/>
          </w:tcPr>
          <w:p w:rsidR="00790A90" w:rsidRPr="002C08FA" w:rsidRDefault="00790A90" w:rsidP="00790A90">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Įmonės</w:t>
            </w:r>
          </w:p>
        </w:tc>
        <w:tc>
          <w:tcPr>
            <w:tcW w:w="851" w:type="dxa"/>
            <w:shd w:val="clear" w:color="auto" w:fill="auto"/>
            <w:vAlign w:val="center"/>
          </w:tcPr>
          <w:p w:rsidR="00790A90" w:rsidRPr="002C08FA" w:rsidRDefault="00790A90" w:rsidP="00790A90">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hAnsi="Times New Roman"/>
                <w:sz w:val="18"/>
                <w:szCs w:val="18"/>
              </w:rPr>
              <w:t>SaF</w:t>
            </w:r>
          </w:p>
        </w:tc>
        <w:tc>
          <w:tcPr>
            <w:tcW w:w="1134" w:type="dxa"/>
            <w:shd w:val="clear" w:color="auto" w:fill="auto"/>
            <w:vAlign w:val="center"/>
          </w:tcPr>
          <w:p w:rsidR="00790A90" w:rsidRPr="002C08FA" w:rsidRDefault="00790A90" w:rsidP="00790A90">
            <w:pPr>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Mažiau išsivystęs</w:t>
            </w:r>
          </w:p>
        </w:tc>
        <w:tc>
          <w:tcPr>
            <w:tcW w:w="850" w:type="dxa"/>
            <w:shd w:val="clear" w:color="auto" w:fill="auto"/>
            <w:vAlign w:val="center"/>
          </w:tcPr>
          <w:p w:rsidR="00790A90" w:rsidRPr="002C08FA" w:rsidRDefault="00790A90" w:rsidP="00790A90">
            <w:pPr>
              <w:spacing w:after="0" w:line="240" w:lineRule="auto"/>
              <w:jc w:val="center"/>
              <w:rPr>
                <w:rFonts w:ascii="Times New Roman" w:hAnsi="Times New Roman"/>
                <w:sz w:val="18"/>
                <w:szCs w:val="18"/>
              </w:rPr>
            </w:pPr>
            <w:r w:rsidRPr="002C08FA">
              <w:rPr>
                <w:rFonts w:ascii="Times New Roman" w:hAnsi="Times New Roman"/>
                <w:sz w:val="18"/>
                <w:szCs w:val="18"/>
              </w:rPr>
              <w:t>4</w:t>
            </w:r>
          </w:p>
        </w:tc>
        <w:tc>
          <w:tcPr>
            <w:tcW w:w="1134" w:type="dxa"/>
            <w:shd w:val="clear" w:color="auto" w:fill="auto"/>
            <w:vAlign w:val="center"/>
          </w:tcPr>
          <w:p w:rsidR="00790A90" w:rsidRPr="002C08FA" w:rsidRDefault="00790A90" w:rsidP="00790A90">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Duomenys iš projektų</w:t>
            </w:r>
          </w:p>
        </w:tc>
        <w:tc>
          <w:tcPr>
            <w:tcW w:w="1241" w:type="dxa"/>
            <w:shd w:val="clear" w:color="auto" w:fill="auto"/>
            <w:vAlign w:val="center"/>
          </w:tcPr>
          <w:p w:rsidR="00790A90" w:rsidRPr="002C08FA" w:rsidRDefault="00790A90" w:rsidP="00790A90">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Kartą per metus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746"/>
      </w:tblGrid>
      <w:tr w:rsidR="00385835" w:rsidRPr="00385835" w:rsidTr="00385835">
        <w:tc>
          <w:tcPr>
            <w:tcW w:w="9746"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i/>
                <w:iCs/>
                <w:sz w:val="24"/>
                <w:szCs w:val="24"/>
                <w:lang w:eastAsia="lt-LT"/>
              </w:rPr>
              <w:t>Projektų</w:t>
            </w:r>
            <w:r w:rsidR="00E25536">
              <w:rPr>
                <w:rFonts w:ascii="Times New Roman" w:eastAsia="AngsanaUPC" w:hAnsi="Times New Roman"/>
                <w:b/>
                <w:bCs/>
                <w:i/>
                <w:iCs/>
                <w:sz w:val="24"/>
                <w:szCs w:val="24"/>
                <w:lang w:eastAsia="lt-LT"/>
              </w:rPr>
              <w:t xml:space="preserve"> </w:t>
            </w:r>
            <w:r w:rsidRPr="00385835">
              <w:rPr>
                <w:rFonts w:ascii="Times New Roman" w:eastAsia="AngsanaUPC" w:hAnsi="Times New Roman"/>
                <w:b/>
                <w:bCs/>
                <w:i/>
                <w:iCs/>
                <w:sz w:val="24"/>
                <w:szCs w:val="24"/>
                <w:lang w:eastAsia="lt-LT"/>
              </w:rPr>
              <w:t>/</w:t>
            </w:r>
            <w:r w:rsidR="00E25536">
              <w:rPr>
                <w:rFonts w:ascii="Times New Roman" w:eastAsia="AngsanaUPC" w:hAnsi="Times New Roman"/>
                <w:b/>
                <w:bCs/>
                <w:i/>
                <w:iCs/>
                <w:sz w:val="24"/>
                <w:szCs w:val="24"/>
                <w:lang w:eastAsia="lt-LT"/>
              </w:rPr>
              <w:t xml:space="preserve"> </w:t>
            </w:r>
            <w:r w:rsidRPr="00385835">
              <w:rPr>
                <w:rFonts w:ascii="Times New Roman" w:eastAsia="AngsanaUPC" w:hAnsi="Times New Roman"/>
                <w:b/>
                <w:bCs/>
                <w:i/>
                <w:iCs/>
                <w:sz w:val="24"/>
                <w:szCs w:val="24"/>
                <w:lang w:eastAsia="lt-LT"/>
              </w:rPr>
              <w:t>veiksmų atrankos principai</w:t>
            </w:r>
          </w:p>
        </w:tc>
      </w:tr>
      <w:tr w:rsidR="00385835" w:rsidRPr="00385835" w:rsidTr="00385835">
        <w:tc>
          <w:tcPr>
            <w:tcW w:w="9746" w:type="dxa"/>
            <w:shd w:val="clear" w:color="auto" w:fill="auto"/>
          </w:tcPr>
          <w:p w:rsidR="00385835" w:rsidRPr="00385835" w:rsidRDefault="00385835" w:rsidP="00385835">
            <w:pPr>
              <w:widowControl w:val="0"/>
              <w:tabs>
                <w:tab w:val="left" w:pos="622"/>
              </w:tabs>
              <w:spacing w:after="0" w:line="240" w:lineRule="auto"/>
              <w:ind w:firstLine="624"/>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Atrenkant projektus bus laikomasi šių pagrindinių principų:</w:t>
            </w:r>
          </w:p>
          <w:p w:rsidR="001A61F5" w:rsidRPr="002C08FA" w:rsidRDefault="00385835" w:rsidP="00650E41">
            <w:pPr>
              <w:widowControl w:val="0"/>
              <w:numPr>
                <w:ilvl w:val="0"/>
                <w:numId w:val="70"/>
              </w:numPr>
              <w:tabs>
                <w:tab w:val="left" w:pos="622"/>
              </w:tabs>
              <w:spacing w:after="0" w:line="240" w:lineRule="auto"/>
              <w:ind w:left="34" w:firstLine="0"/>
              <w:jc w:val="both"/>
              <w:rPr>
                <w:rFonts w:ascii="Times New Roman" w:eastAsia="AngsanaUPC" w:hAnsi="Times New Roman"/>
                <w:bCs/>
                <w:iCs/>
                <w:sz w:val="24"/>
                <w:szCs w:val="24"/>
                <w:lang w:eastAsia="lt-LT"/>
              </w:rPr>
            </w:pPr>
            <w:r w:rsidRPr="001A61F5">
              <w:rPr>
                <w:rFonts w:ascii="Times New Roman" w:eastAsia="AngsanaUPC" w:hAnsi="Times New Roman"/>
                <w:bCs/>
                <w:iCs/>
                <w:sz w:val="24"/>
                <w:szCs w:val="24"/>
                <w:lang w:eastAsia="lt-LT"/>
              </w:rPr>
              <w:t xml:space="preserve">Teikdama Fondų finansavimą didelėms įmonėms, vadovaujančioji institucija užtikrins, kad šis finansavimas neturės įtakos reikšmingam darbo vietų mažėjimui kitose </w:t>
            </w:r>
            <w:r w:rsidR="0009707F" w:rsidRPr="001A61F5">
              <w:rPr>
                <w:rFonts w:ascii="Times New Roman" w:eastAsia="AngsanaUPC" w:hAnsi="Times New Roman"/>
                <w:bCs/>
                <w:iCs/>
                <w:sz w:val="24"/>
                <w:szCs w:val="24"/>
                <w:lang w:eastAsia="lt-LT"/>
              </w:rPr>
              <w:t>ES</w:t>
            </w:r>
            <w:r w:rsidRPr="001A61F5">
              <w:rPr>
                <w:rFonts w:ascii="Times New Roman" w:eastAsia="AngsanaUPC" w:hAnsi="Times New Roman"/>
                <w:bCs/>
                <w:iCs/>
                <w:sz w:val="24"/>
                <w:szCs w:val="24"/>
                <w:lang w:eastAsia="lt-LT"/>
              </w:rPr>
              <w:t xml:space="preserve"> esančiose gyvenamosiose vietovėse. Taip pat atrenkant projektus bus atsižvelgiama ir jų indėlį klimato </w:t>
            </w:r>
            <w:r w:rsidRPr="002C08FA">
              <w:rPr>
                <w:rFonts w:ascii="Times New Roman" w:eastAsia="AngsanaUPC" w:hAnsi="Times New Roman"/>
                <w:bCs/>
                <w:iCs/>
                <w:sz w:val="24"/>
                <w:szCs w:val="24"/>
                <w:lang w:eastAsia="lt-LT"/>
              </w:rPr>
              <w:t>kaitos mažinimui bei galimybes</w:t>
            </w:r>
            <w:r w:rsidR="001E0FD8" w:rsidRPr="002C08FA">
              <w:rPr>
                <w:rFonts w:ascii="Times New Roman" w:eastAsia="AngsanaUPC" w:hAnsi="Times New Roman"/>
                <w:bCs/>
                <w:iCs/>
                <w:sz w:val="24"/>
                <w:szCs w:val="24"/>
                <w:lang w:eastAsia="lt-LT"/>
              </w:rPr>
              <w:t xml:space="preserve"> panaudoti</w:t>
            </w:r>
            <w:r w:rsidRPr="002C08FA">
              <w:rPr>
                <w:rFonts w:ascii="Times New Roman" w:eastAsia="AngsanaUPC" w:hAnsi="Times New Roman"/>
                <w:bCs/>
                <w:iCs/>
                <w:sz w:val="24"/>
                <w:szCs w:val="24"/>
                <w:lang w:eastAsia="lt-LT"/>
              </w:rPr>
              <w:t xml:space="preserve"> </w:t>
            </w:r>
            <w:r w:rsidR="001E0FD8" w:rsidRPr="002C08FA">
              <w:rPr>
                <w:rFonts w:ascii="Times New Roman" w:eastAsia="AngsanaUPC" w:hAnsi="Times New Roman"/>
                <w:bCs/>
                <w:iCs/>
                <w:sz w:val="24"/>
                <w:szCs w:val="24"/>
                <w:lang w:eastAsia="lt-LT"/>
              </w:rPr>
              <w:t>inovatyvias finansines priemones</w:t>
            </w:r>
            <w:r w:rsidRPr="002C08FA">
              <w:rPr>
                <w:rFonts w:ascii="Times New Roman" w:eastAsia="AngsanaUPC" w:hAnsi="Times New Roman"/>
                <w:bCs/>
                <w:iCs/>
                <w:sz w:val="24"/>
                <w:szCs w:val="24"/>
                <w:lang w:eastAsia="lt-LT"/>
              </w:rPr>
              <w:t>.</w:t>
            </w:r>
          </w:p>
          <w:p w:rsidR="00E25536" w:rsidRPr="002C08FA" w:rsidRDefault="00385835" w:rsidP="00650E41">
            <w:pPr>
              <w:widowControl w:val="0"/>
              <w:numPr>
                <w:ilvl w:val="0"/>
                <w:numId w:val="70"/>
              </w:numPr>
              <w:tabs>
                <w:tab w:val="left" w:pos="622"/>
              </w:tabs>
              <w:spacing w:after="0" w:line="240" w:lineRule="auto"/>
              <w:ind w:left="34" w:firstLine="0"/>
              <w:jc w:val="both"/>
              <w:rPr>
                <w:rFonts w:ascii="Times New Roman" w:eastAsia="AngsanaUPC" w:hAnsi="Times New Roman"/>
                <w:bCs/>
                <w:iCs/>
                <w:sz w:val="24"/>
                <w:szCs w:val="24"/>
                <w:lang w:eastAsia="lt-LT"/>
              </w:rPr>
            </w:pPr>
            <w:r w:rsidRPr="002C08FA">
              <w:rPr>
                <w:rFonts w:ascii="Times New Roman" w:eastAsia="AngsanaUPC" w:hAnsi="Times New Roman"/>
                <w:bCs/>
                <w:iCs/>
                <w:sz w:val="24"/>
                <w:szCs w:val="24"/>
                <w:lang w:eastAsia="lt-LT"/>
              </w:rPr>
              <w:t xml:space="preserve">Veiksmų programos 4.1. investicinį prioritetą įgyvendinantys projektai bus atrenkami konkurso būdu ir valstybės projektų planavimo būdu (tiesiogiai skiriant subsidiją). </w:t>
            </w:r>
          </w:p>
          <w:p w:rsidR="001A61F5" w:rsidRPr="00E25536" w:rsidRDefault="00385835" w:rsidP="00650E41">
            <w:pPr>
              <w:widowControl w:val="0"/>
              <w:numPr>
                <w:ilvl w:val="0"/>
                <w:numId w:val="70"/>
              </w:numPr>
              <w:tabs>
                <w:tab w:val="left" w:pos="622"/>
              </w:tabs>
              <w:spacing w:after="0" w:line="240" w:lineRule="auto"/>
              <w:ind w:left="34" w:firstLine="0"/>
              <w:jc w:val="both"/>
              <w:rPr>
                <w:rFonts w:ascii="Times New Roman" w:eastAsia="AngsanaUPC" w:hAnsi="Times New Roman"/>
                <w:bCs/>
                <w:iCs/>
                <w:sz w:val="24"/>
                <w:szCs w:val="24"/>
                <w:lang w:eastAsia="lt-LT"/>
              </w:rPr>
            </w:pPr>
            <w:r w:rsidRPr="002C08FA">
              <w:rPr>
                <w:rFonts w:ascii="Times New Roman" w:eastAsia="AngsanaUPC" w:hAnsi="Times New Roman"/>
                <w:bCs/>
                <w:iCs/>
                <w:sz w:val="24"/>
                <w:szCs w:val="24"/>
                <w:lang w:eastAsia="lt-LT"/>
              </w:rPr>
              <w:t>Veiksmų programos 4.2. investicinį prioritetą įgyvendinantys projekt</w:t>
            </w:r>
            <w:r w:rsidR="00DC742A" w:rsidRPr="002C08FA">
              <w:rPr>
                <w:rFonts w:ascii="Times New Roman" w:eastAsia="AngsanaUPC" w:hAnsi="Times New Roman"/>
                <w:bCs/>
                <w:iCs/>
                <w:sz w:val="24"/>
                <w:szCs w:val="24"/>
                <w:lang w:eastAsia="lt-LT"/>
              </w:rPr>
              <w:t>ai bus</w:t>
            </w:r>
            <w:r w:rsidR="00DC742A" w:rsidRPr="00E25536">
              <w:rPr>
                <w:rFonts w:ascii="Times New Roman" w:eastAsia="AngsanaUPC" w:hAnsi="Times New Roman"/>
                <w:bCs/>
                <w:iCs/>
                <w:sz w:val="24"/>
                <w:szCs w:val="24"/>
                <w:lang w:eastAsia="lt-LT"/>
              </w:rPr>
              <w:t xml:space="preserve"> atrenkami konkurso būdu.</w:t>
            </w:r>
          </w:p>
          <w:p w:rsidR="001A61F5" w:rsidRDefault="00385835" w:rsidP="00650E41">
            <w:pPr>
              <w:widowControl w:val="0"/>
              <w:numPr>
                <w:ilvl w:val="0"/>
                <w:numId w:val="70"/>
              </w:numPr>
              <w:tabs>
                <w:tab w:val="left" w:pos="622"/>
              </w:tabs>
              <w:spacing w:after="0" w:line="240" w:lineRule="auto"/>
              <w:ind w:left="34" w:firstLine="0"/>
              <w:jc w:val="both"/>
              <w:rPr>
                <w:rFonts w:ascii="Times New Roman" w:eastAsia="AngsanaUPC" w:hAnsi="Times New Roman"/>
                <w:bCs/>
                <w:iCs/>
                <w:sz w:val="24"/>
                <w:szCs w:val="24"/>
                <w:lang w:eastAsia="lt-LT"/>
              </w:rPr>
            </w:pPr>
            <w:r w:rsidRPr="001A61F5">
              <w:rPr>
                <w:rFonts w:ascii="Times New Roman" w:eastAsia="AngsanaUPC" w:hAnsi="Times New Roman"/>
                <w:bCs/>
                <w:iCs/>
                <w:sz w:val="24"/>
                <w:szCs w:val="24"/>
                <w:lang w:eastAsia="lt-LT"/>
              </w:rPr>
              <w:t>Veiksmų programos 4.3. investicinį prioritetą įgyvendinantys projektai bus atrenkami konkurso būdu ir valstybės projektų planavimo būdu (tiesiogiai skiriant subsidiją). Jeigu konkrečiam projektui subsidijos skiriamos tiesiogiai, ši procedūra atitiks sąlygas, nustatytas Bendrųjų nuostatų reglamento 125.3 str. (a) dalyje (ii) punkte. Subsidijų skyrimo procedūra bus nediskriminuojanti ir skaidri.</w:t>
            </w:r>
          </w:p>
          <w:p w:rsidR="001A61F5" w:rsidRDefault="00385835" w:rsidP="00650E41">
            <w:pPr>
              <w:widowControl w:val="0"/>
              <w:numPr>
                <w:ilvl w:val="0"/>
                <w:numId w:val="70"/>
              </w:numPr>
              <w:tabs>
                <w:tab w:val="left" w:pos="622"/>
              </w:tabs>
              <w:spacing w:after="0" w:line="240" w:lineRule="auto"/>
              <w:ind w:left="34" w:firstLine="0"/>
              <w:jc w:val="both"/>
              <w:rPr>
                <w:rFonts w:ascii="Times New Roman" w:eastAsia="AngsanaUPC" w:hAnsi="Times New Roman"/>
                <w:bCs/>
                <w:iCs/>
                <w:sz w:val="24"/>
                <w:szCs w:val="24"/>
                <w:lang w:eastAsia="lt-LT"/>
              </w:rPr>
            </w:pPr>
            <w:r w:rsidRPr="001A61F5">
              <w:rPr>
                <w:rFonts w:ascii="Times New Roman" w:eastAsia="AngsanaUPC" w:hAnsi="Times New Roman"/>
                <w:bCs/>
                <w:iCs/>
                <w:sz w:val="24"/>
                <w:szCs w:val="24"/>
                <w:lang w:eastAsia="lt-LT"/>
              </w:rPr>
              <w:t xml:space="preserve">Pastatų renovacijai planuojama taikyti ir Sutarties dėl energijos vartojimo efektyvumo </w:t>
            </w:r>
            <w:proofErr w:type="gramStart"/>
            <w:r w:rsidRPr="001A61F5">
              <w:rPr>
                <w:rFonts w:ascii="Times New Roman" w:eastAsia="AngsanaUPC" w:hAnsi="Times New Roman"/>
                <w:bCs/>
                <w:iCs/>
                <w:sz w:val="24"/>
                <w:szCs w:val="24"/>
                <w:lang w:eastAsia="lt-LT"/>
              </w:rPr>
              <w:t>(</w:t>
            </w:r>
            <w:proofErr w:type="gramEnd"/>
            <w:r w:rsidRPr="001A61F5">
              <w:rPr>
                <w:rFonts w:ascii="Times New Roman" w:eastAsia="AngsanaUPC" w:hAnsi="Times New Roman"/>
                <w:bCs/>
                <w:iCs/>
                <w:sz w:val="24"/>
                <w:szCs w:val="24"/>
                <w:lang w:eastAsia="lt-LT"/>
              </w:rPr>
              <w:t xml:space="preserve">angl. </w:t>
            </w:r>
            <w:r w:rsidRPr="001A61F5">
              <w:rPr>
                <w:rFonts w:ascii="Times New Roman" w:eastAsia="AngsanaUPC" w:hAnsi="Times New Roman"/>
                <w:bCs/>
                <w:i/>
                <w:iCs/>
                <w:sz w:val="24"/>
                <w:szCs w:val="24"/>
                <w:lang w:eastAsia="lt-LT"/>
              </w:rPr>
              <w:t>Energy Performance Contracting, EPC</w:t>
            </w:r>
            <w:r w:rsidRPr="001A61F5">
              <w:rPr>
                <w:rFonts w:ascii="Times New Roman" w:eastAsia="AngsanaUPC" w:hAnsi="Times New Roman"/>
                <w:bCs/>
                <w:iCs/>
                <w:sz w:val="24"/>
                <w:szCs w:val="24"/>
                <w:lang w:eastAsia="lt-LT"/>
              </w:rPr>
              <w:t>) modelį, kuris leidžia pasiekti gerų energijos taupymo rezultatų.</w:t>
            </w:r>
          </w:p>
          <w:p w:rsidR="001A61F5" w:rsidRDefault="00385835" w:rsidP="00650E41">
            <w:pPr>
              <w:widowControl w:val="0"/>
              <w:numPr>
                <w:ilvl w:val="0"/>
                <w:numId w:val="70"/>
              </w:numPr>
              <w:tabs>
                <w:tab w:val="left" w:pos="622"/>
              </w:tabs>
              <w:spacing w:after="0" w:line="240" w:lineRule="auto"/>
              <w:ind w:left="34" w:firstLine="0"/>
              <w:jc w:val="both"/>
              <w:rPr>
                <w:rFonts w:ascii="Times New Roman" w:eastAsia="AngsanaUPC" w:hAnsi="Times New Roman"/>
                <w:bCs/>
                <w:iCs/>
                <w:sz w:val="24"/>
                <w:szCs w:val="24"/>
                <w:lang w:eastAsia="lt-LT"/>
              </w:rPr>
            </w:pPr>
            <w:r w:rsidRPr="001A61F5">
              <w:rPr>
                <w:rFonts w:ascii="Times New Roman" w:eastAsia="AngsanaUPC" w:hAnsi="Times New Roman"/>
                <w:bCs/>
                <w:iCs/>
                <w:sz w:val="24"/>
                <w:szCs w:val="24"/>
                <w:lang w:eastAsia="lt-LT"/>
              </w:rPr>
              <w:t>Įgyvendinant energijos efektyvumo didinimo namų ūkiuose priemones, kai galutiniai naudos gavėjai yra fiziniai asmenys, sukurtas įgyvendinimo mec</w:t>
            </w:r>
            <w:r w:rsidR="00DC742A" w:rsidRPr="001A61F5">
              <w:rPr>
                <w:rFonts w:ascii="Times New Roman" w:eastAsia="AngsanaUPC" w:hAnsi="Times New Roman"/>
                <w:bCs/>
                <w:iCs/>
                <w:sz w:val="24"/>
                <w:szCs w:val="24"/>
                <w:lang w:eastAsia="lt-LT"/>
              </w:rPr>
              <w:t>hanizmas užtikrins, kad atitiktų</w:t>
            </w:r>
            <w:r w:rsidRPr="001A61F5">
              <w:rPr>
                <w:rFonts w:ascii="Times New Roman" w:eastAsia="AngsanaUPC" w:hAnsi="Times New Roman"/>
                <w:bCs/>
                <w:iCs/>
                <w:sz w:val="24"/>
                <w:szCs w:val="24"/>
                <w:lang w:eastAsia="lt-LT"/>
              </w:rPr>
              <w:t xml:space="preserve"> Bendrųjų nuostatų reglamento 2</w:t>
            </w:r>
            <w:r w:rsidR="00DC742A" w:rsidRPr="001A61F5">
              <w:rPr>
                <w:rFonts w:ascii="Times New Roman" w:eastAsia="AngsanaUPC" w:hAnsi="Times New Roman"/>
                <w:bCs/>
                <w:iCs/>
                <w:sz w:val="24"/>
                <w:szCs w:val="24"/>
                <w:lang w:eastAsia="lt-LT"/>
              </w:rPr>
              <w:t xml:space="preserve"> straipsnio 10 dalyje nustatytą paramos gavėjo apibrėžimą</w:t>
            </w:r>
            <w:r w:rsidRPr="001A61F5">
              <w:rPr>
                <w:rFonts w:ascii="Times New Roman" w:eastAsia="AngsanaUPC" w:hAnsi="Times New Roman"/>
                <w:bCs/>
                <w:iCs/>
                <w:sz w:val="24"/>
                <w:szCs w:val="24"/>
                <w:lang w:eastAsia="lt-LT"/>
              </w:rPr>
              <w:t xml:space="preserve"> (t.</w:t>
            </w:r>
            <w:r w:rsidR="00C82C5E">
              <w:rPr>
                <w:rFonts w:ascii="Times New Roman" w:eastAsia="AngsanaUPC" w:hAnsi="Times New Roman"/>
                <w:bCs/>
                <w:iCs/>
                <w:sz w:val="24"/>
                <w:szCs w:val="24"/>
                <w:lang w:eastAsia="lt-LT"/>
              </w:rPr>
              <w:t xml:space="preserve"> </w:t>
            </w:r>
            <w:r w:rsidRPr="001A61F5">
              <w:rPr>
                <w:rFonts w:ascii="Times New Roman" w:eastAsia="AngsanaUPC" w:hAnsi="Times New Roman"/>
                <w:bCs/>
                <w:iCs/>
                <w:sz w:val="24"/>
                <w:szCs w:val="24"/>
                <w:lang w:eastAsia="lt-LT"/>
              </w:rPr>
              <w:t>y. paramos gavėjai bus valstybinės ar privačios įs</w:t>
            </w:r>
            <w:r w:rsidR="00DC742A" w:rsidRPr="001A61F5">
              <w:rPr>
                <w:rFonts w:ascii="Times New Roman" w:eastAsia="AngsanaUPC" w:hAnsi="Times New Roman"/>
                <w:bCs/>
                <w:iCs/>
                <w:sz w:val="24"/>
                <w:szCs w:val="24"/>
                <w:lang w:eastAsia="lt-LT"/>
              </w:rPr>
              <w:t>taigos, o ne fiziniai asmenys).</w:t>
            </w:r>
          </w:p>
          <w:p w:rsidR="001A61F5" w:rsidRDefault="00385835" w:rsidP="00650E41">
            <w:pPr>
              <w:widowControl w:val="0"/>
              <w:numPr>
                <w:ilvl w:val="0"/>
                <w:numId w:val="70"/>
              </w:numPr>
              <w:tabs>
                <w:tab w:val="left" w:pos="622"/>
              </w:tabs>
              <w:spacing w:after="0" w:line="240" w:lineRule="auto"/>
              <w:ind w:left="34" w:firstLine="0"/>
              <w:jc w:val="both"/>
              <w:rPr>
                <w:rFonts w:ascii="Times New Roman" w:eastAsia="AngsanaUPC" w:hAnsi="Times New Roman"/>
                <w:bCs/>
                <w:iCs/>
                <w:sz w:val="24"/>
                <w:szCs w:val="24"/>
                <w:lang w:eastAsia="lt-LT"/>
              </w:rPr>
            </w:pPr>
            <w:r w:rsidRPr="001A61F5">
              <w:rPr>
                <w:rFonts w:ascii="Times New Roman" w:eastAsia="AngsanaUPC" w:hAnsi="Times New Roman"/>
                <w:bCs/>
                <w:iCs/>
                <w:sz w:val="24"/>
                <w:szCs w:val="24"/>
                <w:lang w:eastAsia="lt-LT"/>
              </w:rPr>
              <w:t>Veiksmų programos 4.4. investicinį prioritetą įgyvendinantys projekt</w:t>
            </w:r>
            <w:r w:rsidR="00DC742A" w:rsidRPr="001A61F5">
              <w:rPr>
                <w:rFonts w:ascii="Times New Roman" w:eastAsia="AngsanaUPC" w:hAnsi="Times New Roman"/>
                <w:bCs/>
                <w:iCs/>
                <w:sz w:val="24"/>
                <w:szCs w:val="24"/>
                <w:lang w:eastAsia="lt-LT"/>
              </w:rPr>
              <w:t>ai bus atrenkami konkurso būdu.</w:t>
            </w:r>
          </w:p>
          <w:p w:rsidR="001A61F5" w:rsidRPr="001A61F5" w:rsidRDefault="00385835" w:rsidP="00650E41">
            <w:pPr>
              <w:widowControl w:val="0"/>
              <w:numPr>
                <w:ilvl w:val="0"/>
                <w:numId w:val="70"/>
              </w:numPr>
              <w:tabs>
                <w:tab w:val="left" w:pos="622"/>
              </w:tabs>
              <w:spacing w:after="0" w:line="240" w:lineRule="auto"/>
              <w:ind w:left="34" w:firstLine="0"/>
              <w:jc w:val="both"/>
              <w:rPr>
                <w:rFonts w:ascii="Times New Roman" w:eastAsia="AngsanaUPC" w:hAnsi="Times New Roman"/>
                <w:bCs/>
                <w:sz w:val="24"/>
                <w:szCs w:val="24"/>
                <w:lang w:eastAsia="lt-LT"/>
              </w:rPr>
            </w:pPr>
            <w:r w:rsidRPr="001A61F5">
              <w:rPr>
                <w:rFonts w:ascii="Times New Roman" w:eastAsia="AngsanaUPC" w:hAnsi="Times New Roman"/>
                <w:bCs/>
                <w:iCs/>
                <w:sz w:val="24"/>
                <w:szCs w:val="24"/>
                <w:lang w:eastAsia="lt-LT"/>
              </w:rPr>
              <w:t>Veiksmų programos 4.5. investicinį prioritetą įgyvendinantys projektai bus atrenkami valstybės projektų planavimo būdu (tiesiogiai skiriant subsidiją) ir regionų projektų planavimo būdu (tiesiogiai skiriant subsidiją). Regionų projektų planavimas – atrankos būdas, kai atrenkami projektai, skirti savivaldybės kompetencijai priskirtoms funkcijoms atlikti, kurie yra planuojami vadovaujantis Lietuvos Respublikos teisės aktais ir regiono plėtros planu.</w:t>
            </w:r>
          </w:p>
          <w:p w:rsidR="00385835" w:rsidRPr="00674AA6" w:rsidRDefault="00385835" w:rsidP="00650E41">
            <w:pPr>
              <w:widowControl w:val="0"/>
              <w:numPr>
                <w:ilvl w:val="0"/>
                <w:numId w:val="70"/>
              </w:numPr>
              <w:tabs>
                <w:tab w:val="left" w:pos="622"/>
              </w:tabs>
              <w:spacing w:after="0" w:line="240" w:lineRule="auto"/>
              <w:ind w:left="34" w:firstLine="0"/>
              <w:jc w:val="both"/>
              <w:rPr>
                <w:rFonts w:ascii="Times New Roman" w:eastAsia="AngsanaUPC" w:hAnsi="Times New Roman"/>
                <w:bCs/>
                <w:sz w:val="24"/>
                <w:szCs w:val="24"/>
                <w:lang w:eastAsia="lt-LT"/>
              </w:rPr>
            </w:pPr>
            <w:r w:rsidRPr="00385835">
              <w:rPr>
                <w:rFonts w:ascii="Times New Roman" w:eastAsia="AngsanaUPC" w:hAnsi="Times New Roman"/>
                <w:bCs/>
                <w:iCs/>
                <w:sz w:val="24"/>
                <w:szCs w:val="24"/>
                <w:lang w:eastAsia="lt-LT"/>
              </w:rPr>
              <w:t>Jeigu konkrečiam projektui subsidijos skiriamos tiesiogiai, ši procedūra atitiks sąlygas, nustatytas Bendrųjų nuostatų reglamento 125.3 str. (a) dalyje (ii) punkte. Subsidijų skyrimo procedūra bus nediskriminuojanti ir skaidri.</w:t>
            </w:r>
          </w:p>
          <w:p w:rsidR="00674AA6" w:rsidRPr="00674AA6" w:rsidRDefault="00674AA6" w:rsidP="00650E41">
            <w:pPr>
              <w:widowControl w:val="0"/>
              <w:numPr>
                <w:ilvl w:val="0"/>
                <w:numId w:val="70"/>
              </w:numPr>
              <w:tabs>
                <w:tab w:val="left" w:pos="622"/>
              </w:tabs>
              <w:spacing w:after="0" w:line="240" w:lineRule="auto"/>
              <w:ind w:left="34" w:firstLine="0"/>
              <w:jc w:val="both"/>
              <w:rPr>
                <w:rFonts w:ascii="Times New Roman" w:eastAsia="AngsanaUPC" w:hAnsi="Times New Roman"/>
                <w:bCs/>
                <w:sz w:val="24"/>
                <w:szCs w:val="24"/>
                <w:lang w:eastAsia="lt-LT"/>
              </w:rPr>
            </w:pPr>
            <w:r w:rsidRPr="00674AA6">
              <w:rPr>
                <w:rFonts w:ascii="Times New Roman" w:eastAsia="AngsanaUPC" w:hAnsi="Times New Roman"/>
                <w:bCs/>
                <w:iCs/>
                <w:sz w:val="24"/>
                <w:szCs w:val="24"/>
                <w:lang w:eastAsia="lt-LT"/>
              </w:rPr>
              <w:t>Šio investicinio prioriteto veiklos gali būti įgyvendinamos taikant ITI įgyvendinimo mechanizmą, nustatytą Veiksmų programos 4 skirsnyje, per ITVP.</w:t>
            </w:r>
          </w:p>
          <w:p w:rsidR="001E0FD8" w:rsidRPr="007F34F1" w:rsidRDefault="001E0FD8" w:rsidP="001E0FD8">
            <w:pPr>
              <w:widowControl w:val="0"/>
              <w:tabs>
                <w:tab w:val="left" w:pos="622"/>
              </w:tabs>
              <w:spacing w:after="0" w:line="240" w:lineRule="auto"/>
              <w:ind w:left="34"/>
              <w:jc w:val="both"/>
              <w:rPr>
                <w:rFonts w:ascii="Times New Roman" w:eastAsia="AngsanaUPC" w:hAnsi="Times New Roman"/>
                <w:bCs/>
                <w:sz w:val="24"/>
                <w:szCs w:val="24"/>
                <w:lang w:eastAsia="lt-LT"/>
              </w:rPr>
            </w:pPr>
            <w:r w:rsidRPr="007F34F1">
              <w:rPr>
                <w:rFonts w:ascii="Times New Roman" w:eastAsia="AngsanaUPC" w:hAnsi="Times New Roman"/>
                <w:bCs/>
                <w:sz w:val="24"/>
                <w:szCs w:val="24"/>
                <w:lang w:eastAsia="lt-LT"/>
              </w:rPr>
              <w:t xml:space="preserve">* Esant pagrįstam poreikiui pagal kiekvieną investicinį prioritetą gali būti taikomi ir kiti projektų atrankos būdai nurodyti pirmojo prioriteto dalyje </w:t>
            </w:r>
            <w:r w:rsidRPr="007F34F1">
              <w:rPr>
                <w:rFonts w:ascii="Times New Roman" w:eastAsia="AngsanaUPC" w:hAnsi="Times New Roman"/>
                <w:bCs/>
                <w:i/>
                <w:sz w:val="24"/>
                <w:szCs w:val="24"/>
                <w:lang w:eastAsia="lt-LT"/>
              </w:rPr>
              <w:t>„</w:t>
            </w:r>
            <w:r w:rsidRPr="007F34F1">
              <w:rPr>
                <w:rFonts w:ascii="Times New Roman" w:eastAsia="AngsanaUPC" w:hAnsi="Times New Roman"/>
                <w:bCs/>
                <w:i/>
                <w:iCs/>
                <w:sz w:val="24"/>
                <w:szCs w:val="24"/>
                <w:lang w:eastAsia="lt-LT"/>
              </w:rPr>
              <w:t>Projektų</w:t>
            </w:r>
            <w:r w:rsidR="00C82C5E">
              <w:rPr>
                <w:rFonts w:ascii="Times New Roman" w:eastAsia="AngsanaUPC" w:hAnsi="Times New Roman"/>
                <w:bCs/>
                <w:i/>
                <w:iCs/>
                <w:sz w:val="24"/>
                <w:szCs w:val="24"/>
                <w:lang w:eastAsia="lt-LT"/>
              </w:rPr>
              <w:t xml:space="preserve"> </w:t>
            </w:r>
            <w:r w:rsidRPr="007F34F1">
              <w:rPr>
                <w:rFonts w:ascii="Times New Roman" w:eastAsia="AngsanaUPC" w:hAnsi="Times New Roman"/>
                <w:bCs/>
                <w:i/>
                <w:iCs/>
                <w:sz w:val="24"/>
                <w:szCs w:val="24"/>
                <w:lang w:eastAsia="lt-LT"/>
              </w:rPr>
              <w:t>/</w:t>
            </w:r>
            <w:r w:rsidR="00C82C5E">
              <w:rPr>
                <w:rFonts w:ascii="Times New Roman" w:eastAsia="AngsanaUPC" w:hAnsi="Times New Roman"/>
                <w:bCs/>
                <w:i/>
                <w:iCs/>
                <w:sz w:val="24"/>
                <w:szCs w:val="24"/>
                <w:lang w:eastAsia="lt-LT"/>
              </w:rPr>
              <w:t xml:space="preserve"> </w:t>
            </w:r>
            <w:r w:rsidRPr="007F34F1">
              <w:rPr>
                <w:rFonts w:ascii="Times New Roman" w:eastAsia="AngsanaUPC" w:hAnsi="Times New Roman"/>
                <w:bCs/>
                <w:i/>
                <w:iCs/>
                <w:sz w:val="24"/>
                <w:szCs w:val="24"/>
                <w:lang w:eastAsia="lt-LT"/>
              </w:rPr>
              <w:t>veiksmų atrankos principai</w:t>
            </w:r>
            <w:r w:rsidR="007F34F1">
              <w:rPr>
                <w:rFonts w:ascii="Times New Roman" w:eastAsia="AngsanaUPC" w:hAnsi="Times New Roman"/>
                <w:bCs/>
                <w:i/>
                <w:iCs/>
                <w:sz w:val="24"/>
                <w:szCs w:val="24"/>
                <w:lang w:eastAsia="lt-LT"/>
              </w:rPr>
              <w:t>“</w:t>
            </w:r>
            <w:r w:rsidRPr="007F34F1">
              <w:rPr>
                <w:rFonts w:ascii="Times New Roman" w:eastAsia="AngsanaUPC" w:hAnsi="Times New Roman"/>
                <w:bCs/>
                <w:i/>
                <w:iCs/>
                <w:sz w:val="24"/>
                <w:szCs w:val="24"/>
                <w:lang w:eastAsia="lt-LT"/>
              </w:rPr>
              <w:t>.</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i/>
          <w:i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746"/>
      </w:tblGrid>
      <w:tr w:rsidR="00385835" w:rsidRPr="00385835" w:rsidTr="00385835">
        <w:tc>
          <w:tcPr>
            <w:tcW w:w="9746"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i/>
                <w:iCs/>
                <w:sz w:val="24"/>
                <w:szCs w:val="24"/>
                <w:lang w:eastAsia="lt-LT"/>
              </w:rPr>
              <w:lastRenderedPageBreak/>
              <w:t>Finansiniai instrumentai ir jų aprašymas</w:t>
            </w:r>
          </w:p>
        </w:tc>
      </w:tr>
      <w:tr w:rsidR="00385835" w:rsidRPr="00385835" w:rsidTr="00385835">
        <w:tc>
          <w:tcPr>
            <w:tcW w:w="9746" w:type="dxa"/>
            <w:shd w:val="clear" w:color="auto" w:fill="auto"/>
          </w:tcPr>
          <w:p w:rsidR="00385835" w:rsidRPr="00385835" w:rsidRDefault="00385835" w:rsidP="00385835">
            <w:pPr>
              <w:spacing w:after="0" w:line="240" w:lineRule="auto"/>
              <w:ind w:firstLine="624"/>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 xml:space="preserve">Šiuo metu yra analizuojamos finansinių instrumentų panaudojimo galimybės. </w:t>
            </w:r>
          </w:p>
          <w:p w:rsidR="00385835" w:rsidRDefault="00385835" w:rsidP="00E25536">
            <w:pPr>
              <w:spacing w:after="0" w:line="240" w:lineRule="auto"/>
              <w:ind w:firstLine="624"/>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Daugiabučių namų energijos vartojimo efektyvumo projektams finansuoti numatoma teikti lengvatines paskolas, finansinių tarpininkų teikiamoms paskoloms – garantijas, derinant su palūkanų kompensavimu ir subsidijomis.</w:t>
            </w:r>
          </w:p>
          <w:p w:rsidR="00CB6C6F" w:rsidRPr="00E25536" w:rsidRDefault="00E25536" w:rsidP="00E25536">
            <w:pPr>
              <w:spacing w:after="0" w:line="240" w:lineRule="auto"/>
              <w:ind w:firstLine="624"/>
              <w:jc w:val="both"/>
              <w:rPr>
                <w:rFonts w:ascii="Times New Roman" w:eastAsia="AngsanaUPC" w:hAnsi="Times New Roman"/>
                <w:bCs/>
                <w:iCs/>
                <w:sz w:val="24"/>
                <w:szCs w:val="24"/>
                <w:lang w:eastAsia="lt-LT"/>
              </w:rPr>
            </w:pPr>
            <w:r w:rsidRPr="002C08FA">
              <w:rPr>
                <w:rFonts w:ascii="Times New Roman" w:eastAsia="AngsanaUPC" w:hAnsi="Times New Roman"/>
                <w:bCs/>
                <w:iCs/>
                <w:sz w:val="24"/>
                <w:szCs w:val="24"/>
                <w:lang w:eastAsia="lt-LT"/>
              </w:rPr>
              <w:t>Investicinio prioriteto 4.5 „Anglies dioksido kiekio mažinimo strategijų įgyvendinimo visų rūšių, ypač miesto, teritorijose skatinimas, darnaus ir įvairių rūšių judumo miestuose skatinimas ir priemonių, skirtų poveikiui aplinkai sušvelninti, diegimas“ įgyvendinimui planuojama taikyti finansines priemones.</w:t>
            </w:r>
          </w:p>
          <w:p w:rsidR="00385835" w:rsidRPr="00385835" w:rsidRDefault="00385835" w:rsidP="00E25536">
            <w:pPr>
              <w:spacing w:after="0" w:line="240" w:lineRule="auto"/>
              <w:ind w:firstLine="624"/>
              <w:jc w:val="both"/>
              <w:rPr>
                <w:rFonts w:ascii="Times New Roman" w:eastAsia="Times New Roman" w:hAnsi="Times New Roman"/>
                <w:sz w:val="24"/>
                <w:szCs w:val="24"/>
                <w:lang w:eastAsia="lt-LT"/>
              </w:rPr>
            </w:pPr>
            <w:r w:rsidRPr="00385835">
              <w:rPr>
                <w:rFonts w:ascii="Times New Roman" w:eastAsia="AngsanaUPC" w:hAnsi="Times New Roman"/>
                <w:bCs/>
                <w:iCs/>
                <w:sz w:val="24"/>
                <w:szCs w:val="24"/>
                <w:lang w:eastAsia="lt-LT"/>
              </w:rPr>
              <w:t>Naujos finansinės priemonės bus įgyvendinamos, atsižvelgiant į išankstinio (</w:t>
            </w:r>
            <w:r w:rsidRPr="00385835">
              <w:rPr>
                <w:rFonts w:ascii="Times New Roman" w:eastAsia="AngsanaUPC" w:hAnsi="Times New Roman"/>
                <w:bCs/>
                <w:i/>
                <w:iCs/>
                <w:sz w:val="24"/>
                <w:szCs w:val="24"/>
                <w:lang w:eastAsia="lt-LT"/>
              </w:rPr>
              <w:t>ex ante</w:t>
            </w:r>
            <w:r w:rsidRPr="00385835">
              <w:rPr>
                <w:rFonts w:ascii="Times New Roman" w:eastAsia="AngsanaUPC" w:hAnsi="Times New Roman"/>
                <w:bCs/>
                <w:iCs/>
                <w:sz w:val="24"/>
                <w:szCs w:val="24"/>
                <w:lang w:eastAsia="lt-LT"/>
              </w:rPr>
              <w:t>) vertinimo rezultatus.</w:t>
            </w:r>
          </w:p>
        </w:tc>
      </w:tr>
    </w:tbl>
    <w:p w:rsidR="00385835" w:rsidRPr="00385835" w:rsidRDefault="00385835" w:rsidP="00385835">
      <w:pPr>
        <w:spacing w:after="0" w:line="240" w:lineRule="auto"/>
        <w:rPr>
          <w:rFonts w:ascii="Times New Roman" w:hAnsi="Times New Roman"/>
          <w:sz w:val="24"/>
          <w:szCs w:val="24"/>
        </w:rPr>
      </w:pPr>
    </w:p>
    <w:p w:rsidR="00385835" w:rsidRPr="00385835" w:rsidRDefault="00385835" w:rsidP="00385835">
      <w:pPr>
        <w:widowControl w:val="0"/>
        <w:tabs>
          <w:tab w:val="left" w:pos="622"/>
        </w:tabs>
        <w:spacing w:after="0" w:line="240" w:lineRule="auto"/>
        <w:jc w:val="both"/>
        <w:rPr>
          <w:rFonts w:ascii="Times New Roman" w:eastAsia="AngsanaUPC" w:hAnsi="Times New Roman"/>
          <w:b/>
          <w:bCs/>
          <w:i/>
          <w:iCs/>
          <w:sz w:val="24"/>
          <w:szCs w:val="24"/>
          <w:lang w:eastAsia="lt-LT"/>
        </w:rPr>
        <w:sectPr w:rsidR="00385835" w:rsidRPr="00385835" w:rsidSect="00AC19DA">
          <w:pgSz w:w="11906" w:h="16838" w:code="9"/>
          <w:pgMar w:top="1701" w:right="567" w:bottom="1134" w:left="1701" w:header="567" w:footer="567" w:gutter="0"/>
          <w:cols w:space="1296"/>
          <w:docGrid w:linePitch="360"/>
        </w:sectPr>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1276"/>
        <w:gridCol w:w="2268"/>
        <w:gridCol w:w="992"/>
        <w:gridCol w:w="851"/>
        <w:gridCol w:w="992"/>
        <w:gridCol w:w="992"/>
        <w:gridCol w:w="1134"/>
        <w:gridCol w:w="993"/>
        <w:gridCol w:w="4536"/>
      </w:tblGrid>
      <w:tr w:rsidR="00385835" w:rsidRPr="00385835" w:rsidTr="00385835">
        <w:trPr>
          <w:tblHeader/>
        </w:trPr>
        <w:tc>
          <w:tcPr>
            <w:tcW w:w="14034" w:type="dxa"/>
            <w:gridSpan w:val="9"/>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i/>
                <w:iCs/>
                <w:sz w:val="24"/>
                <w:szCs w:val="24"/>
                <w:lang w:eastAsia="lt-LT"/>
              </w:rPr>
              <w:lastRenderedPageBreak/>
              <w:t>Prioriteto veiklos rezultatų peržiūros planas</w:t>
            </w:r>
          </w:p>
        </w:tc>
      </w:tr>
      <w:tr w:rsidR="00385835" w:rsidRPr="00385835" w:rsidTr="004F39B3">
        <w:trPr>
          <w:tblHeader/>
        </w:trPr>
        <w:tc>
          <w:tcPr>
            <w:tcW w:w="1276"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Rodiklio rūšis</w:t>
            </w:r>
          </w:p>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(įgyvendinimo žingsniai, finansinis, produkto ir rezultato rodiklis)</w:t>
            </w:r>
          </w:p>
        </w:tc>
        <w:tc>
          <w:tcPr>
            <w:tcW w:w="2268"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Rodiklio apibrėžimas arba įgyvendinimo žingsnis</w:t>
            </w:r>
          </w:p>
        </w:tc>
        <w:tc>
          <w:tcPr>
            <w:tcW w:w="992"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Matavimo vienetas</w:t>
            </w:r>
          </w:p>
        </w:tc>
        <w:tc>
          <w:tcPr>
            <w:tcW w:w="85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Fondas</w:t>
            </w:r>
          </w:p>
        </w:tc>
        <w:tc>
          <w:tcPr>
            <w:tcW w:w="992"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Regiono kategorija</w:t>
            </w:r>
          </w:p>
        </w:tc>
        <w:tc>
          <w:tcPr>
            <w:tcW w:w="992"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Tarpinė reikšmė (2018)</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Siektina reikšmė (2023)</w:t>
            </w:r>
          </w:p>
        </w:tc>
        <w:tc>
          <w:tcPr>
            <w:tcW w:w="993"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Duomenų šaltinis</w:t>
            </w:r>
          </w:p>
        </w:tc>
        <w:tc>
          <w:tcPr>
            <w:tcW w:w="4536"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Rodiklių tinkamumo pagrindimas</w:t>
            </w:r>
          </w:p>
        </w:tc>
      </w:tr>
      <w:tr w:rsidR="00385835" w:rsidRPr="004F39B3" w:rsidTr="004F39B3">
        <w:tc>
          <w:tcPr>
            <w:tcW w:w="1276" w:type="dxa"/>
            <w:shd w:val="clear" w:color="auto" w:fill="FFFFFF"/>
          </w:tcPr>
          <w:p w:rsidR="00385835" w:rsidRPr="004F39B3" w:rsidRDefault="00385835" w:rsidP="00385835">
            <w:pPr>
              <w:spacing w:after="0" w:line="240" w:lineRule="auto"/>
              <w:rPr>
                <w:rFonts w:ascii="Times New Roman" w:hAnsi="Times New Roman"/>
                <w:sz w:val="16"/>
                <w:szCs w:val="16"/>
              </w:rPr>
            </w:pPr>
            <w:r w:rsidRPr="004F39B3">
              <w:rPr>
                <w:rFonts w:ascii="Times New Roman" w:hAnsi="Times New Roman"/>
                <w:sz w:val="16"/>
                <w:szCs w:val="16"/>
              </w:rPr>
              <w:t>Finansinis</w:t>
            </w:r>
            <w:r w:rsidRPr="004F39B3">
              <w:rPr>
                <w:rFonts w:ascii="Times New Roman" w:eastAsia="AngsanaUPC" w:hAnsi="Times New Roman"/>
                <w:bCs/>
                <w:iCs/>
                <w:sz w:val="16"/>
                <w:szCs w:val="16"/>
              </w:rPr>
              <w:t xml:space="preserve"> </w:t>
            </w:r>
            <w:r w:rsidRPr="004F39B3">
              <w:rPr>
                <w:rFonts w:ascii="Times New Roman" w:hAnsi="Times New Roman"/>
                <w:sz w:val="16"/>
                <w:szCs w:val="16"/>
              </w:rPr>
              <w:t>rodiklis</w:t>
            </w:r>
          </w:p>
        </w:tc>
        <w:tc>
          <w:tcPr>
            <w:tcW w:w="2268" w:type="dxa"/>
            <w:shd w:val="clear" w:color="auto" w:fill="FFFFFF"/>
          </w:tcPr>
          <w:p w:rsidR="00385835" w:rsidRPr="004F39B3" w:rsidRDefault="00385835" w:rsidP="00385835">
            <w:pPr>
              <w:spacing w:after="0" w:line="240" w:lineRule="auto"/>
              <w:rPr>
                <w:rFonts w:ascii="Times New Roman" w:hAnsi="Times New Roman"/>
                <w:i/>
                <w:sz w:val="16"/>
                <w:szCs w:val="16"/>
              </w:rPr>
            </w:pPr>
            <w:r w:rsidRPr="004F39B3">
              <w:rPr>
                <w:rFonts w:ascii="Times New Roman" w:hAnsi="Times New Roman"/>
                <w:color w:val="000000"/>
                <w:sz w:val="16"/>
                <w:szCs w:val="16"/>
              </w:rPr>
              <w:t>Bendra tinkamų finansuoti išlaidų suma</w:t>
            </w:r>
            <w:r w:rsidR="00D83684" w:rsidRPr="004F39B3">
              <w:rPr>
                <w:rFonts w:ascii="Times New Roman" w:hAnsi="Times New Roman"/>
                <w:color w:val="000000"/>
                <w:sz w:val="16"/>
                <w:szCs w:val="16"/>
              </w:rPr>
              <w:t>,</w:t>
            </w:r>
            <w:r w:rsidRPr="004F39B3">
              <w:rPr>
                <w:rFonts w:ascii="Times New Roman" w:hAnsi="Times New Roman"/>
                <w:color w:val="000000"/>
                <w:sz w:val="16"/>
                <w:szCs w:val="16"/>
              </w:rPr>
              <w:t xml:space="preserve"> pripažinta tinkama deklaruoti EK</w:t>
            </w:r>
          </w:p>
        </w:tc>
        <w:tc>
          <w:tcPr>
            <w:tcW w:w="992" w:type="dxa"/>
            <w:shd w:val="clear" w:color="auto" w:fill="FFFFFF"/>
          </w:tcPr>
          <w:p w:rsidR="00385835" w:rsidRPr="004F39B3" w:rsidRDefault="00385835" w:rsidP="00385835">
            <w:pPr>
              <w:spacing w:after="0" w:line="240" w:lineRule="auto"/>
              <w:jc w:val="center"/>
              <w:rPr>
                <w:rFonts w:ascii="Times New Roman" w:hAnsi="Times New Roman"/>
                <w:i/>
                <w:sz w:val="16"/>
                <w:szCs w:val="16"/>
              </w:rPr>
            </w:pPr>
            <w:r w:rsidRPr="004F39B3">
              <w:rPr>
                <w:rFonts w:ascii="Times New Roman" w:hAnsi="Times New Roman"/>
                <w:sz w:val="16"/>
                <w:szCs w:val="16"/>
              </w:rPr>
              <w:t>Eurai</w:t>
            </w:r>
          </w:p>
        </w:tc>
        <w:tc>
          <w:tcPr>
            <w:tcW w:w="851" w:type="dxa"/>
            <w:shd w:val="clear" w:color="auto" w:fill="FFFFFF"/>
          </w:tcPr>
          <w:p w:rsidR="00385835" w:rsidRPr="004F39B3" w:rsidRDefault="00385835" w:rsidP="00385835">
            <w:pPr>
              <w:spacing w:after="0" w:line="240" w:lineRule="auto"/>
              <w:jc w:val="center"/>
              <w:rPr>
                <w:rFonts w:ascii="Times New Roman" w:hAnsi="Times New Roman"/>
                <w:sz w:val="16"/>
                <w:szCs w:val="16"/>
              </w:rPr>
            </w:pPr>
            <w:r w:rsidRPr="004F39B3">
              <w:rPr>
                <w:rFonts w:ascii="Times New Roman" w:hAnsi="Times New Roman"/>
                <w:sz w:val="16"/>
                <w:szCs w:val="16"/>
              </w:rPr>
              <w:t>ERPF</w:t>
            </w:r>
          </w:p>
        </w:tc>
        <w:tc>
          <w:tcPr>
            <w:tcW w:w="992" w:type="dxa"/>
            <w:shd w:val="clear" w:color="auto" w:fill="FFFFFF"/>
          </w:tcPr>
          <w:p w:rsidR="00385835" w:rsidRPr="004F39B3" w:rsidRDefault="00385835" w:rsidP="00385835">
            <w:pPr>
              <w:spacing w:after="0" w:line="240" w:lineRule="auto"/>
              <w:jc w:val="center"/>
              <w:rPr>
                <w:rFonts w:ascii="Times New Roman" w:hAnsi="Times New Roman"/>
                <w:sz w:val="16"/>
                <w:szCs w:val="16"/>
              </w:rPr>
            </w:pPr>
            <w:r w:rsidRPr="004F39B3">
              <w:rPr>
                <w:rFonts w:ascii="Times New Roman" w:hAnsi="Times New Roman"/>
                <w:sz w:val="16"/>
                <w:szCs w:val="16"/>
              </w:rPr>
              <w:t>Mažiau išsivystęs</w:t>
            </w:r>
          </w:p>
        </w:tc>
        <w:tc>
          <w:tcPr>
            <w:tcW w:w="992" w:type="dxa"/>
            <w:shd w:val="clear" w:color="auto" w:fill="FFFFFF"/>
          </w:tcPr>
          <w:p w:rsidR="00DB150F" w:rsidRPr="004F39B3" w:rsidRDefault="00DB150F" w:rsidP="00C76808">
            <w:pPr>
              <w:spacing w:after="0" w:line="240" w:lineRule="auto"/>
              <w:jc w:val="center"/>
              <w:rPr>
                <w:rFonts w:ascii="Times New Roman" w:hAnsi="Times New Roman"/>
                <w:sz w:val="16"/>
                <w:szCs w:val="16"/>
              </w:rPr>
            </w:pPr>
            <w:r w:rsidRPr="004F39B3">
              <w:rPr>
                <w:rFonts w:ascii="Times New Roman" w:hAnsi="Times New Roman"/>
                <w:sz w:val="16"/>
                <w:szCs w:val="16"/>
              </w:rPr>
              <w:t>162.512.112</w:t>
            </w:r>
          </w:p>
        </w:tc>
        <w:tc>
          <w:tcPr>
            <w:tcW w:w="1134" w:type="dxa"/>
            <w:shd w:val="clear" w:color="auto" w:fill="FFFFFF"/>
          </w:tcPr>
          <w:p w:rsidR="00385835" w:rsidRPr="004F39B3" w:rsidRDefault="00C82C5E" w:rsidP="00C76808">
            <w:pPr>
              <w:spacing w:after="0" w:line="240" w:lineRule="auto"/>
              <w:jc w:val="center"/>
              <w:rPr>
                <w:rFonts w:ascii="Times New Roman" w:hAnsi="Times New Roman"/>
                <w:sz w:val="16"/>
                <w:szCs w:val="16"/>
              </w:rPr>
            </w:pPr>
            <w:r w:rsidRPr="004F39B3">
              <w:rPr>
                <w:rFonts w:ascii="Times New Roman" w:hAnsi="Times New Roman"/>
                <w:sz w:val="16"/>
                <w:szCs w:val="16"/>
              </w:rPr>
              <w:t>610</w:t>
            </w:r>
            <w:r w:rsidR="00C76808" w:rsidRPr="004F39B3">
              <w:rPr>
                <w:rFonts w:ascii="Times New Roman" w:hAnsi="Times New Roman"/>
                <w:sz w:val="16"/>
                <w:szCs w:val="16"/>
              </w:rPr>
              <w:t>.</w:t>
            </w:r>
            <w:r w:rsidRPr="004F39B3">
              <w:rPr>
                <w:rFonts w:ascii="Times New Roman" w:hAnsi="Times New Roman"/>
                <w:sz w:val="16"/>
                <w:szCs w:val="16"/>
              </w:rPr>
              <w:t>943</w:t>
            </w:r>
            <w:r w:rsidR="00C76808" w:rsidRPr="004F39B3">
              <w:rPr>
                <w:rFonts w:ascii="Times New Roman" w:hAnsi="Times New Roman"/>
                <w:sz w:val="16"/>
                <w:szCs w:val="16"/>
              </w:rPr>
              <w:t>.</w:t>
            </w:r>
            <w:r w:rsidRPr="004F39B3">
              <w:rPr>
                <w:rFonts w:ascii="Times New Roman" w:hAnsi="Times New Roman"/>
                <w:sz w:val="16"/>
                <w:szCs w:val="16"/>
              </w:rPr>
              <w:t>173</w:t>
            </w:r>
          </w:p>
        </w:tc>
        <w:tc>
          <w:tcPr>
            <w:tcW w:w="993" w:type="dxa"/>
            <w:shd w:val="clear" w:color="auto" w:fill="FFFFFF"/>
          </w:tcPr>
          <w:p w:rsidR="00385835" w:rsidRPr="004F39B3" w:rsidRDefault="00385835" w:rsidP="00385835">
            <w:pPr>
              <w:spacing w:after="0" w:line="240" w:lineRule="auto"/>
              <w:jc w:val="center"/>
              <w:rPr>
                <w:rFonts w:ascii="Times New Roman" w:hAnsi="Times New Roman"/>
                <w:sz w:val="16"/>
                <w:szCs w:val="16"/>
              </w:rPr>
            </w:pPr>
            <w:r w:rsidRPr="004F39B3">
              <w:rPr>
                <w:rFonts w:ascii="Times New Roman" w:hAnsi="Times New Roman"/>
                <w:sz w:val="16"/>
                <w:szCs w:val="16"/>
              </w:rPr>
              <w:t>Duomenys iš projektų</w:t>
            </w:r>
          </w:p>
        </w:tc>
        <w:tc>
          <w:tcPr>
            <w:tcW w:w="4536" w:type="dxa"/>
            <w:shd w:val="clear" w:color="auto" w:fill="FFFFFF"/>
          </w:tcPr>
          <w:p w:rsidR="00385835" w:rsidRPr="004F39B3" w:rsidRDefault="00385835" w:rsidP="00385835">
            <w:pPr>
              <w:spacing w:after="0" w:line="240" w:lineRule="auto"/>
              <w:rPr>
                <w:rFonts w:ascii="Times New Roman" w:hAnsi="Times New Roman"/>
                <w:sz w:val="16"/>
                <w:szCs w:val="16"/>
              </w:rPr>
            </w:pPr>
            <w:r w:rsidRPr="004F39B3">
              <w:rPr>
                <w:rFonts w:ascii="Times New Roman" w:hAnsi="Times New Roman"/>
                <w:sz w:val="16"/>
                <w:szCs w:val="16"/>
              </w:rPr>
              <w:t>Privalomas rodiklis, kuris atspindi finansinę prioriteto įgyvendinimo pažangą.</w:t>
            </w:r>
          </w:p>
        </w:tc>
      </w:tr>
      <w:tr w:rsidR="00385835" w:rsidRPr="004F39B3" w:rsidTr="004F39B3">
        <w:tc>
          <w:tcPr>
            <w:tcW w:w="1276" w:type="dxa"/>
            <w:shd w:val="clear" w:color="auto" w:fill="FFFFFF"/>
          </w:tcPr>
          <w:p w:rsidR="00385835" w:rsidRPr="004F39B3" w:rsidRDefault="00385835" w:rsidP="00385835">
            <w:pPr>
              <w:spacing w:after="0" w:line="240" w:lineRule="auto"/>
              <w:rPr>
                <w:rFonts w:ascii="Times New Roman" w:hAnsi="Times New Roman"/>
                <w:sz w:val="16"/>
                <w:szCs w:val="16"/>
              </w:rPr>
            </w:pPr>
            <w:r w:rsidRPr="004F39B3">
              <w:rPr>
                <w:rFonts w:ascii="Times New Roman" w:hAnsi="Times New Roman"/>
                <w:sz w:val="16"/>
                <w:szCs w:val="16"/>
              </w:rPr>
              <w:t>Produkto rodiklis</w:t>
            </w:r>
          </w:p>
        </w:tc>
        <w:tc>
          <w:tcPr>
            <w:tcW w:w="2268" w:type="dxa"/>
            <w:shd w:val="clear" w:color="auto" w:fill="FFFFFF"/>
          </w:tcPr>
          <w:p w:rsidR="00385835" w:rsidRPr="004F39B3" w:rsidRDefault="00385835" w:rsidP="00385835">
            <w:pPr>
              <w:spacing w:after="0" w:line="240" w:lineRule="auto"/>
              <w:rPr>
                <w:rFonts w:ascii="Times New Roman" w:hAnsi="Times New Roman"/>
                <w:bCs/>
                <w:sz w:val="16"/>
                <w:szCs w:val="16"/>
              </w:rPr>
            </w:pPr>
            <w:r w:rsidRPr="004F39B3">
              <w:rPr>
                <w:rFonts w:ascii="Times New Roman" w:hAnsi="Times New Roman"/>
                <w:sz w:val="16"/>
                <w:szCs w:val="16"/>
              </w:rPr>
              <w:t>Namų ūkių, priskirtų geresnei energijos vartojimo efektyvumo klasei, skaičius</w:t>
            </w:r>
          </w:p>
        </w:tc>
        <w:tc>
          <w:tcPr>
            <w:tcW w:w="992" w:type="dxa"/>
            <w:shd w:val="clear" w:color="auto" w:fill="FFFFFF"/>
          </w:tcPr>
          <w:p w:rsidR="00385835" w:rsidRPr="004F39B3" w:rsidRDefault="00385835" w:rsidP="00385835">
            <w:pPr>
              <w:spacing w:after="0" w:line="240" w:lineRule="auto"/>
              <w:jc w:val="center"/>
              <w:rPr>
                <w:rFonts w:ascii="Times New Roman" w:hAnsi="Times New Roman"/>
                <w:bCs/>
                <w:sz w:val="16"/>
                <w:szCs w:val="16"/>
              </w:rPr>
            </w:pPr>
            <w:r w:rsidRPr="004F39B3">
              <w:rPr>
                <w:rFonts w:ascii="Times New Roman" w:hAnsi="Times New Roman"/>
                <w:bCs/>
                <w:sz w:val="16"/>
                <w:szCs w:val="16"/>
              </w:rPr>
              <w:t>Namų ūkiai</w:t>
            </w:r>
          </w:p>
        </w:tc>
        <w:tc>
          <w:tcPr>
            <w:tcW w:w="851" w:type="dxa"/>
            <w:shd w:val="clear" w:color="auto" w:fill="FFFFFF"/>
          </w:tcPr>
          <w:p w:rsidR="00385835" w:rsidRPr="004F39B3" w:rsidRDefault="00385835" w:rsidP="00385835">
            <w:pPr>
              <w:spacing w:after="0" w:line="240" w:lineRule="auto"/>
              <w:jc w:val="center"/>
              <w:rPr>
                <w:rFonts w:ascii="Times New Roman" w:hAnsi="Times New Roman"/>
                <w:bCs/>
                <w:sz w:val="16"/>
                <w:szCs w:val="16"/>
              </w:rPr>
            </w:pPr>
            <w:r w:rsidRPr="004F39B3">
              <w:rPr>
                <w:rFonts w:ascii="Times New Roman" w:hAnsi="Times New Roman"/>
                <w:bCs/>
                <w:sz w:val="16"/>
                <w:szCs w:val="16"/>
              </w:rPr>
              <w:t>ERPF</w:t>
            </w:r>
          </w:p>
        </w:tc>
        <w:tc>
          <w:tcPr>
            <w:tcW w:w="992" w:type="dxa"/>
            <w:shd w:val="clear" w:color="auto" w:fill="FFFFFF"/>
          </w:tcPr>
          <w:p w:rsidR="00385835" w:rsidRPr="004F39B3" w:rsidRDefault="00385835" w:rsidP="00385835">
            <w:pPr>
              <w:spacing w:after="0" w:line="240" w:lineRule="auto"/>
              <w:jc w:val="center"/>
              <w:rPr>
                <w:rFonts w:ascii="Times New Roman" w:hAnsi="Times New Roman"/>
                <w:bCs/>
                <w:sz w:val="16"/>
                <w:szCs w:val="16"/>
              </w:rPr>
            </w:pPr>
            <w:r w:rsidRPr="004F39B3">
              <w:rPr>
                <w:rFonts w:ascii="Times New Roman" w:hAnsi="Times New Roman"/>
                <w:bCs/>
                <w:sz w:val="16"/>
                <w:szCs w:val="16"/>
              </w:rPr>
              <w:t>Mažiau išsivystęs</w:t>
            </w:r>
          </w:p>
        </w:tc>
        <w:tc>
          <w:tcPr>
            <w:tcW w:w="992" w:type="dxa"/>
            <w:shd w:val="clear" w:color="auto" w:fill="FFFFFF"/>
          </w:tcPr>
          <w:p w:rsidR="00385835" w:rsidRPr="004F39B3" w:rsidRDefault="00385835" w:rsidP="00385835">
            <w:pPr>
              <w:spacing w:after="0" w:line="240" w:lineRule="auto"/>
              <w:jc w:val="center"/>
              <w:rPr>
                <w:rFonts w:ascii="Times New Roman" w:hAnsi="Times New Roman"/>
                <w:sz w:val="16"/>
                <w:szCs w:val="16"/>
              </w:rPr>
            </w:pPr>
            <w:r w:rsidRPr="004F39B3">
              <w:rPr>
                <w:rFonts w:ascii="Times New Roman" w:hAnsi="Times New Roman"/>
                <w:sz w:val="16"/>
                <w:szCs w:val="16"/>
              </w:rPr>
              <w:t>0</w:t>
            </w:r>
          </w:p>
        </w:tc>
        <w:tc>
          <w:tcPr>
            <w:tcW w:w="1134" w:type="dxa"/>
            <w:shd w:val="clear" w:color="auto" w:fill="FFFFFF"/>
          </w:tcPr>
          <w:p w:rsidR="00385835" w:rsidRPr="004F39B3" w:rsidRDefault="00385835" w:rsidP="00C76808">
            <w:pPr>
              <w:spacing w:after="0" w:line="240" w:lineRule="auto"/>
              <w:jc w:val="center"/>
              <w:rPr>
                <w:rFonts w:ascii="Times New Roman" w:hAnsi="Times New Roman"/>
                <w:sz w:val="16"/>
                <w:szCs w:val="16"/>
              </w:rPr>
            </w:pPr>
            <w:r w:rsidRPr="004F39B3">
              <w:rPr>
                <w:rFonts w:ascii="Times New Roman" w:hAnsi="Times New Roman"/>
                <w:sz w:val="16"/>
                <w:szCs w:val="16"/>
              </w:rPr>
              <w:t>30</w:t>
            </w:r>
            <w:r w:rsidR="00C76808" w:rsidRPr="004F39B3">
              <w:rPr>
                <w:rFonts w:ascii="Times New Roman" w:hAnsi="Times New Roman"/>
                <w:sz w:val="16"/>
                <w:szCs w:val="16"/>
              </w:rPr>
              <w:t>.</w:t>
            </w:r>
            <w:r w:rsidRPr="004F39B3">
              <w:rPr>
                <w:rFonts w:ascii="Times New Roman" w:hAnsi="Times New Roman"/>
                <w:sz w:val="16"/>
                <w:szCs w:val="16"/>
              </w:rPr>
              <w:t>000</w:t>
            </w:r>
          </w:p>
        </w:tc>
        <w:tc>
          <w:tcPr>
            <w:tcW w:w="993" w:type="dxa"/>
            <w:shd w:val="clear" w:color="auto" w:fill="FFFFFF"/>
          </w:tcPr>
          <w:p w:rsidR="00385835" w:rsidRPr="004F39B3" w:rsidRDefault="00385835" w:rsidP="00385835">
            <w:pPr>
              <w:spacing w:after="0" w:line="240" w:lineRule="auto"/>
              <w:jc w:val="center"/>
              <w:rPr>
                <w:rFonts w:ascii="Times New Roman" w:hAnsi="Times New Roman"/>
                <w:sz w:val="16"/>
                <w:szCs w:val="16"/>
              </w:rPr>
            </w:pPr>
            <w:r w:rsidRPr="004F39B3">
              <w:rPr>
                <w:rFonts w:ascii="Times New Roman" w:hAnsi="Times New Roman"/>
                <w:sz w:val="16"/>
                <w:szCs w:val="16"/>
              </w:rPr>
              <w:t>Duomenys iš projektų</w:t>
            </w:r>
          </w:p>
        </w:tc>
        <w:tc>
          <w:tcPr>
            <w:tcW w:w="4536" w:type="dxa"/>
            <w:shd w:val="clear" w:color="auto" w:fill="FFFFFF"/>
          </w:tcPr>
          <w:p w:rsidR="00385835" w:rsidRPr="004F39B3" w:rsidRDefault="00385835" w:rsidP="00E8768C">
            <w:pPr>
              <w:spacing w:after="0" w:line="240" w:lineRule="auto"/>
              <w:rPr>
                <w:rFonts w:ascii="Times New Roman" w:hAnsi="Times New Roman"/>
                <w:sz w:val="16"/>
                <w:szCs w:val="16"/>
              </w:rPr>
            </w:pPr>
            <w:r w:rsidRPr="004F39B3">
              <w:rPr>
                <w:rFonts w:ascii="Times New Roman" w:hAnsi="Times New Roman"/>
                <w:sz w:val="16"/>
                <w:szCs w:val="16"/>
              </w:rPr>
              <w:t>Rodiklis atspindi prioriteto įgyvendinimo eigą, nes jo pasiekimui skirta 5</w:t>
            </w:r>
            <w:r w:rsidR="00E8768C" w:rsidRPr="004F39B3">
              <w:rPr>
                <w:rFonts w:ascii="Times New Roman" w:hAnsi="Times New Roman"/>
                <w:sz w:val="16"/>
                <w:szCs w:val="16"/>
              </w:rPr>
              <w:t>5</w:t>
            </w:r>
            <w:r w:rsidRPr="004F39B3">
              <w:rPr>
                <w:rFonts w:ascii="Times New Roman" w:hAnsi="Times New Roman"/>
                <w:sz w:val="16"/>
                <w:szCs w:val="16"/>
              </w:rPr>
              <w:t xml:space="preserve"> proc. šio prioriteto įgyvendinimui skirtų ERPF lėšų.</w:t>
            </w:r>
          </w:p>
        </w:tc>
      </w:tr>
      <w:tr w:rsidR="00385835" w:rsidRPr="004F39B3" w:rsidTr="004F39B3">
        <w:tc>
          <w:tcPr>
            <w:tcW w:w="1276" w:type="dxa"/>
            <w:shd w:val="clear" w:color="auto" w:fill="FFFFFF"/>
          </w:tcPr>
          <w:p w:rsidR="00385835" w:rsidRPr="004F39B3" w:rsidRDefault="00385835" w:rsidP="00385835">
            <w:pPr>
              <w:spacing w:after="0" w:line="240" w:lineRule="auto"/>
              <w:rPr>
                <w:rFonts w:ascii="Times New Roman" w:hAnsi="Times New Roman"/>
                <w:sz w:val="16"/>
                <w:szCs w:val="16"/>
              </w:rPr>
            </w:pPr>
            <w:r w:rsidRPr="004F39B3">
              <w:rPr>
                <w:rFonts w:ascii="Times New Roman" w:hAnsi="Times New Roman"/>
                <w:sz w:val="16"/>
                <w:szCs w:val="16"/>
              </w:rPr>
              <w:t>Įgyvendinimo žingsnis</w:t>
            </w:r>
          </w:p>
        </w:tc>
        <w:tc>
          <w:tcPr>
            <w:tcW w:w="2268" w:type="dxa"/>
            <w:shd w:val="clear" w:color="auto" w:fill="FFFFFF"/>
          </w:tcPr>
          <w:p w:rsidR="00385835" w:rsidRPr="004F39B3" w:rsidRDefault="00385835" w:rsidP="00385835">
            <w:pPr>
              <w:spacing w:after="0" w:line="240" w:lineRule="auto"/>
              <w:rPr>
                <w:rFonts w:ascii="Times New Roman" w:hAnsi="Times New Roman"/>
                <w:sz w:val="16"/>
                <w:szCs w:val="16"/>
              </w:rPr>
            </w:pPr>
            <w:r w:rsidRPr="004F39B3">
              <w:rPr>
                <w:rFonts w:ascii="Times New Roman" w:hAnsi="Times New Roman"/>
                <w:sz w:val="16"/>
                <w:szCs w:val="16"/>
              </w:rPr>
              <w:t>Paskolų ar garantijų, suteiktų daugiabučio namo atnaujinimui, skaičius</w:t>
            </w:r>
          </w:p>
        </w:tc>
        <w:tc>
          <w:tcPr>
            <w:tcW w:w="992" w:type="dxa"/>
            <w:shd w:val="clear" w:color="auto" w:fill="FFFFFF"/>
          </w:tcPr>
          <w:p w:rsidR="00385835" w:rsidRPr="004F39B3" w:rsidRDefault="00385835" w:rsidP="00385835">
            <w:pPr>
              <w:spacing w:after="0" w:line="240" w:lineRule="auto"/>
              <w:jc w:val="center"/>
              <w:rPr>
                <w:rFonts w:ascii="Times New Roman" w:hAnsi="Times New Roman"/>
                <w:bCs/>
                <w:sz w:val="16"/>
                <w:szCs w:val="16"/>
              </w:rPr>
            </w:pPr>
            <w:r w:rsidRPr="004F39B3">
              <w:rPr>
                <w:rFonts w:ascii="Times New Roman" w:hAnsi="Times New Roman"/>
                <w:bCs/>
                <w:sz w:val="16"/>
                <w:szCs w:val="16"/>
              </w:rPr>
              <w:t>Skaičius</w:t>
            </w:r>
          </w:p>
        </w:tc>
        <w:tc>
          <w:tcPr>
            <w:tcW w:w="851" w:type="dxa"/>
            <w:shd w:val="clear" w:color="auto" w:fill="FFFFFF"/>
          </w:tcPr>
          <w:p w:rsidR="00385835" w:rsidRPr="004F39B3" w:rsidRDefault="00385835" w:rsidP="00385835">
            <w:pPr>
              <w:spacing w:after="0" w:line="240" w:lineRule="auto"/>
              <w:jc w:val="center"/>
              <w:rPr>
                <w:rFonts w:ascii="Times New Roman" w:hAnsi="Times New Roman"/>
                <w:bCs/>
                <w:sz w:val="16"/>
                <w:szCs w:val="16"/>
              </w:rPr>
            </w:pPr>
            <w:r w:rsidRPr="004F39B3">
              <w:rPr>
                <w:rFonts w:ascii="Times New Roman" w:hAnsi="Times New Roman"/>
                <w:bCs/>
                <w:sz w:val="16"/>
                <w:szCs w:val="16"/>
              </w:rPr>
              <w:t>ERPF</w:t>
            </w:r>
          </w:p>
        </w:tc>
        <w:tc>
          <w:tcPr>
            <w:tcW w:w="992" w:type="dxa"/>
            <w:shd w:val="clear" w:color="auto" w:fill="FFFFFF"/>
          </w:tcPr>
          <w:p w:rsidR="00385835" w:rsidRPr="004F39B3" w:rsidRDefault="00385835" w:rsidP="00385835">
            <w:pPr>
              <w:spacing w:after="0" w:line="240" w:lineRule="auto"/>
              <w:jc w:val="center"/>
              <w:rPr>
                <w:rFonts w:ascii="Times New Roman" w:hAnsi="Times New Roman"/>
                <w:bCs/>
                <w:sz w:val="16"/>
                <w:szCs w:val="16"/>
              </w:rPr>
            </w:pPr>
            <w:r w:rsidRPr="004F39B3">
              <w:rPr>
                <w:rFonts w:ascii="Times New Roman" w:hAnsi="Times New Roman"/>
                <w:bCs/>
                <w:sz w:val="16"/>
                <w:szCs w:val="16"/>
              </w:rPr>
              <w:t>Mažiau išsivystęs</w:t>
            </w:r>
          </w:p>
        </w:tc>
        <w:tc>
          <w:tcPr>
            <w:tcW w:w="992" w:type="dxa"/>
            <w:shd w:val="clear" w:color="auto" w:fill="FFFFFF"/>
          </w:tcPr>
          <w:p w:rsidR="00385835" w:rsidRPr="004F39B3" w:rsidRDefault="00385835" w:rsidP="00385835">
            <w:pPr>
              <w:spacing w:after="0" w:line="240" w:lineRule="auto"/>
              <w:jc w:val="center"/>
              <w:rPr>
                <w:rFonts w:ascii="Times New Roman" w:hAnsi="Times New Roman"/>
                <w:sz w:val="16"/>
                <w:szCs w:val="16"/>
              </w:rPr>
            </w:pPr>
            <w:r w:rsidRPr="004F39B3">
              <w:rPr>
                <w:rFonts w:ascii="Times New Roman" w:hAnsi="Times New Roman"/>
                <w:sz w:val="16"/>
                <w:szCs w:val="16"/>
              </w:rPr>
              <w:t>450</w:t>
            </w:r>
          </w:p>
        </w:tc>
        <w:tc>
          <w:tcPr>
            <w:tcW w:w="1134" w:type="dxa"/>
            <w:shd w:val="clear" w:color="auto" w:fill="FFFFFF"/>
          </w:tcPr>
          <w:p w:rsidR="00385835" w:rsidRPr="004F39B3" w:rsidRDefault="00385835" w:rsidP="00385835">
            <w:pPr>
              <w:spacing w:after="0" w:line="240" w:lineRule="auto"/>
              <w:jc w:val="center"/>
              <w:rPr>
                <w:rFonts w:ascii="Times New Roman" w:hAnsi="Times New Roman"/>
                <w:sz w:val="16"/>
                <w:szCs w:val="16"/>
              </w:rPr>
            </w:pPr>
            <w:r w:rsidRPr="004F39B3">
              <w:rPr>
                <w:rFonts w:ascii="Times New Roman" w:hAnsi="Times New Roman"/>
                <w:sz w:val="16"/>
                <w:szCs w:val="16"/>
              </w:rPr>
              <w:t>-</w:t>
            </w:r>
          </w:p>
        </w:tc>
        <w:tc>
          <w:tcPr>
            <w:tcW w:w="993" w:type="dxa"/>
            <w:shd w:val="clear" w:color="auto" w:fill="FFFFFF"/>
          </w:tcPr>
          <w:p w:rsidR="00385835" w:rsidRPr="004F39B3" w:rsidRDefault="00385835" w:rsidP="00385835">
            <w:pPr>
              <w:spacing w:after="0" w:line="240" w:lineRule="auto"/>
              <w:jc w:val="center"/>
              <w:rPr>
                <w:rFonts w:ascii="Times New Roman" w:hAnsi="Times New Roman"/>
                <w:sz w:val="16"/>
                <w:szCs w:val="16"/>
              </w:rPr>
            </w:pPr>
            <w:r w:rsidRPr="004F39B3">
              <w:rPr>
                <w:rFonts w:ascii="Times New Roman" w:hAnsi="Times New Roman"/>
                <w:sz w:val="16"/>
                <w:szCs w:val="16"/>
              </w:rPr>
              <w:t xml:space="preserve">Duomenys iš projektų </w:t>
            </w:r>
          </w:p>
        </w:tc>
        <w:tc>
          <w:tcPr>
            <w:tcW w:w="4536" w:type="dxa"/>
            <w:shd w:val="clear" w:color="auto" w:fill="FFFFFF"/>
          </w:tcPr>
          <w:p w:rsidR="00385835" w:rsidRPr="004F39B3" w:rsidRDefault="00385835" w:rsidP="00385835">
            <w:pPr>
              <w:spacing w:after="0" w:line="240" w:lineRule="auto"/>
              <w:rPr>
                <w:rFonts w:ascii="Times New Roman" w:hAnsi="Times New Roman"/>
                <w:sz w:val="16"/>
                <w:szCs w:val="16"/>
              </w:rPr>
            </w:pPr>
            <w:r w:rsidRPr="004F39B3">
              <w:rPr>
                <w:rFonts w:ascii="Times New Roman" w:hAnsi="Times New Roman"/>
                <w:sz w:val="16"/>
                <w:szCs w:val="16"/>
              </w:rPr>
              <w:t>Įgyvendinimo žingsnis pasirinktas, nes iki 2018 m. pabaigos nebus nustatyta namų ūkių, priskiriamų geresnei energijos vartojimo efektyvumo klasei.</w:t>
            </w:r>
          </w:p>
          <w:p w:rsidR="00385835" w:rsidRPr="004F39B3" w:rsidRDefault="00385835" w:rsidP="00385835">
            <w:pPr>
              <w:spacing w:after="0" w:line="240" w:lineRule="auto"/>
              <w:rPr>
                <w:rFonts w:ascii="Times New Roman" w:hAnsi="Times New Roman"/>
                <w:sz w:val="16"/>
                <w:szCs w:val="16"/>
              </w:rPr>
            </w:pPr>
            <w:r w:rsidRPr="004F39B3">
              <w:rPr>
                <w:rFonts w:ascii="Times New Roman" w:hAnsi="Times New Roman"/>
                <w:sz w:val="16"/>
                <w:szCs w:val="16"/>
              </w:rPr>
              <w:t>Paskolų ar garantijų, suteiktų daugiabučio namo atnaujinimui, skaičius rodys, ar intervencijos įgyvendinamos numatyta apimtimi.</w:t>
            </w:r>
          </w:p>
        </w:tc>
      </w:tr>
      <w:tr w:rsidR="001E0FD8" w:rsidRPr="004F39B3" w:rsidTr="004F39B3">
        <w:tc>
          <w:tcPr>
            <w:tcW w:w="1276" w:type="dxa"/>
            <w:shd w:val="clear" w:color="auto" w:fill="FFFFFF"/>
          </w:tcPr>
          <w:p w:rsidR="001E0FD8" w:rsidRPr="004F39B3" w:rsidRDefault="001E0FD8" w:rsidP="00385835">
            <w:pPr>
              <w:spacing w:after="0" w:line="240" w:lineRule="auto"/>
              <w:rPr>
                <w:rFonts w:ascii="Times New Roman" w:hAnsi="Times New Roman"/>
                <w:sz w:val="16"/>
                <w:szCs w:val="16"/>
              </w:rPr>
            </w:pPr>
            <w:r w:rsidRPr="004F39B3">
              <w:rPr>
                <w:rFonts w:ascii="Times New Roman" w:hAnsi="Times New Roman"/>
                <w:sz w:val="16"/>
                <w:szCs w:val="16"/>
              </w:rPr>
              <w:t>Finansinis rodiklis</w:t>
            </w:r>
          </w:p>
        </w:tc>
        <w:tc>
          <w:tcPr>
            <w:tcW w:w="2268" w:type="dxa"/>
            <w:shd w:val="clear" w:color="auto" w:fill="FFFFFF"/>
          </w:tcPr>
          <w:p w:rsidR="001E0FD8" w:rsidRPr="004F39B3" w:rsidRDefault="001E0FD8" w:rsidP="00385835">
            <w:pPr>
              <w:spacing w:after="0" w:line="240" w:lineRule="auto"/>
              <w:rPr>
                <w:rFonts w:ascii="Times New Roman" w:hAnsi="Times New Roman"/>
                <w:i/>
                <w:sz w:val="16"/>
                <w:szCs w:val="16"/>
              </w:rPr>
            </w:pPr>
            <w:r w:rsidRPr="004F39B3">
              <w:rPr>
                <w:rFonts w:ascii="Times New Roman" w:hAnsi="Times New Roman"/>
                <w:color w:val="000000"/>
                <w:sz w:val="16"/>
                <w:szCs w:val="16"/>
              </w:rPr>
              <w:t>Bendra tinkamų finansuoti išlaidų suma pripažinta tinkama deklaruoti EK</w:t>
            </w:r>
          </w:p>
        </w:tc>
        <w:tc>
          <w:tcPr>
            <w:tcW w:w="992" w:type="dxa"/>
            <w:shd w:val="clear" w:color="auto" w:fill="FFFFFF"/>
          </w:tcPr>
          <w:p w:rsidR="001E0FD8" w:rsidRPr="004F39B3" w:rsidRDefault="001E0FD8" w:rsidP="00385835">
            <w:pPr>
              <w:spacing w:after="0" w:line="240" w:lineRule="auto"/>
              <w:jc w:val="center"/>
              <w:rPr>
                <w:rFonts w:ascii="Times New Roman" w:hAnsi="Times New Roman"/>
                <w:i/>
                <w:sz w:val="16"/>
                <w:szCs w:val="16"/>
              </w:rPr>
            </w:pPr>
            <w:r w:rsidRPr="004F39B3">
              <w:rPr>
                <w:rFonts w:ascii="Times New Roman" w:hAnsi="Times New Roman"/>
                <w:sz w:val="16"/>
                <w:szCs w:val="16"/>
              </w:rPr>
              <w:t>Eurai</w:t>
            </w:r>
          </w:p>
        </w:tc>
        <w:tc>
          <w:tcPr>
            <w:tcW w:w="851" w:type="dxa"/>
            <w:shd w:val="clear" w:color="auto" w:fill="FFFFFF"/>
          </w:tcPr>
          <w:p w:rsidR="001E0FD8" w:rsidRPr="004F39B3" w:rsidRDefault="001E0FD8" w:rsidP="00385835">
            <w:pPr>
              <w:spacing w:after="0" w:line="240" w:lineRule="auto"/>
              <w:jc w:val="center"/>
              <w:rPr>
                <w:rFonts w:ascii="Times New Roman" w:hAnsi="Times New Roman"/>
                <w:sz w:val="16"/>
                <w:szCs w:val="16"/>
              </w:rPr>
            </w:pPr>
            <w:r w:rsidRPr="004F39B3">
              <w:rPr>
                <w:rFonts w:ascii="Times New Roman" w:hAnsi="Times New Roman"/>
                <w:sz w:val="16"/>
                <w:szCs w:val="16"/>
              </w:rPr>
              <w:t>SaF</w:t>
            </w:r>
          </w:p>
        </w:tc>
        <w:tc>
          <w:tcPr>
            <w:tcW w:w="992" w:type="dxa"/>
            <w:shd w:val="clear" w:color="auto" w:fill="FFFFFF"/>
          </w:tcPr>
          <w:p w:rsidR="001E0FD8" w:rsidRPr="004F39B3" w:rsidRDefault="001E0FD8" w:rsidP="00515A37">
            <w:pPr>
              <w:jc w:val="center"/>
              <w:rPr>
                <w:rFonts w:ascii="Times New Roman" w:hAnsi="Times New Roman"/>
                <w:sz w:val="16"/>
                <w:szCs w:val="16"/>
              </w:rPr>
            </w:pPr>
            <w:r w:rsidRPr="004F39B3">
              <w:rPr>
                <w:rFonts w:ascii="Times New Roman" w:eastAsia="AngsanaUPC" w:hAnsi="Times New Roman"/>
                <w:bCs/>
                <w:sz w:val="16"/>
                <w:szCs w:val="16"/>
                <w:lang w:eastAsia="lt-LT"/>
              </w:rPr>
              <w:t>–</w:t>
            </w:r>
          </w:p>
        </w:tc>
        <w:tc>
          <w:tcPr>
            <w:tcW w:w="992" w:type="dxa"/>
            <w:shd w:val="clear" w:color="auto" w:fill="FFFFFF"/>
          </w:tcPr>
          <w:p w:rsidR="00DB150F" w:rsidRPr="004F39B3" w:rsidRDefault="00DB150F" w:rsidP="00C76808">
            <w:pPr>
              <w:spacing w:after="0" w:line="240" w:lineRule="auto"/>
              <w:jc w:val="center"/>
              <w:rPr>
                <w:rFonts w:ascii="Times New Roman" w:hAnsi="Times New Roman"/>
                <w:sz w:val="16"/>
                <w:szCs w:val="16"/>
              </w:rPr>
            </w:pPr>
            <w:r w:rsidRPr="004F39B3">
              <w:rPr>
                <w:rFonts w:ascii="Times New Roman" w:hAnsi="Times New Roman"/>
                <w:sz w:val="16"/>
                <w:szCs w:val="16"/>
              </w:rPr>
              <w:t>81.038.931</w:t>
            </w:r>
          </w:p>
        </w:tc>
        <w:tc>
          <w:tcPr>
            <w:tcW w:w="1134" w:type="dxa"/>
            <w:shd w:val="clear" w:color="auto" w:fill="FFFFFF"/>
          </w:tcPr>
          <w:p w:rsidR="001E0FD8" w:rsidRPr="004F39B3" w:rsidRDefault="00674AA6" w:rsidP="00E25536">
            <w:pPr>
              <w:spacing w:after="0" w:line="240" w:lineRule="auto"/>
              <w:jc w:val="center"/>
              <w:rPr>
                <w:rFonts w:ascii="Times New Roman" w:hAnsi="Times New Roman"/>
                <w:sz w:val="16"/>
                <w:szCs w:val="16"/>
              </w:rPr>
            </w:pPr>
            <w:r w:rsidRPr="004F39B3">
              <w:rPr>
                <w:rFonts w:ascii="Times New Roman" w:hAnsi="Times New Roman"/>
                <w:sz w:val="16"/>
                <w:szCs w:val="16"/>
              </w:rPr>
              <w:t>4</w:t>
            </w:r>
            <w:r w:rsidR="00C82C5E" w:rsidRPr="004F39B3">
              <w:rPr>
                <w:rFonts w:ascii="Times New Roman" w:hAnsi="Times New Roman"/>
                <w:sz w:val="16"/>
                <w:szCs w:val="16"/>
              </w:rPr>
              <w:t>28</w:t>
            </w:r>
            <w:r w:rsidR="00C76808" w:rsidRPr="004F39B3">
              <w:rPr>
                <w:rFonts w:ascii="Times New Roman" w:hAnsi="Times New Roman"/>
                <w:sz w:val="16"/>
                <w:szCs w:val="16"/>
              </w:rPr>
              <w:t>.</w:t>
            </w:r>
            <w:r w:rsidR="00C82C5E" w:rsidRPr="004F39B3">
              <w:rPr>
                <w:rFonts w:ascii="Times New Roman" w:hAnsi="Times New Roman"/>
                <w:sz w:val="16"/>
                <w:szCs w:val="16"/>
              </w:rPr>
              <w:t>845</w:t>
            </w:r>
            <w:r w:rsidR="00C76808" w:rsidRPr="004F39B3">
              <w:rPr>
                <w:rFonts w:ascii="Times New Roman" w:hAnsi="Times New Roman"/>
                <w:sz w:val="16"/>
                <w:szCs w:val="16"/>
              </w:rPr>
              <w:t>.</w:t>
            </w:r>
            <w:r w:rsidR="00C82C5E" w:rsidRPr="004F39B3">
              <w:rPr>
                <w:rFonts w:ascii="Times New Roman" w:hAnsi="Times New Roman"/>
                <w:sz w:val="16"/>
                <w:szCs w:val="16"/>
              </w:rPr>
              <w:t>215</w:t>
            </w:r>
          </w:p>
        </w:tc>
        <w:tc>
          <w:tcPr>
            <w:tcW w:w="993" w:type="dxa"/>
            <w:shd w:val="clear" w:color="auto" w:fill="FFFFFF"/>
          </w:tcPr>
          <w:p w:rsidR="001E0FD8" w:rsidRPr="004F39B3" w:rsidRDefault="001E0FD8" w:rsidP="00385835">
            <w:pPr>
              <w:spacing w:after="0" w:line="240" w:lineRule="auto"/>
              <w:jc w:val="center"/>
              <w:rPr>
                <w:rFonts w:ascii="Times New Roman" w:hAnsi="Times New Roman"/>
                <w:sz w:val="16"/>
                <w:szCs w:val="16"/>
              </w:rPr>
            </w:pPr>
            <w:r w:rsidRPr="004F39B3">
              <w:rPr>
                <w:rFonts w:ascii="Times New Roman" w:hAnsi="Times New Roman"/>
                <w:sz w:val="16"/>
                <w:szCs w:val="16"/>
              </w:rPr>
              <w:t>Duomenys iš projektų</w:t>
            </w:r>
          </w:p>
        </w:tc>
        <w:tc>
          <w:tcPr>
            <w:tcW w:w="4536" w:type="dxa"/>
            <w:shd w:val="clear" w:color="auto" w:fill="FFFFFF"/>
          </w:tcPr>
          <w:p w:rsidR="001E0FD8" w:rsidRPr="004F39B3" w:rsidRDefault="001E0FD8" w:rsidP="00385835">
            <w:pPr>
              <w:spacing w:after="0" w:line="240" w:lineRule="auto"/>
              <w:rPr>
                <w:rFonts w:ascii="Times New Roman" w:hAnsi="Times New Roman"/>
                <w:sz w:val="16"/>
                <w:szCs w:val="16"/>
              </w:rPr>
            </w:pPr>
            <w:r w:rsidRPr="004F39B3">
              <w:rPr>
                <w:rFonts w:ascii="Times New Roman" w:hAnsi="Times New Roman"/>
                <w:sz w:val="16"/>
                <w:szCs w:val="16"/>
              </w:rPr>
              <w:t>Privalomas rodiklis, kuris atspindi finansinę prioriteto įgyvendinimo pažangą.</w:t>
            </w:r>
          </w:p>
        </w:tc>
      </w:tr>
      <w:tr w:rsidR="00515A37" w:rsidRPr="004F39B3" w:rsidTr="004F39B3">
        <w:tc>
          <w:tcPr>
            <w:tcW w:w="1276" w:type="dxa"/>
            <w:shd w:val="clear" w:color="auto" w:fill="FFFFFF"/>
          </w:tcPr>
          <w:p w:rsidR="00515A37" w:rsidRPr="004F39B3" w:rsidRDefault="00515A37" w:rsidP="00385835">
            <w:pPr>
              <w:spacing w:after="0" w:line="240" w:lineRule="auto"/>
              <w:rPr>
                <w:rFonts w:ascii="Times New Roman" w:hAnsi="Times New Roman"/>
                <w:sz w:val="16"/>
                <w:szCs w:val="16"/>
              </w:rPr>
            </w:pPr>
            <w:r w:rsidRPr="004F39B3">
              <w:rPr>
                <w:rFonts w:ascii="Times New Roman" w:hAnsi="Times New Roman"/>
                <w:sz w:val="16"/>
                <w:szCs w:val="16"/>
              </w:rPr>
              <w:t>Produkto rodiklis</w:t>
            </w:r>
          </w:p>
        </w:tc>
        <w:tc>
          <w:tcPr>
            <w:tcW w:w="2268" w:type="dxa"/>
            <w:shd w:val="clear" w:color="auto" w:fill="FFFFFF"/>
          </w:tcPr>
          <w:p w:rsidR="00515A37" w:rsidRPr="004F39B3" w:rsidRDefault="00515A37" w:rsidP="00385835">
            <w:pPr>
              <w:spacing w:after="0" w:line="240" w:lineRule="auto"/>
              <w:rPr>
                <w:rFonts w:ascii="Times New Roman" w:hAnsi="Times New Roman"/>
                <w:sz w:val="16"/>
                <w:szCs w:val="16"/>
              </w:rPr>
            </w:pPr>
            <w:r w:rsidRPr="004F39B3">
              <w:rPr>
                <w:rFonts w:ascii="Times New Roman" w:hAnsi="Times New Roman"/>
                <w:sz w:val="16"/>
                <w:szCs w:val="16"/>
              </w:rPr>
              <w:t>Papildomi atsinaujinančių išteklių energijos gamybos pajėgumai</w:t>
            </w:r>
          </w:p>
        </w:tc>
        <w:tc>
          <w:tcPr>
            <w:tcW w:w="992" w:type="dxa"/>
            <w:shd w:val="clear" w:color="auto" w:fill="FFFFFF"/>
          </w:tcPr>
          <w:p w:rsidR="00515A37" w:rsidRPr="004F39B3" w:rsidRDefault="00515A37" w:rsidP="00385835">
            <w:pPr>
              <w:spacing w:after="0" w:line="240" w:lineRule="auto"/>
              <w:jc w:val="center"/>
              <w:rPr>
                <w:rFonts w:ascii="Times New Roman" w:hAnsi="Times New Roman"/>
                <w:bCs/>
                <w:sz w:val="16"/>
                <w:szCs w:val="16"/>
              </w:rPr>
            </w:pPr>
            <w:r w:rsidRPr="004F39B3">
              <w:rPr>
                <w:rFonts w:ascii="Times New Roman" w:hAnsi="Times New Roman"/>
                <w:bCs/>
                <w:sz w:val="16"/>
                <w:szCs w:val="16"/>
              </w:rPr>
              <w:t>MW</w:t>
            </w:r>
          </w:p>
        </w:tc>
        <w:tc>
          <w:tcPr>
            <w:tcW w:w="851" w:type="dxa"/>
            <w:shd w:val="clear" w:color="auto" w:fill="FFFFFF"/>
          </w:tcPr>
          <w:p w:rsidR="00515A37" w:rsidRPr="004F39B3" w:rsidRDefault="00515A37" w:rsidP="00385835">
            <w:pPr>
              <w:spacing w:after="0" w:line="240" w:lineRule="auto"/>
              <w:jc w:val="center"/>
              <w:rPr>
                <w:rFonts w:ascii="Times New Roman" w:hAnsi="Times New Roman"/>
                <w:bCs/>
                <w:sz w:val="16"/>
                <w:szCs w:val="16"/>
              </w:rPr>
            </w:pPr>
            <w:r w:rsidRPr="004F39B3">
              <w:rPr>
                <w:rFonts w:ascii="Times New Roman" w:hAnsi="Times New Roman"/>
                <w:bCs/>
                <w:sz w:val="16"/>
                <w:szCs w:val="16"/>
              </w:rPr>
              <w:t>SaF</w:t>
            </w:r>
          </w:p>
        </w:tc>
        <w:tc>
          <w:tcPr>
            <w:tcW w:w="992" w:type="dxa"/>
            <w:shd w:val="clear" w:color="auto" w:fill="FFFFFF"/>
          </w:tcPr>
          <w:p w:rsidR="00515A37" w:rsidRPr="004F39B3" w:rsidRDefault="00515A37" w:rsidP="00515A37">
            <w:pPr>
              <w:jc w:val="center"/>
              <w:rPr>
                <w:rFonts w:ascii="Times New Roman" w:hAnsi="Times New Roman"/>
                <w:sz w:val="16"/>
                <w:szCs w:val="16"/>
              </w:rPr>
            </w:pPr>
            <w:r w:rsidRPr="004F39B3">
              <w:rPr>
                <w:rFonts w:ascii="Times New Roman" w:eastAsia="AngsanaUPC" w:hAnsi="Times New Roman"/>
                <w:bCs/>
                <w:sz w:val="16"/>
                <w:szCs w:val="16"/>
                <w:lang w:eastAsia="lt-LT"/>
              </w:rPr>
              <w:t>–</w:t>
            </w:r>
          </w:p>
        </w:tc>
        <w:tc>
          <w:tcPr>
            <w:tcW w:w="992" w:type="dxa"/>
            <w:shd w:val="clear" w:color="auto" w:fill="FFFFFF"/>
          </w:tcPr>
          <w:p w:rsidR="00515A37" w:rsidRPr="004F39B3" w:rsidRDefault="00515A37" w:rsidP="00385835">
            <w:pPr>
              <w:spacing w:after="0" w:line="240" w:lineRule="auto"/>
              <w:jc w:val="center"/>
              <w:rPr>
                <w:rFonts w:ascii="Times New Roman" w:hAnsi="Times New Roman"/>
                <w:sz w:val="16"/>
                <w:szCs w:val="16"/>
              </w:rPr>
            </w:pPr>
            <w:r w:rsidRPr="004F39B3">
              <w:rPr>
                <w:rFonts w:ascii="Times New Roman" w:hAnsi="Times New Roman"/>
                <w:sz w:val="16"/>
                <w:szCs w:val="16"/>
              </w:rPr>
              <w:t>0</w:t>
            </w:r>
          </w:p>
        </w:tc>
        <w:tc>
          <w:tcPr>
            <w:tcW w:w="1134" w:type="dxa"/>
            <w:shd w:val="clear" w:color="auto" w:fill="FFFFFF"/>
          </w:tcPr>
          <w:p w:rsidR="00515A37" w:rsidRPr="004F39B3" w:rsidRDefault="00C82C5E" w:rsidP="007F34F1">
            <w:pPr>
              <w:spacing w:after="0" w:line="240" w:lineRule="auto"/>
              <w:jc w:val="center"/>
              <w:rPr>
                <w:rFonts w:ascii="Times New Roman" w:hAnsi="Times New Roman"/>
                <w:sz w:val="16"/>
                <w:szCs w:val="16"/>
              </w:rPr>
            </w:pPr>
            <w:r w:rsidRPr="004F39B3">
              <w:rPr>
                <w:rFonts w:ascii="Times New Roman" w:hAnsi="Times New Roman"/>
                <w:sz w:val="16"/>
                <w:szCs w:val="16"/>
              </w:rPr>
              <w:t>423</w:t>
            </w:r>
          </w:p>
        </w:tc>
        <w:tc>
          <w:tcPr>
            <w:tcW w:w="993" w:type="dxa"/>
            <w:shd w:val="clear" w:color="auto" w:fill="FFFFFF"/>
          </w:tcPr>
          <w:p w:rsidR="00515A37" w:rsidRPr="004F39B3" w:rsidDel="007F0983" w:rsidRDefault="00515A37" w:rsidP="00385835">
            <w:pPr>
              <w:spacing w:after="0" w:line="240" w:lineRule="auto"/>
              <w:jc w:val="center"/>
              <w:rPr>
                <w:rFonts w:ascii="Times New Roman" w:hAnsi="Times New Roman"/>
                <w:sz w:val="16"/>
                <w:szCs w:val="16"/>
              </w:rPr>
            </w:pPr>
            <w:r w:rsidRPr="004F39B3">
              <w:rPr>
                <w:rFonts w:ascii="Times New Roman" w:hAnsi="Times New Roman"/>
                <w:sz w:val="16"/>
                <w:szCs w:val="16"/>
              </w:rPr>
              <w:t>Duomenys iš projektų</w:t>
            </w:r>
          </w:p>
        </w:tc>
        <w:tc>
          <w:tcPr>
            <w:tcW w:w="4536" w:type="dxa"/>
            <w:shd w:val="clear" w:color="auto" w:fill="FFFFFF"/>
          </w:tcPr>
          <w:p w:rsidR="00515A37" w:rsidRPr="004F39B3" w:rsidRDefault="00515A37" w:rsidP="00E25536">
            <w:pPr>
              <w:spacing w:after="0" w:line="240" w:lineRule="auto"/>
              <w:rPr>
                <w:rFonts w:ascii="Times New Roman" w:hAnsi="Times New Roman"/>
                <w:sz w:val="16"/>
                <w:szCs w:val="16"/>
              </w:rPr>
            </w:pPr>
            <w:r w:rsidRPr="004F39B3">
              <w:rPr>
                <w:rFonts w:ascii="Times New Roman" w:hAnsi="Times New Roman"/>
                <w:sz w:val="16"/>
                <w:szCs w:val="16"/>
              </w:rPr>
              <w:t xml:space="preserve">Rodiklis atspindi prioriteto įgyvendinimo eigą, nes jo pasiekimui skirta </w:t>
            </w:r>
            <w:r w:rsidR="00C82C5E" w:rsidRPr="004F39B3">
              <w:rPr>
                <w:rFonts w:ascii="Times New Roman" w:hAnsi="Times New Roman"/>
                <w:sz w:val="16"/>
                <w:szCs w:val="16"/>
              </w:rPr>
              <w:t>36</w:t>
            </w:r>
            <w:r w:rsidRPr="004F39B3">
              <w:rPr>
                <w:rFonts w:ascii="Times New Roman" w:hAnsi="Times New Roman"/>
                <w:sz w:val="16"/>
                <w:szCs w:val="16"/>
              </w:rPr>
              <w:t xml:space="preserve"> proc. šio prioriteto įgyvendinimui skirtų SaF lėšų.</w:t>
            </w:r>
          </w:p>
        </w:tc>
      </w:tr>
      <w:tr w:rsidR="00515A37" w:rsidRPr="004F39B3" w:rsidTr="004F39B3">
        <w:tc>
          <w:tcPr>
            <w:tcW w:w="1276" w:type="dxa"/>
            <w:shd w:val="clear" w:color="auto" w:fill="FFFFFF"/>
          </w:tcPr>
          <w:p w:rsidR="00515A37" w:rsidRPr="004F39B3" w:rsidRDefault="00515A37" w:rsidP="00385835">
            <w:pPr>
              <w:spacing w:after="0" w:line="240" w:lineRule="auto"/>
              <w:rPr>
                <w:rFonts w:ascii="Times New Roman" w:hAnsi="Times New Roman"/>
                <w:sz w:val="16"/>
                <w:szCs w:val="16"/>
              </w:rPr>
            </w:pPr>
            <w:r w:rsidRPr="004F39B3">
              <w:rPr>
                <w:rFonts w:ascii="Times New Roman" w:hAnsi="Times New Roman"/>
                <w:sz w:val="16"/>
                <w:szCs w:val="16"/>
              </w:rPr>
              <w:t>Įgyvendinimo žingsnis</w:t>
            </w:r>
          </w:p>
        </w:tc>
        <w:tc>
          <w:tcPr>
            <w:tcW w:w="2268" w:type="dxa"/>
            <w:shd w:val="clear" w:color="auto" w:fill="FFFFFF"/>
          </w:tcPr>
          <w:p w:rsidR="00515A37" w:rsidRPr="004F39B3" w:rsidRDefault="00515A37" w:rsidP="00385835">
            <w:pPr>
              <w:spacing w:after="0" w:line="240" w:lineRule="auto"/>
              <w:rPr>
                <w:rFonts w:ascii="Times New Roman" w:hAnsi="Times New Roman"/>
                <w:sz w:val="16"/>
                <w:szCs w:val="16"/>
              </w:rPr>
            </w:pPr>
            <w:r w:rsidRPr="004F39B3">
              <w:rPr>
                <w:rFonts w:ascii="Times New Roman" w:hAnsi="Times New Roman"/>
                <w:sz w:val="16"/>
                <w:szCs w:val="16"/>
              </w:rPr>
              <w:t>Projektų finansavimo ir administravimo sutartyse suplanuoja</w:t>
            </w:r>
            <w:proofErr w:type="gramStart"/>
            <w:r w:rsidRPr="004F39B3">
              <w:rPr>
                <w:rFonts w:ascii="Times New Roman" w:hAnsi="Times New Roman"/>
                <w:sz w:val="16"/>
                <w:szCs w:val="16"/>
              </w:rPr>
              <w:t xml:space="preserve">  </w:t>
            </w:r>
            <w:proofErr w:type="gramEnd"/>
            <w:r w:rsidRPr="004F39B3">
              <w:rPr>
                <w:rFonts w:ascii="Times New Roman" w:hAnsi="Times New Roman"/>
                <w:sz w:val="16"/>
                <w:szCs w:val="16"/>
              </w:rPr>
              <w:t>produkto rodiklio „Papildomi atsinaujinančių išteklių energijos gamybos pajėgumai“ reikšmė</w:t>
            </w:r>
          </w:p>
        </w:tc>
        <w:tc>
          <w:tcPr>
            <w:tcW w:w="992" w:type="dxa"/>
            <w:shd w:val="clear" w:color="auto" w:fill="FFFFFF"/>
          </w:tcPr>
          <w:p w:rsidR="00515A37" w:rsidRPr="004F39B3" w:rsidRDefault="00515A37" w:rsidP="00385835">
            <w:pPr>
              <w:spacing w:after="0" w:line="240" w:lineRule="auto"/>
              <w:jc w:val="center"/>
              <w:rPr>
                <w:rFonts w:ascii="Times New Roman" w:hAnsi="Times New Roman"/>
                <w:bCs/>
                <w:sz w:val="16"/>
                <w:szCs w:val="16"/>
              </w:rPr>
            </w:pPr>
            <w:r w:rsidRPr="004F39B3">
              <w:rPr>
                <w:rFonts w:ascii="Times New Roman" w:hAnsi="Times New Roman"/>
                <w:bCs/>
                <w:sz w:val="16"/>
                <w:szCs w:val="16"/>
              </w:rPr>
              <w:t>Skaičius</w:t>
            </w:r>
          </w:p>
        </w:tc>
        <w:tc>
          <w:tcPr>
            <w:tcW w:w="851" w:type="dxa"/>
            <w:shd w:val="clear" w:color="auto" w:fill="FFFFFF"/>
          </w:tcPr>
          <w:p w:rsidR="00515A37" w:rsidRPr="004F39B3" w:rsidRDefault="00515A37" w:rsidP="00385835">
            <w:pPr>
              <w:spacing w:after="0" w:line="240" w:lineRule="auto"/>
              <w:jc w:val="center"/>
              <w:rPr>
                <w:rFonts w:ascii="Times New Roman" w:hAnsi="Times New Roman"/>
                <w:bCs/>
                <w:sz w:val="16"/>
                <w:szCs w:val="16"/>
              </w:rPr>
            </w:pPr>
            <w:r w:rsidRPr="004F39B3">
              <w:rPr>
                <w:rFonts w:ascii="Times New Roman" w:hAnsi="Times New Roman"/>
                <w:bCs/>
                <w:sz w:val="16"/>
                <w:szCs w:val="16"/>
              </w:rPr>
              <w:t>SaF</w:t>
            </w:r>
          </w:p>
        </w:tc>
        <w:tc>
          <w:tcPr>
            <w:tcW w:w="992" w:type="dxa"/>
            <w:shd w:val="clear" w:color="auto" w:fill="FFFFFF"/>
          </w:tcPr>
          <w:p w:rsidR="00515A37" w:rsidRPr="004F39B3" w:rsidRDefault="00515A37" w:rsidP="00515A37">
            <w:pPr>
              <w:jc w:val="center"/>
              <w:rPr>
                <w:rFonts w:ascii="Times New Roman" w:hAnsi="Times New Roman"/>
                <w:sz w:val="16"/>
                <w:szCs w:val="16"/>
              </w:rPr>
            </w:pPr>
            <w:r w:rsidRPr="004F39B3">
              <w:rPr>
                <w:rFonts w:ascii="Times New Roman" w:eastAsia="AngsanaUPC" w:hAnsi="Times New Roman"/>
                <w:bCs/>
                <w:sz w:val="16"/>
                <w:szCs w:val="16"/>
                <w:lang w:eastAsia="lt-LT"/>
              </w:rPr>
              <w:t>–</w:t>
            </w:r>
          </w:p>
        </w:tc>
        <w:tc>
          <w:tcPr>
            <w:tcW w:w="992" w:type="dxa"/>
            <w:shd w:val="clear" w:color="auto" w:fill="FFFFFF"/>
          </w:tcPr>
          <w:p w:rsidR="00515A37" w:rsidRPr="004F39B3" w:rsidDel="007A4C7E" w:rsidRDefault="00515A37" w:rsidP="00385835">
            <w:pPr>
              <w:spacing w:after="0" w:line="240" w:lineRule="auto"/>
              <w:jc w:val="center"/>
              <w:rPr>
                <w:rFonts w:ascii="Times New Roman" w:hAnsi="Times New Roman"/>
                <w:sz w:val="16"/>
                <w:szCs w:val="16"/>
              </w:rPr>
            </w:pPr>
            <w:r w:rsidRPr="004F39B3">
              <w:rPr>
                <w:rFonts w:ascii="Times New Roman" w:hAnsi="Times New Roman"/>
                <w:sz w:val="16"/>
                <w:szCs w:val="16"/>
              </w:rPr>
              <w:t>200</w:t>
            </w:r>
          </w:p>
        </w:tc>
        <w:tc>
          <w:tcPr>
            <w:tcW w:w="1134" w:type="dxa"/>
            <w:shd w:val="clear" w:color="auto" w:fill="FFFFFF"/>
          </w:tcPr>
          <w:p w:rsidR="00515A37" w:rsidRPr="004F39B3" w:rsidRDefault="009B32E2" w:rsidP="00385835">
            <w:pPr>
              <w:spacing w:after="0" w:line="240" w:lineRule="auto"/>
              <w:jc w:val="center"/>
              <w:rPr>
                <w:rFonts w:ascii="Times New Roman" w:hAnsi="Times New Roman"/>
                <w:sz w:val="16"/>
                <w:szCs w:val="16"/>
              </w:rPr>
            </w:pPr>
            <w:r w:rsidRPr="004F39B3">
              <w:rPr>
                <w:rFonts w:ascii="Times New Roman" w:hAnsi="Times New Roman"/>
                <w:sz w:val="16"/>
                <w:szCs w:val="16"/>
              </w:rPr>
              <w:t>–</w:t>
            </w:r>
          </w:p>
        </w:tc>
        <w:tc>
          <w:tcPr>
            <w:tcW w:w="993" w:type="dxa"/>
            <w:shd w:val="clear" w:color="auto" w:fill="FFFFFF"/>
          </w:tcPr>
          <w:p w:rsidR="00515A37" w:rsidRPr="004F39B3" w:rsidRDefault="00515A37" w:rsidP="00385835">
            <w:pPr>
              <w:spacing w:after="0" w:line="240" w:lineRule="auto"/>
              <w:jc w:val="center"/>
              <w:rPr>
                <w:rFonts w:ascii="Times New Roman" w:hAnsi="Times New Roman"/>
                <w:sz w:val="16"/>
                <w:szCs w:val="16"/>
              </w:rPr>
            </w:pPr>
            <w:r w:rsidRPr="004F39B3">
              <w:rPr>
                <w:rFonts w:ascii="Times New Roman" w:hAnsi="Times New Roman"/>
                <w:sz w:val="16"/>
                <w:szCs w:val="16"/>
              </w:rPr>
              <w:t xml:space="preserve">Duomenys iš projektų </w:t>
            </w:r>
          </w:p>
        </w:tc>
        <w:tc>
          <w:tcPr>
            <w:tcW w:w="4536" w:type="dxa"/>
            <w:shd w:val="clear" w:color="auto" w:fill="FFFFFF"/>
          </w:tcPr>
          <w:p w:rsidR="00515A37" w:rsidRPr="004F39B3" w:rsidRDefault="009F0528" w:rsidP="009F0528">
            <w:pPr>
              <w:spacing w:after="0" w:line="240" w:lineRule="auto"/>
              <w:rPr>
                <w:rFonts w:ascii="Times New Roman" w:hAnsi="Times New Roman"/>
                <w:sz w:val="16"/>
                <w:szCs w:val="16"/>
              </w:rPr>
            </w:pPr>
            <w:r w:rsidRPr="004F39B3">
              <w:rPr>
                <w:rFonts w:ascii="Times New Roman" w:hAnsi="Times New Roman"/>
                <w:color w:val="000000"/>
                <w:sz w:val="16"/>
                <w:szCs w:val="16"/>
              </w:rPr>
              <w:t>Įgyvendinimo žingsnis pasirinktas, nes iki 2018 m. pabaigos nebus baigtų projektų: rodiklio bus siekiama įgyvendinant, iš esmės, vieną didelės apimties projektą, kuris nebus baigtas iki 2018 m. Projektų finansavimo ir administravimo sutartyje suplanuota produkto rodiklio reikšmė rodys, ar projekt</w:t>
            </w:r>
            <w:r w:rsidRPr="004F39B3">
              <w:rPr>
                <w:rFonts w:ascii="Times New Roman" w:hAnsi="Times New Roman"/>
                <w:strike/>
                <w:color w:val="000000"/>
                <w:sz w:val="16"/>
                <w:szCs w:val="16"/>
              </w:rPr>
              <w:t>a</w:t>
            </w:r>
            <w:r w:rsidRPr="004F39B3">
              <w:rPr>
                <w:rFonts w:ascii="Times New Roman" w:hAnsi="Times New Roman"/>
                <w:color w:val="000000"/>
                <w:sz w:val="16"/>
                <w:szCs w:val="16"/>
              </w:rPr>
              <w:t>is bus įgyvendintas numatyta apimtimi.</w:t>
            </w:r>
          </w:p>
        </w:tc>
      </w:tr>
      <w:tr w:rsidR="009F0528" w:rsidRPr="004F39B3" w:rsidTr="004F39B3">
        <w:tc>
          <w:tcPr>
            <w:tcW w:w="1276" w:type="dxa"/>
            <w:shd w:val="clear" w:color="auto" w:fill="FFFFFF"/>
          </w:tcPr>
          <w:p w:rsidR="009F0528" w:rsidRPr="004F39B3" w:rsidRDefault="009F0528" w:rsidP="00702647">
            <w:pPr>
              <w:widowControl w:val="0"/>
              <w:shd w:val="clear" w:color="auto" w:fill="FFFFFF"/>
              <w:spacing w:after="0" w:line="240" w:lineRule="auto"/>
              <w:textAlignment w:val="baseline"/>
              <w:rPr>
                <w:rFonts w:ascii="Times New Roman" w:hAnsi="Times New Roman"/>
                <w:color w:val="000000"/>
                <w:sz w:val="16"/>
                <w:szCs w:val="16"/>
              </w:rPr>
            </w:pPr>
            <w:r w:rsidRPr="004F39B3">
              <w:rPr>
                <w:rFonts w:ascii="Times New Roman" w:hAnsi="Times New Roman"/>
                <w:color w:val="000000"/>
                <w:sz w:val="16"/>
                <w:szCs w:val="16"/>
              </w:rPr>
              <w:t xml:space="preserve">Produkto rodiklis </w:t>
            </w:r>
          </w:p>
        </w:tc>
        <w:tc>
          <w:tcPr>
            <w:tcW w:w="2268" w:type="dxa"/>
            <w:shd w:val="clear" w:color="auto" w:fill="FFFFFF"/>
          </w:tcPr>
          <w:p w:rsidR="009F0528" w:rsidRPr="004F39B3" w:rsidRDefault="009F0528" w:rsidP="00702647">
            <w:pPr>
              <w:widowControl w:val="0"/>
              <w:shd w:val="clear" w:color="auto" w:fill="FFFFFF"/>
              <w:spacing w:after="0" w:line="240" w:lineRule="auto"/>
              <w:textAlignment w:val="baseline"/>
              <w:rPr>
                <w:rFonts w:ascii="Times New Roman" w:hAnsi="Times New Roman"/>
                <w:color w:val="000000"/>
                <w:sz w:val="16"/>
                <w:szCs w:val="16"/>
              </w:rPr>
            </w:pPr>
            <w:r w:rsidRPr="004F39B3">
              <w:rPr>
                <w:rFonts w:ascii="Times New Roman" w:hAnsi="Times New Roman"/>
                <w:color w:val="000000"/>
                <w:sz w:val="16"/>
                <w:szCs w:val="16"/>
              </w:rPr>
              <w:t>Modernizuoti centralizuoto šilumos tiekimo tinklai</w:t>
            </w:r>
          </w:p>
        </w:tc>
        <w:tc>
          <w:tcPr>
            <w:tcW w:w="992" w:type="dxa"/>
            <w:shd w:val="clear" w:color="auto" w:fill="FFFFFF"/>
          </w:tcPr>
          <w:p w:rsidR="009F0528" w:rsidRPr="004F39B3" w:rsidRDefault="009F0528" w:rsidP="00702647">
            <w:pPr>
              <w:widowControl w:val="0"/>
              <w:shd w:val="clear" w:color="auto" w:fill="FFFFFF"/>
              <w:spacing w:after="0" w:line="240" w:lineRule="auto"/>
              <w:jc w:val="center"/>
              <w:textAlignment w:val="baseline"/>
              <w:rPr>
                <w:rFonts w:ascii="Times New Roman" w:hAnsi="Times New Roman"/>
                <w:color w:val="000000"/>
                <w:sz w:val="16"/>
                <w:szCs w:val="16"/>
              </w:rPr>
            </w:pPr>
            <w:r w:rsidRPr="004F39B3">
              <w:rPr>
                <w:rFonts w:ascii="Times New Roman" w:hAnsi="Times New Roman"/>
                <w:color w:val="000000"/>
                <w:sz w:val="16"/>
                <w:szCs w:val="16"/>
              </w:rPr>
              <w:t>km</w:t>
            </w:r>
          </w:p>
        </w:tc>
        <w:tc>
          <w:tcPr>
            <w:tcW w:w="851" w:type="dxa"/>
            <w:shd w:val="clear" w:color="auto" w:fill="FFFFFF"/>
          </w:tcPr>
          <w:p w:rsidR="009F0528" w:rsidRPr="004F39B3" w:rsidRDefault="009F0528" w:rsidP="00702647">
            <w:pPr>
              <w:widowControl w:val="0"/>
              <w:shd w:val="clear" w:color="auto" w:fill="FFFFFF"/>
              <w:spacing w:after="0" w:line="240" w:lineRule="auto"/>
              <w:jc w:val="center"/>
              <w:textAlignment w:val="baseline"/>
              <w:rPr>
                <w:rFonts w:ascii="Times New Roman" w:hAnsi="Times New Roman"/>
                <w:color w:val="000000"/>
                <w:sz w:val="16"/>
                <w:szCs w:val="16"/>
              </w:rPr>
            </w:pPr>
            <w:r w:rsidRPr="004F39B3">
              <w:rPr>
                <w:rFonts w:ascii="Times New Roman" w:hAnsi="Times New Roman"/>
                <w:color w:val="000000"/>
                <w:sz w:val="16"/>
                <w:szCs w:val="16"/>
              </w:rPr>
              <w:t>SaF</w:t>
            </w:r>
          </w:p>
        </w:tc>
        <w:tc>
          <w:tcPr>
            <w:tcW w:w="992" w:type="dxa"/>
            <w:shd w:val="clear" w:color="auto" w:fill="FFFFFF"/>
          </w:tcPr>
          <w:p w:rsidR="009F0528" w:rsidRPr="004F39B3" w:rsidRDefault="009F0528" w:rsidP="00702647">
            <w:pPr>
              <w:widowControl w:val="0"/>
              <w:shd w:val="clear" w:color="auto" w:fill="FFFFFF"/>
              <w:spacing w:after="0" w:line="240" w:lineRule="auto"/>
              <w:jc w:val="center"/>
              <w:textAlignment w:val="baseline"/>
              <w:rPr>
                <w:rFonts w:ascii="Times New Roman" w:hAnsi="Times New Roman"/>
                <w:color w:val="000000"/>
                <w:sz w:val="16"/>
                <w:szCs w:val="16"/>
              </w:rPr>
            </w:pPr>
            <w:r w:rsidRPr="004F39B3">
              <w:rPr>
                <w:rFonts w:ascii="Times New Roman" w:hAnsi="Times New Roman"/>
                <w:color w:val="000000"/>
                <w:sz w:val="16"/>
                <w:szCs w:val="16"/>
              </w:rPr>
              <w:t>-</w:t>
            </w:r>
          </w:p>
        </w:tc>
        <w:tc>
          <w:tcPr>
            <w:tcW w:w="992" w:type="dxa"/>
            <w:shd w:val="clear" w:color="auto" w:fill="FFFFFF"/>
          </w:tcPr>
          <w:p w:rsidR="009F0528" w:rsidRPr="004F39B3" w:rsidRDefault="009F0528" w:rsidP="00702647">
            <w:pPr>
              <w:widowControl w:val="0"/>
              <w:shd w:val="clear" w:color="auto" w:fill="FFFFFF"/>
              <w:spacing w:after="0" w:line="240" w:lineRule="auto"/>
              <w:jc w:val="center"/>
              <w:textAlignment w:val="baseline"/>
              <w:rPr>
                <w:rFonts w:ascii="Times New Roman" w:hAnsi="Times New Roman"/>
                <w:color w:val="000000"/>
                <w:sz w:val="16"/>
                <w:szCs w:val="16"/>
              </w:rPr>
            </w:pPr>
            <w:r w:rsidRPr="004F39B3">
              <w:rPr>
                <w:rFonts w:ascii="Times New Roman" w:hAnsi="Times New Roman"/>
                <w:color w:val="000000"/>
                <w:sz w:val="16"/>
                <w:szCs w:val="16"/>
              </w:rPr>
              <w:t>150</w:t>
            </w:r>
          </w:p>
        </w:tc>
        <w:tc>
          <w:tcPr>
            <w:tcW w:w="1134" w:type="dxa"/>
            <w:shd w:val="clear" w:color="auto" w:fill="FFFFFF"/>
          </w:tcPr>
          <w:p w:rsidR="009F0528" w:rsidRPr="004F39B3" w:rsidRDefault="00E25536" w:rsidP="00702647">
            <w:pPr>
              <w:widowControl w:val="0"/>
              <w:shd w:val="clear" w:color="auto" w:fill="FFFFFF"/>
              <w:spacing w:after="0" w:line="240" w:lineRule="auto"/>
              <w:jc w:val="center"/>
              <w:textAlignment w:val="baseline"/>
              <w:rPr>
                <w:rFonts w:ascii="Times New Roman" w:hAnsi="Times New Roman"/>
                <w:color w:val="000000"/>
                <w:sz w:val="16"/>
                <w:szCs w:val="16"/>
              </w:rPr>
            </w:pPr>
            <w:r w:rsidRPr="004F39B3">
              <w:rPr>
                <w:rFonts w:ascii="Times New Roman" w:hAnsi="Times New Roman"/>
                <w:color w:val="000000"/>
                <w:sz w:val="16"/>
                <w:szCs w:val="16"/>
              </w:rPr>
              <w:t>1.0</w:t>
            </w:r>
            <w:r w:rsidR="009F0528" w:rsidRPr="004F39B3">
              <w:rPr>
                <w:rFonts w:ascii="Times New Roman" w:hAnsi="Times New Roman"/>
                <w:color w:val="000000"/>
                <w:sz w:val="16"/>
                <w:szCs w:val="16"/>
              </w:rPr>
              <w:t>00</w:t>
            </w:r>
          </w:p>
        </w:tc>
        <w:tc>
          <w:tcPr>
            <w:tcW w:w="993" w:type="dxa"/>
            <w:shd w:val="clear" w:color="auto" w:fill="FFFFFF"/>
          </w:tcPr>
          <w:p w:rsidR="009F0528" w:rsidRPr="004F39B3" w:rsidRDefault="009F0528" w:rsidP="00702647">
            <w:pPr>
              <w:widowControl w:val="0"/>
              <w:shd w:val="clear" w:color="auto" w:fill="FFFFFF"/>
              <w:spacing w:after="0" w:line="240" w:lineRule="auto"/>
              <w:jc w:val="center"/>
              <w:textAlignment w:val="baseline"/>
              <w:rPr>
                <w:rFonts w:ascii="Times New Roman" w:hAnsi="Times New Roman"/>
                <w:color w:val="000000"/>
                <w:sz w:val="16"/>
                <w:szCs w:val="16"/>
              </w:rPr>
            </w:pPr>
            <w:r w:rsidRPr="004F39B3">
              <w:rPr>
                <w:rFonts w:ascii="Times New Roman" w:hAnsi="Times New Roman"/>
                <w:color w:val="000000"/>
                <w:sz w:val="16"/>
                <w:szCs w:val="16"/>
              </w:rPr>
              <w:t xml:space="preserve">Duomenys iš projektų </w:t>
            </w:r>
          </w:p>
        </w:tc>
        <w:tc>
          <w:tcPr>
            <w:tcW w:w="4536" w:type="dxa"/>
            <w:shd w:val="clear" w:color="auto" w:fill="FFFFFF"/>
          </w:tcPr>
          <w:p w:rsidR="009F0528" w:rsidRPr="004F39B3" w:rsidRDefault="009F0528" w:rsidP="00E25536">
            <w:pPr>
              <w:widowControl w:val="0"/>
              <w:shd w:val="clear" w:color="auto" w:fill="FFFFFF"/>
              <w:spacing w:after="0" w:line="240" w:lineRule="auto"/>
              <w:textAlignment w:val="baseline"/>
              <w:rPr>
                <w:rFonts w:ascii="Times New Roman" w:hAnsi="Times New Roman"/>
                <w:color w:val="000000"/>
                <w:sz w:val="16"/>
                <w:szCs w:val="16"/>
              </w:rPr>
            </w:pPr>
            <w:r w:rsidRPr="004F39B3">
              <w:rPr>
                <w:rFonts w:ascii="Times New Roman" w:hAnsi="Times New Roman"/>
                <w:color w:val="000000"/>
                <w:sz w:val="16"/>
                <w:szCs w:val="16"/>
              </w:rPr>
              <w:t xml:space="preserve">Rodiklis atspindi prioriteto įgyvendinimo eigą, nes jo pasiekimui skirta </w:t>
            </w:r>
            <w:r w:rsidR="00E25536" w:rsidRPr="004F39B3">
              <w:rPr>
                <w:rFonts w:ascii="Times New Roman" w:hAnsi="Times New Roman"/>
                <w:color w:val="000000"/>
                <w:sz w:val="16"/>
                <w:szCs w:val="16"/>
              </w:rPr>
              <w:t>22</w:t>
            </w:r>
            <w:r w:rsidRPr="004F39B3">
              <w:rPr>
                <w:rFonts w:ascii="Times New Roman" w:hAnsi="Times New Roman"/>
                <w:color w:val="000000"/>
                <w:sz w:val="16"/>
                <w:szCs w:val="16"/>
              </w:rPr>
              <w:t xml:space="preserve"> proc. šio prioriteto įgyvendinimui skirtų SaF lėšų.</w:t>
            </w:r>
          </w:p>
        </w:tc>
      </w:tr>
    </w:tbl>
    <w:p w:rsidR="00385835" w:rsidRPr="00385835" w:rsidRDefault="00385835" w:rsidP="00385835">
      <w:pPr>
        <w:spacing w:after="0" w:line="240" w:lineRule="auto"/>
        <w:rPr>
          <w:rFonts w:ascii="Times New Roman" w:hAnsi="Times New Roman"/>
          <w:sz w:val="24"/>
          <w:szCs w:val="24"/>
        </w:rPr>
      </w:pPr>
    </w:p>
    <w:p w:rsidR="00385835" w:rsidRPr="00385835" w:rsidRDefault="00385835" w:rsidP="00385835">
      <w:pPr>
        <w:autoSpaceDE w:val="0"/>
        <w:autoSpaceDN w:val="0"/>
        <w:adjustRightInd w:val="0"/>
        <w:spacing w:after="0" w:line="240" w:lineRule="auto"/>
        <w:ind w:firstLine="851"/>
        <w:jc w:val="both"/>
        <w:rPr>
          <w:rFonts w:ascii="Times New Roman" w:hAnsi="Times New Roman"/>
          <w:sz w:val="24"/>
          <w:szCs w:val="24"/>
          <w:lang w:eastAsia="lt-LT"/>
        </w:rPr>
      </w:pPr>
      <w:r w:rsidRPr="00385835">
        <w:rPr>
          <w:rFonts w:ascii="Times New Roman" w:hAnsi="Times New Roman"/>
          <w:color w:val="000000"/>
          <w:sz w:val="24"/>
          <w:szCs w:val="24"/>
        </w:rPr>
        <w:t>Į veiklos peržiūros planą įtrauktų ERPF rodiklių tarpinės ir galutinės reikšmės nustatytos, įvertinus istorinius ankstesnio programavimo laikotarpio lėšų panaudojimo ir rodiklių pasiekimo duomenis, t.</w:t>
      </w:r>
      <w:r w:rsidR="00E25536">
        <w:rPr>
          <w:rFonts w:ascii="Times New Roman" w:hAnsi="Times New Roman"/>
          <w:color w:val="000000"/>
          <w:sz w:val="24"/>
          <w:szCs w:val="24"/>
        </w:rPr>
        <w:t xml:space="preserve"> </w:t>
      </w:r>
      <w:r w:rsidRPr="00385835">
        <w:rPr>
          <w:rFonts w:ascii="Times New Roman" w:hAnsi="Times New Roman"/>
          <w:color w:val="000000"/>
          <w:sz w:val="24"/>
          <w:szCs w:val="24"/>
        </w:rPr>
        <w:t xml:space="preserve">y. įgyvendinant panašaus pobūdžio intervencijas per analogišką laikotarpį pasiektas rodiklių reikšmes, tuo pačiu atsižvelgiant į šiame programavimo laikotarpyje numatomas investicijų ir veiklų apimtis. Nustatant tarpines rodiklių reikšmes, taip pat atsižvelgta į sektoriaus pasirengimą panaudoti </w:t>
      </w:r>
      <w:r w:rsidR="000F4AE6">
        <w:rPr>
          <w:rFonts w:ascii="Times New Roman" w:hAnsi="Times New Roman"/>
          <w:color w:val="000000"/>
          <w:sz w:val="24"/>
          <w:szCs w:val="24"/>
        </w:rPr>
        <w:t>ES fondų</w:t>
      </w:r>
      <w:r w:rsidRPr="00385835">
        <w:rPr>
          <w:rFonts w:ascii="Times New Roman" w:hAnsi="Times New Roman"/>
          <w:color w:val="000000"/>
          <w:sz w:val="24"/>
          <w:szCs w:val="24"/>
        </w:rPr>
        <w:t xml:space="preserve"> lėšas – poreikį tęsti paskolų teikimo būdą daugiabučių atnaujinimo projektų finansavimui. </w:t>
      </w:r>
    </w:p>
    <w:p w:rsidR="00AC33BC" w:rsidRPr="00385835" w:rsidRDefault="00385835" w:rsidP="002447B3">
      <w:pPr>
        <w:autoSpaceDE w:val="0"/>
        <w:autoSpaceDN w:val="0"/>
        <w:adjustRightInd w:val="0"/>
        <w:spacing w:after="0" w:line="240" w:lineRule="auto"/>
        <w:ind w:firstLine="851"/>
        <w:jc w:val="both"/>
        <w:rPr>
          <w:rFonts w:ascii="Times New Roman" w:hAnsi="Times New Roman"/>
          <w:sz w:val="24"/>
          <w:szCs w:val="24"/>
        </w:rPr>
      </w:pPr>
      <w:r w:rsidRPr="00385835">
        <w:rPr>
          <w:rFonts w:ascii="Times New Roman" w:hAnsi="Times New Roman"/>
          <w:color w:val="000000"/>
          <w:sz w:val="24"/>
          <w:szCs w:val="24"/>
        </w:rPr>
        <w:t>Į veiklos peržiūros planą įtrauktų SaF rodiklių tarpinės ir galutinės reikšmės nustatytos, įvertinus istorinius ankstesnio programavimo laikotarpio lėšų panaudojimo ir rodiklių pasiekimo duomenis, t.</w:t>
      </w:r>
      <w:r w:rsidR="00E25536">
        <w:rPr>
          <w:rFonts w:ascii="Times New Roman" w:hAnsi="Times New Roman"/>
          <w:color w:val="000000"/>
          <w:sz w:val="24"/>
          <w:szCs w:val="24"/>
        </w:rPr>
        <w:t xml:space="preserve"> </w:t>
      </w:r>
      <w:r w:rsidRPr="00385835">
        <w:rPr>
          <w:rFonts w:ascii="Times New Roman" w:hAnsi="Times New Roman"/>
          <w:color w:val="000000"/>
          <w:sz w:val="24"/>
          <w:szCs w:val="24"/>
        </w:rPr>
        <w:t xml:space="preserve">y. įgyvendinant panašaus pobūdžio intervencijas per analogišką laikotarpį pasiektas rodiklių reikšmes, tuo pačiu atsižvelgiant į šiame programavimo laikotarpyje numatomas investicijų ir veiklų apimtis: </w:t>
      </w:r>
      <w:r w:rsidRPr="00385835">
        <w:rPr>
          <w:rFonts w:ascii="Times New Roman" w:hAnsi="Times New Roman"/>
          <w:sz w:val="24"/>
          <w:szCs w:val="24"/>
        </w:rPr>
        <w:t>tikėtiną paramos intensyvumą ir įgyvendinant panašaus pobūdžio intervencijas nustatytą vidutinį vieneto įkainį instaliuotam 1 MW elektros galios.</w:t>
      </w:r>
      <w:r w:rsidRPr="00385835">
        <w:rPr>
          <w:rFonts w:ascii="Times New Roman" w:hAnsi="Times New Roman"/>
          <w:color w:val="000000"/>
          <w:sz w:val="24"/>
          <w:szCs w:val="24"/>
        </w:rPr>
        <w:t xml:space="preserve"> Nustatant </w:t>
      </w:r>
      <w:r w:rsidRPr="00385835">
        <w:rPr>
          <w:rFonts w:ascii="Times New Roman" w:hAnsi="Times New Roman"/>
          <w:color w:val="000000"/>
          <w:sz w:val="24"/>
          <w:szCs w:val="24"/>
        </w:rPr>
        <w:lastRenderedPageBreak/>
        <w:t xml:space="preserve">tarpines rodiklių reikšmes, taip pat atsižvelgta į sektoriaus pasirengimą panaudoti </w:t>
      </w:r>
      <w:r w:rsidR="000F4AE6">
        <w:rPr>
          <w:rFonts w:ascii="Times New Roman" w:hAnsi="Times New Roman"/>
          <w:color w:val="000000"/>
          <w:sz w:val="24"/>
          <w:szCs w:val="24"/>
        </w:rPr>
        <w:t>ES fondų</w:t>
      </w:r>
      <w:r w:rsidRPr="00385835">
        <w:rPr>
          <w:rFonts w:ascii="Times New Roman" w:hAnsi="Times New Roman"/>
          <w:color w:val="000000"/>
          <w:sz w:val="24"/>
          <w:szCs w:val="24"/>
        </w:rPr>
        <w:t xml:space="preserve"> lėšas – poreikį</w:t>
      </w:r>
      <w:r w:rsidRPr="00385835">
        <w:rPr>
          <w:rFonts w:ascii="Times New Roman" w:hAnsi="Times New Roman"/>
          <w:sz w:val="24"/>
          <w:szCs w:val="24"/>
        </w:rPr>
        <w:t xml:space="preserve"> suderinti su EK valstybės pagalbos schemas bei didelės apimties projektus, taip pat institucinę patirtį administruojant </w:t>
      </w:r>
      <w:r w:rsidR="000F4AE6">
        <w:rPr>
          <w:rFonts w:ascii="Times New Roman" w:hAnsi="Times New Roman"/>
          <w:sz w:val="24"/>
          <w:szCs w:val="24"/>
        </w:rPr>
        <w:t>ES fondų</w:t>
      </w:r>
      <w:r w:rsidRPr="00385835">
        <w:rPr>
          <w:rFonts w:ascii="Times New Roman" w:hAnsi="Times New Roman"/>
          <w:sz w:val="24"/>
          <w:szCs w:val="24"/>
        </w:rPr>
        <w:t xml:space="preserve"> lėšas. </w:t>
      </w:r>
    </w:p>
    <w:p w:rsidR="00AC33BC" w:rsidRDefault="00AC33BC" w:rsidP="00385835">
      <w:pPr>
        <w:widowControl w:val="0"/>
        <w:tabs>
          <w:tab w:val="left" w:pos="622"/>
        </w:tabs>
        <w:spacing w:after="0" w:line="240" w:lineRule="auto"/>
        <w:jc w:val="both"/>
        <w:rPr>
          <w:rFonts w:ascii="Times New Roman" w:hAnsi="Times New Roman"/>
          <w:iCs/>
          <w:sz w:val="24"/>
          <w:szCs w:val="24"/>
        </w:rPr>
        <w:sectPr w:rsidR="00AC33BC" w:rsidSect="005B2280">
          <w:pgSz w:w="16838" w:h="11906" w:orient="landscape" w:code="9"/>
          <w:pgMar w:top="1701" w:right="1701" w:bottom="567" w:left="1134" w:header="567" w:footer="567" w:gutter="0"/>
          <w:cols w:space="1296"/>
          <w:docGrid w:linePitch="360"/>
        </w:sectPr>
      </w:pPr>
    </w:p>
    <w:p w:rsidR="008D1CA8" w:rsidRPr="002447B3" w:rsidRDefault="008D1CA8" w:rsidP="008D1CA8">
      <w:pPr>
        <w:widowControl w:val="0"/>
        <w:tabs>
          <w:tab w:val="left" w:pos="622"/>
        </w:tabs>
        <w:spacing w:after="0" w:line="240" w:lineRule="auto"/>
        <w:jc w:val="both"/>
        <w:rPr>
          <w:rFonts w:ascii="Times New Roman" w:hAnsi="Times New Roman"/>
          <w:b/>
          <w:bCs/>
          <w:iCs/>
          <w:sz w:val="18"/>
          <w:szCs w:val="18"/>
        </w:rPr>
      </w:pPr>
      <w:r w:rsidRPr="002447B3">
        <w:rPr>
          <w:rFonts w:ascii="Times New Roman" w:eastAsia="AngsanaUPC" w:hAnsi="Times New Roman"/>
          <w:b/>
          <w:bCs/>
          <w:i/>
          <w:iCs/>
          <w:sz w:val="24"/>
          <w:szCs w:val="24"/>
          <w:lang w:eastAsia="lt-LT"/>
        </w:rPr>
        <w:lastRenderedPageBreak/>
        <w:t>Numatomas išlaidų pasiskirstymas pagal kategorijas</w:t>
      </w:r>
    </w:p>
    <w:p w:rsidR="008D1CA8" w:rsidRPr="002447B3" w:rsidRDefault="008D1CA8" w:rsidP="008D1CA8">
      <w:pPr>
        <w:widowControl w:val="0"/>
        <w:tabs>
          <w:tab w:val="left" w:pos="622"/>
        </w:tabs>
        <w:spacing w:after="0" w:line="240" w:lineRule="auto"/>
        <w:jc w:val="both"/>
        <w:rPr>
          <w:rFonts w:ascii="Times New Roman" w:hAnsi="Times New Roman"/>
          <w:b/>
          <w:bCs/>
          <w:iCs/>
          <w:sz w:val="18"/>
          <w:szCs w:val="1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09"/>
        <w:gridCol w:w="6378"/>
        <w:gridCol w:w="1843"/>
      </w:tblGrid>
      <w:tr w:rsidR="008D1CA8" w:rsidRPr="002447B3" w:rsidTr="00322BE2">
        <w:trPr>
          <w:tblHeader/>
        </w:trPr>
        <w:tc>
          <w:tcPr>
            <w:tcW w:w="9781" w:type="dxa"/>
            <w:gridSpan w:val="4"/>
            <w:shd w:val="clear" w:color="auto" w:fill="EEECE1"/>
            <w:vAlign w:val="center"/>
          </w:tcPr>
          <w:p w:rsidR="008D1CA8" w:rsidRPr="002447B3" w:rsidRDefault="008D1CA8" w:rsidP="00322BE2">
            <w:pPr>
              <w:widowControl w:val="0"/>
              <w:tabs>
                <w:tab w:val="left" w:pos="622"/>
              </w:tabs>
              <w:spacing w:after="0" w:line="240" w:lineRule="auto"/>
              <w:jc w:val="both"/>
              <w:rPr>
                <w:rFonts w:ascii="Times New Roman" w:hAnsi="Times New Roman"/>
                <w:b/>
                <w:bCs/>
                <w:i/>
                <w:iCs/>
                <w:sz w:val="18"/>
                <w:szCs w:val="18"/>
              </w:rPr>
            </w:pPr>
            <w:r w:rsidRPr="002447B3">
              <w:rPr>
                <w:rFonts w:ascii="Times New Roman" w:hAnsi="Times New Roman"/>
                <w:b/>
                <w:bCs/>
                <w:i/>
                <w:iCs/>
                <w:sz w:val="18"/>
                <w:szCs w:val="18"/>
              </w:rPr>
              <w:t>Intervencinių veiksmų sritis</w:t>
            </w:r>
          </w:p>
        </w:tc>
      </w:tr>
      <w:tr w:rsidR="008D1CA8" w:rsidRPr="002447B3" w:rsidTr="003D4200">
        <w:tc>
          <w:tcPr>
            <w:tcW w:w="851" w:type="dxa"/>
            <w:shd w:val="clear" w:color="auto" w:fill="EEECE1"/>
            <w:vAlign w:val="center"/>
          </w:tcPr>
          <w:p w:rsidR="008D1CA8" w:rsidRPr="002447B3" w:rsidRDefault="008D1CA8" w:rsidP="00322BE2">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Fondas</w:t>
            </w:r>
          </w:p>
        </w:tc>
        <w:tc>
          <w:tcPr>
            <w:tcW w:w="709" w:type="dxa"/>
            <w:shd w:val="clear" w:color="auto" w:fill="EEECE1"/>
            <w:vAlign w:val="center"/>
          </w:tcPr>
          <w:p w:rsidR="008D1CA8" w:rsidRPr="002447B3" w:rsidRDefault="008D1CA8" w:rsidP="008D1CA8">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Kodas</w:t>
            </w:r>
          </w:p>
        </w:tc>
        <w:tc>
          <w:tcPr>
            <w:tcW w:w="6378" w:type="dxa"/>
            <w:shd w:val="clear" w:color="auto" w:fill="EEECE1"/>
            <w:vAlign w:val="center"/>
          </w:tcPr>
          <w:p w:rsidR="008D1CA8" w:rsidRPr="002447B3" w:rsidRDefault="008D1CA8" w:rsidP="00322BE2">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Pavadinimas</w:t>
            </w:r>
          </w:p>
        </w:tc>
        <w:tc>
          <w:tcPr>
            <w:tcW w:w="1843" w:type="dxa"/>
            <w:shd w:val="clear" w:color="auto" w:fill="EEECE1"/>
            <w:vAlign w:val="center"/>
          </w:tcPr>
          <w:p w:rsidR="008D1CA8" w:rsidRPr="002447B3" w:rsidRDefault="008D1CA8" w:rsidP="00322BE2">
            <w:pPr>
              <w:widowControl w:val="0"/>
              <w:tabs>
                <w:tab w:val="left" w:pos="622"/>
              </w:tabs>
              <w:spacing w:after="0" w:line="240" w:lineRule="auto"/>
              <w:jc w:val="center"/>
              <w:rPr>
                <w:rFonts w:ascii="Times New Roman" w:hAnsi="Times New Roman"/>
                <w:b/>
                <w:bCs/>
                <w:iCs/>
                <w:sz w:val="18"/>
                <w:szCs w:val="18"/>
              </w:rPr>
            </w:pPr>
            <w:r w:rsidRPr="002447B3">
              <w:rPr>
                <w:rFonts w:ascii="Times New Roman" w:hAnsi="Times New Roman"/>
                <w:b/>
                <w:bCs/>
                <w:iCs/>
                <w:sz w:val="18"/>
                <w:szCs w:val="18"/>
              </w:rPr>
              <w:t>Finansinė proporcija (eurais)</w:t>
            </w:r>
          </w:p>
        </w:tc>
      </w:tr>
      <w:tr w:rsidR="008D1CA8" w:rsidRPr="00C76808" w:rsidTr="003D4200">
        <w:tc>
          <w:tcPr>
            <w:tcW w:w="851" w:type="dxa"/>
            <w:shd w:val="clear" w:color="auto" w:fill="auto"/>
            <w:vAlign w:val="center"/>
          </w:tcPr>
          <w:p w:rsidR="008D1CA8" w:rsidRPr="00C76808" w:rsidRDefault="008D1CA8" w:rsidP="00322BE2">
            <w:pPr>
              <w:widowControl w:val="0"/>
              <w:tabs>
                <w:tab w:val="left" w:pos="622"/>
              </w:tabs>
              <w:spacing w:after="0" w:line="240" w:lineRule="auto"/>
              <w:rPr>
                <w:rFonts w:ascii="Times New Roman" w:eastAsia="AngsanaUPC" w:hAnsi="Times New Roman"/>
                <w:bCs/>
                <w:sz w:val="18"/>
                <w:szCs w:val="18"/>
                <w:lang w:val="en-GB" w:eastAsia="lt-LT"/>
              </w:rPr>
            </w:pPr>
            <w:r w:rsidRPr="00C76808">
              <w:rPr>
                <w:rFonts w:ascii="Times New Roman" w:eastAsia="AngsanaUPC" w:hAnsi="Times New Roman"/>
                <w:bCs/>
                <w:sz w:val="18"/>
                <w:szCs w:val="18"/>
                <w:lang w:val="en-GB" w:eastAsia="lt-LT"/>
              </w:rPr>
              <w:t>ERPF</w:t>
            </w:r>
          </w:p>
        </w:tc>
        <w:tc>
          <w:tcPr>
            <w:tcW w:w="709" w:type="dxa"/>
            <w:shd w:val="clear" w:color="auto" w:fill="auto"/>
            <w:vAlign w:val="center"/>
          </w:tcPr>
          <w:p w:rsidR="008D1CA8" w:rsidRPr="00C76808" w:rsidRDefault="003D4200" w:rsidP="00322BE2">
            <w:pPr>
              <w:widowControl w:val="0"/>
              <w:tabs>
                <w:tab w:val="left" w:pos="622"/>
              </w:tabs>
              <w:spacing w:after="0" w:line="240" w:lineRule="auto"/>
              <w:rPr>
                <w:rFonts w:ascii="Times New Roman" w:eastAsia="AngsanaUPC" w:hAnsi="Times New Roman"/>
                <w:bCs/>
                <w:sz w:val="18"/>
                <w:szCs w:val="18"/>
                <w:lang w:val="en-GB" w:eastAsia="lt-LT"/>
              </w:rPr>
            </w:pPr>
            <w:r w:rsidRPr="00C76808">
              <w:rPr>
                <w:rFonts w:ascii="Times New Roman" w:eastAsia="AngsanaUPC" w:hAnsi="Times New Roman"/>
                <w:bCs/>
                <w:sz w:val="18"/>
                <w:szCs w:val="18"/>
                <w:lang w:val="en-GB" w:eastAsia="lt-LT"/>
              </w:rPr>
              <w:t>0</w:t>
            </w:r>
            <w:r w:rsidR="008D1CA8" w:rsidRPr="00C76808">
              <w:rPr>
                <w:rFonts w:ascii="Times New Roman" w:eastAsia="AngsanaUPC" w:hAnsi="Times New Roman"/>
                <w:bCs/>
                <w:sz w:val="18"/>
                <w:szCs w:val="18"/>
                <w:lang w:val="en-GB" w:eastAsia="lt-LT"/>
              </w:rPr>
              <w:t>9</w:t>
            </w:r>
          </w:p>
        </w:tc>
        <w:tc>
          <w:tcPr>
            <w:tcW w:w="6378" w:type="dxa"/>
            <w:shd w:val="clear" w:color="auto" w:fill="auto"/>
            <w:vAlign w:val="center"/>
          </w:tcPr>
          <w:p w:rsidR="008D1CA8" w:rsidRPr="00C76808" w:rsidRDefault="008D1CA8" w:rsidP="00322BE2">
            <w:pPr>
              <w:widowControl w:val="0"/>
              <w:tabs>
                <w:tab w:val="left" w:pos="622"/>
              </w:tabs>
              <w:spacing w:after="0" w:line="240" w:lineRule="auto"/>
              <w:rPr>
                <w:rFonts w:ascii="Times New Roman" w:eastAsia="AngsanaUPC" w:hAnsi="Times New Roman"/>
                <w:bCs/>
                <w:sz w:val="18"/>
                <w:szCs w:val="18"/>
                <w:lang w:eastAsia="lt-LT"/>
              </w:rPr>
            </w:pPr>
            <w:r w:rsidRPr="00C76808">
              <w:rPr>
                <w:rFonts w:ascii="Times New Roman" w:eastAsia="AngsanaUPC" w:hAnsi="Times New Roman"/>
                <w:bCs/>
                <w:sz w:val="18"/>
                <w:szCs w:val="18"/>
                <w:lang w:eastAsia="lt-LT"/>
              </w:rPr>
              <w:t>Atsinaujinančioji energija: vėjo</w:t>
            </w:r>
          </w:p>
        </w:tc>
        <w:tc>
          <w:tcPr>
            <w:tcW w:w="1843" w:type="dxa"/>
            <w:shd w:val="clear" w:color="auto" w:fill="auto"/>
            <w:vAlign w:val="center"/>
          </w:tcPr>
          <w:p w:rsidR="008D1CA8" w:rsidRPr="00C76808" w:rsidRDefault="008D1CA8" w:rsidP="00E8768C">
            <w:pPr>
              <w:widowControl w:val="0"/>
              <w:tabs>
                <w:tab w:val="left" w:pos="622"/>
              </w:tabs>
              <w:spacing w:after="0" w:line="240" w:lineRule="auto"/>
              <w:jc w:val="right"/>
              <w:rPr>
                <w:rFonts w:ascii="Times New Roman" w:eastAsia="AngsanaUPC" w:hAnsi="Times New Roman"/>
                <w:bCs/>
                <w:sz w:val="18"/>
                <w:szCs w:val="18"/>
                <w:lang w:val="en-GB" w:eastAsia="lt-LT"/>
              </w:rPr>
            </w:pPr>
            <w:r w:rsidRPr="00C76808">
              <w:rPr>
                <w:rFonts w:ascii="Times New Roman" w:eastAsia="AngsanaUPC" w:hAnsi="Times New Roman"/>
                <w:bCs/>
                <w:sz w:val="18"/>
                <w:szCs w:val="18"/>
                <w:lang w:val="en-GB" w:eastAsia="lt-LT"/>
              </w:rPr>
              <w:t>1</w:t>
            </w:r>
            <w:r w:rsidR="00C76808" w:rsidRPr="00C76808">
              <w:rPr>
                <w:rFonts w:ascii="Times New Roman" w:eastAsia="AngsanaUPC" w:hAnsi="Times New Roman"/>
                <w:bCs/>
                <w:sz w:val="18"/>
                <w:szCs w:val="18"/>
                <w:lang w:val="en-GB" w:eastAsia="lt-LT"/>
              </w:rPr>
              <w:t>.</w:t>
            </w:r>
            <w:r w:rsidRPr="00C76808">
              <w:rPr>
                <w:rFonts w:ascii="Times New Roman" w:eastAsia="AngsanaUPC" w:hAnsi="Times New Roman"/>
                <w:bCs/>
                <w:sz w:val="18"/>
                <w:szCs w:val="18"/>
                <w:lang w:val="en-GB" w:eastAsia="lt-LT"/>
              </w:rPr>
              <w:t>158</w:t>
            </w:r>
            <w:r w:rsidR="00C76808" w:rsidRPr="00C76808">
              <w:rPr>
                <w:rFonts w:ascii="Times New Roman" w:eastAsia="AngsanaUPC" w:hAnsi="Times New Roman"/>
                <w:bCs/>
                <w:sz w:val="18"/>
                <w:szCs w:val="18"/>
                <w:lang w:val="en-GB" w:eastAsia="lt-LT"/>
              </w:rPr>
              <w:t>.</w:t>
            </w:r>
            <w:r w:rsidRPr="00C76808">
              <w:rPr>
                <w:rFonts w:ascii="Times New Roman" w:eastAsia="AngsanaUPC" w:hAnsi="Times New Roman"/>
                <w:bCs/>
                <w:sz w:val="18"/>
                <w:szCs w:val="18"/>
                <w:lang w:val="en-GB" w:eastAsia="lt-LT"/>
              </w:rPr>
              <w:t>480</w:t>
            </w:r>
          </w:p>
        </w:tc>
      </w:tr>
      <w:tr w:rsidR="008D1CA8" w:rsidRPr="00C76808" w:rsidTr="003D4200">
        <w:tc>
          <w:tcPr>
            <w:tcW w:w="851" w:type="dxa"/>
            <w:shd w:val="clear" w:color="auto" w:fill="auto"/>
            <w:vAlign w:val="center"/>
          </w:tcPr>
          <w:p w:rsidR="008D1CA8" w:rsidRPr="00C76808" w:rsidRDefault="008D1CA8" w:rsidP="00322BE2">
            <w:pPr>
              <w:widowControl w:val="0"/>
              <w:tabs>
                <w:tab w:val="left" w:pos="622"/>
              </w:tabs>
              <w:spacing w:after="0" w:line="240" w:lineRule="auto"/>
              <w:rPr>
                <w:rFonts w:ascii="Times New Roman" w:eastAsia="AngsanaUPC" w:hAnsi="Times New Roman"/>
                <w:bCs/>
                <w:sz w:val="18"/>
                <w:szCs w:val="18"/>
                <w:lang w:val="en-GB" w:eastAsia="lt-LT"/>
              </w:rPr>
            </w:pPr>
            <w:r w:rsidRPr="00C76808">
              <w:rPr>
                <w:rFonts w:ascii="Times New Roman" w:eastAsia="AngsanaUPC" w:hAnsi="Times New Roman"/>
                <w:bCs/>
                <w:sz w:val="18"/>
                <w:szCs w:val="18"/>
                <w:lang w:val="en-GB" w:eastAsia="lt-LT"/>
              </w:rPr>
              <w:t>ERPF</w:t>
            </w:r>
          </w:p>
        </w:tc>
        <w:tc>
          <w:tcPr>
            <w:tcW w:w="709" w:type="dxa"/>
            <w:shd w:val="clear" w:color="auto" w:fill="auto"/>
            <w:vAlign w:val="center"/>
          </w:tcPr>
          <w:p w:rsidR="008D1CA8" w:rsidRPr="00C76808" w:rsidRDefault="008D1CA8" w:rsidP="00322BE2">
            <w:pPr>
              <w:widowControl w:val="0"/>
              <w:tabs>
                <w:tab w:val="left" w:pos="622"/>
              </w:tabs>
              <w:spacing w:after="0" w:line="240" w:lineRule="auto"/>
              <w:rPr>
                <w:rFonts w:ascii="Times New Roman" w:eastAsia="AngsanaUPC" w:hAnsi="Times New Roman"/>
                <w:bCs/>
                <w:sz w:val="18"/>
                <w:szCs w:val="18"/>
                <w:lang w:val="en-GB" w:eastAsia="lt-LT"/>
              </w:rPr>
            </w:pPr>
            <w:r w:rsidRPr="00C76808">
              <w:rPr>
                <w:rFonts w:ascii="Times New Roman" w:eastAsia="AngsanaUPC" w:hAnsi="Times New Roman"/>
                <w:bCs/>
                <w:sz w:val="18"/>
                <w:szCs w:val="18"/>
                <w:lang w:val="en-GB" w:eastAsia="lt-LT"/>
              </w:rPr>
              <w:t>10</w:t>
            </w:r>
          </w:p>
        </w:tc>
        <w:tc>
          <w:tcPr>
            <w:tcW w:w="6378" w:type="dxa"/>
            <w:shd w:val="clear" w:color="auto" w:fill="auto"/>
            <w:vAlign w:val="center"/>
          </w:tcPr>
          <w:p w:rsidR="008D1CA8" w:rsidRPr="00C76808" w:rsidRDefault="008D1CA8" w:rsidP="00322BE2">
            <w:pPr>
              <w:widowControl w:val="0"/>
              <w:tabs>
                <w:tab w:val="left" w:pos="622"/>
              </w:tabs>
              <w:spacing w:after="0" w:line="240" w:lineRule="auto"/>
              <w:rPr>
                <w:rFonts w:ascii="Times New Roman" w:eastAsia="AngsanaUPC" w:hAnsi="Times New Roman"/>
                <w:bCs/>
                <w:sz w:val="18"/>
                <w:szCs w:val="18"/>
                <w:lang w:eastAsia="lt-LT"/>
              </w:rPr>
            </w:pPr>
            <w:r w:rsidRPr="00C76808">
              <w:rPr>
                <w:rFonts w:ascii="Times New Roman" w:eastAsia="AngsanaUPC" w:hAnsi="Times New Roman"/>
                <w:bCs/>
                <w:sz w:val="18"/>
                <w:szCs w:val="18"/>
                <w:lang w:eastAsia="lt-LT"/>
              </w:rPr>
              <w:t>Atsinaujinančioji energija: saulės</w:t>
            </w:r>
          </w:p>
        </w:tc>
        <w:tc>
          <w:tcPr>
            <w:tcW w:w="1843" w:type="dxa"/>
            <w:shd w:val="clear" w:color="auto" w:fill="auto"/>
            <w:vAlign w:val="center"/>
          </w:tcPr>
          <w:p w:rsidR="008D1CA8" w:rsidRPr="008F339D" w:rsidRDefault="00E25536" w:rsidP="00322BE2">
            <w:pPr>
              <w:widowControl w:val="0"/>
              <w:tabs>
                <w:tab w:val="left" w:pos="622"/>
              </w:tabs>
              <w:spacing w:after="0" w:line="240" w:lineRule="auto"/>
              <w:jc w:val="right"/>
              <w:rPr>
                <w:rFonts w:ascii="Times New Roman" w:eastAsia="AngsanaUPC" w:hAnsi="Times New Roman"/>
                <w:bCs/>
                <w:sz w:val="18"/>
                <w:szCs w:val="18"/>
                <w:lang w:val="en-GB" w:eastAsia="lt-LT"/>
              </w:rPr>
            </w:pPr>
            <w:r w:rsidRPr="008F339D">
              <w:rPr>
                <w:rFonts w:ascii="Times New Roman" w:eastAsia="AngsanaUPC" w:hAnsi="Times New Roman"/>
                <w:bCs/>
                <w:sz w:val="18"/>
                <w:szCs w:val="18"/>
                <w:lang w:eastAsia="lt-LT"/>
              </w:rPr>
              <w:t>14</w:t>
            </w:r>
            <w:r w:rsidR="00C76808" w:rsidRPr="008F339D">
              <w:rPr>
                <w:rFonts w:ascii="Times New Roman" w:eastAsia="AngsanaUPC" w:hAnsi="Times New Roman"/>
                <w:bCs/>
                <w:sz w:val="18"/>
                <w:szCs w:val="18"/>
                <w:lang w:eastAsia="lt-LT"/>
              </w:rPr>
              <w:t>.</w:t>
            </w:r>
            <w:r w:rsidRPr="008F339D">
              <w:rPr>
                <w:rFonts w:ascii="Times New Roman" w:eastAsia="AngsanaUPC" w:hAnsi="Times New Roman"/>
                <w:bCs/>
                <w:sz w:val="18"/>
                <w:szCs w:val="18"/>
                <w:lang w:eastAsia="lt-LT"/>
              </w:rPr>
              <w:t>359</w:t>
            </w:r>
            <w:r w:rsidR="00C76808" w:rsidRPr="008F339D">
              <w:rPr>
                <w:rFonts w:ascii="Times New Roman" w:eastAsia="AngsanaUPC" w:hAnsi="Times New Roman"/>
                <w:bCs/>
                <w:sz w:val="18"/>
                <w:szCs w:val="18"/>
                <w:lang w:eastAsia="lt-LT"/>
              </w:rPr>
              <w:t>.</w:t>
            </w:r>
            <w:r w:rsidRPr="008F339D">
              <w:rPr>
                <w:rFonts w:ascii="Times New Roman" w:eastAsia="AngsanaUPC" w:hAnsi="Times New Roman"/>
                <w:bCs/>
                <w:sz w:val="18"/>
                <w:szCs w:val="18"/>
                <w:lang w:eastAsia="lt-LT"/>
              </w:rPr>
              <w:t>8</w:t>
            </w:r>
            <w:r w:rsidR="00E8768C" w:rsidRPr="008F339D">
              <w:rPr>
                <w:rFonts w:ascii="Times New Roman" w:eastAsia="AngsanaUPC" w:hAnsi="Times New Roman"/>
                <w:bCs/>
                <w:sz w:val="18"/>
                <w:szCs w:val="18"/>
                <w:lang w:eastAsia="lt-LT"/>
              </w:rPr>
              <w:t>93</w:t>
            </w:r>
          </w:p>
        </w:tc>
      </w:tr>
      <w:tr w:rsidR="00E8768C" w:rsidRPr="00C76808" w:rsidTr="003D4200">
        <w:tc>
          <w:tcPr>
            <w:tcW w:w="851" w:type="dxa"/>
            <w:shd w:val="clear" w:color="auto" w:fill="auto"/>
            <w:vAlign w:val="center"/>
          </w:tcPr>
          <w:p w:rsidR="00E8768C" w:rsidRPr="00C76808" w:rsidRDefault="00E8768C" w:rsidP="00BE2E68">
            <w:pPr>
              <w:widowControl w:val="0"/>
              <w:tabs>
                <w:tab w:val="left" w:pos="622"/>
              </w:tabs>
              <w:spacing w:after="0" w:line="240" w:lineRule="auto"/>
              <w:rPr>
                <w:rFonts w:ascii="Times New Roman" w:eastAsia="AngsanaUPC" w:hAnsi="Times New Roman"/>
                <w:bCs/>
                <w:sz w:val="18"/>
                <w:szCs w:val="18"/>
                <w:lang w:eastAsia="lt-LT"/>
              </w:rPr>
            </w:pPr>
            <w:r w:rsidRPr="00C76808">
              <w:rPr>
                <w:rFonts w:ascii="Times New Roman" w:eastAsia="AngsanaUPC" w:hAnsi="Times New Roman"/>
                <w:bCs/>
                <w:sz w:val="18"/>
                <w:szCs w:val="18"/>
                <w:lang w:eastAsia="lt-LT"/>
              </w:rPr>
              <w:t>SaF</w:t>
            </w:r>
          </w:p>
        </w:tc>
        <w:tc>
          <w:tcPr>
            <w:tcW w:w="709" w:type="dxa"/>
            <w:shd w:val="clear" w:color="auto" w:fill="auto"/>
            <w:vAlign w:val="center"/>
          </w:tcPr>
          <w:p w:rsidR="00E8768C" w:rsidRPr="00C76808" w:rsidRDefault="00E8768C" w:rsidP="00BE2E68">
            <w:pPr>
              <w:widowControl w:val="0"/>
              <w:tabs>
                <w:tab w:val="left" w:pos="622"/>
              </w:tabs>
              <w:spacing w:after="0" w:line="240" w:lineRule="auto"/>
              <w:rPr>
                <w:rFonts w:ascii="Times New Roman" w:eastAsia="AngsanaUPC" w:hAnsi="Times New Roman"/>
                <w:bCs/>
                <w:sz w:val="18"/>
                <w:szCs w:val="18"/>
                <w:lang w:eastAsia="lt-LT"/>
              </w:rPr>
            </w:pPr>
            <w:r w:rsidRPr="00C76808">
              <w:rPr>
                <w:rFonts w:ascii="Times New Roman" w:eastAsia="AngsanaUPC" w:hAnsi="Times New Roman"/>
                <w:bCs/>
                <w:sz w:val="18"/>
                <w:szCs w:val="18"/>
                <w:lang w:eastAsia="lt-LT"/>
              </w:rPr>
              <w:t>10</w:t>
            </w:r>
          </w:p>
        </w:tc>
        <w:tc>
          <w:tcPr>
            <w:tcW w:w="6378" w:type="dxa"/>
            <w:shd w:val="clear" w:color="auto" w:fill="auto"/>
            <w:vAlign w:val="center"/>
          </w:tcPr>
          <w:p w:rsidR="00E8768C" w:rsidRPr="00C76808" w:rsidRDefault="00E8768C" w:rsidP="00BE2E68">
            <w:pPr>
              <w:widowControl w:val="0"/>
              <w:tabs>
                <w:tab w:val="left" w:pos="622"/>
              </w:tabs>
              <w:spacing w:after="0" w:line="240" w:lineRule="auto"/>
              <w:rPr>
                <w:rFonts w:ascii="Times New Roman" w:eastAsia="AngsanaUPC" w:hAnsi="Times New Roman"/>
                <w:bCs/>
                <w:sz w:val="18"/>
                <w:szCs w:val="18"/>
                <w:lang w:eastAsia="lt-LT"/>
              </w:rPr>
            </w:pPr>
            <w:r w:rsidRPr="00C76808">
              <w:rPr>
                <w:rFonts w:ascii="Times New Roman" w:eastAsia="AngsanaUPC" w:hAnsi="Times New Roman"/>
                <w:bCs/>
                <w:sz w:val="18"/>
                <w:szCs w:val="18"/>
                <w:lang w:eastAsia="lt-LT"/>
              </w:rPr>
              <w:t>Atsinaujinančioji energija: saulės</w:t>
            </w:r>
          </w:p>
        </w:tc>
        <w:tc>
          <w:tcPr>
            <w:tcW w:w="1843" w:type="dxa"/>
            <w:shd w:val="clear" w:color="auto" w:fill="auto"/>
            <w:vAlign w:val="center"/>
          </w:tcPr>
          <w:p w:rsidR="00E8768C" w:rsidRPr="008F339D" w:rsidRDefault="00C82C5E" w:rsidP="00E25536">
            <w:pPr>
              <w:widowControl w:val="0"/>
              <w:tabs>
                <w:tab w:val="left" w:pos="622"/>
              </w:tabs>
              <w:spacing w:after="0" w:line="240" w:lineRule="auto"/>
              <w:jc w:val="right"/>
              <w:rPr>
                <w:rFonts w:ascii="Times New Roman" w:eastAsia="AngsanaUPC" w:hAnsi="Times New Roman"/>
                <w:bCs/>
                <w:sz w:val="18"/>
                <w:szCs w:val="18"/>
                <w:lang w:eastAsia="lt-LT"/>
              </w:rPr>
            </w:pPr>
            <w:r w:rsidRPr="008F339D">
              <w:rPr>
                <w:rFonts w:ascii="Times New Roman" w:eastAsia="AngsanaUPC" w:hAnsi="Times New Roman"/>
                <w:bCs/>
                <w:sz w:val="18"/>
                <w:szCs w:val="18"/>
                <w:lang w:eastAsia="lt-LT"/>
              </w:rPr>
              <w:t>36</w:t>
            </w:r>
            <w:r w:rsidR="00C76808" w:rsidRPr="008F339D">
              <w:rPr>
                <w:rFonts w:ascii="Times New Roman" w:eastAsia="AngsanaUPC" w:hAnsi="Times New Roman"/>
                <w:bCs/>
                <w:sz w:val="18"/>
                <w:szCs w:val="18"/>
                <w:lang w:eastAsia="lt-LT"/>
              </w:rPr>
              <w:t>.</w:t>
            </w:r>
            <w:r w:rsidRPr="008F339D">
              <w:rPr>
                <w:rFonts w:ascii="Times New Roman" w:eastAsia="AngsanaUPC" w:hAnsi="Times New Roman"/>
                <w:bCs/>
                <w:sz w:val="18"/>
                <w:szCs w:val="18"/>
                <w:lang w:eastAsia="lt-LT"/>
              </w:rPr>
              <w:t>83</w:t>
            </w:r>
            <w:r w:rsidR="00E8768C" w:rsidRPr="008F339D">
              <w:rPr>
                <w:rFonts w:ascii="Times New Roman" w:eastAsia="AngsanaUPC" w:hAnsi="Times New Roman"/>
                <w:bCs/>
                <w:sz w:val="18"/>
                <w:szCs w:val="18"/>
                <w:lang w:eastAsia="lt-LT"/>
              </w:rPr>
              <w:t>0</w:t>
            </w:r>
            <w:r w:rsidR="00C76808" w:rsidRPr="008F339D">
              <w:rPr>
                <w:rFonts w:ascii="Times New Roman" w:eastAsia="AngsanaUPC" w:hAnsi="Times New Roman"/>
                <w:bCs/>
                <w:sz w:val="18"/>
                <w:szCs w:val="18"/>
                <w:lang w:eastAsia="lt-LT"/>
              </w:rPr>
              <w:t>.</w:t>
            </w:r>
            <w:r w:rsidRPr="008F339D">
              <w:rPr>
                <w:rFonts w:ascii="Times New Roman" w:eastAsia="AngsanaUPC" w:hAnsi="Times New Roman"/>
                <w:bCs/>
                <w:sz w:val="18"/>
                <w:szCs w:val="18"/>
                <w:lang w:eastAsia="lt-LT"/>
              </w:rPr>
              <w:t>206</w:t>
            </w:r>
          </w:p>
        </w:tc>
      </w:tr>
      <w:tr w:rsidR="008D1CA8" w:rsidRPr="00C76808" w:rsidTr="003D4200">
        <w:tc>
          <w:tcPr>
            <w:tcW w:w="851" w:type="dxa"/>
            <w:shd w:val="clear" w:color="auto" w:fill="auto"/>
            <w:vAlign w:val="center"/>
          </w:tcPr>
          <w:p w:rsidR="008D1CA8" w:rsidRPr="00C76808" w:rsidRDefault="008D1CA8" w:rsidP="00322BE2">
            <w:pPr>
              <w:widowControl w:val="0"/>
              <w:tabs>
                <w:tab w:val="left" w:pos="622"/>
              </w:tabs>
              <w:spacing w:after="0" w:line="240" w:lineRule="auto"/>
              <w:rPr>
                <w:rFonts w:ascii="Times New Roman" w:eastAsia="AngsanaUPC" w:hAnsi="Times New Roman"/>
                <w:bCs/>
                <w:sz w:val="18"/>
                <w:szCs w:val="18"/>
                <w:lang w:val="en-GB" w:eastAsia="lt-LT"/>
              </w:rPr>
            </w:pPr>
            <w:r w:rsidRPr="00C76808">
              <w:rPr>
                <w:rFonts w:ascii="Times New Roman" w:eastAsia="AngsanaUPC" w:hAnsi="Times New Roman"/>
                <w:bCs/>
                <w:sz w:val="18"/>
                <w:szCs w:val="18"/>
                <w:lang w:val="en-GB" w:eastAsia="lt-LT"/>
              </w:rPr>
              <w:t>ERPF</w:t>
            </w:r>
          </w:p>
        </w:tc>
        <w:tc>
          <w:tcPr>
            <w:tcW w:w="709" w:type="dxa"/>
            <w:shd w:val="clear" w:color="auto" w:fill="auto"/>
            <w:vAlign w:val="center"/>
          </w:tcPr>
          <w:p w:rsidR="008D1CA8" w:rsidRPr="00C76808" w:rsidRDefault="008D1CA8" w:rsidP="008D1CA8">
            <w:pPr>
              <w:widowControl w:val="0"/>
              <w:tabs>
                <w:tab w:val="left" w:pos="622"/>
              </w:tabs>
              <w:spacing w:after="0" w:line="240" w:lineRule="auto"/>
              <w:rPr>
                <w:rFonts w:ascii="Times New Roman" w:eastAsia="AngsanaUPC" w:hAnsi="Times New Roman"/>
                <w:bCs/>
                <w:sz w:val="18"/>
                <w:szCs w:val="18"/>
                <w:lang w:val="en-GB" w:eastAsia="lt-LT"/>
              </w:rPr>
            </w:pPr>
            <w:r w:rsidRPr="00C76808">
              <w:rPr>
                <w:rFonts w:ascii="Times New Roman" w:eastAsia="AngsanaUPC" w:hAnsi="Times New Roman"/>
                <w:bCs/>
                <w:sz w:val="18"/>
                <w:szCs w:val="18"/>
                <w:lang w:val="en-GB" w:eastAsia="lt-LT"/>
              </w:rPr>
              <w:t>11</w:t>
            </w:r>
          </w:p>
        </w:tc>
        <w:tc>
          <w:tcPr>
            <w:tcW w:w="6378" w:type="dxa"/>
            <w:shd w:val="clear" w:color="auto" w:fill="auto"/>
            <w:vAlign w:val="center"/>
          </w:tcPr>
          <w:p w:rsidR="008D1CA8" w:rsidRPr="00C76808" w:rsidRDefault="008D1CA8" w:rsidP="00322BE2">
            <w:pPr>
              <w:widowControl w:val="0"/>
              <w:tabs>
                <w:tab w:val="left" w:pos="622"/>
              </w:tabs>
              <w:spacing w:after="0" w:line="240" w:lineRule="auto"/>
              <w:rPr>
                <w:rFonts w:ascii="Times New Roman" w:eastAsia="AngsanaUPC" w:hAnsi="Times New Roman"/>
                <w:bCs/>
                <w:sz w:val="18"/>
                <w:szCs w:val="18"/>
                <w:lang w:eastAsia="lt-LT"/>
              </w:rPr>
            </w:pPr>
            <w:r w:rsidRPr="00C76808">
              <w:rPr>
                <w:rFonts w:ascii="Times New Roman" w:eastAsia="AngsanaUPC" w:hAnsi="Times New Roman"/>
                <w:bCs/>
                <w:sz w:val="18"/>
                <w:szCs w:val="18"/>
                <w:lang w:eastAsia="lt-LT"/>
              </w:rPr>
              <w:t>Atsinaujinančioji energija: biomasės</w:t>
            </w:r>
          </w:p>
        </w:tc>
        <w:tc>
          <w:tcPr>
            <w:tcW w:w="1843" w:type="dxa"/>
            <w:shd w:val="clear" w:color="auto" w:fill="auto"/>
            <w:vAlign w:val="center"/>
          </w:tcPr>
          <w:p w:rsidR="008D1CA8" w:rsidRPr="008F339D" w:rsidRDefault="008D1CA8" w:rsidP="00E8768C">
            <w:pPr>
              <w:widowControl w:val="0"/>
              <w:tabs>
                <w:tab w:val="left" w:pos="622"/>
              </w:tabs>
              <w:spacing w:after="0" w:line="240" w:lineRule="auto"/>
              <w:jc w:val="right"/>
              <w:rPr>
                <w:rFonts w:ascii="Times New Roman" w:eastAsia="AngsanaUPC" w:hAnsi="Times New Roman"/>
                <w:bCs/>
                <w:sz w:val="18"/>
                <w:szCs w:val="18"/>
                <w:lang w:val="en-GB" w:eastAsia="lt-LT"/>
              </w:rPr>
            </w:pPr>
            <w:r w:rsidRPr="008F339D">
              <w:rPr>
                <w:rFonts w:ascii="Times New Roman" w:eastAsia="AngsanaUPC" w:hAnsi="Times New Roman"/>
                <w:bCs/>
                <w:sz w:val="18"/>
                <w:szCs w:val="18"/>
                <w:lang w:val="en-GB" w:eastAsia="lt-LT"/>
              </w:rPr>
              <w:t>7</w:t>
            </w:r>
            <w:r w:rsidR="00C76808" w:rsidRPr="008F339D">
              <w:rPr>
                <w:rFonts w:ascii="Times New Roman" w:eastAsia="AngsanaUPC" w:hAnsi="Times New Roman"/>
                <w:bCs/>
                <w:sz w:val="18"/>
                <w:szCs w:val="18"/>
                <w:lang w:val="en-GB" w:eastAsia="lt-LT"/>
              </w:rPr>
              <w:t>.</w:t>
            </w:r>
            <w:r w:rsidRPr="008F339D">
              <w:rPr>
                <w:rFonts w:ascii="Times New Roman" w:eastAsia="AngsanaUPC" w:hAnsi="Times New Roman"/>
                <w:bCs/>
                <w:sz w:val="18"/>
                <w:szCs w:val="18"/>
                <w:lang w:val="en-GB" w:eastAsia="lt-LT"/>
              </w:rPr>
              <w:t>240</w:t>
            </w:r>
            <w:r w:rsidR="00C76808" w:rsidRPr="008F339D">
              <w:rPr>
                <w:rFonts w:ascii="Times New Roman" w:eastAsia="AngsanaUPC" w:hAnsi="Times New Roman"/>
                <w:bCs/>
                <w:sz w:val="18"/>
                <w:szCs w:val="18"/>
                <w:lang w:val="en-GB" w:eastAsia="lt-LT"/>
              </w:rPr>
              <w:t>.</w:t>
            </w:r>
            <w:r w:rsidRPr="008F339D">
              <w:rPr>
                <w:rFonts w:ascii="Times New Roman" w:eastAsia="AngsanaUPC" w:hAnsi="Times New Roman"/>
                <w:bCs/>
                <w:sz w:val="18"/>
                <w:szCs w:val="18"/>
                <w:lang w:val="en-GB" w:eastAsia="lt-LT"/>
              </w:rPr>
              <w:t>501</w:t>
            </w:r>
          </w:p>
        </w:tc>
      </w:tr>
      <w:tr w:rsidR="008D1CA8" w:rsidRPr="00C76808" w:rsidTr="003D4200">
        <w:tc>
          <w:tcPr>
            <w:tcW w:w="851" w:type="dxa"/>
            <w:shd w:val="clear" w:color="auto" w:fill="auto"/>
            <w:vAlign w:val="center"/>
          </w:tcPr>
          <w:p w:rsidR="008D1CA8" w:rsidRPr="008F339D" w:rsidRDefault="008D1CA8" w:rsidP="00322BE2">
            <w:pPr>
              <w:widowControl w:val="0"/>
              <w:tabs>
                <w:tab w:val="left" w:pos="622"/>
              </w:tabs>
              <w:spacing w:after="0" w:line="240" w:lineRule="auto"/>
              <w:rPr>
                <w:rFonts w:ascii="Times New Roman" w:eastAsia="AngsanaUPC" w:hAnsi="Times New Roman"/>
                <w:bCs/>
                <w:sz w:val="18"/>
                <w:szCs w:val="18"/>
                <w:lang w:eastAsia="lt-LT"/>
              </w:rPr>
            </w:pPr>
            <w:r w:rsidRPr="008F339D">
              <w:rPr>
                <w:rFonts w:ascii="Times New Roman" w:eastAsia="AngsanaUPC" w:hAnsi="Times New Roman"/>
                <w:bCs/>
                <w:sz w:val="18"/>
                <w:szCs w:val="18"/>
                <w:lang w:eastAsia="lt-LT"/>
              </w:rPr>
              <w:t>SaF</w:t>
            </w:r>
          </w:p>
        </w:tc>
        <w:tc>
          <w:tcPr>
            <w:tcW w:w="709" w:type="dxa"/>
            <w:shd w:val="clear" w:color="auto" w:fill="auto"/>
            <w:vAlign w:val="center"/>
          </w:tcPr>
          <w:p w:rsidR="008D1CA8" w:rsidRPr="00C76808" w:rsidRDefault="008D1CA8" w:rsidP="008D1CA8">
            <w:pPr>
              <w:widowControl w:val="0"/>
              <w:tabs>
                <w:tab w:val="left" w:pos="622"/>
              </w:tabs>
              <w:spacing w:after="0" w:line="240" w:lineRule="auto"/>
              <w:rPr>
                <w:rFonts w:ascii="Times New Roman" w:eastAsia="AngsanaUPC" w:hAnsi="Times New Roman"/>
                <w:bCs/>
                <w:sz w:val="18"/>
                <w:szCs w:val="18"/>
                <w:lang w:val="en-GB" w:eastAsia="lt-LT"/>
              </w:rPr>
            </w:pPr>
            <w:r w:rsidRPr="00C76808">
              <w:rPr>
                <w:rFonts w:ascii="Times New Roman" w:eastAsia="AngsanaUPC" w:hAnsi="Times New Roman"/>
                <w:bCs/>
                <w:sz w:val="18"/>
                <w:szCs w:val="18"/>
                <w:lang w:val="en-GB" w:eastAsia="lt-LT"/>
              </w:rPr>
              <w:t>11</w:t>
            </w:r>
          </w:p>
        </w:tc>
        <w:tc>
          <w:tcPr>
            <w:tcW w:w="6378" w:type="dxa"/>
            <w:shd w:val="clear" w:color="auto" w:fill="auto"/>
            <w:vAlign w:val="center"/>
          </w:tcPr>
          <w:p w:rsidR="008D1CA8" w:rsidRPr="00C76808" w:rsidRDefault="008D1CA8" w:rsidP="00322BE2">
            <w:pPr>
              <w:widowControl w:val="0"/>
              <w:tabs>
                <w:tab w:val="left" w:pos="622"/>
              </w:tabs>
              <w:spacing w:after="0" w:line="240" w:lineRule="auto"/>
              <w:rPr>
                <w:rFonts w:ascii="Times New Roman" w:eastAsia="AngsanaUPC" w:hAnsi="Times New Roman"/>
                <w:bCs/>
                <w:sz w:val="18"/>
                <w:szCs w:val="18"/>
                <w:lang w:eastAsia="lt-LT"/>
              </w:rPr>
            </w:pPr>
            <w:r w:rsidRPr="00C76808">
              <w:rPr>
                <w:rFonts w:ascii="Times New Roman" w:eastAsia="AngsanaUPC" w:hAnsi="Times New Roman"/>
                <w:bCs/>
                <w:sz w:val="18"/>
                <w:szCs w:val="18"/>
                <w:lang w:eastAsia="lt-LT"/>
              </w:rPr>
              <w:t>Atsinaujinančioji energija: biomasės</w:t>
            </w:r>
          </w:p>
        </w:tc>
        <w:tc>
          <w:tcPr>
            <w:tcW w:w="1843" w:type="dxa"/>
            <w:shd w:val="clear" w:color="auto" w:fill="auto"/>
            <w:vAlign w:val="center"/>
          </w:tcPr>
          <w:p w:rsidR="008D1CA8" w:rsidRPr="008F339D" w:rsidRDefault="00E25536" w:rsidP="00C82C5E">
            <w:pPr>
              <w:shd w:val="clear" w:color="auto" w:fill="FFFFFF"/>
              <w:autoSpaceDE w:val="0"/>
              <w:autoSpaceDN w:val="0"/>
              <w:adjustRightInd w:val="0"/>
              <w:spacing w:after="0" w:line="240" w:lineRule="auto"/>
              <w:jc w:val="right"/>
              <w:rPr>
                <w:rFonts w:ascii="Times New Roman" w:eastAsia="Times New Roman" w:hAnsi="Times New Roman"/>
                <w:color w:val="000000"/>
                <w:sz w:val="18"/>
                <w:szCs w:val="18"/>
              </w:rPr>
            </w:pPr>
            <w:r w:rsidRPr="008F339D">
              <w:rPr>
                <w:rFonts w:ascii="Times New Roman" w:eastAsia="Times New Roman" w:hAnsi="Times New Roman"/>
                <w:color w:val="000000"/>
                <w:sz w:val="18"/>
                <w:szCs w:val="18"/>
              </w:rPr>
              <w:t>1</w:t>
            </w:r>
            <w:r w:rsidR="00C82C5E" w:rsidRPr="008F339D">
              <w:rPr>
                <w:rFonts w:ascii="Times New Roman" w:eastAsia="Times New Roman" w:hAnsi="Times New Roman"/>
                <w:color w:val="000000"/>
                <w:sz w:val="18"/>
                <w:szCs w:val="18"/>
              </w:rPr>
              <w:t>40</w:t>
            </w:r>
            <w:r w:rsidR="00C76808" w:rsidRPr="008F339D">
              <w:rPr>
                <w:rFonts w:ascii="Times New Roman" w:eastAsia="Times New Roman" w:hAnsi="Times New Roman"/>
                <w:color w:val="000000"/>
                <w:sz w:val="18"/>
                <w:szCs w:val="18"/>
              </w:rPr>
              <w:t>.</w:t>
            </w:r>
            <w:r w:rsidR="00C82C5E" w:rsidRPr="008F339D">
              <w:rPr>
                <w:rFonts w:ascii="Times New Roman" w:eastAsia="Times New Roman" w:hAnsi="Times New Roman"/>
                <w:color w:val="000000"/>
                <w:sz w:val="18"/>
                <w:szCs w:val="18"/>
              </w:rPr>
              <w:t>147</w:t>
            </w:r>
            <w:r w:rsidR="00C76808" w:rsidRPr="008F339D">
              <w:rPr>
                <w:rFonts w:ascii="Times New Roman" w:eastAsia="Times New Roman" w:hAnsi="Times New Roman"/>
                <w:color w:val="000000"/>
                <w:sz w:val="18"/>
                <w:szCs w:val="18"/>
              </w:rPr>
              <w:t>.</w:t>
            </w:r>
            <w:r w:rsidR="00C82C5E" w:rsidRPr="008F339D">
              <w:rPr>
                <w:rFonts w:ascii="Times New Roman" w:eastAsia="Times New Roman" w:hAnsi="Times New Roman"/>
                <w:color w:val="000000"/>
                <w:sz w:val="18"/>
                <w:szCs w:val="18"/>
              </w:rPr>
              <w:t>039</w:t>
            </w:r>
          </w:p>
        </w:tc>
      </w:tr>
      <w:tr w:rsidR="008D1CA8" w:rsidRPr="00C76808" w:rsidTr="003D4200">
        <w:tc>
          <w:tcPr>
            <w:tcW w:w="851" w:type="dxa"/>
            <w:shd w:val="clear" w:color="auto" w:fill="auto"/>
            <w:vAlign w:val="center"/>
          </w:tcPr>
          <w:p w:rsidR="008D1CA8" w:rsidRPr="00C76808" w:rsidRDefault="008D1CA8" w:rsidP="00322BE2">
            <w:pPr>
              <w:widowControl w:val="0"/>
              <w:tabs>
                <w:tab w:val="left" w:pos="622"/>
              </w:tabs>
              <w:spacing w:after="0" w:line="240" w:lineRule="auto"/>
              <w:rPr>
                <w:rFonts w:ascii="Times New Roman" w:eastAsia="AngsanaUPC" w:hAnsi="Times New Roman"/>
                <w:bCs/>
                <w:sz w:val="18"/>
                <w:szCs w:val="18"/>
                <w:lang w:val="en-GB" w:eastAsia="lt-LT"/>
              </w:rPr>
            </w:pPr>
            <w:r w:rsidRPr="00C76808">
              <w:rPr>
                <w:rFonts w:ascii="Times New Roman" w:eastAsia="AngsanaUPC" w:hAnsi="Times New Roman"/>
                <w:bCs/>
                <w:sz w:val="18"/>
                <w:szCs w:val="18"/>
                <w:lang w:val="en-GB" w:eastAsia="lt-LT"/>
              </w:rPr>
              <w:t>ERPF</w:t>
            </w:r>
          </w:p>
        </w:tc>
        <w:tc>
          <w:tcPr>
            <w:tcW w:w="709" w:type="dxa"/>
            <w:shd w:val="clear" w:color="auto" w:fill="auto"/>
            <w:vAlign w:val="center"/>
          </w:tcPr>
          <w:p w:rsidR="008D1CA8" w:rsidRPr="00C76808" w:rsidRDefault="008D1CA8" w:rsidP="008D1CA8">
            <w:pPr>
              <w:widowControl w:val="0"/>
              <w:tabs>
                <w:tab w:val="left" w:pos="622"/>
              </w:tabs>
              <w:spacing w:after="0" w:line="240" w:lineRule="auto"/>
              <w:rPr>
                <w:rFonts w:ascii="Times New Roman" w:eastAsia="AngsanaUPC" w:hAnsi="Times New Roman"/>
                <w:bCs/>
                <w:sz w:val="18"/>
                <w:szCs w:val="18"/>
                <w:lang w:val="en-GB" w:eastAsia="lt-LT"/>
              </w:rPr>
            </w:pPr>
            <w:r w:rsidRPr="00C76808">
              <w:rPr>
                <w:rFonts w:ascii="Times New Roman" w:eastAsia="AngsanaUPC" w:hAnsi="Times New Roman"/>
                <w:bCs/>
                <w:sz w:val="18"/>
                <w:szCs w:val="18"/>
                <w:lang w:val="en-GB" w:eastAsia="lt-LT"/>
              </w:rPr>
              <w:t>12</w:t>
            </w:r>
          </w:p>
        </w:tc>
        <w:tc>
          <w:tcPr>
            <w:tcW w:w="6378" w:type="dxa"/>
            <w:shd w:val="clear" w:color="auto" w:fill="auto"/>
            <w:vAlign w:val="center"/>
          </w:tcPr>
          <w:p w:rsidR="008D1CA8" w:rsidRPr="00C76808" w:rsidRDefault="008D1CA8" w:rsidP="008D1CA8">
            <w:pPr>
              <w:widowControl w:val="0"/>
              <w:tabs>
                <w:tab w:val="left" w:pos="622"/>
              </w:tabs>
              <w:spacing w:after="0" w:line="240" w:lineRule="auto"/>
              <w:rPr>
                <w:rFonts w:ascii="Times New Roman" w:eastAsia="AngsanaUPC" w:hAnsi="Times New Roman"/>
                <w:bCs/>
                <w:sz w:val="18"/>
                <w:szCs w:val="18"/>
                <w:lang w:eastAsia="lt-LT"/>
              </w:rPr>
            </w:pPr>
            <w:r w:rsidRPr="00C76808">
              <w:rPr>
                <w:rFonts w:ascii="Times New Roman" w:eastAsia="AngsanaUPC" w:hAnsi="Times New Roman"/>
                <w:bCs/>
                <w:sz w:val="18"/>
                <w:szCs w:val="18"/>
                <w:lang w:eastAsia="lt-LT"/>
              </w:rPr>
              <w:t>Kitų rūšių atsinaujinančioji energija (įskaitant hidroelektrinių, geoterminę ir jūrų energiją) ir atsinaujinančiosios energijos integravimas (įskaitant kaupimą, dujų gamybą naudojant energiją ir atsinaujinančiojo vandenilio infrastruktūrą)</w:t>
            </w:r>
          </w:p>
        </w:tc>
        <w:tc>
          <w:tcPr>
            <w:tcW w:w="1843" w:type="dxa"/>
            <w:shd w:val="clear" w:color="auto" w:fill="auto"/>
            <w:vAlign w:val="center"/>
          </w:tcPr>
          <w:p w:rsidR="008D1CA8" w:rsidRPr="008F339D" w:rsidRDefault="008D1CA8" w:rsidP="00E8768C">
            <w:pPr>
              <w:widowControl w:val="0"/>
              <w:tabs>
                <w:tab w:val="left" w:pos="622"/>
              </w:tabs>
              <w:spacing w:after="0" w:line="240" w:lineRule="auto"/>
              <w:jc w:val="right"/>
              <w:rPr>
                <w:rFonts w:ascii="Times New Roman" w:eastAsia="AngsanaUPC" w:hAnsi="Times New Roman"/>
                <w:bCs/>
                <w:sz w:val="18"/>
                <w:szCs w:val="18"/>
                <w:lang w:val="en-GB" w:eastAsia="lt-LT"/>
              </w:rPr>
            </w:pPr>
            <w:r w:rsidRPr="008F339D">
              <w:rPr>
                <w:rFonts w:ascii="Times New Roman" w:eastAsia="AngsanaUPC" w:hAnsi="Times New Roman"/>
                <w:bCs/>
                <w:sz w:val="18"/>
                <w:szCs w:val="18"/>
                <w:lang w:val="en-GB" w:eastAsia="lt-LT"/>
              </w:rPr>
              <w:t>579</w:t>
            </w:r>
            <w:r w:rsidR="00C76808" w:rsidRPr="008F339D">
              <w:rPr>
                <w:rFonts w:ascii="Times New Roman" w:eastAsia="AngsanaUPC" w:hAnsi="Times New Roman"/>
                <w:bCs/>
                <w:sz w:val="18"/>
                <w:szCs w:val="18"/>
                <w:lang w:val="en-GB" w:eastAsia="lt-LT"/>
              </w:rPr>
              <w:t>.</w:t>
            </w:r>
            <w:r w:rsidRPr="008F339D">
              <w:rPr>
                <w:rFonts w:ascii="Times New Roman" w:eastAsia="AngsanaUPC" w:hAnsi="Times New Roman"/>
                <w:bCs/>
                <w:sz w:val="18"/>
                <w:szCs w:val="18"/>
                <w:lang w:val="en-GB" w:eastAsia="lt-LT"/>
              </w:rPr>
              <w:t>240</w:t>
            </w:r>
          </w:p>
        </w:tc>
      </w:tr>
      <w:tr w:rsidR="008D1CA8" w:rsidRPr="00C76808" w:rsidTr="003D4200">
        <w:tc>
          <w:tcPr>
            <w:tcW w:w="851" w:type="dxa"/>
            <w:shd w:val="clear" w:color="auto" w:fill="auto"/>
            <w:vAlign w:val="center"/>
          </w:tcPr>
          <w:p w:rsidR="008D1CA8" w:rsidRPr="00C76808" w:rsidRDefault="008D1CA8" w:rsidP="00322BE2">
            <w:pPr>
              <w:widowControl w:val="0"/>
              <w:tabs>
                <w:tab w:val="left" w:pos="622"/>
              </w:tabs>
              <w:spacing w:after="0" w:line="240" w:lineRule="auto"/>
              <w:rPr>
                <w:rFonts w:ascii="Times New Roman" w:eastAsia="AngsanaUPC" w:hAnsi="Times New Roman"/>
                <w:bCs/>
                <w:sz w:val="18"/>
                <w:szCs w:val="18"/>
                <w:lang w:val="en-GB" w:eastAsia="lt-LT"/>
              </w:rPr>
            </w:pPr>
            <w:r w:rsidRPr="00C76808">
              <w:rPr>
                <w:rFonts w:ascii="Times New Roman" w:eastAsia="AngsanaUPC" w:hAnsi="Times New Roman"/>
                <w:bCs/>
                <w:sz w:val="18"/>
                <w:szCs w:val="18"/>
                <w:lang w:val="en-GB" w:eastAsia="lt-LT"/>
              </w:rPr>
              <w:t>ERPF</w:t>
            </w:r>
          </w:p>
        </w:tc>
        <w:tc>
          <w:tcPr>
            <w:tcW w:w="709" w:type="dxa"/>
            <w:shd w:val="clear" w:color="auto" w:fill="auto"/>
            <w:vAlign w:val="center"/>
          </w:tcPr>
          <w:p w:rsidR="008D1CA8" w:rsidRPr="00C76808" w:rsidRDefault="008D1CA8" w:rsidP="008D1CA8">
            <w:pPr>
              <w:widowControl w:val="0"/>
              <w:tabs>
                <w:tab w:val="left" w:pos="622"/>
              </w:tabs>
              <w:spacing w:after="0" w:line="240" w:lineRule="auto"/>
              <w:rPr>
                <w:rFonts w:ascii="Times New Roman" w:eastAsia="AngsanaUPC" w:hAnsi="Times New Roman"/>
                <w:bCs/>
                <w:sz w:val="18"/>
                <w:szCs w:val="18"/>
                <w:lang w:val="en-GB" w:eastAsia="lt-LT"/>
              </w:rPr>
            </w:pPr>
            <w:r w:rsidRPr="00C76808">
              <w:rPr>
                <w:rFonts w:ascii="Times New Roman" w:eastAsia="AngsanaUPC" w:hAnsi="Times New Roman"/>
                <w:bCs/>
                <w:sz w:val="18"/>
                <w:szCs w:val="18"/>
                <w:lang w:val="en-GB" w:eastAsia="lt-LT"/>
              </w:rPr>
              <w:t>13</w:t>
            </w:r>
          </w:p>
        </w:tc>
        <w:tc>
          <w:tcPr>
            <w:tcW w:w="6378" w:type="dxa"/>
            <w:shd w:val="clear" w:color="auto" w:fill="auto"/>
            <w:vAlign w:val="center"/>
          </w:tcPr>
          <w:p w:rsidR="008D1CA8" w:rsidRPr="00C76808" w:rsidRDefault="008D1CA8" w:rsidP="00322BE2">
            <w:pPr>
              <w:widowControl w:val="0"/>
              <w:tabs>
                <w:tab w:val="left" w:pos="622"/>
              </w:tabs>
              <w:spacing w:after="0" w:line="240" w:lineRule="auto"/>
              <w:rPr>
                <w:rFonts w:ascii="Times New Roman" w:eastAsia="AngsanaUPC" w:hAnsi="Times New Roman"/>
                <w:bCs/>
                <w:sz w:val="18"/>
                <w:szCs w:val="18"/>
                <w:lang w:eastAsia="lt-LT"/>
              </w:rPr>
            </w:pPr>
            <w:r w:rsidRPr="00C76808">
              <w:rPr>
                <w:rFonts w:ascii="Times New Roman" w:eastAsia="AngsanaUPC" w:hAnsi="Times New Roman"/>
                <w:bCs/>
                <w:sz w:val="18"/>
                <w:szCs w:val="18"/>
                <w:lang w:eastAsia="lt-LT"/>
              </w:rPr>
              <w:t>Siekiant efektyvaus energijos vartojimo vykdoma viešosios infrastruktūros renovacija, parodomieji projektai ir pagalbinės priemonės</w:t>
            </w:r>
          </w:p>
        </w:tc>
        <w:tc>
          <w:tcPr>
            <w:tcW w:w="1843" w:type="dxa"/>
            <w:shd w:val="clear" w:color="auto" w:fill="auto"/>
            <w:vAlign w:val="center"/>
          </w:tcPr>
          <w:p w:rsidR="008D1CA8" w:rsidRPr="008F339D" w:rsidRDefault="009C735D" w:rsidP="00C82C5E">
            <w:pPr>
              <w:widowControl w:val="0"/>
              <w:tabs>
                <w:tab w:val="left" w:pos="622"/>
              </w:tabs>
              <w:spacing w:after="0" w:line="240" w:lineRule="auto"/>
              <w:jc w:val="right"/>
              <w:rPr>
                <w:rFonts w:ascii="Times New Roman" w:eastAsia="AngsanaUPC" w:hAnsi="Times New Roman"/>
                <w:bCs/>
                <w:sz w:val="18"/>
                <w:szCs w:val="18"/>
                <w:lang w:val="en-GB" w:eastAsia="lt-LT"/>
              </w:rPr>
            </w:pPr>
            <w:r w:rsidRPr="008F339D">
              <w:rPr>
                <w:rFonts w:ascii="Times New Roman" w:eastAsia="AngsanaUPC" w:hAnsi="Times New Roman"/>
                <w:bCs/>
                <w:sz w:val="18"/>
                <w:szCs w:val="18"/>
                <w:lang w:val="en-GB" w:eastAsia="lt-LT"/>
              </w:rPr>
              <w:t>1</w:t>
            </w:r>
            <w:r w:rsidR="00C82C5E" w:rsidRPr="008F339D">
              <w:rPr>
                <w:rFonts w:ascii="Times New Roman" w:eastAsia="AngsanaUPC" w:hAnsi="Times New Roman"/>
                <w:bCs/>
                <w:sz w:val="18"/>
                <w:szCs w:val="18"/>
                <w:lang w:val="en-GB" w:eastAsia="lt-LT"/>
              </w:rPr>
              <w:t>20</w:t>
            </w:r>
            <w:r w:rsidR="00C76808" w:rsidRPr="008F339D">
              <w:rPr>
                <w:rFonts w:ascii="Times New Roman" w:eastAsia="AngsanaUPC" w:hAnsi="Times New Roman"/>
                <w:bCs/>
                <w:sz w:val="18"/>
                <w:szCs w:val="18"/>
                <w:lang w:val="en-GB" w:eastAsia="lt-LT"/>
              </w:rPr>
              <w:t>.</w:t>
            </w:r>
            <w:r w:rsidR="00C82C5E" w:rsidRPr="008F339D">
              <w:rPr>
                <w:rFonts w:ascii="Times New Roman" w:eastAsia="AngsanaUPC" w:hAnsi="Times New Roman"/>
                <w:bCs/>
                <w:sz w:val="18"/>
                <w:szCs w:val="18"/>
                <w:lang w:val="en-GB" w:eastAsia="lt-LT"/>
              </w:rPr>
              <w:t>4</w:t>
            </w:r>
            <w:r w:rsidR="008D1CA8" w:rsidRPr="008F339D">
              <w:rPr>
                <w:rFonts w:ascii="Times New Roman" w:eastAsia="AngsanaUPC" w:hAnsi="Times New Roman"/>
                <w:bCs/>
                <w:sz w:val="18"/>
                <w:szCs w:val="18"/>
                <w:lang w:val="en-GB" w:eastAsia="lt-LT"/>
              </w:rPr>
              <w:t>92</w:t>
            </w:r>
            <w:r w:rsidR="00C76808" w:rsidRPr="008F339D">
              <w:rPr>
                <w:rFonts w:ascii="Times New Roman" w:eastAsia="AngsanaUPC" w:hAnsi="Times New Roman"/>
                <w:bCs/>
                <w:sz w:val="18"/>
                <w:szCs w:val="18"/>
                <w:lang w:val="en-GB" w:eastAsia="lt-LT"/>
              </w:rPr>
              <w:t>.</w:t>
            </w:r>
            <w:r w:rsidR="008D1CA8" w:rsidRPr="008F339D">
              <w:rPr>
                <w:rFonts w:ascii="Times New Roman" w:eastAsia="AngsanaUPC" w:hAnsi="Times New Roman"/>
                <w:bCs/>
                <w:sz w:val="18"/>
                <w:szCs w:val="18"/>
                <w:lang w:val="en-GB" w:eastAsia="lt-LT"/>
              </w:rPr>
              <w:t>880</w:t>
            </w:r>
          </w:p>
        </w:tc>
      </w:tr>
      <w:tr w:rsidR="008D1CA8" w:rsidRPr="00C76808" w:rsidTr="003D4200">
        <w:tc>
          <w:tcPr>
            <w:tcW w:w="851" w:type="dxa"/>
            <w:shd w:val="clear" w:color="auto" w:fill="auto"/>
            <w:vAlign w:val="center"/>
          </w:tcPr>
          <w:p w:rsidR="008D1CA8" w:rsidRPr="00C76808" w:rsidRDefault="008D1CA8" w:rsidP="00322BE2">
            <w:pPr>
              <w:widowControl w:val="0"/>
              <w:tabs>
                <w:tab w:val="left" w:pos="622"/>
              </w:tabs>
              <w:spacing w:after="0" w:line="240" w:lineRule="auto"/>
              <w:rPr>
                <w:rFonts w:ascii="Times New Roman" w:eastAsia="AngsanaUPC" w:hAnsi="Times New Roman"/>
                <w:bCs/>
                <w:sz w:val="18"/>
                <w:szCs w:val="18"/>
                <w:lang w:val="en-GB" w:eastAsia="lt-LT"/>
              </w:rPr>
            </w:pPr>
            <w:r w:rsidRPr="00C76808">
              <w:rPr>
                <w:rFonts w:ascii="Times New Roman" w:eastAsia="AngsanaUPC" w:hAnsi="Times New Roman"/>
                <w:bCs/>
                <w:sz w:val="18"/>
                <w:szCs w:val="18"/>
                <w:lang w:val="en-GB" w:eastAsia="lt-LT"/>
              </w:rPr>
              <w:t>ERPF</w:t>
            </w:r>
          </w:p>
        </w:tc>
        <w:tc>
          <w:tcPr>
            <w:tcW w:w="709" w:type="dxa"/>
            <w:shd w:val="clear" w:color="auto" w:fill="auto"/>
            <w:vAlign w:val="center"/>
          </w:tcPr>
          <w:p w:rsidR="008D1CA8" w:rsidRPr="00C76808" w:rsidRDefault="008D1CA8" w:rsidP="008D1CA8">
            <w:pPr>
              <w:widowControl w:val="0"/>
              <w:tabs>
                <w:tab w:val="left" w:pos="622"/>
              </w:tabs>
              <w:spacing w:after="0" w:line="240" w:lineRule="auto"/>
              <w:rPr>
                <w:rFonts w:ascii="Times New Roman" w:eastAsia="AngsanaUPC" w:hAnsi="Times New Roman"/>
                <w:bCs/>
                <w:sz w:val="18"/>
                <w:szCs w:val="18"/>
                <w:lang w:val="en-GB" w:eastAsia="lt-LT"/>
              </w:rPr>
            </w:pPr>
            <w:r w:rsidRPr="00C76808">
              <w:rPr>
                <w:rFonts w:ascii="Times New Roman" w:eastAsia="AngsanaUPC" w:hAnsi="Times New Roman"/>
                <w:bCs/>
                <w:sz w:val="18"/>
                <w:szCs w:val="18"/>
                <w:lang w:val="en-GB" w:eastAsia="lt-LT"/>
              </w:rPr>
              <w:t>14</w:t>
            </w:r>
          </w:p>
        </w:tc>
        <w:tc>
          <w:tcPr>
            <w:tcW w:w="6378" w:type="dxa"/>
            <w:shd w:val="clear" w:color="auto" w:fill="auto"/>
            <w:vAlign w:val="center"/>
          </w:tcPr>
          <w:p w:rsidR="008D1CA8" w:rsidRPr="00C76808" w:rsidRDefault="008D1CA8" w:rsidP="00322BE2">
            <w:pPr>
              <w:widowControl w:val="0"/>
              <w:tabs>
                <w:tab w:val="left" w:pos="622"/>
              </w:tabs>
              <w:spacing w:after="0" w:line="240" w:lineRule="auto"/>
              <w:rPr>
                <w:rFonts w:ascii="Times New Roman" w:eastAsia="AngsanaUPC" w:hAnsi="Times New Roman"/>
                <w:bCs/>
                <w:sz w:val="18"/>
                <w:szCs w:val="18"/>
                <w:lang w:eastAsia="lt-LT"/>
              </w:rPr>
            </w:pPr>
            <w:r w:rsidRPr="00C76808">
              <w:rPr>
                <w:rFonts w:ascii="Times New Roman" w:eastAsia="AngsanaUPC" w:hAnsi="Times New Roman"/>
                <w:bCs/>
                <w:sz w:val="18"/>
                <w:szCs w:val="18"/>
                <w:lang w:eastAsia="lt-LT"/>
              </w:rPr>
              <w:t>Siekiant efektyvaus energijos vartojimo vykdoma esamų būstų renovacija, parodomieji projektai ir pagalbinės priemonės</w:t>
            </w:r>
          </w:p>
        </w:tc>
        <w:tc>
          <w:tcPr>
            <w:tcW w:w="1843" w:type="dxa"/>
            <w:shd w:val="clear" w:color="auto" w:fill="auto"/>
            <w:vAlign w:val="center"/>
          </w:tcPr>
          <w:p w:rsidR="008D1CA8" w:rsidRPr="008F339D" w:rsidRDefault="00E8768C" w:rsidP="00322BE2">
            <w:pPr>
              <w:widowControl w:val="0"/>
              <w:tabs>
                <w:tab w:val="left" w:pos="622"/>
              </w:tabs>
              <w:spacing w:after="0" w:line="240" w:lineRule="auto"/>
              <w:jc w:val="right"/>
              <w:rPr>
                <w:rFonts w:ascii="Times New Roman" w:eastAsia="AngsanaUPC" w:hAnsi="Times New Roman"/>
                <w:bCs/>
                <w:sz w:val="18"/>
                <w:szCs w:val="18"/>
                <w:lang w:val="en-GB" w:eastAsia="lt-LT"/>
              </w:rPr>
            </w:pPr>
            <w:r w:rsidRPr="008F339D">
              <w:rPr>
                <w:rFonts w:ascii="Times New Roman" w:eastAsia="AngsanaUPC" w:hAnsi="Times New Roman"/>
                <w:bCs/>
                <w:sz w:val="18"/>
                <w:szCs w:val="18"/>
                <w:lang w:val="en-GB" w:eastAsia="lt-LT"/>
              </w:rPr>
              <w:t>336</w:t>
            </w:r>
            <w:r w:rsidR="00C76808" w:rsidRPr="008F339D">
              <w:rPr>
                <w:rFonts w:ascii="Times New Roman" w:eastAsia="AngsanaUPC" w:hAnsi="Times New Roman"/>
                <w:bCs/>
                <w:sz w:val="18"/>
                <w:szCs w:val="18"/>
                <w:lang w:val="en-GB" w:eastAsia="lt-LT"/>
              </w:rPr>
              <w:t>.</w:t>
            </w:r>
            <w:r w:rsidRPr="008F339D">
              <w:rPr>
                <w:rFonts w:ascii="Times New Roman" w:eastAsia="AngsanaUPC" w:hAnsi="Times New Roman"/>
                <w:bCs/>
                <w:sz w:val="18"/>
                <w:szCs w:val="18"/>
                <w:lang w:val="en-GB" w:eastAsia="lt-LT"/>
              </w:rPr>
              <w:t>171</w:t>
            </w:r>
            <w:r w:rsidR="00C76808" w:rsidRPr="008F339D">
              <w:rPr>
                <w:rFonts w:ascii="Times New Roman" w:eastAsia="AngsanaUPC" w:hAnsi="Times New Roman"/>
                <w:bCs/>
                <w:sz w:val="18"/>
                <w:szCs w:val="18"/>
                <w:lang w:val="en-GB" w:eastAsia="lt-LT"/>
              </w:rPr>
              <w:t>.</w:t>
            </w:r>
            <w:r w:rsidRPr="008F339D">
              <w:rPr>
                <w:rFonts w:ascii="Times New Roman" w:eastAsia="AngsanaUPC" w:hAnsi="Times New Roman"/>
                <w:bCs/>
                <w:sz w:val="18"/>
                <w:szCs w:val="18"/>
                <w:lang w:val="en-GB" w:eastAsia="lt-LT"/>
              </w:rPr>
              <w:t>919</w:t>
            </w:r>
          </w:p>
        </w:tc>
      </w:tr>
      <w:tr w:rsidR="008D1CA8" w:rsidRPr="00C76808" w:rsidTr="003D4200">
        <w:tc>
          <w:tcPr>
            <w:tcW w:w="851" w:type="dxa"/>
            <w:shd w:val="clear" w:color="auto" w:fill="auto"/>
            <w:vAlign w:val="center"/>
          </w:tcPr>
          <w:p w:rsidR="008D1CA8" w:rsidRPr="008F339D" w:rsidRDefault="008D1CA8" w:rsidP="00322BE2">
            <w:pPr>
              <w:widowControl w:val="0"/>
              <w:tabs>
                <w:tab w:val="left" w:pos="622"/>
              </w:tabs>
              <w:spacing w:after="0" w:line="240" w:lineRule="auto"/>
              <w:rPr>
                <w:rFonts w:ascii="Times New Roman" w:eastAsia="AngsanaUPC" w:hAnsi="Times New Roman"/>
                <w:bCs/>
                <w:sz w:val="18"/>
                <w:szCs w:val="18"/>
                <w:lang w:eastAsia="lt-LT"/>
              </w:rPr>
            </w:pPr>
            <w:r w:rsidRPr="008F339D">
              <w:rPr>
                <w:rFonts w:ascii="Times New Roman" w:eastAsia="AngsanaUPC" w:hAnsi="Times New Roman"/>
                <w:bCs/>
                <w:sz w:val="18"/>
                <w:szCs w:val="18"/>
                <w:lang w:eastAsia="lt-LT"/>
              </w:rPr>
              <w:t>SaF</w:t>
            </w:r>
          </w:p>
        </w:tc>
        <w:tc>
          <w:tcPr>
            <w:tcW w:w="709" w:type="dxa"/>
            <w:shd w:val="clear" w:color="auto" w:fill="auto"/>
            <w:vAlign w:val="center"/>
          </w:tcPr>
          <w:p w:rsidR="008D1CA8" w:rsidRPr="00C76808" w:rsidRDefault="008D1CA8" w:rsidP="008D1CA8">
            <w:pPr>
              <w:widowControl w:val="0"/>
              <w:tabs>
                <w:tab w:val="left" w:pos="622"/>
              </w:tabs>
              <w:spacing w:after="0" w:line="240" w:lineRule="auto"/>
              <w:rPr>
                <w:rFonts w:ascii="Times New Roman" w:eastAsia="AngsanaUPC" w:hAnsi="Times New Roman"/>
                <w:bCs/>
                <w:sz w:val="18"/>
                <w:szCs w:val="18"/>
                <w:lang w:val="en-GB" w:eastAsia="lt-LT"/>
              </w:rPr>
            </w:pPr>
            <w:r w:rsidRPr="00C76808">
              <w:rPr>
                <w:rFonts w:ascii="Times New Roman" w:eastAsia="AngsanaUPC" w:hAnsi="Times New Roman"/>
                <w:bCs/>
                <w:sz w:val="18"/>
                <w:szCs w:val="18"/>
                <w:lang w:val="en-GB" w:eastAsia="lt-LT"/>
              </w:rPr>
              <w:t>15</w:t>
            </w:r>
          </w:p>
        </w:tc>
        <w:tc>
          <w:tcPr>
            <w:tcW w:w="6378" w:type="dxa"/>
            <w:shd w:val="clear" w:color="auto" w:fill="auto"/>
            <w:vAlign w:val="center"/>
          </w:tcPr>
          <w:p w:rsidR="008D1CA8" w:rsidRPr="00C76808" w:rsidRDefault="008D1CA8" w:rsidP="008D1CA8">
            <w:pPr>
              <w:widowControl w:val="0"/>
              <w:tabs>
                <w:tab w:val="left" w:pos="622"/>
              </w:tabs>
              <w:spacing w:after="0" w:line="240" w:lineRule="auto"/>
              <w:rPr>
                <w:rFonts w:ascii="Times New Roman" w:eastAsia="AngsanaUPC" w:hAnsi="Times New Roman"/>
                <w:bCs/>
                <w:sz w:val="18"/>
                <w:szCs w:val="18"/>
                <w:lang w:eastAsia="lt-LT"/>
              </w:rPr>
            </w:pPr>
            <w:r w:rsidRPr="00C76808">
              <w:rPr>
                <w:rFonts w:ascii="Times New Roman" w:eastAsia="AngsanaUPC" w:hAnsi="Times New Roman"/>
                <w:bCs/>
                <w:sz w:val="18"/>
                <w:szCs w:val="18"/>
                <w:lang w:eastAsia="lt-LT"/>
              </w:rPr>
              <w:t>Vidutinės ir žemos įtampos pažangiosios energijos skirstymo sistemos (įskaitant pažangiuosius elektros energijos tinklus ir IRT sistemas)</w:t>
            </w:r>
          </w:p>
        </w:tc>
        <w:tc>
          <w:tcPr>
            <w:tcW w:w="1843" w:type="dxa"/>
            <w:shd w:val="clear" w:color="auto" w:fill="auto"/>
            <w:vAlign w:val="center"/>
          </w:tcPr>
          <w:p w:rsidR="008D1CA8" w:rsidRPr="008F339D" w:rsidRDefault="00C82C5E" w:rsidP="00C82C5E">
            <w:pPr>
              <w:widowControl w:val="0"/>
              <w:tabs>
                <w:tab w:val="left" w:pos="622"/>
              </w:tabs>
              <w:spacing w:after="0" w:line="240" w:lineRule="auto"/>
              <w:jc w:val="right"/>
              <w:rPr>
                <w:rFonts w:ascii="Times New Roman" w:eastAsia="AngsanaUPC" w:hAnsi="Times New Roman"/>
                <w:bCs/>
                <w:sz w:val="18"/>
                <w:szCs w:val="18"/>
                <w:lang w:val="en-GB" w:eastAsia="lt-LT"/>
              </w:rPr>
            </w:pPr>
            <w:r w:rsidRPr="008F339D">
              <w:rPr>
                <w:rFonts w:ascii="Times New Roman" w:eastAsia="AngsanaUPC" w:hAnsi="Times New Roman"/>
                <w:bCs/>
                <w:sz w:val="18"/>
                <w:szCs w:val="18"/>
                <w:lang w:eastAsia="lt-LT"/>
              </w:rPr>
              <w:t>41</w:t>
            </w:r>
            <w:r w:rsidR="00C76808" w:rsidRPr="008F339D">
              <w:rPr>
                <w:rFonts w:ascii="Times New Roman" w:eastAsia="AngsanaUPC" w:hAnsi="Times New Roman"/>
                <w:bCs/>
                <w:sz w:val="18"/>
                <w:szCs w:val="18"/>
                <w:lang w:eastAsia="lt-LT"/>
              </w:rPr>
              <w:t>.</w:t>
            </w:r>
            <w:r w:rsidRPr="008F339D">
              <w:rPr>
                <w:rFonts w:ascii="Times New Roman" w:eastAsia="AngsanaUPC" w:hAnsi="Times New Roman"/>
                <w:bCs/>
                <w:sz w:val="18"/>
                <w:szCs w:val="18"/>
                <w:lang w:eastAsia="lt-LT"/>
              </w:rPr>
              <w:t>836</w:t>
            </w:r>
            <w:r w:rsidR="00C76808" w:rsidRPr="008F339D">
              <w:rPr>
                <w:rFonts w:ascii="Times New Roman" w:eastAsia="AngsanaUPC" w:hAnsi="Times New Roman"/>
                <w:bCs/>
                <w:sz w:val="18"/>
                <w:szCs w:val="18"/>
                <w:lang w:eastAsia="lt-LT"/>
              </w:rPr>
              <w:t>.</w:t>
            </w:r>
            <w:r w:rsidRPr="008F339D">
              <w:rPr>
                <w:rFonts w:ascii="Times New Roman" w:eastAsia="AngsanaUPC" w:hAnsi="Times New Roman"/>
                <w:bCs/>
                <w:sz w:val="18"/>
                <w:szCs w:val="18"/>
                <w:lang w:eastAsia="lt-LT"/>
              </w:rPr>
              <w:t>156</w:t>
            </w:r>
          </w:p>
        </w:tc>
      </w:tr>
      <w:tr w:rsidR="008D1CA8" w:rsidRPr="00C76808" w:rsidTr="003D4200">
        <w:tc>
          <w:tcPr>
            <w:tcW w:w="851" w:type="dxa"/>
            <w:shd w:val="clear" w:color="auto" w:fill="auto"/>
            <w:vAlign w:val="center"/>
          </w:tcPr>
          <w:p w:rsidR="008D1CA8" w:rsidRPr="008F339D" w:rsidRDefault="008D1CA8" w:rsidP="00322BE2">
            <w:pPr>
              <w:widowControl w:val="0"/>
              <w:tabs>
                <w:tab w:val="left" w:pos="622"/>
              </w:tabs>
              <w:spacing w:after="0" w:line="240" w:lineRule="auto"/>
              <w:rPr>
                <w:rFonts w:ascii="Times New Roman" w:eastAsia="AngsanaUPC" w:hAnsi="Times New Roman"/>
                <w:bCs/>
                <w:sz w:val="18"/>
                <w:szCs w:val="18"/>
                <w:lang w:eastAsia="lt-LT"/>
              </w:rPr>
            </w:pPr>
            <w:r w:rsidRPr="008F339D">
              <w:rPr>
                <w:rFonts w:ascii="Times New Roman" w:eastAsia="AngsanaUPC" w:hAnsi="Times New Roman"/>
                <w:bCs/>
                <w:sz w:val="18"/>
                <w:szCs w:val="18"/>
                <w:lang w:eastAsia="lt-LT"/>
              </w:rPr>
              <w:t>SaF</w:t>
            </w:r>
          </w:p>
        </w:tc>
        <w:tc>
          <w:tcPr>
            <w:tcW w:w="709" w:type="dxa"/>
            <w:shd w:val="clear" w:color="auto" w:fill="auto"/>
            <w:vAlign w:val="center"/>
          </w:tcPr>
          <w:p w:rsidR="008D1CA8" w:rsidRPr="00C76808" w:rsidRDefault="008D1CA8" w:rsidP="008D1CA8">
            <w:pPr>
              <w:widowControl w:val="0"/>
              <w:tabs>
                <w:tab w:val="left" w:pos="622"/>
              </w:tabs>
              <w:spacing w:after="0" w:line="240" w:lineRule="auto"/>
              <w:rPr>
                <w:rFonts w:ascii="Times New Roman" w:eastAsia="AngsanaUPC" w:hAnsi="Times New Roman"/>
                <w:bCs/>
                <w:sz w:val="18"/>
                <w:szCs w:val="18"/>
                <w:lang w:val="en-GB" w:eastAsia="lt-LT"/>
              </w:rPr>
            </w:pPr>
            <w:r w:rsidRPr="00C76808">
              <w:rPr>
                <w:rFonts w:ascii="Times New Roman" w:eastAsia="AngsanaUPC" w:hAnsi="Times New Roman"/>
                <w:bCs/>
                <w:sz w:val="18"/>
                <w:szCs w:val="18"/>
                <w:lang w:val="en-GB" w:eastAsia="lt-LT"/>
              </w:rPr>
              <w:t>16</w:t>
            </w:r>
          </w:p>
        </w:tc>
        <w:tc>
          <w:tcPr>
            <w:tcW w:w="6378" w:type="dxa"/>
            <w:shd w:val="clear" w:color="auto" w:fill="auto"/>
            <w:vAlign w:val="center"/>
          </w:tcPr>
          <w:p w:rsidR="008D1CA8" w:rsidRPr="00C76808" w:rsidRDefault="008D1CA8" w:rsidP="00D63618">
            <w:pPr>
              <w:widowControl w:val="0"/>
              <w:tabs>
                <w:tab w:val="left" w:pos="622"/>
              </w:tabs>
              <w:spacing w:after="0" w:line="240" w:lineRule="auto"/>
              <w:rPr>
                <w:rFonts w:ascii="Times New Roman" w:eastAsia="AngsanaUPC" w:hAnsi="Times New Roman"/>
                <w:bCs/>
                <w:sz w:val="18"/>
                <w:szCs w:val="18"/>
                <w:lang w:eastAsia="lt-LT"/>
              </w:rPr>
            </w:pPr>
            <w:r w:rsidRPr="00C76808">
              <w:rPr>
                <w:rFonts w:ascii="Times New Roman" w:eastAsia="AngsanaUPC" w:hAnsi="Times New Roman"/>
                <w:bCs/>
                <w:sz w:val="18"/>
                <w:szCs w:val="18"/>
                <w:lang w:eastAsia="lt-LT"/>
              </w:rPr>
              <w:t>Itin veiksminga bendra šilumos ir elektros energijos gamyba ir centralizuotas šilumos tiekimas</w:t>
            </w:r>
          </w:p>
        </w:tc>
        <w:tc>
          <w:tcPr>
            <w:tcW w:w="1843" w:type="dxa"/>
            <w:shd w:val="clear" w:color="auto" w:fill="auto"/>
            <w:vAlign w:val="center"/>
          </w:tcPr>
          <w:p w:rsidR="008D1CA8" w:rsidRPr="008F339D" w:rsidRDefault="00C82C5E" w:rsidP="009C735D">
            <w:pPr>
              <w:widowControl w:val="0"/>
              <w:tabs>
                <w:tab w:val="left" w:pos="622"/>
              </w:tabs>
              <w:spacing w:after="0" w:line="240" w:lineRule="auto"/>
              <w:jc w:val="right"/>
              <w:rPr>
                <w:rFonts w:ascii="Times New Roman" w:eastAsia="AngsanaUPC" w:hAnsi="Times New Roman"/>
                <w:bCs/>
                <w:sz w:val="18"/>
                <w:szCs w:val="18"/>
                <w:lang w:val="en-GB" w:eastAsia="lt-LT"/>
              </w:rPr>
            </w:pPr>
            <w:r w:rsidRPr="008F339D">
              <w:rPr>
                <w:rFonts w:ascii="Times New Roman" w:eastAsia="AngsanaUPC" w:hAnsi="Times New Roman"/>
                <w:bCs/>
                <w:sz w:val="18"/>
                <w:szCs w:val="18"/>
                <w:lang w:val="en-GB" w:eastAsia="lt-LT"/>
              </w:rPr>
              <w:t>92</w:t>
            </w:r>
            <w:r w:rsidR="00C76808" w:rsidRPr="008F339D">
              <w:rPr>
                <w:rFonts w:ascii="Times New Roman" w:eastAsia="AngsanaUPC" w:hAnsi="Times New Roman"/>
                <w:bCs/>
                <w:sz w:val="18"/>
                <w:szCs w:val="18"/>
                <w:lang w:val="en-GB" w:eastAsia="lt-LT"/>
              </w:rPr>
              <w:t>.</w:t>
            </w:r>
            <w:r w:rsidRPr="008F339D">
              <w:rPr>
                <w:rFonts w:ascii="Times New Roman" w:eastAsia="AngsanaUPC" w:hAnsi="Times New Roman"/>
                <w:bCs/>
                <w:sz w:val="18"/>
                <w:szCs w:val="18"/>
                <w:lang w:val="en-GB" w:eastAsia="lt-LT"/>
              </w:rPr>
              <w:t>262</w:t>
            </w:r>
            <w:r w:rsidR="00C76808" w:rsidRPr="008F339D">
              <w:rPr>
                <w:rFonts w:ascii="Times New Roman" w:eastAsia="AngsanaUPC" w:hAnsi="Times New Roman"/>
                <w:bCs/>
                <w:sz w:val="18"/>
                <w:szCs w:val="18"/>
                <w:lang w:val="en-GB" w:eastAsia="lt-LT"/>
              </w:rPr>
              <w:t>.</w:t>
            </w:r>
            <w:r w:rsidRPr="008F339D">
              <w:rPr>
                <w:rFonts w:ascii="Times New Roman" w:eastAsia="AngsanaUPC" w:hAnsi="Times New Roman"/>
                <w:bCs/>
                <w:sz w:val="18"/>
                <w:szCs w:val="18"/>
                <w:lang w:val="en-GB" w:eastAsia="lt-LT"/>
              </w:rPr>
              <w:t>029</w:t>
            </w:r>
          </w:p>
        </w:tc>
      </w:tr>
      <w:tr w:rsidR="008D1CA8" w:rsidRPr="00C76808" w:rsidTr="003D4200">
        <w:tc>
          <w:tcPr>
            <w:tcW w:w="851" w:type="dxa"/>
            <w:shd w:val="clear" w:color="auto" w:fill="auto"/>
            <w:vAlign w:val="center"/>
          </w:tcPr>
          <w:p w:rsidR="008D1CA8" w:rsidRPr="008F339D" w:rsidRDefault="008D1CA8" w:rsidP="00322BE2">
            <w:pPr>
              <w:widowControl w:val="0"/>
              <w:tabs>
                <w:tab w:val="left" w:pos="622"/>
              </w:tabs>
              <w:spacing w:after="0" w:line="240" w:lineRule="auto"/>
              <w:rPr>
                <w:rFonts w:ascii="Times New Roman" w:eastAsia="AngsanaUPC" w:hAnsi="Times New Roman"/>
                <w:bCs/>
                <w:sz w:val="18"/>
                <w:szCs w:val="18"/>
                <w:lang w:eastAsia="lt-LT"/>
              </w:rPr>
            </w:pPr>
            <w:r w:rsidRPr="008F339D">
              <w:rPr>
                <w:rFonts w:ascii="Times New Roman" w:eastAsia="AngsanaUPC" w:hAnsi="Times New Roman"/>
                <w:bCs/>
                <w:sz w:val="18"/>
                <w:szCs w:val="18"/>
                <w:lang w:eastAsia="lt-LT"/>
              </w:rPr>
              <w:t>ERPF</w:t>
            </w:r>
          </w:p>
        </w:tc>
        <w:tc>
          <w:tcPr>
            <w:tcW w:w="709" w:type="dxa"/>
            <w:shd w:val="clear" w:color="auto" w:fill="auto"/>
            <w:vAlign w:val="center"/>
          </w:tcPr>
          <w:p w:rsidR="008D1CA8" w:rsidRPr="00C76808" w:rsidRDefault="008D1CA8" w:rsidP="008D1CA8">
            <w:pPr>
              <w:widowControl w:val="0"/>
              <w:tabs>
                <w:tab w:val="left" w:pos="622"/>
              </w:tabs>
              <w:spacing w:after="0" w:line="240" w:lineRule="auto"/>
              <w:rPr>
                <w:rFonts w:ascii="Times New Roman" w:eastAsia="AngsanaUPC" w:hAnsi="Times New Roman"/>
                <w:bCs/>
                <w:sz w:val="18"/>
                <w:szCs w:val="18"/>
                <w:lang w:val="en-GB" w:eastAsia="lt-LT"/>
              </w:rPr>
            </w:pPr>
            <w:r w:rsidRPr="00C76808">
              <w:rPr>
                <w:rFonts w:ascii="Times New Roman" w:eastAsia="AngsanaUPC" w:hAnsi="Times New Roman"/>
                <w:bCs/>
                <w:sz w:val="18"/>
                <w:szCs w:val="18"/>
                <w:lang w:val="en-GB" w:eastAsia="lt-LT"/>
              </w:rPr>
              <w:t>43</w:t>
            </w:r>
          </w:p>
        </w:tc>
        <w:tc>
          <w:tcPr>
            <w:tcW w:w="6378" w:type="dxa"/>
            <w:shd w:val="clear" w:color="auto" w:fill="auto"/>
            <w:vAlign w:val="center"/>
          </w:tcPr>
          <w:p w:rsidR="008D1CA8" w:rsidRPr="00C76808" w:rsidRDefault="00D63618" w:rsidP="00322BE2">
            <w:pPr>
              <w:widowControl w:val="0"/>
              <w:tabs>
                <w:tab w:val="left" w:pos="622"/>
              </w:tabs>
              <w:spacing w:after="0" w:line="240" w:lineRule="auto"/>
              <w:rPr>
                <w:rFonts w:ascii="Times New Roman" w:eastAsia="AngsanaUPC" w:hAnsi="Times New Roman"/>
                <w:bCs/>
                <w:sz w:val="18"/>
                <w:szCs w:val="18"/>
                <w:lang w:eastAsia="lt-LT"/>
              </w:rPr>
            </w:pPr>
            <w:r w:rsidRPr="00C76808">
              <w:rPr>
                <w:rFonts w:ascii="Times New Roman" w:eastAsia="AngsanaUPC" w:hAnsi="Times New Roman"/>
                <w:bCs/>
                <w:sz w:val="18"/>
                <w:szCs w:val="18"/>
                <w:lang w:eastAsia="lt-LT"/>
              </w:rPr>
              <w:t>Netaršaus miesto transporto infrastruktūra ir skatinimas (įskaitant įrangą ir transporto priemones)</w:t>
            </w:r>
          </w:p>
        </w:tc>
        <w:tc>
          <w:tcPr>
            <w:tcW w:w="1843" w:type="dxa"/>
            <w:shd w:val="clear" w:color="auto" w:fill="auto"/>
            <w:vAlign w:val="center"/>
          </w:tcPr>
          <w:p w:rsidR="008D1CA8" w:rsidRPr="008F339D" w:rsidRDefault="008D1CA8" w:rsidP="00C82C5E">
            <w:pPr>
              <w:widowControl w:val="0"/>
              <w:tabs>
                <w:tab w:val="left" w:pos="622"/>
              </w:tabs>
              <w:spacing w:after="0" w:line="240" w:lineRule="auto"/>
              <w:jc w:val="right"/>
              <w:rPr>
                <w:rFonts w:ascii="Times New Roman" w:eastAsia="AngsanaUPC" w:hAnsi="Times New Roman"/>
                <w:bCs/>
                <w:sz w:val="18"/>
                <w:szCs w:val="18"/>
                <w:lang w:val="en-GB" w:eastAsia="lt-LT"/>
              </w:rPr>
            </w:pPr>
            <w:r w:rsidRPr="008F339D">
              <w:rPr>
                <w:rFonts w:ascii="Times New Roman" w:eastAsia="AngsanaUPC" w:hAnsi="Times New Roman"/>
                <w:bCs/>
                <w:sz w:val="18"/>
                <w:szCs w:val="18"/>
                <w:lang w:val="en-GB" w:eastAsia="lt-LT"/>
              </w:rPr>
              <w:t>2</w:t>
            </w:r>
            <w:r w:rsidR="00C82C5E" w:rsidRPr="008F339D">
              <w:rPr>
                <w:rFonts w:ascii="Times New Roman" w:eastAsia="AngsanaUPC" w:hAnsi="Times New Roman"/>
                <w:bCs/>
                <w:sz w:val="18"/>
                <w:szCs w:val="18"/>
                <w:lang w:val="en-GB" w:eastAsia="lt-LT"/>
              </w:rPr>
              <w:t>4</w:t>
            </w:r>
            <w:r w:rsidR="00C76808" w:rsidRPr="008F339D">
              <w:rPr>
                <w:rFonts w:ascii="Times New Roman" w:eastAsia="AngsanaUPC" w:hAnsi="Times New Roman"/>
                <w:bCs/>
                <w:sz w:val="18"/>
                <w:szCs w:val="18"/>
                <w:lang w:val="en-GB" w:eastAsia="lt-LT"/>
              </w:rPr>
              <w:t>.</w:t>
            </w:r>
            <w:r w:rsidR="00C82C5E" w:rsidRPr="008F339D">
              <w:rPr>
                <w:rFonts w:ascii="Times New Roman" w:eastAsia="AngsanaUPC" w:hAnsi="Times New Roman"/>
                <w:bCs/>
                <w:sz w:val="18"/>
                <w:szCs w:val="18"/>
                <w:lang w:val="en-GB" w:eastAsia="lt-LT"/>
              </w:rPr>
              <w:t>263</w:t>
            </w:r>
            <w:r w:rsidR="00C76808" w:rsidRPr="008F339D">
              <w:rPr>
                <w:rFonts w:ascii="Times New Roman" w:eastAsia="AngsanaUPC" w:hAnsi="Times New Roman"/>
                <w:bCs/>
                <w:sz w:val="18"/>
                <w:szCs w:val="18"/>
                <w:lang w:val="en-GB" w:eastAsia="lt-LT"/>
              </w:rPr>
              <w:t>.</w:t>
            </w:r>
            <w:r w:rsidRPr="008F339D">
              <w:rPr>
                <w:rFonts w:ascii="Times New Roman" w:eastAsia="AngsanaUPC" w:hAnsi="Times New Roman"/>
                <w:bCs/>
                <w:sz w:val="18"/>
                <w:szCs w:val="18"/>
                <w:lang w:val="en-GB" w:eastAsia="lt-LT"/>
              </w:rPr>
              <w:t>902</w:t>
            </w:r>
          </w:p>
        </w:tc>
      </w:tr>
      <w:tr w:rsidR="008D1CA8" w:rsidRPr="00C76808" w:rsidTr="003D4200">
        <w:tc>
          <w:tcPr>
            <w:tcW w:w="851" w:type="dxa"/>
            <w:shd w:val="clear" w:color="auto" w:fill="auto"/>
            <w:vAlign w:val="center"/>
          </w:tcPr>
          <w:p w:rsidR="008D1CA8" w:rsidRPr="008F339D" w:rsidRDefault="008D1CA8" w:rsidP="00322BE2">
            <w:pPr>
              <w:widowControl w:val="0"/>
              <w:tabs>
                <w:tab w:val="left" w:pos="622"/>
              </w:tabs>
              <w:spacing w:after="0" w:line="240" w:lineRule="auto"/>
              <w:rPr>
                <w:rFonts w:ascii="Times New Roman" w:eastAsia="AngsanaUPC" w:hAnsi="Times New Roman"/>
                <w:bCs/>
                <w:sz w:val="18"/>
                <w:szCs w:val="18"/>
                <w:lang w:eastAsia="lt-LT"/>
              </w:rPr>
            </w:pPr>
            <w:r w:rsidRPr="008F339D">
              <w:rPr>
                <w:rFonts w:ascii="Times New Roman" w:eastAsia="AngsanaUPC" w:hAnsi="Times New Roman"/>
                <w:bCs/>
                <w:sz w:val="18"/>
                <w:szCs w:val="18"/>
                <w:lang w:eastAsia="lt-LT"/>
              </w:rPr>
              <w:t>SaF</w:t>
            </w:r>
          </w:p>
        </w:tc>
        <w:tc>
          <w:tcPr>
            <w:tcW w:w="709" w:type="dxa"/>
            <w:shd w:val="clear" w:color="auto" w:fill="auto"/>
            <w:vAlign w:val="center"/>
          </w:tcPr>
          <w:p w:rsidR="008D1CA8" w:rsidRPr="00C76808" w:rsidRDefault="008D1CA8" w:rsidP="008D1CA8">
            <w:pPr>
              <w:widowControl w:val="0"/>
              <w:tabs>
                <w:tab w:val="left" w:pos="622"/>
              </w:tabs>
              <w:spacing w:after="0" w:line="240" w:lineRule="auto"/>
              <w:rPr>
                <w:rFonts w:ascii="Times New Roman" w:eastAsia="AngsanaUPC" w:hAnsi="Times New Roman"/>
                <w:bCs/>
                <w:sz w:val="18"/>
                <w:szCs w:val="18"/>
                <w:lang w:val="en-GB" w:eastAsia="lt-LT"/>
              </w:rPr>
            </w:pPr>
            <w:r w:rsidRPr="00C76808">
              <w:rPr>
                <w:rFonts w:ascii="Times New Roman" w:eastAsia="AngsanaUPC" w:hAnsi="Times New Roman"/>
                <w:bCs/>
                <w:sz w:val="18"/>
                <w:szCs w:val="18"/>
                <w:lang w:val="en-GB" w:eastAsia="lt-LT"/>
              </w:rPr>
              <w:t>43</w:t>
            </w:r>
          </w:p>
        </w:tc>
        <w:tc>
          <w:tcPr>
            <w:tcW w:w="6378" w:type="dxa"/>
            <w:shd w:val="clear" w:color="auto" w:fill="auto"/>
            <w:vAlign w:val="center"/>
          </w:tcPr>
          <w:p w:rsidR="008D1CA8" w:rsidRPr="00C76808" w:rsidRDefault="00D63618" w:rsidP="00322BE2">
            <w:pPr>
              <w:widowControl w:val="0"/>
              <w:tabs>
                <w:tab w:val="left" w:pos="622"/>
              </w:tabs>
              <w:spacing w:after="0" w:line="240" w:lineRule="auto"/>
              <w:rPr>
                <w:rFonts w:ascii="Times New Roman" w:eastAsia="AngsanaUPC" w:hAnsi="Times New Roman"/>
                <w:bCs/>
                <w:sz w:val="18"/>
                <w:szCs w:val="18"/>
                <w:lang w:eastAsia="lt-LT"/>
              </w:rPr>
            </w:pPr>
            <w:r w:rsidRPr="00C76808">
              <w:rPr>
                <w:rFonts w:ascii="Times New Roman" w:eastAsia="AngsanaUPC" w:hAnsi="Times New Roman"/>
                <w:bCs/>
                <w:sz w:val="18"/>
                <w:szCs w:val="18"/>
                <w:lang w:eastAsia="lt-LT"/>
              </w:rPr>
              <w:t>Netaršaus miesto transporto infrastruktūra ir skatinimas (įskaitant įrangą ir transporto priemones)</w:t>
            </w:r>
          </w:p>
        </w:tc>
        <w:tc>
          <w:tcPr>
            <w:tcW w:w="1843" w:type="dxa"/>
            <w:shd w:val="clear" w:color="auto" w:fill="auto"/>
            <w:vAlign w:val="center"/>
          </w:tcPr>
          <w:p w:rsidR="008D1CA8" w:rsidRPr="008F339D" w:rsidRDefault="009C735D" w:rsidP="009C735D">
            <w:pPr>
              <w:widowControl w:val="0"/>
              <w:tabs>
                <w:tab w:val="left" w:pos="622"/>
              </w:tabs>
              <w:spacing w:after="0" w:line="240" w:lineRule="auto"/>
              <w:jc w:val="right"/>
              <w:rPr>
                <w:rFonts w:ascii="Times New Roman" w:eastAsia="AngsanaUPC" w:hAnsi="Times New Roman"/>
                <w:bCs/>
                <w:sz w:val="18"/>
                <w:szCs w:val="18"/>
                <w:lang w:val="en-GB" w:eastAsia="lt-LT"/>
              </w:rPr>
            </w:pPr>
            <w:r w:rsidRPr="008F339D">
              <w:rPr>
                <w:rFonts w:ascii="Times New Roman" w:eastAsia="AngsanaUPC" w:hAnsi="Times New Roman"/>
                <w:bCs/>
                <w:sz w:val="18"/>
                <w:szCs w:val="18"/>
                <w:lang w:val="en-GB" w:eastAsia="lt-LT"/>
              </w:rPr>
              <w:t>5</w:t>
            </w:r>
            <w:r w:rsidR="008D1CA8" w:rsidRPr="008F339D">
              <w:rPr>
                <w:rFonts w:ascii="Times New Roman" w:eastAsia="AngsanaUPC" w:hAnsi="Times New Roman"/>
                <w:bCs/>
                <w:sz w:val="18"/>
                <w:szCs w:val="18"/>
                <w:lang w:val="en-GB" w:eastAsia="lt-LT"/>
              </w:rPr>
              <w:t>3</w:t>
            </w:r>
            <w:r w:rsidR="00C76808" w:rsidRPr="008F339D">
              <w:rPr>
                <w:rFonts w:ascii="Times New Roman" w:eastAsia="AngsanaUPC" w:hAnsi="Times New Roman"/>
                <w:bCs/>
                <w:sz w:val="18"/>
                <w:szCs w:val="18"/>
                <w:lang w:val="en-GB" w:eastAsia="lt-LT"/>
              </w:rPr>
              <w:t>.</w:t>
            </w:r>
            <w:r w:rsidR="008D1CA8" w:rsidRPr="008F339D">
              <w:rPr>
                <w:rFonts w:ascii="Times New Roman" w:eastAsia="AngsanaUPC" w:hAnsi="Times New Roman"/>
                <w:bCs/>
                <w:sz w:val="18"/>
                <w:szCs w:val="18"/>
                <w:lang w:val="en-GB" w:eastAsia="lt-LT"/>
              </w:rPr>
              <w:t>443</w:t>
            </w:r>
            <w:r w:rsidR="00C76808" w:rsidRPr="008F339D">
              <w:rPr>
                <w:rFonts w:ascii="Times New Roman" w:eastAsia="AngsanaUPC" w:hAnsi="Times New Roman"/>
                <w:bCs/>
                <w:sz w:val="18"/>
                <w:szCs w:val="18"/>
                <w:lang w:val="en-GB" w:eastAsia="lt-LT"/>
              </w:rPr>
              <w:t>.</w:t>
            </w:r>
            <w:r w:rsidR="008D1CA8" w:rsidRPr="008F339D">
              <w:rPr>
                <w:rFonts w:ascii="Times New Roman" w:eastAsia="AngsanaUPC" w:hAnsi="Times New Roman"/>
                <w:bCs/>
                <w:sz w:val="18"/>
                <w:szCs w:val="18"/>
                <w:lang w:val="en-GB" w:eastAsia="lt-LT"/>
              </w:rPr>
              <w:t>00</w:t>
            </w:r>
            <w:r w:rsidRPr="008F339D">
              <w:rPr>
                <w:rFonts w:ascii="Times New Roman" w:eastAsia="AngsanaUPC" w:hAnsi="Times New Roman"/>
                <w:bCs/>
                <w:sz w:val="18"/>
                <w:szCs w:val="18"/>
                <w:lang w:val="en-GB" w:eastAsia="lt-LT"/>
              </w:rPr>
              <w:t>2</w:t>
            </w:r>
          </w:p>
        </w:tc>
      </w:tr>
      <w:tr w:rsidR="008D1CA8" w:rsidRPr="00C76808" w:rsidTr="003D4200">
        <w:tc>
          <w:tcPr>
            <w:tcW w:w="851" w:type="dxa"/>
            <w:shd w:val="clear" w:color="auto" w:fill="auto"/>
            <w:vAlign w:val="center"/>
          </w:tcPr>
          <w:p w:rsidR="008D1CA8" w:rsidRPr="00C76808" w:rsidRDefault="008D1CA8" w:rsidP="00322BE2">
            <w:pPr>
              <w:widowControl w:val="0"/>
              <w:tabs>
                <w:tab w:val="left" w:pos="622"/>
              </w:tabs>
              <w:spacing w:after="0" w:line="240" w:lineRule="auto"/>
              <w:rPr>
                <w:rFonts w:ascii="Times New Roman" w:eastAsia="AngsanaUPC" w:hAnsi="Times New Roman"/>
                <w:bCs/>
                <w:sz w:val="18"/>
                <w:szCs w:val="18"/>
                <w:lang w:val="en-GB" w:eastAsia="lt-LT"/>
              </w:rPr>
            </w:pPr>
            <w:r w:rsidRPr="00C76808">
              <w:rPr>
                <w:rFonts w:ascii="Times New Roman" w:eastAsia="AngsanaUPC" w:hAnsi="Times New Roman"/>
                <w:bCs/>
                <w:sz w:val="18"/>
                <w:szCs w:val="18"/>
                <w:lang w:val="en-GB" w:eastAsia="lt-LT"/>
              </w:rPr>
              <w:t>ERPF</w:t>
            </w:r>
          </w:p>
        </w:tc>
        <w:tc>
          <w:tcPr>
            <w:tcW w:w="709" w:type="dxa"/>
            <w:shd w:val="clear" w:color="auto" w:fill="auto"/>
            <w:vAlign w:val="center"/>
          </w:tcPr>
          <w:p w:rsidR="008D1CA8" w:rsidRPr="00C76808" w:rsidRDefault="008D1CA8" w:rsidP="008D1CA8">
            <w:pPr>
              <w:widowControl w:val="0"/>
              <w:tabs>
                <w:tab w:val="left" w:pos="622"/>
              </w:tabs>
              <w:spacing w:after="0" w:line="240" w:lineRule="auto"/>
              <w:rPr>
                <w:rFonts w:ascii="Times New Roman" w:eastAsia="AngsanaUPC" w:hAnsi="Times New Roman"/>
                <w:bCs/>
                <w:sz w:val="18"/>
                <w:szCs w:val="18"/>
                <w:lang w:val="en-GB" w:eastAsia="lt-LT"/>
              </w:rPr>
            </w:pPr>
            <w:r w:rsidRPr="00C76808">
              <w:rPr>
                <w:rFonts w:ascii="Times New Roman" w:eastAsia="AngsanaUPC" w:hAnsi="Times New Roman"/>
                <w:bCs/>
                <w:sz w:val="18"/>
                <w:szCs w:val="18"/>
                <w:lang w:val="en-GB" w:eastAsia="lt-LT"/>
              </w:rPr>
              <w:t>44</w:t>
            </w:r>
          </w:p>
        </w:tc>
        <w:tc>
          <w:tcPr>
            <w:tcW w:w="6378" w:type="dxa"/>
            <w:shd w:val="clear" w:color="auto" w:fill="auto"/>
            <w:vAlign w:val="center"/>
          </w:tcPr>
          <w:p w:rsidR="008D1CA8" w:rsidRPr="00C76808" w:rsidRDefault="00D63618" w:rsidP="00D63618">
            <w:pPr>
              <w:widowControl w:val="0"/>
              <w:tabs>
                <w:tab w:val="left" w:pos="622"/>
              </w:tabs>
              <w:spacing w:after="0" w:line="240" w:lineRule="auto"/>
              <w:rPr>
                <w:rFonts w:ascii="Times New Roman" w:eastAsia="AngsanaUPC" w:hAnsi="Times New Roman"/>
                <w:bCs/>
                <w:sz w:val="18"/>
                <w:szCs w:val="18"/>
                <w:lang w:eastAsia="lt-LT"/>
              </w:rPr>
            </w:pPr>
            <w:r w:rsidRPr="00C76808">
              <w:rPr>
                <w:rFonts w:ascii="Times New Roman" w:eastAsia="AngsanaUPC" w:hAnsi="Times New Roman"/>
                <w:bCs/>
                <w:sz w:val="18"/>
                <w:szCs w:val="18"/>
                <w:lang w:eastAsia="lt-LT"/>
              </w:rPr>
              <w:t>Pažangios transporto sistemos (įskaitant paklausos valdymo įvedimą, rinkliavų sistemas, IT stebėjimo, valdymo ir informacines sistemas)</w:t>
            </w:r>
          </w:p>
        </w:tc>
        <w:tc>
          <w:tcPr>
            <w:tcW w:w="1843" w:type="dxa"/>
            <w:shd w:val="clear" w:color="auto" w:fill="auto"/>
            <w:vAlign w:val="center"/>
          </w:tcPr>
          <w:p w:rsidR="008D1CA8" w:rsidRPr="008F339D" w:rsidRDefault="00C82C5E" w:rsidP="00E8768C">
            <w:pPr>
              <w:widowControl w:val="0"/>
              <w:tabs>
                <w:tab w:val="left" w:pos="622"/>
              </w:tabs>
              <w:spacing w:after="0" w:line="240" w:lineRule="auto"/>
              <w:jc w:val="right"/>
              <w:rPr>
                <w:rFonts w:ascii="Times New Roman" w:eastAsia="AngsanaUPC" w:hAnsi="Times New Roman"/>
                <w:bCs/>
                <w:sz w:val="18"/>
                <w:szCs w:val="18"/>
                <w:lang w:val="en-GB" w:eastAsia="lt-LT"/>
              </w:rPr>
            </w:pPr>
            <w:r w:rsidRPr="008F339D">
              <w:rPr>
                <w:rFonts w:ascii="Times New Roman" w:eastAsia="AngsanaUPC" w:hAnsi="Times New Roman"/>
                <w:bCs/>
                <w:sz w:val="18"/>
                <w:szCs w:val="18"/>
                <w:lang w:val="en-GB" w:eastAsia="lt-LT"/>
              </w:rPr>
              <w:t>4</w:t>
            </w:r>
            <w:r w:rsidR="00C76808" w:rsidRPr="008F339D">
              <w:rPr>
                <w:rFonts w:ascii="Times New Roman" w:eastAsia="AngsanaUPC" w:hAnsi="Times New Roman"/>
                <w:bCs/>
                <w:sz w:val="18"/>
                <w:szCs w:val="18"/>
                <w:lang w:val="en-GB" w:eastAsia="lt-LT"/>
              </w:rPr>
              <w:t>.</w:t>
            </w:r>
            <w:r w:rsidRPr="008F339D">
              <w:rPr>
                <w:rFonts w:ascii="Times New Roman" w:eastAsia="AngsanaUPC" w:hAnsi="Times New Roman"/>
                <w:bCs/>
                <w:sz w:val="18"/>
                <w:szCs w:val="18"/>
                <w:lang w:val="en-GB" w:eastAsia="lt-LT"/>
              </w:rPr>
              <w:t>49</w:t>
            </w:r>
            <w:r w:rsidR="008D1CA8" w:rsidRPr="008F339D">
              <w:rPr>
                <w:rFonts w:ascii="Times New Roman" w:eastAsia="AngsanaUPC" w:hAnsi="Times New Roman"/>
                <w:bCs/>
                <w:sz w:val="18"/>
                <w:szCs w:val="18"/>
                <w:lang w:val="en-GB" w:eastAsia="lt-LT"/>
              </w:rPr>
              <w:t>0</w:t>
            </w:r>
            <w:r w:rsidR="00C76808" w:rsidRPr="008F339D">
              <w:rPr>
                <w:rFonts w:ascii="Times New Roman" w:eastAsia="AngsanaUPC" w:hAnsi="Times New Roman"/>
                <w:bCs/>
                <w:sz w:val="18"/>
                <w:szCs w:val="18"/>
                <w:lang w:val="en-GB" w:eastAsia="lt-LT"/>
              </w:rPr>
              <w:t>.</w:t>
            </w:r>
            <w:r w:rsidR="008D1CA8" w:rsidRPr="008F339D">
              <w:rPr>
                <w:rFonts w:ascii="Times New Roman" w:eastAsia="AngsanaUPC" w:hAnsi="Times New Roman"/>
                <w:bCs/>
                <w:sz w:val="18"/>
                <w:szCs w:val="18"/>
                <w:lang w:val="en-GB" w:eastAsia="lt-LT"/>
              </w:rPr>
              <w:t>500</w:t>
            </w:r>
          </w:p>
        </w:tc>
      </w:tr>
      <w:tr w:rsidR="008D1CA8" w:rsidRPr="00C76808" w:rsidTr="003D4200">
        <w:tc>
          <w:tcPr>
            <w:tcW w:w="851" w:type="dxa"/>
            <w:shd w:val="clear" w:color="auto" w:fill="auto"/>
            <w:vAlign w:val="center"/>
          </w:tcPr>
          <w:p w:rsidR="008D1CA8" w:rsidRPr="00C76808" w:rsidRDefault="008D1CA8" w:rsidP="00322BE2">
            <w:pPr>
              <w:widowControl w:val="0"/>
              <w:tabs>
                <w:tab w:val="left" w:pos="622"/>
              </w:tabs>
              <w:spacing w:after="0" w:line="240" w:lineRule="auto"/>
              <w:rPr>
                <w:rFonts w:ascii="Times New Roman" w:eastAsia="AngsanaUPC" w:hAnsi="Times New Roman"/>
                <w:bCs/>
                <w:sz w:val="18"/>
                <w:szCs w:val="18"/>
                <w:lang w:val="en-GB" w:eastAsia="lt-LT"/>
              </w:rPr>
            </w:pPr>
            <w:r w:rsidRPr="00C76808">
              <w:rPr>
                <w:rFonts w:ascii="Times New Roman" w:eastAsia="AngsanaUPC" w:hAnsi="Times New Roman"/>
                <w:bCs/>
                <w:sz w:val="18"/>
                <w:szCs w:val="18"/>
                <w:lang w:val="en-GB" w:eastAsia="lt-LT"/>
              </w:rPr>
              <w:t>ERPF</w:t>
            </w:r>
          </w:p>
        </w:tc>
        <w:tc>
          <w:tcPr>
            <w:tcW w:w="709" w:type="dxa"/>
            <w:shd w:val="clear" w:color="auto" w:fill="auto"/>
            <w:vAlign w:val="center"/>
          </w:tcPr>
          <w:p w:rsidR="008D1CA8" w:rsidRPr="00C76808" w:rsidRDefault="008D1CA8" w:rsidP="008D1CA8">
            <w:pPr>
              <w:widowControl w:val="0"/>
              <w:tabs>
                <w:tab w:val="left" w:pos="622"/>
              </w:tabs>
              <w:spacing w:after="0" w:line="240" w:lineRule="auto"/>
              <w:rPr>
                <w:rFonts w:ascii="Times New Roman" w:eastAsia="AngsanaUPC" w:hAnsi="Times New Roman"/>
                <w:bCs/>
                <w:sz w:val="18"/>
                <w:szCs w:val="18"/>
                <w:lang w:val="en-GB" w:eastAsia="lt-LT"/>
              </w:rPr>
            </w:pPr>
            <w:r w:rsidRPr="00C76808">
              <w:rPr>
                <w:rFonts w:ascii="Times New Roman" w:eastAsia="AngsanaUPC" w:hAnsi="Times New Roman"/>
                <w:bCs/>
                <w:sz w:val="18"/>
                <w:szCs w:val="18"/>
                <w:lang w:val="en-GB" w:eastAsia="lt-LT"/>
              </w:rPr>
              <w:t>68</w:t>
            </w:r>
          </w:p>
        </w:tc>
        <w:tc>
          <w:tcPr>
            <w:tcW w:w="6378" w:type="dxa"/>
            <w:shd w:val="clear" w:color="auto" w:fill="auto"/>
            <w:vAlign w:val="center"/>
          </w:tcPr>
          <w:p w:rsidR="008D1CA8" w:rsidRPr="00C76808" w:rsidRDefault="00D63618" w:rsidP="00D63618">
            <w:pPr>
              <w:widowControl w:val="0"/>
              <w:tabs>
                <w:tab w:val="left" w:pos="622"/>
              </w:tabs>
              <w:spacing w:after="0" w:line="240" w:lineRule="auto"/>
              <w:rPr>
                <w:rFonts w:ascii="Times New Roman" w:eastAsia="AngsanaUPC" w:hAnsi="Times New Roman"/>
                <w:bCs/>
                <w:sz w:val="18"/>
                <w:szCs w:val="18"/>
                <w:lang w:eastAsia="lt-LT"/>
              </w:rPr>
            </w:pPr>
            <w:r w:rsidRPr="00C76808">
              <w:rPr>
                <w:rFonts w:ascii="Times New Roman" w:eastAsia="AngsanaUPC" w:hAnsi="Times New Roman"/>
                <w:bCs/>
                <w:sz w:val="18"/>
                <w:szCs w:val="18"/>
                <w:lang w:eastAsia="lt-LT"/>
              </w:rPr>
              <w:t>MVĮ efektyvus energijos vartojimas ir jose vykdomi parodomieji projektai, taip pat pagalbinės priemonės</w:t>
            </w:r>
          </w:p>
        </w:tc>
        <w:tc>
          <w:tcPr>
            <w:tcW w:w="1843" w:type="dxa"/>
            <w:shd w:val="clear" w:color="auto" w:fill="auto"/>
            <w:vAlign w:val="center"/>
          </w:tcPr>
          <w:p w:rsidR="008D1CA8" w:rsidRPr="008F339D" w:rsidRDefault="00E8768C" w:rsidP="00322BE2">
            <w:pPr>
              <w:widowControl w:val="0"/>
              <w:tabs>
                <w:tab w:val="left" w:pos="622"/>
              </w:tabs>
              <w:spacing w:after="0" w:line="240" w:lineRule="auto"/>
              <w:jc w:val="right"/>
              <w:rPr>
                <w:rFonts w:ascii="Times New Roman" w:eastAsia="AngsanaUPC" w:hAnsi="Times New Roman"/>
                <w:bCs/>
                <w:sz w:val="18"/>
                <w:szCs w:val="18"/>
                <w:lang w:val="en-GB" w:eastAsia="lt-LT"/>
              </w:rPr>
            </w:pPr>
            <w:r w:rsidRPr="008F339D">
              <w:rPr>
                <w:rFonts w:ascii="Times New Roman" w:eastAsia="AngsanaUPC" w:hAnsi="Times New Roman"/>
                <w:bCs/>
                <w:sz w:val="18"/>
                <w:szCs w:val="18"/>
                <w:lang w:val="en-GB" w:eastAsia="lt-LT"/>
              </w:rPr>
              <w:t>855</w:t>
            </w:r>
            <w:r w:rsidR="00C76808" w:rsidRPr="008F339D">
              <w:rPr>
                <w:rFonts w:ascii="Times New Roman" w:eastAsia="AngsanaUPC" w:hAnsi="Times New Roman"/>
                <w:bCs/>
                <w:sz w:val="18"/>
                <w:szCs w:val="18"/>
                <w:lang w:val="en-GB" w:eastAsia="lt-LT"/>
              </w:rPr>
              <w:t>.</w:t>
            </w:r>
            <w:r w:rsidRPr="008F339D">
              <w:rPr>
                <w:rFonts w:ascii="Times New Roman" w:eastAsia="AngsanaUPC" w:hAnsi="Times New Roman"/>
                <w:bCs/>
                <w:sz w:val="18"/>
                <w:szCs w:val="18"/>
                <w:lang w:val="en-GB" w:eastAsia="lt-LT"/>
              </w:rPr>
              <w:t>781</w:t>
            </w:r>
          </w:p>
        </w:tc>
      </w:tr>
      <w:tr w:rsidR="008D1CA8" w:rsidRPr="00C76808" w:rsidTr="003D4200">
        <w:tc>
          <w:tcPr>
            <w:tcW w:w="851" w:type="dxa"/>
            <w:shd w:val="clear" w:color="auto" w:fill="auto"/>
            <w:vAlign w:val="center"/>
          </w:tcPr>
          <w:p w:rsidR="008D1CA8" w:rsidRPr="00C76808" w:rsidRDefault="008D1CA8" w:rsidP="00322BE2">
            <w:pPr>
              <w:widowControl w:val="0"/>
              <w:tabs>
                <w:tab w:val="left" w:pos="622"/>
              </w:tabs>
              <w:spacing w:after="0" w:line="240" w:lineRule="auto"/>
              <w:rPr>
                <w:rFonts w:ascii="Times New Roman" w:eastAsia="AngsanaUPC" w:hAnsi="Times New Roman"/>
                <w:bCs/>
                <w:sz w:val="18"/>
                <w:szCs w:val="18"/>
                <w:lang w:val="en-GB" w:eastAsia="lt-LT"/>
              </w:rPr>
            </w:pPr>
            <w:r w:rsidRPr="00C76808">
              <w:rPr>
                <w:rFonts w:ascii="Times New Roman" w:eastAsia="AngsanaUPC" w:hAnsi="Times New Roman"/>
                <w:bCs/>
                <w:sz w:val="18"/>
                <w:szCs w:val="18"/>
                <w:lang w:val="en-GB" w:eastAsia="lt-LT"/>
              </w:rPr>
              <w:t>ERPF</w:t>
            </w:r>
          </w:p>
        </w:tc>
        <w:tc>
          <w:tcPr>
            <w:tcW w:w="709" w:type="dxa"/>
            <w:shd w:val="clear" w:color="auto" w:fill="auto"/>
            <w:vAlign w:val="center"/>
          </w:tcPr>
          <w:p w:rsidR="008D1CA8" w:rsidRPr="00C76808" w:rsidRDefault="008D1CA8" w:rsidP="008D1CA8">
            <w:pPr>
              <w:widowControl w:val="0"/>
              <w:tabs>
                <w:tab w:val="left" w:pos="622"/>
              </w:tabs>
              <w:spacing w:after="0" w:line="240" w:lineRule="auto"/>
              <w:rPr>
                <w:rFonts w:ascii="Times New Roman" w:eastAsia="AngsanaUPC" w:hAnsi="Times New Roman"/>
                <w:bCs/>
                <w:sz w:val="18"/>
                <w:szCs w:val="18"/>
                <w:lang w:val="en-GB" w:eastAsia="lt-LT"/>
              </w:rPr>
            </w:pPr>
            <w:r w:rsidRPr="00C76808">
              <w:rPr>
                <w:rFonts w:ascii="Times New Roman" w:eastAsia="AngsanaUPC" w:hAnsi="Times New Roman"/>
                <w:bCs/>
                <w:sz w:val="18"/>
                <w:szCs w:val="18"/>
                <w:lang w:val="en-GB" w:eastAsia="lt-LT"/>
              </w:rPr>
              <w:t>70</w:t>
            </w:r>
          </w:p>
        </w:tc>
        <w:tc>
          <w:tcPr>
            <w:tcW w:w="6378" w:type="dxa"/>
            <w:shd w:val="clear" w:color="auto" w:fill="auto"/>
            <w:vAlign w:val="center"/>
          </w:tcPr>
          <w:p w:rsidR="008D1CA8" w:rsidRPr="00C76808" w:rsidRDefault="00D63618" w:rsidP="00322BE2">
            <w:pPr>
              <w:widowControl w:val="0"/>
              <w:tabs>
                <w:tab w:val="left" w:pos="622"/>
              </w:tabs>
              <w:spacing w:after="0" w:line="240" w:lineRule="auto"/>
              <w:rPr>
                <w:rFonts w:ascii="Times New Roman" w:eastAsia="AngsanaUPC" w:hAnsi="Times New Roman"/>
                <w:bCs/>
                <w:sz w:val="18"/>
                <w:szCs w:val="18"/>
                <w:lang w:eastAsia="lt-LT"/>
              </w:rPr>
            </w:pPr>
            <w:r w:rsidRPr="00C76808">
              <w:rPr>
                <w:rFonts w:ascii="Times New Roman" w:eastAsia="AngsanaUPC" w:hAnsi="Times New Roman"/>
                <w:bCs/>
                <w:sz w:val="18"/>
                <w:szCs w:val="18"/>
                <w:lang w:eastAsia="lt-LT"/>
              </w:rPr>
              <w:t>Efektyvaus energijos vartojimo skatinimas didelėse įmonėse</w:t>
            </w:r>
          </w:p>
        </w:tc>
        <w:tc>
          <w:tcPr>
            <w:tcW w:w="1843" w:type="dxa"/>
            <w:shd w:val="clear" w:color="auto" w:fill="auto"/>
            <w:vAlign w:val="center"/>
          </w:tcPr>
          <w:p w:rsidR="008D1CA8" w:rsidRPr="00D54F90" w:rsidRDefault="009C735D" w:rsidP="00E8768C">
            <w:pPr>
              <w:widowControl w:val="0"/>
              <w:tabs>
                <w:tab w:val="left" w:pos="622"/>
              </w:tabs>
              <w:spacing w:after="0" w:line="240" w:lineRule="auto"/>
              <w:jc w:val="right"/>
              <w:rPr>
                <w:rFonts w:ascii="Times New Roman" w:eastAsia="AngsanaUPC" w:hAnsi="Times New Roman"/>
                <w:bCs/>
                <w:sz w:val="18"/>
                <w:szCs w:val="18"/>
                <w:lang w:val="en-GB" w:eastAsia="lt-LT"/>
              </w:rPr>
            </w:pPr>
            <w:r w:rsidRPr="00D54F90">
              <w:rPr>
                <w:rFonts w:ascii="Times New Roman" w:eastAsia="AngsanaUPC" w:hAnsi="Times New Roman"/>
                <w:bCs/>
                <w:sz w:val="18"/>
                <w:szCs w:val="18"/>
                <w:lang w:val="en-GB" w:eastAsia="lt-LT"/>
              </w:rPr>
              <w:t>1.000.000</w:t>
            </w:r>
          </w:p>
        </w:tc>
      </w:tr>
      <w:tr w:rsidR="008D1CA8" w:rsidRPr="00C76808" w:rsidTr="003D4200">
        <w:tc>
          <w:tcPr>
            <w:tcW w:w="851" w:type="dxa"/>
            <w:shd w:val="clear" w:color="auto" w:fill="auto"/>
            <w:vAlign w:val="center"/>
          </w:tcPr>
          <w:p w:rsidR="008D1CA8" w:rsidRPr="00C76808" w:rsidRDefault="008D1CA8" w:rsidP="00322BE2">
            <w:pPr>
              <w:widowControl w:val="0"/>
              <w:tabs>
                <w:tab w:val="left" w:pos="622"/>
              </w:tabs>
              <w:spacing w:after="0" w:line="240" w:lineRule="auto"/>
              <w:rPr>
                <w:rFonts w:ascii="Times New Roman" w:eastAsia="AngsanaUPC" w:hAnsi="Times New Roman"/>
                <w:bCs/>
                <w:sz w:val="18"/>
                <w:szCs w:val="18"/>
                <w:lang w:val="en-GB" w:eastAsia="lt-LT"/>
              </w:rPr>
            </w:pPr>
            <w:r w:rsidRPr="00C76808">
              <w:rPr>
                <w:rFonts w:ascii="Times New Roman" w:eastAsia="AngsanaUPC" w:hAnsi="Times New Roman"/>
                <w:bCs/>
                <w:sz w:val="18"/>
                <w:szCs w:val="18"/>
                <w:lang w:val="en-GB" w:eastAsia="lt-LT"/>
              </w:rPr>
              <w:t>ERPF</w:t>
            </w:r>
          </w:p>
        </w:tc>
        <w:tc>
          <w:tcPr>
            <w:tcW w:w="709" w:type="dxa"/>
            <w:shd w:val="clear" w:color="auto" w:fill="auto"/>
            <w:vAlign w:val="center"/>
          </w:tcPr>
          <w:p w:rsidR="008D1CA8" w:rsidRPr="00C76808" w:rsidRDefault="008D1CA8" w:rsidP="008D1CA8">
            <w:pPr>
              <w:widowControl w:val="0"/>
              <w:tabs>
                <w:tab w:val="left" w:pos="622"/>
              </w:tabs>
              <w:spacing w:after="0" w:line="240" w:lineRule="auto"/>
              <w:rPr>
                <w:rFonts w:ascii="Times New Roman" w:eastAsia="AngsanaUPC" w:hAnsi="Times New Roman"/>
                <w:bCs/>
                <w:sz w:val="18"/>
                <w:szCs w:val="18"/>
                <w:lang w:val="en-GB" w:eastAsia="lt-LT"/>
              </w:rPr>
            </w:pPr>
            <w:r w:rsidRPr="00C76808">
              <w:rPr>
                <w:rFonts w:ascii="Times New Roman" w:eastAsia="AngsanaUPC" w:hAnsi="Times New Roman"/>
                <w:bCs/>
                <w:sz w:val="18"/>
                <w:szCs w:val="18"/>
                <w:lang w:val="en-GB" w:eastAsia="lt-LT"/>
              </w:rPr>
              <w:t>90</w:t>
            </w:r>
          </w:p>
        </w:tc>
        <w:tc>
          <w:tcPr>
            <w:tcW w:w="6378" w:type="dxa"/>
            <w:shd w:val="clear" w:color="auto" w:fill="auto"/>
            <w:vAlign w:val="center"/>
          </w:tcPr>
          <w:p w:rsidR="008D1CA8" w:rsidRPr="00C76808" w:rsidRDefault="00D63618" w:rsidP="00322BE2">
            <w:pPr>
              <w:widowControl w:val="0"/>
              <w:tabs>
                <w:tab w:val="left" w:pos="622"/>
              </w:tabs>
              <w:spacing w:after="0" w:line="240" w:lineRule="auto"/>
              <w:rPr>
                <w:rFonts w:ascii="Times New Roman" w:eastAsia="AngsanaUPC" w:hAnsi="Times New Roman"/>
                <w:bCs/>
                <w:sz w:val="18"/>
                <w:szCs w:val="18"/>
                <w:lang w:eastAsia="lt-LT"/>
              </w:rPr>
            </w:pPr>
            <w:r w:rsidRPr="00C76808">
              <w:rPr>
                <w:rFonts w:ascii="Times New Roman" w:eastAsia="AngsanaUPC" w:hAnsi="Times New Roman"/>
                <w:bCs/>
                <w:sz w:val="18"/>
                <w:szCs w:val="18"/>
                <w:lang w:eastAsia="lt-LT"/>
              </w:rPr>
              <w:t>Dviračių ir pėsčiųjų takai</w:t>
            </w:r>
          </w:p>
        </w:tc>
        <w:tc>
          <w:tcPr>
            <w:tcW w:w="1843" w:type="dxa"/>
            <w:shd w:val="clear" w:color="auto" w:fill="auto"/>
            <w:vAlign w:val="center"/>
          </w:tcPr>
          <w:p w:rsidR="008D1CA8" w:rsidRPr="00C76808" w:rsidRDefault="008D1CA8" w:rsidP="00E8768C">
            <w:pPr>
              <w:widowControl w:val="0"/>
              <w:tabs>
                <w:tab w:val="left" w:pos="622"/>
              </w:tabs>
              <w:spacing w:after="0" w:line="240" w:lineRule="auto"/>
              <w:jc w:val="right"/>
              <w:rPr>
                <w:rFonts w:ascii="Times New Roman" w:eastAsia="AngsanaUPC" w:hAnsi="Times New Roman"/>
                <w:bCs/>
                <w:sz w:val="18"/>
                <w:szCs w:val="18"/>
                <w:lang w:val="en-GB" w:eastAsia="lt-LT"/>
              </w:rPr>
            </w:pPr>
            <w:r w:rsidRPr="00C76808">
              <w:rPr>
                <w:rFonts w:ascii="Times New Roman" w:eastAsia="AngsanaUPC" w:hAnsi="Times New Roman"/>
                <w:bCs/>
                <w:sz w:val="18"/>
                <w:szCs w:val="18"/>
                <w:lang w:val="en-GB" w:eastAsia="lt-LT"/>
              </w:rPr>
              <w:t>8</w:t>
            </w:r>
            <w:r w:rsidR="00C76808" w:rsidRPr="00C76808">
              <w:rPr>
                <w:rFonts w:ascii="Times New Roman" w:eastAsia="AngsanaUPC" w:hAnsi="Times New Roman"/>
                <w:bCs/>
                <w:sz w:val="18"/>
                <w:szCs w:val="18"/>
                <w:lang w:val="en-GB" w:eastAsia="lt-LT"/>
              </w:rPr>
              <w:t>.</w:t>
            </w:r>
            <w:r w:rsidRPr="00C76808">
              <w:rPr>
                <w:rFonts w:ascii="Times New Roman" w:eastAsia="AngsanaUPC" w:hAnsi="Times New Roman"/>
                <w:bCs/>
                <w:sz w:val="18"/>
                <w:szCs w:val="18"/>
                <w:lang w:val="en-GB" w:eastAsia="lt-LT"/>
              </w:rPr>
              <w:t>688</w:t>
            </w:r>
            <w:r w:rsidR="00C76808" w:rsidRPr="00C76808">
              <w:rPr>
                <w:rFonts w:ascii="Times New Roman" w:eastAsia="AngsanaUPC" w:hAnsi="Times New Roman"/>
                <w:bCs/>
                <w:sz w:val="18"/>
                <w:szCs w:val="18"/>
                <w:lang w:val="en-GB" w:eastAsia="lt-LT"/>
              </w:rPr>
              <w:t>.</w:t>
            </w:r>
            <w:r w:rsidRPr="00C76808">
              <w:rPr>
                <w:rFonts w:ascii="Times New Roman" w:eastAsia="AngsanaUPC" w:hAnsi="Times New Roman"/>
                <w:bCs/>
                <w:sz w:val="18"/>
                <w:szCs w:val="18"/>
                <w:lang w:val="en-GB" w:eastAsia="lt-LT"/>
              </w:rPr>
              <w:t>601</w:t>
            </w:r>
          </w:p>
        </w:tc>
      </w:tr>
    </w:tbl>
    <w:p w:rsidR="008D1CA8" w:rsidRPr="002447B3" w:rsidRDefault="008D1CA8" w:rsidP="008D1CA8">
      <w:pPr>
        <w:widowControl w:val="0"/>
        <w:tabs>
          <w:tab w:val="left" w:pos="622"/>
        </w:tabs>
        <w:spacing w:after="0" w:line="240" w:lineRule="auto"/>
        <w:jc w:val="both"/>
        <w:rPr>
          <w:rFonts w:ascii="Times New Roman" w:hAnsi="Times New Roman"/>
          <w:iCs/>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9"/>
        <w:gridCol w:w="6378"/>
        <w:gridCol w:w="1808"/>
      </w:tblGrid>
      <w:tr w:rsidR="008D1CA8" w:rsidRPr="002447B3" w:rsidTr="00C76808">
        <w:tc>
          <w:tcPr>
            <w:tcW w:w="9746" w:type="dxa"/>
            <w:gridSpan w:val="4"/>
            <w:shd w:val="clear" w:color="auto" w:fill="EEECE1"/>
          </w:tcPr>
          <w:p w:rsidR="008D1CA8" w:rsidRPr="002447B3" w:rsidRDefault="008D1CA8" w:rsidP="00BB0960">
            <w:pPr>
              <w:widowControl w:val="0"/>
              <w:tabs>
                <w:tab w:val="left" w:pos="622"/>
              </w:tabs>
              <w:spacing w:after="0" w:line="240" w:lineRule="auto"/>
              <w:jc w:val="both"/>
              <w:rPr>
                <w:rFonts w:ascii="Times New Roman" w:hAnsi="Times New Roman"/>
                <w:i/>
                <w:iCs/>
                <w:sz w:val="18"/>
                <w:szCs w:val="18"/>
              </w:rPr>
            </w:pPr>
            <w:r w:rsidRPr="002447B3">
              <w:rPr>
                <w:rFonts w:ascii="Times New Roman" w:hAnsi="Times New Roman"/>
                <w:b/>
                <w:bCs/>
                <w:i/>
                <w:iCs/>
                <w:sz w:val="18"/>
                <w:szCs w:val="18"/>
              </w:rPr>
              <w:t>Finansavimo forma</w:t>
            </w:r>
          </w:p>
        </w:tc>
      </w:tr>
      <w:tr w:rsidR="00D63618" w:rsidRPr="002447B3" w:rsidTr="00C76808">
        <w:tc>
          <w:tcPr>
            <w:tcW w:w="851" w:type="dxa"/>
            <w:shd w:val="clear" w:color="auto" w:fill="EEECE1"/>
            <w:vAlign w:val="center"/>
          </w:tcPr>
          <w:p w:rsidR="00D63618" w:rsidRPr="002447B3" w:rsidRDefault="00D63618" w:rsidP="00BB0960">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Fondas</w:t>
            </w:r>
          </w:p>
        </w:tc>
        <w:tc>
          <w:tcPr>
            <w:tcW w:w="709" w:type="dxa"/>
            <w:shd w:val="clear" w:color="auto" w:fill="EEECE1"/>
            <w:vAlign w:val="center"/>
          </w:tcPr>
          <w:p w:rsidR="00D63618" w:rsidRPr="002447B3" w:rsidRDefault="00D63618" w:rsidP="00BB0960">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Kodas</w:t>
            </w:r>
          </w:p>
        </w:tc>
        <w:tc>
          <w:tcPr>
            <w:tcW w:w="6378" w:type="dxa"/>
            <w:shd w:val="clear" w:color="auto" w:fill="EEECE1"/>
            <w:vAlign w:val="center"/>
          </w:tcPr>
          <w:p w:rsidR="00D63618" w:rsidRPr="002447B3" w:rsidRDefault="00D63618" w:rsidP="00BB0960">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Pavadinimas</w:t>
            </w:r>
          </w:p>
        </w:tc>
        <w:tc>
          <w:tcPr>
            <w:tcW w:w="1808" w:type="dxa"/>
            <w:shd w:val="clear" w:color="auto" w:fill="EEECE1"/>
            <w:vAlign w:val="center"/>
          </w:tcPr>
          <w:p w:rsidR="00D63618" w:rsidRPr="002447B3" w:rsidRDefault="00D63618" w:rsidP="00BB0960">
            <w:pPr>
              <w:widowControl w:val="0"/>
              <w:tabs>
                <w:tab w:val="left" w:pos="622"/>
              </w:tabs>
              <w:spacing w:after="0" w:line="240" w:lineRule="auto"/>
              <w:jc w:val="center"/>
              <w:rPr>
                <w:rFonts w:ascii="Times New Roman" w:hAnsi="Times New Roman"/>
                <w:b/>
                <w:bCs/>
                <w:iCs/>
                <w:sz w:val="18"/>
                <w:szCs w:val="18"/>
              </w:rPr>
            </w:pPr>
            <w:r w:rsidRPr="002447B3">
              <w:rPr>
                <w:rFonts w:ascii="Times New Roman" w:hAnsi="Times New Roman"/>
                <w:b/>
                <w:bCs/>
                <w:iCs/>
                <w:sz w:val="18"/>
                <w:szCs w:val="18"/>
              </w:rPr>
              <w:t>Finansinė proporcija (eurais)</w:t>
            </w:r>
          </w:p>
        </w:tc>
      </w:tr>
      <w:tr w:rsidR="00D63618" w:rsidRPr="00C76808" w:rsidTr="00C76808">
        <w:tc>
          <w:tcPr>
            <w:tcW w:w="851" w:type="dxa"/>
            <w:shd w:val="clear" w:color="auto" w:fill="auto"/>
            <w:vAlign w:val="center"/>
          </w:tcPr>
          <w:p w:rsidR="00D63618" w:rsidRPr="008F339D" w:rsidRDefault="00D63618" w:rsidP="00BB0960">
            <w:pPr>
              <w:widowControl w:val="0"/>
              <w:tabs>
                <w:tab w:val="left" w:pos="622"/>
              </w:tabs>
              <w:spacing w:after="0" w:line="240" w:lineRule="auto"/>
              <w:rPr>
                <w:rFonts w:ascii="Times New Roman" w:eastAsia="AngsanaUPC" w:hAnsi="Times New Roman"/>
                <w:bCs/>
                <w:sz w:val="18"/>
                <w:szCs w:val="18"/>
                <w:lang w:eastAsia="lt-LT"/>
              </w:rPr>
            </w:pPr>
            <w:r w:rsidRPr="008F339D">
              <w:rPr>
                <w:rFonts w:ascii="Times New Roman" w:eastAsia="AngsanaUPC" w:hAnsi="Times New Roman"/>
                <w:bCs/>
                <w:sz w:val="18"/>
                <w:szCs w:val="18"/>
                <w:lang w:eastAsia="lt-LT"/>
              </w:rPr>
              <w:t>ERPF</w:t>
            </w:r>
          </w:p>
        </w:tc>
        <w:tc>
          <w:tcPr>
            <w:tcW w:w="709" w:type="dxa"/>
            <w:shd w:val="clear" w:color="auto" w:fill="auto"/>
            <w:vAlign w:val="center"/>
          </w:tcPr>
          <w:p w:rsidR="00D63618" w:rsidRPr="008F339D" w:rsidRDefault="003D4200" w:rsidP="00BB0960">
            <w:pPr>
              <w:widowControl w:val="0"/>
              <w:tabs>
                <w:tab w:val="left" w:pos="622"/>
              </w:tabs>
              <w:spacing w:after="0" w:line="240" w:lineRule="auto"/>
              <w:rPr>
                <w:rFonts w:ascii="Times New Roman" w:eastAsia="AngsanaUPC" w:hAnsi="Times New Roman"/>
                <w:bCs/>
                <w:sz w:val="18"/>
                <w:szCs w:val="18"/>
                <w:lang w:eastAsia="lt-LT"/>
              </w:rPr>
            </w:pPr>
            <w:r w:rsidRPr="008F339D">
              <w:rPr>
                <w:rFonts w:ascii="Times New Roman" w:eastAsia="AngsanaUPC" w:hAnsi="Times New Roman"/>
                <w:bCs/>
                <w:sz w:val="18"/>
                <w:szCs w:val="18"/>
                <w:lang w:eastAsia="lt-LT"/>
              </w:rPr>
              <w:t>0</w:t>
            </w:r>
            <w:r w:rsidR="00D63618" w:rsidRPr="008F339D">
              <w:rPr>
                <w:rFonts w:ascii="Times New Roman" w:eastAsia="AngsanaUPC" w:hAnsi="Times New Roman"/>
                <w:bCs/>
                <w:sz w:val="18"/>
                <w:szCs w:val="18"/>
                <w:lang w:eastAsia="lt-LT"/>
              </w:rPr>
              <w:t>1</w:t>
            </w:r>
          </w:p>
        </w:tc>
        <w:tc>
          <w:tcPr>
            <w:tcW w:w="6378" w:type="dxa"/>
            <w:shd w:val="clear" w:color="auto" w:fill="auto"/>
            <w:vAlign w:val="center"/>
          </w:tcPr>
          <w:p w:rsidR="00D63618" w:rsidRPr="008F339D" w:rsidRDefault="00D63618" w:rsidP="00BB0960">
            <w:pPr>
              <w:widowControl w:val="0"/>
              <w:tabs>
                <w:tab w:val="left" w:pos="622"/>
              </w:tabs>
              <w:spacing w:after="0" w:line="240" w:lineRule="auto"/>
              <w:rPr>
                <w:rFonts w:ascii="Times New Roman" w:eastAsia="AngsanaUPC" w:hAnsi="Times New Roman"/>
                <w:bCs/>
                <w:sz w:val="18"/>
                <w:szCs w:val="18"/>
                <w:lang w:eastAsia="lt-LT"/>
              </w:rPr>
            </w:pPr>
            <w:r w:rsidRPr="008F339D">
              <w:rPr>
                <w:rFonts w:ascii="Times New Roman" w:eastAsia="AngsanaUPC" w:hAnsi="Times New Roman"/>
                <w:bCs/>
                <w:sz w:val="18"/>
                <w:szCs w:val="18"/>
                <w:lang w:eastAsia="lt-LT"/>
              </w:rPr>
              <w:t>Negrąžinamoji subsidija</w:t>
            </w:r>
          </w:p>
        </w:tc>
        <w:tc>
          <w:tcPr>
            <w:tcW w:w="1808" w:type="dxa"/>
            <w:shd w:val="clear" w:color="auto" w:fill="auto"/>
            <w:vAlign w:val="center"/>
          </w:tcPr>
          <w:p w:rsidR="00D63618" w:rsidRPr="002C08FA" w:rsidRDefault="00C82C5E" w:rsidP="00C82C5E">
            <w:pPr>
              <w:widowControl w:val="0"/>
              <w:tabs>
                <w:tab w:val="left" w:pos="622"/>
              </w:tabs>
              <w:spacing w:after="0" w:line="240" w:lineRule="auto"/>
              <w:jc w:val="right"/>
              <w:rPr>
                <w:rFonts w:ascii="Times New Roman" w:eastAsia="AngsanaUPC" w:hAnsi="Times New Roman"/>
                <w:bCs/>
                <w:sz w:val="18"/>
                <w:szCs w:val="18"/>
                <w:lang w:val="en-GB" w:eastAsia="lt-LT"/>
              </w:rPr>
            </w:pPr>
            <w:r w:rsidRPr="002C08FA">
              <w:rPr>
                <w:rFonts w:ascii="Times New Roman" w:eastAsia="AngsanaUPC" w:hAnsi="Times New Roman"/>
                <w:bCs/>
                <w:sz w:val="18"/>
                <w:szCs w:val="18"/>
                <w:lang w:val="en-GB" w:eastAsia="lt-LT"/>
              </w:rPr>
              <w:t>98</w:t>
            </w:r>
            <w:r w:rsidR="00C76808" w:rsidRPr="002C08FA">
              <w:rPr>
                <w:rFonts w:ascii="Times New Roman" w:eastAsia="AngsanaUPC" w:hAnsi="Times New Roman"/>
                <w:bCs/>
                <w:sz w:val="18"/>
                <w:szCs w:val="18"/>
                <w:lang w:val="en-GB" w:eastAsia="lt-LT"/>
              </w:rPr>
              <w:t>.</w:t>
            </w:r>
            <w:r w:rsidRPr="002C08FA">
              <w:rPr>
                <w:rFonts w:ascii="Times New Roman" w:eastAsia="AngsanaUPC" w:hAnsi="Times New Roman"/>
                <w:bCs/>
                <w:sz w:val="18"/>
                <w:szCs w:val="18"/>
                <w:lang w:val="en-GB" w:eastAsia="lt-LT"/>
              </w:rPr>
              <w:t>019</w:t>
            </w:r>
            <w:r w:rsidR="00C76808" w:rsidRPr="002C08FA">
              <w:rPr>
                <w:rFonts w:ascii="Times New Roman" w:eastAsia="AngsanaUPC" w:hAnsi="Times New Roman"/>
                <w:bCs/>
                <w:sz w:val="18"/>
                <w:szCs w:val="18"/>
                <w:lang w:val="en-GB" w:eastAsia="lt-LT"/>
              </w:rPr>
              <w:t>.</w:t>
            </w:r>
            <w:r w:rsidR="00E8768C" w:rsidRPr="002C08FA">
              <w:rPr>
                <w:rFonts w:ascii="Times New Roman" w:eastAsia="AngsanaUPC" w:hAnsi="Times New Roman"/>
                <w:bCs/>
                <w:sz w:val="18"/>
                <w:szCs w:val="18"/>
                <w:lang w:val="en-GB" w:eastAsia="lt-LT"/>
              </w:rPr>
              <w:t>198</w:t>
            </w:r>
          </w:p>
        </w:tc>
      </w:tr>
      <w:tr w:rsidR="00C82C5E" w:rsidRPr="00C76808" w:rsidTr="00C76808">
        <w:tc>
          <w:tcPr>
            <w:tcW w:w="851" w:type="dxa"/>
            <w:shd w:val="clear" w:color="auto" w:fill="auto"/>
            <w:vAlign w:val="center"/>
          </w:tcPr>
          <w:p w:rsidR="00C82C5E" w:rsidRPr="008F339D" w:rsidRDefault="00C82C5E" w:rsidP="00C82C5E">
            <w:pPr>
              <w:widowControl w:val="0"/>
              <w:tabs>
                <w:tab w:val="left" w:pos="622"/>
              </w:tabs>
              <w:spacing w:after="0" w:line="240" w:lineRule="auto"/>
              <w:rPr>
                <w:rFonts w:ascii="Times New Roman" w:eastAsia="AngsanaUPC" w:hAnsi="Times New Roman"/>
                <w:bCs/>
                <w:sz w:val="18"/>
                <w:szCs w:val="18"/>
                <w:lang w:eastAsia="lt-LT"/>
              </w:rPr>
            </w:pPr>
            <w:r w:rsidRPr="008F339D">
              <w:rPr>
                <w:rFonts w:ascii="Times New Roman" w:eastAsia="AngsanaUPC" w:hAnsi="Times New Roman"/>
                <w:bCs/>
                <w:sz w:val="18"/>
                <w:szCs w:val="18"/>
                <w:lang w:eastAsia="lt-LT"/>
              </w:rPr>
              <w:t>ERPF</w:t>
            </w:r>
          </w:p>
        </w:tc>
        <w:tc>
          <w:tcPr>
            <w:tcW w:w="709" w:type="dxa"/>
            <w:shd w:val="clear" w:color="auto" w:fill="auto"/>
            <w:vAlign w:val="center"/>
          </w:tcPr>
          <w:p w:rsidR="00C82C5E" w:rsidRPr="008F339D" w:rsidRDefault="00C82C5E" w:rsidP="00C82C5E">
            <w:pPr>
              <w:widowControl w:val="0"/>
              <w:tabs>
                <w:tab w:val="left" w:pos="622"/>
              </w:tabs>
              <w:spacing w:after="0" w:line="240" w:lineRule="auto"/>
              <w:rPr>
                <w:rFonts w:ascii="Times New Roman" w:eastAsia="AngsanaUPC" w:hAnsi="Times New Roman"/>
                <w:bCs/>
                <w:sz w:val="18"/>
                <w:szCs w:val="18"/>
                <w:lang w:eastAsia="lt-LT"/>
              </w:rPr>
            </w:pPr>
            <w:r w:rsidRPr="008F339D">
              <w:rPr>
                <w:rFonts w:ascii="Times New Roman" w:eastAsia="AngsanaUPC" w:hAnsi="Times New Roman"/>
                <w:bCs/>
                <w:sz w:val="18"/>
                <w:szCs w:val="18"/>
                <w:lang w:eastAsia="lt-LT"/>
              </w:rPr>
              <w:t>02</w:t>
            </w:r>
          </w:p>
        </w:tc>
        <w:tc>
          <w:tcPr>
            <w:tcW w:w="6378" w:type="dxa"/>
            <w:shd w:val="clear" w:color="auto" w:fill="auto"/>
            <w:vAlign w:val="center"/>
          </w:tcPr>
          <w:p w:rsidR="00C82C5E" w:rsidRPr="008F339D" w:rsidRDefault="00C82C5E" w:rsidP="00BB0960">
            <w:pPr>
              <w:widowControl w:val="0"/>
              <w:tabs>
                <w:tab w:val="left" w:pos="622"/>
              </w:tabs>
              <w:spacing w:after="0" w:line="240" w:lineRule="auto"/>
              <w:rPr>
                <w:rFonts w:ascii="Times New Roman" w:eastAsia="AngsanaUPC" w:hAnsi="Times New Roman"/>
                <w:bCs/>
                <w:sz w:val="18"/>
                <w:szCs w:val="18"/>
                <w:lang w:eastAsia="lt-LT"/>
              </w:rPr>
            </w:pPr>
            <w:r w:rsidRPr="008F339D">
              <w:rPr>
                <w:rFonts w:ascii="Times New Roman" w:eastAsia="AngsanaUPC" w:hAnsi="Times New Roman"/>
                <w:bCs/>
                <w:sz w:val="18"/>
                <w:szCs w:val="18"/>
                <w:lang w:eastAsia="lt-LT"/>
              </w:rPr>
              <w:t>Grąžinamoji subsidija</w:t>
            </w:r>
          </w:p>
        </w:tc>
        <w:tc>
          <w:tcPr>
            <w:tcW w:w="1808" w:type="dxa"/>
            <w:shd w:val="clear" w:color="auto" w:fill="auto"/>
            <w:vAlign w:val="center"/>
          </w:tcPr>
          <w:p w:rsidR="00C82C5E" w:rsidRPr="002C08FA" w:rsidRDefault="00C82C5E" w:rsidP="00C82C5E">
            <w:pPr>
              <w:widowControl w:val="0"/>
              <w:tabs>
                <w:tab w:val="left" w:pos="622"/>
              </w:tabs>
              <w:spacing w:after="0" w:line="240" w:lineRule="auto"/>
              <w:jc w:val="right"/>
              <w:rPr>
                <w:rFonts w:ascii="Times New Roman" w:eastAsia="AngsanaUPC" w:hAnsi="Times New Roman"/>
                <w:bCs/>
                <w:sz w:val="18"/>
                <w:szCs w:val="18"/>
                <w:lang w:val="en-GB" w:eastAsia="lt-LT"/>
              </w:rPr>
            </w:pPr>
            <w:r w:rsidRPr="002C08FA">
              <w:rPr>
                <w:rFonts w:ascii="Times New Roman" w:eastAsia="AngsanaUPC" w:hAnsi="Times New Roman"/>
                <w:bCs/>
                <w:sz w:val="18"/>
                <w:szCs w:val="18"/>
                <w:lang w:val="en-GB" w:eastAsia="lt-LT"/>
              </w:rPr>
              <w:t>28.962.000</w:t>
            </w:r>
          </w:p>
        </w:tc>
      </w:tr>
      <w:tr w:rsidR="00D63618" w:rsidRPr="00C76808" w:rsidTr="00C76808">
        <w:tc>
          <w:tcPr>
            <w:tcW w:w="851" w:type="dxa"/>
            <w:shd w:val="clear" w:color="auto" w:fill="auto"/>
            <w:vAlign w:val="center"/>
          </w:tcPr>
          <w:p w:rsidR="00D63618" w:rsidRPr="008F339D" w:rsidRDefault="00D63618" w:rsidP="00BB0960">
            <w:pPr>
              <w:widowControl w:val="0"/>
              <w:tabs>
                <w:tab w:val="left" w:pos="622"/>
              </w:tabs>
              <w:spacing w:after="0" w:line="240" w:lineRule="auto"/>
              <w:rPr>
                <w:rFonts w:ascii="Times New Roman" w:eastAsia="AngsanaUPC" w:hAnsi="Times New Roman"/>
                <w:bCs/>
                <w:sz w:val="18"/>
                <w:szCs w:val="18"/>
                <w:lang w:eastAsia="lt-LT"/>
              </w:rPr>
            </w:pPr>
            <w:r w:rsidRPr="008F339D">
              <w:rPr>
                <w:rFonts w:ascii="Times New Roman" w:eastAsia="AngsanaUPC" w:hAnsi="Times New Roman"/>
                <w:bCs/>
                <w:sz w:val="18"/>
                <w:szCs w:val="18"/>
                <w:lang w:eastAsia="lt-LT"/>
              </w:rPr>
              <w:t>SaF</w:t>
            </w:r>
          </w:p>
        </w:tc>
        <w:tc>
          <w:tcPr>
            <w:tcW w:w="709" w:type="dxa"/>
            <w:shd w:val="clear" w:color="auto" w:fill="auto"/>
            <w:vAlign w:val="center"/>
          </w:tcPr>
          <w:p w:rsidR="00D63618" w:rsidRPr="008F339D" w:rsidRDefault="003D4200" w:rsidP="00BB0960">
            <w:pPr>
              <w:widowControl w:val="0"/>
              <w:tabs>
                <w:tab w:val="left" w:pos="622"/>
              </w:tabs>
              <w:spacing w:after="0" w:line="240" w:lineRule="auto"/>
              <w:rPr>
                <w:rFonts w:ascii="Times New Roman" w:eastAsia="AngsanaUPC" w:hAnsi="Times New Roman"/>
                <w:bCs/>
                <w:sz w:val="18"/>
                <w:szCs w:val="18"/>
                <w:lang w:eastAsia="lt-LT"/>
              </w:rPr>
            </w:pPr>
            <w:r w:rsidRPr="008F339D">
              <w:rPr>
                <w:rFonts w:ascii="Times New Roman" w:eastAsia="AngsanaUPC" w:hAnsi="Times New Roman"/>
                <w:bCs/>
                <w:sz w:val="18"/>
                <w:szCs w:val="18"/>
                <w:lang w:eastAsia="lt-LT"/>
              </w:rPr>
              <w:t>0</w:t>
            </w:r>
            <w:r w:rsidR="00D63618" w:rsidRPr="008F339D">
              <w:rPr>
                <w:rFonts w:ascii="Times New Roman" w:eastAsia="AngsanaUPC" w:hAnsi="Times New Roman"/>
                <w:bCs/>
                <w:sz w:val="18"/>
                <w:szCs w:val="18"/>
                <w:lang w:eastAsia="lt-LT"/>
              </w:rPr>
              <w:t>1</w:t>
            </w:r>
          </w:p>
        </w:tc>
        <w:tc>
          <w:tcPr>
            <w:tcW w:w="6378" w:type="dxa"/>
            <w:shd w:val="clear" w:color="auto" w:fill="auto"/>
          </w:tcPr>
          <w:p w:rsidR="00D63618" w:rsidRPr="008F339D" w:rsidRDefault="00D63618" w:rsidP="00BB0960">
            <w:pPr>
              <w:spacing w:after="0" w:line="240" w:lineRule="auto"/>
              <w:rPr>
                <w:rFonts w:ascii="Times New Roman" w:hAnsi="Times New Roman"/>
                <w:sz w:val="18"/>
                <w:szCs w:val="18"/>
              </w:rPr>
            </w:pPr>
            <w:r w:rsidRPr="008F339D">
              <w:rPr>
                <w:rFonts w:ascii="Times New Roman" w:eastAsia="AngsanaUPC" w:hAnsi="Times New Roman"/>
                <w:bCs/>
                <w:sz w:val="18"/>
                <w:szCs w:val="18"/>
                <w:lang w:eastAsia="lt-LT"/>
              </w:rPr>
              <w:t>Negrąžinamoji subsidija</w:t>
            </w:r>
          </w:p>
        </w:tc>
        <w:tc>
          <w:tcPr>
            <w:tcW w:w="1808" w:type="dxa"/>
            <w:shd w:val="clear" w:color="auto" w:fill="auto"/>
            <w:vAlign w:val="center"/>
          </w:tcPr>
          <w:p w:rsidR="00D63618" w:rsidRPr="002C08FA" w:rsidRDefault="001F5775" w:rsidP="009C735D">
            <w:pPr>
              <w:shd w:val="clear" w:color="auto" w:fill="FFFFFF"/>
              <w:autoSpaceDE w:val="0"/>
              <w:autoSpaceDN w:val="0"/>
              <w:adjustRightInd w:val="0"/>
              <w:spacing w:after="0" w:line="240" w:lineRule="auto"/>
              <w:jc w:val="right"/>
              <w:rPr>
                <w:rFonts w:ascii="Times New Roman" w:eastAsia="Times New Roman" w:hAnsi="Times New Roman"/>
                <w:color w:val="000000"/>
                <w:sz w:val="18"/>
                <w:szCs w:val="18"/>
              </w:rPr>
            </w:pPr>
            <w:r w:rsidRPr="002C08FA">
              <w:rPr>
                <w:rFonts w:ascii="Times New Roman" w:eastAsia="Times New Roman" w:hAnsi="Times New Roman"/>
                <w:color w:val="000000"/>
                <w:sz w:val="18"/>
                <w:szCs w:val="18"/>
              </w:rPr>
              <w:t>3</w:t>
            </w:r>
            <w:r w:rsidR="00C82C5E" w:rsidRPr="002C08FA">
              <w:rPr>
                <w:rFonts w:ascii="Times New Roman" w:eastAsia="Times New Roman" w:hAnsi="Times New Roman"/>
                <w:color w:val="000000"/>
                <w:sz w:val="18"/>
                <w:szCs w:val="18"/>
              </w:rPr>
              <w:t>25</w:t>
            </w:r>
            <w:r w:rsidR="00C76808" w:rsidRPr="002C08FA">
              <w:rPr>
                <w:rFonts w:ascii="Times New Roman" w:eastAsia="Times New Roman" w:hAnsi="Times New Roman"/>
                <w:color w:val="000000"/>
                <w:sz w:val="18"/>
                <w:szCs w:val="18"/>
              </w:rPr>
              <w:t>.</w:t>
            </w:r>
            <w:r w:rsidR="00C82C5E" w:rsidRPr="002C08FA">
              <w:rPr>
                <w:rFonts w:ascii="Times New Roman" w:eastAsia="Times New Roman" w:hAnsi="Times New Roman"/>
                <w:color w:val="000000"/>
                <w:sz w:val="18"/>
                <w:szCs w:val="18"/>
              </w:rPr>
              <w:t>5</w:t>
            </w:r>
            <w:r w:rsidRPr="002C08FA">
              <w:rPr>
                <w:rFonts w:ascii="Times New Roman" w:eastAsia="Times New Roman" w:hAnsi="Times New Roman"/>
                <w:color w:val="000000"/>
                <w:sz w:val="18"/>
                <w:szCs w:val="18"/>
              </w:rPr>
              <w:t>56</w:t>
            </w:r>
            <w:r w:rsidR="00C76808" w:rsidRPr="002C08FA">
              <w:rPr>
                <w:rFonts w:ascii="Times New Roman" w:eastAsia="Times New Roman" w:hAnsi="Times New Roman"/>
                <w:color w:val="000000"/>
                <w:sz w:val="18"/>
                <w:szCs w:val="18"/>
              </w:rPr>
              <w:t>.</w:t>
            </w:r>
            <w:r w:rsidRPr="002C08FA">
              <w:rPr>
                <w:rFonts w:ascii="Times New Roman" w:eastAsia="Times New Roman" w:hAnsi="Times New Roman"/>
                <w:color w:val="000000"/>
                <w:sz w:val="18"/>
                <w:szCs w:val="18"/>
              </w:rPr>
              <w:t>430</w:t>
            </w:r>
          </w:p>
        </w:tc>
      </w:tr>
      <w:tr w:rsidR="009C735D" w:rsidRPr="00C76808" w:rsidTr="00C76808">
        <w:tc>
          <w:tcPr>
            <w:tcW w:w="851" w:type="dxa"/>
            <w:shd w:val="clear" w:color="auto" w:fill="auto"/>
            <w:vAlign w:val="center"/>
          </w:tcPr>
          <w:p w:rsidR="009C735D" w:rsidRPr="008F339D" w:rsidRDefault="009C735D" w:rsidP="007F34F3">
            <w:pPr>
              <w:widowControl w:val="0"/>
              <w:tabs>
                <w:tab w:val="left" w:pos="622"/>
              </w:tabs>
              <w:spacing w:after="0" w:line="240" w:lineRule="auto"/>
              <w:rPr>
                <w:rFonts w:ascii="Times New Roman" w:eastAsia="AngsanaUPC" w:hAnsi="Times New Roman"/>
                <w:bCs/>
                <w:sz w:val="18"/>
                <w:szCs w:val="18"/>
                <w:lang w:eastAsia="lt-LT"/>
              </w:rPr>
            </w:pPr>
            <w:r w:rsidRPr="008F339D">
              <w:rPr>
                <w:rFonts w:ascii="Times New Roman" w:eastAsia="AngsanaUPC" w:hAnsi="Times New Roman"/>
                <w:bCs/>
                <w:sz w:val="18"/>
                <w:szCs w:val="18"/>
                <w:lang w:eastAsia="lt-LT"/>
              </w:rPr>
              <w:t>SaF</w:t>
            </w:r>
          </w:p>
        </w:tc>
        <w:tc>
          <w:tcPr>
            <w:tcW w:w="709" w:type="dxa"/>
            <w:shd w:val="clear" w:color="auto" w:fill="auto"/>
            <w:vAlign w:val="center"/>
          </w:tcPr>
          <w:p w:rsidR="009C735D" w:rsidRPr="008F339D" w:rsidRDefault="009C735D" w:rsidP="007F34F3">
            <w:pPr>
              <w:widowControl w:val="0"/>
              <w:tabs>
                <w:tab w:val="left" w:pos="622"/>
              </w:tabs>
              <w:spacing w:after="0" w:line="240" w:lineRule="auto"/>
              <w:rPr>
                <w:rFonts w:ascii="Times New Roman" w:eastAsia="AngsanaUPC" w:hAnsi="Times New Roman"/>
                <w:bCs/>
                <w:sz w:val="18"/>
                <w:szCs w:val="18"/>
                <w:lang w:eastAsia="lt-LT"/>
              </w:rPr>
            </w:pPr>
            <w:r w:rsidRPr="008F339D">
              <w:rPr>
                <w:rFonts w:ascii="Times New Roman" w:eastAsia="AngsanaUPC" w:hAnsi="Times New Roman"/>
                <w:bCs/>
                <w:sz w:val="18"/>
                <w:szCs w:val="18"/>
                <w:lang w:eastAsia="lt-LT"/>
              </w:rPr>
              <w:t>03</w:t>
            </w:r>
          </w:p>
        </w:tc>
        <w:tc>
          <w:tcPr>
            <w:tcW w:w="6378" w:type="dxa"/>
            <w:shd w:val="clear" w:color="auto" w:fill="auto"/>
          </w:tcPr>
          <w:p w:rsidR="009C735D" w:rsidRPr="008F339D" w:rsidRDefault="009C735D" w:rsidP="007F34F3">
            <w:pPr>
              <w:spacing w:after="0" w:line="240" w:lineRule="auto"/>
              <w:rPr>
                <w:rFonts w:ascii="Times New Roman" w:hAnsi="Times New Roman"/>
                <w:sz w:val="18"/>
                <w:szCs w:val="18"/>
              </w:rPr>
            </w:pPr>
            <w:r w:rsidRPr="008F339D">
              <w:rPr>
                <w:rFonts w:ascii="Times New Roman" w:eastAsia="AngsanaUPC" w:hAnsi="Times New Roman"/>
                <w:bCs/>
                <w:sz w:val="18"/>
                <w:szCs w:val="18"/>
                <w:lang w:eastAsia="lt-LT"/>
              </w:rPr>
              <w:t>Naudojantis finansinėmis priemonėmis teikiama parama: rizikos ir nuosavas kapitalas arba lygiavertė priemonė</w:t>
            </w:r>
          </w:p>
        </w:tc>
        <w:tc>
          <w:tcPr>
            <w:tcW w:w="1808" w:type="dxa"/>
            <w:shd w:val="clear" w:color="auto" w:fill="auto"/>
            <w:vAlign w:val="center"/>
          </w:tcPr>
          <w:p w:rsidR="009C735D" w:rsidRPr="002C08FA" w:rsidRDefault="009C735D" w:rsidP="007F34F3">
            <w:pPr>
              <w:shd w:val="clear" w:color="auto" w:fill="FFFFFF"/>
              <w:autoSpaceDE w:val="0"/>
              <w:autoSpaceDN w:val="0"/>
              <w:adjustRightInd w:val="0"/>
              <w:spacing w:after="0" w:line="240" w:lineRule="auto"/>
              <w:jc w:val="right"/>
              <w:rPr>
                <w:rFonts w:ascii="Times New Roman" w:eastAsia="Times New Roman" w:hAnsi="Times New Roman"/>
                <w:color w:val="000000"/>
                <w:sz w:val="18"/>
                <w:szCs w:val="18"/>
              </w:rPr>
            </w:pPr>
            <w:r w:rsidRPr="002C08FA">
              <w:rPr>
                <w:rFonts w:ascii="Times New Roman" w:eastAsia="Times New Roman" w:hAnsi="Times New Roman"/>
                <w:color w:val="000000"/>
                <w:sz w:val="18"/>
                <w:szCs w:val="18"/>
              </w:rPr>
              <w:t>10.000.000</w:t>
            </w:r>
          </w:p>
        </w:tc>
      </w:tr>
      <w:tr w:rsidR="00D63618" w:rsidRPr="00C76808" w:rsidTr="00C76808">
        <w:tc>
          <w:tcPr>
            <w:tcW w:w="851" w:type="dxa"/>
            <w:shd w:val="clear" w:color="auto" w:fill="auto"/>
            <w:vAlign w:val="center"/>
          </w:tcPr>
          <w:p w:rsidR="00D63618" w:rsidRPr="00D54F90" w:rsidRDefault="00D63618" w:rsidP="00BB0960">
            <w:pPr>
              <w:widowControl w:val="0"/>
              <w:tabs>
                <w:tab w:val="left" w:pos="622"/>
              </w:tabs>
              <w:spacing w:after="0" w:line="240" w:lineRule="auto"/>
              <w:rPr>
                <w:rFonts w:ascii="Times New Roman" w:eastAsia="AngsanaUPC" w:hAnsi="Times New Roman"/>
                <w:bCs/>
                <w:sz w:val="18"/>
                <w:szCs w:val="18"/>
                <w:lang w:val="en-GB" w:eastAsia="lt-LT"/>
              </w:rPr>
            </w:pPr>
            <w:r w:rsidRPr="00D54F90">
              <w:rPr>
                <w:rFonts w:ascii="Times New Roman" w:eastAsia="AngsanaUPC" w:hAnsi="Times New Roman"/>
                <w:bCs/>
                <w:sz w:val="18"/>
                <w:szCs w:val="18"/>
                <w:lang w:val="en-GB" w:eastAsia="lt-LT"/>
              </w:rPr>
              <w:t>ERPF</w:t>
            </w:r>
          </w:p>
        </w:tc>
        <w:tc>
          <w:tcPr>
            <w:tcW w:w="709" w:type="dxa"/>
            <w:shd w:val="clear" w:color="auto" w:fill="auto"/>
            <w:vAlign w:val="center"/>
          </w:tcPr>
          <w:p w:rsidR="00D63618" w:rsidRPr="00D54F90" w:rsidRDefault="003D4200" w:rsidP="00BB0960">
            <w:pPr>
              <w:widowControl w:val="0"/>
              <w:tabs>
                <w:tab w:val="left" w:pos="622"/>
              </w:tabs>
              <w:spacing w:after="0" w:line="240" w:lineRule="auto"/>
              <w:rPr>
                <w:rFonts w:ascii="Times New Roman" w:eastAsia="AngsanaUPC" w:hAnsi="Times New Roman"/>
                <w:bCs/>
                <w:sz w:val="18"/>
                <w:szCs w:val="18"/>
                <w:lang w:val="en-GB" w:eastAsia="lt-LT"/>
              </w:rPr>
            </w:pPr>
            <w:r w:rsidRPr="00D54F90">
              <w:rPr>
                <w:rFonts w:ascii="Times New Roman" w:eastAsia="AngsanaUPC" w:hAnsi="Times New Roman"/>
                <w:bCs/>
                <w:sz w:val="18"/>
                <w:szCs w:val="18"/>
                <w:lang w:val="en-GB" w:eastAsia="lt-LT"/>
              </w:rPr>
              <w:t>0</w:t>
            </w:r>
            <w:r w:rsidR="00D63618" w:rsidRPr="00D54F90">
              <w:rPr>
                <w:rFonts w:ascii="Times New Roman" w:eastAsia="AngsanaUPC" w:hAnsi="Times New Roman"/>
                <w:bCs/>
                <w:sz w:val="18"/>
                <w:szCs w:val="18"/>
                <w:lang w:val="en-GB" w:eastAsia="lt-LT"/>
              </w:rPr>
              <w:t>4</w:t>
            </w:r>
          </w:p>
        </w:tc>
        <w:tc>
          <w:tcPr>
            <w:tcW w:w="6378" w:type="dxa"/>
            <w:shd w:val="clear" w:color="auto" w:fill="auto"/>
          </w:tcPr>
          <w:p w:rsidR="00D63618" w:rsidRPr="00D54F90" w:rsidRDefault="00D63618" w:rsidP="00BB0960">
            <w:pPr>
              <w:spacing w:after="0" w:line="240" w:lineRule="auto"/>
              <w:rPr>
                <w:rFonts w:ascii="Times New Roman" w:hAnsi="Times New Roman"/>
                <w:sz w:val="18"/>
                <w:szCs w:val="18"/>
              </w:rPr>
            </w:pPr>
            <w:r w:rsidRPr="00D54F90">
              <w:rPr>
                <w:rFonts w:ascii="Times New Roman" w:hAnsi="Times New Roman"/>
                <w:sz w:val="18"/>
                <w:szCs w:val="18"/>
              </w:rPr>
              <w:t>Naudojantis finansinėmis priemonėmis teikiama parama: paskola arba lygiavertė priemonė</w:t>
            </w:r>
          </w:p>
        </w:tc>
        <w:tc>
          <w:tcPr>
            <w:tcW w:w="1808" w:type="dxa"/>
            <w:shd w:val="clear" w:color="auto" w:fill="auto"/>
            <w:vAlign w:val="center"/>
          </w:tcPr>
          <w:p w:rsidR="00D63618" w:rsidRPr="002C08FA" w:rsidRDefault="00C82C5E" w:rsidP="001F5775">
            <w:pPr>
              <w:widowControl w:val="0"/>
              <w:tabs>
                <w:tab w:val="left" w:pos="622"/>
              </w:tabs>
              <w:spacing w:after="0" w:line="240" w:lineRule="auto"/>
              <w:jc w:val="right"/>
              <w:rPr>
                <w:rFonts w:ascii="Times New Roman" w:eastAsia="AngsanaUPC" w:hAnsi="Times New Roman"/>
                <w:bCs/>
                <w:sz w:val="18"/>
                <w:szCs w:val="18"/>
                <w:lang w:val="en-GB" w:eastAsia="lt-LT"/>
              </w:rPr>
            </w:pPr>
            <w:r w:rsidRPr="002C08FA">
              <w:rPr>
                <w:rFonts w:ascii="Times New Roman" w:eastAsia="AngsanaUPC" w:hAnsi="Times New Roman"/>
                <w:bCs/>
                <w:sz w:val="18"/>
                <w:szCs w:val="18"/>
                <w:lang w:val="en-GB" w:eastAsia="lt-LT"/>
              </w:rPr>
              <w:t>17</w:t>
            </w:r>
            <w:r w:rsidR="00D63618" w:rsidRPr="002C08FA">
              <w:rPr>
                <w:rFonts w:ascii="Times New Roman" w:eastAsia="AngsanaUPC" w:hAnsi="Times New Roman"/>
                <w:bCs/>
                <w:sz w:val="18"/>
                <w:szCs w:val="18"/>
                <w:lang w:val="en-GB" w:eastAsia="lt-LT"/>
              </w:rPr>
              <w:t>5</w:t>
            </w:r>
            <w:r w:rsidR="00C76808" w:rsidRPr="002C08FA">
              <w:rPr>
                <w:rFonts w:ascii="Times New Roman" w:eastAsia="AngsanaUPC" w:hAnsi="Times New Roman"/>
                <w:bCs/>
                <w:sz w:val="18"/>
                <w:szCs w:val="18"/>
                <w:lang w:val="en-GB" w:eastAsia="lt-LT"/>
              </w:rPr>
              <w:t>.</w:t>
            </w:r>
            <w:r w:rsidR="00D63618" w:rsidRPr="002C08FA">
              <w:rPr>
                <w:rFonts w:ascii="Times New Roman" w:eastAsia="AngsanaUPC" w:hAnsi="Times New Roman"/>
                <w:bCs/>
                <w:sz w:val="18"/>
                <w:szCs w:val="18"/>
                <w:lang w:val="en-GB" w:eastAsia="lt-LT"/>
              </w:rPr>
              <w:t>420</w:t>
            </w:r>
            <w:r w:rsidR="00C76808" w:rsidRPr="002C08FA">
              <w:rPr>
                <w:rFonts w:ascii="Times New Roman" w:eastAsia="AngsanaUPC" w:hAnsi="Times New Roman"/>
                <w:bCs/>
                <w:sz w:val="18"/>
                <w:szCs w:val="18"/>
                <w:lang w:val="en-GB" w:eastAsia="lt-LT"/>
              </w:rPr>
              <w:t>.</w:t>
            </w:r>
            <w:r w:rsidR="00D63618" w:rsidRPr="002C08FA">
              <w:rPr>
                <w:rFonts w:ascii="Times New Roman" w:eastAsia="AngsanaUPC" w:hAnsi="Times New Roman"/>
                <w:bCs/>
                <w:sz w:val="18"/>
                <w:szCs w:val="18"/>
                <w:lang w:val="en-GB" w:eastAsia="lt-LT"/>
              </w:rPr>
              <w:t>684</w:t>
            </w:r>
          </w:p>
        </w:tc>
      </w:tr>
      <w:tr w:rsidR="00D63618" w:rsidRPr="00C76808" w:rsidTr="00C76808">
        <w:tc>
          <w:tcPr>
            <w:tcW w:w="851" w:type="dxa"/>
            <w:shd w:val="clear" w:color="auto" w:fill="auto"/>
            <w:vAlign w:val="center"/>
          </w:tcPr>
          <w:p w:rsidR="00D63618" w:rsidRPr="00D54F90" w:rsidRDefault="00D63618" w:rsidP="00BB0960">
            <w:pPr>
              <w:widowControl w:val="0"/>
              <w:tabs>
                <w:tab w:val="left" w:pos="622"/>
              </w:tabs>
              <w:spacing w:after="0" w:line="240" w:lineRule="auto"/>
              <w:rPr>
                <w:rFonts w:ascii="Times New Roman" w:eastAsia="AngsanaUPC" w:hAnsi="Times New Roman"/>
                <w:bCs/>
                <w:sz w:val="18"/>
                <w:szCs w:val="18"/>
                <w:lang w:val="en-GB" w:eastAsia="lt-LT"/>
              </w:rPr>
            </w:pPr>
            <w:r w:rsidRPr="00D54F90">
              <w:rPr>
                <w:rFonts w:ascii="Times New Roman" w:eastAsia="AngsanaUPC" w:hAnsi="Times New Roman"/>
                <w:bCs/>
                <w:sz w:val="18"/>
                <w:szCs w:val="18"/>
                <w:lang w:val="en-GB" w:eastAsia="lt-LT"/>
              </w:rPr>
              <w:t>ERPF</w:t>
            </w:r>
          </w:p>
        </w:tc>
        <w:tc>
          <w:tcPr>
            <w:tcW w:w="709" w:type="dxa"/>
            <w:shd w:val="clear" w:color="auto" w:fill="auto"/>
            <w:vAlign w:val="center"/>
          </w:tcPr>
          <w:p w:rsidR="00D63618" w:rsidRPr="00D54F90" w:rsidRDefault="003D4200" w:rsidP="00BB0960">
            <w:pPr>
              <w:widowControl w:val="0"/>
              <w:tabs>
                <w:tab w:val="left" w:pos="622"/>
              </w:tabs>
              <w:spacing w:after="0" w:line="240" w:lineRule="auto"/>
              <w:rPr>
                <w:rFonts w:ascii="Times New Roman" w:eastAsia="AngsanaUPC" w:hAnsi="Times New Roman"/>
                <w:bCs/>
                <w:sz w:val="18"/>
                <w:szCs w:val="18"/>
                <w:lang w:val="en-GB" w:eastAsia="lt-LT"/>
              </w:rPr>
            </w:pPr>
            <w:r w:rsidRPr="00D54F90">
              <w:rPr>
                <w:rFonts w:ascii="Times New Roman" w:eastAsia="AngsanaUPC" w:hAnsi="Times New Roman"/>
                <w:bCs/>
                <w:sz w:val="18"/>
                <w:szCs w:val="18"/>
                <w:lang w:val="en-GB" w:eastAsia="lt-LT"/>
              </w:rPr>
              <w:t>0</w:t>
            </w:r>
            <w:r w:rsidR="00D63618" w:rsidRPr="00D54F90">
              <w:rPr>
                <w:rFonts w:ascii="Times New Roman" w:eastAsia="AngsanaUPC" w:hAnsi="Times New Roman"/>
                <w:bCs/>
                <w:sz w:val="18"/>
                <w:szCs w:val="18"/>
                <w:lang w:val="en-GB" w:eastAsia="lt-LT"/>
              </w:rPr>
              <w:t>5</w:t>
            </w:r>
          </w:p>
        </w:tc>
        <w:tc>
          <w:tcPr>
            <w:tcW w:w="6378" w:type="dxa"/>
            <w:shd w:val="clear" w:color="auto" w:fill="auto"/>
          </w:tcPr>
          <w:p w:rsidR="00D63618" w:rsidRPr="00D54F90" w:rsidRDefault="00D63618" w:rsidP="00BB0960">
            <w:pPr>
              <w:spacing w:after="0" w:line="240" w:lineRule="auto"/>
              <w:rPr>
                <w:rFonts w:ascii="Times New Roman" w:hAnsi="Times New Roman"/>
                <w:sz w:val="18"/>
                <w:szCs w:val="18"/>
              </w:rPr>
            </w:pPr>
            <w:r w:rsidRPr="00D54F90">
              <w:rPr>
                <w:rFonts w:ascii="Times New Roman" w:hAnsi="Times New Roman"/>
                <w:sz w:val="18"/>
                <w:szCs w:val="18"/>
              </w:rPr>
              <w:t>Naudojantis finansinėmis priemonėmis teikiama parama: garantija arba lygiavertė priemonė</w:t>
            </w:r>
          </w:p>
        </w:tc>
        <w:tc>
          <w:tcPr>
            <w:tcW w:w="1808" w:type="dxa"/>
            <w:shd w:val="clear" w:color="auto" w:fill="auto"/>
            <w:vAlign w:val="center"/>
          </w:tcPr>
          <w:p w:rsidR="00D63618" w:rsidRPr="002C08FA" w:rsidRDefault="00BC2F68" w:rsidP="001F5775">
            <w:pPr>
              <w:widowControl w:val="0"/>
              <w:tabs>
                <w:tab w:val="left" w:pos="622"/>
              </w:tabs>
              <w:spacing w:after="0" w:line="240" w:lineRule="auto"/>
              <w:jc w:val="right"/>
              <w:rPr>
                <w:rFonts w:ascii="Times New Roman" w:eastAsia="AngsanaUPC" w:hAnsi="Times New Roman"/>
                <w:bCs/>
                <w:sz w:val="18"/>
                <w:szCs w:val="18"/>
                <w:lang w:val="en-GB" w:eastAsia="lt-LT"/>
              </w:rPr>
            </w:pPr>
            <w:r w:rsidRPr="002C08FA">
              <w:rPr>
                <w:rFonts w:ascii="Times New Roman" w:eastAsia="AngsanaUPC" w:hAnsi="Times New Roman"/>
                <w:bCs/>
                <w:sz w:val="18"/>
                <w:szCs w:val="18"/>
                <w:lang w:val="en-GB" w:eastAsia="lt-LT"/>
              </w:rPr>
              <w:t>103</w:t>
            </w:r>
            <w:r w:rsidR="00C76808" w:rsidRPr="002C08FA">
              <w:rPr>
                <w:rFonts w:ascii="Times New Roman" w:eastAsia="AngsanaUPC" w:hAnsi="Times New Roman"/>
                <w:bCs/>
                <w:sz w:val="18"/>
                <w:szCs w:val="18"/>
                <w:lang w:val="en-GB" w:eastAsia="lt-LT"/>
              </w:rPr>
              <w:t>.</w:t>
            </w:r>
            <w:r w:rsidRPr="002C08FA">
              <w:rPr>
                <w:rFonts w:ascii="Times New Roman" w:eastAsia="AngsanaUPC" w:hAnsi="Times New Roman"/>
                <w:bCs/>
                <w:sz w:val="18"/>
                <w:szCs w:val="18"/>
                <w:lang w:val="en-GB" w:eastAsia="lt-LT"/>
              </w:rPr>
              <w:t>9</w:t>
            </w:r>
            <w:r w:rsidR="00D63618" w:rsidRPr="002C08FA">
              <w:rPr>
                <w:rFonts w:ascii="Times New Roman" w:eastAsia="AngsanaUPC" w:hAnsi="Times New Roman"/>
                <w:bCs/>
                <w:sz w:val="18"/>
                <w:szCs w:val="18"/>
                <w:lang w:val="en-GB" w:eastAsia="lt-LT"/>
              </w:rPr>
              <w:t>48</w:t>
            </w:r>
            <w:r w:rsidR="00C76808" w:rsidRPr="002C08FA">
              <w:rPr>
                <w:rFonts w:ascii="Times New Roman" w:eastAsia="AngsanaUPC" w:hAnsi="Times New Roman"/>
                <w:bCs/>
                <w:sz w:val="18"/>
                <w:szCs w:val="18"/>
                <w:lang w:val="en-GB" w:eastAsia="lt-LT"/>
              </w:rPr>
              <w:t>.</w:t>
            </w:r>
            <w:r w:rsidR="00D63618" w:rsidRPr="002C08FA">
              <w:rPr>
                <w:rFonts w:ascii="Times New Roman" w:eastAsia="AngsanaUPC" w:hAnsi="Times New Roman"/>
                <w:bCs/>
                <w:sz w:val="18"/>
                <w:szCs w:val="18"/>
                <w:lang w:val="en-GB" w:eastAsia="lt-LT"/>
              </w:rPr>
              <w:t>008</w:t>
            </w:r>
          </w:p>
        </w:tc>
      </w:tr>
      <w:tr w:rsidR="00D63618" w:rsidRPr="00C76808" w:rsidTr="00C76808">
        <w:tc>
          <w:tcPr>
            <w:tcW w:w="851" w:type="dxa"/>
            <w:shd w:val="clear" w:color="auto" w:fill="auto"/>
            <w:vAlign w:val="center"/>
          </w:tcPr>
          <w:p w:rsidR="00D63618" w:rsidRPr="00C76808" w:rsidRDefault="00D63618" w:rsidP="00BB0960">
            <w:pPr>
              <w:widowControl w:val="0"/>
              <w:tabs>
                <w:tab w:val="left" w:pos="622"/>
              </w:tabs>
              <w:spacing w:after="0" w:line="240" w:lineRule="auto"/>
              <w:rPr>
                <w:rFonts w:ascii="Times New Roman" w:eastAsia="AngsanaUPC" w:hAnsi="Times New Roman"/>
                <w:bCs/>
                <w:sz w:val="18"/>
                <w:szCs w:val="18"/>
                <w:lang w:val="en-GB" w:eastAsia="lt-LT"/>
              </w:rPr>
            </w:pPr>
            <w:r w:rsidRPr="00C76808">
              <w:rPr>
                <w:rFonts w:ascii="Times New Roman" w:eastAsia="AngsanaUPC" w:hAnsi="Times New Roman"/>
                <w:bCs/>
                <w:sz w:val="18"/>
                <w:szCs w:val="18"/>
                <w:lang w:val="en-GB" w:eastAsia="lt-LT"/>
              </w:rPr>
              <w:t>ERPF</w:t>
            </w:r>
          </w:p>
        </w:tc>
        <w:tc>
          <w:tcPr>
            <w:tcW w:w="709" w:type="dxa"/>
            <w:shd w:val="clear" w:color="auto" w:fill="auto"/>
            <w:vAlign w:val="center"/>
          </w:tcPr>
          <w:p w:rsidR="00D63618" w:rsidRPr="00C76808" w:rsidRDefault="003D4200" w:rsidP="00BB0960">
            <w:pPr>
              <w:widowControl w:val="0"/>
              <w:tabs>
                <w:tab w:val="left" w:pos="622"/>
              </w:tabs>
              <w:spacing w:after="0" w:line="240" w:lineRule="auto"/>
              <w:rPr>
                <w:rFonts w:ascii="Times New Roman" w:eastAsia="AngsanaUPC" w:hAnsi="Times New Roman"/>
                <w:bCs/>
                <w:sz w:val="18"/>
                <w:szCs w:val="18"/>
                <w:lang w:val="en-GB" w:eastAsia="lt-LT"/>
              </w:rPr>
            </w:pPr>
            <w:r w:rsidRPr="00C76808">
              <w:rPr>
                <w:rFonts w:ascii="Times New Roman" w:eastAsia="AngsanaUPC" w:hAnsi="Times New Roman"/>
                <w:bCs/>
                <w:sz w:val="18"/>
                <w:szCs w:val="18"/>
                <w:lang w:val="en-GB" w:eastAsia="lt-LT"/>
              </w:rPr>
              <w:t>0</w:t>
            </w:r>
            <w:r w:rsidR="00D63618" w:rsidRPr="00C76808">
              <w:rPr>
                <w:rFonts w:ascii="Times New Roman" w:eastAsia="AngsanaUPC" w:hAnsi="Times New Roman"/>
                <w:bCs/>
                <w:sz w:val="18"/>
                <w:szCs w:val="18"/>
                <w:lang w:val="en-GB" w:eastAsia="lt-LT"/>
              </w:rPr>
              <w:t>6</w:t>
            </w:r>
          </w:p>
        </w:tc>
        <w:tc>
          <w:tcPr>
            <w:tcW w:w="6378" w:type="dxa"/>
            <w:shd w:val="clear" w:color="auto" w:fill="auto"/>
          </w:tcPr>
          <w:p w:rsidR="00D63618" w:rsidRPr="00C76808" w:rsidRDefault="00D63618" w:rsidP="00BB0960">
            <w:pPr>
              <w:spacing w:after="0" w:line="240" w:lineRule="auto"/>
              <w:rPr>
                <w:rFonts w:ascii="Times New Roman" w:hAnsi="Times New Roman"/>
                <w:sz w:val="18"/>
                <w:szCs w:val="18"/>
              </w:rPr>
            </w:pPr>
            <w:r w:rsidRPr="00C76808">
              <w:rPr>
                <w:rFonts w:ascii="Times New Roman" w:hAnsi="Times New Roman"/>
                <w:sz w:val="18"/>
                <w:szCs w:val="18"/>
              </w:rPr>
              <w:t>Naudojantis finansinėmis priemonėmis teikiama parama: palūkanų subsidija, garantinio mokesčio subsidija, techninė parama arba lygiavertė priemonė</w:t>
            </w:r>
          </w:p>
        </w:tc>
        <w:tc>
          <w:tcPr>
            <w:tcW w:w="1808" w:type="dxa"/>
            <w:shd w:val="clear" w:color="auto" w:fill="auto"/>
            <w:vAlign w:val="center"/>
          </w:tcPr>
          <w:p w:rsidR="00D63618" w:rsidRPr="002C08FA" w:rsidRDefault="00D63618" w:rsidP="001F5775">
            <w:pPr>
              <w:widowControl w:val="0"/>
              <w:tabs>
                <w:tab w:val="left" w:pos="622"/>
              </w:tabs>
              <w:spacing w:after="0" w:line="240" w:lineRule="auto"/>
              <w:jc w:val="right"/>
              <w:rPr>
                <w:rFonts w:ascii="Times New Roman" w:eastAsia="AngsanaUPC" w:hAnsi="Times New Roman"/>
                <w:bCs/>
                <w:sz w:val="18"/>
                <w:szCs w:val="18"/>
                <w:lang w:val="en-GB" w:eastAsia="lt-LT"/>
              </w:rPr>
            </w:pPr>
            <w:r w:rsidRPr="002C08FA">
              <w:rPr>
                <w:rFonts w:ascii="Times New Roman" w:eastAsia="AngsanaUPC" w:hAnsi="Times New Roman"/>
                <w:bCs/>
                <w:sz w:val="18"/>
                <w:szCs w:val="18"/>
                <w:lang w:val="en-GB" w:eastAsia="lt-LT"/>
              </w:rPr>
              <w:t>112</w:t>
            </w:r>
            <w:r w:rsidR="00C76808" w:rsidRPr="002C08FA">
              <w:rPr>
                <w:rFonts w:ascii="Times New Roman" w:eastAsia="AngsanaUPC" w:hAnsi="Times New Roman"/>
                <w:bCs/>
                <w:sz w:val="18"/>
                <w:szCs w:val="18"/>
                <w:lang w:val="en-GB" w:eastAsia="lt-LT"/>
              </w:rPr>
              <w:t>.</w:t>
            </w:r>
            <w:r w:rsidRPr="002C08FA">
              <w:rPr>
                <w:rFonts w:ascii="Times New Roman" w:eastAsia="AngsanaUPC" w:hAnsi="Times New Roman"/>
                <w:bCs/>
                <w:sz w:val="18"/>
                <w:szCs w:val="18"/>
                <w:lang w:val="en-GB" w:eastAsia="lt-LT"/>
              </w:rPr>
              <w:t>951</w:t>
            </w:r>
            <w:r w:rsidR="00C76808" w:rsidRPr="002C08FA">
              <w:rPr>
                <w:rFonts w:ascii="Times New Roman" w:eastAsia="AngsanaUPC" w:hAnsi="Times New Roman"/>
                <w:bCs/>
                <w:sz w:val="18"/>
                <w:szCs w:val="18"/>
                <w:lang w:val="en-GB" w:eastAsia="lt-LT"/>
              </w:rPr>
              <w:t>.</w:t>
            </w:r>
            <w:r w:rsidRPr="002C08FA">
              <w:rPr>
                <w:rFonts w:ascii="Times New Roman" w:eastAsia="AngsanaUPC" w:hAnsi="Times New Roman"/>
                <w:bCs/>
                <w:sz w:val="18"/>
                <w:szCs w:val="18"/>
                <w:lang w:val="en-GB" w:eastAsia="lt-LT"/>
              </w:rPr>
              <w:t>807</w:t>
            </w:r>
          </w:p>
        </w:tc>
      </w:tr>
      <w:tr w:rsidR="00D63618" w:rsidRPr="00C76808" w:rsidTr="00C76808">
        <w:tc>
          <w:tcPr>
            <w:tcW w:w="851" w:type="dxa"/>
            <w:shd w:val="clear" w:color="auto" w:fill="auto"/>
            <w:vAlign w:val="center"/>
          </w:tcPr>
          <w:p w:rsidR="00D63618" w:rsidRPr="008F339D" w:rsidRDefault="00D63618" w:rsidP="00BB0960">
            <w:pPr>
              <w:widowControl w:val="0"/>
              <w:tabs>
                <w:tab w:val="left" w:pos="622"/>
              </w:tabs>
              <w:spacing w:after="0" w:line="240" w:lineRule="auto"/>
              <w:rPr>
                <w:rFonts w:ascii="Times New Roman" w:eastAsia="AngsanaUPC" w:hAnsi="Times New Roman"/>
                <w:bCs/>
                <w:sz w:val="18"/>
                <w:szCs w:val="18"/>
                <w:lang w:eastAsia="lt-LT"/>
              </w:rPr>
            </w:pPr>
            <w:r w:rsidRPr="008F339D">
              <w:rPr>
                <w:rFonts w:ascii="Times New Roman" w:eastAsia="AngsanaUPC" w:hAnsi="Times New Roman"/>
                <w:bCs/>
                <w:sz w:val="18"/>
                <w:szCs w:val="18"/>
                <w:lang w:eastAsia="lt-LT"/>
              </w:rPr>
              <w:t>SaF</w:t>
            </w:r>
          </w:p>
        </w:tc>
        <w:tc>
          <w:tcPr>
            <w:tcW w:w="709" w:type="dxa"/>
            <w:shd w:val="clear" w:color="auto" w:fill="auto"/>
            <w:vAlign w:val="center"/>
          </w:tcPr>
          <w:p w:rsidR="00D63618" w:rsidRPr="00C76808" w:rsidRDefault="003D4200" w:rsidP="00BB0960">
            <w:pPr>
              <w:widowControl w:val="0"/>
              <w:tabs>
                <w:tab w:val="left" w:pos="622"/>
              </w:tabs>
              <w:spacing w:after="0" w:line="240" w:lineRule="auto"/>
              <w:rPr>
                <w:rFonts w:ascii="Times New Roman" w:eastAsia="AngsanaUPC" w:hAnsi="Times New Roman"/>
                <w:bCs/>
                <w:sz w:val="18"/>
                <w:szCs w:val="18"/>
                <w:lang w:val="en-GB" w:eastAsia="lt-LT"/>
              </w:rPr>
            </w:pPr>
            <w:r w:rsidRPr="00C76808">
              <w:rPr>
                <w:rFonts w:ascii="Times New Roman" w:eastAsia="AngsanaUPC" w:hAnsi="Times New Roman"/>
                <w:bCs/>
                <w:sz w:val="18"/>
                <w:szCs w:val="18"/>
                <w:lang w:val="en-GB" w:eastAsia="lt-LT"/>
              </w:rPr>
              <w:t>0</w:t>
            </w:r>
            <w:r w:rsidR="00D63618" w:rsidRPr="00C76808">
              <w:rPr>
                <w:rFonts w:ascii="Times New Roman" w:eastAsia="AngsanaUPC" w:hAnsi="Times New Roman"/>
                <w:bCs/>
                <w:sz w:val="18"/>
                <w:szCs w:val="18"/>
                <w:lang w:val="en-GB" w:eastAsia="lt-LT"/>
              </w:rPr>
              <w:t>6</w:t>
            </w:r>
          </w:p>
        </w:tc>
        <w:tc>
          <w:tcPr>
            <w:tcW w:w="6378" w:type="dxa"/>
            <w:shd w:val="clear" w:color="auto" w:fill="auto"/>
          </w:tcPr>
          <w:p w:rsidR="00D63618" w:rsidRPr="00C76808" w:rsidRDefault="00D63618" w:rsidP="00BB0960">
            <w:pPr>
              <w:spacing w:after="0" w:line="240" w:lineRule="auto"/>
              <w:rPr>
                <w:rFonts w:ascii="Times New Roman" w:hAnsi="Times New Roman"/>
                <w:sz w:val="18"/>
                <w:szCs w:val="18"/>
              </w:rPr>
            </w:pPr>
            <w:r w:rsidRPr="00C76808">
              <w:rPr>
                <w:rFonts w:ascii="Times New Roman" w:hAnsi="Times New Roman"/>
                <w:sz w:val="18"/>
                <w:szCs w:val="18"/>
              </w:rPr>
              <w:t>Naudojantis finansinėmis priemonėmis teikiama parama: palūkanų subsidija, garantinio mokesčio subsidija, techninė parama arba lygiavertė priemonė</w:t>
            </w:r>
          </w:p>
        </w:tc>
        <w:tc>
          <w:tcPr>
            <w:tcW w:w="1808" w:type="dxa"/>
            <w:shd w:val="clear" w:color="auto" w:fill="auto"/>
            <w:vAlign w:val="center"/>
          </w:tcPr>
          <w:p w:rsidR="00D63618" w:rsidRPr="002C08FA" w:rsidRDefault="00D63618" w:rsidP="001F5775">
            <w:pPr>
              <w:widowControl w:val="0"/>
              <w:tabs>
                <w:tab w:val="left" w:pos="622"/>
              </w:tabs>
              <w:spacing w:after="0" w:line="240" w:lineRule="auto"/>
              <w:jc w:val="right"/>
              <w:rPr>
                <w:rFonts w:ascii="Times New Roman" w:eastAsia="AngsanaUPC" w:hAnsi="Times New Roman"/>
                <w:bCs/>
                <w:sz w:val="18"/>
                <w:szCs w:val="18"/>
                <w:lang w:val="en-GB" w:eastAsia="lt-LT"/>
              </w:rPr>
            </w:pPr>
            <w:r w:rsidRPr="002C08FA">
              <w:rPr>
                <w:rFonts w:ascii="Times New Roman" w:eastAsia="AngsanaUPC" w:hAnsi="Times New Roman"/>
                <w:bCs/>
                <w:sz w:val="18"/>
                <w:szCs w:val="18"/>
                <w:lang w:val="en-GB" w:eastAsia="lt-LT"/>
              </w:rPr>
              <w:t>28</w:t>
            </w:r>
            <w:r w:rsidR="00C76808" w:rsidRPr="002C08FA">
              <w:rPr>
                <w:rFonts w:ascii="Times New Roman" w:eastAsia="AngsanaUPC" w:hAnsi="Times New Roman"/>
                <w:bCs/>
                <w:sz w:val="18"/>
                <w:szCs w:val="18"/>
                <w:lang w:val="en-GB" w:eastAsia="lt-LT"/>
              </w:rPr>
              <w:t>.</w:t>
            </w:r>
            <w:r w:rsidRPr="002C08FA">
              <w:rPr>
                <w:rFonts w:ascii="Times New Roman" w:eastAsia="AngsanaUPC" w:hAnsi="Times New Roman"/>
                <w:bCs/>
                <w:sz w:val="18"/>
                <w:szCs w:val="18"/>
                <w:lang w:val="en-GB" w:eastAsia="lt-LT"/>
              </w:rPr>
              <w:t>962</w:t>
            </w:r>
            <w:r w:rsidR="00C76808" w:rsidRPr="002C08FA">
              <w:rPr>
                <w:rFonts w:ascii="Times New Roman" w:eastAsia="AngsanaUPC" w:hAnsi="Times New Roman"/>
                <w:bCs/>
                <w:sz w:val="18"/>
                <w:szCs w:val="18"/>
                <w:lang w:val="en-GB" w:eastAsia="lt-LT"/>
              </w:rPr>
              <w:t>.</w:t>
            </w:r>
            <w:r w:rsidRPr="002C08FA">
              <w:rPr>
                <w:rFonts w:ascii="Times New Roman" w:eastAsia="AngsanaUPC" w:hAnsi="Times New Roman"/>
                <w:bCs/>
                <w:sz w:val="18"/>
                <w:szCs w:val="18"/>
                <w:lang w:val="en-GB" w:eastAsia="lt-LT"/>
              </w:rPr>
              <w:t>002</w:t>
            </w:r>
          </w:p>
        </w:tc>
      </w:tr>
    </w:tbl>
    <w:p w:rsidR="008D1CA8" w:rsidRPr="002447B3" w:rsidRDefault="008D1CA8" w:rsidP="008D1CA8">
      <w:pPr>
        <w:widowControl w:val="0"/>
        <w:tabs>
          <w:tab w:val="left" w:pos="622"/>
        </w:tabs>
        <w:spacing w:after="0" w:line="240" w:lineRule="auto"/>
        <w:jc w:val="both"/>
        <w:rPr>
          <w:rFonts w:ascii="Times New Roman" w:hAnsi="Times New Roman"/>
          <w:iCs/>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9"/>
        <w:gridCol w:w="6378"/>
        <w:gridCol w:w="1808"/>
      </w:tblGrid>
      <w:tr w:rsidR="008D1CA8" w:rsidRPr="002447B3" w:rsidTr="003D4200">
        <w:tc>
          <w:tcPr>
            <w:tcW w:w="9746" w:type="dxa"/>
            <w:gridSpan w:val="4"/>
            <w:shd w:val="clear" w:color="auto" w:fill="EEECE1"/>
          </w:tcPr>
          <w:p w:rsidR="008D1CA8" w:rsidRPr="002447B3" w:rsidRDefault="008D1CA8" w:rsidP="00BB0960">
            <w:pPr>
              <w:widowControl w:val="0"/>
              <w:tabs>
                <w:tab w:val="left" w:pos="622"/>
              </w:tabs>
              <w:spacing w:after="0" w:line="240" w:lineRule="auto"/>
              <w:jc w:val="both"/>
              <w:rPr>
                <w:rFonts w:ascii="Times New Roman" w:hAnsi="Times New Roman"/>
                <w:i/>
                <w:iCs/>
                <w:sz w:val="18"/>
                <w:szCs w:val="18"/>
              </w:rPr>
            </w:pPr>
            <w:r w:rsidRPr="002447B3">
              <w:rPr>
                <w:rFonts w:ascii="Times New Roman" w:hAnsi="Times New Roman"/>
                <w:b/>
                <w:bCs/>
                <w:i/>
                <w:iCs/>
                <w:sz w:val="18"/>
                <w:szCs w:val="18"/>
              </w:rPr>
              <w:t>Teritorijų tipas</w:t>
            </w:r>
          </w:p>
        </w:tc>
      </w:tr>
      <w:tr w:rsidR="00322BE2" w:rsidRPr="002447B3" w:rsidTr="003D4200">
        <w:tc>
          <w:tcPr>
            <w:tcW w:w="851" w:type="dxa"/>
            <w:shd w:val="clear" w:color="auto" w:fill="EEECE1"/>
            <w:vAlign w:val="center"/>
          </w:tcPr>
          <w:p w:rsidR="00322BE2" w:rsidRPr="002447B3" w:rsidRDefault="00322BE2" w:rsidP="00BB0960">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Fondas</w:t>
            </w:r>
          </w:p>
        </w:tc>
        <w:tc>
          <w:tcPr>
            <w:tcW w:w="709" w:type="dxa"/>
            <w:shd w:val="clear" w:color="auto" w:fill="EEECE1"/>
            <w:vAlign w:val="center"/>
          </w:tcPr>
          <w:p w:rsidR="00322BE2" w:rsidRPr="002447B3" w:rsidRDefault="00322BE2" w:rsidP="00BB0960">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Kodas</w:t>
            </w:r>
          </w:p>
        </w:tc>
        <w:tc>
          <w:tcPr>
            <w:tcW w:w="6378" w:type="dxa"/>
            <w:shd w:val="clear" w:color="auto" w:fill="EEECE1"/>
            <w:vAlign w:val="center"/>
          </w:tcPr>
          <w:p w:rsidR="00322BE2" w:rsidRPr="002447B3" w:rsidRDefault="00322BE2" w:rsidP="00BB0960">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Pavadinimas</w:t>
            </w:r>
          </w:p>
        </w:tc>
        <w:tc>
          <w:tcPr>
            <w:tcW w:w="1808" w:type="dxa"/>
            <w:shd w:val="clear" w:color="auto" w:fill="EEECE1"/>
            <w:vAlign w:val="center"/>
          </w:tcPr>
          <w:p w:rsidR="00322BE2" w:rsidRPr="002447B3" w:rsidRDefault="00322BE2" w:rsidP="00BB0960">
            <w:pPr>
              <w:widowControl w:val="0"/>
              <w:tabs>
                <w:tab w:val="left" w:pos="622"/>
              </w:tabs>
              <w:spacing w:after="0" w:line="240" w:lineRule="auto"/>
              <w:jc w:val="center"/>
              <w:rPr>
                <w:rFonts w:ascii="Times New Roman" w:hAnsi="Times New Roman"/>
                <w:b/>
                <w:bCs/>
                <w:iCs/>
                <w:sz w:val="18"/>
                <w:szCs w:val="18"/>
              </w:rPr>
            </w:pPr>
            <w:r w:rsidRPr="002447B3">
              <w:rPr>
                <w:rFonts w:ascii="Times New Roman" w:hAnsi="Times New Roman"/>
                <w:b/>
                <w:bCs/>
                <w:iCs/>
                <w:sz w:val="18"/>
                <w:szCs w:val="18"/>
              </w:rPr>
              <w:t>Finansinė proporcija (eurais)</w:t>
            </w:r>
          </w:p>
        </w:tc>
      </w:tr>
      <w:tr w:rsidR="00322BE2" w:rsidRPr="00C76808" w:rsidTr="003D4200">
        <w:tc>
          <w:tcPr>
            <w:tcW w:w="851" w:type="dxa"/>
            <w:shd w:val="clear" w:color="auto" w:fill="auto"/>
            <w:vAlign w:val="center"/>
          </w:tcPr>
          <w:p w:rsidR="00322BE2" w:rsidRPr="00D54F90" w:rsidRDefault="00322BE2" w:rsidP="00BB0960">
            <w:pPr>
              <w:widowControl w:val="0"/>
              <w:tabs>
                <w:tab w:val="left" w:pos="622"/>
              </w:tabs>
              <w:spacing w:after="0" w:line="240" w:lineRule="auto"/>
              <w:rPr>
                <w:rFonts w:ascii="Times New Roman" w:eastAsia="AngsanaUPC" w:hAnsi="Times New Roman"/>
                <w:bCs/>
                <w:sz w:val="18"/>
                <w:szCs w:val="18"/>
                <w:lang w:val="en-GB" w:eastAsia="lt-LT"/>
              </w:rPr>
            </w:pPr>
            <w:r w:rsidRPr="00D54F90">
              <w:rPr>
                <w:rFonts w:ascii="Times New Roman" w:eastAsia="AngsanaUPC" w:hAnsi="Times New Roman"/>
                <w:bCs/>
                <w:sz w:val="18"/>
                <w:szCs w:val="18"/>
                <w:lang w:val="en-GB" w:eastAsia="lt-LT"/>
              </w:rPr>
              <w:t>ERPF</w:t>
            </w:r>
          </w:p>
        </w:tc>
        <w:tc>
          <w:tcPr>
            <w:tcW w:w="709" w:type="dxa"/>
            <w:shd w:val="clear" w:color="auto" w:fill="auto"/>
            <w:vAlign w:val="center"/>
          </w:tcPr>
          <w:p w:rsidR="00322BE2" w:rsidRPr="00D54F90" w:rsidRDefault="003D4200" w:rsidP="00BB0960">
            <w:pPr>
              <w:widowControl w:val="0"/>
              <w:tabs>
                <w:tab w:val="left" w:pos="622"/>
              </w:tabs>
              <w:spacing w:after="0" w:line="240" w:lineRule="auto"/>
              <w:rPr>
                <w:rFonts w:ascii="Times New Roman" w:eastAsia="AngsanaUPC" w:hAnsi="Times New Roman"/>
                <w:bCs/>
                <w:sz w:val="18"/>
                <w:szCs w:val="18"/>
                <w:lang w:val="en-GB" w:eastAsia="lt-LT"/>
              </w:rPr>
            </w:pPr>
            <w:r w:rsidRPr="00D54F90">
              <w:rPr>
                <w:rFonts w:ascii="Times New Roman" w:eastAsia="AngsanaUPC" w:hAnsi="Times New Roman"/>
                <w:bCs/>
                <w:sz w:val="18"/>
                <w:szCs w:val="18"/>
                <w:lang w:val="en-GB" w:eastAsia="lt-LT"/>
              </w:rPr>
              <w:t>0</w:t>
            </w:r>
            <w:r w:rsidR="00322BE2" w:rsidRPr="00D54F90">
              <w:rPr>
                <w:rFonts w:ascii="Times New Roman" w:eastAsia="AngsanaUPC" w:hAnsi="Times New Roman"/>
                <w:bCs/>
                <w:sz w:val="18"/>
                <w:szCs w:val="18"/>
                <w:lang w:val="en-GB" w:eastAsia="lt-LT"/>
              </w:rPr>
              <w:t>1</w:t>
            </w:r>
          </w:p>
        </w:tc>
        <w:tc>
          <w:tcPr>
            <w:tcW w:w="6378" w:type="dxa"/>
            <w:shd w:val="clear" w:color="auto" w:fill="auto"/>
            <w:vAlign w:val="center"/>
          </w:tcPr>
          <w:p w:rsidR="00322BE2" w:rsidRPr="00D54F90" w:rsidRDefault="00322BE2" w:rsidP="00BB0960">
            <w:pPr>
              <w:widowControl w:val="0"/>
              <w:tabs>
                <w:tab w:val="left" w:pos="622"/>
              </w:tabs>
              <w:spacing w:after="0" w:line="240" w:lineRule="auto"/>
              <w:jc w:val="both"/>
              <w:rPr>
                <w:rFonts w:ascii="Times New Roman" w:hAnsi="Times New Roman"/>
                <w:bCs/>
                <w:iCs/>
                <w:sz w:val="18"/>
                <w:szCs w:val="18"/>
              </w:rPr>
            </w:pPr>
            <w:r w:rsidRPr="00D54F90">
              <w:rPr>
                <w:rFonts w:ascii="Times New Roman" w:hAnsi="Times New Roman"/>
                <w:bCs/>
                <w:iCs/>
                <w:sz w:val="18"/>
                <w:szCs w:val="18"/>
              </w:rPr>
              <w:t>Didelės miesto teritorijos (tankiai apgyvendintos, &gt; 50 000 gyventojų)</w:t>
            </w:r>
          </w:p>
        </w:tc>
        <w:tc>
          <w:tcPr>
            <w:tcW w:w="1808" w:type="dxa"/>
            <w:shd w:val="clear" w:color="auto" w:fill="auto"/>
            <w:vAlign w:val="center"/>
          </w:tcPr>
          <w:p w:rsidR="00322BE2" w:rsidRPr="002C08FA" w:rsidRDefault="00BC2F68" w:rsidP="001F5775">
            <w:pPr>
              <w:widowControl w:val="0"/>
              <w:tabs>
                <w:tab w:val="left" w:pos="622"/>
              </w:tabs>
              <w:spacing w:after="0" w:line="240" w:lineRule="auto"/>
              <w:jc w:val="right"/>
              <w:rPr>
                <w:rFonts w:ascii="Times New Roman" w:eastAsia="AngsanaUPC" w:hAnsi="Times New Roman"/>
                <w:bCs/>
                <w:sz w:val="18"/>
                <w:szCs w:val="18"/>
                <w:lang w:val="en-GB" w:eastAsia="lt-LT"/>
              </w:rPr>
            </w:pPr>
            <w:r w:rsidRPr="002C08FA">
              <w:rPr>
                <w:rFonts w:ascii="Times New Roman" w:eastAsia="AngsanaUPC" w:hAnsi="Times New Roman"/>
                <w:bCs/>
                <w:sz w:val="18"/>
                <w:szCs w:val="18"/>
                <w:lang w:val="en-GB" w:eastAsia="lt-LT"/>
              </w:rPr>
              <w:t>32</w:t>
            </w:r>
            <w:r w:rsidR="009C735D" w:rsidRPr="002C08FA">
              <w:rPr>
                <w:rFonts w:ascii="Times New Roman" w:eastAsia="AngsanaUPC" w:hAnsi="Times New Roman"/>
                <w:bCs/>
                <w:sz w:val="18"/>
                <w:szCs w:val="18"/>
                <w:lang w:val="en-GB" w:eastAsia="lt-LT"/>
              </w:rPr>
              <w:t>.44</w:t>
            </w:r>
            <w:r w:rsidR="00322BE2" w:rsidRPr="002C08FA">
              <w:rPr>
                <w:rFonts w:ascii="Times New Roman" w:eastAsia="AngsanaUPC" w:hAnsi="Times New Roman"/>
                <w:bCs/>
                <w:sz w:val="18"/>
                <w:szCs w:val="18"/>
                <w:lang w:val="en-GB" w:eastAsia="lt-LT"/>
              </w:rPr>
              <w:t>3</w:t>
            </w:r>
            <w:r w:rsidR="009C735D" w:rsidRPr="002C08FA">
              <w:rPr>
                <w:rFonts w:ascii="Times New Roman" w:eastAsia="AngsanaUPC" w:hAnsi="Times New Roman"/>
                <w:bCs/>
                <w:sz w:val="18"/>
                <w:szCs w:val="18"/>
                <w:lang w:val="en-GB" w:eastAsia="lt-LT"/>
              </w:rPr>
              <w:t>.003</w:t>
            </w:r>
          </w:p>
        </w:tc>
      </w:tr>
      <w:tr w:rsidR="00322BE2" w:rsidRPr="00C76808" w:rsidTr="003D4200">
        <w:tc>
          <w:tcPr>
            <w:tcW w:w="851" w:type="dxa"/>
            <w:shd w:val="clear" w:color="auto" w:fill="auto"/>
            <w:vAlign w:val="center"/>
          </w:tcPr>
          <w:p w:rsidR="00322BE2" w:rsidRPr="008F339D" w:rsidRDefault="00322BE2" w:rsidP="00BB0960">
            <w:pPr>
              <w:widowControl w:val="0"/>
              <w:tabs>
                <w:tab w:val="left" w:pos="622"/>
              </w:tabs>
              <w:spacing w:after="0" w:line="240" w:lineRule="auto"/>
              <w:rPr>
                <w:rFonts w:ascii="Times New Roman" w:eastAsia="AngsanaUPC" w:hAnsi="Times New Roman"/>
                <w:bCs/>
                <w:sz w:val="18"/>
                <w:szCs w:val="18"/>
                <w:lang w:eastAsia="lt-LT"/>
              </w:rPr>
            </w:pPr>
            <w:r w:rsidRPr="008F339D">
              <w:rPr>
                <w:rFonts w:ascii="Times New Roman" w:eastAsia="AngsanaUPC" w:hAnsi="Times New Roman"/>
                <w:bCs/>
                <w:sz w:val="18"/>
                <w:szCs w:val="18"/>
                <w:lang w:eastAsia="lt-LT"/>
              </w:rPr>
              <w:t>SaF</w:t>
            </w:r>
          </w:p>
        </w:tc>
        <w:tc>
          <w:tcPr>
            <w:tcW w:w="709" w:type="dxa"/>
            <w:shd w:val="clear" w:color="auto" w:fill="auto"/>
            <w:vAlign w:val="center"/>
          </w:tcPr>
          <w:p w:rsidR="00322BE2" w:rsidRPr="00D54F90" w:rsidRDefault="003D4200" w:rsidP="00BB0960">
            <w:pPr>
              <w:widowControl w:val="0"/>
              <w:tabs>
                <w:tab w:val="left" w:pos="622"/>
              </w:tabs>
              <w:spacing w:after="0" w:line="240" w:lineRule="auto"/>
              <w:rPr>
                <w:rFonts w:ascii="Times New Roman" w:eastAsia="AngsanaUPC" w:hAnsi="Times New Roman"/>
                <w:bCs/>
                <w:sz w:val="18"/>
                <w:szCs w:val="18"/>
                <w:lang w:val="en-GB" w:eastAsia="lt-LT"/>
              </w:rPr>
            </w:pPr>
            <w:r w:rsidRPr="00D54F90">
              <w:rPr>
                <w:rFonts w:ascii="Times New Roman" w:eastAsia="AngsanaUPC" w:hAnsi="Times New Roman"/>
                <w:bCs/>
                <w:sz w:val="18"/>
                <w:szCs w:val="18"/>
                <w:lang w:val="en-GB" w:eastAsia="lt-LT"/>
              </w:rPr>
              <w:t>0</w:t>
            </w:r>
            <w:r w:rsidR="00322BE2" w:rsidRPr="00D54F90">
              <w:rPr>
                <w:rFonts w:ascii="Times New Roman" w:eastAsia="AngsanaUPC" w:hAnsi="Times New Roman"/>
                <w:bCs/>
                <w:sz w:val="18"/>
                <w:szCs w:val="18"/>
                <w:lang w:val="en-GB" w:eastAsia="lt-LT"/>
              </w:rPr>
              <w:t>1</w:t>
            </w:r>
          </w:p>
        </w:tc>
        <w:tc>
          <w:tcPr>
            <w:tcW w:w="6378" w:type="dxa"/>
            <w:shd w:val="clear" w:color="auto" w:fill="auto"/>
            <w:vAlign w:val="center"/>
          </w:tcPr>
          <w:p w:rsidR="00322BE2" w:rsidRPr="00D54F90" w:rsidRDefault="00322BE2" w:rsidP="00BB0960">
            <w:pPr>
              <w:widowControl w:val="0"/>
              <w:tabs>
                <w:tab w:val="left" w:pos="622"/>
              </w:tabs>
              <w:spacing w:after="0" w:line="240" w:lineRule="auto"/>
              <w:jc w:val="both"/>
              <w:rPr>
                <w:rFonts w:ascii="Times New Roman" w:hAnsi="Times New Roman"/>
                <w:bCs/>
                <w:iCs/>
                <w:sz w:val="18"/>
                <w:szCs w:val="18"/>
              </w:rPr>
            </w:pPr>
            <w:r w:rsidRPr="00D54F90">
              <w:rPr>
                <w:rFonts w:ascii="Times New Roman" w:hAnsi="Times New Roman"/>
                <w:bCs/>
                <w:iCs/>
                <w:sz w:val="18"/>
                <w:szCs w:val="18"/>
              </w:rPr>
              <w:t>Didelės miesto teritorijos (tankiai apgyvendintos, &gt; 50 000 gyventojų)</w:t>
            </w:r>
          </w:p>
        </w:tc>
        <w:tc>
          <w:tcPr>
            <w:tcW w:w="1808" w:type="dxa"/>
            <w:shd w:val="clear" w:color="auto" w:fill="auto"/>
            <w:vAlign w:val="center"/>
          </w:tcPr>
          <w:p w:rsidR="00322BE2" w:rsidRPr="002C08FA" w:rsidRDefault="00BC2F68" w:rsidP="007F34F1">
            <w:pPr>
              <w:shd w:val="clear" w:color="auto" w:fill="FFFFFF"/>
              <w:autoSpaceDE w:val="0"/>
              <w:autoSpaceDN w:val="0"/>
              <w:adjustRightInd w:val="0"/>
              <w:spacing w:after="0" w:line="240" w:lineRule="auto"/>
              <w:jc w:val="right"/>
              <w:rPr>
                <w:rFonts w:ascii="Times New Roman" w:eastAsia="Times New Roman" w:hAnsi="Times New Roman"/>
                <w:color w:val="000000"/>
                <w:sz w:val="18"/>
                <w:szCs w:val="18"/>
              </w:rPr>
            </w:pPr>
            <w:r w:rsidRPr="002C08FA">
              <w:rPr>
                <w:rFonts w:ascii="Times New Roman" w:eastAsia="Times New Roman" w:hAnsi="Times New Roman"/>
                <w:color w:val="000000"/>
                <w:sz w:val="18"/>
                <w:szCs w:val="18"/>
              </w:rPr>
              <w:t>350.0</w:t>
            </w:r>
            <w:r w:rsidR="009C735D" w:rsidRPr="002C08FA">
              <w:rPr>
                <w:rFonts w:ascii="Times New Roman" w:eastAsia="Times New Roman" w:hAnsi="Times New Roman"/>
                <w:color w:val="000000"/>
                <w:sz w:val="18"/>
                <w:szCs w:val="18"/>
              </w:rPr>
              <w:t>37.432</w:t>
            </w:r>
          </w:p>
        </w:tc>
      </w:tr>
      <w:tr w:rsidR="00322BE2" w:rsidRPr="00C76808" w:rsidTr="003D4200">
        <w:tc>
          <w:tcPr>
            <w:tcW w:w="851" w:type="dxa"/>
            <w:shd w:val="clear" w:color="auto" w:fill="auto"/>
            <w:vAlign w:val="center"/>
          </w:tcPr>
          <w:p w:rsidR="00322BE2" w:rsidRPr="008F339D" w:rsidRDefault="00322BE2" w:rsidP="00BB0960">
            <w:pPr>
              <w:widowControl w:val="0"/>
              <w:tabs>
                <w:tab w:val="left" w:pos="622"/>
              </w:tabs>
              <w:spacing w:after="0" w:line="240" w:lineRule="auto"/>
              <w:rPr>
                <w:rFonts w:ascii="Times New Roman" w:eastAsia="AngsanaUPC" w:hAnsi="Times New Roman"/>
                <w:bCs/>
                <w:sz w:val="18"/>
                <w:szCs w:val="18"/>
                <w:lang w:eastAsia="lt-LT"/>
              </w:rPr>
            </w:pPr>
            <w:r w:rsidRPr="008F339D">
              <w:rPr>
                <w:rFonts w:ascii="Times New Roman" w:eastAsia="AngsanaUPC" w:hAnsi="Times New Roman"/>
                <w:bCs/>
                <w:sz w:val="18"/>
                <w:szCs w:val="18"/>
                <w:lang w:eastAsia="lt-LT"/>
              </w:rPr>
              <w:t>ERPF</w:t>
            </w:r>
          </w:p>
        </w:tc>
        <w:tc>
          <w:tcPr>
            <w:tcW w:w="709" w:type="dxa"/>
            <w:shd w:val="clear" w:color="auto" w:fill="auto"/>
            <w:vAlign w:val="center"/>
          </w:tcPr>
          <w:p w:rsidR="00322BE2" w:rsidRPr="00D54F90" w:rsidRDefault="003D4200" w:rsidP="00BB0960">
            <w:pPr>
              <w:widowControl w:val="0"/>
              <w:tabs>
                <w:tab w:val="left" w:pos="622"/>
              </w:tabs>
              <w:spacing w:after="0" w:line="240" w:lineRule="auto"/>
              <w:rPr>
                <w:rFonts w:ascii="Times New Roman" w:eastAsia="AngsanaUPC" w:hAnsi="Times New Roman"/>
                <w:bCs/>
                <w:sz w:val="18"/>
                <w:szCs w:val="18"/>
                <w:lang w:val="en-GB" w:eastAsia="lt-LT"/>
              </w:rPr>
            </w:pPr>
            <w:r w:rsidRPr="00D54F90">
              <w:rPr>
                <w:rFonts w:ascii="Times New Roman" w:eastAsia="AngsanaUPC" w:hAnsi="Times New Roman"/>
                <w:bCs/>
                <w:sz w:val="18"/>
                <w:szCs w:val="18"/>
                <w:lang w:val="en-GB" w:eastAsia="lt-LT"/>
              </w:rPr>
              <w:t>0</w:t>
            </w:r>
            <w:r w:rsidR="00322BE2" w:rsidRPr="00D54F90">
              <w:rPr>
                <w:rFonts w:ascii="Times New Roman" w:eastAsia="AngsanaUPC" w:hAnsi="Times New Roman"/>
                <w:bCs/>
                <w:sz w:val="18"/>
                <w:szCs w:val="18"/>
                <w:lang w:val="en-GB" w:eastAsia="lt-LT"/>
              </w:rPr>
              <w:t>2</w:t>
            </w:r>
          </w:p>
        </w:tc>
        <w:tc>
          <w:tcPr>
            <w:tcW w:w="6378" w:type="dxa"/>
            <w:shd w:val="clear" w:color="auto" w:fill="auto"/>
            <w:vAlign w:val="center"/>
          </w:tcPr>
          <w:p w:rsidR="00322BE2" w:rsidRPr="00D54F90" w:rsidRDefault="00322BE2" w:rsidP="00BB0960">
            <w:pPr>
              <w:widowControl w:val="0"/>
              <w:tabs>
                <w:tab w:val="left" w:pos="622"/>
              </w:tabs>
              <w:spacing w:after="0" w:line="240" w:lineRule="auto"/>
              <w:jc w:val="both"/>
              <w:rPr>
                <w:rFonts w:ascii="Times New Roman" w:hAnsi="Times New Roman"/>
                <w:bCs/>
                <w:iCs/>
                <w:sz w:val="18"/>
                <w:szCs w:val="18"/>
              </w:rPr>
            </w:pPr>
            <w:r w:rsidRPr="00D54F90">
              <w:rPr>
                <w:rFonts w:ascii="Times New Roman" w:hAnsi="Times New Roman"/>
                <w:bCs/>
                <w:iCs/>
                <w:sz w:val="18"/>
                <w:szCs w:val="18"/>
              </w:rPr>
              <w:t>Mažos miesto teritorijos (vidutiniškai tankiai apgyvendintos, &gt; 5 000 gyventojų)</w:t>
            </w:r>
          </w:p>
        </w:tc>
        <w:tc>
          <w:tcPr>
            <w:tcW w:w="1808" w:type="dxa"/>
            <w:shd w:val="clear" w:color="auto" w:fill="auto"/>
            <w:vAlign w:val="center"/>
          </w:tcPr>
          <w:p w:rsidR="00322BE2" w:rsidRPr="002C08FA" w:rsidRDefault="009C735D" w:rsidP="001F5775">
            <w:pPr>
              <w:widowControl w:val="0"/>
              <w:tabs>
                <w:tab w:val="left" w:pos="622"/>
              </w:tabs>
              <w:spacing w:after="0" w:line="240" w:lineRule="auto"/>
              <w:jc w:val="right"/>
              <w:rPr>
                <w:rFonts w:ascii="Times New Roman" w:eastAsia="AngsanaUPC" w:hAnsi="Times New Roman"/>
                <w:bCs/>
                <w:sz w:val="18"/>
                <w:szCs w:val="18"/>
                <w:lang w:val="en-GB" w:eastAsia="lt-LT"/>
              </w:rPr>
            </w:pPr>
            <w:r w:rsidRPr="002C08FA">
              <w:rPr>
                <w:rFonts w:ascii="Times New Roman" w:eastAsia="AngsanaUPC" w:hAnsi="Times New Roman"/>
                <w:bCs/>
                <w:sz w:val="18"/>
                <w:szCs w:val="18"/>
                <w:lang w:eastAsia="lt-LT"/>
              </w:rPr>
              <w:t>25.193.896</w:t>
            </w:r>
          </w:p>
        </w:tc>
      </w:tr>
      <w:tr w:rsidR="009C735D" w:rsidRPr="00C76808" w:rsidTr="003D4200">
        <w:tc>
          <w:tcPr>
            <w:tcW w:w="851" w:type="dxa"/>
            <w:shd w:val="clear" w:color="auto" w:fill="auto"/>
            <w:vAlign w:val="center"/>
          </w:tcPr>
          <w:p w:rsidR="009C735D" w:rsidRPr="008F339D" w:rsidRDefault="009C735D" w:rsidP="007F34F3">
            <w:pPr>
              <w:widowControl w:val="0"/>
              <w:tabs>
                <w:tab w:val="left" w:pos="622"/>
              </w:tabs>
              <w:spacing w:after="0" w:line="240" w:lineRule="auto"/>
              <w:rPr>
                <w:rFonts w:ascii="Times New Roman" w:eastAsia="AngsanaUPC" w:hAnsi="Times New Roman"/>
                <w:bCs/>
                <w:sz w:val="18"/>
                <w:szCs w:val="18"/>
                <w:lang w:eastAsia="lt-LT"/>
              </w:rPr>
            </w:pPr>
            <w:r w:rsidRPr="008F339D">
              <w:rPr>
                <w:rFonts w:ascii="Times New Roman" w:eastAsia="AngsanaUPC" w:hAnsi="Times New Roman"/>
                <w:bCs/>
                <w:sz w:val="18"/>
                <w:szCs w:val="18"/>
                <w:lang w:eastAsia="lt-LT"/>
              </w:rPr>
              <w:t>SaF</w:t>
            </w:r>
          </w:p>
        </w:tc>
        <w:tc>
          <w:tcPr>
            <w:tcW w:w="709" w:type="dxa"/>
            <w:shd w:val="clear" w:color="auto" w:fill="auto"/>
            <w:vAlign w:val="center"/>
          </w:tcPr>
          <w:p w:rsidR="009C735D" w:rsidRPr="00D54F90" w:rsidRDefault="009C735D" w:rsidP="00BB0960">
            <w:pPr>
              <w:widowControl w:val="0"/>
              <w:tabs>
                <w:tab w:val="left" w:pos="622"/>
              </w:tabs>
              <w:spacing w:after="0" w:line="240" w:lineRule="auto"/>
              <w:rPr>
                <w:rFonts w:ascii="Times New Roman" w:eastAsia="AngsanaUPC" w:hAnsi="Times New Roman"/>
                <w:bCs/>
                <w:sz w:val="18"/>
                <w:szCs w:val="18"/>
                <w:lang w:val="en-GB" w:eastAsia="lt-LT"/>
              </w:rPr>
            </w:pPr>
            <w:r w:rsidRPr="00D54F90">
              <w:rPr>
                <w:rFonts w:ascii="Times New Roman" w:eastAsia="AngsanaUPC" w:hAnsi="Times New Roman"/>
                <w:bCs/>
                <w:sz w:val="18"/>
                <w:szCs w:val="18"/>
                <w:lang w:val="en-GB" w:eastAsia="lt-LT"/>
              </w:rPr>
              <w:t>02</w:t>
            </w:r>
          </w:p>
        </w:tc>
        <w:tc>
          <w:tcPr>
            <w:tcW w:w="6378" w:type="dxa"/>
            <w:shd w:val="clear" w:color="auto" w:fill="auto"/>
            <w:vAlign w:val="center"/>
          </w:tcPr>
          <w:p w:rsidR="009C735D" w:rsidRPr="00D54F90" w:rsidRDefault="009C735D" w:rsidP="00BB0960">
            <w:pPr>
              <w:widowControl w:val="0"/>
              <w:tabs>
                <w:tab w:val="left" w:pos="622"/>
              </w:tabs>
              <w:spacing w:after="0" w:line="240" w:lineRule="auto"/>
              <w:jc w:val="both"/>
              <w:rPr>
                <w:rFonts w:ascii="Times New Roman" w:hAnsi="Times New Roman"/>
                <w:bCs/>
                <w:iCs/>
                <w:sz w:val="18"/>
                <w:szCs w:val="18"/>
              </w:rPr>
            </w:pPr>
            <w:r w:rsidRPr="00D54F90">
              <w:rPr>
                <w:rFonts w:ascii="Times New Roman" w:hAnsi="Times New Roman"/>
                <w:bCs/>
                <w:iCs/>
                <w:sz w:val="18"/>
                <w:szCs w:val="18"/>
              </w:rPr>
              <w:t>Mažos miesto teritorijos (vidutiniškai tankiai apgyvendintos, &gt; 5 000 gyventojų)</w:t>
            </w:r>
          </w:p>
        </w:tc>
        <w:tc>
          <w:tcPr>
            <w:tcW w:w="1808" w:type="dxa"/>
            <w:shd w:val="clear" w:color="auto" w:fill="auto"/>
            <w:vAlign w:val="center"/>
          </w:tcPr>
          <w:p w:rsidR="009C735D" w:rsidRPr="002C08FA" w:rsidRDefault="009C735D" w:rsidP="001F5775">
            <w:pPr>
              <w:widowControl w:val="0"/>
              <w:tabs>
                <w:tab w:val="left" w:pos="622"/>
              </w:tabs>
              <w:spacing w:after="0" w:line="240" w:lineRule="auto"/>
              <w:jc w:val="right"/>
              <w:rPr>
                <w:rFonts w:ascii="Times New Roman" w:eastAsia="AngsanaUPC" w:hAnsi="Times New Roman"/>
                <w:bCs/>
                <w:sz w:val="18"/>
                <w:szCs w:val="18"/>
                <w:lang w:eastAsia="lt-LT"/>
              </w:rPr>
            </w:pPr>
            <w:r w:rsidRPr="002C08FA">
              <w:rPr>
                <w:rFonts w:ascii="Times New Roman" w:eastAsia="AngsanaUPC" w:hAnsi="Times New Roman"/>
                <w:bCs/>
                <w:sz w:val="18"/>
                <w:szCs w:val="18"/>
                <w:lang w:eastAsia="lt-LT"/>
              </w:rPr>
              <w:t>9.255.459</w:t>
            </w:r>
          </w:p>
        </w:tc>
      </w:tr>
      <w:tr w:rsidR="009C735D" w:rsidRPr="00C76808" w:rsidTr="003D4200">
        <w:tc>
          <w:tcPr>
            <w:tcW w:w="851" w:type="dxa"/>
            <w:shd w:val="clear" w:color="auto" w:fill="auto"/>
            <w:vAlign w:val="center"/>
          </w:tcPr>
          <w:p w:rsidR="009C735D" w:rsidRPr="008F339D" w:rsidRDefault="009C735D" w:rsidP="007F34F3">
            <w:pPr>
              <w:widowControl w:val="0"/>
              <w:tabs>
                <w:tab w:val="left" w:pos="622"/>
              </w:tabs>
              <w:spacing w:after="0" w:line="240" w:lineRule="auto"/>
              <w:rPr>
                <w:rFonts w:ascii="Times New Roman" w:eastAsia="AngsanaUPC" w:hAnsi="Times New Roman"/>
                <w:bCs/>
                <w:sz w:val="18"/>
                <w:szCs w:val="18"/>
                <w:lang w:eastAsia="lt-LT"/>
              </w:rPr>
            </w:pPr>
            <w:r w:rsidRPr="008F339D">
              <w:rPr>
                <w:rFonts w:ascii="Times New Roman" w:eastAsia="AngsanaUPC" w:hAnsi="Times New Roman"/>
                <w:bCs/>
                <w:sz w:val="18"/>
                <w:szCs w:val="18"/>
                <w:lang w:eastAsia="lt-LT"/>
              </w:rPr>
              <w:t>SaF</w:t>
            </w:r>
          </w:p>
        </w:tc>
        <w:tc>
          <w:tcPr>
            <w:tcW w:w="709" w:type="dxa"/>
            <w:shd w:val="clear" w:color="auto" w:fill="auto"/>
            <w:vAlign w:val="center"/>
          </w:tcPr>
          <w:p w:rsidR="009C735D" w:rsidRPr="00D54F90" w:rsidRDefault="009C735D" w:rsidP="007F34F3">
            <w:pPr>
              <w:widowControl w:val="0"/>
              <w:tabs>
                <w:tab w:val="left" w:pos="622"/>
              </w:tabs>
              <w:spacing w:after="0" w:line="240" w:lineRule="auto"/>
              <w:rPr>
                <w:rFonts w:ascii="Times New Roman" w:eastAsia="AngsanaUPC" w:hAnsi="Times New Roman"/>
                <w:bCs/>
                <w:sz w:val="18"/>
                <w:szCs w:val="18"/>
                <w:lang w:val="en-GB" w:eastAsia="lt-LT"/>
              </w:rPr>
            </w:pPr>
            <w:r w:rsidRPr="00D54F90">
              <w:rPr>
                <w:rFonts w:ascii="Times New Roman" w:eastAsia="AngsanaUPC" w:hAnsi="Times New Roman"/>
                <w:bCs/>
                <w:sz w:val="18"/>
                <w:szCs w:val="18"/>
                <w:lang w:val="en-GB" w:eastAsia="lt-LT"/>
              </w:rPr>
              <w:t>03</w:t>
            </w:r>
          </w:p>
        </w:tc>
        <w:tc>
          <w:tcPr>
            <w:tcW w:w="6378" w:type="dxa"/>
            <w:shd w:val="clear" w:color="auto" w:fill="auto"/>
            <w:vAlign w:val="center"/>
          </w:tcPr>
          <w:p w:rsidR="009C735D" w:rsidRPr="00D54F90" w:rsidRDefault="009C735D" w:rsidP="007F34F3">
            <w:pPr>
              <w:widowControl w:val="0"/>
              <w:tabs>
                <w:tab w:val="left" w:pos="622"/>
              </w:tabs>
              <w:spacing w:after="0" w:line="240" w:lineRule="auto"/>
              <w:jc w:val="both"/>
              <w:rPr>
                <w:rFonts w:ascii="Times New Roman" w:hAnsi="Times New Roman"/>
                <w:bCs/>
                <w:iCs/>
                <w:sz w:val="18"/>
                <w:szCs w:val="18"/>
              </w:rPr>
            </w:pPr>
            <w:r w:rsidRPr="00D54F90">
              <w:rPr>
                <w:rFonts w:ascii="Times New Roman" w:hAnsi="Times New Roman"/>
                <w:bCs/>
                <w:iCs/>
                <w:sz w:val="18"/>
                <w:szCs w:val="18"/>
              </w:rPr>
              <w:t>K</w:t>
            </w:r>
            <w:r w:rsidR="00BA7774" w:rsidRPr="00D54F90">
              <w:rPr>
                <w:rFonts w:ascii="Times New Roman" w:hAnsi="Times New Roman"/>
                <w:bCs/>
                <w:iCs/>
                <w:sz w:val="18"/>
                <w:szCs w:val="18"/>
              </w:rPr>
              <w:t>aimo teritorijos (re</w:t>
            </w:r>
            <w:r w:rsidRPr="00D54F90">
              <w:rPr>
                <w:rFonts w:ascii="Times New Roman" w:hAnsi="Times New Roman"/>
                <w:bCs/>
                <w:iCs/>
                <w:sz w:val="18"/>
                <w:szCs w:val="18"/>
              </w:rPr>
              <w:t>tai apgyvendintos)</w:t>
            </w:r>
          </w:p>
        </w:tc>
        <w:tc>
          <w:tcPr>
            <w:tcW w:w="1808" w:type="dxa"/>
            <w:shd w:val="clear" w:color="auto" w:fill="auto"/>
            <w:vAlign w:val="center"/>
          </w:tcPr>
          <w:p w:rsidR="009C735D" w:rsidRPr="002C08FA" w:rsidRDefault="00BA7774" w:rsidP="007F34F3">
            <w:pPr>
              <w:widowControl w:val="0"/>
              <w:tabs>
                <w:tab w:val="left" w:pos="622"/>
              </w:tabs>
              <w:spacing w:after="0" w:line="240" w:lineRule="auto"/>
              <w:jc w:val="right"/>
              <w:rPr>
                <w:rFonts w:ascii="Times New Roman" w:eastAsia="AngsanaUPC" w:hAnsi="Times New Roman"/>
                <w:bCs/>
                <w:sz w:val="18"/>
                <w:szCs w:val="18"/>
                <w:lang w:eastAsia="lt-LT"/>
              </w:rPr>
            </w:pPr>
            <w:r w:rsidRPr="002C08FA">
              <w:rPr>
                <w:rFonts w:ascii="Times New Roman" w:eastAsia="AngsanaUPC" w:hAnsi="Times New Roman"/>
                <w:bCs/>
                <w:sz w:val="18"/>
                <w:szCs w:val="18"/>
                <w:lang w:eastAsia="lt-LT"/>
              </w:rPr>
              <w:t>5.225.541</w:t>
            </w:r>
          </w:p>
        </w:tc>
      </w:tr>
      <w:tr w:rsidR="009C735D" w:rsidRPr="00C76808" w:rsidTr="003D4200">
        <w:tc>
          <w:tcPr>
            <w:tcW w:w="851" w:type="dxa"/>
            <w:shd w:val="clear" w:color="auto" w:fill="auto"/>
            <w:vAlign w:val="center"/>
          </w:tcPr>
          <w:p w:rsidR="009C735D" w:rsidRPr="008F339D" w:rsidRDefault="009C735D" w:rsidP="00BB0960">
            <w:pPr>
              <w:widowControl w:val="0"/>
              <w:tabs>
                <w:tab w:val="left" w:pos="622"/>
              </w:tabs>
              <w:spacing w:after="0" w:line="240" w:lineRule="auto"/>
              <w:rPr>
                <w:rFonts w:ascii="Times New Roman" w:eastAsia="AngsanaUPC" w:hAnsi="Times New Roman"/>
                <w:bCs/>
                <w:sz w:val="18"/>
                <w:szCs w:val="18"/>
                <w:lang w:eastAsia="lt-LT"/>
              </w:rPr>
            </w:pPr>
            <w:r w:rsidRPr="008F339D">
              <w:rPr>
                <w:rFonts w:ascii="Times New Roman" w:eastAsia="AngsanaUPC" w:hAnsi="Times New Roman"/>
                <w:bCs/>
                <w:sz w:val="18"/>
                <w:szCs w:val="18"/>
                <w:lang w:eastAsia="lt-LT"/>
              </w:rPr>
              <w:t>ERPF</w:t>
            </w:r>
          </w:p>
        </w:tc>
        <w:tc>
          <w:tcPr>
            <w:tcW w:w="709" w:type="dxa"/>
            <w:shd w:val="clear" w:color="auto" w:fill="auto"/>
            <w:vAlign w:val="center"/>
          </w:tcPr>
          <w:p w:rsidR="009C735D" w:rsidRPr="00D54F90" w:rsidRDefault="009C735D" w:rsidP="00BB0960">
            <w:pPr>
              <w:widowControl w:val="0"/>
              <w:tabs>
                <w:tab w:val="left" w:pos="622"/>
              </w:tabs>
              <w:spacing w:after="0" w:line="240" w:lineRule="auto"/>
              <w:rPr>
                <w:rFonts w:ascii="Times New Roman" w:eastAsia="AngsanaUPC" w:hAnsi="Times New Roman"/>
                <w:bCs/>
                <w:sz w:val="18"/>
                <w:szCs w:val="18"/>
                <w:lang w:val="en-GB" w:eastAsia="lt-LT"/>
              </w:rPr>
            </w:pPr>
            <w:r w:rsidRPr="00D54F90">
              <w:rPr>
                <w:rFonts w:ascii="Times New Roman" w:eastAsia="AngsanaUPC" w:hAnsi="Times New Roman"/>
                <w:bCs/>
                <w:sz w:val="18"/>
                <w:szCs w:val="18"/>
                <w:lang w:val="en-GB" w:eastAsia="lt-LT"/>
              </w:rPr>
              <w:t>07</w:t>
            </w:r>
          </w:p>
        </w:tc>
        <w:tc>
          <w:tcPr>
            <w:tcW w:w="6378" w:type="dxa"/>
            <w:shd w:val="clear" w:color="auto" w:fill="auto"/>
            <w:vAlign w:val="center"/>
          </w:tcPr>
          <w:p w:rsidR="009C735D" w:rsidRPr="00D54F90" w:rsidRDefault="009C735D" w:rsidP="00BB0960">
            <w:pPr>
              <w:widowControl w:val="0"/>
              <w:tabs>
                <w:tab w:val="left" w:pos="622"/>
              </w:tabs>
              <w:spacing w:after="0" w:line="240" w:lineRule="auto"/>
              <w:jc w:val="both"/>
              <w:rPr>
                <w:rFonts w:ascii="Times New Roman" w:hAnsi="Times New Roman"/>
                <w:bCs/>
                <w:iCs/>
                <w:sz w:val="18"/>
                <w:szCs w:val="18"/>
              </w:rPr>
            </w:pPr>
            <w:r w:rsidRPr="00D54F90">
              <w:rPr>
                <w:rFonts w:ascii="Times New Roman" w:hAnsi="Times New Roman"/>
                <w:bCs/>
                <w:iCs/>
                <w:sz w:val="18"/>
                <w:szCs w:val="18"/>
              </w:rPr>
              <w:t>Netaikoma</w:t>
            </w:r>
          </w:p>
        </w:tc>
        <w:tc>
          <w:tcPr>
            <w:tcW w:w="1808" w:type="dxa"/>
            <w:shd w:val="clear" w:color="auto" w:fill="auto"/>
            <w:vAlign w:val="center"/>
          </w:tcPr>
          <w:p w:rsidR="009C735D" w:rsidRPr="002C08FA" w:rsidRDefault="00BC2F68" w:rsidP="00BB0960">
            <w:pPr>
              <w:widowControl w:val="0"/>
              <w:tabs>
                <w:tab w:val="left" w:pos="622"/>
              </w:tabs>
              <w:spacing w:after="0" w:line="240" w:lineRule="auto"/>
              <w:jc w:val="right"/>
              <w:rPr>
                <w:rFonts w:ascii="Times New Roman" w:eastAsia="AngsanaUPC" w:hAnsi="Times New Roman"/>
                <w:bCs/>
                <w:sz w:val="18"/>
                <w:szCs w:val="18"/>
                <w:lang w:val="en-GB" w:eastAsia="lt-LT"/>
              </w:rPr>
            </w:pPr>
            <w:r w:rsidRPr="002C08FA">
              <w:rPr>
                <w:rFonts w:ascii="Times New Roman" w:eastAsia="AngsanaUPC" w:hAnsi="Times New Roman"/>
                <w:bCs/>
                <w:sz w:val="18"/>
                <w:szCs w:val="18"/>
                <w:lang w:val="en-GB" w:eastAsia="lt-LT"/>
              </w:rPr>
              <w:t>461</w:t>
            </w:r>
            <w:r w:rsidR="009C735D" w:rsidRPr="002C08FA">
              <w:rPr>
                <w:rFonts w:ascii="Times New Roman" w:eastAsia="AngsanaUPC" w:hAnsi="Times New Roman"/>
                <w:bCs/>
                <w:sz w:val="18"/>
                <w:szCs w:val="18"/>
                <w:lang w:val="en-GB" w:eastAsia="lt-LT"/>
              </w:rPr>
              <w:t>.</w:t>
            </w:r>
            <w:r w:rsidRPr="002C08FA">
              <w:rPr>
                <w:rFonts w:ascii="Times New Roman" w:eastAsia="AngsanaUPC" w:hAnsi="Times New Roman"/>
                <w:bCs/>
                <w:sz w:val="18"/>
                <w:szCs w:val="18"/>
                <w:lang w:val="en-GB" w:eastAsia="lt-LT"/>
              </w:rPr>
              <w:t>6</w:t>
            </w:r>
            <w:r w:rsidR="00BA7774" w:rsidRPr="002C08FA">
              <w:rPr>
                <w:rFonts w:ascii="Times New Roman" w:eastAsia="AngsanaUPC" w:hAnsi="Times New Roman"/>
                <w:bCs/>
                <w:sz w:val="18"/>
                <w:szCs w:val="18"/>
                <w:lang w:val="en-GB" w:eastAsia="lt-LT"/>
              </w:rPr>
              <w:t>64</w:t>
            </w:r>
            <w:r w:rsidR="009C735D" w:rsidRPr="002C08FA">
              <w:rPr>
                <w:rFonts w:ascii="Times New Roman" w:eastAsia="AngsanaUPC" w:hAnsi="Times New Roman"/>
                <w:bCs/>
                <w:sz w:val="18"/>
                <w:szCs w:val="18"/>
                <w:lang w:val="en-GB" w:eastAsia="lt-LT"/>
              </w:rPr>
              <w:t>.</w:t>
            </w:r>
            <w:r w:rsidR="00BA7774" w:rsidRPr="002C08FA">
              <w:rPr>
                <w:rFonts w:ascii="Times New Roman" w:eastAsia="AngsanaUPC" w:hAnsi="Times New Roman"/>
                <w:bCs/>
                <w:sz w:val="18"/>
                <w:szCs w:val="18"/>
                <w:lang w:val="en-GB" w:eastAsia="lt-LT"/>
              </w:rPr>
              <w:t>798</w:t>
            </w:r>
          </w:p>
        </w:tc>
      </w:tr>
    </w:tbl>
    <w:p w:rsidR="008D1CA8" w:rsidRPr="002447B3" w:rsidRDefault="008D1CA8" w:rsidP="008D1CA8">
      <w:pPr>
        <w:widowControl w:val="0"/>
        <w:tabs>
          <w:tab w:val="left" w:pos="622"/>
        </w:tabs>
        <w:spacing w:after="0" w:line="240" w:lineRule="auto"/>
        <w:jc w:val="both"/>
        <w:rPr>
          <w:rFonts w:ascii="Times New Roman" w:hAnsi="Times New Roman"/>
          <w:iCs/>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9"/>
        <w:gridCol w:w="6378"/>
        <w:gridCol w:w="1808"/>
      </w:tblGrid>
      <w:tr w:rsidR="008D1CA8" w:rsidRPr="002447B3" w:rsidTr="001F5775">
        <w:trPr>
          <w:tblHeader/>
        </w:trPr>
        <w:tc>
          <w:tcPr>
            <w:tcW w:w="9746" w:type="dxa"/>
            <w:gridSpan w:val="4"/>
            <w:shd w:val="clear" w:color="auto" w:fill="EEECE1"/>
          </w:tcPr>
          <w:p w:rsidR="008D1CA8" w:rsidRPr="002447B3" w:rsidRDefault="008D1CA8" w:rsidP="00BB0960">
            <w:pPr>
              <w:widowControl w:val="0"/>
              <w:tabs>
                <w:tab w:val="left" w:pos="622"/>
              </w:tabs>
              <w:spacing w:after="0" w:line="240" w:lineRule="auto"/>
              <w:jc w:val="both"/>
              <w:rPr>
                <w:rFonts w:ascii="Times New Roman" w:hAnsi="Times New Roman"/>
                <w:i/>
                <w:iCs/>
                <w:sz w:val="18"/>
                <w:szCs w:val="18"/>
              </w:rPr>
            </w:pPr>
            <w:r w:rsidRPr="002447B3">
              <w:rPr>
                <w:rFonts w:ascii="Times New Roman" w:hAnsi="Times New Roman"/>
                <w:b/>
                <w:bCs/>
                <w:i/>
                <w:iCs/>
                <w:sz w:val="18"/>
                <w:szCs w:val="18"/>
              </w:rPr>
              <w:t>Teritorinės paramos paskirstymo priemonės</w:t>
            </w:r>
          </w:p>
        </w:tc>
      </w:tr>
      <w:tr w:rsidR="00322BE2" w:rsidRPr="002447B3" w:rsidTr="001F5775">
        <w:trPr>
          <w:tblHeader/>
        </w:trPr>
        <w:tc>
          <w:tcPr>
            <w:tcW w:w="851" w:type="dxa"/>
            <w:shd w:val="clear" w:color="auto" w:fill="EEECE1"/>
            <w:vAlign w:val="center"/>
          </w:tcPr>
          <w:p w:rsidR="00322BE2" w:rsidRPr="002447B3" w:rsidRDefault="00322BE2" w:rsidP="00BB0960">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Fondas</w:t>
            </w:r>
          </w:p>
        </w:tc>
        <w:tc>
          <w:tcPr>
            <w:tcW w:w="709" w:type="dxa"/>
            <w:shd w:val="clear" w:color="auto" w:fill="EEECE1"/>
            <w:vAlign w:val="center"/>
          </w:tcPr>
          <w:p w:rsidR="00322BE2" w:rsidRPr="002447B3" w:rsidRDefault="00322BE2" w:rsidP="00BB0960">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Kodas</w:t>
            </w:r>
          </w:p>
        </w:tc>
        <w:tc>
          <w:tcPr>
            <w:tcW w:w="6378" w:type="dxa"/>
            <w:shd w:val="clear" w:color="auto" w:fill="EEECE1"/>
            <w:vAlign w:val="center"/>
          </w:tcPr>
          <w:p w:rsidR="00322BE2" w:rsidRPr="002447B3" w:rsidRDefault="00322BE2" w:rsidP="00BB0960">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Pavadinimas</w:t>
            </w:r>
          </w:p>
        </w:tc>
        <w:tc>
          <w:tcPr>
            <w:tcW w:w="1808" w:type="dxa"/>
            <w:shd w:val="clear" w:color="auto" w:fill="EEECE1"/>
            <w:vAlign w:val="center"/>
          </w:tcPr>
          <w:p w:rsidR="00322BE2" w:rsidRPr="002447B3" w:rsidRDefault="00322BE2" w:rsidP="00BB0960">
            <w:pPr>
              <w:widowControl w:val="0"/>
              <w:tabs>
                <w:tab w:val="left" w:pos="622"/>
              </w:tabs>
              <w:spacing w:after="0" w:line="240" w:lineRule="auto"/>
              <w:jc w:val="center"/>
              <w:rPr>
                <w:rFonts w:ascii="Times New Roman" w:hAnsi="Times New Roman"/>
                <w:b/>
                <w:bCs/>
                <w:iCs/>
                <w:sz w:val="18"/>
                <w:szCs w:val="18"/>
              </w:rPr>
            </w:pPr>
            <w:r w:rsidRPr="002447B3">
              <w:rPr>
                <w:rFonts w:ascii="Times New Roman" w:hAnsi="Times New Roman"/>
                <w:b/>
                <w:bCs/>
                <w:iCs/>
                <w:sz w:val="18"/>
                <w:szCs w:val="18"/>
              </w:rPr>
              <w:t>Finansinė proporcija (eurais)</w:t>
            </w:r>
          </w:p>
        </w:tc>
      </w:tr>
      <w:tr w:rsidR="00322BE2" w:rsidRPr="00C76808" w:rsidTr="003D4200">
        <w:tc>
          <w:tcPr>
            <w:tcW w:w="851" w:type="dxa"/>
            <w:shd w:val="clear" w:color="auto" w:fill="auto"/>
            <w:vAlign w:val="center"/>
          </w:tcPr>
          <w:p w:rsidR="00322BE2" w:rsidRPr="00C76808" w:rsidRDefault="001F5775" w:rsidP="00BB0960">
            <w:pPr>
              <w:widowControl w:val="0"/>
              <w:tabs>
                <w:tab w:val="left" w:pos="622"/>
              </w:tabs>
              <w:spacing w:after="0" w:line="240" w:lineRule="auto"/>
              <w:rPr>
                <w:rFonts w:ascii="Times New Roman" w:eastAsia="AngsanaUPC" w:hAnsi="Times New Roman"/>
                <w:bCs/>
                <w:sz w:val="18"/>
                <w:szCs w:val="18"/>
                <w:lang w:val="en-GB" w:eastAsia="lt-LT"/>
              </w:rPr>
            </w:pPr>
            <w:r w:rsidRPr="00C76808">
              <w:rPr>
                <w:rFonts w:ascii="Times New Roman" w:eastAsia="AngsanaUPC" w:hAnsi="Times New Roman"/>
                <w:bCs/>
                <w:sz w:val="18"/>
                <w:szCs w:val="18"/>
                <w:lang w:val="en-GB" w:eastAsia="lt-LT"/>
              </w:rPr>
              <w:t>ERPF</w:t>
            </w:r>
          </w:p>
        </w:tc>
        <w:tc>
          <w:tcPr>
            <w:tcW w:w="709" w:type="dxa"/>
            <w:shd w:val="clear" w:color="auto" w:fill="auto"/>
            <w:vAlign w:val="center"/>
          </w:tcPr>
          <w:p w:rsidR="00322BE2" w:rsidRPr="00C76808" w:rsidRDefault="003D4200" w:rsidP="00BB0960">
            <w:pPr>
              <w:widowControl w:val="0"/>
              <w:tabs>
                <w:tab w:val="left" w:pos="622"/>
              </w:tabs>
              <w:spacing w:after="0" w:line="240" w:lineRule="auto"/>
              <w:rPr>
                <w:rFonts w:ascii="Times New Roman" w:eastAsia="AngsanaUPC" w:hAnsi="Times New Roman"/>
                <w:bCs/>
                <w:sz w:val="18"/>
                <w:szCs w:val="18"/>
                <w:lang w:val="en-GB" w:eastAsia="lt-LT"/>
              </w:rPr>
            </w:pPr>
            <w:r w:rsidRPr="00C76808">
              <w:rPr>
                <w:rFonts w:ascii="Times New Roman" w:eastAsia="AngsanaUPC" w:hAnsi="Times New Roman"/>
                <w:bCs/>
                <w:sz w:val="18"/>
                <w:szCs w:val="18"/>
                <w:lang w:val="en-GB" w:eastAsia="lt-LT"/>
              </w:rPr>
              <w:t>0</w:t>
            </w:r>
            <w:r w:rsidR="00322BE2" w:rsidRPr="00C76808">
              <w:rPr>
                <w:rFonts w:ascii="Times New Roman" w:eastAsia="AngsanaUPC" w:hAnsi="Times New Roman"/>
                <w:bCs/>
                <w:sz w:val="18"/>
                <w:szCs w:val="18"/>
                <w:lang w:val="en-GB" w:eastAsia="lt-LT"/>
              </w:rPr>
              <w:t>1</w:t>
            </w:r>
          </w:p>
        </w:tc>
        <w:tc>
          <w:tcPr>
            <w:tcW w:w="6378" w:type="dxa"/>
            <w:shd w:val="clear" w:color="auto" w:fill="auto"/>
            <w:vAlign w:val="center"/>
          </w:tcPr>
          <w:p w:rsidR="00322BE2" w:rsidRPr="00C76808" w:rsidRDefault="00322BE2" w:rsidP="00BB0960">
            <w:pPr>
              <w:widowControl w:val="0"/>
              <w:tabs>
                <w:tab w:val="left" w:pos="622"/>
              </w:tabs>
              <w:spacing w:after="0" w:line="240" w:lineRule="auto"/>
              <w:jc w:val="both"/>
              <w:rPr>
                <w:rFonts w:ascii="Times New Roman" w:hAnsi="Times New Roman"/>
                <w:bCs/>
                <w:iCs/>
                <w:sz w:val="18"/>
                <w:szCs w:val="18"/>
              </w:rPr>
            </w:pPr>
            <w:r w:rsidRPr="00C76808">
              <w:rPr>
                <w:rFonts w:ascii="Times New Roman" w:hAnsi="Times New Roman"/>
                <w:bCs/>
                <w:iCs/>
                <w:sz w:val="18"/>
                <w:szCs w:val="18"/>
              </w:rPr>
              <w:t>Integruotosios teritorinės investicijos: miesto teritorijos</w:t>
            </w:r>
          </w:p>
        </w:tc>
        <w:tc>
          <w:tcPr>
            <w:tcW w:w="1808" w:type="dxa"/>
            <w:shd w:val="clear" w:color="auto" w:fill="auto"/>
            <w:vAlign w:val="center"/>
          </w:tcPr>
          <w:p w:rsidR="00322BE2" w:rsidRPr="002C08FA" w:rsidRDefault="00BC2F68" w:rsidP="00BB0960">
            <w:pPr>
              <w:widowControl w:val="0"/>
              <w:tabs>
                <w:tab w:val="left" w:pos="622"/>
              </w:tabs>
              <w:spacing w:after="0" w:line="240" w:lineRule="auto"/>
              <w:jc w:val="right"/>
              <w:rPr>
                <w:rFonts w:ascii="Times New Roman" w:eastAsia="AngsanaUPC" w:hAnsi="Times New Roman"/>
                <w:bCs/>
                <w:sz w:val="18"/>
                <w:szCs w:val="18"/>
                <w:lang w:val="en-GB" w:eastAsia="lt-LT"/>
              </w:rPr>
            </w:pPr>
            <w:r w:rsidRPr="002C08FA">
              <w:rPr>
                <w:rFonts w:ascii="Times New Roman" w:eastAsia="AngsanaUPC" w:hAnsi="Times New Roman"/>
                <w:bCs/>
                <w:sz w:val="18"/>
                <w:szCs w:val="18"/>
                <w:lang w:val="en-GB" w:eastAsia="lt-LT"/>
              </w:rPr>
              <w:t>9</w:t>
            </w:r>
            <w:r w:rsidR="00C76808" w:rsidRPr="002C08FA">
              <w:rPr>
                <w:rFonts w:ascii="Times New Roman" w:eastAsia="AngsanaUPC" w:hAnsi="Times New Roman"/>
                <w:bCs/>
                <w:sz w:val="18"/>
                <w:szCs w:val="18"/>
                <w:lang w:val="en-GB" w:eastAsia="lt-LT"/>
              </w:rPr>
              <w:t>.</w:t>
            </w:r>
            <w:r w:rsidR="001F5775" w:rsidRPr="002C08FA">
              <w:rPr>
                <w:rFonts w:ascii="Times New Roman" w:eastAsia="AngsanaUPC" w:hAnsi="Times New Roman"/>
                <w:bCs/>
                <w:sz w:val="18"/>
                <w:szCs w:val="18"/>
                <w:lang w:val="en-GB" w:eastAsia="lt-LT"/>
              </w:rPr>
              <w:t>094</w:t>
            </w:r>
            <w:r w:rsidR="00C76808" w:rsidRPr="002C08FA">
              <w:rPr>
                <w:rFonts w:ascii="Times New Roman" w:eastAsia="AngsanaUPC" w:hAnsi="Times New Roman"/>
                <w:bCs/>
                <w:sz w:val="18"/>
                <w:szCs w:val="18"/>
                <w:lang w:val="en-GB" w:eastAsia="lt-LT"/>
              </w:rPr>
              <w:t>.</w:t>
            </w:r>
            <w:r w:rsidR="001F5775" w:rsidRPr="002C08FA">
              <w:rPr>
                <w:rFonts w:ascii="Times New Roman" w:eastAsia="AngsanaUPC" w:hAnsi="Times New Roman"/>
                <w:bCs/>
                <w:sz w:val="18"/>
                <w:szCs w:val="18"/>
                <w:lang w:val="en-GB" w:eastAsia="lt-LT"/>
              </w:rPr>
              <w:t>537</w:t>
            </w:r>
          </w:p>
        </w:tc>
      </w:tr>
      <w:tr w:rsidR="001F5775" w:rsidRPr="00C76808" w:rsidTr="00BE2E68">
        <w:tc>
          <w:tcPr>
            <w:tcW w:w="851" w:type="dxa"/>
            <w:shd w:val="clear" w:color="auto" w:fill="auto"/>
          </w:tcPr>
          <w:p w:rsidR="001F5775" w:rsidRPr="00C76808" w:rsidRDefault="001F5775" w:rsidP="001F5775">
            <w:pPr>
              <w:spacing w:after="0"/>
              <w:rPr>
                <w:rFonts w:ascii="Times New Roman" w:hAnsi="Times New Roman"/>
                <w:sz w:val="18"/>
                <w:szCs w:val="18"/>
              </w:rPr>
            </w:pPr>
            <w:r w:rsidRPr="00C76808">
              <w:rPr>
                <w:rFonts w:ascii="Times New Roman" w:hAnsi="Times New Roman"/>
                <w:sz w:val="18"/>
                <w:szCs w:val="18"/>
              </w:rPr>
              <w:t>ERPF</w:t>
            </w:r>
          </w:p>
        </w:tc>
        <w:tc>
          <w:tcPr>
            <w:tcW w:w="709" w:type="dxa"/>
            <w:shd w:val="clear" w:color="auto" w:fill="auto"/>
          </w:tcPr>
          <w:p w:rsidR="001F5775" w:rsidRPr="00C76808" w:rsidRDefault="001F5775" w:rsidP="001F5775">
            <w:pPr>
              <w:spacing w:after="0"/>
              <w:rPr>
                <w:rFonts w:ascii="Times New Roman" w:hAnsi="Times New Roman"/>
                <w:sz w:val="18"/>
                <w:szCs w:val="18"/>
              </w:rPr>
            </w:pPr>
            <w:r w:rsidRPr="00C76808">
              <w:rPr>
                <w:rFonts w:ascii="Times New Roman" w:hAnsi="Times New Roman"/>
                <w:sz w:val="18"/>
                <w:szCs w:val="18"/>
              </w:rPr>
              <w:t>03</w:t>
            </w:r>
          </w:p>
        </w:tc>
        <w:tc>
          <w:tcPr>
            <w:tcW w:w="6378" w:type="dxa"/>
            <w:shd w:val="clear" w:color="auto" w:fill="auto"/>
          </w:tcPr>
          <w:p w:rsidR="001F5775" w:rsidRPr="00C76808" w:rsidRDefault="001F5775" w:rsidP="001F5775">
            <w:pPr>
              <w:spacing w:after="0"/>
              <w:rPr>
                <w:rFonts w:ascii="Times New Roman" w:hAnsi="Times New Roman"/>
                <w:sz w:val="18"/>
                <w:szCs w:val="18"/>
              </w:rPr>
            </w:pPr>
            <w:r w:rsidRPr="00C76808">
              <w:rPr>
                <w:rFonts w:ascii="Times New Roman" w:hAnsi="Times New Roman"/>
                <w:sz w:val="18"/>
                <w:szCs w:val="18"/>
              </w:rPr>
              <w:t>Integruotosios teritorinės investicijos: kita</w:t>
            </w:r>
          </w:p>
        </w:tc>
        <w:tc>
          <w:tcPr>
            <w:tcW w:w="1808" w:type="dxa"/>
            <w:shd w:val="clear" w:color="auto" w:fill="auto"/>
          </w:tcPr>
          <w:p w:rsidR="001F5775" w:rsidRPr="002C08FA" w:rsidRDefault="00BC2F68" w:rsidP="001F5775">
            <w:pPr>
              <w:spacing w:after="0"/>
              <w:jc w:val="right"/>
              <w:rPr>
                <w:rFonts w:ascii="Times New Roman" w:hAnsi="Times New Roman"/>
                <w:sz w:val="18"/>
                <w:szCs w:val="18"/>
              </w:rPr>
            </w:pPr>
            <w:r w:rsidRPr="002C08FA">
              <w:rPr>
                <w:rFonts w:ascii="Times New Roman" w:hAnsi="Times New Roman"/>
                <w:sz w:val="18"/>
                <w:szCs w:val="18"/>
              </w:rPr>
              <w:t>12</w:t>
            </w:r>
            <w:r w:rsidR="00C76808" w:rsidRPr="002C08FA">
              <w:rPr>
                <w:rFonts w:ascii="Times New Roman" w:hAnsi="Times New Roman"/>
                <w:sz w:val="18"/>
                <w:szCs w:val="18"/>
              </w:rPr>
              <w:t>.</w:t>
            </w:r>
            <w:r w:rsidR="001F5775" w:rsidRPr="002C08FA">
              <w:rPr>
                <w:rFonts w:ascii="Times New Roman" w:hAnsi="Times New Roman"/>
                <w:sz w:val="18"/>
                <w:szCs w:val="18"/>
              </w:rPr>
              <w:t>981</w:t>
            </w:r>
            <w:r w:rsidR="00C76808" w:rsidRPr="002C08FA">
              <w:rPr>
                <w:rFonts w:ascii="Times New Roman" w:hAnsi="Times New Roman"/>
                <w:sz w:val="18"/>
                <w:szCs w:val="18"/>
              </w:rPr>
              <w:t>.</w:t>
            </w:r>
            <w:r w:rsidR="001F5775" w:rsidRPr="002C08FA">
              <w:rPr>
                <w:rFonts w:ascii="Times New Roman" w:hAnsi="Times New Roman"/>
                <w:sz w:val="18"/>
                <w:szCs w:val="18"/>
              </w:rPr>
              <w:t>212</w:t>
            </w:r>
          </w:p>
        </w:tc>
      </w:tr>
      <w:tr w:rsidR="001F5775" w:rsidRPr="00C76808" w:rsidTr="00BE2E68">
        <w:tc>
          <w:tcPr>
            <w:tcW w:w="851" w:type="dxa"/>
            <w:shd w:val="clear" w:color="auto" w:fill="auto"/>
          </w:tcPr>
          <w:p w:rsidR="001F5775" w:rsidRPr="00C76808" w:rsidRDefault="001F5775" w:rsidP="001F5775">
            <w:pPr>
              <w:spacing w:after="0"/>
              <w:rPr>
                <w:rFonts w:ascii="Times New Roman" w:hAnsi="Times New Roman"/>
                <w:sz w:val="18"/>
                <w:szCs w:val="18"/>
              </w:rPr>
            </w:pPr>
            <w:r w:rsidRPr="00C76808">
              <w:rPr>
                <w:rFonts w:ascii="Times New Roman" w:hAnsi="Times New Roman"/>
                <w:sz w:val="18"/>
                <w:szCs w:val="18"/>
              </w:rPr>
              <w:lastRenderedPageBreak/>
              <w:t>SaF</w:t>
            </w:r>
          </w:p>
        </w:tc>
        <w:tc>
          <w:tcPr>
            <w:tcW w:w="709" w:type="dxa"/>
            <w:shd w:val="clear" w:color="auto" w:fill="auto"/>
          </w:tcPr>
          <w:p w:rsidR="001F5775" w:rsidRPr="00C76808" w:rsidRDefault="001F5775" w:rsidP="001F5775">
            <w:pPr>
              <w:spacing w:after="0"/>
              <w:rPr>
                <w:rFonts w:ascii="Times New Roman" w:hAnsi="Times New Roman"/>
                <w:sz w:val="18"/>
                <w:szCs w:val="18"/>
              </w:rPr>
            </w:pPr>
            <w:r w:rsidRPr="00C76808">
              <w:rPr>
                <w:rFonts w:ascii="Times New Roman" w:hAnsi="Times New Roman"/>
                <w:sz w:val="18"/>
                <w:szCs w:val="18"/>
              </w:rPr>
              <w:t>03</w:t>
            </w:r>
          </w:p>
        </w:tc>
        <w:tc>
          <w:tcPr>
            <w:tcW w:w="6378" w:type="dxa"/>
            <w:shd w:val="clear" w:color="auto" w:fill="auto"/>
          </w:tcPr>
          <w:p w:rsidR="001F5775" w:rsidRPr="00C76808" w:rsidRDefault="001F5775" w:rsidP="001F5775">
            <w:pPr>
              <w:spacing w:after="0"/>
              <w:rPr>
                <w:rFonts w:ascii="Times New Roman" w:hAnsi="Times New Roman"/>
                <w:sz w:val="18"/>
                <w:szCs w:val="18"/>
              </w:rPr>
            </w:pPr>
            <w:r w:rsidRPr="00C76808">
              <w:rPr>
                <w:rFonts w:ascii="Times New Roman" w:hAnsi="Times New Roman"/>
                <w:sz w:val="18"/>
                <w:szCs w:val="18"/>
              </w:rPr>
              <w:t>Integruotosios teritorinės investicijos: kita</w:t>
            </w:r>
          </w:p>
        </w:tc>
        <w:tc>
          <w:tcPr>
            <w:tcW w:w="1808" w:type="dxa"/>
            <w:shd w:val="clear" w:color="auto" w:fill="auto"/>
          </w:tcPr>
          <w:p w:rsidR="001F5775" w:rsidRPr="002C08FA" w:rsidRDefault="001F5775" w:rsidP="001F5775">
            <w:pPr>
              <w:spacing w:after="0"/>
              <w:jc w:val="right"/>
              <w:rPr>
                <w:rFonts w:ascii="Times New Roman" w:hAnsi="Times New Roman"/>
                <w:sz w:val="18"/>
                <w:szCs w:val="18"/>
              </w:rPr>
            </w:pPr>
            <w:r w:rsidRPr="002C08FA">
              <w:rPr>
                <w:rFonts w:ascii="Times New Roman" w:hAnsi="Times New Roman"/>
                <w:sz w:val="18"/>
                <w:szCs w:val="18"/>
              </w:rPr>
              <w:t>25</w:t>
            </w:r>
            <w:r w:rsidR="00C76808" w:rsidRPr="002C08FA">
              <w:rPr>
                <w:rFonts w:ascii="Times New Roman" w:hAnsi="Times New Roman"/>
                <w:sz w:val="18"/>
                <w:szCs w:val="18"/>
              </w:rPr>
              <w:t>.</w:t>
            </w:r>
            <w:r w:rsidRPr="002C08FA">
              <w:rPr>
                <w:rFonts w:ascii="Times New Roman" w:hAnsi="Times New Roman"/>
                <w:sz w:val="18"/>
                <w:szCs w:val="18"/>
              </w:rPr>
              <w:t>304</w:t>
            </w:r>
            <w:r w:rsidR="00C76808" w:rsidRPr="002C08FA">
              <w:rPr>
                <w:rFonts w:ascii="Times New Roman" w:hAnsi="Times New Roman"/>
                <w:sz w:val="18"/>
                <w:szCs w:val="18"/>
              </w:rPr>
              <w:t>.</w:t>
            </w:r>
            <w:r w:rsidRPr="002C08FA">
              <w:rPr>
                <w:rFonts w:ascii="Times New Roman" w:hAnsi="Times New Roman"/>
                <w:sz w:val="18"/>
                <w:szCs w:val="18"/>
              </w:rPr>
              <w:t>225</w:t>
            </w:r>
          </w:p>
        </w:tc>
      </w:tr>
      <w:tr w:rsidR="00322BE2" w:rsidRPr="00C76808" w:rsidTr="003D4200">
        <w:tc>
          <w:tcPr>
            <w:tcW w:w="851" w:type="dxa"/>
            <w:shd w:val="clear" w:color="auto" w:fill="auto"/>
            <w:vAlign w:val="center"/>
          </w:tcPr>
          <w:p w:rsidR="00322BE2" w:rsidRPr="00C76808" w:rsidRDefault="00322BE2" w:rsidP="00BB0960">
            <w:pPr>
              <w:widowControl w:val="0"/>
              <w:tabs>
                <w:tab w:val="left" w:pos="622"/>
              </w:tabs>
              <w:spacing w:after="0" w:line="240" w:lineRule="auto"/>
              <w:rPr>
                <w:rFonts w:ascii="Times New Roman" w:eastAsia="AngsanaUPC" w:hAnsi="Times New Roman"/>
                <w:bCs/>
                <w:sz w:val="18"/>
                <w:szCs w:val="18"/>
                <w:lang w:val="en-GB" w:eastAsia="lt-LT"/>
              </w:rPr>
            </w:pPr>
            <w:r w:rsidRPr="00C76808">
              <w:rPr>
                <w:rFonts w:ascii="Times New Roman" w:eastAsia="AngsanaUPC" w:hAnsi="Times New Roman"/>
                <w:bCs/>
                <w:sz w:val="18"/>
                <w:szCs w:val="18"/>
                <w:lang w:val="en-GB" w:eastAsia="lt-LT"/>
              </w:rPr>
              <w:t>ERPF</w:t>
            </w:r>
          </w:p>
        </w:tc>
        <w:tc>
          <w:tcPr>
            <w:tcW w:w="709" w:type="dxa"/>
            <w:shd w:val="clear" w:color="auto" w:fill="auto"/>
            <w:vAlign w:val="center"/>
          </w:tcPr>
          <w:p w:rsidR="00322BE2" w:rsidRPr="00C76808" w:rsidRDefault="003D4200" w:rsidP="00BB0960">
            <w:pPr>
              <w:widowControl w:val="0"/>
              <w:tabs>
                <w:tab w:val="left" w:pos="622"/>
              </w:tabs>
              <w:spacing w:after="0" w:line="240" w:lineRule="auto"/>
              <w:rPr>
                <w:rFonts w:ascii="Times New Roman" w:eastAsia="AngsanaUPC" w:hAnsi="Times New Roman"/>
                <w:bCs/>
                <w:sz w:val="18"/>
                <w:szCs w:val="18"/>
                <w:lang w:val="en-GB" w:eastAsia="lt-LT"/>
              </w:rPr>
            </w:pPr>
            <w:r w:rsidRPr="00C76808">
              <w:rPr>
                <w:rFonts w:ascii="Times New Roman" w:eastAsia="AngsanaUPC" w:hAnsi="Times New Roman"/>
                <w:bCs/>
                <w:sz w:val="18"/>
                <w:szCs w:val="18"/>
                <w:lang w:val="en-GB" w:eastAsia="lt-LT"/>
              </w:rPr>
              <w:t>0</w:t>
            </w:r>
            <w:r w:rsidR="00322BE2" w:rsidRPr="00C76808">
              <w:rPr>
                <w:rFonts w:ascii="Times New Roman" w:eastAsia="AngsanaUPC" w:hAnsi="Times New Roman"/>
                <w:bCs/>
                <w:sz w:val="18"/>
                <w:szCs w:val="18"/>
                <w:lang w:val="en-GB" w:eastAsia="lt-LT"/>
              </w:rPr>
              <w:t>7</w:t>
            </w:r>
          </w:p>
        </w:tc>
        <w:tc>
          <w:tcPr>
            <w:tcW w:w="6378" w:type="dxa"/>
            <w:shd w:val="clear" w:color="auto" w:fill="auto"/>
            <w:vAlign w:val="center"/>
          </w:tcPr>
          <w:p w:rsidR="00322BE2" w:rsidRPr="00C76808" w:rsidRDefault="00322BE2" w:rsidP="00BB0960">
            <w:pPr>
              <w:widowControl w:val="0"/>
              <w:tabs>
                <w:tab w:val="left" w:pos="622"/>
              </w:tabs>
              <w:spacing w:after="0" w:line="240" w:lineRule="auto"/>
              <w:jc w:val="both"/>
              <w:rPr>
                <w:rFonts w:ascii="Times New Roman" w:hAnsi="Times New Roman"/>
                <w:bCs/>
                <w:iCs/>
                <w:sz w:val="18"/>
                <w:szCs w:val="18"/>
              </w:rPr>
            </w:pPr>
            <w:r w:rsidRPr="00C76808">
              <w:rPr>
                <w:rFonts w:ascii="Times New Roman" w:hAnsi="Times New Roman"/>
                <w:bCs/>
                <w:iCs/>
                <w:sz w:val="18"/>
                <w:szCs w:val="18"/>
              </w:rPr>
              <w:t>Netaikoma</w:t>
            </w:r>
          </w:p>
        </w:tc>
        <w:tc>
          <w:tcPr>
            <w:tcW w:w="1808" w:type="dxa"/>
            <w:shd w:val="clear" w:color="auto" w:fill="auto"/>
            <w:vAlign w:val="center"/>
          </w:tcPr>
          <w:p w:rsidR="00322BE2" w:rsidRPr="002C08FA" w:rsidRDefault="00BC2F68" w:rsidP="00BB0960">
            <w:pPr>
              <w:widowControl w:val="0"/>
              <w:tabs>
                <w:tab w:val="left" w:pos="622"/>
              </w:tabs>
              <w:spacing w:after="0" w:line="240" w:lineRule="auto"/>
              <w:jc w:val="right"/>
              <w:rPr>
                <w:rFonts w:ascii="Times New Roman" w:eastAsia="AngsanaUPC" w:hAnsi="Times New Roman"/>
                <w:bCs/>
                <w:sz w:val="18"/>
                <w:szCs w:val="18"/>
                <w:lang w:val="en-GB" w:eastAsia="lt-LT"/>
              </w:rPr>
            </w:pPr>
            <w:r w:rsidRPr="002C08FA">
              <w:rPr>
                <w:rFonts w:ascii="Times New Roman" w:eastAsia="AngsanaUPC" w:hAnsi="Times New Roman"/>
                <w:bCs/>
                <w:sz w:val="18"/>
                <w:szCs w:val="18"/>
                <w:lang w:val="en-GB" w:eastAsia="lt-LT"/>
              </w:rPr>
              <w:t>497</w:t>
            </w:r>
            <w:r w:rsidR="00C76808" w:rsidRPr="002C08FA">
              <w:rPr>
                <w:rFonts w:ascii="Times New Roman" w:eastAsia="AngsanaUPC" w:hAnsi="Times New Roman"/>
                <w:bCs/>
                <w:sz w:val="18"/>
                <w:szCs w:val="18"/>
                <w:lang w:val="en-GB" w:eastAsia="lt-LT"/>
              </w:rPr>
              <w:t>.</w:t>
            </w:r>
            <w:r w:rsidRPr="002C08FA">
              <w:rPr>
                <w:rFonts w:ascii="Times New Roman" w:eastAsia="AngsanaUPC" w:hAnsi="Times New Roman"/>
                <w:bCs/>
                <w:sz w:val="18"/>
                <w:szCs w:val="18"/>
                <w:lang w:val="en-GB" w:eastAsia="lt-LT"/>
              </w:rPr>
              <w:t>2</w:t>
            </w:r>
            <w:r w:rsidR="00BA7774" w:rsidRPr="002C08FA">
              <w:rPr>
                <w:rFonts w:ascii="Times New Roman" w:eastAsia="AngsanaUPC" w:hAnsi="Times New Roman"/>
                <w:bCs/>
                <w:sz w:val="18"/>
                <w:szCs w:val="18"/>
                <w:lang w:val="en-GB" w:eastAsia="lt-LT"/>
              </w:rPr>
              <w:t>25.</w:t>
            </w:r>
            <w:r w:rsidR="001F5775" w:rsidRPr="002C08FA">
              <w:rPr>
                <w:rFonts w:ascii="Times New Roman" w:eastAsia="AngsanaUPC" w:hAnsi="Times New Roman"/>
                <w:bCs/>
                <w:sz w:val="18"/>
                <w:szCs w:val="18"/>
                <w:lang w:val="en-GB" w:eastAsia="lt-LT"/>
              </w:rPr>
              <w:t>948</w:t>
            </w:r>
          </w:p>
        </w:tc>
      </w:tr>
      <w:tr w:rsidR="00322BE2" w:rsidRPr="00C76808" w:rsidTr="003D4200">
        <w:tc>
          <w:tcPr>
            <w:tcW w:w="851" w:type="dxa"/>
            <w:shd w:val="clear" w:color="auto" w:fill="auto"/>
            <w:vAlign w:val="center"/>
          </w:tcPr>
          <w:p w:rsidR="00322BE2" w:rsidRPr="008F339D" w:rsidRDefault="00322BE2" w:rsidP="00BB0960">
            <w:pPr>
              <w:widowControl w:val="0"/>
              <w:tabs>
                <w:tab w:val="left" w:pos="622"/>
              </w:tabs>
              <w:spacing w:after="0" w:line="240" w:lineRule="auto"/>
              <w:rPr>
                <w:rFonts w:ascii="Times New Roman" w:eastAsia="AngsanaUPC" w:hAnsi="Times New Roman"/>
                <w:bCs/>
                <w:sz w:val="18"/>
                <w:szCs w:val="18"/>
                <w:lang w:eastAsia="lt-LT"/>
              </w:rPr>
            </w:pPr>
            <w:r w:rsidRPr="008F339D">
              <w:rPr>
                <w:rFonts w:ascii="Times New Roman" w:eastAsia="AngsanaUPC" w:hAnsi="Times New Roman"/>
                <w:bCs/>
                <w:sz w:val="18"/>
                <w:szCs w:val="18"/>
                <w:lang w:eastAsia="lt-LT"/>
              </w:rPr>
              <w:t>SaF</w:t>
            </w:r>
          </w:p>
        </w:tc>
        <w:tc>
          <w:tcPr>
            <w:tcW w:w="709" w:type="dxa"/>
            <w:shd w:val="clear" w:color="auto" w:fill="auto"/>
            <w:vAlign w:val="center"/>
          </w:tcPr>
          <w:p w:rsidR="00322BE2" w:rsidRPr="00C76808" w:rsidRDefault="003D4200" w:rsidP="00BB0960">
            <w:pPr>
              <w:widowControl w:val="0"/>
              <w:tabs>
                <w:tab w:val="left" w:pos="622"/>
              </w:tabs>
              <w:spacing w:after="0" w:line="240" w:lineRule="auto"/>
              <w:rPr>
                <w:rFonts w:ascii="Times New Roman" w:eastAsia="AngsanaUPC" w:hAnsi="Times New Roman"/>
                <w:bCs/>
                <w:sz w:val="18"/>
                <w:szCs w:val="18"/>
                <w:lang w:val="en-GB" w:eastAsia="lt-LT"/>
              </w:rPr>
            </w:pPr>
            <w:r w:rsidRPr="00C76808">
              <w:rPr>
                <w:rFonts w:ascii="Times New Roman" w:eastAsia="AngsanaUPC" w:hAnsi="Times New Roman"/>
                <w:bCs/>
                <w:sz w:val="18"/>
                <w:szCs w:val="18"/>
                <w:lang w:val="en-GB" w:eastAsia="lt-LT"/>
              </w:rPr>
              <w:t>0</w:t>
            </w:r>
            <w:r w:rsidR="00322BE2" w:rsidRPr="00C76808">
              <w:rPr>
                <w:rFonts w:ascii="Times New Roman" w:eastAsia="AngsanaUPC" w:hAnsi="Times New Roman"/>
                <w:bCs/>
                <w:sz w:val="18"/>
                <w:szCs w:val="18"/>
                <w:lang w:val="en-GB" w:eastAsia="lt-LT"/>
              </w:rPr>
              <w:t>7</w:t>
            </w:r>
          </w:p>
        </w:tc>
        <w:tc>
          <w:tcPr>
            <w:tcW w:w="6378" w:type="dxa"/>
            <w:shd w:val="clear" w:color="auto" w:fill="auto"/>
            <w:vAlign w:val="center"/>
          </w:tcPr>
          <w:p w:rsidR="00322BE2" w:rsidRPr="00C76808" w:rsidRDefault="00322BE2" w:rsidP="00BB0960">
            <w:pPr>
              <w:widowControl w:val="0"/>
              <w:tabs>
                <w:tab w:val="left" w:pos="622"/>
              </w:tabs>
              <w:spacing w:after="0" w:line="240" w:lineRule="auto"/>
              <w:jc w:val="both"/>
              <w:rPr>
                <w:rFonts w:ascii="Times New Roman" w:hAnsi="Times New Roman"/>
                <w:bCs/>
                <w:iCs/>
                <w:sz w:val="18"/>
                <w:szCs w:val="18"/>
              </w:rPr>
            </w:pPr>
            <w:r w:rsidRPr="00C76808">
              <w:rPr>
                <w:rFonts w:ascii="Times New Roman" w:hAnsi="Times New Roman"/>
                <w:bCs/>
                <w:iCs/>
                <w:sz w:val="18"/>
                <w:szCs w:val="18"/>
              </w:rPr>
              <w:t>Netaikoma</w:t>
            </w:r>
          </w:p>
        </w:tc>
        <w:tc>
          <w:tcPr>
            <w:tcW w:w="1808" w:type="dxa"/>
            <w:shd w:val="clear" w:color="auto" w:fill="auto"/>
            <w:vAlign w:val="center"/>
          </w:tcPr>
          <w:p w:rsidR="00322BE2" w:rsidRPr="002C08FA" w:rsidRDefault="00BC2F68" w:rsidP="00C76808">
            <w:pPr>
              <w:shd w:val="clear" w:color="auto" w:fill="FFFFFF"/>
              <w:spacing w:after="0" w:line="240" w:lineRule="auto"/>
              <w:jc w:val="right"/>
              <w:rPr>
                <w:rFonts w:ascii="Times New Roman" w:eastAsia="Times New Roman" w:hAnsi="Times New Roman"/>
                <w:color w:val="000000"/>
                <w:sz w:val="18"/>
                <w:szCs w:val="18"/>
              </w:rPr>
            </w:pPr>
            <w:r w:rsidRPr="002C08FA">
              <w:rPr>
                <w:rFonts w:ascii="Times New Roman" w:eastAsia="Times New Roman" w:hAnsi="Times New Roman"/>
                <w:color w:val="000000"/>
                <w:sz w:val="18"/>
                <w:szCs w:val="18"/>
              </w:rPr>
              <w:t>339</w:t>
            </w:r>
            <w:r w:rsidR="00C76808" w:rsidRPr="002C08FA">
              <w:rPr>
                <w:rFonts w:ascii="Times New Roman" w:eastAsia="Times New Roman" w:hAnsi="Times New Roman"/>
                <w:color w:val="000000"/>
                <w:sz w:val="18"/>
                <w:szCs w:val="18"/>
              </w:rPr>
              <w:t>.</w:t>
            </w:r>
            <w:r w:rsidRPr="002C08FA">
              <w:rPr>
                <w:rFonts w:ascii="Times New Roman" w:eastAsia="Times New Roman" w:hAnsi="Times New Roman"/>
                <w:color w:val="000000"/>
                <w:sz w:val="18"/>
                <w:szCs w:val="18"/>
              </w:rPr>
              <w:t>2</w:t>
            </w:r>
            <w:r w:rsidR="001F5775" w:rsidRPr="002C08FA">
              <w:rPr>
                <w:rFonts w:ascii="Times New Roman" w:eastAsia="Times New Roman" w:hAnsi="Times New Roman"/>
                <w:color w:val="000000"/>
                <w:sz w:val="18"/>
                <w:szCs w:val="18"/>
              </w:rPr>
              <w:t>14</w:t>
            </w:r>
            <w:r w:rsidR="00C76808" w:rsidRPr="002C08FA">
              <w:rPr>
                <w:rFonts w:ascii="Times New Roman" w:eastAsia="Times New Roman" w:hAnsi="Times New Roman"/>
                <w:color w:val="000000"/>
                <w:sz w:val="18"/>
                <w:szCs w:val="18"/>
              </w:rPr>
              <w:t>.</w:t>
            </w:r>
            <w:r w:rsidR="001F5775" w:rsidRPr="002C08FA">
              <w:rPr>
                <w:rFonts w:ascii="Times New Roman" w:eastAsia="Times New Roman" w:hAnsi="Times New Roman"/>
                <w:color w:val="000000"/>
                <w:sz w:val="18"/>
                <w:szCs w:val="18"/>
              </w:rPr>
              <w:t>207</w:t>
            </w:r>
          </w:p>
        </w:tc>
      </w:tr>
    </w:tbl>
    <w:p w:rsidR="001F5775" w:rsidRDefault="001F5775" w:rsidP="001F5775">
      <w:pPr>
        <w:spacing w:after="0" w:line="240" w:lineRule="auto"/>
      </w:pPr>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746"/>
      </w:tblGrid>
      <w:tr w:rsidR="00385835" w:rsidRPr="00385835" w:rsidTr="00385835">
        <w:trPr>
          <w:trHeight w:val="416"/>
        </w:trPr>
        <w:tc>
          <w:tcPr>
            <w:tcW w:w="9746" w:type="dxa"/>
            <w:tcBorders>
              <w:bottom w:val="single" w:sz="4" w:space="0" w:color="auto"/>
            </w:tcBorders>
            <w:shd w:val="clear" w:color="auto" w:fill="EEECE1"/>
            <w:vAlign w:val="center"/>
          </w:tcPr>
          <w:p w:rsidR="00385835" w:rsidRPr="00385835" w:rsidRDefault="00385835" w:rsidP="00385835">
            <w:pPr>
              <w:keepNext/>
              <w:spacing w:after="0" w:line="240" w:lineRule="auto"/>
              <w:jc w:val="both"/>
              <w:outlineLvl w:val="1"/>
              <w:rPr>
                <w:rFonts w:ascii="Times New Roman" w:eastAsia="AngsanaUPC" w:hAnsi="Times New Roman"/>
                <w:b/>
                <w:bCs/>
                <w:iCs/>
                <w:sz w:val="24"/>
                <w:szCs w:val="28"/>
                <w:lang w:eastAsia="lt-LT"/>
              </w:rPr>
            </w:pPr>
            <w:bookmarkStart w:id="8" w:name="_Toc69836224"/>
            <w:r w:rsidRPr="00385835">
              <w:rPr>
                <w:rFonts w:ascii="Times New Roman" w:eastAsia="AngsanaUPC" w:hAnsi="Times New Roman"/>
                <w:b/>
                <w:bCs/>
                <w:iCs/>
                <w:sz w:val="24"/>
                <w:szCs w:val="28"/>
                <w:lang w:eastAsia="lt-LT"/>
              </w:rPr>
              <w:lastRenderedPageBreak/>
              <w:t>5 PRIORITETAS. APLINKOSAUGA, GAMTOS IŠTEKLIŲ DARNUS NAUDOJIMAS IR PRISITAIKYMAS PRIE KLIMATO KAITOS</w:t>
            </w:r>
            <w:bookmarkEnd w:id="8"/>
          </w:p>
        </w:tc>
      </w:tr>
      <w:tr w:rsidR="00385835" w:rsidRPr="00385835" w:rsidTr="00385835">
        <w:trPr>
          <w:trHeight w:val="416"/>
        </w:trPr>
        <w:tc>
          <w:tcPr>
            <w:tcW w:w="9746" w:type="dxa"/>
            <w:shd w:val="clear" w:color="auto" w:fill="auto"/>
            <w:vAlign w:val="center"/>
          </w:tcPr>
          <w:p w:rsidR="00385835" w:rsidRPr="00385835" w:rsidRDefault="00385835" w:rsidP="00385835">
            <w:pPr>
              <w:widowControl w:val="0"/>
              <w:tabs>
                <w:tab w:val="left" w:pos="622"/>
              </w:tabs>
              <w:spacing w:after="0" w:line="240" w:lineRule="auto"/>
              <w:ind w:firstLine="624"/>
              <w:jc w:val="both"/>
              <w:rPr>
                <w:rFonts w:ascii="Times New Roman" w:eastAsia="Times New Roman" w:hAnsi="Times New Roman"/>
                <w:sz w:val="24"/>
                <w:szCs w:val="24"/>
                <w:lang w:eastAsia="lt-LT"/>
              </w:rPr>
            </w:pPr>
            <w:r w:rsidRPr="00385835">
              <w:rPr>
                <w:rFonts w:ascii="Times New Roman" w:eastAsia="Times New Roman" w:hAnsi="Times New Roman"/>
                <w:sz w:val="24"/>
                <w:szCs w:val="24"/>
                <w:lang w:eastAsia="lt-LT"/>
              </w:rPr>
              <w:t>Veiksmų programos 5 prioritetas „Aplinkosauga, gamtos išteklių darnus naudojimas ir prisitaikymas prie klimato kaitos“ sudaromas taip, kad apimtų dviejų teminių tikslų, t.</w:t>
            </w:r>
            <w:r w:rsidR="00BC2F68">
              <w:rPr>
                <w:rFonts w:ascii="Times New Roman" w:eastAsia="Times New Roman" w:hAnsi="Times New Roman"/>
                <w:sz w:val="24"/>
                <w:szCs w:val="24"/>
                <w:lang w:eastAsia="lt-LT"/>
              </w:rPr>
              <w:t xml:space="preserve"> </w:t>
            </w:r>
            <w:r w:rsidRPr="00385835">
              <w:rPr>
                <w:rFonts w:ascii="Times New Roman" w:eastAsia="Times New Roman" w:hAnsi="Times New Roman"/>
                <w:sz w:val="24"/>
                <w:szCs w:val="24"/>
                <w:lang w:eastAsia="lt-LT"/>
              </w:rPr>
              <w:t>y. Nr. 5 „Prisitaikymo prie klimato kaitos, rizikos prevencijos ir valdymo skatinimas“ ir Nr. 6 „Aplinkosauga ir išteklių naudojimo veiksmingumo skatinimas“ investicinius prioritetus. Toks jungimas tikslingas</w:t>
            </w:r>
            <w:r w:rsidR="007330C4">
              <w:rPr>
                <w:rFonts w:ascii="Times New Roman" w:eastAsia="Times New Roman" w:hAnsi="Times New Roman"/>
                <w:sz w:val="24"/>
                <w:szCs w:val="24"/>
                <w:lang w:eastAsia="lt-LT"/>
              </w:rPr>
              <w:t>,</w:t>
            </w:r>
            <w:r w:rsidRPr="00385835">
              <w:rPr>
                <w:rFonts w:ascii="Times New Roman" w:eastAsia="Times New Roman" w:hAnsi="Times New Roman"/>
                <w:sz w:val="24"/>
                <w:szCs w:val="24"/>
                <w:lang w:eastAsia="lt-LT"/>
              </w:rPr>
              <w:t xml:space="preserve"> atsižvelgiant į glaudžią numatomų finansuoti prisitaikymo prie klimato kaitos pajėgumų stiprinimo veiksmų sąsają su tam tikrais aplinkosaugos ir išteklių naudojimo veiksmingumo skatinimo veiksmais:</w:t>
            </w:r>
          </w:p>
          <w:p w:rsidR="00385835" w:rsidRPr="00385835" w:rsidRDefault="00385835" w:rsidP="00385835">
            <w:pPr>
              <w:widowControl w:val="0"/>
              <w:tabs>
                <w:tab w:val="left" w:pos="622"/>
              </w:tabs>
              <w:spacing w:after="0" w:line="240" w:lineRule="auto"/>
              <w:ind w:firstLine="624"/>
              <w:jc w:val="both"/>
              <w:rPr>
                <w:rFonts w:ascii="Times New Roman" w:eastAsia="Times New Roman" w:hAnsi="Times New Roman"/>
                <w:sz w:val="24"/>
                <w:szCs w:val="24"/>
                <w:lang w:eastAsia="lt-LT"/>
              </w:rPr>
            </w:pPr>
            <w:r w:rsidRPr="00385835">
              <w:rPr>
                <w:rFonts w:ascii="Times New Roman" w:eastAsia="Times New Roman" w:hAnsi="Times New Roman"/>
                <w:sz w:val="24"/>
                <w:szCs w:val="24"/>
                <w:lang w:eastAsia="lt-LT"/>
              </w:rPr>
              <w:t xml:space="preserve">Pagal 5 teminį tikslą numatomos prisitaikymo prie klimato kaitos investicijos į aplinkos monitoringo, vertinimo, kontrolės techninių pajėgumų stiprinimą ir klimato kaitos žinių plėtrą turi tiesioginę sąsają su 6 teminiame tiksle numatytais paviršinio ir požeminio vandens (įskaitant Baltijos jūrą) bei buveinių ir rūšių vertinimo pajėgumų stiprinimo veiksmais. Pagal 5 teminį tikslą taip pat numatomi remti potvynių rizikos valdymo, pajūrio juostos apsaugos ir gyventojų perspėjimo apie pavojus ir gelbėjimo sistemų plėtros veiksmai padės ne tik prisitaikyti prie klimato kaitos, bet ir siekti geros vandens telkinių būklės, kraštovaizdžio išsaugojimo bei užtikrinti efektyvią Baltijos jūros teršimo rizikos valdymo sistemą. </w:t>
            </w:r>
          </w:p>
          <w:p w:rsidR="00385835" w:rsidRPr="00385835" w:rsidRDefault="00385835" w:rsidP="00385835">
            <w:pPr>
              <w:widowControl w:val="0"/>
              <w:tabs>
                <w:tab w:val="left" w:pos="622"/>
              </w:tabs>
              <w:spacing w:after="0" w:line="240" w:lineRule="auto"/>
              <w:ind w:firstLine="624"/>
              <w:jc w:val="both"/>
              <w:rPr>
                <w:rFonts w:ascii="Times New Roman" w:eastAsia="Times New Roman" w:hAnsi="Times New Roman"/>
                <w:sz w:val="24"/>
                <w:szCs w:val="24"/>
                <w:lang w:eastAsia="lt-LT"/>
              </w:rPr>
            </w:pPr>
            <w:r w:rsidRPr="00385835">
              <w:rPr>
                <w:rFonts w:ascii="Times New Roman" w:eastAsia="Times New Roman" w:hAnsi="Times New Roman"/>
                <w:sz w:val="24"/>
                <w:szCs w:val="24"/>
                <w:lang w:eastAsia="lt-LT"/>
              </w:rPr>
              <w:t xml:space="preserve">Siekiant efektyviai spręsti problemas, būtina derinti ERPF ir </w:t>
            </w:r>
            <w:r w:rsidRPr="00385835">
              <w:rPr>
                <w:rFonts w:ascii="Times New Roman" w:eastAsia="AngsanaUPC" w:hAnsi="Times New Roman"/>
                <w:bCs/>
                <w:iCs/>
                <w:sz w:val="24"/>
                <w:szCs w:val="24"/>
                <w:lang w:eastAsia="lt-LT"/>
              </w:rPr>
              <w:t>SaF</w:t>
            </w:r>
            <w:r w:rsidRPr="00385835">
              <w:rPr>
                <w:rFonts w:ascii="Times New Roman" w:eastAsia="Times New Roman" w:hAnsi="Times New Roman"/>
                <w:sz w:val="24"/>
                <w:szCs w:val="24"/>
                <w:lang w:eastAsia="lt-LT"/>
              </w:rPr>
              <w:t xml:space="preserve"> finansuojamas veiklas, nes šių dviejų teminių tikslų jungimas į vieną veiksmų programos prioritetą leis įgyvendinti integruotu požiūriu pagrįstus projektus (numatoma, kad daugeliu aukščiau nurodytų atvejų atskiras veiklas įgyvendins tas pats projektų vykdytojas), užtikrins išsamią veiksmų programos prioriteto įgyvendinimo stebėseną ir kokybišką atsiskaitymą. </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vAlign w:val="center"/>
          </w:tcPr>
          <w:p w:rsidR="00385835" w:rsidRPr="00385835" w:rsidRDefault="00385835" w:rsidP="00385835">
            <w:pPr>
              <w:widowControl w:val="0"/>
              <w:tabs>
                <w:tab w:val="left" w:pos="622"/>
              </w:tabs>
              <w:spacing w:after="0" w:line="240" w:lineRule="auto"/>
              <w:rPr>
                <w:rFonts w:ascii="Times New Roman" w:eastAsia="AngsanaUPC" w:hAnsi="Times New Roman"/>
                <w:b/>
                <w:bCs/>
                <w:iCs/>
                <w:sz w:val="24"/>
                <w:szCs w:val="24"/>
                <w:lang w:eastAsia="lt-LT"/>
              </w:rPr>
            </w:pPr>
            <w:r w:rsidRPr="00385835">
              <w:rPr>
                <w:rFonts w:ascii="Times New Roman" w:eastAsia="AngsanaUPC" w:hAnsi="Times New Roman"/>
                <w:b/>
                <w:bCs/>
                <w:iCs/>
                <w:sz w:val="24"/>
                <w:szCs w:val="24"/>
                <w:lang w:eastAsia="lt-LT"/>
              </w:rPr>
              <w:t>5.1. INVESTICINIS PRIORITETAS</w:t>
            </w:r>
          </w:p>
        </w:tc>
        <w:tc>
          <w:tcPr>
            <w:tcW w:w="7336" w:type="dxa"/>
            <w:shd w:val="clear" w:color="auto" w:fill="EEECE1"/>
            <w:vAlign w:val="center"/>
          </w:tcPr>
          <w:p w:rsidR="00385835" w:rsidRPr="00385835" w:rsidRDefault="00385835" w:rsidP="00385835">
            <w:pPr>
              <w:spacing w:after="0" w:line="240" w:lineRule="auto"/>
              <w:rPr>
                <w:rFonts w:ascii="Times New Roman" w:hAnsi="Times New Roman"/>
                <w:b/>
                <w:sz w:val="24"/>
                <w:szCs w:val="24"/>
              </w:rPr>
            </w:pPr>
            <w:r w:rsidRPr="00385835">
              <w:rPr>
                <w:rFonts w:ascii="Times New Roman" w:hAnsi="Times New Roman"/>
                <w:b/>
                <w:sz w:val="24"/>
                <w:szCs w:val="24"/>
              </w:rPr>
              <w:t>Investicijų, susijusių su prisitaikymu prie klimato kaitos, įskaitant pagrįstas ekosistemin</w:t>
            </w:r>
            <w:r w:rsidR="00031EF1">
              <w:rPr>
                <w:rFonts w:ascii="Times New Roman" w:hAnsi="Times New Roman"/>
                <w:b/>
                <w:sz w:val="24"/>
                <w:szCs w:val="24"/>
              </w:rPr>
              <w:t>iu požiūriu, skatinimas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FONDAS</w:t>
            </w:r>
          </w:p>
        </w:tc>
        <w:tc>
          <w:tcPr>
            <w:tcW w:w="7336"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Europos regioninės plėtros fondas, Sanglaudos fondas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5.1.1. KONKRETUS UŽDAVINYS</w:t>
            </w:r>
          </w:p>
        </w:tc>
        <w:tc>
          <w:tcPr>
            <w:tcW w:w="7336" w:type="dxa"/>
            <w:shd w:val="clear" w:color="auto" w:fill="EEECE1"/>
            <w:vAlign w:val="center"/>
          </w:tcPr>
          <w:p w:rsidR="00385835" w:rsidRPr="00385835" w:rsidRDefault="00385835" w:rsidP="00385835">
            <w:pPr>
              <w:spacing w:after="0" w:line="240" w:lineRule="auto"/>
              <w:jc w:val="both"/>
              <w:rPr>
                <w:rFonts w:ascii="Times New Roman" w:hAnsi="Times New Roman"/>
                <w:b/>
                <w:sz w:val="24"/>
                <w:szCs w:val="24"/>
              </w:rPr>
            </w:pPr>
            <w:r w:rsidRPr="00385835">
              <w:rPr>
                <w:rFonts w:ascii="Times New Roman" w:hAnsi="Times New Roman"/>
                <w:b/>
                <w:sz w:val="24"/>
                <w:szCs w:val="24"/>
              </w:rPr>
              <w:t>Sumažinti dėl klimato kaitos atsirandančius nuostolius</w:t>
            </w:r>
          </w:p>
        </w:tc>
      </w:tr>
      <w:tr w:rsidR="00385835" w:rsidRPr="00385835" w:rsidTr="00385835">
        <w:tc>
          <w:tcPr>
            <w:tcW w:w="9746" w:type="dxa"/>
            <w:gridSpan w:val="2"/>
            <w:shd w:val="clear" w:color="auto" w:fill="auto"/>
          </w:tcPr>
          <w:p w:rsidR="00385835" w:rsidRPr="00385835" w:rsidRDefault="00385835" w:rsidP="00385835">
            <w:pPr>
              <w:spacing w:after="0" w:line="240" w:lineRule="auto"/>
              <w:ind w:firstLine="601"/>
              <w:jc w:val="both"/>
              <w:rPr>
                <w:rFonts w:ascii="Times New Roman" w:hAnsi="Times New Roman"/>
                <w:sz w:val="24"/>
                <w:szCs w:val="24"/>
                <w:lang w:eastAsia="lt-LT"/>
              </w:rPr>
            </w:pPr>
            <w:r w:rsidRPr="00385835">
              <w:rPr>
                <w:rFonts w:ascii="Times New Roman" w:eastAsia="Times New Roman" w:hAnsi="Times New Roman"/>
                <w:sz w:val="24"/>
                <w:szCs w:val="24"/>
                <w:lang w:eastAsia="lt-LT"/>
              </w:rPr>
              <w:t xml:space="preserve">Pastaraisiais dešimtmečiais vis akivaizdžiau pasireiškianti klimato kaita kelia grėsmę aplinkai, ūkinei veiklai. </w:t>
            </w:r>
            <w:r w:rsidRPr="00385835">
              <w:rPr>
                <w:rFonts w:ascii="Times New Roman" w:hAnsi="Times New Roman"/>
                <w:sz w:val="24"/>
                <w:szCs w:val="24"/>
              </w:rPr>
              <w:t>Didėja</w:t>
            </w:r>
            <w:r w:rsidRPr="00385835">
              <w:rPr>
                <w:rFonts w:ascii="Times New Roman" w:eastAsia="Times New Roman" w:hAnsi="Times New Roman"/>
                <w:sz w:val="24"/>
                <w:szCs w:val="24"/>
                <w:lang w:eastAsia="lt-LT"/>
              </w:rPr>
              <w:t xml:space="preserve"> pavojingų </w:t>
            </w:r>
            <w:r w:rsidRPr="00385835">
              <w:rPr>
                <w:rFonts w:ascii="Times New Roman" w:hAnsi="Times New Roman"/>
                <w:sz w:val="24"/>
                <w:szCs w:val="24"/>
              </w:rPr>
              <w:t>gamtinių reiškinių, susijusių su klimato kaita, t. y. potvynių, stichinių ir katastrofinių meteorologinių reiškinių (uraganai, snygiai, vėtros, sausros, kaitros ir kt.), taip pat e</w:t>
            </w:r>
            <w:r w:rsidR="00BC2F68">
              <w:rPr>
                <w:rFonts w:ascii="Times New Roman" w:hAnsi="Times New Roman"/>
                <w:sz w:val="24"/>
                <w:szCs w:val="24"/>
              </w:rPr>
              <w:t>kstremaliųjų gamtinių reiškinių</w:t>
            </w:r>
            <w:r w:rsidRPr="00385835">
              <w:rPr>
                <w:rFonts w:ascii="Times New Roman" w:hAnsi="Times New Roman"/>
                <w:sz w:val="24"/>
                <w:szCs w:val="24"/>
              </w:rPr>
              <w:t xml:space="preserve"> pasikartojimas, trukmė ir stiprumas. Dėl dažnesnių uraganinių audrų mažėja smėlio ištekliai Baltijos jūros krante ir priekrantėje, ardomi krantai, kyla grėsmė neigiamai paveikti kraštovaizdį ir ekosistemų vientisumą. Taip pat fiksuojamas didesnis </w:t>
            </w:r>
            <w:r w:rsidRPr="00385835">
              <w:rPr>
                <w:rFonts w:ascii="Times New Roman" w:eastAsia="Times New Roman" w:hAnsi="Times New Roman"/>
                <w:sz w:val="24"/>
                <w:szCs w:val="24"/>
                <w:lang w:eastAsia="lt-LT"/>
              </w:rPr>
              <w:t>smarkių liūčių</w:t>
            </w:r>
            <w:r w:rsidRPr="00385835">
              <w:rPr>
                <w:rFonts w:ascii="Times New Roman" w:hAnsi="Times New Roman"/>
                <w:sz w:val="24"/>
                <w:szCs w:val="24"/>
              </w:rPr>
              <w:t xml:space="preserve"> </w:t>
            </w:r>
            <w:r w:rsidRPr="00385835">
              <w:rPr>
                <w:rFonts w:ascii="Times New Roman" w:hAnsi="Times New Roman"/>
                <w:sz w:val="24"/>
                <w:szCs w:val="24"/>
                <w:lang w:eastAsia="lt-LT"/>
              </w:rPr>
              <w:t>(</w:t>
            </w:r>
            <w:r w:rsidRPr="00385835">
              <w:rPr>
                <w:rFonts w:ascii="Times New Roman" w:eastAsia="Times New Roman" w:hAnsi="Times New Roman"/>
                <w:sz w:val="24"/>
                <w:szCs w:val="24"/>
                <w:lang w:eastAsia="lt-LT"/>
              </w:rPr>
              <w:t>2012 m. Lietuvoje 19 proc. buvo viršytas santykinis kritulių normos rodiklis) kiekis ir esamų paviršinių (lietaus) surinkimo sis</w:t>
            </w:r>
            <w:r w:rsidR="007330C4">
              <w:rPr>
                <w:rFonts w:ascii="Times New Roman" w:eastAsia="Times New Roman" w:hAnsi="Times New Roman"/>
                <w:sz w:val="24"/>
                <w:szCs w:val="24"/>
                <w:lang w:eastAsia="lt-LT"/>
              </w:rPr>
              <w:t>temų nepajėgumas priimti didelį vandens kiekį</w:t>
            </w:r>
            <w:r w:rsidRPr="00385835">
              <w:rPr>
                <w:rFonts w:ascii="Times New Roman" w:eastAsia="Times New Roman" w:hAnsi="Times New Roman"/>
                <w:sz w:val="24"/>
                <w:szCs w:val="24"/>
                <w:lang w:eastAsia="lt-LT"/>
              </w:rPr>
              <w:t xml:space="preserve">, todėl liūčių metu dalis miestų teritorijų yra užtvindomos. Taip pat pastaraisiais metais fiksuojama </w:t>
            </w:r>
            <w:r w:rsidRPr="00385835">
              <w:rPr>
                <w:rFonts w:ascii="Times New Roman" w:hAnsi="Times New Roman"/>
                <w:sz w:val="24"/>
                <w:szCs w:val="24"/>
              </w:rPr>
              <w:t>ilgėjanti potvynių trukmė (</w:t>
            </w:r>
            <w:r w:rsidRPr="00385835">
              <w:rPr>
                <w:rFonts w:ascii="Times New Roman" w:hAnsi="Times New Roman"/>
                <w:sz w:val="24"/>
                <w:szCs w:val="24"/>
                <w:lang w:eastAsia="lt-LT"/>
              </w:rPr>
              <w:t>2000–2009 m. pavasario potvyniai Nemuno žemupyje tęsdavosi 1,5–2 mėnesius, o pastaraisiais metais jie trunka apie 3 mėnesius)</w:t>
            </w:r>
            <w:r w:rsidR="00BC2F68">
              <w:rPr>
                <w:rFonts w:ascii="Times New Roman" w:hAnsi="Times New Roman"/>
                <w:sz w:val="24"/>
                <w:szCs w:val="24"/>
              </w:rPr>
              <w:t xml:space="preserve">. </w:t>
            </w:r>
            <w:r w:rsidRPr="00385835">
              <w:rPr>
                <w:rFonts w:ascii="Times New Roman" w:hAnsi="Times New Roman"/>
                <w:sz w:val="24"/>
                <w:szCs w:val="24"/>
              </w:rPr>
              <w:t xml:space="preserve">Pastarieji reiškiniai </w:t>
            </w:r>
            <w:r w:rsidRPr="00385835">
              <w:rPr>
                <w:rFonts w:ascii="Times New Roman" w:hAnsi="Times New Roman"/>
                <w:sz w:val="24"/>
                <w:szCs w:val="24"/>
                <w:lang w:eastAsia="lt-LT"/>
              </w:rPr>
              <w:t>sukelia gyventojams, verslui, valstybei vis didesnę materialinę žalą ir nepatogumus.</w:t>
            </w:r>
            <w:r w:rsidRPr="00385835">
              <w:rPr>
                <w:rFonts w:ascii="Times New Roman" w:hAnsi="Times New Roman"/>
                <w:sz w:val="24"/>
                <w:szCs w:val="24"/>
              </w:rPr>
              <w:t xml:space="preserve"> Lietuvos gelbėjimo tarnybų parengtis ekstremaliems gamtos reiškiniams nėra pakankama, </w:t>
            </w:r>
            <w:r w:rsidRPr="00385835">
              <w:rPr>
                <w:rFonts w:ascii="Times New Roman" w:eastAsia="Times New Roman" w:hAnsi="Times New Roman"/>
                <w:sz w:val="24"/>
                <w:szCs w:val="24"/>
                <w:lang w:eastAsia="lt-LT"/>
              </w:rPr>
              <w:t>perspėjimas apie pavojus garsinėmis sirenomis užtikrinamas tik 50 proc. gyventojų ir ūkio subjektų.</w:t>
            </w:r>
          </w:p>
          <w:p w:rsidR="00385835" w:rsidRPr="00385835" w:rsidRDefault="00385835" w:rsidP="00385835">
            <w:pPr>
              <w:spacing w:after="0" w:line="240" w:lineRule="auto"/>
              <w:ind w:firstLine="720"/>
              <w:jc w:val="both"/>
              <w:rPr>
                <w:rFonts w:ascii="Times New Roman" w:eastAsia="Times New Roman" w:hAnsi="Times New Roman"/>
                <w:sz w:val="24"/>
                <w:szCs w:val="24"/>
                <w:lang w:eastAsia="lt-LT"/>
              </w:rPr>
            </w:pPr>
            <w:r w:rsidRPr="00385835">
              <w:rPr>
                <w:rFonts w:ascii="Times New Roman" w:eastAsia="Times New Roman" w:hAnsi="Times New Roman"/>
                <w:bCs/>
                <w:sz w:val="24"/>
                <w:szCs w:val="24"/>
                <w:lang w:eastAsia="lt-LT"/>
              </w:rPr>
              <w:t xml:space="preserve">Siekiant minimizuoti neigiamas klimato kaitos pasekmes ir mažinti ekosistemų ir šalies ūkio pažeidžiamumą, turi būti sukurta tyrimais ir aplinkos stebėjimais paremta klimato kaitos duomenų bazė, hidrologinių, meteorologinių ir ankstyvojo perspėjimo stočių sistema, stiprinami </w:t>
            </w:r>
            <w:r w:rsidRPr="00385835">
              <w:rPr>
                <w:rFonts w:ascii="Times New Roman" w:hAnsi="Times New Roman"/>
                <w:sz w:val="24"/>
                <w:szCs w:val="24"/>
                <w:lang w:eastAsia="lt-LT"/>
              </w:rPr>
              <w:t xml:space="preserve">stichinių nelaimių valdymo pajėgumai ir reagavimo ištekliai, </w:t>
            </w:r>
            <w:r w:rsidRPr="00385835">
              <w:rPr>
                <w:rFonts w:ascii="Times New Roman" w:eastAsia="Times New Roman" w:hAnsi="Times New Roman"/>
                <w:bCs/>
                <w:sz w:val="24"/>
                <w:szCs w:val="24"/>
                <w:lang w:eastAsia="lt-LT"/>
              </w:rPr>
              <w:t xml:space="preserve">įgyvendinamos priemonės, </w:t>
            </w:r>
            <w:r w:rsidRPr="00385835">
              <w:rPr>
                <w:rFonts w:ascii="Times New Roman" w:eastAsia="Times New Roman" w:hAnsi="Times New Roman"/>
                <w:sz w:val="24"/>
                <w:szCs w:val="24"/>
                <w:lang w:eastAsia="lt-LT"/>
              </w:rPr>
              <w:t xml:space="preserve">švelninančios potvynių, gausių lietų ir kitų gamtos stichijų neigiamą poveikį aplinkai ir </w:t>
            </w:r>
            <w:r w:rsidRPr="00385835">
              <w:rPr>
                <w:rFonts w:ascii="Times New Roman" w:eastAsia="Times New Roman" w:hAnsi="Times New Roman"/>
                <w:sz w:val="24"/>
                <w:szCs w:val="24"/>
                <w:lang w:eastAsia="lt-LT"/>
              </w:rPr>
              <w:lastRenderedPageBreak/>
              <w:t>infrastruktūrai, ekonominei veiklai, žmonių sveikatai ir gyvybei.</w:t>
            </w:r>
          </w:p>
          <w:p w:rsidR="00385835" w:rsidRPr="00385835" w:rsidRDefault="00385835" w:rsidP="00385835">
            <w:pPr>
              <w:widowControl w:val="0"/>
              <w:tabs>
                <w:tab w:val="left" w:pos="622"/>
              </w:tabs>
              <w:spacing w:after="0" w:line="240" w:lineRule="auto"/>
              <w:ind w:firstLine="624"/>
              <w:jc w:val="both"/>
              <w:rPr>
                <w:rFonts w:ascii="Times New Roman" w:eastAsia="AngsanaUPC" w:hAnsi="Times New Roman"/>
                <w:bCs/>
                <w:sz w:val="24"/>
                <w:szCs w:val="24"/>
                <w:lang w:eastAsia="lt-LT"/>
              </w:rPr>
            </w:pPr>
            <w:r w:rsidRPr="00385835">
              <w:rPr>
                <w:rFonts w:ascii="Times New Roman" w:hAnsi="Times New Roman"/>
                <w:sz w:val="24"/>
                <w:szCs w:val="24"/>
                <w:lang w:eastAsia="lt-LT"/>
              </w:rPr>
              <w:t>Numatomos investicijos sudarys sąlygas tinkamai prisitaikyti prie klimato kaitos, t.</w:t>
            </w:r>
            <w:r w:rsidR="00BC2F68">
              <w:rPr>
                <w:rFonts w:ascii="Times New Roman" w:hAnsi="Times New Roman"/>
                <w:sz w:val="24"/>
                <w:szCs w:val="24"/>
                <w:lang w:eastAsia="lt-LT"/>
              </w:rPr>
              <w:t xml:space="preserve"> </w:t>
            </w:r>
            <w:r w:rsidRPr="00385835">
              <w:rPr>
                <w:rFonts w:ascii="Times New Roman" w:hAnsi="Times New Roman"/>
                <w:sz w:val="24"/>
                <w:szCs w:val="24"/>
                <w:lang w:eastAsia="lt-LT"/>
              </w:rPr>
              <w:t xml:space="preserve">y. mažinti neigiamą poveikį aplinkai ir ekonomikai. </w:t>
            </w:r>
            <w:r w:rsidRPr="00385835">
              <w:rPr>
                <w:rFonts w:ascii="Times New Roman" w:eastAsia="Times New Roman" w:hAnsi="Times New Roman"/>
                <w:sz w:val="24"/>
                <w:szCs w:val="24"/>
                <w:lang w:eastAsia="lt-LT"/>
              </w:rPr>
              <w:t>Sėkmingų rezultatų prisitaikymo prie klimato kaitos srityje padės siekti tęstinis bendradarbiavimas su kaimyninėmis valstybėmis, kuris yra vykdomas</w:t>
            </w:r>
            <w:r w:rsidR="007330C4">
              <w:rPr>
                <w:rFonts w:ascii="Times New Roman" w:eastAsia="Times New Roman" w:hAnsi="Times New Roman"/>
                <w:sz w:val="24"/>
                <w:szCs w:val="24"/>
                <w:lang w:eastAsia="lt-LT"/>
              </w:rPr>
              <w:t>,</w:t>
            </w:r>
            <w:r w:rsidRPr="00385835">
              <w:rPr>
                <w:rFonts w:ascii="Times New Roman" w:eastAsia="Times New Roman" w:hAnsi="Times New Roman"/>
                <w:sz w:val="24"/>
                <w:szCs w:val="24"/>
                <w:lang w:eastAsia="lt-LT"/>
              </w:rPr>
              <w:t xml:space="preserve"> vadovaujantis įvairiais Bendrijos ir tarpvyriausybiniais susitarimais.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567"/>
        <w:gridCol w:w="1843"/>
        <w:gridCol w:w="1134"/>
        <w:gridCol w:w="1134"/>
        <w:gridCol w:w="851"/>
        <w:gridCol w:w="992"/>
        <w:gridCol w:w="850"/>
        <w:gridCol w:w="1134"/>
        <w:gridCol w:w="1241"/>
      </w:tblGrid>
      <w:tr w:rsidR="00385835" w:rsidRPr="00385835" w:rsidTr="00385835">
        <w:tc>
          <w:tcPr>
            <w:tcW w:w="9746" w:type="dxa"/>
            <w:gridSpan w:val="9"/>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i/>
                <w:iCs/>
                <w:sz w:val="24"/>
                <w:szCs w:val="24"/>
                <w:lang w:eastAsia="lt-LT"/>
              </w:rPr>
            </w:pPr>
            <w:r w:rsidRPr="00385835">
              <w:rPr>
                <w:rFonts w:ascii="Times New Roman" w:eastAsia="AngsanaUPC" w:hAnsi="Times New Roman"/>
                <w:b/>
                <w:bCs/>
                <w:i/>
                <w:iCs/>
                <w:sz w:val="24"/>
                <w:szCs w:val="24"/>
                <w:lang w:eastAsia="lt-LT"/>
              </w:rPr>
              <w:t xml:space="preserve">ERPF ir SaF </w:t>
            </w:r>
            <w:r w:rsidR="00B1109C">
              <w:rPr>
                <w:rFonts w:ascii="Times New Roman" w:eastAsia="AngsanaUPC" w:hAnsi="Times New Roman"/>
                <w:b/>
                <w:bCs/>
                <w:i/>
                <w:iCs/>
                <w:sz w:val="24"/>
                <w:szCs w:val="24"/>
                <w:lang w:eastAsia="lt-LT"/>
              </w:rPr>
              <w:t xml:space="preserve">specialieji </w:t>
            </w:r>
            <w:r w:rsidRPr="00385835">
              <w:rPr>
                <w:rFonts w:ascii="Times New Roman" w:eastAsia="AngsanaUPC" w:hAnsi="Times New Roman"/>
                <w:b/>
                <w:bCs/>
                <w:i/>
                <w:iCs/>
                <w:sz w:val="24"/>
                <w:szCs w:val="24"/>
                <w:lang w:eastAsia="lt-LT"/>
              </w:rPr>
              <w:t>programos rezultato rodikliai</w:t>
            </w:r>
          </w:p>
        </w:tc>
      </w:tr>
      <w:tr w:rsidR="00385835" w:rsidRPr="00385835" w:rsidTr="00385835">
        <w:tblPrEx>
          <w:shd w:val="clear" w:color="auto" w:fill="auto"/>
        </w:tblPrEx>
        <w:trPr>
          <w:cantSplit/>
          <w:trHeight w:val="858"/>
        </w:trPr>
        <w:tc>
          <w:tcPr>
            <w:tcW w:w="567"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Nr.</w:t>
            </w:r>
          </w:p>
        </w:tc>
        <w:tc>
          <w:tcPr>
            <w:tcW w:w="1843"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Rodiklio pavadinimas</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Matavimo vienetas</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Regiono kategorija</w:t>
            </w:r>
          </w:p>
        </w:tc>
        <w:tc>
          <w:tcPr>
            <w:tcW w:w="85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 reikšmė</w:t>
            </w:r>
          </w:p>
        </w:tc>
        <w:tc>
          <w:tcPr>
            <w:tcW w:w="992"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Pradinės reikšmės metai</w:t>
            </w:r>
          </w:p>
        </w:tc>
        <w:tc>
          <w:tcPr>
            <w:tcW w:w="850"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Siektina reikšmė (2023)</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Duomenų šaltinis</w:t>
            </w:r>
          </w:p>
        </w:tc>
        <w:tc>
          <w:tcPr>
            <w:tcW w:w="124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Atsiskaitymo dažnumas</w:t>
            </w:r>
          </w:p>
        </w:tc>
      </w:tr>
      <w:tr w:rsidR="00385835" w:rsidRPr="00385835" w:rsidTr="00385835">
        <w:tblPrEx>
          <w:shd w:val="clear" w:color="auto" w:fill="auto"/>
        </w:tblPrEx>
        <w:tc>
          <w:tcPr>
            <w:tcW w:w="56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w:t>
            </w:r>
          </w:p>
        </w:tc>
        <w:tc>
          <w:tcPr>
            <w:tcW w:w="1843" w:type="dxa"/>
            <w:shd w:val="clear" w:color="auto" w:fill="auto"/>
            <w:vAlign w:val="center"/>
          </w:tcPr>
          <w:p w:rsidR="00385835" w:rsidRPr="00385835" w:rsidRDefault="00385835" w:rsidP="00385835">
            <w:pPr>
              <w:widowControl w:val="0"/>
              <w:tabs>
                <w:tab w:val="left" w:pos="622"/>
              </w:tabs>
              <w:spacing w:after="0" w:line="240" w:lineRule="auto"/>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Neigiamų potvynių padarinių potenciali žala ekonominei veiklai</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hAnsi="Times New Roman"/>
                <w:sz w:val="18"/>
                <w:szCs w:val="18"/>
              </w:rPr>
              <w:t>mln. EUR</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18"/>
                <w:szCs w:val="18"/>
                <w:lang w:eastAsia="lt-LT"/>
              </w:rPr>
            </w:pPr>
            <w:r w:rsidRPr="00385835">
              <w:rPr>
                <w:rFonts w:ascii="Times New Roman" w:eastAsia="AngsanaUPC" w:hAnsi="Times New Roman"/>
                <w:bCs/>
                <w:sz w:val="18"/>
                <w:szCs w:val="18"/>
                <w:lang w:eastAsia="lt-LT"/>
              </w:rPr>
              <w:t>Mažiau išsivystęs</w:t>
            </w:r>
          </w:p>
        </w:tc>
        <w:tc>
          <w:tcPr>
            <w:tcW w:w="85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hAnsi="Times New Roman"/>
                <w:sz w:val="18"/>
                <w:szCs w:val="18"/>
              </w:rPr>
              <w:t>86,5</w:t>
            </w:r>
          </w:p>
        </w:tc>
        <w:tc>
          <w:tcPr>
            <w:tcW w:w="992"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2013</w:t>
            </w:r>
          </w:p>
        </w:tc>
        <w:tc>
          <w:tcPr>
            <w:tcW w:w="850"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69,5</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Aplinkos apsaugos agentūra</w:t>
            </w:r>
          </w:p>
        </w:tc>
        <w:tc>
          <w:tcPr>
            <w:tcW w:w="124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trejus metus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385835" w:rsidRPr="00385835" w:rsidTr="00385835">
        <w:tc>
          <w:tcPr>
            <w:tcW w:w="9746" w:type="dxa"/>
            <w:tcBorders>
              <w:top w:val="single" w:sz="4" w:space="0" w:color="auto"/>
              <w:left w:val="single" w:sz="4" w:space="0" w:color="auto"/>
              <w:bottom w:val="single" w:sz="4" w:space="0" w:color="auto"/>
              <w:right w:val="single" w:sz="4" w:space="0" w:color="auto"/>
            </w:tcBorders>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Cs/>
                <w:iCs/>
                <w:sz w:val="24"/>
                <w:szCs w:val="24"/>
                <w:lang w:eastAsia="lt-LT"/>
              </w:rPr>
            </w:pPr>
            <w:r w:rsidRPr="00385835">
              <w:rPr>
                <w:rFonts w:ascii="Times New Roman" w:eastAsia="AngsanaUPC" w:hAnsi="Times New Roman"/>
                <w:b/>
                <w:bCs/>
                <w:i/>
                <w:iCs/>
                <w:sz w:val="24"/>
                <w:szCs w:val="24"/>
                <w:lang w:eastAsia="lt-LT"/>
              </w:rPr>
              <w:t>5.1. Investicinio prioriteto įgyvendinimo veiklos</w:t>
            </w:r>
          </w:p>
        </w:tc>
      </w:tr>
      <w:tr w:rsidR="00385835" w:rsidRPr="00385835" w:rsidTr="00385835">
        <w:tc>
          <w:tcPr>
            <w:tcW w:w="9746" w:type="dxa"/>
            <w:shd w:val="clear" w:color="auto" w:fill="auto"/>
          </w:tcPr>
          <w:p w:rsidR="00385835" w:rsidRPr="00385835" w:rsidRDefault="00385835" w:rsidP="00650E41">
            <w:pPr>
              <w:widowControl w:val="0"/>
              <w:numPr>
                <w:ilvl w:val="0"/>
                <w:numId w:val="13"/>
              </w:numPr>
              <w:tabs>
                <w:tab w:val="left" w:pos="459"/>
              </w:tabs>
              <w:spacing w:after="0" w:line="240" w:lineRule="auto"/>
              <w:ind w:left="34"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Aplinkos monitoringo, vertinimo, kontrolės techninių pajėgumų optimizavimas ir klimato kaitos žinių bazės plėtra. Numatoma remti valstybės institucijų, atliekančių aplinkos monitoringo ir kontrolės funkcijas, laboratorinės įrangos, technikos atnaujinimą, aplinkos informacinės sistemos modernizavimą, taršos objektų rizikos vertinimo sistemos rengimą, nacionalinės oro teršalų (azoto dioksido (NO</w:t>
            </w:r>
            <w:r w:rsidRPr="00385835">
              <w:rPr>
                <w:rFonts w:ascii="Times New Roman" w:eastAsia="AngsanaUPC" w:hAnsi="Times New Roman"/>
                <w:bCs/>
                <w:iCs/>
                <w:sz w:val="24"/>
                <w:szCs w:val="24"/>
                <w:vertAlign w:val="subscript"/>
                <w:lang w:eastAsia="lt-LT"/>
              </w:rPr>
              <w:t>2</w:t>
            </w:r>
            <w:r w:rsidRPr="00385835">
              <w:rPr>
                <w:rFonts w:ascii="Times New Roman" w:eastAsia="AngsanaUPC" w:hAnsi="Times New Roman"/>
                <w:bCs/>
                <w:iCs/>
                <w:sz w:val="24"/>
                <w:szCs w:val="24"/>
                <w:lang w:eastAsia="lt-LT"/>
              </w:rPr>
              <w:t xml:space="preserve">) ir kietųjų dalelių) </w:t>
            </w:r>
            <w:proofErr w:type="gramStart"/>
            <w:r w:rsidRPr="00385835">
              <w:rPr>
                <w:rFonts w:ascii="Times New Roman" w:eastAsia="AngsanaUPC" w:hAnsi="Times New Roman"/>
                <w:bCs/>
                <w:iCs/>
                <w:sz w:val="24"/>
                <w:szCs w:val="24"/>
                <w:lang w:eastAsia="lt-LT"/>
              </w:rPr>
              <w:t>ir ŠESD apskaitos sistemos kūrimą ir valdymo pajėgumų stiprinimą</w:t>
            </w:r>
            <w:proofErr w:type="gramEnd"/>
            <w:r w:rsidRPr="00385835">
              <w:rPr>
                <w:rFonts w:ascii="Times New Roman" w:eastAsia="AngsanaUPC" w:hAnsi="Times New Roman"/>
                <w:bCs/>
                <w:iCs/>
                <w:sz w:val="24"/>
                <w:szCs w:val="24"/>
                <w:lang w:eastAsia="lt-LT"/>
              </w:rPr>
              <w:t>, nacionalinės integruotos klimato paslaugų ir informacijos sistemos bei Lietuvos klimato stebėjimo duomenų skaitmeninio archyvo kūrimą. Taip pat numatomos investicijos į hidrologinių ir meteorologinių stebėjimų bei miškų būklės, naudojimo, atkūrimo, įveisimo ir apsaugos kontrolės techninių pajėgumų atnaujinimą ir tobulinimą.</w:t>
            </w:r>
          </w:p>
          <w:p w:rsidR="00385835" w:rsidRPr="00385835" w:rsidRDefault="00385835" w:rsidP="00650E41">
            <w:pPr>
              <w:widowControl w:val="0"/>
              <w:numPr>
                <w:ilvl w:val="0"/>
                <w:numId w:val="13"/>
              </w:numPr>
              <w:tabs>
                <w:tab w:val="left" w:pos="459"/>
              </w:tabs>
              <w:spacing w:after="0" w:line="240" w:lineRule="auto"/>
              <w:ind w:left="34"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Pajūrio juostos apsaugos ir potvynių rizikos valdymas bei prevencinių priemonių įgyvendinimas. Bus finansuojamos krantotvarkos priemonės Lietuvos pajūrio juostoje (paplūdimių papildymas smėliu, paplūdimio kopagūbrio priauginimo ir apsaugos priemonės) pagal Pajūrio juostos tvarkymo programą 2014–2020 m. Taip pat planuojama remti potvynių grėsmės ir rizikos žemėlapių ir valdymo planų atnaujinimą ir potvynių rizikos valdymo planuose numatytų priemonių įgyvendinimą, t.</w:t>
            </w:r>
            <w:r w:rsidR="00BC2F68">
              <w:rPr>
                <w:rFonts w:ascii="Times New Roman" w:eastAsia="AngsanaUPC" w:hAnsi="Times New Roman"/>
                <w:bCs/>
                <w:iCs/>
                <w:sz w:val="24"/>
                <w:szCs w:val="24"/>
                <w:lang w:eastAsia="lt-LT"/>
              </w:rPr>
              <w:t xml:space="preserve"> </w:t>
            </w:r>
            <w:r w:rsidRPr="00385835">
              <w:rPr>
                <w:rFonts w:ascii="Times New Roman" w:eastAsia="AngsanaUPC" w:hAnsi="Times New Roman"/>
                <w:bCs/>
                <w:iCs/>
                <w:sz w:val="24"/>
                <w:szCs w:val="24"/>
                <w:lang w:eastAsia="lt-LT"/>
              </w:rPr>
              <w:t xml:space="preserve">y. upių krantų erozijos mažinimo </w:t>
            </w:r>
            <w:proofErr w:type="gramStart"/>
            <w:r w:rsidRPr="00385835">
              <w:rPr>
                <w:rFonts w:ascii="Times New Roman" w:eastAsia="AngsanaUPC" w:hAnsi="Times New Roman"/>
                <w:bCs/>
                <w:iCs/>
                <w:sz w:val="24"/>
                <w:szCs w:val="24"/>
                <w:lang w:eastAsia="lt-LT"/>
              </w:rPr>
              <w:t>(</w:t>
            </w:r>
            <w:proofErr w:type="gramEnd"/>
            <w:r w:rsidRPr="00385835">
              <w:rPr>
                <w:rFonts w:ascii="Times New Roman" w:eastAsia="AngsanaUPC" w:hAnsi="Times New Roman"/>
                <w:bCs/>
                <w:iCs/>
                <w:sz w:val="24"/>
                <w:szCs w:val="24"/>
                <w:lang w:eastAsia="lt-LT"/>
              </w:rPr>
              <w:t xml:space="preserve">sustabdymo) priemones (upių krantinių sutvirtinimą), apsauginių pylimų, hidrotechnikos statinių įrengimą ir rekonstravimą, potvynių padarinių šalinimą (vagų valymo ir gilinimo darbus), pirmenybę teikiant žaliosios infrastruktūros kūrimo ir ekosistemomis grindžiamo prisitaikymo investicijoms ir kt. </w:t>
            </w:r>
          </w:p>
          <w:p w:rsidR="00385835" w:rsidRPr="00385835" w:rsidRDefault="00385835" w:rsidP="00650E41">
            <w:pPr>
              <w:widowControl w:val="0"/>
              <w:numPr>
                <w:ilvl w:val="0"/>
                <w:numId w:val="13"/>
              </w:numPr>
              <w:tabs>
                <w:tab w:val="left" w:pos="459"/>
              </w:tabs>
              <w:spacing w:after="0" w:line="240" w:lineRule="auto"/>
              <w:ind w:left="34"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 xml:space="preserve">Paviršinių (lietaus) nuotekų tvarkymo infrastruktūros plėtra ir renovacija. Miestuose </w:t>
            </w:r>
            <w:r w:rsidR="00A64507">
              <w:rPr>
                <w:rFonts w:ascii="Times New Roman" w:eastAsia="AngsanaUPC" w:hAnsi="Times New Roman"/>
                <w:bCs/>
                <w:iCs/>
                <w:sz w:val="24"/>
                <w:szCs w:val="24"/>
                <w:lang w:eastAsia="lt-LT"/>
              </w:rPr>
              <w:t>su daugiau nei</w:t>
            </w:r>
            <w:r w:rsidR="00A64507" w:rsidRPr="00385835">
              <w:rPr>
                <w:rFonts w:ascii="Times New Roman" w:eastAsia="AngsanaUPC" w:hAnsi="Times New Roman"/>
                <w:bCs/>
                <w:iCs/>
                <w:sz w:val="24"/>
                <w:szCs w:val="24"/>
                <w:lang w:eastAsia="lt-LT"/>
              </w:rPr>
              <w:t xml:space="preserve"> </w:t>
            </w:r>
            <w:r w:rsidRPr="00385835">
              <w:rPr>
                <w:rFonts w:ascii="Times New Roman" w:eastAsia="AngsanaUPC" w:hAnsi="Times New Roman"/>
                <w:bCs/>
                <w:iCs/>
                <w:sz w:val="24"/>
                <w:szCs w:val="24"/>
                <w:lang w:eastAsia="lt-LT"/>
              </w:rPr>
              <w:t>20</w:t>
            </w:r>
            <w:r w:rsidR="00BC2F68">
              <w:rPr>
                <w:rFonts w:ascii="Times New Roman" w:eastAsia="AngsanaUPC" w:hAnsi="Times New Roman"/>
                <w:bCs/>
                <w:iCs/>
                <w:sz w:val="24"/>
                <w:szCs w:val="24"/>
                <w:lang w:eastAsia="lt-LT"/>
              </w:rPr>
              <w:t xml:space="preserve"> </w:t>
            </w:r>
            <w:r w:rsidRPr="00385835">
              <w:rPr>
                <w:rFonts w:ascii="Times New Roman" w:eastAsia="AngsanaUPC" w:hAnsi="Times New Roman"/>
                <w:bCs/>
                <w:iCs/>
                <w:sz w:val="24"/>
                <w:szCs w:val="24"/>
                <w:lang w:eastAsia="lt-LT"/>
              </w:rPr>
              <w:t>000 gyventojų numatoma inventorizuoti paviršinių nuotekų infrastruktūrą, rengti užtvindymo rizikos prevencijos ir valdymo planus, įrengti ir</w:t>
            </w:r>
            <w:r w:rsidR="00BC2F68">
              <w:rPr>
                <w:rFonts w:ascii="Times New Roman" w:eastAsia="AngsanaUPC" w:hAnsi="Times New Roman"/>
                <w:bCs/>
                <w:iCs/>
                <w:sz w:val="24"/>
                <w:szCs w:val="24"/>
                <w:lang w:eastAsia="lt-LT"/>
              </w:rPr>
              <w:t xml:space="preserve"> </w:t>
            </w:r>
            <w:r w:rsidRPr="00385835">
              <w:rPr>
                <w:rFonts w:ascii="Times New Roman" w:eastAsia="AngsanaUPC" w:hAnsi="Times New Roman"/>
                <w:bCs/>
                <w:iCs/>
                <w:sz w:val="24"/>
                <w:szCs w:val="24"/>
                <w:lang w:eastAsia="lt-LT"/>
              </w:rPr>
              <w:t>/</w:t>
            </w:r>
            <w:r w:rsidR="00BC2F68">
              <w:rPr>
                <w:rFonts w:ascii="Times New Roman" w:eastAsia="AngsanaUPC" w:hAnsi="Times New Roman"/>
                <w:bCs/>
                <w:iCs/>
                <w:sz w:val="24"/>
                <w:szCs w:val="24"/>
                <w:lang w:eastAsia="lt-LT"/>
              </w:rPr>
              <w:t xml:space="preserve"> </w:t>
            </w:r>
            <w:r w:rsidRPr="00385835">
              <w:rPr>
                <w:rFonts w:ascii="Times New Roman" w:eastAsia="AngsanaUPC" w:hAnsi="Times New Roman"/>
                <w:bCs/>
                <w:iCs/>
                <w:sz w:val="24"/>
                <w:szCs w:val="24"/>
                <w:lang w:eastAsia="lt-LT"/>
              </w:rPr>
              <w:t>ar rekonstruoti paviršinių nuotekų surinkimo tinklus ir kitą susijusią infrastruktūrą, taip pat paviršinių nuotekų valyklas, purvo ir naftos produktų atskirtuvus, filtrus, sedimentacijos tvenkinius ir kt.</w:t>
            </w:r>
          </w:p>
          <w:p w:rsidR="00385835" w:rsidRPr="00385835" w:rsidRDefault="00385835" w:rsidP="00650E41">
            <w:pPr>
              <w:widowControl w:val="0"/>
              <w:numPr>
                <w:ilvl w:val="0"/>
                <w:numId w:val="13"/>
              </w:numPr>
              <w:tabs>
                <w:tab w:val="left" w:pos="459"/>
              </w:tabs>
              <w:spacing w:after="0" w:line="240" w:lineRule="auto"/>
              <w:ind w:left="34"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Gyventojų perspėjimo apie pavojus ir gelbėjimo sistemų tobulinimas ir plėtra. Bus investuojama į gyventojų perspėjimo ir informavimo apie pavojus (gamtinio, ekologinio ar techninio pobūdžio, taip pat kitus įvykius, dėl kurių gali susidaryti arba susidaro ekstremalioji situacija) priemonių tobulinimą, modernizuojant gyventojų perspėjimo sirenomis potencialiai pavojingose zonose sistemą. Taip pat bus remiamas gelbėjimo sistemų stiprinimas, aprūpinant gelbėjimo tarnybas modernia technika ir įranga, skirta naudoti potvynių ir kitų dėl klimato kaitos kylančių nelaimių metu (gelbėjimo transporto priemonėmis, kita gelbėjimo įranga ir priemonėmis (</w:t>
            </w:r>
            <w:r w:rsidR="00686878">
              <w:rPr>
                <w:rFonts w:ascii="Times New Roman" w:eastAsia="AngsanaUPC" w:hAnsi="Times New Roman"/>
                <w:bCs/>
                <w:iCs/>
                <w:sz w:val="24"/>
                <w:szCs w:val="24"/>
                <w:lang w:eastAsia="lt-LT"/>
              </w:rPr>
              <w:t>pavyzdžiui</w:t>
            </w:r>
            <w:r w:rsidRPr="00385835">
              <w:rPr>
                <w:rFonts w:ascii="Times New Roman" w:eastAsia="AngsanaUPC" w:hAnsi="Times New Roman"/>
                <w:bCs/>
                <w:iCs/>
                <w:sz w:val="24"/>
                <w:szCs w:val="24"/>
                <w:lang w:eastAsia="lt-LT"/>
              </w:rPr>
              <w:t xml:space="preserve">, valtimis, siurbliais ir pan.), darbo organizavimo priemonėmis </w:t>
            </w:r>
            <w:proofErr w:type="gramStart"/>
            <w:r w:rsidRPr="00385835">
              <w:rPr>
                <w:rFonts w:ascii="Times New Roman" w:eastAsia="AngsanaUPC" w:hAnsi="Times New Roman"/>
                <w:bCs/>
                <w:iCs/>
                <w:sz w:val="24"/>
                <w:szCs w:val="24"/>
                <w:lang w:eastAsia="lt-LT"/>
              </w:rPr>
              <w:t>(</w:t>
            </w:r>
            <w:proofErr w:type="gramEnd"/>
            <w:r w:rsidR="00686878">
              <w:rPr>
                <w:rFonts w:ascii="Times New Roman" w:eastAsia="AngsanaUPC" w:hAnsi="Times New Roman"/>
                <w:bCs/>
                <w:iCs/>
                <w:sz w:val="24"/>
                <w:szCs w:val="24"/>
                <w:lang w:eastAsia="lt-LT"/>
              </w:rPr>
              <w:t>pavyzdžiui</w:t>
            </w:r>
            <w:r w:rsidRPr="00385835">
              <w:rPr>
                <w:rFonts w:ascii="Times New Roman" w:eastAsia="AngsanaUPC" w:hAnsi="Times New Roman"/>
                <w:bCs/>
                <w:iCs/>
                <w:sz w:val="24"/>
                <w:szCs w:val="24"/>
                <w:lang w:eastAsia="lt-LT"/>
              </w:rPr>
              <w:t>, kompiuterine, ryšių įranga, skirta darbo koordinavimo štabo veiklai organizuoti), logistikos priemonėmis, asmeni</w:t>
            </w:r>
            <w:r w:rsidR="007330C4">
              <w:rPr>
                <w:rFonts w:ascii="Times New Roman" w:eastAsia="AngsanaUPC" w:hAnsi="Times New Roman"/>
                <w:bCs/>
                <w:iCs/>
                <w:sz w:val="24"/>
                <w:szCs w:val="24"/>
                <w:lang w:eastAsia="lt-LT"/>
              </w:rPr>
              <w:t>nės apsaugos priemonėmis ir kt.</w:t>
            </w:r>
            <w:r w:rsidRPr="00385835">
              <w:rPr>
                <w:rFonts w:ascii="Times New Roman" w:eastAsia="AngsanaUPC" w:hAnsi="Times New Roman"/>
                <w:bCs/>
                <w:iCs/>
                <w:sz w:val="24"/>
                <w:szCs w:val="24"/>
                <w:lang w:eastAsia="lt-LT"/>
              </w:rPr>
              <w:t xml:space="preserve"> Veiksmai, skirti didinti valstybės ir savivaldybių institucijų ir įstaigų veiklos efektyvumą ekstremalių situacijų atvejais, numatomi finansuoti pagal veiksmų programos 10 prioritetą ,,Visuomenės poreikius atitinkantis ir pažangus </w:t>
            </w:r>
            <w:r w:rsidRPr="00385835">
              <w:rPr>
                <w:rFonts w:ascii="Times New Roman" w:eastAsia="AngsanaUPC" w:hAnsi="Times New Roman"/>
                <w:bCs/>
                <w:iCs/>
                <w:sz w:val="24"/>
                <w:szCs w:val="24"/>
                <w:lang w:eastAsia="lt-LT"/>
              </w:rPr>
              <w:lastRenderedPageBreak/>
              <w:t>viešasis valdymas“.</w:t>
            </w:r>
          </w:p>
        </w:tc>
      </w:tr>
    </w:tbl>
    <w:p w:rsidR="006802B5" w:rsidRPr="00385835" w:rsidRDefault="006802B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567"/>
        <w:gridCol w:w="2835"/>
        <w:gridCol w:w="1134"/>
        <w:gridCol w:w="851"/>
        <w:gridCol w:w="1134"/>
        <w:gridCol w:w="850"/>
        <w:gridCol w:w="1134"/>
        <w:gridCol w:w="1241"/>
      </w:tblGrid>
      <w:tr w:rsidR="00385835" w:rsidRPr="00385835" w:rsidTr="00385835">
        <w:tc>
          <w:tcPr>
            <w:tcW w:w="9746" w:type="dxa"/>
            <w:gridSpan w:val="8"/>
            <w:shd w:val="clear" w:color="auto" w:fill="EEECE1"/>
          </w:tcPr>
          <w:p w:rsidR="00385835" w:rsidRPr="00385835" w:rsidRDefault="00385835" w:rsidP="00B1109C">
            <w:pPr>
              <w:widowControl w:val="0"/>
              <w:tabs>
                <w:tab w:val="left" w:pos="622"/>
              </w:tabs>
              <w:spacing w:after="0" w:line="240" w:lineRule="auto"/>
              <w:jc w:val="both"/>
              <w:rPr>
                <w:rFonts w:ascii="Times New Roman" w:eastAsia="AngsanaUPC" w:hAnsi="Times New Roman"/>
                <w:b/>
                <w:bCs/>
                <w:i/>
                <w:iCs/>
                <w:sz w:val="24"/>
                <w:szCs w:val="24"/>
                <w:lang w:eastAsia="lt-LT"/>
              </w:rPr>
            </w:pPr>
            <w:r w:rsidRPr="00385835">
              <w:rPr>
                <w:rFonts w:ascii="Times New Roman" w:eastAsia="AngsanaUPC" w:hAnsi="Times New Roman"/>
                <w:b/>
                <w:bCs/>
                <w:i/>
                <w:iCs/>
                <w:sz w:val="24"/>
                <w:szCs w:val="24"/>
                <w:lang w:eastAsia="lt-LT"/>
              </w:rPr>
              <w:t xml:space="preserve">ERPF ir SaF bendrieji ir </w:t>
            </w:r>
            <w:r w:rsidR="00B1109C">
              <w:rPr>
                <w:rFonts w:ascii="Times New Roman" w:eastAsia="AngsanaUPC" w:hAnsi="Times New Roman"/>
                <w:b/>
                <w:bCs/>
                <w:i/>
                <w:iCs/>
                <w:sz w:val="24"/>
                <w:szCs w:val="24"/>
                <w:lang w:eastAsia="lt-LT"/>
              </w:rPr>
              <w:t xml:space="preserve">specialieji </w:t>
            </w:r>
            <w:r w:rsidRPr="00385835">
              <w:rPr>
                <w:rFonts w:ascii="Times New Roman" w:eastAsia="AngsanaUPC" w:hAnsi="Times New Roman"/>
                <w:b/>
                <w:bCs/>
                <w:i/>
                <w:iCs/>
                <w:sz w:val="24"/>
                <w:szCs w:val="24"/>
                <w:lang w:eastAsia="lt-LT"/>
              </w:rPr>
              <w:t xml:space="preserve">programos produkto rodikliai </w:t>
            </w:r>
          </w:p>
        </w:tc>
      </w:tr>
      <w:tr w:rsidR="00385835" w:rsidRPr="00385835" w:rsidTr="00385835">
        <w:tblPrEx>
          <w:shd w:val="clear" w:color="auto" w:fill="auto"/>
        </w:tblPrEx>
        <w:tc>
          <w:tcPr>
            <w:tcW w:w="567"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Nr.</w:t>
            </w:r>
          </w:p>
        </w:tc>
        <w:tc>
          <w:tcPr>
            <w:tcW w:w="2835"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Rodiklio pavadinimas</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Matavimo vienetas</w:t>
            </w:r>
          </w:p>
        </w:tc>
        <w:tc>
          <w:tcPr>
            <w:tcW w:w="85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Fondas</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Regiono kategorija</w:t>
            </w:r>
          </w:p>
        </w:tc>
        <w:tc>
          <w:tcPr>
            <w:tcW w:w="850"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Siektina reikšmė (2023)</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Duomenų šaltinis</w:t>
            </w:r>
          </w:p>
        </w:tc>
        <w:tc>
          <w:tcPr>
            <w:tcW w:w="124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Atsiskaitymo dažnumas</w:t>
            </w:r>
          </w:p>
        </w:tc>
      </w:tr>
      <w:tr w:rsidR="00385835" w:rsidRPr="00385835" w:rsidTr="00385835">
        <w:tblPrEx>
          <w:shd w:val="clear" w:color="auto" w:fill="auto"/>
        </w:tblPrEx>
        <w:tc>
          <w:tcPr>
            <w:tcW w:w="567" w:type="dxa"/>
            <w:shd w:val="clear" w:color="auto" w:fill="auto"/>
            <w:vAlign w:val="center"/>
          </w:tcPr>
          <w:p w:rsidR="00385835" w:rsidRPr="00385835" w:rsidDel="003120B3"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w:t>
            </w:r>
          </w:p>
        </w:tc>
        <w:tc>
          <w:tcPr>
            <w:tcW w:w="2835" w:type="dxa"/>
            <w:shd w:val="clear" w:color="auto" w:fill="auto"/>
            <w:vAlign w:val="center"/>
          </w:tcPr>
          <w:p w:rsidR="00385835" w:rsidRPr="00385835" w:rsidDel="003120B3" w:rsidRDefault="00385835" w:rsidP="00385835">
            <w:pPr>
              <w:widowControl w:val="0"/>
              <w:tabs>
                <w:tab w:val="left" w:pos="622"/>
              </w:tabs>
              <w:spacing w:after="0" w:line="240" w:lineRule="auto"/>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Įrengtos arba atnaujintos aplinkos oro monitoringo ir ankstyvojo perspėjimo, hidrologinių ir meteorologinių stebėjimų stotys</w:t>
            </w:r>
          </w:p>
        </w:tc>
        <w:tc>
          <w:tcPr>
            <w:tcW w:w="1134" w:type="dxa"/>
            <w:shd w:val="clear" w:color="auto" w:fill="auto"/>
            <w:vAlign w:val="center"/>
          </w:tcPr>
          <w:p w:rsidR="00385835" w:rsidRPr="002C08FA" w:rsidDel="003120B3" w:rsidRDefault="00BA7774"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Vienetai</w:t>
            </w:r>
          </w:p>
        </w:tc>
        <w:tc>
          <w:tcPr>
            <w:tcW w:w="851" w:type="dxa"/>
            <w:shd w:val="clear" w:color="auto" w:fill="auto"/>
            <w:vAlign w:val="center"/>
          </w:tcPr>
          <w:p w:rsidR="00385835" w:rsidRPr="002C08FA" w:rsidDel="007B12F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SaF</w:t>
            </w:r>
          </w:p>
        </w:tc>
        <w:tc>
          <w:tcPr>
            <w:tcW w:w="1134" w:type="dxa"/>
            <w:shd w:val="clear" w:color="auto" w:fill="auto"/>
            <w:vAlign w:val="center"/>
          </w:tcPr>
          <w:p w:rsidR="00385835" w:rsidRPr="002C08FA" w:rsidDel="003120B3" w:rsidRDefault="00515A37"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sz w:val="18"/>
                <w:szCs w:val="18"/>
                <w:lang w:eastAsia="lt-LT"/>
              </w:rPr>
              <w:t>–</w:t>
            </w:r>
          </w:p>
        </w:tc>
        <w:tc>
          <w:tcPr>
            <w:tcW w:w="850" w:type="dxa"/>
            <w:shd w:val="clear" w:color="auto" w:fill="auto"/>
            <w:vAlign w:val="center"/>
          </w:tcPr>
          <w:p w:rsidR="00385835" w:rsidRPr="002C08FA" w:rsidDel="003120B3" w:rsidRDefault="00BA7774"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199</w:t>
            </w:r>
          </w:p>
        </w:tc>
        <w:tc>
          <w:tcPr>
            <w:tcW w:w="1134" w:type="dxa"/>
            <w:shd w:val="clear" w:color="auto" w:fill="auto"/>
            <w:vAlign w:val="center"/>
          </w:tcPr>
          <w:p w:rsidR="00385835" w:rsidRPr="00D54F90" w:rsidDel="003120B3"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D54F90">
              <w:rPr>
                <w:rFonts w:ascii="Times New Roman" w:eastAsia="AngsanaUPC" w:hAnsi="Times New Roman"/>
                <w:bCs/>
                <w:iCs/>
                <w:sz w:val="18"/>
                <w:szCs w:val="18"/>
                <w:lang w:eastAsia="lt-LT"/>
              </w:rPr>
              <w:t>Duomenys iš projektų</w:t>
            </w:r>
          </w:p>
        </w:tc>
        <w:tc>
          <w:tcPr>
            <w:tcW w:w="1241" w:type="dxa"/>
            <w:shd w:val="clear" w:color="auto" w:fill="auto"/>
            <w:vAlign w:val="center"/>
          </w:tcPr>
          <w:p w:rsidR="00385835" w:rsidRPr="00385835" w:rsidDel="003120B3"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385835" w:rsidRPr="00385835" w:rsidTr="00385835">
        <w:tblPrEx>
          <w:shd w:val="clear" w:color="auto" w:fill="auto"/>
        </w:tblPrEx>
        <w:tc>
          <w:tcPr>
            <w:tcW w:w="56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w:t>
            </w:r>
          </w:p>
        </w:tc>
        <w:tc>
          <w:tcPr>
            <w:tcW w:w="2835" w:type="dxa"/>
            <w:shd w:val="clear" w:color="auto" w:fill="auto"/>
            <w:vAlign w:val="center"/>
          </w:tcPr>
          <w:p w:rsidR="00385835" w:rsidRPr="00385835" w:rsidRDefault="00385835" w:rsidP="00385835">
            <w:pPr>
              <w:widowControl w:val="0"/>
              <w:tabs>
                <w:tab w:val="left" w:pos="622"/>
              </w:tabs>
              <w:spacing w:after="0" w:line="240" w:lineRule="auto"/>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 xml:space="preserve">Įsigyta gyventojų perspėjimo įranga ir gelbėjimo technika </w:t>
            </w:r>
          </w:p>
        </w:tc>
        <w:tc>
          <w:tcPr>
            <w:tcW w:w="1134"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Skaičius</w:t>
            </w:r>
          </w:p>
        </w:tc>
        <w:tc>
          <w:tcPr>
            <w:tcW w:w="851"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ERPF</w:t>
            </w:r>
          </w:p>
        </w:tc>
        <w:tc>
          <w:tcPr>
            <w:tcW w:w="1134"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Mažiau išsivystęs</w:t>
            </w:r>
          </w:p>
        </w:tc>
        <w:tc>
          <w:tcPr>
            <w:tcW w:w="850" w:type="dxa"/>
            <w:shd w:val="clear" w:color="auto" w:fill="auto"/>
            <w:vAlign w:val="center"/>
          </w:tcPr>
          <w:p w:rsidR="00385835" w:rsidRPr="002C08FA" w:rsidRDefault="00256BE9"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97</w:t>
            </w:r>
          </w:p>
        </w:tc>
        <w:tc>
          <w:tcPr>
            <w:tcW w:w="1134" w:type="dxa"/>
            <w:shd w:val="clear" w:color="auto" w:fill="auto"/>
            <w:vAlign w:val="center"/>
          </w:tcPr>
          <w:p w:rsidR="00385835" w:rsidRPr="00D54F90" w:rsidDel="003120B3"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D54F90">
              <w:rPr>
                <w:rFonts w:ascii="Times New Roman" w:eastAsia="AngsanaUPC" w:hAnsi="Times New Roman"/>
                <w:bCs/>
                <w:iCs/>
                <w:sz w:val="18"/>
                <w:szCs w:val="18"/>
                <w:lang w:eastAsia="lt-LT"/>
              </w:rPr>
              <w:t>Duomenys iš projektų</w:t>
            </w:r>
          </w:p>
        </w:tc>
        <w:tc>
          <w:tcPr>
            <w:tcW w:w="1241" w:type="dxa"/>
            <w:shd w:val="clear" w:color="auto" w:fill="auto"/>
            <w:vAlign w:val="center"/>
          </w:tcPr>
          <w:p w:rsidR="00385835" w:rsidRPr="00385835" w:rsidDel="003120B3"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385835" w:rsidRPr="00385835" w:rsidTr="00385835">
        <w:tblPrEx>
          <w:shd w:val="clear" w:color="auto" w:fill="auto"/>
        </w:tblPrEx>
        <w:tc>
          <w:tcPr>
            <w:tcW w:w="56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3.</w:t>
            </w:r>
          </w:p>
        </w:tc>
        <w:tc>
          <w:tcPr>
            <w:tcW w:w="2835" w:type="dxa"/>
            <w:shd w:val="clear" w:color="auto" w:fill="auto"/>
            <w:vAlign w:val="center"/>
          </w:tcPr>
          <w:p w:rsidR="00385835" w:rsidRPr="00385835" w:rsidRDefault="00385835" w:rsidP="00385835">
            <w:pPr>
              <w:widowControl w:val="0"/>
              <w:tabs>
                <w:tab w:val="left" w:pos="622"/>
              </w:tabs>
              <w:spacing w:after="0" w:line="240" w:lineRule="auto"/>
              <w:rPr>
                <w:rFonts w:ascii="Times New Roman" w:eastAsia="AngsanaUPC" w:hAnsi="Times New Roman"/>
                <w:bCs/>
                <w:iCs/>
                <w:sz w:val="18"/>
                <w:szCs w:val="18"/>
                <w:lang w:eastAsia="lt-LT"/>
              </w:rPr>
            </w:pPr>
            <w:r w:rsidRPr="00385835">
              <w:rPr>
                <w:rFonts w:ascii="Times New Roman" w:hAnsi="Times New Roman"/>
                <w:sz w:val="18"/>
                <w:szCs w:val="18"/>
              </w:rPr>
              <w:t>Gyventojai, kuriems yra naudingos apsaugos nuo potvynių priemonės</w:t>
            </w:r>
          </w:p>
        </w:tc>
        <w:tc>
          <w:tcPr>
            <w:tcW w:w="1134"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Asmenys</w:t>
            </w:r>
          </w:p>
        </w:tc>
        <w:tc>
          <w:tcPr>
            <w:tcW w:w="851"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SaF</w:t>
            </w:r>
          </w:p>
        </w:tc>
        <w:tc>
          <w:tcPr>
            <w:tcW w:w="1134" w:type="dxa"/>
            <w:shd w:val="clear" w:color="auto" w:fill="auto"/>
            <w:vAlign w:val="center"/>
          </w:tcPr>
          <w:p w:rsidR="00385835" w:rsidRPr="002C08FA" w:rsidRDefault="00515A37"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sz w:val="18"/>
                <w:szCs w:val="18"/>
                <w:lang w:eastAsia="lt-LT"/>
              </w:rPr>
              <w:t>–</w:t>
            </w:r>
          </w:p>
        </w:tc>
        <w:tc>
          <w:tcPr>
            <w:tcW w:w="850" w:type="dxa"/>
            <w:shd w:val="clear" w:color="auto" w:fill="auto"/>
            <w:vAlign w:val="center"/>
          </w:tcPr>
          <w:p w:rsidR="00385835" w:rsidRPr="002C08FA" w:rsidRDefault="00BA7774" w:rsidP="00C76808">
            <w:pPr>
              <w:widowControl w:val="0"/>
              <w:tabs>
                <w:tab w:val="left" w:pos="622"/>
              </w:tabs>
              <w:spacing w:after="0" w:line="240" w:lineRule="auto"/>
              <w:jc w:val="center"/>
              <w:rPr>
                <w:rFonts w:ascii="Times New Roman" w:hAnsi="Times New Roman"/>
                <w:sz w:val="18"/>
                <w:szCs w:val="18"/>
              </w:rPr>
            </w:pPr>
            <w:r w:rsidRPr="002C08FA">
              <w:rPr>
                <w:rFonts w:ascii="Times New Roman" w:eastAsia="AngsanaUPC" w:hAnsi="Times New Roman"/>
                <w:bCs/>
                <w:iCs/>
                <w:sz w:val="18"/>
                <w:szCs w:val="18"/>
                <w:lang w:eastAsia="lt-LT"/>
              </w:rPr>
              <w:t>7</w:t>
            </w:r>
            <w:r w:rsidR="00C76808" w:rsidRPr="002C08FA">
              <w:rPr>
                <w:rFonts w:ascii="Times New Roman" w:eastAsia="AngsanaUPC" w:hAnsi="Times New Roman"/>
                <w:bCs/>
                <w:iCs/>
                <w:sz w:val="18"/>
                <w:szCs w:val="18"/>
                <w:lang w:eastAsia="lt-LT"/>
              </w:rPr>
              <w:t>.</w:t>
            </w:r>
            <w:r w:rsidRPr="002C08FA">
              <w:rPr>
                <w:rFonts w:ascii="Times New Roman" w:eastAsia="AngsanaUPC" w:hAnsi="Times New Roman"/>
                <w:bCs/>
                <w:iCs/>
                <w:sz w:val="18"/>
                <w:szCs w:val="18"/>
                <w:lang w:eastAsia="lt-LT"/>
              </w:rPr>
              <w:t>0</w:t>
            </w:r>
            <w:r w:rsidR="00385835" w:rsidRPr="002C08FA">
              <w:rPr>
                <w:rFonts w:ascii="Times New Roman" w:eastAsia="AngsanaUPC" w:hAnsi="Times New Roman"/>
                <w:bCs/>
                <w:iCs/>
                <w:sz w:val="18"/>
                <w:szCs w:val="18"/>
                <w:lang w:eastAsia="lt-LT"/>
              </w:rPr>
              <w:t>00</w:t>
            </w:r>
          </w:p>
        </w:tc>
        <w:tc>
          <w:tcPr>
            <w:tcW w:w="1134" w:type="dxa"/>
            <w:shd w:val="clear" w:color="auto" w:fill="auto"/>
            <w:vAlign w:val="center"/>
          </w:tcPr>
          <w:p w:rsidR="00385835" w:rsidRPr="00D54F90"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D54F90">
              <w:rPr>
                <w:rFonts w:ascii="Times New Roman" w:eastAsia="AngsanaUPC" w:hAnsi="Times New Roman"/>
                <w:bCs/>
                <w:iCs/>
                <w:sz w:val="18"/>
                <w:szCs w:val="18"/>
                <w:lang w:eastAsia="lt-LT"/>
              </w:rPr>
              <w:t>Duomenys iš projektų</w:t>
            </w:r>
          </w:p>
        </w:tc>
        <w:tc>
          <w:tcPr>
            <w:tcW w:w="124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385835" w:rsidRPr="00385835" w:rsidTr="00385835">
        <w:tblPrEx>
          <w:shd w:val="clear" w:color="auto" w:fill="auto"/>
        </w:tblPrEx>
        <w:tc>
          <w:tcPr>
            <w:tcW w:w="56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4.</w:t>
            </w:r>
          </w:p>
        </w:tc>
        <w:tc>
          <w:tcPr>
            <w:tcW w:w="2835" w:type="dxa"/>
            <w:shd w:val="clear" w:color="auto" w:fill="auto"/>
            <w:vAlign w:val="center"/>
          </w:tcPr>
          <w:p w:rsidR="00385835" w:rsidRPr="00385835" w:rsidRDefault="00385835" w:rsidP="00385835">
            <w:pPr>
              <w:widowControl w:val="0"/>
              <w:tabs>
                <w:tab w:val="left" w:pos="622"/>
              </w:tabs>
              <w:spacing w:after="0" w:line="240" w:lineRule="auto"/>
              <w:rPr>
                <w:rFonts w:ascii="Times New Roman" w:hAnsi="Times New Roman"/>
                <w:sz w:val="18"/>
                <w:szCs w:val="18"/>
              </w:rPr>
            </w:pPr>
            <w:r w:rsidRPr="00385835">
              <w:rPr>
                <w:rFonts w:ascii="Times New Roman" w:hAnsi="Times New Roman"/>
                <w:sz w:val="18"/>
                <w:szCs w:val="18"/>
              </w:rPr>
              <w:t>Lietaus nuotėkio plotas, iš kurio surenkamam paviršiniam (lietaus) vandeniui tvarkyti, įrengta ir (ar) rekonstruota infrastruktūra</w:t>
            </w:r>
          </w:p>
        </w:tc>
        <w:tc>
          <w:tcPr>
            <w:tcW w:w="1134"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Hektarai</w:t>
            </w:r>
          </w:p>
        </w:tc>
        <w:tc>
          <w:tcPr>
            <w:tcW w:w="851"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SaF</w:t>
            </w:r>
          </w:p>
        </w:tc>
        <w:tc>
          <w:tcPr>
            <w:tcW w:w="1134" w:type="dxa"/>
            <w:shd w:val="clear" w:color="auto" w:fill="auto"/>
            <w:vAlign w:val="center"/>
          </w:tcPr>
          <w:p w:rsidR="00385835" w:rsidRPr="002C08FA" w:rsidRDefault="00515A37"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sz w:val="18"/>
                <w:szCs w:val="18"/>
                <w:lang w:eastAsia="lt-LT"/>
              </w:rPr>
              <w:t>–</w:t>
            </w:r>
          </w:p>
        </w:tc>
        <w:tc>
          <w:tcPr>
            <w:tcW w:w="850" w:type="dxa"/>
            <w:shd w:val="clear" w:color="auto" w:fill="auto"/>
            <w:vAlign w:val="center"/>
          </w:tcPr>
          <w:p w:rsidR="00385835" w:rsidRPr="002C08FA" w:rsidRDefault="00385835" w:rsidP="00C76808">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5</w:t>
            </w:r>
            <w:r w:rsidR="00C76808" w:rsidRPr="002C08FA">
              <w:rPr>
                <w:rFonts w:ascii="Times New Roman" w:eastAsia="AngsanaUPC" w:hAnsi="Times New Roman"/>
                <w:bCs/>
                <w:iCs/>
                <w:sz w:val="18"/>
                <w:szCs w:val="18"/>
                <w:lang w:eastAsia="lt-LT"/>
              </w:rPr>
              <w:t>.</w:t>
            </w:r>
            <w:r w:rsidRPr="002C08FA">
              <w:rPr>
                <w:rFonts w:ascii="Times New Roman" w:eastAsia="AngsanaUPC" w:hAnsi="Times New Roman"/>
                <w:bCs/>
                <w:iCs/>
                <w:sz w:val="18"/>
                <w:szCs w:val="18"/>
                <w:lang w:eastAsia="lt-LT"/>
              </w:rPr>
              <w:t>000</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Duomenys iš projektų</w:t>
            </w:r>
          </w:p>
        </w:tc>
        <w:tc>
          <w:tcPr>
            <w:tcW w:w="124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bl>
    <w:p w:rsid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746"/>
      </w:tblGrid>
      <w:tr w:rsidR="00715EE1" w:rsidRPr="00715EE1" w:rsidTr="00AA51F3">
        <w:tc>
          <w:tcPr>
            <w:tcW w:w="9746" w:type="dxa"/>
            <w:shd w:val="clear" w:color="auto" w:fill="EEECE1"/>
          </w:tcPr>
          <w:p w:rsidR="00715EE1" w:rsidRPr="00715EE1" w:rsidRDefault="00715EE1" w:rsidP="00715EE1">
            <w:pPr>
              <w:widowControl w:val="0"/>
              <w:tabs>
                <w:tab w:val="left" w:pos="622"/>
              </w:tabs>
              <w:spacing w:after="0" w:line="240" w:lineRule="auto"/>
              <w:jc w:val="both"/>
              <w:rPr>
                <w:rFonts w:ascii="Times New Roman" w:eastAsia="AngsanaUPC" w:hAnsi="Times New Roman"/>
                <w:b/>
                <w:bCs/>
                <w:sz w:val="24"/>
                <w:szCs w:val="24"/>
                <w:lang w:eastAsia="lt-LT"/>
              </w:rPr>
            </w:pPr>
            <w:r w:rsidRPr="00715EE1">
              <w:rPr>
                <w:rFonts w:ascii="Times New Roman" w:eastAsia="AngsanaUPC" w:hAnsi="Times New Roman"/>
                <w:b/>
                <w:bCs/>
                <w:i/>
                <w:iCs/>
                <w:sz w:val="24"/>
                <w:szCs w:val="24"/>
                <w:lang w:eastAsia="lt-LT"/>
              </w:rPr>
              <w:t>Didelės apimties projektai</w:t>
            </w:r>
          </w:p>
        </w:tc>
      </w:tr>
      <w:tr w:rsidR="00715EE1" w:rsidRPr="00715EE1" w:rsidTr="00AA51F3">
        <w:tc>
          <w:tcPr>
            <w:tcW w:w="9746" w:type="dxa"/>
            <w:shd w:val="clear" w:color="auto" w:fill="auto"/>
          </w:tcPr>
          <w:p w:rsidR="00715EE1" w:rsidRPr="00715EE1" w:rsidRDefault="00715EE1" w:rsidP="00715EE1">
            <w:pPr>
              <w:widowControl w:val="0"/>
              <w:tabs>
                <w:tab w:val="left" w:pos="622"/>
              </w:tabs>
              <w:spacing w:after="0" w:line="240" w:lineRule="auto"/>
              <w:ind w:firstLine="601"/>
              <w:jc w:val="both"/>
              <w:rPr>
                <w:rFonts w:ascii="Times New Roman" w:eastAsia="AngsanaUPC" w:hAnsi="Times New Roman"/>
                <w:bCs/>
                <w:iCs/>
                <w:sz w:val="24"/>
                <w:szCs w:val="24"/>
                <w:lang w:eastAsia="lt-LT"/>
              </w:rPr>
            </w:pPr>
            <w:r w:rsidRPr="00715EE1">
              <w:rPr>
                <w:rFonts w:ascii="Times New Roman" w:eastAsia="AngsanaUPC" w:hAnsi="Times New Roman"/>
                <w:bCs/>
                <w:iCs/>
                <w:sz w:val="24"/>
                <w:szCs w:val="24"/>
                <w:lang w:eastAsia="lt-LT"/>
              </w:rPr>
              <w:t>Pagal šį investicinį prioritetą didelės apimties projektų vykdyti nenumatoma.</w:t>
            </w:r>
          </w:p>
        </w:tc>
      </w:tr>
    </w:tbl>
    <w:p w:rsidR="00715EE1" w:rsidRPr="00385835" w:rsidRDefault="00715EE1"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vAlign w:val="center"/>
          </w:tcPr>
          <w:p w:rsidR="00385835" w:rsidRPr="00385835" w:rsidRDefault="00385835" w:rsidP="00385835">
            <w:pPr>
              <w:widowControl w:val="0"/>
              <w:tabs>
                <w:tab w:val="left" w:pos="622"/>
              </w:tabs>
              <w:spacing w:after="0" w:line="240" w:lineRule="auto"/>
              <w:rPr>
                <w:rFonts w:ascii="Times New Roman" w:eastAsia="AngsanaUPC" w:hAnsi="Times New Roman"/>
                <w:b/>
                <w:bCs/>
                <w:iCs/>
                <w:sz w:val="24"/>
                <w:szCs w:val="24"/>
                <w:lang w:eastAsia="lt-LT"/>
              </w:rPr>
            </w:pPr>
            <w:r w:rsidRPr="00385835">
              <w:rPr>
                <w:rFonts w:ascii="Times New Roman" w:eastAsia="AngsanaUPC" w:hAnsi="Times New Roman"/>
                <w:b/>
                <w:bCs/>
                <w:iCs/>
                <w:sz w:val="24"/>
                <w:szCs w:val="24"/>
                <w:lang w:eastAsia="lt-LT"/>
              </w:rPr>
              <w:t>5.2. INVESTICINIS PRIORITETAS</w:t>
            </w:r>
          </w:p>
        </w:tc>
        <w:tc>
          <w:tcPr>
            <w:tcW w:w="7336" w:type="dxa"/>
            <w:shd w:val="clear" w:color="auto" w:fill="EEECE1"/>
            <w:vAlign w:val="center"/>
          </w:tcPr>
          <w:p w:rsidR="00385835" w:rsidRPr="00385835" w:rsidRDefault="00385835" w:rsidP="00385835">
            <w:pPr>
              <w:spacing w:after="0" w:line="240" w:lineRule="auto"/>
              <w:jc w:val="both"/>
              <w:rPr>
                <w:rFonts w:ascii="Times New Roman" w:hAnsi="Times New Roman"/>
                <w:b/>
                <w:sz w:val="24"/>
                <w:szCs w:val="24"/>
              </w:rPr>
            </w:pPr>
            <w:r w:rsidRPr="00385835">
              <w:rPr>
                <w:rFonts w:ascii="Times New Roman" w:hAnsi="Times New Roman"/>
                <w:b/>
                <w:sz w:val="24"/>
                <w:szCs w:val="24"/>
              </w:rPr>
              <w:t xml:space="preserve">Investicijos į atliekų sektorių, siekiant įvykdyti ES aplinkos </w:t>
            </w:r>
            <w:r w:rsidRPr="00385835">
              <w:rPr>
                <w:rFonts w:ascii="Times New Roman" w:hAnsi="Times New Roman"/>
                <w:b/>
                <w:i/>
                <w:sz w:val="24"/>
                <w:szCs w:val="24"/>
              </w:rPr>
              <w:t>acquis</w:t>
            </w:r>
            <w:r w:rsidRPr="00385835">
              <w:rPr>
                <w:rFonts w:ascii="Times New Roman" w:hAnsi="Times New Roman"/>
                <w:b/>
                <w:sz w:val="24"/>
                <w:szCs w:val="24"/>
              </w:rPr>
              <w:t xml:space="preserve"> reikalavimus ir patenkinti valstybių narių nustatytus poreikius, vir</w:t>
            </w:r>
            <w:r w:rsidR="00031EF1">
              <w:rPr>
                <w:rFonts w:ascii="Times New Roman" w:hAnsi="Times New Roman"/>
                <w:b/>
                <w:sz w:val="24"/>
                <w:szCs w:val="24"/>
              </w:rPr>
              <w:t xml:space="preserve">šijančius tuos reikalavimus </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FONDAS</w:t>
            </w:r>
          </w:p>
        </w:tc>
        <w:tc>
          <w:tcPr>
            <w:tcW w:w="7336"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Sanglaudos fondas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tcPr>
          <w:p w:rsidR="00385835" w:rsidRPr="00385835" w:rsidRDefault="00385835" w:rsidP="00385835">
            <w:pPr>
              <w:widowControl w:val="0"/>
              <w:tabs>
                <w:tab w:val="left" w:pos="622"/>
              </w:tabs>
              <w:spacing w:after="0" w:line="240" w:lineRule="auto"/>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5.2.1. KONKRETUS UŽDAVINYS</w:t>
            </w:r>
          </w:p>
        </w:tc>
        <w:tc>
          <w:tcPr>
            <w:tcW w:w="7336" w:type="dxa"/>
            <w:shd w:val="clear" w:color="auto" w:fill="EEECE1"/>
            <w:vAlign w:val="center"/>
          </w:tcPr>
          <w:p w:rsidR="00385835" w:rsidRPr="00385835" w:rsidRDefault="00385835" w:rsidP="00385835">
            <w:pPr>
              <w:spacing w:after="0" w:line="240" w:lineRule="auto"/>
              <w:rPr>
                <w:rFonts w:ascii="Times New Roman" w:hAnsi="Times New Roman"/>
                <w:b/>
                <w:sz w:val="24"/>
                <w:szCs w:val="24"/>
              </w:rPr>
            </w:pPr>
            <w:r w:rsidRPr="00385835">
              <w:rPr>
                <w:rFonts w:ascii="Times New Roman" w:hAnsi="Times New Roman"/>
                <w:b/>
                <w:sz w:val="24"/>
                <w:szCs w:val="24"/>
              </w:rPr>
              <w:t>Sumažinti sąvartynuose šalinamų komunalinių atliekų kiekį ir užtikrinti tinkamą radioaktyvių atliekų saugojimą</w:t>
            </w:r>
          </w:p>
        </w:tc>
      </w:tr>
      <w:tr w:rsidR="00385835" w:rsidRPr="00385835" w:rsidTr="00385835">
        <w:tc>
          <w:tcPr>
            <w:tcW w:w="9746" w:type="dxa"/>
            <w:gridSpan w:val="2"/>
            <w:shd w:val="clear" w:color="auto" w:fill="auto"/>
          </w:tcPr>
          <w:p w:rsidR="00833ED3" w:rsidRPr="009F0528" w:rsidRDefault="009F0528" w:rsidP="00833ED3">
            <w:pPr>
              <w:suppressAutoHyphens/>
              <w:autoSpaceDE w:val="0"/>
              <w:autoSpaceDN w:val="0"/>
              <w:adjustRightInd w:val="0"/>
              <w:spacing w:after="0" w:line="240" w:lineRule="auto"/>
              <w:ind w:left="34" w:firstLine="567"/>
              <w:jc w:val="both"/>
              <w:textAlignment w:val="center"/>
              <w:rPr>
                <w:rFonts w:ascii="Times New Roman" w:eastAsia="AngsanaUPC" w:hAnsi="Times New Roman"/>
                <w:bCs/>
                <w:sz w:val="24"/>
                <w:szCs w:val="24"/>
                <w:lang w:eastAsia="lt-LT"/>
              </w:rPr>
            </w:pPr>
            <w:r w:rsidRPr="009F0528">
              <w:rPr>
                <w:rFonts w:ascii="Times New Roman" w:eastAsia="AngsanaUPC" w:hAnsi="Times New Roman"/>
                <w:bCs/>
                <w:sz w:val="24"/>
                <w:szCs w:val="24"/>
                <w:lang w:eastAsia="lt-LT"/>
              </w:rPr>
              <w:t>201</w:t>
            </w:r>
            <w:r w:rsidRPr="008A4871">
              <w:rPr>
                <w:rFonts w:ascii="Times New Roman" w:eastAsia="AngsanaUPC" w:hAnsi="Times New Roman"/>
                <w:bCs/>
                <w:sz w:val="24"/>
                <w:szCs w:val="24"/>
                <w:lang w:eastAsia="lt-LT"/>
              </w:rPr>
              <w:t>4</w:t>
            </w:r>
            <w:r w:rsidRPr="009F0528">
              <w:rPr>
                <w:rFonts w:ascii="Times New Roman" w:eastAsia="AngsanaUPC" w:hAnsi="Times New Roman"/>
                <w:bCs/>
                <w:sz w:val="24"/>
                <w:szCs w:val="24"/>
                <w:lang w:eastAsia="lt-LT"/>
              </w:rPr>
              <w:t xml:space="preserve"> m. duomenimis Lietuvoje buvo surinkta 1,27 mln. t komunalinių atliekų (iš jų mišrių komunalinių atliekų – 0,92 mln. t), perdirbta – 21 proc., kompostuota – 9 proc., sudeginta – 9 proc., laikinai saugoma – 2 proc., pašalinta – 59 proc. Prognozuojama, kad 2020 m. bus surenkama 1,4 mln. t komunalinių atliekų, o po apdorojimo mechaninio biologinio apdorojimo  įrenginiuose susidarys apie 540 tūkst. t/metus po rūšiavimo likusių, perdirbti ir pakartotinai naudoti netinkamų, bet energetinę vertę turinčių komunalinių atliekų, kurios turėtų būti panaudojamos energijai gauti. Klaipėdos termofikacinėje jėgainėje gali būti panaudota iki 180 tūkst. t/metus komunalinių ir pramoninių atliekų, todėl planuojama sukurti </w:t>
            </w:r>
            <w:r w:rsidRPr="008A4871">
              <w:rPr>
                <w:rFonts w:ascii="Times New Roman" w:eastAsia="AngsanaUPC" w:hAnsi="Times New Roman"/>
                <w:bCs/>
                <w:sz w:val="24"/>
                <w:szCs w:val="24"/>
                <w:lang w:eastAsia="lt-LT"/>
              </w:rPr>
              <w:t>160 t</w:t>
            </w:r>
            <w:r w:rsidRPr="009F0528">
              <w:rPr>
                <w:rFonts w:ascii="Times New Roman" w:eastAsia="AngsanaUPC" w:hAnsi="Times New Roman"/>
                <w:bCs/>
                <w:sz w:val="24"/>
                <w:szCs w:val="24"/>
                <w:lang w:eastAsia="lt-LT"/>
              </w:rPr>
              <w:t>ū</w:t>
            </w:r>
            <w:r w:rsidRPr="008A4871">
              <w:rPr>
                <w:rFonts w:ascii="Times New Roman" w:eastAsia="AngsanaUPC" w:hAnsi="Times New Roman"/>
                <w:bCs/>
                <w:sz w:val="24"/>
                <w:szCs w:val="24"/>
                <w:lang w:eastAsia="lt-LT"/>
              </w:rPr>
              <w:t xml:space="preserve">kst. t/metus </w:t>
            </w:r>
            <w:r w:rsidRPr="009F0528">
              <w:rPr>
                <w:rFonts w:ascii="Times New Roman" w:eastAsia="AngsanaUPC" w:hAnsi="Times New Roman"/>
                <w:bCs/>
                <w:sz w:val="24"/>
                <w:szCs w:val="24"/>
                <w:lang w:eastAsia="lt-LT"/>
              </w:rPr>
              <w:t>komunalinių atliekų panaudojimo energijai gauti pajėgumus Vilniaus mieste.</w:t>
            </w:r>
          </w:p>
          <w:p w:rsidR="00385835" w:rsidRPr="00385835" w:rsidRDefault="00385835" w:rsidP="00385835">
            <w:pPr>
              <w:suppressAutoHyphens/>
              <w:autoSpaceDE w:val="0"/>
              <w:autoSpaceDN w:val="0"/>
              <w:adjustRightInd w:val="0"/>
              <w:spacing w:after="0" w:line="240" w:lineRule="auto"/>
              <w:ind w:left="34" w:firstLine="567"/>
              <w:jc w:val="both"/>
              <w:textAlignment w:val="center"/>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Vertinant atliekų susidarymą, tvarkymo būklę ir atliekų tvarkymo užduočių įgyvendinimą, trūksta patikimų valstybinės atliekų apskaitos, gaminių ir pakuočių tiekimo į rinką duomenų, reguliarios ir sisteminės jų analizės, ypač vertinant komunalinių atliekų susidarymą ir tvarkymą. Vis dar nėra sukurtos vieningos gaminių, pakuočių ir atliekų apskaitos sistemos.</w:t>
            </w:r>
          </w:p>
          <w:p w:rsidR="00385835" w:rsidRPr="00385835" w:rsidRDefault="009F0528" w:rsidP="00385835">
            <w:pPr>
              <w:autoSpaceDE w:val="0"/>
              <w:autoSpaceDN w:val="0"/>
              <w:adjustRightInd w:val="0"/>
              <w:spacing w:after="0" w:line="240" w:lineRule="auto"/>
              <w:ind w:firstLine="624"/>
              <w:jc w:val="both"/>
              <w:rPr>
                <w:rFonts w:ascii="Times New Roman" w:eastAsia="AngsanaUPC" w:hAnsi="Times New Roman"/>
                <w:bCs/>
                <w:sz w:val="24"/>
                <w:szCs w:val="24"/>
                <w:lang w:eastAsia="lt-LT"/>
              </w:rPr>
            </w:pPr>
            <w:r w:rsidRPr="009F0528">
              <w:rPr>
                <w:rFonts w:ascii="Times New Roman" w:eastAsia="AngsanaUPC" w:hAnsi="Times New Roman"/>
                <w:bCs/>
                <w:sz w:val="24"/>
                <w:szCs w:val="24"/>
                <w:lang w:eastAsia="lt-LT"/>
              </w:rPr>
              <w:t>Siekiant sumažinti atliekų šalinimą sąvartynuose įgyvendinant atliekų tvarkymo prioritetų eiliškumą, būtina užtikrinti sukurtos komunalinių atliekų tvarkymo sistemos efektyvų veikimą, plėtojant atskirą atliekų (žaliųjų, maisto</w:t>
            </w:r>
            <w:r w:rsidR="006B0BC5">
              <w:rPr>
                <w:rFonts w:ascii="Times New Roman" w:eastAsia="AngsanaUPC" w:hAnsi="Times New Roman"/>
                <w:bCs/>
                <w:sz w:val="24"/>
                <w:szCs w:val="24"/>
                <w:lang w:eastAsia="lt-LT"/>
              </w:rPr>
              <w:t xml:space="preserve"> </w:t>
            </w:r>
            <w:r w:rsidRPr="009F0528">
              <w:rPr>
                <w:rFonts w:ascii="Times New Roman" w:eastAsia="AngsanaUPC" w:hAnsi="Times New Roman"/>
                <w:bCs/>
                <w:sz w:val="24"/>
                <w:szCs w:val="24"/>
                <w:lang w:eastAsia="lt-LT"/>
              </w:rPr>
              <w:t>/</w:t>
            </w:r>
            <w:r w:rsidR="006B0BC5">
              <w:rPr>
                <w:rFonts w:ascii="Times New Roman" w:eastAsia="AngsanaUPC" w:hAnsi="Times New Roman"/>
                <w:bCs/>
                <w:sz w:val="24"/>
                <w:szCs w:val="24"/>
                <w:lang w:eastAsia="lt-LT"/>
              </w:rPr>
              <w:t xml:space="preserve"> </w:t>
            </w:r>
            <w:r w:rsidRPr="009F0528">
              <w:rPr>
                <w:rFonts w:ascii="Times New Roman" w:eastAsia="AngsanaUPC" w:hAnsi="Times New Roman"/>
                <w:bCs/>
                <w:sz w:val="24"/>
                <w:szCs w:val="24"/>
                <w:lang w:eastAsia="lt-LT"/>
              </w:rPr>
              <w:t xml:space="preserve">virtuvės, antrinių žaliavų, įskaitant pakuočių) rūšiuojamąjį surinkimą, atliekų paruošimą perdirbimui, perdirbimo (kompostavimo) bei energijos atgavimo pajėgumus, ypatingą dėmesį skiriant atliekų pakartotiniam naudojimui ir atliekų prevencijai. Taip pat turi būti sudarytos organizacinės ir (ar) techninės sąlygos kasmet surinkti ir panaudoti ne mažiau kaip 55–80 proc. pakuočių atliekų, skaičiuojant pagal patiektą vidaus rinkai pakuočių kiekį, sukurti vieningą gaminių, pakuočių ir atliekų apskaitos sistemą. Prie šių tikslų siekimo taip pat prisidės taikomi šie nauji atliekų tvarkymo ekonominiai instrumentai: nuo 2016 metų įvedamas mokestis už sąvartynuose šalinamas atliekas (vėliau nuosekliai didinamas), </w:t>
            </w:r>
            <w:r w:rsidRPr="009F0528">
              <w:rPr>
                <w:rFonts w:ascii="Times New Roman" w:eastAsia="AngsanaUPC" w:hAnsi="Times New Roman"/>
                <w:bCs/>
                <w:sz w:val="24"/>
                <w:szCs w:val="24"/>
                <w:lang w:eastAsia="lt-LT"/>
              </w:rPr>
              <w:lastRenderedPageBreak/>
              <w:t>įvertinamas mokesčio už atliekų apdorojimą mechaninio biologinio apdorojimo įrenginiuose ir mokesčio už atliekų panaudojimą energijai gauti įvedimo tikslingumas, planuojamas taikyti diferencijuotas komunalinių atliekų tvarkymo apmokestinimas bei įvedama užstato sistema vienkartinei gėrimų pakuotei. Ne mažiau svarbu didinti visuomenės sąmoningumą atliekų tvarkymo srityje.</w:t>
            </w:r>
          </w:p>
          <w:p w:rsidR="00385835" w:rsidRPr="00385835" w:rsidRDefault="009F0528" w:rsidP="009C234F">
            <w:pPr>
              <w:widowControl w:val="0"/>
              <w:tabs>
                <w:tab w:val="left" w:pos="622"/>
              </w:tabs>
              <w:spacing w:after="0" w:line="240" w:lineRule="auto"/>
              <w:ind w:firstLine="624"/>
              <w:jc w:val="both"/>
              <w:rPr>
                <w:rFonts w:ascii="Times New Roman" w:eastAsia="AngsanaUPC" w:hAnsi="Times New Roman"/>
                <w:bCs/>
                <w:sz w:val="24"/>
                <w:szCs w:val="24"/>
                <w:lang w:eastAsia="lt-LT"/>
              </w:rPr>
            </w:pPr>
            <w:r w:rsidRPr="00EF6C64">
              <w:rPr>
                <w:rFonts w:ascii="Times New Roman" w:hAnsi="Times New Roman"/>
                <w:bCs/>
                <w:color w:val="000000"/>
                <w:sz w:val="24"/>
                <w:szCs w:val="24"/>
              </w:rPr>
              <w:t xml:space="preserve">Investicijomis </w:t>
            </w:r>
            <w:r w:rsidRPr="009F0528">
              <w:rPr>
                <w:rFonts w:ascii="Times New Roman" w:hAnsi="Times New Roman"/>
                <w:bCs/>
                <w:color w:val="000000"/>
                <w:sz w:val="24"/>
                <w:szCs w:val="24"/>
              </w:rPr>
              <w:t>prioriteto tvarka</w:t>
            </w:r>
            <w:r w:rsidRPr="00EF6C64">
              <w:rPr>
                <w:rFonts w:ascii="Times New Roman" w:hAnsi="Times New Roman"/>
                <w:bCs/>
                <w:color w:val="000000"/>
                <w:sz w:val="24"/>
                <w:szCs w:val="24"/>
              </w:rPr>
              <w:t xml:space="preserve"> bus išplėtotos</w:t>
            </w:r>
            <w:r w:rsidRPr="00BF4840">
              <w:rPr>
                <w:rFonts w:ascii="Times New Roman" w:hAnsi="Times New Roman"/>
                <w:bCs/>
                <w:color w:val="000000"/>
                <w:sz w:val="24"/>
                <w:szCs w:val="24"/>
              </w:rPr>
              <w:t xml:space="preserve"> rūšiuojamojo surinkimo sistemos</w:t>
            </w:r>
            <w:r w:rsidRPr="009F0528">
              <w:rPr>
                <w:rFonts w:ascii="Times New Roman" w:hAnsi="Times New Roman"/>
                <w:bCs/>
                <w:color w:val="000000"/>
                <w:sz w:val="24"/>
                <w:szCs w:val="24"/>
              </w:rPr>
              <w:t>,</w:t>
            </w:r>
            <w:r w:rsidRPr="00BF4840">
              <w:rPr>
                <w:rFonts w:ascii="Times New Roman" w:hAnsi="Times New Roman"/>
                <w:bCs/>
                <w:color w:val="000000"/>
                <w:sz w:val="24"/>
                <w:szCs w:val="24"/>
              </w:rPr>
              <w:t xml:space="preserve"> sukurti pajėgumai komunalinių atliekų paruošimui perdirbti ar kitaip naudoti</w:t>
            </w:r>
            <w:r w:rsidRPr="006B0BC5">
              <w:rPr>
                <w:rFonts w:ascii="Times New Roman" w:hAnsi="Times New Roman"/>
                <w:bCs/>
                <w:color w:val="000000"/>
                <w:sz w:val="24"/>
                <w:szCs w:val="24"/>
              </w:rPr>
              <w:t xml:space="preserve">, </w:t>
            </w:r>
            <w:r w:rsidRPr="009F0528">
              <w:rPr>
                <w:rFonts w:ascii="Times New Roman" w:hAnsi="Times New Roman"/>
                <w:color w:val="000000"/>
                <w:sz w:val="24"/>
                <w:szCs w:val="24"/>
              </w:rPr>
              <w:t>panaudojimui energijai gauti</w:t>
            </w:r>
            <w:r w:rsidRPr="00BF4840">
              <w:rPr>
                <w:rFonts w:ascii="Times New Roman" w:hAnsi="Times New Roman"/>
                <w:bCs/>
                <w:color w:val="000000"/>
                <w:sz w:val="24"/>
                <w:szCs w:val="24"/>
              </w:rPr>
              <w:t>.</w:t>
            </w:r>
            <w:r w:rsidRPr="00BF4840">
              <w:rPr>
                <w:rFonts w:ascii="Times New Roman" w:hAnsi="Times New Roman"/>
                <w:bCs/>
                <w:iCs/>
                <w:color w:val="000000"/>
                <w:sz w:val="24"/>
                <w:szCs w:val="24"/>
              </w:rPr>
              <w:t xml:space="preserve"> </w:t>
            </w:r>
            <w:r w:rsidRPr="00BF4840">
              <w:rPr>
                <w:rFonts w:ascii="Times New Roman" w:hAnsi="Times New Roman"/>
                <w:bCs/>
                <w:color w:val="000000"/>
                <w:sz w:val="24"/>
                <w:szCs w:val="24"/>
              </w:rPr>
              <w:t>Projektais</w:t>
            </w:r>
            <w:r w:rsidRPr="00BF4840">
              <w:rPr>
                <w:rFonts w:ascii="Times New Roman" w:hAnsi="Times New Roman"/>
                <w:bCs/>
                <w:iCs/>
                <w:color w:val="000000"/>
                <w:sz w:val="24"/>
                <w:szCs w:val="24"/>
              </w:rPr>
              <w:t xml:space="preserve"> </w:t>
            </w:r>
            <w:r w:rsidRPr="00BF4840">
              <w:rPr>
                <w:rFonts w:ascii="Times New Roman" w:hAnsi="Times New Roman"/>
                <w:bCs/>
                <w:color w:val="000000"/>
                <w:sz w:val="24"/>
                <w:szCs w:val="24"/>
              </w:rPr>
              <w:t>siekiama įgyvendinti Valstybinėje atliekų prevencijos programoje, Valstybiniame atliekų tvarkymo plane ir regioniniuose planuose iškeltus tikslus, uždavinius ir priemones.</w:t>
            </w:r>
          </w:p>
          <w:p w:rsidR="00385835" w:rsidRPr="00385835" w:rsidRDefault="00385835" w:rsidP="00385835">
            <w:pPr>
              <w:widowControl w:val="0"/>
              <w:tabs>
                <w:tab w:val="left" w:pos="622"/>
              </w:tabs>
              <w:spacing w:after="0" w:line="240" w:lineRule="auto"/>
              <w:ind w:firstLine="624"/>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Lietuva taip pat susiduria su problema dėl radioaktyvių atliekų tvarkymo, t.</w:t>
            </w:r>
            <w:r w:rsidR="006B0BC5">
              <w:rPr>
                <w:rFonts w:ascii="Times New Roman" w:eastAsia="AngsanaUPC" w:hAnsi="Times New Roman"/>
                <w:bCs/>
                <w:sz w:val="24"/>
                <w:szCs w:val="24"/>
                <w:lang w:eastAsia="lt-LT"/>
              </w:rPr>
              <w:t xml:space="preserve"> </w:t>
            </w:r>
            <w:r w:rsidRPr="00385835">
              <w:rPr>
                <w:rFonts w:ascii="Times New Roman" w:eastAsia="AngsanaUPC" w:hAnsi="Times New Roman"/>
                <w:bCs/>
                <w:sz w:val="24"/>
                <w:szCs w:val="24"/>
                <w:lang w:eastAsia="lt-LT"/>
              </w:rPr>
              <w:t xml:space="preserve">y. visos Lietuvos pramonės, medicinos įstaigų ir mokslo tyrimų centrų radioaktyviosios atliekos buvo laikomos Maišiagalos saugykloje eksploatavimo metu (1963–1988 m.). Atliktas išsamus saugos vertinimas nustatė, kad yra potenciali grėsmė pakenkti Bartkuškio telmologinio draustinio ekosistemai. Būtina išvalyti teritoriją ir radioaktyviąsias atliekas išvežti į naujai statomas Ignalinos AE saugyklas. Taip būtų įvykdyti aplinkos </w:t>
            </w:r>
            <w:r w:rsidRPr="00385835">
              <w:rPr>
                <w:rFonts w:ascii="Times New Roman" w:eastAsia="AngsanaUPC" w:hAnsi="Times New Roman"/>
                <w:bCs/>
                <w:i/>
                <w:sz w:val="24"/>
                <w:szCs w:val="24"/>
                <w:lang w:eastAsia="lt-LT"/>
              </w:rPr>
              <w:t>acquis</w:t>
            </w:r>
            <w:r w:rsidRPr="00385835">
              <w:rPr>
                <w:rFonts w:ascii="Times New Roman" w:eastAsia="AngsanaUPC" w:hAnsi="Times New Roman"/>
                <w:bCs/>
                <w:sz w:val="24"/>
                <w:szCs w:val="24"/>
                <w:lang w:eastAsia="lt-LT"/>
              </w:rPr>
              <w:t xml:space="preserve"> reikalavimai, t.</w:t>
            </w:r>
            <w:r w:rsidR="006B0BC5">
              <w:rPr>
                <w:rFonts w:ascii="Times New Roman" w:eastAsia="AngsanaUPC" w:hAnsi="Times New Roman"/>
                <w:bCs/>
                <w:sz w:val="24"/>
                <w:szCs w:val="24"/>
                <w:lang w:eastAsia="lt-LT"/>
              </w:rPr>
              <w:t xml:space="preserve"> </w:t>
            </w:r>
            <w:r w:rsidRPr="00385835">
              <w:rPr>
                <w:rFonts w:ascii="Times New Roman" w:eastAsia="AngsanaUPC" w:hAnsi="Times New Roman"/>
                <w:bCs/>
                <w:sz w:val="24"/>
                <w:szCs w:val="24"/>
                <w:lang w:eastAsia="lt-LT"/>
              </w:rPr>
              <w:t>y. pašalinta galimai potencialių pavojingų medžiagų tarša Bartkuškio telmologiniame draustinyje.</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471"/>
        <w:gridCol w:w="2339"/>
        <w:gridCol w:w="1006"/>
        <w:gridCol w:w="1006"/>
        <w:gridCol w:w="850"/>
        <w:gridCol w:w="951"/>
        <w:gridCol w:w="847"/>
        <w:gridCol w:w="1049"/>
        <w:gridCol w:w="1227"/>
      </w:tblGrid>
      <w:tr w:rsidR="00385835" w:rsidRPr="00385835" w:rsidTr="00385835">
        <w:tc>
          <w:tcPr>
            <w:tcW w:w="9746" w:type="dxa"/>
            <w:gridSpan w:val="9"/>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i/>
                <w:iCs/>
                <w:sz w:val="24"/>
                <w:szCs w:val="24"/>
                <w:lang w:eastAsia="lt-LT"/>
              </w:rPr>
            </w:pPr>
            <w:r w:rsidRPr="00385835">
              <w:rPr>
                <w:rFonts w:ascii="Times New Roman" w:eastAsia="AngsanaUPC" w:hAnsi="Times New Roman"/>
                <w:b/>
                <w:bCs/>
                <w:i/>
                <w:iCs/>
                <w:sz w:val="24"/>
                <w:szCs w:val="24"/>
                <w:lang w:eastAsia="lt-LT"/>
              </w:rPr>
              <w:t xml:space="preserve">SaF </w:t>
            </w:r>
            <w:r w:rsidR="00B1109C">
              <w:rPr>
                <w:rFonts w:ascii="Times New Roman" w:eastAsia="AngsanaUPC" w:hAnsi="Times New Roman"/>
                <w:b/>
                <w:bCs/>
                <w:i/>
                <w:iCs/>
                <w:sz w:val="24"/>
                <w:szCs w:val="24"/>
                <w:lang w:eastAsia="lt-LT"/>
              </w:rPr>
              <w:t xml:space="preserve">specialieji </w:t>
            </w:r>
            <w:r w:rsidRPr="00385835">
              <w:rPr>
                <w:rFonts w:ascii="Times New Roman" w:eastAsia="AngsanaUPC" w:hAnsi="Times New Roman"/>
                <w:b/>
                <w:bCs/>
                <w:i/>
                <w:iCs/>
                <w:sz w:val="24"/>
                <w:szCs w:val="24"/>
                <w:lang w:eastAsia="lt-LT"/>
              </w:rPr>
              <w:t>programos rezultato rodikliai</w:t>
            </w:r>
          </w:p>
        </w:tc>
      </w:tr>
      <w:tr w:rsidR="00385835" w:rsidRPr="00385835" w:rsidTr="00515A37">
        <w:tblPrEx>
          <w:shd w:val="clear" w:color="auto" w:fill="auto"/>
        </w:tblPrEx>
        <w:trPr>
          <w:cantSplit/>
          <w:trHeight w:val="852"/>
        </w:trPr>
        <w:tc>
          <w:tcPr>
            <w:tcW w:w="47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Nr.</w:t>
            </w:r>
          </w:p>
        </w:tc>
        <w:tc>
          <w:tcPr>
            <w:tcW w:w="2339"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Rodiklio pavadinimas</w:t>
            </w:r>
          </w:p>
        </w:tc>
        <w:tc>
          <w:tcPr>
            <w:tcW w:w="1006"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Matavimo vienetas</w:t>
            </w:r>
          </w:p>
        </w:tc>
        <w:tc>
          <w:tcPr>
            <w:tcW w:w="1006"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Regiono kategorija</w:t>
            </w:r>
          </w:p>
        </w:tc>
        <w:tc>
          <w:tcPr>
            <w:tcW w:w="850"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 reikšmė</w:t>
            </w:r>
          </w:p>
        </w:tc>
        <w:tc>
          <w:tcPr>
            <w:tcW w:w="95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Pradinės reikšmės metai</w:t>
            </w:r>
          </w:p>
        </w:tc>
        <w:tc>
          <w:tcPr>
            <w:tcW w:w="847"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Siektina reikšmė (2023)</w:t>
            </w:r>
          </w:p>
        </w:tc>
        <w:tc>
          <w:tcPr>
            <w:tcW w:w="1049"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Duomenų šaltinis</w:t>
            </w:r>
          </w:p>
        </w:tc>
        <w:tc>
          <w:tcPr>
            <w:tcW w:w="1227"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Atsiskaitymo dažnumas</w:t>
            </w:r>
          </w:p>
        </w:tc>
      </w:tr>
      <w:tr w:rsidR="00515A37" w:rsidRPr="00385835" w:rsidTr="00515A37">
        <w:tblPrEx>
          <w:shd w:val="clear" w:color="auto" w:fill="auto"/>
        </w:tblPrEx>
        <w:tc>
          <w:tcPr>
            <w:tcW w:w="471" w:type="dxa"/>
            <w:shd w:val="clear" w:color="auto" w:fill="auto"/>
            <w:vAlign w:val="center"/>
          </w:tcPr>
          <w:p w:rsidR="00515A37" w:rsidRPr="00385835" w:rsidRDefault="00515A37"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1.</w:t>
            </w:r>
          </w:p>
        </w:tc>
        <w:tc>
          <w:tcPr>
            <w:tcW w:w="2339" w:type="dxa"/>
            <w:shd w:val="clear" w:color="auto" w:fill="auto"/>
            <w:vAlign w:val="center"/>
          </w:tcPr>
          <w:p w:rsidR="00515A37" w:rsidRPr="00385835" w:rsidRDefault="00515A37" w:rsidP="00385835">
            <w:pPr>
              <w:widowControl w:val="0"/>
              <w:tabs>
                <w:tab w:val="left" w:pos="622"/>
              </w:tabs>
              <w:spacing w:after="0" w:line="240" w:lineRule="auto"/>
              <w:rPr>
                <w:rFonts w:ascii="Times New Roman" w:hAnsi="Times New Roman"/>
                <w:sz w:val="18"/>
                <w:szCs w:val="18"/>
              </w:rPr>
            </w:pPr>
            <w:r w:rsidRPr="00385835">
              <w:rPr>
                <w:rFonts w:ascii="Times New Roman" w:hAnsi="Times New Roman"/>
                <w:sz w:val="18"/>
                <w:szCs w:val="18"/>
              </w:rPr>
              <w:t>Sąvartynuose šalinamų komunalinių atliekų dalis</w:t>
            </w:r>
          </w:p>
        </w:tc>
        <w:tc>
          <w:tcPr>
            <w:tcW w:w="1006" w:type="dxa"/>
            <w:shd w:val="clear" w:color="auto" w:fill="auto"/>
            <w:vAlign w:val="center"/>
          </w:tcPr>
          <w:p w:rsidR="00515A37" w:rsidRPr="00385835" w:rsidRDefault="00515A37"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Proc.</w:t>
            </w:r>
          </w:p>
        </w:tc>
        <w:tc>
          <w:tcPr>
            <w:tcW w:w="1006" w:type="dxa"/>
            <w:shd w:val="clear" w:color="auto" w:fill="auto"/>
            <w:vAlign w:val="center"/>
          </w:tcPr>
          <w:p w:rsidR="00515A37" w:rsidRPr="0069193C" w:rsidRDefault="00515A37" w:rsidP="0069193C">
            <w:pPr>
              <w:spacing w:after="0" w:line="240" w:lineRule="auto"/>
              <w:jc w:val="center"/>
              <w:rPr>
                <w:rFonts w:ascii="Times New Roman" w:hAnsi="Times New Roman"/>
                <w:sz w:val="18"/>
                <w:szCs w:val="18"/>
              </w:rPr>
            </w:pPr>
            <w:r w:rsidRPr="0069193C">
              <w:rPr>
                <w:rFonts w:ascii="Times New Roman" w:eastAsia="AngsanaUPC" w:hAnsi="Times New Roman"/>
                <w:bCs/>
                <w:sz w:val="18"/>
                <w:szCs w:val="18"/>
                <w:lang w:eastAsia="lt-LT"/>
              </w:rPr>
              <w:t>–</w:t>
            </w:r>
          </w:p>
        </w:tc>
        <w:tc>
          <w:tcPr>
            <w:tcW w:w="850" w:type="dxa"/>
            <w:shd w:val="clear" w:color="auto" w:fill="auto"/>
            <w:vAlign w:val="center"/>
          </w:tcPr>
          <w:p w:rsidR="00515A37" w:rsidRPr="00385835" w:rsidRDefault="00515A37"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78</w:t>
            </w:r>
          </w:p>
        </w:tc>
        <w:tc>
          <w:tcPr>
            <w:tcW w:w="951" w:type="dxa"/>
            <w:shd w:val="clear" w:color="auto" w:fill="auto"/>
            <w:vAlign w:val="center"/>
          </w:tcPr>
          <w:p w:rsidR="00515A37" w:rsidRPr="00385835" w:rsidRDefault="00515A37"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2011</w:t>
            </w:r>
          </w:p>
        </w:tc>
        <w:tc>
          <w:tcPr>
            <w:tcW w:w="847" w:type="dxa"/>
            <w:shd w:val="clear" w:color="auto" w:fill="auto"/>
            <w:vAlign w:val="center"/>
          </w:tcPr>
          <w:p w:rsidR="00515A37" w:rsidRPr="0069193C" w:rsidRDefault="00833ED3" w:rsidP="009F0528">
            <w:pPr>
              <w:widowControl w:val="0"/>
              <w:tabs>
                <w:tab w:val="left" w:pos="622"/>
              </w:tabs>
              <w:spacing w:after="0" w:line="240" w:lineRule="auto"/>
              <w:jc w:val="center"/>
              <w:rPr>
                <w:rFonts w:ascii="Times New Roman" w:hAnsi="Times New Roman"/>
                <w:sz w:val="18"/>
                <w:szCs w:val="18"/>
              </w:rPr>
            </w:pPr>
            <w:r w:rsidRPr="0069193C">
              <w:rPr>
                <w:rFonts w:ascii="Times New Roman" w:hAnsi="Times New Roman"/>
                <w:color w:val="000000"/>
                <w:sz w:val="18"/>
                <w:szCs w:val="18"/>
              </w:rPr>
              <w:t>3</w:t>
            </w:r>
            <w:r w:rsidR="009F0528">
              <w:rPr>
                <w:rFonts w:ascii="Times New Roman" w:hAnsi="Times New Roman"/>
                <w:color w:val="000000"/>
                <w:sz w:val="18"/>
                <w:szCs w:val="18"/>
              </w:rPr>
              <w:t>0</w:t>
            </w:r>
          </w:p>
        </w:tc>
        <w:tc>
          <w:tcPr>
            <w:tcW w:w="1049" w:type="dxa"/>
            <w:shd w:val="clear" w:color="auto" w:fill="auto"/>
            <w:vAlign w:val="center"/>
          </w:tcPr>
          <w:p w:rsidR="00515A37" w:rsidRPr="00385835" w:rsidRDefault="00515A37"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Eurostatas</w:t>
            </w:r>
          </w:p>
        </w:tc>
        <w:tc>
          <w:tcPr>
            <w:tcW w:w="1227" w:type="dxa"/>
            <w:shd w:val="clear" w:color="auto" w:fill="auto"/>
            <w:vAlign w:val="center"/>
          </w:tcPr>
          <w:p w:rsidR="00515A37" w:rsidRPr="00385835" w:rsidRDefault="00515A37"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Kartą per metus</w:t>
            </w:r>
          </w:p>
        </w:tc>
      </w:tr>
      <w:tr w:rsidR="00515A37" w:rsidRPr="00385835" w:rsidTr="00515A37">
        <w:tblPrEx>
          <w:shd w:val="clear" w:color="auto" w:fill="auto"/>
        </w:tblPrEx>
        <w:tc>
          <w:tcPr>
            <w:tcW w:w="471" w:type="dxa"/>
            <w:shd w:val="clear" w:color="auto" w:fill="auto"/>
            <w:vAlign w:val="center"/>
          </w:tcPr>
          <w:p w:rsidR="00515A37" w:rsidRPr="00385835" w:rsidRDefault="00515A37"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2.</w:t>
            </w:r>
          </w:p>
        </w:tc>
        <w:tc>
          <w:tcPr>
            <w:tcW w:w="2339" w:type="dxa"/>
            <w:shd w:val="clear" w:color="auto" w:fill="auto"/>
            <w:vAlign w:val="center"/>
          </w:tcPr>
          <w:p w:rsidR="00515A37" w:rsidRPr="00385835" w:rsidRDefault="00515A37" w:rsidP="00385835">
            <w:pPr>
              <w:widowControl w:val="0"/>
              <w:tabs>
                <w:tab w:val="left" w:pos="622"/>
              </w:tabs>
              <w:spacing w:after="0" w:line="240" w:lineRule="auto"/>
              <w:rPr>
                <w:rFonts w:ascii="Times New Roman" w:hAnsi="Times New Roman"/>
                <w:sz w:val="18"/>
                <w:szCs w:val="18"/>
              </w:rPr>
            </w:pPr>
            <w:r w:rsidRPr="00385835">
              <w:rPr>
                <w:rFonts w:ascii="Times New Roman" w:hAnsi="Times New Roman"/>
                <w:sz w:val="18"/>
                <w:szCs w:val="18"/>
              </w:rPr>
              <w:t xml:space="preserve">Komunalinių atliekų sraute esančių popieriaus, plastiko, metalo, stiklo </w:t>
            </w:r>
            <w:r w:rsidR="00372023">
              <w:rPr>
                <w:rFonts w:ascii="Times New Roman" w:hAnsi="Times New Roman"/>
                <w:sz w:val="18"/>
                <w:szCs w:val="18"/>
              </w:rPr>
              <w:t xml:space="preserve">atliekų dalis, </w:t>
            </w:r>
            <w:r w:rsidRPr="00385835">
              <w:rPr>
                <w:rFonts w:ascii="Times New Roman" w:hAnsi="Times New Roman"/>
                <w:sz w:val="18"/>
                <w:szCs w:val="18"/>
              </w:rPr>
              <w:t>paruošta pakartotinai naudoti ar perdirbti</w:t>
            </w:r>
          </w:p>
        </w:tc>
        <w:tc>
          <w:tcPr>
            <w:tcW w:w="1006" w:type="dxa"/>
            <w:shd w:val="clear" w:color="auto" w:fill="auto"/>
            <w:vAlign w:val="center"/>
          </w:tcPr>
          <w:p w:rsidR="00515A37" w:rsidRPr="00385835" w:rsidRDefault="00515A37"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Proc.</w:t>
            </w:r>
          </w:p>
        </w:tc>
        <w:tc>
          <w:tcPr>
            <w:tcW w:w="1006" w:type="dxa"/>
            <w:shd w:val="clear" w:color="auto" w:fill="auto"/>
            <w:vAlign w:val="center"/>
          </w:tcPr>
          <w:p w:rsidR="00515A37" w:rsidRPr="0069193C" w:rsidRDefault="00515A37" w:rsidP="0069193C">
            <w:pPr>
              <w:spacing w:after="0" w:line="240" w:lineRule="auto"/>
              <w:jc w:val="center"/>
              <w:rPr>
                <w:rFonts w:ascii="Times New Roman" w:hAnsi="Times New Roman"/>
                <w:sz w:val="18"/>
                <w:szCs w:val="18"/>
              </w:rPr>
            </w:pPr>
            <w:r w:rsidRPr="0069193C">
              <w:rPr>
                <w:rFonts w:ascii="Times New Roman" w:eastAsia="AngsanaUPC" w:hAnsi="Times New Roman"/>
                <w:bCs/>
                <w:sz w:val="18"/>
                <w:szCs w:val="18"/>
                <w:lang w:eastAsia="lt-LT"/>
              </w:rPr>
              <w:t>–</w:t>
            </w:r>
          </w:p>
        </w:tc>
        <w:tc>
          <w:tcPr>
            <w:tcW w:w="850" w:type="dxa"/>
            <w:shd w:val="clear" w:color="auto" w:fill="auto"/>
            <w:vAlign w:val="center"/>
          </w:tcPr>
          <w:p w:rsidR="00515A37" w:rsidRPr="00385835" w:rsidRDefault="00515A37"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17</w:t>
            </w:r>
          </w:p>
        </w:tc>
        <w:tc>
          <w:tcPr>
            <w:tcW w:w="951" w:type="dxa"/>
            <w:shd w:val="clear" w:color="auto" w:fill="auto"/>
            <w:vAlign w:val="center"/>
          </w:tcPr>
          <w:p w:rsidR="00515A37" w:rsidRPr="00385835" w:rsidRDefault="00515A37" w:rsidP="00385835">
            <w:pPr>
              <w:widowControl w:val="0"/>
              <w:tabs>
                <w:tab w:val="left" w:pos="622"/>
              </w:tabs>
              <w:spacing w:after="0" w:line="240" w:lineRule="auto"/>
              <w:jc w:val="center"/>
              <w:rPr>
                <w:rFonts w:ascii="Times New Roman" w:hAnsi="Times New Roman"/>
                <w:sz w:val="18"/>
                <w:szCs w:val="18"/>
              </w:rPr>
            </w:pPr>
            <w:r w:rsidRPr="00385835">
              <w:rPr>
                <w:rFonts w:ascii="Times New Roman" w:eastAsia="AngsanaUPC" w:hAnsi="Times New Roman"/>
                <w:bCs/>
                <w:iCs/>
                <w:sz w:val="18"/>
                <w:szCs w:val="18"/>
                <w:lang w:eastAsia="lt-LT"/>
              </w:rPr>
              <w:t>2010</w:t>
            </w:r>
          </w:p>
        </w:tc>
        <w:tc>
          <w:tcPr>
            <w:tcW w:w="847" w:type="dxa"/>
            <w:shd w:val="clear" w:color="auto" w:fill="auto"/>
            <w:vAlign w:val="center"/>
          </w:tcPr>
          <w:p w:rsidR="00515A37" w:rsidRPr="00385835" w:rsidRDefault="00515A37" w:rsidP="00385835">
            <w:pPr>
              <w:widowControl w:val="0"/>
              <w:tabs>
                <w:tab w:val="left" w:pos="622"/>
              </w:tabs>
              <w:spacing w:after="0" w:line="240" w:lineRule="auto"/>
              <w:jc w:val="center"/>
              <w:rPr>
                <w:rFonts w:ascii="Times New Roman" w:hAnsi="Times New Roman"/>
                <w:sz w:val="18"/>
                <w:szCs w:val="18"/>
              </w:rPr>
            </w:pPr>
            <w:r w:rsidRPr="00385835">
              <w:rPr>
                <w:rFonts w:ascii="Times New Roman" w:eastAsia="AngsanaUPC" w:hAnsi="Times New Roman"/>
                <w:bCs/>
                <w:iCs/>
                <w:sz w:val="18"/>
                <w:szCs w:val="18"/>
                <w:lang w:eastAsia="lt-LT"/>
              </w:rPr>
              <w:t>50</w:t>
            </w:r>
          </w:p>
        </w:tc>
        <w:tc>
          <w:tcPr>
            <w:tcW w:w="1049" w:type="dxa"/>
            <w:shd w:val="clear" w:color="auto" w:fill="auto"/>
            <w:vAlign w:val="center"/>
          </w:tcPr>
          <w:p w:rsidR="00515A37" w:rsidRPr="00385835" w:rsidRDefault="00515A37" w:rsidP="00385835">
            <w:pPr>
              <w:widowControl w:val="0"/>
              <w:tabs>
                <w:tab w:val="left" w:pos="622"/>
              </w:tabs>
              <w:spacing w:after="0" w:line="240" w:lineRule="auto"/>
              <w:jc w:val="center"/>
              <w:rPr>
                <w:rFonts w:ascii="Times New Roman" w:hAnsi="Times New Roman"/>
                <w:sz w:val="18"/>
                <w:szCs w:val="18"/>
              </w:rPr>
            </w:pPr>
            <w:r w:rsidRPr="00385835">
              <w:rPr>
                <w:rFonts w:ascii="Times New Roman" w:eastAsia="AngsanaUPC" w:hAnsi="Times New Roman"/>
                <w:bCs/>
                <w:iCs/>
                <w:sz w:val="18"/>
                <w:szCs w:val="18"/>
                <w:lang w:eastAsia="lt-LT"/>
              </w:rPr>
              <w:t>Aplinkos apsaugos agentūra</w:t>
            </w:r>
          </w:p>
        </w:tc>
        <w:tc>
          <w:tcPr>
            <w:tcW w:w="1227" w:type="dxa"/>
            <w:shd w:val="clear" w:color="auto" w:fill="auto"/>
            <w:vAlign w:val="center"/>
          </w:tcPr>
          <w:p w:rsidR="00515A37" w:rsidRPr="00385835" w:rsidRDefault="00515A37"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Kartą per metus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385835" w:rsidRPr="00385835" w:rsidTr="00385835">
        <w:tc>
          <w:tcPr>
            <w:tcW w:w="9746" w:type="dxa"/>
            <w:tcBorders>
              <w:top w:val="single" w:sz="4" w:space="0" w:color="auto"/>
              <w:left w:val="single" w:sz="4" w:space="0" w:color="auto"/>
              <w:bottom w:val="single" w:sz="4" w:space="0" w:color="auto"/>
              <w:right w:val="single" w:sz="4" w:space="0" w:color="auto"/>
            </w:tcBorders>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Cs/>
                <w:iCs/>
                <w:sz w:val="24"/>
                <w:szCs w:val="24"/>
                <w:lang w:eastAsia="lt-LT"/>
              </w:rPr>
            </w:pPr>
            <w:r w:rsidRPr="00385835">
              <w:rPr>
                <w:rFonts w:ascii="Times New Roman" w:eastAsia="AngsanaUPC" w:hAnsi="Times New Roman"/>
                <w:b/>
                <w:bCs/>
                <w:i/>
                <w:iCs/>
                <w:sz w:val="24"/>
                <w:szCs w:val="24"/>
                <w:lang w:eastAsia="lt-LT"/>
              </w:rPr>
              <w:t>5.2. Investicinio prioriteto įgyvendinimo veiklos</w:t>
            </w:r>
          </w:p>
        </w:tc>
      </w:tr>
      <w:tr w:rsidR="00385835" w:rsidRPr="00385835" w:rsidTr="00385835">
        <w:tc>
          <w:tcPr>
            <w:tcW w:w="9746" w:type="dxa"/>
            <w:shd w:val="clear" w:color="auto" w:fill="auto"/>
          </w:tcPr>
          <w:p w:rsidR="00385835" w:rsidRPr="002C08FA" w:rsidRDefault="00385835" w:rsidP="00650E41">
            <w:pPr>
              <w:widowControl w:val="0"/>
              <w:numPr>
                <w:ilvl w:val="0"/>
                <w:numId w:val="30"/>
              </w:numPr>
              <w:tabs>
                <w:tab w:val="left" w:pos="459"/>
              </w:tabs>
              <w:spacing w:after="0" w:line="240" w:lineRule="auto"/>
              <w:ind w:left="34" w:firstLine="0"/>
              <w:jc w:val="both"/>
              <w:rPr>
                <w:rFonts w:ascii="Times New Roman" w:eastAsia="AngsanaUPC" w:hAnsi="Times New Roman"/>
                <w:bCs/>
                <w:iCs/>
                <w:sz w:val="24"/>
                <w:szCs w:val="24"/>
                <w:lang w:eastAsia="lt-LT"/>
              </w:rPr>
            </w:pPr>
            <w:r w:rsidRPr="002C08FA">
              <w:rPr>
                <w:rFonts w:ascii="Times New Roman" w:eastAsia="AngsanaUPC" w:hAnsi="Times New Roman"/>
                <w:bCs/>
                <w:iCs/>
                <w:sz w:val="24"/>
                <w:szCs w:val="24"/>
                <w:lang w:eastAsia="lt-LT"/>
              </w:rPr>
              <w:t xml:space="preserve">Komunalinių </w:t>
            </w:r>
            <w:r w:rsidR="00052F0F" w:rsidRPr="002C08FA">
              <w:rPr>
                <w:rFonts w:ascii="Times New Roman" w:eastAsia="AngsanaUPC" w:hAnsi="Times New Roman"/>
                <w:bCs/>
                <w:iCs/>
                <w:sz w:val="24"/>
                <w:szCs w:val="24"/>
                <w:lang w:eastAsia="lt-LT"/>
              </w:rPr>
              <w:t>atliekų surinkimo ir apdorojimo</w:t>
            </w:r>
            <w:r w:rsidRPr="002C08FA">
              <w:rPr>
                <w:rFonts w:ascii="Times New Roman" w:eastAsia="AngsanaUPC" w:hAnsi="Times New Roman"/>
                <w:bCs/>
                <w:iCs/>
                <w:sz w:val="24"/>
                <w:szCs w:val="24"/>
                <w:lang w:eastAsia="lt-LT"/>
              </w:rPr>
              <w:t xml:space="preserve"> sistemos plėtra. Numatomos investicijos į atliekų surinkimo infrastruktūrą,</w:t>
            </w:r>
            <w:r w:rsidRPr="002C08FA" w:rsidDel="00134C7D">
              <w:rPr>
                <w:rFonts w:ascii="Times New Roman" w:eastAsia="AngsanaUPC" w:hAnsi="Times New Roman"/>
                <w:bCs/>
                <w:iCs/>
                <w:sz w:val="24"/>
                <w:szCs w:val="24"/>
                <w:lang w:eastAsia="lt-LT"/>
              </w:rPr>
              <w:t xml:space="preserve"> </w:t>
            </w:r>
            <w:r w:rsidRPr="002C08FA">
              <w:rPr>
                <w:rFonts w:ascii="Times New Roman" w:eastAsia="AngsanaUPC" w:hAnsi="Times New Roman"/>
                <w:bCs/>
                <w:iCs/>
                <w:sz w:val="24"/>
                <w:szCs w:val="24"/>
                <w:lang w:eastAsia="lt-LT"/>
              </w:rPr>
              <w:t>t.</w:t>
            </w:r>
            <w:r w:rsidR="00052F0F" w:rsidRPr="002C08FA">
              <w:rPr>
                <w:rFonts w:ascii="Times New Roman" w:eastAsia="AngsanaUPC" w:hAnsi="Times New Roman"/>
                <w:bCs/>
                <w:iCs/>
                <w:sz w:val="24"/>
                <w:szCs w:val="24"/>
                <w:lang w:eastAsia="lt-LT"/>
              </w:rPr>
              <w:t xml:space="preserve"> </w:t>
            </w:r>
            <w:r w:rsidRPr="002C08FA">
              <w:rPr>
                <w:rFonts w:ascii="Times New Roman" w:eastAsia="AngsanaUPC" w:hAnsi="Times New Roman"/>
                <w:bCs/>
                <w:iCs/>
                <w:sz w:val="24"/>
                <w:szCs w:val="24"/>
                <w:lang w:eastAsia="lt-LT"/>
              </w:rPr>
              <w:t>y. rūšiuojamojo surinkimo (antrinių žaliavų ir tekstilės), bioskaidžių (žaliųjų ir maisto) ir mišrių atliekų konte</w:t>
            </w:r>
            <w:r w:rsidR="009C234F" w:rsidRPr="002C08FA">
              <w:rPr>
                <w:rFonts w:ascii="Times New Roman" w:eastAsia="AngsanaUPC" w:hAnsi="Times New Roman"/>
                <w:bCs/>
                <w:iCs/>
                <w:sz w:val="24"/>
                <w:szCs w:val="24"/>
                <w:lang w:eastAsia="lt-LT"/>
              </w:rPr>
              <w:t xml:space="preserve">inerius, konteinerines </w:t>
            </w:r>
            <w:r w:rsidR="00052F0F" w:rsidRPr="002C08FA">
              <w:rPr>
                <w:rFonts w:ascii="Times New Roman" w:eastAsia="AngsanaUPC" w:hAnsi="Times New Roman"/>
                <w:bCs/>
                <w:iCs/>
                <w:sz w:val="24"/>
                <w:szCs w:val="24"/>
                <w:lang w:eastAsia="lt-LT"/>
              </w:rPr>
              <w:t>ir didelių gabaritų a</w:t>
            </w:r>
            <w:r w:rsidR="00CA2E78" w:rsidRPr="002C08FA">
              <w:rPr>
                <w:rFonts w:ascii="Times New Roman" w:eastAsia="AngsanaUPC" w:hAnsi="Times New Roman"/>
                <w:bCs/>
                <w:iCs/>
                <w:sz w:val="24"/>
                <w:szCs w:val="24"/>
                <w:lang w:eastAsia="lt-LT"/>
              </w:rPr>
              <w:t>tliekų</w:t>
            </w:r>
            <w:r w:rsidR="00052F0F" w:rsidRPr="002C08FA">
              <w:rPr>
                <w:rFonts w:ascii="Times New Roman" w:eastAsia="AngsanaUPC" w:hAnsi="Times New Roman"/>
                <w:bCs/>
                <w:iCs/>
                <w:sz w:val="24"/>
                <w:szCs w:val="24"/>
                <w:lang w:eastAsia="lt-LT"/>
              </w:rPr>
              <w:t xml:space="preserve"> </w:t>
            </w:r>
            <w:r w:rsidR="009C234F" w:rsidRPr="002C08FA">
              <w:rPr>
                <w:rFonts w:ascii="Times New Roman" w:eastAsia="AngsanaUPC" w:hAnsi="Times New Roman"/>
                <w:bCs/>
                <w:iCs/>
                <w:sz w:val="24"/>
                <w:szCs w:val="24"/>
                <w:lang w:eastAsia="lt-LT"/>
              </w:rPr>
              <w:t>aikšteles</w:t>
            </w:r>
            <w:r w:rsidR="00052F0F" w:rsidRPr="002C08FA">
              <w:rPr>
                <w:rFonts w:ascii="Times New Roman" w:eastAsia="AngsanaUPC" w:hAnsi="Times New Roman"/>
                <w:bCs/>
                <w:iCs/>
                <w:sz w:val="24"/>
                <w:szCs w:val="24"/>
                <w:lang w:eastAsia="lt-LT"/>
              </w:rPr>
              <w:t>,</w:t>
            </w:r>
            <w:r w:rsidRPr="002C08FA">
              <w:rPr>
                <w:rFonts w:ascii="Times New Roman" w:eastAsia="AngsanaUPC" w:hAnsi="Times New Roman"/>
                <w:bCs/>
                <w:iCs/>
                <w:sz w:val="24"/>
                <w:szCs w:val="24"/>
                <w:lang w:eastAsia="lt-LT"/>
              </w:rPr>
              <w:t xml:space="preserve"> </w:t>
            </w:r>
            <w:r w:rsidR="00CA2E78" w:rsidRPr="002C08FA">
              <w:rPr>
                <w:rFonts w:ascii="Times New Roman" w:eastAsia="AngsanaUPC" w:hAnsi="Times New Roman"/>
                <w:bCs/>
                <w:iCs/>
                <w:sz w:val="24"/>
                <w:szCs w:val="24"/>
                <w:lang w:eastAsia="lt-LT"/>
              </w:rPr>
              <w:t xml:space="preserve">atliekų </w:t>
            </w:r>
            <w:r w:rsidR="001716A1" w:rsidRPr="002C08FA">
              <w:rPr>
                <w:rFonts w:ascii="Times New Roman" w:eastAsia="AngsanaUPC" w:hAnsi="Times New Roman"/>
                <w:bCs/>
                <w:iCs/>
                <w:sz w:val="24"/>
                <w:szCs w:val="24"/>
                <w:lang w:eastAsia="lt-LT"/>
              </w:rPr>
              <w:t>paruošimo naudoti pakartotinai vietas. Taip pat bus investuojama</w:t>
            </w:r>
            <w:r w:rsidRPr="002C08FA">
              <w:rPr>
                <w:rFonts w:ascii="Times New Roman" w:eastAsia="AngsanaUPC" w:hAnsi="Times New Roman"/>
                <w:bCs/>
                <w:iCs/>
                <w:sz w:val="24"/>
                <w:szCs w:val="24"/>
                <w:lang w:eastAsia="lt-LT"/>
              </w:rPr>
              <w:t xml:space="preserve"> į atliekų rūšiavimo ir</w:t>
            </w:r>
            <w:r w:rsidR="001716A1" w:rsidRPr="002C08FA">
              <w:rPr>
                <w:rFonts w:ascii="Times New Roman" w:eastAsia="AngsanaUPC" w:hAnsi="Times New Roman"/>
                <w:bCs/>
                <w:iCs/>
                <w:sz w:val="24"/>
                <w:szCs w:val="24"/>
                <w:lang w:eastAsia="lt-LT"/>
              </w:rPr>
              <w:t xml:space="preserve"> </w:t>
            </w:r>
            <w:r w:rsidRPr="002C08FA">
              <w:rPr>
                <w:rFonts w:ascii="Times New Roman" w:eastAsia="AngsanaUPC" w:hAnsi="Times New Roman"/>
                <w:bCs/>
                <w:iCs/>
                <w:sz w:val="24"/>
                <w:szCs w:val="24"/>
                <w:lang w:eastAsia="lt-LT"/>
              </w:rPr>
              <w:t>/</w:t>
            </w:r>
            <w:r w:rsidR="001716A1" w:rsidRPr="002C08FA">
              <w:rPr>
                <w:rFonts w:ascii="Times New Roman" w:eastAsia="AngsanaUPC" w:hAnsi="Times New Roman"/>
                <w:bCs/>
                <w:iCs/>
                <w:sz w:val="24"/>
                <w:szCs w:val="24"/>
                <w:lang w:eastAsia="lt-LT"/>
              </w:rPr>
              <w:t xml:space="preserve"> </w:t>
            </w:r>
            <w:r w:rsidRPr="002C08FA">
              <w:rPr>
                <w:rFonts w:ascii="Times New Roman" w:eastAsia="AngsanaUPC" w:hAnsi="Times New Roman"/>
                <w:bCs/>
                <w:iCs/>
                <w:sz w:val="24"/>
                <w:szCs w:val="24"/>
                <w:lang w:eastAsia="lt-LT"/>
              </w:rPr>
              <w:t xml:space="preserve">ar apdorojimo įrenginius. Kartu bus vykdomos visuomenės švietimo ir informavimo priemonės vietos lygmenyje apie </w:t>
            </w:r>
            <w:r w:rsidR="001716A1" w:rsidRPr="002C08FA">
              <w:rPr>
                <w:rFonts w:ascii="Times New Roman" w:eastAsia="AngsanaUPC" w:hAnsi="Times New Roman"/>
                <w:bCs/>
                <w:iCs/>
                <w:sz w:val="24"/>
                <w:szCs w:val="24"/>
                <w:lang w:eastAsia="lt-LT"/>
              </w:rPr>
              <w:t xml:space="preserve">atliekų prevenciją, </w:t>
            </w:r>
            <w:r w:rsidRPr="002C08FA">
              <w:rPr>
                <w:rFonts w:ascii="Times New Roman" w:eastAsia="AngsanaUPC" w:hAnsi="Times New Roman"/>
                <w:bCs/>
                <w:iCs/>
                <w:sz w:val="24"/>
                <w:szCs w:val="24"/>
                <w:lang w:eastAsia="lt-LT"/>
              </w:rPr>
              <w:t>komunalinių atliekų tvarkymo sistemą, atskiro surinkimo ir rūšiavimo svarbą, naudą, galimybes ir pan.</w:t>
            </w:r>
          </w:p>
          <w:p w:rsidR="00385835" w:rsidRPr="002C08FA" w:rsidRDefault="009F0528" w:rsidP="00650E41">
            <w:pPr>
              <w:widowControl w:val="0"/>
              <w:numPr>
                <w:ilvl w:val="0"/>
                <w:numId w:val="30"/>
              </w:numPr>
              <w:tabs>
                <w:tab w:val="left" w:pos="459"/>
              </w:tabs>
              <w:spacing w:after="0" w:line="240" w:lineRule="auto"/>
              <w:ind w:left="34" w:firstLine="0"/>
              <w:jc w:val="both"/>
              <w:rPr>
                <w:rFonts w:ascii="Times New Roman" w:eastAsia="AngsanaUPC" w:hAnsi="Times New Roman"/>
                <w:bCs/>
                <w:iCs/>
                <w:sz w:val="24"/>
                <w:szCs w:val="24"/>
                <w:lang w:eastAsia="lt-LT"/>
              </w:rPr>
            </w:pPr>
            <w:r w:rsidRPr="002C08FA">
              <w:rPr>
                <w:rFonts w:ascii="Times New Roman" w:hAnsi="Times New Roman"/>
                <w:color w:val="000000"/>
                <w:sz w:val="24"/>
                <w:szCs w:val="24"/>
              </w:rPr>
              <w:t>Taip pat numatoma sukurti po rūšiavimo likusių, netinkamų perdirbti, energinę vertę turinčių komunalinių atliekų panaudojimo energijai gauti pajėgumus.</w:t>
            </w:r>
          </w:p>
          <w:p w:rsidR="00385835" w:rsidRPr="002C08FA" w:rsidRDefault="00385835" w:rsidP="00650E41">
            <w:pPr>
              <w:widowControl w:val="0"/>
              <w:numPr>
                <w:ilvl w:val="0"/>
                <w:numId w:val="30"/>
              </w:numPr>
              <w:tabs>
                <w:tab w:val="left" w:pos="459"/>
              </w:tabs>
              <w:spacing w:after="0" w:line="240" w:lineRule="auto"/>
              <w:ind w:left="34" w:firstLine="0"/>
              <w:jc w:val="both"/>
              <w:rPr>
                <w:rFonts w:ascii="Times New Roman" w:eastAsia="AngsanaUPC" w:hAnsi="Times New Roman"/>
                <w:bCs/>
                <w:iCs/>
                <w:sz w:val="24"/>
                <w:szCs w:val="24"/>
                <w:lang w:eastAsia="lt-LT"/>
              </w:rPr>
            </w:pPr>
            <w:r w:rsidRPr="002C08FA">
              <w:rPr>
                <w:rFonts w:ascii="Times New Roman" w:eastAsia="AngsanaUPC" w:hAnsi="Times New Roman"/>
                <w:bCs/>
                <w:iCs/>
                <w:sz w:val="24"/>
                <w:szCs w:val="24"/>
                <w:lang w:eastAsia="lt-LT"/>
              </w:rPr>
              <w:t xml:space="preserve">Atliekų tvarkymo sistemos valdymas, stebėsena. Numatoma remti atliekų apskaitos informacinės sistemos modernizavimą, laboratorinės įrangos atliekų sudėčiai nustatyti </w:t>
            </w:r>
            <w:r w:rsidR="001716A1" w:rsidRPr="002C08FA">
              <w:rPr>
                <w:rFonts w:ascii="Times New Roman" w:eastAsia="AngsanaUPC" w:hAnsi="Times New Roman"/>
                <w:bCs/>
                <w:iCs/>
                <w:sz w:val="24"/>
                <w:szCs w:val="24"/>
                <w:lang w:eastAsia="lt-LT"/>
              </w:rPr>
              <w:t>poreikio identifikavimą</w:t>
            </w:r>
            <w:r w:rsidRPr="002C08FA">
              <w:rPr>
                <w:rFonts w:ascii="Times New Roman" w:eastAsia="AngsanaUPC" w:hAnsi="Times New Roman"/>
                <w:bCs/>
                <w:iCs/>
                <w:sz w:val="24"/>
                <w:szCs w:val="24"/>
                <w:lang w:eastAsia="lt-LT"/>
              </w:rPr>
              <w:t>.</w:t>
            </w:r>
          </w:p>
          <w:p w:rsidR="00385835" w:rsidRPr="00385835" w:rsidRDefault="00385835" w:rsidP="00650E41">
            <w:pPr>
              <w:widowControl w:val="0"/>
              <w:numPr>
                <w:ilvl w:val="0"/>
                <w:numId w:val="30"/>
              </w:numPr>
              <w:tabs>
                <w:tab w:val="left" w:pos="459"/>
              </w:tabs>
              <w:spacing w:after="0" w:line="240" w:lineRule="auto"/>
              <w:ind w:left="34" w:firstLine="0"/>
              <w:jc w:val="both"/>
              <w:rPr>
                <w:rFonts w:ascii="Times New Roman" w:eastAsia="AngsanaUPC" w:hAnsi="Times New Roman"/>
                <w:bCs/>
                <w:iCs/>
                <w:sz w:val="24"/>
                <w:szCs w:val="24"/>
                <w:lang w:eastAsia="lt-LT"/>
              </w:rPr>
            </w:pPr>
            <w:r w:rsidRPr="002C08FA">
              <w:rPr>
                <w:rFonts w:ascii="Times New Roman" w:eastAsia="AngsanaUPC" w:hAnsi="Times New Roman"/>
                <w:bCs/>
                <w:iCs/>
                <w:sz w:val="24"/>
                <w:szCs w:val="24"/>
                <w:lang w:eastAsia="lt-LT"/>
              </w:rPr>
              <w:t xml:space="preserve">Radioaktyvių atliekų Maišiagaloje saugyklos likvidavimas. Numatoma Maišiagalos saugykloje saugomas radioaktyviąsias atliekas išimti, išrūšiuoti, paruošti transportavimui ir </w:t>
            </w:r>
            <w:r w:rsidR="001716A1" w:rsidRPr="002C08FA">
              <w:rPr>
                <w:rFonts w:ascii="Times New Roman" w:eastAsia="AngsanaUPC" w:hAnsi="Times New Roman"/>
                <w:bCs/>
                <w:iCs/>
                <w:sz w:val="24"/>
                <w:szCs w:val="24"/>
                <w:lang w:eastAsia="lt-LT"/>
              </w:rPr>
              <w:t>priduoti</w:t>
            </w:r>
            <w:r w:rsidRPr="002C08FA">
              <w:rPr>
                <w:rFonts w:ascii="Times New Roman" w:eastAsia="AngsanaUPC" w:hAnsi="Times New Roman"/>
                <w:bCs/>
                <w:iCs/>
                <w:sz w:val="24"/>
                <w:szCs w:val="24"/>
                <w:lang w:eastAsia="lt-LT"/>
              </w:rPr>
              <w:t xml:space="preserve"> Ignalinos AE radioaktyviųjų atliekų </w:t>
            </w:r>
            <w:r w:rsidR="001716A1" w:rsidRPr="002C08FA">
              <w:rPr>
                <w:rFonts w:ascii="Times New Roman" w:eastAsia="AngsanaUPC" w:hAnsi="Times New Roman"/>
                <w:bCs/>
                <w:iCs/>
                <w:sz w:val="24"/>
                <w:szCs w:val="24"/>
                <w:lang w:eastAsia="lt-LT"/>
              </w:rPr>
              <w:t>sutvarkymui</w:t>
            </w:r>
            <w:r w:rsidR="005612D3" w:rsidRPr="002C08FA">
              <w:rPr>
                <w:rFonts w:ascii="Times New Roman" w:eastAsia="AngsanaUPC" w:hAnsi="Times New Roman"/>
                <w:bCs/>
                <w:iCs/>
                <w:sz w:val="24"/>
                <w:szCs w:val="24"/>
                <w:lang w:eastAsia="lt-LT"/>
              </w:rPr>
              <w:t>.</w:t>
            </w:r>
            <w:r w:rsidRPr="00385835" w:rsidDel="00A16FA8">
              <w:rPr>
                <w:rFonts w:ascii="Times New Roman" w:eastAsia="AngsanaUPC" w:hAnsi="Times New Roman"/>
                <w:bCs/>
                <w:iCs/>
                <w:sz w:val="24"/>
                <w:szCs w:val="24"/>
                <w:lang w:eastAsia="lt-LT"/>
              </w:rPr>
              <w:t xml:space="preserve"> </w:t>
            </w:r>
          </w:p>
        </w:tc>
      </w:tr>
    </w:tbl>
    <w:p w:rsidR="00715EE1" w:rsidRDefault="00715EE1"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567"/>
        <w:gridCol w:w="2835"/>
        <w:gridCol w:w="1134"/>
        <w:gridCol w:w="851"/>
        <w:gridCol w:w="1134"/>
        <w:gridCol w:w="850"/>
        <w:gridCol w:w="1134"/>
        <w:gridCol w:w="1241"/>
      </w:tblGrid>
      <w:tr w:rsidR="00385835" w:rsidRPr="00385835" w:rsidTr="00AC10CD">
        <w:trPr>
          <w:tblHeader/>
        </w:trPr>
        <w:tc>
          <w:tcPr>
            <w:tcW w:w="9746" w:type="dxa"/>
            <w:gridSpan w:val="8"/>
            <w:shd w:val="clear" w:color="auto" w:fill="EEECE1"/>
          </w:tcPr>
          <w:p w:rsidR="00385835" w:rsidRPr="00385835" w:rsidRDefault="00385835" w:rsidP="00B1109C">
            <w:pPr>
              <w:widowControl w:val="0"/>
              <w:tabs>
                <w:tab w:val="left" w:pos="622"/>
              </w:tabs>
              <w:spacing w:after="0" w:line="240" w:lineRule="auto"/>
              <w:jc w:val="both"/>
              <w:rPr>
                <w:rFonts w:ascii="Times New Roman" w:eastAsia="AngsanaUPC" w:hAnsi="Times New Roman"/>
                <w:b/>
                <w:bCs/>
                <w:i/>
                <w:iCs/>
                <w:sz w:val="24"/>
                <w:szCs w:val="24"/>
                <w:lang w:eastAsia="lt-LT"/>
              </w:rPr>
            </w:pPr>
            <w:r w:rsidRPr="00385835">
              <w:rPr>
                <w:rFonts w:ascii="Times New Roman" w:eastAsia="AngsanaUPC" w:hAnsi="Times New Roman"/>
                <w:b/>
                <w:bCs/>
                <w:i/>
                <w:iCs/>
                <w:sz w:val="24"/>
                <w:szCs w:val="24"/>
                <w:lang w:eastAsia="lt-LT"/>
              </w:rPr>
              <w:t xml:space="preserve">SaF bendrieji ir </w:t>
            </w:r>
            <w:r w:rsidR="00B1109C">
              <w:rPr>
                <w:rFonts w:ascii="Times New Roman" w:eastAsia="AngsanaUPC" w:hAnsi="Times New Roman"/>
                <w:b/>
                <w:bCs/>
                <w:i/>
                <w:iCs/>
                <w:sz w:val="24"/>
                <w:szCs w:val="24"/>
                <w:lang w:eastAsia="lt-LT"/>
              </w:rPr>
              <w:t xml:space="preserve">specialieji </w:t>
            </w:r>
            <w:r w:rsidRPr="00385835">
              <w:rPr>
                <w:rFonts w:ascii="Times New Roman" w:eastAsia="AngsanaUPC" w:hAnsi="Times New Roman"/>
                <w:b/>
                <w:bCs/>
                <w:i/>
                <w:iCs/>
                <w:sz w:val="24"/>
                <w:szCs w:val="24"/>
                <w:lang w:eastAsia="lt-LT"/>
              </w:rPr>
              <w:t xml:space="preserve">programos produkto rodikliai </w:t>
            </w:r>
          </w:p>
        </w:tc>
      </w:tr>
      <w:tr w:rsidR="00385835" w:rsidRPr="00385835" w:rsidTr="00AC10CD">
        <w:tblPrEx>
          <w:shd w:val="clear" w:color="auto" w:fill="auto"/>
        </w:tblPrEx>
        <w:trPr>
          <w:tblHeader/>
        </w:trPr>
        <w:tc>
          <w:tcPr>
            <w:tcW w:w="567"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Nr.</w:t>
            </w:r>
          </w:p>
        </w:tc>
        <w:tc>
          <w:tcPr>
            <w:tcW w:w="2835"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Rodiklio pavadinimas</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Matavimo vienetas</w:t>
            </w:r>
          </w:p>
        </w:tc>
        <w:tc>
          <w:tcPr>
            <w:tcW w:w="85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Fondas</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Regiono kategorija</w:t>
            </w:r>
          </w:p>
        </w:tc>
        <w:tc>
          <w:tcPr>
            <w:tcW w:w="850"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Siektina reikšmė (2023)</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Duomenų šaltinis</w:t>
            </w:r>
          </w:p>
        </w:tc>
        <w:tc>
          <w:tcPr>
            <w:tcW w:w="124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Atsiskaitymo dažnumas</w:t>
            </w:r>
          </w:p>
        </w:tc>
      </w:tr>
      <w:tr w:rsidR="00515A37" w:rsidRPr="00385835" w:rsidTr="00515A37">
        <w:tblPrEx>
          <w:shd w:val="clear" w:color="auto" w:fill="auto"/>
        </w:tblPrEx>
        <w:tc>
          <w:tcPr>
            <w:tcW w:w="567" w:type="dxa"/>
            <w:shd w:val="clear" w:color="auto" w:fill="auto"/>
            <w:vAlign w:val="center"/>
          </w:tcPr>
          <w:p w:rsidR="00515A37" w:rsidRPr="00385835" w:rsidRDefault="00515A37"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1.</w:t>
            </w:r>
          </w:p>
        </w:tc>
        <w:tc>
          <w:tcPr>
            <w:tcW w:w="2835" w:type="dxa"/>
            <w:shd w:val="clear" w:color="auto" w:fill="auto"/>
            <w:vAlign w:val="center"/>
          </w:tcPr>
          <w:p w:rsidR="00515A37" w:rsidRPr="00385835" w:rsidRDefault="00515A37" w:rsidP="00385835">
            <w:pPr>
              <w:widowControl w:val="0"/>
              <w:tabs>
                <w:tab w:val="left" w:pos="622"/>
              </w:tabs>
              <w:spacing w:after="0" w:line="240" w:lineRule="auto"/>
              <w:rPr>
                <w:rFonts w:ascii="Times New Roman" w:eastAsia="AngsanaUPC" w:hAnsi="Times New Roman"/>
                <w:bCs/>
                <w:iCs/>
                <w:sz w:val="18"/>
                <w:szCs w:val="18"/>
                <w:lang w:eastAsia="lt-LT"/>
              </w:rPr>
            </w:pPr>
            <w:r w:rsidRPr="00385835">
              <w:rPr>
                <w:rFonts w:ascii="Times New Roman" w:hAnsi="Times New Roman"/>
                <w:sz w:val="18"/>
                <w:szCs w:val="18"/>
              </w:rPr>
              <w:t xml:space="preserve">Sukurti/pagerinti </w:t>
            </w:r>
            <w:r w:rsidRPr="00385835">
              <w:rPr>
                <w:rFonts w:ascii="Times New Roman" w:eastAsia="AngsanaUPC" w:hAnsi="Times New Roman"/>
                <w:bCs/>
                <w:iCs/>
                <w:sz w:val="18"/>
                <w:szCs w:val="18"/>
                <w:lang w:eastAsia="lt-LT"/>
              </w:rPr>
              <w:t xml:space="preserve">atskiro </w:t>
            </w:r>
            <w:r w:rsidRPr="00385835">
              <w:rPr>
                <w:rFonts w:ascii="Times New Roman" w:hAnsi="Times New Roman"/>
                <w:sz w:val="18"/>
                <w:szCs w:val="18"/>
              </w:rPr>
              <w:t>komunalinių atliekų surinkimo pajėgumai</w:t>
            </w:r>
          </w:p>
        </w:tc>
        <w:tc>
          <w:tcPr>
            <w:tcW w:w="1134" w:type="dxa"/>
            <w:shd w:val="clear" w:color="auto" w:fill="auto"/>
            <w:vAlign w:val="center"/>
          </w:tcPr>
          <w:p w:rsidR="00515A37" w:rsidRPr="00385835" w:rsidRDefault="00515A37"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Tonos/metai</w:t>
            </w:r>
          </w:p>
        </w:tc>
        <w:tc>
          <w:tcPr>
            <w:tcW w:w="851" w:type="dxa"/>
            <w:shd w:val="clear" w:color="auto" w:fill="auto"/>
            <w:vAlign w:val="center"/>
          </w:tcPr>
          <w:p w:rsidR="00515A37" w:rsidRPr="00385835" w:rsidRDefault="00515A37"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SaF</w:t>
            </w:r>
          </w:p>
        </w:tc>
        <w:tc>
          <w:tcPr>
            <w:tcW w:w="1134" w:type="dxa"/>
            <w:shd w:val="clear" w:color="auto" w:fill="auto"/>
            <w:vAlign w:val="center"/>
          </w:tcPr>
          <w:p w:rsidR="00515A37" w:rsidRDefault="00515A37" w:rsidP="00515A37">
            <w:pPr>
              <w:jc w:val="center"/>
            </w:pPr>
            <w:r w:rsidRPr="001D340D">
              <w:rPr>
                <w:rFonts w:ascii="Times New Roman" w:eastAsia="AngsanaUPC" w:hAnsi="Times New Roman"/>
                <w:bCs/>
                <w:sz w:val="18"/>
                <w:szCs w:val="18"/>
                <w:lang w:eastAsia="lt-LT"/>
              </w:rPr>
              <w:t>–</w:t>
            </w:r>
          </w:p>
        </w:tc>
        <w:tc>
          <w:tcPr>
            <w:tcW w:w="850" w:type="dxa"/>
            <w:shd w:val="clear" w:color="auto" w:fill="auto"/>
            <w:vAlign w:val="center"/>
          </w:tcPr>
          <w:p w:rsidR="00515A37" w:rsidRPr="00385835" w:rsidRDefault="00515A37" w:rsidP="00C76808">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150</w:t>
            </w:r>
            <w:r w:rsidR="00C76808">
              <w:rPr>
                <w:rFonts w:ascii="Times New Roman" w:hAnsi="Times New Roman"/>
                <w:sz w:val="18"/>
                <w:szCs w:val="18"/>
              </w:rPr>
              <w:t>.</w:t>
            </w:r>
            <w:r w:rsidRPr="00385835">
              <w:rPr>
                <w:rFonts w:ascii="Times New Roman" w:hAnsi="Times New Roman"/>
                <w:sz w:val="18"/>
                <w:szCs w:val="18"/>
              </w:rPr>
              <w:t>000</w:t>
            </w:r>
          </w:p>
        </w:tc>
        <w:tc>
          <w:tcPr>
            <w:tcW w:w="1134" w:type="dxa"/>
            <w:shd w:val="clear" w:color="auto" w:fill="auto"/>
            <w:vAlign w:val="center"/>
          </w:tcPr>
          <w:p w:rsidR="00515A37" w:rsidRPr="00385835" w:rsidRDefault="00515A37"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Duomenys iš projektų</w:t>
            </w:r>
          </w:p>
        </w:tc>
        <w:tc>
          <w:tcPr>
            <w:tcW w:w="1241" w:type="dxa"/>
            <w:shd w:val="clear" w:color="auto" w:fill="auto"/>
            <w:vAlign w:val="center"/>
          </w:tcPr>
          <w:p w:rsidR="00515A37" w:rsidRPr="00385835" w:rsidRDefault="00515A37"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Kartą per metus</w:t>
            </w:r>
          </w:p>
        </w:tc>
      </w:tr>
      <w:tr w:rsidR="00515A37" w:rsidRPr="00385835" w:rsidTr="001716A1">
        <w:tblPrEx>
          <w:shd w:val="clear" w:color="auto" w:fill="auto"/>
        </w:tblPrEx>
        <w:tc>
          <w:tcPr>
            <w:tcW w:w="567" w:type="dxa"/>
            <w:shd w:val="clear" w:color="auto" w:fill="auto"/>
            <w:vAlign w:val="center"/>
          </w:tcPr>
          <w:p w:rsidR="00515A37" w:rsidRPr="002C08FA" w:rsidRDefault="00515A37" w:rsidP="00385835">
            <w:pPr>
              <w:widowControl w:val="0"/>
              <w:tabs>
                <w:tab w:val="left" w:pos="622"/>
              </w:tabs>
              <w:spacing w:after="0" w:line="240" w:lineRule="auto"/>
              <w:jc w:val="center"/>
              <w:rPr>
                <w:rFonts w:ascii="Times New Roman" w:hAnsi="Times New Roman"/>
                <w:sz w:val="18"/>
                <w:szCs w:val="18"/>
              </w:rPr>
            </w:pPr>
            <w:r w:rsidRPr="002C08FA">
              <w:rPr>
                <w:rFonts w:ascii="Times New Roman" w:hAnsi="Times New Roman"/>
                <w:sz w:val="18"/>
                <w:szCs w:val="18"/>
              </w:rPr>
              <w:lastRenderedPageBreak/>
              <w:t>2.</w:t>
            </w:r>
          </w:p>
        </w:tc>
        <w:tc>
          <w:tcPr>
            <w:tcW w:w="2835" w:type="dxa"/>
            <w:shd w:val="clear" w:color="auto" w:fill="auto"/>
            <w:vAlign w:val="center"/>
          </w:tcPr>
          <w:p w:rsidR="00515A37" w:rsidRPr="002C08FA" w:rsidRDefault="00515A37" w:rsidP="001716A1">
            <w:pPr>
              <w:widowControl w:val="0"/>
              <w:tabs>
                <w:tab w:val="left" w:pos="622"/>
              </w:tabs>
              <w:spacing w:after="0" w:line="240" w:lineRule="auto"/>
              <w:rPr>
                <w:rFonts w:ascii="Times New Roman" w:hAnsi="Times New Roman"/>
                <w:sz w:val="18"/>
                <w:szCs w:val="18"/>
              </w:rPr>
            </w:pPr>
            <w:r w:rsidRPr="002C08FA">
              <w:rPr>
                <w:rFonts w:ascii="Times New Roman" w:hAnsi="Times New Roman"/>
                <w:sz w:val="18"/>
                <w:szCs w:val="18"/>
              </w:rPr>
              <w:t>Sukurti</w:t>
            </w:r>
            <w:r w:rsidR="001716A1" w:rsidRPr="002C08FA">
              <w:rPr>
                <w:rFonts w:ascii="Times New Roman" w:hAnsi="Times New Roman"/>
                <w:sz w:val="18"/>
                <w:szCs w:val="18"/>
              </w:rPr>
              <w:t xml:space="preserve"> </w:t>
            </w:r>
            <w:r w:rsidRPr="002C08FA">
              <w:rPr>
                <w:rFonts w:ascii="Times New Roman" w:eastAsia="AngsanaUPC" w:hAnsi="Times New Roman"/>
                <w:bCs/>
                <w:iCs/>
                <w:sz w:val="18"/>
                <w:szCs w:val="18"/>
                <w:lang w:eastAsia="lt-LT"/>
              </w:rPr>
              <w:t>/</w:t>
            </w:r>
            <w:r w:rsidR="001716A1" w:rsidRPr="002C08FA">
              <w:rPr>
                <w:rFonts w:ascii="Times New Roman" w:eastAsia="AngsanaUPC" w:hAnsi="Times New Roman"/>
                <w:bCs/>
                <w:iCs/>
                <w:sz w:val="18"/>
                <w:szCs w:val="18"/>
                <w:lang w:eastAsia="lt-LT"/>
              </w:rPr>
              <w:t xml:space="preserve"> </w:t>
            </w:r>
            <w:r w:rsidRPr="002C08FA">
              <w:rPr>
                <w:rFonts w:ascii="Times New Roman" w:eastAsia="AngsanaUPC" w:hAnsi="Times New Roman"/>
                <w:bCs/>
                <w:iCs/>
                <w:sz w:val="18"/>
                <w:szCs w:val="18"/>
                <w:lang w:eastAsia="lt-LT"/>
              </w:rPr>
              <w:t>pagerinti</w:t>
            </w:r>
            <w:r w:rsidRPr="002C08FA">
              <w:rPr>
                <w:rFonts w:ascii="Times New Roman" w:hAnsi="Times New Roman"/>
                <w:sz w:val="18"/>
                <w:szCs w:val="18"/>
              </w:rPr>
              <w:t xml:space="preserve"> </w:t>
            </w:r>
            <w:r w:rsidR="001716A1" w:rsidRPr="002C08FA">
              <w:rPr>
                <w:rFonts w:ascii="Times New Roman" w:hAnsi="Times New Roman"/>
                <w:sz w:val="18"/>
                <w:szCs w:val="18"/>
              </w:rPr>
              <w:t xml:space="preserve">maisto / virtuvės </w:t>
            </w:r>
            <w:r w:rsidRPr="002C08FA">
              <w:rPr>
                <w:rFonts w:ascii="Times New Roman" w:hAnsi="Times New Roman"/>
                <w:sz w:val="18"/>
                <w:szCs w:val="18"/>
              </w:rPr>
              <w:t xml:space="preserve">atliekų </w:t>
            </w:r>
            <w:r w:rsidR="001716A1" w:rsidRPr="002C08FA">
              <w:rPr>
                <w:rFonts w:ascii="Times New Roman" w:hAnsi="Times New Roman"/>
                <w:sz w:val="18"/>
                <w:szCs w:val="18"/>
              </w:rPr>
              <w:t>apdorojimo</w:t>
            </w:r>
            <w:r w:rsidRPr="002C08FA">
              <w:rPr>
                <w:rFonts w:ascii="Times New Roman" w:hAnsi="Times New Roman"/>
                <w:sz w:val="18"/>
                <w:szCs w:val="18"/>
              </w:rPr>
              <w:t xml:space="preserve"> pajėgumai</w:t>
            </w:r>
          </w:p>
        </w:tc>
        <w:tc>
          <w:tcPr>
            <w:tcW w:w="1134" w:type="dxa"/>
            <w:shd w:val="clear" w:color="auto" w:fill="auto"/>
            <w:vAlign w:val="center"/>
          </w:tcPr>
          <w:p w:rsidR="00515A37" w:rsidRPr="002C08FA" w:rsidRDefault="00515A37" w:rsidP="00385835">
            <w:pPr>
              <w:widowControl w:val="0"/>
              <w:tabs>
                <w:tab w:val="left" w:pos="622"/>
              </w:tabs>
              <w:spacing w:after="0" w:line="240" w:lineRule="auto"/>
              <w:jc w:val="center"/>
              <w:rPr>
                <w:rFonts w:ascii="Times New Roman" w:hAnsi="Times New Roman"/>
                <w:sz w:val="18"/>
                <w:szCs w:val="18"/>
              </w:rPr>
            </w:pPr>
            <w:r w:rsidRPr="002C08FA">
              <w:rPr>
                <w:rFonts w:ascii="Times New Roman" w:hAnsi="Times New Roman"/>
                <w:sz w:val="18"/>
                <w:szCs w:val="18"/>
              </w:rPr>
              <w:t>Tonos/metai</w:t>
            </w:r>
          </w:p>
        </w:tc>
        <w:tc>
          <w:tcPr>
            <w:tcW w:w="851" w:type="dxa"/>
            <w:shd w:val="clear" w:color="auto" w:fill="auto"/>
            <w:vAlign w:val="center"/>
          </w:tcPr>
          <w:p w:rsidR="00515A37" w:rsidRPr="002C08FA" w:rsidRDefault="00515A37" w:rsidP="00385835">
            <w:pPr>
              <w:widowControl w:val="0"/>
              <w:tabs>
                <w:tab w:val="left" w:pos="622"/>
              </w:tabs>
              <w:spacing w:after="0" w:line="240" w:lineRule="auto"/>
              <w:jc w:val="center"/>
              <w:rPr>
                <w:rFonts w:ascii="Times New Roman" w:hAnsi="Times New Roman"/>
                <w:sz w:val="18"/>
                <w:szCs w:val="18"/>
              </w:rPr>
            </w:pPr>
            <w:r w:rsidRPr="002C08FA">
              <w:rPr>
                <w:rFonts w:ascii="Times New Roman" w:hAnsi="Times New Roman"/>
                <w:sz w:val="18"/>
                <w:szCs w:val="18"/>
              </w:rPr>
              <w:t>SaF</w:t>
            </w:r>
          </w:p>
        </w:tc>
        <w:tc>
          <w:tcPr>
            <w:tcW w:w="1134" w:type="dxa"/>
            <w:shd w:val="clear" w:color="auto" w:fill="auto"/>
            <w:vAlign w:val="center"/>
          </w:tcPr>
          <w:p w:rsidR="00515A37" w:rsidRPr="002C08FA" w:rsidRDefault="00515A37" w:rsidP="001716A1">
            <w:pPr>
              <w:spacing w:after="0" w:line="240" w:lineRule="auto"/>
              <w:jc w:val="center"/>
              <w:rPr>
                <w:rFonts w:ascii="Times New Roman" w:hAnsi="Times New Roman"/>
                <w:sz w:val="18"/>
                <w:szCs w:val="18"/>
              </w:rPr>
            </w:pPr>
            <w:r w:rsidRPr="002C08FA">
              <w:rPr>
                <w:rFonts w:ascii="Times New Roman" w:eastAsia="AngsanaUPC" w:hAnsi="Times New Roman"/>
                <w:bCs/>
                <w:sz w:val="18"/>
                <w:szCs w:val="18"/>
                <w:lang w:eastAsia="lt-LT"/>
              </w:rPr>
              <w:t>–</w:t>
            </w:r>
          </w:p>
        </w:tc>
        <w:tc>
          <w:tcPr>
            <w:tcW w:w="850" w:type="dxa"/>
            <w:shd w:val="clear" w:color="auto" w:fill="auto"/>
            <w:vAlign w:val="center"/>
          </w:tcPr>
          <w:p w:rsidR="00515A37" w:rsidRPr="002C08FA" w:rsidDel="00223E74" w:rsidRDefault="001716A1" w:rsidP="00C76808">
            <w:pPr>
              <w:widowControl w:val="0"/>
              <w:tabs>
                <w:tab w:val="left" w:pos="622"/>
              </w:tabs>
              <w:spacing w:after="0" w:line="240" w:lineRule="auto"/>
              <w:jc w:val="center"/>
              <w:rPr>
                <w:rFonts w:ascii="Times New Roman" w:hAnsi="Times New Roman"/>
                <w:sz w:val="18"/>
                <w:szCs w:val="18"/>
              </w:rPr>
            </w:pPr>
            <w:r w:rsidRPr="002C08FA">
              <w:rPr>
                <w:rFonts w:ascii="Times New Roman" w:eastAsia="AngsanaUPC" w:hAnsi="Times New Roman"/>
                <w:bCs/>
                <w:iCs/>
                <w:sz w:val="18"/>
                <w:szCs w:val="18"/>
                <w:lang w:eastAsia="lt-LT"/>
              </w:rPr>
              <w:t>20</w:t>
            </w:r>
            <w:r w:rsidR="00C76808" w:rsidRPr="002C08FA">
              <w:rPr>
                <w:rFonts w:ascii="Times New Roman" w:eastAsia="AngsanaUPC" w:hAnsi="Times New Roman"/>
                <w:bCs/>
                <w:iCs/>
                <w:sz w:val="18"/>
                <w:szCs w:val="18"/>
                <w:lang w:eastAsia="lt-LT"/>
              </w:rPr>
              <w:t>.</w:t>
            </w:r>
            <w:r w:rsidR="00515A37" w:rsidRPr="002C08FA">
              <w:rPr>
                <w:rFonts w:ascii="Times New Roman" w:eastAsia="AngsanaUPC" w:hAnsi="Times New Roman"/>
                <w:bCs/>
                <w:iCs/>
                <w:sz w:val="18"/>
                <w:szCs w:val="18"/>
                <w:lang w:eastAsia="lt-LT"/>
              </w:rPr>
              <w:t>000</w:t>
            </w:r>
          </w:p>
        </w:tc>
        <w:tc>
          <w:tcPr>
            <w:tcW w:w="1134" w:type="dxa"/>
            <w:shd w:val="clear" w:color="auto" w:fill="auto"/>
            <w:vAlign w:val="center"/>
          </w:tcPr>
          <w:p w:rsidR="00515A37" w:rsidRPr="00D54F90" w:rsidRDefault="00515A37" w:rsidP="00385835">
            <w:pPr>
              <w:widowControl w:val="0"/>
              <w:tabs>
                <w:tab w:val="left" w:pos="622"/>
              </w:tabs>
              <w:spacing w:after="0" w:line="240" w:lineRule="auto"/>
              <w:jc w:val="center"/>
              <w:rPr>
                <w:rFonts w:ascii="Times New Roman" w:hAnsi="Times New Roman"/>
                <w:sz w:val="18"/>
                <w:szCs w:val="18"/>
              </w:rPr>
            </w:pPr>
            <w:r w:rsidRPr="00D54F90">
              <w:rPr>
                <w:rFonts w:ascii="Times New Roman" w:hAnsi="Times New Roman"/>
                <w:sz w:val="18"/>
                <w:szCs w:val="18"/>
              </w:rPr>
              <w:t>Duomenys iš projektų</w:t>
            </w:r>
          </w:p>
        </w:tc>
        <w:tc>
          <w:tcPr>
            <w:tcW w:w="1241" w:type="dxa"/>
            <w:shd w:val="clear" w:color="auto" w:fill="auto"/>
            <w:vAlign w:val="center"/>
          </w:tcPr>
          <w:p w:rsidR="00515A37" w:rsidRPr="00385835" w:rsidRDefault="00515A37"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Kartą per metus</w:t>
            </w:r>
          </w:p>
        </w:tc>
      </w:tr>
      <w:tr w:rsidR="00515A37" w:rsidRPr="00385835" w:rsidTr="00E55725">
        <w:tblPrEx>
          <w:shd w:val="clear" w:color="auto" w:fill="auto"/>
        </w:tblPrEx>
        <w:tc>
          <w:tcPr>
            <w:tcW w:w="567" w:type="dxa"/>
            <w:shd w:val="clear" w:color="auto" w:fill="auto"/>
            <w:vAlign w:val="center"/>
          </w:tcPr>
          <w:p w:rsidR="00515A37" w:rsidRPr="00385835" w:rsidRDefault="00515A37"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3.</w:t>
            </w:r>
          </w:p>
        </w:tc>
        <w:tc>
          <w:tcPr>
            <w:tcW w:w="2835" w:type="dxa"/>
            <w:shd w:val="clear" w:color="auto" w:fill="auto"/>
            <w:vAlign w:val="center"/>
          </w:tcPr>
          <w:p w:rsidR="00515A37" w:rsidRPr="00385835" w:rsidRDefault="00515A37" w:rsidP="00385835">
            <w:pPr>
              <w:widowControl w:val="0"/>
              <w:tabs>
                <w:tab w:val="left" w:pos="622"/>
              </w:tabs>
              <w:spacing w:after="0" w:line="240" w:lineRule="auto"/>
              <w:rPr>
                <w:rFonts w:ascii="Times New Roman" w:hAnsi="Times New Roman"/>
                <w:sz w:val="18"/>
                <w:szCs w:val="18"/>
              </w:rPr>
            </w:pPr>
            <w:r w:rsidRPr="00385835">
              <w:rPr>
                <w:rFonts w:ascii="Times New Roman" w:hAnsi="Times New Roman"/>
                <w:sz w:val="18"/>
                <w:szCs w:val="18"/>
              </w:rPr>
              <w:t>Sutvarkytas radioaktyviųjų atliekų kiekis</w:t>
            </w:r>
          </w:p>
        </w:tc>
        <w:tc>
          <w:tcPr>
            <w:tcW w:w="1134" w:type="dxa"/>
            <w:shd w:val="clear" w:color="auto" w:fill="auto"/>
            <w:vAlign w:val="center"/>
          </w:tcPr>
          <w:p w:rsidR="00515A37" w:rsidRPr="00385835" w:rsidRDefault="00515A37"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m</w:t>
            </w:r>
            <w:r w:rsidRPr="00385835">
              <w:rPr>
                <w:rFonts w:ascii="Times New Roman" w:hAnsi="Times New Roman"/>
                <w:sz w:val="18"/>
                <w:szCs w:val="18"/>
                <w:vertAlign w:val="superscript"/>
              </w:rPr>
              <w:t>3</w:t>
            </w:r>
          </w:p>
        </w:tc>
        <w:tc>
          <w:tcPr>
            <w:tcW w:w="851" w:type="dxa"/>
            <w:shd w:val="clear" w:color="auto" w:fill="auto"/>
            <w:vAlign w:val="center"/>
          </w:tcPr>
          <w:p w:rsidR="00515A37" w:rsidRPr="00385835" w:rsidRDefault="00515A37"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SaF</w:t>
            </w:r>
          </w:p>
        </w:tc>
        <w:tc>
          <w:tcPr>
            <w:tcW w:w="1134" w:type="dxa"/>
            <w:shd w:val="clear" w:color="auto" w:fill="auto"/>
            <w:vAlign w:val="center"/>
          </w:tcPr>
          <w:p w:rsidR="00515A37" w:rsidRPr="001716A1" w:rsidRDefault="00515A37" w:rsidP="001716A1">
            <w:pPr>
              <w:spacing w:after="0" w:line="240" w:lineRule="auto"/>
              <w:jc w:val="center"/>
              <w:rPr>
                <w:rFonts w:ascii="Times New Roman" w:hAnsi="Times New Roman"/>
                <w:sz w:val="18"/>
                <w:szCs w:val="18"/>
              </w:rPr>
            </w:pPr>
            <w:r w:rsidRPr="001716A1">
              <w:rPr>
                <w:rFonts w:ascii="Times New Roman" w:eastAsia="AngsanaUPC" w:hAnsi="Times New Roman"/>
                <w:bCs/>
                <w:sz w:val="18"/>
                <w:szCs w:val="18"/>
                <w:lang w:eastAsia="lt-LT"/>
              </w:rPr>
              <w:t>–</w:t>
            </w:r>
          </w:p>
        </w:tc>
        <w:tc>
          <w:tcPr>
            <w:tcW w:w="850" w:type="dxa"/>
            <w:shd w:val="clear" w:color="auto" w:fill="auto"/>
            <w:vAlign w:val="center"/>
          </w:tcPr>
          <w:p w:rsidR="00515A37" w:rsidRPr="00385835" w:rsidDel="005051FE" w:rsidRDefault="00515A37"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300</w:t>
            </w:r>
          </w:p>
        </w:tc>
        <w:tc>
          <w:tcPr>
            <w:tcW w:w="1134" w:type="dxa"/>
            <w:shd w:val="clear" w:color="auto" w:fill="auto"/>
            <w:vAlign w:val="center"/>
          </w:tcPr>
          <w:p w:rsidR="00515A37" w:rsidRPr="00385835" w:rsidRDefault="00515A37"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Duomenys iš projektų</w:t>
            </w:r>
          </w:p>
        </w:tc>
        <w:tc>
          <w:tcPr>
            <w:tcW w:w="1241" w:type="dxa"/>
            <w:shd w:val="clear" w:color="auto" w:fill="auto"/>
            <w:vAlign w:val="center"/>
          </w:tcPr>
          <w:p w:rsidR="00515A37" w:rsidRPr="00385835" w:rsidRDefault="00515A37"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Kartą per metus</w:t>
            </w:r>
          </w:p>
        </w:tc>
      </w:tr>
      <w:tr w:rsidR="00715EE1" w:rsidRPr="00385835" w:rsidTr="00AA51F3">
        <w:tblPrEx>
          <w:shd w:val="clear" w:color="auto" w:fill="auto"/>
        </w:tblPrEx>
        <w:tc>
          <w:tcPr>
            <w:tcW w:w="567" w:type="dxa"/>
            <w:shd w:val="clear" w:color="auto" w:fill="auto"/>
            <w:vAlign w:val="center"/>
          </w:tcPr>
          <w:p w:rsidR="00715EE1" w:rsidRPr="00715EE1" w:rsidRDefault="00715EE1" w:rsidP="00715EE1">
            <w:pPr>
              <w:shd w:val="clear" w:color="auto" w:fill="FFFFFF"/>
              <w:autoSpaceDE w:val="0"/>
              <w:autoSpaceDN w:val="0"/>
              <w:adjustRightInd w:val="0"/>
              <w:spacing w:after="0" w:line="240" w:lineRule="auto"/>
              <w:jc w:val="center"/>
              <w:rPr>
                <w:rFonts w:ascii="Times New Roman" w:hAnsi="Times New Roman"/>
                <w:color w:val="000000"/>
                <w:sz w:val="18"/>
                <w:szCs w:val="18"/>
                <w:lang w:eastAsia="lt-LT"/>
              </w:rPr>
            </w:pPr>
            <w:r w:rsidRPr="00715EE1">
              <w:rPr>
                <w:rFonts w:ascii="Times New Roman" w:hAnsi="Times New Roman"/>
                <w:color w:val="000000"/>
                <w:sz w:val="18"/>
                <w:szCs w:val="18"/>
                <w:lang w:eastAsia="lt-LT"/>
              </w:rPr>
              <w:t>4.</w:t>
            </w:r>
          </w:p>
        </w:tc>
        <w:tc>
          <w:tcPr>
            <w:tcW w:w="2835" w:type="dxa"/>
            <w:shd w:val="clear" w:color="auto" w:fill="auto"/>
          </w:tcPr>
          <w:p w:rsidR="00715EE1" w:rsidRPr="00715EE1" w:rsidRDefault="00715EE1" w:rsidP="00715EE1">
            <w:pPr>
              <w:shd w:val="clear" w:color="auto" w:fill="FFFFFF"/>
              <w:autoSpaceDE w:val="0"/>
              <w:autoSpaceDN w:val="0"/>
              <w:adjustRightInd w:val="0"/>
              <w:spacing w:after="0" w:line="240" w:lineRule="auto"/>
              <w:rPr>
                <w:rFonts w:ascii="Times New Roman" w:hAnsi="Times New Roman"/>
                <w:color w:val="000000"/>
                <w:sz w:val="18"/>
                <w:szCs w:val="18"/>
                <w:lang w:eastAsia="lt-LT"/>
              </w:rPr>
            </w:pPr>
            <w:r w:rsidRPr="00715EE1">
              <w:rPr>
                <w:rFonts w:ascii="Times New Roman" w:hAnsi="Times New Roman"/>
                <w:color w:val="000000"/>
                <w:sz w:val="18"/>
                <w:szCs w:val="18"/>
                <w:lang w:eastAsia="lt-LT"/>
              </w:rPr>
              <w:t>Sukurti komunalinių atliekų panaudojimo energijai gauti pajėgumai</w:t>
            </w:r>
          </w:p>
        </w:tc>
        <w:tc>
          <w:tcPr>
            <w:tcW w:w="1134" w:type="dxa"/>
            <w:shd w:val="clear" w:color="auto" w:fill="auto"/>
            <w:vAlign w:val="center"/>
          </w:tcPr>
          <w:p w:rsidR="00715EE1" w:rsidRPr="00715EE1" w:rsidRDefault="00715EE1" w:rsidP="00715EE1">
            <w:pPr>
              <w:shd w:val="clear" w:color="auto" w:fill="FFFFFF"/>
              <w:autoSpaceDE w:val="0"/>
              <w:autoSpaceDN w:val="0"/>
              <w:adjustRightInd w:val="0"/>
              <w:spacing w:after="0" w:line="240" w:lineRule="auto"/>
              <w:jc w:val="center"/>
              <w:rPr>
                <w:rFonts w:ascii="Times New Roman" w:hAnsi="Times New Roman"/>
                <w:color w:val="000000"/>
                <w:sz w:val="18"/>
                <w:szCs w:val="18"/>
                <w:lang w:eastAsia="lt-LT"/>
              </w:rPr>
            </w:pPr>
            <w:r>
              <w:rPr>
                <w:rFonts w:ascii="Times New Roman" w:hAnsi="Times New Roman"/>
                <w:color w:val="000000"/>
                <w:sz w:val="18"/>
                <w:szCs w:val="18"/>
                <w:lang w:eastAsia="lt-LT"/>
              </w:rPr>
              <w:t>Tonos/</w:t>
            </w:r>
            <w:r w:rsidRPr="00715EE1">
              <w:rPr>
                <w:rFonts w:ascii="Times New Roman" w:hAnsi="Times New Roman"/>
                <w:color w:val="000000"/>
                <w:sz w:val="18"/>
                <w:szCs w:val="18"/>
                <w:lang w:eastAsia="lt-LT"/>
              </w:rPr>
              <w:t>met</w:t>
            </w:r>
            <w:r>
              <w:rPr>
                <w:rFonts w:ascii="Times New Roman" w:hAnsi="Times New Roman"/>
                <w:color w:val="000000"/>
                <w:sz w:val="18"/>
                <w:szCs w:val="18"/>
                <w:lang w:eastAsia="lt-LT"/>
              </w:rPr>
              <w:t>ai</w:t>
            </w:r>
          </w:p>
        </w:tc>
        <w:tc>
          <w:tcPr>
            <w:tcW w:w="851" w:type="dxa"/>
            <w:shd w:val="clear" w:color="auto" w:fill="auto"/>
            <w:vAlign w:val="center"/>
          </w:tcPr>
          <w:p w:rsidR="00715EE1" w:rsidRPr="00715EE1" w:rsidRDefault="00715EE1" w:rsidP="00715EE1">
            <w:pPr>
              <w:shd w:val="clear" w:color="auto" w:fill="FFFFFF"/>
              <w:autoSpaceDE w:val="0"/>
              <w:autoSpaceDN w:val="0"/>
              <w:adjustRightInd w:val="0"/>
              <w:spacing w:after="0" w:line="240" w:lineRule="auto"/>
              <w:jc w:val="center"/>
              <w:rPr>
                <w:rFonts w:ascii="Times New Roman" w:hAnsi="Times New Roman"/>
                <w:color w:val="000000"/>
                <w:sz w:val="18"/>
                <w:szCs w:val="18"/>
                <w:lang w:eastAsia="lt-LT"/>
              </w:rPr>
            </w:pPr>
            <w:r w:rsidRPr="00715EE1">
              <w:rPr>
                <w:rFonts w:ascii="Times New Roman" w:hAnsi="Times New Roman"/>
                <w:color w:val="000000"/>
                <w:sz w:val="18"/>
                <w:szCs w:val="18"/>
                <w:lang w:eastAsia="lt-LT"/>
              </w:rPr>
              <w:t>SaF</w:t>
            </w:r>
          </w:p>
        </w:tc>
        <w:tc>
          <w:tcPr>
            <w:tcW w:w="1134" w:type="dxa"/>
            <w:shd w:val="clear" w:color="auto" w:fill="auto"/>
            <w:vAlign w:val="center"/>
          </w:tcPr>
          <w:p w:rsidR="00715EE1" w:rsidRPr="00715EE1" w:rsidRDefault="00715EE1" w:rsidP="00715EE1">
            <w:pPr>
              <w:shd w:val="clear" w:color="auto" w:fill="FFFFFF"/>
              <w:autoSpaceDE w:val="0"/>
              <w:autoSpaceDN w:val="0"/>
              <w:adjustRightInd w:val="0"/>
              <w:spacing w:after="0" w:line="240" w:lineRule="auto"/>
              <w:jc w:val="center"/>
              <w:rPr>
                <w:rFonts w:ascii="Times New Roman" w:hAnsi="Times New Roman"/>
                <w:color w:val="000000"/>
                <w:sz w:val="18"/>
                <w:szCs w:val="18"/>
                <w:lang w:eastAsia="lt-LT"/>
              </w:rPr>
            </w:pPr>
            <w:r w:rsidRPr="001D340D">
              <w:rPr>
                <w:rFonts w:ascii="Times New Roman" w:eastAsia="AngsanaUPC" w:hAnsi="Times New Roman"/>
                <w:bCs/>
                <w:sz w:val="18"/>
                <w:szCs w:val="18"/>
                <w:lang w:eastAsia="lt-LT"/>
              </w:rPr>
              <w:t>–</w:t>
            </w:r>
          </w:p>
        </w:tc>
        <w:tc>
          <w:tcPr>
            <w:tcW w:w="850" w:type="dxa"/>
            <w:shd w:val="clear" w:color="auto" w:fill="auto"/>
            <w:vAlign w:val="center"/>
          </w:tcPr>
          <w:p w:rsidR="00715EE1" w:rsidRPr="00715EE1" w:rsidRDefault="00715EE1" w:rsidP="00C76808">
            <w:pPr>
              <w:shd w:val="clear" w:color="auto" w:fill="FFFFFF"/>
              <w:autoSpaceDE w:val="0"/>
              <w:autoSpaceDN w:val="0"/>
              <w:adjustRightInd w:val="0"/>
              <w:spacing w:after="0" w:line="240" w:lineRule="auto"/>
              <w:jc w:val="center"/>
              <w:rPr>
                <w:rFonts w:ascii="Times New Roman" w:hAnsi="Times New Roman"/>
                <w:color w:val="000000"/>
                <w:sz w:val="18"/>
                <w:szCs w:val="18"/>
                <w:lang w:eastAsia="lt-LT"/>
              </w:rPr>
            </w:pPr>
            <w:r w:rsidRPr="00715EE1">
              <w:rPr>
                <w:rFonts w:ascii="Times New Roman" w:hAnsi="Times New Roman"/>
                <w:color w:val="000000"/>
                <w:sz w:val="18"/>
                <w:szCs w:val="18"/>
                <w:lang w:eastAsia="lt-LT"/>
              </w:rPr>
              <w:t>160</w:t>
            </w:r>
            <w:r w:rsidR="00C76808">
              <w:rPr>
                <w:rFonts w:ascii="Times New Roman" w:hAnsi="Times New Roman"/>
                <w:color w:val="000000"/>
                <w:sz w:val="18"/>
                <w:szCs w:val="18"/>
                <w:lang w:eastAsia="lt-LT"/>
              </w:rPr>
              <w:t>.</w:t>
            </w:r>
            <w:r w:rsidRPr="00715EE1">
              <w:rPr>
                <w:rFonts w:ascii="Times New Roman" w:hAnsi="Times New Roman"/>
                <w:color w:val="000000"/>
                <w:sz w:val="18"/>
                <w:szCs w:val="18"/>
                <w:lang w:eastAsia="lt-LT"/>
              </w:rPr>
              <w:t>000</w:t>
            </w:r>
          </w:p>
        </w:tc>
        <w:tc>
          <w:tcPr>
            <w:tcW w:w="1134" w:type="dxa"/>
            <w:shd w:val="clear" w:color="auto" w:fill="auto"/>
            <w:vAlign w:val="center"/>
          </w:tcPr>
          <w:p w:rsidR="00715EE1" w:rsidRPr="00715EE1" w:rsidRDefault="00715EE1" w:rsidP="00715EE1">
            <w:pPr>
              <w:shd w:val="clear" w:color="auto" w:fill="FFFFFF"/>
              <w:autoSpaceDE w:val="0"/>
              <w:autoSpaceDN w:val="0"/>
              <w:adjustRightInd w:val="0"/>
              <w:spacing w:after="0" w:line="240" w:lineRule="auto"/>
              <w:jc w:val="center"/>
              <w:rPr>
                <w:rFonts w:ascii="Times New Roman" w:hAnsi="Times New Roman"/>
                <w:color w:val="000000"/>
                <w:sz w:val="18"/>
                <w:szCs w:val="18"/>
                <w:lang w:eastAsia="lt-LT"/>
              </w:rPr>
            </w:pPr>
            <w:r w:rsidRPr="00715EE1">
              <w:rPr>
                <w:rFonts w:ascii="Times New Roman" w:hAnsi="Times New Roman"/>
                <w:color w:val="000000"/>
                <w:sz w:val="18"/>
                <w:szCs w:val="18"/>
                <w:lang w:eastAsia="lt-LT"/>
              </w:rPr>
              <w:t>Duomenys iš projektų</w:t>
            </w:r>
          </w:p>
        </w:tc>
        <w:tc>
          <w:tcPr>
            <w:tcW w:w="1241" w:type="dxa"/>
            <w:shd w:val="clear" w:color="auto" w:fill="auto"/>
            <w:vAlign w:val="center"/>
          </w:tcPr>
          <w:p w:rsidR="00715EE1" w:rsidRPr="00715EE1" w:rsidRDefault="00715EE1" w:rsidP="00715EE1">
            <w:pPr>
              <w:shd w:val="clear" w:color="auto" w:fill="FFFFFF"/>
              <w:autoSpaceDE w:val="0"/>
              <w:autoSpaceDN w:val="0"/>
              <w:adjustRightInd w:val="0"/>
              <w:spacing w:after="0" w:line="240" w:lineRule="auto"/>
              <w:jc w:val="center"/>
              <w:rPr>
                <w:rFonts w:ascii="Times New Roman" w:hAnsi="Times New Roman"/>
                <w:color w:val="000000"/>
                <w:sz w:val="18"/>
                <w:szCs w:val="18"/>
                <w:lang w:eastAsia="lt-LT"/>
              </w:rPr>
            </w:pPr>
            <w:r w:rsidRPr="00715EE1">
              <w:rPr>
                <w:rFonts w:ascii="Times New Roman" w:hAnsi="Times New Roman"/>
                <w:color w:val="000000"/>
                <w:sz w:val="18"/>
                <w:szCs w:val="18"/>
                <w:lang w:eastAsia="lt-LT"/>
              </w:rPr>
              <w:t>Kartą per metus</w:t>
            </w:r>
          </w:p>
        </w:tc>
      </w:tr>
    </w:tbl>
    <w:p w:rsidR="00385835" w:rsidRDefault="00385835" w:rsidP="00385835">
      <w:pPr>
        <w:widowControl w:val="0"/>
        <w:tabs>
          <w:tab w:val="left" w:pos="622"/>
        </w:tabs>
        <w:spacing w:after="0" w:line="240" w:lineRule="auto"/>
        <w:jc w:val="both"/>
        <w:rPr>
          <w:rFonts w:ascii="Times New Roman" w:eastAsia="AngsanaUPC" w:hAnsi="Times New Roman"/>
          <w:b/>
          <w:bCs/>
          <w:i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746"/>
      </w:tblGrid>
      <w:tr w:rsidR="00715EE1" w:rsidRPr="00715EE1" w:rsidTr="00AA51F3">
        <w:tc>
          <w:tcPr>
            <w:tcW w:w="9746" w:type="dxa"/>
            <w:shd w:val="clear" w:color="auto" w:fill="EEECE1"/>
          </w:tcPr>
          <w:p w:rsidR="00715EE1" w:rsidRPr="00715EE1" w:rsidRDefault="00715EE1" w:rsidP="00715EE1">
            <w:pPr>
              <w:widowControl w:val="0"/>
              <w:tabs>
                <w:tab w:val="left" w:pos="622"/>
              </w:tabs>
              <w:spacing w:after="0" w:line="240" w:lineRule="auto"/>
              <w:jc w:val="both"/>
              <w:rPr>
                <w:rFonts w:ascii="Times New Roman" w:eastAsia="AngsanaUPC" w:hAnsi="Times New Roman"/>
                <w:b/>
                <w:bCs/>
                <w:iCs/>
                <w:sz w:val="24"/>
                <w:szCs w:val="24"/>
                <w:lang w:eastAsia="lt-LT"/>
              </w:rPr>
            </w:pPr>
            <w:r w:rsidRPr="00715EE1">
              <w:rPr>
                <w:rFonts w:ascii="Times New Roman" w:eastAsia="AngsanaUPC" w:hAnsi="Times New Roman"/>
                <w:b/>
                <w:bCs/>
                <w:i/>
                <w:iCs/>
                <w:sz w:val="24"/>
                <w:szCs w:val="24"/>
                <w:lang w:eastAsia="lt-LT"/>
              </w:rPr>
              <w:t>Didelės apimties projektai</w:t>
            </w:r>
          </w:p>
        </w:tc>
      </w:tr>
      <w:tr w:rsidR="00715EE1" w:rsidRPr="00715EE1" w:rsidTr="00AA51F3">
        <w:tc>
          <w:tcPr>
            <w:tcW w:w="9746" w:type="dxa"/>
            <w:shd w:val="clear" w:color="auto" w:fill="auto"/>
          </w:tcPr>
          <w:p w:rsidR="00715EE1" w:rsidRPr="00715EE1" w:rsidRDefault="00715EE1" w:rsidP="00C76808">
            <w:pPr>
              <w:widowControl w:val="0"/>
              <w:shd w:val="clear" w:color="auto" w:fill="FFFFFF"/>
              <w:spacing w:after="0" w:line="240" w:lineRule="auto"/>
              <w:ind w:firstLine="601"/>
              <w:jc w:val="both"/>
              <w:textAlignment w:val="baseline"/>
              <w:rPr>
                <w:rFonts w:ascii="Times New Roman" w:eastAsia="Times New Roman" w:hAnsi="Times New Roman"/>
                <w:color w:val="000000"/>
                <w:sz w:val="24"/>
                <w:szCs w:val="24"/>
              </w:rPr>
            </w:pPr>
            <w:r w:rsidRPr="00715EE1">
              <w:rPr>
                <w:rFonts w:ascii="Times New Roman" w:eastAsia="Times New Roman" w:hAnsi="Times New Roman"/>
                <w:color w:val="000000"/>
                <w:sz w:val="24"/>
                <w:szCs w:val="24"/>
              </w:rPr>
              <w:t>Komunalinių atliekų naudojimo energijai gauti pajėgumų sukūrimas Vilniaus mieste.</w:t>
            </w:r>
          </w:p>
          <w:p w:rsidR="00715EE1" w:rsidRPr="00715EE1" w:rsidRDefault="00715EE1" w:rsidP="00C76808">
            <w:pPr>
              <w:widowControl w:val="0"/>
              <w:tabs>
                <w:tab w:val="left" w:pos="622"/>
              </w:tabs>
              <w:spacing w:after="0" w:line="240" w:lineRule="auto"/>
              <w:ind w:firstLine="601"/>
              <w:jc w:val="both"/>
              <w:rPr>
                <w:rFonts w:ascii="Times New Roman" w:eastAsia="AngsanaUPC" w:hAnsi="Times New Roman"/>
                <w:bCs/>
                <w:iCs/>
                <w:sz w:val="24"/>
                <w:szCs w:val="24"/>
                <w:lang w:eastAsia="lt-LT"/>
              </w:rPr>
            </w:pPr>
            <w:r w:rsidRPr="00715EE1">
              <w:rPr>
                <w:rFonts w:ascii="Times New Roman" w:eastAsia="Times New Roman" w:hAnsi="Times New Roman"/>
                <w:color w:val="000000"/>
                <w:sz w:val="24"/>
                <w:szCs w:val="24"/>
              </w:rPr>
              <w:t xml:space="preserve">Didelės apimties projektas Vilniuje padidins išteklių naudojimo efektyvumą, nes </w:t>
            </w:r>
            <w:r w:rsidRPr="00715EE1">
              <w:rPr>
                <w:rFonts w:ascii="Times New Roman" w:eastAsia="Times New Roman" w:hAnsi="Times New Roman"/>
                <w:bCs/>
                <w:color w:val="000000"/>
                <w:sz w:val="24"/>
                <w:szCs w:val="24"/>
              </w:rPr>
              <w:t xml:space="preserve">po apdorojimo likusios, perdirbti netinkamos, energetinę vertę turinčios </w:t>
            </w:r>
            <w:r w:rsidRPr="00715EE1">
              <w:rPr>
                <w:rFonts w:ascii="Times New Roman" w:eastAsia="Times New Roman" w:hAnsi="Times New Roman"/>
                <w:color w:val="000000"/>
                <w:sz w:val="24"/>
                <w:szCs w:val="24"/>
              </w:rPr>
              <w:t>komunalinės atliekos bus panaudotos energijai gauti šilumą ir elektrą gaminančiame kogeneracijos įrenginyje. Projekto įgyvendinimas sumažins komunalinių atliekų šalinimą sąvartynuose, taip užtikrinant atliekų tvarkymo sistemų efektyvumą ir 2007–2013 metų programavimo laikotarpio investicijų į atliekų tvarkymo sektorių tęstinumą.</w:t>
            </w:r>
          </w:p>
        </w:tc>
      </w:tr>
    </w:tbl>
    <w:p w:rsidR="00715EE1" w:rsidRPr="00385835" w:rsidRDefault="00715EE1" w:rsidP="00385835">
      <w:pPr>
        <w:widowControl w:val="0"/>
        <w:tabs>
          <w:tab w:val="left" w:pos="622"/>
        </w:tabs>
        <w:spacing w:after="0" w:line="240" w:lineRule="auto"/>
        <w:jc w:val="both"/>
        <w:rPr>
          <w:rFonts w:ascii="Times New Roman" w:eastAsia="AngsanaUPC" w:hAnsi="Times New Roman"/>
          <w:b/>
          <w:bCs/>
          <w:i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vAlign w:val="center"/>
          </w:tcPr>
          <w:p w:rsidR="00385835" w:rsidRPr="00385835" w:rsidRDefault="00385835" w:rsidP="00385835">
            <w:pPr>
              <w:widowControl w:val="0"/>
              <w:tabs>
                <w:tab w:val="left" w:pos="622"/>
              </w:tabs>
              <w:spacing w:after="0" w:line="240" w:lineRule="auto"/>
              <w:jc w:val="both"/>
              <w:rPr>
                <w:rFonts w:ascii="Times New Roman" w:eastAsia="AngsanaUPC" w:hAnsi="Times New Roman"/>
                <w:b/>
                <w:bCs/>
                <w:iCs/>
                <w:sz w:val="24"/>
                <w:szCs w:val="24"/>
                <w:lang w:eastAsia="lt-LT"/>
              </w:rPr>
            </w:pPr>
            <w:r w:rsidRPr="00385835">
              <w:rPr>
                <w:rFonts w:ascii="Times New Roman" w:eastAsia="AngsanaUPC" w:hAnsi="Times New Roman"/>
                <w:b/>
                <w:bCs/>
                <w:iCs/>
                <w:sz w:val="24"/>
                <w:szCs w:val="24"/>
                <w:lang w:eastAsia="lt-LT"/>
              </w:rPr>
              <w:t>5.3. INVESTICINIS PRIORITETAS</w:t>
            </w:r>
          </w:p>
        </w:tc>
        <w:tc>
          <w:tcPr>
            <w:tcW w:w="7336" w:type="dxa"/>
            <w:shd w:val="clear" w:color="auto" w:fill="EEECE1"/>
            <w:vAlign w:val="center"/>
          </w:tcPr>
          <w:p w:rsidR="00385835" w:rsidRPr="00385835" w:rsidRDefault="00385835" w:rsidP="00385835">
            <w:pPr>
              <w:spacing w:after="0" w:line="240" w:lineRule="auto"/>
              <w:jc w:val="both"/>
              <w:rPr>
                <w:rFonts w:ascii="Times New Roman" w:hAnsi="Times New Roman"/>
                <w:b/>
                <w:sz w:val="24"/>
                <w:szCs w:val="24"/>
              </w:rPr>
            </w:pPr>
            <w:r w:rsidRPr="00385835">
              <w:rPr>
                <w:rFonts w:ascii="Times New Roman" w:hAnsi="Times New Roman"/>
                <w:b/>
                <w:sz w:val="24"/>
                <w:szCs w:val="24"/>
              </w:rPr>
              <w:t xml:space="preserve">Investicijos į vandens sektorių, siekiant įvykdyti ES aplinkos </w:t>
            </w:r>
            <w:r w:rsidRPr="00385835">
              <w:rPr>
                <w:rFonts w:ascii="Times New Roman" w:hAnsi="Times New Roman"/>
                <w:b/>
                <w:i/>
                <w:sz w:val="24"/>
                <w:szCs w:val="24"/>
              </w:rPr>
              <w:t>acquis</w:t>
            </w:r>
            <w:r w:rsidRPr="00385835">
              <w:rPr>
                <w:rFonts w:ascii="Times New Roman" w:hAnsi="Times New Roman"/>
                <w:b/>
                <w:sz w:val="24"/>
                <w:szCs w:val="24"/>
              </w:rPr>
              <w:t xml:space="preserve"> reikalavimus ir patenkinti valstybių narių nustatytus poreikius, virš</w:t>
            </w:r>
            <w:r w:rsidR="00031EF1">
              <w:rPr>
                <w:rFonts w:ascii="Times New Roman" w:hAnsi="Times New Roman"/>
                <w:b/>
                <w:sz w:val="24"/>
                <w:szCs w:val="24"/>
              </w:rPr>
              <w:t>ijančius tuos reikalavimus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FONDAS</w:t>
            </w:r>
          </w:p>
        </w:tc>
        <w:tc>
          <w:tcPr>
            <w:tcW w:w="7336"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Sanglaudos fondas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5.3.1. KONKRETUS UŽDAVINYS</w:t>
            </w:r>
          </w:p>
        </w:tc>
        <w:tc>
          <w:tcPr>
            <w:tcW w:w="7336" w:type="dxa"/>
            <w:shd w:val="clear" w:color="auto" w:fill="EEECE1"/>
            <w:vAlign w:val="center"/>
          </w:tcPr>
          <w:p w:rsidR="00385835" w:rsidRPr="00385835" w:rsidRDefault="00385835" w:rsidP="00385835">
            <w:pPr>
              <w:spacing w:after="0" w:line="240" w:lineRule="auto"/>
              <w:jc w:val="both"/>
              <w:rPr>
                <w:rFonts w:ascii="Times New Roman" w:hAnsi="Times New Roman"/>
                <w:b/>
                <w:sz w:val="24"/>
                <w:szCs w:val="24"/>
              </w:rPr>
            </w:pPr>
            <w:r w:rsidRPr="00385835">
              <w:rPr>
                <w:rFonts w:ascii="Times New Roman" w:hAnsi="Times New Roman"/>
                <w:b/>
                <w:sz w:val="24"/>
                <w:szCs w:val="24"/>
              </w:rPr>
              <w:t>Pagerinti Baltijos jūros ir kitų paviršinių vandens telkinių būklę</w:t>
            </w:r>
          </w:p>
        </w:tc>
      </w:tr>
      <w:tr w:rsidR="00385835" w:rsidRPr="00385835" w:rsidTr="00385835">
        <w:tc>
          <w:tcPr>
            <w:tcW w:w="9746" w:type="dxa"/>
            <w:gridSpan w:val="2"/>
            <w:shd w:val="clear" w:color="auto" w:fill="auto"/>
          </w:tcPr>
          <w:p w:rsidR="00385835" w:rsidRPr="00385835" w:rsidRDefault="00385835" w:rsidP="00385835">
            <w:pPr>
              <w:autoSpaceDE w:val="0"/>
              <w:autoSpaceDN w:val="0"/>
              <w:adjustRightInd w:val="0"/>
              <w:spacing w:after="0" w:line="240" w:lineRule="auto"/>
              <w:ind w:firstLine="601"/>
              <w:jc w:val="both"/>
              <w:rPr>
                <w:rFonts w:ascii="Times New Roman" w:hAnsi="Times New Roman"/>
                <w:sz w:val="24"/>
                <w:szCs w:val="24"/>
                <w:lang w:eastAsia="lt-LT"/>
              </w:rPr>
            </w:pPr>
            <w:r w:rsidRPr="00385835">
              <w:rPr>
                <w:rFonts w:ascii="Times New Roman" w:hAnsi="Times New Roman"/>
                <w:sz w:val="24"/>
                <w:szCs w:val="24"/>
              </w:rPr>
              <w:t xml:space="preserve">Vandens kokybė Lietuvos upėse per pastarąjį dešimtmetį žymiai pagerėjo dėl atliktų didelių investicijų į nuotekų tvarkymo sistemą, tačiau Kuršių marios, Baltijos jūros priekrantė, apie du trečdalius Lietuvos upių ir trečdalis ežerų dar neatitinka geros vandens būklės reikalavimų </w:t>
            </w:r>
            <w:proofErr w:type="gramStart"/>
            <w:r w:rsidRPr="00385835">
              <w:rPr>
                <w:rFonts w:ascii="Times New Roman" w:hAnsi="Times New Roman"/>
                <w:sz w:val="24"/>
                <w:szCs w:val="24"/>
              </w:rPr>
              <w:t>(</w:t>
            </w:r>
            <w:proofErr w:type="gramEnd"/>
            <w:r w:rsidR="00CE568F">
              <w:rPr>
                <w:rFonts w:ascii="Times New Roman" w:hAnsi="Times New Roman"/>
                <w:iCs/>
                <w:sz w:val="24"/>
                <w:szCs w:val="24"/>
              </w:rPr>
              <w:t>2012 </w:t>
            </w:r>
            <w:r w:rsidRPr="00385835">
              <w:rPr>
                <w:rFonts w:ascii="Times New Roman" w:hAnsi="Times New Roman"/>
                <w:iCs/>
                <w:sz w:val="24"/>
                <w:szCs w:val="24"/>
              </w:rPr>
              <w:t>m. geros būklės vandens telkinių dalis sudarė 54 proc.)</w:t>
            </w:r>
            <w:r w:rsidRPr="00385835">
              <w:rPr>
                <w:rFonts w:ascii="Times New Roman" w:hAnsi="Times New Roman"/>
                <w:sz w:val="24"/>
                <w:szCs w:val="24"/>
              </w:rPr>
              <w:t xml:space="preserve">. </w:t>
            </w:r>
            <w:r w:rsidRPr="00385835">
              <w:rPr>
                <w:rFonts w:ascii="Times New Roman" w:hAnsi="Times New Roman"/>
                <w:sz w:val="24"/>
                <w:szCs w:val="24"/>
                <w:lang w:eastAsia="lt-LT"/>
              </w:rPr>
              <w:t xml:space="preserve">Pagrindiniai paviršinių vandens telkinių būklei poveikį darantys žmogaus ūkinės veiklos veiksniai yra pasklidoji ir sutelktoji (iš konkretaus taršos šaltinio išleidžiamos komunalinės ar pramoninės nuotekos) tarša, </w:t>
            </w:r>
            <w:r w:rsidRPr="00385835">
              <w:rPr>
                <w:rFonts w:ascii="Times New Roman" w:hAnsi="Times New Roman"/>
                <w:bCs/>
                <w:color w:val="000000"/>
                <w:sz w:val="24"/>
                <w:szCs w:val="24"/>
              </w:rPr>
              <w:t xml:space="preserve">o Baltijos jūros biologinei įvairovei </w:t>
            </w:r>
            <w:r w:rsidRPr="00385835">
              <w:rPr>
                <w:rFonts w:ascii="Times New Roman" w:hAnsi="Times New Roman"/>
                <w:color w:val="000000"/>
                <w:sz w:val="24"/>
                <w:szCs w:val="24"/>
              </w:rPr>
              <w:t xml:space="preserve">– </w:t>
            </w:r>
            <w:r w:rsidRPr="00385835">
              <w:rPr>
                <w:rFonts w:ascii="Times New Roman" w:hAnsi="Times New Roman"/>
                <w:bCs/>
                <w:color w:val="000000"/>
                <w:sz w:val="24"/>
                <w:szCs w:val="24"/>
              </w:rPr>
              <w:t>žmogaus veikla jūroje ir taršos incidentai.</w:t>
            </w:r>
          </w:p>
          <w:p w:rsidR="00385835" w:rsidRPr="00385835" w:rsidRDefault="00385835" w:rsidP="00385835">
            <w:pPr>
              <w:autoSpaceDE w:val="0"/>
              <w:autoSpaceDN w:val="0"/>
              <w:adjustRightInd w:val="0"/>
              <w:spacing w:after="0" w:line="240" w:lineRule="auto"/>
              <w:ind w:firstLine="601"/>
              <w:jc w:val="both"/>
              <w:rPr>
                <w:rFonts w:ascii="Times New Roman" w:hAnsi="Times New Roman"/>
                <w:sz w:val="24"/>
                <w:szCs w:val="24"/>
              </w:rPr>
            </w:pPr>
            <w:r w:rsidRPr="00385835">
              <w:rPr>
                <w:rFonts w:ascii="Times New Roman" w:hAnsi="Times New Roman"/>
                <w:sz w:val="24"/>
                <w:szCs w:val="24"/>
              </w:rPr>
              <w:t xml:space="preserve">Vadovaujantis direktyva, nustatančia Bendrijos veiksmus jūrų aplinkos politikos srityje pagrindus, ir </w:t>
            </w:r>
            <w:r w:rsidRPr="00385835">
              <w:rPr>
                <w:rFonts w:ascii="Times New Roman" w:eastAsia="AngsanaUPC" w:hAnsi="Times New Roman"/>
                <w:bCs/>
                <w:sz w:val="24"/>
                <w:szCs w:val="24"/>
                <w:lang w:eastAsia="lt-LT"/>
              </w:rPr>
              <w:t xml:space="preserve">direktyva, </w:t>
            </w:r>
            <w:r w:rsidRPr="00385835">
              <w:rPr>
                <w:rFonts w:ascii="Times New Roman" w:eastAsia="EUAlbertina-Bold-Identity-H" w:hAnsi="Times New Roman"/>
                <w:bCs/>
                <w:sz w:val="24"/>
                <w:szCs w:val="24"/>
                <w:lang w:eastAsia="lt-LT"/>
              </w:rPr>
              <w:t>nustatančia</w:t>
            </w:r>
            <w:r w:rsidRPr="00385835">
              <w:rPr>
                <w:rFonts w:ascii="Times New Roman" w:hAnsi="Times New Roman"/>
                <w:sz w:val="24"/>
                <w:szCs w:val="24"/>
              </w:rPr>
              <w:t xml:space="preserve"> Bendrijos veiksmų vandens polit</w:t>
            </w:r>
            <w:r w:rsidR="00CE568F">
              <w:rPr>
                <w:rFonts w:ascii="Times New Roman" w:hAnsi="Times New Roman"/>
                <w:sz w:val="24"/>
                <w:szCs w:val="24"/>
              </w:rPr>
              <w:t>ikos srityje pagrindus, ir 1992 </w:t>
            </w:r>
            <w:r w:rsidRPr="00385835">
              <w:rPr>
                <w:rFonts w:ascii="Times New Roman" w:hAnsi="Times New Roman"/>
                <w:sz w:val="24"/>
                <w:szCs w:val="24"/>
              </w:rPr>
              <w:t>m. Helsinkio konvencija dėl Baltijos jūros baseino jūrinės aplinkos apsaugos, strateginis Lietuvos tikslas vandens apsaugos srityje – iki 2020 m. pasiekti gerą būklę Baltijos jūros Lietuvai priklausančioje dalyje, Kuršių mariose ir maždaug ¾ paviršinių vidaus vandens telkinių.</w:t>
            </w:r>
          </w:p>
          <w:p w:rsidR="00385835" w:rsidRPr="00385835" w:rsidRDefault="00385835" w:rsidP="00385835">
            <w:pPr>
              <w:autoSpaceDE w:val="0"/>
              <w:autoSpaceDN w:val="0"/>
              <w:adjustRightInd w:val="0"/>
              <w:spacing w:after="0" w:line="240" w:lineRule="auto"/>
              <w:ind w:firstLine="601"/>
              <w:jc w:val="both"/>
              <w:rPr>
                <w:rFonts w:ascii="Times New Roman" w:hAnsi="Times New Roman"/>
                <w:sz w:val="24"/>
                <w:szCs w:val="24"/>
              </w:rPr>
            </w:pPr>
            <w:r w:rsidRPr="00385835">
              <w:rPr>
                <w:rFonts w:ascii="Times New Roman" w:hAnsi="Times New Roman"/>
                <w:sz w:val="24"/>
                <w:szCs w:val="24"/>
              </w:rPr>
              <w:t>Šiems tikslams pasiekti numatoma tęsti Baltijos jūros ir kitų vandenų stebėseną ir tyrimus, įgyvendinti upių baseinų valdymo planuose numatytas vandens ekologinės ir cheminės būklės gerinimo priemones. Šiomis priemonėmis bus prisidedama prie Europos vandens išteklių išsaugojimo metmenų komunikate, Jūrų erdvės planavimo direktyvoje ir ES Baltijos jūros regiono strategijoje nurodytų tikslų, nuostatų ir pagrindinių veiksmų, siekiant spręsti vandens aplinkai kylančias problemas, užtikrinant tvar</w:t>
            </w:r>
            <w:r w:rsidR="00CE568F">
              <w:rPr>
                <w:rFonts w:ascii="Times New Roman" w:hAnsi="Times New Roman"/>
                <w:sz w:val="24"/>
                <w:szCs w:val="24"/>
              </w:rPr>
              <w:t>ų augimą ir išteklių naudojimą.</w:t>
            </w:r>
          </w:p>
          <w:p w:rsidR="00385835" w:rsidRPr="00385835" w:rsidRDefault="00385835" w:rsidP="00385835">
            <w:pPr>
              <w:widowControl w:val="0"/>
              <w:tabs>
                <w:tab w:val="left" w:pos="622"/>
              </w:tabs>
              <w:spacing w:after="0" w:line="240" w:lineRule="auto"/>
              <w:ind w:firstLine="624"/>
              <w:jc w:val="both"/>
              <w:rPr>
                <w:rFonts w:ascii="Times New Roman" w:hAnsi="Times New Roman"/>
                <w:sz w:val="24"/>
                <w:szCs w:val="24"/>
              </w:rPr>
            </w:pPr>
            <w:r w:rsidRPr="00385835">
              <w:rPr>
                <w:rFonts w:ascii="Times New Roman" w:hAnsi="Times New Roman"/>
                <w:sz w:val="24"/>
                <w:szCs w:val="24"/>
                <w:lang w:eastAsia="lt-LT"/>
              </w:rPr>
              <w:t>Numatomos investicijos sudarys sąlygas pagerinti paviršinių vandens telkinių ir Baltijos jūros būklę. Sėkmingą rezultatų siekimą užtikrins tęstinis bendradarbiavimas su kaimyninėmis valstybėmis, dalyvaujant Helsinkio komisijos veikloje, taip pat vadovaujantis įvairiais ES ir tarpvyriausybiniais susitarimais.</w:t>
            </w:r>
          </w:p>
          <w:p w:rsidR="00385835" w:rsidRPr="00385835" w:rsidRDefault="00385835" w:rsidP="00385835">
            <w:pPr>
              <w:widowControl w:val="0"/>
              <w:tabs>
                <w:tab w:val="left" w:pos="622"/>
              </w:tabs>
              <w:spacing w:after="0" w:line="240" w:lineRule="auto"/>
              <w:ind w:firstLine="624"/>
              <w:jc w:val="both"/>
              <w:rPr>
                <w:rFonts w:ascii="Times New Roman" w:hAnsi="Times New Roman"/>
                <w:color w:val="1F497D"/>
                <w:sz w:val="24"/>
                <w:szCs w:val="24"/>
              </w:rPr>
            </w:pPr>
            <w:r w:rsidRPr="00385835">
              <w:rPr>
                <w:rFonts w:ascii="Times New Roman" w:hAnsi="Times New Roman"/>
                <w:bCs/>
                <w:iCs/>
                <w:sz w:val="24"/>
                <w:szCs w:val="24"/>
              </w:rPr>
              <w:t xml:space="preserve">Didelę įtaką paviršinių vandens telkinių ir Baltijos jūros geros aplinkosauginės būklės </w:t>
            </w:r>
            <w:r w:rsidRPr="00385835">
              <w:rPr>
                <w:rFonts w:ascii="Times New Roman" w:hAnsi="Times New Roman"/>
                <w:bCs/>
                <w:iCs/>
                <w:sz w:val="24"/>
                <w:szCs w:val="24"/>
              </w:rPr>
              <w:lastRenderedPageBreak/>
              <w:t>pasiekimui turės pasklidosios taršos valdymas ir gerosios ūkininkavimo praktikos taikymas žemės ūkio sektoriuje.</w:t>
            </w:r>
          </w:p>
        </w:tc>
      </w:tr>
    </w:tbl>
    <w:p w:rsidR="0069193C" w:rsidRPr="00385835" w:rsidRDefault="0069193C"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567"/>
        <w:gridCol w:w="1985"/>
        <w:gridCol w:w="1134"/>
        <w:gridCol w:w="1134"/>
        <w:gridCol w:w="850"/>
        <w:gridCol w:w="993"/>
        <w:gridCol w:w="850"/>
        <w:gridCol w:w="992"/>
        <w:gridCol w:w="1241"/>
      </w:tblGrid>
      <w:tr w:rsidR="00385835" w:rsidRPr="00385835" w:rsidTr="00AC10CD">
        <w:trPr>
          <w:tblHeader/>
        </w:trPr>
        <w:tc>
          <w:tcPr>
            <w:tcW w:w="9746" w:type="dxa"/>
            <w:gridSpan w:val="9"/>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i/>
                <w:iCs/>
                <w:sz w:val="24"/>
                <w:szCs w:val="24"/>
                <w:lang w:eastAsia="lt-LT"/>
              </w:rPr>
            </w:pPr>
            <w:r w:rsidRPr="00385835">
              <w:rPr>
                <w:rFonts w:ascii="Times New Roman" w:eastAsia="AngsanaUPC" w:hAnsi="Times New Roman"/>
                <w:b/>
                <w:bCs/>
                <w:i/>
                <w:iCs/>
                <w:sz w:val="24"/>
                <w:szCs w:val="24"/>
                <w:lang w:eastAsia="lt-LT"/>
              </w:rPr>
              <w:t xml:space="preserve">SaF </w:t>
            </w:r>
            <w:r w:rsidR="00B1109C">
              <w:rPr>
                <w:rFonts w:ascii="Times New Roman" w:eastAsia="AngsanaUPC" w:hAnsi="Times New Roman"/>
                <w:b/>
                <w:bCs/>
                <w:i/>
                <w:iCs/>
                <w:sz w:val="24"/>
                <w:szCs w:val="24"/>
                <w:lang w:eastAsia="lt-LT"/>
              </w:rPr>
              <w:t xml:space="preserve">specialieji </w:t>
            </w:r>
            <w:r w:rsidRPr="00385835">
              <w:rPr>
                <w:rFonts w:ascii="Times New Roman" w:eastAsia="AngsanaUPC" w:hAnsi="Times New Roman"/>
                <w:b/>
                <w:bCs/>
                <w:i/>
                <w:iCs/>
                <w:sz w:val="24"/>
                <w:szCs w:val="24"/>
                <w:lang w:eastAsia="lt-LT"/>
              </w:rPr>
              <w:t>programos rezultato rodikliai</w:t>
            </w:r>
          </w:p>
        </w:tc>
      </w:tr>
      <w:tr w:rsidR="00385835" w:rsidRPr="00385835" w:rsidTr="00C76808">
        <w:tblPrEx>
          <w:shd w:val="clear" w:color="auto" w:fill="auto"/>
        </w:tblPrEx>
        <w:trPr>
          <w:cantSplit/>
          <w:trHeight w:val="690"/>
          <w:tblHeader/>
        </w:trPr>
        <w:tc>
          <w:tcPr>
            <w:tcW w:w="567"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Nr.</w:t>
            </w:r>
          </w:p>
        </w:tc>
        <w:tc>
          <w:tcPr>
            <w:tcW w:w="1985"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Rodiklio pavadinimas</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Matavimo vienetas</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Regiono kategorija</w:t>
            </w:r>
          </w:p>
        </w:tc>
        <w:tc>
          <w:tcPr>
            <w:tcW w:w="850"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 reikšmė</w:t>
            </w:r>
          </w:p>
        </w:tc>
        <w:tc>
          <w:tcPr>
            <w:tcW w:w="993"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Pradinės reikšmės metai</w:t>
            </w:r>
          </w:p>
        </w:tc>
        <w:tc>
          <w:tcPr>
            <w:tcW w:w="850"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Siektina reikšmė (2023)</w:t>
            </w:r>
          </w:p>
        </w:tc>
        <w:tc>
          <w:tcPr>
            <w:tcW w:w="992"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Duomenų šaltinis</w:t>
            </w:r>
          </w:p>
        </w:tc>
        <w:tc>
          <w:tcPr>
            <w:tcW w:w="124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Atsiskaitymo dažnumas</w:t>
            </w:r>
          </w:p>
        </w:tc>
      </w:tr>
      <w:tr w:rsidR="00515A37" w:rsidRPr="00385835" w:rsidTr="00C76808">
        <w:tblPrEx>
          <w:shd w:val="clear" w:color="auto" w:fill="auto"/>
        </w:tblPrEx>
        <w:tc>
          <w:tcPr>
            <w:tcW w:w="567" w:type="dxa"/>
            <w:shd w:val="clear" w:color="auto" w:fill="auto"/>
            <w:vAlign w:val="center"/>
          </w:tcPr>
          <w:p w:rsidR="00515A37" w:rsidRPr="00385835" w:rsidRDefault="00515A37"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 xml:space="preserve">1. </w:t>
            </w:r>
          </w:p>
        </w:tc>
        <w:tc>
          <w:tcPr>
            <w:tcW w:w="1985" w:type="dxa"/>
            <w:shd w:val="clear" w:color="auto" w:fill="auto"/>
            <w:vAlign w:val="center"/>
          </w:tcPr>
          <w:p w:rsidR="00515A37" w:rsidRPr="00385835" w:rsidRDefault="00515A37" w:rsidP="00385835">
            <w:pPr>
              <w:widowControl w:val="0"/>
              <w:tabs>
                <w:tab w:val="left" w:pos="622"/>
              </w:tabs>
              <w:spacing w:after="0" w:line="240" w:lineRule="auto"/>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 xml:space="preserve">Vidutinė bendro azoto koncentracija Lietuvos Baltijos jūros teritoriniuose vandenyse </w:t>
            </w:r>
          </w:p>
        </w:tc>
        <w:tc>
          <w:tcPr>
            <w:tcW w:w="1134" w:type="dxa"/>
            <w:shd w:val="clear" w:color="auto" w:fill="auto"/>
            <w:vAlign w:val="center"/>
          </w:tcPr>
          <w:p w:rsidR="00515A37" w:rsidRPr="00385835" w:rsidRDefault="00515A37"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mg/l</w:t>
            </w:r>
          </w:p>
        </w:tc>
        <w:tc>
          <w:tcPr>
            <w:tcW w:w="1134" w:type="dxa"/>
            <w:shd w:val="clear" w:color="auto" w:fill="auto"/>
            <w:vAlign w:val="center"/>
          </w:tcPr>
          <w:p w:rsidR="00515A37" w:rsidRDefault="00515A37" w:rsidP="0033434D">
            <w:pPr>
              <w:spacing w:after="0" w:line="240" w:lineRule="auto"/>
              <w:jc w:val="center"/>
            </w:pPr>
            <w:r w:rsidRPr="00E544DC">
              <w:rPr>
                <w:rFonts w:ascii="Times New Roman" w:eastAsia="AngsanaUPC" w:hAnsi="Times New Roman"/>
                <w:bCs/>
                <w:sz w:val="18"/>
                <w:szCs w:val="18"/>
                <w:lang w:eastAsia="lt-LT"/>
              </w:rPr>
              <w:t>–</w:t>
            </w:r>
          </w:p>
        </w:tc>
        <w:tc>
          <w:tcPr>
            <w:tcW w:w="850" w:type="dxa"/>
            <w:shd w:val="clear" w:color="auto" w:fill="auto"/>
            <w:vAlign w:val="center"/>
          </w:tcPr>
          <w:p w:rsidR="00515A37" w:rsidRPr="00385835" w:rsidRDefault="00515A37"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0,50</w:t>
            </w:r>
          </w:p>
        </w:tc>
        <w:tc>
          <w:tcPr>
            <w:tcW w:w="993" w:type="dxa"/>
            <w:shd w:val="clear" w:color="auto" w:fill="auto"/>
            <w:vAlign w:val="center"/>
          </w:tcPr>
          <w:p w:rsidR="00515A37" w:rsidRPr="00385835" w:rsidRDefault="00515A37"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2011</w:t>
            </w:r>
          </w:p>
        </w:tc>
        <w:tc>
          <w:tcPr>
            <w:tcW w:w="850" w:type="dxa"/>
            <w:shd w:val="clear" w:color="auto" w:fill="auto"/>
            <w:vAlign w:val="center"/>
          </w:tcPr>
          <w:p w:rsidR="00515A37" w:rsidRPr="00385835" w:rsidRDefault="00515A37"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 xml:space="preserve">0,25 </w:t>
            </w:r>
          </w:p>
        </w:tc>
        <w:tc>
          <w:tcPr>
            <w:tcW w:w="992" w:type="dxa"/>
            <w:shd w:val="clear" w:color="auto" w:fill="auto"/>
            <w:vAlign w:val="center"/>
          </w:tcPr>
          <w:p w:rsidR="00515A37" w:rsidRPr="00385835" w:rsidRDefault="00515A37"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Aplinkos apsaugos agentūra</w:t>
            </w:r>
          </w:p>
        </w:tc>
        <w:tc>
          <w:tcPr>
            <w:tcW w:w="1241" w:type="dxa"/>
            <w:shd w:val="clear" w:color="auto" w:fill="auto"/>
            <w:vAlign w:val="center"/>
          </w:tcPr>
          <w:p w:rsidR="00515A37" w:rsidRPr="00385835" w:rsidRDefault="00515A37"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515A37" w:rsidRPr="00385835" w:rsidTr="00C76808">
        <w:tblPrEx>
          <w:shd w:val="clear" w:color="auto" w:fill="auto"/>
        </w:tblPrEx>
        <w:tc>
          <w:tcPr>
            <w:tcW w:w="567" w:type="dxa"/>
            <w:shd w:val="clear" w:color="auto" w:fill="auto"/>
            <w:vAlign w:val="center"/>
          </w:tcPr>
          <w:p w:rsidR="00515A37" w:rsidRPr="00385835" w:rsidRDefault="00515A37"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w:t>
            </w:r>
          </w:p>
        </w:tc>
        <w:tc>
          <w:tcPr>
            <w:tcW w:w="1985" w:type="dxa"/>
            <w:shd w:val="clear" w:color="auto" w:fill="auto"/>
            <w:vAlign w:val="center"/>
          </w:tcPr>
          <w:p w:rsidR="00515A37" w:rsidRPr="00385835" w:rsidRDefault="00515A37" w:rsidP="00385835">
            <w:pPr>
              <w:widowControl w:val="0"/>
              <w:tabs>
                <w:tab w:val="left" w:pos="622"/>
              </w:tabs>
              <w:spacing w:after="0" w:line="240" w:lineRule="auto"/>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Geros būklės paviršinių vandens telkinių dalis</w:t>
            </w:r>
          </w:p>
        </w:tc>
        <w:tc>
          <w:tcPr>
            <w:tcW w:w="1134" w:type="dxa"/>
            <w:shd w:val="clear" w:color="auto" w:fill="auto"/>
            <w:vAlign w:val="center"/>
          </w:tcPr>
          <w:p w:rsidR="00515A37" w:rsidRPr="00385835" w:rsidRDefault="00515A37"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Proc.</w:t>
            </w:r>
          </w:p>
        </w:tc>
        <w:tc>
          <w:tcPr>
            <w:tcW w:w="1134" w:type="dxa"/>
            <w:shd w:val="clear" w:color="auto" w:fill="auto"/>
            <w:vAlign w:val="center"/>
          </w:tcPr>
          <w:p w:rsidR="00515A37" w:rsidRDefault="00515A37" w:rsidP="0033434D">
            <w:pPr>
              <w:spacing w:after="0" w:line="240" w:lineRule="auto"/>
              <w:jc w:val="center"/>
            </w:pPr>
            <w:r w:rsidRPr="00E544DC">
              <w:rPr>
                <w:rFonts w:ascii="Times New Roman" w:eastAsia="AngsanaUPC" w:hAnsi="Times New Roman"/>
                <w:bCs/>
                <w:sz w:val="18"/>
                <w:szCs w:val="18"/>
                <w:lang w:eastAsia="lt-LT"/>
              </w:rPr>
              <w:t>–</w:t>
            </w:r>
          </w:p>
        </w:tc>
        <w:tc>
          <w:tcPr>
            <w:tcW w:w="850" w:type="dxa"/>
            <w:shd w:val="clear" w:color="auto" w:fill="auto"/>
            <w:vAlign w:val="center"/>
          </w:tcPr>
          <w:p w:rsidR="00515A37" w:rsidRPr="00385835" w:rsidRDefault="00515A37"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54</w:t>
            </w:r>
          </w:p>
        </w:tc>
        <w:tc>
          <w:tcPr>
            <w:tcW w:w="993" w:type="dxa"/>
            <w:shd w:val="clear" w:color="auto" w:fill="auto"/>
            <w:vAlign w:val="center"/>
          </w:tcPr>
          <w:p w:rsidR="00515A37" w:rsidRPr="00385835" w:rsidRDefault="00515A37"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2010</w:t>
            </w:r>
          </w:p>
        </w:tc>
        <w:tc>
          <w:tcPr>
            <w:tcW w:w="850" w:type="dxa"/>
            <w:shd w:val="clear" w:color="auto" w:fill="auto"/>
            <w:vAlign w:val="center"/>
          </w:tcPr>
          <w:p w:rsidR="00515A37" w:rsidRPr="00385835" w:rsidRDefault="00515A37"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72</w:t>
            </w:r>
          </w:p>
        </w:tc>
        <w:tc>
          <w:tcPr>
            <w:tcW w:w="992" w:type="dxa"/>
            <w:shd w:val="clear" w:color="auto" w:fill="auto"/>
            <w:vAlign w:val="center"/>
          </w:tcPr>
          <w:p w:rsidR="00515A37" w:rsidRPr="00385835" w:rsidRDefault="00515A37"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Aplinkos apsaugos agentūra</w:t>
            </w:r>
          </w:p>
        </w:tc>
        <w:tc>
          <w:tcPr>
            <w:tcW w:w="1241" w:type="dxa"/>
            <w:shd w:val="clear" w:color="auto" w:fill="auto"/>
            <w:vAlign w:val="center"/>
          </w:tcPr>
          <w:p w:rsidR="00515A37" w:rsidRPr="00385835" w:rsidRDefault="00515A37"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5.3.2. KONKRETUS UŽDAVINYS</w:t>
            </w:r>
          </w:p>
        </w:tc>
        <w:tc>
          <w:tcPr>
            <w:tcW w:w="7336" w:type="dxa"/>
            <w:shd w:val="clear" w:color="auto" w:fill="EEECE1"/>
            <w:vAlign w:val="center"/>
          </w:tcPr>
          <w:p w:rsidR="00385835" w:rsidRPr="00385835" w:rsidRDefault="00385835" w:rsidP="00385835">
            <w:pPr>
              <w:spacing w:after="0" w:line="240" w:lineRule="auto"/>
              <w:rPr>
                <w:rFonts w:ascii="Times New Roman" w:hAnsi="Times New Roman"/>
                <w:b/>
                <w:sz w:val="24"/>
                <w:szCs w:val="24"/>
              </w:rPr>
            </w:pPr>
            <w:r w:rsidRPr="00385835">
              <w:rPr>
                <w:rFonts w:ascii="Times New Roman" w:hAnsi="Times New Roman"/>
                <w:b/>
                <w:sz w:val="24"/>
                <w:szCs w:val="24"/>
              </w:rPr>
              <w:t>Padidinti vandens tiekimo ir nuotekų tvarkymo paslaugų prieinamumą ir sistemos efektyvumą</w:t>
            </w:r>
          </w:p>
        </w:tc>
      </w:tr>
      <w:tr w:rsidR="00385835" w:rsidRPr="00385835" w:rsidTr="00385835">
        <w:tc>
          <w:tcPr>
            <w:tcW w:w="9746" w:type="dxa"/>
            <w:gridSpan w:val="2"/>
            <w:shd w:val="clear" w:color="auto" w:fill="auto"/>
          </w:tcPr>
          <w:p w:rsidR="00385835" w:rsidRPr="00385835" w:rsidRDefault="00385835" w:rsidP="00385835">
            <w:pPr>
              <w:widowControl w:val="0"/>
              <w:tabs>
                <w:tab w:val="left" w:pos="622"/>
              </w:tabs>
              <w:spacing w:after="0" w:line="240" w:lineRule="auto"/>
              <w:ind w:firstLine="624"/>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Lietuvos miestuose esančių būstų, turinčių geriamojo vandens tiekimo ir nuotekų tvarkymo patogumus, dalis yra pakankamai didelė (2011 m. atitinkamai 97,8 proc. ir 96,5 proc.). Aglomeracijose, turinčiose daugiau kaip 2000 g.</w:t>
            </w:r>
            <w:r w:rsidR="005F5275">
              <w:rPr>
                <w:rFonts w:ascii="Times New Roman" w:eastAsia="AngsanaUPC" w:hAnsi="Times New Roman"/>
                <w:bCs/>
                <w:sz w:val="24"/>
                <w:szCs w:val="24"/>
                <w:lang w:eastAsia="lt-LT"/>
              </w:rPr>
              <w:t xml:space="preserve"> </w:t>
            </w:r>
            <w:r w:rsidRPr="00385835">
              <w:rPr>
                <w:rFonts w:ascii="Times New Roman" w:eastAsia="AngsanaUPC" w:hAnsi="Times New Roman"/>
                <w:bCs/>
                <w:sz w:val="24"/>
                <w:szCs w:val="24"/>
                <w:lang w:eastAsia="lt-LT"/>
              </w:rPr>
              <w:t>e., visose yra įrengtos miesto nuotekų surinkimo sistemos, jose 98 proc. surinktų nuotekų tvarkymui taikomas antrinis valymas, 85 proc. –</w:t>
            </w:r>
            <w:r w:rsidR="005F5275">
              <w:rPr>
                <w:rFonts w:ascii="Times New Roman" w:eastAsia="AngsanaUPC" w:hAnsi="Times New Roman"/>
                <w:bCs/>
                <w:sz w:val="24"/>
                <w:szCs w:val="24"/>
                <w:lang w:eastAsia="lt-LT"/>
              </w:rPr>
              <w:t xml:space="preserve"> </w:t>
            </w:r>
            <w:r w:rsidRPr="00385835">
              <w:rPr>
                <w:rFonts w:ascii="Times New Roman" w:eastAsia="AngsanaUPC" w:hAnsi="Times New Roman"/>
                <w:bCs/>
                <w:sz w:val="24"/>
                <w:szCs w:val="24"/>
                <w:lang w:eastAsia="lt-LT"/>
              </w:rPr>
              <w:t>valymas pagal griežtesnius reikalavimus (tretinis). Tačiau vis dar išlieka aktualu užtikrinti kokybiškas vandens tiekimo ir nuotekų tvarkymo paslaugas mažesnėse aglomeracijose (2011 m. kaimuose atitinkamai vandens tiekimo ir nuotekų tvarkymo patogumus turi</w:t>
            </w:r>
            <w:r w:rsidR="005F5275">
              <w:rPr>
                <w:rFonts w:ascii="Times New Roman" w:eastAsia="AngsanaUPC" w:hAnsi="Times New Roman"/>
                <w:bCs/>
                <w:sz w:val="24"/>
                <w:szCs w:val="24"/>
                <w:lang w:eastAsia="lt-LT"/>
              </w:rPr>
              <w:t>nčių būstų skaičius sudarė 68,1 </w:t>
            </w:r>
            <w:r w:rsidRPr="00385835">
              <w:rPr>
                <w:rFonts w:ascii="Times New Roman" w:eastAsia="AngsanaUPC" w:hAnsi="Times New Roman"/>
                <w:bCs/>
                <w:sz w:val="24"/>
                <w:szCs w:val="24"/>
                <w:lang w:eastAsia="lt-LT"/>
              </w:rPr>
              <w:t>proc. ir 61 proc.).</w:t>
            </w:r>
          </w:p>
          <w:p w:rsidR="00385835" w:rsidRPr="00385835" w:rsidRDefault="00385835" w:rsidP="00385835">
            <w:pPr>
              <w:widowControl w:val="0"/>
              <w:tabs>
                <w:tab w:val="left" w:pos="622"/>
              </w:tabs>
              <w:spacing w:after="0" w:line="240" w:lineRule="auto"/>
              <w:ind w:firstLine="624"/>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Lietuvoje gyvenviečių, mažesnių kaip 2000 ir didesnių kaip 200 gyventojų, yra1267. Šiose gyvenvietėse gyvena apie 20 proc. Lietuvos gyventojų. Jose geriamojo vandens tiekimo ir nuotekų tvarkymo sistemos neatitinka ES Bendrosios vandens politikos direktyvos 2000/60/EB ir ES Miesto nuotekų valymo direktyvos 91/271/EEB reikalavimų. Dalis šių gyvenviečių nuotekų į paviršinius vandens telkinius išleidžiamos dalinai apvalytos arba nevalytos, taip darydamos neigiamą poveikį paviršinių vandens telkinių būklei. Apie 45 proc. Lietuvos paviršinių vandens telkinių būklė yra patenkinama arba bloga. Todėl šių vandens telkinių būklei gerinti būtina investuoti ne tik į didžiąsias gyvenvietes, bet ir į gyvenvietes, mažesnes nei 2000 gyventojų, tuo būdu užtikrinant vartotojams paslaugų atitiktį sveikatos apsaugos, aplinkos apsaugos ir paslaugų kokybės reikalavimams, aprūpinti</w:t>
            </w:r>
            <w:r w:rsidR="005F5275">
              <w:rPr>
                <w:rFonts w:ascii="Times New Roman" w:eastAsia="AngsanaUPC" w:hAnsi="Times New Roman"/>
                <w:bCs/>
                <w:sz w:val="24"/>
                <w:szCs w:val="24"/>
                <w:lang w:eastAsia="lt-LT"/>
              </w:rPr>
              <w:t>,</w:t>
            </w:r>
            <w:r w:rsidRPr="00385835">
              <w:rPr>
                <w:rFonts w:ascii="Times New Roman" w:eastAsia="AngsanaUPC" w:hAnsi="Times New Roman"/>
                <w:bCs/>
                <w:sz w:val="24"/>
                <w:szCs w:val="24"/>
                <w:lang w:eastAsia="lt-LT"/>
              </w:rPr>
              <w:t xml:space="preserve"> kuo daugiau gyventojų ir kitų galimų vartotojų </w:t>
            </w:r>
            <w:proofErr w:type="gramStart"/>
            <w:r w:rsidRPr="00385835">
              <w:rPr>
                <w:rFonts w:ascii="Times New Roman" w:eastAsia="AngsanaUPC" w:hAnsi="Times New Roman"/>
                <w:bCs/>
                <w:sz w:val="24"/>
                <w:szCs w:val="24"/>
                <w:lang w:eastAsia="lt-LT"/>
              </w:rPr>
              <w:t>(</w:t>
            </w:r>
            <w:proofErr w:type="gramEnd"/>
            <w:r w:rsidRPr="00385835">
              <w:rPr>
                <w:rFonts w:ascii="Times New Roman" w:eastAsia="AngsanaUPC" w:hAnsi="Times New Roman"/>
                <w:bCs/>
                <w:sz w:val="24"/>
                <w:szCs w:val="24"/>
                <w:lang w:eastAsia="lt-LT"/>
              </w:rPr>
              <w:t xml:space="preserve">ilgalaikis tikslas – 95 proc. gyventojų) optimaliomis kainomis viešai tiekiamu geriamuoju vandeniu ir nuotekų tvarkymo paslaugomis, kas taip pat prisidės prie ITI </w:t>
            </w:r>
            <w:r w:rsidR="006B0BC5">
              <w:rPr>
                <w:rFonts w:ascii="Times New Roman" w:eastAsia="AngsanaUPC" w:hAnsi="Times New Roman"/>
                <w:bCs/>
                <w:sz w:val="24"/>
                <w:szCs w:val="24"/>
                <w:lang w:eastAsia="lt-LT"/>
              </w:rPr>
              <w:t>vystymo programų įgyvendinimo.</w:t>
            </w:r>
          </w:p>
          <w:p w:rsidR="00385835" w:rsidRPr="00385835" w:rsidRDefault="00385835" w:rsidP="00385835">
            <w:pPr>
              <w:widowControl w:val="0"/>
              <w:tabs>
                <w:tab w:val="left" w:pos="622"/>
              </w:tabs>
              <w:spacing w:after="0" w:line="240" w:lineRule="auto"/>
              <w:ind w:firstLine="624"/>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 xml:space="preserve">Lietuvoje veikia 359 geriamojo vandens tiekėjai, aptarnaujantys 98 proc. Lietuvos teritorijos, tačiau tik 73 iš jų pagrindinė veikla yra vandens tiekimas ir nuotekų tvarkymas. Paslaugų teikimo kaštai šiose įmonėse labai skiriasi – didesnėse aglomeracijose dėl geresnės vadybos ir masto ekonomijos kainos vartotojams mažesnės, kai kaimo vietovėse įmonės patiria ir neturi galimybės užtikrinti tinkamos paslaugų kokybės ir kaštų susigrąžinimo principo. Siekiant mažinti netolygumus tarp miesto ir kaimo vietovių viešai tiekiamo geriamojo vandens ir nuotekų tvarkymo paslaugų, būtina imtis priemonių, skirtų gerinti vandens tiekimo įmonių valdymą ir veiklos optimizavimą. </w:t>
            </w:r>
          </w:p>
          <w:p w:rsidR="00385835" w:rsidRPr="00385835" w:rsidRDefault="00385835" w:rsidP="00385835">
            <w:pPr>
              <w:widowControl w:val="0"/>
              <w:tabs>
                <w:tab w:val="left" w:pos="622"/>
              </w:tabs>
              <w:spacing w:after="0" w:line="240" w:lineRule="auto"/>
              <w:ind w:firstLine="624"/>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Investicijos į vandens tiekimo ir nuotekų tvarkymo paslaugų prieinamumo ir sistemos</w:t>
            </w:r>
            <w:r w:rsidR="006C16A8">
              <w:rPr>
                <w:rFonts w:ascii="Times New Roman" w:eastAsia="AngsanaUPC" w:hAnsi="Times New Roman"/>
                <w:bCs/>
                <w:sz w:val="24"/>
                <w:szCs w:val="24"/>
                <w:lang w:eastAsia="lt-LT"/>
              </w:rPr>
              <w:t xml:space="preserve"> efektyvumo didinimą užtikrins </w:t>
            </w:r>
            <w:r w:rsidRPr="00385835">
              <w:rPr>
                <w:rFonts w:ascii="Times New Roman" w:eastAsia="AngsanaUPC" w:hAnsi="Times New Roman"/>
                <w:bCs/>
                <w:sz w:val="24"/>
                <w:szCs w:val="24"/>
                <w:lang w:eastAsia="lt-LT"/>
              </w:rPr>
              <w:t>vandens naudojimo efektyvumą, sumažins nuotėkį iš skirstymo tinklų ir vandens tinklų nusidėvėjimą, taip pat užtikrins sąnaudų susigrąžinimo ir „teršėjas moka“ principo įgyvendinimą bei mažins sutelktąją taršą, o tai prisidės prie paviršinių vandens telkinių ir Baltijos jūros būklės gerinimo.</w:t>
            </w:r>
          </w:p>
        </w:tc>
      </w:tr>
    </w:tbl>
    <w:p w:rsidR="0069193C" w:rsidRDefault="0069193C" w:rsidP="00385835">
      <w:pPr>
        <w:widowControl w:val="0"/>
        <w:tabs>
          <w:tab w:val="left" w:pos="622"/>
        </w:tabs>
        <w:spacing w:after="0" w:line="240" w:lineRule="auto"/>
        <w:jc w:val="both"/>
        <w:rPr>
          <w:rFonts w:ascii="Times New Roman" w:eastAsia="AngsanaUPC" w:hAnsi="Times New Roman"/>
          <w:b/>
          <w:bCs/>
          <w:sz w:val="24"/>
          <w:szCs w:val="24"/>
          <w:lang w:eastAsia="lt-LT"/>
        </w:rPr>
      </w:pPr>
    </w:p>
    <w:p w:rsidR="004F39B3" w:rsidRPr="00385835" w:rsidRDefault="004F39B3"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567"/>
        <w:gridCol w:w="1985"/>
        <w:gridCol w:w="1134"/>
        <w:gridCol w:w="1134"/>
        <w:gridCol w:w="850"/>
        <w:gridCol w:w="993"/>
        <w:gridCol w:w="850"/>
        <w:gridCol w:w="992"/>
        <w:gridCol w:w="1241"/>
      </w:tblGrid>
      <w:tr w:rsidR="00385835" w:rsidRPr="00385835" w:rsidTr="00385835">
        <w:tc>
          <w:tcPr>
            <w:tcW w:w="9746" w:type="dxa"/>
            <w:gridSpan w:val="9"/>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i/>
                <w:iCs/>
                <w:sz w:val="24"/>
                <w:szCs w:val="24"/>
                <w:lang w:eastAsia="lt-LT"/>
              </w:rPr>
            </w:pPr>
            <w:r w:rsidRPr="00385835">
              <w:rPr>
                <w:rFonts w:ascii="Times New Roman" w:eastAsia="AngsanaUPC" w:hAnsi="Times New Roman"/>
                <w:b/>
                <w:bCs/>
                <w:i/>
                <w:iCs/>
                <w:sz w:val="24"/>
                <w:szCs w:val="24"/>
                <w:lang w:eastAsia="lt-LT"/>
              </w:rPr>
              <w:lastRenderedPageBreak/>
              <w:t xml:space="preserve">SaF </w:t>
            </w:r>
            <w:r w:rsidR="00B1109C">
              <w:rPr>
                <w:rFonts w:ascii="Times New Roman" w:eastAsia="AngsanaUPC" w:hAnsi="Times New Roman"/>
                <w:b/>
                <w:bCs/>
                <w:i/>
                <w:iCs/>
                <w:sz w:val="24"/>
                <w:szCs w:val="24"/>
                <w:lang w:eastAsia="lt-LT"/>
              </w:rPr>
              <w:t xml:space="preserve">specialieji </w:t>
            </w:r>
            <w:r w:rsidRPr="00385835">
              <w:rPr>
                <w:rFonts w:ascii="Times New Roman" w:eastAsia="AngsanaUPC" w:hAnsi="Times New Roman"/>
                <w:b/>
                <w:bCs/>
                <w:i/>
                <w:iCs/>
                <w:sz w:val="24"/>
                <w:szCs w:val="24"/>
                <w:lang w:eastAsia="lt-LT"/>
              </w:rPr>
              <w:t>programos rezultato rodikliai</w:t>
            </w:r>
          </w:p>
        </w:tc>
      </w:tr>
      <w:tr w:rsidR="00385835" w:rsidRPr="00385835" w:rsidTr="00AC10CD">
        <w:tblPrEx>
          <w:shd w:val="clear" w:color="auto" w:fill="auto"/>
        </w:tblPrEx>
        <w:trPr>
          <w:cantSplit/>
          <w:trHeight w:val="665"/>
        </w:trPr>
        <w:tc>
          <w:tcPr>
            <w:tcW w:w="567"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Nr.</w:t>
            </w:r>
          </w:p>
        </w:tc>
        <w:tc>
          <w:tcPr>
            <w:tcW w:w="1985"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Rodiklio pavadinimas</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Matavimo vienetas</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Regiono kategorija</w:t>
            </w:r>
          </w:p>
        </w:tc>
        <w:tc>
          <w:tcPr>
            <w:tcW w:w="850"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 reikšmė</w:t>
            </w:r>
          </w:p>
        </w:tc>
        <w:tc>
          <w:tcPr>
            <w:tcW w:w="993"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Pradinės reikšmės metai</w:t>
            </w:r>
          </w:p>
        </w:tc>
        <w:tc>
          <w:tcPr>
            <w:tcW w:w="850"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Siektina reikšmė (2023)</w:t>
            </w:r>
          </w:p>
        </w:tc>
        <w:tc>
          <w:tcPr>
            <w:tcW w:w="992"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Duomenų šaltinis</w:t>
            </w:r>
          </w:p>
        </w:tc>
        <w:tc>
          <w:tcPr>
            <w:tcW w:w="124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Atsiskaitymo dažnumas</w:t>
            </w:r>
          </w:p>
        </w:tc>
      </w:tr>
      <w:tr w:rsidR="00515A37" w:rsidRPr="00385835" w:rsidTr="00AC10CD">
        <w:tblPrEx>
          <w:shd w:val="clear" w:color="auto" w:fill="auto"/>
        </w:tblPrEx>
        <w:tc>
          <w:tcPr>
            <w:tcW w:w="567" w:type="dxa"/>
            <w:shd w:val="clear" w:color="auto" w:fill="auto"/>
            <w:vAlign w:val="center"/>
          </w:tcPr>
          <w:p w:rsidR="00515A37" w:rsidRPr="00385835" w:rsidRDefault="00515A37"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w:t>
            </w:r>
          </w:p>
        </w:tc>
        <w:tc>
          <w:tcPr>
            <w:tcW w:w="1985" w:type="dxa"/>
            <w:shd w:val="clear" w:color="auto" w:fill="auto"/>
            <w:vAlign w:val="center"/>
          </w:tcPr>
          <w:p w:rsidR="00515A37" w:rsidRPr="00385835" w:rsidRDefault="00515A37" w:rsidP="00385835">
            <w:pPr>
              <w:widowControl w:val="0"/>
              <w:tabs>
                <w:tab w:val="left" w:pos="622"/>
              </w:tabs>
              <w:spacing w:after="0" w:line="240" w:lineRule="auto"/>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Vandens tiekimo paslaugų prieinamumas</w:t>
            </w:r>
          </w:p>
        </w:tc>
        <w:tc>
          <w:tcPr>
            <w:tcW w:w="1134" w:type="dxa"/>
            <w:shd w:val="clear" w:color="auto" w:fill="auto"/>
            <w:vAlign w:val="center"/>
          </w:tcPr>
          <w:p w:rsidR="00515A37" w:rsidRPr="00385835" w:rsidRDefault="00515A37"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Proc.</w:t>
            </w:r>
          </w:p>
        </w:tc>
        <w:tc>
          <w:tcPr>
            <w:tcW w:w="1134" w:type="dxa"/>
            <w:shd w:val="clear" w:color="auto" w:fill="auto"/>
            <w:vAlign w:val="center"/>
          </w:tcPr>
          <w:p w:rsidR="00515A37" w:rsidRDefault="00515A37" w:rsidP="002447B3">
            <w:pPr>
              <w:spacing w:after="0" w:line="240" w:lineRule="auto"/>
              <w:jc w:val="center"/>
            </w:pPr>
            <w:r w:rsidRPr="00996B1F">
              <w:rPr>
                <w:rFonts w:ascii="Times New Roman" w:eastAsia="AngsanaUPC" w:hAnsi="Times New Roman"/>
                <w:bCs/>
                <w:sz w:val="18"/>
                <w:szCs w:val="18"/>
                <w:lang w:eastAsia="lt-LT"/>
              </w:rPr>
              <w:t>–</w:t>
            </w:r>
          </w:p>
        </w:tc>
        <w:tc>
          <w:tcPr>
            <w:tcW w:w="850" w:type="dxa"/>
            <w:shd w:val="clear" w:color="auto" w:fill="auto"/>
            <w:vAlign w:val="center"/>
          </w:tcPr>
          <w:p w:rsidR="00515A37" w:rsidRPr="00385835" w:rsidRDefault="00515A37"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76</w:t>
            </w:r>
          </w:p>
        </w:tc>
        <w:tc>
          <w:tcPr>
            <w:tcW w:w="993" w:type="dxa"/>
            <w:shd w:val="clear" w:color="auto" w:fill="auto"/>
            <w:vAlign w:val="center"/>
          </w:tcPr>
          <w:p w:rsidR="00515A37" w:rsidRPr="00385835" w:rsidRDefault="00515A37"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2012</w:t>
            </w:r>
          </w:p>
        </w:tc>
        <w:tc>
          <w:tcPr>
            <w:tcW w:w="850" w:type="dxa"/>
            <w:shd w:val="clear" w:color="auto" w:fill="auto"/>
            <w:vAlign w:val="center"/>
          </w:tcPr>
          <w:p w:rsidR="00515A37" w:rsidRPr="00385835" w:rsidRDefault="00515A37"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90</w:t>
            </w:r>
          </w:p>
        </w:tc>
        <w:tc>
          <w:tcPr>
            <w:tcW w:w="992" w:type="dxa"/>
            <w:shd w:val="clear" w:color="auto" w:fill="auto"/>
            <w:vAlign w:val="center"/>
          </w:tcPr>
          <w:p w:rsidR="00515A37" w:rsidRPr="00385835" w:rsidRDefault="00515A37"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Aplinkos ministerija</w:t>
            </w:r>
          </w:p>
        </w:tc>
        <w:tc>
          <w:tcPr>
            <w:tcW w:w="1241" w:type="dxa"/>
            <w:shd w:val="clear" w:color="auto" w:fill="auto"/>
            <w:vAlign w:val="center"/>
          </w:tcPr>
          <w:p w:rsidR="00515A37" w:rsidRPr="00385835" w:rsidRDefault="00515A37"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515A37" w:rsidRPr="00385835" w:rsidTr="00AC10CD">
        <w:tblPrEx>
          <w:shd w:val="clear" w:color="auto" w:fill="auto"/>
        </w:tblPrEx>
        <w:tc>
          <w:tcPr>
            <w:tcW w:w="567" w:type="dxa"/>
            <w:shd w:val="clear" w:color="auto" w:fill="auto"/>
            <w:vAlign w:val="center"/>
          </w:tcPr>
          <w:p w:rsidR="00515A37" w:rsidRPr="00385835" w:rsidRDefault="00515A37"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w:t>
            </w:r>
          </w:p>
        </w:tc>
        <w:tc>
          <w:tcPr>
            <w:tcW w:w="1985" w:type="dxa"/>
            <w:shd w:val="clear" w:color="auto" w:fill="auto"/>
            <w:vAlign w:val="center"/>
          </w:tcPr>
          <w:p w:rsidR="00515A37" w:rsidRPr="00385835" w:rsidRDefault="00515A37" w:rsidP="00385835">
            <w:pPr>
              <w:widowControl w:val="0"/>
              <w:tabs>
                <w:tab w:val="left" w:pos="622"/>
              </w:tabs>
              <w:spacing w:after="0" w:line="240" w:lineRule="auto"/>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Nuotekų tvarkymo paslaugų prieinamumas</w:t>
            </w:r>
          </w:p>
        </w:tc>
        <w:tc>
          <w:tcPr>
            <w:tcW w:w="1134" w:type="dxa"/>
            <w:shd w:val="clear" w:color="auto" w:fill="auto"/>
            <w:vAlign w:val="center"/>
          </w:tcPr>
          <w:p w:rsidR="00515A37" w:rsidRPr="00385835" w:rsidRDefault="00515A37"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Proc.</w:t>
            </w:r>
          </w:p>
        </w:tc>
        <w:tc>
          <w:tcPr>
            <w:tcW w:w="1134" w:type="dxa"/>
            <w:shd w:val="clear" w:color="auto" w:fill="auto"/>
            <w:vAlign w:val="center"/>
          </w:tcPr>
          <w:p w:rsidR="00515A37" w:rsidRDefault="00515A37" w:rsidP="002447B3">
            <w:pPr>
              <w:spacing w:after="0" w:line="240" w:lineRule="auto"/>
              <w:jc w:val="center"/>
            </w:pPr>
            <w:r w:rsidRPr="00996B1F">
              <w:rPr>
                <w:rFonts w:ascii="Times New Roman" w:eastAsia="AngsanaUPC" w:hAnsi="Times New Roman"/>
                <w:bCs/>
                <w:sz w:val="18"/>
                <w:szCs w:val="18"/>
                <w:lang w:eastAsia="lt-LT"/>
              </w:rPr>
              <w:t>–</w:t>
            </w:r>
          </w:p>
        </w:tc>
        <w:tc>
          <w:tcPr>
            <w:tcW w:w="850" w:type="dxa"/>
            <w:shd w:val="clear" w:color="auto" w:fill="auto"/>
            <w:vAlign w:val="center"/>
          </w:tcPr>
          <w:p w:rsidR="00515A37" w:rsidRPr="00385835" w:rsidRDefault="00515A37"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67</w:t>
            </w:r>
          </w:p>
        </w:tc>
        <w:tc>
          <w:tcPr>
            <w:tcW w:w="993" w:type="dxa"/>
            <w:shd w:val="clear" w:color="auto" w:fill="auto"/>
            <w:vAlign w:val="center"/>
          </w:tcPr>
          <w:p w:rsidR="00515A37" w:rsidRPr="00385835" w:rsidRDefault="00515A37"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2012</w:t>
            </w:r>
          </w:p>
        </w:tc>
        <w:tc>
          <w:tcPr>
            <w:tcW w:w="850" w:type="dxa"/>
            <w:shd w:val="clear" w:color="auto" w:fill="auto"/>
            <w:vAlign w:val="center"/>
          </w:tcPr>
          <w:p w:rsidR="00515A37" w:rsidRPr="00385835" w:rsidRDefault="00515A37"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90</w:t>
            </w:r>
          </w:p>
        </w:tc>
        <w:tc>
          <w:tcPr>
            <w:tcW w:w="992" w:type="dxa"/>
            <w:shd w:val="clear" w:color="auto" w:fill="auto"/>
            <w:vAlign w:val="center"/>
          </w:tcPr>
          <w:p w:rsidR="00515A37" w:rsidRPr="00385835" w:rsidRDefault="00515A37"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Aplinkos ministerija</w:t>
            </w:r>
          </w:p>
        </w:tc>
        <w:tc>
          <w:tcPr>
            <w:tcW w:w="1241" w:type="dxa"/>
            <w:shd w:val="clear" w:color="auto" w:fill="auto"/>
            <w:vAlign w:val="center"/>
          </w:tcPr>
          <w:p w:rsidR="00515A37" w:rsidRPr="00385835" w:rsidDel="009C1F17" w:rsidRDefault="00515A37"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385835" w:rsidRPr="00385835" w:rsidTr="00385835">
        <w:tc>
          <w:tcPr>
            <w:tcW w:w="9746" w:type="dxa"/>
            <w:tcBorders>
              <w:top w:val="single" w:sz="4" w:space="0" w:color="auto"/>
              <w:left w:val="single" w:sz="4" w:space="0" w:color="auto"/>
              <w:bottom w:val="single" w:sz="4" w:space="0" w:color="auto"/>
              <w:right w:val="single" w:sz="4" w:space="0" w:color="auto"/>
            </w:tcBorders>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Cs/>
                <w:iCs/>
                <w:sz w:val="24"/>
                <w:szCs w:val="24"/>
                <w:lang w:eastAsia="lt-LT"/>
              </w:rPr>
            </w:pPr>
            <w:r w:rsidRPr="00385835">
              <w:rPr>
                <w:rFonts w:ascii="Times New Roman" w:eastAsia="AngsanaUPC" w:hAnsi="Times New Roman"/>
                <w:b/>
                <w:bCs/>
                <w:i/>
                <w:iCs/>
                <w:sz w:val="24"/>
                <w:szCs w:val="24"/>
                <w:lang w:eastAsia="lt-LT"/>
              </w:rPr>
              <w:t>5.3. Investicinio prioriteto įgyvendinimo veiklos</w:t>
            </w:r>
          </w:p>
        </w:tc>
      </w:tr>
      <w:tr w:rsidR="00385835" w:rsidRPr="00385835" w:rsidTr="00385835">
        <w:tc>
          <w:tcPr>
            <w:tcW w:w="9746" w:type="dxa"/>
            <w:shd w:val="clear" w:color="auto" w:fill="auto"/>
          </w:tcPr>
          <w:p w:rsidR="00385835" w:rsidRPr="002C08FA" w:rsidRDefault="00385835" w:rsidP="00650E41">
            <w:pPr>
              <w:widowControl w:val="0"/>
              <w:numPr>
                <w:ilvl w:val="0"/>
                <w:numId w:val="13"/>
              </w:numPr>
              <w:tabs>
                <w:tab w:val="left" w:pos="459"/>
              </w:tabs>
              <w:spacing w:after="0" w:line="240" w:lineRule="auto"/>
              <w:ind w:left="0" w:firstLine="0"/>
              <w:jc w:val="both"/>
              <w:rPr>
                <w:rFonts w:ascii="Times New Roman" w:eastAsia="AngsanaUPC" w:hAnsi="Times New Roman"/>
                <w:bCs/>
                <w:iCs/>
                <w:sz w:val="24"/>
                <w:szCs w:val="24"/>
                <w:lang w:eastAsia="lt-LT"/>
              </w:rPr>
            </w:pPr>
            <w:r w:rsidRPr="002C08FA">
              <w:rPr>
                <w:rFonts w:ascii="Times New Roman" w:eastAsia="AngsanaUPC" w:hAnsi="Times New Roman"/>
                <w:bCs/>
                <w:iCs/>
                <w:sz w:val="24"/>
                <w:szCs w:val="24"/>
                <w:lang w:eastAsia="lt-LT"/>
              </w:rPr>
              <w:t>Vandens išteklių valdymas, Baltijos jūros ir kitų paviršinių vandens telkinių stebėsena ir</w:t>
            </w:r>
            <w:proofErr w:type="gramStart"/>
            <w:r w:rsidRPr="002C08FA">
              <w:rPr>
                <w:rFonts w:ascii="Times New Roman" w:eastAsia="AngsanaUPC" w:hAnsi="Times New Roman"/>
                <w:bCs/>
                <w:iCs/>
                <w:sz w:val="24"/>
                <w:szCs w:val="24"/>
                <w:lang w:eastAsia="lt-LT"/>
              </w:rPr>
              <w:t xml:space="preserve">  </w:t>
            </w:r>
            <w:proofErr w:type="gramEnd"/>
            <w:r w:rsidRPr="002C08FA">
              <w:rPr>
                <w:rFonts w:ascii="Times New Roman" w:eastAsia="AngsanaUPC" w:hAnsi="Times New Roman"/>
                <w:bCs/>
                <w:iCs/>
                <w:sz w:val="24"/>
                <w:szCs w:val="24"/>
                <w:lang w:eastAsia="lt-LT"/>
              </w:rPr>
              <w:t>būklės gerinimas. Siekiant gerinti integruotą vandens išteklių valdymą</w:t>
            </w:r>
            <w:r w:rsidR="006C16A8" w:rsidRPr="002C08FA">
              <w:rPr>
                <w:rFonts w:ascii="Times New Roman" w:eastAsia="AngsanaUPC" w:hAnsi="Times New Roman"/>
                <w:bCs/>
                <w:iCs/>
                <w:sz w:val="24"/>
                <w:szCs w:val="24"/>
                <w:lang w:eastAsia="lt-LT"/>
              </w:rPr>
              <w:t>,</w:t>
            </w:r>
            <w:r w:rsidRPr="002C08FA">
              <w:rPr>
                <w:rFonts w:ascii="Times New Roman" w:eastAsia="AngsanaUPC" w:hAnsi="Times New Roman"/>
                <w:bCs/>
                <w:iCs/>
                <w:sz w:val="24"/>
                <w:szCs w:val="24"/>
                <w:lang w:eastAsia="lt-LT"/>
              </w:rPr>
              <w:t xml:space="preserve"> numatoma atnaujinti upių baseinų rajonų valdymo planus Baltijos jūros aplinkos apsaugos ir valdymo strateginius dokumentus ir priemonių programas vandensaugos tikslams pasiekti, rengti teršimo rizikos valdymo planus; stiprinti Baltijos jūros, kitų paviršinių vandens telkinių ir požeminio vandens būklės </w:t>
            </w:r>
            <w:proofErr w:type="gramStart"/>
            <w:r w:rsidRPr="002C08FA">
              <w:rPr>
                <w:rFonts w:ascii="Times New Roman" w:eastAsia="AngsanaUPC" w:hAnsi="Times New Roman"/>
                <w:bCs/>
                <w:iCs/>
                <w:sz w:val="24"/>
                <w:szCs w:val="24"/>
                <w:lang w:eastAsia="lt-LT"/>
              </w:rPr>
              <w:t>(</w:t>
            </w:r>
            <w:proofErr w:type="gramEnd"/>
            <w:r w:rsidRPr="002C08FA">
              <w:rPr>
                <w:rFonts w:ascii="Times New Roman" w:eastAsia="AngsanaUPC" w:hAnsi="Times New Roman"/>
                <w:bCs/>
                <w:iCs/>
                <w:sz w:val="24"/>
                <w:szCs w:val="24"/>
                <w:lang w:eastAsia="lt-LT"/>
              </w:rPr>
              <w:t>ekologinių, biologinių, cheminių, hidrologinių, teršalų apkrovos parametrų) stebėsenos, vertinimo, taršos kontrolės ir likvidavimo sistemą, taip pat techninius šios sistemos pajėgumus; įgyvendinti priemonių programose rizikos vandens telkiniams priskirtų vandens telkinių geros būklės atstatymo priemones, t.</w:t>
            </w:r>
            <w:r w:rsidR="00E55725" w:rsidRPr="002C08FA">
              <w:rPr>
                <w:rFonts w:ascii="Times New Roman" w:eastAsia="AngsanaUPC" w:hAnsi="Times New Roman"/>
                <w:bCs/>
                <w:iCs/>
                <w:sz w:val="24"/>
                <w:szCs w:val="24"/>
                <w:lang w:eastAsia="lt-LT"/>
              </w:rPr>
              <w:t xml:space="preserve"> </w:t>
            </w:r>
            <w:r w:rsidRPr="002C08FA">
              <w:rPr>
                <w:rFonts w:ascii="Times New Roman" w:eastAsia="AngsanaUPC" w:hAnsi="Times New Roman"/>
                <w:bCs/>
                <w:iCs/>
                <w:sz w:val="24"/>
                <w:szCs w:val="24"/>
                <w:lang w:eastAsia="lt-LT"/>
              </w:rPr>
              <w:t xml:space="preserve">y. paviršinių vandens telkinių tvarkymo, </w:t>
            </w:r>
            <w:r w:rsidR="00E55725" w:rsidRPr="002C08FA">
              <w:rPr>
                <w:rFonts w:ascii="Times New Roman" w:eastAsia="AngsanaUPC" w:hAnsi="Times New Roman"/>
                <w:bCs/>
                <w:iCs/>
                <w:sz w:val="24"/>
                <w:szCs w:val="24"/>
                <w:lang w:eastAsia="lt-LT"/>
              </w:rPr>
              <w:t xml:space="preserve">įskaitant plėšriųjų ir fitoplanktonu mintančių žuvų gausinimą ir karpinių žuvų išgaudymą, </w:t>
            </w:r>
            <w:r w:rsidRPr="002C08FA">
              <w:rPr>
                <w:rFonts w:ascii="Times New Roman" w:eastAsia="AngsanaUPC" w:hAnsi="Times New Roman"/>
                <w:bCs/>
                <w:iCs/>
                <w:sz w:val="24"/>
                <w:szCs w:val="24"/>
                <w:lang w:eastAsia="lt-LT"/>
              </w:rPr>
              <w:t xml:space="preserve">natūralaus hidrologinio režimo atkūrimo </w:t>
            </w:r>
            <w:r w:rsidR="00E55725" w:rsidRPr="002C08FA">
              <w:rPr>
                <w:rFonts w:ascii="Times New Roman" w:eastAsia="AngsanaUPC" w:hAnsi="Times New Roman"/>
                <w:bCs/>
                <w:iCs/>
                <w:sz w:val="24"/>
                <w:szCs w:val="24"/>
                <w:lang w:eastAsia="lt-LT"/>
              </w:rPr>
              <w:t xml:space="preserve">ir </w:t>
            </w:r>
            <w:r w:rsidR="00E55725" w:rsidRPr="002C08FA">
              <w:rPr>
                <w:rFonts w:ascii="Times New Roman" w:hAnsi="Times New Roman"/>
                <w:sz w:val="24"/>
                <w:szCs w:val="24"/>
              </w:rPr>
              <w:t xml:space="preserve">žuvų migracijos sąlygų gerinimo </w:t>
            </w:r>
            <w:r w:rsidRPr="002C08FA">
              <w:rPr>
                <w:rFonts w:ascii="Times New Roman" w:eastAsia="AngsanaUPC" w:hAnsi="Times New Roman"/>
                <w:bCs/>
                <w:iCs/>
                <w:sz w:val="24"/>
                <w:szCs w:val="24"/>
                <w:lang w:eastAsia="lt-LT"/>
              </w:rPr>
              <w:t xml:space="preserve">darbus, taip pat Baltijos jūros aplinkai ir biologinei įvairovei apsaugoti reikalingas priemones (įskaitant reabilitacijos centro įrengimą), ir pan. darbus. </w:t>
            </w:r>
          </w:p>
          <w:p w:rsidR="00385835" w:rsidRPr="002C08FA" w:rsidRDefault="001F5775" w:rsidP="00650E41">
            <w:pPr>
              <w:widowControl w:val="0"/>
              <w:numPr>
                <w:ilvl w:val="0"/>
                <w:numId w:val="13"/>
              </w:numPr>
              <w:tabs>
                <w:tab w:val="left" w:pos="459"/>
              </w:tabs>
              <w:spacing w:after="0" w:line="240" w:lineRule="auto"/>
              <w:ind w:left="0" w:firstLine="0"/>
              <w:jc w:val="both"/>
              <w:rPr>
                <w:rFonts w:ascii="Times New Roman" w:eastAsia="AngsanaUPC" w:hAnsi="Times New Roman"/>
                <w:bCs/>
                <w:iCs/>
                <w:sz w:val="24"/>
                <w:szCs w:val="24"/>
                <w:lang w:eastAsia="lt-LT"/>
              </w:rPr>
            </w:pPr>
            <w:r w:rsidRPr="002C08FA">
              <w:rPr>
                <w:rFonts w:ascii="Times New Roman" w:eastAsia="AngsanaUPC" w:hAnsi="Times New Roman"/>
                <w:bCs/>
                <w:iCs/>
                <w:sz w:val="24"/>
                <w:szCs w:val="24"/>
                <w:lang w:eastAsia="lt-LT"/>
              </w:rPr>
              <w:t xml:space="preserve">Geriamojo vandens tiekimo ir nuotekų tvarkymo infrastruktūros plėtra ir renovacija. Numatoma skirti finansavimą: geriamojo vandens tiekimo ir nuotekų surinkimo infrastruktūros plėtrai aglomeracijose ne mažesnėse kaip 200 gyventojų, bet prioritetą teikiant aglomeracijoms </w:t>
            </w:r>
            <w:proofErr w:type="gramStart"/>
            <w:r w:rsidRPr="002C08FA">
              <w:rPr>
                <w:rFonts w:ascii="Times New Roman" w:eastAsia="AngsanaUPC" w:hAnsi="Times New Roman"/>
                <w:bCs/>
                <w:iCs/>
                <w:sz w:val="24"/>
                <w:szCs w:val="24"/>
                <w:lang w:eastAsia="lt-LT"/>
              </w:rPr>
              <w:t>virš</w:t>
            </w:r>
            <w:proofErr w:type="gramEnd"/>
            <w:r w:rsidRPr="002C08FA">
              <w:rPr>
                <w:rFonts w:ascii="Times New Roman" w:eastAsia="AngsanaUPC" w:hAnsi="Times New Roman"/>
                <w:bCs/>
                <w:iCs/>
                <w:sz w:val="24"/>
                <w:szCs w:val="24"/>
                <w:lang w:eastAsia="lt-LT"/>
              </w:rPr>
              <w:t xml:space="preserve"> 2000 gyventojų, kai yra užtikrinamas maksimalus vartotojų prijungimo lygis; tinklų renovacijai, siekiant didinti paslaugų kokybę ir efektyvumą bei mažinti nuostolius ir avarijų skaičių tinkluose; vandens gerinimo įrenginių statybai ir renovacijai, esant kokybinių rodiklių neatitikimui nustatytoms normoms; nuotekų valymo įrenginių statybai ir renovacijai, įskaitant tretinį valymą ten, kur tai numatyta upių baseinų valdymo planuose, taip pat nuotekų dumblo apdorojimui bei praeityje sukaupto dumblo sutvarkymui.</w:t>
            </w:r>
          </w:p>
          <w:p w:rsidR="00385835" w:rsidRPr="00385835" w:rsidRDefault="00385835" w:rsidP="00650E41">
            <w:pPr>
              <w:widowControl w:val="0"/>
              <w:numPr>
                <w:ilvl w:val="0"/>
                <w:numId w:val="13"/>
              </w:numPr>
              <w:tabs>
                <w:tab w:val="left" w:pos="459"/>
              </w:tabs>
              <w:spacing w:after="0" w:line="240" w:lineRule="auto"/>
              <w:ind w:left="0" w:firstLine="0"/>
              <w:jc w:val="both"/>
              <w:rPr>
                <w:rFonts w:ascii="Times New Roman" w:eastAsia="AngsanaUPC" w:hAnsi="Times New Roman"/>
                <w:bCs/>
                <w:iCs/>
                <w:sz w:val="24"/>
                <w:szCs w:val="24"/>
                <w:lang w:eastAsia="lt-LT"/>
              </w:rPr>
            </w:pPr>
            <w:r w:rsidRPr="002C08FA">
              <w:rPr>
                <w:rFonts w:ascii="Times New Roman" w:eastAsia="AngsanaUPC" w:hAnsi="Times New Roman"/>
                <w:bCs/>
                <w:iCs/>
                <w:sz w:val="24"/>
                <w:szCs w:val="24"/>
                <w:lang w:eastAsia="lt-LT"/>
              </w:rPr>
              <w:t xml:space="preserve">Vandens tiekimo įmonių valdymo tobulinimas. Siekiant gerinti vandens tiekimo įmonių valdymą, įmonėms bus teikiama parama viešojo geriamojo vandens tiekimo teritorijose esančio turto inventorizacijai, įmonių valdymo ir veiklos tobulinimo </w:t>
            </w:r>
            <w:r w:rsidR="00E55725" w:rsidRPr="002C08FA">
              <w:rPr>
                <w:rFonts w:ascii="Times New Roman" w:eastAsia="AngsanaUPC" w:hAnsi="Times New Roman"/>
                <w:bCs/>
                <w:iCs/>
                <w:sz w:val="24"/>
                <w:szCs w:val="24"/>
                <w:lang w:eastAsia="lt-LT"/>
              </w:rPr>
              <w:t>planui parengti</w:t>
            </w:r>
            <w:r w:rsidRPr="002C08FA">
              <w:rPr>
                <w:rFonts w:ascii="Times New Roman" w:eastAsia="AngsanaUPC" w:hAnsi="Times New Roman"/>
                <w:bCs/>
                <w:iCs/>
                <w:sz w:val="24"/>
                <w:szCs w:val="24"/>
                <w:lang w:eastAsia="lt-LT"/>
              </w:rPr>
              <w:t>.</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i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443"/>
        <w:gridCol w:w="2959"/>
        <w:gridCol w:w="1134"/>
        <w:gridCol w:w="851"/>
        <w:gridCol w:w="992"/>
        <w:gridCol w:w="992"/>
        <w:gridCol w:w="1134"/>
        <w:gridCol w:w="1241"/>
      </w:tblGrid>
      <w:tr w:rsidR="00385835" w:rsidRPr="00385835" w:rsidTr="00715EE1">
        <w:trPr>
          <w:tblHeader/>
        </w:trPr>
        <w:tc>
          <w:tcPr>
            <w:tcW w:w="9746" w:type="dxa"/>
            <w:gridSpan w:val="8"/>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i/>
                <w:iCs/>
                <w:sz w:val="24"/>
                <w:szCs w:val="24"/>
                <w:lang w:eastAsia="lt-LT"/>
              </w:rPr>
            </w:pPr>
            <w:r w:rsidRPr="00385835">
              <w:rPr>
                <w:rFonts w:ascii="Times New Roman" w:eastAsia="AngsanaUPC" w:hAnsi="Times New Roman"/>
                <w:b/>
                <w:bCs/>
                <w:i/>
                <w:iCs/>
                <w:sz w:val="24"/>
                <w:szCs w:val="24"/>
                <w:lang w:eastAsia="lt-LT"/>
              </w:rPr>
              <w:t xml:space="preserve">SaF bendrieji ir </w:t>
            </w:r>
            <w:r w:rsidR="00B1109C">
              <w:rPr>
                <w:rFonts w:ascii="Times New Roman" w:eastAsia="AngsanaUPC" w:hAnsi="Times New Roman"/>
                <w:b/>
                <w:bCs/>
                <w:i/>
                <w:iCs/>
                <w:sz w:val="24"/>
                <w:szCs w:val="24"/>
                <w:lang w:eastAsia="lt-LT"/>
              </w:rPr>
              <w:t xml:space="preserve">specialieji programos </w:t>
            </w:r>
            <w:r w:rsidRPr="00385835">
              <w:rPr>
                <w:rFonts w:ascii="Times New Roman" w:eastAsia="AngsanaUPC" w:hAnsi="Times New Roman"/>
                <w:b/>
                <w:bCs/>
                <w:i/>
                <w:iCs/>
                <w:sz w:val="24"/>
                <w:szCs w:val="24"/>
                <w:lang w:eastAsia="lt-LT"/>
              </w:rPr>
              <w:t xml:space="preserve">produkto rodikliai </w:t>
            </w:r>
          </w:p>
        </w:tc>
      </w:tr>
      <w:tr w:rsidR="00385835" w:rsidRPr="00385835" w:rsidTr="00BE2E68">
        <w:tblPrEx>
          <w:shd w:val="clear" w:color="auto" w:fill="auto"/>
        </w:tblPrEx>
        <w:trPr>
          <w:tblHeader/>
        </w:trPr>
        <w:tc>
          <w:tcPr>
            <w:tcW w:w="443"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Nr.</w:t>
            </w:r>
          </w:p>
        </w:tc>
        <w:tc>
          <w:tcPr>
            <w:tcW w:w="2959"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Rodiklio pavadinimas</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Matavimo vienetas</w:t>
            </w:r>
          </w:p>
        </w:tc>
        <w:tc>
          <w:tcPr>
            <w:tcW w:w="85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Fondas</w:t>
            </w:r>
          </w:p>
        </w:tc>
        <w:tc>
          <w:tcPr>
            <w:tcW w:w="992"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Regiono kategorija</w:t>
            </w:r>
          </w:p>
        </w:tc>
        <w:tc>
          <w:tcPr>
            <w:tcW w:w="992"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Siektina reikšmė (2023)</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Duomenų šaltinis</w:t>
            </w:r>
          </w:p>
        </w:tc>
        <w:tc>
          <w:tcPr>
            <w:tcW w:w="124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Atsiskaitymo dažnumas</w:t>
            </w:r>
          </w:p>
        </w:tc>
      </w:tr>
      <w:tr w:rsidR="00515A37" w:rsidRPr="00385835" w:rsidTr="00BE2E68">
        <w:tblPrEx>
          <w:shd w:val="clear" w:color="auto" w:fill="auto"/>
        </w:tblPrEx>
        <w:tc>
          <w:tcPr>
            <w:tcW w:w="443" w:type="dxa"/>
            <w:shd w:val="clear" w:color="auto" w:fill="auto"/>
            <w:vAlign w:val="center"/>
          </w:tcPr>
          <w:p w:rsidR="00515A37" w:rsidRPr="002C08FA" w:rsidRDefault="00515A37"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1.</w:t>
            </w:r>
          </w:p>
        </w:tc>
        <w:tc>
          <w:tcPr>
            <w:tcW w:w="2959" w:type="dxa"/>
            <w:shd w:val="clear" w:color="auto" w:fill="auto"/>
            <w:vAlign w:val="center"/>
          </w:tcPr>
          <w:p w:rsidR="00515A37" w:rsidRPr="002C08FA" w:rsidRDefault="00515A37" w:rsidP="00385835">
            <w:pPr>
              <w:widowControl w:val="0"/>
              <w:tabs>
                <w:tab w:val="left" w:pos="622"/>
              </w:tabs>
              <w:spacing w:after="0" w:line="240" w:lineRule="auto"/>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Vandens telkiniai, kuriems taikytos būklės gerinimo priemonės</w:t>
            </w:r>
          </w:p>
        </w:tc>
        <w:tc>
          <w:tcPr>
            <w:tcW w:w="1134" w:type="dxa"/>
            <w:shd w:val="clear" w:color="auto" w:fill="auto"/>
            <w:vAlign w:val="center"/>
          </w:tcPr>
          <w:p w:rsidR="00515A37" w:rsidRPr="002C08FA" w:rsidRDefault="005304E8"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Vienetai</w:t>
            </w:r>
          </w:p>
        </w:tc>
        <w:tc>
          <w:tcPr>
            <w:tcW w:w="851" w:type="dxa"/>
            <w:shd w:val="clear" w:color="auto" w:fill="auto"/>
            <w:vAlign w:val="center"/>
          </w:tcPr>
          <w:p w:rsidR="00515A37" w:rsidRPr="002C08FA" w:rsidRDefault="00515A37"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SaF</w:t>
            </w:r>
          </w:p>
        </w:tc>
        <w:tc>
          <w:tcPr>
            <w:tcW w:w="992" w:type="dxa"/>
            <w:shd w:val="clear" w:color="auto" w:fill="auto"/>
            <w:vAlign w:val="center"/>
          </w:tcPr>
          <w:p w:rsidR="00515A37" w:rsidRPr="002C08FA" w:rsidRDefault="00515A37" w:rsidP="006B0BC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w:t>
            </w:r>
          </w:p>
        </w:tc>
        <w:tc>
          <w:tcPr>
            <w:tcW w:w="992" w:type="dxa"/>
            <w:shd w:val="clear" w:color="auto" w:fill="auto"/>
            <w:vAlign w:val="center"/>
          </w:tcPr>
          <w:p w:rsidR="00515A37" w:rsidRPr="002C08FA" w:rsidRDefault="006B0BC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49</w:t>
            </w:r>
          </w:p>
        </w:tc>
        <w:tc>
          <w:tcPr>
            <w:tcW w:w="1134" w:type="dxa"/>
            <w:shd w:val="clear" w:color="auto" w:fill="auto"/>
            <w:vAlign w:val="center"/>
          </w:tcPr>
          <w:p w:rsidR="00515A37" w:rsidRPr="002C08FA" w:rsidRDefault="00515A37"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Duomenys iš projektų</w:t>
            </w:r>
          </w:p>
        </w:tc>
        <w:tc>
          <w:tcPr>
            <w:tcW w:w="1241" w:type="dxa"/>
            <w:shd w:val="clear" w:color="auto" w:fill="auto"/>
            <w:vAlign w:val="center"/>
          </w:tcPr>
          <w:p w:rsidR="00515A37" w:rsidRPr="002C08FA" w:rsidRDefault="00515A37"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Kartą per metus</w:t>
            </w:r>
          </w:p>
        </w:tc>
      </w:tr>
      <w:tr w:rsidR="00515A37" w:rsidRPr="00385835" w:rsidTr="00BE2E68">
        <w:tblPrEx>
          <w:shd w:val="clear" w:color="auto" w:fill="auto"/>
        </w:tblPrEx>
        <w:tc>
          <w:tcPr>
            <w:tcW w:w="443" w:type="dxa"/>
            <w:shd w:val="clear" w:color="auto" w:fill="auto"/>
            <w:vAlign w:val="center"/>
          </w:tcPr>
          <w:p w:rsidR="00515A37" w:rsidRPr="002C08FA" w:rsidRDefault="00515A37"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2.</w:t>
            </w:r>
          </w:p>
        </w:tc>
        <w:tc>
          <w:tcPr>
            <w:tcW w:w="2959" w:type="dxa"/>
            <w:shd w:val="clear" w:color="auto" w:fill="auto"/>
            <w:vAlign w:val="center"/>
          </w:tcPr>
          <w:p w:rsidR="00515A37" w:rsidRPr="002C08FA" w:rsidRDefault="00515A37" w:rsidP="00385835">
            <w:pPr>
              <w:widowControl w:val="0"/>
              <w:tabs>
                <w:tab w:val="left" w:pos="622"/>
              </w:tabs>
              <w:spacing w:after="0" w:line="240" w:lineRule="auto"/>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Papildomi gyventojai, kuriems teikiamos pagerintos vandens tiekimo paslaugos</w:t>
            </w:r>
          </w:p>
        </w:tc>
        <w:tc>
          <w:tcPr>
            <w:tcW w:w="1134" w:type="dxa"/>
            <w:shd w:val="clear" w:color="auto" w:fill="auto"/>
            <w:vAlign w:val="center"/>
          </w:tcPr>
          <w:p w:rsidR="00515A37" w:rsidRPr="002C08FA" w:rsidRDefault="00515A37"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Asmenys</w:t>
            </w:r>
          </w:p>
        </w:tc>
        <w:tc>
          <w:tcPr>
            <w:tcW w:w="851" w:type="dxa"/>
            <w:shd w:val="clear" w:color="auto" w:fill="auto"/>
            <w:vAlign w:val="center"/>
          </w:tcPr>
          <w:p w:rsidR="00515A37" w:rsidRPr="002C08FA" w:rsidRDefault="00515A37"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SaF</w:t>
            </w:r>
          </w:p>
        </w:tc>
        <w:tc>
          <w:tcPr>
            <w:tcW w:w="992" w:type="dxa"/>
            <w:shd w:val="clear" w:color="auto" w:fill="auto"/>
            <w:vAlign w:val="center"/>
          </w:tcPr>
          <w:p w:rsidR="00515A37" w:rsidRPr="002C08FA" w:rsidRDefault="00515A37" w:rsidP="006B0BC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w:t>
            </w:r>
          </w:p>
        </w:tc>
        <w:tc>
          <w:tcPr>
            <w:tcW w:w="992" w:type="dxa"/>
            <w:shd w:val="clear" w:color="auto" w:fill="auto"/>
            <w:vAlign w:val="center"/>
          </w:tcPr>
          <w:p w:rsidR="00515A37" w:rsidRPr="002C08FA" w:rsidRDefault="00E55725" w:rsidP="00C76808">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290</w:t>
            </w:r>
            <w:r w:rsidR="00C76808" w:rsidRPr="002C08FA">
              <w:rPr>
                <w:rFonts w:ascii="Times New Roman" w:eastAsia="AngsanaUPC" w:hAnsi="Times New Roman"/>
                <w:bCs/>
                <w:iCs/>
                <w:sz w:val="18"/>
                <w:szCs w:val="18"/>
                <w:lang w:eastAsia="lt-LT"/>
              </w:rPr>
              <w:t>.</w:t>
            </w:r>
            <w:r w:rsidR="00515A37" w:rsidRPr="002C08FA">
              <w:rPr>
                <w:rFonts w:ascii="Times New Roman" w:eastAsia="AngsanaUPC" w:hAnsi="Times New Roman"/>
                <w:bCs/>
                <w:iCs/>
                <w:sz w:val="18"/>
                <w:szCs w:val="18"/>
                <w:lang w:eastAsia="lt-LT"/>
              </w:rPr>
              <w:t>000</w:t>
            </w:r>
          </w:p>
        </w:tc>
        <w:tc>
          <w:tcPr>
            <w:tcW w:w="1134" w:type="dxa"/>
            <w:shd w:val="clear" w:color="auto" w:fill="auto"/>
            <w:vAlign w:val="center"/>
          </w:tcPr>
          <w:p w:rsidR="00515A37" w:rsidRPr="002C08FA" w:rsidRDefault="00515A37"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Duomenys iš projektų</w:t>
            </w:r>
          </w:p>
        </w:tc>
        <w:tc>
          <w:tcPr>
            <w:tcW w:w="1241" w:type="dxa"/>
            <w:shd w:val="clear" w:color="auto" w:fill="auto"/>
            <w:vAlign w:val="center"/>
          </w:tcPr>
          <w:p w:rsidR="00515A37" w:rsidRPr="002C08FA" w:rsidRDefault="00515A37"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Kartą per metus</w:t>
            </w:r>
          </w:p>
        </w:tc>
      </w:tr>
      <w:tr w:rsidR="00515A37" w:rsidRPr="00385835" w:rsidTr="00BE2E68">
        <w:tblPrEx>
          <w:shd w:val="clear" w:color="auto" w:fill="auto"/>
        </w:tblPrEx>
        <w:tc>
          <w:tcPr>
            <w:tcW w:w="443" w:type="dxa"/>
            <w:shd w:val="clear" w:color="auto" w:fill="auto"/>
            <w:vAlign w:val="center"/>
          </w:tcPr>
          <w:p w:rsidR="00515A37" w:rsidRPr="002C08FA" w:rsidRDefault="00515A37"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3.</w:t>
            </w:r>
          </w:p>
        </w:tc>
        <w:tc>
          <w:tcPr>
            <w:tcW w:w="2959" w:type="dxa"/>
            <w:shd w:val="clear" w:color="auto" w:fill="auto"/>
            <w:vAlign w:val="center"/>
          </w:tcPr>
          <w:p w:rsidR="00515A37" w:rsidRPr="002C08FA" w:rsidRDefault="00515A37" w:rsidP="00385835">
            <w:pPr>
              <w:widowControl w:val="0"/>
              <w:tabs>
                <w:tab w:val="left" w:pos="622"/>
              </w:tabs>
              <w:spacing w:after="0" w:line="240" w:lineRule="auto"/>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Papildomi gyventojai, kuriems teikiamos pagerintos nuotekų tvarkymo paslaugos</w:t>
            </w:r>
          </w:p>
        </w:tc>
        <w:tc>
          <w:tcPr>
            <w:tcW w:w="1134" w:type="dxa"/>
            <w:shd w:val="clear" w:color="auto" w:fill="auto"/>
            <w:vAlign w:val="center"/>
          </w:tcPr>
          <w:p w:rsidR="00515A37" w:rsidRPr="002C08FA" w:rsidRDefault="00515A37"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Gyventojų ekvivalentas</w:t>
            </w:r>
          </w:p>
        </w:tc>
        <w:tc>
          <w:tcPr>
            <w:tcW w:w="851" w:type="dxa"/>
            <w:shd w:val="clear" w:color="auto" w:fill="auto"/>
            <w:vAlign w:val="center"/>
          </w:tcPr>
          <w:p w:rsidR="00515A37" w:rsidRPr="002C08FA" w:rsidRDefault="00515A37"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SaF</w:t>
            </w:r>
          </w:p>
        </w:tc>
        <w:tc>
          <w:tcPr>
            <w:tcW w:w="992" w:type="dxa"/>
            <w:shd w:val="clear" w:color="auto" w:fill="auto"/>
            <w:vAlign w:val="center"/>
          </w:tcPr>
          <w:p w:rsidR="00515A37" w:rsidRPr="002C08FA" w:rsidRDefault="00515A37" w:rsidP="006B0BC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w:t>
            </w:r>
          </w:p>
        </w:tc>
        <w:tc>
          <w:tcPr>
            <w:tcW w:w="992" w:type="dxa"/>
            <w:shd w:val="clear" w:color="auto" w:fill="auto"/>
            <w:vAlign w:val="center"/>
          </w:tcPr>
          <w:p w:rsidR="00515A37" w:rsidRPr="002C08FA" w:rsidRDefault="00BE2E68" w:rsidP="00E5572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1</w:t>
            </w:r>
            <w:r w:rsidR="00C76808" w:rsidRPr="002C08FA">
              <w:rPr>
                <w:rFonts w:ascii="Times New Roman" w:eastAsia="AngsanaUPC" w:hAnsi="Times New Roman"/>
                <w:bCs/>
                <w:iCs/>
                <w:sz w:val="18"/>
                <w:szCs w:val="18"/>
                <w:lang w:eastAsia="lt-LT"/>
              </w:rPr>
              <w:t>.</w:t>
            </w:r>
            <w:r w:rsidRPr="002C08FA">
              <w:rPr>
                <w:rFonts w:ascii="Times New Roman" w:eastAsia="AngsanaUPC" w:hAnsi="Times New Roman"/>
                <w:bCs/>
                <w:iCs/>
                <w:sz w:val="18"/>
                <w:szCs w:val="18"/>
                <w:lang w:eastAsia="lt-LT"/>
              </w:rPr>
              <w:t>02</w:t>
            </w:r>
            <w:r w:rsidR="00E55725" w:rsidRPr="002C08FA">
              <w:rPr>
                <w:rFonts w:ascii="Times New Roman" w:eastAsia="AngsanaUPC" w:hAnsi="Times New Roman"/>
                <w:bCs/>
                <w:iCs/>
                <w:sz w:val="18"/>
                <w:szCs w:val="18"/>
                <w:lang w:eastAsia="lt-LT"/>
              </w:rPr>
              <w:t>3</w:t>
            </w:r>
            <w:r w:rsidR="00C76808" w:rsidRPr="002C08FA">
              <w:rPr>
                <w:rFonts w:ascii="Times New Roman" w:eastAsia="AngsanaUPC" w:hAnsi="Times New Roman"/>
                <w:bCs/>
                <w:iCs/>
                <w:sz w:val="18"/>
                <w:szCs w:val="18"/>
                <w:lang w:eastAsia="lt-LT"/>
              </w:rPr>
              <w:t>.</w:t>
            </w:r>
            <w:r w:rsidR="00515A37" w:rsidRPr="002C08FA">
              <w:rPr>
                <w:rFonts w:ascii="Times New Roman" w:eastAsia="AngsanaUPC" w:hAnsi="Times New Roman"/>
                <w:bCs/>
                <w:iCs/>
                <w:sz w:val="18"/>
                <w:szCs w:val="18"/>
                <w:lang w:eastAsia="lt-LT"/>
              </w:rPr>
              <w:t>000</w:t>
            </w:r>
          </w:p>
        </w:tc>
        <w:tc>
          <w:tcPr>
            <w:tcW w:w="1134" w:type="dxa"/>
            <w:shd w:val="clear" w:color="auto" w:fill="auto"/>
            <w:vAlign w:val="center"/>
          </w:tcPr>
          <w:p w:rsidR="00515A37" w:rsidRPr="002C08FA" w:rsidRDefault="00515A37"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Duomenys iš projektų</w:t>
            </w:r>
          </w:p>
        </w:tc>
        <w:tc>
          <w:tcPr>
            <w:tcW w:w="1241" w:type="dxa"/>
            <w:shd w:val="clear" w:color="auto" w:fill="auto"/>
            <w:vAlign w:val="center"/>
          </w:tcPr>
          <w:p w:rsidR="00515A37" w:rsidRPr="002C08FA" w:rsidRDefault="00515A37"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Kartą per metus</w:t>
            </w:r>
          </w:p>
        </w:tc>
      </w:tr>
      <w:tr w:rsidR="00515A37" w:rsidRPr="00385835" w:rsidTr="00BE2E68">
        <w:tblPrEx>
          <w:shd w:val="clear" w:color="auto" w:fill="auto"/>
        </w:tblPrEx>
        <w:tc>
          <w:tcPr>
            <w:tcW w:w="443" w:type="dxa"/>
            <w:shd w:val="clear" w:color="auto" w:fill="auto"/>
            <w:vAlign w:val="center"/>
          </w:tcPr>
          <w:p w:rsidR="00515A37" w:rsidRPr="002C08FA" w:rsidDel="00560CFE" w:rsidRDefault="00515A37"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4.</w:t>
            </w:r>
          </w:p>
        </w:tc>
        <w:tc>
          <w:tcPr>
            <w:tcW w:w="2959" w:type="dxa"/>
            <w:shd w:val="clear" w:color="auto" w:fill="auto"/>
            <w:vAlign w:val="center"/>
          </w:tcPr>
          <w:p w:rsidR="00515A37" w:rsidRPr="002C08FA" w:rsidRDefault="00515A37" w:rsidP="00385835">
            <w:pPr>
              <w:widowControl w:val="0"/>
              <w:tabs>
                <w:tab w:val="left" w:pos="622"/>
              </w:tabs>
              <w:spacing w:after="0" w:line="240" w:lineRule="auto"/>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Rekonstruotų vandens tiekimo ir nuotekų surinkimo tinklų ilgis</w:t>
            </w:r>
          </w:p>
        </w:tc>
        <w:tc>
          <w:tcPr>
            <w:tcW w:w="1134" w:type="dxa"/>
            <w:shd w:val="clear" w:color="auto" w:fill="auto"/>
            <w:vAlign w:val="center"/>
          </w:tcPr>
          <w:p w:rsidR="00515A37" w:rsidRPr="002C08FA" w:rsidRDefault="00515A37"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km</w:t>
            </w:r>
          </w:p>
        </w:tc>
        <w:tc>
          <w:tcPr>
            <w:tcW w:w="851" w:type="dxa"/>
            <w:shd w:val="clear" w:color="auto" w:fill="auto"/>
            <w:vAlign w:val="center"/>
          </w:tcPr>
          <w:p w:rsidR="00515A37" w:rsidRPr="002C08FA" w:rsidRDefault="00515A37"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SaF</w:t>
            </w:r>
          </w:p>
        </w:tc>
        <w:tc>
          <w:tcPr>
            <w:tcW w:w="992" w:type="dxa"/>
            <w:shd w:val="clear" w:color="auto" w:fill="auto"/>
            <w:vAlign w:val="center"/>
          </w:tcPr>
          <w:p w:rsidR="00515A37" w:rsidRPr="002C08FA" w:rsidRDefault="00515A37" w:rsidP="006B0BC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w:t>
            </w:r>
          </w:p>
        </w:tc>
        <w:tc>
          <w:tcPr>
            <w:tcW w:w="992" w:type="dxa"/>
            <w:shd w:val="clear" w:color="auto" w:fill="auto"/>
            <w:vAlign w:val="center"/>
          </w:tcPr>
          <w:p w:rsidR="00515A37" w:rsidRPr="002C08FA" w:rsidRDefault="00BE2E68"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350</w:t>
            </w:r>
          </w:p>
        </w:tc>
        <w:tc>
          <w:tcPr>
            <w:tcW w:w="1134" w:type="dxa"/>
            <w:shd w:val="clear" w:color="auto" w:fill="auto"/>
            <w:vAlign w:val="center"/>
          </w:tcPr>
          <w:p w:rsidR="00515A37" w:rsidRPr="002C08FA" w:rsidRDefault="00515A37"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Duomenys iš projektų</w:t>
            </w:r>
          </w:p>
        </w:tc>
        <w:tc>
          <w:tcPr>
            <w:tcW w:w="1241" w:type="dxa"/>
            <w:shd w:val="clear" w:color="auto" w:fill="auto"/>
            <w:vAlign w:val="center"/>
          </w:tcPr>
          <w:p w:rsidR="00515A37" w:rsidRPr="002C08FA" w:rsidRDefault="00515A37"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Kartą per metus</w:t>
            </w:r>
          </w:p>
        </w:tc>
      </w:tr>
      <w:tr w:rsidR="00515A37" w:rsidRPr="00385835" w:rsidTr="00BE2E68">
        <w:tblPrEx>
          <w:shd w:val="clear" w:color="auto" w:fill="auto"/>
        </w:tblPrEx>
        <w:tc>
          <w:tcPr>
            <w:tcW w:w="443" w:type="dxa"/>
            <w:shd w:val="clear" w:color="auto" w:fill="auto"/>
            <w:vAlign w:val="center"/>
          </w:tcPr>
          <w:p w:rsidR="00515A37" w:rsidRPr="002C08FA" w:rsidRDefault="000E17D9"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5.</w:t>
            </w:r>
          </w:p>
        </w:tc>
        <w:tc>
          <w:tcPr>
            <w:tcW w:w="2959" w:type="dxa"/>
            <w:shd w:val="clear" w:color="auto" w:fill="auto"/>
            <w:vAlign w:val="center"/>
          </w:tcPr>
          <w:p w:rsidR="00515A37" w:rsidRPr="002C08FA" w:rsidRDefault="00E55725" w:rsidP="00FF7B47">
            <w:pPr>
              <w:widowControl w:val="0"/>
              <w:tabs>
                <w:tab w:val="left" w:pos="622"/>
              </w:tabs>
              <w:spacing w:after="0" w:line="240" w:lineRule="auto"/>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Parengtas v</w:t>
            </w:r>
            <w:r w:rsidR="00515A37" w:rsidRPr="002C08FA">
              <w:rPr>
                <w:rFonts w:ascii="Times New Roman" w:eastAsia="AngsanaUPC" w:hAnsi="Times New Roman"/>
                <w:bCs/>
                <w:iCs/>
                <w:sz w:val="18"/>
                <w:szCs w:val="18"/>
                <w:lang w:eastAsia="lt-LT"/>
              </w:rPr>
              <w:t>andens ti</w:t>
            </w:r>
            <w:r w:rsidRPr="002C08FA">
              <w:rPr>
                <w:rFonts w:ascii="Times New Roman" w:eastAsia="AngsanaUPC" w:hAnsi="Times New Roman"/>
                <w:bCs/>
                <w:iCs/>
                <w:sz w:val="18"/>
                <w:szCs w:val="18"/>
                <w:lang w:eastAsia="lt-LT"/>
              </w:rPr>
              <w:t>ekimo ir nuotekų tvarkymo įmonių</w:t>
            </w:r>
            <w:r w:rsidR="00515A37" w:rsidRPr="002C08FA">
              <w:rPr>
                <w:rFonts w:ascii="Times New Roman" w:eastAsia="AngsanaUPC" w:hAnsi="Times New Roman"/>
                <w:bCs/>
                <w:iCs/>
                <w:sz w:val="18"/>
                <w:szCs w:val="18"/>
                <w:lang w:eastAsia="lt-LT"/>
              </w:rPr>
              <w:t xml:space="preserve"> </w:t>
            </w:r>
            <w:r w:rsidR="00BE2E68" w:rsidRPr="002C08FA">
              <w:rPr>
                <w:rFonts w:ascii="Times New Roman" w:eastAsia="AngsanaUPC" w:hAnsi="Times New Roman"/>
                <w:bCs/>
                <w:iCs/>
                <w:sz w:val="18"/>
                <w:szCs w:val="18"/>
                <w:lang w:eastAsia="lt-LT"/>
              </w:rPr>
              <w:t>veiklos tobulinim</w:t>
            </w:r>
            <w:r w:rsidRPr="002C08FA">
              <w:rPr>
                <w:rFonts w:ascii="Times New Roman" w:eastAsia="AngsanaUPC" w:hAnsi="Times New Roman"/>
                <w:bCs/>
                <w:iCs/>
                <w:sz w:val="18"/>
                <w:szCs w:val="18"/>
                <w:lang w:eastAsia="lt-LT"/>
              </w:rPr>
              <w:t>o</w:t>
            </w:r>
            <w:r w:rsidR="00FF7B47" w:rsidRPr="002C08FA">
              <w:rPr>
                <w:rFonts w:ascii="Times New Roman" w:eastAsia="AngsanaUPC" w:hAnsi="Times New Roman"/>
                <w:bCs/>
                <w:iCs/>
                <w:sz w:val="18"/>
                <w:szCs w:val="18"/>
                <w:lang w:eastAsia="lt-LT"/>
              </w:rPr>
              <w:t xml:space="preserve"> </w:t>
            </w:r>
            <w:r w:rsidR="00BE2E68" w:rsidRPr="002C08FA">
              <w:rPr>
                <w:rFonts w:ascii="Times New Roman" w:eastAsia="AngsanaUPC" w:hAnsi="Times New Roman"/>
                <w:bCs/>
                <w:iCs/>
                <w:sz w:val="18"/>
                <w:szCs w:val="18"/>
                <w:lang w:eastAsia="lt-LT"/>
              </w:rPr>
              <w:t>plana</w:t>
            </w:r>
            <w:r w:rsidRPr="002C08FA">
              <w:rPr>
                <w:rFonts w:ascii="Times New Roman" w:eastAsia="AngsanaUPC" w:hAnsi="Times New Roman"/>
                <w:bCs/>
                <w:iCs/>
                <w:sz w:val="18"/>
                <w:szCs w:val="18"/>
                <w:lang w:eastAsia="lt-LT"/>
              </w:rPr>
              <w:t>s</w:t>
            </w:r>
          </w:p>
        </w:tc>
        <w:tc>
          <w:tcPr>
            <w:tcW w:w="1134" w:type="dxa"/>
            <w:shd w:val="clear" w:color="auto" w:fill="auto"/>
            <w:vAlign w:val="center"/>
          </w:tcPr>
          <w:p w:rsidR="00515A37" w:rsidRPr="002C08FA" w:rsidRDefault="00C32A3E"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Vienetai</w:t>
            </w:r>
          </w:p>
        </w:tc>
        <w:tc>
          <w:tcPr>
            <w:tcW w:w="851" w:type="dxa"/>
            <w:shd w:val="clear" w:color="auto" w:fill="auto"/>
            <w:vAlign w:val="center"/>
          </w:tcPr>
          <w:p w:rsidR="00515A37" w:rsidRPr="002C08FA" w:rsidRDefault="00515A37"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SaF</w:t>
            </w:r>
          </w:p>
        </w:tc>
        <w:tc>
          <w:tcPr>
            <w:tcW w:w="992" w:type="dxa"/>
            <w:shd w:val="clear" w:color="auto" w:fill="auto"/>
            <w:vAlign w:val="center"/>
          </w:tcPr>
          <w:p w:rsidR="00515A37" w:rsidRPr="002C08FA" w:rsidRDefault="00515A37" w:rsidP="006B0BC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w:t>
            </w:r>
          </w:p>
        </w:tc>
        <w:tc>
          <w:tcPr>
            <w:tcW w:w="992" w:type="dxa"/>
            <w:shd w:val="clear" w:color="auto" w:fill="auto"/>
            <w:vAlign w:val="center"/>
          </w:tcPr>
          <w:p w:rsidR="00515A37" w:rsidRPr="002C08FA" w:rsidRDefault="00E55725" w:rsidP="00E5572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1</w:t>
            </w:r>
          </w:p>
        </w:tc>
        <w:tc>
          <w:tcPr>
            <w:tcW w:w="1134" w:type="dxa"/>
            <w:shd w:val="clear" w:color="auto" w:fill="auto"/>
            <w:vAlign w:val="center"/>
          </w:tcPr>
          <w:p w:rsidR="00515A37" w:rsidRPr="002C08FA" w:rsidRDefault="00515A37"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Duomenys iš projektų</w:t>
            </w:r>
          </w:p>
        </w:tc>
        <w:tc>
          <w:tcPr>
            <w:tcW w:w="1241" w:type="dxa"/>
            <w:shd w:val="clear" w:color="auto" w:fill="auto"/>
            <w:vAlign w:val="center"/>
          </w:tcPr>
          <w:p w:rsidR="00515A37" w:rsidRPr="002C08FA" w:rsidRDefault="00515A37"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Kartą per metus</w:t>
            </w:r>
          </w:p>
        </w:tc>
      </w:tr>
      <w:tr w:rsidR="00E55725" w:rsidRPr="00385835" w:rsidTr="00BE2E68">
        <w:tblPrEx>
          <w:shd w:val="clear" w:color="auto" w:fill="auto"/>
        </w:tblPrEx>
        <w:tc>
          <w:tcPr>
            <w:tcW w:w="443" w:type="dxa"/>
            <w:shd w:val="clear" w:color="auto" w:fill="auto"/>
            <w:vAlign w:val="center"/>
          </w:tcPr>
          <w:p w:rsidR="00E55725" w:rsidRPr="002C08FA" w:rsidRDefault="00E5572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 xml:space="preserve">6. </w:t>
            </w:r>
          </w:p>
        </w:tc>
        <w:tc>
          <w:tcPr>
            <w:tcW w:w="2959" w:type="dxa"/>
            <w:shd w:val="clear" w:color="auto" w:fill="auto"/>
            <w:vAlign w:val="center"/>
          </w:tcPr>
          <w:p w:rsidR="00E55725" w:rsidRPr="002C08FA" w:rsidRDefault="00E55725" w:rsidP="00E55725">
            <w:pPr>
              <w:widowControl w:val="0"/>
              <w:tabs>
                <w:tab w:val="left" w:pos="622"/>
              </w:tabs>
              <w:spacing w:after="0" w:line="240" w:lineRule="auto"/>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Įsigytos priemonės (laivas) taršos incidentams Baltijos jūroje likviduoti</w:t>
            </w:r>
          </w:p>
        </w:tc>
        <w:tc>
          <w:tcPr>
            <w:tcW w:w="1134" w:type="dxa"/>
            <w:shd w:val="clear" w:color="auto" w:fill="auto"/>
            <w:vAlign w:val="center"/>
          </w:tcPr>
          <w:p w:rsidR="00E55725" w:rsidRPr="002C08FA" w:rsidRDefault="00E55725" w:rsidP="006B0BC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Vienetai</w:t>
            </w:r>
          </w:p>
        </w:tc>
        <w:tc>
          <w:tcPr>
            <w:tcW w:w="851" w:type="dxa"/>
            <w:shd w:val="clear" w:color="auto" w:fill="auto"/>
            <w:vAlign w:val="center"/>
          </w:tcPr>
          <w:p w:rsidR="00E55725" w:rsidRPr="002C08FA" w:rsidRDefault="00E55725" w:rsidP="006B0BC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SaF</w:t>
            </w:r>
          </w:p>
        </w:tc>
        <w:tc>
          <w:tcPr>
            <w:tcW w:w="992" w:type="dxa"/>
            <w:shd w:val="clear" w:color="auto" w:fill="auto"/>
            <w:vAlign w:val="center"/>
          </w:tcPr>
          <w:p w:rsidR="00E55725" w:rsidRPr="002C08FA" w:rsidRDefault="00E55725" w:rsidP="006B0BC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w:t>
            </w:r>
          </w:p>
        </w:tc>
        <w:tc>
          <w:tcPr>
            <w:tcW w:w="992" w:type="dxa"/>
            <w:shd w:val="clear" w:color="auto" w:fill="auto"/>
            <w:vAlign w:val="center"/>
          </w:tcPr>
          <w:p w:rsidR="00E55725" w:rsidRPr="002C08FA" w:rsidRDefault="00E55725" w:rsidP="006B0BC5">
            <w:pPr>
              <w:widowControl w:val="0"/>
              <w:tabs>
                <w:tab w:val="left" w:pos="622"/>
              </w:tabs>
              <w:spacing w:after="0" w:line="240" w:lineRule="auto"/>
              <w:jc w:val="center"/>
              <w:rPr>
                <w:rFonts w:ascii="Times New Roman" w:hAnsi="Times New Roman"/>
                <w:sz w:val="18"/>
                <w:szCs w:val="18"/>
              </w:rPr>
            </w:pPr>
            <w:r w:rsidRPr="002C08FA">
              <w:rPr>
                <w:rFonts w:ascii="Times New Roman" w:hAnsi="Times New Roman"/>
                <w:sz w:val="18"/>
                <w:szCs w:val="18"/>
              </w:rPr>
              <w:t>1</w:t>
            </w:r>
          </w:p>
        </w:tc>
        <w:tc>
          <w:tcPr>
            <w:tcW w:w="1134" w:type="dxa"/>
            <w:shd w:val="clear" w:color="auto" w:fill="auto"/>
            <w:vAlign w:val="center"/>
          </w:tcPr>
          <w:p w:rsidR="00E55725" w:rsidRPr="002C08FA" w:rsidRDefault="00E5572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Duomenys iš projektų</w:t>
            </w:r>
          </w:p>
        </w:tc>
        <w:tc>
          <w:tcPr>
            <w:tcW w:w="1241" w:type="dxa"/>
            <w:shd w:val="clear" w:color="auto" w:fill="auto"/>
            <w:vAlign w:val="center"/>
          </w:tcPr>
          <w:p w:rsidR="00E55725" w:rsidRPr="002C08FA" w:rsidRDefault="00E5572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Kartą per metus</w:t>
            </w:r>
          </w:p>
        </w:tc>
      </w:tr>
    </w:tbl>
    <w:p w:rsidR="00AC10CD" w:rsidRDefault="00AC10CD" w:rsidP="00AC10CD">
      <w:pPr>
        <w:spacing w:after="0" w:line="240" w:lineRule="auto"/>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746"/>
      </w:tblGrid>
      <w:tr w:rsidR="00715EE1" w:rsidRPr="00715EE1" w:rsidTr="00AA51F3">
        <w:tc>
          <w:tcPr>
            <w:tcW w:w="9746" w:type="dxa"/>
            <w:shd w:val="clear" w:color="auto" w:fill="EEECE1"/>
          </w:tcPr>
          <w:p w:rsidR="00715EE1" w:rsidRPr="00715EE1" w:rsidRDefault="00715EE1" w:rsidP="00715EE1">
            <w:pPr>
              <w:spacing w:after="0" w:line="240" w:lineRule="auto"/>
              <w:rPr>
                <w:rFonts w:ascii="Times New Roman" w:hAnsi="Times New Roman"/>
                <w:b/>
                <w:bCs/>
                <w:sz w:val="24"/>
                <w:szCs w:val="24"/>
              </w:rPr>
            </w:pPr>
            <w:r w:rsidRPr="00715EE1">
              <w:rPr>
                <w:rFonts w:ascii="Times New Roman" w:hAnsi="Times New Roman"/>
                <w:b/>
                <w:bCs/>
                <w:i/>
                <w:iCs/>
                <w:sz w:val="24"/>
                <w:szCs w:val="24"/>
              </w:rPr>
              <w:lastRenderedPageBreak/>
              <w:t>Didelės apimties projektai</w:t>
            </w:r>
          </w:p>
        </w:tc>
      </w:tr>
      <w:tr w:rsidR="00715EE1" w:rsidRPr="00715EE1" w:rsidTr="00AA51F3">
        <w:tc>
          <w:tcPr>
            <w:tcW w:w="9746" w:type="dxa"/>
            <w:shd w:val="clear" w:color="auto" w:fill="auto"/>
          </w:tcPr>
          <w:p w:rsidR="00715EE1" w:rsidRPr="00715EE1" w:rsidRDefault="00715EE1" w:rsidP="00715EE1">
            <w:pPr>
              <w:spacing w:after="0" w:line="240" w:lineRule="auto"/>
              <w:rPr>
                <w:rFonts w:ascii="Times New Roman" w:hAnsi="Times New Roman"/>
                <w:bCs/>
                <w:iCs/>
                <w:sz w:val="24"/>
                <w:szCs w:val="24"/>
              </w:rPr>
            </w:pPr>
            <w:r w:rsidRPr="00715EE1">
              <w:rPr>
                <w:rFonts w:ascii="Times New Roman" w:hAnsi="Times New Roman"/>
                <w:bCs/>
                <w:iCs/>
                <w:sz w:val="24"/>
                <w:szCs w:val="24"/>
              </w:rPr>
              <w:t>Pagal šį investicinį prioritetą didelės apimties projektų vykdyti nenumatoma.</w:t>
            </w:r>
          </w:p>
        </w:tc>
      </w:tr>
    </w:tbl>
    <w:p w:rsidR="00715EE1" w:rsidRPr="00AC10CD" w:rsidRDefault="00715EE1" w:rsidP="00AC10CD">
      <w:pPr>
        <w:spacing w:after="0" w:line="240" w:lineRule="auto"/>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2410"/>
        <w:gridCol w:w="7336"/>
      </w:tblGrid>
      <w:tr w:rsidR="00385835" w:rsidRPr="00385835" w:rsidTr="00385835">
        <w:tc>
          <w:tcPr>
            <w:tcW w:w="2410" w:type="dxa"/>
            <w:shd w:val="clear" w:color="auto" w:fill="EEECE1"/>
            <w:vAlign w:val="center"/>
          </w:tcPr>
          <w:p w:rsidR="00385835" w:rsidRPr="00385835" w:rsidRDefault="00385835" w:rsidP="00385835">
            <w:pPr>
              <w:spacing w:after="0" w:line="240" w:lineRule="auto"/>
              <w:rPr>
                <w:rFonts w:ascii="Times New Roman" w:hAnsi="Times New Roman"/>
                <w:b/>
                <w:sz w:val="24"/>
                <w:szCs w:val="24"/>
              </w:rPr>
            </w:pPr>
            <w:r w:rsidRPr="00385835">
              <w:rPr>
                <w:rFonts w:ascii="Times New Roman" w:hAnsi="Times New Roman"/>
                <w:b/>
                <w:sz w:val="24"/>
                <w:szCs w:val="24"/>
              </w:rPr>
              <w:t>5.4. INVESTICINIS PRIORITETAS</w:t>
            </w:r>
          </w:p>
        </w:tc>
        <w:tc>
          <w:tcPr>
            <w:tcW w:w="7336" w:type="dxa"/>
            <w:shd w:val="clear" w:color="auto" w:fill="EEECE1"/>
            <w:vAlign w:val="center"/>
          </w:tcPr>
          <w:p w:rsidR="00385835" w:rsidRPr="00385835" w:rsidRDefault="00385835" w:rsidP="00385835">
            <w:pPr>
              <w:spacing w:after="0" w:line="240" w:lineRule="auto"/>
              <w:rPr>
                <w:rFonts w:ascii="Times New Roman" w:hAnsi="Times New Roman"/>
                <w:b/>
                <w:sz w:val="24"/>
                <w:szCs w:val="24"/>
              </w:rPr>
            </w:pPr>
            <w:r w:rsidRPr="00385835">
              <w:rPr>
                <w:rFonts w:ascii="Times New Roman" w:hAnsi="Times New Roman"/>
                <w:b/>
                <w:sz w:val="24"/>
                <w:szCs w:val="24"/>
              </w:rPr>
              <w:t>Kultūros ir gamtos paveldo apsaug</w:t>
            </w:r>
            <w:r w:rsidR="00031EF1">
              <w:rPr>
                <w:rFonts w:ascii="Times New Roman" w:hAnsi="Times New Roman"/>
                <w:b/>
                <w:sz w:val="24"/>
                <w:szCs w:val="24"/>
              </w:rPr>
              <w:t>a, propagavimas ir vystymas</w:t>
            </w:r>
          </w:p>
        </w:tc>
      </w:tr>
    </w:tbl>
    <w:p w:rsidR="00385835" w:rsidRPr="00E93C17" w:rsidRDefault="00385835" w:rsidP="00385835">
      <w:pPr>
        <w:widowControl w:val="0"/>
        <w:tabs>
          <w:tab w:val="left" w:pos="622"/>
        </w:tabs>
        <w:spacing w:after="0" w:line="240" w:lineRule="auto"/>
        <w:jc w:val="both"/>
        <w:rPr>
          <w:rFonts w:ascii="Times New Roman" w:eastAsia="AngsanaUPC" w:hAnsi="Times New Roman"/>
          <w:bCs/>
          <w:sz w:val="20"/>
          <w:szCs w:val="20"/>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FONDAS</w:t>
            </w:r>
          </w:p>
        </w:tc>
        <w:tc>
          <w:tcPr>
            <w:tcW w:w="7336"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Europos regioninės plėtros fondas</w:t>
            </w:r>
          </w:p>
        </w:tc>
      </w:tr>
    </w:tbl>
    <w:p w:rsidR="00385835" w:rsidRPr="00E93C17" w:rsidRDefault="00385835" w:rsidP="00385835">
      <w:pPr>
        <w:widowControl w:val="0"/>
        <w:tabs>
          <w:tab w:val="left" w:pos="622"/>
        </w:tabs>
        <w:spacing w:after="0" w:line="240" w:lineRule="auto"/>
        <w:jc w:val="both"/>
        <w:rPr>
          <w:rFonts w:ascii="Times New Roman" w:eastAsia="AngsanaUPC" w:hAnsi="Times New Roman"/>
          <w:bCs/>
          <w:sz w:val="20"/>
          <w:szCs w:val="20"/>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tcPr>
          <w:p w:rsidR="00385835" w:rsidRPr="00385835" w:rsidRDefault="00385835" w:rsidP="00385835">
            <w:pPr>
              <w:widowControl w:val="0"/>
              <w:tabs>
                <w:tab w:val="left" w:pos="622"/>
              </w:tabs>
              <w:spacing w:after="0" w:line="240" w:lineRule="auto"/>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5.4.1. KONKRETUS UŽDAVINYS</w:t>
            </w:r>
          </w:p>
        </w:tc>
        <w:tc>
          <w:tcPr>
            <w:tcW w:w="7336" w:type="dxa"/>
            <w:shd w:val="clear" w:color="auto" w:fill="EEECE1"/>
            <w:vAlign w:val="center"/>
          </w:tcPr>
          <w:p w:rsidR="00385835" w:rsidRPr="00385835" w:rsidRDefault="00385835" w:rsidP="00385835">
            <w:pPr>
              <w:spacing w:after="0" w:line="240" w:lineRule="auto"/>
              <w:rPr>
                <w:rFonts w:ascii="Times New Roman" w:hAnsi="Times New Roman"/>
                <w:b/>
                <w:sz w:val="24"/>
                <w:szCs w:val="24"/>
              </w:rPr>
            </w:pPr>
            <w:r w:rsidRPr="00385835">
              <w:rPr>
                <w:rFonts w:ascii="Times New Roman" w:hAnsi="Times New Roman"/>
                <w:b/>
                <w:sz w:val="24"/>
                <w:szCs w:val="24"/>
              </w:rPr>
              <w:t>Padidinti kultūros ir gamtos paveldo aktualumą, lankomumą ir žinomumą, visuomenės informuotumą apie juos supančią aplinką</w:t>
            </w:r>
          </w:p>
        </w:tc>
      </w:tr>
      <w:tr w:rsidR="00385835" w:rsidRPr="00385835" w:rsidTr="00385835">
        <w:tc>
          <w:tcPr>
            <w:tcW w:w="9746" w:type="dxa"/>
            <w:gridSpan w:val="2"/>
            <w:shd w:val="clear" w:color="auto" w:fill="auto"/>
          </w:tcPr>
          <w:p w:rsidR="00385835" w:rsidRPr="00385835" w:rsidRDefault="00385835" w:rsidP="00385835">
            <w:pPr>
              <w:autoSpaceDE w:val="0"/>
              <w:autoSpaceDN w:val="0"/>
              <w:adjustRightInd w:val="0"/>
              <w:spacing w:after="0" w:line="240" w:lineRule="auto"/>
              <w:ind w:firstLine="624"/>
              <w:jc w:val="both"/>
              <w:rPr>
                <w:rFonts w:ascii="Times New Roman" w:hAnsi="Times New Roman"/>
                <w:sz w:val="24"/>
                <w:szCs w:val="24"/>
                <w:lang w:eastAsia="lt-LT"/>
              </w:rPr>
            </w:pPr>
            <w:r w:rsidRPr="00385835">
              <w:rPr>
                <w:rFonts w:ascii="Times New Roman" w:hAnsi="Times New Roman"/>
                <w:sz w:val="24"/>
                <w:szCs w:val="24"/>
                <w:lang w:eastAsia="lt-LT"/>
              </w:rPr>
              <w:t xml:space="preserve">Visuomenė per mažai suvokia apie kraštovaizdį kaip žmonių gyvenamąją aplinką, jame esančių gamtos ir kultūros paveldo objektų apsaugos reikmes, principus ir būdus, be to, kultūros paveldas nėra gerai ištirtas ir atskleistas, visuomenės aplinkosauginis sąmoningumas ir aktyvumas yra gana mažas, nepakankamai tenkinami gyventojų kultūriniai ir rekreaciniai poreikiai. Nepakankamas švietimas ir informavimas apie Lietuvos kultūros ir gamtos paveldo savitumą ir reikšmę sąlygoja tai, kad visuomenė mažai prisideda prie Lietuvos kultūros kūrimo ir puoselėjimo. </w:t>
            </w:r>
          </w:p>
          <w:p w:rsidR="00385835" w:rsidRPr="00385835" w:rsidRDefault="00385835" w:rsidP="00385835">
            <w:pPr>
              <w:autoSpaceDE w:val="0"/>
              <w:autoSpaceDN w:val="0"/>
              <w:adjustRightInd w:val="0"/>
              <w:spacing w:after="0" w:line="240" w:lineRule="auto"/>
              <w:ind w:firstLine="624"/>
              <w:jc w:val="both"/>
              <w:rPr>
                <w:rFonts w:ascii="Times New Roman" w:hAnsi="Times New Roman"/>
                <w:sz w:val="24"/>
                <w:szCs w:val="24"/>
                <w:lang w:eastAsia="lt-LT"/>
              </w:rPr>
            </w:pPr>
            <w:r w:rsidRPr="00385835">
              <w:rPr>
                <w:rFonts w:ascii="Times New Roman" w:hAnsi="Times New Roman"/>
                <w:sz w:val="24"/>
                <w:szCs w:val="24"/>
                <w:lang w:eastAsia="lt-LT"/>
              </w:rPr>
              <w:t>2013 m. Eurobarometro tyrimo duomenimis</w:t>
            </w:r>
            <w:r w:rsidR="005612D3">
              <w:rPr>
                <w:rFonts w:ascii="Times New Roman" w:hAnsi="Times New Roman"/>
                <w:sz w:val="24"/>
                <w:szCs w:val="24"/>
                <w:lang w:eastAsia="lt-LT"/>
              </w:rPr>
              <w:t>,</w:t>
            </w:r>
            <w:r w:rsidRPr="00385835">
              <w:rPr>
                <w:rFonts w:ascii="Times New Roman" w:hAnsi="Times New Roman"/>
                <w:sz w:val="24"/>
                <w:szCs w:val="24"/>
                <w:lang w:eastAsia="lt-LT"/>
              </w:rPr>
              <w:t xml:space="preserve"> Lietuvos gyventojų susidomėjimas kultūros paveldo</w:t>
            </w:r>
            <w:r w:rsidR="006C16A8">
              <w:rPr>
                <w:rFonts w:ascii="Times New Roman" w:hAnsi="Times New Roman"/>
                <w:sz w:val="24"/>
                <w:szCs w:val="24"/>
                <w:lang w:eastAsia="lt-LT"/>
              </w:rPr>
              <w:t xml:space="preserve"> objektais yra gerokai žemesnis</w:t>
            </w:r>
            <w:r w:rsidRPr="00385835">
              <w:rPr>
                <w:rFonts w:ascii="Times New Roman" w:hAnsi="Times New Roman"/>
                <w:sz w:val="24"/>
                <w:szCs w:val="24"/>
                <w:lang w:eastAsia="lt-LT"/>
              </w:rPr>
              <w:t xml:space="preserve"> nei daugumos senųjų ES valstybių</w:t>
            </w:r>
            <w:proofErr w:type="gramStart"/>
            <w:r w:rsidRPr="00385835">
              <w:rPr>
                <w:rFonts w:ascii="Times New Roman" w:hAnsi="Times New Roman"/>
                <w:sz w:val="24"/>
                <w:szCs w:val="24"/>
                <w:lang w:eastAsia="lt-LT"/>
              </w:rPr>
              <w:t>-</w:t>
            </w:r>
            <w:proofErr w:type="gramEnd"/>
            <w:r w:rsidRPr="00385835">
              <w:rPr>
                <w:rFonts w:ascii="Times New Roman" w:hAnsi="Times New Roman"/>
                <w:sz w:val="24"/>
                <w:szCs w:val="24"/>
                <w:lang w:eastAsia="lt-LT"/>
              </w:rPr>
              <w:t>narių: bent kartą per metus paveldo objekte apsilanko 53 proc. lietuvių (vokiečių – 63 proc., olandų – 71 proc., švedų – 79 proc.). Žemiausias šis rodiklis Lietuvoje ir lyginant su kitomis Baltijos šalimis. Tokiu būdu nepakankamai išnaudojamas paveldo vertybių kaip socialinės, rekreacinės ir ekonominės veiklos centrų potencialas. Panaši padėtis ir gamtos paveldo srityje: aplinkosauginiai-rekreaciniai objekta</w:t>
            </w:r>
            <w:r w:rsidR="006C16A8">
              <w:rPr>
                <w:rFonts w:ascii="Times New Roman" w:hAnsi="Times New Roman"/>
                <w:sz w:val="24"/>
                <w:szCs w:val="24"/>
                <w:lang w:eastAsia="lt-LT"/>
              </w:rPr>
              <w:t xml:space="preserve">i dėl prastos techninės būklės </w:t>
            </w:r>
            <w:r w:rsidRPr="00385835">
              <w:rPr>
                <w:rFonts w:ascii="Times New Roman" w:hAnsi="Times New Roman"/>
                <w:sz w:val="24"/>
                <w:szCs w:val="24"/>
                <w:lang w:eastAsia="lt-LT"/>
              </w:rPr>
              <w:t>nepajėgūs efektyviai organizuoti visuomenės kultūrinį ir ekologinį švietimą bei poilsį, todėl bendras visuomenės aplinkosauginis sąmoningumas yra žemas.</w:t>
            </w:r>
          </w:p>
          <w:p w:rsidR="00385835" w:rsidRPr="00385835" w:rsidRDefault="00385835" w:rsidP="00385835">
            <w:pPr>
              <w:autoSpaceDE w:val="0"/>
              <w:autoSpaceDN w:val="0"/>
              <w:adjustRightInd w:val="0"/>
              <w:spacing w:after="0" w:line="240" w:lineRule="auto"/>
              <w:ind w:firstLine="624"/>
              <w:jc w:val="both"/>
              <w:rPr>
                <w:rFonts w:ascii="Times New Roman" w:hAnsi="Times New Roman"/>
                <w:sz w:val="24"/>
                <w:szCs w:val="24"/>
                <w:lang w:eastAsia="lt-LT"/>
              </w:rPr>
            </w:pPr>
            <w:r w:rsidRPr="00385835">
              <w:rPr>
                <w:rFonts w:ascii="Times New Roman" w:hAnsi="Times New Roman"/>
                <w:sz w:val="24"/>
                <w:szCs w:val="24"/>
                <w:lang w:eastAsia="lt-LT"/>
              </w:rPr>
              <w:t xml:space="preserve">Lietuvos, kaip saugios ir paslaugios turistinės </w:t>
            </w:r>
            <w:r w:rsidR="006C16A8">
              <w:rPr>
                <w:rFonts w:ascii="Times New Roman" w:hAnsi="Times New Roman"/>
                <w:sz w:val="24"/>
                <w:szCs w:val="24"/>
                <w:lang w:eastAsia="lt-LT"/>
              </w:rPr>
              <w:t>valstybės, įvaizdis labai sąlygoja</w:t>
            </w:r>
            <w:r w:rsidRPr="00385835">
              <w:rPr>
                <w:rFonts w:ascii="Times New Roman" w:hAnsi="Times New Roman"/>
                <w:sz w:val="24"/>
                <w:szCs w:val="24"/>
                <w:lang w:eastAsia="lt-LT"/>
              </w:rPr>
              <w:t xml:space="preserve"> turizmo sektoriaus konkurencingumą ir ekonomiką. Taigi</w:t>
            </w:r>
            <w:r w:rsidR="006C16A8">
              <w:rPr>
                <w:rFonts w:ascii="Times New Roman" w:hAnsi="Times New Roman"/>
                <w:sz w:val="24"/>
                <w:szCs w:val="24"/>
                <w:lang w:eastAsia="lt-LT"/>
              </w:rPr>
              <w:t>,</w:t>
            </w:r>
            <w:r w:rsidRPr="00385835">
              <w:rPr>
                <w:rFonts w:ascii="Times New Roman" w:hAnsi="Times New Roman"/>
                <w:sz w:val="24"/>
                <w:szCs w:val="24"/>
                <w:lang w:eastAsia="lt-LT"/>
              </w:rPr>
              <w:t xml:space="preserve"> labai svarbu siekti gerinti Lietuvos, kaip darnios ir kokybiškos turizmo traukos vietovių visumos, įvaizdį ir suvokimą apie ją, propaguoti Lietuvos lankytinas vietas ir daryti jas patrauklesnes, geriau informuoti turistus apie Lietuvos turizmo galimybes šiuolaikiškomis informacinių technologijų priemonėmis. Turizmo sritis yra svarbi regioninei plėtrai, tačiau Lietuvoje nėra sukurta darni turizmo informacinė ir ženklinimo sistema, nepakankamai vystoma rinkodara. Pasaulio ekonomikos forumo rengiamoje Pasaulio kelionių ir turizmo konkurencingumo 2013 m. ataskaitoje Lietuva pagal kriterijų, matuojantį įgyvendinamų turizmo rinkodaros bei įvaizdžio gerinimo priemonių efektyvumą, užima 114 vietą iš 140 šalių.</w:t>
            </w:r>
          </w:p>
          <w:p w:rsidR="00385835" w:rsidRPr="00385835" w:rsidRDefault="00385835" w:rsidP="00385835">
            <w:pPr>
              <w:autoSpaceDE w:val="0"/>
              <w:autoSpaceDN w:val="0"/>
              <w:adjustRightInd w:val="0"/>
              <w:spacing w:after="0" w:line="240" w:lineRule="auto"/>
              <w:ind w:firstLine="624"/>
              <w:jc w:val="both"/>
              <w:rPr>
                <w:rFonts w:ascii="Times New Roman" w:hAnsi="Times New Roman"/>
                <w:bCs/>
                <w:sz w:val="24"/>
                <w:szCs w:val="24"/>
                <w:lang w:eastAsia="lt-LT"/>
              </w:rPr>
            </w:pPr>
            <w:r w:rsidRPr="00385835">
              <w:rPr>
                <w:rFonts w:ascii="Times New Roman" w:hAnsi="Times New Roman"/>
                <w:bCs/>
                <w:sz w:val="24"/>
                <w:szCs w:val="24"/>
                <w:lang w:eastAsia="lt-LT"/>
              </w:rPr>
              <w:t>Įgyvendinus šį uždavinį, bus pagerintas gyventojų aplinkosauginis sąmoningumas, užtikrinta gamtos ir rekreacinių išteklių apsauga ir racionalus naudojimas, padidintas saugomų teritorijų atvirumas visuomenei. Aktualizavus kultūros paveldo objektus, sukūrus efektyvią informacinę ir ženklinimo infrastruktūrą bei įgyvendinus rinkodaros priemones, bus pagerintas Lietuvos kaip patrauklios turizmui šalies įvaizdis Lietuvos ir užsienio šalių rinkose, taip pat padidintas Lietuvos gyventojų</w:t>
            </w:r>
            <w:r w:rsidR="006C16A8">
              <w:rPr>
                <w:rFonts w:ascii="Times New Roman" w:hAnsi="Times New Roman"/>
                <w:bCs/>
                <w:sz w:val="24"/>
                <w:szCs w:val="24"/>
                <w:lang w:eastAsia="lt-LT"/>
              </w:rPr>
              <w:t xml:space="preserve"> susidomėjimas kultūros paveldu, </w:t>
            </w:r>
            <w:r w:rsidRPr="00385835">
              <w:rPr>
                <w:rFonts w:ascii="Times New Roman" w:hAnsi="Times New Roman"/>
                <w:bCs/>
                <w:sz w:val="24"/>
                <w:szCs w:val="24"/>
                <w:lang w:eastAsia="lt-LT"/>
              </w:rPr>
              <w:t>tokiu būdu paverčiant jo objektus socialinės, edukacinės ir ekonominės veiklos židiniais.</w:t>
            </w:r>
          </w:p>
          <w:p w:rsidR="00385835" w:rsidRPr="00385835" w:rsidRDefault="00385835" w:rsidP="00385835">
            <w:pPr>
              <w:autoSpaceDE w:val="0"/>
              <w:autoSpaceDN w:val="0"/>
              <w:adjustRightInd w:val="0"/>
              <w:spacing w:after="0" w:line="240" w:lineRule="auto"/>
              <w:ind w:firstLine="624"/>
              <w:jc w:val="both"/>
              <w:rPr>
                <w:rFonts w:ascii="Times New Roman" w:hAnsi="Times New Roman"/>
                <w:bCs/>
                <w:sz w:val="24"/>
                <w:szCs w:val="24"/>
                <w:lang w:eastAsia="lt-LT"/>
              </w:rPr>
            </w:pPr>
            <w:r w:rsidRPr="00385835">
              <w:rPr>
                <w:rFonts w:ascii="Times New Roman" w:hAnsi="Times New Roman"/>
                <w:bCs/>
                <w:sz w:val="24"/>
                <w:szCs w:val="24"/>
                <w:lang w:eastAsia="lt-LT"/>
              </w:rPr>
              <w:t>Atitinkamai šio uždavinio veiklos sieks ne tik paties uždavinio užsibrėžtų tikslų, tačiau prisidės ir prie integruotų teritorinių strategijų tikslų įgyvendinimo (regioninės ekonomikos skatinimo, darbo vietų kūrimo, tvarios plėtros užtikrinimo bei investicijų koncentravimo), užtikrinant sąsają su kitų investicinių prioritetų veiklomis.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567"/>
        <w:gridCol w:w="1985"/>
        <w:gridCol w:w="992"/>
        <w:gridCol w:w="992"/>
        <w:gridCol w:w="993"/>
        <w:gridCol w:w="992"/>
        <w:gridCol w:w="992"/>
        <w:gridCol w:w="992"/>
        <w:gridCol w:w="1241"/>
      </w:tblGrid>
      <w:tr w:rsidR="00385835" w:rsidRPr="00385835" w:rsidTr="000E17D9">
        <w:trPr>
          <w:tblHeader/>
        </w:trPr>
        <w:tc>
          <w:tcPr>
            <w:tcW w:w="9746" w:type="dxa"/>
            <w:gridSpan w:val="9"/>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i/>
                <w:iCs/>
                <w:sz w:val="24"/>
                <w:szCs w:val="24"/>
                <w:lang w:eastAsia="lt-LT"/>
              </w:rPr>
            </w:pPr>
            <w:r w:rsidRPr="00385835">
              <w:rPr>
                <w:rFonts w:ascii="Times New Roman" w:eastAsia="AngsanaUPC" w:hAnsi="Times New Roman"/>
                <w:b/>
                <w:bCs/>
                <w:i/>
                <w:iCs/>
                <w:sz w:val="24"/>
                <w:szCs w:val="24"/>
                <w:lang w:eastAsia="lt-LT"/>
              </w:rPr>
              <w:t xml:space="preserve">ERPF </w:t>
            </w:r>
            <w:r w:rsidR="00B1109C">
              <w:rPr>
                <w:rFonts w:ascii="Times New Roman" w:eastAsia="AngsanaUPC" w:hAnsi="Times New Roman"/>
                <w:b/>
                <w:bCs/>
                <w:i/>
                <w:iCs/>
                <w:sz w:val="24"/>
                <w:szCs w:val="24"/>
                <w:lang w:eastAsia="lt-LT"/>
              </w:rPr>
              <w:t xml:space="preserve">specialieji </w:t>
            </w:r>
            <w:r w:rsidRPr="00385835">
              <w:rPr>
                <w:rFonts w:ascii="Times New Roman" w:eastAsia="AngsanaUPC" w:hAnsi="Times New Roman"/>
                <w:b/>
                <w:bCs/>
                <w:i/>
                <w:iCs/>
                <w:sz w:val="24"/>
                <w:szCs w:val="24"/>
                <w:lang w:eastAsia="lt-LT"/>
              </w:rPr>
              <w:t>programos rezultato rodikliai</w:t>
            </w:r>
          </w:p>
        </w:tc>
      </w:tr>
      <w:tr w:rsidR="00385835" w:rsidRPr="00385835" w:rsidTr="00E93C17">
        <w:tblPrEx>
          <w:shd w:val="clear" w:color="auto" w:fill="auto"/>
        </w:tblPrEx>
        <w:trPr>
          <w:cantSplit/>
          <w:trHeight w:val="552"/>
          <w:tblHeader/>
        </w:trPr>
        <w:tc>
          <w:tcPr>
            <w:tcW w:w="567"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Nr.</w:t>
            </w:r>
          </w:p>
        </w:tc>
        <w:tc>
          <w:tcPr>
            <w:tcW w:w="1985"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Rodiklio pavadinimas</w:t>
            </w:r>
          </w:p>
        </w:tc>
        <w:tc>
          <w:tcPr>
            <w:tcW w:w="992"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Matavimo vienetas</w:t>
            </w:r>
          </w:p>
        </w:tc>
        <w:tc>
          <w:tcPr>
            <w:tcW w:w="992"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Regiono kategorija</w:t>
            </w:r>
          </w:p>
        </w:tc>
        <w:tc>
          <w:tcPr>
            <w:tcW w:w="993"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Pradinė reikšmė</w:t>
            </w:r>
          </w:p>
        </w:tc>
        <w:tc>
          <w:tcPr>
            <w:tcW w:w="992"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Pradinės reikšmės metai</w:t>
            </w:r>
          </w:p>
        </w:tc>
        <w:tc>
          <w:tcPr>
            <w:tcW w:w="992"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Siektina reikšmė (2023)</w:t>
            </w:r>
          </w:p>
        </w:tc>
        <w:tc>
          <w:tcPr>
            <w:tcW w:w="992"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Duomenų šaltinis</w:t>
            </w:r>
          </w:p>
        </w:tc>
        <w:tc>
          <w:tcPr>
            <w:tcW w:w="124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Atsiskaitymo dažnumas</w:t>
            </w:r>
          </w:p>
        </w:tc>
      </w:tr>
      <w:tr w:rsidR="00385835" w:rsidRPr="00385835" w:rsidTr="00E93C17">
        <w:tblPrEx>
          <w:shd w:val="clear" w:color="auto" w:fill="auto"/>
        </w:tblPrEx>
        <w:tc>
          <w:tcPr>
            <w:tcW w:w="567"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1.</w:t>
            </w:r>
          </w:p>
        </w:tc>
        <w:tc>
          <w:tcPr>
            <w:tcW w:w="1985" w:type="dxa"/>
            <w:shd w:val="clear" w:color="auto" w:fill="auto"/>
            <w:vAlign w:val="center"/>
          </w:tcPr>
          <w:p w:rsidR="00385835" w:rsidRPr="002C08FA" w:rsidRDefault="00385835" w:rsidP="00385835">
            <w:pPr>
              <w:widowControl w:val="0"/>
              <w:tabs>
                <w:tab w:val="left" w:pos="622"/>
              </w:tabs>
              <w:spacing w:after="0" w:line="240" w:lineRule="auto"/>
              <w:rPr>
                <w:rFonts w:ascii="Times New Roman" w:eastAsia="AngsanaUPC" w:hAnsi="Times New Roman"/>
                <w:bCs/>
                <w:sz w:val="18"/>
                <w:szCs w:val="18"/>
                <w:lang w:eastAsia="lt-LT"/>
              </w:rPr>
            </w:pPr>
            <w:r w:rsidRPr="002C08FA">
              <w:rPr>
                <w:rFonts w:ascii="Times New Roman" w:hAnsi="Times New Roman"/>
                <w:color w:val="000000"/>
                <w:sz w:val="18"/>
                <w:szCs w:val="18"/>
                <w:lang w:eastAsia="lt-LT"/>
              </w:rPr>
              <w:t>Gerai informuotų apie aplinkos išteklius šalies gyventojų dalis</w:t>
            </w:r>
            <w:r w:rsidRPr="002C08FA">
              <w:rPr>
                <w:rFonts w:ascii="Times New Roman" w:eastAsia="AngsanaUPC" w:hAnsi="Times New Roman"/>
                <w:bCs/>
                <w:iCs/>
                <w:sz w:val="18"/>
                <w:szCs w:val="18"/>
                <w:lang w:eastAsia="lt-LT"/>
              </w:rPr>
              <w:t xml:space="preserve"> </w:t>
            </w:r>
          </w:p>
        </w:tc>
        <w:tc>
          <w:tcPr>
            <w:tcW w:w="992"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sz w:val="18"/>
                <w:szCs w:val="18"/>
                <w:lang w:eastAsia="lt-LT"/>
              </w:rPr>
            </w:pPr>
            <w:r w:rsidRPr="002C08FA">
              <w:rPr>
                <w:rFonts w:ascii="Times New Roman" w:eastAsia="AngsanaUPC" w:hAnsi="Times New Roman"/>
                <w:bCs/>
                <w:sz w:val="18"/>
                <w:szCs w:val="18"/>
                <w:lang w:eastAsia="lt-LT"/>
              </w:rPr>
              <w:t>Proc.</w:t>
            </w:r>
          </w:p>
        </w:tc>
        <w:tc>
          <w:tcPr>
            <w:tcW w:w="992"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sz w:val="18"/>
                <w:szCs w:val="18"/>
                <w:lang w:eastAsia="lt-LT"/>
              </w:rPr>
            </w:pPr>
            <w:r w:rsidRPr="002C08FA">
              <w:rPr>
                <w:rFonts w:ascii="Times New Roman" w:eastAsia="AngsanaUPC" w:hAnsi="Times New Roman"/>
                <w:bCs/>
                <w:sz w:val="18"/>
                <w:szCs w:val="18"/>
                <w:lang w:eastAsia="lt-LT"/>
              </w:rPr>
              <w:t>Mažiau išsivystęs</w:t>
            </w:r>
          </w:p>
        </w:tc>
        <w:tc>
          <w:tcPr>
            <w:tcW w:w="993"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55</w:t>
            </w:r>
          </w:p>
        </w:tc>
        <w:tc>
          <w:tcPr>
            <w:tcW w:w="992"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2011</w:t>
            </w:r>
          </w:p>
        </w:tc>
        <w:tc>
          <w:tcPr>
            <w:tcW w:w="992"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65</w:t>
            </w:r>
          </w:p>
        </w:tc>
        <w:tc>
          <w:tcPr>
            <w:tcW w:w="992" w:type="dxa"/>
            <w:shd w:val="clear" w:color="auto" w:fill="auto"/>
            <w:vAlign w:val="center"/>
          </w:tcPr>
          <w:p w:rsidR="00385835" w:rsidRPr="002C08FA" w:rsidRDefault="002C74D2" w:rsidP="002C74D2">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Aplinkos ministerija</w:t>
            </w:r>
          </w:p>
        </w:tc>
        <w:tc>
          <w:tcPr>
            <w:tcW w:w="1241" w:type="dxa"/>
            <w:shd w:val="clear" w:color="auto" w:fill="auto"/>
            <w:vAlign w:val="center"/>
          </w:tcPr>
          <w:p w:rsidR="00385835" w:rsidRPr="002C08FA" w:rsidRDefault="002C74D2" w:rsidP="002C74D2">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Kartą per 2 metus</w:t>
            </w:r>
          </w:p>
        </w:tc>
      </w:tr>
      <w:tr w:rsidR="00385835" w:rsidRPr="00385835" w:rsidTr="00E93C17">
        <w:tblPrEx>
          <w:shd w:val="clear" w:color="auto" w:fill="auto"/>
        </w:tblPrEx>
        <w:tc>
          <w:tcPr>
            <w:tcW w:w="567"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lastRenderedPageBreak/>
              <w:t>2.</w:t>
            </w:r>
          </w:p>
        </w:tc>
        <w:tc>
          <w:tcPr>
            <w:tcW w:w="1985" w:type="dxa"/>
            <w:shd w:val="clear" w:color="auto" w:fill="auto"/>
            <w:vAlign w:val="center"/>
          </w:tcPr>
          <w:p w:rsidR="00385835" w:rsidRPr="002C08FA" w:rsidRDefault="00385835" w:rsidP="00385835">
            <w:pPr>
              <w:widowControl w:val="0"/>
              <w:tabs>
                <w:tab w:val="left" w:pos="622"/>
              </w:tabs>
              <w:spacing w:after="0" w:line="240" w:lineRule="auto"/>
              <w:rPr>
                <w:rFonts w:ascii="Times New Roman" w:eastAsia="AngsanaUPC" w:hAnsi="Times New Roman"/>
                <w:bCs/>
                <w:iCs/>
                <w:sz w:val="18"/>
                <w:szCs w:val="18"/>
                <w:lang w:eastAsia="lt-LT"/>
              </w:rPr>
            </w:pPr>
            <w:r w:rsidRPr="002C08FA">
              <w:rPr>
                <w:rFonts w:ascii="Times New Roman" w:hAnsi="Times New Roman"/>
                <w:color w:val="000000"/>
                <w:sz w:val="18"/>
                <w:szCs w:val="18"/>
                <w:lang w:eastAsia="lt-LT"/>
              </w:rPr>
              <w:t>Lietuvos gyventojų, bent kartą per pastaruosius 12 mėn. apsilankiusių kultūros paveldo objekte, dalis</w:t>
            </w:r>
          </w:p>
        </w:tc>
        <w:tc>
          <w:tcPr>
            <w:tcW w:w="992"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sz w:val="18"/>
                <w:szCs w:val="18"/>
                <w:lang w:eastAsia="lt-LT"/>
              </w:rPr>
              <w:t>Proc.</w:t>
            </w:r>
          </w:p>
        </w:tc>
        <w:tc>
          <w:tcPr>
            <w:tcW w:w="992"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sz w:val="18"/>
                <w:szCs w:val="18"/>
                <w:lang w:eastAsia="lt-LT"/>
              </w:rPr>
            </w:pPr>
            <w:r w:rsidRPr="002C08FA">
              <w:rPr>
                <w:rFonts w:ascii="Times New Roman" w:eastAsia="AngsanaUPC" w:hAnsi="Times New Roman"/>
                <w:bCs/>
                <w:sz w:val="18"/>
                <w:szCs w:val="18"/>
                <w:lang w:eastAsia="lt-LT"/>
              </w:rPr>
              <w:t>Mažiau išsivystęs</w:t>
            </w:r>
          </w:p>
        </w:tc>
        <w:tc>
          <w:tcPr>
            <w:tcW w:w="993"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53</w:t>
            </w:r>
          </w:p>
        </w:tc>
        <w:tc>
          <w:tcPr>
            <w:tcW w:w="992"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2013</w:t>
            </w:r>
          </w:p>
        </w:tc>
        <w:tc>
          <w:tcPr>
            <w:tcW w:w="992"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60</w:t>
            </w:r>
          </w:p>
        </w:tc>
        <w:tc>
          <w:tcPr>
            <w:tcW w:w="992"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Eurobaro</w:t>
            </w:r>
            <w:proofErr w:type="gramStart"/>
            <w:r w:rsidRPr="002C08FA">
              <w:rPr>
                <w:rFonts w:ascii="Times New Roman" w:eastAsia="AngsanaUPC" w:hAnsi="Times New Roman"/>
                <w:bCs/>
                <w:iCs/>
                <w:sz w:val="18"/>
                <w:szCs w:val="18"/>
                <w:lang w:eastAsia="lt-LT"/>
              </w:rPr>
              <w:t>-</w:t>
            </w:r>
            <w:proofErr w:type="gramEnd"/>
            <w:r w:rsidRPr="002C08FA">
              <w:rPr>
                <w:rFonts w:ascii="Times New Roman" w:eastAsia="AngsanaUPC" w:hAnsi="Times New Roman"/>
                <w:bCs/>
                <w:iCs/>
                <w:sz w:val="18"/>
                <w:szCs w:val="18"/>
                <w:lang w:eastAsia="lt-LT"/>
              </w:rPr>
              <w:t>metras</w:t>
            </w:r>
          </w:p>
        </w:tc>
        <w:tc>
          <w:tcPr>
            <w:tcW w:w="1241"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Du kartus per laikotarpį</w:t>
            </w:r>
          </w:p>
        </w:tc>
      </w:tr>
      <w:tr w:rsidR="00385835" w:rsidRPr="00385835" w:rsidTr="00E93C17">
        <w:tblPrEx>
          <w:shd w:val="clear" w:color="auto" w:fill="auto"/>
        </w:tblPrEx>
        <w:tc>
          <w:tcPr>
            <w:tcW w:w="567"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3.</w:t>
            </w:r>
          </w:p>
        </w:tc>
        <w:tc>
          <w:tcPr>
            <w:tcW w:w="1985" w:type="dxa"/>
            <w:shd w:val="clear" w:color="auto" w:fill="auto"/>
            <w:vAlign w:val="center"/>
          </w:tcPr>
          <w:p w:rsidR="00385835" w:rsidRPr="002C08FA" w:rsidRDefault="00385835" w:rsidP="002C74D2">
            <w:pPr>
              <w:widowControl w:val="0"/>
              <w:tabs>
                <w:tab w:val="left" w:pos="622"/>
              </w:tabs>
              <w:spacing w:after="0" w:line="240" w:lineRule="auto"/>
              <w:rPr>
                <w:rFonts w:ascii="Times New Roman" w:hAnsi="Times New Roman"/>
                <w:color w:val="000000"/>
                <w:sz w:val="18"/>
                <w:szCs w:val="18"/>
                <w:lang w:eastAsia="lt-LT"/>
              </w:rPr>
            </w:pPr>
            <w:r w:rsidRPr="002C08FA">
              <w:rPr>
                <w:rFonts w:ascii="Times New Roman" w:hAnsi="Times New Roman"/>
                <w:color w:val="000000"/>
                <w:sz w:val="18"/>
                <w:szCs w:val="18"/>
                <w:lang w:eastAsia="lt-LT"/>
              </w:rPr>
              <w:t>Turistų (užsienio ir vietos) skaičius prioritetiniuose turizmo plėtros regionuose</w:t>
            </w:r>
          </w:p>
        </w:tc>
        <w:tc>
          <w:tcPr>
            <w:tcW w:w="992"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sz w:val="18"/>
                <w:szCs w:val="18"/>
                <w:lang w:eastAsia="lt-LT"/>
              </w:rPr>
            </w:pPr>
            <w:r w:rsidRPr="002C08FA">
              <w:rPr>
                <w:rFonts w:ascii="Times New Roman" w:eastAsia="AngsanaUPC" w:hAnsi="Times New Roman"/>
                <w:bCs/>
                <w:sz w:val="18"/>
                <w:szCs w:val="18"/>
                <w:lang w:eastAsia="lt-LT"/>
              </w:rPr>
              <w:t>Skaičius</w:t>
            </w:r>
          </w:p>
        </w:tc>
        <w:tc>
          <w:tcPr>
            <w:tcW w:w="992"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sz w:val="18"/>
                <w:szCs w:val="18"/>
                <w:lang w:eastAsia="lt-LT"/>
              </w:rPr>
            </w:pPr>
            <w:r w:rsidRPr="002C08FA">
              <w:rPr>
                <w:rFonts w:ascii="Times New Roman" w:eastAsia="AngsanaUPC" w:hAnsi="Times New Roman"/>
                <w:bCs/>
                <w:sz w:val="18"/>
                <w:szCs w:val="18"/>
                <w:lang w:eastAsia="lt-LT"/>
              </w:rPr>
              <w:t>Mažiau išsivystęs</w:t>
            </w:r>
          </w:p>
        </w:tc>
        <w:tc>
          <w:tcPr>
            <w:tcW w:w="993" w:type="dxa"/>
            <w:shd w:val="clear" w:color="auto" w:fill="auto"/>
            <w:vAlign w:val="center"/>
          </w:tcPr>
          <w:p w:rsidR="00385835" w:rsidRPr="002C08FA" w:rsidRDefault="002C74D2" w:rsidP="00C76808">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1</w:t>
            </w:r>
            <w:r w:rsidR="00C76808" w:rsidRPr="002C08FA">
              <w:rPr>
                <w:rFonts w:ascii="Times New Roman" w:eastAsia="AngsanaUPC" w:hAnsi="Times New Roman"/>
                <w:bCs/>
                <w:iCs/>
                <w:sz w:val="18"/>
                <w:szCs w:val="18"/>
                <w:lang w:eastAsia="lt-LT"/>
              </w:rPr>
              <w:t>.</w:t>
            </w:r>
            <w:r w:rsidRPr="002C08FA">
              <w:rPr>
                <w:rFonts w:ascii="Times New Roman" w:eastAsia="AngsanaUPC" w:hAnsi="Times New Roman"/>
                <w:bCs/>
                <w:iCs/>
                <w:sz w:val="18"/>
                <w:szCs w:val="18"/>
                <w:lang w:eastAsia="lt-LT"/>
              </w:rPr>
              <w:t>818</w:t>
            </w:r>
            <w:r w:rsidR="00C76808" w:rsidRPr="002C08FA">
              <w:rPr>
                <w:rFonts w:ascii="Times New Roman" w:eastAsia="AngsanaUPC" w:hAnsi="Times New Roman"/>
                <w:bCs/>
                <w:iCs/>
                <w:sz w:val="18"/>
                <w:szCs w:val="18"/>
                <w:lang w:eastAsia="lt-LT"/>
              </w:rPr>
              <w:t>.</w:t>
            </w:r>
            <w:r w:rsidRPr="002C08FA">
              <w:rPr>
                <w:rFonts w:ascii="Times New Roman" w:eastAsia="AngsanaUPC" w:hAnsi="Times New Roman"/>
                <w:bCs/>
                <w:iCs/>
                <w:sz w:val="18"/>
                <w:szCs w:val="18"/>
                <w:lang w:eastAsia="lt-LT"/>
              </w:rPr>
              <w:t>584</w:t>
            </w:r>
          </w:p>
        </w:tc>
        <w:tc>
          <w:tcPr>
            <w:tcW w:w="992"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2012</w:t>
            </w:r>
          </w:p>
        </w:tc>
        <w:tc>
          <w:tcPr>
            <w:tcW w:w="992" w:type="dxa"/>
            <w:shd w:val="clear" w:color="auto" w:fill="auto"/>
            <w:vAlign w:val="center"/>
          </w:tcPr>
          <w:p w:rsidR="00385835" w:rsidRPr="002C08FA" w:rsidRDefault="002C74D2" w:rsidP="002C74D2">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3</w:t>
            </w:r>
            <w:r w:rsidR="00C76808" w:rsidRPr="002C08FA">
              <w:rPr>
                <w:rFonts w:ascii="Times New Roman" w:eastAsia="AngsanaUPC" w:hAnsi="Times New Roman"/>
                <w:bCs/>
                <w:iCs/>
                <w:sz w:val="18"/>
                <w:szCs w:val="18"/>
                <w:lang w:eastAsia="lt-LT"/>
              </w:rPr>
              <w:t>.</w:t>
            </w:r>
            <w:r w:rsidRPr="002C08FA">
              <w:rPr>
                <w:rFonts w:ascii="Times New Roman" w:eastAsia="AngsanaUPC" w:hAnsi="Times New Roman"/>
                <w:bCs/>
                <w:iCs/>
                <w:sz w:val="18"/>
                <w:szCs w:val="18"/>
                <w:lang w:eastAsia="lt-LT"/>
              </w:rPr>
              <w:t>716</w:t>
            </w:r>
            <w:r w:rsidR="00C76808" w:rsidRPr="002C08FA">
              <w:rPr>
                <w:rFonts w:ascii="Times New Roman" w:eastAsia="AngsanaUPC" w:hAnsi="Times New Roman"/>
                <w:bCs/>
                <w:iCs/>
                <w:sz w:val="18"/>
                <w:szCs w:val="18"/>
                <w:lang w:eastAsia="lt-LT"/>
              </w:rPr>
              <w:t>.</w:t>
            </w:r>
            <w:r w:rsidRPr="002C08FA">
              <w:rPr>
                <w:rFonts w:ascii="Times New Roman" w:eastAsia="AngsanaUPC" w:hAnsi="Times New Roman"/>
                <w:bCs/>
                <w:iCs/>
                <w:sz w:val="18"/>
                <w:szCs w:val="18"/>
                <w:lang w:eastAsia="lt-LT"/>
              </w:rPr>
              <w:t>859</w:t>
            </w:r>
          </w:p>
        </w:tc>
        <w:tc>
          <w:tcPr>
            <w:tcW w:w="992"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Lietuvos statistikos departamentas</w:t>
            </w:r>
          </w:p>
        </w:tc>
        <w:tc>
          <w:tcPr>
            <w:tcW w:w="1241"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Kartą per metus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385835" w:rsidRPr="00385835" w:rsidTr="00385835">
        <w:tc>
          <w:tcPr>
            <w:tcW w:w="9746" w:type="dxa"/>
            <w:tcBorders>
              <w:top w:val="single" w:sz="4" w:space="0" w:color="auto"/>
              <w:left w:val="single" w:sz="4" w:space="0" w:color="auto"/>
              <w:bottom w:val="single" w:sz="4" w:space="0" w:color="auto"/>
              <w:right w:val="single" w:sz="4" w:space="0" w:color="auto"/>
            </w:tcBorders>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Cs/>
                <w:iCs/>
                <w:sz w:val="24"/>
                <w:szCs w:val="24"/>
                <w:lang w:eastAsia="lt-LT"/>
              </w:rPr>
            </w:pPr>
            <w:r w:rsidRPr="00385835">
              <w:rPr>
                <w:rFonts w:ascii="Times New Roman" w:eastAsia="AngsanaUPC" w:hAnsi="Times New Roman"/>
                <w:b/>
                <w:bCs/>
                <w:i/>
                <w:iCs/>
                <w:sz w:val="24"/>
                <w:szCs w:val="24"/>
                <w:lang w:eastAsia="lt-LT"/>
              </w:rPr>
              <w:t>5.4. Investicinio prioriteto įgyvendinimo veiklos</w:t>
            </w:r>
          </w:p>
        </w:tc>
      </w:tr>
      <w:tr w:rsidR="00385835" w:rsidRPr="00385835" w:rsidTr="00385835">
        <w:tc>
          <w:tcPr>
            <w:tcW w:w="9746" w:type="dxa"/>
            <w:shd w:val="clear" w:color="auto" w:fill="auto"/>
          </w:tcPr>
          <w:p w:rsidR="00385835" w:rsidRPr="00385835" w:rsidRDefault="00385835" w:rsidP="00650E41">
            <w:pPr>
              <w:widowControl w:val="0"/>
              <w:numPr>
                <w:ilvl w:val="0"/>
                <w:numId w:val="13"/>
              </w:numPr>
              <w:tabs>
                <w:tab w:val="left" w:pos="459"/>
                <w:tab w:val="left" w:pos="1701"/>
              </w:tabs>
              <w:spacing w:after="0" w:line="240" w:lineRule="auto"/>
              <w:ind w:left="34"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Saugomų teritorijų tvarkymas, pritaikymas lankymui ir propagavimas. Numatoma skirti paramą saugomų teritorijų ir jose esančių kultūros ir gamtos paveldo objektų tvarkymui, pažinimui ir jų apsaugai reikalingų lauko informacinių sistemų įrengimui, lankytojų centrų, gamtos mokyklų – edukacinių centrų su vidaus ir išorės ekspozicijomis įrengimui, taip pat saugomų teritorijų lankymo ir poilsio infrastruktūros plėtrai bei rinkodarai, siekiant sudaryti galimybę visuomenei pasiekti visus svarbiausius išskirtinę vertę formuojančius gamtos objektus, juos pažinti ir atsakingai leisti laiką gamtoje.</w:t>
            </w:r>
          </w:p>
          <w:p w:rsidR="00385835" w:rsidRPr="00385835" w:rsidRDefault="00385835" w:rsidP="00650E41">
            <w:pPr>
              <w:widowControl w:val="0"/>
              <w:numPr>
                <w:ilvl w:val="0"/>
                <w:numId w:val="13"/>
              </w:numPr>
              <w:tabs>
                <w:tab w:val="left" w:pos="459"/>
                <w:tab w:val="left" w:pos="1701"/>
              </w:tabs>
              <w:spacing w:after="0" w:line="240" w:lineRule="auto"/>
              <w:ind w:left="34"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Visuomenės informavimas apie aplinką ir aplinkosauginių</w:t>
            </w:r>
            <w:proofErr w:type="gramStart"/>
            <w:r w:rsidRPr="00385835">
              <w:rPr>
                <w:rFonts w:ascii="Times New Roman" w:eastAsia="AngsanaUPC" w:hAnsi="Times New Roman"/>
                <w:bCs/>
                <w:iCs/>
                <w:sz w:val="24"/>
                <w:szCs w:val="24"/>
                <w:lang w:eastAsia="lt-LT"/>
              </w:rPr>
              <w:t>-</w:t>
            </w:r>
            <w:proofErr w:type="gramEnd"/>
            <w:r w:rsidRPr="00385835">
              <w:rPr>
                <w:rFonts w:ascii="Times New Roman" w:eastAsia="AngsanaUPC" w:hAnsi="Times New Roman"/>
                <w:bCs/>
                <w:iCs/>
                <w:sz w:val="24"/>
                <w:szCs w:val="24"/>
                <w:lang w:eastAsia="lt-LT"/>
              </w:rPr>
              <w:t>rekreacinių objektų infrastruktūros tobulinimas. Siekiant didinti visuomenės aplinkosauginį sąmoningumą ir informuotumą apie aplinką, keisti ir ugdyti visuomenės mąstymą ir vartojimo kultūrą, skatinančią tausiai naudoti išteklius, numatoma finansuoti visuomenės informavimo, edukacines ir švietimo įvairiais aplinkos klausimais priemones. Taip pat numatomas valstybinės reikšmės parkų (kaip kultūr</w:t>
            </w:r>
            <w:r w:rsidR="006C16A8">
              <w:rPr>
                <w:rFonts w:ascii="Times New Roman" w:eastAsia="AngsanaUPC" w:hAnsi="Times New Roman"/>
                <w:bCs/>
                <w:iCs/>
                <w:sz w:val="24"/>
                <w:szCs w:val="24"/>
                <w:lang w:eastAsia="lt-LT"/>
              </w:rPr>
              <w:t>os vertybių), aplinkosauginių</w:t>
            </w:r>
            <w:proofErr w:type="gramStart"/>
            <w:r w:rsidR="006C16A8">
              <w:rPr>
                <w:rFonts w:ascii="Times New Roman" w:eastAsia="AngsanaUPC" w:hAnsi="Times New Roman"/>
                <w:bCs/>
                <w:iCs/>
                <w:sz w:val="24"/>
                <w:szCs w:val="24"/>
                <w:lang w:eastAsia="lt-LT"/>
              </w:rPr>
              <w:t>-</w:t>
            </w:r>
            <w:proofErr w:type="gramEnd"/>
            <w:r w:rsidRPr="00385835">
              <w:rPr>
                <w:rFonts w:ascii="Times New Roman" w:eastAsia="AngsanaUPC" w:hAnsi="Times New Roman"/>
                <w:bCs/>
                <w:iCs/>
                <w:sz w:val="24"/>
                <w:szCs w:val="24"/>
                <w:lang w:eastAsia="lt-LT"/>
              </w:rPr>
              <w:t>rekreacinių objektų modernizavimas, didinant jų patrauklumą, lankomumą ir šviečiamąjį/edukacinį poveikį, kas taip pat iš dalies prisidės prie regionų ekonominės plėtros ir/ar integruotų regiono investicijų planų įgyvendinimo.</w:t>
            </w:r>
          </w:p>
          <w:p w:rsidR="00385835" w:rsidRPr="00385835" w:rsidRDefault="00385835" w:rsidP="00650E41">
            <w:pPr>
              <w:widowControl w:val="0"/>
              <w:numPr>
                <w:ilvl w:val="0"/>
                <w:numId w:val="13"/>
              </w:numPr>
              <w:tabs>
                <w:tab w:val="left" w:pos="459"/>
                <w:tab w:val="left" w:pos="1701"/>
              </w:tabs>
              <w:spacing w:after="0" w:line="240" w:lineRule="auto"/>
              <w:ind w:left="34"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Bus vykdomas kultūros paveldo objektų kompleksiškas sutvarkymas ir pritaikymas kultūros, edukacinėms, ekonominėms ir socialinėms reikmėms, inovatyviai panaudojant jų socialinį ir ekonominį potencialą. Pritaikius pastatus naudojimui bus padidintas jų patrauklumas ir ekonominis gyvybingumas. Koordinuojant šias investicijas su regioninės plėtros, o ypač – ITI strategijomis, bus užtikrintas jų kompleksiškumas ir papildomumas.</w:t>
            </w:r>
          </w:p>
          <w:p w:rsidR="00385835" w:rsidRPr="00385835" w:rsidRDefault="00385835" w:rsidP="00650E41">
            <w:pPr>
              <w:widowControl w:val="0"/>
              <w:numPr>
                <w:ilvl w:val="0"/>
                <w:numId w:val="13"/>
              </w:numPr>
              <w:tabs>
                <w:tab w:val="left" w:pos="459"/>
                <w:tab w:val="left" w:pos="1701"/>
              </w:tabs>
              <w:spacing w:after="0" w:line="240" w:lineRule="auto"/>
              <w:ind w:left="34"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Numatoma finansuoti prioritetinių turizmo plėtros regionų, produktų ir trasų rinkodaros veiklas (prioritetiniai turizmo plėtros regionai išskirti Lietuvos turizmo plėtros 2014–2020 metų programoje, atsižvelgiant į Ūkio ministerijos užsakymu atliktą Europos Sąjungos paramos poveikio Lietuvos turizmo sektoriui ir plėtros galimybių vertinimą (2013 m.): Vilniaus regionas, Pajūrio regionas, Nemuno žemupio regionas, Pietų Dzūkijos regionas, Rytų Aukštaitijos regionas, Žemaitijos aukštumų regionas). Rinkodaros veiklų efektyvumui užtikrinti bus finansuojamos turizmo įvaizdžio ir įgyvendinamų rinkodaros priemonių efektyvumo tyrimai. Taip pat planuojama sukurti turizmo objektų, maršrutų ir trasų ž</w:t>
            </w:r>
            <w:r w:rsidR="006C16A8">
              <w:rPr>
                <w:rFonts w:ascii="Times New Roman" w:eastAsia="AngsanaUPC" w:hAnsi="Times New Roman"/>
                <w:bCs/>
                <w:iCs/>
                <w:sz w:val="24"/>
                <w:szCs w:val="24"/>
                <w:lang w:eastAsia="lt-LT"/>
              </w:rPr>
              <w:t>enklinimo sistemą (informaciniu stendus, ženklus, užrašus, nuoroda</w:t>
            </w:r>
            <w:r w:rsidRPr="00385835">
              <w:rPr>
                <w:rFonts w:ascii="Times New Roman" w:eastAsia="AngsanaUPC" w:hAnsi="Times New Roman"/>
                <w:bCs/>
                <w:iCs/>
                <w:sz w:val="24"/>
                <w:szCs w:val="24"/>
                <w:lang w:eastAsia="lt-LT"/>
              </w:rPr>
              <w:t xml:space="preserve">s ir kt.), </w:t>
            </w:r>
            <w:r w:rsidR="006C16A8">
              <w:rPr>
                <w:rFonts w:ascii="Times New Roman" w:eastAsia="AngsanaUPC" w:hAnsi="Times New Roman"/>
                <w:bCs/>
                <w:iCs/>
                <w:sz w:val="24"/>
                <w:szCs w:val="24"/>
                <w:lang w:eastAsia="lt-LT"/>
              </w:rPr>
              <w:t>dėl kurių</w:t>
            </w:r>
            <w:r w:rsidRPr="00385835">
              <w:rPr>
                <w:rFonts w:ascii="Times New Roman" w:eastAsia="AngsanaUPC" w:hAnsi="Times New Roman"/>
                <w:bCs/>
                <w:iCs/>
                <w:sz w:val="24"/>
                <w:szCs w:val="24"/>
                <w:lang w:eastAsia="lt-LT"/>
              </w:rPr>
              <w:t xml:space="preserve"> bus sudarytos sąlygos turistams ir lankytojams lengvai orientuotis ir gauti visą reikalingą informaciją, susijusią su turizmo ištekliais. Informacinė infrastruktūra bus plėtojama</w:t>
            </w:r>
            <w:r w:rsidR="006C16A8">
              <w:rPr>
                <w:rFonts w:ascii="Times New Roman" w:eastAsia="AngsanaUPC" w:hAnsi="Times New Roman"/>
                <w:bCs/>
                <w:iCs/>
                <w:sz w:val="24"/>
                <w:szCs w:val="24"/>
                <w:lang w:eastAsia="lt-LT"/>
              </w:rPr>
              <w:t>,</w:t>
            </w:r>
            <w:r w:rsidRPr="00385835">
              <w:rPr>
                <w:rFonts w:ascii="Times New Roman" w:eastAsia="AngsanaUPC" w:hAnsi="Times New Roman"/>
                <w:bCs/>
                <w:iCs/>
                <w:sz w:val="24"/>
                <w:szCs w:val="24"/>
                <w:lang w:eastAsia="lt-LT"/>
              </w:rPr>
              <w:t xml:space="preserve"> išnaudojant regioninio bendradarbiavimo galimybes ir įgyvendinant darnios turizmo plėtros principus.</w:t>
            </w:r>
          </w:p>
        </w:tc>
      </w:tr>
    </w:tbl>
    <w:p w:rsidR="00E93C17" w:rsidRPr="00385835" w:rsidRDefault="00E93C17"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567"/>
        <w:gridCol w:w="2694"/>
        <w:gridCol w:w="1275"/>
        <w:gridCol w:w="851"/>
        <w:gridCol w:w="1134"/>
        <w:gridCol w:w="954"/>
        <w:gridCol w:w="1030"/>
        <w:gridCol w:w="1241"/>
      </w:tblGrid>
      <w:tr w:rsidR="00385835" w:rsidRPr="00385835" w:rsidTr="000E17D9">
        <w:trPr>
          <w:tblHeader/>
        </w:trPr>
        <w:tc>
          <w:tcPr>
            <w:tcW w:w="9746" w:type="dxa"/>
            <w:gridSpan w:val="8"/>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i/>
                <w:iCs/>
                <w:sz w:val="24"/>
                <w:szCs w:val="24"/>
                <w:lang w:eastAsia="lt-LT"/>
              </w:rPr>
            </w:pPr>
            <w:r w:rsidRPr="00385835">
              <w:rPr>
                <w:rFonts w:ascii="Times New Roman" w:eastAsia="AngsanaUPC" w:hAnsi="Times New Roman"/>
                <w:b/>
                <w:bCs/>
                <w:i/>
                <w:iCs/>
                <w:sz w:val="24"/>
                <w:szCs w:val="24"/>
                <w:lang w:eastAsia="lt-LT"/>
              </w:rPr>
              <w:t xml:space="preserve">ERPF bendrieji ir </w:t>
            </w:r>
            <w:r w:rsidR="00B1109C">
              <w:rPr>
                <w:rFonts w:ascii="Times New Roman" w:eastAsia="AngsanaUPC" w:hAnsi="Times New Roman"/>
                <w:b/>
                <w:bCs/>
                <w:i/>
                <w:iCs/>
                <w:sz w:val="24"/>
                <w:szCs w:val="24"/>
                <w:lang w:eastAsia="lt-LT"/>
              </w:rPr>
              <w:t xml:space="preserve">specialieji programos </w:t>
            </w:r>
            <w:r w:rsidRPr="00385835">
              <w:rPr>
                <w:rFonts w:ascii="Times New Roman" w:eastAsia="AngsanaUPC" w:hAnsi="Times New Roman"/>
                <w:b/>
                <w:bCs/>
                <w:i/>
                <w:iCs/>
                <w:sz w:val="24"/>
                <w:szCs w:val="24"/>
                <w:lang w:eastAsia="lt-LT"/>
              </w:rPr>
              <w:t xml:space="preserve">produkto rodikliai </w:t>
            </w:r>
          </w:p>
        </w:tc>
      </w:tr>
      <w:tr w:rsidR="00385835" w:rsidRPr="00385835" w:rsidTr="002C74D2">
        <w:tblPrEx>
          <w:shd w:val="clear" w:color="auto" w:fill="auto"/>
        </w:tblPrEx>
        <w:trPr>
          <w:tblHeader/>
        </w:trPr>
        <w:tc>
          <w:tcPr>
            <w:tcW w:w="567"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Nr.</w:t>
            </w:r>
          </w:p>
        </w:tc>
        <w:tc>
          <w:tcPr>
            <w:tcW w:w="269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Rodiklio pavadinimas</w:t>
            </w:r>
          </w:p>
        </w:tc>
        <w:tc>
          <w:tcPr>
            <w:tcW w:w="1275"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Matavimo vienetas</w:t>
            </w:r>
          </w:p>
        </w:tc>
        <w:tc>
          <w:tcPr>
            <w:tcW w:w="85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Fondas</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Regiono kategorija</w:t>
            </w:r>
          </w:p>
        </w:tc>
        <w:tc>
          <w:tcPr>
            <w:tcW w:w="95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Siektina reikšmė (2023)</w:t>
            </w:r>
          </w:p>
        </w:tc>
        <w:tc>
          <w:tcPr>
            <w:tcW w:w="1030"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Duomenų šaltinis</w:t>
            </w:r>
          </w:p>
        </w:tc>
        <w:tc>
          <w:tcPr>
            <w:tcW w:w="124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Atsiskaitymo dažnumas</w:t>
            </w:r>
          </w:p>
        </w:tc>
      </w:tr>
      <w:tr w:rsidR="00385835" w:rsidRPr="00385835" w:rsidTr="002C74D2">
        <w:tblPrEx>
          <w:shd w:val="clear" w:color="auto" w:fill="auto"/>
        </w:tblPrEx>
        <w:tc>
          <w:tcPr>
            <w:tcW w:w="567"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1.</w:t>
            </w:r>
          </w:p>
        </w:tc>
        <w:tc>
          <w:tcPr>
            <w:tcW w:w="2694" w:type="dxa"/>
            <w:shd w:val="clear" w:color="auto" w:fill="auto"/>
            <w:vAlign w:val="center"/>
          </w:tcPr>
          <w:p w:rsidR="00385835" w:rsidRPr="002C08FA" w:rsidRDefault="00385835" w:rsidP="00385835">
            <w:pPr>
              <w:widowControl w:val="0"/>
              <w:tabs>
                <w:tab w:val="left" w:pos="622"/>
              </w:tabs>
              <w:spacing w:after="0" w:line="240" w:lineRule="auto"/>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 xml:space="preserve">Numatomo apsilankymų remiamuose kultūros ir gamtos </w:t>
            </w:r>
            <w:r w:rsidRPr="002C08FA">
              <w:rPr>
                <w:rFonts w:ascii="Times New Roman" w:eastAsia="AngsanaUPC" w:hAnsi="Times New Roman"/>
                <w:bCs/>
                <w:iCs/>
                <w:sz w:val="18"/>
                <w:szCs w:val="18"/>
                <w:lang w:eastAsia="lt-LT"/>
              </w:rPr>
              <w:lastRenderedPageBreak/>
              <w:t>paveldo objektuose bei turistų traukos vietose skaičiaus padidėjimas</w:t>
            </w:r>
          </w:p>
        </w:tc>
        <w:tc>
          <w:tcPr>
            <w:tcW w:w="1275"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lastRenderedPageBreak/>
              <w:t xml:space="preserve">Apsilankymai per metus </w:t>
            </w:r>
          </w:p>
        </w:tc>
        <w:tc>
          <w:tcPr>
            <w:tcW w:w="851"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ERPF</w:t>
            </w:r>
          </w:p>
        </w:tc>
        <w:tc>
          <w:tcPr>
            <w:tcW w:w="1134"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Mažiau išsivystęs</w:t>
            </w:r>
          </w:p>
        </w:tc>
        <w:tc>
          <w:tcPr>
            <w:tcW w:w="954" w:type="dxa"/>
            <w:shd w:val="clear" w:color="auto" w:fill="auto"/>
            <w:vAlign w:val="center"/>
          </w:tcPr>
          <w:p w:rsidR="00385835" w:rsidRPr="002C08FA" w:rsidRDefault="002C74D2" w:rsidP="00C76808">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1.150</w:t>
            </w:r>
            <w:r w:rsidR="00C76808" w:rsidRPr="002C08FA">
              <w:rPr>
                <w:rFonts w:ascii="Times New Roman" w:eastAsia="AngsanaUPC" w:hAnsi="Times New Roman"/>
                <w:bCs/>
                <w:iCs/>
                <w:sz w:val="18"/>
                <w:szCs w:val="18"/>
                <w:lang w:eastAsia="lt-LT"/>
              </w:rPr>
              <w:t>.</w:t>
            </w:r>
            <w:r w:rsidR="00385835" w:rsidRPr="002C08FA">
              <w:rPr>
                <w:rFonts w:ascii="Times New Roman" w:eastAsia="AngsanaUPC" w:hAnsi="Times New Roman"/>
                <w:bCs/>
                <w:iCs/>
                <w:sz w:val="18"/>
                <w:szCs w:val="18"/>
                <w:lang w:eastAsia="lt-LT"/>
              </w:rPr>
              <w:t>000</w:t>
            </w:r>
          </w:p>
        </w:tc>
        <w:tc>
          <w:tcPr>
            <w:tcW w:w="1030"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20"/>
                <w:lang w:eastAsia="lt-LT"/>
              </w:rPr>
              <w:t>Duomenys iš projektų</w:t>
            </w:r>
          </w:p>
        </w:tc>
        <w:tc>
          <w:tcPr>
            <w:tcW w:w="1241"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Kartą per metus</w:t>
            </w:r>
          </w:p>
        </w:tc>
      </w:tr>
      <w:tr w:rsidR="00385835" w:rsidRPr="00385835" w:rsidTr="002C74D2">
        <w:tblPrEx>
          <w:shd w:val="clear" w:color="auto" w:fill="auto"/>
        </w:tblPrEx>
        <w:tc>
          <w:tcPr>
            <w:tcW w:w="567"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lastRenderedPageBreak/>
              <w:t>2.</w:t>
            </w:r>
          </w:p>
        </w:tc>
        <w:tc>
          <w:tcPr>
            <w:tcW w:w="2694" w:type="dxa"/>
            <w:shd w:val="clear" w:color="auto" w:fill="auto"/>
            <w:vAlign w:val="center"/>
          </w:tcPr>
          <w:p w:rsidR="00385835" w:rsidRPr="002C08FA" w:rsidRDefault="00385835" w:rsidP="00385835">
            <w:pPr>
              <w:widowControl w:val="0"/>
              <w:tabs>
                <w:tab w:val="left" w:pos="622"/>
              </w:tabs>
              <w:spacing w:after="0" w:line="240" w:lineRule="auto"/>
              <w:rPr>
                <w:rFonts w:ascii="Times New Roman" w:eastAsia="AngsanaUPC" w:hAnsi="Times New Roman"/>
                <w:bCs/>
                <w:iCs/>
                <w:sz w:val="18"/>
                <w:szCs w:val="18"/>
                <w:lang w:eastAsia="lt-LT"/>
              </w:rPr>
            </w:pPr>
            <w:r w:rsidRPr="002C08FA">
              <w:rPr>
                <w:rFonts w:ascii="Times New Roman" w:hAnsi="Times New Roman"/>
                <w:sz w:val="18"/>
                <w:szCs w:val="18"/>
              </w:rPr>
              <w:t xml:space="preserve">Sutvarkyti, įrengti ir pritaikyti lankymui gamtos ir kultūros paveldo objektai ir teritorijos </w:t>
            </w:r>
          </w:p>
        </w:tc>
        <w:tc>
          <w:tcPr>
            <w:tcW w:w="1275" w:type="dxa"/>
            <w:shd w:val="clear" w:color="auto" w:fill="auto"/>
            <w:vAlign w:val="center"/>
          </w:tcPr>
          <w:p w:rsidR="00385835" w:rsidRPr="002C08FA" w:rsidRDefault="002C74D2"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Vienetai</w:t>
            </w:r>
          </w:p>
        </w:tc>
        <w:tc>
          <w:tcPr>
            <w:tcW w:w="851"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ERPF</w:t>
            </w:r>
          </w:p>
        </w:tc>
        <w:tc>
          <w:tcPr>
            <w:tcW w:w="1134"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Mažiau išsivystęs</w:t>
            </w:r>
          </w:p>
        </w:tc>
        <w:tc>
          <w:tcPr>
            <w:tcW w:w="954" w:type="dxa"/>
            <w:shd w:val="clear" w:color="auto" w:fill="auto"/>
            <w:vAlign w:val="center"/>
          </w:tcPr>
          <w:p w:rsidR="00385835" w:rsidRPr="002C08FA" w:rsidRDefault="002C74D2"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1</w:t>
            </w:r>
            <w:r w:rsidR="00BE2E68" w:rsidRPr="002C08FA">
              <w:rPr>
                <w:rFonts w:ascii="Times New Roman" w:eastAsia="AngsanaUPC" w:hAnsi="Times New Roman"/>
                <w:bCs/>
                <w:iCs/>
                <w:sz w:val="18"/>
                <w:szCs w:val="18"/>
                <w:lang w:eastAsia="lt-LT"/>
              </w:rPr>
              <w:t>77</w:t>
            </w:r>
          </w:p>
        </w:tc>
        <w:tc>
          <w:tcPr>
            <w:tcW w:w="1030"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iCs/>
                <w:sz w:val="18"/>
                <w:szCs w:val="20"/>
                <w:lang w:eastAsia="lt-LT"/>
              </w:rPr>
            </w:pPr>
            <w:r w:rsidRPr="002C08FA">
              <w:rPr>
                <w:rFonts w:ascii="Times New Roman" w:eastAsia="AngsanaUPC" w:hAnsi="Times New Roman"/>
                <w:bCs/>
                <w:iCs/>
                <w:sz w:val="18"/>
                <w:szCs w:val="20"/>
                <w:lang w:eastAsia="lt-LT"/>
              </w:rPr>
              <w:t>Duomenys iš projektų</w:t>
            </w:r>
          </w:p>
        </w:tc>
        <w:tc>
          <w:tcPr>
            <w:tcW w:w="1241"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Kartą per metus</w:t>
            </w:r>
          </w:p>
        </w:tc>
      </w:tr>
      <w:tr w:rsidR="00385835" w:rsidRPr="00385835" w:rsidTr="002C74D2">
        <w:tblPrEx>
          <w:shd w:val="clear" w:color="auto" w:fill="auto"/>
        </w:tblPrEx>
        <w:tc>
          <w:tcPr>
            <w:tcW w:w="567"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3.</w:t>
            </w:r>
          </w:p>
        </w:tc>
        <w:tc>
          <w:tcPr>
            <w:tcW w:w="2694" w:type="dxa"/>
            <w:shd w:val="clear" w:color="auto" w:fill="auto"/>
            <w:vAlign w:val="center"/>
          </w:tcPr>
          <w:p w:rsidR="00385835" w:rsidRPr="002C08FA" w:rsidRDefault="00385835" w:rsidP="00385835">
            <w:pPr>
              <w:widowControl w:val="0"/>
              <w:tabs>
                <w:tab w:val="left" w:pos="622"/>
              </w:tabs>
              <w:spacing w:after="0" w:line="240" w:lineRule="auto"/>
              <w:rPr>
                <w:rFonts w:ascii="Times New Roman" w:hAnsi="Times New Roman"/>
                <w:sz w:val="18"/>
                <w:szCs w:val="18"/>
              </w:rPr>
            </w:pPr>
            <w:r w:rsidRPr="002C08FA">
              <w:rPr>
                <w:rFonts w:ascii="Times New Roman" w:hAnsi="Times New Roman"/>
                <w:sz w:val="18"/>
                <w:szCs w:val="18"/>
              </w:rPr>
              <w:t xml:space="preserve">Įgyvendintos visuomenės informavimo apie aplinką priemonės </w:t>
            </w:r>
          </w:p>
        </w:tc>
        <w:tc>
          <w:tcPr>
            <w:tcW w:w="1275"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Skaičius</w:t>
            </w:r>
          </w:p>
        </w:tc>
        <w:tc>
          <w:tcPr>
            <w:tcW w:w="851"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ERPF</w:t>
            </w:r>
          </w:p>
        </w:tc>
        <w:tc>
          <w:tcPr>
            <w:tcW w:w="1134"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Mažiau išsivystęs</w:t>
            </w:r>
          </w:p>
        </w:tc>
        <w:tc>
          <w:tcPr>
            <w:tcW w:w="954"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25</w:t>
            </w:r>
          </w:p>
        </w:tc>
        <w:tc>
          <w:tcPr>
            <w:tcW w:w="1030"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Duomenys iš projektų</w:t>
            </w:r>
          </w:p>
        </w:tc>
        <w:tc>
          <w:tcPr>
            <w:tcW w:w="1241"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Kartą per metus</w:t>
            </w:r>
          </w:p>
        </w:tc>
      </w:tr>
      <w:tr w:rsidR="00385835" w:rsidRPr="00385835" w:rsidTr="002C74D2">
        <w:tblPrEx>
          <w:shd w:val="clear" w:color="auto" w:fill="auto"/>
        </w:tblPrEx>
        <w:tc>
          <w:tcPr>
            <w:tcW w:w="56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4.</w:t>
            </w:r>
          </w:p>
        </w:tc>
        <w:tc>
          <w:tcPr>
            <w:tcW w:w="2694" w:type="dxa"/>
            <w:shd w:val="clear" w:color="auto" w:fill="auto"/>
            <w:vAlign w:val="center"/>
          </w:tcPr>
          <w:p w:rsidR="00385835" w:rsidRPr="00385835" w:rsidRDefault="00385835" w:rsidP="00385835">
            <w:pPr>
              <w:widowControl w:val="0"/>
              <w:tabs>
                <w:tab w:val="left" w:pos="622"/>
              </w:tabs>
              <w:spacing w:after="0" w:line="240" w:lineRule="auto"/>
              <w:rPr>
                <w:rFonts w:ascii="Times New Roman" w:hAnsi="Times New Roman"/>
                <w:sz w:val="18"/>
                <w:szCs w:val="18"/>
              </w:rPr>
            </w:pPr>
            <w:r w:rsidRPr="00385835">
              <w:rPr>
                <w:rFonts w:ascii="Times New Roman" w:hAnsi="Times New Roman"/>
                <w:sz w:val="18"/>
                <w:szCs w:val="18"/>
              </w:rPr>
              <w:t>Įgyvendintos turizmo rinkodaros priemonės</w:t>
            </w:r>
          </w:p>
        </w:tc>
        <w:tc>
          <w:tcPr>
            <w:tcW w:w="1275"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Skaičius</w:t>
            </w:r>
          </w:p>
        </w:tc>
        <w:tc>
          <w:tcPr>
            <w:tcW w:w="85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ERPF</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Mažiau išsivystęs</w:t>
            </w:r>
          </w:p>
        </w:tc>
        <w:tc>
          <w:tcPr>
            <w:tcW w:w="95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560</w:t>
            </w:r>
          </w:p>
        </w:tc>
        <w:tc>
          <w:tcPr>
            <w:tcW w:w="1030"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Duomenys iš projektų</w:t>
            </w:r>
          </w:p>
        </w:tc>
        <w:tc>
          <w:tcPr>
            <w:tcW w:w="124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bl>
    <w:p w:rsidR="00FD321A" w:rsidRDefault="00FD321A" w:rsidP="00385835">
      <w:pPr>
        <w:spacing w:after="0" w:line="240" w:lineRule="auto"/>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746"/>
      </w:tblGrid>
      <w:tr w:rsidR="00715EE1" w:rsidRPr="00715EE1" w:rsidTr="00AA51F3">
        <w:tc>
          <w:tcPr>
            <w:tcW w:w="9746" w:type="dxa"/>
            <w:shd w:val="clear" w:color="auto" w:fill="EEECE1"/>
          </w:tcPr>
          <w:p w:rsidR="00715EE1" w:rsidRPr="00715EE1" w:rsidRDefault="00715EE1" w:rsidP="00715EE1">
            <w:pPr>
              <w:spacing w:after="0" w:line="240" w:lineRule="auto"/>
              <w:rPr>
                <w:rFonts w:ascii="Times New Roman" w:hAnsi="Times New Roman"/>
                <w:b/>
                <w:bCs/>
                <w:sz w:val="24"/>
                <w:szCs w:val="24"/>
              </w:rPr>
            </w:pPr>
            <w:r w:rsidRPr="00715EE1">
              <w:rPr>
                <w:rFonts w:ascii="Times New Roman" w:hAnsi="Times New Roman"/>
                <w:b/>
                <w:bCs/>
                <w:i/>
                <w:iCs/>
                <w:sz w:val="24"/>
                <w:szCs w:val="24"/>
              </w:rPr>
              <w:t>Didelės apimties projektai</w:t>
            </w:r>
          </w:p>
        </w:tc>
      </w:tr>
      <w:tr w:rsidR="00715EE1" w:rsidRPr="00715EE1" w:rsidTr="00AA51F3">
        <w:tc>
          <w:tcPr>
            <w:tcW w:w="9746" w:type="dxa"/>
            <w:shd w:val="clear" w:color="auto" w:fill="auto"/>
          </w:tcPr>
          <w:p w:rsidR="00715EE1" w:rsidRPr="00715EE1" w:rsidRDefault="00715EE1" w:rsidP="00715EE1">
            <w:pPr>
              <w:spacing w:after="0" w:line="240" w:lineRule="auto"/>
              <w:rPr>
                <w:rFonts w:ascii="Times New Roman" w:hAnsi="Times New Roman"/>
                <w:bCs/>
                <w:iCs/>
                <w:sz w:val="24"/>
                <w:szCs w:val="24"/>
              </w:rPr>
            </w:pPr>
            <w:r w:rsidRPr="00715EE1">
              <w:rPr>
                <w:rFonts w:ascii="Times New Roman" w:hAnsi="Times New Roman"/>
                <w:bCs/>
                <w:iCs/>
                <w:sz w:val="24"/>
                <w:szCs w:val="24"/>
              </w:rPr>
              <w:t>Pagal šį investicinį prioritetą didelės apimties projektų vykdyti nenumatoma.</w:t>
            </w:r>
          </w:p>
        </w:tc>
      </w:tr>
    </w:tbl>
    <w:p w:rsidR="00AC10CD" w:rsidRPr="00385835" w:rsidRDefault="00AC10CD" w:rsidP="00385835">
      <w:pPr>
        <w:spacing w:after="0" w:line="240" w:lineRule="auto"/>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vAlign w:val="center"/>
          </w:tcPr>
          <w:p w:rsidR="00385835" w:rsidRPr="00385835" w:rsidRDefault="00385835" w:rsidP="00385835">
            <w:pPr>
              <w:widowControl w:val="0"/>
              <w:tabs>
                <w:tab w:val="left" w:pos="622"/>
              </w:tabs>
              <w:spacing w:after="0" w:line="240" w:lineRule="auto"/>
              <w:rPr>
                <w:rFonts w:ascii="Times New Roman" w:eastAsia="AngsanaUPC" w:hAnsi="Times New Roman"/>
                <w:b/>
                <w:bCs/>
                <w:iCs/>
                <w:sz w:val="24"/>
                <w:szCs w:val="24"/>
                <w:lang w:eastAsia="lt-LT"/>
              </w:rPr>
            </w:pPr>
            <w:r w:rsidRPr="00385835">
              <w:rPr>
                <w:rFonts w:ascii="Times New Roman" w:eastAsia="AngsanaUPC" w:hAnsi="Times New Roman"/>
                <w:b/>
                <w:bCs/>
                <w:iCs/>
                <w:sz w:val="24"/>
                <w:szCs w:val="24"/>
                <w:lang w:eastAsia="lt-LT"/>
              </w:rPr>
              <w:t>5.5. INVESTICINIS PRIORITETAS</w:t>
            </w:r>
          </w:p>
        </w:tc>
        <w:tc>
          <w:tcPr>
            <w:tcW w:w="7336" w:type="dxa"/>
            <w:shd w:val="clear" w:color="auto" w:fill="EEECE1"/>
            <w:vAlign w:val="center"/>
          </w:tcPr>
          <w:p w:rsidR="00385835" w:rsidRPr="00385835" w:rsidRDefault="00385835" w:rsidP="00385835">
            <w:pPr>
              <w:spacing w:after="0" w:line="240" w:lineRule="auto"/>
              <w:jc w:val="both"/>
              <w:rPr>
                <w:rFonts w:ascii="Times New Roman" w:hAnsi="Times New Roman"/>
                <w:b/>
                <w:sz w:val="24"/>
                <w:szCs w:val="24"/>
              </w:rPr>
            </w:pPr>
            <w:r w:rsidRPr="00385835">
              <w:rPr>
                <w:rFonts w:ascii="Times New Roman" w:hAnsi="Times New Roman"/>
                <w:b/>
                <w:bCs/>
                <w:iCs/>
                <w:sz w:val="24"/>
                <w:szCs w:val="24"/>
              </w:rPr>
              <w:t xml:space="preserve">Biologinės įvairovės, dirvožemio apsauga ir atkūrimas, ekosistemų paslaugų, įskaitant </w:t>
            </w:r>
            <w:r w:rsidRPr="00385835">
              <w:rPr>
                <w:rFonts w:ascii="Times New Roman" w:hAnsi="Times New Roman"/>
                <w:b/>
                <w:bCs/>
                <w:i/>
                <w:iCs/>
                <w:sz w:val="24"/>
                <w:szCs w:val="24"/>
              </w:rPr>
              <w:t>Natura2000</w:t>
            </w:r>
            <w:r w:rsidRPr="00385835">
              <w:rPr>
                <w:rFonts w:ascii="Times New Roman" w:hAnsi="Times New Roman"/>
                <w:b/>
                <w:bCs/>
                <w:iCs/>
                <w:sz w:val="24"/>
                <w:szCs w:val="24"/>
              </w:rPr>
              <w:t>, ir žaliosios i</w:t>
            </w:r>
            <w:r w:rsidR="00031EF1">
              <w:rPr>
                <w:rFonts w:ascii="Times New Roman" w:hAnsi="Times New Roman"/>
                <w:b/>
                <w:bCs/>
                <w:iCs/>
                <w:sz w:val="24"/>
                <w:szCs w:val="24"/>
              </w:rPr>
              <w:t>nfrastruktūros skatinimas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FONDAS</w:t>
            </w:r>
          </w:p>
        </w:tc>
        <w:tc>
          <w:tcPr>
            <w:tcW w:w="7336"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Sanglaudos fondas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tcPr>
          <w:p w:rsidR="00385835" w:rsidRPr="00385835" w:rsidRDefault="00385835" w:rsidP="00385835">
            <w:pPr>
              <w:widowControl w:val="0"/>
              <w:tabs>
                <w:tab w:val="left" w:pos="622"/>
              </w:tabs>
              <w:spacing w:after="0" w:line="240" w:lineRule="auto"/>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5.5.1. KONKRETUS UŽDAVINYS</w:t>
            </w:r>
          </w:p>
        </w:tc>
        <w:tc>
          <w:tcPr>
            <w:tcW w:w="7336" w:type="dxa"/>
            <w:shd w:val="clear" w:color="auto" w:fill="EEECE1"/>
            <w:vAlign w:val="center"/>
          </w:tcPr>
          <w:p w:rsidR="00385835" w:rsidRPr="00385835" w:rsidRDefault="00385835" w:rsidP="00385835">
            <w:pPr>
              <w:spacing w:after="0" w:line="240" w:lineRule="auto"/>
              <w:jc w:val="both"/>
              <w:rPr>
                <w:rFonts w:ascii="Times New Roman" w:hAnsi="Times New Roman"/>
                <w:b/>
                <w:sz w:val="24"/>
                <w:szCs w:val="24"/>
              </w:rPr>
            </w:pPr>
            <w:r w:rsidRPr="00385835">
              <w:rPr>
                <w:rFonts w:ascii="Times New Roman" w:hAnsi="Times New Roman"/>
                <w:b/>
                <w:sz w:val="24"/>
                <w:szCs w:val="24"/>
              </w:rPr>
              <w:t>Pagerinti vietinės augalijos ir gyvūnijos rūšių, buveinių ir kraštovaizdžio arealų būklę</w:t>
            </w:r>
          </w:p>
        </w:tc>
      </w:tr>
      <w:tr w:rsidR="00385835" w:rsidRPr="00385835" w:rsidTr="00385835">
        <w:tc>
          <w:tcPr>
            <w:tcW w:w="9746" w:type="dxa"/>
            <w:gridSpan w:val="2"/>
            <w:shd w:val="clear" w:color="auto" w:fill="auto"/>
          </w:tcPr>
          <w:p w:rsidR="00385835" w:rsidRPr="00385835" w:rsidRDefault="00385835" w:rsidP="00385835">
            <w:pPr>
              <w:spacing w:after="0" w:line="240" w:lineRule="auto"/>
              <w:ind w:firstLine="624"/>
              <w:jc w:val="both"/>
              <w:rPr>
                <w:rFonts w:ascii="Times New Roman" w:hAnsi="Times New Roman"/>
                <w:bCs/>
                <w:color w:val="000000"/>
                <w:sz w:val="24"/>
                <w:szCs w:val="24"/>
              </w:rPr>
            </w:pPr>
            <w:r w:rsidRPr="00385835">
              <w:rPr>
                <w:rFonts w:ascii="Times New Roman" w:hAnsi="Times New Roman"/>
                <w:color w:val="000000"/>
                <w:sz w:val="24"/>
                <w:szCs w:val="24"/>
              </w:rPr>
              <w:t>Biologinės įvairovės nykimas sutrikdo ekosistemų funkcijas, o tai neigiamai atsiliepia visuomenės gerovei ir ekonomikai. Natūralios ir pusiau natūralios ekosistemos užima daugiau kaip trečdalį Lietuvos teritorijos. S</w:t>
            </w:r>
            <w:r w:rsidRPr="00385835">
              <w:rPr>
                <w:rFonts w:ascii="Times New Roman" w:hAnsi="Times New Roman"/>
                <w:bCs/>
                <w:color w:val="000000"/>
                <w:sz w:val="24"/>
                <w:szCs w:val="24"/>
              </w:rPr>
              <w:t>augomos teritorijos užima</w:t>
            </w:r>
            <w:r w:rsidRPr="00385835">
              <w:rPr>
                <w:rFonts w:ascii="Times New Roman" w:hAnsi="Times New Roman"/>
                <w:color w:val="000000"/>
                <w:sz w:val="24"/>
                <w:szCs w:val="24"/>
              </w:rPr>
              <w:t xml:space="preserve"> </w:t>
            </w:r>
            <w:r w:rsidRPr="00385835">
              <w:rPr>
                <w:rFonts w:ascii="Times New Roman" w:hAnsi="Times New Roman"/>
                <w:bCs/>
                <w:color w:val="000000"/>
                <w:sz w:val="24"/>
                <w:szCs w:val="24"/>
              </w:rPr>
              <w:t xml:space="preserve">15,6 proc. šalies sausumos ploto, </w:t>
            </w:r>
            <w:r w:rsidR="008F51E7">
              <w:rPr>
                <w:rFonts w:ascii="Times New Roman" w:hAnsi="Times New Roman"/>
                <w:color w:val="000000"/>
                <w:sz w:val="24"/>
                <w:szCs w:val="24"/>
              </w:rPr>
              <w:t>12,4 </w:t>
            </w:r>
            <w:r w:rsidRPr="00385835">
              <w:rPr>
                <w:rFonts w:ascii="Times New Roman" w:hAnsi="Times New Roman"/>
                <w:color w:val="000000"/>
                <w:sz w:val="24"/>
                <w:szCs w:val="24"/>
              </w:rPr>
              <w:t xml:space="preserve">proc. šalies </w:t>
            </w:r>
            <w:r w:rsidRPr="00385835">
              <w:rPr>
                <w:rFonts w:ascii="Times New Roman" w:hAnsi="Times New Roman"/>
                <w:bCs/>
                <w:color w:val="000000"/>
                <w:sz w:val="24"/>
                <w:szCs w:val="24"/>
              </w:rPr>
              <w:t xml:space="preserve">teritorijos priklauso Europos ekologiniam tinklui </w:t>
            </w:r>
            <w:r w:rsidRPr="00385835">
              <w:rPr>
                <w:rFonts w:ascii="Times New Roman" w:hAnsi="Times New Roman"/>
                <w:bCs/>
                <w:i/>
                <w:color w:val="000000"/>
                <w:sz w:val="24"/>
                <w:szCs w:val="24"/>
              </w:rPr>
              <w:t>Natura2000</w:t>
            </w:r>
            <w:r w:rsidRPr="00385835">
              <w:rPr>
                <w:rFonts w:ascii="Times New Roman" w:hAnsi="Times New Roman"/>
                <w:bCs/>
                <w:color w:val="000000"/>
                <w:sz w:val="24"/>
                <w:szCs w:val="24"/>
              </w:rPr>
              <w:t>. Lietuvoje kai kurie gamtinių buveinių tipai patiria didelių permainų – vyksta ekosistemų fragmentacija, kinta kraštovaizdžio struktūra tiek dėl renatūralizacijos procesų, tiek dėl intensyvėjančios urbanizacijos, pokyčių žemės ūkio veikloje ir neracionalaus gamtos išteklių naudojimo. Šiuo metu Lietuvoje saugomos 768 rūšys ir 53 buveinių tipai. Didžiulę grėsmę augalijai ir gyvūnijai kelia invazinės rūšys, galimai nekontroliuojamas genetiškai modifikuotų organizmų plitimas. Siekiant</w:t>
            </w:r>
            <w:r w:rsidRPr="00385835">
              <w:rPr>
                <w:rFonts w:ascii="Times New Roman" w:hAnsi="Times New Roman"/>
                <w:color w:val="000000"/>
                <w:sz w:val="24"/>
                <w:szCs w:val="24"/>
              </w:rPr>
              <w:t xml:space="preserve"> augalų ir gyvūnų rūšių, natūralių buveinių palankios apsaugos būklės, būtina plėtoti saugomų teritorijų ir </w:t>
            </w:r>
            <w:r w:rsidRPr="00385835">
              <w:rPr>
                <w:rFonts w:ascii="Times New Roman" w:hAnsi="Times New Roman"/>
                <w:i/>
                <w:color w:val="000000"/>
                <w:sz w:val="24"/>
                <w:szCs w:val="24"/>
              </w:rPr>
              <w:t>Natura 2000</w:t>
            </w:r>
            <w:r w:rsidRPr="00385835">
              <w:rPr>
                <w:rFonts w:ascii="Times New Roman" w:hAnsi="Times New Roman"/>
                <w:color w:val="000000"/>
                <w:sz w:val="24"/>
                <w:szCs w:val="24"/>
              </w:rPr>
              <w:t xml:space="preserve"> tinklą, vykdyti priemones</w:t>
            </w:r>
            <w:r w:rsidR="008F51E7">
              <w:rPr>
                <w:rFonts w:ascii="Times New Roman" w:hAnsi="Times New Roman"/>
                <w:color w:val="000000"/>
                <w:sz w:val="24"/>
                <w:szCs w:val="24"/>
              </w:rPr>
              <w:t>,</w:t>
            </w:r>
            <w:r w:rsidRPr="00385835">
              <w:rPr>
                <w:rFonts w:ascii="Times New Roman" w:hAnsi="Times New Roman"/>
                <w:color w:val="000000"/>
                <w:sz w:val="24"/>
                <w:szCs w:val="24"/>
              </w:rPr>
              <w:t xml:space="preserve"> stiprinančias gamtinį karkasą,</w:t>
            </w:r>
            <w:r w:rsidRPr="00385835">
              <w:rPr>
                <w:rFonts w:ascii="Times New Roman" w:hAnsi="Times New Roman"/>
                <w:bCs/>
                <w:color w:val="000000"/>
                <w:sz w:val="24"/>
                <w:szCs w:val="24"/>
              </w:rPr>
              <w:t xml:space="preserve"> stabdančias </w:t>
            </w:r>
            <w:r w:rsidRPr="00385835">
              <w:rPr>
                <w:rFonts w:ascii="Times New Roman" w:hAnsi="Times New Roman"/>
                <w:color w:val="000000"/>
                <w:sz w:val="24"/>
                <w:szCs w:val="24"/>
              </w:rPr>
              <w:t>biologinės įvairovės nykimą, ekosistemų ir jų teikiamų paslaugų kokybės blogėjimą.</w:t>
            </w:r>
          </w:p>
          <w:p w:rsidR="00385835" w:rsidRPr="00385835" w:rsidRDefault="00385835" w:rsidP="00385835">
            <w:pPr>
              <w:spacing w:after="0" w:line="240" w:lineRule="auto"/>
              <w:ind w:firstLine="624"/>
              <w:jc w:val="both"/>
              <w:rPr>
                <w:rFonts w:ascii="Times New Roman" w:hAnsi="Times New Roman"/>
                <w:bCs/>
                <w:color w:val="000000"/>
                <w:sz w:val="24"/>
                <w:szCs w:val="24"/>
              </w:rPr>
            </w:pPr>
            <w:r w:rsidRPr="00385835">
              <w:rPr>
                <w:rFonts w:ascii="Times New Roman" w:hAnsi="Times New Roman"/>
                <w:bCs/>
                <w:color w:val="000000"/>
                <w:sz w:val="24"/>
                <w:szCs w:val="24"/>
              </w:rPr>
              <w:t>Kraštovaizdžio struktūrai didžiausią neigiamą poveikį daro spartus užstatytų miestų erdvių tankinimas (žaliųjų erdvių mažėjimas), užmiesčių urbanizacijos plėtros procesai, kelių tinklo plėtra, erozijos procesai, taip pat apleistais statiniais, karjerais ir durpynais pažeistų teritorijų plotas, kurį reikia rekultivuoti. Siekiant išsaugoti įvairaus lygmens kraštovaizdžio arealus ir jų geoekologinį potencialą, būtina užtikrinti tinkamą jų planavimą, naudojimą ir tvarkymą, pažeistų kraštovaizdžio teritorijų atkūrimą, novatoriškų žaliosios infrastruktūros sprendimų diegimą, suderinant socialinius, ekonominius ir ekologinius interesus.</w:t>
            </w:r>
          </w:p>
          <w:p w:rsidR="00385835" w:rsidRPr="00385835" w:rsidRDefault="00385835" w:rsidP="00385835">
            <w:pPr>
              <w:spacing w:after="0" w:line="240" w:lineRule="auto"/>
              <w:ind w:firstLine="624"/>
              <w:jc w:val="both"/>
              <w:rPr>
                <w:rFonts w:ascii="Times New Roman" w:hAnsi="Times New Roman"/>
                <w:sz w:val="24"/>
                <w:szCs w:val="24"/>
              </w:rPr>
            </w:pPr>
            <w:r w:rsidRPr="00385835">
              <w:rPr>
                <w:rFonts w:ascii="Times New Roman" w:hAnsi="Times New Roman"/>
                <w:sz w:val="24"/>
                <w:szCs w:val="24"/>
              </w:rPr>
              <w:t>Numatoma</w:t>
            </w:r>
            <w:r w:rsidR="001F2DC4">
              <w:rPr>
                <w:rFonts w:ascii="Times New Roman" w:hAnsi="Times New Roman"/>
                <w:sz w:val="24"/>
                <w:szCs w:val="24"/>
              </w:rPr>
              <w:t>,</w:t>
            </w:r>
            <w:r w:rsidRPr="00385835">
              <w:rPr>
                <w:rFonts w:ascii="Times New Roman" w:hAnsi="Times New Roman"/>
                <w:sz w:val="24"/>
                <w:szCs w:val="24"/>
              </w:rPr>
              <w:t xml:space="preserve"> kiek įmanoma pristabdyti biologinės įvairovės nykimą ir ekosistemų ir jų teikiamų paslaugų kokybės blogėjimą, kur įmanoma, jas atkurti, užtikrinti saugomų teritorijų ir kraštovaizdžio apsaugą ir tvarkymą.</w:t>
            </w:r>
          </w:p>
        </w:tc>
      </w:tr>
    </w:tbl>
    <w:p w:rsidR="00BE2E68" w:rsidRDefault="00BE2E68" w:rsidP="00385835">
      <w:pPr>
        <w:widowControl w:val="0"/>
        <w:tabs>
          <w:tab w:val="left" w:pos="622"/>
        </w:tabs>
        <w:spacing w:after="0" w:line="240" w:lineRule="auto"/>
        <w:jc w:val="both"/>
        <w:rPr>
          <w:rFonts w:ascii="Times New Roman" w:eastAsia="AngsanaUPC" w:hAnsi="Times New Roman"/>
          <w:b/>
          <w:bCs/>
          <w:sz w:val="24"/>
          <w:szCs w:val="24"/>
          <w:lang w:eastAsia="lt-LT"/>
        </w:rPr>
      </w:pPr>
    </w:p>
    <w:p w:rsidR="004F39B3" w:rsidRDefault="004F39B3" w:rsidP="00385835">
      <w:pPr>
        <w:widowControl w:val="0"/>
        <w:tabs>
          <w:tab w:val="left" w:pos="622"/>
        </w:tabs>
        <w:spacing w:after="0" w:line="240" w:lineRule="auto"/>
        <w:jc w:val="both"/>
        <w:rPr>
          <w:rFonts w:ascii="Times New Roman" w:eastAsia="AngsanaUPC" w:hAnsi="Times New Roman"/>
          <w:b/>
          <w:bCs/>
          <w:sz w:val="24"/>
          <w:szCs w:val="24"/>
          <w:lang w:eastAsia="lt-LT"/>
        </w:rPr>
      </w:pPr>
    </w:p>
    <w:p w:rsidR="004F39B3" w:rsidRDefault="004F39B3" w:rsidP="00385835">
      <w:pPr>
        <w:widowControl w:val="0"/>
        <w:tabs>
          <w:tab w:val="left" w:pos="622"/>
        </w:tabs>
        <w:spacing w:after="0" w:line="240" w:lineRule="auto"/>
        <w:jc w:val="both"/>
        <w:rPr>
          <w:rFonts w:ascii="Times New Roman" w:eastAsia="AngsanaUPC" w:hAnsi="Times New Roman"/>
          <w:b/>
          <w:bCs/>
          <w:sz w:val="24"/>
          <w:szCs w:val="24"/>
          <w:lang w:eastAsia="lt-LT"/>
        </w:rPr>
      </w:pPr>
    </w:p>
    <w:p w:rsidR="004F39B3" w:rsidRPr="00385835" w:rsidRDefault="004F39B3"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567"/>
        <w:gridCol w:w="1985"/>
        <w:gridCol w:w="1134"/>
        <w:gridCol w:w="1134"/>
        <w:gridCol w:w="850"/>
        <w:gridCol w:w="993"/>
        <w:gridCol w:w="850"/>
        <w:gridCol w:w="992"/>
        <w:gridCol w:w="1241"/>
      </w:tblGrid>
      <w:tr w:rsidR="00385835" w:rsidRPr="00385835" w:rsidTr="00385835">
        <w:tc>
          <w:tcPr>
            <w:tcW w:w="9746" w:type="dxa"/>
            <w:gridSpan w:val="9"/>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i/>
                <w:iCs/>
                <w:sz w:val="24"/>
                <w:szCs w:val="24"/>
                <w:lang w:eastAsia="lt-LT"/>
              </w:rPr>
            </w:pPr>
            <w:r w:rsidRPr="00385835">
              <w:rPr>
                <w:rFonts w:ascii="Times New Roman" w:eastAsia="AngsanaUPC" w:hAnsi="Times New Roman"/>
                <w:b/>
                <w:bCs/>
                <w:i/>
                <w:iCs/>
                <w:sz w:val="24"/>
                <w:szCs w:val="24"/>
                <w:lang w:eastAsia="lt-LT"/>
              </w:rPr>
              <w:lastRenderedPageBreak/>
              <w:t xml:space="preserve">SaF </w:t>
            </w:r>
            <w:r w:rsidR="00B1109C">
              <w:rPr>
                <w:rFonts w:ascii="Times New Roman" w:eastAsia="AngsanaUPC" w:hAnsi="Times New Roman"/>
                <w:b/>
                <w:bCs/>
                <w:i/>
                <w:iCs/>
                <w:sz w:val="24"/>
                <w:szCs w:val="24"/>
                <w:lang w:eastAsia="lt-LT"/>
              </w:rPr>
              <w:t xml:space="preserve">specialieji </w:t>
            </w:r>
            <w:r w:rsidRPr="00385835">
              <w:rPr>
                <w:rFonts w:ascii="Times New Roman" w:eastAsia="AngsanaUPC" w:hAnsi="Times New Roman"/>
                <w:b/>
                <w:bCs/>
                <w:i/>
                <w:iCs/>
                <w:sz w:val="24"/>
                <w:szCs w:val="24"/>
                <w:lang w:eastAsia="lt-LT"/>
              </w:rPr>
              <w:t>programos rezultato rodikliai</w:t>
            </w:r>
          </w:p>
        </w:tc>
      </w:tr>
      <w:tr w:rsidR="00385835" w:rsidRPr="00385835" w:rsidTr="004F39B3">
        <w:tblPrEx>
          <w:shd w:val="clear" w:color="auto" w:fill="auto"/>
        </w:tblPrEx>
        <w:trPr>
          <w:cantSplit/>
          <w:trHeight w:val="876"/>
        </w:trPr>
        <w:tc>
          <w:tcPr>
            <w:tcW w:w="567"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Nr.</w:t>
            </w:r>
          </w:p>
        </w:tc>
        <w:tc>
          <w:tcPr>
            <w:tcW w:w="1985"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Rodiklio pavadinimas</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Matavimo vienetas</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Regiono kategorija</w:t>
            </w:r>
          </w:p>
        </w:tc>
        <w:tc>
          <w:tcPr>
            <w:tcW w:w="850"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 reikšmė</w:t>
            </w:r>
          </w:p>
        </w:tc>
        <w:tc>
          <w:tcPr>
            <w:tcW w:w="993"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Pradinės reikšmės metai</w:t>
            </w:r>
          </w:p>
        </w:tc>
        <w:tc>
          <w:tcPr>
            <w:tcW w:w="850"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Siektina reikšmė (2023)</w:t>
            </w:r>
          </w:p>
        </w:tc>
        <w:tc>
          <w:tcPr>
            <w:tcW w:w="992"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Duomenų šaltinis</w:t>
            </w:r>
          </w:p>
        </w:tc>
        <w:tc>
          <w:tcPr>
            <w:tcW w:w="124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Atsiskaitymo dažnumas</w:t>
            </w:r>
          </w:p>
        </w:tc>
      </w:tr>
      <w:tr w:rsidR="00385835" w:rsidRPr="00385835" w:rsidTr="004F39B3">
        <w:tblPrEx>
          <w:shd w:val="clear" w:color="auto" w:fill="auto"/>
        </w:tblPrEx>
        <w:tc>
          <w:tcPr>
            <w:tcW w:w="56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w:t>
            </w:r>
          </w:p>
        </w:tc>
        <w:tc>
          <w:tcPr>
            <w:tcW w:w="1985" w:type="dxa"/>
            <w:shd w:val="clear" w:color="auto" w:fill="auto"/>
            <w:vAlign w:val="center"/>
          </w:tcPr>
          <w:p w:rsidR="00385835" w:rsidRPr="00385835" w:rsidRDefault="00385835" w:rsidP="00385835">
            <w:pPr>
              <w:widowControl w:val="0"/>
              <w:tabs>
                <w:tab w:val="left" w:pos="622"/>
              </w:tabs>
              <w:spacing w:after="0" w:line="240" w:lineRule="auto"/>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Lietuvoje aptinkamų Europos Bendrijos svarbos buveinių tipų, kurių palanki apsaugos būklė, dalis</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Proc.</w:t>
            </w:r>
          </w:p>
        </w:tc>
        <w:tc>
          <w:tcPr>
            <w:tcW w:w="1134" w:type="dxa"/>
            <w:shd w:val="clear" w:color="auto" w:fill="auto"/>
            <w:vAlign w:val="center"/>
          </w:tcPr>
          <w:p w:rsidR="00385835" w:rsidRPr="00385835" w:rsidRDefault="00515A37" w:rsidP="00385835">
            <w:pPr>
              <w:widowControl w:val="0"/>
              <w:tabs>
                <w:tab w:val="left" w:pos="622"/>
              </w:tabs>
              <w:spacing w:after="0" w:line="240" w:lineRule="auto"/>
              <w:jc w:val="center"/>
              <w:rPr>
                <w:rFonts w:ascii="Times New Roman" w:eastAsia="AngsanaUPC" w:hAnsi="Times New Roman"/>
                <w:bCs/>
                <w:iCs/>
                <w:sz w:val="18"/>
                <w:szCs w:val="18"/>
                <w:lang w:eastAsia="lt-LT"/>
              </w:rPr>
            </w:pPr>
            <w:r>
              <w:rPr>
                <w:rFonts w:ascii="Times New Roman" w:eastAsia="AngsanaUPC" w:hAnsi="Times New Roman"/>
                <w:bCs/>
                <w:sz w:val="18"/>
                <w:szCs w:val="18"/>
                <w:lang w:eastAsia="lt-LT"/>
              </w:rPr>
              <w:t>–</w:t>
            </w:r>
          </w:p>
        </w:tc>
        <w:tc>
          <w:tcPr>
            <w:tcW w:w="850"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20</w:t>
            </w:r>
          </w:p>
        </w:tc>
        <w:tc>
          <w:tcPr>
            <w:tcW w:w="993"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2012</w:t>
            </w:r>
          </w:p>
        </w:tc>
        <w:tc>
          <w:tcPr>
            <w:tcW w:w="850"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40</w:t>
            </w:r>
          </w:p>
        </w:tc>
        <w:tc>
          <w:tcPr>
            <w:tcW w:w="992"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Aplinkos ministerija</w:t>
            </w:r>
          </w:p>
        </w:tc>
        <w:tc>
          <w:tcPr>
            <w:tcW w:w="124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šešerius metus</w:t>
            </w:r>
          </w:p>
        </w:tc>
      </w:tr>
    </w:tbl>
    <w:p w:rsidR="00AC10CD" w:rsidRPr="00AC10CD" w:rsidRDefault="00AC10CD" w:rsidP="00AC10CD">
      <w:pPr>
        <w:spacing w:after="0" w:line="240" w:lineRule="auto"/>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6"/>
      </w:tblGrid>
      <w:tr w:rsidR="00385835" w:rsidRPr="00385835" w:rsidTr="00385835">
        <w:tc>
          <w:tcPr>
            <w:tcW w:w="9746" w:type="dxa"/>
            <w:tcBorders>
              <w:top w:val="single" w:sz="4" w:space="0" w:color="auto"/>
              <w:left w:val="single" w:sz="4" w:space="0" w:color="auto"/>
              <w:bottom w:val="single" w:sz="4" w:space="0" w:color="auto"/>
              <w:right w:val="single" w:sz="4" w:space="0" w:color="auto"/>
            </w:tcBorders>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Cs/>
                <w:iCs/>
                <w:sz w:val="24"/>
                <w:szCs w:val="24"/>
                <w:lang w:eastAsia="lt-LT"/>
              </w:rPr>
            </w:pPr>
            <w:r w:rsidRPr="00385835">
              <w:rPr>
                <w:rFonts w:ascii="Times New Roman" w:eastAsia="AngsanaUPC" w:hAnsi="Times New Roman"/>
                <w:b/>
                <w:bCs/>
                <w:i/>
                <w:iCs/>
                <w:sz w:val="24"/>
                <w:szCs w:val="24"/>
                <w:lang w:eastAsia="lt-LT"/>
              </w:rPr>
              <w:t>5.5. Investicinio prioriteto įgyvendinimo veiklos</w:t>
            </w:r>
          </w:p>
        </w:tc>
      </w:tr>
      <w:tr w:rsidR="00385835" w:rsidRPr="00385835" w:rsidTr="00385835">
        <w:tc>
          <w:tcPr>
            <w:tcW w:w="9746" w:type="dxa"/>
            <w:shd w:val="clear" w:color="auto" w:fill="auto"/>
          </w:tcPr>
          <w:p w:rsidR="003604BB" w:rsidRPr="002C08FA" w:rsidRDefault="00385835" w:rsidP="00650E41">
            <w:pPr>
              <w:widowControl w:val="0"/>
              <w:numPr>
                <w:ilvl w:val="0"/>
                <w:numId w:val="13"/>
              </w:numPr>
              <w:tabs>
                <w:tab w:val="left" w:pos="459"/>
                <w:tab w:val="left" w:pos="1665"/>
              </w:tabs>
              <w:spacing w:after="0" w:line="240" w:lineRule="auto"/>
              <w:ind w:left="34" w:firstLine="0"/>
              <w:jc w:val="both"/>
              <w:rPr>
                <w:rFonts w:ascii="Times New Roman" w:eastAsia="AngsanaUPC" w:hAnsi="Times New Roman"/>
                <w:bCs/>
                <w:iCs/>
                <w:sz w:val="24"/>
                <w:szCs w:val="24"/>
                <w:lang w:eastAsia="lt-LT"/>
              </w:rPr>
            </w:pPr>
            <w:r w:rsidRPr="002C08FA">
              <w:rPr>
                <w:rFonts w:ascii="Times New Roman" w:eastAsia="AngsanaUPC" w:hAnsi="Times New Roman"/>
                <w:bCs/>
                <w:iCs/>
                <w:sz w:val="24"/>
                <w:szCs w:val="24"/>
                <w:lang w:eastAsia="lt-LT"/>
              </w:rPr>
              <w:t>Buveinių, rūšių, genetinių išteklių išsaugojimas ir atkūrimas, invazinių</w:t>
            </w:r>
            <w:r w:rsidR="003604BB" w:rsidRPr="002C08FA">
              <w:rPr>
                <w:rFonts w:ascii="Times New Roman" w:eastAsia="AngsanaUPC" w:hAnsi="Times New Roman"/>
                <w:bCs/>
                <w:iCs/>
                <w:sz w:val="24"/>
                <w:szCs w:val="24"/>
                <w:lang w:eastAsia="lt-LT"/>
              </w:rPr>
              <w:t xml:space="preserve"> rūšių populiacijų reguliavimas</w:t>
            </w:r>
            <w:r w:rsidRPr="002C08FA">
              <w:rPr>
                <w:rFonts w:ascii="Times New Roman" w:eastAsia="AngsanaUPC" w:hAnsi="Times New Roman"/>
                <w:bCs/>
                <w:iCs/>
                <w:sz w:val="24"/>
                <w:szCs w:val="24"/>
                <w:lang w:eastAsia="lt-LT"/>
              </w:rPr>
              <w:t>. Numatoma finansuoti saugomų ir griežtai saugomų rūšių apsaugos planų ir veiksmų planų konkrečioms saugomoms rūšim</w:t>
            </w:r>
            <w:r w:rsidR="003604BB" w:rsidRPr="002C08FA">
              <w:rPr>
                <w:rFonts w:ascii="Times New Roman" w:eastAsia="AngsanaUPC" w:hAnsi="Times New Roman"/>
                <w:bCs/>
                <w:iCs/>
                <w:sz w:val="24"/>
                <w:szCs w:val="24"/>
                <w:lang w:eastAsia="lt-LT"/>
              </w:rPr>
              <w:t>s rengimą ir apsaugos priemonių</w:t>
            </w:r>
            <w:r w:rsidRPr="002C08FA">
              <w:rPr>
                <w:rFonts w:ascii="Times New Roman" w:eastAsia="AngsanaUPC" w:hAnsi="Times New Roman"/>
                <w:bCs/>
                <w:iCs/>
                <w:sz w:val="24"/>
                <w:szCs w:val="24"/>
                <w:lang w:eastAsia="lt-LT"/>
              </w:rPr>
              <w:t xml:space="preserve"> įgyvendinimą tiek </w:t>
            </w:r>
            <w:r w:rsidRPr="002C08FA">
              <w:rPr>
                <w:rFonts w:ascii="Times New Roman" w:eastAsia="AngsanaUPC" w:hAnsi="Times New Roman"/>
                <w:bCs/>
                <w:i/>
                <w:iCs/>
                <w:sz w:val="24"/>
                <w:szCs w:val="24"/>
                <w:lang w:eastAsia="lt-LT"/>
              </w:rPr>
              <w:t xml:space="preserve">Natura 2000 </w:t>
            </w:r>
            <w:r w:rsidRPr="002C08FA">
              <w:rPr>
                <w:rFonts w:ascii="Times New Roman" w:eastAsia="AngsanaUPC" w:hAnsi="Times New Roman"/>
                <w:bCs/>
                <w:iCs/>
                <w:sz w:val="24"/>
                <w:szCs w:val="24"/>
                <w:lang w:eastAsia="lt-LT"/>
              </w:rPr>
              <w:t xml:space="preserve">teritorijose, tiek kitose šalies teritorijose, taip pat augalų nacionalinių genetinių išteklių ir biosaugos užtikrinimo priemonių įgyvendinimą. Taip pat bus atliekami </w:t>
            </w:r>
            <w:r w:rsidR="003604BB" w:rsidRPr="002C08FA">
              <w:rPr>
                <w:rFonts w:ascii="Times New Roman" w:hAnsi="Times New Roman"/>
                <w:sz w:val="24"/>
                <w:szCs w:val="24"/>
              </w:rPr>
              <w:t xml:space="preserve">ekosistemų ir jų paslaugų vertinimai, </w:t>
            </w:r>
            <w:r w:rsidRPr="002C08FA">
              <w:rPr>
                <w:rFonts w:ascii="Times New Roman" w:eastAsia="AngsanaUPC" w:hAnsi="Times New Roman"/>
                <w:bCs/>
                <w:iCs/>
                <w:sz w:val="24"/>
                <w:szCs w:val="24"/>
                <w:lang w:eastAsia="lt-LT"/>
              </w:rPr>
              <w:t xml:space="preserve">invazinių rūšių būklės tyrimai, rengiami jų gausos reguliavimo dokumentai ir įgyvendinamos gausos reguliavimo priemonės. Numatoma remti </w:t>
            </w:r>
            <w:r w:rsidR="003604BB" w:rsidRPr="002C08FA">
              <w:rPr>
                <w:rFonts w:ascii="Times New Roman" w:eastAsia="AngsanaUPC" w:hAnsi="Times New Roman"/>
                <w:bCs/>
                <w:iCs/>
                <w:sz w:val="24"/>
                <w:szCs w:val="24"/>
                <w:lang w:eastAsia="lt-LT"/>
              </w:rPr>
              <w:t>laukinių gyvūnų globos, gydymo, reabilitacijos, adaptacijos, skirtos paruošti gyvūnus išleidimui į natūralias buveines veiklas.</w:t>
            </w:r>
          </w:p>
          <w:p w:rsidR="00385835" w:rsidRPr="002C08FA" w:rsidRDefault="00385835" w:rsidP="00650E41">
            <w:pPr>
              <w:widowControl w:val="0"/>
              <w:numPr>
                <w:ilvl w:val="0"/>
                <w:numId w:val="13"/>
              </w:numPr>
              <w:tabs>
                <w:tab w:val="left" w:pos="459"/>
                <w:tab w:val="left" w:pos="1665"/>
              </w:tabs>
              <w:spacing w:after="0" w:line="240" w:lineRule="auto"/>
              <w:ind w:left="34" w:firstLine="0"/>
              <w:jc w:val="both"/>
              <w:rPr>
                <w:rFonts w:ascii="Times New Roman" w:eastAsia="AngsanaUPC" w:hAnsi="Times New Roman"/>
                <w:bCs/>
                <w:iCs/>
                <w:sz w:val="24"/>
                <w:szCs w:val="24"/>
                <w:lang w:eastAsia="lt-LT"/>
              </w:rPr>
            </w:pPr>
            <w:r w:rsidRPr="002C08FA">
              <w:rPr>
                <w:rFonts w:ascii="Times New Roman" w:eastAsia="AngsanaUPC" w:hAnsi="Times New Roman"/>
                <w:bCs/>
                <w:iCs/>
                <w:sz w:val="24"/>
                <w:szCs w:val="24"/>
                <w:lang w:eastAsia="lt-LT"/>
              </w:rPr>
              <w:t xml:space="preserve">Saugomų teritorijų planavimas, monitoringas ir tvarkymas. Numatoma skirti paramą saugomų teritorijų planavimo dokumentų rengimui, </w:t>
            </w:r>
            <w:r w:rsidRPr="002C08FA">
              <w:rPr>
                <w:rFonts w:ascii="Times New Roman" w:eastAsia="AngsanaUPC" w:hAnsi="Times New Roman"/>
                <w:bCs/>
                <w:i/>
                <w:iCs/>
                <w:sz w:val="24"/>
                <w:szCs w:val="24"/>
                <w:lang w:eastAsia="lt-LT"/>
              </w:rPr>
              <w:t xml:space="preserve">Natura 2000 </w:t>
            </w:r>
            <w:r w:rsidRPr="002C08FA">
              <w:rPr>
                <w:rFonts w:ascii="Times New Roman" w:eastAsia="AngsanaUPC" w:hAnsi="Times New Roman"/>
                <w:bCs/>
                <w:iCs/>
                <w:sz w:val="24"/>
                <w:szCs w:val="24"/>
                <w:lang w:eastAsia="lt-LT"/>
              </w:rPr>
              <w:t>tinklo optimizavimui</w:t>
            </w:r>
            <w:r w:rsidR="001F2DC4" w:rsidRPr="002C08FA">
              <w:rPr>
                <w:rFonts w:ascii="Times New Roman" w:eastAsia="AngsanaUPC" w:hAnsi="Times New Roman"/>
                <w:bCs/>
                <w:iCs/>
                <w:sz w:val="24"/>
                <w:szCs w:val="24"/>
                <w:lang w:eastAsia="lt-LT"/>
              </w:rPr>
              <w:t>,</w:t>
            </w:r>
            <w:r w:rsidRPr="002C08FA">
              <w:rPr>
                <w:rFonts w:ascii="Times New Roman" w:eastAsia="AngsanaUPC" w:hAnsi="Times New Roman"/>
                <w:bCs/>
                <w:iCs/>
                <w:sz w:val="24"/>
                <w:szCs w:val="24"/>
                <w:lang w:eastAsia="lt-LT"/>
              </w:rPr>
              <w:t xml:space="preserve"> steigiant naujas paukščių ir buveinių apsaugai svarbias teritorijas, kadastro atnaujinimui, monitoringo sistemos ir teritorijų tvarkymo pajėgumų stiprinimui, rezervatų ir </w:t>
            </w:r>
            <w:r w:rsidRPr="002C08FA">
              <w:rPr>
                <w:rFonts w:ascii="Times New Roman" w:eastAsia="AngsanaUPC" w:hAnsi="Times New Roman"/>
                <w:bCs/>
                <w:i/>
                <w:iCs/>
                <w:sz w:val="24"/>
                <w:szCs w:val="24"/>
                <w:lang w:eastAsia="lt-LT"/>
              </w:rPr>
              <w:t xml:space="preserve">Natura 2000 </w:t>
            </w:r>
            <w:r w:rsidRPr="002C08FA">
              <w:rPr>
                <w:rFonts w:ascii="Times New Roman" w:eastAsia="AngsanaUPC" w:hAnsi="Times New Roman"/>
                <w:bCs/>
                <w:iCs/>
                <w:sz w:val="24"/>
                <w:szCs w:val="24"/>
                <w:lang w:eastAsia="lt-LT"/>
              </w:rPr>
              <w:t>teritorijų tvarkymui. Siekiant užtikrinti palankią apsaugos būklę</w:t>
            </w:r>
            <w:r w:rsidR="001F2DC4" w:rsidRPr="002C08FA">
              <w:rPr>
                <w:rFonts w:ascii="Times New Roman" w:eastAsia="AngsanaUPC" w:hAnsi="Times New Roman"/>
                <w:bCs/>
                <w:iCs/>
                <w:sz w:val="24"/>
                <w:szCs w:val="24"/>
                <w:lang w:eastAsia="lt-LT"/>
              </w:rPr>
              <w:t>,</w:t>
            </w:r>
            <w:r w:rsidRPr="002C08FA">
              <w:rPr>
                <w:rFonts w:ascii="Times New Roman" w:eastAsia="AngsanaUPC" w:hAnsi="Times New Roman"/>
                <w:bCs/>
                <w:iCs/>
                <w:sz w:val="24"/>
                <w:szCs w:val="24"/>
                <w:lang w:eastAsia="lt-LT"/>
              </w:rPr>
              <w:t xml:space="preserve"> ir toliau bus rengiami gamtotvarkos planai </w:t>
            </w:r>
            <w:r w:rsidRPr="002C08FA">
              <w:rPr>
                <w:rFonts w:ascii="Times New Roman" w:eastAsia="AngsanaUPC" w:hAnsi="Times New Roman"/>
                <w:bCs/>
                <w:i/>
                <w:iCs/>
                <w:sz w:val="24"/>
                <w:szCs w:val="24"/>
                <w:lang w:eastAsia="lt-LT"/>
              </w:rPr>
              <w:t xml:space="preserve">Natura 2000 </w:t>
            </w:r>
            <w:r w:rsidRPr="002C08FA">
              <w:rPr>
                <w:rFonts w:ascii="Times New Roman" w:eastAsia="AngsanaUPC" w:hAnsi="Times New Roman"/>
                <w:bCs/>
                <w:iCs/>
                <w:sz w:val="24"/>
                <w:szCs w:val="24"/>
                <w:lang w:eastAsia="lt-LT"/>
              </w:rPr>
              <w:t>teritorijose saugomoms gamtinėms buveinėms ir rūšims. Patvirtintais gamtotvarkos planais bus įgyvendinami buveinių atkūrimo darbai.</w:t>
            </w:r>
          </w:p>
          <w:p w:rsidR="00385835" w:rsidRPr="00385835" w:rsidRDefault="00385835" w:rsidP="00650E41">
            <w:pPr>
              <w:widowControl w:val="0"/>
              <w:numPr>
                <w:ilvl w:val="0"/>
                <w:numId w:val="13"/>
              </w:numPr>
              <w:tabs>
                <w:tab w:val="left" w:pos="459"/>
                <w:tab w:val="left" w:pos="1665"/>
              </w:tabs>
              <w:spacing w:after="0" w:line="240" w:lineRule="auto"/>
              <w:ind w:left="34" w:firstLine="0"/>
              <w:jc w:val="both"/>
              <w:rPr>
                <w:rFonts w:ascii="Times New Roman" w:eastAsia="AngsanaUPC" w:hAnsi="Times New Roman"/>
                <w:bCs/>
                <w:iCs/>
                <w:sz w:val="24"/>
                <w:szCs w:val="24"/>
                <w:lang w:eastAsia="lt-LT"/>
              </w:rPr>
            </w:pPr>
            <w:r w:rsidRPr="002C08FA">
              <w:rPr>
                <w:rFonts w:ascii="Times New Roman" w:eastAsia="AngsanaUPC" w:hAnsi="Times New Roman"/>
                <w:bCs/>
                <w:iCs/>
                <w:sz w:val="24"/>
                <w:szCs w:val="24"/>
                <w:lang w:eastAsia="lt-LT"/>
              </w:rPr>
              <w:t>Kraštovaizdžio apsauga, planavimas ir tvarkymas. Numatoma teikti paramą savivaldybių kraštovaizdžio tvarkymo planų parengimui, valstybinės reikšmės etaloninių kraštovaizdžio teritorijų tvarkymui, erozijos pažeistų vandens telkinių šlaitų ir kitų reljefo formų atkūrimui, pilotinėms žaliosios infrastruktūros įrengimo priemonėms, taip pat pažeistų teritorijų tvarkymo darbams.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558"/>
        <w:gridCol w:w="2910"/>
        <w:gridCol w:w="1006"/>
        <w:gridCol w:w="1046"/>
        <w:gridCol w:w="1006"/>
        <w:gridCol w:w="983"/>
        <w:gridCol w:w="996"/>
        <w:gridCol w:w="1241"/>
      </w:tblGrid>
      <w:tr w:rsidR="00385835" w:rsidRPr="00385835" w:rsidTr="00385835">
        <w:tc>
          <w:tcPr>
            <w:tcW w:w="9746" w:type="dxa"/>
            <w:gridSpan w:val="8"/>
            <w:shd w:val="clear" w:color="auto" w:fill="EEECE1"/>
          </w:tcPr>
          <w:p w:rsidR="00385835" w:rsidRPr="00385835" w:rsidRDefault="00385835" w:rsidP="00B1109C">
            <w:pPr>
              <w:widowControl w:val="0"/>
              <w:tabs>
                <w:tab w:val="left" w:pos="622"/>
              </w:tabs>
              <w:spacing w:after="0" w:line="240" w:lineRule="auto"/>
              <w:jc w:val="both"/>
              <w:rPr>
                <w:rFonts w:ascii="Times New Roman" w:eastAsia="AngsanaUPC" w:hAnsi="Times New Roman"/>
                <w:b/>
                <w:bCs/>
                <w:i/>
                <w:iCs/>
                <w:sz w:val="24"/>
                <w:szCs w:val="24"/>
                <w:lang w:eastAsia="lt-LT"/>
              </w:rPr>
            </w:pPr>
            <w:r w:rsidRPr="00385835">
              <w:rPr>
                <w:rFonts w:ascii="Times New Roman" w:eastAsia="AngsanaUPC" w:hAnsi="Times New Roman"/>
                <w:b/>
                <w:bCs/>
                <w:i/>
                <w:iCs/>
                <w:sz w:val="24"/>
                <w:szCs w:val="24"/>
                <w:lang w:eastAsia="lt-LT"/>
              </w:rPr>
              <w:t xml:space="preserve">SaF bendrieji ir </w:t>
            </w:r>
            <w:r w:rsidR="00B1109C">
              <w:rPr>
                <w:rFonts w:ascii="Times New Roman" w:eastAsia="AngsanaUPC" w:hAnsi="Times New Roman"/>
                <w:b/>
                <w:bCs/>
                <w:i/>
                <w:iCs/>
                <w:sz w:val="24"/>
                <w:szCs w:val="24"/>
                <w:lang w:eastAsia="lt-LT"/>
              </w:rPr>
              <w:t xml:space="preserve">specialieji </w:t>
            </w:r>
            <w:r w:rsidRPr="00385835">
              <w:rPr>
                <w:rFonts w:ascii="Times New Roman" w:eastAsia="AngsanaUPC" w:hAnsi="Times New Roman"/>
                <w:b/>
                <w:bCs/>
                <w:i/>
                <w:iCs/>
                <w:sz w:val="24"/>
                <w:szCs w:val="24"/>
                <w:lang w:eastAsia="lt-LT"/>
              </w:rPr>
              <w:t xml:space="preserve">programos produkto rodikliai </w:t>
            </w:r>
          </w:p>
        </w:tc>
      </w:tr>
      <w:tr w:rsidR="00385835" w:rsidRPr="00385835" w:rsidTr="00385835">
        <w:tblPrEx>
          <w:shd w:val="clear" w:color="auto" w:fill="auto"/>
        </w:tblPrEx>
        <w:tc>
          <w:tcPr>
            <w:tcW w:w="558"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Nr.</w:t>
            </w:r>
          </w:p>
        </w:tc>
        <w:tc>
          <w:tcPr>
            <w:tcW w:w="2910"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Rodiklio pavadinimas</w:t>
            </w:r>
          </w:p>
        </w:tc>
        <w:tc>
          <w:tcPr>
            <w:tcW w:w="1006"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Matavimo vienetas</w:t>
            </w:r>
          </w:p>
        </w:tc>
        <w:tc>
          <w:tcPr>
            <w:tcW w:w="1046"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Fondas</w:t>
            </w:r>
          </w:p>
        </w:tc>
        <w:tc>
          <w:tcPr>
            <w:tcW w:w="1006"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Regiono kategorija</w:t>
            </w:r>
          </w:p>
        </w:tc>
        <w:tc>
          <w:tcPr>
            <w:tcW w:w="983"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Siektina reikšmė (2023)</w:t>
            </w:r>
          </w:p>
        </w:tc>
        <w:tc>
          <w:tcPr>
            <w:tcW w:w="996"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Duomenų šaltinis</w:t>
            </w:r>
          </w:p>
        </w:tc>
        <w:tc>
          <w:tcPr>
            <w:tcW w:w="124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Atsiskaitymo dažnumas</w:t>
            </w:r>
          </w:p>
        </w:tc>
      </w:tr>
      <w:tr w:rsidR="00385835" w:rsidRPr="00385835" w:rsidTr="00385835">
        <w:tblPrEx>
          <w:shd w:val="clear" w:color="auto" w:fill="auto"/>
        </w:tblPrEx>
        <w:tc>
          <w:tcPr>
            <w:tcW w:w="558"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w:t>
            </w:r>
          </w:p>
        </w:tc>
        <w:tc>
          <w:tcPr>
            <w:tcW w:w="2910" w:type="dxa"/>
            <w:shd w:val="clear" w:color="auto" w:fill="auto"/>
            <w:vAlign w:val="center"/>
          </w:tcPr>
          <w:p w:rsidR="00385835" w:rsidRPr="00385835" w:rsidRDefault="00385835" w:rsidP="00385835">
            <w:pPr>
              <w:widowControl w:val="0"/>
              <w:tabs>
                <w:tab w:val="left" w:pos="622"/>
              </w:tabs>
              <w:spacing w:after="0" w:line="240" w:lineRule="auto"/>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Buveinių, kurių palankiai apsaugos būklei palaikyti ar atkurti, buvo skirtos investicijos, plotas</w:t>
            </w:r>
          </w:p>
        </w:tc>
        <w:tc>
          <w:tcPr>
            <w:tcW w:w="1006"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Hektarai</w:t>
            </w:r>
          </w:p>
        </w:tc>
        <w:tc>
          <w:tcPr>
            <w:tcW w:w="1046"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SaF</w:t>
            </w:r>
          </w:p>
        </w:tc>
        <w:tc>
          <w:tcPr>
            <w:tcW w:w="1006" w:type="dxa"/>
            <w:shd w:val="clear" w:color="auto" w:fill="auto"/>
            <w:vAlign w:val="center"/>
          </w:tcPr>
          <w:p w:rsidR="00385835" w:rsidRPr="00385835" w:rsidRDefault="00515A37" w:rsidP="00385835">
            <w:pPr>
              <w:widowControl w:val="0"/>
              <w:tabs>
                <w:tab w:val="left" w:pos="622"/>
              </w:tabs>
              <w:spacing w:after="0" w:line="240" w:lineRule="auto"/>
              <w:jc w:val="center"/>
              <w:rPr>
                <w:rFonts w:ascii="Times New Roman" w:eastAsia="AngsanaUPC" w:hAnsi="Times New Roman"/>
                <w:bCs/>
                <w:iCs/>
                <w:sz w:val="18"/>
                <w:szCs w:val="18"/>
                <w:lang w:eastAsia="lt-LT"/>
              </w:rPr>
            </w:pPr>
            <w:r>
              <w:rPr>
                <w:rFonts w:ascii="Times New Roman" w:eastAsia="AngsanaUPC" w:hAnsi="Times New Roman"/>
                <w:bCs/>
                <w:sz w:val="18"/>
                <w:szCs w:val="18"/>
                <w:lang w:eastAsia="lt-LT"/>
              </w:rPr>
              <w:t>–</w:t>
            </w:r>
          </w:p>
        </w:tc>
        <w:tc>
          <w:tcPr>
            <w:tcW w:w="983" w:type="dxa"/>
            <w:shd w:val="clear" w:color="auto" w:fill="auto"/>
            <w:vAlign w:val="center"/>
          </w:tcPr>
          <w:p w:rsidR="00385835" w:rsidRPr="00385835" w:rsidRDefault="00385835" w:rsidP="00C76808">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w:t>
            </w:r>
            <w:r w:rsidR="00C76808">
              <w:rPr>
                <w:rFonts w:ascii="Times New Roman" w:eastAsia="AngsanaUPC" w:hAnsi="Times New Roman"/>
                <w:bCs/>
                <w:iCs/>
                <w:sz w:val="18"/>
                <w:szCs w:val="18"/>
                <w:lang w:eastAsia="lt-LT"/>
              </w:rPr>
              <w:t>.</w:t>
            </w:r>
            <w:r w:rsidRPr="00385835">
              <w:rPr>
                <w:rFonts w:ascii="Times New Roman" w:eastAsia="AngsanaUPC" w:hAnsi="Times New Roman"/>
                <w:bCs/>
                <w:iCs/>
                <w:sz w:val="18"/>
                <w:szCs w:val="18"/>
                <w:lang w:eastAsia="lt-LT"/>
              </w:rPr>
              <w:t>150</w:t>
            </w:r>
          </w:p>
        </w:tc>
        <w:tc>
          <w:tcPr>
            <w:tcW w:w="996"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Duomenys iš projektų</w:t>
            </w:r>
          </w:p>
        </w:tc>
        <w:tc>
          <w:tcPr>
            <w:tcW w:w="124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385835" w:rsidRPr="00385835" w:rsidTr="00385835">
        <w:tblPrEx>
          <w:shd w:val="clear" w:color="auto" w:fill="auto"/>
        </w:tblPrEx>
        <w:tc>
          <w:tcPr>
            <w:tcW w:w="558"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w:t>
            </w:r>
          </w:p>
        </w:tc>
        <w:tc>
          <w:tcPr>
            <w:tcW w:w="2910" w:type="dxa"/>
            <w:shd w:val="clear" w:color="auto" w:fill="auto"/>
            <w:vAlign w:val="center"/>
          </w:tcPr>
          <w:p w:rsidR="00385835" w:rsidRPr="002C08FA" w:rsidRDefault="00385835" w:rsidP="00385835">
            <w:pPr>
              <w:widowControl w:val="0"/>
              <w:tabs>
                <w:tab w:val="left" w:pos="622"/>
              </w:tabs>
              <w:spacing w:after="0" w:line="240" w:lineRule="auto"/>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Išsaugoti, sutvarkyti ar atkurti įvairaus teritorinio lygmens kraštovaizdžio arealai</w:t>
            </w:r>
          </w:p>
        </w:tc>
        <w:tc>
          <w:tcPr>
            <w:tcW w:w="1006" w:type="dxa"/>
            <w:shd w:val="clear" w:color="auto" w:fill="auto"/>
            <w:vAlign w:val="center"/>
          </w:tcPr>
          <w:p w:rsidR="00385835" w:rsidRPr="002C08FA" w:rsidRDefault="003604BB"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Vienetai</w:t>
            </w:r>
          </w:p>
        </w:tc>
        <w:tc>
          <w:tcPr>
            <w:tcW w:w="1046"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SaF</w:t>
            </w:r>
          </w:p>
        </w:tc>
        <w:tc>
          <w:tcPr>
            <w:tcW w:w="1006" w:type="dxa"/>
            <w:shd w:val="clear" w:color="auto" w:fill="auto"/>
            <w:vAlign w:val="center"/>
          </w:tcPr>
          <w:p w:rsidR="00385835" w:rsidRPr="002C08FA" w:rsidRDefault="00515A37"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sz w:val="18"/>
                <w:szCs w:val="18"/>
                <w:lang w:eastAsia="lt-LT"/>
              </w:rPr>
              <w:t>–</w:t>
            </w:r>
          </w:p>
        </w:tc>
        <w:tc>
          <w:tcPr>
            <w:tcW w:w="983" w:type="dxa"/>
            <w:shd w:val="clear" w:color="auto" w:fill="auto"/>
            <w:vAlign w:val="center"/>
          </w:tcPr>
          <w:p w:rsidR="00385835" w:rsidRPr="002C08FA" w:rsidRDefault="003604BB"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50</w:t>
            </w:r>
          </w:p>
        </w:tc>
        <w:tc>
          <w:tcPr>
            <w:tcW w:w="996"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Duomenys iš projektų</w:t>
            </w:r>
          </w:p>
        </w:tc>
        <w:tc>
          <w:tcPr>
            <w:tcW w:w="1241"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Kartą per metus</w:t>
            </w:r>
          </w:p>
        </w:tc>
      </w:tr>
    </w:tbl>
    <w:p w:rsid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746"/>
      </w:tblGrid>
      <w:tr w:rsidR="00715EE1" w:rsidRPr="00715EE1" w:rsidTr="00AA51F3">
        <w:tc>
          <w:tcPr>
            <w:tcW w:w="9746" w:type="dxa"/>
            <w:shd w:val="clear" w:color="auto" w:fill="EEECE1"/>
          </w:tcPr>
          <w:p w:rsidR="00715EE1" w:rsidRPr="00715EE1" w:rsidRDefault="00715EE1" w:rsidP="00715EE1">
            <w:pPr>
              <w:widowControl w:val="0"/>
              <w:tabs>
                <w:tab w:val="left" w:pos="622"/>
              </w:tabs>
              <w:spacing w:after="0" w:line="240" w:lineRule="auto"/>
              <w:jc w:val="both"/>
              <w:rPr>
                <w:rFonts w:ascii="Times New Roman" w:eastAsia="AngsanaUPC" w:hAnsi="Times New Roman"/>
                <w:b/>
                <w:bCs/>
                <w:sz w:val="24"/>
                <w:szCs w:val="24"/>
                <w:lang w:eastAsia="lt-LT"/>
              </w:rPr>
            </w:pPr>
            <w:r w:rsidRPr="00715EE1">
              <w:rPr>
                <w:rFonts w:ascii="Times New Roman" w:eastAsia="AngsanaUPC" w:hAnsi="Times New Roman"/>
                <w:b/>
                <w:bCs/>
                <w:i/>
                <w:iCs/>
                <w:sz w:val="24"/>
                <w:szCs w:val="24"/>
                <w:lang w:eastAsia="lt-LT"/>
              </w:rPr>
              <w:t>Didelės apimties projektai</w:t>
            </w:r>
          </w:p>
        </w:tc>
      </w:tr>
      <w:tr w:rsidR="00715EE1" w:rsidRPr="00715EE1" w:rsidTr="00AA51F3">
        <w:tc>
          <w:tcPr>
            <w:tcW w:w="9746" w:type="dxa"/>
            <w:shd w:val="clear" w:color="auto" w:fill="auto"/>
          </w:tcPr>
          <w:p w:rsidR="00715EE1" w:rsidRPr="00715EE1" w:rsidRDefault="00715EE1" w:rsidP="00715EE1">
            <w:pPr>
              <w:widowControl w:val="0"/>
              <w:tabs>
                <w:tab w:val="left" w:pos="622"/>
              </w:tabs>
              <w:spacing w:after="0" w:line="240" w:lineRule="auto"/>
              <w:jc w:val="both"/>
              <w:rPr>
                <w:rFonts w:ascii="Times New Roman" w:eastAsia="AngsanaUPC" w:hAnsi="Times New Roman"/>
                <w:bCs/>
                <w:iCs/>
                <w:sz w:val="24"/>
                <w:szCs w:val="24"/>
                <w:lang w:eastAsia="lt-LT"/>
              </w:rPr>
            </w:pPr>
            <w:r w:rsidRPr="00715EE1">
              <w:rPr>
                <w:rFonts w:ascii="Times New Roman" w:eastAsia="AngsanaUPC" w:hAnsi="Times New Roman"/>
                <w:bCs/>
                <w:iCs/>
                <w:sz w:val="24"/>
                <w:szCs w:val="24"/>
                <w:lang w:eastAsia="lt-LT"/>
              </w:rPr>
              <w:t>Pagal šį investicinį prioritetą didelės apimties projektų vykdyti nenumatoma.</w:t>
            </w:r>
          </w:p>
        </w:tc>
      </w:tr>
    </w:tbl>
    <w:p w:rsidR="00715EE1" w:rsidRPr="00385835" w:rsidRDefault="00715EE1"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vAlign w:val="center"/>
          </w:tcPr>
          <w:p w:rsidR="00385835" w:rsidRPr="00385835" w:rsidRDefault="00385835" w:rsidP="00385835">
            <w:pPr>
              <w:widowControl w:val="0"/>
              <w:tabs>
                <w:tab w:val="left" w:pos="622"/>
              </w:tabs>
              <w:spacing w:after="0" w:line="240" w:lineRule="auto"/>
              <w:rPr>
                <w:rFonts w:ascii="Times New Roman" w:eastAsia="AngsanaUPC" w:hAnsi="Times New Roman"/>
                <w:b/>
                <w:bCs/>
                <w:iCs/>
                <w:sz w:val="24"/>
                <w:szCs w:val="24"/>
                <w:lang w:eastAsia="lt-LT"/>
              </w:rPr>
            </w:pPr>
            <w:r w:rsidRPr="00385835">
              <w:rPr>
                <w:rFonts w:ascii="Times New Roman" w:eastAsia="AngsanaUPC" w:hAnsi="Times New Roman"/>
                <w:b/>
                <w:bCs/>
                <w:iCs/>
                <w:sz w:val="24"/>
                <w:szCs w:val="24"/>
                <w:lang w:eastAsia="lt-LT"/>
              </w:rPr>
              <w:t>5.6. INVESTICINIS PRIORITETAS</w:t>
            </w:r>
          </w:p>
        </w:tc>
        <w:tc>
          <w:tcPr>
            <w:tcW w:w="7336" w:type="dxa"/>
            <w:shd w:val="clear" w:color="auto" w:fill="EEECE1"/>
            <w:vAlign w:val="center"/>
          </w:tcPr>
          <w:p w:rsidR="00385835" w:rsidRPr="00385835" w:rsidRDefault="00385835" w:rsidP="00385835">
            <w:pPr>
              <w:spacing w:after="0" w:line="240" w:lineRule="auto"/>
              <w:jc w:val="both"/>
              <w:rPr>
                <w:rFonts w:ascii="Times New Roman" w:hAnsi="Times New Roman"/>
                <w:b/>
                <w:sz w:val="24"/>
                <w:szCs w:val="24"/>
              </w:rPr>
            </w:pPr>
            <w:r w:rsidRPr="00385835">
              <w:rPr>
                <w:rFonts w:ascii="Times New Roman" w:hAnsi="Times New Roman"/>
                <w:b/>
                <w:sz w:val="24"/>
              </w:rPr>
              <w:t>Miestų aplinkos gerinimo, miestų atkūrimo, apleistų pramoninių teritorijų (įskaitant pertvarkomas teritorijas) išvalymo ir atkūrimo, oro taršos bei triukšmo mažinimo priemonių skatinimas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FONDAS</w:t>
            </w:r>
          </w:p>
        </w:tc>
        <w:tc>
          <w:tcPr>
            <w:tcW w:w="7336"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Sanglaudos fondas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lastRenderedPageBreak/>
              <w:t>5.6.1. KONKRETUS UŽDAVINYS</w:t>
            </w:r>
          </w:p>
        </w:tc>
        <w:tc>
          <w:tcPr>
            <w:tcW w:w="7336" w:type="dxa"/>
            <w:shd w:val="clear" w:color="auto" w:fill="EEECE1"/>
            <w:vAlign w:val="center"/>
          </w:tcPr>
          <w:p w:rsidR="00385835" w:rsidRPr="00385835" w:rsidRDefault="00385835" w:rsidP="00385835">
            <w:pPr>
              <w:spacing w:after="0" w:line="240" w:lineRule="auto"/>
              <w:jc w:val="both"/>
              <w:rPr>
                <w:rFonts w:ascii="Times New Roman" w:hAnsi="Times New Roman"/>
                <w:b/>
                <w:sz w:val="24"/>
                <w:szCs w:val="24"/>
              </w:rPr>
            </w:pPr>
            <w:r w:rsidRPr="00385835">
              <w:rPr>
                <w:rFonts w:ascii="Times New Roman" w:hAnsi="Times New Roman"/>
                <w:b/>
                <w:sz w:val="24"/>
                <w:szCs w:val="24"/>
              </w:rPr>
              <w:t>Sumažinti miestuose kietųjų dalelių ore ir cheminių medžiagų grunte pavojaus sveikatai ir aplinkai taršos lygį</w:t>
            </w:r>
          </w:p>
        </w:tc>
      </w:tr>
      <w:tr w:rsidR="00385835" w:rsidRPr="00385835" w:rsidTr="00385835">
        <w:tc>
          <w:tcPr>
            <w:tcW w:w="9746" w:type="dxa"/>
            <w:gridSpan w:val="2"/>
            <w:shd w:val="clear" w:color="auto" w:fill="auto"/>
          </w:tcPr>
          <w:p w:rsidR="00385835" w:rsidRPr="00385835" w:rsidRDefault="00385835" w:rsidP="00385835">
            <w:pPr>
              <w:spacing w:after="0" w:line="240" w:lineRule="auto"/>
              <w:ind w:firstLine="459"/>
              <w:jc w:val="both"/>
              <w:rPr>
                <w:rFonts w:ascii="Times New Roman" w:eastAsia="Times New Roman" w:hAnsi="Times New Roman"/>
                <w:sz w:val="24"/>
                <w:szCs w:val="24"/>
                <w:lang w:eastAsia="lt-LT"/>
              </w:rPr>
            </w:pPr>
            <w:r w:rsidRPr="00385835">
              <w:rPr>
                <w:rFonts w:ascii="Times New Roman" w:eastAsia="Times New Roman" w:hAnsi="Times New Roman"/>
                <w:sz w:val="24"/>
                <w:szCs w:val="24"/>
                <w:lang w:eastAsia="lt-LT"/>
              </w:rPr>
              <w:t>Viena iš pagrindinių problemų, su kuriomis susiduriama urbanizuotose teritorijose – nepakankama aplinkos oro kokybė, kenkianti žmogaus sveikatai ir aplinkai. Lietuvoj</w:t>
            </w:r>
            <w:r w:rsidR="001F2DC4">
              <w:rPr>
                <w:rFonts w:ascii="Times New Roman" w:eastAsia="Times New Roman" w:hAnsi="Times New Roman"/>
                <w:sz w:val="24"/>
                <w:szCs w:val="24"/>
                <w:lang w:eastAsia="lt-LT"/>
              </w:rPr>
              <w:t>e iki 18 proc. miestų gyventojų</w:t>
            </w:r>
            <w:r w:rsidRPr="00385835">
              <w:rPr>
                <w:rFonts w:ascii="Times New Roman" w:eastAsia="Times New Roman" w:hAnsi="Times New Roman"/>
                <w:sz w:val="24"/>
                <w:szCs w:val="24"/>
                <w:lang w:eastAsia="lt-LT"/>
              </w:rPr>
              <w:t xml:space="preserve"> gyvena teritorijose, kuriose kietųjų dalelių (KD</w:t>
            </w:r>
            <w:r w:rsidRPr="00385835">
              <w:rPr>
                <w:rFonts w:ascii="Times New Roman" w:eastAsia="Times New Roman" w:hAnsi="Times New Roman"/>
                <w:sz w:val="24"/>
                <w:szCs w:val="24"/>
                <w:vertAlign w:val="subscript"/>
                <w:lang w:eastAsia="lt-LT"/>
              </w:rPr>
              <w:t>10</w:t>
            </w:r>
            <w:r w:rsidRPr="00385835">
              <w:rPr>
                <w:rFonts w:ascii="Times New Roman" w:eastAsia="Times New Roman" w:hAnsi="Times New Roman"/>
                <w:sz w:val="24"/>
                <w:szCs w:val="24"/>
                <w:lang w:eastAsia="lt-LT"/>
              </w:rPr>
              <w:t>) koncentracija aplinkos ore viršija leistinas normas, t.y. 35 dienas per metus, kai paros ribinė vertė yra 50μg/m</w:t>
            </w:r>
            <w:r w:rsidRPr="00385835">
              <w:rPr>
                <w:rFonts w:ascii="Times New Roman" w:eastAsia="Times New Roman" w:hAnsi="Times New Roman"/>
                <w:sz w:val="24"/>
                <w:szCs w:val="24"/>
                <w:vertAlign w:val="superscript"/>
                <w:lang w:eastAsia="lt-LT"/>
              </w:rPr>
              <w:t>3</w:t>
            </w:r>
            <w:r w:rsidRPr="00385835">
              <w:rPr>
                <w:rFonts w:ascii="Times New Roman" w:eastAsia="Times New Roman" w:hAnsi="Times New Roman"/>
                <w:sz w:val="24"/>
                <w:szCs w:val="24"/>
                <w:lang w:eastAsia="lt-LT"/>
              </w:rPr>
              <w:t xml:space="preserve">. Siekiant mažinti oro taršą ir </w:t>
            </w:r>
            <w:r w:rsidRPr="00385835">
              <w:rPr>
                <w:rFonts w:ascii="Times New Roman" w:eastAsia="Times New Roman" w:hAnsi="Times New Roman"/>
                <w:bCs/>
                <w:sz w:val="24"/>
                <w:szCs w:val="24"/>
                <w:lang w:eastAsia="lt-LT"/>
              </w:rPr>
              <w:t>užtikrinti reikalavimus atitinkančią miestų aplinkos oro kokybę</w:t>
            </w:r>
            <w:r w:rsidRPr="00385835">
              <w:rPr>
                <w:rFonts w:ascii="Times New Roman" w:eastAsia="Times New Roman" w:hAnsi="Times New Roman"/>
                <w:sz w:val="24"/>
                <w:szCs w:val="24"/>
                <w:lang w:eastAsia="lt-LT"/>
              </w:rPr>
              <w:t xml:space="preserve">, </w:t>
            </w:r>
            <w:r w:rsidRPr="00385835">
              <w:rPr>
                <w:rFonts w:ascii="Times New Roman" w:eastAsia="Times New Roman" w:hAnsi="Times New Roman"/>
                <w:bCs/>
                <w:sz w:val="24"/>
                <w:szCs w:val="24"/>
                <w:lang w:eastAsia="lt-LT"/>
              </w:rPr>
              <w:t>būtina pagerinti oro kokybės valdymą savivaldybių lygmenyje, didinti visuomenės sąmoningumą ir švietimą</w:t>
            </w:r>
            <w:r w:rsidRPr="00385835">
              <w:rPr>
                <w:rFonts w:ascii="Times New Roman" w:eastAsia="Times New Roman" w:hAnsi="Times New Roman"/>
                <w:bCs/>
                <w:iCs/>
                <w:sz w:val="24"/>
                <w:szCs w:val="24"/>
                <w:lang w:eastAsia="lt-LT"/>
              </w:rPr>
              <w:t xml:space="preserve"> apie oro taršos keliamų grėsmių poveikį aplinkai, žmonių sveikatai</w:t>
            </w:r>
            <w:r w:rsidRPr="00385835">
              <w:rPr>
                <w:rFonts w:ascii="Times New Roman" w:eastAsia="Times New Roman" w:hAnsi="Times New Roman"/>
                <w:bCs/>
                <w:sz w:val="24"/>
                <w:szCs w:val="24"/>
                <w:lang w:eastAsia="lt-LT"/>
              </w:rPr>
              <w:t xml:space="preserve"> ir gyvybei, taip pat įgyvendinti oro taršos kietosiomis dalelėmis mažinimo priemones, leisiančias sumažinti aplinkos oro taršą, kylančią dėl tinkamai neišvalytos sausos kelių dangos, kur ypač daug šių teršalų susikaupia žiemą dėl kelių barstymo smėlio ir druskų mišiniu.</w:t>
            </w:r>
          </w:p>
          <w:p w:rsidR="00385835" w:rsidRPr="00385835" w:rsidRDefault="00385835" w:rsidP="00385835">
            <w:pPr>
              <w:tabs>
                <w:tab w:val="left" w:pos="993"/>
              </w:tabs>
              <w:spacing w:after="0" w:line="240" w:lineRule="auto"/>
              <w:ind w:firstLine="459"/>
              <w:jc w:val="both"/>
              <w:rPr>
                <w:rFonts w:ascii="Times New Roman" w:eastAsia="Times New Roman" w:hAnsi="Times New Roman"/>
                <w:bCs/>
                <w:sz w:val="24"/>
                <w:szCs w:val="24"/>
                <w:lang w:eastAsia="lt-LT"/>
              </w:rPr>
            </w:pPr>
            <w:r w:rsidRPr="00385835">
              <w:rPr>
                <w:rFonts w:ascii="Times New Roman" w:eastAsia="Times New Roman" w:hAnsi="Times New Roman"/>
                <w:bCs/>
                <w:sz w:val="24"/>
                <w:szCs w:val="24"/>
                <w:lang w:eastAsia="lt-LT"/>
              </w:rPr>
              <w:t xml:space="preserve">Didžiausias neigiamas cheminių medžiagų taršos poveikis yra gausiai gyvenamose urbanizuotose vietovėse. Lietuvoje yra daugiau kaip 11 tūkst. potencialių cheminės taršos židinių, kurių bendras plotas siekia apie 0,43 proc. šalies ploto, iš jų apie </w:t>
            </w:r>
            <w:r w:rsidRPr="00385835">
              <w:rPr>
                <w:rFonts w:ascii="Times New Roman" w:eastAsia="Times New Roman" w:hAnsi="Times New Roman"/>
                <w:sz w:val="24"/>
                <w:szCs w:val="24"/>
                <w:lang w:eastAsia="lt-LT"/>
              </w:rPr>
              <w:t xml:space="preserve">20,5 proc. (2285 vnt.) yra savivaldybių centrų arba didžiausio savivaldybės miesto teritorijoje. </w:t>
            </w:r>
            <w:r w:rsidRPr="00385835">
              <w:rPr>
                <w:rFonts w:ascii="Times New Roman" w:eastAsia="Times New Roman" w:hAnsi="Times New Roman"/>
                <w:bCs/>
                <w:sz w:val="24"/>
                <w:szCs w:val="24"/>
                <w:lang w:eastAsia="lt-LT"/>
              </w:rPr>
              <w:t>Siekiant išvengti pavojaus aplinkai ir žmonių sveikatai, turi būti vykdomos priemonės</w:t>
            </w:r>
            <w:r w:rsidR="001F2DC4">
              <w:rPr>
                <w:rFonts w:ascii="Times New Roman" w:eastAsia="Times New Roman" w:hAnsi="Times New Roman"/>
                <w:bCs/>
                <w:sz w:val="24"/>
                <w:szCs w:val="24"/>
                <w:lang w:eastAsia="lt-LT"/>
              </w:rPr>
              <w:t>,</w:t>
            </w:r>
            <w:r w:rsidRPr="00385835">
              <w:rPr>
                <w:rFonts w:ascii="Times New Roman" w:eastAsia="Times New Roman" w:hAnsi="Times New Roman"/>
                <w:bCs/>
                <w:sz w:val="24"/>
                <w:szCs w:val="24"/>
                <w:lang w:eastAsia="lt-LT"/>
              </w:rPr>
              <w:t xml:space="preserve"> skirtos </w:t>
            </w:r>
            <w:r w:rsidRPr="00385835">
              <w:rPr>
                <w:rFonts w:ascii="Times New Roman" w:eastAsia="Times New Roman" w:hAnsi="Times New Roman"/>
                <w:sz w:val="24"/>
                <w:szCs w:val="24"/>
                <w:lang w:eastAsia="lt-LT"/>
              </w:rPr>
              <w:t xml:space="preserve">tinkamai grunto apsaugai, užterštų teritorijų atkūrimui ir </w:t>
            </w:r>
            <w:r w:rsidRPr="00385835">
              <w:rPr>
                <w:rFonts w:ascii="Times New Roman" w:eastAsia="Times New Roman" w:hAnsi="Times New Roman"/>
                <w:bCs/>
                <w:sz w:val="24"/>
                <w:szCs w:val="24"/>
                <w:lang w:eastAsia="lt-LT"/>
              </w:rPr>
              <w:t xml:space="preserve">pavojingiausių taršos židinių esančių miestų teritorijose </w:t>
            </w:r>
            <w:r w:rsidRPr="00385835">
              <w:rPr>
                <w:rFonts w:ascii="Times New Roman" w:eastAsia="Times New Roman" w:hAnsi="Times New Roman"/>
                <w:sz w:val="24"/>
                <w:szCs w:val="24"/>
                <w:lang w:eastAsia="lt-LT"/>
              </w:rPr>
              <w:t>s</w:t>
            </w:r>
            <w:r w:rsidRPr="00385835">
              <w:rPr>
                <w:rFonts w:ascii="Times New Roman" w:eastAsia="Times New Roman" w:hAnsi="Times New Roman"/>
                <w:bCs/>
                <w:sz w:val="24"/>
                <w:szCs w:val="24"/>
                <w:lang w:eastAsia="lt-LT"/>
              </w:rPr>
              <w:t>utvarkymui.</w:t>
            </w:r>
          </w:p>
          <w:p w:rsidR="00385835" w:rsidRPr="00385835" w:rsidRDefault="00385835" w:rsidP="00385835">
            <w:pPr>
              <w:tabs>
                <w:tab w:val="left" w:pos="993"/>
              </w:tabs>
              <w:spacing w:after="0" w:line="240" w:lineRule="auto"/>
              <w:ind w:firstLine="459"/>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Numatoma, kad miestų aplinkos oro kokybės gerinimo, taip pat grunto apsaugos, užterštų teritorijų atkūrimo ir pavojingiausių taršos židinių esančių miestų te</w:t>
            </w:r>
            <w:r w:rsidR="001F2DC4">
              <w:rPr>
                <w:rFonts w:ascii="Times New Roman" w:eastAsia="AngsanaUPC" w:hAnsi="Times New Roman"/>
                <w:bCs/>
                <w:sz w:val="24"/>
                <w:szCs w:val="24"/>
                <w:lang w:eastAsia="lt-LT"/>
              </w:rPr>
              <w:t>ritorijose sutvarkymo priemonės</w:t>
            </w:r>
            <w:r w:rsidRPr="00385835">
              <w:rPr>
                <w:rFonts w:ascii="Times New Roman" w:eastAsia="AngsanaUPC" w:hAnsi="Times New Roman"/>
                <w:bCs/>
                <w:sz w:val="24"/>
                <w:szCs w:val="24"/>
                <w:lang w:eastAsia="lt-LT"/>
              </w:rPr>
              <w:t xml:space="preserve"> tam tikrose tikslinėse teritorijose prisidės prie integruotų teritorijų vystymo programų įgyvendinimo. </w:t>
            </w:r>
          </w:p>
          <w:p w:rsidR="00385835" w:rsidRPr="00385835" w:rsidRDefault="00385835" w:rsidP="00385835">
            <w:pPr>
              <w:tabs>
                <w:tab w:val="left" w:pos="993"/>
              </w:tabs>
              <w:spacing w:after="0" w:line="240" w:lineRule="auto"/>
              <w:ind w:firstLine="459"/>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Planuojamos investicijos užtikrins savivaldybių galimybę taikyti veiksmingas priemones, padėsiančias užtikrinti reikalavimus atitinkančią aplinkos oro kokybę, taip pat pagerins miestų aplinką, sudarys sąlygas sutvarkytose teritorijose plėtoti įvairias ekonomines ir socialines veiklas</w:t>
            </w:r>
          </w:p>
        </w:tc>
      </w:tr>
    </w:tbl>
    <w:p w:rsidR="00031EF1" w:rsidRPr="00385835" w:rsidRDefault="00031EF1"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567"/>
        <w:gridCol w:w="1985"/>
        <w:gridCol w:w="1134"/>
        <w:gridCol w:w="1134"/>
        <w:gridCol w:w="850"/>
        <w:gridCol w:w="993"/>
        <w:gridCol w:w="850"/>
        <w:gridCol w:w="992"/>
        <w:gridCol w:w="1241"/>
      </w:tblGrid>
      <w:tr w:rsidR="00385835" w:rsidRPr="00385835" w:rsidTr="00385835">
        <w:tc>
          <w:tcPr>
            <w:tcW w:w="9746" w:type="dxa"/>
            <w:gridSpan w:val="9"/>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i/>
                <w:iCs/>
                <w:sz w:val="24"/>
                <w:szCs w:val="24"/>
                <w:lang w:eastAsia="lt-LT"/>
              </w:rPr>
            </w:pPr>
            <w:r w:rsidRPr="00385835">
              <w:rPr>
                <w:rFonts w:ascii="Times New Roman" w:eastAsia="AngsanaUPC" w:hAnsi="Times New Roman"/>
                <w:b/>
                <w:bCs/>
                <w:i/>
                <w:iCs/>
                <w:sz w:val="24"/>
                <w:szCs w:val="24"/>
                <w:lang w:eastAsia="lt-LT"/>
              </w:rPr>
              <w:t xml:space="preserve">SaF </w:t>
            </w:r>
            <w:r w:rsidR="00B1109C">
              <w:rPr>
                <w:rFonts w:ascii="Times New Roman" w:eastAsia="AngsanaUPC" w:hAnsi="Times New Roman"/>
                <w:b/>
                <w:bCs/>
                <w:i/>
                <w:iCs/>
                <w:sz w:val="24"/>
                <w:szCs w:val="24"/>
                <w:lang w:eastAsia="lt-LT"/>
              </w:rPr>
              <w:t xml:space="preserve">specialieji </w:t>
            </w:r>
            <w:r w:rsidRPr="00385835">
              <w:rPr>
                <w:rFonts w:ascii="Times New Roman" w:eastAsia="AngsanaUPC" w:hAnsi="Times New Roman"/>
                <w:b/>
                <w:bCs/>
                <w:i/>
                <w:iCs/>
                <w:sz w:val="24"/>
                <w:szCs w:val="24"/>
                <w:lang w:eastAsia="lt-LT"/>
              </w:rPr>
              <w:t>programos rezultato rodikliai</w:t>
            </w:r>
          </w:p>
        </w:tc>
      </w:tr>
      <w:tr w:rsidR="00385835" w:rsidRPr="00385835" w:rsidTr="004F39B3">
        <w:tblPrEx>
          <w:shd w:val="clear" w:color="auto" w:fill="auto"/>
        </w:tblPrEx>
        <w:trPr>
          <w:cantSplit/>
          <w:trHeight w:val="858"/>
        </w:trPr>
        <w:tc>
          <w:tcPr>
            <w:tcW w:w="567"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Nr.</w:t>
            </w:r>
          </w:p>
        </w:tc>
        <w:tc>
          <w:tcPr>
            <w:tcW w:w="1985"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Rodiklio pavadinimas</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Matavimo vienetas</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Regiono kategorija</w:t>
            </w:r>
          </w:p>
        </w:tc>
        <w:tc>
          <w:tcPr>
            <w:tcW w:w="850"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 reikšmė</w:t>
            </w:r>
          </w:p>
        </w:tc>
        <w:tc>
          <w:tcPr>
            <w:tcW w:w="993"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Pradinės reikšmės metai</w:t>
            </w:r>
          </w:p>
        </w:tc>
        <w:tc>
          <w:tcPr>
            <w:tcW w:w="850"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Siektina reikšmė (2023)</w:t>
            </w:r>
          </w:p>
        </w:tc>
        <w:tc>
          <w:tcPr>
            <w:tcW w:w="992"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Duomenų šaltinis</w:t>
            </w:r>
          </w:p>
        </w:tc>
        <w:tc>
          <w:tcPr>
            <w:tcW w:w="124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Atsiskaitymo dažnumas</w:t>
            </w:r>
          </w:p>
        </w:tc>
      </w:tr>
      <w:tr w:rsidR="00385835" w:rsidRPr="00385835" w:rsidTr="004F39B3">
        <w:tblPrEx>
          <w:shd w:val="clear" w:color="auto" w:fill="auto"/>
        </w:tblPrEx>
        <w:tc>
          <w:tcPr>
            <w:tcW w:w="56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w:t>
            </w:r>
          </w:p>
        </w:tc>
        <w:tc>
          <w:tcPr>
            <w:tcW w:w="1985" w:type="dxa"/>
            <w:shd w:val="clear" w:color="auto" w:fill="auto"/>
          </w:tcPr>
          <w:p w:rsidR="00385835" w:rsidRPr="00385835" w:rsidRDefault="00385835" w:rsidP="00385835">
            <w:pPr>
              <w:widowControl w:val="0"/>
              <w:tabs>
                <w:tab w:val="left" w:pos="622"/>
              </w:tabs>
              <w:spacing w:after="0" w:line="240" w:lineRule="auto"/>
              <w:rPr>
                <w:rFonts w:ascii="Times New Roman" w:eastAsia="AngsanaUPC" w:hAnsi="Times New Roman"/>
                <w:bCs/>
                <w:sz w:val="18"/>
                <w:szCs w:val="18"/>
                <w:lang w:eastAsia="lt-LT"/>
              </w:rPr>
            </w:pPr>
            <w:r w:rsidRPr="00385835">
              <w:rPr>
                <w:rFonts w:ascii="Times New Roman" w:eastAsia="AngsanaUPC" w:hAnsi="Times New Roman"/>
                <w:bCs/>
                <w:sz w:val="18"/>
                <w:szCs w:val="18"/>
                <w:lang w:eastAsia="lt-LT"/>
              </w:rPr>
              <w:t>Dienų, kai buvo viršyta kietųjų dalelių (</w:t>
            </w:r>
            <w:r w:rsidRPr="00385835">
              <w:rPr>
                <w:rFonts w:ascii="Times New Roman" w:eastAsia="Times New Roman" w:hAnsi="Times New Roman"/>
                <w:sz w:val="18"/>
                <w:szCs w:val="18"/>
                <w:lang w:eastAsia="lt-LT"/>
              </w:rPr>
              <w:t>KD</w:t>
            </w:r>
            <w:r w:rsidRPr="00385835">
              <w:rPr>
                <w:rFonts w:ascii="Times New Roman" w:eastAsia="Times New Roman" w:hAnsi="Times New Roman"/>
                <w:sz w:val="18"/>
                <w:szCs w:val="18"/>
                <w:vertAlign w:val="subscript"/>
                <w:lang w:eastAsia="lt-LT"/>
              </w:rPr>
              <w:t>10</w:t>
            </w:r>
            <w:r w:rsidRPr="00385835">
              <w:rPr>
                <w:rFonts w:ascii="Times New Roman" w:eastAsia="AngsanaUPC" w:hAnsi="Times New Roman"/>
                <w:bCs/>
                <w:sz w:val="18"/>
                <w:szCs w:val="18"/>
                <w:lang w:eastAsia="lt-LT"/>
              </w:rPr>
              <w:t xml:space="preserve">) koncentracijos paros ribinė vertė, skaičius 5 didžiuosiuose miestuose </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18"/>
                <w:szCs w:val="18"/>
                <w:lang w:eastAsia="lt-LT"/>
              </w:rPr>
            </w:pPr>
            <w:r w:rsidRPr="00385835">
              <w:rPr>
                <w:rFonts w:ascii="Times New Roman" w:eastAsia="AngsanaUPC" w:hAnsi="Times New Roman"/>
                <w:bCs/>
                <w:sz w:val="18"/>
                <w:szCs w:val="18"/>
                <w:lang w:eastAsia="lt-LT"/>
              </w:rPr>
              <w:t>Dienos</w:t>
            </w:r>
          </w:p>
        </w:tc>
        <w:tc>
          <w:tcPr>
            <w:tcW w:w="1134" w:type="dxa"/>
            <w:shd w:val="clear" w:color="auto" w:fill="auto"/>
            <w:vAlign w:val="center"/>
          </w:tcPr>
          <w:p w:rsidR="00385835" w:rsidRPr="00385835" w:rsidRDefault="00515A37" w:rsidP="00385835">
            <w:pPr>
              <w:widowControl w:val="0"/>
              <w:tabs>
                <w:tab w:val="left" w:pos="622"/>
              </w:tabs>
              <w:spacing w:after="0" w:line="240" w:lineRule="auto"/>
              <w:jc w:val="center"/>
              <w:rPr>
                <w:rFonts w:ascii="Times New Roman" w:eastAsia="AngsanaUPC" w:hAnsi="Times New Roman"/>
                <w:bCs/>
                <w:sz w:val="18"/>
                <w:szCs w:val="18"/>
                <w:lang w:eastAsia="lt-LT"/>
              </w:rPr>
            </w:pPr>
            <w:r>
              <w:rPr>
                <w:rFonts w:ascii="Times New Roman" w:eastAsia="AngsanaUPC" w:hAnsi="Times New Roman"/>
                <w:bCs/>
                <w:sz w:val="18"/>
                <w:szCs w:val="18"/>
                <w:lang w:eastAsia="lt-LT"/>
              </w:rPr>
              <w:t>–</w:t>
            </w:r>
          </w:p>
        </w:tc>
        <w:tc>
          <w:tcPr>
            <w:tcW w:w="850"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 xml:space="preserve">201 </w:t>
            </w:r>
          </w:p>
        </w:tc>
        <w:tc>
          <w:tcPr>
            <w:tcW w:w="993"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2012</w:t>
            </w:r>
          </w:p>
        </w:tc>
        <w:tc>
          <w:tcPr>
            <w:tcW w:w="850"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190</w:t>
            </w:r>
          </w:p>
        </w:tc>
        <w:tc>
          <w:tcPr>
            <w:tcW w:w="992"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Aplinkos apsaugos agentūra</w:t>
            </w:r>
          </w:p>
        </w:tc>
        <w:tc>
          <w:tcPr>
            <w:tcW w:w="124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385835" w:rsidRPr="00385835" w:rsidTr="004F39B3">
        <w:tblPrEx>
          <w:shd w:val="clear" w:color="auto" w:fill="auto"/>
        </w:tblPrEx>
        <w:tc>
          <w:tcPr>
            <w:tcW w:w="56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w:t>
            </w:r>
          </w:p>
        </w:tc>
        <w:tc>
          <w:tcPr>
            <w:tcW w:w="1985" w:type="dxa"/>
            <w:shd w:val="clear" w:color="auto" w:fill="auto"/>
          </w:tcPr>
          <w:p w:rsidR="00385835" w:rsidRPr="00385835" w:rsidRDefault="00385835" w:rsidP="00385835">
            <w:pPr>
              <w:widowControl w:val="0"/>
              <w:tabs>
                <w:tab w:val="left" w:pos="622"/>
              </w:tabs>
              <w:spacing w:after="0" w:line="240" w:lineRule="auto"/>
              <w:rPr>
                <w:rFonts w:ascii="Times New Roman" w:eastAsia="AngsanaUPC" w:hAnsi="Times New Roman"/>
                <w:bCs/>
                <w:sz w:val="18"/>
                <w:szCs w:val="18"/>
                <w:lang w:eastAsia="lt-LT"/>
              </w:rPr>
            </w:pPr>
            <w:r w:rsidRPr="00385835">
              <w:rPr>
                <w:rFonts w:ascii="Times New Roman" w:eastAsia="AngsanaUPC" w:hAnsi="Times New Roman"/>
                <w:bCs/>
                <w:sz w:val="18"/>
                <w:szCs w:val="18"/>
                <w:lang w:eastAsia="lt-LT"/>
              </w:rPr>
              <w:t>Ypatingai didelio pavojaus potencialūs taršos židiniai</w:t>
            </w:r>
          </w:p>
        </w:tc>
        <w:tc>
          <w:tcPr>
            <w:tcW w:w="1134" w:type="dxa"/>
            <w:shd w:val="clear" w:color="auto" w:fill="auto"/>
            <w:vAlign w:val="center"/>
          </w:tcPr>
          <w:p w:rsidR="00385835" w:rsidRPr="002C08FA" w:rsidRDefault="003604BB" w:rsidP="003604BB">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Vienetai</w:t>
            </w:r>
          </w:p>
        </w:tc>
        <w:tc>
          <w:tcPr>
            <w:tcW w:w="1134" w:type="dxa"/>
            <w:shd w:val="clear" w:color="auto" w:fill="auto"/>
            <w:vAlign w:val="center"/>
          </w:tcPr>
          <w:p w:rsidR="00385835" w:rsidRPr="002C08FA" w:rsidRDefault="00515A37" w:rsidP="00385835">
            <w:pPr>
              <w:widowControl w:val="0"/>
              <w:tabs>
                <w:tab w:val="left" w:pos="622"/>
              </w:tabs>
              <w:spacing w:after="0" w:line="240" w:lineRule="auto"/>
              <w:jc w:val="center"/>
              <w:rPr>
                <w:rFonts w:ascii="Times New Roman" w:eastAsia="AngsanaUPC" w:hAnsi="Times New Roman"/>
                <w:bCs/>
                <w:sz w:val="18"/>
                <w:szCs w:val="18"/>
                <w:lang w:eastAsia="lt-LT"/>
              </w:rPr>
            </w:pPr>
            <w:r w:rsidRPr="002C08FA">
              <w:rPr>
                <w:rFonts w:ascii="Times New Roman" w:eastAsia="AngsanaUPC" w:hAnsi="Times New Roman"/>
                <w:bCs/>
                <w:sz w:val="18"/>
                <w:szCs w:val="18"/>
                <w:lang w:eastAsia="lt-LT"/>
              </w:rPr>
              <w:t>–</w:t>
            </w:r>
          </w:p>
        </w:tc>
        <w:tc>
          <w:tcPr>
            <w:tcW w:w="850"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1</w:t>
            </w:r>
            <w:r w:rsidR="00C76808" w:rsidRPr="002C08FA">
              <w:rPr>
                <w:rFonts w:ascii="Times New Roman" w:eastAsia="AngsanaUPC" w:hAnsi="Times New Roman"/>
                <w:bCs/>
                <w:iCs/>
                <w:sz w:val="18"/>
                <w:szCs w:val="18"/>
                <w:lang w:eastAsia="lt-LT"/>
              </w:rPr>
              <w:t>.</w:t>
            </w:r>
            <w:r w:rsidRPr="002C08FA">
              <w:rPr>
                <w:rFonts w:ascii="Times New Roman" w:eastAsia="AngsanaUPC" w:hAnsi="Times New Roman"/>
                <w:bCs/>
                <w:iCs/>
                <w:sz w:val="18"/>
                <w:szCs w:val="18"/>
                <w:lang w:eastAsia="lt-LT"/>
              </w:rPr>
              <w:t>191</w:t>
            </w:r>
          </w:p>
        </w:tc>
        <w:tc>
          <w:tcPr>
            <w:tcW w:w="993"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2012</w:t>
            </w:r>
          </w:p>
        </w:tc>
        <w:tc>
          <w:tcPr>
            <w:tcW w:w="850" w:type="dxa"/>
            <w:shd w:val="clear" w:color="auto" w:fill="auto"/>
            <w:vAlign w:val="center"/>
          </w:tcPr>
          <w:p w:rsidR="00385835" w:rsidRPr="002C08FA" w:rsidRDefault="00385835" w:rsidP="003604BB">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1</w:t>
            </w:r>
            <w:r w:rsidR="00C76808" w:rsidRPr="002C08FA">
              <w:rPr>
                <w:rFonts w:ascii="Times New Roman" w:eastAsia="AngsanaUPC" w:hAnsi="Times New Roman"/>
                <w:bCs/>
                <w:iCs/>
                <w:sz w:val="18"/>
                <w:szCs w:val="18"/>
                <w:lang w:eastAsia="lt-LT"/>
              </w:rPr>
              <w:t>.</w:t>
            </w:r>
            <w:r w:rsidR="003604BB" w:rsidRPr="002C08FA">
              <w:rPr>
                <w:rFonts w:ascii="Times New Roman" w:eastAsia="AngsanaUPC" w:hAnsi="Times New Roman"/>
                <w:bCs/>
                <w:iCs/>
                <w:sz w:val="18"/>
                <w:szCs w:val="18"/>
                <w:lang w:eastAsia="lt-LT"/>
              </w:rPr>
              <w:t>25</w:t>
            </w:r>
            <w:r w:rsidRPr="002C08FA">
              <w:rPr>
                <w:rFonts w:ascii="Times New Roman" w:eastAsia="AngsanaUPC" w:hAnsi="Times New Roman"/>
                <w:bCs/>
                <w:iCs/>
                <w:sz w:val="18"/>
                <w:szCs w:val="18"/>
                <w:lang w:eastAsia="lt-LT"/>
              </w:rPr>
              <w:t>0</w:t>
            </w:r>
          </w:p>
        </w:tc>
        <w:tc>
          <w:tcPr>
            <w:tcW w:w="992"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Lietuvos geologijos tarnyba</w:t>
            </w:r>
          </w:p>
        </w:tc>
        <w:tc>
          <w:tcPr>
            <w:tcW w:w="124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385835" w:rsidRPr="00385835" w:rsidTr="00385835">
        <w:tc>
          <w:tcPr>
            <w:tcW w:w="9746" w:type="dxa"/>
            <w:tcBorders>
              <w:top w:val="single" w:sz="4" w:space="0" w:color="auto"/>
              <w:left w:val="single" w:sz="4" w:space="0" w:color="auto"/>
              <w:bottom w:val="single" w:sz="4" w:space="0" w:color="auto"/>
              <w:right w:val="single" w:sz="4" w:space="0" w:color="auto"/>
            </w:tcBorders>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Cs/>
                <w:iCs/>
                <w:sz w:val="24"/>
                <w:szCs w:val="24"/>
                <w:lang w:eastAsia="lt-LT"/>
              </w:rPr>
            </w:pPr>
            <w:r w:rsidRPr="00385835">
              <w:rPr>
                <w:rFonts w:ascii="Times New Roman" w:eastAsia="AngsanaUPC" w:hAnsi="Times New Roman"/>
                <w:b/>
                <w:bCs/>
                <w:i/>
                <w:iCs/>
                <w:sz w:val="24"/>
                <w:szCs w:val="24"/>
                <w:lang w:eastAsia="lt-LT"/>
              </w:rPr>
              <w:t>5.6. Investicinio prioriteto įgyvendinimo veiklos</w:t>
            </w:r>
          </w:p>
        </w:tc>
      </w:tr>
      <w:tr w:rsidR="00385835" w:rsidRPr="00385835" w:rsidTr="00385835">
        <w:tc>
          <w:tcPr>
            <w:tcW w:w="9746" w:type="dxa"/>
            <w:shd w:val="clear" w:color="auto" w:fill="auto"/>
          </w:tcPr>
          <w:p w:rsidR="00385835" w:rsidRPr="00385835" w:rsidRDefault="00385835" w:rsidP="00650E41">
            <w:pPr>
              <w:widowControl w:val="0"/>
              <w:numPr>
                <w:ilvl w:val="0"/>
                <w:numId w:val="13"/>
              </w:numPr>
              <w:tabs>
                <w:tab w:val="left" w:pos="459"/>
                <w:tab w:val="left" w:pos="1665"/>
              </w:tabs>
              <w:spacing w:after="0" w:line="240" w:lineRule="auto"/>
              <w:ind w:left="34"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Miestų oro kokybės valdymas ir taršos kietosiomis dalelėmis mažinimo priemonių įgyvendinimas. Numatoma skirti paramą savivaldybių aplinkos oro kokybės valdymo planų parengimui ir, siekiant sumažinti miestų oro taršą kietosiomis dalelėmis – remti gatvių priežiūros ir valymo technologijų atnaujinimą, kartu vykdant savivaldybių lygmens visuomenės informavimo priemones apie galimybes kiekvienam asmeniškai prisidėti prie aplinkos oro taršos jo aplinkoje sumažinimo ir galimas neatsakingo gyventojų elgesio pasekmes.</w:t>
            </w:r>
          </w:p>
          <w:p w:rsidR="00385835" w:rsidRPr="00385835" w:rsidRDefault="00385835" w:rsidP="00650E41">
            <w:pPr>
              <w:widowControl w:val="0"/>
              <w:numPr>
                <w:ilvl w:val="0"/>
                <w:numId w:val="13"/>
              </w:numPr>
              <w:tabs>
                <w:tab w:val="left" w:pos="459"/>
                <w:tab w:val="left" w:pos="1665"/>
              </w:tabs>
              <w:spacing w:after="0" w:line="240" w:lineRule="auto"/>
              <w:ind w:left="34"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Cheminėmis medžiagomis užterštų urbanizuotų teritorijų tvarkymas. Siekiant mažinti neigiamą šių teritorijų poveikį aplinkai ir žmonių sveikatai ir užtikrinti gerą dirvožemio, grunto bei požeminio vandens cheminę būklę, bus skiriama parama pavojingiausių cheminėmis medžiagomis užterštų teritorijų likvidavimui (rekultivavimui) urbanizuotose teritorijose.</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567"/>
        <w:gridCol w:w="2835"/>
        <w:gridCol w:w="1134"/>
        <w:gridCol w:w="851"/>
        <w:gridCol w:w="1134"/>
        <w:gridCol w:w="850"/>
        <w:gridCol w:w="1134"/>
        <w:gridCol w:w="1241"/>
      </w:tblGrid>
      <w:tr w:rsidR="00385835" w:rsidRPr="00385835" w:rsidTr="00385835">
        <w:tc>
          <w:tcPr>
            <w:tcW w:w="9746" w:type="dxa"/>
            <w:gridSpan w:val="8"/>
            <w:shd w:val="clear" w:color="auto" w:fill="EEECE1"/>
          </w:tcPr>
          <w:p w:rsidR="00385835" w:rsidRPr="00385835" w:rsidRDefault="00385835" w:rsidP="00B1109C">
            <w:pPr>
              <w:widowControl w:val="0"/>
              <w:tabs>
                <w:tab w:val="left" w:pos="622"/>
              </w:tabs>
              <w:spacing w:after="0" w:line="240" w:lineRule="auto"/>
              <w:jc w:val="both"/>
              <w:rPr>
                <w:rFonts w:ascii="Times New Roman" w:eastAsia="AngsanaUPC" w:hAnsi="Times New Roman"/>
                <w:b/>
                <w:bCs/>
                <w:i/>
                <w:iCs/>
                <w:sz w:val="24"/>
                <w:szCs w:val="24"/>
                <w:lang w:eastAsia="lt-LT"/>
              </w:rPr>
            </w:pPr>
            <w:r w:rsidRPr="00385835">
              <w:rPr>
                <w:rFonts w:ascii="Times New Roman" w:eastAsia="AngsanaUPC" w:hAnsi="Times New Roman"/>
                <w:b/>
                <w:bCs/>
                <w:i/>
                <w:iCs/>
                <w:sz w:val="24"/>
                <w:szCs w:val="24"/>
                <w:lang w:eastAsia="lt-LT"/>
              </w:rPr>
              <w:lastRenderedPageBreak/>
              <w:t xml:space="preserve">SaF bendrieji ir </w:t>
            </w:r>
            <w:r w:rsidR="00B1109C">
              <w:rPr>
                <w:rFonts w:ascii="Times New Roman" w:eastAsia="AngsanaUPC" w:hAnsi="Times New Roman"/>
                <w:b/>
                <w:bCs/>
                <w:i/>
                <w:iCs/>
                <w:sz w:val="24"/>
                <w:szCs w:val="24"/>
                <w:lang w:eastAsia="lt-LT"/>
              </w:rPr>
              <w:t xml:space="preserve">specialieji </w:t>
            </w:r>
            <w:r w:rsidRPr="00385835">
              <w:rPr>
                <w:rFonts w:ascii="Times New Roman" w:eastAsia="AngsanaUPC" w:hAnsi="Times New Roman"/>
                <w:b/>
                <w:bCs/>
                <w:i/>
                <w:iCs/>
                <w:sz w:val="24"/>
                <w:szCs w:val="24"/>
                <w:lang w:eastAsia="lt-LT"/>
              </w:rPr>
              <w:t xml:space="preserve">programos produkto rodikliai </w:t>
            </w:r>
          </w:p>
        </w:tc>
      </w:tr>
      <w:tr w:rsidR="00385835" w:rsidRPr="00385835" w:rsidTr="00385835">
        <w:tblPrEx>
          <w:shd w:val="clear" w:color="auto" w:fill="auto"/>
        </w:tblPrEx>
        <w:tc>
          <w:tcPr>
            <w:tcW w:w="567"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Nr.</w:t>
            </w:r>
          </w:p>
        </w:tc>
        <w:tc>
          <w:tcPr>
            <w:tcW w:w="2835"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Rodiklio pavadinimas</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Matavimo vienetas</w:t>
            </w:r>
          </w:p>
        </w:tc>
        <w:tc>
          <w:tcPr>
            <w:tcW w:w="85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Fondas</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Regiono kategorija</w:t>
            </w:r>
          </w:p>
        </w:tc>
        <w:tc>
          <w:tcPr>
            <w:tcW w:w="850"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Siektina reikšmė (2023)</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Duomenų šaltinis</w:t>
            </w:r>
          </w:p>
        </w:tc>
        <w:tc>
          <w:tcPr>
            <w:tcW w:w="124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Atsiskaitymo dažnumas</w:t>
            </w:r>
          </w:p>
        </w:tc>
      </w:tr>
      <w:tr w:rsidR="00385835" w:rsidRPr="00385835" w:rsidTr="00385835">
        <w:tblPrEx>
          <w:shd w:val="clear" w:color="auto" w:fill="auto"/>
        </w:tblPrEx>
        <w:tc>
          <w:tcPr>
            <w:tcW w:w="56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20"/>
                <w:szCs w:val="20"/>
                <w:lang w:eastAsia="lt-LT"/>
              </w:rPr>
            </w:pPr>
            <w:r w:rsidRPr="00385835">
              <w:rPr>
                <w:rFonts w:ascii="Times New Roman" w:eastAsia="AngsanaUPC" w:hAnsi="Times New Roman"/>
                <w:bCs/>
                <w:iCs/>
                <w:sz w:val="20"/>
                <w:szCs w:val="20"/>
                <w:lang w:eastAsia="lt-LT"/>
              </w:rPr>
              <w:t>1.</w:t>
            </w:r>
          </w:p>
        </w:tc>
        <w:tc>
          <w:tcPr>
            <w:tcW w:w="2835" w:type="dxa"/>
            <w:shd w:val="clear" w:color="auto" w:fill="auto"/>
            <w:vAlign w:val="center"/>
          </w:tcPr>
          <w:p w:rsidR="00385835" w:rsidRPr="00385835" w:rsidRDefault="00385835" w:rsidP="00385835">
            <w:pPr>
              <w:widowControl w:val="0"/>
              <w:tabs>
                <w:tab w:val="left" w:pos="622"/>
              </w:tabs>
              <w:spacing w:after="0" w:line="240" w:lineRule="auto"/>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 xml:space="preserve">Įsigyti gatvių valymo įrenginiai </w:t>
            </w:r>
          </w:p>
        </w:tc>
        <w:tc>
          <w:tcPr>
            <w:tcW w:w="1134" w:type="dxa"/>
            <w:shd w:val="clear" w:color="auto" w:fill="auto"/>
            <w:vAlign w:val="center"/>
          </w:tcPr>
          <w:p w:rsidR="00385835" w:rsidRPr="002C08FA" w:rsidRDefault="003604BB" w:rsidP="003604BB">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Vienetai</w:t>
            </w:r>
          </w:p>
        </w:tc>
        <w:tc>
          <w:tcPr>
            <w:tcW w:w="851" w:type="dxa"/>
            <w:shd w:val="clear" w:color="auto" w:fill="auto"/>
            <w:vAlign w:val="center"/>
          </w:tcPr>
          <w:p w:rsidR="00385835" w:rsidRPr="002C08FA"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SaF</w:t>
            </w:r>
          </w:p>
        </w:tc>
        <w:tc>
          <w:tcPr>
            <w:tcW w:w="1134" w:type="dxa"/>
            <w:shd w:val="clear" w:color="auto" w:fill="auto"/>
            <w:vAlign w:val="center"/>
          </w:tcPr>
          <w:p w:rsidR="00385835" w:rsidRPr="002C08FA" w:rsidRDefault="00515A37"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sz w:val="18"/>
                <w:szCs w:val="18"/>
                <w:lang w:eastAsia="lt-LT"/>
              </w:rPr>
              <w:t>–</w:t>
            </w:r>
          </w:p>
        </w:tc>
        <w:tc>
          <w:tcPr>
            <w:tcW w:w="850" w:type="dxa"/>
            <w:shd w:val="clear" w:color="auto" w:fill="auto"/>
            <w:vAlign w:val="center"/>
          </w:tcPr>
          <w:p w:rsidR="00385835" w:rsidRPr="002C08FA" w:rsidRDefault="003604BB"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2C08FA">
              <w:rPr>
                <w:rFonts w:ascii="Times New Roman" w:eastAsia="AngsanaUPC" w:hAnsi="Times New Roman"/>
                <w:bCs/>
                <w:iCs/>
                <w:sz w:val="18"/>
                <w:szCs w:val="18"/>
                <w:lang w:eastAsia="lt-LT"/>
              </w:rPr>
              <w:t>3</w:t>
            </w:r>
            <w:r w:rsidR="00385835" w:rsidRPr="002C08FA">
              <w:rPr>
                <w:rFonts w:ascii="Times New Roman" w:eastAsia="AngsanaUPC" w:hAnsi="Times New Roman"/>
                <w:bCs/>
                <w:iCs/>
                <w:sz w:val="18"/>
                <w:szCs w:val="18"/>
                <w:lang w:eastAsia="lt-LT"/>
              </w:rPr>
              <w:t>0</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Duomenys iš projektų</w:t>
            </w:r>
          </w:p>
        </w:tc>
        <w:tc>
          <w:tcPr>
            <w:tcW w:w="124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385835" w:rsidRPr="00385835" w:rsidTr="00385835">
        <w:tblPrEx>
          <w:shd w:val="clear" w:color="auto" w:fill="auto"/>
        </w:tblPrEx>
        <w:tc>
          <w:tcPr>
            <w:tcW w:w="567" w:type="dxa"/>
            <w:shd w:val="clear" w:color="auto" w:fill="auto"/>
            <w:vAlign w:val="center"/>
          </w:tcPr>
          <w:p w:rsidR="00385835" w:rsidRPr="00385835" w:rsidDel="003120B3" w:rsidRDefault="00385835" w:rsidP="00385835">
            <w:pPr>
              <w:widowControl w:val="0"/>
              <w:tabs>
                <w:tab w:val="left" w:pos="622"/>
              </w:tabs>
              <w:spacing w:after="0" w:line="240" w:lineRule="auto"/>
              <w:jc w:val="center"/>
              <w:rPr>
                <w:rFonts w:ascii="Times New Roman" w:eastAsia="AngsanaUPC" w:hAnsi="Times New Roman"/>
                <w:bCs/>
                <w:iCs/>
                <w:sz w:val="20"/>
                <w:szCs w:val="20"/>
                <w:lang w:eastAsia="lt-LT"/>
              </w:rPr>
            </w:pPr>
            <w:r w:rsidRPr="00385835">
              <w:rPr>
                <w:rFonts w:ascii="Times New Roman" w:eastAsia="AngsanaUPC" w:hAnsi="Times New Roman"/>
                <w:bCs/>
                <w:iCs/>
                <w:sz w:val="20"/>
                <w:szCs w:val="20"/>
                <w:lang w:eastAsia="lt-LT"/>
              </w:rPr>
              <w:t>2.</w:t>
            </w:r>
          </w:p>
        </w:tc>
        <w:tc>
          <w:tcPr>
            <w:tcW w:w="2835" w:type="dxa"/>
            <w:shd w:val="clear" w:color="auto" w:fill="auto"/>
            <w:vAlign w:val="center"/>
          </w:tcPr>
          <w:p w:rsidR="00385835" w:rsidRPr="00385835" w:rsidRDefault="00385835" w:rsidP="00385835">
            <w:pPr>
              <w:widowControl w:val="0"/>
              <w:tabs>
                <w:tab w:val="left" w:pos="622"/>
              </w:tabs>
              <w:spacing w:after="0" w:line="240" w:lineRule="auto"/>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Bendras rekultivuotos žemės plotas</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Hektarai</w:t>
            </w:r>
          </w:p>
        </w:tc>
        <w:tc>
          <w:tcPr>
            <w:tcW w:w="85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SaF</w:t>
            </w:r>
          </w:p>
        </w:tc>
        <w:tc>
          <w:tcPr>
            <w:tcW w:w="1134" w:type="dxa"/>
            <w:shd w:val="clear" w:color="auto" w:fill="auto"/>
            <w:vAlign w:val="center"/>
          </w:tcPr>
          <w:p w:rsidR="00385835" w:rsidRPr="00385835" w:rsidRDefault="00515A37" w:rsidP="00385835">
            <w:pPr>
              <w:widowControl w:val="0"/>
              <w:tabs>
                <w:tab w:val="left" w:pos="622"/>
              </w:tabs>
              <w:spacing w:after="0" w:line="240" w:lineRule="auto"/>
              <w:jc w:val="center"/>
              <w:rPr>
                <w:rFonts w:ascii="Times New Roman" w:eastAsia="AngsanaUPC" w:hAnsi="Times New Roman"/>
                <w:bCs/>
                <w:iCs/>
                <w:sz w:val="18"/>
                <w:szCs w:val="18"/>
                <w:lang w:eastAsia="lt-LT"/>
              </w:rPr>
            </w:pPr>
            <w:r>
              <w:rPr>
                <w:rFonts w:ascii="Times New Roman" w:eastAsia="AngsanaUPC" w:hAnsi="Times New Roman"/>
                <w:bCs/>
                <w:sz w:val="18"/>
                <w:szCs w:val="18"/>
                <w:lang w:eastAsia="lt-LT"/>
              </w:rPr>
              <w:t>–</w:t>
            </w:r>
          </w:p>
        </w:tc>
        <w:tc>
          <w:tcPr>
            <w:tcW w:w="850"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20</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Duomenys iš projektų</w:t>
            </w:r>
          </w:p>
        </w:tc>
        <w:tc>
          <w:tcPr>
            <w:tcW w:w="124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746"/>
      </w:tblGrid>
      <w:tr w:rsidR="00385835" w:rsidRPr="00385835" w:rsidTr="00385835">
        <w:tc>
          <w:tcPr>
            <w:tcW w:w="9746"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i/>
                <w:iCs/>
                <w:sz w:val="24"/>
                <w:szCs w:val="24"/>
                <w:lang w:eastAsia="lt-LT"/>
              </w:rPr>
              <w:t>Projektų</w:t>
            </w:r>
            <w:r w:rsidR="003604BB">
              <w:rPr>
                <w:rFonts w:ascii="Times New Roman" w:eastAsia="AngsanaUPC" w:hAnsi="Times New Roman"/>
                <w:b/>
                <w:bCs/>
                <w:i/>
                <w:iCs/>
                <w:sz w:val="24"/>
                <w:szCs w:val="24"/>
                <w:lang w:eastAsia="lt-LT"/>
              </w:rPr>
              <w:t xml:space="preserve"> </w:t>
            </w:r>
            <w:r w:rsidRPr="00385835">
              <w:rPr>
                <w:rFonts w:ascii="Times New Roman" w:eastAsia="AngsanaUPC" w:hAnsi="Times New Roman"/>
                <w:b/>
                <w:bCs/>
                <w:i/>
                <w:iCs/>
                <w:sz w:val="24"/>
                <w:szCs w:val="24"/>
                <w:lang w:eastAsia="lt-LT"/>
              </w:rPr>
              <w:t>/</w:t>
            </w:r>
            <w:r w:rsidR="003604BB">
              <w:rPr>
                <w:rFonts w:ascii="Times New Roman" w:eastAsia="AngsanaUPC" w:hAnsi="Times New Roman"/>
                <w:b/>
                <w:bCs/>
                <w:i/>
                <w:iCs/>
                <w:sz w:val="24"/>
                <w:szCs w:val="24"/>
                <w:lang w:eastAsia="lt-LT"/>
              </w:rPr>
              <w:t xml:space="preserve"> </w:t>
            </w:r>
            <w:r w:rsidRPr="00385835">
              <w:rPr>
                <w:rFonts w:ascii="Times New Roman" w:eastAsia="AngsanaUPC" w:hAnsi="Times New Roman"/>
                <w:b/>
                <w:bCs/>
                <w:i/>
                <w:iCs/>
                <w:sz w:val="24"/>
                <w:szCs w:val="24"/>
                <w:lang w:eastAsia="lt-LT"/>
              </w:rPr>
              <w:t>veiksmų atrankos principai</w:t>
            </w:r>
          </w:p>
        </w:tc>
      </w:tr>
      <w:tr w:rsidR="00385835" w:rsidRPr="00385835" w:rsidTr="00385835">
        <w:tc>
          <w:tcPr>
            <w:tcW w:w="9746" w:type="dxa"/>
            <w:shd w:val="clear" w:color="auto" w:fill="auto"/>
          </w:tcPr>
          <w:p w:rsidR="00385835" w:rsidRPr="00385835" w:rsidRDefault="00385835" w:rsidP="00385835">
            <w:pPr>
              <w:widowControl w:val="0"/>
              <w:tabs>
                <w:tab w:val="left" w:pos="622"/>
              </w:tabs>
              <w:spacing w:after="0" w:line="240" w:lineRule="auto"/>
              <w:ind w:left="34"/>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Atrenkant projektus bus laikomasi šių pagrindinių principų:</w:t>
            </w:r>
          </w:p>
          <w:p w:rsidR="00230B8B" w:rsidRDefault="00385835" w:rsidP="00650E41">
            <w:pPr>
              <w:widowControl w:val="0"/>
              <w:numPr>
                <w:ilvl w:val="0"/>
                <w:numId w:val="62"/>
              </w:numPr>
              <w:tabs>
                <w:tab w:val="left" w:pos="459"/>
              </w:tabs>
              <w:spacing w:after="0" w:line="240" w:lineRule="auto"/>
              <w:ind w:left="34"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Veiksmų programos 5.1. investicinį prioritetą įgyvendinantys projektai bus atrenkami valstybės projektų planavimo būdu ir regiono projektų planavimo būdu (tiesiogiai skiriant subsidiją). Jeigu nusprendžiama, kad konkrečiam projektui dotacijos skiriamos tiesiogiai, ši procedūra turi atitikti sąlygas, nustatytas Bendrųjų nuostatų reglamento 125.3 str. (a) dalyje (ii) punkte, kuriuo reikalaujama, kad dotacijų skyrimo procedūra turi būti nediskriminuojanti ir skaidri.</w:t>
            </w:r>
          </w:p>
          <w:p w:rsidR="00385835" w:rsidRPr="00230B8B" w:rsidRDefault="00385835" w:rsidP="00650E41">
            <w:pPr>
              <w:widowControl w:val="0"/>
              <w:numPr>
                <w:ilvl w:val="0"/>
                <w:numId w:val="62"/>
              </w:numPr>
              <w:tabs>
                <w:tab w:val="left" w:pos="459"/>
              </w:tabs>
              <w:spacing w:after="0" w:line="240" w:lineRule="auto"/>
              <w:ind w:left="34" w:firstLine="0"/>
              <w:jc w:val="both"/>
              <w:rPr>
                <w:rFonts w:ascii="Times New Roman" w:eastAsia="AngsanaUPC" w:hAnsi="Times New Roman"/>
                <w:bCs/>
                <w:iCs/>
                <w:sz w:val="24"/>
                <w:szCs w:val="24"/>
                <w:lang w:eastAsia="lt-LT"/>
              </w:rPr>
            </w:pPr>
            <w:r w:rsidRPr="00230B8B">
              <w:rPr>
                <w:rFonts w:ascii="Times New Roman" w:eastAsia="AngsanaUPC" w:hAnsi="Times New Roman"/>
                <w:bCs/>
                <w:iCs/>
                <w:sz w:val="24"/>
                <w:szCs w:val="24"/>
                <w:lang w:eastAsia="lt-LT"/>
              </w:rPr>
              <w:t>Veiksmų programos 5.2. ir 5.3. investicinius prioritetus įgyvendinantys projektai bus atrenkami konkurso būdu, valstybės projektų planavimo būdu (tiesiogiai skiriant subsidiją) ir regiono projektų planavimo būdu (tiesiogiai skiriant subsidiją). Jeigu nusprendžiama, kad konkrečiam projektui dotacijos skiriamos tiesiogiai, ši procedūra turi atitikti sąlygas, nustatytas Bendrųjų nuostatų reglamento 125.3 str. (a) dalyje (ii) punkte, kuriuo reikalaujama, kad dotacijų skyrimo procedūra turi būti nediskriminuojanti ir skaidri.</w:t>
            </w:r>
          </w:p>
          <w:p w:rsidR="00385835" w:rsidRPr="00385835" w:rsidRDefault="00385835" w:rsidP="00650E41">
            <w:pPr>
              <w:widowControl w:val="0"/>
              <w:numPr>
                <w:ilvl w:val="0"/>
                <w:numId w:val="62"/>
              </w:numPr>
              <w:tabs>
                <w:tab w:val="left" w:pos="459"/>
              </w:tabs>
              <w:spacing w:after="0" w:line="240" w:lineRule="auto"/>
              <w:ind w:left="34"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Planuojant veiksmus pagal šiuos prioritetus, bus atsižvelgiama į poreikį:</w:t>
            </w:r>
          </w:p>
          <w:p w:rsidR="00385835" w:rsidRPr="00385835" w:rsidRDefault="00385835" w:rsidP="00650E41">
            <w:pPr>
              <w:widowControl w:val="0"/>
              <w:numPr>
                <w:ilvl w:val="0"/>
                <w:numId w:val="67"/>
              </w:numPr>
              <w:tabs>
                <w:tab w:val="left" w:pos="885"/>
              </w:tabs>
              <w:spacing w:after="0" w:line="240" w:lineRule="auto"/>
              <w:ind w:left="34"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 xml:space="preserve">stiprinti atsakingų institucijų ir organizacijų valdymo ir koordinavimo pajėgumus atliekų, vandens ir nuotekų tvarkymo politikos srityje, užtikrinant sąsajas su prioritetų </w:t>
            </w:r>
            <w:r w:rsidR="00230B8B">
              <w:rPr>
                <w:rFonts w:ascii="Times New Roman" w:eastAsia="AngsanaUPC" w:hAnsi="Times New Roman"/>
                <w:bCs/>
                <w:iCs/>
                <w:sz w:val="24"/>
                <w:szCs w:val="24"/>
                <w:lang w:eastAsia="lt-LT"/>
              </w:rPr>
              <w:t>„</w:t>
            </w:r>
            <w:r w:rsidRPr="00385835">
              <w:rPr>
                <w:rFonts w:ascii="Times New Roman" w:eastAsia="AngsanaUPC" w:hAnsi="Times New Roman"/>
                <w:bCs/>
                <w:iCs/>
                <w:sz w:val="24"/>
                <w:szCs w:val="24"/>
                <w:lang w:eastAsia="lt-LT"/>
              </w:rPr>
              <w:t>Visuomenės švietimas ir žmogiškųjų išteklių potencialo didinimas</w:t>
            </w:r>
            <w:r w:rsidR="00230B8B">
              <w:rPr>
                <w:rFonts w:ascii="Times New Roman" w:eastAsia="AngsanaUPC" w:hAnsi="Times New Roman"/>
                <w:bCs/>
                <w:iCs/>
                <w:sz w:val="24"/>
                <w:szCs w:val="24"/>
                <w:lang w:eastAsia="lt-LT"/>
              </w:rPr>
              <w:t>“</w:t>
            </w:r>
            <w:r w:rsidRPr="00385835">
              <w:rPr>
                <w:rFonts w:ascii="Times New Roman" w:eastAsia="AngsanaUPC" w:hAnsi="Times New Roman"/>
                <w:bCs/>
                <w:iCs/>
                <w:sz w:val="24"/>
                <w:szCs w:val="24"/>
                <w:lang w:eastAsia="lt-LT"/>
              </w:rPr>
              <w:t xml:space="preserve"> ir </w:t>
            </w:r>
            <w:r w:rsidR="00230B8B">
              <w:rPr>
                <w:rFonts w:ascii="Times New Roman" w:eastAsia="AngsanaUPC" w:hAnsi="Times New Roman"/>
                <w:bCs/>
                <w:iCs/>
                <w:sz w:val="24"/>
                <w:szCs w:val="24"/>
                <w:lang w:eastAsia="lt-LT"/>
              </w:rPr>
              <w:t>„</w:t>
            </w:r>
            <w:r w:rsidRPr="00385835">
              <w:rPr>
                <w:rFonts w:ascii="Times New Roman" w:eastAsia="AngsanaUPC" w:hAnsi="Times New Roman"/>
                <w:bCs/>
                <w:iCs/>
                <w:sz w:val="24"/>
                <w:szCs w:val="24"/>
                <w:lang w:eastAsia="lt-LT"/>
              </w:rPr>
              <w:t>Visuomenės poreikius atitinkantis ir pažangus viešasis valdymas</w:t>
            </w:r>
            <w:r w:rsidR="00230B8B">
              <w:rPr>
                <w:rFonts w:ascii="Times New Roman" w:eastAsia="AngsanaUPC" w:hAnsi="Times New Roman"/>
                <w:bCs/>
                <w:iCs/>
                <w:sz w:val="24"/>
                <w:szCs w:val="24"/>
                <w:lang w:eastAsia="lt-LT"/>
              </w:rPr>
              <w:t>“</w:t>
            </w:r>
            <w:r w:rsidRPr="00385835">
              <w:rPr>
                <w:rFonts w:ascii="Times New Roman" w:eastAsia="AngsanaUPC" w:hAnsi="Times New Roman"/>
                <w:bCs/>
                <w:iCs/>
                <w:sz w:val="24"/>
                <w:szCs w:val="24"/>
                <w:lang w:eastAsia="lt-LT"/>
              </w:rPr>
              <w:t xml:space="preserve"> intervencijomis;</w:t>
            </w:r>
          </w:p>
          <w:p w:rsidR="00385835" w:rsidRPr="00385835" w:rsidRDefault="00385835" w:rsidP="00650E41">
            <w:pPr>
              <w:widowControl w:val="0"/>
              <w:numPr>
                <w:ilvl w:val="0"/>
                <w:numId w:val="67"/>
              </w:numPr>
              <w:tabs>
                <w:tab w:val="left" w:pos="885"/>
              </w:tabs>
              <w:spacing w:after="0" w:line="240" w:lineRule="auto"/>
              <w:ind w:left="34"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užtikrinti investicijų tvarumo ir sąnaudų efektyvumo principus, investuojant į atliekų</w:t>
            </w:r>
            <w:r w:rsidRPr="00385835">
              <w:rPr>
                <w:color w:val="222222"/>
                <w:sz w:val="2"/>
                <w:szCs w:val="2"/>
              </w:rPr>
              <w:t xml:space="preserve"> </w:t>
            </w:r>
            <w:r w:rsidRPr="00385835">
              <w:rPr>
                <w:rFonts w:ascii="Times New Roman" w:eastAsia="AngsanaUPC" w:hAnsi="Times New Roman"/>
                <w:bCs/>
                <w:iCs/>
                <w:sz w:val="24"/>
                <w:szCs w:val="24"/>
                <w:lang w:eastAsia="lt-LT"/>
              </w:rPr>
              <w:t>vandens tiekimo ir tvarkymo infrastruktūros plėtrą.</w:t>
            </w:r>
          </w:p>
          <w:p w:rsidR="00385835" w:rsidRDefault="00385835" w:rsidP="00650E41">
            <w:pPr>
              <w:widowControl w:val="0"/>
              <w:numPr>
                <w:ilvl w:val="0"/>
                <w:numId w:val="62"/>
              </w:numPr>
              <w:tabs>
                <w:tab w:val="left" w:pos="459"/>
              </w:tabs>
              <w:spacing w:after="0" w:line="240" w:lineRule="auto"/>
              <w:ind w:left="34"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Veiksmų programos 5.4. investicinį prioritetą įgyvendinantys projektai bus atrenkami konkurso būdu, valstybės projektų planavimo būdu (tiesiogiai skiriant subsidiją) ir regiono projektų planavimo būdu (tiesiogiai skiriant subsidiją). Jeigu nusprendžiama, kad konkrečiam projektui dotacijos skiriamos tiesiogiai, ši procedūra turi atitikti sąlygas, nustatytas Bendrųjų nuostatų reglamento 125.3 str. (a) dalyje (ii) punkte, kuriuo reikalaujama, kad dotacijų skyrimo procedūra turi būti nediskriminuojanti ir skaidri.</w:t>
            </w:r>
          </w:p>
          <w:p w:rsidR="00C922B0" w:rsidRPr="00385835" w:rsidRDefault="00C922B0" w:rsidP="00650E41">
            <w:pPr>
              <w:widowControl w:val="0"/>
              <w:numPr>
                <w:ilvl w:val="0"/>
                <w:numId w:val="62"/>
              </w:numPr>
              <w:tabs>
                <w:tab w:val="left" w:pos="459"/>
              </w:tabs>
              <w:spacing w:after="0" w:line="240" w:lineRule="auto"/>
              <w:ind w:left="34" w:firstLine="0"/>
              <w:jc w:val="both"/>
              <w:rPr>
                <w:rFonts w:ascii="Times New Roman" w:eastAsia="AngsanaUPC" w:hAnsi="Times New Roman"/>
                <w:bCs/>
                <w:iCs/>
                <w:sz w:val="24"/>
                <w:szCs w:val="24"/>
                <w:lang w:eastAsia="lt-LT"/>
              </w:rPr>
            </w:pPr>
            <w:r>
              <w:rPr>
                <w:rFonts w:ascii="Times New Roman" w:hAnsi="Times New Roman"/>
                <w:color w:val="000000"/>
                <w:sz w:val="24"/>
                <w:szCs w:val="24"/>
                <w:lang w:eastAsia="lt-LT"/>
              </w:rPr>
              <w:t>Investuojant į kultūros ir tvaraus turizmo infrastruktūros objektus vidaus potencialo plėtojimui, bus vadovaujamasi ERPF reglamento 3 straipsnio nuostatomis, ypatingai atkreipiant dėmesį į 1 dalies e punkto nuostatas.</w:t>
            </w:r>
          </w:p>
          <w:p w:rsidR="00385835" w:rsidRPr="00385835" w:rsidRDefault="00385835" w:rsidP="00650E41">
            <w:pPr>
              <w:widowControl w:val="0"/>
              <w:numPr>
                <w:ilvl w:val="0"/>
                <w:numId w:val="62"/>
              </w:numPr>
              <w:tabs>
                <w:tab w:val="left" w:pos="459"/>
              </w:tabs>
              <w:spacing w:after="0" w:line="240" w:lineRule="auto"/>
              <w:ind w:left="34"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 xml:space="preserve">Pagal šį prioritetą investuojant į kultūros ir tvaraus turizmo infrastruktūros objektus bus siekiama užtikrinti, kad visi restauruoti ir aktualizuoti kultūros paveldo objektai būtų užpildyti ekonomine, </w:t>
            </w:r>
            <w:r w:rsidR="00A14D30">
              <w:rPr>
                <w:rFonts w:ascii="Times New Roman" w:eastAsia="AngsanaUPC" w:hAnsi="Times New Roman"/>
                <w:bCs/>
                <w:iCs/>
                <w:sz w:val="24"/>
                <w:szCs w:val="24"/>
                <w:lang w:eastAsia="lt-LT"/>
              </w:rPr>
              <w:t>socialine, edukacine ir/</w:t>
            </w:r>
            <w:r w:rsidRPr="00385835">
              <w:rPr>
                <w:rFonts w:ascii="Times New Roman" w:eastAsia="AngsanaUPC" w:hAnsi="Times New Roman"/>
                <w:bCs/>
                <w:iCs/>
                <w:sz w:val="24"/>
                <w:szCs w:val="24"/>
                <w:lang w:eastAsia="lt-LT"/>
              </w:rPr>
              <w:t>arba kultūrine veikla.</w:t>
            </w:r>
          </w:p>
          <w:p w:rsidR="00A14D30" w:rsidRPr="00525196" w:rsidRDefault="00BE2E68" w:rsidP="00650E41">
            <w:pPr>
              <w:widowControl w:val="0"/>
              <w:numPr>
                <w:ilvl w:val="0"/>
                <w:numId w:val="62"/>
              </w:numPr>
              <w:tabs>
                <w:tab w:val="left" w:pos="459"/>
              </w:tabs>
              <w:spacing w:after="0" w:line="240" w:lineRule="auto"/>
              <w:ind w:left="34" w:firstLine="0"/>
              <w:jc w:val="both"/>
              <w:rPr>
                <w:rFonts w:ascii="Times New Roman" w:eastAsia="AngsanaUPC" w:hAnsi="Times New Roman"/>
                <w:bCs/>
                <w:iCs/>
                <w:sz w:val="24"/>
                <w:szCs w:val="24"/>
                <w:lang w:eastAsia="lt-LT"/>
              </w:rPr>
            </w:pPr>
            <w:r w:rsidRPr="00525196">
              <w:rPr>
                <w:rFonts w:ascii="Times New Roman" w:eastAsia="AngsanaUPC" w:hAnsi="Times New Roman"/>
                <w:bCs/>
                <w:iCs/>
                <w:sz w:val="24"/>
                <w:szCs w:val="24"/>
                <w:lang w:eastAsia="lt-LT"/>
              </w:rPr>
              <w:t>Šio</w:t>
            </w:r>
            <w:r w:rsidR="00385835" w:rsidRPr="00525196">
              <w:rPr>
                <w:rFonts w:ascii="Times New Roman" w:eastAsia="AngsanaUPC" w:hAnsi="Times New Roman"/>
                <w:bCs/>
                <w:iCs/>
                <w:sz w:val="24"/>
                <w:szCs w:val="24"/>
                <w:lang w:eastAsia="lt-LT"/>
              </w:rPr>
              <w:t xml:space="preserve"> investicin</w:t>
            </w:r>
            <w:r w:rsidRPr="00525196">
              <w:rPr>
                <w:rFonts w:ascii="Times New Roman" w:eastAsia="AngsanaUPC" w:hAnsi="Times New Roman"/>
                <w:bCs/>
                <w:iCs/>
                <w:sz w:val="24"/>
                <w:szCs w:val="24"/>
                <w:lang w:eastAsia="lt-LT"/>
              </w:rPr>
              <w:t>io</w:t>
            </w:r>
            <w:r w:rsidR="00385835" w:rsidRPr="00525196">
              <w:rPr>
                <w:rFonts w:ascii="Times New Roman" w:eastAsia="AngsanaUPC" w:hAnsi="Times New Roman"/>
                <w:bCs/>
                <w:iCs/>
                <w:sz w:val="24"/>
                <w:szCs w:val="24"/>
                <w:lang w:eastAsia="lt-LT"/>
              </w:rPr>
              <w:t xml:space="preserve"> prioritet</w:t>
            </w:r>
            <w:r w:rsidRPr="00525196">
              <w:rPr>
                <w:rFonts w:ascii="Times New Roman" w:eastAsia="AngsanaUPC" w:hAnsi="Times New Roman"/>
                <w:bCs/>
                <w:iCs/>
                <w:sz w:val="24"/>
                <w:szCs w:val="24"/>
                <w:lang w:eastAsia="lt-LT"/>
              </w:rPr>
              <w:t>o</w:t>
            </w:r>
            <w:r w:rsidR="00385835" w:rsidRPr="00525196">
              <w:rPr>
                <w:rFonts w:ascii="Times New Roman" w:eastAsia="AngsanaUPC" w:hAnsi="Times New Roman"/>
                <w:bCs/>
                <w:iCs/>
                <w:sz w:val="24"/>
                <w:szCs w:val="24"/>
                <w:lang w:eastAsia="lt-LT"/>
              </w:rPr>
              <w:t xml:space="preserve"> veikl</w:t>
            </w:r>
            <w:r w:rsidR="00525196" w:rsidRPr="00525196">
              <w:rPr>
                <w:rFonts w:ascii="Times New Roman" w:eastAsia="AngsanaUPC" w:hAnsi="Times New Roman"/>
                <w:bCs/>
                <w:iCs/>
                <w:sz w:val="24"/>
                <w:szCs w:val="24"/>
                <w:lang w:eastAsia="lt-LT"/>
              </w:rPr>
              <w:t>os</w:t>
            </w:r>
            <w:r w:rsidR="00385835" w:rsidRPr="00525196">
              <w:rPr>
                <w:rFonts w:ascii="Times New Roman" w:eastAsia="AngsanaUPC" w:hAnsi="Times New Roman"/>
                <w:bCs/>
                <w:iCs/>
                <w:sz w:val="24"/>
                <w:szCs w:val="24"/>
                <w:lang w:eastAsia="lt-LT"/>
              </w:rPr>
              <w:t xml:space="preserve">, </w:t>
            </w:r>
            <w:r w:rsidR="00525196" w:rsidRPr="00525196">
              <w:rPr>
                <w:rFonts w:ascii="Times New Roman" w:eastAsia="AngsanaUPC" w:hAnsi="Times New Roman"/>
                <w:bCs/>
                <w:iCs/>
                <w:sz w:val="24"/>
                <w:szCs w:val="24"/>
                <w:lang w:eastAsia="lt-LT"/>
              </w:rPr>
              <w:t xml:space="preserve">gali būti </w:t>
            </w:r>
            <w:r w:rsidR="00385835" w:rsidRPr="00525196">
              <w:rPr>
                <w:rFonts w:ascii="Times New Roman" w:eastAsia="AngsanaUPC" w:hAnsi="Times New Roman"/>
                <w:bCs/>
                <w:iCs/>
                <w:sz w:val="24"/>
                <w:szCs w:val="24"/>
                <w:lang w:eastAsia="lt-LT"/>
              </w:rPr>
              <w:t>įgyvendinam</w:t>
            </w:r>
            <w:r w:rsidR="00525196" w:rsidRPr="00525196">
              <w:rPr>
                <w:rFonts w:ascii="Times New Roman" w:eastAsia="AngsanaUPC" w:hAnsi="Times New Roman"/>
                <w:bCs/>
                <w:iCs/>
                <w:sz w:val="24"/>
                <w:szCs w:val="24"/>
                <w:lang w:eastAsia="lt-LT"/>
              </w:rPr>
              <w:t>os</w:t>
            </w:r>
            <w:r w:rsidR="00A14D30" w:rsidRPr="00525196">
              <w:rPr>
                <w:rFonts w:ascii="Times New Roman" w:eastAsia="AngsanaUPC" w:hAnsi="Times New Roman"/>
                <w:bCs/>
                <w:iCs/>
                <w:sz w:val="24"/>
                <w:szCs w:val="24"/>
                <w:lang w:eastAsia="lt-LT"/>
              </w:rPr>
              <w:t>,</w:t>
            </w:r>
            <w:r w:rsidR="00385835" w:rsidRPr="00525196">
              <w:rPr>
                <w:rFonts w:ascii="Times New Roman" w:eastAsia="AngsanaUPC" w:hAnsi="Times New Roman"/>
                <w:bCs/>
                <w:iCs/>
                <w:sz w:val="24"/>
                <w:szCs w:val="24"/>
                <w:lang w:eastAsia="lt-LT"/>
              </w:rPr>
              <w:t xml:space="preserve"> taikant ITI </w:t>
            </w:r>
            <w:r w:rsidR="00525196" w:rsidRPr="00525196">
              <w:rPr>
                <w:rFonts w:ascii="Times New Roman" w:eastAsia="AngsanaUPC" w:hAnsi="Times New Roman"/>
                <w:bCs/>
                <w:iCs/>
                <w:sz w:val="24"/>
                <w:szCs w:val="24"/>
                <w:lang w:eastAsia="lt-LT"/>
              </w:rPr>
              <w:t xml:space="preserve">įgyvendinimo mechanizmą, nustatytą Veiksmų programos 4 skirsnyje, </w:t>
            </w:r>
            <w:r w:rsidR="00385835" w:rsidRPr="00525196">
              <w:rPr>
                <w:rFonts w:ascii="Times New Roman" w:eastAsia="AngsanaUPC" w:hAnsi="Times New Roman"/>
                <w:bCs/>
                <w:iCs/>
                <w:sz w:val="24"/>
                <w:szCs w:val="24"/>
                <w:lang w:eastAsia="lt-LT"/>
              </w:rPr>
              <w:t xml:space="preserve">per </w:t>
            </w:r>
            <w:r w:rsidR="00525196" w:rsidRPr="00525196">
              <w:rPr>
                <w:rFonts w:ascii="Times New Roman" w:eastAsia="AngsanaUPC" w:hAnsi="Times New Roman"/>
                <w:bCs/>
                <w:iCs/>
                <w:sz w:val="24"/>
                <w:szCs w:val="24"/>
                <w:lang w:eastAsia="lt-LT"/>
              </w:rPr>
              <w:t>ITVP</w:t>
            </w:r>
            <w:r w:rsidR="00385835" w:rsidRPr="00525196">
              <w:rPr>
                <w:rFonts w:ascii="Times New Roman" w:eastAsia="AngsanaUPC" w:hAnsi="Times New Roman"/>
                <w:bCs/>
                <w:iCs/>
                <w:sz w:val="24"/>
                <w:szCs w:val="24"/>
                <w:lang w:eastAsia="lt-LT"/>
              </w:rPr>
              <w:t>.</w:t>
            </w:r>
          </w:p>
          <w:p w:rsidR="00385835" w:rsidRPr="00A14D30" w:rsidRDefault="00385835" w:rsidP="00650E41">
            <w:pPr>
              <w:widowControl w:val="0"/>
              <w:numPr>
                <w:ilvl w:val="0"/>
                <w:numId w:val="62"/>
              </w:numPr>
              <w:tabs>
                <w:tab w:val="left" w:pos="459"/>
              </w:tabs>
              <w:spacing w:after="0" w:line="240" w:lineRule="auto"/>
              <w:ind w:left="34" w:firstLine="0"/>
              <w:jc w:val="both"/>
              <w:rPr>
                <w:rFonts w:ascii="Times New Roman" w:eastAsia="AngsanaUPC" w:hAnsi="Times New Roman"/>
                <w:bCs/>
                <w:iCs/>
                <w:sz w:val="24"/>
                <w:szCs w:val="24"/>
                <w:lang w:eastAsia="lt-LT"/>
              </w:rPr>
            </w:pPr>
            <w:r w:rsidRPr="00A14D30">
              <w:rPr>
                <w:rFonts w:ascii="Times New Roman" w:eastAsia="AngsanaUPC" w:hAnsi="Times New Roman"/>
                <w:bCs/>
                <w:iCs/>
                <w:sz w:val="24"/>
                <w:szCs w:val="24"/>
                <w:lang w:eastAsia="lt-LT"/>
              </w:rPr>
              <w:t>Veiksmų programos 5.5. investicinį prioritetą įgyvendinantys projektai bus atrenkami valstybės projektų planavimo būdu (tiesiogiai skiriant subsidiją) ir regiono projektų planavimo būdu (tiesiogiai skiriant subsidiją). Jeigu nusprendžiama, kad konkrečiam projektui dotacijos skiriamos tiesiogiai, ši procedūra turi atitikti sąlygas, nustatytas Bendrųjų nuostatų reglamento 125.3 str. (a) dalyje (ii) punkte, kuriuo reikalaujama, kad dotacijų skyrimo procedūra turi būti nediskriminuojanti ir skaidri.</w:t>
            </w:r>
          </w:p>
          <w:p w:rsidR="00BD5AF0" w:rsidRDefault="00385835" w:rsidP="00650E41">
            <w:pPr>
              <w:widowControl w:val="0"/>
              <w:numPr>
                <w:ilvl w:val="0"/>
                <w:numId w:val="62"/>
              </w:numPr>
              <w:tabs>
                <w:tab w:val="left" w:pos="459"/>
              </w:tabs>
              <w:spacing w:after="0" w:line="240" w:lineRule="auto"/>
              <w:ind w:left="34"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 xml:space="preserve">Planuojant veiksmus pagal šį investicinį prioritetą, bus atsižvelgiama į poreikį atsižvelgti į </w:t>
            </w:r>
            <w:r w:rsidRPr="00385835">
              <w:rPr>
                <w:rFonts w:ascii="Times New Roman" w:eastAsia="AngsanaUPC" w:hAnsi="Times New Roman"/>
                <w:bCs/>
                <w:iCs/>
                <w:sz w:val="24"/>
                <w:szCs w:val="24"/>
                <w:lang w:eastAsia="lt-LT"/>
              </w:rPr>
              <w:lastRenderedPageBreak/>
              <w:t xml:space="preserve">ankstesnių programavimo laikotarpių patirtį, įgyvendinant veiksmus biologinės įvairovės apsaugos srityje ir užtikrinti koordinavimą su kitomis prioritetų </w:t>
            </w:r>
            <w:r w:rsidR="00BD5AF0">
              <w:rPr>
                <w:rFonts w:ascii="Times New Roman" w:eastAsia="AngsanaUPC" w:hAnsi="Times New Roman"/>
                <w:bCs/>
                <w:iCs/>
                <w:sz w:val="24"/>
                <w:szCs w:val="24"/>
                <w:lang w:eastAsia="lt-LT"/>
              </w:rPr>
              <w:t>„</w:t>
            </w:r>
            <w:r w:rsidRPr="00385835">
              <w:rPr>
                <w:rFonts w:ascii="Times New Roman" w:eastAsia="AngsanaUPC" w:hAnsi="Times New Roman"/>
                <w:bCs/>
                <w:iCs/>
                <w:sz w:val="24"/>
                <w:szCs w:val="24"/>
                <w:lang w:eastAsia="lt-LT"/>
              </w:rPr>
              <w:t>Aplinkosauga, gamtos išteklių darnus naudojimas ir prisitaikymas prie klimato kaitos</w:t>
            </w:r>
            <w:r w:rsidR="00BD5AF0">
              <w:rPr>
                <w:rFonts w:ascii="Times New Roman" w:eastAsia="AngsanaUPC" w:hAnsi="Times New Roman"/>
                <w:bCs/>
                <w:iCs/>
                <w:sz w:val="24"/>
                <w:szCs w:val="24"/>
                <w:lang w:eastAsia="lt-LT"/>
              </w:rPr>
              <w:t>“</w:t>
            </w:r>
            <w:r w:rsidRPr="00385835">
              <w:rPr>
                <w:rFonts w:ascii="Times New Roman" w:eastAsia="AngsanaUPC" w:hAnsi="Times New Roman"/>
                <w:bCs/>
                <w:iCs/>
                <w:sz w:val="24"/>
                <w:szCs w:val="24"/>
                <w:lang w:eastAsia="lt-LT"/>
              </w:rPr>
              <w:t xml:space="preserve"> ir </w:t>
            </w:r>
            <w:r w:rsidR="00BD5AF0">
              <w:rPr>
                <w:rFonts w:ascii="Times New Roman" w:eastAsia="AngsanaUPC" w:hAnsi="Times New Roman"/>
                <w:bCs/>
                <w:iCs/>
                <w:sz w:val="24"/>
                <w:szCs w:val="24"/>
                <w:lang w:eastAsia="lt-LT"/>
              </w:rPr>
              <w:t>„</w:t>
            </w:r>
            <w:r w:rsidRPr="00385835">
              <w:rPr>
                <w:rFonts w:ascii="Times New Roman" w:eastAsia="AngsanaUPC" w:hAnsi="Times New Roman"/>
                <w:bCs/>
                <w:iCs/>
                <w:sz w:val="24"/>
                <w:szCs w:val="24"/>
                <w:lang w:eastAsia="lt-LT"/>
              </w:rPr>
              <w:t>Socialinės įtraukties didinimas ir parama kovai su skurdu</w:t>
            </w:r>
            <w:r w:rsidR="00BD5AF0">
              <w:rPr>
                <w:rFonts w:ascii="Times New Roman" w:eastAsia="AngsanaUPC" w:hAnsi="Times New Roman"/>
                <w:bCs/>
                <w:iCs/>
                <w:sz w:val="24"/>
                <w:szCs w:val="24"/>
                <w:lang w:eastAsia="lt-LT"/>
              </w:rPr>
              <w:t>“</w:t>
            </w:r>
            <w:r w:rsidRPr="00385835">
              <w:rPr>
                <w:rFonts w:ascii="Times New Roman" w:eastAsia="AngsanaUPC" w:hAnsi="Times New Roman"/>
                <w:bCs/>
                <w:iCs/>
                <w:sz w:val="24"/>
                <w:szCs w:val="24"/>
                <w:lang w:eastAsia="lt-LT"/>
              </w:rPr>
              <w:t xml:space="preserve"> intervencijomis.</w:t>
            </w:r>
          </w:p>
          <w:p w:rsidR="00385835" w:rsidRPr="00BD5AF0" w:rsidRDefault="00385835" w:rsidP="00650E41">
            <w:pPr>
              <w:widowControl w:val="0"/>
              <w:numPr>
                <w:ilvl w:val="0"/>
                <w:numId w:val="62"/>
              </w:numPr>
              <w:tabs>
                <w:tab w:val="left" w:pos="459"/>
              </w:tabs>
              <w:spacing w:after="0" w:line="240" w:lineRule="auto"/>
              <w:ind w:left="34" w:firstLine="0"/>
              <w:jc w:val="both"/>
              <w:rPr>
                <w:rFonts w:ascii="Times New Roman" w:eastAsia="AngsanaUPC" w:hAnsi="Times New Roman"/>
                <w:bCs/>
                <w:iCs/>
                <w:sz w:val="24"/>
                <w:szCs w:val="24"/>
                <w:lang w:eastAsia="lt-LT"/>
              </w:rPr>
            </w:pPr>
            <w:r w:rsidRPr="00BD5AF0">
              <w:rPr>
                <w:rFonts w:ascii="Times New Roman" w:eastAsia="AngsanaUPC" w:hAnsi="Times New Roman"/>
                <w:bCs/>
                <w:iCs/>
                <w:sz w:val="24"/>
                <w:szCs w:val="24"/>
                <w:lang w:eastAsia="lt-LT"/>
              </w:rPr>
              <w:t>Veiksmų programos 5.6. investicinį prioritetą įgyvendinantys projektai bus atrenkami valstybės projektų planavimo būdu (tiesiogiai skiriant subsidiją). Jeigu nusprendžiama, kad konkrečiam projektui dotacijos skiriamos tiesiogiai, ši procedūra turi atitikti sąlygas, nustatytas Bendrųjų nuostatų reglamento 125.3 str. (a) dalyje (ii) punkte, kuriuo reikalaujama, kad dotacijų skyrimo procedūra turi būti nediskriminuojanti ir skaidri.</w:t>
            </w:r>
          </w:p>
          <w:p w:rsidR="00385835" w:rsidRPr="00385835" w:rsidRDefault="00385835" w:rsidP="00650E41">
            <w:pPr>
              <w:widowControl w:val="0"/>
              <w:numPr>
                <w:ilvl w:val="0"/>
                <w:numId w:val="62"/>
              </w:numPr>
              <w:tabs>
                <w:tab w:val="left" w:pos="459"/>
              </w:tabs>
              <w:spacing w:after="0" w:line="240" w:lineRule="auto"/>
              <w:ind w:left="34"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Planuojant veiksmus pagal šį investicinį prioritetą, bus atsižvelgiama į poreikį stiprinti atsakingų institucijų ir organizacijų valdymo ir koordinavimo pajėgumus aplinkos oro kokybės politikos srityse, užtikrinant sąsajas su prioritetų „Visuomenės švietimas ir žmogiškųj</w:t>
            </w:r>
            <w:r w:rsidR="0065571B">
              <w:rPr>
                <w:rFonts w:ascii="Times New Roman" w:eastAsia="AngsanaUPC" w:hAnsi="Times New Roman"/>
                <w:bCs/>
                <w:iCs/>
                <w:sz w:val="24"/>
                <w:szCs w:val="24"/>
                <w:lang w:eastAsia="lt-LT"/>
              </w:rPr>
              <w:t>ų išteklių potencialo didinimas“ ir „</w:t>
            </w:r>
            <w:r w:rsidRPr="00385835">
              <w:rPr>
                <w:rFonts w:ascii="Times New Roman" w:eastAsia="AngsanaUPC" w:hAnsi="Times New Roman"/>
                <w:bCs/>
                <w:iCs/>
                <w:sz w:val="24"/>
                <w:szCs w:val="24"/>
                <w:lang w:eastAsia="lt-LT"/>
              </w:rPr>
              <w:t>Visuomenės poreikius atitinkanti</w:t>
            </w:r>
            <w:r w:rsidR="0065571B">
              <w:rPr>
                <w:rFonts w:ascii="Times New Roman" w:eastAsia="AngsanaUPC" w:hAnsi="Times New Roman"/>
                <w:bCs/>
                <w:iCs/>
                <w:sz w:val="24"/>
                <w:szCs w:val="24"/>
                <w:lang w:eastAsia="lt-LT"/>
              </w:rPr>
              <w:t>s ir pažangus viešasis valdymas“</w:t>
            </w:r>
            <w:r w:rsidRPr="00385835">
              <w:rPr>
                <w:rFonts w:ascii="Times New Roman" w:eastAsia="AngsanaUPC" w:hAnsi="Times New Roman"/>
                <w:bCs/>
                <w:iCs/>
                <w:sz w:val="24"/>
                <w:szCs w:val="24"/>
                <w:lang w:eastAsia="lt-LT"/>
              </w:rPr>
              <w:t xml:space="preserve"> intervencijomis;</w:t>
            </w:r>
          </w:p>
          <w:p w:rsidR="00385835" w:rsidRPr="00525196" w:rsidRDefault="00525196" w:rsidP="00650E41">
            <w:pPr>
              <w:widowControl w:val="0"/>
              <w:numPr>
                <w:ilvl w:val="0"/>
                <w:numId w:val="62"/>
              </w:numPr>
              <w:tabs>
                <w:tab w:val="left" w:pos="459"/>
              </w:tabs>
              <w:spacing w:after="0" w:line="240" w:lineRule="auto"/>
              <w:ind w:left="34" w:firstLine="0"/>
              <w:jc w:val="both"/>
              <w:rPr>
                <w:rFonts w:ascii="Times New Roman" w:eastAsia="AngsanaUPC" w:hAnsi="Times New Roman"/>
                <w:bCs/>
                <w:iCs/>
                <w:sz w:val="24"/>
                <w:szCs w:val="24"/>
                <w:lang w:eastAsia="lt-LT"/>
              </w:rPr>
            </w:pPr>
            <w:r w:rsidRPr="00525196">
              <w:rPr>
                <w:rFonts w:ascii="Times New Roman" w:eastAsia="AngsanaUPC" w:hAnsi="Times New Roman"/>
                <w:bCs/>
                <w:iCs/>
                <w:sz w:val="24"/>
                <w:szCs w:val="24"/>
                <w:lang w:eastAsia="lt-LT"/>
              </w:rPr>
              <w:t>Šio investicinio prioriteto veiklos, gali būti įgyvendinamos, taikant ITI įgyvendinimo mechanizmą, nustatytą Veiksmų programos 4 skirsnyje, per ITVP.</w:t>
            </w:r>
          </w:p>
          <w:p w:rsidR="0033434D" w:rsidRPr="000E17D9" w:rsidRDefault="0033434D" w:rsidP="00385835">
            <w:pPr>
              <w:widowControl w:val="0"/>
              <w:tabs>
                <w:tab w:val="left" w:pos="622"/>
              </w:tabs>
              <w:spacing w:after="0" w:line="240" w:lineRule="auto"/>
              <w:ind w:left="34"/>
              <w:jc w:val="both"/>
              <w:rPr>
                <w:rFonts w:ascii="Times New Roman" w:eastAsia="AngsanaUPC" w:hAnsi="Times New Roman"/>
                <w:bCs/>
                <w:iCs/>
                <w:sz w:val="24"/>
                <w:szCs w:val="24"/>
                <w:lang w:eastAsia="lt-LT"/>
              </w:rPr>
            </w:pPr>
            <w:r w:rsidRPr="000E17D9">
              <w:rPr>
                <w:rFonts w:ascii="Times New Roman" w:eastAsia="AngsanaUPC" w:hAnsi="Times New Roman"/>
                <w:bCs/>
                <w:iCs/>
                <w:sz w:val="24"/>
                <w:szCs w:val="24"/>
                <w:lang w:eastAsia="lt-LT"/>
              </w:rPr>
              <w:t xml:space="preserve">* Esant pagrįstam poreikiui pagal kiekvieną investicinį prioritetą gali būti taikomi ir kiti projektų atrankos būdai nurodyti pirmojo prioriteto dalyje </w:t>
            </w:r>
            <w:r w:rsidRPr="000E17D9">
              <w:rPr>
                <w:rFonts w:ascii="Times New Roman" w:eastAsia="AngsanaUPC" w:hAnsi="Times New Roman"/>
                <w:bCs/>
                <w:i/>
                <w:iCs/>
                <w:sz w:val="24"/>
                <w:szCs w:val="24"/>
                <w:lang w:eastAsia="lt-LT"/>
              </w:rPr>
              <w:t>„Projektų/veiksmų atrankos principai</w:t>
            </w:r>
            <w:r w:rsidR="000E17D9">
              <w:rPr>
                <w:rFonts w:ascii="Times New Roman" w:eastAsia="AngsanaUPC" w:hAnsi="Times New Roman"/>
                <w:bCs/>
                <w:i/>
                <w:iCs/>
                <w:sz w:val="24"/>
                <w:szCs w:val="24"/>
                <w:lang w:eastAsia="lt-LT"/>
              </w:rPr>
              <w:t>“</w:t>
            </w:r>
            <w:r w:rsidRPr="000E17D9">
              <w:rPr>
                <w:rFonts w:ascii="Times New Roman" w:eastAsia="AngsanaUPC" w:hAnsi="Times New Roman"/>
                <w:bCs/>
                <w:iCs/>
                <w:sz w:val="24"/>
                <w:szCs w:val="24"/>
                <w:lang w:eastAsia="lt-LT"/>
              </w:rPr>
              <w:t>.</w:t>
            </w:r>
          </w:p>
        </w:tc>
      </w:tr>
    </w:tbl>
    <w:p w:rsidR="000C0824" w:rsidRPr="00385835" w:rsidRDefault="000C0824" w:rsidP="00385835">
      <w:pPr>
        <w:widowControl w:val="0"/>
        <w:tabs>
          <w:tab w:val="left" w:pos="622"/>
        </w:tabs>
        <w:spacing w:after="0" w:line="240" w:lineRule="auto"/>
        <w:jc w:val="both"/>
        <w:rPr>
          <w:rFonts w:ascii="Times New Roman" w:eastAsia="AngsanaUPC" w:hAnsi="Times New Roman"/>
          <w:b/>
          <w:bCs/>
          <w:i/>
          <w:i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746"/>
      </w:tblGrid>
      <w:tr w:rsidR="00385835" w:rsidRPr="00385835" w:rsidTr="00385835">
        <w:tc>
          <w:tcPr>
            <w:tcW w:w="9746"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i/>
                <w:iCs/>
                <w:sz w:val="24"/>
                <w:szCs w:val="24"/>
                <w:lang w:eastAsia="lt-LT"/>
              </w:rPr>
              <w:t>Finansiniai instrumentai ir jų aprašymas</w:t>
            </w:r>
          </w:p>
        </w:tc>
      </w:tr>
      <w:tr w:rsidR="00385835" w:rsidRPr="00385835" w:rsidTr="00385835">
        <w:tc>
          <w:tcPr>
            <w:tcW w:w="9746" w:type="dxa"/>
            <w:shd w:val="clear" w:color="auto" w:fill="auto"/>
          </w:tcPr>
          <w:p w:rsidR="00385835" w:rsidRPr="00385835" w:rsidRDefault="00385835" w:rsidP="00385835">
            <w:pPr>
              <w:widowControl w:val="0"/>
              <w:tabs>
                <w:tab w:val="left" w:pos="622"/>
              </w:tabs>
              <w:spacing w:after="0" w:line="240" w:lineRule="auto"/>
              <w:ind w:firstLine="624"/>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Šiuo metu šiam investiciniam prioritetui įgyvendinti finansinių instrumentų taikyti nenumatoma, tačiau įgyvendinimo metu atsižvelgiant į išankstinio (</w:t>
            </w:r>
            <w:r w:rsidRPr="00385835">
              <w:rPr>
                <w:rFonts w:ascii="Times New Roman" w:eastAsia="AngsanaUPC" w:hAnsi="Times New Roman"/>
                <w:bCs/>
                <w:i/>
                <w:iCs/>
                <w:sz w:val="24"/>
                <w:szCs w:val="24"/>
                <w:lang w:eastAsia="lt-LT"/>
              </w:rPr>
              <w:t>ex ante</w:t>
            </w:r>
            <w:r w:rsidRPr="00385835">
              <w:rPr>
                <w:rFonts w:ascii="Times New Roman" w:eastAsia="AngsanaUPC" w:hAnsi="Times New Roman"/>
                <w:bCs/>
                <w:iCs/>
                <w:sz w:val="24"/>
                <w:szCs w:val="24"/>
                <w:lang w:eastAsia="lt-LT"/>
              </w:rPr>
              <w:t>) vertinimo rezultatus gali būti numatytas finansinių instrumentų taikymas.</w:t>
            </w:r>
          </w:p>
        </w:tc>
      </w:tr>
    </w:tbl>
    <w:p w:rsidR="00031EF1" w:rsidRPr="00385835" w:rsidRDefault="00031EF1" w:rsidP="00385835">
      <w:pPr>
        <w:widowControl w:val="0"/>
        <w:tabs>
          <w:tab w:val="left" w:pos="622"/>
        </w:tabs>
        <w:spacing w:after="0" w:line="240" w:lineRule="auto"/>
        <w:jc w:val="both"/>
        <w:rPr>
          <w:rFonts w:ascii="Times New Roman" w:eastAsia="AngsanaUPC" w:hAnsi="Times New Roman"/>
          <w:bCs/>
          <w:iCs/>
          <w:sz w:val="24"/>
          <w:szCs w:val="24"/>
          <w:lang w:eastAsia="lt-LT"/>
        </w:rPr>
      </w:pPr>
    </w:p>
    <w:p w:rsidR="00385835" w:rsidRPr="00385835" w:rsidRDefault="00385835" w:rsidP="00385835">
      <w:pPr>
        <w:widowControl w:val="0"/>
        <w:tabs>
          <w:tab w:val="left" w:pos="622"/>
        </w:tabs>
        <w:spacing w:after="0" w:line="240" w:lineRule="auto"/>
        <w:jc w:val="both"/>
        <w:rPr>
          <w:rFonts w:ascii="Times New Roman" w:eastAsia="AngsanaUPC" w:hAnsi="Times New Roman"/>
          <w:bCs/>
          <w:iCs/>
          <w:sz w:val="24"/>
          <w:szCs w:val="24"/>
          <w:lang w:eastAsia="lt-LT"/>
        </w:rPr>
        <w:sectPr w:rsidR="00385835" w:rsidRPr="00385835" w:rsidSect="00AC19DA">
          <w:pgSz w:w="11906" w:h="16838" w:code="9"/>
          <w:pgMar w:top="1701" w:right="567" w:bottom="1134" w:left="1701" w:header="567" w:footer="567" w:gutter="0"/>
          <w:cols w:space="1296"/>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1276"/>
        <w:gridCol w:w="2552"/>
        <w:gridCol w:w="992"/>
        <w:gridCol w:w="709"/>
        <w:gridCol w:w="850"/>
        <w:gridCol w:w="1134"/>
        <w:gridCol w:w="1134"/>
        <w:gridCol w:w="992"/>
        <w:gridCol w:w="4395"/>
      </w:tblGrid>
      <w:tr w:rsidR="00385835" w:rsidRPr="00385835" w:rsidTr="00385835">
        <w:trPr>
          <w:tblHeader/>
        </w:trPr>
        <w:tc>
          <w:tcPr>
            <w:tcW w:w="14034" w:type="dxa"/>
            <w:gridSpan w:val="9"/>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i/>
                <w:iCs/>
                <w:sz w:val="24"/>
                <w:szCs w:val="24"/>
                <w:lang w:eastAsia="lt-LT"/>
              </w:rPr>
              <w:lastRenderedPageBreak/>
              <w:t>Prioriteto veiklos rezultatų peržiūros planas</w:t>
            </w:r>
          </w:p>
        </w:tc>
      </w:tr>
      <w:tr w:rsidR="00385835" w:rsidRPr="00385835" w:rsidTr="004F39B3">
        <w:trPr>
          <w:cantSplit/>
          <w:trHeight w:val="1134"/>
          <w:tblHeader/>
        </w:trPr>
        <w:tc>
          <w:tcPr>
            <w:tcW w:w="1276"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Rodiklio rūšis</w:t>
            </w:r>
          </w:p>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(įgyvendinimo žingsniai, finansinis, produkto ir rezultato rodiklis)</w:t>
            </w:r>
          </w:p>
        </w:tc>
        <w:tc>
          <w:tcPr>
            <w:tcW w:w="2552"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Rodiklio apibrėžimas arba įgyvendinimo žingsnis</w:t>
            </w:r>
          </w:p>
        </w:tc>
        <w:tc>
          <w:tcPr>
            <w:tcW w:w="992"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Matavimo vienetas</w:t>
            </w:r>
          </w:p>
        </w:tc>
        <w:tc>
          <w:tcPr>
            <w:tcW w:w="709"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Fondas</w:t>
            </w:r>
          </w:p>
        </w:tc>
        <w:tc>
          <w:tcPr>
            <w:tcW w:w="850"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Regiono kategorija</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Tarpinė reikšmė (2018)</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Siektina reikšmė (2023)</w:t>
            </w:r>
          </w:p>
        </w:tc>
        <w:tc>
          <w:tcPr>
            <w:tcW w:w="992"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Duomenų šaltinis</w:t>
            </w:r>
          </w:p>
        </w:tc>
        <w:tc>
          <w:tcPr>
            <w:tcW w:w="4395"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Rodiklių tinkamumo pagrindimas</w:t>
            </w:r>
          </w:p>
        </w:tc>
      </w:tr>
      <w:tr w:rsidR="00385835" w:rsidRPr="004F39B3" w:rsidTr="004F39B3">
        <w:tc>
          <w:tcPr>
            <w:tcW w:w="1276" w:type="dxa"/>
            <w:shd w:val="clear" w:color="auto" w:fill="FFFFFF"/>
          </w:tcPr>
          <w:p w:rsidR="00385835" w:rsidRPr="004F39B3" w:rsidRDefault="00385835" w:rsidP="00385835">
            <w:pPr>
              <w:spacing w:after="0" w:line="240" w:lineRule="auto"/>
              <w:rPr>
                <w:rFonts w:ascii="Times New Roman" w:hAnsi="Times New Roman"/>
                <w:sz w:val="16"/>
                <w:szCs w:val="16"/>
              </w:rPr>
            </w:pPr>
            <w:r w:rsidRPr="004F39B3">
              <w:rPr>
                <w:rFonts w:ascii="Times New Roman" w:hAnsi="Times New Roman"/>
                <w:sz w:val="16"/>
                <w:szCs w:val="16"/>
              </w:rPr>
              <w:t>Finansinis</w:t>
            </w:r>
            <w:r w:rsidRPr="004F39B3">
              <w:rPr>
                <w:rFonts w:ascii="Times New Roman" w:eastAsia="AngsanaUPC" w:hAnsi="Times New Roman"/>
                <w:bCs/>
                <w:iCs/>
                <w:sz w:val="16"/>
                <w:szCs w:val="16"/>
              </w:rPr>
              <w:t xml:space="preserve"> </w:t>
            </w:r>
            <w:r w:rsidRPr="004F39B3">
              <w:rPr>
                <w:rFonts w:ascii="Times New Roman" w:hAnsi="Times New Roman"/>
                <w:sz w:val="16"/>
                <w:szCs w:val="16"/>
              </w:rPr>
              <w:t>rodiklis</w:t>
            </w:r>
          </w:p>
        </w:tc>
        <w:tc>
          <w:tcPr>
            <w:tcW w:w="2552" w:type="dxa"/>
            <w:shd w:val="clear" w:color="auto" w:fill="FFFFFF"/>
          </w:tcPr>
          <w:p w:rsidR="00385835" w:rsidRPr="004F39B3" w:rsidRDefault="00385835" w:rsidP="00385835">
            <w:pPr>
              <w:spacing w:after="0" w:line="240" w:lineRule="auto"/>
              <w:rPr>
                <w:rFonts w:ascii="Times New Roman" w:hAnsi="Times New Roman"/>
                <w:i/>
                <w:sz w:val="16"/>
                <w:szCs w:val="16"/>
              </w:rPr>
            </w:pPr>
            <w:r w:rsidRPr="004F39B3">
              <w:rPr>
                <w:rFonts w:ascii="Times New Roman" w:hAnsi="Times New Roman"/>
                <w:color w:val="000000"/>
                <w:sz w:val="16"/>
                <w:szCs w:val="16"/>
              </w:rPr>
              <w:t>Bendra tinkamų finansuoti išlaidų suma</w:t>
            </w:r>
            <w:r w:rsidR="00367B18" w:rsidRPr="004F39B3">
              <w:rPr>
                <w:rFonts w:ascii="Times New Roman" w:hAnsi="Times New Roman"/>
                <w:color w:val="000000"/>
                <w:sz w:val="16"/>
                <w:szCs w:val="16"/>
              </w:rPr>
              <w:t>,</w:t>
            </w:r>
            <w:r w:rsidRPr="004F39B3">
              <w:rPr>
                <w:rFonts w:ascii="Times New Roman" w:hAnsi="Times New Roman"/>
                <w:color w:val="000000"/>
                <w:sz w:val="16"/>
                <w:szCs w:val="16"/>
              </w:rPr>
              <w:t xml:space="preserve"> pripažinta tinkama deklaruoti EK</w:t>
            </w:r>
          </w:p>
        </w:tc>
        <w:tc>
          <w:tcPr>
            <w:tcW w:w="992" w:type="dxa"/>
            <w:shd w:val="clear" w:color="auto" w:fill="FFFFFF"/>
          </w:tcPr>
          <w:p w:rsidR="00385835" w:rsidRPr="004F39B3" w:rsidRDefault="00385835" w:rsidP="00385835">
            <w:pPr>
              <w:spacing w:after="0" w:line="240" w:lineRule="auto"/>
              <w:jc w:val="center"/>
              <w:rPr>
                <w:rFonts w:ascii="Times New Roman" w:hAnsi="Times New Roman"/>
                <w:i/>
                <w:sz w:val="16"/>
                <w:szCs w:val="16"/>
              </w:rPr>
            </w:pPr>
            <w:r w:rsidRPr="004F39B3">
              <w:rPr>
                <w:rFonts w:ascii="Times New Roman" w:hAnsi="Times New Roman"/>
                <w:sz w:val="16"/>
                <w:szCs w:val="16"/>
              </w:rPr>
              <w:t>Eurai</w:t>
            </w:r>
          </w:p>
        </w:tc>
        <w:tc>
          <w:tcPr>
            <w:tcW w:w="709" w:type="dxa"/>
            <w:shd w:val="clear" w:color="auto" w:fill="FFFFFF"/>
          </w:tcPr>
          <w:p w:rsidR="00385835" w:rsidRPr="004F39B3" w:rsidRDefault="00385835" w:rsidP="00385835">
            <w:pPr>
              <w:spacing w:after="0" w:line="240" w:lineRule="auto"/>
              <w:jc w:val="center"/>
              <w:rPr>
                <w:rFonts w:ascii="Times New Roman" w:hAnsi="Times New Roman"/>
                <w:sz w:val="16"/>
                <w:szCs w:val="16"/>
              </w:rPr>
            </w:pPr>
            <w:r w:rsidRPr="004F39B3">
              <w:rPr>
                <w:rFonts w:ascii="Times New Roman" w:hAnsi="Times New Roman"/>
                <w:sz w:val="16"/>
                <w:szCs w:val="16"/>
              </w:rPr>
              <w:t>ERPF</w:t>
            </w:r>
          </w:p>
        </w:tc>
        <w:tc>
          <w:tcPr>
            <w:tcW w:w="850" w:type="dxa"/>
            <w:shd w:val="clear" w:color="auto" w:fill="FFFFFF"/>
          </w:tcPr>
          <w:p w:rsidR="00385835" w:rsidRPr="004F39B3" w:rsidRDefault="00385835" w:rsidP="00385835">
            <w:pPr>
              <w:spacing w:after="0" w:line="240" w:lineRule="auto"/>
              <w:jc w:val="center"/>
              <w:rPr>
                <w:rFonts w:ascii="Times New Roman" w:hAnsi="Times New Roman"/>
                <w:sz w:val="16"/>
                <w:szCs w:val="16"/>
              </w:rPr>
            </w:pPr>
            <w:r w:rsidRPr="004F39B3">
              <w:rPr>
                <w:rFonts w:ascii="Times New Roman" w:hAnsi="Times New Roman"/>
                <w:sz w:val="16"/>
                <w:szCs w:val="16"/>
              </w:rPr>
              <w:t>Mažiau išsivystęs</w:t>
            </w:r>
          </w:p>
        </w:tc>
        <w:tc>
          <w:tcPr>
            <w:tcW w:w="1134" w:type="dxa"/>
            <w:shd w:val="clear" w:color="auto" w:fill="FFFFFF"/>
          </w:tcPr>
          <w:p w:rsidR="00D828BD" w:rsidRPr="004F39B3" w:rsidRDefault="00D828BD" w:rsidP="00C76808">
            <w:pPr>
              <w:jc w:val="center"/>
              <w:rPr>
                <w:rFonts w:ascii="Times New Roman" w:hAnsi="Times New Roman"/>
                <w:bCs/>
                <w:color w:val="000000"/>
                <w:sz w:val="16"/>
                <w:szCs w:val="16"/>
              </w:rPr>
            </w:pPr>
            <w:r w:rsidRPr="004F39B3">
              <w:rPr>
                <w:rFonts w:ascii="Times New Roman" w:hAnsi="Times New Roman"/>
                <w:bCs/>
                <w:color w:val="000000"/>
                <w:sz w:val="16"/>
                <w:szCs w:val="16"/>
              </w:rPr>
              <w:t>42.480.211</w:t>
            </w:r>
          </w:p>
        </w:tc>
        <w:tc>
          <w:tcPr>
            <w:tcW w:w="1134" w:type="dxa"/>
            <w:shd w:val="clear" w:color="auto" w:fill="FFFFFF"/>
          </w:tcPr>
          <w:p w:rsidR="00385835" w:rsidRPr="004F39B3" w:rsidRDefault="005F2D43" w:rsidP="003604BB">
            <w:pPr>
              <w:spacing w:after="0" w:line="240" w:lineRule="auto"/>
              <w:jc w:val="center"/>
              <w:rPr>
                <w:rFonts w:ascii="Times New Roman" w:hAnsi="Times New Roman"/>
                <w:sz w:val="16"/>
                <w:szCs w:val="16"/>
              </w:rPr>
            </w:pPr>
            <w:r w:rsidRPr="004F39B3">
              <w:rPr>
                <w:rFonts w:ascii="Times New Roman" w:hAnsi="Times New Roman"/>
                <w:sz w:val="16"/>
                <w:szCs w:val="16"/>
              </w:rPr>
              <w:t>233</w:t>
            </w:r>
            <w:r w:rsidR="00C76808" w:rsidRPr="004F39B3">
              <w:rPr>
                <w:rFonts w:ascii="Times New Roman" w:hAnsi="Times New Roman"/>
                <w:sz w:val="16"/>
                <w:szCs w:val="16"/>
              </w:rPr>
              <w:t>.</w:t>
            </w:r>
            <w:r w:rsidRPr="004F39B3">
              <w:rPr>
                <w:rFonts w:ascii="Times New Roman" w:hAnsi="Times New Roman"/>
                <w:sz w:val="16"/>
                <w:szCs w:val="16"/>
              </w:rPr>
              <w:t>036</w:t>
            </w:r>
            <w:r w:rsidR="00C76808" w:rsidRPr="004F39B3">
              <w:rPr>
                <w:rFonts w:ascii="Times New Roman" w:hAnsi="Times New Roman"/>
                <w:sz w:val="16"/>
                <w:szCs w:val="16"/>
              </w:rPr>
              <w:t>.</w:t>
            </w:r>
            <w:r w:rsidRPr="004F39B3">
              <w:rPr>
                <w:rFonts w:ascii="Times New Roman" w:hAnsi="Times New Roman"/>
                <w:sz w:val="16"/>
                <w:szCs w:val="16"/>
              </w:rPr>
              <w:t>129</w:t>
            </w:r>
          </w:p>
        </w:tc>
        <w:tc>
          <w:tcPr>
            <w:tcW w:w="992" w:type="dxa"/>
            <w:shd w:val="clear" w:color="auto" w:fill="FFFFFF"/>
          </w:tcPr>
          <w:p w:rsidR="00385835" w:rsidRPr="004F39B3" w:rsidRDefault="00385835" w:rsidP="00385835">
            <w:pPr>
              <w:spacing w:after="0" w:line="240" w:lineRule="auto"/>
              <w:jc w:val="center"/>
              <w:rPr>
                <w:rFonts w:ascii="Times New Roman" w:hAnsi="Times New Roman"/>
                <w:sz w:val="16"/>
                <w:szCs w:val="16"/>
              </w:rPr>
            </w:pPr>
            <w:r w:rsidRPr="004F39B3">
              <w:rPr>
                <w:rFonts w:ascii="Times New Roman" w:hAnsi="Times New Roman"/>
                <w:sz w:val="16"/>
                <w:szCs w:val="16"/>
              </w:rPr>
              <w:t>Duomenys iš projektų</w:t>
            </w:r>
          </w:p>
        </w:tc>
        <w:tc>
          <w:tcPr>
            <w:tcW w:w="4395" w:type="dxa"/>
            <w:shd w:val="clear" w:color="auto" w:fill="FFFFFF"/>
          </w:tcPr>
          <w:p w:rsidR="00385835" w:rsidRPr="004F39B3" w:rsidRDefault="00385835" w:rsidP="00385835">
            <w:pPr>
              <w:spacing w:after="0" w:line="240" w:lineRule="auto"/>
              <w:rPr>
                <w:rFonts w:ascii="Times New Roman" w:hAnsi="Times New Roman"/>
                <w:sz w:val="16"/>
                <w:szCs w:val="16"/>
              </w:rPr>
            </w:pPr>
            <w:r w:rsidRPr="004F39B3">
              <w:rPr>
                <w:rFonts w:ascii="Times New Roman" w:hAnsi="Times New Roman"/>
                <w:sz w:val="16"/>
                <w:szCs w:val="16"/>
              </w:rPr>
              <w:t>Privalomas rodiklis, kuris atspindi finansinę prioriteto įgyvendinimo pažangą.</w:t>
            </w:r>
          </w:p>
        </w:tc>
      </w:tr>
      <w:tr w:rsidR="00385835" w:rsidRPr="004F39B3" w:rsidTr="004F39B3">
        <w:tc>
          <w:tcPr>
            <w:tcW w:w="1276" w:type="dxa"/>
            <w:shd w:val="clear" w:color="auto" w:fill="FFFFFF"/>
          </w:tcPr>
          <w:p w:rsidR="00385835" w:rsidRPr="004F39B3" w:rsidRDefault="00385835" w:rsidP="00385835">
            <w:pPr>
              <w:spacing w:after="0" w:line="240" w:lineRule="auto"/>
              <w:rPr>
                <w:rFonts w:ascii="Times New Roman" w:hAnsi="Times New Roman"/>
                <w:sz w:val="16"/>
                <w:szCs w:val="16"/>
              </w:rPr>
            </w:pPr>
            <w:r w:rsidRPr="004F39B3">
              <w:rPr>
                <w:rFonts w:ascii="Times New Roman" w:hAnsi="Times New Roman"/>
                <w:sz w:val="16"/>
                <w:szCs w:val="16"/>
              </w:rPr>
              <w:t>Produkto rodiklis</w:t>
            </w:r>
          </w:p>
        </w:tc>
        <w:tc>
          <w:tcPr>
            <w:tcW w:w="2552" w:type="dxa"/>
            <w:shd w:val="clear" w:color="auto" w:fill="FFFFFF"/>
          </w:tcPr>
          <w:p w:rsidR="00385835" w:rsidRPr="004F39B3" w:rsidRDefault="00385835" w:rsidP="00385835">
            <w:pPr>
              <w:spacing w:after="0" w:line="240" w:lineRule="auto"/>
              <w:rPr>
                <w:rFonts w:ascii="Times New Roman" w:hAnsi="Times New Roman"/>
                <w:sz w:val="16"/>
                <w:szCs w:val="16"/>
              </w:rPr>
            </w:pPr>
            <w:r w:rsidRPr="004F39B3">
              <w:rPr>
                <w:rFonts w:ascii="Times New Roman" w:hAnsi="Times New Roman"/>
                <w:sz w:val="16"/>
                <w:szCs w:val="16"/>
              </w:rPr>
              <w:t xml:space="preserve">Sutvarkyti, įrengti ir pritaikyti lankymui gamtos ir kultūros paveldo objektai ir teritorijos </w:t>
            </w:r>
          </w:p>
        </w:tc>
        <w:tc>
          <w:tcPr>
            <w:tcW w:w="992" w:type="dxa"/>
            <w:shd w:val="clear" w:color="auto" w:fill="FFFFFF"/>
          </w:tcPr>
          <w:p w:rsidR="00385835" w:rsidRPr="004F39B3" w:rsidDel="00C8696B" w:rsidRDefault="003604BB" w:rsidP="00385835">
            <w:pPr>
              <w:spacing w:after="0" w:line="240" w:lineRule="auto"/>
              <w:jc w:val="center"/>
              <w:rPr>
                <w:rFonts w:ascii="Times New Roman" w:hAnsi="Times New Roman"/>
                <w:sz w:val="16"/>
                <w:szCs w:val="16"/>
              </w:rPr>
            </w:pPr>
            <w:r w:rsidRPr="004F39B3">
              <w:rPr>
                <w:rFonts w:ascii="Times New Roman" w:hAnsi="Times New Roman"/>
                <w:sz w:val="16"/>
                <w:szCs w:val="16"/>
              </w:rPr>
              <w:t>Vienetai</w:t>
            </w:r>
          </w:p>
        </w:tc>
        <w:tc>
          <w:tcPr>
            <w:tcW w:w="709" w:type="dxa"/>
            <w:shd w:val="clear" w:color="auto" w:fill="FFFFFF"/>
          </w:tcPr>
          <w:p w:rsidR="00385835" w:rsidRPr="004F39B3" w:rsidDel="00C8696B" w:rsidRDefault="00385835" w:rsidP="00385835">
            <w:pPr>
              <w:spacing w:after="0" w:line="240" w:lineRule="auto"/>
              <w:jc w:val="center"/>
              <w:rPr>
                <w:rFonts w:ascii="Times New Roman" w:hAnsi="Times New Roman"/>
                <w:sz w:val="16"/>
                <w:szCs w:val="16"/>
              </w:rPr>
            </w:pPr>
            <w:r w:rsidRPr="004F39B3">
              <w:rPr>
                <w:rFonts w:ascii="Times New Roman" w:hAnsi="Times New Roman"/>
                <w:sz w:val="16"/>
                <w:szCs w:val="16"/>
              </w:rPr>
              <w:t>ERPF</w:t>
            </w:r>
          </w:p>
        </w:tc>
        <w:tc>
          <w:tcPr>
            <w:tcW w:w="850" w:type="dxa"/>
            <w:shd w:val="clear" w:color="auto" w:fill="FFFFFF"/>
          </w:tcPr>
          <w:p w:rsidR="00385835" w:rsidRPr="004F39B3" w:rsidDel="00C8696B" w:rsidRDefault="00385835" w:rsidP="00385835">
            <w:pPr>
              <w:spacing w:after="0" w:line="240" w:lineRule="auto"/>
              <w:jc w:val="center"/>
              <w:rPr>
                <w:rFonts w:ascii="Times New Roman" w:hAnsi="Times New Roman"/>
                <w:sz w:val="16"/>
                <w:szCs w:val="16"/>
              </w:rPr>
            </w:pPr>
            <w:r w:rsidRPr="004F39B3">
              <w:rPr>
                <w:rFonts w:ascii="Times New Roman" w:hAnsi="Times New Roman"/>
                <w:sz w:val="16"/>
                <w:szCs w:val="16"/>
              </w:rPr>
              <w:t>Mažiau išsivystęs</w:t>
            </w:r>
          </w:p>
        </w:tc>
        <w:tc>
          <w:tcPr>
            <w:tcW w:w="1134" w:type="dxa"/>
            <w:shd w:val="clear" w:color="auto" w:fill="FFFFFF"/>
          </w:tcPr>
          <w:p w:rsidR="00385835" w:rsidRPr="004F39B3" w:rsidDel="00C8696B" w:rsidRDefault="00385835" w:rsidP="00385835">
            <w:pPr>
              <w:spacing w:after="0" w:line="240" w:lineRule="auto"/>
              <w:jc w:val="center"/>
              <w:rPr>
                <w:rFonts w:ascii="Times New Roman" w:hAnsi="Times New Roman"/>
                <w:sz w:val="16"/>
                <w:szCs w:val="16"/>
              </w:rPr>
            </w:pPr>
            <w:r w:rsidRPr="004F39B3">
              <w:rPr>
                <w:rFonts w:ascii="Times New Roman" w:hAnsi="Times New Roman"/>
                <w:sz w:val="16"/>
                <w:szCs w:val="16"/>
              </w:rPr>
              <w:t>0</w:t>
            </w:r>
          </w:p>
        </w:tc>
        <w:tc>
          <w:tcPr>
            <w:tcW w:w="1134" w:type="dxa"/>
            <w:shd w:val="clear" w:color="auto" w:fill="FFFFFF"/>
          </w:tcPr>
          <w:p w:rsidR="00385835" w:rsidRPr="004F39B3" w:rsidDel="00C8696B" w:rsidRDefault="003604BB" w:rsidP="00385835">
            <w:pPr>
              <w:spacing w:after="0" w:line="240" w:lineRule="auto"/>
              <w:jc w:val="center"/>
              <w:rPr>
                <w:rFonts w:ascii="Times New Roman" w:hAnsi="Times New Roman"/>
                <w:sz w:val="16"/>
                <w:szCs w:val="16"/>
              </w:rPr>
            </w:pPr>
            <w:r w:rsidRPr="004F39B3">
              <w:rPr>
                <w:rFonts w:ascii="Times New Roman" w:hAnsi="Times New Roman"/>
                <w:sz w:val="16"/>
                <w:szCs w:val="16"/>
              </w:rPr>
              <w:t>1</w:t>
            </w:r>
            <w:r w:rsidR="00F626B3" w:rsidRPr="004F39B3">
              <w:rPr>
                <w:rFonts w:ascii="Times New Roman" w:hAnsi="Times New Roman"/>
                <w:sz w:val="16"/>
                <w:szCs w:val="16"/>
              </w:rPr>
              <w:t>77</w:t>
            </w:r>
          </w:p>
        </w:tc>
        <w:tc>
          <w:tcPr>
            <w:tcW w:w="992" w:type="dxa"/>
            <w:shd w:val="clear" w:color="auto" w:fill="FFFFFF"/>
          </w:tcPr>
          <w:p w:rsidR="00385835" w:rsidRPr="004F39B3" w:rsidDel="00C8696B" w:rsidRDefault="00385835" w:rsidP="00385835">
            <w:pPr>
              <w:spacing w:after="0" w:line="240" w:lineRule="auto"/>
              <w:jc w:val="center"/>
              <w:rPr>
                <w:rFonts w:ascii="Times New Roman" w:hAnsi="Times New Roman"/>
                <w:sz w:val="16"/>
                <w:szCs w:val="16"/>
              </w:rPr>
            </w:pPr>
            <w:r w:rsidRPr="004F39B3">
              <w:rPr>
                <w:rFonts w:ascii="Times New Roman" w:hAnsi="Times New Roman"/>
                <w:sz w:val="16"/>
                <w:szCs w:val="16"/>
              </w:rPr>
              <w:t>Duomenys iš projektų</w:t>
            </w:r>
          </w:p>
        </w:tc>
        <w:tc>
          <w:tcPr>
            <w:tcW w:w="4395" w:type="dxa"/>
            <w:shd w:val="clear" w:color="auto" w:fill="FFFFFF"/>
          </w:tcPr>
          <w:p w:rsidR="00385835" w:rsidRPr="004F39B3" w:rsidDel="00C8696B" w:rsidRDefault="00385835" w:rsidP="00385835">
            <w:pPr>
              <w:spacing w:after="0" w:line="240" w:lineRule="auto"/>
              <w:rPr>
                <w:rFonts w:ascii="Times New Roman" w:hAnsi="Times New Roman"/>
                <w:sz w:val="16"/>
                <w:szCs w:val="16"/>
              </w:rPr>
            </w:pPr>
            <w:r w:rsidRPr="004F39B3">
              <w:rPr>
                <w:rFonts w:ascii="Times New Roman" w:hAnsi="Times New Roman"/>
                <w:sz w:val="16"/>
                <w:szCs w:val="16"/>
              </w:rPr>
              <w:t>Rodiklis atspindi prioriteto įgyvendinimo e</w:t>
            </w:r>
            <w:r w:rsidR="00FE6452" w:rsidRPr="004F39B3">
              <w:rPr>
                <w:rFonts w:ascii="Times New Roman" w:hAnsi="Times New Roman"/>
                <w:sz w:val="16"/>
                <w:szCs w:val="16"/>
              </w:rPr>
              <w:t>igą, nes jo pasiekimui skirta 62</w:t>
            </w:r>
            <w:r w:rsidRPr="004F39B3">
              <w:rPr>
                <w:rFonts w:ascii="Times New Roman" w:hAnsi="Times New Roman"/>
                <w:sz w:val="16"/>
                <w:szCs w:val="16"/>
              </w:rPr>
              <w:t xml:space="preserve"> proc. šio prioriteto įgyvendinimui skirtų ERPF lėšų.</w:t>
            </w:r>
          </w:p>
        </w:tc>
      </w:tr>
      <w:tr w:rsidR="00385835" w:rsidRPr="004F39B3" w:rsidTr="004F39B3">
        <w:tc>
          <w:tcPr>
            <w:tcW w:w="1276" w:type="dxa"/>
            <w:shd w:val="clear" w:color="auto" w:fill="FFFFFF"/>
          </w:tcPr>
          <w:p w:rsidR="00385835" w:rsidRPr="004F39B3" w:rsidRDefault="00385835" w:rsidP="00385835">
            <w:pPr>
              <w:spacing w:after="0" w:line="240" w:lineRule="auto"/>
              <w:rPr>
                <w:rFonts w:ascii="Times New Roman" w:hAnsi="Times New Roman"/>
                <w:sz w:val="16"/>
                <w:szCs w:val="16"/>
              </w:rPr>
            </w:pPr>
            <w:r w:rsidRPr="004F39B3">
              <w:rPr>
                <w:rFonts w:ascii="Times New Roman" w:hAnsi="Times New Roman"/>
                <w:sz w:val="16"/>
                <w:szCs w:val="16"/>
              </w:rPr>
              <w:t>Įgyvendinimo žingsnis</w:t>
            </w:r>
          </w:p>
        </w:tc>
        <w:tc>
          <w:tcPr>
            <w:tcW w:w="2552" w:type="dxa"/>
            <w:shd w:val="clear" w:color="auto" w:fill="FFFFFF"/>
          </w:tcPr>
          <w:p w:rsidR="00385835" w:rsidRPr="004F39B3" w:rsidRDefault="00385835" w:rsidP="00385835">
            <w:pPr>
              <w:spacing w:after="0" w:line="240" w:lineRule="auto"/>
              <w:rPr>
                <w:rFonts w:ascii="Times New Roman" w:hAnsi="Times New Roman"/>
                <w:i/>
                <w:sz w:val="16"/>
                <w:szCs w:val="16"/>
              </w:rPr>
            </w:pPr>
            <w:r w:rsidRPr="004F39B3">
              <w:rPr>
                <w:rFonts w:ascii="Times New Roman" w:hAnsi="Times New Roman"/>
                <w:sz w:val="16"/>
                <w:szCs w:val="16"/>
              </w:rPr>
              <w:t>Projektų</w:t>
            </w:r>
            <w:r w:rsidRPr="004F39B3">
              <w:rPr>
                <w:rFonts w:ascii="Times New Roman" w:hAnsi="Times New Roman"/>
                <w:i/>
                <w:sz w:val="16"/>
                <w:szCs w:val="16"/>
              </w:rPr>
              <w:t xml:space="preserve"> </w:t>
            </w:r>
            <w:r w:rsidRPr="004F39B3">
              <w:rPr>
                <w:rFonts w:ascii="Times New Roman" w:hAnsi="Times New Roman"/>
                <w:sz w:val="16"/>
                <w:szCs w:val="16"/>
              </w:rPr>
              <w:t>finansavimo ir administravimo sutartyse suplanuota produkto rodiklio „Sutvarkyti, įrengti ir pritaikyti lankymui gamtos ir kultūros paveldo objektai ir teritorijos“ reikšmė</w:t>
            </w:r>
          </w:p>
        </w:tc>
        <w:tc>
          <w:tcPr>
            <w:tcW w:w="992" w:type="dxa"/>
            <w:shd w:val="clear" w:color="auto" w:fill="FFFFFF"/>
          </w:tcPr>
          <w:p w:rsidR="00385835" w:rsidRPr="004F39B3" w:rsidRDefault="00385835" w:rsidP="00385835">
            <w:pPr>
              <w:spacing w:after="0" w:line="240" w:lineRule="auto"/>
              <w:jc w:val="center"/>
              <w:rPr>
                <w:rFonts w:ascii="Times New Roman" w:hAnsi="Times New Roman"/>
                <w:sz w:val="16"/>
                <w:szCs w:val="16"/>
              </w:rPr>
            </w:pPr>
            <w:r w:rsidRPr="004F39B3">
              <w:rPr>
                <w:rFonts w:ascii="Times New Roman" w:hAnsi="Times New Roman"/>
                <w:sz w:val="16"/>
                <w:szCs w:val="16"/>
              </w:rPr>
              <w:t>Skaičius</w:t>
            </w:r>
          </w:p>
        </w:tc>
        <w:tc>
          <w:tcPr>
            <w:tcW w:w="709" w:type="dxa"/>
            <w:shd w:val="clear" w:color="auto" w:fill="FFFFFF"/>
          </w:tcPr>
          <w:p w:rsidR="00385835" w:rsidRPr="004F39B3" w:rsidRDefault="00385835" w:rsidP="00385835">
            <w:pPr>
              <w:spacing w:after="0" w:line="240" w:lineRule="auto"/>
              <w:jc w:val="center"/>
              <w:rPr>
                <w:rFonts w:ascii="Times New Roman" w:hAnsi="Times New Roman"/>
                <w:sz w:val="16"/>
                <w:szCs w:val="16"/>
              </w:rPr>
            </w:pPr>
            <w:r w:rsidRPr="004F39B3">
              <w:rPr>
                <w:rFonts w:ascii="Times New Roman" w:hAnsi="Times New Roman"/>
                <w:sz w:val="16"/>
                <w:szCs w:val="16"/>
              </w:rPr>
              <w:t>ERPF</w:t>
            </w:r>
          </w:p>
        </w:tc>
        <w:tc>
          <w:tcPr>
            <w:tcW w:w="850" w:type="dxa"/>
            <w:shd w:val="clear" w:color="auto" w:fill="FFFFFF"/>
          </w:tcPr>
          <w:p w:rsidR="00385835" w:rsidRPr="004F39B3" w:rsidRDefault="00385835" w:rsidP="00385835">
            <w:pPr>
              <w:spacing w:after="0" w:line="240" w:lineRule="auto"/>
              <w:jc w:val="center"/>
              <w:rPr>
                <w:rFonts w:ascii="Times New Roman" w:hAnsi="Times New Roman"/>
                <w:sz w:val="16"/>
                <w:szCs w:val="16"/>
              </w:rPr>
            </w:pPr>
            <w:r w:rsidRPr="004F39B3">
              <w:rPr>
                <w:rFonts w:ascii="Times New Roman" w:hAnsi="Times New Roman"/>
                <w:sz w:val="16"/>
                <w:szCs w:val="16"/>
              </w:rPr>
              <w:t>Mažiau išsivystęs</w:t>
            </w:r>
          </w:p>
        </w:tc>
        <w:tc>
          <w:tcPr>
            <w:tcW w:w="1134" w:type="dxa"/>
            <w:shd w:val="clear" w:color="auto" w:fill="FFFFFF"/>
          </w:tcPr>
          <w:p w:rsidR="00385835" w:rsidRPr="004F39B3" w:rsidDel="00C8696B" w:rsidRDefault="00F626B3" w:rsidP="00385835">
            <w:pPr>
              <w:spacing w:after="0" w:line="240" w:lineRule="auto"/>
              <w:jc w:val="center"/>
              <w:rPr>
                <w:rFonts w:ascii="Times New Roman" w:hAnsi="Times New Roman"/>
                <w:sz w:val="16"/>
                <w:szCs w:val="16"/>
              </w:rPr>
            </w:pPr>
            <w:r w:rsidRPr="004F39B3">
              <w:rPr>
                <w:rFonts w:ascii="Times New Roman" w:hAnsi="Times New Roman"/>
                <w:sz w:val="16"/>
                <w:szCs w:val="16"/>
              </w:rPr>
              <w:t>40</w:t>
            </w:r>
          </w:p>
        </w:tc>
        <w:tc>
          <w:tcPr>
            <w:tcW w:w="1134" w:type="dxa"/>
            <w:shd w:val="clear" w:color="auto" w:fill="FFFFFF"/>
          </w:tcPr>
          <w:p w:rsidR="00385835" w:rsidRPr="004F39B3" w:rsidDel="00C8696B" w:rsidRDefault="00385835" w:rsidP="00385835">
            <w:pPr>
              <w:spacing w:after="0" w:line="240" w:lineRule="auto"/>
              <w:jc w:val="center"/>
              <w:rPr>
                <w:rFonts w:ascii="Times New Roman" w:hAnsi="Times New Roman"/>
                <w:sz w:val="16"/>
                <w:szCs w:val="16"/>
              </w:rPr>
            </w:pPr>
            <w:r w:rsidRPr="004F39B3">
              <w:rPr>
                <w:rFonts w:ascii="Times New Roman" w:hAnsi="Times New Roman"/>
                <w:sz w:val="16"/>
                <w:szCs w:val="16"/>
              </w:rPr>
              <w:t>-</w:t>
            </w:r>
          </w:p>
        </w:tc>
        <w:tc>
          <w:tcPr>
            <w:tcW w:w="992" w:type="dxa"/>
            <w:shd w:val="clear" w:color="auto" w:fill="FFFFFF"/>
          </w:tcPr>
          <w:p w:rsidR="00385835" w:rsidRPr="004F39B3" w:rsidDel="00C8696B" w:rsidRDefault="00385835" w:rsidP="00385835">
            <w:pPr>
              <w:spacing w:after="0" w:line="240" w:lineRule="auto"/>
              <w:jc w:val="center"/>
              <w:rPr>
                <w:rFonts w:ascii="Times New Roman" w:hAnsi="Times New Roman"/>
                <w:sz w:val="16"/>
                <w:szCs w:val="16"/>
              </w:rPr>
            </w:pPr>
            <w:r w:rsidRPr="004F39B3">
              <w:rPr>
                <w:rFonts w:ascii="Times New Roman" w:hAnsi="Times New Roman"/>
                <w:sz w:val="16"/>
                <w:szCs w:val="16"/>
              </w:rPr>
              <w:t>Duomenys iš projektų</w:t>
            </w:r>
          </w:p>
        </w:tc>
        <w:tc>
          <w:tcPr>
            <w:tcW w:w="4395" w:type="dxa"/>
            <w:shd w:val="clear" w:color="auto" w:fill="FFFFFF"/>
          </w:tcPr>
          <w:p w:rsidR="00385835" w:rsidRPr="004F39B3" w:rsidRDefault="00385835" w:rsidP="00385835">
            <w:pPr>
              <w:spacing w:after="0" w:line="240" w:lineRule="auto"/>
              <w:rPr>
                <w:rFonts w:ascii="Times New Roman" w:hAnsi="Times New Roman"/>
                <w:sz w:val="16"/>
                <w:szCs w:val="16"/>
              </w:rPr>
            </w:pPr>
            <w:r w:rsidRPr="004F39B3">
              <w:rPr>
                <w:rFonts w:ascii="Times New Roman" w:hAnsi="Times New Roman"/>
                <w:sz w:val="16"/>
                <w:szCs w:val="16"/>
              </w:rPr>
              <w:t>Įgyvendinimo žingsnis pasirinktas, nes iki 2018 m. pabaigos nebus baigtų projektų, atsižvelgiant į tokių projektų įgyvendinimo trukmę ir vėlesnę jų įgyvendinimo pradžią, kuri yra numatoma dėl poreikio atlikti parengiamuosius paveldo objektų ir teritorijų tvarkymo darbus bei atsižvelgiant į nacionalinėse programose numatytus paveldo objektų tvarkymo etapus.</w:t>
            </w:r>
          </w:p>
          <w:p w:rsidR="00385835" w:rsidRPr="004F39B3" w:rsidDel="00C8696B" w:rsidRDefault="00385835" w:rsidP="00F626B3">
            <w:pPr>
              <w:spacing w:after="0" w:line="240" w:lineRule="auto"/>
              <w:rPr>
                <w:rFonts w:ascii="Times New Roman" w:hAnsi="Times New Roman"/>
                <w:sz w:val="16"/>
                <w:szCs w:val="16"/>
              </w:rPr>
            </w:pPr>
            <w:r w:rsidRPr="004F39B3">
              <w:rPr>
                <w:rFonts w:ascii="Times New Roman" w:hAnsi="Times New Roman"/>
                <w:sz w:val="16"/>
                <w:szCs w:val="16"/>
              </w:rPr>
              <w:t>Projektų finansavimo ir administravimo sutartyse suplanuota produkto rodiklio reikšmė rodys, ar projektai bus įgyvendinti numatyta apimtimi.</w:t>
            </w:r>
          </w:p>
        </w:tc>
      </w:tr>
      <w:tr w:rsidR="0033434D" w:rsidRPr="004F39B3" w:rsidTr="004F39B3">
        <w:tc>
          <w:tcPr>
            <w:tcW w:w="1276" w:type="dxa"/>
            <w:shd w:val="clear" w:color="auto" w:fill="FFFFFF"/>
          </w:tcPr>
          <w:p w:rsidR="0033434D" w:rsidRPr="004F39B3" w:rsidRDefault="0033434D" w:rsidP="00385835">
            <w:pPr>
              <w:spacing w:after="0" w:line="240" w:lineRule="auto"/>
              <w:rPr>
                <w:rFonts w:ascii="Times New Roman" w:hAnsi="Times New Roman"/>
                <w:sz w:val="16"/>
                <w:szCs w:val="16"/>
              </w:rPr>
            </w:pPr>
            <w:r w:rsidRPr="004F39B3">
              <w:rPr>
                <w:rFonts w:ascii="Times New Roman" w:hAnsi="Times New Roman"/>
                <w:sz w:val="16"/>
                <w:szCs w:val="16"/>
              </w:rPr>
              <w:t>Finansinis</w:t>
            </w:r>
            <w:r w:rsidRPr="004F39B3">
              <w:rPr>
                <w:rFonts w:ascii="Times New Roman" w:eastAsia="AngsanaUPC" w:hAnsi="Times New Roman"/>
                <w:bCs/>
                <w:iCs/>
                <w:sz w:val="16"/>
                <w:szCs w:val="16"/>
              </w:rPr>
              <w:t xml:space="preserve"> </w:t>
            </w:r>
            <w:r w:rsidRPr="004F39B3">
              <w:rPr>
                <w:rFonts w:ascii="Times New Roman" w:hAnsi="Times New Roman"/>
                <w:sz w:val="16"/>
                <w:szCs w:val="16"/>
              </w:rPr>
              <w:t>rodiklis</w:t>
            </w:r>
          </w:p>
        </w:tc>
        <w:tc>
          <w:tcPr>
            <w:tcW w:w="2552" w:type="dxa"/>
            <w:shd w:val="clear" w:color="auto" w:fill="FFFFFF"/>
            <w:vAlign w:val="center"/>
          </w:tcPr>
          <w:p w:rsidR="0033434D" w:rsidRPr="004F39B3" w:rsidRDefault="0033434D" w:rsidP="00385835">
            <w:pPr>
              <w:spacing w:after="0" w:line="240" w:lineRule="auto"/>
              <w:rPr>
                <w:rFonts w:ascii="Times New Roman" w:hAnsi="Times New Roman"/>
                <w:i/>
                <w:sz w:val="16"/>
                <w:szCs w:val="16"/>
              </w:rPr>
            </w:pPr>
            <w:r w:rsidRPr="004F39B3">
              <w:rPr>
                <w:rFonts w:ascii="Times New Roman" w:hAnsi="Times New Roman"/>
                <w:color w:val="000000"/>
                <w:sz w:val="16"/>
                <w:szCs w:val="16"/>
              </w:rPr>
              <w:t>Bendra tinkamų finansuoti išlaidų suma, pripažinta tinkama deklaruoti EK</w:t>
            </w:r>
          </w:p>
        </w:tc>
        <w:tc>
          <w:tcPr>
            <w:tcW w:w="992" w:type="dxa"/>
            <w:shd w:val="clear" w:color="auto" w:fill="FFFFFF"/>
          </w:tcPr>
          <w:p w:rsidR="0033434D" w:rsidRPr="004F39B3" w:rsidRDefault="0033434D" w:rsidP="00385835">
            <w:pPr>
              <w:spacing w:after="0" w:line="240" w:lineRule="auto"/>
              <w:jc w:val="center"/>
              <w:rPr>
                <w:rFonts w:ascii="Times New Roman" w:hAnsi="Times New Roman"/>
                <w:i/>
                <w:sz w:val="16"/>
                <w:szCs w:val="16"/>
              </w:rPr>
            </w:pPr>
            <w:r w:rsidRPr="004F39B3">
              <w:rPr>
                <w:rFonts w:ascii="Times New Roman" w:hAnsi="Times New Roman"/>
                <w:sz w:val="16"/>
                <w:szCs w:val="16"/>
              </w:rPr>
              <w:t>Eurai</w:t>
            </w:r>
          </w:p>
        </w:tc>
        <w:tc>
          <w:tcPr>
            <w:tcW w:w="709" w:type="dxa"/>
            <w:shd w:val="clear" w:color="auto" w:fill="FFFFFF"/>
          </w:tcPr>
          <w:p w:rsidR="0033434D" w:rsidRPr="004F39B3" w:rsidRDefault="0033434D" w:rsidP="00385835">
            <w:pPr>
              <w:spacing w:after="0" w:line="240" w:lineRule="auto"/>
              <w:jc w:val="center"/>
              <w:rPr>
                <w:rFonts w:ascii="Times New Roman" w:hAnsi="Times New Roman"/>
                <w:sz w:val="16"/>
                <w:szCs w:val="16"/>
              </w:rPr>
            </w:pPr>
            <w:r w:rsidRPr="004F39B3">
              <w:rPr>
                <w:rFonts w:ascii="Times New Roman" w:hAnsi="Times New Roman"/>
                <w:sz w:val="16"/>
                <w:szCs w:val="16"/>
              </w:rPr>
              <w:t>SaF</w:t>
            </w:r>
          </w:p>
        </w:tc>
        <w:tc>
          <w:tcPr>
            <w:tcW w:w="850" w:type="dxa"/>
            <w:shd w:val="clear" w:color="auto" w:fill="FFFFFF"/>
          </w:tcPr>
          <w:p w:rsidR="0033434D" w:rsidRPr="004F39B3" w:rsidRDefault="0033434D" w:rsidP="00385835">
            <w:pPr>
              <w:spacing w:after="0" w:line="240" w:lineRule="auto"/>
              <w:jc w:val="center"/>
              <w:rPr>
                <w:rFonts w:ascii="Times New Roman" w:hAnsi="Times New Roman"/>
                <w:sz w:val="16"/>
                <w:szCs w:val="16"/>
              </w:rPr>
            </w:pPr>
            <w:r w:rsidRPr="004F39B3">
              <w:rPr>
                <w:rFonts w:ascii="Times New Roman" w:eastAsia="AngsanaUPC" w:hAnsi="Times New Roman"/>
                <w:bCs/>
                <w:sz w:val="16"/>
                <w:szCs w:val="16"/>
                <w:lang w:eastAsia="lt-LT"/>
              </w:rPr>
              <w:t>–</w:t>
            </w:r>
          </w:p>
        </w:tc>
        <w:tc>
          <w:tcPr>
            <w:tcW w:w="1134" w:type="dxa"/>
            <w:shd w:val="clear" w:color="auto" w:fill="FFFFFF"/>
          </w:tcPr>
          <w:p w:rsidR="00D828BD" w:rsidRPr="004F39B3" w:rsidRDefault="00D828BD" w:rsidP="00C76808">
            <w:pPr>
              <w:spacing w:after="0" w:line="240" w:lineRule="auto"/>
              <w:jc w:val="center"/>
              <w:rPr>
                <w:rFonts w:ascii="Times New Roman" w:hAnsi="Times New Roman"/>
                <w:sz w:val="16"/>
                <w:szCs w:val="16"/>
                <w:lang w:val="en-US"/>
              </w:rPr>
            </w:pPr>
            <w:r w:rsidRPr="004F39B3">
              <w:rPr>
                <w:rFonts w:ascii="Times New Roman" w:hAnsi="Times New Roman"/>
                <w:sz w:val="16"/>
                <w:szCs w:val="16"/>
              </w:rPr>
              <w:t>195.048.471</w:t>
            </w:r>
          </w:p>
        </w:tc>
        <w:tc>
          <w:tcPr>
            <w:tcW w:w="1134" w:type="dxa"/>
            <w:shd w:val="clear" w:color="auto" w:fill="FFFFFF"/>
          </w:tcPr>
          <w:p w:rsidR="0033434D" w:rsidRPr="004F39B3" w:rsidRDefault="005F2D43" w:rsidP="00C76808">
            <w:pPr>
              <w:spacing w:after="0" w:line="240" w:lineRule="auto"/>
              <w:jc w:val="center"/>
              <w:rPr>
                <w:rFonts w:ascii="Times New Roman" w:hAnsi="Times New Roman"/>
                <w:sz w:val="16"/>
                <w:szCs w:val="16"/>
              </w:rPr>
            </w:pPr>
            <w:r w:rsidRPr="004F39B3">
              <w:rPr>
                <w:rFonts w:ascii="Times New Roman" w:hAnsi="Times New Roman"/>
                <w:sz w:val="16"/>
                <w:szCs w:val="16"/>
              </w:rPr>
              <w:t>838</w:t>
            </w:r>
            <w:r w:rsidR="00C76808" w:rsidRPr="004F39B3">
              <w:rPr>
                <w:rFonts w:ascii="Times New Roman" w:hAnsi="Times New Roman"/>
                <w:sz w:val="16"/>
                <w:szCs w:val="16"/>
              </w:rPr>
              <w:t>.</w:t>
            </w:r>
            <w:r w:rsidRPr="004F39B3">
              <w:rPr>
                <w:rFonts w:ascii="Times New Roman" w:hAnsi="Times New Roman"/>
                <w:sz w:val="16"/>
                <w:szCs w:val="16"/>
              </w:rPr>
              <w:t>823</w:t>
            </w:r>
            <w:r w:rsidR="00C76808" w:rsidRPr="004F39B3">
              <w:rPr>
                <w:rFonts w:ascii="Times New Roman" w:hAnsi="Times New Roman"/>
                <w:sz w:val="16"/>
                <w:szCs w:val="16"/>
              </w:rPr>
              <w:t>.</w:t>
            </w:r>
            <w:r w:rsidRPr="004F39B3">
              <w:rPr>
                <w:rFonts w:ascii="Times New Roman" w:hAnsi="Times New Roman"/>
                <w:sz w:val="16"/>
                <w:szCs w:val="16"/>
              </w:rPr>
              <w:t>397</w:t>
            </w:r>
          </w:p>
        </w:tc>
        <w:tc>
          <w:tcPr>
            <w:tcW w:w="992" w:type="dxa"/>
            <w:shd w:val="clear" w:color="auto" w:fill="FFFFFF"/>
          </w:tcPr>
          <w:p w:rsidR="0033434D" w:rsidRPr="004F39B3" w:rsidRDefault="0033434D" w:rsidP="00385835">
            <w:pPr>
              <w:spacing w:after="0" w:line="240" w:lineRule="auto"/>
              <w:jc w:val="center"/>
              <w:rPr>
                <w:rFonts w:ascii="Times New Roman" w:hAnsi="Times New Roman"/>
                <w:sz w:val="16"/>
                <w:szCs w:val="16"/>
              </w:rPr>
            </w:pPr>
            <w:r w:rsidRPr="004F39B3">
              <w:rPr>
                <w:rFonts w:ascii="Times New Roman" w:hAnsi="Times New Roman"/>
                <w:sz w:val="16"/>
                <w:szCs w:val="16"/>
              </w:rPr>
              <w:t>Duomenys iš projektų</w:t>
            </w:r>
          </w:p>
        </w:tc>
        <w:tc>
          <w:tcPr>
            <w:tcW w:w="4395" w:type="dxa"/>
            <w:shd w:val="clear" w:color="auto" w:fill="FFFFFF"/>
          </w:tcPr>
          <w:p w:rsidR="0033434D" w:rsidRPr="004F39B3" w:rsidRDefault="0033434D" w:rsidP="00385835">
            <w:pPr>
              <w:spacing w:after="0" w:line="240" w:lineRule="auto"/>
              <w:rPr>
                <w:rFonts w:ascii="Times New Roman" w:hAnsi="Times New Roman"/>
                <w:sz w:val="16"/>
                <w:szCs w:val="16"/>
              </w:rPr>
            </w:pPr>
            <w:r w:rsidRPr="004F39B3">
              <w:rPr>
                <w:rFonts w:ascii="Times New Roman" w:hAnsi="Times New Roman"/>
                <w:sz w:val="16"/>
                <w:szCs w:val="16"/>
              </w:rPr>
              <w:t>Privalomas rodiklis, kuris atspindi finansinę prioriteto įgyvendinimo pažangą.</w:t>
            </w:r>
          </w:p>
        </w:tc>
      </w:tr>
      <w:tr w:rsidR="00385835" w:rsidRPr="004F39B3" w:rsidTr="004F39B3">
        <w:tc>
          <w:tcPr>
            <w:tcW w:w="1276" w:type="dxa"/>
            <w:shd w:val="clear" w:color="auto" w:fill="FFFFFF"/>
          </w:tcPr>
          <w:p w:rsidR="00385835" w:rsidRPr="004F39B3" w:rsidRDefault="00385835" w:rsidP="004F39B3">
            <w:pPr>
              <w:spacing w:after="0" w:line="240" w:lineRule="auto"/>
              <w:rPr>
                <w:rFonts w:ascii="Times New Roman" w:hAnsi="Times New Roman"/>
                <w:sz w:val="16"/>
                <w:szCs w:val="16"/>
              </w:rPr>
            </w:pPr>
            <w:r w:rsidRPr="004F39B3">
              <w:rPr>
                <w:rFonts w:ascii="Times New Roman" w:hAnsi="Times New Roman"/>
                <w:sz w:val="16"/>
                <w:szCs w:val="16"/>
              </w:rPr>
              <w:t>Produkto rodiklis</w:t>
            </w:r>
          </w:p>
        </w:tc>
        <w:tc>
          <w:tcPr>
            <w:tcW w:w="2552" w:type="dxa"/>
            <w:shd w:val="clear" w:color="auto" w:fill="FFFFFF"/>
          </w:tcPr>
          <w:p w:rsidR="00385835" w:rsidRPr="004F39B3" w:rsidRDefault="00385835" w:rsidP="00385835">
            <w:pPr>
              <w:spacing w:after="0" w:line="240" w:lineRule="auto"/>
              <w:rPr>
                <w:rFonts w:ascii="Times New Roman" w:hAnsi="Times New Roman"/>
                <w:sz w:val="16"/>
                <w:szCs w:val="16"/>
              </w:rPr>
            </w:pPr>
            <w:r w:rsidRPr="004F39B3">
              <w:rPr>
                <w:rFonts w:ascii="Times New Roman" w:hAnsi="Times New Roman"/>
                <w:sz w:val="16"/>
                <w:szCs w:val="16"/>
              </w:rPr>
              <w:t>Papildomi gyventojai, kuriems teikiamos pagerintos vandens tiekimo paslaugos</w:t>
            </w:r>
          </w:p>
        </w:tc>
        <w:tc>
          <w:tcPr>
            <w:tcW w:w="992" w:type="dxa"/>
            <w:shd w:val="clear" w:color="auto" w:fill="FFFFFF"/>
          </w:tcPr>
          <w:p w:rsidR="00385835" w:rsidRPr="004F39B3" w:rsidRDefault="00385835" w:rsidP="00385835">
            <w:pPr>
              <w:spacing w:after="0" w:line="240" w:lineRule="auto"/>
              <w:jc w:val="center"/>
              <w:rPr>
                <w:rFonts w:ascii="Times New Roman" w:hAnsi="Times New Roman"/>
                <w:bCs/>
                <w:sz w:val="16"/>
                <w:szCs w:val="16"/>
              </w:rPr>
            </w:pPr>
            <w:r w:rsidRPr="004F39B3">
              <w:rPr>
                <w:rFonts w:ascii="Times New Roman" w:hAnsi="Times New Roman"/>
                <w:bCs/>
                <w:sz w:val="16"/>
                <w:szCs w:val="16"/>
              </w:rPr>
              <w:t>Asmenys</w:t>
            </w:r>
          </w:p>
        </w:tc>
        <w:tc>
          <w:tcPr>
            <w:tcW w:w="709" w:type="dxa"/>
            <w:shd w:val="clear" w:color="auto" w:fill="FFFFFF"/>
          </w:tcPr>
          <w:p w:rsidR="00385835" w:rsidRPr="004F39B3" w:rsidRDefault="00385835" w:rsidP="00385835">
            <w:pPr>
              <w:spacing w:after="0" w:line="240" w:lineRule="auto"/>
              <w:jc w:val="center"/>
              <w:rPr>
                <w:rFonts w:ascii="Times New Roman" w:hAnsi="Times New Roman"/>
                <w:bCs/>
                <w:sz w:val="16"/>
                <w:szCs w:val="16"/>
              </w:rPr>
            </w:pPr>
            <w:r w:rsidRPr="004F39B3">
              <w:rPr>
                <w:rFonts w:ascii="Times New Roman" w:hAnsi="Times New Roman"/>
                <w:bCs/>
                <w:sz w:val="16"/>
                <w:szCs w:val="16"/>
              </w:rPr>
              <w:t>SaF</w:t>
            </w:r>
          </w:p>
        </w:tc>
        <w:tc>
          <w:tcPr>
            <w:tcW w:w="850" w:type="dxa"/>
            <w:shd w:val="clear" w:color="auto" w:fill="FFFFFF"/>
          </w:tcPr>
          <w:p w:rsidR="00385835" w:rsidRPr="004F39B3" w:rsidRDefault="00515A37" w:rsidP="00385835">
            <w:pPr>
              <w:spacing w:after="0" w:line="240" w:lineRule="auto"/>
              <w:jc w:val="center"/>
              <w:rPr>
                <w:rFonts w:ascii="Times New Roman" w:hAnsi="Times New Roman"/>
                <w:bCs/>
                <w:sz w:val="16"/>
                <w:szCs w:val="16"/>
              </w:rPr>
            </w:pPr>
            <w:r w:rsidRPr="004F39B3">
              <w:rPr>
                <w:rFonts w:ascii="Times New Roman" w:eastAsia="AngsanaUPC" w:hAnsi="Times New Roman"/>
                <w:bCs/>
                <w:sz w:val="16"/>
                <w:szCs w:val="16"/>
                <w:lang w:eastAsia="lt-LT"/>
              </w:rPr>
              <w:t>–</w:t>
            </w:r>
          </w:p>
        </w:tc>
        <w:tc>
          <w:tcPr>
            <w:tcW w:w="1134" w:type="dxa"/>
            <w:shd w:val="clear" w:color="auto" w:fill="FFFFFF"/>
          </w:tcPr>
          <w:p w:rsidR="00385835" w:rsidRPr="004F39B3" w:rsidRDefault="00385835" w:rsidP="00385835">
            <w:pPr>
              <w:spacing w:after="0" w:line="240" w:lineRule="auto"/>
              <w:jc w:val="center"/>
              <w:rPr>
                <w:rFonts w:ascii="Times New Roman" w:hAnsi="Times New Roman"/>
                <w:sz w:val="16"/>
                <w:szCs w:val="16"/>
              </w:rPr>
            </w:pPr>
            <w:r w:rsidRPr="004F39B3">
              <w:rPr>
                <w:rFonts w:ascii="Times New Roman" w:hAnsi="Times New Roman"/>
                <w:sz w:val="16"/>
                <w:szCs w:val="16"/>
              </w:rPr>
              <w:t>0</w:t>
            </w:r>
          </w:p>
        </w:tc>
        <w:tc>
          <w:tcPr>
            <w:tcW w:w="1134" w:type="dxa"/>
            <w:shd w:val="clear" w:color="auto" w:fill="FFFFFF"/>
          </w:tcPr>
          <w:p w:rsidR="00385835" w:rsidRPr="004F39B3" w:rsidRDefault="00FE6452" w:rsidP="00C76808">
            <w:pPr>
              <w:spacing w:after="0" w:line="240" w:lineRule="auto"/>
              <w:jc w:val="center"/>
              <w:rPr>
                <w:rFonts w:ascii="Times New Roman" w:hAnsi="Times New Roman"/>
                <w:sz w:val="16"/>
                <w:szCs w:val="16"/>
              </w:rPr>
            </w:pPr>
            <w:r w:rsidRPr="004F39B3">
              <w:rPr>
                <w:rFonts w:ascii="Times New Roman" w:hAnsi="Times New Roman"/>
                <w:sz w:val="16"/>
                <w:szCs w:val="16"/>
              </w:rPr>
              <w:t>29</w:t>
            </w:r>
            <w:r w:rsidR="00385835" w:rsidRPr="004F39B3">
              <w:rPr>
                <w:rFonts w:ascii="Times New Roman" w:hAnsi="Times New Roman"/>
                <w:sz w:val="16"/>
                <w:szCs w:val="16"/>
              </w:rPr>
              <w:t>0</w:t>
            </w:r>
            <w:r w:rsidR="00C76808" w:rsidRPr="004F39B3">
              <w:rPr>
                <w:rFonts w:ascii="Times New Roman" w:hAnsi="Times New Roman"/>
                <w:sz w:val="16"/>
                <w:szCs w:val="16"/>
              </w:rPr>
              <w:t>.</w:t>
            </w:r>
            <w:r w:rsidR="00385835" w:rsidRPr="004F39B3">
              <w:rPr>
                <w:rFonts w:ascii="Times New Roman" w:hAnsi="Times New Roman"/>
                <w:sz w:val="16"/>
                <w:szCs w:val="16"/>
              </w:rPr>
              <w:t>000</w:t>
            </w:r>
          </w:p>
        </w:tc>
        <w:tc>
          <w:tcPr>
            <w:tcW w:w="992" w:type="dxa"/>
            <w:shd w:val="clear" w:color="auto" w:fill="FFFFFF"/>
          </w:tcPr>
          <w:p w:rsidR="00385835" w:rsidRPr="004F39B3" w:rsidRDefault="00385835" w:rsidP="00385835">
            <w:pPr>
              <w:spacing w:after="0" w:line="240" w:lineRule="auto"/>
              <w:jc w:val="center"/>
              <w:rPr>
                <w:rFonts w:ascii="Times New Roman" w:hAnsi="Times New Roman"/>
                <w:sz w:val="16"/>
                <w:szCs w:val="16"/>
              </w:rPr>
            </w:pPr>
            <w:r w:rsidRPr="004F39B3">
              <w:rPr>
                <w:rFonts w:ascii="Times New Roman" w:hAnsi="Times New Roman"/>
                <w:sz w:val="16"/>
                <w:szCs w:val="16"/>
              </w:rPr>
              <w:t>Duomenys iš projektų</w:t>
            </w:r>
          </w:p>
        </w:tc>
        <w:tc>
          <w:tcPr>
            <w:tcW w:w="4395" w:type="dxa"/>
            <w:shd w:val="clear" w:color="auto" w:fill="FFFFFF"/>
          </w:tcPr>
          <w:p w:rsidR="00385835" w:rsidRPr="004F39B3" w:rsidRDefault="00385835" w:rsidP="00FE6452">
            <w:pPr>
              <w:spacing w:after="0" w:line="240" w:lineRule="auto"/>
              <w:rPr>
                <w:rFonts w:ascii="Times New Roman" w:hAnsi="Times New Roman"/>
                <w:sz w:val="16"/>
                <w:szCs w:val="16"/>
              </w:rPr>
            </w:pPr>
            <w:r w:rsidRPr="004F39B3">
              <w:rPr>
                <w:rFonts w:ascii="Times New Roman" w:hAnsi="Times New Roman"/>
                <w:sz w:val="16"/>
                <w:szCs w:val="16"/>
              </w:rPr>
              <w:t xml:space="preserve">Rodiklis atspindi prioriteto įgyvendinimo eigą, nes jo pasiekimui skirta </w:t>
            </w:r>
            <w:r w:rsidR="00FE6452" w:rsidRPr="004F39B3">
              <w:rPr>
                <w:rFonts w:ascii="Times New Roman" w:hAnsi="Times New Roman"/>
                <w:color w:val="000000"/>
                <w:sz w:val="16"/>
                <w:szCs w:val="16"/>
              </w:rPr>
              <w:t>6</w:t>
            </w:r>
            <w:r w:rsidR="00393CA9" w:rsidRPr="004F39B3">
              <w:rPr>
                <w:rFonts w:ascii="Times New Roman" w:hAnsi="Times New Roman"/>
                <w:color w:val="000000"/>
                <w:sz w:val="16"/>
                <w:szCs w:val="16"/>
              </w:rPr>
              <w:t xml:space="preserve"> </w:t>
            </w:r>
            <w:r w:rsidRPr="004F39B3">
              <w:rPr>
                <w:rFonts w:ascii="Times New Roman" w:hAnsi="Times New Roman"/>
                <w:sz w:val="16"/>
                <w:szCs w:val="16"/>
              </w:rPr>
              <w:t>proc. šio prioriteto įgyvendinimui skirtų SaF lėšų.</w:t>
            </w:r>
          </w:p>
        </w:tc>
      </w:tr>
      <w:tr w:rsidR="00385835" w:rsidRPr="004F39B3" w:rsidTr="004F39B3">
        <w:tc>
          <w:tcPr>
            <w:tcW w:w="1276" w:type="dxa"/>
            <w:shd w:val="clear" w:color="auto" w:fill="FFFFFF"/>
          </w:tcPr>
          <w:p w:rsidR="00385835" w:rsidRPr="004F39B3" w:rsidRDefault="00385835" w:rsidP="00385835">
            <w:pPr>
              <w:spacing w:after="0" w:line="240" w:lineRule="auto"/>
              <w:rPr>
                <w:rFonts w:ascii="Times New Roman" w:hAnsi="Times New Roman"/>
                <w:sz w:val="16"/>
                <w:szCs w:val="16"/>
              </w:rPr>
            </w:pPr>
            <w:r w:rsidRPr="004F39B3">
              <w:rPr>
                <w:rFonts w:ascii="Times New Roman" w:hAnsi="Times New Roman"/>
                <w:sz w:val="16"/>
                <w:szCs w:val="16"/>
              </w:rPr>
              <w:t>Įgyvendinimo žingsnis</w:t>
            </w:r>
          </w:p>
        </w:tc>
        <w:tc>
          <w:tcPr>
            <w:tcW w:w="2552" w:type="dxa"/>
            <w:shd w:val="clear" w:color="auto" w:fill="FFFFFF"/>
          </w:tcPr>
          <w:p w:rsidR="00385835" w:rsidRPr="004F39B3" w:rsidRDefault="00385835" w:rsidP="00385835">
            <w:pPr>
              <w:spacing w:after="0" w:line="240" w:lineRule="auto"/>
              <w:rPr>
                <w:rFonts w:ascii="Times New Roman" w:hAnsi="Times New Roman"/>
                <w:sz w:val="16"/>
                <w:szCs w:val="16"/>
              </w:rPr>
            </w:pPr>
            <w:r w:rsidRPr="004F39B3">
              <w:rPr>
                <w:rFonts w:ascii="Times New Roman" w:hAnsi="Times New Roman"/>
                <w:sz w:val="16"/>
                <w:szCs w:val="16"/>
              </w:rPr>
              <w:t>Projektų</w:t>
            </w:r>
            <w:r w:rsidRPr="004F39B3">
              <w:rPr>
                <w:rFonts w:ascii="Times New Roman" w:hAnsi="Times New Roman"/>
                <w:i/>
                <w:sz w:val="16"/>
                <w:szCs w:val="16"/>
              </w:rPr>
              <w:t xml:space="preserve"> </w:t>
            </w:r>
            <w:r w:rsidRPr="004F39B3">
              <w:rPr>
                <w:rFonts w:ascii="Times New Roman" w:hAnsi="Times New Roman"/>
                <w:sz w:val="16"/>
                <w:szCs w:val="16"/>
              </w:rPr>
              <w:t>finansavimo ir administravimo sutartyse suplanuota produkto rodiklio „Papildomi gyventojai, kuriems teikiamos pagerintos vandens tiekimo paslaugos“ reikšmė</w:t>
            </w:r>
          </w:p>
        </w:tc>
        <w:tc>
          <w:tcPr>
            <w:tcW w:w="992" w:type="dxa"/>
            <w:shd w:val="clear" w:color="auto" w:fill="FFFFFF"/>
          </w:tcPr>
          <w:p w:rsidR="00385835" w:rsidRPr="004F39B3" w:rsidRDefault="00385835" w:rsidP="00385835">
            <w:pPr>
              <w:spacing w:after="0" w:line="240" w:lineRule="auto"/>
              <w:jc w:val="center"/>
              <w:rPr>
                <w:rFonts w:ascii="Times New Roman" w:hAnsi="Times New Roman"/>
                <w:bCs/>
                <w:sz w:val="16"/>
                <w:szCs w:val="16"/>
              </w:rPr>
            </w:pPr>
            <w:r w:rsidRPr="004F39B3">
              <w:rPr>
                <w:rFonts w:ascii="Times New Roman" w:hAnsi="Times New Roman"/>
                <w:bCs/>
                <w:sz w:val="16"/>
                <w:szCs w:val="16"/>
              </w:rPr>
              <w:t>Asmenys</w:t>
            </w:r>
          </w:p>
        </w:tc>
        <w:tc>
          <w:tcPr>
            <w:tcW w:w="709" w:type="dxa"/>
            <w:shd w:val="clear" w:color="auto" w:fill="FFFFFF"/>
          </w:tcPr>
          <w:p w:rsidR="00385835" w:rsidRPr="004F39B3" w:rsidRDefault="00385835" w:rsidP="00385835">
            <w:pPr>
              <w:spacing w:after="0" w:line="240" w:lineRule="auto"/>
              <w:jc w:val="center"/>
              <w:rPr>
                <w:rFonts w:ascii="Times New Roman" w:hAnsi="Times New Roman"/>
                <w:bCs/>
                <w:sz w:val="16"/>
                <w:szCs w:val="16"/>
              </w:rPr>
            </w:pPr>
            <w:r w:rsidRPr="004F39B3">
              <w:rPr>
                <w:rFonts w:ascii="Times New Roman" w:hAnsi="Times New Roman"/>
                <w:bCs/>
                <w:sz w:val="16"/>
                <w:szCs w:val="16"/>
              </w:rPr>
              <w:t>SaF</w:t>
            </w:r>
          </w:p>
        </w:tc>
        <w:tc>
          <w:tcPr>
            <w:tcW w:w="850" w:type="dxa"/>
            <w:shd w:val="clear" w:color="auto" w:fill="FFFFFF"/>
          </w:tcPr>
          <w:p w:rsidR="00385835" w:rsidRPr="004F39B3" w:rsidRDefault="00515A37" w:rsidP="00385835">
            <w:pPr>
              <w:spacing w:after="0" w:line="240" w:lineRule="auto"/>
              <w:jc w:val="center"/>
              <w:rPr>
                <w:rFonts w:ascii="Times New Roman" w:hAnsi="Times New Roman"/>
                <w:bCs/>
                <w:sz w:val="16"/>
                <w:szCs w:val="16"/>
              </w:rPr>
            </w:pPr>
            <w:r w:rsidRPr="004F39B3">
              <w:rPr>
                <w:rFonts w:ascii="Times New Roman" w:eastAsia="AngsanaUPC" w:hAnsi="Times New Roman"/>
                <w:bCs/>
                <w:sz w:val="16"/>
                <w:szCs w:val="16"/>
                <w:lang w:eastAsia="lt-LT"/>
              </w:rPr>
              <w:t>–</w:t>
            </w:r>
          </w:p>
        </w:tc>
        <w:tc>
          <w:tcPr>
            <w:tcW w:w="1134" w:type="dxa"/>
            <w:shd w:val="clear" w:color="auto" w:fill="FFFFFF"/>
          </w:tcPr>
          <w:p w:rsidR="00385835" w:rsidRPr="004F39B3" w:rsidRDefault="00385835" w:rsidP="00C76808">
            <w:pPr>
              <w:spacing w:after="0" w:line="240" w:lineRule="auto"/>
              <w:jc w:val="center"/>
              <w:rPr>
                <w:rFonts w:ascii="Times New Roman" w:hAnsi="Times New Roman"/>
                <w:sz w:val="16"/>
                <w:szCs w:val="16"/>
              </w:rPr>
            </w:pPr>
            <w:r w:rsidRPr="004F39B3">
              <w:rPr>
                <w:rFonts w:ascii="Times New Roman" w:hAnsi="Times New Roman"/>
                <w:sz w:val="16"/>
                <w:szCs w:val="16"/>
              </w:rPr>
              <w:t>40</w:t>
            </w:r>
            <w:r w:rsidR="00C76808" w:rsidRPr="004F39B3">
              <w:rPr>
                <w:rFonts w:ascii="Times New Roman" w:hAnsi="Times New Roman"/>
                <w:sz w:val="16"/>
                <w:szCs w:val="16"/>
              </w:rPr>
              <w:t>.</w:t>
            </w:r>
            <w:r w:rsidRPr="004F39B3">
              <w:rPr>
                <w:rFonts w:ascii="Times New Roman" w:hAnsi="Times New Roman"/>
                <w:sz w:val="16"/>
                <w:szCs w:val="16"/>
              </w:rPr>
              <w:t>000</w:t>
            </w:r>
          </w:p>
        </w:tc>
        <w:tc>
          <w:tcPr>
            <w:tcW w:w="1134" w:type="dxa"/>
            <w:shd w:val="clear" w:color="auto" w:fill="FFFFFF"/>
          </w:tcPr>
          <w:p w:rsidR="00385835" w:rsidRPr="004F39B3" w:rsidRDefault="00385835" w:rsidP="00385835">
            <w:pPr>
              <w:spacing w:after="0" w:line="240" w:lineRule="auto"/>
              <w:jc w:val="center"/>
              <w:rPr>
                <w:rFonts w:ascii="Times New Roman" w:hAnsi="Times New Roman"/>
                <w:sz w:val="16"/>
                <w:szCs w:val="16"/>
              </w:rPr>
            </w:pPr>
            <w:r w:rsidRPr="004F39B3">
              <w:rPr>
                <w:rFonts w:ascii="Times New Roman" w:hAnsi="Times New Roman"/>
                <w:sz w:val="16"/>
                <w:szCs w:val="16"/>
              </w:rPr>
              <w:t>-</w:t>
            </w:r>
          </w:p>
        </w:tc>
        <w:tc>
          <w:tcPr>
            <w:tcW w:w="992" w:type="dxa"/>
            <w:shd w:val="clear" w:color="auto" w:fill="FFFFFF"/>
          </w:tcPr>
          <w:p w:rsidR="00385835" w:rsidRPr="004F39B3" w:rsidRDefault="00385835" w:rsidP="00385835">
            <w:pPr>
              <w:spacing w:after="0" w:line="240" w:lineRule="auto"/>
              <w:jc w:val="center"/>
              <w:rPr>
                <w:rFonts w:ascii="Times New Roman" w:hAnsi="Times New Roman"/>
                <w:sz w:val="16"/>
                <w:szCs w:val="16"/>
              </w:rPr>
            </w:pPr>
            <w:r w:rsidRPr="004F39B3">
              <w:rPr>
                <w:rFonts w:ascii="Times New Roman" w:hAnsi="Times New Roman"/>
                <w:sz w:val="16"/>
                <w:szCs w:val="16"/>
              </w:rPr>
              <w:t>Duomenys iš projektų</w:t>
            </w:r>
          </w:p>
        </w:tc>
        <w:tc>
          <w:tcPr>
            <w:tcW w:w="4395" w:type="dxa"/>
            <w:shd w:val="clear" w:color="auto" w:fill="FFFFFF"/>
          </w:tcPr>
          <w:p w:rsidR="00385835" w:rsidRPr="004F39B3" w:rsidRDefault="00385835" w:rsidP="00385835">
            <w:pPr>
              <w:spacing w:after="0" w:line="240" w:lineRule="auto"/>
              <w:rPr>
                <w:rFonts w:ascii="Times New Roman" w:hAnsi="Times New Roman"/>
                <w:sz w:val="16"/>
                <w:szCs w:val="16"/>
              </w:rPr>
            </w:pPr>
            <w:r w:rsidRPr="004F39B3">
              <w:rPr>
                <w:rFonts w:ascii="Times New Roman" w:hAnsi="Times New Roman"/>
                <w:sz w:val="16"/>
                <w:szCs w:val="16"/>
              </w:rPr>
              <w:t>Įgyvendinimo žingsnis pasirinktas, atsižvelgiant į produkto rodiklio skaičiavimo metodiką, pagal kurią pasiekimai skaičiuojami praėjus tam tikram laikui po projektų užbaigimo. Projektų finansavimo ir administravimo sutartyse suplanuota produkto rodiklio reikšmė rodys, ar projektai bus įgyvendinti numatyta apimtimi.</w:t>
            </w:r>
          </w:p>
        </w:tc>
      </w:tr>
      <w:tr w:rsidR="00385835" w:rsidRPr="004F39B3" w:rsidTr="004F39B3">
        <w:tc>
          <w:tcPr>
            <w:tcW w:w="1276" w:type="dxa"/>
            <w:shd w:val="clear" w:color="auto" w:fill="FFFFFF"/>
          </w:tcPr>
          <w:p w:rsidR="00385835" w:rsidRPr="004F39B3" w:rsidRDefault="00385835" w:rsidP="00385835">
            <w:pPr>
              <w:spacing w:after="0" w:line="240" w:lineRule="auto"/>
              <w:rPr>
                <w:rFonts w:ascii="Times New Roman" w:hAnsi="Times New Roman"/>
                <w:sz w:val="16"/>
                <w:szCs w:val="16"/>
              </w:rPr>
            </w:pPr>
            <w:r w:rsidRPr="004F39B3">
              <w:rPr>
                <w:rFonts w:ascii="Times New Roman" w:hAnsi="Times New Roman"/>
                <w:sz w:val="16"/>
                <w:szCs w:val="16"/>
              </w:rPr>
              <w:t>Produkto rodiklis</w:t>
            </w:r>
          </w:p>
        </w:tc>
        <w:tc>
          <w:tcPr>
            <w:tcW w:w="2552" w:type="dxa"/>
            <w:shd w:val="clear" w:color="auto" w:fill="FFFFFF"/>
          </w:tcPr>
          <w:p w:rsidR="00385835" w:rsidRPr="004F39B3" w:rsidRDefault="00385835" w:rsidP="00385835">
            <w:pPr>
              <w:spacing w:after="0" w:line="240" w:lineRule="auto"/>
              <w:rPr>
                <w:rFonts w:ascii="Times New Roman" w:hAnsi="Times New Roman"/>
                <w:sz w:val="16"/>
                <w:szCs w:val="16"/>
              </w:rPr>
            </w:pPr>
            <w:r w:rsidRPr="004F39B3">
              <w:rPr>
                <w:rFonts w:ascii="Times New Roman" w:hAnsi="Times New Roman"/>
                <w:sz w:val="16"/>
                <w:szCs w:val="16"/>
              </w:rPr>
              <w:t>Papildomi gyventojai, kuriems teikiamos pagerintos nuotekų tvarkymo paslaugos</w:t>
            </w:r>
          </w:p>
        </w:tc>
        <w:tc>
          <w:tcPr>
            <w:tcW w:w="992" w:type="dxa"/>
            <w:shd w:val="clear" w:color="auto" w:fill="FFFFFF"/>
          </w:tcPr>
          <w:p w:rsidR="00385835" w:rsidRPr="004F39B3" w:rsidRDefault="00385835" w:rsidP="00385835">
            <w:pPr>
              <w:spacing w:after="0" w:line="240" w:lineRule="auto"/>
              <w:jc w:val="center"/>
              <w:rPr>
                <w:rFonts w:ascii="Times New Roman" w:hAnsi="Times New Roman"/>
                <w:bCs/>
                <w:sz w:val="16"/>
                <w:szCs w:val="16"/>
              </w:rPr>
            </w:pPr>
            <w:r w:rsidRPr="004F39B3">
              <w:rPr>
                <w:rFonts w:ascii="Times New Roman" w:hAnsi="Times New Roman"/>
                <w:bCs/>
                <w:sz w:val="16"/>
                <w:szCs w:val="16"/>
              </w:rPr>
              <w:t>Gyventojų ekvivalen-tas</w:t>
            </w:r>
          </w:p>
        </w:tc>
        <w:tc>
          <w:tcPr>
            <w:tcW w:w="709" w:type="dxa"/>
            <w:shd w:val="clear" w:color="auto" w:fill="FFFFFF"/>
          </w:tcPr>
          <w:p w:rsidR="00385835" w:rsidRPr="004F39B3" w:rsidRDefault="00385835" w:rsidP="00385835">
            <w:pPr>
              <w:spacing w:after="0" w:line="240" w:lineRule="auto"/>
              <w:jc w:val="center"/>
              <w:rPr>
                <w:rFonts w:ascii="Times New Roman" w:hAnsi="Times New Roman"/>
                <w:bCs/>
                <w:sz w:val="16"/>
                <w:szCs w:val="16"/>
              </w:rPr>
            </w:pPr>
            <w:r w:rsidRPr="004F39B3">
              <w:rPr>
                <w:rFonts w:ascii="Times New Roman" w:hAnsi="Times New Roman"/>
                <w:bCs/>
                <w:sz w:val="16"/>
                <w:szCs w:val="16"/>
              </w:rPr>
              <w:t>SaF</w:t>
            </w:r>
          </w:p>
        </w:tc>
        <w:tc>
          <w:tcPr>
            <w:tcW w:w="850" w:type="dxa"/>
            <w:shd w:val="clear" w:color="auto" w:fill="FFFFFF"/>
          </w:tcPr>
          <w:p w:rsidR="00385835" w:rsidRPr="004F39B3" w:rsidRDefault="00515A37" w:rsidP="00385835">
            <w:pPr>
              <w:spacing w:after="0" w:line="240" w:lineRule="auto"/>
              <w:jc w:val="center"/>
              <w:rPr>
                <w:rFonts w:ascii="Times New Roman" w:hAnsi="Times New Roman"/>
                <w:bCs/>
                <w:sz w:val="16"/>
                <w:szCs w:val="16"/>
              </w:rPr>
            </w:pPr>
            <w:r w:rsidRPr="004F39B3">
              <w:rPr>
                <w:rFonts w:ascii="Times New Roman" w:eastAsia="AngsanaUPC" w:hAnsi="Times New Roman"/>
                <w:bCs/>
                <w:sz w:val="16"/>
                <w:szCs w:val="16"/>
                <w:lang w:eastAsia="lt-LT"/>
              </w:rPr>
              <w:t>–</w:t>
            </w:r>
          </w:p>
        </w:tc>
        <w:tc>
          <w:tcPr>
            <w:tcW w:w="1134" w:type="dxa"/>
            <w:shd w:val="clear" w:color="auto" w:fill="FFFFFF"/>
          </w:tcPr>
          <w:p w:rsidR="00385835" w:rsidRPr="004F39B3" w:rsidRDefault="00385835" w:rsidP="00385835">
            <w:pPr>
              <w:spacing w:after="0" w:line="240" w:lineRule="auto"/>
              <w:jc w:val="center"/>
              <w:rPr>
                <w:rFonts w:ascii="Times New Roman" w:hAnsi="Times New Roman"/>
                <w:sz w:val="16"/>
                <w:szCs w:val="16"/>
              </w:rPr>
            </w:pPr>
            <w:r w:rsidRPr="004F39B3">
              <w:rPr>
                <w:rFonts w:ascii="Times New Roman" w:hAnsi="Times New Roman"/>
                <w:sz w:val="16"/>
                <w:szCs w:val="16"/>
              </w:rPr>
              <w:t>0</w:t>
            </w:r>
          </w:p>
        </w:tc>
        <w:tc>
          <w:tcPr>
            <w:tcW w:w="1134" w:type="dxa"/>
            <w:shd w:val="clear" w:color="auto" w:fill="FFFFFF"/>
          </w:tcPr>
          <w:p w:rsidR="00385835" w:rsidRPr="004F39B3" w:rsidRDefault="00F626B3" w:rsidP="00C76808">
            <w:pPr>
              <w:spacing w:after="0" w:line="240" w:lineRule="auto"/>
              <w:jc w:val="center"/>
              <w:rPr>
                <w:rFonts w:ascii="Times New Roman" w:hAnsi="Times New Roman"/>
                <w:sz w:val="16"/>
                <w:szCs w:val="16"/>
              </w:rPr>
            </w:pPr>
            <w:r w:rsidRPr="004F39B3">
              <w:rPr>
                <w:rFonts w:ascii="Times New Roman" w:hAnsi="Times New Roman"/>
                <w:sz w:val="16"/>
                <w:szCs w:val="16"/>
              </w:rPr>
              <w:t>1</w:t>
            </w:r>
            <w:r w:rsidR="00C76808" w:rsidRPr="004F39B3">
              <w:rPr>
                <w:rFonts w:ascii="Times New Roman" w:hAnsi="Times New Roman"/>
                <w:sz w:val="16"/>
                <w:szCs w:val="16"/>
              </w:rPr>
              <w:t>.</w:t>
            </w:r>
            <w:r w:rsidR="00FE6452" w:rsidRPr="004F39B3">
              <w:rPr>
                <w:rFonts w:ascii="Times New Roman" w:hAnsi="Times New Roman"/>
                <w:sz w:val="16"/>
                <w:szCs w:val="16"/>
              </w:rPr>
              <w:t>023</w:t>
            </w:r>
            <w:r w:rsidR="00C76808" w:rsidRPr="004F39B3">
              <w:rPr>
                <w:rFonts w:ascii="Times New Roman" w:hAnsi="Times New Roman"/>
                <w:sz w:val="16"/>
                <w:szCs w:val="16"/>
              </w:rPr>
              <w:t>.</w:t>
            </w:r>
            <w:r w:rsidR="00385835" w:rsidRPr="004F39B3">
              <w:rPr>
                <w:rFonts w:ascii="Times New Roman" w:hAnsi="Times New Roman"/>
                <w:sz w:val="16"/>
                <w:szCs w:val="16"/>
              </w:rPr>
              <w:t>000</w:t>
            </w:r>
          </w:p>
        </w:tc>
        <w:tc>
          <w:tcPr>
            <w:tcW w:w="992" w:type="dxa"/>
            <w:shd w:val="clear" w:color="auto" w:fill="FFFFFF"/>
          </w:tcPr>
          <w:p w:rsidR="00385835" w:rsidRPr="004F39B3" w:rsidRDefault="00385835" w:rsidP="00385835">
            <w:pPr>
              <w:spacing w:after="0" w:line="240" w:lineRule="auto"/>
              <w:jc w:val="center"/>
              <w:rPr>
                <w:rFonts w:ascii="Times New Roman" w:hAnsi="Times New Roman"/>
                <w:sz w:val="16"/>
                <w:szCs w:val="16"/>
              </w:rPr>
            </w:pPr>
            <w:r w:rsidRPr="004F39B3">
              <w:rPr>
                <w:rFonts w:ascii="Times New Roman" w:hAnsi="Times New Roman"/>
                <w:sz w:val="16"/>
                <w:szCs w:val="16"/>
              </w:rPr>
              <w:t>Duomenys iš projektų</w:t>
            </w:r>
          </w:p>
        </w:tc>
        <w:tc>
          <w:tcPr>
            <w:tcW w:w="4395" w:type="dxa"/>
            <w:shd w:val="clear" w:color="auto" w:fill="FFFFFF"/>
          </w:tcPr>
          <w:p w:rsidR="00385835" w:rsidRPr="004F39B3" w:rsidRDefault="00385835" w:rsidP="00F626B3">
            <w:pPr>
              <w:spacing w:after="0" w:line="240" w:lineRule="auto"/>
              <w:rPr>
                <w:rFonts w:ascii="Times New Roman" w:hAnsi="Times New Roman"/>
                <w:sz w:val="16"/>
                <w:szCs w:val="16"/>
              </w:rPr>
            </w:pPr>
            <w:r w:rsidRPr="004F39B3">
              <w:rPr>
                <w:rFonts w:ascii="Times New Roman" w:hAnsi="Times New Roman"/>
                <w:sz w:val="16"/>
                <w:szCs w:val="16"/>
              </w:rPr>
              <w:t xml:space="preserve">Rodiklis atspindi prioriteto įgyvendinimo eigą, nes jo pasiekimui skirta </w:t>
            </w:r>
            <w:r w:rsidR="00F626B3" w:rsidRPr="004F39B3">
              <w:rPr>
                <w:rFonts w:ascii="Times New Roman" w:hAnsi="Times New Roman"/>
                <w:color w:val="000000"/>
                <w:sz w:val="16"/>
                <w:szCs w:val="16"/>
              </w:rPr>
              <w:t>25</w:t>
            </w:r>
            <w:r w:rsidRPr="004F39B3">
              <w:rPr>
                <w:rFonts w:ascii="Times New Roman" w:hAnsi="Times New Roman"/>
                <w:sz w:val="16"/>
                <w:szCs w:val="16"/>
              </w:rPr>
              <w:t xml:space="preserve"> proc. šio prioriteto įgyvendinimui skirtų SaF lėšų.</w:t>
            </w:r>
          </w:p>
        </w:tc>
      </w:tr>
      <w:tr w:rsidR="00385835" w:rsidRPr="004F39B3" w:rsidTr="004F39B3">
        <w:tc>
          <w:tcPr>
            <w:tcW w:w="1276" w:type="dxa"/>
            <w:shd w:val="clear" w:color="auto" w:fill="FFFFFF"/>
          </w:tcPr>
          <w:p w:rsidR="00385835" w:rsidRPr="004F39B3" w:rsidRDefault="00385835" w:rsidP="00385835">
            <w:pPr>
              <w:spacing w:after="0" w:line="240" w:lineRule="auto"/>
              <w:rPr>
                <w:rFonts w:ascii="Times New Roman" w:hAnsi="Times New Roman"/>
                <w:sz w:val="16"/>
                <w:szCs w:val="16"/>
              </w:rPr>
            </w:pPr>
            <w:r w:rsidRPr="004F39B3">
              <w:rPr>
                <w:rFonts w:ascii="Times New Roman" w:hAnsi="Times New Roman"/>
                <w:sz w:val="16"/>
                <w:szCs w:val="16"/>
              </w:rPr>
              <w:t>Įgyvendinimo žingsnis</w:t>
            </w:r>
          </w:p>
        </w:tc>
        <w:tc>
          <w:tcPr>
            <w:tcW w:w="2552" w:type="dxa"/>
            <w:shd w:val="clear" w:color="auto" w:fill="FFFFFF"/>
          </w:tcPr>
          <w:p w:rsidR="00385835" w:rsidRPr="004F39B3" w:rsidRDefault="00385835" w:rsidP="00385835">
            <w:pPr>
              <w:spacing w:after="0" w:line="240" w:lineRule="auto"/>
              <w:rPr>
                <w:rFonts w:ascii="Times New Roman" w:hAnsi="Times New Roman"/>
                <w:i/>
                <w:sz w:val="16"/>
                <w:szCs w:val="16"/>
              </w:rPr>
            </w:pPr>
            <w:r w:rsidRPr="004F39B3">
              <w:rPr>
                <w:rFonts w:ascii="Times New Roman" w:hAnsi="Times New Roman"/>
                <w:sz w:val="16"/>
                <w:szCs w:val="16"/>
              </w:rPr>
              <w:t>Projektų</w:t>
            </w:r>
            <w:r w:rsidRPr="004F39B3">
              <w:rPr>
                <w:rFonts w:ascii="Times New Roman" w:hAnsi="Times New Roman"/>
                <w:i/>
                <w:sz w:val="16"/>
                <w:szCs w:val="16"/>
              </w:rPr>
              <w:t xml:space="preserve"> </w:t>
            </w:r>
            <w:r w:rsidRPr="004F39B3">
              <w:rPr>
                <w:rFonts w:ascii="Times New Roman" w:hAnsi="Times New Roman"/>
                <w:sz w:val="16"/>
                <w:szCs w:val="16"/>
              </w:rPr>
              <w:t>finansavimo ir administravimo sutartyse suplanuota produkto rodiklio „Papildomi gyventojai, kuriems teikiamos pagerintos nuotekų tvarkymo paslaugos“ reikšmė</w:t>
            </w:r>
          </w:p>
        </w:tc>
        <w:tc>
          <w:tcPr>
            <w:tcW w:w="992" w:type="dxa"/>
            <w:shd w:val="clear" w:color="auto" w:fill="FFFFFF"/>
          </w:tcPr>
          <w:p w:rsidR="00385835" w:rsidRPr="004F39B3" w:rsidRDefault="00385835" w:rsidP="00385835">
            <w:pPr>
              <w:spacing w:after="0" w:line="240" w:lineRule="auto"/>
              <w:jc w:val="center"/>
              <w:rPr>
                <w:rFonts w:ascii="Times New Roman" w:hAnsi="Times New Roman"/>
                <w:bCs/>
                <w:sz w:val="16"/>
                <w:szCs w:val="16"/>
              </w:rPr>
            </w:pPr>
            <w:r w:rsidRPr="004F39B3">
              <w:rPr>
                <w:rFonts w:ascii="Times New Roman" w:hAnsi="Times New Roman"/>
                <w:bCs/>
                <w:sz w:val="16"/>
                <w:szCs w:val="16"/>
              </w:rPr>
              <w:t>Gyventojų ekvivalen-tas</w:t>
            </w:r>
          </w:p>
        </w:tc>
        <w:tc>
          <w:tcPr>
            <w:tcW w:w="709" w:type="dxa"/>
            <w:shd w:val="clear" w:color="auto" w:fill="FFFFFF"/>
          </w:tcPr>
          <w:p w:rsidR="00385835" w:rsidRPr="004F39B3" w:rsidRDefault="00385835" w:rsidP="00385835">
            <w:pPr>
              <w:spacing w:after="0" w:line="240" w:lineRule="auto"/>
              <w:jc w:val="center"/>
              <w:rPr>
                <w:rFonts w:ascii="Times New Roman" w:hAnsi="Times New Roman"/>
                <w:bCs/>
                <w:sz w:val="16"/>
                <w:szCs w:val="16"/>
              </w:rPr>
            </w:pPr>
            <w:r w:rsidRPr="004F39B3">
              <w:rPr>
                <w:rFonts w:ascii="Times New Roman" w:hAnsi="Times New Roman"/>
                <w:bCs/>
                <w:sz w:val="16"/>
                <w:szCs w:val="16"/>
              </w:rPr>
              <w:t>SaF</w:t>
            </w:r>
          </w:p>
        </w:tc>
        <w:tc>
          <w:tcPr>
            <w:tcW w:w="850" w:type="dxa"/>
            <w:shd w:val="clear" w:color="auto" w:fill="FFFFFF"/>
          </w:tcPr>
          <w:p w:rsidR="00385835" w:rsidRPr="004F39B3" w:rsidRDefault="00515A37" w:rsidP="00385835">
            <w:pPr>
              <w:spacing w:after="0" w:line="240" w:lineRule="auto"/>
              <w:jc w:val="center"/>
              <w:rPr>
                <w:rFonts w:ascii="Times New Roman" w:hAnsi="Times New Roman"/>
                <w:bCs/>
                <w:sz w:val="16"/>
                <w:szCs w:val="16"/>
              </w:rPr>
            </w:pPr>
            <w:r w:rsidRPr="004F39B3">
              <w:rPr>
                <w:rFonts w:ascii="Times New Roman" w:eastAsia="AngsanaUPC" w:hAnsi="Times New Roman"/>
                <w:bCs/>
                <w:sz w:val="16"/>
                <w:szCs w:val="16"/>
                <w:lang w:eastAsia="lt-LT"/>
              </w:rPr>
              <w:t>–</w:t>
            </w:r>
          </w:p>
        </w:tc>
        <w:tc>
          <w:tcPr>
            <w:tcW w:w="1134" w:type="dxa"/>
            <w:shd w:val="clear" w:color="auto" w:fill="FFFFFF"/>
          </w:tcPr>
          <w:p w:rsidR="00385835" w:rsidRPr="004F39B3" w:rsidRDefault="00F626B3" w:rsidP="00C76808">
            <w:pPr>
              <w:spacing w:after="0" w:line="240" w:lineRule="auto"/>
              <w:jc w:val="center"/>
              <w:rPr>
                <w:rFonts w:ascii="Times New Roman" w:hAnsi="Times New Roman"/>
                <w:sz w:val="16"/>
                <w:szCs w:val="16"/>
              </w:rPr>
            </w:pPr>
            <w:r w:rsidRPr="004F39B3">
              <w:rPr>
                <w:rFonts w:ascii="Times New Roman" w:hAnsi="Times New Roman"/>
                <w:sz w:val="16"/>
                <w:szCs w:val="16"/>
              </w:rPr>
              <w:t>990</w:t>
            </w:r>
            <w:r w:rsidR="00C76808" w:rsidRPr="004F39B3">
              <w:rPr>
                <w:rFonts w:ascii="Times New Roman" w:hAnsi="Times New Roman"/>
                <w:sz w:val="16"/>
                <w:szCs w:val="16"/>
              </w:rPr>
              <w:t>.</w:t>
            </w:r>
            <w:r w:rsidR="00385835" w:rsidRPr="004F39B3">
              <w:rPr>
                <w:rFonts w:ascii="Times New Roman" w:hAnsi="Times New Roman"/>
                <w:sz w:val="16"/>
                <w:szCs w:val="16"/>
              </w:rPr>
              <w:t>000</w:t>
            </w:r>
          </w:p>
        </w:tc>
        <w:tc>
          <w:tcPr>
            <w:tcW w:w="1134" w:type="dxa"/>
            <w:shd w:val="clear" w:color="auto" w:fill="FFFFFF"/>
          </w:tcPr>
          <w:p w:rsidR="00385835" w:rsidRPr="004F39B3" w:rsidRDefault="00385835" w:rsidP="00385835">
            <w:pPr>
              <w:spacing w:after="0" w:line="240" w:lineRule="auto"/>
              <w:jc w:val="center"/>
              <w:rPr>
                <w:rFonts w:ascii="Times New Roman" w:hAnsi="Times New Roman"/>
                <w:sz w:val="16"/>
                <w:szCs w:val="16"/>
              </w:rPr>
            </w:pPr>
            <w:r w:rsidRPr="004F39B3">
              <w:rPr>
                <w:rFonts w:ascii="Times New Roman" w:hAnsi="Times New Roman"/>
                <w:sz w:val="16"/>
                <w:szCs w:val="16"/>
              </w:rPr>
              <w:t>-</w:t>
            </w:r>
          </w:p>
        </w:tc>
        <w:tc>
          <w:tcPr>
            <w:tcW w:w="992" w:type="dxa"/>
            <w:shd w:val="clear" w:color="auto" w:fill="FFFFFF"/>
          </w:tcPr>
          <w:p w:rsidR="00385835" w:rsidRPr="004F39B3" w:rsidRDefault="00385835" w:rsidP="00385835">
            <w:pPr>
              <w:spacing w:after="0" w:line="240" w:lineRule="auto"/>
              <w:jc w:val="center"/>
              <w:rPr>
                <w:rFonts w:ascii="Times New Roman" w:hAnsi="Times New Roman"/>
                <w:sz w:val="16"/>
                <w:szCs w:val="16"/>
              </w:rPr>
            </w:pPr>
            <w:r w:rsidRPr="004F39B3">
              <w:rPr>
                <w:rFonts w:ascii="Times New Roman" w:hAnsi="Times New Roman"/>
                <w:sz w:val="16"/>
                <w:szCs w:val="16"/>
              </w:rPr>
              <w:t>Duomenys iš projektų</w:t>
            </w:r>
          </w:p>
        </w:tc>
        <w:tc>
          <w:tcPr>
            <w:tcW w:w="4395" w:type="dxa"/>
            <w:shd w:val="clear" w:color="auto" w:fill="FFFFFF"/>
          </w:tcPr>
          <w:p w:rsidR="00385835" w:rsidRPr="004F39B3" w:rsidRDefault="00385835" w:rsidP="00385835">
            <w:pPr>
              <w:spacing w:after="0" w:line="240" w:lineRule="auto"/>
              <w:rPr>
                <w:rFonts w:ascii="Times New Roman" w:hAnsi="Times New Roman"/>
                <w:sz w:val="16"/>
                <w:szCs w:val="16"/>
              </w:rPr>
            </w:pPr>
            <w:r w:rsidRPr="004F39B3">
              <w:rPr>
                <w:rFonts w:ascii="Times New Roman" w:hAnsi="Times New Roman"/>
                <w:sz w:val="16"/>
                <w:szCs w:val="16"/>
              </w:rPr>
              <w:t>Įgyvendinimo žingsnis pasirinktas, atsižvelgiant į produkto rodiklio skaičiavimo metodiką, pagal kurią pasiekimai skaičiuojami praėjus tam tikram laikui po projektų užbaigimo. Projektų finansavimo ir administravimo sutartyse suplanuota produkto rodiklio reikšmė rodys, ar projektai įgyvendinami numatyta apimtimi.</w:t>
            </w:r>
          </w:p>
        </w:tc>
      </w:tr>
      <w:tr w:rsidR="00FE6452" w:rsidRPr="004F39B3" w:rsidTr="004F39B3">
        <w:tc>
          <w:tcPr>
            <w:tcW w:w="1276" w:type="dxa"/>
            <w:shd w:val="clear" w:color="auto" w:fill="auto"/>
          </w:tcPr>
          <w:p w:rsidR="00FE6452" w:rsidRPr="004F39B3" w:rsidRDefault="00FE6452" w:rsidP="00FE6452">
            <w:pPr>
              <w:spacing w:after="0" w:line="240" w:lineRule="auto"/>
              <w:rPr>
                <w:rFonts w:ascii="Times New Roman" w:hAnsi="Times New Roman"/>
                <w:sz w:val="16"/>
                <w:szCs w:val="16"/>
              </w:rPr>
            </w:pPr>
            <w:r w:rsidRPr="004F39B3">
              <w:rPr>
                <w:rFonts w:ascii="Times New Roman" w:hAnsi="Times New Roman"/>
                <w:sz w:val="16"/>
                <w:szCs w:val="16"/>
              </w:rPr>
              <w:t>Produkto rodiklis</w:t>
            </w:r>
          </w:p>
        </w:tc>
        <w:tc>
          <w:tcPr>
            <w:tcW w:w="2552" w:type="dxa"/>
            <w:shd w:val="clear" w:color="auto" w:fill="auto"/>
            <w:vAlign w:val="center"/>
          </w:tcPr>
          <w:p w:rsidR="00FE6452" w:rsidRPr="004F39B3" w:rsidRDefault="00FE6452" w:rsidP="00FE6452">
            <w:pPr>
              <w:spacing w:after="0" w:line="240" w:lineRule="auto"/>
              <w:rPr>
                <w:rFonts w:ascii="Times New Roman" w:hAnsi="Times New Roman"/>
                <w:sz w:val="16"/>
                <w:szCs w:val="16"/>
              </w:rPr>
            </w:pPr>
            <w:r w:rsidRPr="004F39B3">
              <w:rPr>
                <w:rFonts w:ascii="Times New Roman" w:hAnsi="Times New Roman"/>
                <w:sz w:val="16"/>
                <w:szCs w:val="16"/>
              </w:rPr>
              <w:t xml:space="preserve">Lietaus nuotėkio plotas, iš kurio surenkamam paviršiniam (lietaus) vandeniui tvarkyti, įrengta ir (ar) </w:t>
            </w:r>
            <w:r w:rsidRPr="004F39B3">
              <w:rPr>
                <w:rFonts w:ascii="Times New Roman" w:hAnsi="Times New Roman"/>
                <w:sz w:val="16"/>
                <w:szCs w:val="16"/>
              </w:rPr>
              <w:lastRenderedPageBreak/>
              <w:t>rekonstruota infrastruktūra</w:t>
            </w:r>
          </w:p>
        </w:tc>
        <w:tc>
          <w:tcPr>
            <w:tcW w:w="992" w:type="dxa"/>
            <w:shd w:val="clear" w:color="auto" w:fill="auto"/>
          </w:tcPr>
          <w:p w:rsidR="00FE6452" w:rsidRPr="004F39B3" w:rsidRDefault="00FE6452" w:rsidP="00FE6452">
            <w:pPr>
              <w:spacing w:after="0" w:line="240" w:lineRule="auto"/>
              <w:rPr>
                <w:rFonts w:ascii="Times New Roman" w:hAnsi="Times New Roman"/>
                <w:sz w:val="16"/>
                <w:szCs w:val="16"/>
              </w:rPr>
            </w:pPr>
            <w:r w:rsidRPr="004F39B3">
              <w:rPr>
                <w:rFonts w:ascii="Times New Roman" w:hAnsi="Times New Roman"/>
                <w:sz w:val="16"/>
                <w:szCs w:val="16"/>
              </w:rPr>
              <w:lastRenderedPageBreak/>
              <w:t>Hektarai</w:t>
            </w:r>
          </w:p>
        </w:tc>
        <w:tc>
          <w:tcPr>
            <w:tcW w:w="709" w:type="dxa"/>
            <w:shd w:val="clear" w:color="auto" w:fill="auto"/>
          </w:tcPr>
          <w:p w:rsidR="00FE6452" w:rsidRPr="004F39B3" w:rsidRDefault="00FE6452" w:rsidP="005304E8">
            <w:pPr>
              <w:spacing w:after="0" w:line="240" w:lineRule="auto"/>
              <w:jc w:val="center"/>
              <w:rPr>
                <w:rFonts w:ascii="Times New Roman" w:hAnsi="Times New Roman"/>
                <w:sz w:val="16"/>
                <w:szCs w:val="16"/>
              </w:rPr>
            </w:pPr>
            <w:r w:rsidRPr="004F39B3">
              <w:rPr>
                <w:rFonts w:ascii="Times New Roman" w:hAnsi="Times New Roman"/>
                <w:sz w:val="16"/>
                <w:szCs w:val="16"/>
              </w:rPr>
              <w:t>SaF</w:t>
            </w:r>
          </w:p>
        </w:tc>
        <w:tc>
          <w:tcPr>
            <w:tcW w:w="850" w:type="dxa"/>
            <w:shd w:val="clear" w:color="auto" w:fill="auto"/>
          </w:tcPr>
          <w:p w:rsidR="00FE6452" w:rsidRPr="004F39B3" w:rsidRDefault="00FE6452" w:rsidP="005304E8">
            <w:pPr>
              <w:spacing w:after="0" w:line="240" w:lineRule="auto"/>
              <w:jc w:val="center"/>
              <w:rPr>
                <w:rFonts w:ascii="Times New Roman" w:hAnsi="Times New Roman"/>
                <w:sz w:val="16"/>
                <w:szCs w:val="16"/>
              </w:rPr>
            </w:pPr>
            <w:r w:rsidRPr="004F39B3">
              <w:rPr>
                <w:rFonts w:ascii="Times New Roman" w:hAnsi="Times New Roman"/>
                <w:sz w:val="16"/>
                <w:szCs w:val="16"/>
              </w:rPr>
              <w:t>–</w:t>
            </w:r>
          </w:p>
        </w:tc>
        <w:tc>
          <w:tcPr>
            <w:tcW w:w="1134" w:type="dxa"/>
            <w:shd w:val="clear" w:color="auto" w:fill="auto"/>
          </w:tcPr>
          <w:p w:rsidR="00FE6452" w:rsidRPr="004F39B3" w:rsidRDefault="00FE6452" w:rsidP="005304E8">
            <w:pPr>
              <w:widowControl w:val="0"/>
              <w:tabs>
                <w:tab w:val="left" w:pos="622"/>
              </w:tabs>
              <w:spacing w:after="0" w:line="240" w:lineRule="auto"/>
              <w:jc w:val="center"/>
              <w:rPr>
                <w:rFonts w:ascii="Times New Roman" w:eastAsia="AngsanaUPC" w:hAnsi="Times New Roman"/>
                <w:bCs/>
                <w:iCs/>
                <w:sz w:val="16"/>
                <w:szCs w:val="16"/>
                <w:lang w:eastAsia="lt-LT"/>
              </w:rPr>
            </w:pPr>
            <w:r w:rsidRPr="004F39B3">
              <w:rPr>
                <w:rFonts w:ascii="Times New Roman" w:eastAsia="AngsanaUPC" w:hAnsi="Times New Roman"/>
                <w:bCs/>
                <w:iCs/>
                <w:sz w:val="16"/>
                <w:szCs w:val="16"/>
                <w:lang w:eastAsia="lt-LT"/>
              </w:rPr>
              <w:t>50</w:t>
            </w:r>
          </w:p>
        </w:tc>
        <w:tc>
          <w:tcPr>
            <w:tcW w:w="1134" w:type="dxa"/>
            <w:shd w:val="clear" w:color="auto" w:fill="auto"/>
          </w:tcPr>
          <w:p w:rsidR="00FE6452" w:rsidRPr="004F39B3" w:rsidRDefault="00FE6452" w:rsidP="005304E8">
            <w:pPr>
              <w:widowControl w:val="0"/>
              <w:tabs>
                <w:tab w:val="left" w:pos="622"/>
              </w:tabs>
              <w:spacing w:after="0" w:line="240" w:lineRule="auto"/>
              <w:jc w:val="center"/>
              <w:rPr>
                <w:rFonts w:ascii="Times New Roman" w:eastAsia="AngsanaUPC" w:hAnsi="Times New Roman"/>
                <w:bCs/>
                <w:iCs/>
                <w:sz w:val="16"/>
                <w:szCs w:val="16"/>
                <w:lang w:eastAsia="lt-LT"/>
              </w:rPr>
            </w:pPr>
            <w:r w:rsidRPr="004F39B3">
              <w:rPr>
                <w:rFonts w:ascii="Times New Roman" w:eastAsia="AngsanaUPC" w:hAnsi="Times New Roman"/>
                <w:bCs/>
                <w:iCs/>
                <w:sz w:val="16"/>
                <w:szCs w:val="16"/>
                <w:lang w:eastAsia="lt-LT"/>
              </w:rPr>
              <w:t>5.000</w:t>
            </w:r>
          </w:p>
        </w:tc>
        <w:tc>
          <w:tcPr>
            <w:tcW w:w="992" w:type="dxa"/>
          </w:tcPr>
          <w:p w:rsidR="00FE6452" w:rsidRPr="004F39B3" w:rsidRDefault="00FE6452" w:rsidP="00FE6452">
            <w:pPr>
              <w:spacing w:after="0" w:line="240" w:lineRule="auto"/>
              <w:rPr>
                <w:rFonts w:ascii="Times New Roman" w:hAnsi="Times New Roman"/>
                <w:sz w:val="16"/>
                <w:szCs w:val="16"/>
              </w:rPr>
            </w:pPr>
            <w:r w:rsidRPr="004F39B3">
              <w:rPr>
                <w:rFonts w:ascii="Times New Roman" w:hAnsi="Times New Roman"/>
                <w:sz w:val="16"/>
                <w:szCs w:val="16"/>
              </w:rPr>
              <w:t>Duomenys iš projektų</w:t>
            </w:r>
          </w:p>
        </w:tc>
        <w:tc>
          <w:tcPr>
            <w:tcW w:w="4395" w:type="dxa"/>
            <w:shd w:val="clear" w:color="auto" w:fill="auto"/>
          </w:tcPr>
          <w:p w:rsidR="00FE6452" w:rsidRPr="004F39B3" w:rsidRDefault="00FE6452" w:rsidP="00FE6452">
            <w:pPr>
              <w:spacing w:after="0" w:line="240" w:lineRule="auto"/>
              <w:rPr>
                <w:rFonts w:ascii="Times New Roman" w:hAnsi="Times New Roman"/>
                <w:sz w:val="16"/>
                <w:szCs w:val="16"/>
              </w:rPr>
            </w:pPr>
            <w:r w:rsidRPr="004F39B3">
              <w:rPr>
                <w:rFonts w:ascii="Times New Roman" w:hAnsi="Times New Roman"/>
                <w:sz w:val="16"/>
                <w:szCs w:val="16"/>
              </w:rPr>
              <w:t>Rodiklis atspindi prioriteto įgyvendinimo eigą, nes jo pasiekimui skirta 10 proc. šio prioriteto įgyvendinimui skirtų SaF lėšų.</w:t>
            </w:r>
          </w:p>
        </w:tc>
      </w:tr>
      <w:tr w:rsidR="00FE6452" w:rsidRPr="004F39B3" w:rsidTr="004F39B3">
        <w:tc>
          <w:tcPr>
            <w:tcW w:w="1276" w:type="dxa"/>
            <w:shd w:val="clear" w:color="auto" w:fill="auto"/>
          </w:tcPr>
          <w:p w:rsidR="00FE6452" w:rsidRPr="004F39B3" w:rsidRDefault="00FE6452" w:rsidP="00CF2169">
            <w:pPr>
              <w:spacing w:after="0" w:line="240" w:lineRule="auto"/>
              <w:rPr>
                <w:rFonts w:ascii="Times New Roman" w:hAnsi="Times New Roman"/>
                <w:sz w:val="16"/>
                <w:szCs w:val="16"/>
              </w:rPr>
            </w:pPr>
            <w:r w:rsidRPr="004F39B3">
              <w:rPr>
                <w:rFonts w:ascii="Times New Roman" w:hAnsi="Times New Roman"/>
                <w:sz w:val="16"/>
                <w:szCs w:val="16"/>
              </w:rPr>
              <w:lastRenderedPageBreak/>
              <w:t>Produkto rodiklis</w:t>
            </w:r>
          </w:p>
        </w:tc>
        <w:tc>
          <w:tcPr>
            <w:tcW w:w="2552" w:type="dxa"/>
            <w:shd w:val="clear" w:color="auto" w:fill="auto"/>
          </w:tcPr>
          <w:p w:rsidR="00FE6452" w:rsidRPr="004F39B3" w:rsidRDefault="00FE6452" w:rsidP="00CF2169">
            <w:pPr>
              <w:spacing w:after="0" w:line="240" w:lineRule="auto"/>
              <w:rPr>
                <w:rFonts w:ascii="Times New Roman" w:hAnsi="Times New Roman"/>
                <w:sz w:val="16"/>
                <w:szCs w:val="16"/>
              </w:rPr>
            </w:pPr>
            <w:r w:rsidRPr="004F39B3">
              <w:rPr>
                <w:rFonts w:ascii="Times New Roman" w:hAnsi="Times New Roman"/>
                <w:bCs/>
                <w:iCs/>
                <w:sz w:val="16"/>
                <w:szCs w:val="16"/>
              </w:rPr>
              <w:t>Rekonstruotų</w:t>
            </w:r>
            <w:r w:rsidRPr="004F39B3">
              <w:rPr>
                <w:rFonts w:ascii="Times New Roman" w:hAnsi="Times New Roman"/>
                <w:sz w:val="16"/>
                <w:szCs w:val="16"/>
              </w:rPr>
              <w:t xml:space="preserve"> vandens tiekimo ir nuotekų surinkimo tinklų ilgis</w:t>
            </w:r>
          </w:p>
        </w:tc>
        <w:tc>
          <w:tcPr>
            <w:tcW w:w="992" w:type="dxa"/>
            <w:shd w:val="clear" w:color="auto" w:fill="auto"/>
          </w:tcPr>
          <w:p w:rsidR="00FE6452" w:rsidRPr="004F39B3" w:rsidRDefault="00FE6452" w:rsidP="00CF2169">
            <w:pPr>
              <w:spacing w:after="0" w:line="240" w:lineRule="auto"/>
              <w:jc w:val="center"/>
              <w:rPr>
                <w:rFonts w:ascii="Times New Roman" w:hAnsi="Times New Roman"/>
                <w:bCs/>
                <w:sz w:val="16"/>
                <w:szCs w:val="16"/>
              </w:rPr>
            </w:pPr>
            <w:r w:rsidRPr="004F39B3">
              <w:rPr>
                <w:rFonts w:ascii="Times New Roman" w:hAnsi="Times New Roman"/>
                <w:bCs/>
                <w:sz w:val="16"/>
                <w:szCs w:val="16"/>
              </w:rPr>
              <w:t>Km</w:t>
            </w:r>
          </w:p>
        </w:tc>
        <w:tc>
          <w:tcPr>
            <w:tcW w:w="709" w:type="dxa"/>
            <w:shd w:val="clear" w:color="auto" w:fill="auto"/>
          </w:tcPr>
          <w:p w:rsidR="00FE6452" w:rsidRPr="004F39B3" w:rsidRDefault="00FE6452" w:rsidP="00CF2169">
            <w:pPr>
              <w:spacing w:after="0" w:line="240" w:lineRule="auto"/>
              <w:jc w:val="center"/>
              <w:rPr>
                <w:rFonts w:ascii="Times New Roman" w:hAnsi="Times New Roman"/>
                <w:bCs/>
                <w:sz w:val="16"/>
                <w:szCs w:val="16"/>
              </w:rPr>
            </w:pPr>
            <w:r w:rsidRPr="004F39B3">
              <w:rPr>
                <w:rFonts w:ascii="Times New Roman" w:hAnsi="Times New Roman"/>
                <w:bCs/>
                <w:sz w:val="16"/>
                <w:szCs w:val="16"/>
              </w:rPr>
              <w:t>SaF</w:t>
            </w:r>
          </w:p>
        </w:tc>
        <w:tc>
          <w:tcPr>
            <w:tcW w:w="850" w:type="dxa"/>
            <w:shd w:val="clear" w:color="auto" w:fill="auto"/>
          </w:tcPr>
          <w:p w:rsidR="00FE6452" w:rsidRPr="004F39B3" w:rsidRDefault="00FE6452" w:rsidP="00CF2169">
            <w:pPr>
              <w:spacing w:after="0" w:line="240" w:lineRule="auto"/>
              <w:jc w:val="center"/>
              <w:rPr>
                <w:rFonts w:ascii="Times New Roman" w:hAnsi="Times New Roman"/>
                <w:bCs/>
                <w:sz w:val="16"/>
                <w:szCs w:val="16"/>
              </w:rPr>
            </w:pPr>
            <w:r w:rsidRPr="004F39B3">
              <w:rPr>
                <w:rFonts w:ascii="Times New Roman" w:eastAsia="AngsanaUPC" w:hAnsi="Times New Roman"/>
                <w:bCs/>
                <w:sz w:val="16"/>
                <w:szCs w:val="16"/>
                <w:lang w:eastAsia="lt-LT"/>
              </w:rPr>
              <w:t>–</w:t>
            </w:r>
          </w:p>
        </w:tc>
        <w:tc>
          <w:tcPr>
            <w:tcW w:w="1134" w:type="dxa"/>
            <w:shd w:val="clear" w:color="auto" w:fill="auto"/>
          </w:tcPr>
          <w:p w:rsidR="00FE6452" w:rsidRPr="004F39B3" w:rsidRDefault="00FE6452" w:rsidP="00CF2169">
            <w:pPr>
              <w:spacing w:after="0" w:line="240" w:lineRule="auto"/>
              <w:jc w:val="center"/>
              <w:rPr>
                <w:rFonts w:ascii="Times New Roman" w:hAnsi="Times New Roman"/>
                <w:sz w:val="16"/>
                <w:szCs w:val="16"/>
              </w:rPr>
            </w:pPr>
            <w:r w:rsidRPr="004F39B3">
              <w:rPr>
                <w:rFonts w:ascii="Times New Roman" w:hAnsi="Times New Roman"/>
                <w:sz w:val="16"/>
                <w:szCs w:val="16"/>
              </w:rPr>
              <w:t>0</w:t>
            </w:r>
          </w:p>
        </w:tc>
        <w:tc>
          <w:tcPr>
            <w:tcW w:w="1134" w:type="dxa"/>
            <w:shd w:val="clear" w:color="auto" w:fill="auto"/>
          </w:tcPr>
          <w:p w:rsidR="00FE6452" w:rsidRPr="004F39B3" w:rsidRDefault="00FE6452" w:rsidP="00CF2169">
            <w:pPr>
              <w:spacing w:after="0" w:line="240" w:lineRule="auto"/>
              <w:jc w:val="center"/>
              <w:rPr>
                <w:rFonts w:ascii="Times New Roman" w:hAnsi="Times New Roman"/>
                <w:sz w:val="16"/>
                <w:szCs w:val="16"/>
              </w:rPr>
            </w:pPr>
            <w:r w:rsidRPr="004F39B3">
              <w:rPr>
                <w:rFonts w:ascii="Times New Roman" w:hAnsi="Times New Roman"/>
                <w:sz w:val="16"/>
                <w:szCs w:val="16"/>
              </w:rPr>
              <w:t>350</w:t>
            </w:r>
          </w:p>
        </w:tc>
        <w:tc>
          <w:tcPr>
            <w:tcW w:w="992" w:type="dxa"/>
          </w:tcPr>
          <w:p w:rsidR="00FE6452" w:rsidRPr="004F39B3" w:rsidRDefault="00FE6452" w:rsidP="00CF2169">
            <w:pPr>
              <w:spacing w:after="0" w:line="240" w:lineRule="auto"/>
              <w:jc w:val="center"/>
              <w:rPr>
                <w:rFonts w:ascii="Times New Roman" w:hAnsi="Times New Roman"/>
                <w:sz w:val="16"/>
                <w:szCs w:val="16"/>
              </w:rPr>
            </w:pPr>
            <w:r w:rsidRPr="004F39B3">
              <w:rPr>
                <w:rFonts w:ascii="Times New Roman" w:hAnsi="Times New Roman"/>
                <w:sz w:val="16"/>
                <w:szCs w:val="16"/>
              </w:rPr>
              <w:t>Duomenys iš projektų</w:t>
            </w:r>
          </w:p>
        </w:tc>
        <w:tc>
          <w:tcPr>
            <w:tcW w:w="4395" w:type="dxa"/>
            <w:shd w:val="clear" w:color="auto" w:fill="auto"/>
          </w:tcPr>
          <w:p w:rsidR="00FE6452" w:rsidRPr="004F39B3" w:rsidRDefault="00FE6452" w:rsidP="00CF2169">
            <w:pPr>
              <w:spacing w:after="0" w:line="240" w:lineRule="auto"/>
              <w:rPr>
                <w:rFonts w:ascii="Times New Roman" w:hAnsi="Times New Roman"/>
                <w:sz w:val="16"/>
                <w:szCs w:val="16"/>
              </w:rPr>
            </w:pPr>
            <w:r w:rsidRPr="004F39B3">
              <w:rPr>
                <w:rFonts w:ascii="Times New Roman" w:hAnsi="Times New Roman"/>
                <w:sz w:val="16"/>
                <w:szCs w:val="16"/>
              </w:rPr>
              <w:t xml:space="preserve">Rodiklis atspindi prioriteto įgyvendinimo eigą, nes jo pasiekimui skirta </w:t>
            </w:r>
            <w:r w:rsidRPr="004F39B3">
              <w:rPr>
                <w:rFonts w:ascii="Times New Roman" w:hAnsi="Times New Roman"/>
                <w:color w:val="000000"/>
                <w:sz w:val="16"/>
                <w:szCs w:val="16"/>
              </w:rPr>
              <w:t>6</w:t>
            </w:r>
            <w:r w:rsidRPr="004F39B3">
              <w:rPr>
                <w:rFonts w:ascii="Times New Roman" w:hAnsi="Times New Roman"/>
                <w:sz w:val="16"/>
                <w:szCs w:val="16"/>
              </w:rPr>
              <w:t xml:space="preserve"> proc. šio prioriteto įgyvendinimui skirtų SaF lėšų.</w:t>
            </w:r>
          </w:p>
        </w:tc>
      </w:tr>
      <w:tr w:rsidR="00FE6452" w:rsidRPr="004F39B3" w:rsidTr="004F39B3">
        <w:tc>
          <w:tcPr>
            <w:tcW w:w="1276" w:type="dxa"/>
            <w:shd w:val="clear" w:color="auto" w:fill="auto"/>
          </w:tcPr>
          <w:p w:rsidR="00FE6452" w:rsidRPr="004F39B3" w:rsidRDefault="00FE6452" w:rsidP="00385835">
            <w:pPr>
              <w:spacing w:after="0" w:line="240" w:lineRule="auto"/>
              <w:rPr>
                <w:rFonts w:ascii="Times New Roman" w:hAnsi="Times New Roman"/>
                <w:sz w:val="16"/>
                <w:szCs w:val="16"/>
              </w:rPr>
            </w:pPr>
            <w:r w:rsidRPr="004F39B3">
              <w:rPr>
                <w:rFonts w:ascii="Times New Roman" w:hAnsi="Times New Roman"/>
                <w:sz w:val="16"/>
                <w:szCs w:val="16"/>
              </w:rPr>
              <w:t>Įgyvendinimo žingsnis</w:t>
            </w:r>
          </w:p>
        </w:tc>
        <w:tc>
          <w:tcPr>
            <w:tcW w:w="2552" w:type="dxa"/>
            <w:shd w:val="clear" w:color="auto" w:fill="auto"/>
          </w:tcPr>
          <w:p w:rsidR="00FE6452" w:rsidRPr="004F39B3" w:rsidRDefault="00FE6452" w:rsidP="00385835">
            <w:pPr>
              <w:spacing w:after="0" w:line="240" w:lineRule="auto"/>
              <w:rPr>
                <w:rFonts w:ascii="Times New Roman" w:hAnsi="Times New Roman"/>
                <w:i/>
                <w:sz w:val="16"/>
                <w:szCs w:val="16"/>
              </w:rPr>
            </w:pPr>
            <w:r w:rsidRPr="004F39B3">
              <w:rPr>
                <w:rFonts w:ascii="Times New Roman" w:hAnsi="Times New Roman"/>
                <w:sz w:val="16"/>
                <w:szCs w:val="16"/>
              </w:rPr>
              <w:t>Projektų</w:t>
            </w:r>
            <w:r w:rsidRPr="004F39B3">
              <w:rPr>
                <w:rFonts w:ascii="Times New Roman" w:hAnsi="Times New Roman"/>
                <w:i/>
                <w:sz w:val="16"/>
                <w:szCs w:val="16"/>
              </w:rPr>
              <w:t xml:space="preserve"> </w:t>
            </w:r>
            <w:r w:rsidRPr="004F39B3">
              <w:rPr>
                <w:rFonts w:ascii="Times New Roman" w:hAnsi="Times New Roman"/>
                <w:sz w:val="16"/>
                <w:szCs w:val="16"/>
              </w:rPr>
              <w:t>finansavimo ir administravimo sutartyse suplanuota produkto rodiklio „</w:t>
            </w:r>
            <w:r w:rsidRPr="004F39B3">
              <w:rPr>
                <w:rFonts w:ascii="Times New Roman" w:hAnsi="Times New Roman"/>
                <w:bCs/>
                <w:iCs/>
                <w:sz w:val="16"/>
                <w:szCs w:val="16"/>
              </w:rPr>
              <w:t>Rekonstruotų</w:t>
            </w:r>
            <w:r w:rsidRPr="004F39B3">
              <w:rPr>
                <w:rFonts w:ascii="Times New Roman" w:hAnsi="Times New Roman"/>
                <w:sz w:val="16"/>
                <w:szCs w:val="16"/>
              </w:rPr>
              <w:t xml:space="preserve"> vandens tiekimo ir nuotekų surinkimo tinklų ilgis“ reikšmė</w:t>
            </w:r>
          </w:p>
        </w:tc>
        <w:tc>
          <w:tcPr>
            <w:tcW w:w="992" w:type="dxa"/>
            <w:shd w:val="clear" w:color="auto" w:fill="auto"/>
          </w:tcPr>
          <w:p w:rsidR="00FE6452" w:rsidRPr="004F39B3" w:rsidRDefault="00FE6452" w:rsidP="00385835">
            <w:pPr>
              <w:spacing w:after="0" w:line="240" w:lineRule="auto"/>
              <w:jc w:val="center"/>
              <w:rPr>
                <w:rFonts w:ascii="Times New Roman" w:hAnsi="Times New Roman"/>
                <w:bCs/>
                <w:sz w:val="16"/>
                <w:szCs w:val="16"/>
              </w:rPr>
            </w:pPr>
            <w:r w:rsidRPr="004F39B3">
              <w:rPr>
                <w:rFonts w:ascii="Times New Roman" w:hAnsi="Times New Roman"/>
                <w:bCs/>
                <w:sz w:val="16"/>
                <w:szCs w:val="16"/>
              </w:rPr>
              <w:t>Km</w:t>
            </w:r>
          </w:p>
        </w:tc>
        <w:tc>
          <w:tcPr>
            <w:tcW w:w="709" w:type="dxa"/>
            <w:shd w:val="clear" w:color="auto" w:fill="auto"/>
          </w:tcPr>
          <w:p w:rsidR="00FE6452" w:rsidRPr="004F39B3" w:rsidRDefault="00FE6452" w:rsidP="00385835">
            <w:pPr>
              <w:spacing w:after="0" w:line="240" w:lineRule="auto"/>
              <w:jc w:val="center"/>
              <w:rPr>
                <w:rFonts w:ascii="Times New Roman" w:hAnsi="Times New Roman"/>
                <w:bCs/>
                <w:sz w:val="16"/>
                <w:szCs w:val="16"/>
              </w:rPr>
            </w:pPr>
            <w:r w:rsidRPr="004F39B3">
              <w:rPr>
                <w:rFonts w:ascii="Times New Roman" w:hAnsi="Times New Roman"/>
                <w:bCs/>
                <w:sz w:val="16"/>
                <w:szCs w:val="16"/>
              </w:rPr>
              <w:t>SaF</w:t>
            </w:r>
          </w:p>
        </w:tc>
        <w:tc>
          <w:tcPr>
            <w:tcW w:w="850" w:type="dxa"/>
            <w:shd w:val="clear" w:color="auto" w:fill="auto"/>
          </w:tcPr>
          <w:p w:rsidR="00FE6452" w:rsidRPr="004F39B3" w:rsidRDefault="00FE6452" w:rsidP="00385835">
            <w:pPr>
              <w:spacing w:after="0" w:line="240" w:lineRule="auto"/>
              <w:jc w:val="center"/>
              <w:rPr>
                <w:rFonts w:ascii="Times New Roman" w:hAnsi="Times New Roman"/>
                <w:bCs/>
                <w:sz w:val="16"/>
                <w:szCs w:val="16"/>
              </w:rPr>
            </w:pPr>
            <w:r w:rsidRPr="004F39B3">
              <w:rPr>
                <w:rFonts w:ascii="Times New Roman" w:eastAsia="AngsanaUPC" w:hAnsi="Times New Roman"/>
                <w:bCs/>
                <w:sz w:val="16"/>
                <w:szCs w:val="16"/>
                <w:lang w:eastAsia="lt-LT"/>
              </w:rPr>
              <w:t>–</w:t>
            </w:r>
          </w:p>
        </w:tc>
        <w:tc>
          <w:tcPr>
            <w:tcW w:w="1134" w:type="dxa"/>
            <w:shd w:val="clear" w:color="auto" w:fill="auto"/>
          </w:tcPr>
          <w:p w:rsidR="00FE6452" w:rsidRPr="004F39B3" w:rsidRDefault="00FE6452" w:rsidP="00385835">
            <w:pPr>
              <w:spacing w:after="0" w:line="240" w:lineRule="auto"/>
              <w:jc w:val="center"/>
              <w:rPr>
                <w:rFonts w:ascii="Times New Roman" w:hAnsi="Times New Roman"/>
                <w:sz w:val="16"/>
                <w:szCs w:val="16"/>
              </w:rPr>
            </w:pPr>
            <w:r w:rsidRPr="004F39B3">
              <w:rPr>
                <w:rFonts w:ascii="Times New Roman" w:hAnsi="Times New Roman"/>
                <w:sz w:val="16"/>
                <w:szCs w:val="16"/>
              </w:rPr>
              <w:t>350</w:t>
            </w:r>
          </w:p>
        </w:tc>
        <w:tc>
          <w:tcPr>
            <w:tcW w:w="1134" w:type="dxa"/>
            <w:shd w:val="clear" w:color="auto" w:fill="auto"/>
          </w:tcPr>
          <w:p w:rsidR="00FE6452" w:rsidRPr="004F39B3" w:rsidRDefault="00FE6452" w:rsidP="00385835">
            <w:pPr>
              <w:spacing w:after="0" w:line="240" w:lineRule="auto"/>
              <w:jc w:val="center"/>
              <w:rPr>
                <w:rFonts w:ascii="Times New Roman" w:hAnsi="Times New Roman"/>
                <w:sz w:val="16"/>
                <w:szCs w:val="16"/>
              </w:rPr>
            </w:pPr>
            <w:r w:rsidRPr="004F39B3">
              <w:rPr>
                <w:rFonts w:ascii="Times New Roman" w:hAnsi="Times New Roman"/>
                <w:sz w:val="16"/>
                <w:szCs w:val="16"/>
              </w:rPr>
              <w:t>-</w:t>
            </w:r>
          </w:p>
        </w:tc>
        <w:tc>
          <w:tcPr>
            <w:tcW w:w="992" w:type="dxa"/>
          </w:tcPr>
          <w:p w:rsidR="00FE6452" w:rsidRPr="004F39B3" w:rsidRDefault="00FE6452" w:rsidP="00385835">
            <w:pPr>
              <w:spacing w:after="0" w:line="240" w:lineRule="auto"/>
              <w:jc w:val="center"/>
              <w:rPr>
                <w:rFonts w:ascii="Times New Roman" w:hAnsi="Times New Roman"/>
                <w:sz w:val="16"/>
                <w:szCs w:val="16"/>
              </w:rPr>
            </w:pPr>
            <w:r w:rsidRPr="004F39B3">
              <w:rPr>
                <w:rFonts w:ascii="Times New Roman" w:hAnsi="Times New Roman"/>
                <w:sz w:val="16"/>
                <w:szCs w:val="16"/>
              </w:rPr>
              <w:t>Duomenys iš projektų</w:t>
            </w:r>
          </w:p>
        </w:tc>
        <w:tc>
          <w:tcPr>
            <w:tcW w:w="4395" w:type="dxa"/>
            <w:shd w:val="clear" w:color="auto" w:fill="auto"/>
          </w:tcPr>
          <w:p w:rsidR="00FE6452" w:rsidRPr="004F39B3" w:rsidRDefault="00FE6452" w:rsidP="00385835">
            <w:pPr>
              <w:spacing w:after="0" w:line="240" w:lineRule="auto"/>
              <w:rPr>
                <w:rFonts w:ascii="Times New Roman" w:hAnsi="Times New Roman"/>
                <w:sz w:val="16"/>
                <w:szCs w:val="16"/>
              </w:rPr>
            </w:pPr>
            <w:r w:rsidRPr="004F39B3">
              <w:rPr>
                <w:rFonts w:ascii="Times New Roman" w:hAnsi="Times New Roman"/>
                <w:sz w:val="16"/>
                <w:szCs w:val="16"/>
              </w:rPr>
              <w:t>Įgyvendinimo žingsnis pasirinktas, atsižvelgiant į ilgesnę projektų įgyvendinimo trukmę ir vėlesnę jų įgyvendinimo pradžią, kuri yra numatoma dėl poreikio atlikti parengiamuosius darbus.</w:t>
            </w:r>
          </w:p>
          <w:p w:rsidR="00FE6452" w:rsidRPr="004F39B3" w:rsidRDefault="00FE6452" w:rsidP="00385835">
            <w:pPr>
              <w:spacing w:after="0" w:line="240" w:lineRule="auto"/>
              <w:rPr>
                <w:rFonts w:ascii="Times New Roman" w:hAnsi="Times New Roman"/>
                <w:sz w:val="16"/>
                <w:szCs w:val="16"/>
              </w:rPr>
            </w:pPr>
            <w:r w:rsidRPr="004F39B3">
              <w:rPr>
                <w:rFonts w:ascii="Times New Roman" w:hAnsi="Times New Roman"/>
                <w:sz w:val="16"/>
                <w:szCs w:val="16"/>
              </w:rPr>
              <w:t>Projektų finansavimo ir administravimo sutartyse suplanuota produkto rodiklio reikšmė rodys, ar projektai įgyvendinami numatyta apimtimi.</w:t>
            </w:r>
          </w:p>
        </w:tc>
      </w:tr>
      <w:tr w:rsidR="00FE6452" w:rsidRPr="004F39B3" w:rsidTr="004F39B3">
        <w:tc>
          <w:tcPr>
            <w:tcW w:w="1276" w:type="dxa"/>
            <w:shd w:val="clear" w:color="auto" w:fill="auto"/>
          </w:tcPr>
          <w:p w:rsidR="00FE6452" w:rsidRPr="004F39B3" w:rsidRDefault="00FE6452" w:rsidP="00921052">
            <w:pPr>
              <w:widowControl w:val="0"/>
              <w:shd w:val="clear" w:color="auto" w:fill="FFFFFF"/>
              <w:spacing w:after="0" w:line="240" w:lineRule="auto"/>
              <w:textAlignment w:val="baseline"/>
              <w:rPr>
                <w:rFonts w:ascii="Times New Roman" w:hAnsi="Times New Roman"/>
                <w:color w:val="000000"/>
                <w:sz w:val="16"/>
                <w:szCs w:val="16"/>
              </w:rPr>
            </w:pPr>
            <w:r w:rsidRPr="004F39B3">
              <w:rPr>
                <w:rFonts w:ascii="Times New Roman" w:hAnsi="Times New Roman"/>
                <w:color w:val="000000"/>
                <w:sz w:val="16"/>
                <w:szCs w:val="16"/>
              </w:rPr>
              <w:t>Produkto rodiklis</w:t>
            </w:r>
          </w:p>
        </w:tc>
        <w:tc>
          <w:tcPr>
            <w:tcW w:w="2552" w:type="dxa"/>
            <w:shd w:val="clear" w:color="auto" w:fill="auto"/>
          </w:tcPr>
          <w:p w:rsidR="00FE6452" w:rsidRPr="004F39B3" w:rsidRDefault="00FE6452" w:rsidP="00921052">
            <w:pPr>
              <w:widowControl w:val="0"/>
              <w:shd w:val="clear" w:color="auto" w:fill="FFFFFF"/>
              <w:spacing w:after="0" w:line="240" w:lineRule="auto"/>
              <w:textAlignment w:val="baseline"/>
              <w:rPr>
                <w:rFonts w:ascii="Times New Roman" w:hAnsi="Times New Roman"/>
                <w:color w:val="000000"/>
                <w:sz w:val="16"/>
                <w:szCs w:val="16"/>
              </w:rPr>
            </w:pPr>
            <w:r w:rsidRPr="004F39B3">
              <w:rPr>
                <w:rFonts w:ascii="Times New Roman" w:hAnsi="Times New Roman"/>
                <w:color w:val="000000"/>
                <w:sz w:val="16"/>
                <w:szCs w:val="16"/>
                <w:lang w:eastAsia="lt-LT"/>
              </w:rPr>
              <w:t>Sukurti komunalinių atliekų panaudojimo energijai gauti pajėgumai</w:t>
            </w:r>
          </w:p>
        </w:tc>
        <w:tc>
          <w:tcPr>
            <w:tcW w:w="992" w:type="dxa"/>
            <w:shd w:val="clear" w:color="auto" w:fill="auto"/>
          </w:tcPr>
          <w:p w:rsidR="00FE6452" w:rsidRPr="004F39B3" w:rsidRDefault="00FE6452" w:rsidP="00921052">
            <w:pPr>
              <w:widowControl w:val="0"/>
              <w:shd w:val="clear" w:color="auto" w:fill="FFFFFF"/>
              <w:spacing w:after="0" w:line="240" w:lineRule="auto"/>
              <w:jc w:val="center"/>
              <w:textAlignment w:val="baseline"/>
              <w:rPr>
                <w:rFonts w:ascii="Times New Roman" w:hAnsi="Times New Roman"/>
                <w:color w:val="000000"/>
                <w:sz w:val="16"/>
                <w:szCs w:val="16"/>
              </w:rPr>
            </w:pPr>
            <w:r w:rsidRPr="004F39B3">
              <w:rPr>
                <w:rFonts w:ascii="Times New Roman" w:hAnsi="Times New Roman"/>
                <w:color w:val="000000"/>
                <w:sz w:val="16"/>
                <w:szCs w:val="16"/>
                <w:lang w:eastAsia="lt-LT"/>
              </w:rPr>
              <w:t>Tonos per metus</w:t>
            </w:r>
          </w:p>
        </w:tc>
        <w:tc>
          <w:tcPr>
            <w:tcW w:w="709" w:type="dxa"/>
            <w:shd w:val="clear" w:color="auto" w:fill="auto"/>
          </w:tcPr>
          <w:p w:rsidR="00FE6452" w:rsidRPr="004F39B3" w:rsidRDefault="00FE6452" w:rsidP="00921052">
            <w:pPr>
              <w:widowControl w:val="0"/>
              <w:shd w:val="clear" w:color="auto" w:fill="FFFFFF"/>
              <w:spacing w:after="0" w:line="240" w:lineRule="auto"/>
              <w:jc w:val="center"/>
              <w:textAlignment w:val="baseline"/>
              <w:rPr>
                <w:rFonts w:ascii="Times New Roman" w:hAnsi="Times New Roman"/>
                <w:color w:val="000000"/>
                <w:sz w:val="16"/>
                <w:szCs w:val="16"/>
              </w:rPr>
            </w:pPr>
            <w:r w:rsidRPr="004F39B3">
              <w:rPr>
                <w:rFonts w:ascii="Times New Roman" w:hAnsi="Times New Roman"/>
                <w:color w:val="000000"/>
                <w:sz w:val="16"/>
                <w:szCs w:val="16"/>
                <w:lang w:eastAsia="lt-LT"/>
              </w:rPr>
              <w:t>SaF</w:t>
            </w:r>
          </w:p>
        </w:tc>
        <w:tc>
          <w:tcPr>
            <w:tcW w:w="850" w:type="dxa"/>
            <w:shd w:val="clear" w:color="auto" w:fill="auto"/>
          </w:tcPr>
          <w:p w:rsidR="00FE6452" w:rsidRPr="004F39B3" w:rsidRDefault="00FE6452" w:rsidP="00921052">
            <w:pPr>
              <w:widowControl w:val="0"/>
              <w:shd w:val="clear" w:color="auto" w:fill="FFFFFF"/>
              <w:spacing w:after="0" w:line="240" w:lineRule="auto"/>
              <w:jc w:val="center"/>
              <w:textAlignment w:val="baseline"/>
              <w:rPr>
                <w:rFonts w:ascii="Times New Roman" w:hAnsi="Times New Roman"/>
                <w:color w:val="000000"/>
                <w:sz w:val="16"/>
                <w:szCs w:val="16"/>
              </w:rPr>
            </w:pPr>
            <w:r w:rsidRPr="004F39B3">
              <w:rPr>
                <w:rFonts w:ascii="Times New Roman" w:hAnsi="Times New Roman"/>
                <w:color w:val="000000"/>
                <w:sz w:val="16"/>
                <w:szCs w:val="16"/>
              </w:rPr>
              <w:t>-</w:t>
            </w:r>
          </w:p>
        </w:tc>
        <w:tc>
          <w:tcPr>
            <w:tcW w:w="1134" w:type="dxa"/>
            <w:shd w:val="clear" w:color="auto" w:fill="auto"/>
          </w:tcPr>
          <w:p w:rsidR="00FE6452" w:rsidRPr="004F39B3" w:rsidRDefault="00FE6452" w:rsidP="00921052">
            <w:pPr>
              <w:widowControl w:val="0"/>
              <w:shd w:val="clear" w:color="auto" w:fill="FFFFFF"/>
              <w:spacing w:after="0" w:line="240" w:lineRule="auto"/>
              <w:jc w:val="center"/>
              <w:textAlignment w:val="baseline"/>
              <w:rPr>
                <w:rFonts w:ascii="Times New Roman" w:hAnsi="Times New Roman"/>
                <w:color w:val="000000"/>
                <w:sz w:val="16"/>
                <w:szCs w:val="16"/>
              </w:rPr>
            </w:pPr>
            <w:r w:rsidRPr="004F39B3">
              <w:rPr>
                <w:rFonts w:ascii="Times New Roman" w:hAnsi="Times New Roman"/>
                <w:color w:val="000000"/>
                <w:sz w:val="16"/>
                <w:szCs w:val="16"/>
              </w:rPr>
              <w:t>-</w:t>
            </w:r>
          </w:p>
        </w:tc>
        <w:tc>
          <w:tcPr>
            <w:tcW w:w="1134" w:type="dxa"/>
            <w:shd w:val="clear" w:color="auto" w:fill="auto"/>
          </w:tcPr>
          <w:p w:rsidR="00FE6452" w:rsidRPr="004F39B3" w:rsidRDefault="00FE6452" w:rsidP="00C76808">
            <w:pPr>
              <w:widowControl w:val="0"/>
              <w:shd w:val="clear" w:color="auto" w:fill="FFFFFF"/>
              <w:spacing w:after="0" w:line="240" w:lineRule="auto"/>
              <w:jc w:val="center"/>
              <w:textAlignment w:val="baseline"/>
              <w:rPr>
                <w:rFonts w:ascii="Times New Roman" w:hAnsi="Times New Roman"/>
                <w:color w:val="000000"/>
                <w:sz w:val="16"/>
                <w:szCs w:val="16"/>
              </w:rPr>
            </w:pPr>
            <w:r w:rsidRPr="004F39B3">
              <w:rPr>
                <w:rFonts w:ascii="Times New Roman" w:hAnsi="Times New Roman"/>
                <w:color w:val="000000"/>
                <w:sz w:val="16"/>
                <w:szCs w:val="16"/>
              </w:rPr>
              <w:t>160.000</w:t>
            </w:r>
          </w:p>
        </w:tc>
        <w:tc>
          <w:tcPr>
            <w:tcW w:w="992" w:type="dxa"/>
          </w:tcPr>
          <w:p w:rsidR="00FE6452" w:rsidRPr="004F39B3" w:rsidRDefault="00FE6452" w:rsidP="00921052">
            <w:pPr>
              <w:widowControl w:val="0"/>
              <w:shd w:val="clear" w:color="auto" w:fill="FFFFFF"/>
              <w:spacing w:after="0" w:line="240" w:lineRule="auto"/>
              <w:jc w:val="center"/>
              <w:textAlignment w:val="baseline"/>
              <w:rPr>
                <w:rFonts w:ascii="Times New Roman" w:hAnsi="Times New Roman"/>
                <w:color w:val="000000"/>
                <w:sz w:val="16"/>
                <w:szCs w:val="16"/>
              </w:rPr>
            </w:pPr>
            <w:r w:rsidRPr="004F39B3">
              <w:rPr>
                <w:rFonts w:ascii="Times New Roman" w:hAnsi="Times New Roman"/>
                <w:color w:val="000000"/>
                <w:sz w:val="16"/>
                <w:szCs w:val="16"/>
              </w:rPr>
              <w:t xml:space="preserve">Duomenys iš projektų </w:t>
            </w:r>
          </w:p>
        </w:tc>
        <w:tc>
          <w:tcPr>
            <w:tcW w:w="4395" w:type="dxa"/>
            <w:shd w:val="clear" w:color="auto" w:fill="auto"/>
          </w:tcPr>
          <w:p w:rsidR="00FE6452" w:rsidRPr="004F39B3" w:rsidRDefault="00FE6452" w:rsidP="00FE6452">
            <w:pPr>
              <w:widowControl w:val="0"/>
              <w:shd w:val="clear" w:color="auto" w:fill="FFFFFF"/>
              <w:spacing w:after="0" w:line="240" w:lineRule="auto"/>
              <w:textAlignment w:val="baseline"/>
              <w:rPr>
                <w:rFonts w:ascii="Times New Roman" w:hAnsi="Times New Roman"/>
                <w:color w:val="000000"/>
                <w:sz w:val="16"/>
                <w:szCs w:val="16"/>
              </w:rPr>
            </w:pPr>
            <w:r w:rsidRPr="004F39B3">
              <w:rPr>
                <w:rFonts w:ascii="Times New Roman" w:hAnsi="Times New Roman"/>
                <w:color w:val="000000"/>
                <w:sz w:val="16"/>
                <w:szCs w:val="16"/>
              </w:rPr>
              <w:t xml:space="preserve">Rodiklis atspindi prioriteto įgyvendinimo eigą, nes jo pasiekimui skirta 7 proc. šio prioriteto įgyvendinimui skirtų SaF lėšų. </w:t>
            </w:r>
          </w:p>
        </w:tc>
      </w:tr>
      <w:tr w:rsidR="00FE6452" w:rsidRPr="004F39B3" w:rsidTr="004F39B3">
        <w:tc>
          <w:tcPr>
            <w:tcW w:w="1276" w:type="dxa"/>
            <w:shd w:val="clear" w:color="auto" w:fill="auto"/>
          </w:tcPr>
          <w:p w:rsidR="00FE6452" w:rsidRPr="004F39B3" w:rsidRDefault="00FE6452" w:rsidP="00921052">
            <w:pPr>
              <w:widowControl w:val="0"/>
              <w:shd w:val="clear" w:color="auto" w:fill="FFFFFF"/>
              <w:spacing w:after="0" w:line="240" w:lineRule="auto"/>
              <w:textAlignment w:val="baseline"/>
              <w:rPr>
                <w:rFonts w:ascii="Times New Roman" w:hAnsi="Times New Roman"/>
                <w:color w:val="000000"/>
                <w:sz w:val="16"/>
                <w:szCs w:val="16"/>
              </w:rPr>
            </w:pPr>
            <w:r w:rsidRPr="004F39B3">
              <w:rPr>
                <w:rFonts w:ascii="Times New Roman" w:hAnsi="Times New Roman"/>
                <w:color w:val="000000"/>
                <w:sz w:val="16"/>
                <w:szCs w:val="16"/>
              </w:rPr>
              <w:t>Įgyvendinimo žingsnis</w:t>
            </w:r>
          </w:p>
        </w:tc>
        <w:tc>
          <w:tcPr>
            <w:tcW w:w="2552" w:type="dxa"/>
            <w:shd w:val="clear" w:color="auto" w:fill="auto"/>
          </w:tcPr>
          <w:p w:rsidR="00FE6452" w:rsidRPr="004F39B3" w:rsidRDefault="00FE6452" w:rsidP="00921052">
            <w:pPr>
              <w:widowControl w:val="0"/>
              <w:shd w:val="clear" w:color="auto" w:fill="FFFFFF"/>
              <w:spacing w:after="0" w:line="240" w:lineRule="auto"/>
              <w:textAlignment w:val="baseline"/>
              <w:rPr>
                <w:rFonts w:ascii="Times New Roman" w:hAnsi="Times New Roman"/>
                <w:color w:val="000000"/>
                <w:sz w:val="16"/>
                <w:szCs w:val="16"/>
                <w:lang w:eastAsia="lt-LT"/>
              </w:rPr>
            </w:pPr>
            <w:r w:rsidRPr="004F39B3">
              <w:rPr>
                <w:rFonts w:ascii="Times New Roman" w:hAnsi="Times New Roman"/>
                <w:color w:val="000000"/>
                <w:sz w:val="16"/>
                <w:szCs w:val="16"/>
              </w:rPr>
              <w:t>Projektų finansavimo ir administravimo sutartyse suplanuota produkto rodiklio „</w:t>
            </w:r>
            <w:r w:rsidRPr="004F39B3">
              <w:rPr>
                <w:rFonts w:ascii="Times New Roman" w:hAnsi="Times New Roman"/>
                <w:color w:val="000000"/>
                <w:sz w:val="16"/>
                <w:szCs w:val="16"/>
                <w:lang w:eastAsia="lt-LT"/>
              </w:rPr>
              <w:t>Sukurti komunalinių atliekų panaudojimo energijai gauti pajėgumai“ reikšmė</w:t>
            </w:r>
          </w:p>
        </w:tc>
        <w:tc>
          <w:tcPr>
            <w:tcW w:w="992" w:type="dxa"/>
            <w:shd w:val="clear" w:color="auto" w:fill="auto"/>
          </w:tcPr>
          <w:p w:rsidR="00FE6452" w:rsidRPr="004F39B3" w:rsidRDefault="00FE6452" w:rsidP="00921052">
            <w:pPr>
              <w:widowControl w:val="0"/>
              <w:shd w:val="clear" w:color="auto" w:fill="FFFFFF"/>
              <w:spacing w:after="0" w:line="240" w:lineRule="auto"/>
              <w:jc w:val="center"/>
              <w:textAlignment w:val="baseline"/>
              <w:rPr>
                <w:rFonts w:ascii="Times New Roman" w:hAnsi="Times New Roman"/>
                <w:color w:val="000000"/>
                <w:sz w:val="16"/>
                <w:szCs w:val="16"/>
                <w:lang w:eastAsia="lt-LT"/>
              </w:rPr>
            </w:pPr>
            <w:r w:rsidRPr="004F39B3">
              <w:rPr>
                <w:rFonts w:ascii="Times New Roman" w:hAnsi="Times New Roman"/>
                <w:color w:val="000000"/>
                <w:sz w:val="16"/>
                <w:szCs w:val="16"/>
                <w:lang w:eastAsia="lt-LT"/>
              </w:rPr>
              <w:t>Tonos per metus</w:t>
            </w:r>
          </w:p>
        </w:tc>
        <w:tc>
          <w:tcPr>
            <w:tcW w:w="709" w:type="dxa"/>
            <w:shd w:val="clear" w:color="auto" w:fill="auto"/>
          </w:tcPr>
          <w:p w:rsidR="00FE6452" w:rsidRPr="004F39B3" w:rsidRDefault="00FE6452" w:rsidP="00921052">
            <w:pPr>
              <w:widowControl w:val="0"/>
              <w:shd w:val="clear" w:color="auto" w:fill="FFFFFF"/>
              <w:spacing w:after="0" w:line="240" w:lineRule="auto"/>
              <w:jc w:val="center"/>
              <w:textAlignment w:val="baseline"/>
              <w:rPr>
                <w:rFonts w:ascii="Times New Roman" w:hAnsi="Times New Roman"/>
                <w:color w:val="000000"/>
                <w:sz w:val="16"/>
                <w:szCs w:val="16"/>
                <w:lang w:eastAsia="lt-LT"/>
              </w:rPr>
            </w:pPr>
            <w:r w:rsidRPr="004F39B3">
              <w:rPr>
                <w:rFonts w:ascii="Times New Roman" w:hAnsi="Times New Roman"/>
                <w:color w:val="000000"/>
                <w:sz w:val="16"/>
                <w:szCs w:val="16"/>
                <w:lang w:eastAsia="lt-LT"/>
              </w:rPr>
              <w:t>SaF</w:t>
            </w:r>
          </w:p>
        </w:tc>
        <w:tc>
          <w:tcPr>
            <w:tcW w:w="850" w:type="dxa"/>
            <w:shd w:val="clear" w:color="auto" w:fill="auto"/>
          </w:tcPr>
          <w:p w:rsidR="00FE6452" w:rsidRPr="004F39B3" w:rsidRDefault="00FE6452" w:rsidP="00921052">
            <w:pPr>
              <w:widowControl w:val="0"/>
              <w:shd w:val="clear" w:color="auto" w:fill="FFFFFF"/>
              <w:spacing w:after="0" w:line="240" w:lineRule="auto"/>
              <w:jc w:val="center"/>
              <w:textAlignment w:val="baseline"/>
              <w:rPr>
                <w:rFonts w:ascii="Times New Roman" w:hAnsi="Times New Roman"/>
                <w:color w:val="000000"/>
                <w:sz w:val="16"/>
                <w:szCs w:val="16"/>
              </w:rPr>
            </w:pPr>
          </w:p>
        </w:tc>
        <w:tc>
          <w:tcPr>
            <w:tcW w:w="1134" w:type="dxa"/>
            <w:shd w:val="clear" w:color="auto" w:fill="auto"/>
          </w:tcPr>
          <w:p w:rsidR="00FE6452" w:rsidRPr="004F39B3" w:rsidDel="00E17567" w:rsidRDefault="00FE6452" w:rsidP="00C76808">
            <w:pPr>
              <w:widowControl w:val="0"/>
              <w:shd w:val="clear" w:color="auto" w:fill="FFFFFF"/>
              <w:spacing w:after="0" w:line="240" w:lineRule="auto"/>
              <w:jc w:val="center"/>
              <w:textAlignment w:val="baseline"/>
              <w:rPr>
                <w:rFonts w:ascii="Times New Roman" w:hAnsi="Times New Roman"/>
                <w:color w:val="000000"/>
                <w:sz w:val="16"/>
                <w:szCs w:val="16"/>
              </w:rPr>
            </w:pPr>
            <w:r w:rsidRPr="004F39B3">
              <w:rPr>
                <w:rFonts w:ascii="Times New Roman" w:hAnsi="Times New Roman"/>
                <w:color w:val="000000"/>
                <w:sz w:val="16"/>
                <w:szCs w:val="16"/>
              </w:rPr>
              <w:t>160.000</w:t>
            </w:r>
          </w:p>
        </w:tc>
        <w:tc>
          <w:tcPr>
            <w:tcW w:w="1134" w:type="dxa"/>
            <w:shd w:val="clear" w:color="auto" w:fill="auto"/>
          </w:tcPr>
          <w:p w:rsidR="00FE6452" w:rsidRPr="004F39B3" w:rsidRDefault="00FE6452" w:rsidP="00921052">
            <w:pPr>
              <w:widowControl w:val="0"/>
              <w:shd w:val="clear" w:color="auto" w:fill="FFFFFF"/>
              <w:spacing w:after="0" w:line="240" w:lineRule="auto"/>
              <w:jc w:val="center"/>
              <w:textAlignment w:val="baseline"/>
              <w:rPr>
                <w:rFonts w:ascii="Times New Roman" w:hAnsi="Times New Roman"/>
                <w:color w:val="000000"/>
                <w:sz w:val="16"/>
                <w:szCs w:val="16"/>
                <w:lang w:val="en-GB"/>
              </w:rPr>
            </w:pPr>
            <w:r w:rsidRPr="004F39B3">
              <w:rPr>
                <w:rFonts w:ascii="Times New Roman" w:hAnsi="Times New Roman"/>
                <w:color w:val="000000"/>
                <w:sz w:val="16"/>
                <w:szCs w:val="16"/>
              </w:rPr>
              <w:t>-</w:t>
            </w:r>
          </w:p>
        </w:tc>
        <w:tc>
          <w:tcPr>
            <w:tcW w:w="992" w:type="dxa"/>
          </w:tcPr>
          <w:p w:rsidR="00FE6452" w:rsidRPr="004F39B3" w:rsidRDefault="00FE6452" w:rsidP="00921052">
            <w:pPr>
              <w:widowControl w:val="0"/>
              <w:shd w:val="clear" w:color="auto" w:fill="FFFFFF"/>
              <w:spacing w:after="0" w:line="240" w:lineRule="auto"/>
              <w:jc w:val="center"/>
              <w:textAlignment w:val="baseline"/>
              <w:rPr>
                <w:rFonts w:ascii="Times New Roman" w:hAnsi="Times New Roman"/>
                <w:color w:val="000000"/>
                <w:sz w:val="16"/>
                <w:szCs w:val="16"/>
              </w:rPr>
            </w:pPr>
            <w:r w:rsidRPr="004F39B3">
              <w:rPr>
                <w:rFonts w:ascii="Times New Roman" w:hAnsi="Times New Roman"/>
                <w:color w:val="000000"/>
                <w:sz w:val="16"/>
                <w:szCs w:val="16"/>
              </w:rPr>
              <w:t>Duomenys iš projektų</w:t>
            </w:r>
          </w:p>
        </w:tc>
        <w:tc>
          <w:tcPr>
            <w:tcW w:w="4395" w:type="dxa"/>
            <w:shd w:val="clear" w:color="auto" w:fill="auto"/>
          </w:tcPr>
          <w:p w:rsidR="00FE6452" w:rsidRPr="004F39B3" w:rsidRDefault="00FE6452" w:rsidP="00921052">
            <w:pPr>
              <w:pStyle w:val="Default"/>
              <w:shd w:val="clear" w:color="auto" w:fill="FFFFFF"/>
              <w:rPr>
                <w:sz w:val="16"/>
                <w:szCs w:val="16"/>
                <w:lang w:val="lt-LT" w:eastAsia="en-US"/>
              </w:rPr>
            </w:pPr>
            <w:r w:rsidRPr="004F39B3">
              <w:rPr>
                <w:sz w:val="16"/>
                <w:szCs w:val="16"/>
                <w:lang w:val="lt-LT" w:eastAsia="en-US"/>
              </w:rPr>
              <w:t>Įgyvendinimo žingsnis pasirinktas, atsižvelgiant į ilgesnę projektų įgyvendinimo trukmę ir vėlesnę jų įgyvendinimo pradžią, kuri yra numatoma dėl poreikio atlikti parengiamuosius darbus.</w:t>
            </w:r>
          </w:p>
          <w:p w:rsidR="00FE6452" w:rsidRPr="004F39B3" w:rsidRDefault="00FE6452" w:rsidP="00921052">
            <w:pPr>
              <w:widowControl w:val="0"/>
              <w:shd w:val="clear" w:color="auto" w:fill="FFFFFF"/>
              <w:spacing w:after="0" w:line="240" w:lineRule="auto"/>
              <w:textAlignment w:val="baseline"/>
              <w:rPr>
                <w:rFonts w:ascii="Times New Roman" w:hAnsi="Times New Roman"/>
                <w:color w:val="000000"/>
                <w:sz w:val="16"/>
                <w:szCs w:val="16"/>
              </w:rPr>
            </w:pPr>
            <w:r w:rsidRPr="004F39B3">
              <w:rPr>
                <w:rFonts w:ascii="Times New Roman" w:hAnsi="Times New Roman"/>
                <w:color w:val="000000"/>
                <w:sz w:val="16"/>
                <w:szCs w:val="16"/>
              </w:rPr>
              <w:t>Projektų finansavimo ir administravimo sutartyse suplanuota produkto rodiklio reikšmė rodys, ar projektai įgyvendinami numatyta apimtimi.</w:t>
            </w:r>
          </w:p>
        </w:tc>
      </w:tr>
    </w:tbl>
    <w:p w:rsidR="00385835" w:rsidRPr="00385835" w:rsidRDefault="00385835" w:rsidP="00385835">
      <w:pPr>
        <w:spacing w:after="0" w:line="240" w:lineRule="auto"/>
        <w:rPr>
          <w:rFonts w:ascii="Times New Roman" w:hAnsi="Times New Roman"/>
          <w:sz w:val="24"/>
          <w:szCs w:val="24"/>
        </w:rPr>
      </w:pPr>
    </w:p>
    <w:p w:rsidR="00385835" w:rsidRPr="00385835" w:rsidRDefault="00385835" w:rsidP="00385835">
      <w:pPr>
        <w:autoSpaceDE w:val="0"/>
        <w:autoSpaceDN w:val="0"/>
        <w:adjustRightInd w:val="0"/>
        <w:spacing w:after="0" w:line="240" w:lineRule="auto"/>
        <w:ind w:firstLine="851"/>
        <w:jc w:val="both"/>
        <w:rPr>
          <w:rFonts w:ascii="Times New Roman" w:hAnsi="Times New Roman"/>
          <w:sz w:val="24"/>
          <w:szCs w:val="24"/>
          <w:lang w:eastAsia="lt-LT"/>
        </w:rPr>
      </w:pPr>
      <w:r w:rsidRPr="00385835">
        <w:rPr>
          <w:rFonts w:ascii="Times New Roman" w:hAnsi="Times New Roman"/>
          <w:color w:val="000000"/>
          <w:sz w:val="24"/>
          <w:szCs w:val="24"/>
        </w:rPr>
        <w:t>Į veiklos peržiūros planą įtrauktų ERPF rodiklių tarpinės ir galutinės reikšmės nustatytos, įvertinus istorinius ankstesnio programavimo laikotarpio lėšų panaudojimo ir rodiklių pasiekimo duomenis, t.</w:t>
      </w:r>
      <w:r w:rsidR="00FE6452">
        <w:rPr>
          <w:rFonts w:ascii="Times New Roman" w:hAnsi="Times New Roman"/>
          <w:color w:val="000000"/>
          <w:sz w:val="24"/>
          <w:szCs w:val="24"/>
        </w:rPr>
        <w:t xml:space="preserve"> </w:t>
      </w:r>
      <w:r w:rsidRPr="00385835">
        <w:rPr>
          <w:rFonts w:ascii="Times New Roman" w:hAnsi="Times New Roman"/>
          <w:color w:val="000000"/>
          <w:sz w:val="24"/>
          <w:szCs w:val="24"/>
        </w:rPr>
        <w:t xml:space="preserve">y. įgyvendinant panašaus pobūdžio intervencijas per analogišką laikotarpį pasiektas rodiklių reikšmes, tuo pačiu atsižvelgiant į šiame programavimo laikotarpyje numatomas investicijų ir veiklų apimtis. Nustatant tarpines rodiklių reikšmes, taip pat atsižvelgta į sektoriaus pasirengimą panaudoti </w:t>
      </w:r>
      <w:r w:rsidR="000F4AE6">
        <w:rPr>
          <w:rFonts w:ascii="Times New Roman" w:hAnsi="Times New Roman"/>
          <w:color w:val="000000"/>
          <w:sz w:val="24"/>
          <w:szCs w:val="24"/>
        </w:rPr>
        <w:t>ES fondų</w:t>
      </w:r>
      <w:r w:rsidRPr="00385835">
        <w:rPr>
          <w:rFonts w:ascii="Times New Roman" w:hAnsi="Times New Roman"/>
          <w:color w:val="000000"/>
          <w:sz w:val="24"/>
          <w:szCs w:val="24"/>
        </w:rPr>
        <w:t xml:space="preserve"> lėšas – </w:t>
      </w:r>
      <w:r w:rsidRPr="00385835">
        <w:rPr>
          <w:rFonts w:ascii="Times New Roman" w:hAnsi="Times New Roman"/>
          <w:sz w:val="24"/>
          <w:szCs w:val="24"/>
        </w:rPr>
        <w:t>poreikį atlikti parengiamuosius kultūros ir gamtos paveldo objektų tvarkymo darbus</w:t>
      </w:r>
      <w:r w:rsidRPr="00385835">
        <w:rPr>
          <w:rFonts w:ascii="Times New Roman" w:hAnsi="Times New Roman"/>
          <w:color w:val="000000"/>
          <w:sz w:val="24"/>
          <w:szCs w:val="24"/>
        </w:rPr>
        <w:t xml:space="preserve"> bei institucinę patirtį administruojant </w:t>
      </w:r>
      <w:r w:rsidR="000F4AE6">
        <w:rPr>
          <w:rFonts w:ascii="Times New Roman" w:hAnsi="Times New Roman"/>
          <w:color w:val="000000"/>
          <w:sz w:val="24"/>
          <w:szCs w:val="24"/>
        </w:rPr>
        <w:t>ES fondų</w:t>
      </w:r>
      <w:r w:rsidRPr="00385835">
        <w:rPr>
          <w:rFonts w:ascii="Times New Roman" w:hAnsi="Times New Roman"/>
          <w:color w:val="000000"/>
          <w:sz w:val="24"/>
          <w:szCs w:val="24"/>
        </w:rPr>
        <w:t xml:space="preserve"> lėšas.  </w:t>
      </w:r>
    </w:p>
    <w:p w:rsidR="00AC33BC" w:rsidRPr="002447B3" w:rsidRDefault="00385835" w:rsidP="002447B3">
      <w:pPr>
        <w:spacing w:after="0" w:line="240" w:lineRule="auto"/>
        <w:ind w:firstLine="851"/>
        <w:jc w:val="both"/>
        <w:rPr>
          <w:rFonts w:ascii="Times New Roman" w:hAnsi="Times New Roman"/>
          <w:sz w:val="24"/>
          <w:szCs w:val="24"/>
        </w:rPr>
      </w:pPr>
      <w:r w:rsidRPr="00385835">
        <w:rPr>
          <w:rFonts w:ascii="Times New Roman" w:hAnsi="Times New Roman"/>
          <w:color w:val="000000"/>
          <w:sz w:val="24"/>
          <w:szCs w:val="24"/>
        </w:rPr>
        <w:t>Į veiklos peržiūros planą įtrauktų SaF rodiklių tarpinės ir galutinės reikšmės nustatytos, įvertinus istorinius ankstesnio programavimo laikotarpio lėšų panaudojimo ir rodiklių pasiekimo duomenis, t.</w:t>
      </w:r>
      <w:r w:rsidR="00FE6452">
        <w:rPr>
          <w:rFonts w:ascii="Times New Roman" w:hAnsi="Times New Roman"/>
          <w:color w:val="000000"/>
          <w:sz w:val="24"/>
          <w:szCs w:val="24"/>
        </w:rPr>
        <w:t xml:space="preserve"> </w:t>
      </w:r>
      <w:r w:rsidRPr="00385835">
        <w:rPr>
          <w:rFonts w:ascii="Times New Roman" w:hAnsi="Times New Roman"/>
          <w:color w:val="000000"/>
          <w:sz w:val="24"/>
          <w:szCs w:val="24"/>
        </w:rPr>
        <w:t>y. įgyvendinant panašaus pobūdžio intervencijas per analogišką laikotarpį pasiektas rodiklių reikšmes, tuo pačiu atsižvelgiant į š</w:t>
      </w:r>
      <w:r w:rsidR="00367B18">
        <w:rPr>
          <w:rFonts w:ascii="Times New Roman" w:hAnsi="Times New Roman"/>
          <w:color w:val="000000"/>
          <w:sz w:val="24"/>
          <w:szCs w:val="24"/>
        </w:rPr>
        <w:t xml:space="preserve">iame programavimo laikotarpyje </w:t>
      </w:r>
      <w:r w:rsidRPr="00385835">
        <w:rPr>
          <w:rFonts w:ascii="Times New Roman" w:hAnsi="Times New Roman"/>
          <w:color w:val="000000"/>
          <w:sz w:val="24"/>
          <w:szCs w:val="24"/>
        </w:rPr>
        <w:t xml:space="preserve">numatomas investicijų ir veiklų apimtis. Nustatant tarpines rodiklių reikšmes, taip pat atsižvelgta į sektoriaus pasirengimą panaudoti </w:t>
      </w:r>
      <w:r w:rsidR="000F4AE6">
        <w:rPr>
          <w:rFonts w:ascii="Times New Roman" w:hAnsi="Times New Roman"/>
          <w:color w:val="000000"/>
          <w:sz w:val="24"/>
          <w:szCs w:val="24"/>
        </w:rPr>
        <w:t>ES fondų</w:t>
      </w:r>
      <w:r w:rsidRPr="00385835">
        <w:rPr>
          <w:rFonts w:ascii="Times New Roman" w:hAnsi="Times New Roman"/>
          <w:color w:val="000000"/>
          <w:sz w:val="24"/>
          <w:szCs w:val="24"/>
        </w:rPr>
        <w:t xml:space="preserve"> lėšas – aplinkos priemonių įgyvendinimo specifiką ir produkto rodiklių skaičiavimo metodiką, pagal kurią kai kurie pasiekimai skaičiuojami tik praėjus tam tikram laikui po projektų užbaigimo</w:t>
      </w:r>
      <w:r w:rsidR="002447B3">
        <w:rPr>
          <w:rFonts w:ascii="Times New Roman" w:hAnsi="Times New Roman"/>
          <w:sz w:val="24"/>
          <w:szCs w:val="24"/>
        </w:rPr>
        <w:t>.</w:t>
      </w:r>
    </w:p>
    <w:p w:rsidR="00AC33BC" w:rsidRDefault="00AC33BC" w:rsidP="00322BE2">
      <w:pPr>
        <w:widowControl w:val="0"/>
        <w:tabs>
          <w:tab w:val="left" w:pos="622"/>
        </w:tabs>
        <w:spacing w:after="0" w:line="240" w:lineRule="auto"/>
        <w:jc w:val="both"/>
        <w:rPr>
          <w:rFonts w:ascii="Times New Roman" w:eastAsia="AngsanaUPC" w:hAnsi="Times New Roman"/>
          <w:b/>
          <w:bCs/>
          <w:i/>
          <w:iCs/>
          <w:sz w:val="24"/>
          <w:szCs w:val="24"/>
          <w:lang w:eastAsia="lt-LT"/>
        </w:rPr>
        <w:sectPr w:rsidR="00AC33BC" w:rsidSect="00D915AC">
          <w:pgSz w:w="16838" w:h="11906" w:orient="landscape" w:code="9"/>
          <w:pgMar w:top="1701" w:right="1701" w:bottom="567" w:left="1134" w:header="567" w:footer="567" w:gutter="0"/>
          <w:cols w:space="1296"/>
          <w:docGrid w:linePitch="360"/>
        </w:sectPr>
      </w:pPr>
    </w:p>
    <w:p w:rsidR="00322BE2" w:rsidRPr="002447B3" w:rsidRDefault="00322BE2" w:rsidP="00322BE2">
      <w:pPr>
        <w:widowControl w:val="0"/>
        <w:tabs>
          <w:tab w:val="left" w:pos="622"/>
        </w:tabs>
        <w:spacing w:after="0" w:line="240" w:lineRule="auto"/>
        <w:jc w:val="both"/>
        <w:rPr>
          <w:rFonts w:ascii="Times New Roman" w:hAnsi="Times New Roman"/>
          <w:b/>
          <w:bCs/>
          <w:iCs/>
          <w:sz w:val="18"/>
          <w:szCs w:val="18"/>
        </w:rPr>
      </w:pPr>
      <w:r w:rsidRPr="002447B3">
        <w:rPr>
          <w:rFonts w:ascii="Times New Roman" w:eastAsia="AngsanaUPC" w:hAnsi="Times New Roman"/>
          <w:b/>
          <w:bCs/>
          <w:i/>
          <w:iCs/>
          <w:sz w:val="24"/>
          <w:szCs w:val="24"/>
          <w:lang w:eastAsia="lt-LT"/>
        </w:rPr>
        <w:lastRenderedPageBreak/>
        <w:t>Numatomas išlaidų pasiskirstymas pagal kategorijas</w:t>
      </w:r>
    </w:p>
    <w:p w:rsidR="00322BE2" w:rsidRPr="002447B3" w:rsidRDefault="00322BE2" w:rsidP="00322BE2">
      <w:pPr>
        <w:widowControl w:val="0"/>
        <w:tabs>
          <w:tab w:val="left" w:pos="622"/>
        </w:tabs>
        <w:spacing w:after="0" w:line="240" w:lineRule="auto"/>
        <w:jc w:val="both"/>
        <w:rPr>
          <w:rFonts w:ascii="Times New Roman" w:hAnsi="Times New Roman"/>
          <w:b/>
          <w:bCs/>
          <w:iCs/>
          <w:sz w:val="18"/>
          <w:szCs w:val="1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09"/>
        <w:gridCol w:w="6378"/>
        <w:gridCol w:w="1843"/>
      </w:tblGrid>
      <w:tr w:rsidR="00322BE2" w:rsidRPr="002447B3" w:rsidTr="00322BE2">
        <w:trPr>
          <w:tblHeader/>
        </w:trPr>
        <w:tc>
          <w:tcPr>
            <w:tcW w:w="9781" w:type="dxa"/>
            <w:gridSpan w:val="4"/>
            <w:shd w:val="clear" w:color="auto" w:fill="EEECE1"/>
            <w:vAlign w:val="center"/>
          </w:tcPr>
          <w:p w:rsidR="00322BE2" w:rsidRPr="002447B3" w:rsidRDefault="00322BE2" w:rsidP="00322BE2">
            <w:pPr>
              <w:widowControl w:val="0"/>
              <w:tabs>
                <w:tab w:val="left" w:pos="622"/>
              </w:tabs>
              <w:spacing w:after="0" w:line="240" w:lineRule="auto"/>
              <w:jc w:val="both"/>
              <w:rPr>
                <w:rFonts w:ascii="Times New Roman" w:hAnsi="Times New Roman"/>
                <w:b/>
                <w:bCs/>
                <w:i/>
                <w:iCs/>
                <w:sz w:val="18"/>
                <w:szCs w:val="18"/>
              </w:rPr>
            </w:pPr>
            <w:r w:rsidRPr="002447B3">
              <w:rPr>
                <w:rFonts w:ascii="Times New Roman" w:hAnsi="Times New Roman"/>
                <w:b/>
                <w:bCs/>
                <w:i/>
                <w:iCs/>
                <w:sz w:val="18"/>
                <w:szCs w:val="18"/>
              </w:rPr>
              <w:t>Intervencinių veiksmų sritis</w:t>
            </w:r>
          </w:p>
        </w:tc>
      </w:tr>
      <w:tr w:rsidR="00322BE2" w:rsidRPr="002447B3" w:rsidTr="003D4200">
        <w:tc>
          <w:tcPr>
            <w:tcW w:w="851" w:type="dxa"/>
            <w:shd w:val="clear" w:color="auto" w:fill="EEECE1"/>
            <w:vAlign w:val="center"/>
          </w:tcPr>
          <w:p w:rsidR="00322BE2" w:rsidRPr="002447B3" w:rsidRDefault="00322BE2" w:rsidP="00322BE2">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Fondas</w:t>
            </w:r>
          </w:p>
        </w:tc>
        <w:tc>
          <w:tcPr>
            <w:tcW w:w="709" w:type="dxa"/>
            <w:shd w:val="clear" w:color="auto" w:fill="EEECE1"/>
            <w:vAlign w:val="center"/>
          </w:tcPr>
          <w:p w:rsidR="00322BE2" w:rsidRPr="002447B3" w:rsidRDefault="00322BE2" w:rsidP="00322BE2">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Kodas</w:t>
            </w:r>
          </w:p>
        </w:tc>
        <w:tc>
          <w:tcPr>
            <w:tcW w:w="6378" w:type="dxa"/>
            <w:shd w:val="clear" w:color="auto" w:fill="EEECE1"/>
            <w:vAlign w:val="center"/>
          </w:tcPr>
          <w:p w:rsidR="00322BE2" w:rsidRPr="002447B3" w:rsidRDefault="00322BE2" w:rsidP="00322BE2">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Pavadinimas</w:t>
            </w:r>
          </w:p>
        </w:tc>
        <w:tc>
          <w:tcPr>
            <w:tcW w:w="1843" w:type="dxa"/>
            <w:shd w:val="clear" w:color="auto" w:fill="EEECE1"/>
            <w:vAlign w:val="center"/>
          </w:tcPr>
          <w:p w:rsidR="00322BE2" w:rsidRPr="002447B3" w:rsidRDefault="00322BE2" w:rsidP="00322BE2">
            <w:pPr>
              <w:widowControl w:val="0"/>
              <w:tabs>
                <w:tab w:val="left" w:pos="622"/>
              </w:tabs>
              <w:spacing w:after="0" w:line="240" w:lineRule="auto"/>
              <w:jc w:val="center"/>
              <w:rPr>
                <w:rFonts w:ascii="Times New Roman" w:hAnsi="Times New Roman"/>
                <w:b/>
                <w:bCs/>
                <w:iCs/>
                <w:sz w:val="18"/>
                <w:szCs w:val="18"/>
              </w:rPr>
            </w:pPr>
            <w:r w:rsidRPr="002447B3">
              <w:rPr>
                <w:rFonts w:ascii="Times New Roman" w:hAnsi="Times New Roman"/>
                <w:b/>
                <w:bCs/>
                <w:iCs/>
                <w:sz w:val="18"/>
                <w:szCs w:val="18"/>
              </w:rPr>
              <w:t>Finansinė proporcija (eurais)</w:t>
            </w:r>
          </w:p>
        </w:tc>
      </w:tr>
      <w:tr w:rsidR="003B1271" w:rsidRPr="00C76808" w:rsidTr="00904083">
        <w:tc>
          <w:tcPr>
            <w:tcW w:w="851" w:type="dxa"/>
            <w:shd w:val="clear" w:color="auto" w:fill="auto"/>
            <w:vAlign w:val="center"/>
          </w:tcPr>
          <w:p w:rsidR="003B1271" w:rsidRPr="008F339D" w:rsidRDefault="003B1271" w:rsidP="00322BE2">
            <w:pPr>
              <w:widowControl w:val="0"/>
              <w:tabs>
                <w:tab w:val="left" w:pos="622"/>
              </w:tabs>
              <w:spacing w:after="0" w:line="240" w:lineRule="auto"/>
              <w:rPr>
                <w:rFonts w:ascii="Times New Roman" w:eastAsia="AngsanaUPC" w:hAnsi="Times New Roman"/>
                <w:bCs/>
                <w:sz w:val="18"/>
                <w:szCs w:val="18"/>
                <w:lang w:eastAsia="lt-LT"/>
              </w:rPr>
            </w:pPr>
            <w:r w:rsidRPr="008F339D">
              <w:rPr>
                <w:rFonts w:ascii="Times New Roman" w:eastAsia="AngsanaUPC" w:hAnsi="Times New Roman"/>
                <w:bCs/>
                <w:sz w:val="18"/>
                <w:szCs w:val="18"/>
                <w:lang w:eastAsia="lt-LT"/>
              </w:rPr>
              <w:t>SaF</w:t>
            </w:r>
          </w:p>
        </w:tc>
        <w:tc>
          <w:tcPr>
            <w:tcW w:w="709" w:type="dxa"/>
            <w:shd w:val="clear" w:color="auto" w:fill="auto"/>
            <w:vAlign w:val="center"/>
          </w:tcPr>
          <w:p w:rsidR="003B1271" w:rsidRPr="00C76808" w:rsidRDefault="003B1271" w:rsidP="00322BE2">
            <w:pPr>
              <w:widowControl w:val="0"/>
              <w:tabs>
                <w:tab w:val="left" w:pos="622"/>
              </w:tabs>
              <w:spacing w:after="0" w:line="240" w:lineRule="auto"/>
              <w:rPr>
                <w:rFonts w:ascii="Times New Roman" w:eastAsia="AngsanaUPC" w:hAnsi="Times New Roman"/>
                <w:bCs/>
                <w:sz w:val="18"/>
                <w:szCs w:val="18"/>
                <w:lang w:val="en-GB" w:eastAsia="lt-LT"/>
              </w:rPr>
            </w:pPr>
            <w:r w:rsidRPr="00C76808">
              <w:rPr>
                <w:rFonts w:ascii="Times New Roman" w:eastAsia="AngsanaUPC" w:hAnsi="Times New Roman"/>
                <w:bCs/>
                <w:sz w:val="18"/>
                <w:szCs w:val="18"/>
                <w:lang w:val="en-GB" w:eastAsia="lt-LT"/>
              </w:rPr>
              <w:t>17</w:t>
            </w:r>
          </w:p>
        </w:tc>
        <w:tc>
          <w:tcPr>
            <w:tcW w:w="6378" w:type="dxa"/>
            <w:shd w:val="clear" w:color="auto" w:fill="auto"/>
            <w:vAlign w:val="center"/>
          </w:tcPr>
          <w:p w:rsidR="003B1271" w:rsidRPr="00C76808" w:rsidRDefault="003B1271" w:rsidP="003B1271">
            <w:pPr>
              <w:widowControl w:val="0"/>
              <w:tabs>
                <w:tab w:val="left" w:pos="622"/>
              </w:tabs>
              <w:spacing w:after="0" w:line="240" w:lineRule="auto"/>
              <w:rPr>
                <w:rFonts w:ascii="Times New Roman" w:eastAsia="AngsanaUPC" w:hAnsi="Times New Roman"/>
                <w:bCs/>
                <w:sz w:val="18"/>
                <w:szCs w:val="18"/>
                <w:lang w:eastAsia="lt-LT"/>
              </w:rPr>
            </w:pPr>
            <w:r w:rsidRPr="00C76808">
              <w:rPr>
                <w:rFonts w:ascii="Times New Roman" w:eastAsia="AngsanaUPC" w:hAnsi="Times New Roman"/>
                <w:bCs/>
                <w:sz w:val="18"/>
                <w:szCs w:val="18"/>
                <w:lang w:eastAsia="lt-LT"/>
              </w:rPr>
              <w:t>Buitinių atliekų tvarkymas (įskaitant atliekų mažinimo, rūšiavimo ir perdirbimo priemones)</w:t>
            </w:r>
          </w:p>
        </w:tc>
        <w:tc>
          <w:tcPr>
            <w:tcW w:w="1843" w:type="dxa"/>
            <w:shd w:val="clear" w:color="auto" w:fill="auto"/>
            <w:vAlign w:val="center"/>
          </w:tcPr>
          <w:p w:rsidR="003B1271" w:rsidRPr="00FC6264" w:rsidRDefault="00FE6452" w:rsidP="00FE6452">
            <w:pPr>
              <w:widowControl w:val="0"/>
              <w:tabs>
                <w:tab w:val="left" w:pos="622"/>
              </w:tabs>
              <w:spacing w:after="0" w:line="240" w:lineRule="auto"/>
              <w:jc w:val="right"/>
              <w:rPr>
                <w:rFonts w:ascii="Times New Roman" w:eastAsia="AngsanaUPC" w:hAnsi="Times New Roman"/>
                <w:bCs/>
                <w:sz w:val="18"/>
                <w:szCs w:val="18"/>
                <w:lang w:val="en-GB" w:eastAsia="lt-LT"/>
              </w:rPr>
            </w:pPr>
            <w:r w:rsidRPr="00FC6264">
              <w:rPr>
                <w:rFonts w:ascii="Times New Roman" w:eastAsia="AngsanaUPC" w:hAnsi="Times New Roman"/>
                <w:bCs/>
                <w:sz w:val="18"/>
                <w:szCs w:val="18"/>
                <w:lang w:val="en-GB" w:eastAsia="lt-LT"/>
              </w:rPr>
              <w:t>88</w:t>
            </w:r>
            <w:r w:rsidR="00C76808"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188</w:t>
            </w:r>
            <w:r w:rsidR="00C76808"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151</w:t>
            </w:r>
          </w:p>
        </w:tc>
      </w:tr>
      <w:tr w:rsidR="00921052" w:rsidRPr="00C76808" w:rsidTr="003D4200">
        <w:tc>
          <w:tcPr>
            <w:tcW w:w="851" w:type="dxa"/>
            <w:shd w:val="clear" w:color="auto" w:fill="auto"/>
            <w:vAlign w:val="center"/>
          </w:tcPr>
          <w:p w:rsidR="00921052" w:rsidRPr="008F339D" w:rsidRDefault="00921052" w:rsidP="00921052">
            <w:pPr>
              <w:shd w:val="clear" w:color="auto" w:fill="FFFFFF"/>
              <w:autoSpaceDE w:val="0"/>
              <w:autoSpaceDN w:val="0"/>
              <w:adjustRightInd w:val="0"/>
              <w:spacing w:after="0" w:line="240" w:lineRule="auto"/>
              <w:rPr>
                <w:rFonts w:ascii="Times New Roman" w:hAnsi="Times New Roman"/>
                <w:color w:val="000000"/>
                <w:sz w:val="18"/>
                <w:szCs w:val="18"/>
              </w:rPr>
            </w:pPr>
            <w:r w:rsidRPr="008F339D">
              <w:rPr>
                <w:rFonts w:ascii="Times New Roman" w:hAnsi="Times New Roman"/>
                <w:color w:val="000000"/>
                <w:sz w:val="18"/>
                <w:szCs w:val="18"/>
              </w:rPr>
              <w:t>SaF</w:t>
            </w:r>
          </w:p>
        </w:tc>
        <w:tc>
          <w:tcPr>
            <w:tcW w:w="709" w:type="dxa"/>
            <w:shd w:val="clear" w:color="auto" w:fill="auto"/>
            <w:vAlign w:val="center"/>
          </w:tcPr>
          <w:p w:rsidR="00921052" w:rsidRPr="00C76808" w:rsidRDefault="00921052" w:rsidP="00921052">
            <w:pPr>
              <w:shd w:val="clear" w:color="auto" w:fill="FFFFFF"/>
              <w:autoSpaceDE w:val="0"/>
              <w:autoSpaceDN w:val="0"/>
              <w:adjustRightInd w:val="0"/>
              <w:spacing w:after="0" w:line="240" w:lineRule="auto"/>
              <w:rPr>
                <w:rFonts w:ascii="Times New Roman" w:hAnsi="Times New Roman"/>
                <w:color w:val="000000"/>
                <w:sz w:val="18"/>
                <w:szCs w:val="18"/>
              </w:rPr>
            </w:pPr>
            <w:r w:rsidRPr="00C76808">
              <w:rPr>
                <w:rFonts w:ascii="Times New Roman" w:hAnsi="Times New Roman"/>
                <w:color w:val="000000"/>
                <w:sz w:val="18"/>
                <w:szCs w:val="18"/>
              </w:rPr>
              <w:t>18</w:t>
            </w:r>
          </w:p>
        </w:tc>
        <w:tc>
          <w:tcPr>
            <w:tcW w:w="6378" w:type="dxa"/>
            <w:shd w:val="clear" w:color="auto" w:fill="auto"/>
            <w:vAlign w:val="center"/>
          </w:tcPr>
          <w:p w:rsidR="00921052" w:rsidRPr="00C76808" w:rsidRDefault="00921052" w:rsidP="00921052">
            <w:pPr>
              <w:shd w:val="clear" w:color="auto" w:fill="FFFFFF"/>
              <w:autoSpaceDE w:val="0"/>
              <w:autoSpaceDN w:val="0"/>
              <w:adjustRightInd w:val="0"/>
              <w:spacing w:after="0" w:line="240" w:lineRule="auto"/>
              <w:rPr>
                <w:rFonts w:ascii="Times New Roman" w:hAnsi="Times New Roman"/>
                <w:color w:val="000000"/>
                <w:sz w:val="18"/>
                <w:szCs w:val="18"/>
              </w:rPr>
            </w:pPr>
            <w:r w:rsidRPr="00C76808">
              <w:rPr>
                <w:rFonts w:ascii="Times New Roman" w:hAnsi="Times New Roman"/>
                <w:color w:val="000000"/>
                <w:sz w:val="18"/>
                <w:szCs w:val="18"/>
              </w:rPr>
              <w:t xml:space="preserve">Buitinių atliekų tvarkymas (įskaitant mechaninio ir biologinio apdorojimo, terminio apdorojimo, deginimo ir sąvartynų priemones) </w:t>
            </w:r>
          </w:p>
        </w:tc>
        <w:tc>
          <w:tcPr>
            <w:tcW w:w="1843" w:type="dxa"/>
            <w:shd w:val="clear" w:color="auto" w:fill="auto"/>
            <w:vAlign w:val="center"/>
          </w:tcPr>
          <w:p w:rsidR="00921052" w:rsidRPr="00FC6264" w:rsidDel="00FC40AD" w:rsidRDefault="00FE6452" w:rsidP="00FE6452">
            <w:pPr>
              <w:shd w:val="clear" w:color="auto" w:fill="FFFFFF"/>
              <w:autoSpaceDE w:val="0"/>
              <w:autoSpaceDN w:val="0"/>
              <w:adjustRightInd w:val="0"/>
              <w:spacing w:after="0" w:line="240" w:lineRule="auto"/>
              <w:jc w:val="right"/>
              <w:rPr>
                <w:rFonts w:ascii="Times New Roman" w:hAnsi="Times New Roman"/>
                <w:color w:val="000000"/>
                <w:sz w:val="18"/>
                <w:szCs w:val="18"/>
              </w:rPr>
            </w:pPr>
            <w:r w:rsidRPr="00FC6264">
              <w:rPr>
                <w:rFonts w:ascii="Times New Roman" w:hAnsi="Times New Roman"/>
                <w:color w:val="000000"/>
                <w:sz w:val="18"/>
                <w:szCs w:val="18"/>
              </w:rPr>
              <w:t>48</w:t>
            </w:r>
            <w:r w:rsidR="00C76808" w:rsidRPr="00FC6264">
              <w:rPr>
                <w:rFonts w:ascii="Times New Roman" w:hAnsi="Times New Roman"/>
                <w:color w:val="000000"/>
                <w:sz w:val="18"/>
                <w:szCs w:val="18"/>
              </w:rPr>
              <w:t>.</w:t>
            </w:r>
            <w:r w:rsidRPr="00FC6264">
              <w:rPr>
                <w:rFonts w:ascii="Times New Roman" w:hAnsi="Times New Roman"/>
                <w:color w:val="000000"/>
                <w:sz w:val="18"/>
                <w:szCs w:val="18"/>
              </w:rPr>
              <w:t>553</w:t>
            </w:r>
            <w:r w:rsidR="00C76808" w:rsidRPr="00FC6264">
              <w:rPr>
                <w:rFonts w:ascii="Times New Roman" w:hAnsi="Times New Roman"/>
                <w:color w:val="000000"/>
                <w:sz w:val="18"/>
                <w:szCs w:val="18"/>
              </w:rPr>
              <w:t>.</w:t>
            </w:r>
            <w:r w:rsidRPr="00FC6264">
              <w:rPr>
                <w:rFonts w:ascii="Times New Roman" w:hAnsi="Times New Roman"/>
                <w:color w:val="000000"/>
                <w:sz w:val="18"/>
                <w:szCs w:val="18"/>
              </w:rPr>
              <w:t>044</w:t>
            </w:r>
          </w:p>
        </w:tc>
      </w:tr>
      <w:tr w:rsidR="003B1271" w:rsidRPr="00C76808" w:rsidTr="003D4200">
        <w:tc>
          <w:tcPr>
            <w:tcW w:w="851" w:type="dxa"/>
            <w:shd w:val="clear" w:color="auto" w:fill="auto"/>
            <w:vAlign w:val="center"/>
          </w:tcPr>
          <w:p w:rsidR="003B1271" w:rsidRPr="008F339D" w:rsidRDefault="003B1271" w:rsidP="00322BE2">
            <w:pPr>
              <w:widowControl w:val="0"/>
              <w:tabs>
                <w:tab w:val="left" w:pos="622"/>
              </w:tabs>
              <w:spacing w:after="0" w:line="240" w:lineRule="auto"/>
              <w:rPr>
                <w:rFonts w:ascii="Times New Roman" w:eastAsia="AngsanaUPC" w:hAnsi="Times New Roman"/>
                <w:bCs/>
                <w:sz w:val="18"/>
                <w:szCs w:val="18"/>
                <w:lang w:eastAsia="lt-LT"/>
              </w:rPr>
            </w:pPr>
            <w:r w:rsidRPr="008F339D">
              <w:rPr>
                <w:rFonts w:ascii="Times New Roman" w:eastAsia="AngsanaUPC" w:hAnsi="Times New Roman"/>
                <w:bCs/>
                <w:sz w:val="18"/>
                <w:szCs w:val="18"/>
                <w:lang w:eastAsia="lt-LT"/>
              </w:rPr>
              <w:t>SaF</w:t>
            </w:r>
          </w:p>
        </w:tc>
        <w:tc>
          <w:tcPr>
            <w:tcW w:w="709" w:type="dxa"/>
            <w:shd w:val="clear" w:color="auto" w:fill="auto"/>
            <w:vAlign w:val="center"/>
          </w:tcPr>
          <w:p w:rsidR="003B1271" w:rsidRPr="00C76808" w:rsidRDefault="003B1271" w:rsidP="00322BE2">
            <w:pPr>
              <w:widowControl w:val="0"/>
              <w:tabs>
                <w:tab w:val="left" w:pos="622"/>
              </w:tabs>
              <w:spacing w:after="0" w:line="240" w:lineRule="auto"/>
              <w:rPr>
                <w:rFonts w:ascii="Times New Roman" w:eastAsia="AngsanaUPC" w:hAnsi="Times New Roman"/>
                <w:bCs/>
                <w:sz w:val="18"/>
                <w:szCs w:val="18"/>
                <w:lang w:val="en-GB" w:eastAsia="lt-LT"/>
              </w:rPr>
            </w:pPr>
            <w:r w:rsidRPr="00C76808">
              <w:rPr>
                <w:rFonts w:ascii="Times New Roman" w:eastAsia="AngsanaUPC" w:hAnsi="Times New Roman"/>
                <w:bCs/>
                <w:sz w:val="18"/>
                <w:szCs w:val="18"/>
                <w:lang w:val="en-GB" w:eastAsia="lt-LT"/>
              </w:rPr>
              <w:t>19</w:t>
            </w:r>
          </w:p>
        </w:tc>
        <w:tc>
          <w:tcPr>
            <w:tcW w:w="6378" w:type="dxa"/>
            <w:shd w:val="clear" w:color="auto" w:fill="auto"/>
            <w:vAlign w:val="center"/>
          </w:tcPr>
          <w:p w:rsidR="003B1271" w:rsidRPr="00C76808" w:rsidRDefault="003B1271" w:rsidP="00322BE2">
            <w:pPr>
              <w:widowControl w:val="0"/>
              <w:tabs>
                <w:tab w:val="left" w:pos="622"/>
              </w:tabs>
              <w:spacing w:after="0" w:line="240" w:lineRule="auto"/>
              <w:rPr>
                <w:rFonts w:ascii="Times New Roman" w:eastAsia="AngsanaUPC" w:hAnsi="Times New Roman"/>
                <w:bCs/>
                <w:sz w:val="18"/>
                <w:szCs w:val="18"/>
                <w:lang w:eastAsia="lt-LT"/>
              </w:rPr>
            </w:pPr>
            <w:r w:rsidRPr="00C76808">
              <w:rPr>
                <w:rFonts w:ascii="Times New Roman" w:eastAsia="AngsanaUPC" w:hAnsi="Times New Roman"/>
                <w:bCs/>
                <w:sz w:val="18"/>
                <w:szCs w:val="18"/>
                <w:lang w:eastAsia="lt-LT"/>
              </w:rPr>
              <w:t>Komercinių, pramonės ar pavojingų atliekų tvarkymas</w:t>
            </w:r>
          </w:p>
        </w:tc>
        <w:tc>
          <w:tcPr>
            <w:tcW w:w="1843" w:type="dxa"/>
            <w:shd w:val="clear" w:color="auto" w:fill="auto"/>
            <w:vAlign w:val="center"/>
          </w:tcPr>
          <w:p w:rsidR="003B1271" w:rsidRPr="00FC6264" w:rsidRDefault="00FE6452" w:rsidP="00FE6452">
            <w:pPr>
              <w:widowControl w:val="0"/>
              <w:tabs>
                <w:tab w:val="left" w:pos="622"/>
              </w:tabs>
              <w:spacing w:after="0" w:line="240" w:lineRule="auto"/>
              <w:jc w:val="right"/>
              <w:rPr>
                <w:rFonts w:ascii="Times New Roman" w:eastAsia="AngsanaUPC" w:hAnsi="Times New Roman"/>
                <w:bCs/>
                <w:sz w:val="18"/>
                <w:szCs w:val="18"/>
                <w:lang w:val="en-GB" w:eastAsia="lt-LT"/>
              </w:rPr>
            </w:pPr>
            <w:r w:rsidRPr="00FC6264">
              <w:rPr>
                <w:rFonts w:ascii="Times New Roman" w:eastAsia="AngsanaUPC" w:hAnsi="Times New Roman"/>
                <w:bCs/>
                <w:sz w:val="18"/>
                <w:szCs w:val="18"/>
                <w:lang w:val="en-GB" w:eastAsia="lt-LT"/>
              </w:rPr>
              <w:t>18</w:t>
            </w:r>
            <w:r w:rsidR="00C76808"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927</w:t>
            </w:r>
            <w:r w:rsidR="00C76808"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526</w:t>
            </w:r>
          </w:p>
        </w:tc>
      </w:tr>
      <w:tr w:rsidR="003B1271" w:rsidRPr="00C76808" w:rsidTr="003D4200">
        <w:tc>
          <w:tcPr>
            <w:tcW w:w="851" w:type="dxa"/>
            <w:shd w:val="clear" w:color="auto" w:fill="auto"/>
            <w:vAlign w:val="center"/>
          </w:tcPr>
          <w:p w:rsidR="003B1271" w:rsidRPr="008F339D" w:rsidRDefault="003B1271" w:rsidP="00322BE2">
            <w:pPr>
              <w:widowControl w:val="0"/>
              <w:tabs>
                <w:tab w:val="left" w:pos="622"/>
              </w:tabs>
              <w:spacing w:after="0" w:line="240" w:lineRule="auto"/>
              <w:rPr>
                <w:rFonts w:ascii="Times New Roman" w:eastAsia="AngsanaUPC" w:hAnsi="Times New Roman"/>
                <w:bCs/>
                <w:sz w:val="18"/>
                <w:szCs w:val="18"/>
                <w:lang w:eastAsia="lt-LT"/>
              </w:rPr>
            </w:pPr>
            <w:r w:rsidRPr="008F339D">
              <w:rPr>
                <w:rFonts w:ascii="Times New Roman" w:eastAsia="AngsanaUPC" w:hAnsi="Times New Roman"/>
                <w:bCs/>
                <w:sz w:val="18"/>
                <w:szCs w:val="18"/>
                <w:lang w:eastAsia="lt-LT"/>
              </w:rPr>
              <w:t>SaF</w:t>
            </w:r>
          </w:p>
        </w:tc>
        <w:tc>
          <w:tcPr>
            <w:tcW w:w="709" w:type="dxa"/>
            <w:shd w:val="clear" w:color="auto" w:fill="auto"/>
            <w:vAlign w:val="center"/>
          </w:tcPr>
          <w:p w:rsidR="003B1271" w:rsidRPr="00C76808" w:rsidRDefault="003B1271" w:rsidP="00322BE2">
            <w:pPr>
              <w:widowControl w:val="0"/>
              <w:tabs>
                <w:tab w:val="left" w:pos="622"/>
              </w:tabs>
              <w:spacing w:after="0" w:line="240" w:lineRule="auto"/>
              <w:rPr>
                <w:rFonts w:ascii="Times New Roman" w:eastAsia="AngsanaUPC" w:hAnsi="Times New Roman"/>
                <w:bCs/>
                <w:sz w:val="18"/>
                <w:szCs w:val="18"/>
                <w:lang w:val="en-GB" w:eastAsia="lt-LT"/>
              </w:rPr>
            </w:pPr>
            <w:r w:rsidRPr="00C76808">
              <w:rPr>
                <w:rFonts w:ascii="Times New Roman" w:eastAsia="AngsanaUPC" w:hAnsi="Times New Roman"/>
                <w:bCs/>
                <w:sz w:val="18"/>
                <w:szCs w:val="18"/>
                <w:lang w:val="en-GB" w:eastAsia="lt-LT"/>
              </w:rPr>
              <w:t>20</w:t>
            </w:r>
          </w:p>
        </w:tc>
        <w:tc>
          <w:tcPr>
            <w:tcW w:w="6378" w:type="dxa"/>
            <w:shd w:val="clear" w:color="auto" w:fill="auto"/>
            <w:vAlign w:val="center"/>
          </w:tcPr>
          <w:p w:rsidR="003B1271" w:rsidRPr="00C76808" w:rsidRDefault="003B1271" w:rsidP="003B1271">
            <w:pPr>
              <w:widowControl w:val="0"/>
              <w:tabs>
                <w:tab w:val="left" w:pos="622"/>
              </w:tabs>
              <w:spacing w:after="0" w:line="240" w:lineRule="auto"/>
              <w:rPr>
                <w:rFonts w:ascii="Times New Roman" w:eastAsia="AngsanaUPC" w:hAnsi="Times New Roman"/>
                <w:bCs/>
                <w:sz w:val="18"/>
                <w:szCs w:val="18"/>
                <w:lang w:eastAsia="lt-LT"/>
              </w:rPr>
            </w:pPr>
            <w:r w:rsidRPr="00C76808">
              <w:rPr>
                <w:rFonts w:ascii="Times New Roman" w:eastAsia="AngsanaUPC" w:hAnsi="Times New Roman"/>
                <w:bCs/>
                <w:sz w:val="18"/>
                <w:szCs w:val="18"/>
                <w:lang w:eastAsia="lt-LT"/>
              </w:rPr>
              <w:t>Aprūpinimas žmonėms vartoti skirtu vandeniu (išgavimo, apdorojimo, laikymo ir skirstymo infrastruktūra)</w:t>
            </w:r>
          </w:p>
        </w:tc>
        <w:tc>
          <w:tcPr>
            <w:tcW w:w="1843" w:type="dxa"/>
            <w:shd w:val="clear" w:color="auto" w:fill="auto"/>
            <w:vAlign w:val="center"/>
          </w:tcPr>
          <w:p w:rsidR="003B1271" w:rsidRPr="00FC6264" w:rsidRDefault="00FE6452" w:rsidP="00FE6452">
            <w:pPr>
              <w:widowControl w:val="0"/>
              <w:tabs>
                <w:tab w:val="left" w:pos="622"/>
              </w:tabs>
              <w:spacing w:after="0" w:line="240" w:lineRule="auto"/>
              <w:jc w:val="right"/>
              <w:rPr>
                <w:rFonts w:ascii="Times New Roman" w:eastAsia="AngsanaUPC" w:hAnsi="Times New Roman"/>
                <w:bCs/>
                <w:sz w:val="18"/>
                <w:szCs w:val="18"/>
                <w:lang w:val="en-GB" w:eastAsia="lt-LT"/>
              </w:rPr>
            </w:pPr>
            <w:r w:rsidRPr="00FC6264">
              <w:rPr>
                <w:rFonts w:ascii="Times New Roman" w:eastAsia="AngsanaUPC" w:hAnsi="Times New Roman"/>
                <w:bCs/>
                <w:sz w:val="18"/>
                <w:szCs w:val="18"/>
                <w:lang w:val="en-GB" w:eastAsia="lt-LT"/>
              </w:rPr>
              <w:t>4</w:t>
            </w:r>
            <w:r w:rsidR="003B1271" w:rsidRPr="00FC6264">
              <w:rPr>
                <w:rFonts w:ascii="Times New Roman" w:eastAsia="AngsanaUPC" w:hAnsi="Times New Roman"/>
                <w:bCs/>
                <w:sz w:val="18"/>
                <w:szCs w:val="18"/>
                <w:lang w:val="en-GB" w:eastAsia="lt-LT"/>
              </w:rPr>
              <w:t>0</w:t>
            </w:r>
            <w:r w:rsidR="00C76808"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961</w:t>
            </w:r>
            <w:r w:rsidR="00C76808"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513</w:t>
            </w:r>
          </w:p>
        </w:tc>
      </w:tr>
      <w:tr w:rsidR="003B1271" w:rsidRPr="00C76808" w:rsidTr="003D4200">
        <w:tc>
          <w:tcPr>
            <w:tcW w:w="851" w:type="dxa"/>
            <w:shd w:val="clear" w:color="auto" w:fill="auto"/>
            <w:vAlign w:val="center"/>
          </w:tcPr>
          <w:p w:rsidR="003B1271" w:rsidRPr="008F339D" w:rsidRDefault="003B1271" w:rsidP="00322BE2">
            <w:pPr>
              <w:widowControl w:val="0"/>
              <w:tabs>
                <w:tab w:val="left" w:pos="622"/>
              </w:tabs>
              <w:spacing w:after="0" w:line="240" w:lineRule="auto"/>
              <w:rPr>
                <w:rFonts w:ascii="Times New Roman" w:eastAsia="AngsanaUPC" w:hAnsi="Times New Roman"/>
                <w:bCs/>
                <w:sz w:val="18"/>
                <w:szCs w:val="18"/>
                <w:lang w:eastAsia="lt-LT"/>
              </w:rPr>
            </w:pPr>
            <w:r w:rsidRPr="008F339D">
              <w:rPr>
                <w:rFonts w:ascii="Times New Roman" w:eastAsia="AngsanaUPC" w:hAnsi="Times New Roman"/>
                <w:bCs/>
                <w:sz w:val="18"/>
                <w:szCs w:val="18"/>
                <w:lang w:eastAsia="lt-LT"/>
              </w:rPr>
              <w:t>SaF</w:t>
            </w:r>
          </w:p>
        </w:tc>
        <w:tc>
          <w:tcPr>
            <w:tcW w:w="709" w:type="dxa"/>
            <w:shd w:val="clear" w:color="auto" w:fill="auto"/>
            <w:vAlign w:val="center"/>
          </w:tcPr>
          <w:p w:rsidR="003B1271" w:rsidRPr="00C76808" w:rsidRDefault="003B1271" w:rsidP="00322BE2">
            <w:pPr>
              <w:widowControl w:val="0"/>
              <w:tabs>
                <w:tab w:val="left" w:pos="622"/>
              </w:tabs>
              <w:spacing w:after="0" w:line="240" w:lineRule="auto"/>
              <w:rPr>
                <w:rFonts w:ascii="Times New Roman" w:eastAsia="AngsanaUPC" w:hAnsi="Times New Roman"/>
                <w:bCs/>
                <w:sz w:val="18"/>
                <w:szCs w:val="18"/>
                <w:lang w:val="en-GB" w:eastAsia="lt-LT"/>
              </w:rPr>
            </w:pPr>
            <w:r w:rsidRPr="00C76808">
              <w:rPr>
                <w:rFonts w:ascii="Times New Roman" w:eastAsia="AngsanaUPC" w:hAnsi="Times New Roman"/>
                <w:bCs/>
                <w:sz w:val="18"/>
                <w:szCs w:val="18"/>
                <w:lang w:val="en-GB" w:eastAsia="lt-LT"/>
              </w:rPr>
              <w:t>21</w:t>
            </w:r>
          </w:p>
        </w:tc>
        <w:tc>
          <w:tcPr>
            <w:tcW w:w="6378" w:type="dxa"/>
            <w:shd w:val="clear" w:color="auto" w:fill="auto"/>
            <w:vAlign w:val="center"/>
          </w:tcPr>
          <w:p w:rsidR="003B1271" w:rsidRPr="00C76808" w:rsidRDefault="003B1271" w:rsidP="003B1271">
            <w:pPr>
              <w:widowControl w:val="0"/>
              <w:tabs>
                <w:tab w:val="left" w:pos="622"/>
              </w:tabs>
              <w:spacing w:after="0" w:line="240" w:lineRule="auto"/>
              <w:rPr>
                <w:rFonts w:ascii="Times New Roman" w:eastAsia="AngsanaUPC" w:hAnsi="Times New Roman"/>
                <w:bCs/>
                <w:sz w:val="18"/>
                <w:szCs w:val="18"/>
                <w:lang w:eastAsia="lt-LT"/>
              </w:rPr>
            </w:pPr>
            <w:r w:rsidRPr="00C76808">
              <w:rPr>
                <w:rFonts w:ascii="Times New Roman" w:eastAsia="AngsanaUPC" w:hAnsi="Times New Roman"/>
                <w:bCs/>
                <w:sz w:val="18"/>
                <w:szCs w:val="18"/>
                <w:lang w:eastAsia="lt-LT"/>
              </w:rPr>
              <w:t xml:space="preserve">Vandentvarka ir geriamojo vandens apsauga </w:t>
            </w:r>
            <w:proofErr w:type="gramStart"/>
            <w:r w:rsidRPr="00C76808">
              <w:rPr>
                <w:rFonts w:ascii="Times New Roman" w:eastAsia="AngsanaUPC" w:hAnsi="Times New Roman"/>
                <w:bCs/>
                <w:sz w:val="18"/>
                <w:szCs w:val="18"/>
                <w:lang w:eastAsia="lt-LT"/>
              </w:rPr>
              <w:t>(</w:t>
            </w:r>
            <w:proofErr w:type="gramEnd"/>
            <w:r w:rsidRPr="00C76808">
              <w:rPr>
                <w:rFonts w:ascii="Times New Roman" w:eastAsia="AngsanaUPC" w:hAnsi="Times New Roman"/>
                <w:bCs/>
                <w:sz w:val="18"/>
                <w:szCs w:val="18"/>
                <w:lang w:eastAsia="lt-LT"/>
              </w:rPr>
              <w:t>įskaitant upių baseinų tvarkymą, vandentieką, specialias prisitaikymo prie klimato kaitos priemones, centralizuotą ir vartotojų apskaitą, apmokestinimo sistemas ir nuotėkio mažinimą</w:t>
            </w:r>
          </w:p>
        </w:tc>
        <w:tc>
          <w:tcPr>
            <w:tcW w:w="1843" w:type="dxa"/>
            <w:shd w:val="clear" w:color="auto" w:fill="auto"/>
            <w:vAlign w:val="center"/>
          </w:tcPr>
          <w:p w:rsidR="003B1271" w:rsidRPr="00FC6264" w:rsidRDefault="00904083" w:rsidP="00FE6452">
            <w:pPr>
              <w:widowControl w:val="0"/>
              <w:tabs>
                <w:tab w:val="left" w:pos="622"/>
              </w:tabs>
              <w:spacing w:after="0" w:line="240" w:lineRule="auto"/>
              <w:jc w:val="right"/>
              <w:rPr>
                <w:rFonts w:ascii="Times New Roman" w:eastAsia="AngsanaUPC" w:hAnsi="Times New Roman"/>
                <w:bCs/>
                <w:sz w:val="18"/>
                <w:szCs w:val="18"/>
                <w:lang w:val="en-GB" w:eastAsia="lt-LT"/>
              </w:rPr>
            </w:pPr>
            <w:r w:rsidRPr="00FC6264">
              <w:rPr>
                <w:rFonts w:ascii="Times New Roman" w:eastAsia="AngsanaUPC" w:hAnsi="Times New Roman"/>
                <w:bCs/>
                <w:sz w:val="18"/>
                <w:szCs w:val="18"/>
                <w:lang w:val="en-GB" w:eastAsia="lt-LT"/>
              </w:rPr>
              <w:t>55</w:t>
            </w:r>
            <w:r w:rsidR="00C76808"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8</w:t>
            </w:r>
            <w:r w:rsidR="00FE6452" w:rsidRPr="00FC6264">
              <w:rPr>
                <w:rFonts w:ascii="Times New Roman" w:eastAsia="AngsanaUPC" w:hAnsi="Times New Roman"/>
                <w:bCs/>
                <w:sz w:val="18"/>
                <w:szCs w:val="18"/>
                <w:lang w:val="en-GB" w:eastAsia="lt-LT"/>
              </w:rPr>
              <w:t>33</w:t>
            </w:r>
            <w:r w:rsidR="00C76808" w:rsidRPr="00FC6264">
              <w:rPr>
                <w:rFonts w:ascii="Times New Roman" w:eastAsia="AngsanaUPC" w:hAnsi="Times New Roman"/>
                <w:bCs/>
                <w:sz w:val="18"/>
                <w:szCs w:val="18"/>
                <w:lang w:val="en-GB" w:eastAsia="lt-LT"/>
              </w:rPr>
              <w:t>.</w:t>
            </w:r>
            <w:r w:rsidR="00FE6452" w:rsidRPr="00FC6264">
              <w:rPr>
                <w:rFonts w:ascii="Times New Roman" w:eastAsia="AngsanaUPC" w:hAnsi="Times New Roman"/>
                <w:bCs/>
                <w:sz w:val="18"/>
                <w:szCs w:val="18"/>
                <w:lang w:val="en-GB" w:eastAsia="lt-LT"/>
              </w:rPr>
              <w:t>642</w:t>
            </w:r>
          </w:p>
        </w:tc>
      </w:tr>
      <w:tr w:rsidR="003B1271" w:rsidRPr="00C76808" w:rsidTr="003D4200">
        <w:tc>
          <w:tcPr>
            <w:tcW w:w="851" w:type="dxa"/>
            <w:shd w:val="clear" w:color="auto" w:fill="auto"/>
            <w:vAlign w:val="center"/>
          </w:tcPr>
          <w:p w:rsidR="003B1271" w:rsidRPr="008F339D" w:rsidRDefault="003B1271" w:rsidP="00322BE2">
            <w:pPr>
              <w:widowControl w:val="0"/>
              <w:tabs>
                <w:tab w:val="left" w:pos="622"/>
              </w:tabs>
              <w:spacing w:after="0" w:line="240" w:lineRule="auto"/>
              <w:rPr>
                <w:rFonts w:ascii="Times New Roman" w:eastAsia="AngsanaUPC" w:hAnsi="Times New Roman"/>
                <w:bCs/>
                <w:sz w:val="18"/>
                <w:szCs w:val="18"/>
                <w:lang w:eastAsia="lt-LT"/>
              </w:rPr>
            </w:pPr>
            <w:r w:rsidRPr="008F339D">
              <w:rPr>
                <w:rFonts w:ascii="Times New Roman" w:eastAsia="AngsanaUPC" w:hAnsi="Times New Roman"/>
                <w:bCs/>
                <w:sz w:val="18"/>
                <w:szCs w:val="18"/>
                <w:lang w:eastAsia="lt-LT"/>
              </w:rPr>
              <w:t>SaF</w:t>
            </w:r>
          </w:p>
        </w:tc>
        <w:tc>
          <w:tcPr>
            <w:tcW w:w="709" w:type="dxa"/>
            <w:shd w:val="clear" w:color="auto" w:fill="auto"/>
            <w:vAlign w:val="center"/>
          </w:tcPr>
          <w:p w:rsidR="003B1271" w:rsidRPr="00C76808" w:rsidRDefault="003B1271" w:rsidP="00322BE2">
            <w:pPr>
              <w:widowControl w:val="0"/>
              <w:tabs>
                <w:tab w:val="left" w:pos="622"/>
              </w:tabs>
              <w:spacing w:after="0" w:line="240" w:lineRule="auto"/>
              <w:rPr>
                <w:rFonts w:ascii="Times New Roman" w:eastAsia="AngsanaUPC" w:hAnsi="Times New Roman"/>
                <w:bCs/>
                <w:sz w:val="18"/>
                <w:szCs w:val="18"/>
                <w:lang w:val="en-GB" w:eastAsia="lt-LT"/>
              </w:rPr>
            </w:pPr>
            <w:r w:rsidRPr="00C76808">
              <w:rPr>
                <w:rFonts w:ascii="Times New Roman" w:eastAsia="AngsanaUPC" w:hAnsi="Times New Roman"/>
                <w:bCs/>
                <w:sz w:val="18"/>
                <w:szCs w:val="18"/>
                <w:lang w:val="en-GB" w:eastAsia="lt-LT"/>
              </w:rPr>
              <w:t>22</w:t>
            </w:r>
          </w:p>
        </w:tc>
        <w:tc>
          <w:tcPr>
            <w:tcW w:w="6378" w:type="dxa"/>
            <w:shd w:val="clear" w:color="auto" w:fill="auto"/>
            <w:vAlign w:val="center"/>
          </w:tcPr>
          <w:p w:rsidR="003B1271" w:rsidRPr="00C76808" w:rsidRDefault="003B1271" w:rsidP="00322BE2">
            <w:pPr>
              <w:widowControl w:val="0"/>
              <w:tabs>
                <w:tab w:val="left" w:pos="622"/>
              </w:tabs>
              <w:spacing w:after="0" w:line="240" w:lineRule="auto"/>
              <w:rPr>
                <w:rFonts w:ascii="Times New Roman" w:eastAsia="AngsanaUPC" w:hAnsi="Times New Roman"/>
                <w:bCs/>
                <w:sz w:val="18"/>
                <w:szCs w:val="18"/>
                <w:lang w:eastAsia="lt-LT"/>
              </w:rPr>
            </w:pPr>
            <w:r w:rsidRPr="00C76808">
              <w:rPr>
                <w:rFonts w:ascii="Times New Roman" w:eastAsia="AngsanaUPC" w:hAnsi="Times New Roman"/>
                <w:bCs/>
                <w:sz w:val="18"/>
                <w:szCs w:val="18"/>
                <w:lang w:eastAsia="lt-LT"/>
              </w:rPr>
              <w:t>Nuotekų tvarkymas</w:t>
            </w:r>
          </w:p>
        </w:tc>
        <w:tc>
          <w:tcPr>
            <w:tcW w:w="1843" w:type="dxa"/>
            <w:shd w:val="clear" w:color="auto" w:fill="auto"/>
            <w:vAlign w:val="center"/>
          </w:tcPr>
          <w:p w:rsidR="003B1271" w:rsidRPr="00FC6264" w:rsidRDefault="00FE6452" w:rsidP="00F626B3">
            <w:pPr>
              <w:widowControl w:val="0"/>
              <w:tabs>
                <w:tab w:val="left" w:pos="622"/>
              </w:tabs>
              <w:spacing w:after="0" w:line="240" w:lineRule="auto"/>
              <w:jc w:val="right"/>
              <w:rPr>
                <w:rFonts w:ascii="Times New Roman" w:eastAsia="AngsanaUPC" w:hAnsi="Times New Roman"/>
                <w:bCs/>
                <w:sz w:val="18"/>
                <w:szCs w:val="18"/>
                <w:lang w:val="en-GB" w:eastAsia="lt-LT"/>
              </w:rPr>
            </w:pPr>
            <w:r w:rsidRPr="00FC6264">
              <w:rPr>
                <w:rFonts w:ascii="Times New Roman" w:eastAsia="AngsanaUPC" w:hAnsi="Times New Roman"/>
                <w:bCs/>
                <w:sz w:val="18"/>
                <w:szCs w:val="18"/>
                <w:lang w:val="en-GB" w:eastAsia="lt-LT"/>
              </w:rPr>
              <w:t>254</w:t>
            </w:r>
            <w:r w:rsidR="00C76808"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113</w:t>
            </w:r>
            <w:r w:rsidR="00C76808"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814</w:t>
            </w:r>
          </w:p>
        </w:tc>
      </w:tr>
      <w:tr w:rsidR="003B1271" w:rsidRPr="00C76808" w:rsidTr="003D4200">
        <w:tc>
          <w:tcPr>
            <w:tcW w:w="851" w:type="dxa"/>
            <w:shd w:val="clear" w:color="auto" w:fill="auto"/>
            <w:vAlign w:val="center"/>
          </w:tcPr>
          <w:p w:rsidR="003B1271" w:rsidRPr="008F339D" w:rsidRDefault="003B1271" w:rsidP="00322BE2">
            <w:pPr>
              <w:widowControl w:val="0"/>
              <w:tabs>
                <w:tab w:val="left" w:pos="622"/>
              </w:tabs>
              <w:spacing w:after="0" w:line="240" w:lineRule="auto"/>
              <w:rPr>
                <w:rFonts w:ascii="Times New Roman" w:eastAsia="AngsanaUPC" w:hAnsi="Times New Roman"/>
                <w:bCs/>
                <w:sz w:val="18"/>
                <w:szCs w:val="18"/>
                <w:lang w:eastAsia="lt-LT"/>
              </w:rPr>
            </w:pPr>
            <w:r w:rsidRPr="008F339D">
              <w:rPr>
                <w:rFonts w:ascii="Times New Roman" w:eastAsia="AngsanaUPC" w:hAnsi="Times New Roman"/>
                <w:bCs/>
                <w:sz w:val="18"/>
                <w:szCs w:val="18"/>
                <w:lang w:eastAsia="lt-LT"/>
              </w:rPr>
              <w:t>ERPF</w:t>
            </w:r>
          </w:p>
        </w:tc>
        <w:tc>
          <w:tcPr>
            <w:tcW w:w="709" w:type="dxa"/>
            <w:shd w:val="clear" w:color="auto" w:fill="auto"/>
            <w:vAlign w:val="center"/>
          </w:tcPr>
          <w:p w:rsidR="003B1271" w:rsidRPr="00C76808" w:rsidRDefault="003B1271" w:rsidP="00322BE2">
            <w:pPr>
              <w:widowControl w:val="0"/>
              <w:tabs>
                <w:tab w:val="left" w:pos="622"/>
              </w:tabs>
              <w:spacing w:after="0" w:line="240" w:lineRule="auto"/>
              <w:rPr>
                <w:rFonts w:ascii="Times New Roman" w:eastAsia="AngsanaUPC" w:hAnsi="Times New Roman"/>
                <w:bCs/>
                <w:sz w:val="18"/>
                <w:szCs w:val="18"/>
                <w:lang w:val="en-GB" w:eastAsia="lt-LT"/>
              </w:rPr>
            </w:pPr>
            <w:r w:rsidRPr="00C76808">
              <w:rPr>
                <w:rFonts w:ascii="Times New Roman" w:eastAsia="AngsanaUPC" w:hAnsi="Times New Roman"/>
                <w:bCs/>
                <w:sz w:val="18"/>
                <w:szCs w:val="18"/>
                <w:lang w:val="en-GB" w:eastAsia="lt-LT"/>
              </w:rPr>
              <w:t>79</w:t>
            </w:r>
          </w:p>
        </w:tc>
        <w:tc>
          <w:tcPr>
            <w:tcW w:w="6378" w:type="dxa"/>
            <w:shd w:val="clear" w:color="auto" w:fill="auto"/>
            <w:vAlign w:val="center"/>
          </w:tcPr>
          <w:p w:rsidR="003B1271" w:rsidRPr="00C76808" w:rsidRDefault="003B1271" w:rsidP="003B1271">
            <w:pPr>
              <w:widowControl w:val="0"/>
              <w:tabs>
                <w:tab w:val="left" w:pos="622"/>
              </w:tabs>
              <w:spacing w:after="0" w:line="240" w:lineRule="auto"/>
              <w:rPr>
                <w:rFonts w:ascii="Times New Roman" w:eastAsia="AngsanaUPC" w:hAnsi="Times New Roman"/>
                <w:bCs/>
                <w:sz w:val="18"/>
                <w:szCs w:val="18"/>
                <w:lang w:eastAsia="lt-LT"/>
              </w:rPr>
            </w:pPr>
            <w:r w:rsidRPr="00C76808">
              <w:rPr>
                <w:rFonts w:ascii="Times New Roman" w:eastAsia="AngsanaUPC" w:hAnsi="Times New Roman"/>
                <w:bCs/>
                <w:sz w:val="18"/>
                <w:szCs w:val="18"/>
                <w:lang w:eastAsia="lt-LT"/>
              </w:rPr>
              <w:t>Prieiga prie viešojo sektoriaus informacijos (įskaitant atvirųjų duomenų e. kultūrą, skaitmenines bibliotekas, e. turinį ir e. turizmą)</w:t>
            </w:r>
          </w:p>
        </w:tc>
        <w:tc>
          <w:tcPr>
            <w:tcW w:w="1843" w:type="dxa"/>
            <w:shd w:val="clear" w:color="auto" w:fill="auto"/>
            <w:vAlign w:val="center"/>
          </w:tcPr>
          <w:p w:rsidR="003B1271" w:rsidRPr="00FC6264" w:rsidRDefault="00FE6452" w:rsidP="00FE6452">
            <w:pPr>
              <w:widowControl w:val="0"/>
              <w:tabs>
                <w:tab w:val="left" w:pos="622"/>
              </w:tabs>
              <w:spacing w:after="0" w:line="240" w:lineRule="auto"/>
              <w:jc w:val="right"/>
              <w:rPr>
                <w:rFonts w:ascii="Times New Roman" w:eastAsia="AngsanaUPC" w:hAnsi="Times New Roman"/>
                <w:bCs/>
                <w:sz w:val="18"/>
                <w:szCs w:val="18"/>
                <w:lang w:val="en-GB" w:eastAsia="lt-LT"/>
              </w:rPr>
            </w:pPr>
            <w:r w:rsidRPr="00FC6264">
              <w:rPr>
                <w:rFonts w:ascii="Times New Roman" w:eastAsia="AngsanaUPC" w:hAnsi="Times New Roman"/>
                <w:bCs/>
                <w:sz w:val="18"/>
                <w:szCs w:val="18"/>
                <w:lang w:val="en-GB" w:eastAsia="lt-LT"/>
              </w:rPr>
              <w:t>7</w:t>
            </w:r>
            <w:r w:rsidR="00C76808"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124</w:t>
            </w:r>
            <w:r w:rsidR="00C76808"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584</w:t>
            </w:r>
          </w:p>
        </w:tc>
      </w:tr>
      <w:tr w:rsidR="003B1271" w:rsidRPr="00C76808" w:rsidTr="003D4200">
        <w:tc>
          <w:tcPr>
            <w:tcW w:w="851" w:type="dxa"/>
            <w:shd w:val="clear" w:color="auto" w:fill="auto"/>
            <w:vAlign w:val="center"/>
          </w:tcPr>
          <w:p w:rsidR="003B1271" w:rsidRPr="008F339D" w:rsidRDefault="003B1271" w:rsidP="00322BE2">
            <w:pPr>
              <w:widowControl w:val="0"/>
              <w:tabs>
                <w:tab w:val="left" w:pos="622"/>
              </w:tabs>
              <w:spacing w:after="0" w:line="240" w:lineRule="auto"/>
              <w:rPr>
                <w:rFonts w:ascii="Times New Roman" w:eastAsia="AngsanaUPC" w:hAnsi="Times New Roman"/>
                <w:bCs/>
                <w:sz w:val="18"/>
                <w:szCs w:val="18"/>
                <w:lang w:eastAsia="lt-LT"/>
              </w:rPr>
            </w:pPr>
            <w:r w:rsidRPr="008F339D">
              <w:rPr>
                <w:rFonts w:ascii="Times New Roman" w:eastAsia="AngsanaUPC" w:hAnsi="Times New Roman"/>
                <w:bCs/>
                <w:sz w:val="18"/>
                <w:szCs w:val="18"/>
                <w:lang w:eastAsia="lt-LT"/>
              </w:rPr>
              <w:t>SaF</w:t>
            </w:r>
          </w:p>
        </w:tc>
        <w:tc>
          <w:tcPr>
            <w:tcW w:w="709" w:type="dxa"/>
            <w:shd w:val="clear" w:color="auto" w:fill="auto"/>
            <w:vAlign w:val="center"/>
          </w:tcPr>
          <w:p w:rsidR="003B1271" w:rsidRPr="00C76808" w:rsidRDefault="003B1271" w:rsidP="00322BE2">
            <w:pPr>
              <w:widowControl w:val="0"/>
              <w:tabs>
                <w:tab w:val="left" w:pos="622"/>
              </w:tabs>
              <w:spacing w:after="0" w:line="240" w:lineRule="auto"/>
              <w:rPr>
                <w:rFonts w:ascii="Times New Roman" w:eastAsia="AngsanaUPC" w:hAnsi="Times New Roman"/>
                <w:bCs/>
                <w:sz w:val="18"/>
                <w:szCs w:val="18"/>
                <w:lang w:val="en-GB" w:eastAsia="lt-LT"/>
              </w:rPr>
            </w:pPr>
            <w:r w:rsidRPr="00C76808">
              <w:rPr>
                <w:rFonts w:ascii="Times New Roman" w:eastAsia="AngsanaUPC" w:hAnsi="Times New Roman"/>
                <w:bCs/>
                <w:sz w:val="18"/>
                <w:szCs w:val="18"/>
                <w:lang w:val="en-GB" w:eastAsia="lt-LT"/>
              </w:rPr>
              <w:t>83</w:t>
            </w:r>
          </w:p>
        </w:tc>
        <w:tc>
          <w:tcPr>
            <w:tcW w:w="6378" w:type="dxa"/>
            <w:shd w:val="clear" w:color="auto" w:fill="auto"/>
            <w:vAlign w:val="center"/>
          </w:tcPr>
          <w:p w:rsidR="003B1271" w:rsidRPr="00C76808" w:rsidRDefault="003B1271" w:rsidP="00322BE2">
            <w:pPr>
              <w:widowControl w:val="0"/>
              <w:tabs>
                <w:tab w:val="left" w:pos="622"/>
              </w:tabs>
              <w:spacing w:after="0" w:line="240" w:lineRule="auto"/>
              <w:rPr>
                <w:rFonts w:ascii="Times New Roman" w:eastAsia="AngsanaUPC" w:hAnsi="Times New Roman"/>
                <w:bCs/>
                <w:sz w:val="18"/>
                <w:szCs w:val="18"/>
                <w:lang w:eastAsia="lt-LT"/>
              </w:rPr>
            </w:pPr>
            <w:r w:rsidRPr="00C76808">
              <w:rPr>
                <w:rFonts w:ascii="Times New Roman" w:eastAsia="AngsanaUPC" w:hAnsi="Times New Roman"/>
                <w:bCs/>
                <w:sz w:val="18"/>
                <w:szCs w:val="18"/>
                <w:lang w:eastAsia="lt-LT"/>
              </w:rPr>
              <w:t>Oro kokybės gerinimo priemonės</w:t>
            </w:r>
          </w:p>
        </w:tc>
        <w:tc>
          <w:tcPr>
            <w:tcW w:w="1843" w:type="dxa"/>
            <w:shd w:val="clear" w:color="auto" w:fill="auto"/>
            <w:vAlign w:val="center"/>
          </w:tcPr>
          <w:p w:rsidR="003B1271" w:rsidRPr="00FC6264" w:rsidRDefault="00FE6452" w:rsidP="00FE6452">
            <w:pPr>
              <w:widowControl w:val="0"/>
              <w:tabs>
                <w:tab w:val="left" w:pos="622"/>
              </w:tabs>
              <w:spacing w:after="0" w:line="240" w:lineRule="auto"/>
              <w:jc w:val="right"/>
              <w:rPr>
                <w:rFonts w:ascii="Times New Roman" w:eastAsia="AngsanaUPC" w:hAnsi="Times New Roman"/>
                <w:bCs/>
                <w:sz w:val="18"/>
                <w:szCs w:val="18"/>
                <w:lang w:val="en-GB" w:eastAsia="lt-LT"/>
              </w:rPr>
            </w:pPr>
            <w:r w:rsidRPr="00FC6264">
              <w:rPr>
                <w:rFonts w:ascii="Times New Roman" w:eastAsia="AngsanaUPC" w:hAnsi="Times New Roman"/>
                <w:bCs/>
                <w:sz w:val="18"/>
                <w:szCs w:val="18"/>
                <w:lang w:val="en-GB" w:eastAsia="lt-LT"/>
              </w:rPr>
              <w:t>6</w:t>
            </w:r>
            <w:r w:rsidR="00C76808"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641</w:t>
            </w:r>
            <w:r w:rsidR="00C76808"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666</w:t>
            </w:r>
          </w:p>
        </w:tc>
      </w:tr>
      <w:tr w:rsidR="003B1271" w:rsidRPr="00C76808" w:rsidTr="003D4200">
        <w:tc>
          <w:tcPr>
            <w:tcW w:w="851" w:type="dxa"/>
            <w:shd w:val="clear" w:color="auto" w:fill="auto"/>
            <w:vAlign w:val="center"/>
          </w:tcPr>
          <w:p w:rsidR="003B1271" w:rsidRPr="008F339D" w:rsidRDefault="003B1271" w:rsidP="00322BE2">
            <w:pPr>
              <w:widowControl w:val="0"/>
              <w:tabs>
                <w:tab w:val="left" w:pos="622"/>
              </w:tabs>
              <w:spacing w:after="0" w:line="240" w:lineRule="auto"/>
              <w:rPr>
                <w:rFonts w:ascii="Times New Roman" w:eastAsia="AngsanaUPC" w:hAnsi="Times New Roman"/>
                <w:bCs/>
                <w:sz w:val="18"/>
                <w:szCs w:val="18"/>
                <w:lang w:eastAsia="lt-LT"/>
              </w:rPr>
            </w:pPr>
            <w:r w:rsidRPr="008F339D">
              <w:rPr>
                <w:rFonts w:ascii="Times New Roman" w:eastAsia="AngsanaUPC" w:hAnsi="Times New Roman"/>
                <w:bCs/>
                <w:sz w:val="18"/>
                <w:szCs w:val="18"/>
                <w:lang w:eastAsia="lt-LT"/>
              </w:rPr>
              <w:t>SaF</w:t>
            </w:r>
          </w:p>
        </w:tc>
        <w:tc>
          <w:tcPr>
            <w:tcW w:w="709" w:type="dxa"/>
            <w:shd w:val="clear" w:color="auto" w:fill="auto"/>
            <w:vAlign w:val="center"/>
          </w:tcPr>
          <w:p w:rsidR="003B1271" w:rsidRPr="00C76808" w:rsidRDefault="003B1271" w:rsidP="00322BE2">
            <w:pPr>
              <w:widowControl w:val="0"/>
              <w:tabs>
                <w:tab w:val="left" w:pos="622"/>
              </w:tabs>
              <w:spacing w:after="0" w:line="240" w:lineRule="auto"/>
              <w:rPr>
                <w:rFonts w:ascii="Times New Roman" w:eastAsia="AngsanaUPC" w:hAnsi="Times New Roman"/>
                <w:bCs/>
                <w:sz w:val="18"/>
                <w:szCs w:val="18"/>
                <w:lang w:val="en-GB" w:eastAsia="lt-LT"/>
              </w:rPr>
            </w:pPr>
            <w:r w:rsidRPr="00C76808">
              <w:rPr>
                <w:rFonts w:ascii="Times New Roman" w:eastAsia="AngsanaUPC" w:hAnsi="Times New Roman"/>
                <w:bCs/>
                <w:sz w:val="18"/>
                <w:szCs w:val="18"/>
                <w:lang w:val="en-GB" w:eastAsia="lt-LT"/>
              </w:rPr>
              <w:t>84</w:t>
            </w:r>
          </w:p>
        </w:tc>
        <w:tc>
          <w:tcPr>
            <w:tcW w:w="6378" w:type="dxa"/>
            <w:shd w:val="clear" w:color="auto" w:fill="auto"/>
            <w:vAlign w:val="center"/>
          </w:tcPr>
          <w:p w:rsidR="003B1271" w:rsidRPr="00C76808" w:rsidRDefault="003B1271" w:rsidP="00322BE2">
            <w:pPr>
              <w:widowControl w:val="0"/>
              <w:tabs>
                <w:tab w:val="left" w:pos="622"/>
              </w:tabs>
              <w:spacing w:after="0" w:line="240" w:lineRule="auto"/>
              <w:rPr>
                <w:rFonts w:ascii="Times New Roman" w:eastAsia="AngsanaUPC" w:hAnsi="Times New Roman"/>
                <w:bCs/>
                <w:sz w:val="18"/>
                <w:szCs w:val="18"/>
                <w:lang w:eastAsia="lt-LT"/>
              </w:rPr>
            </w:pPr>
            <w:r w:rsidRPr="00C76808">
              <w:rPr>
                <w:rFonts w:ascii="Times New Roman" w:eastAsia="AngsanaUPC" w:hAnsi="Times New Roman"/>
                <w:bCs/>
                <w:sz w:val="18"/>
                <w:szCs w:val="18"/>
                <w:lang w:eastAsia="lt-LT"/>
              </w:rPr>
              <w:t>Integruota taršos prevencija ir kontrolė (IPPC)</w:t>
            </w:r>
          </w:p>
        </w:tc>
        <w:tc>
          <w:tcPr>
            <w:tcW w:w="1843" w:type="dxa"/>
            <w:shd w:val="clear" w:color="auto" w:fill="auto"/>
            <w:vAlign w:val="center"/>
          </w:tcPr>
          <w:p w:rsidR="003B1271" w:rsidRPr="00FC6264" w:rsidRDefault="00FE6452" w:rsidP="00F626B3">
            <w:pPr>
              <w:widowControl w:val="0"/>
              <w:tabs>
                <w:tab w:val="left" w:pos="622"/>
              </w:tabs>
              <w:spacing w:after="0" w:line="240" w:lineRule="auto"/>
              <w:jc w:val="right"/>
              <w:rPr>
                <w:rFonts w:ascii="Times New Roman" w:eastAsia="AngsanaUPC" w:hAnsi="Times New Roman"/>
                <w:bCs/>
                <w:sz w:val="18"/>
                <w:szCs w:val="18"/>
                <w:lang w:val="en-GB" w:eastAsia="lt-LT"/>
              </w:rPr>
            </w:pPr>
            <w:r w:rsidRPr="00FC6264">
              <w:rPr>
                <w:rFonts w:ascii="Times New Roman" w:eastAsia="AngsanaUPC" w:hAnsi="Times New Roman"/>
                <w:bCs/>
                <w:sz w:val="18"/>
                <w:szCs w:val="18"/>
                <w:lang w:val="en-GB" w:eastAsia="lt-LT"/>
              </w:rPr>
              <w:t>7</w:t>
            </w:r>
            <w:r w:rsidR="00C76808"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630</w:t>
            </w:r>
            <w:r w:rsidR="00C76808"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361</w:t>
            </w:r>
          </w:p>
        </w:tc>
      </w:tr>
      <w:tr w:rsidR="003B1271" w:rsidRPr="00C76808" w:rsidTr="003D4200">
        <w:tc>
          <w:tcPr>
            <w:tcW w:w="851" w:type="dxa"/>
            <w:shd w:val="clear" w:color="auto" w:fill="auto"/>
            <w:vAlign w:val="center"/>
          </w:tcPr>
          <w:p w:rsidR="003B1271" w:rsidRPr="008F339D" w:rsidRDefault="003B1271" w:rsidP="00322BE2">
            <w:pPr>
              <w:widowControl w:val="0"/>
              <w:tabs>
                <w:tab w:val="left" w:pos="622"/>
              </w:tabs>
              <w:spacing w:after="0" w:line="240" w:lineRule="auto"/>
              <w:rPr>
                <w:rFonts w:ascii="Times New Roman" w:eastAsia="AngsanaUPC" w:hAnsi="Times New Roman"/>
                <w:bCs/>
                <w:sz w:val="18"/>
                <w:szCs w:val="18"/>
                <w:lang w:eastAsia="lt-LT"/>
              </w:rPr>
            </w:pPr>
            <w:r w:rsidRPr="008F339D">
              <w:rPr>
                <w:rFonts w:ascii="Times New Roman" w:eastAsia="AngsanaUPC" w:hAnsi="Times New Roman"/>
                <w:bCs/>
                <w:sz w:val="18"/>
                <w:szCs w:val="18"/>
                <w:lang w:eastAsia="lt-LT"/>
              </w:rPr>
              <w:t>SaF</w:t>
            </w:r>
          </w:p>
        </w:tc>
        <w:tc>
          <w:tcPr>
            <w:tcW w:w="709" w:type="dxa"/>
            <w:shd w:val="clear" w:color="auto" w:fill="auto"/>
            <w:vAlign w:val="center"/>
          </w:tcPr>
          <w:p w:rsidR="003B1271" w:rsidRPr="00C76808" w:rsidRDefault="003B1271" w:rsidP="00322BE2">
            <w:pPr>
              <w:widowControl w:val="0"/>
              <w:tabs>
                <w:tab w:val="left" w:pos="622"/>
              </w:tabs>
              <w:spacing w:after="0" w:line="240" w:lineRule="auto"/>
              <w:rPr>
                <w:rFonts w:ascii="Times New Roman" w:eastAsia="AngsanaUPC" w:hAnsi="Times New Roman"/>
                <w:bCs/>
                <w:sz w:val="18"/>
                <w:szCs w:val="18"/>
                <w:lang w:val="en-GB" w:eastAsia="lt-LT"/>
              </w:rPr>
            </w:pPr>
            <w:r w:rsidRPr="00C76808">
              <w:rPr>
                <w:rFonts w:ascii="Times New Roman" w:eastAsia="AngsanaUPC" w:hAnsi="Times New Roman"/>
                <w:bCs/>
                <w:sz w:val="18"/>
                <w:szCs w:val="18"/>
                <w:lang w:val="en-GB" w:eastAsia="lt-LT"/>
              </w:rPr>
              <w:t>85</w:t>
            </w:r>
          </w:p>
        </w:tc>
        <w:tc>
          <w:tcPr>
            <w:tcW w:w="6378" w:type="dxa"/>
            <w:shd w:val="clear" w:color="auto" w:fill="auto"/>
            <w:vAlign w:val="center"/>
          </w:tcPr>
          <w:p w:rsidR="003B1271" w:rsidRPr="00C76808" w:rsidRDefault="003B1271" w:rsidP="00322BE2">
            <w:pPr>
              <w:widowControl w:val="0"/>
              <w:tabs>
                <w:tab w:val="left" w:pos="622"/>
              </w:tabs>
              <w:spacing w:after="0" w:line="240" w:lineRule="auto"/>
              <w:rPr>
                <w:rFonts w:ascii="Times New Roman" w:eastAsia="AngsanaUPC" w:hAnsi="Times New Roman"/>
                <w:bCs/>
                <w:sz w:val="18"/>
                <w:szCs w:val="18"/>
                <w:lang w:eastAsia="lt-LT"/>
              </w:rPr>
            </w:pPr>
            <w:r w:rsidRPr="00C76808">
              <w:rPr>
                <w:rFonts w:ascii="Times New Roman" w:eastAsia="AngsanaUPC" w:hAnsi="Times New Roman"/>
                <w:bCs/>
                <w:sz w:val="18"/>
                <w:szCs w:val="18"/>
                <w:lang w:eastAsia="lt-LT"/>
              </w:rPr>
              <w:t>Biologinės įvairovės apsauga ir didinimas, gamtos apsauga ir žalioji infrastruktūra</w:t>
            </w:r>
          </w:p>
        </w:tc>
        <w:tc>
          <w:tcPr>
            <w:tcW w:w="1843" w:type="dxa"/>
            <w:shd w:val="clear" w:color="auto" w:fill="auto"/>
            <w:vAlign w:val="center"/>
          </w:tcPr>
          <w:p w:rsidR="003B1271" w:rsidRPr="00FC6264" w:rsidRDefault="003B1271" w:rsidP="00FE6452">
            <w:pPr>
              <w:widowControl w:val="0"/>
              <w:tabs>
                <w:tab w:val="left" w:pos="622"/>
              </w:tabs>
              <w:spacing w:after="0" w:line="240" w:lineRule="auto"/>
              <w:jc w:val="right"/>
              <w:rPr>
                <w:rFonts w:ascii="Times New Roman" w:eastAsia="AngsanaUPC" w:hAnsi="Times New Roman"/>
                <w:bCs/>
                <w:sz w:val="18"/>
                <w:szCs w:val="18"/>
                <w:lang w:val="en-GB" w:eastAsia="lt-LT"/>
              </w:rPr>
            </w:pPr>
            <w:r w:rsidRPr="00FC6264">
              <w:rPr>
                <w:rFonts w:ascii="Times New Roman" w:eastAsia="AngsanaUPC" w:hAnsi="Times New Roman"/>
                <w:bCs/>
                <w:sz w:val="18"/>
                <w:szCs w:val="18"/>
                <w:lang w:val="en-GB" w:eastAsia="lt-LT"/>
              </w:rPr>
              <w:t>4</w:t>
            </w:r>
            <w:r w:rsidR="00FE6452" w:rsidRPr="00FC6264">
              <w:rPr>
                <w:rFonts w:ascii="Times New Roman" w:eastAsia="AngsanaUPC" w:hAnsi="Times New Roman"/>
                <w:bCs/>
                <w:sz w:val="18"/>
                <w:szCs w:val="18"/>
                <w:lang w:val="en-GB" w:eastAsia="lt-LT"/>
              </w:rPr>
              <w:t>8</w:t>
            </w:r>
            <w:r w:rsidR="00C76808" w:rsidRPr="00FC6264">
              <w:rPr>
                <w:rFonts w:ascii="Times New Roman" w:eastAsia="AngsanaUPC" w:hAnsi="Times New Roman"/>
                <w:bCs/>
                <w:sz w:val="18"/>
                <w:szCs w:val="18"/>
                <w:lang w:val="en-GB" w:eastAsia="lt-LT"/>
              </w:rPr>
              <w:t>.</w:t>
            </w:r>
            <w:r w:rsidR="00FE6452" w:rsidRPr="00FC6264">
              <w:rPr>
                <w:rFonts w:ascii="Times New Roman" w:eastAsia="AngsanaUPC" w:hAnsi="Times New Roman"/>
                <w:bCs/>
                <w:sz w:val="18"/>
                <w:szCs w:val="18"/>
                <w:lang w:val="en-GB" w:eastAsia="lt-LT"/>
              </w:rPr>
              <w:t>732</w:t>
            </w:r>
            <w:r w:rsidR="00C76808" w:rsidRPr="00FC6264">
              <w:rPr>
                <w:rFonts w:ascii="Times New Roman" w:eastAsia="AngsanaUPC" w:hAnsi="Times New Roman"/>
                <w:bCs/>
                <w:sz w:val="18"/>
                <w:szCs w:val="18"/>
                <w:lang w:val="en-GB" w:eastAsia="lt-LT"/>
              </w:rPr>
              <w:t>.</w:t>
            </w:r>
            <w:r w:rsidR="00FE6452" w:rsidRPr="00FC6264">
              <w:rPr>
                <w:rFonts w:ascii="Times New Roman" w:eastAsia="AngsanaUPC" w:hAnsi="Times New Roman"/>
                <w:bCs/>
                <w:sz w:val="18"/>
                <w:szCs w:val="18"/>
                <w:lang w:val="en-GB" w:eastAsia="lt-LT"/>
              </w:rPr>
              <w:t>330</w:t>
            </w:r>
          </w:p>
        </w:tc>
      </w:tr>
      <w:tr w:rsidR="003B1271" w:rsidRPr="00C76808" w:rsidTr="003D4200">
        <w:tc>
          <w:tcPr>
            <w:tcW w:w="851" w:type="dxa"/>
            <w:shd w:val="clear" w:color="auto" w:fill="auto"/>
            <w:vAlign w:val="center"/>
          </w:tcPr>
          <w:p w:rsidR="003B1271" w:rsidRPr="008F339D" w:rsidRDefault="003B1271" w:rsidP="00322BE2">
            <w:pPr>
              <w:widowControl w:val="0"/>
              <w:tabs>
                <w:tab w:val="left" w:pos="622"/>
              </w:tabs>
              <w:spacing w:after="0" w:line="240" w:lineRule="auto"/>
              <w:rPr>
                <w:rFonts w:ascii="Times New Roman" w:eastAsia="AngsanaUPC" w:hAnsi="Times New Roman"/>
                <w:bCs/>
                <w:sz w:val="18"/>
                <w:szCs w:val="18"/>
                <w:lang w:eastAsia="lt-LT"/>
              </w:rPr>
            </w:pPr>
            <w:r w:rsidRPr="008F339D">
              <w:rPr>
                <w:rFonts w:ascii="Times New Roman" w:eastAsia="AngsanaUPC" w:hAnsi="Times New Roman"/>
                <w:bCs/>
                <w:sz w:val="18"/>
                <w:szCs w:val="18"/>
                <w:lang w:eastAsia="lt-LT"/>
              </w:rPr>
              <w:t>SaF</w:t>
            </w:r>
          </w:p>
        </w:tc>
        <w:tc>
          <w:tcPr>
            <w:tcW w:w="709" w:type="dxa"/>
            <w:shd w:val="clear" w:color="auto" w:fill="auto"/>
            <w:vAlign w:val="center"/>
          </w:tcPr>
          <w:p w:rsidR="003B1271" w:rsidRPr="00C76808" w:rsidRDefault="003B1271" w:rsidP="00322BE2">
            <w:pPr>
              <w:widowControl w:val="0"/>
              <w:tabs>
                <w:tab w:val="left" w:pos="622"/>
              </w:tabs>
              <w:spacing w:after="0" w:line="240" w:lineRule="auto"/>
              <w:rPr>
                <w:rFonts w:ascii="Times New Roman" w:eastAsia="AngsanaUPC" w:hAnsi="Times New Roman"/>
                <w:bCs/>
                <w:sz w:val="18"/>
                <w:szCs w:val="18"/>
                <w:lang w:val="en-GB" w:eastAsia="lt-LT"/>
              </w:rPr>
            </w:pPr>
            <w:r w:rsidRPr="00C76808">
              <w:rPr>
                <w:rFonts w:ascii="Times New Roman" w:eastAsia="AngsanaUPC" w:hAnsi="Times New Roman"/>
                <w:bCs/>
                <w:sz w:val="18"/>
                <w:szCs w:val="18"/>
                <w:lang w:val="en-GB" w:eastAsia="lt-LT"/>
              </w:rPr>
              <w:t>86</w:t>
            </w:r>
          </w:p>
        </w:tc>
        <w:tc>
          <w:tcPr>
            <w:tcW w:w="6378" w:type="dxa"/>
            <w:shd w:val="clear" w:color="auto" w:fill="auto"/>
            <w:vAlign w:val="center"/>
          </w:tcPr>
          <w:p w:rsidR="003B1271" w:rsidRPr="00C76808" w:rsidRDefault="003B1271" w:rsidP="00322BE2">
            <w:pPr>
              <w:widowControl w:val="0"/>
              <w:tabs>
                <w:tab w:val="left" w:pos="622"/>
              </w:tabs>
              <w:spacing w:after="0" w:line="240" w:lineRule="auto"/>
              <w:rPr>
                <w:rFonts w:ascii="Times New Roman" w:eastAsia="AngsanaUPC" w:hAnsi="Times New Roman"/>
                <w:bCs/>
                <w:sz w:val="18"/>
                <w:szCs w:val="18"/>
                <w:lang w:eastAsia="lt-LT"/>
              </w:rPr>
            </w:pPr>
            <w:r w:rsidRPr="00C76808">
              <w:rPr>
                <w:rFonts w:ascii="Times New Roman" w:eastAsia="AngsanaUPC" w:hAnsi="Times New Roman"/>
                <w:bCs/>
                <w:sz w:val="18"/>
                <w:szCs w:val="18"/>
                <w:lang w:eastAsia="lt-LT"/>
              </w:rPr>
              <w:t>„Natura 2000“ teritorijų apsauga, atkūrimas ir tausus naudojimas</w:t>
            </w:r>
          </w:p>
        </w:tc>
        <w:tc>
          <w:tcPr>
            <w:tcW w:w="1843" w:type="dxa"/>
            <w:shd w:val="clear" w:color="auto" w:fill="auto"/>
            <w:vAlign w:val="center"/>
          </w:tcPr>
          <w:p w:rsidR="003B1271" w:rsidRPr="00FC6264" w:rsidRDefault="00FE6452" w:rsidP="00F626B3">
            <w:pPr>
              <w:widowControl w:val="0"/>
              <w:tabs>
                <w:tab w:val="left" w:pos="622"/>
              </w:tabs>
              <w:spacing w:after="0" w:line="240" w:lineRule="auto"/>
              <w:jc w:val="right"/>
              <w:rPr>
                <w:rFonts w:ascii="Times New Roman" w:eastAsia="AngsanaUPC" w:hAnsi="Times New Roman"/>
                <w:bCs/>
                <w:sz w:val="18"/>
                <w:szCs w:val="18"/>
                <w:lang w:val="en-GB" w:eastAsia="lt-LT"/>
              </w:rPr>
            </w:pPr>
            <w:r w:rsidRPr="00FC6264">
              <w:rPr>
                <w:rFonts w:ascii="Times New Roman" w:eastAsia="AngsanaUPC" w:hAnsi="Times New Roman"/>
                <w:bCs/>
                <w:sz w:val="18"/>
                <w:szCs w:val="18"/>
                <w:lang w:val="en-GB" w:eastAsia="lt-LT"/>
              </w:rPr>
              <w:t>7</w:t>
            </w:r>
            <w:r w:rsidR="00C76808"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012</w:t>
            </w:r>
            <w:r w:rsidR="00C76808"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757</w:t>
            </w:r>
          </w:p>
        </w:tc>
      </w:tr>
      <w:tr w:rsidR="003B1271" w:rsidRPr="00C76808" w:rsidTr="003D4200">
        <w:tc>
          <w:tcPr>
            <w:tcW w:w="851" w:type="dxa"/>
            <w:shd w:val="clear" w:color="auto" w:fill="auto"/>
            <w:vAlign w:val="center"/>
          </w:tcPr>
          <w:p w:rsidR="003B1271" w:rsidRPr="008F339D" w:rsidRDefault="003B1271" w:rsidP="00322BE2">
            <w:pPr>
              <w:widowControl w:val="0"/>
              <w:tabs>
                <w:tab w:val="left" w:pos="622"/>
              </w:tabs>
              <w:spacing w:after="0" w:line="240" w:lineRule="auto"/>
              <w:rPr>
                <w:rFonts w:ascii="Times New Roman" w:eastAsia="AngsanaUPC" w:hAnsi="Times New Roman"/>
                <w:bCs/>
                <w:sz w:val="18"/>
                <w:szCs w:val="18"/>
                <w:lang w:eastAsia="lt-LT"/>
              </w:rPr>
            </w:pPr>
            <w:r w:rsidRPr="008F339D">
              <w:rPr>
                <w:rFonts w:ascii="Times New Roman" w:eastAsia="AngsanaUPC" w:hAnsi="Times New Roman"/>
                <w:bCs/>
                <w:sz w:val="18"/>
                <w:szCs w:val="18"/>
                <w:lang w:eastAsia="lt-LT"/>
              </w:rPr>
              <w:t>ERPF</w:t>
            </w:r>
          </w:p>
        </w:tc>
        <w:tc>
          <w:tcPr>
            <w:tcW w:w="709" w:type="dxa"/>
            <w:shd w:val="clear" w:color="auto" w:fill="auto"/>
            <w:vAlign w:val="center"/>
          </w:tcPr>
          <w:p w:rsidR="003B1271" w:rsidRPr="00C76808" w:rsidRDefault="003B1271" w:rsidP="00322BE2">
            <w:pPr>
              <w:widowControl w:val="0"/>
              <w:tabs>
                <w:tab w:val="left" w:pos="622"/>
              </w:tabs>
              <w:spacing w:after="0" w:line="240" w:lineRule="auto"/>
              <w:rPr>
                <w:rFonts w:ascii="Times New Roman" w:eastAsia="AngsanaUPC" w:hAnsi="Times New Roman"/>
                <w:bCs/>
                <w:sz w:val="18"/>
                <w:szCs w:val="18"/>
                <w:lang w:val="en-GB" w:eastAsia="lt-LT"/>
              </w:rPr>
            </w:pPr>
            <w:r w:rsidRPr="00C76808">
              <w:rPr>
                <w:rFonts w:ascii="Times New Roman" w:eastAsia="AngsanaUPC" w:hAnsi="Times New Roman"/>
                <w:bCs/>
                <w:sz w:val="18"/>
                <w:szCs w:val="18"/>
                <w:lang w:val="en-GB" w:eastAsia="lt-LT"/>
              </w:rPr>
              <w:t>87</w:t>
            </w:r>
          </w:p>
        </w:tc>
        <w:tc>
          <w:tcPr>
            <w:tcW w:w="6378" w:type="dxa"/>
            <w:shd w:val="clear" w:color="auto" w:fill="auto"/>
            <w:vAlign w:val="center"/>
          </w:tcPr>
          <w:p w:rsidR="003B1271" w:rsidRPr="00C76808" w:rsidRDefault="003B1271" w:rsidP="003B1271">
            <w:pPr>
              <w:widowControl w:val="0"/>
              <w:tabs>
                <w:tab w:val="left" w:pos="622"/>
              </w:tabs>
              <w:spacing w:after="0" w:line="240" w:lineRule="auto"/>
              <w:rPr>
                <w:rFonts w:ascii="Times New Roman" w:eastAsia="AngsanaUPC" w:hAnsi="Times New Roman"/>
                <w:bCs/>
                <w:sz w:val="18"/>
                <w:szCs w:val="18"/>
                <w:lang w:eastAsia="lt-LT"/>
              </w:rPr>
            </w:pPr>
            <w:r w:rsidRPr="00C76808">
              <w:rPr>
                <w:rFonts w:ascii="Times New Roman" w:eastAsia="AngsanaUPC" w:hAnsi="Times New Roman"/>
                <w:bCs/>
                <w:sz w:val="18"/>
                <w:szCs w:val="18"/>
                <w:lang w:eastAsia="lt-LT"/>
              </w:rPr>
              <w:t>Prisitaikymo prie klimato kaitos priemonės ir su klimato kaita susijusios rizikos, pvz., erozijos, gaisrų, potvynių, audrų ir sausrų, prevencija ir valdymas, įskaitant informuotumo didinimo, civilinės saugos ir nelaimių valdymo sistemas bei infrastruktūrą</w:t>
            </w:r>
          </w:p>
        </w:tc>
        <w:tc>
          <w:tcPr>
            <w:tcW w:w="1843" w:type="dxa"/>
            <w:shd w:val="clear" w:color="auto" w:fill="auto"/>
            <w:vAlign w:val="center"/>
          </w:tcPr>
          <w:p w:rsidR="003B1271" w:rsidRPr="00FC6264" w:rsidRDefault="00904083" w:rsidP="00F626B3">
            <w:pPr>
              <w:widowControl w:val="0"/>
              <w:tabs>
                <w:tab w:val="left" w:pos="622"/>
              </w:tabs>
              <w:spacing w:after="0" w:line="240" w:lineRule="auto"/>
              <w:jc w:val="right"/>
              <w:rPr>
                <w:rFonts w:ascii="Times New Roman" w:eastAsia="AngsanaUPC" w:hAnsi="Times New Roman"/>
                <w:bCs/>
                <w:sz w:val="18"/>
                <w:szCs w:val="18"/>
                <w:lang w:val="en-GB" w:eastAsia="lt-LT"/>
              </w:rPr>
            </w:pPr>
            <w:r w:rsidRPr="00FC6264">
              <w:rPr>
                <w:rFonts w:ascii="Times New Roman" w:eastAsia="AngsanaUPC" w:hAnsi="Times New Roman"/>
                <w:bCs/>
                <w:sz w:val="18"/>
                <w:szCs w:val="18"/>
                <w:lang w:val="en-GB" w:eastAsia="lt-LT"/>
              </w:rPr>
              <w:t>17</w:t>
            </w:r>
            <w:r w:rsidR="00C76808"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9</w:t>
            </w:r>
            <w:r w:rsidR="003B1271" w:rsidRPr="00FC6264">
              <w:rPr>
                <w:rFonts w:ascii="Times New Roman" w:eastAsia="AngsanaUPC" w:hAnsi="Times New Roman"/>
                <w:bCs/>
                <w:sz w:val="18"/>
                <w:szCs w:val="18"/>
                <w:lang w:val="en-GB" w:eastAsia="lt-LT"/>
              </w:rPr>
              <w:t>64</w:t>
            </w:r>
            <w:r w:rsidR="00C76808" w:rsidRPr="00FC6264">
              <w:rPr>
                <w:rFonts w:ascii="Times New Roman" w:eastAsia="AngsanaUPC" w:hAnsi="Times New Roman"/>
                <w:bCs/>
                <w:sz w:val="18"/>
                <w:szCs w:val="18"/>
                <w:lang w:val="en-GB" w:eastAsia="lt-LT"/>
              </w:rPr>
              <w:t>.</w:t>
            </w:r>
            <w:r w:rsidR="003B1271" w:rsidRPr="00FC6264">
              <w:rPr>
                <w:rFonts w:ascii="Times New Roman" w:eastAsia="AngsanaUPC" w:hAnsi="Times New Roman"/>
                <w:bCs/>
                <w:sz w:val="18"/>
                <w:szCs w:val="18"/>
                <w:lang w:val="en-GB" w:eastAsia="lt-LT"/>
              </w:rPr>
              <w:t>010</w:t>
            </w:r>
          </w:p>
        </w:tc>
      </w:tr>
      <w:tr w:rsidR="003B1271" w:rsidRPr="00C76808" w:rsidTr="003D4200">
        <w:tc>
          <w:tcPr>
            <w:tcW w:w="851" w:type="dxa"/>
            <w:shd w:val="clear" w:color="auto" w:fill="auto"/>
            <w:vAlign w:val="center"/>
          </w:tcPr>
          <w:p w:rsidR="003B1271" w:rsidRPr="008F339D" w:rsidRDefault="003B1271" w:rsidP="00322BE2">
            <w:pPr>
              <w:widowControl w:val="0"/>
              <w:tabs>
                <w:tab w:val="left" w:pos="622"/>
              </w:tabs>
              <w:spacing w:after="0" w:line="240" w:lineRule="auto"/>
              <w:rPr>
                <w:rFonts w:ascii="Times New Roman" w:eastAsia="AngsanaUPC" w:hAnsi="Times New Roman"/>
                <w:bCs/>
                <w:sz w:val="18"/>
                <w:szCs w:val="18"/>
                <w:lang w:eastAsia="lt-LT"/>
              </w:rPr>
            </w:pPr>
            <w:r w:rsidRPr="008F339D">
              <w:rPr>
                <w:rFonts w:ascii="Times New Roman" w:eastAsia="AngsanaUPC" w:hAnsi="Times New Roman"/>
                <w:bCs/>
                <w:sz w:val="18"/>
                <w:szCs w:val="18"/>
                <w:lang w:eastAsia="lt-LT"/>
              </w:rPr>
              <w:t>SaF</w:t>
            </w:r>
          </w:p>
        </w:tc>
        <w:tc>
          <w:tcPr>
            <w:tcW w:w="709" w:type="dxa"/>
            <w:shd w:val="clear" w:color="auto" w:fill="auto"/>
            <w:vAlign w:val="center"/>
          </w:tcPr>
          <w:p w:rsidR="003B1271" w:rsidRPr="00C76808" w:rsidRDefault="003B1271" w:rsidP="00322BE2">
            <w:pPr>
              <w:widowControl w:val="0"/>
              <w:tabs>
                <w:tab w:val="left" w:pos="622"/>
              </w:tabs>
              <w:spacing w:after="0" w:line="240" w:lineRule="auto"/>
              <w:rPr>
                <w:rFonts w:ascii="Times New Roman" w:eastAsia="AngsanaUPC" w:hAnsi="Times New Roman"/>
                <w:bCs/>
                <w:sz w:val="18"/>
                <w:szCs w:val="18"/>
                <w:lang w:val="en-GB" w:eastAsia="lt-LT"/>
              </w:rPr>
            </w:pPr>
            <w:r w:rsidRPr="00C76808">
              <w:rPr>
                <w:rFonts w:ascii="Times New Roman" w:eastAsia="AngsanaUPC" w:hAnsi="Times New Roman"/>
                <w:bCs/>
                <w:sz w:val="18"/>
                <w:szCs w:val="18"/>
                <w:lang w:val="en-GB" w:eastAsia="lt-LT"/>
              </w:rPr>
              <w:t>87</w:t>
            </w:r>
          </w:p>
        </w:tc>
        <w:tc>
          <w:tcPr>
            <w:tcW w:w="6378" w:type="dxa"/>
            <w:shd w:val="clear" w:color="auto" w:fill="auto"/>
            <w:vAlign w:val="center"/>
          </w:tcPr>
          <w:p w:rsidR="003B1271" w:rsidRPr="00C76808" w:rsidRDefault="00144DB9" w:rsidP="00322BE2">
            <w:pPr>
              <w:widowControl w:val="0"/>
              <w:tabs>
                <w:tab w:val="left" w:pos="622"/>
              </w:tabs>
              <w:spacing w:after="0" w:line="240" w:lineRule="auto"/>
              <w:rPr>
                <w:rFonts w:ascii="Times New Roman" w:eastAsia="AngsanaUPC" w:hAnsi="Times New Roman"/>
                <w:bCs/>
                <w:sz w:val="18"/>
                <w:szCs w:val="18"/>
                <w:lang w:eastAsia="lt-LT"/>
              </w:rPr>
            </w:pPr>
            <w:r w:rsidRPr="00C76808">
              <w:rPr>
                <w:rFonts w:ascii="Times New Roman" w:eastAsia="AngsanaUPC" w:hAnsi="Times New Roman"/>
                <w:bCs/>
                <w:sz w:val="18"/>
                <w:szCs w:val="18"/>
                <w:lang w:eastAsia="lt-LT"/>
              </w:rPr>
              <w:t>Prisitaikymo prie klimato kaitos priemonės ir su klimato kaita susijusios rizikos, pvz., erozijos, gaisrų, potvynių, audrų ir sausrų, prevencija ir valdymas, įskaitant informuotumo didinimo, civilinės saugos ir nelaimių valdymo sistemas bei infrastruktūrą</w:t>
            </w:r>
          </w:p>
        </w:tc>
        <w:tc>
          <w:tcPr>
            <w:tcW w:w="1843" w:type="dxa"/>
            <w:shd w:val="clear" w:color="auto" w:fill="auto"/>
            <w:vAlign w:val="center"/>
          </w:tcPr>
          <w:p w:rsidR="003B1271" w:rsidRPr="00FC6264" w:rsidRDefault="00FE6452" w:rsidP="00FE6452">
            <w:pPr>
              <w:widowControl w:val="0"/>
              <w:tabs>
                <w:tab w:val="left" w:pos="622"/>
              </w:tabs>
              <w:spacing w:after="0" w:line="240" w:lineRule="auto"/>
              <w:jc w:val="right"/>
              <w:rPr>
                <w:rFonts w:ascii="Times New Roman" w:eastAsia="AngsanaUPC" w:hAnsi="Times New Roman"/>
                <w:bCs/>
                <w:sz w:val="18"/>
                <w:szCs w:val="18"/>
                <w:lang w:val="en-GB" w:eastAsia="lt-LT"/>
              </w:rPr>
            </w:pPr>
            <w:r w:rsidRPr="00FC6264">
              <w:rPr>
                <w:rFonts w:ascii="Times New Roman" w:eastAsia="AngsanaUPC" w:hAnsi="Times New Roman"/>
                <w:bCs/>
                <w:sz w:val="18"/>
                <w:szCs w:val="18"/>
                <w:lang w:val="en-GB" w:eastAsia="lt-LT"/>
              </w:rPr>
              <w:t>118</w:t>
            </w:r>
            <w:r w:rsidR="00C76808"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412</w:t>
            </w:r>
            <w:r w:rsidR="00C76808"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086</w:t>
            </w:r>
          </w:p>
        </w:tc>
      </w:tr>
      <w:tr w:rsidR="003B1271" w:rsidRPr="00C76808" w:rsidTr="003D4200">
        <w:tc>
          <w:tcPr>
            <w:tcW w:w="851" w:type="dxa"/>
            <w:shd w:val="clear" w:color="auto" w:fill="auto"/>
            <w:vAlign w:val="center"/>
          </w:tcPr>
          <w:p w:rsidR="003B1271" w:rsidRPr="008F339D" w:rsidRDefault="003B1271" w:rsidP="00322BE2">
            <w:pPr>
              <w:widowControl w:val="0"/>
              <w:tabs>
                <w:tab w:val="left" w:pos="622"/>
              </w:tabs>
              <w:spacing w:after="0" w:line="240" w:lineRule="auto"/>
              <w:rPr>
                <w:rFonts w:ascii="Times New Roman" w:eastAsia="AngsanaUPC" w:hAnsi="Times New Roman"/>
                <w:bCs/>
                <w:sz w:val="18"/>
                <w:szCs w:val="18"/>
                <w:lang w:eastAsia="lt-LT"/>
              </w:rPr>
            </w:pPr>
            <w:r w:rsidRPr="008F339D">
              <w:rPr>
                <w:rFonts w:ascii="Times New Roman" w:eastAsia="AngsanaUPC" w:hAnsi="Times New Roman"/>
                <w:bCs/>
                <w:sz w:val="18"/>
                <w:szCs w:val="18"/>
                <w:lang w:eastAsia="lt-LT"/>
              </w:rPr>
              <w:t>SaF</w:t>
            </w:r>
          </w:p>
        </w:tc>
        <w:tc>
          <w:tcPr>
            <w:tcW w:w="709" w:type="dxa"/>
            <w:shd w:val="clear" w:color="auto" w:fill="auto"/>
            <w:vAlign w:val="center"/>
          </w:tcPr>
          <w:p w:rsidR="003B1271" w:rsidRPr="00C76808" w:rsidRDefault="003B1271" w:rsidP="00322BE2">
            <w:pPr>
              <w:widowControl w:val="0"/>
              <w:tabs>
                <w:tab w:val="left" w:pos="622"/>
              </w:tabs>
              <w:spacing w:after="0" w:line="240" w:lineRule="auto"/>
              <w:rPr>
                <w:rFonts w:ascii="Times New Roman" w:eastAsia="AngsanaUPC" w:hAnsi="Times New Roman"/>
                <w:bCs/>
                <w:sz w:val="18"/>
                <w:szCs w:val="18"/>
                <w:lang w:val="en-GB" w:eastAsia="lt-LT"/>
              </w:rPr>
            </w:pPr>
            <w:r w:rsidRPr="00C76808">
              <w:rPr>
                <w:rFonts w:ascii="Times New Roman" w:eastAsia="AngsanaUPC" w:hAnsi="Times New Roman"/>
                <w:bCs/>
                <w:sz w:val="18"/>
                <w:szCs w:val="18"/>
                <w:lang w:val="en-GB" w:eastAsia="lt-LT"/>
              </w:rPr>
              <w:t>89</w:t>
            </w:r>
          </w:p>
        </w:tc>
        <w:tc>
          <w:tcPr>
            <w:tcW w:w="6378" w:type="dxa"/>
            <w:shd w:val="clear" w:color="auto" w:fill="auto"/>
            <w:vAlign w:val="center"/>
          </w:tcPr>
          <w:p w:rsidR="003B1271" w:rsidRPr="00C76808" w:rsidRDefault="00144DB9" w:rsidP="00322BE2">
            <w:pPr>
              <w:widowControl w:val="0"/>
              <w:tabs>
                <w:tab w:val="left" w:pos="622"/>
              </w:tabs>
              <w:spacing w:after="0" w:line="240" w:lineRule="auto"/>
              <w:rPr>
                <w:rFonts w:ascii="Times New Roman" w:eastAsia="AngsanaUPC" w:hAnsi="Times New Roman"/>
                <w:bCs/>
                <w:sz w:val="18"/>
                <w:szCs w:val="18"/>
                <w:lang w:eastAsia="lt-LT"/>
              </w:rPr>
            </w:pPr>
            <w:r w:rsidRPr="00C76808">
              <w:rPr>
                <w:rFonts w:ascii="Times New Roman" w:eastAsia="AngsanaUPC" w:hAnsi="Times New Roman"/>
                <w:bCs/>
                <w:sz w:val="18"/>
                <w:szCs w:val="18"/>
                <w:lang w:eastAsia="lt-LT"/>
              </w:rPr>
              <w:t>Pramoninių vietovių ir užterštos žemės atkūrimas</w:t>
            </w:r>
          </w:p>
        </w:tc>
        <w:tc>
          <w:tcPr>
            <w:tcW w:w="1843" w:type="dxa"/>
            <w:shd w:val="clear" w:color="auto" w:fill="auto"/>
            <w:vAlign w:val="center"/>
          </w:tcPr>
          <w:p w:rsidR="003B1271" w:rsidRPr="00FC6264" w:rsidRDefault="009B4E2B" w:rsidP="00F626B3">
            <w:pPr>
              <w:widowControl w:val="0"/>
              <w:tabs>
                <w:tab w:val="left" w:pos="622"/>
              </w:tabs>
              <w:spacing w:after="0" w:line="240" w:lineRule="auto"/>
              <w:jc w:val="right"/>
              <w:rPr>
                <w:rFonts w:ascii="Times New Roman" w:eastAsia="AngsanaUPC" w:hAnsi="Times New Roman"/>
                <w:bCs/>
                <w:sz w:val="18"/>
                <w:szCs w:val="18"/>
                <w:lang w:val="en-GB" w:eastAsia="lt-LT"/>
              </w:rPr>
            </w:pPr>
            <w:r w:rsidRPr="00FC6264">
              <w:rPr>
                <w:rFonts w:ascii="Times New Roman" w:eastAsia="AngsanaUPC" w:hAnsi="Times New Roman"/>
                <w:bCs/>
                <w:sz w:val="18"/>
                <w:szCs w:val="18"/>
                <w:lang w:val="en-GB" w:eastAsia="lt-LT"/>
              </w:rPr>
              <w:t>17</w:t>
            </w:r>
            <w:r w:rsidR="00C76808"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992</w:t>
            </w:r>
            <w:r w:rsidR="00C76808"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997</w:t>
            </w:r>
          </w:p>
        </w:tc>
      </w:tr>
      <w:tr w:rsidR="003B1271" w:rsidRPr="00C76808" w:rsidTr="003D4200">
        <w:tc>
          <w:tcPr>
            <w:tcW w:w="851" w:type="dxa"/>
            <w:shd w:val="clear" w:color="auto" w:fill="auto"/>
            <w:vAlign w:val="center"/>
          </w:tcPr>
          <w:p w:rsidR="003B1271" w:rsidRPr="00C76808" w:rsidRDefault="003B1271" w:rsidP="00322BE2">
            <w:pPr>
              <w:widowControl w:val="0"/>
              <w:tabs>
                <w:tab w:val="left" w:pos="622"/>
              </w:tabs>
              <w:spacing w:after="0" w:line="240" w:lineRule="auto"/>
              <w:rPr>
                <w:rFonts w:ascii="Times New Roman" w:eastAsia="AngsanaUPC" w:hAnsi="Times New Roman"/>
                <w:bCs/>
                <w:sz w:val="18"/>
                <w:szCs w:val="18"/>
                <w:lang w:val="en-GB" w:eastAsia="lt-LT"/>
              </w:rPr>
            </w:pPr>
            <w:r w:rsidRPr="00C76808">
              <w:rPr>
                <w:rFonts w:ascii="Times New Roman" w:eastAsia="AngsanaUPC" w:hAnsi="Times New Roman"/>
                <w:bCs/>
                <w:sz w:val="18"/>
                <w:szCs w:val="18"/>
                <w:lang w:val="en-GB" w:eastAsia="lt-LT"/>
              </w:rPr>
              <w:t>ERPF</w:t>
            </w:r>
          </w:p>
        </w:tc>
        <w:tc>
          <w:tcPr>
            <w:tcW w:w="709" w:type="dxa"/>
            <w:shd w:val="clear" w:color="auto" w:fill="auto"/>
            <w:vAlign w:val="center"/>
          </w:tcPr>
          <w:p w:rsidR="003B1271" w:rsidRPr="00C76808" w:rsidRDefault="003B1271" w:rsidP="00322BE2">
            <w:pPr>
              <w:widowControl w:val="0"/>
              <w:tabs>
                <w:tab w:val="left" w:pos="622"/>
              </w:tabs>
              <w:spacing w:after="0" w:line="240" w:lineRule="auto"/>
              <w:rPr>
                <w:rFonts w:ascii="Times New Roman" w:eastAsia="AngsanaUPC" w:hAnsi="Times New Roman"/>
                <w:bCs/>
                <w:sz w:val="18"/>
                <w:szCs w:val="18"/>
                <w:lang w:val="en-GB" w:eastAsia="lt-LT"/>
              </w:rPr>
            </w:pPr>
            <w:r w:rsidRPr="00C76808">
              <w:rPr>
                <w:rFonts w:ascii="Times New Roman" w:eastAsia="AngsanaUPC" w:hAnsi="Times New Roman"/>
                <w:bCs/>
                <w:sz w:val="18"/>
                <w:szCs w:val="18"/>
                <w:lang w:val="en-GB" w:eastAsia="lt-LT"/>
              </w:rPr>
              <w:t>91</w:t>
            </w:r>
          </w:p>
        </w:tc>
        <w:tc>
          <w:tcPr>
            <w:tcW w:w="6378" w:type="dxa"/>
            <w:shd w:val="clear" w:color="auto" w:fill="auto"/>
            <w:vAlign w:val="center"/>
          </w:tcPr>
          <w:p w:rsidR="003B1271" w:rsidRPr="00C76808" w:rsidRDefault="00144DB9" w:rsidP="00322BE2">
            <w:pPr>
              <w:widowControl w:val="0"/>
              <w:tabs>
                <w:tab w:val="left" w:pos="622"/>
              </w:tabs>
              <w:spacing w:after="0" w:line="240" w:lineRule="auto"/>
              <w:rPr>
                <w:rFonts w:ascii="Times New Roman" w:eastAsia="AngsanaUPC" w:hAnsi="Times New Roman"/>
                <w:bCs/>
                <w:sz w:val="18"/>
                <w:szCs w:val="18"/>
                <w:lang w:eastAsia="lt-LT"/>
              </w:rPr>
            </w:pPr>
            <w:r w:rsidRPr="00C76808">
              <w:rPr>
                <w:rFonts w:ascii="Times New Roman" w:eastAsia="AngsanaUPC" w:hAnsi="Times New Roman"/>
                <w:bCs/>
                <w:sz w:val="18"/>
                <w:szCs w:val="18"/>
                <w:lang w:eastAsia="lt-LT"/>
              </w:rPr>
              <w:t>Gamtos teritorijų turizmo potencialo plėtojimas ir propagavimas</w:t>
            </w:r>
          </w:p>
        </w:tc>
        <w:tc>
          <w:tcPr>
            <w:tcW w:w="1843" w:type="dxa"/>
            <w:shd w:val="clear" w:color="auto" w:fill="auto"/>
            <w:vAlign w:val="center"/>
          </w:tcPr>
          <w:p w:rsidR="003B1271" w:rsidRPr="00FC6264" w:rsidRDefault="009B4E2B" w:rsidP="009B4E2B">
            <w:pPr>
              <w:widowControl w:val="0"/>
              <w:tabs>
                <w:tab w:val="left" w:pos="622"/>
              </w:tabs>
              <w:spacing w:after="0" w:line="240" w:lineRule="auto"/>
              <w:jc w:val="right"/>
              <w:rPr>
                <w:rFonts w:ascii="Times New Roman" w:eastAsia="AngsanaUPC" w:hAnsi="Times New Roman"/>
                <w:bCs/>
                <w:sz w:val="18"/>
                <w:szCs w:val="18"/>
                <w:lang w:val="en-GB" w:eastAsia="lt-LT"/>
              </w:rPr>
            </w:pPr>
            <w:r w:rsidRPr="00FC6264">
              <w:rPr>
                <w:rFonts w:ascii="Times New Roman" w:eastAsia="AngsanaUPC" w:hAnsi="Times New Roman"/>
                <w:bCs/>
                <w:sz w:val="18"/>
                <w:szCs w:val="18"/>
                <w:lang w:val="en-GB" w:eastAsia="lt-LT"/>
              </w:rPr>
              <w:t>32</w:t>
            </w:r>
            <w:r w:rsidR="00C76808"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312</w:t>
            </w:r>
            <w:r w:rsidR="00C76808"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270</w:t>
            </w:r>
          </w:p>
        </w:tc>
      </w:tr>
      <w:tr w:rsidR="003B1271" w:rsidRPr="00C76808" w:rsidTr="003D4200">
        <w:tc>
          <w:tcPr>
            <w:tcW w:w="851" w:type="dxa"/>
            <w:shd w:val="clear" w:color="auto" w:fill="auto"/>
            <w:vAlign w:val="center"/>
          </w:tcPr>
          <w:p w:rsidR="003B1271" w:rsidRPr="00C76808" w:rsidRDefault="003B1271" w:rsidP="00322BE2">
            <w:pPr>
              <w:widowControl w:val="0"/>
              <w:tabs>
                <w:tab w:val="left" w:pos="622"/>
              </w:tabs>
              <w:spacing w:after="0" w:line="240" w:lineRule="auto"/>
              <w:rPr>
                <w:rFonts w:ascii="Times New Roman" w:eastAsia="AngsanaUPC" w:hAnsi="Times New Roman"/>
                <w:bCs/>
                <w:sz w:val="18"/>
                <w:szCs w:val="18"/>
                <w:lang w:val="en-GB" w:eastAsia="lt-LT"/>
              </w:rPr>
            </w:pPr>
            <w:r w:rsidRPr="00C76808">
              <w:rPr>
                <w:rFonts w:ascii="Times New Roman" w:eastAsia="AngsanaUPC" w:hAnsi="Times New Roman"/>
                <w:bCs/>
                <w:sz w:val="18"/>
                <w:szCs w:val="18"/>
                <w:lang w:val="en-GB" w:eastAsia="lt-LT"/>
              </w:rPr>
              <w:t>ERPF</w:t>
            </w:r>
          </w:p>
        </w:tc>
        <w:tc>
          <w:tcPr>
            <w:tcW w:w="709" w:type="dxa"/>
            <w:shd w:val="clear" w:color="auto" w:fill="auto"/>
            <w:vAlign w:val="center"/>
          </w:tcPr>
          <w:p w:rsidR="003B1271" w:rsidRPr="00C76808" w:rsidRDefault="003B1271" w:rsidP="00322BE2">
            <w:pPr>
              <w:widowControl w:val="0"/>
              <w:tabs>
                <w:tab w:val="left" w:pos="622"/>
              </w:tabs>
              <w:spacing w:after="0" w:line="240" w:lineRule="auto"/>
              <w:rPr>
                <w:rFonts w:ascii="Times New Roman" w:eastAsia="AngsanaUPC" w:hAnsi="Times New Roman"/>
                <w:bCs/>
                <w:sz w:val="18"/>
                <w:szCs w:val="18"/>
                <w:lang w:val="en-GB" w:eastAsia="lt-LT"/>
              </w:rPr>
            </w:pPr>
            <w:r w:rsidRPr="00C76808">
              <w:rPr>
                <w:rFonts w:ascii="Times New Roman" w:eastAsia="AngsanaUPC" w:hAnsi="Times New Roman"/>
                <w:bCs/>
                <w:sz w:val="18"/>
                <w:szCs w:val="18"/>
                <w:lang w:val="en-GB" w:eastAsia="lt-LT"/>
              </w:rPr>
              <w:t>92</w:t>
            </w:r>
          </w:p>
        </w:tc>
        <w:tc>
          <w:tcPr>
            <w:tcW w:w="6378" w:type="dxa"/>
            <w:shd w:val="clear" w:color="auto" w:fill="auto"/>
            <w:vAlign w:val="center"/>
          </w:tcPr>
          <w:p w:rsidR="003B1271" w:rsidRPr="00C76808" w:rsidRDefault="00144DB9" w:rsidP="00322BE2">
            <w:pPr>
              <w:widowControl w:val="0"/>
              <w:tabs>
                <w:tab w:val="left" w:pos="622"/>
              </w:tabs>
              <w:spacing w:after="0" w:line="240" w:lineRule="auto"/>
              <w:rPr>
                <w:rFonts w:ascii="Times New Roman" w:eastAsia="AngsanaUPC" w:hAnsi="Times New Roman"/>
                <w:bCs/>
                <w:sz w:val="18"/>
                <w:szCs w:val="18"/>
                <w:lang w:eastAsia="lt-LT"/>
              </w:rPr>
            </w:pPr>
            <w:r w:rsidRPr="00C76808">
              <w:rPr>
                <w:rFonts w:ascii="Times New Roman" w:eastAsia="AngsanaUPC" w:hAnsi="Times New Roman"/>
                <w:bCs/>
                <w:sz w:val="18"/>
                <w:szCs w:val="18"/>
                <w:lang w:eastAsia="lt-LT"/>
              </w:rPr>
              <w:t>Viešųjų turizmui svarbių vertybių apsauga, plėtojimas ir populiarinimas</w:t>
            </w:r>
          </w:p>
        </w:tc>
        <w:tc>
          <w:tcPr>
            <w:tcW w:w="1843" w:type="dxa"/>
            <w:shd w:val="clear" w:color="auto" w:fill="auto"/>
            <w:vAlign w:val="center"/>
          </w:tcPr>
          <w:p w:rsidR="003B1271" w:rsidRPr="00FC6264" w:rsidRDefault="009B4E2B" w:rsidP="00F626B3">
            <w:pPr>
              <w:widowControl w:val="0"/>
              <w:tabs>
                <w:tab w:val="left" w:pos="622"/>
              </w:tabs>
              <w:spacing w:after="0" w:line="240" w:lineRule="auto"/>
              <w:jc w:val="right"/>
              <w:rPr>
                <w:rFonts w:ascii="Times New Roman" w:eastAsia="AngsanaUPC" w:hAnsi="Times New Roman"/>
                <w:bCs/>
                <w:sz w:val="18"/>
                <w:szCs w:val="18"/>
                <w:lang w:val="en-GB" w:eastAsia="lt-LT"/>
              </w:rPr>
            </w:pPr>
            <w:r w:rsidRPr="00FC6264">
              <w:rPr>
                <w:rFonts w:ascii="Times New Roman" w:eastAsia="AngsanaUPC" w:hAnsi="Times New Roman"/>
                <w:bCs/>
                <w:sz w:val="18"/>
                <w:szCs w:val="18"/>
                <w:lang w:val="en-GB" w:eastAsia="lt-LT"/>
              </w:rPr>
              <w:t>27</w:t>
            </w:r>
            <w:r w:rsidR="00C76808"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296</w:t>
            </w:r>
            <w:r w:rsidR="00C76808"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640</w:t>
            </w:r>
          </w:p>
        </w:tc>
      </w:tr>
      <w:tr w:rsidR="003B1271" w:rsidRPr="00C76808" w:rsidTr="003D4200">
        <w:tc>
          <w:tcPr>
            <w:tcW w:w="851" w:type="dxa"/>
            <w:shd w:val="clear" w:color="auto" w:fill="auto"/>
            <w:vAlign w:val="center"/>
          </w:tcPr>
          <w:p w:rsidR="003B1271" w:rsidRPr="00C76808" w:rsidRDefault="003B1271" w:rsidP="003B1271">
            <w:pPr>
              <w:widowControl w:val="0"/>
              <w:tabs>
                <w:tab w:val="left" w:pos="622"/>
              </w:tabs>
              <w:spacing w:after="0" w:line="240" w:lineRule="auto"/>
              <w:rPr>
                <w:rFonts w:ascii="Times New Roman" w:eastAsia="AngsanaUPC" w:hAnsi="Times New Roman"/>
                <w:bCs/>
                <w:sz w:val="18"/>
                <w:szCs w:val="18"/>
                <w:lang w:val="en-GB" w:eastAsia="lt-LT"/>
              </w:rPr>
            </w:pPr>
            <w:r w:rsidRPr="00C76808">
              <w:rPr>
                <w:rFonts w:ascii="Times New Roman" w:eastAsia="AngsanaUPC" w:hAnsi="Times New Roman"/>
                <w:bCs/>
                <w:sz w:val="18"/>
                <w:szCs w:val="18"/>
                <w:lang w:val="en-GB" w:eastAsia="lt-LT"/>
              </w:rPr>
              <w:t>ERPF</w:t>
            </w:r>
          </w:p>
        </w:tc>
        <w:tc>
          <w:tcPr>
            <w:tcW w:w="709" w:type="dxa"/>
            <w:shd w:val="clear" w:color="auto" w:fill="auto"/>
            <w:vAlign w:val="center"/>
          </w:tcPr>
          <w:p w:rsidR="003B1271" w:rsidRPr="00C76808" w:rsidRDefault="003B1271" w:rsidP="00322BE2">
            <w:pPr>
              <w:widowControl w:val="0"/>
              <w:tabs>
                <w:tab w:val="left" w:pos="622"/>
              </w:tabs>
              <w:spacing w:after="0" w:line="240" w:lineRule="auto"/>
              <w:rPr>
                <w:rFonts w:ascii="Times New Roman" w:eastAsia="AngsanaUPC" w:hAnsi="Times New Roman"/>
                <w:bCs/>
                <w:sz w:val="18"/>
                <w:szCs w:val="18"/>
                <w:lang w:val="en-GB" w:eastAsia="lt-LT"/>
              </w:rPr>
            </w:pPr>
            <w:r w:rsidRPr="00C76808">
              <w:rPr>
                <w:rFonts w:ascii="Times New Roman" w:eastAsia="AngsanaUPC" w:hAnsi="Times New Roman"/>
                <w:bCs/>
                <w:sz w:val="18"/>
                <w:szCs w:val="18"/>
                <w:lang w:val="en-GB" w:eastAsia="lt-LT"/>
              </w:rPr>
              <w:t>93</w:t>
            </w:r>
          </w:p>
        </w:tc>
        <w:tc>
          <w:tcPr>
            <w:tcW w:w="6378" w:type="dxa"/>
            <w:shd w:val="clear" w:color="auto" w:fill="auto"/>
            <w:vAlign w:val="center"/>
          </w:tcPr>
          <w:p w:rsidR="003B1271" w:rsidRPr="00C76808" w:rsidRDefault="00144DB9" w:rsidP="00322BE2">
            <w:pPr>
              <w:widowControl w:val="0"/>
              <w:tabs>
                <w:tab w:val="left" w:pos="622"/>
              </w:tabs>
              <w:spacing w:after="0" w:line="240" w:lineRule="auto"/>
              <w:rPr>
                <w:rFonts w:ascii="Times New Roman" w:eastAsia="AngsanaUPC" w:hAnsi="Times New Roman"/>
                <w:bCs/>
                <w:sz w:val="18"/>
                <w:szCs w:val="18"/>
                <w:lang w:eastAsia="lt-LT"/>
              </w:rPr>
            </w:pPr>
            <w:r w:rsidRPr="00C76808">
              <w:rPr>
                <w:rFonts w:ascii="Times New Roman" w:eastAsia="AngsanaUPC" w:hAnsi="Times New Roman"/>
                <w:bCs/>
                <w:sz w:val="18"/>
                <w:szCs w:val="18"/>
                <w:lang w:eastAsia="lt-LT"/>
              </w:rPr>
              <w:t>Viešųjų turizmo paslaugų plėtojimas ir populiarinimas</w:t>
            </w:r>
          </w:p>
        </w:tc>
        <w:tc>
          <w:tcPr>
            <w:tcW w:w="1843" w:type="dxa"/>
            <w:shd w:val="clear" w:color="auto" w:fill="auto"/>
            <w:vAlign w:val="center"/>
          </w:tcPr>
          <w:p w:rsidR="003B1271" w:rsidRPr="00FC6264" w:rsidRDefault="00904083" w:rsidP="000D0444">
            <w:pPr>
              <w:widowControl w:val="0"/>
              <w:tabs>
                <w:tab w:val="left" w:pos="622"/>
              </w:tabs>
              <w:spacing w:after="0" w:line="240" w:lineRule="auto"/>
              <w:jc w:val="right"/>
              <w:rPr>
                <w:rFonts w:ascii="Times New Roman" w:eastAsia="AngsanaUPC" w:hAnsi="Times New Roman"/>
                <w:bCs/>
                <w:sz w:val="18"/>
                <w:szCs w:val="18"/>
                <w:lang w:val="en-GB" w:eastAsia="lt-LT"/>
              </w:rPr>
            </w:pPr>
            <w:r w:rsidRPr="00FC6264">
              <w:rPr>
                <w:rFonts w:ascii="Times New Roman" w:eastAsia="AngsanaUPC" w:hAnsi="Times New Roman"/>
                <w:bCs/>
                <w:sz w:val="18"/>
                <w:szCs w:val="18"/>
                <w:lang w:val="en-GB" w:eastAsia="lt-LT"/>
              </w:rPr>
              <w:t>22</w:t>
            </w:r>
            <w:r w:rsidR="00C76808"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633</w:t>
            </w:r>
            <w:r w:rsidR="00C76808" w:rsidRPr="00FC6264">
              <w:rPr>
                <w:rFonts w:ascii="Times New Roman" w:eastAsia="AngsanaUPC" w:hAnsi="Times New Roman"/>
                <w:bCs/>
                <w:sz w:val="18"/>
                <w:szCs w:val="18"/>
                <w:lang w:val="en-GB" w:eastAsia="lt-LT"/>
              </w:rPr>
              <w:t>.</w:t>
            </w:r>
            <w:r w:rsidR="00F626B3" w:rsidRPr="00FC6264">
              <w:rPr>
                <w:rFonts w:ascii="Times New Roman" w:eastAsia="AngsanaUPC" w:hAnsi="Times New Roman"/>
                <w:bCs/>
                <w:sz w:val="18"/>
                <w:szCs w:val="18"/>
                <w:lang w:val="en-GB" w:eastAsia="lt-LT"/>
              </w:rPr>
              <w:t>022</w:t>
            </w:r>
          </w:p>
        </w:tc>
      </w:tr>
      <w:tr w:rsidR="003B1271" w:rsidRPr="00C76808" w:rsidTr="003D4200">
        <w:tc>
          <w:tcPr>
            <w:tcW w:w="851" w:type="dxa"/>
            <w:shd w:val="clear" w:color="auto" w:fill="auto"/>
            <w:vAlign w:val="center"/>
          </w:tcPr>
          <w:p w:rsidR="003B1271" w:rsidRPr="00C76808" w:rsidRDefault="003B1271" w:rsidP="00322BE2">
            <w:pPr>
              <w:widowControl w:val="0"/>
              <w:tabs>
                <w:tab w:val="left" w:pos="622"/>
              </w:tabs>
              <w:spacing w:after="0" w:line="240" w:lineRule="auto"/>
              <w:rPr>
                <w:rFonts w:ascii="Times New Roman" w:eastAsia="AngsanaUPC" w:hAnsi="Times New Roman"/>
                <w:bCs/>
                <w:sz w:val="18"/>
                <w:szCs w:val="18"/>
                <w:lang w:val="en-GB" w:eastAsia="lt-LT"/>
              </w:rPr>
            </w:pPr>
            <w:r w:rsidRPr="00C76808">
              <w:rPr>
                <w:rFonts w:ascii="Times New Roman" w:eastAsia="AngsanaUPC" w:hAnsi="Times New Roman"/>
                <w:bCs/>
                <w:sz w:val="18"/>
                <w:szCs w:val="18"/>
                <w:lang w:val="en-GB" w:eastAsia="lt-LT"/>
              </w:rPr>
              <w:t>ERPF</w:t>
            </w:r>
          </w:p>
        </w:tc>
        <w:tc>
          <w:tcPr>
            <w:tcW w:w="709" w:type="dxa"/>
            <w:shd w:val="clear" w:color="auto" w:fill="auto"/>
            <w:vAlign w:val="center"/>
          </w:tcPr>
          <w:p w:rsidR="003B1271" w:rsidRPr="00C76808" w:rsidRDefault="003B1271" w:rsidP="00322BE2">
            <w:pPr>
              <w:widowControl w:val="0"/>
              <w:tabs>
                <w:tab w:val="left" w:pos="622"/>
              </w:tabs>
              <w:spacing w:after="0" w:line="240" w:lineRule="auto"/>
              <w:rPr>
                <w:rFonts w:ascii="Times New Roman" w:eastAsia="AngsanaUPC" w:hAnsi="Times New Roman"/>
                <w:bCs/>
                <w:sz w:val="18"/>
                <w:szCs w:val="18"/>
                <w:lang w:val="en-GB" w:eastAsia="lt-LT"/>
              </w:rPr>
            </w:pPr>
            <w:r w:rsidRPr="00C76808">
              <w:rPr>
                <w:rFonts w:ascii="Times New Roman" w:eastAsia="AngsanaUPC" w:hAnsi="Times New Roman"/>
                <w:bCs/>
                <w:sz w:val="18"/>
                <w:szCs w:val="18"/>
                <w:lang w:val="en-GB" w:eastAsia="lt-LT"/>
              </w:rPr>
              <w:t>94</w:t>
            </w:r>
          </w:p>
        </w:tc>
        <w:tc>
          <w:tcPr>
            <w:tcW w:w="6378" w:type="dxa"/>
            <w:shd w:val="clear" w:color="auto" w:fill="auto"/>
            <w:vAlign w:val="center"/>
          </w:tcPr>
          <w:p w:rsidR="003B1271" w:rsidRPr="00C76808" w:rsidRDefault="00144DB9" w:rsidP="00322BE2">
            <w:pPr>
              <w:widowControl w:val="0"/>
              <w:tabs>
                <w:tab w:val="left" w:pos="622"/>
              </w:tabs>
              <w:spacing w:after="0" w:line="240" w:lineRule="auto"/>
              <w:rPr>
                <w:rFonts w:ascii="Times New Roman" w:eastAsia="AngsanaUPC" w:hAnsi="Times New Roman"/>
                <w:bCs/>
                <w:sz w:val="18"/>
                <w:szCs w:val="18"/>
                <w:lang w:eastAsia="lt-LT"/>
              </w:rPr>
            </w:pPr>
            <w:r w:rsidRPr="00C76808">
              <w:rPr>
                <w:rFonts w:ascii="Times New Roman" w:eastAsia="AngsanaUPC" w:hAnsi="Times New Roman"/>
                <w:bCs/>
                <w:sz w:val="18"/>
                <w:szCs w:val="18"/>
                <w:lang w:eastAsia="lt-LT"/>
              </w:rPr>
              <w:t>Viešųjų kultūros ir paveldo vertybių apsauga, plėtojimas ir populiarinimas</w:t>
            </w:r>
          </w:p>
        </w:tc>
        <w:tc>
          <w:tcPr>
            <w:tcW w:w="1843" w:type="dxa"/>
            <w:shd w:val="clear" w:color="auto" w:fill="auto"/>
            <w:vAlign w:val="center"/>
          </w:tcPr>
          <w:p w:rsidR="003B1271" w:rsidRPr="00FC6264" w:rsidRDefault="009B4E2B" w:rsidP="000D0444">
            <w:pPr>
              <w:widowControl w:val="0"/>
              <w:tabs>
                <w:tab w:val="left" w:pos="622"/>
              </w:tabs>
              <w:spacing w:after="0" w:line="240" w:lineRule="auto"/>
              <w:jc w:val="right"/>
              <w:rPr>
                <w:rFonts w:ascii="Times New Roman" w:eastAsia="AngsanaUPC" w:hAnsi="Times New Roman"/>
                <w:bCs/>
                <w:sz w:val="18"/>
                <w:szCs w:val="18"/>
                <w:lang w:val="en-GB" w:eastAsia="lt-LT"/>
              </w:rPr>
            </w:pPr>
            <w:r w:rsidRPr="00FC6264">
              <w:rPr>
                <w:rFonts w:ascii="Times New Roman" w:eastAsia="AngsanaUPC" w:hAnsi="Times New Roman"/>
                <w:bCs/>
                <w:sz w:val="18"/>
                <w:szCs w:val="18"/>
                <w:lang w:val="en-GB" w:eastAsia="lt-LT"/>
              </w:rPr>
              <w:t>90</w:t>
            </w:r>
            <w:r w:rsidR="00C76808"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7</w:t>
            </w:r>
            <w:r w:rsidR="00F626B3" w:rsidRPr="00FC6264">
              <w:rPr>
                <w:rFonts w:ascii="Times New Roman" w:eastAsia="AngsanaUPC" w:hAnsi="Times New Roman"/>
                <w:bCs/>
                <w:sz w:val="18"/>
                <w:szCs w:val="18"/>
                <w:lang w:val="en-GB" w:eastAsia="lt-LT"/>
              </w:rPr>
              <w:t>50</w:t>
            </w:r>
            <w:r w:rsidR="00C76808" w:rsidRPr="00FC6264">
              <w:rPr>
                <w:rFonts w:ascii="Times New Roman" w:eastAsia="AngsanaUPC" w:hAnsi="Times New Roman"/>
                <w:bCs/>
                <w:sz w:val="18"/>
                <w:szCs w:val="18"/>
                <w:lang w:val="en-GB" w:eastAsia="lt-LT"/>
              </w:rPr>
              <w:t>.</w:t>
            </w:r>
            <w:r w:rsidR="00F626B3" w:rsidRPr="00FC6264">
              <w:rPr>
                <w:rFonts w:ascii="Times New Roman" w:eastAsia="AngsanaUPC" w:hAnsi="Times New Roman"/>
                <w:bCs/>
                <w:sz w:val="18"/>
                <w:szCs w:val="18"/>
                <w:lang w:val="en-GB" w:eastAsia="lt-LT"/>
              </w:rPr>
              <w:t>183</w:t>
            </w:r>
          </w:p>
        </w:tc>
      </w:tr>
    </w:tbl>
    <w:p w:rsidR="00322BE2" w:rsidRPr="002447B3" w:rsidRDefault="00322BE2" w:rsidP="00322BE2">
      <w:pPr>
        <w:widowControl w:val="0"/>
        <w:tabs>
          <w:tab w:val="left" w:pos="622"/>
        </w:tabs>
        <w:spacing w:after="0" w:line="240" w:lineRule="auto"/>
        <w:jc w:val="both"/>
        <w:rPr>
          <w:rFonts w:ascii="Times New Roman" w:hAnsi="Times New Roman"/>
          <w:iCs/>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9"/>
        <w:gridCol w:w="6378"/>
        <w:gridCol w:w="1808"/>
      </w:tblGrid>
      <w:tr w:rsidR="00322BE2" w:rsidRPr="002447B3" w:rsidTr="00BB0960">
        <w:tc>
          <w:tcPr>
            <w:tcW w:w="9746" w:type="dxa"/>
            <w:gridSpan w:val="4"/>
            <w:shd w:val="clear" w:color="auto" w:fill="EEECE1"/>
          </w:tcPr>
          <w:p w:rsidR="00322BE2" w:rsidRPr="002447B3" w:rsidRDefault="00322BE2" w:rsidP="00BB0960">
            <w:pPr>
              <w:widowControl w:val="0"/>
              <w:tabs>
                <w:tab w:val="left" w:pos="622"/>
              </w:tabs>
              <w:spacing w:after="0" w:line="240" w:lineRule="auto"/>
              <w:jc w:val="both"/>
              <w:rPr>
                <w:rFonts w:ascii="Times New Roman" w:hAnsi="Times New Roman"/>
                <w:i/>
                <w:iCs/>
                <w:sz w:val="18"/>
                <w:szCs w:val="18"/>
              </w:rPr>
            </w:pPr>
            <w:r w:rsidRPr="002447B3">
              <w:rPr>
                <w:rFonts w:ascii="Times New Roman" w:hAnsi="Times New Roman"/>
                <w:b/>
                <w:bCs/>
                <w:i/>
                <w:iCs/>
                <w:sz w:val="18"/>
                <w:szCs w:val="18"/>
              </w:rPr>
              <w:t>Finansavimo forma</w:t>
            </w:r>
          </w:p>
        </w:tc>
      </w:tr>
      <w:tr w:rsidR="00322BE2" w:rsidRPr="002447B3" w:rsidTr="003D4200">
        <w:tc>
          <w:tcPr>
            <w:tcW w:w="851" w:type="dxa"/>
            <w:shd w:val="clear" w:color="auto" w:fill="EEECE1"/>
            <w:vAlign w:val="center"/>
          </w:tcPr>
          <w:p w:rsidR="00322BE2" w:rsidRPr="002447B3" w:rsidRDefault="00322BE2" w:rsidP="00BB0960">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Fondas</w:t>
            </w:r>
          </w:p>
        </w:tc>
        <w:tc>
          <w:tcPr>
            <w:tcW w:w="709" w:type="dxa"/>
            <w:shd w:val="clear" w:color="auto" w:fill="EEECE1"/>
            <w:vAlign w:val="center"/>
          </w:tcPr>
          <w:p w:rsidR="00322BE2" w:rsidRPr="002447B3" w:rsidRDefault="00322BE2" w:rsidP="00BB0960">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Kodas</w:t>
            </w:r>
          </w:p>
        </w:tc>
        <w:tc>
          <w:tcPr>
            <w:tcW w:w="6378" w:type="dxa"/>
            <w:shd w:val="clear" w:color="auto" w:fill="EEECE1"/>
            <w:vAlign w:val="center"/>
          </w:tcPr>
          <w:p w:rsidR="00322BE2" w:rsidRPr="002447B3" w:rsidRDefault="00322BE2" w:rsidP="00BB0960">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Pavadinimas</w:t>
            </w:r>
          </w:p>
        </w:tc>
        <w:tc>
          <w:tcPr>
            <w:tcW w:w="1808" w:type="dxa"/>
            <w:shd w:val="clear" w:color="auto" w:fill="EEECE1"/>
            <w:vAlign w:val="center"/>
          </w:tcPr>
          <w:p w:rsidR="00322BE2" w:rsidRPr="002447B3" w:rsidRDefault="00322BE2" w:rsidP="00BB0960">
            <w:pPr>
              <w:widowControl w:val="0"/>
              <w:tabs>
                <w:tab w:val="left" w:pos="622"/>
              </w:tabs>
              <w:spacing w:after="0" w:line="240" w:lineRule="auto"/>
              <w:jc w:val="center"/>
              <w:rPr>
                <w:rFonts w:ascii="Times New Roman" w:hAnsi="Times New Roman"/>
                <w:b/>
                <w:bCs/>
                <w:iCs/>
                <w:sz w:val="18"/>
                <w:szCs w:val="18"/>
              </w:rPr>
            </w:pPr>
            <w:r w:rsidRPr="002447B3">
              <w:rPr>
                <w:rFonts w:ascii="Times New Roman" w:hAnsi="Times New Roman"/>
                <w:b/>
                <w:bCs/>
                <w:iCs/>
                <w:sz w:val="18"/>
                <w:szCs w:val="18"/>
              </w:rPr>
              <w:t>Finansinė proporcija (eurais)</w:t>
            </w:r>
          </w:p>
        </w:tc>
      </w:tr>
      <w:tr w:rsidR="00A31C69" w:rsidRPr="00C76808" w:rsidTr="003D4200">
        <w:tc>
          <w:tcPr>
            <w:tcW w:w="851" w:type="dxa"/>
            <w:shd w:val="clear" w:color="auto" w:fill="FFFFFF"/>
            <w:vAlign w:val="center"/>
          </w:tcPr>
          <w:p w:rsidR="00A31C69" w:rsidRPr="00C76808" w:rsidRDefault="00A31C69" w:rsidP="00BB0960">
            <w:pPr>
              <w:widowControl w:val="0"/>
              <w:tabs>
                <w:tab w:val="left" w:pos="622"/>
              </w:tabs>
              <w:spacing w:after="0" w:line="240" w:lineRule="auto"/>
              <w:jc w:val="both"/>
              <w:rPr>
                <w:rFonts w:ascii="Times New Roman" w:hAnsi="Times New Roman"/>
                <w:bCs/>
                <w:iCs/>
                <w:sz w:val="18"/>
                <w:szCs w:val="18"/>
              </w:rPr>
            </w:pPr>
            <w:r w:rsidRPr="00C76808">
              <w:rPr>
                <w:rFonts w:ascii="Times New Roman" w:hAnsi="Times New Roman"/>
                <w:bCs/>
                <w:iCs/>
                <w:sz w:val="18"/>
                <w:szCs w:val="18"/>
              </w:rPr>
              <w:t>ERPF</w:t>
            </w:r>
          </w:p>
        </w:tc>
        <w:tc>
          <w:tcPr>
            <w:tcW w:w="709" w:type="dxa"/>
            <w:shd w:val="clear" w:color="auto" w:fill="FFFFFF"/>
            <w:vAlign w:val="center"/>
          </w:tcPr>
          <w:p w:rsidR="00A31C69" w:rsidRPr="00D54F90" w:rsidRDefault="003D4200" w:rsidP="00BB0960">
            <w:pPr>
              <w:widowControl w:val="0"/>
              <w:tabs>
                <w:tab w:val="left" w:pos="622"/>
              </w:tabs>
              <w:spacing w:after="0" w:line="240" w:lineRule="auto"/>
              <w:jc w:val="both"/>
              <w:rPr>
                <w:rFonts w:ascii="Times New Roman" w:hAnsi="Times New Roman"/>
                <w:bCs/>
                <w:iCs/>
                <w:sz w:val="18"/>
                <w:szCs w:val="18"/>
              </w:rPr>
            </w:pPr>
            <w:r w:rsidRPr="00D54F90">
              <w:rPr>
                <w:rFonts w:ascii="Times New Roman" w:hAnsi="Times New Roman"/>
                <w:bCs/>
                <w:iCs/>
                <w:sz w:val="18"/>
                <w:szCs w:val="18"/>
              </w:rPr>
              <w:t>0</w:t>
            </w:r>
            <w:r w:rsidR="00A31C69" w:rsidRPr="00D54F90">
              <w:rPr>
                <w:rFonts w:ascii="Times New Roman" w:hAnsi="Times New Roman"/>
                <w:bCs/>
                <w:iCs/>
                <w:sz w:val="18"/>
                <w:szCs w:val="18"/>
              </w:rPr>
              <w:t>1</w:t>
            </w:r>
          </w:p>
        </w:tc>
        <w:tc>
          <w:tcPr>
            <w:tcW w:w="6378" w:type="dxa"/>
            <w:shd w:val="clear" w:color="auto" w:fill="FFFFFF"/>
            <w:vAlign w:val="center"/>
          </w:tcPr>
          <w:p w:rsidR="00A31C69" w:rsidRPr="00D54F90" w:rsidRDefault="00A31C69" w:rsidP="00BB0960">
            <w:pPr>
              <w:widowControl w:val="0"/>
              <w:tabs>
                <w:tab w:val="left" w:pos="622"/>
              </w:tabs>
              <w:spacing w:after="0" w:line="240" w:lineRule="auto"/>
              <w:jc w:val="both"/>
              <w:rPr>
                <w:rFonts w:ascii="Times New Roman" w:hAnsi="Times New Roman"/>
                <w:bCs/>
                <w:iCs/>
                <w:sz w:val="18"/>
                <w:szCs w:val="18"/>
              </w:rPr>
            </w:pPr>
            <w:r w:rsidRPr="00D54F90">
              <w:rPr>
                <w:rFonts w:ascii="Times New Roman" w:hAnsi="Times New Roman"/>
                <w:bCs/>
                <w:iCs/>
                <w:sz w:val="18"/>
                <w:szCs w:val="18"/>
              </w:rPr>
              <w:t>Negrąžinamoji subsidija</w:t>
            </w:r>
          </w:p>
        </w:tc>
        <w:tc>
          <w:tcPr>
            <w:tcW w:w="1808" w:type="dxa"/>
            <w:shd w:val="clear" w:color="auto" w:fill="FFFFFF"/>
            <w:vAlign w:val="center"/>
          </w:tcPr>
          <w:p w:rsidR="00A31C69" w:rsidRPr="00FC6264" w:rsidRDefault="00904083" w:rsidP="00BB0960">
            <w:pPr>
              <w:widowControl w:val="0"/>
              <w:tabs>
                <w:tab w:val="left" w:pos="622"/>
              </w:tabs>
              <w:spacing w:after="0" w:line="240" w:lineRule="auto"/>
              <w:jc w:val="right"/>
              <w:rPr>
                <w:rFonts w:ascii="Times New Roman" w:hAnsi="Times New Roman"/>
                <w:bCs/>
                <w:iCs/>
                <w:sz w:val="18"/>
                <w:szCs w:val="18"/>
              </w:rPr>
            </w:pPr>
            <w:r w:rsidRPr="00FC6264">
              <w:rPr>
                <w:rFonts w:ascii="Times New Roman" w:hAnsi="Times New Roman"/>
                <w:bCs/>
                <w:iCs/>
                <w:sz w:val="18"/>
                <w:szCs w:val="18"/>
                <w:lang w:val="en-GB"/>
              </w:rPr>
              <w:t>198</w:t>
            </w:r>
            <w:r w:rsidR="009348A3" w:rsidRPr="00FC6264">
              <w:rPr>
                <w:rFonts w:ascii="Times New Roman" w:hAnsi="Times New Roman"/>
                <w:bCs/>
                <w:iCs/>
                <w:sz w:val="18"/>
                <w:szCs w:val="18"/>
                <w:lang w:val="en-GB"/>
              </w:rPr>
              <w:t>.</w:t>
            </w:r>
            <w:r w:rsidRPr="00FC6264">
              <w:rPr>
                <w:rFonts w:ascii="Times New Roman" w:hAnsi="Times New Roman"/>
                <w:bCs/>
                <w:iCs/>
                <w:sz w:val="18"/>
                <w:szCs w:val="18"/>
                <w:lang w:val="en-GB"/>
              </w:rPr>
              <w:t>080</w:t>
            </w:r>
            <w:r w:rsidR="009348A3" w:rsidRPr="00FC6264">
              <w:rPr>
                <w:rFonts w:ascii="Times New Roman" w:hAnsi="Times New Roman"/>
                <w:bCs/>
                <w:iCs/>
                <w:sz w:val="18"/>
                <w:szCs w:val="18"/>
                <w:lang w:val="en-GB"/>
              </w:rPr>
              <w:t>.</w:t>
            </w:r>
            <w:r w:rsidR="00F626B3" w:rsidRPr="00FC6264">
              <w:rPr>
                <w:rFonts w:ascii="Times New Roman" w:hAnsi="Times New Roman"/>
                <w:bCs/>
                <w:iCs/>
                <w:sz w:val="18"/>
                <w:szCs w:val="18"/>
                <w:lang w:val="en-GB"/>
              </w:rPr>
              <w:t>709</w:t>
            </w:r>
          </w:p>
        </w:tc>
      </w:tr>
      <w:tr w:rsidR="003B1271" w:rsidRPr="00C76808" w:rsidTr="003D4200">
        <w:tc>
          <w:tcPr>
            <w:tcW w:w="851" w:type="dxa"/>
            <w:shd w:val="clear" w:color="auto" w:fill="auto"/>
            <w:vAlign w:val="center"/>
          </w:tcPr>
          <w:p w:rsidR="003B1271" w:rsidRPr="00C76808" w:rsidRDefault="003B1271" w:rsidP="00BB0960">
            <w:pPr>
              <w:widowControl w:val="0"/>
              <w:tabs>
                <w:tab w:val="left" w:pos="622"/>
              </w:tabs>
              <w:spacing w:after="0" w:line="240" w:lineRule="auto"/>
              <w:rPr>
                <w:rFonts w:ascii="Times New Roman" w:eastAsia="AngsanaUPC" w:hAnsi="Times New Roman"/>
                <w:bCs/>
                <w:sz w:val="18"/>
                <w:szCs w:val="18"/>
                <w:lang w:eastAsia="lt-LT"/>
              </w:rPr>
            </w:pPr>
            <w:r w:rsidRPr="00C76808">
              <w:rPr>
                <w:rFonts w:ascii="Times New Roman" w:eastAsia="AngsanaUPC" w:hAnsi="Times New Roman"/>
                <w:bCs/>
                <w:sz w:val="18"/>
                <w:szCs w:val="18"/>
                <w:lang w:eastAsia="lt-LT"/>
              </w:rPr>
              <w:t>SaF</w:t>
            </w:r>
          </w:p>
        </w:tc>
        <w:tc>
          <w:tcPr>
            <w:tcW w:w="709" w:type="dxa"/>
            <w:shd w:val="clear" w:color="auto" w:fill="auto"/>
            <w:vAlign w:val="center"/>
          </w:tcPr>
          <w:p w:rsidR="003B1271" w:rsidRPr="00D54F90" w:rsidRDefault="003D4200" w:rsidP="00BB0960">
            <w:pPr>
              <w:widowControl w:val="0"/>
              <w:tabs>
                <w:tab w:val="left" w:pos="622"/>
              </w:tabs>
              <w:spacing w:after="0" w:line="240" w:lineRule="auto"/>
              <w:rPr>
                <w:rFonts w:ascii="Times New Roman" w:eastAsia="AngsanaUPC" w:hAnsi="Times New Roman"/>
                <w:bCs/>
                <w:sz w:val="18"/>
                <w:szCs w:val="18"/>
                <w:lang w:eastAsia="lt-LT"/>
              </w:rPr>
            </w:pPr>
            <w:r w:rsidRPr="00D54F90">
              <w:rPr>
                <w:rFonts w:ascii="Times New Roman" w:eastAsia="AngsanaUPC" w:hAnsi="Times New Roman"/>
                <w:bCs/>
                <w:sz w:val="18"/>
                <w:szCs w:val="18"/>
                <w:lang w:eastAsia="lt-LT"/>
              </w:rPr>
              <w:t>0</w:t>
            </w:r>
            <w:r w:rsidR="003B1271" w:rsidRPr="00D54F90">
              <w:rPr>
                <w:rFonts w:ascii="Times New Roman" w:eastAsia="AngsanaUPC" w:hAnsi="Times New Roman"/>
                <w:bCs/>
                <w:sz w:val="18"/>
                <w:szCs w:val="18"/>
                <w:lang w:eastAsia="lt-LT"/>
              </w:rPr>
              <w:t>1</w:t>
            </w:r>
          </w:p>
        </w:tc>
        <w:tc>
          <w:tcPr>
            <w:tcW w:w="6378" w:type="dxa"/>
            <w:shd w:val="clear" w:color="auto" w:fill="auto"/>
            <w:vAlign w:val="center"/>
          </w:tcPr>
          <w:p w:rsidR="003B1271" w:rsidRPr="00D54F90" w:rsidRDefault="003B1271" w:rsidP="00BB0960">
            <w:pPr>
              <w:widowControl w:val="0"/>
              <w:tabs>
                <w:tab w:val="left" w:pos="622"/>
              </w:tabs>
              <w:spacing w:after="0" w:line="240" w:lineRule="auto"/>
              <w:rPr>
                <w:rFonts w:ascii="Times New Roman" w:eastAsia="AngsanaUPC" w:hAnsi="Times New Roman"/>
                <w:bCs/>
                <w:sz w:val="18"/>
                <w:szCs w:val="18"/>
                <w:lang w:eastAsia="lt-LT"/>
              </w:rPr>
            </w:pPr>
            <w:r w:rsidRPr="00D54F90">
              <w:rPr>
                <w:rFonts w:ascii="Times New Roman" w:eastAsia="AngsanaUPC" w:hAnsi="Times New Roman"/>
                <w:bCs/>
                <w:sz w:val="18"/>
                <w:szCs w:val="18"/>
                <w:lang w:eastAsia="lt-LT"/>
              </w:rPr>
              <w:t>Negrąžinamoji subsidija</w:t>
            </w:r>
          </w:p>
        </w:tc>
        <w:tc>
          <w:tcPr>
            <w:tcW w:w="1808" w:type="dxa"/>
            <w:shd w:val="clear" w:color="auto" w:fill="auto"/>
            <w:vAlign w:val="center"/>
          </w:tcPr>
          <w:p w:rsidR="003B1271" w:rsidRPr="00FC6264" w:rsidRDefault="00904083" w:rsidP="009B4E2B">
            <w:pPr>
              <w:widowControl w:val="0"/>
              <w:tabs>
                <w:tab w:val="left" w:pos="622"/>
              </w:tabs>
              <w:spacing w:after="0" w:line="240" w:lineRule="auto"/>
              <w:jc w:val="right"/>
              <w:rPr>
                <w:rFonts w:ascii="Times New Roman" w:eastAsia="AngsanaUPC" w:hAnsi="Times New Roman"/>
                <w:bCs/>
                <w:sz w:val="18"/>
                <w:szCs w:val="18"/>
                <w:lang w:eastAsia="lt-LT"/>
              </w:rPr>
            </w:pPr>
            <w:r w:rsidRPr="00FC6264">
              <w:rPr>
                <w:rFonts w:ascii="Times New Roman" w:eastAsia="AngsanaUPC" w:hAnsi="Times New Roman"/>
                <w:bCs/>
                <w:sz w:val="18"/>
                <w:szCs w:val="18"/>
                <w:lang w:eastAsia="lt-LT"/>
              </w:rPr>
              <w:t>682</w:t>
            </w:r>
            <w:r w:rsidR="009348A3" w:rsidRPr="00FC6264">
              <w:rPr>
                <w:rFonts w:ascii="Times New Roman" w:eastAsia="AngsanaUPC" w:hAnsi="Times New Roman"/>
                <w:bCs/>
                <w:sz w:val="18"/>
                <w:szCs w:val="18"/>
                <w:lang w:eastAsia="lt-LT"/>
              </w:rPr>
              <w:t>.</w:t>
            </w:r>
            <w:r w:rsidRPr="00FC6264">
              <w:rPr>
                <w:rFonts w:ascii="Times New Roman" w:eastAsia="AngsanaUPC" w:hAnsi="Times New Roman"/>
                <w:bCs/>
                <w:sz w:val="18"/>
                <w:szCs w:val="18"/>
                <w:lang w:eastAsia="lt-LT"/>
              </w:rPr>
              <w:t>9</w:t>
            </w:r>
            <w:r w:rsidR="009B4E2B" w:rsidRPr="00FC6264">
              <w:rPr>
                <w:rFonts w:ascii="Times New Roman" w:eastAsia="AngsanaUPC" w:hAnsi="Times New Roman"/>
                <w:bCs/>
                <w:sz w:val="18"/>
                <w:szCs w:val="18"/>
                <w:lang w:eastAsia="lt-LT"/>
              </w:rPr>
              <w:t>99</w:t>
            </w:r>
            <w:r w:rsidR="009348A3" w:rsidRPr="00FC6264">
              <w:rPr>
                <w:rFonts w:ascii="Times New Roman" w:eastAsia="AngsanaUPC" w:hAnsi="Times New Roman"/>
                <w:bCs/>
                <w:sz w:val="18"/>
                <w:szCs w:val="18"/>
                <w:lang w:eastAsia="lt-LT"/>
              </w:rPr>
              <w:t>.</w:t>
            </w:r>
            <w:r w:rsidR="00921052" w:rsidRPr="00FC6264">
              <w:rPr>
                <w:rFonts w:ascii="Times New Roman" w:eastAsia="AngsanaUPC" w:hAnsi="Times New Roman"/>
                <w:bCs/>
                <w:sz w:val="18"/>
                <w:szCs w:val="18"/>
                <w:lang w:eastAsia="lt-LT"/>
              </w:rPr>
              <w:t>88</w:t>
            </w:r>
            <w:r w:rsidR="009B4E2B" w:rsidRPr="00FC6264">
              <w:rPr>
                <w:rFonts w:ascii="Times New Roman" w:eastAsia="AngsanaUPC" w:hAnsi="Times New Roman"/>
                <w:bCs/>
                <w:sz w:val="18"/>
                <w:szCs w:val="18"/>
                <w:lang w:eastAsia="lt-LT"/>
              </w:rPr>
              <w:t>7</w:t>
            </w:r>
          </w:p>
        </w:tc>
      </w:tr>
      <w:tr w:rsidR="003B1271" w:rsidRPr="00C76808" w:rsidTr="003D4200">
        <w:tc>
          <w:tcPr>
            <w:tcW w:w="851" w:type="dxa"/>
            <w:shd w:val="clear" w:color="auto" w:fill="auto"/>
            <w:vAlign w:val="center"/>
          </w:tcPr>
          <w:p w:rsidR="003B1271" w:rsidRPr="00C76808" w:rsidRDefault="003B1271" w:rsidP="00BB0960">
            <w:pPr>
              <w:widowControl w:val="0"/>
              <w:tabs>
                <w:tab w:val="left" w:pos="622"/>
              </w:tabs>
              <w:spacing w:after="0" w:line="240" w:lineRule="auto"/>
              <w:rPr>
                <w:rFonts w:ascii="Times New Roman" w:eastAsia="AngsanaUPC" w:hAnsi="Times New Roman"/>
                <w:bCs/>
                <w:sz w:val="18"/>
                <w:szCs w:val="18"/>
                <w:lang w:eastAsia="lt-LT"/>
              </w:rPr>
            </w:pPr>
            <w:r w:rsidRPr="00C76808">
              <w:rPr>
                <w:rFonts w:ascii="Times New Roman" w:eastAsia="AngsanaUPC" w:hAnsi="Times New Roman"/>
                <w:bCs/>
                <w:sz w:val="18"/>
                <w:szCs w:val="18"/>
                <w:lang w:eastAsia="lt-LT"/>
              </w:rPr>
              <w:t>SaF</w:t>
            </w:r>
          </w:p>
        </w:tc>
        <w:tc>
          <w:tcPr>
            <w:tcW w:w="709" w:type="dxa"/>
            <w:shd w:val="clear" w:color="auto" w:fill="auto"/>
            <w:vAlign w:val="center"/>
          </w:tcPr>
          <w:p w:rsidR="003B1271" w:rsidRPr="00D54F90" w:rsidRDefault="003D4200" w:rsidP="005464A7">
            <w:pPr>
              <w:widowControl w:val="0"/>
              <w:tabs>
                <w:tab w:val="left" w:pos="622"/>
              </w:tabs>
              <w:spacing w:after="0" w:line="240" w:lineRule="auto"/>
              <w:rPr>
                <w:rFonts w:ascii="Times New Roman" w:eastAsia="AngsanaUPC" w:hAnsi="Times New Roman"/>
                <w:bCs/>
                <w:sz w:val="18"/>
                <w:szCs w:val="18"/>
                <w:lang w:eastAsia="lt-LT"/>
              </w:rPr>
            </w:pPr>
            <w:r w:rsidRPr="00D54F90">
              <w:rPr>
                <w:rFonts w:ascii="Times New Roman" w:eastAsia="AngsanaUPC" w:hAnsi="Times New Roman"/>
                <w:bCs/>
                <w:sz w:val="18"/>
                <w:szCs w:val="18"/>
                <w:lang w:eastAsia="lt-LT"/>
              </w:rPr>
              <w:t>0</w:t>
            </w:r>
            <w:r w:rsidR="005464A7" w:rsidRPr="00D54F90">
              <w:rPr>
                <w:rFonts w:ascii="Times New Roman" w:eastAsia="AngsanaUPC" w:hAnsi="Times New Roman"/>
                <w:bCs/>
                <w:sz w:val="18"/>
                <w:szCs w:val="18"/>
                <w:lang w:eastAsia="lt-LT"/>
              </w:rPr>
              <w:t>4</w:t>
            </w:r>
          </w:p>
        </w:tc>
        <w:tc>
          <w:tcPr>
            <w:tcW w:w="6378" w:type="dxa"/>
            <w:shd w:val="clear" w:color="auto" w:fill="auto"/>
          </w:tcPr>
          <w:p w:rsidR="003B1271" w:rsidRPr="00D54F90" w:rsidRDefault="00144DB9" w:rsidP="005464A7">
            <w:pPr>
              <w:spacing w:after="0" w:line="240" w:lineRule="auto"/>
              <w:rPr>
                <w:rFonts w:ascii="Times New Roman" w:hAnsi="Times New Roman"/>
                <w:sz w:val="18"/>
                <w:szCs w:val="18"/>
              </w:rPr>
            </w:pPr>
            <w:r w:rsidRPr="00D54F90">
              <w:rPr>
                <w:rFonts w:ascii="Times New Roman" w:eastAsia="AngsanaUPC" w:hAnsi="Times New Roman"/>
                <w:bCs/>
                <w:sz w:val="18"/>
                <w:szCs w:val="18"/>
                <w:lang w:eastAsia="lt-LT"/>
              </w:rPr>
              <w:t xml:space="preserve">Naudojantis finansinėmis priemonėmis teikiama parama: </w:t>
            </w:r>
            <w:r w:rsidR="005464A7" w:rsidRPr="00D54F90">
              <w:rPr>
                <w:rFonts w:ascii="Times New Roman" w:eastAsia="AngsanaUPC" w:hAnsi="Times New Roman"/>
                <w:bCs/>
                <w:sz w:val="18"/>
                <w:szCs w:val="18"/>
                <w:lang w:eastAsia="lt-LT"/>
              </w:rPr>
              <w:t>paskola</w:t>
            </w:r>
            <w:r w:rsidRPr="00D54F90">
              <w:rPr>
                <w:rFonts w:ascii="Times New Roman" w:eastAsia="AngsanaUPC" w:hAnsi="Times New Roman"/>
                <w:bCs/>
                <w:sz w:val="18"/>
                <w:szCs w:val="18"/>
                <w:lang w:eastAsia="lt-LT"/>
              </w:rPr>
              <w:t xml:space="preserve"> arba lygiavertė priemonė</w:t>
            </w:r>
          </w:p>
        </w:tc>
        <w:tc>
          <w:tcPr>
            <w:tcW w:w="1808" w:type="dxa"/>
            <w:shd w:val="clear" w:color="auto" w:fill="auto"/>
            <w:vAlign w:val="center"/>
          </w:tcPr>
          <w:p w:rsidR="003B1271" w:rsidRPr="00FC6264" w:rsidRDefault="009B4E2B" w:rsidP="009B4E2B">
            <w:pPr>
              <w:widowControl w:val="0"/>
              <w:tabs>
                <w:tab w:val="left" w:pos="622"/>
              </w:tabs>
              <w:spacing w:after="0" w:line="240" w:lineRule="auto"/>
              <w:jc w:val="right"/>
              <w:rPr>
                <w:rFonts w:ascii="Times New Roman" w:eastAsia="AngsanaUPC" w:hAnsi="Times New Roman"/>
                <w:bCs/>
                <w:sz w:val="18"/>
                <w:szCs w:val="18"/>
                <w:lang w:eastAsia="lt-LT"/>
              </w:rPr>
            </w:pPr>
            <w:r w:rsidRPr="00FC6264">
              <w:rPr>
                <w:rFonts w:ascii="Times New Roman" w:eastAsia="AngsanaUPC" w:hAnsi="Times New Roman"/>
                <w:bCs/>
                <w:sz w:val="18"/>
                <w:szCs w:val="18"/>
                <w:lang w:eastAsia="lt-LT"/>
              </w:rPr>
              <w:t>30</w:t>
            </w:r>
            <w:r w:rsidR="009348A3" w:rsidRPr="00FC6264">
              <w:rPr>
                <w:rFonts w:ascii="Times New Roman" w:eastAsia="AngsanaUPC" w:hAnsi="Times New Roman"/>
                <w:bCs/>
                <w:sz w:val="18"/>
                <w:szCs w:val="18"/>
                <w:lang w:eastAsia="lt-LT"/>
              </w:rPr>
              <w:t>.</w:t>
            </w:r>
            <w:r w:rsidRPr="00FC6264">
              <w:rPr>
                <w:rFonts w:ascii="Times New Roman" w:eastAsia="AngsanaUPC" w:hAnsi="Times New Roman"/>
                <w:bCs/>
                <w:sz w:val="18"/>
                <w:szCs w:val="18"/>
                <w:lang w:eastAsia="lt-LT"/>
              </w:rPr>
              <w:t>000</w:t>
            </w:r>
            <w:r w:rsidR="009348A3" w:rsidRPr="00FC6264">
              <w:rPr>
                <w:rFonts w:ascii="Times New Roman" w:eastAsia="AngsanaUPC" w:hAnsi="Times New Roman"/>
                <w:bCs/>
                <w:sz w:val="18"/>
                <w:szCs w:val="18"/>
                <w:lang w:eastAsia="lt-LT"/>
              </w:rPr>
              <w:t>.</w:t>
            </w:r>
            <w:r w:rsidRPr="00FC6264">
              <w:rPr>
                <w:rFonts w:ascii="Times New Roman" w:eastAsia="AngsanaUPC" w:hAnsi="Times New Roman"/>
                <w:bCs/>
                <w:sz w:val="18"/>
                <w:szCs w:val="18"/>
                <w:lang w:eastAsia="lt-LT"/>
              </w:rPr>
              <w:t>000</w:t>
            </w:r>
          </w:p>
        </w:tc>
      </w:tr>
    </w:tbl>
    <w:p w:rsidR="00322BE2" w:rsidRPr="002447B3" w:rsidRDefault="00322BE2" w:rsidP="00322BE2">
      <w:pPr>
        <w:widowControl w:val="0"/>
        <w:tabs>
          <w:tab w:val="left" w:pos="622"/>
        </w:tabs>
        <w:spacing w:after="0" w:line="240" w:lineRule="auto"/>
        <w:jc w:val="both"/>
        <w:rPr>
          <w:rFonts w:ascii="Times New Roman" w:hAnsi="Times New Roman"/>
          <w:iCs/>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9"/>
        <w:gridCol w:w="6378"/>
        <w:gridCol w:w="1808"/>
      </w:tblGrid>
      <w:tr w:rsidR="00322BE2" w:rsidRPr="002447B3" w:rsidTr="00BB0960">
        <w:tc>
          <w:tcPr>
            <w:tcW w:w="9746" w:type="dxa"/>
            <w:gridSpan w:val="4"/>
            <w:shd w:val="clear" w:color="auto" w:fill="EEECE1"/>
          </w:tcPr>
          <w:p w:rsidR="00322BE2" w:rsidRPr="002447B3" w:rsidRDefault="00322BE2" w:rsidP="00BB0960">
            <w:pPr>
              <w:widowControl w:val="0"/>
              <w:tabs>
                <w:tab w:val="left" w:pos="622"/>
              </w:tabs>
              <w:spacing w:after="0" w:line="240" w:lineRule="auto"/>
              <w:jc w:val="both"/>
              <w:rPr>
                <w:rFonts w:ascii="Times New Roman" w:hAnsi="Times New Roman"/>
                <w:i/>
                <w:iCs/>
                <w:sz w:val="18"/>
                <w:szCs w:val="18"/>
              </w:rPr>
            </w:pPr>
            <w:r w:rsidRPr="002447B3">
              <w:rPr>
                <w:rFonts w:ascii="Times New Roman" w:hAnsi="Times New Roman"/>
                <w:b/>
                <w:bCs/>
                <w:i/>
                <w:iCs/>
                <w:sz w:val="18"/>
                <w:szCs w:val="18"/>
              </w:rPr>
              <w:t>Teritorijų tipas</w:t>
            </w:r>
          </w:p>
        </w:tc>
      </w:tr>
      <w:tr w:rsidR="00322BE2" w:rsidRPr="002447B3" w:rsidTr="003D4200">
        <w:tc>
          <w:tcPr>
            <w:tcW w:w="851" w:type="dxa"/>
            <w:shd w:val="clear" w:color="auto" w:fill="EEECE1"/>
            <w:vAlign w:val="center"/>
          </w:tcPr>
          <w:p w:rsidR="00322BE2" w:rsidRPr="002447B3" w:rsidRDefault="00322BE2" w:rsidP="00BB0960">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Fondas</w:t>
            </w:r>
          </w:p>
        </w:tc>
        <w:tc>
          <w:tcPr>
            <w:tcW w:w="709" w:type="dxa"/>
            <w:shd w:val="clear" w:color="auto" w:fill="EEECE1"/>
            <w:vAlign w:val="center"/>
          </w:tcPr>
          <w:p w:rsidR="00322BE2" w:rsidRPr="002447B3" w:rsidRDefault="00322BE2" w:rsidP="00BB0960">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Kodas</w:t>
            </w:r>
          </w:p>
        </w:tc>
        <w:tc>
          <w:tcPr>
            <w:tcW w:w="6378" w:type="dxa"/>
            <w:shd w:val="clear" w:color="auto" w:fill="EEECE1"/>
            <w:vAlign w:val="center"/>
          </w:tcPr>
          <w:p w:rsidR="00322BE2" w:rsidRPr="002447B3" w:rsidRDefault="00322BE2" w:rsidP="00BB0960">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Pavadinimas</w:t>
            </w:r>
          </w:p>
        </w:tc>
        <w:tc>
          <w:tcPr>
            <w:tcW w:w="1808" w:type="dxa"/>
            <w:shd w:val="clear" w:color="auto" w:fill="EEECE1"/>
            <w:vAlign w:val="center"/>
          </w:tcPr>
          <w:p w:rsidR="00322BE2" w:rsidRPr="002447B3" w:rsidRDefault="00322BE2" w:rsidP="00BB0960">
            <w:pPr>
              <w:widowControl w:val="0"/>
              <w:tabs>
                <w:tab w:val="left" w:pos="622"/>
              </w:tabs>
              <w:spacing w:after="0" w:line="240" w:lineRule="auto"/>
              <w:jc w:val="center"/>
              <w:rPr>
                <w:rFonts w:ascii="Times New Roman" w:hAnsi="Times New Roman"/>
                <w:b/>
                <w:bCs/>
                <w:iCs/>
                <w:sz w:val="18"/>
                <w:szCs w:val="18"/>
              </w:rPr>
            </w:pPr>
            <w:r w:rsidRPr="002447B3">
              <w:rPr>
                <w:rFonts w:ascii="Times New Roman" w:hAnsi="Times New Roman"/>
                <w:b/>
                <w:bCs/>
                <w:iCs/>
                <w:sz w:val="18"/>
                <w:szCs w:val="18"/>
              </w:rPr>
              <w:t>Finansinė proporcija (eurais)</w:t>
            </w:r>
          </w:p>
        </w:tc>
      </w:tr>
      <w:tr w:rsidR="00A31C69" w:rsidRPr="009348A3" w:rsidTr="003D4200">
        <w:tc>
          <w:tcPr>
            <w:tcW w:w="851" w:type="dxa"/>
            <w:shd w:val="clear" w:color="auto" w:fill="FFFFFF"/>
            <w:vAlign w:val="center"/>
          </w:tcPr>
          <w:p w:rsidR="00A31C69" w:rsidRPr="009348A3" w:rsidRDefault="00A31C69" w:rsidP="00BB0960">
            <w:pPr>
              <w:widowControl w:val="0"/>
              <w:tabs>
                <w:tab w:val="left" w:pos="622"/>
              </w:tabs>
              <w:spacing w:after="0" w:line="240" w:lineRule="auto"/>
              <w:jc w:val="both"/>
              <w:rPr>
                <w:rFonts w:ascii="Times New Roman" w:hAnsi="Times New Roman"/>
                <w:bCs/>
                <w:iCs/>
                <w:sz w:val="18"/>
                <w:szCs w:val="18"/>
              </w:rPr>
            </w:pPr>
            <w:r w:rsidRPr="009348A3">
              <w:rPr>
                <w:rFonts w:ascii="Times New Roman" w:hAnsi="Times New Roman"/>
                <w:bCs/>
                <w:iCs/>
                <w:sz w:val="18"/>
                <w:szCs w:val="18"/>
              </w:rPr>
              <w:t>ERPF</w:t>
            </w:r>
          </w:p>
        </w:tc>
        <w:tc>
          <w:tcPr>
            <w:tcW w:w="709" w:type="dxa"/>
            <w:shd w:val="clear" w:color="auto" w:fill="FFFFFF"/>
            <w:vAlign w:val="center"/>
          </w:tcPr>
          <w:p w:rsidR="00A31C69" w:rsidRPr="009348A3" w:rsidRDefault="003D4200" w:rsidP="00BB0960">
            <w:pPr>
              <w:widowControl w:val="0"/>
              <w:tabs>
                <w:tab w:val="left" w:pos="622"/>
              </w:tabs>
              <w:spacing w:after="0" w:line="240" w:lineRule="auto"/>
              <w:jc w:val="both"/>
              <w:rPr>
                <w:rFonts w:ascii="Times New Roman" w:hAnsi="Times New Roman"/>
                <w:bCs/>
                <w:iCs/>
                <w:sz w:val="18"/>
                <w:szCs w:val="18"/>
              </w:rPr>
            </w:pPr>
            <w:r w:rsidRPr="009348A3">
              <w:rPr>
                <w:rFonts w:ascii="Times New Roman" w:hAnsi="Times New Roman"/>
                <w:bCs/>
                <w:iCs/>
                <w:sz w:val="18"/>
                <w:szCs w:val="18"/>
              </w:rPr>
              <w:t>0</w:t>
            </w:r>
            <w:r w:rsidR="00A31C69" w:rsidRPr="009348A3">
              <w:rPr>
                <w:rFonts w:ascii="Times New Roman" w:hAnsi="Times New Roman"/>
                <w:bCs/>
                <w:iCs/>
                <w:sz w:val="18"/>
                <w:szCs w:val="18"/>
              </w:rPr>
              <w:t>1</w:t>
            </w:r>
          </w:p>
        </w:tc>
        <w:tc>
          <w:tcPr>
            <w:tcW w:w="6378" w:type="dxa"/>
            <w:shd w:val="clear" w:color="auto" w:fill="FFFFFF"/>
            <w:vAlign w:val="center"/>
          </w:tcPr>
          <w:p w:rsidR="00A31C69" w:rsidRPr="009348A3" w:rsidRDefault="00A31C69" w:rsidP="00BB0960">
            <w:pPr>
              <w:widowControl w:val="0"/>
              <w:tabs>
                <w:tab w:val="left" w:pos="622"/>
              </w:tabs>
              <w:spacing w:after="0" w:line="240" w:lineRule="auto"/>
              <w:jc w:val="both"/>
              <w:rPr>
                <w:rFonts w:ascii="Times New Roman" w:hAnsi="Times New Roman"/>
                <w:bCs/>
                <w:iCs/>
                <w:sz w:val="18"/>
                <w:szCs w:val="18"/>
              </w:rPr>
            </w:pPr>
            <w:r w:rsidRPr="009348A3">
              <w:rPr>
                <w:rFonts w:ascii="Times New Roman" w:hAnsi="Times New Roman"/>
                <w:bCs/>
                <w:iCs/>
                <w:sz w:val="18"/>
                <w:szCs w:val="18"/>
              </w:rPr>
              <w:t>Didelės miesto teritorijos (tankiai apgyvendintos, &gt; 50 000 gyventojų)</w:t>
            </w:r>
          </w:p>
        </w:tc>
        <w:tc>
          <w:tcPr>
            <w:tcW w:w="1808" w:type="dxa"/>
            <w:shd w:val="clear" w:color="auto" w:fill="FFFFFF"/>
            <w:vAlign w:val="center"/>
          </w:tcPr>
          <w:p w:rsidR="00A31C69" w:rsidRPr="00FC6264" w:rsidRDefault="007904E0" w:rsidP="009B4E2B">
            <w:pPr>
              <w:widowControl w:val="0"/>
              <w:tabs>
                <w:tab w:val="left" w:pos="622"/>
              </w:tabs>
              <w:spacing w:after="0" w:line="240" w:lineRule="auto"/>
              <w:jc w:val="right"/>
              <w:rPr>
                <w:rFonts w:ascii="Times New Roman" w:hAnsi="Times New Roman"/>
                <w:bCs/>
                <w:iCs/>
                <w:sz w:val="18"/>
                <w:szCs w:val="18"/>
              </w:rPr>
            </w:pPr>
            <w:r w:rsidRPr="00FC6264">
              <w:rPr>
                <w:rFonts w:ascii="Times New Roman" w:hAnsi="Times New Roman"/>
                <w:bCs/>
                <w:iCs/>
                <w:sz w:val="18"/>
                <w:szCs w:val="18"/>
              </w:rPr>
              <w:t>22</w:t>
            </w:r>
            <w:r w:rsidR="009348A3" w:rsidRPr="00FC6264">
              <w:rPr>
                <w:rFonts w:ascii="Times New Roman" w:hAnsi="Times New Roman"/>
                <w:bCs/>
                <w:iCs/>
                <w:sz w:val="18"/>
                <w:szCs w:val="18"/>
              </w:rPr>
              <w:t>.</w:t>
            </w:r>
            <w:r w:rsidR="009B4E2B" w:rsidRPr="00FC6264">
              <w:rPr>
                <w:rFonts w:ascii="Times New Roman" w:hAnsi="Times New Roman"/>
                <w:bCs/>
                <w:iCs/>
                <w:sz w:val="18"/>
                <w:szCs w:val="18"/>
              </w:rPr>
              <w:t>649</w:t>
            </w:r>
            <w:r w:rsidR="009348A3" w:rsidRPr="00FC6264">
              <w:rPr>
                <w:rFonts w:ascii="Times New Roman" w:hAnsi="Times New Roman"/>
                <w:bCs/>
                <w:iCs/>
                <w:sz w:val="18"/>
                <w:szCs w:val="18"/>
              </w:rPr>
              <w:t>.</w:t>
            </w:r>
            <w:r w:rsidR="009B4E2B" w:rsidRPr="00FC6264">
              <w:rPr>
                <w:rFonts w:ascii="Times New Roman" w:hAnsi="Times New Roman"/>
                <w:bCs/>
                <w:iCs/>
                <w:sz w:val="18"/>
                <w:szCs w:val="18"/>
              </w:rPr>
              <w:t>577</w:t>
            </w:r>
          </w:p>
        </w:tc>
      </w:tr>
      <w:tr w:rsidR="003B1271" w:rsidRPr="009348A3" w:rsidTr="003D4200">
        <w:tc>
          <w:tcPr>
            <w:tcW w:w="851" w:type="dxa"/>
            <w:shd w:val="clear" w:color="auto" w:fill="auto"/>
            <w:vAlign w:val="center"/>
          </w:tcPr>
          <w:p w:rsidR="003B1271" w:rsidRPr="008F339D" w:rsidRDefault="003B1271" w:rsidP="00BB0960">
            <w:pPr>
              <w:widowControl w:val="0"/>
              <w:tabs>
                <w:tab w:val="left" w:pos="622"/>
              </w:tabs>
              <w:spacing w:after="0" w:line="240" w:lineRule="auto"/>
              <w:rPr>
                <w:rFonts w:ascii="Times New Roman" w:eastAsia="AngsanaUPC" w:hAnsi="Times New Roman"/>
                <w:bCs/>
                <w:sz w:val="18"/>
                <w:szCs w:val="18"/>
                <w:lang w:eastAsia="lt-LT"/>
              </w:rPr>
            </w:pPr>
            <w:r w:rsidRPr="008F339D">
              <w:rPr>
                <w:rFonts w:ascii="Times New Roman" w:eastAsia="AngsanaUPC" w:hAnsi="Times New Roman"/>
                <w:bCs/>
                <w:sz w:val="18"/>
                <w:szCs w:val="18"/>
                <w:lang w:eastAsia="lt-LT"/>
              </w:rPr>
              <w:t>SaF</w:t>
            </w:r>
          </w:p>
        </w:tc>
        <w:tc>
          <w:tcPr>
            <w:tcW w:w="709" w:type="dxa"/>
            <w:shd w:val="clear" w:color="auto" w:fill="auto"/>
            <w:vAlign w:val="center"/>
          </w:tcPr>
          <w:p w:rsidR="003B1271" w:rsidRPr="009348A3" w:rsidRDefault="003D4200" w:rsidP="00BB0960">
            <w:pPr>
              <w:widowControl w:val="0"/>
              <w:tabs>
                <w:tab w:val="left" w:pos="622"/>
              </w:tabs>
              <w:spacing w:after="0" w:line="240" w:lineRule="auto"/>
              <w:rPr>
                <w:rFonts w:ascii="Times New Roman" w:eastAsia="AngsanaUPC" w:hAnsi="Times New Roman"/>
                <w:bCs/>
                <w:sz w:val="18"/>
                <w:szCs w:val="18"/>
                <w:lang w:val="en-GB" w:eastAsia="lt-LT"/>
              </w:rPr>
            </w:pPr>
            <w:r w:rsidRPr="009348A3">
              <w:rPr>
                <w:rFonts w:ascii="Times New Roman" w:eastAsia="AngsanaUPC" w:hAnsi="Times New Roman"/>
                <w:bCs/>
                <w:sz w:val="18"/>
                <w:szCs w:val="18"/>
                <w:lang w:val="en-GB" w:eastAsia="lt-LT"/>
              </w:rPr>
              <w:t>0</w:t>
            </w:r>
            <w:r w:rsidR="003B1271" w:rsidRPr="009348A3">
              <w:rPr>
                <w:rFonts w:ascii="Times New Roman" w:eastAsia="AngsanaUPC" w:hAnsi="Times New Roman"/>
                <w:bCs/>
                <w:sz w:val="18"/>
                <w:szCs w:val="18"/>
                <w:lang w:val="en-GB" w:eastAsia="lt-LT"/>
              </w:rPr>
              <w:t>1</w:t>
            </w:r>
          </w:p>
        </w:tc>
        <w:tc>
          <w:tcPr>
            <w:tcW w:w="6378" w:type="dxa"/>
            <w:shd w:val="clear" w:color="auto" w:fill="auto"/>
            <w:vAlign w:val="center"/>
          </w:tcPr>
          <w:p w:rsidR="003B1271" w:rsidRPr="009348A3" w:rsidRDefault="003B1271" w:rsidP="00BB0960">
            <w:pPr>
              <w:widowControl w:val="0"/>
              <w:tabs>
                <w:tab w:val="left" w:pos="622"/>
              </w:tabs>
              <w:spacing w:after="0" w:line="240" w:lineRule="auto"/>
              <w:jc w:val="both"/>
              <w:rPr>
                <w:rFonts w:ascii="Times New Roman" w:hAnsi="Times New Roman"/>
                <w:bCs/>
                <w:iCs/>
                <w:sz w:val="18"/>
                <w:szCs w:val="18"/>
              </w:rPr>
            </w:pPr>
            <w:r w:rsidRPr="009348A3">
              <w:rPr>
                <w:rFonts w:ascii="Times New Roman" w:hAnsi="Times New Roman"/>
                <w:bCs/>
                <w:iCs/>
                <w:sz w:val="18"/>
                <w:szCs w:val="18"/>
              </w:rPr>
              <w:t>Didelės miesto teritorijos (tankiai apgyvendintos, &gt; 50 000 gyventojų)</w:t>
            </w:r>
          </w:p>
        </w:tc>
        <w:tc>
          <w:tcPr>
            <w:tcW w:w="1808" w:type="dxa"/>
            <w:shd w:val="clear" w:color="auto" w:fill="auto"/>
            <w:vAlign w:val="center"/>
          </w:tcPr>
          <w:p w:rsidR="003B1271" w:rsidRPr="00FC6264" w:rsidRDefault="009B4E2B" w:rsidP="00463952">
            <w:pPr>
              <w:widowControl w:val="0"/>
              <w:tabs>
                <w:tab w:val="left" w:pos="622"/>
              </w:tabs>
              <w:spacing w:after="0" w:line="240" w:lineRule="auto"/>
              <w:jc w:val="right"/>
              <w:rPr>
                <w:rFonts w:ascii="Times New Roman" w:eastAsia="AngsanaUPC" w:hAnsi="Times New Roman"/>
                <w:bCs/>
                <w:sz w:val="18"/>
                <w:szCs w:val="18"/>
                <w:lang w:val="en-GB" w:eastAsia="lt-LT"/>
              </w:rPr>
            </w:pPr>
            <w:r w:rsidRPr="00FC6264">
              <w:rPr>
                <w:rFonts w:ascii="Times New Roman" w:eastAsia="AngsanaUPC" w:hAnsi="Times New Roman"/>
                <w:bCs/>
                <w:sz w:val="18"/>
                <w:szCs w:val="18"/>
                <w:lang w:val="en-GB" w:eastAsia="lt-LT"/>
              </w:rPr>
              <w:t>234</w:t>
            </w:r>
            <w:r w:rsidR="009348A3"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629</w:t>
            </w:r>
            <w:r w:rsidR="009348A3"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493</w:t>
            </w:r>
          </w:p>
        </w:tc>
      </w:tr>
      <w:tr w:rsidR="003B1271" w:rsidRPr="009348A3" w:rsidTr="003D4200">
        <w:tc>
          <w:tcPr>
            <w:tcW w:w="851" w:type="dxa"/>
            <w:shd w:val="clear" w:color="auto" w:fill="auto"/>
            <w:vAlign w:val="center"/>
          </w:tcPr>
          <w:p w:rsidR="003B1271" w:rsidRPr="008F339D" w:rsidRDefault="003B1271" w:rsidP="00BB0960">
            <w:pPr>
              <w:widowControl w:val="0"/>
              <w:tabs>
                <w:tab w:val="left" w:pos="622"/>
              </w:tabs>
              <w:spacing w:after="0" w:line="240" w:lineRule="auto"/>
              <w:rPr>
                <w:rFonts w:ascii="Times New Roman" w:eastAsia="AngsanaUPC" w:hAnsi="Times New Roman"/>
                <w:bCs/>
                <w:sz w:val="18"/>
                <w:szCs w:val="18"/>
                <w:lang w:eastAsia="lt-LT"/>
              </w:rPr>
            </w:pPr>
            <w:r w:rsidRPr="008F339D">
              <w:rPr>
                <w:rFonts w:ascii="Times New Roman" w:eastAsia="AngsanaUPC" w:hAnsi="Times New Roman"/>
                <w:bCs/>
                <w:sz w:val="18"/>
                <w:szCs w:val="18"/>
                <w:lang w:eastAsia="lt-LT"/>
              </w:rPr>
              <w:t>SaF</w:t>
            </w:r>
          </w:p>
        </w:tc>
        <w:tc>
          <w:tcPr>
            <w:tcW w:w="709" w:type="dxa"/>
            <w:shd w:val="clear" w:color="auto" w:fill="auto"/>
            <w:vAlign w:val="center"/>
          </w:tcPr>
          <w:p w:rsidR="003B1271" w:rsidRPr="009348A3" w:rsidRDefault="003D4200" w:rsidP="00BB0960">
            <w:pPr>
              <w:widowControl w:val="0"/>
              <w:tabs>
                <w:tab w:val="left" w:pos="622"/>
              </w:tabs>
              <w:spacing w:after="0" w:line="240" w:lineRule="auto"/>
              <w:rPr>
                <w:rFonts w:ascii="Times New Roman" w:eastAsia="AngsanaUPC" w:hAnsi="Times New Roman"/>
                <w:bCs/>
                <w:sz w:val="18"/>
                <w:szCs w:val="18"/>
                <w:lang w:val="en-GB" w:eastAsia="lt-LT"/>
              </w:rPr>
            </w:pPr>
            <w:r w:rsidRPr="009348A3">
              <w:rPr>
                <w:rFonts w:ascii="Times New Roman" w:eastAsia="AngsanaUPC" w:hAnsi="Times New Roman"/>
                <w:bCs/>
                <w:sz w:val="18"/>
                <w:szCs w:val="18"/>
                <w:lang w:val="en-GB" w:eastAsia="lt-LT"/>
              </w:rPr>
              <w:t>0</w:t>
            </w:r>
            <w:r w:rsidR="003B1271" w:rsidRPr="009348A3">
              <w:rPr>
                <w:rFonts w:ascii="Times New Roman" w:eastAsia="AngsanaUPC" w:hAnsi="Times New Roman"/>
                <w:bCs/>
                <w:sz w:val="18"/>
                <w:szCs w:val="18"/>
                <w:lang w:val="en-GB" w:eastAsia="lt-LT"/>
              </w:rPr>
              <w:t>2</w:t>
            </w:r>
          </w:p>
        </w:tc>
        <w:tc>
          <w:tcPr>
            <w:tcW w:w="6378" w:type="dxa"/>
            <w:shd w:val="clear" w:color="auto" w:fill="auto"/>
            <w:vAlign w:val="center"/>
          </w:tcPr>
          <w:p w:rsidR="003B1271" w:rsidRPr="009348A3" w:rsidRDefault="00144DB9" w:rsidP="00BB0960">
            <w:pPr>
              <w:widowControl w:val="0"/>
              <w:tabs>
                <w:tab w:val="left" w:pos="622"/>
              </w:tabs>
              <w:spacing w:after="0" w:line="240" w:lineRule="auto"/>
              <w:jc w:val="both"/>
              <w:rPr>
                <w:rFonts w:ascii="Times New Roman" w:hAnsi="Times New Roman"/>
                <w:bCs/>
                <w:iCs/>
                <w:sz w:val="18"/>
                <w:szCs w:val="18"/>
              </w:rPr>
            </w:pPr>
            <w:r w:rsidRPr="009348A3">
              <w:rPr>
                <w:rFonts w:ascii="Times New Roman" w:hAnsi="Times New Roman"/>
                <w:bCs/>
                <w:iCs/>
                <w:sz w:val="18"/>
                <w:szCs w:val="18"/>
              </w:rPr>
              <w:t>Mažos miesto teritorijos (vidutiniškai tankiai apgyvendintos, &gt; 5 000 gyventojų)</w:t>
            </w:r>
          </w:p>
        </w:tc>
        <w:tc>
          <w:tcPr>
            <w:tcW w:w="1808" w:type="dxa"/>
            <w:shd w:val="clear" w:color="auto" w:fill="auto"/>
            <w:vAlign w:val="center"/>
          </w:tcPr>
          <w:p w:rsidR="003B1271" w:rsidRPr="00FC6264" w:rsidRDefault="009B4E2B" w:rsidP="009B4E2B">
            <w:pPr>
              <w:widowControl w:val="0"/>
              <w:tabs>
                <w:tab w:val="left" w:pos="622"/>
              </w:tabs>
              <w:spacing w:after="0" w:line="240" w:lineRule="auto"/>
              <w:jc w:val="right"/>
              <w:rPr>
                <w:rFonts w:ascii="Times New Roman" w:eastAsia="AngsanaUPC" w:hAnsi="Times New Roman"/>
                <w:bCs/>
                <w:sz w:val="18"/>
                <w:szCs w:val="18"/>
                <w:lang w:val="en-GB" w:eastAsia="lt-LT"/>
              </w:rPr>
            </w:pPr>
            <w:r w:rsidRPr="00FC6264">
              <w:rPr>
                <w:rFonts w:ascii="Times New Roman" w:eastAsia="AngsanaUPC" w:hAnsi="Times New Roman"/>
                <w:bCs/>
                <w:sz w:val="18"/>
                <w:szCs w:val="18"/>
                <w:lang w:val="en-GB" w:eastAsia="lt-LT"/>
              </w:rPr>
              <w:t>134</w:t>
            </w:r>
            <w:r w:rsidR="009348A3"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868</w:t>
            </w:r>
            <w:r w:rsidR="009348A3"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459</w:t>
            </w:r>
          </w:p>
        </w:tc>
      </w:tr>
      <w:tr w:rsidR="003B1271" w:rsidRPr="009348A3" w:rsidTr="003D4200">
        <w:tc>
          <w:tcPr>
            <w:tcW w:w="851" w:type="dxa"/>
            <w:shd w:val="clear" w:color="auto" w:fill="auto"/>
            <w:vAlign w:val="center"/>
          </w:tcPr>
          <w:p w:rsidR="003B1271" w:rsidRPr="008F339D" w:rsidRDefault="003B1271" w:rsidP="00BB0960">
            <w:pPr>
              <w:widowControl w:val="0"/>
              <w:tabs>
                <w:tab w:val="left" w:pos="622"/>
              </w:tabs>
              <w:spacing w:after="0" w:line="240" w:lineRule="auto"/>
              <w:rPr>
                <w:rFonts w:ascii="Times New Roman" w:eastAsia="AngsanaUPC" w:hAnsi="Times New Roman"/>
                <w:bCs/>
                <w:sz w:val="18"/>
                <w:szCs w:val="18"/>
                <w:lang w:eastAsia="lt-LT"/>
              </w:rPr>
            </w:pPr>
            <w:r w:rsidRPr="008F339D">
              <w:rPr>
                <w:rFonts w:ascii="Times New Roman" w:eastAsia="AngsanaUPC" w:hAnsi="Times New Roman"/>
                <w:bCs/>
                <w:sz w:val="18"/>
                <w:szCs w:val="18"/>
                <w:lang w:eastAsia="lt-LT"/>
              </w:rPr>
              <w:t>ERPF</w:t>
            </w:r>
          </w:p>
        </w:tc>
        <w:tc>
          <w:tcPr>
            <w:tcW w:w="709" w:type="dxa"/>
            <w:shd w:val="clear" w:color="auto" w:fill="auto"/>
            <w:vAlign w:val="center"/>
          </w:tcPr>
          <w:p w:rsidR="003B1271" w:rsidRPr="009348A3" w:rsidRDefault="003D4200" w:rsidP="00BB0960">
            <w:pPr>
              <w:widowControl w:val="0"/>
              <w:tabs>
                <w:tab w:val="left" w:pos="622"/>
              </w:tabs>
              <w:spacing w:after="0" w:line="240" w:lineRule="auto"/>
              <w:rPr>
                <w:rFonts w:ascii="Times New Roman" w:eastAsia="AngsanaUPC" w:hAnsi="Times New Roman"/>
                <w:bCs/>
                <w:sz w:val="18"/>
                <w:szCs w:val="18"/>
                <w:lang w:val="en-GB" w:eastAsia="lt-LT"/>
              </w:rPr>
            </w:pPr>
            <w:r w:rsidRPr="009348A3">
              <w:rPr>
                <w:rFonts w:ascii="Times New Roman" w:eastAsia="AngsanaUPC" w:hAnsi="Times New Roman"/>
                <w:bCs/>
                <w:sz w:val="18"/>
                <w:szCs w:val="18"/>
                <w:lang w:val="en-GB" w:eastAsia="lt-LT"/>
              </w:rPr>
              <w:t>0</w:t>
            </w:r>
            <w:r w:rsidR="003B1271" w:rsidRPr="009348A3">
              <w:rPr>
                <w:rFonts w:ascii="Times New Roman" w:eastAsia="AngsanaUPC" w:hAnsi="Times New Roman"/>
                <w:bCs/>
                <w:sz w:val="18"/>
                <w:szCs w:val="18"/>
                <w:lang w:val="en-GB" w:eastAsia="lt-LT"/>
              </w:rPr>
              <w:t>3</w:t>
            </w:r>
          </w:p>
        </w:tc>
        <w:tc>
          <w:tcPr>
            <w:tcW w:w="6378" w:type="dxa"/>
            <w:shd w:val="clear" w:color="auto" w:fill="auto"/>
            <w:vAlign w:val="center"/>
          </w:tcPr>
          <w:p w:rsidR="003B1271" w:rsidRPr="009348A3" w:rsidRDefault="00144DB9" w:rsidP="00BB0960">
            <w:pPr>
              <w:widowControl w:val="0"/>
              <w:tabs>
                <w:tab w:val="left" w:pos="622"/>
              </w:tabs>
              <w:spacing w:after="0" w:line="240" w:lineRule="auto"/>
              <w:jc w:val="both"/>
              <w:rPr>
                <w:rFonts w:ascii="Times New Roman" w:hAnsi="Times New Roman"/>
                <w:bCs/>
                <w:iCs/>
                <w:sz w:val="18"/>
                <w:szCs w:val="18"/>
              </w:rPr>
            </w:pPr>
            <w:r w:rsidRPr="009348A3">
              <w:rPr>
                <w:rFonts w:ascii="Times New Roman" w:hAnsi="Times New Roman"/>
                <w:bCs/>
                <w:iCs/>
                <w:sz w:val="18"/>
                <w:szCs w:val="18"/>
              </w:rPr>
              <w:t>Kaimo teritorijos (retai apgyvendintos)</w:t>
            </w:r>
          </w:p>
        </w:tc>
        <w:tc>
          <w:tcPr>
            <w:tcW w:w="1808" w:type="dxa"/>
            <w:shd w:val="clear" w:color="auto" w:fill="auto"/>
            <w:vAlign w:val="center"/>
          </w:tcPr>
          <w:p w:rsidR="003B1271" w:rsidRPr="00FC6264" w:rsidRDefault="007904E0" w:rsidP="00BB0960">
            <w:pPr>
              <w:widowControl w:val="0"/>
              <w:tabs>
                <w:tab w:val="left" w:pos="622"/>
              </w:tabs>
              <w:spacing w:after="0" w:line="240" w:lineRule="auto"/>
              <w:jc w:val="right"/>
              <w:rPr>
                <w:rFonts w:ascii="Times New Roman" w:eastAsia="AngsanaUPC" w:hAnsi="Times New Roman"/>
                <w:bCs/>
                <w:sz w:val="18"/>
                <w:szCs w:val="18"/>
                <w:lang w:val="en-GB" w:eastAsia="lt-LT"/>
              </w:rPr>
            </w:pPr>
            <w:r w:rsidRPr="00FC6264">
              <w:rPr>
                <w:rFonts w:ascii="Times New Roman" w:eastAsia="AngsanaUPC" w:hAnsi="Times New Roman"/>
                <w:bCs/>
                <w:sz w:val="18"/>
                <w:szCs w:val="18"/>
                <w:lang w:val="en-GB" w:eastAsia="lt-LT"/>
              </w:rPr>
              <w:t>45</w:t>
            </w:r>
            <w:r w:rsidR="009348A3"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467</w:t>
            </w:r>
            <w:r w:rsidR="009348A3"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692</w:t>
            </w:r>
          </w:p>
        </w:tc>
      </w:tr>
      <w:tr w:rsidR="003B1271" w:rsidRPr="009348A3" w:rsidTr="003D4200">
        <w:tc>
          <w:tcPr>
            <w:tcW w:w="851" w:type="dxa"/>
            <w:shd w:val="clear" w:color="auto" w:fill="auto"/>
            <w:vAlign w:val="center"/>
          </w:tcPr>
          <w:p w:rsidR="003B1271" w:rsidRPr="008F339D" w:rsidRDefault="003B1271" w:rsidP="00BB0960">
            <w:pPr>
              <w:widowControl w:val="0"/>
              <w:tabs>
                <w:tab w:val="left" w:pos="622"/>
              </w:tabs>
              <w:spacing w:after="0" w:line="240" w:lineRule="auto"/>
              <w:rPr>
                <w:rFonts w:ascii="Times New Roman" w:eastAsia="AngsanaUPC" w:hAnsi="Times New Roman"/>
                <w:bCs/>
                <w:sz w:val="18"/>
                <w:szCs w:val="18"/>
                <w:lang w:eastAsia="lt-LT"/>
              </w:rPr>
            </w:pPr>
            <w:r w:rsidRPr="008F339D">
              <w:rPr>
                <w:rFonts w:ascii="Times New Roman" w:eastAsia="AngsanaUPC" w:hAnsi="Times New Roman"/>
                <w:bCs/>
                <w:sz w:val="18"/>
                <w:szCs w:val="18"/>
                <w:lang w:eastAsia="lt-LT"/>
              </w:rPr>
              <w:t>SaF</w:t>
            </w:r>
          </w:p>
        </w:tc>
        <w:tc>
          <w:tcPr>
            <w:tcW w:w="709" w:type="dxa"/>
            <w:shd w:val="clear" w:color="auto" w:fill="auto"/>
            <w:vAlign w:val="center"/>
          </w:tcPr>
          <w:p w:rsidR="003B1271" w:rsidRPr="009348A3" w:rsidRDefault="003D4200" w:rsidP="00BB0960">
            <w:pPr>
              <w:widowControl w:val="0"/>
              <w:tabs>
                <w:tab w:val="left" w:pos="622"/>
              </w:tabs>
              <w:spacing w:after="0" w:line="240" w:lineRule="auto"/>
              <w:rPr>
                <w:rFonts w:ascii="Times New Roman" w:eastAsia="AngsanaUPC" w:hAnsi="Times New Roman"/>
                <w:bCs/>
                <w:sz w:val="18"/>
                <w:szCs w:val="18"/>
                <w:lang w:val="en-GB" w:eastAsia="lt-LT"/>
              </w:rPr>
            </w:pPr>
            <w:r w:rsidRPr="009348A3">
              <w:rPr>
                <w:rFonts w:ascii="Times New Roman" w:eastAsia="AngsanaUPC" w:hAnsi="Times New Roman"/>
                <w:bCs/>
                <w:sz w:val="18"/>
                <w:szCs w:val="18"/>
                <w:lang w:val="en-GB" w:eastAsia="lt-LT"/>
              </w:rPr>
              <w:t>0</w:t>
            </w:r>
            <w:r w:rsidR="003B1271" w:rsidRPr="009348A3">
              <w:rPr>
                <w:rFonts w:ascii="Times New Roman" w:eastAsia="AngsanaUPC" w:hAnsi="Times New Roman"/>
                <w:bCs/>
                <w:sz w:val="18"/>
                <w:szCs w:val="18"/>
                <w:lang w:val="en-GB" w:eastAsia="lt-LT"/>
              </w:rPr>
              <w:t>3</w:t>
            </w:r>
          </w:p>
        </w:tc>
        <w:tc>
          <w:tcPr>
            <w:tcW w:w="6378" w:type="dxa"/>
            <w:shd w:val="clear" w:color="auto" w:fill="auto"/>
            <w:vAlign w:val="center"/>
          </w:tcPr>
          <w:p w:rsidR="003B1271" w:rsidRPr="009348A3" w:rsidRDefault="00144DB9" w:rsidP="00BB0960">
            <w:pPr>
              <w:widowControl w:val="0"/>
              <w:tabs>
                <w:tab w:val="left" w:pos="622"/>
              </w:tabs>
              <w:spacing w:after="0" w:line="240" w:lineRule="auto"/>
              <w:jc w:val="both"/>
              <w:rPr>
                <w:rFonts w:ascii="Times New Roman" w:hAnsi="Times New Roman"/>
                <w:bCs/>
                <w:iCs/>
                <w:sz w:val="18"/>
                <w:szCs w:val="18"/>
              </w:rPr>
            </w:pPr>
            <w:r w:rsidRPr="009348A3">
              <w:rPr>
                <w:rFonts w:ascii="Times New Roman" w:hAnsi="Times New Roman"/>
                <w:bCs/>
                <w:iCs/>
                <w:sz w:val="18"/>
                <w:szCs w:val="18"/>
              </w:rPr>
              <w:t>Kaimo teritorijos (retai apgyvendintos)</w:t>
            </w:r>
          </w:p>
        </w:tc>
        <w:tc>
          <w:tcPr>
            <w:tcW w:w="1808" w:type="dxa"/>
            <w:shd w:val="clear" w:color="auto" w:fill="auto"/>
            <w:vAlign w:val="center"/>
          </w:tcPr>
          <w:p w:rsidR="003B1271" w:rsidRPr="00FC6264" w:rsidRDefault="009B4E2B" w:rsidP="00904083">
            <w:pPr>
              <w:widowControl w:val="0"/>
              <w:tabs>
                <w:tab w:val="left" w:pos="622"/>
              </w:tabs>
              <w:spacing w:after="0" w:line="240" w:lineRule="auto"/>
              <w:jc w:val="right"/>
              <w:rPr>
                <w:rFonts w:ascii="Times New Roman" w:eastAsia="AngsanaUPC" w:hAnsi="Times New Roman"/>
                <w:bCs/>
                <w:sz w:val="18"/>
                <w:szCs w:val="18"/>
                <w:lang w:val="en-GB" w:eastAsia="lt-LT"/>
              </w:rPr>
            </w:pPr>
            <w:r w:rsidRPr="00FC6264">
              <w:rPr>
                <w:rFonts w:ascii="Times New Roman" w:eastAsia="AngsanaUPC" w:hAnsi="Times New Roman"/>
                <w:bCs/>
                <w:sz w:val="18"/>
                <w:szCs w:val="18"/>
                <w:lang w:val="en-GB" w:eastAsia="lt-LT"/>
              </w:rPr>
              <w:t>2</w:t>
            </w:r>
            <w:r w:rsidR="00904083" w:rsidRPr="00FC6264">
              <w:rPr>
                <w:rFonts w:ascii="Times New Roman" w:eastAsia="AngsanaUPC" w:hAnsi="Times New Roman"/>
                <w:bCs/>
                <w:sz w:val="18"/>
                <w:szCs w:val="18"/>
                <w:lang w:val="en-GB" w:eastAsia="lt-LT"/>
              </w:rPr>
              <w:t>46</w:t>
            </w:r>
            <w:r w:rsidR="009348A3" w:rsidRPr="00FC6264">
              <w:rPr>
                <w:rFonts w:ascii="Times New Roman" w:eastAsia="AngsanaUPC" w:hAnsi="Times New Roman"/>
                <w:bCs/>
                <w:sz w:val="18"/>
                <w:szCs w:val="18"/>
                <w:lang w:val="en-GB" w:eastAsia="lt-LT"/>
              </w:rPr>
              <w:t>.</w:t>
            </w:r>
            <w:r w:rsidR="00904083" w:rsidRPr="00FC6264">
              <w:rPr>
                <w:rFonts w:ascii="Times New Roman" w:eastAsia="AngsanaUPC" w:hAnsi="Times New Roman"/>
                <w:bCs/>
                <w:sz w:val="18"/>
                <w:szCs w:val="18"/>
                <w:lang w:val="en-GB" w:eastAsia="lt-LT"/>
              </w:rPr>
              <w:t>5</w:t>
            </w:r>
            <w:r w:rsidRPr="00FC6264">
              <w:rPr>
                <w:rFonts w:ascii="Times New Roman" w:eastAsia="AngsanaUPC" w:hAnsi="Times New Roman"/>
                <w:bCs/>
                <w:sz w:val="18"/>
                <w:szCs w:val="18"/>
                <w:lang w:val="en-GB" w:eastAsia="lt-LT"/>
              </w:rPr>
              <w:t>09</w:t>
            </w:r>
            <w:r w:rsidR="009348A3"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851</w:t>
            </w:r>
          </w:p>
        </w:tc>
      </w:tr>
      <w:tr w:rsidR="003B1271" w:rsidRPr="009348A3" w:rsidTr="003D4200">
        <w:tc>
          <w:tcPr>
            <w:tcW w:w="851" w:type="dxa"/>
            <w:shd w:val="clear" w:color="auto" w:fill="auto"/>
            <w:vAlign w:val="center"/>
          </w:tcPr>
          <w:p w:rsidR="003B1271" w:rsidRPr="008F339D" w:rsidRDefault="003B1271" w:rsidP="00BB0960">
            <w:pPr>
              <w:widowControl w:val="0"/>
              <w:tabs>
                <w:tab w:val="left" w:pos="622"/>
              </w:tabs>
              <w:spacing w:after="0" w:line="240" w:lineRule="auto"/>
              <w:rPr>
                <w:rFonts w:ascii="Times New Roman" w:eastAsia="AngsanaUPC" w:hAnsi="Times New Roman"/>
                <w:bCs/>
                <w:sz w:val="18"/>
                <w:szCs w:val="18"/>
                <w:lang w:eastAsia="lt-LT"/>
              </w:rPr>
            </w:pPr>
            <w:r w:rsidRPr="008F339D">
              <w:rPr>
                <w:rFonts w:ascii="Times New Roman" w:eastAsia="AngsanaUPC" w:hAnsi="Times New Roman"/>
                <w:bCs/>
                <w:sz w:val="18"/>
                <w:szCs w:val="18"/>
                <w:lang w:eastAsia="lt-LT"/>
              </w:rPr>
              <w:t>ERPF</w:t>
            </w:r>
          </w:p>
        </w:tc>
        <w:tc>
          <w:tcPr>
            <w:tcW w:w="709" w:type="dxa"/>
            <w:shd w:val="clear" w:color="auto" w:fill="auto"/>
            <w:vAlign w:val="center"/>
          </w:tcPr>
          <w:p w:rsidR="003B1271" w:rsidRPr="009348A3" w:rsidRDefault="003D4200" w:rsidP="00BB0960">
            <w:pPr>
              <w:widowControl w:val="0"/>
              <w:tabs>
                <w:tab w:val="left" w:pos="622"/>
              </w:tabs>
              <w:spacing w:after="0" w:line="240" w:lineRule="auto"/>
              <w:rPr>
                <w:rFonts w:ascii="Times New Roman" w:eastAsia="AngsanaUPC" w:hAnsi="Times New Roman"/>
                <w:bCs/>
                <w:sz w:val="18"/>
                <w:szCs w:val="18"/>
                <w:lang w:val="en-GB" w:eastAsia="lt-LT"/>
              </w:rPr>
            </w:pPr>
            <w:r w:rsidRPr="009348A3">
              <w:rPr>
                <w:rFonts w:ascii="Times New Roman" w:eastAsia="AngsanaUPC" w:hAnsi="Times New Roman"/>
                <w:bCs/>
                <w:sz w:val="18"/>
                <w:szCs w:val="18"/>
                <w:lang w:val="en-GB" w:eastAsia="lt-LT"/>
              </w:rPr>
              <w:t>0</w:t>
            </w:r>
            <w:r w:rsidR="003B1271" w:rsidRPr="009348A3">
              <w:rPr>
                <w:rFonts w:ascii="Times New Roman" w:eastAsia="AngsanaUPC" w:hAnsi="Times New Roman"/>
                <w:bCs/>
                <w:sz w:val="18"/>
                <w:szCs w:val="18"/>
                <w:lang w:val="en-GB" w:eastAsia="lt-LT"/>
              </w:rPr>
              <w:t>7</w:t>
            </w:r>
          </w:p>
        </w:tc>
        <w:tc>
          <w:tcPr>
            <w:tcW w:w="6378" w:type="dxa"/>
            <w:shd w:val="clear" w:color="auto" w:fill="auto"/>
            <w:vAlign w:val="center"/>
          </w:tcPr>
          <w:p w:rsidR="003B1271" w:rsidRPr="009348A3" w:rsidRDefault="00144DB9" w:rsidP="00BB0960">
            <w:pPr>
              <w:widowControl w:val="0"/>
              <w:tabs>
                <w:tab w:val="left" w:pos="622"/>
              </w:tabs>
              <w:spacing w:after="0" w:line="240" w:lineRule="auto"/>
              <w:jc w:val="both"/>
              <w:rPr>
                <w:rFonts w:ascii="Times New Roman" w:hAnsi="Times New Roman"/>
                <w:bCs/>
                <w:iCs/>
                <w:sz w:val="18"/>
                <w:szCs w:val="18"/>
              </w:rPr>
            </w:pPr>
            <w:r w:rsidRPr="009348A3">
              <w:rPr>
                <w:rFonts w:ascii="Times New Roman" w:hAnsi="Times New Roman"/>
                <w:bCs/>
                <w:iCs/>
                <w:sz w:val="18"/>
                <w:szCs w:val="18"/>
              </w:rPr>
              <w:t>Netaikoma</w:t>
            </w:r>
          </w:p>
        </w:tc>
        <w:tc>
          <w:tcPr>
            <w:tcW w:w="1808" w:type="dxa"/>
            <w:shd w:val="clear" w:color="auto" w:fill="auto"/>
            <w:vAlign w:val="center"/>
          </w:tcPr>
          <w:p w:rsidR="003B1271" w:rsidRPr="00FC6264" w:rsidRDefault="00904083" w:rsidP="009B4E2B">
            <w:pPr>
              <w:widowControl w:val="0"/>
              <w:tabs>
                <w:tab w:val="left" w:pos="622"/>
              </w:tabs>
              <w:spacing w:after="0" w:line="240" w:lineRule="auto"/>
              <w:jc w:val="right"/>
              <w:rPr>
                <w:rFonts w:ascii="Times New Roman" w:eastAsia="AngsanaUPC" w:hAnsi="Times New Roman"/>
                <w:bCs/>
                <w:sz w:val="18"/>
                <w:szCs w:val="18"/>
                <w:lang w:val="en-GB" w:eastAsia="lt-LT"/>
              </w:rPr>
            </w:pPr>
            <w:r w:rsidRPr="00FC6264">
              <w:rPr>
                <w:rFonts w:ascii="Times New Roman" w:eastAsia="AngsanaUPC" w:hAnsi="Times New Roman"/>
                <w:bCs/>
                <w:sz w:val="18"/>
                <w:szCs w:val="18"/>
                <w:lang w:val="en-GB" w:eastAsia="lt-LT"/>
              </w:rPr>
              <w:t>129</w:t>
            </w:r>
            <w:r w:rsidR="009348A3"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963</w:t>
            </w:r>
            <w:r w:rsidR="009348A3" w:rsidRPr="00FC6264">
              <w:rPr>
                <w:rFonts w:ascii="Times New Roman" w:eastAsia="AngsanaUPC" w:hAnsi="Times New Roman"/>
                <w:bCs/>
                <w:sz w:val="18"/>
                <w:szCs w:val="18"/>
                <w:lang w:val="en-GB" w:eastAsia="lt-LT"/>
              </w:rPr>
              <w:t>.</w:t>
            </w:r>
            <w:r w:rsidR="009B4E2B" w:rsidRPr="00FC6264">
              <w:rPr>
                <w:rFonts w:ascii="Times New Roman" w:eastAsia="AngsanaUPC" w:hAnsi="Times New Roman"/>
                <w:bCs/>
                <w:sz w:val="18"/>
                <w:szCs w:val="18"/>
                <w:lang w:val="en-GB" w:eastAsia="lt-LT"/>
              </w:rPr>
              <w:t>440</w:t>
            </w:r>
          </w:p>
        </w:tc>
      </w:tr>
      <w:tr w:rsidR="003B1271" w:rsidRPr="009348A3" w:rsidTr="003D4200">
        <w:tc>
          <w:tcPr>
            <w:tcW w:w="851" w:type="dxa"/>
            <w:shd w:val="clear" w:color="auto" w:fill="auto"/>
            <w:vAlign w:val="center"/>
          </w:tcPr>
          <w:p w:rsidR="003B1271" w:rsidRPr="008F339D" w:rsidRDefault="003B1271" w:rsidP="00BB0960">
            <w:pPr>
              <w:widowControl w:val="0"/>
              <w:tabs>
                <w:tab w:val="left" w:pos="622"/>
              </w:tabs>
              <w:spacing w:after="0" w:line="240" w:lineRule="auto"/>
              <w:rPr>
                <w:rFonts w:ascii="Times New Roman" w:eastAsia="AngsanaUPC" w:hAnsi="Times New Roman"/>
                <w:bCs/>
                <w:sz w:val="18"/>
                <w:szCs w:val="18"/>
                <w:lang w:eastAsia="lt-LT"/>
              </w:rPr>
            </w:pPr>
            <w:r w:rsidRPr="008F339D">
              <w:rPr>
                <w:rFonts w:ascii="Times New Roman" w:eastAsia="AngsanaUPC" w:hAnsi="Times New Roman"/>
                <w:bCs/>
                <w:sz w:val="18"/>
                <w:szCs w:val="18"/>
                <w:lang w:eastAsia="lt-LT"/>
              </w:rPr>
              <w:t>SaF</w:t>
            </w:r>
          </w:p>
        </w:tc>
        <w:tc>
          <w:tcPr>
            <w:tcW w:w="709" w:type="dxa"/>
            <w:shd w:val="clear" w:color="auto" w:fill="auto"/>
            <w:vAlign w:val="center"/>
          </w:tcPr>
          <w:p w:rsidR="003B1271" w:rsidRPr="009348A3" w:rsidRDefault="003D4200" w:rsidP="00BB0960">
            <w:pPr>
              <w:widowControl w:val="0"/>
              <w:tabs>
                <w:tab w:val="left" w:pos="622"/>
              </w:tabs>
              <w:spacing w:after="0" w:line="240" w:lineRule="auto"/>
              <w:rPr>
                <w:rFonts w:ascii="Times New Roman" w:eastAsia="AngsanaUPC" w:hAnsi="Times New Roman"/>
                <w:bCs/>
                <w:sz w:val="18"/>
                <w:szCs w:val="18"/>
                <w:lang w:val="en-GB" w:eastAsia="lt-LT"/>
              </w:rPr>
            </w:pPr>
            <w:r w:rsidRPr="009348A3">
              <w:rPr>
                <w:rFonts w:ascii="Times New Roman" w:eastAsia="AngsanaUPC" w:hAnsi="Times New Roman"/>
                <w:bCs/>
                <w:sz w:val="18"/>
                <w:szCs w:val="18"/>
                <w:lang w:val="en-GB" w:eastAsia="lt-LT"/>
              </w:rPr>
              <w:t>0</w:t>
            </w:r>
            <w:r w:rsidR="003B1271" w:rsidRPr="009348A3">
              <w:rPr>
                <w:rFonts w:ascii="Times New Roman" w:eastAsia="AngsanaUPC" w:hAnsi="Times New Roman"/>
                <w:bCs/>
                <w:sz w:val="18"/>
                <w:szCs w:val="18"/>
                <w:lang w:val="en-GB" w:eastAsia="lt-LT"/>
              </w:rPr>
              <w:t>7</w:t>
            </w:r>
          </w:p>
        </w:tc>
        <w:tc>
          <w:tcPr>
            <w:tcW w:w="6378" w:type="dxa"/>
            <w:shd w:val="clear" w:color="auto" w:fill="auto"/>
            <w:vAlign w:val="center"/>
          </w:tcPr>
          <w:p w:rsidR="003B1271" w:rsidRPr="009348A3" w:rsidRDefault="00144DB9" w:rsidP="00BB0960">
            <w:pPr>
              <w:widowControl w:val="0"/>
              <w:tabs>
                <w:tab w:val="left" w:pos="622"/>
              </w:tabs>
              <w:spacing w:after="0" w:line="240" w:lineRule="auto"/>
              <w:jc w:val="both"/>
              <w:rPr>
                <w:rFonts w:ascii="Times New Roman" w:hAnsi="Times New Roman"/>
                <w:bCs/>
                <w:iCs/>
                <w:sz w:val="18"/>
                <w:szCs w:val="18"/>
              </w:rPr>
            </w:pPr>
            <w:r w:rsidRPr="009348A3">
              <w:rPr>
                <w:rFonts w:ascii="Times New Roman" w:hAnsi="Times New Roman"/>
                <w:bCs/>
                <w:iCs/>
                <w:sz w:val="18"/>
                <w:szCs w:val="18"/>
              </w:rPr>
              <w:t>Netaikoma</w:t>
            </w:r>
          </w:p>
        </w:tc>
        <w:tc>
          <w:tcPr>
            <w:tcW w:w="1808" w:type="dxa"/>
            <w:shd w:val="clear" w:color="auto" w:fill="auto"/>
            <w:vAlign w:val="center"/>
          </w:tcPr>
          <w:p w:rsidR="003B1271" w:rsidRPr="00FC6264" w:rsidRDefault="009B4E2B" w:rsidP="009B4E2B">
            <w:pPr>
              <w:widowControl w:val="0"/>
              <w:tabs>
                <w:tab w:val="left" w:pos="622"/>
              </w:tabs>
              <w:spacing w:after="0" w:line="240" w:lineRule="auto"/>
              <w:jc w:val="right"/>
              <w:rPr>
                <w:rFonts w:ascii="Times New Roman" w:eastAsia="AngsanaUPC" w:hAnsi="Times New Roman"/>
                <w:bCs/>
                <w:sz w:val="18"/>
                <w:szCs w:val="18"/>
                <w:lang w:val="en-GB" w:eastAsia="lt-LT"/>
              </w:rPr>
            </w:pPr>
            <w:r w:rsidRPr="00FC6264">
              <w:rPr>
                <w:rFonts w:ascii="Times New Roman" w:eastAsia="AngsanaUPC" w:hAnsi="Times New Roman"/>
                <w:bCs/>
                <w:sz w:val="18"/>
                <w:szCs w:val="18"/>
                <w:lang w:val="en-GB" w:eastAsia="lt-LT"/>
              </w:rPr>
              <w:t>96</w:t>
            </w:r>
            <w:r w:rsidR="009348A3"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992</w:t>
            </w:r>
            <w:r w:rsidR="009348A3"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084</w:t>
            </w:r>
          </w:p>
        </w:tc>
      </w:tr>
    </w:tbl>
    <w:p w:rsidR="00322BE2" w:rsidRPr="002447B3" w:rsidRDefault="00322BE2" w:rsidP="00322BE2">
      <w:pPr>
        <w:widowControl w:val="0"/>
        <w:tabs>
          <w:tab w:val="left" w:pos="622"/>
        </w:tabs>
        <w:spacing w:after="0" w:line="240" w:lineRule="auto"/>
        <w:jc w:val="both"/>
        <w:rPr>
          <w:rFonts w:ascii="Times New Roman" w:hAnsi="Times New Roman"/>
          <w:iCs/>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9"/>
        <w:gridCol w:w="6378"/>
        <w:gridCol w:w="1808"/>
      </w:tblGrid>
      <w:tr w:rsidR="00322BE2" w:rsidRPr="002447B3" w:rsidTr="00BB0960">
        <w:tc>
          <w:tcPr>
            <w:tcW w:w="9746" w:type="dxa"/>
            <w:gridSpan w:val="4"/>
            <w:shd w:val="clear" w:color="auto" w:fill="EEECE1"/>
          </w:tcPr>
          <w:p w:rsidR="00322BE2" w:rsidRPr="002447B3" w:rsidRDefault="00322BE2" w:rsidP="00BB0960">
            <w:pPr>
              <w:widowControl w:val="0"/>
              <w:tabs>
                <w:tab w:val="left" w:pos="622"/>
              </w:tabs>
              <w:spacing w:after="0" w:line="240" w:lineRule="auto"/>
              <w:jc w:val="both"/>
              <w:rPr>
                <w:rFonts w:ascii="Times New Roman" w:hAnsi="Times New Roman"/>
                <w:i/>
                <w:iCs/>
                <w:sz w:val="18"/>
                <w:szCs w:val="18"/>
              </w:rPr>
            </w:pPr>
            <w:r w:rsidRPr="002447B3">
              <w:rPr>
                <w:rFonts w:ascii="Times New Roman" w:hAnsi="Times New Roman"/>
                <w:b/>
                <w:bCs/>
                <w:i/>
                <w:iCs/>
                <w:sz w:val="18"/>
                <w:szCs w:val="18"/>
              </w:rPr>
              <w:t>Teritorinės paramos paskirstymo priemonės</w:t>
            </w:r>
          </w:p>
        </w:tc>
      </w:tr>
      <w:tr w:rsidR="00322BE2" w:rsidRPr="002447B3" w:rsidTr="003D4200">
        <w:tc>
          <w:tcPr>
            <w:tcW w:w="851" w:type="dxa"/>
            <w:shd w:val="clear" w:color="auto" w:fill="EEECE1"/>
            <w:vAlign w:val="center"/>
          </w:tcPr>
          <w:p w:rsidR="00322BE2" w:rsidRPr="002447B3" w:rsidRDefault="00322BE2" w:rsidP="00BB0960">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Fondas</w:t>
            </w:r>
          </w:p>
        </w:tc>
        <w:tc>
          <w:tcPr>
            <w:tcW w:w="709" w:type="dxa"/>
            <w:shd w:val="clear" w:color="auto" w:fill="EEECE1"/>
            <w:vAlign w:val="center"/>
          </w:tcPr>
          <w:p w:rsidR="00322BE2" w:rsidRPr="002447B3" w:rsidRDefault="00322BE2" w:rsidP="00BB0960">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Kodas</w:t>
            </w:r>
          </w:p>
        </w:tc>
        <w:tc>
          <w:tcPr>
            <w:tcW w:w="6378" w:type="dxa"/>
            <w:shd w:val="clear" w:color="auto" w:fill="EEECE1"/>
            <w:vAlign w:val="center"/>
          </w:tcPr>
          <w:p w:rsidR="00322BE2" w:rsidRPr="002447B3" w:rsidRDefault="00322BE2" w:rsidP="00BB0960">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Pavadinimas</w:t>
            </w:r>
          </w:p>
        </w:tc>
        <w:tc>
          <w:tcPr>
            <w:tcW w:w="1808" w:type="dxa"/>
            <w:shd w:val="clear" w:color="auto" w:fill="EEECE1"/>
            <w:vAlign w:val="center"/>
          </w:tcPr>
          <w:p w:rsidR="00322BE2" w:rsidRPr="002447B3" w:rsidRDefault="00322BE2" w:rsidP="00BB0960">
            <w:pPr>
              <w:widowControl w:val="0"/>
              <w:tabs>
                <w:tab w:val="left" w:pos="622"/>
              </w:tabs>
              <w:spacing w:after="0" w:line="240" w:lineRule="auto"/>
              <w:jc w:val="center"/>
              <w:rPr>
                <w:rFonts w:ascii="Times New Roman" w:hAnsi="Times New Roman"/>
                <w:b/>
                <w:bCs/>
                <w:iCs/>
                <w:sz w:val="18"/>
                <w:szCs w:val="18"/>
              </w:rPr>
            </w:pPr>
            <w:r w:rsidRPr="002447B3">
              <w:rPr>
                <w:rFonts w:ascii="Times New Roman" w:hAnsi="Times New Roman"/>
                <w:b/>
                <w:bCs/>
                <w:iCs/>
                <w:sz w:val="18"/>
                <w:szCs w:val="18"/>
              </w:rPr>
              <w:t>Finansinė proporcija (eurais)</w:t>
            </w:r>
          </w:p>
        </w:tc>
      </w:tr>
      <w:tr w:rsidR="007904E0" w:rsidRPr="009348A3" w:rsidTr="003D4200">
        <w:tc>
          <w:tcPr>
            <w:tcW w:w="851" w:type="dxa"/>
            <w:shd w:val="clear" w:color="auto" w:fill="FFFFFF"/>
            <w:vAlign w:val="center"/>
          </w:tcPr>
          <w:p w:rsidR="007904E0" w:rsidRPr="009348A3" w:rsidRDefault="007904E0" w:rsidP="001352F5">
            <w:pPr>
              <w:widowControl w:val="0"/>
              <w:tabs>
                <w:tab w:val="left" w:pos="622"/>
              </w:tabs>
              <w:spacing w:after="0" w:line="240" w:lineRule="auto"/>
              <w:jc w:val="both"/>
              <w:rPr>
                <w:rFonts w:ascii="Times New Roman" w:hAnsi="Times New Roman"/>
                <w:bCs/>
                <w:iCs/>
                <w:sz w:val="18"/>
                <w:szCs w:val="18"/>
              </w:rPr>
            </w:pPr>
            <w:r w:rsidRPr="009348A3">
              <w:rPr>
                <w:rFonts w:ascii="Times New Roman" w:hAnsi="Times New Roman"/>
                <w:bCs/>
                <w:iCs/>
                <w:sz w:val="18"/>
                <w:szCs w:val="18"/>
              </w:rPr>
              <w:t>ERPF</w:t>
            </w:r>
          </w:p>
        </w:tc>
        <w:tc>
          <w:tcPr>
            <w:tcW w:w="709" w:type="dxa"/>
            <w:shd w:val="clear" w:color="auto" w:fill="FFFFFF"/>
            <w:vAlign w:val="center"/>
          </w:tcPr>
          <w:p w:rsidR="007904E0" w:rsidRPr="009348A3" w:rsidRDefault="007904E0" w:rsidP="001352F5">
            <w:pPr>
              <w:widowControl w:val="0"/>
              <w:tabs>
                <w:tab w:val="left" w:pos="622"/>
              </w:tabs>
              <w:spacing w:after="0" w:line="240" w:lineRule="auto"/>
              <w:jc w:val="both"/>
              <w:rPr>
                <w:rFonts w:ascii="Times New Roman" w:hAnsi="Times New Roman"/>
                <w:bCs/>
                <w:iCs/>
                <w:sz w:val="18"/>
                <w:szCs w:val="18"/>
              </w:rPr>
            </w:pPr>
            <w:r w:rsidRPr="009348A3">
              <w:rPr>
                <w:rFonts w:ascii="Times New Roman" w:hAnsi="Times New Roman"/>
                <w:bCs/>
                <w:iCs/>
                <w:sz w:val="18"/>
                <w:szCs w:val="18"/>
              </w:rPr>
              <w:t>01</w:t>
            </w:r>
          </w:p>
        </w:tc>
        <w:tc>
          <w:tcPr>
            <w:tcW w:w="6378" w:type="dxa"/>
            <w:shd w:val="clear" w:color="auto" w:fill="FFFFFF"/>
            <w:vAlign w:val="center"/>
          </w:tcPr>
          <w:p w:rsidR="007904E0" w:rsidRPr="009348A3" w:rsidRDefault="007904E0" w:rsidP="001352F5">
            <w:pPr>
              <w:widowControl w:val="0"/>
              <w:tabs>
                <w:tab w:val="left" w:pos="622"/>
              </w:tabs>
              <w:spacing w:after="0" w:line="240" w:lineRule="auto"/>
              <w:jc w:val="both"/>
              <w:rPr>
                <w:rFonts w:ascii="Times New Roman" w:hAnsi="Times New Roman"/>
                <w:bCs/>
                <w:iCs/>
                <w:sz w:val="18"/>
                <w:szCs w:val="18"/>
              </w:rPr>
            </w:pPr>
            <w:r w:rsidRPr="009348A3">
              <w:rPr>
                <w:rFonts w:ascii="Times New Roman" w:hAnsi="Times New Roman"/>
                <w:bCs/>
                <w:iCs/>
                <w:sz w:val="18"/>
                <w:szCs w:val="18"/>
              </w:rPr>
              <w:t>Integruotosios teritorinės investicijos: miesto teritorijos</w:t>
            </w:r>
          </w:p>
        </w:tc>
        <w:tc>
          <w:tcPr>
            <w:tcW w:w="1808" w:type="dxa"/>
            <w:shd w:val="clear" w:color="auto" w:fill="FFFFFF"/>
            <w:vAlign w:val="center"/>
          </w:tcPr>
          <w:p w:rsidR="007904E0" w:rsidRPr="009348A3" w:rsidRDefault="007904E0" w:rsidP="001352F5">
            <w:pPr>
              <w:widowControl w:val="0"/>
              <w:tabs>
                <w:tab w:val="left" w:pos="622"/>
              </w:tabs>
              <w:spacing w:after="0" w:line="240" w:lineRule="auto"/>
              <w:jc w:val="right"/>
              <w:rPr>
                <w:rFonts w:ascii="Times New Roman" w:hAnsi="Times New Roman"/>
                <w:bCs/>
                <w:iCs/>
                <w:sz w:val="18"/>
                <w:szCs w:val="18"/>
              </w:rPr>
            </w:pPr>
            <w:r w:rsidRPr="009348A3">
              <w:rPr>
                <w:rFonts w:ascii="Times New Roman" w:hAnsi="Times New Roman"/>
                <w:bCs/>
                <w:iCs/>
                <w:sz w:val="18"/>
                <w:szCs w:val="18"/>
              </w:rPr>
              <w:t>6</w:t>
            </w:r>
            <w:r w:rsidR="009348A3">
              <w:rPr>
                <w:rFonts w:ascii="Times New Roman" w:hAnsi="Times New Roman"/>
                <w:bCs/>
                <w:iCs/>
                <w:sz w:val="18"/>
                <w:szCs w:val="18"/>
              </w:rPr>
              <w:t>.</w:t>
            </w:r>
            <w:r w:rsidRPr="009348A3">
              <w:rPr>
                <w:rFonts w:ascii="Times New Roman" w:hAnsi="Times New Roman"/>
                <w:bCs/>
                <w:iCs/>
                <w:sz w:val="18"/>
                <w:szCs w:val="18"/>
              </w:rPr>
              <w:t>707</w:t>
            </w:r>
            <w:r w:rsidR="009348A3">
              <w:rPr>
                <w:rFonts w:ascii="Times New Roman" w:hAnsi="Times New Roman"/>
                <w:bCs/>
                <w:iCs/>
                <w:sz w:val="18"/>
                <w:szCs w:val="18"/>
              </w:rPr>
              <w:t>.</w:t>
            </w:r>
            <w:r w:rsidRPr="009348A3">
              <w:rPr>
                <w:rFonts w:ascii="Times New Roman" w:hAnsi="Times New Roman"/>
                <w:bCs/>
                <w:iCs/>
                <w:sz w:val="18"/>
                <w:szCs w:val="18"/>
              </w:rPr>
              <w:t>702</w:t>
            </w:r>
          </w:p>
        </w:tc>
      </w:tr>
      <w:tr w:rsidR="007904E0" w:rsidRPr="009348A3" w:rsidTr="003D4200">
        <w:tc>
          <w:tcPr>
            <w:tcW w:w="851" w:type="dxa"/>
            <w:shd w:val="clear" w:color="auto" w:fill="FFFFFF"/>
            <w:vAlign w:val="center"/>
          </w:tcPr>
          <w:p w:rsidR="007904E0" w:rsidRPr="009348A3" w:rsidRDefault="007904E0" w:rsidP="001352F5">
            <w:pPr>
              <w:widowControl w:val="0"/>
              <w:tabs>
                <w:tab w:val="left" w:pos="622"/>
              </w:tabs>
              <w:spacing w:after="0" w:line="240" w:lineRule="auto"/>
              <w:jc w:val="both"/>
              <w:rPr>
                <w:rFonts w:ascii="Times New Roman" w:hAnsi="Times New Roman"/>
                <w:bCs/>
                <w:iCs/>
                <w:sz w:val="18"/>
                <w:szCs w:val="18"/>
              </w:rPr>
            </w:pPr>
            <w:r w:rsidRPr="009348A3">
              <w:rPr>
                <w:rFonts w:ascii="Times New Roman" w:hAnsi="Times New Roman"/>
                <w:bCs/>
                <w:iCs/>
                <w:sz w:val="18"/>
                <w:szCs w:val="18"/>
              </w:rPr>
              <w:t>ERPF</w:t>
            </w:r>
          </w:p>
        </w:tc>
        <w:tc>
          <w:tcPr>
            <w:tcW w:w="709" w:type="dxa"/>
            <w:shd w:val="clear" w:color="auto" w:fill="FFFFFF"/>
            <w:vAlign w:val="center"/>
          </w:tcPr>
          <w:p w:rsidR="007904E0" w:rsidRPr="009348A3" w:rsidRDefault="007904E0" w:rsidP="001352F5">
            <w:pPr>
              <w:widowControl w:val="0"/>
              <w:tabs>
                <w:tab w:val="left" w:pos="622"/>
              </w:tabs>
              <w:spacing w:after="0" w:line="240" w:lineRule="auto"/>
              <w:jc w:val="both"/>
              <w:rPr>
                <w:rFonts w:ascii="Times New Roman" w:hAnsi="Times New Roman"/>
                <w:bCs/>
                <w:iCs/>
                <w:sz w:val="18"/>
                <w:szCs w:val="18"/>
              </w:rPr>
            </w:pPr>
            <w:r w:rsidRPr="009348A3">
              <w:rPr>
                <w:rFonts w:ascii="Times New Roman" w:hAnsi="Times New Roman"/>
                <w:bCs/>
                <w:iCs/>
                <w:sz w:val="18"/>
                <w:szCs w:val="18"/>
              </w:rPr>
              <w:t>03</w:t>
            </w:r>
          </w:p>
        </w:tc>
        <w:tc>
          <w:tcPr>
            <w:tcW w:w="6378" w:type="dxa"/>
            <w:shd w:val="clear" w:color="auto" w:fill="FFFFFF"/>
            <w:vAlign w:val="center"/>
          </w:tcPr>
          <w:p w:rsidR="007904E0" w:rsidRPr="009348A3" w:rsidRDefault="007904E0" w:rsidP="001352F5">
            <w:pPr>
              <w:widowControl w:val="0"/>
              <w:tabs>
                <w:tab w:val="left" w:pos="622"/>
              </w:tabs>
              <w:spacing w:after="0" w:line="240" w:lineRule="auto"/>
              <w:jc w:val="both"/>
              <w:rPr>
                <w:rFonts w:ascii="Times New Roman" w:hAnsi="Times New Roman"/>
                <w:bCs/>
                <w:iCs/>
                <w:sz w:val="18"/>
                <w:szCs w:val="18"/>
              </w:rPr>
            </w:pPr>
            <w:r w:rsidRPr="009348A3">
              <w:rPr>
                <w:rFonts w:ascii="Times New Roman" w:hAnsi="Times New Roman"/>
                <w:bCs/>
                <w:iCs/>
                <w:sz w:val="18"/>
                <w:szCs w:val="18"/>
              </w:rPr>
              <w:t>Integruotosios teritorinės investicijos: kita</w:t>
            </w:r>
          </w:p>
        </w:tc>
        <w:tc>
          <w:tcPr>
            <w:tcW w:w="1808" w:type="dxa"/>
            <w:shd w:val="clear" w:color="auto" w:fill="FFFFFF"/>
            <w:vAlign w:val="center"/>
          </w:tcPr>
          <w:p w:rsidR="007904E0" w:rsidRPr="00FC6264" w:rsidRDefault="007904E0" w:rsidP="001352F5">
            <w:pPr>
              <w:widowControl w:val="0"/>
              <w:tabs>
                <w:tab w:val="left" w:pos="622"/>
              </w:tabs>
              <w:spacing w:after="0" w:line="240" w:lineRule="auto"/>
              <w:jc w:val="right"/>
              <w:rPr>
                <w:rFonts w:ascii="Times New Roman" w:hAnsi="Times New Roman"/>
                <w:bCs/>
                <w:iCs/>
                <w:sz w:val="18"/>
                <w:szCs w:val="18"/>
              </w:rPr>
            </w:pPr>
            <w:r w:rsidRPr="00FC6264">
              <w:rPr>
                <w:rFonts w:ascii="Times New Roman" w:hAnsi="Times New Roman"/>
                <w:bCs/>
                <w:iCs/>
                <w:sz w:val="18"/>
                <w:szCs w:val="18"/>
              </w:rPr>
              <w:t>18</w:t>
            </w:r>
            <w:r w:rsidR="009348A3" w:rsidRPr="00FC6264">
              <w:rPr>
                <w:rFonts w:ascii="Times New Roman" w:hAnsi="Times New Roman"/>
                <w:bCs/>
                <w:iCs/>
                <w:sz w:val="18"/>
                <w:szCs w:val="18"/>
              </w:rPr>
              <w:t>.</w:t>
            </w:r>
            <w:r w:rsidRPr="00FC6264">
              <w:rPr>
                <w:rFonts w:ascii="Times New Roman" w:hAnsi="Times New Roman"/>
                <w:bCs/>
                <w:iCs/>
                <w:sz w:val="18"/>
                <w:szCs w:val="18"/>
              </w:rPr>
              <w:t>261</w:t>
            </w:r>
            <w:r w:rsidR="009348A3" w:rsidRPr="00FC6264">
              <w:rPr>
                <w:rFonts w:ascii="Times New Roman" w:hAnsi="Times New Roman"/>
                <w:bCs/>
                <w:iCs/>
                <w:sz w:val="18"/>
                <w:szCs w:val="18"/>
              </w:rPr>
              <w:t>.</w:t>
            </w:r>
            <w:r w:rsidRPr="00FC6264">
              <w:rPr>
                <w:rFonts w:ascii="Times New Roman" w:hAnsi="Times New Roman"/>
                <w:bCs/>
                <w:iCs/>
                <w:sz w:val="18"/>
                <w:szCs w:val="18"/>
              </w:rPr>
              <w:t>330</w:t>
            </w:r>
          </w:p>
        </w:tc>
      </w:tr>
      <w:tr w:rsidR="007904E0" w:rsidRPr="009348A3" w:rsidTr="003D4200">
        <w:tc>
          <w:tcPr>
            <w:tcW w:w="851" w:type="dxa"/>
            <w:shd w:val="clear" w:color="auto" w:fill="FFFFFF"/>
            <w:vAlign w:val="center"/>
          </w:tcPr>
          <w:p w:rsidR="007904E0" w:rsidRPr="00D54F90" w:rsidRDefault="007904E0" w:rsidP="001352F5">
            <w:pPr>
              <w:widowControl w:val="0"/>
              <w:tabs>
                <w:tab w:val="left" w:pos="622"/>
              </w:tabs>
              <w:spacing w:after="0" w:line="240" w:lineRule="auto"/>
              <w:jc w:val="both"/>
              <w:rPr>
                <w:rFonts w:ascii="Times New Roman" w:hAnsi="Times New Roman"/>
                <w:bCs/>
                <w:iCs/>
                <w:sz w:val="18"/>
                <w:szCs w:val="18"/>
              </w:rPr>
            </w:pPr>
            <w:r w:rsidRPr="00D54F90">
              <w:rPr>
                <w:rFonts w:ascii="Times New Roman" w:hAnsi="Times New Roman"/>
                <w:bCs/>
                <w:iCs/>
                <w:sz w:val="18"/>
                <w:szCs w:val="18"/>
              </w:rPr>
              <w:t>SaF</w:t>
            </w:r>
          </w:p>
        </w:tc>
        <w:tc>
          <w:tcPr>
            <w:tcW w:w="709" w:type="dxa"/>
            <w:shd w:val="clear" w:color="auto" w:fill="FFFFFF"/>
            <w:vAlign w:val="center"/>
          </w:tcPr>
          <w:p w:rsidR="007904E0" w:rsidRPr="00D54F90" w:rsidRDefault="007904E0" w:rsidP="001352F5">
            <w:pPr>
              <w:widowControl w:val="0"/>
              <w:tabs>
                <w:tab w:val="left" w:pos="622"/>
              </w:tabs>
              <w:spacing w:after="0" w:line="240" w:lineRule="auto"/>
              <w:jc w:val="both"/>
              <w:rPr>
                <w:rFonts w:ascii="Times New Roman" w:hAnsi="Times New Roman"/>
                <w:bCs/>
                <w:iCs/>
                <w:sz w:val="18"/>
                <w:szCs w:val="18"/>
              </w:rPr>
            </w:pPr>
            <w:r w:rsidRPr="00D54F90">
              <w:rPr>
                <w:rFonts w:ascii="Times New Roman" w:hAnsi="Times New Roman"/>
                <w:bCs/>
                <w:iCs/>
                <w:sz w:val="18"/>
                <w:szCs w:val="18"/>
              </w:rPr>
              <w:t>03</w:t>
            </w:r>
          </w:p>
        </w:tc>
        <w:tc>
          <w:tcPr>
            <w:tcW w:w="6378" w:type="dxa"/>
            <w:shd w:val="clear" w:color="auto" w:fill="FFFFFF"/>
            <w:vAlign w:val="center"/>
          </w:tcPr>
          <w:p w:rsidR="007904E0" w:rsidRPr="00D54F90" w:rsidRDefault="007904E0" w:rsidP="001352F5">
            <w:pPr>
              <w:widowControl w:val="0"/>
              <w:tabs>
                <w:tab w:val="left" w:pos="622"/>
              </w:tabs>
              <w:spacing w:after="0" w:line="240" w:lineRule="auto"/>
              <w:jc w:val="both"/>
              <w:rPr>
                <w:rFonts w:ascii="Times New Roman" w:hAnsi="Times New Roman"/>
                <w:bCs/>
                <w:iCs/>
                <w:sz w:val="18"/>
                <w:szCs w:val="18"/>
              </w:rPr>
            </w:pPr>
            <w:r w:rsidRPr="00D54F90">
              <w:rPr>
                <w:rFonts w:ascii="Times New Roman" w:hAnsi="Times New Roman"/>
                <w:bCs/>
                <w:iCs/>
                <w:sz w:val="18"/>
                <w:szCs w:val="18"/>
              </w:rPr>
              <w:t>Integruotosios teritorinės investicijos: kita</w:t>
            </w:r>
          </w:p>
        </w:tc>
        <w:tc>
          <w:tcPr>
            <w:tcW w:w="1808" w:type="dxa"/>
            <w:shd w:val="clear" w:color="auto" w:fill="FFFFFF"/>
            <w:vAlign w:val="center"/>
          </w:tcPr>
          <w:p w:rsidR="007904E0" w:rsidRPr="00FC6264" w:rsidRDefault="009B4E2B" w:rsidP="001352F5">
            <w:pPr>
              <w:widowControl w:val="0"/>
              <w:tabs>
                <w:tab w:val="left" w:pos="622"/>
              </w:tabs>
              <w:spacing w:after="0" w:line="240" w:lineRule="auto"/>
              <w:jc w:val="right"/>
              <w:rPr>
                <w:rFonts w:ascii="Times New Roman" w:hAnsi="Times New Roman"/>
                <w:bCs/>
                <w:iCs/>
                <w:sz w:val="18"/>
                <w:szCs w:val="18"/>
              </w:rPr>
            </w:pPr>
            <w:r w:rsidRPr="00FC6264">
              <w:rPr>
                <w:rFonts w:ascii="Times New Roman" w:hAnsi="Times New Roman"/>
                <w:bCs/>
                <w:iCs/>
                <w:sz w:val="18"/>
                <w:szCs w:val="18"/>
              </w:rPr>
              <w:t>6</w:t>
            </w:r>
            <w:r w:rsidR="009348A3" w:rsidRPr="00FC6264">
              <w:rPr>
                <w:rFonts w:ascii="Times New Roman" w:hAnsi="Times New Roman"/>
                <w:bCs/>
                <w:iCs/>
                <w:sz w:val="18"/>
                <w:szCs w:val="18"/>
              </w:rPr>
              <w:t>.</w:t>
            </w:r>
            <w:r w:rsidRPr="00FC6264">
              <w:rPr>
                <w:rFonts w:ascii="Times New Roman" w:hAnsi="Times New Roman"/>
                <w:bCs/>
                <w:iCs/>
                <w:sz w:val="18"/>
                <w:szCs w:val="18"/>
              </w:rPr>
              <w:t>641</w:t>
            </w:r>
            <w:r w:rsidR="009348A3" w:rsidRPr="00FC6264">
              <w:rPr>
                <w:rFonts w:ascii="Times New Roman" w:hAnsi="Times New Roman"/>
                <w:bCs/>
                <w:iCs/>
                <w:sz w:val="18"/>
                <w:szCs w:val="18"/>
              </w:rPr>
              <w:t>.</w:t>
            </w:r>
            <w:r w:rsidRPr="00FC6264">
              <w:rPr>
                <w:rFonts w:ascii="Times New Roman" w:hAnsi="Times New Roman"/>
                <w:bCs/>
                <w:iCs/>
                <w:sz w:val="18"/>
                <w:szCs w:val="18"/>
              </w:rPr>
              <w:t>666</w:t>
            </w:r>
          </w:p>
        </w:tc>
      </w:tr>
      <w:tr w:rsidR="003B1271" w:rsidRPr="009348A3" w:rsidTr="003D4200">
        <w:tc>
          <w:tcPr>
            <w:tcW w:w="851" w:type="dxa"/>
            <w:shd w:val="clear" w:color="auto" w:fill="auto"/>
            <w:vAlign w:val="center"/>
          </w:tcPr>
          <w:p w:rsidR="003B1271" w:rsidRPr="008F339D" w:rsidRDefault="003B1271" w:rsidP="00BB0960">
            <w:pPr>
              <w:widowControl w:val="0"/>
              <w:tabs>
                <w:tab w:val="left" w:pos="622"/>
              </w:tabs>
              <w:spacing w:after="0" w:line="240" w:lineRule="auto"/>
              <w:rPr>
                <w:rFonts w:ascii="Times New Roman" w:eastAsia="AngsanaUPC" w:hAnsi="Times New Roman"/>
                <w:bCs/>
                <w:sz w:val="18"/>
                <w:szCs w:val="18"/>
                <w:lang w:eastAsia="lt-LT"/>
              </w:rPr>
            </w:pPr>
            <w:r w:rsidRPr="008F339D">
              <w:rPr>
                <w:rFonts w:ascii="Times New Roman" w:eastAsia="AngsanaUPC" w:hAnsi="Times New Roman"/>
                <w:bCs/>
                <w:sz w:val="18"/>
                <w:szCs w:val="18"/>
                <w:lang w:eastAsia="lt-LT"/>
              </w:rPr>
              <w:t>SaF</w:t>
            </w:r>
          </w:p>
        </w:tc>
        <w:tc>
          <w:tcPr>
            <w:tcW w:w="709" w:type="dxa"/>
            <w:shd w:val="clear" w:color="auto" w:fill="auto"/>
            <w:vAlign w:val="center"/>
          </w:tcPr>
          <w:p w:rsidR="003B1271" w:rsidRPr="00D54F90" w:rsidRDefault="003D4200" w:rsidP="005464A7">
            <w:pPr>
              <w:widowControl w:val="0"/>
              <w:tabs>
                <w:tab w:val="left" w:pos="622"/>
              </w:tabs>
              <w:spacing w:after="0" w:line="240" w:lineRule="auto"/>
              <w:rPr>
                <w:rFonts w:ascii="Times New Roman" w:eastAsia="AngsanaUPC" w:hAnsi="Times New Roman"/>
                <w:bCs/>
                <w:sz w:val="18"/>
                <w:szCs w:val="18"/>
                <w:lang w:val="en-GB" w:eastAsia="lt-LT"/>
              </w:rPr>
            </w:pPr>
            <w:r w:rsidRPr="00D54F90">
              <w:rPr>
                <w:rFonts w:ascii="Times New Roman" w:eastAsia="AngsanaUPC" w:hAnsi="Times New Roman"/>
                <w:bCs/>
                <w:sz w:val="18"/>
                <w:szCs w:val="18"/>
                <w:lang w:val="en-GB" w:eastAsia="lt-LT"/>
              </w:rPr>
              <w:t>0</w:t>
            </w:r>
            <w:r w:rsidR="005464A7" w:rsidRPr="00D54F90">
              <w:rPr>
                <w:rFonts w:ascii="Times New Roman" w:eastAsia="AngsanaUPC" w:hAnsi="Times New Roman"/>
                <w:bCs/>
                <w:sz w:val="18"/>
                <w:szCs w:val="18"/>
                <w:lang w:val="en-GB" w:eastAsia="lt-LT"/>
              </w:rPr>
              <w:t>5</w:t>
            </w:r>
          </w:p>
        </w:tc>
        <w:tc>
          <w:tcPr>
            <w:tcW w:w="6378" w:type="dxa"/>
            <w:shd w:val="clear" w:color="auto" w:fill="auto"/>
            <w:vAlign w:val="center"/>
          </w:tcPr>
          <w:p w:rsidR="003B1271" w:rsidRPr="00D54F90" w:rsidRDefault="00144DB9" w:rsidP="00BB0960">
            <w:pPr>
              <w:widowControl w:val="0"/>
              <w:tabs>
                <w:tab w:val="left" w:pos="622"/>
              </w:tabs>
              <w:spacing w:after="0" w:line="240" w:lineRule="auto"/>
              <w:jc w:val="both"/>
              <w:rPr>
                <w:rFonts w:ascii="Times New Roman" w:hAnsi="Times New Roman"/>
                <w:bCs/>
                <w:iCs/>
                <w:sz w:val="18"/>
                <w:szCs w:val="18"/>
              </w:rPr>
            </w:pPr>
            <w:r w:rsidRPr="00D54F90">
              <w:rPr>
                <w:rFonts w:ascii="Times New Roman" w:hAnsi="Times New Roman"/>
                <w:bCs/>
                <w:iCs/>
                <w:sz w:val="18"/>
                <w:szCs w:val="18"/>
              </w:rPr>
              <w:t xml:space="preserve">Kiti integraciniai tvarios </w:t>
            </w:r>
            <w:r w:rsidR="005464A7" w:rsidRPr="00D54F90">
              <w:rPr>
                <w:rFonts w:ascii="Times New Roman" w:hAnsi="Times New Roman"/>
                <w:bCs/>
                <w:iCs/>
                <w:sz w:val="18"/>
                <w:szCs w:val="18"/>
              </w:rPr>
              <w:t xml:space="preserve">miestų ir (arba) </w:t>
            </w:r>
            <w:r w:rsidRPr="00D54F90">
              <w:rPr>
                <w:rFonts w:ascii="Times New Roman" w:hAnsi="Times New Roman"/>
                <w:bCs/>
                <w:iCs/>
                <w:sz w:val="18"/>
                <w:szCs w:val="18"/>
              </w:rPr>
              <w:t>kaimo plėtros metodai</w:t>
            </w:r>
          </w:p>
        </w:tc>
        <w:tc>
          <w:tcPr>
            <w:tcW w:w="1808" w:type="dxa"/>
            <w:shd w:val="clear" w:color="auto" w:fill="auto"/>
            <w:vAlign w:val="center"/>
          </w:tcPr>
          <w:p w:rsidR="003B1271" w:rsidRPr="00FC6264" w:rsidRDefault="00904083" w:rsidP="007904E0">
            <w:pPr>
              <w:widowControl w:val="0"/>
              <w:tabs>
                <w:tab w:val="left" w:pos="622"/>
              </w:tabs>
              <w:spacing w:after="0" w:line="240" w:lineRule="auto"/>
              <w:jc w:val="right"/>
              <w:rPr>
                <w:rFonts w:ascii="Times New Roman" w:eastAsia="AngsanaUPC" w:hAnsi="Times New Roman"/>
                <w:bCs/>
                <w:sz w:val="18"/>
                <w:szCs w:val="18"/>
                <w:lang w:val="en-GB" w:eastAsia="lt-LT"/>
              </w:rPr>
            </w:pPr>
            <w:r w:rsidRPr="00FC6264">
              <w:rPr>
                <w:rFonts w:ascii="Times New Roman" w:eastAsia="AngsanaUPC" w:hAnsi="Times New Roman"/>
                <w:bCs/>
                <w:sz w:val="18"/>
                <w:szCs w:val="18"/>
                <w:lang w:val="en-GB" w:eastAsia="lt-LT"/>
              </w:rPr>
              <w:t>349.0</w:t>
            </w:r>
            <w:r w:rsidR="009B4E2B" w:rsidRPr="00FC6264">
              <w:rPr>
                <w:rFonts w:ascii="Times New Roman" w:eastAsia="AngsanaUPC" w:hAnsi="Times New Roman"/>
                <w:bCs/>
                <w:sz w:val="18"/>
                <w:szCs w:val="18"/>
                <w:lang w:val="en-GB" w:eastAsia="lt-LT"/>
              </w:rPr>
              <w:t>93</w:t>
            </w:r>
            <w:r w:rsidR="009348A3" w:rsidRPr="00FC6264">
              <w:rPr>
                <w:rFonts w:ascii="Times New Roman" w:eastAsia="AngsanaUPC" w:hAnsi="Times New Roman"/>
                <w:bCs/>
                <w:sz w:val="18"/>
                <w:szCs w:val="18"/>
                <w:lang w:val="en-GB" w:eastAsia="lt-LT"/>
              </w:rPr>
              <w:t>.</w:t>
            </w:r>
            <w:r w:rsidR="009B4E2B" w:rsidRPr="00FC6264">
              <w:rPr>
                <w:rFonts w:ascii="Times New Roman" w:eastAsia="AngsanaUPC" w:hAnsi="Times New Roman"/>
                <w:bCs/>
                <w:sz w:val="18"/>
                <w:szCs w:val="18"/>
                <w:lang w:val="en-GB" w:eastAsia="lt-LT"/>
              </w:rPr>
              <w:t>897</w:t>
            </w:r>
          </w:p>
        </w:tc>
      </w:tr>
      <w:tr w:rsidR="003B1271" w:rsidRPr="009348A3" w:rsidTr="003D4200">
        <w:tc>
          <w:tcPr>
            <w:tcW w:w="851" w:type="dxa"/>
            <w:shd w:val="clear" w:color="auto" w:fill="auto"/>
            <w:vAlign w:val="center"/>
          </w:tcPr>
          <w:p w:rsidR="003B1271" w:rsidRPr="008F339D" w:rsidRDefault="003B1271" w:rsidP="00BB0960">
            <w:pPr>
              <w:widowControl w:val="0"/>
              <w:tabs>
                <w:tab w:val="left" w:pos="622"/>
              </w:tabs>
              <w:spacing w:after="0" w:line="240" w:lineRule="auto"/>
              <w:rPr>
                <w:rFonts w:ascii="Times New Roman" w:eastAsia="AngsanaUPC" w:hAnsi="Times New Roman"/>
                <w:bCs/>
                <w:sz w:val="18"/>
                <w:szCs w:val="18"/>
                <w:lang w:eastAsia="lt-LT"/>
              </w:rPr>
            </w:pPr>
            <w:r w:rsidRPr="008F339D">
              <w:rPr>
                <w:rFonts w:ascii="Times New Roman" w:eastAsia="AngsanaUPC" w:hAnsi="Times New Roman"/>
                <w:bCs/>
                <w:sz w:val="18"/>
                <w:szCs w:val="18"/>
                <w:lang w:eastAsia="lt-LT"/>
              </w:rPr>
              <w:t>ERPF</w:t>
            </w:r>
          </w:p>
        </w:tc>
        <w:tc>
          <w:tcPr>
            <w:tcW w:w="709" w:type="dxa"/>
            <w:shd w:val="clear" w:color="auto" w:fill="auto"/>
            <w:vAlign w:val="center"/>
          </w:tcPr>
          <w:p w:rsidR="003B1271" w:rsidRPr="00D54F90" w:rsidRDefault="003D4200" w:rsidP="00BB0960">
            <w:pPr>
              <w:widowControl w:val="0"/>
              <w:tabs>
                <w:tab w:val="left" w:pos="622"/>
              </w:tabs>
              <w:spacing w:after="0" w:line="240" w:lineRule="auto"/>
              <w:rPr>
                <w:rFonts w:ascii="Times New Roman" w:eastAsia="AngsanaUPC" w:hAnsi="Times New Roman"/>
                <w:bCs/>
                <w:sz w:val="18"/>
                <w:szCs w:val="18"/>
                <w:lang w:val="en-GB" w:eastAsia="lt-LT"/>
              </w:rPr>
            </w:pPr>
            <w:r w:rsidRPr="00D54F90">
              <w:rPr>
                <w:rFonts w:ascii="Times New Roman" w:eastAsia="AngsanaUPC" w:hAnsi="Times New Roman"/>
                <w:bCs/>
                <w:sz w:val="18"/>
                <w:szCs w:val="18"/>
                <w:lang w:val="en-GB" w:eastAsia="lt-LT"/>
              </w:rPr>
              <w:t>0</w:t>
            </w:r>
            <w:r w:rsidR="003B1271" w:rsidRPr="00D54F90">
              <w:rPr>
                <w:rFonts w:ascii="Times New Roman" w:eastAsia="AngsanaUPC" w:hAnsi="Times New Roman"/>
                <w:bCs/>
                <w:sz w:val="18"/>
                <w:szCs w:val="18"/>
                <w:lang w:val="en-GB" w:eastAsia="lt-LT"/>
              </w:rPr>
              <w:t>7</w:t>
            </w:r>
          </w:p>
        </w:tc>
        <w:tc>
          <w:tcPr>
            <w:tcW w:w="6378" w:type="dxa"/>
            <w:shd w:val="clear" w:color="auto" w:fill="auto"/>
            <w:vAlign w:val="center"/>
          </w:tcPr>
          <w:p w:rsidR="003B1271" w:rsidRPr="00D54F90" w:rsidRDefault="00144DB9" w:rsidP="00BB0960">
            <w:pPr>
              <w:widowControl w:val="0"/>
              <w:tabs>
                <w:tab w:val="left" w:pos="622"/>
              </w:tabs>
              <w:spacing w:after="0" w:line="240" w:lineRule="auto"/>
              <w:jc w:val="both"/>
              <w:rPr>
                <w:rFonts w:ascii="Times New Roman" w:hAnsi="Times New Roman"/>
                <w:bCs/>
                <w:iCs/>
                <w:sz w:val="18"/>
                <w:szCs w:val="18"/>
              </w:rPr>
            </w:pPr>
            <w:r w:rsidRPr="00D54F90">
              <w:rPr>
                <w:rFonts w:ascii="Times New Roman" w:hAnsi="Times New Roman"/>
                <w:bCs/>
                <w:iCs/>
                <w:sz w:val="18"/>
                <w:szCs w:val="18"/>
              </w:rPr>
              <w:t>Netaikoma</w:t>
            </w:r>
          </w:p>
        </w:tc>
        <w:tc>
          <w:tcPr>
            <w:tcW w:w="1808" w:type="dxa"/>
            <w:shd w:val="clear" w:color="auto" w:fill="auto"/>
            <w:vAlign w:val="center"/>
          </w:tcPr>
          <w:p w:rsidR="003B1271" w:rsidRPr="00FC6264" w:rsidRDefault="007904E0" w:rsidP="00904083">
            <w:pPr>
              <w:widowControl w:val="0"/>
              <w:tabs>
                <w:tab w:val="left" w:pos="622"/>
              </w:tabs>
              <w:spacing w:after="0" w:line="240" w:lineRule="auto"/>
              <w:jc w:val="right"/>
              <w:rPr>
                <w:rFonts w:ascii="Times New Roman" w:eastAsia="AngsanaUPC" w:hAnsi="Times New Roman"/>
                <w:bCs/>
                <w:sz w:val="18"/>
                <w:szCs w:val="18"/>
                <w:lang w:val="en-GB" w:eastAsia="lt-LT"/>
              </w:rPr>
            </w:pPr>
            <w:r w:rsidRPr="00FC6264">
              <w:rPr>
                <w:rFonts w:ascii="Times New Roman" w:eastAsia="AngsanaUPC" w:hAnsi="Times New Roman"/>
                <w:bCs/>
                <w:sz w:val="18"/>
                <w:szCs w:val="18"/>
                <w:lang w:eastAsia="lt-LT"/>
              </w:rPr>
              <w:t>1</w:t>
            </w:r>
            <w:r w:rsidR="00904083" w:rsidRPr="00FC6264">
              <w:rPr>
                <w:rFonts w:ascii="Times New Roman" w:eastAsia="AngsanaUPC" w:hAnsi="Times New Roman"/>
                <w:bCs/>
                <w:sz w:val="18"/>
                <w:szCs w:val="18"/>
                <w:lang w:eastAsia="lt-LT"/>
              </w:rPr>
              <w:t>73</w:t>
            </w:r>
            <w:r w:rsidR="009348A3" w:rsidRPr="00FC6264">
              <w:rPr>
                <w:rFonts w:ascii="Times New Roman" w:eastAsia="AngsanaUPC" w:hAnsi="Times New Roman"/>
                <w:bCs/>
                <w:sz w:val="18"/>
                <w:szCs w:val="18"/>
                <w:lang w:eastAsia="lt-LT"/>
              </w:rPr>
              <w:t>.</w:t>
            </w:r>
            <w:r w:rsidR="00904083" w:rsidRPr="00FC6264">
              <w:rPr>
                <w:rFonts w:ascii="Times New Roman" w:eastAsia="AngsanaUPC" w:hAnsi="Times New Roman"/>
                <w:bCs/>
                <w:sz w:val="18"/>
                <w:szCs w:val="18"/>
                <w:lang w:eastAsia="lt-LT"/>
              </w:rPr>
              <w:t>111</w:t>
            </w:r>
            <w:r w:rsidR="009348A3" w:rsidRPr="00FC6264">
              <w:rPr>
                <w:rFonts w:ascii="Times New Roman" w:eastAsia="AngsanaUPC" w:hAnsi="Times New Roman"/>
                <w:bCs/>
                <w:sz w:val="18"/>
                <w:szCs w:val="18"/>
                <w:lang w:eastAsia="lt-LT"/>
              </w:rPr>
              <w:t>.</w:t>
            </w:r>
            <w:r w:rsidRPr="00FC6264">
              <w:rPr>
                <w:rFonts w:ascii="Times New Roman" w:eastAsia="AngsanaUPC" w:hAnsi="Times New Roman"/>
                <w:bCs/>
                <w:sz w:val="18"/>
                <w:szCs w:val="18"/>
                <w:lang w:eastAsia="lt-LT"/>
              </w:rPr>
              <w:t>6</w:t>
            </w:r>
            <w:r w:rsidR="009B4E2B" w:rsidRPr="00FC6264">
              <w:rPr>
                <w:rFonts w:ascii="Times New Roman" w:eastAsia="AngsanaUPC" w:hAnsi="Times New Roman"/>
                <w:bCs/>
                <w:sz w:val="18"/>
                <w:szCs w:val="18"/>
                <w:lang w:eastAsia="lt-LT"/>
              </w:rPr>
              <w:t>77</w:t>
            </w:r>
          </w:p>
        </w:tc>
      </w:tr>
      <w:tr w:rsidR="003B1271" w:rsidRPr="009348A3" w:rsidTr="003D4200">
        <w:tc>
          <w:tcPr>
            <w:tcW w:w="851" w:type="dxa"/>
            <w:shd w:val="clear" w:color="auto" w:fill="auto"/>
            <w:vAlign w:val="center"/>
          </w:tcPr>
          <w:p w:rsidR="003B1271" w:rsidRPr="008F339D" w:rsidRDefault="003B1271" w:rsidP="00BB0960">
            <w:pPr>
              <w:widowControl w:val="0"/>
              <w:tabs>
                <w:tab w:val="left" w:pos="622"/>
              </w:tabs>
              <w:spacing w:after="0" w:line="240" w:lineRule="auto"/>
              <w:rPr>
                <w:rFonts w:ascii="Times New Roman" w:eastAsia="AngsanaUPC" w:hAnsi="Times New Roman"/>
                <w:bCs/>
                <w:sz w:val="18"/>
                <w:szCs w:val="18"/>
                <w:lang w:eastAsia="lt-LT"/>
              </w:rPr>
            </w:pPr>
            <w:r w:rsidRPr="008F339D">
              <w:rPr>
                <w:rFonts w:ascii="Times New Roman" w:eastAsia="AngsanaUPC" w:hAnsi="Times New Roman"/>
                <w:bCs/>
                <w:sz w:val="18"/>
                <w:szCs w:val="18"/>
                <w:lang w:eastAsia="lt-LT"/>
              </w:rPr>
              <w:t>SaF</w:t>
            </w:r>
          </w:p>
        </w:tc>
        <w:tc>
          <w:tcPr>
            <w:tcW w:w="709" w:type="dxa"/>
            <w:shd w:val="clear" w:color="auto" w:fill="auto"/>
            <w:vAlign w:val="center"/>
          </w:tcPr>
          <w:p w:rsidR="003B1271" w:rsidRPr="00D54F90" w:rsidRDefault="003D4200" w:rsidP="00BB0960">
            <w:pPr>
              <w:widowControl w:val="0"/>
              <w:tabs>
                <w:tab w:val="left" w:pos="622"/>
              </w:tabs>
              <w:spacing w:after="0" w:line="240" w:lineRule="auto"/>
              <w:rPr>
                <w:rFonts w:ascii="Times New Roman" w:eastAsia="AngsanaUPC" w:hAnsi="Times New Roman"/>
                <w:bCs/>
                <w:sz w:val="18"/>
                <w:szCs w:val="18"/>
                <w:lang w:val="en-GB" w:eastAsia="lt-LT"/>
              </w:rPr>
            </w:pPr>
            <w:r w:rsidRPr="00D54F90">
              <w:rPr>
                <w:rFonts w:ascii="Times New Roman" w:eastAsia="AngsanaUPC" w:hAnsi="Times New Roman"/>
                <w:bCs/>
                <w:sz w:val="18"/>
                <w:szCs w:val="18"/>
                <w:lang w:val="en-GB" w:eastAsia="lt-LT"/>
              </w:rPr>
              <w:t>0</w:t>
            </w:r>
            <w:r w:rsidR="003B1271" w:rsidRPr="00D54F90">
              <w:rPr>
                <w:rFonts w:ascii="Times New Roman" w:eastAsia="AngsanaUPC" w:hAnsi="Times New Roman"/>
                <w:bCs/>
                <w:sz w:val="18"/>
                <w:szCs w:val="18"/>
                <w:lang w:val="en-GB" w:eastAsia="lt-LT"/>
              </w:rPr>
              <w:t>7</w:t>
            </w:r>
          </w:p>
        </w:tc>
        <w:tc>
          <w:tcPr>
            <w:tcW w:w="6378" w:type="dxa"/>
            <w:shd w:val="clear" w:color="auto" w:fill="auto"/>
            <w:vAlign w:val="center"/>
          </w:tcPr>
          <w:p w:rsidR="003B1271" w:rsidRPr="00D54F90" w:rsidRDefault="003B1271" w:rsidP="00BB0960">
            <w:pPr>
              <w:widowControl w:val="0"/>
              <w:tabs>
                <w:tab w:val="left" w:pos="622"/>
              </w:tabs>
              <w:spacing w:after="0" w:line="240" w:lineRule="auto"/>
              <w:jc w:val="both"/>
              <w:rPr>
                <w:rFonts w:ascii="Times New Roman" w:hAnsi="Times New Roman"/>
                <w:bCs/>
                <w:iCs/>
                <w:sz w:val="18"/>
                <w:szCs w:val="18"/>
              </w:rPr>
            </w:pPr>
            <w:r w:rsidRPr="00D54F90">
              <w:rPr>
                <w:rFonts w:ascii="Times New Roman" w:hAnsi="Times New Roman"/>
                <w:bCs/>
                <w:iCs/>
                <w:sz w:val="18"/>
                <w:szCs w:val="18"/>
              </w:rPr>
              <w:t>Netaikoma</w:t>
            </w:r>
          </w:p>
        </w:tc>
        <w:tc>
          <w:tcPr>
            <w:tcW w:w="1808" w:type="dxa"/>
            <w:shd w:val="clear" w:color="auto" w:fill="auto"/>
            <w:vAlign w:val="center"/>
          </w:tcPr>
          <w:p w:rsidR="003B1271" w:rsidRPr="00FC6264" w:rsidRDefault="00904083" w:rsidP="009B4E2B">
            <w:pPr>
              <w:widowControl w:val="0"/>
              <w:tabs>
                <w:tab w:val="left" w:pos="622"/>
              </w:tabs>
              <w:spacing w:after="0" w:line="240" w:lineRule="auto"/>
              <w:jc w:val="right"/>
              <w:rPr>
                <w:rFonts w:ascii="Times New Roman" w:eastAsia="AngsanaUPC" w:hAnsi="Times New Roman"/>
                <w:bCs/>
                <w:sz w:val="18"/>
                <w:szCs w:val="18"/>
                <w:lang w:val="en-GB" w:eastAsia="lt-LT"/>
              </w:rPr>
            </w:pPr>
            <w:r w:rsidRPr="00FC6264">
              <w:rPr>
                <w:rFonts w:ascii="Times New Roman" w:eastAsia="AngsanaUPC" w:hAnsi="Times New Roman"/>
                <w:bCs/>
                <w:sz w:val="18"/>
                <w:szCs w:val="18"/>
                <w:lang w:val="en-GB" w:eastAsia="lt-LT"/>
              </w:rPr>
              <w:t>3</w:t>
            </w:r>
            <w:r w:rsidR="009B4E2B" w:rsidRPr="00FC6264">
              <w:rPr>
                <w:rFonts w:ascii="Times New Roman" w:eastAsia="AngsanaUPC" w:hAnsi="Times New Roman"/>
                <w:bCs/>
                <w:sz w:val="18"/>
                <w:szCs w:val="18"/>
                <w:lang w:val="en-GB" w:eastAsia="lt-LT"/>
              </w:rPr>
              <w:t>57</w:t>
            </w:r>
            <w:r w:rsidR="009348A3" w:rsidRPr="00FC6264">
              <w:rPr>
                <w:rFonts w:ascii="Times New Roman" w:eastAsia="AngsanaUPC" w:hAnsi="Times New Roman"/>
                <w:bCs/>
                <w:sz w:val="18"/>
                <w:szCs w:val="18"/>
                <w:lang w:val="en-GB" w:eastAsia="lt-LT"/>
              </w:rPr>
              <w:t>.</w:t>
            </w:r>
            <w:r w:rsidR="009B4E2B" w:rsidRPr="00FC6264">
              <w:rPr>
                <w:rFonts w:ascii="Times New Roman" w:eastAsia="AngsanaUPC" w:hAnsi="Times New Roman"/>
                <w:bCs/>
                <w:sz w:val="18"/>
                <w:szCs w:val="18"/>
                <w:lang w:val="en-GB" w:eastAsia="lt-LT"/>
              </w:rPr>
              <w:t>264</w:t>
            </w:r>
            <w:r w:rsidR="009348A3" w:rsidRPr="00FC6264">
              <w:rPr>
                <w:rFonts w:ascii="Times New Roman" w:eastAsia="AngsanaUPC" w:hAnsi="Times New Roman"/>
                <w:bCs/>
                <w:sz w:val="18"/>
                <w:szCs w:val="18"/>
                <w:lang w:val="en-GB" w:eastAsia="lt-LT"/>
              </w:rPr>
              <w:t>.</w:t>
            </w:r>
            <w:r w:rsidR="009B4E2B" w:rsidRPr="00FC6264">
              <w:rPr>
                <w:rFonts w:ascii="Times New Roman" w:eastAsia="AngsanaUPC" w:hAnsi="Times New Roman"/>
                <w:bCs/>
                <w:sz w:val="18"/>
                <w:szCs w:val="18"/>
                <w:lang w:val="en-GB" w:eastAsia="lt-LT"/>
              </w:rPr>
              <w:t>324</w:t>
            </w:r>
          </w:p>
        </w:tc>
      </w:tr>
    </w:tbl>
    <w:p w:rsidR="003B1271" w:rsidRDefault="003B1271" w:rsidP="00385835">
      <w:pPr>
        <w:widowControl w:val="0"/>
        <w:tabs>
          <w:tab w:val="left" w:pos="622"/>
        </w:tabs>
        <w:spacing w:after="0" w:line="240" w:lineRule="auto"/>
        <w:jc w:val="both"/>
        <w:rPr>
          <w:rFonts w:ascii="Times New Roman" w:eastAsia="AngsanaUPC" w:hAnsi="Times New Roman"/>
          <w:b/>
          <w:bCs/>
          <w:sz w:val="24"/>
          <w:szCs w:val="24"/>
          <w:lang w:eastAsia="lt-LT"/>
        </w:rPr>
        <w:sectPr w:rsidR="003B1271" w:rsidSect="00921052">
          <w:pgSz w:w="11906" w:h="16838" w:code="9"/>
          <w:pgMar w:top="1276" w:right="567" w:bottom="1134" w:left="1701" w:header="567" w:footer="567" w:gutter="0"/>
          <w:cols w:space="1296"/>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746"/>
      </w:tblGrid>
      <w:tr w:rsidR="00385835" w:rsidRPr="00385835" w:rsidTr="00385835">
        <w:trPr>
          <w:trHeight w:val="416"/>
        </w:trPr>
        <w:tc>
          <w:tcPr>
            <w:tcW w:w="9746" w:type="dxa"/>
            <w:shd w:val="clear" w:color="auto" w:fill="EEECE1"/>
            <w:vAlign w:val="center"/>
          </w:tcPr>
          <w:p w:rsidR="00385835" w:rsidRPr="00385835" w:rsidRDefault="00385835" w:rsidP="00367B18">
            <w:pPr>
              <w:keepNext/>
              <w:spacing w:after="0" w:line="240" w:lineRule="auto"/>
              <w:jc w:val="both"/>
              <w:outlineLvl w:val="1"/>
              <w:rPr>
                <w:rFonts w:ascii="Times New Roman" w:eastAsia="AngsanaUPC" w:hAnsi="Times New Roman"/>
                <w:b/>
                <w:bCs/>
                <w:iCs/>
                <w:sz w:val="24"/>
                <w:szCs w:val="28"/>
                <w:lang w:eastAsia="lt-LT"/>
              </w:rPr>
            </w:pPr>
            <w:r w:rsidRPr="00385835">
              <w:rPr>
                <w:rFonts w:ascii="Times New Roman" w:eastAsia="Times New Roman" w:hAnsi="Times New Roman"/>
                <w:sz w:val="24"/>
                <w:szCs w:val="28"/>
                <w:lang w:val="x-none"/>
              </w:rPr>
              <w:lastRenderedPageBreak/>
              <w:br w:type="page"/>
            </w:r>
            <w:r w:rsidRPr="00385835">
              <w:rPr>
                <w:rFonts w:ascii="Times New Roman" w:eastAsia="AngsanaUPC" w:hAnsi="Times New Roman"/>
                <w:iCs/>
                <w:sz w:val="24"/>
                <w:szCs w:val="24"/>
                <w:lang w:eastAsia="lt-LT"/>
              </w:rPr>
              <w:br w:type="page"/>
            </w:r>
            <w:bookmarkStart w:id="9" w:name="_Toc361401405"/>
            <w:bookmarkStart w:id="10" w:name="_Toc69836225"/>
            <w:r w:rsidRPr="00385835">
              <w:rPr>
                <w:rFonts w:ascii="Times New Roman" w:eastAsia="AngsanaUPC" w:hAnsi="Times New Roman"/>
                <w:b/>
                <w:bCs/>
                <w:iCs/>
                <w:sz w:val="24"/>
                <w:szCs w:val="28"/>
                <w:lang w:eastAsia="lt-LT"/>
              </w:rPr>
              <w:t>6 PRIORITETAS. DARN</w:t>
            </w:r>
            <w:r w:rsidR="00EB0F99">
              <w:rPr>
                <w:rFonts w:ascii="Times New Roman" w:eastAsia="AngsanaUPC" w:hAnsi="Times New Roman"/>
                <w:b/>
                <w:bCs/>
                <w:iCs/>
                <w:sz w:val="24"/>
                <w:szCs w:val="28"/>
                <w:lang w:eastAsia="lt-LT"/>
              </w:rPr>
              <w:t>AUS</w:t>
            </w:r>
            <w:r w:rsidRPr="00385835">
              <w:rPr>
                <w:rFonts w:ascii="Times New Roman" w:eastAsia="AngsanaUPC" w:hAnsi="Times New Roman"/>
                <w:b/>
                <w:bCs/>
                <w:iCs/>
                <w:sz w:val="24"/>
                <w:szCs w:val="28"/>
                <w:lang w:eastAsia="lt-LT"/>
              </w:rPr>
              <w:t xml:space="preserve"> TRANSPORTO</w:t>
            </w:r>
            <w:r w:rsidR="00581253">
              <w:rPr>
                <w:rFonts w:ascii="Times New Roman" w:eastAsia="AngsanaUPC" w:hAnsi="Times New Roman"/>
                <w:b/>
                <w:bCs/>
                <w:iCs/>
                <w:sz w:val="24"/>
                <w:szCs w:val="28"/>
                <w:lang w:eastAsia="lt-LT"/>
              </w:rPr>
              <w:t xml:space="preserve"> </w:t>
            </w:r>
            <w:r w:rsidR="00367B18">
              <w:rPr>
                <w:rFonts w:ascii="Times New Roman" w:eastAsia="AngsanaUPC" w:hAnsi="Times New Roman"/>
                <w:b/>
                <w:bCs/>
                <w:iCs/>
                <w:sz w:val="24"/>
                <w:szCs w:val="28"/>
                <w:lang w:eastAsia="lt-LT"/>
              </w:rPr>
              <w:t>IR</w:t>
            </w:r>
            <w:r w:rsidRPr="00385835">
              <w:rPr>
                <w:rFonts w:ascii="Times New Roman" w:eastAsia="AngsanaUPC" w:hAnsi="Times New Roman"/>
                <w:b/>
                <w:bCs/>
                <w:iCs/>
                <w:sz w:val="24"/>
                <w:szCs w:val="28"/>
                <w:lang w:eastAsia="lt-LT"/>
              </w:rPr>
              <w:t xml:space="preserve"> PAGRINDINIŲ TINKLŲ INFRASTRUKTŪROS </w:t>
            </w:r>
            <w:bookmarkEnd w:id="9"/>
            <w:r w:rsidR="00581253">
              <w:rPr>
                <w:rFonts w:ascii="Times New Roman" w:eastAsia="AngsanaUPC" w:hAnsi="Times New Roman"/>
                <w:b/>
                <w:bCs/>
                <w:iCs/>
                <w:sz w:val="24"/>
                <w:szCs w:val="28"/>
                <w:lang w:eastAsia="lt-LT"/>
              </w:rPr>
              <w:t>PLĖTRA</w:t>
            </w:r>
            <w:bookmarkEnd w:id="10"/>
          </w:p>
        </w:tc>
      </w:tr>
      <w:tr w:rsidR="00385835" w:rsidRPr="00385835" w:rsidTr="00385835">
        <w:trPr>
          <w:trHeight w:val="416"/>
        </w:trPr>
        <w:tc>
          <w:tcPr>
            <w:tcW w:w="9746" w:type="dxa"/>
            <w:shd w:val="clear" w:color="auto" w:fill="auto"/>
            <w:vAlign w:val="center"/>
          </w:tcPr>
          <w:p w:rsidR="00385835" w:rsidRPr="00385835" w:rsidRDefault="00385835" w:rsidP="00385835">
            <w:pPr>
              <w:spacing w:after="0" w:line="240" w:lineRule="auto"/>
              <w:ind w:firstLine="624"/>
              <w:jc w:val="both"/>
              <w:rPr>
                <w:rFonts w:ascii="Times New Roman" w:hAnsi="Times New Roman"/>
                <w:bCs/>
                <w:color w:val="000000"/>
                <w:sz w:val="24"/>
                <w:szCs w:val="24"/>
                <w:lang w:eastAsia="lt-LT"/>
              </w:rPr>
            </w:pPr>
            <w:r w:rsidRPr="00385835">
              <w:rPr>
                <w:rFonts w:ascii="Times New Roman" w:hAnsi="Times New Roman"/>
                <w:bCs/>
                <w:color w:val="000000"/>
                <w:sz w:val="24"/>
                <w:szCs w:val="24"/>
                <w:lang w:eastAsia="lt-LT"/>
              </w:rPr>
              <w:t>Remiantis statistikos duomenimis</w:t>
            </w:r>
            <w:r w:rsidR="00367B18">
              <w:rPr>
                <w:rFonts w:ascii="Times New Roman" w:hAnsi="Times New Roman"/>
                <w:bCs/>
                <w:color w:val="000000"/>
                <w:sz w:val="24"/>
                <w:szCs w:val="24"/>
                <w:lang w:eastAsia="lt-LT"/>
              </w:rPr>
              <w:t>,</w:t>
            </w:r>
            <w:r w:rsidRPr="00385835">
              <w:rPr>
                <w:rFonts w:ascii="Times New Roman" w:hAnsi="Times New Roman"/>
                <w:bCs/>
                <w:color w:val="000000"/>
                <w:sz w:val="24"/>
                <w:szCs w:val="24"/>
                <w:lang w:eastAsia="lt-LT"/>
              </w:rPr>
              <w:t xml:space="preserve"> Lietuva atsilieka nuo ES-27 vidurkio pagal pagrindinių transporto tinklų parametrus </w:t>
            </w:r>
            <w:proofErr w:type="gramStart"/>
            <w:r w:rsidRPr="00385835">
              <w:rPr>
                <w:rFonts w:ascii="Times New Roman" w:hAnsi="Times New Roman"/>
                <w:bCs/>
                <w:color w:val="000000"/>
                <w:sz w:val="24"/>
                <w:szCs w:val="24"/>
                <w:lang w:eastAsia="lt-LT"/>
              </w:rPr>
              <w:t>(</w:t>
            </w:r>
            <w:proofErr w:type="gramEnd"/>
            <w:r w:rsidRPr="00385835">
              <w:rPr>
                <w:rFonts w:ascii="Times New Roman" w:hAnsi="Times New Roman"/>
                <w:bCs/>
                <w:color w:val="000000"/>
                <w:sz w:val="24"/>
                <w:szCs w:val="24"/>
                <w:lang w:eastAsia="lt-LT"/>
              </w:rPr>
              <w:t>Geležinkelių tinklo tankumas:</w:t>
            </w:r>
            <w:r w:rsidRPr="00385835">
              <w:rPr>
                <w:rFonts w:ascii="Times New Roman" w:hAnsi="Times New Roman"/>
                <w:color w:val="000000"/>
                <w:sz w:val="24"/>
                <w:szCs w:val="24"/>
                <w:lang w:eastAsia="lt-LT"/>
              </w:rPr>
              <w:t xml:space="preserve"> 0,03 km/tūkst. km</w:t>
            </w:r>
            <w:r w:rsidRPr="00385835">
              <w:rPr>
                <w:rFonts w:ascii="Times New Roman" w:hAnsi="Times New Roman"/>
                <w:color w:val="000000"/>
                <w:sz w:val="24"/>
                <w:szCs w:val="24"/>
                <w:vertAlign w:val="superscript"/>
                <w:lang w:eastAsia="lt-LT"/>
              </w:rPr>
              <w:t>2</w:t>
            </w:r>
            <w:r w:rsidRPr="00385835">
              <w:rPr>
                <w:rFonts w:ascii="Times New Roman" w:hAnsi="Times New Roman"/>
                <w:bCs/>
                <w:color w:val="000000"/>
                <w:sz w:val="24"/>
                <w:szCs w:val="24"/>
                <w:lang w:eastAsia="lt-LT"/>
              </w:rPr>
              <w:t xml:space="preserve">, </w:t>
            </w:r>
            <w:r w:rsidRPr="00385835">
              <w:rPr>
                <w:rFonts w:ascii="Times New Roman" w:hAnsi="Times New Roman"/>
                <w:color w:val="000000"/>
                <w:sz w:val="24"/>
                <w:szCs w:val="24"/>
                <w:lang w:eastAsia="lt-LT"/>
              </w:rPr>
              <w:t>dvikeliai keliai 2012 m. sudarė tik 22 proc. viso geležinkelių tinklo; tik 7 proc. krašto ir 20 proc. rajoninių kelių, turinčių asfalto dangą, nemažai kelių važiuojamoji dalis yra siauresnė negu 6 m.</w:t>
            </w:r>
            <w:r w:rsidRPr="00385835">
              <w:rPr>
                <w:rFonts w:ascii="Times New Roman" w:hAnsi="Times New Roman"/>
                <w:bCs/>
                <w:color w:val="000000"/>
                <w:sz w:val="24"/>
                <w:szCs w:val="24"/>
                <w:lang w:eastAsia="lt-LT"/>
              </w:rPr>
              <w:t>;  tik 30 proc. kelių tenkina 11,5 t automobilio aš</w:t>
            </w:r>
            <w:r w:rsidR="002B01A3">
              <w:rPr>
                <w:rFonts w:ascii="Times New Roman" w:hAnsi="Times New Roman"/>
                <w:bCs/>
                <w:color w:val="000000"/>
                <w:sz w:val="24"/>
                <w:szCs w:val="24"/>
                <w:lang w:eastAsia="lt-LT"/>
              </w:rPr>
              <w:t>ies</w:t>
            </w:r>
            <w:r w:rsidRPr="00385835">
              <w:rPr>
                <w:rFonts w:ascii="Times New Roman" w:hAnsi="Times New Roman"/>
                <w:bCs/>
                <w:color w:val="000000"/>
                <w:sz w:val="24"/>
                <w:szCs w:val="24"/>
                <w:lang w:eastAsia="lt-LT"/>
              </w:rPr>
              <w:t xml:space="preserve"> apkrovos reikalavimus). </w:t>
            </w:r>
            <w:r w:rsidR="002B01A3">
              <w:rPr>
                <w:rFonts w:ascii="Times New Roman" w:hAnsi="Times New Roman"/>
                <w:bCs/>
                <w:color w:val="000000"/>
                <w:sz w:val="24"/>
                <w:szCs w:val="24"/>
                <w:lang w:eastAsia="lt-LT"/>
              </w:rPr>
              <w:t>N</w:t>
            </w:r>
            <w:r w:rsidR="002B01A3" w:rsidRPr="00385835">
              <w:rPr>
                <w:rFonts w:ascii="Times New Roman" w:hAnsi="Times New Roman"/>
                <w:bCs/>
                <w:color w:val="000000"/>
                <w:sz w:val="24"/>
                <w:szCs w:val="24"/>
                <w:lang w:eastAsia="lt-LT"/>
              </w:rPr>
              <w:t xml:space="preserve">umatomos </w:t>
            </w:r>
            <w:r w:rsidRPr="00385835">
              <w:rPr>
                <w:rFonts w:ascii="Times New Roman" w:hAnsi="Times New Roman"/>
                <w:bCs/>
                <w:color w:val="000000"/>
                <w:sz w:val="24"/>
                <w:szCs w:val="24"/>
                <w:lang w:eastAsia="lt-LT"/>
              </w:rPr>
              <w:t>investicijos į kelių, geležinkelių, oro, jūrų ir vidaus vandenų transporto tinklus</w:t>
            </w:r>
            <w:r w:rsidR="002B01A3">
              <w:rPr>
                <w:rFonts w:ascii="Times New Roman" w:hAnsi="Times New Roman"/>
                <w:bCs/>
                <w:color w:val="000000"/>
                <w:sz w:val="24"/>
                <w:szCs w:val="24"/>
                <w:lang w:eastAsia="lt-LT"/>
              </w:rPr>
              <w:t xml:space="preserve"> </w:t>
            </w:r>
            <w:r w:rsidRPr="00385835">
              <w:rPr>
                <w:rFonts w:ascii="Times New Roman" w:hAnsi="Times New Roman"/>
                <w:bCs/>
                <w:color w:val="000000"/>
                <w:sz w:val="24"/>
                <w:szCs w:val="24"/>
                <w:lang w:eastAsia="lt-LT"/>
              </w:rPr>
              <w:t xml:space="preserve">sumažins arba pašalins šį Lietuvos atsilikimą. </w:t>
            </w:r>
          </w:p>
          <w:p w:rsidR="00385835" w:rsidRPr="00385835" w:rsidRDefault="00385835" w:rsidP="00385835">
            <w:pPr>
              <w:spacing w:after="0" w:line="240" w:lineRule="auto"/>
              <w:ind w:firstLine="624"/>
              <w:jc w:val="both"/>
              <w:rPr>
                <w:rFonts w:ascii="Times New Roman" w:hAnsi="Times New Roman"/>
                <w:color w:val="000000"/>
                <w:sz w:val="24"/>
                <w:szCs w:val="24"/>
                <w:lang w:eastAsia="lt-LT"/>
              </w:rPr>
            </w:pPr>
            <w:r w:rsidRPr="00385835">
              <w:rPr>
                <w:rFonts w:ascii="Times New Roman" w:hAnsi="Times New Roman"/>
                <w:color w:val="000000"/>
                <w:sz w:val="24"/>
                <w:szCs w:val="24"/>
                <w:lang w:eastAsia="lt-LT"/>
              </w:rPr>
              <w:t xml:space="preserve">Siekiant šio prioriteto konkrečių uždavinių ir veiklų integralaus ir efektyvaus įgyvendinimo, numatoma lygiagrečiai naudoti ERPF ir </w:t>
            </w:r>
            <w:r w:rsidRPr="00385835">
              <w:rPr>
                <w:rFonts w:ascii="Times New Roman" w:hAnsi="Times New Roman"/>
                <w:bCs/>
                <w:iCs/>
                <w:color w:val="000000"/>
                <w:sz w:val="24"/>
                <w:szCs w:val="24"/>
                <w:lang w:eastAsia="lt-LT"/>
              </w:rPr>
              <w:t>SaF</w:t>
            </w:r>
            <w:r w:rsidRPr="00385835">
              <w:rPr>
                <w:rFonts w:ascii="Times New Roman" w:hAnsi="Times New Roman"/>
                <w:color w:val="000000"/>
                <w:sz w:val="24"/>
                <w:szCs w:val="24"/>
                <w:lang w:eastAsia="lt-LT"/>
              </w:rPr>
              <w:t xml:space="preserve"> lėšas. Suderinta kompleksinė šalies susisiekimo sistemos plėtra leis užtikrinti nuoseklią TEN</w:t>
            </w:r>
            <w:proofErr w:type="gramStart"/>
            <w:r w:rsidRPr="00385835">
              <w:rPr>
                <w:rFonts w:ascii="Times New Roman" w:hAnsi="Times New Roman"/>
                <w:color w:val="000000"/>
                <w:sz w:val="24"/>
                <w:szCs w:val="24"/>
                <w:lang w:eastAsia="lt-LT"/>
              </w:rPr>
              <w:t>-</w:t>
            </w:r>
            <w:proofErr w:type="gramEnd"/>
            <w:r w:rsidRPr="00385835">
              <w:rPr>
                <w:rFonts w:ascii="Times New Roman" w:hAnsi="Times New Roman"/>
                <w:color w:val="000000"/>
                <w:sz w:val="24"/>
                <w:szCs w:val="24"/>
                <w:lang w:eastAsia="lt-LT"/>
              </w:rPr>
              <w:t>T tinklo plėtrą, nacionalinio tinklo techninių parametrų gerinimą bei prijungimą prie TEN-T, tokiu būd</w:t>
            </w:r>
            <w:r w:rsidR="002B01A3">
              <w:rPr>
                <w:rFonts w:ascii="Times New Roman" w:hAnsi="Times New Roman"/>
                <w:color w:val="000000"/>
                <w:sz w:val="24"/>
                <w:szCs w:val="24"/>
                <w:lang w:eastAsia="lt-LT"/>
              </w:rPr>
              <w:t>u</w:t>
            </w:r>
            <w:r w:rsidRPr="00385835">
              <w:rPr>
                <w:rFonts w:ascii="Times New Roman" w:hAnsi="Times New Roman"/>
                <w:color w:val="000000"/>
                <w:sz w:val="24"/>
                <w:szCs w:val="24"/>
                <w:lang w:eastAsia="lt-LT"/>
              </w:rPr>
              <w:t xml:space="preserve"> </w:t>
            </w:r>
            <w:r w:rsidR="002B01A3">
              <w:rPr>
                <w:rFonts w:ascii="Times New Roman" w:hAnsi="Times New Roman"/>
                <w:color w:val="000000"/>
                <w:sz w:val="24"/>
                <w:szCs w:val="24"/>
                <w:lang w:eastAsia="lt-LT"/>
              </w:rPr>
              <w:t xml:space="preserve">bus pasiektas </w:t>
            </w:r>
            <w:r w:rsidRPr="00385835">
              <w:rPr>
                <w:rFonts w:ascii="Times New Roman" w:hAnsi="Times New Roman"/>
                <w:color w:val="000000"/>
                <w:sz w:val="24"/>
                <w:szCs w:val="24"/>
                <w:lang w:eastAsia="lt-LT"/>
              </w:rPr>
              <w:t>didžiausi</w:t>
            </w:r>
            <w:r w:rsidR="002B01A3">
              <w:rPr>
                <w:rFonts w:ascii="Times New Roman" w:hAnsi="Times New Roman"/>
                <w:color w:val="000000"/>
                <w:sz w:val="24"/>
                <w:szCs w:val="24"/>
                <w:lang w:eastAsia="lt-LT"/>
              </w:rPr>
              <w:t>as</w:t>
            </w:r>
            <w:r w:rsidRPr="00385835">
              <w:rPr>
                <w:rFonts w:ascii="Times New Roman" w:hAnsi="Times New Roman"/>
                <w:color w:val="000000"/>
                <w:sz w:val="24"/>
                <w:szCs w:val="24"/>
                <w:lang w:eastAsia="lt-LT"/>
              </w:rPr>
              <w:t xml:space="preserve"> laukiam</w:t>
            </w:r>
            <w:r w:rsidR="002B01A3">
              <w:rPr>
                <w:rFonts w:ascii="Times New Roman" w:hAnsi="Times New Roman"/>
                <w:color w:val="000000"/>
                <w:sz w:val="24"/>
                <w:szCs w:val="24"/>
                <w:lang w:eastAsia="lt-LT"/>
              </w:rPr>
              <w:t>as</w:t>
            </w:r>
            <w:r w:rsidRPr="00385835">
              <w:rPr>
                <w:rFonts w:ascii="Times New Roman" w:hAnsi="Times New Roman"/>
                <w:color w:val="000000"/>
                <w:sz w:val="24"/>
                <w:szCs w:val="24"/>
                <w:lang w:eastAsia="lt-LT"/>
              </w:rPr>
              <w:t xml:space="preserve"> efekt</w:t>
            </w:r>
            <w:r w:rsidR="002B01A3">
              <w:rPr>
                <w:rFonts w:ascii="Times New Roman" w:hAnsi="Times New Roman"/>
                <w:color w:val="000000"/>
                <w:sz w:val="24"/>
                <w:szCs w:val="24"/>
                <w:lang w:eastAsia="lt-LT"/>
              </w:rPr>
              <w:t>as</w:t>
            </w:r>
            <w:r w:rsidRPr="00385835">
              <w:rPr>
                <w:rFonts w:ascii="Times New Roman" w:hAnsi="Times New Roman"/>
                <w:color w:val="000000"/>
                <w:sz w:val="24"/>
                <w:szCs w:val="24"/>
                <w:lang w:eastAsia="lt-LT"/>
              </w:rPr>
              <w:t xml:space="preserve"> ir veiksmingum</w:t>
            </w:r>
            <w:r w:rsidR="002B01A3">
              <w:rPr>
                <w:rFonts w:ascii="Times New Roman" w:hAnsi="Times New Roman"/>
                <w:color w:val="000000"/>
                <w:sz w:val="24"/>
                <w:szCs w:val="24"/>
                <w:lang w:eastAsia="lt-LT"/>
              </w:rPr>
              <w:t>as</w:t>
            </w:r>
            <w:r w:rsidR="000C637A">
              <w:rPr>
                <w:rFonts w:ascii="Times New Roman" w:hAnsi="Times New Roman"/>
                <w:color w:val="000000"/>
                <w:sz w:val="24"/>
                <w:szCs w:val="24"/>
                <w:lang w:eastAsia="lt-LT"/>
              </w:rPr>
              <w:t xml:space="preserve"> šalies, regionų ir, </w:t>
            </w:r>
            <w:r w:rsidRPr="00385835">
              <w:rPr>
                <w:rFonts w:ascii="Times New Roman" w:hAnsi="Times New Roman"/>
                <w:color w:val="000000"/>
                <w:sz w:val="24"/>
                <w:szCs w:val="24"/>
                <w:lang w:eastAsia="lt-LT"/>
              </w:rPr>
              <w:t>svarbiausia</w:t>
            </w:r>
            <w:r w:rsidR="000C637A">
              <w:rPr>
                <w:rFonts w:ascii="Times New Roman" w:hAnsi="Times New Roman"/>
                <w:color w:val="000000"/>
                <w:sz w:val="24"/>
                <w:szCs w:val="24"/>
                <w:lang w:eastAsia="lt-LT"/>
              </w:rPr>
              <w:t>,</w:t>
            </w:r>
            <w:r w:rsidRPr="00385835">
              <w:rPr>
                <w:rFonts w:ascii="Times New Roman" w:hAnsi="Times New Roman"/>
                <w:color w:val="000000"/>
                <w:sz w:val="24"/>
                <w:szCs w:val="24"/>
                <w:lang w:eastAsia="lt-LT"/>
              </w:rPr>
              <w:t xml:space="preserve"> ES lygiu. Toks skirtingų finansavimo šaltinių investicijų derinimas gali užtikrinti tinkamą nepertraukiamos transportavimo grandinės funkcionavimą, siekiant suderinti skirtingų TEN</w:t>
            </w:r>
            <w:proofErr w:type="gramStart"/>
            <w:r w:rsidRPr="00385835">
              <w:rPr>
                <w:rFonts w:ascii="Times New Roman" w:hAnsi="Times New Roman"/>
                <w:color w:val="000000"/>
                <w:sz w:val="24"/>
                <w:szCs w:val="24"/>
                <w:lang w:eastAsia="lt-LT"/>
              </w:rPr>
              <w:t>-</w:t>
            </w:r>
            <w:proofErr w:type="gramEnd"/>
            <w:r w:rsidRPr="00385835">
              <w:rPr>
                <w:rFonts w:ascii="Times New Roman" w:hAnsi="Times New Roman"/>
                <w:color w:val="000000"/>
                <w:sz w:val="24"/>
                <w:szCs w:val="24"/>
                <w:lang w:eastAsia="lt-LT"/>
              </w:rPr>
              <w:t>T tinklo elementų bei skirtingų transporto rūšių efektyvų veikimą.</w:t>
            </w:r>
          </w:p>
          <w:p w:rsidR="00385835" w:rsidRPr="00385835" w:rsidRDefault="00385835" w:rsidP="00025378">
            <w:pPr>
              <w:spacing w:after="0" w:line="240" w:lineRule="auto"/>
              <w:ind w:firstLine="624"/>
              <w:jc w:val="both"/>
            </w:pPr>
            <w:r w:rsidRPr="00385835">
              <w:rPr>
                <w:rFonts w:ascii="Times New Roman" w:hAnsi="Times New Roman"/>
                <w:color w:val="000000"/>
                <w:sz w:val="24"/>
                <w:szCs w:val="24"/>
                <w:lang w:eastAsia="lt-LT"/>
              </w:rPr>
              <w:t>SaF fondo lėšomis bus gerinamas TEN</w:t>
            </w:r>
            <w:proofErr w:type="gramStart"/>
            <w:r w:rsidRPr="00385835">
              <w:rPr>
                <w:rFonts w:ascii="Times New Roman" w:hAnsi="Times New Roman"/>
                <w:color w:val="000000"/>
                <w:sz w:val="24"/>
                <w:szCs w:val="24"/>
                <w:lang w:eastAsia="lt-LT"/>
              </w:rPr>
              <w:t>-</w:t>
            </w:r>
            <w:proofErr w:type="gramEnd"/>
            <w:r w:rsidRPr="00385835">
              <w:rPr>
                <w:rFonts w:ascii="Times New Roman" w:hAnsi="Times New Roman"/>
                <w:color w:val="000000"/>
                <w:sz w:val="24"/>
                <w:szCs w:val="24"/>
                <w:lang w:eastAsia="lt-LT"/>
              </w:rPr>
              <w:t>T tinklas Lietuvoje</w:t>
            </w:r>
            <w:r w:rsidR="002B01A3">
              <w:rPr>
                <w:rFonts w:ascii="Times New Roman" w:hAnsi="Times New Roman"/>
                <w:color w:val="000000"/>
                <w:sz w:val="24"/>
                <w:szCs w:val="24"/>
                <w:lang w:eastAsia="lt-LT"/>
              </w:rPr>
              <w:t>,</w:t>
            </w:r>
            <w:r w:rsidRPr="00385835">
              <w:rPr>
                <w:rFonts w:ascii="Times New Roman" w:hAnsi="Times New Roman"/>
                <w:color w:val="000000"/>
                <w:sz w:val="24"/>
                <w:szCs w:val="24"/>
                <w:lang w:eastAsia="lt-LT"/>
              </w:rPr>
              <w:t xml:space="preserve"> tiesiant </w:t>
            </w:r>
            <w:r w:rsidR="00964001" w:rsidRPr="00385835">
              <w:rPr>
                <w:rFonts w:ascii="Times New Roman" w:hAnsi="Times New Roman"/>
                <w:color w:val="000000"/>
                <w:sz w:val="24"/>
                <w:szCs w:val="24"/>
                <w:lang w:eastAsia="lt-LT"/>
              </w:rPr>
              <w:t>reikiamas</w:t>
            </w:r>
            <w:r w:rsidRPr="00385835">
              <w:rPr>
                <w:rFonts w:ascii="Times New Roman" w:hAnsi="Times New Roman"/>
                <w:color w:val="000000"/>
                <w:sz w:val="24"/>
                <w:szCs w:val="24"/>
                <w:lang w:eastAsia="lt-LT"/>
              </w:rPr>
              <w:t xml:space="preserve"> susisiekimo infrastruktūros </w:t>
            </w:r>
            <w:r w:rsidR="00964001" w:rsidRPr="00385835">
              <w:rPr>
                <w:rFonts w:ascii="Times New Roman" w:hAnsi="Times New Roman"/>
                <w:color w:val="000000"/>
                <w:sz w:val="24"/>
                <w:szCs w:val="24"/>
                <w:lang w:eastAsia="lt-LT"/>
              </w:rPr>
              <w:t>jungtis</w:t>
            </w:r>
            <w:r w:rsidRPr="00385835">
              <w:rPr>
                <w:rFonts w:ascii="Times New Roman" w:hAnsi="Times New Roman"/>
                <w:color w:val="000000"/>
                <w:sz w:val="24"/>
                <w:szCs w:val="24"/>
                <w:lang w:eastAsia="lt-LT"/>
              </w:rPr>
              <w:t xml:space="preserve"> su TEN-T</w:t>
            </w:r>
            <w:r w:rsidR="002B01A3" w:rsidRPr="00385835">
              <w:rPr>
                <w:rFonts w:ascii="Times New Roman" w:hAnsi="Times New Roman"/>
                <w:color w:val="000000"/>
                <w:sz w:val="24"/>
                <w:szCs w:val="24"/>
                <w:lang w:eastAsia="lt-LT"/>
              </w:rPr>
              <w:t xml:space="preserve"> </w:t>
            </w:r>
            <w:r w:rsidR="002B01A3">
              <w:rPr>
                <w:rFonts w:ascii="Times New Roman" w:hAnsi="Times New Roman"/>
                <w:color w:val="000000"/>
                <w:sz w:val="24"/>
                <w:szCs w:val="24"/>
                <w:lang w:eastAsia="lt-LT"/>
              </w:rPr>
              <w:t>ir trūkstam</w:t>
            </w:r>
            <w:r w:rsidR="00964001">
              <w:rPr>
                <w:rFonts w:ascii="Times New Roman" w:hAnsi="Times New Roman"/>
                <w:color w:val="000000"/>
                <w:sz w:val="24"/>
                <w:szCs w:val="24"/>
                <w:lang w:eastAsia="lt-LT"/>
              </w:rPr>
              <w:t>a</w:t>
            </w:r>
            <w:r w:rsidR="002B01A3">
              <w:rPr>
                <w:rFonts w:ascii="Times New Roman" w:hAnsi="Times New Roman"/>
                <w:color w:val="000000"/>
                <w:sz w:val="24"/>
                <w:szCs w:val="24"/>
                <w:lang w:eastAsia="lt-LT"/>
              </w:rPr>
              <w:t>s grand</w:t>
            </w:r>
            <w:r w:rsidR="00964001">
              <w:rPr>
                <w:rFonts w:ascii="Times New Roman" w:hAnsi="Times New Roman"/>
                <w:color w:val="000000"/>
                <w:sz w:val="24"/>
                <w:szCs w:val="24"/>
                <w:lang w:eastAsia="lt-LT"/>
              </w:rPr>
              <w:t>i</w:t>
            </w:r>
            <w:r w:rsidR="002B01A3" w:rsidRPr="00385835">
              <w:rPr>
                <w:rFonts w:ascii="Times New Roman" w:hAnsi="Times New Roman"/>
                <w:color w:val="000000"/>
                <w:sz w:val="24"/>
                <w:szCs w:val="24"/>
                <w:lang w:eastAsia="lt-LT"/>
              </w:rPr>
              <w:t>s</w:t>
            </w:r>
            <w:r w:rsidR="00437C7E">
              <w:rPr>
                <w:rFonts w:ascii="Times New Roman" w:hAnsi="Times New Roman"/>
                <w:color w:val="000000"/>
                <w:sz w:val="24"/>
                <w:szCs w:val="24"/>
                <w:lang w:eastAsia="lt-LT"/>
              </w:rPr>
              <w:t xml:space="preserve"> </w:t>
            </w:r>
            <w:r w:rsidR="00025378">
              <w:rPr>
                <w:rFonts w:ascii="Times New Roman" w:hAnsi="Times New Roman"/>
                <w:color w:val="000000"/>
                <w:sz w:val="24"/>
                <w:szCs w:val="24"/>
                <w:lang w:eastAsia="lt-LT"/>
              </w:rPr>
              <w:t>bei</w:t>
            </w:r>
            <w:r w:rsidR="00437C7E">
              <w:rPr>
                <w:rFonts w:ascii="Times New Roman" w:hAnsi="Times New Roman"/>
                <w:color w:val="000000"/>
                <w:sz w:val="24"/>
                <w:szCs w:val="24"/>
                <w:lang w:eastAsia="lt-LT"/>
              </w:rPr>
              <w:t xml:space="preserve"> </w:t>
            </w:r>
            <w:r w:rsidR="002B01A3">
              <w:rPr>
                <w:rFonts w:ascii="Times New Roman" w:hAnsi="Times New Roman"/>
                <w:color w:val="000000"/>
                <w:sz w:val="24"/>
                <w:szCs w:val="24"/>
                <w:lang w:eastAsia="lt-LT"/>
              </w:rPr>
              <w:t>plėtoja</w:t>
            </w:r>
            <w:r w:rsidR="00964001">
              <w:rPr>
                <w:rFonts w:ascii="Times New Roman" w:hAnsi="Times New Roman"/>
                <w:color w:val="000000"/>
                <w:sz w:val="24"/>
                <w:szCs w:val="24"/>
                <w:lang w:eastAsia="lt-LT"/>
              </w:rPr>
              <w:t>nt</w:t>
            </w:r>
            <w:r w:rsidR="002B01A3">
              <w:rPr>
                <w:rFonts w:ascii="Times New Roman" w:hAnsi="Times New Roman"/>
                <w:color w:val="000000"/>
                <w:sz w:val="24"/>
                <w:szCs w:val="24"/>
                <w:lang w:eastAsia="lt-LT"/>
              </w:rPr>
              <w:t xml:space="preserve"> </w:t>
            </w:r>
            <w:r w:rsidRPr="00385835">
              <w:rPr>
                <w:rFonts w:ascii="Times New Roman" w:hAnsi="Times New Roman"/>
                <w:color w:val="000000"/>
                <w:sz w:val="24"/>
                <w:szCs w:val="24"/>
                <w:lang w:eastAsia="lt-LT"/>
              </w:rPr>
              <w:t>skirtingų transporto rūšių sąveiką užtikrinan</w:t>
            </w:r>
            <w:r w:rsidR="00964001">
              <w:rPr>
                <w:rFonts w:ascii="Times New Roman" w:hAnsi="Times New Roman"/>
                <w:color w:val="000000"/>
                <w:sz w:val="24"/>
                <w:szCs w:val="24"/>
                <w:lang w:eastAsia="lt-LT"/>
              </w:rPr>
              <w:t>čią</w:t>
            </w:r>
            <w:r w:rsidRPr="00385835">
              <w:rPr>
                <w:rFonts w:ascii="Times New Roman" w:hAnsi="Times New Roman"/>
                <w:color w:val="000000"/>
                <w:sz w:val="24"/>
                <w:szCs w:val="24"/>
                <w:lang w:eastAsia="lt-LT"/>
              </w:rPr>
              <w:t xml:space="preserve"> infrastruktūr</w:t>
            </w:r>
            <w:r w:rsidR="00964001">
              <w:rPr>
                <w:rFonts w:ascii="Times New Roman" w:hAnsi="Times New Roman"/>
                <w:color w:val="000000"/>
                <w:sz w:val="24"/>
                <w:szCs w:val="24"/>
                <w:lang w:eastAsia="lt-LT"/>
              </w:rPr>
              <w:t>ą</w:t>
            </w:r>
            <w:r w:rsidRPr="00385835">
              <w:rPr>
                <w:rFonts w:ascii="Times New Roman" w:hAnsi="Times New Roman"/>
                <w:color w:val="000000"/>
                <w:sz w:val="24"/>
                <w:szCs w:val="24"/>
                <w:lang w:eastAsia="lt-LT"/>
              </w:rPr>
              <w:t>. ERPF fondo lėšomis numatoma didinti verslo bei gyventojų regionuose mobilumą, tuo pačiu didinant regionų tarpusavio pasiekiamumą ir užtikrinant tinkamą sujungimą su TEN</w:t>
            </w:r>
            <w:proofErr w:type="gramStart"/>
            <w:r w:rsidRPr="00385835">
              <w:rPr>
                <w:rFonts w:ascii="Times New Roman" w:hAnsi="Times New Roman"/>
                <w:color w:val="000000"/>
                <w:sz w:val="24"/>
                <w:szCs w:val="24"/>
                <w:lang w:eastAsia="lt-LT"/>
              </w:rPr>
              <w:t>-</w:t>
            </w:r>
            <w:proofErr w:type="gramEnd"/>
            <w:r w:rsidRPr="00385835">
              <w:rPr>
                <w:rFonts w:ascii="Times New Roman" w:hAnsi="Times New Roman"/>
                <w:color w:val="000000"/>
                <w:sz w:val="24"/>
                <w:szCs w:val="24"/>
                <w:lang w:eastAsia="lt-LT"/>
              </w:rPr>
              <w:t xml:space="preserve">T tinklu ir saugumą. Siekiant efektyviai spręsti problemas, būtina derinti ERPF ir </w:t>
            </w:r>
            <w:r w:rsidRPr="00385835">
              <w:rPr>
                <w:rFonts w:ascii="Times New Roman" w:hAnsi="Times New Roman"/>
                <w:bCs/>
                <w:iCs/>
                <w:color w:val="000000"/>
                <w:sz w:val="24"/>
                <w:szCs w:val="24"/>
                <w:lang w:eastAsia="lt-LT"/>
              </w:rPr>
              <w:t>SaF</w:t>
            </w:r>
            <w:r w:rsidRPr="00385835">
              <w:rPr>
                <w:rFonts w:ascii="Times New Roman" w:hAnsi="Times New Roman"/>
                <w:color w:val="000000"/>
                <w:sz w:val="24"/>
                <w:szCs w:val="24"/>
                <w:lang w:eastAsia="lt-LT"/>
              </w:rPr>
              <w:t xml:space="preserve"> finansuojamas veiklas, nes tai leis įgyvendinti integruotu požiūriu pagrįstus projektus (numatoma, kad daugeliu aukščiau nurodytų atvejų atskiras veiklas įgyvendins tas pats projektų vykdytojas)</w:t>
            </w:r>
            <w:r w:rsidR="00025378">
              <w:rPr>
                <w:rFonts w:ascii="Times New Roman" w:hAnsi="Times New Roman"/>
                <w:color w:val="000000"/>
                <w:sz w:val="24"/>
                <w:szCs w:val="24"/>
                <w:lang w:eastAsia="lt-LT"/>
              </w:rPr>
              <w:t xml:space="preserve">. </w:t>
            </w:r>
            <w:r w:rsidRPr="00385835">
              <w:rPr>
                <w:rFonts w:ascii="Times New Roman" w:hAnsi="Times New Roman"/>
                <w:color w:val="000000"/>
                <w:sz w:val="24"/>
                <w:szCs w:val="24"/>
                <w:lang w:eastAsia="lt-LT"/>
              </w:rPr>
              <w:t>Taip pat tai palengvins šio veiksmų programos prioriteto administravimą, stebėseną ir kokybišką atsiskaitymą.</w:t>
            </w:r>
          </w:p>
        </w:tc>
      </w:tr>
    </w:tbl>
    <w:p w:rsidR="00385835" w:rsidRPr="00385835" w:rsidRDefault="00385835" w:rsidP="00385835">
      <w:pPr>
        <w:spacing w:after="0" w:line="240" w:lineRule="auto"/>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vAlign w:val="center"/>
          </w:tcPr>
          <w:p w:rsidR="00385835" w:rsidRPr="00385835" w:rsidRDefault="00385835" w:rsidP="00385835">
            <w:pPr>
              <w:widowControl w:val="0"/>
              <w:tabs>
                <w:tab w:val="left" w:pos="622"/>
              </w:tabs>
              <w:spacing w:after="0" w:line="240" w:lineRule="auto"/>
              <w:rPr>
                <w:rFonts w:ascii="Times New Roman" w:eastAsia="AngsanaUPC" w:hAnsi="Times New Roman"/>
                <w:b/>
                <w:bCs/>
                <w:iCs/>
                <w:sz w:val="24"/>
                <w:szCs w:val="24"/>
                <w:lang w:eastAsia="lt-LT"/>
              </w:rPr>
            </w:pPr>
            <w:r w:rsidRPr="00385835">
              <w:rPr>
                <w:rFonts w:ascii="Times New Roman" w:eastAsia="AngsanaUPC" w:hAnsi="Times New Roman"/>
                <w:b/>
                <w:bCs/>
                <w:iCs/>
                <w:sz w:val="24"/>
                <w:szCs w:val="24"/>
                <w:lang w:eastAsia="lt-LT"/>
              </w:rPr>
              <w:t>6.1. INVESTICINIS PRIORITETAS</w:t>
            </w:r>
          </w:p>
        </w:tc>
        <w:tc>
          <w:tcPr>
            <w:tcW w:w="7336" w:type="dxa"/>
            <w:shd w:val="clear" w:color="auto" w:fill="EEECE1"/>
          </w:tcPr>
          <w:p w:rsidR="00385835" w:rsidRPr="00385835" w:rsidRDefault="00385835" w:rsidP="00385835">
            <w:pPr>
              <w:spacing w:after="0" w:line="240" w:lineRule="auto"/>
              <w:jc w:val="both"/>
              <w:rPr>
                <w:rFonts w:ascii="Times New Roman" w:hAnsi="Times New Roman"/>
                <w:b/>
                <w:sz w:val="24"/>
                <w:szCs w:val="24"/>
              </w:rPr>
            </w:pPr>
            <w:r w:rsidRPr="00385835">
              <w:rPr>
                <w:rFonts w:ascii="Times New Roman" w:hAnsi="Times New Roman"/>
                <w:b/>
                <w:sz w:val="24"/>
                <w:szCs w:val="24"/>
              </w:rPr>
              <w:t>Bendros Europos daugiarūšio transporto erdvės kūrimo rėmimas investuojant į transeu</w:t>
            </w:r>
            <w:r w:rsidR="00031EF1">
              <w:rPr>
                <w:rFonts w:ascii="Times New Roman" w:hAnsi="Times New Roman"/>
                <w:b/>
                <w:sz w:val="24"/>
                <w:szCs w:val="24"/>
              </w:rPr>
              <w:t>ropinį transporto tinklą</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FONDAS</w:t>
            </w:r>
          </w:p>
        </w:tc>
        <w:tc>
          <w:tcPr>
            <w:tcW w:w="7336"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Sanglaudos fondas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tcPr>
          <w:p w:rsidR="00385835" w:rsidRPr="00385835" w:rsidRDefault="00385835" w:rsidP="00385835">
            <w:pPr>
              <w:widowControl w:val="0"/>
              <w:tabs>
                <w:tab w:val="left" w:pos="622"/>
              </w:tabs>
              <w:spacing w:after="0" w:line="240" w:lineRule="auto"/>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6.1.1. KONKRETUS UŽDAVINYS</w:t>
            </w:r>
          </w:p>
        </w:tc>
        <w:tc>
          <w:tcPr>
            <w:tcW w:w="7336" w:type="dxa"/>
            <w:shd w:val="clear" w:color="auto" w:fill="EEECE1"/>
            <w:vAlign w:val="center"/>
          </w:tcPr>
          <w:p w:rsidR="00385835" w:rsidRPr="00385835" w:rsidRDefault="00385835" w:rsidP="00385835">
            <w:pPr>
              <w:spacing w:after="0" w:line="240" w:lineRule="auto"/>
              <w:jc w:val="both"/>
              <w:rPr>
                <w:rFonts w:ascii="Times New Roman" w:eastAsia="Times New Roman" w:hAnsi="Times New Roman"/>
                <w:b/>
                <w:bCs/>
                <w:kern w:val="24"/>
                <w:sz w:val="24"/>
                <w:szCs w:val="24"/>
                <w:lang w:eastAsia="lt-LT"/>
              </w:rPr>
            </w:pPr>
            <w:r w:rsidRPr="00385835">
              <w:rPr>
                <w:rFonts w:ascii="Times New Roman" w:eastAsia="Times New Roman" w:hAnsi="Times New Roman"/>
                <w:b/>
                <w:bCs/>
                <w:kern w:val="24"/>
                <w:sz w:val="24"/>
                <w:szCs w:val="24"/>
                <w:lang w:eastAsia="lt-LT"/>
              </w:rPr>
              <w:t>Padidinti šalies daugiarūšės susisiekimo sistemos ir transeuropinių transporto tinklų sąveiką</w:t>
            </w:r>
          </w:p>
        </w:tc>
      </w:tr>
      <w:tr w:rsidR="00385835" w:rsidRPr="00385835" w:rsidTr="00385835">
        <w:tc>
          <w:tcPr>
            <w:tcW w:w="9746" w:type="dxa"/>
            <w:gridSpan w:val="2"/>
            <w:shd w:val="clear" w:color="auto" w:fill="auto"/>
          </w:tcPr>
          <w:p w:rsidR="00385835" w:rsidRPr="00385835" w:rsidRDefault="00385835" w:rsidP="00385835">
            <w:pPr>
              <w:spacing w:after="0" w:line="240" w:lineRule="auto"/>
              <w:ind w:firstLine="851"/>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Esminis Lietuvos transporto sistemos iššūkis yra susijęs su geresne integracija į bendrą TEN</w:t>
            </w:r>
            <w:proofErr w:type="gramStart"/>
            <w:r w:rsidRPr="00385835">
              <w:rPr>
                <w:rFonts w:ascii="Times New Roman" w:eastAsia="AngsanaUPC" w:hAnsi="Times New Roman"/>
                <w:bCs/>
                <w:sz w:val="24"/>
                <w:szCs w:val="24"/>
                <w:lang w:eastAsia="lt-LT"/>
              </w:rPr>
              <w:t>-</w:t>
            </w:r>
            <w:proofErr w:type="gramEnd"/>
            <w:r w:rsidRPr="00385835">
              <w:rPr>
                <w:rFonts w:ascii="Times New Roman" w:eastAsia="AngsanaUPC" w:hAnsi="Times New Roman"/>
                <w:bCs/>
                <w:sz w:val="24"/>
                <w:szCs w:val="24"/>
                <w:lang w:eastAsia="lt-LT"/>
              </w:rPr>
              <w:t>T tinklą, kuri yra pasiekiama per infrastruktūros techninių parametrų gerinimą, trūkstamų grandžių ar jungčių tiesimą, pralaidumo didinimą. Investuojant į TEN</w:t>
            </w:r>
            <w:proofErr w:type="gramStart"/>
            <w:r w:rsidRPr="00385835">
              <w:rPr>
                <w:rFonts w:ascii="Times New Roman" w:eastAsia="AngsanaUPC" w:hAnsi="Times New Roman"/>
                <w:bCs/>
                <w:sz w:val="24"/>
                <w:szCs w:val="24"/>
                <w:lang w:eastAsia="lt-LT"/>
              </w:rPr>
              <w:t>-</w:t>
            </w:r>
            <w:proofErr w:type="gramEnd"/>
            <w:r w:rsidRPr="00385835">
              <w:rPr>
                <w:rFonts w:ascii="Times New Roman" w:eastAsia="AngsanaUPC" w:hAnsi="Times New Roman"/>
                <w:bCs/>
                <w:sz w:val="24"/>
                <w:szCs w:val="24"/>
                <w:lang w:eastAsia="lt-LT"/>
              </w:rPr>
              <w:t xml:space="preserve">T tinklo techninių parametrų gerinimą, taip pat būtina užtikrinti ir eismo saugą bei diegti aplinkosaugos priemones. </w:t>
            </w:r>
          </w:p>
          <w:p w:rsidR="00385835" w:rsidRPr="00385835" w:rsidRDefault="00385835" w:rsidP="00385835">
            <w:pPr>
              <w:spacing w:after="0" w:line="240" w:lineRule="auto"/>
              <w:ind w:firstLine="851"/>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Vienas</w:t>
            </w:r>
            <w:r w:rsidR="000C637A">
              <w:rPr>
                <w:rFonts w:ascii="Times New Roman" w:eastAsia="AngsanaUPC" w:hAnsi="Times New Roman"/>
                <w:bCs/>
                <w:sz w:val="24"/>
                <w:szCs w:val="24"/>
                <w:lang w:eastAsia="lt-LT"/>
              </w:rPr>
              <w:t xml:space="preserve"> iš</w:t>
            </w:r>
            <w:r w:rsidRPr="00385835">
              <w:rPr>
                <w:rFonts w:ascii="Times New Roman" w:eastAsia="AngsanaUPC" w:hAnsi="Times New Roman"/>
                <w:bCs/>
                <w:sz w:val="24"/>
                <w:szCs w:val="24"/>
                <w:lang w:eastAsia="lt-LT"/>
              </w:rPr>
              <w:t xml:space="preserve"> svarbiausių iššūkių</w:t>
            </w:r>
            <w:r w:rsidR="000C637A">
              <w:rPr>
                <w:rFonts w:ascii="Times New Roman" w:eastAsia="AngsanaUPC" w:hAnsi="Times New Roman"/>
                <w:bCs/>
                <w:sz w:val="24"/>
                <w:szCs w:val="24"/>
                <w:lang w:eastAsia="lt-LT"/>
              </w:rPr>
              <w:t>,</w:t>
            </w:r>
            <w:r w:rsidRPr="00385835">
              <w:rPr>
                <w:rFonts w:ascii="Times New Roman" w:eastAsia="AngsanaUPC" w:hAnsi="Times New Roman"/>
                <w:bCs/>
                <w:sz w:val="24"/>
                <w:szCs w:val="24"/>
                <w:lang w:eastAsia="lt-LT"/>
              </w:rPr>
              <w:t xml:space="preserve"> siekiant užtikrinti efektyvią nepertraukiamą transportavimo grandinę TEN</w:t>
            </w:r>
            <w:proofErr w:type="gramStart"/>
            <w:r w:rsidRPr="00385835">
              <w:rPr>
                <w:rFonts w:ascii="Times New Roman" w:eastAsia="AngsanaUPC" w:hAnsi="Times New Roman"/>
                <w:bCs/>
                <w:sz w:val="24"/>
                <w:szCs w:val="24"/>
                <w:lang w:eastAsia="lt-LT"/>
              </w:rPr>
              <w:t>-</w:t>
            </w:r>
            <w:proofErr w:type="gramEnd"/>
            <w:r w:rsidRPr="00385835">
              <w:rPr>
                <w:rFonts w:ascii="Times New Roman" w:eastAsia="AngsanaUPC" w:hAnsi="Times New Roman"/>
                <w:bCs/>
                <w:sz w:val="24"/>
                <w:szCs w:val="24"/>
                <w:lang w:eastAsia="lt-LT"/>
              </w:rPr>
              <w:t>T tinkle</w:t>
            </w:r>
            <w:r w:rsidR="000C637A">
              <w:rPr>
                <w:rFonts w:ascii="Times New Roman" w:eastAsia="AngsanaUPC" w:hAnsi="Times New Roman"/>
                <w:bCs/>
                <w:sz w:val="24"/>
                <w:szCs w:val="24"/>
                <w:lang w:eastAsia="lt-LT"/>
              </w:rPr>
              <w:t>,</w:t>
            </w:r>
            <w:r w:rsidRPr="00385835">
              <w:rPr>
                <w:rFonts w:ascii="Times New Roman" w:eastAsia="AngsanaUPC" w:hAnsi="Times New Roman"/>
                <w:bCs/>
                <w:sz w:val="24"/>
                <w:szCs w:val="24"/>
                <w:lang w:eastAsia="lt-LT"/>
              </w:rPr>
              <w:t xml:space="preserve"> Lietuvos teritorijoje </w:t>
            </w:r>
            <w:r w:rsidRPr="009B4E2B">
              <w:rPr>
                <w:rFonts w:ascii="Times New Roman" w:eastAsia="AngsanaUPC" w:hAnsi="Times New Roman"/>
                <w:bCs/>
                <w:sz w:val="24"/>
                <w:szCs w:val="24"/>
                <w:lang w:eastAsia="lt-LT"/>
              </w:rPr>
              <w:t>skirtingų transporto rūšių sąveikumo gerinimas.</w:t>
            </w:r>
            <w:r w:rsidRPr="00385835">
              <w:rPr>
                <w:rFonts w:ascii="Times New Roman" w:eastAsia="AngsanaUPC" w:hAnsi="Times New Roman"/>
                <w:bCs/>
                <w:sz w:val="24"/>
                <w:szCs w:val="24"/>
                <w:lang w:eastAsia="lt-LT"/>
              </w:rPr>
              <w:t xml:space="preserve"> Dėl intermodalinio transporto terminalų trūkumo, nepakankamai efektyvios geležinkelių sąveikos su jūrų uostu</w:t>
            </w:r>
            <w:r w:rsidR="00480C7A">
              <w:rPr>
                <w:rFonts w:ascii="Times New Roman" w:eastAsia="AngsanaUPC" w:hAnsi="Times New Roman"/>
                <w:bCs/>
                <w:sz w:val="24"/>
                <w:szCs w:val="24"/>
                <w:lang w:eastAsia="lt-LT"/>
              </w:rPr>
              <w:t>, taip pat</w:t>
            </w:r>
            <w:r w:rsidRPr="00385835" w:rsidDel="00921C5D">
              <w:rPr>
                <w:rFonts w:ascii="Times New Roman" w:eastAsia="AngsanaUPC" w:hAnsi="Times New Roman"/>
                <w:bCs/>
                <w:sz w:val="24"/>
                <w:szCs w:val="24"/>
                <w:lang w:eastAsia="lt-LT"/>
              </w:rPr>
              <w:t xml:space="preserve"> </w:t>
            </w:r>
            <w:r w:rsidRPr="00385835">
              <w:rPr>
                <w:rFonts w:ascii="Times New Roman" w:eastAsia="AngsanaUPC" w:hAnsi="Times New Roman"/>
                <w:bCs/>
                <w:sz w:val="24"/>
                <w:szCs w:val="24"/>
                <w:lang w:eastAsia="lt-LT"/>
              </w:rPr>
              <w:t>nėra gerai panaudojamas geležinkelių transporto potencialas.</w:t>
            </w:r>
          </w:p>
          <w:p w:rsidR="00385835" w:rsidRPr="00385835" w:rsidRDefault="00385835" w:rsidP="00385835">
            <w:pPr>
              <w:spacing w:after="0" w:line="240" w:lineRule="auto"/>
              <w:ind w:firstLine="851"/>
              <w:jc w:val="both"/>
              <w:rPr>
                <w:rFonts w:ascii="Times New Roman" w:eastAsia="AngsanaUPC" w:hAnsi="Times New Roman"/>
                <w:bCs/>
                <w:sz w:val="24"/>
                <w:szCs w:val="24"/>
                <w:lang w:eastAsia="lt-LT"/>
              </w:rPr>
            </w:pPr>
            <w:r w:rsidRPr="009B4E2B">
              <w:rPr>
                <w:rFonts w:ascii="Times New Roman" w:eastAsia="AngsanaUPC" w:hAnsi="Times New Roman"/>
                <w:bCs/>
                <w:sz w:val="24"/>
                <w:szCs w:val="24"/>
                <w:lang w:eastAsia="lt-LT"/>
              </w:rPr>
              <w:t xml:space="preserve">Geležinkelių </w:t>
            </w:r>
            <w:r w:rsidR="00480C7A" w:rsidRPr="009B4E2B">
              <w:rPr>
                <w:rFonts w:ascii="Times New Roman" w:eastAsia="AngsanaUPC" w:hAnsi="Times New Roman"/>
                <w:bCs/>
                <w:sz w:val="24"/>
                <w:szCs w:val="24"/>
                <w:lang w:eastAsia="lt-LT"/>
              </w:rPr>
              <w:t>transportui</w:t>
            </w:r>
            <w:r w:rsidR="00480C7A" w:rsidRPr="00385835">
              <w:rPr>
                <w:rFonts w:ascii="Times New Roman" w:eastAsia="AngsanaUPC" w:hAnsi="Times New Roman"/>
                <w:b/>
                <w:bCs/>
                <w:sz w:val="24"/>
                <w:szCs w:val="24"/>
                <w:lang w:eastAsia="lt-LT"/>
              </w:rPr>
              <w:t xml:space="preserve"> </w:t>
            </w:r>
            <w:r w:rsidRPr="00385835">
              <w:rPr>
                <w:rFonts w:ascii="Times New Roman" w:eastAsia="AngsanaUPC" w:hAnsi="Times New Roman"/>
                <w:bCs/>
                <w:sz w:val="24"/>
                <w:szCs w:val="24"/>
                <w:lang w:eastAsia="lt-LT"/>
              </w:rPr>
              <w:t>TEN</w:t>
            </w:r>
            <w:proofErr w:type="gramStart"/>
            <w:r w:rsidRPr="00385835">
              <w:rPr>
                <w:rFonts w:ascii="Times New Roman" w:eastAsia="AngsanaUPC" w:hAnsi="Times New Roman"/>
                <w:bCs/>
                <w:sz w:val="24"/>
                <w:szCs w:val="24"/>
                <w:lang w:eastAsia="lt-LT"/>
              </w:rPr>
              <w:t>-</w:t>
            </w:r>
            <w:proofErr w:type="gramEnd"/>
            <w:r w:rsidRPr="00385835">
              <w:rPr>
                <w:rFonts w:ascii="Times New Roman" w:eastAsia="AngsanaUPC" w:hAnsi="Times New Roman"/>
                <w:bCs/>
                <w:sz w:val="24"/>
                <w:szCs w:val="24"/>
                <w:lang w:eastAsia="lt-LT"/>
              </w:rPr>
              <w:t xml:space="preserve">T </w:t>
            </w:r>
            <w:r w:rsidR="00480C7A" w:rsidRPr="00385835">
              <w:rPr>
                <w:rFonts w:ascii="Times New Roman" w:eastAsia="AngsanaUPC" w:hAnsi="Times New Roman"/>
                <w:bCs/>
                <w:sz w:val="24"/>
                <w:szCs w:val="24"/>
                <w:lang w:eastAsia="lt-LT"/>
              </w:rPr>
              <w:t>tinkl</w:t>
            </w:r>
            <w:r w:rsidR="00480C7A">
              <w:rPr>
                <w:rFonts w:ascii="Times New Roman" w:eastAsia="AngsanaUPC" w:hAnsi="Times New Roman"/>
                <w:bCs/>
                <w:sz w:val="24"/>
                <w:szCs w:val="24"/>
                <w:lang w:eastAsia="lt-LT"/>
              </w:rPr>
              <w:t>e</w:t>
            </w:r>
            <w:r w:rsidR="00480C7A" w:rsidRPr="00385835">
              <w:rPr>
                <w:rFonts w:ascii="Times New Roman" w:eastAsia="AngsanaUPC" w:hAnsi="Times New Roman"/>
                <w:bCs/>
                <w:sz w:val="24"/>
                <w:szCs w:val="24"/>
                <w:lang w:eastAsia="lt-LT"/>
              </w:rPr>
              <w:t xml:space="preserve"> </w:t>
            </w:r>
            <w:r w:rsidRPr="00385835">
              <w:rPr>
                <w:rFonts w:ascii="Times New Roman" w:eastAsia="AngsanaUPC" w:hAnsi="Times New Roman"/>
                <w:bCs/>
                <w:sz w:val="24"/>
                <w:szCs w:val="24"/>
                <w:lang w:eastAsia="lt-LT"/>
              </w:rPr>
              <w:t>didžiausias iššūkis yra Pietų–Šiaurės krypties geležinkelio linijos infrastruktūros trūkumas. Plėtojant geležinkelį šia kryptimi</w:t>
            </w:r>
            <w:r w:rsidR="000C637A">
              <w:rPr>
                <w:rFonts w:ascii="Times New Roman" w:eastAsia="AngsanaUPC" w:hAnsi="Times New Roman"/>
                <w:bCs/>
                <w:sz w:val="24"/>
                <w:szCs w:val="24"/>
                <w:lang w:eastAsia="lt-LT"/>
              </w:rPr>
              <w:t>,</w:t>
            </w:r>
            <w:r w:rsidRPr="00385835">
              <w:rPr>
                <w:rFonts w:ascii="Times New Roman" w:eastAsia="AngsanaUPC" w:hAnsi="Times New Roman"/>
                <w:bCs/>
                <w:sz w:val="24"/>
                <w:szCs w:val="24"/>
                <w:lang w:eastAsia="lt-LT"/>
              </w:rPr>
              <w:t xml:space="preserve"> būtina užtikrinti jo sąveikumą su kitais TEN</w:t>
            </w:r>
            <w:proofErr w:type="gramStart"/>
            <w:r w:rsidRPr="00385835">
              <w:rPr>
                <w:rFonts w:ascii="Times New Roman" w:eastAsia="AngsanaUPC" w:hAnsi="Times New Roman"/>
                <w:bCs/>
                <w:sz w:val="24"/>
                <w:szCs w:val="24"/>
                <w:lang w:eastAsia="lt-LT"/>
              </w:rPr>
              <w:t>-</w:t>
            </w:r>
            <w:proofErr w:type="gramEnd"/>
            <w:r w:rsidRPr="00385835">
              <w:rPr>
                <w:rFonts w:ascii="Times New Roman" w:eastAsia="AngsanaUPC" w:hAnsi="Times New Roman"/>
                <w:bCs/>
                <w:sz w:val="24"/>
                <w:szCs w:val="24"/>
                <w:lang w:eastAsia="lt-LT"/>
              </w:rPr>
              <w:t>T tinklo koridoriais, ypač įvertinant skirtingo vėžės pločio geležinkelių sujungimą bei sąveiką su kitos transporto rūšies infrastruktūra. Todėl kita aiški investicijų sritis yra multimodalinių terminalų sukūrimas bei plėtojimas.</w:t>
            </w:r>
          </w:p>
          <w:p w:rsidR="00385835" w:rsidRPr="00385835" w:rsidRDefault="00385835" w:rsidP="00385835">
            <w:pPr>
              <w:spacing w:after="0" w:line="240" w:lineRule="auto"/>
              <w:ind w:firstLine="851"/>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Aplinkosauginiu požiūriu geležinkelių transportas nėra efektyvus dėl mažos tinklo elektrifikacijos (tik 7 proc.).</w:t>
            </w:r>
          </w:p>
          <w:p w:rsidR="00385835" w:rsidRPr="00385835" w:rsidRDefault="00385835" w:rsidP="00385835">
            <w:pPr>
              <w:spacing w:after="0" w:line="240" w:lineRule="auto"/>
              <w:ind w:firstLine="851"/>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Lietuva atsilieka pagal greičio ir patogumo kriterijus TEN</w:t>
            </w:r>
            <w:proofErr w:type="gramStart"/>
            <w:r w:rsidRPr="00385835">
              <w:rPr>
                <w:rFonts w:ascii="Times New Roman" w:eastAsia="AngsanaUPC" w:hAnsi="Times New Roman"/>
                <w:bCs/>
                <w:sz w:val="24"/>
                <w:szCs w:val="24"/>
                <w:lang w:eastAsia="lt-LT"/>
              </w:rPr>
              <w:t>-</w:t>
            </w:r>
            <w:proofErr w:type="gramEnd"/>
            <w:r w:rsidRPr="00385835">
              <w:rPr>
                <w:rFonts w:ascii="Times New Roman" w:eastAsia="AngsanaUPC" w:hAnsi="Times New Roman"/>
                <w:bCs/>
                <w:sz w:val="24"/>
                <w:szCs w:val="24"/>
                <w:lang w:eastAsia="lt-LT"/>
              </w:rPr>
              <w:t xml:space="preserve">T geležinkelių tinkle. Esamos </w:t>
            </w:r>
            <w:r w:rsidRPr="00385835">
              <w:rPr>
                <w:rFonts w:ascii="Times New Roman" w:eastAsia="AngsanaUPC" w:hAnsi="Times New Roman"/>
                <w:bCs/>
                <w:sz w:val="24"/>
                <w:szCs w:val="24"/>
                <w:lang w:eastAsia="lt-LT"/>
              </w:rPr>
              <w:lastRenderedPageBreak/>
              <w:t xml:space="preserve">geležinkelių infrastruktūros atnaujinimas ir patobulinimas, antrųjų geležinkelio kelių statyba gerins linijų pralaidumą, didins šio transporto patrauklumą keleiviams bei skatins krovinių vežimą geležinkeliais. </w:t>
            </w:r>
          </w:p>
          <w:p w:rsidR="00385835" w:rsidRPr="00385835" w:rsidRDefault="00385835" w:rsidP="00385835">
            <w:pPr>
              <w:spacing w:after="0" w:line="240" w:lineRule="auto"/>
              <w:ind w:firstLine="851"/>
              <w:jc w:val="both"/>
              <w:rPr>
                <w:rFonts w:ascii="Times New Roman" w:eastAsia="AngsanaUPC" w:hAnsi="Times New Roman"/>
                <w:bCs/>
                <w:sz w:val="24"/>
                <w:szCs w:val="24"/>
                <w:lang w:eastAsia="lt-LT"/>
              </w:rPr>
            </w:pPr>
            <w:r w:rsidRPr="009B4E2B">
              <w:rPr>
                <w:rFonts w:ascii="Times New Roman" w:eastAsia="AngsanaUPC" w:hAnsi="Times New Roman"/>
                <w:bCs/>
                <w:sz w:val="24"/>
                <w:szCs w:val="24"/>
                <w:lang w:eastAsia="lt-LT"/>
              </w:rPr>
              <w:t>Kelių transporto</w:t>
            </w:r>
            <w:r w:rsidRPr="00385835">
              <w:rPr>
                <w:rFonts w:ascii="Times New Roman" w:eastAsia="AngsanaUPC" w:hAnsi="Times New Roman"/>
                <w:bCs/>
                <w:sz w:val="24"/>
                <w:szCs w:val="24"/>
                <w:lang w:eastAsia="lt-LT"/>
              </w:rPr>
              <w:t xml:space="preserve"> TEN</w:t>
            </w:r>
            <w:proofErr w:type="gramStart"/>
            <w:r w:rsidRPr="00385835">
              <w:rPr>
                <w:rFonts w:ascii="Times New Roman" w:eastAsia="AngsanaUPC" w:hAnsi="Times New Roman"/>
                <w:bCs/>
                <w:sz w:val="24"/>
                <w:szCs w:val="24"/>
                <w:lang w:eastAsia="lt-LT"/>
              </w:rPr>
              <w:t>-</w:t>
            </w:r>
            <w:proofErr w:type="gramEnd"/>
            <w:r w:rsidRPr="00385835">
              <w:rPr>
                <w:rFonts w:ascii="Times New Roman" w:eastAsia="AngsanaUPC" w:hAnsi="Times New Roman"/>
                <w:bCs/>
                <w:sz w:val="24"/>
                <w:szCs w:val="24"/>
                <w:lang w:eastAsia="lt-LT"/>
              </w:rPr>
              <w:t xml:space="preserve">T tinkle </w:t>
            </w:r>
            <w:r w:rsidR="00480C7A">
              <w:rPr>
                <w:rFonts w:ascii="Times New Roman" w:eastAsia="AngsanaUPC" w:hAnsi="Times New Roman"/>
                <w:bCs/>
                <w:sz w:val="24"/>
                <w:szCs w:val="24"/>
                <w:lang w:eastAsia="lt-LT"/>
              </w:rPr>
              <w:t xml:space="preserve">yra </w:t>
            </w:r>
            <w:r w:rsidRPr="00385835">
              <w:rPr>
                <w:rFonts w:ascii="Times New Roman" w:eastAsia="AngsanaUPC" w:hAnsi="Times New Roman"/>
                <w:bCs/>
                <w:sz w:val="24"/>
                <w:szCs w:val="24"/>
                <w:lang w:eastAsia="lt-LT"/>
              </w:rPr>
              <w:t>nepakankami techniniai parametrai, kurie tenkintų kelių transporto apkrovimo reikalavimus ir užtikrintų tinkamą pralaidumą. Sparčiai auga eismo įvykių skaičius. Lyginant su ES valstybėmis</w:t>
            </w:r>
            <w:r w:rsidR="000C637A">
              <w:rPr>
                <w:rFonts w:ascii="Times New Roman" w:eastAsia="AngsanaUPC" w:hAnsi="Times New Roman"/>
                <w:bCs/>
                <w:sz w:val="24"/>
                <w:szCs w:val="24"/>
                <w:lang w:eastAsia="lt-LT"/>
              </w:rPr>
              <w:t>,</w:t>
            </w:r>
            <w:r w:rsidRPr="00385835">
              <w:rPr>
                <w:rFonts w:ascii="Times New Roman" w:eastAsia="AngsanaUPC" w:hAnsi="Times New Roman"/>
                <w:bCs/>
                <w:sz w:val="24"/>
                <w:szCs w:val="24"/>
                <w:lang w:eastAsia="lt-LT"/>
              </w:rPr>
              <w:t xml:space="preserve"> avaringumo rodikliai Lietuvoje yra vieni</w:t>
            </w:r>
            <w:r w:rsidR="000C637A">
              <w:rPr>
                <w:rFonts w:ascii="Times New Roman" w:eastAsia="AngsanaUPC" w:hAnsi="Times New Roman"/>
                <w:bCs/>
                <w:sz w:val="24"/>
                <w:szCs w:val="24"/>
                <w:lang w:eastAsia="lt-LT"/>
              </w:rPr>
              <w:t xml:space="preserve"> iš</w:t>
            </w:r>
            <w:r w:rsidRPr="00385835">
              <w:rPr>
                <w:rFonts w:ascii="Times New Roman" w:eastAsia="AngsanaUPC" w:hAnsi="Times New Roman"/>
                <w:bCs/>
                <w:sz w:val="24"/>
                <w:szCs w:val="24"/>
                <w:lang w:eastAsia="lt-LT"/>
              </w:rPr>
              <w:t xml:space="preserve"> aukščiausių. Greitį TEN</w:t>
            </w:r>
            <w:proofErr w:type="gramStart"/>
            <w:r w:rsidRPr="00385835">
              <w:rPr>
                <w:rFonts w:ascii="Times New Roman" w:eastAsia="AngsanaUPC" w:hAnsi="Times New Roman"/>
                <w:bCs/>
                <w:sz w:val="24"/>
                <w:szCs w:val="24"/>
                <w:lang w:eastAsia="lt-LT"/>
              </w:rPr>
              <w:t>-</w:t>
            </w:r>
            <w:proofErr w:type="gramEnd"/>
            <w:r w:rsidRPr="00385835">
              <w:rPr>
                <w:rFonts w:ascii="Times New Roman" w:eastAsia="AngsanaUPC" w:hAnsi="Times New Roman"/>
                <w:bCs/>
                <w:sz w:val="24"/>
                <w:szCs w:val="24"/>
                <w:lang w:eastAsia="lt-LT"/>
              </w:rPr>
              <w:t>T tinkle riboja ir miestų, aplinkkelių, atskirų TEN-T tinklo jungčių trūkumas, kuris kartu lemia didelius tranzitinius srautus urbanizuotose teritorijose.</w:t>
            </w:r>
          </w:p>
          <w:p w:rsidR="00385835" w:rsidRPr="00385835" w:rsidRDefault="00385835" w:rsidP="00385835">
            <w:pPr>
              <w:spacing w:after="0" w:line="240" w:lineRule="auto"/>
              <w:ind w:firstLine="851"/>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 xml:space="preserve">Plėtojant Klaipėdos valstybinio </w:t>
            </w:r>
            <w:r w:rsidRPr="009B4E2B">
              <w:rPr>
                <w:rFonts w:ascii="Times New Roman" w:eastAsia="AngsanaUPC" w:hAnsi="Times New Roman"/>
                <w:bCs/>
                <w:sz w:val="24"/>
                <w:szCs w:val="24"/>
                <w:lang w:eastAsia="lt-LT"/>
              </w:rPr>
              <w:t>jūrų uosto,</w:t>
            </w:r>
            <w:r w:rsidRPr="00385835">
              <w:rPr>
                <w:rFonts w:ascii="Times New Roman" w:eastAsia="AngsanaUPC" w:hAnsi="Times New Roman"/>
                <w:bCs/>
                <w:sz w:val="24"/>
                <w:szCs w:val="24"/>
                <w:lang w:eastAsia="lt-LT"/>
              </w:rPr>
              <w:t xml:space="preserve"> kaip IX TEN</w:t>
            </w:r>
            <w:proofErr w:type="gramStart"/>
            <w:r w:rsidRPr="00385835">
              <w:rPr>
                <w:rFonts w:ascii="Times New Roman" w:eastAsia="AngsanaUPC" w:hAnsi="Times New Roman"/>
                <w:bCs/>
                <w:sz w:val="24"/>
                <w:szCs w:val="24"/>
                <w:lang w:eastAsia="lt-LT"/>
              </w:rPr>
              <w:t>-</w:t>
            </w:r>
            <w:proofErr w:type="gramEnd"/>
            <w:r w:rsidRPr="00385835">
              <w:rPr>
                <w:rFonts w:ascii="Times New Roman" w:eastAsia="AngsanaUPC" w:hAnsi="Times New Roman"/>
                <w:bCs/>
                <w:sz w:val="24"/>
                <w:szCs w:val="24"/>
                <w:lang w:eastAsia="lt-LT"/>
              </w:rPr>
              <w:t>T koridoriaus sudedamosios dalies, infrastruktūrą svarbu užtikrinti jo sąveikumą su geležinkeliais.</w:t>
            </w:r>
          </w:p>
          <w:p w:rsidR="00385835" w:rsidRPr="00385835" w:rsidRDefault="00385835" w:rsidP="00385835">
            <w:pPr>
              <w:spacing w:after="0" w:line="240" w:lineRule="auto"/>
              <w:ind w:firstLine="851"/>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Investuojant į jūrų uosto infrastruktūrą</w:t>
            </w:r>
            <w:r w:rsidR="000C637A">
              <w:rPr>
                <w:rFonts w:ascii="Times New Roman" w:eastAsia="AngsanaUPC" w:hAnsi="Times New Roman"/>
                <w:bCs/>
                <w:sz w:val="24"/>
                <w:szCs w:val="24"/>
                <w:lang w:eastAsia="lt-LT"/>
              </w:rPr>
              <w:t>,</w:t>
            </w:r>
            <w:r w:rsidRPr="00385835">
              <w:rPr>
                <w:rFonts w:ascii="Times New Roman" w:eastAsia="AngsanaUPC" w:hAnsi="Times New Roman"/>
                <w:bCs/>
                <w:sz w:val="24"/>
                <w:szCs w:val="24"/>
                <w:lang w:eastAsia="lt-LT"/>
              </w:rPr>
              <w:t xml:space="preserve"> svarbus prioritetas bus teikiamas eismo saugai bei aplinkosaugai. Dėl mažo uosto akvatorijos gylio negalima priimti didesnės talpos laivų, didėjantis mažesnės grimzlės laivų srautas jūrų uoste neigiamai veikia aplinką ir mažina saugumą. Tai ypač aktualu pradėjus veikti suskystintų gamtinių dujų (SGD) terminalui. Taip pat būtina užtikrinti efektyvią navigaciją uoste.</w:t>
            </w:r>
          </w:p>
          <w:p w:rsidR="00385835" w:rsidRPr="00385835" w:rsidRDefault="00385835" w:rsidP="00385835">
            <w:pPr>
              <w:spacing w:after="0" w:line="240" w:lineRule="auto"/>
              <w:ind w:firstLine="851"/>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 xml:space="preserve">Prioritetas </w:t>
            </w:r>
            <w:r w:rsidRPr="009B4E2B">
              <w:rPr>
                <w:rFonts w:ascii="Times New Roman" w:eastAsia="AngsanaUPC" w:hAnsi="Times New Roman"/>
                <w:bCs/>
                <w:sz w:val="24"/>
                <w:szCs w:val="24"/>
                <w:lang w:eastAsia="lt-LT"/>
              </w:rPr>
              <w:t>oro transport</w:t>
            </w:r>
            <w:r w:rsidR="003B1008" w:rsidRPr="009B4E2B">
              <w:rPr>
                <w:rFonts w:ascii="Times New Roman" w:eastAsia="AngsanaUPC" w:hAnsi="Times New Roman"/>
                <w:bCs/>
                <w:sz w:val="24"/>
                <w:szCs w:val="24"/>
                <w:lang w:eastAsia="lt-LT"/>
              </w:rPr>
              <w:t>o</w:t>
            </w:r>
            <w:r w:rsidR="003B1008">
              <w:rPr>
                <w:rFonts w:ascii="Times New Roman" w:eastAsia="AngsanaUPC" w:hAnsi="Times New Roman"/>
                <w:b/>
                <w:bCs/>
                <w:sz w:val="24"/>
                <w:szCs w:val="24"/>
                <w:lang w:eastAsia="lt-LT"/>
              </w:rPr>
              <w:t xml:space="preserve"> </w:t>
            </w:r>
            <w:r w:rsidR="00025378" w:rsidRPr="00025378">
              <w:rPr>
                <w:rFonts w:ascii="Times New Roman" w:eastAsia="AngsanaUPC" w:hAnsi="Times New Roman"/>
                <w:bCs/>
                <w:sz w:val="24"/>
                <w:szCs w:val="24"/>
                <w:lang w:eastAsia="lt-LT"/>
              </w:rPr>
              <w:t>srityje</w:t>
            </w:r>
            <w:r w:rsidR="000C637A">
              <w:rPr>
                <w:rFonts w:ascii="Times New Roman" w:eastAsia="AngsanaUPC" w:hAnsi="Times New Roman"/>
                <w:bCs/>
                <w:sz w:val="24"/>
                <w:szCs w:val="24"/>
                <w:lang w:eastAsia="lt-LT"/>
              </w:rPr>
              <w:t xml:space="preserve"> </w:t>
            </w:r>
            <w:r w:rsidRPr="00385835">
              <w:rPr>
                <w:rFonts w:ascii="Times New Roman" w:eastAsia="AngsanaUPC" w:hAnsi="Times New Roman"/>
                <w:bCs/>
                <w:sz w:val="24"/>
                <w:szCs w:val="24"/>
                <w:lang w:eastAsia="lt-LT"/>
              </w:rPr>
              <w:t>– aplinkosauga bei saugumas, siekiant užtikrinti tvarų, saugų oro transporto paslaugų teikimą. Susisiekimas oro transportu yra svarbus ES periferijoje esančiai Lietuvai. Tačiau dėl augančio skrydžių skaičiaus didėja aviacinė tarša. Todėl bus vykdomas infrastruktūros elementų atnaujinimas, kuris leis sutrumpinti orlaivių manevravimo trukmę nusileidus ar prieš pakylant, tai padės mažinti aviacinę taršą.</w:t>
            </w:r>
          </w:p>
          <w:p w:rsidR="00385835" w:rsidRPr="00385835" w:rsidRDefault="00385835" w:rsidP="003B1008">
            <w:pPr>
              <w:spacing w:after="0" w:line="240" w:lineRule="auto"/>
              <w:ind w:firstLine="851"/>
              <w:jc w:val="both"/>
              <w:rPr>
                <w:rFonts w:ascii="Times New Roman" w:hAnsi="Times New Roman"/>
                <w:sz w:val="24"/>
                <w:szCs w:val="24"/>
              </w:rPr>
            </w:pPr>
            <w:r w:rsidRPr="00385835">
              <w:rPr>
                <w:rFonts w:ascii="Times New Roman" w:eastAsia="AngsanaUPC" w:hAnsi="Times New Roman"/>
                <w:bCs/>
                <w:sz w:val="24"/>
                <w:szCs w:val="24"/>
                <w:lang w:eastAsia="lt-LT"/>
              </w:rPr>
              <w:t>Panaudojant ES fondų lėšas, susisiekimo sistema bus integruota į TEN</w:t>
            </w:r>
            <w:proofErr w:type="gramStart"/>
            <w:r w:rsidRPr="00385835">
              <w:rPr>
                <w:rFonts w:ascii="Times New Roman" w:eastAsia="AngsanaUPC" w:hAnsi="Times New Roman"/>
                <w:bCs/>
                <w:sz w:val="24"/>
                <w:szCs w:val="24"/>
                <w:lang w:eastAsia="lt-LT"/>
              </w:rPr>
              <w:t>-</w:t>
            </w:r>
            <w:proofErr w:type="gramEnd"/>
            <w:r w:rsidRPr="00385835">
              <w:rPr>
                <w:rFonts w:ascii="Times New Roman" w:eastAsia="AngsanaUPC" w:hAnsi="Times New Roman"/>
                <w:bCs/>
                <w:sz w:val="24"/>
                <w:szCs w:val="24"/>
                <w:lang w:eastAsia="lt-LT"/>
              </w:rPr>
              <w:t>T tinklus – sukurta moderni, subalansuota multimodalinė transporto sistema. Padidės krovinių ir keleivių multimodalumas</w:t>
            </w:r>
            <w:r w:rsidR="003B1008">
              <w:rPr>
                <w:rFonts w:ascii="Times New Roman" w:eastAsia="AngsanaUPC" w:hAnsi="Times New Roman"/>
                <w:bCs/>
                <w:sz w:val="24"/>
                <w:szCs w:val="24"/>
                <w:lang w:eastAsia="lt-LT"/>
              </w:rPr>
              <w:t xml:space="preserve"> ir </w:t>
            </w:r>
            <w:r w:rsidRPr="00385835">
              <w:rPr>
                <w:rFonts w:ascii="Times New Roman" w:eastAsia="AngsanaUPC" w:hAnsi="Times New Roman"/>
                <w:bCs/>
                <w:sz w:val="24"/>
                <w:szCs w:val="24"/>
                <w:lang w:eastAsia="lt-LT"/>
              </w:rPr>
              <w:t>vežimo efektyvumas</w:t>
            </w:r>
            <w:r w:rsidR="003B1008">
              <w:rPr>
                <w:rFonts w:ascii="Times New Roman" w:eastAsia="AngsanaUPC" w:hAnsi="Times New Roman"/>
                <w:bCs/>
                <w:sz w:val="24"/>
                <w:szCs w:val="24"/>
                <w:lang w:eastAsia="lt-LT"/>
              </w:rPr>
              <w:t>.</w:t>
            </w:r>
            <w:r w:rsidRPr="00385835">
              <w:rPr>
                <w:rFonts w:ascii="Times New Roman" w:eastAsia="AngsanaUPC" w:hAnsi="Times New Roman"/>
                <w:bCs/>
                <w:sz w:val="24"/>
                <w:szCs w:val="24"/>
                <w:lang w:eastAsia="lt-LT"/>
              </w:rPr>
              <w:t xml:space="preserve"> </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518"/>
        <w:gridCol w:w="1750"/>
        <w:gridCol w:w="1134"/>
        <w:gridCol w:w="1134"/>
        <w:gridCol w:w="851"/>
        <w:gridCol w:w="992"/>
        <w:gridCol w:w="851"/>
        <w:gridCol w:w="1275"/>
        <w:gridCol w:w="1241"/>
      </w:tblGrid>
      <w:tr w:rsidR="00385835" w:rsidRPr="00385835" w:rsidTr="00385835">
        <w:tc>
          <w:tcPr>
            <w:tcW w:w="9746" w:type="dxa"/>
            <w:gridSpan w:val="9"/>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i/>
                <w:iCs/>
                <w:sz w:val="24"/>
                <w:szCs w:val="24"/>
                <w:lang w:eastAsia="lt-LT"/>
              </w:rPr>
            </w:pPr>
            <w:r w:rsidRPr="00385835">
              <w:rPr>
                <w:rFonts w:ascii="Times New Roman" w:eastAsia="AngsanaUPC" w:hAnsi="Times New Roman"/>
                <w:b/>
                <w:bCs/>
                <w:i/>
                <w:iCs/>
                <w:sz w:val="24"/>
                <w:szCs w:val="24"/>
                <w:lang w:eastAsia="lt-LT"/>
              </w:rPr>
              <w:t xml:space="preserve">SaF </w:t>
            </w:r>
            <w:r w:rsidR="00B1109C">
              <w:rPr>
                <w:rFonts w:ascii="Times New Roman" w:eastAsia="AngsanaUPC" w:hAnsi="Times New Roman"/>
                <w:b/>
                <w:bCs/>
                <w:i/>
                <w:iCs/>
                <w:sz w:val="24"/>
                <w:szCs w:val="24"/>
                <w:lang w:eastAsia="lt-LT"/>
              </w:rPr>
              <w:t xml:space="preserve">specialieji </w:t>
            </w:r>
            <w:r w:rsidRPr="00385835">
              <w:rPr>
                <w:rFonts w:ascii="Times New Roman" w:eastAsia="AngsanaUPC" w:hAnsi="Times New Roman"/>
                <w:b/>
                <w:bCs/>
                <w:i/>
                <w:iCs/>
                <w:sz w:val="24"/>
                <w:szCs w:val="24"/>
                <w:lang w:eastAsia="lt-LT"/>
              </w:rPr>
              <w:t>programos rezultato rodikliai</w:t>
            </w:r>
          </w:p>
        </w:tc>
      </w:tr>
      <w:tr w:rsidR="00385835" w:rsidRPr="00385835" w:rsidTr="00385835">
        <w:tblPrEx>
          <w:shd w:val="clear" w:color="auto" w:fill="auto"/>
        </w:tblPrEx>
        <w:trPr>
          <w:cantSplit/>
          <w:trHeight w:val="858"/>
        </w:trPr>
        <w:tc>
          <w:tcPr>
            <w:tcW w:w="518"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Nr.</w:t>
            </w:r>
          </w:p>
        </w:tc>
        <w:tc>
          <w:tcPr>
            <w:tcW w:w="1750"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Rodiklio pavadinimas</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Matavimo vienetas</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Regiono kategorija</w:t>
            </w:r>
          </w:p>
        </w:tc>
        <w:tc>
          <w:tcPr>
            <w:tcW w:w="85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 reikšmė</w:t>
            </w:r>
          </w:p>
        </w:tc>
        <w:tc>
          <w:tcPr>
            <w:tcW w:w="992"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Pradinės reikšmės metai</w:t>
            </w:r>
          </w:p>
        </w:tc>
        <w:tc>
          <w:tcPr>
            <w:tcW w:w="85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Siektina reikšmė (2023)</w:t>
            </w:r>
          </w:p>
        </w:tc>
        <w:tc>
          <w:tcPr>
            <w:tcW w:w="1275"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Duomenų šaltinis</w:t>
            </w:r>
          </w:p>
        </w:tc>
        <w:tc>
          <w:tcPr>
            <w:tcW w:w="124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Atsiskaitymo dažnumas</w:t>
            </w:r>
          </w:p>
        </w:tc>
      </w:tr>
      <w:tr w:rsidR="00385835" w:rsidRPr="00385835" w:rsidTr="00385835">
        <w:tblPrEx>
          <w:shd w:val="clear" w:color="auto" w:fill="auto"/>
        </w:tblPrEx>
        <w:tc>
          <w:tcPr>
            <w:tcW w:w="518"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w:t>
            </w:r>
          </w:p>
        </w:tc>
        <w:tc>
          <w:tcPr>
            <w:tcW w:w="1750" w:type="dxa"/>
            <w:shd w:val="clear" w:color="auto" w:fill="auto"/>
            <w:vAlign w:val="center"/>
          </w:tcPr>
          <w:p w:rsidR="00385835" w:rsidRPr="00385835" w:rsidRDefault="00385835" w:rsidP="00385835">
            <w:pPr>
              <w:widowControl w:val="0"/>
              <w:tabs>
                <w:tab w:val="left" w:pos="622"/>
              </w:tabs>
              <w:spacing w:after="0" w:line="240" w:lineRule="auto"/>
              <w:rPr>
                <w:rFonts w:ascii="Times New Roman" w:eastAsia="Times New Roman" w:hAnsi="Times New Roman"/>
                <w:iCs/>
                <w:color w:val="000000"/>
                <w:sz w:val="20"/>
                <w:szCs w:val="20"/>
                <w:lang w:eastAsia="lt-LT"/>
              </w:rPr>
            </w:pPr>
            <w:r w:rsidRPr="00385835">
              <w:rPr>
                <w:rFonts w:ascii="Times New Roman" w:eastAsia="AngsanaUPC" w:hAnsi="Times New Roman"/>
                <w:bCs/>
                <w:sz w:val="18"/>
                <w:szCs w:val="18"/>
                <w:lang w:eastAsia="lt-LT"/>
              </w:rPr>
              <w:t>Vežta intermodalinių transporto vienetų</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18"/>
                <w:szCs w:val="18"/>
                <w:lang w:eastAsia="lt-LT"/>
              </w:rPr>
            </w:pPr>
            <w:r w:rsidRPr="00385835">
              <w:rPr>
                <w:rFonts w:ascii="Times New Roman" w:eastAsia="AngsanaUPC" w:hAnsi="Times New Roman"/>
                <w:bCs/>
                <w:sz w:val="18"/>
                <w:szCs w:val="18"/>
                <w:lang w:eastAsia="lt-LT"/>
              </w:rPr>
              <w:t>Skaičius</w:t>
            </w:r>
          </w:p>
        </w:tc>
        <w:tc>
          <w:tcPr>
            <w:tcW w:w="1134" w:type="dxa"/>
            <w:shd w:val="clear" w:color="auto" w:fill="auto"/>
            <w:vAlign w:val="center"/>
          </w:tcPr>
          <w:p w:rsidR="00385835" w:rsidRPr="00385835" w:rsidRDefault="005E1B9D" w:rsidP="00385835">
            <w:pPr>
              <w:widowControl w:val="0"/>
              <w:tabs>
                <w:tab w:val="left" w:pos="622"/>
              </w:tabs>
              <w:spacing w:after="0" w:line="240" w:lineRule="auto"/>
              <w:jc w:val="center"/>
              <w:rPr>
                <w:rFonts w:ascii="Times New Roman" w:eastAsia="AngsanaUPC" w:hAnsi="Times New Roman"/>
                <w:bCs/>
                <w:sz w:val="18"/>
                <w:szCs w:val="18"/>
                <w:lang w:eastAsia="lt-LT"/>
              </w:rPr>
            </w:pPr>
            <w:r>
              <w:rPr>
                <w:rFonts w:ascii="Times New Roman" w:eastAsia="AngsanaUPC" w:hAnsi="Times New Roman"/>
                <w:bCs/>
                <w:sz w:val="18"/>
                <w:szCs w:val="18"/>
                <w:lang w:eastAsia="lt-LT"/>
              </w:rPr>
              <w:t>–</w:t>
            </w:r>
          </w:p>
        </w:tc>
        <w:tc>
          <w:tcPr>
            <w:tcW w:w="851" w:type="dxa"/>
            <w:shd w:val="clear" w:color="auto" w:fill="auto"/>
            <w:vAlign w:val="center"/>
          </w:tcPr>
          <w:p w:rsidR="00385835" w:rsidRPr="00385835" w:rsidRDefault="00385835" w:rsidP="009348A3">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75</w:t>
            </w:r>
            <w:r w:rsidR="009348A3">
              <w:rPr>
                <w:rFonts w:ascii="Times New Roman" w:eastAsia="AngsanaUPC" w:hAnsi="Times New Roman"/>
                <w:bCs/>
                <w:iCs/>
                <w:sz w:val="18"/>
                <w:szCs w:val="18"/>
                <w:lang w:eastAsia="lt-LT"/>
              </w:rPr>
              <w:t>.</w:t>
            </w:r>
            <w:r w:rsidRPr="00385835">
              <w:rPr>
                <w:rFonts w:ascii="Times New Roman" w:eastAsia="AngsanaUPC" w:hAnsi="Times New Roman"/>
                <w:bCs/>
                <w:iCs/>
                <w:sz w:val="18"/>
                <w:szCs w:val="18"/>
                <w:lang w:eastAsia="lt-LT"/>
              </w:rPr>
              <w:t>107</w:t>
            </w:r>
          </w:p>
        </w:tc>
        <w:tc>
          <w:tcPr>
            <w:tcW w:w="992"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2012</w:t>
            </w:r>
          </w:p>
        </w:tc>
        <w:tc>
          <w:tcPr>
            <w:tcW w:w="851" w:type="dxa"/>
            <w:shd w:val="clear" w:color="auto" w:fill="auto"/>
            <w:vAlign w:val="center"/>
          </w:tcPr>
          <w:p w:rsidR="00385835" w:rsidRPr="00385835" w:rsidRDefault="00385835" w:rsidP="009348A3">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78</w:t>
            </w:r>
            <w:r w:rsidR="009348A3">
              <w:rPr>
                <w:rFonts w:ascii="Times New Roman" w:eastAsia="AngsanaUPC" w:hAnsi="Times New Roman"/>
                <w:bCs/>
                <w:iCs/>
                <w:sz w:val="18"/>
                <w:szCs w:val="18"/>
                <w:lang w:eastAsia="lt-LT"/>
              </w:rPr>
              <w:t>.</w:t>
            </w:r>
            <w:r w:rsidRPr="00385835">
              <w:rPr>
                <w:rFonts w:ascii="Times New Roman" w:eastAsia="AngsanaUPC" w:hAnsi="Times New Roman"/>
                <w:bCs/>
                <w:iCs/>
                <w:sz w:val="18"/>
                <w:szCs w:val="18"/>
                <w:lang w:eastAsia="lt-LT"/>
              </w:rPr>
              <w:t>863</w:t>
            </w:r>
          </w:p>
        </w:tc>
        <w:tc>
          <w:tcPr>
            <w:tcW w:w="1275"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Lietuvos statistikos departamentas</w:t>
            </w:r>
          </w:p>
        </w:tc>
        <w:tc>
          <w:tcPr>
            <w:tcW w:w="124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385835" w:rsidRPr="00385835" w:rsidTr="00385835">
        <w:tblPrEx>
          <w:shd w:val="clear" w:color="auto" w:fill="auto"/>
        </w:tblPrEx>
        <w:tc>
          <w:tcPr>
            <w:tcW w:w="518" w:type="dxa"/>
            <w:shd w:val="clear" w:color="auto" w:fill="auto"/>
            <w:vAlign w:val="center"/>
          </w:tcPr>
          <w:p w:rsidR="00385835" w:rsidRPr="00FC6264"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eastAsia="AngsanaUPC" w:hAnsi="Times New Roman"/>
                <w:bCs/>
                <w:iCs/>
                <w:sz w:val="18"/>
                <w:szCs w:val="18"/>
                <w:lang w:eastAsia="lt-LT"/>
              </w:rPr>
              <w:t>2.</w:t>
            </w:r>
          </w:p>
        </w:tc>
        <w:tc>
          <w:tcPr>
            <w:tcW w:w="1750" w:type="dxa"/>
            <w:shd w:val="clear" w:color="auto" w:fill="auto"/>
            <w:vAlign w:val="center"/>
          </w:tcPr>
          <w:p w:rsidR="00385835" w:rsidRPr="00FC6264" w:rsidRDefault="00385835" w:rsidP="00245E10">
            <w:pPr>
              <w:widowControl w:val="0"/>
              <w:tabs>
                <w:tab w:val="left" w:pos="622"/>
              </w:tabs>
              <w:spacing w:after="0" w:line="240" w:lineRule="auto"/>
              <w:rPr>
                <w:rFonts w:ascii="Times New Roman" w:eastAsia="Times New Roman" w:hAnsi="Times New Roman"/>
                <w:iCs/>
                <w:color w:val="000000"/>
                <w:sz w:val="20"/>
                <w:szCs w:val="20"/>
                <w:lang w:eastAsia="lt-LT"/>
              </w:rPr>
            </w:pPr>
            <w:r w:rsidRPr="00FC6264">
              <w:rPr>
                <w:rFonts w:ascii="Times New Roman" w:eastAsia="AngsanaUPC" w:hAnsi="Times New Roman"/>
                <w:bCs/>
                <w:sz w:val="18"/>
                <w:szCs w:val="18"/>
                <w:lang w:eastAsia="lt-LT"/>
              </w:rPr>
              <w:t xml:space="preserve">Vidutinis keleivinio traukinio greitis </w:t>
            </w:r>
            <w:r w:rsidR="00245E10" w:rsidRPr="00FC6264">
              <w:rPr>
                <w:rFonts w:ascii="Times New Roman" w:eastAsia="AngsanaUPC" w:hAnsi="Times New Roman"/>
                <w:bCs/>
                <w:sz w:val="18"/>
                <w:szCs w:val="18"/>
                <w:lang w:eastAsia="lt-LT"/>
              </w:rPr>
              <w:t xml:space="preserve">rekonstruotuose ir atnaujintuose </w:t>
            </w:r>
            <w:r w:rsidRPr="00FC6264">
              <w:rPr>
                <w:rFonts w:ascii="Times New Roman" w:eastAsia="AngsanaUPC" w:hAnsi="Times New Roman"/>
                <w:bCs/>
                <w:sz w:val="18"/>
                <w:szCs w:val="18"/>
                <w:lang w:eastAsia="lt-LT"/>
              </w:rPr>
              <w:t>TEN</w:t>
            </w:r>
            <w:proofErr w:type="gramStart"/>
            <w:r w:rsidRPr="00FC6264">
              <w:rPr>
                <w:rFonts w:ascii="Times New Roman" w:eastAsia="AngsanaUPC" w:hAnsi="Times New Roman"/>
                <w:bCs/>
                <w:sz w:val="18"/>
                <w:szCs w:val="18"/>
                <w:lang w:eastAsia="lt-LT"/>
              </w:rPr>
              <w:t>-</w:t>
            </w:r>
            <w:proofErr w:type="gramEnd"/>
            <w:r w:rsidRPr="00FC6264">
              <w:rPr>
                <w:rFonts w:ascii="Times New Roman" w:eastAsia="AngsanaUPC" w:hAnsi="Times New Roman"/>
                <w:bCs/>
                <w:sz w:val="18"/>
                <w:szCs w:val="18"/>
                <w:lang w:eastAsia="lt-LT"/>
              </w:rPr>
              <w:t xml:space="preserve">T tinklo geležinkelių ruožuose </w:t>
            </w:r>
          </w:p>
        </w:tc>
        <w:tc>
          <w:tcPr>
            <w:tcW w:w="1134" w:type="dxa"/>
            <w:shd w:val="clear" w:color="auto" w:fill="auto"/>
            <w:vAlign w:val="center"/>
          </w:tcPr>
          <w:p w:rsidR="00385835" w:rsidRPr="00FC6264" w:rsidRDefault="00385835" w:rsidP="00385835">
            <w:pPr>
              <w:widowControl w:val="0"/>
              <w:tabs>
                <w:tab w:val="left" w:pos="622"/>
              </w:tabs>
              <w:spacing w:after="0" w:line="240" w:lineRule="auto"/>
              <w:jc w:val="center"/>
              <w:rPr>
                <w:rFonts w:ascii="Times New Roman" w:eastAsia="AngsanaUPC" w:hAnsi="Times New Roman"/>
                <w:bCs/>
                <w:sz w:val="18"/>
                <w:szCs w:val="18"/>
                <w:lang w:eastAsia="lt-LT"/>
              </w:rPr>
            </w:pPr>
            <w:r w:rsidRPr="00FC6264">
              <w:rPr>
                <w:rFonts w:ascii="Times New Roman" w:eastAsia="AngsanaUPC" w:hAnsi="Times New Roman"/>
                <w:bCs/>
                <w:sz w:val="18"/>
                <w:szCs w:val="18"/>
                <w:lang w:eastAsia="lt-LT"/>
              </w:rPr>
              <w:t>km/val.</w:t>
            </w:r>
          </w:p>
        </w:tc>
        <w:tc>
          <w:tcPr>
            <w:tcW w:w="1134" w:type="dxa"/>
            <w:shd w:val="clear" w:color="auto" w:fill="auto"/>
            <w:vAlign w:val="center"/>
          </w:tcPr>
          <w:p w:rsidR="00385835" w:rsidRPr="00FC6264" w:rsidRDefault="005E1B9D" w:rsidP="00385835">
            <w:pPr>
              <w:widowControl w:val="0"/>
              <w:tabs>
                <w:tab w:val="left" w:pos="622"/>
              </w:tabs>
              <w:spacing w:after="0" w:line="240" w:lineRule="auto"/>
              <w:jc w:val="center"/>
              <w:rPr>
                <w:rFonts w:ascii="Times New Roman" w:eastAsia="AngsanaUPC" w:hAnsi="Times New Roman"/>
                <w:bCs/>
                <w:sz w:val="18"/>
                <w:szCs w:val="18"/>
                <w:lang w:eastAsia="lt-LT"/>
              </w:rPr>
            </w:pPr>
            <w:r w:rsidRPr="00FC6264">
              <w:rPr>
                <w:rFonts w:ascii="Times New Roman" w:eastAsia="AngsanaUPC" w:hAnsi="Times New Roman"/>
                <w:bCs/>
                <w:sz w:val="18"/>
                <w:szCs w:val="18"/>
                <w:lang w:eastAsia="lt-LT"/>
              </w:rPr>
              <w:t>–</w:t>
            </w:r>
          </w:p>
        </w:tc>
        <w:tc>
          <w:tcPr>
            <w:tcW w:w="851" w:type="dxa"/>
            <w:shd w:val="clear" w:color="auto" w:fill="auto"/>
            <w:vAlign w:val="center"/>
          </w:tcPr>
          <w:p w:rsidR="00385835" w:rsidRPr="00FC6264"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eastAsia="AngsanaUPC" w:hAnsi="Times New Roman"/>
                <w:bCs/>
                <w:iCs/>
                <w:sz w:val="18"/>
                <w:szCs w:val="18"/>
                <w:lang w:eastAsia="lt-LT"/>
              </w:rPr>
              <w:t>80</w:t>
            </w:r>
          </w:p>
        </w:tc>
        <w:tc>
          <w:tcPr>
            <w:tcW w:w="992" w:type="dxa"/>
            <w:shd w:val="clear" w:color="auto" w:fill="auto"/>
            <w:vAlign w:val="center"/>
          </w:tcPr>
          <w:p w:rsidR="00385835" w:rsidRPr="00FC6264"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eastAsia="AngsanaUPC" w:hAnsi="Times New Roman"/>
                <w:bCs/>
                <w:iCs/>
                <w:sz w:val="18"/>
                <w:szCs w:val="18"/>
                <w:lang w:eastAsia="lt-LT"/>
              </w:rPr>
              <w:t>2013</w:t>
            </w:r>
          </w:p>
        </w:tc>
        <w:tc>
          <w:tcPr>
            <w:tcW w:w="851" w:type="dxa"/>
            <w:shd w:val="clear" w:color="auto" w:fill="auto"/>
            <w:vAlign w:val="center"/>
          </w:tcPr>
          <w:p w:rsidR="00385835" w:rsidRPr="00FC6264"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eastAsia="AngsanaUPC" w:hAnsi="Times New Roman"/>
                <w:bCs/>
                <w:iCs/>
                <w:sz w:val="18"/>
                <w:szCs w:val="18"/>
                <w:lang w:val="en-US" w:eastAsia="lt-LT"/>
              </w:rPr>
              <w:t>85,6</w:t>
            </w:r>
          </w:p>
        </w:tc>
        <w:tc>
          <w:tcPr>
            <w:tcW w:w="1275" w:type="dxa"/>
            <w:shd w:val="clear" w:color="auto" w:fill="auto"/>
            <w:vAlign w:val="center"/>
          </w:tcPr>
          <w:p w:rsidR="00385835" w:rsidRPr="00FC6264"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eastAsia="AngsanaUPC" w:hAnsi="Times New Roman"/>
                <w:bCs/>
                <w:iCs/>
                <w:sz w:val="18"/>
                <w:szCs w:val="18"/>
                <w:lang w:eastAsia="lt-LT"/>
              </w:rPr>
              <w:t>Duomenys iš projektų</w:t>
            </w:r>
          </w:p>
        </w:tc>
        <w:tc>
          <w:tcPr>
            <w:tcW w:w="1241" w:type="dxa"/>
            <w:shd w:val="clear" w:color="auto" w:fill="auto"/>
            <w:vAlign w:val="center"/>
          </w:tcPr>
          <w:p w:rsidR="00385835" w:rsidRPr="00FC6264"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eastAsia="AngsanaUPC" w:hAnsi="Times New Roman"/>
                <w:bCs/>
                <w:iCs/>
                <w:sz w:val="18"/>
                <w:szCs w:val="18"/>
                <w:lang w:eastAsia="lt-LT"/>
              </w:rPr>
              <w:t>Kartą per metus</w:t>
            </w:r>
          </w:p>
        </w:tc>
      </w:tr>
      <w:tr w:rsidR="00385835" w:rsidRPr="00385835" w:rsidTr="00385835">
        <w:tblPrEx>
          <w:shd w:val="clear" w:color="auto" w:fill="auto"/>
        </w:tblPrEx>
        <w:tc>
          <w:tcPr>
            <w:tcW w:w="518" w:type="dxa"/>
            <w:shd w:val="clear" w:color="auto" w:fill="auto"/>
            <w:vAlign w:val="center"/>
          </w:tcPr>
          <w:p w:rsidR="00385835" w:rsidRPr="00FC6264" w:rsidRDefault="00FC6264" w:rsidP="00385835">
            <w:pPr>
              <w:widowControl w:val="0"/>
              <w:tabs>
                <w:tab w:val="left" w:pos="622"/>
              </w:tabs>
              <w:spacing w:after="0" w:line="240" w:lineRule="auto"/>
              <w:jc w:val="center"/>
              <w:rPr>
                <w:rFonts w:ascii="Times New Roman" w:eastAsia="AngsanaUPC" w:hAnsi="Times New Roman"/>
                <w:bCs/>
                <w:iCs/>
                <w:sz w:val="18"/>
                <w:szCs w:val="18"/>
                <w:lang w:eastAsia="lt-LT"/>
              </w:rPr>
            </w:pPr>
            <w:r>
              <w:rPr>
                <w:rFonts w:ascii="Times New Roman" w:eastAsia="AngsanaUPC" w:hAnsi="Times New Roman"/>
                <w:bCs/>
                <w:iCs/>
                <w:sz w:val="18"/>
                <w:szCs w:val="18"/>
                <w:lang w:eastAsia="lt-LT"/>
              </w:rPr>
              <w:t>3</w:t>
            </w:r>
            <w:r w:rsidR="00385835" w:rsidRPr="00FC6264">
              <w:rPr>
                <w:rFonts w:ascii="Times New Roman" w:eastAsia="AngsanaUPC" w:hAnsi="Times New Roman"/>
                <w:bCs/>
                <w:iCs/>
                <w:sz w:val="18"/>
                <w:szCs w:val="18"/>
                <w:lang w:eastAsia="lt-LT"/>
              </w:rPr>
              <w:t>.</w:t>
            </w:r>
          </w:p>
        </w:tc>
        <w:tc>
          <w:tcPr>
            <w:tcW w:w="1750" w:type="dxa"/>
            <w:shd w:val="clear" w:color="auto" w:fill="auto"/>
            <w:vAlign w:val="center"/>
          </w:tcPr>
          <w:p w:rsidR="00385835" w:rsidRPr="00FC6264" w:rsidRDefault="00385835" w:rsidP="009348A3">
            <w:pPr>
              <w:widowControl w:val="0"/>
              <w:tabs>
                <w:tab w:val="left" w:pos="622"/>
              </w:tabs>
              <w:spacing w:after="0" w:line="240" w:lineRule="auto"/>
              <w:rPr>
                <w:rFonts w:ascii="Times New Roman" w:eastAsia="Times New Roman" w:hAnsi="Times New Roman"/>
                <w:iCs/>
                <w:color w:val="000000"/>
                <w:sz w:val="20"/>
                <w:szCs w:val="20"/>
                <w:lang w:eastAsia="lt-LT"/>
              </w:rPr>
            </w:pPr>
            <w:r w:rsidRPr="00FC6264">
              <w:rPr>
                <w:rFonts w:ascii="Times New Roman" w:eastAsia="AngsanaUPC" w:hAnsi="Times New Roman"/>
                <w:bCs/>
                <w:sz w:val="18"/>
                <w:szCs w:val="18"/>
                <w:lang w:eastAsia="lt-LT"/>
              </w:rPr>
              <w:t>Žuvusiųjų TEN</w:t>
            </w:r>
            <w:proofErr w:type="gramStart"/>
            <w:r w:rsidRPr="00FC6264">
              <w:rPr>
                <w:rFonts w:ascii="Times New Roman" w:eastAsia="AngsanaUPC" w:hAnsi="Times New Roman"/>
                <w:bCs/>
                <w:sz w:val="18"/>
                <w:szCs w:val="18"/>
                <w:lang w:eastAsia="lt-LT"/>
              </w:rPr>
              <w:t>-</w:t>
            </w:r>
            <w:proofErr w:type="gramEnd"/>
            <w:r w:rsidRPr="00FC6264">
              <w:rPr>
                <w:rFonts w:ascii="Times New Roman" w:eastAsia="AngsanaUPC" w:hAnsi="Times New Roman"/>
                <w:bCs/>
                <w:sz w:val="18"/>
                <w:szCs w:val="18"/>
                <w:lang w:eastAsia="lt-LT"/>
              </w:rPr>
              <w:t xml:space="preserve">T tinklo keliuose skaičius </w:t>
            </w:r>
          </w:p>
        </w:tc>
        <w:tc>
          <w:tcPr>
            <w:tcW w:w="1134" w:type="dxa"/>
            <w:shd w:val="clear" w:color="auto" w:fill="auto"/>
            <w:vAlign w:val="center"/>
          </w:tcPr>
          <w:p w:rsidR="00385835" w:rsidRPr="00FC6264" w:rsidRDefault="00385835" w:rsidP="00385835">
            <w:pPr>
              <w:widowControl w:val="0"/>
              <w:tabs>
                <w:tab w:val="left" w:pos="622"/>
              </w:tabs>
              <w:spacing w:after="0" w:line="240" w:lineRule="auto"/>
              <w:jc w:val="center"/>
              <w:rPr>
                <w:rFonts w:ascii="Times New Roman" w:eastAsia="AngsanaUPC" w:hAnsi="Times New Roman"/>
                <w:bCs/>
                <w:sz w:val="18"/>
                <w:szCs w:val="18"/>
                <w:lang w:eastAsia="lt-LT"/>
              </w:rPr>
            </w:pPr>
            <w:r w:rsidRPr="00FC6264">
              <w:rPr>
                <w:rFonts w:ascii="Times New Roman" w:eastAsia="AngsanaUPC" w:hAnsi="Times New Roman"/>
                <w:bCs/>
                <w:sz w:val="18"/>
                <w:szCs w:val="18"/>
                <w:lang w:eastAsia="lt-LT"/>
              </w:rPr>
              <w:t>Asmenys per metus</w:t>
            </w:r>
          </w:p>
        </w:tc>
        <w:tc>
          <w:tcPr>
            <w:tcW w:w="1134" w:type="dxa"/>
            <w:shd w:val="clear" w:color="auto" w:fill="auto"/>
            <w:vAlign w:val="center"/>
          </w:tcPr>
          <w:p w:rsidR="00385835" w:rsidRPr="00FC6264" w:rsidRDefault="005E1B9D" w:rsidP="00385835">
            <w:pPr>
              <w:widowControl w:val="0"/>
              <w:tabs>
                <w:tab w:val="left" w:pos="622"/>
              </w:tabs>
              <w:spacing w:after="0" w:line="240" w:lineRule="auto"/>
              <w:jc w:val="center"/>
              <w:rPr>
                <w:rFonts w:ascii="Times New Roman" w:eastAsia="AngsanaUPC" w:hAnsi="Times New Roman"/>
                <w:bCs/>
                <w:sz w:val="18"/>
                <w:szCs w:val="18"/>
                <w:lang w:eastAsia="lt-LT"/>
              </w:rPr>
            </w:pPr>
            <w:r w:rsidRPr="00FC6264">
              <w:rPr>
                <w:rFonts w:ascii="Times New Roman" w:eastAsia="AngsanaUPC" w:hAnsi="Times New Roman"/>
                <w:bCs/>
                <w:sz w:val="18"/>
                <w:szCs w:val="18"/>
                <w:lang w:eastAsia="lt-LT"/>
              </w:rPr>
              <w:t>–</w:t>
            </w:r>
          </w:p>
        </w:tc>
        <w:tc>
          <w:tcPr>
            <w:tcW w:w="851" w:type="dxa"/>
            <w:shd w:val="clear" w:color="auto" w:fill="auto"/>
            <w:vAlign w:val="center"/>
          </w:tcPr>
          <w:p w:rsidR="00385835" w:rsidRPr="00FC6264" w:rsidRDefault="005464A7"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eastAsia="AngsanaUPC" w:hAnsi="Times New Roman"/>
                <w:bCs/>
                <w:iCs/>
                <w:sz w:val="18"/>
                <w:szCs w:val="18"/>
                <w:lang w:eastAsia="lt-LT"/>
              </w:rPr>
              <w:t>59</w:t>
            </w:r>
          </w:p>
        </w:tc>
        <w:tc>
          <w:tcPr>
            <w:tcW w:w="992" w:type="dxa"/>
            <w:shd w:val="clear" w:color="auto" w:fill="auto"/>
            <w:vAlign w:val="center"/>
          </w:tcPr>
          <w:p w:rsidR="00385835" w:rsidRPr="00FC6264"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eastAsia="AngsanaUPC" w:hAnsi="Times New Roman"/>
                <w:bCs/>
                <w:iCs/>
                <w:sz w:val="18"/>
                <w:szCs w:val="18"/>
                <w:lang w:eastAsia="lt-LT"/>
              </w:rPr>
              <w:t>2013</w:t>
            </w:r>
          </w:p>
        </w:tc>
        <w:tc>
          <w:tcPr>
            <w:tcW w:w="851" w:type="dxa"/>
            <w:shd w:val="clear" w:color="auto" w:fill="auto"/>
            <w:vAlign w:val="center"/>
          </w:tcPr>
          <w:p w:rsidR="00385835" w:rsidRPr="00FC6264"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eastAsia="AngsanaUPC" w:hAnsi="Times New Roman"/>
                <w:bCs/>
                <w:iCs/>
                <w:sz w:val="18"/>
                <w:szCs w:val="18"/>
                <w:lang w:eastAsia="lt-LT"/>
              </w:rPr>
              <w:t>37</w:t>
            </w:r>
          </w:p>
        </w:tc>
        <w:tc>
          <w:tcPr>
            <w:tcW w:w="1275" w:type="dxa"/>
            <w:shd w:val="clear" w:color="auto" w:fill="auto"/>
            <w:vAlign w:val="center"/>
          </w:tcPr>
          <w:p w:rsidR="00385835" w:rsidRPr="00FC6264" w:rsidRDefault="005464A7"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eastAsia="AngsanaUPC" w:hAnsi="Times New Roman"/>
                <w:bCs/>
                <w:iCs/>
                <w:sz w:val="18"/>
                <w:szCs w:val="18"/>
                <w:lang w:eastAsia="lt-LT"/>
              </w:rPr>
              <w:t>Lietuvos automobilių kelių direkcijos prie Susisiekimo ministerijos duomenys</w:t>
            </w:r>
          </w:p>
        </w:tc>
        <w:tc>
          <w:tcPr>
            <w:tcW w:w="1241" w:type="dxa"/>
            <w:shd w:val="clear" w:color="auto" w:fill="auto"/>
            <w:vAlign w:val="center"/>
          </w:tcPr>
          <w:p w:rsidR="00385835" w:rsidRPr="00FC6264"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eastAsia="AngsanaUPC" w:hAnsi="Times New Roman"/>
                <w:bCs/>
                <w:iCs/>
                <w:sz w:val="18"/>
                <w:szCs w:val="18"/>
                <w:lang w:eastAsia="lt-LT"/>
              </w:rPr>
              <w:t>Kartą per metus</w:t>
            </w:r>
          </w:p>
        </w:tc>
      </w:tr>
      <w:tr w:rsidR="00385835" w:rsidRPr="00385835" w:rsidTr="00385835">
        <w:tblPrEx>
          <w:shd w:val="clear" w:color="auto" w:fill="auto"/>
        </w:tblPrEx>
        <w:tc>
          <w:tcPr>
            <w:tcW w:w="518" w:type="dxa"/>
            <w:shd w:val="clear" w:color="auto" w:fill="auto"/>
            <w:vAlign w:val="center"/>
          </w:tcPr>
          <w:p w:rsidR="00385835" w:rsidRPr="00FC6264" w:rsidRDefault="00FC6264" w:rsidP="00385835">
            <w:pPr>
              <w:widowControl w:val="0"/>
              <w:tabs>
                <w:tab w:val="left" w:pos="622"/>
              </w:tabs>
              <w:spacing w:after="0" w:line="240" w:lineRule="auto"/>
              <w:jc w:val="center"/>
              <w:rPr>
                <w:rFonts w:ascii="Times New Roman" w:eastAsia="AngsanaUPC" w:hAnsi="Times New Roman"/>
                <w:bCs/>
                <w:iCs/>
                <w:sz w:val="18"/>
                <w:szCs w:val="18"/>
                <w:lang w:eastAsia="lt-LT"/>
              </w:rPr>
            </w:pPr>
            <w:r>
              <w:rPr>
                <w:rFonts w:ascii="Times New Roman" w:eastAsia="AngsanaUPC" w:hAnsi="Times New Roman"/>
                <w:bCs/>
                <w:iCs/>
                <w:sz w:val="18"/>
                <w:szCs w:val="18"/>
                <w:lang w:eastAsia="lt-LT"/>
              </w:rPr>
              <w:t>4</w:t>
            </w:r>
            <w:r w:rsidR="00385835" w:rsidRPr="00FC6264">
              <w:rPr>
                <w:rFonts w:ascii="Times New Roman" w:eastAsia="AngsanaUPC" w:hAnsi="Times New Roman"/>
                <w:bCs/>
                <w:iCs/>
                <w:sz w:val="18"/>
                <w:szCs w:val="18"/>
                <w:lang w:eastAsia="lt-LT"/>
              </w:rPr>
              <w:t>.</w:t>
            </w:r>
          </w:p>
        </w:tc>
        <w:tc>
          <w:tcPr>
            <w:tcW w:w="1750" w:type="dxa"/>
            <w:shd w:val="clear" w:color="auto" w:fill="auto"/>
            <w:vAlign w:val="center"/>
          </w:tcPr>
          <w:p w:rsidR="00385835" w:rsidRPr="00FC6264" w:rsidRDefault="00B1361B" w:rsidP="00B1361B">
            <w:pPr>
              <w:widowControl w:val="0"/>
              <w:tabs>
                <w:tab w:val="left" w:pos="622"/>
              </w:tabs>
              <w:spacing w:after="0" w:line="240" w:lineRule="auto"/>
              <w:rPr>
                <w:rFonts w:ascii="Times New Roman" w:eastAsia="Times New Roman" w:hAnsi="Times New Roman"/>
                <w:iCs/>
                <w:sz w:val="20"/>
                <w:szCs w:val="20"/>
                <w:lang w:eastAsia="lt-LT"/>
              </w:rPr>
            </w:pPr>
            <w:r w:rsidRPr="00FC6264">
              <w:rPr>
                <w:rFonts w:ascii="Times New Roman" w:hAnsi="Times New Roman"/>
                <w:sz w:val="18"/>
                <w:szCs w:val="18"/>
                <w:lang w:eastAsia="lt-LT"/>
              </w:rPr>
              <w:t>V</w:t>
            </w:r>
            <w:r w:rsidR="00385835" w:rsidRPr="00FC6264">
              <w:rPr>
                <w:rFonts w:ascii="Times New Roman" w:hAnsi="Times New Roman"/>
                <w:sz w:val="18"/>
                <w:szCs w:val="18"/>
                <w:lang w:eastAsia="lt-LT"/>
              </w:rPr>
              <w:t xml:space="preserve">idutinė </w:t>
            </w:r>
            <w:r w:rsidR="00385835" w:rsidRPr="00FC6264">
              <w:rPr>
                <w:rFonts w:ascii="Times New Roman" w:hAnsi="Times New Roman"/>
                <w:sz w:val="18"/>
                <w:szCs w:val="18"/>
                <w:lang w:val="en-US" w:eastAsia="lt-LT"/>
              </w:rPr>
              <w:t xml:space="preserve">1 </w:t>
            </w:r>
            <w:r w:rsidR="00385835" w:rsidRPr="00FC6264">
              <w:rPr>
                <w:rFonts w:ascii="Times New Roman" w:hAnsi="Times New Roman"/>
                <w:sz w:val="18"/>
                <w:szCs w:val="18"/>
                <w:lang w:eastAsia="lt-LT"/>
              </w:rPr>
              <w:t xml:space="preserve">orlaivio manevravimo* trukmė </w:t>
            </w:r>
          </w:p>
        </w:tc>
        <w:tc>
          <w:tcPr>
            <w:tcW w:w="1134" w:type="dxa"/>
            <w:shd w:val="clear" w:color="auto" w:fill="auto"/>
            <w:vAlign w:val="center"/>
          </w:tcPr>
          <w:p w:rsidR="00385835" w:rsidRPr="00FC6264" w:rsidRDefault="00385835" w:rsidP="00385835">
            <w:pPr>
              <w:widowControl w:val="0"/>
              <w:tabs>
                <w:tab w:val="left" w:pos="622"/>
              </w:tabs>
              <w:spacing w:after="0" w:line="240" w:lineRule="auto"/>
              <w:jc w:val="center"/>
              <w:rPr>
                <w:rFonts w:ascii="Times New Roman" w:eastAsia="AngsanaUPC" w:hAnsi="Times New Roman"/>
                <w:bCs/>
                <w:sz w:val="18"/>
                <w:szCs w:val="18"/>
                <w:lang w:eastAsia="lt-LT"/>
              </w:rPr>
            </w:pPr>
            <w:r w:rsidRPr="00FC6264">
              <w:rPr>
                <w:rFonts w:ascii="Times New Roman" w:hAnsi="Times New Roman"/>
                <w:sz w:val="18"/>
                <w:szCs w:val="18"/>
                <w:lang w:eastAsia="lt-LT"/>
              </w:rPr>
              <w:t>Minutės</w:t>
            </w:r>
          </w:p>
        </w:tc>
        <w:tc>
          <w:tcPr>
            <w:tcW w:w="1134" w:type="dxa"/>
            <w:shd w:val="clear" w:color="auto" w:fill="auto"/>
            <w:vAlign w:val="center"/>
          </w:tcPr>
          <w:p w:rsidR="00385835" w:rsidRPr="00FC6264" w:rsidRDefault="005E1B9D" w:rsidP="00385835">
            <w:pPr>
              <w:widowControl w:val="0"/>
              <w:tabs>
                <w:tab w:val="left" w:pos="622"/>
              </w:tabs>
              <w:spacing w:after="0" w:line="240" w:lineRule="auto"/>
              <w:jc w:val="center"/>
              <w:rPr>
                <w:rFonts w:ascii="Times New Roman" w:eastAsia="AngsanaUPC" w:hAnsi="Times New Roman"/>
                <w:bCs/>
                <w:sz w:val="18"/>
                <w:szCs w:val="18"/>
                <w:lang w:eastAsia="lt-LT"/>
              </w:rPr>
            </w:pPr>
            <w:r w:rsidRPr="00FC6264">
              <w:rPr>
                <w:rFonts w:ascii="Times New Roman" w:eastAsia="AngsanaUPC" w:hAnsi="Times New Roman"/>
                <w:bCs/>
                <w:sz w:val="18"/>
                <w:szCs w:val="18"/>
                <w:lang w:eastAsia="lt-LT"/>
              </w:rPr>
              <w:t>–</w:t>
            </w:r>
          </w:p>
        </w:tc>
        <w:tc>
          <w:tcPr>
            <w:tcW w:w="851" w:type="dxa"/>
            <w:shd w:val="clear" w:color="auto" w:fill="auto"/>
            <w:vAlign w:val="center"/>
          </w:tcPr>
          <w:p w:rsidR="00385835" w:rsidRPr="00FC6264"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hAnsi="Times New Roman"/>
                <w:sz w:val="18"/>
                <w:szCs w:val="18"/>
                <w:lang w:eastAsia="lt-LT"/>
              </w:rPr>
              <w:t>16</w:t>
            </w:r>
          </w:p>
        </w:tc>
        <w:tc>
          <w:tcPr>
            <w:tcW w:w="992" w:type="dxa"/>
            <w:shd w:val="clear" w:color="auto" w:fill="auto"/>
            <w:vAlign w:val="center"/>
          </w:tcPr>
          <w:p w:rsidR="00385835" w:rsidRPr="00FC6264"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hAnsi="Times New Roman"/>
                <w:sz w:val="18"/>
                <w:szCs w:val="18"/>
                <w:lang w:eastAsia="lt-LT"/>
              </w:rPr>
              <w:t>2013</w:t>
            </w:r>
          </w:p>
        </w:tc>
        <w:tc>
          <w:tcPr>
            <w:tcW w:w="851" w:type="dxa"/>
            <w:shd w:val="clear" w:color="auto" w:fill="auto"/>
            <w:vAlign w:val="center"/>
          </w:tcPr>
          <w:p w:rsidR="00385835" w:rsidRPr="00FC6264"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hAnsi="Times New Roman"/>
                <w:sz w:val="18"/>
                <w:szCs w:val="18"/>
                <w:lang w:eastAsia="lt-LT"/>
              </w:rPr>
              <w:t>12</w:t>
            </w:r>
          </w:p>
        </w:tc>
        <w:tc>
          <w:tcPr>
            <w:tcW w:w="1275" w:type="dxa"/>
            <w:shd w:val="clear" w:color="auto" w:fill="auto"/>
            <w:vAlign w:val="center"/>
          </w:tcPr>
          <w:p w:rsidR="00385835" w:rsidRPr="00FC6264"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hAnsi="Times New Roman"/>
                <w:sz w:val="18"/>
                <w:szCs w:val="18"/>
                <w:lang w:eastAsia="lt-LT"/>
              </w:rPr>
              <w:t>Duomenys iš projektų</w:t>
            </w:r>
          </w:p>
        </w:tc>
        <w:tc>
          <w:tcPr>
            <w:tcW w:w="1241" w:type="dxa"/>
            <w:shd w:val="clear" w:color="auto" w:fill="auto"/>
            <w:vAlign w:val="center"/>
          </w:tcPr>
          <w:p w:rsidR="00385835" w:rsidRPr="00FC6264"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eastAsia="AngsanaUPC" w:hAnsi="Times New Roman"/>
                <w:bCs/>
                <w:iCs/>
                <w:sz w:val="18"/>
                <w:szCs w:val="18"/>
                <w:lang w:eastAsia="lt-LT"/>
              </w:rPr>
              <w:t>Kartą per metus</w:t>
            </w:r>
          </w:p>
        </w:tc>
      </w:tr>
    </w:tbl>
    <w:p w:rsidR="00385835" w:rsidRPr="00385835" w:rsidRDefault="00385835" w:rsidP="00385835">
      <w:pPr>
        <w:widowControl w:val="0"/>
        <w:tabs>
          <w:tab w:val="left" w:pos="622"/>
        </w:tabs>
        <w:spacing w:after="0" w:line="240" w:lineRule="auto"/>
        <w:jc w:val="both"/>
        <w:rPr>
          <w:rFonts w:ascii="Times New Roman" w:hAnsi="Times New Roman"/>
          <w:sz w:val="18"/>
          <w:szCs w:val="18"/>
          <w:lang w:eastAsia="lt-LT"/>
        </w:rPr>
      </w:pPr>
      <w:r w:rsidRPr="00385835">
        <w:rPr>
          <w:rFonts w:ascii="Times New Roman" w:eastAsia="AngsanaUPC" w:hAnsi="Times New Roman"/>
          <w:bCs/>
          <w:sz w:val="18"/>
          <w:szCs w:val="18"/>
          <w:lang w:eastAsia="lt-LT"/>
        </w:rPr>
        <w:t xml:space="preserve">* – </w:t>
      </w:r>
      <w:r w:rsidRPr="00385835">
        <w:rPr>
          <w:rFonts w:ascii="Times New Roman" w:hAnsi="Times New Roman"/>
          <w:sz w:val="18"/>
          <w:szCs w:val="18"/>
          <w:lang w:eastAsia="lt-LT"/>
        </w:rPr>
        <w:t>riedėjimas kilti ir riedėjimas į aikštelę po tūpimo.</w:t>
      </w:r>
    </w:p>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385835" w:rsidRPr="00385835" w:rsidTr="00385835">
        <w:tc>
          <w:tcPr>
            <w:tcW w:w="9746" w:type="dxa"/>
            <w:tcBorders>
              <w:top w:val="single" w:sz="4" w:space="0" w:color="auto"/>
              <w:left w:val="single" w:sz="4" w:space="0" w:color="auto"/>
              <w:bottom w:val="single" w:sz="4" w:space="0" w:color="auto"/>
              <w:right w:val="single" w:sz="4" w:space="0" w:color="auto"/>
            </w:tcBorders>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Cs/>
                <w:iCs/>
                <w:sz w:val="24"/>
                <w:szCs w:val="24"/>
                <w:lang w:eastAsia="lt-LT"/>
              </w:rPr>
            </w:pPr>
            <w:r w:rsidRPr="00385835">
              <w:rPr>
                <w:rFonts w:ascii="Times New Roman" w:eastAsia="AngsanaUPC" w:hAnsi="Times New Roman"/>
                <w:b/>
                <w:bCs/>
                <w:i/>
                <w:iCs/>
                <w:sz w:val="24"/>
                <w:szCs w:val="24"/>
                <w:lang w:eastAsia="lt-LT"/>
              </w:rPr>
              <w:t>6.1. Investicinio prioriteto įgyvendinimo veiklos</w:t>
            </w:r>
          </w:p>
        </w:tc>
      </w:tr>
      <w:tr w:rsidR="00385835" w:rsidRPr="00385835" w:rsidTr="00385835">
        <w:tc>
          <w:tcPr>
            <w:tcW w:w="9746" w:type="dxa"/>
            <w:shd w:val="clear" w:color="auto" w:fill="auto"/>
          </w:tcPr>
          <w:p w:rsidR="00385835" w:rsidRPr="00385835" w:rsidRDefault="00385835" w:rsidP="00650E41">
            <w:pPr>
              <w:widowControl w:val="0"/>
              <w:numPr>
                <w:ilvl w:val="0"/>
                <w:numId w:val="13"/>
              </w:numPr>
              <w:tabs>
                <w:tab w:val="left" w:pos="459"/>
              </w:tabs>
              <w:spacing w:after="0" w:line="240" w:lineRule="auto"/>
              <w:ind w:left="0" w:firstLine="0"/>
              <w:jc w:val="both"/>
              <w:rPr>
                <w:rFonts w:ascii="Times New Roman" w:eastAsia="AngsanaUPC" w:hAnsi="Times New Roman"/>
                <w:bCs/>
                <w:iCs/>
                <w:sz w:val="24"/>
                <w:szCs w:val="24"/>
                <w:lang w:eastAsia="lt-LT"/>
              </w:rPr>
            </w:pPr>
            <w:r w:rsidRPr="00385835">
              <w:rPr>
                <w:rFonts w:ascii="Times New Roman" w:hAnsi="Times New Roman"/>
                <w:sz w:val="24"/>
                <w:szCs w:val="24"/>
              </w:rPr>
              <w:t>Geležinkelių infrastruktūros atnaujinimas, patobulinimas ir plėtra, geležinkelių transporto aplinkosauginių parametrų gerinimas ir saugos didinimas:</w:t>
            </w:r>
          </w:p>
          <w:p w:rsidR="00385835" w:rsidRPr="00385835" w:rsidRDefault="007E588C" w:rsidP="00385835">
            <w:pPr>
              <w:widowControl w:val="0"/>
              <w:tabs>
                <w:tab w:val="left" w:pos="459"/>
              </w:tabs>
              <w:spacing w:after="0" w:line="240" w:lineRule="auto"/>
              <w:jc w:val="both"/>
              <w:rPr>
                <w:rFonts w:ascii="Times New Roman" w:hAnsi="Times New Roman"/>
                <w:sz w:val="24"/>
                <w:szCs w:val="24"/>
              </w:rPr>
            </w:pPr>
            <w:r>
              <w:rPr>
                <w:rFonts w:ascii="Times New Roman" w:hAnsi="Times New Roman"/>
                <w:sz w:val="24"/>
                <w:szCs w:val="24"/>
              </w:rPr>
              <w:t>- 1435 mm vė</w:t>
            </w:r>
            <w:r w:rsidR="00385835" w:rsidRPr="00385835">
              <w:rPr>
                <w:rFonts w:ascii="Times New Roman" w:hAnsi="Times New Roman"/>
                <w:sz w:val="24"/>
                <w:szCs w:val="24"/>
              </w:rPr>
              <w:t>žės pločio geležinkelių infrastruktūros įreng</w:t>
            </w:r>
            <w:r w:rsidR="000C0824">
              <w:rPr>
                <w:rFonts w:ascii="Times New Roman" w:hAnsi="Times New Roman"/>
                <w:sz w:val="24"/>
                <w:szCs w:val="24"/>
              </w:rPr>
              <w:t>imas I transporto koridoriuje (</w:t>
            </w:r>
            <w:r w:rsidR="00385835" w:rsidRPr="000C0824">
              <w:rPr>
                <w:rFonts w:ascii="Times New Roman" w:hAnsi="Times New Roman"/>
                <w:i/>
                <w:sz w:val="24"/>
                <w:szCs w:val="24"/>
              </w:rPr>
              <w:t>Rail Baltica</w:t>
            </w:r>
            <w:r w:rsidR="00385835" w:rsidRPr="00385835">
              <w:rPr>
                <w:rFonts w:ascii="Times New Roman" w:hAnsi="Times New Roman"/>
                <w:sz w:val="24"/>
                <w:szCs w:val="24"/>
              </w:rPr>
              <w:t>);</w:t>
            </w:r>
          </w:p>
          <w:p w:rsidR="00385835" w:rsidRPr="00385835" w:rsidRDefault="00385835" w:rsidP="00385835">
            <w:pPr>
              <w:widowControl w:val="0"/>
              <w:tabs>
                <w:tab w:val="left" w:pos="459"/>
              </w:tabs>
              <w:spacing w:after="0" w:line="240" w:lineRule="auto"/>
              <w:jc w:val="both"/>
              <w:rPr>
                <w:rFonts w:ascii="Times New Roman" w:hAnsi="Times New Roman"/>
                <w:sz w:val="24"/>
                <w:szCs w:val="24"/>
              </w:rPr>
            </w:pPr>
            <w:r w:rsidRPr="00385835">
              <w:rPr>
                <w:rFonts w:ascii="Times New Roman" w:hAnsi="Times New Roman"/>
                <w:sz w:val="24"/>
                <w:szCs w:val="24"/>
              </w:rPr>
              <w:t xml:space="preserve">- 1520 mm vėžės pločio geležinkelių infrastruktūros atnaujinimas, patobulinimas ir plėtra </w:t>
            </w:r>
            <w:r w:rsidRPr="00385835">
              <w:rPr>
                <w:rFonts w:ascii="Times New Roman" w:hAnsi="Times New Roman"/>
                <w:sz w:val="24"/>
                <w:szCs w:val="24"/>
              </w:rPr>
              <w:lastRenderedPageBreak/>
              <w:t xml:space="preserve">(įskaitant antrųjų vėžių tiesimą ir elektrifikavimą) IX B transporto koridoriuje, kuri leistų atnaujintuose ir patobulintuose ruožuose pasiekti 160 km/h greitį </w:t>
            </w:r>
            <w:r w:rsidR="008277F9">
              <w:rPr>
                <w:rFonts w:ascii="Times New Roman" w:hAnsi="Times New Roman"/>
                <w:sz w:val="24"/>
                <w:szCs w:val="24"/>
              </w:rPr>
              <w:t>keleiviniams traukiniams ir 120 </w:t>
            </w:r>
            <w:r w:rsidRPr="00385835">
              <w:rPr>
                <w:rFonts w:ascii="Times New Roman" w:hAnsi="Times New Roman"/>
                <w:sz w:val="24"/>
                <w:szCs w:val="24"/>
              </w:rPr>
              <w:t>km/h greitį kroviniams traukiniams;</w:t>
            </w:r>
          </w:p>
          <w:p w:rsidR="00385835" w:rsidRPr="00385835" w:rsidRDefault="00385835" w:rsidP="00385835">
            <w:pPr>
              <w:widowControl w:val="0"/>
              <w:tabs>
                <w:tab w:val="left" w:pos="459"/>
              </w:tabs>
              <w:spacing w:after="0" w:line="240" w:lineRule="auto"/>
              <w:jc w:val="both"/>
              <w:rPr>
                <w:rFonts w:ascii="Times New Roman" w:hAnsi="Times New Roman"/>
                <w:sz w:val="24"/>
                <w:szCs w:val="24"/>
              </w:rPr>
            </w:pPr>
            <w:r w:rsidRPr="00385835">
              <w:rPr>
                <w:rFonts w:ascii="Times New Roman" w:hAnsi="Times New Roman"/>
                <w:sz w:val="24"/>
                <w:szCs w:val="24"/>
              </w:rPr>
              <w:t xml:space="preserve">- Naujų geležinkelių transporto eismo valdymo ir kontrolės sistemų diegimas; intelektinių ir technologinių geležinkelių transporto </w:t>
            </w:r>
            <w:r w:rsidR="007239E5">
              <w:rPr>
                <w:rFonts w:ascii="Times New Roman" w:hAnsi="Times New Roman"/>
                <w:sz w:val="24"/>
                <w:szCs w:val="24"/>
              </w:rPr>
              <w:t>(</w:t>
            </w:r>
            <w:r w:rsidRPr="00385835">
              <w:rPr>
                <w:rFonts w:ascii="Times New Roman" w:hAnsi="Times New Roman"/>
                <w:sz w:val="24"/>
                <w:szCs w:val="24"/>
              </w:rPr>
              <w:t>saugos, sąveikos srautų valdymo ir saugumo</w:t>
            </w:r>
            <w:r w:rsidR="007239E5">
              <w:rPr>
                <w:rFonts w:ascii="Times New Roman" w:hAnsi="Times New Roman"/>
                <w:sz w:val="24"/>
                <w:szCs w:val="24"/>
              </w:rPr>
              <w:t>)</w:t>
            </w:r>
            <w:r w:rsidRPr="00385835">
              <w:rPr>
                <w:rFonts w:ascii="Times New Roman" w:hAnsi="Times New Roman"/>
                <w:sz w:val="24"/>
                <w:szCs w:val="24"/>
              </w:rPr>
              <w:t xml:space="preserve"> sistemų diegimas;</w:t>
            </w:r>
          </w:p>
          <w:p w:rsidR="00385835" w:rsidRPr="00385835" w:rsidRDefault="00385835" w:rsidP="00385835">
            <w:pPr>
              <w:widowControl w:val="0"/>
              <w:tabs>
                <w:tab w:val="left" w:pos="459"/>
              </w:tabs>
              <w:spacing w:after="0" w:line="240" w:lineRule="auto"/>
              <w:jc w:val="both"/>
              <w:rPr>
                <w:rFonts w:ascii="Times New Roman" w:hAnsi="Times New Roman"/>
                <w:sz w:val="24"/>
                <w:szCs w:val="24"/>
              </w:rPr>
            </w:pPr>
            <w:r w:rsidRPr="00385835">
              <w:rPr>
                <w:rFonts w:ascii="Times New Roman" w:hAnsi="Times New Roman"/>
                <w:sz w:val="24"/>
                <w:szCs w:val="24"/>
              </w:rPr>
              <w:t xml:space="preserve">- Geležinkelių transporto eismo saugos ir aplinkosaugos priemonių diegimas ir aplinkkelių statyba I ir IXB koridoriuose; </w:t>
            </w:r>
          </w:p>
          <w:p w:rsidR="00385835" w:rsidRPr="00385835" w:rsidRDefault="00385835" w:rsidP="00385835">
            <w:pPr>
              <w:widowControl w:val="0"/>
              <w:tabs>
                <w:tab w:val="left" w:pos="459"/>
              </w:tabs>
              <w:spacing w:after="0" w:line="240" w:lineRule="auto"/>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 xml:space="preserve">- ERTMS sistemos diegimas naujose 1435 mm </w:t>
            </w:r>
            <w:r w:rsidR="005F515A" w:rsidRPr="005F515A">
              <w:rPr>
                <w:rFonts w:ascii="Times New Roman" w:hAnsi="Times New Roman"/>
                <w:bCs/>
                <w:color w:val="000000"/>
                <w:sz w:val="24"/>
                <w:szCs w:val="24"/>
                <w:lang w:eastAsia="lt-LT"/>
              </w:rPr>
              <w:t>ir esamose 1520 mm</w:t>
            </w:r>
            <w:r w:rsidR="005F515A" w:rsidRPr="00385835">
              <w:rPr>
                <w:rFonts w:ascii="Times New Roman" w:eastAsia="AngsanaUPC" w:hAnsi="Times New Roman"/>
                <w:bCs/>
                <w:iCs/>
                <w:sz w:val="24"/>
                <w:szCs w:val="24"/>
                <w:lang w:eastAsia="lt-LT"/>
              </w:rPr>
              <w:t xml:space="preserve"> </w:t>
            </w:r>
            <w:r w:rsidRPr="00385835">
              <w:rPr>
                <w:rFonts w:ascii="Times New Roman" w:eastAsia="AngsanaUPC" w:hAnsi="Times New Roman"/>
                <w:bCs/>
                <w:iCs/>
                <w:sz w:val="24"/>
                <w:szCs w:val="24"/>
                <w:lang w:eastAsia="lt-LT"/>
              </w:rPr>
              <w:t>pločio TEN</w:t>
            </w:r>
            <w:proofErr w:type="gramStart"/>
            <w:r w:rsidRPr="00385835">
              <w:rPr>
                <w:rFonts w:ascii="Times New Roman" w:eastAsia="AngsanaUPC" w:hAnsi="Times New Roman"/>
                <w:bCs/>
                <w:iCs/>
                <w:sz w:val="24"/>
                <w:szCs w:val="24"/>
                <w:lang w:eastAsia="lt-LT"/>
              </w:rPr>
              <w:t>-</w:t>
            </w:r>
            <w:proofErr w:type="gramEnd"/>
            <w:r w:rsidRPr="00385835">
              <w:rPr>
                <w:rFonts w:ascii="Times New Roman" w:eastAsia="AngsanaUPC" w:hAnsi="Times New Roman"/>
                <w:bCs/>
                <w:iCs/>
                <w:sz w:val="24"/>
                <w:szCs w:val="24"/>
                <w:lang w:eastAsia="lt-LT"/>
              </w:rPr>
              <w:t xml:space="preserve">T </w:t>
            </w:r>
            <w:r w:rsidR="005F515A">
              <w:rPr>
                <w:rFonts w:ascii="Times New Roman" w:eastAsia="AngsanaUPC" w:hAnsi="Times New Roman"/>
                <w:bCs/>
                <w:iCs/>
                <w:sz w:val="24"/>
                <w:szCs w:val="24"/>
                <w:lang w:eastAsia="lt-LT"/>
              </w:rPr>
              <w:t xml:space="preserve">geležinkelių </w:t>
            </w:r>
            <w:r w:rsidR="008277F9">
              <w:rPr>
                <w:rFonts w:ascii="Times New Roman" w:eastAsia="AngsanaUPC" w:hAnsi="Times New Roman"/>
                <w:bCs/>
                <w:iCs/>
                <w:sz w:val="24"/>
                <w:szCs w:val="24"/>
                <w:lang w:eastAsia="lt-LT"/>
              </w:rPr>
              <w:t>linijose;</w:t>
            </w:r>
            <w:r w:rsidRPr="00385835">
              <w:rPr>
                <w:rFonts w:ascii="Times New Roman" w:eastAsia="AngsanaUPC" w:hAnsi="Times New Roman"/>
                <w:bCs/>
                <w:iCs/>
                <w:sz w:val="24"/>
                <w:szCs w:val="24"/>
                <w:lang w:eastAsia="lt-LT"/>
              </w:rPr>
              <w:t xml:space="preserve"> investuojant į signalizacijos ir kontrolės sistemų kūrimą ir/ar atnaujinimą bus laikomasi EK sprendime išdėstytų Nr. 2012/88/EC nuostat</w:t>
            </w:r>
            <w:r w:rsidR="008277F9">
              <w:rPr>
                <w:rFonts w:ascii="Times New Roman" w:eastAsia="AngsanaUPC" w:hAnsi="Times New Roman"/>
                <w:bCs/>
                <w:iCs/>
                <w:sz w:val="24"/>
                <w:szCs w:val="24"/>
                <w:lang w:eastAsia="lt-LT"/>
              </w:rPr>
              <w:t>ų.</w:t>
            </w:r>
          </w:p>
          <w:p w:rsidR="00385835" w:rsidRPr="00385835" w:rsidRDefault="00385835" w:rsidP="00650E41">
            <w:pPr>
              <w:widowControl w:val="0"/>
              <w:numPr>
                <w:ilvl w:val="0"/>
                <w:numId w:val="13"/>
              </w:numPr>
              <w:tabs>
                <w:tab w:val="left" w:pos="459"/>
              </w:tabs>
              <w:spacing w:after="0" w:line="240" w:lineRule="auto"/>
              <w:ind w:left="0" w:firstLine="0"/>
              <w:jc w:val="both"/>
              <w:rPr>
                <w:rFonts w:ascii="Times New Roman" w:hAnsi="Times New Roman"/>
                <w:b/>
                <w:sz w:val="24"/>
                <w:szCs w:val="24"/>
              </w:rPr>
            </w:pPr>
            <w:r w:rsidRPr="00385835">
              <w:rPr>
                <w:rFonts w:ascii="Times New Roman" w:hAnsi="Times New Roman"/>
                <w:sz w:val="24"/>
                <w:szCs w:val="24"/>
              </w:rPr>
              <w:t>TEN</w:t>
            </w:r>
            <w:proofErr w:type="gramStart"/>
            <w:r w:rsidRPr="00385835">
              <w:rPr>
                <w:rFonts w:ascii="Times New Roman" w:hAnsi="Times New Roman"/>
                <w:sz w:val="24"/>
                <w:szCs w:val="24"/>
              </w:rPr>
              <w:t>-</w:t>
            </w:r>
            <w:proofErr w:type="gramEnd"/>
            <w:r w:rsidRPr="00385835">
              <w:rPr>
                <w:rFonts w:ascii="Times New Roman" w:hAnsi="Times New Roman"/>
                <w:sz w:val="24"/>
                <w:szCs w:val="24"/>
              </w:rPr>
              <w:t>T tinklo kelių transporto infrastruktūros modernizavimas ir plėtra, kelių transporto eismo saugos ir aplinkosauginių parametrų didinimas:</w:t>
            </w:r>
          </w:p>
          <w:p w:rsidR="00385835" w:rsidRPr="00385835" w:rsidRDefault="00385835" w:rsidP="00385835">
            <w:pPr>
              <w:widowControl w:val="0"/>
              <w:tabs>
                <w:tab w:val="left" w:pos="459"/>
              </w:tabs>
              <w:spacing w:after="0" w:line="240" w:lineRule="auto"/>
              <w:jc w:val="both"/>
              <w:rPr>
                <w:rFonts w:ascii="Times New Roman" w:hAnsi="Times New Roman"/>
                <w:sz w:val="24"/>
                <w:szCs w:val="24"/>
              </w:rPr>
            </w:pPr>
            <w:r w:rsidRPr="00385835">
              <w:rPr>
                <w:rFonts w:ascii="Times New Roman" w:hAnsi="Times New Roman"/>
                <w:sz w:val="24"/>
                <w:szCs w:val="24"/>
              </w:rPr>
              <w:t>- TEN</w:t>
            </w:r>
            <w:proofErr w:type="gramStart"/>
            <w:r w:rsidRPr="00385835">
              <w:rPr>
                <w:rFonts w:ascii="Times New Roman" w:hAnsi="Times New Roman"/>
                <w:sz w:val="24"/>
                <w:szCs w:val="24"/>
              </w:rPr>
              <w:t>-</w:t>
            </w:r>
            <w:proofErr w:type="gramEnd"/>
            <w:r w:rsidRPr="00385835">
              <w:rPr>
                <w:rFonts w:ascii="Times New Roman" w:hAnsi="Times New Roman"/>
                <w:sz w:val="24"/>
                <w:szCs w:val="24"/>
              </w:rPr>
              <w:t>T tinklo kelių, su jais susijusių privažiuojamųjų ir t</w:t>
            </w:r>
            <w:r w:rsidR="007239E5">
              <w:rPr>
                <w:rFonts w:ascii="Times New Roman" w:hAnsi="Times New Roman"/>
                <w:sz w:val="24"/>
                <w:szCs w:val="24"/>
              </w:rPr>
              <w:t>i</w:t>
            </w:r>
            <w:r w:rsidRPr="00385835">
              <w:rPr>
                <w:rFonts w:ascii="Times New Roman" w:hAnsi="Times New Roman"/>
                <w:sz w:val="24"/>
                <w:szCs w:val="24"/>
              </w:rPr>
              <w:t>esioginių jungiamųjų kelių rekonstrukcija ir plėtra</w:t>
            </w:r>
            <w:r w:rsidR="008277F9">
              <w:rPr>
                <w:rFonts w:ascii="Times New Roman" w:hAnsi="Times New Roman"/>
                <w:sz w:val="24"/>
                <w:szCs w:val="24"/>
              </w:rPr>
              <w:t>,</w:t>
            </w:r>
            <w:r w:rsidRPr="00385835">
              <w:rPr>
                <w:rFonts w:ascii="Times New Roman" w:hAnsi="Times New Roman"/>
                <w:sz w:val="24"/>
                <w:szCs w:val="24"/>
              </w:rPr>
              <w:t xml:space="preserve"> įskaitant miestų ir miestelių aplinkkelių tiesimą;</w:t>
            </w:r>
          </w:p>
          <w:p w:rsidR="00385835" w:rsidRPr="00385835" w:rsidRDefault="008277F9" w:rsidP="00385835">
            <w:pPr>
              <w:widowControl w:val="0"/>
              <w:tabs>
                <w:tab w:val="left" w:pos="459"/>
              </w:tabs>
              <w:spacing w:after="0" w:line="240" w:lineRule="auto"/>
              <w:jc w:val="both"/>
              <w:rPr>
                <w:rFonts w:ascii="Times New Roman" w:hAnsi="Times New Roman"/>
                <w:sz w:val="24"/>
                <w:szCs w:val="24"/>
              </w:rPr>
            </w:pPr>
            <w:r>
              <w:rPr>
                <w:rFonts w:ascii="Times New Roman" w:hAnsi="Times New Roman"/>
                <w:sz w:val="24"/>
                <w:szCs w:val="24"/>
              </w:rPr>
              <w:t xml:space="preserve">- </w:t>
            </w:r>
            <w:r w:rsidR="00385835" w:rsidRPr="00385835">
              <w:rPr>
                <w:rFonts w:ascii="Times New Roman" w:hAnsi="Times New Roman"/>
                <w:sz w:val="24"/>
                <w:szCs w:val="24"/>
              </w:rPr>
              <w:t xml:space="preserve">Intelektinių kelių transporto </w:t>
            </w:r>
            <w:r w:rsidR="007239E5">
              <w:rPr>
                <w:rFonts w:ascii="Times New Roman" w:hAnsi="Times New Roman"/>
                <w:sz w:val="24"/>
                <w:szCs w:val="24"/>
              </w:rPr>
              <w:t>(</w:t>
            </w:r>
            <w:r w:rsidR="00385835" w:rsidRPr="00385835">
              <w:rPr>
                <w:rFonts w:ascii="Times New Roman" w:hAnsi="Times New Roman"/>
                <w:sz w:val="24"/>
                <w:szCs w:val="24"/>
              </w:rPr>
              <w:t>eismo saugos, saugumo (</w:t>
            </w:r>
            <w:r w:rsidR="00686878">
              <w:rPr>
                <w:rFonts w:ascii="Times New Roman" w:hAnsi="Times New Roman"/>
                <w:sz w:val="24"/>
                <w:szCs w:val="24"/>
              </w:rPr>
              <w:t>pavyzdžiui</w:t>
            </w:r>
            <w:r w:rsidR="00385835" w:rsidRPr="00385835">
              <w:rPr>
                <w:rFonts w:ascii="Times New Roman" w:hAnsi="Times New Roman"/>
                <w:sz w:val="24"/>
                <w:szCs w:val="24"/>
              </w:rPr>
              <w:t>, pažeidimų kontrolės eismo stebėjimo sistemų), eismo informavimo ir srautų valdymo</w:t>
            </w:r>
            <w:r w:rsidR="007239E5">
              <w:rPr>
                <w:rFonts w:ascii="Times New Roman" w:hAnsi="Times New Roman"/>
                <w:sz w:val="24"/>
                <w:szCs w:val="24"/>
              </w:rPr>
              <w:t>)</w:t>
            </w:r>
            <w:r w:rsidR="00385835" w:rsidRPr="00385835">
              <w:rPr>
                <w:rFonts w:ascii="Times New Roman" w:hAnsi="Times New Roman"/>
                <w:sz w:val="24"/>
                <w:szCs w:val="24"/>
              </w:rPr>
              <w:t xml:space="preserve"> sistemų diegimas;</w:t>
            </w:r>
          </w:p>
          <w:p w:rsidR="00385835" w:rsidRPr="00385835" w:rsidRDefault="00385835" w:rsidP="00385835">
            <w:pPr>
              <w:widowControl w:val="0"/>
              <w:tabs>
                <w:tab w:val="left" w:pos="459"/>
              </w:tabs>
              <w:spacing w:after="0" w:line="240" w:lineRule="auto"/>
              <w:jc w:val="both"/>
              <w:rPr>
                <w:rFonts w:ascii="Times New Roman" w:hAnsi="Times New Roman"/>
                <w:sz w:val="24"/>
                <w:szCs w:val="24"/>
              </w:rPr>
            </w:pPr>
            <w:r w:rsidRPr="00385835">
              <w:rPr>
                <w:rFonts w:ascii="Times New Roman" w:hAnsi="Times New Roman"/>
                <w:sz w:val="24"/>
                <w:szCs w:val="24"/>
              </w:rPr>
              <w:t>- Eismo saugos ir transporto saugumo priemonių ir aplinkosauginių priemonių kelių transporte diegimas (</w:t>
            </w:r>
            <w:r w:rsidR="00686878">
              <w:rPr>
                <w:rFonts w:ascii="Times New Roman" w:hAnsi="Times New Roman"/>
                <w:sz w:val="24"/>
                <w:szCs w:val="24"/>
              </w:rPr>
              <w:t>pavyzdžiui</w:t>
            </w:r>
            <w:r w:rsidRPr="00385835">
              <w:rPr>
                <w:rFonts w:ascii="Times New Roman" w:hAnsi="Times New Roman"/>
                <w:sz w:val="24"/>
                <w:szCs w:val="24"/>
              </w:rPr>
              <w:t>, triukšmą mažinančių tvorų statyba, tvorų eismo apsaugojimui nuo laukinių gyvūnų statyba, sankryžų pavojingose vietose rekonstravimas</w:t>
            </w:r>
            <w:r w:rsidR="008277F9">
              <w:rPr>
                <w:rFonts w:ascii="Times New Roman" w:hAnsi="Times New Roman"/>
                <w:sz w:val="24"/>
                <w:szCs w:val="24"/>
              </w:rPr>
              <w:t>,</w:t>
            </w:r>
            <w:r w:rsidRPr="00385835">
              <w:rPr>
                <w:rFonts w:ascii="Times New Roman" w:hAnsi="Times New Roman"/>
                <w:sz w:val="24"/>
                <w:szCs w:val="24"/>
              </w:rPr>
              <w:t xml:space="preserve"> įrengiant padidinto atsparumo atitvarus, žiedinių sankryžų įrengimas); </w:t>
            </w:r>
          </w:p>
          <w:p w:rsidR="00385835" w:rsidRPr="00385835" w:rsidRDefault="00385835" w:rsidP="00385835">
            <w:pPr>
              <w:widowControl w:val="0"/>
              <w:tabs>
                <w:tab w:val="left" w:pos="459"/>
              </w:tabs>
              <w:spacing w:after="0" w:line="240" w:lineRule="auto"/>
              <w:jc w:val="both"/>
              <w:rPr>
                <w:rFonts w:ascii="Times New Roman" w:hAnsi="Times New Roman"/>
                <w:b/>
                <w:sz w:val="24"/>
                <w:szCs w:val="24"/>
              </w:rPr>
            </w:pPr>
            <w:r w:rsidRPr="00385835">
              <w:rPr>
                <w:rFonts w:ascii="Times New Roman" w:hAnsi="Times New Roman"/>
                <w:sz w:val="24"/>
                <w:szCs w:val="24"/>
              </w:rPr>
              <w:t>- Išorės sienų ir pasienio kontrolės punktų (TEN</w:t>
            </w:r>
            <w:proofErr w:type="gramStart"/>
            <w:r w:rsidRPr="00385835">
              <w:rPr>
                <w:rFonts w:ascii="Times New Roman" w:hAnsi="Times New Roman"/>
                <w:sz w:val="24"/>
                <w:szCs w:val="24"/>
              </w:rPr>
              <w:t>-</w:t>
            </w:r>
            <w:proofErr w:type="gramEnd"/>
            <w:r w:rsidRPr="00385835">
              <w:rPr>
                <w:rFonts w:ascii="Times New Roman" w:hAnsi="Times New Roman"/>
                <w:sz w:val="24"/>
                <w:szCs w:val="24"/>
              </w:rPr>
              <w:t>T tinklo) transporto infrastruktūros kartu su privažiuojamaisiais ir tiesioginiais jungiamaisiais keliais rekonstravimas ir modernizavimas</w:t>
            </w:r>
            <w:r w:rsidRPr="00385835">
              <w:rPr>
                <w:rFonts w:ascii="Times New Roman" w:hAnsi="Times New Roman"/>
                <w:bCs/>
                <w:iCs/>
                <w:sz w:val="24"/>
                <w:szCs w:val="24"/>
              </w:rPr>
              <w:t>.</w:t>
            </w:r>
          </w:p>
          <w:p w:rsidR="00385835" w:rsidRPr="00385835" w:rsidRDefault="00385835" w:rsidP="00650E41">
            <w:pPr>
              <w:widowControl w:val="0"/>
              <w:numPr>
                <w:ilvl w:val="0"/>
                <w:numId w:val="13"/>
              </w:numPr>
              <w:tabs>
                <w:tab w:val="left" w:pos="459"/>
              </w:tabs>
              <w:spacing w:after="0" w:line="240" w:lineRule="auto"/>
              <w:ind w:left="0" w:firstLine="0"/>
              <w:jc w:val="both"/>
              <w:rPr>
                <w:rFonts w:ascii="Times New Roman" w:hAnsi="Times New Roman"/>
                <w:b/>
                <w:sz w:val="24"/>
                <w:szCs w:val="24"/>
              </w:rPr>
            </w:pPr>
            <w:r w:rsidRPr="00385835">
              <w:rPr>
                <w:rFonts w:ascii="Times New Roman" w:hAnsi="Times New Roman"/>
                <w:sz w:val="24"/>
                <w:szCs w:val="24"/>
              </w:rPr>
              <w:t>Vandens transporto infrastruktūros modernizavimas ir plėtra, vandens transporto saugos ir aplinkosauginių parametrų didinimas:</w:t>
            </w:r>
          </w:p>
          <w:p w:rsidR="00385835" w:rsidRPr="00385835" w:rsidRDefault="00385835" w:rsidP="00385835">
            <w:pPr>
              <w:widowControl w:val="0"/>
              <w:tabs>
                <w:tab w:val="left" w:pos="459"/>
              </w:tabs>
              <w:spacing w:after="0" w:line="240" w:lineRule="auto"/>
              <w:jc w:val="both"/>
              <w:rPr>
                <w:rFonts w:ascii="Times New Roman" w:hAnsi="Times New Roman"/>
                <w:sz w:val="24"/>
                <w:szCs w:val="24"/>
              </w:rPr>
            </w:pPr>
            <w:r w:rsidRPr="00385835">
              <w:rPr>
                <w:rFonts w:ascii="Times New Roman" w:hAnsi="Times New Roman"/>
                <w:sz w:val="24"/>
                <w:szCs w:val="24"/>
              </w:rPr>
              <w:t>- Klaipėdos valstybinio jūrų uosto (Šiaurės jūros – Baltijos koridorius) bendro naudojimo laivybos kanalo saugos ir aplinkosauginių parametrų gerinimas pagal nustatytus aplinkosauginius reikalavimus, atliekant poveikio aplinkai vertinimus (platinimas, akvatorijos gilinimas, molų statyba ir rekonstrukcija);</w:t>
            </w:r>
          </w:p>
          <w:p w:rsidR="00385835" w:rsidRPr="00385835" w:rsidRDefault="00385835" w:rsidP="00385835">
            <w:pPr>
              <w:widowControl w:val="0"/>
              <w:tabs>
                <w:tab w:val="left" w:pos="459"/>
              </w:tabs>
              <w:spacing w:after="0" w:line="240" w:lineRule="auto"/>
              <w:jc w:val="both"/>
              <w:rPr>
                <w:rFonts w:ascii="Times New Roman" w:hAnsi="Times New Roman"/>
                <w:sz w:val="24"/>
                <w:szCs w:val="24"/>
              </w:rPr>
            </w:pPr>
            <w:r w:rsidRPr="00385835">
              <w:rPr>
                <w:rFonts w:ascii="Times New Roman" w:hAnsi="Times New Roman"/>
                <w:sz w:val="24"/>
                <w:szCs w:val="24"/>
              </w:rPr>
              <w:t xml:space="preserve">- Laivybos saugos didinimas, hidrografinės, geodezinės ir kartografinės techninės ir programinės įrangos atnaujinimas Klaipėdos valstybiniame jūrų uoste; </w:t>
            </w:r>
          </w:p>
          <w:p w:rsidR="00385835" w:rsidRPr="00385835" w:rsidRDefault="00385835" w:rsidP="00385835">
            <w:pPr>
              <w:widowControl w:val="0"/>
              <w:tabs>
                <w:tab w:val="left" w:pos="459"/>
              </w:tabs>
              <w:spacing w:after="0" w:line="240" w:lineRule="auto"/>
              <w:jc w:val="both"/>
              <w:rPr>
                <w:rFonts w:ascii="Times New Roman" w:hAnsi="Times New Roman"/>
                <w:b/>
                <w:sz w:val="24"/>
                <w:szCs w:val="24"/>
              </w:rPr>
            </w:pPr>
            <w:r w:rsidRPr="00385835">
              <w:rPr>
                <w:rFonts w:ascii="Times New Roman" w:hAnsi="Times New Roman"/>
                <w:sz w:val="24"/>
                <w:szCs w:val="24"/>
              </w:rPr>
              <w:t>- Vandens transporto infrastruktūros techninių parametrų stebėsenos ir kontrolės sistemų modernizavimas ir diegimas Klaipėdos valstybiniame jūrų uoste.</w:t>
            </w:r>
          </w:p>
          <w:p w:rsidR="00490E07" w:rsidRDefault="00385835" w:rsidP="00650E41">
            <w:pPr>
              <w:widowControl w:val="0"/>
              <w:numPr>
                <w:ilvl w:val="0"/>
                <w:numId w:val="13"/>
              </w:numPr>
              <w:tabs>
                <w:tab w:val="left" w:pos="459"/>
              </w:tabs>
              <w:spacing w:after="0" w:line="240" w:lineRule="auto"/>
              <w:ind w:left="34" w:firstLine="0"/>
              <w:jc w:val="both"/>
              <w:rPr>
                <w:rFonts w:ascii="Times New Roman" w:hAnsi="Times New Roman"/>
                <w:sz w:val="24"/>
                <w:szCs w:val="24"/>
              </w:rPr>
            </w:pPr>
            <w:r w:rsidRPr="00490E07">
              <w:rPr>
                <w:rFonts w:ascii="Times New Roman" w:hAnsi="Times New Roman"/>
                <w:sz w:val="24"/>
                <w:szCs w:val="24"/>
              </w:rPr>
              <w:t>Oro transporto srityje investicijos bus nukreiptos į pagrindinio TEN</w:t>
            </w:r>
            <w:proofErr w:type="gramStart"/>
            <w:r w:rsidRPr="00490E07">
              <w:rPr>
                <w:rFonts w:ascii="Times New Roman" w:hAnsi="Times New Roman"/>
                <w:sz w:val="24"/>
                <w:szCs w:val="24"/>
              </w:rPr>
              <w:t>-</w:t>
            </w:r>
            <w:proofErr w:type="gramEnd"/>
            <w:r w:rsidRPr="00490E07">
              <w:rPr>
                <w:rFonts w:ascii="Times New Roman" w:hAnsi="Times New Roman"/>
                <w:sz w:val="24"/>
                <w:szCs w:val="24"/>
              </w:rPr>
              <w:t xml:space="preserve">T tinklo (angl. </w:t>
            </w:r>
            <w:r w:rsidRPr="00490E07">
              <w:rPr>
                <w:rFonts w:ascii="Times New Roman" w:hAnsi="Times New Roman"/>
                <w:i/>
                <w:sz w:val="24"/>
                <w:szCs w:val="24"/>
              </w:rPr>
              <w:t>TEN</w:t>
            </w:r>
            <w:proofErr w:type="gramStart"/>
            <w:r w:rsidRPr="00490E07">
              <w:rPr>
                <w:rFonts w:ascii="Times New Roman" w:hAnsi="Times New Roman"/>
                <w:i/>
                <w:sz w:val="24"/>
                <w:szCs w:val="24"/>
              </w:rPr>
              <w:t>-</w:t>
            </w:r>
            <w:proofErr w:type="gramEnd"/>
            <w:r w:rsidRPr="00490E07">
              <w:rPr>
                <w:rFonts w:ascii="Times New Roman" w:hAnsi="Times New Roman"/>
                <w:i/>
                <w:sz w:val="24"/>
                <w:szCs w:val="24"/>
              </w:rPr>
              <w:t>T core network</w:t>
            </w:r>
            <w:r w:rsidRPr="00490E07">
              <w:rPr>
                <w:rFonts w:ascii="Times New Roman" w:hAnsi="Times New Roman"/>
                <w:sz w:val="24"/>
                <w:szCs w:val="24"/>
              </w:rPr>
              <w:t>) oro uostą, siekiant gerinti infrastruktūrą didinant saugumo parametrus ir mažinant neigiamą poveikį aplinkai</w:t>
            </w:r>
            <w:r w:rsidR="00490E07" w:rsidRPr="00490E07">
              <w:rPr>
                <w:rFonts w:ascii="Times New Roman" w:hAnsi="Times New Roman"/>
                <w:sz w:val="24"/>
                <w:szCs w:val="24"/>
              </w:rPr>
              <w:t>.</w:t>
            </w:r>
            <w:r w:rsidRPr="00490E07">
              <w:rPr>
                <w:rFonts w:ascii="Times New Roman" w:hAnsi="Times New Roman"/>
                <w:sz w:val="24"/>
                <w:szCs w:val="24"/>
              </w:rPr>
              <w:t xml:space="preserve"> </w:t>
            </w:r>
          </w:p>
          <w:p w:rsidR="00490E07" w:rsidRDefault="00490E07" w:rsidP="00490E07">
            <w:pPr>
              <w:widowControl w:val="0"/>
              <w:tabs>
                <w:tab w:val="left" w:pos="459"/>
              </w:tabs>
              <w:spacing w:after="0" w:line="240" w:lineRule="auto"/>
              <w:ind w:left="34" w:firstLine="567"/>
              <w:jc w:val="both"/>
              <w:rPr>
                <w:rFonts w:ascii="Times New Roman" w:hAnsi="Times New Roman"/>
                <w:sz w:val="24"/>
                <w:szCs w:val="24"/>
              </w:rPr>
            </w:pPr>
            <w:r>
              <w:rPr>
                <w:rFonts w:ascii="Times New Roman" w:hAnsi="Times New Roman"/>
                <w:sz w:val="24"/>
                <w:szCs w:val="24"/>
              </w:rPr>
              <w:t>Šioje srityje numatomos investicijos į s</w:t>
            </w:r>
            <w:r w:rsidR="00385835" w:rsidRPr="00490E07">
              <w:rPr>
                <w:rFonts w:ascii="Times New Roman" w:hAnsi="Times New Roman"/>
                <w:sz w:val="24"/>
                <w:szCs w:val="24"/>
              </w:rPr>
              <w:t>krydžių saugą ir aviacijos saugumą didinančios infrastruktūros (</w:t>
            </w:r>
            <w:r w:rsidR="00686878" w:rsidRPr="00490E07">
              <w:rPr>
                <w:rFonts w:ascii="Times New Roman" w:hAnsi="Times New Roman"/>
                <w:sz w:val="24"/>
                <w:szCs w:val="24"/>
              </w:rPr>
              <w:t>pavyzdžiui</w:t>
            </w:r>
            <w:r w:rsidR="00385835" w:rsidRPr="00490E07">
              <w:rPr>
                <w:rFonts w:ascii="Times New Roman" w:hAnsi="Times New Roman"/>
                <w:sz w:val="24"/>
                <w:szCs w:val="24"/>
              </w:rPr>
              <w:t>, stovėjimo perono su šoninėmis saugos juostomis, apšvietimo, eksploatacinio aptarnavimo kelio) ir įrangos bei skrydžių valdymo įrangos diegim</w:t>
            </w:r>
            <w:r>
              <w:rPr>
                <w:rFonts w:ascii="Times New Roman" w:hAnsi="Times New Roman"/>
                <w:sz w:val="24"/>
                <w:szCs w:val="24"/>
              </w:rPr>
              <w:t>ą</w:t>
            </w:r>
            <w:r w:rsidR="00385835" w:rsidRPr="00490E07">
              <w:rPr>
                <w:rFonts w:ascii="Times New Roman" w:hAnsi="Times New Roman"/>
                <w:sz w:val="24"/>
                <w:szCs w:val="24"/>
              </w:rPr>
              <w:t xml:space="preserve"> arba modernizavim</w:t>
            </w:r>
            <w:r>
              <w:rPr>
                <w:rFonts w:ascii="Times New Roman" w:hAnsi="Times New Roman"/>
                <w:sz w:val="24"/>
                <w:szCs w:val="24"/>
              </w:rPr>
              <w:t>ą</w:t>
            </w:r>
            <w:r w:rsidR="00385835" w:rsidRPr="00490E07">
              <w:rPr>
                <w:rFonts w:ascii="Times New Roman" w:hAnsi="Times New Roman"/>
                <w:sz w:val="24"/>
                <w:szCs w:val="24"/>
              </w:rPr>
              <w:t xml:space="preserve"> (įskaitant naujausių technologijų, diegiant SESAR, užtikrinimą). </w:t>
            </w:r>
          </w:p>
          <w:p w:rsidR="00385835" w:rsidRPr="00490E07" w:rsidRDefault="00385835" w:rsidP="00490E07">
            <w:pPr>
              <w:widowControl w:val="0"/>
              <w:tabs>
                <w:tab w:val="left" w:pos="459"/>
              </w:tabs>
              <w:spacing w:after="0" w:line="240" w:lineRule="auto"/>
              <w:ind w:left="34" w:firstLine="567"/>
              <w:jc w:val="both"/>
              <w:rPr>
                <w:rFonts w:ascii="Times New Roman" w:hAnsi="Times New Roman"/>
                <w:sz w:val="24"/>
                <w:szCs w:val="24"/>
              </w:rPr>
            </w:pPr>
            <w:r w:rsidRPr="00490E07">
              <w:rPr>
                <w:rFonts w:ascii="Times New Roman" w:hAnsi="Times New Roman"/>
                <w:sz w:val="24"/>
                <w:szCs w:val="24"/>
              </w:rPr>
              <w:t>T</w:t>
            </w:r>
            <w:r w:rsidR="00490E07">
              <w:rPr>
                <w:rFonts w:ascii="Times New Roman" w:hAnsi="Times New Roman"/>
                <w:sz w:val="24"/>
                <w:szCs w:val="24"/>
              </w:rPr>
              <w:t>aip pat bus atliekamas t</w:t>
            </w:r>
            <w:r w:rsidRPr="00490E07">
              <w:rPr>
                <w:rFonts w:ascii="Times New Roman" w:hAnsi="Times New Roman"/>
                <w:sz w:val="24"/>
                <w:szCs w:val="24"/>
              </w:rPr>
              <w:t>rūkstamų riedėjimo takų įrengimas, skirtas sumažinti orlaivių manevravimo trukmę ir esamų kilimo–tūpimo bei riedėjimų takų techninių parametrų pagerinimas, kuris sumažins skleidžiamą aviacijos triukšmą.</w:t>
            </w:r>
          </w:p>
          <w:p w:rsidR="00385835" w:rsidRPr="00385835" w:rsidRDefault="00385835" w:rsidP="00650E41">
            <w:pPr>
              <w:widowControl w:val="0"/>
              <w:numPr>
                <w:ilvl w:val="0"/>
                <w:numId w:val="68"/>
              </w:numPr>
              <w:tabs>
                <w:tab w:val="left" w:pos="459"/>
              </w:tabs>
              <w:spacing w:after="0" w:line="240" w:lineRule="auto"/>
              <w:ind w:left="34"/>
              <w:jc w:val="both"/>
              <w:rPr>
                <w:rFonts w:ascii="Times New Roman" w:hAnsi="Times New Roman"/>
                <w:sz w:val="24"/>
                <w:szCs w:val="24"/>
              </w:rPr>
            </w:pPr>
            <w:r w:rsidRPr="00385835">
              <w:rPr>
                <w:rFonts w:ascii="Times New Roman" w:hAnsi="Times New Roman"/>
                <w:sz w:val="24"/>
                <w:szCs w:val="24"/>
              </w:rPr>
              <w:t>Skirtingų transporto rūšių sąveikos efektyvumą didinančios infrastruktūros (įskaitant multimodalinio transporto terminalus) projektavimas ir statyba:</w:t>
            </w:r>
          </w:p>
          <w:p w:rsidR="00385835" w:rsidRPr="00385835" w:rsidRDefault="00385835" w:rsidP="00385835">
            <w:pPr>
              <w:widowControl w:val="0"/>
              <w:tabs>
                <w:tab w:val="left" w:pos="459"/>
              </w:tabs>
              <w:spacing w:after="0" w:line="240" w:lineRule="auto"/>
              <w:jc w:val="both"/>
              <w:rPr>
                <w:rFonts w:ascii="Times New Roman" w:eastAsia="AngsanaUPC" w:hAnsi="Times New Roman"/>
                <w:bCs/>
                <w:iCs/>
                <w:sz w:val="24"/>
                <w:szCs w:val="24"/>
                <w:lang w:eastAsia="lt-LT"/>
              </w:rPr>
            </w:pPr>
            <w:r w:rsidRPr="00385835">
              <w:rPr>
                <w:rFonts w:ascii="Times New Roman" w:hAnsi="Times New Roman"/>
                <w:sz w:val="24"/>
                <w:szCs w:val="24"/>
              </w:rPr>
              <w:t>- jūrų ir geležinkelių transporto sąveikos efektyvumo didinimas jūrų uoste, modernizuojant geležinkelių transporto mazgą (konteinerinių terminalų ir technologijų įrengimas Klaipėdos valstybinio jūrų uosto prieigose, kur būtų konsoliduojami srautai iš visų terminalų ir įgyvendinama šaudyklinių traukinių koncepcija).</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i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746"/>
      </w:tblGrid>
      <w:tr w:rsidR="00385835" w:rsidRPr="00385835" w:rsidTr="00385835">
        <w:tc>
          <w:tcPr>
            <w:tcW w:w="9746"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i/>
                <w:iCs/>
                <w:sz w:val="24"/>
                <w:szCs w:val="24"/>
                <w:lang w:eastAsia="lt-LT"/>
              </w:rPr>
              <w:lastRenderedPageBreak/>
              <w:t>Didelės apimties projektai</w:t>
            </w:r>
          </w:p>
        </w:tc>
      </w:tr>
      <w:tr w:rsidR="00385835" w:rsidRPr="00385835" w:rsidTr="00385835">
        <w:tc>
          <w:tcPr>
            <w:tcW w:w="9746" w:type="dxa"/>
            <w:shd w:val="clear" w:color="auto" w:fill="auto"/>
          </w:tcPr>
          <w:p w:rsidR="000C097A" w:rsidRDefault="000C097A" w:rsidP="000C097A">
            <w:pPr>
              <w:widowControl w:val="0"/>
              <w:tabs>
                <w:tab w:val="left" w:pos="622"/>
              </w:tabs>
              <w:spacing w:after="0" w:line="240" w:lineRule="auto"/>
              <w:ind w:firstLine="624"/>
              <w:jc w:val="both"/>
              <w:rPr>
                <w:rFonts w:ascii="Times New Roman" w:hAnsi="Times New Roman"/>
                <w:color w:val="000000"/>
                <w:sz w:val="24"/>
                <w:szCs w:val="24"/>
                <w:lang w:eastAsia="lt-LT"/>
              </w:rPr>
            </w:pPr>
            <w:r w:rsidRPr="000C097A">
              <w:rPr>
                <w:rFonts w:ascii="Times New Roman" w:hAnsi="Times New Roman"/>
                <w:bCs/>
                <w:color w:val="000000"/>
                <w:sz w:val="24"/>
                <w:szCs w:val="24"/>
                <w:lang w:eastAsia="lt-LT"/>
              </w:rPr>
              <w:t>Vilniaus vakarinis aplinkkelis (III etapas) yra labai svarbus</w:t>
            </w:r>
            <w:r w:rsidR="008277F9">
              <w:rPr>
                <w:rFonts w:ascii="Times New Roman" w:hAnsi="Times New Roman"/>
                <w:bCs/>
                <w:color w:val="000000"/>
                <w:sz w:val="24"/>
                <w:szCs w:val="24"/>
                <w:lang w:eastAsia="lt-LT"/>
              </w:rPr>
              <w:t>,</w:t>
            </w:r>
            <w:r w:rsidRPr="000C097A">
              <w:rPr>
                <w:rFonts w:ascii="Times New Roman" w:hAnsi="Times New Roman"/>
                <w:bCs/>
                <w:color w:val="000000"/>
                <w:sz w:val="24"/>
                <w:szCs w:val="24"/>
                <w:lang w:eastAsia="lt-LT"/>
              </w:rPr>
              <w:t xml:space="preserve"> nukreipiant automobilių transporto tranzitinius srautus nuo sostinės centrinės dalies ir suformuojant patogias Vilniaus miesto kelių transporto sistemos jungtis su TEN</w:t>
            </w:r>
            <w:proofErr w:type="gramStart"/>
            <w:r w:rsidRPr="000C097A">
              <w:rPr>
                <w:rFonts w:ascii="Times New Roman" w:hAnsi="Times New Roman"/>
                <w:bCs/>
                <w:color w:val="000000"/>
                <w:sz w:val="24"/>
                <w:szCs w:val="24"/>
                <w:lang w:eastAsia="lt-LT"/>
              </w:rPr>
              <w:t>-</w:t>
            </w:r>
            <w:proofErr w:type="gramEnd"/>
            <w:r w:rsidRPr="000C097A">
              <w:rPr>
                <w:rFonts w:ascii="Times New Roman" w:hAnsi="Times New Roman"/>
                <w:bCs/>
                <w:color w:val="000000"/>
                <w:sz w:val="24"/>
                <w:szCs w:val="24"/>
                <w:lang w:eastAsia="lt-LT"/>
              </w:rPr>
              <w:t>T tinklu.</w:t>
            </w:r>
            <w:r>
              <w:rPr>
                <w:rFonts w:ascii="Times New Roman" w:hAnsi="Times New Roman"/>
                <w:bCs/>
                <w:color w:val="000000"/>
                <w:sz w:val="24"/>
                <w:szCs w:val="24"/>
                <w:lang w:eastAsia="lt-LT"/>
              </w:rPr>
              <w:t xml:space="preserve"> </w:t>
            </w:r>
            <w:r w:rsidRPr="000C097A">
              <w:rPr>
                <w:rFonts w:ascii="Times New Roman" w:hAnsi="Times New Roman"/>
                <w:bCs/>
                <w:color w:val="000000"/>
                <w:sz w:val="24"/>
                <w:szCs w:val="24"/>
                <w:lang w:eastAsia="lt-LT"/>
              </w:rPr>
              <w:t>Šis aplinkkelis ne</w:t>
            </w:r>
            <w:r>
              <w:rPr>
                <w:rFonts w:ascii="Times New Roman" w:hAnsi="Times New Roman"/>
                <w:bCs/>
                <w:color w:val="000000"/>
                <w:sz w:val="24"/>
                <w:szCs w:val="24"/>
                <w:lang w:eastAsia="lt-LT"/>
              </w:rPr>
              <w:t xml:space="preserve"> </w:t>
            </w:r>
            <w:r w:rsidRPr="000C097A">
              <w:rPr>
                <w:rFonts w:ascii="Times New Roman" w:hAnsi="Times New Roman"/>
                <w:bCs/>
                <w:color w:val="000000"/>
                <w:sz w:val="24"/>
                <w:szCs w:val="24"/>
                <w:lang w:eastAsia="lt-LT"/>
              </w:rPr>
              <w:t>tik prisidės prie transporto spūsčių TEN-T tinkle mažinimo, bet ir prie eismo įvykių, triukšmo, neigiamo poveikio aplinkai mažinimo ir pagerins kelių (gatvių)  infrastruktūrą šiaurė</w:t>
            </w:r>
            <w:r w:rsidR="00AE6C76">
              <w:rPr>
                <w:rFonts w:ascii="Times New Roman" w:hAnsi="Times New Roman"/>
                <w:bCs/>
                <w:color w:val="000000"/>
                <w:sz w:val="24"/>
                <w:szCs w:val="24"/>
                <w:lang w:eastAsia="lt-LT"/>
              </w:rPr>
              <w:t>s</w:t>
            </w:r>
            <w:r w:rsidRPr="000C097A">
              <w:rPr>
                <w:rFonts w:ascii="Times New Roman" w:hAnsi="Times New Roman"/>
                <w:bCs/>
                <w:color w:val="000000"/>
                <w:sz w:val="24"/>
                <w:szCs w:val="24"/>
                <w:lang w:eastAsia="lt-LT"/>
              </w:rPr>
              <w:t>–vakarų metropolinėje Vilniaus miesto teritorijoje</w:t>
            </w:r>
            <w:r w:rsidRPr="000C097A">
              <w:rPr>
                <w:rFonts w:ascii="Times New Roman" w:hAnsi="Times New Roman"/>
                <w:color w:val="000000"/>
                <w:sz w:val="24"/>
                <w:szCs w:val="24"/>
                <w:lang w:eastAsia="lt-LT"/>
              </w:rPr>
              <w:t>.</w:t>
            </w:r>
          </w:p>
          <w:p w:rsidR="00ED11F4" w:rsidRPr="008F339D" w:rsidRDefault="00ED11F4" w:rsidP="008F339D">
            <w:pPr>
              <w:widowControl w:val="0"/>
              <w:tabs>
                <w:tab w:val="left" w:pos="622"/>
              </w:tabs>
              <w:spacing w:after="0" w:line="240" w:lineRule="auto"/>
              <w:ind w:firstLine="624"/>
              <w:jc w:val="both"/>
              <w:rPr>
                <w:rFonts w:ascii="Times New Roman" w:hAnsi="Times New Roman"/>
                <w:bCs/>
                <w:iCs/>
                <w:color w:val="000000"/>
                <w:sz w:val="24"/>
                <w:szCs w:val="24"/>
                <w:lang w:eastAsia="lt-LT"/>
              </w:rPr>
            </w:pPr>
            <w:r w:rsidRPr="00ED11F4">
              <w:rPr>
                <w:rFonts w:ascii="Times New Roman" w:hAnsi="Times New Roman"/>
                <w:bCs/>
                <w:iCs/>
                <w:color w:val="000000"/>
                <w:sz w:val="24"/>
                <w:szCs w:val="24"/>
                <w:lang w:eastAsia="lt-LT"/>
              </w:rPr>
              <w:t xml:space="preserve">Geležinkelių ruožai Kaišiadorys–Radviliškis ir Radviliškis–Klaipėda elektrifikuojami siekiant pereiti nuo iškastinio kuro prie atsinaujinančių energijos išteklių naudojimo geležinkelių transporto sektoriuje, sumažinti neigiamą poveikį aplinkai ir padidinti geležinkelių transporto patrauklumą keleiviams, kroviniams vežti naudojant </w:t>
            </w:r>
            <w:r w:rsidR="008F339D">
              <w:rPr>
                <w:rFonts w:ascii="Times New Roman" w:hAnsi="Times New Roman"/>
                <w:bCs/>
                <w:iCs/>
                <w:color w:val="000000"/>
                <w:sz w:val="24"/>
                <w:szCs w:val="24"/>
                <w:lang w:eastAsia="lt-LT"/>
              </w:rPr>
              <w:t>aplinką tausojančias priemones.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567"/>
        <w:gridCol w:w="2835"/>
        <w:gridCol w:w="1134"/>
        <w:gridCol w:w="783"/>
        <w:gridCol w:w="1119"/>
        <w:gridCol w:w="933"/>
        <w:gridCol w:w="1134"/>
        <w:gridCol w:w="1241"/>
      </w:tblGrid>
      <w:tr w:rsidR="00385835" w:rsidRPr="00385835" w:rsidTr="00385835">
        <w:tc>
          <w:tcPr>
            <w:tcW w:w="9746" w:type="dxa"/>
            <w:gridSpan w:val="8"/>
            <w:shd w:val="clear" w:color="auto" w:fill="EEECE1"/>
          </w:tcPr>
          <w:p w:rsidR="00385835" w:rsidRPr="00385835" w:rsidRDefault="00385835" w:rsidP="00B1109C">
            <w:pPr>
              <w:widowControl w:val="0"/>
              <w:tabs>
                <w:tab w:val="left" w:pos="622"/>
              </w:tabs>
              <w:spacing w:after="0" w:line="240" w:lineRule="auto"/>
              <w:jc w:val="both"/>
              <w:rPr>
                <w:rFonts w:ascii="Times New Roman" w:eastAsia="AngsanaUPC" w:hAnsi="Times New Roman"/>
                <w:b/>
                <w:bCs/>
                <w:i/>
                <w:iCs/>
                <w:sz w:val="24"/>
                <w:szCs w:val="24"/>
                <w:lang w:eastAsia="lt-LT"/>
              </w:rPr>
            </w:pPr>
            <w:r w:rsidRPr="00385835">
              <w:rPr>
                <w:rFonts w:ascii="Times New Roman" w:eastAsia="AngsanaUPC" w:hAnsi="Times New Roman"/>
                <w:b/>
                <w:bCs/>
                <w:i/>
                <w:iCs/>
                <w:sz w:val="24"/>
                <w:szCs w:val="24"/>
                <w:lang w:eastAsia="lt-LT"/>
              </w:rPr>
              <w:t xml:space="preserve">SaF bendrieji ir </w:t>
            </w:r>
            <w:r w:rsidR="00B1109C">
              <w:rPr>
                <w:rFonts w:ascii="Times New Roman" w:eastAsia="AngsanaUPC" w:hAnsi="Times New Roman"/>
                <w:b/>
                <w:bCs/>
                <w:i/>
                <w:iCs/>
                <w:sz w:val="24"/>
                <w:szCs w:val="24"/>
                <w:lang w:eastAsia="lt-LT"/>
              </w:rPr>
              <w:t xml:space="preserve">specialieji programos </w:t>
            </w:r>
            <w:r w:rsidRPr="00385835">
              <w:rPr>
                <w:rFonts w:ascii="Times New Roman" w:eastAsia="AngsanaUPC" w:hAnsi="Times New Roman"/>
                <w:b/>
                <w:bCs/>
                <w:i/>
                <w:iCs/>
                <w:sz w:val="24"/>
                <w:szCs w:val="24"/>
                <w:lang w:eastAsia="lt-LT"/>
              </w:rPr>
              <w:t xml:space="preserve">produkto rodikliai </w:t>
            </w:r>
          </w:p>
        </w:tc>
      </w:tr>
      <w:tr w:rsidR="00385835" w:rsidRPr="00385835" w:rsidTr="00463952">
        <w:tblPrEx>
          <w:shd w:val="clear" w:color="auto" w:fill="auto"/>
        </w:tblPrEx>
        <w:tc>
          <w:tcPr>
            <w:tcW w:w="567"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Nr.</w:t>
            </w:r>
          </w:p>
        </w:tc>
        <w:tc>
          <w:tcPr>
            <w:tcW w:w="2835"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Rodiklio pavadinimas</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Matavimo vienetas</w:t>
            </w:r>
          </w:p>
        </w:tc>
        <w:tc>
          <w:tcPr>
            <w:tcW w:w="783"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Fondas</w:t>
            </w:r>
          </w:p>
        </w:tc>
        <w:tc>
          <w:tcPr>
            <w:tcW w:w="1119"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Regiono kategorija</w:t>
            </w:r>
          </w:p>
        </w:tc>
        <w:tc>
          <w:tcPr>
            <w:tcW w:w="933"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Siektina reikšmė (2023)</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Duomenų šaltinis</w:t>
            </w:r>
          </w:p>
        </w:tc>
        <w:tc>
          <w:tcPr>
            <w:tcW w:w="124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Atsiskaitymo dažnumas</w:t>
            </w:r>
          </w:p>
        </w:tc>
      </w:tr>
      <w:tr w:rsidR="00DC55B6" w:rsidRPr="00463952" w:rsidTr="00463952">
        <w:tblPrEx>
          <w:shd w:val="clear" w:color="auto" w:fill="auto"/>
        </w:tblPrEx>
        <w:tc>
          <w:tcPr>
            <w:tcW w:w="567" w:type="dxa"/>
            <w:shd w:val="clear" w:color="auto" w:fill="auto"/>
            <w:vAlign w:val="center"/>
          </w:tcPr>
          <w:p w:rsidR="00DC55B6" w:rsidRPr="00463952" w:rsidRDefault="00DC55B6"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463952">
              <w:rPr>
                <w:rFonts w:ascii="Times New Roman" w:eastAsia="AngsanaUPC" w:hAnsi="Times New Roman"/>
                <w:bCs/>
                <w:iCs/>
                <w:sz w:val="18"/>
                <w:szCs w:val="18"/>
                <w:lang w:eastAsia="lt-LT"/>
              </w:rPr>
              <w:t>1.</w:t>
            </w:r>
          </w:p>
        </w:tc>
        <w:tc>
          <w:tcPr>
            <w:tcW w:w="2835" w:type="dxa"/>
            <w:shd w:val="clear" w:color="auto" w:fill="auto"/>
            <w:vAlign w:val="center"/>
          </w:tcPr>
          <w:p w:rsidR="00DC55B6" w:rsidRPr="00463952" w:rsidRDefault="00DC55B6" w:rsidP="00DC55B6">
            <w:pPr>
              <w:widowControl w:val="0"/>
              <w:tabs>
                <w:tab w:val="left" w:pos="622"/>
              </w:tabs>
              <w:spacing w:after="0" w:line="240" w:lineRule="auto"/>
              <w:rPr>
                <w:rFonts w:ascii="Times New Roman" w:eastAsia="AngsanaUPC" w:hAnsi="Times New Roman"/>
                <w:bCs/>
                <w:iCs/>
                <w:sz w:val="18"/>
                <w:szCs w:val="18"/>
                <w:lang w:eastAsia="lt-LT"/>
              </w:rPr>
            </w:pPr>
            <w:r w:rsidRPr="00463952">
              <w:rPr>
                <w:rFonts w:ascii="Times New Roman" w:eastAsia="AngsanaUPC" w:hAnsi="Times New Roman"/>
                <w:bCs/>
                <w:iCs/>
                <w:sz w:val="18"/>
                <w:szCs w:val="18"/>
                <w:lang w:eastAsia="lt-LT"/>
              </w:rPr>
              <w:t>Bendras rekonstruotų arba atnaujintų geležinkelio TEN</w:t>
            </w:r>
            <w:proofErr w:type="gramStart"/>
            <w:r w:rsidRPr="00463952">
              <w:rPr>
                <w:rFonts w:ascii="Times New Roman" w:eastAsia="AngsanaUPC" w:hAnsi="Times New Roman"/>
                <w:bCs/>
                <w:iCs/>
                <w:sz w:val="18"/>
                <w:szCs w:val="18"/>
                <w:lang w:eastAsia="lt-LT"/>
              </w:rPr>
              <w:t>-</w:t>
            </w:r>
            <w:proofErr w:type="gramEnd"/>
            <w:r w:rsidRPr="00463952">
              <w:rPr>
                <w:rFonts w:ascii="Times New Roman" w:eastAsia="AngsanaUPC" w:hAnsi="Times New Roman"/>
                <w:bCs/>
                <w:iCs/>
                <w:sz w:val="18"/>
                <w:szCs w:val="18"/>
                <w:lang w:eastAsia="lt-LT"/>
              </w:rPr>
              <w:t>T tinkle linijų ilgis</w:t>
            </w:r>
          </w:p>
        </w:tc>
        <w:tc>
          <w:tcPr>
            <w:tcW w:w="1134" w:type="dxa"/>
            <w:shd w:val="clear" w:color="auto" w:fill="auto"/>
            <w:vAlign w:val="center"/>
          </w:tcPr>
          <w:p w:rsidR="00DC55B6" w:rsidRPr="00463952" w:rsidRDefault="00DC55B6"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463952">
              <w:rPr>
                <w:rFonts w:ascii="Times New Roman" w:eastAsia="AngsanaUPC" w:hAnsi="Times New Roman"/>
                <w:bCs/>
                <w:iCs/>
                <w:sz w:val="18"/>
                <w:szCs w:val="18"/>
                <w:lang w:eastAsia="lt-LT"/>
              </w:rPr>
              <w:t>Km</w:t>
            </w:r>
          </w:p>
        </w:tc>
        <w:tc>
          <w:tcPr>
            <w:tcW w:w="783" w:type="dxa"/>
            <w:shd w:val="clear" w:color="auto" w:fill="auto"/>
            <w:vAlign w:val="center"/>
          </w:tcPr>
          <w:p w:rsidR="00DC55B6" w:rsidRPr="00463952" w:rsidRDefault="00DC55B6"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463952">
              <w:rPr>
                <w:rFonts w:ascii="Times New Roman" w:eastAsia="AngsanaUPC" w:hAnsi="Times New Roman"/>
                <w:bCs/>
                <w:iCs/>
                <w:sz w:val="18"/>
                <w:szCs w:val="18"/>
                <w:lang w:eastAsia="lt-LT"/>
              </w:rPr>
              <w:t>SaF</w:t>
            </w:r>
          </w:p>
        </w:tc>
        <w:tc>
          <w:tcPr>
            <w:tcW w:w="1119" w:type="dxa"/>
            <w:shd w:val="clear" w:color="auto" w:fill="auto"/>
            <w:vAlign w:val="center"/>
          </w:tcPr>
          <w:p w:rsidR="00DC55B6" w:rsidRPr="00463952" w:rsidRDefault="00DC55B6" w:rsidP="00385835">
            <w:pPr>
              <w:spacing w:after="0" w:line="240" w:lineRule="auto"/>
              <w:jc w:val="center"/>
              <w:rPr>
                <w:sz w:val="18"/>
                <w:szCs w:val="18"/>
              </w:rPr>
            </w:pPr>
            <w:r w:rsidRPr="00463952">
              <w:rPr>
                <w:rFonts w:ascii="Times New Roman" w:eastAsia="AngsanaUPC" w:hAnsi="Times New Roman"/>
                <w:bCs/>
                <w:sz w:val="18"/>
                <w:szCs w:val="18"/>
                <w:lang w:eastAsia="lt-LT"/>
              </w:rPr>
              <w:t>–</w:t>
            </w:r>
          </w:p>
        </w:tc>
        <w:tc>
          <w:tcPr>
            <w:tcW w:w="933" w:type="dxa"/>
            <w:shd w:val="clear" w:color="auto" w:fill="auto"/>
            <w:vAlign w:val="center"/>
          </w:tcPr>
          <w:p w:rsidR="00DC55B6" w:rsidRPr="00FC6264" w:rsidRDefault="005464A7"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eastAsia="AngsanaUPC" w:hAnsi="Times New Roman"/>
                <w:bCs/>
                <w:iCs/>
                <w:sz w:val="18"/>
                <w:szCs w:val="18"/>
                <w:lang w:eastAsia="lt-LT"/>
              </w:rPr>
              <w:t>339</w:t>
            </w:r>
          </w:p>
        </w:tc>
        <w:tc>
          <w:tcPr>
            <w:tcW w:w="1134" w:type="dxa"/>
            <w:shd w:val="clear" w:color="auto" w:fill="auto"/>
            <w:vAlign w:val="center"/>
          </w:tcPr>
          <w:p w:rsidR="00DC55B6" w:rsidRPr="00463952" w:rsidRDefault="00DC55B6"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463952">
              <w:rPr>
                <w:rFonts w:ascii="Times New Roman" w:eastAsia="AngsanaUPC" w:hAnsi="Times New Roman"/>
                <w:bCs/>
                <w:iCs/>
                <w:sz w:val="18"/>
                <w:szCs w:val="18"/>
                <w:lang w:eastAsia="lt-LT"/>
              </w:rPr>
              <w:t>Duomenys iš projektų</w:t>
            </w:r>
          </w:p>
        </w:tc>
        <w:tc>
          <w:tcPr>
            <w:tcW w:w="1241" w:type="dxa"/>
            <w:shd w:val="clear" w:color="auto" w:fill="auto"/>
            <w:vAlign w:val="center"/>
          </w:tcPr>
          <w:p w:rsidR="00DC55B6" w:rsidRPr="00463952" w:rsidRDefault="00DC55B6"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463952">
              <w:rPr>
                <w:rFonts w:ascii="Times New Roman" w:eastAsia="AngsanaUPC" w:hAnsi="Times New Roman"/>
                <w:bCs/>
                <w:iCs/>
                <w:sz w:val="18"/>
                <w:szCs w:val="18"/>
                <w:lang w:eastAsia="lt-LT"/>
              </w:rPr>
              <w:t>Kartą per metus</w:t>
            </w:r>
          </w:p>
        </w:tc>
      </w:tr>
      <w:tr w:rsidR="00DC55B6" w:rsidRPr="00463952" w:rsidTr="00463952">
        <w:tblPrEx>
          <w:shd w:val="clear" w:color="auto" w:fill="auto"/>
        </w:tblPrEx>
        <w:tc>
          <w:tcPr>
            <w:tcW w:w="567" w:type="dxa"/>
            <w:shd w:val="clear" w:color="auto" w:fill="auto"/>
            <w:vAlign w:val="center"/>
          </w:tcPr>
          <w:p w:rsidR="00DC55B6" w:rsidRPr="00463952" w:rsidRDefault="00DC55B6"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463952">
              <w:rPr>
                <w:rFonts w:ascii="Times New Roman" w:eastAsia="AngsanaUPC" w:hAnsi="Times New Roman"/>
                <w:bCs/>
                <w:iCs/>
                <w:sz w:val="18"/>
                <w:szCs w:val="18"/>
                <w:lang w:eastAsia="lt-LT"/>
              </w:rPr>
              <w:t>2.</w:t>
            </w:r>
          </w:p>
        </w:tc>
        <w:tc>
          <w:tcPr>
            <w:tcW w:w="2835" w:type="dxa"/>
            <w:shd w:val="clear" w:color="auto" w:fill="auto"/>
            <w:vAlign w:val="center"/>
          </w:tcPr>
          <w:p w:rsidR="00DC55B6" w:rsidRPr="00463952" w:rsidRDefault="00DC55B6" w:rsidP="00DC55B6">
            <w:pPr>
              <w:widowControl w:val="0"/>
              <w:tabs>
                <w:tab w:val="left" w:pos="622"/>
              </w:tabs>
              <w:spacing w:after="0" w:line="240" w:lineRule="auto"/>
              <w:rPr>
                <w:rFonts w:ascii="Times New Roman" w:eastAsia="AngsanaUPC" w:hAnsi="Times New Roman"/>
                <w:bCs/>
                <w:iCs/>
                <w:sz w:val="18"/>
                <w:szCs w:val="18"/>
                <w:lang w:eastAsia="lt-LT"/>
              </w:rPr>
            </w:pPr>
            <w:r w:rsidRPr="00463952">
              <w:rPr>
                <w:rFonts w:ascii="Times New Roman" w:eastAsia="AngsanaUPC" w:hAnsi="Times New Roman"/>
                <w:bCs/>
                <w:iCs/>
                <w:sz w:val="18"/>
                <w:szCs w:val="18"/>
                <w:lang w:eastAsia="lt-LT"/>
              </w:rPr>
              <w:t>Bendras naujai nutiestų kelių TEN</w:t>
            </w:r>
            <w:proofErr w:type="gramStart"/>
            <w:r w:rsidRPr="00463952">
              <w:rPr>
                <w:rFonts w:ascii="Times New Roman" w:eastAsia="AngsanaUPC" w:hAnsi="Times New Roman"/>
                <w:bCs/>
                <w:iCs/>
                <w:sz w:val="18"/>
                <w:szCs w:val="18"/>
                <w:lang w:eastAsia="lt-LT"/>
              </w:rPr>
              <w:t>-</w:t>
            </w:r>
            <w:proofErr w:type="gramEnd"/>
            <w:r w:rsidRPr="00463952">
              <w:rPr>
                <w:rFonts w:ascii="Times New Roman" w:eastAsia="AngsanaUPC" w:hAnsi="Times New Roman"/>
                <w:bCs/>
                <w:iCs/>
                <w:sz w:val="18"/>
                <w:szCs w:val="18"/>
                <w:lang w:eastAsia="lt-LT"/>
              </w:rPr>
              <w:t>T tinkle ilgis</w:t>
            </w:r>
          </w:p>
        </w:tc>
        <w:tc>
          <w:tcPr>
            <w:tcW w:w="1134" w:type="dxa"/>
            <w:shd w:val="clear" w:color="auto" w:fill="auto"/>
            <w:vAlign w:val="center"/>
          </w:tcPr>
          <w:p w:rsidR="00DC55B6" w:rsidRPr="00463952" w:rsidRDefault="00DC55B6"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463952">
              <w:rPr>
                <w:rFonts w:ascii="Times New Roman" w:eastAsia="AngsanaUPC" w:hAnsi="Times New Roman"/>
                <w:bCs/>
                <w:iCs/>
                <w:sz w:val="18"/>
                <w:szCs w:val="18"/>
                <w:lang w:eastAsia="lt-LT"/>
              </w:rPr>
              <w:t>Km</w:t>
            </w:r>
          </w:p>
        </w:tc>
        <w:tc>
          <w:tcPr>
            <w:tcW w:w="783" w:type="dxa"/>
            <w:shd w:val="clear" w:color="auto" w:fill="auto"/>
            <w:vAlign w:val="center"/>
          </w:tcPr>
          <w:p w:rsidR="00DC55B6" w:rsidRPr="00463952" w:rsidRDefault="00DC55B6"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463952">
              <w:rPr>
                <w:rFonts w:ascii="Times New Roman" w:eastAsia="AngsanaUPC" w:hAnsi="Times New Roman"/>
                <w:bCs/>
                <w:iCs/>
                <w:sz w:val="18"/>
                <w:szCs w:val="18"/>
                <w:lang w:eastAsia="lt-LT"/>
              </w:rPr>
              <w:t>SaF</w:t>
            </w:r>
          </w:p>
        </w:tc>
        <w:tc>
          <w:tcPr>
            <w:tcW w:w="1119" w:type="dxa"/>
            <w:shd w:val="clear" w:color="auto" w:fill="auto"/>
            <w:vAlign w:val="center"/>
          </w:tcPr>
          <w:p w:rsidR="00DC55B6" w:rsidRPr="00463952" w:rsidRDefault="00DC55B6" w:rsidP="00385835">
            <w:pPr>
              <w:spacing w:after="0" w:line="240" w:lineRule="auto"/>
              <w:jc w:val="center"/>
              <w:rPr>
                <w:sz w:val="18"/>
                <w:szCs w:val="18"/>
              </w:rPr>
            </w:pPr>
            <w:r w:rsidRPr="00463952">
              <w:rPr>
                <w:rFonts w:ascii="Times New Roman" w:eastAsia="AngsanaUPC" w:hAnsi="Times New Roman"/>
                <w:bCs/>
                <w:sz w:val="18"/>
                <w:szCs w:val="18"/>
                <w:lang w:eastAsia="lt-LT"/>
              </w:rPr>
              <w:t>–</w:t>
            </w:r>
          </w:p>
        </w:tc>
        <w:tc>
          <w:tcPr>
            <w:tcW w:w="933" w:type="dxa"/>
            <w:shd w:val="clear" w:color="auto" w:fill="auto"/>
            <w:vAlign w:val="center"/>
          </w:tcPr>
          <w:p w:rsidR="00DC55B6" w:rsidRPr="00FC6264" w:rsidRDefault="005464A7"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eastAsia="AngsanaUPC" w:hAnsi="Times New Roman"/>
                <w:bCs/>
                <w:iCs/>
                <w:sz w:val="18"/>
                <w:szCs w:val="18"/>
                <w:lang w:eastAsia="lt-LT"/>
              </w:rPr>
              <w:t>7</w:t>
            </w:r>
          </w:p>
        </w:tc>
        <w:tc>
          <w:tcPr>
            <w:tcW w:w="1134" w:type="dxa"/>
            <w:shd w:val="clear" w:color="auto" w:fill="auto"/>
            <w:vAlign w:val="center"/>
          </w:tcPr>
          <w:p w:rsidR="00DC55B6" w:rsidRPr="00463952" w:rsidRDefault="00DC55B6"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463952">
              <w:rPr>
                <w:rFonts w:ascii="Times New Roman" w:eastAsia="AngsanaUPC" w:hAnsi="Times New Roman"/>
                <w:bCs/>
                <w:iCs/>
                <w:sz w:val="18"/>
                <w:szCs w:val="18"/>
                <w:lang w:eastAsia="lt-LT"/>
              </w:rPr>
              <w:t>Duomenys iš projektų</w:t>
            </w:r>
          </w:p>
        </w:tc>
        <w:tc>
          <w:tcPr>
            <w:tcW w:w="1241" w:type="dxa"/>
            <w:shd w:val="clear" w:color="auto" w:fill="auto"/>
            <w:vAlign w:val="center"/>
          </w:tcPr>
          <w:p w:rsidR="00DC55B6" w:rsidRPr="00463952" w:rsidRDefault="00DC55B6"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463952">
              <w:rPr>
                <w:rFonts w:ascii="Times New Roman" w:eastAsia="AngsanaUPC" w:hAnsi="Times New Roman"/>
                <w:bCs/>
                <w:iCs/>
                <w:sz w:val="18"/>
                <w:szCs w:val="18"/>
                <w:lang w:eastAsia="lt-LT"/>
              </w:rPr>
              <w:t>Kartą per metus</w:t>
            </w:r>
          </w:p>
        </w:tc>
      </w:tr>
      <w:tr w:rsidR="00DC55B6" w:rsidRPr="00463952" w:rsidTr="00463952">
        <w:tblPrEx>
          <w:shd w:val="clear" w:color="auto" w:fill="auto"/>
        </w:tblPrEx>
        <w:tc>
          <w:tcPr>
            <w:tcW w:w="567" w:type="dxa"/>
            <w:shd w:val="clear" w:color="auto" w:fill="auto"/>
            <w:vAlign w:val="center"/>
          </w:tcPr>
          <w:p w:rsidR="00DC55B6" w:rsidRPr="00463952" w:rsidRDefault="00DC55B6"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463952">
              <w:rPr>
                <w:rFonts w:ascii="Times New Roman" w:eastAsia="AngsanaUPC" w:hAnsi="Times New Roman"/>
                <w:bCs/>
                <w:iCs/>
                <w:sz w:val="18"/>
                <w:szCs w:val="18"/>
                <w:lang w:eastAsia="lt-LT"/>
              </w:rPr>
              <w:t>3.</w:t>
            </w:r>
          </w:p>
        </w:tc>
        <w:tc>
          <w:tcPr>
            <w:tcW w:w="2835" w:type="dxa"/>
            <w:shd w:val="clear" w:color="auto" w:fill="auto"/>
            <w:vAlign w:val="center"/>
          </w:tcPr>
          <w:p w:rsidR="00DC55B6" w:rsidRPr="00463952" w:rsidRDefault="00DC55B6" w:rsidP="00DC55B6">
            <w:pPr>
              <w:widowControl w:val="0"/>
              <w:tabs>
                <w:tab w:val="left" w:pos="622"/>
              </w:tabs>
              <w:spacing w:after="0" w:line="240" w:lineRule="auto"/>
              <w:rPr>
                <w:rFonts w:ascii="Times New Roman" w:eastAsia="AngsanaUPC" w:hAnsi="Times New Roman"/>
                <w:bCs/>
                <w:iCs/>
                <w:sz w:val="18"/>
                <w:szCs w:val="18"/>
                <w:lang w:eastAsia="lt-LT"/>
              </w:rPr>
            </w:pPr>
            <w:r w:rsidRPr="00463952">
              <w:rPr>
                <w:rFonts w:ascii="Times New Roman" w:eastAsia="AngsanaUPC" w:hAnsi="Times New Roman"/>
                <w:bCs/>
                <w:iCs/>
                <w:sz w:val="18"/>
                <w:szCs w:val="18"/>
                <w:lang w:eastAsia="lt-LT"/>
              </w:rPr>
              <w:t>Bendras rekonstruotų arba atnaujintų kelių TEN</w:t>
            </w:r>
            <w:proofErr w:type="gramStart"/>
            <w:r w:rsidRPr="00463952">
              <w:rPr>
                <w:rFonts w:ascii="Times New Roman" w:eastAsia="AngsanaUPC" w:hAnsi="Times New Roman"/>
                <w:bCs/>
                <w:iCs/>
                <w:sz w:val="18"/>
                <w:szCs w:val="18"/>
                <w:lang w:eastAsia="lt-LT"/>
              </w:rPr>
              <w:t>-</w:t>
            </w:r>
            <w:proofErr w:type="gramEnd"/>
            <w:r w:rsidRPr="00463952">
              <w:rPr>
                <w:rFonts w:ascii="Times New Roman" w:eastAsia="AngsanaUPC" w:hAnsi="Times New Roman"/>
                <w:bCs/>
                <w:iCs/>
                <w:sz w:val="18"/>
                <w:szCs w:val="18"/>
                <w:lang w:eastAsia="lt-LT"/>
              </w:rPr>
              <w:t>T tinkle ilgis</w:t>
            </w:r>
          </w:p>
        </w:tc>
        <w:tc>
          <w:tcPr>
            <w:tcW w:w="1134" w:type="dxa"/>
            <w:shd w:val="clear" w:color="auto" w:fill="auto"/>
            <w:vAlign w:val="center"/>
          </w:tcPr>
          <w:p w:rsidR="00DC55B6" w:rsidRPr="00463952" w:rsidRDefault="00DC55B6"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463952">
              <w:rPr>
                <w:rFonts w:ascii="Times New Roman" w:eastAsia="AngsanaUPC" w:hAnsi="Times New Roman"/>
                <w:bCs/>
                <w:iCs/>
                <w:sz w:val="18"/>
                <w:szCs w:val="18"/>
                <w:lang w:eastAsia="lt-LT"/>
              </w:rPr>
              <w:t>Km</w:t>
            </w:r>
          </w:p>
        </w:tc>
        <w:tc>
          <w:tcPr>
            <w:tcW w:w="783" w:type="dxa"/>
            <w:shd w:val="clear" w:color="auto" w:fill="auto"/>
            <w:vAlign w:val="center"/>
          </w:tcPr>
          <w:p w:rsidR="00DC55B6" w:rsidRPr="00463952" w:rsidRDefault="00DC55B6"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463952">
              <w:rPr>
                <w:rFonts w:ascii="Times New Roman" w:eastAsia="AngsanaUPC" w:hAnsi="Times New Roman"/>
                <w:bCs/>
                <w:iCs/>
                <w:sz w:val="18"/>
                <w:szCs w:val="18"/>
                <w:lang w:eastAsia="lt-LT"/>
              </w:rPr>
              <w:t>SaF</w:t>
            </w:r>
          </w:p>
        </w:tc>
        <w:tc>
          <w:tcPr>
            <w:tcW w:w="1119" w:type="dxa"/>
            <w:shd w:val="clear" w:color="auto" w:fill="auto"/>
            <w:vAlign w:val="center"/>
          </w:tcPr>
          <w:p w:rsidR="00DC55B6" w:rsidRPr="00463952" w:rsidRDefault="00DC55B6" w:rsidP="00385835">
            <w:pPr>
              <w:spacing w:after="0" w:line="240" w:lineRule="auto"/>
              <w:jc w:val="center"/>
              <w:rPr>
                <w:sz w:val="18"/>
                <w:szCs w:val="18"/>
              </w:rPr>
            </w:pPr>
            <w:r w:rsidRPr="00463952">
              <w:rPr>
                <w:rFonts w:ascii="Times New Roman" w:eastAsia="AngsanaUPC" w:hAnsi="Times New Roman"/>
                <w:bCs/>
                <w:sz w:val="18"/>
                <w:szCs w:val="18"/>
                <w:lang w:eastAsia="lt-LT"/>
              </w:rPr>
              <w:t>–</w:t>
            </w:r>
          </w:p>
        </w:tc>
        <w:tc>
          <w:tcPr>
            <w:tcW w:w="933" w:type="dxa"/>
            <w:shd w:val="clear" w:color="auto" w:fill="auto"/>
            <w:vAlign w:val="center"/>
          </w:tcPr>
          <w:p w:rsidR="00DC55B6" w:rsidRPr="00FC6264" w:rsidRDefault="005464A7"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eastAsia="AngsanaUPC" w:hAnsi="Times New Roman"/>
                <w:bCs/>
                <w:iCs/>
                <w:sz w:val="18"/>
                <w:szCs w:val="18"/>
                <w:lang w:eastAsia="lt-LT"/>
              </w:rPr>
              <w:t>99</w:t>
            </w:r>
          </w:p>
        </w:tc>
        <w:tc>
          <w:tcPr>
            <w:tcW w:w="1134" w:type="dxa"/>
            <w:shd w:val="clear" w:color="auto" w:fill="auto"/>
            <w:vAlign w:val="center"/>
          </w:tcPr>
          <w:p w:rsidR="00DC55B6" w:rsidRPr="00463952" w:rsidRDefault="00DC55B6"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463952">
              <w:rPr>
                <w:rFonts w:ascii="Times New Roman" w:eastAsia="AngsanaUPC" w:hAnsi="Times New Roman"/>
                <w:bCs/>
                <w:iCs/>
                <w:sz w:val="18"/>
                <w:szCs w:val="18"/>
                <w:lang w:eastAsia="lt-LT"/>
              </w:rPr>
              <w:t>Duomenys iš projektų</w:t>
            </w:r>
          </w:p>
        </w:tc>
        <w:tc>
          <w:tcPr>
            <w:tcW w:w="1241" w:type="dxa"/>
            <w:shd w:val="clear" w:color="auto" w:fill="auto"/>
            <w:vAlign w:val="center"/>
          </w:tcPr>
          <w:p w:rsidR="00DC55B6" w:rsidRPr="00463952" w:rsidRDefault="00DC55B6"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463952">
              <w:rPr>
                <w:rFonts w:ascii="Times New Roman" w:eastAsia="AngsanaUPC" w:hAnsi="Times New Roman"/>
                <w:bCs/>
                <w:iCs/>
                <w:sz w:val="18"/>
                <w:szCs w:val="18"/>
                <w:lang w:eastAsia="lt-LT"/>
              </w:rPr>
              <w:t>Kartą per metus</w:t>
            </w:r>
          </w:p>
        </w:tc>
      </w:tr>
      <w:tr w:rsidR="00385835" w:rsidRPr="00385835" w:rsidTr="00463952">
        <w:tblPrEx>
          <w:shd w:val="clear" w:color="auto" w:fill="auto"/>
        </w:tblPrEx>
        <w:tc>
          <w:tcPr>
            <w:tcW w:w="56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val="en-US" w:eastAsia="lt-LT"/>
              </w:rPr>
              <w:t>4.</w:t>
            </w:r>
          </w:p>
        </w:tc>
        <w:tc>
          <w:tcPr>
            <w:tcW w:w="2835" w:type="dxa"/>
            <w:shd w:val="clear" w:color="auto" w:fill="auto"/>
            <w:vAlign w:val="center"/>
          </w:tcPr>
          <w:p w:rsidR="00385835" w:rsidRPr="00385835" w:rsidRDefault="00385835" w:rsidP="00385835">
            <w:pPr>
              <w:widowControl w:val="0"/>
              <w:tabs>
                <w:tab w:val="left" w:pos="622"/>
              </w:tabs>
              <w:spacing w:after="0" w:line="240" w:lineRule="auto"/>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Jūrų uoste įdiegtos saugų eismą gerinančios ir aplinkosaugos priemonės</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Skaičius</w:t>
            </w:r>
          </w:p>
        </w:tc>
        <w:tc>
          <w:tcPr>
            <w:tcW w:w="783"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SaF</w:t>
            </w:r>
          </w:p>
        </w:tc>
        <w:tc>
          <w:tcPr>
            <w:tcW w:w="1119" w:type="dxa"/>
            <w:shd w:val="clear" w:color="auto" w:fill="auto"/>
            <w:vAlign w:val="center"/>
          </w:tcPr>
          <w:p w:rsidR="00385835" w:rsidRPr="00385835" w:rsidRDefault="005E1B9D" w:rsidP="00385835">
            <w:pPr>
              <w:spacing w:after="0" w:line="240" w:lineRule="auto"/>
              <w:jc w:val="center"/>
              <w:rPr>
                <w:rFonts w:ascii="Times New Roman" w:eastAsia="AngsanaUPC" w:hAnsi="Times New Roman"/>
                <w:bCs/>
                <w:iCs/>
                <w:sz w:val="18"/>
                <w:szCs w:val="18"/>
                <w:lang w:eastAsia="lt-LT"/>
              </w:rPr>
            </w:pPr>
            <w:r>
              <w:rPr>
                <w:rFonts w:ascii="Times New Roman" w:eastAsia="AngsanaUPC" w:hAnsi="Times New Roman"/>
                <w:bCs/>
                <w:sz w:val="18"/>
                <w:szCs w:val="18"/>
                <w:lang w:eastAsia="lt-LT"/>
              </w:rPr>
              <w:t>–</w:t>
            </w:r>
          </w:p>
        </w:tc>
        <w:tc>
          <w:tcPr>
            <w:tcW w:w="933" w:type="dxa"/>
            <w:shd w:val="clear" w:color="auto" w:fill="auto"/>
            <w:vAlign w:val="center"/>
          </w:tcPr>
          <w:p w:rsidR="00385835" w:rsidRPr="00FC6264"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eastAsia="AngsanaUPC" w:hAnsi="Times New Roman"/>
                <w:bCs/>
                <w:iCs/>
                <w:sz w:val="18"/>
                <w:szCs w:val="18"/>
                <w:lang w:eastAsia="lt-LT"/>
              </w:rPr>
              <w:t>3</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Duomenys iš projektų</w:t>
            </w:r>
          </w:p>
        </w:tc>
        <w:tc>
          <w:tcPr>
            <w:tcW w:w="124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385835" w:rsidRPr="00385835" w:rsidTr="00463952">
        <w:tblPrEx>
          <w:shd w:val="clear" w:color="auto" w:fill="auto"/>
        </w:tblPrEx>
        <w:tc>
          <w:tcPr>
            <w:tcW w:w="56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val="en-US" w:eastAsia="lt-LT"/>
              </w:rPr>
              <w:t xml:space="preserve">5. </w:t>
            </w:r>
          </w:p>
        </w:tc>
        <w:tc>
          <w:tcPr>
            <w:tcW w:w="2835" w:type="dxa"/>
            <w:shd w:val="clear" w:color="auto" w:fill="auto"/>
            <w:vAlign w:val="center"/>
          </w:tcPr>
          <w:p w:rsidR="00385835" w:rsidRPr="00385835" w:rsidRDefault="00385835" w:rsidP="00385835">
            <w:pPr>
              <w:widowControl w:val="0"/>
              <w:tabs>
                <w:tab w:val="left" w:pos="622"/>
              </w:tabs>
              <w:spacing w:after="0" w:line="240" w:lineRule="auto"/>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Įrengtų ICAO reikalavimus atitinkančių oro uosto kietųjų dangų plotas</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Kvadratiniai metrai</w:t>
            </w:r>
          </w:p>
        </w:tc>
        <w:tc>
          <w:tcPr>
            <w:tcW w:w="783"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SaF</w:t>
            </w:r>
          </w:p>
        </w:tc>
        <w:tc>
          <w:tcPr>
            <w:tcW w:w="1119" w:type="dxa"/>
            <w:shd w:val="clear" w:color="auto" w:fill="auto"/>
            <w:vAlign w:val="center"/>
          </w:tcPr>
          <w:p w:rsidR="00385835" w:rsidRPr="00385835" w:rsidRDefault="005E1B9D" w:rsidP="00385835">
            <w:pPr>
              <w:spacing w:after="0" w:line="240" w:lineRule="auto"/>
              <w:jc w:val="center"/>
              <w:rPr>
                <w:rFonts w:ascii="Times New Roman" w:eastAsia="AngsanaUPC" w:hAnsi="Times New Roman"/>
                <w:bCs/>
                <w:iCs/>
                <w:sz w:val="18"/>
                <w:szCs w:val="18"/>
                <w:lang w:eastAsia="lt-LT"/>
              </w:rPr>
            </w:pPr>
            <w:r>
              <w:rPr>
                <w:rFonts w:ascii="Times New Roman" w:eastAsia="AngsanaUPC" w:hAnsi="Times New Roman"/>
                <w:bCs/>
                <w:sz w:val="18"/>
                <w:szCs w:val="18"/>
                <w:lang w:eastAsia="lt-LT"/>
              </w:rPr>
              <w:t>–</w:t>
            </w:r>
          </w:p>
        </w:tc>
        <w:tc>
          <w:tcPr>
            <w:tcW w:w="933" w:type="dxa"/>
            <w:shd w:val="clear" w:color="auto" w:fill="auto"/>
            <w:vAlign w:val="center"/>
          </w:tcPr>
          <w:p w:rsidR="00385835" w:rsidRPr="00FC6264" w:rsidRDefault="005464A7" w:rsidP="009348A3">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eastAsia="AngsanaUPC" w:hAnsi="Times New Roman"/>
                <w:bCs/>
                <w:iCs/>
                <w:sz w:val="18"/>
                <w:szCs w:val="18"/>
                <w:lang w:eastAsia="lt-LT"/>
              </w:rPr>
              <w:t>176</w:t>
            </w:r>
            <w:r w:rsidR="009348A3" w:rsidRPr="00FC6264">
              <w:rPr>
                <w:rFonts w:ascii="Times New Roman" w:eastAsia="AngsanaUPC" w:hAnsi="Times New Roman"/>
                <w:bCs/>
                <w:iCs/>
                <w:sz w:val="18"/>
                <w:szCs w:val="18"/>
                <w:lang w:eastAsia="lt-LT"/>
              </w:rPr>
              <w:t>.</w:t>
            </w:r>
            <w:r w:rsidRPr="00FC6264">
              <w:rPr>
                <w:rFonts w:ascii="Times New Roman" w:eastAsia="AngsanaUPC" w:hAnsi="Times New Roman"/>
                <w:bCs/>
                <w:iCs/>
                <w:sz w:val="18"/>
                <w:szCs w:val="18"/>
                <w:lang w:eastAsia="lt-LT"/>
              </w:rPr>
              <w:t>167</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Duomenys iš projektų</w:t>
            </w:r>
          </w:p>
        </w:tc>
        <w:tc>
          <w:tcPr>
            <w:tcW w:w="124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i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vAlign w:val="center"/>
          </w:tcPr>
          <w:p w:rsidR="00385835" w:rsidRPr="00385835" w:rsidRDefault="00385835" w:rsidP="00385835">
            <w:pPr>
              <w:widowControl w:val="0"/>
              <w:tabs>
                <w:tab w:val="left" w:pos="622"/>
              </w:tabs>
              <w:spacing w:after="0" w:line="240" w:lineRule="auto"/>
              <w:jc w:val="both"/>
              <w:rPr>
                <w:rFonts w:ascii="Times New Roman" w:eastAsia="AngsanaUPC" w:hAnsi="Times New Roman"/>
                <w:b/>
                <w:bCs/>
                <w:iCs/>
                <w:sz w:val="24"/>
                <w:szCs w:val="24"/>
                <w:lang w:eastAsia="lt-LT"/>
              </w:rPr>
            </w:pPr>
            <w:r w:rsidRPr="00385835">
              <w:rPr>
                <w:rFonts w:ascii="Times New Roman" w:eastAsia="AngsanaUPC" w:hAnsi="Times New Roman"/>
                <w:b/>
                <w:bCs/>
                <w:iCs/>
                <w:sz w:val="24"/>
                <w:szCs w:val="24"/>
                <w:lang w:eastAsia="lt-LT"/>
              </w:rPr>
              <w:t>6.2. INVESTICINIS PRIORITETAS</w:t>
            </w:r>
          </w:p>
        </w:tc>
        <w:tc>
          <w:tcPr>
            <w:tcW w:w="7336" w:type="dxa"/>
            <w:shd w:val="clear" w:color="auto" w:fill="EEECE1"/>
          </w:tcPr>
          <w:p w:rsidR="00385835" w:rsidRPr="00385835" w:rsidRDefault="00385835" w:rsidP="00385835">
            <w:pPr>
              <w:spacing w:after="0" w:line="240" w:lineRule="auto"/>
              <w:jc w:val="both"/>
              <w:rPr>
                <w:rFonts w:ascii="Times New Roman" w:hAnsi="Times New Roman"/>
                <w:b/>
                <w:sz w:val="24"/>
                <w:szCs w:val="24"/>
              </w:rPr>
            </w:pPr>
            <w:r w:rsidRPr="00385835">
              <w:rPr>
                <w:rFonts w:ascii="Times New Roman" w:hAnsi="Times New Roman"/>
                <w:b/>
                <w:sz w:val="24"/>
                <w:szCs w:val="24"/>
              </w:rPr>
              <w:t>Regionų judumo didinimas prie TEN</w:t>
            </w:r>
            <w:proofErr w:type="gramStart"/>
            <w:r w:rsidRPr="00385835">
              <w:rPr>
                <w:rFonts w:ascii="Times New Roman" w:hAnsi="Times New Roman"/>
                <w:b/>
                <w:sz w:val="24"/>
                <w:szCs w:val="24"/>
              </w:rPr>
              <w:t>-</w:t>
            </w:r>
            <w:proofErr w:type="gramEnd"/>
            <w:r w:rsidRPr="00385835">
              <w:rPr>
                <w:rFonts w:ascii="Times New Roman" w:hAnsi="Times New Roman"/>
                <w:b/>
                <w:sz w:val="24"/>
                <w:szCs w:val="24"/>
              </w:rPr>
              <w:t>T infrastruktūros prijungiant antrinius ir tretinius transporto mazgus, įskaitant da</w:t>
            </w:r>
            <w:r w:rsidR="00031EF1">
              <w:rPr>
                <w:rFonts w:ascii="Times New Roman" w:hAnsi="Times New Roman"/>
                <w:b/>
                <w:sz w:val="24"/>
                <w:szCs w:val="24"/>
              </w:rPr>
              <w:t>ugiarūšio transporto mazgus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FONDAS</w:t>
            </w:r>
          </w:p>
        </w:tc>
        <w:tc>
          <w:tcPr>
            <w:tcW w:w="7336"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Europos regioninės plėtros fondas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6.2.1. KONKRETUS UŽDAVINYS</w:t>
            </w:r>
          </w:p>
        </w:tc>
        <w:tc>
          <w:tcPr>
            <w:tcW w:w="7336" w:type="dxa"/>
            <w:shd w:val="clear" w:color="auto" w:fill="EEECE1"/>
            <w:vAlign w:val="center"/>
          </w:tcPr>
          <w:p w:rsidR="00385835" w:rsidRPr="00385835" w:rsidRDefault="00385835" w:rsidP="00385835">
            <w:pPr>
              <w:spacing w:after="0" w:line="240" w:lineRule="auto"/>
              <w:jc w:val="both"/>
              <w:rPr>
                <w:rFonts w:ascii="Times New Roman" w:eastAsia="Times New Roman" w:hAnsi="Times New Roman"/>
                <w:b/>
                <w:bCs/>
                <w:color w:val="000000"/>
                <w:kern w:val="24"/>
                <w:sz w:val="24"/>
                <w:szCs w:val="24"/>
                <w:lang w:eastAsia="lt-LT"/>
              </w:rPr>
            </w:pPr>
            <w:r w:rsidRPr="00385835">
              <w:rPr>
                <w:rFonts w:ascii="Times New Roman" w:eastAsia="Times New Roman" w:hAnsi="Times New Roman"/>
                <w:b/>
                <w:bCs/>
                <w:color w:val="000000"/>
                <w:kern w:val="24"/>
                <w:sz w:val="24"/>
                <w:szCs w:val="24"/>
                <w:lang w:eastAsia="lt-LT"/>
              </w:rPr>
              <w:t>Padidinti regionų judumą plėtojant regionų jungtis su pagrindiniu šalies transporto tinklu ir diegiant eismo saugos priemones</w:t>
            </w:r>
          </w:p>
        </w:tc>
      </w:tr>
      <w:tr w:rsidR="00385835" w:rsidRPr="00385835" w:rsidTr="00385835">
        <w:tc>
          <w:tcPr>
            <w:tcW w:w="9746" w:type="dxa"/>
            <w:gridSpan w:val="2"/>
            <w:shd w:val="clear" w:color="auto" w:fill="auto"/>
          </w:tcPr>
          <w:p w:rsidR="00385835" w:rsidRPr="00385835" w:rsidRDefault="00385835" w:rsidP="00385835">
            <w:pPr>
              <w:widowControl w:val="0"/>
              <w:tabs>
                <w:tab w:val="left" w:pos="622"/>
              </w:tabs>
              <w:spacing w:after="0" w:line="240" w:lineRule="auto"/>
              <w:ind w:firstLine="624"/>
              <w:jc w:val="both"/>
              <w:rPr>
                <w:rFonts w:ascii="Times New Roman" w:eastAsia="AngsanaUPC" w:hAnsi="Times New Roman"/>
                <w:bCs/>
                <w:sz w:val="24"/>
                <w:szCs w:val="24"/>
                <w:lang w:eastAsia="lt-LT"/>
              </w:rPr>
            </w:pPr>
            <w:r w:rsidRPr="00385835">
              <w:rPr>
                <w:rFonts w:ascii="Times New Roman" w:hAnsi="Times New Roman"/>
                <w:sz w:val="24"/>
                <w:szCs w:val="24"/>
              </w:rPr>
              <w:t xml:space="preserve">Susisiekimo sistema yra viena iš labiausiai integruotų į Europos rinką Lietuvos ūkio šakų, turinti labai didelę reikšmę šalies ekonomikai. </w:t>
            </w:r>
            <w:r w:rsidRPr="00385835">
              <w:rPr>
                <w:rFonts w:ascii="Times New Roman" w:eastAsia="AngsanaUPC" w:hAnsi="Times New Roman"/>
                <w:bCs/>
                <w:sz w:val="24"/>
                <w:szCs w:val="24"/>
                <w:lang w:eastAsia="lt-LT"/>
              </w:rPr>
              <w:t>Didėjant krovinių pervežimui bei bendram eismo intensyvumui</w:t>
            </w:r>
            <w:r w:rsidR="000057C2">
              <w:rPr>
                <w:rFonts w:ascii="Times New Roman" w:eastAsia="AngsanaUPC" w:hAnsi="Times New Roman"/>
                <w:bCs/>
                <w:sz w:val="24"/>
                <w:szCs w:val="24"/>
                <w:lang w:eastAsia="lt-LT"/>
              </w:rPr>
              <w:t>,</w:t>
            </w:r>
            <w:r w:rsidRPr="00385835">
              <w:rPr>
                <w:rFonts w:ascii="Times New Roman" w:eastAsia="AngsanaUPC" w:hAnsi="Times New Roman"/>
                <w:bCs/>
                <w:sz w:val="24"/>
                <w:szCs w:val="24"/>
                <w:lang w:eastAsia="lt-LT"/>
              </w:rPr>
              <w:t xml:space="preserve"> daugėja saugumo bei aplinkosauginių iššūkių. Verslo plėtrai ir gyventojų regionuose mobilumo didinimui svarbu užtikrinti greitą regionų tarpusavio pasiekiamumą ir tinkamą sujungimą su TEN</w:t>
            </w:r>
            <w:proofErr w:type="gramStart"/>
            <w:r w:rsidRPr="00385835">
              <w:rPr>
                <w:rFonts w:ascii="Times New Roman" w:eastAsia="AngsanaUPC" w:hAnsi="Times New Roman"/>
                <w:bCs/>
                <w:sz w:val="24"/>
                <w:szCs w:val="24"/>
                <w:lang w:eastAsia="lt-LT"/>
              </w:rPr>
              <w:t>-</w:t>
            </w:r>
            <w:proofErr w:type="gramEnd"/>
            <w:r w:rsidRPr="00385835">
              <w:rPr>
                <w:rFonts w:ascii="Times New Roman" w:eastAsia="AngsanaUPC" w:hAnsi="Times New Roman"/>
                <w:bCs/>
                <w:sz w:val="24"/>
                <w:szCs w:val="24"/>
                <w:lang w:eastAsia="lt-LT"/>
              </w:rPr>
              <w:t>T tinklu. Daugeliu atveju regionuose būtina gerinti kelių techninius parametrus, didinti jų pralaidumą bei greitį, tuo pačiu užtikrinant eismo saugą ir mažinant neigiamą poveikį aplinkai bei žmonių sveikatai.</w:t>
            </w:r>
          </w:p>
          <w:p w:rsidR="00385835" w:rsidRPr="00385835" w:rsidRDefault="00385835" w:rsidP="00385835">
            <w:pPr>
              <w:widowControl w:val="0"/>
              <w:tabs>
                <w:tab w:val="left" w:pos="622"/>
              </w:tabs>
              <w:spacing w:after="0" w:line="240" w:lineRule="auto"/>
              <w:ind w:firstLine="624"/>
              <w:jc w:val="both"/>
              <w:rPr>
                <w:rFonts w:ascii="Times New Roman" w:hAnsi="Times New Roman"/>
                <w:sz w:val="24"/>
                <w:szCs w:val="24"/>
              </w:rPr>
            </w:pPr>
            <w:r w:rsidRPr="00385835">
              <w:rPr>
                <w:rFonts w:ascii="Times New Roman" w:hAnsi="Times New Roman"/>
                <w:bCs/>
                <w:sz w:val="24"/>
                <w:szCs w:val="24"/>
              </w:rPr>
              <w:t>Lietuvos kelių tinklas skirstomas į valstybinės reikšmės kelius, kuriuos sudaro tarptautinės magistralinės reikšmės keliai (TEN</w:t>
            </w:r>
            <w:proofErr w:type="gramStart"/>
            <w:r w:rsidRPr="00385835">
              <w:rPr>
                <w:rFonts w:ascii="Times New Roman" w:hAnsi="Times New Roman"/>
                <w:bCs/>
                <w:sz w:val="24"/>
                <w:szCs w:val="24"/>
              </w:rPr>
              <w:t>-</w:t>
            </w:r>
            <w:proofErr w:type="gramEnd"/>
            <w:r w:rsidRPr="00385835">
              <w:rPr>
                <w:rFonts w:ascii="Times New Roman" w:hAnsi="Times New Roman"/>
                <w:bCs/>
                <w:sz w:val="24"/>
                <w:szCs w:val="24"/>
              </w:rPr>
              <w:t xml:space="preserve">T) </w:t>
            </w:r>
            <w:r w:rsidRPr="00385835">
              <w:rPr>
                <w:rFonts w:ascii="Times New Roman" w:hAnsi="Times New Roman"/>
                <w:iCs/>
                <w:sz w:val="24"/>
                <w:szCs w:val="24"/>
              </w:rPr>
              <w:t xml:space="preserve">(angl. </w:t>
            </w:r>
            <w:r w:rsidRPr="00385835">
              <w:rPr>
                <w:rFonts w:ascii="Times New Roman" w:hAnsi="Times New Roman"/>
                <w:i/>
                <w:iCs/>
                <w:sz w:val="24"/>
                <w:szCs w:val="24"/>
              </w:rPr>
              <w:t>highways and motorways</w:t>
            </w:r>
            <w:r w:rsidRPr="00385835">
              <w:rPr>
                <w:rFonts w:ascii="Times New Roman" w:hAnsi="Times New Roman"/>
                <w:iCs/>
                <w:sz w:val="24"/>
                <w:szCs w:val="24"/>
              </w:rPr>
              <w:t>)</w:t>
            </w:r>
            <w:r w:rsidRPr="00385835">
              <w:rPr>
                <w:rFonts w:ascii="Times New Roman" w:hAnsi="Times New Roman"/>
                <w:bCs/>
                <w:sz w:val="24"/>
                <w:szCs w:val="24"/>
              </w:rPr>
              <w:t xml:space="preserve">, krašto ir rajoninės reikšmės </w:t>
            </w:r>
            <w:r w:rsidRPr="00385835">
              <w:rPr>
                <w:rFonts w:ascii="Times New Roman" w:hAnsi="Times New Roman"/>
                <w:iCs/>
                <w:sz w:val="24"/>
                <w:szCs w:val="24"/>
              </w:rPr>
              <w:t xml:space="preserve">(angl. </w:t>
            </w:r>
            <w:r w:rsidRPr="00385835">
              <w:rPr>
                <w:rFonts w:ascii="Times New Roman" w:hAnsi="Times New Roman"/>
                <w:i/>
                <w:iCs/>
                <w:sz w:val="24"/>
                <w:szCs w:val="24"/>
              </w:rPr>
              <w:t>regional roads</w:t>
            </w:r>
            <w:r w:rsidRPr="00385835">
              <w:rPr>
                <w:rFonts w:ascii="Times New Roman" w:hAnsi="Times New Roman"/>
                <w:iCs/>
                <w:sz w:val="24"/>
                <w:szCs w:val="24"/>
              </w:rPr>
              <w:t xml:space="preserve">) ir vietinės reikšmės keliai (angl. </w:t>
            </w:r>
            <w:r w:rsidRPr="00385835">
              <w:rPr>
                <w:rFonts w:ascii="Times New Roman" w:hAnsi="Times New Roman"/>
                <w:i/>
                <w:sz w:val="24"/>
                <w:szCs w:val="24"/>
              </w:rPr>
              <w:t>local roads / streets</w:t>
            </w:r>
            <w:r w:rsidRPr="00385835">
              <w:rPr>
                <w:rFonts w:ascii="Times New Roman" w:hAnsi="Times New Roman"/>
                <w:iCs/>
                <w:sz w:val="24"/>
                <w:szCs w:val="24"/>
              </w:rPr>
              <w:t>), priklausantys savivaldybėms.</w:t>
            </w:r>
          </w:p>
          <w:p w:rsidR="00385835" w:rsidRPr="00385835" w:rsidRDefault="00385835" w:rsidP="00385835">
            <w:pPr>
              <w:widowControl w:val="0"/>
              <w:tabs>
                <w:tab w:val="left" w:pos="622"/>
              </w:tabs>
              <w:spacing w:after="0" w:line="240" w:lineRule="auto"/>
              <w:ind w:firstLine="624"/>
              <w:jc w:val="both"/>
              <w:rPr>
                <w:rFonts w:ascii="Times New Roman" w:hAnsi="Times New Roman"/>
                <w:sz w:val="24"/>
                <w:szCs w:val="24"/>
              </w:rPr>
            </w:pPr>
            <w:r w:rsidRPr="00385835">
              <w:rPr>
                <w:rFonts w:ascii="Times New Roman" w:hAnsi="Times New Roman"/>
                <w:bCs/>
                <w:sz w:val="24"/>
                <w:szCs w:val="24"/>
              </w:rPr>
              <w:t>Pagrindinis geležinkelių transporto iššūkis susisiekime tarp regionų – eismo sauga. Šiuo metu didžiausia eismo saugos problema yra susijusi su nesaugiomis geležinkelio pervažomis, dėl ko ne tik didėja eismo įvykių tikimybė, bet ir traukiniai yra priversti mažinti greitį kertant pervažas. B</w:t>
            </w:r>
            <w:r w:rsidRPr="00385835">
              <w:rPr>
                <w:rFonts w:ascii="Times New Roman" w:hAnsi="Times New Roman"/>
                <w:sz w:val="24"/>
                <w:szCs w:val="24"/>
              </w:rPr>
              <w:t>ūtina modernizuoti geležinkelių transporto infrastruktūrą diegiant saugos priemones pervažose, taip ne tik mažinant eismo įvykių tikimybę, tačiau ir didinant traukinių greitį.</w:t>
            </w:r>
          </w:p>
          <w:p w:rsidR="00385835" w:rsidRPr="00385835" w:rsidRDefault="00385835" w:rsidP="00385835">
            <w:pPr>
              <w:widowControl w:val="0"/>
              <w:tabs>
                <w:tab w:val="left" w:pos="622"/>
              </w:tabs>
              <w:spacing w:after="0" w:line="240" w:lineRule="auto"/>
              <w:ind w:firstLine="624"/>
              <w:jc w:val="both"/>
              <w:rPr>
                <w:rFonts w:ascii="Times New Roman" w:hAnsi="Times New Roman"/>
                <w:sz w:val="24"/>
                <w:szCs w:val="24"/>
              </w:rPr>
            </w:pPr>
            <w:r w:rsidRPr="00385835">
              <w:rPr>
                <w:rFonts w:ascii="Times New Roman" w:hAnsi="Times New Roman"/>
                <w:sz w:val="24"/>
                <w:szCs w:val="24"/>
              </w:rPr>
              <w:lastRenderedPageBreak/>
              <w:t>Pagrindinis iššūkis vidaus vandenų transporte Lietuvoje – nėra išnaudojamas šio transporto potencialas dėl nepakankamo vidaus vandens kelių bei jų infrastruktūros (</w:t>
            </w:r>
            <w:r w:rsidR="00686878">
              <w:rPr>
                <w:rFonts w:ascii="Times New Roman" w:hAnsi="Times New Roman"/>
                <w:sz w:val="24"/>
                <w:szCs w:val="24"/>
              </w:rPr>
              <w:t>pavyzdžiui</w:t>
            </w:r>
            <w:r w:rsidRPr="00385835">
              <w:rPr>
                <w:rFonts w:ascii="Times New Roman" w:hAnsi="Times New Roman"/>
                <w:sz w:val="24"/>
                <w:szCs w:val="24"/>
              </w:rPr>
              <w:t>, nepakankamai išvystytos prieplaukos, krantinės bei uostai) pritaikymo keleivinei ir/ar krovininei laivybai. Numatoma tęsti 2007–2013 m. laikotarpiu pradėtas investicijas ir toliau vystyti šalies vidaus vandens kelio modernizaciją, kuri leistų užtikrinti reikalingus vandens kelio techninius parametrus, laivybai reikiamą gylį, pagerintų laivybos sąlygas ir užtikrintų saugią laivybą TEN</w:t>
            </w:r>
            <w:proofErr w:type="gramStart"/>
            <w:r w:rsidRPr="00385835">
              <w:rPr>
                <w:rFonts w:ascii="Times New Roman" w:hAnsi="Times New Roman"/>
                <w:sz w:val="24"/>
                <w:szCs w:val="24"/>
              </w:rPr>
              <w:t>-</w:t>
            </w:r>
            <w:proofErr w:type="gramEnd"/>
            <w:r w:rsidRPr="00385835">
              <w:rPr>
                <w:rFonts w:ascii="Times New Roman" w:hAnsi="Times New Roman"/>
                <w:sz w:val="24"/>
                <w:szCs w:val="24"/>
              </w:rPr>
              <w:t>T ir šalies vidaus vandenų tinkle.</w:t>
            </w:r>
          </w:p>
          <w:p w:rsidR="00385835" w:rsidRPr="00385835" w:rsidRDefault="00385835" w:rsidP="00385835">
            <w:pPr>
              <w:widowControl w:val="0"/>
              <w:tabs>
                <w:tab w:val="left" w:pos="622"/>
              </w:tabs>
              <w:spacing w:after="0" w:line="240" w:lineRule="auto"/>
              <w:ind w:firstLine="624"/>
              <w:jc w:val="both"/>
              <w:rPr>
                <w:rFonts w:ascii="Times New Roman" w:eastAsia="AngsanaUPC" w:hAnsi="Times New Roman"/>
                <w:bCs/>
                <w:sz w:val="24"/>
                <w:szCs w:val="24"/>
                <w:lang w:eastAsia="lt-LT"/>
              </w:rPr>
            </w:pPr>
            <w:r w:rsidRPr="00385835">
              <w:rPr>
                <w:rFonts w:ascii="Times New Roman" w:hAnsi="Times New Roman"/>
                <w:sz w:val="24"/>
                <w:szCs w:val="24"/>
              </w:rPr>
              <w:t xml:space="preserve">Įgyvendinant šį konkretų uždavinį, pagerinus šalies transporto tinklo infrastruktūros techninius parametrus ir diegiant saugaus eismo inžinerinę infrastruktūrą, tikimasi sutrumpinti keleivių kelionės ir krovinių transportavimo laiką, užtikrinti eismo saugą, transporto saugumą, sumažinti avaringumą ir taršą. Taip pat </w:t>
            </w:r>
            <w:r w:rsidRPr="00385835">
              <w:rPr>
                <w:rFonts w:ascii="Times New Roman" w:eastAsia="AngsanaUPC" w:hAnsi="Times New Roman"/>
                <w:bCs/>
                <w:sz w:val="24"/>
                <w:szCs w:val="24"/>
                <w:lang w:eastAsia="lt-LT"/>
              </w:rPr>
              <w:t xml:space="preserve">numatoma, kad šios investicijos prisidės prie spartesnės regionų ekonominės plėtros, </w:t>
            </w:r>
            <w:r w:rsidRPr="00385835">
              <w:rPr>
                <w:rFonts w:ascii="Times New Roman" w:hAnsi="Times New Roman"/>
                <w:sz w:val="24"/>
                <w:szCs w:val="24"/>
              </w:rPr>
              <w:t>naujų darbo vietų kūrimo, verslo diversifikavimo sąlygų sukūrimo, padidins gamybos produktyvumą ir ekonomikos konkurencingumą.</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567"/>
        <w:gridCol w:w="1813"/>
        <w:gridCol w:w="1064"/>
        <w:gridCol w:w="1092"/>
        <w:gridCol w:w="980"/>
        <w:gridCol w:w="923"/>
        <w:gridCol w:w="952"/>
        <w:gridCol w:w="1274"/>
        <w:gridCol w:w="1116"/>
      </w:tblGrid>
      <w:tr w:rsidR="00385835" w:rsidRPr="00385835" w:rsidTr="00385835">
        <w:tc>
          <w:tcPr>
            <w:tcW w:w="9781" w:type="dxa"/>
            <w:gridSpan w:val="9"/>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i/>
                <w:iCs/>
                <w:sz w:val="24"/>
                <w:szCs w:val="24"/>
                <w:lang w:eastAsia="lt-LT"/>
              </w:rPr>
            </w:pPr>
            <w:r w:rsidRPr="00385835">
              <w:rPr>
                <w:rFonts w:ascii="Times New Roman" w:eastAsia="AngsanaUPC" w:hAnsi="Times New Roman"/>
                <w:b/>
                <w:bCs/>
                <w:i/>
                <w:iCs/>
                <w:sz w:val="24"/>
                <w:szCs w:val="24"/>
                <w:lang w:eastAsia="lt-LT"/>
              </w:rPr>
              <w:t xml:space="preserve">ERPF </w:t>
            </w:r>
            <w:r w:rsidR="00B1109C">
              <w:rPr>
                <w:rFonts w:ascii="Times New Roman" w:eastAsia="AngsanaUPC" w:hAnsi="Times New Roman"/>
                <w:b/>
                <w:bCs/>
                <w:i/>
                <w:iCs/>
                <w:sz w:val="24"/>
                <w:szCs w:val="24"/>
                <w:lang w:eastAsia="lt-LT"/>
              </w:rPr>
              <w:t xml:space="preserve">specialieji </w:t>
            </w:r>
            <w:r w:rsidRPr="00385835">
              <w:rPr>
                <w:rFonts w:ascii="Times New Roman" w:eastAsia="AngsanaUPC" w:hAnsi="Times New Roman"/>
                <w:b/>
                <w:bCs/>
                <w:i/>
                <w:iCs/>
                <w:sz w:val="24"/>
                <w:szCs w:val="24"/>
                <w:lang w:eastAsia="lt-LT"/>
              </w:rPr>
              <w:t>programos rezultato rodikliai</w:t>
            </w:r>
          </w:p>
        </w:tc>
      </w:tr>
      <w:tr w:rsidR="00385835" w:rsidRPr="00385835" w:rsidTr="007F0617">
        <w:tblPrEx>
          <w:shd w:val="clear" w:color="auto" w:fill="auto"/>
        </w:tblPrEx>
        <w:trPr>
          <w:cantSplit/>
          <w:trHeight w:val="851"/>
        </w:trPr>
        <w:tc>
          <w:tcPr>
            <w:tcW w:w="567"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Nr.</w:t>
            </w:r>
          </w:p>
        </w:tc>
        <w:tc>
          <w:tcPr>
            <w:tcW w:w="1813"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Rodiklio pavadinimas</w:t>
            </w:r>
          </w:p>
        </w:tc>
        <w:tc>
          <w:tcPr>
            <w:tcW w:w="106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Matavimo vienetas</w:t>
            </w:r>
          </w:p>
        </w:tc>
        <w:tc>
          <w:tcPr>
            <w:tcW w:w="1092"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Regiono kategorija</w:t>
            </w:r>
          </w:p>
        </w:tc>
        <w:tc>
          <w:tcPr>
            <w:tcW w:w="980"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Pradinė reikšmė</w:t>
            </w:r>
          </w:p>
        </w:tc>
        <w:tc>
          <w:tcPr>
            <w:tcW w:w="923"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Pradinės reikšmės metai</w:t>
            </w:r>
          </w:p>
        </w:tc>
        <w:tc>
          <w:tcPr>
            <w:tcW w:w="952"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Siektina reikšmė (2023)</w:t>
            </w:r>
          </w:p>
        </w:tc>
        <w:tc>
          <w:tcPr>
            <w:tcW w:w="127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Duomenų šaltinis</w:t>
            </w:r>
          </w:p>
        </w:tc>
        <w:tc>
          <w:tcPr>
            <w:tcW w:w="1116"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Atsiskaitymo dažnumas</w:t>
            </w:r>
          </w:p>
        </w:tc>
      </w:tr>
      <w:tr w:rsidR="00385835" w:rsidRPr="00385835" w:rsidTr="007F0617">
        <w:tblPrEx>
          <w:shd w:val="clear" w:color="auto" w:fill="auto"/>
        </w:tblPrEx>
        <w:tc>
          <w:tcPr>
            <w:tcW w:w="567" w:type="dxa"/>
            <w:shd w:val="clear" w:color="auto" w:fill="auto"/>
            <w:vAlign w:val="center"/>
          </w:tcPr>
          <w:p w:rsidR="00385835" w:rsidRPr="00FC6264" w:rsidRDefault="00955474" w:rsidP="00385835">
            <w:pPr>
              <w:widowControl w:val="0"/>
              <w:tabs>
                <w:tab w:val="left" w:pos="622"/>
              </w:tabs>
              <w:spacing w:after="0" w:line="240" w:lineRule="auto"/>
              <w:jc w:val="center"/>
              <w:rPr>
                <w:rFonts w:ascii="Times New Roman" w:eastAsia="AngsanaUPC" w:hAnsi="Times New Roman"/>
                <w:bCs/>
                <w:iCs/>
                <w:sz w:val="18"/>
                <w:szCs w:val="18"/>
                <w:lang w:eastAsia="lt-LT"/>
              </w:rPr>
            </w:pPr>
            <w:r>
              <w:rPr>
                <w:rFonts w:ascii="Times New Roman" w:eastAsia="AngsanaUPC" w:hAnsi="Times New Roman"/>
                <w:bCs/>
                <w:iCs/>
                <w:sz w:val="18"/>
                <w:szCs w:val="18"/>
                <w:lang w:eastAsia="lt-LT"/>
              </w:rPr>
              <w:t>1</w:t>
            </w:r>
            <w:r w:rsidR="00385835" w:rsidRPr="00FC6264">
              <w:rPr>
                <w:rFonts w:ascii="Times New Roman" w:eastAsia="AngsanaUPC" w:hAnsi="Times New Roman"/>
                <w:bCs/>
                <w:iCs/>
                <w:sz w:val="18"/>
                <w:szCs w:val="18"/>
                <w:lang w:eastAsia="lt-LT"/>
              </w:rPr>
              <w:t>.</w:t>
            </w:r>
          </w:p>
        </w:tc>
        <w:tc>
          <w:tcPr>
            <w:tcW w:w="1813" w:type="dxa"/>
            <w:shd w:val="clear" w:color="auto" w:fill="auto"/>
            <w:vAlign w:val="center"/>
          </w:tcPr>
          <w:p w:rsidR="00385835" w:rsidRPr="00FC6264" w:rsidRDefault="00385835" w:rsidP="00385835">
            <w:pPr>
              <w:widowControl w:val="0"/>
              <w:tabs>
                <w:tab w:val="left" w:pos="622"/>
              </w:tabs>
              <w:spacing w:after="0" w:line="240" w:lineRule="auto"/>
              <w:rPr>
                <w:rFonts w:ascii="Times New Roman" w:eastAsia="AngsanaUPC" w:hAnsi="Times New Roman"/>
                <w:bCs/>
                <w:sz w:val="18"/>
                <w:szCs w:val="18"/>
                <w:lang w:eastAsia="lt-LT"/>
              </w:rPr>
            </w:pPr>
            <w:r w:rsidRPr="00FC6264">
              <w:rPr>
                <w:rFonts w:ascii="Times New Roman" w:eastAsia="AngsanaUPC" w:hAnsi="Times New Roman"/>
                <w:bCs/>
                <w:sz w:val="18"/>
                <w:szCs w:val="18"/>
                <w:lang w:eastAsia="lt-LT"/>
              </w:rPr>
              <w:t>Žuvusiųjų ne TEN</w:t>
            </w:r>
            <w:proofErr w:type="gramStart"/>
            <w:r w:rsidRPr="00FC6264">
              <w:rPr>
                <w:rFonts w:ascii="Times New Roman" w:eastAsia="AngsanaUPC" w:hAnsi="Times New Roman"/>
                <w:bCs/>
                <w:sz w:val="18"/>
                <w:szCs w:val="18"/>
                <w:lang w:eastAsia="lt-LT"/>
              </w:rPr>
              <w:t>-</w:t>
            </w:r>
            <w:proofErr w:type="gramEnd"/>
            <w:r w:rsidRPr="00FC6264">
              <w:rPr>
                <w:rFonts w:ascii="Times New Roman" w:eastAsia="AngsanaUPC" w:hAnsi="Times New Roman"/>
                <w:bCs/>
                <w:sz w:val="18"/>
                <w:szCs w:val="18"/>
                <w:lang w:eastAsia="lt-LT"/>
              </w:rPr>
              <w:t xml:space="preserve">T tinklo keliuose skaičius </w:t>
            </w:r>
          </w:p>
        </w:tc>
        <w:tc>
          <w:tcPr>
            <w:tcW w:w="1064" w:type="dxa"/>
            <w:shd w:val="clear" w:color="auto" w:fill="auto"/>
            <w:vAlign w:val="center"/>
          </w:tcPr>
          <w:p w:rsidR="00385835" w:rsidRPr="00FC6264" w:rsidRDefault="00385835" w:rsidP="00385835">
            <w:pPr>
              <w:widowControl w:val="0"/>
              <w:tabs>
                <w:tab w:val="left" w:pos="622"/>
              </w:tabs>
              <w:spacing w:after="0" w:line="240" w:lineRule="auto"/>
              <w:jc w:val="center"/>
              <w:rPr>
                <w:rFonts w:ascii="Times New Roman" w:eastAsia="AngsanaUPC" w:hAnsi="Times New Roman"/>
                <w:bCs/>
                <w:sz w:val="18"/>
                <w:szCs w:val="18"/>
                <w:lang w:eastAsia="lt-LT"/>
              </w:rPr>
            </w:pPr>
            <w:r w:rsidRPr="00FC6264">
              <w:rPr>
                <w:rFonts w:ascii="Times New Roman" w:eastAsia="AngsanaUPC" w:hAnsi="Times New Roman"/>
                <w:bCs/>
                <w:sz w:val="18"/>
                <w:szCs w:val="18"/>
                <w:lang w:eastAsia="lt-LT"/>
              </w:rPr>
              <w:t>Asmenys per metus</w:t>
            </w:r>
          </w:p>
        </w:tc>
        <w:tc>
          <w:tcPr>
            <w:tcW w:w="1092" w:type="dxa"/>
            <w:shd w:val="clear" w:color="auto" w:fill="auto"/>
            <w:vAlign w:val="center"/>
          </w:tcPr>
          <w:p w:rsidR="00385835" w:rsidRPr="00FC6264" w:rsidRDefault="00385835" w:rsidP="00385835">
            <w:pPr>
              <w:widowControl w:val="0"/>
              <w:tabs>
                <w:tab w:val="left" w:pos="622"/>
              </w:tabs>
              <w:spacing w:after="0" w:line="240" w:lineRule="auto"/>
              <w:jc w:val="center"/>
              <w:rPr>
                <w:rFonts w:ascii="Times New Roman" w:eastAsia="AngsanaUPC" w:hAnsi="Times New Roman"/>
                <w:bCs/>
                <w:sz w:val="18"/>
                <w:szCs w:val="18"/>
                <w:lang w:eastAsia="lt-LT"/>
              </w:rPr>
            </w:pPr>
            <w:r w:rsidRPr="00FC6264">
              <w:rPr>
                <w:rFonts w:ascii="Times New Roman" w:eastAsia="AngsanaUPC" w:hAnsi="Times New Roman"/>
                <w:bCs/>
                <w:sz w:val="18"/>
                <w:szCs w:val="18"/>
                <w:lang w:eastAsia="lt-LT"/>
              </w:rPr>
              <w:t>Mažiau išsivystęs</w:t>
            </w:r>
          </w:p>
        </w:tc>
        <w:tc>
          <w:tcPr>
            <w:tcW w:w="980" w:type="dxa"/>
            <w:shd w:val="clear" w:color="auto" w:fill="auto"/>
            <w:vAlign w:val="center"/>
          </w:tcPr>
          <w:p w:rsidR="00385835" w:rsidRPr="00FC6264" w:rsidRDefault="00385835" w:rsidP="005464A7">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eastAsia="AngsanaUPC" w:hAnsi="Times New Roman"/>
                <w:bCs/>
                <w:iCs/>
                <w:sz w:val="18"/>
                <w:szCs w:val="18"/>
                <w:lang w:eastAsia="lt-LT"/>
              </w:rPr>
              <w:t>1</w:t>
            </w:r>
            <w:r w:rsidR="005464A7" w:rsidRPr="00FC6264">
              <w:rPr>
                <w:rFonts w:ascii="Times New Roman" w:eastAsia="AngsanaUPC" w:hAnsi="Times New Roman"/>
                <w:bCs/>
                <w:iCs/>
                <w:sz w:val="18"/>
                <w:szCs w:val="18"/>
                <w:lang w:eastAsia="lt-LT"/>
              </w:rPr>
              <w:t>97</w:t>
            </w:r>
          </w:p>
        </w:tc>
        <w:tc>
          <w:tcPr>
            <w:tcW w:w="923" w:type="dxa"/>
            <w:shd w:val="clear" w:color="auto" w:fill="auto"/>
            <w:vAlign w:val="center"/>
          </w:tcPr>
          <w:p w:rsidR="00385835" w:rsidRPr="00FC6264"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eastAsia="AngsanaUPC" w:hAnsi="Times New Roman"/>
                <w:bCs/>
                <w:iCs/>
                <w:sz w:val="18"/>
                <w:szCs w:val="18"/>
                <w:lang w:eastAsia="lt-LT"/>
              </w:rPr>
              <w:t>2013</w:t>
            </w:r>
          </w:p>
        </w:tc>
        <w:tc>
          <w:tcPr>
            <w:tcW w:w="952" w:type="dxa"/>
            <w:shd w:val="clear" w:color="auto" w:fill="auto"/>
            <w:vAlign w:val="center"/>
          </w:tcPr>
          <w:p w:rsidR="00385835" w:rsidRPr="00FC6264"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eastAsia="AngsanaUPC" w:hAnsi="Times New Roman"/>
                <w:bCs/>
                <w:iCs/>
                <w:sz w:val="18"/>
                <w:szCs w:val="18"/>
                <w:lang w:eastAsia="lt-LT"/>
              </w:rPr>
              <w:t>113</w:t>
            </w:r>
          </w:p>
        </w:tc>
        <w:tc>
          <w:tcPr>
            <w:tcW w:w="1274" w:type="dxa"/>
            <w:shd w:val="clear" w:color="auto" w:fill="auto"/>
            <w:vAlign w:val="center"/>
          </w:tcPr>
          <w:p w:rsidR="00385835" w:rsidRPr="00FC6264" w:rsidRDefault="005464A7"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eastAsia="AngsanaUPC" w:hAnsi="Times New Roman"/>
                <w:bCs/>
                <w:iCs/>
                <w:sz w:val="18"/>
                <w:szCs w:val="18"/>
                <w:lang w:eastAsia="lt-LT"/>
              </w:rPr>
              <w:t>Lietuvos automobilių kelių direkcijos prie Susisiekimo ministerijos duomenys</w:t>
            </w:r>
          </w:p>
        </w:tc>
        <w:tc>
          <w:tcPr>
            <w:tcW w:w="1116"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385835" w:rsidRPr="00385835" w:rsidTr="007F0617">
        <w:tblPrEx>
          <w:shd w:val="clear" w:color="auto" w:fill="auto"/>
        </w:tblPrEx>
        <w:tc>
          <w:tcPr>
            <w:tcW w:w="567" w:type="dxa"/>
            <w:shd w:val="clear" w:color="auto" w:fill="auto"/>
            <w:vAlign w:val="center"/>
          </w:tcPr>
          <w:p w:rsidR="00385835" w:rsidRPr="00FC6264" w:rsidRDefault="00955474" w:rsidP="00385835">
            <w:pPr>
              <w:widowControl w:val="0"/>
              <w:tabs>
                <w:tab w:val="left" w:pos="622"/>
              </w:tabs>
              <w:spacing w:after="0" w:line="240" w:lineRule="auto"/>
              <w:jc w:val="center"/>
              <w:rPr>
                <w:rFonts w:ascii="Times New Roman" w:eastAsia="AngsanaUPC" w:hAnsi="Times New Roman"/>
                <w:bCs/>
                <w:iCs/>
                <w:sz w:val="18"/>
                <w:szCs w:val="18"/>
                <w:lang w:eastAsia="lt-LT"/>
              </w:rPr>
            </w:pPr>
            <w:r>
              <w:rPr>
                <w:rFonts w:ascii="Times New Roman" w:eastAsia="AngsanaUPC" w:hAnsi="Times New Roman"/>
                <w:bCs/>
                <w:iCs/>
                <w:sz w:val="18"/>
                <w:szCs w:val="18"/>
                <w:lang w:eastAsia="lt-LT"/>
              </w:rPr>
              <w:t>2</w:t>
            </w:r>
            <w:r w:rsidR="00385835" w:rsidRPr="00FC6264">
              <w:rPr>
                <w:rFonts w:ascii="Times New Roman" w:eastAsia="AngsanaUPC" w:hAnsi="Times New Roman"/>
                <w:bCs/>
                <w:iCs/>
                <w:sz w:val="18"/>
                <w:szCs w:val="18"/>
                <w:lang w:eastAsia="lt-LT"/>
              </w:rPr>
              <w:t>.</w:t>
            </w:r>
          </w:p>
        </w:tc>
        <w:tc>
          <w:tcPr>
            <w:tcW w:w="1813" w:type="dxa"/>
            <w:shd w:val="clear" w:color="auto" w:fill="auto"/>
            <w:vAlign w:val="center"/>
          </w:tcPr>
          <w:p w:rsidR="00385835" w:rsidRPr="00FC6264" w:rsidRDefault="00385835" w:rsidP="00385835">
            <w:pPr>
              <w:widowControl w:val="0"/>
              <w:tabs>
                <w:tab w:val="left" w:pos="622"/>
              </w:tabs>
              <w:spacing w:after="0" w:line="240" w:lineRule="auto"/>
              <w:rPr>
                <w:rFonts w:ascii="Times New Roman" w:eastAsia="AngsanaUPC" w:hAnsi="Times New Roman"/>
                <w:bCs/>
                <w:sz w:val="18"/>
                <w:szCs w:val="18"/>
                <w:lang w:eastAsia="lt-LT"/>
              </w:rPr>
            </w:pPr>
            <w:r w:rsidRPr="00FC6264">
              <w:rPr>
                <w:rFonts w:ascii="Times New Roman" w:eastAsia="AngsanaUPC" w:hAnsi="Times New Roman"/>
                <w:bCs/>
                <w:sz w:val="18"/>
                <w:szCs w:val="18"/>
                <w:lang w:eastAsia="lt-LT"/>
              </w:rPr>
              <w:t>Sugaištas kelionės automobilių keliais (išskyrus TEN</w:t>
            </w:r>
            <w:proofErr w:type="gramStart"/>
            <w:r w:rsidRPr="00FC6264">
              <w:rPr>
                <w:rFonts w:ascii="Times New Roman" w:eastAsia="AngsanaUPC" w:hAnsi="Times New Roman"/>
                <w:bCs/>
                <w:sz w:val="18"/>
                <w:szCs w:val="18"/>
                <w:lang w:eastAsia="lt-LT"/>
              </w:rPr>
              <w:t>-</w:t>
            </w:r>
            <w:proofErr w:type="gramEnd"/>
            <w:r w:rsidRPr="00FC6264">
              <w:rPr>
                <w:rFonts w:ascii="Times New Roman" w:eastAsia="AngsanaUPC" w:hAnsi="Times New Roman"/>
                <w:bCs/>
                <w:sz w:val="18"/>
                <w:szCs w:val="18"/>
                <w:lang w:eastAsia="lt-LT"/>
              </w:rPr>
              <w:t>T kelius) laikas</w:t>
            </w:r>
          </w:p>
        </w:tc>
        <w:tc>
          <w:tcPr>
            <w:tcW w:w="1064" w:type="dxa"/>
            <w:shd w:val="clear" w:color="auto" w:fill="auto"/>
            <w:vAlign w:val="center"/>
          </w:tcPr>
          <w:p w:rsidR="00385835" w:rsidRPr="00FC6264" w:rsidRDefault="005464A7" w:rsidP="00385835">
            <w:pPr>
              <w:widowControl w:val="0"/>
              <w:tabs>
                <w:tab w:val="left" w:pos="622"/>
              </w:tabs>
              <w:spacing w:after="0" w:line="240" w:lineRule="auto"/>
              <w:jc w:val="center"/>
              <w:rPr>
                <w:rFonts w:ascii="Times New Roman" w:eastAsia="AngsanaUPC" w:hAnsi="Times New Roman"/>
                <w:bCs/>
                <w:sz w:val="18"/>
                <w:szCs w:val="18"/>
                <w:lang w:eastAsia="lt-LT"/>
              </w:rPr>
            </w:pPr>
            <w:r w:rsidRPr="00FC6264">
              <w:rPr>
                <w:rFonts w:ascii="Times New Roman" w:eastAsia="AngsanaUPC" w:hAnsi="Times New Roman"/>
                <w:bCs/>
                <w:sz w:val="18"/>
                <w:szCs w:val="18"/>
                <w:lang w:eastAsia="lt-LT"/>
              </w:rPr>
              <w:t>Tūkst</w:t>
            </w:r>
            <w:r w:rsidR="00385835" w:rsidRPr="00FC6264">
              <w:rPr>
                <w:rFonts w:ascii="Times New Roman" w:eastAsia="AngsanaUPC" w:hAnsi="Times New Roman"/>
                <w:bCs/>
                <w:sz w:val="18"/>
                <w:szCs w:val="18"/>
                <w:lang w:eastAsia="lt-LT"/>
              </w:rPr>
              <w:t>. val.</w:t>
            </w:r>
          </w:p>
        </w:tc>
        <w:tc>
          <w:tcPr>
            <w:tcW w:w="1092" w:type="dxa"/>
            <w:shd w:val="clear" w:color="auto" w:fill="auto"/>
            <w:vAlign w:val="center"/>
          </w:tcPr>
          <w:p w:rsidR="00385835" w:rsidRPr="00FC6264" w:rsidRDefault="00385835" w:rsidP="00385835">
            <w:pPr>
              <w:widowControl w:val="0"/>
              <w:tabs>
                <w:tab w:val="left" w:pos="622"/>
              </w:tabs>
              <w:spacing w:after="0" w:line="240" w:lineRule="auto"/>
              <w:jc w:val="center"/>
              <w:rPr>
                <w:rFonts w:ascii="Times New Roman" w:eastAsia="AngsanaUPC" w:hAnsi="Times New Roman"/>
                <w:bCs/>
                <w:sz w:val="18"/>
                <w:szCs w:val="18"/>
                <w:lang w:eastAsia="lt-LT"/>
              </w:rPr>
            </w:pPr>
            <w:r w:rsidRPr="00FC6264">
              <w:rPr>
                <w:rFonts w:ascii="Times New Roman" w:eastAsia="AngsanaUPC" w:hAnsi="Times New Roman"/>
                <w:bCs/>
                <w:sz w:val="18"/>
                <w:szCs w:val="18"/>
                <w:lang w:eastAsia="lt-LT"/>
              </w:rPr>
              <w:t>Mažiau išsivystęs</w:t>
            </w:r>
          </w:p>
        </w:tc>
        <w:tc>
          <w:tcPr>
            <w:tcW w:w="980" w:type="dxa"/>
            <w:shd w:val="clear" w:color="auto" w:fill="auto"/>
            <w:vAlign w:val="center"/>
          </w:tcPr>
          <w:p w:rsidR="00385835" w:rsidRPr="00FC6264" w:rsidRDefault="005464A7"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eastAsia="AngsanaUPC" w:hAnsi="Times New Roman"/>
                <w:bCs/>
                <w:iCs/>
                <w:sz w:val="18"/>
                <w:szCs w:val="18"/>
                <w:lang w:eastAsia="lt-LT"/>
              </w:rPr>
              <w:t>1.</w:t>
            </w:r>
            <w:r w:rsidR="00385835" w:rsidRPr="00FC6264">
              <w:rPr>
                <w:rFonts w:ascii="Times New Roman" w:eastAsia="AngsanaUPC" w:hAnsi="Times New Roman"/>
                <w:bCs/>
                <w:iCs/>
                <w:sz w:val="18"/>
                <w:szCs w:val="18"/>
                <w:lang w:eastAsia="lt-LT"/>
              </w:rPr>
              <w:t>61</w:t>
            </w:r>
            <w:r w:rsidRPr="00FC6264">
              <w:rPr>
                <w:rFonts w:ascii="Times New Roman" w:eastAsia="AngsanaUPC" w:hAnsi="Times New Roman"/>
                <w:bCs/>
                <w:iCs/>
                <w:sz w:val="18"/>
                <w:szCs w:val="18"/>
                <w:lang w:eastAsia="lt-LT"/>
              </w:rPr>
              <w:t>0</w:t>
            </w:r>
          </w:p>
        </w:tc>
        <w:tc>
          <w:tcPr>
            <w:tcW w:w="923" w:type="dxa"/>
            <w:shd w:val="clear" w:color="auto" w:fill="auto"/>
            <w:vAlign w:val="center"/>
          </w:tcPr>
          <w:p w:rsidR="00385835" w:rsidRPr="00FC6264"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eastAsia="AngsanaUPC" w:hAnsi="Times New Roman"/>
                <w:bCs/>
                <w:iCs/>
                <w:sz w:val="18"/>
                <w:szCs w:val="18"/>
                <w:lang w:eastAsia="lt-LT"/>
              </w:rPr>
              <w:t>2013</w:t>
            </w:r>
          </w:p>
        </w:tc>
        <w:tc>
          <w:tcPr>
            <w:tcW w:w="952" w:type="dxa"/>
            <w:shd w:val="clear" w:color="auto" w:fill="auto"/>
            <w:vAlign w:val="center"/>
          </w:tcPr>
          <w:p w:rsidR="00385835" w:rsidRPr="00FC6264" w:rsidRDefault="00385835" w:rsidP="005464A7">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eastAsia="AngsanaUPC" w:hAnsi="Times New Roman"/>
                <w:bCs/>
                <w:iCs/>
                <w:sz w:val="18"/>
                <w:szCs w:val="18"/>
                <w:lang w:eastAsia="lt-LT"/>
              </w:rPr>
              <w:t>1</w:t>
            </w:r>
            <w:r w:rsidR="005464A7" w:rsidRPr="00FC6264">
              <w:rPr>
                <w:rFonts w:ascii="Times New Roman" w:eastAsia="AngsanaUPC" w:hAnsi="Times New Roman"/>
                <w:bCs/>
                <w:iCs/>
                <w:sz w:val="18"/>
                <w:szCs w:val="18"/>
                <w:lang w:eastAsia="lt-LT"/>
              </w:rPr>
              <w:t>.</w:t>
            </w:r>
            <w:r w:rsidRPr="00FC6264">
              <w:rPr>
                <w:rFonts w:ascii="Times New Roman" w:eastAsia="AngsanaUPC" w:hAnsi="Times New Roman"/>
                <w:bCs/>
                <w:iCs/>
                <w:sz w:val="18"/>
                <w:szCs w:val="18"/>
                <w:lang w:eastAsia="lt-LT"/>
              </w:rPr>
              <w:t>55</w:t>
            </w:r>
            <w:r w:rsidR="005464A7" w:rsidRPr="00FC6264">
              <w:rPr>
                <w:rFonts w:ascii="Times New Roman" w:eastAsia="AngsanaUPC" w:hAnsi="Times New Roman"/>
                <w:bCs/>
                <w:iCs/>
                <w:sz w:val="18"/>
                <w:szCs w:val="18"/>
                <w:lang w:eastAsia="lt-LT"/>
              </w:rPr>
              <w:t>0</w:t>
            </w:r>
          </w:p>
        </w:tc>
        <w:tc>
          <w:tcPr>
            <w:tcW w:w="1274" w:type="dxa"/>
            <w:shd w:val="clear" w:color="auto" w:fill="auto"/>
            <w:vAlign w:val="center"/>
          </w:tcPr>
          <w:p w:rsidR="00385835" w:rsidRPr="00FC6264"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eastAsia="AngsanaUPC" w:hAnsi="Times New Roman"/>
                <w:bCs/>
                <w:iCs/>
                <w:sz w:val="18"/>
                <w:szCs w:val="18"/>
                <w:lang w:eastAsia="lt-LT"/>
              </w:rPr>
              <w:t>Duomenys iš projektų</w:t>
            </w:r>
          </w:p>
        </w:tc>
        <w:tc>
          <w:tcPr>
            <w:tcW w:w="1116"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385835" w:rsidRPr="00385835" w:rsidTr="007F0617">
        <w:tblPrEx>
          <w:shd w:val="clear" w:color="auto" w:fill="auto"/>
        </w:tblPrEx>
        <w:tc>
          <w:tcPr>
            <w:tcW w:w="567" w:type="dxa"/>
            <w:shd w:val="clear" w:color="auto" w:fill="auto"/>
            <w:vAlign w:val="center"/>
          </w:tcPr>
          <w:p w:rsidR="00385835" w:rsidRPr="00FC6264" w:rsidRDefault="00955474" w:rsidP="00385835">
            <w:pPr>
              <w:widowControl w:val="0"/>
              <w:tabs>
                <w:tab w:val="left" w:pos="622"/>
              </w:tabs>
              <w:spacing w:after="0" w:line="240" w:lineRule="auto"/>
              <w:jc w:val="center"/>
              <w:rPr>
                <w:rFonts w:ascii="Times New Roman" w:eastAsia="AngsanaUPC" w:hAnsi="Times New Roman"/>
                <w:bCs/>
                <w:iCs/>
                <w:sz w:val="18"/>
                <w:szCs w:val="18"/>
                <w:lang w:eastAsia="lt-LT"/>
              </w:rPr>
            </w:pPr>
            <w:r>
              <w:rPr>
                <w:rFonts w:ascii="Times New Roman" w:eastAsia="AngsanaUPC" w:hAnsi="Times New Roman"/>
                <w:bCs/>
                <w:iCs/>
                <w:sz w:val="18"/>
                <w:szCs w:val="18"/>
                <w:lang w:eastAsia="lt-LT"/>
              </w:rPr>
              <w:t>3</w:t>
            </w:r>
            <w:r w:rsidR="00385835" w:rsidRPr="00FC6264">
              <w:rPr>
                <w:rFonts w:ascii="Times New Roman" w:eastAsia="AngsanaUPC" w:hAnsi="Times New Roman"/>
                <w:bCs/>
                <w:iCs/>
                <w:sz w:val="18"/>
                <w:szCs w:val="18"/>
                <w:lang w:eastAsia="lt-LT"/>
              </w:rPr>
              <w:t>.</w:t>
            </w:r>
          </w:p>
        </w:tc>
        <w:tc>
          <w:tcPr>
            <w:tcW w:w="1813" w:type="dxa"/>
            <w:shd w:val="clear" w:color="auto" w:fill="auto"/>
            <w:vAlign w:val="center"/>
          </w:tcPr>
          <w:p w:rsidR="00385835" w:rsidRPr="00FC6264" w:rsidRDefault="00385835" w:rsidP="00385835">
            <w:pPr>
              <w:widowControl w:val="0"/>
              <w:tabs>
                <w:tab w:val="left" w:pos="622"/>
              </w:tabs>
              <w:spacing w:after="0" w:line="240" w:lineRule="auto"/>
              <w:rPr>
                <w:rFonts w:ascii="Times New Roman" w:eastAsia="AngsanaUPC" w:hAnsi="Times New Roman"/>
                <w:bCs/>
                <w:sz w:val="18"/>
                <w:szCs w:val="18"/>
                <w:lang w:eastAsia="lt-LT"/>
              </w:rPr>
            </w:pPr>
            <w:r w:rsidRPr="00FC6264">
              <w:rPr>
                <w:rFonts w:ascii="Times New Roman" w:eastAsia="AngsanaUPC" w:hAnsi="Times New Roman"/>
                <w:bCs/>
                <w:sz w:val="18"/>
                <w:szCs w:val="18"/>
                <w:lang w:eastAsia="lt-LT"/>
              </w:rPr>
              <w:t>Vidaus vandenų transportu vežtų krovinių kiekis</w:t>
            </w:r>
          </w:p>
        </w:tc>
        <w:tc>
          <w:tcPr>
            <w:tcW w:w="1064" w:type="dxa"/>
            <w:shd w:val="clear" w:color="auto" w:fill="auto"/>
            <w:vAlign w:val="center"/>
          </w:tcPr>
          <w:p w:rsidR="00385835" w:rsidRPr="00FC6264" w:rsidRDefault="00385835" w:rsidP="00385835">
            <w:pPr>
              <w:widowControl w:val="0"/>
              <w:tabs>
                <w:tab w:val="left" w:pos="622"/>
              </w:tabs>
              <w:spacing w:after="0" w:line="240" w:lineRule="auto"/>
              <w:jc w:val="center"/>
              <w:rPr>
                <w:rFonts w:ascii="Times New Roman" w:eastAsia="AngsanaUPC" w:hAnsi="Times New Roman"/>
                <w:bCs/>
                <w:sz w:val="18"/>
                <w:szCs w:val="18"/>
                <w:lang w:eastAsia="lt-LT"/>
              </w:rPr>
            </w:pPr>
            <w:r w:rsidRPr="00FC6264">
              <w:rPr>
                <w:rFonts w:ascii="Times New Roman" w:eastAsia="AngsanaUPC" w:hAnsi="Times New Roman"/>
                <w:bCs/>
                <w:sz w:val="18"/>
                <w:szCs w:val="18"/>
                <w:lang w:eastAsia="lt-LT"/>
              </w:rPr>
              <w:t>Tonos per metus</w:t>
            </w:r>
          </w:p>
        </w:tc>
        <w:tc>
          <w:tcPr>
            <w:tcW w:w="1092" w:type="dxa"/>
            <w:shd w:val="clear" w:color="auto" w:fill="auto"/>
            <w:vAlign w:val="center"/>
          </w:tcPr>
          <w:p w:rsidR="00385835" w:rsidRPr="00FC6264" w:rsidRDefault="00385835" w:rsidP="00385835">
            <w:pPr>
              <w:widowControl w:val="0"/>
              <w:tabs>
                <w:tab w:val="left" w:pos="622"/>
              </w:tabs>
              <w:spacing w:after="0" w:line="240" w:lineRule="auto"/>
              <w:jc w:val="center"/>
              <w:rPr>
                <w:rFonts w:ascii="Times New Roman" w:eastAsia="AngsanaUPC" w:hAnsi="Times New Roman"/>
                <w:bCs/>
                <w:sz w:val="18"/>
                <w:szCs w:val="18"/>
                <w:lang w:eastAsia="lt-LT"/>
              </w:rPr>
            </w:pPr>
            <w:r w:rsidRPr="00FC6264">
              <w:rPr>
                <w:rFonts w:ascii="Times New Roman" w:eastAsia="AngsanaUPC" w:hAnsi="Times New Roman"/>
                <w:bCs/>
                <w:sz w:val="18"/>
                <w:szCs w:val="18"/>
                <w:lang w:eastAsia="lt-LT"/>
              </w:rPr>
              <w:t>Mažiau išsivystęs</w:t>
            </w:r>
          </w:p>
        </w:tc>
        <w:tc>
          <w:tcPr>
            <w:tcW w:w="980" w:type="dxa"/>
            <w:shd w:val="clear" w:color="auto" w:fill="auto"/>
            <w:vAlign w:val="center"/>
          </w:tcPr>
          <w:p w:rsidR="00385835" w:rsidRPr="00FC6264" w:rsidRDefault="005464A7" w:rsidP="009348A3">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eastAsia="AngsanaUPC" w:hAnsi="Times New Roman"/>
                <w:bCs/>
                <w:iCs/>
                <w:sz w:val="18"/>
                <w:szCs w:val="18"/>
                <w:lang w:eastAsia="lt-LT"/>
              </w:rPr>
              <w:t>1.076</w:t>
            </w:r>
            <w:r w:rsidR="009348A3" w:rsidRPr="00FC6264">
              <w:rPr>
                <w:rFonts w:ascii="Times New Roman" w:eastAsia="AngsanaUPC" w:hAnsi="Times New Roman"/>
                <w:bCs/>
                <w:iCs/>
                <w:sz w:val="18"/>
                <w:szCs w:val="18"/>
                <w:lang w:eastAsia="lt-LT"/>
              </w:rPr>
              <w:t>.</w:t>
            </w:r>
            <w:r w:rsidRPr="00FC6264">
              <w:rPr>
                <w:rFonts w:ascii="Times New Roman" w:eastAsia="AngsanaUPC" w:hAnsi="Times New Roman"/>
                <w:bCs/>
                <w:iCs/>
                <w:sz w:val="18"/>
                <w:szCs w:val="18"/>
                <w:lang w:eastAsia="lt-LT"/>
              </w:rPr>
              <w:t>7</w:t>
            </w:r>
            <w:r w:rsidR="00385835" w:rsidRPr="00FC6264">
              <w:rPr>
                <w:rFonts w:ascii="Times New Roman" w:eastAsia="AngsanaUPC" w:hAnsi="Times New Roman"/>
                <w:bCs/>
                <w:iCs/>
                <w:sz w:val="18"/>
                <w:szCs w:val="18"/>
                <w:lang w:eastAsia="lt-LT"/>
              </w:rPr>
              <w:t>00</w:t>
            </w:r>
          </w:p>
        </w:tc>
        <w:tc>
          <w:tcPr>
            <w:tcW w:w="923" w:type="dxa"/>
            <w:shd w:val="clear" w:color="auto" w:fill="auto"/>
            <w:vAlign w:val="center"/>
          </w:tcPr>
          <w:p w:rsidR="00385835" w:rsidRPr="00FC6264"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eastAsia="AngsanaUPC" w:hAnsi="Times New Roman"/>
                <w:bCs/>
                <w:iCs/>
                <w:sz w:val="18"/>
                <w:szCs w:val="18"/>
                <w:lang w:eastAsia="lt-LT"/>
              </w:rPr>
              <w:t>2013</w:t>
            </w:r>
          </w:p>
        </w:tc>
        <w:tc>
          <w:tcPr>
            <w:tcW w:w="952" w:type="dxa"/>
            <w:shd w:val="clear" w:color="auto" w:fill="auto"/>
            <w:vAlign w:val="center"/>
          </w:tcPr>
          <w:p w:rsidR="00385835" w:rsidRPr="00FC6264" w:rsidRDefault="005464A7" w:rsidP="009348A3">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eastAsia="AngsanaUPC" w:hAnsi="Times New Roman"/>
                <w:bCs/>
                <w:iCs/>
                <w:sz w:val="18"/>
                <w:szCs w:val="18"/>
                <w:lang w:eastAsia="lt-LT"/>
              </w:rPr>
              <w:t>1.106.700</w:t>
            </w:r>
          </w:p>
        </w:tc>
        <w:tc>
          <w:tcPr>
            <w:tcW w:w="1274" w:type="dxa"/>
            <w:shd w:val="clear" w:color="auto" w:fill="auto"/>
            <w:vAlign w:val="center"/>
          </w:tcPr>
          <w:p w:rsidR="00385835" w:rsidRPr="00FC6264" w:rsidRDefault="005464A7"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eastAsia="AngsanaUPC" w:hAnsi="Times New Roman"/>
                <w:bCs/>
                <w:iCs/>
                <w:sz w:val="18"/>
                <w:szCs w:val="18"/>
                <w:lang w:eastAsia="lt-LT"/>
              </w:rPr>
              <w:t>Lietuvos statistikos departamentas</w:t>
            </w:r>
          </w:p>
        </w:tc>
        <w:tc>
          <w:tcPr>
            <w:tcW w:w="1116"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bl>
    <w:p w:rsidR="00385835" w:rsidRPr="00385835" w:rsidRDefault="00385835" w:rsidP="00385835">
      <w:pPr>
        <w:spacing w:after="0"/>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385835" w:rsidRPr="00385835" w:rsidTr="00385835">
        <w:tc>
          <w:tcPr>
            <w:tcW w:w="9746" w:type="dxa"/>
            <w:tcBorders>
              <w:top w:val="single" w:sz="4" w:space="0" w:color="auto"/>
              <w:left w:val="single" w:sz="4" w:space="0" w:color="auto"/>
              <w:bottom w:val="single" w:sz="4" w:space="0" w:color="auto"/>
              <w:right w:val="single" w:sz="4" w:space="0" w:color="auto"/>
            </w:tcBorders>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Cs/>
                <w:iCs/>
                <w:sz w:val="24"/>
                <w:szCs w:val="24"/>
                <w:lang w:eastAsia="lt-LT"/>
              </w:rPr>
            </w:pPr>
            <w:r w:rsidRPr="00385835">
              <w:rPr>
                <w:rFonts w:ascii="Times New Roman" w:eastAsia="AngsanaUPC" w:hAnsi="Times New Roman"/>
                <w:b/>
                <w:bCs/>
                <w:i/>
                <w:iCs/>
                <w:sz w:val="24"/>
                <w:szCs w:val="24"/>
                <w:lang w:eastAsia="lt-LT"/>
              </w:rPr>
              <w:t>6.2. Investicinio prioriteto įgyvendinimo veiklos</w:t>
            </w:r>
          </w:p>
        </w:tc>
      </w:tr>
      <w:tr w:rsidR="00385835" w:rsidRPr="00385835" w:rsidTr="00385835">
        <w:tc>
          <w:tcPr>
            <w:tcW w:w="9746" w:type="dxa"/>
            <w:shd w:val="clear" w:color="auto" w:fill="auto"/>
          </w:tcPr>
          <w:p w:rsidR="00385835" w:rsidRPr="00385835" w:rsidRDefault="00385835" w:rsidP="00650E41">
            <w:pPr>
              <w:widowControl w:val="0"/>
              <w:numPr>
                <w:ilvl w:val="0"/>
                <w:numId w:val="13"/>
              </w:numPr>
              <w:tabs>
                <w:tab w:val="left" w:pos="622"/>
                <w:tab w:val="left" w:pos="1665"/>
              </w:tabs>
              <w:spacing w:after="0" w:line="240" w:lineRule="auto"/>
              <w:ind w:left="34" w:firstLine="0"/>
              <w:jc w:val="both"/>
              <w:rPr>
                <w:rFonts w:ascii="Times New Roman" w:hAnsi="Times New Roman"/>
                <w:sz w:val="24"/>
                <w:szCs w:val="24"/>
              </w:rPr>
            </w:pPr>
            <w:r w:rsidRPr="00385835">
              <w:rPr>
                <w:rFonts w:ascii="Times New Roman" w:hAnsi="Times New Roman"/>
                <w:sz w:val="24"/>
                <w:szCs w:val="24"/>
              </w:rPr>
              <w:t>Regionų judumo ir prieinamumo gerinimas</w:t>
            </w:r>
            <w:r w:rsidR="000057C2">
              <w:rPr>
                <w:rFonts w:ascii="Times New Roman" w:hAnsi="Times New Roman"/>
                <w:sz w:val="24"/>
                <w:szCs w:val="24"/>
              </w:rPr>
              <w:t>,</w:t>
            </w:r>
            <w:r w:rsidRPr="00385835">
              <w:rPr>
                <w:rFonts w:ascii="Times New Roman" w:hAnsi="Times New Roman"/>
                <w:sz w:val="24"/>
                <w:szCs w:val="24"/>
              </w:rPr>
              <w:t xml:space="preserve"> tiesiant ir rekonstruojant trūkstamų pagrindinio šalies transporto tinklo elementų jungtis: valstybinės reikšmės kelių (jungčių su TEN-T tinklu) atnaujinimas ir patobulinimas, didina</w:t>
            </w:r>
            <w:r w:rsidR="001566F7">
              <w:rPr>
                <w:rFonts w:ascii="Times New Roman" w:hAnsi="Times New Roman"/>
                <w:sz w:val="24"/>
                <w:szCs w:val="24"/>
              </w:rPr>
              <w:t>n</w:t>
            </w:r>
            <w:r w:rsidRPr="00385835">
              <w:rPr>
                <w:rFonts w:ascii="Times New Roman" w:hAnsi="Times New Roman"/>
                <w:sz w:val="24"/>
                <w:szCs w:val="24"/>
              </w:rPr>
              <w:t>t eismo saugą, atitiktį aplinkosaugos reikalavimams;</w:t>
            </w:r>
            <w:proofErr w:type="gramStart"/>
            <w:r w:rsidRPr="00385835">
              <w:rPr>
                <w:rFonts w:ascii="Times New Roman" w:hAnsi="Times New Roman"/>
                <w:sz w:val="24"/>
                <w:szCs w:val="24"/>
              </w:rPr>
              <w:t xml:space="preserve">  </w:t>
            </w:r>
            <w:proofErr w:type="gramEnd"/>
            <w:r w:rsidRPr="00385835">
              <w:rPr>
                <w:rFonts w:ascii="Times New Roman" w:hAnsi="Times New Roman"/>
                <w:sz w:val="24"/>
                <w:szCs w:val="24"/>
              </w:rPr>
              <w:t>valstybinės reikšmės kelių (nepriklausančių TEN-T tinklui ir jungtims su juo) atnaujinimas ir techninių parametrų gerinimas, eismo saugos ir aplinkosauginių priemonių diegimas; ITS, užtikrinančios efektyvų srautų valdymą ir eismo saugą, diegimas.</w:t>
            </w:r>
          </w:p>
          <w:p w:rsidR="00385835" w:rsidRPr="00385835" w:rsidRDefault="00385835" w:rsidP="00650E41">
            <w:pPr>
              <w:widowControl w:val="0"/>
              <w:numPr>
                <w:ilvl w:val="0"/>
                <w:numId w:val="13"/>
              </w:numPr>
              <w:tabs>
                <w:tab w:val="left" w:pos="622"/>
                <w:tab w:val="left" w:pos="1665"/>
              </w:tabs>
              <w:spacing w:after="0" w:line="240" w:lineRule="auto"/>
              <w:ind w:left="34" w:firstLine="0"/>
              <w:jc w:val="both"/>
              <w:rPr>
                <w:rFonts w:ascii="Times New Roman" w:eastAsia="AngsanaUPC" w:hAnsi="Times New Roman"/>
                <w:bCs/>
                <w:iCs/>
                <w:sz w:val="24"/>
                <w:szCs w:val="24"/>
                <w:lang w:eastAsia="lt-LT"/>
              </w:rPr>
            </w:pPr>
            <w:r w:rsidRPr="00385835">
              <w:rPr>
                <w:rFonts w:ascii="Times New Roman" w:hAnsi="Times New Roman"/>
                <w:sz w:val="24"/>
                <w:szCs w:val="24"/>
              </w:rPr>
              <w:t xml:space="preserve">Geležinkelių transporto patrauklumo regionuose didinimas, gerinant geležinkelių transporto saugą ir atitiktį </w:t>
            </w:r>
            <w:r w:rsidR="000057C2">
              <w:rPr>
                <w:rFonts w:ascii="Times New Roman" w:hAnsi="Times New Roman"/>
                <w:sz w:val="24"/>
                <w:szCs w:val="24"/>
              </w:rPr>
              <w:t>aplinkosauginiams reikalavimams;</w:t>
            </w:r>
            <w:r w:rsidRPr="00385835">
              <w:rPr>
                <w:rFonts w:ascii="Times New Roman" w:hAnsi="Times New Roman"/>
                <w:sz w:val="24"/>
                <w:szCs w:val="24"/>
              </w:rPr>
              <w:t xml:space="preserve"> geležinkelių transporto aplinkos apsaugos priemonių diegimas (triukšmą slopinančių priemonių įdiegimas); geležinkelių transporto eismo saugos priemonių diegimas geležinkelių pervažose.</w:t>
            </w:r>
          </w:p>
          <w:p w:rsidR="00385835" w:rsidRPr="00385835" w:rsidRDefault="00385835" w:rsidP="00650E41">
            <w:pPr>
              <w:widowControl w:val="0"/>
              <w:numPr>
                <w:ilvl w:val="0"/>
                <w:numId w:val="13"/>
              </w:numPr>
              <w:tabs>
                <w:tab w:val="left" w:pos="459"/>
                <w:tab w:val="left" w:pos="622"/>
                <w:tab w:val="left" w:pos="1665"/>
              </w:tabs>
              <w:spacing w:after="0" w:line="240" w:lineRule="auto"/>
              <w:ind w:left="34" w:firstLine="0"/>
              <w:jc w:val="both"/>
              <w:rPr>
                <w:rFonts w:ascii="Times New Roman" w:hAnsi="Times New Roman"/>
                <w:sz w:val="24"/>
                <w:szCs w:val="24"/>
              </w:rPr>
            </w:pPr>
            <w:r w:rsidRPr="00385835">
              <w:rPr>
                <w:rFonts w:ascii="Times New Roman" w:hAnsi="Times New Roman"/>
                <w:sz w:val="24"/>
                <w:szCs w:val="24"/>
              </w:rPr>
              <w:t>Vidaus vandens transporto infrastruktūros modernizavimas ir plėtra, vand</w:t>
            </w:r>
            <w:r w:rsidR="000057C2">
              <w:rPr>
                <w:rFonts w:ascii="Times New Roman" w:hAnsi="Times New Roman"/>
                <w:sz w:val="24"/>
                <w:szCs w:val="24"/>
              </w:rPr>
              <w:t>ens transporto saugos didinimas;</w:t>
            </w:r>
            <w:r w:rsidRPr="00385835">
              <w:rPr>
                <w:rFonts w:ascii="Times New Roman" w:hAnsi="Times New Roman"/>
                <w:sz w:val="24"/>
                <w:szCs w:val="24"/>
              </w:rPr>
              <w:t xml:space="preserve"> laivybos vidaus vandenų keliais gerinimas, gerinant laivybos sąlygas, užtikrinant garantinių matmenų laikymąsi, sumažinant krantų ir upės dugno eroziją, tranzitinių nešmenų nus</w:t>
            </w:r>
            <w:r w:rsidR="000057C2">
              <w:rPr>
                <w:rFonts w:ascii="Times New Roman" w:hAnsi="Times New Roman"/>
                <w:sz w:val="24"/>
                <w:szCs w:val="24"/>
              </w:rPr>
              <w:t xml:space="preserve">ėdimą </w:t>
            </w:r>
            <w:r w:rsidRPr="00385835">
              <w:rPr>
                <w:rFonts w:ascii="Times New Roman" w:hAnsi="Times New Roman"/>
                <w:sz w:val="24"/>
                <w:szCs w:val="24"/>
              </w:rPr>
              <w:t>tęsiant 2007–2013 m. laikotarpiu pradėtą vidaus vandens kelio modernizaciją.</w:t>
            </w:r>
          </w:p>
          <w:p w:rsidR="00385835" w:rsidRPr="00385835" w:rsidRDefault="00385835" w:rsidP="00650E41">
            <w:pPr>
              <w:widowControl w:val="0"/>
              <w:numPr>
                <w:ilvl w:val="0"/>
                <w:numId w:val="65"/>
              </w:numPr>
              <w:tabs>
                <w:tab w:val="left" w:pos="459"/>
                <w:tab w:val="left" w:pos="1665"/>
              </w:tabs>
              <w:spacing w:after="0" w:line="240" w:lineRule="auto"/>
              <w:ind w:left="34" w:firstLine="0"/>
              <w:jc w:val="both"/>
              <w:rPr>
                <w:rFonts w:ascii="Times New Roman" w:hAnsi="Times New Roman"/>
                <w:sz w:val="24"/>
                <w:szCs w:val="24"/>
              </w:rPr>
            </w:pPr>
            <w:r w:rsidRPr="00385835">
              <w:rPr>
                <w:rFonts w:ascii="Times New Roman" w:hAnsi="Times New Roman"/>
                <w:sz w:val="24"/>
                <w:szCs w:val="24"/>
              </w:rPr>
              <w:t>Vietinės reikšmės (regionų) susisiekimo gerinimas: regionų strategijose numatytas transporto infrastruktūros vystymas</w:t>
            </w:r>
            <w:r w:rsidR="000057C2">
              <w:rPr>
                <w:rFonts w:ascii="Times New Roman" w:hAnsi="Times New Roman"/>
                <w:sz w:val="24"/>
                <w:szCs w:val="24"/>
              </w:rPr>
              <w:t>,</w:t>
            </w:r>
            <w:r w:rsidRPr="00385835">
              <w:rPr>
                <w:rFonts w:ascii="Times New Roman" w:hAnsi="Times New Roman"/>
                <w:sz w:val="24"/>
                <w:szCs w:val="24"/>
              </w:rPr>
              <w:t xml:space="preserve"> įgyvendinant regionų ir savivaldybių plėtros programas ir</w:t>
            </w:r>
            <w:r w:rsidRPr="00385835">
              <w:rPr>
                <w:rFonts w:ascii="Times New Roman" w:hAnsi="Times New Roman"/>
                <w:bCs/>
                <w:sz w:val="24"/>
                <w:szCs w:val="24"/>
              </w:rPr>
              <w:t xml:space="preserve"> integruotas tikslinių teritorijų plėtros programas</w:t>
            </w:r>
            <w:r w:rsidRPr="00385835">
              <w:rPr>
                <w:rFonts w:ascii="Times New Roman" w:hAnsi="Times New Roman"/>
                <w:sz w:val="24"/>
                <w:szCs w:val="24"/>
              </w:rPr>
              <w:t xml:space="preserve">. </w:t>
            </w:r>
            <w:r w:rsidRPr="00385835">
              <w:rPr>
                <w:rFonts w:ascii="Times New Roman" w:hAnsi="Times New Roman"/>
                <w:bCs/>
                <w:sz w:val="24"/>
                <w:szCs w:val="24"/>
              </w:rPr>
              <w:t>Investicijos sudarys tik proporcingą dalį strategijose numatytų veiklų, nesiekiant išimtinai tik rajoninės ir vietinės reikšmės kelių tinklo atnaujinimo ir bus pagrįstos kaštų</w:t>
            </w:r>
            <w:r w:rsidRPr="00385835">
              <w:rPr>
                <w:rFonts w:ascii="Times New Roman" w:hAnsi="Times New Roman"/>
                <w:sz w:val="24"/>
                <w:szCs w:val="24"/>
              </w:rPr>
              <w:t>–</w:t>
            </w:r>
            <w:r w:rsidRPr="00385835">
              <w:rPr>
                <w:rFonts w:ascii="Times New Roman" w:hAnsi="Times New Roman"/>
                <w:bCs/>
                <w:sz w:val="24"/>
                <w:szCs w:val="24"/>
              </w:rPr>
              <w:t>naudos analize (įvertinant eismo intensyvumą)</w:t>
            </w:r>
            <w:r w:rsidRPr="00385835">
              <w:rPr>
                <w:rFonts w:ascii="Times New Roman" w:hAnsi="Times New Roman"/>
                <w:sz w:val="24"/>
                <w:szCs w:val="24"/>
              </w:rPr>
              <w:t>.</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i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746"/>
      </w:tblGrid>
      <w:tr w:rsidR="00385835" w:rsidRPr="00385835" w:rsidTr="00385835">
        <w:tc>
          <w:tcPr>
            <w:tcW w:w="9746"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i/>
                <w:iCs/>
                <w:sz w:val="24"/>
                <w:szCs w:val="24"/>
                <w:lang w:eastAsia="lt-LT"/>
              </w:rPr>
              <w:t>Didelės apimties projektai</w:t>
            </w:r>
          </w:p>
        </w:tc>
      </w:tr>
      <w:tr w:rsidR="00385835" w:rsidRPr="00385835" w:rsidTr="00385835">
        <w:tc>
          <w:tcPr>
            <w:tcW w:w="9746" w:type="dxa"/>
            <w:shd w:val="clear" w:color="auto" w:fill="auto"/>
          </w:tcPr>
          <w:p w:rsidR="00385835" w:rsidRPr="00385835" w:rsidRDefault="00CE4AFA" w:rsidP="00385835">
            <w:pPr>
              <w:widowControl w:val="0"/>
              <w:tabs>
                <w:tab w:val="left" w:pos="622"/>
              </w:tabs>
              <w:spacing w:after="0" w:line="240" w:lineRule="auto"/>
              <w:jc w:val="both"/>
              <w:rPr>
                <w:rFonts w:ascii="Times New Roman" w:eastAsia="AngsanaUPC" w:hAnsi="Times New Roman"/>
                <w:bCs/>
                <w:iCs/>
                <w:sz w:val="24"/>
                <w:szCs w:val="24"/>
                <w:lang w:eastAsia="lt-LT"/>
              </w:rPr>
            </w:pPr>
            <w:r>
              <w:rPr>
                <w:rFonts w:ascii="Times New Roman" w:eastAsia="AngsanaUPC" w:hAnsi="Times New Roman"/>
                <w:bCs/>
                <w:iCs/>
                <w:sz w:val="24"/>
                <w:szCs w:val="24"/>
                <w:lang w:eastAsia="lt-LT"/>
              </w:rPr>
              <w:t>Pagal šį</w:t>
            </w:r>
            <w:r w:rsidR="00385835" w:rsidRPr="00385835">
              <w:rPr>
                <w:rFonts w:ascii="Times New Roman" w:eastAsia="AngsanaUPC" w:hAnsi="Times New Roman"/>
                <w:bCs/>
                <w:iCs/>
                <w:sz w:val="24"/>
                <w:szCs w:val="24"/>
                <w:lang w:eastAsia="lt-LT"/>
              </w:rPr>
              <w:t xml:space="preserve"> investicinį prioritetą didelės apimties projektų vykdyti neplanuojama.</w:t>
            </w:r>
          </w:p>
        </w:tc>
      </w:tr>
    </w:tbl>
    <w:p w:rsidR="00463952" w:rsidRPr="00385835" w:rsidRDefault="00463952"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555"/>
        <w:gridCol w:w="2847"/>
        <w:gridCol w:w="1276"/>
        <w:gridCol w:w="837"/>
        <w:gridCol w:w="1006"/>
        <w:gridCol w:w="892"/>
        <w:gridCol w:w="1094"/>
        <w:gridCol w:w="1239"/>
      </w:tblGrid>
      <w:tr w:rsidR="00385835" w:rsidRPr="00385835" w:rsidTr="00385835">
        <w:tc>
          <w:tcPr>
            <w:tcW w:w="9746" w:type="dxa"/>
            <w:gridSpan w:val="8"/>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i/>
                <w:iCs/>
                <w:sz w:val="24"/>
                <w:szCs w:val="24"/>
                <w:lang w:eastAsia="lt-LT"/>
              </w:rPr>
            </w:pPr>
            <w:r w:rsidRPr="00385835">
              <w:rPr>
                <w:rFonts w:ascii="Times New Roman" w:eastAsia="AngsanaUPC" w:hAnsi="Times New Roman"/>
                <w:b/>
                <w:bCs/>
                <w:i/>
                <w:iCs/>
                <w:sz w:val="24"/>
                <w:szCs w:val="24"/>
                <w:lang w:eastAsia="lt-LT"/>
              </w:rPr>
              <w:t xml:space="preserve">ERPF bendrieji ir </w:t>
            </w:r>
            <w:r w:rsidR="00B1109C">
              <w:rPr>
                <w:rFonts w:ascii="Times New Roman" w:eastAsia="AngsanaUPC" w:hAnsi="Times New Roman"/>
                <w:b/>
                <w:bCs/>
                <w:i/>
                <w:iCs/>
                <w:sz w:val="24"/>
                <w:szCs w:val="24"/>
                <w:lang w:eastAsia="lt-LT"/>
              </w:rPr>
              <w:t xml:space="preserve">specialieji programos </w:t>
            </w:r>
            <w:r w:rsidRPr="00385835">
              <w:rPr>
                <w:rFonts w:ascii="Times New Roman" w:eastAsia="AngsanaUPC" w:hAnsi="Times New Roman"/>
                <w:b/>
                <w:bCs/>
                <w:i/>
                <w:iCs/>
                <w:sz w:val="24"/>
                <w:szCs w:val="24"/>
                <w:lang w:eastAsia="lt-LT"/>
              </w:rPr>
              <w:t xml:space="preserve">produkto rodikliai </w:t>
            </w:r>
          </w:p>
        </w:tc>
      </w:tr>
      <w:tr w:rsidR="00385835" w:rsidRPr="00385835" w:rsidTr="00385835">
        <w:tblPrEx>
          <w:shd w:val="clear" w:color="auto" w:fill="auto"/>
        </w:tblPrEx>
        <w:tc>
          <w:tcPr>
            <w:tcW w:w="555"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Nr.</w:t>
            </w:r>
          </w:p>
        </w:tc>
        <w:tc>
          <w:tcPr>
            <w:tcW w:w="2847"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Rodiklio pavadinimas</w:t>
            </w:r>
          </w:p>
        </w:tc>
        <w:tc>
          <w:tcPr>
            <w:tcW w:w="1276"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Matavimo vienetas</w:t>
            </w:r>
          </w:p>
        </w:tc>
        <w:tc>
          <w:tcPr>
            <w:tcW w:w="837"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Fondas</w:t>
            </w:r>
          </w:p>
        </w:tc>
        <w:tc>
          <w:tcPr>
            <w:tcW w:w="1006"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Regiono kategorija</w:t>
            </w:r>
          </w:p>
        </w:tc>
        <w:tc>
          <w:tcPr>
            <w:tcW w:w="892"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Siektina reikšmė (2023)</w:t>
            </w:r>
          </w:p>
        </w:tc>
        <w:tc>
          <w:tcPr>
            <w:tcW w:w="109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Duomenų šaltinis</w:t>
            </w:r>
          </w:p>
        </w:tc>
        <w:tc>
          <w:tcPr>
            <w:tcW w:w="1239"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Atsiskaitymo dažnumas</w:t>
            </w:r>
          </w:p>
        </w:tc>
      </w:tr>
      <w:tr w:rsidR="00385835" w:rsidRPr="00385835" w:rsidTr="00385835">
        <w:tblPrEx>
          <w:shd w:val="clear" w:color="auto" w:fill="auto"/>
        </w:tblPrEx>
        <w:tc>
          <w:tcPr>
            <w:tcW w:w="555"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w:t>
            </w:r>
          </w:p>
        </w:tc>
        <w:tc>
          <w:tcPr>
            <w:tcW w:w="2847" w:type="dxa"/>
            <w:shd w:val="clear" w:color="auto" w:fill="auto"/>
            <w:vAlign w:val="center"/>
          </w:tcPr>
          <w:p w:rsidR="00385835" w:rsidRPr="00385835" w:rsidRDefault="00385835" w:rsidP="00245E10">
            <w:pPr>
              <w:widowControl w:val="0"/>
              <w:tabs>
                <w:tab w:val="left" w:pos="622"/>
              </w:tabs>
              <w:spacing w:after="0" w:line="240" w:lineRule="auto"/>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 xml:space="preserve">Bendras rekonstruotų arba </w:t>
            </w:r>
            <w:r w:rsidR="00245E10">
              <w:rPr>
                <w:rFonts w:ascii="Times New Roman" w:eastAsia="AngsanaUPC" w:hAnsi="Times New Roman"/>
                <w:bCs/>
                <w:iCs/>
                <w:sz w:val="18"/>
                <w:szCs w:val="18"/>
                <w:lang w:eastAsia="lt-LT"/>
              </w:rPr>
              <w:t>atnaujintų</w:t>
            </w:r>
            <w:r w:rsidR="00245E10" w:rsidRPr="00385835">
              <w:rPr>
                <w:rFonts w:ascii="Times New Roman" w:eastAsia="AngsanaUPC" w:hAnsi="Times New Roman"/>
                <w:bCs/>
                <w:iCs/>
                <w:sz w:val="18"/>
                <w:szCs w:val="18"/>
                <w:lang w:eastAsia="lt-LT"/>
              </w:rPr>
              <w:t xml:space="preserve"> </w:t>
            </w:r>
            <w:r w:rsidRPr="00385835">
              <w:rPr>
                <w:rFonts w:ascii="Times New Roman" w:eastAsia="AngsanaUPC" w:hAnsi="Times New Roman"/>
                <w:bCs/>
                <w:iCs/>
                <w:sz w:val="18"/>
                <w:szCs w:val="18"/>
                <w:lang w:eastAsia="lt-LT"/>
              </w:rPr>
              <w:t>kelių ilgis</w:t>
            </w:r>
          </w:p>
        </w:tc>
        <w:tc>
          <w:tcPr>
            <w:tcW w:w="1276"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Km</w:t>
            </w:r>
          </w:p>
        </w:tc>
        <w:tc>
          <w:tcPr>
            <w:tcW w:w="83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ERPF</w:t>
            </w:r>
          </w:p>
        </w:tc>
        <w:tc>
          <w:tcPr>
            <w:tcW w:w="1006" w:type="dxa"/>
            <w:shd w:val="clear" w:color="auto" w:fill="auto"/>
            <w:vAlign w:val="center"/>
          </w:tcPr>
          <w:p w:rsidR="00385835" w:rsidRPr="00385835" w:rsidRDefault="00385835" w:rsidP="00385835">
            <w:pPr>
              <w:spacing w:after="0" w:line="240" w:lineRule="auto"/>
              <w:jc w:val="center"/>
              <w:rPr>
                <w:sz w:val="18"/>
                <w:szCs w:val="18"/>
              </w:rPr>
            </w:pPr>
            <w:r w:rsidRPr="00385835">
              <w:rPr>
                <w:rFonts w:ascii="Times New Roman" w:eastAsia="AngsanaUPC" w:hAnsi="Times New Roman"/>
                <w:bCs/>
                <w:iCs/>
                <w:sz w:val="18"/>
                <w:szCs w:val="18"/>
                <w:lang w:eastAsia="lt-LT"/>
              </w:rPr>
              <w:t>Mažiau išsivystęs</w:t>
            </w:r>
          </w:p>
        </w:tc>
        <w:tc>
          <w:tcPr>
            <w:tcW w:w="892" w:type="dxa"/>
            <w:shd w:val="clear" w:color="auto" w:fill="auto"/>
            <w:vAlign w:val="center"/>
          </w:tcPr>
          <w:p w:rsidR="00385835" w:rsidRPr="00FC6264" w:rsidRDefault="003946F0" w:rsidP="000C1C28">
            <w:pPr>
              <w:spacing w:after="0" w:line="240" w:lineRule="auto"/>
              <w:jc w:val="center"/>
              <w:rPr>
                <w:rFonts w:ascii="Times New Roman" w:hAnsi="Times New Roman"/>
                <w:sz w:val="18"/>
                <w:szCs w:val="18"/>
              </w:rPr>
            </w:pPr>
            <w:r w:rsidRPr="00FC6264">
              <w:rPr>
                <w:rFonts w:ascii="Times New Roman" w:hAnsi="Times New Roman"/>
                <w:sz w:val="18"/>
                <w:szCs w:val="18"/>
              </w:rPr>
              <w:t>20</w:t>
            </w:r>
            <w:r w:rsidR="000C1C28" w:rsidRPr="00FC6264">
              <w:rPr>
                <w:rFonts w:ascii="Times New Roman" w:hAnsi="Times New Roman"/>
                <w:sz w:val="18"/>
                <w:szCs w:val="18"/>
              </w:rPr>
              <w:t>1</w:t>
            </w:r>
          </w:p>
        </w:tc>
        <w:tc>
          <w:tcPr>
            <w:tcW w:w="109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Duomenys iš projektų</w:t>
            </w:r>
          </w:p>
        </w:tc>
        <w:tc>
          <w:tcPr>
            <w:tcW w:w="1239"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385835" w:rsidRPr="00385835" w:rsidTr="00385835">
        <w:tblPrEx>
          <w:shd w:val="clear" w:color="auto" w:fill="auto"/>
        </w:tblPrEx>
        <w:tc>
          <w:tcPr>
            <w:tcW w:w="555"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w:t>
            </w:r>
          </w:p>
        </w:tc>
        <w:tc>
          <w:tcPr>
            <w:tcW w:w="2847" w:type="dxa"/>
            <w:shd w:val="clear" w:color="auto" w:fill="auto"/>
            <w:vAlign w:val="center"/>
          </w:tcPr>
          <w:p w:rsidR="00385835" w:rsidRPr="00385835" w:rsidRDefault="00385835" w:rsidP="00385835">
            <w:pPr>
              <w:widowControl w:val="0"/>
              <w:tabs>
                <w:tab w:val="left" w:pos="622"/>
              </w:tabs>
              <w:spacing w:after="0" w:line="240" w:lineRule="auto"/>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Bendras pagerinto ar naujai sukurto vidaus vandenų kelio ilgis</w:t>
            </w:r>
          </w:p>
        </w:tc>
        <w:tc>
          <w:tcPr>
            <w:tcW w:w="1276"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Km</w:t>
            </w:r>
          </w:p>
        </w:tc>
        <w:tc>
          <w:tcPr>
            <w:tcW w:w="83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ERPF</w:t>
            </w:r>
          </w:p>
        </w:tc>
        <w:tc>
          <w:tcPr>
            <w:tcW w:w="1006" w:type="dxa"/>
            <w:shd w:val="clear" w:color="auto" w:fill="auto"/>
            <w:vAlign w:val="center"/>
          </w:tcPr>
          <w:p w:rsidR="00385835" w:rsidRPr="00385835" w:rsidRDefault="00385835" w:rsidP="00385835">
            <w:pPr>
              <w:spacing w:after="0" w:line="240" w:lineRule="auto"/>
              <w:jc w:val="center"/>
              <w:rPr>
                <w:sz w:val="18"/>
                <w:szCs w:val="18"/>
              </w:rPr>
            </w:pPr>
            <w:r w:rsidRPr="00385835">
              <w:rPr>
                <w:rFonts w:ascii="Times New Roman" w:eastAsia="AngsanaUPC" w:hAnsi="Times New Roman"/>
                <w:bCs/>
                <w:iCs/>
                <w:sz w:val="18"/>
                <w:szCs w:val="18"/>
                <w:lang w:eastAsia="lt-LT"/>
              </w:rPr>
              <w:t>Mažiau išsivystęs</w:t>
            </w:r>
          </w:p>
        </w:tc>
        <w:tc>
          <w:tcPr>
            <w:tcW w:w="892" w:type="dxa"/>
            <w:shd w:val="clear" w:color="auto" w:fill="auto"/>
            <w:vAlign w:val="center"/>
          </w:tcPr>
          <w:p w:rsidR="00385835" w:rsidRPr="00FC6264" w:rsidRDefault="00385835" w:rsidP="00385835">
            <w:pPr>
              <w:spacing w:after="0" w:line="240" w:lineRule="auto"/>
              <w:jc w:val="center"/>
              <w:rPr>
                <w:rFonts w:ascii="Times New Roman" w:hAnsi="Times New Roman"/>
                <w:sz w:val="18"/>
                <w:szCs w:val="18"/>
              </w:rPr>
            </w:pPr>
            <w:r w:rsidRPr="00FC6264">
              <w:rPr>
                <w:rFonts w:ascii="Times New Roman" w:hAnsi="Times New Roman"/>
                <w:sz w:val="18"/>
                <w:szCs w:val="18"/>
              </w:rPr>
              <w:t>20</w:t>
            </w:r>
          </w:p>
        </w:tc>
        <w:tc>
          <w:tcPr>
            <w:tcW w:w="109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Duomenys iš projektų</w:t>
            </w:r>
          </w:p>
        </w:tc>
        <w:tc>
          <w:tcPr>
            <w:tcW w:w="1239"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385835" w:rsidRPr="00385835" w:rsidTr="00385835">
        <w:tblPrEx>
          <w:shd w:val="clear" w:color="auto" w:fill="auto"/>
        </w:tblPrEx>
        <w:tc>
          <w:tcPr>
            <w:tcW w:w="555"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3.</w:t>
            </w:r>
          </w:p>
        </w:tc>
        <w:tc>
          <w:tcPr>
            <w:tcW w:w="2847" w:type="dxa"/>
            <w:shd w:val="clear" w:color="auto" w:fill="auto"/>
            <w:vAlign w:val="center"/>
          </w:tcPr>
          <w:p w:rsidR="00385835" w:rsidRPr="00385835" w:rsidDel="004477F4" w:rsidRDefault="00385835" w:rsidP="00385835">
            <w:pPr>
              <w:widowControl w:val="0"/>
              <w:tabs>
                <w:tab w:val="left" w:pos="622"/>
              </w:tabs>
              <w:spacing w:after="0" w:line="240" w:lineRule="auto"/>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 xml:space="preserve">Įdiegtos saugų eismą gerinančios ir </w:t>
            </w:r>
            <w:r w:rsidRPr="00385835">
              <w:rPr>
                <w:rFonts w:ascii="Times New Roman" w:hAnsi="Times New Roman"/>
                <w:sz w:val="18"/>
                <w:szCs w:val="18"/>
              </w:rPr>
              <w:t xml:space="preserve">aplinkosaugos </w:t>
            </w:r>
            <w:r w:rsidRPr="00385835">
              <w:rPr>
                <w:rFonts w:ascii="Times New Roman" w:eastAsia="AngsanaUPC" w:hAnsi="Times New Roman"/>
                <w:bCs/>
                <w:iCs/>
                <w:sz w:val="18"/>
                <w:szCs w:val="18"/>
                <w:lang w:eastAsia="lt-LT"/>
              </w:rPr>
              <w:t>priemonės</w:t>
            </w:r>
          </w:p>
        </w:tc>
        <w:tc>
          <w:tcPr>
            <w:tcW w:w="1276"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Skaičius</w:t>
            </w:r>
          </w:p>
        </w:tc>
        <w:tc>
          <w:tcPr>
            <w:tcW w:w="83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ERPF</w:t>
            </w:r>
          </w:p>
        </w:tc>
        <w:tc>
          <w:tcPr>
            <w:tcW w:w="1006" w:type="dxa"/>
            <w:shd w:val="clear" w:color="auto" w:fill="auto"/>
            <w:vAlign w:val="center"/>
          </w:tcPr>
          <w:p w:rsidR="00385835" w:rsidRPr="00385835" w:rsidRDefault="00385835" w:rsidP="00385835">
            <w:pPr>
              <w:spacing w:after="0" w:line="240" w:lineRule="auto"/>
              <w:jc w:val="center"/>
              <w:rPr>
                <w:sz w:val="18"/>
                <w:szCs w:val="18"/>
              </w:rPr>
            </w:pPr>
            <w:r w:rsidRPr="00385835">
              <w:rPr>
                <w:rFonts w:ascii="Times New Roman" w:eastAsia="AngsanaUPC" w:hAnsi="Times New Roman"/>
                <w:bCs/>
                <w:iCs/>
                <w:sz w:val="18"/>
                <w:szCs w:val="18"/>
                <w:lang w:eastAsia="lt-LT"/>
              </w:rPr>
              <w:t>Mažiau išsivystęs</w:t>
            </w:r>
          </w:p>
        </w:tc>
        <w:tc>
          <w:tcPr>
            <w:tcW w:w="892" w:type="dxa"/>
            <w:shd w:val="clear" w:color="auto" w:fill="auto"/>
            <w:vAlign w:val="center"/>
          </w:tcPr>
          <w:p w:rsidR="00385835" w:rsidRPr="00FC6264" w:rsidRDefault="003946F0" w:rsidP="00385835">
            <w:pPr>
              <w:spacing w:after="0" w:line="240" w:lineRule="auto"/>
              <w:jc w:val="center"/>
              <w:rPr>
                <w:rFonts w:ascii="Times New Roman" w:hAnsi="Times New Roman"/>
                <w:sz w:val="18"/>
                <w:szCs w:val="18"/>
              </w:rPr>
            </w:pPr>
            <w:r w:rsidRPr="00FC6264">
              <w:rPr>
                <w:rFonts w:ascii="Times New Roman" w:hAnsi="Times New Roman"/>
                <w:sz w:val="18"/>
                <w:szCs w:val="18"/>
              </w:rPr>
              <w:t>173</w:t>
            </w:r>
          </w:p>
        </w:tc>
        <w:tc>
          <w:tcPr>
            <w:tcW w:w="109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Duomenys iš projektų</w:t>
            </w:r>
          </w:p>
        </w:tc>
        <w:tc>
          <w:tcPr>
            <w:tcW w:w="1239"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385835" w:rsidRPr="00385835" w:rsidTr="00385835">
        <w:tblPrEx>
          <w:shd w:val="clear" w:color="auto" w:fill="auto"/>
        </w:tblPrEx>
        <w:tc>
          <w:tcPr>
            <w:tcW w:w="555"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20"/>
                <w:szCs w:val="20"/>
                <w:lang w:eastAsia="lt-LT"/>
              </w:rPr>
              <w:t>4.</w:t>
            </w:r>
          </w:p>
        </w:tc>
        <w:tc>
          <w:tcPr>
            <w:tcW w:w="2847" w:type="dxa"/>
            <w:shd w:val="clear" w:color="auto" w:fill="auto"/>
            <w:vAlign w:val="center"/>
          </w:tcPr>
          <w:p w:rsidR="00385835" w:rsidRPr="00385835" w:rsidRDefault="00385835" w:rsidP="00385835">
            <w:pPr>
              <w:widowControl w:val="0"/>
              <w:tabs>
                <w:tab w:val="left" w:pos="622"/>
              </w:tabs>
              <w:spacing w:after="0" w:line="240" w:lineRule="auto"/>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 xml:space="preserve">Įdiegtos saugų eismą gerinančios ir </w:t>
            </w:r>
            <w:r w:rsidRPr="00385835">
              <w:rPr>
                <w:rFonts w:ascii="Times New Roman" w:hAnsi="Times New Roman"/>
                <w:sz w:val="18"/>
                <w:szCs w:val="18"/>
              </w:rPr>
              <w:t xml:space="preserve">aplinkosaugos </w:t>
            </w:r>
            <w:r w:rsidRPr="00385835">
              <w:rPr>
                <w:rFonts w:ascii="Times New Roman" w:eastAsia="AngsanaUPC" w:hAnsi="Times New Roman"/>
                <w:bCs/>
                <w:iCs/>
                <w:sz w:val="18"/>
                <w:szCs w:val="18"/>
                <w:lang w:eastAsia="lt-LT"/>
              </w:rPr>
              <w:t>priemonės, iš kurių: geležinkelių pervažose</w:t>
            </w:r>
          </w:p>
        </w:tc>
        <w:tc>
          <w:tcPr>
            <w:tcW w:w="1276"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20"/>
                <w:szCs w:val="20"/>
                <w:lang w:eastAsia="lt-LT"/>
              </w:rPr>
              <w:t>Skaičius</w:t>
            </w:r>
          </w:p>
        </w:tc>
        <w:tc>
          <w:tcPr>
            <w:tcW w:w="83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20"/>
                <w:szCs w:val="20"/>
                <w:lang w:eastAsia="lt-LT"/>
              </w:rPr>
              <w:t>ERPF</w:t>
            </w:r>
          </w:p>
        </w:tc>
        <w:tc>
          <w:tcPr>
            <w:tcW w:w="1006" w:type="dxa"/>
            <w:shd w:val="clear" w:color="auto" w:fill="auto"/>
            <w:vAlign w:val="center"/>
          </w:tcPr>
          <w:p w:rsidR="00385835" w:rsidRPr="00385835" w:rsidRDefault="00385835" w:rsidP="00385835">
            <w:pPr>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20"/>
                <w:szCs w:val="20"/>
                <w:lang w:eastAsia="lt-LT"/>
              </w:rPr>
              <w:t>Mažiau išsivystęs</w:t>
            </w:r>
          </w:p>
        </w:tc>
        <w:tc>
          <w:tcPr>
            <w:tcW w:w="892" w:type="dxa"/>
            <w:shd w:val="clear" w:color="auto" w:fill="auto"/>
            <w:vAlign w:val="center"/>
          </w:tcPr>
          <w:p w:rsidR="00385835" w:rsidRPr="00FC6264" w:rsidRDefault="000C1C28" w:rsidP="00385835">
            <w:pPr>
              <w:spacing w:after="0" w:line="240" w:lineRule="auto"/>
              <w:jc w:val="center"/>
              <w:rPr>
                <w:rFonts w:ascii="Times New Roman" w:hAnsi="Times New Roman"/>
                <w:sz w:val="18"/>
                <w:szCs w:val="18"/>
              </w:rPr>
            </w:pPr>
            <w:r w:rsidRPr="00FC6264">
              <w:rPr>
                <w:rFonts w:ascii="Times New Roman" w:hAnsi="Times New Roman"/>
                <w:sz w:val="20"/>
                <w:szCs w:val="20"/>
              </w:rPr>
              <w:t>9</w:t>
            </w:r>
          </w:p>
        </w:tc>
        <w:tc>
          <w:tcPr>
            <w:tcW w:w="109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20"/>
                <w:szCs w:val="20"/>
                <w:lang w:eastAsia="lt-LT"/>
              </w:rPr>
              <w:t>Duomenys iš projektų</w:t>
            </w:r>
          </w:p>
        </w:tc>
        <w:tc>
          <w:tcPr>
            <w:tcW w:w="1239"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20"/>
                <w:szCs w:val="20"/>
                <w:lang w:eastAsia="lt-LT"/>
              </w:rPr>
              <w:t>Kartą per metus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vAlign w:val="center"/>
          </w:tcPr>
          <w:p w:rsidR="00385835" w:rsidRPr="00385835" w:rsidRDefault="00385835" w:rsidP="00385835">
            <w:pPr>
              <w:widowControl w:val="0"/>
              <w:tabs>
                <w:tab w:val="left" w:pos="622"/>
              </w:tabs>
              <w:spacing w:after="0" w:line="240" w:lineRule="auto"/>
              <w:jc w:val="both"/>
              <w:rPr>
                <w:rFonts w:ascii="Times New Roman" w:eastAsia="AngsanaUPC" w:hAnsi="Times New Roman"/>
                <w:b/>
                <w:bCs/>
                <w:iCs/>
                <w:sz w:val="24"/>
                <w:szCs w:val="24"/>
                <w:lang w:eastAsia="lt-LT"/>
              </w:rPr>
            </w:pPr>
            <w:r w:rsidRPr="00385835">
              <w:rPr>
                <w:rFonts w:ascii="Times New Roman" w:eastAsia="AngsanaUPC" w:hAnsi="Times New Roman"/>
                <w:b/>
                <w:bCs/>
                <w:iCs/>
                <w:sz w:val="24"/>
                <w:szCs w:val="24"/>
                <w:lang w:eastAsia="lt-LT"/>
              </w:rPr>
              <w:t>6.3. INVESTICINIS PRIORITETAS</w:t>
            </w:r>
          </w:p>
        </w:tc>
        <w:tc>
          <w:tcPr>
            <w:tcW w:w="7336"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Energijos vartojimo efektyvumo ir tiekimo patikimumo</w:t>
            </w:r>
            <w:r w:rsidR="0013765C">
              <w:rPr>
                <w:rFonts w:ascii="Times New Roman" w:eastAsia="AngsanaUPC" w:hAnsi="Times New Roman"/>
                <w:b/>
                <w:bCs/>
                <w:sz w:val="24"/>
                <w:szCs w:val="24"/>
                <w:lang w:eastAsia="lt-LT"/>
              </w:rPr>
              <w:t>,</w:t>
            </w:r>
            <w:r w:rsidRPr="00385835">
              <w:rPr>
                <w:rFonts w:ascii="Times New Roman" w:eastAsia="AngsanaUPC" w:hAnsi="Times New Roman"/>
                <w:b/>
                <w:bCs/>
                <w:sz w:val="24"/>
                <w:szCs w:val="24"/>
                <w:lang w:eastAsia="lt-LT"/>
              </w:rPr>
              <w:t xml:space="preserve"> plėtojant pažangiąsias energijos paskirstymo, saugojimo ir perdavimo sistemas gerinimas ir paskir</w:t>
            </w:r>
            <w:r w:rsidR="00031EF1">
              <w:rPr>
                <w:rFonts w:ascii="Times New Roman" w:eastAsia="AngsanaUPC" w:hAnsi="Times New Roman"/>
                <w:b/>
                <w:bCs/>
                <w:sz w:val="24"/>
                <w:szCs w:val="24"/>
                <w:lang w:eastAsia="lt-LT"/>
              </w:rPr>
              <w:t>stytos AIE gamybos</w:t>
            </w:r>
            <w:r w:rsidR="0013765C">
              <w:rPr>
                <w:rFonts w:ascii="Times New Roman" w:eastAsia="AngsanaUPC" w:hAnsi="Times New Roman"/>
                <w:b/>
                <w:bCs/>
                <w:sz w:val="24"/>
                <w:szCs w:val="24"/>
                <w:lang w:eastAsia="lt-LT"/>
              </w:rPr>
              <w:t>,</w:t>
            </w:r>
            <w:r w:rsidR="00031EF1">
              <w:rPr>
                <w:rFonts w:ascii="Times New Roman" w:eastAsia="AngsanaUPC" w:hAnsi="Times New Roman"/>
                <w:b/>
                <w:bCs/>
                <w:sz w:val="24"/>
                <w:szCs w:val="24"/>
                <w:lang w:eastAsia="lt-LT"/>
              </w:rPr>
              <w:t xml:space="preserve"> diegimas </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FONDAS</w:t>
            </w:r>
          </w:p>
        </w:tc>
        <w:tc>
          <w:tcPr>
            <w:tcW w:w="7336"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Europos regioninės plėtros fondas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vAlign w:val="center"/>
          </w:tcPr>
          <w:p w:rsidR="00385835" w:rsidRPr="00385835" w:rsidRDefault="00385835" w:rsidP="00385835">
            <w:pPr>
              <w:widowControl w:val="0"/>
              <w:tabs>
                <w:tab w:val="left" w:pos="622"/>
              </w:tabs>
              <w:spacing w:after="0" w:line="240" w:lineRule="auto"/>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6.3.1. KONKRETUS UŽDAVINYS</w:t>
            </w:r>
          </w:p>
        </w:tc>
        <w:tc>
          <w:tcPr>
            <w:tcW w:w="7336" w:type="dxa"/>
            <w:shd w:val="clear" w:color="auto" w:fill="EEECE1"/>
            <w:vAlign w:val="center"/>
          </w:tcPr>
          <w:p w:rsidR="00385835" w:rsidRPr="00385835" w:rsidRDefault="00385835" w:rsidP="00385835">
            <w:pPr>
              <w:spacing w:after="0" w:line="240" w:lineRule="auto"/>
              <w:jc w:val="both"/>
              <w:rPr>
                <w:rFonts w:ascii="Times New Roman" w:hAnsi="Times New Roman"/>
                <w:b/>
                <w:sz w:val="24"/>
                <w:szCs w:val="24"/>
              </w:rPr>
            </w:pPr>
            <w:r w:rsidRPr="00385835">
              <w:rPr>
                <w:rFonts w:ascii="Times New Roman" w:hAnsi="Times New Roman"/>
                <w:b/>
                <w:sz w:val="24"/>
                <w:szCs w:val="24"/>
              </w:rPr>
              <w:t>Sustiprinti integraciją į Europos Sąjungos vidaus energijos rinką</w:t>
            </w:r>
          </w:p>
        </w:tc>
      </w:tr>
      <w:tr w:rsidR="00385835" w:rsidRPr="00385835" w:rsidTr="00385835">
        <w:tc>
          <w:tcPr>
            <w:tcW w:w="9746" w:type="dxa"/>
            <w:gridSpan w:val="2"/>
            <w:shd w:val="clear" w:color="auto" w:fill="auto"/>
          </w:tcPr>
          <w:p w:rsidR="00385835" w:rsidRPr="00385835" w:rsidRDefault="00385835" w:rsidP="00385835">
            <w:pPr>
              <w:widowControl w:val="0"/>
              <w:tabs>
                <w:tab w:val="left" w:pos="622"/>
              </w:tabs>
              <w:spacing w:after="0" w:line="240" w:lineRule="auto"/>
              <w:ind w:firstLine="624"/>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Lietuvai, 2009 m. pabaigoje sustabdžius Ignalinos atominę elektrinę, gaminusią šaliai daugiau nei 80 proc. elektros energijos, Lietuvos elektros energetikos sistema iš eksportuojančios tapo importuojančia ir priklausoma nuo vieno elektros energijos tiekėjo iš trečiosios šalies (Rusijos Federacijos). 2012 m. elektros energijos importas sudarė 77,1 proc. bendro elektros energijos suvartojimo. Be to, Lietuva 100 proc. gamtinių dujų importuoja iš vienintelio šaltinio (Rusijos Federacijos).</w:t>
            </w:r>
          </w:p>
          <w:p w:rsidR="00385835" w:rsidRPr="00385835" w:rsidRDefault="00385835" w:rsidP="00385835">
            <w:pPr>
              <w:widowControl w:val="0"/>
              <w:tabs>
                <w:tab w:val="left" w:pos="622"/>
              </w:tabs>
              <w:spacing w:after="0" w:line="240" w:lineRule="auto"/>
              <w:ind w:firstLine="624"/>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 xml:space="preserve">Siekiant įgyvendinti Nacionalinės energetinės nepriklausomybės strategijos iškeltus uždavinius bei Tarybos rekomendaciją Lietuvai („Plėsti elektros energijos ir dujų tinklų tarpvalstybines jungtis su kaimyninėmis valstybės narėmis, gerinant Baltijos šalių energijos rinkų integraciją“), ir kartu prisidėti prie ES BJRS tikslo „Sujungti regioną“ potikslio „Patikimos energijos rinkos“ įgyvendinimo, numatomos priemonės, kaip užtikrinti integraciją į Europos elektros energetikos ir dujų sistemas. </w:t>
            </w:r>
          </w:p>
          <w:p w:rsidR="00385835" w:rsidRPr="00385835" w:rsidRDefault="00385835" w:rsidP="00385835">
            <w:pPr>
              <w:widowControl w:val="0"/>
              <w:tabs>
                <w:tab w:val="left" w:pos="622"/>
              </w:tabs>
              <w:spacing w:after="0" w:line="240" w:lineRule="auto"/>
              <w:ind w:firstLine="624"/>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Planuojama, kad Lietuvos elektros energetikos sistema 2015 m. jau bus sujungta su Švedijos ir Lenkijos energetikos sistemomis. 2014 m. gruodžio 3 d. taip pat pradės veikti Suskystintų gamtinių dujų terminalas Klaipėdoje. Šie projektai yra gyvybiškai svarbūs Lietuvai</w:t>
            </w:r>
            <w:r w:rsidR="0013765C">
              <w:rPr>
                <w:rFonts w:ascii="Times New Roman" w:eastAsia="AngsanaUPC" w:hAnsi="Times New Roman"/>
                <w:bCs/>
                <w:sz w:val="24"/>
                <w:szCs w:val="24"/>
                <w:lang w:eastAsia="lt-LT"/>
              </w:rPr>
              <w:t>,</w:t>
            </w:r>
            <w:r w:rsidRPr="00385835">
              <w:rPr>
                <w:rFonts w:ascii="Times New Roman" w:eastAsia="AngsanaUPC" w:hAnsi="Times New Roman"/>
                <w:bCs/>
                <w:sz w:val="24"/>
                <w:szCs w:val="24"/>
                <w:lang w:eastAsia="lt-LT"/>
              </w:rPr>
              <w:t xml:space="preserve"> siekiant pasinaudoti ES bendros energetikos rinkos teikiamais privalumais.</w:t>
            </w:r>
          </w:p>
          <w:p w:rsidR="00385835" w:rsidRPr="00385835" w:rsidRDefault="00385835" w:rsidP="00385835">
            <w:pPr>
              <w:widowControl w:val="0"/>
              <w:tabs>
                <w:tab w:val="left" w:pos="622"/>
              </w:tabs>
              <w:spacing w:after="0" w:line="240" w:lineRule="auto"/>
              <w:ind w:firstLine="624"/>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 xml:space="preserve">Kad šios tarpvalstybinės jungtys taptų funkcionuojančiomis ir </w:t>
            </w:r>
            <w:proofErr w:type="gramStart"/>
            <w:r w:rsidRPr="00385835">
              <w:rPr>
                <w:rFonts w:ascii="Times New Roman" w:eastAsia="AngsanaUPC" w:hAnsi="Times New Roman"/>
                <w:bCs/>
                <w:sz w:val="24"/>
                <w:szCs w:val="24"/>
                <w:lang w:eastAsia="lt-LT"/>
              </w:rPr>
              <w:t>pilnai</w:t>
            </w:r>
            <w:proofErr w:type="gramEnd"/>
            <w:r w:rsidRPr="00385835">
              <w:rPr>
                <w:rFonts w:ascii="Times New Roman" w:eastAsia="AngsanaUPC" w:hAnsi="Times New Roman"/>
                <w:bCs/>
                <w:sz w:val="24"/>
                <w:szCs w:val="24"/>
                <w:lang w:eastAsia="lt-LT"/>
              </w:rPr>
              <w:t xml:space="preserve"> integruoto</w:t>
            </w:r>
            <w:r w:rsidR="0013765C">
              <w:rPr>
                <w:rFonts w:ascii="Times New Roman" w:eastAsia="AngsanaUPC" w:hAnsi="Times New Roman"/>
                <w:bCs/>
                <w:sz w:val="24"/>
                <w:szCs w:val="24"/>
                <w:lang w:eastAsia="lt-LT"/>
              </w:rPr>
              <w:t>mi</w:t>
            </w:r>
            <w:r w:rsidRPr="00385835">
              <w:rPr>
                <w:rFonts w:ascii="Times New Roman" w:eastAsia="AngsanaUPC" w:hAnsi="Times New Roman"/>
                <w:bCs/>
                <w:sz w:val="24"/>
                <w:szCs w:val="24"/>
                <w:lang w:eastAsia="lt-LT"/>
              </w:rPr>
              <w:t>s į vidaus rinką, būtina stiprinti vidinius elektros ir dujų tinklus, tuo pačiu diegiant ir pažangias technologijas</w:t>
            </w:r>
            <w:r w:rsidR="0013765C">
              <w:rPr>
                <w:rFonts w:ascii="Times New Roman" w:eastAsia="AngsanaUPC" w:hAnsi="Times New Roman"/>
                <w:bCs/>
                <w:sz w:val="24"/>
                <w:szCs w:val="24"/>
                <w:lang w:eastAsia="lt-LT"/>
              </w:rPr>
              <w:t>.</w:t>
            </w:r>
            <w:r w:rsidRPr="00385835">
              <w:rPr>
                <w:rFonts w:ascii="Times New Roman" w:eastAsia="AngsanaUPC" w:hAnsi="Times New Roman"/>
                <w:bCs/>
                <w:sz w:val="24"/>
                <w:szCs w:val="24"/>
                <w:lang w:eastAsia="lt-LT"/>
              </w:rPr>
              <w:t xml:space="preserve"> Įgyvendinus šiuos projektus, būtų sumažinta energetinė priklausomybė nuo vienintelio energijos išteklių tiekėjo, taip užtikrinant ilgalaikį Lietuvos energetinį saugumą ir konkurencingą energetikos sektorių. Lietuva taps bendros ES energijos rinkos dalimi, energijos kainą formuos konkurencinga rinka, o ne monopolinis tiekėjas. Taip pat pažangių energijos tinklų diegimas sukurtų galimybes efektyviau vartoti energiją. Be to, elektros tinklų stiprinimas yra būtina sąlyga AIE integracijai į rinką.</w:t>
            </w:r>
          </w:p>
          <w:p w:rsidR="00385835" w:rsidRPr="00385835" w:rsidRDefault="00385835" w:rsidP="0013765C">
            <w:pPr>
              <w:widowControl w:val="0"/>
              <w:tabs>
                <w:tab w:val="left" w:pos="622"/>
              </w:tabs>
              <w:spacing w:after="0" w:line="240" w:lineRule="auto"/>
              <w:ind w:firstLine="624"/>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Europos infrastruktūros tinklų priemonės lėšomis bus finansuojami tarpvalstybiniai Europos bendro intereso projektai (</w:t>
            </w:r>
            <w:r w:rsidR="00686878">
              <w:rPr>
                <w:rFonts w:ascii="Times New Roman" w:eastAsia="AngsanaUPC" w:hAnsi="Times New Roman"/>
                <w:bCs/>
                <w:sz w:val="24"/>
                <w:szCs w:val="24"/>
                <w:lang w:eastAsia="lt-LT"/>
              </w:rPr>
              <w:t>pavyzdžiui</w:t>
            </w:r>
            <w:r w:rsidRPr="00385835">
              <w:rPr>
                <w:rFonts w:ascii="Times New Roman" w:eastAsia="AngsanaUPC" w:hAnsi="Times New Roman"/>
                <w:bCs/>
                <w:sz w:val="24"/>
                <w:szCs w:val="24"/>
                <w:lang w:eastAsia="lt-LT"/>
              </w:rPr>
              <w:t>, Lietuvos</w:t>
            </w:r>
            <w:r w:rsidR="0013765C">
              <w:rPr>
                <w:rFonts w:ascii="Times New Roman" w:eastAsia="AngsanaUPC" w:hAnsi="Times New Roman"/>
                <w:bCs/>
                <w:sz w:val="24"/>
                <w:szCs w:val="24"/>
                <w:lang w:eastAsia="lt-LT"/>
              </w:rPr>
              <w:t>–</w:t>
            </w:r>
            <w:r w:rsidRPr="00385835">
              <w:rPr>
                <w:rFonts w:ascii="Times New Roman" w:eastAsia="AngsanaUPC" w:hAnsi="Times New Roman"/>
                <w:bCs/>
                <w:sz w:val="24"/>
                <w:szCs w:val="24"/>
                <w:lang w:eastAsia="lt-LT"/>
              </w:rPr>
              <w:t>Lenkijos elektros jungtis</w:t>
            </w:r>
            <w:r w:rsidR="0013765C">
              <w:rPr>
                <w:rFonts w:ascii="Times New Roman" w:eastAsia="AngsanaUPC" w:hAnsi="Times New Roman"/>
                <w:bCs/>
                <w:sz w:val="24"/>
                <w:szCs w:val="24"/>
                <w:lang w:eastAsia="lt-LT"/>
              </w:rPr>
              <w:t xml:space="preserve"> „LitPol Link“). </w:t>
            </w:r>
            <w:proofErr w:type="gramStart"/>
            <w:r w:rsidR="0013765C">
              <w:rPr>
                <w:rFonts w:ascii="Times New Roman" w:eastAsia="AngsanaUPC" w:hAnsi="Times New Roman"/>
                <w:bCs/>
                <w:sz w:val="24"/>
                <w:szCs w:val="24"/>
                <w:lang w:eastAsia="lt-LT"/>
              </w:rPr>
              <w:t>Tuo tarpu</w:t>
            </w:r>
            <w:proofErr w:type="gramEnd"/>
            <w:r w:rsidR="0013765C">
              <w:rPr>
                <w:rFonts w:ascii="Times New Roman" w:eastAsia="AngsanaUPC" w:hAnsi="Times New Roman"/>
                <w:bCs/>
                <w:sz w:val="24"/>
                <w:szCs w:val="24"/>
                <w:lang w:eastAsia="lt-LT"/>
              </w:rPr>
              <w:t xml:space="preserve"> 2014–</w:t>
            </w:r>
            <w:r w:rsidRPr="00385835">
              <w:rPr>
                <w:rFonts w:ascii="Times New Roman" w:eastAsia="AngsanaUPC" w:hAnsi="Times New Roman"/>
                <w:bCs/>
                <w:sz w:val="24"/>
                <w:szCs w:val="24"/>
                <w:lang w:eastAsia="lt-LT"/>
              </w:rPr>
              <w:t>2020 m</w:t>
            </w:r>
            <w:r w:rsidR="004F2562">
              <w:rPr>
                <w:rFonts w:ascii="Times New Roman" w:eastAsia="AngsanaUPC" w:hAnsi="Times New Roman"/>
                <w:bCs/>
                <w:sz w:val="24"/>
                <w:szCs w:val="24"/>
                <w:lang w:eastAsia="lt-LT"/>
              </w:rPr>
              <w:t>.</w:t>
            </w:r>
            <w:r w:rsidRPr="00385835">
              <w:rPr>
                <w:rFonts w:ascii="Times New Roman" w:eastAsia="AngsanaUPC" w:hAnsi="Times New Roman"/>
                <w:bCs/>
                <w:sz w:val="24"/>
                <w:szCs w:val="24"/>
                <w:lang w:eastAsia="lt-LT"/>
              </w:rPr>
              <w:t xml:space="preserve"> </w:t>
            </w:r>
            <w:r w:rsidR="004F2562">
              <w:rPr>
                <w:rFonts w:ascii="Times New Roman" w:eastAsia="AngsanaUPC" w:hAnsi="Times New Roman"/>
                <w:bCs/>
                <w:sz w:val="24"/>
                <w:szCs w:val="24"/>
                <w:lang w:eastAsia="lt-LT"/>
              </w:rPr>
              <w:t>ES</w:t>
            </w:r>
            <w:r w:rsidR="004F2562" w:rsidRPr="00385835">
              <w:rPr>
                <w:rFonts w:ascii="Times New Roman" w:eastAsia="AngsanaUPC" w:hAnsi="Times New Roman"/>
                <w:bCs/>
                <w:sz w:val="24"/>
                <w:szCs w:val="24"/>
                <w:lang w:eastAsia="lt-LT"/>
              </w:rPr>
              <w:t xml:space="preserve"> </w:t>
            </w:r>
            <w:r w:rsidRPr="00385835">
              <w:rPr>
                <w:rFonts w:ascii="Times New Roman" w:eastAsia="AngsanaUPC" w:hAnsi="Times New Roman"/>
                <w:bCs/>
                <w:sz w:val="24"/>
                <w:szCs w:val="24"/>
                <w:lang w:eastAsia="lt-LT"/>
              </w:rPr>
              <w:t xml:space="preserve">fondų lėšomis bus finansuojamos vidinės jungtys, kurios reikalingos šių </w:t>
            </w:r>
            <w:r w:rsidRPr="00385835">
              <w:rPr>
                <w:rFonts w:ascii="Times New Roman" w:eastAsia="AngsanaUPC" w:hAnsi="Times New Roman"/>
                <w:bCs/>
                <w:sz w:val="24"/>
                <w:szCs w:val="24"/>
                <w:lang w:eastAsia="lt-LT"/>
              </w:rPr>
              <w:lastRenderedPageBreak/>
              <w:t>tarpvalstybinių jungčių funkcionavimui užtikrinti.</w:t>
            </w:r>
          </w:p>
        </w:tc>
      </w:tr>
    </w:tbl>
    <w:p w:rsidR="00463952" w:rsidRPr="00385835" w:rsidRDefault="00463952"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567"/>
        <w:gridCol w:w="1843"/>
        <w:gridCol w:w="1134"/>
        <w:gridCol w:w="1134"/>
        <w:gridCol w:w="851"/>
        <w:gridCol w:w="992"/>
        <w:gridCol w:w="850"/>
        <w:gridCol w:w="1134"/>
        <w:gridCol w:w="1241"/>
      </w:tblGrid>
      <w:tr w:rsidR="00385835" w:rsidRPr="00385835" w:rsidTr="00385835">
        <w:tc>
          <w:tcPr>
            <w:tcW w:w="9746" w:type="dxa"/>
            <w:gridSpan w:val="9"/>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i/>
                <w:iCs/>
                <w:sz w:val="24"/>
                <w:szCs w:val="24"/>
                <w:lang w:eastAsia="lt-LT"/>
              </w:rPr>
            </w:pPr>
            <w:r w:rsidRPr="00385835">
              <w:rPr>
                <w:rFonts w:ascii="Times New Roman" w:eastAsia="AngsanaUPC" w:hAnsi="Times New Roman"/>
                <w:b/>
                <w:bCs/>
                <w:i/>
                <w:iCs/>
                <w:sz w:val="24"/>
                <w:szCs w:val="24"/>
                <w:lang w:eastAsia="lt-LT"/>
              </w:rPr>
              <w:t xml:space="preserve">ERPF </w:t>
            </w:r>
            <w:r w:rsidR="00B1109C">
              <w:rPr>
                <w:rFonts w:ascii="Times New Roman" w:eastAsia="AngsanaUPC" w:hAnsi="Times New Roman"/>
                <w:b/>
                <w:bCs/>
                <w:i/>
                <w:iCs/>
                <w:sz w:val="24"/>
                <w:szCs w:val="24"/>
                <w:lang w:eastAsia="lt-LT"/>
              </w:rPr>
              <w:t xml:space="preserve">specialieji </w:t>
            </w:r>
            <w:r w:rsidRPr="00385835">
              <w:rPr>
                <w:rFonts w:ascii="Times New Roman" w:eastAsia="AngsanaUPC" w:hAnsi="Times New Roman"/>
                <w:b/>
                <w:bCs/>
                <w:i/>
                <w:iCs/>
                <w:sz w:val="24"/>
                <w:szCs w:val="24"/>
                <w:lang w:eastAsia="lt-LT"/>
              </w:rPr>
              <w:t>programos rezultato rodikliai</w:t>
            </w:r>
          </w:p>
        </w:tc>
      </w:tr>
      <w:tr w:rsidR="00385835" w:rsidRPr="00385835" w:rsidTr="00385835">
        <w:tblPrEx>
          <w:shd w:val="clear" w:color="auto" w:fill="auto"/>
        </w:tblPrEx>
        <w:trPr>
          <w:cantSplit/>
          <w:trHeight w:val="631"/>
        </w:trPr>
        <w:tc>
          <w:tcPr>
            <w:tcW w:w="567"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Nr.</w:t>
            </w:r>
          </w:p>
        </w:tc>
        <w:tc>
          <w:tcPr>
            <w:tcW w:w="1843"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Rodiklio pavadinimas</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Matavimo vienetas</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Regiono kategorija</w:t>
            </w:r>
          </w:p>
        </w:tc>
        <w:tc>
          <w:tcPr>
            <w:tcW w:w="85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 reikšmė</w:t>
            </w:r>
          </w:p>
        </w:tc>
        <w:tc>
          <w:tcPr>
            <w:tcW w:w="992"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Pradinės reikšmės metai</w:t>
            </w:r>
          </w:p>
        </w:tc>
        <w:tc>
          <w:tcPr>
            <w:tcW w:w="850"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Siektina reikšmė (2023)</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Duomenų šaltinis</w:t>
            </w:r>
          </w:p>
        </w:tc>
        <w:tc>
          <w:tcPr>
            <w:tcW w:w="124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Atsiskaitymo dažnumas</w:t>
            </w:r>
          </w:p>
        </w:tc>
      </w:tr>
      <w:tr w:rsidR="00385835" w:rsidRPr="00385835" w:rsidTr="00385835">
        <w:tblPrEx>
          <w:shd w:val="clear" w:color="auto" w:fill="auto"/>
        </w:tblPrEx>
        <w:tc>
          <w:tcPr>
            <w:tcW w:w="567" w:type="dxa"/>
            <w:shd w:val="clear" w:color="auto" w:fill="auto"/>
            <w:vAlign w:val="center"/>
          </w:tcPr>
          <w:p w:rsidR="00385835" w:rsidRPr="00D54F90"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D54F90">
              <w:rPr>
                <w:rFonts w:ascii="Times New Roman" w:eastAsia="AngsanaUPC" w:hAnsi="Times New Roman"/>
                <w:bCs/>
                <w:iCs/>
                <w:sz w:val="18"/>
                <w:szCs w:val="18"/>
                <w:lang w:eastAsia="lt-LT"/>
              </w:rPr>
              <w:t>1.</w:t>
            </w:r>
          </w:p>
        </w:tc>
        <w:tc>
          <w:tcPr>
            <w:tcW w:w="1843" w:type="dxa"/>
            <w:shd w:val="clear" w:color="auto" w:fill="auto"/>
            <w:vAlign w:val="center"/>
          </w:tcPr>
          <w:p w:rsidR="00385835" w:rsidRPr="00FC6264" w:rsidRDefault="003946F0" w:rsidP="00385835">
            <w:pPr>
              <w:widowControl w:val="0"/>
              <w:tabs>
                <w:tab w:val="left" w:pos="622"/>
              </w:tabs>
              <w:spacing w:after="0" w:line="240" w:lineRule="auto"/>
              <w:rPr>
                <w:rFonts w:ascii="Times New Roman" w:eastAsia="AngsanaUPC" w:hAnsi="Times New Roman"/>
                <w:bCs/>
                <w:strike/>
                <w:sz w:val="18"/>
                <w:szCs w:val="18"/>
                <w:lang w:eastAsia="lt-LT"/>
              </w:rPr>
            </w:pPr>
            <w:r w:rsidRPr="00FC6264">
              <w:rPr>
                <w:rFonts w:ascii="Times New Roman" w:eastAsia="AngsanaUPC" w:hAnsi="Times New Roman"/>
                <w:bCs/>
                <w:sz w:val="18"/>
                <w:szCs w:val="18"/>
                <w:lang w:eastAsia="lt-LT"/>
              </w:rPr>
              <w:t>Automatizuotų valdymo prijunginių kiekis (dalis) elektros perdavimo sistemoje</w:t>
            </w:r>
          </w:p>
        </w:tc>
        <w:tc>
          <w:tcPr>
            <w:tcW w:w="1134" w:type="dxa"/>
            <w:shd w:val="clear" w:color="auto" w:fill="auto"/>
            <w:vAlign w:val="center"/>
          </w:tcPr>
          <w:p w:rsidR="00385835" w:rsidRPr="00FC6264" w:rsidRDefault="003946F0" w:rsidP="003946F0">
            <w:pPr>
              <w:widowControl w:val="0"/>
              <w:tabs>
                <w:tab w:val="left" w:pos="622"/>
              </w:tabs>
              <w:spacing w:after="0" w:line="240" w:lineRule="auto"/>
              <w:jc w:val="center"/>
              <w:rPr>
                <w:rFonts w:ascii="Times New Roman" w:eastAsia="AngsanaUPC" w:hAnsi="Times New Roman"/>
                <w:bCs/>
                <w:sz w:val="18"/>
                <w:szCs w:val="18"/>
                <w:lang w:eastAsia="lt-LT"/>
              </w:rPr>
            </w:pPr>
            <w:r w:rsidRPr="00FC6264">
              <w:rPr>
                <w:rFonts w:ascii="Times New Roman" w:eastAsia="AngsanaUPC" w:hAnsi="Times New Roman"/>
                <w:bCs/>
                <w:sz w:val="18"/>
                <w:szCs w:val="18"/>
                <w:lang w:eastAsia="lt-LT"/>
              </w:rPr>
              <w:t>Proc.</w:t>
            </w:r>
          </w:p>
        </w:tc>
        <w:tc>
          <w:tcPr>
            <w:tcW w:w="1134" w:type="dxa"/>
            <w:shd w:val="clear" w:color="auto" w:fill="auto"/>
            <w:vAlign w:val="center"/>
          </w:tcPr>
          <w:p w:rsidR="00385835" w:rsidRPr="00FC6264" w:rsidRDefault="00385835" w:rsidP="00385835">
            <w:pPr>
              <w:widowControl w:val="0"/>
              <w:tabs>
                <w:tab w:val="left" w:pos="622"/>
              </w:tabs>
              <w:spacing w:after="0" w:line="240" w:lineRule="auto"/>
              <w:jc w:val="center"/>
              <w:rPr>
                <w:rFonts w:ascii="Times New Roman" w:eastAsia="AngsanaUPC" w:hAnsi="Times New Roman"/>
                <w:bCs/>
                <w:sz w:val="18"/>
                <w:szCs w:val="18"/>
                <w:lang w:eastAsia="lt-LT"/>
              </w:rPr>
            </w:pPr>
            <w:r w:rsidRPr="00FC6264">
              <w:rPr>
                <w:rFonts w:ascii="Times New Roman" w:eastAsia="AngsanaUPC" w:hAnsi="Times New Roman"/>
                <w:bCs/>
                <w:sz w:val="18"/>
                <w:szCs w:val="18"/>
                <w:lang w:eastAsia="lt-LT"/>
              </w:rPr>
              <w:t>Mažiau išsivystęs</w:t>
            </w:r>
          </w:p>
        </w:tc>
        <w:tc>
          <w:tcPr>
            <w:tcW w:w="851" w:type="dxa"/>
            <w:shd w:val="clear" w:color="auto" w:fill="auto"/>
            <w:vAlign w:val="center"/>
          </w:tcPr>
          <w:p w:rsidR="00385835" w:rsidRPr="00FC6264" w:rsidRDefault="003946F0" w:rsidP="009348A3">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eastAsia="AngsanaUPC" w:hAnsi="Times New Roman"/>
                <w:bCs/>
                <w:iCs/>
                <w:sz w:val="18"/>
                <w:szCs w:val="18"/>
                <w:lang w:eastAsia="lt-LT"/>
              </w:rPr>
              <w:t>47</w:t>
            </w:r>
          </w:p>
        </w:tc>
        <w:tc>
          <w:tcPr>
            <w:tcW w:w="992" w:type="dxa"/>
            <w:shd w:val="clear" w:color="auto" w:fill="auto"/>
            <w:vAlign w:val="center"/>
          </w:tcPr>
          <w:p w:rsidR="00385835" w:rsidRPr="00FC6264" w:rsidRDefault="00385835" w:rsidP="003946F0">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eastAsia="AngsanaUPC" w:hAnsi="Times New Roman"/>
                <w:bCs/>
                <w:iCs/>
                <w:sz w:val="18"/>
                <w:szCs w:val="18"/>
                <w:lang w:eastAsia="lt-LT"/>
              </w:rPr>
              <w:t>201</w:t>
            </w:r>
            <w:r w:rsidR="003946F0" w:rsidRPr="00FC6264">
              <w:rPr>
                <w:rFonts w:ascii="Times New Roman" w:eastAsia="AngsanaUPC" w:hAnsi="Times New Roman"/>
                <w:bCs/>
                <w:iCs/>
                <w:sz w:val="18"/>
                <w:szCs w:val="18"/>
                <w:lang w:eastAsia="lt-LT"/>
              </w:rPr>
              <w:t>4</w:t>
            </w:r>
          </w:p>
        </w:tc>
        <w:tc>
          <w:tcPr>
            <w:tcW w:w="850" w:type="dxa"/>
            <w:shd w:val="clear" w:color="auto" w:fill="auto"/>
            <w:vAlign w:val="center"/>
          </w:tcPr>
          <w:p w:rsidR="00385835" w:rsidRPr="00FC6264" w:rsidRDefault="003946F0" w:rsidP="009348A3">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eastAsia="AngsanaUPC" w:hAnsi="Times New Roman"/>
                <w:bCs/>
                <w:iCs/>
                <w:sz w:val="18"/>
                <w:szCs w:val="18"/>
                <w:lang w:eastAsia="lt-LT"/>
              </w:rPr>
              <w:t>8</w:t>
            </w:r>
            <w:r w:rsidR="00385835" w:rsidRPr="00FC6264">
              <w:rPr>
                <w:rFonts w:ascii="Times New Roman" w:eastAsia="AngsanaUPC" w:hAnsi="Times New Roman"/>
                <w:bCs/>
                <w:iCs/>
                <w:sz w:val="18"/>
                <w:szCs w:val="18"/>
                <w:lang w:eastAsia="lt-LT"/>
              </w:rPr>
              <w:t>0</w:t>
            </w:r>
          </w:p>
        </w:tc>
        <w:tc>
          <w:tcPr>
            <w:tcW w:w="1134" w:type="dxa"/>
            <w:shd w:val="clear" w:color="auto" w:fill="auto"/>
            <w:vAlign w:val="center"/>
          </w:tcPr>
          <w:p w:rsidR="00385835" w:rsidRPr="00FC6264" w:rsidRDefault="003946F0"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eastAsia="AngsanaUPC" w:hAnsi="Times New Roman"/>
                <w:bCs/>
                <w:iCs/>
                <w:sz w:val="18"/>
                <w:szCs w:val="18"/>
                <w:lang w:eastAsia="lt-LT"/>
              </w:rPr>
              <w:t>Perdavimo sistemos operatorius</w:t>
            </w:r>
          </w:p>
        </w:tc>
        <w:tc>
          <w:tcPr>
            <w:tcW w:w="1241" w:type="dxa"/>
            <w:shd w:val="clear" w:color="auto" w:fill="auto"/>
            <w:vAlign w:val="center"/>
          </w:tcPr>
          <w:p w:rsidR="00385835" w:rsidRPr="00D54F90"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D54F90">
              <w:rPr>
                <w:rFonts w:ascii="Times New Roman" w:eastAsia="AngsanaUPC" w:hAnsi="Times New Roman"/>
                <w:bCs/>
                <w:iCs/>
                <w:sz w:val="18"/>
                <w:szCs w:val="18"/>
                <w:lang w:eastAsia="lt-LT"/>
              </w:rPr>
              <w:t>Kartą per metus</w:t>
            </w:r>
          </w:p>
        </w:tc>
      </w:tr>
      <w:tr w:rsidR="00385835" w:rsidRPr="00385835" w:rsidTr="00385835">
        <w:tblPrEx>
          <w:shd w:val="clear" w:color="auto" w:fill="auto"/>
        </w:tblPrEx>
        <w:tc>
          <w:tcPr>
            <w:tcW w:w="567" w:type="dxa"/>
            <w:shd w:val="clear" w:color="auto" w:fill="auto"/>
            <w:vAlign w:val="center"/>
          </w:tcPr>
          <w:p w:rsidR="00385835" w:rsidRPr="00D54F90"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D54F90">
              <w:rPr>
                <w:rFonts w:ascii="Times New Roman" w:eastAsia="AngsanaUPC" w:hAnsi="Times New Roman"/>
                <w:bCs/>
                <w:iCs/>
                <w:sz w:val="18"/>
                <w:szCs w:val="18"/>
                <w:lang w:eastAsia="lt-LT"/>
              </w:rPr>
              <w:t>2.</w:t>
            </w:r>
          </w:p>
        </w:tc>
        <w:tc>
          <w:tcPr>
            <w:tcW w:w="1843" w:type="dxa"/>
            <w:shd w:val="clear" w:color="auto" w:fill="auto"/>
            <w:vAlign w:val="center"/>
          </w:tcPr>
          <w:p w:rsidR="00385835" w:rsidRPr="00FC6264" w:rsidRDefault="003946F0" w:rsidP="00385835">
            <w:pPr>
              <w:widowControl w:val="0"/>
              <w:tabs>
                <w:tab w:val="left" w:pos="622"/>
              </w:tabs>
              <w:spacing w:after="0" w:line="240" w:lineRule="auto"/>
              <w:rPr>
                <w:rFonts w:ascii="Times New Roman" w:hAnsi="Times New Roman"/>
                <w:bCs/>
                <w:sz w:val="18"/>
                <w:szCs w:val="18"/>
                <w:lang w:eastAsia="lt-LT"/>
              </w:rPr>
            </w:pPr>
            <w:r w:rsidRPr="00FC6264">
              <w:rPr>
                <w:rFonts w:ascii="Times New Roman" w:hAnsi="Times New Roman"/>
                <w:bCs/>
                <w:sz w:val="18"/>
                <w:szCs w:val="18"/>
                <w:lang w:eastAsia="lt-LT"/>
              </w:rPr>
              <w:t>Nuotoliniu būdu valdomų magistralinio dujotiekio uždarymo įtaisų dalis</w:t>
            </w:r>
          </w:p>
        </w:tc>
        <w:tc>
          <w:tcPr>
            <w:tcW w:w="1134" w:type="dxa"/>
            <w:shd w:val="clear" w:color="auto" w:fill="auto"/>
            <w:vAlign w:val="center"/>
          </w:tcPr>
          <w:p w:rsidR="00385835" w:rsidRPr="00FC6264" w:rsidRDefault="003946F0" w:rsidP="00385835">
            <w:pPr>
              <w:widowControl w:val="0"/>
              <w:tabs>
                <w:tab w:val="left" w:pos="622"/>
              </w:tabs>
              <w:spacing w:after="0" w:line="240" w:lineRule="auto"/>
              <w:jc w:val="center"/>
              <w:rPr>
                <w:rFonts w:ascii="Times New Roman" w:eastAsia="AngsanaUPC" w:hAnsi="Times New Roman"/>
                <w:bCs/>
                <w:sz w:val="18"/>
                <w:szCs w:val="18"/>
                <w:lang w:eastAsia="lt-LT"/>
              </w:rPr>
            </w:pPr>
            <w:r w:rsidRPr="00FC6264">
              <w:rPr>
                <w:rFonts w:ascii="Times New Roman" w:eastAsia="AngsanaUPC" w:hAnsi="Times New Roman"/>
                <w:bCs/>
                <w:sz w:val="18"/>
                <w:szCs w:val="18"/>
                <w:lang w:eastAsia="lt-LT"/>
              </w:rPr>
              <w:t>Proc.</w:t>
            </w:r>
          </w:p>
        </w:tc>
        <w:tc>
          <w:tcPr>
            <w:tcW w:w="1134" w:type="dxa"/>
            <w:shd w:val="clear" w:color="auto" w:fill="auto"/>
            <w:vAlign w:val="center"/>
          </w:tcPr>
          <w:p w:rsidR="00385835" w:rsidRPr="00FC6264" w:rsidRDefault="00385835" w:rsidP="00385835">
            <w:pPr>
              <w:widowControl w:val="0"/>
              <w:tabs>
                <w:tab w:val="left" w:pos="622"/>
              </w:tabs>
              <w:spacing w:after="0" w:line="240" w:lineRule="auto"/>
              <w:jc w:val="center"/>
              <w:rPr>
                <w:rFonts w:ascii="Times New Roman" w:eastAsia="AngsanaUPC" w:hAnsi="Times New Roman"/>
                <w:bCs/>
                <w:sz w:val="18"/>
                <w:szCs w:val="18"/>
                <w:lang w:eastAsia="lt-LT"/>
              </w:rPr>
            </w:pPr>
            <w:r w:rsidRPr="00FC6264">
              <w:rPr>
                <w:rFonts w:ascii="Times New Roman" w:eastAsia="AngsanaUPC" w:hAnsi="Times New Roman"/>
                <w:bCs/>
                <w:sz w:val="18"/>
                <w:szCs w:val="18"/>
                <w:lang w:eastAsia="lt-LT"/>
              </w:rPr>
              <w:t>Mažiau išsivystęs</w:t>
            </w:r>
          </w:p>
        </w:tc>
        <w:tc>
          <w:tcPr>
            <w:tcW w:w="851" w:type="dxa"/>
            <w:shd w:val="clear" w:color="auto" w:fill="auto"/>
            <w:vAlign w:val="center"/>
          </w:tcPr>
          <w:p w:rsidR="00385835" w:rsidRPr="00FC6264" w:rsidRDefault="003946F0" w:rsidP="009348A3">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eastAsia="AngsanaUPC" w:hAnsi="Times New Roman"/>
                <w:bCs/>
                <w:iCs/>
                <w:sz w:val="18"/>
                <w:szCs w:val="18"/>
                <w:lang w:eastAsia="lt-LT"/>
              </w:rPr>
              <w:t>20</w:t>
            </w:r>
          </w:p>
        </w:tc>
        <w:tc>
          <w:tcPr>
            <w:tcW w:w="992" w:type="dxa"/>
            <w:shd w:val="clear" w:color="auto" w:fill="auto"/>
            <w:vAlign w:val="center"/>
          </w:tcPr>
          <w:p w:rsidR="00385835" w:rsidRPr="00FC6264"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eastAsia="AngsanaUPC" w:hAnsi="Times New Roman"/>
                <w:bCs/>
                <w:iCs/>
                <w:sz w:val="18"/>
                <w:szCs w:val="18"/>
                <w:lang w:eastAsia="lt-LT"/>
              </w:rPr>
              <w:t>2013</w:t>
            </w:r>
          </w:p>
        </w:tc>
        <w:tc>
          <w:tcPr>
            <w:tcW w:w="850" w:type="dxa"/>
            <w:shd w:val="clear" w:color="auto" w:fill="auto"/>
            <w:vAlign w:val="center"/>
          </w:tcPr>
          <w:p w:rsidR="00385835" w:rsidRPr="00FC6264" w:rsidRDefault="003946F0" w:rsidP="009348A3">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eastAsia="AngsanaUPC" w:hAnsi="Times New Roman"/>
                <w:bCs/>
                <w:iCs/>
                <w:sz w:val="18"/>
                <w:szCs w:val="18"/>
                <w:lang w:eastAsia="lt-LT"/>
              </w:rPr>
              <w:t>60</w:t>
            </w:r>
          </w:p>
        </w:tc>
        <w:tc>
          <w:tcPr>
            <w:tcW w:w="1134" w:type="dxa"/>
            <w:shd w:val="clear" w:color="auto" w:fill="auto"/>
            <w:vAlign w:val="center"/>
          </w:tcPr>
          <w:p w:rsidR="00385835" w:rsidRPr="00FC6264" w:rsidRDefault="003946F0" w:rsidP="00385835">
            <w:pPr>
              <w:widowControl w:val="0"/>
              <w:tabs>
                <w:tab w:val="left" w:pos="622"/>
              </w:tabs>
              <w:spacing w:after="0" w:line="240" w:lineRule="auto"/>
              <w:jc w:val="center"/>
              <w:rPr>
                <w:rFonts w:ascii="Times New Roman" w:eastAsia="AngsanaUPC" w:hAnsi="Times New Roman"/>
                <w:bCs/>
                <w:i/>
                <w:iCs/>
                <w:sz w:val="18"/>
                <w:szCs w:val="18"/>
                <w:lang w:eastAsia="lt-LT"/>
              </w:rPr>
            </w:pPr>
            <w:r w:rsidRPr="00FC6264">
              <w:rPr>
                <w:rFonts w:ascii="Times New Roman" w:eastAsia="AngsanaUPC" w:hAnsi="Times New Roman"/>
                <w:bCs/>
                <w:iCs/>
                <w:sz w:val="18"/>
                <w:szCs w:val="18"/>
                <w:lang w:eastAsia="lt-LT"/>
              </w:rPr>
              <w:t>Perdavimo sistemos operatorius</w:t>
            </w:r>
          </w:p>
        </w:tc>
        <w:tc>
          <w:tcPr>
            <w:tcW w:w="1241" w:type="dxa"/>
            <w:shd w:val="clear" w:color="auto" w:fill="auto"/>
            <w:vAlign w:val="center"/>
          </w:tcPr>
          <w:p w:rsidR="00385835" w:rsidRPr="00D54F90"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D54F90">
              <w:rPr>
                <w:rFonts w:ascii="Times New Roman" w:eastAsia="AngsanaUPC" w:hAnsi="Times New Roman"/>
                <w:bCs/>
                <w:iCs/>
                <w:sz w:val="18"/>
                <w:szCs w:val="18"/>
                <w:lang w:eastAsia="lt-LT"/>
              </w:rPr>
              <w:t>Kartą per metus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385835" w:rsidRPr="00385835" w:rsidTr="00385835">
        <w:tc>
          <w:tcPr>
            <w:tcW w:w="9746" w:type="dxa"/>
            <w:tcBorders>
              <w:top w:val="single" w:sz="4" w:space="0" w:color="auto"/>
              <w:left w:val="single" w:sz="4" w:space="0" w:color="auto"/>
              <w:bottom w:val="single" w:sz="4" w:space="0" w:color="auto"/>
              <w:right w:val="single" w:sz="4" w:space="0" w:color="auto"/>
            </w:tcBorders>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Cs/>
                <w:iCs/>
                <w:sz w:val="24"/>
                <w:szCs w:val="24"/>
                <w:lang w:eastAsia="lt-LT"/>
              </w:rPr>
            </w:pPr>
            <w:r w:rsidRPr="00385835">
              <w:rPr>
                <w:rFonts w:ascii="Times New Roman" w:eastAsia="AngsanaUPC" w:hAnsi="Times New Roman"/>
                <w:b/>
                <w:bCs/>
                <w:i/>
                <w:iCs/>
                <w:sz w:val="24"/>
                <w:szCs w:val="24"/>
                <w:lang w:eastAsia="lt-LT"/>
              </w:rPr>
              <w:t>6.3. Investicinio prioriteto įgyvendinimo veiklos</w:t>
            </w:r>
          </w:p>
        </w:tc>
      </w:tr>
      <w:tr w:rsidR="00385835" w:rsidRPr="00385835" w:rsidTr="00385835">
        <w:tc>
          <w:tcPr>
            <w:tcW w:w="9746" w:type="dxa"/>
            <w:shd w:val="clear" w:color="auto" w:fill="auto"/>
          </w:tcPr>
          <w:p w:rsidR="00385835" w:rsidRPr="00385835" w:rsidRDefault="00385835" w:rsidP="00650E41">
            <w:pPr>
              <w:widowControl w:val="0"/>
              <w:numPr>
                <w:ilvl w:val="0"/>
                <w:numId w:val="26"/>
              </w:numPr>
              <w:tabs>
                <w:tab w:val="left" w:pos="622"/>
                <w:tab w:val="left" w:pos="1665"/>
              </w:tabs>
              <w:spacing w:after="0" w:line="240" w:lineRule="auto"/>
              <w:ind w:left="34"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Pažangios elektros perdavimo tinklų sistemos. Planuojama remti naujų pažangių elektros energijos perdavimo linijų, užtikrinsiančių abipusį elektros energijos perdavimą tarpsisteminėmis jungtimis Lietuva</w:t>
            </w:r>
            <w:r w:rsidR="00CB3A6A">
              <w:rPr>
                <w:rFonts w:ascii="Times New Roman" w:eastAsia="AngsanaUPC" w:hAnsi="Times New Roman"/>
                <w:bCs/>
                <w:sz w:val="24"/>
                <w:szCs w:val="24"/>
                <w:lang w:eastAsia="lt-LT"/>
              </w:rPr>
              <w:t>–</w:t>
            </w:r>
            <w:r w:rsidRPr="00385835">
              <w:rPr>
                <w:rFonts w:ascii="Times New Roman" w:eastAsia="AngsanaUPC" w:hAnsi="Times New Roman"/>
                <w:bCs/>
                <w:iCs/>
                <w:sz w:val="24"/>
                <w:szCs w:val="24"/>
                <w:lang w:eastAsia="lt-LT"/>
              </w:rPr>
              <w:t>Lenkija (</w:t>
            </w:r>
            <w:r w:rsidR="007E588C">
              <w:rPr>
                <w:rFonts w:ascii="Times New Roman" w:eastAsia="AngsanaUPC" w:hAnsi="Times New Roman"/>
                <w:bCs/>
                <w:iCs/>
                <w:sz w:val="24"/>
                <w:szCs w:val="24"/>
                <w:lang w:eastAsia="lt-LT"/>
              </w:rPr>
              <w:t>„</w:t>
            </w:r>
            <w:r w:rsidRPr="00385835">
              <w:rPr>
                <w:rFonts w:ascii="Times New Roman" w:eastAsia="AngsanaUPC" w:hAnsi="Times New Roman"/>
                <w:bCs/>
                <w:iCs/>
                <w:sz w:val="24"/>
                <w:szCs w:val="24"/>
                <w:lang w:eastAsia="lt-LT"/>
              </w:rPr>
              <w:t>LitPol Link</w:t>
            </w:r>
            <w:r w:rsidR="007E588C">
              <w:rPr>
                <w:rFonts w:ascii="Times New Roman" w:eastAsia="AngsanaUPC" w:hAnsi="Times New Roman"/>
                <w:bCs/>
                <w:iCs/>
                <w:sz w:val="24"/>
                <w:szCs w:val="24"/>
                <w:lang w:eastAsia="lt-LT"/>
              </w:rPr>
              <w:t>“</w:t>
            </w:r>
            <w:r w:rsidRPr="00385835">
              <w:rPr>
                <w:rFonts w:ascii="Times New Roman" w:eastAsia="AngsanaUPC" w:hAnsi="Times New Roman"/>
                <w:bCs/>
                <w:iCs/>
                <w:sz w:val="24"/>
                <w:szCs w:val="24"/>
                <w:lang w:eastAsia="lt-LT"/>
              </w:rPr>
              <w:t>) ir Lietuva</w:t>
            </w:r>
            <w:r w:rsidR="00CB3A6A">
              <w:rPr>
                <w:rFonts w:ascii="Times New Roman" w:eastAsia="AngsanaUPC" w:hAnsi="Times New Roman"/>
                <w:bCs/>
                <w:sz w:val="24"/>
                <w:szCs w:val="24"/>
                <w:lang w:eastAsia="lt-LT"/>
              </w:rPr>
              <w:t>–</w:t>
            </w:r>
            <w:r w:rsidRPr="00385835">
              <w:rPr>
                <w:rFonts w:ascii="Times New Roman" w:eastAsia="AngsanaUPC" w:hAnsi="Times New Roman"/>
                <w:bCs/>
                <w:iCs/>
                <w:sz w:val="24"/>
                <w:szCs w:val="24"/>
                <w:lang w:eastAsia="lt-LT"/>
              </w:rPr>
              <w:t>Švedija („NordBalt“), tiesimą, esamų linijų rekonstravimą (atstatymą), užtikrinant elektros energijos tiekimo patikimumą vartotojams, taip pat naujų pažangių transformatorių pastočių ir skirstyklų statybą bei esamų rekonstravimą (modernizavimą), orinių elektros linijų keitimą požeminėmis, užtikrinant elektros energijos tiekimo patikimumą tiek esamiems, tiek naujiems vartotojams bei prisidedant prie AIE integracijos į Lietuvos elektros energetikos sistemą. Įgyvendinus minėtus projektus, elektros perdavimo tinklai atitiks Europos Parlamento ir Tarybos reglamento 347/2013 dėl transeuropinės energetikos infrastruktūros gairių pažangiojo tinklo standartus (tinklas, kuris gali ekonominiu požiūriu veiksmingai padėti integruoti visų prie tinklo prisijungusių naudotojų, įskaitant gamintojus, vartotojus ir abu šias veiklas vykdančius subjektus, elgesį ir veiksmus, siekiant užtikrinti ekonominiu požiūriu veiksmingą ir tvarią elektros energijos sistemą, kuriai būdingi nedideli nuostoliai, aukšta kokybė, didelis tiekimo saugumas ir sauga).</w:t>
            </w:r>
          </w:p>
          <w:p w:rsidR="00385835" w:rsidRPr="00385835" w:rsidRDefault="00385835" w:rsidP="00650E41">
            <w:pPr>
              <w:widowControl w:val="0"/>
              <w:numPr>
                <w:ilvl w:val="0"/>
                <w:numId w:val="26"/>
              </w:numPr>
              <w:tabs>
                <w:tab w:val="left" w:pos="622"/>
                <w:tab w:val="left" w:pos="1665"/>
              </w:tabs>
              <w:spacing w:after="0" w:line="240" w:lineRule="auto"/>
              <w:ind w:left="34"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Pažangios dujų perdavimo tinklų sistemos. Finansuojami vidaus dujų perdavimo tinklai, kurie yra reikalingi SGD terminalo Klaipėdoje integracijai į rinką ir Lietuvos dujų sistemų integracijai į Europos bendrijos vidaus rinką. Taip pat priemonės, didinančios dujų tiekimo saugumą ir energijos vartojimo efektyvumą: programinės ir technologinės įrangos efektyviam perdavimo si</w:t>
            </w:r>
            <w:r w:rsidR="002319BA">
              <w:rPr>
                <w:rFonts w:ascii="Times New Roman" w:eastAsia="AngsanaUPC" w:hAnsi="Times New Roman"/>
                <w:bCs/>
                <w:iCs/>
                <w:sz w:val="24"/>
                <w:szCs w:val="24"/>
                <w:lang w:eastAsia="lt-LT"/>
              </w:rPr>
              <w:t xml:space="preserve">stemos eksploatavimui diegimas, </w:t>
            </w:r>
            <w:r w:rsidRPr="00385835">
              <w:rPr>
                <w:rFonts w:ascii="Times New Roman" w:eastAsia="AngsanaUPC" w:hAnsi="Times New Roman"/>
                <w:bCs/>
                <w:iCs/>
                <w:sz w:val="24"/>
                <w:szCs w:val="24"/>
                <w:lang w:eastAsia="lt-LT"/>
              </w:rPr>
              <w:t>matavimo, dujų kokybės nustatymo priemonių ir telemetrijos įrengimas, dujų skirstymo ir kompresorių stočių įrengimas ir modernizavimas.</w:t>
            </w:r>
          </w:p>
          <w:p w:rsidR="00385835" w:rsidRPr="00385835" w:rsidRDefault="00385835" w:rsidP="00650E41">
            <w:pPr>
              <w:widowControl w:val="0"/>
              <w:numPr>
                <w:ilvl w:val="0"/>
                <w:numId w:val="26"/>
              </w:numPr>
              <w:tabs>
                <w:tab w:val="left" w:pos="622"/>
                <w:tab w:val="left" w:pos="1665"/>
              </w:tabs>
              <w:spacing w:after="0" w:line="240" w:lineRule="auto"/>
              <w:ind w:left="34"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Pažangios dujų skirstymo tinklų sistemos. Finansuojami dujų skirstymo tinklų sužiedinimo ir valdomų sklendžių įrengimo projektai. Tokiu būdu sukuriamos pažangiojo tinklo technologijos</w:t>
            </w:r>
            <w:r w:rsidR="002319BA">
              <w:rPr>
                <w:rFonts w:ascii="Times New Roman" w:eastAsia="AngsanaUPC" w:hAnsi="Times New Roman"/>
                <w:bCs/>
                <w:iCs/>
                <w:sz w:val="24"/>
                <w:szCs w:val="24"/>
                <w:lang w:eastAsia="lt-LT"/>
              </w:rPr>
              <w:t>,</w:t>
            </w:r>
            <w:r w:rsidRPr="00385835">
              <w:rPr>
                <w:rFonts w:ascii="Times New Roman" w:eastAsia="AngsanaUPC" w:hAnsi="Times New Roman"/>
                <w:bCs/>
                <w:iCs/>
                <w:sz w:val="24"/>
                <w:szCs w:val="24"/>
                <w:lang w:eastAsia="lt-LT"/>
              </w:rPr>
              <w:t xml:space="preserve"> siekiant gamtinių dujų skirstymo patikimumo užtikrinimo, valdymo galimybių išplėtimo. Planuojama remti išmaniosios gamtinių dujų apskaitos įdiegimo projektus, gerinant vartotojų galimybę kontroliuoti dujų suvartojimą, pagerinant sistemos valdymo galimybes.</w:t>
            </w:r>
          </w:p>
          <w:p w:rsidR="00385835" w:rsidRPr="00385835" w:rsidRDefault="00385835" w:rsidP="00385835">
            <w:pPr>
              <w:widowControl w:val="0"/>
              <w:tabs>
                <w:tab w:val="left" w:pos="622"/>
                <w:tab w:val="left" w:pos="1665"/>
              </w:tabs>
              <w:spacing w:after="0" w:line="240" w:lineRule="auto"/>
              <w:ind w:left="34"/>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Finansuotini dujų skirstymo ir perdavimo tinklų projektai atitiks Europos Komisijos nustatytas pažangios dujų infrastruktūros savybes.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i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746"/>
      </w:tblGrid>
      <w:tr w:rsidR="00385835" w:rsidRPr="00385835" w:rsidTr="00385835">
        <w:tc>
          <w:tcPr>
            <w:tcW w:w="9746"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i/>
                <w:iCs/>
                <w:sz w:val="24"/>
                <w:szCs w:val="24"/>
                <w:lang w:eastAsia="lt-LT"/>
              </w:rPr>
              <w:t>Didelės apimties projektai</w:t>
            </w:r>
          </w:p>
        </w:tc>
      </w:tr>
      <w:tr w:rsidR="00385835" w:rsidRPr="00385835" w:rsidTr="00385835">
        <w:tc>
          <w:tcPr>
            <w:tcW w:w="9746" w:type="dxa"/>
            <w:shd w:val="clear" w:color="auto" w:fill="auto"/>
          </w:tcPr>
          <w:p w:rsidR="00385835" w:rsidRPr="00ED11F4" w:rsidRDefault="00ED11F4" w:rsidP="00ED11F4">
            <w:pPr>
              <w:widowControl w:val="0"/>
              <w:tabs>
                <w:tab w:val="left" w:pos="622"/>
              </w:tabs>
              <w:spacing w:after="0" w:line="240" w:lineRule="auto"/>
              <w:ind w:firstLine="624"/>
              <w:jc w:val="both"/>
              <w:rPr>
                <w:rFonts w:ascii="Times New Roman" w:hAnsi="Times New Roman"/>
                <w:bCs/>
                <w:iCs/>
                <w:color w:val="000000"/>
                <w:sz w:val="24"/>
                <w:szCs w:val="24"/>
                <w:lang w:eastAsia="lt-LT"/>
              </w:rPr>
            </w:pPr>
            <w:r w:rsidRPr="00ED11F4">
              <w:rPr>
                <w:rFonts w:ascii="Times New Roman" w:hAnsi="Times New Roman"/>
                <w:bCs/>
                <w:iCs/>
                <w:color w:val="000000"/>
                <w:sz w:val="24"/>
                <w:szCs w:val="24"/>
                <w:lang w:eastAsia="lt-LT"/>
              </w:rPr>
              <w:t>Pagal šį investicinį prioritetą didelės apimties projektų vykdyti neplanuojama.</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543"/>
        <w:gridCol w:w="3129"/>
        <w:gridCol w:w="1006"/>
        <w:gridCol w:w="837"/>
        <w:gridCol w:w="1006"/>
        <w:gridCol w:w="991"/>
        <w:gridCol w:w="996"/>
        <w:gridCol w:w="1238"/>
      </w:tblGrid>
      <w:tr w:rsidR="00385835" w:rsidRPr="00385835" w:rsidTr="008C2709">
        <w:trPr>
          <w:tblHeader/>
        </w:trPr>
        <w:tc>
          <w:tcPr>
            <w:tcW w:w="9746" w:type="dxa"/>
            <w:gridSpan w:val="8"/>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i/>
                <w:iCs/>
                <w:sz w:val="24"/>
                <w:szCs w:val="24"/>
                <w:lang w:eastAsia="lt-LT"/>
              </w:rPr>
            </w:pPr>
            <w:r w:rsidRPr="00385835">
              <w:rPr>
                <w:rFonts w:ascii="Times New Roman" w:eastAsia="AngsanaUPC" w:hAnsi="Times New Roman"/>
                <w:b/>
                <w:bCs/>
                <w:i/>
                <w:iCs/>
                <w:sz w:val="24"/>
                <w:szCs w:val="24"/>
                <w:lang w:eastAsia="lt-LT"/>
              </w:rPr>
              <w:t xml:space="preserve">ERPF bendrieji ir </w:t>
            </w:r>
            <w:r w:rsidR="00B1109C">
              <w:rPr>
                <w:rFonts w:ascii="Times New Roman" w:eastAsia="AngsanaUPC" w:hAnsi="Times New Roman"/>
                <w:b/>
                <w:bCs/>
                <w:i/>
                <w:iCs/>
                <w:sz w:val="24"/>
                <w:szCs w:val="24"/>
                <w:lang w:eastAsia="lt-LT"/>
              </w:rPr>
              <w:t xml:space="preserve">specialieji programos </w:t>
            </w:r>
            <w:r w:rsidRPr="00385835">
              <w:rPr>
                <w:rFonts w:ascii="Times New Roman" w:eastAsia="AngsanaUPC" w:hAnsi="Times New Roman"/>
                <w:b/>
                <w:bCs/>
                <w:i/>
                <w:iCs/>
                <w:sz w:val="24"/>
                <w:szCs w:val="24"/>
                <w:lang w:eastAsia="lt-LT"/>
              </w:rPr>
              <w:t xml:space="preserve">produkto rodikliai </w:t>
            </w:r>
          </w:p>
        </w:tc>
      </w:tr>
      <w:tr w:rsidR="00385835" w:rsidRPr="00385835" w:rsidTr="008C2709">
        <w:tblPrEx>
          <w:shd w:val="clear" w:color="auto" w:fill="auto"/>
        </w:tblPrEx>
        <w:trPr>
          <w:tblHeader/>
        </w:trPr>
        <w:tc>
          <w:tcPr>
            <w:tcW w:w="543"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Nr.</w:t>
            </w:r>
          </w:p>
        </w:tc>
        <w:tc>
          <w:tcPr>
            <w:tcW w:w="3129"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Rodiklio pavadinimas</w:t>
            </w:r>
          </w:p>
        </w:tc>
        <w:tc>
          <w:tcPr>
            <w:tcW w:w="1006"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Matavimo vienetas</w:t>
            </w:r>
          </w:p>
        </w:tc>
        <w:tc>
          <w:tcPr>
            <w:tcW w:w="837"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Fondas</w:t>
            </w:r>
          </w:p>
        </w:tc>
        <w:tc>
          <w:tcPr>
            <w:tcW w:w="1006"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Regiono kategorija</w:t>
            </w:r>
          </w:p>
        </w:tc>
        <w:tc>
          <w:tcPr>
            <w:tcW w:w="99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Siektina reikšmė (2023)</w:t>
            </w:r>
          </w:p>
        </w:tc>
        <w:tc>
          <w:tcPr>
            <w:tcW w:w="996"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Duomenų šaltinis</w:t>
            </w:r>
          </w:p>
        </w:tc>
        <w:tc>
          <w:tcPr>
            <w:tcW w:w="1238"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Atsiskaitymo dažnumas</w:t>
            </w:r>
          </w:p>
        </w:tc>
      </w:tr>
      <w:tr w:rsidR="00385835" w:rsidRPr="00385835" w:rsidTr="00385835">
        <w:tblPrEx>
          <w:shd w:val="clear" w:color="auto" w:fill="auto"/>
        </w:tblPrEx>
        <w:tc>
          <w:tcPr>
            <w:tcW w:w="543"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w:t>
            </w:r>
          </w:p>
        </w:tc>
        <w:tc>
          <w:tcPr>
            <w:tcW w:w="3129" w:type="dxa"/>
            <w:shd w:val="clear" w:color="auto" w:fill="auto"/>
            <w:vAlign w:val="center"/>
          </w:tcPr>
          <w:p w:rsidR="00385835" w:rsidRPr="00385835" w:rsidRDefault="00385835" w:rsidP="00385835">
            <w:pPr>
              <w:widowControl w:val="0"/>
              <w:tabs>
                <w:tab w:val="left" w:pos="622"/>
              </w:tabs>
              <w:spacing w:after="0" w:line="240" w:lineRule="auto"/>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Įrengtos naujos ir (arba) atnaujintos transformatorių pastotės ir (arba) skirstyklos</w:t>
            </w:r>
          </w:p>
        </w:tc>
        <w:tc>
          <w:tcPr>
            <w:tcW w:w="1006"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Skaičius</w:t>
            </w:r>
          </w:p>
        </w:tc>
        <w:tc>
          <w:tcPr>
            <w:tcW w:w="83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ERPF</w:t>
            </w:r>
          </w:p>
        </w:tc>
        <w:tc>
          <w:tcPr>
            <w:tcW w:w="1006"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sz w:val="18"/>
                <w:szCs w:val="18"/>
                <w:lang w:eastAsia="lt-LT"/>
              </w:rPr>
              <w:t>Mažiau išsivystęs</w:t>
            </w:r>
          </w:p>
        </w:tc>
        <w:tc>
          <w:tcPr>
            <w:tcW w:w="991" w:type="dxa"/>
            <w:shd w:val="clear" w:color="auto" w:fill="auto"/>
            <w:vAlign w:val="center"/>
          </w:tcPr>
          <w:p w:rsidR="00385835" w:rsidRPr="00FC6264" w:rsidRDefault="000C1C28"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eastAsia="AngsanaUPC" w:hAnsi="Times New Roman"/>
                <w:bCs/>
                <w:iCs/>
                <w:sz w:val="18"/>
                <w:szCs w:val="18"/>
                <w:lang w:eastAsia="lt-LT"/>
              </w:rPr>
              <w:t>23</w:t>
            </w:r>
          </w:p>
        </w:tc>
        <w:tc>
          <w:tcPr>
            <w:tcW w:w="996"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Duomenys iš projektų</w:t>
            </w:r>
          </w:p>
        </w:tc>
        <w:tc>
          <w:tcPr>
            <w:tcW w:w="1238"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385835" w:rsidRPr="00385835" w:rsidTr="00385835">
        <w:tblPrEx>
          <w:shd w:val="clear" w:color="auto" w:fill="auto"/>
        </w:tblPrEx>
        <w:tc>
          <w:tcPr>
            <w:tcW w:w="543" w:type="dxa"/>
            <w:shd w:val="clear" w:color="auto" w:fill="auto"/>
            <w:vAlign w:val="center"/>
          </w:tcPr>
          <w:p w:rsidR="00385835" w:rsidRPr="00D54F90"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D54F90">
              <w:rPr>
                <w:rFonts w:ascii="Times New Roman" w:eastAsia="AngsanaUPC" w:hAnsi="Times New Roman"/>
                <w:bCs/>
                <w:iCs/>
                <w:sz w:val="18"/>
                <w:szCs w:val="18"/>
                <w:lang w:eastAsia="lt-LT"/>
              </w:rPr>
              <w:lastRenderedPageBreak/>
              <w:t>2.</w:t>
            </w:r>
          </w:p>
        </w:tc>
        <w:tc>
          <w:tcPr>
            <w:tcW w:w="3129" w:type="dxa"/>
            <w:shd w:val="clear" w:color="auto" w:fill="auto"/>
            <w:vAlign w:val="center"/>
          </w:tcPr>
          <w:p w:rsidR="00385835" w:rsidRPr="00D54F90" w:rsidRDefault="00385835" w:rsidP="00385835">
            <w:pPr>
              <w:widowControl w:val="0"/>
              <w:tabs>
                <w:tab w:val="left" w:pos="622"/>
              </w:tabs>
              <w:spacing w:after="0" w:line="240" w:lineRule="auto"/>
              <w:rPr>
                <w:rFonts w:ascii="Times New Roman" w:eastAsia="AngsanaUPC" w:hAnsi="Times New Roman"/>
                <w:bCs/>
                <w:iCs/>
                <w:sz w:val="18"/>
                <w:szCs w:val="18"/>
                <w:lang w:eastAsia="lt-LT"/>
              </w:rPr>
            </w:pPr>
            <w:r w:rsidRPr="00D54F90">
              <w:rPr>
                <w:rFonts w:ascii="Times New Roman" w:eastAsia="AngsanaUPC" w:hAnsi="Times New Roman"/>
                <w:bCs/>
                <w:iCs/>
                <w:sz w:val="18"/>
                <w:szCs w:val="18"/>
                <w:lang w:eastAsia="lt-LT"/>
              </w:rPr>
              <w:t>Nutiestų ir (arba) rekonstruotų elektros perdavimo linijų ilgis</w:t>
            </w:r>
          </w:p>
        </w:tc>
        <w:tc>
          <w:tcPr>
            <w:tcW w:w="1006" w:type="dxa"/>
            <w:shd w:val="clear" w:color="auto" w:fill="auto"/>
            <w:vAlign w:val="center"/>
          </w:tcPr>
          <w:p w:rsidR="00385835" w:rsidRPr="00D54F90"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D54F90">
              <w:rPr>
                <w:rFonts w:ascii="Times New Roman" w:eastAsia="AngsanaUPC" w:hAnsi="Times New Roman"/>
                <w:bCs/>
                <w:iCs/>
                <w:sz w:val="18"/>
                <w:szCs w:val="18"/>
                <w:lang w:eastAsia="lt-LT"/>
              </w:rPr>
              <w:t>km</w:t>
            </w:r>
          </w:p>
        </w:tc>
        <w:tc>
          <w:tcPr>
            <w:tcW w:w="837" w:type="dxa"/>
            <w:shd w:val="clear" w:color="auto" w:fill="auto"/>
            <w:vAlign w:val="center"/>
          </w:tcPr>
          <w:p w:rsidR="00385835" w:rsidRPr="00D54F90"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D54F90">
              <w:rPr>
                <w:rFonts w:ascii="Times New Roman" w:eastAsia="AngsanaUPC" w:hAnsi="Times New Roman"/>
                <w:bCs/>
                <w:iCs/>
                <w:sz w:val="18"/>
                <w:szCs w:val="18"/>
                <w:lang w:eastAsia="lt-LT"/>
              </w:rPr>
              <w:t>ERPF</w:t>
            </w:r>
          </w:p>
        </w:tc>
        <w:tc>
          <w:tcPr>
            <w:tcW w:w="1006" w:type="dxa"/>
            <w:shd w:val="clear" w:color="auto" w:fill="auto"/>
            <w:vAlign w:val="center"/>
          </w:tcPr>
          <w:p w:rsidR="00385835" w:rsidRPr="00D54F90"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D54F90">
              <w:rPr>
                <w:rFonts w:ascii="Times New Roman" w:eastAsia="AngsanaUPC" w:hAnsi="Times New Roman"/>
                <w:bCs/>
                <w:sz w:val="18"/>
                <w:szCs w:val="18"/>
                <w:lang w:eastAsia="lt-LT"/>
              </w:rPr>
              <w:t>Mažiau išsivystęs</w:t>
            </w:r>
          </w:p>
        </w:tc>
        <w:tc>
          <w:tcPr>
            <w:tcW w:w="991" w:type="dxa"/>
            <w:shd w:val="clear" w:color="auto" w:fill="auto"/>
            <w:vAlign w:val="center"/>
          </w:tcPr>
          <w:p w:rsidR="00385835" w:rsidRPr="00FC6264" w:rsidRDefault="003946F0"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eastAsia="AngsanaUPC" w:hAnsi="Times New Roman"/>
                <w:bCs/>
                <w:iCs/>
                <w:sz w:val="18"/>
                <w:szCs w:val="18"/>
                <w:lang w:eastAsia="lt-LT"/>
              </w:rPr>
              <w:t>33</w:t>
            </w:r>
            <w:r w:rsidR="00385835" w:rsidRPr="00FC6264">
              <w:rPr>
                <w:rFonts w:ascii="Times New Roman" w:eastAsia="AngsanaUPC" w:hAnsi="Times New Roman"/>
                <w:bCs/>
                <w:iCs/>
                <w:sz w:val="18"/>
                <w:szCs w:val="18"/>
                <w:lang w:eastAsia="lt-LT"/>
              </w:rPr>
              <w:t>0</w:t>
            </w:r>
          </w:p>
        </w:tc>
        <w:tc>
          <w:tcPr>
            <w:tcW w:w="996" w:type="dxa"/>
            <w:shd w:val="clear" w:color="auto" w:fill="auto"/>
            <w:vAlign w:val="center"/>
          </w:tcPr>
          <w:p w:rsidR="00385835" w:rsidRPr="00D54F90"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D54F90">
              <w:rPr>
                <w:rFonts w:ascii="Times New Roman" w:eastAsia="AngsanaUPC" w:hAnsi="Times New Roman"/>
                <w:bCs/>
                <w:iCs/>
                <w:sz w:val="18"/>
                <w:szCs w:val="18"/>
                <w:lang w:eastAsia="lt-LT"/>
              </w:rPr>
              <w:t>Duomenys iš projektų</w:t>
            </w:r>
          </w:p>
        </w:tc>
        <w:tc>
          <w:tcPr>
            <w:tcW w:w="1238"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385835" w:rsidRPr="00385835" w:rsidTr="00385835">
        <w:tblPrEx>
          <w:shd w:val="clear" w:color="auto" w:fill="auto"/>
        </w:tblPrEx>
        <w:tc>
          <w:tcPr>
            <w:tcW w:w="543" w:type="dxa"/>
            <w:shd w:val="clear" w:color="auto" w:fill="auto"/>
            <w:vAlign w:val="center"/>
          </w:tcPr>
          <w:p w:rsidR="00385835" w:rsidRPr="00D54F90"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D54F90">
              <w:rPr>
                <w:rFonts w:ascii="Times New Roman" w:eastAsia="AngsanaUPC" w:hAnsi="Times New Roman"/>
                <w:bCs/>
                <w:iCs/>
                <w:sz w:val="18"/>
                <w:szCs w:val="18"/>
                <w:lang w:eastAsia="lt-LT"/>
              </w:rPr>
              <w:t>3.</w:t>
            </w:r>
          </w:p>
        </w:tc>
        <w:tc>
          <w:tcPr>
            <w:tcW w:w="3129" w:type="dxa"/>
            <w:shd w:val="clear" w:color="auto" w:fill="auto"/>
            <w:vAlign w:val="center"/>
          </w:tcPr>
          <w:p w:rsidR="00385835" w:rsidRPr="00D54F90" w:rsidRDefault="00385835" w:rsidP="00385835">
            <w:pPr>
              <w:widowControl w:val="0"/>
              <w:tabs>
                <w:tab w:val="left" w:pos="622"/>
              </w:tabs>
              <w:spacing w:after="0" w:line="240" w:lineRule="auto"/>
              <w:rPr>
                <w:rFonts w:ascii="Times New Roman" w:eastAsia="AngsanaUPC" w:hAnsi="Times New Roman"/>
                <w:bCs/>
                <w:iCs/>
                <w:sz w:val="18"/>
                <w:szCs w:val="18"/>
                <w:lang w:eastAsia="lt-LT"/>
              </w:rPr>
            </w:pPr>
            <w:r w:rsidRPr="00D54F90">
              <w:rPr>
                <w:rFonts w:ascii="Times New Roman" w:eastAsia="AngsanaUPC" w:hAnsi="Times New Roman"/>
                <w:bCs/>
                <w:iCs/>
                <w:sz w:val="18"/>
                <w:szCs w:val="18"/>
                <w:lang w:eastAsia="lt-LT"/>
              </w:rPr>
              <w:t>Panaud</w:t>
            </w:r>
            <w:r w:rsidR="00110FFB" w:rsidRPr="00D54F90">
              <w:rPr>
                <w:rFonts w:ascii="Times New Roman" w:eastAsia="AngsanaUPC" w:hAnsi="Times New Roman"/>
                <w:bCs/>
                <w:iCs/>
                <w:sz w:val="18"/>
                <w:szCs w:val="18"/>
                <w:lang w:eastAsia="lt-LT"/>
              </w:rPr>
              <w:t xml:space="preserve">ojant išmaniąsias technologijas, </w:t>
            </w:r>
            <w:r w:rsidRPr="00D54F90">
              <w:rPr>
                <w:rFonts w:ascii="Times New Roman" w:eastAsia="AngsanaUPC" w:hAnsi="Times New Roman"/>
                <w:bCs/>
                <w:iCs/>
                <w:sz w:val="18"/>
                <w:szCs w:val="18"/>
                <w:lang w:eastAsia="lt-LT"/>
              </w:rPr>
              <w:t xml:space="preserve">modernizuotos dujų skirstymo </w:t>
            </w:r>
            <w:r w:rsidR="003946F0" w:rsidRPr="00D54F90">
              <w:rPr>
                <w:rFonts w:ascii="Times New Roman" w:eastAsia="AngsanaUPC" w:hAnsi="Times New Roman"/>
                <w:bCs/>
                <w:iCs/>
                <w:sz w:val="18"/>
                <w:szCs w:val="18"/>
                <w:lang w:eastAsia="lt-LT"/>
              </w:rPr>
              <w:t xml:space="preserve">ir apskaitos </w:t>
            </w:r>
            <w:r w:rsidRPr="00D54F90">
              <w:rPr>
                <w:rFonts w:ascii="Times New Roman" w:eastAsia="AngsanaUPC" w:hAnsi="Times New Roman"/>
                <w:bCs/>
                <w:iCs/>
                <w:sz w:val="18"/>
                <w:szCs w:val="18"/>
                <w:lang w:eastAsia="lt-LT"/>
              </w:rPr>
              <w:t>stotys</w:t>
            </w:r>
          </w:p>
        </w:tc>
        <w:tc>
          <w:tcPr>
            <w:tcW w:w="1006" w:type="dxa"/>
            <w:shd w:val="clear" w:color="auto" w:fill="auto"/>
            <w:vAlign w:val="center"/>
          </w:tcPr>
          <w:p w:rsidR="00385835" w:rsidRPr="00D54F90" w:rsidRDefault="00385835" w:rsidP="00385835">
            <w:pPr>
              <w:widowControl w:val="0"/>
              <w:tabs>
                <w:tab w:val="left" w:pos="622"/>
              </w:tabs>
              <w:spacing w:after="0" w:line="240" w:lineRule="auto"/>
              <w:jc w:val="center"/>
              <w:rPr>
                <w:rFonts w:ascii="Times New Roman" w:hAnsi="Times New Roman"/>
                <w:sz w:val="18"/>
                <w:szCs w:val="18"/>
              </w:rPr>
            </w:pPr>
            <w:r w:rsidRPr="00D54F90">
              <w:rPr>
                <w:rFonts w:ascii="Times New Roman" w:hAnsi="Times New Roman"/>
                <w:sz w:val="18"/>
                <w:szCs w:val="18"/>
              </w:rPr>
              <w:t>Skaičius</w:t>
            </w:r>
          </w:p>
        </w:tc>
        <w:tc>
          <w:tcPr>
            <w:tcW w:w="837" w:type="dxa"/>
            <w:shd w:val="clear" w:color="auto" w:fill="auto"/>
            <w:vAlign w:val="center"/>
          </w:tcPr>
          <w:p w:rsidR="00385835" w:rsidRPr="00D54F90"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D54F90">
              <w:rPr>
                <w:rFonts w:ascii="Times New Roman" w:eastAsia="AngsanaUPC" w:hAnsi="Times New Roman"/>
                <w:bCs/>
                <w:iCs/>
                <w:sz w:val="18"/>
                <w:szCs w:val="18"/>
                <w:lang w:eastAsia="lt-LT"/>
              </w:rPr>
              <w:t>ERPF</w:t>
            </w:r>
          </w:p>
        </w:tc>
        <w:tc>
          <w:tcPr>
            <w:tcW w:w="1006" w:type="dxa"/>
            <w:shd w:val="clear" w:color="auto" w:fill="auto"/>
            <w:vAlign w:val="center"/>
          </w:tcPr>
          <w:p w:rsidR="00385835" w:rsidRPr="00D54F90"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D54F90">
              <w:rPr>
                <w:rFonts w:ascii="Times New Roman" w:eastAsia="AngsanaUPC" w:hAnsi="Times New Roman"/>
                <w:bCs/>
                <w:sz w:val="18"/>
                <w:szCs w:val="18"/>
                <w:lang w:eastAsia="lt-LT"/>
              </w:rPr>
              <w:t>Mažiau išsivystęs</w:t>
            </w:r>
          </w:p>
        </w:tc>
        <w:tc>
          <w:tcPr>
            <w:tcW w:w="991" w:type="dxa"/>
            <w:shd w:val="clear" w:color="auto" w:fill="auto"/>
            <w:vAlign w:val="center"/>
          </w:tcPr>
          <w:p w:rsidR="00385835" w:rsidRPr="00FC6264"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eastAsia="AngsanaUPC" w:hAnsi="Times New Roman"/>
                <w:bCs/>
                <w:iCs/>
                <w:sz w:val="18"/>
                <w:szCs w:val="18"/>
                <w:lang w:eastAsia="lt-LT"/>
              </w:rPr>
              <w:t>5</w:t>
            </w:r>
          </w:p>
        </w:tc>
        <w:tc>
          <w:tcPr>
            <w:tcW w:w="996" w:type="dxa"/>
            <w:shd w:val="clear" w:color="auto" w:fill="auto"/>
            <w:vAlign w:val="center"/>
          </w:tcPr>
          <w:p w:rsidR="00385835" w:rsidRPr="00D54F90"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D54F90">
              <w:rPr>
                <w:rFonts w:ascii="Times New Roman" w:eastAsia="AngsanaUPC" w:hAnsi="Times New Roman"/>
                <w:bCs/>
                <w:iCs/>
                <w:sz w:val="18"/>
                <w:szCs w:val="18"/>
                <w:lang w:eastAsia="lt-LT"/>
              </w:rPr>
              <w:t>Duomenys iš projektų</w:t>
            </w:r>
          </w:p>
        </w:tc>
        <w:tc>
          <w:tcPr>
            <w:tcW w:w="1238"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385835" w:rsidRPr="00385835" w:rsidTr="00385835">
        <w:tblPrEx>
          <w:shd w:val="clear" w:color="auto" w:fill="auto"/>
        </w:tblPrEx>
        <w:tc>
          <w:tcPr>
            <w:tcW w:w="543" w:type="dxa"/>
            <w:shd w:val="clear" w:color="auto" w:fill="auto"/>
            <w:vAlign w:val="center"/>
          </w:tcPr>
          <w:p w:rsidR="00385835" w:rsidRPr="00D54F90"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D54F90">
              <w:rPr>
                <w:rFonts w:ascii="Times New Roman" w:eastAsia="AngsanaUPC" w:hAnsi="Times New Roman"/>
                <w:bCs/>
                <w:iCs/>
                <w:sz w:val="18"/>
                <w:szCs w:val="18"/>
                <w:lang w:eastAsia="lt-LT"/>
              </w:rPr>
              <w:t>4.</w:t>
            </w:r>
          </w:p>
        </w:tc>
        <w:tc>
          <w:tcPr>
            <w:tcW w:w="3129" w:type="dxa"/>
            <w:shd w:val="clear" w:color="auto" w:fill="auto"/>
            <w:vAlign w:val="center"/>
          </w:tcPr>
          <w:p w:rsidR="00385835" w:rsidRPr="00D54F90" w:rsidRDefault="00385835" w:rsidP="00385835">
            <w:pPr>
              <w:widowControl w:val="0"/>
              <w:tabs>
                <w:tab w:val="left" w:pos="622"/>
              </w:tabs>
              <w:spacing w:after="0" w:line="240" w:lineRule="auto"/>
              <w:rPr>
                <w:rFonts w:ascii="Times New Roman" w:eastAsia="AngsanaUPC" w:hAnsi="Times New Roman"/>
                <w:bCs/>
                <w:iCs/>
                <w:sz w:val="18"/>
                <w:szCs w:val="18"/>
                <w:lang w:eastAsia="lt-LT"/>
              </w:rPr>
            </w:pPr>
            <w:r w:rsidRPr="00D54F90">
              <w:rPr>
                <w:rFonts w:ascii="Times New Roman" w:eastAsia="AngsanaUPC" w:hAnsi="Times New Roman"/>
                <w:bCs/>
                <w:iCs/>
                <w:sz w:val="18"/>
                <w:szCs w:val="18"/>
                <w:lang w:eastAsia="lt-LT"/>
              </w:rPr>
              <w:t>Nutiestų</w:t>
            </w:r>
            <w:r w:rsidR="003946F0" w:rsidRPr="00D54F90">
              <w:rPr>
                <w:rFonts w:ascii="Times New Roman" w:eastAsia="AngsanaUPC" w:hAnsi="Times New Roman"/>
                <w:bCs/>
                <w:iCs/>
                <w:sz w:val="18"/>
                <w:szCs w:val="18"/>
                <w:lang w:eastAsia="lt-LT"/>
              </w:rPr>
              <w:t xml:space="preserve"> ir</w:t>
            </w:r>
            <w:r w:rsidR="007B4B4A" w:rsidRPr="00D54F90">
              <w:rPr>
                <w:rFonts w:ascii="Times New Roman" w:eastAsia="AngsanaUPC" w:hAnsi="Times New Roman"/>
                <w:bCs/>
                <w:iCs/>
                <w:sz w:val="18"/>
                <w:szCs w:val="18"/>
                <w:lang w:eastAsia="lt-LT"/>
              </w:rPr>
              <w:t xml:space="preserve"> (ar) modernizuotų</w:t>
            </w:r>
            <w:r w:rsidRPr="00D54F90">
              <w:rPr>
                <w:rFonts w:ascii="Times New Roman" w:eastAsia="AngsanaUPC" w:hAnsi="Times New Roman"/>
                <w:bCs/>
                <w:iCs/>
                <w:sz w:val="18"/>
                <w:szCs w:val="18"/>
                <w:lang w:eastAsia="lt-LT"/>
              </w:rPr>
              <w:t xml:space="preserve"> magistralinių dujotiekių ilgis</w:t>
            </w:r>
          </w:p>
        </w:tc>
        <w:tc>
          <w:tcPr>
            <w:tcW w:w="1006" w:type="dxa"/>
            <w:shd w:val="clear" w:color="auto" w:fill="auto"/>
            <w:vAlign w:val="center"/>
          </w:tcPr>
          <w:p w:rsidR="00385835" w:rsidRPr="00D54F90" w:rsidRDefault="00385835" w:rsidP="00385835">
            <w:pPr>
              <w:widowControl w:val="0"/>
              <w:tabs>
                <w:tab w:val="left" w:pos="622"/>
              </w:tabs>
              <w:spacing w:after="0" w:line="240" w:lineRule="auto"/>
              <w:jc w:val="center"/>
              <w:rPr>
                <w:rFonts w:ascii="Times New Roman" w:hAnsi="Times New Roman"/>
                <w:sz w:val="18"/>
                <w:szCs w:val="18"/>
              </w:rPr>
            </w:pPr>
            <w:r w:rsidRPr="00D54F90">
              <w:rPr>
                <w:rFonts w:ascii="Times New Roman" w:hAnsi="Times New Roman"/>
                <w:sz w:val="18"/>
                <w:szCs w:val="18"/>
              </w:rPr>
              <w:t>km</w:t>
            </w:r>
          </w:p>
        </w:tc>
        <w:tc>
          <w:tcPr>
            <w:tcW w:w="837" w:type="dxa"/>
            <w:shd w:val="clear" w:color="auto" w:fill="auto"/>
            <w:vAlign w:val="center"/>
          </w:tcPr>
          <w:p w:rsidR="00385835" w:rsidRPr="00D54F90"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D54F90">
              <w:rPr>
                <w:rFonts w:ascii="Times New Roman" w:eastAsia="AngsanaUPC" w:hAnsi="Times New Roman"/>
                <w:bCs/>
                <w:iCs/>
                <w:sz w:val="18"/>
                <w:szCs w:val="18"/>
                <w:lang w:eastAsia="lt-LT"/>
              </w:rPr>
              <w:t>ERPF</w:t>
            </w:r>
          </w:p>
        </w:tc>
        <w:tc>
          <w:tcPr>
            <w:tcW w:w="1006" w:type="dxa"/>
            <w:shd w:val="clear" w:color="auto" w:fill="auto"/>
            <w:vAlign w:val="center"/>
          </w:tcPr>
          <w:p w:rsidR="00385835" w:rsidRPr="00D54F90"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D54F90">
              <w:rPr>
                <w:rFonts w:ascii="Times New Roman" w:eastAsia="AngsanaUPC" w:hAnsi="Times New Roman"/>
                <w:bCs/>
                <w:sz w:val="18"/>
                <w:szCs w:val="18"/>
                <w:lang w:eastAsia="lt-LT"/>
              </w:rPr>
              <w:t>Mažiau išsivystęs</w:t>
            </w:r>
          </w:p>
        </w:tc>
        <w:tc>
          <w:tcPr>
            <w:tcW w:w="991" w:type="dxa"/>
            <w:shd w:val="clear" w:color="auto" w:fill="auto"/>
            <w:vAlign w:val="center"/>
          </w:tcPr>
          <w:p w:rsidR="00385835" w:rsidRPr="00FC6264" w:rsidRDefault="000C1C28"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eastAsia="AngsanaUPC" w:hAnsi="Times New Roman"/>
                <w:bCs/>
                <w:iCs/>
                <w:sz w:val="18"/>
                <w:szCs w:val="18"/>
                <w:lang w:eastAsia="lt-LT"/>
              </w:rPr>
              <w:t>19</w:t>
            </w:r>
          </w:p>
        </w:tc>
        <w:tc>
          <w:tcPr>
            <w:tcW w:w="996" w:type="dxa"/>
            <w:shd w:val="clear" w:color="auto" w:fill="auto"/>
            <w:vAlign w:val="center"/>
          </w:tcPr>
          <w:p w:rsidR="00385835" w:rsidRPr="00D54F90"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D54F90">
              <w:rPr>
                <w:rFonts w:ascii="Times New Roman" w:eastAsia="AngsanaUPC" w:hAnsi="Times New Roman"/>
                <w:bCs/>
                <w:iCs/>
                <w:sz w:val="18"/>
                <w:szCs w:val="18"/>
                <w:lang w:eastAsia="lt-LT"/>
              </w:rPr>
              <w:t>Duomenys iš projektų</w:t>
            </w:r>
          </w:p>
        </w:tc>
        <w:tc>
          <w:tcPr>
            <w:tcW w:w="1238"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385835" w:rsidRPr="00385835" w:rsidTr="00385835">
        <w:tblPrEx>
          <w:shd w:val="clear" w:color="auto" w:fill="auto"/>
        </w:tblPrEx>
        <w:tc>
          <w:tcPr>
            <w:tcW w:w="543"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5.</w:t>
            </w:r>
          </w:p>
        </w:tc>
        <w:tc>
          <w:tcPr>
            <w:tcW w:w="3129" w:type="dxa"/>
            <w:shd w:val="clear" w:color="auto" w:fill="auto"/>
            <w:vAlign w:val="center"/>
          </w:tcPr>
          <w:p w:rsidR="00385835" w:rsidRPr="00385835" w:rsidRDefault="00385835" w:rsidP="00385835">
            <w:pPr>
              <w:widowControl w:val="0"/>
              <w:tabs>
                <w:tab w:val="left" w:pos="622"/>
              </w:tabs>
              <w:spacing w:after="0" w:line="240" w:lineRule="auto"/>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Nutiestų skirstomųjų dujotiekių ilgis</w:t>
            </w:r>
          </w:p>
        </w:tc>
        <w:tc>
          <w:tcPr>
            <w:tcW w:w="1006"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km</w:t>
            </w:r>
          </w:p>
        </w:tc>
        <w:tc>
          <w:tcPr>
            <w:tcW w:w="83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ERPF</w:t>
            </w:r>
          </w:p>
        </w:tc>
        <w:tc>
          <w:tcPr>
            <w:tcW w:w="1006"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sz w:val="18"/>
                <w:szCs w:val="18"/>
                <w:lang w:eastAsia="lt-LT"/>
              </w:rPr>
              <w:t>Mažiau išsivystęs</w:t>
            </w:r>
          </w:p>
        </w:tc>
        <w:tc>
          <w:tcPr>
            <w:tcW w:w="991" w:type="dxa"/>
            <w:shd w:val="clear" w:color="auto" w:fill="auto"/>
            <w:vAlign w:val="center"/>
          </w:tcPr>
          <w:p w:rsidR="00385835" w:rsidRPr="00FC6264"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eastAsia="AngsanaUPC" w:hAnsi="Times New Roman"/>
                <w:bCs/>
                <w:iCs/>
                <w:sz w:val="18"/>
                <w:szCs w:val="18"/>
                <w:lang w:eastAsia="lt-LT"/>
              </w:rPr>
              <w:t>50</w:t>
            </w:r>
          </w:p>
        </w:tc>
        <w:tc>
          <w:tcPr>
            <w:tcW w:w="996"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Duomenys iš projektų</w:t>
            </w:r>
          </w:p>
        </w:tc>
        <w:tc>
          <w:tcPr>
            <w:tcW w:w="1238"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ED11F4" w:rsidRPr="00385835" w:rsidTr="00385835">
        <w:tblPrEx>
          <w:shd w:val="clear" w:color="auto" w:fill="auto"/>
        </w:tblPrEx>
        <w:tc>
          <w:tcPr>
            <w:tcW w:w="543" w:type="dxa"/>
            <w:shd w:val="clear" w:color="auto" w:fill="auto"/>
            <w:vAlign w:val="center"/>
          </w:tcPr>
          <w:p w:rsidR="00ED11F4" w:rsidRPr="00ED11F4" w:rsidRDefault="00ED11F4" w:rsidP="001352F5">
            <w:pPr>
              <w:spacing w:after="0" w:line="240" w:lineRule="auto"/>
              <w:jc w:val="center"/>
              <w:rPr>
                <w:rFonts w:ascii="Times New Roman" w:eastAsia="Times New Roman" w:hAnsi="Times New Roman"/>
                <w:sz w:val="18"/>
                <w:szCs w:val="18"/>
              </w:rPr>
            </w:pPr>
            <w:r w:rsidRPr="00ED11F4">
              <w:rPr>
                <w:rFonts w:ascii="Times New Roman" w:eastAsia="Times New Roman" w:hAnsi="Times New Roman"/>
                <w:sz w:val="18"/>
                <w:szCs w:val="18"/>
              </w:rPr>
              <w:t>6.</w:t>
            </w:r>
          </w:p>
        </w:tc>
        <w:tc>
          <w:tcPr>
            <w:tcW w:w="3129" w:type="dxa"/>
            <w:shd w:val="clear" w:color="auto" w:fill="auto"/>
            <w:vAlign w:val="center"/>
          </w:tcPr>
          <w:p w:rsidR="00ED11F4" w:rsidRPr="00ED11F4" w:rsidRDefault="00ED11F4" w:rsidP="001352F5">
            <w:pPr>
              <w:spacing w:after="0" w:line="240" w:lineRule="auto"/>
              <w:rPr>
                <w:rFonts w:ascii="Times New Roman" w:eastAsia="Times New Roman" w:hAnsi="Times New Roman"/>
                <w:bCs/>
                <w:sz w:val="18"/>
                <w:szCs w:val="18"/>
              </w:rPr>
            </w:pPr>
            <w:r w:rsidRPr="00ED11F4">
              <w:rPr>
                <w:rFonts w:ascii="Times New Roman" w:eastAsia="Times New Roman" w:hAnsi="Times New Roman"/>
                <w:bCs/>
                <w:sz w:val="18"/>
                <w:szCs w:val="18"/>
              </w:rPr>
              <w:t>Įdiegus pažangius infrastruktūros elementus modernizuoti arba įrengti gamtinių dujų perdavimo sistemos technologiniai priklausiniai</w:t>
            </w:r>
          </w:p>
        </w:tc>
        <w:tc>
          <w:tcPr>
            <w:tcW w:w="1006" w:type="dxa"/>
            <w:shd w:val="clear" w:color="auto" w:fill="auto"/>
            <w:vAlign w:val="center"/>
          </w:tcPr>
          <w:p w:rsidR="00ED11F4" w:rsidRPr="00ED11F4" w:rsidRDefault="00ED11F4" w:rsidP="001352F5">
            <w:pPr>
              <w:spacing w:after="0" w:line="240" w:lineRule="auto"/>
              <w:jc w:val="center"/>
              <w:rPr>
                <w:rFonts w:ascii="Times New Roman" w:eastAsia="Times New Roman" w:hAnsi="Times New Roman"/>
                <w:sz w:val="18"/>
                <w:szCs w:val="18"/>
              </w:rPr>
            </w:pPr>
            <w:r w:rsidRPr="00ED11F4">
              <w:rPr>
                <w:rFonts w:ascii="Times New Roman" w:eastAsia="Times New Roman" w:hAnsi="Times New Roman"/>
                <w:sz w:val="18"/>
                <w:szCs w:val="18"/>
              </w:rPr>
              <w:t>skaičius</w:t>
            </w:r>
          </w:p>
        </w:tc>
        <w:tc>
          <w:tcPr>
            <w:tcW w:w="837" w:type="dxa"/>
            <w:shd w:val="clear" w:color="auto" w:fill="auto"/>
            <w:vAlign w:val="center"/>
          </w:tcPr>
          <w:p w:rsidR="00ED11F4" w:rsidRPr="00ED11F4" w:rsidRDefault="00ED11F4" w:rsidP="001352F5">
            <w:pPr>
              <w:spacing w:after="0" w:line="240" w:lineRule="auto"/>
              <w:jc w:val="center"/>
              <w:rPr>
                <w:rFonts w:ascii="Times New Roman" w:eastAsia="Times New Roman" w:hAnsi="Times New Roman"/>
                <w:sz w:val="18"/>
                <w:szCs w:val="18"/>
              </w:rPr>
            </w:pPr>
            <w:r w:rsidRPr="00ED11F4">
              <w:rPr>
                <w:rFonts w:ascii="Times New Roman" w:eastAsia="Times New Roman" w:hAnsi="Times New Roman"/>
                <w:sz w:val="18"/>
                <w:szCs w:val="18"/>
              </w:rPr>
              <w:t>ERPF</w:t>
            </w:r>
          </w:p>
        </w:tc>
        <w:tc>
          <w:tcPr>
            <w:tcW w:w="1006" w:type="dxa"/>
            <w:shd w:val="clear" w:color="auto" w:fill="auto"/>
            <w:vAlign w:val="center"/>
          </w:tcPr>
          <w:p w:rsidR="00ED11F4" w:rsidRPr="00ED11F4" w:rsidRDefault="00ED11F4" w:rsidP="001352F5">
            <w:pPr>
              <w:spacing w:after="0" w:line="240" w:lineRule="auto"/>
              <w:jc w:val="center"/>
              <w:rPr>
                <w:rFonts w:ascii="Times New Roman" w:eastAsia="Times New Roman" w:hAnsi="Times New Roman"/>
                <w:sz w:val="18"/>
                <w:szCs w:val="18"/>
              </w:rPr>
            </w:pPr>
            <w:r w:rsidRPr="00ED11F4">
              <w:rPr>
                <w:rFonts w:ascii="Times New Roman" w:eastAsia="Times New Roman" w:hAnsi="Times New Roman"/>
                <w:sz w:val="18"/>
                <w:szCs w:val="18"/>
              </w:rPr>
              <w:t>Mažiau išsivystęs</w:t>
            </w:r>
          </w:p>
        </w:tc>
        <w:tc>
          <w:tcPr>
            <w:tcW w:w="991" w:type="dxa"/>
            <w:shd w:val="clear" w:color="auto" w:fill="auto"/>
            <w:vAlign w:val="center"/>
          </w:tcPr>
          <w:p w:rsidR="00ED11F4" w:rsidRPr="00FC6264" w:rsidRDefault="000C1C28" w:rsidP="001352F5">
            <w:pPr>
              <w:spacing w:after="0" w:line="240" w:lineRule="auto"/>
              <w:jc w:val="center"/>
              <w:rPr>
                <w:rFonts w:ascii="Times New Roman" w:eastAsia="Times New Roman" w:hAnsi="Times New Roman"/>
                <w:sz w:val="18"/>
                <w:szCs w:val="18"/>
              </w:rPr>
            </w:pPr>
            <w:r w:rsidRPr="00FC6264">
              <w:rPr>
                <w:rFonts w:ascii="Times New Roman" w:eastAsia="Times New Roman" w:hAnsi="Times New Roman"/>
                <w:sz w:val="18"/>
                <w:szCs w:val="18"/>
              </w:rPr>
              <w:t>18</w:t>
            </w:r>
          </w:p>
        </w:tc>
        <w:tc>
          <w:tcPr>
            <w:tcW w:w="996" w:type="dxa"/>
            <w:shd w:val="clear" w:color="auto" w:fill="auto"/>
            <w:vAlign w:val="center"/>
          </w:tcPr>
          <w:p w:rsidR="00ED11F4" w:rsidRPr="00ED11F4" w:rsidRDefault="00ED11F4" w:rsidP="001352F5">
            <w:pPr>
              <w:spacing w:after="0" w:line="240" w:lineRule="auto"/>
              <w:jc w:val="center"/>
              <w:rPr>
                <w:rFonts w:ascii="Times New Roman" w:eastAsia="Times New Roman" w:hAnsi="Times New Roman"/>
                <w:sz w:val="18"/>
                <w:szCs w:val="18"/>
              </w:rPr>
            </w:pPr>
            <w:r w:rsidRPr="00ED11F4">
              <w:rPr>
                <w:rFonts w:ascii="Times New Roman" w:eastAsia="Times New Roman" w:hAnsi="Times New Roman"/>
                <w:sz w:val="18"/>
                <w:szCs w:val="18"/>
              </w:rPr>
              <w:t>Duomenys iš projektų</w:t>
            </w:r>
          </w:p>
        </w:tc>
        <w:tc>
          <w:tcPr>
            <w:tcW w:w="1238" w:type="dxa"/>
            <w:shd w:val="clear" w:color="auto" w:fill="auto"/>
            <w:vAlign w:val="center"/>
          </w:tcPr>
          <w:p w:rsidR="00ED11F4" w:rsidRPr="00ED11F4" w:rsidRDefault="00ED11F4" w:rsidP="001352F5">
            <w:pPr>
              <w:spacing w:after="0" w:line="240" w:lineRule="auto"/>
              <w:jc w:val="center"/>
              <w:rPr>
                <w:rFonts w:ascii="Times New Roman" w:eastAsia="Times New Roman" w:hAnsi="Times New Roman"/>
                <w:sz w:val="18"/>
                <w:szCs w:val="18"/>
              </w:rPr>
            </w:pPr>
            <w:r w:rsidRPr="00ED11F4">
              <w:rPr>
                <w:rFonts w:ascii="Times New Roman" w:eastAsia="Times New Roman" w:hAnsi="Times New Roman"/>
                <w:sz w:val="18"/>
                <w:szCs w:val="18"/>
              </w:rPr>
              <w:t>Kartą per metus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i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746"/>
      </w:tblGrid>
      <w:tr w:rsidR="00385835" w:rsidRPr="00385835" w:rsidTr="00385835">
        <w:tc>
          <w:tcPr>
            <w:tcW w:w="9746"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i/>
                <w:iCs/>
                <w:sz w:val="24"/>
                <w:szCs w:val="24"/>
                <w:lang w:eastAsia="lt-LT"/>
              </w:rPr>
              <w:t>Projektų</w:t>
            </w:r>
            <w:r w:rsidR="003946F0">
              <w:rPr>
                <w:rFonts w:ascii="Times New Roman" w:eastAsia="AngsanaUPC" w:hAnsi="Times New Roman"/>
                <w:b/>
                <w:bCs/>
                <w:i/>
                <w:iCs/>
                <w:sz w:val="24"/>
                <w:szCs w:val="24"/>
                <w:lang w:eastAsia="lt-LT"/>
              </w:rPr>
              <w:t xml:space="preserve"> </w:t>
            </w:r>
            <w:r w:rsidRPr="00385835">
              <w:rPr>
                <w:rFonts w:ascii="Times New Roman" w:eastAsia="AngsanaUPC" w:hAnsi="Times New Roman"/>
                <w:b/>
                <w:bCs/>
                <w:i/>
                <w:iCs/>
                <w:sz w:val="24"/>
                <w:szCs w:val="24"/>
                <w:lang w:eastAsia="lt-LT"/>
              </w:rPr>
              <w:t>/</w:t>
            </w:r>
            <w:r w:rsidR="003946F0">
              <w:rPr>
                <w:rFonts w:ascii="Times New Roman" w:eastAsia="AngsanaUPC" w:hAnsi="Times New Roman"/>
                <w:b/>
                <w:bCs/>
                <w:i/>
                <w:iCs/>
                <w:sz w:val="24"/>
                <w:szCs w:val="24"/>
                <w:lang w:eastAsia="lt-LT"/>
              </w:rPr>
              <w:t xml:space="preserve"> </w:t>
            </w:r>
            <w:r w:rsidRPr="00385835">
              <w:rPr>
                <w:rFonts w:ascii="Times New Roman" w:eastAsia="AngsanaUPC" w:hAnsi="Times New Roman"/>
                <w:b/>
                <w:bCs/>
                <w:i/>
                <w:iCs/>
                <w:sz w:val="24"/>
                <w:szCs w:val="24"/>
                <w:lang w:eastAsia="lt-LT"/>
              </w:rPr>
              <w:t>veiksmų atrankos principai</w:t>
            </w:r>
          </w:p>
        </w:tc>
      </w:tr>
      <w:tr w:rsidR="00385835" w:rsidRPr="00385835" w:rsidTr="00385835">
        <w:tc>
          <w:tcPr>
            <w:tcW w:w="9746" w:type="dxa"/>
            <w:shd w:val="clear" w:color="auto" w:fill="auto"/>
          </w:tcPr>
          <w:p w:rsidR="00385835" w:rsidRPr="00385835" w:rsidRDefault="00385835" w:rsidP="00BA1520">
            <w:pPr>
              <w:widowControl w:val="0"/>
              <w:tabs>
                <w:tab w:val="left" w:pos="622"/>
              </w:tabs>
              <w:spacing w:after="0" w:line="240" w:lineRule="auto"/>
              <w:ind w:firstLine="624"/>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Atrenkant projektus bus laik</w:t>
            </w:r>
            <w:r w:rsidR="00BA1520">
              <w:rPr>
                <w:rFonts w:ascii="Times New Roman" w:eastAsia="AngsanaUPC" w:hAnsi="Times New Roman"/>
                <w:bCs/>
                <w:iCs/>
                <w:sz w:val="24"/>
                <w:szCs w:val="24"/>
                <w:lang w:eastAsia="lt-LT"/>
              </w:rPr>
              <w:t>omasi šių pagrindinių principų:</w:t>
            </w:r>
          </w:p>
          <w:p w:rsidR="006926BD" w:rsidRDefault="00385835" w:rsidP="00650E41">
            <w:pPr>
              <w:widowControl w:val="0"/>
              <w:numPr>
                <w:ilvl w:val="0"/>
                <w:numId w:val="55"/>
              </w:numPr>
              <w:tabs>
                <w:tab w:val="left" w:pos="459"/>
              </w:tabs>
              <w:spacing w:after="0" w:line="240" w:lineRule="auto"/>
              <w:ind w:left="34" w:firstLine="0"/>
              <w:jc w:val="both"/>
              <w:rPr>
                <w:rFonts w:ascii="Times New Roman" w:eastAsia="AngsanaUPC" w:hAnsi="Times New Roman"/>
                <w:bCs/>
                <w:iCs/>
                <w:sz w:val="24"/>
                <w:szCs w:val="24"/>
                <w:lang w:eastAsia="lt-LT"/>
              </w:rPr>
            </w:pPr>
            <w:r w:rsidRPr="006926BD">
              <w:rPr>
                <w:rFonts w:ascii="Times New Roman" w:eastAsia="AngsanaUPC" w:hAnsi="Times New Roman"/>
                <w:bCs/>
                <w:iCs/>
                <w:sz w:val="24"/>
                <w:szCs w:val="24"/>
                <w:lang w:eastAsia="lt-LT"/>
              </w:rPr>
              <w:t>Veiksmų programos 6.1 investicinį prioritetą įgyvendinantys projektai bus atrenkami valstybės projektų planavimo būdu (tiesiogiai skiriant subsidiją). Jeigu nusprendžiama, kad konkrečiam projektui dotacijos skiriamos tiesiogiai, ši procedūra turi atitikti sąlygas, nustatytas Bendrųjų nuostatų reglamento 125.3 str. (a) dalyje (ii) punkte, kuriuo reikalaujama, kad dotacijų skyrimo procedūra turi būti nediskriminuojanti ir skaidri.</w:t>
            </w:r>
          </w:p>
          <w:p w:rsidR="006926BD" w:rsidRDefault="00385835" w:rsidP="00650E41">
            <w:pPr>
              <w:widowControl w:val="0"/>
              <w:numPr>
                <w:ilvl w:val="0"/>
                <w:numId w:val="55"/>
              </w:numPr>
              <w:tabs>
                <w:tab w:val="left" w:pos="459"/>
              </w:tabs>
              <w:spacing w:after="0" w:line="240" w:lineRule="auto"/>
              <w:ind w:left="34" w:firstLine="0"/>
              <w:jc w:val="both"/>
              <w:rPr>
                <w:rFonts w:ascii="Times New Roman" w:eastAsia="AngsanaUPC" w:hAnsi="Times New Roman"/>
                <w:bCs/>
                <w:iCs/>
                <w:sz w:val="24"/>
                <w:szCs w:val="24"/>
                <w:lang w:eastAsia="lt-LT"/>
              </w:rPr>
            </w:pPr>
            <w:r w:rsidRPr="006926BD">
              <w:rPr>
                <w:rFonts w:ascii="Times New Roman" w:eastAsia="AngsanaUPC" w:hAnsi="Times New Roman"/>
                <w:bCs/>
                <w:iCs/>
                <w:sz w:val="24"/>
                <w:szCs w:val="24"/>
                <w:lang w:eastAsia="lt-LT"/>
              </w:rPr>
              <w:t>Šio investicinio prioriteto veikla susijusi su signalizacijos (ERTMS) modernizavimu atitiks EK sprendimą Nr</w:t>
            </w:r>
            <w:r w:rsidR="001566F7" w:rsidRPr="006926BD">
              <w:rPr>
                <w:rFonts w:ascii="Times New Roman" w:eastAsia="AngsanaUPC" w:hAnsi="Times New Roman"/>
                <w:bCs/>
                <w:iCs/>
                <w:sz w:val="24"/>
                <w:szCs w:val="24"/>
                <w:lang w:eastAsia="lt-LT"/>
              </w:rPr>
              <w:t>.</w:t>
            </w:r>
            <w:r w:rsidRPr="006926BD">
              <w:rPr>
                <w:rFonts w:ascii="Times New Roman" w:eastAsia="AngsanaUPC" w:hAnsi="Times New Roman"/>
                <w:bCs/>
                <w:iCs/>
                <w:sz w:val="24"/>
                <w:szCs w:val="24"/>
                <w:lang w:eastAsia="lt-LT"/>
              </w:rPr>
              <w:t xml:space="preserve"> 2012/88/EC.</w:t>
            </w:r>
          </w:p>
          <w:p w:rsidR="006926BD" w:rsidRDefault="00385835" w:rsidP="00650E41">
            <w:pPr>
              <w:widowControl w:val="0"/>
              <w:numPr>
                <w:ilvl w:val="0"/>
                <w:numId w:val="55"/>
              </w:numPr>
              <w:tabs>
                <w:tab w:val="left" w:pos="459"/>
              </w:tabs>
              <w:spacing w:after="0" w:line="240" w:lineRule="auto"/>
              <w:ind w:left="34" w:firstLine="0"/>
              <w:jc w:val="both"/>
              <w:rPr>
                <w:rFonts w:ascii="Times New Roman" w:eastAsia="AngsanaUPC" w:hAnsi="Times New Roman"/>
                <w:bCs/>
                <w:iCs/>
                <w:sz w:val="24"/>
                <w:szCs w:val="24"/>
                <w:lang w:eastAsia="lt-LT"/>
              </w:rPr>
            </w:pPr>
            <w:r w:rsidRPr="006926BD">
              <w:rPr>
                <w:rFonts w:ascii="Times New Roman" w:eastAsia="AngsanaUPC" w:hAnsi="Times New Roman"/>
                <w:bCs/>
                <w:iCs/>
                <w:sz w:val="24"/>
                <w:szCs w:val="24"/>
                <w:lang w:eastAsia="lt-LT"/>
              </w:rPr>
              <w:t>ERPF ir S</w:t>
            </w:r>
            <w:r w:rsidR="000208DC" w:rsidRPr="006926BD">
              <w:rPr>
                <w:rFonts w:ascii="Times New Roman" w:eastAsia="AngsanaUPC" w:hAnsi="Times New Roman"/>
                <w:bCs/>
                <w:iCs/>
                <w:sz w:val="24"/>
                <w:szCs w:val="24"/>
                <w:lang w:eastAsia="lt-LT"/>
              </w:rPr>
              <w:t>a</w:t>
            </w:r>
            <w:r w:rsidRPr="006926BD">
              <w:rPr>
                <w:rFonts w:ascii="Times New Roman" w:eastAsia="AngsanaUPC" w:hAnsi="Times New Roman"/>
                <w:bCs/>
                <w:iCs/>
                <w:sz w:val="24"/>
                <w:szCs w:val="24"/>
                <w:lang w:eastAsia="lt-LT"/>
              </w:rPr>
              <w:t>F fondų ir EITP investicijos planuojamos</w:t>
            </w:r>
            <w:r w:rsidR="00BA1520" w:rsidRPr="006926BD">
              <w:rPr>
                <w:rFonts w:ascii="Times New Roman" w:eastAsia="AngsanaUPC" w:hAnsi="Times New Roman"/>
                <w:bCs/>
                <w:iCs/>
                <w:sz w:val="24"/>
                <w:szCs w:val="24"/>
                <w:lang w:eastAsia="lt-LT"/>
              </w:rPr>
              <w:t>,</w:t>
            </w:r>
            <w:r w:rsidRPr="006926BD">
              <w:rPr>
                <w:rFonts w:ascii="Times New Roman" w:eastAsia="AngsanaUPC" w:hAnsi="Times New Roman"/>
                <w:bCs/>
                <w:iCs/>
                <w:sz w:val="24"/>
                <w:szCs w:val="24"/>
                <w:lang w:eastAsia="lt-LT"/>
              </w:rPr>
              <w:t xml:space="preserve"> derinant finansuotinus projektus</w:t>
            </w:r>
            <w:r w:rsidR="00BA1520" w:rsidRPr="006926BD">
              <w:rPr>
                <w:rFonts w:ascii="Times New Roman" w:eastAsia="AngsanaUPC" w:hAnsi="Times New Roman"/>
                <w:bCs/>
                <w:iCs/>
                <w:sz w:val="24"/>
                <w:szCs w:val="24"/>
                <w:lang w:eastAsia="lt-LT"/>
              </w:rPr>
              <w:t>,</w:t>
            </w:r>
            <w:proofErr w:type="gramStart"/>
            <w:r w:rsidR="00BA1520" w:rsidRPr="006926BD">
              <w:rPr>
                <w:rFonts w:ascii="Times New Roman" w:eastAsia="AngsanaUPC" w:hAnsi="Times New Roman"/>
                <w:bCs/>
                <w:iCs/>
                <w:sz w:val="24"/>
                <w:szCs w:val="24"/>
                <w:lang w:eastAsia="lt-LT"/>
              </w:rPr>
              <w:t xml:space="preserve"> </w:t>
            </w:r>
            <w:r w:rsidRPr="006926BD">
              <w:rPr>
                <w:rFonts w:ascii="Times New Roman" w:eastAsia="AngsanaUPC" w:hAnsi="Times New Roman"/>
                <w:bCs/>
                <w:iCs/>
                <w:sz w:val="24"/>
                <w:szCs w:val="24"/>
                <w:lang w:eastAsia="lt-LT"/>
              </w:rPr>
              <w:t xml:space="preserve"> </w:t>
            </w:r>
            <w:proofErr w:type="gramEnd"/>
            <w:r w:rsidRPr="006926BD">
              <w:rPr>
                <w:rFonts w:ascii="Times New Roman" w:eastAsia="AngsanaUPC" w:hAnsi="Times New Roman"/>
                <w:bCs/>
                <w:iCs/>
                <w:sz w:val="24"/>
                <w:szCs w:val="24"/>
                <w:lang w:eastAsia="lt-LT"/>
              </w:rPr>
              <w:t>remiantis Nacionaline susisiekimo plėtros programa. Projektų įgyvendinimas taip pat bus vykdomas koordinuojant skirtingų fondų panaudojimą. Jeigu projektams numatomas EITP finansavimas nepakankamas, šie projektai gali būti finansuojami S</w:t>
            </w:r>
            <w:r w:rsidR="000208DC" w:rsidRPr="006926BD">
              <w:rPr>
                <w:rFonts w:ascii="Times New Roman" w:eastAsia="AngsanaUPC" w:hAnsi="Times New Roman"/>
                <w:bCs/>
                <w:iCs/>
                <w:sz w:val="24"/>
                <w:szCs w:val="24"/>
                <w:lang w:eastAsia="lt-LT"/>
              </w:rPr>
              <w:t>a</w:t>
            </w:r>
            <w:r w:rsidRPr="006926BD">
              <w:rPr>
                <w:rFonts w:ascii="Times New Roman" w:eastAsia="AngsanaUPC" w:hAnsi="Times New Roman"/>
                <w:bCs/>
                <w:iCs/>
                <w:sz w:val="24"/>
                <w:szCs w:val="24"/>
                <w:lang w:eastAsia="lt-LT"/>
              </w:rPr>
              <w:t>F arba ERPF lėšomis.</w:t>
            </w:r>
          </w:p>
          <w:p w:rsidR="006926BD" w:rsidRDefault="00385835" w:rsidP="00650E41">
            <w:pPr>
              <w:widowControl w:val="0"/>
              <w:numPr>
                <w:ilvl w:val="0"/>
                <w:numId w:val="55"/>
              </w:numPr>
              <w:tabs>
                <w:tab w:val="left" w:pos="459"/>
              </w:tabs>
              <w:spacing w:after="0" w:line="240" w:lineRule="auto"/>
              <w:ind w:left="34" w:firstLine="0"/>
              <w:jc w:val="both"/>
              <w:rPr>
                <w:rFonts w:ascii="Times New Roman" w:eastAsia="AngsanaUPC" w:hAnsi="Times New Roman"/>
                <w:bCs/>
                <w:iCs/>
                <w:sz w:val="24"/>
                <w:szCs w:val="24"/>
                <w:lang w:eastAsia="lt-LT"/>
              </w:rPr>
            </w:pPr>
            <w:r w:rsidRPr="006926BD">
              <w:rPr>
                <w:rFonts w:ascii="Times New Roman" w:eastAsia="AngsanaUPC" w:hAnsi="Times New Roman"/>
                <w:bCs/>
                <w:iCs/>
                <w:sz w:val="24"/>
                <w:szCs w:val="24"/>
                <w:lang w:eastAsia="lt-LT"/>
              </w:rPr>
              <w:t>Sukurtai ir atnaujintai infrastruktūrai prižiūrėti bus tęsiama dabartinė praktika, kai už infrastruktūros priežiūrą atsakingas jos valdytojas, o lėšos surenkamos per infrastruktūros naudotojams taikomus tarifus. Kelių transporto infrastruktūrai prižiūrėti numatoma skirti valstybės asignavimus per tam skirtą Kelių plėtros ir priežiūros programą (KPPP).</w:t>
            </w:r>
          </w:p>
          <w:p w:rsidR="006926BD" w:rsidRDefault="00ED11F4" w:rsidP="00650E41">
            <w:pPr>
              <w:widowControl w:val="0"/>
              <w:numPr>
                <w:ilvl w:val="0"/>
                <w:numId w:val="55"/>
              </w:numPr>
              <w:tabs>
                <w:tab w:val="left" w:pos="459"/>
              </w:tabs>
              <w:spacing w:after="0" w:line="240" w:lineRule="auto"/>
              <w:ind w:left="34" w:firstLine="0"/>
              <w:jc w:val="both"/>
              <w:rPr>
                <w:rFonts w:ascii="Times New Roman" w:eastAsia="AngsanaUPC" w:hAnsi="Times New Roman"/>
                <w:bCs/>
                <w:iCs/>
                <w:sz w:val="24"/>
                <w:szCs w:val="24"/>
                <w:lang w:eastAsia="lt-LT"/>
              </w:rPr>
            </w:pPr>
            <w:r>
              <w:rPr>
                <w:rFonts w:ascii="Times New Roman" w:eastAsia="AngsanaUPC" w:hAnsi="Times New Roman"/>
                <w:bCs/>
                <w:iCs/>
                <w:sz w:val="24"/>
                <w:szCs w:val="24"/>
                <w:lang w:eastAsia="lt-LT"/>
              </w:rPr>
              <w:t>Šio</w:t>
            </w:r>
            <w:r w:rsidR="00385835" w:rsidRPr="006926BD">
              <w:rPr>
                <w:rFonts w:ascii="Times New Roman" w:eastAsia="AngsanaUPC" w:hAnsi="Times New Roman"/>
                <w:bCs/>
                <w:iCs/>
                <w:sz w:val="24"/>
                <w:szCs w:val="24"/>
                <w:lang w:eastAsia="lt-LT"/>
              </w:rPr>
              <w:t xml:space="preserve"> investicini</w:t>
            </w:r>
            <w:r>
              <w:rPr>
                <w:rFonts w:ascii="Times New Roman" w:eastAsia="AngsanaUPC" w:hAnsi="Times New Roman"/>
                <w:bCs/>
                <w:iCs/>
                <w:sz w:val="24"/>
                <w:szCs w:val="24"/>
                <w:lang w:eastAsia="lt-LT"/>
              </w:rPr>
              <w:t>o</w:t>
            </w:r>
            <w:r w:rsidR="00385835" w:rsidRPr="006926BD">
              <w:rPr>
                <w:rFonts w:ascii="Times New Roman" w:eastAsia="AngsanaUPC" w:hAnsi="Times New Roman"/>
                <w:bCs/>
                <w:iCs/>
                <w:sz w:val="24"/>
                <w:szCs w:val="24"/>
                <w:lang w:eastAsia="lt-LT"/>
              </w:rPr>
              <w:t xml:space="preserve"> prioritet</w:t>
            </w:r>
            <w:r>
              <w:rPr>
                <w:rFonts w:ascii="Times New Roman" w:eastAsia="AngsanaUPC" w:hAnsi="Times New Roman"/>
                <w:bCs/>
                <w:iCs/>
                <w:sz w:val="24"/>
                <w:szCs w:val="24"/>
                <w:lang w:eastAsia="lt-LT"/>
              </w:rPr>
              <w:t>o</w:t>
            </w:r>
            <w:r w:rsidR="00385835" w:rsidRPr="006926BD">
              <w:rPr>
                <w:rFonts w:ascii="Times New Roman" w:eastAsia="AngsanaUPC" w:hAnsi="Times New Roman"/>
                <w:bCs/>
                <w:iCs/>
                <w:sz w:val="24"/>
                <w:szCs w:val="24"/>
                <w:lang w:eastAsia="lt-LT"/>
              </w:rPr>
              <w:t xml:space="preserve"> veikl</w:t>
            </w:r>
            <w:r>
              <w:rPr>
                <w:rFonts w:ascii="Times New Roman" w:eastAsia="AngsanaUPC" w:hAnsi="Times New Roman"/>
                <w:bCs/>
                <w:iCs/>
                <w:sz w:val="24"/>
                <w:szCs w:val="24"/>
                <w:lang w:eastAsia="lt-LT"/>
              </w:rPr>
              <w:t>as gali būti</w:t>
            </w:r>
            <w:r w:rsidR="00385835" w:rsidRPr="006926BD">
              <w:rPr>
                <w:rFonts w:ascii="Times New Roman" w:eastAsia="AngsanaUPC" w:hAnsi="Times New Roman"/>
                <w:bCs/>
                <w:iCs/>
                <w:sz w:val="24"/>
                <w:szCs w:val="24"/>
                <w:lang w:eastAsia="lt-LT"/>
              </w:rPr>
              <w:t xml:space="preserve"> įgyvendinam</w:t>
            </w:r>
            <w:r>
              <w:rPr>
                <w:rFonts w:ascii="Times New Roman" w:eastAsia="AngsanaUPC" w:hAnsi="Times New Roman"/>
                <w:bCs/>
                <w:iCs/>
                <w:sz w:val="24"/>
                <w:szCs w:val="24"/>
                <w:lang w:eastAsia="lt-LT"/>
              </w:rPr>
              <w:t>os</w:t>
            </w:r>
            <w:r w:rsidR="00385835" w:rsidRPr="006926BD">
              <w:rPr>
                <w:rFonts w:ascii="Times New Roman" w:eastAsia="AngsanaUPC" w:hAnsi="Times New Roman"/>
                <w:bCs/>
                <w:iCs/>
                <w:sz w:val="24"/>
                <w:szCs w:val="24"/>
                <w:lang w:eastAsia="lt-LT"/>
              </w:rPr>
              <w:t xml:space="preserve"> taikant ITI </w:t>
            </w:r>
            <w:r w:rsidRPr="00ED11F4">
              <w:rPr>
                <w:rFonts w:ascii="Times New Roman" w:eastAsia="AngsanaUPC" w:hAnsi="Times New Roman"/>
                <w:bCs/>
                <w:iCs/>
                <w:sz w:val="24"/>
                <w:szCs w:val="24"/>
                <w:lang w:eastAsia="lt-LT"/>
              </w:rPr>
              <w:t xml:space="preserve">įgyvendinimo mechanizmą, nustatytą Veiksmų programos 4 skirsnyje, </w:t>
            </w:r>
            <w:r w:rsidR="00385835" w:rsidRPr="006926BD">
              <w:rPr>
                <w:rFonts w:ascii="Times New Roman" w:eastAsia="AngsanaUPC" w:hAnsi="Times New Roman"/>
                <w:bCs/>
                <w:iCs/>
                <w:sz w:val="24"/>
                <w:szCs w:val="24"/>
                <w:lang w:eastAsia="lt-LT"/>
              </w:rPr>
              <w:t xml:space="preserve">per </w:t>
            </w:r>
            <w:r>
              <w:rPr>
                <w:rFonts w:ascii="Times New Roman" w:eastAsia="AngsanaUPC" w:hAnsi="Times New Roman"/>
                <w:bCs/>
                <w:iCs/>
                <w:sz w:val="24"/>
                <w:szCs w:val="24"/>
                <w:lang w:eastAsia="lt-LT"/>
              </w:rPr>
              <w:t>ITVP</w:t>
            </w:r>
            <w:r w:rsidR="00BA1520" w:rsidRPr="006926BD">
              <w:rPr>
                <w:rFonts w:ascii="Times New Roman" w:eastAsia="AngsanaUPC" w:hAnsi="Times New Roman"/>
                <w:bCs/>
                <w:iCs/>
                <w:sz w:val="24"/>
                <w:szCs w:val="24"/>
                <w:lang w:eastAsia="lt-LT"/>
              </w:rPr>
              <w:t>.</w:t>
            </w:r>
          </w:p>
          <w:p w:rsidR="006926BD" w:rsidRDefault="00385835" w:rsidP="00650E41">
            <w:pPr>
              <w:widowControl w:val="0"/>
              <w:numPr>
                <w:ilvl w:val="0"/>
                <w:numId w:val="55"/>
              </w:numPr>
              <w:tabs>
                <w:tab w:val="left" w:pos="459"/>
              </w:tabs>
              <w:spacing w:after="0" w:line="240" w:lineRule="auto"/>
              <w:ind w:left="34" w:firstLine="0"/>
              <w:jc w:val="both"/>
              <w:rPr>
                <w:rFonts w:ascii="Times New Roman" w:eastAsia="AngsanaUPC" w:hAnsi="Times New Roman"/>
                <w:bCs/>
                <w:iCs/>
                <w:sz w:val="24"/>
                <w:szCs w:val="24"/>
                <w:lang w:eastAsia="lt-LT"/>
              </w:rPr>
            </w:pPr>
            <w:r w:rsidRPr="006926BD">
              <w:rPr>
                <w:rFonts w:ascii="Times New Roman" w:eastAsia="AngsanaUPC" w:hAnsi="Times New Roman"/>
                <w:bCs/>
                <w:iCs/>
                <w:sz w:val="24"/>
                <w:szCs w:val="24"/>
                <w:lang w:eastAsia="lt-LT"/>
              </w:rPr>
              <w:t>Veiksmų programos 6.2 investicinį prioritetą įgyvendinantys projektai bus atrenkami valstybės projektų planavimo būdu ir regionų projektų planavimo būdu (tiesiogiai skiriant subsidiją). Jeigu nusprendžiama, kad konkrečiam projektui dotacijos skiriamos tiesiogiai, ši procedūra turi atitikti sąlygas, nustatytas Bendrųjų nuostatų reglamento 125.3 str. (a) dalyje (ii) punkte, kuriuo reikalaujama, kad dotacijų skyrimo procedūra turi būti nediskriminuojanti ir skaidri.</w:t>
            </w:r>
          </w:p>
          <w:p w:rsidR="006926BD" w:rsidRDefault="00385835" w:rsidP="00650E41">
            <w:pPr>
              <w:widowControl w:val="0"/>
              <w:numPr>
                <w:ilvl w:val="0"/>
                <w:numId w:val="55"/>
              </w:numPr>
              <w:tabs>
                <w:tab w:val="left" w:pos="459"/>
              </w:tabs>
              <w:spacing w:after="0" w:line="240" w:lineRule="auto"/>
              <w:ind w:left="34" w:firstLine="0"/>
              <w:jc w:val="both"/>
              <w:rPr>
                <w:rFonts w:ascii="Times New Roman" w:eastAsia="AngsanaUPC" w:hAnsi="Times New Roman"/>
                <w:bCs/>
                <w:iCs/>
                <w:sz w:val="24"/>
                <w:szCs w:val="24"/>
                <w:lang w:eastAsia="lt-LT"/>
              </w:rPr>
            </w:pPr>
            <w:r w:rsidRPr="006926BD">
              <w:rPr>
                <w:rFonts w:ascii="Times New Roman" w:eastAsia="AngsanaUPC" w:hAnsi="Times New Roman"/>
                <w:bCs/>
                <w:iCs/>
                <w:sz w:val="24"/>
                <w:szCs w:val="24"/>
                <w:lang w:eastAsia="lt-LT"/>
              </w:rPr>
              <w:t>ERPF ir S</w:t>
            </w:r>
            <w:r w:rsidR="00B46931" w:rsidRPr="006926BD">
              <w:rPr>
                <w:rFonts w:ascii="Times New Roman" w:eastAsia="AngsanaUPC" w:hAnsi="Times New Roman"/>
                <w:bCs/>
                <w:iCs/>
                <w:sz w:val="24"/>
                <w:szCs w:val="24"/>
                <w:lang w:eastAsia="lt-LT"/>
              </w:rPr>
              <w:t>a</w:t>
            </w:r>
            <w:r w:rsidRPr="006926BD">
              <w:rPr>
                <w:rFonts w:ascii="Times New Roman" w:eastAsia="AngsanaUPC" w:hAnsi="Times New Roman"/>
                <w:bCs/>
                <w:iCs/>
                <w:sz w:val="24"/>
                <w:szCs w:val="24"/>
                <w:lang w:eastAsia="lt-LT"/>
              </w:rPr>
              <w:t>F fondų ir EITP investicijos planuojamos</w:t>
            </w:r>
            <w:r w:rsidR="00BA1520" w:rsidRPr="006926BD">
              <w:rPr>
                <w:rFonts w:ascii="Times New Roman" w:eastAsia="AngsanaUPC" w:hAnsi="Times New Roman"/>
                <w:bCs/>
                <w:iCs/>
                <w:sz w:val="24"/>
                <w:szCs w:val="24"/>
                <w:lang w:eastAsia="lt-LT"/>
              </w:rPr>
              <w:t>,</w:t>
            </w:r>
            <w:r w:rsidRPr="006926BD">
              <w:rPr>
                <w:rFonts w:ascii="Times New Roman" w:eastAsia="AngsanaUPC" w:hAnsi="Times New Roman"/>
                <w:bCs/>
                <w:iCs/>
                <w:sz w:val="24"/>
                <w:szCs w:val="24"/>
                <w:lang w:eastAsia="lt-LT"/>
              </w:rPr>
              <w:t xml:space="preserve"> derinant finansuotinus projektus</w:t>
            </w:r>
            <w:r w:rsidR="00BA1520" w:rsidRPr="006926BD">
              <w:rPr>
                <w:rFonts w:ascii="Times New Roman" w:eastAsia="AngsanaUPC" w:hAnsi="Times New Roman"/>
                <w:bCs/>
                <w:iCs/>
                <w:sz w:val="24"/>
                <w:szCs w:val="24"/>
                <w:lang w:eastAsia="lt-LT"/>
              </w:rPr>
              <w:t>,</w:t>
            </w:r>
            <w:r w:rsidRPr="006926BD">
              <w:rPr>
                <w:rFonts w:ascii="Times New Roman" w:eastAsia="AngsanaUPC" w:hAnsi="Times New Roman"/>
                <w:bCs/>
                <w:iCs/>
                <w:sz w:val="24"/>
                <w:szCs w:val="24"/>
                <w:lang w:eastAsia="lt-LT"/>
              </w:rPr>
              <w:t xml:space="preserve"> remiantis Nacionaline susisiekimo plėtros programa. Projektų įgyvendinimas taip pat bus vykdomas</w:t>
            </w:r>
            <w:r w:rsidR="00BA1520" w:rsidRPr="006926BD">
              <w:rPr>
                <w:rFonts w:ascii="Times New Roman" w:eastAsia="AngsanaUPC" w:hAnsi="Times New Roman"/>
                <w:bCs/>
                <w:iCs/>
                <w:sz w:val="24"/>
                <w:szCs w:val="24"/>
                <w:lang w:eastAsia="lt-LT"/>
              </w:rPr>
              <w:t>,</w:t>
            </w:r>
            <w:r w:rsidRPr="006926BD">
              <w:rPr>
                <w:rFonts w:ascii="Times New Roman" w:eastAsia="AngsanaUPC" w:hAnsi="Times New Roman"/>
                <w:bCs/>
                <w:iCs/>
                <w:sz w:val="24"/>
                <w:szCs w:val="24"/>
                <w:lang w:eastAsia="lt-LT"/>
              </w:rPr>
              <w:t xml:space="preserve"> koordinuojant skirtingų fondų panaudojimą. Jeigu projektams numatomas EITP finansavimas nepakankamas, šie projektai gali būti finansuojami S</w:t>
            </w:r>
            <w:r w:rsidR="000208DC" w:rsidRPr="006926BD">
              <w:rPr>
                <w:rFonts w:ascii="Times New Roman" w:eastAsia="AngsanaUPC" w:hAnsi="Times New Roman"/>
                <w:bCs/>
                <w:iCs/>
                <w:sz w:val="24"/>
                <w:szCs w:val="24"/>
                <w:lang w:eastAsia="lt-LT"/>
              </w:rPr>
              <w:t>a</w:t>
            </w:r>
            <w:r w:rsidRPr="006926BD">
              <w:rPr>
                <w:rFonts w:ascii="Times New Roman" w:eastAsia="AngsanaUPC" w:hAnsi="Times New Roman"/>
                <w:bCs/>
                <w:iCs/>
                <w:sz w:val="24"/>
                <w:szCs w:val="24"/>
                <w:lang w:eastAsia="lt-LT"/>
              </w:rPr>
              <w:t>F arba ERPF lėšomis.</w:t>
            </w:r>
          </w:p>
          <w:p w:rsidR="006926BD" w:rsidRDefault="00385835" w:rsidP="00650E41">
            <w:pPr>
              <w:widowControl w:val="0"/>
              <w:numPr>
                <w:ilvl w:val="0"/>
                <w:numId w:val="55"/>
              </w:numPr>
              <w:tabs>
                <w:tab w:val="left" w:pos="459"/>
              </w:tabs>
              <w:spacing w:after="0" w:line="240" w:lineRule="auto"/>
              <w:ind w:left="34" w:firstLine="0"/>
              <w:jc w:val="both"/>
              <w:rPr>
                <w:rFonts w:ascii="Times New Roman" w:eastAsia="AngsanaUPC" w:hAnsi="Times New Roman"/>
                <w:bCs/>
                <w:iCs/>
                <w:sz w:val="24"/>
                <w:szCs w:val="24"/>
                <w:lang w:eastAsia="lt-LT"/>
              </w:rPr>
            </w:pPr>
            <w:r w:rsidRPr="006926BD">
              <w:rPr>
                <w:rFonts w:ascii="Times New Roman" w:eastAsia="AngsanaUPC" w:hAnsi="Times New Roman"/>
                <w:bCs/>
                <w:iCs/>
                <w:sz w:val="24"/>
                <w:szCs w:val="24"/>
                <w:lang w:eastAsia="lt-LT"/>
              </w:rPr>
              <w:t>Sukurtai ir atnaujintai infrastruktūrai prižiūrėti bus tęsiama dabartinė praktika, kai už infrastruktūros priežiūrą atsakingas jos valdytojas, o lėšos surenkamos per infrastruktūros naudotojams taikomus tarifus. Kelių transporto infrastruktūrai prižiūrėti numatoma skirti valstybės asignavimus per tam skirtą Kelių plėtros ir priežiūros programą (KPPP) ir/ar savivaldybių lėšas.</w:t>
            </w:r>
          </w:p>
          <w:p w:rsidR="006926BD" w:rsidRDefault="00385835" w:rsidP="00650E41">
            <w:pPr>
              <w:widowControl w:val="0"/>
              <w:numPr>
                <w:ilvl w:val="0"/>
                <w:numId w:val="55"/>
              </w:numPr>
              <w:tabs>
                <w:tab w:val="left" w:pos="459"/>
              </w:tabs>
              <w:spacing w:after="0" w:line="240" w:lineRule="auto"/>
              <w:ind w:left="34" w:firstLine="0"/>
              <w:jc w:val="both"/>
              <w:rPr>
                <w:rFonts w:ascii="Times New Roman" w:eastAsia="AngsanaUPC" w:hAnsi="Times New Roman"/>
                <w:bCs/>
                <w:iCs/>
                <w:sz w:val="24"/>
                <w:szCs w:val="24"/>
                <w:lang w:eastAsia="lt-LT"/>
              </w:rPr>
            </w:pPr>
            <w:r w:rsidRPr="006926BD">
              <w:rPr>
                <w:rFonts w:ascii="Times New Roman" w:eastAsia="AngsanaUPC" w:hAnsi="Times New Roman"/>
                <w:bCs/>
                <w:iCs/>
                <w:sz w:val="24"/>
                <w:szCs w:val="24"/>
                <w:lang w:eastAsia="lt-LT"/>
              </w:rPr>
              <w:t>Diegiant informacines sistemas transporto sektoriuje, investicijos bus derinamos su Veiksmų programos prioriteto „Informacinės visuomenės skatinimas“ priemonėmis.</w:t>
            </w:r>
          </w:p>
          <w:p w:rsidR="006926BD" w:rsidRPr="006926BD" w:rsidRDefault="00ED11F4" w:rsidP="00650E41">
            <w:pPr>
              <w:widowControl w:val="0"/>
              <w:numPr>
                <w:ilvl w:val="0"/>
                <w:numId w:val="55"/>
              </w:numPr>
              <w:tabs>
                <w:tab w:val="left" w:pos="459"/>
              </w:tabs>
              <w:spacing w:after="0" w:line="240" w:lineRule="auto"/>
              <w:ind w:left="34" w:firstLine="0"/>
              <w:jc w:val="both"/>
              <w:rPr>
                <w:rFonts w:ascii="Times New Roman" w:eastAsia="AngsanaUPC" w:hAnsi="Times New Roman"/>
                <w:bCs/>
                <w:sz w:val="24"/>
                <w:szCs w:val="24"/>
                <w:lang w:eastAsia="lt-LT"/>
              </w:rPr>
            </w:pPr>
            <w:r w:rsidRPr="00ED11F4">
              <w:rPr>
                <w:rFonts w:ascii="Times New Roman" w:eastAsia="AngsanaUPC" w:hAnsi="Times New Roman"/>
                <w:bCs/>
                <w:iCs/>
                <w:sz w:val="24"/>
                <w:szCs w:val="24"/>
                <w:lang w:eastAsia="lt-LT"/>
              </w:rPr>
              <w:lastRenderedPageBreak/>
              <w:t>Šio investicinio prioriteto veiklas gali būti įgyvendinamos taikant ITI įgyvendinimo mechanizmą, nustatytą Veiksmų programos 4 skirsnyje, per ITVP.</w:t>
            </w:r>
          </w:p>
          <w:p w:rsidR="00385835" w:rsidRPr="00DC55B6" w:rsidRDefault="00385835" w:rsidP="00650E41">
            <w:pPr>
              <w:widowControl w:val="0"/>
              <w:numPr>
                <w:ilvl w:val="0"/>
                <w:numId w:val="55"/>
              </w:numPr>
              <w:tabs>
                <w:tab w:val="left" w:pos="459"/>
              </w:tabs>
              <w:spacing w:after="0" w:line="240" w:lineRule="auto"/>
              <w:ind w:left="34" w:firstLine="0"/>
              <w:jc w:val="both"/>
              <w:rPr>
                <w:rFonts w:ascii="Times New Roman" w:eastAsia="AngsanaUPC" w:hAnsi="Times New Roman"/>
                <w:bCs/>
                <w:sz w:val="24"/>
                <w:szCs w:val="24"/>
                <w:lang w:eastAsia="lt-LT"/>
              </w:rPr>
            </w:pPr>
            <w:r w:rsidRPr="00385835">
              <w:rPr>
                <w:rFonts w:ascii="Times New Roman" w:eastAsia="AngsanaUPC" w:hAnsi="Times New Roman"/>
                <w:bCs/>
                <w:iCs/>
                <w:sz w:val="24"/>
                <w:szCs w:val="24"/>
                <w:lang w:eastAsia="lt-LT"/>
              </w:rPr>
              <w:t>Veiksmų programos 6.3 investicinį prioritetą įgyvendinantys projektai bus atrenkami valstybės projektų planavimo būdu ir regionų projektų planavimo būdu (tiesiogiai skiriant subsidiją). Jeigu nusprendžiama, kad konkrečiam projektui dotacijos skiriamos tiesiogiai, ši procedūra turi atitikti sąlygas, nustatytas Bendrųjų nuostatų reglamento 125.3 str. (a) dalyje (ii) punkte, kuriuo reikalaujama, kad dotacijų skyrimo procedūra turi būti nediskriminuojanti ir skaidri.</w:t>
            </w:r>
          </w:p>
          <w:p w:rsidR="00DC55B6" w:rsidRPr="00463952" w:rsidRDefault="00DC55B6" w:rsidP="00DC55B6">
            <w:pPr>
              <w:widowControl w:val="0"/>
              <w:tabs>
                <w:tab w:val="left" w:pos="459"/>
              </w:tabs>
              <w:spacing w:after="0" w:line="240" w:lineRule="auto"/>
              <w:ind w:left="34"/>
              <w:jc w:val="both"/>
              <w:rPr>
                <w:rFonts w:ascii="Times New Roman" w:eastAsia="AngsanaUPC" w:hAnsi="Times New Roman"/>
                <w:bCs/>
                <w:sz w:val="24"/>
                <w:szCs w:val="24"/>
                <w:lang w:eastAsia="lt-LT"/>
              </w:rPr>
            </w:pPr>
            <w:r w:rsidRPr="00463952">
              <w:rPr>
                <w:rFonts w:ascii="Times New Roman" w:eastAsia="AngsanaUPC" w:hAnsi="Times New Roman"/>
                <w:bCs/>
                <w:sz w:val="24"/>
                <w:szCs w:val="24"/>
                <w:lang w:eastAsia="lt-LT"/>
              </w:rPr>
              <w:t xml:space="preserve">* Esant pagrįstam poreikiui pagal kiekvieną investicinį prioritetą gali būti taikomi ir kiti projektų atrankos būdai nurodyti pirmojo prioriteto dalyje </w:t>
            </w:r>
            <w:r w:rsidRPr="00463952">
              <w:rPr>
                <w:rFonts w:ascii="Times New Roman" w:eastAsia="AngsanaUPC" w:hAnsi="Times New Roman"/>
                <w:bCs/>
                <w:i/>
                <w:sz w:val="24"/>
                <w:szCs w:val="24"/>
                <w:lang w:eastAsia="lt-LT"/>
              </w:rPr>
              <w:t>„</w:t>
            </w:r>
            <w:r w:rsidRPr="00463952">
              <w:rPr>
                <w:rFonts w:ascii="Times New Roman" w:eastAsia="AngsanaUPC" w:hAnsi="Times New Roman"/>
                <w:bCs/>
                <w:i/>
                <w:iCs/>
                <w:sz w:val="24"/>
                <w:szCs w:val="24"/>
                <w:lang w:eastAsia="lt-LT"/>
              </w:rPr>
              <w:t>Projektų/veiksmų atrankos principai</w:t>
            </w:r>
            <w:r w:rsidR="00463952" w:rsidRPr="00463952">
              <w:rPr>
                <w:rFonts w:ascii="Times New Roman" w:eastAsia="AngsanaUPC" w:hAnsi="Times New Roman"/>
                <w:bCs/>
                <w:i/>
                <w:iCs/>
                <w:sz w:val="24"/>
                <w:szCs w:val="24"/>
                <w:lang w:eastAsia="lt-LT"/>
              </w:rPr>
              <w:t>“</w:t>
            </w:r>
            <w:r w:rsidRPr="00463952">
              <w:rPr>
                <w:rFonts w:ascii="Times New Roman" w:eastAsia="AngsanaUPC" w:hAnsi="Times New Roman"/>
                <w:bCs/>
                <w:i/>
                <w:iCs/>
                <w:sz w:val="24"/>
                <w:szCs w:val="24"/>
                <w:lang w:eastAsia="lt-LT"/>
              </w:rPr>
              <w:t>.</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i/>
          <w:i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746"/>
      </w:tblGrid>
      <w:tr w:rsidR="00385835" w:rsidRPr="00385835" w:rsidTr="00385835">
        <w:tc>
          <w:tcPr>
            <w:tcW w:w="9746"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i/>
                <w:iCs/>
                <w:sz w:val="24"/>
                <w:szCs w:val="24"/>
                <w:lang w:eastAsia="lt-LT"/>
              </w:rPr>
              <w:t>Finansiniai instrumentai ir jų aprašymas</w:t>
            </w:r>
          </w:p>
        </w:tc>
      </w:tr>
      <w:tr w:rsidR="00385835" w:rsidRPr="00385835" w:rsidTr="00385835">
        <w:tc>
          <w:tcPr>
            <w:tcW w:w="9746" w:type="dxa"/>
            <w:shd w:val="clear" w:color="auto" w:fill="auto"/>
          </w:tcPr>
          <w:p w:rsidR="00385835" w:rsidRPr="00385835" w:rsidRDefault="00385835" w:rsidP="00385835">
            <w:pPr>
              <w:widowControl w:val="0"/>
              <w:tabs>
                <w:tab w:val="left" w:pos="622"/>
              </w:tabs>
              <w:spacing w:after="0" w:line="240" w:lineRule="auto"/>
              <w:ind w:firstLine="624"/>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Pagal šį veiksmų programos prioritetą yra analizuojamos finansinių instrumentų panaudojimo galimybės.</w:t>
            </w:r>
          </w:p>
        </w:tc>
      </w:tr>
    </w:tbl>
    <w:p w:rsidR="00385835" w:rsidRPr="00385835" w:rsidRDefault="00385835" w:rsidP="00385835">
      <w:pPr>
        <w:widowControl w:val="0"/>
        <w:tabs>
          <w:tab w:val="left" w:pos="622"/>
        </w:tabs>
        <w:spacing w:after="0" w:line="240" w:lineRule="auto"/>
        <w:jc w:val="both"/>
        <w:rPr>
          <w:rFonts w:ascii="Times New Roman" w:hAnsi="Times New Roman"/>
          <w:iCs/>
          <w:sz w:val="24"/>
          <w:szCs w:val="24"/>
        </w:rPr>
      </w:pPr>
    </w:p>
    <w:p w:rsidR="00385835" w:rsidRPr="00385835" w:rsidRDefault="00385835" w:rsidP="00385835">
      <w:pPr>
        <w:widowControl w:val="0"/>
        <w:tabs>
          <w:tab w:val="left" w:pos="622"/>
        </w:tabs>
        <w:spacing w:after="0" w:line="240" w:lineRule="auto"/>
        <w:jc w:val="both"/>
        <w:rPr>
          <w:rFonts w:ascii="Times New Roman" w:eastAsia="AngsanaUPC" w:hAnsi="Times New Roman"/>
          <w:b/>
          <w:bCs/>
          <w:i/>
          <w:iCs/>
          <w:sz w:val="24"/>
          <w:szCs w:val="24"/>
          <w:lang w:eastAsia="lt-LT"/>
        </w:rPr>
        <w:sectPr w:rsidR="00385835" w:rsidRPr="00385835" w:rsidSect="00AC19DA">
          <w:pgSz w:w="11906" w:h="16838" w:code="9"/>
          <w:pgMar w:top="1701" w:right="567" w:bottom="1134" w:left="1701" w:header="567" w:footer="567" w:gutter="0"/>
          <w:cols w:space="1296"/>
          <w:docGrid w:linePitch="360"/>
        </w:sectPr>
      </w:pP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1277"/>
        <w:gridCol w:w="2834"/>
        <w:gridCol w:w="851"/>
        <w:gridCol w:w="708"/>
        <w:gridCol w:w="993"/>
        <w:gridCol w:w="1134"/>
        <w:gridCol w:w="1134"/>
        <w:gridCol w:w="992"/>
        <w:gridCol w:w="3969"/>
      </w:tblGrid>
      <w:tr w:rsidR="00385835" w:rsidRPr="00385835" w:rsidTr="00385835">
        <w:trPr>
          <w:tblHeader/>
        </w:trPr>
        <w:tc>
          <w:tcPr>
            <w:tcW w:w="13892" w:type="dxa"/>
            <w:gridSpan w:val="9"/>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i/>
                <w:iCs/>
                <w:sz w:val="24"/>
                <w:szCs w:val="24"/>
                <w:lang w:eastAsia="lt-LT"/>
              </w:rPr>
              <w:lastRenderedPageBreak/>
              <w:t>Prioriteto veiklos rezultatų peržiūros planas</w:t>
            </w:r>
          </w:p>
        </w:tc>
      </w:tr>
      <w:tr w:rsidR="00385835" w:rsidRPr="00385835" w:rsidTr="00385835">
        <w:trPr>
          <w:cantSplit/>
          <w:trHeight w:val="1134"/>
          <w:tblHeader/>
        </w:trPr>
        <w:tc>
          <w:tcPr>
            <w:tcW w:w="1277"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Rodiklio rūšis</w:t>
            </w:r>
          </w:p>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(įgyvendinimo žingsniai, finansinis, produkto ir rezultato rodiklis)</w:t>
            </w:r>
          </w:p>
        </w:tc>
        <w:tc>
          <w:tcPr>
            <w:tcW w:w="28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Rodiklio apibrėžimas arba įgyvendinimo žingsnis</w:t>
            </w:r>
          </w:p>
        </w:tc>
        <w:tc>
          <w:tcPr>
            <w:tcW w:w="851"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Matavimo vienetas</w:t>
            </w:r>
          </w:p>
        </w:tc>
        <w:tc>
          <w:tcPr>
            <w:tcW w:w="708"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Fondas</w:t>
            </w:r>
          </w:p>
        </w:tc>
        <w:tc>
          <w:tcPr>
            <w:tcW w:w="993"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Regiono kategorija</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Tarpinė reikšmė (2018)</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Siektina reikšmė (2023)</w:t>
            </w:r>
          </w:p>
        </w:tc>
        <w:tc>
          <w:tcPr>
            <w:tcW w:w="992"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Duomenų šaltinis</w:t>
            </w:r>
          </w:p>
        </w:tc>
        <w:tc>
          <w:tcPr>
            <w:tcW w:w="3969"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Rodiklių tinkamumo pagrindimas</w:t>
            </w:r>
          </w:p>
        </w:tc>
      </w:tr>
      <w:tr w:rsidR="00385835" w:rsidRPr="008C2709" w:rsidTr="00385835">
        <w:tc>
          <w:tcPr>
            <w:tcW w:w="1277" w:type="dxa"/>
            <w:shd w:val="clear" w:color="auto" w:fill="FFFFFF"/>
          </w:tcPr>
          <w:p w:rsidR="00385835" w:rsidRPr="008C2709" w:rsidRDefault="00385835" w:rsidP="008C2709">
            <w:pPr>
              <w:spacing w:after="0" w:line="240" w:lineRule="auto"/>
              <w:rPr>
                <w:rFonts w:ascii="Times New Roman" w:hAnsi="Times New Roman"/>
                <w:sz w:val="16"/>
                <w:szCs w:val="16"/>
              </w:rPr>
            </w:pPr>
            <w:r w:rsidRPr="008C2709">
              <w:rPr>
                <w:rFonts w:ascii="Times New Roman" w:hAnsi="Times New Roman"/>
                <w:sz w:val="16"/>
                <w:szCs w:val="16"/>
              </w:rPr>
              <w:t>Finansinis</w:t>
            </w:r>
            <w:r w:rsidRPr="008C2709">
              <w:rPr>
                <w:rFonts w:ascii="Times New Roman" w:eastAsia="AngsanaUPC" w:hAnsi="Times New Roman"/>
                <w:bCs/>
                <w:iCs/>
                <w:sz w:val="16"/>
                <w:szCs w:val="16"/>
              </w:rPr>
              <w:t xml:space="preserve"> </w:t>
            </w:r>
            <w:r w:rsidRPr="008C2709">
              <w:rPr>
                <w:rFonts w:ascii="Times New Roman" w:hAnsi="Times New Roman"/>
                <w:sz w:val="16"/>
                <w:szCs w:val="16"/>
              </w:rPr>
              <w:t>rodiklis</w:t>
            </w:r>
          </w:p>
        </w:tc>
        <w:tc>
          <w:tcPr>
            <w:tcW w:w="2834" w:type="dxa"/>
            <w:shd w:val="clear" w:color="auto" w:fill="FFFFFF"/>
            <w:vAlign w:val="center"/>
          </w:tcPr>
          <w:p w:rsidR="00385835" w:rsidRPr="008C2709" w:rsidRDefault="00385835" w:rsidP="008C2709">
            <w:pPr>
              <w:spacing w:after="0" w:line="240" w:lineRule="auto"/>
              <w:rPr>
                <w:rFonts w:ascii="Times New Roman" w:hAnsi="Times New Roman"/>
                <w:i/>
                <w:sz w:val="16"/>
                <w:szCs w:val="16"/>
              </w:rPr>
            </w:pPr>
            <w:r w:rsidRPr="008C2709">
              <w:rPr>
                <w:rFonts w:ascii="Times New Roman" w:hAnsi="Times New Roman"/>
                <w:color w:val="000000"/>
                <w:sz w:val="16"/>
                <w:szCs w:val="16"/>
              </w:rPr>
              <w:t xml:space="preserve">Bendra </w:t>
            </w:r>
            <w:r w:rsidR="00FC5594" w:rsidRPr="008C2709">
              <w:rPr>
                <w:rFonts w:ascii="Times New Roman" w:hAnsi="Times New Roman"/>
                <w:color w:val="000000"/>
                <w:sz w:val="16"/>
                <w:szCs w:val="16"/>
              </w:rPr>
              <w:t xml:space="preserve">tinkamų finansuoti išlaidų suma, </w:t>
            </w:r>
            <w:r w:rsidRPr="008C2709">
              <w:rPr>
                <w:rFonts w:ascii="Times New Roman" w:hAnsi="Times New Roman"/>
                <w:color w:val="000000"/>
                <w:sz w:val="16"/>
                <w:szCs w:val="16"/>
              </w:rPr>
              <w:t>pripažinta tinkama deklaruoti EK</w:t>
            </w:r>
          </w:p>
        </w:tc>
        <w:tc>
          <w:tcPr>
            <w:tcW w:w="851" w:type="dxa"/>
            <w:shd w:val="clear" w:color="auto" w:fill="FFFFFF"/>
          </w:tcPr>
          <w:p w:rsidR="00385835" w:rsidRPr="008C2709" w:rsidRDefault="00385835" w:rsidP="008C2709">
            <w:pPr>
              <w:spacing w:after="0" w:line="240" w:lineRule="auto"/>
              <w:jc w:val="center"/>
              <w:rPr>
                <w:rFonts w:ascii="Times New Roman" w:hAnsi="Times New Roman"/>
                <w:i/>
                <w:sz w:val="16"/>
                <w:szCs w:val="16"/>
              </w:rPr>
            </w:pPr>
            <w:r w:rsidRPr="008C2709">
              <w:rPr>
                <w:rFonts w:ascii="Times New Roman" w:hAnsi="Times New Roman"/>
                <w:sz w:val="16"/>
                <w:szCs w:val="16"/>
              </w:rPr>
              <w:t>Eurai</w:t>
            </w:r>
          </w:p>
        </w:tc>
        <w:tc>
          <w:tcPr>
            <w:tcW w:w="708" w:type="dxa"/>
            <w:shd w:val="clear" w:color="auto" w:fill="FFFFFF"/>
          </w:tcPr>
          <w:p w:rsidR="00385835" w:rsidRPr="008C2709" w:rsidRDefault="00385835" w:rsidP="008C2709">
            <w:pPr>
              <w:spacing w:after="0" w:line="240" w:lineRule="auto"/>
              <w:jc w:val="center"/>
              <w:rPr>
                <w:rFonts w:ascii="Times New Roman" w:hAnsi="Times New Roman"/>
                <w:sz w:val="16"/>
                <w:szCs w:val="16"/>
              </w:rPr>
            </w:pPr>
            <w:r w:rsidRPr="008C2709">
              <w:rPr>
                <w:rFonts w:ascii="Times New Roman" w:hAnsi="Times New Roman"/>
                <w:sz w:val="16"/>
                <w:szCs w:val="16"/>
              </w:rPr>
              <w:t>ERPF</w:t>
            </w:r>
          </w:p>
        </w:tc>
        <w:tc>
          <w:tcPr>
            <w:tcW w:w="993" w:type="dxa"/>
            <w:shd w:val="clear" w:color="auto" w:fill="FFFFFF"/>
          </w:tcPr>
          <w:p w:rsidR="00385835" w:rsidRPr="008C2709" w:rsidRDefault="00385835" w:rsidP="008C2709">
            <w:pPr>
              <w:spacing w:after="0" w:line="240" w:lineRule="auto"/>
              <w:jc w:val="center"/>
              <w:rPr>
                <w:rFonts w:ascii="Times New Roman" w:hAnsi="Times New Roman"/>
                <w:sz w:val="16"/>
                <w:szCs w:val="16"/>
              </w:rPr>
            </w:pPr>
            <w:r w:rsidRPr="008C2709">
              <w:rPr>
                <w:rFonts w:ascii="Times New Roman" w:hAnsi="Times New Roman"/>
                <w:sz w:val="16"/>
                <w:szCs w:val="16"/>
              </w:rPr>
              <w:t>Mažiau išsivystęs</w:t>
            </w:r>
          </w:p>
        </w:tc>
        <w:tc>
          <w:tcPr>
            <w:tcW w:w="1134" w:type="dxa"/>
            <w:shd w:val="clear" w:color="auto" w:fill="FFFFFF"/>
          </w:tcPr>
          <w:p w:rsidR="00D828BD" w:rsidRPr="008C2709" w:rsidRDefault="00D828BD" w:rsidP="008C2709">
            <w:pPr>
              <w:spacing w:after="0" w:line="240" w:lineRule="auto"/>
              <w:jc w:val="center"/>
              <w:rPr>
                <w:rFonts w:ascii="Times New Roman" w:hAnsi="Times New Roman"/>
                <w:sz w:val="16"/>
                <w:szCs w:val="16"/>
              </w:rPr>
            </w:pPr>
            <w:r w:rsidRPr="008C2709">
              <w:rPr>
                <w:rFonts w:ascii="Times New Roman" w:hAnsi="Times New Roman"/>
                <w:bCs/>
                <w:color w:val="000000"/>
                <w:sz w:val="16"/>
                <w:szCs w:val="16"/>
              </w:rPr>
              <w:t>86.181.363</w:t>
            </w:r>
          </w:p>
        </w:tc>
        <w:tc>
          <w:tcPr>
            <w:tcW w:w="1134" w:type="dxa"/>
            <w:shd w:val="clear" w:color="auto" w:fill="FFFFFF"/>
          </w:tcPr>
          <w:p w:rsidR="00385835" w:rsidRPr="008C2709" w:rsidRDefault="00AC364A" w:rsidP="008C2709">
            <w:pPr>
              <w:spacing w:after="0" w:line="240" w:lineRule="auto"/>
              <w:jc w:val="center"/>
              <w:rPr>
                <w:rFonts w:ascii="Times New Roman" w:hAnsi="Times New Roman"/>
                <w:sz w:val="16"/>
                <w:szCs w:val="16"/>
              </w:rPr>
            </w:pPr>
            <w:r w:rsidRPr="008C2709">
              <w:rPr>
                <w:rFonts w:ascii="Times New Roman" w:hAnsi="Times New Roman"/>
                <w:sz w:val="16"/>
                <w:szCs w:val="16"/>
              </w:rPr>
              <w:t>375.794.369</w:t>
            </w:r>
          </w:p>
        </w:tc>
        <w:tc>
          <w:tcPr>
            <w:tcW w:w="992" w:type="dxa"/>
            <w:shd w:val="clear" w:color="auto" w:fill="FFFFFF"/>
          </w:tcPr>
          <w:p w:rsidR="00385835" w:rsidRPr="008C2709" w:rsidRDefault="00385835" w:rsidP="008C2709">
            <w:pPr>
              <w:spacing w:after="0"/>
              <w:jc w:val="center"/>
              <w:rPr>
                <w:rFonts w:ascii="Times New Roman" w:hAnsi="Times New Roman"/>
                <w:sz w:val="16"/>
                <w:szCs w:val="16"/>
              </w:rPr>
            </w:pPr>
            <w:r w:rsidRPr="008C2709">
              <w:rPr>
                <w:rFonts w:ascii="Times New Roman" w:hAnsi="Times New Roman"/>
                <w:sz w:val="16"/>
                <w:szCs w:val="16"/>
              </w:rPr>
              <w:t>Duomenys iš projektų</w:t>
            </w:r>
          </w:p>
        </w:tc>
        <w:tc>
          <w:tcPr>
            <w:tcW w:w="3969" w:type="dxa"/>
            <w:shd w:val="clear" w:color="auto" w:fill="FFFFFF"/>
          </w:tcPr>
          <w:p w:rsidR="00385835" w:rsidRPr="008C2709" w:rsidRDefault="00385835" w:rsidP="008C2709">
            <w:pPr>
              <w:spacing w:after="0" w:line="240" w:lineRule="auto"/>
              <w:rPr>
                <w:rFonts w:ascii="Times New Roman" w:hAnsi="Times New Roman"/>
                <w:sz w:val="16"/>
                <w:szCs w:val="16"/>
              </w:rPr>
            </w:pPr>
            <w:r w:rsidRPr="008C2709">
              <w:rPr>
                <w:rFonts w:ascii="Times New Roman" w:hAnsi="Times New Roman"/>
                <w:sz w:val="16"/>
                <w:szCs w:val="16"/>
              </w:rPr>
              <w:t>Privalomas rodiklis, kuris atspindi finansinę prioriteto įgyvendinimo pažangą.</w:t>
            </w:r>
          </w:p>
        </w:tc>
      </w:tr>
      <w:tr w:rsidR="00385835" w:rsidRPr="008C2709" w:rsidTr="00385835">
        <w:tc>
          <w:tcPr>
            <w:tcW w:w="1277" w:type="dxa"/>
            <w:shd w:val="clear" w:color="auto" w:fill="FFFFFF"/>
          </w:tcPr>
          <w:p w:rsidR="00385835" w:rsidRPr="008C2709" w:rsidRDefault="00385835" w:rsidP="008C2709">
            <w:pPr>
              <w:spacing w:after="0" w:line="240" w:lineRule="auto"/>
              <w:rPr>
                <w:rFonts w:ascii="Times New Roman" w:hAnsi="Times New Roman"/>
                <w:sz w:val="16"/>
                <w:szCs w:val="16"/>
              </w:rPr>
            </w:pPr>
            <w:r w:rsidRPr="008C2709">
              <w:rPr>
                <w:rFonts w:ascii="Times New Roman" w:hAnsi="Times New Roman"/>
                <w:sz w:val="16"/>
                <w:szCs w:val="16"/>
              </w:rPr>
              <w:t>Produkto rodiklis</w:t>
            </w:r>
          </w:p>
        </w:tc>
        <w:tc>
          <w:tcPr>
            <w:tcW w:w="2834" w:type="dxa"/>
            <w:shd w:val="clear" w:color="auto" w:fill="FFFFFF"/>
          </w:tcPr>
          <w:p w:rsidR="00385835" w:rsidRPr="008C2709" w:rsidRDefault="00385835" w:rsidP="008C2709">
            <w:pPr>
              <w:spacing w:after="0" w:line="240" w:lineRule="auto"/>
              <w:rPr>
                <w:rFonts w:ascii="Times New Roman" w:hAnsi="Times New Roman"/>
                <w:sz w:val="16"/>
                <w:szCs w:val="16"/>
              </w:rPr>
            </w:pPr>
            <w:r w:rsidRPr="008C2709">
              <w:rPr>
                <w:rFonts w:ascii="Times New Roman" w:eastAsia="AngsanaUPC" w:hAnsi="Times New Roman"/>
                <w:bCs/>
                <w:iCs/>
                <w:sz w:val="16"/>
                <w:szCs w:val="16"/>
                <w:lang w:eastAsia="lt-LT"/>
              </w:rPr>
              <w:t xml:space="preserve">Bendras rekonstruotų arba </w:t>
            </w:r>
            <w:r w:rsidR="00245E10" w:rsidRPr="008C2709">
              <w:rPr>
                <w:rFonts w:ascii="Times New Roman" w:eastAsia="AngsanaUPC" w:hAnsi="Times New Roman"/>
                <w:bCs/>
                <w:iCs/>
                <w:sz w:val="16"/>
                <w:szCs w:val="16"/>
                <w:lang w:eastAsia="lt-LT"/>
              </w:rPr>
              <w:t xml:space="preserve">atnaujintų </w:t>
            </w:r>
            <w:r w:rsidRPr="008C2709">
              <w:rPr>
                <w:rFonts w:ascii="Times New Roman" w:eastAsia="AngsanaUPC" w:hAnsi="Times New Roman"/>
                <w:bCs/>
                <w:iCs/>
                <w:sz w:val="16"/>
                <w:szCs w:val="16"/>
                <w:lang w:eastAsia="lt-LT"/>
              </w:rPr>
              <w:t>kelių ilgis</w:t>
            </w:r>
          </w:p>
        </w:tc>
        <w:tc>
          <w:tcPr>
            <w:tcW w:w="851" w:type="dxa"/>
            <w:shd w:val="clear" w:color="auto" w:fill="FFFFFF"/>
          </w:tcPr>
          <w:p w:rsidR="00385835" w:rsidRPr="008C2709" w:rsidRDefault="00385835" w:rsidP="008C2709">
            <w:pPr>
              <w:spacing w:after="0" w:line="240" w:lineRule="auto"/>
              <w:jc w:val="center"/>
              <w:rPr>
                <w:rFonts w:ascii="Times New Roman" w:hAnsi="Times New Roman"/>
                <w:bCs/>
                <w:sz w:val="16"/>
                <w:szCs w:val="16"/>
              </w:rPr>
            </w:pPr>
            <w:r w:rsidRPr="008C2709">
              <w:rPr>
                <w:rFonts w:ascii="Times New Roman" w:hAnsi="Times New Roman"/>
                <w:bCs/>
                <w:sz w:val="16"/>
                <w:szCs w:val="16"/>
              </w:rPr>
              <w:t>Km</w:t>
            </w:r>
          </w:p>
        </w:tc>
        <w:tc>
          <w:tcPr>
            <w:tcW w:w="708" w:type="dxa"/>
            <w:shd w:val="clear" w:color="auto" w:fill="FFFFFF"/>
          </w:tcPr>
          <w:p w:rsidR="00385835" w:rsidRPr="008C2709" w:rsidRDefault="00385835" w:rsidP="008C2709">
            <w:pPr>
              <w:spacing w:after="0" w:line="240" w:lineRule="auto"/>
              <w:jc w:val="center"/>
              <w:rPr>
                <w:rFonts w:ascii="Times New Roman" w:hAnsi="Times New Roman"/>
                <w:bCs/>
                <w:sz w:val="16"/>
                <w:szCs w:val="16"/>
              </w:rPr>
            </w:pPr>
            <w:r w:rsidRPr="008C2709">
              <w:rPr>
                <w:rFonts w:ascii="Times New Roman" w:hAnsi="Times New Roman"/>
                <w:bCs/>
                <w:sz w:val="16"/>
                <w:szCs w:val="16"/>
              </w:rPr>
              <w:t>ERPF</w:t>
            </w:r>
          </w:p>
        </w:tc>
        <w:tc>
          <w:tcPr>
            <w:tcW w:w="993" w:type="dxa"/>
            <w:shd w:val="clear" w:color="auto" w:fill="FFFFFF"/>
          </w:tcPr>
          <w:p w:rsidR="00385835" w:rsidRPr="008C2709" w:rsidRDefault="00385835" w:rsidP="008C2709">
            <w:pPr>
              <w:spacing w:after="0" w:line="240" w:lineRule="auto"/>
              <w:jc w:val="center"/>
              <w:rPr>
                <w:rFonts w:ascii="Times New Roman" w:hAnsi="Times New Roman"/>
                <w:bCs/>
                <w:sz w:val="16"/>
                <w:szCs w:val="16"/>
              </w:rPr>
            </w:pPr>
            <w:r w:rsidRPr="008C2709">
              <w:rPr>
                <w:rFonts w:ascii="Times New Roman" w:hAnsi="Times New Roman"/>
                <w:bCs/>
                <w:sz w:val="16"/>
                <w:szCs w:val="16"/>
              </w:rPr>
              <w:t>Mažiau išsivystęs</w:t>
            </w:r>
          </w:p>
        </w:tc>
        <w:tc>
          <w:tcPr>
            <w:tcW w:w="1134" w:type="dxa"/>
            <w:shd w:val="clear" w:color="auto" w:fill="FFFFFF"/>
          </w:tcPr>
          <w:p w:rsidR="00385835" w:rsidRPr="008C2709" w:rsidRDefault="00385835" w:rsidP="008C2709">
            <w:pPr>
              <w:spacing w:after="0" w:line="240" w:lineRule="auto"/>
              <w:jc w:val="center"/>
              <w:rPr>
                <w:rFonts w:ascii="Times New Roman" w:hAnsi="Times New Roman"/>
                <w:sz w:val="16"/>
                <w:szCs w:val="16"/>
              </w:rPr>
            </w:pPr>
            <w:r w:rsidRPr="008C2709">
              <w:rPr>
                <w:rFonts w:ascii="Times New Roman" w:hAnsi="Times New Roman"/>
                <w:sz w:val="16"/>
                <w:szCs w:val="16"/>
              </w:rPr>
              <w:t>17</w:t>
            </w:r>
          </w:p>
        </w:tc>
        <w:tc>
          <w:tcPr>
            <w:tcW w:w="1134" w:type="dxa"/>
            <w:shd w:val="clear" w:color="auto" w:fill="FFFFFF"/>
          </w:tcPr>
          <w:p w:rsidR="00385835" w:rsidRPr="008C2709" w:rsidRDefault="003946F0" w:rsidP="008C2709">
            <w:pPr>
              <w:spacing w:after="0" w:line="240" w:lineRule="auto"/>
              <w:jc w:val="center"/>
              <w:rPr>
                <w:rFonts w:ascii="Times New Roman" w:hAnsi="Times New Roman"/>
                <w:sz w:val="16"/>
                <w:szCs w:val="16"/>
              </w:rPr>
            </w:pPr>
            <w:r w:rsidRPr="008C2709">
              <w:rPr>
                <w:rFonts w:ascii="Times New Roman" w:hAnsi="Times New Roman"/>
                <w:sz w:val="16"/>
                <w:szCs w:val="16"/>
              </w:rPr>
              <w:t>20</w:t>
            </w:r>
            <w:r w:rsidR="00AC364A" w:rsidRPr="008C2709">
              <w:rPr>
                <w:rFonts w:ascii="Times New Roman" w:hAnsi="Times New Roman"/>
                <w:sz w:val="16"/>
                <w:szCs w:val="16"/>
              </w:rPr>
              <w:t>1</w:t>
            </w:r>
          </w:p>
        </w:tc>
        <w:tc>
          <w:tcPr>
            <w:tcW w:w="992" w:type="dxa"/>
            <w:shd w:val="clear" w:color="auto" w:fill="FFFFFF"/>
          </w:tcPr>
          <w:p w:rsidR="00385835" w:rsidRPr="008C2709" w:rsidRDefault="00385835" w:rsidP="008C2709">
            <w:pPr>
              <w:spacing w:after="0" w:line="240" w:lineRule="auto"/>
              <w:jc w:val="center"/>
              <w:rPr>
                <w:rFonts w:ascii="Times New Roman" w:hAnsi="Times New Roman"/>
                <w:sz w:val="16"/>
                <w:szCs w:val="16"/>
              </w:rPr>
            </w:pPr>
            <w:r w:rsidRPr="008C2709">
              <w:rPr>
                <w:rFonts w:ascii="Times New Roman" w:hAnsi="Times New Roman"/>
                <w:sz w:val="16"/>
                <w:szCs w:val="16"/>
              </w:rPr>
              <w:t>Duomenys iš projektų</w:t>
            </w:r>
          </w:p>
        </w:tc>
        <w:tc>
          <w:tcPr>
            <w:tcW w:w="3969" w:type="dxa"/>
            <w:shd w:val="clear" w:color="auto" w:fill="FFFFFF"/>
          </w:tcPr>
          <w:p w:rsidR="00385835" w:rsidRPr="008C2709" w:rsidRDefault="00385835" w:rsidP="008C2709">
            <w:pPr>
              <w:spacing w:after="0" w:line="240" w:lineRule="auto"/>
              <w:rPr>
                <w:rFonts w:ascii="Times New Roman" w:hAnsi="Times New Roman"/>
                <w:sz w:val="16"/>
                <w:szCs w:val="16"/>
              </w:rPr>
            </w:pPr>
            <w:r w:rsidRPr="008C2709">
              <w:rPr>
                <w:rFonts w:ascii="Times New Roman" w:hAnsi="Times New Roman"/>
                <w:sz w:val="16"/>
                <w:szCs w:val="16"/>
              </w:rPr>
              <w:t>Rodiklis atspindi prioriteto įgyvendinimo eigą, nes jo pasiekimui skirta 27 proc. šio prioriteto įgyvendinimui skirtų ERPF lėšų.</w:t>
            </w:r>
          </w:p>
        </w:tc>
      </w:tr>
      <w:tr w:rsidR="00385835" w:rsidRPr="008C2709" w:rsidTr="00385835">
        <w:tc>
          <w:tcPr>
            <w:tcW w:w="1277" w:type="dxa"/>
            <w:shd w:val="clear" w:color="auto" w:fill="FFFFFF"/>
          </w:tcPr>
          <w:p w:rsidR="00385835" w:rsidRPr="008C2709" w:rsidRDefault="00385835" w:rsidP="008C2709">
            <w:pPr>
              <w:spacing w:after="0" w:line="240" w:lineRule="auto"/>
              <w:rPr>
                <w:rFonts w:ascii="Times New Roman" w:hAnsi="Times New Roman"/>
                <w:sz w:val="16"/>
                <w:szCs w:val="16"/>
              </w:rPr>
            </w:pPr>
            <w:r w:rsidRPr="008C2709">
              <w:rPr>
                <w:rFonts w:ascii="Times New Roman" w:hAnsi="Times New Roman"/>
                <w:sz w:val="16"/>
                <w:szCs w:val="16"/>
              </w:rPr>
              <w:t>Produkto rodiklis</w:t>
            </w:r>
          </w:p>
        </w:tc>
        <w:tc>
          <w:tcPr>
            <w:tcW w:w="2834" w:type="dxa"/>
            <w:shd w:val="clear" w:color="auto" w:fill="FFFFFF"/>
          </w:tcPr>
          <w:p w:rsidR="00385835" w:rsidRPr="008C2709" w:rsidRDefault="00385835" w:rsidP="008C2709">
            <w:pPr>
              <w:spacing w:after="0" w:line="240" w:lineRule="auto"/>
              <w:rPr>
                <w:rFonts w:ascii="Times New Roman" w:hAnsi="Times New Roman"/>
                <w:i/>
                <w:sz w:val="16"/>
                <w:szCs w:val="16"/>
              </w:rPr>
            </w:pPr>
            <w:r w:rsidRPr="008C2709">
              <w:rPr>
                <w:rFonts w:ascii="Times New Roman" w:hAnsi="Times New Roman"/>
                <w:sz w:val="16"/>
                <w:szCs w:val="16"/>
              </w:rPr>
              <w:t xml:space="preserve">Įdiegtos saugų eismą gerinančios ir aplinkosaugos priemonės </w:t>
            </w:r>
          </w:p>
        </w:tc>
        <w:tc>
          <w:tcPr>
            <w:tcW w:w="851" w:type="dxa"/>
            <w:shd w:val="clear" w:color="auto" w:fill="FFFFFF"/>
          </w:tcPr>
          <w:p w:rsidR="00385835" w:rsidRPr="008C2709" w:rsidRDefault="00385835" w:rsidP="008C2709">
            <w:pPr>
              <w:spacing w:after="0" w:line="240" w:lineRule="auto"/>
              <w:jc w:val="center"/>
              <w:rPr>
                <w:rFonts w:ascii="Times New Roman" w:hAnsi="Times New Roman"/>
                <w:bCs/>
                <w:sz w:val="16"/>
                <w:szCs w:val="16"/>
              </w:rPr>
            </w:pPr>
            <w:r w:rsidRPr="008C2709">
              <w:rPr>
                <w:rFonts w:ascii="Times New Roman" w:hAnsi="Times New Roman"/>
                <w:bCs/>
                <w:sz w:val="16"/>
                <w:szCs w:val="16"/>
              </w:rPr>
              <w:t>Skaičius</w:t>
            </w:r>
          </w:p>
        </w:tc>
        <w:tc>
          <w:tcPr>
            <w:tcW w:w="708" w:type="dxa"/>
            <w:shd w:val="clear" w:color="auto" w:fill="FFFFFF"/>
          </w:tcPr>
          <w:p w:rsidR="00385835" w:rsidRPr="008C2709" w:rsidRDefault="00385835" w:rsidP="008C2709">
            <w:pPr>
              <w:spacing w:after="0" w:line="240" w:lineRule="auto"/>
              <w:jc w:val="center"/>
              <w:rPr>
                <w:rFonts w:ascii="Times New Roman" w:hAnsi="Times New Roman"/>
                <w:bCs/>
                <w:sz w:val="16"/>
                <w:szCs w:val="16"/>
              </w:rPr>
            </w:pPr>
            <w:r w:rsidRPr="008C2709">
              <w:rPr>
                <w:rFonts w:ascii="Times New Roman" w:hAnsi="Times New Roman"/>
                <w:bCs/>
                <w:sz w:val="16"/>
                <w:szCs w:val="16"/>
              </w:rPr>
              <w:t>ERPF</w:t>
            </w:r>
          </w:p>
        </w:tc>
        <w:tc>
          <w:tcPr>
            <w:tcW w:w="993" w:type="dxa"/>
            <w:shd w:val="clear" w:color="auto" w:fill="FFFFFF"/>
          </w:tcPr>
          <w:p w:rsidR="00385835" w:rsidRPr="008C2709" w:rsidRDefault="00385835" w:rsidP="008C2709">
            <w:pPr>
              <w:spacing w:after="0" w:line="240" w:lineRule="auto"/>
              <w:jc w:val="center"/>
              <w:rPr>
                <w:rFonts w:ascii="Times New Roman" w:hAnsi="Times New Roman"/>
                <w:bCs/>
                <w:sz w:val="16"/>
                <w:szCs w:val="16"/>
              </w:rPr>
            </w:pPr>
            <w:r w:rsidRPr="008C2709">
              <w:rPr>
                <w:rFonts w:ascii="Times New Roman" w:hAnsi="Times New Roman"/>
                <w:bCs/>
                <w:sz w:val="16"/>
                <w:szCs w:val="16"/>
              </w:rPr>
              <w:t>Mažiau išsivystęs</w:t>
            </w:r>
          </w:p>
        </w:tc>
        <w:tc>
          <w:tcPr>
            <w:tcW w:w="1134" w:type="dxa"/>
            <w:shd w:val="clear" w:color="auto" w:fill="FFFFFF"/>
          </w:tcPr>
          <w:p w:rsidR="00385835" w:rsidRPr="008C2709" w:rsidRDefault="00385835" w:rsidP="008C2709">
            <w:pPr>
              <w:spacing w:after="0" w:line="240" w:lineRule="auto"/>
              <w:jc w:val="center"/>
              <w:rPr>
                <w:rFonts w:ascii="Times New Roman" w:hAnsi="Times New Roman"/>
                <w:sz w:val="16"/>
                <w:szCs w:val="16"/>
              </w:rPr>
            </w:pPr>
            <w:r w:rsidRPr="008C2709">
              <w:rPr>
                <w:rFonts w:ascii="Times New Roman" w:hAnsi="Times New Roman"/>
                <w:sz w:val="16"/>
                <w:szCs w:val="16"/>
              </w:rPr>
              <w:t>2</w:t>
            </w:r>
          </w:p>
        </w:tc>
        <w:tc>
          <w:tcPr>
            <w:tcW w:w="1134" w:type="dxa"/>
            <w:shd w:val="clear" w:color="auto" w:fill="FFFFFF"/>
          </w:tcPr>
          <w:p w:rsidR="00385835" w:rsidRPr="008C2709" w:rsidRDefault="003946F0" w:rsidP="008C2709">
            <w:pPr>
              <w:spacing w:after="0" w:line="240" w:lineRule="auto"/>
              <w:jc w:val="center"/>
              <w:rPr>
                <w:rFonts w:ascii="Times New Roman" w:hAnsi="Times New Roman"/>
                <w:sz w:val="16"/>
                <w:szCs w:val="16"/>
              </w:rPr>
            </w:pPr>
            <w:r w:rsidRPr="008C2709">
              <w:rPr>
                <w:rFonts w:ascii="Times New Roman" w:hAnsi="Times New Roman"/>
                <w:sz w:val="16"/>
                <w:szCs w:val="16"/>
              </w:rPr>
              <w:t>173</w:t>
            </w:r>
          </w:p>
        </w:tc>
        <w:tc>
          <w:tcPr>
            <w:tcW w:w="992" w:type="dxa"/>
            <w:shd w:val="clear" w:color="auto" w:fill="FFFFFF"/>
          </w:tcPr>
          <w:p w:rsidR="00385835" w:rsidRPr="008C2709" w:rsidRDefault="00385835" w:rsidP="008C2709">
            <w:pPr>
              <w:spacing w:after="0" w:line="240" w:lineRule="auto"/>
              <w:jc w:val="center"/>
              <w:rPr>
                <w:rFonts w:ascii="Times New Roman" w:hAnsi="Times New Roman"/>
                <w:sz w:val="16"/>
                <w:szCs w:val="16"/>
              </w:rPr>
            </w:pPr>
            <w:r w:rsidRPr="008C2709">
              <w:rPr>
                <w:rFonts w:ascii="Times New Roman" w:hAnsi="Times New Roman"/>
                <w:sz w:val="16"/>
                <w:szCs w:val="16"/>
              </w:rPr>
              <w:t>Duomenys iš projektų</w:t>
            </w:r>
          </w:p>
        </w:tc>
        <w:tc>
          <w:tcPr>
            <w:tcW w:w="3969" w:type="dxa"/>
            <w:shd w:val="clear" w:color="auto" w:fill="FFFFFF"/>
          </w:tcPr>
          <w:p w:rsidR="00385835" w:rsidRPr="008C2709" w:rsidRDefault="00385835" w:rsidP="008C2709">
            <w:pPr>
              <w:spacing w:after="0" w:line="240" w:lineRule="auto"/>
              <w:rPr>
                <w:rFonts w:ascii="Times New Roman" w:hAnsi="Times New Roman"/>
                <w:sz w:val="16"/>
                <w:szCs w:val="16"/>
              </w:rPr>
            </w:pPr>
            <w:r w:rsidRPr="008C2709">
              <w:rPr>
                <w:rFonts w:ascii="Times New Roman" w:hAnsi="Times New Roman"/>
                <w:sz w:val="16"/>
                <w:szCs w:val="16"/>
              </w:rPr>
              <w:t>Rodiklis atspindi prioriteto įgyvendinimo eigą, nes jo pasiekimui skirta 9 proc. šio prioriteto įgyvendinimui skirtų ERPF lėšų.</w:t>
            </w:r>
          </w:p>
        </w:tc>
      </w:tr>
      <w:tr w:rsidR="00385835" w:rsidRPr="008C2709" w:rsidTr="00385835">
        <w:tc>
          <w:tcPr>
            <w:tcW w:w="1277" w:type="dxa"/>
            <w:shd w:val="clear" w:color="auto" w:fill="FFFFFF"/>
          </w:tcPr>
          <w:p w:rsidR="00385835" w:rsidRPr="008C2709" w:rsidRDefault="00385835" w:rsidP="008C2709">
            <w:pPr>
              <w:spacing w:after="0" w:line="240" w:lineRule="auto"/>
              <w:rPr>
                <w:rFonts w:ascii="Times New Roman" w:hAnsi="Times New Roman"/>
                <w:sz w:val="16"/>
                <w:szCs w:val="16"/>
              </w:rPr>
            </w:pPr>
            <w:r w:rsidRPr="008C2709">
              <w:rPr>
                <w:rFonts w:ascii="Times New Roman" w:hAnsi="Times New Roman"/>
                <w:sz w:val="16"/>
                <w:szCs w:val="16"/>
              </w:rPr>
              <w:t>Produkto rodiklis</w:t>
            </w:r>
          </w:p>
        </w:tc>
        <w:tc>
          <w:tcPr>
            <w:tcW w:w="2834" w:type="dxa"/>
            <w:shd w:val="clear" w:color="auto" w:fill="FFFFFF"/>
          </w:tcPr>
          <w:p w:rsidR="00385835" w:rsidRPr="008C2709" w:rsidRDefault="00385835" w:rsidP="008C2709">
            <w:pPr>
              <w:spacing w:after="0" w:line="240" w:lineRule="auto"/>
              <w:rPr>
                <w:rFonts w:ascii="Times New Roman" w:hAnsi="Times New Roman"/>
                <w:sz w:val="16"/>
                <w:szCs w:val="16"/>
              </w:rPr>
            </w:pPr>
            <w:r w:rsidRPr="008C2709">
              <w:rPr>
                <w:rFonts w:ascii="Times New Roman" w:hAnsi="Times New Roman"/>
                <w:sz w:val="16"/>
                <w:szCs w:val="16"/>
              </w:rPr>
              <w:t>Nutiestų ir (arba) rekonstruotų elektros perdavimo linijų ilgis</w:t>
            </w:r>
          </w:p>
        </w:tc>
        <w:tc>
          <w:tcPr>
            <w:tcW w:w="851" w:type="dxa"/>
            <w:shd w:val="clear" w:color="auto" w:fill="FFFFFF"/>
          </w:tcPr>
          <w:p w:rsidR="00385835" w:rsidRPr="008C2709" w:rsidRDefault="00385835" w:rsidP="008C2709">
            <w:pPr>
              <w:spacing w:after="0" w:line="240" w:lineRule="auto"/>
              <w:jc w:val="center"/>
              <w:rPr>
                <w:rFonts w:ascii="Times New Roman" w:hAnsi="Times New Roman"/>
                <w:sz w:val="16"/>
                <w:szCs w:val="16"/>
              </w:rPr>
            </w:pPr>
            <w:r w:rsidRPr="008C2709">
              <w:rPr>
                <w:rFonts w:ascii="Times New Roman" w:hAnsi="Times New Roman"/>
                <w:sz w:val="16"/>
                <w:szCs w:val="16"/>
              </w:rPr>
              <w:t>Km</w:t>
            </w:r>
          </w:p>
        </w:tc>
        <w:tc>
          <w:tcPr>
            <w:tcW w:w="708" w:type="dxa"/>
            <w:shd w:val="clear" w:color="auto" w:fill="FFFFFF"/>
          </w:tcPr>
          <w:p w:rsidR="00385835" w:rsidRPr="008C2709" w:rsidRDefault="00385835" w:rsidP="008C2709">
            <w:pPr>
              <w:spacing w:after="0" w:line="240" w:lineRule="auto"/>
              <w:jc w:val="center"/>
              <w:rPr>
                <w:rFonts w:ascii="Times New Roman" w:hAnsi="Times New Roman"/>
                <w:sz w:val="16"/>
                <w:szCs w:val="16"/>
              </w:rPr>
            </w:pPr>
            <w:r w:rsidRPr="008C2709">
              <w:rPr>
                <w:rFonts w:ascii="Times New Roman" w:hAnsi="Times New Roman"/>
                <w:sz w:val="16"/>
                <w:szCs w:val="16"/>
              </w:rPr>
              <w:t>ERPF</w:t>
            </w:r>
          </w:p>
        </w:tc>
        <w:tc>
          <w:tcPr>
            <w:tcW w:w="993" w:type="dxa"/>
            <w:shd w:val="clear" w:color="auto" w:fill="FFFFFF"/>
          </w:tcPr>
          <w:p w:rsidR="00385835" w:rsidRPr="008C2709" w:rsidRDefault="00385835" w:rsidP="008C2709">
            <w:pPr>
              <w:spacing w:after="0" w:line="240" w:lineRule="auto"/>
              <w:jc w:val="center"/>
              <w:rPr>
                <w:rFonts w:ascii="Times New Roman" w:hAnsi="Times New Roman"/>
                <w:sz w:val="16"/>
                <w:szCs w:val="16"/>
              </w:rPr>
            </w:pPr>
            <w:r w:rsidRPr="008C2709">
              <w:rPr>
                <w:rFonts w:ascii="Times New Roman" w:hAnsi="Times New Roman"/>
                <w:bCs/>
                <w:sz w:val="16"/>
                <w:szCs w:val="16"/>
              </w:rPr>
              <w:t>Mažiau išsivystęs</w:t>
            </w:r>
          </w:p>
        </w:tc>
        <w:tc>
          <w:tcPr>
            <w:tcW w:w="1134" w:type="dxa"/>
            <w:shd w:val="clear" w:color="auto" w:fill="FFFFFF"/>
          </w:tcPr>
          <w:p w:rsidR="00385835" w:rsidRPr="008C2709" w:rsidRDefault="00385835" w:rsidP="008C2709">
            <w:pPr>
              <w:spacing w:after="0" w:line="240" w:lineRule="auto"/>
              <w:jc w:val="center"/>
              <w:rPr>
                <w:rFonts w:ascii="Times New Roman" w:hAnsi="Times New Roman"/>
                <w:sz w:val="16"/>
                <w:szCs w:val="16"/>
              </w:rPr>
            </w:pPr>
            <w:r w:rsidRPr="008C2709">
              <w:rPr>
                <w:rFonts w:ascii="Times New Roman" w:hAnsi="Times New Roman"/>
                <w:sz w:val="16"/>
                <w:szCs w:val="16"/>
              </w:rPr>
              <w:t>75</w:t>
            </w:r>
          </w:p>
        </w:tc>
        <w:tc>
          <w:tcPr>
            <w:tcW w:w="1134" w:type="dxa"/>
            <w:shd w:val="clear" w:color="auto" w:fill="FFFFFF"/>
          </w:tcPr>
          <w:p w:rsidR="00385835" w:rsidRPr="008C2709" w:rsidRDefault="003946F0" w:rsidP="008C2709">
            <w:pPr>
              <w:spacing w:after="0" w:line="240" w:lineRule="auto"/>
              <w:jc w:val="center"/>
              <w:rPr>
                <w:rFonts w:ascii="Times New Roman" w:hAnsi="Times New Roman"/>
                <w:sz w:val="16"/>
                <w:szCs w:val="16"/>
              </w:rPr>
            </w:pPr>
            <w:r w:rsidRPr="008C2709">
              <w:rPr>
                <w:rFonts w:ascii="Times New Roman" w:hAnsi="Times New Roman"/>
                <w:sz w:val="16"/>
                <w:szCs w:val="16"/>
              </w:rPr>
              <w:t>33</w:t>
            </w:r>
            <w:r w:rsidR="00385835" w:rsidRPr="008C2709">
              <w:rPr>
                <w:rFonts w:ascii="Times New Roman" w:hAnsi="Times New Roman"/>
                <w:sz w:val="16"/>
                <w:szCs w:val="16"/>
              </w:rPr>
              <w:t>0</w:t>
            </w:r>
          </w:p>
        </w:tc>
        <w:tc>
          <w:tcPr>
            <w:tcW w:w="992" w:type="dxa"/>
            <w:shd w:val="clear" w:color="auto" w:fill="FFFFFF"/>
          </w:tcPr>
          <w:p w:rsidR="00385835" w:rsidRPr="008C2709" w:rsidRDefault="00385835" w:rsidP="008C2709">
            <w:pPr>
              <w:spacing w:after="0" w:line="240" w:lineRule="auto"/>
              <w:jc w:val="center"/>
              <w:rPr>
                <w:rFonts w:ascii="Times New Roman" w:hAnsi="Times New Roman"/>
                <w:sz w:val="16"/>
                <w:szCs w:val="16"/>
              </w:rPr>
            </w:pPr>
            <w:r w:rsidRPr="008C2709">
              <w:rPr>
                <w:rFonts w:ascii="Times New Roman" w:hAnsi="Times New Roman"/>
                <w:sz w:val="16"/>
                <w:szCs w:val="16"/>
              </w:rPr>
              <w:t>Duomenys iš projektų</w:t>
            </w:r>
          </w:p>
        </w:tc>
        <w:tc>
          <w:tcPr>
            <w:tcW w:w="3969" w:type="dxa"/>
            <w:shd w:val="clear" w:color="auto" w:fill="FFFFFF"/>
          </w:tcPr>
          <w:p w:rsidR="00385835" w:rsidRPr="008C2709" w:rsidRDefault="00385835" w:rsidP="008C2709">
            <w:pPr>
              <w:spacing w:after="0" w:line="240" w:lineRule="auto"/>
              <w:rPr>
                <w:rFonts w:ascii="Times New Roman" w:hAnsi="Times New Roman"/>
                <w:sz w:val="16"/>
                <w:szCs w:val="16"/>
              </w:rPr>
            </w:pPr>
            <w:r w:rsidRPr="008C2709">
              <w:rPr>
                <w:rFonts w:ascii="Times New Roman" w:hAnsi="Times New Roman"/>
                <w:sz w:val="16"/>
                <w:szCs w:val="16"/>
              </w:rPr>
              <w:t>Rodiklis atspindi prioriteto įgyvendinimo eigą, nes jo pasiekimui skirta 18 proc. šio prioriteto įgyvendinimui skirtų ERPF lėšų.</w:t>
            </w:r>
          </w:p>
        </w:tc>
      </w:tr>
      <w:tr w:rsidR="00385835" w:rsidRPr="008C2709" w:rsidTr="00385835">
        <w:tc>
          <w:tcPr>
            <w:tcW w:w="1277" w:type="dxa"/>
            <w:shd w:val="clear" w:color="auto" w:fill="FFFFFF"/>
          </w:tcPr>
          <w:p w:rsidR="00385835" w:rsidRPr="008C2709" w:rsidRDefault="00385835" w:rsidP="008C2709">
            <w:pPr>
              <w:spacing w:after="0" w:line="240" w:lineRule="auto"/>
              <w:rPr>
                <w:rFonts w:ascii="Times New Roman" w:hAnsi="Times New Roman"/>
                <w:sz w:val="16"/>
                <w:szCs w:val="16"/>
              </w:rPr>
            </w:pPr>
            <w:r w:rsidRPr="008C2709">
              <w:rPr>
                <w:rFonts w:ascii="Times New Roman" w:hAnsi="Times New Roman"/>
                <w:sz w:val="16"/>
                <w:szCs w:val="16"/>
              </w:rPr>
              <w:t>Finansinis</w:t>
            </w:r>
            <w:r w:rsidRPr="008C2709">
              <w:rPr>
                <w:rFonts w:ascii="Times New Roman" w:eastAsia="AngsanaUPC" w:hAnsi="Times New Roman"/>
                <w:bCs/>
                <w:iCs/>
                <w:sz w:val="16"/>
                <w:szCs w:val="16"/>
              </w:rPr>
              <w:t xml:space="preserve"> </w:t>
            </w:r>
            <w:r w:rsidRPr="008C2709">
              <w:rPr>
                <w:rFonts w:ascii="Times New Roman" w:hAnsi="Times New Roman"/>
                <w:sz w:val="16"/>
                <w:szCs w:val="16"/>
              </w:rPr>
              <w:t>rodiklis</w:t>
            </w:r>
          </w:p>
        </w:tc>
        <w:tc>
          <w:tcPr>
            <w:tcW w:w="2834" w:type="dxa"/>
            <w:shd w:val="clear" w:color="auto" w:fill="FFFFFF"/>
            <w:vAlign w:val="center"/>
          </w:tcPr>
          <w:p w:rsidR="00385835" w:rsidRPr="008C2709" w:rsidRDefault="00385835" w:rsidP="008C2709">
            <w:pPr>
              <w:spacing w:after="0" w:line="240" w:lineRule="auto"/>
              <w:rPr>
                <w:rFonts w:ascii="Times New Roman" w:hAnsi="Times New Roman"/>
                <w:i/>
                <w:sz w:val="16"/>
                <w:szCs w:val="16"/>
              </w:rPr>
            </w:pPr>
            <w:r w:rsidRPr="008C2709">
              <w:rPr>
                <w:rFonts w:ascii="Times New Roman" w:hAnsi="Times New Roman"/>
                <w:color w:val="000000"/>
                <w:sz w:val="16"/>
                <w:szCs w:val="16"/>
              </w:rPr>
              <w:t>Bendra tinkamų finansuoti išlaidų suma</w:t>
            </w:r>
            <w:r w:rsidR="00FC5594" w:rsidRPr="008C2709">
              <w:rPr>
                <w:rFonts w:ascii="Times New Roman" w:hAnsi="Times New Roman"/>
                <w:color w:val="000000"/>
                <w:sz w:val="16"/>
                <w:szCs w:val="16"/>
              </w:rPr>
              <w:t>,</w:t>
            </w:r>
            <w:r w:rsidRPr="008C2709">
              <w:rPr>
                <w:rFonts w:ascii="Times New Roman" w:hAnsi="Times New Roman"/>
                <w:color w:val="000000"/>
                <w:sz w:val="16"/>
                <w:szCs w:val="16"/>
              </w:rPr>
              <w:t xml:space="preserve"> pripažinta tinkama deklaruoti EK</w:t>
            </w:r>
          </w:p>
        </w:tc>
        <w:tc>
          <w:tcPr>
            <w:tcW w:w="851" w:type="dxa"/>
            <w:shd w:val="clear" w:color="auto" w:fill="FFFFFF"/>
          </w:tcPr>
          <w:p w:rsidR="00385835" w:rsidRPr="008C2709" w:rsidRDefault="00385835" w:rsidP="008C2709">
            <w:pPr>
              <w:spacing w:after="0" w:line="240" w:lineRule="auto"/>
              <w:jc w:val="center"/>
              <w:rPr>
                <w:rFonts w:ascii="Times New Roman" w:hAnsi="Times New Roman"/>
                <w:i/>
                <w:sz w:val="16"/>
                <w:szCs w:val="16"/>
              </w:rPr>
            </w:pPr>
            <w:r w:rsidRPr="008C2709">
              <w:rPr>
                <w:rFonts w:ascii="Times New Roman" w:hAnsi="Times New Roman"/>
                <w:sz w:val="16"/>
                <w:szCs w:val="16"/>
              </w:rPr>
              <w:t>Eurai</w:t>
            </w:r>
          </w:p>
        </w:tc>
        <w:tc>
          <w:tcPr>
            <w:tcW w:w="708" w:type="dxa"/>
            <w:shd w:val="clear" w:color="auto" w:fill="FFFFFF"/>
          </w:tcPr>
          <w:p w:rsidR="00385835" w:rsidRPr="008C2709" w:rsidRDefault="00385835" w:rsidP="008C2709">
            <w:pPr>
              <w:spacing w:after="0" w:line="240" w:lineRule="auto"/>
              <w:jc w:val="center"/>
              <w:rPr>
                <w:rFonts w:ascii="Times New Roman" w:hAnsi="Times New Roman"/>
                <w:sz w:val="16"/>
                <w:szCs w:val="16"/>
              </w:rPr>
            </w:pPr>
            <w:r w:rsidRPr="008C2709">
              <w:rPr>
                <w:rFonts w:ascii="Times New Roman" w:hAnsi="Times New Roman"/>
                <w:sz w:val="16"/>
                <w:szCs w:val="16"/>
              </w:rPr>
              <w:t>SaF</w:t>
            </w:r>
          </w:p>
        </w:tc>
        <w:tc>
          <w:tcPr>
            <w:tcW w:w="993" w:type="dxa"/>
            <w:shd w:val="clear" w:color="auto" w:fill="FFFFFF"/>
          </w:tcPr>
          <w:p w:rsidR="00385835" w:rsidRPr="008C2709" w:rsidRDefault="005E1B9D" w:rsidP="008C2709">
            <w:pPr>
              <w:spacing w:after="0" w:line="240" w:lineRule="auto"/>
              <w:jc w:val="center"/>
              <w:rPr>
                <w:rFonts w:ascii="Times New Roman" w:hAnsi="Times New Roman"/>
                <w:sz w:val="16"/>
                <w:szCs w:val="16"/>
              </w:rPr>
            </w:pPr>
            <w:r w:rsidRPr="008C2709">
              <w:rPr>
                <w:rFonts w:ascii="Times New Roman" w:eastAsia="AngsanaUPC" w:hAnsi="Times New Roman"/>
                <w:bCs/>
                <w:sz w:val="16"/>
                <w:szCs w:val="16"/>
                <w:lang w:eastAsia="lt-LT"/>
              </w:rPr>
              <w:t>–</w:t>
            </w:r>
          </w:p>
        </w:tc>
        <w:tc>
          <w:tcPr>
            <w:tcW w:w="1134" w:type="dxa"/>
            <w:shd w:val="clear" w:color="auto" w:fill="FFFFFF"/>
          </w:tcPr>
          <w:p w:rsidR="00D828BD" w:rsidRPr="008C2709" w:rsidRDefault="00D828BD" w:rsidP="008C2709">
            <w:pPr>
              <w:spacing w:after="0" w:line="240" w:lineRule="auto"/>
              <w:jc w:val="center"/>
              <w:rPr>
                <w:rFonts w:ascii="Times New Roman" w:hAnsi="Times New Roman"/>
                <w:sz w:val="16"/>
                <w:szCs w:val="16"/>
              </w:rPr>
            </w:pPr>
            <w:r w:rsidRPr="008C2709">
              <w:rPr>
                <w:rFonts w:ascii="Times New Roman" w:hAnsi="Times New Roman"/>
                <w:sz w:val="16"/>
                <w:szCs w:val="16"/>
              </w:rPr>
              <w:t>231.098.377</w:t>
            </w:r>
          </w:p>
        </w:tc>
        <w:tc>
          <w:tcPr>
            <w:tcW w:w="1134" w:type="dxa"/>
            <w:shd w:val="clear" w:color="auto" w:fill="FFFFFF"/>
          </w:tcPr>
          <w:p w:rsidR="00385835" w:rsidRPr="008C2709" w:rsidRDefault="00ED11F4" w:rsidP="008C2709">
            <w:pPr>
              <w:spacing w:after="0" w:line="240" w:lineRule="auto"/>
              <w:jc w:val="center"/>
              <w:rPr>
                <w:rFonts w:ascii="Times New Roman" w:hAnsi="Times New Roman"/>
                <w:sz w:val="16"/>
                <w:szCs w:val="16"/>
              </w:rPr>
            </w:pPr>
            <w:r w:rsidRPr="008C2709">
              <w:rPr>
                <w:rFonts w:ascii="Times New Roman" w:hAnsi="Times New Roman"/>
                <w:sz w:val="16"/>
                <w:szCs w:val="16"/>
              </w:rPr>
              <w:t>9</w:t>
            </w:r>
            <w:r w:rsidR="00AC364A" w:rsidRPr="008C2709">
              <w:rPr>
                <w:rFonts w:ascii="Times New Roman" w:hAnsi="Times New Roman"/>
                <w:sz w:val="16"/>
                <w:szCs w:val="16"/>
              </w:rPr>
              <w:t>11</w:t>
            </w:r>
            <w:r w:rsidR="009348A3" w:rsidRPr="008C2709">
              <w:rPr>
                <w:rFonts w:ascii="Times New Roman" w:hAnsi="Times New Roman"/>
                <w:sz w:val="16"/>
                <w:szCs w:val="16"/>
              </w:rPr>
              <w:t>.</w:t>
            </w:r>
            <w:r w:rsidR="00AC364A" w:rsidRPr="008C2709">
              <w:rPr>
                <w:rFonts w:ascii="Times New Roman" w:hAnsi="Times New Roman"/>
                <w:sz w:val="16"/>
                <w:szCs w:val="16"/>
              </w:rPr>
              <w:t>477</w:t>
            </w:r>
            <w:r w:rsidR="009348A3" w:rsidRPr="008C2709">
              <w:rPr>
                <w:rFonts w:ascii="Times New Roman" w:hAnsi="Times New Roman"/>
                <w:sz w:val="16"/>
                <w:szCs w:val="16"/>
              </w:rPr>
              <w:t>.</w:t>
            </w:r>
            <w:r w:rsidR="00AC364A" w:rsidRPr="008C2709">
              <w:rPr>
                <w:rFonts w:ascii="Times New Roman" w:hAnsi="Times New Roman"/>
                <w:sz w:val="16"/>
                <w:szCs w:val="16"/>
              </w:rPr>
              <w:t>776</w:t>
            </w:r>
          </w:p>
        </w:tc>
        <w:tc>
          <w:tcPr>
            <w:tcW w:w="992" w:type="dxa"/>
            <w:shd w:val="clear" w:color="auto" w:fill="FFFFFF"/>
          </w:tcPr>
          <w:p w:rsidR="00385835" w:rsidRPr="008C2709" w:rsidRDefault="00385835" w:rsidP="008C2709">
            <w:pPr>
              <w:spacing w:after="0"/>
              <w:jc w:val="center"/>
              <w:rPr>
                <w:rFonts w:ascii="Times New Roman" w:hAnsi="Times New Roman"/>
                <w:sz w:val="16"/>
                <w:szCs w:val="16"/>
              </w:rPr>
            </w:pPr>
            <w:r w:rsidRPr="008C2709">
              <w:rPr>
                <w:rFonts w:ascii="Times New Roman" w:hAnsi="Times New Roman"/>
                <w:sz w:val="16"/>
                <w:szCs w:val="16"/>
              </w:rPr>
              <w:t>Duomenys iš projektų</w:t>
            </w:r>
          </w:p>
        </w:tc>
        <w:tc>
          <w:tcPr>
            <w:tcW w:w="3969" w:type="dxa"/>
            <w:shd w:val="clear" w:color="auto" w:fill="FFFFFF"/>
          </w:tcPr>
          <w:p w:rsidR="00385835" w:rsidRPr="008C2709" w:rsidRDefault="00385835" w:rsidP="008C2709">
            <w:pPr>
              <w:spacing w:after="0" w:line="240" w:lineRule="auto"/>
              <w:rPr>
                <w:rFonts w:ascii="Times New Roman" w:hAnsi="Times New Roman"/>
                <w:sz w:val="16"/>
                <w:szCs w:val="16"/>
              </w:rPr>
            </w:pPr>
            <w:r w:rsidRPr="008C2709">
              <w:rPr>
                <w:rFonts w:ascii="Times New Roman" w:hAnsi="Times New Roman"/>
                <w:sz w:val="16"/>
                <w:szCs w:val="16"/>
              </w:rPr>
              <w:t>Privalomas rodiklis, kuris atspindi finansinę prioriteto įgyvendinimo pažangą.</w:t>
            </w:r>
          </w:p>
        </w:tc>
      </w:tr>
      <w:tr w:rsidR="00385835" w:rsidRPr="008C2709" w:rsidTr="00385835">
        <w:tc>
          <w:tcPr>
            <w:tcW w:w="1277" w:type="dxa"/>
            <w:shd w:val="clear" w:color="auto" w:fill="auto"/>
          </w:tcPr>
          <w:p w:rsidR="00385835" w:rsidRPr="008C2709" w:rsidRDefault="00385835" w:rsidP="008C2709">
            <w:pPr>
              <w:spacing w:after="0" w:line="240" w:lineRule="auto"/>
              <w:rPr>
                <w:rFonts w:ascii="Times New Roman" w:hAnsi="Times New Roman"/>
                <w:sz w:val="16"/>
                <w:szCs w:val="16"/>
              </w:rPr>
            </w:pPr>
            <w:r w:rsidRPr="008C2709">
              <w:rPr>
                <w:rFonts w:ascii="Times New Roman" w:hAnsi="Times New Roman"/>
                <w:sz w:val="16"/>
                <w:szCs w:val="16"/>
              </w:rPr>
              <w:t>Produkto rodiklis</w:t>
            </w:r>
          </w:p>
        </w:tc>
        <w:tc>
          <w:tcPr>
            <w:tcW w:w="2834" w:type="dxa"/>
            <w:shd w:val="clear" w:color="auto" w:fill="auto"/>
          </w:tcPr>
          <w:p w:rsidR="00385835" w:rsidRPr="008C2709" w:rsidRDefault="00385835" w:rsidP="008C2709">
            <w:pPr>
              <w:spacing w:after="0" w:line="240" w:lineRule="auto"/>
              <w:rPr>
                <w:rFonts w:ascii="Times New Roman" w:hAnsi="Times New Roman"/>
                <w:sz w:val="16"/>
                <w:szCs w:val="16"/>
              </w:rPr>
            </w:pPr>
            <w:r w:rsidRPr="008C2709">
              <w:rPr>
                <w:rFonts w:ascii="Times New Roman" w:eastAsia="AngsanaUPC" w:hAnsi="Times New Roman"/>
                <w:bCs/>
                <w:iCs/>
                <w:sz w:val="16"/>
                <w:szCs w:val="16"/>
                <w:lang w:eastAsia="lt-LT"/>
              </w:rPr>
              <w:t xml:space="preserve">Bendras rekonstruotų arba </w:t>
            </w:r>
            <w:r w:rsidR="00245E10" w:rsidRPr="008C2709">
              <w:rPr>
                <w:rFonts w:ascii="Times New Roman" w:eastAsia="AngsanaUPC" w:hAnsi="Times New Roman"/>
                <w:bCs/>
                <w:iCs/>
                <w:sz w:val="16"/>
                <w:szCs w:val="16"/>
                <w:lang w:eastAsia="lt-LT"/>
              </w:rPr>
              <w:t xml:space="preserve">atnaujintų </w:t>
            </w:r>
            <w:r w:rsidRPr="008C2709">
              <w:rPr>
                <w:rFonts w:ascii="Times New Roman" w:eastAsia="AngsanaUPC" w:hAnsi="Times New Roman"/>
                <w:bCs/>
                <w:iCs/>
                <w:sz w:val="16"/>
                <w:szCs w:val="16"/>
                <w:lang w:eastAsia="lt-LT"/>
              </w:rPr>
              <w:t>geležinkelio TEN</w:t>
            </w:r>
            <w:proofErr w:type="gramStart"/>
            <w:r w:rsidRPr="008C2709">
              <w:rPr>
                <w:rFonts w:ascii="Times New Roman" w:eastAsia="AngsanaUPC" w:hAnsi="Times New Roman"/>
                <w:bCs/>
                <w:iCs/>
                <w:sz w:val="16"/>
                <w:szCs w:val="16"/>
                <w:lang w:eastAsia="lt-LT"/>
              </w:rPr>
              <w:t>-</w:t>
            </w:r>
            <w:proofErr w:type="gramEnd"/>
            <w:r w:rsidRPr="008C2709">
              <w:rPr>
                <w:rFonts w:ascii="Times New Roman" w:eastAsia="AngsanaUPC" w:hAnsi="Times New Roman"/>
                <w:bCs/>
                <w:iCs/>
                <w:sz w:val="16"/>
                <w:szCs w:val="16"/>
                <w:lang w:eastAsia="lt-LT"/>
              </w:rPr>
              <w:t>T tinkle ilgis</w:t>
            </w:r>
            <w:r w:rsidRPr="008C2709">
              <w:rPr>
                <w:rFonts w:ascii="Times New Roman" w:hAnsi="Times New Roman"/>
                <w:sz w:val="16"/>
                <w:szCs w:val="16"/>
              </w:rPr>
              <w:t xml:space="preserve"> </w:t>
            </w:r>
          </w:p>
        </w:tc>
        <w:tc>
          <w:tcPr>
            <w:tcW w:w="851" w:type="dxa"/>
            <w:shd w:val="clear" w:color="auto" w:fill="auto"/>
          </w:tcPr>
          <w:p w:rsidR="00385835" w:rsidRPr="008C2709" w:rsidRDefault="00385835" w:rsidP="008C2709">
            <w:pPr>
              <w:spacing w:after="0" w:line="240" w:lineRule="auto"/>
              <w:jc w:val="center"/>
              <w:rPr>
                <w:rFonts w:ascii="Times New Roman" w:hAnsi="Times New Roman"/>
                <w:sz w:val="16"/>
                <w:szCs w:val="16"/>
              </w:rPr>
            </w:pPr>
            <w:r w:rsidRPr="008C2709">
              <w:rPr>
                <w:rFonts w:ascii="Times New Roman" w:hAnsi="Times New Roman"/>
                <w:sz w:val="16"/>
                <w:szCs w:val="16"/>
              </w:rPr>
              <w:t>Km</w:t>
            </w:r>
          </w:p>
        </w:tc>
        <w:tc>
          <w:tcPr>
            <w:tcW w:w="708" w:type="dxa"/>
            <w:shd w:val="clear" w:color="auto" w:fill="auto"/>
          </w:tcPr>
          <w:p w:rsidR="00385835" w:rsidRPr="008C2709" w:rsidRDefault="00385835" w:rsidP="008C2709">
            <w:pPr>
              <w:spacing w:after="0" w:line="240" w:lineRule="auto"/>
              <w:jc w:val="center"/>
              <w:rPr>
                <w:rFonts w:ascii="Times New Roman" w:hAnsi="Times New Roman"/>
                <w:sz w:val="16"/>
                <w:szCs w:val="16"/>
              </w:rPr>
            </w:pPr>
            <w:r w:rsidRPr="008C2709">
              <w:rPr>
                <w:rFonts w:ascii="Times New Roman" w:hAnsi="Times New Roman"/>
                <w:sz w:val="16"/>
                <w:szCs w:val="16"/>
              </w:rPr>
              <w:t>SaF</w:t>
            </w:r>
          </w:p>
        </w:tc>
        <w:tc>
          <w:tcPr>
            <w:tcW w:w="993" w:type="dxa"/>
            <w:shd w:val="clear" w:color="auto" w:fill="auto"/>
          </w:tcPr>
          <w:p w:rsidR="00385835" w:rsidRPr="008C2709" w:rsidRDefault="005E1B9D" w:rsidP="008C2709">
            <w:pPr>
              <w:spacing w:after="0" w:line="240" w:lineRule="auto"/>
              <w:jc w:val="center"/>
              <w:rPr>
                <w:rFonts w:ascii="Times New Roman" w:hAnsi="Times New Roman"/>
                <w:sz w:val="16"/>
                <w:szCs w:val="16"/>
              </w:rPr>
            </w:pPr>
            <w:r w:rsidRPr="008C2709">
              <w:rPr>
                <w:rFonts w:ascii="Times New Roman" w:eastAsia="AngsanaUPC" w:hAnsi="Times New Roman"/>
                <w:bCs/>
                <w:sz w:val="16"/>
                <w:szCs w:val="16"/>
                <w:lang w:eastAsia="lt-LT"/>
              </w:rPr>
              <w:t>–</w:t>
            </w:r>
          </w:p>
        </w:tc>
        <w:tc>
          <w:tcPr>
            <w:tcW w:w="1134" w:type="dxa"/>
            <w:shd w:val="clear" w:color="auto" w:fill="auto"/>
          </w:tcPr>
          <w:p w:rsidR="00385835" w:rsidRPr="008C2709" w:rsidRDefault="00385835" w:rsidP="008C2709">
            <w:pPr>
              <w:spacing w:after="0" w:line="240" w:lineRule="auto"/>
              <w:jc w:val="center"/>
              <w:rPr>
                <w:rFonts w:ascii="Times New Roman" w:hAnsi="Times New Roman"/>
                <w:sz w:val="16"/>
                <w:szCs w:val="16"/>
              </w:rPr>
            </w:pPr>
            <w:r w:rsidRPr="008C2709">
              <w:rPr>
                <w:rFonts w:ascii="Times New Roman" w:hAnsi="Times New Roman"/>
                <w:sz w:val="16"/>
                <w:szCs w:val="16"/>
              </w:rPr>
              <w:t>0</w:t>
            </w:r>
          </w:p>
        </w:tc>
        <w:tc>
          <w:tcPr>
            <w:tcW w:w="1134" w:type="dxa"/>
            <w:shd w:val="clear" w:color="auto" w:fill="auto"/>
          </w:tcPr>
          <w:p w:rsidR="00385835" w:rsidRPr="008C2709" w:rsidRDefault="003946F0" w:rsidP="008C2709">
            <w:pPr>
              <w:spacing w:after="0" w:line="240" w:lineRule="auto"/>
              <w:jc w:val="center"/>
              <w:rPr>
                <w:rFonts w:ascii="Times New Roman" w:hAnsi="Times New Roman"/>
                <w:sz w:val="16"/>
                <w:szCs w:val="16"/>
              </w:rPr>
            </w:pPr>
            <w:r w:rsidRPr="008C2709">
              <w:rPr>
                <w:rFonts w:ascii="Times New Roman" w:hAnsi="Times New Roman"/>
                <w:sz w:val="16"/>
                <w:szCs w:val="16"/>
              </w:rPr>
              <w:t>339</w:t>
            </w:r>
          </w:p>
        </w:tc>
        <w:tc>
          <w:tcPr>
            <w:tcW w:w="992" w:type="dxa"/>
          </w:tcPr>
          <w:p w:rsidR="00385835" w:rsidRPr="008C2709" w:rsidRDefault="00385835" w:rsidP="008C2709">
            <w:pPr>
              <w:spacing w:after="0" w:line="240" w:lineRule="auto"/>
              <w:jc w:val="center"/>
              <w:rPr>
                <w:rFonts w:ascii="Times New Roman" w:hAnsi="Times New Roman"/>
                <w:sz w:val="16"/>
                <w:szCs w:val="16"/>
              </w:rPr>
            </w:pPr>
            <w:r w:rsidRPr="008C2709">
              <w:rPr>
                <w:rFonts w:ascii="Times New Roman" w:hAnsi="Times New Roman"/>
                <w:sz w:val="16"/>
                <w:szCs w:val="16"/>
              </w:rPr>
              <w:t>Duomenys iš projektų</w:t>
            </w:r>
          </w:p>
        </w:tc>
        <w:tc>
          <w:tcPr>
            <w:tcW w:w="3969" w:type="dxa"/>
            <w:shd w:val="clear" w:color="auto" w:fill="auto"/>
          </w:tcPr>
          <w:p w:rsidR="00385835" w:rsidRPr="008C2709" w:rsidRDefault="00385835" w:rsidP="008C2709">
            <w:pPr>
              <w:spacing w:after="0" w:line="240" w:lineRule="auto"/>
              <w:rPr>
                <w:rFonts w:ascii="Times New Roman" w:hAnsi="Times New Roman"/>
                <w:sz w:val="16"/>
                <w:szCs w:val="16"/>
              </w:rPr>
            </w:pPr>
            <w:r w:rsidRPr="008C2709">
              <w:rPr>
                <w:rFonts w:ascii="Times New Roman" w:hAnsi="Times New Roman"/>
                <w:sz w:val="16"/>
                <w:szCs w:val="16"/>
              </w:rPr>
              <w:t xml:space="preserve">Rodiklis atspindi prioriteto įgyvendinimo eigą, nes jo pasiekimui skirta </w:t>
            </w:r>
            <w:r w:rsidR="00ED11F4" w:rsidRPr="008C2709">
              <w:rPr>
                <w:rFonts w:ascii="Times New Roman" w:hAnsi="Times New Roman"/>
                <w:sz w:val="16"/>
                <w:szCs w:val="16"/>
              </w:rPr>
              <w:t>31</w:t>
            </w:r>
            <w:r w:rsidRPr="008C2709">
              <w:rPr>
                <w:rFonts w:ascii="Times New Roman" w:hAnsi="Times New Roman"/>
                <w:sz w:val="16"/>
                <w:szCs w:val="16"/>
              </w:rPr>
              <w:t xml:space="preserve"> proc. šio prioriteto įgyvendinimui skirtų SaF lėšų.</w:t>
            </w:r>
          </w:p>
        </w:tc>
      </w:tr>
      <w:tr w:rsidR="00385835" w:rsidRPr="008C2709" w:rsidTr="00385835">
        <w:tc>
          <w:tcPr>
            <w:tcW w:w="1277" w:type="dxa"/>
            <w:shd w:val="clear" w:color="auto" w:fill="auto"/>
          </w:tcPr>
          <w:p w:rsidR="00385835" w:rsidRPr="008C2709" w:rsidRDefault="00385835" w:rsidP="008C2709">
            <w:pPr>
              <w:spacing w:after="0" w:line="240" w:lineRule="auto"/>
              <w:rPr>
                <w:rFonts w:ascii="Times New Roman" w:hAnsi="Times New Roman"/>
                <w:sz w:val="16"/>
                <w:szCs w:val="16"/>
              </w:rPr>
            </w:pPr>
            <w:r w:rsidRPr="008C2709">
              <w:rPr>
                <w:rFonts w:ascii="Times New Roman" w:hAnsi="Times New Roman"/>
                <w:sz w:val="16"/>
                <w:szCs w:val="16"/>
              </w:rPr>
              <w:t>Įgyvendinimo žingsnis</w:t>
            </w:r>
          </w:p>
        </w:tc>
        <w:tc>
          <w:tcPr>
            <w:tcW w:w="2834" w:type="dxa"/>
            <w:shd w:val="clear" w:color="auto" w:fill="auto"/>
          </w:tcPr>
          <w:p w:rsidR="00385835" w:rsidRPr="008C2709" w:rsidRDefault="00385835" w:rsidP="008C2709">
            <w:pPr>
              <w:spacing w:after="0" w:line="240" w:lineRule="auto"/>
              <w:rPr>
                <w:rFonts w:ascii="Times New Roman" w:hAnsi="Times New Roman"/>
                <w:i/>
                <w:sz w:val="16"/>
                <w:szCs w:val="16"/>
              </w:rPr>
            </w:pPr>
            <w:r w:rsidRPr="008C2709">
              <w:rPr>
                <w:rFonts w:ascii="Times New Roman" w:hAnsi="Times New Roman"/>
                <w:sz w:val="16"/>
                <w:szCs w:val="16"/>
              </w:rPr>
              <w:t>Projektų</w:t>
            </w:r>
            <w:r w:rsidRPr="008C2709">
              <w:rPr>
                <w:rFonts w:ascii="Times New Roman" w:hAnsi="Times New Roman"/>
                <w:i/>
                <w:sz w:val="16"/>
                <w:szCs w:val="16"/>
              </w:rPr>
              <w:t xml:space="preserve"> </w:t>
            </w:r>
            <w:r w:rsidRPr="008C2709">
              <w:rPr>
                <w:rFonts w:ascii="Times New Roman" w:hAnsi="Times New Roman"/>
                <w:sz w:val="16"/>
                <w:szCs w:val="16"/>
              </w:rPr>
              <w:t>finansavimo ir administravimo sutartyse suplanuota produkto rodiklio „</w:t>
            </w:r>
            <w:r w:rsidRPr="008C2709">
              <w:rPr>
                <w:rFonts w:ascii="Times New Roman" w:eastAsia="AngsanaUPC" w:hAnsi="Times New Roman"/>
                <w:bCs/>
                <w:iCs/>
                <w:sz w:val="16"/>
                <w:szCs w:val="16"/>
                <w:lang w:eastAsia="lt-LT"/>
              </w:rPr>
              <w:t xml:space="preserve">Bendras rekonstruotų arba </w:t>
            </w:r>
            <w:r w:rsidR="00ED5B31" w:rsidRPr="008C2709">
              <w:rPr>
                <w:rFonts w:ascii="Times New Roman" w:eastAsia="AngsanaUPC" w:hAnsi="Times New Roman"/>
                <w:bCs/>
                <w:iCs/>
                <w:sz w:val="16"/>
                <w:szCs w:val="16"/>
                <w:lang w:eastAsia="lt-LT"/>
              </w:rPr>
              <w:t xml:space="preserve">atnaujintų </w:t>
            </w:r>
            <w:r w:rsidRPr="008C2709">
              <w:rPr>
                <w:rFonts w:ascii="Times New Roman" w:eastAsia="AngsanaUPC" w:hAnsi="Times New Roman"/>
                <w:bCs/>
                <w:iCs/>
                <w:sz w:val="16"/>
                <w:szCs w:val="16"/>
                <w:lang w:eastAsia="lt-LT"/>
              </w:rPr>
              <w:t>geležinkelio TEN</w:t>
            </w:r>
            <w:proofErr w:type="gramStart"/>
            <w:r w:rsidRPr="008C2709">
              <w:rPr>
                <w:rFonts w:ascii="Times New Roman" w:eastAsia="AngsanaUPC" w:hAnsi="Times New Roman"/>
                <w:bCs/>
                <w:iCs/>
                <w:sz w:val="16"/>
                <w:szCs w:val="16"/>
                <w:lang w:eastAsia="lt-LT"/>
              </w:rPr>
              <w:t>-</w:t>
            </w:r>
            <w:proofErr w:type="gramEnd"/>
            <w:r w:rsidRPr="008C2709">
              <w:rPr>
                <w:rFonts w:ascii="Times New Roman" w:eastAsia="AngsanaUPC" w:hAnsi="Times New Roman"/>
                <w:bCs/>
                <w:iCs/>
                <w:sz w:val="16"/>
                <w:szCs w:val="16"/>
                <w:lang w:eastAsia="lt-LT"/>
              </w:rPr>
              <w:t>T tinkle ilgis</w:t>
            </w:r>
            <w:r w:rsidRPr="008C2709">
              <w:rPr>
                <w:rFonts w:ascii="Times New Roman" w:hAnsi="Times New Roman"/>
                <w:sz w:val="16"/>
                <w:szCs w:val="16"/>
              </w:rPr>
              <w:t>“ reikšmė</w:t>
            </w:r>
          </w:p>
        </w:tc>
        <w:tc>
          <w:tcPr>
            <w:tcW w:w="851" w:type="dxa"/>
            <w:shd w:val="clear" w:color="auto" w:fill="auto"/>
          </w:tcPr>
          <w:p w:rsidR="00385835" w:rsidRPr="008C2709" w:rsidRDefault="00385835" w:rsidP="008C2709">
            <w:pPr>
              <w:spacing w:after="0" w:line="240" w:lineRule="auto"/>
              <w:jc w:val="center"/>
              <w:rPr>
                <w:rFonts w:ascii="Times New Roman" w:hAnsi="Times New Roman"/>
                <w:sz w:val="16"/>
                <w:szCs w:val="16"/>
              </w:rPr>
            </w:pPr>
            <w:r w:rsidRPr="008C2709">
              <w:rPr>
                <w:rFonts w:ascii="Times New Roman" w:hAnsi="Times New Roman"/>
                <w:sz w:val="16"/>
                <w:szCs w:val="16"/>
              </w:rPr>
              <w:t>Km</w:t>
            </w:r>
          </w:p>
        </w:tc>
        <w:tc>
          <w:tcPr>
            <w:tcW w:w="708" w:type="dxa"/>
            <w:shd w:val="clear" w:color="auto" w:fill="auto"/>
          </w:tcPr>
          <w:p w:rsidR="00385835" w:rsidRPr="008C2709" w:rsidRDefault="00385835" w:rsidP="008C2709">
            <w:pPr>
              <w:spacing w:after="0" w:line="240" w:lineRule="auto"/>
              <w:jc w:val="center"/>
              <w:rPr>
                <w:rFonts w:ascii="Times New Roman" w:hAnsi="Times New Roman"/>
                <w:sz w:val="16"/>
                <w:szCs w:val="16"/>
              </w:rPr>
            </w:pPr>
            <w:r w:rsidRPr="008C2709">
              <w:rPr>
                <w:rFonts w:ascii="Times New Roman" w:hAnsi="Times New Roman"/>
                <w:sz w:val="16"/>
                <w:szCs w:val="16"/>
              </w:rPr>
              <w:t>SaF</w:t>
            </w:r>
          </w:p>
        </w:tc>
        <w:tc>
          <w:tcPr>
            <w:tcW w:w="993" w:type="dxa"/>
            <w:shd w:val="clear" w:color="auto" w:fill="auto"/>
          </w:tcPr>
          <w:p w:rsidR="00385835" w:rsidRPr="008C2709" w:rsidRDefault="005E1B9D" w:rsidP="008C2709">
            <w:pPr>
              <w:spacing w:after="0" w:line="240" w:lineRule="auto"/>
              <w:jc w:val="center"/>
              <w:rPr>
                <w:rFonts w:ascii="Times New Roman" w:hAnsi="Times New Roman"/>
                <w:sz w:val="16"/>
                <w:szCs w:val="16"/>
              </w:rPr>
            </w:pPr>
            <w:r w:rsidRPr="008C2709">
              <w:rPr>
                <w:rFonts w:ascii="Times New Roman" w:eastAsia="AngsanaUPC" w:hAnsi="Times New Roman"/>
                <w:bCs/>
                <w:sz w:val="16"/>
                <w:szCs w:val="16"/>
                <w:lang w:eastAsia="lt-LT"/>
              </w:rPr>
              <w:t>–</w:t>
            </w:r>
          </w:p>
        </w:tc>
        <w:tc>
          <w:tcPr>
            <w:tcW w:w="1134" w:type="dxa"/>
            <w:shd w:val="clear" w:color="auto" w:fill="auto"/>
          </w:tcPr>
          <w:p w:rsidR="00385835" w:rsidRPr="008C2709" w:rsidRDefault="00ED11F4" w:rsidP="008C2709">
            <w:pPr>
              <w:spacing w:after="0" w:line="240" w:lineRule="auto"/>
              <w:jc w:val="center"/>
              <w:rPr>
                <w:rFonts w:ascii="Times New Roman" w:hAnsi="Times New Roman"/>
                <w:sz w:val="16"/>
                <w:szCs w:val="16"/>
              </w:rPr>
            </w:pPr>
            <w:r w:rsidRPr="008C2709">
              <w:rPr>
                <w:rFonts w:ascii="Times New Roman" w:hAnsi="Times New Roman"/>
                <w:sz w:val="16"/>
                <w:szCs w:val="16"/>
              </w:rPr>
              <w:t>61</w:t>
            </w:r>
          </w:p>
        </w:tc>
        <w:tc>
          <w:tcPr>
            <w:tcW w:w="1134" w:type="dxa"/>
            <w:shd w:val="clear" w:color="auto" w:fill="auto"/>
          </w:tcPr>
          <w:p w:rsidR="00385835" w:rsidRPr="008C2709" w:rsidRDefault="00385835" w:rsidP="008C2709">
            <w:pPr>
              <w:spacing w:after="0" w:line="240" w:lineRule="auto"/>
              <w:jc w:val="center"/>
              <w:rPr>
                <w:rFonts w:ascii="Times New Roman" w:hAnsi="Times New Roman"/>
                <w:sz w:val="16"/>
                <w:szCs w:val="16"/>
              </w:rPr>
            </w:pPr>
            <w:r w:rsidRPr="008C2709">
              <w:rPr>
                <w:rFonts w:ascii="Times New Roman" w:hAnsi="Times New Roman"/>
                <w:sz w:val="16"/>
                <w:szCs w:val="16"/>
              </w:rPr>
              <w:t>-</w:t>
            </w:r>
          </w:p>
        </w:tc>
        <w:tc>
          <w:tcPr>
            <w:tcW w:w="992" w:type="dxa"/>
          </w:tcPr>
          <w:p w:rsidR="00385835" w:rsidRPr="008C2709" w:rsidRDefault="00385835" w:rsidP="008C2709">
            <w:pPr>
              <w:spacing w:after="0" w:line="240" w:lineRule="auto"/>
              <w:jc w:val="center"/>
              <w:rPr>
                <w:rFonts w:ascii="Times New Roman" w:hAnsi="Times New Roman"/>
                <w:sz w:val="16"/>
                <w:szCs w:val="16"/>
              </w:rPr>
            </w:pPr>
            <w:r w:rsidRPr="008C2709">
              <w:rPr>
                <w:rFonts w:ascii="Times New Roman" w:hAnsi="Times New Roman"/>
                <w:sz w:val="16"/>
                <w:szCs w:val="16"/>
              </w:rPr>
              <w:t>Duomenys iš projektų</w:t>
            </w:r>
          </w:p>
        </w:tc>
        <w:tc>
          <w:tcPr>
            <w:tcW w:w="3969" w:type="dxa"/>
            <w:shd w:val="clear" w:color="auto" w:fill="auto"/>
          </w:tcPr>
          <w:p w:rsidR="00385835" w:rsidRPr="008C2709" w:rsidRDefault="00385835" w:rsidP="008C2709">
            <w:pPr>
              <w:spacing w:after="0" w:line="240" w:lineRule="auto"/>
              <w:rPr>
                <w:rFonts w:ascii="Times New Roman" w:hAnsi="Times New Roman"/>
                <w:sz w:val="16"/>
                <w:szCs w:val="16"/>
              </w:rPr>
            </w:pPr>
            <w:r w:rsidRPr="008C2709">
              <w:rPr>
                <w:rFonts w:ascii="Times New Roman" w:hAnsi="Times New Roman"/>
                <w:sz w:val="16"/>
                <w:szCs w:val="16"/>
              </w:rPr>
              <w:t>Įgyvendinimo žingsnis pasirinktas, nes iki 2018 m. pabaigos nebus baigtų projektų, atsižvelgiant į ilgesnę projektų įgyvendinimo trukmę ir vėlesnę jų įgyvendinimo pradžią, kuri yra numatoma dėl poreikio atlikti parengiamuosius darbus, susijusius su techninių dokumentų parengimu ir pan.</w:t>
            </w:r>
          </w:p>
          <w:p w:rsidR="00385835" w:rsidRPr="008C2709" w:rsidRDefault="00385835" w:rsidP="008C2709">
            <w:pPr>
              <w:spacing w:after="0" w:line="240" w:lineRule="auto"/>
              <w:rPr>
                <w:rFonts w:ascii="Times New Roman" w:hAnsi="Times New Roman"/>
                <w:sz w:val="16"/>
                <w:szCs w:val="16"/>
              </w:rPr>
            </w:pPr>
            <w:r w:rsidRPr="008C2709">
              <w:rPr>
                <w:rFonts w:ascii="Times New Roman" w:hAnsi="Times New Roman"/>
                <w:sz w:val="16"/>
                <w:szCs w:val="16"/>
              </w:rPr>
              <w:t>Projektų finansavimo ir administravimo sutartyse suplanuota produkto rodiklio reikšmė rodys, ar projektai bus įgyvendinti numatyta apimtimi.</w:t>
            </w:r>
          </w:p>
        </w:tc>
      </w:tr>
      <w:tr w:rsidR="00385835" w:rsidRPr="008C2709" w:rsidTr="00385835">
        <w:tc>
          <w:tcPr>
            <w:tcW w:w="1277" w:type="dxa"/>
            <w:shd w:val="clear" w:color="auto" w:fill="auto"/>
          </w:tcPr>
          <w:p w:rsidR="00385835" w:rsidRPr="008C2709" w:rsidRDefault="00385835" w:rsidP="008C2709">
            <w:pPr>
              <w:spacing w:after="0" w:line="240" w:lineRule="auto"/>
              <w:rPr>
                <w:rFonts w:ascii="Times New Roman" w:hAnsi="Times New Roman"/>
                <w:sz w:val="16"/>
                <w:szCs w:val="16"/>
              </w:rPr>
            </w:pPr>
            <w:r w:rsidRPr="008C2709">
              <w:rPr>
                <w:rFonts w:ascii="Times New Roman" w:hAnsi="Times New Roman"/>
                <w:sz w:val="16"/>
                <w:szCs w:val="16"/>
              </w:rPr>
              <w:t>Produkto rodiklis</w:t>
            </w:r>
          </w:p>
        </w:tc>
        <w:tc>
          <w:tcPr>
            <w:tcW w:w="2834" w:type="dxa"/>
            <w:shd w:val="clear" w:color="auto" w:fill="auto"/>
          </w:tcPr>
          <w:p w:rsidR="00385835" w:rsidRPr="008C2709" w:rsidRDefault="00385835" w:rsidP="008C2709">
            <w:pPr>
              <w:spacing w:after="0" w:line="240" w:lineRule="auto"/>
              <w:rPr>
                <w:rFonts w:ascii="Times New Roman" w:hAnsi="Times New Roman"/>
                <w:sz w:val="16"/>
                <w:szCs w:val="16"/>
              </w:rPr>
            </w:pPr>
            <w:r w:rsidRPr="008C2709">
              <w:rPr>
                <w:rFonts w:ascii="Times New Roman" w:eastAsia="AngsanaUPC" w:hAnsi="Times New Roman"/>
                <w:bCs/>
                <w:iCs/>
                <w:sz w:val="16"/>
                <w:szCs w:val="16"/>
                <w:lang w:eastAsia="lt-LT"/>
              </w:rPr>
              <w:t xml:space="preserve">Bendras rekonstruotų arba </w:t>
            </w:r>
            <w:r w:rsidR="00245E10" w:rsidRPr="008C2709">
              <w:rPr>
                <w:rFonts w:ascii="Times New Roman" w:eastAsia="AngsanaUPC" w:hAnsi="Times New Roman"/>
                <w:bCs/>
                <w:iCs/>
                <w:sz w:val="16"/>
                <w:szCs w:val="16"/>
                <w:lang w:eastAsia="lt-LT"/>
              </w:rPr>
              <w:t>atnaujintų</w:t>
            </w:r>
            <w:r w:rsidR="006D69F3" w:rsidRPr="008C2709">
              <w:rPr>
                <w:rFonts w:ascii="Times New Roman" w:eastAsia="AngsanaUPC" w:hAnsi="Times New Roman"/>
                <w:bCs/>
                <w:iCs/>
                <w:sz w:val="16"/>
                <w:szCs w:val="16"/>
                <w:lang w:eastAsia="lt-LT"/>
              </w:rPr>
              <w:t xml:space="preserve"> </w:t>
            </w:r>
            <w:r w:rsidRPr="008C2709">
              <w:rPr>
                <w:rFonts w:ascii="Times New Roman" w:eastAsia="AngsanaUPC" w:hAnsi="Times New Roman"/>
                <w:bCs/>
                <w:iCs/>
                <w:sz w:val="16"/>
                <w:szCs w:val="16"/>
                <w:lang w:eastAsia="lt-LT"/>
              </w:rPr>
              <w:t>kelių TEN</w:t>
            </w:r>
            <w:proofErr w:type="gramStart"/>
            <w:r w:rsidRPr="008C2709">
              <w:rPr>
                <w:rFonts w:ascii="Times New Roman" w:eastAsia="AngsanaUPC" w:hAnsi="Times New Roman"/>
                <w:bCs/>
                <w:iCs/>
                <w:sz w:val="16"/>
                <w:szCs w:val="16"/>
                <w:lang w:eastAsia="lt-LT"/>
              </w:rPr>
              <w:t>-</w:t>
            </w:r>
            <w:proofErr w:type="gramEnd"/>
            <w:r w:rsidRPr="008C2709">
              <w:rPr>
                <w:rFonts w:ascii="Times New Roman" w:eastAsia="AngsanaUPC" w:hAnsi="Times New Roman"/>
                <w:bCs/>
                <w:iCs/>
                <w:sz w:val="16"/>
                <w:szCs w:val="16"/>
                <w:lang w:eastAsia="lt-LT"/>
              </w:rPr>
              <w:t>T tinkle ilgis</w:t>
            </w:r>
          </w:p>
        </w:tc>
        <w:tc>
          <w:tcPr>
            <w:tcW w:w="851" w:type="dxa"/>
            <w:shd w:val="clear" w:color="auto" w:fill="auto"/>
          </w:tcPr>
          <w:p w:rsidR="00385835" w:rsidRPr="008C2709" w:rsidRDefault="00385835" w:rsidP="008C2709">
            <w:pPr>
              <w:spacing w:after="0" w:line="240" w:lineRule="auto"/>
              <w:jc w:val="center"/>
              <w:rPr>
                <w:rFonts w:ascii="Times New Roman" w:hAnsi="Times New Roman"/>
                <w:bCs/>
                <w:sz w:val="16"/>
                <w:szCs w:val="16"/>
              </w:rPr>
            </w:pPr>
            <w:r w:rsidRPr="008C2709">
              <w:rPr>
                <w:rFonts w:ascii="Times New Roman" w:hAnsi="Times New Roman"/>
                <w:bCs/>
                <w:sz w:val="16"/>
                <w:szCs w:val="16"/>
              </w:rPr>
              <w:t>Km</w:t>
            </w:r>
          </w:p>
        </w:tc>
        <w:tc>
          <w:tcPr>
            <w:tcW w:w="708" w:type="dxa"/>
            <w:shd w:val="clear" w:color="auto" w:fill="auto"/>
          </w:tcPr>
          <w:p w:rsidR="00385835" w:rsidRPr="008C2709" w:rsidRDefault="00385835" w:rsidP="008C2709">
            <w:pPr>
              <w:spacing w:after="0" w:line="240" w:lineRule="auto"/>
              <w:jc w:val="center"/>
              <w:rPr>
                <w:rFonts w:ascii="Times New Roman" w:hAnsi="Times New Roman"/>
                <w:bCs/>
                <w:sz w:val="16"/>
                <w:szCs w:val="16"/>
              </w:rPr>
            </w:pPr>
            <w:r w:rsidRPr="008C2709">
              <w:rPr>
                <w:rFonts w:ascii="Times New Roman" w:hAnsi="Times New Roman"/>
                <w:bCs/>
                <w:sz w:val="16"/>
                <w:szCs w:val="16"/>
              </w:rPr>
              <w:t>SaF</w:t>
            </w:r>
          </w:p>
        </w:tc>
        <w:tc>
          <w:tcPr>
            <w:tcW w:w="993" w:type="dxa"/>
            <w:shd w:val="clear" w:color="auto" w:fill="auto"/>
          </w:tcPr>
          <w:p w:rsidR="00385835" w:rsidRPr="008C2709" w:rsidRDefault="005E1B9D" w:rsidP="008C2709">
            <w:pPr>
              <w:widowControl w:val="0"/>
              <w:tabs>
                <w:tab w:val="left" w:pos="622"/>
              </w:tabs>
              <w:spacing w:after="0"/>
              <w:jc w:val="center"/>
              <w:rPr>
                <w:rFonts w:ascii="Times New Roman" w:hAnsi="Times New Roman"/>
                <w:bCs/>
                <w:iCs/>
                <w:sz w:val="16"/>
                <w:szCs w:val="16"/>
              </w:rPr>
            </w:pPr>
            <w:r w:rsidRPr="008C2709">
              <w:rPr>
                <w:rFonts w:ascii="Times New Roman" w:eastAsia="AngsanaUPC" w:hAnsi="Times New Roman"/>
                <w:bCs/>
                <w:sz w:val="16"/>
                <w:szCs w:val="16"/>
                <w:lang w:eastAsia="lt-LT"/>
              </w:rPr>
              <w:t>–</w:t>
            </w:r>
          </w:p>
        </w:tc>
        <w:tc>
          <w:tcPr>
            <w:tcW w:w="1134" w:type="dxa"/>
            <w:shd w:val="clear" w:color="auto" w:fill="auto"/>
          </w:tcPr>
          <w:p w:rsidR="00385835" w:rsidRPr="008C2709" w:rsidRDefault="00385835" w:rsidP="008C2709">
            <w:pPr>
              <w:spacing w:after="0" w:line="240" w:lineRule="auto"/>
              <w:jc w:val="center"/>
              <w:rPr>
                <w:rFonts w:ascii="Times New Roman" w:hAnsi="Times New Roman"/>
                <w:sz w:val="16"/>
                <w:szCs w:val="16"/>
              </w:rPr>
            </w:pPr>
            <w:r w:rsidRPr="008C2709">
              <w:rPr>
                <w:rFonts w:ascii="Times New Roman" w:hAnsi="Times New Roman"/>
                <w:sz w:val="16"/>
                <w:szCs w:val="16"/>
              </w:rPr>
              <w:t>23</w:t>
            </w:r>
          </w:p>
        </w:tc>
        <w:tc>
          <w:tcPr>
            <w:tcW w:w="1134" w:type="dxa"/>
            <w:shd w:val="clear" w:color="auto" w:fill="auto"/>
          </w:tcPr>
          <w:p w:rsidR="00385835" w:rsidRPr="008C2709" w:rsidRDefault="003946F0" w:rsidP="008C2709">
            <w:pPr>
              <w:spacing w:after="0" w:line="240" w:lineRule="auto"/>
              <w:jc w:val="center"/>
              <w:rPr>
                <w:rFonts w:ascii="Times New Roman" w:hAnsi="Times New Roman"/>
                <w:sz w:val="16"/>
                <w:szCs w:val="16"/>
              </w:rPr>
            </w:pPr>
            <w:r w:rsidRPr="008C2709">
              <w:rPr>
                <w:rFonts w:ascii="Times New Roman" w:hAnsi="Times New Roman"/>
                <w:sz w:val="16"/>
                <w:szCs w:val="16"/>
              </w:rPr>
              <w:t>99</w:t>
            </w:r>
          </w:p>
        </w:tc>
        <w:tc>
          <w:tcPr>
            <w:tcW w:w="992" w:type="dxa"/>
          </w:tcPr>
          <w:p w:rsidR="00385835" w:rsidRPr="008C2709" w:rsidDel="007F0983" w:rsidRDefault="00385835" w:rsidP="008C2709">
            <w:pPr>
              <w:spacing w:after="0" w:line="240" w:lineRule="auto"/>
              <w:jc w:val="center"/>
              <w:rPr>
                <w:rFonts w:ascii="Times New Roman" w:hAnsi="Times New Roman"/>
                <w:sz w:val="16"/>
                <w:szCs w:val="16"/>
              </w:rPr>
            </w:pPr>
            <w:r w:rsidRPr="008C2709">
              <w:rPr>
                <w:rFonts w:ascii="Times New Roman" w:hAnsi="Times New Roman"/>
                <w:sz w:val="16"/>
                <w:szCs w:val="16"/>
              </w:rPr>
              <w:t>Duomenys iš projektų</w:t>
            </w:r>
          </w:p>
        </w:tc>
        <w:tc>
          <w:tcPr>
            <w:tcW w:w="3969" w:type="dxa"/>
            <w:shd w:val="clear" w:color="auto" w:fill="auto"/>
          </w:tcPr>
          <w:p w:rsidR="00385835" w:rsidRPr="008C2709" w:rsidRDefault="00385835" w:rsidP="008C2709">
            <w:pPr>
              <w:spacing w:after="0" w:line="240" w:lineRule="auto"/>
              <w:rPr>
                <w:rFonts w:ascii="Times New Roman" w:hAnsi="Times New Roman"/>
                <w:sz w:val="16"/>
                <w:szCs w:val="16"/>
              </w:rPr>
            </w:pPr>
            <w:r w:rsidRPr="008C2709">
              <w:rPr>
                <w:rFonts w:ascii="Times New Roman" w:hAnsi="Times New Roman"/>
                <w:sz w:val="16"/>
                <w:szCs w:val="16"/>
              </w:rPr>
              <w:t>Rodiklis atspindi prioriteto įgyvendinimo eigą, nes jo pasiekimui skirta 3</w:t>
            </w:r>
            <w:r w:rsidR="00ED11F4" w:rsidRPr="008C2709">
              <w:rPr>
                <w:rFonts w:ascii="Times New Roman" w:hAnsi="Times New Roman"/>
                <w:sz w:val="16"/>
                <w:szCs w:val="16"/>
              </w:rPr>
              <w:t>2</w:t>
            </w:r>
            <w:r w:rsidRPr="008C2709">
              <w:rPr>
                <w:rFonts w:ascii="Times New Roman" w:hAnsi="Times New Roman"/>
                <w:sz w:val="16"/>
                <w:szCs w:val="16"/>
              </w:rPr>
              <w:t xml:space="preserve"> proc. šio prioriteto įgyvendinimui skirtų SaF lėšų.</w:t>
            </w:r>
          </w:p>
        </w:tc>
      </w:tr>
    </w:tbl>
    <w:p w:rsidR="00385835" w:rsidRPr="00385835" w:rsidRDefault="00385835" w:rsidP="00385835">
      <w:pPr>
        <w:spacing w:after="0" w:line="240" w:lineRule="auto"/>
        <w:rPr>
          <w:rFonts w:ascii="Times New Roman" w:hAnsi="Times New Roman"/>
          <w:sz w:val="24"/>
          <w:szCs w:val="24"/>
        </w:rPr>
      </w:pPr>
    </w:p>
    <w:p w:rsidR="00385835" w:rsidRPr="00385835" w:rsidRDefault="00385835" w:rsidP="00385835">
      <w:pPr>
        <w:autoSpaceDE w:val="0"/>
        <w:autoSpaceDN w:val="0"/>
        <w:adjustRightInd w:val="0"/>
        <w:spacing w:after="0" w:line="240" w:lineRule="auto"/>
        <w:ind w:firstLine="851"/>
        <w:jc w:val="both"/>
        <w:rPr>
          <w:rFonts w:ascii="Times New Roman" w:hAnsi="Times New Roman"/>
          <w:sz w:val="24"/>
          <w:szCs w:val="24"/>
        </w:rPr>
      </w:pPr>
      <w:r w:rsidRPr="00385835">
        <w:rPr>
          <w:rFonts w:ascii="Times New Roman" w:hAnsi="Times New Roman"/>
          <w:color w:val="000000"/>
          <w:sz w:val="24"/>
          <w:szCs w:val="24"/>
        </w:rPr>
        <w:t>Į veiklos peržiūros planą įtrauktų ERPF rodiklių tarpinės ir galutinės reikšmės nustatytos, įvertinus istorinius ankstesnio programavimo laikotarpio lėšų panaudojimo ir rodiklių pasiekimo duomenis, t.</w:t>
      </w:r>
      <w:r w:rsidR="003946F0">
        <w:rPr>
          <w:rFonts w:ascii="Times New Roman" w:hAnsi="Times New Roman"/>
          <w:color w:val="000000"/>
          <w:sz w:val="24"/>
          <w:szCs w:val="24"/>
        </w:rPr>
        <w:t xml:space="preserve"> </w:t>
      </w:r>
      <w:r w:rsidRPr="00385835">
        <w:rPr>
          <w:rFonts w:ascii="Times New Roman" w:hAnsi="Times New Roman"/>
          <w:color w:val="000000"/>
          <w:sz w:val="24"/>
          <w:szCs w:val="24"/>
        </w:rPr>
        <w:t>y. įgyvendinant panašaus pobūdžio intervencijas per analogišką laikotarpį pasiektas rodiklių reikšmes, tuo pačiu atsižvelgiant į šiame programavimo laikotarpyje numatomas investicijų ir veiklų apimtis</w:t>
      </w:r>
      <w:r w:rsidRPr="00385835">
        <w:rPr>
          <w:rFonts w:ascii="Times New Roman" w:hAnsi="Times New Roman"/>
          <w:sz w:val="24"/>
          <w:szCs w:val="24"/>
        </w:rPr>
        <w:t xml:space="preserve"> ir įgyvendinant panašaus pobūdžio intervencijas nustatytus vidutinius vieneto įkainius.</w:t>
      </w:r>
      <w:r w:rsidRPr="00385835">
        <w:rPr>
          <w:rFonts w:ascii="Times New Roman" w:hAnsi="Times New Roman"/>
          <w:color w:val="000000"/>
          <w:sz w:val="24"/>
          <w:szCs w:val="24"/>
        </w:rPr>
        <w:t xml:space="preserve"> Nustatant tarpines rodiklių reikšmes, taip pat atsižvelgta į sektoriaus pasirengimą panaudoti </w:t>
      </w:r>
      <w:r w:rsidR="000F4AE6">
        <w:rPr>
          <w:rFonts w:ascii="Times New Roman" w:hAnsi="Times New Roman"/>
          <w:color w:val="000000"/>
          <w:sz w:val="24"/>
          <w:szCs w:val="24"/>
        </w:rPr>
        <w:t>ES fondų</w:t>
      </w:r>
      <w:r w:rsidRPr="00385835">
        <w:rPr>
          <w:rFonts w:ascii="Times New Roman" w:hAnsi="Times New Roman"/>
          <w:color w:val="000000"/>
          <w:sz w:val="24"/>
          <w:szCs w:val="24"/>
        </w:rPr>
        <w:t xml:space="preserve"> lėšas – poreikį</w:t>
      </w:r>
      <w:r w:rsidRPr="00385835">
        <w:rPr>
          <w:rFonts w:ascii="Times New Roman" w:hAnsi="Times New Roman"/>
          <w:sz w:val="24"/>
          <w:szCs w:val="24"/>
        </w:rPr>
        <w:t xml:space="preserve"> atlikti parengiamuosius kelių ir geležinkelių tiesimo ir (arba) atnaujinimo darbus, suderinti su EK valstybės pagalbos schemas bei didelės apimties projektus elektros energijos perdavimo linijų tiesimo atveju, taip pat institucinę patirtį</w:t>
      </w:r>
      <w:r w:rsidR="00113A76">
        <w:rPr>
          <w:rFonts w:ascii="Times New Roman" w:hAnsi="Times New Roman"/>
          <w:sz w:val="24"/>
          <w:szCs w:val="24"/>
        </w:rPr>
        <w:t>,</w:t>
      </w:r>
      <w:r w:rsidRPr="00385835">
        <w:rPr>
          <w:rFonts w:ascii="Times New Roman" w:hAnsi="Times New Roman"/>
          <w:sz w:val="24"/>
          <w:szCs w:val="24"/>
        </w:rPr>
        <w:t xml:space="preserve"> administruojant </w:t>
      </w:r>
      <w:r w:rsidR="000F4AE6">
        <w:rPr>
          <w:rFonts w:ascii="Times New Roman" w:hAnsi="Times New Roman"/>
          <w:sz w:val="24"/>
          <w:szCs w:val="24"/>
        </w:rPr>
        <w:t>ES fondų</w:t>
      </w:r>
      <w:r w:rsidRPr="00385835">
        <w:rPr>
          <w:rFonts w:ascii="Times New Roman" w:hAnsi="Times New Roman"/>
          <w:sz w:val="24"/>
          <w:szCs w:val="24"/>
        </w:rPr>
        <w:t xml:space="preserve"> lėšas. </w:t>
      </w:r>
    </w:p>
    <w:p w:rsidR="00AC33BC" w:rsidRPr="002447B3" w:rsidRDefault="00385835" w:rsidP="002447B3">
      <w:pPr>
        <w:spacing w:after="0" w:line="240" w:lineRule="auto"/>
        <w:ind w:firstLine="851"/>
        <w:jc w:val="both"/>
        <w:rPr>
          <w:rFonts w:ascii="Times New Roman" w:hAnsi="Times New Roman"/>
          <w:color w:val="000000"/>
          <w:sz w:val="24"/>
          <w:szCs w:val="24"/>
        </w:rPr>
      </w:pPr>
      <w:r w:rsidRPr="00385835">
        <w:rPr>
          <w:rFonts w:ascii="Times New Roman" w:hAnsi="Times New Roman"/>
          <w:color w:val="000000"/>
          <w:sz w:val="24"/>
          <w:szCs w:val="24"/>
        </w:rPr>
        <w:lastRenderedPageBreak/>
        <w:t>Į veiklos peržiūros planą įtrauktų SaF rodiklių tarpinės ir galutinės reikšmės nustatytos, įvertinus istorinius ankstesnio programavimo laikotarpio lėšų panaudojimo ir rodiklių pasiekimo duomenis, t.</w:t>
      </w:r>
      <w:r w:rsidR="003946F0">
        <w:rPr>
          <w:rFonts w:ascii="Times New Roman" w:hAnsi="Times New Roman"/>
          <w:color w:val="000000"/>
          <w:sz w:val="24"/>
          <w:szCs w:val="24"/>
        </w:rPr>
        <w:t xml:space="preserve"> </w:t>
      </w:r>
      <w:r w:rsidRPr="00385835">
        <w:rPr>
          <w:rFonts w:ascii="Times New Roman" w:hAnsi="Times New Roman"/>
          <w:color w:val="000000"/>
          <w:sz w:val="24"/>
          <w:szCs w:val="24"/>
        </w:rPr>
        <w:t xml:space="preserve">y. įgyvendinant panašaus pobūdžio intervencijas per analogišką laikotarpį pasiektas rodiklių reikšmes, tuo pačiu atsižvelgiant į šiame programavimo laikotarpyje numatomas investicijų ir veiklų apimtis. Nustatant tarpines rodiklių reikšmes, taip pat atsižvelgta į sektoriaus pasirengimą panaudoti </w:t>
      </w:r>
      <w:r w:rsidR="000F4AE6">
        <w:rPr>
          <w:rFonts w:ascii="Times New Roman" w:hAnsi="Times New Roman"/>
          <w:color w:val="000000"/>
          <w:sz w:val="24"/>
          <w:szCs w:val="24"/>
        </w:rPr>
        <w:t>ES fondų</w:t>
      </w:r>
      <w:r w:rsidRPr="00385835">
        <w:rPr>
          <w:rFonts w:ascii="Times New Roman" w:hAnsi="Times New Roman"/>
          <w:color w:val="000000"/>
          <w:sz w:val="24"/>
          <w:szCs w:val="24"/>
        </w:rPr>
        <w:t xml:space="preserve"> lėšas – </w:t>
      </w:r>
      <w:r w:rsidRPr="00385835">
        <w:rPr>
          <w:rFonts w:ascii="Times New Roman" w:hAnsi="Times New Roman"/>
          <w:sz w:val="24"/>
          <w:szCs w:val="24"/>
        </w:rPr>
        <w:t>poreikį atlikti parengiamuosius kelių ir geležinkelių tiesimo ir (arba) atnaujinimo darbus</w:t>
      </w:r>
      <w:r w:rsidRPr="00385835">
        <w:rPr>
          <w:rFonts w:ascii="Times New Roman" w:hAnsi="Times New Roman"/>
          <w:color w:val="000000"/>
          <w:sz w:val="24"/>
          <w:szCs w:val="24"/>
        </w:rPr>
        <w:t xml:space="preserve"> bei priemonių įgyvendinimo specifiką, pagal kurią daugelių atveju yra numatomi didesnės apimties ir il</w:t>
      </w:r>
      <w:r w:rsidR="002447B3">
        <w:rPr>
          <w:rFonts w:ascii="Times New Roman" w:hAnsi="Times New Roman"/>
          <w:color w:val="000000"/>
          <w:sz w:val="24"/>
          <w:szCs w:val="24"/>
        </w:rPr>
        <w:t>gesnės trukmės projektai.</w:t>
      </w:r>
    </w:p>
    <w:p w:rsidR="00385835" w:rsidRPr="00385835" w:rsidRDefault="00385835" w:rsidP="00385835">
      <w:pPr>
        <w:spacing w:after="0" w:line="240" w:lineRule="auto"/>
        <w:rPr>
          <w:rFonts w:ascii="Times New Roman" w:hAnsi="Times New Roman"/>
          <w:sz w:val="24"/>
          <w:szCs w:val="24"/>
        </w:rPr>
      </w:pPr>
    </w:p>
    <w:p w:rsidR="007F0423" w:rsidRDefault="007F0423" w:rsidP="007F0423">
      <w:pPr>
        <w:widowControl w:val="0"/>
        <w:tabs>
          <w:tab w:val="left" w:pos="622"/>
        </w:tabs>
        <w:spacing w:after="0" w:line="240" w:lineRule="auto"/>
        <w:jc w:val="both"/>
        <w:rPr>
          <w:rFonts w:ascii="Times New Roman" w:eastAsia="AngsanaUPC" w:hAnsi="Times New Roman"/>
          <w:b/>
          <w:bCs/>
          <w:i/>
          <w:iCs/>
          <w:sz w:val="24"/>
          <w:szCs w:val="24"/>
          <w:lang w:eastAsia="lt-LT"/>
        </w:rPr>
        <w:sectPr w:rsidR="007F0423" w:rsidSect="00F16049">
          <w:pgSz w:w="16838" w:h="11906" w:orient="landscape" w:code="9"/>
          <w:pgMar w:top="1701" w:right="1701" w:bottom="567" w:left="1134" w:header="567" w:footer="567" w:gutter="0"/>
          <w:cols w:space="1296"/>
          <w:docGrid w:linePitch="360"/>
        </w:sectPr>
      </w:pPr>
    </w:p>
    <w:p w:rsidR="007F0423" w:rsidRPr="002447B3" w:rsidRDefault="007F0423" w:rsidP="007F0423">
      <w:pPr>
        <w:widowControl w:val="0"/>
        <w:tabs>
          <w:tab w:val="left" w:pos="622"/>
        </w:tabs>
        <w:spacing w:after="0" w:line="240" w:lineRule="auto"/>
        <w:jc w:val="both"/>
        <w:rPr>
          <w:rFonts w:ascii="Times New Roman" w:hAnsi="Times New Roman"/>
          <w:b/>
          <w:bCs/>
          <w:iCs/>
          <w:sz w:val="18"/>
          <w:szCs w:val="18"/>
        </w:rPr>
      </w:pPr>
      <w:r w:rsidRPr="002447B3">
        <w:rPr>
          <w:rFonts w:ascii="Times New Roman" w:eastAsia="AngsanaUPC" w:hAnsi="Times New Roman"/>
          <w:b/>
          <w:bCs/>
          <w:i/>
          <w:iCs/>
          <w:sz w:val="24"/>
          <w:szCs w:val="24"/>
          <w:lang w:eastAsia="lt-LT"/>
        </w:rPr>
        <w:lastRenderedPageBreak/>
        <w:t>Numatomas išlaidų pasiskirstymas pagal kategorijas</w:t>
      </w:r>
    </w:p>
    <w:p w:rsidR="007F0423" w:rsidRPr="002447B3" w:rsidRDefault="007F0423" w:rsidP="007F0423">
      <w:pPr>
        <w:widowControl w:val="0"/>
        <w:tabs>
          <w:tab w:val="left" w:pos="622"/>
        </w:tabs>
        <w:spacing w:after="0" w:line="240" w:lineRule="auto"/>
        <w:jc w:val="both"/>
        <w:rPr>
          <w:rFonts w:ascii="Times New Roman" w:hAnsi="Times New Roman"/>
          <w:b/>
          <w:bCs/>
          <w:iCs/>
          <w:sz w:val="18"/>
          <w:szCs w:val="1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09"/>
        <w:gridCol w:w="6378"/>
        <w:gridCol w:w="1843"/>
      </w:tblGrid>
      <w:tr w:rsidR="007F0423" w:rsidRPr="002447B3" w:rsidTr="000D0444">
        <w:trPr>
          <w:tblHeader/>
        </w:trPr>
        <w:tc>
          <w:tcPr>
            <w:tcW w:w="9781" w:type="dxa"/>
            <w:gridSpan w:val="4"/>
            <w:shd w:val="clear" w:color="auto" w:fill="EEECE1"/>
            <w:vAlign w:val="center"/>
          </w:tcPr>
          <w:p w:rsidR="007F0423" w:rsidRPr="002447B3" w:rsidRDefault="007F0423" w:rsidP="000D0444">
            <w:pPr>
              <w:widowControl w:val="0"/>
              <w:tabs>
                <w:tab w:val="left" w:pos="622"/>
              </w:tabs>
              <w:spacing w:after="0" w:line="240" w:lineRule="auto"/>
              <w:jc w:val="both"/>
              <w:rPr>
                <w:rFonts w:ascii="Times New Roman" w:hAnsi="Times New Roman"/>
                <w:b/>
                <w:bCs/>
                <w:i/>
                <w:iCs/>
                <w:sz w:val="18"/>
                <w:szCs w:val="18"/>
              </w:rPr>
            </w:pPr>
            <w:r w:rsidRPr="002447B3">
              <w:rPr>
                <w:rFonts w:ascii="Times New Roman" w:hAnsi="Times New Roman"/>
                <w:b/>
                <w:bCs/>
                <w:i/>
                <w:iCs/>
                <w:sz w:val="18"/>
                <w:szCs w:val="18"/>
              </w:rPr>
              <w:t>Intervencinių veiksmų sritis</w:t>
            </w:r>
          </w:p>
        </w:tc>
      </w:tr>
      <w:tr w:rsidR="007F0423" w:rsidRPr="002447B3" w:rsidTr="003D4200">
        <w:tc>
          <w:tcPr>
            <w:tcW w:w="851" w:type="dxa"/>
            <w:shd w:val="clear" w:color="auto" w:fill="EEECE1"/>
            <w:vAlign w:val="center"/>
          </w:tcPr>
          <w:p w:rsidR="007F0423" w:rsidRPr="002447B3" w:rsidRDefault="007F0423" w:rsidP="000D0444">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Fondas</w:t>
            </w:r>
          </w:p>
        </w:tc>
        <w:tc>
          <w:tcPr>
            <w:tcW w:w="709" w:type="dxa"/>
            <w:shd w:val="clear" w:color="auto" w:fill="EEECE1"/>
            <w:vAlign w:val="center"/>
          </w:tcPr>
          <w:p w:rsidR="007F0423" w:rsidRPr="002447B3" w:rsidRDefault="007F0423" w:rsidP="000D0444">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Kodas</w:t>
            </w:r>
          </w:p>
        </w:tc>
        <w:tc>
          <w:tcPr>
            <w:tcW w:w="6378" w:type="dxa"/>
            <w:shd w:val="clear" w:color="auto" w:fill="EEECE1"/>
            <w:vAlign w:val="center"/>
          </w:tcPr>
          <w:p w:rsidR="007F0423" w:rsidRPr="002447B3" w:rsidRDefault="007F0423" w:rsidP="000D0444">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Pavadinimas</w:t>
            </w:r>
          </w:p>
        </w:tc>
        <w:tc>
          <w:tcPr>
            <w:tcW w:w="1843" w:type="dxa"/>
            <w:shd w:val="clear" w:color="auto" w:fill="EEECE1"/>
            <w:vAlign w:val="center"/>
          </w:tcPr>
          <w:p w:rsidR="007F0423" w:rsidRPr="002447B3" w:rsidRDefault="007F0423" w:rsidP="000D0444">
            <w:pPr>
              <w:widowControl w:val="0"/>
              <w:tabs>
                <w:tab w:val="left" w:pos="622"/>
              </w:tabs>
              <w:spacing w:after="0" w:line="240" w:lineRule="auto"/>
              <w:jc w:val="center"/>
              <w:rPr>
                <w:rFonts w:ascii="Times New Roman" w:hAnsi="Times New Roman"/>
                <w:b/>
                <w:bCs/>
                <w:iCs/>
                <w:sz w:val="18"/>
                <w:szCs w:val="18"/>
              </w:rPr>
            </w:pPr>
            <w:r w:rsidRPr="002447B3">
              <w:rPr>
                <w:rFonts w:ascii="Times New Roman" w:hAnsi="Times New Roman"/>
                <w:b/>
                <w:bCs/>
                <w:iCs/>
                <w:sz w:val="18"/>
                <w:szCs w:val="18"/>
              </w:rPr>
              <w:t>Finansinė proporcija (eurais)</w:t>
            </w:r>
          </w:p>
        </w:tc>
      </w:tr>
      <w:tr w:rsidR="007F0423" w:rsidRPr="009348A3" w:rsidTr="003D4200">
        <w:tc>
          <w:tcPr>
            <w:tcW w:w="851" w:type="dxa"/>
            <w:shd w:val="clear" w:color="auto" w:fill="auto"/>
            <w:vAlign w:val="center"/>
          </w:tcPr>
          <w:p w:rsidR="007F0423" w:rsidRPr="009348A3" w:rsidRDefault="007F0423" w:rsidP="000D0444">
            <w:pPr>
              <w:widowControl w:val="0"/>
              <w:tabs>
                <w:tab w:val="left" w:pos="622"/>
              </w:tabs>
              <w:spacing w:after="0" w:line="240" w:lineRule="auto"/>
              <w:rPr>
                <w:rFonts w:ascii="Times New Roman" w:eastAsia="AngsanaUPC" w:hAnsi="Times New Roman"/>
                <w:bCs/>
                <w:sz w:val="18"/>
                <w:szCs w:val="18"/>
                <w:lang w:val="en-GB" w:eastAsia="lt-LT"/>
              </w:rPr>
            </w:pPr>
            <w:r w:rsidRPr="009348A3">
              <w:rPr>
                <w:rFonts w:ascii="Times New Roman" w:eastAsia="AngsanaUPC" w:hAnsi="Times New Roman"/>
                <w:bCs/>
                <w:sz w:val="18"/>
                <w:szCs w:val="18"/>
                <w:lang w:val="en-GB" w:eastAsia="lt-LT"/>
              </w:rPr>
              <w:t>ERPF</w:t>
            </w:r>
          </w:p>
        </w:tc>
        <w:tc>
          <w:tcPr>
            <w:tcW w:w="709" w:type="dxa"/>
            <w:shd w:val="clear" w:color="auto" w:fill="auto"/>
            <w:vAlign w:val="center"/>
          </w:tcPr>
          <w:p w:rsidR="007F0423" w:rsidRPr="009348A3" w:rsidRDefault="007E01C8" w:rsidP="000D0444">
            <w:pPr>
              <w:widowControl w:val="0"/>
              <w:tabs>
                <w:tab w:val="left" w:pos="622"/>
              </w:tabs>
              <w:spacing w:after="0" w:line="240" w:lineRule="auto"/>
              <w:rPr>
                <w:rFonts w:ascii="Times New Roman" w:eastAsia="AngsanaUPC" w:hAnsi="Times New Roman"/>
                <w:bCs/>
                <w:sz w:val="18"/>
                <w:szCs w:val="18"/>
                <w:lang w:val="en-GB" w:eastAsia="lt-LT"/>
              </w:rPr>
            </w:pPr>
            <w:r w:rsidRPr="009348A3">
              <w:rPr>
                <w:rFonts w:ascii="Times New Roman" w:eastAsia="AngsanaUPC" w:hAnsi="Times New Roman"/>
                <w:bCs/>
                <w:sz w:val="18"/>
                <w:szCs w:val="18"/>
                <w:lang w:val="en-GB" w:eastAsia="lt-LT"/>
              </w:rPr>
              <w:t>0</w:t>
            </w:r>
            <w:r w:rsidR="007F0423" w:rsidRPr="009348A3">
              <w:rPr>
                <w:rFonts w:ascii="Times New Roman" w:eastAsia="AngsanaUPC" w:hAnsi="Times New Roman"/>
                <w:bCs/>
                <w:sz w:val="18"/>
                <w:szCs w:val="18"/>
                <w:lang w:val="en-GB" w:eastAsia="lt-LT"/>
              </w:rPr>
              <w:t>5</w:t>
            </w:r>
          </w:p>
        </w:tc>
        <w:tc>
          <w:tcPr>
            <w:tcW w:w="6378" w:type="dxa"/>
            <w:shd w:val="clear" w:color="auto" w:fill="auto"/>
            <w:vAlign w:val="center"/>
          </w:tcPr>
          <w:p w:rsidR="007F0423" w:rsidRPr="009348A3" w:rsidRDefault="007F0423" w:rsidP="000D0444">
            <w:pPr>
              <w:widowControl w:val="0"/>
              <w:tabs>
                <w:tab w:val="left" w:pos="622"/>
              </w:tabs>
              <w:spacing w:after="0" w:line="240" w:lineRule="auto"/>
              <w:rPr>
                <w:rFonts w:ascii="Times New Roman" w:eastAsia="AngsanaUPC" w:hAnsi="Times New Roman"/>
                <w:bCs/>
                <w:sz w:val="18"/>
                <w:szCs w:val="18"/>
                <w:lang w:eastAsia="lt-LT"/>
              </w:rPr>
            </w:pPr>
            <w:r w:rsidRPr="009348A3">
              <w:rPr>
                <w:rFonts w:ascii="Times New Roman" w:eastAsia="AngsanaUPC" w:hAnsi="Times New Roman"/>
                <w:bCs/>
                <w:sz w:val="18"/>
                <w:szCs w:val="18"/>
                <w:lang w:eastAsia="lt-LT"/>
              </w:rPr>
              <w:t>Elektros energija (kaupimas ir perdavimas)</w:t>
            </w:r>
          </w:p>
        </w:tc>
        <w:tc>
          <w:tcPr>
            <w:tcW w:w="1843" w:type="dxa"/>
            <w:shd w:val="clear" w:color="auto" w:fill="auto"/>
            <w:vAlign w:val="center"/>
          </w:tcPr>
          <w:p w:rsidR="007F0423" w:rsidRPr="00FC6264" w:rsidRDefault="00AC364A" w:rsidP="003946F0">
            <w:pPr>
              <w:widowControl w:val="0"/>
              <w:tabs>
                <w:tab w:val="left" w:pos="622"/>
              </w:tabs>
              <w:spacing w:after="0" w:line="240" w:lineRule="auto"/>
              <w:jc w:val="right"/>
              <w:rPr>
                <w:rFonts w:ascii="Times New Roman" w:eastAsia="AngsanaUPC" w:hAnsi="Times New Roman"/>
                <w:bCs/>
                <w:sz w:val="18"/>
                <w:szCs w:val="18"/>
                <w:lang w:val="en-GB" w:eastAsia="lt-LT"/>
              </w:rPr>
            </w:pPr>
            <w:r w:rsidRPr="00FC6264">
              <w:rPr>
                <w:rFonts w:ascii="Times New Roman" w:eastAsia="AngsanaUPC" w:hAnsi="Times New Roman"/>
                <w:bCs/>
                <w:sz w:val="18"/>
                <w:szCs w:val="18"/>
                <w:lang w:val="en-GB" w:eastAsia="lt-LT"/>
              </w:rPr>
              <w:t>48</w:t>
            </w:r>
            <w:r w:rsidR="009348A3" w:rsidRPr="00FC6264">
              <w:rPr>
                <w:rFonts w:ascii="Times New Roman" w:eastAsia="AngsanaUPC" w:hAnsi="Times New Roman"/>
                <w:bCs/>
                <w:sz w:val="18"/>
                <w:szCs w:val="18"/>
                <w:lang w:val="en-GB" w:eastAsia="lt-LT"/>
              </w:rPr>
              <w:t>.</w:t>
            </w:r>
            <w:r w:rsidR="003946F0" w:rsidRPr="00FC6264">
              <w:rPr>
                <w:rFonts w:ascii="Times New Roman" w:eastAsia="AngsanaUPC" w:hAnsi="Times New Roman"/>
                <w:bCs/>
                <w:sz w:val="18"/>
                <w:szCs w:val="18"/>
                <w:lang w:val="en-GB" w:eastAsia="lt-LT"/>
              </w:rPr>
              <w:t>639</w:t>
            </w:r>
            <w:r w:rsidR="009348A3" w:rsidRPr="00FC6264">
              <w:rPr>
                <w:rFonts w:ascii="Times New Roman" w:eastAsia="AngsanaUPC" w:hAnsi="Times New Roman"/>
                <w:bCs/>
                <w:sz w:val="18"/>
                <w:szCs w:val="18"/>
                <w:lang w:val="en-GB" w:eastAsia="lt-LT"/>
              </w:rPr>
              <w:t>.</w:t>
            </w:r>
            <w:r w:rsidR="00ED11F4" w:rsidRPr="00FC6264">
              <w:rPr>
                <w:rFonts w:ascii="Times New Roman" w:eastAsia="AngsanaUPC" w:hAnsi="Times New Roman"/>
                <w:bCs/>
                <w:sz w:val="18"/>
                <w:szCs w:val="18"/>
                <w:lang w:val="en-GB" w:eastAsia="lt-LT"/>
              </w:rPr>
              <w:t>94</w:t>
            </w:r>
            <w:r w:rsidR="003946F0" w:rsidRPr="00FC6264">
              <w:rPr>
                <w:rFonts w:ascii="Times New Roman" w:eastAsia="AngsanaUPC" w:hAnsi="Times New Roman"/>
                <w:bCs/>
                <w:sz w:val="18"/>
                <w:szCs w:val="18"/>
                <w:lang w:val="en-GB" w:eastAsia="lt-LT"/>
              </w:rPr>
              <w:t>4</w:t>
            </w:r>
          </w:p>
        </w:tc>
      </w:tr>
      <w:tr w:rsidR="007F0423" w:rsidRPr="009348A3" w:rsidTr="003D4200">
        <w:tc>
          <w:tcPr>
            <w:tcW w:w="851" w:type="dxa"/>
            <w:shd w:val="clear" w:color="auto" w:fill="auto"/>
            <w:vAlign w:val="center"/>
          </w:tcPr>
          <w:p w:rsidR="007F0423" w:rsidRPr="009348A3" w:rsidRDefault="007F0423" w:rsidP="000D0444">
            <w:pPr>
              <w:widowControl w:val="0"/>
              <w:tabs>
                <w:tab w:val="left" w:pos="622"/>
              </w:tabs>
              <w:spacing w:after="0" w:line="240" w:lineRule="auto"/>
              <w:rPr>
                <w:rFonts w:ascii="Times New Roman" w:eastAsia="AngsanaUPC" w:hAnsi="Times New Roman"/>
                <w:bCs/>
                <w:sz w:val="18"/>
                <w:szCs w:val="18"/>
                <w:lang w:val="en-GB" w:eastAsia="lt-LT"/>
              </w:rPr>
            </w:pPr>
            <w:r w:rsidRPr="009348A3">
              <w:rPr>
                <w:rFonts w:ascii="Times New Roman" w:eastAsia="AngsanaUPC" w:hAnsi="Times New Roman"/>
                <w:bCs/>
                <w:sz w:val="18"/>
                <w:szCs w:val="18"/>
                <w:lang w:val="en-GB" w:eastAsia="lt-LT"/>
              </w:rPr>
              <w:t>ERPF</w:t>
            </w:r>
          </w:p>
        </w:tc>
        <w:tc>
          <w:tcPr>
            <w:tcW w:w="709" w:type="dxa"/>
            <w:shd w:val="clear" w:color="auto" w:fill="auto"/>
            <w:vAlign w:val="center"/>
          </w:tcPr>
          <w:p w:rsidR="007F0423" w:rsidRPr="009348A3" w:rsidRDefault="007E01C8" w:rsidP="000D0444">
            <w:pPr>
              <w:widowControl w:val="0"/>
              <w:tabs>
                <w:tab w:val="left" w:pos="622"/>
              </w:tabs>
              <w:spacing w:after="0" w:line="240" w:lineRule="auto"/>
              <w:rPr>
                <w:rFonts w:ascii="Times New Roman" w:eastAsia="AngsanaUPC" w:hAnsi="Times New Roman"/>
                <w:bCs/>
                <w:sz w:val="18"/>
                <w:szCs w:val="18"/>
                <w:lang w:val="en-GB" w:eastAsia="lt-LT"/>
              </w:rPr>
            </w:pPr>
            <w:r w:rsidRPr="009348A3">
              <w:rPr>
                <w:rFonts w:ascii="Times New Roman" w:eastAsia="AngsanaUPC" w:hAnsi="Times New Roman"/>
                <w:bCs/>
                <w:sz w:val="18"/>
                <w:szCs w:val="18"/>
                <w:lang w:val="en-GB" w:eastAsia="lt-LT"/>
              </w:rPr>
              <w:t>0</w:t>
            </w:r>
            <w:r w:rsidR="007F0423" w:rsidRPr="009348A3">
              <w:rPr>
                <w:rFonts w:ascii="Times New Roman" w:eastAsia="AngsanaUPC" w:hAnsi="Times New Roman"/>
                <w:bCs/>
                <w:sz w:val="18"/>
                <w:szCs w:val="18"/>
                <w:lang w:val="en-GB" w:eastAsia="lt-LT"/>
              </w:rPr>
              <w:t>7</w:t>
            </w:r>
          </w:p>
        </w:tc>
        <w:tc>
          <w:tcPr>
            <w:tcW w:w="6378" w:type="dxa"/>
            <w:shd w:val="clear" w:color="auto" w:fill="auto"/>
            <w:vAlign w:val="center"/>
          </w:tcPr>
          <w:p w:rsidR="007F0423" w:rsidRPr="009348A3" w:rsidRDefault="007F0423" w:rsidP="000D0444">
            <w:pPr>
              <w:widowControl w:val="0"/>
              <w:tabs>
                <w:tab w:val="left" w:pos="622"/>
              </w:tabs>
              <w:spacing w:after="0" w:line="240" w:lineRule="auto"/>
              <w:rPr>
                <w:rFonts w:ascii="Times New Roman" w:eastAsia="AngsanaUPC" w:hAnsi="Times New Roman"/>
                <w:bCs/>
                <w:sz w:val="18"/>
                <w:szCs w:val="18"/>
                <w:lang w:eastAsia="lt-LT"/>
              </w:rPr>
            </w:pPr>
            <w:r w:rsidRPr="009348A3">
              <w:rPr>
                <w:rFonts w:ascii="Times New Roman" w:eastAsia="AngsanaUPC" w:hAnsi="Times New Roman"/>
                <w:bCs/>
                <w:sz w:val="18"/>
                <w:szCs w:val="18"/>
                <w:lang w:eastAsia="lt-LT"/>
              </w:rPr>
              <w:t>Gamtinės dujos</w:t>
            </w:r>
          </w:p>
        </w:tc>
        <w:tc>
          <w:tcPr>
            <w:tcW w:w="1843" w:type="dxa"/>
            <w:shd w:val="clear" w:color="auto" w:fill="auto"/>
            <w:vAlign w:val="center"/>
          </w:tcPr>
          <w:p w:rsidR="007F0423" w:rsidRPr="00FC6264" w:rsidRDefault="00AC364A" w:rsidP="000D0444">
            <w:pPr>
              <w:widowControl w:val="0"/>
              <w:tabs>
                <w:tab w:val="left" w:pos="622"/>
              </w:tabs>
              <w:spacing w:after="0" w:line="240" w:lineRule="auto"/>
              <w:jc w:val="right"/>
              <w:rPr>
                <w:rFonts w:ascii="Times New Roman" w:eastAsia="AngsanaUPC" w:hAnsi="Times New Roman"/>
                <w:bCs/>
                <w:sz w:val="18"/>
                <w:szCs w:val="18"/>
                <w:lang w:val="en-GB" w:eastAsia="lt-LT"/>
              </w:rPr>
            </w:pPr>
            <w:r w:rsidRPr="00FC6264">
              <w:rPr>
                <w:rFonts w:ascii="Times New Roman" w:eastAsia="AngsanaUPC" w:hAnsi="Times New Roman"/>
                <w:bCs/>
                <w:sz w:val="18"/>
                <w:szCs w:val="18"/>
                <w:lang w:val="en-GB" w:eastAsia="lt-LT"/>
              </w:rPr>
              <w:t>52</w:t>
            </w:r>
            <w:r w:rsidR="009348A3" w:rsidRPr="00FC6264">
              <w:rPr>
                <w:rFonts w:ascii="Times New Roman" w:eastAsia="AngsanaUPC" w:hAnsi="Times New Roman"/>
                <w:bCs/>
                <w:sz w:val="18"/>
                <w:szCs w:val="18"/>
                <w:lang w:val="en-GB" w:eastAsia="lt-LT"/>
              </w:rPr>
              <w:t>.</w:t>
            </w:r>
            <w:r w:rsidR="00ED11F4" w:rsidRPr="00FC6264">
              <w:rPr>
                <w:rFonts w:ascii="Times New Roman" w:eastAsia="AngsanaUPC" w:hAnsi="Times New Roman"/>
                <w:bCs/>
                <w:sz w:val="18"/>
                <w:szCs w:val="18"/>
                <w:lang w:val="en-GB" w:eastAsia="lt-LT"/>
              </w:rPr>
              <w:t>583</w:t>
            </w:r>
            <w:r w:rsidR="009348A3" w:rsidRPr="00FC6264">
              <w:rPr>
                <w:rFonts w:ascii="Times New Roman" w:eastAsia="AngsanaUPC" w:hAnsi="Times New Roman"/>
                <w:bCs/>
                <w:sz w:val="18"/>
                <w:szCs w:val="18"/>
                <w:lang w:val="en-GB" w:eastAsia="lt-LT"/>
              </w:rPr>
              <w:t>.</w:t>
            </w:r>
            <w:r w:rsidR="00ED11F4" w:rsidRPr="00FC6264">
              <w:rPr>
                <w:rFonts w:ascii="Times New Roman" w:eastAsia="AngsanaUPC" w:hAnsi="Times New Roman"/>
                <w:bCs/>
                <w:sz w:val="18"/>
                <w:szCs w:val="18"/>
                <w:lang w:val="en-GB" w:eastAsia="lt-LT"/>
              </w:rPr>
              <w:t>163</w:t>
            </w:r>
          </w:p>
        </w:tc>
      </w:tr>
      <w:tr w:rsidR="007F0423" w:rsidRPr="009348A3" w:rsidTr="003D4200">
        <w:tc>
          <w:tcPr>
            <w:tcW w:w="851" w:type="dxa"/>
            <w:shd w:val="clear" w:color="auto" w:fill="auto"/>
            <w:vAlign w:val="center"/>
          </w:tcPr>
          <w:p w:rsidR="007F0423" w:rsidRPr="008F339D" w:rsidRDefault="007F0423" w:rsidP="000D0444">
            <w:pPr>
              <w:widowControl w:val="0"/>
              <w:tabs>
                <w:tab w:val="left" w:pos="622"/>
              </w:tabs>
              <w:spacing w:after="0" w:line="240" w:lineRule="auto"/>
              <w:rPr>
                <w:rFonts w:ascii="Times New Roman" w:eastAsia="AngsanaUPC" w:hAnsi="Times New Roman"/>
                <w:bCs/>
                <w:sz w:val="18"/>
                <w:szCs w:val="18"/>
                <w:lang w:eastAsia="lt-LT"/>
              </w:rPr>
            </w:pPr>
            <w:r w:rsidRPr="008F339D">
              <w:rPr>
                <w:rFonts w:ascii="Times New Roman" w:eastAsia="AngsanaUPC" w:hAnsi="Times New Roman"/>
                <w:bCs/>
                <w:sz w:val="18"/>
                <w:szCs w:val="18"/>
                <w:lang w:eastAsia="lt-LT"/>
              </w:rPr>
              <w:t>SaF</w:t>
            </w:r>
          </w:p>
        </w:tc>
        <w:tc>
          <w:tcPr>
            <w:tcW w:w="709" w:type="dxa"/>
            <w:shd w:val="clear" w:color="auto" w:fill="auto"/>
            <w:vAlign w:val="center"/>
          </w:tcPr>
          <w:p w:rsidR="007F0423" w:rsidRPr="009348A3" w:rsidRDefault="007F0423" w:rsidP="000D0444">
            <w:pPr>
              <w:widowControl w:val="0"/>
              <w:tabs>
                <w:tab w:val="left" w:pos="622"/>
              </w:tabs>
              <w:spacing w:after="0" w:line="240" w:lineRule="auto"/>
              <w:rPr>
                <w:rFonts w:ascii="Times New Roman" w:eastAsia="AngsanaUPC" w:hAnsi="Times New Roman"/>
                <w:bCs/>
                <w:sz w:val="18"/>
                <w:szCs w:val="18"/>
                <w:lang w:val="en-GB" w:eastAsia="lt-LT"/>
              </w:rPr>
            </w:pPr>
            <w:r w:rsidRPr="009348A3">
              <w:rPr>
                <w:rFonts w:ascii="Times New Roman" w:eastAsia="AngsanaUPC" w:hAnsi="Times New Roman"/>
                <w:bCs/>
                <w:sz w:val="18"/>
                <w:szCs w:val="18"/>
                <w:lang w:val="en-GB" w:eastAsia="lt-LT"/>
              </w:rPr>
              <w:t>24</w:t>
            </w:r>
          </w:p>
        </w:tc>
        <w:tc>
          <w:tcPr>
            <w:tcW w:w="6378" w:type="dxa"/>
            <w:shd w:val="clear" w:color="auto" w:fill="auto"/>
            <w:vAlign w:val="center"/>
          </w:tcPr>
          <w:p w:rsidR="007F0423" w:rsidRPr="009348A3" w:rsidRDefault="007F0423" w:rsidP="000D0444">
            <w:pPr>
              <w:widowControl w:val="0"/>
              <w:tabs>
                <w:tab w:val="left" w:pos="622"/>
              </w:tabs>
              <w:spacing w:after="0" w:line="240" w:lineRule="auto"/>
              <w:rPr>
                <w:rFonts w:ascii="Times New Roman" w:eastAsia="AngsanaUPC" w:hAnsi="Times New Roman"/>
                <w:bCs/>
                <w:sz w:val="18"/>
                <w:szCs w:val="18"/>
                <w:lang w:eastAsia="lt-LT"/>
              </w:rPr>
            </w:pPr>
            <w:r w:rsidRPr="009348A3">
              <w:rPr>
                <w:rFonts w:ascii="Times New Roman" w:eastAsia="AngsanaUPC" w:hAnsi="Times New Roman"/>
                <w:bCs/>
                <w:sz w:val="18"/>
                <w:szCs w:val="18"/>
                <w:lang w:eastAsia="lt-LT"/>
              </w:rPr>
              <w:t>Geležinkeliai (TEN</w:t>
            </w:r>
            <w:proofErr w:type="gramStart"/>
            <w:r w:rsidRPr="009348A3">
              <w:rPr>
                <w:rFonts w:ascii="Times New Roman" w:eastAsia="AngsanaUPC" w:hAnsi="Times New Roman"/>
                <w:bCs/>
                <w:sz w:val="18"/>
                <w:szCs w:val="18"/>
                <w:lang w:eastAsia="lt-LT"/>
              </w:rPr>
              <w:t>-</w:t>
            </w:r>
            <w:proofErr w:type="gramEnd"/>
            <w:r w:rsidRPr="009348A3">
              <w:rPr>
                <w:rFonts w:ascii="Times New Roman" w:eastAsia="AngsanaUPC" w:hAnsi="Times New Roman"/>
                <w:bCs/>
                <w:sz w:val="18"/>
                <w:szCs w:val="18"/>
                <w:lang w:eastAsia="lt-LT"/>
              </w:rPr>
              <w:t>T pagrindinis tinklas)</w:t>
            </w:r>
          </w:p>
        </w:tc>
        <w:tc>
          <w:tcPr>
            <w:tcW w:w="1843" w:type="dxa"/>
            <w:shd w:val="clear" w:color="auto" w:fill="auto"/>
            <w:vAlign w:val="center"/>
          </w:tcPr>
          <w:p w:rsidR="007F0423" w:rsidRPr="00FC6264" w:rsidRDefault="00ED11F4" w:rsidP="000D0444">
            <w:pPr>
              <w:widowControl w:val="0"/>
              <w:tabs>
                <w:tab w:val="left" w:pos="622"/>
              </w:tabs>
              <w:spacing w:after="0" w:line="240" w:lineRule="auto"/>
              <w:jc w:val="right"/>
              <w:rPr>
                <w:rFonts w:ascii="Times New Roman" w:eastAsia="AngsanaUPC" w:hAnsi="Times New Roman"/>
                <w:bCs/>
                <w:sz w:val="18"/>
                <w:szCs w:val="18"/>
                <w:lang w:val="en-GB" w:eastAsia="lt-LT"/>
              </w:rPr>
            </w:pPr>
            <w:r w:rsidRPr="00FC6264">
              <w:rPr>
                <w:rFonts w:ascii="Times New Roman" w:eastAsia="AngsanaUPC" w:hAnsi="Times New Roman"/>
                <w:bCs/>
                <w:sz w:val="18"/>
                <w:szCs w:val="18"/>
                <w:lang w:val="en-GB" w:eastAsia="lt-LT"/>
              </w:rPr>
              <w:t>244</w:t>
            </w:r>
            <w:r w:rsidR="009348A3"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140</w:t>
            </w:r>
            <w:r w:rsidR="009348A3"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748</w:t>
            </w:r>
          </w:p>
        </w:tc>
      </w:tr>
      <w:tr w:rsidR="007F0423" w:rsidRPr="009348A3" w:rsidTr="003D4200">
        <w:tc>
          <w:tcPr>
            <w:tcW w:w="851" w:type="dxa"/>
            <w:shd w:val="clear" w:color="auto" w:fill="auto"/>
            <w:vAlign w:val="center"/>
          </w:tcPr>
          <w:p w:rsidR="007F0423" w:rsidRPr="008F339D" w:rsidRDefault="007F0423" w:rsidP="000D0444">
            <w:pPr>
              <w:widowControl w:val="0"/>
              <w:tabs>
                <w:tab w:val="left" w:pos="622"/>
              </w:tabs>
              <w:spacing w:after="0" w:line="240" w:lineRule="auto"/>
              <w:rPr>
                <w:rFonts w:ascii="Times New Roman" w:eastAsia="AngsanaUPC" w:hAnsi="Times New Roman"/>
                <w:bCs/>
                <w:sz w:val="18"/>
                <w:szCs w:val="18"/>
                <w:lang w:eastAsia="lt-LT"/>
              </w:rPr>
            </w:pPr>
            <w:r w:rsidRPr="008F339D">
              <w:rPr>
                <w:rFonts w:ascii="Times New Roman" w:eastAsia="AngsanaUPC" w:hAnsi="Times New Roman"/>
                <w:bCs/>
                <w:sz w:val="18"/>
                <w:szCs w:val="18"/>
                <w:lang w:eastAsia="lt-LT"/>
              </w:rPr>
              <w:t>ERPF</w:t>
            </w:r>
          </w:p>
        </w:tc>
        <w:tc>
          <w:tcPr>
            <w:tcW w:w="709" w:type="dxa"/>
            <w:shd w:val="clear" w:color="auto" w:fill="auto"/>
            <w:vAlign w:val="center"/>
          </w:tcPr>
          <w:p w:rsidR="007F0423" w:rsidRPr="009348A3" w:rsidRDefault="007F0423" w:rsidP="000D0444">
            <w:pPr>
              <w:widowControl w:val="0"/>
              <w:tabs>
                <w:tab w:val="left" w:pos="622"/>
              </w:tabs>
              <w:spacing w:after="0" w:line="240" w:lineRule="auto"/>
              <w:rPr>
                <w:rFonts w:ascii="Times New Roman" w:eastAsia="AngsanaUPC" w:hAnsi="Times New Roman"/>
                <w:bCs/>
                <w:sz w:val="18"/>
                <w:szCs w:val="18"/>
                <w:lang w:val="en-GB" w:eastAsia="lt-LT"/>
              </w:rPr>
            </w:pPr>
            <w:r w:rsidRPr="009348A3">
              <w:rPr>
                <w:rFonts w:ascii="Times New Roman" w:eastAsia="AngsanaUPC" w:hAnsi="Times New Roman"/>
                <w:bCs/>
                <w:sz w:val="18"/>
                <w:szCs w:val="18"/>
                <w:lang w:val="en-GB" w:eastAsia="lt-LT"/>
              </w:rPr>
              <w:t>26</w:t>
            </w:r>
          </w:p>
        </w:tc>
        <w:tc>
          <w:tcPr>
            <w:tcW w:w="6378" w:type="dxa"/>
            <w:shd w:val="clear" w:color="auto" w:fill="auto"/>
            <w:vAlign w:val="center"/>
          </w:tcPr>
          <w:p w:rsidR="007F0423" w:rsidRPr="009348A3" w:rsidRDefault="007F0423" w:rsidP="000D0444">
            <w:pPr>
              <w:widowControl w:val="0"/>
              <w:tabs>
                <w:tab w:val="left" w:pos="622"/>
              </w:tabs>
              <w:spacing w:after="0" w:line="240" w:lineRule="auto"/>
              <w:rPr>
                <w:rFonts w:ascii="Times New Roman" w:eastAsia="AngsanaUPC" w:hAnsi="Times New Roman"/>
                <w:bCs/>
                <w:sz w:val="18"/>
                <w:szCs w:val="18"/>
                <w:lang w:eastAsia="lt-LT"/>
              </w:rPr>
            </w:pPr>
            <w:r w:rsidRPr="009348A3">
              <w:rPr>
                <w:rFonts w:ascii="Times New Roman" w:eastAsia="AngsanaUPC" w:hAnsi="Times New Roman"/>
                <w:bCs/>
                <w:sz w:val="18"/>
                <w:szCs w:val="18"/>
                <w:lang w:eastAsia="lt-LT"/>
              </w:rPr>
              <w:t>Kiti geležinkeliai</w:t>
            </w:r>
          </w:p>
        </w:tc>
        <w:tc>
          <w:tcPr>
            <w:tcW w:w="1843" w:type="dxa"/>
            <w:shd w:val="clear" w:color="auto" w:fill="auto"/>
            <w:vAlign w:val="center"/>
          </w:tcPr>
          <w:p w:rsidR="007F0423" w:rsidRPr="00FC6264" w:rsidRDefault="00AC364A" w:rsidP="00ED11F4">
            <w:pPr>
              <w:widowControl w:val="0"/>
              <w:tabs>
                <w:tab w:val="left" w:pos="622"/>
              </w:tabs>
              <w:spacing w:after="0" w:line="240" w:lineRule="auto"/>
              <w:jc w:val="right"/>
              <w:rPr>
                <w:rFonts w:ascii="Times New Roman" w:eastAsia="AngsanaUPC" w:hAnsi="Times New Roman"/>
                <w:bCs/>
                <w:sz w:val="18"/>
                <w:szCs w:val="18"/>
                <w:lang w:val="en-GB" w:eastAsia="lt-LT"/>
              </w:rPr>
            </w:pPr>
            <w:r w:rsidRPr="00FC6264">
              <w:rPr>
                <w:rFonts w:ascii="Times New Roman" w:eastAsia="AngsanaUPC" w:hAnsi="Times New Roman"/>
                <w:bCs/>
                <w:sz w:val="18"/>
                <w:szCs w:val="18"/>
                <w:lang w:val="en-GB" w:eastAsia="lt-LT"/>
              </w:rPr>
              <w:t>49</w:t>
            </w:r>
            <w:r w:rsidR="009348A3"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640</w:t>
            </w:r>
            <w:r w:rsidR="009348A3"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405</w:t>
            </w:r>
          </w:p>
        </w:tc>
      </w:tr>
      <w:tr w:rsidR="007F0423" w:rsidRPr="009348A3" w:rsidTr="003D4200">
        <w:tc>
          <w:tcPr>
            <w:tcW w:w="851" w:type="dxa"/>
            <w:shd w:val="clear" w:color="auto" w:fill="auto"/>
            <w:vAlign w:val="center"/>
          </w:tcPr>
          <w:p w:rsidR="007F0423" w:rsidRPr="008F339D" w:rsidRDefault="007F0423" w:rsidP="000D0444">
            <w:pPr>
              <w:widowControl w:val="0"/>
              <w:tabs>
                <w:tab w:val="left" w:pos="622"/>
              </w:tabs>
              <w:spacing w:after="0" w:line="240" w:lineRule="auto"/>
              <w:rPr>
                <w:rFonts w:ascii="Times New Roman" w:eastAsia="AngsanaUPC" w:hAnsi="Times New Roman"/>
                <w:bCs/>
                <w:sz w:val="18"/>
                <w:szCs w:val="18"/>
                <w:lang w:eastAsia="lt-LT"/>
              </w:rPr>
            </w:pPr>
            <w:r w:rsidRPr="008F339D">
              <w:rPr>
                <w:rFonts w:ascii="Times New Roman" w:eastAsia="AngsanaUPC" w:hAnsi="Times New Roman"/>
                <w:bCs/>
                <w:sz w:val="18"/>
                <w:szCs w:val="18"/>
                <w:lang w:eastAsia="lt-LT"/>
              </w:rPr>
              <w:t>SaF</w:t>
            </w:r>
          </w:p>
        </w:tc>
        <w:tc>
          <w:tcPr>
            <w:tcW w:w="709" w:type="dxa"/>
            <w:shd w:val="clear" w:color="auto" w:fill="auto"/>
            <w:vAlign w:val="center"/>
          </w:tcPr>
          <w:p w:rsidR="007F0423" w:rsidRPr="009348A3" w:rsidRDefault="007F0423" w:rsidP="000D0444">
            <w:pPr>
              <w:widowControl w:val="0"/>
              <w:tabs>
                <w:tab w:val="left" w:pos="622"/>
              </w:tabs>
              <w:spacing w:after="0" w:line="240" w:lineRule="auto"/>
              <w:rPr>
                <w:rFonts w:ascii="Times New Roman" w:eastAsia="AngsanaUPC" w:hAnsi="Times New Roman"/>
                <w:bCs/>
                <w:sz w:val="18"/>
                <w:szCs w:val="18"/>
                <w:lang w:val="en-GB" w:eastAsia="lt-LT"/>
              </w:rPr>
            </w:pPr>
            <w:r w:rsidRPr="009348A3">
              <w:rPr>
                <w:rFonts w:ascii="Times New Roman" w:eastAsia="AngsanaUPC" w:hAnsi="Times New Roman"/>
                <w:bCs/>
                <w:sz w:val="18"/>
                <w:szCs w:val="18"/>
                <w:lang w:val="en-GB" w:eastAsia="lt-LT"/>
              </w:rPr>
              <w:t>28</w:t>
            </w:r>
          </w:p>
        </w:tc>
        <w:tc>
          <w:tcPr>
            <w:tcW w:w="6378" w:type="dxa"/>
            <w:shd w:val="clear" w:color="auto" w:fill="auto"/>
            <w:vAlign w:val="center"/>
          </w:tcPr>
          <w:p w:rsidR="007F0423" w:rsidRPr="009348A3" w:rsidRDefault="007F0423" w:rsidP="000D0444">
            <w:pPr>
              <w:widowControl w:val="0"/>
              <w:tabs>
                <w:tab w:val="left" w:pos="622"/>
              </w:tabs>
              <w:spacing w:after="0" w:line="240" w:lineRule="auto"/>
              <w:rPr>
                <w:rFonts w:ascii="Times New Roman" w:eastAsia="AngsanaUPC" w:hAnsi="Times New Roman"/>
                <w:bCs/>
                <w:sz w:val="18"/>
                <w:szCs w:val="18"/>
                <w:lang w:eastAsia="lt-LT"/>
              </w:rPr>
            </w:pPr>
            <w:r w:rsidRPr="009348A3">
              <w:rPr>
                <w:rFonts w:ascii="Times New Roman" w:eastAsia="AngsanaUPC" w:hAnsi="Times New Roman"/>
                <w:bCs/>
                <w:sz w:val="18"/>
                <w:szCs w:val="18"/>
                <w:lang w:eastAsia="lt-LT"/>
              </w:rPr>
              <w:t>TEN</w:t>
            </w:r>
            <w:proofErr w:type="gramStart"/>
            <w:r w:rsidRPr="009348A3">
              <w:rPr>
                <w:rFonts w:ascii="Times New Roman" w:eastAsia="AngsanaUPC" w:hAnsi="Times New Roman"/>
                <w:bCs/>
                <w:sz w:val="18"/>
                <w:szCs w:val="18"/>
                <w:lang w:eastAsia="lt-LT"/>
              </w:rPr>
              <w:t>-</w:t>
            </w:r>
            <w:proofErr w:type="gramEnd"/>
            <w:r w:rsidRPr="009348A3">
              <w:rPr>
                <w:rFonts w:ascii="Times New Roman" w:eastAsia="AngsanaUPC" w:hAnsi="Times New Roman"/>
                <w:bCs/>
                <w:sz w:val="18"/>
                <w:szCs w:val="18"/>
                <w:lang w:eastAsia="lt-LT"/>
              </w:rPr>
              <w:t>T greitkeliai ir keliai: pagrindinis tinklas (naujai nutiesti)</w:t>
            </w:r>
          </w:p>
        </w:tc>
        <w:tc>
          <w:tcPr>
            <w:tcW w:w="1843" w:type="dxa"/>
            <w:shd w:val="clear" w:color="auto" w:fill="auto"/>
            <w:vAlign w:val="center"/>
          </w:tcPr>
          <w:p w:rsidR="007F0423" w:rsidRPr="00FC6264" w:rsidRDefault="007F0423" w:rsidP="00ED11F4">
            <w:pPr>
              <w:widowControl w:val="0"/>
              <w:tabs>
                <w:tab w:val="left" w:pos="622"/>
              </w:tabs>
              <w:spacing w:after="0" w:line="240" w:lineRule="auto"/>
              <w:jc w:val="right"/>
              <w:rPr>
                <w:rFonts w:ascii="Times New Roman" w:eastAsia="AngsanaUPC" w:hAnsi="Times New Roman"/>
                <w:bCs/>
                <w:sz w:val="18"/>
                <w:szCs w:val="18"/>
                <w:lang w:val="en-GB" w:eastAsia="lt-LT"/>
              </w:rPr>
            </w:pPr>
            <w:r w:rsidRPr="00FC6264">
              <w:rPr>
                <w:rFonts w:ascii="Times New Roman" w:eastAsia="AngsanaUPC" w:hAnsi="Times New Roman"/>
                <w:bCs/>
                <w:sz w:val="18"/>
                <w:szCs w:val="18"/>
                <w:lang w:val="en-GB" w:eastAsia="lt-LT"/>
              </w:rPr>
              <w:t>86</w:t>
            </w:r>
            <w:r w:rsidR="009348A3"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877</w:t>
            </w:r>
            <w:r w:rsidR="009348A3"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027</w:t>
            </w:r>
          </w:p>
        </w:tc>
      </w:tr>
      <w:tr w:rsidR="007F0423" w:rsidRPr="009348A3" w:rsidTr="003D4200">
        <w:tc>
          <w:tcPr>
            <w:tcW w:w="851" w:type="dxa"/>
            <w:shd w:val="clear" w:color="auto" w:fill="auto"/>
            <w:vAlign w:val="center"/>
          </w:tcPr>
          <w:p w:rsidR="007F0423" w:rsidRPr="008F339D" w:rsidRDefault="007F0423" w:rsidP="000D0444">
            <w:pPr>
              <w:widowControl w:val="0"/>
              <w:tabs>
                <w:tab w:val="left" w:pos="622"/>
              </w:tabs>
              <w:spacing w:after="0" w:line="240" w:lineRule="auto"/>
              <w:rPr>
                <w:rFonts w:ascii="Times New Roman" w:eastAsia="AngsanaUPC" w:hAnsi="Times New Roman"/>
                <w:bCs/>
                <w:sz w:val="18"/>
                <w:szCs w:val="18"/>
                <w:lang w:eastAsia="lt-LT"/>
              </w:rPr>
            </w:pPr>
            <w:r w:rsidRPr="008F339D">
              <w:rPr>
                <w:rFonts w:ascii="Times New Roman" w:eastAsia="AngsanaUPC" w:hAnsi="Times New Roman"/>
                <w:bCs/>
                <w:sz w:val="18"/>
                <w:szCs w:val="18"/>
                <w:lang w:eastAsia="lt-LT"/>
              </w:rPr>
              <w:t>SaF</w:t>
            </w:r>
          </w:p>
        </w:tc>
        <w:tc>
          <w:tcPr>
            <w:tcW w:w="709" w:type="dxa"/>
            <w:shd w:val="clear" w:color="auto" w:fill="auto"/>
            <w:vAlign w:val="center"/>
          </w:tcPr>
          <w:p w:rsidR="007F0423" w:rsidRPr="009348A3" w:rsidRDefault="007F0423" w:rsidP="000D0444">
            <w:pPr>
              <w:widowControl w:val="0"/>
              <w:tabs>
                <w:tab w:val="left" w:pos="622"/>
              </w:tabs>
              <w:spacing w:after="0" w:line="240" w:lineRule="auto"/>
              <w:rPr>
                <w:rFonts w:ascii="Times New Roman" w:eastAsia="AngsanaUPC" w:hAnsi="Times New Roman"/>
                <w:bCs/>
                <w:sz w:val="18"/>
                <w:szCs w:val="18"/>
                <w:lang w:val="en-GB" w:eastAsia="lt-LT"/>
              </w:rPr>
            </w:pPr>
            <w:r w:rsidRPr="009348A3">
              <w:rPr>
                <w:rFonts w:ascii="Times New Roman" w:eastAsia="AngsanaUPC" w:hAnsi="Times New Roman"/>
                <w:bCs/>
                <w:sz w:val="18"/>
                <w:szCs w:val="18"/>
                <w:lang w:val="en-GB" w:eastAsia="lt-LT"/>
              </w:rPr>
              <w:t>33</w:t>
            </w:r>
          </w:p>
        </w:tc>
        <w:tc>
          <w:tcPr>
            <w:tcW w:w="6378" w:type="dxa"/>
            <w:shd w:val="clear" w:color="auto" w:fill="auto"/>
            <w:vAlign w:val="center"/>
          </w:tcPr>
          <w:p w:rsidR="007F0423" w:rsidRPr="009348A3" w:rsidRDefault="007F0423" w:rsidP="000D0444">
            <w:pPr>
              <w:widowControl w:val="0"/>
              <w:tabs>
                <w:tab w:val="left" w:pos="622"/>
              </w:tabs>
              <w:spacing w:after="0" w:line="240" w:lineRule="auto"/>
              <w:rPr>
                <w:rFonts w:ascii="Times New Roman" w:eastAsia="AngsanaUPC" w:hAnsi="Times New Roman"/>
                <w:bCs/>
                <w:sz w:val="18"/>
                <w:szCs w:val="18"/>
                <w:lang w:eastAsia="lt-LT"/>
              </w:rPr>
            </w:pPr>
            <w:r w:rsidRPr="009348A3">
              <w:rPr>
                <w:rFonts w:ascii="Times New Roman" w:eastAsia="AngsanaUPC" w:hAnsi="Times New Roman"/>
                <w:bCs/>
                <w:sz w:val="18"/>
                <w:szCs w:val="18"/>
                <w:lang w:eastAsia="lt-LT"/>
              </w:rPr>
              <w:t>Rekonstruotas ar pagerintas TEN</w:t>
            </w:r>
            <w:proofErr w:type="gramStart"/>
            <w:r w:rsidRPr="009348A3">
              <w:rPr>
                <w:rFonts w:ascii="Times New Roman" w:eastAsia="AngsanaUPC" w:hAnsi="Times New Roman"/>
                <w:bCs/>
                <w:sz w:val="18"/>
                <w:szCs w:val="18"/>
                <w:lang w:eastAsia="lt-LT"/>
              </w:rPr>
              <w:t>-</w:t>
            </w:r>
            <w:proofErr w:type="gramEnd"/>
            <w:r w:rsidRPr="009348A3">
              <w:rPr>
                <w:rFonts w:ascii="Times New Roman" w:eastAsia="AngsanaUPC" w:hAnsi="Times New Roman"/>
                <w:bCs/>
                <w:sz w:val="18"/>
                <w:szCs w:val="18"/>
                <w:lang w:eastAsia="lt-LT"/>
              </w:rPr>
              <w:t>T kelias</w:t>
            </w:r>
          </w:p>
        </w:tc>
        <w:tc>
          <w:tcPr>
            <w:tcW w:w="1843" w:type="dxa"/>
            <w:shd w:val="clear" w:color="auto" w:fill="auto"/>
            <w:vAlign w:val="center"/>
          </w:tcPr>
          <w:p w:rsidR="007F0423" w:rsidRPr="00FC6264" w:rsidRDefault="003946F0" w:rsidP="003946F0">
            <w:pPr>
              <w:widowControl w:val="0"/>
              <w:tabs>
                <w:tab w:val="left" w:pos="622"/>
              </w:tabs>
              <w:spacing w:after="0" w:line="240" w:lineRule="auto"/>
              <w:jc w:val="right"/>
              <w:rPr>
                <w:rFonts w:ascii="Times New Roman" w:eastAsia="AngsanaUPC" w:hAnsi="Times New Roman"/>
                <w:bCs/>
                <w:sz w:val="18"/>
                <w:szCs w:val="18"/>
                <w:lang w:val="en-GB" w:eastAsia="lt-LT"/>
              </w:rPr>
            </w:pPr>
            <w:r w:rsidRPr="00FC6264">
              <w:rPr>
                <w:rFonts w:ascii="Times New Roman" w:eastAsia="AngsanaUPC" w:hAnsi="Times New Roman"/>
                <w:bCs/>
                <w:sz w:val="18"/>
                <w:szCs w:val="18"/>
                <w:lang w:val="en-GB" w:eastAsia="lt-LT"/>
              </w:rPr>
              <w:t>222</w:t>
            </w:r>
            <w:r w:rsidR="009348A3"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743</w:t>
            </w:r>
            <w:r w:rsidR="009348A3"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301</w:t>
            </w:r>
          </w:p>
        </w:tc>
      </w:tr>
      <w:tr w:rsidR="007F0423" w:rsidRPr="009348A3" w:rsidTr="003D4200">
        <w:tc>
          <w:tcPr>
            <w:tcW w:w="851" w:type="dxa"/>
            <w:shd w:val="clear" w:color="auto" w:fill="auto"/>
            <w:vAlign w:val="center"/>
          </w:tcPr>
          <w:p w:rsidR="007F0423" w:rsidRPr="008F339D" w:rsidRDefault="007F0423" w:rsidP="000D0444">
            <w:pPr>
              <w:widowControl w:val="0"/>
              <w:tabs>
                <w:tab w:val="left" w:pos="622"/>
              </w:tabs>
              <w:spacing w:after="0" w:line="240" w:lineRule="auto"/>
              <w:rPr>
                <w:rFonts w:ascii="Times New Roman" w:eastAsia="AngsanaUPC" w:hAnsi="Times New Roman"/>
                <w:bCs/>
                <w:sz w:val="18"/>
                <w:szCs w:val="18"/>
                <w:lang w:eastAsia="lt-LT"/>
              </w:rPr>
            </w:pPr>
            <w:r w:rsidRPr="008F339D">
              <w:rPr>
                <w:rFonts w:ascii="Times New Roman" w:eastAsia="AngsanaUPC" w:hAnsi="Times New Roman"/>
                <w:bCs/>
                <w:sz w:val="18"/>
                <w:szCs w:val="18"/>
                <w:lang w:eastAsia="lt-LT"/>
              </w:rPr>
              <w:t>ERPF</w:t>
            </w:r>
          </w:p>
        </w:tc>
        <w:tc>
          <w:tcPr>
            <w:tcW w:w="709" w:type="dxa"/>
            <w:shd w:val="clear" w:color="auto" w:fill="auto"/>
            <w:vAlign w:val="center"/>
          </w:tcPr>
          <w:p w:rsidR="007F0423" w:rsidRPr="009348A3" w:rsidRDefault="007F0423" w:rsidP="000D0444">
            <w:pPr>
              <w:widowControl w:val="0"/>
              <w:tabs>
                <w:tab w:val="left" w:pos="622"/>
              </w:tabs>
              <w:spacing w:after="0" w:line="240" w:lineRule="auto"/>
              <w:rPr>
                <w:rFonts w:ascii="Times New Roman" w:eastAsia="AngsanaUPC" w:hAnsi="Times New Roman"/>
                <w:bCs/>
                <w:sz w:val="18"/>
                <w:szCs w:val="18"/>
                <w:lang w:val="en-GB" w:eastAsia="lt-LT"/>
              </w:rPr>
            </w:pPr>
            <w:r w:rsidRPr="009348A3">
              <w:rPr>
                <w:rFonts w:ascii="Times New Roman" w:eastAsia="AngsanaUPC" w:hAnsi="Times New Roman"/>
                <w:bCs/>
                <w:sz w:val="18"/>
                <w:szCs w:val="18"/>
                <w:lang w:val="en-GB" w:eastAsia="lt-LT"/>
              </w:rPr>
              <w:t>34</w:t>
            </w:r>
          </w:p>
        </w:tc>
        <w:tc>
          <w:tcPr>
            <w:tcW w:w="6378" w:type="dxa"/>
            <w:shd w:val="clear" w:color="auto" w:fill="auto"/>
            <w:vAlign w:val="center"/>
          </w:tcPr>
          <w:p w:rsidR="007F0423" w:rsidRPr="009348A3" w:rsidRDefault="007F0423" w:rsidP="007F0423">
            <w:pPr>
              <w:widowControl w:val="0"/>
              <w:tabs>
                <w:tab w:val="left" w:pos="622"/>
              </w:tabs>
              <w:spacing w:after="0" w:line="240" w:lineRule="auto"/>
              <w:rPr>
                <w:rFonts w:ascii="Times New Roman" w:eastAsia="AngsanaUPC" w:hAnsi="Times New Roman"/>
                <w:bCs/>
                <w:sz w:val="18"/>
                <w:szCs w:val="18"/>
                <w:lang w:eastAsia="lt-LT"/>
              </w:rPr>
            </w:pPr>
            <w:r w:rsidRPr="009348A3">
              <w:rPr>
                <w:rFonts w:ascii="Times New Roman" w:eastAsia="AngsanaUPC" w:hAnsi="Times New Roman"/>
                <w:bCs/>
                <w:sz w:val="18"/>
                <w:szCs w:val="18"/>
                <w:lang w:eastAsia="lt-LT"/>
              </w:rPr>
              <w:t>Rekonstruotas ar pagerintas kitas kelias (greitkelis, nacionalinis, regioninis ar vietos kelias)</w:t>
            </w:r>
          </w:p>
        </w:tc>
        <w:tc>
          <w:tcPr>
            <w:tcW w:w="1843" w:type="dxa"/>
            <w:shd w:val="clear" w:color="auto" w:fill="auto"/>
            <w:vAlign w:val="center"/>
          </w:tcPr>
          <w:p w:rsidR="007F0423" w:rsidRPr="00FC6264" w:rsidRDefault="007F0423" w:rsidP="00AC364A">
            <w:pPr>
              <w:widowControl w:val="0"/>
              <w:tabs>
                <w:tab w:val="left" w:pos="622"/>
              </w:tabs>
              <w:spacing w:after="0" w:line="240" w:lineRule="auto"/>
              <w:jc w:val="right"/>
              <w:rPr>
                <w:rFonts w:ascii="Times New Roman" w:eastAsia="AngsanaUPC" w:hAnsi="Times New Roman"/>
                <w:bCs/>
                <w:sz w:val="18"/>
                <w:szCs w:val="18"/>
                <w:lang w:val="en-GB" w:eastAsia="lt-LT"/>
              </w:rPr>
            </w:pPr>
            <w:r w:rsidRPr="00FC6264">
              <w:rPr>
                <w:rFonts w:ascii="Times New Roman" w:eastAsia="AngsanaUPC" w:hAnsi="Times New Roman"/>
                <w:bCs/>
                <w:sz w:val="18"/>
                <w:szCs w:val="18"/>
                <w:lang w:val="en-GB" w:eastAsia="lt-LT"/>
              </w:rPr>
              <w:t>1</w:t>
            </w:r>
            <w:r w:rsidR="00AC364A" w:rsidRPr="00FC6264">
              <w:rPr>
                <w:rFonts w:ascii="Times New Roman" w:eastAsia="AngsanaUPC" w:hAnsi="Times New Roman"/>
                <w:bCs/>
                <w:sz w:val="18"/>
                <w:szCs w:val="18"/>
                <w:lang w:val="en-GB" w:eastAsia="lt-LT"/>
              </w:rPr>
              <w:t>42</w:t>
            </w:r>
            <w:r w:rsidR="009348A3" w:rsidRPr="00FC6264">
              <w:rPr>
                <w:rFonts w:ascii="Times New Roman" w:eastAsia="AngsanaUPC" w:hAnsi="Times New Roman"/>
                <w:bCs/>
                <w:sz w:val="18"/>
                <w:szCs w:val="18"/>
                <w:lang w:val="en-GB" w:eastAsia="lt-LT"/>
              </w:rPr>
              <w:t>.</w:t>
            </w:r>
            <w:r w:rsidR="00DA0DF6" w:rsidRPr="00FC6264">
              <w:rPr>
                <w:rFonts w:ascii="Times New Roman" w:eastAsia="AngsanaUPC" w:hAnsi="Times New Roman"/>
                <w:bCs/>
                <w:sz w:val="18"/>
                <w:szCs w:val="18"/>
                <w:lang w:val="en-GB" w:eastAsia="lt-LT"/>
              </w:rPr>
              <w:t>6215</w:t>
            </w:r>
            <w:r w:rsidR="009348A3"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3</w:t>
            </w:r>
            <w:r w:rsidR="00DA0DF6" w:rsidRPr="00FC6264">
              <w:rPr>
                <w:rFonts w:ascii="Times New Roman" w:eastAsia="AngsanaUPC" w:hAnsi="Times New Roman"/>
                <w:bCs/>
                <w:sz w:val="18"/>
                <w:szCs w:val="18"/>
                <w:lang w:val="en-GB" w:eastAsia="lt-LT"/>
              </w:rPr>
              <w:t>59</w:t>
            </w:r>
          </w:p>
        </w:tc>
      </w:tr>
      <w:tr w:rsidR="007F0423" w:rsidRPr="009348A3" w:rsidTr="003D4200">
        <w:tc>
          <w:tcPr>
            <w:tcW w:w="851" w:type="dxa"/>
            <w:shd w:val="clear" w:color="auto" w:fill="auto"/>
            <w:vAlign w:val="center"/>
          </w:tcPr>
          <w:p w:rsidR="007F0423" w:rsidRPr="008F339D" w:rsidRDefault="007F0423" w:rsidP="000D0444">
            <w:pPr>
              <w:widowControl w:val="0"/>
              <w:tabs>
                <w:tab w:val="left" w:pos="622"/>
              </w:tabs>
              <w:spacing w:after="0" w:line="240" w:lineRule="auto"/>
              <w:rPr>
                <w:rFonts w:ascii="Times New Roman" w:eastAsia="AngsanaUPC" w:hAnsi="Times New Roman"/>
                <w:bCs/>
                <w:sz w:val="18"/>
                <w:szCs w:val="18"/>
                <w:lang w:eastAsia="lt-LT"/>
              </w:rPr>
            </w:pPr>
            <w:r w:rsidRPr="008F339D">
              <w:rPr>
                <w:rFonts w:ascii="Times New Roman" w:eastAsia="AngsanaUPC" w:hAnsi="Times New Roman"/>
                <w:bCs/>
                <w:sz w:val="18"/>
                <w:szCs w:val="18"/>
                <w:lang w:eastAsia="lt-LT"/>
              </w:rPr>
              <w:t>SaF</w:t>
            </w:r>
          </w:p>
        </w:tc>
        <w:tc>
          <w:tcPr>
            <w:tcW w:w="709" w:type="dxa"/>
            <w:shd w:val="clear" w:color="auto" w:fill="auto"/>
            <w:vAlign w:val="center"/>
          </w:tcPr>
          <w:p w:rsidR="007F0423" w:rsidRPr="009348A3" w:rsidRDefault="007F0423" w:rsidP="000D0444">
            <w:pPr>
              <w:widowControl w:val="0"/>
              <w:tabs>
                <w:tab w:val="left" w:pos="622"/>
              </w:tabs>
              <w:spacing w:after="0" w:line="240" w:lineRule="auto"/>
              <w:rPr>
                <w:rFonts w:ascii="Times New Roman" w:eastAsia="AngsanaUPC" w:hAnsi="Times New Roman"/>
                <w:bCs/>
                <w:sz w:val="18"/>
                <w:szCs w:val="18"/>
                <w:lang w:val="en-GB" w:eastAsia="lt-LT"/>
              </w:rPr>
            </w:pPr>
            <w:r w:rsidRPr="009348A3">
              <w:rPr>
                <w:rFonts w:ascii="Times New Roman" w:eastAsia="AngsanaUPC" w:hAnsi="Times New Roman"/>
                <w:bCs/>
                <w:sz w:val="18"/>
                <w:szCs w:val="18"/>
                <w:lang w:val="en-GB" w:eastAsia="lt-LT"/>
              </w:rPr>
              <w:t>35</w:t>
            </w:r>
          </w:p>
        </w:tc>
        <w:tc>
          <w:tcPr>
            <w:tcW w:w="6378" w:type="dxa"/>
            <w:shd w:val="clear" w:color="auto" w:fill="auto"/>
            <w:vAlign w:val="center"/>
          </w:tcPr>
          <w:p w:rsidR="007F0423" w:rsidRPr="009348A3" w:rsidRDefault="007F0423" w:rsidP="000D0444">
            <w:pPr>
              <w:widowControl w:val="0"/>
              <w:tabs>
                <w:tab w:val="left" w:pos="622"/>
              </w:tabs>
              <w:spacing w:after="0" w:line="240" w:lineRule="auto"/>
              <w:rPr>
                <w:rFonts w:ascii="Times New Roman" w:eastAsia="AngsanaUPC" w:hAnsi="Times New Roman"/>
                <w:bCs/>
                <w:sz w:val="18"/>
                <w:szCs w:val="18"/>
                <w:lang w:eastAsia="lt-LT"/>
              </w:rPr>
            </w:pPr>
            <w:r w:rsidRPr="009348A3">
              <w:rPr>
                <w:rFonts w:ascii="Times New Roman" w:eastAsia="AngsanaUPC" w:hAnsi="Times New Roman"/>
                <w:bCs/>
                <w:sz w:val="18"/>
                <w:szCs w:val="18"/>
                <w:lang w:eastAsia="lt-LT"/>
              </w:rPr>
              <w:t>Daugiarūšis vežimas (TEN</w:t>
            </w:r>
            <w:proofErr w:type="gramStart"/>
            <w:r w:rsidRPr="009348A3">
              <w:rPr>
                <w:rFonts w:ascii="Times New Roman" w:eastAsia="AngsanaUPC" w:hAnsi="Times New Roman"/>
                <w:bCs/>
                <w:sz w:val="18"/>
                <w:szCs w:val="18"/>
                <w:lang w:eastAsia="lt-LT"/>
              </w:rPr>
              <w:t>-</w:t>
            </w:r>
            <w:proofErr w:type="gramEnd"/>
            <w:r w:rsidRPr="009348A3">
              <w:rPr>
                <w:rFonts w:ascii="Times New Roman" w:eastAsia="AngsanaUPC" w:hAnsi="Times New Roman"/>
                <w:bCs/>
                <w:sz w:val="18"/>
                <w:szCs w:val="18"/>
                <w:lang w:eastAsia="lt-LT"/>
              </w:rPr>
              <w:t>T)</w:t>
            </w:r>
          </w:p>
        </w:tc>
        <w:tc>
          <w:tcPr>
            <w:tcW w:w="1843" w:type="dxa"/>
            <w:shd w:val="clear" w:color="auto" w:fill="auto"/>
            <w:vAlign w:val="center"/>
          </w:tcPr>
          <w:p w:rsidR="007F0423" w:rsidRPr="00FC6264" w:rsidRDefault="007F0423" w:rsidP="00ED11F4">
            <w:pPr>
              <w:widowControl w:val="0"/>
              <w:tabs>
                <w:tab w:val="left" w:pos="622"/>
              </w:tabs>
              <w:spacing w:after="0" w:line="240" w:lineRule="auto"/>
              <w:jc w:val="right"/>
              <w:rPr>
                <w:rFonts w:ascii="Times New Roman" w:eastAsia="AngsanaUPC" w:hAnsi="Times New Roman"/>
                <w:bCs/>
                <w:sz w:val="18"/>
                <w:szCs w:val="18"/>
                <w:lang w:val="en-GB" w:eastAsia="lt-LT"/>
              </w:rPr>
            </w:pPr>
            <w:r w:rsidRPr="00FC6264">
              <w:rPr>
                <w:rFonts w:ascii="Times New Roman" w:eastAsia="AngsanaUPC" w:hAnsi="Times New Roman"/>
                <w:bCs/>
                <w:sz w:val="18"/>
                <w:szCs w:val="18"/>
                <w:lang w:val="en-GB" w:eastAsia="lt-LT"/>
              </w:rPr>
              <w:t>77</w:t>
            </w:r>
            <w:r w:rsidR="009348A3"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353</w:t>
            </w:r>
            <w:r w:rsidR="009348A3"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163</w:t>
            </w:r>
          </w:p>
        </w:tc>
      </w:tr>
      <w:tr w:rsidR="007F0423" w:rsidRPr="009348A3" w:rsidTr="003D4200">
        <w:tc>
          <w:tcPr>
            <w:tcW w:w="851" w:type="dxa"/>
            <w:shd w:val="clear" w:color="auto" w:fill="auto"/>
            <w:vAlign w:val="center"/>
          </w:tcPr>
          <w:p w:rsidR="007F0423" w:rsidRPr="008F339D" w:rsidRDefault="007F0423" w:rsidP="000D0444">
            <w:pPr>
              <w:widowControl w:val="0"/>
              <w:tabs>
                <w:tab w:val="left" w:pos="622"/>
              </w:tabs>
              <w:spacing w:after="0" w:line="240" w:lineRule="auto"/>
              <w:rPr>
                <w:rFonts w:ascii="Times New Roman" w:eastAsia="AngsanaUPC" w:hAnsi="Times New Roman"/>
                <w:bCs/>
                <w:sz w:val="18"/>
                <w:szCs w:val="18"/>
                <w:lang w:eastAsia="lt-LT"/>
              </w:rPr>
            </w:pPr>
            <w:r w:rsidRPr="008F339D">
              <w:rPr>
                <w:rFonts w:ascii="Times New Roman" w:eastAsia="AngsanaUPC" w:hAnsi="Times New Roman"/>
                <w:bCs/>
                <w:sz w:val="18"/>
                <w:szCs w:val="18"/>
                <w:lang w:eastAsia="lt-LT"/>
              </w:rPr>
              <w:t>SaF</w:t>
            </w:r>
          </w:p>
        </w:tc>
        <w:tc>
          <w:tcPr>
            <w:tcW w:w="709" w:type="dxa"/>
            <w:shd w:val="clear" w:color="auto" w:fill="auto"/>
            <w:vAlign w:val="center"/>
          </w:tcPr>
          <w:p w:rsidR="007F0423" w:rsidRPr="009348A3" w:rsidRDefault="007F0423" w:rsidP="000D0444">
            <w:pPr>
              <w:widowControl w:val="0"/>
              <w:tabs>
                <w:tab w:val="left" w:pos="622"/>
              </w:tabs>
              <w:spacing w:after="0" w:line="240" w:lineRule="auto"/>
              <w:rPr>
                <w:rFonts w:ascii="Times New Roman" w:eastAsia="AngsanaUPC" w:hAnsi="Times New Roman"/>
                <w:bCs/>
                <w:sz w:val="18"/>
                <w:szCs w:val="18"/>
                <w:lang w:val="en-GB" w:eastAsia="lt-LT"/>
              </w:rPr>
            </w:pPr>
            <w:r w:rsidRPr="009348A3">
              <w:rPr>
                <w:rFonts w:ascii="Times New Roman" w:eastAsia="AngsanaUPC" w:hAnsi="Times New Roman"/>
                <w:bCs/>
                <w:sz w:val="18"/>
                <w:szCs w:val="18"/>
                <w:lang w:val="en-GB" w:eastAsia="lt-LT"/>
              </w:rPr>
              <w:t>37</w:t>
            </w:r>
          </w:p>
        </w:tc>
        <w:tc>
          <w:tcPr>
            <w:tcW w:w="6378" w:type="dxa"/>
            <w:shd w:val="clear" w:color="auto" w:fill="auto"/>
            <w:vAlign w:val="center"/>
          </w:tcPr>
          <w:p w:rsidR="007F0423" w:rsidRPr="009348A3" w:rsidRDefault="007F0423" w:rsidP="000D0444">
            <w:pPr>
              <w:widowControl w:val="0"/>
              <w:tabs>
                <w:tab w:val="left" w:pos="622"/>
              </w:tabs>
              <w:spacing w:after="0" w:line="240" w:lineRule="auto"/>
              <w:rPr>
                <w:rFonts w:ascii="Times New Roman" w:eastAsia="AngsanaUPC" w:hAnsi="Times New Roman"/>
                <w:bCs/>
                <w:sz w:val="18"/>
                <w:szCs w:val="18"/>
                <w:lang w:eastAsia="lt-LT"/>
              </w:rPr>
            </w:pPr>
            <w:r w:rsidRPr="009348A3">
              <w:rPr>
                <w:rFonts w:ascii="Times New Roman" w:eastAsia="AngsanaUPC" w:hAnsi="Times New Roman"/>
                <w:bCs/>
                <w:sz w:val="18"/>
                <w:szCs w:val="18"/>
                <w:lang w:eastAsia="lt-LT"/>
              </w:rPr>
              <w:t>Oro uostai (TEN</w:t>
            </w:r>
            <w:proofErr w:type="gramStart"/>
            <w:r w:rsidRPr="009348A3">
              <w:rPr>
                <w:rFonts w:ascii="Times New Roman" w:eastAsia="AngsanaUPC" w:hAnsi="Times New Roman"/>
                <w:bCs/>
                <w:sz w:val="18"/>
                <w:szCs w:val="18"/>
                <w:lang w:eastAsia="lt-LT"/>
              </w:rPr>
              <w:t>-</w:t>
            </w:r>
            <w:proofErr w:type="gramEnd"/>
            <w:r w:rsidRPr="009348A3">
              <w:rPr>
                <w:rFonts w:ascii="Times New Roman" w:eastAsia="AngsanaUPC" w:hAnsi="Times New Roman"/>
                <w:bCs/>
                <w:sz w:val="18"/>
                <w:szCs w:val="18"/>
                <w:lang w:eastAsia="lt-LT"/>
              </w:rPr>
              <w:t>T)</w:t>
            </w:r>
          </w:p>
        </w:tc>
        <w:tc>
          <w:tcPr>
            <w:tcW w:w="1843" w:type="dxa"/>
            <w:shd w:val="clear" w:color="auto" w:fill="auto"/>
            <w:vAlign w:val="center"/>
          </w:tcPr>
          <w:p w:rsidR="007F0423" w:rsidRPr="00FC6264" w:rsidRDefault="003946F0" w:rsidP="003946F0">
            <w:pPr>
              <w:widowControl w:val="0"/>
              <w:tabs>
                <w:tab w:val="left" w:pos="622"/>
              </w:tabs>
              <w:spacing w:after="0" w:line="240" w:lineRule="auto"/>
              <w:jc w:val="right"/>
              <w:rPr>
                <w:rFonts w:ascii="Times New Roman" w:eastAsia="AngsanaUPC" w:hAnsi="Times New Roman"/>
                <w:bCs/>
                <w:sz w:val="18"/>
                <w:szCs w:val="18"/>
                <w:lang w:val="en-GB" w:eastAsia="lt-LT"/>
              </w:rPr>
            </w:pPr>
            <w:r w:rsidRPr="00FC6264">
              <w:rPr>
                <w:rFonts w:ascii="Times New Roman" w:eastAsia="AngsanaUPC" w:hAnsi="Times New Roman"/>
                <w:bCs/>
                <w:sz w:val="18"/>
                <w:szCs w:val="18"/>
                <w:lang w:val="en-GB" w:eastAsia="lt-LT"/>
              </w:rPr>
              <w:t>29</w:t>
            </w:r>
            <w:r w:rsidR="009348A3"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013</w:t>
            </w:r>
            <w:r w:rsidR="009348A3"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000</w:t>
            </w:r>
          </w:p>
        </w:tc>
      </w:tr>
      <w:tr w:rsidR="007F0423" w:rsidRPr="009348A3" w:rsidTr="003D4200">
        <w:tc>
          <w:tcPr>
            <w:tcW w:w="851" w:type="dxa"/>
            <w:shd w:val="clear" w:color="auto" w:fill="auto"/>
            <w:vAlign w:val="center"/>
          </w:tcPr>
          <w:p w:rsidR="007F0423" w:rsidRPr="008F339D" w:rsidRDefault="007F0423" w:rsidP="000D0444">
            <w:pPr>
              <w:widowControl w:val="0"/>
              <w:tabs>
                <w:tab w:val="left" w:pos="622"/>
              </w:tabs>
              <w:spacing w:after="0" w:line="240" w:lineRule="auto"/>
              <w:rPr>
                <w:rFonts w:ascii="Times New Roman" w:eastAsia="AngsanaUPC" w:hAnsi="Times New Roman"/>
                <w:bCs/>
                <w:sz w:val="18"/>
                <w:szCs w:val="18"/>
                <w:lang w:eastAsia="lt-LT"/>
              </w:rPr>
            </w:pPr>
            <w:r w:rsidRPr="008F339D">
              <w:rPr>
                <w:rFonts w:ascii="Times New Roman" w:eastAsia="AngsanaUPC" w:hAnsi="Times New Roman"/>
                <w:bCs/>
                <w:sz w:val="18"/>
                <w:szCs w:val="18"/>
                <w:lang w:eastAsia="lt-LT"/>
              </w:rPr>
              <w:t>SaF</w:t>
            </w:r>
          </w:p>
        </w:tc>
        <w:tc>
          <w:tcPr>
            <w:tcW w:w="709" w:type="dxa"/>
            <w:shd w:val="clear" w:color="auto" w:fill="auto"/>
            <w:vAlign w:val="center"/>
          </w:tcPr>
          <w:p w:rsidR="007F0423" w:rsidRPr="009348A3" w:rsidRDefault="007F0423" w:rsidP="000D0444">
            <w:pPr>
              <w:widowControl w:val="0"/>
              <w:tabs>
                <w:tab w:val="left" w:pos="622"/>
              </w:tabs>
              <w:spacing w:after="0" w:line="240" w:lineRule="auto"/>
              <w:rPr>
                <w:rFonts w:ascii="Times New Roman" w:eastAsia="AngsanaUPC" w:hAnsi="Times New Roman"/>
                <w:bCs/>
                <w:sz w:val="18"/>
                <w:szCs w:val="18"/>
                <w:lang w:val="en-GB" w:eastAsia="lt-LT"/>
              </w:rPr>
            </w:pPr>
            <w:r w:rsidRPr="009348A3">
              <w:rPr>
                <w:rFonts w:ascii="Times New Roman" w:eastAsia="AngsanaUPC" w:hAnsi="Times New Roman"/>
                <w:bCs/>
                <w:sz w:val="18"/>
                <w:szCs w:val="18"/>
                <w:lang w:val="en-GB" w:eastAsia="lt-LT"/>
              </w:rPr>
              <w:t>39</w:t>
            </w:r>
          </w:p>
        </w:tc>
        <w:tc>
          <w:tcPr>
            <w:tcW w:w="6378" w:type="dxa"/>
            <w:shd w:val="clear" w:color="auto" w:fill="auto"/>
            <w:vAlign w:val="center"/>
          </w:tcPr>
          <w:p w:rsidR="007F0423" w:rsidRPr="009348A3" w:rsidRDefault="007F0423" w:rsidP="000D0444">
            <w:pPr>
              <w:widowControl w:val="0"/>
              <w:tabs>
                <w:tab w:val="left" w:pos="622"/>
              </w:tabs>
              <w:spacing w:after="0" w:line="240" w:lineRule="auto"/>
              <w:rPr>
                <w:rFonts w:ascii="Times New Roman" w:eastAsia="AngsanaUPC" w:hAnsi="Times New Roman"/>
                <w:bCs/>
                <w:sz w:val="18"/>
                <w:szCs w:val="18"/>
                <w:lang w:eastAsia="lt-LT"/>
              </w:rPr>
            </w:pPr>
            <w:r w:rsidRPr="009348A3">
              <w:rPr>
                <w:rFonts w:ascii="Times New Roman" w:eastAsia="AngsanaUPC" w:hAnsi="Times New Roman"/>
                <w:bCs/>
                <w:sz w:val="18"/>
                <w:szCs w:val="18"/>
                <w:lang w:eastAsia="lt-LT"/>
              </w:rPr>
              <w:t>Jūrų uostai (TEN</w:t>
            </w:r>
            <w:proofErr w:type="gramStart"/>
            <w:r w:rsidRPr="009348A3">
              <w:rPr>
                <w:rFonts w:ascii="Times New Roman" w:eastAsia="AngsanaUPC" w:hAnsi="Times New Roman"/>
                <w:bCs/>
                <w:sz w:val="18"/>
                <w:szCs w:val="18"/>
                <w:lang w:eastAsia="lt-LT"/>
              </w:rPr>
              <w:t>-</w:t>
            </w:r>
            <w:proofErr w:type="gramEnd"/>
            <w:r w:rsidRPr="009348A3">
              <w:rPr>
                <w:rFonts w:ascii="Times New Roman" w:eastAsia="AngsanaUPC" w:hAnsi="Times New Roman"/>
                <w:bCs/>
                <w:sz w:val="18"/>
                <w:szCs w:val="18"/>
                <w:lang w:eastAsia="lt-LT"/>
              </w:rPr>
              <w:t>T)</w:t>
            </w:r>
          </w:p>
        </w:tc>
        <w:tc>
          <w:tcPr>
            <w:tcW w:w="1843" w:type="dxa"/>
            <w:shd w:val="clear" w:color="auto" w:fill="auto"/>
            <w:vAlign w:val="center"/>
          </w:tcPr>
          <w:p w:rsidR="007F0423" w:rsidRPr="00FC6264" w:rsidRDefault="007F0423" w:rsidP="00ED11F4">
            <w:pPr>
              <w:widowControl w:val="0"/>
              <w:tabs>
                <w:tab w:val="left" w:pos="622"/>
              </w:tabs>
              <w:spacing w:after="0" w:line="240" w:lineRule="auto"/>
              <w:jc w:val="right"/>
              <w:rPr>
                <w:rFonts w:ascii="Times New Roman" w:eastAsia="AngsanaUPC" w:hAnsi="Times New Roman"/>
                <w:bCs/>
                <w:sz w:val="18"/>
                <w:szCs w:val="18"/>
                <w:lang w:val="en-GB" w:eastAsia="lt-LT"/>
              </w:rPr>
            </w:pPr>
            <w:r w:rsidRPr="00FC6264">
              <w:rPr>
                <w:rFonts w:ascii="Times New Roman" w:eastAsia="AngsanaUPC" w:hAnsi="Times New Roman"/>
                <w:bCs/>
                <w:sz w:val="18"/>
                <w:szCs w:val="18"/>
                <w:lang w:val="en-GB" w:eastAsia="lt-LT"/>
              </w:rPr>
              <w:t>93</w:t>
            </w:r>
            <w:r w:rsidR="009348A3"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677</w:t>
            </w:r>
            <w:r w:rsidR="009348A3"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595</w:t>
            </w:r>
          </w:p>
        </w:tc>
      </w:tr>
      <w:tr w:rsidR="007F0423" w:rsidRPr="009348A3" w:rsidTr="003D4200">
        <w:tc>
          <w:tcPr>
            <w:tcW w:w="851" w:type="dxa"/>
            <w:shd w:val="clear" w:color="auto" w:fill="auto"/>
            <w:vAlign w:val="center"/>
          </w:tcPr>
          <w:p w:rsidR="007F0423" w:rsidRPr="008F339D" w:rsidRDefault="007F0423" w:rsidP="000D0444">
            <w:pPr>
              <w:widowControl w:val="0"/>
              <w:tabs>
                <w:tab w:val="left" w:pos="622"/>
              </w:tabs>
              <w:spacing w:after="0" w:line="240" w:lineRule="auto"/>
              <w:rPr>
                <w:rFonts w:ascii="Times New Roman" w:eastAsia="AngsanaUPC" w:hAnsi="Times New Roman"/>
                <w:bCs/>
                <w:sz w:val="18"/>
                <w:szCs w:val="18"/>
                <w:lang w:eastAsia="lt-LT"/>
              </w:rPr>
            </w:pPr>
            <w:r w:rsidRPr="008F339D">
              <w:rPr>
                <w:rFonts w:ascii="Times New Roman" w:eastAsia="AngsanaUPC" w:hAnsi="Times New Roman"/>
                <w:bCs/>
                <w:sz w:val="18"/>
                <w:szCs w:val="18"/>
                <w:lang w:eastAsia="lt-LT"/>
              </w:rPr>
              <w:t>ERPF</w:t>
            </w:r>
          </w:p>
        </w:tc>
        <w:tc>
          <w:tcPr>
            <w:tcW w:w="709" w:type="dxa"/>
            <w:shd w:val="clear" w:color="auto" w:fill="auto"/>
            <w:vAlign w:val="center"/>
          </w:tcPr>
          <w:p w:rsidR="007F0423" w:rsidRPr="009348A3" w:rsidRDefault="007F0423" w:rsidP="000D0444">
            <w:pPr>
              <w:widowControl w:val="0"/>
              <w:tabs>
                <w:tab w:val="left" w:pos="622"/>
              </w:tabs>
              <w:spacing w:after="0" w:line="240" w:lineRule="auto"/>
              <w:rPr>
                <w:rFonts w:ascii="Times New Roman" w:eastAsia="AngsanaUPC" w:hAnsi="Times New Roman"/>
                <w:bCs/>
                <w:sz w:val="18"/>
                <w:szCs w:val="18"/>
                <w:lang w:val="en-GB" w:eastAsia="lt-LT"/>
              </w:rPr>
            </w:pPr>
            <w:r w:rsidRPr="009348A3">
              <w:rPr>
                <w:rFonts w:ascii="Times New Roman" w:eastAsia="AngsanaUPC" w:hAnsi="Times New Roman"/>
                <w:bCs/>
                <w:sz w:val="18"/>
                <w:szCs w:val="18"/>
                <w:lang w:val="en-GB" w:eastAsia="lt-LT"/>
              </w:rPr>
              <w:t>41</w:t>
            </w:r>
          </w:p>
        </w:tc>
        <w:tc>
          <w:tcPr>
            <w:tcW w:w="6378" w:type="dxa"/>
            <w:shd w:val="clear" w:color="auto" w:fill="auto"/>
            <w:vAlign w:val="center"/>
          </w:tcPr>
          <w:p w:rsidR="007F0423" w:rsidRPr="009348A3" w:rsidRDefault="007F0423" w:rsidP="000D0444">
            <w:pPr>
              <w:widowControl w:val="0"/>
              <w:tabs>
                <w:tab w:val="left" w:pos="622"/>
              </w:tabs>
              <w:spacing w:after="0" w:line="240" w:lineRule="auto"/>
              <w:rPr>
                <w:rFonts w:ascii="Times New Roman" w:eastAsia="AngsanaUPC" w:hAnsi="Times New Roman"/>
                <w:bCs/>
                <w:sz w:val="18"/>
                <w:szCs w:val="18"/>
                <w:lang w:eastAsia="lt-LT"/>
              </w:rPr>
            </w:pPr>
            <w:r w:rsidRPr="009348A3">
              <w:rPr>
                <w:rFonts w:ascii="Times New Roman" w:eastAsia="AngsanaUPC" w:hAnsi="Times New Roman"/>
                <w:bCs/>
                <w:sz w:val="18"/>
                <w:szCs w:val="18"/>
                <w:lang w:eastAsia="lt-LT"/>
              </w:rPr>
              <w:t>Vidaus vandens keliai ir uostai (TEN</w:t>
            </w:r>
            <w:proofErr w:type="gramStart"/>
            <w:r w:rsidRPr="009348A3">
              <w:rPr>
                <w:rFonts w:ascii="Times New Roman" w:eastAsia="AngsanaUPC" w:hAnsi="Times New Roman"/>
                <w:bCs/>
                <w:sz w:val="18"/>
                <w:szCs w:val="18"/>
                <w:lang w:eastAsia="lt-LT"/>
              </w:rPr>
              <w:t>-</w:t>
            </w:r>
            <w:proofErr w:type="gramEnd"/>
            <w:r w:rsidRPr="009348A3">
              <w:rPr>
                <w:rFonts w:ascii="Times New Roman" w:eastAsia="AngsanaUPC" w:hAnsi="Times New Roman"/>
                <w:bCs/>
                <w:sz w:val="18"/>
                <w:szCs w:val="18"/>
                <w:lang w:eastAsia="lt-LT"/>
              </w:rPr>
              <w:t>T)</w:t>
            </w:r>
          </w:p>
        </w:tc>
        <w:tc>
          <w:tcPr>
            <w:tcW w:w="1843" w:type="dxa"/>
            <w:shd w:val="clear" w:color="auto" w:fill="auto"/>
            <w:vAlign w:val="center"/>
          </w:tcPr>
          <w:p w:rsidR="007F0423" w:rsidRPr="00FC6264" w:rsidRDefault="007F0423" w:rsidP="00ED11F4">
            <w:pPr>
              <w:widowControl w:val="0"/>
              <w:tabs>
                <w:tab w:val="left" w:pos="622"/>
              </w:tabs>
              <w:spacing w:after="0" w:line="240" w:lineRule="auto"/>
              <w:jc w:val="right"/>
              <w:rPr>
                <w:rFonts w:ascii="Times New Roman" w:eastAsia="AngsanaUPC" w:hAnsi="Times New Roman"/>
                <w:bCs/>
                <w:sz w:val="18"/>
                <w:szCs w:val="18"/>
                <w:lang w:val="en-GB" w:eastAsia="lt-LT"/>
              </w:rPr>
            </w:pPr>
            <w:r w:rsidRPr="00FC6264">
              <w:rPr>
                <w:rFonts w:ascii="Times New Roman" w:eastAsia="AngsanaUPC" w:hAnsi="Times New Roman"/>
                <w:bCs/>
                <w:sz w:val="18"/>
                <w:szCs w:val="18"/>
                <w:lang w:val="en-GB" w:eastAsia="lt-LT"/>
              </w:rPr>
              <w:t>5</w:t>
            </w:r>
            <w:r w:rsidR="009348A3"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792</w:t>
            </w:r>
            <w:r w:rsidR="009348A3"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400</w:t>
            </w:r>
          </w:p>
        </w:tc>
      </w:tr>
      <w:tr w:rsidR="007F0423" w:rsidRPr="009348A3" w:rsidTr="003D4200">
        <w:tc>
          <w:tcPr>
            <w:tcW w:w="851" w:type="dxa"/>
            <w:shd w:val="clear" w:color="auto" w:fill="auto"/>
            <w:vAlign w:val="center"/>
          </w:tcPr>
          <w:p w:rsidR="007F0423" w:rsidRPr="008F339D" w:rsidRDefault="007F0423" w:rsidP="000D0444">
            <w:pPr>
              <w:widowControl w:val="0"/>
              <w:tabs>
                <w:tab w:val="left" w:pos="622"/>
              </w:tabs>
              <w:spacing w:after="0" w:line="240" w:lineRule="auto"/>
              <w:rPr>
                <w:rFonts w:ascii="Times New Roman" w:eastAsia="AngsanaUPC" w:hAnsi="Times New Roman"/>
                <w:bCs/>
                <w:sz w:val="18"/>
                <w:szCs w:val="18"/>
                <w:lang w:eastAsia="lt-LT"/>
              </w:rPr>
            </w:pPr>
            <w:r w:rsidRPr="008F339D">
              <w:rPr>
                <w:rFonts w:ascii="Times New Roman" w:eastAsia="AngsanaUPC" w:hAnsi="Times New Roman"/>
                <w:bCs/>
                <w:sz w:val="18"/>
                <w:szCs w:val="18"/>
                <w:lang w:eastAsia="lt-LT"/>
              </w:rPr>
              <w:t>ERPF</w:t>
            </w:r>
          </w:p>
        </w:tc>
        <w:tc>
          <w:tcPr>
            <w:tcW w:w="709" w:type="dxa"/>
            <w:shd w:val="clear" w:color="auto" w:fill="auto"/>
            <w:vAlign w:val="center"/>
          </w:tcPr>
          <w:p w:rsidR="007F0423" w:rsidRPr="009348A3" w:rsidRDefault="007F0423" w:rsidP="000D0444">
            <w:pPr>
              <w:widowControl w:val="0"/>
              <w:tabs>
                <w:tab w:val="left" w:pos="622"/>
              </w:tabs>
              <w:spacing w:after="0" w:line="240" w:lineRule="auto"/>
              <w:rPr>
                <w:rFonts w:ascii="Times New Roman" w:eastAsia="AngsanaUPC" w:hAnsi="Times New Roman"/>
                <w:bCs/>
                <w:sz w:val="18"/>
                <w:szCs w:val="18"/>
                <w:lang w:val="en-GB" w:eastAsia="lt-LT"/>
              </w:rPr>
            </w:pPr>
            <w:r w:rsidRPr="009348A3">
              <w:rPr>
                <w:rFonts w:ascii="Times New Roman" w:eastAsia="AngsanaUPC" w:hAnsi="Times New Roman"/>
                <w:bCs/>
                <w:sz w:val="18"/>
                <w:szCs w:val="18"/>
                <w:lang w:val="en-GB" w:eastAsia="lt-LT"/>
              </w:rPr>
              <w:t>42</w:t>
            </w:r>
          </w:p>
        </w:tc>
        <w:tc>
          <w:tcPr>
            <w:tcW w:w="6378" w:type="dxa"/>
            <w:shd w:val="clear" w:color="auto" w:fill="auto"/>
            <w:vAlign w:val="center"/>
          </w:tcPr>
          <w:p w:rsidR="007F0423" w:rsidRPr="009348A3" w:rsidRDefault="007F0423" w:rsidP="000D0444">
            <w:pPr>
              <w:widowControl w:val="0"/>
              <w:tabs>
                <w:tab w:val="left" w:pos="622"/>
              </w:tabs>
              <w:spacing w:after="0" w:line="240" w:lineRule="auto"/>
              <w:rPr>
                <w:rFonts w:ascii="Times New Roman" w:eastAsia="AngsanaUPC" w:hAnsi="Times New Roman"/>
                <w:bCs/>
                <w:sz w:val="18"/>
                <w:szCs w:val="18"/>
                <w:lang w:eastAsia="lt-LT"/>
              </w:rPr>
            </w:pPr>
            <w:r w:rsidRPr="009348A3">
              <w:rPr>
                <w:rFonts w:ascii="Times New Roman" w:eastAsia="AngsanaUPC" w:hAnsi="Times New Roman"/>
                <w:bCs/>
                <w:sz w:val="18"/>
                <w:szCs w:val="18"/>
                <w:lang w:eastAsia="lt-LT"/>
              </w:rPr>
              <w:t>Vidaus vandens keliai ir uostai (regioniniai ir vietos)</w:t>
            </w:r>
          </w:p>
        </w:tc>
        <w:tc>
          <w:tcPr>
            <w:tcW w:w="1843" w:type="dxa"/>
            <w:shd w:val="clear" w:color="auto" w:fill="auto"/>
            <w:vAlign w:val="center"/>
          </w:tcPr>
          <w:p w:rsidR="007F0423" w:rsidRPr="00FC6264" w:rsidRDefault="00DA0DF6" w:rsidP="00ED11F4">
            <w:pPr>
              <w:widowControl w:val="0"/>
              <w:tabs>
                <w:tab w:val="left" w:pos="622"/>
              </w:tabs>
              <w:spacing w:after="0" w:line="240" w:lineRule="auto"/>
              <w:jc w:val="right"/>
              <w:rPr>
                <w:rFonts w:ascii="Times New Roman" w:eastAsia="AngsanaUPC" w:hAnsi="Times New Roman"/>
                <w:bCs/>
                <w:sz w:val="18"/>
                <w:szCs w:val="18"/>
                <w:lang w:val="en-GB" w:eastAsia="lt-LT"/>
              </w:rPr>
            </w:pPr>
            <w:r w:rsidRPr="00FC6264">
              <w:rPr>
                <w:rFonts w:ascii="Times New Roman" w:eastAsia="AngsanaUPC" w:hAnsi="Times New Roman"/>
                <w:bCs/>
                <w:sz w:val="18"/>
                <w:szCs w:val="18"/>
                <w:lang w:val="en-GB" w:eastAsia="lt-LT"/>
              </w:rPr>
              <w:t>20</w:t>
            </w:r>
            <w:r w:rsidR="009348A3" w:rsidRPr="00FC6264">
              <w:rPr>
                <w:rFonts w:ascii="Times New Roman" w:eastAsia="AngsanaUPC" w:hAnsi="Times New Roman"/>
                <w:bCs/>
                <w:sz w:val="18"/>
                <w:szCs w:val="18"/>
                <w:lang w:val="en-GB" w:eastAsia="lt-LT"/>
              </w:rPr>
              <w:t>.</w:t>
            </w:r>
            <w:r w:rsidR="007F0423" w:rsidRPr="00FC6264">
              <w:rPr>
                <w:rFonts w:ascii="Times New Roman" w:eastAsia="AngsanaUPC" w:hAnsi="Times New Roman"/>
                <w:bCs/>
                <w:sz w:val="18"/>
                <w:szCs w:val="18"/>
                <w:lang w:val="en-GB" w:eastAsia="lt-LT"/>
              </w:rPr>
              <w:t>196</w:t>
            </w:r>
            <w:r w:rsidR="009348A3" w:rsidRPr="00FC6264">
              <w:rPr>
                <w:rFonts w:ascii="Times New Roman" w:eastAsia="AngsanaUPC" w:hAnsi="Times New Roman"/>
                <w:bCs/>
                <w:sz w:val="18"/>
                <w:szCs w:val="18"/>
                <w:lang w:val="en-GB" w:eastAsia="lt-LT"/>
              </w:rPr>
              <w:t>.</w:t>
            </w:r>
            <w:r w:rsidR="007F0423" w:rsidRPr="00FC6264">
              <w:rPr>
                <w:rFonts w:ascii="Times New Roman" w:eastAsia="AngsanaUPC" w:hAnsi="Times New Roman"/>
                <w:bCs/>
                <w:sz w:val="18"/>
                <w:szCs w:val="18"/>
                <w:lang w:val="en-GB" w:eastAsia="lt-LT"/>
              </w:rPr>
              <w:t>942</w:t>
            </w:r>
          </w:p>
        </w:tc>
      </w:tr>
      <w:tr w:rsidR="007F0423" w:rsidRPr="00021B3E" w:rsidTr="003D4200">
        <w:tc>
          <w:tcPr>
            <w:tcW w:w="851" w:type="dxa"/>
            <w:shd w:val="clear" w:color="auto" w:fill="auto"/>
            <w:vAlign w:val="center"/>
          </w:tcPr>
          <w:p w:rsidR="007F0423" w:rsidRPr="008F339D" w:rsidRDefault="007F0423" w:rsidP="007F0423">
            <w:pPr>
              <w:widowControl w:val="0"/>
              <w:tabs>
                <w:tab w:val="left" w:pos="622"/>
              </w:tabs>
              <w:spacing w:after="0" w:line="240" w:lineRule="auto"/>
              <w:rPr>
                <w:rFonts w:ascii="Times New Roman" w:eastAsia="AngsanaUPC" w:hAnsi="Times New Roman"/>
                <w:bCs/>
                <w:sz w:val="18"/>
                <w:szCs w:val="18"/>
                <w:lang w:eastAsia="lt-LT"/>
              </w:rPr>
            </w:pPr>
            <w:r w:rsidRPr="008F339D">
              <w:rPr>
                <w:rFonts w:ascii="Times New Roman" w:eastAsia="AngsanaUPC" w:hAnsi="Times New Roman"/>
                <w:bCs/>
                <w:sz w:val="18"/>
                <w:szCs w:val="18"/>
                <w:lang w:eastAsia="lt-LT"/>
              </w:rPr>
              <w:t>ERPF</w:t>
            </w:r>
          </w:p>
        </w:tc>
        <w:tc>
          <w:tcPr>
            <w:tcW w:w="709" w:type="dxa"/>
            <w:shd w:val="clear" w:color="auto" w:fill="auto"/>
            <w:vAlign w:val="center"/>
          </w:tcPr>
          <w:p w:rsidR="007F0423" w:rsidRPr="009348A3" w:rsidRDefault="007F0423" w:rsidP="000D0444">
            <w:pPr>
              <w:widowControl w:val="0"/>
              <w:tabs>
                <w:tab w:val="left" w:pos="622"/>
              </w:tabs>
              <w:spacing w:after="0" w:line="240" w:lineRule="auto"/>
              <w:rPr>
                <w:rFonts w:ascii="Times New Roman" w:eastAsia="AngsanaUPC" w:hAnsi="Times New Roman"/>
                <w:bCs/>
                <w:sz w:val="18"/>
                <w:szCs w:val="18"/>
                <w:lang w:val="en-GB" w:eastAsia="lt-LT"/>
              </w:rPr>
            </w:pPr>
            <w:r w:rsidRPr="009348A3">
              <w:rPr>
                <w:rFonts w:ascii="Times New Roman" w:eastAsia="AngsanaUPC" w:hAnsi="Times New Roman"/>
                <w:bCs/>
                <w:sz w:val="18"/>
                <w:szCs w:val="18"/>
                <w:lang w:val="en-GB" w:eastAsia="lt-LT"/>
              </w:rPr>
              <w:t>44</w:t>
            </w:r>
          </w:p>
        </w:tc>
        <w:tc>
          <w:tcPr>
            <w:tcW w:w="6378" w:type="dxa"/>
            <w:shd w:val="clear" w:color="auto" w:fill="auto"/>
            <w:vAlign w:val="center"/>
          </w:tcPr>
          <w:p w:rsidR="007F0423" w:rsidRPr="009348A3" w:rsidRDefault="007F0423" w:rsidP="007F0423">
            <w:pPr>
              <w:widowControl w:val="0"/>
              <w:tabs>
                <w:tab w:val="left" w:pos="622"/>
              </w:tabs>
              <w:spacing w:after="0" w:line="240" w:lineRule="auto"/>
              <w:rPr>
                <w:rFonts w:ascii="Times New Roman" w:eastAsia="AngsanaUPC" w:hAnsi="Times New Roman"/>
                <w:bCs/>
                <w:sz w:val="18"/>
                <w:szCs w:val="18"/>
                <w:lang w:eastAsia="lt-LT"/>
              </w:rPr>
            </w:pPr>
            <w:r w:rsidRPr="009348A3">
              <w:rPr>
                <w:rFonts w:ascii="Times New Roman" w:eastAsia="AngsanaUPC" w:hAnsi="Times New Roman"/>
                <w:bCs/>
                <w:sz w:val="18"/>
                <w:szCs w:val="18"/>
                <w:lang w:eastAsia="lt-LT"/>
              </w:rPr>
              <w:t>Pažangios transporto sistemos (įskaitant paklausos valdymo įvedimą, rinkliavų sistemas, IT stebėjimo, valdymo ir informacines sistemas)</w:t>
            </w:r>
          </w:p>
        </w:tc>
        <w:tc>
          <w:tcPr>
            <w:tcW w:w="1843" w:type="dxa"/>
            <w:shd w:val="clear" w:color="auto" w:fill="auto"/>
            <w:vAlign w:val="center"/>
          </w:tcPr>
          <w:p w:rsidR="007F0423" w:rsidRPr="00021B3E" w:rsidRDefault="00DA0DF6" w:rsidP="00ED11F4">
            <w:pPr>
              <w:widowControl w:val="0"/>
              <w:tabs>
                <w:tab w:val="left" w:pos="622"/>
              </w:tabs>
              <w:spacing w:after="0" w:line="240" w:lineRule="auto"/>
              <w:jc w:val="right"/>
              <w:rPr>
                <w:rFonts w:ascii="Times New Roman" w:eastAsia="AngsanaUPC" w:hAnsi="Times New Roman"/>
                <w:bCs/>
                <w:sz w:val="18"/>
                <w:szCs w:val="18"/>
                <w:lang w:val="en-GB" w:eastAsia="lt-LT"/>
              </w:rPr>
            </w:pPr>
            <w:r w:rsidRPr="00021B3E">
              <w:rPr>
                <w:rFonts w:ascii="Times New Roman" w:eastAsia="AngsanaUPC" w:hAnsi="Times New Roman"/>
                <w:bCs/>
                <w:sz w:val="18"/>
                <w:szCs w:val="18"/>
                <w:lang w:val="en-GB" w:eastAsia="lt-LT"/>
              </w:rPr>
              <w:t>357</w:t>
            </w:r>
            <w:r w:rsidR="009348A3" w:rsidRPr="00021B3E">
              <w:rPr>
                <w:rFonts w:ascii="Times New Roman" w:eastAsia="AngsanaUPC" w:hAnsi="Times New Roman"/>
                <w:bCs/>
                <w:sz w:val="18"/>
                <w:szCs w:val="18"/>
                <w:lang w:val="en-GB" w:eastAsia="lt-LT"/>
              </w:rPr>
              <w:t>.</w:t>
            </w:r>
            <w:r w:rsidR="00021B3E" w:rsidRPr="00021B3E">
              <w:rPr>
                <w:rFonts w:ascii="Times New Roman" w:eastAsia="AngsanaUPC" w:hAnsi="Times New Roman"/>
                <w:bCs/>
                <w:sz w:val="18"/>
                <w:szCs w:val="18"/>
                <w:lang w:val="en-GB" w:eastAsia="lt-LT"/>
              </w:rPr>
              <w:t>0</w:t>
            </w:r>
            <w:r w:rsidR="007F0423" w:rsidRPr="00021B3E">
              <w:rPr>
                <w:rFonts w:ascii="Times New Roman" w:eastAsia="AngsanaUPC" w:hAnsi="Times New Roman"/>
                <w:bCs/>
                <w:sz w:val="18"/>
                <w:szCs w:val="18"/>
                <w:lang w:val="en-GB" w:eastAsia="lt-LT"/>
              </w:rPr>
              <w:t>00</w:t>
            </w:r>
          </w:p>
        </w:tc>
      </w:tr>
      <w:tr w:rsidR="007F0423" w:rsidRPr="009348A3" w:rsidTr="003D4200">
        <w:tc>
          <w:tcPr>
            <w:tcW w:w="851" w:type="dxa"/>
            <w:shd w:val="clear" w:color="auto" w:fill="auto"/>
            <w:vAlign w:val="center"/>
          </w:tcPr>
          <w:p w:rsidR="007F0423" w:rsidRPr="008F339D" w:rsidRDefault="007F0423" w:rsidP="000D0444">
            <w:pPr>
              <w:widowControl w:val="0"/>
              <w:tabs>
                <w:tab w:val="left" w:pos="622"/>
              </w:tabs>
              <w:spacing w:after="0" w:line="240" w:lineRule="auto"/>
              <w:rPr>
                <w:rFonts w:ascii="Times New Roman" w:eastAsia="AngsanaUPC" w:hAnsi="Times New Roman"/>
                <w:bCs/>
                <w:sz w:val="18"/>
                <w:szCs w:val="18"/>
                <w:lang w:eastAsia="lt-LT"/>
              </w:rPr>
            </w:pPr>
            <w:r w:rsidRPr="008F339D">
              <w:rPr>
                <w:rFonts w:ascii="Times New Roman" w:eastAsia="AngsanaUPC" w:hAnsi="Times New Roman"/>
                <w:bCs/>
                <w:sz w:val="18"/>
                <w:szCs w:val="18"/>
                <w:lang w:eastAsia="lt-LT"/>
              </w:rPr>
              <w:t>SaF</w:t>
            </w:r>
          </w:p>
        </w:tc>
        <w:tc>
          <w:tcPr>
            <w:tcW w:w="709" w:type="dxa"/>
            <w:shd w:val="clear" w:color="auto" w:fill="auto"/>
            <w:vAlign w:val="center"/>
          </w:tcPr>
          <w:p w:rsidR="007F0423" w:rsidRPr="009348A3" w:rsidRDefault="007F0423" w:rsidP="000D0444">
            <w:pPr>
              <w:widowControl w:val="0"/>
              <w:tabs>
                <w:tab w:val="left" w:pos="622"/>
              </w:tabs>
              <w:spacing w:after="0" w:line="240" w:lineRule="auto"/>
              <w:rPr>
                <w:rFonts w:ascii="Times New Roman" w:eastAsia="AngsanaUPC" w:hAnsi="Times New Roman"/>
                <w:bCs/>
                <w:sz w:val="18"/>
                <w:szCs w:val="18"/>
                <w:lang w:val="en-GB" w:eastAsia="lt-LT"/>
              </w:rPr>
            </w:pPr>
            <w:r w:rsidRPr="009348A3">
              <w:rPr>
                <w:rFonts w:ascii="Times New Roman" w:eastAsia="AngsanaUPC" w:hAnsi="Times New Roman"/>
                <w:bCs/>
                <w:sz w:val="18"/>
                <w:szCs w:val="18"/>
                <w:lang w:val="en-GB" w:eastAsia="lt-LT"/>
              </w:rPr>
              <w:t>44</w:t>
            </w:r>
          </w:p>
        </w:tc>
        <w:tc>
          <w:tcPr>
            <w:tcW w:w="6378" w:type="dxa"/>
            <w:shd w:val="clear" w:color="auto" w:fill="auto"/>
            <w:vAlign w:val="center"/>
          </w:tcPr>
          <w:p w:rsidR="007F0423" w:rsidRPr="009348A3" w:rsidRDefault="007F0423" w:rsidP="007F0423">
            <w:pPr>
              <w:widowControl w:val="0"/>
              <w:tabs>
                <w:tab w:val="left" w:pos="622"/>
              </w:tabs>
              <w:spacing w:after="0" w:line="240" w:lineRule="auto"/>
              <w:rPr>
                <w:rFonts w:ascii="Times New Roman" w:eastAsia="AngsanaUPC" w:hAnsi="Times New Roman"/>
                <w:bCs/>
                <w:sz w:val="18"/>
                <w:szCs w:val="18"/>
                <w:lang w:eastAsia="lt-LT"/>
              </w:rPr>
            </w:pPr>
            <w:r w:rsidRPr="009348A3">
              <w:rPr>
                <w:rFonts w:ascii="Times New Roman" w:eastAsia="AngsanaUPC" w:hAnsi="Times New Roman"/>
                <w:bCs/>
                <w:sz w:val="18"/>
                <w:szCs w:val="18"/>
                <w:lang w:eastAsia="lt-LT"/>
              </w:rPr>
              <w:t>Pažangios transporto sistemos (įskaitant paklausos valdymo įvedimą, rinkliavų sistemas, IT stebėjimo, valdymo ir informacines sistemas)</w:t>
            </w:r>
          </w:p>
        </w:tc>
        <w:tc>
          <w:tcPr>
            <w:tcW w:w="1843" w:type="dxa"/>
            <w:shd w:val="clear" w:color="auto" w:fill="auto"/>
            <w:vAlign w:val="center"/>
          </w:tcPr>
          <w:p w:rsidR="007F0423" w:rsidRPr="00D54F90" w:rsidRDefault="00DA0DF6" w:rsidP="003946F0">
            <w:pPr>
              <w:widowControl w:val="0"/>
              <w:tabs>
                <w:tab w:val="left" w:pos="622"/>
              </w:tabs>
              <w:spacing w:after="0" w:line="240" w:lineRule="auto"/>
              <w:jc w:val="right"/>
              <w:rPr>
                <w:rFonts w:ascii="Times New Roman" w:eastAsia="AngsanaUPC" w:hAnsi="Times New Roman"/>
                <w:bCs/>
                <w:sz w:val="18"/>
                <w:szCs w:val="18"/>
                <w:lang w:val="en-GB" w:eastAsia="lt-LT"/>
              </w:rPr>
            </w:pPr>
            <w:r w:rsidRPr="00FC6264">
              <w:rPr>
                <w:rFonts w:ascii="Times New Roman" w:eastAsia="AngsanaUPC" w:hAnsi="Times New Roman"/>
                <w:bCs/>
                <w:sz w:val="18"/>
                <w:szCs w:val="18"/>
                <w:lang w:val="en-GB" w:eastAsia="lt-LT"/>
              </w:rPr>
              <w:t>20</w:t>
            </w:r>
            <w:r w:rsidR="009348A3"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9</w:t>
            </w:r>
            <w:r w:rsidR="003946F0" w:rsidRPr="00FC6264">
              <w:rPr>
                <w:rFonts w:ascii="Times New Roman" w:eastAsia="AngsanaUPC" w:hAnsi="Times New Roman"/>
                <w:bCs/>
                <w:sz w:val="18"/>
                <w:szCs w:val="18"/>
                <w:lang w:val="en-GB" w:eastAsia="lt-LT"/>
              </w:rPr>
              <w:t>51</w:t>
            </w:r>
            <w:r w:rsidR="009348A3" w:rsidRPr="00FC6264">
              <w:rPr>
                <w:rFonts w:ascii="Times New Roman" w:eastAsia="AngsanaUPC" w:hAnsi="Times New Roman"/>
                <w:bCs/>
                <w:sz w:val="18"/>
                <w:szCs w:val="18"/>
                <w:lang w:val="en-GB" w:eastAsia="lt-LT"/>
              </w:rPr>
              <w:t>.</w:t>
            </w:r>
            <w:r w:rsidR="003946F0" w:rsidRPr="00FC6264">
              <w:rPr>
                <w:rFonts w:ascii="Times New Roman" w:eastAsia="AngsanaUPC" w:hAnsi="Times New Roman"/>
                <w:bCs/>
                <w:sz w:val="18"/>
                <w:szCs w:val="18"/>
                <w:lang w:val="en-GB" w:eastAsia="lt-LT"/>
              </w:rPr>
              <w:t>275</w:t>
            </w:r>
          </w:p>
        </w:tc>
      </w:tr>
    </w:tbl>
    <w:p w:rsidR="007F0423" w:rsidRPr="002447B3" w:rsidRDefault="007F0423" w:rsidP="007F0423">
      <w:pPr>
        <w:widowControl w:val="0"/>
        <w:tabs>
          <w:tab w:val="left" w:pos="622"/>
        </w:tabs>
        <w:spacing w:after="0" w:line="240" w:lineRule="auto"/>
        <w:jc w:val="both"/>
        <w:rPr>
          <w:rFonts w:ascii="Times New Roman" w:hAnsi="Times New Roman"/>
          <w:iCs/>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9"/>
        <w:gridCol w:w="6378"/>
        <w:gridCol w:w="1808"/>
      </w:tblGrid>
      <w:tr w:rsidR="007F0423" w:rsidRPr="002447B3" w:rsidTr="00BB0960">
        <w:tc>
          <w:tcPr>
            <w:tcW w:w="9746" w:type="dxa"/>
            <w:gridSpan w:val="4"/>
            <w:shd w:val="clear" w:color="auto" w:fill="EEECE1"/>
          </w:tcPr>
          <w:p w:rsidR="007F0423" w:rsidRPr="002447B3" w:rsidRDefault="007F0423" w:rsidP="00BB0960">
            <w:pPr>
              <w:widowControl w:val="0"/>
              <w:tabs>
                <w:tab w:val="left" w:pos="622"/>
              </w:tabs>
              <w:spacing w:after="0" w:line="240" w:lineRule="auto"/>
              <w:jc w:val="both"/>
              <w:rPr>
                <w:rFonts w:ascii="Times New Roman" w:hAnsi="Times New Roman"/>
                <w:i/>
                <w:iCs/>
                <w:sz w:val="18"/>
                <w:szCs w:val="18"/>
              </w:rPr>
            </w:pPr>
            <w:r w:rsidRPr="002447B3">
              <w:rPr>
                <w:rFonts w:ascii="Times New Roman" w:hAnsi="Times New Roman"/>
                <w:b/>
                <w:bCs/>
                <w:i/>
                <w:iCs/>
                <w:sz w:val="18"/>
                <w:szCs w:val="18"/>
              </w:rPr>
              <w:t>Finansavimo forma</w:t>
            </w:r>
          </w:p>
        </w:tc>
      </w:tr>
      <w:tr w:rsidR="007F0423" w:rsidRPr="002447B3" w:rsidTr="003D4200">
        <w:tc>
          <w:tcPr>
            <w:tcW w:w="851" w:type="dxa"/>
            <w:shd w:val="clear" w:color="auto" w:fill="EEECE1"/>
            <w:vAlign w:val="center"/>
          </w:tcPr>
          <w:p w:rsidR="007F0423" w:rsidRPr="002447B3" w:rsidRDefault="007F0423" w:rsidP="00BB0960">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Fondas</w:t>
            </w:r>
          </w:p>
        </w:tc>
        <w:tc>
          <w:tcPr>
            <w:tcW w:w="709" w:type="dxa"/>
            <w:shd w:val="clear" w:color="auto" w:fill="EEECE1"/>
            <w:vAlign w:val="center"/>
          </w:tcPr>
          <w:p w:rsidR="007F0423" w:rsidRPr="002447B3" w:rsidRDefault="007F0423" w:rsidP="00BB0960">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Kodas</w:t>
            </w:r>
          </w:p>
        </w:tc>
        <w:tc>
          <w:tcPr>
            <w:tcW w:w="6378" w:type="dxa"/>
            <w:shd w:val="clear" w:color="auto" w:fill="EEECE1"/>
            <w:vAlign w:val="center"/>
          </w:tcPr>
          <w:p w:rsidR="007F0423" w:rsidRPr="002447B3" w:rsidRDefault="007F0423" w:rsidP="00BB0960">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Pavadinimas</w:t>
            </w:r>
          </w:p>
        </w:tc>
        <w:tc>
          <w:tcPr>
            <w:tcW w:w="1808" w:type="dxa"/>
            <w:shd w:val="clear" w:color="auto" w:fill="EEECE1"/>
            <w:vAlign w:val="center"/>
          </w:tcPr>
          <w:p w:rsidR="007F0423" w:rsidRPr="002447B3" w:rsidRDefault="007F0423" w:rsidP="00BB0960">
            <w:pPr>
              <w:widowControl w:val="0"/>
              <w:tabs>
                <w:tab w:val="left" w:pos="622"/>
              </w:tabs>
              <w:spacing w:after="0" w:line="240" w:lineRule="auto"/>
              <w:jc w:val="center"/>
              <w:rPr>
                <w:rFonts w:ascii="Times New Roman" w:hAnsi="Times New Roman"/>
                <w:b/>
                <w:bCs/>
                <w:iCs/>
                <w:sz w:val="18"/>
                <w:szCs w:val="18"/>
              </w:rPr>
            </w:pPr>
            <w:r w:rsidRPr="002447B3">
              <w:rPr>
                <w:rFonts w:ascii="Times New Roman" w:hAnsi="Times New Roman"/>
                <w:b/>
                <w:bCs/>
                <w:iCs/>
                <w:sz w:val="18"/>
                <w:szCs w:val="18"/>
              </w:rPr>
              <w:t>Finansinė proporcija (eurais)</w:t>
            </w:r>
          </w:p>
        </w:tc>
      </w:tr>
      <w:tr w:rsidR="007F0423" w:rsidRPr="009348A3" w:rsidTr="003D4200">
        <w:tc>
          <w:tcPr>
            <w:tcW w:w="851" w:type="dxa"/>
            <w:shd w:val="clear" w:color="auto" w:fill="FFFFFF"/>
            <w:vAlign w:val="center"/>
          </w:tcPr>
          <w:p w:rsidR="007F0423" w:rsidRPr="009348A3" w:rsidRDefault="007F0423" w:rsidP="00BB0960">
            <w:pPr>
              <w:widowControl w:val="0"/>
              <w:tabs>
                <w:tab w:val="left" w:pos="622"/>
              </w:tabs>
              <w:spacing w:after="0" w:line="240" w:lineRule="auto"/>
              <w:jc w:val="both"/>
              <w:rPr>
                <w:rFonts w:ascii="Times New Roman" w:hAnsi="Times New Roman"/>
                <w:bCs/>
                <w:iCs/>
                <w:sz w:val="18"/>
                <w:szCs w:val="18"/>
              </w:rPr>
            </w:pPr>
            <w:r w:rsidRPr="009348A3">
              <w:rPr>
                <w:rFonts w:ascii="Times New Roman" w:hAnsi="Times New Roman"/>
                <w:bCs/>
                <w:iCs/>
                <w:sz w:val="18"/>
                <w:szCs w:val="18"/>
              </w:rPr>
              <w:t>ERPF</w:t>
            </w:r>
          </w:p>
        </w:tc>
        <w:tc>
          <w:tcPr>
            <w:tcW w:w="709" w:type="dxa"/>
            <w:shd w:val="clear" w:color="auto" w:fill="FFFFFF"/>
            <w:vAlign w:val="center"/>
          </w:tcPr>
          <w:p w:rsidR="007F0423" w:rsidRPr="009348A3" w:rsidRDefault="003D4200" w:rsidP="00BB0960">
            <w:pPr>
              <w:widowControl w:val="0"/>
              <w:tabs>
                <w:tab w:val="left" w:pos="622"/>
              </w:tabs>
              <w:spacing w:after="0" w:line="240" w:lineRule="auto"/>
              <w:jc w:val="both"/>
              <w:rPr>
                <w:rFonts w:ascii="Times New Roman" w:hAnsi="Times New Roman"/>
                <w:bCs/>
                <w:iCs/>
                <w:sz w:val="18"/>
                <w:szCs w:val="18"/>
              </w:rPr>
            </w:pPr>
            <w:r w:rsidRPr="009348A3">
              <w:rPr>
                <w:rFonts w:ascii="Times New Roman" w:hAnsi="Times New Roman"/>
                <w:bCs/>
                <w:iCs/>
                <w:sz w:val="18"/>
                <w:szCs w:val="18"/>
              </w:rPr>
              <w:t>0</w:t>
            </w:r>
            <w:r w:rsidR="007F0423" w:rsidRPr="009348A3">
              <w:rPr>
                <w:rFonts w:ascii="Times New Roman" w:hAnsi="Times New Roman"/>
                <w:bCs/>
                <w:iCs/>
                <w:sz w:val="18"/>
                <w:szCs w:val="18"/>
              </w:rPr>
              <w:t>1</w:t>
            </w:r>
          </w:p>
        </w:tc>
        <w:tc>
          <w:tcPr>
            <w:tcW w:w="6378" w:type="dxa"/>
            <w:shd w:val="clear" w:color="auto" w:fill="FFFFFF"/>
            <w:vAlign w:val="center"/>
          </w:tcPr>
          <w:p w:rsidR="007F0423" w:rsidRPr="009348A3" w:rsidRDefault="007F0423" w:rsidP="00BB0960">
            <w:pPr>
              <w:widowControl w:val="0"/>
              <w:tabs>
                <w:tab w:val="left" w:pos="622"/>
              </w:tabs>
              <w:spacing w:after="0" w:line="240" w:lineRule="auto"/>
              <w:jc w:val="both"/>
              <w:rPr>
                <w:rFonts w:ascii="Times New Roman" w:hAnsi="Times New Roman"/>
                <w:bCs/>
                <w:iCs/>
                <w:sz w:val="18"/>
                <w:szCs w:val="18"/>
              </w:rPr>
            </w:pPr>
            <w:r w:rsidRPr="009348A3">
              <w:rPr>
                <w:rFonts w:ascii="Times New Roman" w:hAnsi="Times New Roman"/>
                <w:bCs/>
                <w:iCs/>
                <w:sz w:val="18"/>
                <w:szCs w:val="18"/>
              </w:rPr>
              <w:t>Negrąžinamoji subsidija</w:t>
            </w:r>
          </w:p>
        </w:tc>
        <w:tc>
          <w:tcPr>
            <w:tcW w:w="1808" w:type="dxa"/>
            <w:shd w:val="clear" w:color="auto" w:fill="FFFFFF"/>
            <w:vAlign w:val="center"/>
          </w:tcPr>
          <w:p w:rsidR="007F0423" w:rsidRPr="00D54F90" w:rsidRDefault="00DA4F7E" w:rsidP="00DA0DF6">
            <w:pPr>
              <w:widowControl w:val="0"/>
              <w:tabs>
                <w:tab w:val="left" w:pos="622"/>
              </w:tabs>
              <w:spacing w:after="0" w:line="240" w:lineRule="auto"/>
              <w:jc w:val="right"/>
              <w:rPr>
                <w:rFonts w:ascii="Times New Roman" w:eastAsia="AngsanaUPC" w:hAnsi="Times New Roman"/>
                <w:bCs/>
                <w:sz w:val="18"/>
                <w:szCs w:val="18"/>
                <w:lang w:val="en-GB" w:eastAsia="lt-LT"/>
              </w:rPr>
            </w:pPr>
            <w:r w:rsidRPr="00021B3E">
              <w:rPr>
                <w:rFonts w:ascii="Times New Roman" w:eastAsia="AngsanaUPC" w:hAnsi="Times New Roman"/>
                <w:bCs/>
                <w:sz w:val="18"/>
                <w:szCs w:val="18"/>
                <w:lang w:val="en-GB" w:eastAsia="lt-LT"/>
              </w:rPr>
              <w:t>3</w:t>
            </w:r>
            <w:r w:rsidR="00021B3E" w:rsidRPr="00021B3E">
              <w:rPr>
                <w:rFonts w:ascii="Times New Roman" w:eastAsia="AngsanaUPC" w:hAnsi="Times New Roman"/>
                <w:bCs/>
                <w:sz w:val="18"/>
                <w:szCs w:val="18"/>
                <w:lang w:val="en-GB" w:eastAsia="lt-LT"/>
              </w:rPr>
              <w:t>19</w:t>
            </w:r>
            <w:r w:rsidR="009348A3" w:rsidRPr="00021B3E">
              <w:rPr>
                <w:rFonts w:ascii="Times New Roman" w:eastAsia="AngsanaUPC" w:hAnsi="Times New Roman"/>
                <w:bCs/>
                <w:sz w:val="18"/>
                <w:szCs w:val="18"/>
                <w:lang w:val="en-GB" w:eastAsia="lt-LT"/>
              </w:rPr>
              <w:t>.</w:t>
            </w:r>
            <w:r w:rsidR="00DA0DF6" w:rsidRPr="00021B3E">
              <w:rPr>
                <w:rFonts w:ascii="Times New Roman" w:eastAsia="AngsanaUPC" w:hAnsi="Times New Roman"/>
                <w:bCs/>
                <w:sz w:val="18"/>
                <w:szCs w:val="18"/>
                <w:lang w:val="en-GB" w:eastAsia="lt-LT"/>
              </w:rPr>
              <w:t>4</w:t>
            </w:r>
            <w:r w:rsidR="007F0423" w:rsidRPr="00021B3E">
              <w:rPr>
                <w:rFonts w:ascii="Times New Roman" w:eastAsia="AngsanaUPC" w:hAnsi="Times New Roman"/>
                <w:bCs/>
                <w:sz w:val="18"/>
                <w:szCs w:val="18"/>
                <w:lang w:val="en-GB" w:eastAsia="lt-LT"/>
              </w:rPr>
              <w:t>25</w:t>
            </w:r>
            <w:r w:rsidR="009348A3" w:rsidRPr="00021B3E">
              <w:rPr>
                <w:rFonts w:ascii="Times New Roman" w:eastAsia="AngsanaUPC" w:hAnsi="Times New Roman"/>
                <w:bCs/>
                <w:sz w:val="18"/>
                <w:szCs w:val="18"/>
                <w:lang w:val="en-GB" w:eastAsia="lt-LT"/>
              </w:rPr>
              <w:t>.</w:t>
            </w:r>
            <w:r w:rsidR="007F0423" w:rsidRPr="00021B3E">
              <w:rPr>
                <w:rFonts w:ascii="Times New Roman" w:eastAsia="AngsanaUPC" w:hAnsi="Times New Roman"/>
                <w:bCs/>
                <w:sz w:val="18"/>
                <w:szCs w:val="18"/>
                <w:lang w:val="en-GB" w:eastAsia="lt-LT"/>
              </w:rPr>
              <w:t>213</w:t>
            </w:r>
          </w:p>
        </w:tc>
      </w:tr>
      <w:tr w:rsidR="007F0423" w:rsidRPr="009348A3" w:rsidTr="003D4200">
        <w:tc>
          <w:tcPr>
            <w:tcW w:w="851" w:type="dxa"/>
            <w:shd w:val="clear" w:color="auto" w:fill="auto"/>
            <w:vAlign w:val="center"/>
          </w:tcPr>
          <w:p w:rsidR="007F0423" w:rsidRPr="009348A3" w:rsidRDefault="007F0423" w:rsidP="00BB0960">
            <w:pPr>
              <w:widowControl w:val="0"/>
              <w:tabs>
                <w:tab w:val="left" w:pos="622"/>
              </w:tabs>
              <w:spacing w:after="0" w:line="240" w:lineRule="auto"/>
              <w:rPr>
                <w:rFonts w:ascii="Times New Roman" w:eastAsia="AngsanaUPC" w:hAnsi="Times New Roman"/>
                <w:bCs/>
                <w:sz w:val="18"/>
                <w:szCs w:val="18"/>
                <w:lang w:eastAsia="lt-LT"/>
              </w:rPr>
            </w:pPr>
            <w:r w:rsidRPr="009348A3">
              <w:rPr>
                <w:rFonts w:ascii="Times New Roman" w:eastAsia="AngsanaUPC" w:hAnsi="Times New Roman"/>
                <w:bCs/>
                <w:sz w:val="18"/>
                <w:szCs w:val="18"/>
                <w:lang w:eastAsia="lt-LT"/>
              </w:rPr>
              <w:t>SaF</w:t>
            </w:r>
          </w:p>
        </w:tc>
        <w:tc>
          <w:tcPr>
            <w:tcW w:w="709" w:type="dxa"/>
            <w:shd w:val="clear" w:color="auto" w:fill="auto"/>
            <w:vAlign w:val="center"/>
          </w:tcPr>
          <w:p w:rsidR="007F0423" w:rsidRPr="009348A3" w:rsidRDefault="003D4200" w:rsidP="00BB0960">
            <w:pPr>
              <w:widowControl w:val="0"/>
              <w:tabs>
                <w:tab w:val="left" w:pos="622"/>
              </w:tabs>
              <w:spacing w:after="0" w:line="240" w:lineRule="auto"/>
              <w:rPr>
                <w:rFonts w:ascii="Times New Roman" w:eastAsia="AngsanaUPC" w:hAnsi="Times New Roman"/>
                <w:bCs/>
                <w:sz w:val="18"/>
                <w:szCs w:val="18"/>
                <w:lang w:eastAsia="lt-LT"/>
              </w:rPr>
            </w:pPr>
            <w:r w:rsidRPr="009348A3">
              <w:rPr>
                <w:rFonts w:ascii="Times New Roman" w:eastAsia="AngsanaUPC" w:hAnsi="Times New Roman"/>
                <w:bCs/>
                <w:sz w:val="18"/>
                <w:szCs w:val="18"/>
                <w:lang w:eastAsia="lt-LT"/>
              </w:rPr>
              <w:t>0</w:t>
            </w:r>
            <w:r w:rsidR="007F0423" w:rsidRPr="009348A3">
              <w:rPr>
                <w:rFonts w:ascii="Times New Roman" w:eastAsia="AngsanaUPC" w:hAnsi="Times New Roman"/>
                <w:bCs/>
                <w:sz w:val="18"/>
                <w:szCs w:val="18"/>
                <w:lang w:eastAsia="lt-LT"/>
              </w:rPr>
              <w:t>1</w:t>
            </w:r>
          </w:p>
        </w:tc>
        <w:tc>
          <w:tcPr>
            <w:tcW w:w="6378" w:type="dxa"/>
            <w:shd w:val="clear" w:color="auto" w:fill="auto"/>
            <w:vAlign w:val="center"/>
          </w:tcPr>
          <w:p w:rsidR="007F0423" w:rsidRPr="009348A3" w:rsidRDefault="007F0423" w:rsidP="00BB0960">
            <w:pPr>
              <w:widowControl w:val="0"/>
              <w:tabs>
                <w:tab w:val="left" w:pos="622"/>
              </w:tabs>
              <w:spacing w:after="0" w:line="240" w:lineRule="auto"/>
              <w:rPr>
                <w:rFonts w:ascii="Times New Roman" w:eastAsia="AngsanaUPC" w:hAnsi="Times New Roman"/>
                <w:bCs/>
                <w:sz w:val="18"/>
                <w:szCs w:val="18"/>
                <w:lang w:eastAsia="lt-LT"/>
              </w:rPr>
            </w:pPr>
            <w:r w:rsidRPr="009348A3">
              <w:rPr>
                <w:rFonts w:ascii="Times New Roman" w:eastAsia="AngsanaUPC" w:hAnsi="Times New Roman"/>
                <w:bCs/>
                <w:sz w:val="18"/>
                <w:szCs w:val="18"/>
                <w:lang w:eastAsia="lt-LT"/>
              </w:rPr>
              <w:t>Negrąžinamoji subsidija</w:t>
            </w:r>
          </w:p>
        </w:tc>
        <w:tc>
          <w:tcPr>
            <w:tcW w:w="1808" w:type="dxa"/>
            <w:shd w:val="clear" w:color="auto" w:fill="auto"/>
            <w:vAlign w:val="center"/>
          </w:tcPr>
          <w:p w:rsidR="007F0423" w:rsidRPr="00D54F90" w:rsidRDefault="00DA0DF6" w:rsidP="00BB0960">
            <w:pPr>
              <w:widowControl w:val="0"/>
              <w:tabs>
                <w:tab w:val="left" w:pos="622"/>
              </w:tabs>
              <w:spacing w:after="0" w:line="240" w:lineRule="auto"/>
              <w:jc w:val="right"/>
              <w:rPr>
                <w:rFonts w:ascii="Times New Roman" w:eastAsia="AngsanaUPC" w:hAnsi="Times New Roman"/>
                <w:bCs/>
                <w:sz w:val="18"/>
                <w:szCs w:val="18"/>
                <w:lang w:val="en-GB" w:eastAsia="lt-LT"/>
              </w:rPr>
            </w:pPr>
            <w:r w:rsidRPr="00FC6264">
              <w:rPr>
                <w:rFonts w:ascii="Times New Roman" w:eastAsia="AngsanaUPC" w:hAnsi="Times New Roman"/>
                <w:bCs/>
                <w:sz w:val="18"/>
                <w:szCs w:val="18"/>
                <w:lang w:val="en-GB" w:eastAsia="lt-LT"/>
              </w:rPr>
              <w:t>774</w:t>
            </w:r>
            <w:r w:rsidR="009348A3"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7</w:t>
            </w:r>
            <w:r w:rsidR="00ED11F4" w:rsidRPr="00FC6264">
              <w:rPr>
                <w:rFonts w:ascii="Times New Roman" w:eastAsia="AngsanaUPC" w:hAnsi="Times New Roman"/>
                <w:bCs/>
                <w:sz w:val="18"/>
                <w:szCs w:val="18"/>
                <w:lang w:val="en-GB" w:eastAsia="lt-LT"/>
              </w:rPr>
              <w:t>56</w:t>
            </w:r>
            <w:r w:rsidR="009348A3" w:rsidRPr="00FC6264">
              <w:rPr>
                <w:rFonts w:ascii="Times New Roman" w:eastAsia="AngsanaUPC" w:hAnsi="Times New Roman"/>
                <w:bCs/>
                <w:sz w:val="18"/>
                <w:szCs w:val="18"/>
                <w:lang w:val="en-GB" w:eastAsia="lt-LT"/>
              </w:rPr>
              <w:t>.</w:t>
            </w:r>
            <w:r w:rsidR="00ED11F4" w:rsidRPr="00FC6264">
              <w:rPr>
                <w:rFonts w:ascii="Times New Roman" w:eastAsia="AngsanaUPC" w:hAnsi="Times New Roman"/>
                <w:bCs/>
                <w:sz w:val="18"/>
                <w:szCs w:val="18"/>
                <w:lang w:val="en-GB" w:eastAsia="lt-LT"/>
              </w:rPr>
              <w:t>109</w:t>
            </w:r>
          </w:p>
        </w:tc>
      </w:tr>
    </w:tbl>
    <w:p w:rsidR="007F0423" w:rsidRPr="002447B3" w:rsidRDefault="007F0423" w:rsidP="007F0423">
      <w:pPr>
        <w:widowControl w:val="0"/>
        <w:tabs>
          <w:tab w:val="left" w:pos="622"/>
        </w:tabs>
        <w:spacing w:after="0" w:line="240" w:lineRule="auto"/>
        <w:jc w:val="both"/>
        <w:rPr>
          <w:rFonts w:ascii="Times New Roman" w:hAnsi="Times New Roman"/>
          <w:iCs/>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9"/>
        <w:gridCol w:w="6378"/>
        <w:gridCol w:w="1808"/>
      </w:tblGrid>
      <w:tr w:rsidR="007F0423" w:rsidRPr="002447B3" w:rsidTr="00BB0960">
        <w:tc>
          <w:tcPr>
            <w:tcW w:w="9746" w:type="dxa"/>
            <w:gridSpan w:val="4"/>
            <w:shd w:val="clear" w:color="auto" w:fill="EEECE1"/>
          </w:tcPr>
          <w:p w:rsidR="007F0423" w:rsidRPr="002447B3" w:rsidRDefault="007F0423" w:rsidP="00BB0960">
            <w:pPr>
              <w:widowControl w:val="0"/>
              <w:tabs>
                <w:tab w:val="left" w:pos="622"/>
              </w:tabs>
              <w:spacing w:after="0" w:line="240" w:lineRule="auto"/>
              <w:jc w:val="both"/>
              <w:rPr>
                <w:rFonts w:ascii="Times New Roman" w:hAnsi="Times New Roman"/>
                <w:i/>
                <w:iCs/>
                <w:sz w:val="18"/>
                <w:szCs w:val="18"/>
              </w:rPr>
            </w:pPr>
            <w:r w:rsidRPr="002447B3">
              <w:rPr>
                <w:rFonts w:ascii="Times New Roman" w:hAnsi="Times New Roman"/>
                <w:b/>
                <w:bCs/>
                <w:i/>
                <w:iCs/>
                <w:sz w:val="18"/>
                <w:szCs w:val="18"/>
              </w:rPr>
              <w:t>Teritorijų tipas</w:t>
            </w:r>
          </w:p>
        </w:tc>
      </w:tr>
      <w:tr w:rsidR="007F0423" w:rsidRPr="002447B3" w:rsidTr="003D4200">
        <w:tc>
          <w:tcPr>
            <w:tcW w:w="851" w:type="dxa"/>
            <w:shd w:val="clear" w:color="auto" w:fill="EEECE1"/>
            <w:vAlign w:val="center"/>
          </w:tcPr>
          <w:p w:rsidR="007F0423" w:rsidRPr="002447B3" w:rsidRDefault="007F0423" w:rsidP="00BB0960">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Fondas</w:t>
            </w:r>
          </w:p>
        </w:tc>
        <w:tc>
          <w:tcPr>
            <w:tcW w:w="709" w:type="dxa"/>
            <w:shd w:val="clear" w:color="auto" w:fill="EEECE1"/>
            <w:vAlign w:val="center"/>
          </w:tcPr>
          <w:p w:rsidR="007F0423" w:rsidRPr="002447B3" w:rsidRDefault="007F0423" w:rsidP="00BB0960">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Kodas</w:t>
            </w:r>
          </w:p>
        </w:tc>
        <w:tc>
          <w:tcPr>
            <w:tcW w:w="6378" w:type="dxa"/>
            <w:shd w:val="clear" w:color="auto" w:fill="EEECE1"/>
            <w:vAlign w:val="center"/>
          </w:tcPr>
          <w:p w:rsidR="007F0423" w:rsidRPr="002447B3" w:rsidRDefault="007F0423" w:rsidP="00BB0960">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Pavadinimas</w:t>
            </w:r>
          </w:p>
        </w:tc>
        <w:tc>
          <w:tcPr>
            <w:tcW w:w="1808" w:type="dxa"/>
            <w:shd w:val="clear" w:color="auto" w:fill="EEECE1"/>
            <w:vAlign w:val="center"/>
          </w:tcPr>
          <w:p w:rsidR="007F0423" w:rsidRPr="002447B3" w:rsidRDefault="007F0423" w:rsidP="00BB0960">
            <w:pPr>
              <w:widowControl w:val="0"/>
              <w:tabs>
                <w:tab w:val="left" w:pos="622"/>
              </w:tabs>
              <w:spacing w:after="0" w:line="240" w:lineRule="auto"/>
              <w:jc w:val="center"/>
              <w:rPr>
                <w:rFonts w:ascii="Times New Roman" w:hAnsi="Times New Roman"/>
                <w:b/>
                <w:bCs/>
                <w:iCs/>
                <w:sz w:val="18"/>
                <w:szCs w:val="18"/>
              </w:rPr>
            </w:pPr>
            <w:r w:rsidRPr="002447B3">
              <w:rPr>
                <w:rFonts w:ascii="Times New Roman" w:hAnsi="Times New Roman"/>
                <w:b/>
                <w:bCs/>
                <w:iCs/>
                <w:sz w:val="18"/>
                <w:szCs w:val="18"/>
              </w:rPr>
              <w:t>Finansinė proporcija (eurais)</w:t>
            </w:r>
          </w:p>
        </w:tc>
      </w:tr>
      <w:tr w:rsidR="007F0423" w:rsidRPr="009348A3" w:rsidTr="003D4200">
        <w:tc>
          <w:tcPr>
            <w:tcW w:w="851" w:type="dxa"/>
            <w:shd w:val="clear" w:color="auto" w:fill="FFFFFF"/>
            <w:vAlign w:val="center"/>
          </w:tcPr>
          <w:p w:rsidR="007F0423" w:rsidRPr="009348A3" w:rsidRDefault="007F0423" w:rsidP="00BB0960">
            <w:pPr>
              <w:widowControl w:val="0"/>
              <w:tabs>
                <w:tab w:val="left" w:pos="622"/>
              </w:tabs>
              <w:spacing w:after="0" w:line="240" w:lineRule="auto"/>
              <w:jc w:val="both"/>
              <w:rPr>
                <w:rFonts w:ascii="Times New Roman" w:hAnsi="Times New Roman"/>
                <w:bCs/>
                <w:iCs/>
                <w:sz w:val="18"/>
                <w:szCs w:val="18"/>
              </w:rPr>
            </w:pPr>
            <w:r w:rsidRPr="009348A3">
              <w:rPr>
                <w:rFonts w:ascii="Times New Roman" w:hAnsi="Times New Roman"/>
                <w:bCs/>
                <w:iCs/>
                <w:sz w:val="18"/>
                <w:szCs w:val="18"/>
              </w:rPr>
              <w:t>ERPF</w:t>
            </w:r>
          </w:p>
        </w:tc>
        <w:tc>
          <w:tcPr>
            <w:tcW w:w="709" w:type="dxa"/>
            <w:shd w:val="clear" w:color="auto" w:fill="FFFFFF"/>
            <w:vAlign w:val="center"/>
          </w:tcPr>
          <w:p w:rsidR="007F0423" w:rsidRPr="009348A3" w:rsidRDefault="003D4200" w:rsidP="00BB0960">
            <w:pPr>
              <w:widowControl w:val="0"/>
              <w:tabs>
                <w:tab w:val="left" w:pos="622"/>
              </w:tabs>
              <w:spacing w:after="0" w:line="240" w:lineRule="auto"/>
              <w:jc w:val="both"/>
              <w:rPr>
                <w:rFonts w:ascii="Times New Roman" w:hAnsi="Times New Roman"/>
                <w:bCs/>
                <w:iCs/>
                <w:sz w:val="18"/>
                <w:szCs w:val="18"/>
              </w:rPr>
            </w:pPr>
            <w:r w:rsidRPr="009348A3">
              <w:rPr>
                <w:rFonts w:ascii="Times New Roman" w:hAnsi="Times New Roman"/>
                <w:bCs/>
                <w:iCs/>
                <w:sz w:val="18"/>
                <w:szCs w:val="18"/>
              </w:rPr>
              <w:t>0</w:t>
            </w:r>
            <w:r w:rsidR="007F0423" w:rsidRPr="009348A3">
              <w:rPr>
                <w:rFonts w:ascii="Times New Roman" w:hAnsi="Times New Roman"/>
                <w:bCs/>
                <w:iCs/>
                <w:sz w:val="18"/>
                <w:szCs w:val="18"/>
              </w:rPr>
              <w:t>1</w:t>
            </w:r>
          </w:p>
        </w:tc>
        <w:tc>
          <w:tcPr>
            <w:tcW w:w="6378" w:type="dxa"/>
            <w:shd w:val="clear" w:color="auto" w:fill="FFFFFF"/>
            <w:vAlign w:val="center"/>
          </w:tcPr>
          <w:p w:rsidR="007F0423" w:rsidRPr="009348A3" w:rsidRDefault="007F0423" w:rsidP="00BB0960">
            <w:pPr>
              <w:widowControl w:val="0"/>
              <w:tabs>
                <w:tab w:val="left" w:pos="622"/>
              </w:tabs>
              <w:spacing w:after="0" w:line="240" w:lineRule="auto"/>
              <w:jc w:val="both"/>
              <w:rPr>
                <w:rFonts w:ascii="Times New Roman" w:hAnsi="Times New Roman"/>
                <w:bCs/>
                <w:iCs/>
                <w:sz w:val="18"/>
                <w:szCs w:val="18"/>
              </w:rPr>
            </w:pPr>
            <w:r w:rsidRPr="009348A3">
              <w:rPr>
                <w:rFonts w:ascii="Times New Roman" w:hAnsi="Times New Roman"/>
                <w:bCs/>
                <w:iCs/>
                <w:sz w:val="18"/>
                <w:szCs w:val="18"/>
              </w:rPr>
              <w:t>Didelės miesto teritorijos (tankiai apgyvendintos, &gt; 50 000 gyventojų)</w:t>
            </w:r>
          </w:p>
        </w:tc>
        <w:tc>
          <w:tcPr>
            <w:tcW w:w="1808" w:type="dxa"/>
            <w:shd w:val="clear" w:color="auto" w:fill="FFFFFF"/>
            <w:vAlign w:val="center"/>
          </w:tcPr>
          <w:p w:rsidR="007F0423" w:rsidRPr="00FC6264" w:rsidRDefault="00DA0DF6" w:rsidP="00ED11F4">
            <w:pPr>
              <w:widowControl w:val="0"/>
              <w:tabs>
                <w:tab w:val="left" w:pos="622"/>
              </w:tabs>
              <w:spacing w:after="0" w:line="240" w:lineRule="auto"/>
              <w:jc w:val="right"/>
              <w:rPr>
                <w:rFonts w:ascii="Times New Roman" w:hAnsi="Times New Roman"/>
                <w:bCs/>
                <w:iCs/>
                <w:sz w:val="18"/>
                <w:szCs w:val="18"/>
              </w:rPr>
            </w:pPr>
            <w:r w:rsidRPr="00FC6264">
              <w:rPr>
                <w:rFonts w:ascii="Times New Roman" w:hAnsi="Times New Roman"/>
                <w:bCs/>
                <w:iCs/>
                <w:sz w:val="18"/>
                <w:szCs w:val="18"/>
                <w:lang w:val="en-GB"/>
              </w:rPr>
              <w:t>129</w:t>
            </w:r>
            <w:r w:rsidR="009348A3" w:rsidRPr="00FC6264">
              <w:rPr>
                <w:rFonts w:ascii="Times New Roman" w:hAnsi="Times New Roman"/>
                <w:bCs/>
                <w:iCs/>
                <w:sz w:val="18"/>
                <w:szCs w:val="18"/>
                <w:lang w:val="en-GB"/>
              </w:rPr>
              <w:t>.</w:t>
            </w:r>
            <w:r w:rsidRPr="00FC6264">
              <w:rPr>
                <w:rFonts w:ascii="Times New Roman" w:hAnsi="Times New Roman"/>
                <w:bCs/>
                <w:iCs/>
                <w:sz w:val="18"/>
                <w:szCs w:val="18"/>
                <w:lang w:val="en-GB"/>
              </w:rPr>
              <w:t>687</w:t>
            </w:r>
            <w:r w:rsidR="009348A3" w:rsidRPr="00FC6264">
              <w:rPr>
                <w:rFonts w:ascii="Times New Roman" w:hAnsi="Times New Roman"/>
                <w:bCs/>
                <w:iCs/>
                <w:sz w:val="18"/>
                <w:szCs w:val="18"/>
                <w:lang w:val="en-GB"/>
              </w:rPr>
              <w:t>.</w:t>
            </w:r>
            <w:r w:rsidRPr="00FC6264">
              <w:rPr>
                <w:rFonts w:ascii="Times New Roman" w:hAnsi="Times New Roman"/>
                <w:bCs/>
                <w:iCs/>
                <w:sz w:val="18"/>
                <w:szCs w:val="18"/>
                <w:lang w:val="en-GB"/>
              </w:rPr>
              <w:t>89</w:t>
            </w:r>
            <w:r w:rsidR="007F0423" w:rsidRPr="00FC6264">
              <w:rPr>
                <w:rFonts w:ascii="Times New Roman" w:hAnsi="Times New Roman"/>
                <w:bCs/>
                <w:iCs/>
                <w:sz w:val="18"/>
                <w:szCs w:val="18"/>
                <w:lang w:val="en-GB"/>
              </w:rPr>
              <w:t>8</w:t>
            </w:r>
          </w:p>
        </w:tc>
      </w:tr>
      <w:tr w:rsidR="007F0423" w:rsidRPr="00D54F90" w:rsidTr="003D4200">
        <w:tc>
          <w:tcPr>
            <w:tcW w:w="851" w:type="dxa"/>
            <w:shd w:val="clear" w:color="auto" w:fill="auto"/>
            <w:vAlign w:val="center"/>
          </w:tcPr>
          <w:p w:rsidR="007F0423" w:rsidRPr="009348A3" w:rsidRDefault="007F0423" w:rsidP="00BB0960">
            <w:pPr>
              <w:widowControl w:val="0"/>
              <w:tabs>
                <w:tab w:val="left" w:pos="622"/>
              </w:tabs>
              <w:spacing w:after="0" w:line="240" w:lineRule="auto"/>
              <w:rPr>
                <w:rFonts w:ascii="Times New Roman" w:eastAsia="AngsanaUPC" w:hAnsi="Times New Roman"/>
                <w:bCs/>
                <w:sz w:val="18"/>
                <w:szCs w:val="18"/>
                <w:lang w:val="en-GB" w:eastAsia="lt-LT"/>
              </w:rPr>
            </w:pPr>
            <w:r w:rsidRPr="009348A3">
              <w:rPr>
                <w:rFonts w:ascii="Times New Roman" w:eastAsia="AngsanaUPC" w:hAnsi="Times New Roman"/>
                <w:bCs/>
                <w:sz w:val="18"/>
                <w:szCs w:val="18"/>
                <w:lang w:val="en-GB" w:eastAsia="lt-LT"/>
              </w:rPr>
              <w:t>ERPF</w:t>
            </w:r>
          </w:p>
        </w:tc>
        <w:tc>
          <w:tcPr>
            <w:tcW w:w="709" w:type="dxa"/>
            <w:shd w:val="clear" w:color="auto" w:fill="auto"/>
            <w:vAlign w:val="center"/>
          </w:tcPr>
          <w:p w:rsidR="007F0423" w:rsidRPr="009348A3" w:rsidRDefault="003D4200" w:rsidP="00BB0960">
            <w:pPr>
              <w:widowControl w:val="0"/>
              <w:tabs>
                <w:tab w:val="left" w:pos="622"/>
              </w:tabs>
              <w:spacing w:after="0" w:line="240" w:lineRule="auto"/>
              <w:rPr>
                <w:rFonts w:ascii="Times New Roman" w:eastAsia="AngsanaUPC" w:hAnsi="Times New Roman"/>
                <w:bCs/>
                <w:sz w:val="18"/>
                <w:szCs w:val="18"/>
                <w:lang w:val="en-GB" w:eastAsia="lt-LT"/>
              </w:rPr>
            </w:pPr>
            <w:r w:rsidRPr="009348A3">
              <w:rPr>
                <w:rFonts w:ascii="Times New Roman" w:eastAsia="AngsanaUPC" w:hAnsi="Times New Roman"/>
                <w:bCs/>
                <w:sz w:val="18"/>
                <w:szCs w:val="18"/>
                <w:lang w:val="en-GB" w:eastAsia="lt-LT"/>
              </w:rPr>
              <w:t>0</w:t>
            </w:r>
            <w:r w:rsidR="007F0423" w:rsidRPr="009348A3">
              <w:rPr>
                <w:rFonts w:ascii="Times New Roman" w:eastAsia="AngsanaUPC" w:hAnsi="Times New Roman"/>
                <w:bCs/>
                <w:sz w:val="18"/>
                <w:szCs w:val="18"/>
                <w:lang w:val="en-GB" w:eastAsia="lt-LT"/>
              </w:rPr>
              <w:t>7</w:t>
            </w:r>
          </w:p>
        </w:tc>
        <w:tc>
          <w:tcPr>
            <w:tcW w:w="6378" w:type="dxa"/>
            <w:shd w:val="clear" w:color="auto" w:fill="auto"/>
            <w:vAlign w:val="center"/>
          </w:tcPr>
          <w:p w:rsidR="007F0423" w:rsidRPr="009348A3" w:rsidRDefault="007F0423" w:rsidP="00BB0960">
            <w:pPr>
              <w:widowControl w:val="0"/>
              <w:tabs>
                <w:tab w:val="left" w:pos="622"/>
              </w:tabs>
              <w:spacing w:after="0" w:line="240" w:lineRule="auto"/>
              <w:jc w:val="both"/>
              <w:rPr>
                <w:rFonts w:ascii="Times New Roman" w:hAnsi="Times New Roman"/>
                <w:bCs/>
                <w:iCs/>
                <w:sz w:val="18"/>
                <w:szCs w:val="18"/>
              </w:rPr>
            </w:pPr>
            <w:r w:rsidRPr="009348A3">
              <w:rPr>
                <w:rFonts w:ascii="Times New Roman" w:hAnsi="Times New Roman"/>
                <w:bCs/>
                <w:iCs/>
                <w:sz w:val="18"/>
                <w:szCs w:val="18"/>
              </w:rPr>
              <w:t>Netaikoma</w:t>
            </w:r>
          </w:p>
        </w:tc>
        <w:tc>
          <w:tcPr>
            <w:tcW w:w="1808" w:type="dxa"/>
            <w:shd w:val="clear" w:color="auto" w:fill="auto"/>
            <w:vAlign w:val="center"/>
          </w:tcPr>
          <w:p w:rsidR="007F0423" w:rsidRPr="00FC6264" w:rsidRDefault="00DA0DF6" w:rsidP="00DA0DF6">
            <w:pPr>
              <w:widowControl w:val="0"/>
              <w:tabs>
                <w:tab w:val="left" w:pos="622"/>
              </w:tabs>
              <w:spacing w:after="0" w:line="240" w:lineRule="auto"/>
              <w:jc w:val="right"/>
              <w:rPr>
                <w:rFonts w:ascii="Times New Roman" w:eastAsia="AngsanaUPC" w:hAnsi="Times New Roman"/>
                <w:bCs/>
                <w:sz w:val="18"/>
                <w:szCs w:val="18"/>
                <w:lang w:val="en-GB" w:eastAsia="lt-LT"/>
              </w:rPr>
            </w:pPr>
            <w:r w:rsidRPr="00FC6264">
              <w:rPr>
                <w:rFonts w:ascii="Times New Roman" w:eastAsia="AngsanaUPC" w:hAnsi="Times New Roman"/>
                <w:bCs/>
                <w:sz w:val="18"/>
                <w:szCs w:val="18"/>
                <w:lang w:val="en-GB" w:eastAsia="lt-LT"/>
              </w:rPr>
              <w:t>189</w:t>
            </w:r>
            <w:r w:rsidR="009348A3"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737</w:t>
            </w:r>
            <w:r w:rsidR="009348A3"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315</w:t>
            </w:r>
          </w:p>
        </w:tc>
      </w:tr>
      <w:tr w:rsidR="007F0423" w:rsidRPr="009348A3" w:rsidTr="003D4200">
        <w:tc>
          <w:tcPr>
            <w:tcW w:w="851" w:type="dxa"/>
            <w:shd w:val="clear" w:color="auto" w:fill="auto"/>
            <w:vAlign w:val="center"/>
          </w:tcPr>
          <w:p w:rsidR="007F0423" w:rsidRPr="008F339D" w:rsidRDefault="007F0423" w:rsidP="00BB0960">
            <w:pPr>
              <w:widowControl w:val="0"/>
              <w:tabs>
                <w:tab w:val="left" w:pos="622"/>
              </w:tabs>
              <w:spacing w:after="0" w:line="240" w:lineRule="auto"/>
              <w:rPr>
                <w:rFonts w:ascii="Times New Roman" w:eastAsia="AngsanaUPC" w:hAnsi="Times New Roman"/>
                <w:bCs/>
                <w:sz w:val="18"/>
                <w:szCs w:val="18"/>
                <w:lang w:eastAsia="lt-LT"/>
              </w:rPr>
            </w:pPr>
            <w:r w:rsidRPr="008F339D">
              <w:rPr>
                <w:rFonts w:ascii="Times New Roman" w:eastAsia="AngsanaUPC" w:hAnsi="Times New Roman"/>
                <w:bCs/>
                <w:sz w:val="18"/>
                <w:szCs w:val="18"/>
                <w:lang w:eastAsia="lt-LT"/>
              </w:rPr>
              <w:t>SaF</w:t>
            </w:r>
          </w:p>
        </w:tc>
        <w:tc>
          <w:tcPr>
            <w:tcW w:w="709" w:type="dxa"/>
            <w:shd w:val="clear" w:color="auto" w:fill="auto"/>
            <w:vAlign w:val="center"/>
          </w:tcPr>
          <w:p w:rsidR="007F0423" w:rsidRPr="009348A3" w:rsidRDefault="003D4200" w:rsidP="00BB0960">
            <w:pPr>
              <w:widowControl w:val="0"/>
              <w:tabs>
                <w:tab w:val="left" w:pos="622"/>
              </w:tabs>
              <w:spacing w:after="0" w:line="240" w:lineRule="auto"/>
              <w:rPr>
                <w:rFonts w:ascii="Times New Roman" w:eastAsia="AngsanaUPC" w:hAnsi="Times New Roman"/>
                <w:bCs/>
                <w:sz w:val="18"/>
                <w:szCs w:val="18"/>
                <w:lang w:val="en-GB" w:eastAsia="lt-LT"/>
              </w:rPr>
            </w:pPr>
            <w:r w:rsidRPr="009348A3">
              <w:rPr>
                <w:rFonts w:ascii="Times New Roman" w:eastAsia="AngsanaUPC" w:hAnsi="Times New Roman"/>
                <w:bCs/>
                <w:sz w:val="18"/>
                <w:szCs w:val="18"/>
                <w:lang w:val="en-GB" w:eastAsia="lt-LT"/>
              </w:rPr>
              <w:t>0</w:t>
            </w:r>
            <w:r w:rsidR="007F0423" w:rsidRPr="009348A3">
              <w:rPr>
                <w:rFonts w:ascii="Times New Roman" w:eastAsia="AngsanaUPC" w:hAnsi="Times New Roman"/>
                <w:bCs/>
                <w:sz w:val="18"/>
                <w:szCs w:val="18"/>
                <w:lang w:val="en-GB" w:eastAsia="lt-LT"/>
              </w:rPr>
              <w:t>7</w:t>
            </w:r>
          </w:p>
        </w:tc>
        <w:tc>
          <w:tcPr>
            <w:tcW w:w="6378" w:type="dxa"/>
            <w:shd w:val="clear" w:color="auto" w:fill="auto"/>
            <w:vAlign w:val="center"/>
          </w:tcPr>
          <w:p w:rsidR="007F0423" w:rsidRPr="009348A3" w:rsidRDefault="007F0423" w:rsidP="00BB0960">
            <w:pPr>
              <w:widowControl w:val="0"/>
              <w:tabs>
                <w:tab w:val="left" w:pos="622"/>
              </w:tabs>
              <w:spacing w:after="0" w:line="240" w:lineRule="auto"/>
              <w:jc w:val="both"/>
              <w:rPr>
                <w:rFonts w:ascii="Times New Roman" w:hAnsi="Times New Roman"/>
                <w:bCs/>
                <w:iCs/>
                <w:sz w:val="18"/>
                <w:szCs w:val="18"/>
              </w:rPr>
            </w:pPr>
            <w:r w:rsidRPr="009348A3">
              <w:rPr>
                <w:rFonts w:ascii="Times New Roman" w:hAnsi="Times New Roman"/>
                <w:bCs/>
                <w:iCs/>
                <w:sz w:val="18"/>
                <w:szCs w:val="18"/>
              </w:rPr>
              <w:t>Netaikoma</w:t>
            </w:r>
          </w:p>
        </w:tc>
        <w:tc>
          <w:tcPr>
            <w:tcW w:w="1808" w:type="dxa"/>
            <w:shd w:val="clear" w:color="auto" w:fill="auto"/>
            <w:vAlign w:val="center"/>
          </w:tcPr>
          <w:p w:rsidR="007F0423" w:rsidRPr="00FC6264" w:rsidRDefault="00ED11F4" w:rsidP="00DA0DF6">
            <w:pPr>
              <w:widowControl w:val="0"/>
              <w:tabs>
                <w:tab w:val="left" w:pos="622"/>
              </w:tabs>
              <w:spacing w:after="0" w:line="240" w:lineRule="auto"/>
              <w:jc w:val="right"/>
              <w:rPr>
                <w:rFonts w:ascii="Times New Roman" w:eastAsia="AngsanaUPC" w:hAnsi="Times New Roman"/>
                <w:bCs/>
                <w:sz w:val="18"/>
                <w:szCs w:val="18"/>
                <w:lang w:val="en-GB" w:eastAsia="lt-LT"/>
              </w:rPr>
            </w:pPr>
            <w:r w:rsidRPr="00FC6264">
              <w:rPr>
                <w:rFonts w:ascii="Times New Roman" w:eastAsia="AngsanaUPC" w:hAnsi="Times New Roman"/>
                <w:bCs/>
                <w:sz w:val="18"/>
                <w:szCs w:val="18"/>
                <w:lang w:val="en-GB" w:eastAsia="lt-LT"/>
              </w:rPr>
              <w:t>7</w:t>
            </w:r>
            <w:r w:rsidR="00DA0DF6" w:rsidRPr="00FC6264">
              <w:rPr>
                <w:rFonts w:ascii="Times New Roman" w:eastAsia="AngsanaUPC" w:hAnsi="Times New Roman"/>
                <w:bCs/>
                <w:sz w:val="18"/>
                <w:szCs w:val="18"/>
                <w:lang w:val="en-GB" w:eastAsia="lt-LT"/>
              </w:rPr>
              <w:t>74</w:t>
            </w:r>
            <w:r w:rsidR="009348A3" w:rsidRPr="00FC6264">
              <w:rPr>
                <w:rFonts w:ascii="Times New Roman" w:eastAsia="AngsanaUPC" w:hAnsi="Times New Roman"/>
                <w:bCs/>
                <w:sz w:val="18"/>
                <w:szCs w:val="18"/>
                <w:lang w:val="en-GB" w:eastAsia="lt-LT"/>
              </w:rPr>
              <w:t>.</w:t>
            </w:r>
            <w:r w:rsidR="00DA0DF6" w:rsidRPr="00FC6264">
              <w:rPr>
                <w:rFonts w:ascii="Times New Roman" w:eastAsia="AngsanaUPC" w:hAnsi="Times New Roman"/>
                <w:bCs/>
                <w:sz w:val="18"/>
                <w:szCs w:val="18"/>
                <w:lang w:val="en-GB" w:eastAsia="lt-LT"/>
              </w:rPr>
              <w:t>7</w:t>
            </w:r>
            <w:r w:rsidRPr="00FC6264">
              <w:rPr>
                <w:rFonts w:ascii="Times New Roman" w:eastAsia="AngsanaUPC" w:hAnsi="Times New Roman"/>
                <w:bCs/>
                <w:sz w:val="18"/>
                <w:szCs w:val="18"/>
                <w:lang w:val="en-GB" w:eastAsia="lt-LT"/>
              </w:rPr>
              <w:t>56</w:t>
            </w:r>
            <w:r w:rsidR="009348A3"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109</w:t>
            </w:r>
          </w:p>
        </w:tc>
      </w:tr>
    </w:tbl>
    <w:p w:rsidR="007F0423" w:rsidRPr="002447B3" w:rsidRDefault="007F0423" w:rsidP="007F0423">
      <w:pPr>
        <w:widowControl w:val="0"/>
        <w:tabs>
          <w:tab w:val="left" w:pos="622"/>
        </w:tabs>
        <w:spacing w:after="0" w:line="240" w:lineRule="auto"/>
        <w:jc w:val="both"/>
        <w:rPr>
          <w:rFonts w:ascii="Times New Roman" w:hAnsi="Times New Roman"/>
          <w:iCs/>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9"/>
        <w:gridCol w:w="6378"/>
        <w:gridCol w:w="1808"/>
      </w:tblGrid>
      <w:tr w:rsidR="007F0423" w:rsidRPr="002447B3" w:rsidTr="00BB0960">
        <w:tc>
          <w:tcPr>
            <w:tcW w:w="9746" w:type="dxa"/>
            <w:gridSpan w:val="4"/>
            <w:shd w:val="clear" w:color="auto" w:fill="EEECE1"/>
          </w:tcPr>
          <w:p w:rsidR="007F0423" w:rsidRPr="002447B3" w:rsidRDefault="007F0423" w:rsidP="00BB0960">
            <w:pPr>
              <w:widowControl w:val="0"/>
              <w:tabs>
                <w:tab w:val="left" w:pos="622"/>
              </w:tabs>
              <w:spacing w:after="0" w:line="240" w:lineRule="auto"/>
              <w:jc w:val="both"/>
              <w:rPr>
                <w:rFonts w:ascii="Times New Roman" w:hAnsi="Times New Roman"/>
                <w:i/>
                <w:iCs/>
                <w:sz w:val="18"/>
                <w:szCs w:val="18"/>
              </w:rPr>
            </w:pPr>
            <w:r w:rsidRPr="002447B3">
              <w:rPr>
                <w:rFonts w:ascii="Times New Roman" w:hAnsi="Times New Roman"/>
                <w:b/>
                <w:bCs/>
                <w:i/>
                <w:iCs/>
                <w:sz w:val="18"/>
                <w:szCs w:val="18"/>
              </w:rPr>
              <w:t>Teritorinės paramos paskirstymo priemonės</w:t>
            </w:r>
          </w:p>
        </w:tc>
      </w:tr>
      <w:tr w:rsidR="007F0423" w:rsidRPr="002447B3" w:rsidTr="003D4200">
        <w:tc>
          <w:tcPr>
            <w:tcW w:w="851" w:type="dxa"/>
            <w:shd w:val="clear" w:color="auto" w:fill="EEECE1"/>
            <w:vAlign w:val="center"/>
          </w:tcPr>
          <w:p w:rsidR="007F0423" w:rsidRPr="002447B3" w:rsidRDefault="007F0423" w:rsidP="00BB0960">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Fondas</w:t>
            </w:r>
          </w:p>
        </w:tc>
        <w:tc>
          <w:tcPr>
            <w:tcW w:w="709" w:type="dxa"/>
            <w:shd w:val="clear" w:color="auto" w:fill="EEECE1"/>
            <w:vAlign w:val="center"/>
          </w:tcPr>
          <w:p w:rsidR="007F0423" w:rsidRPr="002447B3" w:rsidRDefault="007F0423" w:rsidP="00BB0960">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Kodas</w:t>
            </w:r>
          </w:p>
        </w:tc>
        <w:tc>
          <w:tcPr>
            <w:tcW w:w="6378" w:type="dxa"/>
            <w:shd w:val="clear" w:color="auto" w:fill="EEECE1"/>
            <w:vAlign w:val="center"/>
          </w:tcPr>
          <w:p w:rsidR="007F0423" w:rsidRPr="002447B3" w:rsidRDefault="007F0423" w:rsidP="00BB0960">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Pavadinimas</w:t>
            </w:r>
          </w:p>
        </w:tc>
        <w:tc>
          <w:tcPr>
            <w:tcW w:w="1808" w:type="dxa"/>
            <w:shd w:val="clear" w:color="auto" w:fill="EEECE1"/>
            <w:vAlign w:val="center"/>
          </w:tcPr>
          <w:p w:rsidR="007F0423" w:rsidRPr="002447B3" w:rsidRDefault="007F0423" w:rsidP="00BB0960">
            <w:pPr>
              <w:widowControl w:val="0"/>
              <w:tabs>
                <w:tab w:val="left" w:pos="622"/>
              </w:tabs>
              <w:spacing w:after="0" w:line="240" w:lineRule="auto"/>
              <w:jc w:val="center"/>
              <w:rPr>
                <w:rFonts w:ascii="Times New Roman" w:hAnsi="Times New Roman"/>
                <w:b/>
                <w:bCs/>
                <w:iCs/>
                <w:sz w:val="18"/>
                <w:szCs w:val="18"/>
              </w:rPr>
            </w:pPr>
            <w:r w:rsidRPr="002447B3">
              <w:rPr>
                <w:rFonts w:ascii="Times New Roman" w:hAnsi="Times New Roman"/>
                <w:b/>
                <w:bCs/>
                <w:iCs/>
                <w:sz w:val="18"/>
                <w:szCs w:val="18"/>
              </w:rPr>
              <w:t>Finansinė proporcija (eurais)</w:t>
            </w:r>
          </w:p>
        </w:tc>
      </w:tr>
      <w:tr w:rsidR="0029342F" w:rsidRPr="009348A3" w:rsidTr="003D4200">
        <w:tc>
          <w:tcPr>
            <w:tcW w:w="851" w:type="dxa"/>
            <w:shd w:val="clear" w:color="auto" w:fill="auto"/>
            <w:vAlign w:val="center"/>
          </w:tcPr>
          <w:p w:rsidR="0029342F" w:rsidRPr="009348A3" w:rsidRDefault="0029342F" w:rsidP="001352F5">
            <w:pPr>
              <w:spacing w:after="0" w:line="240" w:lineRule="auto"/>
              <w:rPr>
                <w:rFonts w:ascii="Times New Roman" w:eastAsia="Times New Roman" w:hAnsi="Times New Roman"/>
                <w:bCs/>
                <w:sz w:val="18"/>
                <w:szCs w:val="18"/>
                <w:lang w:val="en-GB"/>
              </w:rPr>
            </w:pPr>
            <w:r w:rsidRPr="009348A3">
              <w:rPr>
                <w:rFonts w:ascii="Times New Roman" w:eastAsia="Times New Roman" w:hAnsi="Times New Roman"/>
                <w:bCs/>
                <w:sz w:val="18"/>
                <w:szCs w:val="18"/>
                <w:lang w:val="en-GB"/>
              </w:rPr>
              <w:t>ERPF</w:t>
            </w:r>
          </w:p>
        </w:tc>
        <w:tc>
          <w:tcPr>
            <w:tcW w:w="709" w:type="dxa"/>
            <w:shd w:val="clear" w:color="auto" w:fill="auto"/>
            <w:vAlign w:val="center"/>
          </w:tcPr>
          <w:p w:rsidR="0029342F" w:rsidRPr="009348A3" w:rsidRDefault="0029342F" w:rsidP="001352F5">
            <w:pPr>
              <w:spacing w:after="0" w:line="240" w:lineRule="auto"/>
              <w:rPr>
                <w:rFonts w:ascii="Times New Roman" w:eastAsia="Times New Roman" w:hAnsi="Times New Roman"/>
                <w:bCs/>
                <w:sz w:val="18"/>
                <w:szCs w:val="18"/>
                <w:lang w:val="en-GB"/>
              </w:rPr>
            </w:pPr>
            <w:r w:rsidRPr="009348A3">
              <w:rPr>
                <w:rFonts w:ascii="Times New Roman" w:eastAsia="Times New Roman" w:hAnsi="Times New Roman"/>
                <w:bCs/>
                <w:sz w:val="18"/>
                <w:szCs w:val="18"/>
                <w:lang w:val="en-GB"/>
              </w:rPr>
              <w:t>01</w:t>
            </w:r>
          </w:p>
        </w:tc>
        <w:tc>
          <w:tcPr>
            <w:tcW w:w="6378" w:type="dxa"/>
            <w:shd w:val="clear" w:color="auto" w:fill="auto"/>
            <w:vAlign w:val="center"/>
          </w:tcPr>
          <w:p w:rsidR="0029342F" w:rsidRPr="009348A3" w:rsidRDefault="0029342F" w:rsidP="001352F5">
            <w:pPr>
              <w:spacing w:after="0" w:line="240" w:lineRule="auto"/>
              <w:rPr>
                <w:rFonts w:ascii="Times New Roman" w:eastAsia="Times New Roman" w:hAnsi="Times New Roman"/>
                <w:bCs/>
                <w:iCs/>
                <w:sz w:val="18"/>
                <w:szCs w:val="18"/>
              </w:rPr>
            </w:pPr>
            <w:r w:rsidRPr="009348A3">
              <w:rPr>
                <w:rFonts w:ascii="Times New Roman" w:eastAsia="Times New Roman" w:hAnsi="Times New Roman"/>
                <w:bCs/>
                <w:iCs/>
                <w:sz w:val="18"/>
                <w:szCs w:val="18"/>
              </w:rPr>
              <w:t>Integruotosios teritorinės investicijos: miesto teritorijos</w:t>
            </w:r>
          </w:p>
        </w:tc>
        <w:tc>
          <w:tcPr>
            <w:tcW w:w="1808" w:type="dxa"/>
            <w:shd w:val="clear" w:color="auto" w:fill="auto"/>
            <w:vAlign w:val="center"/>
          </w:tcPr>
          <w:p w:rsidR="0029342F" w:rsidRPr="00FC6264" w:rsidRDefault="0029342F" w:rsidP="001352F5">
            <w:pPr>
              <w:spacing w:after="0" w:line="240" w:lineRule="auto"/>
              <w:jc w:val="right"/>
              <w:rPr>
                <w:rFonts w:ascii="Times New Roman" w:eastAsia="Times New Roman" w:hAnsi="Times New Roman"/>
                <w:bCs/>
                <w:sz w:val="18"/>
                <w:szCs w:val="18"/>
                <w:lang w:val="en-GB"/>
              </w:rPr>
            </w:pPr>
            <w:r w:rsidRPr="00FC6264">
              <w:rPr>
                <w:rFonts w:ascii="Times New Roman" w:eastAsia="Times New Roman" w:hAnsi="Times New Roman"/>
                <w:bCs/>
                <w:sz w:val="18"/>
                <w:szCs w:val="18"/>
                <w:lang w:val="en-GB"/>
              </w:rPr>
              <w:t>17</w:t>
            </w:r>
            <w:r w:rsidR="009348A3" w:rsidRPr="00FC6264">
              <w:rPr>
                <w:rFonts w:ascii="Times New Roman" w:eastAsia="Times New Roman" w:hAnsi="Times New Roman"/>
                <w:bCs/>
                <w:sz w:val="18"/>
                <w:szCs w:val="18"/>
                <w:lang w:val="en-GB"/>
              </w:rPr>
              <w:t>.</w:t>
            </w:r>
            <w:r w:rsidRPr="00FC6264">
              <w:rPr>
                <w:rFonts w:ascii="Times New Roman" w:eastAsia="Times New Roman" w:hAnsi="Times New Roman"/>
                <w:bCs/>
                <w:sz w:val="18"/>
                <w:szCs w:val="18"/>
                <w:lang w:val="en-GB"/>
              </w:rPr>
              <w:t>613</w:t>
            </w:r>
            <w:r w:rsidR="009348A3" w:rsidRPr="00FC6264">
              <w:rPr>
                <w:rFonts w:ascii="Times New Roman" w:eastAsia="Times New Roman" w:hAnsi="Times New Roman"/>
                <w:bCs/>
                <w:sz w:val="18"/>
                <w:szCs w:val="18"/>
                <w:lang w:val="en-GB"/>
              </w:rPr>
              <w:t>.</w:t>
            </w:r>
            <w:r w:rsidRPr="00FC6264">
              <w:rPr>
                <w:rFonts w:ascii="Times New Roman" w:eastAsia="Times New Roman" w:hAnsi="Times New Roman"/>
                <w:bCs/>
                <w:sz w:val="18"/>
                <w:szCs w:val="18"/>
                <w:lang w:val="en-GB"/>
              </w:rPr>
              <w:t>292</w:t>
            </w:r>
          </w:p>
        </w:tc>
      </w:tr>
      <w:tr w:rsidR="0029342F" w:rsidRPr="009348A3" w:rsidTr="003D4200">
        <w:tc>
          <w:tcPr>
            <w:tcW w:w="851" w:type="dxa"/>
            <w:shd w:val="clear" w:color="auto" w:fill="auto"/>
            <w:vAlign w:val="center"/>
          </w:tcPr>
          <w:p w:rsidR="0029342F" w:rsidRPr="009348A3" w:rsidRDefault="0029342F" w:rsidP="001352F5">
            <w:pPr>
              <w:spacing w:after="0" w:line="240" w:lineRule="auto"/>
              <w:rPr>
                <w:rFonts w:ascii="Times New Roman" w:eastAsia="Times New Roman" w:hAnsi="Times New Roman"/>
                <w:bCs/>
                <w:sz w:val="18"/>
                <w:szCs w:val="18"/>
                <w:lang w:val="en-GB"/>
              </w:rPr>
            </w:pPr>
            <w:r w:rsidRPr="009348A3">
              <w:rPr>
                <w:rFonts w:ascii="Times New Roman" w:eastAsia="Times New Roman" w:hAnsi="Times New Roman"/>
                <w:bCs/>
                <w:sz w:val="18"/>
                <w:szCs w:val="18"/>
                <w:lang w:val="en-GB"/>
              </w:rPr>
              <w:t>ERPF</w:t>
            </w:r>
          </w:p>
        </w:tc>
        <w:tc>
          <w:tcPr>
            <w:tcW w:w="709" w:type="dxa"/>
            <w:shd w:val="clear" w:color="auto" w:fill="auto"/>
            <w:vAlign w:val="center"/>
          </w:tcPr>
          <w:p w:rsidR="0029342F" w:rsidRPr="009348A3" w:rsidRDefault="0029342F" w:rsidP="001352F5">
            <w:pPr>
              <w:spacing w:after="0" w:line="240" w:lineRule="auto"/>
              <w:rPr>
                <w:rFonts w:ascii="Times New Roman" w:eastAsia="Times New Roman" w:hAnsi="Times New Roman"/>
                <w:bCs/>
                <w:sz w:val="18"/>
                <w:szCs w:val="18"/>
                <w:lang w:val="en-GB"/>
              </w:rPr>
            </w:pPr>
            <w:r w:rsidRPr="009348A3">
              <w:rPr>
                <w:rFonts w:ascii="Times New Roman" w:eastAsia="Times New Roman" w:hAnsi="Times New Roman"/>
                <w:bCs/>
                <w:sz w:val="18"/>
                <w:szCs w:val="18"/>
                <w:lang w:val="en-GB"/>
              </w:rPr>
              <w:t>03</w:t>
            </w:r>
          </w:p>
        </w:tc>
        <w:tc>
          <w:tcPr>
            <w:tcW w:w="6378" w:type="dxa"/>
            <w:shd w:val="clear" w:color="auto" w:fill="auto"/>
            <w:vAlign w:val="center"/>
          </w:tcPr>
          <w:p w:rsidR="0029342F" w:rsidRPr="009348A3" w:rsidRDefault="0029342F" w:rsidP="001352F5">
            <w:pPr>
              <w:spacing w:after="0" w:line="240" w:lineRule="auto"/>
              <w:rPr>
                <w:rFonts w:ascii="Times New Roman" w:eastAsia="Times New Roman" w:hAnsi="Times New Roman"/>
                <w:bCs/>
                <w:iCs/>
                <w:sz w:val="18"/>
                <w:szCs w:val="18"/>
              </w:rPr>
            </w:pPr>
            <w:r w:rsidRPr="009348A3">
              <w:rPr>
                <w:rFonts w:ascii="Times New Roman" w:eastAsia="Times New Roman" w:hAnsi="Times New Roman"/>
                <w:bCs/>
                <w:iCs/>
                <w:sz w:val="18"/>
                <w:szCs w:val="18"/>
              </w:rPr>
              <w:t>Integruotosios teritorinės investicijos: kita</w:t>
            </w:r>
          </w:p>
        </w:tc>
        <w:tc>
          <w:tcPr>
            <w:tcW w:w="1808" w:type="dxa"/>
            <w:shd w:val="clear" w:color="auto" w:fill="auto"/>
            <w:vAlign w:val="center"/>
          </w:tcPr>
          <w:p w:rsidR="0029342F" w:rsidRPr="00FC6264" w:rsidRDefault="00DA0DF6" w:rsidP="001352F5">
            <w:pPr>
              <w:spacing w:after="0" w:line="240" w:lineRule="auto"/>
              <w:jc w:val="right"/>
              <w:rPr>
                <w:rFonts w:ascii="Times New Roman" w:eastAsia="Times New Roman" w:hAnsi="Times New Roman"/>
                <w:bCs/>
                <w:sz w:val="18"/>
                <w:szCs w:val="18"/>
                <w:lang w:val="en-GB"/>
              </w:rPr>
            </w:pPr>
            <w:r w:rsidRPr="00FC6264">
              <w:rPr>
                <w:rFonts w:ascii="Times New Roman" w:eastAsia="Times New Roman" w:hAnsi="Times New Roman"/>
                <w:bCs/>
                <w:sz w:val="18"/>
                <w:szCs w:val="18"/>
                <w:lang w:val="en-GB"/>
              </w:rPr>
              <w:t>22</w:t>
            </w:r>
            <w:r w:rsidR="009348A3" w:rsidRPr="00FC6264">
              <w:rPr>
                <w:rFonts w:ascii="Times New Roman" w:eastAsia="Times New Roman" w:hAnsi="Times New Roman"/>
                <w:bCs/>
                <w:sz w:val="18"/>
                <w:szCs w:val="18"/>
                <w:lang w:val="en-GB"/>
              </w:rPr>
              <w:t>.</w:t>
            </w:r>
            <w:r w:rsidRPr="00FC6264">
              <w:rPr>
                <w:rFonts w:ascii="Times New Roman" w:eastAsia="Times New Roman" w:hAnsi="Times New Roman"/>
                <w:bCs/>
                <w:sz w:val="18"/>
                <w:szCs w:val="18"/>
                <w:lang w:val="en-GB"/>
              </w:rPr>
              <w:t>996</w:t>
            </w:r>
            <w:r w:rsidR="009348A3" w:rsidRPr="00FC6264">
              <w:rPr>
                <w:rFonts w:ascii="Times New Roman" w:eastAsia="Times New Roman" w:hAnsi="Times New Roman"/>
                <w:bCs/>
                <w:sz w:val="18"/>
                <w:szCs w:val="18"/>
                <w:lang w:val="en-GB"/>
              </w:rPr>
              <w:t>.</w:t>
            </w:r>
            <w:r w:rsidRPr="00FC6264">
              <w:rPr>
                <w:rFonts w:ascii="Times New Roman" w:eastAsia="Times New Roman" w:hAnsi="Times New Roman"/>
                <w:bCs/>
                <w:sz w:val="18"/>
                <w:szCs w:val="18"/>
                <w:lang w:val="en-GB"/>
              </w:rPr>
              <w:t>302</w:t>
            </w:r>
          </w:p>
        </w:tc>
      </w:tr>
      <w:tr w:rsidR="0029342F" w:rsidRPr="009348A3" w:rsidTr="003D4200">
        <w:tc>
          <w:tcPr>
            <w:tcW w:w="851" w:type="dxa"/>
            <w:shd w:val="clear" w:color="auto" w:fill="auto"/>
            <w:vAlign w:val="center"/>
          </w:tcPr>
          <w:p w:rsidR="0029342F" w:rsidRPr="008F339D" w:rsidRDefault="0029342F" w:rsidP="001352F5">
            <w:pPr>
              <w:spacing w:after="0" w:line="240" w:lineRule="auto"/>
              <w:rPr>
                <w:rFonts w:ascii="Times New Roman" w:eastAsia="Times New Roman" w:hAnsi="Times New Roman"/>
                <w:bCs/>
                <w:sz w:val="18"/>
                <w:szCs w:val="18"/>
              </w:rPr>
            </w:pPr>
            <w:r w:rsidRPr="008F339D">
              <w:rPr>
                <w:rFonts w:ascii="Times New Roman" w:eastAsia="Times New Roman" w:hAnsi="Times New Roman"/>
                <w:bCs/>
                <w:sz w:val="18"/>
                <w:szCs w:val="18"/>
              </w:rPr>
              <w:t>SaF</w:t>
            </w:r>
          </w:p>
        </w:tc>
        <w:tc>
          <w:tcPr>
            <w:tcW w:w="709" w:type="dxa"/>
            <w:shd w:val="clear" w:color="auto" w:fill="auto"/>
            <w:vAlign w:val="center"/>
          </w:tcPr>
          <w:p w:rsidR="0029342F" w:rsidRPr="009348A3" w:rsidRDefault="0029342F" w:rsidP="001352F5">
            <w:pPr>
              <w:spacing w:after="0" w:line="240" w:lineRule="auto"/>
              <w:rPr>
                <w:rFonts w:ascii="Times New Roman" w:eastAsia="Times New Roman" w:hAnsi="Times New Roman"/>
                <w:bCs/>
                <w:sz w:val="18"/>
                <w:szCs w:val="18"/>
                <w:lang w:val="en-GB"/>
              </w:rPr>
            </w:pPr>
            <w:r w:rsidRPr="009348A3">
              <w:rPr>
                <w:rFonts w:ascii="Times New Roman" w:eastAsia="Times New Roman" w:hAnsi="Times New Roman"/>
                <w:bCs/>
                <w:sz w:val="18"/>
                <w:szCs w:val="18"/>
                <w:lang w:val="en-GB"/>
              </w:rPr>
              <w:t>03</w:t>
            </w:r>
          </w:p>
        </w:tc>
        <w:tc>
          <w:tcPr>
            <w:tcW w:w="6378" w:type="dxa"/>
            <w:shd w:val="clear" w:color="auto" w:fill="auto"/>
            <w:vAlign w:val="center"/>
          </w:tcPr>
          <w:p w:rsidR="0029342F" w:rsidRPr="009348A3" w:rsidRDefault="0029342F" w:rsidP="001352F5">
            <w:pPr>
              <w:spacing w:after="0" w:line="240" w:lineRule="auto"/>
              <w:rPr>
                <w:rFonts w:ascii="Times New Roman" w:eastAsia="Times New Roman" w:hAnsi="Times New Roman"/>
                <w:bCs/>
                <w:iCs/>
                <w:sz w:val="18"/>
                <w:szCs w:val="18"/>
              </w:rPr>
            </w:pPr>
            <w:r w:rsidRPr="009348A3">
              <w:rPr>
                <w:rFonts w:ascii="Times New Roman" w:eastAsia="Times New Roman" w:hAnsi="Times New Roman"/>
                <w:bCs/>
                <w:iCs/>
                <w:sz w:val="18"/>
                <w:szCs w:val="18"/>
              </w:rPr>
              <w:t>Integruotosios teritorinės investicijos: kita</w:t>
            </w:r>
          </w:p>
        </w:tc>
        <w:tc>
          <w:tcPr>
            <w:tcW w:w="1808" w:type="dxa"/>
            <w:shd w:val="clear" w:color="auto" w:fill="auto"/>
            <w:vAlign w:val="center"/>
          </w:tcPr>
          <w:p w:rsidR="0029342F" w:rsidRPr="00FC6264" w:rsidRDefault="0029342F" w:rsidP="001352F5">
            <w:pPr>
              <w:spacing w:after="0" w:line="240" w:lineRule="auto"/>
              <w:jc w:val="right"/>
              <w:rPr>
                <w:rFonts w:ascii="Times New Roman" w:eastAsia="Times New Roman" w:hAnsi="Times New Roman"/>
                <w:bCs/>
                <w:sz w:val="18"/>
                <w:szCs w:val="18"/>
                <w:lang w:val="en-GB"/>
              </w:rPr>
            </w:pPr>
            <w:r w:rsidRPr="00FC6264">
              <w:rPr>
                <w:rFonts w:ascii="Times New Roman" w:eastAsia="Times New Roman" w:hAnsi="Times New Roman"/>
                <w:bCs/>
                <w:sz w:val="18"/>
                <w:szCs w:val="18"/>
                <w:lang w:val="en-GB"/>
              </w:rPr>
              <w:t>84</w:t>
            </w:r>
            <w:r w:rsidR="009348A3" w:rsidRPr="00FC6264">
              <w:rPr>
                <w:rFonts w:ascii="Times New Roman" w:eastAsia="Times New Roman" w:hAnsi="Times New Roman"/>
                <w:bCs/>
                <w:sz w:val="18"/>
                <w:szCs w:val="18"/>
                <w:lang w:val="en-GB"/>
              </w:rPr>
              <w:t>.</w:t>
            </w:r>
            <w:r w:rsidRPr="00FC6264">
              <w:rPr>
                <w:rFonts w:ascii="Times New Roman" w:eastAsia="Times New Roman" w:hAnsi="Times New Roman"/>
                <w:bCs/>
                <w:sz w:val="18"/>
                <w:szCs w:val="18"/>
                <w:lang w:val="en-GB"/>
              </w:rPr>
              <w:t>062</w:t>
            </w:r>
            <w:r w:rsidR="009348A3" w:rsidRPr="00FC6264">
              <w:rPr>
                <w:rFonts w:ascii="Times New Roman" w:eastAsia="Times New Roman" w:hAnsi="Times New Roman"/>
                <w:bCs/>
                <w:sz w:val="18"/>
                <w:szCs w:val="18"/>
                <w:lang w:val="en-GB"/>
              </w:rPr>
              <w:t>.</w:t>
            </w:r>
            <w:r w:rsidRPr="00FC6264">
              <w:rPr>
                <w:rFonts w:ascii="Times New Roman" w:eastAsia="Times New Roman" w:hAnsi="Times New Roman"/>
                <w:bCs/>
                <w:sz w:val="18"/>
                <w:szCs w:val="18"/>
                <w:lang w:val="en-GB"/>
              </w:rPr>
              <w:t>000</w:t>
            </w:r>
          </w:p>
        </w:tc>
      </w:tr>
      <w:tr w:rsidR="007F0423" w:rsidRPr="00D54F90" w:rsidTr="003D4200">
        <w:tc>
          <w:tcPr>
            <w:tcW w:w="851" w:type="dxa"/>
            <w:shd w:val="clear" w:color="auto" w:fill="auto"/>
            <w:vAlign w:val="center"/>
          </w:tcPr>
          <w:p w:rsidR="007F0423" w:rsidRPr="008F339D" w:rsidRDefault="007F0423" w:rsidP="00BB0960">
            <w:pPr>
              <w:widowControl w:val="0"/>
              <w:tabs>
                <w:tab w:val="left" w:pos="622"/>
              </w:tabs>
              <w:spacing w:after="0" w:line="240" w:lineRule="auto"/>
              <w:rPr>
                <w:rFonts w:ascii="Times New Roman" w:eastAsia="AngsanaUPC" w:hAnsi="Times New Roman"/>
                <w:bCs/>
                <w:sz w:val="18"/>
                <w:szCs w:val="18"/>
                <w:lang w:eastAsia="lt-LT"/>
              </w:rPr>
            </w:pPr>
            <w:r w:rsidRPr="008F339D">
              <w:rPr>
                <w:rFonts w:ascii="Times New Roman" w:eastAsia="AngsanaUPC" w:hAnsi="Times New Roman"/>
                <w:bCs/>
                <w:sz w:val="18"/>
                <w:szCs w:val="18"/>
                <w:lang w:eastAsia="lt-LT"/>
              </w:rPr>
              <w:t>ERPF</w:t>
            </w:r>
          </w:p>
        </w:tc>
        <w:tc>
          <w:tcPr>
            <w:tcW w:w="709" w:type="dxa"/>
            <w:shd w:val="clear" w:color="auto" w:fill="auto"/>
            <w:vAlign w:val="center"/>
          </w:tcPr>
          <w:p w:rsidR="007F0423" w:rsidRPr="009348A3" w:rsidRDefault="005F38BD" w:rsidP="00BB0960">
            <w:pPr>
              <w:widowControl w:val="0"/>
              <w:tabs>
                <w:tab w:val="left" w:pos="622"/>
              </w:tabs>
              <w:spacing w:after="0" w:line="240" w:lineRule="auto"/>
              <w:rPr>
                <w:rFonts w:ascii="Times New Roman" w:eastAsia="AngsanaUPC" w:hAnsi="Times New Roman"/>
                <w:bCs/>
                <w:sz w:val="18"/>
                <w:szCs w:val="18"/>
                <w:lang w:val="en-GB" w:eastAsia="lt-LT"/>
              </w:rPr>
            </w:pPr>
            <w:r>
              <w:rPr>
                <w:rFonts w:ascii="Times New Roman" w:eastAsia="AngsanaUPC" w:hAnsi="Times New Roman"/>
                <w:bCs/>
                <w:sz w:val="18"/>
                <w:szCs w:val="18"/>
                <w:lang w:val="en-GB" w:eastAsia="lt-LT"/>
              </w:rPr>
              <w:t>0</w:t>
            </w:r>
            <w:r w:rsidR="007F0423" w:rsidRPr="009348A3">
              <w:rPr>
                <w:rFonts w:ascii="Times New Roman" w:eastAsia="AngsanaUPC" w:hAnsi="Times New Roman"/>
                <w:bCs/>
                <w:sz w:val="18"/>
                <w:szCs w:val="18"/>
                <w:lang w:val="en-GB" w:eastAsia="lt-LT"/>
              </w:rPr>
              <w:t>7</w:t>
            </w:r>
          </w:p>
        </w:tc>
        <w:tc>
          <w:tcPr>
            <w:tcW w:w="6378" w:type="dxa"/>
            <w:shd w:val="clear" w:color="auto" w:fill="auto"/>
            <w:vAlign w:val="center"/>
          </w:tcPr>
          <w:p w:rsidR="007F0423" w:rsidRPr="009348A3" w:rsidRDefault="007F0423" w:rsidP="00BB0960">
            <w:pPr>
              <w:widowControl w:val="0"/>
              <w:tabs>
                <w:tab w:val="left" w:pos="622"/>
              </w:tabs>
              <w:spacing w:after="0" w:line="240" w:lineRule="auto"/>
              <w:jc w:val="both"/>
              <w:rPr>
                <w:rFonts w:ascii="Times New Roman" w:hAnsi="Times New Roman"/>
                <w:bCs/>
                <w:iCs/>
                <w:sz w:val="18"/>
                <w:szCs w:val="18"/>
              </w:rPr>
            </w:pPr>
            <w:r w:rsidRPr="009348A3">
              <w:rPr>
                <w:rFonts w:ascii="Times New Roman" w:hAnsi="Times New Roman"/>
                <w:bCs/>
                <w:iCs/>
                <w:sz w:val="18"/>
                <w:szCs w:val="18"/>
              </w:rPr>
              <w:t>Netaikoma</w:t>
            </w:r>
          </w:p>
        </w:tc>
        <w:tc>
          <w:tcPr>
            <w:tcW w:w="1808" w:type="dxa"/>
            <w:shd w:val="clear" w:color="auto" w:fill="auto"/>
            <w:vAlign w:val="center"/>
          </w:tcPr>
          <w:p w:rsidR="007F0423" w:rsidRPr="00FC6264" w:rsidRDefault="00DA0DF6" w:rsidP="00DA4F7E">
            <w:pPr>
              <w:widowControl w:val="0"/>
              <w:tabs>
                <w:tab w:val="left" w:pos="622"/>
              </w:tabs>
              <w:spacing w:after="0" w:line="240" w:lineRule="auto"/>
              <w:jc w:val="right"/>
              <w:rPr>
                <w:rFonts w:ascii="Times New Roman" w:eastAsia="AngsanaUPC" w:hAnsi="Times New Roman"/>
                <w:bCs/>
                <w:sz w:val="18"/>
                <w:szCs w:val="18"/>
                <w:lang w:val="en-GB" w:eastAsia="lt-LT"/>
              </w:rPr>
            </w:pPr>
            <w:r w:rsidRPr="00FC6264">
              <w:rPr>
                <w:rFonts w:ascii="Times New Roman" w:eastAsia="AngsanaUPC" w:hAnsi="Times New Roman"/>
                <w:bCs/>
                <w:sz w:val="18"/>
                <w:szCs w:val="18"/>
                <w:lang w:val="en-GB" w:eastAsia="lt-LT"/>
              </w:rPr>
              <w:t>278</w:t>
            </w:r>
            <w:r w:rsidR="009348A3"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815</w:t>
            </w:r>
            <w:r w:rsidR="009348A3"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619</w:t>
            </w:r>
          </w:p>
        </w:tc>
      </w:tr>
      <w:tr w:rsidR="007F0423" w:rsidRPr="009348A3" w:rsidTr="003D4200">
        <w:tc>
          <w:tcPr>
            <w:tcW w:w="851" w:type="dxa"/>
            <w:shd w:val="clear" w:color="auto" w:fill="auto"/>
            <w:vAlign w:val="center"/>
          </w:tcPr>
          <w:p w:rsidR="007F0423" w:rsidRPr="008F339D" w:rsidRDefault="007F0423" w:rsidP="00BB0960">
            <w:pPr>
              <w:widowControl w:val="0"/>
              <w:tabs>
                <w:tab w:val="left" w:pos="622"/>
              </w:tabs>
              <w:spacing w:after="0" w:line="240" w:lineRule="auto"/>
              <w:rPr>
                <w:rFonts w:ascii="Times New Roman" w:eastAsia="AngsanaUPC" w:hAnsi="Times New Roman"/>
                <w:bCs/>
                <w:sz w:val="18"/>
                <w:szCs w:val="18"/>
                <w:lang w:eastAsia="lt-LT"/>
              </w:rPr>
            </w:pPr>
            <w:r w:rsidRPr="008F339D">
              <w:rPr>
                <w:rFonts w:ascii="Times New Roman" w:eastAsia="AngsanaUPC" w:hAnsi="Times New Roman"/>
                <w:bCs/>
                <w:sz w:val="18"/>
                <w:szCs w:val="18"/>
                <w:lang w:eastAsia="lt-LT"/>
              </w:rPr>
              <w:t>SaF</w:t>
            </w:r>
          </w:p>
        </w:tc>
        <w:tc>
          <w:tcPr>
            <w:tcW w:w="709" w:type="dxa"/>
            <w:shd w:val="clear" w:color="auto" w:fill="auto"/>
            <w:vAlign w:val="center"/>
          </w:tcPr>
          <w:p w:rsidR="007F0423" w:rsidRPr="009348A3" w:rsidRDefault="007F0423" w:rsidP="005F38BD">
            <w:pPr>
              <w:widowControl w:val="0"/>
              <w:tabs>
                <w:tab w:val="left" w:pos="622"/>
              </w:tabs>
              <w:spacing w:after="0" w:line="240" w:lineRule="auto"/>
              <w:rPr>
                <w:rFonts w:ascii="Times New Roman" w:eastAsia="AngsanaUPC" w:hAnsi="Times New Roman"/>
                <w:bCs/>
                <w:sz w:val="18"/>
                <w:szCs w:val="18"/>
                <w:lang w:val="en-GB" w:eastAsia="lt-LT"/>
              </w:rPr>
            </w:pPr>
            <w:r w:rsidRPr="009348A3">
              <w:rPr>
                <w:rFonts w:ascii="Times New Roman" w:eastAsia="AngsanaUPC" w:hAnsi="Times New Roman"/>
                <w:bCs/>
                <w:sz w:val="18"/>
                <w:szCs w:val="18"/>
                <w:lang w:val="en-GB" w:eastAsia="lt-LT"/>
              </w:rPr>
              <w:t>07</w:t>
            </w:r>
          </w:p>
        </w:tc>
        <w:tc>
          <w:tcPr>
            <w:tcW w:w="6378" w:type="dxa"/>
            <w:shd w:val="clear" w:color="auto" w:fill="auto"/>
            <w:vAlign w:val="center"/>
          </w:tcPr>
          <w:p w:rsidR="007F0423" w:rsidRPr="009348A3" w:rsidRDefault="007F0423" w:rsidP="00BB0960">
            <w:pPr>
              <w:widowControl w:val="0"/>
              <w:tabs>
                <w:tab w:val="left" w:pos="622"/>
              </w:tabs>
              <w:spacing w:after="0" w:line="240" w:lineRule="auto"/>
              <w:jc w:val="both"/>
              <w:rPr>
                <w:rFonts w:ascii="Times New Roman" w:hAnsi="Times New Roman"/>
                <w:bCs/>
                <w:iCs/>
                <w:sz w:val="18"/>
                <w:szCs w:val="18"/>
              </w:rPr>
            </w:pPr>
            <w:r w:rsidRPr="009348A3">
              <w:rPr>
                <w:rFonts w:ascii="Times New Roman" w:hAnsi="Times New Roman"/>
                <w:bCs/>
                <w:iCs/>
                <w:sz w:val="18"/>
                <w:szCs w:val="18"/>
              </w:rPr>
              <w:t>Netaikoma</w:t>
            </w:r>
          </w:p>
        </w:tc>
        <w:tc>
          <w:tcPr>
            <w:tcW w:w="1808" w:type="dxa"/>
            <w:shd w:val="clear" w:color="auto" w:fill="auto"/>
            <w:vAlign w:val="center"/>
          </w:tcPr>
          <w:p w:rsidR="007F0423" w:rsidRPr="00FC6264" w:rsidRDefault="00DA0DF6" w:rsidP="00BB0960">
            <w:pPr>
              <w:widowControl w:val="0"/>
              <w:tabs>
                <w:tab w:val="left" w:pos="622"/>
              </w:tabs>
              <w:spacing w:after="0" w:line="240" w:lineRule="auto"/>
              <w:jc w:val="right"/>
              <w:rPr>
                <w:rFonts w:ascii="Times New Roman" w:eastAsia="AngsanaUPC" w:hAnsi="Times New Roman"/>
                <w:bCs/>
                <w:sz w:val="18"/>
                <w:szCs w:val="18"/>
                <w:lang w:val="en-GB" w:eastAsia="lt-LT"/>
              </w:rPr>
            </w:pPr>
            <w:r w:rsidRPr="00FC6264">
              <w:rPr>
                <w:rFonts w:ascii="Times New Roman" w:eastAsia="AngsanaUPC" w:hAnsi="Times New Roman"/>
                <w:bCs/>
                <w:sz w:val="18"/>
                <w:szCs w:val="18"/>
                <w:lang w:val="en-GB" w:eastAsia="lt-LT"/>
              </w:rPr>
              <w:t>690</w:t>
            </w:r>
            <w:r w:rsidR="009348A3"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6</w:t>
            </w:r>
            <w:r w:rsidR="0029342F" w:rsidRPr="00FC6264">
              <w:rPr>
                <w:rFonts w:ascii="Times New Roman" w:eastAsia="AngsanaUPC" w:hAnsi="Times New Roman"/>
                <w:bCs/>
                <w:sz w:val="18"/>
                <w:szCs w:val="18"/>
                <w:lang w:val="en-GB" w:eastAsia="lt-LT"/>
              </w:rPr>
              <w:t>94</w:t>
            </w:r>
            <w:r w:rsidR="009348A3" w:rsidRPr="00FC6264">
              <w:rPr>
                <w:rFonts w:ascii="Times New Roman" w:eastAsia="AngsanaUPC" w:hAnsi="Times New Roman"/>
                <w:bCs/>
                <w:sz w:val="18"/>
                <w:szCs w:val="18"/>
                <w:lang w:val="en-GB" w:eastAsia="lt-LT"/>
              </w:rPr>
              <w:t>.</w:t>
            </w:r>
            <w:r w:rsidR="0029342F" w:rsidRPr="00FC6264">
              <w:rPr>
                <w:rFonts w:ascii="Times New Roman" w:eastAsia="AngsanaUPC" w:hAnsi="Times New Roman"/>
                <w:bCs/>
                <w:sz w:val="18"/>
                <w:szCs w:val="18"/>
                <w:lang w:val="en-GB" w:eastAsia="lt-LT"/>
              </w:rPr>
              <w:t>109</w:t>
            </w:r>
          </w:p>
        </w:tc>
      </w:tr>
    </w:tbl>
    <w:p w:rsidR="00385835" w:rsidRDefault="00385835" w:rsidP="00385835">
      <w:pPr>
        <w:widowControl w:val="0"/>
        <w:tabs>
          <w:tab w:val="left" w:pos="622"/>
        </w:tabs>
        <w:spacing w:after="0" w:line="240" w:lineRule="auto"/>
        <w:jc w:val="both"/>
        <w:rPr>
          <w:rFonts w:ascii="Times New Roman" w:hAnsi="Times New Roman"/>
          <w:iCs/>
          <w:sz w:val="24"/>
          <w:szCs w:val="24"/>
        </w:rPr>
      </w:pPr>
    </w:p>
    <w:p w:rsidR="007F0423" w:rsidRDefault="007F0423" w:rsidP="00385835">
      <w:pPr>
        <w:widowControl w:val="0"/>
        <w:tabs>
          <w:tab w:val="left" w:pos="622"/>
        </w:tabs>
        <w:spacing w:after="0" w:line="240" w:lineRule="auto"/>
        <w:jc w:val="both"/>
        <w:rPr>
          <w:rFonts w:ascii="Times New Roman" w:hAnsi="Times New Roman"/>
          <w:iCs/>
          <w:sz w:val="24"/>
          <w:szCs w:val="24"/>
        </w:rPr>
        <w:sectPr w:rsidR="007F0423" w:rsidSect="007F0423">
          <w:pgSz w:w="11906" w:h="16838" w:code="9"/>
          <w:pgMar w:top="1701" w:right="567" w:bottom="1134" w:left="1701" w:header="567" w:footer="567" w:gutter="0"/>
          <w:cols w:space="1296"/>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746"/>
      </w:tblGrid>
      <w:tr w:rsidR="00385835" w:rsidRPr="00385835" w:rsidTr="00385835">
        <w:trPr>
          <w:trHeight w:val="416"/>
        </w:trPr>
        <w:tc>
          <w:tcPr>
            <w:tcW w:w="9746" w:type="dxa"/>
            <w:shd w:val="clear" w:color="auto" w:fill="EEECE1"/>
            <w:vAlign w:val="center"/>
          </w:tcPr>
          <w:p w:rsidR="00385835" w:rsidRPr="00385835" w:rsidRDefault="00385835" w:rsidP="00385835">
            <w:pPr>
              <w:keepNext/>
              <w:spacing w:after="0" w:line="240" w:lineRule="auto"/>
              <w:jc w:val="both"/>
              <w:outlineLvl w:val="1"/>
              <w:rPr>
                <w:rFonts w:ascii="Times New Roman" w:eastAsia="AngsanaUPC" w:hAnsi="Times New Roman"/>
                <w:b/>
                <w:bCs/>
                <w:iCs/>
                <w:sz w:val="24"/>
                <w:szCs w:val="28"/>
                <w:lang w:eastAsia="lt-LT"/>
              </w:rPr>
            </w:pPr>
            <w:bookmarkStart w:id="11" w:name="_Toc69836226"/>
            <w:r w:rsidRPr="00385835">
              <w:rPr>
                <w:rFonts w:ascii="Times New Roman" w:eastAsia="AngsanaUPC" w:hAnsi="Times New Roman"/>
                <w:b/>
                <w:bCs/>
                <w:iCs/>
                <w:sz w:val="24"/>
                <w:szCs w:val="28"/>
                <w:lang w:eastAsia="lt-LT"/>
              </w:rPr>
              <w:lastRenderedPageBreak/>
              <w:t>7 PRIORITETAS. KOKYBIŠKO UŽIMTUMO IR DALYVAVIMO DARBO RINKOJE SKATINIMAS</w:t>
            </w:r>
            <w:bookmarkEnd w:id="11"/>
          </w:p>
        </w:tc>
      </w:tr>
      <w:tr w:rsidR="00385835" w:rsidRPr="00385835" w:rsidTr="00385835">
        <w:trPr>
          <w:trHeight w:val="416"/>
        </w:trPr>
        <w:tc>
          <w:tcPr>
            <w:tcW w:w="9746" w:type="dxa"/>
            <w:shd w:val="clear" w:color="auto" w:fill="auto"/>
            <w:vAlign w:val="center"/>
          </w:tcPr>
          <w:p w:rsidR="00385835" w:rsidRPr="00385835" w:rsidRDefault="00385835" w:rsidP="00385835">
            <w:pPr>
              <w:spacing w:after="0" w:line="240" w:lineRule="auto"/>
              <w:ind w:firstLine="624"/>
              <w:jc w:val="both"/>
              <w:rPr>
                <w:rFonts w:ascii="Times New Roman" w:hAnsi="Times New Roman"/>
                <w:sz w:val="24"/>
                <w:szCs w:val="24"/>
              </w:rPr>
            </w:pPr>
            <w:r w:rsidRPr="00385835">
              <w:rPr>
                <w:rFonts w:ascii="Times New Roman" w:hAnsi="Times New Roman"/>
                <w:sz w:val="24"/>
                <w:szCs w:val="24"/>
              </w:rPr>
              <w:t>Pastaraisiais metais užimtumo lygis Lietuvoje nuosekliai augo ir 2012 m. siekė 68,7 proc. (20–64 m. amžiaus grupėje) (ES-27 vidurkis 68,5 proc.), o nedarbo lygis – mažėjo, bet išliko aukštas (13,2 proc.; ES-27 – 10,6 proc.). Jaunimo nedarbas Lietuvoje yra labai aukštas (2012 m. jis siekė 26,4 proc. tarp 15–24 m. amžiaus žmonių; ES-27 vidurkis – 22,8 proc.). Labai didelė problema – ilgalaikis ir struktūrinis nedarbas: 2012 m. Lietuvoje buvo registruota 195 tūkst. bedarbių, iš kurių tik kas dešimtas į darbą grįžo greičiau</w:t>
            </w:r>
            <w:r w:rsidR="00113A76">
              <w:rPr>
                <w:rFonts w:ascii="Times New Roman" w:hAnsi="Times New Roman"/>
                <w:sz w:val="24"/>
                <w:szCs w:val="24"/>
              </w:rPr>
              <w:t>,</w:t>
            </w:r>
            <w:r w:rsidRPr="00385835">
              <w:rPr>
                <w:rFonts w:ascii="Times New Roman" w:hAnsi="Times New Roman"/>
                <w:sz w:val="24"/>
                <w:szCs w:val="24"/>
              </w:rPr>
              <w:t xml:space="preserve"> kaip per vieną mėnesį, </w:t>
            </w:r>
            <w:proofErr w:type="gramStart"/>
            <w:r w:rsidRPr="00385835">
              <w:rPr>
                <w:rFonts w:ascii="Times New Roman" w:hAnsi="Times New Roman"/>
                <w:sz w:val="24"/>
                <w:szCs w:val="24"/>
              </w:rPr>
              <w:t>tuo tarpu</w:t>
            </w:r>
            <w:proofErr w:type="gramEnd"/>
            <w:r w:rsidRPr="00385835">
              <w:rPr>
                <w:rFonts w:ascii="Times New Roman" w:hAnsi="Times New Roman"/>
                <w:sz w:val="24"/>
                <w:szCs w:val="24"/>
              </w:rPr>
              <w:t xml:space="preserve"> net pusė visų bedarbių nedirbo metus ar ilgiau. Didelės dalies ieškančių darbo ir neaktyvių asmenų kvalifikacija ir gebėjimai nebeatitinka darbo rinkos poreikių. Su sunkumais atitinkant darbo rinkoje keliamus reikalavimus ypač dažnai susiduria žemo išsilavinimo asmenys, vyresnio amžiaus asmenys, negalią turintys asmenys. Akivaizdūs teritoriniai plėtros netolygumai: užimtumas mieste yra aukšte</w:t>
            </w:r>
            <w:r w:rsidR="00113A76">
              <w:rPr>
                <w:rFonts w:ascii="Times New Roman" w:hAnsi="Times New Roman"/>
                <w:sz w:val="24"/>
                <w:szCs w:val="24"/>
              </w:rPr>
              <w:t>snis negu kaime (atitinkamai</w:t>
            </w:r>
            <w:r w:rsidRPr="00385835">
              <w:rPr>
                <w:rFonts w:ascii="Times New Roman" w:hAnsi="Times New Roman"/>
                <w:sz w:val="24"/>
                <w:szCs w:val="24"/>
              </w:rPr>
              <w:t xml:space="preserve"> 72,</w:t>
            </w:r>
            <w:r w:rsidR="001566F7">
              <w:rPr>
                <w:rFonts w:ascii="Times New Roman" w:hAnsi="Times New Roman"/>
                <w:sz w:val="24"/>
                <w:szCs w:val="24"/>
              </w:rPr>
              <w:t>7 proc. ir 60 proc.). Apskritai</w:t>
            </w:r>
            <w:r w:rsidRPr="00385835">
              <w:rPr>
                <w:rFonts w:ascii="Times New Roman" w:hAnsi="Times New Roman"/>
                <w:sz w:val="24"/>
                <w:szCs w:val="24"/>
              </w:rPr>
              <w:t xml:space="preserve"> šalies ekonominis potencialas yra sutelktas penkiuose didžiausiuose miestuose, o mažuose ir vidutiniuose miestuose mažėja gyventojų skaičius, neišnaudojamas ekonominis potencialas, prastėja viešųjų paslaugų kokybė.</w:t>
            </w:r>
          </w:p>
          <w:p w:rsidR="00385835" w:rsidRPr="00385835" w:rsidRDefault="00385835" w:rsidP="001566F7">
            <w:pPr>
              <w:spacing w:after="0" w:line="240" w:lineRule="auto"/>
              <w:ind w:firstLine="624"/>
              <w:jc w:val="both"/>
              <w:rPr>
                <w:rFonts w:ascii="Times New Roman" w:hAnsi="Times New Roman"/>
                <w:sz w:val="24"/>
                <w:szCs w:val="24"/>
              </w:rPr>
            </w:pPr>
            <w:r w:rsidRPr="00385835">
              <w:rPr>
                <w:rFonts w:ascii="Times New Roman" w:hAnsi="Times New Roman"/>
                <w:sz w:val="24"/>
                <w:szCs w:val="24"/>
              </w:rPr>
              <w:t>Siekiant efektyviai spręsti šias problemas</w:t>
            </w:r>
            <w:r w:rsidR="001566F7">
              <w:rPr>
                <w:rFonts w:ascii="Times New Roman" w:hAnsi="Times New Roman"/>
                <w:sz w:val="24"/>
                <w:szCs w:val="24"/>
              </w:rPr>
              <w:t>,</w:t>
            </w:r>
            <w:r w:rsidRPr="00385835">
              <w:rPr>
                <w:rFonts w:ascii="Times New Roman" w:hAnsi="Times New Roman"/>
                <w:sz w:val="24"/>
                <w:szCs w:val="24"/>
              </w:rPr>
              <w:t xml:space="preserve"> būtina derinti ERPF ir ESF finansuojamas veiklas, nes jos papildys viena kitą</w:t>
            </w:r>
            <w:r w:rsidR="00113A76">
              <w:rPr>
                <w:rFonts w:ascii="Times New Roman" w:hAnsi="Times New Roman"/>
                <w:sz w:val="24"/>
                <w:szCs w:val="24"/>
              </w:rPr>
              <w:t>,</w:t>
            </w:r>
            <w:r w:rsidRPr="00385835">
              <w:rPr>
                <w:rFonts w:ascii="Times New Roman" w:hAnsi="Times New Roman"/>
                <w:sz w:val="24"/>
                <w:szCs w:val="24"/>
              </w:rPr>
              <w:t xml:space="preserve"> siekiant tų pačių tikslų – skatinti užimtumą ir remti darbo jėgos judumą. ERPF lėšos bus naudojamos valstybės įdarbinimo tarnybos institucijų infrastruktūrai pagerinti, nukreipiant investicijas į tas restruktūrizuoto tinklo grandis, kur infrastruktūros plėtra yra būtina</w:t>
            </w:r>
            <w:r w:rsidR="00113A76">
              <w:rPr>
                <w:rFonts w:ascii="Times New Roman" w:hAnsi="Times New Roman"/>
                <w:sz w:val="24"/>
                <w:szCs w:val="24"/>
              </w:rPr>
              <w:t>,</w:t>
            </w:r>
            <w:r w:rsidRPr="00385835">
              <w:rPr>
                <w:rFonts w:ascii="Times New Roman" w:hAnsi="Times New Roman"/>
                <w:sz w:val="24"/>
                <w:szCs w:val="24"/>
              </w:rPr>
              <w:t xml:space="preserve"> siekiant padidinti įdarbinimo paslaugų prieinamumą, kokybę ir efektyvumą. Savo ruožtu</w:t>
            </w:r>
            <w:r w:rsidR="00113A76">
              <w:rPr>
                <w:rFonts w:ascii="Times New Roman" w:hAnsi="Times New Roman"/>
                <w:sz w:val="24"/>
                <w:szCs w:val="24"/>
              </w:rPr>
              <w:t>,</w:t>
            </w:r>
            <w:r w:rsidRPr="00385835">
              <w:rPr>
                <w:rFonts w:ascii="Times New Roman" w:hAnsi="Times New Roman"/>
                <w:sz w:val="24"/>
                <w:szCs w:val="24"/>
              </w:rPr>
              <w:t xml:space="preserve"> ESF lėšos bus skirtos ADRP priemonių aprėpčiai, kokybei ir efe</w:t>
            </w:r>
            <w:r w:rsidR="001566F7">
              <w:rPr>
                <w:rFonts w:ascii="Times New Roman" w:hAnsi="Times New Roman"/>
                <w:sz w:val="24"/>
                <w:szCs w:val="24"/>
              </w:rPr>
              <w:t>ktyvumui pagerinti, pavyzdžiui,</w:t>
            </w:r>
            <w:r w:rsidRPr="00385835">
              <w:rPr>
                <w:rFonts w:ascii="Times New Roman" w:hAnsi="Times New Roman"/>
                <w:sz w:val="24"/>
                <w:szCs w:val="24"/>
              </w:rPr>
              <w:t xml:space="preserve"> aktyviau taikant individualizuotą požiūrį, kuriant naujas kon</w:t>
            </w:r>
            <w:r w:rsidR="001566F7">
              <w:rPr>
                <w:rFonts w:ascii="Times New Roman" w:hAnsi="Times New Roman"/>
                <w:sz w:val="24"/>
                <w:szCs w:val="24"/>
              </w:rPr>
              <w:t>krečioms tikslinėms grupėms (pavyzdžiui</w:t>
            </w:r>
            <w:r w:rsidRPr="00385835">
              <w:rPr>
                <w:rFonts w:ascii="Times New Roman" w:hAnsi="Times New Roman"/>
                <w:sz w:val="24"/>
                <w:szCs w:val="24"/>
              </w:rPr>
              <w:t>, ilgalaikiams bedarbiams) skirtas paslaugas, užtikrinant teritorinį paslaugų prieinamumą. Bus taip pat investuojama į valstybės įdarbinimo tarnybos pajėgumo didinimą (</w:t>
            </w:r>
            <w:r w:rsidR="001566F7">
              <w:rPr>
                <w:rFonts w:ascii="Times New Roman" w:hAnsi="Times New Roman"/>
                <w:sz w:val="24"/>
                <w:szCs w:val="24"/>
              </w:rPr>
              <w:t>pavyzdžiui</w:t>
            </w:r>
            <w:r w:rsidRPr="00385835">
              <w:rPr>
                <w:rFonts w:ascii="Times New Roman" w:hAnsi="Times New Roman"/>
                <w:sz w:val="24"/>
                <w:szCs w:val="24"/>
              </w:rPr>
              <w:t>, dar</w:t>
            </w:r>
            <w:r w:rsidR="00113A76">
              <w:rPr>
                <w:rFonts w:ascii="Times New Roman" w:hAnsi="Times New Roman"/>
                <w:sz w:val="24"/>
                <w:szCs w:val="24"/>
              </w:rPr>
              <w:t>buotojų kompetencijų tobulinimą</w:t>
            </w:r>
            <w:r w:rsidRPr="00385835">
              <w:rPr>
                <w:rFonts w:ascii="Times New Roman" w:hAnsi="Times New Roman"/>
                <w:sz w:val="24"/>
                <w:szCs w:val="24"/>
              </w:rPr>
              <w:t>, pasiruošimo teikti kokybiškas indiv</w:t>
            </w:r>
            <w:r w:rsidR="00113A76">
              <w:rPr>
                <w:rFonts w:ascii="Times New Roman" w:hAnsi="Times New Roman"/>
                <w:sz w:val="24"/>
                <w:szCs w:val="24"/>
              </w:rPr>
              <w:t>idualizuotas paslaugas gerinimą</w:t>
            </w:r>
            <w:r w:rsidRPr="00385835">
              <w:rPr>
                <w:rFonts w:ascii="Times New Roman" w:hAnsi="Times New Roman"/>
                <w:sz w:val="24"/>
                <w:szCs w:val="24"/>
              </w:rPr>
              <w:t>), jos teikiamų paslaugų kokybės stebėsenos ir vertinimo sistemos sukūrimą.</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vAlign w:val="center"/>
          </w:tcPr>
          <w:p w:rsidR="00385835" w:rsidRPr="00385835" w:rsidRDefault="00385835" w:rsidP="00385835">
            <w:pPr>
              <w:widowControl w:val="0"/>
              <w:tabs>
                <w:tab w:val="left" w:pos="622"/>
              </w:tabs>
              <w:spacing w:after="0" w:line="240" w:lineRule="auto"/>
              <w:rPr>
                <w:rFonts w:ascii="Times New Roman" w:eastAsia="AngsanaUPC" w:hAnsi="Times New Roman"/>
                <w:b/>
                <w:bCs/>
                <w:iCs/>
                <w:sz w:val="24"/>
                <w:szCs w:val="24"/>
                <w:lang w:eastAsia="lt-LT"/>
              </w:rPr>
            </w:pPr>
            <w:r w:rsidRPr="00385835">
              <w:rPr>
                <w:rFonts w:ascii="Times New Roman" w:eastAsia="AngsanaUPC" w:hAnsi="Times New Roman"/>
                <w:b/>
                <w:bCs/>
                <w:iCs/>
                <w:sz w:val="24"/>
                <w:szCs w:val="24"/>
                <w:lang w:eastAsia="lt-LT"/>
              </w:rPr>
              <w:t>7.1. INVESTICINIS PRIORITETAS</w:t>
            </w:r>
          </w:p>
        </w:tc>
        <w:tc>
          <w:tcPr>
            <w:tcW w:w="7336" w:type="dxa"/>
            <w:shd w:val="clear" w:color="auto" w:fill="EEECE1"/>
          </w:tcPr>
          <w:p w:rsidR="00385835" w:rsidRPr="00385835" w:rsidRDefault="00385835" w:rsidP="00385835">
            <w:pPr>
              <w:spacing w:after="0" w:line="240" w:lineRule="auto"/>
              <w:jc w:val="both"/>
              <w:rPr>
                <w:rFonts w:ascii="Times New Roman" w:hAnsi="Times New Roman"/>
                <w:b/>
                <w:sz w:val="24"/>
                <w:szCs w:val="24"/>
              </w:rPr>
            </w:pPr>
            <w:r w:rsidRPr="00385835">
              <w:rPr>
                <w:rFonts w:ascii="Times New Roman" w:hAnsi="Times New Roman"/>
                <w:b/>
                <w:sz w:val="24"/>
                <w:szCs w:val="24"/>
              </w:rPr>
              <w:t>Užimtumą skatinančio ekonomikos augimo kuriant vidinį potencialą rėmimas kaip dalis konkrečioms sritims skirtos</w:t>
            </w:r>
            <w:r w:rsidRPr="00385835" w:rsidDel="002536CE">
              <w:rPr>
                <w:rFonts w:ascii="Times New Roman" w:hAnsi="Times New Roman"/>
                <w:b/>
                <w:sz w:val="24"/>
                <w:szCs w:val="24"/>
              </w:rPr>
              <w:t xml:space="preserve"> </w:t>
            </w:r>
            <w:r w:rsidRPr="00385835">
              <w:rPr>
                <w:rFonts w:ascii="Times New Roman" w:hAnsi="Times New Roman"/>
                <w:b/>
                <w:sz w:val="24"/>
                <w:szCs w:val="24"/>
              </w:rPr>
              <w:t>teritorinės strategijos, įskaitant nuosmukį patiriančių pramoninių regionų pertvarkymą ir specifinių gamtos ir kultūros išteklių prieinamumo be</w:t>
            </w:r>
            <w:r w:rsidR="00031EF1">
              <w:rPr>
                <w:rFonts w:ascii="Times New Roman" w:hAnsi="Times New Roman"/>
                <w:b/>
                <w:sz w:val="24"/>
                <w:szCs w:val="24"/>
              </w:rPr>
              <w:t>i naudojimosi jais</w:t>
            </w:r>
            <w:r w:rsidR="00104BF7">
              <w:rPr>
                <w:rFonts w:ascii="Times New Roman" w:hAnsi="Times New Roman"/>
                <w:b/>
                <w:sz w:val="24"/>
                <w:szCs w:val="24"/>
              </w:rPr>
              <w:t>,</w:t>
            </w:r>
            <w:r w:rsidR="00031EF1">
              <w:rPr>
                <w:rFonts w:ascii="Times New Roman" w:hAnsi="Times New Roman"/>
                <w:b/>
                <w:sz w:val="24"/>
                <w:szCs w:val="24"/>
              </w:rPr>
              <w:t xml:space="preserve"> gerinimą</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FONDAS</w:t>
            </w:r>
          </w:p>
        </w:tc>
        <w:tc>
          <w:tcPr>
            <w:tcW w:w="7336"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Europos regioninės plėtros fondas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tcPr>
          <w:p w:rsidR="00385835" w:rsidRPr="00385835" w:rsidRDefault="00385835" w:rsidP="00385835">
            <w:pPr>
              <w:widowControl w:val="0"/>
              <w:tabs>
                <w:tab w:val="left" w:pos="622"/>
              </w:tabs>
              <w:spacing w:after="0" w:line="240" w:lineRule="auto"/>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7.1.1. KONKRETUS UŽDAVINYS</w:t>
            </w:r>
          </w:p>
        </w:tc>
        <w:tc>
          <w:tcPr>
            <w:tcW w:w="7336" w:type="dxa"/>
            <w:shd w:val="clear" w:color="auto" w:fill="EEECE1"/>
            <w:vAlign w:val="center"/>
          </w:tcPr>
          <w:p w:rsidR="00385835" w:rsidRPr="00385835" w:rsidRDefault="00385835" w:rsidP="00385835">
            <w:pPr>
              <w:spacing w:after="0" w:line="240" w:lineRule="auto"/>
              <w:jc w:val="both"/>
              <w:rPr>
                <w:rFonts w:ascii="Times New Roman" w:hAnsi="Times New Roman"/>
                <w:b/>
                <w:sz w:val="24"/>
                <w:szCs w:val="24"/>
              </w:rPr>
            </w:pPr>
            <w:r w:rsidRPr="00385835">
              <w:rPr>
                <w:rFonts w:ascii="Times New Roman" w:hAnsi="Times New Roman"/>
                <w:b/>
                <w:sz w:val="24"/>
                <w:szCs w:val="24"/>
              </w:rPr>
              <w:t>Padidinti ūkinės veiklos įvairovę ir pagerinti sąlygas investicijų pritraukimui, siekiant kurti naujas darbo vietas tikslinėse teritorijose (miestuose)</w:t>
            </w:r>
          </w:p>
        </w:tc>
      </w:tr>
      <w:tr w:rsidR="00385835" w:rsidRPr="00385835" w:rsidTr="00385835">
        <w:tc>
          <w:tcPr>
            <w:tcW w:w="9746" w:type="dxa"/>
            <w:gridSpan w:val="2"/>
            <w:shd w:val="clear" w:color="auto" w:fill="auto"/>
          </w:tcPr>
          <w:p w:rsidR="00385835" w:rsidRPr="00385835" w:rsidRDefault="00385835" w:rsidP="00385835">
            <w:pPr>
              <w:widowControl w:val="0"/>
              <w:tabs>
                <w:tab w:val="left" w:pos="622"/>
              </w:tabs>
              <w:spacing w:after="0" w:line="240" w:lineRule="auto"/>
              <w:ind w:firstLine="624"/>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Įgyvendina</w:t>
            </w:r>
            <w:r w:rsidR="001566F7">
              <w:rPr>
                <w:rFonts w:ascii="Times New Roman" w:eastAsia="AngsanaUPC" w:hAnsi="Times New Roman"/>
                <w:bCs/>
                <w:sz w:val="24"/>
                <w:szCs w:val="24"/>
                <w:lang w:eastAsia="lt-LT"/>
              </w:rPr>
              <w:t>n</w:t>
            </w:r>
            <w:r w:rsidRPr="00385835">
              <w:rPr>
                <w:rFonts w:ascii="Times New Roman" w:eastAsia="AngsanaUPC" w:hAnsi="Times New Roman"/>
                <w:bCs/>
                <w:sz w:val="24"/>
                <w:szCs w:val="24"/>
                <w:lang w:eastAsia="lt-LT"/>
              </w:rPr>
              <w:t>t uždavinį</w:t>
            </w:r>
            <w:r w:rsidR="00104BF7">
              <w:rPr>
                <w:rFonts w:ascii="Times New Roman" w:eastAsia="AngsanaUPC" w:hAnsi="Times New Roman"/>
                <w:bCs/>
                <w:sz w:val="24"/>
                <w:szCs w:val="24"/>
                <w:lang w:eastAsia="lt-LT"/>
              </w:rPr>
              <w:t>,</w:t>
            </w:r>
            <w:r w:rsidRPr="00385835">
              <w:rPr>
                <w:rFonts w:ascii="Times New Roman" w:eastAsia="AngsanaUPC" w:hAnsi="Times New Roman"/>
                <w:bCs/>
                <w:sz w:val="24"/>
                <w:szCs w:val="24"/>
                <w:lang w:eastAsia="lt-LT"/>
              </w:rPr>
              <w:t xml:space="preserve"> sprendžiami teritorinės plėtros iššūkiai, neleidžiantys užtikrinti tolygaus užimtumo miestuose ir jų metropolinėse erdvėse ir pritraukti aukštą pridėtinę vertę ir kokybiškas darbo vietas kuriančias investicijas į mažus ir vidutinius miestus ir nuosmukį patiriančias didesnių miestų dalis – sumažinant demografinių pokyčių poveikį miestų vietovėms ir pritaikant viešąją infrastruktūrą, </w:t>
            </w:r>
            <w:r w:rsidRPr="00385835">
              <w:rPr>
                <w:rFonts w:ascii="Times New Roman" w:hAnsi="Times New Roman"/>
                <w:sz w:val="24"/>
                <w:szCs w:val="24"/>
              </w:rPr>
              <w:t>skatinant</w:t>
            </w:r>
            <w:r w:rsidRPr="00385835">
              <w:rPr>
                <w:rFonts w:ascii="Times New Roman" w:eastAsia="AngsanaUPC" w:hAnsi="Times New Roman"/>
                <w:bCs/>
                <w:sz w:val="24"/>
                <w:szCs w:val="24"/>
                <w:lang w:eastAsia="lt-LT"/>
              </w:rPr>
              <w:t xml:space="preserve"> vidinę miestų plėtrą, užtikrinančią </w:t>
            </w:r>
            <w:r w:rsidRPr="00385835">
              <w:rPr>
                <w:rFonts w:ascii="Times New Roman" w:hAnsi="Times New Roman"/>
                <w:sz w:val="24"/>
                <w:szCs w:val="24"/>
              </w:rPr>
              <w:t xml:space="preserve">efektyvų išteklių naudojimą ir mažesnį urbanizacijos (ir suburbanizacijos) poveikį aplinkai </w:t>
            </w:r>
            <w:r w:rsidRPr="00385835">
              <w:rPr>
                <w:rFonts w:ascii="Times New Roman" w:eastAsia="AngsanaUPC" w:hAnsi="Times New Roman"/>
                <w:bCs/>
                <w:sz w:val="24"/>
                <w:szCs w:val="24"/>
                <w:lang w:eastAsia="lt-LT"/>
              </w:rPr>
              <w:t>ir klimato kaitai.</w:t>
            </w:r>
          </w:p>
          <w:p w:rsidR="00385835" w:rsidRPr="00385835" w:rsidRDefault="00385835" w:rsidP="00385835">
            <w:pPr>
              <w:widowControl w:val="0"/>
              <w:tabs>
                <w:tab w:val="left" w:pos="622"/>
              </w:tabs>
              <w:spacing w:after="0" w:line="240" w:lineRule="auto"/>
              <w:ind w:firstLine="624"/>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Įgyvendinant uždavinį</w:t>
            </w:r>
            <w:r w:rsidR="00104BF7">
              <w:rPr>
                <w:rFonts w:ascii="Times New Roman" w:eastAsia="AngsanaUPC" w:hAnsi="Times New Roman"/>
                <w:bCs/>
                <w:sz w:val="24"/>
                <w:szCs w:val="24"/>
                <w:lang w:eastAsia="lt-LT"/>
              </w:rPr>
              <w:t>,</w:t>
            </w:r>
            <w:r w:rsidRPr="00385835">
              <w:rPr>
                <w:rFonts w:ascii="Times New Roman" w:eastAsia="AngsanaUPC" w:hAnsi="Times New Roman"/>
                <w:bCs/>
                <w:sz w:val="24"/>
                <w:szCs w:val="24"/>
                <w:lang w:eastAsia="lt-LT"/>
              </w:rPr>
              <w:t xml:space="preserve"> bus investuojama į miestų viešųjų erdvių atgaivinimą (taip pat išnaudojant jose esančius specifinius gamtinius ar kultūros išteklius ir vietovės identitetą formuojančius objektus), jose didinant gyventojų srautus; apleistų teritorijų ir objektų pertvarkymą (konversiją) ir jų pasiekiamumo gerinimą; vidinės migracijos procesų subalansavimą ir darbo </w:t>
            </w:r>
            <w:r w:rsidRPr="00385835">
              <w:rPr>
                <w:rFonts w:ascii="Times New Roman" w:eastAsia="AngsanaUPC" w:hAnsi="Times New Roman"/>
                <w:bCs/>
                <w:sz w:val="24"/>
                <w:szCs w:val="24"/>
                <w:lang w:eastAsia="lt-LT"/>
              </w:rPr>
              <w:lastRenderedPageBreak/>
              <w:t xml:space="preserve">jėgos mobilumo problemų sprendimą per gyvenamosios aplinkos gerinimą, investicijas koncentruojant pagal tikslinių teritorijų specifiką ir </w:t>
            </w:r>
            <w:r w:rsidRPr="00385835">
              <w:rPr>
                <w:rFonts w:ascii="Times New Roman" w:hAnsi="Times New Roman"/>
                <w:sz w:val="24"/>
              </w:rPr>
              <w:t>formuojant šiose teritorijose paklausą vietos verslams, didinant patrauklumą privačioms investicijoms.</w:t>
            </w:r>
          </w:p>
          <w:p w:rsidR="00385835" w:rsidRPr="00385835" w:rsidRDefault="00385835" w:rsidP="00385835">
            <w:pPr>
              <w:widowControl w:val="0"/>
              <w:tabs>
                <w:tab w:val="left" w:pos="622"/>
              </w:tabs>
              <w:spacing w:after="0" w:line="240" w:lineRule="auto"/>
              <w:ind w:firstLine="624"/>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Atsižvelgus į tai, kad uždavinio rezultatams pasiekti reikalingos papildančios kitų investicinių prioritetų veiklos, jos bus įgyvendinamos</w:t>
            </w:r>
            <w:r w:rsidR="00104BF7">
              <w:rPr>
                <w:rFonts w:ascii="Times New Roman" w:eastAsia="AngsanaUPC" w:hAnsi="Times New Roman"/>
                <w:bCs/>
                <w:sz w:val="24"/>
                <w:szCs w:val="24"/>
                <w:lang w:eastAsia="lt-LT"/>
              </w:rPr>
              <w:t>,</w:t>
            </w:r>
            <w:r w:rsidRPr="00385835">
              <w:rPr>
                <w:rFonts w:ascii="Times New Roman" w:eastAsia="AngsanaUPC" w:hAnsi="Times New Roman"/>
                <w:bCs/>
                <w:sz w:val="24"/>
                <w:szCs w:val="24"/>
                <w:lang w:eastAsia="lt-LT"/>
              </w:rPr>
              <w:t xml:space="preserve"> taikant ITI per integruotas teritorijų vystymo programas. Tai leis investicijas, vykdomas pagal šį uždavinį papildyti veiksmais, susijusiais su verslumo skatinimu (įskaitant tiesioginę parama), užimtumo rėmimu, investicijų pritraukimu, transporto ir darnaus judumo ir kt. sprendimais.</w:t>
            </w:r>
          </w:p>
          <w:p w:rsidR="00385835" w:rsidRPr="00385835" w:rsidRDefault="00385835" w:rsidP="00385835">
            <w:pPr>
              <w:widowControl w:val="0"/>
              <w:tabs>
                <w:tab w:val="left" w:pos="622"/>
              </w:tabs>
              <w:spacing w:after="0" w:line="240" w:lineRule="auto"/>
              <w:ind w:firstLine="624"/>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Įgyvendinant uždavinį</w:t>
            </w:r>
            <w:r w:rsidR="00BB76CD">
              <w:rPr>
                <w:rFonts w:ascii="Times New Roman" w:eastAsia="AngsanaUPC" w:hAnsi="Times New Roman"/>
                <w:bCs/>
                <w:sz w:val="24"/>
                <w:szCs w:val="24"/>
                <w:lang w:eastAsia="lt-LT"/>
              </w:rPr>
              <w:t>,</w:t>
            </w:r>
            <w:r w:rsidRPr="00385835">
              <w:rPr>
                <w:rFonts w:ascii="Times New Roman" w:eastAsia="AngsanaUPC" w:hAnsi="Times New Roman"/>
                <w:bCs/>
                <w:sz w:val="24"/>
                <w:szCs w:val="24"/>
                <w:lang w:eastAsia="lt-LT"/>
              </w:rPr>
              <w:t xml:space="preserve"> bus pagerintos užimtumo galimybės dėl didesnės ūkinių veiklų įvairovės, į tikslines teritorijas pritrauktų aukštą pridėtinę vertę kuriančių investicijų, mažuose ir vidutiniuose miestuose išsaugoto pagrindinių ūkio sektorių potencialo, kuriam grėsmę kelia vykstantys demografiniai procesai.</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602"/>
        <w:gridCol w:w="1950"/>
        <w:gridCol w:w="992"/>
        <w:gridCol w:w="992"/>
        <w:gridCol w:w="851"/>
        <w:gridCol w:w="1134"/>
        <w:gridCol w:w="850"/>
        <w:gridCol w:w="1261"/>
        <w:gridCol w:w="1114"/>
      </w:tblGrid>
      <w:tr w:rsidR="00385835" w:rsidRPr="00385835" w:rsidTr="00385835">
        <w:tc>
          <w:tcPr>
            <w:tcW w:w="9746" w:type="dxa"/>
            <w:gridSpan w:val="9"/>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i/>
                <w:iCs/>
                <w:sz w:val="24"/>
                <w:szCs w:val="24"/>
                <w:lang w:eastAsia="lt-LT"/>
              </w:rPr>
            </w:pPr>
            <w:r w:rsidRPr="00385835">
              <w:rPr>
                <w:rFonts w:ascii="Times New Roman" w:eastAsia="AngsanaUPC" w:hAnsi="Times New Roman"/>
                <w:b/>
                <w:bCs/>
                <w:i/>
                <w:iCs/>
                <w:sz w:val="24"/>
                <w:szCs w:val="24"/>
                <w:lang w:eastAsia="lt-LT"/>
              </w:rPr>
              <w:t xml:space="preserve">ERPF </w:t>
            </w:r>
            <w:r w:rsidR="00B1109C">
              <w:rPr>
                <w:rFonts w:ascii="Times New Roman" w:eastAsia="AngsanaUPC" w:hAnsi="Times New Roman"/>
                <w:b/>
                <w:bCs/>
                <w:i/>
                <w:iCs/>
                <w:sz w:val="24"/>
                <w:szCs w:val="24"/>
                <w:lang w:eastAsia="lt-LT"/>
              </w:rPr>
              <w:t xml:space="preserve">specialieji </w:t>
            </w:r>
            <w:r w:rsidRPr="00385835">
              <w:rPr>
                <w:rFonts w:ascii="Times New Roman" w:eastAsia="AngsanaUPC" w:hAnsi="Times New Roman"/>
                <w:b/>
                <w:bCs/>
                <w:i/>
                <w:iCs/>
                <w:sz w:val="24"/>
                <w:szCs w:val="24"/>
                <w:lang w:eastAsia="lt-LT"/>
              </w:rPr>
              <w:t>programos rezultato rodikliai</w:t>
            </w:r>
          </w:p>
        </w:tc>
      </w:tr>
      <w:tr w:rsidR="00385835" w:rsidRPr="00385835" w:rsidTr="00385835">
        <w:tblPrEx>
          <w:shd w:val="clear" w:color="auto" w:fill="auto"/>
        </w:tblPrEx>
        <w:trPr>
          <w:cantSplit/>
          <w:trHeight w:val="810"/>
        </w:trPr>
        <w:tc>
          <w:tcPr>
            <w:tcW w:w="602"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Nr.</w:t>
            </w:r>
          </w:p>
        </w:tc>
        <w:tc>
          <w:tcPr>
            <w:tcW w:w="1950"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Rodiklio pavadinimas</w:t>
            </w:r>
          </w:p>
        </w:tc>
        <w:tc>
          <w:tcPr>
            <w:tcW w:w="992"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Matavimo vienetas</w:t>
            </w:r>
          </w:p>
        </w:tc>
        <w:tc>
          <w:tcPr>
            <w:tcW w:w="992"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Regiono kategorija</w:t>
            </w:r>
          </w:p>
        </w:tc>
        <w:tc>
          <w:tcPr>
            <w:tcW w:w="85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Pradinė reikšmė</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Pradinės reikšmės metai</w:t>
            </w:r>
          </w:p>
        </w:tc>
        <w:tc>
          <w:tcPr>
            <w:tcW w:w="850"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Siektina reikšmė (2023)</w:t>
            </w:r>
          </w:p>
        </w:tc>
        <w:tc>
          <w:tcPr>
            <w:tcW w:w="126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Duomenų šaltinis</w:t>
            </w:r>
          </w:p>
        </w:tc>
        <w:tc>
          <w:tcPr>
            <w:tcW w:w="111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Atsiskaitymo dažnumas</w:t>
            </w:r>
          </w:p>
        </w:tc>
      </w:tr>
      <w:tr w:rsidR="00385835" w:rsidRPr="00385835" w:rsidTr="00385835">
        <w:tblPrEx>
          <w:shd w:val="clear" w:color="auto" w:fill="auto"/>
        </w:tblPrEx>
        <w:tc>
          <w:tcPr>
            <w:tcW w:w="602"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 xml:space="preserve">1. </w:t>
            </w:r>
          </w:p>
        </w:tc>
        <w:tc>
          <w:tcPr>
            <w:tcW w:w="1950" w:type="dxa"/>
            <w:shd w:val="clear" w:color="auto" w:fill="auto"/>
            <w:vAlign w:val="center"/>
          </w:tcPr>
          <w:p w:rsidR="00385835" w:rsidRPr="00385835" w:rsidRDefault="00385835" w:rsidP="00385835">
            <w:pPr>
              <w:spacing w:after="0" w:line="240" w:lineRule="auto"/>
              <w:rPr>
                <w:rFonts w:ascii="Times New Roman" w:eastAsia="Times New Roman" w:hAnsi="Times New Roman"/>
                <w:sz w:val="24"/>
                <w:szCs w:val="24"/>
                <w:lang w:eastAsia="lt-LT"/>
              </w:rPr>
            </w:pPr>
            <w:r w:rsidRPr="00385835">
              <w:rPr>
                <w:rFonts w:ascii="Times New Roman" w:eastAsia="Times New Roman" w:hAnsi="Times New Roman"/>
                <w:sz w:val="18"/>
                <w:szCs w:val="18"/>
                <w:lang w:eastAsia="lt-LT"/>
              </w:rPr>
              <w:t>Pritrauktos papildomos materialinės investicijos į tikslines teritorijas*</w:t>
            </w:r>
          </w:p>
        </w:tc>
        <w:tc>
          <w:tcPr>
            <w:tcW w:w="992"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18"/>
                <w:szCs w:val="18"/>
                <w:lang w:eastAsia="lt-LT"/>
              </w:rPr>
            </w:pPr>
            <w:r w:rsidRPr="00385835">
              <w:rPr>
                <w:rFonts w:ascii="Times New Roman" w:eastAsia="AngsanaUPC" w:hAnsi="Times New Roman"/>
                <w:bCs/>
                <w:sz w:val="18"/>
                <w:szCs w:val="18"/>
                <w:lang w:eastAsia="lt-LT"/>
              </w:rPr>
              <w:t>Tūkst. EUR</w:t>
            </w:r>
          </w:p>
        </w:tc>
        <w:tc>
          <w:tcPr>
            <w:tcW w:w="992"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18"/>
                <w:szCs w:val="18"/>
                <w:lang w:eastAsia="lt-LT"/>
              </w:rPr>
            </w:pPr>
            <w:r w:rsidRPr="00385835">
              <w:rPr>
                <w:rFonts w:ascii="Times New Roman" w:eastAsia="AngsanaUPC" w:hAnsi="Times New Roman"/>
                <w:bCs/>
                <w:sz w:val="18"/>
                <w:szCs w:val="18"/>
                <w:lang w:eastAsia="lt-LT"/>
              </w:rPr>
              <w:t>Mažiau išsivystęs</w:t>
            </w:r>
          </w:p>
        </w:tc>
        <w:tc>
          <w:tcPr>
            <w:tcW w:w="851" w:type="dxa"/>
            <w:shd w:val="clear" w:color="auto" w:fill="auto"/>
            <w:vAlign w:val="center"/>
          </w:tcPr>
          <w:p w:rsidR="00385835" w:rsidRPr="00385835" w:rsidRDefault="00385835" w:rsidP="009348A3">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164</w:t>
            </w:r>
            <w:r w:rsidR="009348A3">
              <w:rPr>
                <w:rFonts w:ascii="Times New Roman" w:eastAsia="AngsanaUPC" w:hAnsi="Times New Roman"/>
                <w:bCs/>
                <w:iCs/>
                <w:sz w:val="18"/>
                <w:szCs w:val="18"/>
                <w:lang w:eastAsia="lt-LT"/>
              </w:rPr>
              <w:t>.</w:t>
            </w:r>
            <w:r w:rsidRPr="00385835">
              <w:rPr>
                <w:rFonts w:ascii="Times New Roman" w:eastAsia="AngsanaUPC" w:hAnsi="Times New Roman"/>
                <w:bCs/>
                <w:iCs/>
                <w:sz w:val="18"/>
                <w:szCs w:val="18"/>
                <w:lang w:eastAsia="lt-LT"/>
              </w:rPr>
              <w:t>217</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2012</w:t>
            </w:r>
          </w:p>
        </w:tc>
        <w:tc>
          <w:tcPr>
            <w:tcW w:w="850" w:type="dxa"/>
            <w:shd w:val="clear" w:color="auto" w:fill="auto"/>
            <w:vAlign w:val="center"/>
          </w:tcPr>
          <w:p w:rsidR="00385835" w:rsidRPr="00385835" w:rsidRDefault="00385835" w:rsidP="009348A3">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290</w:t>
            </w:r>
            <w:r w:rsidR="009348A3">
              <w:rPr>
                <w:rFonts w:ascii="Times New Roman" w:eastAsia="AngsanaUPC" w:hAnsi="Times New Roman"/>
                <w:bCs/>
                <w:iCs/>
                <w:sz w:val="18"/>
                <w:szCs w:val="18"/>
                <w:lang w:eastAsia="lt-LT"/>
              </w:rPr>
              <w:t>.</w:t>
            </w:r>
            <w:r w:rsidRPr="00385835">
              <w:rPr>
                <w:rFonts w:ascii="Times New Roman" w:eastAsia="AngsanaUPC" w:hAnsi="Times New Roman"/>
                <w:bCs/>
                <w:iCs/>
                <w:sz w:val="18"/>
                <w:szCs w:val="18"/>
                <w:lang w:eastAsia="lt-LT"/>
              </w:rPr>
              <w:t>000</w:t>
            </w:r>
          </w:p>
        </w:tc>
        <w:tc>
          <w:tcPr>
            <w:tcW w:w="126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Times New Roman" w:hAnsi="Times New Roman"/>
                <w:sz w:val="18"/>
                <w:szCs w:val="18"/>
                <w:lang w:eastAsia="lt-LT"/>
              </w:rPr>
              <w:t>Vidaus reikalų ministerijos atliekamas tyrimas</w:t>
            </w:r>
          </w:p>
        </w:tc>
        <w:tc>
          <w:tcPr>
            <w:tcW w:w="111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2 metus</w:t>
            </w:r>
          </w:p>
        </w:tc>
      </w:tr>
      <w:tr w:rsidR="00385835" w:rsidRPr="00385835" w:rsidTr="00385835">
        <w:tblPrEx>
          <w:shd w:val="clear" w:color="auto" w:fill="auto"/>
        </w:tblPrEx>
        <w:tc>
          <w:tcPr>
            <w:tcW w:w="602"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 xml:space="preserve">2. </w:t>
            </w:r>
          </w:p>
        </w:tc>
        <w:tc>
          <w:tcPr>
            <w:tcW w:w="1950" w:type="dxa"/>
            <w:shd w:val="clear" w:color="auto" w:fill="auto"/>
            <w:vAlign w:val="center"/>
          </w:tcPr>
          <w:p w:rsidR="00385835" w:rsidRPr="00385835" w:rsidRDefault="00385835" w:rsidP="00B1109C">
            <w:pPr>
              <w:spacing w:after="0" w:line="240" w:lineRule="auto"/>
              <w:rPr>
                <w:rFonts w:ascii="Times New Roman" w:eastAsia="Times New Roman" w:hAnsi="Times New Roman"/>
                <w:sz w:val="18"/>
                <w:szCs w:val="18"/>
                <w:lang w:eastAsia="lt-LT"/>
              </w:rPr>
            </w:pPr>
            <w:r w:rsidRPr="00385835">
              <w:rPr>
                <w:rFonts w:ascii="Times New Roman" w:eastAsia="Times New Roman" w:hAnsi="Times New Roman"/>
                <w:sz w:val="18"/>
                <w:szCs w:val="18"/>
                <w:lang w:eastAsia="lt-LT"/>
              </w:rPr>
              <w:t>Dirbančiųjų dalis įmonėse, lyginant su darbingo amžiaus gyventojų skaičiumi savivaldybėse, kuriose yra išskirtų tikslinių teritorijų**</w:t>
            </w:r>
          </w:p>
        </w:tc>
        <w:tc>
          <w:tcPr>
            <w:tcW w:w="992"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18"/>
                <w:szCs w:val="18"/>
                <w:lang w:eastAsia="lt-LT"/>
              </w:rPr>
            </w:pPr>
            <w:r w:rsidRPr="00385835">
              <w:rPr>
                <w:rFonts w:ascii="Times New Roman" w:eastAsia="AngsanaUPC" w:hAnsi="Times New Roman"/>
                <w:bCs/>
                <w:sz w:val="18"/>
                <w:szCs w:val="18"/>
                <w:lang w:eastAsia="lt-LT"/>
              </w:rPr>
              <w:t xml:space="preserve">Proc. </w:t>
            </w:r>
          </w:p>
        </w:tc>
        <w:tc>
          <w:tcPr>
            <w:tcW w:w="992"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18"/>
                <w:szCs w:val="18"/>
                <w:lang w:eastAsia="lt-LT"/>
              </w:rPr>
            </w:pPr>
            <w:r w:rsidRPr="00385835">
              <w:rPr>
                <w:rFonts w:ascii="Times New Roman" w:eastAsia="AngsanaUPC" w:hAnsi="Times New Roman"/>
                <w:bCs/>
                <w:sz w:val="18"/>
                <w:szCs w:val="18"/>
                <w:lang w:eastAsia="lt-LT"/>
              </w:rPr>
              <w:t>Mažiau išsivystęs</w:t>
            </w:r>
          </w:p>
        </w:tc>
        <w:tc>
          <w:tcPr>
            <w:tcW w:w="85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32,81</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2012</w:t>
            </w:r>
          </w:p>
        </w:tc>
        <w:tc>
          <w:tcPr>
            <w:tcW w:w="850"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38</w:t>
            </w:r>
          </w:p>
        </w:tc>
        <w:tc>
          <w:tcPr>
            <w:tcW w:w="126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Times New Roman" w:hAnsi="Times New Roman"/>
                <w:sz w:val="18"/>
                <w:szCs w:val="18"/>
                <w:lang w:eastAsia="lt-LT"/>
              </w:rPr>
            </w:pPr>
            <w:r w:rsidRPr="00385835">
              <w:rPr>
                <w:rFonts w:ascii="Times New Roman" w:eastAsia="Times New Roman" w:hAnsi="Times New Roman"/>
                <w:sz w:val="18"/>
                <w:szCs w:val="18"/>
                <w:lang w:eastAsia="lt-LT"/>
              </w:rPr>
              <w:t xml:space="preserve">Lietuvos statistikos departamentas </w:t>
            </w:r>
          </w:p>
        </w:tc>
        <w:tc>
          <w:tcPr>
            <w:tcW w:w="111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bl>
    <w:p w:rsidR="00385835" w:rsidRPr="00385835" w:rsidRDefault="00385835" w:rsidP="00385835">
      <w:pPr>
        <w:spacing w:after="0" w:line="240" w:lineRule="auto"/>
        <w:jc w:val="both"/>
        <w:rPr>
          <w:rFonts w:ascii="Times New Roman" w:hAnsi="Times New Roman"/>
          <w:sz w:val="18"/>
          <w:szCs w:val="18"/>
        </w:rPr>
      </w:pPr>
      <w:r w:rsidRPr="00385835">
        <w:rPr>
          <w:rFonts w:ascii="Times New Roman" w:hAnsi="Times New Roman"/>
          <w:sz w:val="18"/>
          <w:szCs w:val="18"/>
        </w:rPr>
        <w:t xml:space="preserve">* Tikslinės teritorijos apima Partnerystės sutarties 3 skyriuje nurodytas tikslines teritorijas: didžiųjų miestų dalis (kuriose įgyvendinami tvarios miestų plėtros veiksmai), taip pat tikslinėmis teritorijomis pripažintus mažus ir vidutinius miestus. </w:t>
      </w:r>
    </w:p>
    <w:p w:rsidR="00385835" w:rsidRPr="00385835" w:rsidRDefault="00385835" w:rsidP="006926BD">
      <w:pPr>
        <w:spacing w:after="0" w:line="240" w:lineRule="auto"/>
        <w:jc w:val="both"/>
        <w:rPr>
          <w:rFonts w:ascii="Times New Roman" w:hAnsi="Times New Roman"/>
          <w:sz w:val="18"/>
          <w:szCs w:val="18"/>
        </w:rPr>
      </w:pPr>
      <w:r w:rsidRPr="00385835">
        <w:rPr>
          <w:rFonts w:ascii="Times New Roman" w:hAnsi="Times New Roman"/>
          <w:sz w:val="18"/>
          <w:szCs w:val="18"/>
        </w:rPr>
        <w:t>** Tikslinės teritorijos apima tikslinėmis teritorijomis pripažintus mažus ir vidutinius miestus; į statistinį tyrimą neįtraukti ūkio subjektai, vykdantys žemės ūkio, finansinio tarpininkavimo ir valstybės valdymo ir gynybos veiklą.</w:t>
      </w:r>
    </w:p>
    <w:p w:rsidR="00385835" w:rsidRPr="00385835" w:rsidRDefault="00385835" w:rsidP="00385835">
      <w:pPr>
        <w:spacing w:after="0" w:line="240" w:lineRule="auto"/>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385835" w:rsidRPr="00385835" w:rsidTr="00385835">
        <w:tc>
          <w:tcPr>
            <w:tcW w:w="9746" w:type="dxa"/>
            <w:tcBorders>
              <w:top w:val="single" w:sz="4" w:space="0" w:color="auto"/>
              <w:left w:val="single" w:sz="4" w:space="0" w:color="auto"/>
              <w:bottom w:val="single" w:sz="4" w:space="0" w:color="auto"/>
              <w:right w:val="single" w:sz="4" w:space="0" w:color="auto"/>
            </w:tcBorders>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Cs/>
                <w:iCs/>
                <w:sz w:val="24"/>
                <w:szCs w:val="24"/>
                <w:lang w:eastAsia="lt-LT"/>
              </w:rPr>
            </w:pPr>
            <w:r w:rsidRPr="00385835">
              <w:rPr>
                <w:rFonts w:ascii="Times New Roman" w:eastAsia="AngsanaUPC" w:hAnsi="Times New Roman"/>
                <w:b/>
                <w:bCs/>
                <w:i/>
                <w:iCs/>
                <w:sz w:val="24"/>
                <w:szCs w:val="24"/>
                <w:lang w:eastAsia="lt-LT"/>
              </w:rPr>
              <w:t>7.1. Investicinio prioriteto įgyvendinimo veiklos</w:t>
            </w:r>
          </w:p>
        </w:tc>
      </w:tr>
      <w:tr w:rsidR="00385835" w:rsidRPr="00385835" w:rsidTr="00385835">
        <w:tc>
          <w:tcPr>
            <w:tcW w:w="9746" w:type="dxa"/>
            <w:shd w:val="clear" w:color="auto" w:fill="auto"/>
          </w:tcPr>
          <w:p w:rsidR="00385835" w:rsidRPr="00FC6264" w:rsidRDefault="00CA6797" w:rsidP="00650E41">
            <w:pPr>
              <w:widowControl w:val="0"/>
              <w:numPr>
                <w:ilvl w:val="0"/>
                <w:numId w:val="10"/>
              </w:numPr>
              <w:tabs>
                <w:tab w:val="left" w:pos="459"/>
                <w:tab w:val="left" w:pos="1026"/>
              </w:tabs>
              <w:spacing w:after="0" w:line="240" w:lineRule="auto"/>
              <w:ind w:left="34" w:firstLine="0"/>
              <w:jc w:val="both"/>
              <w:rPr>
                <w:rFonts w:ascii="Times New Roman" w:hAnsi="Times New Roman"/>
                <w:sz w:val="24"/>
              </w:rPr>
            </w:pPr>
            <w:r w:rsidRPr="00FC6264">
              <w:rPr>
                <w:rFonts w:ascii="Times New Roman" w:hAnsi="Times New Roman"/>
                <w:sz w:val="24"/>
              </w:rPr>
              <w:t>Neišnaudot</w:t>
            </w:r>
            <w:r w:rsidR="00DA4F7E" w:rsidRPr="00FC6264">
              <w:rPr>
                <w:rFonts w:ascii="Times New Roman" w:hAnsi="Times New Roman"/>
                <w:sz w:val="24"/>
              </w:rPr>
              <w:t>os,</w:t>
            </w:r>
            <w:r w:rsidR="00385835" w:rsidRPr="00FC6264">
              <w:rPr>
                <w:rFonts w:ascii="Times New Roman" w:hAnsi="Times New Roman"/>
                <w:sz w:val="24"/>
              </w:rPr>
              <w:t xml:space="preserve"> apleistos infrastruktūros ir teritorijų konversija</w:t>
            </w:r>
            <w:r w:rsidRPr="00FC6264">
              <w:rPr>
                <w:rFonts w:ascii="Times New Roman" w:hAnsi="Times New Roman"/>
                <w:sz w:val="24"/>
              </w:rPr>
              <w:t>,</w:t>
            </w:r>
            <w:r w:rsidR="00385835" w:rsidRPr="00FC6264">
              <w:rPr>
                <w:rFonts w:ascii="Times New Roman" w:hAnsi="Times New Roman"/>
                <w:sz w:val="24"/>
              </w:rPr>
              <w:t xml:space="preserve"> sukuriant sąlygas pritraukti į jas naujas komercines veiklas, pritaikant socialinei, kultūros infrastruktūrai, bendruomenių veiklai (įskaitant taršos likvidavimą ar aplinką žalojančių pastatų ir statinių griovimą, kur reikalinga). Bus skatinamos investicijos į apleistas teritorijas ir nenaudojamą infrastruktūrą, jos pritaikymą veikloms, kurios sudarys sąlygas naujiems socialinės ir ekonominės plėtros židiniams šiose teritorijose ir sudarys prielaidas privačioms investicijoms (sukuriant tam palankią infrastruktūrą);</w:t>
            </w:r>
          </w:p>
          <w:p w:rsidR="00385835" w:rsidRPr="00D54F90" w:rsidRDefault="00385835" w:rsidP="00650E41">
            <w:pPr>
              <w:widowControl w:val="0"/>
              <w:numPr>
                <w:ilvl w:val="0"/>
                <w:numId w:val="10"/>
              </w:numPr>
              <w:tabs>
                <w:tab w:val="left" w:pos="459"/>
                <w:tab w:val="left" w:pos="1026"/>
              </w:tabs>
              <w:spacing w:after="0" w:line="240" w:lineRule="auto"/>
              <w:ind w:left="34" w:firstLine="0"/>
              <w:jc w:val="both"/>
              <w:rPr>
                <w:rFonts w:ascii="Times New Roman" w:hAnsi="Times New Roman"/>
                <w:sz w:val="24"/>
              </w:rPr>
            </w:pPr>
            <w:r w:rsidRPr="00FC6264">
              <w:rPr>
                <w:rFonts w:ascii="Times New Roman" w:hAnsi="Times New Roman"/>
                <w:sz w:val="24"/>
              </w:rPr>
              <w:t>Viešųjų erdvių</w:t>
            </w:r>
            <w:r w:rsidR="00DA4F7E" w:rsidRPr="00FC6264">
              <w:rPr>
                <w:rFonts w:ascii="Times New Roman" w:hAnsi="Times New Roman"/>
                <w:sz w:val="24"/>
              </w:rPr>
              <w:t>, gamybinių arba komercinių zonų</w:t>
            </w:r>
            <w:r w:rsidRPr="00FC6264">
              <w:rPr>
                <w:rFonts w:ascii="Times New Roman" w:hAnsi="Times New Roman"/>
                <w:sz w:val="24"/>
              </w:rPr>
              <w:t xml:space="preserve"> modernizavimas, kuriant papildomus ar naujus miestų </w:t>
            </w:r>
            <w:r w:rsidR="00DA4F7E" w:rsidRPr="00FC6264">
              <w:rPr>
                <w:rFonts w:ascii="Times New Roman" w:hAnsi="Times New Roman"/>
                <w:sz w:val="24"/>
              </w:rPr>
              <w:t xml:space="preserve">gyventojų </w:t>
            </w:r>
            <w:r w:rsidRPr="00FC6264">
              <w:rPr>
                <w:rFonts w:ascii="Times New Roman" w:hAnsi="Times New Roman"/>
                <w:sz w:val="24"/>
              </w:rPr>
              <w:t xml:space="preserve">traukos </w:t>
            </w:r>
            <w:r w:rsidR="00DA4F7E" w:rsidRPr="00FC6264">
              <w:rPr>
                <w:rFonts w:ascii="Times New Roman" w:hAnsi="Times New Roman"/>
                <w:sz w:val="24"/>
              </w:rPr>
              <w:t xml:space="preserve">ar ekonominės veiklos </w:t>
            </w:r>
            <w:r w:rsidRPr="00FC6264">
              <w:rPr>
                <w:rFonts w:ascii="Times New Roman" w:hAnsi="Times New Roman"/>
                <w:sz w:val="24"/>
              </w:rPr>
              <w:t>centrus ar stiprinant esamus: tam panaudojant vietovės identitetą formuojančius gamtinio karkaso, kultūros paveldo, urbanistinių struktūrų ir kraštovaizdžio elementus, svarbią vietos bendruomenei, miesto bei regiono gyventojams kultūros infrastruktūrą</w:t>
            </w:r>
            <w:r w:rsidR="00DA4F7E" w:rsidRPr="00FC6264">
              <w:rPr>
                <w:rFonts w:ascii="Times New Roman" w:hAnsi="Times New Roman"/>
                <w:sz w:val="24"/>
              </w:rPr>
              <w:t>, viešąją verslo infrastruktūrą.</w:t>
            </w:r>
            <w:r w:rsidRPr="00FC6264">
              <w:rPr>
                <w:rFonts w:ascii="Times New Roman" w:hAnsi="Times New Roman"/>
                <w:sz w:val="24"/>
              </w:rPr>
              <w:t xml:space="preserve"> Siekiama kurti vietinę paklausą, skatinti papildomus lankytojų srautus, formuojant </w:t>
            </w:r>
            <w:r w:rsidR="00DA4F7E" w:rsidRPr="00FC6264">
              <w:rPr>
                <w:rFonts w:ascii="Times New Roman" w:hAnsi="Times New Roman"/>
                <w:sz w:val="24"/>
              </w:rPr>
              <w:t>paklausą vietos verslams, didi</w:t>
            </w:r>
            <w:r w:rsidRPr="00FC6264">
              <w:rPr>
                <w:rFonts w:ascii="Times New Roman" w:hAnsi="Times New Roman"/>
                <w:sz w:val="24"/>
              </w:rPr>
              <w:t>nt</w:t>
            </w:r>
            <w:r w:rsidR="00DA4F7E" w:rsidRPr="00FC6264">
              <w:rPr>
                <w:rFonts w:ascii="Times New Roman" w:hAnsi="Times New Roman"/>
                <w:sz w:val="24"/>
              </w:rPr>
              <w:t>i</w:t>
            </w:r>
            <w:r w:rsidRPr="00D54F90">
              <w:rPr>
                <w:rFonts w:ascii="Times New Roman" w:hAnsi="Times New Roman"/>
                <w:sz w:val="24"/>
              </w:rPr>
              <w:t xml:space="preserve"> patrauklumą investicijoms, verslo plė</w:t>
            </w:r>
            <w:r w:rsidR="00DA4F7E" w:rsidRPr="00D54F90">
              <w:rPr>
                <w:rFonts w:ascii="Times New Roman" w:hAnsi="Times New Roman"/>
                <w:sz w:val="24"/>
              </w:rPr>
              <w:t>trai, naujų darbo vietų kūrimui;</w:t>
            </w:r>
          </w:p>
          <w:p w:rsidR="00385835" w:rsidRPr="00385835" w:rsidRDefault="00385835" w:rsidP="00650E41">
            <w:pPr>
              <w:widowControl w:val="0"/>
              <w:numPr>
                <w:ilvl w:val="0"/>
                <w:numId w:val="10"/>
              </w:numPr>
              <w:tabs>
                <w:tab w:val="left" w:pos="459"/>
                <w:tab w:val="left" w:pos="1026"/>
              </w:tabs>
              <w:spacing w:after="0" w:line="240" w:lineRule="auto"/>
              <w:ind w:left="34" w:firstLine="0"/>
              <w:jc w:val="both"/>
              <w:rPr>
                <w:rFonts w:ascii="Times New Roman" w:hAnsi="Times New Roman"/>
                <w:sz w:val="24"/>
              </w:rPr>
            </w:pPr>
            <w:r w:rsidRPr="00385835">
              <w:rPr>
                <w:rFonts w:ascii="Times New Roman" w:hAnsi="Times New Roman"/>
                <w:sz w:val="24"/>
              </w:rPr>
              <w:t xml:space="preserve">Gyvenamosios aplinkos gerinimas gyvenamuosiuose rajonuose, kuriant ar atnaujinant mažos apimties bendruomeninę infrastruktūrą, sutvarkant aplinką, investuojant į žaliąją infrastruktūrą ir </w:t>
            </w:r>
            <w:r w:rsidR="00686878">
              <w:rPr>
                <w:rFonts w:ascii="Times New Roman" w:hAnsi="Times New Roman"/>
                <w:sz w:val="24"/>
              </w:rPr>
              <w:t>šių teritorijų pasiekiamumą (pavyzdžiui,</w:t>
            </w:r>
            <w:r w:rsidRPr="00385835">
              <w:rPr>
                <w:rFonts w:ascii="Times New Roman" w:hAnsi="Times New Roman"/>
                <w:sz w:val="24"/>
              </w:rPr>
              <w:t xml:space="preserve"> pėsčiųjų ir dviračių takais). Didžiųjų miestų centrinėse dalyse esantys gyvenamieji rajonai, taip pat maži ir vidutiniai miestai patiria sudėtingus demografinius pokyčius, dėl kurių bazinė (ekonominė) infrastruktūra išnaudojama neefektyviai ir auga spaudimas priemiesčių teritorijoms (kuriose dėl mažo gyventojų tankumo didesni santykiniai </w:t>
            </w:r>
            <w:r w:rsidRPr="009F540A">
              <w:rPr>
                <w:rFonts w:ascii="Times New Roman" w:hAnsi="Times New Roman"/>
                <w:sz w:val="24"/>
              </w:rPr>
              <w:lastRenderedPageBreak/>
              <w:t>naujos infrastruktūros kaštai ir mažesnės užimtumo galimybės). Siekiama subalansuoti migracijos srautus, skatina</w:t>
            </w:r>
            <w:r w:rsidR="001566F7" w:rsidRPr="009F540A">
              <w:rPr>
                <w:rFonts w:ascii="Times New Roman" w:hAnsi="Times New Roman"/>
                <w:sz w:val="24"/>
              </w:rPr>
              <w:t>n</w:t>
            </w:r>
            <w:r w:rsidRPr="009F540A">
              <w:rPr>
                <w:rFonts w:ascii="Times New Roman" w:hAnsi="Times New Roman"/>
                <w:sz w:val="24"/>
              </w:rPr>
              <w:t>t gyventojus rinktis gyvenamąją vietą arčiau darbo vietos (efektyviau išnaudojant esamą ekonominę infrastruktūrą).</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561"/>
        <w:gridCol w:w="2274"/>
        <w:gridCol w:w="1134"/>
        <w:gridCol w:w="851"/>
        <w:gridCol w:w="1134"/>
        <w:gridCol w:w="992"/>
        <w:gridCol w:w="1559"/>
        <w:gridCol w:w="1241"/>
      </w:tblGrid>
      <w:tr w:rsidR="00385835" w:rsidRPr="00385835" w:rsidTr="00385835">
        <w:tc>
          <w:tcPr>
            <w:tcW w:w="9746" w:type="dxa"/>
            <w:gridSpan w:val="8"/>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i/>
                <w:iCs/>
                <w:sz w:val="24"/>
                <w:szCs w:val="24"/>
                <w:lang w:eastAsia="lt-LT"/>
              </w:rPr>
            </w:pPr>
            <w:r w:rsidRPr="00385835">
              <w:rPr>
                <w:rFonts w:ascii="Times New Roman" w:eastAsia="AngsanaUPC" w:hAnsi="Times New Roman"/>
                <w:b/>
                <w:bCs/>
                <w:i/>
                <w:iCs/>
                <w:sz w:val="24"/>
                <w:szCs w:val="24"/>
                <w:lang w:eastAsia="lt-LT"/>
              </w:rPr>
              <w:t xml:space="preserve">ERPF bendrieji ir </w:t>
            </w:r>
            <w:r w:rsidR="00B1109C">
              <w:rPr>
                <w:rFonts w:ascii="Times New Roman" w:eastAsia="AngsanaUPC" w:hAnsi="Times New Roman"/>
                <w:b/>
                <w:bCs/>
                <w:i/>
                <w:iCs/>
                <w:sz w:val="24"/>
                <w:szCs w:val="24"/>
                <w:lang w:eastAsia="lt-LT"/>
              </w:rPr>
              <w:t xml:space="preserve">specialieji </w:t>
            </w:r>
            <w:r w:rsidRPr="00385835">
              <w:rPr>
                <w:rFonts w:ascii="Times New Roman" w:eastAsia="AngsanaUPC" w:hAnsi="Times New Roman"/>
                <w:b/>
                <w:bCs/>
                <w:i/>
                <w:iCs/>
                <w:sz w:val="24"/>
                <w:szCs w:val="24"/>
                <w:lang w:eastAsia="lt-LT"/>
              </w:rPr>
              <w:t>programos produkto rodikliai</w:t>
            </w:r>
          </w:p>
        </w:tc>
      </w:tr>
      <w:tr w:rsidR="00385835" w:rsidRPr="00385835" w:rsidTr="009348A3">
        <w:tblPrEx>
          <w:shd w:val="clear" w:color="auto" w:fill="auto"/>
        </w:tblPrEx>
        <w:tc>
          <w:tcPr>
            <w:tcW w:w="56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Nr.</w:t>
            </w:r>
          </w:p>
        </w:tc>
        <w:tc>
          <w:tcPr>
            <w:tcW w:w="227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Rodiklio pavadinimas</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Matavimo vienetas</w:t>
            </w:r>
          </w:p>
        </w:tc>
        <w:tc>
          <w:tcPr>
            <w:tcW w:w="85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Fondas</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Regiono kategorija</w:t>
            </w:r>
          </w:p>
        </w:tc>
        <w:tc>
          <w:tcPr>
            <w:tcW w:w="992"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Siektina reikšmė (2023)</w:t>
            </w:r>
          </w:p>
        </w:tc>
        <w:tc>
          <w:tcPr>
            <w:tcW w:w="1559"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Duomenų šaltinis</w:t>
            </w:r>
          </w:p>
        </w:tc>
        <w:tc>
          <w:tcPr>
            <w:tcW w:w="124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Atsiskaitymo dažnumas</w:t>
            </w:r>
          </w:p>
        </w:tc>
      </w:tr>
      <w:tr w:rsidR="00385835" w:rsidRPr="00385835" w:rsidTr="009348A3">
        <w:tblPrEx>
          <w:shd w:val="clear" w:color="auto" w:fill="auto"/>
        </w:tblPrEx>
        <w:tc>
          <w:tcPr>
            <w:tcW w:w="56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w:t>
            </w:r>
          </w:p>
        </w:tc>
        <w:tc>
          <w:tcPr>
            <w:tcW w:w="2274" w:type="dxa"/>
            <w:shd w:val="clear" w:color="auto" w:fill="auto"/>
            <w:vAlign w:val="center"/>
          </w:tcPr>
          <w:p w:rsidR="00385835" w:rsidRPr="00385835" w:rsidRDefault="00385835" w:rsidP="00385835">
            <w:pPr>
              <w:widowControl w:val="0"/>
              <w:tabs>
                <w:tab w:val="left" w:pos="622"/>
              </w:tabs>
              <w:spacing w:after="0" w:line="240" w:lineRule="auto"/>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Gyventojai, gyvenantys vietovėse, kuriose įgyvendinamos integruotos miestų plėtros strategijos</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Asmenys</w:t>
            </w:r>
          </w:p>
        </w:tc>
        <w:tc>
          <w:tcPr>
            <w:tcW w:w="85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ERPF</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Mažiau išsivystęs</w:t>
            </w:r>
          </w:p>
        </w:tc>
        <w:tc>
          <w:tcPr>
            <w:tcW w:w="992" w:type="dxa"/>
            <w:shd w:val="clear" w:color="auto" w:fill="auto"/>
            <w:vAlign w:val="center"/>
          </w:tcPr>
          <w:p w:rsidR="00385835" w:rsidRPr="00385835" w:rsidRDefault="00385835" w:rsidP="009348A3">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250</w:t>
            </w:r>
            <w:r w:rsidR="009348A3">
              <w:rPr>
                <w:rFonts w:ascii="Times New Roman" w:eastAsia="AngsanaUPC" w:hAnsi="Times New Roman"/>
                <w:bCs/>
                <w:iCs/>
                <w:sz w:val="18"/>
                <w:szCs w:val="18"/>
                <w:lang w:eastAsia="lt-LT"/>
              </w:rPr>
              <w:t>.</w:t>
            </w:r>
            <w:r w:rsidRPr="00385835">
              <w:rPr>
                <w:rFonts w:ascii="Times New Roman" w:eastAsia="AngsanaUPC" w:hAnsi="Times New Roman"/>
                <w:bCs/>
                <w:iCs/>
                <w:sz w:val="18"/>
                <w:szCs w:val="18"/>
                <w:lang w:eastAsia="lt-LT"/>
              </w:rPr>
              <w:t>000</w:t>
            </w:r>
          </w:p>
        </w:tc>
        <w:tc>
          <w:tcPr>
            <w:tcW w:w="1559"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Integruotos teritorijų vystymo programos, Lietuvos statistikos departamentas</w:t>
            </w:r>
          </w:p>
        </w:tc>
        <w:tc>
          <w:tcPr>
            <w:tcW w:w="124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385835" w:rsidRPr="00385835" w:rsidTr="009348A3">
        <w:tblPrEx>
          <w:shd w:val="clear" w:color="auto" w:fill="auto"/>
        </w:tblPrEx>
        <w:tc>
          <w:tcPr>
            <w:tcW w:w="56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w:t>
            </w:r>
          </w:p>
        </w:tc>
        <w:tc>
          <w:tcPr>
            <w:tcW w:w="2274" w:type="dxa"/>
            <w:shd w:val="clear" w:color="auto" w:fill="auto"/>
            <w:vAlign w:val="center"/>
          </w:tcPr>
          <w:p w:rsidR="00385835" w:rsidRPr="00385835" w:rsidRDefault="00385835" w:rsidP="00385835">
            <w:pPr>
              <w:widowControl w:val="0"/>
              <w:tabs>
                <w:tab w:val="left" w:pos="622"/>
              </w:tabs>
              <w:spacing w:after="0" w:line="240" w:lineRule="auto"/>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 xml:space="preserve">Sukurtos arba atnaujintos atviros erdvės miestų vietovėse </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m</w:t>
            </w:r>
            <w:r w:rsidRPr="00385835">
              <w:rPr>
                <w:rFonts w:ascii="Times New Roman" w:eastAsia="AngsanaUPC" w:hAnsi="Times New Roman"/>
                <w:bCs/>
                <w:iCs/>
                <w:sz w:val="18"/>
                <w:szCs w:val="18"/>
                <w:vertAlign w:val="superscript"/>
                <w:lang w:eastAsia="lt-LT"/>
              </w:rPr>
              <w:t>2</w:t>
            </w:r>
          </w:p>
        </w:tc>
        <w:tc>
          <w:tcPr>
            <w:tcW w:w="85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ERPF</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Mažiau išsivystęs</w:t>
            </w:r>
          </w:p>
        </w:tc>
        <w:tc>
          <w:tcPr>
            <w:tcW w:w="992" w:type="dxa"/>
            <w:shd w:val="clear" w:color="auto" w:fill="auto"/>
            <w:vAlign w:val="center"/>
          </w:tcPr>
          <w:p w:rsidR="00385835" w:rsidRPr="00385835" w:rsidRDefault="00385835" w:rsidP="009348A3">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6</w:t>
            </w:r>
            <w:r w:rsidR="009348A3">
              <w:rPr>
                <w:rFonts w:ascii="Times New Roman" w:eastAsia="AngsanaUPC" w:hAnsi="Times New Roman"/>
                <w:bCs/>
                <w:iCs/>
                <w:sz w:val="18"/>
                <w:szCs w:val="18"/>
                <w:lang w:eastAsia="lt-LT"/>
              </w:rPr>
              <w:t>.</w:t>
            </w:r>
            <w:r w:rsidRPr="00385835">
              <w:rPr>
                <w:rFonts w:ascii="Times New Roman" w:eastAsia="AngsanaUPC" w:hAnsi="Times New Roman"/>
                <w:bCs/>
                <w:iCs/>
                <w:sz w:val="18"/>
                <w:szCs w:val="18"/>
                <w:lang w:eastAsia="lt-LT"/>
              </w:rPr>
              <w:t>000</w:t>
            </w:r>
            <w:r w:rsidR="009348A3">
              <w:rPr>
                <w:rFonts w:ascii="Times New Roman" w:eastAsia="AngsanaUPC" w:hAnsi="Times New Roman"/>
                <w:bCs/>
                <w:iCs/>
                <w:sz w:val="18"/>
                <w:szCs w:val="18"/>
                <w:lang w:eastAsia="lt-LT"/>
              </w:rPr>
              <w:t>.</w:t>
            </w:r>
            <w:r w:rsidRPr="00385835">
              <w:rPr>
                <w:rFonts w:ascii="Times New Roman" w:eastAsia="AngsanaUPC" w:hAnsi="Times New Roman"/>
                <w:bCs/>
                <w:iCs/>
                <w:sz w:val="18"/>
                <w:szCs w:val="18"/>
                <w:lang w:eastAsia="lt-LT"/>
              </w:rPr>
              <w:t>000</w:t>
            </w:r>
          </w:p>
        </w:tc>
        <w:tc>
          <w:tcPr>
            <w:tcW w:w="1559"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Duomenys iš projektų</w:t>
            </w:r>
          </w:p>
        </w:tc>
        <w:tc>
          <w:tcPr>
            <w:tcW w:w="124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385835" w:rsidRPr="00385835" w:rsidTr="009348A3">
        <w:tblPrEx>
          <w:shd w:val="clear" w:color="auto" w:fill="auto"/>
        </w:tblPrEx>
        <w:tc>
          <w:tcPr>
            <w:tcW w:w="56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3.</w:t>
            </w:r>
          </w:p>
        </w:tc>
        <w:tc>
          <w:tcPr>
            <w:tcW w:w="2274" w:type="dxa"/>
            <w:shd w:val="clear" w:color="auto" w:fill="auto"/>
            <w:vAlign w:val="center"/>
          </w:tcPr>
          <w:p w:rsidR="00385835" w:rsidRPr="00385835" w:rsidRDefault="00385835" w:rsidP="00385835">
            <w:pPr>
              <w:widowControl w:val="0"/>
              <w:tabs>
                <w:tab w:val="left" w:pos="622"/>
              </w:tabs>
              <w:spacing w:after="0" w:line="240" w:lineRule="auto"/>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Pastatyti arba atnaujinti viešieji arba komerciniai pastatai miestų vietovėse</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m</w:t>
            </w:r>
            <w:r w:rsidRPr="00385835">
              <w:rPr>
                <w:rFonts w:ascii="Times New Roman" w:eastAsia="AngsanaUPC" w:hAnsi="Times New Roman"/>
                <w:bCs/>
                <w:iCs/>
                <w:sz w:val="18"/>
                <w:szCs w:val="18"/>
                <w:vertAlign w:val="superscript"/>
                <w:lang w:eastAsia="lt-LT"/>
              </w:rPr>
              <w:t>2</w:t>
            </w:r>
          </w:p>
        </w:tc>
        <w:tc>
          <w:tcPr>
            <w:tcW w:w="85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ERPF</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Mažiau išsivystęs</w:t>
            </w:r>
          </w:p>
        </w:tc>
        <w:tc>
          <w:tcPr>
            <w:tcW w:w="992" w:type="dxa"/>
            <w:shd w:val="clear" w:color="auto" w:fill="auto"/>
            <w:vAlign w:val="center"/>
          </w:tcPr>
          <w:p w:rsidR="00385835" w:rsidRPr="00385835" w:rsidRDefault="00385835" w:rsidP="009348A3">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25</w:t>
            </w:r>
            <w:r w:rsidR="009348A3">
              <w:rPr>
                <w:rFonts w:ascii="Times New Roman" w:eastAsia="AngsanaUPC" w:hAnsi="Times New Roman"/>
                <w:bCs/>
                <w:iCs/>
                <w:sz w:val="18"/>
                <w:szCs w:val="18"/>
                <w:lang w:eastAsia="lt-LT"/>
              </w:rPr>
              <w:t>.</w:t>
            </w:r>
            <w:r w:rsidRPr="00385835">
              <w:rPr>
                <w:rFonts w:ascii="Times New Roman" w:eastAsia="AngsanaUPC" w:hAnsi="Times New Roman"/>
                <w:bCs/>
                <w:iCs/>
                <w:sz w:val="18"/>
                <w:szCs w:val="18"/>
                <w:lang w:eastAsia="lt-LT"/>
              </w:rPr>
              <w:t>000</w:t>
            </w:r>
          </w:p>
        </w:tc>
        <w:tc>
          <w:tcPr>
            <w:tcW w:w="1559"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Duomenys iš projektų</w:t>
            </w:r>
          </w:p>
        </w:tc>
        <w:tc>
          <w:tcPr>
            <w:tcW w:w="124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bl>
    <w:p w:rsidR="00385835" w:rsidRPr="00385835" w:rsidRDefault="00385835" w:rsidP="00385835">
      <w:pPr>
        <w:spacing w:after="0" w:line="240" w:lineRule="auto"/>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2410"/>
        <w:gridCol w:w="7336"/>
      </w:tblGrid>
      <w:tr w:rsidR="00385835" w:rsidRPr="00385835" w:rsidTr="00385835">
        <w:tc>
          <w:tcPr>
            <w:tcW w:w="2410" w:type="dxa"/>
            <w:shd w:val="clear" w:color="auto" w:fill="EEECE1"/>
            <w:vAlign w:val="center"/>
          </w:tcPr>
          <w:p w:rsidR="00385835" w:rsidRPr="00385835" w:rsidRDefault="00385835" w:rsidP="00385835">
            <w:pPr>
              <w:widowControl w:val="0"/>
              <w:tabs>
                <w:tab w:val="left" w:pos="622"/>
              </w:tabs>
              <w:spacing w:after="0" w:line="240" w:lineRule="auto"/>
              <w:rPr>
                <w:rFonts w:ascii="Times New Roman" w:eastAsia="AngsanaUPC" w:hAnsi="Times New Roman"/>
                <w:b/>
                <w:bCs/>
                <w:iCs/>
                <w:sz w:val="24"/>
                <w:szCs w:val="24"/>
                <w:lang w:eastAsia="lt-LT"/>
              </w:rPr>
            </w:pPr>
            <w:r w:rsidRPr="00385835">
              <w:rPr>
                <w:rFonts w:ascii="Times New Roman" w:eastAsia="AngsanaUPC" w:hAnsi="Times New Roman"/>
                <w:b/>
                <w:bCs/>
                <w:iCs/>
                <w:sz w:val="24"/>
                <w:szCs w:val="24"/>
                <w:lang w:eastAsia="lt-LT"/>
              </w:rPr>
              <w:t>7.2. INVESTICINIS PRIORITETAS</w:t>
            </w:r>
          </w:p>
        </w:tc>
        <w:tc>
          <w:tcPr>
            <w:tcW w:w="7336" w:type="dxa"/>
            <w:shd w:val="clear" w:color="auto" w:fill="EEECE1"/>
            <w:vAlign w:val="center"/>
          </w:tcPr>
          <w:p w:rsidR="00385835" w:rsidRPr="00385835" w:rsidRDefault="00385835" w:rsidP="00385835">
            <w:pPr>
              <w:spacing w:after="0" w:line="240" w:lineRule="auto"/>
              <w:jc w:val="both"/>
              <w:rPr>
                <w:rFonts w:ascii="Times New Roman" w:hAnsi="Times New Roman"/>
                <w:b/>
                <w:sz w:val="24"/>
                <w:szCs w:val="24"/>
              </w:rPr>
            </w:pPr>
            <w:r w:rsidRPr="00385835">
              <w:rPr>
                <w:rFonts w:ascii="Times New Roman" w:hAnsi="Times New Roman"/>
                <w:b/>
                <w:sz w:val="24"/>
                <w:szCs w:val="24"/>
              </w:rPr>
              <w:t>Investicijos į valstybės įdarbi</w:t>
            </w:r>
            <w:r w:rsidR="00031EF1">
              <w:rPr>
                <w:rFonts w:ascii="Times New Roman" w:hAnsi="Times New Roman"/>
                <w:b/>
                <w:sz w:val="24"/>
                <w:szCs w:val="24"/>
              </w:rPr>
              <w:t>nimo tarnybų infrastruktūrą</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FONDAS</w:t>
            </w:r>
          </w:p>
        </w:tc>
        <w:tc>
          <w:tcPr>
            <w:tcW w:w="7336"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Europos regioninės plėtros fondas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tcPr>
          <w:p w:rsidR="00385835" w:rsidRPr="00385835" w:rsidRDefault="00385835" w:rsidP="00385835">
            <w:pPr>
              <w:widowControl w:val="0"/>
              <w:tabs>
                <w:tab w:val="left" w:pos="622"/>
              </w:tabs>
              <w:spacing w:after="0" w:line="240" w:lineRule="auto"/>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7.2.1. KONKRETUS UŽDAVINYS</w:t>
            </w:r>
          </w:p>
        </w:tc>
        <w:tc>
          <w:tcPr>
            <w:tcW w:w="7336" w:type="dxa"/>
            <w:shd w:val="clear" w:color="auto" w:fill="EEECE1"/>
            <w:vAlign w:val="center"/>
          </w:tcPr>
          <w:p w:rsidR="00385835" w:rsidRPr="00385835" w:rsidRDefault="00385835" w:rsidP="00385835">
            <w:pPr>
              <w:spacing w:after="0" w:line="240" w:lineRule="auto"/>
              <w:jc w:val="both"/>
              <w:rPr>
                <w:rFonts w:ascii="Times New Roman" w:hAnsi="Times New Roman"/>
                <w:b/>
                <w:sz w:val="24"/>
                <w:szCs w:val="24"/>
              </w:rPr>
            </w:pPr>
            <w:r w:rsidRPr="00385835">
              <w:rPr>
                <w:rFonts w:ascii="Times New Roman" w:hAnsi="Times New Roman"/>
                <w:b/>
                <w:sz w:val="24"/>
                <w:szCs w:val="24"/>
              </w:rPr>
              <w:t>Pagerinti darbo rinkos institucijų paslaugų kokybę ir prieinamumą</w:t>
            </w:r>
          </w:p>
        </w:tc>
      </w:tr>
      <w:tr w:rsidR="00385835" w:rsidRPr="00385835" w:rsidTr="00385835">
        <w:tc>
          <w:tcPr>
            <w:tcW w:w="9746" w:type="dxa"/>
            <w:gridSpan w:val="2"/>
            <w:shd w:val="clear" w:color="auto" w:fill="auto"/>
          </w:tcPr>
          <w:p w:rsidR="00385835" w:rsidRPr="00385835" w:rsidRDefault="00385835" w:rsidP="00385835">
            <w:pPr>
              <w:widowControl w:val="0"/>
              <w:tabs>
                <w:tab w:val="left" w:pos="0"/>
              </w:tabs>
              <w:spacing w:after="0" w:line="240" w:lineRule="auto"/>
              <w:ind w:firstLine="743"/>
              <w:jc w:val="both"/>
              <w:rPr>
                <w:rFonts w:ascii="Times New Roman" w:hAnsi="Times New Roman"/>
                <w:sz w:val="24"/>
                <w:szCs w:val="24"/>
              </w:rPr>
            </w:pPr>
            <w:r w:rsidRPr="00385835">
              <w:rPr>
                <w:rFonts w:ascii="Times New Roman" w:hAnsi="Times New Roman"/>
                <w:sz w:val="24"/>
                <w:szCs w:val="24"/>
              </w:rPr>
              <w:t xml:space="preserve">Pasinaudojus Lietuvai skirtomis ankstesnių laikotarpių </w:t>
            </w:r>
            <w:r w:rsidR="000F4AE6">
              <w:rPr>
                <w:rFonts w:ascii="Times New Roman" w:hAnsi="Times New Roman"/>
                <w:sz w:val="24"/>
                <w:szCs w:val="24"/>
              </w:rPr>
              <w:t>ES fondų</w:t>
            </w:r>
            <w:r w:rsidRPr="00385835">
              <w:rPr>
                <w:rFonts w:ascii="Times New Roman" w:hAnsi="Times New Roman"/>
                <w:sz w:val="24"/>
                <w:szCs w:val="24"/>
              </w:rPr>
              <w:t xml:space="preserve"> lėšomis</w:t>
            </w:r>
            <w:r w:rsidR="00C24EC6">
              <w:rPr>
                <w:rFonts w:ascii="Times New Roman" w:hAnsi="Times New Roman"/>
                <w:sz w:val="24"/>
                <w:szCs w:val="24"/>
              </w:rPr>
              <w:t>,</w:t>
            </w:r>
            <w:r w:rsidRPr="00385835">
              <w:rPr>
                <w:rFonts w:ascii="Times New Roman" w:hAnsi="Times New Roman"/>
                <w:sz w:val="24"/>
                <w:szCs w:val="24"/>
              </w:rPr>
              <w:t xml:space="preserve"> buvo atnaujinta ir modernizuota Lietuvos darbo biržos (LDB) infrastruktūra.</w:t>
            </w:r>
          </w:p>
          <w:p w:rsidR="00385835" w:rsidRPr="00385835" w:rsidRDefault="00385835" w:rsidP="00385835">
            <w:pPr>
              <w:widowControl w:val="0"/>
              <w:tabs>
                <w:tab w:val="left" w:pos="0"/>
              </w:tabs>
              <w:spacing w:after="0" w:line="240" w:lineRule="auto"/>
              <w:ind w:firstLine="743"/>
              <w:jc w:val="both"/>
              <w:rPr>
                <w:rFonts w:ascii="Times New Roman" w:hAnsi="Times New Roman"/>
                <w:sz w:val="24"/>
                <w:szCs w:val="24"/>
              </w:rPr>
            </w:pPr>
            <w:r w:rsidRPr="00385835">
              <w:rPr>
                <w:rFonts w:ascii="Times New Roman" w:hAnsi="Times New Roman"/>
                <w:sz w:val="24"/>
                <w:szCs w:val="24"/>
              </w:rPr>
              <w:t>Tačiau dalis LDB infrastruktūros liko neatnaujinta. Vilniaus teritorinės darbo biržos Vilniaus skyrius, kuris pagal suteikiamų paslaugų apimtis yra didžiausias teritorinių darbo biržų (TDB) struktūrinių padalinių skyrius Lietuvoje, veikia tinkamai nepritaikytuose pastatuose, kuriuose trūksta patalpų, o esamos yra labai prastos būklės. Skyriaus patalpose vidutiniškai vienam darbuotojui tenka 5–10 kv. m. darbo vietos, kabinetuose dirba po 3–4 ar daugiau darbuotojų, su kuriais tuo pačiu metu konsultuojasi dar tiek pat klientų. Vilniaus skyriuje nėra patalpų nei individualiems, konfidencialumą užtikrinantiems susitikimams su klientais, nei didesniems grupių susitikimams, nei darbuotojų poilsio pertraukoms. Patalpos nėra tinkamai pritaikytos asmenims su judėjimo negalia: dalis jų yra ir antrame aukšte, į kurį patekti galima tik laiptais. Visa tai kelia didelį diskomfortą tiek darbo biržos klientams, tiek darbuotojams</w:t>
            </w:r>
            <w:r w:rsidR="008776C6">
              <w:rPr>
                <w:rFonts w:ascii="Times New Roman" w:hAnsi="Times New Roman"/>
                <w:sz w:val="24"/>
                <w:szCs w:val="24"/>
              </w:rPr>
              <w:t>,</w:t>
            </w:r>
            <w:r w:rsidRPr="00385835">
              <w:rPr>
                <w:rFonts w:ascii="Times New Roman" w:hAnsi="Times New Roman"/>
                <w:sz w:val="24"/>
                <w:szCs w:val="24"/>
              </w:rPr>
              <w:t xml:space="preserve"> ir riboja galimybes teikti kokybiškas paslaugas darbo ieškantiems asmenims, darbdaviams ir t. t. </w:t>
            </w:r>
          </w:p>
          <w:p w:rsidR="00385835" w:rsidRPr="00385835" w:rsidRDefault="00385835" w:rsidP="00385835">
            <w:pPr>
              <w:widowControl w:val="0"/>
              <w:tabs>
                <w:tab w:val="left" w:pos="622"/>
              </w:tabs>
              <w:spacing w:after="0" w:line="240" w:lineRule="auto"/>
              <w:ind w:firstLine="720"/>
              <w:jc w:val="both"/>
              <w:rPr>
                <w:rFonts w:ascii="Times New Roman" w:hAnsi="Times New Roman"/>
                <w:sz w:val="24"/>
                <w:szCs w:val="24"/>
              </w:rPr>
            </w:pPr>
            <w:r w:rsidRPr="00385835">
              <w:rPr>
                <w:rFonts w:ascii="Times New Roman" w:hAnsi="Times New Roman"/>
                <w:sz w:val="24"/>
                <w:szCs w:val="24"/>
              </w:rPr>
              <w:t>2014–2020 m. investicijos bus nukreiptos į likusią didžiausią LDB tinklo grandį, Vilniaus TDB administraciją ir Vilniaus miesto skyrių, kurios atnaujinimas ar plėtra yra būtina</w:t>
            </w:r>
            <w:r w:rsidR="008776C6">
              <w:rPr>
                <w:rFonts w:ascii="Times New Roman" w:hAnsi="Times New Roman"/>
                <w:sz w:val="24"/>
                <w:szCs w:val="24"/>
              </w:rPr>
              <w:t>,</w:t>
            </w:r>
            <w:r w:rsidRPr="00385835">
              <w:rPr>
                <w:rFonts w:ascii="Times New Roman" w:hAnsi="Times New Roman"/>
                <w:sz w:val="24"/>
                <w:szCs w:val="24"/>
              </w:rPr>
              <w:t xml:space="preserve"> siekiant pagerinti įdarbinimo paslaugų prieinamumą, kokybę ir efektyvumą. Investicijos padės suvienodinti įdarbinimo paslaugų lygį visoje Lietuvos teritorijoje: visuose valstybės įdarbinimo tarnybos teritoriniuose skyriuose bus sukurtos tinkamos sąlygos paslaugų teikimui, sudarant galimybes plėtoti individualizuotas paslaugas. Šio konkretaus uždavinio infrastruktūrinės investicijos bus derinamos su ESF investicijomis pagal 7.3.1 bei 7.3.2 konkrečius uždavinius.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1134"/>
        <w:gridCol w:w="1134"/>
        <w:gridCol w:w="992"/>
        <w:gridCol w:w="992"/>
        <w:gridCol w:w="993"/>
        <w:gridCol w:w="1134"/>
        <w:gridCol w:w="1382"/>
      </w:tblGrid>
      <w:tr w:rsidR="00385835" w:rsidRPr="00385835" w:rsidTr="00463952">
        <w:trPr>
          <w:tblHeader/>
        </w:trPr>
        <w:tc>
          <w:tcPr>
            <w:tcW w:w="9746" w:type="dxa"/>
            <w:gridSpan w:val="9"/>
            <w:tcBorders>
              <w:top w:val="single" w:sz="4" w:space="0" w:color="auto"/>
              <w:left w:val="single" w:sz="4" w:space="0" w:color="auto"/>
              <w:bottom w:val="single" w:sz="4" w:space="0" w:color="auto"/>
              <w:right w:val="single" w:sz="4" w:space="0" w:color="auto"/>
            </w:tcBorders>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i/>
                <w:iCs/>
                <w:sz w:val="24"/>
                <w:szCs w:val="24"/>
                <w:lang w:eastAsia="lt-LT"/>
              </w:rPr>
            </w:pPr>
            <w:r w:rsidRPr="00385835">
              <w:rPr>
                <w:rFonts w:ascii="Times New Roman" w:eastAsia="AngsanaUPC" w:hAnsi="Times New Roman"/>
                <w:b/>
                <w:bCs/>
                <w:i/>
                <w:iCs/>
                <w:sz w:val="24"/>
                <w:szCs w:val="24"/>
                <w:lang w:eastAsia="lt-LT"/>
              </w:rPr>
              <w:t xml:space="preserve">ERPF </w:t>
            </w:r>
            <w:r w:rsidR="00B1109C">
              <w:rPr>
                <w:rFonts w:ascii="Times New Roman" w:eastAsia="AngsanaUPC" w:hAnsi="Times New Roman"/>
                <w:b/>
                <w:bCs/>
                <w:i/>
                <w:iCs/>
                <w:sz w:val="24"/>
                <w:szCs w:val="24"/>
                <w:lang w:eastAsia="lt-LT"/>
              </w:rPr>
              <w:t xml:space="preserve">specialieji </w:t>
            </w:r>
            <w:r w:rsidRPr="00385835">
              <w:rPr>
                <w:rFonts w:ascii="Times New Roman" w:eastAsia="AngsanaUPC" w:hAnsi="Times New Roman"/>
                <w:b/>
                <w:bCs/>
                <w:i/>
                <w:iCs/>
                <w:sz w:val="24"/>
                <w:szCs w:val="24"/>
                <w:lang w:eastAsia="lt-LT"/>
              </w:rPr>
              <w:t>programos rezultato rodikliai</w:t>
            </w:r>
          </w:p>
        </w:tc>
      </w:tr>
      <w:tr w:rsidR="00385835" w:rsidRPr="00385835" w:rsidTr="00463952">
        <w:trPr>
          <w:cantSplit/>
          <w:trHeight w:val="786"/>
          <w:tblHeader/>
        </w:trPr>
        <w:tc>
          <w:tcPr>
            <w:tcW w:w="567"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20"/>
                <w:szCs w:val="20"/>
                <w:lang w:eastAsia="lt-LT"/>
              </w:rPr>
            </w:pPr>
            <w:r w:rsidRPr="00385835">
              <w:rPr>
                <w:rFonts w:ascii="Times New Roman" w:eastAsia="AngsanaUPC" w:hAnsi="Times New Roman"/>
                <w:b/>
                <w:bCs/>
                <w:iCs/>
                <w:sz w:val="20"/>
                <w:szCs w:val="20"/>
                <w:lang w:eastAsia="lt-LT"/>
              </w:rPr>
              <w:t>Nr.</w:t>
            </w:r>
          </w:p>
        </w:tc>
        <w:tc>
          <w:tcPr>
            <w:tcW w:w="1418"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20"/>
                <w:szCs w:val="20"/>
                <w:lang w:eastAsia="lt-LT"/>
              </w:rPr>
            </w:pPr>
            <w:r w:rsidRPr="00385835">
              <w:rPr>
                <w:rFonts w:ascii="Times New Roman" w:eastAsia="AngsanaUPC" w:hAnsi="Times New Roman"/>
                <w:b/>
                <w:bCs/>
                <w:iCs/>
                <w:sz w:val="20"/>
                <w:szCs w:val="20"/>
                <w:lang w:eastAsia="lt-LT"/>
              </w:rPr>
              <w:t>Rodiklio pavadinimas</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20"/>
                <w:szCs w:val="20"/>
                <w:lang w:eastAsia="lt-LT"/>
              </w:rPr>
            </w:pPr>
            <w:r w:rsidRPr="00385835">
              <w:rPr>
                <w:rFonts w:ascii="Times New Roman" w:eastAsia="AngsanaUPC" w:hAnsi="Times New Roman"/>
                <w:b/>
                <w:bCs/>
                <w:iCs/>
                <w:sz w:val="20"/>
                <w:szCs w:val="20"/>
                <w:lang w:eastAsia="lt-LT"/>
              </w:rPr>
              <w:t>Matavimo vienetas</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20"/>
                <w:szCs w:val="20"/>
                <w:lang w:eastAsia="lt-LT"/>
              </w:rPr>
            </w:pPr>
            <w:r w:rsidRPr="00385835">
              <w:rPr>
                <w:rFonts w:ascii="Times New Roman" w:eastAsia="AngsanaUPC" w:hAnsi="Times New Roman"/>
                <w:b/>
                <w:bCs/>
                <w:iCs/>
                <w:sz w:val="20"/>
                <w:szCs w:val="20"/>
                <w:lang w:eastAsia="lt-LT"/>
              </w:rPr>
              <w:t>Regiono kategorija</w:t>
            </w:r>
          </w:p>
        </w:tc>
        <w:tc>
          <w:tcPr>
            <w:tcW w:w="992"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20"/>
                <w:szCs w:val="20"/>
                <w:lang w:eastAsia="lt-LT"/>
              </w:rPr>
            </w:pPr>
            <w:r w:rsidRPr="00385835">
              <w:rPr>
                <w:rFonts w:ascii="Times New Roman" w:eastAsia="AngsanaUPC" w:hAnsi="Times New Roman"/>
                <w:b/>
                <w:bCs/>
                <w:iCs/>
                <w:sz w:val="20"/>
                <w:szCs w:val="20"/>
                <w:lang w:eastAsia="lt-LT"/>
              </w:rPr>
              <w:t>Pradinė reikšmė</w:t>
            </w:r>
          </w:p>
        </w:tc>
        <w:tc>
          <w:tcPr>
            <w:tcW w:w="992"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20"/>
                <w:szCs w:val="20"/>
                <w:lang w:eastAsia="lt-LT"/>
              </w:rPr>
            </w:pPr>
            <w:r w:rsidRPr="00385835">
              <w:rPr>
                <w:rFonts w:ascii="Times New Roman" w:eastAsia="AngsanaUPC" w:hAnsi="Times New Roman"/>
                <w:b/>
                <w:bCs/>
                <w:iCs/>
                <w:sz w:val="20"/>
                <w:szCs w:val="20"/>
                <w:lang w:eastAsia="lt-LT"/>
              </w:rPr>
              <w:t>Pradinės reikšmės metai</w:t>
            </w:r>
          </w:p>
        </w:tc>
        <w:tc>
          <w:tcPr>
            <w:tcW w:w="993"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20"/>
                <w:szCs w:val="20"/>
                <w:lang w:eastAsia="lt-LT"/>
              </w:rPr>
            </w:pPr>
            <w:r w:rsidRPr="00385835">
              <w:rPr>
                <w:rFonts w:ascii="Times New Roman" w:eastAsia="AngsanaUPC" w:hAnsi="Times New Roman"/>
                <w:b/>
                <w:bCs/>
                <w:iCs/>
                <w:sz w:val="20"/>
                <w:szCs w:val="20"/>
                <w:lang w:eastAsia="lt-LT"/>
              </w:rPr>
              <w:t>Siektina reikšmė (2023)</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20"/>
                <w:szCs w:val="20"/>
                <w:lang w:eastAsia="lt-LT"/>
              </w:rPr>
            </w:pPr>
            <w:r w:rsidRPr="00385835">
              <w:rPr>
                <w:rFonts w:ascii="Times New Roman" w:eastAsia="AngsanaUPC" w:hAnsi="Times New Roman"/>
                <w:b/>
                <w:bCs/>
                <w:iCs/>
                <w:sz w:val="20"/>
                <w:szCs w:val="20"/>
                <w:lang w:eastAsia="lt-LT"/>
              </w:rPr>
              <w:t>Duomenų šaltinis</w:t>
            </w:r>
          </w:p>
        </w:tc>
        <w:tc>
          <w:tcPr>
            <w:tcW w:w="1382"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20"/>
                <w:szCs w:val="20"/>
                <w:lang w:eastAsia="lt-LT"/>
              </w:rPr>
            </w:pPr>
            <w:r w:rsidRPr="00385835">
              <w:rPr>
                <w:rFonts w:ascii="Times New Roman" w:eastAsia="AngsanaUPC" w:hAnsi="Times New Roman"/>
                <w:b/>
                <w:bCs/>
                <w:iCs/>
                <w:sz w:val="20"/>
                <w:szCs w:val="20"/>
                <w:lang w:eastAsia="lt-LT"/>
              </w:rPr>
              <w:t>Atsiskaitymo dažnumas</w:t>
            </w:r>
          </w:p>
        </w:tc>
      </w:tr>
      <w:tr w:rsidR="00385835" w:rsidRPr="00385835" w:rsidTr="00385835">
        <w:tc>
          <w:tcPr>
            <w:tcW w:w="56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w:t>
            </w:r>
          </w:p>
        </w:tc>
        <w:tc>
          <w:tcPr>
            <w:tcW w:w="1418" w:type="dxa"/>
            <w:shd w:val="clear" w:color="auto" w:fill="auto"/>
            <w:vAlign w:val="center"/>
          </w:tcPr>
          <w:p w:rsidR="00385835" w:rsidRPr="00385835" w:rsidRDefault="00385835" w:rsidP="00385835">
            <w:pPr>
              <w:spacing w:after="0" w:line="240" w:lineRule="auto"/>
              <w:rPr>
                <w:rFonts w:ascii="Times New Roman" w:eastAsia="Times New Roman" w:hAnsi="Times New Roman"/>
                <w:bCs/>
                <w:sz w:val="18"/>
                <w:szCs w:val="18"/>
              </w:rPr>
            </w:pPr>
            <w:r w:rsidRPr="00385835">
              <w:rPr>
                <w:rFonts w:ascii="Times New Roman" w:eastAsia="Times New Roman" w:hAnsi="Times New Roman"/>
                <w:bCs/>
                <w:sz w:val="18"/>
                <w:szCs w:val="18"/>
              </w:rPr>
              <w:t xml:space="preserve">Pasitenkinimas </w:t>
            </w:r>
            <w:r w:rsidRPr="00385835">
              <w:rPr>
                <w:rFonts w:ascii="Times New Roman" w:eastAsia="Times New Roman" w:hAnsi="Times New Roman"/>
                <w:bCs/>
                <w:sz w:val="18"/>
                <w:szCs w:val="18"/>
              </w:rPr>
              <w:lastRenderedPageBreak/>
              <w:t>Vilniaus teritorinės darbo biržos teikiamų paslaugų kokybe ir sąlygomis</w:t>
            </w:r>
          </w:p>
        </w:tc>
        <w:tc>
          <w:tcPr>
            <w:tcW w:w="1134" w:type="dxa"/>
            <w:shd w:val="clear" w:color="auto" w:fill="auto"/>
            <w:vAlign w:val="center"/>
          </w:tcPr>
          <w:p w:rsidR="00385835" w:rsidRPr="00385835" w:rsidRDefault="00385835" w:rsidP="00385835">
            <w:pPr>
              <w:spacing w:after="0" w:line="240" w:lineRule="auto"/>
              <w:jc w:val="center"/>
              <w:rPr>
                <w:rFonts w:ascii="Times New Roman" w:hAnsi="Times New Roman"/>
                <w:bCs/>
                <w:sz w:val="18"/>
                <w:szCs w:val="18"/>
              </w:rPr>
            </w:pPr>
            <w:r w:rsidRPr="00385835">
              <w:rPr>
                <w:rFonts w:ascii="Times New Roman" w:hAnsi="Times New Roman"/>
                <w:bCs/>
                <w:sz w:val="18"/>
                <w:szCs w:val="18"/>
              </w:rPr>
              <w:lastRenderedPageBreak/>
              <w:t>Proc.</w:t>
            </w:r>
          </w:p>
        </w:tc>
        <w:tc>
          <w:tcPr>
            <w:tcW w:w="1134" w:type="dxa"/>
            <w:shd w:val="clear" w:color="auto" w:fill="auto"/>
            <w:vAlign w:val="center"/>
          </w:tcPr>
          <w:p w:rsidR="00385835" w:rsidRPr="00385835" w:rsidRDefault="00385835" w:rsidP="00385835">
            <w:pPr>
              <w:spacing w:after="0" w:line="240" w:lineRule="auto"/>
              <w:jc w:val="center"/>
              <w:rPr>
                <w:rFonts w:ascii="Times New Roman" w:hAnsi="Times New Roman"/>
                <w:bCs/>
                <w:sz w:val="18"/>
                <w:szCs w:val="18"/>
              </w:rPr>
            </w:pPr>
            <w:r w:rsidRPr="00385835">
              <w:rPr>
                <w:rFonts w:ascii="Times New Roman" w:hAnsi="Times New Roman"/>
                <w:bCs/>
                <w:sz w:val="18"/>
                <w:szCs w:val="18"/>
              </w:rPr>
              <w:t xml:space="preserve">Mažiau </w:t>
            </w:r>
            <w:r w:rsidRPr="00385835">
              <w:rPr>
                <w:rFonts w:ascii="Times New Roman" w:hAnsi="Times New Roman"/>
                <w:bCs/>
                <w:sz w:val="18"/>
                <w:szCs w:val="18"/>
              </w:rPr>
              <w:lastRenderedPageBreak/>
              <w:t>išsivystęs</w:t>
            </w:r>
          </w:p>
        </w:tc>
        <w:tc>
          <w:tcPr>
            <w:tcW w:w="992" w:type="dxa"/>
            <w:shd w:val="clear" w:color="auto" w:fill="auto"/>
            <w:vAlign w:val="center"/>
          </w:tcPr>
          <w:p w:rsidR="00385835" w:rsidRPr="00385835" w:rsidRDefault="00385835" w:rsidP="00385835">
            <w:pPr>
              <w:spacing w:after="0" w:line="240" w:lineRule="auto"/>
              <w:jc w:val="center"/>
              <w:rPr>
                <w:rFonts w:ascii="Times New Roman" w:hAnsi="Times New Roman"/>
                <w:bCs/>
                <w:sz w:val="18"/>
                <w:szCs w:val="18"/>
              </w:rPr>
            </w:pPr>
            <w:r w:rsidRPr="00385835">
              <w:rPr>
                <w:rFonts w:ascii="Times New Roman" w:hAnsi="Times New Roman"/>
                <w:bCs/>
                <w:sz w:val="18"/>
                <w:szCs w:val="18"/>
              </w:rPr>
              <w:lastRenderedPageBreak/>
              <w:t>78,17</w:t>
            </w:r>
          </w:p>
        </w:tc>
        <w:tc>
          <w:tcPr>
            <w:tcW w:w="992" w:type="dxa"/>
            <w:shd w:val="clear" w:color="auto" w:fill="auto"/>
            <w:vAlign w:val="center"/>
          </w:tcPr>
          <w:p w:rsidR="00385835" w:rsidRPr="00385835" w:rsidRDefault="00385835" w:rsidP="00385835">
            <w:pPr>
              <w:spacing w:after="0" w:line="240" w:lineRule="auto"/>
              <w:jc w:val="center"/>
              <w:rPr>
                <w:rFonts w:ascii="Times New Roman" w:hAnsi="Times New Roman"/>
                <w:bCs/>
                <w:sz w:val="18"/>
                <w:szCs w:val="18"/>
              </w:rPr>
            </w:pPr>
            <w:r w:rsidRPr="00385835">
              <w:rPr>
                <w:rFonts w:ascii="Times New Roman" w:hAnsi="Times New Roman"/>
                <w:bCs/>
                <w:sz w:val="18"/>
                <w:szCs w:val="18"/>
              </w:rPr>
              <w:t>2013</w:t>
            </w:r>
          </w:p>
        </w:tc>
        <w:tc>
          <w:tcPr>
            <w:tcW w:w="993" w:type="dxa"/>
            <w:shd w:val="clear" w:color="auto" w:fill="auto"/>
            <w:vAlign w:val="center"/>
          </w:tcPr>
          <w:p w:rsidR="00385835" w:rsidRPr="00385835" w:rsidRDefault="00385835" w:rsidP="00385835">
            <w:pPr>
              <w:spacing w:after="0" w:line="240" w:lineRule="auto"/>
              <w:jc w:val="center"/>
              <w:rPr>
                <w:rFonts w:ascii="Times New Roman" w:hAnsi="Times New Roman"/>
                <w:bCs/>
                <w:sz w:val="18"/>
                <w:szCs w:val="18"/>
              </w:rPr>
            </w:pPr>
            <w:r w:rsidRPr="00385835">
              <w:rPr>
                <w:rFonts w:ascii="Times New Roman" w:hAnsi="Times New Roman"/>
                <w:bCs/>
                <w:sz w:val="18"/>
                <w:szCs w:val="18"/>
              </w:rPr>
              <w:t>84,80</w:t>
            </w:r>
          </w:p>
        </w:tc>
        <w:tc>
          <w:tcPr>
            <w:tcW w:w="1134" w:type="dxa"/>
            <w:shd w:val="clear" w:color="auto" w:fill="auto"/>
            <w:vAlign w:val="center"/>
          </w:tcPr>
          <w:p w:rsidR="00385835" w:rsidRPr="00385835" w:rsidRDefault="00385835" w:rsidP="00385835">
            <w:pPr>
              <w:spacing w:after="0" w:line="240" w:lineRule="auto"/>
              <w:jc w:val="center"/>
              <w:rPr>
                <w:rFonts w:ascii="Times New Roman" w:hAnsi="Times New Roman"/>
                <w:bCs/>
                <w:sz w:val="18"/>
                <w:szCs w:val="18"/>
              </w:rPr>
            </w:pPr>
            <w:r w:rsidRPr="00385835">
              <w:rPr>
                <w:rFonts w:ascii="Times New Roman" w:hAnsi="Times New Roman"/>
                <w:bCs/>
                <w:sz w:val="18"/>
                <w:szCs w:val="18"/>
              </w:rPr>
              <w:t xml:space="preserve">Lietuvos </w:t>
            </w:r>
            <w:r w:rsidRPr="00385835">
              <w:rPr>
                <w:rFonts w:ascii="Times New Roman" w:hAnsi="Times New Roman"/>
                <w:bCs/>
                <w:sz w:val="18"/>
                <w:szCs w:val="18"/>
              </w:rPr>
              <w:lastRenderedPageBreak/>
              <w:t>darbo birža</w:t>
            </w:r>
          </w:p>
        </w:tc>
        <w:tc>
          <w:tcPr>
            <w:tcW w:w="1382"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lastRenderedPageBreak/>
              <w:t xml:space="preserve">Kartą per </w:t>
            </w:r>
            <w:proofErr w:type="gramStart"/>
            <w:r w:rsidRPr="00385835">
              <w:rPr>
                <w:rFonts w:ascii="Times New Roman" w:eastAsia="AngsanaUPC" w:hAnsi="Times New Roman"/>
                <w:bCs/>
                <w:iCs/>
                <w:sz w:val="18"/>
                <w:szCs w:val="18"/>
                <w:lang w:eastAsia="lt-LT"/>
              </w:rPr>
              <w:t>du</w:t>
            </w:r>
            <w:proofErr w:type="gramEnd"/>
            <w:r w:rsidRPr="00385835">
              <w:rPr>
                <w:rFonts w:ascii="Times New Roman" w:eastAsia="AngsanaUPC" w:hAnsi="Times New Roman"/>
                <w:bCs/>
                <w:iCs/>
                <w:sz w:val="18"/>
                <w:szCs w:val="18"/>
                <w:lang w:eastAsia="lt-LT"/>
              </w:rPr>
              <w:t xml:space="preserve"> </w:t>
            </w:r>
            <w:r w:rsidRPr="00385835">
              <w:rPr>
                <w:rFonts w:ascii="Times New Roman" w:eastAsia="AngsanaUPC" w:hAnsi="Times New Roman"/>
                <w:bCs/>
                <w:iCs/>
                <w:sz w:val="18"/>
                <w:szCs w:val="18"/>
                <w:lang w:eastAsia="lt-LT"/>
              </w:rPr>
              <w:lastRenderedPageBreak/>
              <w:t>metus</w:t>
            </w:r>
          </w:p>
        </w:tc>
      </w:tr>
    </w:tbl>
    <w:p w:rsidR="00385835" w:rsidRPr="00385835" w:rsidRDefault="00385835" w:rsidP="00385835">
      <w:pPr>
        <w:spacing w:after="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385835" w:rsidRPr="00385835" w:rsidTr="00385835">
        <w:tc>
          <w:tcPr>
            <w:tcW w:w="9746" w:type="dxa"/>
            <w:tcBorders>
              <w:top w:val="single" w:sz="4" w:space="0" w:color="auto"/>
              <w:left w:val="single" w:sz="4" w:space="0" w:color="auto"/>
              <w:bottom w:val="single" w:sz="4" w:space="0" w:color="auto"/>
              <w:right w:val="single" w:sz="4" w:space="0" w:color="auto"/>
            </w:tcBorders>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Cs/>
                <w:iCs/>
                <w:sz w:val="24"/>
                <w:szCs w:val="24"/>
                <w:lang w:eastAsia="lt-LT"/>
              </w:rPr>
            </w:pPr>
            <w:r w:rsidRPr="00385835">
              <w:rPr>
                <w:rFonts w:ascii="Times New Roman" w:eastAsia="AngsanaUPC" w:hAnsi="Times New Roman"/>
                <w:b/>
                <w:bCs/>
                <w:i/>
                <w:iCs/>
                <w:sz w:val="24"/>
                <w:szCs w:val="24"/>
                <w:lang w:eastAsia="lt-LT"/>
              </w:rPr>
              <w:t>7.2. Investicinio prioriteto įgyvendinimo veiklos</w:t>
            </w:r>
          </w:p>
        </w:tc>
      </w:tr>
      <w:tr w:rsidR="00385835" w:rsidRPr="00385835" w:rsidTr="00385835">
        <w:tc>
          <w:tcPr>
            <w:tcW w:w="9746" w:type="dxa"/>
            <w:shd w:val="clear" w:color="auto" w:fill="auto"/>
          </w:tcPr>
          <w:p w:rsidR="00385835" w:rsidRPr="00385835" w:rsidRDefault="00385835" w:rsidP="00650E41">
            <w:pPr>
              <w:widowControl w:val="0"/>
              <w:numPr>
                <w:ilvl w:val="0"/>
                <w:numId w:val="25"/>
              </w:numPr>
              <w:tabs>
                <w:tab w:val="left" w:pos="0"/>
                <w:tab w:val="left" w:pos="459"/>
                <w:tab w:val="left" w:pos="1665"/>
              </w:tabs>
              <w:spacing w:after="0" w:line="240" w:lineRule="auto"/>
              <w:ind w:left="34" w:firstLine="0"/>
              <w:jc w:val="both"/>
              <w:rPr>
                <w:rFonts w:ascii="Times New Roman" w:eastAsia="AngsanaUPC" w:hAnsi="Times New Roman"/>
                <w:bCs/>
                <w:iCs/>
                <w:sz w:val="24"/>
                <w:szCs w:val="24"/>
                <w:lang w:eastAsia="lt-LT"/>
              </w:rPr>
            </w:pPr>
            <w:r w:rsidRPr="00385835">
              <w:rPr>
                <w:rFonts w:ascii="Times New Roman" w:hAnsi="Times New Roman"/>
                <w:sz w:val="24"/>
                <w:szCs w:val="24"/>
              </w:rPr>
              <w:t>Vilniaus teritorinės darbo biržos administracinių patalpų bei Vilniaus miesto skyriaus infrastruktūros kokybės ir prieinamumo gerinimas.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4"/>
        <w:gridCol w:w="1134"/>
        <w:gridCol w:w="850"/>
        <w:gridCol w:w="1134"/>
        <w:gridCol w:w="992"/>
        <w:gridCol w:w="1134"/>
        <w:gridCol w:w="1241"/>
      </w:tblGrid>
      <w:tr w:rsidR="00385835" w:rsidRPr="00385835" w:rsidTr="00385835">
        <w:tc>
          <w:tcPr>
            <w:tcW w:w="9746" w:type="dxa"/>
            <w:gridSpan w:val="8"/>
            <w:shd w:val="clear" w:color="auto" w:fill="EEECE1"/>
            <w:vAlign w:val="center"/>
          </w:tcPr>
          <w:p w:rsidR="00385835" w:rsidRPr="00385835" w:rsidRDefault="00385835" w:rsidP="00385835">
            <w:pPr>
              <w:widowControl w:val="0"/>
              <w:tabs>
                <w:tab w:val="left" w:pos="622"/>
              </w:tabs>
              <w:spacing w:after="0" w:line="240" w:lineRule="auto"/>
              <w:rPr>
                <w:rFonts w:ascii="Times New Roman" w:eastAsia="AngsanaUPC" w:hAnsi="Times New Roman"/>
                <w:b/>
                <w:bCs/>
                <w:iCs/>
                <w:sz w:val="20"/>
                <w:szCs w:val="20"/>
                <w:lang w:eastAsia="lt-LT"/>
              </w:rPr>
            </w:pPr>
            <w:r w:rsidRPr="00385835">
              <w:rPr>
                <w:rFonts w:ascii="Times New Roman" w:eastAsia="AngsanaUPC" w:hAnsi="Times New Roman"/>
                <w:b/>
                <w:bCs/>
                <w:i/>
                <w:iCs/>
                <w:sz w:val="24"/>
                <w:szCs w:val="24"/>
                <w:lang w:eastAsia="lt-LT"/>
              </w:rPr>
              <w:t xml:space="preserve">ERPF bendrieji ir </w:t>
            </w:r>
            <w:r w:rsidR="00B1109C">
              <w:rPr>
                <w:rFonts w:ascii="Times New Roman" w:eastAsia="AngsanaUPC" w:hAnsi="Times New Roman"/>
                <w:b/>
                <w:bCs/>
                <w:i/>
                <w:iCs/>
                <w:sz w:val="24"/>
                <w:szCs w:val="24"/>
                <w:lang w:eastAsia="lt-LT"/>
              </w:rPr>
              <w:t xml:space="preserve">specialieji </w:t>
            </w:r>
            <w:r w:rsidRPr="00385835">
              <w:rPr>
                <w:rFonts w:ascii="Times New Roman" w:eastAsia="AngsanaUPC" w:hAnsi="Times New Roman"/>
                <w:b/>
                <w:bCs/>
                <w:i/>
                <w:iCs/>
                <w:sz w:val="24"/>
                <w:szCs w:val="24"/>
                <w:lang w:eastAsia="lt-LT"/>
              </w:rPr>
              <w:t>programos produkto rodikliai</w:t>
            </w:r>
          </w:p>
        </w:tc>
      </w:tr>
      <w:tr w:rsidR="00385835" w:rsidRPr="00385835" w:rsidTr="00385835">
        <w:tc>
          <w:tcPr>
            <w:tcW w:w="567"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Nr.</w:t>
            </w:r>
          </w:p>
        </w:tc>
        <w:tc>
          <w:tcPr>
            <w:tcW w:w="269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Rodiklio pavadinimas</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Matavimo vienetas</w:t>
            </w:r>
          </w:p>
        </w:tc>
        <w:tc>
          <w:tcPr>
            <w:tcW w:w="850"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Fondas</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Regiono kategorija</w:t>
            </w:r>
          </w:p>
        </w:tc>
        <w:tc>
          <w:tcPr>
            <w:tcW w:w="992"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Siektina reikšmė (2023)</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Duomenų šaltinis</w:t>
            </w:r>
          </w:p>
        </w:tc>
        <w:tc>
          <w:tcPr>
            <w:tcW w:w="124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Atsiskaitymo dažnumas</w:t>
            </w:r>
          </w:p>
        </w:tc>
      </w:tr>
      <w:tr w:rsidR="00385835" w:rsidRPr="00385835" w:rsidTr="00385835">
        <w:tc>
          <w:tcPr>
            <w:tcW w:w="56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w:t>
            </w:r>
          </w:p>
        </w:tc>
        <w:tc>
          <w:tcPr>
            <w:tcW w:w="2694" w:type="dxa"/>
            <w:shd w:val="clear" w:color="auto" w:fill="auto"/>
            <w:vAlign w:val="center"/>
          </w:tcPr>
          <w:p w:rsidR="00385835" w:rsidRPr="00385835" w:rsidRDefault="00385835" w:rsidP="00385835">
            <w:pPr>
              <w:widowControl w:val="0"/>
              <w:tabs>
                <w:tab w:val="left" w:pos="622"/>
              </w:tabs>
              <w:spacing w:after="0" w:line="240" w:lineRule="auto"/>
              <w:rPr>
                <w:rFonts w:ascii="Times New Roman" w:eastAsia="AngsanaUPC" w:hAnsi="Times New Roman"/>
                <w:bCs/>
                <w:iCs/>
                <w:sz w:val="18"/>
                <w:szCs w:val="18"/>
                <w:lang w:eastAsia="lt-LT"/>
              </w:rPr>
            </w:pPr>
            <w:r w:rsidRPr="00385835">
              <w:rPr>
                <w:rFonts w:ascii="Times New Roman" w:hAnsi="Times New Roman"/>
                <w:sz w:val="18"/>
                <w:szCs w:val="18"/>
              </w:rPr>
              <w:t>Investicijas gavęs infrastruktūros objektas</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Skaičius</w:t>
            </w:r>
          </w:p>
        </w:tc>
        <w:tc>
          <w:tcPr>
            <w:tcW w:w="850"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ERPF</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Mažiau išsivystęs</w:t>
            </w:r>
          </w:p>
        </w:tc>
        <w:tc>
          <w:tcPr>
            <w:tcW w:w="992"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hAnsi="Times New Roman"/>
                <w:sz w:val="18"/>
                <w:szCs w:val="18"/>
              </w:rPr>
              <w:t>Duomenys iš projekto</w:t>
            </w:r>
          </w:p>
        </w:tc>
        <w:tc>
          <w:tcPr>
            <w:tcW w:w="124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vAlign w:val="center"/>
          </w:tcPr>
          <w:p w:rsidR="00385835" w:rsidRPr="00385835" w:rsidRDefault="00385835" w:rsidP="00385835">
            <w:pPr>
              <w:widowControl w:val="0"/>
              <w:tabs>
                <w:tab w:val="left" w:pos="622"/>
              </w:tabs>
              <w:spacing w:after="0" w:line="240" w:lineRule="auto"/>
              <w:rPr>
                <w:rFonts w:ascii="Times New Roman" w:eastAsia="AngsanaUPC" w:hAnsi="Times New Roman"/>
                <w:b/>
                <w:bCs/>
                <w:iCs/>
                <w:sz w:val="24"/>
                <w:szCs w:val="24"/>
                <w:lang w:eastAsia="lt-LT"/>
              </w:rPr>
            </w:pPr>
            <w:r w:rsidRPr="00385835">
              <w:rPr>
                <w:rFonts w:ascii="Times New Roman" w:eastAsia="AngsanaUPC" w:hAnsi="Times New Roman"/>
                <w:b/>
                <w:bCs/>
                <w:iCs/>
                <w:sz w:val="24"/>
                <w:szCs w:val="24"/>
                <w:lang w:eastAsia="lt-LT"/>
              </w:rPr>
              <w:t>7.3. INVESTICINIS PRIORITETAS</w:t>
            </w:r>
          </w:p>
        </w:tc>
        <w:tc>
          <w:tcPr>
            <w:tcW w:w="7336" w:type="dxa"/>
            <w:shd w:val="clear" w:color="auto" w:fill="EEECE1"/>
            <w:vAlign w:val="center"/>
          </w:tcPr>
          <w:p w:rsidR="00385835" w:rsidRPr="00385835" w:rsidRDefault="00385835" w:rsidP="00385835">
            <w:pPr>
              <w:spacing w:after="0" w:line="240" w:lineRule="auto"/>
              <w:jc w:val="both"/>
              <w:rPr>
                <w:rFonts w:ascii="Times New Roman" w:hAnsi="Times New Roman"/>
                <w:b/>
                <w:sz w:val="24"/>
                <w:szCs w:val="24"/>
              </w:rPr>
            </w:pPr>
            <w:r w:rsidRPr="00385835">
              <w:rPr>
                <w:rFonts w:ascii="Times New Roman" w:hAnsi="Times New Roman"/>
                <w:b/>
                <w:sz w:val="24"/>
                <w:szCs w:val="24"/>
              </w:rPr>
              <w:t>Galimybės gauti darbą suteikimas ieškantiems darbo ir neaktyviems asmenims, įskaitant ilgalaikius bedarbius ir asmenis, nutolusius nuo darbo rinkos, pasitelkiant vietos užimtumo iniciatyvas ir</w:t>
            </w:r>
            <w:r w:rsidR="00031EF1">
              <w:rPr>
                <w:rFonts w:ascii="Times New Roman" w:hAnsi="Times New Roman"/>
                <w:b/>
                <w:sz w:val="24"/>
                <w:szCs w:val="24"/>
              </w:rPr>
              <w:t xml:space="preserve"> remiant darbo jėgos judumą</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FONDAS</w:t>
            </w:r>
          </w:p>
        </w:tc>
        <w:tc>
          <w:tcPr>
            <w:tcW w:w="7336"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Europos socialinis fondas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tcPr>
          <w:p w:rsidR="00385835" w:rsidRPr="00385835" w:rsidRDefault="00385835" w:rsidP="00385835">
            <w:pPr>
              <w:widowControl w:val="0"/>
              <w:tabs>
                <w:tab w:val="left" w:pos="622"/>
              </w:tabs>
              <w:spacing w:after="0" w:line="240" w:lineRule="auto"/>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7.3.1. KONKRETUS UŽDAVINYS</w:t>
            </w:r>
          </w:p>
        </w:tc>
        <w:tc>
          <w:tcPr>
            <w:tcW w:w="7336" w:type="dxa"/>
            <w:shd w:val="clear" w:color="auto" w:fill="EEECE1"/>
            <w:vAlign w:val="center"/>
          </w:tcPr>
          <w:p w:rsidR="00385835" w:rsidRPr="00385835" w:rsidRDefault="00385835" w:rsidP="00385835">
            <w:pPr>
              <w:spacing w:after="0" w:line="240" w:lineRule="auto"/>
              <w:rPr>
                <w:rFonts w:ascii="Times New Roman" w:hAnsi="Times New Roman"/>
                <w:b/>
                <w:sz w:val="24"/>
                <w:szCs w:val="24"/>
              </w:rPr>
            </w:pPr>
            <w:r w:rsidRPr="00385835">
              <w:rPr>
                <w:rFonts w:ascii="Times New Roman" w:hAnsi="Times New Roman"/>
                <w:b/>
                <w:sz w:val="24"/>
                <w:szCs w:val="24"/>
              </w:rPr>
              <w:t>Padidinti gyventojų, ypač ilgalaikių ir nekvalifikuotų bedarbių bei neįgaliųjų, užimtumą</w:t>
            </w:r>
          </w:p>
        </w:tc>
      </w:tr>
      <w:tr w:rsidR="00385835" w:rsidRPr="00385835" w:rsidTr="00385835">
        <w:tc>
          <w:tcPr>
            <w:tcW w:w="9746" w:type="dxa"/>
            <w:gridSpan w:val="2"/>
            <w:shd w:val="clear" w:color="auto" w:fill="auto"/>
          </w:tcPr>
          <w:p w:rsidR="00EF7802" w:rsidRPr="00FC6264" w:rsidRDefault="00385835" w:rsidP="00EF7802">
            <w:pPr>
              <w:widowControl w:val="0"/>
              <w:tabs>
                <w:tab w:val="left" w:pos="622"/>
              </w:tabs>
              <w:spacing w:after="0" w:line="240" w:lineRule="auto"/>
              <w:ind w:firstLine="624"/>
              <w:jc w:val="both"/>
              <w:rPr>
                <w:rFonts w:ascii="Times New Roman" w:hAnsi="Times New Roman"/>
                <w:sz w:val="24"/>
                <w:szCs w:val="24"/>
              </w:rPr>
            </w:pPr>
            <w:r w:rsidRPr="00FC6264">
              <w:rPr>
                <w:rFonts w:ascii="Times New Roman" w:eastAsia="AngsanaUPC" w:hAnsi="Times New Roman"/>
                <w:bCs/>
                <w:sz w:val="24"/>
                <w:szCs w:val="24"/>
                <w:lang w:eastAsia="lt-LT"/>
              </w:rPr>
              <w:t xml:space="preserve">Esminė problema – darbo rinkos poreikių neatitinkanti ieškančių darbo ir neaktyvių asmenų kvalifikacija, gebėjimai ir tinkamos darbo patirties trūkumas. Su sunkumais darbo rinkoje dažnai susiduria žemo išsilavinimo ir nekvalifikuoti asmenys, jaunimas (dėl darbo patirties neturėjimo), vyresnio amžiaus ar negalią turintys asmenys. Bendrą užimtumo lygį šalyje taip pat mažina motyvacijos dirbti trūkumas (socialinės pašalpos kai kurioms grupėms nelabai skiriasi nuo darbo pajamų), darbo pasiūlos trūkumas, šešėlinė ekonomika. Todėl šalia investicinių priemonių svarbios reguliacinės priemonės (darbo santykių reglamentavimas, apmokestinimo tobulinimas, piniginės socialinės paramos bei individualizuotų socialinių paslaugų teikimo derinimas). Siekiant derinti piniginės socialinės paramos bei individualizuotų socialinių paslaugų teikimą </w:t>
            </w:r>
            <w:r w:rsidRPr="00FC6264">
              <w:rPr>
                <w:rFonts w:ascii="Times New Roman" w:hAnsi="Times New Roman"/>
                <w:sz w:val="24"/>
                <w:szCs w:val="24"/>
                <w:lang w:eastAsia="lt-LT"/>
              </w:rPr>
              <w:t>bei skatinti aktyvų dalyvavimą darbo rinkoje,</w:t>
            </w:r>
            <w:r w:rsidRPr="00FC6264">
              <w:rPr>
                <w:rFonts w:ascii="Times New Roman" w:eastAsia="AngsanaUPC" w:hAnsi="Times New Roman"/>
                <w:bCs/>
                <w:sz w:val="24"/>
                <w:szCs w:val="24"/>
                <w:lang w:eastAsia="lt-LT"/>
              </w:rPr>
              <w:t xml:space="preserve"> </w:t>
            </w:r>
            <w:r w:rsidR="00EF7802" w:rsidRPr="00FC6264">
              <w:rPr>
                <w:rFonts w:ascii="Times New Roman" w:eastAsia="AngsanaUPC" w:hAnsi="Times New Roman"/>
                <w:bCs/>
                <w:sz w:val="24"/>
                <w:szCs w:val="24"/>
                <w:lang w:eastAsia="lt-LT"/>
              </w:rPr>
              <w:t>atlikta</w:t>
            </w:r>
            <w:r w:rsidRPr="00FC6264">
              <w:rPr>
                <w:rFonts w:ascii="Times New Roman" w:eastAsia="AngsanaUPC" w:hAnsi="Times New Roman"/>
                <w:bCs/>
                <w:sz w:val="24"/>
                <w:szCs w:val="24"/>
                <w:lang w:eastAsia="lt-LT"/>
              </w:rPr>
              <w:t xml:space="preserve"> socialinės piniginės paramos sistemos pertvarka, </w:t>
            </w:r>
            <w:r w:rsidR="00EF7802" w:rsidRPr="00FC6264">
              <w:rPr>
                <w:rFonts w:ascii="Times New Roman" w:eastAsia="AngsanaUPC" w:hAnsi="Times New Roman"/>
                <w:bCs/>
                <w:sz w:val="24"/>
                <w:szCs w:val="24"/>
                <w:lang w:eastAsia="lt-LT"/>
              </w:rPr>
              <w:t xml:space="preserve">po </w:t>
            </w:r>
            <w:r w:rsidRPr="00FC6264">
              <w:rPr>
                <w:rFonts w:ascii="Times New Roman" w:eastAsia="AngsanaUPC" w:hAnsi="Times New Roman"/>
                <w:bCs/>
                <w:sz w:val="24"/>
                <w:szCs w:val="24"/>
                <w:lang w:eastAsia="lt-LT"/>
              </w:rPr>
              <w:t xml:space="preserve">kurios </w:t>
            </w:r>
            <w:proofErr w:type="gramStart"/>
            <w:r w:rsidR="00EF7802" w:rsidRPr="00FC6264">
              <w:rPr>
                <w:rFonts w:ascii="Times New Roman" w:eastAsia="AngsanaUPC" w:hAnsi="Times New Roman"/>
                <w:bCs/>
                <w:sz w:val="24"/>
                <w:szCs w:val="24"/>
                <w:lang w:eastAsia="lt-LT"/>
              </w:rPr>
              <w:t>savivaldybių administracijo</w:t>
            </w:r>
            <w:r w:rsidRPr="00FC6264">
              <w:rPr>
                <w:rFonts w:ascii="Times New Roman" w:eastAsia="AngsanaUPC" w:hAnsi="Times New Roman"/>
                <w:bCs/>
                <w:sz w:val="24"/>
                <w:szCs w:val="24"/>
                <w:lang w:eastAsia="lt-LT"/>
              </w:rPr>
              <w:t>s</w:t>
            </w:r>
            <w:proofErr w:type="gramEnd"/>
            <w:r w:rsidR="00EF7802" w:rsidRPr="00FC6264">
              <w:rPr>
                <w:rFonts w:ascii="Times New Roman" w:eastAsia="AngsanaUPC" w:hAnsi="Times New Roman"/>
                <w:bCs/>
                <w:sz w:val="24"/>
                <w:szCs w:val="24"/>
                <w:lang w:eastAsia="lt-LT"/>
              </w:rPr>
              <w:t xml:space="preserve"> savarankiškai gali</w:t>
            </w:r>
            <w:r w:rsidRPr="00FC6264">
              <w:rPr>
                <w:rFonts w:ascii="Times New Roman" w:eastAsia="AngsanaUPC" w:hAnsi="Times New Roman"/>
                <w:bCs/>
                <w:sz w:val="24"/>
                <w:szCs w:val="24"/>
                <w:lang w:eastAsia="lt-LT"/>
              </w:rPr>
              <w:t xml:space="preserve"> priimti sprendimus dėl socialinės piniginės pašalpos skyrimo.</w:t>
            </w:r>
            <w:r w:rsidRPr="00FC6264">
              <w:rPr>
                <w:rFonts w:ascii="Times New Roman" w:hAnsi="Times New Roman"/>
                <w:sz w:val="24"/>
                <w:szCs w:val="24"/>
              </w:rPr>
              <w:t xml:space="preserve"> Skatinant ilgalaikius socialinės piniginės paramos gavėjus dirbti, sudaryta galimybė jiems įsidarbinus dar pusę metų tęsti dalies socialinės pašalpos mokėjimą. Be to, socialinės paramos</w:t>
            </w:r>
            <w:r w:rsidR="00EF7802" w:rsidRPr="00FC6264">
              <w:rPr>
                <w:rFonts w:ascii="Times New Roman" w:hAnsi="Times New Roman"/>
                <w:sz w:val="24"/>
                <w:szCs w:val="24"/>
              </w:rPr>
              <w:t xml:space="preserve"> sistema</w:t>
            </w:r>
            <w:r w:rsidRPr="00FC6264">
              <w:rPr>
                <w:rFonts w:ascii="Times New Roman" w:hAnsi="Times New Roman"/>
                <w:sz w:val="24"/>
                <w:szCs w:val="24"/>
              </w:rPr>
              <w:t xml:space="preserve"> yra susieta su nedirbančiųjų a</w:t>
            </w:r>
            <w:r w:rsidR="00EF7802" w:rsidRPr="00FC6264">
              <w:rPr>
                <w:rFonts w:ascii="Times New Roman" w:hAnsi="Times New Roman"/>
                <w:sz w:val="24"/>
                <w:szCs w:val="24"/>
              </w:rPr>
              <w:t>smenų registracija užimtumo tarnyboje</w:t>
            </w:r>
            <w:r w:rsidRPr="00FC6264">
              <w:rPr>
                <w:rFonts w:ascii="Times New Roman" w:hAnsi="Times New Roman"/>
                <w:sz w:val="24"/>
                <w:szCs w:val="24"/>
              </w:rPr>
              <w:t>, kuria deklaruojama, kad asmuo aktyviai ieško darbo ir yra p</w:t>
            </w:r>
            <w:r w:rsidR="00EF7802" w:rsidRPr="00FC6264">
              <w:rPr>
                <w:rFonts w:ascii="Times New Roman" w:hAnsi="Times New Roman"/>
                <w:sz w:val="24"/>
                <w:szCs w:val="24"/>
              </w:rPr>
              <w:t>asirengęs dalyvauti užimtumo tarnybos</w:t>
            </w:r>
            <w:r w:rsidRPr="00FC6264">
              <w:rPr>
                <w:rFonts w:ascii="Times New Roman" w:hAnsi="Times New Roman"/>
                <w:sz w:val="24"/>
                <w:szCs w:val="24"/>
              </w:rPr>
              <w:t xml:space="preserve"> siūlomose ADRP priemonėse. </w:t>
            </w:r>
            <w:r w:rsidR="00EF7802" w:rsidRPr="00FC6264">
              <w:rPr>
                <w:rFonts w:ascii="Times New Roman" w:hAnsi="Times New Roman"/>
                <w:sz w:val="24"/>
                <w:szCs w:val="24"/>
              </w:rPr>
              <w:t xml:space="preserve">Ilgalaikiams, nekvalifikuotiems, neįgaliems bei vyresnio amžiaus asmenims skiriamas didesnis dėmesys, šie asmenys į ADRP nukreipiami pirmiausiai. </w:t>
            </w:r>
          </w:p>
          <w:p w:rsidR="00385835" w:rsidRPr="00385835" w:rsidRDefault="00385835" w:rsidP="00A55D2D">
            <w:pPr>
              <w:widowControl w:val="0"/>
              <w:tabs>
                <w:tab w:val="left" w:pos="622"/>
              </w:tabs>
              <w:spacing w:after="0" w:line="240" w:lineRule="auto"/>
              <w:ind w:firstLine="624"/>
              <w:jc w:val="both"/>
              <w:rPr>
                <w:rFonts w:ascii="Times New Roman" w:eastAsia="AngsanaUPC" w:hAnsi="Times New Roman"/>
                <w:bCs/>
                <w:sz w:val="24"/>
                <w:szCs w:val="24"/>
                <w:lang w:eastAsia="lt-LT"/>
              </w:rPr>
            </w:pPr>
            <w:r w:rsidRPr="00FC6264">
              <w:rPr>
                <w:rFonts w:ascii="Times New Roman" w:eastAsia="AngsanaUPC" w:hAnsi="Times New Roman"/>
                <w:bCs/>
                <w:sz w:val="24"/>
                <w:szCs w:val="24"/>
                <w:lang w:eastAsia="lt-LT"/>
              </w:rPr>
              <w:t>Šis uždavinys prisidės sprendžiant vieną iš anksčiau įvardytų problemų – bedarbių tinkamos kvalifikacijos, gebėjimų ir darbo patirti</w:t>
            </w:r>
            <w:r w:rsidR="00EF7802" w:rsidRPr="00FC6264">
              <w:rPr>
                <w:rFonts w:ascii="Times New Roman" w:eastAsia="AngsanaUPC" w:hAnsi="Times New Roman"/>
                <w:bCs/>
                <w:sz w:val="24"/>
                <w:szCs w:val="24"/>
                <w:lang w:eastAsia="lt-LT"/>
              </w:rPr>
              <w:t>es trūkumą</w:t>
            </w:r>
            <w:r w:rsidRPr="00FC6264">
              <w:rPr>
                <w:rFonts w:ascii="Times New Roman" w:eastAsia="AngsanaUPC" w:hAnsi="Times New Roman"/>
                <w:bCs/>
                <w:sz w:val="24"/>
                <w:szCs w:val="24"/>
                <w:lang w:eastAsia="lt-LT"/>
              </w:rPr>
              <w:t>. Bus investuojama į tas ADRP priemones, kuriomis siekiama suteikti ar tobulinti bedarbių profesinę kvalifikaciją bei kompetencijas, ugdyti praktinius darbo įgūdžius, skatinti teritorinį judumą</w:t>
            </w:r>
            <w:r w:rsidR="00EF7802" w:rsidRPr="00FC6264">
              <w:rPr>
                <w:rFonts w:ascii="Times New Roman" w:eastAsia="AngsanaUPC" w:hAnsi="Times New Roman"/>
                <w:bCs/>
                <w:sz w:val="24"/>
                <w:szCs w:val="24"/>
                <w:lang w:eastAsia="lt-LT"/>
              </w:rPr>
              <w:t>, naujų darbo vietų steigimą.</w:t>
            </w:r>
            <w:r w:rsidRPr="00FC6264">
              <w:rPr>
                <w:rFonts w:ascii="Times New Roman" w:eastAsia="AngsanaUPC" w:hAnsi="Times New Roman"/>
                <w:bCs/>
                <w:sz w:val="24"/>
                <w:szCs w:val="24"/>
                <w:lang w:eastAsia="lt-LT"/>
              </w:rPr>
              <w:t xml:space="preserve"> Prioritetas </w:t>
            </w:r>
            <w:r w:rsidRPr="00FC6264">
              <w:rPr>
                <w:rFonts w:ascii="Times New Roman" w:eastAsia="AngsanaUPC" w:hAnsi="Times New Roman"/>
                <w:bCs/>
                <w:sz w:val="24"/>
                <w:szCs w:val="24"/>
                <w:lang w:eastAsia="lt-LT"/>
              </w:rPr>
              <w:lastRenderedPageBreak/>
              <w:t>teikiamas sunkiai į darbo rinką integruojamiems asmenims: ilgalaikiams, nekvalifikuotiems bedarbiams, neįgaliesiems, ypač jų integracijai į darbo rinką per profesinės reabilitacijos paslaugų tobulinimą. Bus siekiama didinti ADRP priemonių aprėptį bei efektyvumą</w:t>
            </w:r>
            <w:r w:rsidR="00EF7802" w:rsidRPr="00FC6264">
              <w:rPr>
                <w:rFonts w:ascii="Times New Roman" w:eastAsia="AngsanaUPC" w:hAnsi="Times New Roman"/>
                <w:bCs/>
                <w:sz w:val="24"/>
                <w:szCs w:val="24"/>
                <w:lang w:eastAsia="lt-LT"/>
              </w:rPr>
              <w:t>, individualizuoti paslaugas</w:t>
            </w:r>
            <w:r w:rsidRPr="00FC6264">
              <w:rPr>
                <w:rFonts w:ascii="Times New Roman" w:eastAsia="AngsanaUPC" w:hAnsi="Times New Roman"/>
                <w:bCs/>
                <w:sz w:val="24"/>
                <w:szCs w:val="24"/>
                <w:lang w:eastAsia="lt-LT"/>
              </w:rPr>
              <w:t xml:space="preserve"> bei papildyti naujomis reikalingomis paslaugomis, atsižvelgiant ir į rezultatus ir produktus, kurie bus sukurti, įgyvendinant 7.3.2 uždavinio veiklas. </w:t>
            </w:r>
            <w:r w:rsidR="00A55D2D" w:rsidRPr="00FC6264">
              <w:rPr>
                <w:rFonts w:ascii="Times New Roman" w:eastAsia="AngsanaUPC" w:hAnsi="Times New Roman"/>
                <w:bCs/>
                <w:sz w:val="24"/>
                <w:szCs w:val="24"/>
                <w:lang w:eastAsia="lt-LT"/>
              </w:rPr>
              <w:t xml:space="preserve">Šis uždavinys, kurio tikslas – padidinti gyventojų užimtumą, taip pat prisidės sprendžiant gyventojų užimtumo iššūkį COVID-19 pandemijos metu. Darbuotojai, kuriems dėl pandemijos paskelbta prastova, pagal Lietuvos Respublikos užimtumo įstatymą traktuojami kaip papildomai remiama darbo rinkoje asmenų grupė. Dalies darbo užmokesčio kompensacija darbdaviams bus organizuojama pagal įdarbinimo subsidijuojant priemonę. Tai yra aktyvi darbo rinkos politikos priemonė, kurios tikslas sudaryti prastovose esantiems darbuotojams specialias sąlygas išlikti darbo rinkoje. Europos Komisijai teikiamose ataskaitose bus atskirai atsiskaitoma už šios priemonės įgyvendinimą, rezultatų pasiekimą. </w:t>
            </w:r>
            <w:r w:rsidRPr="00FC6264">
              <w:rPr>
                <w:rFonts w:ascii="Times New Roman" w:eastAsia="AngsanaUPC" w:hAnsi="Times New Roman"/>
                <w:bCs/>
                <w:sz w:val="24"/>
                <w:szCs w:val="24"/>
                <w:lang w:eastAsia="lt-LT"/>
              </w:rPr>
              <w:t xml:space="preserve">Be ADRP priemonių, siekiant didinti gyventojų užimtumą, bus teikiama </w:t>
            </w:r>
            <w:r w:rsidRPr="00FC6264">
              <w:rPr>
                <w:rFonts w:ascii="Times New Roman" w:hAnsi="Times New Roman"/>
                <w:sz w:val="24"/>
                <w:szCs w:val="24"/>
              </w:rPr>
              <w:t>finansinė parama darbdaviams, įdarbinantiems</w:t>
            </w:r>
            <w:r w:rsidRPr="00FC6264" w:rsidDel="00C36B5B">
              <w:rPr>
                <w:rFonts w:ascii="Times New Roman" w:hAnsi="Times New Roman"/>
                <w:sz w:val="24"/>
                <w:szCs w:val="24"/>
              </w:rPr>
              <w:t xml:space="preserve"> </w:t>
            </w:r>
            <w:r w:rsidRPr="00FC6264">
              <w:rPr>
                <w:rFonts w:ascii="Times New Roman" w:hAnsi="Times New Roman"/>
                <w:sz w:val="24"/>
                <w:szCs w:val="24"/>
              </w:rPr>
              <w:t>su sunkumais darbo rinkoje susiduriančius asmenis (</w:t>
            </w:r>
            <w:r w:rsidR="00686878" w:rsidRPr="00FC6264">
              <w:rPr>
                <w:rFonts w:ascii="Times New Roman" w:hAnsi="Times New Roman"/>
                <w:sz w:val="24"/>
                <w:szCs w:val="24"/>
              </w:rPr>
              <w:t>pavyzdžiui</w:t>
            </w:r>
            <w:r w:rsidRPr="00FC6264">
              <w:rPr>
                <w:rFonts w:ascii="Times New Roman" w:hAnsi="Times New Roman"/>
                <w:sz w:val="24"/>
                <w:szCs w:val="24"/>
              </w:rPr>
              <w:t>, jaunus, vyresnio amži</w:t>
            </w:r>
            <w:r w:rsidR="00A55D2D" w:rsidRPr="00FC6264">
              <w:rPr>
                <w:rFonts w:ascii="Times New Roman" w:hAnsi="Times New Roman"/>
                <w:sz w:val="24"/>
                <w:szCs w:val="24"/>
              </w:rPr>
              <w:t>aus)</w:t>
            </w:r>
            <w:r w:rsidRPr="00FC6264">
              <w:rPr>
                <w:rFonts w:ascii="Times New Roman" w:hAnsi="Times New Roman"/>
                <w:sz w:val="24"/>
                <w:szCs w:val="24"/>
              </w:rPr>
              <w:t>. Tokiu būdu bus didinama darbdavių motyvacija kurti daugiau darbo vietų bei skatinamas kvalifikuotos darbo jėgos judumas.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993"/>
        <w:gridCol w:w="992"/>
        <w:gridCol w:w="1417"/>
        <w:gridCol w:w="426"/>
        <w:gridCol w:w="708"/>
        <w:gridCol w:w="709"/>
        <w:gridCol w:w="425"/>
        <w:gridCol w:w="1134"/>
        <w:gridCol w:w="674"/>
      </w:tblGrid>
      <w:tr w:rsidR="00385835" w:rsidRPr="00385835" w:rsidTr="00463952">
        <w:trPr>
          <w:cantSplit/>
          <w:trHeight w:val="309"/>
          <w:tblHeader/>
        </w:trPr>
        <w:tc>
          <w:tcPr>
            <w:tcW w:w="9746" w:type="dxa"/>
            <w:gridSpan w:val="11"/>
            <w:shd w:val="clear" w:color="auto" w:fill="EEECE1"/>
            <w:vAlign w:val="center"/>
          </w:tcPr>
          <w:p w:rsidR="00385835" w:rsidRPr="00385835" w:rsidRDefault="00385835" w:rsidP="00385835">
            <w:pPr>
              <w:widowControl w:val="0"/>
              <w:tabs>
                <w:tab w:val="left" w:pos="622"/>
              </w:tabs>
              <w:spacing w:after="0" w:line="240" w:lineRule="auto"/>
              <w:ind w:left="113" w:right="113"/>
              <w:rPr>
                <w:rFonts w:ascii="Times New Roman" w:eastAsia="AngsanaUPC" w:hAnsi="Times New Roman"/>
                <w:b/>
                <w:bCs/>
                <w:iCs/>
                <w:sz w:val="20"/>
                <w:szCs w:val="20"/>
                <w:lang w:eastAsia="lt-LT"/>
              </w:rPr>
            </w:pPr>
            <w:r w:rsidRPr="00385835">
              <w:rPr>
                <w:rFonts w:ascii="Times New Roman" w:eastAsia="AngsanaUPC" w:hAnsi="Times New Roman"/>
                <w:b/>
                <w:bCs/>
                <w:i/>
                <w:iCs/>
                <w:sz w:val="24"/>
                <w:szCs w:val="24"/>
                <w:lang w:eastAsia="lt-LT"/>
              </w:rPr>
              <w:t xml:space="preserve">ESF </w:t>
            </w:r>
            <w:r w:rsidR="00B1109C">
              <w:rPr>
                <w:rFonts w:ascii="Times New Roman" w:eastAsia="AngsanaUPC" w:hAnsi="Times New Roman"/>
                <w:b/>
                <w:bCs/>
                <w:i/>
                <w:iCs/>
                <w:sz w:val="24"/>
                <w:szCs w:val="24"/>
                <w:lang w:eastAsia="lt-LT"/>
              </w:rPr>
              <w:t xml:space="preserve">bendrieji ir specialieji </w:t>
            </w:r>
            <w:r w:rsidRPr="00385835">
              <w:rPr>
                <w:rFonts w:ascii="Times New Roman" w:eastAsia="AngsanaUPC" w:hAnsi="Times New Roman"/>
                <w:b/>
                <w:bCs/>
                <w:i/>
                <w:iCs/>
                <w:sz w:val="24"/>
                <w:szCs w:val="24"/>
                <w:lang w:eastAsia="lt-LT"/>
              </w:rPr>
              <w:t>programos rezultato rodikliai</w:t>
            </w:r>
          </w:p>
        </w:tc>
      </w:tr>
      <w:tr w:rsidR="00385835" w:rsidRPr="00385835" w:rsidTr="00463952">
        <w:trPr>
          <w:cantSplit/>
          <w:trHeight w:val="1837"/>
          <w:tblHeader/>
        </w:trPr>
        <w:tc>
          <w:tcPr>
            <w:tcW w:w="567"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Nr.</w:t>
            </w:r>
          </w:p>
        </w:tc>
        <w:tc>
          <w:tcPr>
            <w:tcW w:w="170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Rodiklio pavadinimas</w:t>
            </w:r>
          </w:p>
        </w:tc>
        <w:tc>
          <w:tcPr>
            <w:tcW w:w="993"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Regiono kategorija</w:t>
            </w:r>
          </w:p>
        </w:tc>
        <w:tc>
          <w:tcPr>
            <w:tcW w:w="992"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Matavimo vienetas</w:t>
            </w:r>
          </w:p>
        </w:tc>
        <w:tc>
          <w:tcPr>
            <w:tcW w:w="1417"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Bendrasis produkto rodiklis, naudotas kaip pagrindas</w:t>
            </w:r>
          </w:p>
        </w:tc>
        <w:tc>
          <w:tcPr>
            <w:tcW w:w="426"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 reikšmė</w:t>
            </w:r>
          </w:p>
        </w:tc>
        <w:tc>
          <w:tcPr>
            <w:tcW w:w="708"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Pradinės ir siektinos reikšmės matavimo vienetai</w:t>
            </w:r>
          </w:p>
        </w:tc>
        <w:tc>
          <w:tcPr>
            <w:tcW w:w="709"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Pradinės reikšmės metai</w:t>
            </w:r>
          </w:p>
        </w:tc>
        <w:tc>
          <w:tcPr>
            <w:tcW w:w="425"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Siektina reikšmė (2023)</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Duomenų šaltinis</w:t>
            </w:r>
          </w:p>
        </w:tc>
        <w:tc>
          <w:tcPr>
            <w:tcW w:w="674"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Atsiskaitymo dažnumas</w:t>
            </w:r>
          </w:p>
        </w:tc>
      </w:tr>
      <w:tr w:rsidR="00385835" w:rsidRPr="00385835" w:rsidTr="00385835">
        <w:tc>
          <w:tcPr>
            <w:tcW w:w="56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w:t>
            </w:r>
          </w:p>
        </w:tc>
        <w:tc>
          <w:tcPr>
            <w:tcW w:w="1701" w:type="dxa"/>
            <w:shd w:val="clear" w:color="auto" w:fill="auto"/>
            <w:vAlign w:val="center"/>
          </w:tcPr>
          <w:p w:rsidR="00385835" w:rsidRPr="00385835" w:rsidRDefault="00385835" w:rsidP="00385835">
            <w:pPr>
              <w:spacing w:after="0" w:line="240" w:lineRule="auto"/>
              <w:rPr>
                <w:rFonts w:ascii="Times New Roman" w:eastAsia="Times New Roman" w:hAnsi="Times New Roman"/>
                <w:bCs/>
                <w:sz w:val="18"/>
                <w:szCs w:val="18"/>
              </w:rPr>
            </w:pPr>
            <w:r w:rsidRPr="00385835">
              <w:rPr>
                <w:rFonts w:ascii="Times New Roman" w:eastAsia="Times New Roman" w:hAnsi="Times New Roman"/>
                <w:bCs/>
                <w:sz w:val="18"/>
                <w:szCs w:val="18"/>
              </w:rPr>
              <w:t>Dalyviai, kurie baigę dalyvauti ESF veiklose pradėjo dirbti, įskaitant savarankišką darbą</w:t>
            </w:r>
          </w:p>
        </w:tc>
        <w:tc>
          <w:tcPr>
            <w:tcW w:w="993" w:type="dxa"/>
            <w:shd w:val="clear" w:color="auto" w:fill="auto"/>
            <w:vAlign w:val="center"/>
          </w:tcPr>
          <w:p w:rsidR="00385835" w:rsidRPr="00385835" w:rsidRDefault="00385835" w:rsidP="00385835">
            <w:pPr>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Mažiau išsivystęs</w:t>
            </w:r>
          </w:p>
        </w:tc>
        <w:tc>
          <w:tcPr>
            <w:tcW w:w="992" w:type="dxa"/>
            <w:shd w:val="clear" w:color="auto" w:fill="auto"/>
            <w:vAlign w:val="center"/>
          </w:tcPr>
          <w:p w:rsidR="00385835" w:rsidRPr="00385835" w:rsidRDefault="00385835" w:rsidP="00385835">
            <w:pPr>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Asmenys</w:t>
            </w:r>
          </w:p>
        </w:tc>
        <w:tc>
          <w:tcPr>
            <w:tcW w:w="141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hAnsi="Times New Roman"/>
                <w:sz w:val="18"/>
                <w:szCs w:val="18"/>
              </w:rPr>
              <w:t>Bedarbiai, įskaitant ilgalaikius bedarbius</w:t>
            </w:r>
          </w:p>
        </w:tc>
        <w:tc>
          <w:tcPr>
            <w:tcW w:w="426"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val="en-US" w:eastAsia="lt-LT"/>
              </w:rPr>
            </w:pPr>
            <w:r w:rsidRPr="00385835">
              <w:rPr>
                <w:rFonts w:ascii="Times New Roman" w:eastAsia="AngsanaUPC" w:hAnsi="Times New Roman"/>
                <w:bCs/>
                <w:iCs/>
                <w:sz w:val="18"/>
                <w:szCs w:val="18"/>
                <w:lang w:val="en-US" w:eastAsia="lt-LT"/>
              </w:rPr>
              <w:t>30</w:t>
            </w:r>
          </w:p>
        </w:tc>
        <w:tc>
          <w:tcPr>
            <w:tcW w:w="708"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Proc.</w:t>
            </w:r>
          </w:p>
        </w:tc>
        <w:tc>
          <w:tcPr>
            <w:tcW w:w="709" w:type="dxa"/>
            <w:shd w:val="clear" w:color="auto" w:fill="auto"/>
            <w:vAlign w:val="center"/>
          </w:tcPr>
          <w:p w:rsidR="00385835" w:rsidRPr="00385835" w:rsidDel="002F7C63"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2013</w:t>
            </w:r>
          </w:p>
        </w:tc>
        <w:tc>
          <w:tcPr>
            <w:tcW w:w="425"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35</w:t>
            </w:r>
          </w:p>
        </w:tc>
        <w:tc>
          <w:tcPr>
            <w:tcW w:w="1134" w:type="dxa"/>
            <w:shd w:val="clear" w:color="auto" w:fill="auto"/>
            <w:vAlign w:val="center"/>
          </w:tcPr>
          <w:p w:rsidR="00385835" w:rsidRPr="00385835" w:rsidDel="002F7C63"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Duomenys iš projektų</w:t>
            </w:r>
          </w:p>
        </w:tc>
        <w:tc>
          <w:tcPr>
            <w:tcW w:w="67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385835" w:rsidRPr="00385835" w:rsidDel="00737EA9" w:rsidTr="00385835">
        <w:tc>
          <w:tcPr>
            <w:tcW w:w="567" w:type="dxa"/>
            <w:shd w:val="clear" w:color="auto" w:fill="auto"/>
            <w:vAlign w:val="center"/>
          </w:tcPr>
          <w:p w:rsidR="00385835" w:rsidRPr="00385835" w:rsidDel="00737EA9"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w:t>
            </w:r>
          </w:p>
        </w:tc>
        <w:tc>
          <w:tcPr>
            <w:tcW w:w="1701" w:type="dxa"/>
            <w:shd w:val="clear" w:color="auto" w:fill="auto"/>
            <w:vAlign w:val="center"/>
          </w:tcPr>
          <w:p w:rsidR="00385835" w:rsidRPr="00385835" w:rsidDel="00737EA9" w:rsidRDefault="00385835" w:rsidP="00385835">
            <w:pPr>
              <w:spacing w:after="0" w:line="240" w:lineRule="auto"/>
              <w:rPr>
                <w:rFonts w:ascii="Times New Roman" w:eastAsia="Times New Roman" w:hAnsi="Times New Roman"/>
                <w:bCs/>
                <w:sz w:val="18"/>
                <w:szCs w:val="18"/>
              </w:rPr>
            </w:pPr>
            <w:r w:rsidRPr="00385835">
              <w:rPr>
                <w:rFonts w:ascii="Times New Roman" w:eastAsia="Times New Roman" w:hAnsi="Times New Roman"/>
                <w:bCs/>
                <w:sz w:val="18"/>
                <w:szCs w:val="18"/>
              </w:rPr>
              <w:t>Dalyviai, kurie baigę dalyvauti ESF veiklose įgijo kvalifikaciją*</w:t>
            </w:r>
          </w:p>
        </w:tc>
        <w:tc>
          <w:tcPr>
            <w:tcW w:w="993" w:type="dxa"/>
            <w:shd w:val="clear" w:color="auto" w:fill="auto"/>
            <w:vAlign w:val="center"/>
          </w:tcPr>
          <w:p w:rsidR="00385835" w:rsidRPr="00385835" w:rsidDel="00737EA9" w:rsidRDefault="00385835" w:rsidP="00385835">
            <w:pPr>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Mažiau išsivystęs</w:t>
            </w:r>
          </w:p>
        </w:tc>
        <w:tc>
          <w:tcPr>
            <w:tcW w:w="992" w:type="dxa"/>
            <w:shd w:val="clear" w:color="auto" w:fill="auto"/>
            <w:vAlign w:val="center"/>
          </w:tcPr>
          <w:p w:rsidR="00385835" w:rsidRPr="00385835" w:rsidDel="00737EA9" w:rsidRDefault="00385835" w:rsidP="00385835">
            <w:pPr>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Asmenys</w:t>
            </w:r>
          </w:p>
        </w:tc>
        <w:tc>
          <w:tcPr>
            <w:tcW w:w="1417" w:type="dxa"/>
            <w:shd w:val="clear" w:color="auto" w:fill="auto"/>
            <w:vAlign w:val="center"/>
          </w:tcPr>
          <w:p w:rsidR="00385835" w:rsidRPr="00385835" w:rsidDel="00737EA9"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hAnsi="Times New Roman"/>
                <w:sz w:val="18"/>
                <w:szCs w:val="18"/>
              </w:rPr>
              <w:t>Bedarbiai, įskaitant ilgalaikius bedarbius</w:t>
            </w:r>
          </w:p>
        </w:tc>
        <w:tc>
          <w:tcPr>
            <w:tcW w:w="426" w:type="dxa"/>
            <w:shd w:val="clear" w:color="auto" w:fill="auto"/>
            <w:vAlign w:val="center"/>
          </w:tcPr>
          <w:p w:rsidR="00385835" w:rsidRPr="00385835" w:rsidDel="00737EA9" w:rsidRDefault="00385835" w:rsidP="00385835">
            <w:pPr>
              <w:widowControl w:val="0"/>
              <w:tabs>
                <w:tab w:val="left" w:pos="622"/>
              </w:tabs>
              <w:spacing w:after="0" w:line="240" w:lineRule="auto"/>
              <w:jc w:val="center"/>
              <w:rPr>
                <w:rFonts w:ascii="Times New Roman" w:eastAsia="AngsanaUPC" w:hAnsi="Times New Roman"/>
                <w:bCs/>
                <w:iCs/>
                <w:sz w:val="18"/>
                <w:szCs w:val="18"/>
                <w:lang w:val="en-US" w:eastAsia="lt-LT"/>
              </w:rPr>
            </w:pPr>
            <w:r w:rsidRPr="00385835">
              <w:rPr>
                <w:rFonts w:ascii="Times New Roman" w:eastAsia="AngsanaUPC" w:hAnsi="Times New Roman"/>
                <w:bCs/>
                <w:iCs/>
                <w:sz w:val="18"/>
                <w:szCs w:val="18"/>
                <w:lang w:val="en-US" w:eastAsia="lt-LT"/>
              </w:rPr>
              <w:t>29</w:t>
            </w:r>
          </w:p>
        </w:tc>
        <w:tc>
          <w:tcPr>
            <w:tcW w:w="708" w:type="dxa"/>
            <w:shd w:val="clear" w:color="auto" w:fill="auto"/>
            <w:vAlign w:val="center"/>
          </w:tcPr>
          <w:p w:rsidR="00385835" w:rsidRPr="00385835" w:rsidDel="00737EA9"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Proc.</w:t>
            </w:r>
          </w:p>
        </w:tc>
        <w:tc>
          <w:tcPr>
            <w:tcW w:w="709" w:type="dxa"/>
            <w:shd w:val="clear" w:color="auto" w:fill="auto"/>
            <w:vAlign w:val="center"/>
          </w:tcPr>
          <w:p w:rsidR="00385835" w:rsidRPr="00385835" w:rsidDel="00737EA9"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2013</w:t>
            </w:r>
          </w:p>
        </w:tc>
        <w:tc>
          <w:tcPr>
            <w:tcW w:w="425" w:type="dxa"/>
            <w:shd w:val="clear" w:color="auto" w:fill="auto"/>
            <w:vAlign w:val="center"/>
          </w:tcPr>
          <w:p w:rsidR="00385835" w:rsidRPr="00385835" w:rsidDel="00737EA9"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42</w:t>
            </w:r>
          </w:p>
        </w:tc>
        <w:tc>
          <w:tcPr>
            <w:tcW w:w="1134" w:type="dxa"/>
            <w:shd w:val="clear" w:color="auto" w:fill="auto"/>
            <w:vAlign w:val="center"/>
          </w:tcPr>
          <w:p w:rsidR="00385835" w:rsidRPr="00385835" w:rsidDel="00737EA9"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Duomenys iš projektų</w:t>
            </w:r>
          </w:p>
        </w:tc>
        <w:tc>
          <w:tcPr>
            <w:tcW w:w="674" w:type="dxa"/>
            <w:shd w:val="clear" w:color="auto" w:fill="auto"/>
            <w:vAlign w:val="center"/>
          </w:tcPr>
          <w:p w:rsidR="00385835" w:rsidRPr="00385835" w:rsidDel="00737EA9"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385835" w:rsidRPr="00385835" w:rsidTr="00385835">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spacing w:after="0" w:line="240" w:lineRule="auto"/>
              <w:rPr>
                <w:rFonts w:ascii="Times New Roman" w:eastAsia="Times New Roman" w:hAnsi="Times New Roman"/>
                <w:bCs/>
                <w:sz w:val="18"/>
                <w:szCs w:val="18"/>
              </w:rPr>
            </w:pPr>
            <w:r w:rsidRPr="00385835">
              <w:rPr>
                <w:rFonts w:ascii="Times New Roman" w:eastAsia="Times New Roman" w:hAnsi="Times New Roman"/>
                <w:bCs/>
                <w:sz w:val="18"/>
                <w:szCs w:val="18"/>
              </w:rPr>
              <w:t xml:space="preserve">Dalyviai, kurie baigę dalyvauti ESF veiklose pradėjo dirbti, įskaitant savarankišką darbą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Mažiau išsivystęs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Asmenys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Vyresni negu 54 metų asmenys, kurie yra bedarbiai, įskaitant ilgalaikius bedarbius, arba neaktyvūs nesimokantys asmenys, dalyvavę ESF veiklose</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val="en-US" w:eastAsia="lt-LT"/>
              </w:rPr>
            </w:pPr>
            <w:r w:rsidRPr="00385835">
              <w:rPr>
                <w:rFonts w:ascii="Times New Roman" w:eastAsia="AngsanaUPC" w:hAnsi="Times New Roman"/>
                <w:bCs/>
                <w:iCs/>
                <w:sz w:val="18"/>
                <w:szCs w:val="18"/>
                <w:lang w:val="en-US" w:eastAsia="lt-LT"/>
              </w:rPr>
              <w:t>30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Proc.</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2013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Duomenys iš projektų</w:t>
            </w:r>
          </w:p>
        </w:tc>
        <w:tc>
          <w:tcPr>
            <w:tcW w:w="674"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385835" w:rsidRPr="00385835" w:rsidTr="00385835">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spacing w:after="0" w:line="240" w:lineRule="auto"/>
              <w:rPr>
                <w:rFonts w:ascii="Times New Roman" w:eastAsia="Times New Roman" w:hAnsi="Times New Roman"/>
                <w:bCs/>
                <w:sz w:val="18"/>
                <w:szCs w:val="18"/>
              </w:rPr>
            </w:pPr>
            <w:r w:rsidRPr="00385835">
              <w:rPr>
                <w:rFonts w:ascii="Times New Roman" w:eastAsia="Times New Roman" w:hAnsi="Times New Roman"/>
                <w:bCs/>
                <w:sz w:val="18"/>
                <w:szCs w:val="18"/>
              </w:rPr>
              <w:t xml:space="preserve">Dalyviai, kurie baigę dalyvauti ESF veiklose įgijo kvalifikaciją*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Mažiau išsivystęs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Asmenys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Vyresni negu 54 metų asmenys, kurie yra bedarbiai, įskaitant ilgalaikius bedarbius, arba neaktyvūs nesimokantys asmenys, dalyvavę ESF veiklose</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val="en-US" w:eastAsia="lt-LT"/>
              </w:rPr>
            </w:pPr>
            <w:r w:rsidRPr="00385835">
              <w:rPr>
                <w:rFonts w:ascii="Times New Roman" w:eastAsia="AngsanaUPC" w:hAnsi="Times New Roman"/>
                <w:bCs/>
                <w:iCs/>
                <w:sz w:val="18"/>
                <w:szCs w:val="18"/>
                <w:lang w:val="en-US" w:eastAsia="lt-LT"/>
              </w:rPr>
              <w:t>29</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Proc.</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2013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Duomenys iš projektų</w:t>
            </w:r>
          </w:p>
        </w:tc>
        <w:tc>
          <w:tcPr>
            <w:tcW w:w="674"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385835" w:rsidRPr="00385835" w:rsidTr="00385835">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Del="008F418C" w:rsidRDefault="00385835" w:rsidP="00385835">
            <w:pPr>
              <w:spacing w:after="0" w:line="240" w:lineRule="auto"/>
              <w:rPr>
                <w:rFonts w:ascii="Times New Roman" w:eastAsia="Times New Roman" w:hAnsi="Times New Roman"/>
                <w:bCs/>
                <w:sz w:val="18"/>
                <w:szCs w:val="18"/>
              </w:rPr>
            </w:pPr>
            <w:r w:rsidRPr="00385835">
              <w:rPr>
                <w:rFonts w:ascii="Times New Roman" w:eastAsia="Times New Roman" w:hAnsi="Times New Roman"/>
                <w:bCs/>
                <w:sz w:val="18"/>
                <w:szCs w:val="18"/>
              </w:rPr>
              <w:t xml:space="preserve">Neįgalieji, kurie </w:t>
            </w:r>
            <w:r w:rsidRPr="00385835">
              <w:rPr>
                <w:rFonts w:ascii="Times New Roman" w:eastAsia="Times New Roman" w:hAnsi="Times New Roman"/>
                <w:bCs/>
                <w:sz w:val="18"/>
                <w:szCs w:val="18"/>
              </w:rPr>
              <w:lastRenderedPageBreak/>
              <w:t xml:space="preserve">sėkmingai baigė </w:t>
            </w:r>
            <w:r w:rsidR="00156E6D">
              <w:rPr>
                <w:rFonts w:ascii="Times New Roman" w:eastAsia="Times New Roman" w:hAnsi="Times New Roman"/>
                <w:bCs/>
                <w:sz w:val="18"/>
                <w:szCs w:val="18"/>
              </w:rPr>
              <w:t xml:space="preserve">ESF remiamas </w:t>
            </w:r>
            <w:r w:rsidRPr="00385835">
              <w:rPr>
                <w:rFonts w:ascii="Times New Roman" w:eastAsia="Times New Roman" w:hAnsi="Times New Roman"/>
                <w:bCs/>
                <w:sz w:val="18"/>
                <w:szCs w:val="18"/>
              </w:rPr>
              <w:t>profesinės reabilitacijos programas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lastRenderedPageBreak/>
              <w:t xml:space="preserve">Mažiau </w:t>
            </w:r>
            <w:r w:rsidRPr="00385835">
              <w:rPr>
                <w:rFonts w:ascii="Times New Roman" w:eastAsia="Times New Roman" w:hAnsi="Times New Roman"/>
                <w:bCs/>
                <w:sz w:val="18"/>
                <w:szCs w:val="18"/>
              </w:rPr>
              <w:lastRenderedPageBreak/>
              <w:t>išsivystęs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lastRenderedPageBreak/>
              <w:t>Asmenys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val="en-US" w:eastAsia="lt-LT"/>
              </w:rPr>
            </w:pPr>
            <w:r w:rsidRPr="00385835">
              <w:rPr>
                <w:rFonts w:ascii="Times New Roman" w:eastAsia="AngsanaUPC" w:hAnsi="Times New Roman"/>
                <w:bCs/>
                <w:iCs/>
                <w:sz w:val="18"/>
                <w:szCs w:val="18"/>
                <w:lang w:val="en-US" w:eastAsia="lt-LT"/>
              </w:rPr>
              <w:t>90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Proc.</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2013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Del="00D66B06"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 xml:space="preserve">Duomenys </w:t>
            </w:r>
            <w:r w:rsidRPr="00385835">
              <w:rPr>
                <w:rFonts w:ascii="Times New Roman" w:hAnsi="Times New Roman"/>
                <w:sz w:val="18"/>
                <w:szCs w:val="18"/>
              </w:rPr>
              <w:lastRenderedPageBreak/>
              <w:t>iš projektų</w:t>
            </w:r>
          </w:p>
        </w:tc>
        <w:tc>
          <w:tcPr>
            <w:tcW w:w="674"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lastRenderedPageBreak/>
              <w:t xml:space="preserve">Kartą </w:t>
            </w:r>
            <w:r w:rsidRPr="00385835">
              <w:rPr>
                <w:rFonts w:ascii="Times New Roman" w:eastAsia="AngsanaUPC" w:hAnsi="Times New Roman"/>
                <w:bCs/>
                <w:iCs/>
                <w:sz w:val="18"/>
                <w:szCs w:val="18"/>
                <w:lang w:eastAsia="lt-LT"/>
              </w:rPr>
              <w:lastRenderedPageBreak/>
              <w:t>per metus</w:t>
            </w:r>
          </w:p>
        </w:tc>
      </w:tr>
      <w:tr w:rsidR="00921DC0" w:rsidRPr="00385835" w:rsidTr="00385835">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21DC0" w:rsidRPr="00385835" w:rsidRDefault="00921DC0" w:rsidP="00385835">
            <w:pPr>
              <w:widowControl w:val="0"/>
              <w:tabs>
                <w:tab w:val="left" w:pos="622"/>
              </w:tabs>
              <w:spacing w:after="0" w:line="240" w:lineRule="auto"/>
              <w:jc w:val="center"/>
              <w:rPr>
                <w:rFonts w:ascii="Times New Roman" w:eastAsia="AngsanaUPC" w:hAnsi="Times New Roman"/>
                <w:bCs/>
                <w:iCs/>
                <w:sz w:val="18"/>
                <w:szCs w:val="18"/>
                <w:lang w:eastAsia="lt-LT"/>
              </w:rPr>
            </w:pPr>
            <w:r>
              <w:rPr>
                <w:rFonts w:ascii="Times New Roman" w:eastAsia="AngsanaUPC" w:hAnsi="Times New Roman"/>
                <w:bCs/>
                <w:iCs/>
                <w:sz w:val="18"/>
                <w:szCs w:val="18"/>
                <w:lang w:eastAsia="lt-LT"/>
              </w:rPr>
              <w:lastRenderedPageBreak/>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21DC0" w:rsidRPr="008F339D" w:rsidRDefault="00921DC0" w:rsidP="00385835">
            <w:pPr>
              <w:spacing w:after="0" w:line="240" w:lineRule="auto"/>
              <w:rPr>
                <w:rFonts w:ascii="Times New Roman" w:eastAsia="Times New Roman" w:hAnsi="Times New Roman"/>
                <w:bCs/>
                <w:sz w:val="18"/>
                <w:szCs w:val="18"/>
              </w:rPr>
            </w:pPr>
            <w:r w:rsidRPr="008F339D">
              <w:rPr>
                <w:rFonts w:ascii="Times New Roman" w:eastAsia="AngsanaUPC" w:hAnsi="Times New Roman"/>
                <w:bCs/>
                <w:iCs/>
                <w:sz w:val="18"/>
                <w:szCs w:val="18"/>
                <w:lang w:eastAsia="lt-LT"/>
              </w:rPr>
              <w:t>Dalyviai, išlaikę savo darbą praėjus 6 mėnesiams nuo paramos pabaigos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21DC0" w:rsidRPr="008F339D" w:rsidRDefault="00921DC0" w:rsidP="00385835">
            <w:pPr>
              <w:spacing w:after="0" w:line="240" w:lineRule="auto"/>
              <w:jc w:val="center"/>
              <w:rPr>
                <w:rFonts w:ascii="Times New Roman" w:eastAsia="Times New Roman" w:hAnsi="Times New Roman"/>
                <w:bCs/>
                <w:sz w:val="18"/>
                <w:szCs w:val="18"/>
              </w:rPr>
            </w:pPr>
            <w:r w:rsidRPr="008F339D">
              <w:rPr>
                <w:rFonts w:ascii="Times New Roman" w:eastAsia="AngsanaUPC" w:hAnsi="Times New Roman"/>
                <w:bCs/>
                <w:iCs/>
                <w:sz w:val="18"/>
                <w:szCs w:val="18"/>
                <w:lang w:eastAsia="lt-LT"/>
              </w:rPr>
              <w:t>Mažiau išsivystęs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21DC0" w:rsidRPr="008F339D" w:rsidRDefault="00921DC0" w:rsidP="00385835">
            <w:pPr>
              <w:spacing w:after="0" w:line="240" w:lineRule="auto"/>
              <w:jc w:val="center"/>
              <w:rPr>
                <w:rFonts w:ascii="Times New Roman" w:eastAsia="Times New Roman" w:hAnsi="Times New Roman"/>
                <w:bCs/>
                <w:sz w:val="18"/>
                <w:szCs w:val="18"/>
              </w:rPr>
            </w:pPr>
            <w:r w:rsidRPr="008F339D">
              <w:rPr>
                <w:rFonts w:ascii="Times New Roman" w:eastAsia="AngsanaUPC" w:hAnsi="Times New Roman"/>
                <w:bCs/>
                <w:iCs/>
                <w:sz w:val="18"/>
                <w:szCs w:val="18"/>
                <w:lang w:eastAsia="lt-LT"/>
              </w:rPr>
              <w:t>Asmenys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21DC0" w:rsidRPr="008F339D" w:rsidRDefault="00921DC0" w:rsidP="00385835">
            <w:pPr>
              <w:widowControl w:val="0"/>
              <w:tabs>
                <w:tab w:val="left" w:pos="622"/>
              </w:tabs>
              <w:spacing w:after="0" w:line="240" w:lineRule="auto"/>
              <w:jc w:val="center"/>
              <w:rPr>
                <w:rFonts w:ascii="Times New Roman" w:hAnsi="Times New Roman"/>
                <w:sz w:val="18"/>
                <w:szCs w:val="18"/>
              </w:rPr>
            </w:pPr>
            <w:r w:rsidRPr="008F339D">
              <w:rPr>
                <w:rFonts w:ascii="Times New Roman" w:eastAsia="AngsanaUPC" w:hAnsi="Times New Roman"/>
                <w:bCs/>
                <w:iCs/>
                <w:sz w:val="18"/>
                <w:szCs w:val="18"/>
                <w:lang w:eastAsia="lt-LT"/>
              </w:rPr>
              <w:t>–</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21DC0" w:rsidRPr="008F339D" w:rsidRDefault="00921DC0" w:rsidP="00385835">
            <w:pPr>
              <w:widowControl w:val="0"/>
              <w:tabs>
                <w:tab w:val="left" w:pos="622"/>
              </w:tabs>
              <w:spacing w:after="0" w:line="240" w:lineRule="auto"/>
              <w:jc w:val="center"/>
              <w:rPr>
                <w:rFonts w:ascii="Times New Roman" w:eastAsia="AngsanaUPC" w:hAnsi="Times New Roman"/>
                <w:bCs/>
                <w:iCs/>
                <w:sz w:val="18"/>
                <w:szCs w:val="18"/>
                <w:lang w:val="en-US" w:eastAsia="lt-LT"/>
              </w:rPr>
            </w:pPr>
            <w:r w:rsidRPr="008F339D">
              <w:rPr>
                <w:rFonts w:ascii="Times New Roman" w:eastAsia="AngsanaUPC" w:hAnsi="Times New Roman"/>
                <w:bCs/>
                <w:iCs/>
                <w:sz w:val="18"/>
                <w:szCs w:val="18"/>
                <w:lang w:eastAsia="lt-LT"/>
              </w:rPr>
              <w:t>48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921DC0" w:rsidRPr="008F339D" w:rsidRDefault="00921DC0"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8F339D">
              <w:rPr>
                <w:rFonts w:ascii="Times New Roman" w:eastAsia="AngsanaUPC" w:hAnsi="Times New Roman"/>
                <w:bCs/>
                <w:iCs/>
                <w:sz w:val="18"/>
                <w:szCs w:val="18"/>
                <w:lang w:eastAsia="lt-LT"/>
              </w:rPr>
              <w:t>Proc.</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21DC0" w:rsidRPr="008F339D" w:rsidRDefault="00921DC0"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8F339D">
              <w:rPr>
                <w:rFonts w:ascii="Times New Roman" w:eastAsia="AngsanaUPC" w:hAnsi="Times New Roman"/>
                <w:bCs/>
                <w:iCs/>
                <w:sz w:val="18"/>
                <w:szCs w:val="18"/>
                <w:lang w:eastAsia="lt-LT"/>
              </w:rPr>
              <w:t>2020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921DC0" w:rsidRPr="008F339D" w:rsidRDefault="00921DC0"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8F339D">
              <w:rPr>
                <w:rFonts w:ascii="Times New Roman" w:eastAsia="AngsanaUPC" w:hAnsi="Times New Roman"/>
                <w:bCs/>
                <w:iCs/>
                <w:sz w:val="18"/>
                <w:szCs w:val="18"/>
                <w:lang w:eastAsia="lt-LT"/>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1DC0" w:rsidRPr="008F339D" w:rsidRDefault="00921DC0" w:rsidP="00385835">
            <w:pPr>
              <w:widowControl w:val="0"/>
              <w:tabs>
                <w:tab w:val="left" w:pos="622"/>
              </w:tabs>
              <w:spacing w:after="0" w:line="240" w:lineRule="auto"/>
              <w:jc w:val="center"/>
              <w:rPr>
                <w:rFonts w:ascii="Times New Roman" w:hAnsi="Times New Roman"/>
                <w:sz w:val="18"/>
                <w:szCs w:val="18"/>
              </w:rPr>
            </w:pPr>
            <w:r w:rsidRPr="008F339D">
              <w:rPr>
                <w:rFonts w:ascii="Times New Roman" w:eastAsia="AngsanaUPC" w:hAnsi="Times New Roman"/>
                <w:bCs/>
                <w:iCs/>
                <w:sz w:val="18"/>
                <w:szCs w:val="18"/>
                <w:lang w:eastAsia="lt-LT"/>
              </w:rPr>
              <w:t>Duomenys iš projektų</w:t>
            </w:r>
          </w:p>
        </w:tc>
        <w:tc>
          <w:tcPr>
            <w:tcW w:w="674" w:type="dxa"/>
            <w:tcBorders>
              <w:top w:val="single" w:sz="4" w:space="0" w:color="auto"/>
              <w:left w:val="single" w:sz="4" w:space="0" w:color="auto"/>
              <w:bottom w:val="single" w:sz="4" w:space="0" w:color="auto"/>
              <w:right w:val="single" w:sz="4" w:space="0" w:color="auto"/>
            </w:tcBorders>
            <w:shd w:val="clear" w:color="auto" w:fill="auto"/>
            <w:vAlign w:val="center"/>
          </w:tcPr>
          <w:p w:rsidR="00921DC0" w:rsidRPr="008F339D" w:rsidRDefault="00921DC0"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8F339D">
              <w:rPr>
                <w:rFonts w:ascii="Times New Roman" w:eastAsia="AngsanaUPC" w:hAnsi="Times New Roman"/>
                <w:bCs/>
                <w:iCs/>
                <w:sz w:val="18"/>
                <w:szCs w:val="18"/>
                <w:lang w:eastAsia="lt-LT"/>
              </w:rPr>
              <w:t>Kartą per metus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18"/>
          <w:szCs w:val="18"/>
          <w:lang w:eastAsia="lt-LT"/>
        </w:rPr>
      </w:pPr>
      <w:r w:rsidRPr="00385835">
        <w:rPr>
          <w:rFonts w:ascii="Times New Roman" w:eastAsia="AngsanaUPC" w:hAnsi="Times New Roman"/>
          <w:bCs/>
          <w:sz w:val="18"/>
          <w:szCs w:val="18"/>
          <w:lang w:eastAsia="lt-LT"/>
        </w:rPr>
        <w:t>* Kvalifikacija suprantama pagal EK</w:t>
      </w:r>
      <w:proofErr w:type="gramStart"/>
      <w:r w:rsidRPr="00385835">
        <w:rPr>
          <w:rFonts w:ascii="Times New Roman" w:eastAsia="AngsanaUPC" w:hAnsi="Times New Roman"/>
          <w:bCs/>
          <w:sz w:val="18"/>
          <w:szCs w:val="18"/>
          <w:lang w:eastAsia="lt-LT"/>
        </w:rPr>
        <w:t xml:space="preserve">  </w:t>
      </w:r>
      <w:proofErr w:type="gramEnd"/>
      <w:r w:rsidRPr="00385835">
        <w:rPr>
          <w:rFonts w:ascii="Times New Roman" w:eastAsia="AngsanaUPC" w:hAnsi="Times New Roman"/>
          <w:bCs/>
          <w:sz w:val="18"/>
          <w:szCs w:val="18"/>
          <w:lang w:eastAsia="lt-LT"/>
        </w:rPr>
        <w:t xml:space="preserve">metodinėse stebėsenos ir vertinimo gairėse pateiktą apibrėžimą. </w:t>
      </w:r>
    </w:p>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04"/>
        <w:gridCol w:w="7285"/>
      </w:tblGrid>
      <w:tr w:rsidR="00385835" w:rsidRPr="00385835" w:rsidTr="00385835">
        <w:tc>
          <w:tcPr>
            <w:tcW w:w="2404" w:type="dxa"/>
            <w:shd w:val="clear" w:color="auto" w:fill="EEECE1"/>
          </w:tcPr>
          <w:p w:rsidR="00385835" w:rsidRPr="00385835" w:rsidRDefault="00385835" w:rsidP="00385835">
            <w:pPr>
              <w:widowControl w:val="0"/>
              <w:tabs>
                <w:tab w:val="left" w:pos="622"/>
              </w:tabs>
              <w:spacing w:after="0" w:line="240" w:lineRule="auto"/>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7.3.2. KONKRETUS UŽDAVINYS</w:t>
            </w:r>
          </w:p>
        </w:tc>
        <w:tc>
          <w:tcPr>
            <w:tcW w:w="7285" w:type="dxa"/>
            <w:shd w:val="clear" w:color="auto" w:fill="EEECE1"/>
            <w:vAlign w:val="center"/>
          </w:tcPr>
          <w:p w:rsidR="00385835" w:rsidRPr="00385835" w:rsidRDefault="00385835" w:rsidP="00385835">
            <w:pPr>
              <w:spacing w:after="0" w:line="240" w:lineRule="auto"/>
              <w:jc w:val="both"/>
              <w:rPr>
                <w:rFonts w:ascii="Times New Roman" w:hAnsi="Times New Roman"/>
                <w:b/>
                <w:sz w:val="24"/>
                <w:szCs w:val="24"/>
              </w:rPr>
            </w:pPr>
            <w:r w:rsidRPr="00385835">
              <w:rPr>
                <w:rFonts w:ascii="Times New Roman" w:hAnsi="Times New Roman"/>
                <w:b/>
                <w:sz w:val="24"/>
                <w:szCs w:val="24"/>
              </w:rPr>
              <w:t>Padidinti valstybės įdarbinimo tarnybos veiksmingumą ir labiau orientuoti į rezultatus</w:t>
            </w:r>
          </w:p>
        </w:tc>
      </w:tr>
      <w:tr w:rsidR="00385835" w:rsidRPr="00385835" w:rsidTr="00385835">
        <w:tc>
          <w:tcPr>
            <w:tcW w:w="9689" w:type="dxa"/>
            <w:gridSpan w:val="2"/>
            <w:shd w:val="clear" w:color="auto" w:fill="auto"/>
          </w:tcPr>
          <w:p w:rsidR="00385835" w:rsidRPr="00385835" w:rsidRDefault="00385835" w:rsidP="00385835">
            <w:pPr>
              <w:widowControl w:val="0"/>
              <w:tabs>
                <w:tab w:val="left" w:pos="622"/>
              </w:tabs>
              <w:spacing w:after="0" w:line="240" w:lineRule="auto"/>
              <w:ind w:firstLine="624"/>
              <w:jc w:val="both"/>
              <w:rPr>
                <w:rFonts w:ascii="Times New Roman" w:hAnsi="Times New Roman"/>
                <w:sz w:val="24"/>
                <w:szCs w:val="24"/>
              </w:rPr>
            </w:pPr>
            <w:r w:rsidRPr="00385835">
              <w:rPr>
                <w:rFonts w:ascii="Times New Roman" w:hAnsi="Times New Roman"/>
                <w:sz w:val="24"/>
                <w:szCs w:val="24"/>
              </w:rPr>
              <w:t xml:space="preserve">Per praėjusius keletą metų LDB sistemoje inicijuoti keli svarbūs pokyčiai, skirti sumažinti veiklos sąnaudas ir padidinti efektyvumą. 2010–2011 m. įvykdyta restruktūrizacija ir optimizuotas darbo biržos teritorinis tinklas: sukurta 10 teritorinių biržų su 49 skyriais miestų ir rajonų savivaldybėse, įsteigti jaunimo užimtumo poskyriai ir kt. Nuo 2012 m. pradėta diegti darbo biržos darbuotojų į rezultatus orientuotos veiklos vertinimo ir darbo apmokėjimo sistema. Aptarnaujant darbo ieškančius asmenis, pereita prie individualizuoto požiūrio ir taikomas darbo ieškančių asmenų profiliavimas, mažinamos paskatos dirbti tik su labiausiai darbo rinkai pasirengusiais asmenimis bei skatinama daugiau dėmesio skirti nekvalifikuotiems, ilgalaikiams ar kitokių sunkumų įsidarbinti turintiems asmenims. </w:t>
            </w:r>
          </w:p>
          <w:p w:rsidR="00385835" w:rsidRPr="00385835" w:rsidRDefault="00385835" w:rsidP="00385835">
            <w:pPr>
              <w:widowControl w:val="0"/>
              <w:tabs>
                <w:tab w:val="left" w:pos="622"/>
              </w:tabs>
              <w:spacing w:after="0" w:line="240" w:lineRule="auto"/>
              <w:ind w:firstLine="624"/>
              <w:jc w:val="both"/>
              <w:rPr>
                <w:rFonts w:ascii="Times New Roman" w:hAnsi="Times New Roman"/>
                <w:sz w:val="24"/>
                <w:szCs w:val="24"/>
              </w:rPr>
            </w:pPr>
            <w:r w:rsidRPr="00385835">
              <w:rPr>
                <w:rFonts w:ascii="Times New Roman" w:hAnsi="Times New Roman"/>
                <w:sz w:val="24"/>
                <w:szCs w:val="24"/>
              </w:rPr>
              <w:t>Būtini tolesni žingsniai</w:t>
            </w:r>
            <w:r w:rsidR="008776C6">
              <w:rPr>
                <w:rFonts w:ascii="Times New Roman" w:hAnsi="Times New Roman"/>
                <w:sz w:val="24"/>
                <w:szCs w:val="24"/>
              </w:rPr>
              <w:t>, gerinantys</w:t>
            </w:r>
            <w:r w:rsidRPr="00385835">
              <w:rPr>
                <w:rFonts w:ascii="Times New Roman" w:hAnsi="Times New Roman"/>
                <w:sz w:val="24"/>
                <w:szCs w:val="24"/>
              </w:rPr>
              <w:t xml:space="preserve"> darbo biržos teikiamų paslaugų veiksmingumą. Dabartinė bedarbių profiliavimo sistema nėra pakankamai išplėtota. Siekiant tiksliau nustatyti bedarbių pasirengimo darbo rinkai lygį</w:t>
            </w:r>
            <w:r w:rsidR="008776C6">
              <w:rPr>
                <w:rFonts w:ascii="Times New Roman" w:hAnsi="Times New Roman"/>
                <w:sz w:val="24"/>
                <w:szCs w:val="24"/>
              </w:rPr>
              <w:t>,</w:t>
            </w:r>
            <w:r w:rsidRPr="00385835">
              <w:rPr>
                <w:rFonts w:ascii="Times New Roman" w:hAnsi="Times New Roman"/>
                <w:sz w:val="24"/>
                <w:szCs w:val="24"/>
              </w:rPr>
              <w:t xml:space="preserve"> reiktų įvertinti daugiau kriterijų, atsižvelgti į situaciją konkrečiame sektoriuje. Trūksta nuoseklios LDB darbuotojų mokymo ir adaptacijos sistemos: nauji darbuotojai reikalingas žinias įgyja dirbdami, jie neturi pakankamai psichologinių žinių ir kompete</w:t>
            </w:r>
            <w:r w:rsidR="00321A7B">
              <w:rPr>
                <w:rFonts w:ascii="Times New Roman" w:hAnsi="Times New Roman"/>
                <w:sz w:val="24"/>
                <w:szCs w:val="24"/>
              </w:rPr>
              <w:t>ncijų</w:t>
            </w:r>
            <w:r w:rsidRPr="00385835">
              <w:rPr>
                <w:rFonts w:ascii="Times New Roman" w:hAnsi="Times New Roman"/>
                <w:sz w:val="24"/>
                <w:szCs w:val="24"/>
              </w:rPr>
              <w:t xml:space="preserve"> dirbti su nevienodai pasirengusiais darbo rinkai bei turinčiais skirtingą motyvaciją darbo ieškančiais asmenimis. Siekiant didinti individualių užimtumo veiklos planų veiksmingumą ir tuo pačiu mažinti laiką, per kurį užpildoma darbo biržoje registruota laisva darbo vieta, LDB darbuotojai turi remtis išsamia informacija apie darbo jėgos paklausą darbo rinkoje. Šiuo metu LDB remiasi tik trumpalaike darbo jėgos užimtumo prognoze. Trūksta </w:t>
            </w:r>
            <w:proofErr w:type="gramStart"/>
            <w:r w:rsidRPr="00385835">
              <w:rPr>
                <w:rFonts w:ascii="Times New Roman" w:hAnsi="Times New Roman"/>
                <w:sz w:val="24"/>
                <w:szCs w:val="24"/>
              </w:rPr>
              <w:t>ir veiksmingos ADRP priemonių stebėsenos ir vertinimo sistemos</w:t>
            </w:r>
            <w:proofErr w:type="gramEnd"/>
            <w:r w:rsidRPr="00385835">
              <w:rPr>
                <w:rFonts w:ascii="Times New Roman" w:hAnsi="Times New Roman"/>
                <w:sz w:val="24"/>
                <w:szCs w:val="24"/>
              </w:rPr>
              <w:t xml:space="preserve">. </w:t>
            </w:r>
          </w:p>
          <w:p w:rsidR="00385835" w:rsidRPr="00385835" w:rsidRDefault="00385835" w:rsidP="00385835">
            <w:pPr>
              <w:widowControl w:val="0"/>
              <w:tabs>
                <w:tab w:val="left" w:pos="622"/>
              </w:tabs>
              <w:spacing w:after="0" w:line="240" w:lineRule="auto"/>
              <w:ind w:firstLine="624"/>
              <w:jc w:val="both"/>
              <w:rPr>
                <w:rFonts w:ascii="Times New Roman" w:eastAsia="AngsanaUPC" w:hAnsi="Times New Roman"/>
                <w:bCs/>
                <w:sz w:val="24"/>
                <w:szCs w:val="24"/>
                <w:lang w:eastAsia="lt-LT"/>
              </w:rPr>
            </w:pPr>
            <w:r w:rsidRPr="00385835">
              <w:rPr>
                <w:rFonts w:ascii="Times New Roman" w:hAnsi="Times New Roman"/>
                <w:sz w:val="24"/>
                <w:szCs w:val="24"/>
              </w:rPr>
              <w:t xml:space="preserve">2014–2020 m. programavimo laikotarpiu bus įgyvendinamos priemonės, skirtos tobulinti valstybės įdarbinimo tarnybos sistemą. Darbo rinkos prognozavimo tobulinimas, numatant darbo jėgos poreikį ilgesniam nei </w:t>
            </w:r>
            <w:proofErr w:type="gramStart"/>
            <w:r w:rsidRPr="00385835">
              <w:rPr>
                <w:rFonts w:ascii="Times New Roman" w:hAnsi="Times New Roman"/>
                <w:sz w:val="24"/>
                <w:szCs w:val="24"/>
              </w:rPr>
              <w:t>vienų</w:t>
            </w:r>
            <w:proofErr w:type="gramEnd"/>
            <w:r w:rsidRPr="00385835">
              <w:rPr>
                <w:rFonts w:ascii="Times New Roman" w:hAnsi="Times New Roman"/>
                <w:sz w:val="24"/>
                <w:szCs w:val="24"/>
              </w:rPr>
              <w:t xml:space="preserve"> metų laikotarpiui ir prognozuojant ne tik paklausias profesijas, bet ir reikiamas kvalifikacijas ir kompetencijas, leis LDB tiksliau planuoti  ir įgyvendinti veiksmus, skirtus aprūpinti darbdavius  reikiama darbo jėga, taip sutrumpinant laisvų darbo vietų užpildymo trukmę. Patobulinta profiliavimo sistema leis tiksliau identifikuoti darbo ieškančio asmens tinkamumą konkrečiai darbo vietai ir sutrumpins kandidatų į laisvą darbo vietą atrankos procesą, o patobulintos darbo biržos darbuotojų kompetencijos užtikrins veiksmingas tarpininkavimo įdarbinant paslaugas. Taip pat bus išvystyta darbuotojų adaptacijos ir kompetencijos tobulinimo sistema. LDB paslaugų kokybė ir prieinamumas bus sistemingai vertinami, o atsižvelgiant į vertinimo rezultatus bus patobulintos esamos ir sukurtos naujos paslaugos, siekiant kiekvienam darbo ieškančiam asmeniui pasiūlyti individualius poreikius ir </w:t>
            </w:r>
            <w:r w:rsidRPr="00385835">
              <w:rPr>
                <w:rFonts w:ascii="Times New Roman" w:hAnsi="Times New Roman"/>
                <w:sz w:val="24"/>
                <w:szCs w:val="24"/>
              </w:rPr>
              <w:lastRenderedPageBreak/>
              <w:t xml:space="preserve">darbo rinkos perspektyvą atitinkančias paslaugas. </w:t>
            </w:r>
          </w:p>
        </w:tc>
      </w:tr>
    </w:tbl>
    <w:p w:rsidR="00463952" w:rsidRPr="00385835" w:rsidRDefault="00463952"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3"/>
        <w:gridCol w:w="992"/>
        <w:gridCol w:w="851"/>
        <w:gridCol w:w="992"/>
        <w:gridCol w:w="567"/>
        <w:gridCol w:w="851"/>
        <w:gridCol w:w="567"/>
        <w:gridCol w:w="425"/>
        <w:gridCol w:w="1134"/>
        <w:gridCol w:w="992"/>
      </w:tblGrid>
      <w:tr w:rsidR="00385835" w:rsidRPr="00385835" w:rsidTr="00385835">
        <w:tc>
          <w:tcPr>
            <w:tcW w:w="9781" w:type="dxa"/>
            <w:gridSpan w:val="11"/>
            <w:tcBorders>
              <w:top w:val="single" w:sz="4" w:space="0" w:color="auto"/>
              <w:left w:val="single" w:sz="4" w:space="0" w:color="auto"/>
              <w:bottom w:val="single" w:sz="4" w:space="0" w:color="auto"/>
              <w:right w:val="single" w:sz="4" w:space="0" w:color="auto"/>
            </w:tcBorders>
            <w:shd w:val="clear" w:color="auto" w:fill="EEECE1"/>
          </w:tcPr>
          <w:p w:rsidR="00385835" w:rsidRPr="00385835" w:rsidRDefault="00385835" w:rsidP="00B1109C">
            <w:pPr>
              <w:widowControl w:val="0"/>
              <w:tabs>
                <w:tab w:val="left" w:pos="622"/>
              </w:tabs>
              <w:spacing w:after="0" w:line="240" w:lineRule="auto"/>
              <w:jc w:val="both"/>
              <w:rPr>
                <w:rFonts w:ascii="Times New Roman" w:eastAsia="AngsanaUPC" w:hAnsi="Times New Roman"/>
                <w:b/>
                <w:bCs/>
                <w:i/>
                <w:iCs/>
                <w:sz w:val="24"/>
                <w:szCs w:val="24"/>
                <w:lang w:eastAsia="lt-LT"/>
              </w:rPr>
            </w:pPr>
            <w:r w:rsidRPr="00385835">
              <w:rPr>
                <w:rFonts w:ascii="Times New Roman" w:eastAsia="AngsanaUPC" w:hAnsi="Times New Roman"/>
                <w:b/>
                <w:bCs/>
                <w:i/>
                <w:iCs/>
                <w:sz w:val="24"/>
                <w:szCs w:val="24"/>
                <w:lang w:eastAsia="lt-LT"/>
              </w:rPr>
              <w:t xml:space="preserve">ESF </w:t>
            </w:r>
            <w:r w:rsidR="00A9401B">
              <w:rPr>
                <w:rFonts w:ascii="Times New Roman" w:eastAsia="AngsanaUPC" w:hAnsi="Times New Roman"/>
                <w:b/>
                <w:bCs/>
                <w:i/>
                <w:iCs/>
                <w:sz w:val="24"/>
                <w:szCs w:val="24"/>
                <w:lang w:eastAsia="lt-LT"/>
              </w:rPr>
              <w:t xml:space="preserve">bendrieji ir </w:t>
            </w:r>
            <w:r w:rsidR="00B1109C">
              <w:rPr>
                <w:rFonts w:ascii="Times New Roman" w:eastAsia="AngsanaUPC" w:hAnsi="Times New Roman"/>
                <w:b/>
                <w:bCs/>
                <w:i/>
                <w:iCs/>
                <w:sz w:val="24"/>
                <w:szCs w:val="24"/>
                <w:lang w:eastAsia="lt-LT"/>
              </w:rPr>
              <w:t xml:space="preserve">specialieji </w:t>
            </w:r>
            <w:r w:rsidRPr="00385835">
              <w:rPr>
                <w:rFonts w:ascii="Times New Roman" w:eastAsia="AngsanaUPC" w:hAnsi="Times New Roman"/>
                <w:b/>
                <w:bCs/>
                <w:i/>
                <w:iCs/>
                <w:sz w:val="24"/>
                <w:szCs w:val="24"/>
                <w:lang w:eastAsia="lt-LT"/>
              </w:rPr>
              <w:t>programos rezultato rodikliai</w:t>
            </w:r>
          </w:p>
        </w:tc>
      </w:tr>
      <w:tr w:rsidR="00385835" w:rsidRPr="00385835" w:rsidTr="00385835">
        <w:trPr>
          <w:cantSplit/>
          <w:trHeight w:val="1837"/>
        </w:trPr>
        <w:tc>
          <w:tcPr>
            <w:tcW w:w="567"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Nr.</w:t>
            </w:r>
          </w:p>
        </w:tc>
        <w:tc>
          <w:tcPr>
            <w:tcW w:w="1843"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Rodiklio pavadinimas</w:t>
            </w:r>
          </w:p>
        </w:tc>
        <w:tc>
          <w:tcPr>
            <w:tcW w:w="992"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Regiono kategorija</w:t>
            </w:r>
          </w:p>
        </w:tc>
        <w:tc>
          <w:tcPr>
            <w:tcW w:w="851"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Matavimo vienetas</w:t>
            </w:r>
          </w:p>
        </w:tc>
        <w:tc>
          <w:tcPr>
            <w:tcW w:w="992"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Bendrasis produkto rodiklis, naudotas kaip pagrindas</w:t>
            </w:r>
          </w:p>
        </w:tc>
        <w:tc>
          <w:tcPr>
            <w:tcW w:w="567" w:type="dxa"/>
            <w:tcBorders>
              <w:bottom w:val="single" w:sz="4" w:space="0" w:color="auto"/>
            </w:tcBorders>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 reikšmė</w:t>
            </w:r>
          </w:p>
        </w:tc>
        <w:tc>
          <w:tcPr>
            <w:tcW w:w="851" w:type="dxa"/>
            <w:tcBorders>
              <w:bottom w:val="single" w:sz="4" w:space="0" w:color="auto"/>
            </w:tcBorders>
            <w:shd w:val="clear" w:color="auto" w:fill="EEECE1"/>
            <w:textDirection w:val="btLr"/>
            <w:vAlign w:val="center"/>
          </w:tcPr>
          <w:p w:rsidR="00385835" w:rsidRPr="00385835" w:rsidRDefault="00385835" w:rsidP="00385835">
            <w:pPr>
              <w:spacing w:after="0" w:line="240" w:lineRule="auto"/>
              <w:jc w:val="center"/>
              <w:rPr>
                <w:rFonts w:ascii="Times New Roman" w:hAnsi="Times New Roman"/>
                <w:b/>
                <w:sz w:val="18"/>
                <w:szCs w:val="18"/>
                <w:lang w:eastAsia="lt-LT"/>
              </w:rPr>
            </w:pPr>
            <w:r w:rsidRPr="00385835">
              <w:rPr>
                <w:rFonts w:ascii="Times New Roman" w:hAnsi="Times New Roman"/>
                <w:b/>
                <w:sz w:val="18"/>
                <w:szCs w:val="18"/>
                <w:lang w:eastAsia="lt-LT"/>
              </w:rPr>
              <w:t>Pradinės ir siektinos reikšmės matavimo vienetai</w:t>
            </w:r>
          </w:p>
        </w:tc>
        <w:tc>
          <w:tcPr>
            <w:tcW w:w="567" w:type="dxa"/>
            <w:tcBorders>
              <w:bottom w:val="single" w:sz="4" w:space="0" w:color="auto"/>
            </w:tcBorders>
            <w:shd w:val="clear" w:color="auto" w:fill="EEECE1"/>
            <w:textDirection w:val="btLr"/>
            <w:vAlign w:val="center"/>
          </w:tcPr>
          <w:p w:rsidR="00385835" w:rsidRPr="00385835" w:rsidRDefault="00385835" w:rsidP="00385835">
            <w:pPr>
              <w:spacing w:after="0" w:line="240" w:lineRule="auto"/>
              <w:jc w:val="center"/>
              <w:rPr>
                <w:rFonts w:ascii="Times New Roman" w:hAnsi="Times New Roman"/>
                <w:b/>
                <w:sz w:val="18"/>
                <w:szCs w:val="18"/>
                <w:lang w:eastAsia="lt-LT"/>
              </w:rPr>
            </w:pPr>
            <w:r w:rsidRPr="00385835">
              <w:rPr>
                <w:rFonts w:ascii="Times New Roman" w:hAnsi="Times New Roman"/>
                <w:b/>
                <w:sz w:val="18"/>
                <w:szCs w:val="18"/>
                <w:lang w:eastAsia="lt-LT"/>
              </w:rPr>
              <w:t>Pradinės reikšmės metai</w:t>
            </w:r>
          </w:p>
        </w:tc>
        <w:tc>
          <w:tcPr>
            <w:tcW w:w="425" w:type="dxa"/>
            <w:tcBorders>
              <w:bottom w:val="single" w:sz="4" w:space="0" w:color="auto"/>
            </w:tcBorders>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Siektina reikšmė (2023)</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Duomenų šaltinis</w:t>
            </w:r>
          </w:p>
        </w:tc>
        <w:tc>
          <w:tcPr>
            <w:tcW w:w="992"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Atsiskaitymo dažnumas</w:t>
            </w:r>
          </w:p>
        </w:tc>
      </w:tr>
      <w:tr w:rsidR="00385835" w:rsidRPr="00385835" w:rsidTr="00385835">
        <w:tc>
          <w:tcPr>
            <w:tcW w:w="56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6"/>
                <w:szCs w:val="16"/>
                <w:lang w:eastAsia="lt-LT"/>
              </w:rPr>
            </w:pPr>
            <w:r w:rsidRPr="00385835">
              <w:rPr>
                <w:rFonts w:ascii="Times New Roman" w:eastAsia="AngsanaUPC" w:hAnsi="Times New Roman"/>
                <w:bCs/>
                <w:iCs/>
                <w:sz w:val="16"/>
                <w:szCs w:val="16"/>
                <w:lang w:eastAsia="lt-LT"/>
              </w:rPr>
              <w:t>1.</w:t>
            </w:r>
          </w:p>
        </w:tc>
        <w:tc>
          <w:tcPr>
            <w:tcW w:w="1843" w:type="dxa"/>
            <w:shd w:val="clear" w:color="auto" w:fill="auto"/>
            <w:vAlign w:val="center"/>
          </w:tcPr>
          <w:p w:rsidR="00385835" w:rsidRPr="00385835" w:rsidRDefault="00385835" w:rsidP="00385835">
            <w:pPr>
              <w:spacing w:after="0" w:line="240" w:lineRule="auto"/>
              <w:rPr>
                <w:rFonts w:ascii="Times New Roman" w:eastAsia="Times New Roman" w:hAnsi="Times New Roman"/>
                <w:bCs/>
                <w:sz w:val="16"/>
                <w:szCs w:val="16"/>
              </w:rPr>
            </w:pPr>
            <w:r w:rsidRPr="00385835">
              <w:rPr>
                <w:rFonts w:ascii="Times New Roman" w:eastAsia="Times New Roman" w:hAnsi="Times New Roman"/>
                <w:bCs/>
                <w:sz w:val="16"/>
                <w:szCs w:val="16"/>
              </w:rPr>
              <w:t>Laisvos darbo vietos užpildymo vidutinė trukmė</w:t>
            </w:r>
          </w:p>
        </w:tc>
        <w:tc>
          <w:tcPr>
            <w:tcW w:w="992" w:type="dxa"/>
            <w:shd w:val="clear" w:color="auto" w:fill="auto"/>
            <w:vAlign w:val="center"/>
          </w:tcPr>
          <w:p w:rsidR="00385835" w:rsidRPr="00385835" w:rsidRDefault="00385835" w:rsidP="00385835">
            <w:pPr>
              <w:spacing w:after="0" w:line="240" w:lineRule="auto"/>
              <w:jc w:val="center"/>
              <w:rPr>
                <w:rFonts w:ascii="Times New Roman" w:eastAsia="Times New Roman" w:hAnsi="Times New Roman"/>
                <w:bCs/>
                <w:sz w:val="16"/>
                <w:szCs w:val="16"/>
              </w:rPr>
            </w:pPr>
            <w:r w:rsidRPr="00385835">
              <w:rPr>
                <w:rFonts w:ascii="Times New Roman" w:eastAsia="Times New Roman" w:hAnsi="Times New Roman"/>
                <w:bCs/>
                <w:sz w:val="16"/>
                <w:szCs w:val="16"/>
              </w:rPr>
              <w:t>Mažiau išsivystęs</w:t>
            </w:r>
          </w:p>
        </w:tc>
        <w:tc>
          <w:tcPr>
            <w:tcW w:w="851" w:type="dxa"/>
            <w:shd w:val="clear" w:color="auto" w:fill="auto"/>
            <w:vAlign w:val="center"/>
          </w:tcPr>
          <w:p w:rsidR="00385835" w:rsidRPr="00385835" w:rsidRDefault="00385835" w:rsidP="00385835">
            <w:pPr>
              <w:spacing w:after="0" w:line="240" w:lineRule="auto"/>
              <w:jc w:val="center"/>
              <w:rPr>
                <w:rFonts w:ascii="Times New Roman" w:eastAsia="Times New Roman" w:hAnsi="Times New Roman"/>
                <w:bCs/>
                <w:sz w:val="16"/>
                <w:szCs w:val="16"/>
              </w:rPr>
            </w:pPr>
            <w:r w:rsidRPr="00385835">
              <w:rPr>
                <w:rFonts w:ascii="Times New Roman" w:eastAsia="Times New Roman" w:hAnsi="Times New Roman"/>
                <w:bCs/>
                <w:sz w:val="16"/>
                <w:szCs w:val="16"/>
              </w:rPr>
              <w:t>Darbo dienų skaičius</w:t>
            </w:r>
          </w:p>
        </w:tc>
        <w:tc>
          <w:tcPr>
            <w:tcW w:w="992"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6"/>
                <w:szCs w:val="16"/>
                <w:lang w:eastAsia="lt-LT"/>
              </w:rPr>
            </w:pPr>
            <w:r w:rsidRPr="00385835">
              <w:rPr>
                <w:rFonts w:ascii="Times New Roman" w:eastAsia="AngsanaUPC" w:hAnsi="Times New Roman"/>
                <w:bCs/>
                <w:iCs/>
                <w:sz w:val="16"/>
                <w:szCs w:val="16"/>
                <w:lang w:eastAsia="lt-LT"/>
              </w:rPr>
              <w:t>-</w:t>
            </w:r>
          </w:p>
        </w:tc>
        <w:tc>
          <w:tcPr>
            <w:tcW w:w="56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6"/>
                <w:szCs w:val="16"/>
                <w:lang w:eastAsia="lt-LT"/>
              </w:rPr>
            </w:pPr>
            <w:r w:rsidRPr="00385835">
              <w:rPr>
                <w:rFonts w:ascii="Times New Roman" w:eastAsia="AngsanaUPC" w:hAnsi="Times New Roman"/>
                <w:bCs/>
                <w:iCs/>
                <w:sz w:val="16"/>
                <w:szCs w:val="16"/>
                <w:lang w:eastAsia="lt-LT"/>
              </w:rPr>
              <w:t>13,7</w:t>
            </w:r>
          </w:p>
        </w:tc>
        <w:tc>
          <w:tcPr>
            <w:tcW w:w="85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6"/>
                <w:szCs w:val="16"/>
                <w:lang w:eastAsia="lt-LT"/>
              </w:rPr>
            </w:pPr>
            <w:r w:rsidRPr="00385835">
              <w:rPr>
                <w:rFonts w:ascii="Times New Roman" w:eastAsia="AngsanaUPC" w:hAnsi="Times New Roman"/>
                <w:bCs/>
                <w:iCs/>
                <w:sz w:val="16"/>
                <w:szCs w:val="16"/>
                <w:lang w:eastAsia="lt-LT"/>
              </w:rPr>
              <w:t>Skaičius</w:t>
            </w:r>
          </w:p>
        </w:tc>
        <w:tc>
          <w:tcPr>
            <w:tcW w:w="56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6"/>
                <w:szCs w:val="16"/>
                <w:lang w:eastAsia="lt-LT"/>
              </w:rPr>
            </w:pPr>
            <w:r w:rsidRPr="00385835">
              <w:rPr>
                <w:rFonts w:ascii="Times New Roman" w:eastAsia="AngsanaUPC" w:hAnsi="Times New Roman"/>
                <w:bCs/>
                <w:iCs/>
                <w:sz w:val="16"/>
                <w:szCs w:val="16"/>
                <w:lang w:eastAsia="lt-LT"/>
              </w:rPr>
              <w:t>2011</w:t>
            </w:r>
          </w:p>
        </w:tc>
        <w:tc>
          <w:tcPr>
            <w:tcW w:w="425"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6"/>
                <w:szCs w:val="16"/>
                <w:lang w:val="en-US" w:eastAsia="lt-LT"/>
              </w:rPr>
            </w:pPr>
            <w:r w:rsidRPr="00385835">
              <w:rPr>
                <w:rFonts w:ascii="Times New Roman" w:eastAsia="AngsanaUPC" w:hAnsi="Times New Roman"/>
                <w:bCs/>
                <w:iCs/>
                <w:sz w:val="16"/>
                <w:szCs w:val="16"/>
                <w:lang w:val="en-US" w:eastAsia="lt-LT"/>
              </w:rPr>
              <w:t>8,7</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6"/>
                <w:szCs w:val="16"/>
                <w:lang w:eastAsia="lt-LT"/>
              </w:rPr>
            </w:pPr>
            <w:r w:rsidRPr="00385835">
              <w:rPr>
                <w:rFonts w:ascii="Times New Roman" w:eastAsia="AngsanaUPC" w:hAnsi="Times New Roman"/>
                <w:bCs/>
                <w:iCs/>
                <w:sz w:val="16"/>
                <w:szCs w:val="16"/>
                <w:lang w:eastAsia="lt-LT"/>
              </w:rPr>
              <w:t>Duomenys iš projektų</w:t>
            </w:r>
          </w:p>
        </w:tc>
        <w:tc>
          <w:tcPr>
            <w:tcW w:w="992"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6"/>
                <w:szCs w:val="16"/>
                <w:lang w:eastAsia="lt-LT"/>
              </w:rPr>
            </w:pPr>
            <w:r w:rsidRPr="00385835">
              <w:rPr>
                <w:rFonts w:ascii="Times New Roman" w:eastAsia="AngsanaUPC" w:hAnsi="Times New Roman"/>
                <w:bCs/>
                <w:iCs/>
                <w:sz w:val="16"/>
                <w:szCs w:val="16"/>
                <w:lang w:eastAsia="lt-LT"/>
              </w:rPr>
              <w:t>Kartą per metus</w:t>
            </w:r>
          </w:p>
        </w:tc>
      </w:tr>
      <w:tr w:rsidR="00385835" w:rsidRPr="00385835" w:rsidTr="00385835">
        <w:tc>
          <w:tcPr>
            <w:tcW w:w="567" w:type="dxa"/>
            <w:shd w:val="clear" w:color="auto" w:fill="auto"/>
            <w:vAlign w:val="center"/>
          </w:tcPr>
          <w:p w:rsidR="00385835" w:rsidRPr="00385835" w:rsidDel="008A4FA4" w:rsidRDefault="00385835" w:rsidP="00385835">
            <w:pPr>
              <w:widowControl w:val="0"/>
              <w:tabs>
                <w:tab w:val="left" w:pos="622"/>
              </w:tabs>
              <w:spacing w:after="0" w:line="240" w:lineRule="auto"/>
              <w:jc w:val="center"/>
              <w:rPr>
                <w:rFonts w:ascii="Times New Roman" w:eastAsia="AngsanaUPC" w:hAnsi="Times New Roman"/>
                <w:bCs/>
                <w:iCs/>
                <w:sz w:val="16"/>
                <w:szCs w:val="16"/>
                <w:lang w:eastAsia="lt-LT"/>
              </w:rPr>
            </w:pPr>
            <w:r w:rsidRPr="00385835">
              <w:rPr>
                <w:rFonts w:ascii="Times New Roman" w:eastAsia="AngsanaUPC" w:hAnsi="Times New Roman"/>
                <w:bCs/>
                <w:iCs/>
                <w:sz w:val="16"/>
                <w:szCs w:val="16"/>
                <w:lang w:eastAsia="lt-LT"/>
              </w:rPr>
              <w:t>2.</w:t>
            </w:r>
          </w:p>
        </w:tc>
        <w:tc>
          <w:tcPr>
            <w:tcW w:w="1843" w:type="dxa"/>
            <w:shd w:val="clear" w:color="auto" w:fill="auto"/>
            <w:vAlign w:val="center"/>
          </w:tcPr>
          <w:p w:rsidR="00385835" w:rsidRPr="00385835" w:rsidRDefault="00385835" w:rsidP="00385835">
            <w:pPr>
              <w:spacing w:after="0" w:line="240" w:lineRule="auto"/>
              <w:rPr>
                <w:rFonts w:ascii="Times New Roman" w:eastAsia="Times New Roman" w:hAnsi="Times New Roman"/>
                <w:bCs/>
                <w:sz w:val="16"/>
                <w:szCs w:val="16"/>
              </w:rPr>
            </w:pPr>
            <w:r w:rsidRPr="00385835">
              <w:rPr>
                <w:rFonts w:ascii="Times New Roman" w:eastAsia="Times New Roman" w:hAnsi="Times New Roman"/>
                <w:bCs/>
                <w:sz w:val="16"/>
                <w:szCs w:val="16"/>
              </w:rPr>
              <w:t xml:space="preserve">Lietuvos darbo biržos darbuotojai, kurie po dalyvavimo ESF veiklose įgijo kvalifikaciją* </w:t>
            </w:r>
          </w:p>
        </w:tc>
        <w:tc>
          <w:tcPr>
            <w:tcW w:w="992" w:type="dxa"/>
            <w:shd w:val="clear" w:color="auto" w:fill="auto"/>
            <w:vAlign w:val="center"/>
          </w:tcPr>
          <w:p w:rsidR="00385835" w:rsidRPr="00385835" w:rsidRDefault="00385835" w:rsidP="00385835">
            <w:pPr>
              <w:spacing w:after="0" w:line="240" w:lineRule="auto"/>
              <w:jc w:val="center"/>
              <w:rPr>
                <w:rFonts w:ascii="Times New Roman" w:eastAsia="Times New Roman" w:hAnsi="Times New Roman"/>
                <w:bCs/>
                <w:sz w:val="16"/>
                <w:szCs w:val="16"/>
              </w:rPr>
            </w:pPr>
            <w:r w:rsidRPr="00385835">
              <w:rPr>
                <w:rFonts w:ascii="Times New Roman" w:eastAsia="Times New Roman" w:hAnsi="Times New Roman"/>
                <w:bCs/>
                <w:sz w:val="16"/>
                <w:szCs w:val="16"/>
              </w:rPr>
              <w:t>Mažiau išsivystęs</w:t>
            </w:r>
          </w:p>
        </w:tc>
        <w:tc>
          <w:tcPr>
            <w:tcW w:w="851" w:type="dxa"/>
            <w:shd w:val="clear" w:color="auto" w:fill="auto"/>
            <w:vAlign w:val="center"/>
          </w:tcPr>
          <w:p w:rsidR="00385835" w:rsidRPr="00385835" w:rsidDel="008A4FA4" w:rsidRDefault="00385835" w:rsidP="00385835">
            <w:pPr>
              <w:spacing w:after="0" w:line="240" w:lineRule="auto"/>
              <w:jc w:val="center"/>
              <w:rPr>
                <w:rFonts w:ascii="Times New Roman" w:eastAsia="Times New Roman" w:hAnsi="Times New Roman"/>
                <w:bCs/>
                <w:sz w:val="16"/>
                <w:szCs w:val="16"/>
              </w:rPr>
            </w:pPr>
            <w:r w:rsidRPr="00385835">
              <w:rPr>
                <w:rFonts w:ascii="Times New Roman" w:eastAsia="Times New Roman" w:hAnsi="Times New Roman"/>
                <w:bCs/>
                <w:sz w:val="16"/>
                <w:szCs w:val="16"/>
              </w:rPr>
              <w:t xml:space="preserve">Asmenys </w:t>
            </w:r>
          </w:p>
        </w:tc>
        <w:tc>
          <w:tcPr>
            <w:tcW w:w="992"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6"/>
                <w:szCs w:val="16"/>
                <w:lang w:eastAsia="lt-LT"/>
              </w:rPr>
            </w:pPr>
            <w:r w:rsidRPr="00385835">
              <w:rPr>
                <w:rFonts w:ascii="Times New Roman" w:eastAsia="AngsanaUPC" w:hAnsi="Times New Roman"/>
                <w:bCs/>
                <w:iCs/>
                <w:sz w:val="16"/>
                <w:szCs w:val="16"/>
                <w:lang w:eastAsia="lt-LT"/>
              </w:rPr>
              <w:t>-</w:t>
            </w:r>
          </w:p>
        </w:tc>
        <w:tc>
          <w:tcPr>
            <w:tcW w:w="567" w:type="dxa"/>
            <w:shd w:val="clear" w:color="auto" w:fill="auto"/>
            <w:vAlign w:val="center"/>
          </w:tcPr>
          <w:p w:rsidR="00385835" w:rsidRPr="00385835" w:rsidDel="008A4FA4" w:rsidRDefault="00385835" w:rsidP="00385835">
            <w:pPr>
              <w:widowControl w:val="0"/>
              <w:tabs>
                <w:tab w:val="left" w:pos="622"/>
              </w:tabs>
              <w:spacing w:after="0" w:line="240" w:lineRule="auto"/>
              <w:jc w:val="center"/>
              <w:rPr>
                <w:rFonts w:ascii="Times New Roman" w:eastAsia="AngsanaUPC" w:hAnsi="Times New Roman"/>
                <w:bCs/>
                <w:iCs/>
                <w:sz w:val="16"/>
                <w:szCs w:val="16"/>
                <w:lang w:eastAsia="lt-LT"/>
              </w:rPr>
            </w:pPr>
            <w:r w:rsidRPr="00385835">
              <w:rPr>
                <w:rFonts w:ascii="Times New Roman" w:eastAsia="AngsanaUPC" w:hAnsi="Times New Roman"/>
                <w:bCs/>
                <w:iCs/>
                <w:sz w:val="16"/>
                <w:szCs w:val="16"/>
                <w:lang w:eastAsia="lt-LT"/>
              </w:rPr>
              <w:t>96</w:t>
            </w:r>
          </w:p>
        </w:tc>
        <w:tc>
          <w:tcPr>
            <w:tcW w:w="851" w:type="dxa"/>
            <w:shd w:val="clear" w:color="auto" w:fill="auto"/>
            <w:vAlign w:val="center"/>
          </w:tcPr>
          <w:p w:rsidR="00385835" w:rsidRPr="00385835" w:rsidDel="008A4FA4" w:rsidRDefault="00385835" w:rsidP="00385835">
            <w:pPr>
              <w:widowControl w:val="0"/>
              <w:tabs>
                <w:tab w:val="left" w:pos="622"/>
              </w:tabs>
              <w:spacing w:after="0" w:line="240" w:lineRule="auto"/>
              <w:jc w:val="center"/>
              <w:rPr>
                <w:rFonts w:ascii="Times New Roman" w:eastAsia="AngsanaUPC" w:hAnsi="Times New Roman"/>
                <w:bCs/>
                <w:iCs/>
                <w:sz w:val="16"/>
                <w:szCs w:val="16"/>
                <w:lang w:eastAsia="lt-LT"/>
              </w:rPr>
            </w:pPr>
            <w:r w:rsidRPr="00385835">
              <w:rPr>
                <w:rFonts w:ascii="Times New Roman" w:eastAsia="AngsanaUPC" w:hAnsi="Times New Roman"/>
                <w:bCs/>
                <w:iCs/>
                <w:sz w:val="16"/>
                <w:szCs w:val="16"/>
                <w:lang w:eastAsia="lt-LT"/>
              </w:rPr>
              <w:t>Proc.</w:t>
            </w:r>
          </w:p>
        </w:tc>
        <w:tc>
          <w:tcPr>
            <w:tcW w:w="567" w:type="dxa"/>
            <w:shd w:val="clear" w:color="auto" w:fill="auto"/>
            <w:vAlign w:val="center"/>
          </w:tcPr>
          <w:p w:rsidR="00385835" w:rsidRPr="00385835" w:rsidDel="008A4FA4" w:rsidRDefault="00385835" w:rsidP="00385835">
            <w:pPr>
              <w:widowControl w:val="0"/>
              <w:tabs>
                <w:tab w:val="left" w:pos="622"/>
              </w:tabs>
              <w:spacing w:after="0" w:line="240" w:lineRule="auto"/>
              <w:jc w:val="center"/>
              <w:rPr>
                <w:rFonts w:ascii="Times New Roman" w:eastAsia="AngsanaUPC" w:hAnsi="Times New Roman"/>
                <w:bCs/>
                <w:iCs/>
                <w:sz w:val="16"/>
                <w:szCs w:val="16"/>
                <w:lang w:eastAsia="lt-LT"/>
              </w:rPr>
            </w:pPr>
            <w:r w:rsidRPr="00385835">
              <w:rPr>
                <w:rFonts w:ascii="Times New Roman" w:eastAsia="AngsanaUPC" w:hAnsi="Times New Roman"/>
                <w:bCs/>
                <w:iCs/>
                <w:sz w:val="16"/>
                <w:szCs w:val="16"/>
                <w:lang w:eastAsia="lt-LT"/>
              </w:rPr>
              <w:t>2012</w:t>
            </w:r>
          </w:p>
        </w:tc>
        <w:tc>
          <w:tcPr>
            <w:tcW w:w="425" w:type="dxa"/>
            <w:shd w:val="clear" w:color="auto" w:fill="auto"/>
            <w:vAlign w:val="center"/>
          </w:tcPr>
          <w:p w:rsidR="00385835" w:rsidRPr="00385835" w:rsidDel="008A4FA4" w:rsidRDefault="00385835" w:rsidP="00385835">
            <w:pPr>
              <w:widowControl w:val="0"/>
              <w:tabs>
                <w:tab w:val="left" w:pos="622"/>
              </w:tabs>
              <w:spacing w:after="0" w:line="240" w:lineRule="auto"/>
              <w:jc w:val="center"/>
              <w:rPr>
                <w:rFonts w:ascii="Times New Roman" w:eastAsia="AngsanaUPC" w:hAnsi="Times New Roman"/>
                <w:bCs/>
                <w:iCs/>
                <w:sz w:val="16"/>
                <w:szCs w:val="16"/>
                <w:lang w:eastAsia="lt-LT"/>
              </w:rPr>
            </w:pPr>
            <w:r w:rsidRPr="00385835">
              <w:rPr>
                <w:rFonts w:ascii="Times New Roman" w:eastAsia="AngsanaUPC" w:hAnsi="Times New Roman"/>
                <w:bCs/>
                <w:iCs/>
                <w:sz w:val="16"/>
                <w:szCs w:val="16"/>
                <w:lang w:eastAsia="lt-LT"/>
              </w:rPr>
              <w:t>98</w:t>
            </w:r>
          </w:p>
        </w:tc>
        <w:tc>
          <w:tcPr>
            <w:tcW w:w="1134" w:type="dxa"/>
            <w:shd w:val="clear" w:color="auto" w:fill="auto"/>
            <w:vAlign w:val="center"/>
          </w:tcPr>
          <w:p w:rsidR="00385835" w:rsidRPr="00385835" w:rsidDel="008A4FA4" w:rsidRDefault="00385835" w:rsidP="00385835">
            <w:pPr>
              <w:widowControl w:val="0"/>
              <w:tabs>
                <w:tab w:val="left" w:pos="622"/>
              </w:tabs>
              <w:spacing w:after="0" w:line="240" w:lineRule="auto"/>
              <w:jc w:val="center"/>
              <w:rPr>
                <w:rFonts w:ascii="Times New Roman" w:eastAsia="AngsanaUPC" w:hAnsi="Times New Roman"/>
                <w:bCs/>
                <w:iCs/>
                <w:sz w:val="16"/>
                <w:szCs w:val="16"/>
                <w:lang w:eastAsia="lt-LT"/>
              </w:rPr>
            </w:pPr>
            <w:r w:rsidRPr="00385835">
              <w:rPr>
                <w:rFonts w:ascii="Times New Roman" w:eastAsia="AngsanaUPC" w:hAnsi="Times New Roman"/>
                <w:bCs/>
                <w:iCs/>
                <w:sz w:val="16"/>
                <w:szCs w:val="16"/>
                <w:lang w:eastAsia="lt-LT"/>
              </w:rPr>
              <w:t>Duomenys iš projektų</w:t>
            </w:r>
          </w:p>
        </w:tc>
        <w:tc>
          <w:tcPr>
            <w:tcW w:w="992"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6"/>
                <w:szCs w:val="16"/>
                <w:lang w:eastAsia="lt-LT"/>
              </w:rPr>
            </w:pPr>
            <w:r w:rsidRPr="00385835">
              <w:rPr>
                <w:rFonts w:ascii="Times New Roman" w:eastAsia="AngsanaUPC" w:hAnsi="Times New Roman"/>
                <w:bCs/>
                <w:iCs/>
                <w:sz w:val="16"/>
                <w:szCs w:val="16"/>
                <w:lang w:eastAsia="lt-LT"/>
              </w:rPr>
              <w:t>Kartą per metus</w:t>
            </w:r>
          </w:p>
        </w:tc>
      </w:tr>
      <w:tr w:rsidR="00385835" w:rsidRPr="00385835" w:rsidTr="00385835">
        <w:tc>
          <w:tcPr>
            <w:tcW w:w="56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6"/>
                <w:szCs w:val="16"/>
                <w:lang w:eastAsia="lt-LT"/>
              </w:rPr>
            </w:pPr>
            <w:r w:rsidRPr="00385835">
              <w:rPr>
                <w:rFonts w:ascii="Times New Roman" w:eastAsia="AngsanaUPC" w:hAnsi="Times New Roman"/>
                <w:bCs/>
                <w:iCs/>
                <w:sz w:val="16"/>
                <w:szCs w:val="16"/>
                <w:lang w:eastAsia="lt-LT"/>
              </w:rPr>
              <w:t>3.</w:t>
            </w:r>
          </w:p>
        </w:tc>
        <w:tc>
          <w:tcPr>
            <w:tcW w:w="1843" w:type="dxa"/>
            <w:shd w:val="clear" w:color="auto" w:fill="auto"/>
            <w:vAlign w:val="center"/>
          </w:tcPr>
          <w:p w:rsidR="00385835" w:rsidRPr="00385835" w:rsidRDefault="00385835" w:rsidP="00385835">
            <w:pPr>
              <w:spacing w:after="0" w:line="240" w:lineRule="auto"/>
              <w:rPr>
                <w:rFonts w:ascii="Times New Roman" w:eastAsia="Times New Roman" w:hAnsi="Times New Roman"/>
                <w:bCs/>
                <w:sz w:val="16"/>
                <w:szCs w:val="16"/>
              </w:rPr>
            </w:pPr>
            <w:r w:rsidRPr="00385835">
              <w:rPr>
                <w:rFonts w:ascii="Times New Roman" w:eastAsia="Times New Roman" w:hAnsi="Times New Roman"/>
                <w:bCs/>
                <w:sz w:val="16"/>
                <w:szCs w:val="16"/>
              </w:rPr>
              <w:t xml:space="preserve">Sukurta </w:t>
            </w:r>
            <w:proofErr w:type="gramStart"/>
            <w:r w:rsidRPr="00385835">
              <w:rPr>
                <w:rFonts w:ascii="Times New Roman" w:eastAsia="Times New Roman" w:hAnsi="Times New Roman"/>
                <w:bCs/>
                <w:sz w:val="16"/>
                <w:szCs w:val="16"/>
              </w:rPr>
              <w:t>ir įgyvendinama ADRP ir tvaraus įdarbinimo stebėsenos ir vertinimo sistema</w:t>
            </w:r>
            <w:proofErr w:type="gramEnd"/>
          </w:p>
        </w:tc>
        <w:tc>
          <w:tcPr>
            <w:tcW w:w="992" w:type="dxa"/>
            <w:shd w:val="clear" w:color="auto" w:fill="auto"/>
            <w:vAlign w:val="center"/>
          </w:tcPr>
          <w:p w:rsidR="00385835" w:rsidRPr="00385835" w:rsidRDefault="00385835" w:rsidP="00385835">
            <w:pPr>
              <w:spacing w:after="0" w:line="240" w:lineRule="auto"/>
              <w:jc w:val="center"/>
              <w:rPr>
                <w:rFonts w:ascii="Times New Roman" w:eastAsia="Times New Roman" w:hAnsi="Times New Roman"/>
                <w:bCs/>
                <w:sz w:val="16"/>
                <w:szCs w:val="16"/>
              </w:rPr>
            </w:pPr>
            <w:r w:rsidRPr="00385835">
              <w:rPr>
                <w:rFonts w:ascii="Times New Roman" w:eastAsia="Times New Roman" w:hAnsi="Times New Roman"/>
                <w:bCs/>
                <w:sz w:val="16"/>
                <w:szCs w:val="16"/>
              </w:rPr>
              <w:t>Mažiau išsivystęs</w:t>
            </w:r>
          </w:p>
        </w:tc>
        <w:tc>
          <w:tcPr>
            <w:tcW w:w="851" w:type="dxa"/>
            <w:shd w:val="clear" w:color="auto" w:fill="auto"/>
            <w:vAlign w:val="center"/>
          </w:tcPr>
          <w:p w:rsidR="00385835" w:rsidRPr="00385835" w:rsidRDefault="00385835" w:rsidP="00385835">
            <w:pPr>
              <w:spacing w:after="0" w:line="240" w:lineRule="auto"/>
              <w:jc w:val="center"/>
              <w:rPr>
                <w:rFonts w:ascii="Times New Roman" w:eastAsia="Times New Roman" w:hAnsi="Times New Roman"/>
                <w:bCs/>
                <w:sz w:val="16"/>
                <w:szCs w:val="16"/>
              </w:rPr>
            </w:pPr>
            <w:r w:rsidRPr="00385835">
              <w:rPr>
                <w:rFonts w:ascii="Times New Roman" w:eastAsia="Times New Roman" w:hAnsi="Times New Roman"/>
                <w:bCs/>
                <w:sz w:val="16"/>
                <w:szCs w:val="16"/>
              </w:rPr>
              <w:t>Skaičius</w:t>
            </w:r>
          </w:p>
        </w:tc>
        <w:tc>
          <w:tcPr>
            <w:tcW w:w="992"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6"/>
                <w:szCs w:val="16"/>
                <w:lang w:eastAsia="lt-LT"/>
              </w:rPr>
            </w:pPr>
            <w:r w:rsidRPr="00385835">
              <w:rPr>
                <w:rFonts w:ascii="Times New Roman" w:eastAsia="AngsanaUPC" w:hAnsi="Times New Roman"/>
                <w:bCs/>
                <w:iCs/>
                <w:sz w:val="16"/>
                <w:szCs w:val="16"/>
                <w:lang w:eastAsia="lt-LT"/>
              </w:rPr>
              <w:t>-</w:t>
            </w:r>
          </w:p>
        </w:tc>
        <w:tc>
          <w:tcPr>
            <w:tcW w:w="567" w:type="dxa"/>
            <w:shd w:val="clear" w:color="auto" w:fill="auto"/>
            <w:vAlign w:val="center"/>
          </w:tcPr>
          <w:p w:rsidR="00385835" w:rsidRPr="00385835" w:rsidDel="002E32BB" w:rsidRDefault="00385835" w:rsidP="00385835">
            <w:pPr>
              <w:widowControl w:val="0"/>
              <w:tabs>
                <w:tab w:val="left" w:pos="622"/>
              </w:tabs>
              <w:spacing w:after="0" w:line="240" w:lineRule="auto"/>
              <w:jc w:val="center"/>
              <w:rPr>
                <w:rFonts w:ascii="Times New Roman" w:eastAsia="AngsanaUPC" w:hAnsi="Times New Roman"/>
                <w:bCs/>
                <w:iCs/>
                <w:sz w:val="16"/>
                <w:szCs w:val="16"/>
                <w:lang w:eastAsia="lt-LT"/>
              </w:rPr>
            </w:pPr>
            <w:r w:rsidRPr="00385835">
              <w:rPr>
                <w:rFonts w:ascii="Times New Roman" w:eastAsia="AngsanaUPC" w:hAnsi="Times New Roman"/>
                <w:bCs/>
                <w:iCs/>
                <w:sz w:val="16"/>
                <w:szCs w:val="16"/>
                <w:lang w:eastAsia="lt-LT"/>
              </w:rPr>
              <w:t>0</w:t>
            </w:r>
          </w:p>
        </w:tc>
        <w:tc>
          <w:tcPr>
            <w:tcW w:w="85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6"/>
                <w:szCs w:val="16"/>
                <w:lang w:eastAsia="lt-LT"/>
              </w:rPr>
            </w:pPr>
            <w:r w:rsidRPr="00385835">
              <w:rPr>
                <w:rFonts w:ascii="Times New Roman" w:eastAsia="AngsanaUPC" w:hAnsi="Times New Roman"/>
                <w:bCs/>
                <w:iCs/>
                <w:sz w:val="16"/>
                <w:szCs w:val="16"/>
                <w:lang w:eastAsia="lt-LT"/>
              </w:rPr>
              <w:t>Skaičius</w:t>
            </w:r>
          </w:p>
        </w:tc>
        <w:tc>
          <w:tcPr>
            <w:tcW w:w="56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6"/>
                <w:szCs w:val="16"/>
                <w:lang w:eastAsia="lt-LT"/>
              </w:rPr>
            </w:pPr>
            <w:r w:rsidRPr="00385835">
              <w:rPr>
                <w:rFonts w:ascii="Times New Roman" w:eastAsia="AngsanaUPC" w:hAnsi="Times New Roman"/>
                <w:bCs/>
                <w:iCs/>
                <w:sz w:val="16"/>
                <w:szCs w:val="16"/>
                <w:lang w:eastAsia="lt-LT"/>
              </w:rPr>
              <w:t>2014</w:t>
            </w:r>
          </w:p>
        </w:tc>
        <w:tc>
          <w:tcPr>
            <w:tcW w:w="425" w:type="dxa"/>
            <w:shd w:val="clear" w:color="auto" w:fill="auto"/>
            <w:vAlign w:val="center"/>
          </w:tcPr>
          <w:p w:rsidR="00385835" w:rsidRPr="00385835" w:rsidDel="002E32BB" w:rsidRDefault="00385835" w:rsidP="00385835">
            <w:pPr>
              <w:widowControl w:val="0"/>
              <w:tabs>
                <w:tab w:val="left" w:pos="622"/>
              </w:tabs>
              <w:spacing w:after="0" w:line="240" w:lineRule="auto"/>
              <w:jc w:val="center"/>
              <w:rPr>
                <w:rFonts w:ascii="Times New Roman" w:eastAsia="AngsanaUPC" w:hAnsi="Times New Roman"/>
                <w:bCs/>
                <w:iCs/>
                <w:sz w:val="16"/>
                <w:szCs w:val="16"/>
                <w:lang w:eastAsia="lt-LT"/>
              </w:rPr>
            </w:pPr>
            <w:r w:rsidRPr="00385835">
              <w:rPr>
                <w:rFonts w:ascii="Times New Roman" w:eastAsia="AngsanaUPC" w:hAnsi="Times New Roman"/>
                <w:bCs/>
                <w:iCs/>
                <w:sz w:val="16"/>
                <w:szCs w:val="16"/>
                <w:lang w:eastAsia="lt-LT"/>
              </w:rPr>
              <w:t>1</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6"/>
                <w:szCs w:val="16"/>
                <w:lang w:eastAsia="lt-LT"/>
              </w:rPr>
            </w:pPr>
            <w:r w:rsidRPr="00385835">
              <w:rPr>
                <w:rFonts w:ascii="Times New Roman" w:eastAsia="AngsanaUPC" w:hAnsi="Times New Roman"/>
                <w:bCs/>
                <w:iCs/>
                <w:sz w:val="16"/>
                <w:szCs w:val="16"/>
                <w:lang w:eastAsia="lt-LT"/>
              </w:rPr>
              <w:t>Duomenys iš projektų</w:t>
            </w:r>
          </w:p>
        </w:tc>
        <w:tc>
          <w:tcPr>
            <w:tcW w:w="992"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6"/>
                <w:szCs w:val="16"/>
                <w:lang w:eastAsia="lt-LT"/>
              </w:rPr>
            </w:pPr>
            <w:r w:rsidRPr="00385835">
              <w:rPr>
                <w:rFonts w:ascii="Times New Roman" w:eastAsia="AngsanaUPC" w:hAnsi="Times New Roman"/>
                <w:bCs/>
                <w:iCs/>
                <w:sz w:val="16"/>
                <w:szCs w:val="16"/>
                <w:lang w:eastAsia="lt-LT"/>
              </w:rPr>
              <w:t>Kartą per metus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18"/>
          <w:szCs w:val="18"/>
          <w:lang w:eastAsia="lt-LT"/>
        </w:rPr>
      </w:pPr>
      <w:r w:rsidRPr="00385835">
        <w:rPr>
          <w:rFonts w:ascii="Times New Roman" w:eastAsia="AngsanaUPC" w:hAnsi="Times New Roman"/>
          <w:bCs/>
          <w:sz w:val="18"/>
          <w:szCs w:val="18"/>
          <w:lang w:eastAsia="lt-LT"/>
        </w:rPr>
        <w:t>* Kvalifikacija suprantama pagal EK metodinėse stebėsenos ir vertinimo gairėse pateiktą apibrėžimą.</w:t>
      </w:r>
    </w:p>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7.3.3. KONKRETUS UŽDAVINYS</w:t>
            </w:r>
          </w:p>
        </w:tc>
        <w:tc>
          <w:tcPr>
            <w:tcW w:w="7336" w:type="dxa"/>
            <w:shd w:val="clear" w:color="auto" w:fill="EEECE1"/>
            <w:vAlign w:val="center"/>
          </w:tcPr>
          <w:p w:rsidR="00385835" w:rsidRPr="00385835" w:rsidRDefault="00385835" w:rsidP="00385835">
            <w:pPr>
              <w:spacing w:after="0" w:line="240" w:lineRule="auto"/>
              <w:jc w:val="both"/>
              <w:rPr>
                <w:rFonts w:ascii="Times New Roman" w:hAnsi="Times New Roman"/>
                <w:b/>
                <w:sz w:val="24"/>
                <w:szCs w:val="24"/>
              </w:rPr>
            </w:pPr>
            <w:r w:rsidRPr="00385835">
              <w:rPr>
                <w:rFonts w:ascii="Times New Roman" w:hAnsi="Times New Roman"/>
                <w:b/>
                <w:sz w:val="24"/>
                <w:szCs w:val="24"/>
              </w:rPr>
              <w:t>Padidinti darbo paklausą skatinant gyventojų, ypač susiduriančių su sunkumais darbo rinkoje, verslumą</w:t>
            </w:r>
          </w:p>
        </w:tc>
      </w:tr>
      <w:tr w:rsidR="00385835" w:rsidRPr="00385835" w:rsidTr="00385835">
        <w:tc>
          <w:tcPr>
            <w:tcW w:w="9746" w:type="dxa"/>
            <w:gridSpan w:val="2"/>
            <w:shd w:val="clear" w:color="auto" w:fill="auto"/>
          </w:tcPr>
          <w:p w:rsidR="00385835" w:rsidRPr="00385835" w:rsidRDefault="00385835" w:rsidP="00385835">
            <w:pPr>
              <w:spacing w:after="0" w:line="240" w:lineRule="auto"/>
              <w:ind w:firstLine="624"/>
              <w:jc w:val="both"/>
              <w:rPr>
                <w:rFonts w:ascii="Times New Roman" w:hAnsi="Times New Roman"/>
                <w:sz w:val="24"/>
                <w:szCs w:val="24"/>
              </w:rPr>
            </w:pPr>
            <w:r w:rsidRPr="00385835">
              <w:rPr>
                <w:rFonts w:ascii="Times New Roman" w:hAnsi="Times New Roman"/>
                <w:sz w:val="24"/>
                <w:szCs w:val="24"/>
              </w:rPr>
              <w:t>Statistikos departamento duomenimis, savarankiškai dirbančių asmenų dalis tarp visų užimtų gyventojų Lietuvoje 2007–2011 m. sumažėjo: 2007 m. savarankiškai dirbo 11,9 proc. asmenų, o 2011 m. – 9,1 proc. Tai lėmė: ekonominė ir finansų krizė, sumažėjusi gyventojų perkamoji galia, paklausos nedidelių įmonių teikiamoms paslaugoms mažėjimas. 2012 m. savarankiškai dirbančių asmenų dalis padidėjo ir siekė 9,7 proc. Tačiau lyginant su ES vidurkiu, kuris 2012 m. siekė 15,2 proc., savarankiško užimtumo srityje Lie</w:t>
            </w:r>
            <w:r w:rsidR="00321A7B">
              <w:rPr>
                <w:rFonts w:ascii="Times New Roman" w:hAnsi="Times New Roman"/>
                <w:sz w:val="24"/>
                <w:szCs w:val="24"/>
              </w:rPr>
              <w:t>tuva pastebimai atsilieka. 2011 </w:t>
            </w:r>
            <w:r w:rsidRPr="00385835">
              <w:rPr>
                <w:rFonts w:ascii="Times New Roman" w:hAnsi="Times New Roman"/>
                <w:sz w:val="24"/>
                <w:szCs w:val="24"/>
              </w:rPr>
              <w:t>m. VU TVM atlikto Lietuvos verslumo tyrimo duomenimis, finansų prieinamumas naujoms ir augančioms įmonėms Lietuvoje nėra pakankamas, o Lietuvos švietimo sistema tinkamai neparengia jaunimo nuosavo verslo kūrimui ir vystymui. Ekonominės krizės laikotarpiu Lietuvoje pastebimai</w:t>
            </w:r>
            <w:r w:rsidRPr="00385835">
              <w:rPr>
                <w:rFonts w:ascii="Times New Roman" w:hAnsi="Times New Roman"/>
                <w:b/>
                <w:sz w:val="24"/>
                <w:szCs w:val="24"/>
              </w:rPr>
              <w:t xml:space="preserve"> </w:t>
            </w:r>
            <w:r w:rsidRPr="00385835">
              <w:rPr>
                <w:rFonts w:ascii="Times New Roman" w:hAnsi="Times New Roman"/>
                <w:sz w:val="24"/>
                <w:szCs w:val="24"/>
              </w:rPr>
              <w:t>išaugo nelegalaus darbo ir šešėlinės ekonomikos mastas.</w:t>
            </w:r>
          </w:p>
          <w:p w:rsidR="00385835" w:rsidRPr="00385835" w:rsidRDefault="00385835" w:rsidP="00385835">
            <w:pPr>
              <w:widowControl w:val="0"/>
              <w:tabs>
                <w:tab w:val="left" w:pos="622"/>
              </w:tabs>
              <w:spacing w:after="0" w:line="240" w:lineRule="auto"/>
              <w:ind w:firstLine="624"/>
              <w:jc w:val="both"/>
              <w:rPr>
                <w:rFonts w:ascii="Times New Roman" w:hAnsi="Times New Roman"/>
                <w:sz w:val="24"/>
                <w:szCs w:val="24"/>
              </w:rPr>
            </w:pPr>
            <w:r w:rsidRPr="00385835">
              <w:rPr>
                <w:rFonts w:ascii="Times New Roman" w:hAnsi="Times New Roman"/>
                <w:sz w:val="24"/>
                <w:szCs w:val="24"/>
              </w:rPr>
              <w:t>2014–2020 m. bus įgyvendinamos naujo verslo finansavimą palengvinančios veiklos verslo pradžiai teikiant paskolas (išskyrus žemės ūkio, žuvininkystės ir akvakultūros sektoriuose veikiantiems ūkio subjektams) ne</w:t>
            </w:r>
            <w:r w:rsidR="00321A7B">
              <w:rPr>
                <w:rFonts w:ascii="Times New Roman" w:hAnsi="Times New Roman"/>
                <w:sz w:val="24"/>
                <w:szCs w:val="24"/>
              </w:rPr>
              <w:t>grąžintiną ir grąžintiną paramą</w:t>
            </w:r>
            <w:r w:rsidRPr="00385835">
              <w:rPr>
                <w:rFonts w:ascii="Times New Roman" w:hAnsi="Times New Roman"/>
                <w:sz w:val="24"/>
                <w:szCs w:val="24"/>
              </w:rPr>
              <w:t xml:space="preserve">. Šios veiklos bus derinamos su mokymais bei individualiomis konsultacijomis apie naujo verslo kūrimą ir valdymą. Takoskyros su 3.1 investicinio prioriteto veiklomis bus nustatomos pagal 2 kriterijus: paskolos dydį ir verslo/įmonės veiklos trukmę (kaip numatyta </w:t>
            </w:r>
            <w:r w:rsidRPr="00385835">
              <w:rPr>
                <w:rFonts w:ascii="Times New Roman" w:hAnsi="Times New Roman"/>
                <w:i/>
                <w:sz w:val="24"/>
                <w:szCs w:val="24"/>
              </w:rPr>
              <w:t>ex ante</w:t>
            </w:r>
            <w:r w:rsidRPr="00385835">
              <w:rPr>
                <w:rFonts w:ascii="Times New Roman" w:hAnsi="Times New Roman"/>
                <w:sz w:val="24"/>
                <w:szCs w:val="24"/>
              </w:rPr>
              <w:t xml:space="preserve"> sąlygoje Nr. 8.2 „Savarankiško užimtumo, verslumo kūrimas: strateginės pradedančiųjų verslą politikos egzistavimas“). Planuojama, kad naujo verslo pradžios finansavimą palengvinančios veiklos skatins gyventojus ieškoti verslo idėjų ir jas įgyvendinti. Veiklose galės dalyvauti visi gyventojai, norintys pradėti dirbti savarankiškai, tačiau prioritetas ir reikšmingesnės papildomos finansinės paskatos bus teikiamos su sunkumais darbo rinkoje susiduriančioms asmenų grupėms (jaunim</w:t>
            </w:r>
            <w:r w:rsidR="00321A7B">
              <w:rPr>
                <w:rFonts w:ascii="Times New Roman" w:hAnsi="Times New Roman"/>
                <w:sz w:val="24"/>
                <w:szCs w:val="24"/>
              </w:rPr>
              <w:t>ui, neįgaliems asmenims</w:t>
            </w:r>
            <w:r w:rsidRPr="00385835">
              <w:rPr>
                <w:rFonts w:ascii="Times New Roman" w:hAnsi="Times New Roman"/>
                <w:sz w:val="24"/>
                <w:szCs w:val="24"/>
              </w:rPr>
              <w:t>, pagyven</w:t>
            </w:r>
            <w:r w:rsidR="00321A7B">
              <w:rPr>
                <w:rFonts w:ascii="Times New Roman" w:hAnsi="Times New Roman"/>
                <w:sz w:val="24"/>
                <w:szCs w:val="24"/>
              </w:rPr>
              <w:t>usiems asmenim</w:t>
            </w:r>
            <w:r w:rsidRPr="00385835">
              <w:rPr>
                <w:rFonts w:ascii="Times New Roman" w:hAnsi="Times New Roman"/>
                <w:sz w:val="24"/>
                <w:szCs w:val="24"/>
              </w:rPr>
              <w:t xml:space="preserve">s ir kt.) bei tiems, kurie kurs „žaliąsias“ darbo vietas. </w:t>
            </w:r>
          </w:p>
          <w:p w:rsidR="00385835" w:rsidRPr="00385835" w:rsidRDefault="00385835" w:rsidP="00385835">
            <w:pPr>
              <w:spacing w:after="0" w:line="240" w:lineRule="auto"/>
              <w:jc w:val="both"/>
              <w:rPr>
                <w:rFonts w:ascii="Times New Roman" w:hAnsi="Times New Roman"/>
                <w:sz w:val="24"/>
                <w:szCs w:val="24"/>
              </w:rPr>
            </w:pPr>
            <w:r w:rsidRPr="00385835">
              <w:rPr>
                <w:rFonts w:ascii="Times New Roman" w:hAnsi="Times New Roman"/>
                <w:sz w:val="24"/>
                <w:szCs w:val="24"/>
              </w:rPr>
              <w:t xml:space="preserve">Siekiant verslu sudominti daugiau su sunkumais darbo rinkoje susiduriančių asmenų, bus įgyvendinamos proaktyvios viešinimo priemonės, skatinančios rinktis savarankišką užimtumą. Šiems asmenims bus skiriamas didesnis dėmesys ir organizuojant mokymus bei teikiant konsultacijas. Be to, užtikrinant papildomas finansines paskatas pradėjusiems verslą, jiems bus skiriama reikšmingesnė parama, tiesiogiai susijusi su naujai sukurtomis darbo vietomis naujame versle. </w:t>
            </w:r>
          </w:p>
          <w:p w:rsidR="00385835" w:rsidRPr="00385835" w:rsidRDefault="00385835" w:rsidP="00385835">
            <w:pPr>
              <w:widowControl w:val="0"/>
              <w:tabs>
                <w:tab w:val="left" w:pos="622"/>
              </w:tabs>
              <w:spacing w:after="0" w:line="240" w:lineRule="auto"/>
              <w:ind w:firstLine="624"/>
              <w:jc w:val="both"/>
              <w:rPr>
                <w:rFonts w:ascii="Times New Roman" w:eastAsia="AngsanaUPC" w:hAnsi="Times New Roman"/>
                <w:bCs/>
                <w:sz w:val="24"/>
                <w:szCs w:val="24"/>
                <w:lang w:eastAsia="lt-LT"/>
              </w:rPr>
            </w:pPr>
            <w:r w:rsidRPr="00385835">
              <w:rPr>
                <w:rFonts w:ascii="Times New Roman" w:hAnsi="Times New Roman"/>
                <w:sz w:val="24"/>
                <w:szCs w:val="24"/>
              </w:rPr>
              <w:lastRenderedPageBreak/>
              <w:t>Kompleksinės priemonės, padedančios kurti ir valdyti verslą, paskatins gyventojus aktyviai naudotis parama verslo pradžiai, kurti tvarų, skaidrų ir ekonomiškai gyvybingą verslą.</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993"/>
        <w:gridCol w:w="992"/>
        <w:gridCol w:w="945"/>
        <w:gridCol w:w="708"/>
        <w:gridCol w:w="757"/>
        <w:gridCol w:w="708"/>
        <w:gridCol w:w="567"/>
        <w:gridCol w:w="1134"/>
        <w:gridCol w:w="709"/>
      </w:tblGrid>
      <w:tr w:rsidR="00385835" w:rsidRPr="00385835" w:rsidTr="00DC55B6">
        <w:trPr>
          <w:cantSplit/>
          <w:trHeight w:val="407"/>
        </w:trPr>
        <w:tc>
          <w:tcPr>
            <w:tcW w:w="9781" w:type="dxa"/>
            <w:gridSpan w:val="11"/>
            <w:shd w:val="clear" w:color="auto" w:fill="EEECE1"/>
            <w:vAlign w:val="center"/>
          </w:tcPr>
          <w:p w:rsidR="00385835" w:rsidRPr="00385835" w:rsidRDefault="00385835" w:rsidP="00385835">
            <w:pPr>
              <w:widowControl w:val="0"/>
              <w:tabs>
                <w:tab w:val="left" w:pos="622"/>
              </w:tabs>
              <w:spacing w:after="0" w:line="240" w:lineRule="auto"/>
              <w:ind w:left="113" w:right="113"/>
              <w:rPr>
                <w:rFonts w:ascii="Times New Roman" w:eastAsia="AngsanaUPC" w:hAnsi="Times New Roman"/>
                <w:b/>
                <w:bCs/>
                <w:iCs/>
                <w:sz w:val="20"/>
                <w:szCs w:val="20"/>
                <w:lang w:eastAsia="lt-LT"/>
              </w:rPr>
            </w:pPr>
            <w:r w:rsidRPr="00385835">
              <w:rPr>
                <w:rFonts w:ascii="Times New Roman" w:eastAsia="AngsanaUPC" w:hAnsi="Times New Roman"/>
                <w:b/>
                <w:bCs/>
                <w:i/>
                <w:iCs/>
                <w:sz w:val="24"/>
                <w:szCs w:val="24"/>
                <w:lang w:eastAsia="lt-LT"/>
              </w:rPr>
              <w:t xml:space="preserve">ESF </w:t>
            </w:r>
            <w:r w:rsidR="00A9401B">
              <w:rPr>
                <w:rFonts w:ascii="Times New Roman" w:eastAsia="AngsanaUPC" w:hAnsi="Times New Roman"/>
                <w:b/>
                <w:bCs/>
                <w:i/>
                <w:iCs/>
                <w:sz w:val="24"/>
                <w:szCs w:val="24"/>
                <w:lang w:eastAsia="lt-LT"/>
              </w:rPr>
              <w:t xml:space="preserve">bendrieji ir </w:t>
            </w:r>
            <w:r w:rsidR="00B1109C">
              <w:rPr>
                <w:rFonts w:ascii="Times New Roman" w:eastAsia="AngsanaUPC" w:hAnsi="Times New Roman"/>
                <w:b/>
                <w:bCs/>
                <w:i/>
                <w:iCs/>
                <w:sz w:val="24"/>
                <w:szCs w:val="24"/>
                <w:lang w:eastAsia="lt-LT"/>
              </w:rPr>
              <w:t xml:space="preserve">specialieji </w:t>
            </w:r>
            <w:r w:rsidRPr="00385835">
              <w:rPr>
                <w:rFonts w:ascii="Times New Roman" w:eastAsia="AngsanaUPC" w:hAnsi="Times New Roman"/>
                <w:b/>
                <w:bCs/>
                <w:i/>
                <w:iCs/>
                <w:sz w:val="24"/>
                <w:szCs w:val="24"/>
                <w:lang w:eastAsia="lt-LT"/>
              </w:rPr>
              <w:t>programos rezultato rodikliai</w:t>
            </w:r>
          </w:p>
        </w:tc>
      </w:tr>
      <w:tr w:rsidR="00385835" w:rsidRPr="00385835" w:rsidTr="00DC55B6">
        <w:trPr>
          <w:cantSplit/>
          <w:trHeight w:val="1833"/>
        </w:trPr>
        <w:tc>
          <w:tcPr>
            <w:tcW w:w="567"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Nr.</w:t>
            </w:r>
          </w:p>
        </w:tc>
        <w:tc>
          <w:tcPr>
            <w:tcW w:w="170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20"/>
                <w:szCs w:val="20"/>
                <w:lang w:eastAsia="lt-LT"/>
              </w:rPr>
            </w:pPr>
            <w:r w:rsidRPr="00385835">
              <w:rPr>
                <w:rFonts w:ascii="Times New Roman" w:eastAsia="AngsanaUPC" w:hAnsi="Times New Roman"/>
                <w:b/>
                <w:bCs/>
                <w:iCs/>
                <w:sz w:val="20"/>
                <w:szCs w:val="20"/>
                <w:lang w:eastAsia="lt-LT"/>
              </w:rPr>
              <w:t>Rodiklio pavadinimas</w:t>
            </w:r>
          </w:p>
        </w:tc>
        <w:tc>
          <w:tcPr>
            <w:tcW w:w="993"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20"/>
                <w:szCs w:val="20"/>
                <w:lang w:eastAsia="lt-LT"/>
              </w:rPr>
            </w:pPr>
            <w:r w:rsidRPr="00385835">
              <w:rPr>
                <w:rFonts w:ascii="Times New Roman" w:eastAsia="AngsanaUPC" w:hAnsi="Times New Roman"/>
                <w:b/>
                <w:bCs/>
                <w:iCs/>
                <w:sz w:val="20"/>
                <w:szCs w:val="20"/>
                <w:lang w:eastAsia="lt-LT"/>
              </w:rPr>
              <w:t>Regiono kategorija</w:t>
            </w:r>
          </w:p>
        </w:tc>
        <w:tc>
          <w:tcPr>
            <w:tcW w:w="992"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20"/>
                <w:szCs w:val="20"/>
                <w:lang w:eastAsia="lt-LT"/>
              </w:rPr>
            </w:pPr>
            <w:r w:rsidRPr="00385835">
              <w:rPr>
                <w:rFonts w:ascii="Times New Roman" w:eastAsia="AngsanaUPC" w:hAnsi="Times New Roman"/>
                <w:b/>
                <w:bCs/>
                <w:iCs/>
                <w:sz w:val="20"/>
                <w:szCs w:val="20"/>
                <w:lang w:eastAsia="lt-LT"/>
              </w:rPr>
              <w:t>Matavimo vienetas</w:t>
            </w:r>
          </w:p>
        </w:tc>
        <w:tc>
          <w:tcPr>
            <w:tcW w:w="945" w:type="dxa"/>
            <w:shd w:val="clear" w:color="auto" w:fill="EEECE1"/>
            <w:textDirection w:val="btLr"/>
            <w:vAlign w:val="center"/>
          </w:tcPr>
          <w:p w:rsidR="00385835" w:rsidRPr="00385835" w:rsidRDefault="00385835" w:rsidP="00DC55B6">
            <w:pPr>
              <w:widowControl w:val="0"/>
              <w:tabs>
                <w:tab w:val="left" w:pos="622"/>
              </w:tabs>
              <w:spacing w:after="0" w:line="240" w:lineRule="auto"/>
              <w:ind w:left="113" w:right="113"/>
              <w:jc w:val="center"/>
              <w:rPr>
                <w:rFonts w:ascii="Times New Roman" w:eastAsia="AngsanaUPC" w:hAnsi="Times New Roman"/>
                <w:b/>
                <w:bCs/>
                <w:iCs/>
                <w:sz w:val="20"/>
                <w:szCs w:val="20"/>
                <w:lang w:eastAsia="lt-LT"/>
              </w:rPr>
            </w:pPr>
            <w:r w:rsidRPr="00385835">
              <w:rPr>
                <w:rFonts w:ascii="Times New Roman" w:eastAsia="AngsanaUPC" w:hAnsi="Times New Roman"/>
                <w:b/>
                <w:bCs/>
                <w:iCs/>
                <w:sz w:val="20"/>
                <w:szCs w:val="20"/>
                <w:lang w:eastAsia="lt-LT"/>
              </w:rPr>
              <w:t>Bendrasis produkto rodiklis, naudotas kaip pagrindas</w:t>
            </w:r>
          </w:p>
        </w:tc>
        <w:tc>
          <w:tcPr>
            <w:tcW w:w="708"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20"/>
                <w:szCs w:val="20"/>
                <w:lang w:eastAsia="lt-LT"/>
              </w:rPr>
            </w:pPr>
            <w:r w:rsidRPr="00385835">
              <w:rPr>
                <w:rFonts w:ascii="Times New Roman" w:eastAsia="AngsanaUPC" w:hAnsi="Times New Roman"/>
                <w:b/>
                <w:bCs/>
                <w:iCs/>
                <w:sz w:val="20"/>
                <w:szCs w:val="20"/>
                <w:lang w:eastAsia="lt-LT"/>
              </w:rPr>
              <w:t>Pradinė reikšmė</w:t>
            </w:r>
          </w:p>
        </w:tc>
        <w:tc>
          <w:tcPr>
            <w:tcW w:w="757"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20"/>
                <w:szCs w:val="20"/>
                <w:lang w:eastAsia="lt-LT"/>
              </w:rPr>
            </w:pPr>
            <w:r w:rsidRPr="00385835">
              <w:rPr>
                <w:rFonts w:ascii="Times New Roman" w:eastAsia="AngsanaUPC" w:hAnsi="Times New Roman"/>
                <w:b/>
                <w:bCs/>
                <w:iCs/>
                <w:sz w:val="20"/>
                <w:szCs w:val="20"/>
                <w:lang w:eastAsia="lt-LT"/>
              </w:rPr>
              <w:t>Pradinės ir siektinos reikšmės matavimo vienetai</w:t>
            </w:r>
          </w:p>
        </w:tc>
        <w:tc>
          <w:tcPr>
            <w:tcW w:w="708"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20"/>
                <w:szCs w:val="20"/>
                <w:lang w:eastAsia="lt-LT"/>
              </w:rPr>
            </w:pPr>
            <w:r w:rsidRPr="00385835">
              <w:rPr>
                <w:rFonts w:ascii="Times New Roman" w:eastAsia="AngsanaUPC" w:hAnsi="Times New Roman"/>
                <w:b/>
                <w:bCs/>
                <w:iCs/>
                <w:sz w:val="20"/>
                <w:szCs w:val="20"/>
                <w:lang w:eastAsia="lt-LT"/>
              </w:rPr>
              <w:t>Pradinės reikšmės metai</w:t>
            </w:r>
          </w:p>
        </w:tc>
        <w:tc>
          <w:tcPr>
            <w:tcW w:w="567"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20"/>
                <w:szCs w:val="20"/>
                <w:lang w:eastAsia="lt-LT"/>
              </w:rPr>
            </w:pPr>
            <w:r w:rsidRPr="00385835">
              <w:rPr>
                <w:rFonts w:ascii="Times New Roman" w:eastAsia="AngsanaUPC" w:hAnsi="Times New Roman"/>
                <w:b/>
                <w:bCs/>
                <w:iCs/>
                <w:sz w:val="20"/>
                <w:szCs w:val="20"/>
                <w:lang w:eastAsia="lt-LT"/>
              </w:rPr>
              <w:t>Siektina reikšmė (2023)</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20"/>
                <w:szCs w:val="20"/>
                <w:lang w:eastAsia="lt-LT"/>
              </w:rPr>
            </w:pPr>
            <w:r w:rsidRPr="00385835">
              <w:rPr>
                <w:rFonts w:ascii="Times New Roman" w:eastAsia="AngsanaUPC" w:hAnsi="Times New Roman"/>
                <w:b/>
                <w:bCs/>
                <w:iCs/>
                <w:sz w:val="20"/>
                <w:szCs w:val="20"/>
                <w:lang w:eastAsia="lt-LT"/>
              </w:rPr>
              <w:t>Duomenų šaltinis</w:t>
            </w:r>
          </w:p>
        </w:tc>
        <w:tc>
          <w:tcPr>
            <w:tcW w:w="709"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20"/>
                <w:szCs w:val="20"/>
                <w:lang w:eastAsia="lt-LT"/>
              </w:rPr>
            </w:pPr>
            <w:r w:rsidRPr="00385835">
              <w:rPr>
                <w:rFonts w:ascii="Times New Roman" w:eastAsia="AngsanaUPC" w:hAnsi="Times New Roman"/>
                <w:b/>
                <w:bCs/>
                <w:iCs/>
                <w:sz w:val="20"/>
                <w:szCs w:val="20"/>
                <w:lang w:eastAsia="lt-LT"/>
              </w:rPr>
              <w:t>Atsiskaitymo dažnumas</w:t>
            </w:r>
          </w:p>
        </w:tc>
      </w:tr>
      <w:tr w:rsidR="00385835" w:rsidRPr="00385835" w:rsidTr="00DC55B6">
        <w:tc>
          <w:tcPr>
            <w:tcW w:w="56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w:t>
            </w:r>
          </w:p>
        </w:tc>
        <w:tc>
          <w:tcPr>
            <w:tcW w:w="1701" w:type="dxa"/>
            <w:shd w:val="clear" w:color="auto" w:fill="auto"/>
            <w:vAlign w:val="center"/>
          </w:tcPr>
          <w:p w:rsidR="00385835" w:rsidRPr="00385835" w:rsidRDefault="00385835" w:rsidP="00385835">
            <w:pPr>
              <w:spacing w:after="0" w:line="240" w:lineRule="auto"/>
              <w:rPr>
                <w:rFonts w:ascii="Times New Roman" w:hAnsi="Times New Roman"/>
                <w:sz w:val="18"/>
                <w:szCs w:val="18"/>
              </w:rPr>
            </w:pPr>
            <w:r w:rsidRPr="00385835">
              <w:rPr>
                <w:rFonts w:ascii="Times New Roman" w:hAnsi="Times New Roman"/>
                <w:sz w:val="18"/>
                <w:szCs w:val="18"/>
              </w:rPr>
              <w:t xml:space="preserve">Sėkmingai veikiančių naujų įmonių, pasinaudojusių finansine priemone verslo pradžiai, dalis 12 mėn. po paskolos suteikimo </w:t>
            </w:r>
          </w:p>
        </w:tc>
        <w:tc>
          <w:tcPr>
            <w:tcW w:w="993" w:type="dxa"/>
            <w:shd w:val="clear" w:color="auto" w:fill="auto"/>
            <w:vAlign w:val="center"/>
          </w:tcPr>
          <w:p w:rsidR="00385835" w:rsidRPr="00385835" w:rsidRDefault="00385835" w:rsidP="00385835">
            <w:pPr>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Mažiau išsivystęs</w:t>
            </w:r>
          </w:p>
        </w:tc>
        <w:tc>
          <w:tcPr>
            <w:tcW w:w="992" w:type="dxa"/>
            <w:shd w:val="clear" w:color="auto" w:fill="auto"/>
            <w:vAlign w:val="center"/>
          </w:tcPr>
          <w:p w:rsidR="00385835" w:rsidRPr="00385835" w:rsidRDefault="00385835" w:rsidP="00385835">
            <w:pPr>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Įmonės</w:t>
            </w:r>
          </w:p>
        </w:tc>
        <w:tc>
          <w:tcPr>
            <w:tcW w:w="945"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w:t>
            </w:r>
          </w:p>
        </w:tc>
        <w:tc>
          <w:tcPr>
            <w:tcW w:w="708"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81,7</w:t>
            </w:r>
          </w:p>
        </w:tc>
        <w:tc>
          <w:tcPr>
            <w:tcW w:w="75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 xml:space="preserve">Proc. </w:t>
            </w:r>
          </w:p>
        </w:tc>
        <w:tc>
          <w:tcPr>
            <w:tcW w:w="708"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2013</w:t>
            </w:r>
          </w:p>
        </w:tc>
        <w:tc>
          <w:tcPr>
            <w:tcW w:w="56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82</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 xml:space="preserve">Duomenys iš projektų </w:t>
            </w:r>
          </w:p>
        </w:tc>
        <w:tc>
          <w:tcPr>
            <w:tcW w:w="709"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7.3.4. KONKRETUS UŽDAVINYS</w:t>
            </w:r>
          </w:p>
        </w:tc>
        <w:tc>
          <w:tcPr>
            <w:tcW w:w="7336" w:type="dxa"/>
            <w:shd w:val="clear" w:color="auto" w:fill="EEECE1"/>
            <w:vAlign w:val="center"/>
          </w:tcPr>
          <w:p w:rsidR="00385835" w:rsidRPr="00385835" w:rsidRDefault="00385835" w:rsidP="00385835">
            <w:pPr>
              <w:spacing w:after="0" w:line="240" w:lineRule="auto"/>
              <w:jc w:val="both"/>
              <w:rPr>
                <w:rFonts w:ascii="Times New Roman" w:hAnsi="Times New Roman"/>
                <w:b/>
                <w:sz w:val="24"/>
                <w:szCs w:val="24"/>
              </w:rPr>
            </w:pPr>
            <w:r w:rsidRPr="00385835">
              <w:rPr>
                <w:rFonts w:ascii="Times New Roman" w:hAnsi="Times New Roman"/>
                <w:b/>
                <w:sz w:val="24"/>
                <w:szCs w:val="24"/>
              </w:rPr>
              <w:t>Pagerinti visuomenės, verslo ir viešojo sektoriaus supratimą apie moterų ir vyrų lygių galimybių bei nediskriminavimo dėl amžiaus, negalios ir kitų pagrindų principų taikymą ir sustiprinti gebėjimus atpažinti bei šalinti diskriminavimo apraiškas</w:t>
            </w:r>
          </w:p>
        </w:tc>
      </w:tr>
      <w:tr w:rsidR="00385835" w:rsidRPr="00385835" w:rsidTr="00385835">
        <w:tc>
          <w:tcPr>
            <w:tcW w:w="9746" w:type="dxa"/>
            <w:gridSpan w:val="2"/>
            <w:shd w:val="clear" w:color="auto" w:fill="auto"/>
          </w:tcPr>
          <w:p w:rsidR="00385835" w:rsidRPr="00385835" w:rsidRDefault="00385835" w:rsidP="00385835">
            <w:pPr>
              <w:spacing w:after="0" w:line="240" w:lineRule="auto"/>
              <w:ind w:firstLine="624"/>
              <w:jc w:val="both"/>
              <w:rPr>
                <w:rFonts w:ascii="Times New Roman" w:hAnsi="Times New Roman"/>
                <w:sz w:val="24"/>
                <w:szCs w:val="24"/>
              </w:rPr>
            </w:pPr>
            <w:r w:rsidRPr="00385835">
              <w:rPr>
                <w:rFonts w:ascii="Times New Roman" w:hAnsi="Times New Roman"/>
                <w:sz w:val="24"/>
                <w:szCs w:val="24"/>
              </w:rPr>
              <w:t>Moterų ir vyrų padėtis skiriasi daugelyje sričių, visų pirma</w:t>
            </w:r>
            <w:r w:rsidR="00944AB9">
              <w:rPr>
                <w:rFonts w:ascii="Times New Roman" w:hAnsi="Times New Roman"/>
                <w:sz w:val="24"/>
                <w:szCs w:val="24"/>
              </w:rPr>
              <w:t>,</w:t>
            </w:r>
            <w:r w:rsidRPr="00385835">
              <w:rPr>
                <w:rFonts w:ascii="Times New Roman" w:hAnsi="Times New Roman"/>
                <w:sz w:val="24"/>
                <w:szCs w:val="24"/>
              </w:rPr>
              <w:t xml:space="preserve"> </w:t>
            </w:r>
            <w:r w:rsidR="000D2850">
              <w:rPr>
                <w:rFonts w:ascii="Times New Roman" w:hAnsi="Times New Roman"/>
                <w:sz w:val="24"/>
                <w:szCs w:val="24"/>
              </w:rPr>
              <w:t>užimtumo ir darbo srityse. 2012 m</w:t>
            </w:r>
            <w:r w:rsidRPr="00385835">
              <w:rPr>
                <w:rFonts w:ascii="Times New Roman" w:hAnsi="Times New Roman"/>
                <w:sz w:val="24"/>
                <w:szCs w:val="24"/>
              </w:rPr>
              <w:t>. 15–64 m. amžiaus užimtumo lygis sudarė 61,9 proc., vyrų – 62,5 proc. Moterų ir vyrų atlyginimų skirtumas 2011 m. Lietuvoje sudarė 11,9 proc. (ES vidurkis – 16,4 proc.). Skirtingą moterų ir vyrų padėtį darbo rinkoje lemia daugelis veiksnių: nepakankamos žinios apie moterų ir vyrų lygybės privalumus ir pridėtinę vertę, žinių apie esamus lyčių lygybei pasiekti instrumentus ir gebėjimų juos taikyti darbovietėse stoka ir kt.</w:t>
            </w:r>
          </w:p>
          <w:p w:rsidR="00385835" w:rsidRPr="00385835" w:rsidRDefault="00385835" w:rsidP="00385835">
            <w:pPr>
              <w:spacing w:after="0" w:line="240" w:lineRule="auto"/>
              <w:ind w:firstLine="624"/>
              <w:jc w:val="both"/>
              <w:rPr>
                <w:rFonts w:ascii="Times New Roman" w:hAnsi="Times New Roman"/>
                <w:sz w:val="24"/>
                <w:szCs w:val="24"/>
              </w:rPr>
            </w:pPr>
            <w:r w:rsidRPr="00385835">
              <w:rPr>
                <w:rFonts w:ascii="Times New Roman" w:hAnsi="Times New Roman"/>
                <w:sz w:val="24"/>
                <w:szCs w:val="24"/>
              </w:rPr>
              <w:t xml:space="preserve">Visuomenės požiūris, kad ne visi visuomenės nariai yra lygiaverčiai, taip pat turi neigiamą poveikį ir kitų visuomenės grupių galimybėms nediskriminacinėmis sąlygomis dalyvauti visuomenės gyvenime. 2012 m. Eurobarometro apklausos duomenimis, Lietuvoje labiausiai paplitusi diskriminacija dėl amžiaus (vyresnių nei 55 m. asmenų) ir dėl negalios. Palyginti nedidelis šių grupių užimtumo lygis susijęs ir su tuo, kad didelė dalis darbdavių, visuomenės ir pažeidžiamų gupių narių, menkai supranta apie diskriminacijos reiškinį ir būdus situacijai pakeisti. </w:t>
            </w:r>
          </w:p>
          <w:p w:rsidR="00385835" w:rsidRPr="00385835" w:rsidRDefault="00385835" w:rsidP="00385835">
            <w:pPr>
              <w:spacing w:after="0" w:line="240" w:lineRule="auto"/>
              <w:ind w:firstLine="624"/>
              <w:jc w:val="both"/>
              <w:rPr>
                <w:rFonts w:ascii="Times New Roman" w:hAnsi="Times New Roman"/>
                <w:sz w:val="24"/>
                <w:szCs w:val="24"/>
              </w:rPr>
            </w:pPr>
            <w:r w:rsidRPr="00385835">
              <w:rPr>
                <w:rFonts w:ascii="Times New Roman" w:hAnsi="Times New Roman"/>
                <w:sz w:val="24"/>
                <w:szCs w:val="24"/>
              </w:rPr>
              <w:t>2014–2020 m. programavimo laikotarpiu Lietuva sieks didesnės moterų ir vyrų lygybės, visų pirma</w:t>
            </w:r>
            <w:r w:rsidR="000D2850">
              <w:rPr>
                <w:rFonts w:ascii="Times New Roman" w:hAnsi="Times New Roman"/>
                <w:sz w:val="24"/>
                <w:szCs w:val="24"/>
              </w:rPr>
              <w:t>,</w:t>
            </w:r>
            <w:r w:rsidRPr="00385835">
              <w:rPr>
                <w:rFonts w:ascii="Times New Roman" w:hAnsi="Times New Roman"/>
                <w:sz w:val="24"/>
                <w:szCs w:val="24"/>
              </w:rPr>
              <w:t xml:space="preserve"> darbo rinkoje, įskaitant darbo rinkos segregacijos mažinimą bei sub</w:t>
            </w:r>
            <w:r w:rsidR="000D2850">
              <w:rPr>
                <w:rFonts w:ascii="Times New Roman" w:hAnsi="Times New Roman"/>
                <w:sz w:val="24"/>
                <w:szCs w:val="24"/>
              </w:rPr>
              <w:t xml:space="preserve">alansuoto atstovavimo sprendimų </w:t>
            </w:r>
            <w:r w:rsidRPr="00385835">
              <w:rPr>
                <w:rFonts w:ascii="Times New Roman" w:hAnsi="Times New Roman"/>
                <w:sz w:val="24"/>
                <w:szCs w:val="24"/>
              </w:rPr>
              <w:t>priėmime didinimą. Bus siekiama sumažinti diskriminaciją darbo rinkoje Lygių galimybių įstatyme numatytais pagrindais. Bus investuojama į visuomenės, verslo ir viešojo sektoriaus sisteminius tikslinius mokymus, švietimą ir informavimą, gebėjimus taikyti moterų ir vyrų lygybės modelius (</w:t>
            </w:r>
            <w:r w:rsidR="00686878">
              <w:rPr>
                <w:rFonts w:ascii="Times New Roman" w:hAnsi="Times New Roman"/>
                <w:sz w:val="24"/>
                <w:szCs w:val="24"/>
              </w:rPr>
              <w:t>pavyzdžiui</w:t>
            </w:r>
            <w:r w:rsidRPr="00385835">
              <w:rPr>
                <w:rFonts w:ascii="Times New Roman" w:hAnsi="Times New Roman"/>
                <w:sz w:val="24"/>
                <w:szCs w:val="24"/>
              </w:rPr>
              <w:t>, lyčių lygybės planavim</w:t>
            </w:r>
            <w:r w:rsidR="000D2850">
              <w:rPr>
                <w:rFonts w:ascii="Times New Roman" w:hAnsi="Times New Roman"/>
                <w:sz w:val="24"/>
                <w:szCs w:val="24"/>
              </w:rPr>
              <w:t>ą</w:t>
            </w:r>
            <w:r w:rsidRPr="00385835">
              <w:rPr>
                <w:rFonts w:ascii="Times New Roman" w:hAnsi="Times New Roman"/>
                <w:sz w:val="24"/>
                <w:szCs w:val="24"/>
              </w:rPr>
              <w:t xml:space="preserve"> darbovietėse), kitas priemones. Planuojamos veiklos padės sistemiškai siekti moterų ir vyrų padėties skirtumų mažinimo. Kita dalis veiklų bus skirta sąmoningumui, tarpusavio supratimui ir tolerancijai didinti, geresniam visuomenės informuotumui apie diskriminacijos apraiškas ir neigiamą jos poveikį. </w:t>
            </w:r>
          </w:p>
          <w:p w:rsidR="00385835" w:rsidRPr="00385835" w:rsidRDefault="00385835" w:rsidP="00385835">
            <w:pPr>
              <w:widowControl w:val="0"/>
              <w:tabs>
                <w:tab w:val="left" w:pos="622"/>
              </w:tabs>
              <w:spacing w:after="0" w:line="240" w:lineRule="auto"/>
              <w:ind w:firstLine="624"/>
              <w:jc w:val="both"/>
              <w:rPr>
                <w:rFonts w:ascii="Times New Roman" w:eastAsia="AngsanaUPC" w:hAnsi="Times New Roman"/>
                <w:bCs/>
                <w:sz w:val="24"/>
                <w:szCs w:val="24"/>
                <w:lang w:eastAsia="lt-LT"/>
              </w:rPr>
            </w:pPr>
            <w:r w:rsidRPr="00385835">
              <w:rPr>
                <w:rFonts w:ascii="Times New Roman" w:hAnsi="Times New Roman"/>
                <w:sz w:val="24"/>
                <w:szCs w:val="24"/>
              </w:rPr>
              <w:t>Esminis pokytis – geresnis supratimas apie moterų ir vyrų lygybės privalumus darbo rinkoje ir diskriminacijos dėl negalios ir kitais pagrindais apraiškas.</w:t>
            </w:r>
          </w:p>
        </w:tc>
      </w:tr>
    </w:tbl>
    <w:p w:rsid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p>
    <w:p w:rsidR="008C2709" w:rsidRDefault="008C2709" w:rsidP="00385835">
      <w:pPr>
        <w:widowControl w:val="0"/>
        <w:tabs>
          <w:tab w:val="left" w:pos="622"/>
        </w:tabs>
        <w:spacing w:after="0" w:line="240" w:lineRule="auto"/>
        <w:jc w:val="both"/>
        <w:rPr>
          <w:rFonts w:ascii="Times New Roman" w:eastAsia="AngsanaUPC" w:hAnsi="Times New Roman"/>
          <w:b/>
          <w:bCs/>
          <w:sz w:val="24"/>
          <w:szCs w:val="24"/>
          <w:lang w:eastAsia="lt-LT"/>
        </w:rPr>
      </w:pPr>
    </w:p>
    <w:p w:rsidR="008C2709" w:rsidRDefault="008C2709" w:rsidP="00385835">
      <w:pPr>
        <w:widowControl w:val="0"/>
        <w:tabs>
          <w:tab w:val="left" w:pos="622"/>
        </w:tabs>
        <w:spacing w:after="0" w:line="240" w:lineRule="auto"/>
        <w:jc w:val="both"/>
        <w:rPr>
          <w:rFonts w:ascii="Times New Roman" w:eastAsia="AngsanaUPC" w:hAnsi="Times New Roman"/>
          <w:b/>
          <w:bCs/>
          <w:sz w:val="24"/>
          <w:szCs w:val="24"/>
          <w:lang w:eastAsia="lt-LT"/>
        </w:rPr>
      </w:pPr>
    </w:p>
    <w:p w:rsidR="008C2709" w:rsidRDefault="008C2709"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3"/>
        <w:gridCol w:w="992"/>
        <w:gridCol w:w="993"/>
        <w:gridCol w:w="850"/>
        <w:gridCol w:w="425"/>
        <w:gridCol w:w="851"/>
        <w:gridCol w:w="709"/>
        <w:gridCol w:w="567"/>
        <w:gridCol w:w="992"/>
        <w:gridCol w:w="957"/>
      </w:tblGrid>
      <w:tr w:rsidR="00385835" w:rsidRPr="00385835" w:rsidTr="00385835">
        <w:trPr>
          <w:cantSplit/>
          <w:trHeight w:val="407"/>
        </w:trPr>
        <w:tc>
          <w:tcPr>
            <w:tcW w:w="9746" w:type="dxa"/>
            <w:gridSpan w:val="11"/>
            <w:shd w:val="clear" w:color="auto" w:fill="EEECE1"/>
            <w:vAlign w:val="center"/>
          </w:tcPr>
          <w:p w:rsidR="00385835" w:rsidRPr="00385835" w:rsidRDefault="00385835" w:rsidP="00385835">
            <w:pPr>
              <w:widowControl w:val="0"/>
              <w:tabs>
                <w:tab w:val="left" w:pos="622"/>
              </w:tabs>
              <w:spacing w:after="0" w:line="240" w:lineRule="auto"/>
              <w:ind w:left="113" w:right="113"/>
              <w:rPr>
                <w:rFonts w:ascii="Times New Roman" w:eastAsia="AngsanaUPC" w:hAnsi="Times New Roman"/>
                <w:b/>
                <w:bCs/>
                <w:iCs/>
                <w:sz w:val="20"/>
                <w:szCs w:val="20"/>
                <w:lang w:eastAsia="lt-LT"/>
              </w:rPr>
            </w:pPr>
            <w:r w:rsidRPr="00385835">
              <w:rPr>
                <w:rFonts w:ascii="Times New Roman" w:eastAsia="AngsanaUPC" w:hAnsi="Times New Roman"/>
                <w:b/>
                <w:bCs/>
                <w:i/>
                <w:iCs/>
                <w:sz w:val="24"/>
                <w:szCs w:val="24"/>
                <w:lang w:eastAsia="lt-LT"/>
              </w:rPr>
              <w:lastRenderedPageBreak/>
              <w:t xml:space="preserve">ESF </w:t>
            </w:r>
            <w:r w:rsidR="00A9401B">
              <w:rPr>
                <w:rFonts w:ascii="Times New Roman" w:eastAsia="AngsanaUPC" w:hAnsi="Times New Roman"/>
                <w:b/>
                <w:bCs/>
                <w:i/>
                <w:iCs/>
                <w:sz w:val="24"/>
                <w:szCs w:val="24"/>
                <w:lang w:eastAsia="lt-LT"/>
              </w:rPr>
              <w:t xml:space="preserve">bendrieji ir </w:t>
            </w:r>
            <w:r w:rsidR="00B1109C">
              <w:rPr>
                <w:rFonts w:ascii="Times New Roman" w:eastAsia="AngsanaUPC" w:hAnsi="Times New Roman"/>
                <w:b/>
                <w:bCs/>
                <w:i/>
                <w:iCs/>
                <w:sz w:val="24"/>
                <w:szCs w:val="24"/>
                <w:lang w:eastAsia="lt-LT"/>
              </w:rPr>
              <w:t xml:space="preserve">specialieji </w:t>
            </w:r>
            <w:r w:rsidRPr="00385835">
              <w:rPr>
                <w:rFonts w:ascii="Times New Roman" w:eastAsia="AngsanaUPC" w:hAnsi="Times New Roman"/>
                <w:b/>
                <w:bCs/>
                <w:i/>
                <w:iCs/>
                <w:sz w:val="24"/>
                <w:szCs w:val="24"/>
                <w:lang w:eastAsia="lt-LT"/>
              </w:rPr>
              <w:t>programos rezultato rodikliai</w:t>
            </w:r>
          </w:p>
        </w:tc>
      </w:tr>
      <w:tr w:rsidR="00385835" w:rsidRPr="00385835" w:rsidTr="00385835">
        <w:trPr>
          <w:cantSplit/>
          <w:trHeight w:val="1837"/>
        </w:trPr>
        <w:tc>
          <w:tcPr>
            <w:tcW w:w="567"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Nr.</w:t>
            </w:r>
          </w:p>
        </w:tc>
        <w:tc>
          <w:tcPr>
            <w:tcW w:w="1843"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Rodiklio pavadinimas</w:t>
            </w:r>
          </w:p>
        </w:tc>
        <w:tc>
          <w:tcPr>
            <w:tcW w:w="992"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Regiono kategorija</w:t>
            </w:r>
          </w:p>
        </w:tc>
        <w:tc>
          <w:tcPr>
            <w:tcW w:w="993"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Matavimo vienetas</w:t>
            </w:r>
          </w:p>
        </w:tc>
        <w:tc>
          <w:tcPr>
            <w:tcW w:w="850"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Bendrasis produkto rodiklis, naudotas kaip pagrindas</w:t>
            </w:r>
          </w:p>
        </w:tc>
        <w:tc>
          <w:tcPr>
            <w:tcW w:w="425"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 reikšmė</w:t>
            </w:r>
          </w:p>
        </w:tc>
        <w:tc>
          <w:tcPr>
            <w:tcW w:w="851"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Pradinės ir siektinos reikšmės matavimo vienetai</w:t>
            </w:r>
          </w:p>
        </w:tc>
        <w:tc>
          <w:tcPr>
            <w:tcW w:w="709"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Pradinės reikšmės metai</w:t>
            </w:r>
          </w:p>
        </w:tc>
        <w:tc>
          <w:tcPr>
            <w:tcW w:w="567"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Siektina reikšmė (2023)</w:t>
            </w:r>
          </w:p>
        </w:tc>
        <w:tc>
          <w:tcPr>
            <w:tcW w:w="992"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Duomenų šaltinis</w:t>
            </w:r>
          </w:p>
        </w:tc>
        <w:tc>
          <w:tcPr>
            <w:tcW w:w="957"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Atsiskaitymo dažnumas</w:t>
            </w:r>
          </w:p>
        </w:tc>
      </w:tr>
      <w:tr w:rsidR="00385835" w:rsidRPr="00385835" w:rsidTr="00385835">
        <w:tc>
          <w:tcPr>
            <w:tcW w:w="567" w:type="dxa"/>
            <w:shd w:val="clear" w:color="auto" w:fill="auto"/>
            <w:vAlign w:val="center"/>
          </w:tcPr>
          <w:p w:rsidR="00385835" w:rsidRPr="00385835" w:rsidDel="001569FB"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w:t>
            </w:r>
          </w:p>
        </w:tc>
        <w:tc>
          <w:tcPr>
            <w:tcW w:w="1843" w:type="dxa"/>
            <w:shd w:val="clear" w:color="auto" w:fill="auto"/>
            <w:vAlign w:val="center"/>
          </w:tcPr>
          <w:p w:rsidR="00385835" w:rsidRPr="00385835" w:rsidDel="001569FB" w:rsidRDefault="00385835" w:rsidP="00385835">
            <w:pPr>
              <w:spacing w:after="0" w:line="240" w:lineRule="auto"/>
              <w:rPr>
                <w:rFonts w:ascii="Times New Roman" w:eastAsia="Times New Roman" w:hAnsi="Times New Roman"/>
                <w:iCs/>
                <w:sz w:val="18"/>
                <w:szCs w:val="18"/>
              </w:rPr>
            </w:pPr>
            <w:r w:rsidRPr="00385835">
              <w:rPr>
                <w:rFonts w:ascii="Times New Roman" w:eastAsia="Times New Roman" w:hAnsi="Times New Roman"/>
                <w:iCs/>
                <w:sz w:val="18"/>
                <w:szCs w:val="18"/>
              </w:rPr>
              <w:t>Dalis asmenų, kurie praktikoje taiko žinias ir įgūdžius, įgytus dalyvaujant renginiuose, skatinančiuose moterų ir vyrų lygybę bei diskriminacijos mažinimą darbo rinkoje</w:t>
            </w:r>
          </w:p>
        </w:tc>
        <w:tc>
          <w:tcPr>
            <w:tcW w:w="992" w:type="dxa"/>
            <w:shd w:val="clear" w:color="auto" w:fill="auto"/>
            <w:vAlign w:val="center"/>
          </w:tcPr>
          <w:p w:rsidR="00385835" w:rsidRPr="00385835" w:rsidDel="001569FB" w:rsidRDefault="00385835" w:rsidP="00385835">
            <w:pPr>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Mažiau išsivystęs</w:t>
            </w:r>
          </w:p>
        </w:tc>
        <w:tc>
          <w:tcPr>
            <w:tcW w:w="993" w:type="dxa"/>
            <w:shd w:val="clear" w:color="auto" w:fill="auto"/>
            <w:vAlign w:val="center"/>
          </w:tcPr>
          <w:p w:rsidR="00385835" w:rsidRPr="00385835" w:rsidDel="001569FB" w:rsidRDefault="00385835" w:rsidP="00385835">
            <w:pPr>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Asmenys</w:t>
            </w:r>
          </w:p>
        </w:tc>
        <w:tc>
          <w:tcPr>
            <w:tcW w:w="850" w:type="dxa"/>
            <w:shd w:val="clear" w:color="auto" w:fill="auto"/>
            <w:vAlign w:val="center"/>
          </w:tcPr>
          <w:p w:rsidR="00385835" w:rsidRPr="00385835" w:rsidDel="001569FB"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w:t>
            </w:r>
          </w:p>
        </w:tc>
        <w:tc>
          <w:tcPr>
            <w:tcW w:w="425" w:type="dxa"/>
            <w:shd w:val="clear" w:color="auto" w:fill="auto"/>
            <w:vAlign w:val="center"/>
          </w:tcPr>
          <w:p w:rsidR="00385835" w:rsidRPr="00385835" w:rsidDel="001569FB"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20</w:t>
            </w:r>
          </w:p>
        </w:tc>
        <w:tc>
          <w:tcPr>
            <w:tcW w:w="851" w:type="dxa"/>
            <w:shd w:val="clear" w:color="auto" w:fill="auto"/>
            <w:vAlign w:val="center"/>
          </w:tcPr>
          <w:p w:rsidR="00385835" w:rsidRPr="00385835" w:rsidDel="001569FB"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 xml:space="preserve">Proc. </w:t>
            </w:r>
          </w:p>
        </w:tc>
        <w:tc>
          <w:tcPr>
            <w:tcW w:w="709" w:type="dxa"/>
            <w:shd w:val="clear" w:color="auto" w:fill="auto"/>
            <w:vAlign w:val="center"/>
          </w:tcPr>
          <w:p w:rsidR="00385835" w:rsidRPr="00385835" w:rsidDel="001569FB"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2013</w:t>
            </w:r>
          </w:p>
        </w:tc>
        <w:tc>
          <w:tcPr>
            <w:tcW w:w="567" w:type="dxa"/>
            <w:shd w:val="clear" w:color="auto" w:fill="auto"/>
            <w:vAlign w:val="center"/>
          </w:tcPr>
          <w:p w:rsidR="00385835" w:rsidRPr="00385835" w:rsidDel="001569FB"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25</w:t>
            </w:r>
          </w:p>
        </w:tc>
        <w:tc>
          <w:tcPr>
            <w:tcW w:w="992" w:type="dxa"/>
            <w:shd w:val="clear" w:color="auto" w:fill="auto"/>
            <w:vAlign w:val="center"/>
          </w:tcPr>
          <w:p w:rsidR="00385835" w:rsidRPr="00385835" w:rsidDel="001569FB"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Tyrimas</w:t>
            </w:r>
          </w:p>
        </w:tc>
        <w:tc>
          <w:tcPr>
            <w:tcW w:w="957" w:type="dxa"/>
            <w:shd w:val="clear" w:color="auto" w:fill="auto"/>
            <w:vAlign w:val="center"/>
          </w:tcPr>
          <w:p w:rsidR="00385835" w:rsidRPr="00385835" w:rsidDel="001569FB"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Du kartus per laikotarpį</w:t>
            </w:r>
          </w:p>
        </w:tc>
      </w:tr>
    </w:tbl>
    <w:p w:rsidR="007E588C" w:rsidRPr="00385835" w:rsidRDefault="007E588C"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385835" w:rsidRPr="00385835" w:rsidTr="00385835">
        <w:tc>
          <w:tcPr>
            <w:tcW w:w="9746" w:type="dxa"/>
            <w:tcBorders>
              <w:top w:val="single" w:sz="4" w:space="0" w:color="auto"/>
              <w:left w:val="single" w:sz="4" w:space="0" w:color="auto"/>
              <w:bottom w:val="single" w:sz="4" w:space="0" w:color="auto"/>
              <w:right w:val="single" w:sz="4" w:space="0" w:color="auto"/>
            </w:tcBorders>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Cs/>
                <w:iCs/>
                <w:sz w:val="24"/>
                <w:szCs w:val="24"/>
                <w:lang w:eastAsia="lt-LT"/>
              </w:rPr>
            </w:pPr>
            <w:r w:rsidRPr="00385835">
              <w:rPr>
                <w:rFonts w:ascii="Times New Roman" w:eastAsia="AngsanaUPC" w:hAnsi="Times New Roman"/>
                <w:b/>
                <w:bCs/>
                <w:i/>
                <w:iCs/>
                <w:sz w:val="24"/>
                <w:szCs w:val="24"/>
                <w:lang w:eastAsia="lt-LT"/>
              </w:rPr>
              <w:t>7.3. Investicinio prioriteto įgyvendinimo veiklos</w:t>
            </w:r>
          </w:p>
        </w:tc>
      </w:tr>
      <w:tr w:rsidR="00385835" w:rsidRPr="00385835" w:rsidTr="00385835">
        <w:tc>
          <w:tcPr>
            <w:tcW w:w="9746" w:type="dxa"/>
            <w:shd w:val="clear" w:color="auto" w:fill="auto"/>
          </w:tcPr>
          <w:p w:rsidR="00385835" w:rsidRPr="00FC6264" w:rsidRDefault="00385835" w:rsidP="00385835">
            <w:pPr>
              <w:widowControl w:val="0"/>
              <w:tabs>
                <w:tab w:val="left" w:pos="34"/>
                <w:tab w:val="left" w:pos="459"/>
                <w:tab w:val="left" w:pos="1665"/>
              </w:tabs>
              <w:spacing w:after="0" w:line="240" w:lineRule="auto"/>
              <w:ind w:left="34"/>
              <w:jc w:val="both"/>
              <w:rPr>
                <w:rFonts w:ascii="Times New Roman" w:eastAsia="AngsanaUPC" w:hAnsi="Times New Roman"/>
                <w:bCs/>
                <w:i/>
                <w:iCs/>
                <w:sz w:val="24"/>
                <w:szCs w:val="24"/>
                <w:lang w:eastAsia="lt-LT"/>
              </w:rPr>
            </w:pPr>
            <w:r w:rsidRPr="00385835">
              <w:rPr>
                <w:rFonts w:ascii="Times New Roman" w:eastAsia="AngsanaUPC" w:hAnsi="Times New Roman"/>
                <w:bCs/>
                <w:i/>
                <w:iCs/>
                <w:sz w:val="24"/>
                <w:szCs w:val="24"/>
                <w:lang w:eastAsia="lt-LT"/>
              </w:rPr>
              <w:t>7</w:t>
            </w:r>
            <w:r w:rsidRPr="00FC6264">
              <w:rPr>
                <w:rFonts w:ascii="Times New Roman" w:eastAsia="AngsanaUPC" w:hAnsi="Times New Roman"/>
                <w:bCs/>
                <w:i/>
                <w:iCs/>
                <w:sz w:val="24"/>
                <w:szCs w:val="24"/>
                <w:lang w:eastAsia="lt-LT"/>
              </w:rPr>
              <w:t>.3.1 konkretaus uždavinio veiklos:</w:t>
            </w:r>
          </w:p>
          <w:p w:rsidR="00385835" w:rsidRPr="00FC6264" w:rsidRDefault="00385835" w:rsidP="00650E41">
            <w:pPr>
              <w:widowControl w:val="0"/>
              <w:numPr>
                <w:ilvl w:val="0"/>
                <w:numId w:val="25"/>
              </w:numPr>
              <w:tabs>
                <w:tab w:val="left" w:pos="34"/>
                <w:tab w:val="left" w:pos="459"/>
                <w:tab w:val="left" w:pos="1026"/>
              </w:tabs>
              <w:spacing w:after="0" w:line="240" w:lineRule="auto"/>
              <w:ind w:left="34" w:firstLine="0"/>
              <w:jc w:val="both"/>
              <w:rPr>
                <w:rFonts w:ascii="Times New Roman" w:eastAsia="AngsanaUPC" w:hAnsi="Times New Roman"/>
                <w:bCs/>
                <w:iCs/>
                <w:sz w:val="24"/>
                <w:szCs w:val="24"/>
                <w:lang w:eastAsia="lt-LT"/>
              </w:rPr>
            </w:pPr>
            <w:r w:rsidRPr="00FC6264">
              <w:rPr>
                <w:rFonts w:ascii="Times New Roman" w:eastAsia="AngsanaUPC" w:hAnsi="Times New Roman"/>
                <w:bCs/>
                <w:iCs/>
                <w:sz w:val="24"/>
                <w:szCs w:val="24"/>
                <w:lang w:eastAsia="lt-LT"/>
              </w:rPr>
              <w:t>ADRP priemonės (bedarbių ir asmenų, kuriems gresia nedarbas, profesinis mokymas ir neformalus švietimas, darbo įgūdžių įgijimo rėmimas, įdarbinimas subsidijuojant, darbo rotacija, parama bedarbių teritoriniam judumui, kitos bedarbių užimtumo gebėjimus ir galimybes didinančios ADRP priemonės), stažuotės ir praktikos, skirtos darbo įgūdžių įgijimui, individualiam darbui su darbo ieškančiu asmeniu aktualios priemonės: individualus konsultavimas, palaikymas įsidarbinus ir kt.</w:t>
            </w:r>
            <w:r w:rsidR="00DA0DF6" w:rsidRPr="00FC6264">
              <w:rPr>
                <w:rFonts w:ascii="Times New Roman" w:eastAsia="AngsanaUPC" w:hAnsi="Times New Roman"/>
                <w:bCs/>
                <w:iCs/>
                <w:sz w:val="24"/>
                <w:szCs w:val="24"/>
                <w:lang w:eastAsia="lt-LT"/>
              </w:rPr>
              <w:t xml:space="preserve"> </w:t>
            </w:r>
            <w:r w:rsidR="00236E3A" w:rsidRPr="00FC6264">
              <w:rPr>
                <w:rFonts w:ascii="Times New Roman" w:eastAsia="AngsanaUPC" w:hAnsi="Times New Roman"/>
                <w:bCs/>
                <w:iCs/>
                <w:sz w:val="24"/>
                <w:szCs w:val="24"/>
                <w:lang w:eastAsia="lt-LT"/>
              </w:rPr>
              <w:t>Parama užimtiesiems, kuriems paskelbta prastova, atsižvelgiant į Lietuvos Respublikos Vyriausybės 2020 m. vasario 26 d. nutarimu Nr. 152 „Dėl valstybės lygio ekstremaliosios situacijos paskelbimo“ visoje šalyje paskelbtą valstybės lygio ekstremaliąją situaciją dėl naujojo koronaviruso (COVID-19) plitimo grėsmės.</w:t>
            </w:r>
          </w:p>
          <w:p w:rsidR="00385835" w:rsidRPr="00FC6264" w:rsidRDefault="00385835" w:rsidP="00650E41">
            <w:pPr>
              <w:widowControl w:val="0"/>
              <w:numPr>
                <w:ilvl w:val="0"/>
                <w:numId w:val="25"/>
              </w:numPr>
              <w:tabs>
                <w:tab w:val="left" w:pos="34"/>
                <w:tab w:val="left" w:pos="459"/>
                <w:tab w:val="left" w:pos="1026"/>
              </w:tabs>
              <w:spacing w:after="0" w:line="240" w:lineRule="auto"/>
              <w:ind w:left="34" w:firstLine="0"/>
              <w:jc w:val="both"/>
              <w:rPr>
                <w:rFonts w:ascii="Times New Roman" w:eastAsia="AngsanaUPC" w:hAnsi="Times New Roman"/>
                <w:bCs/>
                <w:iCs/>
                <w:sz w:val="24"/>
                <w:szCs w:val="24"/>
                <w:lang w:eastAsia="lt-LT"/>
              </w:rPr>
            </w:pPr>
            <w:r w:rsidRPr="00FC6264">
              <w:rPr>
                <w:rFonts w:ascii="Times New Roman" w:eastAsia="AngsanaUPC" w:hAnsi="Times New Roman"/>
                <w:bCs/>
                <w:iCs/>
                <w:sz w:val="24"/>
                <w:szCs w:val="24"/>
                <w:lang w:eastAsia="lt-LT"/>
              </w:rPr>
              <w:t>Profesinės reabilitacijos paslaugų teikimas neįgaliesiems, akcentuojant paramą integracijai į darbo rinką po profesinės reabilitacijos. Bus teikiama tarpininkavimo įdarbinant paslauga ir pagalba adaptuojantis naujoje darbo vietoje, užtikrintas ilgalaikis palaikymas naujoje darbo vietoje (konsultacinė, psichologinė parama).</w:t>
            </w:r>
          </w:p>
          <w:p w:rsidR="00385835" w:rsidRPr="00385835" w:rsidRDefault="00385835" w:rsidP="00385835">
            <w:pPr>
              <w:widowControl w:val="0"/>
              <w:tabs>
                <w:tab w:val="left" w:pos="34"/>
                <w:tab w:val="left" w:pos="459"/>
                <w:tab w:val="left" w:pos="1026"/>
              </w:tabs>
              <w:spacing w:after="0" w:line="240" w:lineRule="auto"/>
              <w:ind w:left="34"/>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Parama gyventojų, ypač susiduriančių su sunkumais darbo rinkoje (</w:t>
            </w:r>
            <w:r w:rsidR="00686878">
              <w:rPr>
                <w:rFonts w:ascii="Times New Roman" w:eastAsia="AngsanaUPC" w:hAnsi="Times New Roman"/>
                <w:bCs/>
                <w:iCs/>
                <w:sz w:val="24"/>
                <w:szCs w:val="24"/>
                <w:lang w:eastAsia="lt-LT"/>
              </w:rPr>
              <w:t>pavyzdžiui</w:t>
            </w:r>
            <w:r w:rsidRPr="00385835">
              <w:rPr>
                <w:rFonts w:ascii="Times New Roman" w:eastAsia="AngsanaUPC" w:hAnsi="Times New Roman"/>
                <w:bCs/>
                <w:iCs/>
                <w:sz w:val="24"/>
                <w:szCs w:val="24"/>
                <w:lang w:eastAsia="lt-LT"/>
              </w:rPr>
              <w:t xml:space="preserve">, jaunų, vyresnio amžiaus asmenų), užimtumui </w:t>
            </w:r>
            <w:r w:rsidRPr="00385835">
              <w:rPr>
                <w:rFonts w:ascii="Times New Roman" w:hAnsi="Times New Roman"/>
                <w:sz w:val="24"/>
                <w:szCs w:val="24"/>
              </w:rPr>
              <w:t>bei kvalifikuotos darbo jėgos teritoriniam judumui skatinti.</w:t>
            </w:r>
          </w:p>
          <w:p w:rsidR="00385835" w:rsidRPr="00385835" w:rsidRDefault="00385835" w:rsidP="00385835">
            <w:pPr>
              <w:widowControl w:val="0"/>
              <w:tabs>
                <w:tab w:val="left" w:pos="34"/>
                <w:tab w:val="left" w:pos="459"/>
                <w:tab w:val="left" w:pos="1665"/>
              </w:tabs>
              <w:spacing w:after="0" w:line="240" w:lineRule="auto"/>
              <w:ind w:left="34"/>
              <w:jc w:val="both"/>
              <w:rPr>
                <w:rFonts w:ascii="Times New Roman" w:eastAsia="AngsanaUPC" w:hAnsi="Times New Roman"/>
                <w:bCs/>
                <w:i/>
                <w:iCs/>
                <w:sz w:val="24"/>
                <w:szCs w:val="24"/>
                <w:lang w:eastAsia="lt-LT"/>
              </w:rPr>
            </w:pPr>
            <w:r w:rsidRPr="00385835">
              <w:rPr>
                <w:rFonts w:ascii="Times New Roman" w:eastAsia="AngsanaUPC" w:hAnsi="Times New Roman"/>
                <w:bCs/>
                <w:i/>
                <w:iCs/>
                <w:sz w:val="24"/>
                <w:szCs w:val="24"/>
                <w:lang w:eastAsia="lt-LT"/>
              </w:rPr>
              <w:t>7.3.2 konkretaus uždavinio veiklos:</w:t>
            </w:r>
          </w:p>
          <w:p w:rsidR="00385835" w:rsidRPr="00385835" w:rsidRDefault="00385835" w:rsidP="00650E41">
            <w:pPr>
              <w:widowControl w:val="0"/>
              <w:numPr>
                <w:ilvl w:val="0"/>
                <w:numId w:val="25"/>
              </w:numPr>
              <w:tabs>
                <w:tab w:val="left" w:pos="34"/>
                <w:tab w:val="left" w:pos="459"/>
                <w:tab w:val="left" w:pos="1665"/>
              </w:tabs>
              <w:spacing w:after="0" w:line="240" w:lineRule="auto"/>
              <w:ind w:left="34"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Darbo rinkos institucijų veiklos tobulinimas: darbuotojų specialiųjų gebėjimų tobulinimas; naujų paslaugų kūrimas ir jau teikiamų paslaugų tobulinimas, ypač diegiant individualizuotą požiūrį, kuris leistų įvertinti kiekvieno besikreipiančiojo situaciją ir pasiūlyti optimaliausią paslaugų paketą; darbo rinkos politikos priemonių</w:t>
            </w:r>
            <w:proofErr w:type="gramStart"/>
            <w:r w:rsidRPr="00385835">
              <w:rPr>
                <w:rFonts w:ascii="Times New Roman" w:eastAsia="AngsanaUPC" w:hAnsi="Times New Roman"/>
                <w:bCs/>
                <w:iCs/>
                <w:sz w:val="24"/>
                <w:szCs w:val="24"/>
                <w:lang w:eastAsia="lt-LT"/>
              </w:rPr>
              <w:t xml:space="preserve">  </w:t>
            </w:r>
            <w:proofErr w:type="gramEnd"/>
            <w:r w:rsidRPr="00385835">
              <w:rPr>
                <w:rFonts w:ascii="Times New Roman" w:eastAsia="AngsanaUPC" w:hAnsi="Times New Roman"/>
                <w:bCs/>
                <w:iCs/>
                <w:sz w:val="24"/>
                <w:szCs w:val="24"/>
                <w:lang w:eastAsia="lt-LT"/>
              </w:rPr>
              <w:t>įgyvendinimo stebėsena, jų tinkamumo ir efektyvumo vertinimas ir tobulinimas, jaunimo garantijų stebėsenos sistemos sukūrimas; kitos institucijos veiklos ir paslaugų kokybę gerinančios priemonės. Europos užimtumo tarnybos (EURES) veiklos užtikrinimas Lietuvoje: parama veiklos valdymo tobulinimui, darbuotojų kompetencijos tobulinimui, paslaugų kokybės gerinimui ir paslaugų teikimui.</w:t>
            </w:r>
          </w:p>
          <w:p w:rsidR="00385835" w:rsidRPr="00385835" w:rsidRDefault="00385835" w:rsidP="00385835">
            <w:pPr>
              <w:widowControl w:val="0"/>
              <w:tabs>
                <w:tab w:val="left" w:pos="34"/>
                <w:tab w:val="left" w:pos="459"/>
                <w:tab w:val="left" w:pos="1665"/>
              </w:tabs>
              <w:spacing w:after="0" w:line="240" w:lineRule="auto"/>
              <w:ind w:left="34"/>
              <w:jc w:val="both"/>
              <w:rPr>
                <w:rFonts w:ascii="Times New Roman" w:eastAsia="AngsanaUPC" w:hAnsi="Times New Roman"/>
                <w:bCs/>
                <w:i/>
                <w:iCs/>
                <w:sz w:val="24"/>
                <w:szCs w:val="24"/>
                <w:lang w:eastAsia="lt-LT"/>
              </w:rPr>
            </w:pPr>
            <w:r w:rsidRPr="00385835">
              <w:rPr>
                <w:rFonts w:ascii="Times New Roman" w:eastAsia="AngsanaUPC" w:hAnsi="Times New Roman"/>
                <w:bCs/>
                <w:i/>
                <w:iCs/>
                <w:sz w:val="24"/>
                <w:szCs w:val="24"/>
                <w:lang w:eastAsia="lt-LT"/>
              </w:rPr>
              <w:t>7.3.3 konkretaus uždavinio veiklos:</w:t>
            </w:r>
          </w:p>
          <w:p w:rsidR="00385835" w:rsidRPr="00385835" w:rsidRDefault="00385835" w:rsidP="00650E41">
            <w:pPr>
              <w:widowControl w:val="0"/>
              <w:numPr>
                <w:ilvl w:val="0"/>
                <w:numId w:val="25"/>
              </w:numPr>
              <w:tabs>
                <w:tab w:val="left" w:pos="34"/>
                <w:tab w:val="left" w:pos="459"/>
                <w:tab w:val="left" w:pos="1665"/>
              </w:tabs>
              <w:spacing w:after="0" w:line="240" w:lineRule="auto"/>
              <w:ind w:left="34"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Parama verslo pradžiai: paskolų teikimas, palūkanų kompensavimas, kitos negrąžintinos ir grąžintinos paramos teikimas, kitos verslumą skatinančios priemonės labai mažoms ir mažoms įmonėms, šeimos verslams bei fiziniams asmenims, mokymai bei individualios konsultacijos apie naujo verslo kūrimą ir valdymą, kt.</w:t>
            </w:r>
          </w:p>
          <w:p w:rsidR="00385835" w:rsidRPr="00385835" w:rsidRDefault="00385835" w:rsidP="00385835">
            <w:pPr>
              <w:widowControl w:val="0"/>
              <w:tabs>
                <w:tab w:val="left" w:pos="34"/>
                <w:tab w:val="left" w:pos="459"/>
                <w:tab w:val="left" w:pos="1665"/>
              </w:tabs>
              <w:spacing w:after="0" w:line="240" w:lineRule="auto"/>
              <w:ind w:left="34"/>
              <w:jc w:val="both"/>
              <w:rPr>
                <w:rFonts w:ascii="Times New Roman" w:eastAsia="AngsanaUPC" w:hAnsi="Times New Roman"/>
                <w:bCs/>
                <w:i/>
                <w:iCs/>
                <w:sz w:val="24"/>
                <w:szCs w:val="24"/>
                <w:lang w:eastAsia="lt-LT"/>
              </w:rPr>
            </w:pPr>
            <w:r w:rsidRPr="00385835">
              <w:rPr>
                <w:rFonts w:ascii="Times New Roman" w:eastAsia="AngsanaUPC" w:hAnsi="Times New Roman"/>
                <w:bCs/>
                <w:i/>
                <w:iCs/>
                <w:sz w:val="24"/>
                <w:szCs w:val="24"/>
                <w:lang w:eastAsia="lt-LT"/>
              </w:rPr>
              <w:t>7.3.4 konkretaus uždavinio veiklos:</w:t>
            </w:r>
          </w:p>
          <w:p w:rsidR="00385835" w:rsidRPr="00385835" w:rsidRDefault="00385835" w:rsidP="00650E41">
            <w:pPr>
              <w:widowControl w:val="0"/>
              <w:numPr>
                <w:ilvl w:val="0"/>
                <w:numId w:val="9"/>
              </w:numPr>
              <w:tabs>
                <w:tab w:val="left" w:pos="34"/>
                <w:tab w:val="left" w:pos="459"/>
                <w:tab w:val="left" w:pos="1665"/>
              </w:tabs>
              <w:spacing w:after="0" w:line="240" w:lineRule="auto"/>
              <w:ind w:left="34"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 xml:space="preserve">Švietimo ir mokymo veiklos, metodinės medžiagos rengimas, adaptavimas ir konsultavimas, </w:t>
            </w:r>
            <w:r w:rsidRPr="00385835">
              <w:rPr>
                <w:rFonts w:ascii="Times New Roman" w:eastAsia="AngsanaUPC" w:hAnsi="Times New Roman"/>
                <w:bCs/>
                <w:iCs/>
                <w:sz w:val="24"/>
                <w:szCs w:val="24"/>
                <w:lang w:eastAsia="lt-LT"/>
              </w:rPr>
              <w:lastRenderedPageBreak/>
              <w:t xml:space="preserve">gebėjimų stiprinimas, visuomenės informavimo kampanijos, tyrimai, stebėsena ir vertinimas, keitimasis patirtimi, projektai siekiantys moterų ir vyrų lygybės didinimo ir diskriminacijos dėl amžiaus, negalios ir kitų Lietuvos Respublikos lygių galimybių įstatyme numatytų pagrindų </w:t>
            </w:r>
            <w:proofErr w:type="gramStart"/>
            <w:r w:rsidRPr="00385835">
              <w:rPr>
                <w:rFonts w:ascii="Times New Roman" w:eastAsia="AngsanaUPC" w:hAnsi="Times New Roman"/>
                <w:bCs/>
                <w:iCs/>
                <w:sz w:val="24"/>
                <w:szCs w:val="24"/>
                <w:lang w:eastAsia="lt-LT"/>
              </w:rPr>
              <w:t>(</w:t>
            </w:r>
            <w:proofErr w:type="gramEnd"/>
            <w:r w:rsidRPr="00385835">
              <w:rPr>
                <w:rFonts w:ascii="Times New Roman" w:eastAsia="AngsanaUPC" w:hAnsi="Times New Roman"/>
                <w:bCs/>
                <w:iCs/>
                <w:sz w:val="24"/>
                <w:szCs w:val="24"/>
                <w:lang w:eastAsia="lt-LT"/>
              </w:rPr>
              <w:t>lyties, rasės, tautybės, kalbos, kilmės, socialinės padėties, tikėjimo, įsitikinimų ar pažiūrų, amžiaus, lytinės orientacijos, negalios, etninės priklausomybės, religijos) mažinimo. Planuojama pasinaudoti patirtimi ir produktais, sukurtais 2007–2013 m. programavimo laikotarpiu, juos taikyti ir skleisti regionuose ir nacionaliniu mastu.</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98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567"/>
        <w:gridCol w:w="2694"/>
        <w:gridCol w:w="1134"/>
        <w:gridCol w:w="851"/>
        <w:gridCol w:w="1134"/>
        <w:gridCol w:w="1133"/>
        <w:gridCol w:w="1134"/>
        <w:gridCol w:w="1241"/>
      </w:tblGrid>
      <w:tr w:rsidR="00385835" w:rsidRPr="00385835" w:rsidTr="008F339D">
        <w:trPr>
          <w:tblHeader/>
        </w:trPr>
        <w:tc>
          <w:tcPr>
            <w:tcW w:w="9888" w:type="dxa"/>
            <w:gridSpan w:val="8"/>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i/>
                <w:iCs/>
                <w:sz w:val="24"/>
                <w:szCs w:val="24"/>
                <w:lang w:eastAsia="lt-LT"/>
              </w:rPr>
            </w:pPr>
            <w:r w:rsidRPr="00385835">
              <w:rPr>
                <w:rFonts w:ascii="Times New Roman" w:eastAsia="AngsanaUPC" w:hAnsi="Times New Roman"/>
                <w:b/>
                <w:bCs/>
                <w:i/>
                <w:iCs/>
                <w:sz w:val="24"/>
                <w:szCs w:val="24"/>
                <w:lang w:eastAsia="lt-LT"/>
              </w:rPr>
              <w:t xml:space="preserve">ESF bendrieji ir </w:t>
            </w:r>
            <w:r w:rsidR="00B1109C">
              <w:rPr>
                <w:rFonts w:ascii="Times New Roman" w:eastAsia="AngsanaUPC" w:hAnsi="Times New Roman"/>
                <w:b/>
                <w:bCs/>
                <w:i/>
                <w:iCs/>
                <w:sz w:val="24"/>
                <w:szCs w:val="24"/>
                <w:lang w:eastAsia="lt-LT"/>
              </w:rPr>
              <w:t xml:space="preserve">specialieji </w:t>
            </w:r>
            <w:r w:rsidRPr="00385835">
              <w:rPr>
                <w:rFonts w:ascii="Times New Roman" w:eastAsia="AngsanaUPC" w:hAnsi="Times New Roman"/>
                <w:b/>
                <w:bCs/>
                <w:i/>
                <w:iCs/>
                <w:sz w:val="24"/>
                <w:szCs w:val="24"/>
                <w:lang w:eastAsia="lt-LT"/>
              </w:rPr>
              <w:t>programos produkto rodikliai</w:t>
            </w:r>
          </w:p>
        </w:tc>
      </w:tr>
      <w:tr w:rsidR="00385835" w:rsidRPr="00385835" w:rsidTr="008F339D">
        <w:tblPrEx>
          <w:shd w:val="clear" w:color="auto" w:fill="auto"/>
        </w:tblPrEx>
        <w:trPr>
          <w:cantSplit/>
          <w:trHeight w:val="1134"/>
          <w:tblHeader/>
        </w:trPr>
        <w:tc>
          <w:tcPr>
            <w:tcW w:w="567"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Nr.</w:t>
            </w:r>
          </w:p>
        </w:tc>
        <w:tc>
          <w:tcPr>
            <w:tcW w:w="269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Rodiklio pavadinimas</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Matavimo vienetas</w:t>
            </w:r>
          </w:p>
        </w:tc>
        <w:tc>
          <w:tcPr>
            <w:tcW w:w="85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Fondas</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Regiono kategorija</w:t>
            </w:r>
          </w:p>
        </w:tc>
        <w:tc>
          <w:tcPr>
            <w:tcW w:w="1133"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Siektina reikšmė (2023)</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Duomenų šaltinis</w:t>
            </w:r>
          </w:p>
        </w:tc>
        <w:tc>
          <w:tcPr>
            <w:tcW w:w="124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Atsiskaitymo dažnumas</w:t>
            </w:r>
          </w:p>
        </w:tc>
      </w:tr>
      <w:tr w:rsidR="00385835" w:rsidRPr="00385835" w:rsidTr="008F339D">
        <w:tblPrEx>
          <w:shd w:val="clear" w:color="auto" w:fill="auto"/>
        </w:tblPrEx>
        <w:tc>
          <w:tcPr>
            <w:tcW w:w="567" w:type="dxa"/>
            <w:shd w:val="clear" w:color="auto" w:fill="auto"/>
            <w:vAlign w:val="center"/>
          </w:tcPr>
          <w:p w:rsidR="00385835" w:rsidRPr="00FC6264"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eastAsia="AngsanaUPC" w:hAnsi="Times New Roman"/>
                <w:bCs/>
                <w:iCs/>
                <w:sz w:val="18"/>
                <w:szCs w:val="18"/>
                <w:lang w:eastAsia="lt-LT"/>
              </w:rPr>
              <w:t>1.</w:t>
            </w:r>
          </w:p>
        </w:tc>
        <w:tc>
          <w:tcPr>
            <w:tcW w:w="2694" w:type="dxa"/>
            <w:shd w:val="clear" w:color="auto" w:fill="auto"/>
            <w:vAlign w:val="center"/>
          </w:tcPr>
          <w:p w:rsidR="00385835" w:rsidRPr="00FC6264" w:rsidRDefault="00385835" w:rsidP="00385835">
            <w:pPr>
              <w:spacing w:after="0" w:line="240" w:lineRule="auto"/>
              <w:rPr>
                <w:rFonts w:ascii="Times New Roman" w:hAnsi="Times New Roman"/>
                <w:sz w:val="18"/>
                <w:szCs w:val="18"/>
              </w:rPr>
            </w:pPr>
            <w:r w:rsidRPr="00FC6264">
              <w:rPr>
                <w:rFonts w:ascii="Times New Roman" w:hAnsi="Times New Roman"/>
                <w:sz w:val="18"/>
                <w:szCs w:val="18"/>
              </w:rPr>
              <w:t>Bedarbiai, įskaitant ilgalaikius bedarbius, dalyvavę ESF veiklose</w:t>
            </w:r>
          </w:p>
        </w:tc>
        <w:tc>
          <w:tcPr>
            <w:tcW w:w="1134" w:type="dxa"/>
            <w:shd w:val="clear" w:color="auto" w:fill="auto"/>
            <w:vAlign w:val="center"/>
          </w:tcPr>
          <w:p w:rsidR="00385835" w:rsidRPr="00FC6264"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eastAsia="AngsanaUPC" w:hAnsi="Times New Roman"/>
                <w:bCs/>
                <w:iCs/>
                <w:sz w:val="18"/>
                <w:szCs w:val="18"/>
                <w:lang w:eastAsia="lt-LT"/>
              </w:rPr>
              <w:t>Skaičius</w:t>
            </w:r>
          </w:p>
        </w:tc>
        <w:tc>
          <w:tcPr>
            <w:tcW w:w="851" w:type="dxa"/>
            <w:shd w:val="clear" w:color="auto" w:fill="auto"/>
            <w:vAlign w:val="center"/>
          </w:tcPr>
          <w:p w:rsidR="00385835" w:rsidRPr="00FC6264"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eastAsia="AngsanaUPC" w:hAnsi="Times New Roman"/>
                <w:bCs/>
                <w:iCs/>
                <w:sz w:val="18"/>
                <w:szCs w:val="18"/>
                <w:lang w:eastAsia="lt-LT"/>
              </w:rPr>
              <w:t>ESF</w:t>
            </w:r>
          </w:p>
        </w:tc>
        <w:tc>
          <w:tcPr>
            <w:tcW w:w="1134" w:type="dxa"/>
            <w:shd w:val="clear" w:color="auto" w:fill="auto"/>
            <w:vAlign w:val="center"/>
          </w:tcPr>
          <w:p w:rsidR="00385835" w:rsidRPr="00FC6264"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eastAsia="AngsanaUPC" w:hAnsi="Times New Roman"/>
                <w:bCs/>
                <w:iCs/>
                <w:sz w:val="18"/>
                <w:szCs w:val="18"/>
                <w:lang w:eastAsia="lt-LT"/>
              </w:rPr>
              <w:t>Mažiau išsivystęs</w:t>
            </w:r>
          </w:p>
        </w:tc>
        <w:tc>
          <w:tcPr>
            <w:tcW w:w="1133" w:type="dxa"/>
            <w:shd w:val="clear" w:color="auto" w:fill="auto"/>
            <w:vAlign w:val="center"/>
          </w:tcPr>
          <w:p w:rsidR="00385835" w:rsidRPr="00FC6264" w:rsidRDefault="00385835" w:rsidP="009F540A">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eastAsia="AngsanaUPC" w:hAnsi="Times New Roman"/>
                <w:bCs/>
                <w:iCs/>
                <w:sz w:val="18"/>
                <w:szCs w:val="18"/>
                <w:lang w:eastAsia="lt-LT"/>
              </w:rPr>
              <w:t>5</w:t>
            </w:r>
            <w:r w:rsidR="009F540A" w:rsidRPr="00FC6264">
              <w:rPr>
                <w:rFonts w:ascii="Times New Roman" w:eastAsia="AngsanaUPC" w:hAnsi="Times New Roman"/>
                <w:bCs/>
                <w:iCs/>
                <w:sz w:val="18"/>
                <w:szCs w:val="18"/>
                <w:lang w:eastAsia="lt-LT"/>
              </w:rPr>
              <w:t>7</w:t>
            </w:r>
            <w:r w:rsidR="009348A3" w:rsidRPr="00FC6264">
              <w:rPr>
                <w:rFonts w:ascii="Times New Roman" w:eastAsia="AngsanaUPC" w:hAnsi="Times New Roman"/>
                <w:bCs/>
                <w:iCs/>
                <w:sz w:val="18"/>
                <w:szCs w:val="18"/>
                <w:lang w:eastAsia="lt-LT"/>
              </w:rPr>
              <w:t>.</w:t>
            </w:r>
            <w:r w:rsidR="009F540A" w:rsidRPr="00FC6264">
              <w:rPr>
                <w:rFonts w:ascii="Times New Roman" w:eastAsia="AngsanaUPC" w:hAnsi="Times New Roman"/>
                <w:bCs/>
                <w:iCs/>
                <w:sz w:val="18"/>
                <w:szCs w:val="18"/>
                <w:lang w:eastAsia="lt-LT"/>
              </w:rPr>
              <w:t>9</w:t>
            </w:r>
            <w:r w:rsidRPr="00FC6264">
              <w:rPr>
                <w:rFonts w:ascii="Times New Roman" w:eastAsia="AngsanaUPC" w:hAnsi="Times New Roman"/>
                <w:bCs/>
                <w:iCs/>
                <w:sz w:val="18"/>
                <w:szCs w:val="18"/>
                <w:lang w:eastAsia="lt-LT"/>
              </w:rPr>
              <w:t>00</w:t>
            </w:r>
          </w:p>
        </w:tc>
        <w:tc>
          <w:tcPr>
            <w:tcW w:w="1134" w:type="dxa"/>
            <w:shd w:val="clear" w:color="auto" w:fill="auto"/>
            <w:vAlign w:val="center"/>
          </w:tcPr>
          <w:p w:rsidR="00385835" w:rsidRPr="00FC6264"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FC6264">
              <w:rPr>
                <w:rFonts w:ascii="Times New Roman" w:hAnsi="Times New Roman"/>
                <w:sz w:val="18"/>
                <w:szCs w:val="18"/>
              </w:rPr>
              <w:t>Duomenys iš projektų</w:t>
            </w:r>
          </w:p>
        </w:tc>
        <w:tc>
          <w:tcPr>
            <w:tcW w:w="1241" w:type="dxa"/>
            <w:shd w:val="clear" w:color="auto" w:fill="auto"/>
            <w:vAlign w:val="center"/>
          </w:tcPr>
          <w:p w:rsidR="00385835" w:rsidRPr="00FC6264"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eastAsia="AngsanaUPC" w:hAnsi="Times New Roman"/>
                <w:bCs/>
                <w:iCs/>
                <w:sz w:val="18"/>
                <w:szCs w:val="18"/>
                <w:lang w:eastAsia="lt-LT"/>
              </w:rPr>
              <w:t>Kartą per metus</w:t>
            </w:r>
          </w:p>
        </w:tc>
      </w:tr>
      <w:tr w:rsidR="00385835" w:rsidRPr="00385835" w:rsidTr="008F339D">
        <w:tblPrEx>
          <w:shd w:val="clear" w:color="auto" w:fill="auto"/>
        </w:tblPrEx>
        <w:tc>
          <w:tcPr>
            <w:tcW w:w="567" w:type="dxa"/>
            <w:shd w:val="clear" w:color="auto" w:fill="auto"/>
            <w:vAlign w:val="center"/>
          </w:tcPr>
          <w:p w:rsidR="00385835" w:rsidRPr="00FC6264"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eastAsia="AngsanaUPC" w:hAnsi="Times New Roman"/>
                <w:bCs/>
                <w:iCs/>
                <w:sz w:val="18"/>
                <w:szCs w:val="18"/>
                <w:lang w:eastAsia="lt-LT"/>
              </w:rPr>
              <w:t>2.</w:t>
            </w:r>
          </w:p>
        </w:tc>
        <w:tc>
          <w:tcPr>
            <w:tcW w:w="2694" w:type="dxa"/>
            <w:shd w:val="clear" w:color="auto" w:fill="auto"/>
            <w:vAlign w:val="center"/>
          </w:tcPr>
          <w:p w:rsidR="00385835" w:rsidRPr="00FC6264" w:rsidRDefault="00385835" w:rsidP="00E470BA">
            <w:pPr>
              <w:spacing w:after="0" w:line="240" w:lineRule="auto"/>
              <w:rPr>
                <w:rFonts w:ascii="Times New Roman" w:hAnsi="Times New Roman"/>
                <w:sz w:val="18"/>
                <w:szCs w:val="18"/>
              </w:rPr>
            </w:pPr>
            <w:r w:rsidRPr="00FC6264">
              <w:rPr>
                <w:rFonts w:ascii="Times New Roman" w:hAnsi="Times New Roman"/>
                <w:sz w:val="18"/>
                <w:szCs w:val="18"/>
              </w:rPr>
              <w:t>Bedarbiai, įskaitant ilgalaikius bedarbius, dalyvavę ESF veiklose, iš kurių: ilgalaikiai bedarbiai</w:t>
            </w:r>
          </w:p>
        </w:tc>
        <w:tc>
          <w:tcPr>
            <w:tcW w:w="1134" w:type="dxa"/>
            <w:shd w:val="clear" w:color="auto" w:fill="auto"/>
            <w:vAlign w:val="center"/>
          </w:tcPr>
          <w:p w:rsidR="00385835" w:rsidRPr="00FC6264"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eastAsia="AngsanaUPC" w:hAnsi="Times New Roman"/>
                <w:bCs/>
                <w:iCs/>
                <w:sz w:val="18"/>
                <w:szCs w:val="18"/>
                <w:lang w:eastAsia="lt-LT"/>
              </w:rPr>
              <w:t>Skaičius</w:t>
            </w:r>
          </w:p>
        </w:tc>
        <w:tc>
          <w:tcPr>
            <w:tcW w:w="851" w:type="dxa"/>
            <w:shd w:val="clear" w:color="auto" w:fill="auto"/>
            <w:vAlign w:val="center"/>
          </w:tcPr>
          <w:p w:rsidR="00385835" w:rsidRPr="00FC6264"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eastAsia="AngsanaUPC" w:hAnsi="Times New Roman"/>
                <w:bCs/>
                <w:iCs/>
                <w:sz w:val="18"/>
                <w:szCs w:val="18"/>
                <w:lang w:eastAsia="lt-LT"/>
              </w:rPr>
              <w:t>ESF</w:t>
            </w:r>
          </w:p>
        </w:tc>
        <w:tc>
          <w:tcPr>
            <w:tcW w:w="1134" w:type="dxa"/>
            <w:shd w:val="clear" w:color="auto" w:fill="auto"/>
            <w:vAlign w:val="center"/>
          </w:tcPr>
          <w:p w:rsidR="00385835" w:rsidRPr="00FC6264"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eastAsia="AngsanaUPC" w:hAnsi="Times New Roman"/>
                <w:bCs/>
                <w:iCs/>
                <w:sz w:val="18"/>
                <w:szCs w:val="18"/>
                <w:lang w:eastAsia="lt-LT"/>
              </w:rPr>
              <w:t>Mažiau išsivystęs</w:t>
            </w:r>
          </w:p>
        </w:tc>
        <w:tc>
          <w:tcPr>
            <w:tcW w:w="1133" w:type="dxa"/>
            <w:shd w:val="clear" w:color="auto" w:fill="auto"/>
            <w:vAlign w:val="center"/>
          </w:tcPr>
          <w:p w:rsidR="00385835" w:rsidRPr="00FC6264" w:rsidDel="00C808FA" w:rsidRDefault="00385835" w:rsidP="009F540A">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eastAsia="AngsanaUPC" w:hAnsi="Times New Roman"/>
                <w:bCs/>
                <w:iCs/>
                <w:sz w:val="18"/>
                <w:szCs w:val="18"/>
                <w:lang w:eastAsia="lt-LT"/>
              </w:rPr>
              <w:t>25</w:t>
            </w:r>
            <w:r w:rsidR="009348A3" w:rsidRPr="00FC6264">
              <w:rPr>
                <w:rFonts w:ascii="Times New Roman" w:eastAsia="AngsanaUPC" w:hAnsi="Times New Roman"/>
                <w:bCs/>
                <w:iCs/>
                <w:sz w:val="18"/>
                <w:szCs w:val="18"/>
                <w:lang w:eastAsia="lt-LT"/>
              </w:rPr>
              <w:t>.</w:t>
            </w:r>
            <w:r w:rsidR="009F540A" w:rsidRPr="00FC6264">
              <w:rPr>
                <w:rFonts w:ascii="Times New Roman" w:eastAsia="AngsanaUPC" w:hAnsi="Times New Roman"/>
                <w:bCs/>
                <w:iCs/>
                <w:sz w:val="18"/>
                <w:szCs w:val="18"/>
                <w:lang w:eastAsia="lt-LT"/>
              </w:rPr>
              <w:t>8</w:t>
            </w:r>
            <w:r w:rsidRPr="00FC6264">
              <w:rPr>
                <w:rFonts w:ascii="Times New Roman" w:eastAsia="AngsanaUPC" w:hAnsi="Times New Roman"/>
                <w:bCs/>
                <w:iCs/>
                <w:sz w:val="18"/>
                <w:szCs w:val="18"/>
                <w:lang w:eastAsia="lt-LT"/>
              </w:rPr>
              <w:t>00</w:t>
            </w:r>
          </w:p>
        </w:tc>
        <w:tc>
          <w:tcPr>
            <w:tcW w:w="1134" w:type="dxa"/>
            <w:shd w:val="clear" w:color="auto" w:fill="auto"/>
            <w:vAlign w:val="center"/>
          </w:tcPr>
          <w:p w:rsidR="00385835" w:rsidRPr="00FC6264" w:rsidRDefault="00385835" w:rsidP="00385835">
            <w:pPr>
              <w:widowControl w:val="0"/>
              <w:tabs>
                <w:tab w:val="left" w:pos="622"/>
              </w:tabs>
              <w:spacing w:after="0" w:line="240" w:lineRule="auto"/>
              <w:jc w:val="center"/>
              <w:rPr>
                <w:rFonts w:ascii="Times New Roman" w:hAnsi="Times New Roman"/>
                <w:sz w:val="18"/>
                <w:szCs w:val="18"/>
              </w:rPr>
            </w:pPr>
            <w:r w:rsidRPr="00FC6264">
              <w:rPr>
                <w:rFonts w:ascii="Times New Roman" w:hAnsi="Times New Roman"/>
                <w:sz w:val="18"/>
                <w:szCs w:val="18"/>
              </w:rPr>
              <w:t>Duomenys iš projektų</w:t>
            </w:r>
          </w:p>
        </w:tc>
        <w:tc>
          <w:tcPr>
            <w:tcW w:w="1241" w:type="dxa"/>
            <w:shd w:val="clear" w:color="auto" w:fill="auto"/>
            <w:vAlign w:val="center"/>
          </w:tcPr>
          <w:p w:rsidR="00385835" w:rsidRPr="00FC6264"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eastAsia="AngsanaUPC" w:hAnsi="Times New Roman"/>
                <w:bCs/>
                <w:iCs/>
                <w:sz w:val="18"/>
                <w:szCs w:val="18"/>
                <w:lang w:eastAsia="lt-LT"/>
              </w:rPr>
              <w:t>Kartą per metus</w:t>
            </w:r>
          </w:p>
        </w:tc>
      </w:tr>
      <w:tr w:rsidR="00385835" w:rsidRPr="00385835" w:rsidTr="008F339D">
        <w:tblPrEx>
          <w:shd w:val="clear" w:color="auto" w:fill="auto"/>
        </w:tblPrEx>
        <w:tc>
          <w:tcPr>
            <w:tcW w:w="567" w:type="dxa"/>
            <w:shd w:val="clear" w:color="auto" w:fill="auto"/>
            <w:vAlign w:val="center"/>
          </w:tcPr>
          <w:p w:rsidR="00385835" w:rsidRPr="00FC6264"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eastAsia="AngsanaUPC" w:hAnsi="Times New Roman"/>
                <w:bCs/>
                <w:iCs/>
                <w:sz w:val="18"/>
                <w:szCs w:val="18"/>
                <w:lang w:eastAsia="lt-LT"/>
              </w:rPr>
              <w:t>3.</w:t>
            </w:r>
          </w:p>
        </w:tc>
        <w:tc>
          <w:tcPr>
            <w:tcW w:w="2694" w:type="dxa"/>
            <w:shd w:val="clear" w:color="auto" w:fill="auto"/>
            <w:vAlign w:val="center"/>
          </w:tcPr>
          <w:p w:rsidR="00385835" w:rsidRPr="00FC6264" w:rsidRDefault="00385835" w:rsidP="00385835">
            <w:pPr>
              <w:spacing w:after="0" w:line="240" w:lineRule="auto"/>
              <w:rPr>
                <w:rFonts w:ascii="Times New Roman" w:hAnsi="Times New Roman"/>
                <w:sz w:val="18"/>
                <w:szCs w:val="18"/>
              </w:rPr>
            </w:pPr>
            <w:r w:rsidRPr="00FC6264">
              <w:rPr>
                <w:rFonts w:ascii="Times New Roman" w:hAnsi="Times New Roman"/>
                <w:sz w:val="18"/>
                <w:szCs w:val="18"/>
              </w:rPr>
              <w:t>Vyresni negu 54 metų asmenys, kurie yra bedarbiai, įskaitant ilgalaikius bedarbius, arba neaktyvūs nesimokantys asmenys, dalyvavę ESF veiklose</w:t>
            </w:r>
          </w:p>
        </w:tc>
        <w:tc>
          <w:tcPr>
            <w:tcW w:w="1134" w:type="dxa"/>
            <w:shd w:val="clear" w:color="auto" w:fill="auto"/>
            <w:vAlign w:val="center"/>
          </w:tcPr>
          <w:p w:rsidR="00385835" w:rsidRPr="00FC6264"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eastAsia="AngsanaUPC" w:hAnsi="Times New Roman"/>
                <w:bCs/>
                <w:iCs/>
                <w:sz w:val="18"/>
                <w:szCs w:val="18"/>
                <w:lang w:eastAsia="lt-LT"/>
              </w:rPr>
              <w:t>Skaičius</w:t>
            </w:r>
          </w:p>
        </w:tc>
        <w:tc>
          <w:tcPr>
            <w:tcW w:w="851" w:type="dxa"/>
            <w:shd w:val="clear" w:color="auto" w:fill="auto"/>
            <w:vAlign w:val="center"/>
          </w:tcPr>
          <w:p w:rsidR="00385835" w:rsidRPr="00FC6264"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eastAsia="AngsanaUPC" w:hAnsi="Times New Roman"/>
                <w:bCs/>
                <w:iCs/>
                <w:sz w:val="18"/>
                <w:szCs w:val="18"/>
                <w:lang w:eastAsia="lt-LT"/>
              </w:rPr>
              <w:t>ESF</w:t>
            </w:r>
          </w:p>
        </w:tc>
        <w:tc>
          <w:tcPr>
            <w:tcW w:w="1134" w:type="dxa"/>
            <w:shd w:val="clear" w:color="auto" w:fill="auto"/>
            <w:vAlign w:val="center"/>
          </w:tcPr>
          <w:p w:rsidR="00385835" w:rsidRPr="00FC6264"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eastAsia="AngsanaUPC" w:hAnsi="Times New Roman"/>
                <w:bCs/>
                <w:iCs/>
                <w:sz w:val="18"/>
                <w:szCs w:val="18"/>
                <w:lang w:eastAsia="lt-LT"/>
              </w:rPr>
              <w:t>Mažiau išsivystęs</w:t>
            </w:r>
          </w:p>
        </w:tc>
        <w:tc>
          <w:tcPr>
            <w:tcW w:w="1133" w:type="dxa"/>
            <w:shd w:val="clear" w:color="auto" w:fill="auto"/>
            <w:vAlign w:val="center"/>
          </w:tcPr>
          <w:p w:rsidR="00385835" w:rsidRPr="00FC6264" w:rsidRDefault="00385835" w:rsidP="009348A3">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eastAsia="AngsanaUPC" w:hAnsi="Times New Roman"/>
                <w:bCs/>
                <w:iCs/>
                <w:sz w:val="18"/>
                <w:szCs w:val="18"/>
                <w:lang w:eastAsia="lt-LT"/>
              </w:rPr>
              <w:t>30</w:t>
            </w:r>
            <w:r w:rsidR="009348A3" w:rsidRPr="00FC6264">
              <w:rPr>
                <w:rFonts w:ascii="Times New Roman" w:eastAsia="AngsanaUPC" w:hAnsi="Times New Roman"/>
                <w:bCs/>
                <w:iCs/>
                <w:sz w:val="18"/>
                <w:szCs w:val="18"/>
                <w:lang w:eastAsia="lt-LT"/>
              </w:rPr>
              <w:t>.</w:t>
            </w:r>
            <w:r w:rsidRPr="00FC6264">
              <w:rPr>
                <w:rFonts w:ascii="Times New Roman" w:eastAsia="AngsanaUPC" w:hAnsi="Times New Roman"/>
                <w:bCs/>
                <w:iCs/>
                <w:sz w:val="18"/>
                <w:szCs w:val="18"/>
                <w:lang w:eastAsia="lt-LT"/>
              </w:rPr>
              <w:t>000</w:t>
            </w:r>
          </w:p>
        </w:tc>
        <w:tc>
          <w:tcPr>
            <w:tcW w:w="1134" w:type="dxa"/>
            <w:shd w:val="clear" w:color="auto" w:fill="auto"/>
            <w:vAlign w:val="center"/>
          </w:tcPr>
          <w:p w:rsidR="00385835" w:rsidRPr="00FC6264" w:rsidRDefault="00385835" w:rsidP="00385835">
            <w:pPr>
              <w:widowControl w:val="0"/>
              <w:tabs>
                <w:tab w:val="left" w:pos="622"/>
              </w:tabs>
              <w:spacing w:after="0" w:line="240" w:lineRule="auto"/>
              <w:jc w:val="center"/>
              <w:rPr>
                <w:rFonts w:ascii="Times New Roman" w:hAnsi="Times New Roman"/>
                <w:sz w:val="18"/>
                <w:szCs w:val="18"/>
              </w:rPr>
            </w:pPr>
            <w:r w:rsidRPr="00FC6264">
              <w:rPr>
                <w:rFonts w:ascii="Times New Roman" w:hAnsi="Times New Roman"/>
                <w:sz w:val="18"/>
                <w:szCs w:val="18"/>
              </w:rPr>
              <w:t>Duomenys iš projektų</w:t>
            </w:r>
          </w:p>
        </w:tc>
        <w:tc>
          <w:tcPr>
            <w:tcW w:w="1241" w:type="dxa"/>
            <w:shd w:val="clear" w:color="auto" w:fill="auto"/>
            <w:vAlign w:val="center"/>
          </w:tcPr>
          <w:p w:rsidR="00385835" w:rsidRPr="00FC6264"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eastAsia="AngsanaUPC" w:hAnsi="Times New Roman"/>
                <w:bCs/>
                <w:iCs/>
                <w:sz w:val="18"/>
                <w:szCs w:val="18"/>
                <w:lang w:eastAsia="lt-LT"/>
              </w:rPr>
              <w:t>Kartą per metus</w:t>
            </w:r>
          </w:p>
        </w:tc>
      </w:tr>
      <w:tr w:rsidR="00385835" w:rsidRPr="00385835" w:rsidTr="008F339D">
        <w:tblPrEx>
          <w:shd w:val="clear" w:color="auto" w:fill="auto"/>
        </w:tblPrEx>
        <w:tc>
          <w:tcPr>
            <w:tcW w:w="567" w:type="dxa"/>
            <w:shd w:val="clear" w:color="auto" w:fill="auto"/>
            <w:vAlign w:val="center"/>
          </w:tcPr>
          <w:p w:rsidR="00385835" w:rsidRPr="00FC6264"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eastAsia="AngsanaUPC" w:hAnsi="Times New Roman"/>
                <w:bCs/>
                <w:iCs/>
                <w:sz w:val="18"/>
                <w:szCs w:val="18"/>
                <w:lang w:eastAsia="lt-LT"/>
              </w:rPr>
              <w:t>4.</w:t>
            </w:r>
          </w:p>
        </w:tc>
        <w:tc>
          <w:tcPr>
            <w:tcW w:w="2694" w:type="dxa"/>
            <w:shd w:val="clear" w:color="auto" w:fill="auto"/>
            <w:vAlign w:val="center"/>
          </w:tcPr>
          <w:p w:rsidR="00385835" w:rsidRPr="00FC6264" w:rsidRDefault="00385835" w:rsidP="00385835">
            <w:pPr>
              <w:spacing w:after="0" w:line="240" w:lineRule="auto"/>
              <w:rPr>
                <w:rFonts w:ascii="Times New Roman" w:hAnsi="Times New Roman"/>
                <w:sz w:val="18"/>
                <w:szCs w:val="18"/>
              </w:rPr>
            </w:pPr>
            <w:r w:rsidRPr="00FC6264">
              <w:rPr>
                <w:rFonts w:ascii="Times New Roman" w:hAnsi="Times New Roman"/>
                <w:sz w:val="18"/>
                <w:szCs w:val="18"/>
                <w:lang w:eastAsia="lt-LT"/>
              </w:rPr>
              <w:t>Neįgalieji, dalyvavę ESF remiamoje profesinės reabilitacijos programoje</w:t>
            </w:r>
          </w:p>
        </w:tc>
        <w:tc>
          <w:tcPr>
            <w:tcW w:w="1134" w:type="dxa"/>
            <w:shd w:val="clear" w:color="auto" w:fill="auto"/>
            <w:vAlign w:val="center"/>
          </w:tcPr>
          <w:p w:rsidR="00385835" w:rsidRPr="00FC6264"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eastAsia="AngsanaUPC" w:hAnsi="Times New Roman"/>
                <w:bCs/>
                <w:iCs/>
                <w:sz w:val="18"/>
                <w:szCs w:val="18"/>
                <w:lang w:eastAsia="lt-LT"/>
              </w:rPr>
              <w:t>Skaičius</w:t>
            </w:r>
          </w:p>
        </w:tc>
        <w:tc>
          <w:tcPr>
            <w:tcW w:w="851" w:type="dxa"/>
            <w:shd w:val="clear" w:color="auto" w:fill="auto"/>
            <w:vAlign w:val="center"/>
          </w:tcPr>
          <w:p w:rsidR="00385835" w:rsidRPr="00FC6264"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eastAsia="AngsanaUPC" w:hAnsi="Times New Roman"/>
                <w:bCs/>
                <w:iCs/>
                <w:sz w:val="18"/>
                <w:szCs w:val="18"/>
                <w:lang w:eastAsia="lt-LT"/>
              </w:rPr>
              <w:t>ESF</w:t>
            </w:r>
          </w:p>
        </w:tc>
        <w:tc>
          <w:tcPr>
            <w:tcW w:w="1134" w:type="dxa"/>
            <w:shd w:val="clear" w:color="auto" w:fill="auto"/>
            <w:vAlign w:val="center"/>
          </w:tcPr>
          <w:p w:rsidR="00385835" w:rsidRPr="00FC6264"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eastAsia="AngsanaUPC" w:hAnsi="Times New Roman"/>
                <w:bCs/>
                <w:iCs/>
                <w:sz w:val="18"/>
                <w:szCs w:val="18"/>
                <w:lang w:eastAsia="lt-LT"/>
              </w:rPr>
              <w:t>Mažiau išsivystęs</w:t>
            </w:r>
          </w:p>
        </w:tc>
        <w:tc>
          <w:tcPr>
            <w:tcW w:w="1133" w:type="dxa"/>
            <w:shd w:val="clear" w:color="auto" w:fill="auto"/>
            <w:vAlign w:val="center"/>
          </w:tcPr>
          <w:p w:rsidR="00385835" w:rsidRPr="00FC6264" w:rsidRDefault="00DA0DF6" w:rsidP="009348A3">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eastAsia="AngsanaUPC" w:hAnsi="Times New Roman"/>
                <w:bCs/>
                <w:iCs/>
                <w:sz w:val="18"/>
                <w:szCs w:val="18"/>
                <w:lang w:eastAsia="lt-LT"/>
              </w:rPr>
              <w:t>3</w:t>
            </w:r>
            <w:r w:rsidR="009348A3" w:rsidRPr="00FC6264">
              <w:rPr>
                <w:rFonts w:ascii="Times New Roman" w:eastAsia="AngsanaUPC" w:hAnsi="Times New Roman"/>
                <w:bCs/>
                <w:iCs/>
                <w:sz w:val="18"/>
                <w:szCs w:val="18"/>
                <w:lang w:eastAsia="lt-LT"/>
              </w:rPr>
              <w:t>.</w:t>
            </w:r>
            <w:r w:rsidR="00385835" w:rsidRPr="00FC6264">
              <w:rPr>
                <w:rFonts w:ascii="Times New Roman" w:eastAsia="AngsanaUPC" w:hAnsi="Times New Roman"/>
                <w:bCs/>
                <w:iCs/>
                <w:sz w:val="18"/>
                <w:szCs w:val="18"/>
                <w:lang w:eastAsia="lt-LT"/>
              </w:rPr>
              <w:t>000</w:t>
            </w:r>
          </w:p>
        </w:tc>
        <w:tc>
          <w:tcPr>
            <w:tcW w:w="1134" w:type="dxa"/>
            <w:shd w:val="clear" w:color="auto" w:fill="auto"/>
            <w:vAlign w:val="center"/>
          </w:tcPr>
          <w:p w:rsidR="00385835" w:rsidRPr="00FC6264" w:rsidRDefault="00385835" w:rsidP="00385835">
            <w:pPr>
              <w:widowControl w:val="0"/>
              <w:tabs>
                <w:tab w:val="left" w:pos="622"/>
              </w:tabs>
              <w:spacing w:after="0" w:line="240" w:lineRule="auto"/>
              <w:jc w:val="center"/>
              <w:rPr>
                <w:rFonts w:ascii="Times New Roman" w:hAnsi="Times New Roman"/>
                <w:sz w:val="18"/>
                <w:szCs w:val="18"/>
              </w:rPr>
            </w:pPr>
            <w:r w:rsidRPr="00FC6264">
              <w:rPr>
                <w:rFonts w:ascii="Times New Roman" w:hAnsi="Times New Roman"/>
                <w:sz w:val="18"/>
                <w:szCs w:val="18"/>
              </w:rPr>
              <w:t>Duomenys iš projektų</w:t>
            </w:r>
          </w:p>
        </w:tc>
        <w:tc>
          <w:tcPr>
            <w:tcW w:w="1241" w:type="dxa"/>
            <w:shd w:val="clear" w:color="auto" w:fill="auto"/>
            <w:vAlign w:val="center"/>
          </w:tcPr>
          <w:p w:rsidR="00385835" w:rsidRPr="00FC6264"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eastAsia="AngsanaUPC" w:hAnsi="Times New Roman"/>
                <w:bCs/>
                <w:iCs/>
                <w:sz w:val="18"/>
                <w:szCs w:val="18"/>
                <w:lang w:eastAsia="lt-LT"/>
              </w:rPr>
              <w:t>Kartą per metus</w:t>
            </w:r>
          </w:p>
        </w:tc>
      </w:tr>
      <w:tr w:rsidR="00385835" w:rsidRPr="00385835" w:rsidTr="008F339D">
        <w:tblPrEx>
          <w:shd w:val="clear" w:color="auto" w:fill="auto"/>
        </w:tblPrEx>
        <w:tc>
          <w:tcPr>
            <w:tcW w:w="567" w:type="dxa"/>
            <w:shd w:val="clear" w:color="auto" w:fill="auto"/>
            <w:vAlign w:val="center"/>
          </w:tcPr>
          <w:p w:rsidR="00385835" w:rsidRPr="00FC6264"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eastAsia="AngsanaUPC" w:hAnsi="Times New Roman"/>
                <w:bCs/>
                <w:iCs/>
                <w:sz w:val="18"/>
                <w:szCs w:val="18"/>
                <w:lang w:eastAsia="lt-LT"/>
              </w:rPr>
              <w:t>5.</w:t>
            </w:r>
          </w:p>
        </w:tc>
        <w:tc>
          <w:tcPr>
            <w:tcW w:w="2694" w:type="dxa"/>
            <w:shd w:val="clear" w:color="auto" w:fill="auto"/>
            <w:vAlign w:val="center"/>
          </w:tcPr>
          <w:p w:rsidR="00385835" w:rsidRPr="00FC6264" w:rsidRDefault="00385835" w:rsidP="00385835">
            <w:pPr>
              <w:spacing w:after="0" w:line="240" w:lineRule="auto"/>
              <w:rPr>
                <w:rFonts w:ascii="Times New Roman" w:hAnsi="Times New Roman"/>
                <w:sz w:val="18"/>
                <w:szCs w:val="18"/>
                <w:lang w:eastAsia="lt-LT"/>
              </w:rPr>
            </w:pPr>
            <w:r w:rsidRPr="00FC6264">
              <w:rPr>
                <w:rFonts w:ascii="Times New Roman" w:hAnsi="Times New Roman"/>
                <w:sz w:val="18"/>
                <w:szCs w:val="18"/>
                <w:lang w:eastAsia="lt-LT"/>
              </w:rPr>
              <w:t xml:space="preserve">Lietuvos darbo biržos darbuotojai, dalyvavę ESF veiklose </w:t>
            </w:r>
          </w:p>
        </w:tc>
        <w:tc>
          <w:tcPr>
            <w:tcW w:w="1134" w:type="dxa"/>
            <w:shd w:val="clear" w:color="auto" w:fill="auto"/>
            <w:vAlign w:val="center"/>
          </w:tcPr>
          <w:p w:rsidR="00385835" w:rsidRPr="00FC6264"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eastAsia="AngsanaUPC" w:hAnsi="Times New Roman"/>
                <w:bCs/>
                <w:iCs/>
                <w:sz w:val="18"/>
                <w:szCs w:val="18"/>
                <w:lang w:eastAsia="lt-LT"/>
              </w:rPr>
              <w:t>Skaičius</w:t>
            </w:r>
          </w:p>
        </w:tc>
        <w:tc>
          <w:tcPr>
            <w:tcW w:w="851" w:type="dxa"/>
            <w:shd w:val="clear" w:color="auto" w:fill="auto"/>
            <w:vAlign w:val="center"/>
          </w:tcPr>
          <w:p w:rsidR="00385835" w:rsidRPr="00FC6264"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eastAsia="AngsanaUPC" w:hAnsi="Times New Roman"/>
                <w:bCs/>
                <w:iCs/>
                <w:sz w:val="18"/>
                <w:szCs w:val="18"/>
                <w:lang w:eastAsia="lt-LT"/>
              </w:rPr>
              <w:t>ESF</w:t>
            </w:r>
          </w:p>
        </w:tc>
        <w:tc>
          <w:tcPr>
            <w:tcW w:w="1134" w:type="dxa"/>
            <w:shd w:val="clear" w:color="auto" w:fill="auto"/>
            <w:vAlign w:val="center"/>
          </w:tcPr>
          <w:p w:rsidR="00385835" w:rsidRPr="00FC6264"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FC6264">
              <w:rPr>
                <w:rFonts w:ascii="Times New Roman" w:eastAsia="AngsanaUPC" w:hAnsi="Times New Roman"/>
                <w:bCs/>
                <w:iCs/>
                <w:sz w:val="18"/>
                <w:szCs w:val="18"/>
                <w:lang w:eastAsia="lt-LT"/>
              </w:rPr>
              <w:t>Mažiau išsivystęs</w:t>
            </w:r>
          </w:p>
        </w:tc>
        <w:tc>
          <w:tcPr>
            <w:tcW w:w="1133" w:type="dxa"/>
            <w:shd w:val="clear" w:color="auto" w:fill="auto"/>
            <w:vAlign w:val="center"/>
          </w:tcPr>
          <w:p w:rsidR="00385835" w:rsidRPr="00FC6264" w:rsidRDefault="00385835" w:rsidP="009348A3">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eastAsia="AngsanaUPC" w:hAnsi="Times New Roman"/>
                <w:bCs/>
                <w:iCs/>
                <w:sz w:val="18"/>
                <w:szCs w:val="18"/>
                <w:lang w:eastAsia="lt-LT"/>
              </w:rPr>
              <w:t>1</w:t>
            </w:r>
            <w:r w:rsidR="009348A3" w:rsidRPr="00FC6264">
              <w:rPr>
                <w:rFonts w:ascii="Times New Roman" w:eastAsia="AngsanaUPC" w:hAnsi="Times New Roman"/>
                <w:bCs/>
                <w:iCs/>
                <w:sz w:val="18"/>
                <w:szCs w:val="18"/>
                <w:lang w:eastAsia="lt-LT"/>
              </w:rPr>
              <w:t>.</w:t>
            </w:r>
            <w:r w:rsidRPr="00FC6264">
              <w:rPr>
                <w:rFonts w:ascii="Times New Roman" w:eastAsia="AngsanaUPC" w:hAnsi="Times New Roman"/>
                <w:bCs/>
                <w:iCs/>
                <w:sz w:val="18"/>
                <w:szCs w:val="18"/>
                <w:lang w:eastAsia="lt-LT"/>
              </w:rPr>
              <w:t>200</w:t>
            </w:r>
          </w:p>
        </w:tc>
        <w:tc>
          <w:tcPr>
            <w:tcW w:w="1134" w:type="dxa"/>
            <w:shd w:val="clear" w:color="auto" w:fill="auto"/>
            <w:vAlign w:val="center"/>
          </w:tcPr>
          <w:p w:rsidR="00385835" w:rsidRPr="00FC6264"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FC6264">
              <w:rPr>
                <w:rFonts w:ascii="Times New Roman" w:hAnsi="Times New Roman"/>
                <w:sz w:val="18"/>
                <w:szCs w:val="18"/>
              </w:rPr>
              <w:t>Duomenys iš projektų</w:t>
            </w:r>
          </w:p>
        </w:tc>
        <w:tc>
          <w:tcPr>
            <w:tcW w:w="1241" w:type="dxa"/>
            <w:shd w:val="clear" w:color="auto" w:fill="auto"/>
            <w:vAlign w:val="center"/>
          </w:tcPr>
          <w:p w:rsidR="00385835" w:rsidRPr="00FC6264"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eastAsia="AngsanaUPC" w:hAnsi="Times New Roman"/>
                <w:bCs/>
                <w:iCs/>
                <w:sz w:val="18"/>
                <w:szCs w:val="18"/>
                <w:lang w:eastAsia="lt-LT"/>
              </w:rPr>
              <w:t>Kartą per metus</w:t>
            </w:r>
          </w:p>
        </w:tc>
      </w:tr>
      <w:tr w:rsidR="00385835" w:rsidRPr="00385835" w:rsidTr="008F339D">
        <w:tblPrEx>
          <w:shd w:val="clear" w:color="auto" w:fill="auto"/>
        </w:tblPrEx>
        <w:tc>
          <w:tcPr>
            <w:tcW w:w="567" w:type="dxa"/>
            <w:shd w:val="clear" w:color="auto" w:fill="auto"/>
            <w:vAlign w:val="center"/>
          </w:tcPr>
          <w:p w:rsidR="00385835" w:rsidRPr="00FC6264"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eastAsia="AngsanaUPC" w:hAnsi="Times New Roman"/>
                <w:bCs/>
                <w:iCs/>
                <w:sz w:val="18"/>
                <w:szCs w:val="18"/>
                <w:lang w:eastAsia="lt-LT"/>
              </w:rPr>
              <w:t>6.</w:t>
            </w:r>
          </w:p>
        </w:tc>
        <w:tc>
          <w:tcPr>
            <w:tcW w:w="2694" w:type="dxa"/>
            <w:shd w:val="clear" w:color="auto" w:fill="auto"/>
            <w:vAlign w:val="center"/>
          </w:tcPr>
          <w:p w:rsidR="00385835" w:rsidRPr="00FC6264" w:rsidRDefault="00385835" w:rsidP="00385835">
            <w:pPr>
              <w:widowControl w:val="0"/>
              <w:tabs>
                <w:tab w:val="left" w:pos="622"/>
              </w:tabs>
              <w:spacing w:after="0" w:line="240" w:lineRule="auto"/>
              <w:rPr>
                <w:rFonts w:ascii="Times New Roman" w:hAnsi="Times New Roman"/>
                <w:bCs/>
                <w:sz w:val="18"/>
                <w:szCs w:val="18"/>
              </w:rPr>
            </w:pPr>
            <w:r w:rsidRPr="00FC6264">
              <w:rPr>
                <w:rFonts w:ascii="Times New Roman" w:hAnsi="Times New Roman"/>
                <w:sz w:val="18"/>
                <w:szCs w:val="18"/>
              </w:rPr>
              <w:t>Asmenys ir įmonės, pasinaudoję finansine priemone verslo pradžiai</w:t>
            </w:r>
          </w:p>
        </w:tc>
        <w:tc>
          <w:tcPr>
            <w:tcW w:w="1134" w:type="dxa"/>
            <w:shd w:val="clear" w:color="auto" w:fill="auto"/>
            <w:vAlign w:val="center"/>
          </w:tcPr>
          <w:p w:rsidR="00385835" w:rsidRPr="00FC6264" w:rsidRDefault="00385835" w:rsidP="00385835">
            <w:pPr>
              <w:spacing w:after="0" w:line="240" w:lineRule="auto"/>
              <w:jc w:val="center"/>
              <w:rPr>
                <w:rFonts w:ascii="Times New Roman" w:eastAsia="Times New Roman" w:hAnsi="Times New Roman"/>
                <w:bCs/>
                <w:sz w:val="18"/>
                <w:szCs w:val="18"/>
              </w:rPr>
            </w:pPr>
            <w:r w:rsidRPr="00FC6264">
              <w:rPr>
                <w:rFonts w:ascii="Times New Roman" w:eastAsia="Times New Roman" w:hAnsi="Times New Roman"/>
                <w:bCs/>
                <w:sz w:val="18"/>
                <w:szCs w:val="18"/>
              </w:rPr>
              <w:t>Skaičius</w:t>
            </w:r>
          </w:p>
        </w:tc>
        <w:tc>
          <w:tcPr>
            <w:tcW w:w="851" w:type="dxa"/>
            <w:shd w:val="clear" w:color="auto" w:fill="auto"/>
            <w:vAlign w:val="center"/>
          </w:tcPr>
          <w:p w:rsidR="00385835" w:rsidRPr="00FC6264" w:rsidRDefault="00385835" w:rsidP="00385835">
            <w:pPr>
              <w:spacing w:after="0" w:line="240" w:lineRule="auto"/>
              <w:jc w:val="center"/>
              <w:rPr>
                <w:rFonts w:ascii="Times New Roman" w:eastAsia="Times New Roman" w:hAnsi="Times New Roman"/>
                <w:bCs/>
                <w:sz w:val="18"/>
                <w:szCs w:val="18"/>
              </w:rPr>
            </w:pPr>
            <w:r w:rsidRPr="00FC6264">
              <w:rPr>
                <w:rFonts w:ascii="Times New Roman" w:eastAsia="Times New Roman" w:hAnsi="Times New Roman"/>
                <w:bCs/>
                <w:sz w:val="18"/>
                <w:szCs w:val="18"/>
              </w:rPr>
              <w:t>ESF</w:t>
            </w:r>
          </w:p>
        </w:tc>
        <w:tc>
          <w:tcPr>
            <w:tcW w:w="1134" w:type="dxa"/>
            <w:shd w:val="clear" w:color="auto" w:fill="auto"/>
            <w:vAlign w:val="center"/>
          </w:tcPr>
          <w:p w:rsidR="00385835" w:rsidRPr="00FC6264"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FC6264">
              <w:rPr>
                <w:rFonts w:ascii="Times New Roman" w:eastAsia="AngsanaUPC" w:hAnsi="Times New Roman"/>
                <w:bCs/>
                <w:iCs/>
                <w:sz w:val="18"/>
                <w:szCs w:val="18"/>
                <w:lang w:eastAsia="lt-LT"/>
              </w:rPr>
              <w:t>Mažiau išsivystęs</w:t>
            </w:r>
          </w:p>
        </w:tc>
        <w:tc>
          <w:tcPr>
            <w:tcW w:w="1133" w:type="dxa"/>
            <w:shd w:val="clear" w:color="auto" w:fill="auto"/>
            <w:vAlign w:val="center"/>
          </w:tcPr>
          <w:p w:rsidR="00385835" w:rsidRPr="00FC6264" w:rsidRDefault="00385835" w:rsidP="009348A3">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eastAsia="AngsanaUPC" w:hAnsi="Times New Roman"/>
                <w:bCs/>
                <w:iCs/>
                <w:sz w:val="18"/>
                <w:szCs w:val="18"/>
                <w:lang w:eastAsia="lt-LT"/>
              </w:rPr>
              <w:t>1</w:t>
            </w:r>
            <w:r w:rsidR="009348A3" w:rsidRPr="00FC6264">
              <w:rPr>
                <w:rFonts w:ascii="Times New Roman" w:eastAsia="AngsanaUPC" w:hAnsi="Times New Roman"/>
                <w:bCs/>
                <w:iCs/>
                <w:sz w:val="18"/>
                <w:szCs w:val="18"/>
                <w:lang w:eastAsia="lt-LT"/>
              </w:rPr>
              <w:t>.</w:t>
            </w:r>
            <w:r w:rsidRPr="00FC6264">
              <w:rPr>
                <w:rFonts w:ascii="Times New Roman" w:eastAsia="AngsanaUPC" w:hAnsi="Times New Roman"/>
                <w:bCs/>
                <w:iCs/>
                <w:sz w:val="18"/>
                <w:szCs w:val="18"/>
                <w:lang w:eastAsia="lt-LT"/>
              </w:rPr>
              <w:t>000</w:t>
            </w:r>
          </w:p>
        </w:tc>
        <w:tc>
          <w:tcPr>
            <w:tcW w:w="1134" w:type="dxa"/>
            <w:shd w:val="clear" w:color="auto" w:fill="auto"/>
            <w:vAlign w:val="center"/>
          </w:tcPr>
          <w:p w:rsidR="00385835" w:rsidRPr="00FC6264" w:rsidRDefault="00385835" w:rsidP="00385835">
            <w:pPr>
              <w:widowControl w:val="0"/>
              <w:tabs>
                <w:tab w:val="left" w:pos="622"/>
              </w:tabs>
              <w:spacing w:after="0" w:line="240" w:lineRule="auto"/>
              <w:jc w:val="center"/>
              <w:rPr>
                <w:rFonts w:ascii="Times New Roman" w:eastAsia="AngsanaUPC" w:hAnsi="Times New Roman"/>
                <w:b/>
                <w:bCs/>
                <w:i/>
                <w:iCs/>
                <w:sz w:val="18"/>
                <w:szCs w:val="18"/>
                <w:lang w:eastAsia="lt-LT"/>
              </w:rPr>
            </w:pPr>
            <w:r w:rsidRPr="00FC6264">
              <w:rPr>
                <w:rFonts w:ascii="Times New Roman" w:hAnsi="Times New Roman"/>
                <w:sz w:val="18"/>
                <w:szCs w:val="18"/>
              </w:rPr>
              <w:t>Duomenys iš projektų</w:t>
            </w:r>
          </w:p>
        </w:tc>
        <w:tc>
          <w:tcPr>
            <w:tcW w:w="1241" w:type="dxa"/>
            <w:shd w:val="clear" w:color="auto" w:fill="auto"/>
            <w:vAlign w:val="center"/>
          </w:tcPr>
          <w:p w:rsidR="00385835" w:rsidRPr="00FC6264"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eastAsia="AngsanaUPC" w:hAnsi="Times New Roman"/>
                <w:bCs/>
                <w:iCs/>
                <w:sz w:val="18"/>
                <w:szCs w:val="18"/>
                <w:lang w:eastAsia="lt-LT"/>
              </w:rPr>
              <w:t>Kartą per metus</w:t>
            </w:r>
          </w:p>
        </w:tc>
      </w:tr>
      <w:tr w:rsidR="00385835" w:rsidRPr="00385835" w:rsidTr="008F339D">
        <w:tblPrEx>
          <w:shd w:val="clear" w:color="auto" w:fill="auto"/>
        </w:tblPrEx>
        <w:tc>
          <w:tcPr>
            <w:tcW w:w="567" w:type="dxa"/>
            <w:shd w:val="clear" w:color="auto" w:fill="auto"/>
            <w:vAlign w:val="center"/>
          </w:tcPr>
          <w:p w:rsidR="00385835" w:rsidRPr="00FC6264" w:rsidDel="008865DF"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eastAsia="AngsanaUPC" w:hAnsi="Times New Roman"/>
                <w:bCs/>
                <w:iCs/>
                <w:sz w:val="18"/>
                <w:szCs w:val="18"/>
                <w:lang w:eastAsia="lt-LT"/>
              </w:rPr>
              <w:t>7.</w:t>
            </w:r>
          </w:p>
        </w:tc>
        <w:tc>
          <w:tcPr>
            <w:tcW w:w="2694" w:type="dxa"/>
            <w:shd w:val="clear" w:color="auto" w:fill="auto"/>
            <w:vAlign w:val="center"/>
          </w:tcPr>
          <w:p w:rsidR="00385835" w:rsidRPr="00FC6264" w:rsidRDefault="00385835" w:rsidP="00385835">
            <w:pPr>
              <w:widowControl w:val="0"/>
              <w:tabs>
                <w:tab w:val="left" w:pos="622"/>
              </w:tabs>
              <w:spacing w:after="0" w:line="240" w:lineRule="auto"/>
              <w:rPr>
                <w:rFonts w:ascii="Times New Roman" w:hAnsi="Times New Roman"/>
                <w:sz w:val="18"/>
                <w:szCs w:val="18"/>
              </w:rPr>
            </w:pPr>
            <w:r w:rsidRPr="00FC6264">
              <w:rPr>
                <w:rFonts w:ascii="Times New Roman" w:hAnsi="Times New Roman"/>
                <w:sz w:val="18"/>
                <w:szCs w:val="18"/>
              </w:rPr>
              <w:t>Asmenys ir įmonės, pasinaudoję finansine priemone verslo pradžiai, iš kurių: su sunkumais darbo rinkoje susiduriantys asmenys ir įmonės</w:t>
            </w:r>
          </w:p>
        </w:tc>
        <w:tc>
          <w:tcPr>
            <w:tcW w:w="1134" w:type="dxa"/>
            <w:shd w:val="clear" w:color="auto" w:fill="auto"/>
            <w:vAlign w:val="center"/>
          </w:tcPr>
          <w:p w:rsidR="00385835" w:rsidRPr="00FC6264" w:rsidRDefault="00385835" w:rsidP="00385835">
            <w:pPr>
              <w:spacing w:after="0" w:line="240" w:lineRule="auto"/>
              <w:jc w:val="center"/>
              <w:rPr>
                <w:rFonts w:ascii="Times New Roman" w:eastAsia="Times New Roman" w:hAnsi="Times New Roman"/>
                <w:bCs/>
                <w:sz w:val="18"/>
                <w:szCs w:val="18"/>
              </w:rPr>
            </w:pPr>
            <w:r w:rsidRPr="00FC6264">
              <w:rPr>
                <w:rFonts w:ascii="Times New Roman" w:eastAsia="Times New Roman" w:hAnsi="Times New Roman"/>
                <w:bCs/>
                <w:sz w:val="18"/>
                <w:szCs w:val="18"/>
              </w:rPr>
              <w:t>Skaičius</w:t>
            </w:r>
          </w:p>
        </w:tc>
        <w:tc>
          <w:tcPr>
            <w:tcW w:w="851" w:type="dxa"/>
            <w:shd w:val="clear" w:color="auto" w:fill="auto"/>
            <w:vAlign w:val="center"/>
          </w:tcPr>
          <w:p w:rsidR="00385835" w:rsidRPr="00FC6264" w:rsidRDefault="00385835" w:rsidP="00385835">
            <w:pPr>
              <w:spacing w:after="0" w:line="240" w:lineRule="auto"/>
              <w:jc w:val="center"/>
              <w:rPr>
                <w:rFonts w:ascii="Times New Roman" w:eastAsia="Times New Roman" w:hAnsi="Times New Roman"/>
                <w:bCs/>
                <w:sz w:val="18"/>
                <w:szCs w:val="18"/>
              </w:rPr>
            </w:pPr>
            <w:r w:rsidRPr="00FC6264">
              <w:rPr>
                <w:rFonts w:ascii="Times New Roman" w:eastAsia="Times New Roman" w:hAnsi="Times New Roman"/>
                <w:bCs/>
                <w:sz w:val="18"/>
                <w:szCs w:val="18"/>
              </w:rPr>
              <w:t>ESF</w:t>
            </w:r>
          </w:p>
        </w:tc>
        <w:tc>
          <w:tcPr>
            <w:tcW w:w="1134" w:type="dxa"/>
            <w:shd w:val="clear" w:color="auto" w:fill="auto"/>
            <w:vAlign w:val="center"/>
          </w:tcPr>
          <w:p w:rsidR="00385835" w:rsidRPr="00FC6264"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eastAsia="AngsanaUPC" w:hAnsi="Times New Roman"/>
                <w:bCs/>
                <w:iCs/>
                <w:sz w:val="18"/>
                <w:szCs w:val="18"/>
                <w:lang w:eastAsia="lt-LT"/>
              </w:rPr>
              <w:t>Mažiau išsivystęs</w:t>
            </w:r>
          </w:p>
        </w:tc>
        <w:tc>
          <w:tcPr>
            <w:tcW w:w="1133" w:type="dxa"/>
            <w:shd w:val="clear" w:color="auto" w:fill="auto"/>
            <w:vAlign w:val="center"/>
          </w:tcPr>
          <w:p w:rsidR="00385835" w:rsidRPr="00FC6264"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eastAsia="AngsanaUPC" w:hAnsi="Times New Roman"/>
                <w:bCs/>
                <w:iCs/>
                <w:sz w:val="18"/>
                <w:szCs w:val="18"/>
                <w:lang w:eastAsia="lt-LT"/>
              </w:rPr>
              <w:t>440</w:t>
            </w:r>
          </w:p>
        </w:tc>
        <w:tc>
          <w:tcPr>
            <w:tcW w:w="1134" w:type="dxa"/>
            <w:shd w:val="clear" w:color="auto" w:fill="auto"/>
            <w:vAlign w:val="center"/>
          </w:tcPr>
          <w:p w:rsidR="00385835" w:rsidRPr="00FC6264" w:rsidRDefault="00385835" w:rsidP="00385835">
            <w:pPr>
              <w:widowControl w:val="0"/>
              <w:tabs>
                <w:tab w:val="left" w:pos="622"/>
              </w:tabs>
              <w:spacing w:after="0" w:line="240" w:lineRule="auto"/>
              <w:jc w:val="center"/>
              <w:rPr>
                <w:rFonts w:ascii="Times New Roman" w:hAnsi="Times New Roman"/>
                <w:sz w:val="18"/>
                <w:szCs w:val="18"/>
              </w:rPr>
            </w:pPr>
            <w:r w:rsidRPr="00FC6264">
              <w:rPr>
                <w:rFonts w:ascii="Times New Roman" w:hAnsi="Times New Roman"/>
                <w:sz w:val="18"/>
                <w:szCs w:val="18"/>
              </w:rPr>
              <w:t>Duomenys iš projektų</w:t>
            </w:r>
          </w:p>
        </w:tc>
        <w:tc>
          <w:tcPr>
            <w:tcW w:w="1241" w:type="dxa"/>
            <w:shd w:val="clear" w:color="auto" w:fill="auto"/>
            <w:vAlign w:val="center"/>
          </w:tcPr>
          <w:p w:rsidR="00385835" w:rsidRPr="00FC6264"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eastAsia="AngsanaUPC" w:hAnsi="Times New Roman"/>
                <w:bCs/>
                <w:iCs/>
                <w:sz w:val="18"/>
                <w:szCs w:val="18"/>
                <w:lang w:eastAsia="lt-LT"/>
              </w:rPr>
              <w:t>Kartą per metus</w:t>
            </w:r>
          </w:p>
        </w:tc>
      </w:tr>
      <w:tr w:rsidR="00385835" w:rsidRPr="00385835" w:rsidTr="008F339D">
        <w:tblPrEx>
          <w:shd w:val="clear" w:color="auto" w:fill="auto"/>
        </w:tblPrEx>
        <w:tc>
          <w:tcPr>
            <w:tcW w:w="567" w:type="dxa"/>
            <w:shd w:val="clear" w:color="auto" w:fill="auto"/>
            <w:vAlign w:val="center"/>
          </w:tcPr>
          <w:p w:rsidR="00385835" w:rsidRPr="00FC6264"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eastAsia="AngsanaUPC" w:hAnsi="Times New Roman"/>
                <w:bCs/>
                <w:iCs/>
                <w:sz w:val="18"/>
                <w:szCs w:val="18"/>
                <w:lang w:eastAsia="lt-LT"/>
              </w:rPr>
              <w:t>8.</w:t>
            </w:r>
          </w:p>
        </w:tc>
        <w:tc>
          <w:tcPr>
            <w:tcW w:w="2694" w:type="dxa"/>
            <w:shd w:val="clear" w:color="auto" w:fill="auto"/>
            <w:vAlign w:val="center"/>
          </w:tcPr>
          <w:p w:rsidR="00385835" w:rsidRPr="00FC6264" w:rsidRDefault="00385835" w:rsidP="00385835">
            <w:pPr>
              <w:widowControl w:val="0"/>
              <w:tabs>
                <w:tab w:val="left" w:pos="622"/>
              </w:tabs>
              <w:spacing w:after="0" w:line="240" w:lineRule="auto"/>
              <w:rPr>
                <w:rFonts w:ascii="Times New Roman" w:hAnsi="Times New Roman"/>
                <w:sz w:val="18"/>
                <w:szCs w:val="18"/>
              </w:rPr>
            </w:pPr>
            <w:r w:rsidRPr="00FC6264">
              <w:rPr>
                <w:rFonts w:ascii="Times New Roman" w:hAnsi="Times New Roman"/>
                <w:sz w:val="18"/>
                <w:szCs w:val="18"/>
              </w:rPr>
              <w:t>Sukurtų naujų darbo vietų skaičius naujai įsteigtose įmonėse/versluose</w:t>
            </w:r>
          </w:p>
        </w:tc>
        <w:tc>
          <w:tcPr>
            <w:tcW w:w="1134" w:type="dxa"/>
            <w:shd w:val="clear" w:color="auto" w:fill="auto"/>
            <w:vAlign w:val="center"/>
          </w:tcPr>
          <w:p w:rsidR="00385835" w:rsidRPr="00FC6264" w:rsidRDefault="00385835" w:rsidP="00385835">
            <w:pPr>
              <w:spacing w:after="0" w:line="240" w:lineRule="auto"/>
              <w:jc w:val="center"/>
              <w:rPr>
                <w:rFonts w:ascii="Times New Roman" w:eastAsia="Times New Roman" w:hAnsi="Times New Roman"/>
                <w:bCs/>
                <w:sz w:val="18"/>
                <w:szCs w:val="18"/>
              </w:rPr>
            </w:pPr>
            <w:r w:rsidRPr="00FC6264">
              <w:rPr>
                <w:rFonts w:ascii="Times New Roman" w:eastAsia="Times New Roman" w:hAnsi="Times New Roman"/>
                <w:bCs/>
                <w:sz w:val="18"/>
                <w:szCs w:val="18"/>
              </w:rPr>
              <w:t>Skaičius</w:t>
            </w:r>
          </w:p>
        </w:tc>
        <w:tc>
          <w:tcPr>
            <w:tcW w:w="851" w:type="dxa"/>
            <w:shd w:val="clear" w:color="auto" w:fill="auto"/>
            <w:vAlign w:val="center"/>
          </w:tcPr>
          <w:p w:rsidR="00385835" w:rsidRPr="00FC6264" w:rsidRDefault="00385835" w:rsidP="00385835">
            <w:pPr>
              <w:spacing w:after="0" w:line="240" w:lineRule="auto"/>
              <w:jc w:val="center"/>
              <w:rPr>
                <w:rFonts w:ascii="Times New Roman" w:eastAsia="Times New Roman" w:hAnsi="Times New Roman"/>
                <w:bCs/>
                <w:sz w:val="18"/>
                <w:szCs w:val="18"/>
              </w:rPr>
            </w:pPr>
            <w:r w:rsidRPr="00FC6264">
              <w:rPr>
                <w:rFonts w:ascii="Times New Roman" w:eastAsia="Times New Roman" w:hAnsi="Times New Roman"/>
                <w:bCs/>
                <w:sz w:val="18"/>
                <w:szCs w:val="18"/>
              </w:rPr>
              <w:t>ESF</w:t>
            </w:r>
          </w:p>
        </w:tc>
        <w:tc>
          <w:tcPr>
            <w:tcW w:w="1134" w:type="dxa"/>
            <w:shd w:val="clear" w:color="auto" w:fill="auto"/>
            <w:vAlign w:val="center"/>
          </w:tcPr>
          <w:p w:rsidR="00385835" w:rsidRPr="00FC6264"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eastAsia="AngsanaUPC" w:hAnsi="Times New Roman"/>
                <w:bCs/>
                <w:iCs/>
                <w:sz w:val="18"/>
                <w:szCs w:val="18"/>
                <w:lang w:eastAsia="lt-LT"/>
              </w:rPr>
              <w:t>Mažiau išsivystęs</w:t>
            </w:r>
          </w:p>
        </w:tc>
        <w:tc>
          <w:tcPr>
            <w:tcW w:w="1133" w:type="dxa"/>
            <w:shd w:val="clear" w:color="auto" w:fill="auto"/>
            <w:vAlign w:val="center"/>
          </w:tcPr>
          <w:p w:rsidR="00385835" w:rsidRPr="00FC6264" w:rsidRDefault="00385835" w:rsidP="009348A3">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eastAsia="AngsanaUPC" w:hAnsi="Times New Roman"/>
                <w:bCs/>
                <w:iCs/>
                <w:sz w:val="18"/>
                <w:szCs w:val="18"/>
                <w:lang w:eastAsia="lt-LT"/>
              </w:rPr>
              <w:t>1</w:t>
            </w:r>
            <w:r w:rsidR="009348A3" w:rsidRPr="00FC6264">
              <w:rPr>
                <w:rFonts w:ascii="Times New Roman" w:eastAsia="AngsanaUPC" w:hAnsi="Times New Roman"/>
                <w:bCs/>
                <w:iCs/>
                <w:sz w:val="18"/>
                <w:szCs w:val="18"/>
                <w:lang w:eastAsia="lt-LT"/>
              </w:rPr>
              <w:t>.</w:t>
            </w:r>
            <w:r w:rsidRPr="00FC6264">
              <w:rPr>
                <w:rFonts w:ascii="Times New Roman" w:eastAsia="AngsanaUPC" w:hAnsi="Times New Roman"/>
                <w:bCs/>
                <w:iCs/>
                <w:sz w:val="18"/>
                <w:szCs w:val="18"/>
                <w:lang w:eastAsia="lt-LT"/>
              </w:rPr>
              <w:t>800</w:t>
            </w:r>
          </w:p>
        </w:tc>
        <w:tc>
          <w:tcPr>
            <w:tcW w:w="1134" w:type="dxa"/>
            <w:shd w:val="clear" w:color="auto" w:fill="auto"/>
            <w:vAlign w:val="center"/>
          </w:tcPr>
          <w:p w:rsidR="00385835" w:rsidRPr="00FC6264" w:rsidRDefault="00385835" w:rsidP="00385835">
            <w:pPr>
              <w:widowControl w:val="0"/>
              <w:tabs>
                <w:tab w:val="left" w:pos="622"/>
              </w:tabs>
              <w:spacing w:after="0" w:line="240" w:lineRule="auto"/>
              <w:jc w:val="center"/>
              <w:rPr>
                <w:rFonts w:ascii="Times New Roman" w:hAnsi="Times New Roman"/>
                <w:sz w:val="18"/>
                <w:szCs w:val="18"/>
              </w:rPr>
            </w:pPr>
            <w:r w:rsidRPr="00FC6264">
              <w:rPr>
                <w:rFonts w:ascii="Times New Roman" w:hAnsi="Times New Roman"/>
                <w:sz w:val="18"/>
                <w:szCs w:val="18"/>
              </w:rPr>
              <w:t>Duomenys iš projektų</w:t>
            </w:r>
          </w:p>
        </w:tc>
        <w:tc>
          <w:tcPr>
            <w:tcW w:w="1241" w:type="dxa"/>
            <w:shd w:val="clear" w:color="auto" w:fill="auto"/>
            <w:vAlign w:val="center"/>
          </w:tcPr>
          <w:p w:rsidR="00385835" w:rsidRPr="00FC6264"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eastAsia="AngsanaUPC" w:hAnsi="Times New Roman"/>
                <w:bCs/>
                <w:iCs/>
                <w:sz w:val="18"/>
                <w:szCs w:val="18"/>
                <w:lang w:eastAsia="lt-LT"/>
              </w:rPr>
              <w:t>Kartą per metus</w:t>
            </w:r>
          </w:p>
        </w:tc>
      </w:tr>
      <w:tr w:rsidR="00385835" w:rsidRPr="00385835" w:rsidTr="008F339D">
        <w:tblPrEx>
          <w:shd w:val="clear" w:color="auto" w:fill="auto"/>
        </w:tblPrEx>
        <w:tc>
          <w:tcPr>
            <w:tcW w:w="567" w:type="dxa"/>
            <w:shd w:val="clear" w:color="auto" w:fill="auto"/>
            <w:vAlign w:val="center"/>
          </w:tcPr>
          <w:p w:rsidR="00385835" w:rsidRPr="00FC6264"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eastAsia="AngsanaUPC" w:hAnsi="Times New Roman"/>
                <w:bCs/>
                <w:iCs/>
                <w:sz w:val="18"/>
                <w:szCs w:val="18"/>
                <w:lang w:eastAsia="lt-LT"/>
              </w:rPr>
              <w:t>9.</w:t>
            </w:r>
          </w:p>
        </w:tc>
        <w:tc>
          <w:tcPr>
            <w:tcW w:w="2694" w:type="dxa"/>
            <w:shd w:val="clear" w:color="auto" w:fill="auto"/>
            <w:vAlign w:val="center"/>
          </w:tcPr>
          <w:p w:rsidR="00385835" w:rsidRPr="00FC6264" w:rsidRDefault="00385835" w:rsidP="00385835">
            <w:pPr>
              <w:widowControl w:val="0"/>
              <w:tabs>
                <w:tab w:val="left" w:pos="622"/>
              </w:tabs>
              <w:spacing w:after="0" w:line="240" w:lineRule="auto"/>
              <w:rPr>
                <w:rFonts w:ascii="Times New Roman" w:hAnsi="Times New Roman"/>
                <w:sz w:val="18"/>
                <w:szCs w:val="18"/>
              </w:rPr>
            </w:pPr>
            <w:r w:rsidRPr="00FC6264">
              <w:rPr>
                <w:rFonts w:ascii="Times New Roman" w:hAnsi="Times New Roman"/>
                <w:sz w:val="18"/>
                <w:szCs w:val="18"/>
              </w:rPr>
              <w:t xml:space="preserve">Sukurtų naujų darbo vietų skaičius naujai įsteigtose įmonėse/versluose, iš kurių: su sunkumais darbo rinkoje susiduriančių asmenų naujai įsteigtose įmonėse, versluose </w:t>
            </w:r>
          </w:p>
        </w:tc>
        <w:tc>
          <w:tcPr>
            <w:tcW w:w="1134" w:type="dxa"/>
            <w:shd w:val="clear" w:color="auto" w:fill="auto"/>
            <w:vAlign w:val="center"/>
          </w:tcPr>
          <w:p w:rsidR="00385835" w:rsidRPr="00FC6264" w:rsidRDefault="00385835" w:rsidP="00385835">
            <w:pPr>
              <w:spacing w:after="0" w:line="240" w:lineRule="auto"/>
              <w:jc w:val="center"/>
              <w:rPr>
                <w:rFonts w:ascii="Times New Roman" w:eastAsia="Times New Roman" w:hAnsi="Times New Roman"/>
                <w:bCs/>
                <w:sz w:val="18"/>
                <w:szCs w:val="18"/>
              </w:rPr>
            </w:pPr>
            <w:r w:rsidRPr="00FC6264">
              <w:rPr>
                <w:rFonts w:ascii="Times New Roman" w:eastAsia="Times New Roman" w:hAnsi="Times New Roman"/>
                <w:bCs/>
                <w:sz w:val="18"/>
                <w:szCs w:val="18"/>
              </w:rPr>
              <w:t>Skaičius</w:t>
            </w:r>
          </w:p>
        </w:tc>
        <w:tc>
          <w:tcPr>
            <w:tcW w:w="851" w:type="dxa"/>
            <w:shd w:val="clear" w:color="auto" w:fill="auto"/>
            <w:vAlign w:val="center"/>
          </w:tcPr>
          <w:p w:rsidR="00385835" w:rsidRPr="00FC6264" w:rsidRDefault="00385835" w:rsidP="00385835">
            <w:pPr>
              <w:spacing w:after="0" w:line="240" w:lineRule="auto"/>
              <w:jc w:val="center"/>
              <w:rPr>
                <w:rFonts w:ascii="Times New Roman" w:eastAsia="Times New Roman" w:hAnsi="Times New Roman"/>
                <w:bCs/>
                <w:sz w:val="18"/>
                <w:szCs w:val="18"/>
              </w:rPr>
            </w:pPr>
            <w:r w:rsidRPr="00FC6264">
              <w:rPr>
                <w:rFonts w:ascii="Times New Roman" w:eastAsia="Times New Roman" w:hAnsi="Times New Roman"/>
                <w:bCs/>
                <w:sz w:val="18"/>
                <w:szCs w:val="18"/>
              </w:rPr>
              <w:t>ESF</w:t>
            </w:r>
          </w:p>
        </w:tc>
        <w:tc>
          <w:tcPr>
            <w:tcW w:w="1134" w:type="dxa"/>
            <w:shd w:val="clear" w:color="auto" w:fill="auto"/>
            <w:vAlign w:val="center"/>
          </w:tcPr>
          <w:p w:rsidR="00385835" w:rsidRPr="00FC6264"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eastAsia="AngsanaUPC" w:hAnsi="Times New Roman"/>
                <w:bCs/>
                <w:iCs/>
                <w:sz w:val="18"/>
                <w:szCs w:val="18"/>
                <w:lang w:eastAsia="lt-LT"/>
              </w:rPr>
              <w:t>Mažiau išsivystęs</w:t>
            </w:r>
          </w:p>
        </w:tc>
        <w:tc>
          <w:tcPr>
            <w:tcW w:w="1133" w:type="dxa"/>
            <w:shd w:val="clear" w:color="auto" w:fill="auto"/>
            <w:vAlign w:val="center"/>
          </w:tcPr>
          <w:p w:rsidR="00385835" w:rsidRPr="00FC6264"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eastAsia="AngsanaUPC" w:hAnsi="Times New Roman"/>
                <w:bCs/>
                <w:iCs/>
                <w:sz w:val="18"/>
                <w:szCs w:val="18"/>
                <w:lang w:eastAsia="lt-LT"/>
              </w:rPr>
              <w:t>810</w:t>
            </w:r>
          </w:p>
        </w:tc>
        <w:tc>
          <w:tcPr>
            <w:tcW w:w="1134" w:type="dxa"/>
            <w:shd w:val="clear" w:color="auto" w:fill="auto"/>
            <w:vAlign w:val="center"/>
          </w:tcPr>
          <w:p w:rsidR="00385835" w:rsidRPr="00FC6264" w:rsidRDefault="00385835" w:rsidP="00385835">
            <w:pPr>
              <w:widowControl w:val="0"/>
              <w:tabs>
                <w:tab w:val="left" w:pos="622"/>
              </w:tabs>
              <w:spacing w:after="0" w:line="240" w:lineRule="auto"/>
              <w:jc w:val="center"/>
              <w:rPr>
                <w:rFonts w:ascii="Times New Roman" w:hAnsi="Times New Roman"/>
                <w:sz w:val="18"/>
                <w:szCs w:val="18"/>
              </w:rPr>
            </w:pPr>
            <w:r w:rsidRPr="00FC6264">
              <w:rPr>
                <w:rFonts w:ascii="Times New Roman" w:hAnsi="Times New Roman"/>
                <w:sz w:val="18"/>
                <w:szCs w:val="18"/>
              </w:rPr>
              <w:t>Duomenys iš projektų</w:t>
            </w:r>
          </w:p>
        </w:tc>
        <w:tc>
          <w:tcPr>
            <w:tcW w:w="1241" w:type="dxa"/>
            <w:shd w:val="clear" w:color="auto" w:fill="auto"/>
            <w:vAlign w:val="center"/>
          </w:tcPr>
          <w:p w:rsidR="00385835" w:rsidRPr="00FC6264"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eastAsia="AngsanaUPC" w:hAnsi="Times New Roman"/>
                <w:bCs/>
                <w:iCs/>
                <w:sz w:val="18"/>
                <w:szCs w:val="18"/>
                <w:lang w:eastAsia="lt-LT"/>
              </w:rPr>
              <w:t>Kartą per metus</w:t>
            </w:r>
          </w:p>
        </w:tc>
      </w:tr>
      <w:tr w:rsidR="00385835" w:rsidRPr="00385835" w:rsidTr="008F339D">
        <w:tblPrEx>
          <w:shd w:val="clear" w:color="auto" w:fill="auto"/>
        </w:tblPrEx>
        <w:tc>
          <w:tcPr>
            <w:tcW w:w="567" w:type="dxa"/>
            <w:shd w:val="clear" w:color="auto" w:fill="auto"/>
            <w:vAlign w:val="center"/>
          </w:tcPr>
          <w:p w:rsidR="00385835" w:rsidRPr="00FC6264"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eastAsia="AngsanaUPC" w:hAnsi="Times New Roman"/>
                <w:bCs/>
                <w:iCs/>
                <w:sz w:val="18"/>
                <w:szCs w:val="18"/>
                <w:lang w:eastAsia="lt-LT"/>
              </w:rPr>
              <w:t>10.</w:t>
            </w:r>
          </w:p>
        </w:tc>
        <w:tc>
          <w:tcPr>
            <w:tcW w:w="2694" w:type="dxa"/>
            <w:shd w:val="clear" w:color="auto" w:fill="auto"/>
            <w:vAlign w:val="center"/>
          </w:tcPr>
          <w:p w:rsidR="00385835" w:rsidRPr="00FC6264" w:rsidRDefault="00385835" w:rsidP="00385835">
            <w:pPr>
              <w:widowControl w:val="0"/>
              <w:tabs>
                <w:tab w:val="left" w:pos="622"/>
              </w:tabs>
              <w:spacing w:after="0" w:line="240" w:lineRule="auto"/>
              <w:rPr>
                <w:rFonts w:ascii="Times New Roman" w:hAnsi="Times New Roman"/>
                <w:sz w:val="18"/>
                <w:szCs w:val="18"/>
              </w:rPr>
            </w:pPr>
            <w:r w:rsidRPr="00FC6264">
              <w:rPr>
                <w:rFonts w:ascii="Times New Roman" w:hAnsi="Times New Roman"/>
                <w:sz w:val="18"/>
                <w:szCs w:val="18"/>
              </w:rPr>
              <w:t>Renginiuose, skatinančiuose moterų ir vyrų lygybę bei diskriminacijos mažinimą darbo rinkoje, dalyvavę asmenys</w:t>
            </w:r>
          </w:p>
        </w:tc>
        <w:tc>
          <w:tcPr>
            <w:tcW w:w="1134" w:type="dxa"/>
            <w:shd w:val="clear" w:color="auto" w:fill="auto"/>
            <w:vAlign w:val="center"/>
          </w:tcPr>
          <w:p w:rsidR="00385835" w:rsidRPr="00FC6264" w:rsidRDefault="00385835" w:rsidP="00385835">
            <w:pPr>
              <w:spacing w:after="0" w:line="240" w:lineRule="auto"/>
              <w:jc w:val="center"/>
              <w:rPr>
                <w:rFonts w:ascii="Times New Roman" w:eastAsia="Times New Roman" w:hAnsi="Times New Roman"/>
                <w:bCs/>
                <w:sz w:val="18"/>
                <w:szCs w:val="18"/>
              </w:rPr>
            </w:pPr>
            <w:r w:rsidRPr="00FC6264">
              <w:rPr>
                <w:rFonts w:ascii="Times New Roman" w:eastAsia="Times New Roman" w:hAnsi="Times New Roman"/>
                <w:bCs/>
                <w:sz w:val="18"/>
                <w:szCs w:val="18"/>
              </w:rPr>
              <w:t>Skaičius</w:t>
            </w:r>
          </w:p>
        </w:tc>
        <w:tc>
          <w:tcPr>
            <w:tcW w:w="851" w:type="dxa"/>
            <w:shd w:val="clear" w:color="auto" w:fill="auto"/>
            <w:vAlign w:val="center"/>
          </w:tcPr>
          <w:p w:rsidR="00385835" w:rsidRPr="00FC6264" w:rsidRDefault="00385835" w:rsidP="00385835">
            <w:pPr>
              <w:spacing w:after="0" w:line="240" w:lineRule="auto"/>
              <w:jc w:val="center"/>
              <w:rPr>
                <w:rFonts w:ascii="Times New Roman" w:eastAsia="Times New Roman" w:hAnsi="Times New Roman"/>
                <w:bCs/>
                <w:sz w:val="18"/>
                <w:szCs w:val="18"/>
              </w:rPr>
            </w:pPr>
            <w:r w:rsidRPr="00FC6264">
              <w:rPr>
                <w:rFonts w:ascii="Times New Roman" w:eastAsia="Times New Roman" w:hAnsi="Times New Roman"/>
                <w:bCs/>
                <w:sz w:val="18"/>
                <w:szCs w:val="18"/>
              </w:rPr>
              <w:t>ESF</w:t>
            </w:r>
          </w:p>
        </w:tc>
        <w:tc>
          <w:tcPr>
            <w:tcW w:w="1134" w:type="dxa"/>
            <w:shd w:val="clear" w:color="auto" w:fill="auto"/>
            <w:vAlign w:val="center"/>
          </w:tcPr>
          <w:p w:rsidR="00385835" w:rsidRPr="00FC6264"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eastAsia="AngsanaUPC" w:hAnsi="Times New Roman"/>
                <w:bCs/>
                <w:iCs/>
                <w:sz w:val="18"/>
                <w:szCs w:val="18"/>
                <w:lang w:eastAsia="lt-LT"/>
              </w:rPr>
              <w:t>Mažiau išsivystęs</w:t>
            </w:r>
          </w:p>
        </w:tc>
        <w:tc>
          <w:tcPr>
            <w:tcW w:w="1133" w:type="dxa"/>
            <w:shd w:val="clear" w:color="auto" w:fill="auto"/>
            <w:vAlign w:val="center"/>
          </w:tcPr>
          <w:p w:rsidR="00385835" w:rsidRPr="00FC6264" w:rsidRDefault="00385835" w:rsidP="009348A3">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eastAsia="AngsanaUPC" w:hAnsi="Times New Roman"/>
                <w:bCs/>
                <w:iCs/>
                <w:sz w:val="18"/>
                <w:szCs w:val="18"/>
                <w:lang w:eastAsia="lt-LT"/>
              </w:rPr>
              <w:t>5</w:t>
            </w:r>
            <w:r w:rsidR="009348A3" w:rsidRPr="00FC6264">
              <w:rPr>
                <w:rFonts w:ascii="Times New Roman" w:eastAsia="AngsanaUPC" w:hAnsi="Times New Roman"/>
                <w:bCs/>
                <w:iCs/>
                <w:sz w:val="18"/>
                <w:szCs w:val="18"/>
                <w:lang w:eastAsia="lt-LT"/>
              </w:rPr>
              <w:t>.</w:t>
            </w:r>
            <w:r w:rsidRPr="00FC6264">
              <w:rPr>
                <w:rFonts w:ascii="Times New Roman" w:eastAsia="AngsanaUPC" w:hAnsi="Times New Roman"/>
                <w:bCs/>
                <w:iCs/>
                <w:sz w:val="18"/>
                <w:szCs w:val="18"/>
                <w:lang w:eastAsia="lt-LT"/>
              </w:rPr>
              <w:t>000</w:t>
            </w:r>
          </w:p>
        </w:tc>
        <w:tc>
          <w:tcPr>
            <w:tcW w:w="1134" w:type="dxa"/>
            <w:shd w:val="clear" w:color="auto" w:fill="auto"/>
            <w:vAlign w:val="center"/>
          </w:tcPr>
          <w:p w:rsidR="00385835" w:rsidRPr="00FC6264" w:rsidRDefault="00385835" w:rsidP="00385835">
            <w:pPr>
              <w:widowControl w:val="0"/>
              <w:tabs>
                <w:tab w:val="left" w:pos="622"/>
              </w:tabs>
              <w:spacing w:after="0" w:line="240" w:lineRule="auto"/>
              <w:jc w:val="center"/>
              <w:rPr>
                <w:rFonts w:ascii="Times New Roman" w:hAnsi="Times New Roman"/>
                <w:sz w:val="18"/>
                <w:szCs w:val="18"/>
              </w:rPr>
            </w:pPr>
            <w:r w:rsidRPr="00FC6264">
              <w:rPr>
                <w:rFonts w:ascii="Times New Roman" w:hAnsi="Times New Roman"/>
                <w:sz w:val="18"/>
                <w:szCs w:val="18"/>
              </w:rPr>
              <w:t>Duomenys iš projektų</w:t>
            </w:r>
          </w:p>
        </w:tc>
        <w:tc>
          <w:tcPr>
            <w:tcW w:w="1241" w:type="dxa"/>
            <w:shd w:val="clear" w:color="auto" w:fill="auto"/>
            <w:vAlign w:val="center"/>
          </w:tcPr>
          <w:p w:rsidR="00385835" w:rsidRPr="00FC6264"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eastAsia="AngsanaUPC" w:hAnsi="Times New Roman"/>
                <w:bCs/>
                <w:iCs/>
                <w:sz w:val="18"/>
                <w:szCs w:val="18"/>
                <w:lang w:eastAsia="lt-LT"/>
              </w:rPr>
              <w:t>Kartą per metus</w:t>
            </w:r>
          </w:p>
        </w:tc>
      </w:tr>
      <w:tr w:rsidR="00DA0DF6" w:rsidRPr="00385835" w:rsidTr="008F339D">
        <w:tblPrEx>
          <w:shd w:val="clear" w:color="auto" w:fill="auto"/>
        </w:tblPrEx>
        <w:tc>
          <w:tcPr>
            <w:tcW w:w="567" w:type="dxa"/>
            <w:shd w:val="clear" w:color="auto" w:fill="auto"/>
            <w:vAlign w:val="center"/>
          </w:tcPr>
          <w:p w:rsidR="00DA0DF6" w:rsidRPr="008F339D" w:rsidRDefault="00DA0DF6"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8F339D">
              <w:rPr>
                <w:rFonts w:ascii="Times New Roman" w:eastAsia="AngsanaUPC" w:hAnsi="Times New Roman"/>
                <w:bCs/>
                <w:iCs/>
                <w:sz w:val="18"/>
                <w:szCs w:val="18"/>
                <w:lang w:eastAsia="lt-LT"/>
              </w:rPr>
              <w:t>11.</w:t>
            </w:r>
          </w:p>
        </w:tc>
        <w:tc>
          <w:tcPr>
            <w:tcW w:w="2694" w:type="dxa"/>
            <w:shd w:val="clear" w:color="auto" w:fill="auto"/>
            <w:vAlign w:val="center"/>
          </w:tcPr>
          <w:p w:rsidR="00DA0DF6" w:rsidRPr="00DE5038" w:rsidRDefault="00921DC0" w:rsidP="00DA0DF6">
            <w:pPr>
              <w:widowControl w:val="0"/>
              <w:tabs>
                <w:tab w:val="left" w:pos="622"/>
              </w:tabs>
              <w:spacing w:after="0" w:line="240" w:lineRule="auto"/>
              <w:rPr>
                <w:rFonts w:ascii="Times New Roman" w:eastAsia="Times New Roman" w:hAnsi="Times New Roman" w:cs="Arial"/>
                <w:strike/>
                <w:sz w:val="18"/>
                <w:szCs w:val="18"/>
              </w:rPr>
            </w:pPr>
            <w:r w:rsidRPr="008F339D">
              <w:rPr>
                <w:rFonts w:ascii="Times New Roman" w:eastAsia="Times New Roman" w:hAnsi="Times New Roman" w:cs="Arial"/>
                <w:sz w:val="18"/>
                <w:szCs w:val="18"/>
              </w:rPr>
              <w:t>Dalyviai pasinaudoję parama sutrumpinto darbo laiko schemoms</w:t>
            </w:r>
          </w:p>
        </w:tc>
        <w:tc>
          <w:tcPr>
            <w:tcW w:w="1134" w:type="dxa"/>
            <w:shd w:val="clear" w:color="auto" w:fill="auto"/>
            <w:vAlign w:val="center"/>
          </w:tcPr>
          <w:p w:rsidR="00DA0DF6" w:rsidRPr="008F339D" w:rsidRDefault="00DA0DF6" w:rsidP="00DA0DF6">
            <w:pPr>
              <w:spacing w:after="0" w:line="240" w:lineRule="auto"/>
              <w:jc w:val="center"/>
              <w:rPr>
                <w:rFonts w:ascii="Times New Roman" w:hAnsi="Times New Roman"/>
                <w:bCs/>
                <w:sz w:val="18"/>
                <w:szCs w:val="18"/>
              </w:rPr>
            </w:pPr>
            <w:r w:rsidRPr="008F339D">
              <w:rPr>
                <w:rFonts w:ascii="Times New Roman" w:hAnsi="Times New Roman"/>
                <w:bCs/>
                <w:sz w:val="18"/>
                <w:szCs w:val="18"/>
              </w:rPr>
              <w:t>Skaičius</w:t>
            </w:r>
          </w:p>
        </w:tc>
        <w:tc>
          <w:tcPr>
            <w:tcW w:w="851" w:type="dxa"/>
            <w:shd w:val="clear" w:color="auto" w:fill="auto"/>
            <w:vAlign w:val="center"/>
          </w:tcPr>
          <w:p w:rsidR="00DA0DF6" w:rsidRPr="008F339D" w:rsidRDefault="00DA0DF6" w:rsidP="00DA0DF6">
            <w:pPr>
              <w:spacing w:after="0" w:line="240" w:lineRule="auto"/>
              <w:jc w:val="center"/>
              <w:rPr>
                <w:rFonts w:ascii="Times New Roman" w:hAnsi="Times New Roman"/>
                <w:bCs/>
                <w:sz w:val="18"/>
                <w:szCs w:val="18"/>
              </w:rPr>
            </w:pPr>
            <w:r w:rsidRPr="008F339D">
              <w:rPr>
                <w:rFonts w:ascii="Times New Roman" w:hAnsi="Times New Roman"/>
                <w:bCs/>
                <w:sz w:val="18"/>
                <w:szCs w:val="18"/>
              </w:rPr>
              <w:t>ESF</w:t>
            </w:r>
          </w:p>
        </w:tc>
        <w:tc>
          <w:tcPr>
            <w:tcW w:w="1134" w:type="dxa"/>
            <w:shd w:val="clear" w:color="auto" w:fill="auto"/>
            <w:vAlign w:val="center"/>
          </w:tcPr>
          <w:p w:rsidR="00DA0DF6" w:rsidRPr="008F339D" w:rsidRDefault="00DA0DF6" w:rsidP="00DA0DF6">
            <w:pPr>
              <w:widowControl w:val="0"/>
              <w:tabs>
                <w:tab w:val="left" w:pos="622"/>
              </w:tabs>
              <w:spacing w:after="0" w:line="240" w:lineRule="auto"/>
              <w:jc w:val="center"/>
              <w:rPr>
                <w:rFonts w:ascii="Times New Roman" w:eastAsia="AngsanaUPC" w:hAnsi="Times New Roman"/>
                <w:bCs/>
                <w:iCs/>
                <w:sz w:val="18"/>
                <w:szCs w:val="18"/>
                <w:lang w:eastAsia="lt-LT"/>
              </w:rPr>
            </w:pPr>
            <w:r w:rsidRPr="008F339D">
              <w:rPr>
                <w:rFonts w:ascii="Times New Roman" w:eastAsia="AngsanaUPC" w:hAnsi="Times New Roman"/>
                <w:bCs/>
                <w:iCs/>
                <w:sz w:val="18"/>
                <w:szCs w:val="18"/>
                <w:lang w:eastAsia="lt-LT"/>
              </w:rPr>
              <w:t>Mažiau išsivystęs</w:t>
            </w:r>
          </w:p>
        </w:tc>
        <w:tc>
          <w:tcPr>
            <w:tcW w:w="1133" w:type="dxa"/>
            <w:shd w:val="clear" w:color="auto" w:fill="auto"/>
            <w:vAlign w:val="center"/>
          </w:tcPr>
          <w:p w:rsidR="00DA0DF6" w:rsidRPr="008F339D" w:rsidRDefault="008F339D" w:rsidP="008F339D">
            <w:pPr>
              <w:widowControl w:val="0"/>
              <w:tabs>
                <w:tab w:val="left" w:pos="622"/>
              </w:tabs>
              <w:spacing w:after="0" w:line="240" w:lineRule="auto"/>
              <w:jc w:val="center"/>
              <w:rPr>
                <w:rFonts w:ascii="Times New Roman" w:eastAsia="AngsanaUPC" w:hAnsi="Times New Roman" w:cs="Arial"/>
                <w:bCs/>
                <w:iCs/>
                <w:sz w:val="18"/>
                <w:szCs w:val="18"/>
                <w:lang w:val="en-US" w:eastAsia="lt-LT"/>
              </w:rPr>
            </w:pPr>
            <w:r>
              <w:rPr>
                <w:rFonts w:ascii="Times New Roman" w:eastAsia="AngsanaUPC" w:hAnsi="Times New Roman" w:cs="Arial"/>
                <w:bCs/>
                <w:iCs/>
                <w:sz w:val="18"/>
                <w:szCs w:val="18"/>
                <w:lang w:val="en-US" w:eastAsia="lt-LT"/>
              </w:rPr>
              <w:t>150.000</w:t>
            </w:r>
          </w:p>
        </w:tc>
        <w:tc>
          <w:tcPr>
            <w:tcW w:w="1134" w:type="dxa"/>
            <w:shd w:val="clear" w:color="auto" w:fill="auto"/>
            <w:vAlign w:val="center"/>
          </w:tcPr>
          <w:p w:rsidR="00DA0DF6" w:rsidRPr="008F339D" w:rsidRDefault="00DA0DF6" w:rsidP="00DA0DF6">
            <w:pPr>
              <w:widowControl w:val="0"/>
              <w:tabs>
                <w:tab w:val="left" w:pos="622"/>
              </w:tabs>
              <w:spacing w:after="0" w:line="240" w:lineRule="auto"/>
              <w:jc w:val="center"/>
              <w:rPr>
                <w:rFonts w:ascii="Times New Roman" w:hAnsi="Times New Roman"/>
                <w:sz w:val="18"/>
                <w:szCs w:val="18"/>
              </w:rPr>
            </w:pPr>
            <w:r w:rsidRPr="008F339D">
              <w:rPr>
                <w:rFonts w:ascii="Times New Roman" w:hAnsi="Times New Roman"/>
                <w:sz w:val="18"/>
                <w:szCs w:val="18"/>
              </w:rPr>
              <w:t>Duomenys iš projektų</w:t>
            </w:r>
          </w:p>
        </w:tc>
        <w:tc>
          <w:tcPr>
            <w:tcW w:w="1241" w:type="dxa"/>
            <w:shd w:val="clear" w:color="auto" w:fill="auto"/>
            <w:vAlign w:val="center"/>
          </w:tcPr>
          <w:p w:rsidR="00DA0DF6" w:rsidRPr="008F339D" w:rsidRDefault="00DA0DF6" w:rsidP="00DA0DF6">
            <w:pPr>
              <w:widowControl w:val="0"/>
              <w:tabs>
                <w:tab w:val="left" w:pos="622"/>
              </w:tabs>
              <w:spacing w:after="0" w:line="240" w:lineRule="auto"/>
              <w:jc w:val="center"/>
              <w:rPr>
                <w:rFonts w:ascii="Times New Roman" w:eastAsia="AngsanaUPC" w:hAnsi="Times New Roman"/>
                <w:bCs/>
                <w:iCs/>
                <w:sz w:val="18"/>
                <w:szCs w:val="18"/>
                <w:lang w:eastAsia="lt-LT"/>
              </w:rPr>
            </w:pPr>
            <w:r w:rsidRPr="008F339D">
              <w:rPr>
                <w:rFonts w:ascii="Times New Roman" w:eastAsia="AngsanaUPC" w:hAnsi="Times New Roman"/>
                <w:bCs/>
                <w:iCs/>
                <w:sz w:val="18"/>
                <w:szCs w:val="18"/>
                <w:lang w:eastAsia="lt-LT"/>
              </w:rPr>
              <w:t>Kartą per metus</w:t>
            </w:r>
          </w:p>
        </w:tc>
      </w:tr>
      <w:tr w:rsidR="00921DC0" w:rsidRPr="00385835" w:rsidTr="008F339D">
        <w:tblPrEx>
          <w:shd w:val="clear" w:color="auto" w:fill="auto"/>
        </w:tblPrEx>
        <w:tc>
          <w:tcPr>
            <w:tcW w:w="567" w:type="dxa"/>
            <w:shd w:val="clear" w:color="auto" w:fill="auto"/>
            <w:vAlign w:val="center"/>
          </w:tcPr>
          <w:p w:rsidR="00921DC0" w:rsidRPr="008F339D" w:rsidRDefault="00921DC0"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8F339D">
              <w:rPr>
                <w:rFonts w:ascii="Times New Roman" w:hAnsi="Times New Roman"/>
                <w:bCs/>
                <w:iCs/>
                <w:sz w:val="18"/>
                <w:szCs w:val="18"/>
                <w:lang w:eastAsia="lt-LT"/>
              </w:rPr>
              <w:t>12.</w:t>
            </w:r>
          </w:p>
        </w:tc>
        <w:tc>
          <w:tcPr>
            <w:tcW w:w="2694" w:type="dxa"/>
            <w:shd w:val="clear" w:color="auto" w:fill="auto"/>
            <w:vAlign w:val="center"/>
          </w:tcPr>
          <w:p w:rsidR="00921DC0" w:rsidRPr="008F339D" w:rsidRDefault="00921DC0" w:rsidP="00921DC0">
            <w:pPr>
              <w:widowControl w:val="0"/>
              <w:tabs>
                <w:tab w:val="left" w:pos="622"/>
              </w:tabs>
              <w:spacing w:after="0" w:line="240" w:lineRule="auto"/>
              <w:rPr>
                <w:rFonts w:ascii="Times New Roman" w:eastAsia="Times New Roman" w:hAnsi="Times New Roman" w:cs="Arial"/>
                <w:sz w:val="18"/>
                <w:szCs w:val="18"/>
              </w:rPr>
            </w:pPr>
            <w:r w:rsidRPr="008F339D">
              <w:rPr>
                <w:rFonts w:ascii="Times New Roman" w:hAnsi="Times New Roman"/>
                <w:sz w:val="18"/>
                <w:szCs w:val="18"/>
              </w:rPr>
              <w:t>Dalyviai, remiami kovojant su COVID-19 pandemijos poveikiu arba neutralizuojant jo poveikį</w:t>
            </w:r>
          </w:p>
        </w:tc>
        <w:tc>
          <w:tcPr>
            <w:tcW w:w="1134" w:type="dxa"/>
            <w:shd w:val="clear" w:color="auto" w:fill="auto"/>
            <w:vAlign w:val="center"/>
          </w:tcPr>
          <w:p w:rsidR="00921DC0" w:rsidRPr="008F339D" w:rsidRDefault="00921DC0" w:rsidP="00DA0DF6">
            <w:pPr>
              <w:spacing w:after="0" w:line="240" w:lineRule="auto"/>
              <w:jc w:val="center"/>
              <w:rPr>
                <w:rFonts w:ascii="Times New Roman" w:hAnsi="Times New Roman"/>
                <w:bCs/>
                <w:sz w:val="18"/>
                <w:szCs w:val="18"/>
              </w:rPr>
            </w:pPr>
            <w:r w:rsidRPr="008F339D">
              <w:rPr>
                <w:rFonts w:ascii="Times New Roman" w:hAnsi="Times New Roman"/>
                <w:bCs/>
                <w:iCs/>
                <w:sz w:val="18"/>
                <w:szCs w:val="18"/>
                <w:lang w:eastAsia="lt-LT"/>
              </w:rPr>
              <w:t>Skaičius</w:t>
            </w:r>
          </w:p>
        </w:tc>
        <w:tc>
          <w:tcPr>
            <w:tcW w:w="851" w:type="dxa"/>
            <w:shd w:val="clear" w:color="auto" w:fill="auto"/>
            <w:vAlign w:val="center"/>
          </w:tcPr>
          <w:p w:rsidR="00921DC0" w:rsidRPr="008F339D" w:rsidRDefault="00921DC0" w:rsidP="00DA0DF6">
            <w:pPr>
              <w:spacing w:after="0" w:line="240" w:lineRule="auto"/>
              <w:jc w:val="center"/>
              <w:rPr>
                <w:rFonts w:ascii="Times New Roman" w:hAnsi="Times New Roman"/>
                <w:bCs/>
                <w:sz w:val="18"/>
                <w:szCs w:val="18"/>
              </w:rPr>
            </w:pPr>
            <w:r w:rsidRPr="008F339D">
              <w:rPr>
                <w:rFonts w:ascii="Times New Roman" w:hAnsi="Times New Roman"/>
                <w:bCs/>
                <w:iCs/>
                <w:sz w:val="18"/>
                <w:szCs w:val="18"/>
                <w:lang w:eastAsia="lt-LT"/>
              </w:rPr>
              <w:t>ESF</w:t>
            </w:r>
          </w:p>
        </w:tc>
        <w:tc>
          <w:tcPr>
            <w:tcW w:w="1134" w:type="dxa"/>
            <w:shd w:val="clear" w:color="auto" w:fill="auto"/>
            <w:vAlign w:val="center"/>
          </w:tcPr>
          <w:p w:rsidR="00921DC0" w:rsidRPr="008F339D" w:rsidRDefault="00921DC0" w:rsidP="00DA0DF6">
            <w:pPr>
              <w:widowControl w:val="0"/>
              <w:tabs>
                <w:tab w:val="left" w:pos="622"/>
              </w:tabs>
              <w:spacing w:after="0" w:line="240" w:lineRule="auto"/>
              <w:jc w:val="center"/>
              <w:rPr>
                <w:rFonts w:ascii="Times New Roman" w:eastAsia="AngsanaUPC" w:hAnsi="Times New Roman"/>
                <w:bCs/>
                <w:iCs/>
                <w:sz w:val="18"/>
                <w:szCs w:val="18"/>
                <w:lang w:eastAsia="lt-LT"/>
              </w:rPr>
            </w:pPr>
            <w:r w:rsidRPr="008F339D">
              <w:rPr>
                <w:rFonts w:ascii="Times New Roman" w:hAnsi="Times New Roman"/>
                <w:bCs/>
                <w:iCs/>
                <w:sz w:val="18"/>
                <w:szCs w:val="18"/>
                <w:lang w:eastAsia="lt-LT"/>
              </w:rPr>
              <w:t>Mažiau išsivystęs</w:t>
            </w:r>
          </w:p>
        </w:tc>
        <w:tc>
          <w:tcPr>
            <w:tcW w:w="1133" w:type="dxa"/>
            <w:shd w:val="clear" w:color="auto" w:fill="auto"/>
            <w:vAlign w:val="center"/>
          </w:tcPr>
          <w:p w:rsidR="00921DC0" w:rsidRPr="008F339D" w:rsidRDefault="00921DC0" w:rsidP="00921DC0">
            <w:pPr>
              <w:widowControl w:val="0"/>
              <w:tabs>
                <w:tab w:val="left" w:pos="622"/>
              </w:tabs>
              <w:spacing w:after="0" w:line="240" w:lineRule="auto"/>
              <w:jc w:val="center"/>
              <w:rPr>
                <w:rFonts w:ascii="Times New Roman" w:eastAsia="AngsanaUPC" w:hAnsi="Times New Roman" w:cs="Arial"/>
                <w:bCs/>
                <w:iCs/>
                <w:sz w:val="18"/>
                <w:szCs w:val="18"/>
                <w:lang w:val="en-US" w:eastAsia="lt-LT"/>
              </w:rPr>
            </w:pPr>
            <w:r w:rsidRPr="008F339D">
              <w:rPr>
                <w:rFonts w:ascii="Times New Roman" w:eastAsia="AngsanaUPC" w:hAnsi="Times New Roman"/>
                <w:bCs/>
                <w:iCs/>
                <w:sz w:val="18"/>
                <w:szCs w:val="18"/>
                <w:lang w:val="en-US" w:eastAsia="lt-LT"/>
              </w:rPr>
              <w:t>150.000</w:t>
            </w:r>
          </w:p>
        </w:tc>
        <w:tc>
          <w:tcPr>
            <w:tcW w:w="1134" w:type="dxa"/>
            <w:shd w:val="clear" w:color="auto" w:fill="auto"/>
            <w:vAlign w:val="center"/>
          </w:tcPr>
          <w:p w:rsidR="00921DC0" w:rsidRPr="008F339D" w:rsidRDefault="00921DC0" w:rsidP="00DA0DF6">
            <w:pPr>
              <w:widowControl w:val="0"/>
              <w:tabs>
                <w:tab w:val="left" w:pos="622"/>
              </w:tabs>
              <w:spacing w:after="0" w:line="240" w:lineRule="auto"/>
              <w:jc w:val="center"/>
              <w:rPr>
                <w:rFonts w:ascii="Times New Roman" w:hAnsi="Times New Roman"/>
                <w:sz w:val="18"/>
                <w:szCs w:val="18"/>
              </w:rPr>
            </w:pPr>
            <w:r w:rsidRPr="008F339D">
              <w:rPr>
                <w:rFonts w:ascii="Times New Roman" w:hAnsi="Times New Roman"/>
                <w:bCs/>
                <w:iCs/>
                <w:sz w:val="18"/>
                <w:szCs w:val="18"/>
                <w:lang w:eastAsia="lt-LT"/>
              </w:rPr>
              <w:t>Duomenys iš projektų</w:t>
            </w:r>
          </w:p>
        </w:tc>
        <w:tc>
          <w:tcPr>
            <w:tcW w:w="1241" w:type="dxa"/>
            <w:shd w:val="clear" w:color="auto" w:fill="auto"/>
            <w:vAlign w:val="center"/>
          </w:tcPr>
          <w:p w:rsidR="00921DC0" w:rsidRPr="008F339D" w:rsidRDefault="00921DC0" w:rsidP="00DA0DF6">
            <w:pPr>
              <w:widowControl w:val="0"/>
              <w:tabs>
                <w:tab w:val="left" w:pos="622"/>
              </w:tabs>
              <w:spacing w:after="0" w:line="240" w:lineRule="auto"/>
              <w:jc w:val="center"/>
              <w:rPr>
                <w:rFonts w:ascii="Times New Roman" w:eastAsia="AngsanaUPC" w:hAnsi="Times New Roman"/>
                <w:bCs/>
                <w:iCs/>
                <w:sz w:val="18"/>
                <w:szCs w:val="18"/>
                <w:lang w:eastAsia="lt-LT"/>
              </w:rPr>
            </w:pPr>
            <w:r w:rsidRPr="008F339D">
              <w:rPr>
                <w:rFonts w:ascii="Times New Roman" w:hAnsi="Times New Roman"/>
                <w:bCs/>
                <w:iCs/>
                <w:sz w:val="18"/>
                <w:szCs w:val="18"/>
                <w:lang w:eastAsia="lt-LT"/>
              </w:rPr>
              <w:t>Kartą per metus</w:t>
            </w:r>
          </w:p>
        </w:tc>
      </w:tr>
      <w:tr w:rsidR="00921DC0" w:rsidRPr="00385835" w:rsidTr="008F339D">
        <w:tblPrEx>
          <w:shd w:val="clear" w:color="auto" w:fill="auto"/>
        </w:tblPrEx>
        <w:tc>
          <w:tcPr>
            <w:tcW w:w="567" w:type="dxa"/>
            <w:shd w:val="clear" w:color="auto" w:fill="auto"/>
            <w:vAlign w:val="center"/>
          </w:tcPr>
          <w:p w:rsidR="00921DC0" w:rsidRPr="008F339D" w:rsidRDefault="00921DC0"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8F339D">
              <w:rPr>
                <w:rFonts w:ascii="Times New Roman" w:hAnsi="Times New Roman"/>
                <w:bCs/>
                <w:iCs/>
                <w:sz w:val="18"/>
                <w:szCs w:val="18"/>
                <w:lang w:eastAsia="lt-LT"/>
              </w:rPr>
              <w:t xml:space="preserve">13. </w:t>
            </w:r>
          </w:p>
        </w:tc>
        <w:tc>
          <w:tcPr>
            <w:tcW w:w="2694" w:type="dxa"/>
            <w:shd w:val="clear" w:color="auto" w:fill="auto"/>
            <w:vAlign w:val="center"/>
          </w:tcPr>
          <w:p w:rsidR="00921DC0" w:rsidRPr="008F339D" w:rsidRDefault="00921DC0" w:rsidP="00921DC0">
            <w:pPr>
              <w:widowControl w:val="0"/>
              <w:tabs>
                <w:tab w:val="left" w:pos="622"/>
              </w:tabs>
              <w:spacing w:after="0" w:line="240" w:lineRule="auto"/>
              <w:rPr>
                <w:rFonts w:ascii="Times New Roman" w:eastAsia="Times New Roman" w:hAnsi="Times New Roman" w:cs="Arial"/>
                <w:sz w:val="18"/>
                <w:szCs w:val="18"/>
              </w:rPr>
            </w:pPr>
            <w:r w:rsidRPr="008F339D">
              <w:rPr>
                <w:rFonts w:ascii="Times New Roman" w:hAnsi="Times New Roman"/>
                <w:color w:val="000000"/>
                <w:sz w:val="18"/>
                <w:szCs w:val="18"/>
                <w:lang w:eastAsia="lt-LT"/>
              </w:rPr>
              <w:t>ESF veiksmų, skirtų sumažinti COVID-19 pandemijos padarinius, vertė</w:t>
            </w:r>
          </w:p>
        </w:tc>
        <w:tc>
          <w:tcPr>
            <w:tcW w:w="1134" w:type="dxa"/>
            <w:shd w:val="clear" w:color="auto" w:fill="auto"/>
            <w:vAlign w:val="center"/>
          </w:tcPr>
          <w:p w:rsidR="00921DC0" w:rsidRPr="008F339D" w:rsidRDefault="00921DC0" w:rsidP="00DA0DF6">
            <w:pPr>
              <w:spacing w:after="0" w:line="240" w:lineRule="auto"/>
              <w:jc w:val="center"/>
              <w:rPr>
                <w:rFonts w:ascii="Times New Roman" w:hAnsi="Times New Roman"/>
                <w:bCs/>
                <w:sz w:val="18"/>
                <w:szCs w:val="18"/>
              </w:rPr>
            </w:pPr>
            <w:r w:rsidRPr="008F339D">
              <w:rPr>
                <w:rFonts w:ascii="Times New Roman" w:hAnsi="Times New Roman"/>
                <w:bCs/>
                <w:iCs/>
                <w:sz w:val="18"/>
                <w:szCs w:val="18"/>
                <w:lang w:eastAsia="lt-LT"/>
              </w:rPr>
              <w:t>Eurai</w:t>
            </w:r>
          </w:p>
        </w:tc>
        <w:tc>
          <w:tcPr>
            <w:tcW w:w="851" w:type="dxa"/>
            <w:shd w:val="clear" w:color="auto" w:fill="auto"/>
            <w:vAlign w:val="center"/>
          </w:tcPr>
          <w:p w:rsidR="00921DC0" w:rsidRPr="008F339D" w:rsidRDefault="00921DC0" w:rsidP="00DA0DF6">
            <w:pPr>
              <w:spacing w:after="0" w:line="240" w:lineRule="auto"/>
              <w:jc w:val="center"/>
              <w:rPr>
                <w:rFonts w:ascii="Times New Roman" w:hAnsi="Times New Roman"/>
                <w:bCs/>
                <w:sz w:val="18"/>
                <w:szCs w:val="18"/>
              </w:rPr>
            </w:pPr>
            <w:r w:rsidRPr="008F339D">
              <w:rPr>
                <w:rFonts w:ascii="Times New Roman" w:hAnsi="Times New Roman"/>
                <w:bCs/>
                <w:iCs/>
                <w:sz w:val="18"/>
                <w:szCs w:val="18"/>
                <w:lang w:eastAsia="lt-LT"/>
              </w:rPr>
              <w:t>ESF</w:t>
            </w:r>
          </w:p>
        </w:tc>
        <w:tc>
          <w:tcPr>
            <w:tcW w:w="1134" w:type="dxa"/>
            <w:shd w:val="clear" w:color="auto" w:fill="auto"/>
            <w:vAlign w:val="center"/>
          </w:tcPr>
          <w:p w:rsidR="00921DC0" w:rsidRPr="008F339D" w:rsidRDefault="00921DC0" w:rsidP="00DA0DF6">
            <w:pPr>
              <w:widowControl w:val="0"/>
              <w:tabs>
                <w:tab w:val="left" w:pos="622"/>
              </w:tabs>
              <w:spacing w:after="0" w:line="240" w:lineRule="auto"/>
              <w:jc w:val="center"/>
              <w:rPr>
                <w:rFonts w:ascii="Times New Roman" w:eastAsia="AngsanaUPC" w:hAnsi="Times New Roman"/>
                <w:bCs/>
                <w:iCs/>
                <w:sz w:val="18"/>
                <w:szCs w:val="18"/>
                <w:lang w:eastAsia="lt-LT"/>
              </w:rPr>
            </w:pPr>
            <w:r w:rsidRPr="008F339D">
              <w:rPr>
                <w:rFonts w:ascii="Times New Roman" w:hAnsi="Times New Roman"/>
                <w:bCs/>
                <w:iCs/>
                <w:sz w:val="18"/>
                <w:szCs w:val="18"/>
                <w:lang w:eastAsia="lt-LT"/>
              </w:rPr>
              <w:t>Mažiau išsivystęs</w:t>
            </w:r>
          </w:p>
        </w:tc>
        <w:tc>
          <w:tcPr>
            <w:tcW w:w="1133" w:type="dxa"/>
            <w:shd w:val="clear" w:color="auto" w:fill="auto"/>
            <w:vAlign w:val="center"/>
          </w:tcPr>
          <w:p w:rsidR="00921DC0" w:rsidRPr="008F339D" w:rsidRDefault="00921DC0" w:rsidP="00921DC0">
            <w:pPr>
              <w:widowControl w:val="0"/>
              <w:tabs>
                <w:tab w:val="left" w:pos="622"/>
              </w:tabs>
              <w:spacing w:after="0" w:line="240" w:lineRule="auto"/>
              <w:jc w:val="center"/>
              <w:rPr>
                <w:rFonts w:ascii="Times New Roman" w:eastAsia="AngsanaUPC" w:hAnsi="Times New Roman" w:cs="Arial"/>
                <w:bCs/>
                <w:iCs/>
                <w:sz w:val="18"/>
                <w:szCs w:val="18"/>
                <w:lang w:val="en-US" w:eastAsia="lt-LT"/>
              </w:rPr>
            </w:pPr>
            <w:r w:rsidRPr="008F339D">
              <w:rPr>
                <w:rFonts w:ascii="Times New Roman" w:hAnsi="Times New Roman"/>
                <w:color w:val="000000"/>
                <w:sz w:val="18"/>
                <w:szCs w:val="18"/>
                <w:lang w:eastAsia="lt-LT"/>
              </w:rPr>
              <w:t>169.565.601</w:t>
            </w:r>
          </w:p>
        </w:tc>
        <w:tc>
          <w:tcPr>
            <w:tcW w:w="1134" w:type="dxa"/>
            <w:shd w:val="clear" w:color="auto" w:fill="auto"/>
            <w:vAlign w:val="center"/>
          </w:tcPr>
          <w:p w:rsidR="00921DC0" w:rsidRPr="008F339D" w:rsidRDefault="00921DC0" w:rsidP="00DA0DF6">
            <w:pPr>
              <w:widowControl w:val="0"/>
              <w:tabs>
                <w:tab w:val="left" w:pos="622"/>
              </w:tabs>
              <w:spacing w:after="0" w:line="240" w:lineRule="auto"/>
              <w:jc w:val="center"/>
              <w:rPr>
                <w:rFonts w:ascii="Times New Roman" w:hAnsi="Times New Roman"/>
                <w:sz w:val="18"/>
                <w:szCs w:val="18"/>
              </w:rPr>
            </w:pPr>
            <w:r w:rsidRPr="008F339D">
              <w:rPr>
                <w:rFonts w:ascii="Times New Roman" w:hAnsi="Times New Roman"/>
                <w:bCs/>
                <w:iCs/>
                <w:sz w:val="18"/>
                <w:szCs w:val="18"/>
                <w:lang w:eastAsia="lt-LT"/>
              </w:rPr>
              <w:t>Duomenys iš projektų</w:t>
            </w:r>
          </w:p>
        </w:tc>
        <w:tc>
          <w:tcPr>
            <w:tcW w:w="1241" w:type="dxa"/>
            <w:shd w:val="clear" w:color="auto" w:fill="auto"/>
            <w:vAlign w:val="center"/>
          </w:tcPr>
          <w:p w:rsidR="00921DC0" w:rsidRPr="008F339D" w:rsidRDefault="00921DC0" w:rsidP="00DA0DF6">
            <w:pPr>
              <w:widowControl w:val="0"/>
              <w:tabs>
                <w:tab w:val="left" w:pos="622"/>
              </w:tabs>
              <w:spacing w:after="0" w:line="240" w:lineRule="auto"/>
              <w:jc w:val="center"/>
              <w:rPr>
                <w:rFonts w:ascii="Times New Roman" w:eastAsia="AngsanaUPC" w:hAnsi="Times New Roman"/>
                <w:bCs/>
                <w:iCs/>
                <w:sz w:val="18"/>
                <w:szCs w:val="18"/>
                <w:lang w:eastAsia="lt-LT"/>
              </w:rPr>
            </w:pPr>
            <w:r w:rsidRPr="008F339D">
              <w:rPr>
                <w:rFonts w:ascii="Times New Roman" w:hAnsi="Times New Roman"/>
                <w:bCs/>
                <w:iCs/>
                <w:sz w:val="18"/>
                <w:szCs w:val="18"/>
                <w:lang w:eastAsia="lt-LT"/>
              </w:rPr>
              <w:t>Kartą per metus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vAlign w:val="center"/>
          </w:tcPr>
          <w:p w:rsidR="00385835" w:rsidRPr="00385835" w:rsidRDefault="00385835" w:rsidP="00385835">
            <w:pPr>
              <w:widowControl w:val="0"/>
              <w:tabs>
                <w:tab w:val="left" w:pos="622"/>
              </w:tabs>
              <w:spacing w:after="0" w:line="240" w:lineRule="auto"/>
              <w:rPr>
                <w:rFonts w:ascii="Times New Roman" w:eastAsia="AngsanaUPC" w:hAnsi="Times New Roman"/>
                <w:b/>
                <w:bCs/>
                <w:iCs/>
                <w:sz w:val="24"/>
                <w:szCs w:val="24"/>
                <w:lang w:eastAsia="lt-LT"/>
              </w:rPr>
            </w:pPr>
            <w:r w:rsidRPr="00385835">
              <w:rPr>
                <w:rFonts w:ascii="Times New Roman" w:eastAsia="AngsanaUPC" w:hAnsi="Times New Roman"/>
                <w:b/>
                <w:bCs/>
                <w:iCs/>
                <w:sz w:val="24"/>
                <w:szCs w:val="24"/>
                <w:lang w:eastAsia="lt-LT"/>
              </w:rPr>
              <w:lastRenderedPageBreak/>
              <w:t>7.4. INVESTICINIS PRIORITETAS</w:t>
            </w:r>
          </w:p>
        </w:tc>
        <w:tc>
          <w:tcPr>
            <w:tcW w:w="7336" w:type="dxa"/>
            <w:shd w:val="clear" w:color="auto" w:fill="EEECE1"/>
            <w:vAlign w:val="center"/>
          </w:tcPr>
          <w:p w:rsidR="00385835" w:rsidRPr="00385835" w:rsidRDefault="00385835" w:rsidP="00D16018">
            <w:pPr>
              <w:spacing w:after="0" w:line="240" w:lineRule="auto"/>
              <w:jc w:val="both"/>
              <w:rPr>
                <w:rFonts w:ascii="Times New Roman" w:hAnsi="Times New Roman"/>
                <w:b/>
                <w:sz w:val="24"/>
                <w:szCs w:val="24"/>
              </w:rPr>
            </w:pPr>
            <w:r w:rsidRPr="00385835">
              <w:rPr>
                <w:rFonts w:ascii="Times New Roman" w:hAnsi="Times New Roman"/>
                <w:b/>
                <w:sz w:val="24"/>
                <w:szCs w:val="24"/>
              </w:rPr>
              <w:t>Jaunimo, visų pirma</w:t>
            </w:r>
            <w:r w:rsidR="00E006C3">
              <w:rPr>
                <w:rFonts w:ascii="Times New Roman" w:hAnsi="Times New Roman"/>
                <w:b/>
                <w:sz w:val="24"/>
                <w:szCs w:val="24"/>
              </w:rPr>
              <w:t>,</w:t>
            </w:r>
            <w:r w:rsidRPr="00385835">
              <w:rPr>
                <w:rFonts w:ascii="Times New Roman" w:hAnsi="Times New Roman"/>
                <w:b/>
                <w:sz w:val="24"/>
                <w:szCs w:val="24"/>
              </w:rPr>
              <w:t xml:space="preserve"> nedirbančio ir nesimokančio, įskaitant marginalių bendruomenių jaunimą ir tą, kuriam kyla socialinės atskirties pavojus, ilgalaikė integracija į darbo rinką, taip pat ir įgyvendinant Ja</w:t>
            </w:r>
            <w:r w:rsidR="00031EF1">
              <w:rPr>
                <w:rFonts w:ascii="Times New Roman" w:hAnsi="Times New Roman"/>
                <w:b/>
                <w:sz w:val="24"/>
                <w:szCs w:val="24"/>
              </w:rPr>
              <w:t>unimo garantijų iniciatyvą</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FONDAS</w:t>
            </w:r>
          </w:p>
        </w:tc>
        <w:tc>
          <w:tcPr>
            <w:tcW w:w="7336"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Jaunimo užimtumo iniciatyva ir Europos socialinis fondas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tcPr>
          <w:p w:rsidR="00385835" w:rsidRPr="00385835" w:rsidRDefault="00385835" w:rsidP="00385835">
            <w:pPr>
              <w:widowControl w:val="0"/>
              <w:tabs>
                <w:tab w:val="left" w:pos="622"/>
              </w:tabs>
              <w:spacing w:after="0" w:line="240" w:lineRule="auto"/>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7.4.1. KONKRETUS UŽDAVINYS</w:t>
            </w:r>
          </w:p>
        </w:tc>
        <w:tc>
          <w:tcPr>
            <w:tcW w:w="7336" w:type="dxa"/>
            <w:shd w:val="clear" w:color="auto" w:fill="EEECE1"/>
            <w:vAlign w:val="center"/>
          </w:tcPr>
          <w:p w:rsidR="00385835" w:rsidRPr="00385835" w:rsidRDefault="00385835" w:rsidP="00385835">
            <w:pPr>
              <w:spacing w:after="0" w:line="240" w:lineRule="auto"/>
              <w:jc w:val="both"/>
              <w:rPr>
                <w:rFonts w:ascii="Times New Roman" w:hAnsi="Times New Roman"/>
                <w:b/>
                <w:sz w:val="24"/>
                <w:szCs w:val="24"/>
              </w:rPr>
            </w:pPr>
            <w:r w:rsidRPr="00385835">
              <w:rPr>
                <w:rFonts w:ascii="Times New Roman" w:hAnsi="Times New Roman"/>
                <w:b/>
                <w:sz w:val="24"/>
                <w:szCs w:val="24"/>
              </w:rPr>
              <w:t>Sumažinti nedirbančio, nesimokančio ir mokymuose nedalyvaujančio 15</w:t>
            </w:r>
            <w:proofErr w:type="gramStart"/>
            <w:r w:rsidRPr="00385835">
              <w:rPr>
                <w:rFonts w:ascii="Times New Roman" w:hAnsi="Times New Roman"/>
                <w:b/>
                <w:sz w:val="24"/>
                <w:szCs w:val="24"/>
              </w:rPr>
              <w:t>-</w:t>
            </w:r>
            <w:proofErr w:type="gramEnd"/>
            <w:r w:rsidRPr="00385835">
              <w:rPr>
                <w:rFonts w:ascii="Times New Roman" w:hAnsi="Times New Roman"/>
                <w:b/>
                <w:sz w:val="24"/>
                <w:szCs w:val="24"/>
              </w:rPr>
              <w:t>29 m. amžiaus jaunimo skaičių</w:t>
            </w:r>
          </w:p>
        </w:tc>
      </w:tr>
      <w:tr w:rsidR="00385835" w:rsidRPr="00385835" w:rsidTr="00385835">
        <w:tc>
          <w:tcPr>
            <w:tcW w:w="9746" w:type="dxa"/>
            <w:gridSpan w:val="2"/>
            <w:shd w:val="clear" w:color="auto" w:fill="auto"/>
          </w:tcPr>
          <w:p w:rsidR="00385835" w:rsidRPr="00385835" w:rsidRDefault="00385835" w:rsidP="00E006C3">
            <w:pPr>
              <w:widowControl w:val="0"/>
              <w:tabs>
                <w:tab w:val="left" w:pos="622"/>
              </w:tabs>
              <w:spacing w:after="0" w:line="240" w:lineRule="auto"/>
              <w:ind w:firstLine="624"/>
              <w:jc w:val="both"/>
              <w:rPr>
                <w:rFonts w:ascii="Times New Roman" w:hAnsi="Times New Roman"/>
                <w:sz w:val="24"/>
                <w:szCs w:val="24"/>
              </w:rPr>
            </w:pPr>
            <w:r w:rsidRPr="00385835">
              <w:rPr>
                <w:rFonts w:ascii="Times New Roman" w:hAnsi="Times New Roman"/>
                <w:sz w:val="24"/>
                <w:szCs w:val="24"/>
              </w:rPr>
              <w:t xml:space="preserve">Aukštas jaunimo nedarbo lygis yra vienas didžiausių iššūkių ES ir </w:t>
            </w:r>
            <w:r w:rsidR="00E006C3">
              <w:rPr>
                <w:rFonts w:ascii="Times New Roman" w:hAnsi="Times New Roman"/>
                <w:sz w:val="24"/>
                <w:szCs w:val="24"/>
              </w:rPr>
              <w:t>Lietuvoje. 2012 m. Lietuvoje 15–</w:t>
            </w:r>
            <w:r w:rsidRPr="00385835">
              <w:rPr>
                <w:rFonts w:ascii="Times New Roman" w:hAnsi="Times New Roman"/>
                <w:sz w:val="24"/>
                <w:szCs w:val="24"/>
              </w:rPr>
              <w:t>29 m. jaunimo nedarbo lygis lyginant su bendru nedarbo lygiu (15–64 m. amžiaus grupėje nedarbo lygis – 13,6 proc.) buvo aukštesnis. 2009–2012 m. didžiausias buvo 15–24 m. amžiaus jaunimo nedarbo lygis (t.y., nedirbančių jaunuolių dalis tarp visų norinčių ir galinčių dirbti 15–24 m. amžiaus asmenų) Lietuvoje buvo vienas aukšč</w:t>
            </w:r>
            <w:r w:rsidR="00E006C3">
              <w:rPr>
                <w:rFonts w:ascii="Times New Roman" w:hAnsi="Times New Roman"/>
                <w:sz w:val="24"/>
                <w:szCs w:val="24"/>
              </w:rPr>
              <w:t>iausių ES ir 2012 m. siekė 26,4 </w:t>
            </w:r>
            <w:r w:rsidRPr="00385835">
              <w:rPr>
                <w:rFonts w:ascii="Times New Roman" w:hAnsi="Times New Roman"/>
                <w:sz w:val="24"/>
                <w:szCs w:val="24"/>
              </w:rPr>
              <w:t xml:space="preserve">proc., arba 32 tūkst. asmenų (ES-27 vidurkis 22,8 proc.). 25–29 m. amžiaus jaunuolių nedarbas buvo mažesnis ir siekė 14,3 proc. 2012 m. niekur nedirbančio, nesimokančio ir praktikos neatliekančio (NEET) 15–29 m. jaunimo dalis (procentas nuo to amžiaus grupės gyventojų) Lietuvoje buvo 13,9 proc. Daugiausia NEET jaunuolių 2012 m. buvo 25–29 m. amžiaus grupėje ir sudarė 20,3 proc., 15–24 m. jaunuoliai – 11,1 proc. 2011 m. </w:t>
            </w:r>
            <w:r w:rsidRPr="00385835">
              <w:rPr>
                <w:rFonts w:ascii="Times New Roman" w:hAnsi="Times New Roman"/>
                <w:i/>
                <w:sz w:val="24"/>
                <w:szCs w:val="24"/>
              </w:rPr>
              <w:t>Eurofound</w:t>
            </w:r>
            <w:r w:rsidRPr="00385835">
              <w:rPr>
                <w:rFonts w:ascii="Times New Roman" w:hAnsi="Times New Roman"/>
                <w:sz w:val="24"/>
                <w:szCs w:val="24"/>
              </w:rPr>
              <w:t xml:space="preserve"> atliktos studijos duomenimis didelė NEET jaunimo dalis brangiai kainuoja ne tik dėl augančio poreikio socialinėms išmokoms bei pašalpoms, bet ir dėl neišnaudojamo darbo jėgos potencialo. NEET jaunimas praranda darbo rinkoje paklausius įgūdžius bei kvalifikaciją.</w:t>
            </w:r>
          </w:p>
          <w:p w:rsidR="00385835" w:rsidRPr="00E006C3" w:rsidRDefault="00385835" w:rsidP="00E006C3">
            <w:pPr>
              <w:widowControl w:val="0"/>
              <w:tabs>
                <w:tab w:val="left" w:pos="622"/>
              </w:tabs>
              <w:spacing w:after="0" w:line="240" w:lineRule="auto"/>
              <w:ind w:firstLine="624"/>
              <w:jc w:val="both"/>
              <w:rPr>
                <w:rFonts w:ascii="Times New Roman" w:hAnsi="Times New Roman"/>
                <w:sz w:val="24"/>
                <w:szCs w:val="24"/>
              </w:rPr>
            </w:pPr>
            <w:r w:rsidRPr="00385835">
              <w:rPr>
                <w:rFonts w:ascii="Times New Roman" w:hAnsi="Times New Roman"/>
                <w:sz w:val="24"/>
                <w:szCs w:val="24"/>
              </w:rPr>
              <w:t xml:space="preserve">2014–2020 m. programavimo laikotarpiu investicijos į jaunimo užimtumo skatinimą bus vienas </w:t>
            </w:r>
            <w:r w:rsidR="00E006C3">
              <w:rPr>
                <w:rFonts w:ascii="Times New Roman" w:hAnsi="Times New Roman"/>
                <w:sz w:val="24"/>
                <w:szCs w:val="24"/>
              </w:rPr>
              <w:t xml:space="preserve">iš </w:t>
            </w:r>
            <w:r w:rsidRPr="00385835">
              <w:rPr>
                <w:rFonts w:ascii="Times New Roman" w:hAnsi="Times New Roman"/>
                <w:sz w:val="24"/>
                <w:szCs w:val="24"/>
              </w:rPr>
              <w:t xml:space="preserve">pagrindinių Lietuvos ir ES prioritetų. Siekiant </w:t>
            </w:r>
            <w:r w:rsidR="00E006C3">
              <w:rPr>
                <w:rFonts w:ascii="Times New Roman" w:hAnsi="Times New Roman"/>
                <w:sz w:val="24"/>
                <w:szCs w:val="24"/>
              </w:rPr>
              <w:t>smarkiai</w:t>
            </w:r>
            <w:r w:rsidRPr="00385835">
              <w:rPr>
                <w:rFonts w:ascii="Times New Roman" w:hAnsi="Times New Roman"/>
                <w:sz w:val="24"/>
                <w:szCs w:val="24"/>
              </w:rPr>
              <w:t xml:space="preserve"> sumažinti jaunimo nedarbo lygį bus įgyvendinam</w:t>
            </w:r>
            <w:r w:rsidR="00371B9D">
              <w:rPr>
                <w:rFonts w:ascii="Times New Roman" w:hAnsi="Times New Roman"/>
                <w:sz w:val="24"/>
                <w:szCs w:val="24"/>
              </w:rPr>
              <w:t>os</w:t>
            </w:r>
            <w:r w:rsidRPr="00385835">
              <w:rPr>
                <w:rFonts w:ascii="Times New Roman" w:hAnsi="Times New Roman"/>
                <w:sz w:val="24"/>
                <w:szCs w:val="24"/>
              </w:rPr>
              <w:t xml:space="preserve"> </w:t>
            </w:r>
            <w:r w:rsidR="00371B9D">
              <w:rPr>
                <w:rFonts w:ascii="Times New Roman" w:hAnsi="Times New Roman"/>
                <w:sz w:val="24"/>
                <w:szCs w:val="24"/>
              </w:rPr>
              <w:t xml:space="preserve">Jaunimo garantijų </w:t>
            </w:r>
            <w:r w:rsidR="00950414">
              <w:rPr>
                <w:rFonts w:ascii="Times New Roman" w:hAnsi="Times New Roman"/>
                <w:sz w:val="24"/>
                <w:szCs w:val="24"/>
              </w:rPr>
              <w:t xml:space="preserve">iniciatyvos </w:t>
            </w:r>
            <w:r w:rsidR="00371B9D">
              <w:rPr>
                <w:rFonts w:ascii="Times New Roman" w:hAnsi="Times New Roman"/>
                <w:sz w:val="24"/>
                <w:szCs w:val="24"/>
              </w:rPr>
              <w:t xml:space="preserve">įgyvendinimo plane numatytos priemonės, pagal kurias </w:t>
            </w:r>
            <w:r w:rsidRPr="00385835">
              <w:rPr>
                <w:rFonts w:ascii="Times New Roman" w:hAnsi="Times New Roman"/>
                <w:sz w:val="24"/>
                <w:szCs w:val="24"/>
              </w:rPr>
              <w:t>visiems nedirbantiems, nesimokantiems ir mokymuose nedalyvaujantiems 15</w:t>
            </w:r>
            <w:r w:rsidR="00E006C3">
              <w:rPr>
                <w:rFonts w:ascii="Times New Roman" w:hAnsi="Times New Roman"/>
                <w:sz w:val="24"/>
                <w:szCs w:val="24"/>
              </w:rPr>
              <w:t>–</w:t>
            </w:r>
            <w:r w:rsidRPr="00385835">
              <w:rPr>
                <w:rFonts w:ascii="Times New Roman" w:hAnsi="Times New Roman"/>
                <w:sz w:val="24"/>
                <w:szCs w:val="24"/>
              </w:rPr>
              <w:t xml:space="preserve">29 m. amžiaus jaunuoliams per 4 mėn. nuo formalaus išsilavinimo įgijimo ar užsiregistravimo darbo biržoje arba po prisijungimo prie jaunimo garantijų iniciatyvos turės būti pateiktas pasiūlymas dirbti, tęsti studijas, įgyti arba patobulinti profesinę kvalifikaciją, atlikti stažuotę ar dalyvauti mokyme per pameistrystę. Su kiekvienu dalyviu bus dirbama pagal individualų planą, sudarytą atsižvelgus į asmens poreikius ir statusą. Individualus planas apims visas galimas aktyvinimo ir integracijos į darbo rinką veiklas, kuriomis siekiama, kad jaunas asmuo dirbtų, mokytųsi, atliktų stažuotę ar dalyvautų mokyme per pameistrystę. Jaunimo garantija palengvins jaunimo perėjimą iš švietimo sistemos į darbo rinką bei leis įgyti darbo rinkoje paklausių įgūdžių. Bus teikiamos ankstyvos intervencijos, aktyvinimo bei integracijos į darbo rinką paslaugos, </w:t>
            </w:r>
            <w:r w:rsidRPr="00385835">
              <w:rPr>
                <w:rFonts w:ascii="Times New Roman" w:hAnsi="Times New Roman"/>
                <w:bCs/>
                <w:iCs/>
                <w:sz w:val="24"/>
                <w:szCs w:val="24"/>
              </w:rPr>
              <w:t>siekiant paskatinti NEET jaunimo ugdymą, socializaciją ir įdarbinimą.</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1877"/>
        <w:gridCol w:w="992"/>
        <w:gridCol w:w="993"/>
        <w:gridCol w:w="992"/>
        <w:gridCol w:w="567"/>
        <w:gridCol w:w="709"/>
        <w:gridCol w:w="708"/>
        <w:gridCol w:w="487"/>
        <w:gridCol w:w="1073"/>
        <w:gridCol w:w="758"/>
        <w:gridCol w:w="57"/>
      </w:tblGrid>
      <w:tr w:rsidR="00385835" w:rsidRPr="00385835" w:rsidTr="00385835">
        <w:trPr>
          <w:tblHeader/>
        </w:trPr>
        <w:tc>
          <w:tcPr>
            <w:tcW w:w="9746" w:type="dxa"/>
            <w:gridSpan w:val="12"/>
            <w:tcBorders>
              <w:top w:val="single" w:sz="4" w:space="0" w:color="auto"/>
              <w:left w:val="single" w:sz="4" w:space="0" w:color="auto"/>
              <w:bottom w:val="single" w:sz="4" w:space="0" w:color="auto"/>
              <w:right w:val="single" w:sz="4" w:space="0" w:color="auto"/>
            </w:tcBorders>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i/>
                <w:iCs/>
                <w:sz w:val="24"/>
                <w:szCs w:val="24"/>
                <w:lang w:eastAsia="lt-LT"/>
              </w:rPr>
            </w:pPr>
            <w:r w:rsidRPr="00385835">
              <w:rPr>
                <w:rFonts w:ascii="Times New Roman" w:eastAsia="AngsanaUPC" w:hAnsi="Times New Roman"/>
                <w:b/>
                <w:bCs/>
                <w:i/>
                <w:iCs/>
                <w:sz w:val="24"/>
                <w:szCs w:val="24"/>
                <w:lang w:eastAsia="lt-LT"/>
              </w:rPr>
              <w:t xml:space="preserve">JUI ir ESF bendrieji </w:t>
            </w:r>
            <w:r w:rsidR="00B1109C">
              <w:rPr>
                <w:rFonts w:ascii="Times New Roman" w:eastAsia="AngsanaUPC" w:hAnsi="Times New Roman"/>
                <w:b/>
                <w:bCs/>
                <w:i/>
                <w:iCs/>
                <w:sz w:val="24"/>
                <w:szCs w:val="24"/>
                <w:lang w:eastAsia="lt-LT"/>
              </w:rPr>
              <w:t xml:space="preserve">ir specialieji </w:t>
            </w:r>
            <w:r w:rsidRPr="00385835">
              <w:rPr>
                <w:rFonts w:ascii="Times New Roman" w:eastAsia="AngsanaUPC" w:hAnsi="Times New Roman"/>
                <w:b/>
                <w:bCs/>
                <w:i/>
                <w:iCs/>
                <w:sz w:val="24"/>
                <w:szCs w:val="24"/>
                <w:lang w:eastAsia="lt-LT"/>
              </w:rPr>
              <w:t>programos rezultato rodikliai</w:t>
            </w:r>
          </w:p>
        </w:tc>
      </w:tr>
      <w:tr w:rsidR="00385835" w:rsidRPr="00385835" w:rsidTr="00385835">
        <w:trPr>
          <w:gridAfter w:val="1"/>
          <w:wAfter w:w="57" w:type="dxa"/>
          <w:cantSplit/>
          <w:trHeight w:val="1837"/>
          <w:tblHeader/>
        </w:trPr>
        <w:tc>
          <w:tcPr>
            <w:tcW w:w="533"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Nr.</w:t>
            </w:r>
          </w:p>
        </w:tc>
        <w:tc>
          <w:tcPr>
            <w:tcW w:w="1877"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Rodiklio pavadinimas</w:t>
            </w:r>
          </w:p>
        </w:tc>
        <w:tc>
          <w:tcPr>
            <w:tcW w:w="992"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Regiono kategorija</w:t>
            </w:r>
          </w:p>
        </w:tc>
        <w:tc>
          <w:tcPr>
            <w:tcW w:w="993"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Matavimo vienetas</w:t>
            </w:r>
          </w:p>
        </w:tc>
        <w:tc>
          <w:tcPr>
            <w:tcW w:w="992"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Bendrasis produkto rodiklis, naudotas kaip pagrindas</w:t>
            </w:r>
          </w:p>
        </w:tc>
        <w:tc>
          <w:tcPr>
            <w:tcW w:w="567"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Pradinė reikšmė</w:t>
            </w:r>
          </w:p>
        </w:tc>
        <w:tc>
          <w:tcPr>
            <w:tcW w:w="709"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Pradinės ir siektinos reikšmės matavimo vienetai</w:t>
            </w:r>
          </w:p>
        </w:tc>
        <w:tc>
          <w:tcPr>
            <w:tcW w:w="708"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Pradinės reikšmės metai</w:t>
            </w:r>
          </w:p>
        </w:tc>
        <w:tc>
          <w:tcPr>
            <w:tcW w:w="487"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Siektina reikšmė (2023)</w:t>
            </w:r>
          </w:p>
        </w:tc>
        <w:tc>
          <w:tcPr>
            <w:tcW w:w="1073"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Duomenų šaltinis</w:t>
            </w:r>
          </w:p>
        </w:tc>
        <w:tc>
          <w:tcPr>
            <w:tcW w:w="758"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Atsiskaitymo dažnumas</w:t>
            </w:r>
          </w:p>
        </w:tc>
      </w:tr>
      <w:tr w:rsidR="00385835" w:rsidRPr="00385835" w:rsidTr="00385835">
        <w:trPr>
          <w:gridAfter w:val="1"/>
          <w:wAfter w:w="57" w:type="dxa"/>
        </w:trPr>
        <w:tc>
          <w:tcPr>
            <w:tcW w:w="533"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w:t>
            </w:r>
          </w:p>
        </w:tc>
        <w:tc>
          <w:tcPr>
            <w:tcW w:w="1877" w:type="dxa"/>
            <w:shd w:val="clear" w:color="auto" w:fill="auto"/>
          </w:tcPr>
          <w:p w:rsidR="00385835" w:rsidRPr="00385835" w:rsidRDefault="00385835" w:rsidP="00385835">
            <w:pPr>
              <w:spacing w:after="0" w:line="240" w:lineRule="auto"/>
              <w:rPr>
                <w:rFonts w:ascii="Times New Roman" w:hAnsi="Times New Roman"/>
                <w:sz w:val="18"/>
                <w:szCs w:val="18"/>
              </w:rPr>
            </w:pPr>
            <w:r w:rsidRPr="00385835">
              <w:rPr>
                <w:rFonts w:ascii="Times New Roman" w:hAnsi="Times New Roman"/>
                <w:sz w:val="18"/>
                <w:szCs w:val="18"/>
              </w:rPr>
              <w:t>Bedarbiai dalyviai, kurie baigė dalyvauti JUI remiamoje intervencijoje</w:t>
            </w:r>
          </w:p>
        </w:tc>
        <w:tc>
          <w:tcPr>
            <w:tcW w:w="992" w:type="dxa"/>
            <w:shd w:val="clear" w:color="auto" w:fill="auto"/>
            <w:vAlign w:val="center"/>
          </w:tcPr>
          <w:p w:rsidR="00385835" w:rsidRPr="00385835" w:rsidRDefault="00385835" w:rsidP="00385835">
            <w:pPr>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Mažiau išsivystęs</w:t>
            </w:r>
          </w:p>
        </w:tc>
        <w:tc>
          <w:tcPr>
            <w:tcW w:w="993" w:type="dxa"/>
            <w:shd w:val="clear" w:color="auto" w:fill="auto"/>
            <w:vAlign w:val="center"/>
          </w:tcPr>
          <w:p w:rsidR="00385835" w:rsidRPr="00385835" w:rsidRDefault="00385835" w:rsidP="00385835">
            <w:pPr>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Asmenų skaičius</w:t>
            </w:r>
          </w:p>
        </w:tc>
        <w:tc>
          <w:tcPr>
            <w:tcW w:w="992"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NewRoman" w:hAnsi="TimesNewRoman" w:cs="TimesNewRoman"/>
                <w:sz w:val="18"/>
                <w:szCs w:val="18"/>
                <w:lang w:eastAsia="lt-LT"/>
              </w:rPr>
            </w:pPr>
            <w:r w:rsidRPr="00385835">
              <w:rPr>
                <w:rFonts w:ascii="Times New Roman" w:hAnsi="Times New Roman"/>
                <w:sz w:val="18"/>
                <w:szCs w:val="18"/>
                <w:lang w:eastAsia="lt-LT"/>
              </w:rPr>
              <w:t>Bedarbiai, įskaitant ilgalaikius bedarbius</w:t>
            </w:r>
          </w:p>
        </w:tc>
        <w:tc>
          <w:tcPr>
            <w:tcW w:w="56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70</w:t>
            </w:r>
          </w:p>
        </w:tc>
        <w:tc>
          <w:tcPr>
            <w:tcW w:w="709"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Proc.</w:t>
            </w:r>
          </w:p>
        </w:tc>
        <w:tc>
          <w:tcPr>
            <w:tcW w:w="708"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2013</w:t>
            </w:r>
          </w:p>
        </w:tc>
        <w:tc>
          <w:tcPr>
            <w:tcW w:w="48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75</w:t>
            </w:r>
          </w:p>
        </w:tc>
        <w:tc>
          <w:tcPr>
            <w:tcW w:w="1073"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Duomenys iš projektų</w:t>
            </w:r>
          </w:p>
        </w:tc>
        <w:tc>
          <w:tcPr>
            <w:tcW w:w="758"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385835" w:rsidRPr="00385835" w:rsidTr="00385835">
        <w:trPr>
          <w:gridAfter w:val="1"/>
          <w:wAfter w:w="57" w:type="dxa"/>
        </w:trPr>
        <w:tc>
          <w:tcPr>
            <w:tcW w:w="533"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w:t>
            </w:r>
          </w:p>
        </w:tc>
        <w:tc>
          <w:tcPr>
            <w:tcW w:w="1877" w:type="dxa"/>
            <w:shd w:val="clear" w:color="auto" w:fill="auto"/>
          </w:tcPr>
          <w:p w:rsidR="00385835" w:rsidRPr="00385835" w:rsidRDefault="00385835" w:rsidP="00385835">
            <w:pPr>
              <w:spacing w:after="0" w:line="240" w:lineRule="auto"/>
              <w:rPr>
                <w:rFonts w:ascii="Times New Roman" w:hAnsi="Times New Roman"/>
                <w:sz w:val="18"/>
                <w:szCs w:val="18"/>
              </w:rPr>
            </w:pPr>
            <w:r w:rsidRPr="00385835">
              <w:rPr>
                <w:rFonts w:ascii="Times New Roman" w:hAnsi="Times New Roman"/>
                <w:sz w:val="18"/>
                <w:szCs w:val="18"/>
              </w:rPr>
              <w:t xml:space="preserve">Bedarbiai dalyviai, kurie baigę dalyvavimą gavo </w:t>
            </w:r>
            <w:r w:rsidRPr="00385835">
              <w:rPr>
                <w:rFonts w:ascii="Times New Roman" w:hAnsi="Times New Roman"/>
                <w:sz w:val="18"/>
                <w:szCs w:val="18"/>
              </w:rPr>
              <w:lastRenderedPageBreak/>
              <w:t>pasiūlymą dėl darbo, tolesnio mokymosi, pameistrystės ar stažuotės</w:t>
            </w:r>
          </w:p>
        </w:tc>
        <w:tc>
          <w:tcPr>
            <w:tcW w:w="992" w:type="dxa"/>
            <w:shd w:val="clear" w:color="auto" w:fill="auto"/>
            <w:vAlign w:val="center"/>
          </w:tcPr>
          <w:p w:rsidR="00385835" w:rsidRPr="00385835" w:rsidRDefault="00385835" w:rsidP="00385835">
            <w:pPr>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lastRenderedPageBreak/>
              <w:t>Mažiau išsivystęs</w:t>
            </w:r>
          </w:p>
        </w:tc>
        <w:tc>
          <w:tcPr>
            <w:tcW w:w="993" w:type="dxa"/>
            <w:shd w:val="clear" w:color="auto" w:fill="auto"/>
            <w:vAlign w:val="center"/>
          </w:tcPr>
          <w:p w:rsidR="00385835" w:rsidRPr="00385835" w:rsidRDefault="00385835" w:rsidP="00385835">
            <w:pPr>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Asmenų skaičius</w:t>
            </w:r>
          </w:p>
        </w:tc>
        <w:tc>
          <w:tcPr>
            <w:tcW w:w="992"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NewRoman" w:hAnsi="TimesNewRoman" w:cs="TimesNewRoman"/>
                <w:sz w:val="18"/>
                <w:szCs w:val="18"/>
                <w:lang w:eastAsia="lt-LT"/>
              </w:rPr>
            </w:pPr>
            <w:r w:rsidRPr="00385835">
              <w:rPr>
                <w:rFonts w:ascii="Times New Roman" w:hAnsi="Times New Roman"/>
                <w:sz w:val="18"/>
                <w:szCs w:val="18"/>
                <w:lang w:eastAsia="lt-LT"/>
              </w:rPr>
              <w:t xml:space="preserve">Bedarbiai, įskaitant ilgalaikius </w:t>
            </w:r>
            <w:r w:rsidRPr="00385835">
              <w:rPr>
                <w:rFonts w:ascii="Times New Roman" w:hAnsi="Times New Roman"/>
                <w:sz w:val="18"/>
                <w:szCs w:val="18"/>
                <w:lang w:eastAsia="lt-LT"/>
              </w:rPr>
              <w:lastRenderedPageBreak/>
              <w:t>bedarbius</w:t>
            </w:r>
          </w:p>
        </w:tc>
        <w:tc>
          <w:tcPr>
            <w:tcW w:w="56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lastRenderedPageBreak/>
              <w:t>45</w:t>
            </w:r>
          </w:p>
        </w:tc>
        <w:tc>
          <w:tcPr>
            <w:tcW w:w="709"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Proc.</w:t>
            </w:r>
          </w:p>
        </w:tc>
        <w:tc>
          <w:tcPr>
            <w:tcW w:w="708" w:type="dxa"/>
            <w:shd w:val="clear" w:color="auto" w:fill="auto"/>
            <w:vAlign w:val="center"/>
          </w:tcPr>
          <w:p w:rsidR="00385835" w:rsidRPr="00385835" w:rsidRDefault="00385835" w:rsidP="00385835">
            <w:pPr>
              <w:spacing w:after="0" w:line="240" w:lineRule="auto"/>
              <w:jc w:val="center"/>
            </w:pPr>
            <w:r w:rsidRPr="00385835">
              <w:rPr>
                <w:rFonts w:ascii="Times New Roman" w:eastAsia="AngsanaUPC" w:hAnsi="Times New Roman"/>
                <w:bCs/>
                <w:iCs/>
                <w:sz w:val="18"/>
                <w:szCs w:val="18"/>
                <w:lang w:eastAsia="lt-LT"/>
              </w:rPr>
              <w:t>2013</w:t>
            </w:r>
          </w:p>
        </w:tc>
        <w:tc>
          <w:tcPr>
            <w:tcW w:w="48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50</w:t>
            </w:r>
          </w:p>
        </w:tc>
        <w:tc>
          <w:tcPr>
            <w:tcW w:w="1073"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Duomenys iš projektų</w:t>
            </w:r>
          </w:p>
        </w:tc>
        <w:tc>
          <w:tcPr>
            <w:tcW w:w="758"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385835" w:rsidRPr="00385835" w:rsidTr="00385835">
        <w:trPr>
          <w:gridAfter w:val="1"/>
          <w:wAfter w:w="57" w:type="dxa"/>
        </w:trPr>
        <w:tc>
          <w:tcPr>
            <w:tcW w:w="533"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lastRenderedPageBreak/>
              <w:t>3.</w:t>
            </w:r>
          </w:p>
        </w:tc>
        <w:tc>
          <w:tcPr>
            <w:tcW w:w="1877" w:type="dxa"/>
            <w:shd w:val="clear" w:color="auto" w:fill="auto"/>
          </w:tcPr>
          <w:p w:rsidR="00385835" w:rsidRPr="00385835" w:rsidRDefault="00385835" w:rsidP="00385835">
            <w:pPr>
              <w:spacing w:after="0" w:line="240" w:lineRule="auto"/>
              <w:rPr>
                <w:rFonts w:ascii="Times New Roman" w:hAnsi="Times New Roman"/>
                <w:sz w:val="18"/>
                <w:szCs w:val="18"/>
              </w:rPr>
            </w:pPr>
            <w:r w:rsidRPr="00385835">
              <w:rPr>
                <w:rFonts w:ascii="Times New Roman" w:hAnsi="Times New Roman"/>
                <w:sz w:val="18"/>
                <w:szCs w:val="18"/>
              </w:rPr>
              <w:t>Bedarbiai dalyviai, kurie baigę dalyvavimą pradėjo mokytis, įgijo kvalifikaciją arba pradėjo dirbti, įskaitant savarankišką darbą</w:t>
            </w:r>
          </w:p>
        </w:tc>
        <w:tc>
          <w:tcPr>
            <w:tcW w:w="992" w:type="dxa"/>
            <w:shd w:val="clear" w:color="auto" w:fill="auto"/>
            <w:vAlign w:val="center"/>
          </w:tcPr>
          <w:p w:rsidR="00385835" w:rsidRPr="00385835" w:rsidRDefault="00385835" w:rsidP="00385835">
            <w:pPr>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Mažiau išsivystęs</w:t>
            </w:r>
          </w:p>
        </w:tc>
        <w:tc>
          <w:tcPr>
            <w:tcW w:w="993" w:type="dxa"/>
            <w:shd w:val="clear" w:color="auto" w:fill="auto"/>
            <w:vAlign w:val="center"/>
          </w:tcPr>
          <w:p w:rsidR="00385835" w:rsidRPr="00385835" w:rsidRDefault="00385835" w:rsidP="00385835">
            <w:pPr>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Asmenų skaičius</w:t>
            </w:r>
          </w:p>
        </w:tc>
        <w:tc>
          <w:tcPr>
            <w:tcW w:w="992"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NewRoman" w:hAnsi="TimesNewRoman" w:cs="TimesNewRoman"/>
                <w:sz w:val="18"/>
                <w:szCs w:val="18"/>
                <w:lang w:eastAsia="lt-LT"/>
              </w:rPr>
            </w:pPr>
            <w:r w:rsidRPr="00385835">
              <w:rPr>
                <w:rFonts w:ascii="Times New Roman" w:hAnsi="Times New Roman"/>
                <w:sz w:val="18"/>
                <w:szCs w:val="18"/>
                <w:lang w:eastAsia="lt-LT"/>
              </w:rPr>
              <w:t>Bedarbiai, įskaitant ilgalaikius bedarbius</w:t>
            </w:r>
          </w:p>
        </w:tc>
        <w:tc>
          <w:tcPr>
            <w:tcW w:w="56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45</w:t>
            </w:r>
          </w:p>
        </w:tc>
        <w:tc>
          <w:tcPr>
            <w:tcW w:w="709"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Proc.</w:t>
            </w:r>
          </w:p>
        </w:tc>
        <w:tc>
          <w:tcPr>
            <w:tcW w:w="708" w:type="dxa"/>
            <w:shd w:val="clear" w:color="auto" w:fill="auto"/>
            <w:vAlign w:val="center"/>
          </w:tcPr>
          <w:p w:rsidR="00385835" w:rsidRPr="00385835" w:rsidRDefault="00385835" w:rsidP="00385835">
            <w:pPr>
              <w:spacing w:after="0" w:line="240" w:lineRule="auto"/>
              <w:jc w:val="center"/>
            </w:pPr>
            <w:r w:rsidRPr="00385835">
              <w:rPr>
                <w:rFonts w:ascii="Times New Roman" w:eastAsia="AngsanaUPC" w:hAnsi="Times New Roman"/>
                <w:bCs/>
                <w:iCs/>
                <w:sz w:val="18"/>
                <w:szCs w:val="18"/>
                <w:lang w:eastAsia="lt-LT"/>
              </w:rPr>
              <w:t>2013</w:t>
            </w:r>
          </w:p>
        </w:tc>
        <w:tc>
          <w:tcPr>
            <w:tcW w:w="48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50</w:t>
            </w:r>
          </w:p>
        </w:tc>
        <w:tc>
          <w:tcPr>
            <w:tcW w:w="1073"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Duomenys iš projektų</w:t>
            </w:r>
          </w:p>
        </w:tc>
        <w:tc>
          <w:tcPr>
            <w:tcW w:w="758"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385835" w:rsidRPr="00385835" w:rsidTr="00385835">
        <w:trPr>
          <w:gridAfter w:val="1"/>
          <w:wAfter w:w="57" w:type="dxa"/>
        </w:trPr>
        <w:tc>
          <w:tcPr>
            <w:tcW w:w="533"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4.</w:t>
            </w:r>
          </w:p>
        </w:tc>
        <w:tc>
          <w:tcPr>
            <w:tcW w:w="1877" w:type="dxa"/>
            <w:shd w:val="clear" w:color="auto" w:fill="auto"/>
          </w:tcPr>
          <w:p w:rsidR="00385835" w:rsidRPr="00385835" w:rsidRDefault="00385835" w:rsidP="00385835">
            <w:pPr>
              <w:spacing w:after="0" w:line="240" w:lineRule="auto"/>
              <w:rPr>
                <w:rFonts w:ascii="Times New Roman" w:hAnsi="Times New Roman"/>
                <w:sz w:val="18"/>
                <w:szCs w:val="18"/>
              </w:rPr>
            </w:pPr>
            <w:r w:rsidRPr="00385835">
              <w:rPr>
                <w:rFonts w:ascii="Times New Roman" w:hAnsi="Times New Roman"/>
                <w:sz w:val="18"/>
                <w:szCs w:val="18"/>
              </w:rPr>
              <w:t>Ilgalaikiai bedarbiai dalyviai, kurie baigė dalyvauti JUI remiamoje intervencijoje</w:t>
            </w:r>
          </w:p>
        </w:tc>
        <w:tc>
          <w:tcPr>
            <w:tcW w:w="992" w:type="dxa"/>
            <w:shd w:val="clear" w:color="auto" w:fill="auto"/>
            <w:vAlign w:val="center"/>
          </w:tcPr>
          <w:p w:rsidR="00385835" w:rsidRPr="00385835" w:rsidRDefault="00385835" w:rsidP="00385835">
            <w:pPr>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Mažiau išsivystęs</w:t>
            </w:r>
          </w:p>
        </w:tc>
        <w:tc>
          <w:tcPr>
            <w:tcW w:w="993" w:type="dxa"/>
            <w:shd w:val="clear" w:color="auto" w:fill="auto"/>
            <w:vAlign w:val="center"/>
          </w:tcPr>
          <w:p w:rsidR="00385835" w:rsidRPr="00385835" w:rsidRDefault="00385835" w:rsidP="00385835">
            <w:pPr>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Asmenų skaičius</w:t>
            </w:r>
          </w:p>
        </w:tc>
        <w:tc>
          <w:tcPr>
            <w:tcW w:w="992"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NewRoman" w:hAnsi="TimesNewRoman" w:cs="TimesNewRoman"/>
                <w:sz w:val="18"/>
                <w:szCs w:val="18"/>
                <w:lang w:eastAsia="lt-LT"/>
              </w:rPr>
            </w:pPr>
            <w:r w:rsidRPr="00385835">
              <w:rPr>
                <w:rFonts w:ascii="Times New Roman" w:hAnsi="Times New Roman"/>
                <w:sz w:val="18"/>
                <w:szCs w:val="18"/>
                <w:lang w:eastAsia="lt-LT"/>
              </w:rPr>
              <w:t>Ilgalaikiai bedarbiai</w:t>
            </w:r>
          </w:p>
        </w:tc>
        <w:tc>
          <w:tcPr>
            <w:tcW w:w="56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45</w:t>
            </w:r>
          </w:p>
        </w:tc>
        <w:tc>
          <w:tcPr>
            <w:tcW w:w="709"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Proc.</w:t>
            </w:r>
          </w:p>
        </w:tc>
        <w:tc>
          <w:tcPr>
            <w:tcW w:w="708" w:type="dxa"/>
            <w:shd w:val="clear" w:color="auto" w:fill="auto"/>
            <w:vAlign w:val="center"/>
          </w:tcPr>
          <w:p w:rsidR="00385835" w:rsidRPr="00385835" w:rsidRDefault="00385835" w:rsidP="00385835">
            <w:pPr>
              <w:spacing w:after="0" w:line="240" w:lineRule="auto"/>
              <w:jc w:val="center"/>
            </w:pPr>
            <w:r w:rsidRPr="00385835">
              <w:rPr>
                <w:rFonts w:ascii="Times New Roman" w:eastAsia="AngsanaUPC" w:hAnsi="Times New Roman"/>
                <w:bCs/>
                <w:iCs/>
                <w:sz w:val="18"/>
                <w:szCs w:val="18"/>
                <w:lang w:eastAsia="lt-LT"/>
              </w:rPr>
              <w:t>2013</w:t>
            </w:r>
          </w:p>
        </w:tc>
        <w:tc>
          <w:tcPr>
            <w:tcW w:w="48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 xml:space="preserve"> 50</w:t>
            </w:r>
          </w:p>
        </w:tc>
        <w:tc>
          <w:tcPr>
            <w:tcW w:w="1073"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Duomenys iš projektų</w:t>
            </w:r>
          </w:p>
        </w:tc>
        <w:tc>
          <w:tcPr>
            <w:tcW w:w="758"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385835" w:rsidRPr="00385835" w:rsidTr="00385835">
        <w:trPr>
          <w:gridAfter w:val="1"/>
          <w:wAfter w:w="57" w:type="dxa"/>
        </w:trPr>
        <w:tc>
          <w:tcPr>
            <w:tcW w:w="533"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5.</w:t>
            </w:r>
          </w:p>
        </w:tc>
        <w:tc>
          <w:tcPr>
            <w:tcW w:w="1877" w:type="dxa"/>
            <w:shd w:val="clear" w:color="auto" w:fill="auto"/>
          </w:tcPr>
          <w:p w:rsidR="00385835" w:rsidRPr="00385835" w:rsidRDefault="00385835" w:rsidP="00385835">
            <w:pPr>
              <w:spacing w:after="0" w:line="240" w:lineRule="auto"/>
              <w:rPr>
                <w:rFonts w:ascii="Times New Roman" w:hAnsi="Times New Roman"/>
                <w:sz w:val="18"/>
                <w:szCs w:val="18"/>
              </w:rPr>
            </w:pPr>
            <w:r w:rsidRPr="00385835">
              <w:rPr>
                <w:rFonts w:ascii="Times New Roman" w:hAnsi="Times New Roman"/>
                <w:sz w:val="18"/>
                <w:szCs w:val="18"/>
              </w:rPr>
              <w:t>Ilgalaikiai bedarbiai dalyviai, kurie baigę dalyvavimą gavo pasiūlymą dėl darbo, tolesnio mokymosi, pameistrystės</w:t>
            </w:r>
            <w:r w:rsidRPr="00385835" w:rsidDel="005D0C8C">
              <w:rPr>
                <w:rFonts w:ascii="Times New Roman" w:hAnsi="Times New Roman"/>
                <w:sz w:val="18"/>
                <w:szCs w:val="18"/>
              </w:rPr>
              <w:t xml:space="preserve"> </w:t>
            </w:r>
            <w:r w:rsidRPr="00385835">
              <w:rPr>
                <w:rFonts w:ascii="Times New Roman" w:hAnsi="Times New Roman"/>
                <w:sz w:val="18"/>
                <w:szCs w:val="18"/>
              </w:rPr>
              <w:t>ar stažuotės</w:t>
            </w:r>
          </w:p>
        </w:tc>
        <w:tc>
          <w:tcPr>
            <w:tcW w:w="992" w:type="dxa"/>
            <w:shd w:val="clear" w:color="auto" w:fill="auto"/>
            <w:vAlign w:val="center"/>
          </w:tcPr>
          <w:p w:rsidR="00385835" w:rsidRPr="00385835" w:rsidRDefault="00385835" w:rsidP="00385835">
            <w:pPr>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Mažiau išsivystęs</w:t>
            </w:r>
          </w:p>
        </w:tc>
        <w:tc>
          <w:tcPr>
            <w:tcW w:w="993" w:type="dxa"/>
            <w:shd w:val="clear" w:color="auto" w:fill="auto"/>
            <w:vAlign w:val="center"/>
          </w:tcPr>
          <w:p w:rsidR="00385835" w:rsidRPr="00385835" w:rsidRDefault="00385835" w:rsidP="00385835">
            <w:pPr>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Asmenų skaičius</w:t>
            </w:r>
          </w:p>
        </w:tc>
        <w:tc>
          <w:tcPr>
            <w:tcW w:w="992"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NewRoman" w:hAnsi="TimesNewRoman" w:cs="TimesNewRoman"/>
                <w:sz w:val="18"/>
                <w:szCs w:val="18"/>
                <w:lang w:eastAsia="lt-LT"/>
              </w:rPr>
            </w:pPr>
            <w:r w:rsidRPr="00385835">
              <w:rPr>
                <w:rFonts w:ascii="Times New Roman" w:hAnsi="Times New Roman"/>
                <w:sz w:val="18"/>
                <w:szCs w:val="18"/>
                <w:lang w:eastAsia="lt-LT"/>
              </w:rPr>
              <w:t>Ilgalaikiai bedarbiai</w:t>
            </w:r>
          </w:p>
        </w:tc>
        <w:tc>
          <w:tcPr>
            <w:tcW w:w="56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30</w:t>
            </w:r>
          </w:p>
        </w:tc>
        <w:tc>
          <w:tcPr>
            <w:tcW w:w="709"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Proc.</w:t>
            </w:r>
          </w:p>
        </w:tc>
        <w:tc>
          <w:tcPr>
            <w:tcW w:w="708" w:type="dxa"/>
            <w:shd w:val="clear" w:color="auto" w:fill="auto"/>
            <w:vAlign w:val="center"/>
          </w:tcPr>
          <w:p w:rsidR="00385835" w:rsidRPr="00385835" w:rsidRDefault="00385835" w:rsidP="00385835">
            <w:pPr>
              <w:spacing w:after="0" w:line="240" w:lineRule="auto"/>
              <w:jc w:val="center"/>
            </w:pPr>
            <w:r w:rsidRPr="00385835">
              <w:rPr>
                <w:rFonts w:ascii="Times New Roman" w:eastAsia="AngsanaUPC" w:hAnsi="Times New Roman"/>
                <w:bCs/>
                <w:iCs/>
                <w:sz w:val="18"/>
                <w:szCs w:val="18"/>
                <w:lang w:eastAsia="lt-LT"/>
              </w:rPr>
              <w:t>2013</w:t>
            </w:r>
          </w:p>
        </w:tc>
        <w:tc>
          <w:tcPr>
            <w:tcW w:w="48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32</w:t>
            </w:r>
          </w:p>
        </w:tc>
        <w:tc>
          <w:tcPr>
            <w:tcW w:w="1073"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Duomenys iš projektų</w:t>
            </w:r>
          </w:p>
        </w:tc>
        <w:tc>
          <w:tcPr>
            <w:tcW w:w="758"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385835" w:rsidRPr="00385835" w:rsidTr="00385835">
        <w:trPr>
          <w:gridAfter w:val="1"/>
          <w:wAfter w:w="57" w:type="dxa"/>
        </w:trPr>
        <w:tc>
          <w:tcPr>
            <w:tcW w:w="533"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6.</w:t>
            </w:r>
          </w:p>
        </w:tc>
        <w:tc>
          <w:tcPr>
            <w:tcW w:w="1877" w:type="dxa"/>
            <w:shd w:val="clear" w:color="auto" w:fill="auto"/>
          </w:tcPr>
          <w:p w:rsidR="00385835" w:rsidRPr="00385835" w:rsidRDefault="00385835" w:rsidP="00385835">
            <w:pPr>
              <w:spacing w:after="0" w:line="240" w:lineRule="auto"/>
              <w:rPr>
                <w:rFonts w:ascii="Times New Roman" w:hAnsi="Times New Roman"/>
                <w:sz w:val="18"/>
                <w:szCs w:val="18"/>
              </w:rPr>
            </w:pPr>
            <w:r w:rsidRPr="00385835">
              <w:rPr>
                <w:rFonts w:ascii="Times New Roman" w:hAnsi="Times New Roman"/>
                <w:sz w:val="18"/>
                <w:szCs w:val="18"/>
              </w:rPr>
              <w:t>Ilgalaikiai bedarbiai dalyviai, kurie baigę dalyvavimą pradėjo mokytis, įgijo kvalifikaciją arba pradėjo dirbti, įskaitant savarankišką darbą</w:t>
            </w:r>
          </w:p>
        </w:tc>
        <w:tc>
          <w:tcPr>
            <w:tcW w:w="992" w:type="dxa"/>
            <w:shd w:val="clear" w:color="auto" w:fill="auto"/>
            <w:vAlign w:val="center"/>
          </w:tcPr>
          <w:p w:rsidR="00385835" w:rsidRPr="00385835" w:rsidRDefault="00385835" w:rsidP="00385835">
            <w:pPr>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Mažiau išsivystęs</w:t>
            </w:r>
          </w:p>
        </w:tc>
        <w:tc>
          <w:tcPr>
            <w:tcW w:w="993" w:type="dxa"/>
            <w:shd w:val="clear" w:color="auto" w:fill="auto"/>
            <w:vAlign w:val="center"/>
          </w:tcPr>
          <w:p w:rsidR="00385835" w:rsidRPr="00385835" w:rsidRDefault="00385835" w:rsidP="00385835">
            <w:pPr>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Asmenų skaičius</w:t>
            </w:r>
          </w:p>
        </w:tc>
        <w:tc>
          <w:tcPr>
            <w:tcW w:w="992"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NewRoman" w:hAnsi="TimesNewRoman" w:cs="TimesNewRoman"/>
                <w:sz w:val="18"/>
                <w:szCs w:val="18"/>
                <w:lang w:eastAsia="lt-LT"/>
              </w:rPr>
            </w:pPr>
            <w:r w:rsidRPr="00385835">
              <w:rPr>
                <w:rFonts w:ascii="Times New Roman" w:hAnsi="Times New Roman"/>
                <w:sz w:val="18"/>
                <w:szCs w:val="18"/>
                <w:lang w:eastAsia="lt-LT"/>
              </w:rPr>
              <w:t>Ilgalaikiai bedarbiai</w:t>
            </w:r>
          </w:p>
        </w:tc>
        <w:tc>
          <w:tcPr>
            <w:tcW w:w="56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25,4</w:t>
            </w:r>
          </w:p>
        </w:tc>
        <w:tc>
          <w:tcPr>
            <w:tcW w:w="709"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Proc.</w:t>
            </w:r>
          </w:p>
        </w:tc>
        <w:tc>
          <w:tcPr>
            <w:tcW w:w="708" w:type="dxa"/>
            <w:shd w:val="clear" w:color="auto" w:fill="auto"/>
            <w:vAlign w:val="center"/>
          </w:tcPr>
          <w:p w:rsidR="00385835" w:rsidRPr="00385835" w:rsidRDefault="00385835" w:rsidP="00385835">
            <w:pPr>
              <w:spacing w:after="0" w:line="240" w:lineRule="auto"/>
              <w:jc w:val="center"/>
            </w:pPr>
            <w:r w:rsidRPr="00385835">
              <w:rPr>
                <w:rFonts w:ascii="Times New Roman" w:eastAsia="AngsanaUPC" w:hAnsi="Times New Roman"/>
                <w:bCs/>
                <w:iCs/>
                <w:sz w:val="18"/>
                <w:szCs w:val="18"/>
                <w:lang w:eastAsia="lt-LT"/>
              </w:rPr>
              <w:t>2013</w:t>
            </w:r>
          </w:p>
        </w:tc>
        <w:tc>
          <w:tcPr>
            <w:tcW w:w="48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26</w:t>
            </w:r>
          </w:p>
        </w:tc>
        <w:tc>
          <w:tcPr>
            <w:tcW w:w="1073"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Duomenys iš projektų</w:t>
            </w:r>
          </w:p>
        </w:tc>
        <w:tc>
          <w:tcPr>
            <w:tcW w:w="758"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385835" w:rsidRPr="00385835" w:rsidTr="00385835">
        <w:trPr>
          <w:gridAfter w:val="1"/>
          <w:wAfter w:w="57" w:type="dxa"/>
        </w:trPr>
        <w:tc>
          <w:tcPr>
            <w:tcW w:w="533"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7.</w:t>
            </w:r>
          </w:p>
        </w:tc>
        <w:tc>
          <w:tcPr>
            <w:tcW w:w="1877" w:type="dxa"/>
            <w:shd w:val="clear" w:color="auto" w:fill="auto"/>
          </w:tcPr>
          <w:p w:rsidR="00385835" w:rsidRPr="00385835" w:rsidRDefault="00385835" w:rsidP="00385835">
            <w:pPr>
              <w:spacing w:after="0" w:line="240" w:lineRule="auto"/>
              <w:rPr>
                <w:rFonts w:ascii="Times New Roman" w:hAnsi="Times New Roman"/>
                <w:sz w:val="18"/>
                <w:szCs w:val="18"/>
              </w:rPr>
            </w:pPr>
            <w:r w:rsidRPr="00385835">
              <w:rPr>
                <w:rFonts w:ascii="Times New Roman" w:hAnsi="Times New Roman"/>
                <w:sz w:val="18"/>
                <w:szCs w:val="18"/>
              </w:rPr>
              <w:t>Nestudijuojantys ir nesimokantys neaktyvūs dalyviai, kurie baigė dalyvauti JUI remiamoje intervencijoje</w:t>
            </w:r>
          </w:p>
        </w:tc>
        <w:tc>
          <w:tcPr>
            <w:tcW w:w="992" w:type="dxa"/>
            <w:shd w:val="clear" w:color="auto" w:fill="auto"/>
            <w:vAlign w:val="center"/>
          </w:tcPr>
          <w:p w:rsidR="00385835" w:rsidRPr="00385835" w:rsidRDefault="00385835" w:rsidP="00385835">
            <w:pPr>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Mažiau išsivystęs</w:t>
            </w:r>
          </w:p>
        </w:tc>
        <w:tc>
          <w:tcPr>
            <w:tcW w:w="993" w:type="dxa"/>
            <w:shd w:val="clear" w:color="auto" w:fill="auto"/>
            <w:vAlign w:val="center"/>
          </w:tcPr>
          <w:p w:rsidR="00385835" w:rsidRPr="00385835" w:rsidRDefault="00385835" w:rsidP="00385835">
            <w:pPr>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Asmenų skaičius</w:t>
            </w:r>
          </w:p>
        </w:tc>
        <w:tc>
          <w:tcPr>
            <w:tcW w:w="992"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NewRoman" w:hAnsi="TimesNewRoman" w:cs="TimesNewRoman"/>
                <w:sz w:val="18"/>
                <w:szCs w:val="18"/>
                <w:lang w:eastAsia="lt-LT"/>
              </w:rPr>
            </w:pPr>
            <w:r w:rsidRPr="00385835">
              <w:rPr>
                <w:rFonts w:ascii="Times New Roman" w:hAnsi="Times New Roman"/>
                <w:sz w:val="18"/>
                <w:szCs w:val="18"/>
                <w:lang w:eastAsia="lt-LT"/>
              </w:rPr>
              <w:t>Neaktyvūs nesimokantys asmenys</w:t>
            </w:r>
          </w:p>
        </w:tc>
        <w:tc>
          <w:tcPr>
            <w:tcW w:w="56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30</w:t>
            </w:r>
          </w:p>
        </w:tc>
        <w:tc>
          <w:tcPr>
            <w:tcW w:w="709"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Proc.</w:t>
            </w:r>
          </w:p>
        </w:tc>
        <w:tc>
          <w:tcPr>
            <w:tcW w:w="708"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2013</w:t>
            </w:r>
          </w:p>
        </w:tc>
        <w:tc>
          <w:tcPr>
            <w:tcW w:w="48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35</w:t>
            </w:r>
          </w:p>
        </w:tc>
        <w:tc>
          <w:tcPr>
            <w:tcW w:w="1073"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Duomenys iš projektų</w:t>
            </w:r>
          </w:p>
        </w:tc>
        <w:tc>
          <w:tcPr>
            <w:tcW w:w="758"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385835" w:rsidRPr="00385835" w:rsidTr="00385835">
        <w:trPr>
          <w:gridAfter w:val="1"/>
          <w:wAfter w:w="57" w:type="dxa"/>
        </w:trPr>
        <w:tc>
          <w:tcPr>
            <w:tcW w:w="533"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8.</w:t>
            </w:r>
          </w:p>
        </w:tc>
        <w:tc>
          <w:tcPr>
            <w:tcW w:w="1877" w:type="dxa"/>
            <w:shd w:val="clear" w:color="auto" w:fill="auto"/>
          </w:tcPr>
          <w:p w:rsidR="00385835" w:rsidRPr="00385835" w:rsidRDefault="00385835" w:rsidP="00385835">
            <w:pPr>
              <w:spacing w:after="0" w:line="240" w:lineRule="auto"/>
              <w:rPr>
                <w:rFonts w:ascii="Times New Roman" w:hAnsi="Times New Roman"/>
                <w:sz w:val="18"/>
                <w:szCs w:val="18"/>
              </w:rPr>
            </w:pPr>
            <w:r w:rsidRPr="00385835">
              <w:rPr>
                <w:rFonts w:ascii="Times New Roman" w:hAnsi="Times New Roman"/>
                <w:sz w:val="18"/>
                <w:szCs w:val="18"/>
              </w:rPr>
              <w:t>Nestudijuojantys ir nesimokantys neaktyvūs dalyviai, kurie baigę dalyvavimą gavo pasiūlymą dėl darbo, tolesnio mokymosi, pameistrystės</w:t>
            </w:r>
            <w:r w:rsidRPr="00385835" w:rsidDel="005D0C8C">
              <w:rPr>
                <w:rFonts w:ascii="Times New Roman" w:hAnsi="Times New Roman"/>
                <w:sz w:val="18"/>
                <w:szCs w:val="18"/>
              </w:rPr>
              <w:t xml:space="preserve"> </w:t>
            </w:r>
            <w:r w:rsidRPr="00385835">
              <w:rPr>
                <w:rFonts w:ascii="Times New Roman" w:hAnsi="Times New Roman"/>
                <w:sz w:val="18"/>
                <w:szCs w:val="18"/>
              </w:rPr>
              <w:t>ar stažuotės</w:t>
            </w:r>
          </w:p>
        </w:tc>
        <w:tc>
          <w:tcPr>
            <w:tcW w:w="992" w:type="dxa"/>
            <w:shd w:val="clear" w:color="auto" w:fill="auto"/>
            <w:vAlign w:val="center"/>
          </w:tcPr>
          <w:p w:rsidR="00385835" w:rsidRPr="00385835" w:rsidRDefault="00385835" w:rsidP="00385835">
            <w:pPr>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Mažiau išsivystęs</w:t>
            </w:r>
          </w:p>
        </w:tc>
        <w:tc>
          <w:tcPr>
            <w:tcW w:w="993" w:type="dxa"/>
            <w:shd w:val="clear" w:color="auto" w:fill="auto"/>
            <w:vAlign w:val="center"/>
          </w:tcPr>
          <w:p w:rsidR="00385835" w:rsidRPr="00385835" w:rsidRDefault="00385835" w:rsidP="00385835">
            <w:pPr>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Asmenų skaičius</w:t>
            </w:r>
          </w:p>
        </w:tc>
        <w:tc>
          <w:tcPr>
            <w:tcW w:w="992"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NewRoman" w:hAnsi="TimesNewRoman" w:cs="TimesNewRoman"/>
                <w:sz w:val="18"/>
                <w:szCs w:val="18"/>
                <w:lang w:eastAsia="lt-LT"/>
              </w:rPr>
            </w:pPr>
            <w:r w:rsidRPr="00385835">
              <w:rPr>
                <w:rFonts w:ascii="Times New Roman" w:hAnsi="Times New Roman"/>
                <w:sz w:val="18"/>
                <w:szCs w:val="18"/>
                <w:lang w:eastAsia="lt-LT"/>
              </w:rPr>
              <w:t>Neaktyvūs nesimokantys asmenys</w:t>
            </w:r>
          </w:p>
        </w:tc>
        <w:tc>
          <w:tcPr>
            <w:tcW w:w="56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24</w:t>
            </w:r>
          </w:p>
        </w:tc>
        <w:tc>
          <w:tcPr>
            <w:tcW w:w="709" w:type="dxa"/>
            <w:shd w:val="clear" w:color="auto" w:fill="auto"/>
            <w:vAlign w:val="center"/>
          </w:tcPr>
          <w:p w:rsidR="00385835" w:rsidRPr="00385835" w:rsidRDefault="00385835" w:rsidP="00385835">
            <w:pPr>
              <w:spacing w:after="0" w:line="240" w:lineRule="auto"/>
              <w:jc w:val="center"/>
            </w:pPr>
            <w:r w:rsidRPr="00385835">
              <w:rPr>
                <w:rFonts w:ascii="Times New Roman" w:eastAsia="AngsanaUPC" w:hAnsi="Times New Roman"/>
                <w:bCs/>
                <w:iCs/>
                <w:sz w:val="18"/>
                <w:szCs w:val="18"/>
                <w:lang w:eastAsia="lt-LT"/>
              </w:rPr>
              <w:t>Proc.</w:t>
            </w:r>
          </w:p>
        </w:tc>
        <w:tc>
          <w:tcPr>
            <w:tcW w:w="708" w:type="dxa"/>
            <w:shd w:val="clear" w:color="auto" w:fill="auto"/>
            <w:vAlign w:val="center"/>
          </w:tcPr>
          <w:p w:rsidR="00385835" w:rsidRPr="00385835" w:rsidRDefault="00385835" w:rsidP="00385835">
            <w:pPr>
              <w:spacing w:after="0" w:line="240" w:lineRule="auto"/>
              <w:jc w:val="center"/>
            </w:pPr>
            <w:r w:rsidRPr="00385835">
              <w:rPr>
                <w:rFonts w:ascii="Times New Roman" w:eastAsia="AngsanaUPC" w:hAnsi="Times New Roman"/>
                <w:bCs/>
                <w:iCs/>
                <w:sz w:val="18"/>
                <w:szCs w:val="18"/>
                <w:lang w:eastAsia="lt-LT"/>
              </w:rPr>
              <w:t>2013</w:t>
            </w:r>
          </w:p>
        </w:tc>
        <w:tc>
          <w:tcPr>
            <w:tcW w:w="48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30</w:t>
            </w:r>
          </w:p>
        </w:tc>
        <w:tc>
          <w:tcPr>
            <w:tcW w:w="1073"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Duomenys iš projektų</w:t>
            </w:r>
          </w:p>
        </w:tc>
        <w:tc>
          <w:tcPr>
            <w:tcW w:w="758"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385835" w:rsidRPr="00385835" w:rsidTr="00385835">
        <w:trPr>
          <w:gridAfter w:val="1"/>
          <w:wAfter w:w="57" w:type="dxa"/>
        </w:trPr>
        <w:tc>
          <w:tcPr>
            <w:tcW w:w="533"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9.</w:t>
            </w:r>
          </w:p>
        </w:tc>
        <w:tc>
          <w:tcPr>
            <w:tcW w:w="1877" w:type="dxa"/>
            <w:shd w:val="clear" w:color="auto" w:fill="auto"/>
          </w:tcPr>
          <w:p w:rsidR="00385835" w:rsidRPr="00385835" w:rsidRDefault="00385835" w:rsidP="00385835">
            <w:pPr>
              <w:spacing w:after="0" w:line="240" w:lineRule="auto"/>
              <w:rPr>
                <w:rFonts w:ascii="Times New Roman" w:hAnsi="Times New Roman"/>
                <w:sz w:val="18"/>
                <w:szCs w:val="18"/>
              </w:rPr>
            </w:pPr>
            <w:r w:rsidRPr="00385835">
              <w:rPr>
                <w:rFonts w:ascii="Times New Roman" w:hAnsi="Times New Roman"/>
                <w:sz w:val="18"/>
                <w:szCs w:val="18"/>
              </w:rPr>
              <w:t xml:space="preserve">Nestudijuojantys ir nesimokantys neaktyvūs dalyviai, kurie baigę dalyvavimą pradėjo mokytis, įgijo kvalifikaciją arba pradėjo dirbti, įskaitant savarankišką </w:t>
            </w:r>
            <w:r w:rsidRPr="00385835">
              <w:rPr>
                <w:rFonts w:ascii="Times New Roman" w:hAnsi="Times New Roman"/>
                <w:sz w:val="18"/>
                <w:szCs w:val="18"/>
              </w:rPr>
              <w:lastRenderedPageBreak/>
              <w:t>darbą</w:t>
            </w:r>
          </w:p>
        </w:tc>
        <w:tc>
          <w:tcPr>
            <w:tcW w:w="992" w:type="dxa"/>
            <w:shd w:val="clear" w:color="auto" w:fill="auto"/>
            <w:vAlign w:val="center"/>
          </w:tcPr>
          <w:p w:rsidR="00385835" w:rsidRPr="00385835" w:rsidRDefault="00385835" w:rsidP="00385835">
            <w:pPr>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lastRenderedPageBreak/>
              <w:t>Mažiau išsivystęs</w:t>
            </w:r>
          </w:p>
        </w:tc>
        <w:tc>
          <w:tcPr>
            <w:tcW w:w="993" w:type="dxa"/>
            <w:shd w:val="clear" w:color="auto" w:fill="auto"/>
            <w:vAlign w:val="center"/>
          </w:tcPr>
          <w:p w:rsidR="00385835" w:rsidRPr="00385835" w:rsidRDefault="00385835" w:rsidP="00385835">
            <w:pPr>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Asmenų skaičius</w:t>
            </w:r>
          </w:p>
        </w:tc>
        <w:tc>
          <w:tcPr>
            <w:tcW w:w="992"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NewRoman" w:hAnsi="TimesNewRoman" w:cs="TimesNewRoman"/>
                <w:sz w:val="18"/>
                <w:szCs w:val="18"/>
                <w:lang w:eastAsia="lt-LT"/>
              </w:rPr>
            </w:pPr>
            <w:r w:rsidRPr="00385835">
              <w:rPr>
                <w:rFonts w:ascii="Times New Roman" w:hAnsi="Times New Roman"/>
                <w:sz w:val="18"/>
                <w:szCs w:val="18"/>
                <w:lang w:eastAsia="lt-LT"/>
              </w:rPr>
              <w:t>Neaktyvūs nesimokantys asmenys</w:t>
            </w:r>
          </w:p>
        </w:tc>
        <w:tc>
          <w:tcPr>
            <w:tcW w:w="56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8,5</w:t>
            </w:r>
          </w:p>
        </w:tc>
        <w:tc>
          <w:tcPr>
            <w:tcW w:w="709" w:type="dxa"/>
            <w:shd w:val="clear" w:color="auto" w:fill="auto"/>
            <w:vAlign w:val="center"/>
          </w:tcPr>
          <w:p w:rsidR="00385835" w:rsidRPr="00385835" w:rsidRDefault="00385835" w:rsidP="00385835">
            <w:pPr>
              <w:spacing w:after="0" w:line="240" w:lineRule="auto"/>
              <w:jc w:val="center"/>
            </w:pPr>
            <w:r w:rsidRPr="00385835">
              <w:rPr>
                <w:rFonts w:ascii="Times New Roman" w:eastAsia="AngsanaUPC" w:hAnsi="Times New Roman"/>
                <w:bCs/>
                <w:iCs/>
                <w:sz w:val="18"/>
                <w:szCs w:val="18"/>
                <w:lang w:eastAsia="lt-LT"/>
              </w:rPr>
              <w:t>Proc.</w:t>
            </w:r>
          </w:p>
        </w:tc>
        <w:tc>
          <w:tcPr>
            <w:tcW w:w="708" w:type="dxa"/>
            <w:shd w:val="clear" w:color="auto" w:fill="auto"/>
            <w:vAlign w:val="center"/>
          </w:tcPr>
          <w:p w:rsidR="00385835" w:rsidRPr="00385835" w:rsidRDefault="00385835" w:rsidP="00385835">
            <w:pPr>
              <w:spacing w:after="0" w:line="240" w:lineRule="auto"/>
              <w:jc w:val="center"/>
            </w:pPr>
            <w:r w:rsidRPr="00385835">
              <w:rPr>
                <w:rFonts w:ascii="Times New Roman" w:eastAsia="AngsanaUPC" w:hAnsi="Times New Roman"/>
                <w:bCs/>
                <w:iCs/>
                <w:sz w:val="18"/>
                <w:szCs w:val="18"/>
                <w:lang w:eastAsia="lt-LT"/>
              </w:rPr>
              <w:t>2013</w:t>
            </w:r>
          </w:p>
        </w:tc>
        <w:tc>
          <w:tcPr>
            <w:tcW w:w="48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10</w:t>
            </w:r>
          </w:p>
        </w:tc>
        <w:tc>
          <w:tcPr>
            <w:tcW w:w="1073"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Duomenys iš projektų</w:t>
            </w:r>
          </w:p>
        </w:tc>
        <w:tc>
          <w:tcPr>
            <w:tcW w:w="758"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385835" w:rsidRPr="00385835" w:rsidTr="00385835">
        <w:trPr>
          <w:gridAfter w:val="1"/>
          <w:wAfter w:w="57" w:type="dxa"/>
        </w:trPr>
        <w:tc>
          <w:tcPr>
            <w:tcW w:w="533"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lastRenderedPageBreak/>
              <w:t>10.</w:t>
            </w:r>
          </w:p>
        </w:tc>
        <w:tc>
          <w:tcPr>
            <w:tcW w:w="1877" w:type="dxa"/>
            <w:shd w:val="clear" w:color="auto" w:fill="auto"/>
          </w:tcPr>
          <w:p w:rsidR="00385835" w:rsidRPr="00385835" w:rsidRDefault="00385835" w:rsidP="00385835">
            <w:pPr>
              <w:spacing w:after="0" w:line="240" w:lineRule="auto"/>
              <w:rPr>
                <w:rFonts w:ascii="Times New Roman" w:hAnsi="Times New Roman"/>
                <w:sz w:val="18"/>
                <w:szCs w:val="18"/>
              </w:rPr>
            </w:pPr>
            <w:r w:rsidRPr="00385835">
              <w:rPr>
                <w:rFonts w:ascii="Times New Roman" w:hAnsi="Times New Roman"/>
                <w:sz w:val="18"/>
                <w:szCs w:val="18"/>
              </w:rPr>
              <w:t>Dalyviai, kurie baigę dalyvavimą po šešių mėnesių tęsia mokymąsi, dalyvauja kvalifikaciją suteikiančiose mokymo programose, mokyme per pameistrystę ar atlieka stažuotę</w:t>
            </w:r>
          </w:p>
        </w:tc>
        <w:tc>
          <w:tcPr>
            <w:tcW w:w="992" w:type="dxa"/>
            <w:shd w:val="clear" w:color="auto" w:fill="auto"/>
            <w:vAlign w:val="center"/>
          </w:tcPr>
          <w:p w:rsidR="00385835" w:rsidRPr="00385835" w:rsidRDefault="00385835" w:rsidP="00385835">
            <w:pPr>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Mažiau išsivystęs</w:t>
            </w:r>
          </w:p>
        </w:tc>
        <w:tc>
          <w:tcPr>
            <w:tcW w:w="993" w:type="dxa"/>
            <w:shd w:val="clear" w:color="auto" w:fill="auto"/>
            <w:vAlign w:val="center"/>
          </w:tcPr>
          <w:p w:rsidR="00385835" w:rsidRPr="00385835" w:rsidRDefault="00385835" w:rsidP="00385835">
            <w:pPr>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Asmenų skaičius</w:t>
            </w:r>
          </w:p>
        </w:tc>
        <w:tc>
          <w:tcPr>
            <w:tcW w:w="992"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NewRoman" w:hAnsi="TimesNewRoman" w:cs="TimesNewRoman"/>
                <w:sz w:val="18"/>
                <w:szCs w:val="18"/>
                <w:lang w:eastAsia="lt-LT"/>
              </w:rPr>
            </w:pPr>
            <w:r w:rsidRPr="00385835">
              <w:rPr>
                <w:rFonts w:ascii="TimesNewRoman" w:hAnsi="TimesNewRoman" w:cs="TimesNewRoman"/>
                <w:sz w:val="18"/>
                <w:szCs w:val="18"/>
                <w:lang w:eastAsia="lt-LT"/>
              </w:rPr>
              <w:t>-</w:t>
            </w:r>
          </w:p>
        </w:tc>
        <w:tc>
          <w:tcPr>
            <w:tcW w:w="56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8,9</w:t>
            </w:r>
          </w:p>
        </w:tc>
        <w:tc>
          <w:tcPr>
            <w:tcW w:w="709" w:type="dxa"/>
            <w:shd w:val="clear" w:color="auto" w:fill="auto"/>
            <w:vAlign w:val="center"/>
          </w:tcPr>
          <w:p w:rsidR="00385835" w:rsidRPr="00385835" w:rsidRDefault="00385835" w:rsidP="00385835">
            <w:pPr>
              <w:spacing w:after="0" w:line="240" w:lineRule="auto"/>
              <w:jc w:val="center"/>
            </w:pPr>
            <w:r w:rsidRPr="00385835">
              <w:rPr>
                <w:rFonts w:ascii="Times New Roman" w:eastAsia="AngsanaUPC" w:hAnsi="Times New Roman"/>
                <w:bCs/>
                <w:iCs/>
                <w:sz w:val="18"/>
                <w:szCs w:val="18"/>
                <w:lang w:eastAsia="lt-LT"/>
              </w:rPr>
              <w:t>Proc.</w:t>
            </w:r>
          </w:p>
        </w:tc>
        <w:tc>
          <w:tcPr>
            <w:tcW w:w="708" w:type="dxa"/>
            <w:shd w:val="clear" w:color="auto" w:fill="auto"/>
            <w:vAlign w:val="center"/>
          </w:tcPr>
          <w:p w:rsidR="00385835" w:rsidRPr="00385835" w:rsidRDefault="00385835" w:rsidP="00385835">
            <w:pPr>
              <w:spacing w:after="0" w:line="240" w:lineRule="auto"/>
              <w:jc w:val="center"/>
            </w:pPr>
            <w:r w:rsidRPr="00385835">
              <w:rPr>
                <w:rFonts w:ascii="Times New Roman" w:eastAsia="AngsanaUPC" w:hAnsi="Times New Roman"/>
                <w:bCs/>
                <w:iCs/>
                <w:sz w:val="18"/>
                <w:szCs w:val="18"/>
                <w:lang w:eastAsia="lt-LT"/>
              </w:rPr>
              <w:t>2013</w:t>
            </w:r>
          </w:p>
        </w:tc>
        <w:tc>
          <w:tcPr>
            <w:tcW w:w="48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16</w:t>
            </w:r>
          </w:p>
        </w:tc>
        <w:tc>
          <w:tcPr>
            <w:tcW w:w="1073"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Tyrimas</w:t>
            </w:r>
          </w:p>
        </w:tc>
        <w:tc>
          <w:tcPr>
            <w:tcW w:w="758"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385835" w:rsidRPr="00385835" w:rsidTr="00385835">
        <w:trPr>
          <w:gridAfter w:val="1"/>
          <w:wAfter w:w="57" w:type="dxa"/>
        </w:trPr>
        <w:tc>
          <w:tcPr>
            <w:tcW w:w="533"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11.</w:t>
            </w:r>
          </w:p>
        </w:tc>
        <w:tc>
          <w:tcPr>
            <w:tcW w:w="1877" w:type="dxa"/>
            <w:shd w:val="clear" w:color="auto" w:fill="auto"/>
          </w:tcPr>
          <w:p w:rsidR="00385835" w:rsidRPr="00385835" w:rsidRDefault="00385835" w:rsidP="00E470BA">
            <w:pPr>
              <w:spacing w:after="0" w:line="240" w:lineRule="auto"/>
              <w:rPr>
                <w:rFonts w:ascii="Times New Roman" w:hAnsi="Times New Roman"/>
                <w:sz w:val="18"/>
                <w:szCs w:val="18"/>
              </w:rPr>
            </w:pPr>
            <w:r w:rsidRPr="00385835">
              <w:rPr>
                <w:rFonts w:ascii="Times New Roman" w:hAnsi="Times New Roman"/>
                <w:sz w:val="18"/>
                <w:szCs w:val="18"/>
              </w:rPr>
              <w:t>Dalyviai, kurie baigę dalyvavimą po šešių mėnesių dirba</w:t>
            </w:r>
          </w:p>
        </w:tc>
        <w:tc>
          <w:tcPr>
            <w:tcW w:w="992" w:type="dxa"/>
            <w:shd w:val="clear" w:color="auto" w:fill="auto"/>
            <w:vAlign w:val="center"/>
          </w:tcPr>
          <w:p w:rsidR="00385835" w:rsidRPr="00385835" w:rsidRDefault="00385835" w:rsidP="00385835">
            <w:pPr>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Mažiau išsivystęs</w:t>
            </w:r>
          </w:p>
        </w:tc>
        <w:tc>
          <w:tcPr>
            <w:tcW w:w="993" w:type="dxa"/>
            <w:shd w:val="clear" w:color="auto" w:fill="auto"/>
            <w:vAlign w:val="center"/>
          </w:tcPr>
          <w:p w:rsidR="00385835" w:rsidRPr="00385835" w:rsidRDefault="00385835" w:rsidP="00385835">
            <w:pPr>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Asmenų skaičius</w:t>
            </w:r>
          </w:p>
        </w:tc>
        <w:tc>
          <w:tcPr>
            <w:tcW w:w="992"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NewRoman" w:hAnsi="TimesNewRoman" w:cs="TimesNewRoman"/>
                <w:sz w:val="18"/>
                <w:szCs w:val="18"/>
                <w:lang w:eastAsia="lt-LT"/>
              </w:rPr>
            </w:pPr>
            <w:r w:rsidRPr="00385835">
              <w:rPr>
                <w:rFonts w:ascii="TimesNewRoman" w:hAnsi="TimesNewRoman" w:cs="TimesNewRoman"/>
                <w:sz w:val="18"/>
                <w:szCs w:val="18"/>
                <w:lang w:eastAsia="lt-LT"/>
              </w:rPr>
              <w:t>-</w:t>
            </w:r>
          </w:p>
        </w:tc>
        <w:tc>
          <w:tcPr>
            <w:tcW w:w="56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36,8</w:t>
            </w:r>
          </w:p>
        </w:tc>
        <w:tc>
          <w:tcPr>
            <w:tcW w:w="709"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Proc.</w:t>
            </w:r>
          </w:p>
        </w:tc>
        <w:tc>
          <w:tcPr>
            <w:tcW w:w="708"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2013</w:t>
            </w:r>
          </w:p>
        </w:tc>
        <w:tc>
          <w:tcPr>
            <w:tcW w:w="48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44</w:t>
            </w:r>
          </w:p>
        </w:tc>
        <w:tc>
          <w:tcPr>
            <w:tcW w:w="1073"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Tyrimas</w:t>
            </w:r>
          </w:p>
        </w:tc>
        <w:tc>
          <w:tcPr>
            <w:tcW w:w="758"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385835" w:rsidRPr="00385835" w:rsidTr="00385835">
        <w:trPr>
          <w:gridAfter w:val="1"/>
          <w:wAfter w:w="57" w:type="dxa"/>
        </w:trPr>
        <w:tc>
          <w:tcPr>
            <w:tcW w:w="533"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12.</w:t>
            </w:r>
          </w:p>
        </w:tc>
        <w:tc>
          <w:tcPr>
            <w:tcW w:w="1877" w:type="dxa"/>
            <w:shd w:val="clear" w:color="auto" w:fill="auto"/>
          </w:tcPr>
          <w:p w:rsidR="00385835" w:rsidRPr="00385835" w:rsidRDefault="00385835" w:rsidP="00385835">
            <w:pPr>
              <w:spacing w:after="0" w:line="240" w:lineRule="auto"/>
              <w:rPr>
                <w:rFonts w:ascii="Times New Roman" w:hAnsi="Times New Roman"/>
                <w:sz w:val="18"/>
                <w:szCs w:val="18"/>
              </w:rPr>
            </w:pPr>
            <w:r w:rsidRPr="00385835">
              <w:rPr>
                <w:rFonts w:ascii="Times New Roman" w:hAnsi="Times New Roman"/>
                <w:sz w:val="18"/>
                <w:szCs w:val="18"/>
              </w:rPr>
              <w:t>Dalyviai, kurie baigę dalyvavimą po šešių mėnesių savarankiškai dirba</w:t>
            </w:r>
          </w:p>
        </w:tc>
        <w:tc>
          <w:tcPr>
            <w:tcW w:w="992" w:type="dxa"/>
            <w:shd w:val="clear" w:color="auto" w:fill="auto"/>
            <w:vAlign w:val="center"/>
          </w:tcPr>
          <w:p w:rsidR="005E1B9D" w:rsidRPr="00385835" w:rsidRDefault="00385835" w:rsidP="005E1B9D">
            <w:pPr>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Mažiau išsivystęs</w:t>
            </w:r>
          </w:p>
        </w:tc>
        <w:tc>
          <w:tcPr>
            <w:tcW w:w="993" w:type="dxa"/>
            <w:shd w:val="clear" w:color="auto" w:fill="auto"/>
            <w:vAlign w:val="center"/>
          </w:tcPr>
          <w:p w:rsidR="00385835" w:rsidRPr="00385835" w:rsidRDefault="00385835" w:rsidP="00385835">
            <w:pPr>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Asmenų skaičius</w:t>
            </w:r>
          </w:p>
        </w:tc>
        <w:tc>
          <w:tcPr>
            <w:tcW w:w="992"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NewRoman" w:hAnsi="TimesNewRoman" w:cs="TimesNewRoman"/>
                <w:sz w:val="18"/>
                <w:szCs w:val="18"/>
                <w:lang w:eastAsia="lt-LT"/>
              </w:rPr>
            </w:pPr>
            <w:r w:rsidRPr="00385835">
              <w:rPr>
                <w:rFonts w:ascii="TimesNewRoman" w:hAnsi="TimesNewRoman" w:cs="TimesNewRoman"/>
                <w:sz w:val="18"/>
                <w:szCs w:val="18"/>
                <w:lang w:eastAsia="lt-LT"/>
              </w:rPr>
              <w:t>-</w:t>
            </w:r>
          </w:p>
        </w:tc>
        <w:tc>
          <w:tcPr>
            <w:tcW w:w="56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7</w:t>
            </w:r>
          </w:p>
        </w:tc>
        <w:tc>
          <w:tcPr>
            <w:tcW w:w="709"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Proc.</w:t>
            </w:r>
          </w:p>
        </w:tc>
        <w:tc>
          <w:tcPr>
            <w:tcW w:w="708"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2013</w:t>
            </w:r>
          </w:p>
        </w:tc>
        <w:tc>
          <w:tcPr>
            <w:tcW w:w="48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9</w:t>
            </w:r>
          </w:p>
        </w:tc>
        <w:tc>
          <w:tcPr>
            <w:tcW w:w="1073"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Tyrimas</w:t>
            </w:r>
          </w:p>
        </w:tc>
        <w:tc>
          <w:tcPr>
            <w:tcW w:w="758"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bl>
    <w:p w:rsidR="00385835" w:rsidRPr="00385835" w:rsidRDefault="00385835" w:rsidP="00385835">
      <w:pPr>
        <w:spacing w:after="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385835" w:rsidRPr="00385835" w:rsidTr="00385835">
        <w:tc>
          <w:tcPr>
            <w:tcW w:w="9746" w:type="dxa"/>
            <w:tcBorders>
              <w:top w:val="single" w:sz="4" w:space="0" w:color="auto"/>
              <w:left w:val="single" w:sz="4" w:space="0" w:color="auto"/>
              <w:bottom w:val="single" w:sz="4" w:space="0" w:color="auto"/>
              <w:right w:val="single" w:sz="4" w:space="0" w:color="auto"/>
            </w:tcBorders>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Cs/>
                <w:iCs/>
                <w:sz w:val="24"/>
                <w:szCs w:val="24"/>
                <w:lang w:eastAsia="lt-LT"/>
              </w:rPr>
            </w:pPr>
            <w:r w:rsidRPr="00385835">
              <w:rPr>
                <w:rFonts w:ascii="Times New Roman" w:eastAsia="AngsanaUPC" w:hAnsi="Times New Roman"/>
                <w:b/>
                <w:bCs/>
                <w:i/>
                <w:iCs/>
                <w:sz w:val="24"/>
                <w:szCs w:val="24"/>
                <w:lang w:eastAsia="lt-LT"/>
              </w:rPr>
              <w:t>7.4. Investicinio prioriteto įgyvendinimo veiklos</w:t>
            </w:r>
          </w:p>
        </w:tc>
      </w:tr>
      <w:tr w:rsidR="00385835" w:rsidRPr="00385835" w:rsidTr="00385835">
        <w:tc>
          <w:tcPr>
            <w:tcW w:w="9746" w:type="dxa"/>
            <w:shd w:val="clear" w:color="auto" w:fill="auto"/>
          </w:tcPr>
          <w:p w:rsidR="00385835" w:rsidRPr="00385835" w:rsidRDefault="00385835" w:rsidP="00650E41">
            <w:pPr>
              <w:widowControl w:val="0"/>
              <w:numPr>
                <w:ilvl w:val="0"/>
                <w:numId w:val="9"/>
              </w:numPr>
              <w:tabs>
                <w:tab w:val="left" w:pos="459"/>
                <w:tab w:val="left" w:pos="1665"/>
              </w:tabs>
              <w:spacing w:after="0" w:line="240" w:lineRule="auto"/>
              <w:ind w:left="34" w:firstLine="0"/>
              <w:jc w:val="both"/>
              <w:rPr>
                <w:rFonts w:ascii="Times New Roman" w:hAnsi="Times New Roman"/>
                <w:sz w:val="24"/>
                <w:szCs w:val="24"/>
              </w:rPr>
            </w:pPr>
            <w:r w:rsidRPr="00385835">
              <w:rPr>
                <w:rFonts w:ascii="Times New Roman" w:hAnsi="Times New Roman"/>
                <w:sz w:val="24"/>
                <w:szCs w:val="24"/>
              </w:rPr>
              <w:t xml:space="preserve">Remiamos veiklos, </w:t>
            </w:r>
            <w:r w:rsidR="00371B9D">
              <w:rPr>
                <w:rFonts w:ascii="Times New Roman" w:hAnsi="Times New Roman"/>
                <w:sz w:val="24"/>
                <w:szCs w:val="24"/>
              </w:rPr>
              <w:t xml:space="preserve">numatytos Jaunimo garantijų </w:t>
            </w:r>
            <w:r w:rsidR="00950414">
              <w:rPr>
                <w:rFonts w:ascii="Times New Roman" w:hAnsi="Times New Roman"/>
                <w:sz w:val="24"/>
                <w:szCs w:val="24"/>
              </w:rPr>
              <w:t xml:space="preserve">iniciatyvos </w:t>
            </w:r>
            <w:r w:rsidR="00371B9D">
              <w:rPr>
                <w:rFonts w:ascii="Times New Roman" w:hAnsi="Times New Roman"/>
                <w:sz w:val="24"/>
                <w:szCs w:val="24"/>
              </w:rPr>
              <w:t>įgyvendinimo plane</w:t>
            </w:r>
            <w:r w:rsidRPr="00385835">
              <w:rPr>
                <w:rFonts w:ascii="Times New Roman" w:hAnsi="Times New Roman"/>
                <w:sz w:val="24"/>
                <w:szCs w:val="24"/>
              </w:rPr>
              <w:t>. Siekiama, kad visi nedirbantys, nesimokantys ir mokymuose nedalyvaujantys jaunuoliai, baigę mokytis formaliojo švietimo sistemoje arba netekę darbo, per 4 mėn. po to, kai užsiregistravo darbo biržoje arba prisijungė prie jaunimo garantijų iniciatyvos, pradėtų dirbti, toliau mokytis arba atliktų praktiką ar stažuotę. Su kiekvienu dalyviu bus dirbama pagal individualų planą, sudarytą atsižvelgus į asmens poreikius ir statusą. Individualus planas apims visas galimas aktyvinimo ir integracijos į darbo rinką veiklas, kuriomis siekiama, kad jaunas asmuo dirbtų, mokytųsi, atliktų stažuotę ar dalyvautų mokyme per pameistrystę. Finansuojamos:</w:t>
            </w:r>
          </w:p>
          <w:p w:rsidR="00385835" w:rsidRPr="00385835" w:rsidRDefault="00385835" w:rsidP="00650E41">
            <w:pPr>
              <w:widowControl w:val="0"/>
              <w:numPr>
                <w:ilvl w:val="1"/>
                <w:numId w:val="9"/>
              </w:numPr>
              <w:tabs>
                <w:tab w:val="left" w:pos="459"/>
                <w:tab w:val="left" w:pos="1026"/>
              </w:tabs>
              <w:spacing w:after="0" w:line="240" w:lineRule="auto"/>
              <w:ind w:left="601" w:firstLine="0"/>
              <w:jc w:val="both"/>
              <w:rPr>
                <w:rFonts w:ascii="Times New Roman" w:hAnsi="Times New Roman"/>
                <w:sz w:val="24"/>
                <w:szCs w:val="24"/>
              </w:rPr>
            </w:pPr>
            <w:r w:rsidRPr="00385835">
              <w:rPr>
                <w:rFonts w:ascii="Times New Roman" w:hAnsi="Times New Roman"/>
                <w:sz w:val="24"/>
                <w:szCs w:val="24"/>
              </w:rPr>
              <w:t>ankstyvos intervencijos ir jaunimo aktyvinimo paslaugos: jaunimo informavimas ir konsultavimas dėl profesijos pasirinkimo, socialinė ir psichologinė reabilitacija, savanoriška veikla, mentorystė ir pan. veiklos;</w:t>
            </w:r>
          </w:p>
          <w:p w:rsidR="00385835" w:rsidRPr="00385835" w:rsidRDefault="00385835" w:rsidP="00650E41">
            <w:pPr>
              <w:widowControl w:val="0"/>
              <w:numPr>
                <w:ilvl w:val="1"/>
                <w:numId w:val="9"/>
              </w:numPr>
              <w:tabs>
                <w:tab w:val="left" w:pos="459"/>
                <w:tab w:val="left" w:pos="1026"/>
              </w:tabs>
              <w:spacing w:after="0" w:line="240" w:lineRule="auto"/>
              <w:ind w:left="601" w:firstLine="0"/>
              <w:jc w:val="both"/>
              <w:rPr>
                <w:rFonts w:ascii="Times New Roman" w:eastAsia="AngsanaUPC" w:hAnsi="Times New Roman"/>
                <w:bCs/>
                <w:iCs/>
                <w:sz w:val="24"/>
                <w:szCs w:val="24"/>
                <w:lang w:eastAsia="lt-LT"/>
              </w:rPr>
            </w:pPr>
            <w:r w:rsidRPr="00385835">
              <w:rPr>
                <w:rFonts w:ascii="Times New Roman" w:hAnsi="Times New Roman"/>
                <w:sz w:val="24"/>
                <w:szCs w:val="24"/>
              </w:rPr>
              <w:t>integraciją į dar</w:t>
            </w:r>
            <w:r w:rsidR="00E006C3">
              <w:rPr>
                <w:rFonts w:ascii="Times New Roman" w:hAnsi="Times New Roman"/>
                <w:sz w:val="24"/>
                <w:szCs w:val="24"/>
              </w:rPr>
              <w:t>bo rinką skatinančios priemonės:</w:t>
            </w:r>
            <w:r w:rsidRPr="00385835">
              <w:rPr>
                <w:rFonts w:ascii="Times New Roman" w:hAnsi="Times New Roman"/>
                <w:sz w:val="24"/>
                <w:szCs w:val="24"/>
              </w:rPr>
              <w:t xml:space="preserve"> formalus ir neformalus profesinis mokymas, įdarbinimas subsidijuojant, dalyvavimas mokyme per pameistrystę ir stažuotėse, kitos aktualios veiklos.</w:t>
            </w:r>
          </w:p>
        </w:tc>
      </w:tr>
    </w:tbl>
    <w:p w:rsidR="005A6B3E" w:rsidRPr="00385835" w:rsidRDefault="005A6B3E"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567"/>
        <w:gridCol w:w="3119"/>
        <w:gridCol w:w="992"/>
        <w:gridCol w:w="851"/>
        <w:gridCol w:w="976"/>
        <w:gridCol w:w="866"/>
        <w:gridCol w:w="1134"/>
        <w:gridCol w:w="1206"/>
        <w:gridCol w:w="35"/>
      </w:tblGrid>
      <w:tr w:rsidR="00371B9D" w:rsidRPr="005A6B3E" w:rsidTr="00900EB5">
        <w:trPr>
          <w:tblHeader/>
        </w:trPr>
        <w:tc>
          <w:tcPr>
            <w:tcW w:w="9746" w:type="dxa"/>
            <w:gridSpan w:val="9"/>
            <w:tcBorders>
              <w:top w:val="single" w:sz="4" w:space="0" w:color="auto"/>
              <w:left w:val="single" w:sz="4" w:space="0" w:color="auto"/>
              <w:bottom w:val="single" w:sz="4" w:space="0" w:color="auto"/>
              <w:right w:val="single" w:sz="4" w:space="0" w:color="auto"/>
            </w:tcBorders>
            <w:shd w:val="clear" w:color="auto" w:fill="EEECE1"/>
          </w:tcPr>
          <w:p w:rsidR="00371B9D" w:rsidRPr="005A6B3E" w:rsidRDefault="00371B9D" w:rsidP="00B1109C">
            <w:pPr>
              <w:widowControl w:val="0"/>
              <w:tabs>
                <w:tab w:val="left" w:pos="622"/>
              </w:tabs>
              <w:spacing w:after="0" w:line="240" w:lineRule="auto"/>
              <w:jc w:val="both"/>
              <w:rPr>
                <w:rFonts w:ascii="Times New Roman" w:hAnsi="Times New Roman"/>
                <w:b/>
                <w:sz w:val="24"/>
                <w:szCs w:val="24"/>
              </w:rPr>
            </w:pPr>
            <w:r w:rsidRPr="005A6B3E">
              <w:rPr>
                <w:rFonts w:ascii="Times New Roman" w:hAnsi="Times New Roman"/>
                <w:b/>
                <w:i/>
                <w:sz w:val="24"/>
                <w:szCs w:val="24"/>
              </w:rPr>
              <w:t>JUI ir ESF</w:t>
            </w:r>
            <w:r w:rsidRPr="005A6B3E">
              <w:rPr>
                <w:rFonts w:ascii="Times New Roman" w:hAnsi="Times New Roman"/>
                <w:b/>
                <w:sz w:val="24"/>
                <w:szCs w:val="24"/>
              </w:rPr>
              <w:t xml:space="preserve"> </w:t>
            </w:r>
            <w:r w:rsidRPr="005A6B3E">
              <w:rPr>
                <w:rFonts w:ascii="Times New Roman" w:eastAsia="AngsanaUPC" w:hAnsi="Times New Roman"/>
                <w:b/>
                <w:bCs/>
                <w:i/>
                <w:iCs/>
                <w:sz w:val="24"/>
                <w:szCs w:val="24"/>
                <w:lang w:eastAsia="lt-LT"/>
              </w:rPr>
              <w:t xml:space="preserve">bendrieji ir </w:t>
            </w:r>
            <w:r w:rsidR="00B1109C" w:rsidRPr="005A6B3E">
              <w:rPr>
                <w:rFonts w:ascii="Times New Roman" w:eastAsia="AngsanaUPC" w:hAnsi="Times New Roman"/>
                <w:b/>
                <w:bCs/>
                <w:i/>
                <w:iCs/>
                <w:sz w:val="24"/>
                <w:szCs w:val="24"/>
                <w:lang w:eastAsia="lt-LT"/>
              </w:rPr>
              <w:t xml:space="preserve">specialieji </w:t>
            </w:r>
            <w:r w:rsidRPr="005A6B3E">
              <w:rPr>
                <w:rFonts w:ascii="Times New Roman" w:eastAsia="AngsanaUPC" w:hAnsi="Times New Roman"/>
                <w:b/>
                <w:bCs/>
                <w:i/>
                <w:iCs/>
                <w:sz w:val="24"/>
                <w:szCs w:val="24"/>
                <w:lang w:eastAsia="lt-LT"/>
              </w:rPr>
              <w:t>programos produkto rodikliai</w:t>
            </w:r>
          </w:p>
        </w:tc>
      </w:tr>
      <w:tr w:rsidR="00371B9D" w:rsidRPr="005A6B3E" w:rsidTr="00900EB5">
        <w:tblPrEx>
          <w:shd w:val="clear" w:color="auto" w:fill="auto"/>
        </w:tblPrEx>
        <w:trPr>
          <w:gridAfter w:val="1"/>
          <w:wAfter w:w="35" w:type="dxa"/>
          <w:cantSplit/>
          <w:trHeight w:val="1134"/>
          <w:tblHeader/>
        </w:trPr>
        <w:tc>
          <w:tcPr>
            <w:tcW w:w="567" w:type="dxa"/>
            <w:shd w:val="clear" w:color="auto" w:fill="EEECE1"/>
            <w:vAlign w:val="center"/>
          </w:tcPr>
          <w:p w:rsidR="00371B9D" w:rsidRPr="005A6B3E" w:rsidRDefault="00371B9D" w:rsidP="00371B9D">
            <w:pPr>
              <w:widowControl w:val="0"/>
              <w:tabs>
                <w:tab w:val="left" w:pos="622"/>
              </w:tabs>
              <w:spacing w:after="0" w:line="240" w:lineRule="auto"/>
              <w:jc w:val="center"/>
              <w:rPr>
                <w:rFonts w:ascii="Times New Roman" w:eastAsia="AngsanaUPC" w:hAnsi="Times New Roman"/>
                <w:b/>
                <w:bCs/>
                <w:iCs/>
                <w:sz w:val="16"/>
                <w:szCs w:val="16"/>
                <w:lang w:eastAsia="lt-LT"/>
              </w:rPr>
            </w:pPr>
            <w:r w:rsidRPr="005A6B3E">
              <w:rPr>
                <w:rFonts w:ascii="Times New Roman" w:eastAsia="AngsanaUPC" w:hAnsi="Times New Roman"/>
                <w:b/>
                <w:bCs/>
                <w:iCs/>
                <w:sz w:val="16"/>
                <w:szCs w:val="16"/>
                <w:lang w:eastAsia="lt-LT"/>
              </w:rPr>
              <w:t>Nr.</w:t>
            </w:r>
          </w:p>
        </w:tc>
        <w:tc>
          <w:tcPr>
            <w:tcW w:w="3119" w:type="dxa"/>
            <w:shd w:val="clear" w:color="auto" w:fill="EEECE1"/>
            <w:vAlign w:val="center"/>
          </w:tcPr>
          <w:p w:rsidR="00371B9D" w:rsidRPr="005A6B3E" w:rsidRDefault="00371B9D" w:rsidP="00371B9D">
            <w:pPr>
              <w:widowControl w:val="0"/>
              <w:tabs>
                <w:tab w:val="left" w:pos="622"/>
              </w:tabs>
              <w:spacing w:after="0" w:line="240" w:lineRule="auto"/>
              <w:jc w:val="center"/>
              <w:rPr>
                <w:rFonts w:ascii="Times New Roman" w:eastAsia="AngsanaUPC" w:hAnsi="Times New Roman"/>
                <w:b/>
                <w:bCs/>
                <w:iCs/>
                <w:sz w:val="16"/>
                <w:szCs w:val="16"/>
                <w:lang w:eastAsia="lt-LT"/>
              </w:rPr>
            </w:pPr>
            <w:r w:rsidRPr="005A6B3E">
              <w:rPr>
                <w:rFonts w:ascii="Times New Roman" w:eastAsia="AngsanaUPC" w:hAnsi="Times New Roman"/>
                <w:b/>
                <w:bCs/>
                <w:iCs/>
                <w:sz w:val="16"/>
                <w:szCs w:val="16"/>
                <w:lang w:eastAsia="lt-LT"/>
              </w:rPr>
              <w:t>Rodiklio pavadinimas</w:t>
            </w:r>
          </w:p>
        </w:tc>
        <w:tc>
          <w:tcPr>
            <w:tcW w:w="992" w:type="dxa"/>
            <w:shd w:val="clear" w:color="auto" w:fill="EEECE1"/>
            <w:vAlign w:val="center"/>
          </w:tcPr>
          <w:p w:rsidR="00371B9D" w:rsidRPr="005A6B3E" w:rsidRDefault="00371B9D" w:rsidP="00371B9D">
            <w:pPr>
              <w:widowControl w:val="0"/>
              <w:tabs>
                <w:tab w:val="left" w:pos="622"/>
              </w:tabs>
              <w:spacing w:after="0" w:line="240" w:lineRule="auto"/>
              <w:jc w:val="center"/>
              <w:rPr>
                <w:rFonts w:ascii="Times New Roman" w:eastAsia="AngsanaUPC" w:hAnsi="Times New Roman"/>
                <w:b/>
                <w:bCs/>
                <w:iCs/>
                <w:sz w:val="16"/>
                <w:szCs w:val="16"/>
                <w:lang w:eastAsia="lt-LT"/>
              </w:rPr>
            </w:pPr>
            <w:r w:rsidRPr="005A6B3E">
              <w:rPr>
                <w:rFonts w:ascii="Times New Roman" w:eastAsia="AngsanaUPC" w:hAnsi="Times New Roman"/>
                <w:b/>
                <w:bCs/>
                <w:iCs/>
                <w:sz w:val="16"/>
                <w:szCs w:val="16"/>
                <w:lang w:eastAsia="lt-LT"/>
              </w:rPr>
              <w:t>Matavimo vienetas</w:t>
            </w:r>
          </w:p>
        </w:tc>
        <w:tc>
          <w:tcPr>
            <w:tcW w:w="851" w:type="dxa"/>
            <w:shd w:val="clear" w:color="auto" w:fill="EEECE1"/>
            <w:vAlign w:val="center"/>
          </w:tcPr>
          <w:p w:rsidR="00371B9D" w:rsidRPr="005A6B3E" w:rsidRDefault="00371B9D" w:rsidP="00371B9D">
            <w:pPr>
              <w:widowControl w:val="0"/>
              <w:tabs>
                <w:tab w:val="left" w:pos="622"/>
              </w:tabs>
              <w:spacing w:after="0" w:line="240" w:lineRule="auto"/>
              <w:jc w:val="center"/>
              <w:rPr>
                <w:rFonts w:ascii="Times New Roman" w:eastAsia="AngsanaUPC" w:hAnsi="Times New Roman"/>
                <w:b/>
                <w:bCs/>
                <w:iCs/>
                <w:sz w:val="16"/>
                <w:szCs w:val="16"/>
                <w:lang w:eastAsia="lt-LT"/>
              </w:rPr>
            </w:pPr>
            <w:r w:rsidRPr="005A6B3E">
              <w:rPr>
                <w:rFonts w:ascii="Times New Roman" w:eastAsia="AngsanaUPC" w:hAnsi="Times New Roman"/>
                <w:b/>
                <w:bCs/>
                <w:iCs/>
                <w:sz w:val="16"/>
                <w:szCs w:val="16"/>
                <w:lang w:eastAsia="lt-LT"/>
              </w:rPr>
              <w:t>Fondas</w:t>
            </w:r>
          </w:p>
        </w:tc>
        <w:tc>
          <w:tcPr>
            <w:tcW w:w="976" w:type="dxa"/>
            <w:shd w:val="clear" w:color="auto" w:fill="EEECE1"/>
            <w:vAlign w:val="center"/>
          </w:tcPr>
          <w:p w:rsidR="00371B9D" w:rsidRPr="005A6B3E" w:rsidRDefault="00371B9D" w:rsidP="00371B9D">
            <w:pPr>
              <w:widowControl w:val="0"/>
              <w:tabs>
                <w:tab w:val="left" w:pos="622"/>
              </w:tabs>
              <w:spacing w:after="0" w:line="240" w:lineRule="auto"/>
              <w:jc w:val="center"/>
              <w:rPr>
                <w:rFonts w:ascii="Times New Roman" w:eastAsia="AngsanaUPC" w:hAnsi="Times New Roman"/>
                <w:b/>
                <w:bCs/>
                <w:iCs/>
                <w:sz w:val="16"/>
                <w:szCs w:val="16"/>
                <w:lang w:eastAsia="lt-LT"/>
              </w:rPr>
            </w:pPr>
            <w:r w:rsidRPr="005A6B3E">
              <w:rPr>
                <w:rFonts w:ascii="Times New Roman" w:eastAsia="AngsanaUPC" w:hAnsi="Times New Roman"/>
                <w:b/>
                <w:bCs/>
                <w:iCs/>
                <w:sz w:val="16"/>
                <w:szCs w:val="16"/>
                <w:lang w:eastAsia="lt-LT"/>
              </w:rPr>
              <w:t>Regiono kategorija</w:t>
            </w:r>
          </w:p>
        </w:tc>
        <w:tc>
          <w:tcPr>
            <w:tcW w:w="866" w:type="dxa"/>
            <w:shd w:val="clear" w:color="auto" w:fill="EEECE1"/>
            <w:vAlign w:val="center"/>
          </w:tcPr>
          <w:p w:rsidR="00371B9D" w:rsidRPr="005A6B3E" w:rsidRDefault="00371B9D" w:rsidP="00371B9D">
            <w:pPr>
              <w:widowControl w:val="0"/>
              <w:tabs>
                <w:tab w:val="left" w:pos="622"/>
              </w:tabs>
              <w:spacing w:after="0" w:line="240" w:lineRule="auto"/>
              <w:jc w:val="center"/>
              <w:rPr>
                <w:rFonts w:ascii="Times New Roman" w:eastAsia="AngsanaUPC" w:hAnsi="Times New Roman"/>
                <w:b/>
                <w:bCs/>
                <w:iCs/>
                <w:sz w:val="16"/>
                <w:szCs w:val="16"/>
                <w:lang w:eastAsia="lt-LT"/>
              </w:rPr>
            </w:pPr>
            <w:r w:rsidRPr="005A6B3E">
              <w:rPr>
                <w:rFonts w:ascii="Times New Roman" w:eastAsia="AngsanaUPC" w:hAnsi="Times New Roman"/>
                <w:b/>
                <w:bCs/>
                <w:iCs/>
                <w:sz w:val="16"/>
                <w:szCs w:val="16"/>
                <w:lang w:eastAsia="lt-LT"/>
              </w:rPr>
              <w:t>Siektina reikšmė (2023)</w:t>
            </w:r>
          </w:p>
        </w:tc>
        <w:tc>
          <w:tcPr>
            <w:tcW w:w="1134" w:type="dxa"/>
            <w:shd w:val="clear" w:color="auto" w:fill="EEECE1"/>
            <w:vAlign w:val="center"/>
          </w:tcPr>
          <w:p w:rsidR="00371B9D" w:rsidRPr="005A6B3E" w:rsidRDefault="00371B9D" w:rsidP="00371B9D">
            <w:pPr>
              <w:widowControl w:val="0"/>
              <w:tabs>
                <w:tab w:val="left" w:pos="622"/>
              </w:tabs>
              <w:spacing w:after="0" w:line="240" w:lineRule="auto"/>
              <w:jc w:val="center"/>
              <w:rPr>
                <w:rFonts w:ascii="Times New Roman" w:eastAsia="AngsanaUPC" w:hAnsi="Times New Roman"/>
                <w:b/>
                <w:bCs/>
                <w:iCs/>
                <w:sz w:val="16"/>
                <w:szCs w:val="16"/>
                <w:lang w:eastAsia="lt-LT"/>
              </w:rPr>
            </w:pPr>
            <w:r w:rsidRPr="005A6B3E">
              <w:rPr>
                <w:rFonts w:ascii="Times New Roman" w:eastAsia="AngsanaUPC" w:hAnsi="Times New Roman"/>
                <w:b/>
                <w:bCs/>
                <w:iCs/>
                <w:sz w:val="16"/>
                <w:szCs w:val="16"/>
                <w:lang w:eastAsia="lt-LT"/>
              </w:rPr>
              <w:t>Duomenų šaltinis</w:t>
            </w:r>
          </w:p>
        </w:tc>
        <w:tc>
          <w:tcPr>
            <w:tcW w:w="1206" w:type="dxa"/>
            <w:shd w:val="clear" w:color="auto" w:fill="EEECE1"/>
            <w:vAlign w:val="center"/>
          </w:tcPr>
          <w:p w:rsidR="00371B9D" w:rsidRPr="005A6B3E" w:rsidRDefault="00371B9D" w:rsidP="00371B9D">
            <w:pPr>
              <w:widowControl w:val="0"/>
              <w:tabs>
                <w:tab w:val="left" w:pos="622"/>
              </w:tabs>
              <w:spacing w:after="0" w:line="240" w:lineRule="auto"/>
              <w:jc w:val="center"/>
              <w:rPr>
                <w:rFonts w:ascii="Times New Roman" w:eastAsia="AngsanaUPC" w:hAnsi="Times New Roman"/>
                <w:b/>
                <w:bCs/>
                <w:iCs/>
                <w:sz w:val="16"/>
                <w:szCs w:val="16"/>
                <w:lang w:eastAsia="lt-LT"/>
              </w:rPr>
            </w:pPr>
            <w:r w:rsidRPr="005A6B3E">
              <w:rPr>
                <w:rFonts w:ascii="Times New Roman" w:eastAsia="AngsanaUPC" w:hAnsi="Times New Roman"/>
                <w:b/>
                <w:bCs/>
                <w:iCs/>
                <w:sz w:val="16"/>
                <w:szCs w:val="16"/>
                <w:lang w:eastAsia="lt-LT"/>
              </w:rPr>
              <w:t>Atsiskaitymo dažnumas</w:t>
            </w:r>
          </w:p>
        </w:tc>
      </w:tr>
      <w:tr w:rsidR="00371B9D" w:rsidRPr="005A6B3E" w:rsidTr="00A35B3A">
        <w:tblPrEx>
          <w:shd w:val="clear" w:color="auto" w:fill="auto"/>
        </w:tblPrEx>
        <w:trPr>
          <w:gridAfter w:val="1"/>
          <w:wAfter w:w="35" w:type="dxa"/>
        </w:trPr>
        <w:tc>
          <w:tcPr>
            <w:tcW w:w="567" w:type="dxa"/>
            <w:shd w:val="clear" w:color="auto" w:fill="auto"/>
            <w:vAlign w:val="center"/>
          </w:tcPr>
          <w:p w:rsidR="00371B9D" w:rsidRPr="005A6B3E" w:rsidRDefault="00371B9D" w:rsidP="00371B9D">
            <w:pPr>
              <w:widowControl w:val="0"/>
              <w:tabs>
                <w:tab w:val="left" w:pos="622"/>
              </w:tabs>
              <w:spacing w:after="0" w:line="240" w:lineRule="auto"/>
              <w:jc w:val="center"/>
              <w:rPr>
                <w:rFonts w:ascii="Times New Roman" w:eastAsia="AngsanaUPC" w:hAnsi="Times New Roman"/>
                <w:bCs/>
                <w:iCs/>
                <w:sz w:val="18"/>
                <w:szCs w:val="18"/>
                <w:lang w:eastAsia="lt-LT"/>
              </w:rPr>
            </w:pPr>
            <w:r w:rsidRPr="005A6B3E">
              <w:rPr>
                <w:rFonts w:ascii="Times New Roman" w:eastAsia="AngsanaUPC" w:hAnsi="Times New Roman"/>
                <w:bCs/>
                <w:iCs/>
                <w:sz w:val="18"/>
                <w:szCs w:val="18"/>
                <w:lang w:eastAsia="lt-LT"/>
              </w:rPr>
              <w:t>1.</w:t>
            </w:r>
          </w:p>
        </w:tc>
        <w:tc>
          <w:tcPr>
            <w:tcW w:w="3119" w:type="dxa"/>
            <w:shd w:val="clear" w:color="auto" w:fill="auto"/>
            <w:vAlign w:val="center"/>
          </w:tcPr>
          <w:p w:rsidR="00371B9D" w:rsidRPr="005A6B3E" w:rsidRDefault="00E006C3" w:rsidP="00371B9D">
            <w:pPr>
              <w:spacing w:after="0" w:line="240" w:lineRule="auto"/>
              <w:rPr>
                <w:rFonts w:ascii="Times New Roman" w:hAnsi="Times New Roman"/>
                <w:sz w:val="18"/>
                <w:szCs w:val="18"/>
                <w:lang w:eastAsia="lt-LT"/>
              </w:rPr>
            </w:pPr>
            <w:r>
              <w:rPr>
                <w:rFonts w:ascii="Times New Roman" w:hAnsi="Times New Roman"/>
                <w:sz w:val="18"/>
                <w:szCs w:val="18"/>
                <w:lang w:eastAsia="lt-LT"/>
              </w:rPr>
              <w:t>15–</w:t>
            </w:r>
            <w:r w:rsidR="00371B9D" w:rsidRPr="005A6B3E">
              <w:rPr>
                <w:rFonts w:ascii="Times New Roman" w:hAnsi="Times New Roman"/>
                <w:sz w:val="18"/>
                <w:szCs w:val="18"/>
                <w:lang w:eastAsia="lt-LT"/>
              </w:rPr>
              <w:t>29 metų nedirbantys, nesimokantys ir mokymuose nedalyvaujantys asmenys, dalyvavę JUI remiamoje intervencijoje</w:t>
            </w:r>
          </w:p>
        </w:tc>
        <w:tc>
          <w:tcPr>
            <w:tcW w:w="992" w:type="dxa"/>
            <w:shd w:val="clear" w:color="auto" w:fill="auto"/>
            <w:vAlign w:val="center"/>
          </w:tcPr>
          <w:p w:rsidR="00371B9D" w:rsidRPr="005A6B3E" w:rsidRDefault="00371B9D" w:rsidP="00371B9D">
            <w:pPr>
              <w:widowControl w:val="0"/>
              <w:tabs>
                <w:tab w:val="left" w:pos="622"/>
              </w:tabs>
              <w:spacing w:after="0" w:line="240" w:lineRule="auto"/>
              <w:jc w:val="center"/>
              <w:rPr>
                <w:rFonts w:ascii="Times New Roman" w:eastAsia="AngsanaUPC" w:hAnsi="Times New Roman"/>
                <w:bCs/>
                <w:iCs/>
                <w:sz w:val="18"/>
                <w:szCs w:val="18"/>
                <w:lang w:eastAsia="lt-LT"/>
              </w:rPr>
            </w:pPr>
            <w:r w:rsidRPr="005A6B3E">
              <w:rPr>
                <w:rFonts w:ascii="Times New Roman" w:eastAsia="AngsanaUPC" w:hAnsi="Times New Roman"/>
                <w:bCs/>
                <w:iCs/>
                <w:sz w:val="18"/>
                <w:szCs w:val="18"/>
                <w:lang w:eastAsia="lt-LT"/>
              </w:rPr>
              <w:t>Skaičius</w:t>
            </w:r>
          </w:p>
        </w:tc>
        <w:tc>
          <w:tcPr>
            <w:tcW w:w="851" w:type="dxa"/>
            <w:shd w:val="clear" w:color="auto" w:fill="auto"/>
            <w:vAlign w:val="center"/>
          </w:tcPr>
          <w:p w:rsidR="00371B9D" w:rsidRPr="005A6B3E" w:rsidRDefault="00371B9D" w:rsidP="00371B9D">
            <w:pPr>
              <w:widowControl w:val="0"/>
              <w:tabs>
                <w:tab w:val="left" w:pos="622"/>
              </w:tabs>
              <w:spacing w:after="0" w:line="240" w:lineRule="auto"/>
              <w:jc w:val="center"/>
              <w:rPr>
                <w:rFonts w:ascii="Times New Roman" w:eastAsia="AngsanaUPC" w:hAnsi="Times New Roman"/>
                <w:bCs/>
                <w:iCs/>
                <w:sz w:val="18"/>
                <w:szCs w:val="18"/>
                <w:lang w:eastAsia="lt-LT"/>
              </w:rPr>
            </w:pPr>
            <w:r w:rsidRPr="005A6B3E">
              <w:rPr>
                <w:rFonts w:ascii="Times New Roman" w:eastAsia="AngsanaUPC" w:hAnsi="Times New Roman"/>
                <w:bCs/>
                <w:iCs/>
                <w:sz w:val="18"/>
                <w:szCs w:val="18"/>
                <w:lang w:eastAsia="lt-LT"/>
              </w:rPr>
              <w:t>JUI</w:t>
            </w:r>
          </w:p>
        </w:tc>
        <w:tc>
          <w:tcPr>
            <w:tcW w:w="976" w:type="dxa"/>
            <w:shd w:val="clear" w:color="auto" w:fill="auto"/>
            <w:vAlign w:val="center"/>
          </w:tcPr>
          <w:p w:rsidR="00371B9D" w:rsidRPr="005A6B3E" w:rsidRDefault="00371B9D" w:rsidP="00371B9D">
            <w:pPr>
              <w:widowControl w:val="0"/>
              <w:tabs>
                <w:tab w:val="left" w:pos="622"/>
              </w:tabs>
              <w:spacing w:after="0" w:line="240" w:lineRule="auto"/>
              <w:jc w:val="center"/>
              <w:rPr>
                <w:rFonts w:ascii="Times New Roman" w:eastAsia="AngsanaUPC" w:hAnsi="Times New Roman"/>
                <w:bCs/>
                <w:iCs/>
                <w:sz w:val="18"/>
                <w:szCs w:val="18"/>
                <w:lang w:eastAsia="lt-LT"/>
              </w:rPr>
            </w:pPr>
            <w:r w:rsidRPr="005A6B3E">
              <w:rPr>
                <w:rFonts w:ascii="Times New Roman" w:eastAsia="AngsanaUPC" w:hAnsi="Times New Roman"/>
                <w:bCs/>
                <w:iCs/>
                <w:sz w:val="18"/>
                <w:szCs w:val="18"/>
                <w:lang w:eastAsia="lt-LT"/>
              </w:rPr>
              <w:t>Mažiau išsivystęs</w:t>
            </w:r>
          </w:p>
        </w:tc>
        <w:tc>
          <w:tcPr>
            <w:tcW w:w="866" w:type="dxa"/>
            <w:shd w:val="clear" w:color="auto" w:fill="auto"/>
            <w:vAlign w:val="center"/>
          </w:tcPr>
          <w:p w:rsidR="00371B9D" w:rsidRPr="005A6B3E" w:rsidRDefault="00371B9D" w:rsidP="009348A3">
            <w:pPr>
              <w:widowControl w:val="0"/>
              <w:tabs>
                <w:tab w:val="left" w:pos="622"/>
              </w:tabs>
              <w:spacing w:after="0" w:line="240" w:lineRule="auto"/>
              <w:jc w:val="center"/>
              <w:rPr>
                <w:rFonts w:ascii="Times New Roman" w:eastAsia="AngsanaUPC" w:hAnsi="Times New Roman"/>
                <w:bCs/>
                <w:iCs/>
                <w:sz w:val="18"/>
                <w:szCs w:val="18"/>
                <w:lang w:eastAsia="lt-LT"/>
              </w:rPr>
            </w:pPr>
            <w:r w:rsidRPr="005A6B3E">
              <w:rPr>
                <w:rFonts w:ascii="Times New Roman" w:eastAsia="AngsanaUPC" w:hAnsi="Times New Roman"/>
                <w:bCs/>
                <w:iCs/>
                <w:sz w:val="18"/>
                <w:szCs w:val="18"/>
                <w:lang w:eastAsia="lt-LT"/>
              </w:rPr>
              <w:t>35</w:t>
            </w:r>
            <w:r w:rsidR="009348A3">
              <w:rPr>
                <w:rFonts w:ascii="Times New Roman" w:eastAsia="AngsanaUPC" w:hAnsi="Times New Roman"/>
                <w:bCs/>
                <w:iCs/>
                <w:sz w:val="18"/>
                <w:szCs w:val="18"/>
                <w:lang w:eastAsia="lt-LT"/>
              </w:rPr>
              <w:t>.</w:t>
            </w:r>
            <w:r w:rsidRPr="005A6B3E">
              <w:rPr>
                <w:rFonts w:ascii="Times New Roman" w:eastAsia="AngsanaUPC" w:hAnsi="Times New Roman"/>
                <w:bCs/>
                <w:iCs/>
                <w:sz w:val="18"/>
                <w:szCs w:val="18"/>
                <w:lang w:eastAsia="lt-LT"/>
              </w:rPr>
              <w:t>000</w:t>
            </w:r>
          </w:p>
        </w:tc>
        <w:tc>
          <w:tcPr>
            <w:tcW w:w="1134" w:type="dxa"/>
            <w:shd w:val="clear" w:color="auto" w:fill="auto"/>
            <w:vAlign w:val="center"/>
          </w:tcPr>
          <w:p w:rsidR="00371B9D" w:rsidRPr="005A6B3E" w:rsidRDefault="00371B9D" w:rsidP="00371B9D">
            <w:pPr>
              <w:widowControl w:val="0"/>
              <w:tabs>
                <w:tab w:val="left" w:pos="622"/>
              </w:tabs>
              <w:spacing w:after="0" w:line="240" w:lineRule="auto"/>
              <w:jc w:val="center"/>
              <w:rPr>
                <w:rFonts w:ascii="Times New Roman" w:eastAsia="AngsanaUPC" w:hAnsi="Times New Roman"/>
                <w:b/>
                <w:bCs/>
                <w:iCs/>
                <w:sz w:val="18"/>
                <w:szCs w:val="18"/>
                <w:lang w:eastAsia="lt-LT"/>
              </w:rPr>
            </w:pPr>
            <w:r w:rsidRPr="005A6B3E">
              <w:rPr>
                <w:rFonts w:ascii="Times New Roman" w:hAnsi="Times New Roman"/>
                <w:sz w:val="18"/>
                <w:szCs w:val="18"/>
              </w:rPr>
              <w:t>Duomenys iš projektų</w:t>
            </w:r>
          </w:p>
        </w:tc>
        <w:tc>
          <w:tcPr>
            <w:tcW w:w="1206" w:type="dxa"/>
            <w:shd w:val="clear" w:color="auto" w:fill="auto"/>
            <w:vAlign w:val="center"/>
          </w:tcPr>
          <w:p w:rsidR="00371B9D" w:rsidRPr="005A6B3E" w:rsidRDefault="00371B9D" w:rsidP="00371B9D">
            <w:pPr>
              <w:widowControl w:val="0"/>
              <w:tabs>
                <w:tab w:val="left" w:pos="622"/>
              </w:tabs>
              <w:spacing w:after="0" w:line="240" w:lineRule="auto"/>
              <w:jc w:val="center"/>
              <w:rPr>
                <w:rFonts w:ascii="Times New Roman" w:eastAsia="AngsanaUPC" w:hAnsi="Times New Roman"/>
                <w:bCs/>
                <w:iCs/>
                <w:sz w:val="18"/>
                <w:szCs w:val="18"/>
                <w:lang w:eastAsia="lt-LT"/>
              </w:rPr>
            </w:pPr>
            <w:r w:rsidRPr="005A6B3E">
              <w:rPr>
                <w:rFonts w:ascii="Times New Roman" w:eastAsia="AngsanaUPC" w:hAnsi="Times New Roman"/>
                <w:bCs/>
                <w:iCs/>
                <w:sz w:val="18"/>
                <w:szCs w:val="18"/>
                <w:lang w:eastAsia="lt-LT"/>
              </w:rPr>
              <w:t>Kartą per metus</w:t>
            </w:r>
          </w:p>
        </w:tc>
      </w:tr>
      <w:tr w:rsidR="00371B9D" w:rsidRPr="005A6B3E" w:rsidTr="00A35B3A">
        <w:tblPrEx>
          <w:shd w:val="clear" w:color="auto" w:fill="auto"/>
        </w:tblPrEx>
        <w:trPr>
          <w:gridAfter w:val="1"/>
          <w:wAfter w:w="35" w:type="dxa"/>
        </w:trPr>
        <w:tc>
          <w:tcPr>
            <w:tcW w:w="567" w:type="dxa"/>
            <w:shd w:val="clear" w:color="auto" w:fill="auto"/>
            <w:vAlign w:val="center"/>
          </w:tcPr>
          <w:p w:rsidR="00371B9D" w:rsidRPr="005A6B3E" w:rsidRDefault="00371B9D" w:rsidP="00371B9D">
            <w:pPr>
              <w:widowControl w:val="0"/>
              <w:tabs>
                <w:tab w:val="left" w:pos="622"/>
              </w:tabs>
              <w:spacing w:after="0" w:line="240" w:lineRule="auto"/>
              <w:jc w:val="center"/>
              <w:rPr>
                <w:rFonts w:ascii="Times New Roman" w:eastAsia="AngsanaUPC" w:hAnsi="Times New Roman"/>
                <w:bCs/>
                <w:iCs/>
                <w:sz w:val="18"/>
                <w:szCs w:val="18"/>
                <w:lang w:eastAsia="lt-LT"/>
              </w:rPr>
            </w:pPr>
            <w:r w:rsidRPr="005A6B3E">
              <w:rPr>
                <w:rFonts w:ascii="Times New Roman" w:eastAsia="AngsanaUPC" w:hAnsi="Times New Roman"/>
                <w:bCs/>
                <w:iCs/>
                <w:sz w:val="18"/>
                <w:szCs w:val="18"/>
                <w:lang w:eastAsia="lt-LT"/>
              </w:rPr>
              <w:t>2.</w:t>
            </w:r>
          </w:p>
        </w:tc>
        <w:tc>
          <w:tcPr>
            <w:tcW w:w="3119" w:type="dxa"/>
            <w:shd w:val="clear" w:color="auto" w:fill="auto"/>
            <w:vAlign w:val="center"/>
          </w:tcPr>
          <w:p w:rsidR="00371B9D" w:rsidRPr="005A6B3E" w:rsidRDefault="00371B9D" w:rsidP="00371B9D">
            <w:pPr>
              <w:spacing w:after="0" w:line="240" w:lineRule="auto"/>
              <w:rPr>
                <w:rFonts w:ascii="Times New Roman" w:hAnsi="Times New Roman"/>
                <w:sz w:val="18"/>
                <w:szCs w:val="18"/>
                <w:lang w:eastAsia="lt-LT"/>
              </w:rPr>
            </w:pPr>
            <w:r w:rsidRPr="005A6B3E">
              <w:rPr>
                <w:rFonts w:ascii="Times New Roman" w:hAnsi="Times New Roman"/>
                <w:sz w:val="18"/>
                <w:szCs w:val="18"/>
                <w:lang w:eastAsia="lt-LT"/>
              </w:rPr>
              <w:t>15</w:t>
            </w:r>
            <w:r w:rsidR="00E006C3">
              <w:rPr>
                <w:rFonts w:ascii="Times New Roman" w:hAnsi="Times New Roman"/>
                <w:sz w:val="18"/>
                <w:szCs w:val="18"/>
                <w:lang w:eastAsia="lt-LT"/>
              </w:rPr>
              <w:t>–</w:t>
            </w:r>
            <w:r w:rsidRPr="005A6B3E">
              <w:rPr>
                <w:rFonts w:ascii="Times New Roman" w:hAnsi="Times New Roman"/>
                <w:sz w:val="18"/>
                <w:szCs w:val="18"/>
                <w:lang w:eastAsia="lt-LT"/>
              </w:rPr>
              <w:t>29 metų nedirbantys, nesimokantys ir mokymuose nedalyvaujantys asmenys, dalyvavę JUI remiamoje intervencijoje</w:t>
            </w:r>
          </w:p>
        </w:tc>
        <w:tc>
          <w:tcPr>
            <w:tcW w:w="992" w:type="dxa"/>
            <w:shd w:val="clear" w:color="auto" w:fill="auto"/>
            <w:vAlign w:val="center"/>
          </w:tcPr>
          <w:p w:rsidR="00371B9D" w:rsidRPr="005A6B3E" w:rsidRDefault="00371B9D" w:rsidP="00371B9D">
            <w:pPr>
              <w:widowControl w:val="0"/>
              <w:tabs>
                <w:tab w:val="left" w:pos="622"/>
              </w:tabs>
              <w:spacing w:after="0" w:line="240" w:lineRule="auto"/>
              <w:jc w:val="center"/>
              <w:rPr>
                <w:rFonts w:ascii="Times New Roman" w:eastAsia="AngsanaUPC" w:hAnsi="Times New Roman"/>
                <w:bCs/>
                <w:iCs/>
                <w:sz w:val="18"/>
                <w:szCs w:val="18"/>
                <w:lang w:eastAsia="lt-LT"/>
              </w:rPr>
            </w:pPr>
            <w:r w:rsidRPr="005A6B3E">
              <w:rPr>
                <w:rFonts w:ascii="Times New Roman" w:eastAsia="AngsanaUPC" w:hAnsi="Times New Roman"/>
                <w:bCs/>
                <w:iCs/>
                <w:sz w:val="18"/>
                <w:szCs w:val="18"/>
                <w:lang w:eastAsia="lt-LT"/>
              </w:rPr>
              <w:t>Skaičius</w:t>
            </w:r>
          </w:p>
        </w:tc>
        <w:tc>
          <w:tcPr>
            <w:tcW w:w="851" w:type="dxa"/>
            <w:shd w:val="clear" w:color="auto" w:fill="auto"/>
            <w:vAlign w:val="center"/>
          </w:tcPr>
          <w:p w:rsidR="00371B9D" w:rsidRPr="005A6B3E" w:rsidRDefault="00371B9D" w:rsidP="00371B9D">
            <w:pPr>
              <w:widowControl w:val="0"/>
              <w:tabs>
                <w:tab w:val="left" w:pos="622"/>
              </w:tabs>
              <w:spacing w:after="0" w:line="240" w:lineRule="auto"/>
              <w:jc w:val="center"/>
              <w:rPr>
                <w:rFonts w:ascii="Times New Roman" w:eastAsia="AngsanaUPC" w:hAnsi="Times New Roman"/>
                <w:bCs/>
                <w:iCs/>
                <w:sz w:val="18"/>
                <w:szCs w:val="18"/>
                <w:lang w:eastAsia="lt-LT"/>
              </w:rPr>
            </w:pPr>
            <w:r w:rsidRPr="005A6B3E">
              <w:rPr>
                <w:rFonts w:ascii="Times New Roman" w:eastAsia="AngsanaUPC" w:hAnsi="Times New Roman"/>
                <w:bCs/>
                <w:iCs/>
                <w:sz w:val="18"/>
                <w:szCs w:val="18"/>
                <w:lang w:eastAsia="lt-LT"/>
              </w:rPr>
              <w:t>ESF</w:t>
            </w:r>
          </w:p>
        </w:tc>
        <w:tc>
          <w:tcPr>
            <w:tcW w:w="976" w:type="dxa"/>
            <w:shd w:val="clear" w:color="auto" w:fill="auto"/>
            <w:vAlign w:val="center"/>
          </w:tcPr>
          <w:p w:rsidR="00371B9D" w:rsidRPr="005A6B3E" w:rsidRDefault="00371B9D" w:rsidP="00371B9D">
            <w:pPr>
              <w:widowControl w:val="0"/>
              <w:tabs>
                <w:tab w:val="left" w:pos="622"/>
              </w:tabs>
              <w:spacing w:after="0" w:line="240" w:lineRule="auto"/>
              <w:jc w:val="center"/>
              <w:rPr>
                <w:rFonts w:ascii="Times New Roman" w:eastAsia="AngsanaUPC" w:hAnsi="Times New Roman"/>
                <w:bCs/>
                <w:iCs/>
                <w:sz w:val="18"/>
                <w:szCs w:val="18"/>
                <w:lang w:eastAsia="lt-LT"/>
              </w:rPr>
            </w:pPr>
            <w:r w:rsidRPr="005A6B3E">
              <w:rPr>
                <w:rFonts w:ascii="Times New Roman" w:eastAsia="AngsanaUPC" w:hAnsi="Times New Roman"/>
                <w:bCs/>
                <w:iCs/>
                <w:sz w:val="18"/>
                <w:szCs w:val="18"/>
                <w:lang w:eastAsia="lt-LT"/>
              </w:rPr>
              <w:t>Mažiau išsivystęs</w:t>
            </w:r>
          </w:p>
        </w:tc>
        <w:tc>
          <w:tcPr>
            <w:tcW w:w="866" w:type="dxa"/>
            <w:shd w:val="clear" w:color="auto" w:fill="auto"/>
            <w:vAlign w:val="center"/>
          </w:tcPr>
          <w:p w:rsidR="00371B9D" w:rsidRPr="005A6B3E" w:rsidRDefault="00371B9D" w:rsidP="009348A3">
            <w:pPr>
              <w:widowControl w:val="0"/>
              <w:tabs>
                <w:tab w:val="left" w:pos="622"/>
              </w:tabs>
              <w:spacing w:after="0" w:line="240" w:lineRule="auto"/>
              <w:jc w:val="center"/>
              <w:rPr>
                <w:rFonts w:ascii="Times New Roman" w:eastAsia="AngsanaUPC" w:hAnsi="Times New Roman"/>
                <w:bCs/>
                <w:iCs/>
                <w:sz w:val="18"/>
                <w:szCs w:val="18"/>
                <w:lang w:eastAsia="lt-LT"/>
              </w:rPr>
            </w:pPr>
            <w:r w:rsidRPr="005A6B3E">
              <w:rPr>
                <w:rFonts w:ascii="Times New Roman" w:eastAsia="AngsanaUPC" w:hAnsi="Times New Roman"/>
                <w:bCs/>
                <w:iCs/>
                <w:sz w:val="18"/>
                <w:szCs w:val="18"/>
                <w:lang w:eastAsia="lt-LT"/>
              </w:rPr>
              <w:t>10</w:t>
            </w:r>
            <w:r w:rsidR="009348A3">
              <w:rPr>
                <w:rFonts w:ascii="Times New Roman" w:eastAsia="AngsanaUPC" w:hAnsi="Times New Roman"/>
                <w:bCs/>
                <w:iCs/>
                <w:sz w:val="18"/>
                <w:szCs w:val="18"/>
                <w:lang w:eastAsia="lt-LT"/>
              </w:rPr>
              <w:t>.</w:t>
            </w:r>
            <w:r w:rsidRPr="005A6B3E">
              <w:rPr>
                <w:rFonts w:ascii="Times New Roman" w:eastAsia="AngsanaUPC" w:hAnsi="Times New Roman"/>
                <w:bCs/>
                <w:iCs/>
                <w:sz w:val="18"/>
                <w:szCs w:val="18"/>
                <w:lang w:eastAsia="lt-LT"/>
              </w:rPr>
              <w:t>000</w:t>
            </w:r>
          </w:p>
        </w:tc>
        <w:tc>
          <w:tcPr>
            <w:tcW w:w="1134" w:type="dxa"/>
            <w:shd w:val="clear" w:color="auto" w:fill="auto"/>
            <w:vAlign w:val="center"/>
          </w:tcPr>
          <w:p w:rsidR="00371B9D" w:rsidRPr="005A6B3E" w:rsidRDefault="00371B9D" w:rsidP="00371B9D">
            <w:pPr>
              <w:widowControl w:val="0"/>
              <w:tabs>
                <w:tab w:val="left" w:pos="622"/>
              </w:tabs>
              <w:spacing w:after="0" w:line="240" w:lineRule="auto"/>
              <w:jc w:val="center"/>
              <w:rPr>
                <w:rFonts w:ascii="Times New Roman" w:hAnsi="Times New Roman"/>
                <w:sz w:val="18"/>
                <w:szCs w:val="18"/>
              </w:rPr>
            </w:pPr>
            <w:r w:rsidRPr="005A6B3E">
              <w:rPr>
                <w:rFonts w:ascii="Times New Roman" w:hAnsi="Times New Roman"/>
                <w:sz w:val="18"/>
                <w:szCs w:val="18"/>
              </w:rPr>
              <w:t>Duomenys iš projektų</w:t>
            </w:r>
          </w:p>
        </w:tc>
        <w:tc>
          <w:tcPr>
            <w:tcW w:w="1206" w:type="dxa"/>
            <w:shd w:val="clear" w:color="auto" w:fill="auto"/>
            <w:vAlign w:val="center"/>
          </w:tcPr>
          <w:p w:rsidR="00371B9D" w:rsidRPr="005A6B3E" w:rsidRDefault="00371B9D" w:rsidP="00371B9D">
            <w:pPr>
              <w:widowControl w:val="0"/>
              <w:tabs>
                <w:tab w:val="left" w:pos="622"/>
              </w:tabs>
              <w:spacing w:after="0" w:line="240" w:lineRule="auto"/>
              <w:jc w:val="center"/>
              <w:rPr>
                <w:rFonts w:ascii="Times New Roman" w:eastAsia="AngsanaUPC" w:hAnsi="Times New Roman"/>
                <w:bCs/>
                <w:iCs/>
                <w:sz w:val="18"/>
                <w:szCs w:val="18"/>
                <w:lang w:eastAsia="lt-LT"/>
              </w:rPr>
            </w:pPr>
            <w:r w:rsidRPr="005A6B3E">
              <w:rPr>
                <w:rFonts w:ascii="Times New Roman" w:eastAsia="AngsanaUPC" w:hAnsi="Times New Roman"/>
                <w:bCs/>
                <w:iCs/>
                <w:sz w:val="18"/>
                <w:szCs w:val="18"/>
                <w:lang w:eastAsia="lt-LT"/>
              </w:rPr>
              <w:t>Kartą per metus</w:t>
            </w:r>
          </w:p>
        </w:tc>
      </w:tr>
      <w:tr w:rsidR="00371B9D" w:rsidRPr="005A6B3E" w:rsidTr="00A35B3A">
        <w:tblPrEx>
          <w:shd w:val="clear" w:color="auto" w:fill="auto"/>
        </w:tblPrEx>
        <w:trPr>
          <w:gridAfter w:val="1"/>
          <w:wAfter w:w="35" w:type="dxa"/>
        </w:trPr>
        <w:tc>
          <w:tcPr>
            <w:tcW w:w="567" w:type="dxa"/>
            <w:shd w:val="clear" w:color="auto" w:fill="auto"/>
            <w:vAlign w:val="center"/>
          </w:tcPr>
          <w:p w:rsidR="00371B9D" w:rsidRPr="005A6B3E" w:rsidRDefault="00371B9D" w:rsidP="00371B9D">
            <w:pPr>
              <w:widowControl w:val="0"/>
              <w:tabs>
                <w:tab w:val="left" w:pos="622"/>
              </w:tabs>
              <w:spacing w:after="0" w:line="240" w:lineRule="auto"/>
              <w:jc w:val="center"/>
              <w:rPr>
                <w:rFonts w:ascii="Times New Roman" w:eastAsia="AngsanaUPC" w:hAnsi="Times New Roman"/>
                <w:bCs/>
                <w:iCs/>
                <w:sz w:val="18"/>
                <w:szCs w:val="18"/>
                <w:lang w:eastAsia="lt-LT"/>
              </w:rPr>
            </w:pPr>
            <w:r w:rsidRPr="005A6B3E">
              <w:rPr>
                <w:rFonts w:ascii="Times New Roman" w:eastAsia="AngsanaUPC" w:hAnsi="Times New Roman"/>
                <w:bCs/>
                <w:iCs/>
                <w:sz w:val="18"/>
                <w:szCs w:val="18"/>
                <w:lang w:eastAsia="lt-LT"/>
              </w:rPr>
              <w:lastRenderedPageBreak/>
              <w:t>3.</w:t>
            </w:r>
          </w:p>
        </w:tc>
        <w:tc>
          <w:tcPr>
            <w:tcW w:w="3119" w:type="dxa"/>
            <w:shd w:val="clear" w:color="auto" w:fill="auto"/>
            <w:vAlign w:val="center"/>
          </w:tcPr>
          <w:p w:rsidR="00371B9D" w:rsidRPr="005A6B3E" w:rsidRDefault="00371B9D" w:rsidP="00371B9D">
            <w:pPr>
              <w:spacing w:after="0" w:line="240" w:lineRule="auto"/>
              <w:rPr>
                <w:rFonts w:ascii="Times New Roman" w:hAnsi="Times New Roman"/>
                <w:sz w:val="18"/>
                <w:szCs w:val="18"/>
                <w:lang w:eastAsia="lt-LT"/>
              </w:rPr>
            </w:pPr>
            <w:r w:rsidRPr="005A6B3E">
              <w:rPr>
                <w:rFonts w:ascii="Times New Roman" w:hAnsi="Times New Roman"/>
                <w:sz w:val="18"/>
                <w:szCs w:val="18"/>
                <w:lang w:eastAsia="lt-LT"/>
              </w:rPr>
              <w:t>15</w:t>
            </w:r>
            <w:r w:rsidR="00E006C3">
              <w:rPr>
                <w:rFonts w:ascii="Times New Roman" w:hAnsi="Times New Roman"/>
                <w:sz w:val="18"/>
                <w:szCs w:val="18"/>
                <w:lang w:eastAsia="lt-LT"/>
              </w:rPr>
              <w:t>–</w:t>
            </w:r>
            <w:r w:rsidRPr="005A6B3E">
              <w:rPr>
                <w:rFonts w:ascii="Times New Roman" w:hAnsi="Times New Roman"/>
                <w:sz w:val="18"/>
                <w:szCs w:val="18"/>
                <w:lang w:eastAsia="lt-LT"/>
              </w:rPr>
              <w:t>29 metų nedirbantys, nesimokantys ir mokymuose nedalyvaujantys asmenys, dalyvavę JUI remiamoje intervencijoje, iš kurių:</w:t>
            </w:r>
            <w:r w:rsidRPr="005A6B3E" w:rsidDel="00B57884">
              <w:rPr>
                <w:rFonts w:ascii="Times New Roman" w:hAnsi="Times New Roman"/>
                <w:sz w:val="18"/>
                <w:szCs w:val="18"/>
                <w:lang w:eastAsia="lt-LT"/>
              </w:rPr>
              <w:t xml:space="preserve"> </w:t>
            </w:r>
            <w:r w:rsidRPr="005A6B3E">
              <w:rPr>
                <w:rFonts w:ascii="Times New Roman" w:hAnsi="Times New Roman"/>
                <w:sz w:val="18"/>
                <w:szCs w:val="18"/>
                <w:lang w:eastAsia="lt-LT"/>
              </w:rPr>
              <w:t>25</w:t>
            </w:r>
            <w:r w:rsidR="00E006C3">
              <w:rPr>
                <w:rFonts w:ascii="Times New Roman" w:hAnsi="Times New Roman"/>
                <w:sz w:val="18"/>
                <w:szCs w:val="18"/>
                <w:lang w:eastAsia="lt-LT"/>
              </w:rPr>
              <w:t>–</w:t>
            </w:r>
            <w:r w:rsidRPr="005A6B3E">
              <w:rPr>
                <w:rFonts w:ascii="Times New Roman" w:hAnsi="Times New Roman"/>
                <w:sz w:val="18"/>
                <w:szCs w:val="18"/>
                <w:lang w:eastAsia="lt-LT"/>
              </w:rPr>
              <w:t xml:space="preserve">29 metų asmenys </w:t>
            </w:r>
          </w:p>
        </w:tc>
        <w:tc>
          <w:tcPr>
            <w:tcW w:w="992" w:type="dxa"/>
            <w:shd w:val="clear" w:color="auto" w:fill="auto"/>
            <w:vAlign w:val="center"/>
          </w:tcPr>
          <w:p w:rsidR="00371B9D" w:rsidRPr="005A6B3E" w:rsidRDefault="00371B9D" w:rsidP="00371B9D">
            <w:pPr>
              <w:widowControl w:val="0"/>
              <w:tabs>
                <w:tab w:val="left" w:pos="622"/>
              </w:tabs>
              <w:spacing w:after="0" w:line="240" w:lineRule="auto"/>
              <w:jc w:val="center"/>
              <w:rPr>
                <w:rFonts w:ascii="Times New Roman" w:eastAsia="AngsanaUPC" w:hAnsi="Times New Roman"/>
                <w:bCs/>
                <w:iCs/>
                <w:sz w:val="18"/>
                <w:szCs w:val="18"/>
                <w:lang w:eastAsia="lt-LT"/>
              </w:rPr>
            </w:pPr>
            <w:r w:rsidRPr="005A6B3E">
              <w:rPr>
                <w:rFonts w:ascii="Times New Roman" w:eastAsia="AngsanaUPC" w:hAnsi="Times New Roman"/>
                <w:bCs/>
                <w:iCs/>
                <w:sz w:val="18"/>
                <w:szCs w:val="18"/>
                <w:lang w:eastAsia="lt-LT"/>
              </w:rPr>
              <w:t>Skaičius</w:t>
            </w:r>
          </w:p>
        </w:tc>
        <w:tc>
          <w:tcPr>
            <w:tcW w:w="851" w:type="dxa"/>
            <w:shd w:val="clear" w:color="auto" w:fill="auto"/>
            <w:vAlign w:val="center"/>
          </w:tcPr>
          <w:p w:rsidR="00371B9D" w:rsidRPr="005A6B3E" w:rsidRDefault="00371B9D" w:rsidP="00371B9D">
            <w:pPr>
              <w:widowControl w:val="0"/>
              <w:tabs>
                <w:tab w:val="left" w:pos="622"/>
              </w:tabs>
              <w:spacing w:after="0" w:line="240" w:lineRule="auto"/>
              <w:jc w:val="center"/>
              <w:rPr>
                <w:rFonts w:ascii="Times New Roman" w:eastAsia="AngsanaUPC" w:hAnsi="Times New Roman"/>
                <w:bCs/>
                <w:iCs/>
                <w:sz w:val="18"/>
                <w:szCs w:val="18"/>
                <w:lang w:eastAsia="lt-LT"/>
              </w:rPr>
            </w:pPr>
            <w:r w:rsidRPr="005A6B3E">
              <w:rPr>
                <w:rFonts w:ascii="Times New Roman" w:eastAsia="AngsanaUPC" w:hAnsi="Times New Roman"/>
                <w:bCs/>
                <w:iCs/>
                <w:sz w:val="18"/>
                <w:szCs w:val="18"/>
                <w:lang w:eastAsia="lt-LT"/>
              </w:rPr>
              <w:t>JUI</w:t>
            </w:r>
          </w:p>
        </w:tc>
        <w:tc>
          <w:tcPr>
            <w:tcW w:w="976" w:type="dxa"/>
            <w:shd w:val="clear" w:color="auto" w:fill="auto"/>
            <w:vAlign w:val="center"/>
          </w:tcPr>
          <w:p w:rsidR="00371B9D" w:rsidRPr="005A6B3E" w:rsidRDefault="00371B9D" w:rsidP="00371B9D">
            <w:pPr>
              <w:widowControl w:val="0"/>
              <w:tabs>
                <w:tab w:val="left" w:pos="622"/>
              </w:tabs>
              <w:spacing w:after="0" w:line="240" w:lineRule="auto"/>
              <w:jc w:val="center"/>
              <w:rPr>
                <w:rFonts w:ascii="Times New Roman" w:eastAsia="AngsanaUPC" w:hAnsi="Times New Roman"/>
                <w:bCs/>
                <w:iCs/>
                <w:sz w:val="18"/>
                <w:szCs w:val="18"/>
                <w:lang w:eastAsia="lt-LT"/>
              </w:rPr>
            </w:pPr>
            <w:r w:rsidRPr="005A6B3E">
              <w:rPr>
                <w:rFonts w:ascii="Times New Roman" w:eastAsia="AngsanaUPC" w:hAnsi="Times New Roman"/>
                <w:bCs/>
                <w:iCs/>
                <w:sz w:val="18"/>
                <w:szCs w:val="18"/>
                <w:lang w:eastAsia="lt-LT"/>
              </w:rPr>
              <w:t>Mažiau išsivystęs</w:t>
            </w:r>
          </w:p>
        </w:tc>
        <w:tc>
          <w:tcPr>
            <w:tcW w:w="866" w:type="dxa"/>
            <w:shd w:val="clear" w:color="auto" w:fill="auto"/>
            <w:vAlign w:val="center"/>
          </w:tcPr>
          <w:p w:rsidR="00371B9D" w:rsidRPr="005A6B3E" w:rsidRDefault="00371B9D" w:rsidP="009348A3">
            <w:pPr>
              <w:widowControl w:val="0"/>
              <w:tabs>
                <w:tab w:val="left" w:pos="622"/>
              </w:tabs>
              <w:spacing w:after="0" w:line="240" w:lineRule="auto"/>
              <w:jc w:val="center"/>
              <w:rPr>
                <w:rFonts w:ascii="Times New Roman" w:eastAsia="AngsanaUPC" w:hAnsi="Times New Roman"/>
                <w:bCs/>
                <w:iCs/>
                <w:sz w:val="18"/>
                <w:szCs w:val="18"/>
                <w:lang w:eastAsia="lt-LT"/>
              </w:rPr>
            </w:pPr>
            <w:r w:rsidRPr="005A6B3E">
              <w:rPr>
                <w:rFonts w:ascii="Times New Roman" w:eastAsia="AngsanaUPC" w:hAnsi="Times New Roman"/>
                <w:bCs/>
                <w:iCs/>
                <w:sz w:val="18"/>
                <w:szCs w:val="18"/>
                <w:lang w:eastAsia="lt-LT"/>
              </w:rPr>
              <w:t>8</w:t>
            </w:r>
            <w:r w:rsidR="009348A3">
              <w:rPr>
                <w:rFonts w:ascii="Times New Roman" w:eastAsia="AngsanaUPC" w:hAnsi="Times New Roman"/>
                <w:bCs/>
                <w:iCs/>
                <w:sz w:val="18"/>
                <w:szCs w:val="18"/>
                <w:lang w:eastAsia="lt-LT"/>
              </w:rPr>
              <w:t>.</w:t>
            </w:r>
            <w:r w:rsidRPr="005A6B3E">
              <w:rPr>
                <w:rFonts w:ascii="Times New Roman" w:eastAsia="AngsanaUPC" w:hAnsi="Times New Roman"/>
                <w:bCs/>
                <w:iCs/>
                <w:sz w:val="18"/>
                <w:szCs w:val="18"/>
                <w:lang w:eastAsia="lt-LT"/>
              </w:rPr>
              <w:t>000</w:t>
            </w:r>
          </w:p>
        </w:tc>
        <w:tc>
          <w:tcPr>
            <w:tcW w:w="1134" w:type="dxa"/>
            <w:shd w:val="clear" w:color="auto" w:fill="auto"/>
            <w:vAlign w:val="center"/>
          </w:tcPr>
          <w:p w:rsidR="00371B9D" w:rsidRPr="005A6B3E" w:rsidRDefault="00371B9D" w:rsidP="00371B9D">
            <w:pPr>
              <w:widowControl w:val="0"/>
              <w:tabs>
                <w:tab w:val="left" w:pos="622"/>
              </w:tabs>
              <w:spacing w:after="0" w:line="240" w:lineRule="auto"/>
              <w:jc w:val="center"/>
              <w:rPr>
                <w:rFonts w:ascii="Times New Roman" w:hAnsi="Times New Roman"/>
                <w:sz w:val="18"/>
                <w:szCs w:val="18"/>
              </w:rPr>
            </w:pPr>
            <w:r w:rsidRPr="005A6B3E">
              <w:rPr>
                <w:rFonts w:ascii="Times New Roman" w:hAnsi="Times New Roman"/>
                <w:sz w:val="18"/>
                <w:szCs w:val="18"/>
              </w:rPr>
              <w:t>Duomenys iš projektų</w:t>
            </w:r>
          </w:p>
        </w:tc>
        <w:tc>
          <w:tcPr>
            <w:tcW w:w="1206" w:type="dxa"/>
            <w:shd w:val="clear" w:color="auto" w:fill="auto"/>
            <w:vAlign w:val="center"/>
          </w:tcPr>
          <w:p w:rsidR="00371B9D" w:rsidRPr="005A6B3E" w:rsidRDefault="00371B9D" w:rsidP="00371B9D">
            <w:pPr>
              <w:widowControl w:val="0"/>
              <w:tabs>
                <w:tab w:val="left" w:pos="622"/>
              </w:tabs>
              <w:spacing w:after="0" w:line="240" w:lineRule="auto"/>
              <w:jc w:val="center"/>
              <w:rPr>
                <w:rFonts w:ascii="Times New Roman" w:eastAsia="AngsanaUPC" w:hAnsi="Times New Roman"/>
                <w:bCs/>
                <w:iCs/>
                <w:sz w:val="18"/>
                <w:szCs w:val="18"/>
                <w:lang w:eastAsia="lt-LT"/>
              </w:rPr>
            </w:pPr>
            <w:r w:rsidRPr="005A6B3E">
              <w:rPr>
                <w:rFonts w:ascii="Times New Roman" w:eastAsia="AngsanaUPC" w:hAnsi="Times New Roman"/>
                <w:bCs/>
                <w:iCs/>
                <w:sz w:val="18"/>
                <w:szCs w:val="18"/>
                <w:lang w:eastAsia="lt-LT"/>
              </w:rPr>
              <w:t>Kartą per metus</w:t>
            </w:r>
          </w:p>
        </w:tc>
      </w:tr>
      <w:tr w:rsidR="00371B9D" w:rsidRPr="005A6B3E" w:rsidTr="00A35B3A">
        <w:tblPrEx>
          <w:shd w:val="clear" w:color="auto" w:fill="auto"/>
        </w:tblPrEx>
        <w:trPr>
          <w:gridAfter w:val="1"/>
          <w:wAfter w:w="35" w:type="dxa"/>
        </w:trPr>
        <w:tc>
          <w:tcPr>
            <w:tcW w:w="567" w:type="dxa"/>
            <w:shd w:val="clear" w:color="auto" w:fill="auto"/>
            <w:vAlign w:val="center"/>
          </w:tcPr>
          <w:p w:rsidR="00371B9D" w:rsidRPr="005A6B3E" w:rsidRDefault="00371B9D" w:rsidP="00371B9D">
            <w:pPr>
              <w:widowControl w:val="0"/>
              <w:tabs>
                <w:tab w:val="left" w:pos="622"/>
              </w:tabs>
              <w:spacing w:after="0" w:line="240" w:lineRule="auto"/>
              <w:jc w:val="center"/>
              <w:rPr>
                <w:rFonts w:ascii="Times New Roman" w:eastAsia="AngsanaUPC" w:hAnsi="Times New Roman"/>
                <w:bCs/>
                <w:iCs/>
                <w:sz w:val="18"/>
                <w:szCs w:val="18"/>
                <w:lang w:eastAsia="lt-LT"/>
              </w:rPr>
            </w:pPr>
            <w:r w:rsidRPr="005A6B3E">
              <w:rPr>
                <w:rFonts w:ascii="Times New Roman" w:eastAsia="AngsanaUPC" w:hAnsi="Times New Roman"/>
                <w:bCs/>
                <w:iCs/>
                <w:sz w:val="18"/>
                <w:szCs w:val="18"/>
                <w:lang w:eastAsia="lt-LT"/>
              </w:rPr>
              <w:t>4.</w:t>
            </w:r>
          </w:p>
        </w:tc>
        <w:tc>
          <w:tcPr>
            <w:tcW w:w="3119" w:type="dxa"/>
            <w:shd w:val="clear" w:color="auto" w:fill="auto"/>
            <w:vAlign w:val="center"/>
          </w:tcPr>
          <w:p w:rsidR="00371B9D" w:rsidRPr="005A6B3E" w:rsidRDefault="00371B9D" w:rsidP="00371B9D">
            <w:pPr>
              <w:spacing w:after="0" w:line="240" w:lineRule="auto"/>
              <w:rPr>
                <w:rFonts w:ascii="Times New Roman" w:hAnsi="Times New Roman"/>
                <w:sz w:val="18"/>
                <w:szCs w:val="18"/>
                <w:lang w:eastAsia="lt-LT"/>
              </w:rPr>
            </w:pPr>
            <w:r w:rsidRPr="005A6B3E">
              <w:rPr>
                <w:rFonts w:ascii="Times New Roman" w:hAnsi="Times New Roman"/>
                <w:sz w:val="18"/>
                <w:szCs w:val="18"/>
                <w:lang w:eastAsia="lt-LT"/>
              </w:rPr>
              <w:t>15</w:t>
            </w:r>
            <w:r w:rsidR="00E006C3">
              <w:rPr>
                <w:rFonts w:ascii="Times New Roman" w:hAnsi="Times New Roman"/>
                <w:sz w:val="18"/>
                <w:szCs w:val="18"/>
                <w:lang w:eastAsia="lt-LT"/>
              </w:rPr>
              <w:t>–</w:t>
            </w:r>
            <w:r w:rsidRPr="005A6B3E">
              <w:rPr>
                <w:rFonts w:ascii="Times New Roman" w:hAnsi="Times New Roman"/>
                <w:sz w:val="18"/>
                <w:szCs w:val="18"/>
                <w:lang w:eastAsia="lt-LT"/>
              </w:rPr>
              <w:t>29 metų nedirbantys, nesimokantys ir mokymuose nedalyvaujantys asmenys, dalyvavę JUI remiamoje intervencijoje, iš kurių:</w:t>
            </w:r>
            <w:r w:rsidRPr="005A6B3E" w:rsidDel="00B57884">
              <w:rPr>
                <w:rFonts w:ascii="Times New Roman" w:hAnsi="Times New Roman"/>
                <w:sz w:val="18"/>
                <w:szCs w:val="18"/>
                <w:lang w:eastAsia="lt-LT"/>
              </w:rPr>
              <w:t xml:space="preserve"> </w:t>
            </w:r>
            <w:r w:rsidRPr="005A6B3E">
              <w:rPr>
                <w:rFonts w:ascii="Times New Roman" w:hAnsi="Times New Roman"/>
                <w:sz w:val="18"/>
                <w:szCs w:val="18"/>
                <w:lang w:eastAsia="lt-LT"/>
              </w:rPr>
              <w:t>25</w:t>
            </w:r>
            <w:r w:rsidR="00E006C3">
              <w:rPr>
                <w:rFonts w:ascii="Times New Roman" w:hAnsi="Times New Roman"/>
                <w:sz w:val="18"/>
                <w:szCs w:val="18"/>
                <w:lang w:eastAsia="lt-LT"/>
              </w:rPr>
              <w:t>–</w:t>
            </w:r>
            <w:r w:rsidRPr="005A6B3E">
              <w:rPr>
                <w:rFonts w:ascii="Times New Roman" w:hAnsi="Times New Roman"/>
                <w:sz w:val="18"/>
                <w:szCs w:val="18"/>
                <w:lang w:eastAsia="lt-LT"/>
              </w:rPr>
              <w:t xml:space="preserve">29 metų asmenys </w:t>
            </w:r>
          </w:p>
        </w:tc>
        <w:tc>
          <w:tcPr>
            <w:tcW w:w="992" w:type="dxa"/>
            <w:shd w:val="clear" w:color="auto" w:fill="auto"/>
            <w:vAlign w:val="center"/>
          </w:tcPr>
          <w:p w:rsidR="00371B9D" w:rsidRPr="005A6B3E" w:rsidRDefault="00371B9D" w:rsidP="00371B9D">
            <w:pPr>
              <w:widowControl w:val="0"/>
              <w:tabs>
                <w:tab w:val="left" w:pos="622"/>
              </w:tabs>
              <w:spacing w:after="0" w:line="240" w:lineRule="auto"/>
              <w:jc w:val="center"/>
              <w:rPr>
                <w:rFonts w:ascii="Times New Roman" w:eastAsia="AngsanaUPC" w:hAnsi="Times New Roman"/>
                <w:bCs/>
                <w:iCs/>
                <w:sz w:val="18"/>
                <w:szCs w:val="18"/>
                <w:lang w:eastAsia="lt-LT"/>
              </w:rPr>
            </w:pPr>
            <w:r w:rsidRPr="005A6B3E">
              <w:rPr>
                <w:rFonts w:ascii="Times New Roman" w:eastAsia="AngsanaUPC" w:hAnsi="Times New Roman"/>
                <w:bCs/>
                <w:iCs/>
                <w:sz w:val="18"/>
                <w:szCs w:val="18"/>
                <w:lang w:eastAsia="lt-LT"/>
              </w:rPr>
              <w:t>Skaičius</w:t>
            </w:r>
          </w:p>
        </w:tc>
        <w:tc>
          <w:tcPr>
            <w:tcW w:w="851" w:type="dxa"/>
            <w:shd w:val="clear" w:color="auto" w:fill="auto"/>
            <w:vAlign w:val="center"/>
          </w:tcPr>
          <w:p w:rsidR="00371B9D" w:rsidRPr="005A6B3E" w:rsidRDefault="00371B9D" w:rsidP="00371B9D">
            <w:pPr>
              <w:widowControl w:val="0"/>
              <w:tabs>
                <w:tab w:val="left" w:pos="622"/>
              </w:tabs>
              <w:spacing w:after="0" w:line="240" w:lineRule="auto"/>
              <w:jc w:val="center"/>
              <w:rPr>
                <w:rFonts w:ascii="Times New Roman" w:eastAsia="AngsanaUPC" w:hAnsi="Times New Roman"/>
                <w:bCs/>
                <w:iCs/>
                <w:sz w:val="18"/>
                <w:szCs w:val="18"/>
                <w:lang w:eastAsia="lt-LT"/>
              </w:rPr>
            </w:pPr>
            <w:r w:rsidRPr="005A6B3E">
              <w:rPr>
                <w:rFonts w:ascii="Times New Roman" w:eastAsia="AngsanaUPC" w:hAnsi="Times New Roman"/>
                <w:bCs/>
                <w:iCs/>
                <w:sz w:val="18"/>
                <w:szCs w:val="18"/>
                <w:lang w:eastAsia="lt-LT"/>
              </w:rPr>
              <w:t>ESF</w:t>
            </w:r>
          </w:p>
        </w:tc>
        <w:tc>
          <w:tcPr>
            <w:tcW w:w="976" w:type="dxa"/>
            <w:shd w:val="clear" w:color="auto" w:fill="auto"/>
            <w:vAlign w:val="center"/>
          </w:tcPr>
          <w:p w:rsidR="00371B9D" w:rsidRPr="005A6B3E" w:rsidRDefault="00371B9D" w:rsidP="00371B9D">
            <w:pPr>
              <w:widowControl w:val="0"/>
              <w:tabs>
                <w:tab w:val="left" w:pos="622"/>
              </w:tabs>
              <w:spacing w:after="0" w:line="240" w:lineRule="auto"/>
              <w:jc w:val="center"/>
              <w:rPr>
                <w:rFonts w:ascii="Times New Roman" w:eastAsia="AngsanaUPC" w:hAnsi="Times New Roman"/>
                <w:bCs/>
                <w:iCs/>
                <w:sz w:val="18"/>
                <w:szCs w:val="18"/>
                <w:lang w:eastAsia="lt-LT"/>
              </w:rPr>
            </w:pPr>
            <w:r w:rsidRPr="005A6B3E">
              <w:rPr>
                <w:rFonts w:ascii="Times New Roman" w:eastAsia="AngsanaUPC" w:hAnsi="Times New Roman"/>
                <w:bCs/>
                <w:iCs/>
                <w:sz w:val="18"/>
                <w:szCs w:val="18"/>
                <w:lang w:eastAsia="lt-LT"/>
              </w:rPr>
              <w:t>Mažiau išsivystęs</w:t>
            </w:r>
          </w:p>
        </w:tc>
        <w:tc>
          <w:tcPr>
            <w:tcW w:w="866" w:type="dxa"/>
            <w:shd w:val="clear" w:color="auto" w:fill="auto"/>
            <w:vAlign w:val="center"/>
          </w:tcPr>
          <w:p w:rsidR="00371B9D" w:rsidRPr="005A6B3E" w:rsidRDefault="00371B9D" w:rsidP="009348A3">
            <w:pPr>
              <w:widowControl w:val="0"/>
              <w:tabs>
                <w:tab w:val="left" w:pos="622"/>
              </w:tabs>
              <w:spacing w:after="0" w:line="240" w:lineRule="auto"/>
              <w:jc w:val="center"/>
              <w:rPr>
                <w:rFonts w:ascii="Times New Roman" w:eastAsia="AngsanaUPC" w:hAnsi="Times New Roman"/>
                <w:bCs/>
                <w:iCs/>
                <w:sz w:val="18"/>
                <w:szCs w:val="18"/>
                <w:lang w:eastAsia="lt-LT"/>
              </w:rPr>
            </w:pPr>
            <w:r w:rsidRPr="005A6B3E">
              <w:rPr>
                <w:rFonts w:ascii="Times New Roman" w:eastAsia="AngsanaUPC" w:hAnsi="Times New Roman"/>
                <w:bCs/>
                <w:iCs/>
                <w:sz w:val="18"/>
                <w:szCs w:val="18"/>
                <w:lang w:eastAsia="lt-LT"/>
              </w:rPr>
              <w:t>2</w:t>
            </w:r>
            <w:r w:rsidR="009348A3">
              <w:rPr>
                <w:rFonts w:ascii="Times New Roman" w:eastAsia="AngsanaUPC" w:hAnsi="Times New Roman"/>
                <w:bCs/>
                <w:iCs/>
                <w:sz w:val="18"/>
                <w:szCs w:val="18"/>
                <w:lang w:eastAsia="lt-LT"/>
              </w:rPr>
              <w:t>.</w:t>
            </w:r>
            <w:r w:rsidRPr="005A6B3E">
              <w:rPr>
                <w:rFonts w:ascii="Times New Roman" w:eastAsia="AngsanaUPC" w:hAnsi="Times New Roman"/>
                <w:bCs/>
                <w:iCs/>
                <w:sz w:val="18"/>
                <w:szCs w:val="18"/>
                <w:lang w:eastAsia="lt-LT"/>
              </w:rPr>
              <w:t>000</w:t>
            </w:r>
          </w:p>
        </w:tc>
        <w:tc>
          <w:tcPr>
            <w:tcW w:w="1134" w:type="dxa"/>
            <w:shd w:val="clear" w:color="auto" w:fill="auto"/>
            <w:vAlign w:val="center"/>
          </w:tcPr>
          <w:p w:rsidR="00371B9D" w:rsidRPr="005A6B3E" w:rsidRDefault="00371B9D" w:rsidP="00371B9D">
            <w:pPr>
              <w:widowControl w:val="0"/>
              <w:tabs>
                <w:tab w:val="left" w:pos="622"/>
              </w:tabs>
              <w:spacing w:after="0" w:line="240" w:lineRule="auto"/>
              <w:jc w:val="center"/>
              <w:rPr>
                <w:rFonts w:ascii="Times New Roman" w:hAnsi="Times New Roman"/>
                <w:sz w:val="18"/>
                <w:szCs w:val="18"/>
              </w:rPr>
            </w:pPr>
            <w:r w:rsidRPr="005A6B3E">
              <w:rPr>
                <w:rFonts w:ascii="Times New Roman" w:hAnsi="Times New Roman"/>
                <w:sz w:val="18"/>
                <w:szCs w:val="18"/>
              </w:rPr>
              <w:t>Duomenys iš projektų</w:t>
            </w:r>
          </w:p>
        </w:tc>
        <w:tc>
          <w:tcPr>
            <w:tcW w:w="1206" w:type="dxa"/>
            <w:shd w:val="clear" w:color="auto" w:fill="auto"/>
            <w:vAlign w:val="center"/>
          </w:tcPr>
          <w:p w:rsidR="00371B9D" w:rsidRPr="005A6B3E" w:rsidRDefault="00371B9D" w:rsidP="00371B9D">
            <w:pPr>
              <w:widowControl w:val="0"/>
              <w:tabs>
                <w:tab w:val="left" w:pos="622"/>
              </w:tabs>
              <w:spacing w:after="0" w:line="240" w:lineRule="auto"/>
              <w:jc w:val="center"/>
              <w:rPr>
                <w:rFonts w:ascii="Times New Roman" w:eastAsia="AngsanaUPC" w:hAnsi="Times New Roman"/>
                <w:bCs/>
                <w:iCs/>
                <w:sz w:val="18"/>
                <w:szCs w:val="18"/>
                <w:lang w:eastAsia="lt-LT"/>
              </w:rPr>
            </w:pPr>
            <w:r w:rsidRPr="005A6B3E">
              <w:rPr>
                <w:rFonts w:ascii="Times New Roman" w:eastAsia="AngsanaUPC" w:hAnsi="Times New Roman"/>
                <w:bCs/>
                <w:iCs/>
                <w:sz w:val="18"/>
                <w:szCs w:val="18"/>
                <w:lang w:eastAsia="lt-LT"/>
              </w:rPr>
              <w:t>Kartą per metus</w:t>
            </w:r>
          </w:p>
        </w:tc>
      </w:tr>
    </w:tbl>
    <w:p w:rsidR="00385835" w:rsidRPr="00385835" w:rsidRDefault="00385835" w:rsidP="00385835">
      <w:pPr>
        <w:spacing w:after="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746"/>
      </w:tblGrid>
      <w:tr w:rsidR="00385835" w:rsidRPr="00385835" w:rsidTr="00385835">
        <w:trPr>
          <w:trHeight w:val="395"/>
        </w:trPr>
        <w:tc>
          <w:tcPr>
            <w:tcW w:w="9746"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i/>
                <w:sz w:val="24"/>
                <w:szCs w:val="24"/>
                <w:lang w:eastAsia="lt-LT"/>
              </w:rPr>
            </w:pPr>
            <w:r w:rsidRPr="00385835">
              <w:rPr>
                <w:rFonts w:ascii="Times New Roman" w:hAnsi="Times New Roman"/>
                <w:b/>
                <w:i/>
                <w:sz w:val="24"/>
                <w:szCs w:val="24"/>
              </w:rPr>
              <w:t>ESF specialiosios nuostatos</w:t>
            </w:r>
          </w:p>
        </w:tc>
      </w:tr>
      <w:tr w:rsidR="00385835" w:rsidRPr="00385835" w:rsidTr="00385835">
        <w:tc>
          <w:tcPr>
            <w:tcW w:w="9746" w:type="dxa"/>
            <w:shd w:val="clear" w:color="auto" w:fill="auto"/>
          </w:tcPr>
          <w:p w:rsidR="00385835" w:rsidRPr="00385835" w:rsidRDefault="00385835" w:rsidP="00385835">
            <w:pPr>
              <w:widowControl w:val="0"/>
              <w:spacing w:after="0" w:line="240" w:lineRule="auto"/>
              <w:ind w:left="34" w:firstLine="851"/>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Įgyvendinant šį investicinį prioritetą</w:t>
            </w:r>
            <w:r w:rsidR="004E5E82">
              <w:rPr>
                <w:rFonts w:ascii="Times New Roman" w:eastAsia="AngsanaUPC" w:hAnsi="Times New Roman"/>
                <w:bCs/>
                <w:iCs/>
                <w:sz w:val="24"/>
                <w:szCs w:val="24"/>
                <w:lang w:eastAsia="lt-LT"/>
              </w:rPr>
              <w:t>,</w:t>
            </w:r>
            <w:r w:rsidRPr="00385835">
              <w:rPr>
                <w:rFonts w:ascii="Times New Roman" w:eastAsia="AngsanaUPC" w:hAnsi="Times New Roman"/>
                <w:bCs/>
                <w:iCs/>
                <w:sz w:val="24"/>
                <w:szCs w:val="24"/>
                <w:lang w:eastAsia="lt-LT"/>
              </w:rPr>
              <w:t xml:space="preserve"> neplanuojama papildomų investicijų, skirtų skatinti socialinių inovacijų taikymą ir tarptautinį bendradarbiavimą.</w:t>
            </w:r>
          </w:p>
          <w:p w:rsidR="00385835" w:rsidRPr="00385835" w:rsidRDefault="00385835" w:rsidP="00385835">
            <w:pPr>
              <w:widowControl w:val="0"/>
              <w:spacing w:after="0" w:line="240" w:lineRule="auto"/>
              <w:ind w:left="34" w:firstLine="851"/>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Pagal 7 prioritetą numatomos įgyvendinti veiklos (ADRP, profesinė reabilitacija neįgaliesiems, parama verslo pradžiai ir kt.) prisidės prie darbo jėgos pasiūlos augimo. Šios veiklos siejasi su 3 prioritetu, pagal kurį numatoma investuoti į verslumo ir naujų įmonių steigimo skatinimą, MVĮ veiklos internacionalizavimą ir pajėgumų įsitraukti į ekonomikos augimo ir inovacijų procesus. Pagal 3 prioritetą bus skatinama darbo jėgos paklausa, o pagal 7 prioritetą – pasiūla. 3 ir 7 prioritetus taip pat sieja tai, kad jie abu numato verslumo skatinimo veiklas.</w:t>
            </w:r>
          </w:p>
          <w:p w:rsidR="00385835" w:rsidRPr="00385835" w:rsidRDefault="00385835" w:rsidP="00385835">
            <w:pPr>
              <w:widowControl w:val="0"/>
              <w:spacing w:after="0" w:line="240" w:lineRule="auto"/>
              <w:ind w:left="34" w:firstLine="851"/>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Pagal visus 7 prioriteto investicinius prioritetus numatyta investuoti į mokymus, skirtus bedarbių integracijai į darbo rinką, darbo rinkos institucijų darbuotojų gebėjimų tobulinimą ir kt. Planuojant ADRP priemones</w:t>
            </w:r>
            <w:r w:rsidR="0020663D">
              <w:rPr>
                <w:rFonts w:ascii="Times New Roman" w:eastAsia="AngsanaUPC" w:hAnsi="Times New Roman"/>
                <w:bCs/>
                <w:iCs/>
                <w:sz w:val="24"/>
                <w:szCs w:val="24"/>
                <w:lang w:eastAsia="lt-LT"/>
              </w:rPr>
              <w:t>,</w:t>
            </w:r>
            <w:r w:rsidRPr="00385835">
              <w:rPr>
                <w:rFonts w:ascii="Times New Roman" w:eastAsia="AngsanaUPC" w:hAnsi="Times New Roman"/>
                <w:bCs/>
                <w:iCs/>
                <w:sz w:val="24"/>
                <w:szCs w:val="24"/>
                <w:lang w:eastAsia="lt-LT"/>
              </w:rPr>
              <w:t xml:space="preserve"> bus užtikrinamas koordinavimas su 9 prioriteto intervencijomis, nukreiptomis į mokymosi visą gyvenimą skatinimą ir žmogiškųjų išteklių potencialo ir įgūdžių atitikimo darbo rinkos poreikiams didinimą. Į daugelį šių mokymų bus įtrauktas skaitmeninio raštingumo įgūdžių įgijimas ir tobulinimas, kuris papildys skaitmeninio raštingumo įgūdžių tobulinimo veiklas, numatytas pagal 2 prioritetą „Informacinės visuomenės skatinimas“.</w:t>
            </w:r>
          </w:p>
          <w:p w:rsidR="00385835" w:rsidRPr="00385835" w:rsidRDefault="00385835" w:rsidP="00385835">
            <w:pPr>
              <w:widowControl w:val="0"/>
              <w:spacing w:after="0" w:line="240" w:lineRule="auto"/>
              <w:ind w:left="34" w:firstLine="851"/>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7.1 investicinis prioritetas numato kultūros paslaugų vartojimo skatinimą per kultūros infrastruktūros modernizavimą ir konversiją, o 2.3 investicinis prioritetas – per kultūros paslaugų perkėlimą į skaitmeninę erdvę ir kultūros skaitmeninio turinio sklaidą.</w:t>
            </w:r>
          </w:p>
          <w:p w:rsidR="00385835" w:rsidRPr="00385835" w:rsidRDefault="00385835" w:rsidP="00385835">
            <w:pPr>
              <w:widowControl w:val="0"/>
              <w:spacing w:after="0" w:line="240" w:lineRule="auto"/>
              <w:ind w:left="34" w:firstLine="851"/>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 xml:space="preserve">Pagal 7.1 investicinį prioritetą numatyta modernizuoti viešąsias erdves, investuoti į infrastruktūrą, skatinančią teritorijos patrauklumą investicijoms ir gerinančią gyvenamąją aplinką. Šios investicijos siejasi su 6 prioritetu, pagal kurį numatoma gerinti transporto ir pagrindinių tinklų infrastruktūrą. Investicijos pagal 6 prioritetą taip pat prisidės prie gyvenamosios aplinkos kokybės gerinimo ir teritorijos patrauklumo investicijoms. </w:t>
            </w:r>
          </w:p>
          <w:p w:rsidR="00385835" w:rsidRPr="00385835" w:rsidRDefault="00385835" w:rsidP="00385835">
            <w:pPr>
              <w:widowControl w:val="0"/>
              <w:spacing w:after="0" w:line="240" w:lineRule="auto"/>
              <w:ind w:left="34" w:firstLine="851"/>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7.3.4 uždavinys yra skirtas skatinti moterų ir vyrų lygybę ir mažinti diskriminacijos įvairias pagrindais apraiškas. Ši sritis yra horizontali, todėl ji siejasi su visais veiksmų programos prioritetais. Visų projektų pareiškėjai turės užtikrinti, kad projektuose bus laikomasi lygių galimybių ir nediskriminavimo užtikrinimo principų.</w:t>
            </w:r>
          </w:p>
        </w:tc>
      </w:tr>
    </w:tbl>
    <w:p w:rsidR="00FA0F82" w:rsidRPr="00385835" w:rsidRDefault="00FA0F82"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746"/>
      </w:tblGrid>
      <w:tr w:rsidR="00385835" w:rsidRPr="00385835" w:rsidTr="00385835">
        <w:tc>
          <w:tcPr>
            <w:tcW w:w="9746"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i/>
                <w:iCs/>
                <w:sz w:val="24"/>
                <w:szCs w:val="24"/>
                <w:lang w:eastAsia="lt-LT"/>
              </w:rPr>
              <w:t>Projektų</w:t>
            </w:r>
            <w:r w:rsidR="009F540A">
              <w:rPr>
                <w:rFonts w:ascii="Times New Roman" w:eastAsia="AngsanaUPC" w:hAnsi="Times New Roman"/>
                <w:b/>
                <w:bCs/>
                <w:i/>
                <w:iCs/>
                <w:sz w:val="24"/>
                <w:szCs w:val="24"/>
                <w:lang w:eastAsia="lt-LT"/>
              </w:rPr>
              <w:t xml:space="preserve"> </w:t>
            </w:r>
            <w:r w:rsidRPr="00385835">
              <w:rPr>
                <w:rFonts w:ascii="Times New Roman" w:eastAsia="AngsanaUPC" w:hAnsi="Times New Roman"/>
                <w:b/>
                <w:bCs/>
                <w:i/>
                <w:iCs/>
                <w:sz w:val="24"/>
                <w:szCs w:val="24"/>
                <w:lang w:eastAsia="lt-LT"/>
              </w:rPr>
              <w:t>/</w:t>
            </w:r>
            <w:r w:rsidR="009F540A">
              <w:rPr>
                <w:rFonts w:ascii="Times New Roman" w:eastAsia="AngsanaUPC" w:hAnsi="Times New Roman"/>
                <w:b/>
                <w:bCs/>
                <w:i/>
                <w:iCs/>
                <w:sz w:val="24"/>
                <w:szCs w:val="24"/>
                <w:lang w:eastAsia="lt-LT"/>
              </w:rPr>
              <w:t xml:space="preserve"> </w:t>
            </w:r>
            <w:r w:rsidRPr="00385835">
              <w:rPr>
                <w:rFonts w:ascii="Times New Roman" w:eastAsia="AngsanaUPC" w:hAnsi="Times New Roman"/>
                <w:b/>
                <w:bCs/>
                <w:i/>
                <w:iCs/>
                <w:sz w:val="24"/>
                <w:szCs w:val="24"/>
                <w:lang w:eastAsia="lt-LT"/>
              </w:rPr>
              <w:t>veiksmų atrankos principai</w:t>
            </w:r>
          </w:p>
        </w:tc>
      </w:tr>
      <w:tr w:rsidR="00385835" w:rsidRPr="00385835" w:rsidTr="00385835">
        <w:tc>
          <w:tcPr>
            <w:tcW w:w="9746" w:type="dxa"/>
            <w:shd w:val="clear" w:color="auto" w:fill="auto"/>
          </w:tcPr>
          <w:p w:rsidR="00385835" w:rsidRPr="00385835" w:rsidRDefault="00385835" w:rsidP="00650E41">
            <w:pPr>
              <w:numPr>
                <w:ilvl w:val="0"/>
                <w:numId w:val="9"/>
              </w:numPr>
              <w:tabs>
                <w:tab w:val="left" w:pos="641"/>
              </w:tabs>
              <w:spacing w:after="0" w:line="240" w:lineRule="auto"/>
              <w:ind w:left="34" w:firstLine="0"/>
              <w:jc w:val="both"/>
              <w:rPr>
                <w:rFonts w:ascii="Times New Roman" w:hAnsi="Times New Roman"/>
                <w:color w:val="000000"/>
                <w:sz w:val="24"/>
                <w:szCs w:val="24"/>
              </w:rPr>
            </w:pPr>
            <w:r w:rsidRPr="00385835">
              <w:rPr>
                <w:rFonts w:ascii="Times New Roman" w:hAnsi="Times New Roman"/>
                <w:color w:val="000000"/>
                <w:sz w:val="24"/>
                <w:szCs w:val="24"/>
              </w:rPr>
              <w:t xml:space="preserve">7.1. investicinis prioritetas įgyvendinamas taikant ITI </w:t>
            </w:r>
            <w:r w:rsidR="0029342F" w:rsidRPr="0029342F">
              <w:rPr>
                <w:rFonts w:ascii="Times New Roman" w:hAnsi="Times New Roman"/>
                <w:color w:val="000000"/>
                <w:sz w:val="24"/>
                <w:szCs w:val="24"/>
              </w:rPr>
              <w:t>įgyvendinimo mechanizmą, nustatytą Veiksmų programos 4 skirsnyje</w:t>
            </w:r>
            <w:r w:rsidRPr="00385835">
              <w:rPr>
                <w:rFonts w:ascii="Times New Roman" w:hAnsi="Times New Roman"/>
                <w:color w:val="000000"/>
                <w:sz w:val="24"/>
                <w:szCs w:val="24"/>
              </w:rPr>
              <w:t xml:space="preserve"> – nustatant tikslines teritorijas, parengiant ir įgyvendinant jų integruotas vystymo programas.</w:t>
            </w:r>
          </w:p>
          <w:p w:rsidR="00385835" w:rsidRPr="00385835" w:rsidRDefault="0029342F" w:rsidP="00385835">
            <w:pPr>
              <w:widowControl w:val="0"/>
              <w:tabs>
                <w:tab w:val="left" w:pos="622"/>
              </w:tabs>
              <w:spacing w:after="0" w:line="240" w:lineRule="auto"/>
              <w:ind w:firstLine="624"/>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ITVP</w:t>
            </w:r>
            <w:r w:rsidR="00385835" w:rsidRPr="00385835">
              <w:rPr>
                <w:rFonts w:ascii="Times New Roman" w:eastAsia="Times New Roman" w:hAnsi="Times New Roman"/>
                <w:color w:val="000000"/>
                <w:sz w:val="24"/>
                <w:szCs w:val="24"/>
                <w:lang w:eastAsia="lt-LT"/>
              </w:rPr>
              <w:t xml:space="preserve"> įgyvendinantys projektai gali būti įgyvendinami juos atrenkant valstybės arba regionų projektų planavimo būdais, kai jie atitinka </w:t>
            </w:r>
            <w:r w:rsidR="001352F5">
              <w:rPr>
                <w:rFonts w:ascii="Times New Roman" w:eastAsia="Times New Roman" w:hAnsi="Times New Roman"/>
                <w:color w:val="000000"/>
                <w:sz w:val="24"/>
                <w:szCs w:val="24"/>
                <w:lang w:eastAsia="lt-LT"/>
              </w:rPr>
              <w:t>ITVP</w:t>
            </w:r>
            <w:r w:rsidR="00385835" w:rsidRPr="00385835">
              <w:rPr>
                <w:rFonts w:ascii="Times New Roman" w:eastAsia="Times New Roman" w:hAnsi="Times New Roman"/>
                <w:color w:val="000000"/>
                <w:sz w:val="24"/>
                <w:szCs w:val="24"/>
                <w:lang w:eastAsia="lt-LT"/>
              </w:rPr>
              <w:t xml:space="preserve"> nustatytus veiksmus, arba projektų konkurso būdu, kai tą patį </w:t>
            </w:r>
            <w:r w:rsidR="001352F5">
              <w:rPr>
                <w:rFonts w:ascii="Times New Roman" w:eastAsia="Times New Roman" w:hAnsi="Times New Roman"/>
                <w:color w:val="000000"/>
                <w:sz w:val="24"/>
                <w:szCs w:val="24"/>
                <w:lang w:eastAsia="lt-LT"/>
              </w:rPr>
              <w:t>ITVP</w:t>
            </w:r>
            <w:r w:rsidR="00385835" w:rsidRPr="00385835">
              <w:rPr>
                <w:rFonts w:ascii="Times New Roman" w:eastAsia="Times New Roman" w:hAnsi="Times New Roman"/>
                <w:color w:val="000000"/>
                <w:sz w:val="24"/>
                <w:szCs w:val="24"/>
                <w:lang w:eastAsia="lt-LT"/>
              </w:rPr>
              <w:t xml:space="preserve"> keliamą uždavinį skirtingais būdais gali įgyvendinti keli tinkami </w:t>
            </w:r>
            <w:r w:rsidR="00385835" w:rsidRPr="00385835">
              <w:rPr>
                <w:rFonts w:ascii="Times New Roman" w:eastAsia="Times New Roman" w:hAnsi="Times New Roman"/>
                <w:color w:val="000000"/>
                <w:sz w:val="24"/>
                <w:szCs w:val="24"/>
                <w:lang w:eastAsia="lt-LT"/>
              </w:rPr>
              <w:lastRenderedPageBreak/>
              <w:t xml:space="preserve">pareiškėjai. </w:t>
            </w:r>
            <w:r w:rsidR="001352F5" w:rsidRPr="001352F5">
              <w:rPr>
                <w:rFonts w:ascii="Times New Roman" w:eastAsia="Times New Roman" w:hAnsi="Times New Roman"/>
                <w:color w:val="000000"/>
                <w:sz w:val="24"/>
                <w:szCs w:val="24"/>
                <w:lang w:eastAsia="lt-LT"/>
              </w:rPr>
              <w:t>Įgyvendinant tvarios miestų plėtros veiksmus pagal ERPF reglamento 7 str. nuostatas projektai atrenkami tik regionų projektų planavimo būdu.</w:t>
            </w:r>
          </w:p>
          <w:p w:rsidR="001352F5" w:rsidRDefault="00385835" w:rsidP="00150ED9">
            <w:pPr>
              <w:widowControl w:val="0"/>
              <w:tabs>
                <w:tab w:val="left" w:pos="622"/>
              </w:tabs>
              <w:spacing w:after="0" w:line="240" w:lineRule="auto"/>
              <w:ind w:firstLine="624"/>
              <w:jc w:val="both"/>
              <w:rPr>
                <w:rFonts w:ascii="Times New Roman" w:eastAsia="Times New Roman" w:hAnsi="Times New Roman"/>
                <w:sz w:val="24"/>
                <w:szCs w:val="24"/>
                <w:lang w:eastAsia="lt-LT"/>
              </w:rPr>
            </w:pPr>
            <w:r w:rsidRPr="00385835">
              <w:rPr>
                <w:rFonts w:ascii="Times New Roman" w:eastAsia="Times New Roman" w:hAnsi="Times New Roman"/>
                <w:color w:val="000000"/>
                <w:sz w:val="24"/>
                <w:szCs w:val="24"/>
                <w:lang w:eastAsia="lt-LT"/>
              </w:rPr>
              <w:t>Tais atvejais, kai projektai, įgyvendinami už tikslinės teritorijos ribų</w:t>
            </w:r>
            <w:r w:rsidR="001352F5">
              <w:rPr>
                <w:rFonts w:ascii="Times New Roman" w:eastAsia="Times New Roman" w:hAnsi="Times New Roman"/>
                <w:color w:val="000000"/>
                <w:sz w:val="24"/>
                <w:szCs w:val="24"/>
                <w:lang w:eastAsia="lt-LT"/>
              </w:rPr>
              <w:t xml:space="preserve"> </w:t>
            </w:r>
            <w:r w:rsidR="001352F5" w:rsidRPr="001352F5">
              <w:rPr>
                <w:rFonts w:ascii="Times New Roman" w:eastAsia="Times New Roman" w:hAnsi="Times New Roman"/>
                <w:color w:val="000000"/>
                <w:sz w:val="24"/>
                <w:szCs w:val="24"/>
                <w:lang w:eastAsia="lt-LT"/>
              </w:rPr>
              <w:t>(susietose teritorijose)</w:t>
            </w:r>
            <w:r w:rsidRPr="00385835">
              <w:rPr>
                <w:rFonts w:ascii="Times New Roman" w:eastAsia="Times New Roman" w:hAnsi="Times New Roman"/>
                <w:color w:val="000000"/>
                <w:sz w:val="24"/>
                <w:szCs w:val="24"/>
                <w:lang w:eastAsia="lt-LT"/>
              </w:rPr>
              <w:t xml:space="preserve">, gali efektyviai prisidėti prie </w:t>
            </w:r>
            <w:r w:rsidR="001352F5">
              <w:rPr>
                <w:rFonts w:ascii="Times New Roman" w:eastAsia="Times New Roman" w:hAnsi="Times New Roman"/>
                <w:color w:val="000000"/>
                <w:sz w:val="24"/>
                <w:szCs w:val="24"/>
                <w:lang w:eastAsia="lt-LT"/>
              </w:rPr>
              <w:t>ITVP</w:t>
            </w:r>
            <w:r w:rsidRPr="00385835">
              <w:rPr>
                <w:rFonts w:ascii="Times New Roman" w:eastAsia="Times New Roman" w:hAnsi="Times New Roman"/>
                <w:color w:val="000000"/>
                <w:sz w:val="24"/>
                <w:szCs w:val="24"/>
                <w:lang w:eastAsia="lt-LT"/>
              </w:rPr>
              <w:t xml:space="preserve"> tikslų pasiekimo, jie gali būti </w:t>
            </w:r>
            <w:r w:rsidRPr="00FC6264">
              <w:rPr>
                <w:rFonts w:ascii="Times New Roman" w:eastAsia="Times New Roman" w:hAnsi="Times New Roman"/>
                <w:color w:val="000000"/>
                <w:sz w:val="24"/>
                <w:szCs w:val="24"/>
                <w:lang w:eastAsia="lt-LT"/>
              </w:rPr>
              <w:t xml:space="preserve">įgyvendinami </w:t>
            </w:r>
            <w:r w:rsidR="009F540A" w:rsidRPr="00FC6264">
              <w:rPr>
                <w:rFonts w:ascii="Times New Roman" w:eastAsia="Times New Roman" w:hAnsi="Times New Roman"/>
                <w:color w:val="000000"/>
                <w:sz w:val="24"/>
                <w:szCs w:val="24"/>
                <w:lang w:eastAsia="lt-LT"/>
              </w:rPr>
              <w:t>valstybės arba</w:t>
            </w:r>
            <w:r w:rsidR="009F540A">
              <w:rPr>
                <w:rFonts w:ascii="Times New Roman" w:eastAsia="Times New Roman" w:hAnsi="Times New Roman"/>
                <w:color w:val="000000"/>
                <w:sz w:val="24"/>
                <w:szCs w:val="24"/>
                <w:lang w:eastAsia="lt-LT"/>
              </w:rPr>
              <w:t xml:space="preserve"> </w:t>
            </w:r>
            <w:r w:rsidRPr="00385835">
              <w:rPr>
                <w:rFonts w:ascii="Times New Roman" w:eastAsia="Times New Roman" w:hAnsi="Times New Roman"/>
                <w:color w:val="000000"/>
                <w:sz w:val="24"/>
                <w:szCs w:val="24"/>
                <w:lang w:eastAsia="lt-LT"/>
              </w:rPr>
              <w:t xml:space="preserve">regionų projektų planavimo būdu, užtikrinant, kad šie projektai prisidės prie </w:t>
            </w:r>
            <w:r w:rsidR="001352F5">
              <w:rPr>
                <w:rFonts w:ascii="Times New Roman" w:eastAsia="Times New Roman" w:hAnsi="Times New Roman"/>
                <w:color w:val="000000"/>
                <w:sz w:val="24"/>
                <w:szCs w:val="24"/>
                <w:lang w:eastAsia="lt-LT"/>
              </w:rPr>
              <w:t>ITVP</w:t>
            </w:r>
            <w:r w:rsidRPr="00385835">
              <w:rPr>
                <w:rFonts w:ascii="Times New Roman" w:eastAsia="Times New Roman" w:hAnsi="Times New Roman"/>
                <w:color w:val="000000"/>
                <w:sz w:val="24"/>
                <w:szCs w:val="24"/>
                <w:lang w:eastAsia="lt-LT"/>
              </w:rPr>
              <w:t xml:space="preserve"> tikslų pasiekimo ir padės įgyvendinti bendrą regiono strategiją </w:t>
            </w:r>
            <w:r w:rsidR="00C922B0">
              <w:rPr>
                <w:rFonts w:ascii="Times New Roman" w:eastAsia="Times New Roman" w:hAnsi="Times New Roman"/>
                <w:color w:val="000000"/>
                <w:sz w:val="24"/>
                <w:szCs w:val="24"/>
                <w:lang w:eastAsia="lt-LT"/>
              </w:rPr>
              <w:t>–</w:t>
            </w:r>
            <w:r w:rsidRPr="00385835">
              <w:rPr>
                <w:rFonts w:ascii="Times New Roman" w:eastAsia="Times New Roman" w:hAnsi="Times New Roman"/>
                <w:color w:val="000000"/>
                <w:sz w:val="24"/>
                <w:szCs w:val="24"/>
                <w:lang w:eastAsia="lt-LT"/>
              </w:rPr>
              <w:t xml:space="preserve"> regiono plėtros planą.</w:t>
            </w:r>
            <w:r w:rsidR="005A6B3E" w:rsidRPr="007D05A6">
              <w:rPr>
                <w:rFonts w:ascii="Times New Roman" w:eastAsia="Times New Roman" w:hAnsi="Times New Roman"/>
                <w:sz w:val="24"/>
                <w:szCs w:val="24"/>
                <w:lang w:eastAsia="lt-LT"/>
              </w:rPr>
              <w:t xml:space="preserve"> </w:t>
            </w:r>
          </w:p>
          <w:p w:rsidR="00150ED9" w:rsidRPr="00150ED9" w:rsidRDefault="00150ED9" w:rsidP="00650E41">
            <w:pPr>
              <w:widowControl w:val="0"/>
              <w:numPr>
                <w:ilvl w:val="0"/>
                <w:numId w:val="9"/>
              </w:numPr>
              <w:tabs>
                <w:tab w:val="left" w:pos="601"/>
              </w:tabs>
              <w:spacing w:after="0" w:line="240" w:lineRule="auto"/>
              <w:ind w:left="34" w:firstLine="0"/>
              <w:jc w:val="both"/>
              <w:rPr>
                <w:rFonts w:ascii="Times New Roman" w:hAnsi="Times New Roman"/>
                <w:color w:val="333333"/>
                <w:sz w:val="24"/>
                <w:szCs w:val="20"/>
              </w:rPr>
            </w:pPr>
            <w:r w:rsidRPr="007D05A6">
              <w:rPr>
                <w:rFonts w:ascii="Times New Roman" w:hAnsi="Times New Roman"/>
                <w:sz w:val="24"/>
                <w:szCs w:val="20"/>
              </w:rPr>
              <w:t>Jeigu nusprendžiama, kad konkrečiam projektui dotacijos skiriamos tiesiogiai, ši procedūra turi atitikti sąlygas, nustatytas Bendrųjų nuostatų reglamento 125.3 str. (a) dalyje (ii) punkte, kuriuo reikalaujama, kad dotacijų skyrimo procedūra turi būti nediskriminuojanti ir skaidri.</w:t>
            </w:r>
          </w:p>
          <w:p w:rsidR="00FA0F82" w:rsidRPr="00FA0F82" w:rsidRDefault="00C922B0" w:rsidP="00650E41">
            <w:pPr>
              <w:widowControl w:val="0"/>
              <w:numPr>
                <w:ilvl w:val="0"/>
                <w:numId w:val="9"/>
              </w:numPr>
              <w:tabs>
                <w:tab w:val="left" w:pos="601"/>
              </w:tabs>
              <w:spacing w:after="0" w:line="240" w:lineRule="auto"/>
              <w:ind w:left="34" w:firstLine="0"/>
              <w:jc w:val="both"/>
              <w:rPr>
                <w:rFonts w:ascii="Times New Roman" w:eastAsia="AngsanaUPC" w:hAnsi="Times New Roman"/>
                <w:bCs/>
                <w:sz w:val="24"/>
                <w:szCs w:val="24"/>
                <w:lang w:eastAsia="lt-LT"/>
              </w:rPr>
            </w:pPr>
            <w:r w:rsidRPr="00FA0F82">
              <w:rPr>
                <w:rFonts w:ascii="Times New Roman" w:hAnsi="Times New Roman"/>
                <w:color w:val="000000"/>
                <w:sz w:val="24"/>
                <w:szCs w:val="24"/>
                <w:lang w:eastAsia="lt-LT"/>
              </w:rPr>
              <w:t>Investuojant į kultūros ir tvaraus turizmo infrastruktūros objektus vidaus potencialo plėtojimui, bus vadovaujamasi ERPF reglamento 3 straipsnio nuostatomis, ypatingai atkreipiant dėmesį į 1 dalies e punkto nuostatas.</w:t>
            </w:r>
          </w:p>
          <w:p w:rsidR="00FA0F82" w:rsidRDefault="00385835" w:rsidP="00650E41">
            <w:pPr>
              <w:widowControl w:val="0"/>
              <w:numPr>
                <w:ilvl w:val="0"/>
                <w:numId w:val="9"/>
              </w:numPr>
              <w:tabs>
                <w:tab w:val="left" w:pos="601"/>
              </w:tabs>
              <w:spacing w:after="0" w:line="240" w:lineRule="auto"/>
              <w:ind w:left="34" w:firstLine="0"/>
              <w:jc w:val="both"/>
              <w:rPr>
                <w:rFonts w:ascii="Times New Roman" w:eastAsia="AngsanaUPC" w:hAnsi="Times New Roman"/>
                <w:bCs/>
                <w:sz w:val="24"/>
                <w:szCs w:val="24"/>
                <w:lang w:eastAsia="lt-LT"/>
              </w:rPr>
            </w:pPr>
            <w:r w:rsidRPr="00FA0F82">
              <w:rPr>
                <w:rFonts w:ascii="Times New Roman" w:eastAsia="AngsanaUPC" w:hAnsi="Times New Roman"/>
                <w:bCs/>
                <w:sz w:val="24"/>
                <w:szCs w:val="24"/>
                <w:lang w:eastAsia="lt-LT"/>
              </w:rPr>
              <w:t>7.2 ir 7.4 investicinius prioritetus įgyvendinantys projektai bus atrenkami valstybės projektų planavimo būdu (tiesiogiai skiriant subsidiją). Jeigu nusprendžiama, kad konkrečiam projektui dotacijos skiriamos tiesiogiai, ši procedūra turi atitikti sąlygas, nustatytas Bendrųjų nuostatų reglamento 125.3 str. (a) dalyje (ii) punkte, kuriuo reikalaujama, kad dotacijų skyrimo procedūra turi būti</w:t>
            </w:r>
            <w:r w:rsidR="00012B65" w:rsidRPr="00FA0F82">
              <w:rPr>
                <w:rFonts w:ascii="Times New Roman" w:eastAsia="AngsanaUPC" w:hAnsi="Times New Roman"/>
                <w:bCs/>
                <w:sz w:val="24"/>
                <w:szCs w:val="24"/>
                <w:lang w:eastAsia="lt-LT"/>
              </w:rPr>
              <w:t xml:space="preserve"> nediskriminuojanti ir skaidri.</w:t>
            </w:r>
          </w:p>
          <w:p w:rsidR="00385835" w:rsidRDefault="00385835" w:rsidP="00650E41">
            <w:pPr>
              <w:widowControl w:val="0"/>
              <w:numPr>
                <w:ilvl w:val="0"/>
                <w:numId w:val="9"/>
              </w:numPr>
              <w:tabs>
                <w:tab w:val="left" w:pos="601"/>
              </w:tabs>
              <w:spacing w:after="0" w:line="240" w:lineRule="auto"/>
              <w:ind w:left="34" w:firstLine="0"/>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7.3 investicinį prioritetą įgyvendinantys projektai bus atrenkami projektų konkurso būdu ir valstybės projektų planavimo būdu (tiesiogiai skiriant subsidiją). Jeigu nusprendžiama, kad konkrečiam projektui dotacijos skiriamos tiesiogiai, ši procedūra turi atitikti sąlygas, nustatytas Bendrųjų nuostatų reglamento 125.3 str. (a) dalyje (ii) punkte, kuriuo reikalaujama, kad dotacijų skyrimo procedūra turi būti nediskriminuojanti ir skaidri.</w:t>
            </w:r>
            <w:r w:rsidRPr="00385835" w:rsidDel="00F12289">
              <w:rPr>
                <w:rFonts w:ascii="Times New Roman" w:eastAsia="AngsanaUPC" w:hAnsi="Times New Roman"/>
                <w:bCs/>
                <w:sz w:val="24"/>
                <w:szCs w:val="24"/>
                <w:lang w:eastAsia="lt-LT"/>
              </w:rPr>
              <w:t xml:space="preserve"> </w:t>
            </w:r>
            <w:r w:rsidRPr="00385835">
              <w:rPr>
                <w:rFonts w:ascii="Times New Roman" w:eastAsia="AngsanaUPC" w:hAnsi="Times New Roman"/>
                <w:bCs/>
                <w:sz w:val="24"/>
                <w:szCs w:val="24"/>
                <w:lang w:eastAsia="lt-LT"/>
              </w:rPr>
              <w:t>Planuojant 7.3 investicinio prioriteto veiksmus bus užtikrintas koordinavimas su Lietuvos 2014–2020 m. kaimo plėtros veiksmų programos intervencijomis, nukreiptomis į kaimo vietovių gyventojų užimtumo didinimą.</w:t>
            </w:r>
          </w:p>
          <w:p w:rsidR="00DC55B6" w:rsidRPr="00463952" w:rsidRDefault="00DC55B6" w:rsidP="00DC55B6">
            <w:pPr>
              <w:widowControl w:val="0"/>
              <w:tabs>
                <w:tab w:val="left" w:pos="601"/>
              </w:tabs>
              <w:spacing w:after="0" w:line="240" w:lineRule="auto"/>
              <w:ind w:left="34"/>
              <w:jc w:val="both"/>
              <w:rPr>
                <w:rFonts w:ascii="Times New Roman" w:eastAsia="AngsanaUPC" w:hAnsi="Times New Roman"/>
                <w:bCs/>
                <w:sz w:val="24"/>
                <w:szCs w:val="24"/>
                <w:lang w:eastAsia="lt-LT"/>
              </w:rPr>
            </w:pPr>
            <w:r w:rsidRPr="00463952">
              <w:rPr>
                <w:rFonts w:ascii="Times New Roman" w:eastAsia="AngsanaUPC" w:hAnsi="Times New Roman"/>
                <w:bCs/>
                <w:sz w:val="24"/>
                <w:szCs w:val="24"/>
                <w:lang w:eastAsia="lt-LT"/>
              </w:rPr>
              <w:t xml:space="preserve">* Esant pagrįstam poreikiui pagal kiekvieną investicinį prioritetą gali būti taikomi ir kiti projektų atrankos būdai nurodyti pirmojo prioriteto dalyje </w:t>
            </w:r>
            <w:r w:rsidRPr="00463952">
              <w:rPr>
                <w:rFonts w:ascii="Times New Roman" w:eastAsia="AngsanaUPC" w:hAnsi="Times New Roman"/>
                <w:bCs/>
                <w:i/>
                <w:sz w:val="24"/>
                <w:szCs w:val="24"/>
                <w:lang w:eastAsia="lt-LT"/>
              </w:rPr>
              <w:t>„</w:t>
            </w:r>
            <w:r w:rsidRPr="00463952">
              <w:rPr>
                <w:rFonts w:ascii="Times New Roman" w:eastAsia="AngsanaUPC" w:hAnsi="Times New Roman"/>
                <w:bCs/>
                <w:i/>
                <w:iCs/>
                <w:sz w:val="24"/>
                <w:szCs w:val="24"/>
                <w:lang w:eastAsia="lt-LT"/>
              </w:rPr>
              <w:t>Projektų/veiksmų atrankos principai</w:t>
            </w:r>
            <w:r w:rsidR="00463952">
              <w:rPr>
                <w:rFonts w:ascii="Times New Roman" w:eastAsia="AngsanaUPC" w:hAnsi="Times New Roman"/>
                <w:bCs/>
                <w:i/>
                <w:iCs/>
                <w:sz w:val="24"/>
                <w:szCs w:val="24"/>
                <w:lang w:eastAsia="lt-LT"/>
              </w:rPr>
              <w:t>“</w:t>
            </w:r>
            <w:r w:rsidRPr="00463952">
              <w:rPr>
                <w:rFonts w:ascii="Times New Roman" w:eastAsia="AngsanaUPC" w:hAnsi="Times New Roman"/>
                <w:bCs/>
                <w:iCs/>
                <w:sz w:val="24"/>
                <w:szCs w:val="24"/>
                <w:lang w:eastAsia="lt-LT"/>
              </w:rPr>
              <w:t>.</w:t>
            </w:r>
          </w:p>
        </w:tc>
      </w:tr>
    </w:tbl>
    <w:p w:rsidR="001352F5" w:rsidRPr="00385835" w:rsidRDefault="001352F5" w:rsidP="00385835">
      <w:pPr>
        <w:widowControl w:val="0"/>
        <w:tabs>
          <w:tab w:val="left" w:pos="622"/>
        </w:tabs>
        <w:spacing w:after="0" w:line="240" w:lineRule="auto"/>
        <w:jc w:val="both"/>
        <w:rPr>
          <w:rFonts w:ascii="Times New Roman" w:eastAsia="AngsanaUPC" w:hAnsi="Times New Roman"/>
          <w:b/>
          <w:bCs/>
          <w:i/>
          <w:i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746"/>
      </w:tblGrid>
      <w:tr w:rsidR="00385835" w:rsidRPr="00385835" w:rsidTr="00385835">
        <w:tc>
          <w:tcPr>
            <w:tcW w:w="9746"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i/>
                <w:iCs/>
                <w:sz w:val="24"/>
                <w:szCs w:val="24"/>
                <w:lang w:eastAsia="lt-LT"/>
              </w:rPr>
              <w:t>Finansiniai instrumentai ir jų aprašymas</w:t>
            </w:r>
          </w:p>
        </w:tc>
      </w:tr>
      <w:tr w:rsidR="00385835" w:rsidRPr="00385835" w:rsidTr="00385835">
        <w:tc>
          <w:tcPr>
            <w:tcW w:w="9746" w:type="dxa"/>
            <w:shd w:val="clear" w:color="auto" w:fill="auto"/>
          </w:tcPr>
          <w:p w:rsidR="00385835" w:rsidRPr="00385835" w:rsidRDefault="00385835" w:rsidP="00385835">
            <w:pPr>
              <w:widowControl w:val="0"/>
              <w:tabs>
                <w:tab w:val="left" w:pos="622"/>
              </w:tabs>
              <w:spacing w:after="0" w:line="240" w:lineRule="auto"/>
              <w:ind w:firstLine="624"/>
              <w:jc w:val="both"/>
              <w:rPr>
                <w:rFonts w:ascii="Times New Roman" w:hAnsi="Times New Roman"/>
                <w:sz w:val="24"/>
                <w:szCs w:val="24"/>
              </w:rPr>
            </w:pPr>
            <w:r w:rsidRPr="00385835">
              <w:rPr>
                <w:rFonts w:ascii="Times New Roman" w:hAnsi="Times New Roman"/>
                <w:bCs/>
                <w:sz w:val="24"/>
                <w:szCs w:val="24"/>
              </w:rPr>
              <w:t>7.1. investiciniam prioritetui įgyvendinti šiuo metu yra analizuojamos finansinių instrumentų panaudojimo galimybės</w:t>
            </w:r>
            <w:r w:rsidRPr="00385835">
              <w:rPr>
                <w:rFonts w:ascii="Times New Roman" w:hAnsi="Times New Roman"/>
                <w:sz w:val="24"/>
                <w:szCs w:val="24"/>
              </w:rPr>
              <w:t xml:space="preserve">, t.y. atliekamas </w:t>
            </w:r>
            <w:r w:rsidRPr="007E588C">
              <w:rPr>
                <w:rFonts w:ascii="Times New Roman" w:hAnsi="Times New Roman"/>
                <w:i/>
                <w:sz w:val="24"/>
                <w:szCs w:val="24"/>
              </w:rPr>
              <w:t>ex ante</w:t>
            </w:r>
            <w:r w:rsidRPr="00385835">
              <w:rPr>
                <w:rFonts w:ascii="Times New Roman" w:hAnsi="Times New Roman"/>
                <w:sz w:val="24"/>
                <w:szCs w:val="24"/>
              </w:rPr>
              <w:t xml:space="preserve"> vertinimas, kurio pagrindu bus nuspręsta dėl konkrečių finansinių instrumentų naudojimo.</w:t>
            </w:r>
          </w:p>
          <w:p w:rsidR="00385835" w:rsidRPr="00385835" w:rsidRDefault="00385835" w:rsidP="00385835">
            <w:pPr>
              <w:widowControl w:val="0"/>
              <w:tabs>
                <w:tab w:val="left" w:pos="622"/>
              </w:tabs>
              <w:spacing w:after="0" w:line="240" w:lineRule="auto"/>
              <w:ind w:firstLine="624"/>
              <w:jc w:val="both"/>
              <w:rPr>
                <w:rFonts w:ascii="Times New Roman" w:hAnsi="Times New Roman"/>
                <w:sz w:val="24"/>
                <w:szCs w:val="24"/>
              </w:rPr>
            </w:pPr>
            <w:r w:rsidRPr="00385835">
              <w:rPr>
                <w:rFonts w:ascii="Times New Roman" w:hAnsi="Times New Roman"/>
                <w:sz w:val="24"/>
                <w:szCs w:val="24"/>
              </w:rPr>
              <w:t xml:space="preserve">7.3 </w:t>
            </w:r>
            <w:r w:rsidRPr="00385835">
              <w:rPr>
                <w:rFonts w:ascii="Times New Roman" w:eastAsia="AngsanaUPC" w:hAnsi="Times New Roman"/>
                <w:bCs/>
                <w:sz w:val="24"/>
                <w:szCs w:val="24"/>
                <w:lang w:eastAsia="lt-LT"/>
              </w:rPr>
              <w:t>investiciniam prioritetui įgyvendinti planuojama naudoti mi</w:t>
            </w:r>
            <w:r w:rsidRPr="00385835">
              <w:rPr>
                <w:rFonts w:ascii="Times New Roman" w:hAnsi="Times New Roman"/>
                <w:sz w:val="24"/>
                <w:szCs w:val="24"/>
              </w:rPr>
              <w:t>krokreditus, kompensuojamas palūkanas arba grąžintiną arba negrąžintiną paramą skatinant savarankišką užimtumą.</w:t>
            </w:r>
          </w:p>
          <w:p w:rsidR="00385835" w:rsidRPr="00385835" w:rsidRDefault="00385835" w:rsidP="00385835">
            <w:pPr>
              <w:widowControl w:val="0"/>
              <w:tabs>
                <w:tab w:val="left" w:pos="622"/>
              </w:tabs>
              <w:spacing w:after="0" w:line="240" w:lineRule="auto"/>
              <w:ind w:firstLine="624"/>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Kitiems šio veiksmų programos prioriteto investiciniams prioritetams įgyvendinti nenumatoma taikyti finansinių instrumentų.</w:t>
            </w:r>
          </w:p>
        </w:tc>
      </w:tr>
    </w:tbl>
    <w:p w:rsidR="00385835" w:rsidRPr="00385835" w:rsidRDefault="00385835" w:rsidP="00385835">
      <w:pPr>
        <w:widowControl w:val="0"/>
        <w:tabs>
          <w:tab w:val="left" w:pos="622"/>
        </w:tabs>
        <w:spacing w:after="0" w:line="240" w:lineRule="auto"/>
        <w:jc w:val="both"/>
        <w:rPr>
          <w:rFonts w:ascii="Times New Roman" w:hAnsi="Times New Roman"/>
          <w:i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746"/>
      </w:tblGrid>
      <w:tr w:rsidR="00385835" w:rsidRPr="00385835" w:rsidTr="00385835">
        <w:tc>
          <w:tcPr>
            <w:tcW w:w="9746"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i/>
                <w:iCs/>
                <w:sz w:val="24"/>
                <w:szCs w:val="24"/>
                <w:lang w:eastAsia="lt-LT"/>
              </w:rPr>
              <w:t>Didelės apimties projektai</w:t>
            </w:r>
          </w:p>
        </w:tc>
      </w:tr>
      <w:tr w:rsidR="00385835" w:rsidRPr="00385835" w:rsidTr="00385835">
        <w:tc>
          <w:tcPr>
            <w:tcW w:w="9746" w:type="dxa"/>
            <w:shd w:val="clear" w:color="auto" w:fill="auto"/>
          </w:tcPr>
          <w:p w:rsidR="00385835" w:rsidRPr="00385835" w:rsidRDefault="00385835" w:rsidP="00385835">
            <w:pPr>
              <w:widowControl w:val="0"/>
              <w:tabs>
                <w:tab w:val="left" w:pos="622"/>
              </w:tabs>
              <w:spacing w:after="0" w:line="240" w:lineRule="auto"/>
              <w:ind w:firstLine="624"/>
              <w:jc w:val="both"/>
              <w:rPr>
                <w:rFonts w:ascii="Times New Roman" w:eastAsia="AngsanaUPC" w:hAnsi="Times New Roman"/>
                <w:bCs/>
                <w:iCs/>
                <w:sz w:val="24"/>
                <w:szCs w:val="24"/>
                <w:lang w:eastAsia="lt-LT"/>
              </w:rPr>
            </w:pPr>
            <w:r w:rsidRPr="00385835">
              <w:rPr>
                <w:rFonts w:ascii="Times New Roman" w:hAnsi="Times New Roman"/>
                <w:bCs/>
                <w:iCs/>
                <w:sz w:val="24"/>
                <w:szCs w:val="24"/>
              </w:rPr>
              <w:t>Pagal šį veiksmų programos prioritetą didelės apimties projektų vykdyti nenumatoma.</w:t>
            </w:r>
          </w:p>
        </w:tc>
      </w:tr>
    </w:tbl>
    <w:p w:rsidR="00385835" w:rsidRPr="00385835" w:rsidRDefault="00385835" w:rsidP="00385835">
      <w:pPr>
        <w:widowControl w:val="0"/>
        <w:tabs>
          <w:tab w:val="left" w:pos="622"/>
        </w:tabs>
        <w:spacing w:after="0" w:line="240" w:lineRule="auto"/>
        <w:jc w:val="both"/>
        <w:rPr>
          <w:rFonts w:ascii="Times New Roman" w:hAnsi="Times New Roman"/>
          <w:iCs/>
          <w:sz w:val="24"/>
          <w:szCs w:val="24"/>
        </w:rPr>
      </w:pPr>
    </w:p>
    <w:p w:rsidR="00385835" w:rsidRPr="00385835" w:rsidRDefault="00385835" w:rsidP="00385835">
      <w:pPr>
        <w:widowControl w:val="0"/>
        <w:tabs>
          <w:tab w:val="left" w:pos="622"/>
        </w:tabs>
        <w:spacing w:after="0" w:line="240" w:lineRule="auto"/>
        <w:jc w:val="both"/>
        <w:rPr>
          <w:rFonts w:ascii="Times New Roman" w:eastAsia="AngsanaUPC" w:hAnsi="Times New Roman"/>
          <w:b/>
          <w:bCs/>
          <w:i/>
          <w:iCs/>
          <w:sz w:val="24"/>
          <w:szCs w:val="24"/>
          <w:lang w:eastAsia="lt-LT"/>
        </w:rPr>
        <w:sectPr w:rsidR="00385835" w:rsidRPr="00385835" w:rsidSect="00AC19DA">
          <w:pgSz w:w="11906" w:h="16838" w:code="9"/>
          <w:pgMar w:top="1701" w:right="567" w:bottom="1134" w:left="1701" w:header="567" w:footer="567" w:gutter="0"/>
          <w:cols w:space="1296"/>
          <w:docGrid w:linePitch="360"/>
        </w:sectPr>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1277"/>
        <w:gridCol w:w="2834"/>
        <w:gridCol w:w="851"/>
        <w:gridCol w:w="708"/>
        <w:gridCol w:w="851"/>
        <w:gridCol w:w="1134"/>
        <w:gridCol w:w="1134"/>
        <w:gridCol w:w="992"/>
        <w:gridCol w:w="4253"/>
      </w:tblGrid>
      <w:tr w:rsidR="00385835" w:rsidRPr="00385835" w:rsidTr="00385835">
        <w:trPr>
          <w:tblHeader/>
        </w:trPr>
        <w:tc>
          <w:tcPr>
            <w:tcW w:w="14034" w:type="dxa"/>
            <w:gridSpan w:val="9"/>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i/>
                <w:iCs/>
                <w:sz w:val="24"/>
                <w:szCs w:val="24"/>
                <w:lang w:eastAsia="lt-LT"/>
              </w:rPr>
              <w:lastRenderedPageBreak/>
              <w:t>Prioriteto veiklos rezultatų peržiūros planas</w:t>
            </w:r>
          </w:p>
        </w:tc>
      </w:tr>
      <w:tr w:rsidR="00385835" w:rsidRPr="00385835" w:rsidTr="00900EB5">
        <w:trPr>
          <w:cantSplit/>
          <w:trHeight w:val="1134"/>
          <w:tblHeader/>
        </w:trPr>
        <w:tc>
          <w:tcPr>
            <w:tcW w:w="1277"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Rodiklio rūšis</w:t>
            </w:r>
          </w:p>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(įgyvendinimo žingsniai, finansinis, produkto ir rezultato rodiklis)</w:t>
            </w:r>
          </w:p>
        </w:tc>
        <w:tc>
          <w:tcPr>
            <w:tcW w:w="28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Rodiklio apibrėžimas arba įgyvendinimo žingsnis</w:t>
            </w:r>
          </w:p>
        </w:tc>
        <w:tc>
          <w:tcPr>
            <w:tcW w:w="851"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Matavimo vienetas</w:t>
            </w:r>
          </w:p>
        </w:tc>
        <w:tc>
          <w:tcPr>
            <w:tcW w:w="708"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Fondas</w:t>
            </w:r>
          </w:p>
        </w:tc>
        <w:tc>
          <w:tcPr>
            <w:tcW w:w="851"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Regiono kategorija</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Tarpinė reikšmė (2018)</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Siektina reikšmė (2023)</w:t>
            </w:r>
          </w:p>
        </w:tc>
        <w:tc>
          <w:tcPr>
            <w:tcW w:w="992"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Duomenų šaltinis</w:t>
            </w:r>
          </w:p>
        </w:tc>
        <w:tc>
          <w:tcPr>
            <w:tcW w:w="4253"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Rodiklių tinkamumo pagrindimas</w:t>
            </w:r>
          </w:p>
        </w:tc>
      </w:tr>
      <w:tr w:rsidR="00385835" w:rsidRPr="00900EB5" w:rsidTr="00900EB5">
        <w:tc>
          <w:tcPr>
            <w:tcW w:w="1277" w:type="dxa"/>
            <w:shd w:val="clear" w:color="auto" w:fill="FFFFFF"/>
          </w:tcPr>
          <w:p w:rsidR="00385835" w:rsidRPr="00900EB5" w:rsidRDefault="00385835" w:rsidP="00900EB5">
            <w:pPr>
              <w:spacing w:after="0" w:line="240" w:lineRule="auto"/>
              <w:rPr>
                <w:rFonts w:ascii="Times New Roman" w:hAnsi="Times New Roman"/>
                <w:sz w:val="16"/>
                <w:szCs w:val="16"/>
              </w:rPr>
            </w:pPr>
            <w:r w:rsidRPr="00900EB5">
              <w:rPr>
                <w:rFonts w:ascii="Times New Roman" w:hAnsi="Times New Roman"/>
                <w:sz w:val="16"/>
                <w:szCs w:val="16"/>
              </w:rPr>
              <w:t>Finansinis</w:t>
            </w:r>
            <w:r w:rsidRPr="00900EB5">
              <w:rPr>
                <w:rFonts w:ascii="Times New Roman" w:eastAsia="AngsanaUPC" w:hAnsi="Times New Roman"/>
                <w:bCs/>
                <w:iCs/>
                <w:sz w:val="16"/>
                <w:szCs w:val="16"/>
              </w:rPr>
              <w:t xml:space="preserve"> </w:t>
            </w:r>
            <w:r w:rsidRPr="00900EB5">
              <w:rPr>
                <w:rFonts w:ascii="Times New Roman" w:hAnsi="Times New Roman"/>
                <w:sz w:val="16"/>
                <w:szCs w:val="16"/>
              </w:rPr>
              <w:t>rodiklis</w:t>
            </w:r>
          </w:p>
        </w:tc>
        <w:tc>
          <w:tcPr>
            <w:tcW w:w="2834" w:type="dxa"/>
            <w:shd w:val="clear" w:color="auto" w:fill="FFFFFF"/>
          </w:tcPr>
          <w:p w:rsidR="00385835" w:rsidRPr="00900EB5" w:rsidRDefault="00385835" w:rsidP="00900EB5">
            <w:pPr>
              <w:spacing w:after="0" w:line="240" w:lineRule="auto"/>
              <w:rPr>
                <w:rFonts w:ascii="Times New Roman" w:hAnsi="Times New Roman"/>
                <w:i/>
                <w:sz w:val="16"/>
                <w:szCs w:val="16"/>
              </w:rPr>
            </w:pPr>
            <w:r w:rsidRPr="00900EB5">
              <w:rPr>
                <w:rFonts w:ascii="Times New Roman" w:hAnsi="Times New Roman"/>
                <w:color w:val="000000"/>
                <w:sz w:val="16"/>
                <w:szCs w:val="16"/>
              </w:rPr>
              <w:t>Bendra tinkamų finansuoti išlaidų suma</w:t>
            </w:r>
            <w:r w:rsidR="005656AF" w:rsidRPr="00900EB5">
              <w:rPr>
                <w:rFonts w:ascii="Times New Roman" w:hAnsi="Times New Roman"/>
                <w:color w:val="000000"/>
                <w:sz w:val="16"/>
                <w:szCs w:val="16"/>
              </w:rPr>
              <w:t>,</w:t>
            </w:r>
            <w:r w:rsidRPr="00900EB5">
              <w:rPr>
                <w:rFonts w:ascii="Times New Roman" w:hAnsi="Times New Roman"/>
                <w:color w:val="000000"/>
                <w:sz w:val="16"/>
                <w:szCs w:val="16"/>
              </w:rPr>
              <w:t xml:space="preserve"> pripažinta tinkama deklaruoti EK</w:t>
            </w:r>
          </w:p>
        </w:tc>
        <w:tc>
          <w:tcPr>
            <w:tcW w:w="851" w:type="dxa"/>
            <w:shd w:val="clear" w:color="auto" w:fill="FFFFFF"/>
          </w:tcPr>
          <w:p w:rsidR="00385835" w:rsidRPr="00900EB5" w:rsidRDefault="00385835" w:rsidP="00900EB5">
            <w:pPr>
              <w:spacing w:after="0" w:line="240" w:lineRule="auto"/>
              <w:jc w:val="center"/>
              <w:rPr>
                <w:rFonts w:ascii="Times New Roman" w:hAnsi="Times New Roman"/>
                <w:i/>
                <w:sz w:val="16"/>
                <w:szCs w:val="16"/>
              </w:rPr>
            </w:pPr>
            <w:r w:rsidRPr="00900EB5">
              <w:rPr>
                <w:rFonts w:ascii="Times New Roman" w:hAnsi="Times New Roman"/>
                <w:sz w:val="16"/>
                <w:szCs w:val="16"/>
              </w:rPr>
              <w:t>Eurai</w:t>
            </w:r>
          </w:p>
        </w:tc>
        <w:tc>
          <w:tcPr>
            <w:tcW w:w="708" w:type="dxa"/>
            <w:shd w:val="clear" w:color="auto" w:fill="FFFFFF"/>
          </w:tcPr>
          <w:p w:rsidR="00385835" w:rsidRPr="00900EB5" w:rsidRDefault="00385835" w:rsidP="00900EB5">
            <w:pPr>
              <w:spacing w:after="0" w:line="240" w:lineRule="auto"/>
              <w:jc w:val="center"/>
              <w:rPr>
                <w:rFonts w:ascii="Times New Roman" w:hAnsi="Times New Roman"/>
                <w:sz w:val="16"/>
                <w:szCs w:val="16"/>
              </w:rPr>
            </w:pPr>
            <w:r w:rsidRPr="00900EB5">
              <w:rPr>
                <w:rFonts w:ascii="Times New Roman" w:hAnsi="Times New Roman"/>
                <w:sz w:val="16"/>
                <w:szCs w:val="16"/>
              </w:rPr>
              <w:t>ERPF</w:t>
            </w:r>
          </w:p>
        </w:tc>
        <w:tc>
          <w:tcPr>
            <w:tcW w:w="851" w:type="dxa"/>
            <w:shd w:val="clear" w:color="auto" w:fill="FFFFFF"/>
          </w:tcPr>
          <w:p w:rsidR="00385835" w:rsidRPr="00900EB5" w:rsidRDefault="00385835" w:rsidP="00900EB5">
            <w:pPr>
              <w:spacing w:after="0" w:line="240" w:lineRule="auto"/>
              <w:jc w:val="center"/>
              <w:rPr>
                <w:rFonts w:ascii="Times New Roman" w:hAnsi="Times New Roman"/>
                <w:sz w:val="16"/>
                <w:szCs w:val="16"/>
              </w:rPr>
            </w:pPr>
            <w:r w:rsidRPr="00900EB5">
              <w:rPr>
                <w:rFonts w:ascii="Times New Roman" w:hAnsi="Times New Roman"/>
                <w:sz w:val="16"/>
                <w:szCs w:val="16"/>
              </w:rPr>
              <w:t>Mažiau išsivystęs</w:t>
            </w:r>
          </w:p>
        </w:tc>
        <w:tc>
          <w:tcPr>
            <w:tcW w:w="1134" w:type="dxa"/>
            <w:shd w:val="clear" w:color="auto" w:fill="FFFFFF"/>
          </w:tcPr>
          <w:p w:rsidR="00D828BD" w:rsidRPr="00900EB5" w:rsidRDefault="00D828BD" w:rsidP="00900EB5">
            <w:pPr>
              <w:spacing w:after="0"/>
              <w:jc w:val="center"/>
              <w:rPr>
                <w:rFonts w:ascii="Times New Roman" w:hAnsi="Times New Roman"/>
                <w:sz w:val="16"/>
                <w:szCs w:val="16"/>
              </w:rPr>
            </w:pPr>
            <w:r w:rsidRPr="00900EB5">
              <w:rPr>
                <w:rFonts w:ascii="Times New Roman" w:hAnsi="Times New Roman"/>
                <w:bCs/>
                <w:color w:val="000000"/>
                <w:sz w:val="16"/>
                <w:szCs w:val="16"/>
              </w:rPr>
              <w:t>113.785.765</w:t>
            </w:r>
          </w:p>
        </w:tc>
        <w:tc>
          <w:tcPr>
            <w:tcW w:w="1134" w:type="dxa"/>
            <w:shd w:val="clear" w:color="auto" w:fill="FFFFFF"/>
          </w:tcPr>
          <w:p w:rsidR="00385835" w:rsidRPr="00900EB5" w:rsidRDefault="00C909F5" w:rsidP="00900EB5">
            <w:pPr>
              <w:spacing w:after="0" w:line="240" w:lineRule="auto"/>
              <w:jc w:val="center"/>
              <w:rPr>
                <w:rFonts w:ascii="Times New Roman" w:hAnsi="Times New Roman"/>
                <w:sz w:val="16"/>
                <w:szCs w:val="16"/>
              </w:rPr>
            </w:pPr>
            <w:r w:rsidRPr="00900EB5">
              <w:rPr>
                <w:rFonts w:ascii="Times New Roman" w:hAnsi="Times New Roman"/>
                <w:sz w:val="16"/>
                <w:szCs w:val="16"/>
              </w:rPr>
              <w:t>470.278.651</w:t>
            </w:r>
          </w:p>
        </w:tc>
        <w:tc>
          <w:tcPr>
            <w:tcW w:w="992" w:type="dxa"/>
            <w:shd w:val="clear" w:color="auto" w:fill="FFFFFF"/>
          </w:tcPr>
          <w:p w:rsidR="00385835" w:rsidRPr="00900EB5" w:rsidRDefault="00385835" w:rsidP="00900EB5">
            <w:pPr>
              <w:spacing w:after="0"/>
              <w:jc w:val="center"/>
              <w:rPr>
                <w:rFonts w:ascii="Times New Roman" w:hAnsi="Times New Roman"/>
                <w:sz w:val="16"/>
                <w:szCs w:val="16"/>
              </w:rPr>
            </w:pPr>
            <w:r w:rsidRPr="00900EB5">
              <w:rPr>
                <w:rFonts w:ascii="Times New Roman" w:hAnsi="Times New Roman"/>
                <w:sz w:val="16"/>
                <w:szCs w:val="16"/>
              </w:rPr>
              <w:t>Duomenys iš projektų</w:t>
            </w:r>
          </w:p>
        </w:tc>
        <w:tc>
          <w:tcPr>
            <w:tcW w:w="4253" w:type="dxa"/>
            <w:shd w:val="clear" w:color="auto" w:fill="FFFFFF"/>
          </w:tcPr>
          <w:p w:rsidR="00385835" w:rsidRPr="00900EB5" w:rsidRDefault="00385835" w:rsidP="00900EB5">
            <w:pPr>
              <w:spacing w:after="0" w:line="240" w:lineRule="auto"/>
              <w:rPr>
                <w:rFonts w:ascii="Times New Roman" w:hAnsi="Times New Roman"/>
                <w:sz w:val="16"/>
                <w:szCs w:val="16"/>
              </w:rPr>
            </w:pPr>
            <w:r w:rsidRPr="00900EB5">
              <w:rPr>
                <w:rFonts w:ascii="Times New Roman" w:hAnsi="Times New Roman"/>
                <w:sz w:val="16"/>
                <w:szCs w:val="16"/>
              </w:rPr>
              <w:t>Privalomas rodiklis, kuris atspindi finansinę prioriteto įgyvendinimo pažangą.</w:t>
            </w:r>
          </w:p>
        </w:tc>
      </w:tr>
      <w:tr w:rsidR="00385835" w:rsidRPr="00900EB5" w:rsidTr="00900EB5">
        <w:tc>
          <w:tcPr>
            <w:tcW w:w="1277" w:type="dxa"/>
            <w:shd w:val="clear" w:color="auto" w:fill="FFFFFF"/>
          </w:tcPr>
          <w:p w:rsidR="00385835" w:rsidRPr="00900EB5" w:rsidRDefault="00385835" w:rsidP="00900EB5">
            <w:pPr>
              <w:spacing w:after="0" w:line="240" w:lineRule="auto"/>
              <w:rPr>
                <w:rFonts w:ascii="Times New Roman" w:hAnsi="Times New Roman"/>
                <w:sz w:val="16"/>
                <w:szCs w:val="16"/>
              </w:rPr>
            </w:pPr>
            <w:r w:rsidRPr="00900EB5">
              <w:rPr>
                <w:rFonts w:ascii="Times New Roman" w:hAnsi="Times New Roman"/>
                <w:sz w:val="16"/>
                <w:szCs w:val="16"/>
              </w:rPr>
              <w:t>Produkto rodiklis</w:t>
            </w:r>
          </w:p>
        </w:tc>
        <w:tc>
          <w:tcPr>
            <w:tcW w:w="2834" w:type="dxa"/>
            <w:shd w:val="clear" w:color="auto" w:fill="FFFFFF"/>
          </w:tcPr>
          <w:p w:rsidR="00385835" w:rsidRPr="00900EB5" w:rsidRDefault="00B1109C" w:rsidP="00900EB5">
            <w:pPr>
              <w:spacing w:after="0" w:line="240" w:lineRule="auto"/>
              <w:rPr>
                <w:rFonts w:ascii="Times New Roman" w:hAnsi="Times New Roman"/>
                <w:sz w:val="16"/>
                <w:szCs w:val="16"/>
              </w:rPr>
            </w:pPr>
            <w:r w:rsidRPr="00900EB5">
              <w:rPr>
                <w:rFonts w:ascii="Times New Roman" w:hAnsi="Times New Roman"/>
                <w:sz w:val="16"/>
                <w:szCs w:val="16"/>
              </w:rPr>
              <w:t>S</w:t>
            </w:r>
            <w:r w:rsidR="00385835" w:rsidRPr="00900EB5">
              <w:rPr>
                <w:rFonts w:ascii="Times New Roman" w:hAnsi="Times New Roman"/>
                <w:sz w:val="16"/>
                <w:szCs w:val="16"/>
              </w:rPr>
              <w:t>ukurtos arba atnaujintos atviros erdvės miestų vietovėse</w:t>
            </w:r>
          </w:p>
        </w:tc>
        <w:tc>
          <w:tcPr>
            <w:tcW w:w="851" w:type="dxa"/>
            <w:shd w:val="clear" w:color="auto" w:fill="FFFFFF"/>
          </w:tcPr>
          <w:p w:rsidR="00385835" w:rsidRPr="00900EB5" w:rsidRDefault="00385835" w:rsidP="00900EB5">
            <w:pPr>
              <w:spacing w:after="0" w:line="240" w:lineRule="auto"/>
              <w:jc w:val="center"/>
              <w:rPr>
                <w:rFonts w:ascii="Times New Roman" w:hAnsi="Times New Roman"/>
                <w:bCs/>
                <w:sz w:val="16"/>
                <w:szCs w:val="16"/>
              </w:rPr>
            </w:pPr>
            <w:r w:rsidRPr="00900EB5">
              <w:rPr>
                <w:rFonts w:ascii="Times New Roman" w:hAnsi="Times New Roman"/>
                <w:bCs/>
                <w:sz w:val="16"/>
                <w:szCs w:val="16"/>
              </w:rPr>
              <w:t>Kv. m</w:t>
            </w:r>
          </w:p>
        </w:tc>
        <w:tc>
          <w:tcPr>
            <w:tcW w:w="708" w:type="dxa"/>
            <w:shd w:val="clear" w:color="auto" w:fill="FFFFFF"/>
          </w:tcPr>
          <w:p w:rsidR="00385835" w:rsidRPr="00900EB5" w:rsidRDefault="00385835" w:rsidP="00900EB5">
            <w:pPr>
              <w:spacing w:after="0" w:line="240" w:lineRule="auto"/>
              <w:jc w:val="center"/>
              <w:rPr>
                <w:rFonts w:ascii="Times New Roman" w:hAnsi="Times New Roman"/>
                <w:bCs/>
                <w:sz w:val="16"/>
                <w:szCs w:val="16"/>
              </w:rPr>
            </w:pPr>
            <w:r w:rsidRPr="00900EB5">
              <w:rPr>
                <w:rFonts w:ascii="Times New Roman" w:hAnsi="Times New Roman"/>
                <w:bCs/>
                <w:sz w:val="16"/>
                <w:szCs w:val="16"/>
              </w:rPr>
              <w:t>ERPF</w:t>
            </w:r>
          </w:p>
        </w:tc>
        <w:tc>
          <w:tcPr>
            <w:tcW w:w="851" w:type="dxa"/>
            <w:shd w:val="clear" w:color="auto" w:fill="FFFFFF"/>
          </w:tcPr>
          <w:p w:rsidR="00385835" w:rsidRPr="00900EB5" w:rsidRDefault="00385835" w:rsidP="00900EB5">
            <w:pPr>
              <w:widowControl w:val="0"/>
              <w:tabs>
                <w:tab w:val="left" w:pos="622"/>
              </w:tabs>
              <w:spacing w:after="0"/>
              <w:jc w:val="center"/>
              <w:rPr>
                <w:rFonts w:ascii="Times New Roman" w:hAnsi="Times New Roman"/>
                <w:sz w:val="16"/>
                <w:szCs w:val="16"/>
              </w:rPr>
            </w:pPr>
            <w:r w:rsidRPr="00900EB5">
              <w:rPr>
                <w:rFonts w:ascii="Times New Roman" w:hAnsi="Times New Roman"/>
                <w:sz w:val="16"/>
                <w:szCs w:val="16"/>
              </w:rPr>
              <w:t>Mažiau išsivystęs</w:t>
            </w:r>
          </w:p>
        </w:tc>
        <w:tc>
          <w:tcPr>
            <w:tcW w:w="1134" w:type="dxa"/>
            <w:shd w:val="clear" w:color="auto" w:fill="FFFFFF"/>
          </w:tcPr>
          <w:p w:rsidR="00385835" w:rsidRPr="00900EB5" w:rsidRDefault="00385835" w:rsidP="00900EB5">
            <w:pPr>
              <w:spacing w:after="0" w:line="240" w:lineRule="auto"/>
              <w:jc w:val="center"/>
              <w:rPr>
                <w:rFonts w:ascii="Times New Roman" w:hAnsi="Times New Roman"/>
                <w:sz w:val="16"/>
                <w:szCs w:val="16"/>
              </w:rPr>
            </w:pPr>
            <w:r w:rsidRPr="00900EB5">
              <w:rPr>
                <w:rFonts w:ascii="Times New Roman" w:hAnsi="Times New Roman"/>
                <w:sz w:val="16"/>
                <w:szCs w:val="16"/>
              </w:rPr>
              <w:t>0</w:t>
            </w:r>
          </w:p>
        </w:tc>
        <w:tc>
          <w:tcPr>
            <w:tcW w:w="1134" w:type="dxa"/>
            <w:shd w:val="clear" w:color="auto" w:fill="FFFFFF"/>
          </w:tcPr>
          <w:p w:rsidR="00385835" w:rsidRPr="00900EB5" w:rsidRDefault="00385835" w:rsidP="00900EB5">
            <w:pPr>
              <w:spacing w:after="0" w:line="240" w:lineRule="auto"/>
              <w:jc w:val="center"/>
              <w:rPr>
                <w:rFonts w:ascii="Times New Roman" w:hAnsi="Times New Roman"/>
                <w:sz w:val="16"/>
                <w:szCs w:val="16"/>
              </w:rPr>
            </w:pPr>
            <w:r w:rsidRPr="00900EB5">
              <w:rPr>
                <w:rFonts w:ascii="Times New Roman" w:hAnsi="Times New Roman"/>
                <w:sz w:val="16"/>
                <w:szCs w:val="16"/>
              </w:rPr>
              <w:t>6</w:t>
            </w:r>
            <w:r w:rsidR="009348A3" w:rsidRPr="00900EB5">
              <w:rPr>
                <w:rFonts w:ascii="Times New Roman" w:hAnsi="Times New Roman"/>
                <w:sz w:val="16"/>
                <w:szCs w:val="16"/>
              </w:rPr>
              <w:t>.</w:t>
            </w:r>
            <w:r w:rsidRPr="00900EB5">
              <w:rPr>
                <w:rFonts w:ascii="Times New Roman" w:hAnsi="Times New Roman"/>
                <w:sz w:val="16"/>
                <w:szCs w:val="16"/>
              </w:rPr>
              <w:t>000</w:t>
            </w:r>
            <w:r w:rsidR="009348A3" w:rsidRPr="00900EB5">
              <w:rPr>
                <w:rFonts w:ascii="Times New Roman" w:hAnsi="Times New Roman"/>
                <w:sz w:val="16"/>
                <w:szCs w:val="16"/>
              </w:rPr>
              <w:t>.</w:t>
            </w:r>
            <w:r w:rsidRPr="00900EB5">
              <w:rPr>
                <w:rFonts w:ascii="Times New Roman" w:hAnsi="Times New Roman"/>
                <w:sz w:val="16"/>
                <w:szCs w:val="16"/>
              </w:rPr>
              <w:t>000</w:t>
            </w:r>
          </w:p>
        </w:tc>
        <w:tc>
          <w:tcPr>
            <w:tcW w:w="992" w:type="dxa"/>
            <w:shd w:val="clear" w:color="auto" w:fill="FFFFFF"/>
          </w:tcPr>
          <w:p w:rsidR="00385835" w:rsidRPr="00900EB5" w:rsidRDefault="00385835" w:rsidP="00900EB5">
            <w:pPr>
              <w:spacing w:after="0" w:line="240" w:lineRule="auto"/>
              <w:jc w:val="center"/>
              <w:rPr>
                <w:rFonts w:ascii="Times New Roman" w:hAnsi="Times New Roman"/>
                <w:sz w:val="16"/>
                <w:szCs w:val="16"/>
              </w:rPr>
            </w:pPr>
            <w:r w:rsidRPr="00900EB5">
              <w:rPr>
                <w:rFonts w:ascii="Times New Roman" w:hAnsi="Times New Roman"/>
                <w:sz w:val="16"/>
                <w:szCs w:val="16"/>
              </w:rPr>
              <w:t xml:space="preserve">Duomenys iš projektų </w:t>
            </w:r>
          </w:p>
        </w:tc>
        <w:tc>
          <w:tcPr>
            <w:tcW w:w="4253" w:type="dxa"/>
            <w:shd w:val="clear" w:color="auto" w:fill="FFFFFF"/>
          </w:tcPr>
          <w:p w:rsidR="00385835" w:rsidRPr="00900EB5" w:rsidRDefault="00385835" w:rsidP="00900EB5">
            <w:pPr>
              <w:spacing w:after="0" w:line="240" w:lineRule="auto"/>
              <w:rPr>
                <w:rFonts w:ascii="Times New Roman" w:hAnsi="Times New Roman"/>
                <w:sz w:val="16"/>
                <w:szCs w:val="16"/>
              </w:rPr>
            </w:pPr>
            <w:r w:rsidRPr="00900EB5">
              <w:rPr>
                <w:rFonts w:ascii="Times New Roman" w:hAnsi="Times New Roman"/>
                <w:sz w:val="16"/>
                <w:szCs w:val="16"/>
              </w:rPr>
              <w:t>Rodiklis atspindi prioriteto įgyvendinimo eigą, nes jo pasiekimui skirta 62 proc. šio prioriteto įgyvendinimui skirtų ERPF lėšų.</w:t>
            </w:r>
          </w:p>
        </w:tc>
      </w:tr>
      <w:tr w:rsidR="00385835" w:rsidRPr="00900EB5" w:rsidTr="00900EB5">
        <w:tc>
          <w:tcPr>
            <w:tcW w:w="1277" w:type="dxa"/>
            <w:shd w:val="clear" w:color="auto" w:fill="FFFFFF"/>
          </w:tcPr>
          <w:p w:rsidR="00385835" w:rsidRPr="00900EB5" w:rsidRDefault="00385835" w:rsidP="00900EB5">
            <w:pPr>
              <w:spacing w:after="0" w:line="240" w:lineRule="auto"/>
              <w:rPr>
                <w:rFonts w:ascii="Times New Roman" w:hAnsi="Times New Roman"/>
                <w:sz w:val="16"/>
                <w:szCs w:val="16"/>
              </w:rPr>
            </w:pPr>
            <w:r w:rsidRPr="00900EB5">
              <w:rPr>
                <w:rFonts w:ascii="Times New Roman" w:hAnsi="Times New Roman"/>
                <w:sz w:val="16"/>
                <w:szCs w:val="16"/>
              </w:rPr>
              <w:t>Įgyvendinimo žingsnis</w:t>
            </w:r>
          </w:p>
        </w:tc>
        <w:tc>
          <w:tcPr>
            <w:tcW w:w="2834" w:type="dxa"/>
            <w:shd w:val="clear" w:color="auto" w:fill="FFFFFF"/>
          </w:tcPr>
          <w:p w:rsidR="00385835" w:rsidRPr="00900EB5" w:rsidRDefault="00385835" w:rsidP="00900EB5">
            <w:pPr>
              <w:spacing w:after="0" w:line="240" w:lineRule="auto"/>
              <w:rPr>
                <w:rFonts w:ascii="Times New Roman" w:hAnsi="Times New Roman"/>
                <w:sz w:val="16"/>
                <w:szCs w:val="16"/>
              </w:rPr>
            </w:pPr>
            <w:r w:rsidRPr="00900EB5">
              <w:rPr>
                <w:rFonts w:ascii="Times New Roman" w:hAnsi="Times New Roman"/>
                <w:sz w:val="16"/>
                <w:szCs w:val="16"/>
              </w:rPr>
              <w:t>Projektų finansavimo ir administravimo sutartyse suplanuota produkto rodiklio „</w:t>
            </w:r>
            <w:r w:rsidR="00B1109C" w:rsidRPr="00900EB5">
              <w:rPr>
                <w:rFonts w:ascii="Times New Roman" w:hAnsi="Times New Roman"/>
                <w:sz w:val="16"/>
                <w:szCs w:val="16"/>
              </w:rPr>
              <w:t>S</w:t>
            </w:r>
            <w:r w:rsidRPr="00900EB5">
              <w:rPr>
                <w:rFonts w:ascii="Times New Roman" w:hAnsi="Times New Roman"/>
                <w:sz w:val="16"/>
                <w:szCs w:val="16"/>
              </w:rPr>
              <w:t>ukurtos arba atnaujintos atviros erdvės miestų vietovėse“ reikšmė</w:t>
            </w:r>
          </w:p>
        </w:tc>
        <w:tc>
          <w:tcPr>
            <w:tcW w:w="851" w:type="dxa"/>
            <w:shd w:val="clear" w:color="auto" w:fill="FFFFFF"/>
          </w:tcPr>
          <w:p w:rsidR="00385835" w:rsidRPr="00900EB5" w:rsidRDefault="00385835" w:rsidP="00900EB5">
            <w:pPr>
              <w:spacing w:after="0" w:line="240" w:lineRule="auto"/>
              <w:jc w:val="center"/>
              <w:rPr>
                <w:rFonts w:ascii="Times New Roman" w:hAnsi="Times New Roman"/>
                <w:bCs/>
                <w:sz w:val="16"/>
                <w:szCs w:val="16"/>
              </w:rPr>
            </w:pPr>
            <w:r w:rsidRPr="00900EB5">
              <w:rPr>
                <w:rFonts w:ascii="Times New Roman" w:hAnsi="Times New Roman"/>
                <w:bCs/>
                <w:sz w:val="16"/>
                <w:szCs w:val="16"/>
              </w:rPr>
              <w:t>Kv. m</w:t>
            </w:r>
          </w:p>
        </w:tc>
        <w:tc>
          <w:tcPr>
            <w:tcW w:w="708" w:type="dxa"/>
            <w:shd w:val="clear" w:color="auto" w:fill="FFFFFF"/>
          </w:tcPr>
          <w:p w:rsidR="00385835" w:rsidRPr="00900EB5" w:rsidRDefault="00385835" w:rsidP="00900EB5">
            <w:pPr>
              <w:spacing w:after="0" w:line="240" w:lineRule="auto"/>
              <w:jc w:val="center"/>
              <w:rPr>
                <w:rFonts w:ascii="Times New Roman" w:hAnsi="Times New Roman"/>
                <w:bCs/>
                <w:sz w:val="16"/>
                <w:szCs w:val="16"/>
              </w:rPr>
            </w:pPr>
            <w:r w:rsidRPr="00900EB5">
              <w:rPr>
                <w:rFonts w:ascii="Times New Roman" w:hAnsi="Times New Roman"/>
                <w:bCs/>
                <w:sz w:val="16"/>
                <w:szCs w:val="16"/>
              </w:rPr>
              <w:t>ERPF</w:t>
            </w:r>
          </w:p>
        </w:tc>
        <w:tc>
          <w:tcPr>
            <w:tcW w:w="851" w:type="dxa"/>
            <w:shd w:val="clear" w:color="auto" w:fill="FFFFFF"/>
          </w:tcPr>
          <w:p w:rsidR="00385835" w:rsidRPr="00900EB5" w:rsidRDefault="00385835" w:rsidP="00900EB5">
            <w:pPr>
              <w:widowControl w:val="0"/>
              <w:tabs>
                <w:tab w:val="left" w:pos="622"/>
              </w:tabs>
              <w:spacing w:after="0"/>
              <w:jc w:val="center"/>
              <w:rPr>
                <w:rFonts w:ascii="Times New Roman" w:hAnsi="Times New Roman"/>
                <w:sz w:val="16"/>
                <w:szCs w:val="16"/>
              </w:rPr>
            </w:pPr>
            <w:r w:rsidRPr="00900EB5">
              <w:rPr>
                <w:rFonts w:ascii="Times New Roman" w:hAnsi="Times New Roman"/>
                <w:sz w:val="16"/>
                <w:szCs w:val="16"/>
              </w:rPr>
              <w:t>Mažiau išsivystęs</w:t>
            </w:r>
          </w:p>
        </w:tc>
        <w:tc>
          <w:tcPr>
            <w:tcW w:w="1134" w:type="dxa"/>
            <w:shd w:val="clear" w:color="auto" w:fill="FFFFFF"/>
          </w:tcPr>
          <w:p w:rsidR="00385835" w:rsidRPr="00900EB5" w:rsidRDefault="00385835" w:rsidP="00900EB5">
            <w:pPr>
              <w:spacing w:after="0" w:line="240" w:lineRule="auto"/>
              <w:jc w:val="center"/>
              <w:rPr>
                <w:rFonts w:ascii="Times New Roman" w:hAnsi="Times New Roman"/>
                <w:sz w:val="16"/>
                <w:szCs w:val="16"/>
              </w:rPr>
            </w:pPr>
            <w:r w:rsidRPr="00900EB5">
              <w:rPr>
                <w:rFonts w:ascii="Times New Roman" w:hAnsi="Times New Roman"/>
                <w:sz w:val="16"/>
                <w:szCs w:val="16"/>
              </w:rPr>
              <w:t>3</w:t>
            </w:r>
            <w:r w:rsidR="009348A3" w:rsidRPr="00900EB5">
              <w:rPr>
                <w:rFonts w:ascii="Times New Roman" w:hAnsi="Times New Roman"/>
                <w:sz w:val="16"/>
                <w:szCs w:val="16"/>
              </w:rPr>
              <w:t>.</w:t>
            </w:r>
            <w:r w:rsidRPr="00900EB5">
              <w:rPr>
                <w:rFonts w:ascii="Times New Roman" w:hAnsi="Times New Roman"/>
                <w:sz w:val="16"/>
                <w:szCs w:val="16"/>
              </w:rPr>
              <w:t>600</w:t>
            </w:r>
            <w:r w:rsidR="009348A3" w:rsidRPr="00900EB5">
              <w:rPr>
                <w:rFonts w:ascii="Times New Roman" w:hAnsi="Times New Roman"/>
                <w:sz w:val="16"/>
                <w:szCs w:val="16"/>
              </w:rPr>
              <w:t>.</w:t>
            </w:r>
            <w:r w:rsidRPr="00900EB5">
              <w:rPr>
                <w:rFonts w:ascii="Times New Roman" w:hAnsi="Times New Roman"/>
                <w:sz w:val="16"/>
                <w:szCs w:val="16"/>
              </w:rPr>
              <w:t>000</w:t>
            </w:r>
          </w:p>
        </w:tc>
        <w:tc>
          <w:tcPr>
            <w:tcW w:w="1134" w:type="dxa"/>
            <w:shd w:val="clear" w:color="auto" w:fill="FFFFFF"/>
          </w:tcPr>
          <w:p w:rsidR="00385835" w:rsidRPr="00900EB5" w:rsidRDefault="00385835" w:rsidP="00900EB5">
            <w:pPr>
              <w:spacing w:after="0" w:line="240" w:lineRule="auto"/>
              <w:jc w:val="center"/>
              <w:rPr>
                <w:rFonts w:ascii="Times New Roman" w:hAnsi="Times New Roman"/>
                <w:sz w:val="16"/>
                <w:szCs w:val="16"/>
              </w:rPr>
            </w:pPr>
            <w:r w:rsidRPr="00900EB5">
              <w:rPr>
                <w:rFonts w:ascii="Times New Roman" w:hAnsi="Times New Roman"/>
                <w:sz w:val="16"/>
                <w:szCs w:val="16"/>
              </w:rPr>
              <w:t>-</w:t>
            </w:r>
          </w:p>
        </w:tc>
        <w:tc>
          <w:tcPr>
            <w:tcW w:w="992" w:type="dxa"/>
            <w:shd w:val="clear" w:color="auto" w:fill="FFFFFF"/>
          </w:tcPr>
          <w:p w:rsidR="00385835" w:rsidRPr="00900EB5" w:rsidRDefault="00385835" w:rsidP="00900EB5">
            <w:pPr>
              <w:spacing w:after="0" w:line="240" w:lineRule="auto"/>
              <w:jc w:val="center"/>
              <w:rPr>
                <w:rFonts w:ascii="Times New Roman" w:hAnsi="Times New Roman"/>
                <w:sz w:val="16"/>
                <w:szCs w:val="16"/>
              </w:rPr>
            </w:pPr>
            <w:r w:rsidRPr="00900EB5">
              <w:rPr>
                <w:rFonts w:ascii="Times New Roman" w:hAnsi="Times New Roman"/>
                <w:sz w:val="16"/>
                <w:szCs w:val="16"/>
              </w:rPr>
              <w:t xml:space="preserve">Duomenys iš projektų </w:t>
            </w:r>
          </w:p>
        </w:tc>
        <w:tc>
          <w:tcPr>
            <w:tcW w:w="4253" w:type="dxa"/>
            <w:shd w:val="clear" w:color="auto" w:fill="FFFFFF"/>
          </w:tcPr>
          <w:p w:rsidR="00385835" w:rsidRPr="00900EB5" w:rsidRDefault="00385835" w:rsidP="00900EB5">
            <w:pPr>
              <w:spacing w:after="0" w:line="240" w:lineRule="auto"/>
              <w:rPr>
                <w:rFonts w:ascii="Times New Roman" w:hAnsi="Times New Roman"/>
                <w:sz w:val="16"/>
                <w:szCs w:val="16"/>
              </w:rPr>
            </w:pPr>
            <w:r w:rsidRPr="00900EB5">
              <w:rPr>
                <w:rFonts w:ascii="Times New Roman" w:hAnsi="Times New Roman"/>
                <w:sz w:val="16"/>
                <w:szCs w:val="16"/>
              </w:rPr>
              <w:t>Įgyvendinimo žingsnis pasirinktas, nes iki 2018 m. nebus baigtų projektų, atsižvelgiant į ilgesnę projektų įgyvendinimo trukmę.</w:t>
            </w:r>
          </w:p>
          <w:p w:rsidR="00385835" w:rsidRPr="00900EB5" w:rsidRDefault="00385835" w:rsidP="00900EB5">
            <w:pPr>
              <w:spacing w:after="0" w:line="240" w:lineRule="auto"/>
              <w:rPr>
                <w:rFonts w:ascii="Times New Roman" w:hAnsi="Times New Roman"/>
                <w:sz w:val="16"/>
                <w:szCs w:val="16"/>
              </w:rPr>
            </w:pPr>
            <w:r w:rsidRPr="00900EB5">
              <w:rPr>
                <w:rFonts w:ascii="Times New Roman" w:hAnsi="Times New Roman"/>
                <w:sz w:val="16"/>
                <w:szCs w:val="16"/>
              </w:rPr>
              <w:t>Projektų finansavimo ir administravimo sutartyse suplanuota produkto rodiklio reikšmė rodys, ar projektai įgyvendinami numatyta apimtimi.</w:t>
            </w:r>
          </w:p>
        </w:tc>
      </w:tr>
      <w:tr w:rsidR="00385835" w:rsidRPr="00900EB5" w:rsidTr="00900EB5">
        <w:tc>
          <w:tcPr>
            <w:tcW w:w="1277" w:type="dxa"/>
            <w:shd w:val="clear" w:color="auto" w:fill="FFFFFF"/>
          </w:tcPr>
          <w:p w:rsidR="00385835" w:rsidRPr="00900EB5" w:rsidRDefault="00385835" w:rsidP="00900EB5">
            <w:pPr>
              <w:spacing w:after="0" w:line="240" w:lineRule="auto"/>
              <w:rPr>
                <w:rFonts w:ascii="Times New Roman" w:hAnsi="Times New Roman"/>
                <w:sz w:val="16"/>
                <w:szCs w:val="16"/>
              </w:rPr>
            </w:pPr>
            <w:r w:rsidRPr="00900EB5">
              <w:rPr>
                <w:rFonts w:ascii="Times New Roman" w:hAnsi="Times New Roman"/>
                <w:sz w:val="16"/>
                <w:szCs w:val="16"/>
              </w:rPr>
              <w:t>Finansinis</w:t>
            </w:r>
            <w:r w:rsidRPr="00900EB5">
              <w:rPr>
                <w:rFonts w:ascii="Times New Roman" w:eastAsia="AngsanaUPC" w:hAnsi="Times New Roman"/>
                <w:bCs/>
                <w:iCs/>
                <w:sz w:val="16"/>
                <w:szCs w:val="16"/>
              </w:rPr>
              <w:t xml:space="preserve"> </w:t>
            </w:r>
            <w:r w:rsidRPr="00900EB5">
              <w:rPr>
                <w:rFonts w:ascii="Times New Roman" w:hAnsi="Times New Roman"/>
                <w:sz w:val="16"/>
                <w:szCs w:val="16"/>
              </w:rPr>
              <w:t>rodiklis</w:t>
            </w:r>
          </w:p>
        </w:tc>
        <w:tc>
          <w:tcPr>
            <w:tcW w:w="2834" w:type="dxa"/>
            <w:shd w:val="clear" w:color="auto" w:fill="FFFFFF"/>
          </w:tcPr>
          <w:p w:rsidR="00385835" w:rsidRPr="00900EB5" w:rsidRDefault="00385835" w:rsidP="00900EB5">
            <w:pPr>
              <w:spacing w:after="0" w:line="240" w:lineRule="auto"/>
              <w:rPr>
                <w:rFonts w:ascii="Times New Roman" w:hAnsi="Times New Roman"/>
                <w:i/>
                <w:sz w:val="16"/>
                <w:szCs w:val="16"/>
              </w:rPr>
            </w:pPr>
            <w:r w:rsidRPr="00900EB5">
              <w:rPr>
                <w:rFonts w:ascii="Times New Roman" w:hAnsi="Times New Roman"/>
                <w:color w:val="000000"/>
                <w:sz w:val="16"/>
                <w:szCs w:val="16"/>
              </w:rPr>
              <w:t>Bendra tinkamų finansuoti išlaidų suma</w:t>
            </w:r>
            <w:r w:rsidR="005656AF" w:rsidRPr="00900EB5">
              <w:rPr>
                <w:rFonts w:ascii="Times New Roman" w:hAnsi="Times New Roman"/>
                <w:color w:val="000000"/>
                <w:sz w:val="16"/>
                <w:szCs w:val="16"/>
              </w:rPr>
              <w:t>,</w:t>
            </w:r>
            <w:r w:rsidRPr="00900EB5">
              <w:rPr>
                <w:rFonts w:ascii="Times New Roman" w:hAnsi="Times New Roman"/>
                <w:color w:val="000000"/>
                <w:sz w:val="16"/>
                <w:szCs w:val="16"/>
              </w:rPr>
              <w:t xml:space="preserve"> pripažinta tinkama deklaruoti EK</w:t>
            </w:r>
          </w:p>
        </w:tc>
        <w:tc>
          <w:tcPr>
            <w:tcW w:w="851" w:type="dxa"/>
            <w:shd w:val="clear" w:color="auto" w:fill="FFFFFF"/>
          </w:tcPr>
          <w:p w:rsidR="00385835" w:rsidRPr="00900EB5" w:rsidRDefault="00385835" w:rsidP="00900EB5">
            <w:pPr>
              <w:spacing w:after="0" w:line="240" w:lineRule="auto"/>
              <w:jc w:val="center"/>
              <w:rPr>
                <w:rFonts w:ascii="Times New Roman" w:hAnsi="Times New Roman"/>
                <w:i/>
                <w:sz w:val="16"/>
                <w:szCs w:val="16"/>
              </w:rPr>
            </w:pPr>
            <w:r w:rsidRPr="00900EB5">
              <w:rPr>
                <w:rFonts w:ascii="Times New Roman" w:hAnsi="Times New Roman"/>
                <w:sz w:val="16"/>
                <w:szCs w:val="16"/>
              </w:rPr>
              <w:t>Eurai</w:t>
            </w:r>
          </w:p>
        </w:tc>
        <w:tc>
          <w:tcPr>
            <w:tcW w:w="708" w:type="dxa"/>
            <w:shd w:val="clear" w:color="auto" w:fill="FFFFFF"/>
          </w:tcPr>
          <w:p w:rsidR="00385835" w:rsidRPr="00900EB5" w:rsidRDefault="00385835" w:rsidP="00900EB5">
            <w:pPr>
              <w:spacing w:after="0" w:line="240" w:lineRule="auto"/>
              <w:jc w:val="center"/>
              <w:rPr>
                <w:rFonts w:ascii="Times New Roman" w:hAnsi="Times New Roman"/>
                <w:sz w:val="16"/>
                <w:szCs w:val="16"/>
              </w:rPr>
            </w:pPr>
            <w:r w:rsidRPr="00900EB5">
              <w:rPr>
                <w:rFonts w:ascii="Times New Roman" w:hAnsi="Times New Roman"/>
                <w:sz w:val="16"/>
                <w:szCs w:val="16"/>
              </w:rPr>
              <w:t>ESF</w:t>
            </w:r>
          </w:p>
        </w:tc>
        <w:tc>
          <w:tcPr>
            <w:tcW w:w="851" w:type="dxa"/>
            <w:shd w:val="clear" w:color="auto" w:fill="FFFFFF"/>
          </w:tcPr>
          <w:p w:rsidR="00385835" w:rsidRPr="00900EB5" w:rsidRDefault="00385835" w:rsidP="00900EB5">
            <w:pPr>
              <w:spacing w:after="0" w:line="240" w:lineRule="auto"/>
              <w:jc w:val="center"/>
              <w:rPr>
                <w:rFonts w:ascii="Times New Roman" w:hAnsi="Times New Roman"/>
                <w:sz w:val="16"/>
                <w:szCs w:val="16"/>
              </w:rPr>
            </w:pPr>
            <w:r w:rsidRPr="00900EB5">
              <w:rPr>
                <w:rFonts w:ascii="Times New Roman" w:hAnsi="Times New Roman"/>
                <w:sz w:val="16"/>
                <w:szCs w:val="16"/>
              </w:rPr>
              <w:t>Mažiau išsivystęs</w:t>
            </w:r>
          </w:p>
        </w:tc>
        <w:tc>
          <w:tcPr>
            <w:tcW w:w="1134" w:type="dxa"/>
            <w:shd w:val="clear" w:color="auto" w:fill="FFFFFF"/>
          </w:tcPr>
          <w:p w:rsidR="00D828BD" w:rsidRPr="00900EB5" w:rsidRDefault="00D828BD" w:rsidP="00900EB5">
            <w:pPr>
              <w:spacing w:after="0" w:line="240" w:lineRule="auto"/>
              <w:jc w:val="center"/>
              <w:rPr>
                <w:rFonts w:ascii="Times New Roman" w:hAnsi="Times New Roman"/>
                <w:sz w:val="16"/>
                <w:szCs w:val="16"/>
              </w:rPr>
            </w:pPr>
            <w:r w:rsidRPr="00900EB5">
              <w:rPr>
                <w:rFonts w:ascii="Times New Roman" w:hAnsi="Times New Roman"/>
                <w:bCs/>
                <w:color w:val="000000"/>
                <w:sz w:val="16"/>
                <w:szCs w:val="16"/>
              </w:rPr>
              <w:t>94.873.727</w:t>
            </w:r>
          </w:p>
        </w:tc>
        <w:tc>
          <w:tcPr>
            <w:tcW w:w="1134" w:type="dxa"/>
            <w:shd w:val="clear" w:color="auto" w:fill="FFFFFF"/>
          </w:tcPr>
          <w:p w:rsidR="00385835" w:rsidRPr="00900EB5" w:rsidRDefault="00C909F5" w:rsidP="00900EB5">
            <w:pPr>
              <w:spacing w:after="0" w:line="240" w:lineRule="auto"/>
              <w:jc w:val="center"/>
              <w:rPr>
                <w:rFonts w:ascii="Times New Roman" w:hAnsi="Times New Roman"/>
                <w:sz w:val="16"/>
                <w:szCs w:val="16"/>
              </w:rPr>
            </w:pPr>
            <w:r w:rsidRPr="00900EB5">
              <w:rPr>
                <w:rFonts w:ascii="Times New Roman" w:hAnsi="Times New Roman"/>
                <w:sz w:val="16"/>
                <w:szCs w:val="16"/>
              </w:rPr>
              <w:t>438.650</w:t>
            </w:r>
            <w:r w:rsidR="009348A3" w:rsidRPr="00900EB5">
              <w:rPr>
                <w:rFonts w:ascii="Times New Roman" w:hAnsi="Times New Roman"/>
                <w:sz w:val="16"/>
                <w:szCs w:val="16"/>
              </w:rPr>
              <w:t>.</w:t>
            </w:r>
            <w:r w:rsidRPr="00900EB5">
              <w:rPr>
                <w:rFonts w:ascii="Times New Roman" w:hAnsi="Times New Roman"/>
                <w:sz w:val="16"/>
                <w:szCs w:val="16"/>
              </w:rPr>
              <w:t>490</w:t>
            </w:r>
          </w:p>
        </w:tc>
        <w:tc>
          <w:tcPr>
            <w:tcW w:w="992" w:type="dxa"/>
            <w:shd w:val="clear" w:color="auto" w:fill="FFFFFF"/>
          </w:tcPr>
          <w:p w:rsidR="00385835" w:rsidRPr="00900EB5" w:rsidRDefault="00385835" w:rsidP="00900EB5">
            <w:pPr>
              <w:spacing w:after="0"/>
              <w:jc w:val="center"/>
              <w:rPr>
                <w:rFonts w:ascii="Times New Roman" w:hAnsi="Times New Roman"/>
                <w:sz w:val="16"/>
                <w:szCs w:val="16"/>
              </w:rPr>
            </w:pPr>
            <w:r w:rsidRPr="00900EB5">
              <w:rPr>
                <w:rFonts w:ascii="Times New Roman" w:hAnsi="Times New Roman"/>
                <w:sz w:val="16"/>
                <w:szCs w:val="16"/>
              </w:rPr>
              <w:t>Duomenys iš projektų</w:t>
            </w:r>
          </w:p>
        </w:tc>
        <w:tc>
          <w:tcPr>
            <w:tcW w:w="4253" w:type="dxa"/>
            <w:shd w:val="clear" w:color="auto" w:fill="FFFFFF"/>
          </w:tcPr>
          <w:p w:rsidR="00385835" w:rsidRPr="00900EB5" w:rsidRDefault="00385835" w:rsidP="00900EB5">
            <w:pPr>
              <w:spacing w:after="0" w:line="240" w:lineRule="auto"/>
              <w:rPr>
                <w:rFonts w:ascii="Times New Roman" w:hAnsi="Times New Roman"/>
                <w:sz w:val="16"/>
                <w:szCs w:val="16"/>
              </w:rPr>
            </w:pPr>
            <w:r w:rsidRPr="00900EB5">
              <w:rPr>
                <w:rFonts w:ascii="Times New Roman" w:hAnsi="Times New Roman"/>
                <w:sz w:val="16"/>
                <w:szCs w:val="16"/>
              </w:rPr>
              <w:t>Privalomas rodiklis, kuris atspindi finansinę prioriteto įgyvendinimo pažangą.</w:t>
            </w:r>
          </w:p>
        </w:tc>
      </w:tr>
      <w:tr w:rsidR="00385835" w:rsidRPr="00900EB5" w:rsidTr="00900EB5">
        <w:tc>
          <w:tcPr>
            <w:tcW w:w="1277" w:type="dxa"/>
            <w:shd w:val="clear" w:color="auto" w:fill="FFFFFF"/>
          </w:tcPr>
          <w:p w:rsidR="00385835" w:rsidRPr="00900EB5" w:rsidRDefault="00385835" w:rsidP="00900EB5">
            <w:pPr>
              <w:spacing w:after="0" w:line="240" w:lineRule="auto"/>
              <w:rPr>
                <w:rFonts w:ascii="Times New Roman" w:hAnsi="Times New Roman"/>
                <w:sz w:val="16"/>
                <w:szCs w:val="16"/>
              </w:rPr>
            </w:pPr>
            <w:r w:rsidRPr="00900EB5">
              <w:rPr>
                <w:rFonts w:ascii="Times New Roman" w:hAnsi="Times New Roman"/>
                <w:sz w:val="16"/>
                <w:szCs w:val="16"/>
              </w:rPr>
              <w:t>Produkto rodiklis</w:t>
            </w:r>
          </w:p>
        </w:tc>
        <w:tc>
          <w:tcPr>
            <w:tcW w:w="2834" w:type="dxa"/>
            <w:shd w:val="clear" w:color="auto" w:fill="FFFFFF"/>
          </w:tcPr>
          <w:p w:rsidR="00385835" w:rsidRPr="00900EB5" w:rsidRDefault="00385835" w:rsidP="00900EB5">
            <w:pPr>
              <w:spacing w:after="0" w:line="240" w:lineRule="auto"/>
              <w:rPr>
                <w:rFonts w:ascii="Times New Roman" w:hAnsi="Times New Roman"/>
                <w:sz w:val="16"/>
                <w:szCs w:val="16"/>
              </w:rPr>
            </w:pPr>
            <w:r w:rsidRPr="00900EB5">
              <w:rPr>
                <w:rFonts w:ascii="Times New Roman" w:hAnsi="Times New Roman"/>
                <w:sz w:val="16"/>
                <w:szCs w:val="16"/>
              </w:rPr>
              <w:t>Bedarbiai, įskaitant ilgalaikius bedarbius</w:t>
            </w:r>
          </w:p>
        </w:tc>
        <w:tc>
          <w:tcPr>
            <w:tcW w:w="851" w:type="dxa"/>
            <w:shd w:val="clear" w:color="auto" w:fill="FFFFFF"/>
          </w:tcPr>
          <w:p w:rsidR="00385835" w:rsidRPr="00900EB5" w:rsidRDefault="00385835" w:rsidP="00900EB5">
            <w:pPr>
              <w:spacing w:after="0" w:line="240" w:lineRule="auto"/>
              <w:jc w:val="center"/>
              <w:rPr>
                <w:rFonts w:ascii="Times New Roman" w:hAnsi="Times New Roman"/>
                <w:sz w:val="16"/>
                <w:szCs w:val="16"/>
              </w:rPr>
            </w:pPr>
            <w:r w:rsidRPr="00900EB5">
              <w:rPr>
                <w:rFonts w:ascii="Times New Roman" w:hAnsi="Times New Roman"/>
                <w:sz w:val="16"/>
                <w:szCs w:val="16"/>
              </w:rPr>
              <w:t>Asmenys</w:t>
            </w:r>
          </w:p>
        </w:tc>
        <w:tc>
          <w:tcPr>
            <w:tcW w:w="708" w:type="dxa"/>
            <w:shd w:val="clear" w:color="auto" w:fill="FFFFFF"/>
          </w:tcPr>
          <w:p w:rsidR="00385835" w:rsidRPr="00900EB5" w:rsidRDefault="00385835" w:rsidP="00900EB5">
            <w:pPr>
              <w:spacing w:after="0" w:line="240" w:lineRule="auto"/>
              <w:jc w:val="center"/>
              <w:rPr>
                <w:rFonts w:ascii="Times New Roman" w:hAnsi="Times New Roman"/>
                <w:sz w:val="16"/>
                <w:szCs w:val="16"/>
              </w:rPr>
            </w:pPr>
            <w:r w:rsidRPr="00900EB5">
              <w:rPr>
                <w:rFonts w:ascii="Times New Roman" w:hAnsi="Times New Roman"/>
                <w:sz w:val="16"/>
                <w:szCs w:val="16"/>
              </w:rPr>
              <w:t>ESF</w:t>
            </w:r>
          </w:p>
        </w:tc>
        <w:tc>
          <w:tcPr>
            <w:tcW w:w="851" w:type="dxa"/>
            <w:shd w:val="clear" w:color="auto" w:fill="FFFFFF"/>
          </w:tcPr>
          <w:p w:rsidR="00385835" w:rsidRPr="00900EB5" w:rsidRDefault="00385835" w:rsidP="00900EB5">
            <w:pPr>
              <w:spacing w:after="0" w:line="240" w:lineRule="auto"/>
              <w:jc w:val="center"/>
              <w:rPr>
                <w:rFonts w:ascii="Times New Roman" w:hAnsi="Times New Roman"/>
                <w:sz w:val="16"/>
                <w:szCs w:val="16"/>
              </w:rPr>
            </w:pPr>
            <w:r w:rsidRPr="00900EB5">
              <w:rPr>
                <w:rFonts w:ascii="Times New Roman" w:hAnsi="Times New Roman"/>
                <w:sz w:val="16"/>
                <w:szCs w:val="16"/>
              </w:rPr>
              <w:t>Mažiau išsivystęs</w:t>
            </w:r>
          </w:p>
        </w:tc>
        <w:tc>
          <w:tcPr>
            <w:tcW w:w="1134" w:type="dxa"/>
            <w:shd w:val="clear" w:color="auto" w:fill="FFFFFF"/>
          </w:tcPr>
          <w:p w:rsidR="00385835" w:rsidRPr="00900EB5" w:rsidRDefault="00385835" w:rsidP="00900EB5">
            <w:pPr>
              <w:spacing w:after="0" w:line="240" w:lineRule="auto"/>
              <w:jc w:val="center"/>
              <w:rPr>
                <w:rFonts w:ascii="Times New Roman" w:hAnsi="Times New Roman"/>
                <w:sz w:val="16"/>
                <w:szCs w:val="16"/>
              </w:rPr>
            </w:pPr>
            <w:r w:rsidRPr="00900EB5">
              <w:rPr>
                <w:rFonts w:ascii="Times New Roman" w:hAnsi="Times New Roman"/>
                <w:sz w:val="16"/>
                <w:szCs w:val="16"/>
              </w:rPr>
              <w:t>19</w:t>
            </w:r>
            <w:r w:rsidR="009348A3" w:rsidRPr="00900EB5">
              <w:rPr>
                <w:rFonts w:ascii="Times New Roman" w:hAnsi="Times New Roman"/>
                <w:sz w:val="16"/>
                <w:szCs w:val="16"/>
              </w:rPr>
              <w:t>.</w:t>
            </w:r>
            <w:r w:rsidRPr="00900EB5">
              <w:rPr>
                <w:rFonts w:ascii="Times New Roman" w:hAnsi="Times New Roman"/>
                <w:sz w:val="16"/>
                <w:szCs w:val="16"/>
              </w:rPr>
              <w:t>250</w:t>
            </w:r>
          </w:p>
        </w:tc>
        <w:tc>
          <w:tcPr>
            <w:tcW w:w="1134" w:type="dxa"/>
            <w:shd w:val="clear" w:color="auto" w:fill="FFFFFF"/>
          </w:tcPr>
          <w:p w:rsidR="00385835" w:rsidRPr="00900EB5" w:rsidRDefault="00385835" w:rsidP="00900EB5">
            <w:pPr>
              <w:spacing w:after="0" w:line="240" w:lineRule="auto"/>
              <w:jc w:val="center"/>
              <w:rPr>
                <w:rFonts w:ascii="Times New Roman" w:hAnsi="Times New Roman"/>
                <w:sz w:val="16"/>
                <w:szCs w:val="16"/>
              </w:rPr>
            </w:pPr>
            <w:r w:rsidRPr="00900EB5">
              <w:rPr>
                <w:rFonts w:ascii="Times New Roman" w:hAnsi="Times New Roman"/>
                <w:sz w:val="16"/>
                <w:szCs w:val="16"/>
              </w:rPr>
              <w:t>5</w:t>
            </w:r>
            <w:r w:rsidR="009F540A" w:rsidRPr="00900EB5">
              <w:rPr>
                <w:rFonts w:ascii="Times New Roman" w:hAnsi="Times New Roman"/>
                <w:sz w:val="16"/>
                <w:szCs w:val="16"/>
              </w:rPr>
              <w:t>7</w:t>
            </w:r>
            <w:r w:rsidR="009348A3" w:rsidRPr="00900EB5">
              <w:rPr>
                <w:rFonts w:ascii="Times New Roman" w:hAnsi="Times New Roman"/>
                <w:sz w:val="16"/>
                <w:szCs w:val="16"/>
              </w:rPr>
              <w:t>.</w:t>
            </w:r>
            <w:r w:rsidR="009F540A" w:rsidRPr="00900EB5">
              <w:rPr>
                <w:rFonts w:ascii="Times New Roman" w:hAnsi="Times New Roman"/>
                <w:sz w:val="16"/>
                <w:szCs w:val="16"/>
              </w:rPr>
              <w:t>9</w:t>
            </w:r>
            <w:r w:rsidRPr="00900EB5">
              <w:rPr>
                <w:rFonts w:ascii="Times New Roman" w:hAnsi="Times New Roman"/>
                <w:sz w:val="16"/>
                <w:szCs w:val="16"/>
              </w:rPr>
              <w:t>00</w:t>
            </w:r>
          </w:p>
        </w:tc>
        <w:tc>
          <w:tcPr>
            <w:tcW w:w="992" w:type="dxa"/>
            <w:shd w:val="clear" w:color="auto" w:fill="FFFFFF"/>
          </w:tcPr>
          <w:p w:rsidR="00385835" w:rsidRPr="00900EB5" w:rsidRDefault="00385835" w:rsidP="00900EB5">
            <w:pPr>
              <w:spacing w:after="0" w:line="240" w:lineRule="auto"/>
              <w:jc w:val="center"/>
              <w:rPr>
                <w:rFonts w:ascii="Times New Roman" w:hAnsi="Times New Roman"/>
                <w:sz w:val="16"/>
                <w:szCs w:val="16"/>
              </w:rPr>
            </w:pPr>
            <w:r w:rsidRPr="00900EB5">
              <w:rPr>
                <w:rFonts w:ascii="Times New Roman" w:hAnsi="Times New Roman"/>
                <w:sz w:val="16"/>
                <w:szCs w:val="16"/>
              </w:rPr>
              <w:t>Duomenys iš projektų</w:t>
            </w:r>
          </w:p>
        </w:tc>
        <w:tc>
          <w:tcPr>
            <w:tcW w:w="4253" w:type="dxa"/>
            <w:shd w:val="clear" w:color="auto" w:fill="FFFFFF"/>
          </w:tcPr>
          <w:p w:rsidR="00385835" w:rsidRPr="00900EB5" w:rsidRDefault="00385835" w:rsidP="00900EB5">
            <w:pPr>
              <w:spacing w:after="0" w:line="240" w:lineRule="auto"/>
              <w:rPr>
                <w:rFonts w:ascii="Times New Roman" w:hAnsi="Times New Roman"/>
                <w:sz w:val="16"/>
                <w:szCs w:val="16"/>
              </w:rPr>
            </w:pPr>
            <w:r w:rsidRPr="00900EB5">
              <w:rPr>
                <w:rFonts w:ascii="Times New Roman" w:hAnsi="Times New Roman"/>
                <w:sz w:val="16"/>
                <w:szCs w:val="16"/>
              </w:rPr>
              <w:t xml:space="preserve">Rodiklis atspindi prioriteto įgyvendinimo eigą, nes jo pasiekimui skirta </w:t>
            </w:r>
            <w:r w:rsidR="009F540A" w:rsidRPr="00900EB5">
              <w:rPr>
                <w:rFonts w:ascii="Times New Roman" w:hAnsi="Times New Roman"/>
                <w:sz w:val="16"/>
                <w:szCs w:val="16"/>
              </w:rPr>
              <w:t>45</w:t>
            </w:r>
            <w:r w:rsidRPr="00900EB5">
              <w:rPr>
                <w:rFonts w:ascii="Times New Roman" w:hAnsi="Times New Roman"/>
                <w:sz w:val="16"/>
                <w:szCs w:val="16"/>
              </w:rPr>
              <w:t xml:space="preserve"> proc. šio prioriteto įgyvendinimui skirtų ESF lėšų.</w:t>
            </w:r>
          </w:p>
        </w:tc>
      </w:tr>
      <w:tr w:rsidR="00385835" w:rsidRPr="00900EB5" w:rsidTr="00900EB5">
        <w:tc>
          <w:tcPr>
            <w:tcW w:w="1277" w:type="dxa"/>
            <w:shd w:val="clear" w:color="auto" w:fill="FFFFFF"/>
          </w:tcPr>
          <w:p w:rsidR="00385835" w:rsidRPr="00900EB5" w:rsidRDefault="00385835" w:rsidP="00900EB5">
            <w:pPr>
              <w:spacing w:after="0" w:line="240" w:lineRule="auto"/>
              <w:rPr>
                <w:rFonts w:ascii="Times New Roman" w:hAnsi="Times New Roman"/>
                <w:sz w:val="16"/>
                <w:szCs w:val="16"/>
              </w:rPr>
            </w:pPr>
            <w:r w:rsidRPr="00900EB5">
              <w:rPr>
                <w:rFonts w:ascii="Times New Roman" w:hAnsi="Times New Roman"/>
                <w:sz w:val="16"/>
                <w:szCs w:val="16"/>
              </w:rPr>
              <w:t>Produkto rodiklis</w:t>
            </w:r>
          </w:p>
        </w:tc>
        <w:tc>
          <w:tcPr>
            <w:tcW w:w="2834" w:type="dxa"/>
            <w:shd w:val="clear" w:color="auto" w:fill="FFFFFF"/>
          </w:tcPr>
          <w:p w:rsidR="00385835" w:rsidRPr="00900EB5" w:rsidRDefault="00385835" w:rsidP="00900EB5">
            <w:pPr>
              <w:spacing w:after="0" w:line="240" w:lineRule="auto"/>
              <w:rPr>
                <w:rFonts w:ascii="Times New Roman" w:hAnsi="Times New Roman"/>
                <w:sz w:val="16"/>
                <w:szCs w:val="16"/>
              </w:rPr>
            </w:pPr>
            <w:r w:rsidRPr="00900EB5">
              <w:rPr>
                <w:rFonts w:ascii="Times New Roman" w:hAnsi="Times New Roman"/>
                <w:sz w:val="16"/>
                <w:szCs w:val="16"/>
              </w:rPr>
              <w:t>Vyresni negu 54 metų asmenys, kurie yra bedarbiai, įskaitant ilgalaikius bedarbius, arba neaktyvūs nesimokantys asmenys, dalyvavę ESF veiklose</w:t>
            </w:r>
          </w:p>
        </w:tc>
        <w:tc>
          <w:tcPr>
            <w:tcW w:w="851" w:type="dxa"/>
            <w:shd w:val="clear" w:color="auto" w:fill="FFFFFF"/>
          </w:tcPr>
          <w:p w:rsidR="00385835" w:rsidRPr="00900EB5" w:rsidRDefault="00385835" w:rsidP="00900EB5">
            <w:pPr>
              <w:spacing w:after="0" w:line="240" w:lineRule="auto"/>
              <w:jc w:val="center"/>
              <w:rPr>
                <w:rFonts w:ascii="Times New Roman" w:hAnsi="Times New Roman"/>
                <w:sz w:val="16"/>
                <w:szCs w:val="16"/>
              </w:rPr>
            </w:pPr>
            <w:r w:rsidRPr="00900EB5">
              <w:rPr>
                <w:rFonts w:ascii="Times New Roman" w:hAnsi="Times New Roman"/>
                <w:sz w:val="16"/>
                <w:szCs w:val="16"/>
              </w:rPr>
              <w:t>Asmenys</w:t>
            </w:r>
          </w:p>
        </w:tc>
        <w:tc>
          <w:tcPr>
            <w:tcW w:w="708" w:type="dxa"/>
            <w:shd w:val="clear" w:color="auto" w:fill="FFFFFF"/>
          </w:tcPr>
          <w:p w:rsidR="00385835" w:rsidRPr="00900EB5" w:rsidRDefault="00385835" w:rsidP="00900EB5">
            <w:pPr>
              <w:spacing w:after="0" w:line="240" w:lineRule="auto"/>
              <w:jc w:val="center"/>
              <w:rPr>
                <w:rFonts w:ascii="Times New Roman" w:hAnsi="Times New Roman"/>
                <w:sz w:val="16"/>
                <w:szCs w:val="16"/>
              </w:rPr>
            </w:pPr>
            <w:r w:rsidRPr="00900EB5">
              <w:rPr>
                <w:rFonts w:ascii="Times New Roman" w:hAnsi="Times New Roman"/>
                <w:sz w:val="16"/>
                <w:szCs w:val="16"/>
              </w:rPr>
              <w:t>ESF</w:t>
            </w:r>
          </w:p>
        </w:tc>
        <w:tc>
          <w:tcPr>
            <w:tcW w:w="851" w:type="dxa"/>
            <w:shd w:val="clear" w:color="auto" w:fill="FFFFFF"/>
          </w:tcPr>
          <w:p w:rsidR="00385835" w:rsidRPr="00900EB5" w:rsidRDefault="00385835" w:rsidP="00900EB5">
            <w:pPr>
              <w:spacing w:after="0" w:line="240" w:lineRule="auto"/>
              <w:jc w:val="center"/>
              <w:rPr>
                <w:rFonts w:ascii="Times New Roman" w:hAnsi="Times New Roman"/>
                <w:sz w:val="16"/>
                <w:szCs w:val="16"/>
              </w:rPr>
            </w:pPr>
            <w:r w:rsidRPr="00900EB5">
              <w:rPr>
                <w:rFonts w:ascii="Times New Roman" w:hAnsi="Times New Roman"/>
                <w:sz w:val="16"/>
                <w:szCs w:val="16"/>
              </w:rPr>
              <w:t>Mažiau išsivystęs</w:t>
            </w:r>
          </w:p>
        </w:tc>
        <w:tc>
          <w:tcPr>
            <w:tcW w:w="1134" w:type="dxa"/>
            <w:shd w:val="clear" w:color="auto" w:fill="FFFFFF"/>
          </w:tcPr>
          <w:p w:rsidR="00385835" w:rsidRPr="00900EB5" w:rsidDel="00B6274E" w:rsidRDefault="00385835" w:rsidP="00900EB5">
            <w:pPr>
              <w:spacing w:after="0" w:line="240" w:lineRule="auto"/>
              <w:jc w:val="center"/>
              <w:rPr>
                <w:rFonts w:ascii="Times New Roman" w:hAnsi="Times New Roman"/>
                <w:sz w:val="16"/>
                <w:szCs w:val="16"/>
              </w:rPr>
            </w:pPr>
            <w:r w:rsidRPr="00900EB5">
              <w:rPr>
                <w:rFonts w:ascii="Times New Roman" w:hAnsi="Times New Roman"/>
                <w:sz w:val="16"/>
                <w:szCs w:val="16"/>
              </w:rPr>
              <w:t>10</w:t>
            </w:r>
            <w:r w:rsidR="009348A3" w:rsidRPr="00900EB5">
              <w:rPr>
                <w:rFonts w:ascii="Times New Roman" w:hAnsi="Times New Roman"/>
                <w:sz w:val="16"/>
                <w:szCs w:val="16"/>
              </w:rPr>
              <w:t>.</w:t>
            </w:r>
            <w:r w:rsidRPr="00900EB5">
              <w:rPr>
                <w:rFonts w:ascii="Times New Roman" w:hAnsi="Times New Roman"/>
                <w:sz w:val="16"/>
                <w:szCs w:val="16"/>
              </w:rPr>
              <w:t>500</w:t>
            </w:r>
          </w:p>
        </w:tc>
        <w:tc>
          <w:tcPr>
            <w:tcW w:w="1134" w:type="dxa"/>
            <w:shd w:val="clear" w:color="auto" w:fill="FFFFFF"/>
          </w:tcPr>
          <w:p w:rsidR="00385835" w:rsidRPr="00900EB5" w:rsidDel="00B6274E" w:rsidRDefault="00385835" w:rsidP="00900EB5">
            <w:pPr>
              <w:spacing w:after="0" w:line="240" w:lineRule="auto"/>
              <w:jc w:val="center"/>
              <w:rPr>
                <w:rFonts w:ascii="Times New Roman" w:hAnsi="Times New Roman"/>
                <w:sz w:val="16"/>
                <w:szCs w:val="16"/>
              </w:rPr>
            </w:pPr>
            <w:r w:rsidRPr="00900EB5">
              <w:rPr>
                <w:rFonts w:ascii="Times New Roman" w:hAnsi="Times New Roman"/>
                <w:sz w:val="16"/>
                <w:szCs w:val="16"/>
              </w:rPr>
              <w:t>30</w:t>
            </w:r>
            <w:r w:rsidR="009348A3" w:rsidRPr="00900EB5">
              <w:rPr>
                <w:rFonts w:ascii="Times New Roman" w:hAnsi="Times New Roman"/>
                <w:sz w:val="16"/>
                <w:szCs w:val="16"/>
              </w:rPr>
              <w:t>.</w:t>
            </w:r>
            <w:r w:rsidRPr="00900EB5">
              <w:rPr>
                <w:rFonts w:ascii="Times New Roman" w:hAnsi="Times New Roman"/>
                <w:sz w:val="16"/>
                <w:szCs w:val="16"/>
              </w:rPr>
              <w:t>000</w:t>
            </w:r>
          </w:p>
        </w:tc>
        <w:tc>
          <w:tcPr>
            <w:tcW w:w="992" w:type="dxa"/>
            <w:shd w:val="clear" w:color="auto" w:fill="FFFFFF"/>
          </w:tcPr>
          <w:p w:rsidR="00385835" w:rsidRPr="00900EB5" w:rsidRDefault="00385835" w:rsidP="00900EB5">
            <w:pPr>
              <w:spacing w:after="0" w:line="240" w:lineRule="auto"/>
              <w:jc w:val="center"/>
              <w:rPr>
                <w:rFonts w:ascii="Times New Roman" w:hAnsi="Times New Roman"/>
                <w:sz w:val="16"/>
                <w:szCs w:val="16"/>
              </w:rPr>
            </w:pPr>
            <w:r w:rsidRPr="00900EB5">
              <w:rPr>
                <w:rFonts w:ascii="Times New Roman" w:hAnsi="Times New Roman"/>
                <w:sz w:val="16"/>
                <w:szCs w:val="16"/>
              </w:rPr>
              <w:t>Duomenys iš projektų</w:t>
            </w:r>
          </w:p>
        </w:tc>
        <w:tc>
          <w:tcPr>
            <w:tcW w:w="4253" w:type="dxa"/>
            <w:shd w:val="clear" w:color="auto" w:fill="FFFFFF"/>
          </w:tcPr>
          <w:p w:rsidR="00385835" w:rsidRPr="00900EB5" w:rsidRDefault="00385835" w:rsidP="00900EB5">
            <w:pPr>
              <w:spacing w:after="0" w:line="240" w:lineRule="auto"/>
              <w:rPr>
                <w:rFonts w:ascii="Times New Roman" w:hAnsi="Times New Roman"/>
                <w:sz w:val="16"/>
                <w:szCs w:val="16"/>
              </w:rPr>
            </w:pPr>
            <w:r w:rsidRPr="00900EB5">
              <w:rPr>
                <w:rFonts w:ascii="Times New Roman" w:hAnsi="Times New Roman"/>
                <w:sz w:val="16"/>
                <w:szCs w:val="16"/>
              </w:rPr>
              <w:t>Rodiklis atspindi prioriteto įgyvendinimo eigą, nes jo pasiekimui skirta 18 proc. šio prioriteto įgyvendinimui skirtų ESF lėšų.</w:t>
            </w:r>
          </w:p>
        </w:tc>
      </w:tr>
      <w:tr w:rsidR="00385835" w:rsidRPr="00900EB5" w:rsidTr="00900EB5">
        <w:tc>
          <w:tcPr>
            <w:tcW w:w="1277" w:type="dxa"/>
            <w:shd w:val="clear" w:color="auto" w:fill="FFFFFF"/>
          </w:tcPr>
          <w:p w:rsidR="00385835" w:rsidRPr="00900EB5" w:rsidRDefault="00385835" w:rsidP="00900EB5">
            <w:pPr>
              <w:spacing w:after="0" w:line="240" w:lineRule="auto"/>
              <w:rPr>
                <w:rFonts w:ascii="Times New Roman" w:hAnsi="Times New Roman"/>
                <w:sz w:val="16"/>
                <w:szCs w:val="16"/>
              </w:rPr>
            </w:pPr>
            <w:r w:rsidRPr="00900EB5">
              <w:rPr>
                <w:rFonts w:ascii="Times New Roman" w:hAnsi="Times New Roman"/>
                <w:sz w:val="16"/>
                <w:szCs w:val="16"/>
              </w:rPr>
              <w:t>Finansinis</w:t>
            </w:r>
            <w:r w:rsidRPr="00900EB5">
              <w:rPr>
                <w:rFonts w:ascii="Times New Roman" w:eastAsia="AngsanaUPC" w:hAnsi="Times New Roman"/>
                <w:bCs/>
                <w:iCs/>
                <w:sz w:val="16"/>
                <w:szCs w:val="16"/>
              </w:rPr>
              <w:t xml:space="preserve"> </w:t>
            </w:r>
            <w:r w:rsidRPr="00900EB5">
              <w:rPr>
                <w:rFonts w:ascii="Times New Roman" w:hAnsi="Times New Roman"/>
                <w:sz w:val="16"/>
                <w:szCs w:val="16"/>
              </w:rPr>
              <w:t>rodiklis</w:t>
            </w:r>
          </w:p>
        </w:tc>
        <w:tc>
          <w:tcPr>
            <w:tcW w:w="2834" w:type="dxa"/>
            <w:shd w:val="clear" w:color="auto" w:fill="FFFFFF"/>
          </w:tcPr>
          <w:p w:rsidR="00385835" w:rsidRPr="00900EB5" w:rsidRDefault="00385835" w:rsidP="00900EB5">
            <w:pPr>
              <w:spacing w:after="0" w:line="240" w:lineRule="auto"/>
              <w:rPr>
                <w:rFonts w:ascii="Times New Roman" w:hAnsi="Times New Roman"/>
                <w:i/>
                <w:sz w:val="16"/>
                <w:szCs w:val="16"/>
              </w:rPr>
            </w:pPr>
            <w:r w:rsidRPr="00900EB5">
              <w:rPr>
                <w:rFonts w:ascii="Times New Roman" w:hAnsi="Times New Roman"/>
                <w:color w:val="000000"/>
                <w:sz w:val="16"/>
                <w:szCs w:val="16"/>
              </w:rPr>
              <w:t>Bendra tinkamų finansuoti išlaidų suma</w:t>
            </w:r>
            <w:r w:rsidR="005656AF" w:rsidRPr="00900EB5">
              <w:rPr>
                <w:rFonts w:ascii="Times New Roman" w:hAnsi="Times New Roman"/>
                <w:color w:val="000000"/>
                <w:sz w:val="16"/>
                <w:szCs w:val="16"/>
              </w:rPr>
              <w:t>,</w:t>
            </w:r>
            <w:r w:rsidRPr="00900EB5">
              <w:rPr>
                <w:rFonts w:ascii="Times New Roman" w:hAnsi="Times New Roman"/>
                <w:color w:val="000000"/>
                <w:sz w:val="16"/>
                <w:szCs w:val="16"/>
              </w:rPr>
              <w:t xml:space="preserve"> pripažinta tinkama deklaruoti EK</w:t>
            </w:r>
          </w:p>
        </w:tc>
        <w:tc>
          <w:tcPr>
            <w:tcW w:w="851" w:type="dxa"/>
            <w:shd w:val="clear" w:color="auto" w:fill="FFFFFF"/>
          </w:tcPr>
          <w:p w:rsidR="00385835" w:rsidRPr="00900EB5" w:rsidRDefault="00385835" w:rsidP="00900EB5">
            <w:pPr>
              <w:spacing w:after="0" w:line="240" w:lineRule="auto"/>
              <w:jc w:val="center"/>
              <w:rPr>
                <w:rFonts w:ascii="Times New Roman" w:hAnsi="Times New Roman"/>
                <w:i/>
                <w:sz w:val="16"/>
                <w:szCs w:val="16"/>
              </w:rPr>
            </w:pPr>
            <w:r w:rsidRPr="00900EB5">
              <w:rPr>
                <w:rFonts w:ascii="Times New Roman" w:hAnsi="Times New Roman"/>
                <w:sz w:val="16"/>
                <w:szCs w:val="16"/>
              </w:rPr>
              <w:t>Eurai</w:t>
            </w:r>
          </w:p>
        </w:tc>
        <w:tc>
          <w:tcPr>
            <w:tcW w:w="708" w:type="dxa"/>
            <w:shd w:val="clear" w:color="auto" w:fill="auto"/>
          </w:tcPr>
          <w:p w:rsidR="00385835" w:rsidRPr="00900EB5" w:rsidRDefault="00385835" w:rsidP="00900EB5">
            <w:pPr>
              <w:spacing w:after="0" w:line="240" w:lineRule="auto"/>
              <w:jc w:val="center"/>
              <w:rPr>
                <w:rFonts w:ascii="Times New Roman" w:hAnsi="Times New Roman"/>
                <w:sz w:val="16"/>
                <w:szCs w:val="16"/>
              </w:rPr>
            </w:pPr>
            <w:r w:rsidRPr="00900EB5">
              <w:rPr>
                <w:rFonts w:ascii="Times New Roman" w:hAnsi="Times New Roman"/>
                <w:sz w:val="16"/>
                <w:szCs w:val="16"/>
              </w:rPr>
              <w:t>JUI</w:t>
            </w:r>
          </w:p>
        </w:tc>
        <w:tc>
          <w:tcPr>
            <w:tcW w:w="851" w:type="dxa"/>
            <w:shd w:val="clear" w:color="auto" w:fill="FFFFFF"/>
          </w:tcPr>
          <w:p w:rsidR="00385835" w:rsidRPr="00900EB5" w:rsidRDefault="00385835" w:rsidP="00900EB5">
            <w:pPr>
              <w:spacing w:after="0" w:line="240" w:lineRule="auto"/>
              <w:jc w:val="center"/>
              <w:rPr>
                <w:rFonts w:ascii="Times New Roman" w:hAnsi="Times New Roman"/>
                <w:sz w:val="16"/>
                <w:szCs w:val="16"/>
              </w:rPr>
            </w:pPr>
            <w:r w:rsidRPr="00900EB5">
              <w:rPr>
                <w:rFonts w:ascii="Times New Roman" w:hAnsi="Times New Roman"/>
                <w:sz w:val="16"/>
                <w:szCs w:val="16"/>
              </w:rPr>
              <w:t>Mažiau išsivystęs</w:t>
            </w:r>
          </w:p>
        </w:tc>
        <w:tc>
          <w:tcPr>
            <w:tcW w:w="1134" w:type="dxa"/>
            <w:shd w:val="clear" w:color="auto" w:fill="FFFFFF"/>
          </w:tcPr>
          <w:p w:rsidR="00385835" w:rsidRPr="00900EB5" w:rsidRDefault="00385835" w:rsidP="00900EB5">
            <w:pPr>
              <w:spacing w:after="0" w:line="240" w:lineRule="auto"/>
              <w:jc w:val="center"/>
              <w:rPr>
                <w:rFonts w:ascii="Times New Roman" w:hAnsi="Times New Roman"/>
                <w:sz w:val="16"/>
                <w:szCs w:val="16"/>
              </w:rPr>
            </w:pPr>
            <w:r w:rsidRPr="00900EB5">
              <w:rPr>
                <w:rFonts w:ascii="Times New Roman" w:hAnsi="Times New Roman"/>
                <w:sz w:val="16"/>
                <w:szCs w:val="16"/>
              </w:rPr>
              <w:t>69</w:t>
            </w:r>
            <w:r w:rsidR="009348A3" w:rsidRPr="00900EB5">
              <w:rPr>
                <w:rFonts w:ascii="Times New Roman" w:hAnsi="Times New Roman"/>
                <w:sz w:val="16"/>
                <w:szCs w:val="16"/>
              </w:rPr>
              <w:t>.</w:t>
            </w:r>
            <w:r w:rsidRPr="00900EB5">
              <w:rPr>
                <w:rFonts w:ascii="Times New Roman" w:hAnsi="Times New Roman"/>
                <w:sz w:val="16"/>
                <w:szCs w:val="16"/>
              </w:rPr>
              <w:t>173</w:t>
            </w:r>
            <w:r w:rsidR="009348A3" w:rsidRPr="00900EB5">
              <w:rPr>
                <w:rFonts w:ascii="Times New Roman" w:hAnsi="Times New Roman"/>
                <w:sz w:val="16"/>
                <w:szCs w:val="16"/>
              </w:rPr>
              <w:t>.</w:t>
            </w:r>
            <w:r w:rsidRPr="00900EB5">
              <w:rPr>
                <w:rFonts w:ascii="Times New Roman" w:hAnsi="Times New Roman"/>
                <w:sz w:val="16"/>
                <w:szCs w:val="16"/>
              </w:rPr>
              <w:t>966</w:t>
            </w:r>
          </w:p>
        </w:tc>
        <w:tc>
          <w:tcPr>
            <w:tcW w:w="1134" w:type="dxa"/>
            <w:shd w:val="clear" w:color="auto" w:fill="FFFFFF"/>
          </w:tcPr>
          <w:p w:rsidR="00385835" w:rsidRPr="00900EB5" w:rsidRDefault="00385835" w:rsidP="00900EB5">
            <w:pPr>
              <w:spacing w:after="0" w:line="240" w:lineRule="auto"/>
              <w:jc w:val="center"/>
              <w:rPr>
                <w:rFonts w:ascii="Times New Roman" w:hAnsi="Times New Roman"/>
                <w:sz w:val="16"/>
                <w:szCs w:val="16"/>
              </w:rPr>
            </w:pPr>
            <w:r w:rsidRPr="00900EB5">
              <w:rPr>
                <w:rFonts w:ascii="Times New Roman" w:hAnsi="Times New Roman"/>
                <w:sz w:val="16"/>
                <w:szCs w:val="16"/>
              </w:rPr>
              <w:t>69</w:t>
            </w:r>
            <w:r w:rsidR="009348A3" w:rsidRPr="00900EB5">
              <w:rPr>
                <w:rFonts w:ascii="Times New Roman" w:hAnsi="Times New Roman"/>
                <w:sz w:val="16"/>
                <w:szCs w:val="16"/>
              </w:rPr>
              <w:t>.</w:t>
            </w:r>
            <w:r w:rsidRPr="00900EB5">
              <w:rPr>
                <w:rFonts w:ascii="Times New Roman" w:hAnsi="Times New Roman"/>
                <w:sz w:val="16"/>
                <w:szCs w:val="16"/>
              </w:rPr>
              <w:t>173</w:t>
            </w:r>
            <w:r w:rsidR="009348A3" w:rsidRPr="00900EB5">
              <w:rPr>
                <w:rFonts w:ascii="Times New Roman" w:hAnsi="Times New Roman"/>
                <w:sz w:val="16"/>
                <w:szCs w:val="16"/>
              </w:rPr>
              <w:t>.</w:t>
            </w:r>
            <w:r w:rsidRPr="00900EB5">
              <w:rPr>
                <w:rFonts w:ascii="Times New Roman" w:hAnsi="Times New Roman"/>
                <w:sz w:val="16"/>
                <w:szCs w:val="16"/>
              </w:rPr>
              <w:t>966</w:t>
            </w:r>
          </w:p>
        </w:tc>
        <w:tc>
          <w:tcPr>
            <w:tcW w:w="992" w:type="dxa"/>
            <w:shd w:val="clear" w:color="auto" w:fill="FFFFFF"/>
          </w:tcPr>
          <w:p w:rsidR="00385835" w:rsidRPr="00900EB5" w:rsidRDefault="00385835" w:rsidP="00900EB5">
            <w:pPr>
              <w:spacing w:after="0"/>
              <w:jc w:val="center"/>
              <w:rPr>
                <w:rFonts w:ascii="Times New Roman" w:hAnsi="Times New Roman"/>
                <w:sz w:val="16"/>
                <w:szCs w:val="16"/>
              </w:rPr>
            </w:pPr>
            <w:r w:rsidRPr="00900EB5">
              <w:rPr>
                <w:rFonts w:ascii="Times New Roman" w:hAnsi="Times New Roman"/>
                <w:sz w:val="16"/>
                <w:szCs w:val="16"/>
              </w:rPr>
              <w:t>Duomenys iš projektų</w:t>
            </w:r>
          </w:p>
        </w:tc>
        <w:tc>
          <w:tcPr>
            <w:tcW w:w="4253" w:type="dxa"/>
            <w:shd w:val="clear" w:color="auto" w:fill="FFFFFF"/>
          </w:tcPr>
          <w:p w:rsidR="00385835" w:rsidRPr="00900EB5" w:rsidRDefault="00385835" w:rsidP="00900EB5">
            <w:pPr>
              <w:spacing w:after="0" w:line="240" w:lineRule="auto"/>
              <w:rPr>
                <w:rFonts w:ascii="Times New Roman" w:hAnsi="Times New Roman"/>
                <w:sz w:val="16"/>
                <w:szCs w:val="16"/>
              </w:rPr>
            </w:pPr>
            <w:r w:rsidRPr="00900EB5">
              <w:rPr>
                <w:rFonts w:ascii="Times New Roman" w:hAnsi="Times New Roman"/>
                <w:sz w:val="16"/>
                <w:szCs w:val="16"/>
              </w:rPr>
              <w:t>Privalomas rodiklis, kuris atspindi finansinę prioriteto įgyvendinimo pažangą.</w:t>
            </w:r>
          </w:p>
        </w:tc>
      </w:tr>
      <w:tr w:rsidR="00385835" w:rsidRPr="00900EB5" w:rsidTr="00900EB5">
        <w:tc>
          <w:tcPr>
            <w:tcW w:w="1277" w:type="dxa"/>
            <w:shd w:val="clear" w:color="auto" w:fill="auto"/>
          </w:tcPr>
          <w:p w:rsidR="00385835" w:rsidRPr="00900EB5" w:rsidRDefault="00385835" w:rsidP="00900EB5">
            <w:pPr>
              <w:spacing w:after="0" w:line="240" w:lineRule="auto"/>
              <w:rPr>
                <w:rFonts w:ascii="Times New Roman" w:hAnsi="Times New Roman"/>
                <w:sz w:val="16"/>
                <w:szCs w:val="16"/>
              </w:rPr>
            </w:pPr>
            <w:r w:rsidRPr="00900EB5">
              <w:rPr>
                <w:rFonts w:ascii="Times New Roman" w:hAnsi="Times New Roman"/>
                <w:sz w:val="16"/>
                <w:szCs w:val="16"/>
              </w:rPr>
              <w:t>Produkto rodiklis</w:t>
            </w:r>
          </w:p>
        </w:tc>
        <w:tc>
          <w:tcPr>
            <w:tcW w:w="2834" w:type="dxa"/>
            <w:shd w:val="clear" w:color="auto" w:fill="auto"/>
          </w:tcPr>
          <w:p w:rsidR="00385835" w:rsidRPr="00900EB5" w:rsidRDefault="005656AF" w:rsidP="00900EB5">
            <w:pPr>
              <w:spacing w:after="0" w:line="240" w:lineRule="auto"/>
              <w:rPr>
                <w:rFonts w:ascii="Times New Roman" w:hAnsi="Times New Roman"/>
                <w:bCs/>
                <w:sz w:val="16"/>
                <w:szCs w:val="16"/>
              </w:rPr>
            </w:pPr>
            <w:r w:rsidRPr="00900EB5">
              <w:rPr>
                <w:rFonts w:ascii="Times New Roman" w:hAnsi="Times New Roman"/>
                <w:bCs/>
                <w:sz w:val="16"/>
                <w:szCs w:val="16"/>
              </w:rPr>
              <w:t>15–</w:t>
            </w:r>
            <w:r w:rsidR="00385835" w:rsidRPr="00900EB5">
              <w:rPr>
                <w:rFonts w:ascii="Times New Roman" w:hAnsi="Times New Roman"/>
                <w:bCs/>
                <w:sz w:val="16"/>
                <w:szCs w:val="16"/>
              </w:rPr>
              <w:t>29 metų nedirbantys, nesimokantys ir mokymuose nedalyvaujantys asmenys, dalyvavę JUI remiamoje intervencijoje</w:t>
            </w:r>
          </w:p>
        </w:tc>
        <w:tc>
          <w:tcPr>
            <w:tcW w:w="851" w:type="dxa"/>
            <w:shd w:val="clear" w:color="auto" w:fill="auto"/>
          </w:tcPr>
          <w:p w:rsidR="00385835" w:rsidRPr="00900EB5" w:rsidRDefault="00385835" w:rsidP="00900EB5">
            <w:pPr>
              <w:spacing w:after="0" w:line="240" w:lineRule="auto"/>
              <w:jc w:val="center"/>
              <w:rPr>
                <w:rFonts w:ascii="Times New Roman" w:hAnsi="Times New Roman"/>
                <w:bCs/>
                <w:sz w:val="16"/>
                <w:szCs w:val="16"/>
              </w:rPr>
            </w:pPr>
            <w:r w:rsidRPr="00900EB5">
              <w:rPr>
                <w:rFonts w:ascii="Times New Roman" w:hAnsi="Times New Roman"/>
                <w:bCs/>
                <w:sz w:val="16"/>
                <w:szCs w:val="16"/>
              </w:rPr>
              <w:t>Asmenys</w:t>
            </w:r>
          </w:p>
        </w:tc>
        <w:tc>
          <w:tcPr>
            <w:tcW w:w="708" w:type="dxa"/>
            <w:shd w:val="clear" w:color="auto" w:fill="auto"/>
          </w:tcPr>
          <w:p w:rsidR="00385835" w:rsidRPr="00900EB5" w:rsidRDefault="00385835" w:rsidP="00900EB5">
            <w:pPr>
              <w:spacing w:after="0" w:line="240" w:lineRule="auto"/>
              <w:jc w:val="center"/>
              <w:rPr>
                <w:rFonts w:ascii="Times New Roman" w:hAnsi="Times New Roman"/>
                <w:bCs/>
                <w:sz w:val="16"/>
                <w:szCs w:val="16"/>
              </w:rPr>
            </w:pPr>
            <w:r w:rsidRPr="00900EB5">
              <w:rPr>
                <w:rFonts w:ascii="Times New Roman" w:hAnsi="Times New Roman"/>
                <w:bCs/>
                <w:sz w:val="16"/>
                <w:szCs w:val="16"/>
              </w:rPr>
              <w:t>JUI</w:t>
            </w:r>
          </w:p>
        </w:tc>
        <w:tc>
          <w:tcPr>
            <w:tcW w:w="851" w:type="dxa"/>
            <w:shd w:val="clear" w:color="auto" w:fill="auto"/>
          </w:tcPr>
          <w:p w:rsidR="00385835" w:rsidRPr="00900EB5" w:rsidRDefault="00385835" w:rsidP="00900EB5">
            <w:pPr>
              <w:widowControl w:val="0"/>
              <w:tabs>
                <w:tab w:val="left" w:pos="622"/>
              </w:tabs>
              <w:spacing w:after="0"/>
              <w:jc w:val="center"/>
              <w:rPr>
                <w:rFonts w:ascii="Times New Roman" w:hAnsi="Times New Roman"/>
                <w:bCs/>
                <w:iCs/>
                <w:sz w:val="16"/>
                <w:szCs w:val="16"/>
              </w:rPr>
            </w:pPr>
            <w:r w:rsidRPr="00900EB5">
              <w:rPr>
                <w:rFonts w:ascii="Times New Roman" w:hAnsi="Times New Roman"/>
                <w:sz w:val="16"/>
                <w:szCs w:val="16"/>
              </w:rPr>
              <w:t>Mažiau išsivystęs</w:t>
            </w:r>
          </w:p>
        </w:tc>
        <w:tc>
          <w:tcPr>
            <w:tcW w:w="1134" w:type="dxa"/>
            <w:shd w:val="clear" w:color="auto" w:fill="auto"/>
          </w:tcPr>
          <w:p w:rsidR="00385835" w:rsidRPr="00900EB5" w:rsidRDefault="00385835" w:rsidP="00900EB5">
            <w:pPr>
              <w:spacing w:after="0" w:line="240" w:lineRule="auto"/>
              <w:jc w:val="center"/>
              <w:rPr>
                <w:rFonts w:ascii="Times New Roman" w:hAnsi="Times New Roman"/>
                <w:sz w:val="16"/>
                <w:szCs w:val="16"/>
              </w:rPr>
            </w:pPr>
            <w:r w:rsidRPr="00900EB5">
              <w:rPr>
                <w:rFonts w:ascii="Times New Roman" w:hAnsi="Times New Roman"/>
                <w:sz w:val="16"/>
                <w:szCs w:val="16"/>
              </w:rPr>
              <w:t>35</w:t>
            </w:r>
            <w:r w:rsidR="009348A3" w:rsidRPr="00900EB5">
              <w:rPr>
                <w:rFonts w:ascii="Times New Roman" w:hAnsi="Times New Roman"/>
                <w:sz w:val="16"/>
                <w:szCs w:val="16"/>
              </w:rPr>
              <w:t>.</w:t>
            </w:r>
            <w:r w:rsidRPr="00900EB5">
              <w:rPr>
                <w:rFonts w:ascii="Times New Roman" w:hAnsi="Times New Roman"/>
                <w:sz w:val="16"/>
                <w:szCs w:val="16"/>
              </w:rPr>
              <w:t>000</w:t>
            </w:r>
          </w:p>
        </w:tc>
        <w:tc>
          <w:tcPr>
            <w:tcW w:w="1134" w:type="dxa"/>
            <w:shd w:val="clear" w:color="auto" w:fill="auto"/>
          </w:tcPr>
          <w:p w:rsidR="00385835" w:rsidRPr="00900EB5" w:rsidRDefault="00385835" w:rsidP="00900EB5">
            <w:pPr>
              <w:spacing w:after="0" w:line="240" w:lineRule="auto"/>
              <w:jc w:val="center"/>
              <w:rPr>
                <w:rFonts w:ascii="Times New Roman" w:hAnsi="Times New Roman"/>
                <w:sz w:val="16"/>
                <w:szCs w:val="16"/>
              </w:rPr>
            </w:pPr>
            <w:r w:rsidRPr="00900EB5">
              <w:rPr>
                <w:rFonts w:ascii="Times New Roman" w:hAnsi="Times New Roman"/>
                <w:sz w:val="16"/>
                <w:szCs w:val="16"/>
              </w:rPr>
              <w:t>35</w:t>
            </w:r>
            <w:r w:rsidR="009348A3" w:rsidRPr="00900EB5">
              <w:rPr>
                <w:rFonts w:ascii="Times New Roman" w:hAnsi="Times New Roman"/>
                <w:sz w:val="16"/>
                <w:szCs w:val="16"/>
              </w:rPr>
              <w:t>.</w:t>
            </w:r>
            <w:r w:rsidRPr="00900EB5">
              <w:rPr>
                <w:rFonts w:ascii="Times New Roman" w:hAnsi="Times New Roman"/>
                <w:sz w:val="16"/>
                <w:szCs w:val="16"/>
              </w:rPr>
              <w:t>000</w:t>
            </w:r>
          </w:p>
        </w:tc>
        <w:tc>
          <w:tcPr>
            <w:tcW w:w="992" w:type="dxa"/>
          </w:tcPr>
          <w:p w:rsidR="00385835" w:rsidRPr="00900EB5" w:rsidDel="007F0983" w:rsidRDefault="00385835" w:rsidP="00900EB5">
            <w:pPr>
              <w:spacing w:after="0" w:line="240" w:lineRule="auto"/>
              <w:jc w:val="center"/>
              <w:rPr>
                <w:rFonts w:ascii="Times New Roman" w:hAnsi="Times New Roman"/>
                <w:sz w:val="16"/>
                <w:szCs w:val="16"/>
              </w:rPr>
            </w:pPr>
            <w:r w:rsidRPr="00900EB5">
              <w:rPr>
                <w:rFonts w:ascii="Times New Roman" w:hAnsi="Times New Roman"/>
                <w:sz w:val="16"/>
                <w:szCs w:val="16"/>
              </w:rPr>
              <w:t>Duomenys iš projektų</w:t>
            </w:r>
          </w:p>
        </w:tc>
        <w:tc>
          <w:tcPr>
            <w:tcW w:w="4253" w:type="dxa"/>
            <w:shd w:val="clear" w:color="auto" w:fill="auto"/>
          </w:tcPr>
          <w:p w:rsidR="00385835" w:rsidRPr="00900EB5" w:rsidRDefault="00385835" w:rsidP="00900EB5">
            <w:pPr>
              <w:spacing w:after="0" w:line="240" w:lineRule="auto"/>
              <w:rPr>
                <w:rFonts w:ascii="Times New Roman" w:hAnsi="Times New Roman"/>
                <w:sz w:val="16"/>
                <w:szCs w:val="16"/>
              </w:rPr>
            </w:pPr>
            <w:r w:rsidRPr="00900EB5">
              <w:rPr>
                <w:rFonts w:ascii="Times New Roman" w:hAnsi="Times New Roman"/>
                <w:sz w:val="16"/>
                <w:szCs w:val="16"/>
              </w:rPr>
              <w:t>Rodiklis atspindi prioriteto įgyvendinimo eigą, nes jo pasiekimui skirta 100 proc. šio prioriteto įgyvendinimui skirtų JUI lėšų.</w:t>
            </w:r>
          </w:p>
        </w:tc>
      </w:tr>
    </w:tbl>
    <w:p w:rsidR="00385835" w:rsidRPr="00385835" w:rsidRDefault="00385835" w:rsidP="00385835">
      <w:pPr>
        <w:spacing w:after="0" w:line="240" w:lineRule="auto"/>
        <w:rPr>
          <w:rFonts w:ascii="Times New Roman" w:hAnsi="Times New Roman"/>
          <w:sz w:val="24"/>
          <w:szCs w:val="24"/>
        </w:rPr>
      </w:pPr>
    </w:p>
    <w:p w:rsidR="00385835" w:rsidRPr="00385835" w:rsidRDefault="00385835" w:rsidP="00385835">
      <w:pPr>
        <w:autoSpaceDE w:val="0"/>
        <w:autoSpaceDN w:val="0"/>
        <w:adjustRightInd w:val="0"/>
        <w:spacing w:after="0" w:line="240" w:lineRule="auto"/>
        <w:ind w:firstLine="851"/>
        <w:jc w:val="both"/>
        <w:rPr>
          <w:rFonts w:ascii="Times New Roman" w:hAnsi="Times New Roman"/>
          <w:color w:val="000000"/>
          <w:sz w:val="24"/>
          <w:szCs w:val="24"/>
        </w:rPr>
      </w:pPr>
      <w:r w:rsidRPr="00385835">
        <w:rPr>
          <w:rFonts w:ascii="Times New Roman" w:hAnsi="Times New Roman"/>
          <w:color w:val="000000"/>
          <w:sz w:val="24"/>
          <w:szCs w:val="24"/>
        </w:rPr>
        <w:t>Į veiklos peržiūros planą įtrauktų ERPF rodiklių tarpinės ir galutinės reikšmės nustatytos įvertinus istorinius ankstesnio programavimo laikotarpio lėšų panaudojimo ir rodiklių pasiekimo duomenis, t.</w:t>
      </w:r>
      <w:r w:rsidR="009F540A">
        <w:rPr>
          <w:rFonts w:ascii="Times New Roman" w:hAnsi="Times New Roman"/>
          <w:color w:val="000000"/>
          <w:sz w:val="24"/>
          <w:szCs w:val="24"/>
        </w:rPr>
        <w:t xml:space="preserve"> </w:t>
      </w:r>
      <w:r w:rsidRPr="00385835">
        <w:rPr>
          <w:rFonts w:ascii="Times New Roman" w:hAnsi="Times New Roman"/>
          <w:color w:val="000000"/>
          <w:sz w:val="24"/>
          <w:szCs w:val="24"/>
        </w:rPr>
        <w:t>y. įgyvendinant panašaus pobūdžio intervencijas regioniniuose ekonomikos augimo centruose per analogišką laikotarpį pasiektas rodiklių reikšmes, taip pat atsižvelgiant į šiame programavimo laikotarpyje</w:t>
      </w:r>
      <w:proofErr w:type="gramStart"/>
      <w:r w:rsidRPr="00385835">
        <w:rPr>
          <w:rFonts w:ascii="Times New Roman" w:hAnsi="Times New Roman"/>
          <w:color w:val="000000"/>
          <w:sz w:val="24"/>
          <w:szCs w:val="24"/>
        </w:rPr>
        <w:t xml:space="preserve">  </w:t>
      </w:r>
      <w:proofErr w:type="gramEnd"/>
      <w:r w:rsidRPr="00385835">
        <w:rPr>
          <w:rFonts w:ascii="Times New Roman" w:hAnsi="Times New Roman"/>
          <w:color w:val="000000"/>
          <w:sz w:val="24"/>
          <w:szCs w:val="24"/>
        </w:rPr>
        <w:t>numatomas investicijų ir veiklų apimtis.</w:t>
      </w:r>
    </w:p>
    <w:p w:rsidR="00385835" w:rsidRPr="00385835" w:rsidRDefault="00385835" w:rsidP="00385835">
      <w:pPr>
        <w:autoSpaceDE w:val="0"/>
        <w:autoSpaceDN w:val="0"/>
        <w:adjustRightInd w:val="0"/>
        <w:spacing w:after="0" w:line="240" w:lineRule="auto"/>
        <w:ind w:firstLine="851"/>
        <w:jc w:val="both"/>
        <w:rPr>
          <w:rFonts w:ascii="Times New Roman" w:hAnsi="Times New Roman"/>
          <w:b/>
          <w:sz w:val="24"/>
          <w:szCs w:val="24"/>
        </w:rPr>
      </w:pPr>
      <w:r w:rsidRPr="00385835">
        <w:rPr>
          <w:rFonts w:ascii="Times New Roman" w:hAnsi="Times New Roman"/>
          <w:color w:val="000000"/>
          <w:sz w:val="24"/>
          <w:szCs w:val="24"/>
        </w:rPr>
        <w:t xml:space="preserve">Nustatant tarpines rodiklių reikšmes, taip pat atsižvelgta į miestų pasirengimą panaudoti </w:t>
      </w:r>
      <w:r w:rsidR="000F4AE6">
        <w:rPr>
          <w:rFonts w:ascii="Times New Roman" w:hAnsi="Times New Roman"/>
          <w:color w:val="000000"/>
          <w:sz w:val="24"/>
          <w:szCs w:val="24"/>
        </w:rPr>
        <w:t>ES fondų</w:t>
      </w:r>
      <w:r w:rsidRPr="00385835">
        <w:rPr>
          <w:rFonts w:ascii="Times New Roman" w:hAnsi="Times New Roman"/>
          <w:color w:val="000000"/>
          <w:sz w:val="24"/>
          <w:szCs w:val="24"/>
        </w:rPr>
        <w:t xml:space="preserve"> lėšas taikant integruotų teritorinių investicijų modelį – iniciatyvos naujumą, poreikį laiku parengti integruotas teritorijų vystymo programas ir atitinkamus teisės aktus. </w:t>
      </w:r>
    </w:p>
    <w:p w:rsidR="00385835" w:rsidRPr="00385835" w:rsidRDefault="00385835" w:rsidP="00385835">
      <w:pPr>
        <w:autoSpaceDE w:val="0"/>
        <w:autoSpaceDN w:val="0"/>
        <w:adjustRightInd w:val="0"/>
        <w:spacing w:after="0" w:line="240" w:lineRule="auto"/>
        <w:ind w:firstLine="851"/>
        <w:jc w:val="both"/>
        <w:rPr>
          <w:rFonts w:ascii="Times New Roman" w:hAnsi="Times New Roman"/>
          <w:sz w:val="24"/>
          <w:szCs w:val="24"/>
        </w:rPr>
      </w:pPr>
      <w:r w:rsidRPr="00385835">
        <w:rPr>
          <w:rFonts w:ascii="Times New Roman" w:hAnsi="Times New Roman"/>
          <w:color w:val="000000"/>
          <w:sz w:val="24"/>
          <w:szCs w:val="24"/>
        </w:rPr>
        <w:t>Į veiklos peržiūros planą įtrauktų ESF rodiklių tarpinės ir galutinės reikšmės nustatytos, įvertinus istorinius ankstesnio programavimo laikotarpio lėšų panaudojimo ir rodiklių pasiekimo duomenis, t.</w:t>
      </w:r>
      <w:r w:rsidR="009F540A">
        <w:rPr>
          <w:rFonts w:ascii="Times New Roman" w:hAnsi="Times New Roman"/>
          <w:color w:val="000000"/>
          <w:sz w:val="24"/>
          <w:szCs w:val="24"/>
        </w:rPr>
        <w:t xml:space="preserve"> </w:t>
      </w:r>
      <w:r w:rsidRPr="00385835">
        <w:rPr>
          <w:rFonts w:ascii="Times New Roman" w:hAnsi="Times New Roman"/>
          <w:color w:val="000000"/>
          <w:sz w:val="24"/>
          <w:szCs w:val="24"/>
        </w:rPr>
        <w:t xml:space="preserve">y. įgyvendinant panašaus pobūdžio intervencijas per analogišką laikotarpį </w:t>
      </w:r>
      <w:r w:rsidRPr="00385835">
        <w:rPr>
          <w:rFonts w:ascii="Times New Roman" w:hAnsi="Times New Roman"/>
          <w:color w:val="000000"/>
          <w:sz w:val="24"/>
          <w:szCs w:val="24"/>
        </w:rPr>
        <w:lastRenderedPageBreak/>
        <w:t>pasiektas rodiklių reikšmes, tuo pačiu atsižvelgiant į šiame programavimo laikotarpyje numatomas investicijų ir veiklų apimtis,</w:t>
      </w:r>
      <w:proofErr w:type="gramStart"/>
      <w:r w:rsidRPr="00385835">
        <w:rPr>
          <w:rFonts w:ascii="Times New Roman" w:hAnsi="Times New Roman"/>
          <w:color w:val="000000"/>
          <w:sz w:val="24"/>
          <w:szCs w:val="24"/>
        </w:rPr>
        <w:t xml:space="preserve">  </w:t>
      </w:r>
      <w:proofErr w:type="gramEnd"/>
      <w:r w:rsidRPr="00385835">
        <w:rPr>
          <w:rFonts w:ascii="Times New Roman" w:hAnsi="Times New Roman"/>
          <w:sz w:val="24"/>
          <w:szCs w:val="24"/>
        </w:rPr>
        <w:t>įgyvendinant panašaus pobūdžio intervencijas nustatytus vidutinius vieneto įkainius</w:t>
      </w:r>
      <w:r w:rsidRPr="00385835">
        <w:rPr>
          <w:rFonts w:ascii="Times New Roman" w:hAnsi="Times New Roman"/>
          <w:color w:val="000000"/>
          <w:sz w:val="24"/>
          <w:szCs w:val="24"/>
        </w:rPr>
        <w:t xml:space="preserve">. </w:t>
      </w:r>
      <w:r w:rsidRPr="00385835">
        <w:rPr>
          <w:rFonts w:ascii="Times New Roman" w:hAnsi="Times New Roman"/>
          <w:sz w:val="24"/>
          <w:szCs w:val="24"/>
        </w:rPr>
        <w:t xml:space="preserve">Nustatant tarpines rodiklių reikšmes, taip pat atsižvelgta į sektoriaus pasirengimą panaudoti </w:t>
      </w:r>
      <w:r w:rsidR="000F4AE6">
        <w:rPr>
          <w:rFonts w:ascii="Times New Roman" w:hAnsi="Times New Roman"/>
          <w:sz w:val="24"/>
          <w:szCs w:val="24"/>
        </w:rPr>
        <w:t>ES fondų</w:t>
      </w:r>
      <w:r w:rsidRPr="00385835">
        <w:rPr>
          <w:rFonts w:ascii="Times New Roman" w:hAnsi="Times New Roman"/>
          <w:sz w:val="24"/>
          <w:szCs w:val="24"/>
        </w:rPr>
        <w:t xml:space="preserve"> lėšas – strateginio planavimo dokumentų parengtumo lygį, juose nustatytą poreikį ir terminus laiku įgyvendinti tikslinėms grupėms skirtas intervencijas. </w:t>
      </w:r>
    </w:p>
    <w:p w:rsidR="00AC33BC" w:rsidRPr="00385835" w:rsidRDefault="00385835" w:rsidP="002447B3">
      <w:pPr>
        <w:spacing w:after="0" w:line="240" w:lineRule="auto"/>
        <w:ind w:firstLine="851"/>
        <w:jc w:val="both"/>
        <w:rPr>
          <w:rFonts w:ascii="Times New Roman" w:hAnsi="Times New Roman"/>
          <w:sz w:val="24"/>
          <w:szCs w:val="24"/>
        </w:rPr>
      </w:pPr>
      <w:r w:rsidRPr="00385835">
        <w:rPr>
          <w:rFonts w:ascii="Times New Roman" w:hAnsi="Times New Roman"/>
          <w:sz w:val="24"/>
          <w:szCs w:val="24"/>
        </w:rPr>
        <w:t>Į veiklos peržiūros planą įtrauktų JUI rodiklių tarpinės ir galutinės reikšmės nustatytos, įvertinus istorinius ankstesnio programavimo laikotarpio lėšų panaudojimo ir rodiklių pasiekimo duomenis, t.</w:t>
      </w:r>
      <w:r w:rsidR="009F540A">
        <w:rPr>
          <w:rFonts w:ascii="Times New Roman" w:hAnsi="Times New Roman"/>
          <w:sz w:val="24"/>
          <w:szCs w:val="24"/>
        </w:rPr>
        <w:t xml:space="preserve"> </w:t>
      </w:r>
      <w:r w:rsidRPr="00385835">
        <w:rPr>
          <w:rFonts w:ascii="Times New Roman" w:hAnsi="Times New Roman"/>
          <w:sz w:val="24"/>
          <w:szCs w:val="24"/>
        </w:rPr>
        <w:t>y. įgyvendinant panašaus pobūdžio intervencijas per analogišką laikotarpį pasiektas rodiklių reikšmes, tuo pačiu atsižvelgiant į šiame programavimo laikotarpyje numatomas investicijų ir veiklų apimtis,</w:t>
      </w:r>
      <w:proofErr w:type="gramStart"/>
      <w:r w:rsidRPr="00385835">
        <w:rPr>
          <w:rFonts w:ascii="Times New Roman" w:hAnsi="Times New Roman"/>
          <w:sz w:val="24"/>
          <w:szCs w:val="24"/>
        </w:rPr>
        <w:t xml:space="preserve">  </w:t>
      </w:r>
      <w:proofErr w:type="gramEnd"/>
      <w:r w:rsidRPr="00385835">
        <w:rPr>
          <w:rFonts w:ascii="Times New Roman" w:hAnsi="Times New Roman"/>
          <w:sz w:val="24"/>
          <w:szCs w:val="24"/>
        </w:rPr>
        <w:t xml:space="preserve">įgyvendinant panašaus pobūdžio intervencijas nustatytus vidutinius vieneto įkainius. Nustatant tarpines rodiklių reikšmes, atsižvelgta į reikalavimą panaudoti visas JUI skirtas lėšas </w:t>
      </w:r>
      <w:r w:rsidR="00371B9D">
        <w:rPr>
          <w:rFonts w:ascii="Times New Roman" w:hAnsi="Times New Roman"/>
          <w:sz w:val="24"/>
          <w:szCs w:val="24"/>
        </w:rPr>
        <w:t xml:space="preserve">vėliausiai </w:t>
      </w:r>
      <w:r w:rsidRPr="00385835">
        <w:rPr>
          <w:rFonts w:ascii="Times New Roman" w:hAnsi="Times New Roman"/>
          <w:sz w:val="24"/>
          <w:szCs w:val="24"/>
        </w:rPr>
        <w:t>iki 2018 m. pabaigos.</w:t>
      </w:r>
      <w:r w:rsidR="00371B9D" w:rsidRPr="00371B9D">
        <w:rPr>
          <w:rFonts w:ascii="Times New Roman" w:hAnsi="Times New Roman"/>
          <w:sz w:val="24"/>
          <w:szCs w:val="24"/>
        </w:rPr>
        <w:t xml:space="preserve"> </w:t>
      </w:r>
      <w:r w:rsidR="00371B9D">
        <w:rPr>
          <w:rFonts w:ascii="Times New Roman" w:hAnsi="Times New Roman"/>
          <w:sz w:val="24"/>
          <w:szCs w:val="24"/>
        </w:rPr>
        <w:t xml:space="preserve"> Panaudojus JUI lėšas, tolesnis 7.4.1 uždavinio veiklų įgyvendinimas bus finansuojamas iš ESF lėšų.</w:t>
      </w:r>
    </w:p>
    <w:p w:rsidR="00385835" w:rsidRPr="00385835" w:rsidRDefault="00385835" w:rsidP="00385835">
      <w:pPr>
        <w:spacing w:after="0" w:line="240" w:lineRule="auto"/>
        <w:jc w:val="both"/>
        <w:rPr>
          <w:rFonts w:ascii="Times New Roman" w:hAnsi="Times New Roman"/>
          <w:sz w:val="24"/>
          <w:szCs w:val="24"/>
        </w:rPr>
      </w:pPr>
    </w:p>
    <w:p w:rsidR="007E01C8" w:rsidRDefault="007E01C8" w:rsidP="007E01C8">
      <w:pPr>
        <w:widowControl w:val="0"/>
        <w:tabs>
          <w:tab w:val="left" w:pos="622"/>
        </w:tabs>
        <w:spacing w:after="0" w:line="240" w:lineRule="auto"/>
        <w:jc w:val="both"/>
        <w:rPr>
          <w:rFonts w:ascii="Times New Roman" w:eastAsia="AngsanaUPC" w:hAnsi="Times New Roman"/>
          <w:b/>
          <w:bCs/>
          <w:i/>
          <w:iCs/>
          <w:sz w:val="24"/>
          <w:szCs w:val="24"/>
          <w:lang w:eastAsia="lt-LT"/>
        </w:rPr>
        <w:sectPr w:rsidR="007E01C8" w:rsidSect="005702BA">
          <w:pgSz w:w="16838" w:h="11906" w:orient="landscape" w:code="9"/>
          <w:pgMar w:top="1701" w:right="1701" w:bottom="567" w:left="1134" w:header="567" w:footer="567" w:gutter="0"/>
          <w:cols w:space="1296"/>
          <w:docGrid w:linePitch="360"/>
        </w:sectPr>
      </w:pPr>
    </w:p>
    <w:p w:rsidR="007E01C8" w:rsidRPr="002447B3" w:rsidRDefault="007E01C8" w:rsidP="007E01C8">
      <w:pPr>
        <w:widowControl w:val="0"/>
        <w:tabs>
          <w:tab w:val="left" w:pos="622"/>
        </w:tabs>
        <w:spacing w:after="0" w:line="240" w:lineRule="auto"/>
        <w:jc w:val="both"/>
        <w:rPr>
          <w:rFonts w:ascii="Times New Roman" w:hAnsi="Times New Roman"/>
          <w:b/>
          <w:bCs/>
          <w:iCs/>
          <w:sz w:val="18"/>
          <w:szCs w:val="18"/>
        </w:rPr>
      </w:pPr>
      <w:r w:rsidRPr="002447B3">
        <w:rPr>
          <w:rFonts w:ascii="Times New Roman" w:eastAsia="AngsanaUPC" w:hAnsi="Times New Roman"/>
          <w:b/>
          <w:bCs/>
          <w:i/>
          <w:iCs/>
          <w:sz w:val="24"/>
          <w:szCs w:val="24"/>
          <w:lang w:eastAsia="lt-LT"/>
        </w:rPr>
        <w:lastRenderedPageBreak/>
        <w:t>Numatomas išlaidų pasiskirstymas pagal kategorijas</w:t>
      </w:r>
    </w:p>
    <w:p w:rsidR="007E01C8" w:rsidRPr="002447B3" w:rsidRDefault="007E01C8" w:rsidP="007E01C8">
      <w:pPr>
        <w:widowControl w:val="0"/>
        <w:tabs>
          <w:tab w:val="left" w:pos="622"/>
        </w:tabs>
        <w:spacing w:after="0" w:line="240" w:lineRule="auto"/>
        <w:jc w:val="both"/>
        <w:rPr>
          <w:rFonts w:ascii="Times New Roman" w:hAnsi="Times New Roman"/>
          <w:b/>
          <w:bCs/>
          <w:iCs/>
          <w:sz w:val="18"/>
          <w:szCs w:val="1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09"/>
        <w:gridCol w:w="6378"/>
        <w:gridCol w:w="1843"/>
      </w:tblGrid>
      <w:tr w:rsidR="007E01C8" w:rsidRPr="002447B3" w:rsidTr="000D0444">
        <w:trPr>
          <w:tblHeader/>
        </w:trPr>
        <w:tc>
          <w:tcPr>
            <w:tcW w:w="9781" w:type="dxa"/>
            <w:gridSpan w:val="4"/>
            <w:shd w:val="clear" w:color="auto" w:fill="EEECE1"/>
            <w:vAlign w:val="center"/>
          </w:tcPr>
          <w:p w:rsidR="007E01C8" w:rsidRPr="002447B3" w:rsidRDefault="007E01C8" w:rsidP="000D0444">
            <w:pPr>
              <w:widowControl w:val="0"/>
              <w:tabs>
                <w:tab w:val="left" w:pos="622"/>
              </w:tabs>
              <w:spacing w:after="0" w:line="240" w:lineRule="auto"/>
              <w:jc w:val="both"/>
              <w:rPr>
                <w:rFonts w:ascii="Times New Roman" w:hAnsi="Times New Roman"/>
                <w:b/>
                <w:bCs/>
                <w:i/>
                <w:iCs/>
                <w:sz w:val="18"/>
                <w:szCs w:val="18"/>
              </w:rPr>
            </w:pPr>
            <w:r w:rsidRPr="002447B3">
              <w:rPr>
                <w:rFonts w:ascii="Times New Roman" w:hAnsi="Times New Roman"/>
                <w:b/>
                <w:bCs/>
                <w:i/>
                <w:iCs/>
                <w:sz w:val="18"/>
                <w:szCs w:val="18"/>
              </w:rPr>
              <w:t>Intervencinių veiksmų sritis</w:t>
            </w:r>
          </w:p>
        </w:tc>
      </w:tr>
      <w:tr w:rsidR="007E01C8" w:rsidRPr="002447B3" w:rsidTr="009348A3">
        <w:tc>
          <w:tcPr>
            <w:tcW w:w="851" w:type="dxa"/>
            <w:shd w:val="clear" w:color="auto" w:fill="EEECE1"/>
            <w:vAlign w:val="center"/>
          </w:tcPr>
          <w:p w:rsidR="007E01C8" w:rsidRPr="002447B3" w:rsidRDefault="007E01C8" w:rsidP="000D0444">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Fondas</w:t>
            </w:r>
          </w:p>
        </w:tc>
        <w:tc>
          <w:tcPr>
            <w:tcW w:w="709" w:type="dxa"/>
            <w:shd w:val="clear" w:color="auto" w:fill="EEECE1"/>
            <w:vAlign w:val="center"/>
          </w:tcPr>
          <w:p w:rsidR="007E01C8" w:rsidRPr="002447B3" w:rsidRDefault="007E01C8" w:rsidP="000D0444">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Kodas</w:t>
            </w:r>
          </w:p>
        </w:tc>
        <w:tc>
          <w:tcPr>
            <w:tcW w:w="6378" w:type="dxa"/>
            <w:shd w:val="clear" w:color="auto" w:fill="EEECE1"/>
            <w:vAlign w:val="center"/>
          </w:tcPr>
          <w:p w:rsidR="007E01C8" w:rsidRPr="002447B3" w:rsidRDefault="007E01C8" w:rsidP="000D0444">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Pavadinimas</w:t>
            </w:r>
          </w:p>
        </w:tc>
        <w:tc>
          <w:tcPr>
            <w:tcW w:w="1843" w:type="dxa"/>
            <w:shd w:val="clear" w:color="auto" w:fill="EEECE1"/>
            <w:vAlign w:val="center"/>
          </w:tcPr>
          <w:p w:rsidR="007E01C8" w:rsidRPr="002447B3" w:rsidRDefault="007E01C8" w:rsidP="000D0444">
            <w:pPr>
              <w:widowControl w:val="0"/>
              <w:tabs>
                <w:tab w:val="left" w:pos="622"/>
              </w:tabs>
              <w:spacing w:after="0" w:line="240" w:lineRule="auto"/>
              <w:jc w:val="center"/>
              <w:rPr>
                <w:rFonts w:ascii="Times New Roman" w:hAnsi="Times New Roman"/>
                <w:b/>
                <w:bCs/>
                <w:iCs/>
                <w:sz w:val="18"/>
                <w:szCs w:val="18"/>
              </w:rPr>
            </w:pPr>
            <w:r w:rsidRPr="002447B3">
              <w:rPr>
                <w:rFonts w:ascii="Times New Roman" w:hAnsi="Times New Roman"/>
                <w:b/>
                <w:bCs/>
                <w:iCs/>
                <w:sz w:val="18"/>
                <w:szCs w:val="18"/>
              </w:rPr>
              <w:t>Finansinė proporcija (eurais)</w:t>
            </w:r>
          </w:p>
        </w:tc>
      </w:tr>
      <w:tr w:rsidR="007E01C8" w:rsidRPr="009348A3" w:rsidTr="009348A3">
        <w:tc>
          <w:tcPr>
            <w:tcW w:w="851" w:type="dxa"/>
            <w:shd w:val="clear" w:color="auto" w:fill="auto"/>
            <w:vAlign w:val="center"/>
          </w:tcPr>
          <w:p w:rsidR="007E01C8" w:rsidRPr="009348A3" w:rsidRDefault="007E01C8" w:rsidP="000D0444">
            <w:pPr>
              <w:widowControl w:val="0"/>
              <w:tabs>
                <w:tab w:val="left" w:pos="622"/>
              </w:tabs>
              <w:spacing w:after="0" w:line="240" w:lineRule="auto"/>
              <w:rPr>
                <w:rFonts w:ascii="Times New Roman" w:eastAsia="AngsanaUPC" w:hAnsi="Times New Roman"/>
                <w:bCs/>
                <w:sz w:val="18"/>
                <w:szCs w:val="18"/>
                <w:lang w:val="en-GB" w:eastAsia="lt-LT"/>
              </w:rPr>
            </w:pPr>
            <w:r w:rsidRPr="009348A3">
              <w:rPr>
                <w:rFonts w:ascii="Times New Roman" w:eastAsia="AngsanaUPC" w:hAnsi="Times New Roman"/>
                <w:bCs/>
                <w:sz w:val="18"/>
                <w:szCs w:val="18"/>
                <w:lang w:val="en-GB" w:eastAsia="lt-LT"/>
              </w:rPr>
              <w:t>ERPF</w:t>
            </w:r>
          </w:p>
        </w:tc>
        <w:tc>
          <w:tcPr>
            <w:tcW w:w="709" w:type="dxa"/>
            <w:shd w:val="clear" w:color="auto" w:fill="auto"/>
            <w:vAlign w:val="center"/>
          </w:tcPr>
          <w:p w:rsidR="007E01C8" w:rsidRPr="009348A3" w:rsidRDefault="007E01C8" w:rsidP="000D0444">
            <w:pPr>
              <w:widowControl w:val="0"/>
              <w:tabs>
                <w:tab w:val="left" w:pos="622"/>
              </w:tabs>
              <w:spacing w:after="0" w:line="240" w:lineRule="auto"/>
              <w:rPr>
                <w:rFonts w:ascii="Times New Roman" w:eastAsia="AngsanaUPC" w:hAnsi="Times New Roman"/>
                <w:bCs/>
                <w:sz w:val="18"/>
                <w:szCs w:val="18"/>
                <w:lang w:val="en-GB" w:eastAsia="lt-LT"/>
              </w:rPr>
            </w:pPr>
            <w:r w:rsidRPr="009348A3">
              <w:rPr>
                <w:rFonts w:ascii="Times New Roman" w:eastAsia="AngsanaUPC" w:hAnsi="Times New Roman"/>
                <w:bCs/>
                <w:sz w:val="18"/>
                <w:szCs w:val="18"/>
                <w:lang w:val="en-GB" w:eastAsia="lt-LT"/>
              </w:rPr>
              <w:t>55</w:t>
            </w:r>
          </w:p>
        </w:tc>
        <w:tc>
          <w:tcPr>
            <w:tcW w:w="6378" w:type="dxa"/>
            <w:shd w:val="clear" w:color="auto" w:fill="auto"/>
            <w:vAlign w:val="center"/>
          </w:tcPr>
          <w:p w:rsidR="007E01C8" w:rsidRPr="009348A3" w:rsidRDefault="007E01C8" w:rsidP="000D0444">
            <w:pPr>
              <w:widowControl w:val="0"/>
              <w:tabs>
                <w:tab w:val="left" w:pos="622"/>
              </w:tabs>
              <w:spacing w:after="0" w:line="240" w:lineRule="auto"/>
              <w:rPr>
                <w:rFonts w:ascii="Times New Roman" w:eastAsia="AngsanaUPC" w:hAnsi="Times New Roman"/>
                <w:bCs/>
                <w:sz w:val="18"/>
                <w:szCs w:val="18"/>
                <w:lang w:eastAsia="lt-LT"/>
              </w:rPr>
            </w:pPr>
            <w:r w:rsidRPr="009348A3">
              <w:rPr>
                <w:rFonts w:ascii="Times New Roman" w:eastAsia="AngsanaUPC" w:hAnsi="Times New Roman"/>
                <w:bCs/>
                <w:sz w:val="18"/>
                <w:szCs w:val="18"/>
                <w:lang w:eastAsia="lt-LT"/>
              </w:rPr>
              <w:t>Kita socialinė infrastruktūra, kuria prisidedama prie regioninės ir vietos plėtros</w:t>
            </w:r>
          </w:p>
        </w:tc>
        <w:tc>
          <w:tcPr>
            <w:tcW w:w="1843" w:type="dxa"/>
            <w:shd w:val="clear" w:color="auto" w:fill="auto"/>
            <w:vAlign w:val="center"/>
          </w:tcPr>
          <w:p w:rsidR="007E01C8" w:rsidRPr="008F339D" w:rsidRDefault="00CA194D" w:rsidP="001352F5">
            <w:pPr>
              <w:widowControl w:val="0"/>
              <w:tabs>
                <w:tab w:val="left" w:pos="622"/>
              </w:tabs>
              <w:spacing w:after="0" w:line="240" w:lineRule="auto"/>
              <w:jc w:val="right"/>
              <w:rPr>
                <w:rFonts w:ascii="Times New Roman" w:eastAsia="AngsanaUPC" w:hAnsi="Times New Roman"/>
                <w:bCs/>
                <w:sz w:val="18"/>
                <w:szCs w:val="18"/>
                <w:lang w:val="en-GB" w:eastAsia="lt-LT"/>
              </w:rPr>
            </w:pPr>
            <w:r w:rsidRPr="008F339D">
              <w:rPr>
                <w:rFonts w:ascii="Times New Roman" w:eastAsia="AngsanaUPC" w:hAnsi="Times New Roman"/>
                <w:bCs/>
                <w:sz w:val="18"/>
                <w:szCs w:val="18"/>
                <w:lang w:val="en-GB" w:eastAsia="lt-LT"/>
              </w:rPr>
              <w:t>399</w:t>
            </w:r>
            <w:r w:rsidR="009348A3" w:rsidRPr="008F339D">
              <w:rPr>
                <w:rFonts w:ascii="Times New Roman" w:eastAsia="AngsanaUPC" w:hAnsi="Times New Roman"/>
                <w:bCs/>
                <w:sz w:val="18"/>
                <w:szCs w:val="18"/>
                <w:lang w:val="en-GB" w:eastAsia="lt-LT"/>
              </w:rPr>
              <w:t>.</w:t>
            </w:r>
            <w:r w:rsidRPr="008F339D">
              <w:rPr>
                <w:rFonts w:ascii="Times New Roman" w:eastAsia="AngsanaUPC" w:hAnsi="Times New Roman"/>
                <w:bCs/>
                <w:sz w:val="18"/>
                <w:szCs w:val="18"/>
                <w:lang w:val="en-GB" w:eastAsia="lt-LT"/>
              </w:rPr>
              <w:t>736</w:t>
            </w:r>
            <w:r w:rsidR="009348A3" w:rsidRPr="008F339D">
              <w:rPr>
                <w:rFonts w:ascii="Times New Roman" w:eastAsia="AngsanaUPC" w:hAnsi="Times New Roman"/>
                <w:bCs/>
                <w:sz w:val="18"/>
                <w:szCs w:val="18"/>
                <w:lang w:val="en-GB" w:eastAsia="lt-LT"/>
              </w:rPr>
              <w:t>.</w:t>
            </w:r>
            <w:r w:rsidRPr="008F339D">
              <w:rPr>
                <w:rFonts w:ascii="Times New Roman" w:eastAsia="AngsanaUPC" w:hAnsi="Times New Roman"/>
                <w:bCs/>
                <w:sz w:val="18"/>
                <w:szCs w:val="18"/>
                <w:lang w:val="en-GB" w:eastAsia="lt-LT"/>
              </w:rPr>
              <w:t>853</w:t>
            </w:r>
          </w:p>
        </w:tc>
      </w:tr>
      <w:tr w:rsidR="007E01C8" w:rsidRPr="00D54F90" w:rsidTr="009348A3">
        <w:tc>
          <w:tcPr>
            <w:tcW w:w="851" w:type="dxa"/>
            <w:shd w:val="clear" w:color="auto" w:fill="auto"/>
            <w:vAlign w:val="center"/>
          </w:tcPr>
          <w:p w:rsidR="007E01C8" w:rsidRPr="009348A3" w:rsidRDefault="007E01C8" w:rsidP="000D0444">
            <w:pPr>
              <w:widowControl w:val="0"/>
              <w:tabs>
                <w:tab w:val="left" w:pos="622"/>
              </w:tabs>
              <w:spacing w:after="0" w:line="240" w:lineRule="auto"/>
              <w:rPr>
                <w:rFonts w:ascii="Times New Roman" w:eastAsia="AngsanaUPC" w:hAnsi="Times New Roman"/>
                <w:bCs/>
                <w:sz w:val="18"/>
                <w:szCs w:val="18"/>
                <w:lang w:val="en-GB" w:eastAsia="lt-LT"/>
              </w:rPr>
            </w:pPr>
            <w:r w:rsidRPr="009348A3">
              <w:rPr>
                <w:rFonts w:ascii="Times New Roman" w:eastAsia="AngsanaUPC" w:hAnsi="Times New Roman"/>
                <w:bCs/>
                <w:sz w:val="18"/>
                <w:szCs w:val="18"/>
                <w:lang w:val="en-GB" w:eastAsia="lt-LT"/>
              </w:rPr>
              <w:t>ESF</w:t>
            </w:r>
          </w:p>
        </w:tc>
        <w:tc>
          <w:tcPr>
            <w:tcW w:w="709" w:type="dxa"/>
            <w:shd w:val="clear" w:color="auto" w:fill="auto"/>
            <w:vAlign w:val="center"/>
          </w:tcPr>
          <w:p w:rsidR="007E01C8" w:rsidRPr="009348A3" w:rsidRDefault="007E01C8" w:rsidP="000D0444">
            <w:pPr>
              <w:widowControl w:val="0"/>
              <w:tabs>
                <w:tab w:val="left" w:pos="622"/>
              </w:tabs>
              <w:spacing w:after="0" w:line="240" w:lineRule="auto"/>
              <w:rPr>
                <w:rFonts w:ascii="Times New Roman" w:eastAsia="AngsanaUPC" w:hAnsi="Times New Roman"/>
                <w:bCs/>
                <w:sz w:val="18"/>
                <w:szCs w:val="18"/>
                <w:lang w:val="en-GB" w:eastAsia="lt-LT"/>
              </w:rPr>
            </w:pPr>
            <w:r w:rsidRPr="009348A3">
              <w:rPr>
                <w:rFonts w:ascii="Times New Roman" w:eastAsia="AngsanaUPC" w:hAnsi="Times New Roman"/>
                <w:bCs/>
                <w:sz w:val="18"/>
                <w:szCs w:val="18"/>
                <w:lang w:val="en-GB" w:eastAsia="lt-LT"/>
              </w:rPr>
              <w:t>102</w:t>
            </w:r>
          </w:p>
        </w:tc>
        <w:tc>
          <w:tcPr>
            <w:tcW w:w="6378" w:type="dxa"/>
            <w:shd w:val="clear" w:color="auto" w:fill="auto"/>
            <w:vAlign w:val="center"/>
          </w:tcPr>
          <w:p w:rsidR="007E01C8" w:rsidRPr="009348A3" w:rsidRDefault="007E01C8" w:rsidP="007E01C8">
            <w:pPr>
              <w:widowControl w:val="0"/>
              <w:tabs>
                <w:tab w:val="left" w:pos="622"/>
              </w:tabs>
              <w:spacing w:after="0" w:line="240" w:lineRule="auto"/>
              <w:rPr>
                <w:rFonts w:ascii="Times New Roman" w:eastAsia="AngsanaUPC" w:hAnsi="Times New Roman"/>
                <w:bCs/>
                <w:sz w:val="18"/>
                <w:szCs w:val="18"/>
                <w:lang w:eastAsia="lt-LT"/>
              </w:rPr>
            </w:pPr>
            <w:r w:rsidRPr="009348A3">
              <w:rPr>
                <w:rFonts w:ascii="Times New Roman" w:eastAsia="AngsanaUPC" w:hAnsi="Times New Roman"/>
                <w:bCs/>
                <w:sz w:val="18"/>
                <w:szCs w:val="18"/>
                <w:lang w:eastAsia="lt-LT"/>
              </w:rPr>
              <w:t>Darbo ieškančių ir neaktyvių asmenų, tarp jų – ilgalaikių bedarbių ir nuo darbo rinkos nutolusių asmenų, įdarbinimo galimybės, taip pat naudojantis vietos užimtumo iniciatyvomis ir parama darbo jėgos judumui</w:t>
            </w:r>
          </w:p>
        </w:tc>
        <w:tc>
          <w:tcPr>
            <w:tcW w:w="1843" w:type="dxa"/>
            <w:shd w:val="clear" w:color="auto" w:fill="auto"/>
            <w:vAlign w:val="center"/>
          </w:tcPr>
          <w:p w:rsidR="007E01C8" w:rsidRPr="008F339D" w:rsidRDefault="00CA194D" w:rsidP="009F540A">
            <w:pPr>
              <w:widowControl w:val="0"/>
              <w:tabs>
                <w:tab w:val="left" w:pos="622"/>
              </w:tabs>
              <w:spacing w:after="0" w:line="240" w:lineRule="auto"/>
              <w:jc w:val="right"/>
              <w:rPr>
                <w:rFonts w:ascii="Times New Roman" w:eastAsia="AngsanaUPC" w:hAnsi="Times New Roman"/>
                <w:bCs/>
                <w:sz w:val="18"/>
                <w:szCs w:val="18"/>
                <w:lang w:val="en-GB" w:eastAsia="lt-LT"/>
              </w:rPr>
            </w:pPr>
            <w:r w:rsidRPr="008F339D">
              <w:rPr>
                <w:rFonts w:ascii="Times New Roman" w:eastAsia="AngsanaUPC" w:hAnsi="Times New Roman"/>
                <w:bCs/>
                <w:sz w:val="18"/>
                <w:szCs w:val="18"/>
                <w:lang w:val="en-GB" w:eastAsia="lt-LT"/>
              </w:rPr>
              <w:t>355</w:t>
            </w:r>
            <w:r w:rsidR="009348A3" w:rsidRPr="008F339D">
              <w:rPr>
                <w:rFonts w:ascii="Times New Roman" w:eastAsia="AngsanaUPC" w:hAnsi="Times New Roman"/>
                <w:bCs/>
                <w:sz w:val="18"/>
                <w:szCs w:val="18"/>
                <w:lang w:val="en-GB" w:eastAsia="lt-LT"/>
              </w:rPr>
              <w:t>.</w:t>
            </w:r>
            <w:r w:rsidRPr="008F339D">
              <w:rPr>
                <w:rFonts w:ascii="Times New Roman" w:eastAsia="AngsanaUPC" w:hAnsi="Times New Roman"/>
                <w:bCs/>
                <w:sz w:val="18"/>
                <w:szCs w:val="18"/>
                <w:lang w:val="en-GB" w:eastAsia="lt-LT"/>
              </w:rPr>
              <w:t>400</w:t>
            </w:r>
            <w:r w:rsidR="009348A3" w:rsidRPr="008F339D">
              <w:rPr>
                <w:rFonts w:ascii="Times New Roman" w:eastAsia="AngsanaUPC" w:hAnsi="Times New Roman"/>
                <w:bCs/>
                <w:sz w:val="18"/>
                <w:szCs w:val="18"/>
                <w:lang w:val="en-GB" w:eastAsia="lt-LT"/>
              </w:rPr>
              <w:t>.</w:t>
            </w:r>
            <w:r w:rsidRPr="008F339D">
              <w:rPr>
                <w:rFonts w:ascii="Times New Roman" w:eastAsia="AngsanaUPC" w:hAnsi="Times New Roman"/>
                <w:bCs/>
                <w:sz w:val="18"/>
                <w:szCs w:val="18"/>
                <w:lang w:val="en-GB" w:eastAsia="lt-LT"/>
              </w:rPr>
              <w:t>146</w:t>
            </w:r>
          </w:p>
        </w:tc>
      </w:tr>
      <w:tr w:rsidR="007E01C8" w:rsidRPr="009348A3" w:rsidTr="009348A3">
        <w:tc>
          <w:tcPr>
            <w:tcW w:w="851" w:type="dxa"/>
            <w:shd w:val="clear" w:color="auto" w:fill="auto"/>
            <w:vAlign w:val="center"/>
          </w:tcPr>
          <w:p w:rsidR="007E01C8" w:rsidRPr="009348A3" w:rsidRDefault="007E01C8" w:rsidP="000D0444">
            <w:pPr>
              <w:widowControl w:val="0"/>
              <w:tabs>
                <w:tab w:val="left" w:pos="622"/>
              </w:tabs>
              <w:spacing w:after="0" w:line="240" w:lineRule="auto"/>
              <w:rPr>
                <w:rFonts w:ascii="Times New Roman" w:eastAsia="AngsanaUPC" w:hAnsi="Times New Roman"/>
                <w:bCs/>
                <w:sz w:val="18"/>
                <w:szCs w:val="18"/>
                <w:lang w:val="en-GB" w:eastAsia="lt-LT"/>
              </w:rPr>
            </w:pPr>
            <w:r w:rsidRPr="009348A3">
              <w:rPr>
                <w:rFonts w:ascii="Times New Roman" w:eastAsia="AngsanaUPC" w:hAnsi="Times New Roman"/>
                <w:bCs/>
                <w:sz w:val="18"/>
                <w:szCs w:val="18"/>
                <w:lang w:val="en-GB" w:eastAsia="lt-LT"/>
              </w:rPr>
              <w:t>ESF</w:t>
            </w:r>
          </w:p>
        </w:tc>
        <w:tc>
          <w:tcPr>
            <w:tcW w:w="709" w:type="dxa"/>
            <w:shd w:val="clear" w:color="auto" w:fill="auto"/>
            <w:vAlign w:val="center"/>
          </w:tcPr>
          <w:p w:rsidR="007E01C8" w:rsidRPr="009348A3" w:rsidRDefault="007E01C8" w:rsidP="000D0444">
            <w:pPr>
              <w:widowControl w:val="0"/>
              <w:tabs>
                <w:tab w:val="left" w:pos="622"/>
              </w:tabs>
              <w:spacing w:after="0" w:line="240" w:lineRule="auto"/>
              <w:rPr>
                <w:rFonts w:ascii="Times New Roman" w:eastAsia="AngsanaUPC" w:hAnsi="Times New Roman"/>
                <w:bCs/>
                <w:sz w:val="18"/>
                <w:szCs w:val="18"/>
                <w:lang w:val="en-GB" w:eastAsia="lt-LT"/>
              </w:rPr>
            </w:pPr>
            <w:r w:rsidRPr="009348A3">
              <w:rPr>
                <w:rFonts w:ascii="Times New Roman" w:eastAsia="AngsanaUPC" w:hAnsi="Times New Roman"/>
                <w:bCs/>
                <w:sz w:val="18"/>
                <w:szCs w:val="18"/>
                <w:lang w:val="en-GB" w:eastAsia="lt-LT"/>
              </w:rPr>
              <w:t>103</w:t>
            </w:r>
          </w:p>
        </w:tc>
        <w:tc>
          <w:tcPr>
            <w:tcW w:w="6378" w:type="dxa"/>
            <w:shd w:val="clear" w:color="auto" w:fill="auto"/>
            <w:vAlign w:val="center"/>
          </w:tcPr>
          <w:p w:rsidR="007E01C8" w:rsidRPr="009348A3" w:rsidRDefault="007E01C8" w:rsidP="007E01C8">
            <w:pPr>
              <w:widowControl w:val="0"/>
              <w:tabs>
                <w:tab w:val="left" w:pos="622"/>
              </w:tabs>
              <w:spacing w:after="0" w:line="240" w:lineRule="auto"/>
              <w:rPr>
                <w:rFonts w:ascii="Times New Roman" w:eastAsia="AngsanaUPC" w:hAnsi="Times New Roman"/>
                <w:bCs/>
                <w:sz w:val="18"/>
                <w:szCs w:val="18"/>
                <w:lang w:eastAsia="lt-LT"/>
              </w:rPr>
            </w:pPr>
            <w:r w:rsidRPr="009348A3">
              <w:rPr>
                <w:rFonts w:ascii="Times New Roman" w:eastAsia="AngsanaUPC" w:hAnsi="Times New Roman"/>
                <w:bCs/>
                <w:sz w:val="18"/>
                <w:szCs w:val="18"/>
                <w:lang w:eastAsia="lt-LT"/>
              </w:rPr>
              <w:t>Jaunimo, visų pirma nedirbančio, nestudijuojančio ir nesimokančio, įskaitant jaunimą, kuriam kyla socialinės atskirties pavojus, ir marginalių bendruomenių</w:t>
            </w:r>
            <w:r w:rsidR="000735AB" w:rsidRPr="009348A3">
              <w:rPr>
                <w:rFonts w:ascii="Times New Roman" w:eastAsia="AngsanaUPC" w:hAnsi="Times New Roman"/>
                <w:bCs/>
                <w:sz w:val="18"/>
                <w:szCs w:val="18"/>
                <w:lang w:eastAsia="lt-LT"/>
              </w:rPr>
              <w:t xml:space="preserve"> </w:t>
            </w:r>
            <w:r w:rsidRPr="009348A3">
              <w:rPr>
                <w:rFonts w:ascii="Times New Roman" w:eastAsia="AngsanaUPC" w:hAnsi="Times New Roman"/>
                <w:bCs/>
                <w:sz w:val="18"/>
                <w:szCs w:val="18"/>
                <w:lang w:eastAsia="lt-LT"/>
              </w:rPr>
              <w:t>jaunimą, tvarus integravimas į darbo rinką, taip pat įgyvendinant Jaunimo garantijų iniciatyvą</w:t>
            </w:r>
          </w:p>
        </w:tc>
        <w:tc>
          <w:tcPr>
            <w:tcW w:w="1843" w:type="dxa"/>
            <w:shd w:val="clear" w:color="auto" w:fill="auto"/>
            <w:vAlign w:val="center"/>
          </w:tcPr>
          <w:p w:rsidR="007E01C8" w:rsidRPr="009348A3" w:rsidRDefault="007E01C8" w:rsidP="001352F5">
            <w:pPr>
              <w:widowControl w:val="0"/>
              <w:tabs>
                <w:tab w:val="left" w:pos="622"/>
              </w:tabs>
              <w:spacing w:after="0" w:line="240" w:lineRule="auto"/>
              <w:jc w:val="right"/>
              <w:rPr>
                <w:rFonts w:ascii="Times New Roman" w:eastAsia="AngsanaUPC" w:hAnsi="Times New Roman"/>
                <w:bCs/>
                <w:sz w:val="18"/>
                <w:szCs w:val="18"/>
                <w:lang w:val="en-GB" w:eastAsia="lt-LT"/>
              </w:rPr>
            </w:pPr>
            <w:r w:rsidRPr="009348A3">
              <w:rPr>
                <w:rFonts w:ascii="Times New Roman" w:eastAsia="AngsanaUPC" w:hAnsi="Times New Roman"/>
                <w:bCs/>
                <w:sz w:val="18"/>
                <w:szCs w:val="18"/>
                <w:lang w:val="en-GB" w:eastAsia="lt-LT"/>
              </w:rPr>
              <w:t>17</w:t>
            </w:r>
            <w:r w:rsidR="009348A3">
              <w:rPr>
                <w:rFonts w:ascii="Times New Roman" w:eastAsia="AngsanaUPC" w:hAnsi="Times New Roman"/>
                <w:bCs/>
                <w:sz w:val="18"/>
                <w:szCs w:val="18"/>
                <w:lang w:val="en-GB" w:eastAsia="lt-LT"/>
              </w:rPr>
              <w:t>.</w:t>
            </w:r>
            <w:r w:rsidRPr="009348A3">
              <w:rPr>
                <w:rFonts w:ascii="Times New Roman" w:eastAsia="AngsanaUPC" w:hAnsi="Times New Roman"/>
                <w:bCs/>
                <w:sz w:val="18"/>
                <w:szCs w:val="18"/>
                <w:lang w:val="en-GB" w:eastAsia="lt-LT"/>
              </w:rPr>
              <w:t>452</w:t>
            </w:r>
            <w:r w:rsidR="009348A3">
              <w:rPr>
                <w:rFonts w:ascii="Times New Roman" w:eastAsia="AngsanaUPC" w:hAnsi="Times New Roman"/>
                <w:bCs/>
                <w:sz w:val="18"/>
                <w:szCs w:val="18"/>
                <w:lang w:val="en-GB" w:eastAsia="lt-LT"/>
              </w:rPr>
              <w:t>.</w:t>
            </w:r>
            <w:r w:rsidRPr="009348A3">
              <w:rPr>
                <w:rFonts w:ascii="Times New Roman" w:eastAsia="AngsanaUPC" w:hAnsi="Times New Roman"/>
                <w:bCs/>
                <w:sz w:val="18"/>
                <w:szCs w:val="18"/>
                <w:lang w:val="en-GB" w:eastAsia="lt-LT"/>
              </w:rPr>
              <w:t>770</w:t>
            </w:r>
          </w:p>
        </w:tc>
      </w:tr>
      <w:tr w:rsidR="007E01C8" w:rsidRPr="009348A3" w:rsidTr="009348A3">
        <w:tc>
          <w:tcPr>
            <w:tcW w:w="851" w:type="dxa"/>
            <w:shd w:val="clear" w:color="auto" w:fill="auto"/>
            <w:vAlign w:val="center"/>
          </w:tcPr>
          <w:p w:rsidR="007E01C8" w:rsidRPr="009348A3" w:rsidRDefault="007E01C8" w:rsidP="000D0444">
            <w:pPr>
              <w:widowControl w:val="0"/>
              <w:tabs>
                <w:tab w:val="left" w:pos="622"/>
              </w:tabs>
              <w:spacing w:after="0" w:line="240" w:lineRule="auto"/>
              <w:rPr>
                <w:rFonts w:ascii="Times New Roman" w:eastAsia="AngsanaUPC" w:hAnsi="Times New Roman"/>
                <w:bCs/>
                <w:sz w:val="18"/>
                <w:szCs w:val="18"/>
                <w:lang w:val="en-GB" w:eastAsia="lt-LT"/>
              </w:rPr>
            </w:pPr>
            <w:r w:rsidRPr="009348A3">
              <w:rPr>
                <w:rFonts w:ascii="Times New Roman" w:eastAsia="AngsanaUPC" w:hAnsi="Times New Roman"/>
                <w:bCs/>
                <w:sz w:val="18"/>
                <w:szCs w:val="18"/>
                <w:lang w:val="en-GB" w:eastAsia="lt-LT"/>
              </w:rPr>
              <w:t>JUI</w:t>
            </w:r>
          </w:p>
        </w:tc>
        <w:tc>
          <w:tcPr>
            <w:tcW w:w="709" w:type="dxa"/>
            <w:shd w:val="clear" w:color="auto" w:fill="auto"/>
            <w:vAlign w:val="center"/>
          </w:tcPr>
          <w:p w:rsidR="007E01C8" w:rsidRPr="009348A3" w:rsidRDefault="007E01C8" w:rsidP="000D0444">
            <w:pPr>
              <w:widowControl w:val="0"/>
              <w:tabs>
                <w:tab w:val="left" w:pos="622"/>
              </w:tabs>
              <w:spacing w:after="0" w:line="240" w:lineRule="auto"/>
              <w:rPr>
                <w:rFonts w:ascii="Times New Roman" w:eastAsia="AngsanaUPC" w:hAnsi="Times New Roman"/>
                <w:bCs/>
                <w:sz w:val="18"/>
                <w:szCs w:val="18"/>
                <w:lang w:val="en-GB" w:eastAsia="lt-LT"/>
              </w:rPr>
            </w:pPr>
            <w:r w:rsidRPr="009348A3">
              <w:rPr>
                <w:rFonts w:ascii="Times New Roman" w:eastAsia="AngsanaUPC" w:hAnsi="Times New Roman"/>
                <w:bCs/>
                <w:sz w:val="18"/>
                <w:szCs w:val="18"/>
                <w:lang w:val="en-GB" w:eastAsia="lt-LT"/>
              </w:rPr>
              <w:t>103</w:t>
            </w:r>
          </w:p>
        </w:tc>
        <w:tc>
          <w:tcPr>
            <w:tcW w:w="6378" w:type="dxa"/>
            <w:shd w:val="clear" w:color="auto" w:fill="auto"/>
            <w:vAlign w:val="center"/>
          </w:tcPr>
          <w:p w:rsidR="007E01C8" w:rsidRPr="009348A3" w:rsidRDefault="000735AB" w:rsidP="000D0444">
            <w:pPr>
              <w:widowControl w:val="0"/>
              <w:tabs>
                <w:tab w:val="left" w:pos="622"/>
              </w:tabs>
              <w:spacing w:after="0" w:line="240" w:lineRule="auto"/>
              <w:rPr>
                <w:rFonts w:ascii="Times New Roman" w:eastAsia="AngsanaUPC" w:hAnsi="Times New Roman"/>
                <w:bCs/>
                <w:sz w:val="18"/>
                <w:szCs w:val="18"/>
                <w:lang w:eastAsia="lt-LT"/>
              </w:rPr>
            </w:pPr>
            <w:r w:rsidRPr="009348A3">
              <w:rPr>
                <w:rFonts w:ascii="Times New Roman" w:eastAsia="AngsanaUPC" w:hAnsi="Times New Roman"/>
                <w:bCs/>
                <w:sz w:val="18"/>
                <w:szCs w:val="18"/>
                <w:lang w:eastAsia="lt-LT"/>
              </w:rPr>
              <w:t>Jaunimo, visų pirma nedirbančio, nestudijuojančio ir nesimokančio, įskaitant jaunimą, kuriam kyla socialinės atskirties pavojus, ir marginalių bendruomenių jaunimą, tvarus integravimas į darbo rinką, taip pat įgyvendinant Jaunimo garantijų iniciatyvą</w:t>
            </w:r>
          </w:p>
        </w:tc>
        <w:tc>
          <w:tcPr>
            <w:tcW w:w="1843" w:type="dxa"/>
            <w:shd w:val="clear" w:color="auto" w:fill="auto"/>
            <w:vAlign w:val="center"/>
          </w:tcPr>
          <w:p w:rsidR="007E01C8" w:rsidRPr="009348A3" w:rsidRDefault="007E01C8" w:rsidP="001352F5">
            <w:pPr>
              <w:widowControl w:val="0"/>
              <w:tabs>
                <w:tab w:val="left" w:pos="622"/>
              </w:tabs>
              <w:spacing w:after="0" w:line="240" w:lineRule="auto"/>
              <w:jc w:val="right"/>
              <w:rPr>
                <w:rFonts w:ascii="Times New Roman" w:eastAsia="AngsanaUPC" w:hAnsi="Times New Roman"/>
                <w:bCs/>
                <w:sz w:val="18"/>
                <w:szCs w:val="18"/>
                <w:lang w:val="en-GB" w:eastAsia="lt-LT"/>
              </w:rPr>
            </w:pPr>
            <w:r w:rsidRPr="009348A3">
              <w:rPr>
                <w:rFonts w:ascii="Times New Roman" w:eastAsia="AngsanaUPC" w:hAnsi="Times New Roman"/>
                <w:bCs/>
                <w:sz w:val="18"/>
                <w:szCs w:val="18"/>
                <w:lang w:val="en-GB" w:eastAsia="lt-LT"/>
              </w:rPr>
              <w:t>63</w:t>
            </w:r>
            <w:r w:rsidR="009348A3">
              <w:rPr>
                <w:rFonts w:ascii="Times New Roman" w:eastAsia="AngsanaUPC" w:hAnsi="Times New Roman"/>
                <w:bCs/>
                <w:sz w:val="18"/>
                <w:szCs w:val="18"/>
                <w:lang w:val="en-GB" w:eastAsia="lt-LT"/>
              </w:rPr>
              <w:t>.</w:t>
            </w:r>
            <w:r w:rsidRPr="009348A3">
              <w:rPr>
                <w:rFonts w:ascii="Times New Roman" w:eastAsia="AngsanaUPC" w:hAnsi="Times New Roman"/>
                <w:bCs/>
                <w:sz w:val="18"/>
                <w:szCs w:val="18"/>
                <w:lang w:val="en-GB" w:eastAsia="lt-LT"/>
              </w:rPr>
              <w:t>565</w:t>
            </w:r>
            <w:r w:rsidR="009348A3">
              <w:rPr>
                <w:rFonts w:ascii="Times New Roman" w:eastAsia="AngsanaUPC" w:hAnsi="Times New Roman"/>
                <w:bCs/>
                <w:sz w:val="18"/>
                <w:szCs w:val="18"/>
                <w:lang w:val="en-GB" w:eastAsia="lt-LT"/>
              </w:rPr>
              <w:t>.</w:t>
            </w:r>
            <w:r w:rsidRPr="009348A3">
              <w:rPr>
                <w:rFonts w:ascii="Times New Roman" w:eastAsia="AngsanaUPC" w:hAnsi="Times New Roman"/>
                <w:bCs/>
                <w:sz w:val="18"/>
                <w:szCs w:val="18"/>
                <w:lang w:val="en-GB" w:eastAsia="lt-LT"/>
              </w:rPr>
              <w:t>266</w:t>
            </w:r>
          </w:p>
        </w:tc>
      </w:tr>
    </w:tbl>
    <w:p w:rsidR="007E01C8" w:rsidRPr="002447B3" w:rsidRDefault="007E01C8" w:rsidP="007E01C8">
      <w:pPr>
        <w:widowControl w:val="0"/>
        <w:tabs>
          <w:tab w:val="left" w:pos="622"/>
        </w:tabs>
        <w:spacing w:after="0" w:line="240" w:lineRule="auto"/>
        <w:jc w:val="both"/>
        <w:rPr>
          <w:rFonts w:ascii="Times New Roman" w:hAnsi="Times New Roman"/>
          <w:iCs/>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9"/>
        <w:gridCol w:w="6378"/>
        <w:gridCol w:w="1808"/>
      </w:tblGrid>
      <w:tr w:rsidR="007E01C8" w:rsidRPr="002447B3" w:rsidTr="00BB0960">
        <w:tc>
          <w:tcPr>
            <w:tcW w:w="9746" w:type="dxa"/>
            <w:gridSpan w:val="4"/>
            <w:shd w:val="clear" w:color="auto" w:fill="EEECE1"/>
          </w:tcPr>
          <w:p w:rsidR="007E01C8" w:rsidRPr="002447B3" w:rsidRDefault="007E01C8" w:rsidP="00BB0960">
            <w:pPr>
              <w:widowControl w:val="0"/>
              <w:tabs>
                <w:tab w:val="left" w:pos="622"/>
              </w:tabs>
              <w:spacing w:after="0" w:line="240" w:lineRule="auto"/>
              <w:jc w:val="both"/>
              <w:rPr>
                <w:rFonts w:ascii="Times New Roman" w:hAnsi="Times New Roman"/>
                <w:i/>
                <w:iCs/>
                <w:sz w:val="18"/>
                <w:szCs w:val="18"/>
              </w:rPr>
            </w:pPr>
            <w:r w:rsidRPr="002447B3">
              <w:rPr>
                <w:rFonts w:ascii="Times New Roman" w:hAnsi="Times New Roman"/>
                <w:b/>
                <w:bCs/>
                <w:i/>
                <w:iCs/>
                <w:sz w:val="18"/>
                <w:szCs w:val="18"/>
              </w:rPr>
              <w:t>Finansavimo forma</w:t>
            </w:r>
          </w:p>
        </w:tc>
      </w:tr>
      <w:tr w:rsidR="007E01C8" w:rsidRPr="002447B3" w:rsidTr="009D62C6">
        <w:tc>
          <w:tcPr>
            <w:tcW w:w="851" w:type="dxa"/>
            <w:shd w:val="clear" w:color="auto" w:fill="EEECE1"/>
            <w:vAlign w:val="center"/>
          </w:tcPr>
          <w:p w:rsidR="007E01C8" w:rsidRPr="002447B3" w:rsidRDefault="007E01C8" w:rsidP="00BB0960">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Fondas</w:t>
            </w:r>
          </w:p>
        </w:tc>
        <w:tc>
          <w:tcPr>
            <w:tcW w:w="709" w:type="dxa"/>
            <w:shd w:val="clear" w:color="auto" w:fill="EEECE1"/>
            <w:vAlign w:val="center"/>
          </w:tcPr>
          <w:p w:rsidR="007E01C8" w:rsidRPr="002447B3" w:rsidRDefault="007E01C8" w:rsidP="00BB0960">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Kodas</w:t>
            </w:r>
          </w:p>
        </w:tc>
        <w:tc>
          <w:tcPr>
            <w:tcW w:w="6378" w:type="dxa"/>
            <w:shd w:val="clear" w:color="auto" w:fill="EEECE1"/>
            <w:vAlign w:val="center"/>
          </w:tcPr>
          <w:p w:rsidR="007E01C8" w:rsidRPr="002447B3" w:rsidRDefault="007E01C8" w:rsidP="00BB0960">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Pavadinimas</w:t>
            </w:r>
          </w:p>
        </w:tc>
        <w:tc>
          <w:tcPr>
            <w:tcW w:w="1808" w:type="dxa"/>
            <w:shd w:val="clear" w:color="auto" w:fill="EEECE1"/>
            <w:vAlign w:val="center"/>
          </w:tcPr>
          <w:p w:rsidR="007E01C8" w:rsidRPr="002447B3" w:rsidRDefault="007E01C8" w:rsidP="00BB0960">
            <w:pPr>
              <w:widowControl w:val="0"/>
              <w:tabs>
                <w:tab w:val="left" w:pos="622"/>
              </w:tabs>
              <w:spacing w:after="0" w:line="240" w:lineRule="auto"/>
              <w:jc w:val="center"/>
              <w:rPr>
                <w:rFonts w:ascii="Times New Roman" w:hAnsi="Times New Roman"/>
                <w:b/>
                <w:bCs/>
                <w:iCs/>
                <w:sz w:val="18"/>
                <w:szCs w:val="18"/>
              </w:rPr>
            </w:pPr>
            <w:r w:rsidRPr="002447B3">
              <w:rPr>
                <w:rFonts w:ascii="Times New Roman" w:hAnsi="Times New Roman"/>
                <w:b/>
                <w:bCs/>
                <w:iCs/>
                <w:sz w:val="18"/>
                <w:szCs w:val="18"/>
              </w:rPr>
              <w:t>Finansinė proporcija (eurais)</w:t>
            </w:r>
          </w:p>
        </w:tc>
      </w:tr>
      <w:tr w:rsidR="007E01C8" w:rsidRPr="009348A3" w:rsidTr="009D62C6">
        <w:tc>
          <w:tcPr>
            <w:tcW w:w="851" w:type="dxa"/>
            <w:shd w:val="clear" w:color="auto" w:fill="FFFFFF"/>
            <w:vAlign w:val="center"/>
          </w:tcPr>
          <w:p w:rsidR="007E01C8" w:rsidRPr="009348A3" w:rsidRDefault="007E01C8" w:rsidP="00BB0960">
            <w:pPr>
              <w:widowControl w:val="0"/>
              <w:tabs>
                <w:tab w:val="left" w:pos="622"/>
              </w:tabs>
              <w:spacing w:after="0" w:line="240" w:lineRule="auto"/>
              <w:rPr>
                <w:rFonts w:ascii="Times New Roman" w:eastAsia="AngsanaUPC" w:hAnsi="Times New Roman"/>
                <w:bCs/>
                <w:sz w:val="18"/>
                <w:szCs w:val="18"/>
                <w:lang w:val="en-GB" w:eastAsia="lt-LT"/>
              </w:rPr>
            </w:pPr>
            <w:r w:rsidRPr="009348A3">
              <w:rPr>
                <w:rFonts w:ascii="Times New Roman" w:eastAsia="AngsanaUPC" w:hAnsi="Times New Roman"/>
                <w:bCs/>
                <w:sz w:val="18"/>
                <w:szCs w:val="18"/>
                <w:lang w:val="en-GB" w:eastAsia="lt-LT"/>
              </w:rPr>
              <w:t>ERPF</w:t>
            </w:r>
          </w:p>
        </w:tc>
        <w:tc>
          <w:tcPr>
            <w:tcW w:w="709" w:type="dxa"/>
            <w:shd w:val="clear" w:color="auto" w:fill="FFFFFF"/>
            <w:vAlign w:val="center"/>
          </w:tcPr>
          <w:p w:rsidR="007E01C8" w:rsidRPr="009348A3" w:rsidRDefault="006F1682" w:rsidP="00BB0960">
            <w:pPr>
              <w:widowControl w:val="0"/>
              <w:tabs>
                <w:tab w:val="left" w:pos="622"/>
              </w:tabs>
              <w:spacing w:after="0" w:line="240" w:lineRule="auto"/>
              <w:jc w:val="both"/>
              <w:rPr>
                <w:rFonts w:ascii="Times New Roman" w:hAnsi="Times New Roman"/>
                <w:bCs/>
                <w:iCs/>
                <w:sz w:val="18"/>
                <w:szCs w:val="18"/>
              </w:rPr>
            </w:pPr>
            <w:r w:rsidRPr="009348A3">
              <w:rPr>
                <w:rFonts w:ascii="Times New Roman" w:hAnsi="Times New Roman"/>
                <w:bCs/>
                <w:iCs/>
                <w:sz w:val="18"/>
                <w:szCs w:val="18"/>
              </w:rPr>
              <w:t>0</w:t>
            </w:r>
            <w:r w:rsidR="007E01C8" w:rsidRPr="009348A3">
              <w:rPr>
                <w:rFonts w:ascii="Times New Roman" w:hAnsi="Times New Roman"/>
                <w:bCs/>
                <w:iCs/>
                <w:sz w:val="18"/>
                <w:szCs w:val="18"/>
              </w:rPr>
              <w:t>1</w:t>
            </w:r>
          </w:p>
        </w:tc>
        <w:tc>
          <w:tcPr>
            <w:tcW w:w="6378" w:type="dxa"/>
            <w:shd w:val="clear" w:color="auto" w:fill="FFFFFF"/>
            <w:vAlign w:val="center"/>
          </w:tcPr>
          <w:p w:rsidR="007E01C8" w:rsidRPr="009348A3" w:rsidRDefault="007E01C8" w:rsidP="00BB0960">
            <w:pPr>
              <w:widowControl w:val="0"/>
              <w:tabs>
                <w:tab w:val="left" w:pos="622"/>
              </w:tabs>
              <w:spacing w:after="0" w:line="240" w:lineRule="auto"/>
              <w:jc w:val="both"/>
              <w:rPr>
                <w:rFonts w:ascii="Times New Roman" w:hAnsi="Times New Roman"/>
                <w:bCs/>
                <w:iCs/>
                <w:sz w:val="18"/>
                <w:szCs w:val="18"/>
              </w:rPr>
            </w:pPr>
            <w:r w:rsidRPr="009348A3">
              <w:rPr>
                <w:rFonts w:ascii="Times New Roman" w:hAnsi="Times New Roman"/>
                <w:bCs/>
                <w:iCs/>
                <w:sz w:val="18"/>
                <w:szCs w:val="18"/>
              </w:rPr>
              <w:t>Negrąžinamoji subsidija</w:t>
            </w:r>
          </w:p>
        </w:tc>
        <w:tc>
          <w:tcPr>
            <w:tcW w:w="1808" w:type="dxa"/>
            <w:shd w:val="clear" w:color="auto" w:fill="FFFFFF"/>
            <w:vAlign w:val="center"/>
          </w:tcPr>
          <w:p w:rsidR="007E01C8" w:rsidRPr="00FC6264" w:rsidRDefault="00CA194D" w:rsidP="001352F5">
            <w:pPr>
              <w:widowControl w:val="0"/>
              <w:tabs>
                <w:tab w:val="left" w:pos="622"/>
              </w:tabs>
              <w:spacing w:after="0" w:line="240" w:lineRule="auto"/>
              <w:jc w:val="right"/>
              <w:rPr>
                <w:rFonts w:ascii="Times New Roman" w:eastAsia="AngsanaUPC" w:hAnsi="Times New Roman"/>
                <w:bCs/>
                <w:sz w:val="18"/>
                <w:szCs w:val="18"/>
                <w:lang w:val="en-GB" w:eastAsia="lt-LT"/>
              </w:rPr>
            </w:pPr>
            <w:r w:rsidRPr="00FC6264">
              <w:rPr>
                <w:rFonts w:ascii="Times New Roman" w:eastAsia="AngsanaUPC" w:hAnsi="Times New Roman"/>
                <w:bCs/>
                <w:sz w:val="18"/>
                <w:szCs w:val="18"/>
                <w:lang w:val="en-GB" w:eastAsia="lt-LT"/>
              </w:rPr>
              <w:t>399</w:t>
            </w:r>
            <w:r w:rsidR="009348A3"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736</w:t>
            </w:r>
            <w:r w:rsidR="009348A3"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853</w:t>
            </w:r>
          </w:p>
        </w:tc>
      </w:tr>
      <w:tr w:rsidR="007E01C8" w:rsidRPr="00D54F90" w:rsidTr="009D62C6">
        <w:tc>
          <w:tcPr>
            <w:tcW w:w="851" w:type="dxa"/>
            <w:shd w:val="clear" w:color="auto" w:fill="auto"/>
            <w:vAlign w:val="center"/>
          </w:tcPr>
          <w:p w:rsidR="007E01C8" w:rsidRPr="009348A3" w:rsidRDefault="007E01C8" w:rsidP="00BB0960">
            <w:pPr>
              <w:widowControl w:val="0"/>
              <w:tabs>
                <w:tab w:val="left" w:pos="622"/>
              </w:tabs>
              <w:spacing w:after="0" w:line="240" w:lineRule="auto"/>
              <w:rPr>
                <w:rFonts w:ascii="Times New Roman" w:eastAsia="AngsanaUPC" w:hAnsi="Times New Roman"/>
                <w:bCs/>
                <w:sz w:val="18"/>
                <w:szCs w:val="18"/>
                <w:lang w:val="en-GB" w:eastAsia="lt-LT"/>
              </w:rPr>
            </w:pPr>
            <w:r w:rsidRPr="009348A3">
              <w:rPr>
                <w:rFonts w:ascii="Times New Roman" w:eastAsia="AngsanaUPC" w:hAnsi="Times New Roman"/>
                <w:bCs/>
                <w:sz w:val="18"/>
                <w:szCs w:val="18"/>
                <w:lang w:val="en-GB" w:eastAsia="lt-LT"/>
              </w:rPr>
              <w:t>ESF</w:t>
            </w:r>
          </w:p>
        </w:tc>
        <w:tc>
          <w:tcPr>
            <w:tcW w:w="709" w:type="dxa"/>
            <w:shd w:val="clear" w:color="auto" w:fill="auto"/>
            <w:vAlign w:val="center"/>
          </w:tcPr>
          <w:p w:rsidR="007E01C8" w:rsidRPr="009348A3" w:rsidRDefault="006F1682" w:rsidP="00BB0960">
            <w:pPr>
              <w:widowControl w:val="0"/>
              <w:tabs>
                <w:tab w:val="left" w:pos="622"/>
              </w:tabs>
              <w:spacing w:after="0" w:line="240" w:lineRule="auto"/>
              <w:rPr>
                <w:rFonts w:ascii="Times New Roman" w:eastAsia="AngsanaUPC" w:hAnsi="Times New Roman"/>
                <w:bCs/>
                <w:sz w:val="18"/>
                <w:szCs w:val="18"/>
                <w:lang w:eastAsia="lt-LT"/>
              </w:rPr>
            </w:pPr>
            <w:r w:rsidRPr="009348A3">
              <w:rPr>
                <w:rFonts w:ascii="Times New Roman" w:eastAsia="AngsanaUPC" w:hAnsi="Times New Roman"/>
                <w:bCs/>
                <w:sz w:val="18"/>
                <w:szCs w:val="18"/>
                <w:lang w:eastAsia="lt-LT"/>
              </w:rPr>
              <w:t>0</w:t>
            </w:r>
            <w:r w:rsidR="007E01C8" w:rsidRPr="009348A3">
              <w:rPr>
                <w:rFonts w:ascii="Times New Roman" w:eastAsia="AngsanaUPC" w:hAnsi="Times New Roman"/>
                <w:bCs/>
                <w:sz w:val="18"/>
                <w:szCs w:val="18"/>
                <w:lang w:eastAsia="lt-LT"/>
              </w:rPr>
              <w:t>1</w:t>
            </w:r>
          </w:p>
        </w:tc>
        <w:tc>
          <w:tcPr>
            <w:tcW w:w="6378" w:type="dxa"/>
            <w:shd w:val="clear" w:color="auto" w:fill="auto"/>
            <w:vAlign w:val="center"/>
          </w:tcPr>
          <w:p w:rsidR="007E01C8" w:rsidRPr="009348A3" w:rsidRDefault="007E01C8" w:rsidP="00BB0960">
            <w:pPr>
              <w:widowControl w:val="0"/>
              <w:tabs>
                <w:tab w:val="left" w:pos="622"/>
              </w:tabs>
              <w:spacing w:after="0" w:line="240" w:lineRule="auto"/>
              <w:rPr>
                <w:rFonts w:ascii="Times New Roman" w:eastAsia="AngsanaUPC" w:hAnsi="Times New Roman"/>
                <w:bCs/>
                <w:sz w:val="18"/>
                <w:szCs w:val="18"/>
                <w:lang w:eastAsia="lt-LT"/>
              </w:rPr>
            </w:pPr>
            <w:r w:rsidRPr="009348A3">
              <w:rPr>
                <w:rFonts w:ascii="Times New Roman" w:eastAsia="AngsanaUPC" w:hAnsi="Times New Roman"/>
                <w:bCs/>
                <w:sz w:val="18"/>
                <w:szCs w:val="18"/>
                <w:lang w:eastAsia="lt-LT"/>
              </w:rPr>
              <w:t>Negrąžinamoji subsidija</w:t>
            </w:r>
          </w:p>
        </w:tc>
        <w:tc>
          <w:tcPr>
            <w:tcW w:w="1808" w:type="dxa"/>
            <w:shd w:val="clear" w:color="auto" w:fill="auto"/>
            <w:vAlign w:val="center"/>
          </w:tcPr>
          <w:p w:rsidR="007E01C8" w:rsidRPr="00FC6264" w:rsidRDefault="00CA194D" w:rsidP="009F540A">
            <w:pPr>
              <w:widowControl w:val="0"/>
              <w:tabs>
                <w:tab w:val="left" w:pos="622"/>
              </w:tabs>
              <w:spacing w:after="0" w:line="240" w:lineRule="auto"/>
              <w:jc w:val="right"/>
              <w:rPr>
                <w:rFonts w:ascii="Times New Roman" w:eastAsia="AngsanaUPC" w:hAnsi="Times New Roman"/>
                <w:bCs/>
                <w:sz w:val="18"/>
                <w:szCs w:val="18"/>
                <w:lang w:val="en-GB" w:eastAsia="lt-LT"/>
              </w:rPr>
            </w:pPr>
            <w:r w:rsidRPr="00FC6264">
              <w:rPr>
                <w:rFonts w:ascii="Times New Roman" w:eastAsia="AngsanaUPC" w:hAnsi="Times New Roman"/>
                <w:bCs/>
                <w:sz w:val="18"/>
                <w:szCs w:val="18"/>
                <w:lang w:val="en-GB" w:eastAsia="lt-LT"/>
              </w:rPr>
              <w:t>332.306</w:t>
            </w:r>
            <w:r w:rsidR="009348A3"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113</w:t>
            </w:r>
          </w:p>
        </w:tc>
      </w:tr>
      <w:tr w:rsidR="007E01C8" w:rsidRPr="009348A3" w:rsidTr="009D62C6">
        <w:tc>
          <w:tcPr>
            <w:tcW w:w="851" w:type="dxa"/>
            <w:shd w:val="clear" w:color="auto" w:fill="auto"/>
            <w:vAlign w:val="center"/>
          </w:tcPr>
          <w:p w:rsidR="007E01C8" w:rsidRPr="009348A3" w:rsidRDefault="007E01C8" w:rsidP="00BB0960">
            <w:pPr>
              <w:widowControl w:val="0"/>
              <w:tabs>
                <w:tab w:val="left" w:pos="622"/>
              </w:tabs>
              <w:spacing w:after="0" w:line="240" w:lineRule="auto"/>
              <w:rPr>
                <w:rFonts w:ascii="Times New Roman" w:eastAsia="AngsanaUPC" w:hAnsi="Times New Roman"/>
                <w:bCs/>
                <w:sz w:val="18"/>
                <w:szCs w:val="18"/>
                <w:lang w:val="en-GB" w:eastAsia="lt-LT"/>
              </w:rPr>
            </w:pPr>
            <w:r w:rsidRPr="009348A3">
              <w:rPr>
                <w:rFonts w:ascii="Times New Roman" w:eastAsia="AngsanaUPC" w:hAnsi="Times New Roman"/>
                <w:bCs/>
                <w:sz w:val="18"/>
                <w:szCs w:val="18"/>
                <w:lang w:val="en-GB" w:eastAsia="lt-LT"/>
              </w:rPr>
              <w:t>JUI</w:t>
            </w:r>
          </w:p>
        </w:tc>
        <w:tc>
          <w:tcPr>
            <w:tcW w:w="709" w:type="dxa"/>
            <w:shd w:val="clear" w:color="auto" w:fill="auto"/>
            <w:vAlign w:val="center"/>
          </w:tcPr>
          <w:p w:rsidR="007E01C8" w:rsidRPr="009348A3" w:rsidRDefault="007E01C8" w:rsidP="009348A3">
            <w:pPr>
              <w:widowControl w:val="0"/>
              <w:tabs>
                <w:tab w:val="left" w:pos="622"/>
              </w:tabs>
              <w:spacing w:after="0" w:line="240" w:lineRule="auto"/>
              <w:rPr>
                <w:rFonts w:ascii="Times New Roman" w:eastAsia="AngsanaUPC" w:hAnsi="Times New Roman"/>
                <w:bCs/>
                <w:sz w:val="18"/>
                <w:szCs w:val="18"/>
                <w:lang w:eastAsia="lt-LT"/>
              </w:rPr>
            </w:pPr>
            <w:r w:rsidRPr="009348A3">
              <w:rPr>
                <w:rFonts w:ascii="Times New Roman" w:eastAsia="AngsanaUPC" w:hAnsi="Times New Roman"/>
                <w:bCs/>
                <w:sz w:val="18"/>
                <w:szCs w:val="18"/>
                <w:lang w:eastAsia="lt-LT"/>
              </w:rPr>
              <w:t>01</w:t>
            </w:r>
          </w:p>
        </w:tc>
        <w:tc>
          <w:tcPr>
            <w:tcW w:w="6378" w:type="dxa"/>
            <w:shd w:val="clear" w:color="auto" w:fill="auto"/>
            <w:vAlign w:val="center"/>
          </w:tcPr>
          <w:p w:rsidR="007E01C8" w:rsidRPr="009348A3" w:rsidRDefault="000735AB" w:rsidP="00BB0960">
            <w:pPr>
              <w:widowControl w:val="0"/>
              <w:tabs>
                <w:tab w:val="left" w:pos="622"/>
              </w:tabs>
              <w:spacing w:after="0" w:line="240" w:lineRule="auto"/>
              <w:rPr>
                <w:rFonts w:ascii="Times New Roman" w:eastAsia="AngsanaUPC" w:hAnsi="Times New Roman"/>
                <w:bCs/>
                <w:sz w:val="18"/>
                <w:szCs w:val="18"/>
                <w:lang w:eastAsia="lt-LT"/>
              </w:rPr>
            </w:pPr>
            <w:r w:rsidRPr="009348A3">
              <w:rPr>
                <w:rFonts w:ascii="Times New Roman" w:eastAsia="AngsanaUPC" w:hAnsi="Times New Roman"/>
                <w:bCs/>
                <w:sz w:val="18"/>
                <w:szCs w:val="18"/>
                <w:lang w:eastAsia="lt-LT"/>
              </w:rPr>
              <w:t>Negrąžinamoji subsidija</w:t>
            </w:r>
          </w:p>
        </w:tc>
        <w:tc>
          <w:tcPr>
            <w:tcW w:w="1808" w:type="dxa"/>
            <w:shd w:val="clear" w:color="auto" w:fill="auto"/>
            <w:vAlign w:val="center"/>
          </w:tcPr>
          <w:p w:rsidR="007E01C8" w:rsidRPr="00FC6264" w:rsidRDefault="007E01C8" w:rsidP="001352F5">
            <w:pPr>
              <w:widowControl w:val="0"/>
              <w:tabs>
                <w:tab w:val="left" w:pos="622"/>
              </w:tabs>
              <w:spacing w:after="0" w:line="240" w:lineRule="auto"/>
              <w:jc w:val="right"/>
              <w:rPr>
                <w:rFonts w:ascii="Times New Roman" w:eastAsia="AngsanaUPC" w:hAnsi="Times New Roman"/>
                <w:bCs/>
                <w:sz w:val="18"/>
                <w:szCs w:val="18"/>
                <w:lang w:val="en-GB" w:eastAsia="lt-LT"/>
              </w:rPr>
            </w:pPr>
            <w:r w:rsidRPr="00FC6264">
              <w:rPr>
                <w:rFonts w:ascii="Times New Roman" w:eastAsia="AngsanaUPC" w:hAnsi="Times New Roman"/>
                <w:bCs/>
                <w:sz w:val="18"/>
                <w:szCs w:val="18"/>
                <w:lang w:val="en-GB" w:eastAsia="lt-LT"/>
              </w:rPr>
              <w:t>63</w:t>
            </w:r>
            <w:r w:rsidR="009348A3"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565</w:t>
            </w:r>
            <w:r w:rsidR="009348A3"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266</w:t>
            </w:r>
          </w:p>
        </w:tc>
      </w:tr>
      <w:tr w:rsidR="007E01C8" w:rsidRPr="009348A3" w:rsidTr="009D62C6">
        <w:tc>
          <w:tcPr>
            <w:tcW w:w="851" w:type="dxa"/>
            <w:shd w:val="clear" w:color="auto" w:fill="auto"/>
            <w:vAlign w:val="center"/>
          </w:tcPr>
          <w:p w:rsidR="007E01C8" w:rsidRPr="009348A3" w:rsidRDefault="007E01C8" w:rsidP="00BB0960">
            <w:pPr>
              <w:widowControl w:val="0"/>
              <w:tabs>
                <w:tab w:val="left" w:pos="622"/>
              </w:tabs>
              <w:spacing w:after="0" w:line="240" w:lineRule="auto"/>
              <w:rPr>
                <w:rFonts w:ascii="Times New Roman" w:eastAsia="AngsanaUPC" w:hAnsi="Times New Roman"/>
                <w:bCs/>
                <w:sz w:val="18"/>
                <w:szCs w:val="18"/>
                <w:lang w:val="en-GB" w:eastAsia="lt-LT"/>
              </w:rPr>
            </w:pPr>
            <w:r w:rsidRPr="009348A3">
              <w:rPr>
                <w:rFonts w:ascii="Times New Roman" w:eastAsia="AngsanaUPC" w:hAnsi="Times New Roman"/>
                <w:bCs/>
                <w:sz w:val="18"/>
                <w:szCs w:val="18"/>
                <w:lang w:val="en-GB" w:eastAsia="lt-LT"/>
              </w:rPr>
              <w:t>ESF</w:t>
            </w:r>
          </w:p>
        </w:tc>
        <w:tc>
          <w:tcPr>
            <w:tcW w:w="709" w:type="dxa"/>
            <w:shd w:val="clear" w:color="auto" w:fill="auto"/>
            <w:vAlign w:val="center"/>
          </w:tcPr>
          <w:p w:rsidR="007E01C8" w:rsidRPr="009348A3" w:rsidRDefault="006F1682" w:rsidP="00BB0960">
            <w:pPr>
              <w:widowControl w:val="0"/>
              <w:tabs>
                <w:tab w:val="left" w:pos="622"/>
              </w:tabs>
              <w:spacing w:after="0" w:line="240" w:lineRule="auto"/>
              <w:rPr>
                <w:rFonts w:ascii="Times New Roman" w:eastAsia="AngsanaUPC" w:hAnsi="Times New Roman"/>
                <w:bCs/>
                <w:sz w:val="18"/>
                <w:szCs w:val="18"/>
                <w:lang w:eastAsia="lt-LT"/>
              </w:rPr>
            </w:pPr>
            <w:r w:rsidRPr="009348A3">
              <w:rPr>
                <w:rFonts w:ascii="Times New Roman" w:eastAsia="AngsanaUPC" w:hAnsi="Times New Roman"/>
                <w:bCs/>
                <w:sz w:val="18"/>
                <w:szCs w:val="18"/>
                <w:lang w:eastAsia="lt-LT"/>
              </w:rPr>
              <w:t>0</w:t>
            </w:r>
            <w:r w:rsidR="007E01C8" w:rsidRPr="009348A3">
              <w:rPr>
                <w:rFonts w:ascii="Times New Roman" w:eastAsia="AngsanaUPC" w:hAnsi="Times New Roman"/>
                <w:bCs/>
                <w:sz w:val="18"/>
                <w:szCs w:val="18"/>
                <w:lang w:eastAsia="lt-LT"/>
              </w:rPr>
              <w:t>4</w:t>
            </w:r>
          </w:p>
        </w:tc>
        <w:tc>
          <w:tcPr>
            <w:tcW w:w="6378" w:type="dxa"/>
            <w:shd w:val="clear" w:color="auto" w:fill="auto"/>
            <w:vAlign w:val="center"/>
          </w:tcPr>
          <w:p w:rsidR="007E01C8" w:rsidRPr="009348A3" w:rsidRDefault="000735AB" w:rsidP="00BB0960">
            <w:pPr>
              <w:widowControl w:val="0"/>
              <w:tabs>
                <w:tab w:val="left" w:pos="622"/>
              </w:tabs>
              <w:spacing w:after="0" w:line="240" w:lineRule="auto"/>
              <w:rPr>
                <w:rFonts w:ascii="Times New Roman" w:eastAsia="AngsanaUPC" w:hAnsi="Times New Roman"/>
                <w:bCs/>
                <w:sz w:val="18"/>
                <w:szCs w:val="18"/>
                <w:lang w:eastAsia="lt-LT"/>
              </w:rPr>
            </w:pPr>
            <w:r w:rsidRPr="009348A3">
              <w:rPr>
                <w:rFonts w:ascii="Times New Roman" w:eastAsia="AngsanaUPC" w:hAnsi="Times New Roman"/>
                <w:bCs/>
                <w:sz w:val="18"/>
                <w:szCs w:val="18"/>
                <w:lang w:eastAsia="lt-LT"/>
              </w:rPr>
              <w:t>Naudojantis finansinėmis priemonėmis teikiama parama: paskola arba lygiavertė priemonė</w:t>
            </w:r>
          </w:p>
        </w:tc>
        <w:tc>
          <w:tcPr>
            <w:tcW w:w="1808" w:type="dxa"/>
            <w:shd w:val="clear" w:color="auto" w:fill="auto"/>
            <w:vAlign w:val="center"/>
          </w:tcPr>
          <w:p w:rsidR="007E01C8" w:rsidRPr="009348A3" w:rsidRDefault="007E01C8" w:rsidP="001352F5">
            <w:pPr>
              <w:widowControl w:val="0"/>
              <w:tabs>
                <w:tab w:val="left" w:pos="622"/>
              </w:tabs>
              <w:spacing w:after="0" w:line="240" w:lineRule="auto"/>
              <w:jc w:val="right"/>
              <w:rPr>
                <w:rFonts w:ascii="Times New Roman" w:eastAsia="AngsanaUPC" w:hAnsi="Times New Roman"/>
                <w:bCs/>
                <w:sz w:val="18"/>
                <w:szCs w:val="18"/>
                <w:lang w:val="en-GB" w:eastAsia="lt-LT"/>
              </w:rPr>
            </w:pPr>
            <w:r w:rsidRPr="009348A3">
              <w:rPr>
                <w:rFonts w:ascii="Times New Roman" w:eastAsia="AngsanaUPC" w:hAnsi="Times New Roman"/>
                <w:bCs/>
                <w:sz w:val="18"/>
                <w:szCs w:val="18"/>
                <w:lang w:val="en-GB" w:eastAsia="lt-LT"/>
              </w:rPr>
              <w:t>23</w:t>
            </w:r>
            <w:r w:rsidR="009348A3">
              <w:rPr>
                <w:rFonts w:ascii="Times New Roman" w:eastAsia="AngsanaUPC" w:hAnsi="Times New Roman"/>
                <w:bCs/>
                <w:sz w:val="18"/>
                <w:szCs w:val="18"/>
                <w:lang w:val="en-GB" w:eastAsia="lt-LT"/>
              </w:rPr>
              <w:t>.</w:t>
            </w:r>
            <w:r w:rsidRPr="009348A3">
              <w:rPr>
                <w:rFonts w:ascii="Times New Roman" w:eastAsia="AngsanaUPC" w:hAnsi="Times New Roman"/>
                <w:bCs/>
                <w:sz w:val="18"/>
                <w:szCs w:val="18"/>
                <w:lang w:val="en-GB" w:eastAsia="lt-LT"/>
              </w:rPr>
              <w:t>169</w:t>
            </w:r>
            <w:r w:rsidR="009348A3">
              <w:rPr>
                <w:rFonts w:ascii="Times New Roman" w:eastAsia="AngsanaUPC" w:hAnsi="Times New Roman"/>
                <w:bCs/>
                <w:sz w:val="18"/>
                <w:szCs w:val="18"/>
                <w:lang w:val="en-GB" w:eastAsia="lt-LT"/>
              </w:rPr>
              <w:t>.</w:t>
            </w:r>
            <w:r w:rsidRPr="009348A3">
              <w:rPr>
                <w:rFonts w:ascii="Times New Roman" w:eastAsia="AngsanaUPC" w:hAnsi="Times New Roman"/>
                <w:bCs/>
                <w:sz w:val="18"/>
                <w:szCs w:val="18"/>
                <w:lang w:val="en-GB" w:eastAsia="lt-LT"/>
              </w:rPr>
              <w:t>602</w:t>
            </w:r>
          </w:p>
        </w:tc>
      </w:tr>
      <w:tr w:rsidR="007E01C8" w:rsidRPr="009348A3" w:rsidTr="009D62C6">
        <w:tc>
          <w:tcPr>
            <w:tcW w:w="851" w:type="dxa"/>
            <w:shd w:val="clear" w:color="auto" w:fill="auto"/>
            <w:vAlign w:val="center"/>
          </w:tcPr>
          <w:p w:rsidR="007E01C8" w:rsidRPr="009348A3" w:rsidRDefault="007E01C8" w:rsidP="00BB0960">
            <w:pPr>
              <w:widowControl w:val="0"/>
              <w:tabs>
                <w:tab w:val="left" w:pos="622"/>
              </w:tabs>
              <w:spacing w:after="0" w:line="240" w:lineRule="auto"/>
              <w:rPr>
                <w:rFonts w:ascii="Times New Roman" w:eastAsia="AngsanaUPC" w:hAnsi="Times New Roman"/>
                <w:bCs/>
                <w:sz w:val="18"/>
                <w:szCs w:val="18"/>
                <w:lang w:val="en-GB" w:eastAsia="lt-LT"/>
              </w:rPr>
            </w:pPr>
            <w:r w:rsidRPr="009348A3">
              <w:rPr>
                <w:rFonts w:ascii="Times New Roman" w:eastAsia="AngsanaUPC" w:hAnsi="Times New Roman"/>
                <w:bCs/>
                <w:sz w:val="18"/>
                <w:szCs w:val="18"/>
                <w:lang w:val="en-GB" w:eastAsia="lt-LT"/>
              </w:rPr>
              <w:t>ESF</w:t>
            </w:r>
          </w:p>
        </w:tc>
        <w:tc>
          <w:tcPr>
            <w:tcW w:w="709" w:type="dxa"/>
            <w:shd w:val="clear" w:color="auto" w:fill="auto"/>
            <w:vAlign w:val="center"/>
          </w:tcPr>
          <w:p w:rsidR="007E01C8" w:rsidRPr="009348A3" w:rsidRDefault="006F1682" w:rsidP="00BB0960">
            <w:pPr>
              <w:widowControl w:val="0"/>
              <w:tabs>
                <w:tab w:val="left" w:pos="622"/>
              </w:tabs>
              <w:spacing w:after="0" w:line="240" w:lineRule="auto"/>
              <w:rPr>
                <w:rFonts w:ascii="Times New Roman" w:eastAsia="AngsanaUPC" w:hAnsi="Times New Roman"/>
                <w:bCs/>
                <w:sz w:val="18"/>
                <w:szCs w:val="18"/>
                <w:lang w:eastAsia="lt-LT"/>
              </w:rPr>
            </w:pPr>
            <w:r w:rsidRPr="009348A3">
              <w:rPr>
                <w:rFonts w:ascii="Times New Roman" w:eastAsia="AngsanaUPC" w:hAnsi="Times New Roman"/>
                <w:bCs/>
                <w:sz w:val="18"/>
                <w:szCs w:val="18"/>
                <w:lang w:eastAsia="lt-LT"/>
              </w:rPr>
              <w:t>0</w:t>
            </w:r>
            <w:r w:rsidR="007E01C8" w:rsidRPr="009348A3">
              <w:rPr>
                <w:rFonts w:ascii="Times New Roman" w:eastAsia="AngsanaUPC" w:hAnsi="Times New Roman"/>
                <w:bCs/>
                <w:sz w:val="18"/>
                <w:szCs w:val="18"/>
                <w:lang w:eastAsia="lt-LT"/>
              </w:rPr>
              <w:t>6</w:t>
            </w:r>
          </w:p>
        </w:tc>
        <w:tc>
          <w:tcPr>
            <w:tcW w:w="6378" w:type="dxa"/>
            <w:shd w:val="clear" w:color="auto" w:fill="auto"/>
            <w:vAlign w:val="center"/>
          </w:tcPr>
          <w:p w:rsidR="007E01C8" w:rsidRPr="009348A3" w:rsidRDefault="000735AB" w:rsidP="00BB0960">
            <w:pPr>
              <w:widowControl w:val="0"/>
              <w:tabs>
                <w:tab w:val="left" w:pos="622"/>
              </w:tabs>
              <w:spacing w:after="0" w:line="240" w:lineRule="auto"/>
              <w:rPr>
                <w:rFonts w:ascii="Times New Roman" w:eastAsia="AngsanaUPC" w:hAnsi="Times New Roman"/>
                <w:bCs/>
                <w:sz w:val="18"/>
                <w:szCs w:val="18"/>
                <w:lang w:eastAsia="lt-LT"/>
              </w:rPr>
            </w:pPr>
            <w:r w:rsidRPr="009348A3">
              <w:rPr>
                <w:rFonts w:ascii="Times New Roman" w:eastAsia="AngsanaUPC" w:hAnsi="Times New Roman"/>
                <w:bCs/>
                <w:sz w:val="18"/>
                <w:szCs w:val="18"/>
                <w:lang w:eastAsia="lt-LT"/>
              </w:rPr>
              <w:t>Naudojantis finansinėmis priemonėmis teikiama parama: palūkanų subsidija, garantinio mokesčio subsidija, techninė parama arba lygiavertė priemonė</w:t>
            </w:r>
          </w:p>
        </w:tc>
        <w:tc>
          <w:tcPr>
            <w:tcW w:w="1808" w:type="dxa"/>
            <w:shd w:val="clear" w:color="auto" w:fill="auto"/>
            <w:vAlign w:val="center"/>
          </w:tcPr>
          <w:p w:rsidR="007E01C8" w:rsidRPr="009348A3" w:rsidRDefault="007E01C8" w:rsidP="001352F5">
            <w:pPr>
              <w:widowControl w:val="0"/>
              <w:tabs>
                <w:tab w:val="left" w:pos="622"/>
              </w:tabs>
              <w:spacing w:after="0" w:line="240" w:lineRule="auto"/>
              <w:jc w:val="right"/>
              <w:rPr>
                <w:rFonts w:ascii="Times New Roman" w:eastAsia="AngsanaUPC" w:hAnsi="Times New Roman"/>
                <w:bCs/>
                <w:sz w:val="18"/>
                <w:szCs w:val="18"/>
                <w:lang w:val="en-GB" w:eastAsia="lt-LT"/>
              </w:rPr>
            </w:pPr>
            <w:r w:rsidRPr="009348A3">
              <w:rPr>
                <w:rFonts w:ascii="Times New Roman" w:eastAsia="AngsanaUPC" w:hAnsi="Times New Roman"/>
                <w:bCs/>
                <w:sz w:val="18"/>
                <w:szCs w:val="18"/>
                <w:lang w:val="en-GB" w:eastAsia="lt-LT"/>
              </w:rPr>
              <w:t>17</w:t>
            </w:r>
            <w:r w:rsidR="009348A3">
              <w:rPr>
                <w:rFonts w:ascii="Times New Roman" w:eastAsia="AngsanaUPC" w:hAnsi="Times New Roman"/>
                <w:bCs/>
                <w:sz w:val="18"/>
                <w:szCs w:val="18"/>
                <w:lang w:val="en-GB" w:eastAsia="lt-LT"/>
              </w:rPr>
              <w:t>.</w:t>
            </w:r>
            <w:r w:rsidRPr="009348A3">
              <w:rPr>
                <w:rFonts w:ascii="Times New Roman" w:eastAsia="AngsanaUPC" w:hAnsi="Times New Roman"/>
                <w:bCs/>
                <w:sz w:val="18"/>
                <w:szCs w:val="18"/>
                <w:lang w:val="en-GB" w:eastAsia="lt-LT"/>
              </w:rPr>
              <w:t>377</w:t>
            </w:r>
            <w:r w:rsidR="009348A3">
              <w:rPr>
                <w:rFonts w:ascii="Times New Roman" w:eastAsia="AngsanaUPC" w:hAnsi="Times New Roman"/>
                <w:bCs/>
                <w:sz w:val="18"/>
                <w:szCs w:val="18"/>
                <w:lang w:val="en-GB" w:eastAsia="lt-LT"/>
              </w:rPr>
              <w:t>.</w:t>
            </w:r>
            <w:r w:rsidRPr="009348A3">
              <w:rPr>
                <w:rFonts w:ascii="Times New Roman" w:eastAsia="AngsanaUPC" w:hAnsi="Times New Roman"/>
                <w:bCs/>
                <w:sz w:val="18"/>
                <w:szCs w:val="18"/>
                <w:lang w:val="en-GB" w:eastAsia="lt-LT"/>
              </w:rPr>
              <w:t>201</w:t>
            </w:r>
          </w:p>
        </w:tc>
      </w:tr>
    </w:tbl>
    <w:p w:rsidR="007E01C8" w:rsidRPr="002447B3" w:rsidRDefault="007E01C8" w:rsidP="007E01C8">
      <w:pPr>
        <w:widowControl w:val="0"/>
        <w:tabs>
          <w:tab w:val="left" w:pos="622"/>
        </w:tabs>
        <w:spacing w:after="0" w:line="240" w:lineRule="auto"/>
        <w:jc w:val="both"/>
        <w:rPr>
          <w:rFonts w:ascii="Times New Roman" w:hAnsi="Times New Roman"/>
          <w:iCs/>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9"/>
        <w:gridCol w:w="6378"/>
        <w:gridCol w:w="1808"/>
      </w:tblGrid>
      <w:tr w:rsidR="007E01C8" w:rsidRPr="002447B3" w:rsidTr="00BB0960">
        <w:tc>
          <w:tcPr>
            <w:tcW w:w="9746" w:type="dxa"/>
            <w:gridSpan w:val="4"/>
            <w:shd w:val="clear" w:color="auto" w:fill="EEECE1"/>
          </w:tcPr>
          <w:p w:rsidR="007E01C8" w:rsidRPr="002447B3" w:rsidRDefault="007E01C8" w:rsidP="00BB0960">
            <w:pPr>
              <w:widowControl w:val="0"/>
              <w:tabs>
                <w:tab w:val="left" w:pos="622"/>
              </w:tabs>
              <w:spacing w:after="0" w:line="240" w:lineRule="auto"/>
              <w:jc w:val="both"/>
              <w:rPr>
                <w:rFonts w:ascii="Times New Roman" w:hAnsi="Times New Roman"/>
                <w:i/>
                <w:iCs/>
                <w:sz w:val="18"/>
                <w:szCs w:val="18"/>
              </w:rPr>
            </w:pPr>
            <w:r w:rsidRPr="002447B3">
              <w:rPr>
                <w:rFonts w:ascii="Times New Roman" w:hAnsi="Times New Roman"/>
                <w:b/>
                <w:bCs/>
                <w:i/>
                <w:iCs/>
                <w:sz w:val="18"/>
                <w:szCs w:val="18"/>
              </w:rPr>
              <w:t>Teritorijų tipas</w:t>
            </w:r>
          </w:p>
        </w:tc>
      </w:tr>
      <w:tr w:rsidR="007E01C8" w:rsidRPr="002447B3" w:rsidTr="009D62C6">
        <w:tc>
          <w:tcPr>
            <w:tcW w:w="851" w:type="dxa"/>
            <w:shd w:val="clear" w:color="auto" w:fill="EEECE1"/>
            <w:vAlign w:val="center"/>
          </w:tcPr>
          <w:p w:rsidR="007E01C8" w:rsidRPr="002447B3" w:rsidRDefault="007E01C8" w:rsidP="00BB0960">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Fondas</w:t>
            </w:r>
          </w:p>
        </w:tc>
        <w:tc>
          <w:tcPr>
            <w:tcW w:w="709" w:type="dxa"/>
            <w:shd w:val="clear" w:color="auto" w:fill="EEECE1"/>
            <w:vAlign w:val="center"/>
          </w:tcPr>
          <w:p w:rsidR="007E01C8" w:rsidRPr="002447B3" w:rsidRDefault="007E01C8" w:rsidP="00BB0960">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Kodas</w:t>
            </w:r>
          </w:p>
        </w:tc>
        <w:tc>
          <w:tcPr>
            <w:tcW w:w="6378" w:type="dxa"/>
            <w:shd w:val="clear" w:color="auto" w:fill="EEECE1"/>
            <w:vAlign w:val="center"/>
          </w:tcPr>
          <w:p w:rsidR="007E01C8" w:rsidRPr="002447B3" w:rsidRDefault="007E01C8" w:rsidP="00BB0960">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Pavadinimas</w:t>
            </w:r>
          </w:p>
        </w:tc>
        <w:tc>
          <w:tcPr>
            <w:tcW w:w="1808" w:type="dxa"/>
            <w:shd w:val="clear" w:color="auto" w:fill="EEECE1"/>
            <w:vAlign w:val="center"/>
          </w:tcPr>
          <w:p w:rsidR="007E01C8" w:rsidRPr="002447B3" w:rsidRDefault="007E01C8" w:rsidP="00BB0960">
            <w:pPr>
              <w:widowControl w:val="0"/>
              <w:tabs>
                <w:tab w:val="left" w:pos="622"/>
              </w:tabs>
              <w:spacing w:after="0" w:line="240" w:lineRule="auto"/>
              <w:jc w:val="center"/>
              <w:rPr>
                <w:rFonts w:ascii="Times New Roman" w:hAnsi="Times New Roman"/>
                <w:b/>
                <w:bCs/>
                <w:iCs/>
                <w:sz w:val="18"/>
                <w:szCs w:val="18"/>
              </w:rPr>
            </w:pPr>
            <w:r w:rsidRPr="002447B3">
              <w:rPr>
                <w:rFonts w:ascii="Times New Roman" w:hAnsi="Times New Roman"/>
                <w:b/>
                <w:bCs/>
                <w:iCs/>
                <w:sz w:val="18"/>
                <w:szCs w:val="18"/>
              </w:rPr>
              <w:t>Finansinė proporcija (eurais)</w:t>
            </w:r>
          </w:p>
        </w:tc>
      </w:tr>
      <w:tr w:rsidR="007E01C8" w:rsidRPr="009348A3" w:rsidTr="009D62C6">
        <w:tc>
          <w:tcPr>
            <w:tcW w:w="851" w:type="dxa"/>
            <w:shd w:val="clear" w:color="auto" w:fill="FFFFFF"/>
            <w:vAlign w:val="center"/>
          </w:tcPr>
          <w:p w:rsidR="007E01C8" w:rsidRPr="009348A3" w:rsidRDefault="007E01C8" w:rsidP="00BB0960">
            <w:pPr>
              <w:widowControl w:val="0"/>
              <w:tabs>
                <w:tab w:val="left" w:pos="622"/>
              </w:tabs>
              <w:spacing w:after="0" w:line="240" w:lineRule="auto"/>
              <w:rPr>
                <w:rFonts w:ascii="Times New Roman" w:eastAsia="AngsanaUPC" w:hAnsi="Times New Roman"/>
                <w:bCs/>
                <w:sz w:val="18"/>
                <w:szCs w:val="18"/>
                <w:lang w:val="en-GB" w:eastAsia="lt-LT"/>
              </w:rPr>
            </w:pPr>
            <w:r w:rsidRPr="009348A3">
              <w:rPr>
                <w:rFonts w:ascii="Times New Roman" w:eastAsia="AngsanaUPC" w:hAnsi="Times New Roman"/>
                <w:bCs/>
                <w:sz w:val="18"/>
                <w:szCs w:val="18"/>
                <w:lang w:val="en-GB" w:eastAsia="lt-LT"/>
              </w:rPr>
              <w:t>ERPF</w:t>
            </w:r>
          </w:p>
        </w:tc>
        <w:tc>
          <w:tcPr>
            <w:tcW w:w="709" w:type="dxa"/>
            <w:shd w:val="clear" w:color="auto" w:fill="FFFFFF"/>
            <w:vAlign w:val="center"/>
          </w:tcPr>
          <w:p w:rsidR="007E01C8" w:rsidRPr="009348A3" w:rsidRDefault="006F1682" w:rsidP="00BB0960">
            <w:pPr>
              <w:widowControl w:val="0"/>
              <w:tabs>
                <w:tab w:val="left" w:pos="622"/>
              </w:tabs>
              <w:spacing w:after="0" w:line="240" w:lineRule="auto"/>
              <w:jc w:val="both"/>
              <w:rPr>
                <w:rFonts w:ascii="Times New Roman" w:hAnsi="Times New Roman"/>
                <w:bCs/>
                <w:iCs/>
                <w:sz w:val="18"/>
                <w:szCs w:val="18"/>
              </w:rPr>
            </w:pPr>
            <w:r w:rsidRPr="009348A3">
              <w:rPr>
                <w:rFonts w:ascii="Times New Roman" w:hAnsi="Times New Roman"/>
                <w:bCs/>
                <w:iCs/>
                <w:sz w:val="18"/>
                <w:szCs w:val="18"/>
              </w:rPr>
              <w:t>0</w:t>
            </w:r>
            <w:r w:rsidR="007E01C8" w:rsidRPr="009348A3">
              <w:rPr>
                <w:rFonts w:ascii="Times New Roman" w:hAnsi="Times New Roman"/>
                <w:bCs/>
                <w:iCs/>
                <w:sz w:val="18"/>
                <w:szCs w:val="18"/>
              </w:rPr>
              <w:t>1</w:t>
            </w:r>
          </w:p>
        </w:tc>
        <w:tc>
          <w:tcPr>
            <w:tcW w:w="6378" w:type="dxa"/>
            <w:shd w:val="clear" w:color="auto" w:fill="FFFFFF"/>
            <w:vAlign w:val="center"/>
          </w:tcPr>
          <w:p w:rsidR="007E01C8" w:rsidRPr="009348A3" w:rsidRDefault="007E01C8" w:rsidP="00BB0960">
            <w:pPr>
              <w:widowControl w:val="0"/>
              <w:tabs>
                <w:tab w:val="left" w:pos="622"/>
              </w:tabs>
              <w:spacing w:after="0" w:line="240" w:lineRule="auto"/>
              <w:jc w:val="both"/>
              <w:rPr>
                <w:rFonts w:ascii="Times New Roman" w:hAnsi="Times New Roman"/>
                <w:bCs/>
                <w:iCs/>
                <w:sz w:val="18"/>
                <w:szCs w:val="18"/>
              </w:rPr>
            </w:pPr>
            <w:r w:rsidRPr="009348A3">
              <w:rPr>
                <w:rFonts w:ascii="Times New Roman" w:hAnsi="Times New Roman"/>
                <w:bCs/>
                <w:iCs/>
                <w:sz w:val="18"/>
                <w:szCs w:val="18"/>
              </w:rPr>
              <w:t>Didelės miesto teritorijos (tankiai apgyvendintos, &gt; 50 000 gyventojų)</w:t>
            </w:r>
          </w:p>
        </w:tc>
        <w:tc>
          <w:tcPr>
            <w:tcW w:w="1808" w:type="dxa"/>
            <w:shd w:val="clear" w:color="auto" w:fill="FFFFFF"/>
          </w:tcPr>
          <w:p w:rsidR="007E01C8" w:rsidRPr="00FC6264" w:rsidRDefault="007E01C8" w:rsidP="00CA194D">
            <w:pPr>
              <w:spacing w:after="0" w:line="240" w:lineRule="auto"/>
              <w:jc w:val="right"/>
              <w:rPr>
                <w:rFonts w:ascii="Times New Roman" w:hAnsi="Times New Roman"/>
                <w:sz w:val="18"/>
                <w:szCs w:val="18"/>
              </w:rPr>
            </w:pPr>
            <w:r w:rsidRPr="00FC6264">
              <w:rPr>
                <w:rFonts w:ascii="Times New Roman" w:hAnsi="Times New Roman"/>
                <w:sz w:val="18"/>
                <w:szCs w:val="18"/>
              </w:rPr>
              <w:t>2</w:t>
            </w:r>
            <w:r w:rsidR="00CA194D" w:rsidRPr="00FC6264">
              <w:rPr>
                <w:rFonts w:ascii="Times New Roman" w:hAnsi="Times New Roman"/>
                <w:sz w:val="18"/>
                <w:szCs w:val="18"/>
              </w:rPr>
              <w:t>65</w:t>
            </w:r>
            <w:r w:rsidR="009348A3" w:rsidRPr="00FC6264">
              <w:rPr>
                <w:rFonts w:ascii="Times New Roman" w:hAnsi="Times New Roman"/>
                <w:sz w:val="18"/>
                <w:szCs w:val="18"/>
              </w:rPr>
              <w:t>.</w:t>
            </w:r>
            <w:r w:rsidR="00CA194D" w:rsidRPr="00FC6264">
              <w:rPr>
                <w:rFonts w:ascii="Times New Roman" w:hAnsi="Times New Roman"/>
                <w:sz w:val="18"/>
                <w:szCs w:val="18"/>
              </w:rPr>
              <w:t>831</w:t>
            </w:r>
            <w:r w:rsidR="009348A3" w:rsidRPr="00FC6264">
              <w:rPr>
                <w:rFonts w:ascii="Times New Roman" w:hAnsi="Times New Roman"/>
                <w:sz w:val="18"/>
                <w:szCs w:val="18"/>
              </w:rPr>
              <w:t>.</w:t>
            </w:r>
            <w:r w:rsidR="00CA194D" w:rsidRPr="00FC6264">
              <w:rPr>
                <w:rFonts w:ascii="Times New Roman" w:hAnsi="Times New Roman"/>
                <w:sz w:val="18"/>
                <w:szCs w:val="18"/>
              </w:rPr>
              <w:t>190</w:t>
            </w:r>
          </w:p>
        </w:tc>
      </w:tr>
      <w:tr w:rsidR="007E01C8" w:rsidRPr="009348A3" w:rsidTr="009D62C6">
        <w:tc>
          <w:tcPr>
            <w:tcW w:w="851" w:type="dxa"/>
            <w:shd w:val="clear" w:color="auto" w:fill="auto"/>
            <w:vAlign w:val="center"/>
          </w:tcPr>
          <w:p w:rsidR="007E01C8" w:rsidRPr="009348A3" w:rsidRDefault="007E01C8" w:rsidP="00BB0960">
            <w:pPr>
              <w:widowControl w:val="0"/>
              <w:tabs>
                <w:tab w:val="left" w:pos="622"/>
              </w:tabs>
              <w:spacing w:after="0" w:line="240" w:lineRule="auto"/>
              <w:rPr>
                <w:rFonts w:ascii="Times New Roman" w:eastAsia="AngsanaUPC" w:hAnsi="Times New Roman"/>
                <w:bCs/>
                <w:sz w:val="18"/>
                <w:szCs w:val="18"/>
                <w:lang w:val="en-GB" w:eastAsia="lt-LT"/>
              </w:rPr>
            </w:pPr>
            <w:r w:rsidRPr="009348A3">
              <w:rPr>
                <w:rFonts w:ascii="Times New Roman" w:eastAsia="AngsanaUPC" w:hAnsi="Times New Roman"/>
                <w:bCs/>
                <w:sz w:val="18"/>
                <w:szCs w:val="18"/>
                <w:lang w:val="en-GB" w:eastAsia="lt-LT"/>
              </w:rPr>
              <w:t>ERPF</w:t>
            </w:r>
          </w:p>
        </w:tc>
        <w:tc>
          <w:tcPr>
            <w:tcW w:w="709" w:type="dxa"/>
            <w:shd w:val="clear" w:color="auto" w:fill="auto"/>
            <w:vAlign w:val="center"/>
          </w:tcPr>
          <w:p w:rsidR="007E01C8" w:rsidRPr="009348A3" w:rsidRDefault="006F1682" w:rsidP="00BB0960">
            <w:pPr>
              <w:widowControl w:val="0"/>
              <w:tabs>
                <w:tab w:val="left" w:pos="622"/>
              </w:tabs>
              <w:spacing w:after="0" w:line="240" w:lineRule="auto"/>
              <w:rPr>
                <w:rFonts w:ascii="Times New Roman" w:eastAsia="AngsanaUPC" w:hAnsi="Times New Roman"/>
                <w:bCs/>
                <w:sz w:val="18"/>
                <w:szCs w:val="18"/>
                <w:lang w:val="en-GB" w:eastAsia="lt-LT"/>
              </w:rPr>
            </w:pPr>
            <w:r w:rsidRPr="009348A3">
              <w:rPr>
                <w:rFonts w:ascii="Times New Roman" w:eastAsia="AngsanaUPC" w:hAnsi="Times New Roman"/>
                <w:bCs/>
                <w:sz w:val="18"/>
                <w:szCs w:val="18"/>
                <w:lang w:val="en-GB" w:eastAsia="lt-LT"/>
              </w:rPr>
              <w:t>0</w:t>
            </w:r>
            <w:r w:rsidR="007E01C8" w:rsidRPr="009348A3">
              <w:rPr>
                <w:rFonts w:ascii="Times New Roman" w:eastAsia="AngsanaUPC" w:hAnsi="Times New Roman"/>
                <w:bCs/>
                <w:sz w:val="18"/>
                <w:szCs w:val="18"/>
                <w:lang w:val="en-GB" w:eastAsia="lt-LT"/>
              </w:rPr>
              <w:t>2</w:t>
            </w:r>
          </w:p>
        </w:tc>
        <w:tc>
          <w:tcPr>
            <w:tcW w:w="6378" w:type="dxa"/>
            <w:shd w:val="clear" w:color="auto" w:fill="auto"/>
            <w:vAlign w:val="center"/>
          </w:tcPr>
          <w:p w:rsidR="007E01C8" w:rsidRPr="009348A3" w:rsidRDefault="000735AB" w:rsidP="00BB0960">
            <w:pPr>
              <w:widowControl w:val="0"/>
              <w:tabs>
                <w:tab w:val="left" w:pos="622"/>
              </w:tabs>
              <w:spacing w:after="0" w:line="240" w:lineRule="auto"/>
              <w:jc w:val="both"/>
              <w:rPr>
                <w:rFonts w:ascii="Times New Roman" w:hAnsi="Times New Roman"/>
                <w:bCs/>
                <w:iCs/>
                <w:sz w:val="18"/>
                <w:szCs w:val="18"/>
              </w:rPr>
            </w:pPr>
            <w:r w:rsidRPr="009348A3">
              <w:rPr>
                <w:rFonts w:ascii="Times New Roman" w:hAnsi="Times New Roman"/>
                <w:bCs/>
                <w:iCs/>
                <w:sz w:val="18"/>
                <w:szCs w:val="18"/>
              </w:rPr>
              <w:t>Mažos miesto teritorijos (vidutiniškai tankiai apgyvendintos, &gt; 5 000 gyventojų)</w:t>
            </w:r>
          </w:p>
        </w:tc>
        <w:tc>
          <w:tcPr>
            <w:tcW w:w="1808" w:type="dxa"/>
            <w:shd w:val="clear" w:color="auto" w:fill="auto"/>
          </w:tcPr>
          <w:p w:rsidR="007E01C8" w:rsidRPr="00FC6264" w:rsidRDefault="007E01C8" w:rsidP="001352F5">
            <w:pPr>
              <w:spacing w:after="0" w:line="240" w:lineRule="auto"/>
              <w:jc w:val="right"/>
              <w:rPr>
                <w:rFonts w:ascii="Times New Roman" w:hAnsi="Times New Roman"/>
                <w:sz w:val="18"/>
                <w:szCs w:val="18"/>
              </w:rPr>
            </w:pPr>
            <w:r w:rsidRPr="00FC6264">
              <w:rPr>
                <w:rFonts w:ascii="Times New Roman" w:hAnsi="Times New Roman"/>
                <w:sz w:val="18"/>
                <w:szCs w:val="18"/>
              </w:rPr>
              <w:t>43</w:t>
            </w:r>
            <w:r w:rsidR="009348A3" w:rsidRPr="00FC6264">
              <w:rPr>
                <w:rFonts w:ascii="Times New Roman" w:hAnsi="Times New Roman"/>
                <w:sz w:val="18"/>
                <w:szCs w:val="18"/>
              </w:rPr>
              <w:t>.</w:t>
            </w:r>
            <w:r w:rsidRPr="00FC6264">
              <w:rPr>
                <w:rFonts w:ascii="Times New Roman" w:hAnsi="Times New Roman"/>
                <w:sz w:val="18"/>
                <w:szCs w:val="18"/>
              </w:rPr>
              <w:t>543</w:t>
            </w:r>
            <w:r w:rsidR="009348A3" w:rsidRPr="00FC6264">
              <w:rPr>
                <w:rFonts w:ascii="Times New Roman" w:hAnsi="Times New Roman"/>
                <w:sz w:val="18"/>
                <w:szCs w:val="18"/>
              </w:rPr>
              <w:t>.</w:t>
            </w:r>
            <w:r w:rsidRPr="00FC6264">
              <w:rPr>
                <w:rFonts w:ascii="Times New Roman" w:hAnsi="Times New Roman"/>
                <w:sz w:val="18"/>
                <w:szCs w:val="18"/>
              </w:rPr>
              <w:t>456</w:t>
            </w:r>
          </w:p>
        </w:tc>
      </w:tr>
      <w:tr w:rsidR="007E01C8" w:rsidRPr="009348A3" w:rsidTr="009D62C6">
        <w:tc>
          <w:tcPr>
            <w:tcW w:w="851" w:type="dxa"/>
            <w:shd w:val="clear" w:color="auto" w:fill="auto"/>
            <w:vAlign w:val="center"/>
          </w:tcPr>
          <w:p w:rsidR="007E01C8" w:rsidRPr="009348A3" w:rsidRDefault="007E01C8" w:rsidP="00BB0960">
            <w:pPr>
              <w:widowControl w:val="0"/>
              <w:tabs>
                <w:tab w:val="left" w:pos="622"/>
              </w:tabs>
              <w:spacing w:after="0" w:line="240" w:lineRule="auto"/>
              <w:rPr>
                <w:rFonts w:ascii="Times New Roman" w:eastAsia="AngsanaUPC" w:hAnsi="Times New Roman"/>
                <w:bCs/>
                <w:sz w:val="18"/>
                <w:szCs w:val="18"/>
                <w:lang w:val="en-GB" w:eastAsia="lt-LT"/>
              </w:rPr>
            </w:pPr>
            <w:r w:rsidRPr="009348A3">
              <w:rPr>
                <w:rFonts w:ascii="Times New Roman" w:eastAsia="AngsanaUPC" w:hAnsi="Times New Roman"/>
                <w:bCs/>
                <w:sz w:val="18"/>
                <w:szCs w:val="18"/>
                <w:lang w:val="en-GB" w:eastAsia="lt-LT"/>
              </w:rPr>
              <w:t>ERPF</w:t>
            </w:r>
          </w:p>
        </w:tc>
        <w:tc>
          <w:tcPr>
            <w:tcW w:w="709" w:type="dxa"/>
            <w:shd w:val="clear" w:color="auto" w:fill="auto"/>
            <w:vAlign w:val="center"/>
          </w:tcPr>
          <w:p w:rsidR="007E01C8" w:rsidRPr="009348A3" w:rsidRDefault="006F1682" w:rsidP="00BB0960">
            <w:pPr>
              <w:widowControl w:val="0"/>
              <w:tabs>
                <w:tab w:val="left" w:pos="622"/>
              </w:tabs>
              <w:spacing w:after="0" w:line="240" w:lineRule="auto"/>
              <w:rPr>
                <w:rFonts w:ascii="Times New Roman" w:eastAsia="AngsanaUPC" w:hAnsi="Times New Roman"/>
                <w:bCs/>
                <w:sz w:val="18"/>
                <w:szCs w:val="18"/>
                <w:lang w:val="en-GB" w:eastAsia="lt-LT"/>
              </w:rPr>
            </w:pPr>
            <w:r w:rsidRPr="009348A3">
              <w:rPr>
                <w:rFonts w:ascii="Times New Roman" w:eastAsia="AngsanaUPC" w:hAnsi="Times New Roman"/>
                <w:bCs/>
                <w:sz w:val="18"/>
                <w:szCs w:val="18"/>
                <w:lang w:val="en-GB" w:eastAsia="lt-LT"/>
              </w:rPr>
              <w:t>0</w:t>
            </w:r>
            <w:r w:rsidR="007E01C8" w:rsidRPr="009348A3">
              <w:rPr>
                <w:rFonts w:ascii="Times New Roman" w:eastAsia="AngsanaUPC" w:hAnsi="Times New Roman"/>
                <w:bCs/>
                <w:sz w:val="18"/>
                <w:szCs w:val="18"/>
                <w:lang w:val="en-GB" w:eastAsia="lt-LT"/>
              </w:rPr>
              <w:t>3</w:t>
            </w:r>
          </w:p>
        </w:tc>
        <w:tc>
          <w:tcPr>
            <w:tcW w:w="6378" w:type="dxa"/>
            <w:shd w:val="clear" w:color="auto" w:fill="auto"/>
            <w:vAlign w:val="center"/>
          </w:tcPr>
          <w:p w:rsidR="007E01C8" w:rsidRPr="009348A3" w:rsidRDefault="000735AB" w:rsidP="00BB0960">
            <w:pPr>
              <w:widowControl w:val="0"/>
              <w:tabs>
                <w:tab w:val="left" w:pos="622"/>
              </w:tabs>
              <w:spacing w:after="0" w:line="240" w:lineRule="auto"/>
              <w:jc w:val="both"/>
              <w:rPr>
                <w:rFonts w:ascii="Times New Roman" w:hAnsi="Times New Roman"/>
                <w:bCs/>
                <w:iCs/>
                <w:sz w:val="18"/>
                <w:szCs w:val="18"/>
              </w:rPr>
            </w:pPr>
            <w:r w:rsidRPr="009348A3">
              <w:rPr>
                <w:rFonts w:ascii="Times New Roman" w:hAnsi="Times New Roman"/>
                <w:bCs/>
                <w:iCs/>
                <w:sz w:val="18"/>
                <w:szCs w:val="18"/>
              </w:rPr>
              <w:t>Kaimo teritorijos (retai apgyvendintos)</w:t>
            </w:r>
          </w:p>
        </w:tc>
        <w:tc>
          <w:tcPr>
            <w:tcW w:w="1808" w:type="dxa"/>
            <w:shd w:val="clear" w:color="auto" w:fill="auto"/>
          </w:tcPr>
          <w:p w:rsidR="007E01C8" w:rsidRPr="00FC6264" w:rsidRDefault="007E01C8" w:rsidP="001352F5">
            <w:pPr>
              <w:spacing w:after="0" w:line="240" w:lineRule="auto"/>
              <w:jc w:val="right"/>
              <w:rPr>
                <w:rFonts w:ascii="Times New Roman" w:hAnsi="Times New Roman"/>
                <w:sz w:val="18"/>
                <w:szCs w:val="18"/>
              </w:rPr>
            </w:pPr>
            <w:r w:rsidRPr="00FC6264">
              <w:rPr>
                <w:rFonts w:ascii="Times New Roman" w:hAnsi="Times New Roman"/>
                <w:sz w:val="18"/>
                <w:szCs w:val="18"/>
              </w:rPr>
              <w:t>87</w:t>
            </w:r>
            <w:r w:rsidR="009348A3" w:rsidRPr="00FC6264">
              <w:rPr>
                <w:rFonts w:ascii="Times New Roman" w:hAnsi="Times New Roman"/>
                <w:sz w:val="18"/>
                <w:szCs w:val="18"/>
              </w:rPr>
              <w:t>.</w:t>
            </w:r>
            <w:r w:rsidRPr="00FC6264">
              <w:rPr>
                <w:rFonts w:ascii="Times New Roman" w:hAnsi="Times New Roman"/>
                <w:sz w:val="18"/>
                <w:szCs w:val="18"/>
              </w:rPr>
              <w:t>522</w:t>
            </w:r>
            <w:r w:rsidR="009348A3" w:rsidRPr="00FC6264">
              <w:rPr>
                <w:rFonts w:ascii="Times New Roman" w:hAnsi="Times New Roman"/>
                <w:sz w:val="18"/>
                <w:szCs w:val="18"/>
              </w:rPr>
              <w:t>.</w:t>
            </w:r>
            <w:r w:rsidRPr="00FC6264">
              <w:rPr>
                <w:rFonts w:ascii="Times New Roman" w:hAnsi="Times New Roman"/>
                <w:sz w:val="18"/>
                <w:szCs w:val="18"/>
              </w:rPr>
              <w:t>828</w:t>
            </w:r>
          </w:p>
        </w:tc>
      </w:tr>
      <w:tr w:rsidR="007E01C8" w:rsidRPr="009348A3" w:rsidTr="009D62C6">
        <w:tc>
          <w:tcPr>
            <w:tcW w:w="851" w:type="dxa"/>
            <w:shd w:val="clear" w:color="auto" w:fill="auto"/>
            <w:vAlign w:val="center"/>
          </w:tcPr>
          <w:p w:rsidR="007E01C8" w:rsidRPr="009348A3" w:rsidRDefault="007E01C8" w:rsidP="00BB0960">
            <w:pPr>
              <w:widowControl w:val="0"/>
              <w:tabs>
                <w:tab w:val="left" w:pos="622"/>
              </w:tabs>
              <w:spacing w:after="0" w:line="240" w:lineRule="auto"/>
              <w:rPr>
                <w:rFonts w:ascii="Times New Roman" w:eastAsia="AngsanaUPC" w:hAnsi="Times New Roman"/>
                <w:bCs/>
                <w:sz w:val="18"/>
                <w:szCs w:val="18"/>
                <w:lang w:val="en-GB" w:eastAsia="lt-LT"/>
              </w:rPr>
            </w:pPr>
            <w:r w:rsidRPr="009348A3">
              <w:rPr>
                <w:rFonts w:ascii="Times New Roman" w:eastAsia="AngsanaUPC" w:hAnsi="Times New Roman"/>
                <w:bCs/>
                <w:sz w:val="18"/>
                <w:szCs w:val="18"/>
                <w:lang w:val="en-GB" w:eastAsia="lt-LT"/>
              </w:rPr>
              <w:t>ERPF</w:t>
            </w:r>
          </w:p>
        </w:tc>
        <w:tc>
          <w:tcPr>
            <w:tcW w:w="709" w:type="dxa"/>
            <w:shd w:val="clear" w:color="auto" w:fill="auto"/>
            <w:vAlign w:val="center"/>
          </w:tcPr>
          <w:p w:rsidR="007E01C8" w:rsidRPr="009348A3" w:rsidRDefault="006F1682" w:rsidP="00BB0960">
            <w:pPr>
              <w:widowControl w:val="0"/>
              <w:tabs>
                <w:tab w:val="left" w:pos="622"/>
              </w:tabs>
              <w:spacing w:after="0" w:line="240" w:lineRule="auto"/>
              <w:rPr>
                <w:rFonts w:ascii="Times New Roman" w:eastAsia="AngsanaUPC" w:hAnsi="Times New Roman"/>
                <w:bCs/>
                <w:sz w:val="18"/>
                <w:szCs w:val="18"/>
                <w:lang w:val="en-GB" w:eastAsia="lt-LT"/>
              </w:rPr>
            </w:pPr>
            <w:r w:rsidRPr="009348A3">
              <w:rPr>
                <w:rFonts w:ascii="Times New Roman" w:eastAsia="AngsanaUPC" w:hAnsi="Times New Roman"/>
                <w:bCs/>
                <w:sz w:val="18"/>
                <w:szCs w:val="18"/>
                <w:lang w:val="en-GB" w:eastAsia="lt-LT"/>
              </w:rPr>
              <w:t>0</w:t>
            </w:r>
            <w:r w:rsidR="007E01C8" w:rsidRPr="009348A3">
              <w:rPr>
                <w:rFonts w:ascii="Times New Roman" w:eastAsia="AngsanaUPC" w:hAnsi="Times New Roman"/>
                <w:bCs/>
                <w:sz w:val="18"/>
                <w:szCs w:val="18"/>
                <w:lang w:val="en-GB" w:eastAsia="lt-LT"/>
              </w:rPr>
              <w:t>7</w:t>
            </w:r>
          </w:p>
        </w:tc>
        <w:tc>
          <w:tcPr>
            <w:tcW w:w="6378" w:type="dxa"/>
            <w:shd w:val="clear" w:color="auto" w:fill="auto"/>
            <w:vAlign w:val="center"/>
          </w:tcPr>
          <w:p w:rsidR="007E01C8" w:rsidRPr="009348A3" w:rsidRDefault="000735AB" w:rsidP="00BB0960">
            <w:pPr>
              <w:widowControl w:val="0"/>
              <w:tabs>
                <w:tab w:val="left" w:pos="622"/>
              </w:tabs>
              <w:spacing w:after="0" w:line="240" w:lineRule="auto"/>
              <w:jc w:val="both"/>
              <w:rPr>
                <w:rFonts w:ascii="Times New Roman" w:hAnsi="Times New Roman"/>
                <w:bCs/>
                <w:iCs/>
                <w:sz w:val="18"/>
                <w:szCs w:val="18"/>
              </w:rPr>
            </w:pPr>
            <w:r w:rsidRPr="009348A3">
              <w:rPr>
                <w:rFonts w:ascii="Times New Roman" w:hAnsi="Times New Roman"/>
                <w:bCs/>
                <w:iCs/>
                <w:sz w:val="18"/>
                <w:szCs w:val="18"/>
              </w:rPr>
              <w:t>Netaikoma</w:t>
            </w:r>
          </w:p>
        </w:tc>
        <w:tc>
          <w:tcPr>
            <w:tcW w:w="1808" w:type="dxa"/>
            <w:shd w:val="clear" w:color="auto" w:fill="auto"/>
            <w:vAlign w:val="center"/>
          </w:tcPr>
          <w:p w:rsidR="007E01C8" w:rsidRPr="00FC6264" w:rsidRDefault="00CA194D" w:rsidP="001352F5">
            <w:pPr>
              <w:widowControl w:val="0"/>
              <w:tabs>
                <w:tab w:val="left" w:pos="622"/>
              </w:tabs>
              <w:spacing w:after="0" w:line="240" w:lineRule="auto"/>
              <w:jc w:val="right"/>
              <w:rPr>
                <w:rFonts w:ascii="Times New Roman" w:eastAsia="AngsanaUPC" w:hAnsi="Times New Roman"/>
                <w:bCs/>
                <w:sz w:val="18"/>
                <w:szCs w:val="18"/>
                <w:lang w:val="en-GB" w:eastAsia="lt-LT"/>
              </w:rPr>
            </w:pPr>
            <w:r w:rsidRPr="00FC6264">
              <w:rPr>
                <w:rFonts w:ascii="Times New Roman" w:eastAsia="AngsanaUPC" w:hAnsi="Times New Roman"/>
                <w:bCs/>
                <w:sz w:val="18"/>
                <w:szCs w:val="18"/>
                <w:lang w:val="en-GB" w:eastAsia="lt-LT"/>
              </w:rPr>
              <w:t>2</w:t>
            </w:r>
            <w:r w:rsidR="009348A3" w:rsidRPr="00FC6264">
              <w:rPr>
                <w:rFonts w:ascii="Times New Roman" w:eastAsia="AngsanaUPC" w:hAnsi="Times New Roman"/>
                <w:bCs/>
                <w:sz w:val="18"/>
                <w:szCs w:val="18"/>
                <w:lang w:val="en-GB" w:eastAsia="lt-LT"/>
              </w:rPr>
              <w:t>.</w:t>
            </w:r>
            <w:r w:rsidR="007E01C8" w:rsidRPr="00FC6264">
              <w:rPr>
                <w:rFonts w:ascii="Times New Roman" w:eastAsia="AngsanaUPC" w:hAnsi="Times New Roman"/>
                <w:bCs/>
                <w:sz w:val="18"/>
                <w:szCs w:val="18"/>
                <w:lang w:val="en-GB" w:eastAsia="lt-LT"/>
              </w:rPr>
              <w:t>839</w:t>
            </w:r>
            <w:r w:rsidR="009348A3" w:rsidRPr="00FC6264">
              <w:rPr>
                <w:rFonts w:ascii="Times New Roman" w:eastAsia="AngsanaUPC" w:hAnsi="Times New Roman"/>
                <w:bCs/>
                <w:sz w:val="18"/>
                <w:szCs w:val="18"/>
                <w:lang w:val="en-GB" w:eastAsia="lt-LT"/>
              </w:rPr>
              <w:t>.</w:t>
            </w:r>
            <w:r w:rsidR="007E01C8" w:rsidRPr="00FC6264">
              <w:rPr>
                <w:rFonts w:ascii="Times New Roman" w:eastAsia="AngsanaUPC" w:hAnsi="Times New Roman"/>
                <w:bCs/>
                <w:sz w:val="18"/>
                <w:szCs w:val="18"/>
                <w:lang w:val="en-GB" w:eastAsia="lt-LT"/>
              </w:rPr>
              <w:t>379</w:t>
            </w:r>
          </w:p>
        </w:tc>
      </w:tr>
      <w:tr w:rsidR="007E01C8" w:rsidRPr="00D54F90" w:rsidTr="009D62C6">
        <w:tc>
          <w:tcPr>
            <w:tcW w:w="851" w:type="dxa"/>
            <w:shd w:val="clear" w:color="auto" w:fill="auto"/>
            <w:vAlign w:val="center"/>
          </w:tcPr>
          <w:p w:rsidR="007E01C8" w:rsidRPr="009348A3" w:rsidRDefault="007E01C8" w:rsidP="00BB0960">
            <w:pPr>
              <w:widowControl w:val="0"/>
              <w:tabs>
                <w:tab w:val="left" w:pos="622"/>
              </w:tabs>
              <w:spacing w:after="0" w:line="240" w:lineRule="auto"/>
              <w:rPr>
                <w:rFonts w:ascii="Times New Roman" w:eastAsia="AngsanaUPC" w:hAnsi="Times New Roman"/>
                <w:bCs/>
                <w:sz w:val="18"/>
                <w:szCs w:val="18"/>
                <w:lang w:val="en-GB" w:eastAsia="lt-LT"/>
              </w:rPr>
            </w:pPr>
            <w:r w:rsidRPr="009348A3">
              <w:rPr>
                <w:rFonts w:ascii="Times New Roman" w:eastAsia="AngsanaUPC" w:hAnsi="Times New Roman"/>
                <w:bCs/>
                <w:sz w:val="18"/>
                <w:szCs w:val="18"/>
                <w:lang w:val="en-GB" w:eastAsia="lt-LT"/>
              </w:rPr>
              <w:t>ESF</w:t>
            </w:r>
          </w:p>
        </w:tc>
        <w:tc>
          <w:tcPr>
            <w:tcW w:w="709" w:type="dxa"/>
            <w:shd w:val="clear" w:color="auto" w:fill="auto"/>
            <w:vAlign w:val="center"/>
          </w:tcPr>
          <w:p w:rsidR="007E01C8" w:rsidRPr="009348A3" w:rsidRDefault="006F1682" w:rsidP="00BB0960">
            <w:pPr>
              <w:widowControl w:val="0"/>
              <w:tabs>
                <w:tab w:val="left" w:pos="622"/>
              </w:tabs>
              <w:spacing w:after="0" w:line="240" w:lineRule="auto"/>
              <w:rPr>
                <w:rFonts w:ascii="Times New Roman" w:eastAsia="AngsanaUPC" w:hAnsi="Times New Roman"/>
                <w:bCs/>
                <w:sz w:val="18"/>
                <w:szCs w:val="18"/>
                <w:lang w:val="en-GB" w:eastAsia="lt-LT"/>
              </w:rPr>
            </w:pPr>
            <w:r w:rsidRPr="009348A3">
              <w:rPr>
                <w:rFonts w:ascii="Times New Roman" w:eastAsia="AngsanaUPC" w:hAnsi="Times New Roman"/>
                <w:bCs/>
                <w:sz w:val="18"/>
                <w:szCs w:val="18"/>
                <w:lang w:val="en-GB" w:eastAsia="lt-LT"/>
              </w:rPr>
              <w:t>0</w:t>
            </w:r>
            <w:r w:rsidR="007E01C8" w:rsidRPr="009348A3">
              <w:rPr>
                <w:rFonts w:ascii="Times New Roman" w:eastAsia="AngsanaUPC" w:hAnsi="Times New Roman"/>
                <w:bCs/>
                <w:sz w:val="18"/>
                <w:szCs w:val="18"/>
                <w:lang w:val="en-GB" w:eastAsia="lt-LT"/>
              </w:rPr>
              <w:t>7</w:t>
            </w:r>
          </w:p>
        </w:tc>
        <w:tc>
          <w:tcPr>
            <w:tcW w:w="6378" w:type="dxa"/>
            <w:shd w:val="clear" w:color="auto" w:fill="auto"/>
            <w:vAlign w:val="center"/>
          </w:tcPr>
          <w:p w:rsidR="007E01C8" w:rsidRPr="009348A3" w:rsidRDefault="000735AB" w:rsidP="00BB0960">
            <w:pPr>
              <w:widowControl w:val="0"/>
              <w:tabs>
                <w:tab w:val="left" w:pos="622"/>
              </w:tabs>
              <w:spacing w:after="0" w:line="240" w:lineRule="auto"/>
              <w:jc w:val="both"/>
              <w:rPr>
                <w:rFonts w:ascii="Times New Roman" w:hAnsi="Times New Roman"/>
                <w:bCs/>
                <w:iCs/>
                <w:sz w:val="18"/>
                <w:szCs w:val="18"/>
              </w:rPr>
            </w:pPr>
            <w:r w:rsidRPr="009348A3">
              <w:rPr>
                <w:rFonts w:ascii="Times New Roman" w:hAnsi="Times New Roman"/>
                <w:bCs/>
                <w:iCs/>
                <w:sz w:val="18"/>
                <w:szCs w:val="18"/>
              </w:rPr>
              <w:t>Netaikoma</w:t>
            </w:r>
          </w:p>
        </w:tc>
        <w:tc>
          <w:tcPr>
            <w:tcW w:w="1808" w:type="dxa"/>
            <w:shd w:val="clear" w:color="auto" w:fill="auto"/>
            <w:vAlign w:val="center"/>
          </w:tcPr>
          <w:p w:rsidR="007E01C8" w:rsidRPr="00FC6264" w:rsidRDefault="00CA194D" w:rsidP="009F540A">
            <w:pPr>
              <w:widowControl w:val="0"/>
              <w:tabs>
                <w:tab w:val="left" w:pos="622"/>
              </w:tabs>
              <w:spacing w:after="0" w:line="240" w:lineRule="auto"/>
              <w:jc w:val="right"/>
              <w:rPr>
                <w:rFonts w:ascii="Times New Roman" w:eastAsia="AngsanaUPC" w:hAnsi="Times New Roman"/>
                <w:bCs/>
                <w:sz w:val="18"/>
                <w:szCs w:val="18"/>
                <w:lang w:val="en-GB" w:eastAsia="lt-LT"/>
              </w:rPr>
            </w:pPr>
            <w:r w:rsidRPr="00FC6264">
              <w:rPr>
                <w:rFonts w:ascii="Times New Roman" w:eastAsia="AngsanaUPC" w:hAnsi="Times New Roman"/>
                <w:bCs/>
                <w:sz w:val="18"/>
                <w:szCs w:val="18"/>
                <w:lang w:val="en-GB" w:eastAsia="lt-LT"/>
              </w:rPr>
              <w:t>372</w:t>
            </w:r>
            <w:r w:rsidR="009348A3"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852</w:t>
            </w:r>
            <w:r w:rsidR="009348A3"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916</w:t>
            </w:r>
          </w:p>
        </w:tc>
      </w:tr>
      <w:tr w:rsidR="007E01C8" w:rsidRPr="009348A3" w:rsidTr="009D62C6">
        <w:tc>
          <w:tcPr>
            <w:tcW w:w="851" w:type="dxa"/>
            <w:shd w:val="clear" w:color="auto" w:fill="auto"/>
            <w:vAlign w:val="center"/>
          </w:tcPr>
          <w:p w:rsidR="007E01C8" w:rsidRPr="009348A3" w:rsidRDefault="007E01C8" w:rsidP="00BB0960">
            <w:pPr>
              <w:widowControl w:val="0"/>
              <w:tabs>
                <w:tab w:val="left" w:pos="622"/>
              </w:tabs>
              <w:spacing w:after="0" w:line="240" w:lineRule="auto"/>
              <w:rPr>
                <w:rFonts w:ascii="Times New Roman" w:eastAsia="AngsanaUPC" w:hAnsi="Times New Roman"/>
                <w:bCs/>
                <w:sz w:val="18"/>
                <w:szCs w:val="18"/>
                <w:lang w:val="en-GB" w:eastAsia="lt-LT"/>
              </w:rPr>
            </w:pPr>
            <w:r w:rsidRPr="009348A3">
              <w:rPr>
                <w:rFonts w:ascii="Times New Roman" w:eastAsia="AngsanaUPC" w:hAnsi="Times New Roman"/>
                <w:bCs/>
                <w:sz w:val="18"/>
                <w:szCs w:val="18"/>
                <w:lang w:val="en-GB" w:eastAsia="lt-LT"/>
              </w:rPr>
              <w:t>JUI</w:t>
            </w:r>
          </w:p>
        </w:tc>
        <w:tc>
          <w:tcPr>
            <w:tcW w:w="709" w:type="dxa"/>
            <w:shd w:val="clear" w:color="auto" w:fill="auto"/>
            <w:vAlign w:val="center"/>
          </w:tcPr>
          <w:p w:rsidR="007E01C8" w:rsidRPr="009348A3" w:rsidRDefault="006F1682" w:rsidP="00BB0960">
            <w:pPr>
              <w:widowControl w:val="0"/>
              <w:tabs>
                <w:tab w:val="left" w:pos="622"/>
              </w:tabs>
              <w:spacing w:after="0" w:line="240" w:lineRule="auto"/>
              <w:rPr>
                <w:rFonts w:ascii="Times New Roman" w:eastAsia="AngsanaUPC" w:hAnsi="Times New Roman"/>
                <w:bCs/>
                <w:sz w:val="18"/>
                <w:szCs w:val="18"/>
                <w:lang w:val="en-GB" w:eastAsia="lt-LT"/>
              </w:rPr>
            </w:pPr>
            <w:r w:rsidRPr="009348A3">
              <w:rPr>
                <w:rFonts w:ascii="Times New Roman" w:eastAsia="AngsanaUPC" w:hAnsi="Times New Roman"/>
                <w:bCs/>
                <w:sz w:val="18"/>
                <w:szCs w:val="18"/>
                <w:lang w:val="en-GB" w:eastAsia="lt-LT"/>
              </w:rPr>
              <w:t>0</w:t>
            </w:r>
            <w:r w:rsidR="007E01C8" w:rsidRPr="009348A3">
              <w:rPr>
                <w:rFonts w:ascii="Times New Roman" w:eastAsia="AngsanaUPC" w:hAnsi="Times New Roman"/>
                <w:bCs/>
                <w:sz w:val="18"/>
                <w:szCs w:val="18"/>
                <w:lang w:val="en-GB" w:eastAsia="lt-LT"/>
              </w:rPr>
              <w:t>7</w:t>
            </w:r>
          </w:p>
        </w:tc>
        <w:tc>
          <w:tcPr>
            <w:tcW w:w="6378" w:type="dxa"/>
            <w:shd w:val="clear" w:color="auto" w:fill="auto"/>
            <w:vAlign w:val="center"/>
          </w:tcPr>
          <w:p w:rsidR="007E01C8" w:rsidRPr="009348A3" w:rsidRDefault="000735AB" w:rsidP="00BB0960">
            <w:pPr>
              <w:widowControl w:val="0"/>
              <w:tabs>
                <w:tab w:val="left" w:pos="622"/>
              </w:tabs>
              <w:spacing w:after="0" w:line="240" w:lineRule="auto"/>
              <w:jc w:val="both"/>
              <w:rPr>
                <w:rFonts w:ascii="Times New Roman" w:hAnsi="Times New Roman"/>
                <w:bCs/>
                <w:iCs/>
                <w:sz w:val="18"/>
                <w:szCs w:val="18"/>
              </w:rPr>
            </w:pPr>
            <w:r w:rsidRPr="009348A3">
              <w:rPr>
                <w:rFonts w:ascii="Times New Roman" w:hAnsi="Times New Roman"/>
                <w:bCs/>
                <w:iCs/>
                <w:sz w:val="18"/>
                <w:szCs w:val="18"/>
              </w:rPr>
              <w:t>Netaikoma</w:t>
            </w:r>
          </w:p>
        </w:tc>
        <w:tc>
          <w:tcPr>
            <w:tcW w:w="1808" w:type="dxa"/>
            <w:shd w:val="clear" w:color="auto" w:fill="auto"/>
            <w:vAlign w:val="center"/>
          </w:tcPr>
          <w:p w:rsidR="007E01C8" w:rsidRPr="009348A3" w:rsidRDefault="007E01C8" w:rsidP="001352F5">
            <w:pPr>
              <w:widowControl w:val="0"/>
              <w:tabs>
                <w:tab w:val="left" w:pos="622"/>
              </w:tabs>
              <w:spacing w:after="0" w:line="240" w:lineRule="auto"/>
              <w:jc w:val="right"/>
              <w:rPr>
                <w:rFonts w:ascii="Times New Roman" w:eastAsia="AngsanaUPC" w:hAnsi="Times New Roman"/>
                <w:bCs/>
                <w:sz w:val="18"/>
                <w:szCs w:val="18"/>
                <w:lang w:val="en-GB" w:eastAsia="lt-LT"/>
              </w:rPr>
            </w:pPr>
            <w:r w:rsidRPr="009348A3">
              <w:rPr>
                <w:rFonts w:ascii="Times New Roman" w:eastAsia="AngsanaUPC" w:hAnsi="Times New Roman"/>
                <w:bCs/>
                <w:sz w:val="18"/>
                <w:szCs w:val="18"/>
                <w:lang w:val="en-GB" w:eastAsia="lt-LT"/>
              </w:rPr>
              <w:t>63</w:t>
            </w:r>
            <w:r w:rsidR="009348A3">
              <w:rPr>
                <w:rFonts w:ascii="Times New Roman" w:eastAsia="AngsanaUPC" w:hAnsi="Times New Roman"/>
                <w:bCs/>
                <w:sz w:val="18"/>
                <w:szCs w:val="18"/>
                <w:lang w:val="en-GB" w:eastAsia="lt-LT"/>
              </w:rPr>
              <w:t>.</w:t>
            </w:r>
            <w:r w:rsidRPr="009348A3">
              <w:rPr>
                <w:rFonts w:ascii="Times New Roman" w:eastAsia="AngsanaUPC" w:hAnsi="Times New Roman"/>
                <w:bCs/>
                <w:sz w:val="18"/>
                <w:szCs w:val="18"/>
                <w:lang w:val="en-GB" w:eastAsia="lt-LT"/>
              </w:rPr>
              <w:t>565</w:t>
            </w:r>
            <w:r w:rsidR="009348A3">
              <w:rPr>
                <w:rFonts w:ascii="Times New Roman" w:eastAsia="AngsanaUPC" w:hAnsi="Times New Roman"/>
                <w:bCs/>
                <w:sz w:val="18"/>
                <w:szCs w:val="18"/>
                <w:lang w:val="en-GB" w:eastAsia="lt-LT"/>
              </w:rPr>
              <w:t>.</w:t>
            </w:r>
            <w:r w:rsidRPr="009348A3">
              <w:rPr>
                <w:rFonts w:ascii="Times New Roman" w:eastAsia="AngsanaUPC" w:hAnsi="Times New Roman"/>
                <w:bCs/>
                <w:sz w:val="18"/>
                <w:szCs w:val="18"/>
                <w:lang w:val="en-GB" w:eastAsia="lt-LT"/>
              </w:rPr>
              <w:t>266</w:t>
            </w:r>
          </w:p>
        </w:tc>
      </w:tr>
    </w:tbl>
    <w:p w:rsidR="007E01C8" w:rsidRPr="002447B3" w:rsidRDefault="007E01C8" w:rsidP="007E01C8">
      <w:pPr>
        <w:widowControl w:val="0"/>
        <w:tabs>
          <w:tab w:val="left" w:pos="622"/>
        </w:tabs>
        <w:spacing w:after="0" w:line="240" w:lineRule="auto"/>
        <w:jc w:val="both"/>
        <w:rPr>
          <w:rFonts w:ascii="Times New Roman" w:hAnsi="Times New Roman"/>
          <w:iCs/>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9"/>
        <w:gridCol w:w="6378"/>
        <w:gridCol w:w="1808"/>
      </w:tblGrid>
      <w:tr w:rsidR="007E01C8" w:rsidRPr="002447B3" w:rsidTr="00BB0960">
        <w:tc>
          <w:tcPr>
            <w:tcW w:w="9746" w:type="dxa"/>
            <w:gridSpan w:val="4"/>
            <w:shd w:val="clear" w:color="auto" w:fill="EEECE1"/>
          </w:tcPr>
          <w:p w:rsidR="007E01C8" w:rsidRPr="002447B3" w:rsidRDefault="007E01C8" w:rsidP="00BB0960">
            <w:pPr>
              <w:widowControl w:val="0"/>
              <w:tabs>
                <w:tab w:val="left" w:pos="622"/>
              </w:tabs>
              <w:spacing w:after="0" w:line="240" w:lineRule="auto"/>
              <w:jc w:val="both"/>
              <w:rPr>
                <w:rFonts w:ascii="Times New Roman" w:hAnsi="Times New Roman"/>
                <w:i/>
                <w:iCs/>
                <w:sz w:val="18"/>
                <w:szCs w:val="18"/>
              </w:rPr>
            </w:pPr>
            <w:r w:rsidRPr="002447B3">
              <w:rPr>
                <w:rFonts w:ascii="Times New Roman" w:hAnsi="Times New Roman"/>
                <w:b/>
                <w:bCs/>
                <w:i/>
                <w:iCs/>
                <w:sz w:val="18"/>
                <w:szCs w:val="18"/>
              </w:rPr>
              <w:t>Teritorinės paramos paskirstymo priemonės</w:t>
            </w:r>
          </w:p>
        </w:tc>
      </w:tr>
      <w:tr w:rsidR="007E01C8" w:rsidRPr="002447B3" w:rsidTr="009D62C6">
        <w:tc>
          <w:tcPr>
            <w:tcW w:w="851" w:type="dxa"/>
            <w:shd w:val="clear" w:color="auto" w:fill="EEECE1"/>
            <w:vAlign w:val="center"/>
          </w:tcPr>
          <w:p w:rsidR="007E01C8" w:rsidRPr="002447B3" w:rsidRDefault="007E01C8" w:rsidP="00BB0960">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Fondas</w:t>
            </w:r>
          </w:p>
        </w:tc>
        <w:tc>
          <w:tcPr>
            <w:tcW w:w="709" w:type="dxa"/>
            <w:shd w:val="clear" w:color="auto" w:fill="EEECE1"/>
            <w:vAlign w:val="center"/>
          </w:tcPr>
          <w:p w:rsidR="007E01C8" w:rsidRPr="002447B3" w:rsidRDefault="007E01C8" w:rsidP="00BB0960">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Kodas</w:t>
            </w:r>
          </w:p>
        </w:tc>
        <w:tc>
          <w:tcPr>
            <w:tcW w:w="6378" w:type="dxa"/>
            <w:shd w:val="clear" w:color="auto" w:fill="EEECE1"/>
            <w:vAlign w:val="center"/>
          </w:tcPr>
          <w:p w:rsidR="007E01C8" w:rsidRPr="002447B3" w:rsidRDefault="007E01C8" w:rsidP="00BB0960">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Pavadinimas</w:t>
            </w:r>
          </w:p>
        </w:tc>
        <w:tc>
          <w:tcPr>
            <w:tcW w:w="1808" w:type="dxa"/>
            <w:shd w:val="clear" w:color="auto" w:fill="EEECE1"/>
            <w:vAlign w:val="center"/>
          </w:tcPr>
          <w:p w:rsidR="007E01C8" w:rsidRPr="002447B3" w:rsidRDefault="007E01C8" w:rsidP="00BB0960">
            <w:pPr>
              <w:widowControl w:val="0"/>
              <w:tabs>
                <w:tab w:val="left" w:pos="622"/>
              </w:tabs>
              <w:spacing w:after="0" w:line="240" w:lineRule="auto"/>
              <w:jc w:val="center"/>
              <w:rPr>
                <w:rFonts w:ascii="Times New Roman" w:hAnsi="Times New Roman"/>
                <w:b/>
                <w:bCs/>
                <w:iCs/>
                <w:sz w:val="18"/>
                <w:szCs w:val="18"/>
              </w:rPr>
            </w:pPr>
            <w:r w:rsidRPr="002447B3">
              <w:rPr>
                <w:rFonts w:ascii="Times New Roman" w:hAnsi="Times New Roman"/>
                <w:b/>
                <w:bCs/>
                <w:iCs/>
                <w:sz w:val="18"/>
                <w:szCs w:val="18"/>
              </w:rPr>
              <w:t>Finansinė proporcija (eurais)</w:t>
            </w:r>
          </w:p>
        </w:tc>
      </w:tr>
      <w:tr w:rsidR="007E01C8" w:rsidRPr="009348A3" w:rsidTr="009D62C6">
        <w:tc>
          <w:tcPr>
            <w:tcW w:w="851" w:type="dxa"/>
            <w:shd w:val="clear" w:color="auto" w:fill="auto"/>
            <w:vAlign w:val="center"/>
          </w:tcPr>
          <w:p w:rsidR="007E01C8" w:rsidRPr="009348A3" w:rsidRDefault="007E01C8" w:rsidP="00BB0960">
            <w:pPr>
              <w:widowControl w:val="0"/>
              <w:tabs>
                <w:tab w:val="left" w:pos="622"/>
              </w:tabs>
              <w:spacing w:after="0" w:line="240" w:lineRule="auto"/>
              <w:rPr>
                <w:rFonts w:ascii="Times New Roman" w:eastAsia="AngsanaUPC" w:hAnsi="Times New Roman"/>
                <w:bCs/>
                <w:sz w:val="18"/>
                <w:szCs w:val="18"/>
                <w:lang w:val="en-GB" w:eastAsia="lt-LT"/>
              </w:rPr>
            </w:pPr>
            <w:r w:rsidRPr="009348A3">
              <w:rPr>
                <w:rFonts w:ascii="Times New Roman" w:eastAsia="AngsanaUPC" w:hAnsi="Times New Roman"/>
                <w:bCs/>
                <w:sz w:val="18"/>
                <w:szCs w:val="18"/>
                <w:lang w:val="en-GB" w:eastAsia="lt-LT"/>
              </w:rPr>
              <w:t>ERPF</w:t>
            </w:r>
          </w:p>
        </w:tc>
        <w:tc>
          <w:tcPr>
            <w:tcW w:w="709" w:type="dxa"/>
            <w:shd w:val="clear" w:color="auto" w:fill="auto"/>
            <w:vAlign w:val="center"/>
          </w:tcPr>
          <w:p w:rsidR="007E01C8" w:rsidRPr="009348A3" w:rsidRDefault="006F1682" w:rsidP="00BB0960">
            <w:pPr>
              <w:widowControl w:val="0"/>
              <w:tabs>
                <w:tab w:val="left" w:pos="622"/>
              </w:tabs>
              <w:spacing w:after="0" w:line="240" w:lineRule="auto"/>
              <w:rPr>
                <w:rFonts w:ascii="Times New Roman" w:eastAsia="AngsanaUPC" w:hAnsi="Times New Roman"/>
                <w:bCs/>
                <w:sz w:val="18"/>
                <w:szCs w:val="18"/>
                <w:lang w:val="en-GB" w:eastAsia="lt-LT"/>
              </w:rPr>
            </w:pPr>
            <w:r w:rsidRPr="009348A3">
              <w:rPr>
                <w:rFonts w:ascii="Times New Roman" w:eastAsia="AngsanaUPC" w:hAnsi="Times New Roman"/>
                <w:bCs/>
                <w:sz w:val="18"/>
                <w:szCs w:val="18"/>
                <w:lang w:val="en-GB" w:eastAsia="lt-LT"/>
              </w:rPr>
              <w:t>0</w:t>
            </w:r>
            <w:r w:rsidR="007E01C8" w:rsidRPr="009348A3">
              <w:rPr>
                <w:rFonts w:ascii="Times New Roman" w:eastAsia="AngsanaUPC" w:hAnsi="Times New Roman"/>
                <w:bCs/>
                <w:sz w:val="18"/>
                <w:szCs w:val="18"/>
                <w:lang w:val="en-GB" w:eastAsia="lt-LT"/>
              </w:rPr>
              <w:t>1</w:t>
            </w:r>
          </w:p>
        </w:tc>
        <w:tc>
          <w:tcPr>
            <w:tcW w:w="6378" w:type="dxa"/>
            <w:shd w:val="clear" w:color="auto" w:fill="auto"/>
            <w:vAlign w:val="center"/>
          </w:tcPr>
          <w:p w:rsidR="007E01C8" w:rsidRPr="009348A3" w:rsidRDefault="000735AB" w:rsidP="00BB0960">
            <w:pPr>
              <w:widowControl w:val="0"/>
              <w:tabs>
                <w:tab w:val="left" w:pos="622"/>
              </w:tabs>
              <w:spacing w:after="0" w:line="240" w:lineRule="auto"/>
              <w:jc w:val="both"/>
              <w:rPr>
                <w:rFonts w:ascii="Times New Roman" w:hAnsi="Times New Roman"/>
                <w:bCs/>
                <w:iCs/>
                <w:sz w:val="18"/>
                <w:szCs w:val="18"/>
              </w:rPr>
            </w:pPr>
            <w:r w:rsidRPr="009348A3">
              <w:rPr>
                <w:rFonts w:ascii="Times New Roman" w:hAnsi="Times New Roman"/>
                <w:bCs/>
                <w:iCs/>
                <w:sz w:val="18"/>
                <w:szCs w:val="18"/>
              </w:rPr>
              <w:t>Integruotosios teritorinės investicijos: miesto teritorijos</w:t>
            </w:r>
          </w:p>
        </w:tc>
        <w:tc>
          <w:tcPr>
            <w:tcW w:w="1808" w:type="dxa"/>
            <w:shd w:val="clear" w:color="auto" w:fill="auto"/>
            <w:vAlign w:val="center"/>
          </w:tcPr>
          <w:p w:rsidR="007E01C8" w:rsidRPr="00FC6264" w:rsidRDefault="00CA194D" w:rsidP="00BB0960">
            <w:pPr>
              <w:widowControl w:val="0"/>
              <w:tabs>
                <w:tab w:val="left" w:pos="622"/>
              </w:tabs>
              <w:spacing w:after="0" w:line="240" w:lineRule="auto"/>
              <w:jc w:val="right"/>
              <w:rPr>
                <w:rFonts w:ascii="Times New Roman" w:eastAsia="AngsanaUPC" w:hAnsi="Times New Roman"/>
                <w:bCs/>
                <w:sz w:val="18"/>
                <w:szCs w:val="18"/>
                <w:lang w:val="en-GB" w:eastAsia="lt-LT"/>
              </w:rPr>
            </w:pPr>
            <w:r w:rsidRPr="00FC6264">
              <w:rPr>
                <w:rFonts w:ascii="Times New Roman" w:eastAsia="AngsanaUPC" w:hAnsi="Times New Roman"/>
                <w:bCs/>
                <w:sz w:val="18"/>
                <w:szCs w:val="18"/>
                <w:lang w:val="en-GB" w:eastAsia="lt-LT"/>
              </w:rPr>
              <w:t>12</w:t>
            </w:r>
            <w:r w:rsidR="001352F5" w:rsidRPr="00FC6264">
              <w:rPr>
                <w:rFonts w:ascii="Times New Roman" w:eastAsia="AngsanaUPC" w:hAnsi="Times New Roman"/>
                <w:bCs/>
                <w:sz w:val="18"/>
                <w:szCs w:val="18"/>
                <w:lang w:val="en-GB" w:eastAsia="lt-LT"/>
              </w:rPr>
              <w:t>7</w:t>
            </w:r>
            <w:r w:rsidR="009348A3"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409</w:t>
            </w:r>
            <w:r w:rsidR="009348A3"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691</w:t>
            </w:r>
          </w:p>
        </w:tc>
      </w:tr>
      <w:tr w:rsidR="007E01C8" w:rsidRPr="009348A3" w:rsidTr="009D62C6">
        <w:tc>
          <w:tcPr>
            <w:tcW w:w="851" w:type="dxa"/>
            <w:shd w:val="clear" w:color="auto" w:fill="auto"/>
            <w:vAlign w:val="center"/>
          </w:tcPr>
          <w:p w:rsidR="007E01C8" w:rsidRPr="009348A3" w:rsidRDefault="007E01C8" w:rsidP="00BB0960">
            <w:pPr>
              <w:widowControl w:val="0"/>
              <w:tabs>
                <w:tab w:val="left" w:pos="622"/>
              </w:tabs>
              <w:spacing w:after="0" w:line="240" w:lineRule="auto"/>
              <w:rPr>
                <w:rFonts w:ascii="Times New Roman" w:eastAsia="AngsanaUPC" w:hAnsi="Times New Roman"/>
                <w:bCs/>
                <w:sz w:val="18"/>
                <w:szCs w:val="18"/>
                <w:lang w:val="en-GB" w:eastAsia="lt-LT"/>
              </w:rPr>
            </w:pPr>
            <w:r w:rsidRPr="009348A3">
              <w:rPr>
                <w:rFonts w:ascii="Times New Roman" w:eastAsia="AngsanaUPC" w:hAnsi="Times New Roman"/>
                <w:bCs/>
                <w:sz w:val="18"/>
                <w:szCs w:val="18"/>
                <w:lang w:val="en-GB" w:eastAsia="lt-LT"/>
              </w:rPr>
              <w:t>ERPF</w:t>
            </w:r>
          </w:p>
        </w:tc>
        <w:tc>
          <w:tcPr>
            <w:tcW w:w="709" w:type="dxa"/>
            <w:shd w:val="clear" w:color="auto" w:fill="auto"/>
            <w:vAlign w:val="center"/>
          </w:tcPr>
          <w:p w:rsidR="007E01C8" w:rsidRPr="009348A3" w:rsidRDefault="006F1682" w:rsidP="00BB0960">
            <w:pPr>
              <w:widowControl w:val="0"/>
              <w:tabs>
                <w:tab w:val="left" w:pos="622"/>
              </w:tabs>
              <w:spacing w:after="0" w:line="240" w:lineRule="auto"/>
              <w:rPr>
                <w:rFonts w:ascii="Times New Roman" w:eastAsia="AngsanaUPC" w:hAnsi="Times New Roman"/>
                <w:bCs/>
                <w:sz w:val="18"/>
                <w:szCs w:val="18"/>
                <w:lang w:val="en-GB" w:eastAsia="lt-LT"/>
              </w:rPr>
            </w:pPr>
            <w:r w:rsidRPr="009348A3">
              <w:rPr>
                <w:rFonts w:ascii="Times New Roman" w:eastAsia="AngsanaUPC" w:hAnsi="Times New Roman"/>
                <w:bCs/>
                <w:sz w:val="18"/>
                <w:szCs w:val="18"/>
                <w:lang w:val="en-GB" w:eastAsia="lt-LT"/>
              </w:rPr>
              <w:t>0</w:t>
            </w:r>
            <w:r w:rsidR="007E01C8" w:rsidRPr="009348A3">
              <w:rPr>
                <w:rFonts w:ascii="Times New Roman" w:eastAsia="AngsanaUPC" w:hAnsi="Times New Roman"/>
                <w:bCs/>
                <w:sz w:val="18"/>
                <w:szCs w:val="18"/>
                <w:lang w:val="en-GB" w:eastAsia="lt-LT"/>
              </w:rPr>
              <w:t>3</w:t>
            </w:r>
          </w:p>
        </w:tc>
        <w:tc>
          <w:tcPr>
            <w:tcW w:w="6378" w:type="dxa"/>
            <w:shd w:val="clear" w:color="auto" w:fill="auto"/>
            <w:vAlign w:val="center"/>
          </w:tcPr>
          <w:p w:rsidR="007E01C8" w:rsidRPr="009348A3" w:rsidRDefault="000735AB" w:rsidP="00BB0960">
            <w:pPr>
              <w:widowControl w:val="0"/>
              <w:tabs>
                <w:tab w:val="left" w:pos="622"/>
              </w:tabs>
              <w:spacing w:after="0" w:line="240" w:lineRule="auto"/>
              <w:jc w:val="both"/>
              <w:rPr>
                <w:rFonts w:ascii="Times New Roman" w:hAnsi="Times New Roman"/>
                <w:bCs/>
                <w:iCs/>
                <w:sz w:val="18"/>
                <w:szCs w:val="18"/>
              </w:rPr>
            </w:pPr>
            <w:r w:rsidRPr="009348A3">
              <w:rPr>
                <w:rFonts w:ascii="Times New Roman" w:hAnsi="Times New Roman"/>
                <w:bCs/>
                <w:iCs/>
                <w:sz w:val="18"/>
                <w:szCs w:val="18"/>
              </w:rPr>
              <w:t>Integruotosios teritorinės investicijos: kita</w:t>
            </w:r>
          </w:p>
        </w:tc>
        <w:tc>
          <w:tcPr>
            <w:tcW w:w="1808" w:type="dxa"/>
            <w:shd w:val="clear" w:color="auto" w:fill="auto"/>
            <w:vAlign w:val="center"/>
          </w:tcPr>
          <w:p w:rsidR="007E01C8" w:rsidRPr="00FC6264" w:rsidRDefault="001352F5" w:rsidP="001352F5">
            <w:pPr>
              <w:widowControl w:val="0"/>
              <w:tabs>
                <w:tab w:val="left" w:pos="622"/>
              </w:tabs>
              <w:spacing w:after="0" w:line="240" w:lineRule="auto"/>
              <w:jc w:val="right"/>
              <w:rPr>
                <w:rFonts w:ascii="Times New Roman" w:eastAsia="AngsanaUPC" w:hAnsi="Times New Roman"/>
                <w:bCs/>
                <w:sz w:val="18"/>
                <w:szCs w:val="18"/>
                <w:lang w:val="en-GB" w:eastAsia="lt-LT"/>
              </w:rPr>
            </w:pPr>
            <w:r w:rsidRPr="00FC6264">
              <w:rPr>
                <w:rFonts w:ascii="Times New Roman" w:eastAsia="AngsanaUPC" w:hAnsi="Times New Roman"/>
                <w:bCs/>
                <w:sz w:val="18"/>
                <w:szCs w:val="18"/>
                <w:lang w:val="en-GB" w:eastAsia="lt-LT"/>
              </w:rPr>
              <w:t>249</w:t>
            </w:r>
            <w:r w:rsidR="009348A3"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113</w:t>
            </w:r>
            <w:r w:rsidR="009348A3"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929</w:t>
            </w:r>
          </w:p>
        </w:tc>
      </w:tr>
      <w:tr w:rsidR="007E01C8" w:rsidRPr="009348A3" w:rsidTr="009D62C6">
        <w:tc>
          <w:tcPr>
            <w:tcW w:w="851" w:type="dxa"/>
            <w:shd w:val="clear" w:color="auto" w:fill="auto"/>
            <w:vAlign w:val="center"/>
          </w:tcPr>
          <w:p w:rsidR="007E01C8" w:rsidRPr="00D54F90" w:rsidRDefault="007E01C8" w:rsidP="00BB0960">
            <w:pPr>
              <w:widowControl w:val="0"/>
              <w:tabs>
                <w:tab w:val="left" w:pos="622"/>
              </w:tabs>
              <w:spacing w:after="0" w:line="240" w:lineRule="auto"/>
              <w:rPr>
                <w:rFonts w:ascii="Times New Roman" w:eastAsia="AngsanaUPC" w:hAnsi="Times New Roman"/>
                <w:bCs/>
                <w:sz w:val="18"/>
                <w:szCs w:val="18"/>
                <w:lang w:val="en-GB" w:eastAsia="lt-LT"/>
              </w:rPr>
            </w:pPr>
            <w:r w:rsidRPr="00D54F90">
              <w:rPr>
                <w:rFonts w:ascii="Times New Roman" w:eastAsia="AngsanaUPC" w:hAnsi="Times New Roman"/>
                <w:bCs/>
                <w:sz w:val="18"/>
                <w:szCs w:val="18"/>
                <w:lang w:val="en-GB" w:eastAsia="lt-LT"/>
              </w:rPr>
              <w:t>ERPF</w:t>
            </w:r>
          </w:p>
        </w:tc>
        <w:tc>
          <w:tcPr>
            <w:tcW w:w="709" w:type="dxa"/>
            <w:shd w:val="clear" w:color="auto" w:fill="auto"/>
            <w:vAlign w:val="center"/>
          </w:tcPr>
          <w:p w:rsidR="007E01C8" w:rsidRPr="00D54F90" w:rsidRDefault="006F1682" w:rsidP="00BB0960">
            <w:pPr>
              <w:widowControl w:val="0"/>
              <w:tabs>
                <w:tab w:val="left" w:pos="622"/>
              </w:tabs>
              <w:spacing w:after="0" w:line="240" w:lineRule="auto"/>
              <w:rPr>
                <w:rFonts w:ascii="Times New Roman" w:eastAsia="AngsanaUPC" w:hAnsi="Times New Roman"/>
                <w:bCs/>
                <w:sz w:val="18"/>
                <w:szCs w:val="18"/>
                <w:lang w:val="en-GB" w:eastAsia="lt-LT"/>
              </w:rPr>
            </w:pPr>
            <w:r w:rsidRPr="00D54F90">
              <w:rPr>
                <w:rFonts w:ascii="Times New Roman" w:eastAsia="AngsanaUPC" w:hAnsi="Times New Roman"/>
                <w:bCs/>
                <w:sz w:val="18"/>
                <w:szCs w:val="18"/>
                <w:lang w:val="en-GB" w:eastAsia="lt-LT"/>
              </w:rPr>
              <w:t>0</w:t>
            </w:r>
            <w:r w:rsidR="007E01C8" w:rsidRPr="00D54F90">
              <w:rPr>
                <w:rFonts w:ascii="Times New Roman" w:eastAsia="AngsanaUPC" w:hAnsi="Times New Roman"/>
                <w:bCs/>
                <w:sz w:val="18"/>
                <w:szCs w:val="18"/>
                <w:lang w:val="en-GB" w:eastAsia="lt-LT"/>
              </w:rPr>
              <w:t>7</w:t>
            </w:r>
          </w:p>
        </w:tc>
        <w:tc>
          <w:tcPr>
            <w:tcW w:w="6378" w:type="dxa"/>
            <w:shd w:val="clear" w:color="auto" w:fill="auto"/>
            <w:vAlign w:val="center"/>
          </w:tcPr>
          <w:p w:rsidR="007E01C8" w:rsidRPr="00D54F90" w:rsidRDefault="000735AB" w:rsidP="00BB0960">
            <w:pPr>
              <w:widowControl w:val="0"/>
              <w:tabs>
                <w:tab w:val="left" w:pos="622"/>
              </w:tabs>
              <w:spacing w:after="0" w:line="240" w:lineRule="auto"/>
              <w:jc w:val="both"/>
              <w:rPr>
                <w:rFonts w:ascii="Times New Roman" w:hAnsi="Times New Roman"/>
                <w:bCs/>
                <w:iCs/>
                <w:sz w:val="18"/>
                <w:szCs w:val="18"/>
              </w:rPr>
            </w:pPr>
            <w:r w:rsidRPr="00D54F90">
              <w:rPr>
                <w:rFonts w:ascii="Times New Roman" w:hAnsi="Times New Roman"/>
                <w:bCs/>
                <w:iCs/>
                <w:sz w:val="18"/>
                <w:szCs w:val="18"/>
              </w:rPr>
              <w:t>Netaikoma</w:t>
            </w:r>
          </w:p>
        </w:tc>
        <w:tc>
          <w:tcPr>
            <w:tcW w:w="1808" w:type="dxa"/>
            <w:shd w:val="clear" w:color="auto" w:fill="auto"/>
            <w:vAlign w:val="center"/>
          </w:tcPr>
          <w:p w:rsidR="007E01C8" w:rsidRPr="00FC6264" w:rsidRDefault="001352F5" w:rsidP="00CB0078">
            <w:pPr>
              <w:widowControl w:val="0"/>
              <w:tabs>
                <w:tab w:val="left" w:pos="622"/>
              </w:tabs>
              <w:spacing w:after="0" w:line="240" w:lineRule="auto"/>
              <w:jc w:val="right"/>
              <w:rPr>
                <w:rFonts w:ascii="Times New Roman" w:eastAsia="AngsanaUPC" w:hAnsi="Times New Roman"/>
                <w:bCs/>
                <w:sz w:val="18"/>
                <w:szCs w:val="18"/>
                <w:lang w:val="en-GB" w:eastAsia="lt-LT"/>
              </w:rPr>
            </w:pPr>
            <w:r w:rsidRPr="00FC6264">
              <w:rPr>
                <w:rFonts w:ascii="Times New Roman" w:eastAsia="AngsanaUPC" w:hAnsi="Times New Roman"/>
                <w:bCs/>
                <w:sz w:val="18"/>
                <w:szCs w:val="18"/>
                <w:lang w:val="en-GB" w:eastAsia="lt-LT"/>
              </w:rPr>
              <w:t>2</w:t>
            </w:r>
            <w:r w:rsidR="00CB0078" w:rsidRPr="00FC6264">
              <w:rPr>
                <w:rFonts w:ascii="Times New Roman" w:eastAsia="AngsanaUPC" w:hAnsi="Times New Roman"/>
                <w:bCs/>
                <w:sz w:val="18"/>
                <w:szCs w:val="18"/>
                <w:lang w:val="en-GB" w:eastAsia="lt-LT"/>
              </w:rPr>
              <w:t>3</w:t>
            </w:r>
            <w:r w:rsidR="009348A3"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213</w:t>
            </w:r>
            <w:r w:rsidR="009348A3"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233</w:t>
            </w:r>
          </w:p>
        </w:tc>
      </w:tr>
      <w:tr w:rsidR="007E01C8" w:rsidRPr="009348A3" w:rsidTr="009D62C6">
        <w:tc>
          <w:tcPr>
            <w:tcW w:w="851" w:type="dxa"/>
            <w:shd w:val="clear" w:color="auto" w:fill="auto"/>
            <w:vAlign w:val="center"/>
          </w:tcPr>
          <w:p w:rsidR="007E01C8" w:rsidRPr="00D54F90" w:rsidRDefault="007E01C8" w:rsidP="00BB0960">
            <w:pPr>
              <w:widowControl w:val="0"/>
              <w:tabs>
                <w:tab w:val="left" w:pos="622"/>
              </w:tabs>
              <w:spacing w:after="0" w:line="240" w:lineRule="auto"/>
              <w:rPr>
                <w:rFonts w:ascii="Times New Roman" w:eastAsia="AngsanaUPC" w:hAnsi="Times New Roman"/>
                <w:bCs/>
                <w:sz w:val="18"/>
                <w:szCs w:val="18"/>
                <w:lang w:val="en-GB" w:eastAsia="lt-LT"/>
              </w:rPr>
            </w:pPr>
            <w:r w:rsidRPr="00D54F90">
              <w:rPr>
                <w:rFonts w:ascii="Times New Roman" w:eastAsia="AngsanaUPC" w:hAnsi="Times New Roman"/>
                <w:bCs/>
                <w:sz w:val="18"/>
                <w:szCs w:val="18"/>
                <w:lang w:val="en-GB" w:eastAsia="lt-LT"/>
              </w:rPr>
              <w:t>ESF</w:t>
            </w:r>
          </w:p>
        </w:tc>
        <w:tc>
          <w:tcPr>
            <w:tcW w:w="709" w:type="dxa"/>
            <w:shd w:val="clear" w:color="auto" w:fill="auto"/>
            <w:vAlign w:val="center"/>
          </w:tcPr>
          <w:p w:rsidR="007E01C8" w:rsidRPr="00D54F90" w:rsidRDefault="007E01C8" w:rsidP="00BB0960">
            <w:pPr>
              <w:widowControl w:val="0"/>
              <w:tabs>
                <w:tab w:val="left" w:pos="622"/>
              </w:tabs>
              <w:spacing w:after="0" w:line="240" w:lineRule="auto"/>
              <w:rPr>
                <w:rFonts w:ascii="Times New Roman" w:eastAsia="AngsanaUPC" w:hAnsi="Times New Roman"/>
                <w:bCs/>
                <w:sz w:val="18"/>
                <w:szCs w:val="18"/>
                <w:lang w:val="en-GB" w:eastAsia="lt-LT"/>
              </w:rPr>
            </w:pPr>
            <w:r w:rsidRPr="00D54F90">
              <w:rPr>
                <w:rFonts w:ascii="Times New Roman" w:eastAsia="AngsanaUPC" w:hAnsi="Times New Roman"/>
                <w:bCs/>
                <w:sz w:val="18"/>
                <w:szCs w:val="18"/>
                <w:lang w:val="en-GB" w:eastAsia="lt-LT"/>
              </w:rPr>
              <w:t>07</w:t>
            </w:r>
          </w:p>
        </w:tc>
        <w:tc>
          <w:tcPr>
            <w:tcW w:w="6378" w:type="dxa"/>
            <w:shd w:val="clear" w:color="auto" w:fill="auto"/>
            <w:vAlign w:val="center"/>
          </w:tcPr>
          <w:p w:rsidR="007E01C8" w:rsidRPr="00D54F90" w:rsidRDefault="000735AB" w:rsidP="00BB0960">
            <w:pPr>
              <w:widowControl w:val="0"/>
              <w:tabs>
                <w:tab w:val="left" w:pos="622"/>
              </w:tabs>
              <w:spacing w:after="0" w:line="240" w:lineRule="auto"/>
              <w:jc w:val="both"/>
              <w:rPr>
                <w:rFonts w:ascii="Times New Roman" w:hAnsi="Times New Roman"/>
                <w:bCs/>
                <w:iCs/>
                <w:sz w:val="18"/>
                <w:szCs w:val="18"/>
              </w:rPr>
            </w:pPr>
            <w:r w:rsidRPr="00D54F90">
              <w:rPr>
                <w:rFonts w:ascii="Times New Roman" w:hAnsi="Times New Roman"/>
                <w:bCs/>
                <w:iCs/>
                <w:sz w:val="18"/>
                <w:szCs w:val="18"/>
              </w:rPr>
              <w:t>Netaikoma</w:t>
            </w:r>
          </w:p>
        </w:tc>
        <w:tc>
          <w:tcPr>
            <w:tcW w:w="1808" w:type="dxa"/>
            <w:shd w:val="clear" w:color="auto" w:fill="auto"/>
            <w:vAlign w:val="center"/>
          </w:tcPr>
          <w:p w:rsidR="007E01C8" w:rsidRPr="00FC6264" w:rsidRDefault="00CB0078" w:rsidP="006E0F3D">
            <w:pPr>
              <w:widowControl w:val="0"/>
              <w:tabs>
                <w:tab w:val="left" w:pos="622"/>
              </w:tabs>
              <w:spacing w:after="0" w:line="240" w:lineRule="auto"/>
              <w:jc w:val="right"/>
              <w:rPr>
                <w:rFonts w:ascii="Times New Roman" w:eastAsia="AngsanaUPC" w:hAnsi="Times New Roman"/>
                <w:bCs/>
                <w:sz w:val="18"/>
                <w:szCs w:val="18"/>
                <w:lang w:val="en-GB" w:eastAsia="lt-LT"/>
              </w:rPr>
            </w:pPr>
            <w:r w:rsidRPr="00FC6264">
              <w:rPr>
                <w:rFonts w:ascii="Times New Roman" w:eastAsia="AngsanaUPC" w:hAnsi="Times New Roman"/>
                <w:bCs/>
                <w:sz w:val="18"/>
                <w:szCs w:val="18"/>
                <w:lang w:val="en-GB" w:eastAsia="lt-LT"/>
              </w:rPr>
              <w:t>372</w:t>
            </w:r>
            <w:r w:rsidR="009348A3"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852</w:t>
            </w:r>
            <w:r w:rsidR="009348A3"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916</w:t>
            </w:r>
          </w:p>
        </w:tc>
      </w:tr>
      <w:tr w:rsidR="007E01C8" w:rsidRPr="009348A3" w:rsidTr="009D62C6">
        <w:tc>
          <w:tcPr>
            <w:tcW w:w="851" w:type="dxa"/>
            <w:shd w:val="clear" w:color="auto" w:fill="auto"/>
            <w:vAlign w:val="center"/>
          </w:tcPr>
          <w:p w:rsidR="007E01C8" w:rsidRPr="009348A3" w:rsidRDefault="007E01C8" w:rsidP="00BB0960">
            <w:pPr>
              <w:widowControl w:val="0"/>
              <w:tabs>
                <w:tab w:val="left" w:pos="622"/>
              </w:tabs>
              <w:spacing w:after="0" w:line="240" w:lineRule="auto"/>
              <w:rPr>
                <w:rFonts w:ascii="Times New Roman" w:eastAsia="AngsanaUPC" w:hAnsi="Times New Roman"/>
                <w:bCs/>
                <w:sz w:val="18"/>
                <w:szCs w:val="18"/>
                <w:lang w:val="en-GB" w:eastAsia="lt-LT"/>
              </w:rPr>
            </w:pPr>
            <w:r w:rsidRPr="009348A3">
              <w:rPr>
                <w:rFonts w:ascii="Times New Roman" w:eastAsia="AngsanaUPC" w:hAnsi="Times New Roman"/>
                <w:bCs/>
                <w:sz w:val="18"/>
                <w:szCs w:val="18"/>
                <w:lang w:val="en-GB" w:eastAsia="lt-LT"/>
              </w:rPr>
              <w:t>JUI</w:t>
            </w:r>
          </w:p>
        </w:tc>
        <w:tc>
          <w:tcPr>
            <w:tcW w:w="709" w:type="dxa"/>
            <w:shd w:val="clear" w:color="auto" w:fill="auto"/>
            <w:vAlign w:val="center"/>
          </w:tcPr>
          <w:p w:rsidR="007E01C8" w:rsidRPr="009348A3" w:rsidRDefault="006F1682" w:rsidP="00BB0960">
            <w:pPr>
              <w:widowControl w:val="0"/>
              <w:tabs>
                <w:tab w:val="left" w:pos="622"/>
              </w:tabs>
              <w:spacing w:after="0" w:line="240" w:lineRule="auto"/>
              <w:rPr>
                <w:rFonts w:ascii="Times New Roman" w:eastAsia="AngsanaUPC" w:hAnsi="Times New Roman"/>
                <w:bCs/>
                <w:sz w:val="18"/>
                <w:szCs w:val="18"/>
                <w:lang w:val="en-GB" w:eastAsia="lt-LT"/>
              </w:rPr>
            </w:pPr>
            <w:r w:rsidRPr="009348A3">
              <w:rPr>
                <w:rFonts w:ascii="Times New Roman" w:eastAsia="AngsanaUPC" w:hAnsi="Times New Roman"/>
                <w:bCs/>
                <w:sz w:val="18"/>
                <w:szCs w:val="18"/>
                <w:lang w:val="en-GB" w:eastAsia="lt-LT"/>
              </w:rPr>
              <w:t>0</w:t>
            </w:r>
            <w:r w:rsidR="007E01C8" w:rsidRPr="009348A3">
              <w:rPr>
                <w:rFonts w:ascii="Times New Roman" w:eastAsia="AngsanaUPC" w:hAnsi="Times New Roman"/>
                <w:bCs/>
                <w:sz w:val="18"/>
                <w:szCs w:val="18"/>
                <w:lang w:val="en-GB" w:eastAsia="lt-LT"/>
              </w:rPr>
              <w:t>7</w:t>
            </w:r>
          </w:p>
        </w:tc>
        <w:tc>
          <w:tcPr>
            <w:tcW w:w="6378" w:type="dxa"/>
            <w:shd w:val="clear" w:color="auto" w:fill="auto"/>
            <w:vAlign w:val="center"/>
          </w:tcPr>
          <w:p w:rsidR="007E01C8" w:rsidRPr="009348A3" w:rsidRDefault="000735AB" w:rsidP="00BB0960">
            <w:pPr>
              <w:widowControl w:val="0"/>
              <w:tabs>
                <w:tab w:val="left" w:pos="622"/>
              </w:tabs>
              <w:spacing w:after="0" w:line="240" w:lineRule="auto"/>
              <w:jc w:val="both"/>
              <w:rPr>
                <w:rFonts w:ascii="Times New Roman" w:hAnsi="Times New Roman"/>
                <w:bCs/>
                <w:iCs/>
                <w:sz w:val="18"/>
                <w:szCs w:val="18"/>
              </w:rPr>
            </w:pPr>
            <w:r w:rsidRPr="009348A3">
              <w:rPr>
                <w:rFonts w:ascii="Times New Roman" w:hAnsi="Times New Roman"/>
                <w:bCs/>
                <w:iCs/>
                <w:sz w:val="18"/>
                <w:szCs w:val="18"/>
              </w:rPr>
              <w:t>Netaikoma</w:t>
            </w:r>
          </w:p>
        </w:tc>
        <w:tc>
          <w:tcPr>
            <w:tcW w:w="1808" w:type="dxa"/>
            <w:shd w:val="clear" w:color="auto" w:fill="auto"/>
            <w:vAlign w:val="center"/>
          </w:tcPr>
          <w:p w:rsidR="007E01C8" w:rsidRPr="00FC6264" w:rsidRDefault="007E01C8" w:rsidP="001352F5">
            <w:pPr>
              <w:widowControl w:val="0"/>
              <w:tabs>
                <w:tab w:val="left" w:pos="622"/>
              </w:tabs>
              <w:spacing w:after="0" w:line="240" w:lineRule="auto"/>
              <w:jc w:val="right"/>
              <w:rPr>
                <w:rFonts w:ascii="Times New Roman" w:eastAsia="AngsanaUPC" w:hAnsi="Times New Roman"/>
                <w:bCs/>
                <w:sz w:val="18"/>
                <w:szCs w:val="18"/>
                <w:lang w:val="en-GB" w:eastAsia="lt-LT"/>
              </w:rPr>
            </w:pPr>
            <w:r w:rsidRPr="00FC6264">
              <w:rPr>
                <w:rFonts w:ascii="Times New Roman" w:eastAsia="AngsanaUPC" w:hAnsi="Times New Roman"/>
                <w:bCs/>
                <w:sz w:val="18"/>
                <w:szCs w:val="18"/>
                <w:lang w:val="en-GB" w:eastAsia="lt-LT"/>
              </w:rPr>
              <w:t>63</w:t>
            </w:r>
            <w:r w:rsidR="009348A3"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565</w:t>
            </w:r>
            <w:r w:rsidR="009348A3"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266</w:t>
            </w:r>
          </w:p>
        </w:tc>
      </w:tr>
    </w:tbl>
    <w:p w:rsidR="007E01C8" w:rsidRPr="002447B3" w:rsidRDefault="007E01C8" w:rsidP="00385835">
      <w:pPr>
        <w:widowControl w:val="0"/>
        <w:tabs>
          <w:tab w:val="left" w:pos="622"/>
        </w:tabs>
        <w:spacing w:after="0" w:line="240" w:lineRule="auto"/>
        <w:jc w:val="both"/>
        <w:rPr>
          <w:rFonts w:ascii="Times New Roman" w:hAnsi="Times New Roman"/>
          <w:i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9"/>
        <w:gridCol w:w="6378"/>
        <w:gridCol w:w="1808"/>
      </w:tblGrid>
      <w:tr w:rsidR="007E01C8" w:rsidRPr="002447B3" w:rsidTr="00BB0960">
        <w:tc>
          <w:tcPr>
            <w:tcW w:w="9746" w:type="dxa"/>
            <w:gridSpan w:val="4"/>
            <w:shd w:val="clear" w:color="auto" w:fill="EEECE1"/>
          </w:tcPr>
          <w:p w:rsidR="007E01C8" w:rsidRPr="002447B3" w:rsidRDefault="000735AB" w:rsidP="00BB0960">
            <w:pPr>
              <w:widowControl w:val="0"/>
              <w:tabs>
                <w:tab w:val="left" w:pos="622"/>
              </w:tabs>
              <w:spacing w:after="0" w:line="240" w:lineRule="auto"/>
              <w:jc w:val="both"/>
              <w:rPr>
                <w:rFonts w:ascii="Times New Roman" w:hAnsi="Times New Roman"/>
                <w:i/>
                <w:iCs/>
                <w:sz w:val="18"/>
                <w:szCs w:val="18"/>
              </w:rPr>
            </w:pPr>
            <w:r w:rsidRPr="002447B3">
              <w:rPr>
                <w:rFonts w:ascii="Times New Roman" w:hAnsi="Times New Roman"/>
                <w:b/>
                <w:bCs/>
                <w:i/>
                <w:iCs/>
                <w:sz w:val="18"/>
                <w:szCs w:val="18"/>
              </w:rPr>
              <w:t>ESF antrinė tema</w:t>
            </w:r>
          </w:p>
        </w:tc>
      </w:tr>
      <w:tr w:rsidR="007E01C8" w:rsidRPr="002447B3" w:rsidTr="009D62C6">
        <w:tc>
          <w:tcPr>
            <w:tcW w:w="851" w:type="dxa"/>
            <w:shd w:val="clear" w:color="auto" w:fill="EEECE1"/>
            <w:vAlign w:val="center"/>
          </w:tcPr>
          <w:p w:rsidR="007E01C8" w:rsidRPr="002447B3" w:rsidRDefault="007E01C8" w:rsidP="00BB0960">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Fondas</w:t>
            </w:r>
          </w:p>
        </w:tc>
        <w:tc>
          <w:tcPr>
            <w:tcW w:w="709" w:type="dxa"/>
            <w:shd w:val="clear" w:color="auto" w:fill="EEECE1"/>
            <w:vAlign w:val="center"/>
          </w:tcPr>
          <w:p w:rsidR="007E01C8" w:rsidRPr="002447B3" w:rsidRDefault="007E01C8" w:rsidP="00BB0960">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Kodas</w:t>
            </w:r>
          </w:p>
        </w:tc>
        <w:tc>
          <w:tcPr>
            <w:tcW w:w="6378" w:type="dxa"/>
            <w:shd w:val="clear" w:color="auto" w:fill="EEECE1"/>
            <w:vAlign w:val="center"/>
          </w:tcPr>
          <w:p w:rsidR="007E01C8" w:rsidRPr="002447B3" w:rsidRDefault="007E01C8" w:rsidP="00BB0960">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Pavadinimas</w:t>
            </w:r>
          </w:p>
        </w:tc>
        <w:tc>
          <w:tcPr>
            <w:tcW w:w="1808" w:type="dxa"/>
            <w:shd w:val="clear" w:color="auto" w:fill="EEECE1"/>
            <w:vAlign w:val="center"/>
          </w:tcPr>
          <w:p w:rsidR="007E01C8" w:rsidRPr="002447B3" w:rsidRDefault="007E01C8" w:rsidP="00BB0960">
            <w:pPr>
              <w:widowControl w:val="0"/>
              <w:tabs>
                <w:tab w:val="left" w:pos="622"/>
              </w:tabs>
              <w:spacing w:after="0" w:line="240" w:lineRule="auto"/>
              <w:jc w:val="center"/>
              <w:rPr>
                <w:rFonts w:ascii="Times New Roman" w:hAnsi="Times New Roman"/>
                <w:b/>
                <w:bCs/>
                <w:iCs/>
                <w:sz w:val="18"/>
                <w:szCs w:val="18"/>
              </w:rPr>
            </w:pPr>
            <w:r w:rsidRPr="002447B3">
              <w:rPr>
                <w:rFonts w:ascii="Times New Roman" w:hAnsi="Times New Roman"/>
                <w:b/>
                <w:bCs/>
                <w:iCs/>
                <w:sz w:val="18"/>
                <w:szCs w:val="18"/>
              </w:rPr>
              <w:t>Finansinė proporcija (eurais)</w:t>
            </w:r>
          </w:p>
        </w:tc>
      </w:tr>
      <w:tr w:rsidR="007E01C8" w:rsidRPr="009348A3" w:rsidTr="009D62C6">
        <w:tc>
          <w:tcPr>
            <w:tcW w:w="851" w:type="dxa"/>
            <w:shd w:val="clear" w:color="auto" w:fill="auto"/>
            <w:vAlign w:val="center"/>
          </w:tcPr>
          <w:p w:rsidR="007E01C8" w:rsidRPr="009348A3" w:rsidRDefault="007E01C8" w:rsidP="00BB0960">
            <w:pPr>
              <w:widowControl w:val="0"/>
              <w:tabs>
                <w:tab w:val="left" w:pos="622"/>
              </w:tabs>
              <w:spacing w:after="0" w:line="240" w:lineRule="auto"/>
              <w:rPr>
                <w:rFonts w:ascii="Times New Roman" w:eastAsia="AngsanaUPC" w:hAnsi="Times New Roman"/>
                <w:bCs/>
                <w:sz w:val="18"/>
                <w:szCs w:val="18"/>
                <w:lang w:val="en-GB" w:eastAsia="lt-LT"/>
              </w:rPr>
            </w:pPr>
            <w:r w:rsidRPr="009348A3">
              <w:rPr>
                <w:rFonts w:ascii="Times New Roman" w:eastAsia="AngsanaUPC" w:hAnsi="Times New Roman"/>
                <w:bCs/>
                <w:sz w:val="18"/>
                <w:szCs w:val="18"/>
                <w:lang w:val="en-GB" w:eastAsia="lt-LT"/>
              </w:rPr>
              <w:t>ESF</w:t>
            </w:r>
          </w:p>
        </w:tc>
        <w:tc>
          <w:tcPr>
            <w:tcW w:w="709" w:type="dxa"/>
            <w:shd w:val="clear" w:color="auto" w:fill="auto"/>
            <w:vAlign w:val="center"/>
          </w:tcPr>
          <w:p w:rsidR="007E01C8" w:rsidRPr="009348A3" w:rsidRDefault="006F1682" w:rsidP="00BB0960">
            <w:pPr>
              <w:widowControl w:val="0"/>
              <w:tabs>
                <w:tab w:val="left" w:pos="622"/>
              </w:tabs>
              <w:spacing w:after="0" w:line="240" w:lineRule="auto"/>
              <w:rPr>
                <w:rFonts w:ascii="Times New Roman" w:eastAsia="AngsanaUPC" w:hAnsi="Times New Roman"/>
                <w:bCs/>
                <w:sz w:val="18"/>
                <w:szCs w:val="18"/>
                <w:lang w:val="en-GB" w:eastAsia="lt-LT"/>
              </w:rPr>
            </w:pPr>
            <w:r w:rsidRPr="009348A3">
              <w:rPr>
                <w:rFonts w:ascii="Times New Roman" w:eastAsia="AngsanaUPC" w:hAnsi="Times New Roman"/>
                <w:bCs/>
                <w:sz w:val="18"/>
                <w:szCs w:val="18"/>
                <w:lang w:val="en-GB" w:eastAsia="lt-LT"/>
              </w:rPr>
              <w:t>0</w:t>
            </w:r>
            <w:r w:rsidR="007E01C8" w:rsidRPr="009348A3">
              <w:rPr>
                <w:rFonts w:ascii="Times New Roman" w:eastAsia="AngsanaUPC" w:hAnsi="Times New Roman"/>
                <w:bCs/>
                <w:sz w:val="18"/>
                <w:szCs w:val="18"/>
                <w:lang w:val="en-GB" w:eastAsia="lt-LT"/>
              </w:rPr>
              <w:t>6</w:t>
            </w:r>
          </w:p>
        </w:tc>
        <w:tc>
          <w:tcPr>
            <w:tcW w:w="6378" w:type="dxa"/>
            <w:shd w:val="clear" w:color="auto" w:fill="auto"/>
            <w:vAlign w:val="center"/>
          </w:tcPr>
          <w:p w:rsidR="007E01C8" w:rsidRPr="009348A3" w:rsidRDefault="000735AB" w:rsidP="00BB0960">
            <w:pPr>
              <w:widowControl w:val="0"/>
              <w:tabs>
                <w:tab w:val="left" w:pos="622"/>
              </w:tabs>
              <w:spacing w:after="0" w:line="240" w:lineRule="auto"/>
              <w:jc w:val="both"/>
              <w:rPr>
                <w:rFonts w:ascii="Times New Roman" w:hAnsi="Times New Roman"/>
                <w:bCs/>
                <w:iCs/>
                <w:sz w:val="18"/>
                <w:szCs w:val="18"/>
              </w:rPr>
            </w:pPr>
            <w:r w:rsidRPr="009348A3">
              <w:rPr>
                <w:rFonts w:ascii="Times New Roman" w:hAnsi="Times New Roman"/>
                <w:bCs/>
                <w:iCs/>
                <w:sz w:val="18"/>
                <w:szCs w:val="18"/>
              </w:rPr>
              <w:t>Nediskriminavimas</w:t>
            </w:r>
          </w:p>
        </w:tc>
        <w:tc>
          <w:tcPr>
            <w:tcW w:w="1808" w:type="dxa"/>
            <w:shd w:val="clear" w:color="auto" w:fill="auto"/>
            <w:vAlign w:val="bottom"/>
          </w:tcPr>
          <w:p w:rsidR="007E01C8" w:rsidRPr="009348A3" w:rsidRDefault="007E01C8" w:rsidP="001352F5">
            <w:pPr>
              <w:spacing w:after="0" w:line="240" w:lineRule="auto"/>
              <w:jc w:val="right"/>
              <w:rPr>
                <w:rFonts w:ascii="Times New Roman" w:hAnsi="Times New Roman"/>
                <w:sz w:val="18"/>
                <w:szCs w:val="18"/>
              </w:rPr>
            </w:pPr>
            <w:r w:rsidRPr="009348A3">
              <w:rPr>
                <w:rFonts w:ascii="Times New Roman" w:hAnsi="Times New Roman"/>
                <w:sz w:val="18"/>
                <w:szCs w:val="18"/>
              </w:rPr>
              <w:t>724</w:t>
            </w:r>
            <w:r w:rsidR="009348A3">
              <w:rPr>
                <w:rFonts w:ascii="Times New Roman" w:hAnsi="Times New Roman"/>
                <w:sz w:val="18"/>
                <w:szCs w:val="18"/>
              </w:rPr>
              <w:t>.</w:t>
            </w:r>
            <w:r w:rsidRPr="009348A3">
              <w:rPr>
                <w:rFonts w:ascii="Times New Roman" w:hAnsi="Times New Roman"/>
                <w:sz w:val="18"/>
                <w:szCs w:val="18"/>
              </w:rPr>
              <w:t>050</w:t>
            </w:r>
          </w:p>
        </w:tc>
      </w:tr>
      <w:tr w:rsidR="007E01C8" w:rsidRPr="009348A3" w:rsidTr="009D62C6">
        <w:tc>
          <w:tcPr>
            <w:tcW w:w="851" w:type="dxa"/>
            <w:shd w:val="clear" w:color="auto" w:fill="auto"/>
            <w:vAlign w:val="center"/>
          </w:tcPr>
          <w:p w:rsidR="007E01C8" w:rsidRPr="009348A3" w:rsidRDefault="007E01C8" w:rsidP="00BB0960">
            <w:pPr>
              <w:widowControl w:val="0"/>
              <w:tabs>
                <w:tab w:val="left" w:pos="622"/>
              </w:tabs>
              <w:spacing w:after="0" w:line="240" w:lineRule="auto"/>
              <w:rPr>
                <w:rFonts w:ascii="Times New Roman" w:eastAsia="AngsanaUPC" w:hAnsi="Times New Roman"/>
                <w:bCs/>
                <w:sz w:val="18"/>
                <w:szCs w:val="18"/>
                <w:lang w:val="en-GB" w:eastAsia="lt-LT"/>
              </w:rPr>
            </w:pPr>
            <w:r w:rsidRPr="009348A3">
              <w:rPr>
                <w:rFonts w:ascii="Times New Roman" w:eastAsia="AngsanaUPC" w:hAnsi="Times New Roman"/>
                <w:bCs/>
                <w:sz w:val="18"/>
                <w:szCs w:val="18"/>
                <w:lang w:val="en-GB" w:eastAsia="lt-LT"/>
              </w:rPr>
              <w:t>ESF</w:t>
            </w:r>
          </w:p>
        </w:tc>
        <w:tc>
          <w:tcPr>
            <w:tcW w:w="709" w:type="dxa"/>
            <w:shd w:val="clear" w:color="auto" w:fill="auto"/>
            <w:vAlign w:val="center"/>
          </w:tcPr>
          <w:p w:rsidR="007E01C8" w:rsidRPr="009348A3" w:rsidRDefault="006F1682" w:rsidP="00BB0960">
            <w:pPr>
              <w:widowControl w:val="0"/>
              <w:tabs>
                <w:tab w:val="left" w:pos="622"/>
              </w:tabs>
              <w:spacing w:after="0" w:line="240" w:lineRule="auto"/>
              <w:rPr>
                <w:rFonts w:ascii="Times New Roman" w:eastAsia="AngsanaUPC" w:hAnsi="Times New Roman"/>
                <w:bCs/>
                <w:sz w:val="18"/>
                <w:szCs w:val="18"/>
                <w:lang w:val="en-GB" w:eastAsia="lt-LT"/>
              </w:rPr>
            </w:pPr>
            <w:r w:rsidRPr="009348A3">
              <w:rPr>
                <w:rFonts w:ascii="Times New Roman" w:eastAsia="AngsanaUPC" w:hAnsi="Times New Roman"/>
                <w:bCs/>
                <w:sz w:val="18"/>
                <w:szCs w:val="18"/>
                <w:lang w:val="en-GB" w:eastAsia="lt-LT"/>
              </w:rPr>
              <w:t>0</w:t>
            </w:r>
            <w:r w:rsidR="007E01C8" w:rsidRPr="009348A3">
              <w:rPr>
                <w:rFonts w:ascii="Times New Roman" w:eastAsia="AngsanaUPC" w:hAnsi="Times New Roman"/>
                <w:bCs/>
                <w:sz w:val="18"/>
                <w:szCs w:val="18"/>
                <w:lang w:val="en-GB" w:eastAsia="lt-LT"/>
              </w:rPr>
              <w:t>7</w:t>
            </w:r>
          </w:p>
        </w:tc>
        <w:tc>
          <w:tcPr>
            <w:tcW w:w="6378" w:type="dxa"/>
            <w:shd w:val="clear" w:color="auto" w:fill="auto"/>
            <w:vAlign w:val="center"/>
          </w:tcPr>
          <w:p w:rsidR="007E01C8" w:rsidRPr="009348A3" w:rsidRDefault="000735AB" w:rsidP="00BB0960">
            <w:pPr>
              <w:widowControl w:val="0"/>
              <w:tabs>
                <w:tab w:val="left" w:pos="622"/>
              </w:tabs>
              <w:spacing w:after="0" w:line="240" w:lineRule="auto"/>
              <w:jc w:val="both"/>
              <w:rPr>
                <w:rFonts w:ascii="Times New Roman" w:hAnsi="Times New Roman"/>
                <w:bCs/>
                <w:iCs/>
                <w:sz w:val="18"/>
                <w:szCs w:val="18"/>
              </w:rPr>
            </w:pPr>
            <w:r w:rsidRPr="009348A3">
              <w:rPr>
                <w:rFonts w:ascii="Times New Roman" w:hAnsi="Times New Roman"/>
                <w:bCs/>
                <w:iCs/>
                <w:sz w:val="18"/>
                <w:szCs w:val="18"/>
              </w:rPr>
              <w:t>Lyčių lygybė</w:t>
            </w:r>
          </w:p>
        </w:tc>
        <w:tc>
          <w:tcPr>
            <w:tcW w:w="1808" w:type="dxa"/>
            <w:shd w:val="clear" w:color="auto" w:fill="auto"/>
            <w:vAlign w:val="bottom"/>
          </w:tcPr>
          <w:p w:rsidR="007E01C8" w:rsidRPr="009348A3" w:rsidRDefault="007E01C8" w:rsidP="001352F5">
            <w:pPr>
              <w:spacing w:after="0" w:line="240" w:lineRule="auto"/>
              <w:jc w:val="right"/>
              <w:rPr>
                <w:rFonts w:ascii="Times New Roman" w:hAnsi="Times New Roman"/>
                <w:sz w:val="18"/>
                <w:szCs w:val="18"/>
              </w:rPr>
            </w:pPr>
            <w:r w:rsidRPr="009348A3">
              <w:rPr>
                <w:rFonts w:ascii="Times New Roman" w:hAnsi="Times New Roman"/>
                <w:sz w:val="18"/>
                <w:szCs w:val="18"/>
              </w:rPr>
              <w:t>724</w:t>
            </w:r>
            <w:r w:rsidR="009348A3">
              <w:rPr>
                <w:rFonts w:ascii="Times New Roman" w:hAnsi="Times New Roman"/>
                <w:sz w:val="18"/>
                <w:szCs w:val="18"/>
              </w:rPr>
              <w:t>.</w:t>
            </w:r>
            <w:r w:rsidRPr="009348A3">
              <w:rPr>
                <w:rFonts w:ascii="Times New Roman" w:hAnsi="Times New Roman"/>
                <w:sz w:val="18"/>
                <w:szCs w:val="18"/>
              </w:rPr>
              <w:t>050</w:t>
            </w:r>
          </w:p>
        </w:tc>
      </w:tr>
      <w:tr w:rsidR="007E01C8" w:rsidRPr="009348A3" w:rsidTr="009D62C6">
        <w:tc>
          <w:tcPr>
            <w:tcW w:w="851" w:type="dxa"/>
            <w:shd w:val="clear" w:color="auto" w:fill="auto"/>
            <w:vAlign w:val="center"/>
          </w:tcPr>
          <w:p w:rsidR="007E01C8" w:rsidRPr="009348A3" w:rsidRDefault="007E01C8" w:rsidP="00BB0960">
            <w:pPr>
              <w:widowControl w:val="0"/>
              <w:tabs>
                <w:tab w:val="left" w:pos="622"/>
              </w:tabs>
              <w:spacing w:after="0" w:line="240" w:lineRule="auto"/>
              <w:rPr>
                <w:rFonts w:ascii="Times New Roman" w:eastAsia="AngsanaUPC" w:hAnsi="Times New Roman"/>
                <w:bCs/>
                <w:sz w:val="18"/>
                <w:szCs w:val="18"/>
                <w:lang w:val="en-GB" w:eastAsia="lt-LT"/>
              </w:rPr>
            </w:pPr>
            <w:r w:rsidRPr="009348A3">
              <w:rPr>
                <w:rFonts w:ascii="Times New Roman" w:eastAsia="AngsanaUPC" w:hAnsi="Times New Roman"/>
                <w:bCs/>
                <w:sz w:val="18"/>
                <w:szCs w:val="18"/>
                <w:lang w:val="en-GB" w:eastAsia="lt-LT"/>
              </w:rPr>
              <w:t>ESF</w:t>
            </w:r>
          </w:p>
        </w:tc>
        <w:tc>
          <w:tcPr>
            <w:tcW w:w="709" w:type="dxa"/>
            <w:shd w:val="clear" w:color="auto" w:fill="auto"/>
            <w:vAlign w:val="center"/>
          </w:tcPr>
          <w:p w:rsidR="007E01C8" w:rsidRPr="009348A3" w:rsidRDefault="006F1682" w:rsidP="00BB0960">
            <w:pPr>
              <w:widowControl w:val="0"/>
              <w:tabs>
                <w:tab w:val="left" w:pos="622"/>
              </w:tabs>
              <w:spacing w:after="0" w:line="240" w:lineRule="auto"/>
              <w:rPr>
                <w:rFonts w:ascii="Times New Roman" w:eastAsia="AngsanaUPC" w:hAnsi="Times New Roman"/>
                <w:bCs/>
                <w:sz w:val="18"/>
                <w:szCs w:val="18"/>
                <w:lang w:val="en-GB" w:eastAsia="lt-LT"/>
              </w:rPr>
            </w:pPr>
            <w:r w:rsidRPr="009348A3">
              <w:rPr>
                <w:rFonts w:ascii="Times New Roman" w:eastAsia="AngsanaUPC" w:hAnsi="Times New Roman"/>
                <w:bCs/>
                <w:sz w:val="18"/>
                <w:szCs w:val="18"/>
                <w:lang w:val="en-GB" w:eastAsia="lt-LT"/>
              </w:rPr>
              <w:t>0</w:t>
            </w:r>
            <w:r w:rsidR="007E01C8" w:rsidRPr="009348A3">
              <w:rPr>
                <w:rFonts w:ascii="Times New Roman" w:eastAsia="AngsanaUPC" w:hAnsi="Times New Roman"/>
                <w:bCs/>
                <w:sz w:val="18"/>
                <w:szCs w:val="18"/>
                <w:lang w:val="en-GB" w:eastAsia="lt-LT"/>
              </w:rPr>
              <w:t>8</w:t>
            </w:r>
          </w:p>
        </w:tc>
        <w:tc>
          <w:tcPr>
            <w:tcW w:w="6378" w:type="dxa"/>
            <w:shd w:val="clear" w:color="auto" w:fill="auto"/>
            <w:vAlign w:val="center"/>
          </w:tcPr>
          <w:p w:rsidR="007E01C8" w:rsidRPr="009348A3" w:rsidRDefault="000735AB" w:rsidP="00BB0960">
            <w:pPr>
              <w:widowControl w:val="0"/>
              <w:tabs>
                <w:tab w:val="left" w:pos="622"/>
              </w:tabs>
              <w:spacing w:after="0" w:line="240" w:lineRule="auto"/>
              <w:jc w:val="both"/>
              <w:rPr>
                <w:rFonts w:ascii="Times New Roman" w:hAnsi="Times New Roman"/>
                <w:bCs/>
                <w:iCs/>
                <w:sz w:val="18"/>
                <w:szCs w:val="18"/>
              </w:rPr>
            </w:pPr>
            <w:r w:rsidRPr="009348A3">
              <w:rPr>
                <w:rFonts w:ascii="Times New Roman" w:hAnsi="Times New Roman"/>
                <w:bCs/>
                <w:iCs/>
                <w:sz w:val="18"/>
                <w:szCs w:val="18"/>
              </w:rPr>
              <w:t>Netaikoma</w:t>
            </w:r>
          </w:p>
        </w:tc>
        <w:tc>
          <w:tcPr>
            <w:tcW w:w="1808" w:type="dxa"/>
            <w:shd w:val="clear" w:color="auto" w:fill="auto"/>
            <w:vAlign w:val="bottom"/>
          </w:tcPr>
          <w:p w:rsidR="007E01C8" w:rsidRPr="00FC6264" w:rsidRDefault="00CB0078" w:rsidP="00D37DF5">
            <w:pPr>
              <w:spacing w:after="0" w:line="240" w:lineRule="auto"/>
              <w:jc w:val="right"/>
              <w:rPr>
                <w:rFonts w:ascii="Times New Roman" w:hAnsi="Times New Roman"/>
                <w:sz w:val="18"/>
                <w:szCs w:val="18"/>
              </w:rPr>
            </w:pPr>
            <w:r w:rsidRPr="00FC6264">
              <w:rPr>
                <w:rFonts w:ascii="Times New Roman" w:hAnsi="Times New Roman"/>
                <w:sz w:val="18"/>
                <w:szCs w:val="18"/>
              </w:rPr>
              <w:t>371</w:t>
            </w:r>
            <w:r w:rsidR="009348A3" w:rsidRPr="00FC6264">
              <w:rPr>
                <w:rFonts w:ascii="Times New Roman" w:hAnsi="Times New Roman"/>
                <w:sz w:val="18"/>
                <w:szCs w:val="18"/>
              </w:rPr>
              <w:t>.</w:t>
            </w:r>
            <w:r w:rsidRPr="00FC6264">
              <w:rPr>
                <w:rFonts w:ascii="Times New Roman" w:hAnsi="Times New Roman"/>
                <w:sz w:val="18"/>
                <w:szCs w:val="18"/>
              </w:rPr>
              <w:t>404</w:t>
            </w:r>
            <w:r w:rsidR="009348A3" w:rsidRPr="00FC6264">
              <w:rPr>
                <w:rFonts w:ascii="Times New Roman" w:hAnsi="Times New Roman"/>
                <w:sz w:val="18"/>
                <w:szCs w:val="18"/>
              </w:rPr>
              <w:t>.</w:t>
            </w:r>
            <w:r w:rsidRPr="00FC6264">
              <w:rPr>
                <w:rFonts w:ascii="Times New Roman" w:hAnsi="Times New Roman"/>
                <w:sz w:val="18"/>
                <w:szCs w:val="18"/>
              </w:rPr>
              <w:t>816</w:t>
            </w:r>
          </w:p>
        </w:tc>
      </w:tr>
      <w:tr w:rsidR="007E01C8" w:rsidRPr="009348A3" w:rsidTr="009D62C6">
        <w:tc>
          <w:tcPr>
            <w:tcW w:w="851" w:type="dxa"/>
            <w:shd w:val="clear" w:color="auto" w:fill="auto"/>
            <w:vAlign w:val="center"/>
          </w:tcPr>
          <w:p w:rsidR="007E01C8" w:rsidRPr="009348A3" w:rsidRDefault="007E01C8" w:rsidP="00BB0960">
            <w:pPr>
              <w:widowControl w:val="0"/>
              <w:tabs>
                <w:tab w:val="left" w:pos="622"/>
              </w:tabs>
              <w:spacing w:after="0" w:line="240" w:lineRule="auto"/>
              <w:rPr>
                <w:rFonts w:ascii="Times New Roman" w:eastAsia="AngsanaUPC" w:hAnsi="Times New Roman"/>
                <w:bCs/>
                <w:sz w:val="18"/>
                <w:szCs w:val="18"/>
                <w:lang w:val="en-GB" w:eastAsia="lt-LT"/>
              </w:rPr>
            </w:pPr>
            <w:r w:rsidRPr="009348A3">
              <w:rPr>
                <w:rFonts w:ascii="Times New Roman" w:eastAsia="AngsanaUPC" w:hAnsi="Times New Roman"/>
                <w:bCs/>
                <w:sz w:val="18"/>
                <w:szCs w:val="18"/>
                <w:lang w:val="en-GB" w:eastAsia="lt-LT"/>
              </w:rPr>
              <w:t>JUI</w:t>
            </w:r>
          </w:p>
        </w:tc>
        <w:tc>
          <w:tcPr>
            <w:tcW w:w="709" w:type="dxa"/>
            <w:shd w:val="clear" w:color="auto" w:fill="auto"/>
            <w:vAlign w:val="center"/>
          </w:tcPr>
          <w:p w:rsidR="007E01C8" w:rsidRPr="009348A3" w:rsidRDefault="006F1682" w:rsidP="00BB0960">
            <w:pPr>
              <w:widowControl w:val="0"/>
              <w:tabs>
                <w:tab w:val="left" w:pos="622"/>
              </w:tabs>
              <w:spacing w:after="0" w:line="240" w:lineRule="auto"/>
              <w:rPr>
                <w:rFonts w:ascii="Times New Roman" w:eastAsia="AngsanaUPC" w:hAnsi="Times New Roman"/>
                <w:bCs/>
                <w:sz w:val="18"/>
                <w:szCs w:val="18"/>
                <w:lang w:val="en-GB" w:eastAsia="lt-LT"/>
              </w:rPr>
            </w:pPr>
            <w:r w:rsidRPr="009348A3">
              <w:rPr>
                <w:rFonts w:ascii="Times New Roman" w:eastAsia="AngsanaUPC" w:hAnsi="Times New Roman"/>
                <w:bCs/>
                <w:sz w:val="18"/>
                <w:szCs w:val="18"/>
                <w:lang w:val="en-GB" w:eastAsia="lt-LT"/>
              </w:rPr>
              <w:t>0</w:t>
            </w:r>
            <w:r w:rsidR="007E01C8" w:rsidRPr="009348A3">
              <w:rPr>
                <w:rFonts w:ascii="Times New Roman" w:eastAsia="AngsanaUPC" w:hAnsi="Times New Roman"/>
                <w:bCs/>
                <w:sz w:val="18"/>
                <w:szCs w:val="18"/>
                <w:lang w:val="en-GB" w:eastAsia="lt-LT"/>
              </w:rPr>
              <w:t>8</w:t>
            </w:r>
          </w:p>
        </w:tc>
        <w:tc>
          <w:tcPr>
            <w:tcW w:w="6378" w:type="dxa"/>
            <w:shd w:val="clear" w:color="auto" w:fill="auto"/>
            <w:vAlign w:val="center"/>
          </w:tcPr>
          <w:p w:rsidR="007E01C8" w:rsidRPr="009348A3" w:rsidRDefault="000735AB" w:rsidP="00BB0960">
            <w:pPr>
              <w:widowControl w:val="0"/>
              <w:tabs>
                <w:tab w:val="left" w:pos="622"/>
              </w:tabs>
              <w:spacing w:after="0" w:line="240" w:lineRule="auto"/>
              <w:jc w:val="both"/>
              <w:rPr>
                <w:rFonts w:ascii="Times New Roman" w:hAnsi="Times New Roman"/>
                <w:bCs/>
                <w:iCs/>
                <w:sz w:val="18"/>
                <w:szCs w:val="18"/>
              </w:rPr>
            </w:pPr>
            <w:r w:rsidRPr="009348A3">
              <w:rPr>
                <w:rFonts w:ascii="Times New Roman" w:hAnsi="Times New Roman"/>
                <w:bCs/>
                <w:iCs/>
                <w:sz w:val="18"/>
                <w:szCs w:val="18"/>
              </w:rPr>
              <w:t>Netaikoma</w:t>
            </w:r>
          </w:p>
        </w:tc>
        <w:tc>
          <w:tcPr>
            <w:tcW w:w="1808" w:type="dxa"/>
            <w:shd w:val="clear" w:color="auto" w:fill="auto"/>
            <w:vAlign w:val="center"/>
          </w:tcPr>
          <w:p w:rsidR="007E01C8" w:rsidRPr="009348A3" w:rsidRDefault="007E01C8" w:rsidP="001352F5">
            <w:pPr>
              <w:widowControl w:val="0"/>
              <w:tabs>
                <w:tab w:val="left" w:pos="622"/>
              </w:tabs>
              <w:spacing w:after="0" w:line="240" w:lineRule="auto"/>
              <w:jc w:val="right"/>
              <w:rPr>
                <w:rFonts w:ascii="Times New Roman" w:eastAsia="AngsanaUPC" w:hAnsi="Times New Roman"/>
                <w:bCs/>
                <w:sz w:val="18"/>
                <w:szCs w:val="18"/>
                <w:lang w:val="en-GB" w:eastAsia="lt-LT"/>
              </w:rPr>
            </w:pPr>
            <w:r w:rsidRPr="009348A3">
              <w:rPr>
                <w:rFonts w:ascii="Times New Roman" w:eastAsia="AngsanaUPC" w:hAnsi="Times New Roman"/>
                <w:bCs/>
                <w:sz w:val="18"/>
                <w:szCs w:val="18"/>
                <w:lang w:val="en-GB" w:eastAsia="lt-LT"/>
              </w:rPr>
              <w:t>63</w:t>
            </w:r>
            <w:r w:rsidR="009348A3">
              <w:rPr>
                <w:rFonts w:ascii="Times New Roman" w:eastAsia="AngsanaUPC" w:hAnsi="Times New Roman"/>
                <w:bCs/>
                <w:sz w:val="18"/>
                <w:szCs w:val="18"/>
                <w:lang w:val="en-GB" w:eastAsia="lt-LT"/>
              </w:rPr>
              <w:t>.</w:t>
            </w:r>
            <w:r w:rsidRPr="009348A3">
              <w:rPr>
                <w:rFonts w:ascii="Times New Roman" w:eastAsia="AngsanaUPC" w:hAnsi="Times New Roman"/>
                <w:bCs/>
                <w:sz w:val="18"/>
                <w:szCs w:val="18"/>
                <w:lang w:val="en-GB" w:eastAsia="lt-LT"/>
              </w:rPr>
              <w:t>565</w:t>
            </w:r>
            <w:r w:rsidR="009348A3">
              <w:rPr>
                <w:rFonts w:ascii="Times New Roman" w:eastAsia="AngsanaUPC" w:hAnsi="Times New Roman"/>
                <w:bCs/>
                <w:sz w:val="18"/>
                <w:szCs w:val="18"/>
                <w:lang w:val="en-GB" w:eastAsia="lt-LT"/>
              </w:rPr>
              <w:t>.</w:t>
            </w:r>
            <w:r w:rsidRPr="009348A3">
              <w:rPr>
                <w:rFonts w:ascii="Times New Roman" w:eastAsia="AngsanaUPC" w:hAnsi="Times New Roman"/>
                <w:bCs/>
                <w:sz w:val="18"/>
                <w:szCs w:val="18"/>
                <w:lang w:val="en-GB" w:eastAsia="lt-LT"/>
              </w:rPr>
              <w:t>266</w:t>
            </w:r>
          </w:p>
        </w:tc>
      </w:tr>
    </w:tbl>
    <w:p w:rsidR="007E01C8" w:rsidRDefault="007E01C8" w:rsidP="00385835">
      <w:pPr>
        <w:widowControl w:val="0"/>
        <w:tabs>
          <w:tab w:val="left" w:pos="622"/>
        </w:tabs>
        <w:spacing w:after="0" w:line="240" w:lineRule="auto"/>
        <w:jc w:val="both"/>
        <w:rPr>
          <w:rFonts w:ascii="Times New Roman" w:hAnsi="Times New Roman"/>
          <w:iCs/>
          <w:sz w:val="24"/>
          <w:szCs w:val="24"/>
        </w:rPr>
        <w:sectPr w:rsidR="007E01C8" w:rsidSect="007E01C8">
          <w:pgSz w:w="11906" w:h="16838" w:code="9"/>
          <w:pgMar w:top="1701" w:right="567" w:bottom="1134" w:left="1701" w:header="567" w:footer="567" w:gutter="0"/>
          <w:cols w:space="1296"/>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746"/>
      </w:tblGrid>
      <w:tr w:rsidR="00385835" w:rsidRPr="00385835" w:rsidTr="00385835">
        <w:trPr>
          <w:trHeight w:val="416"/>
        </w:trPr>
        <w:tc>
          <w:tcPr>
            <w:tcW w:w="9746" w:type="dxa"/>
            <w:shd w:val="clear" w:color="auto" w:fill="EEECE1"/>
            <w:vAlign w:val="center"/>
          </w:tcPr>
          <w:p w:rsidR="00385835" w:rsidRPr="00385835" w:rsidRDefault="000D0444" w:rsidP="00385835">
            <w:pPr>
              <w:keepNext/>
              <w:spacing w:after="0" w:line="240" w:lineRule="auto"/>
              <w:jc w:val="both"/>
              <w:outlineLvl w:val="1"/>
              <w:rPr>
                <w:rFonts w:ascii="Times New Roman" w:eastAsia="AngsanaUPC" w:hAnsi="Times New Roman"/>
                <w:b/>
                <w:bCs/>
                <w:iCs/>
                <w:sz w:val="24"/>
                <w:szCs w:val="28"/>
                <w:lang w:eastAsia="lt-LT"/>
              </w:rPr>
            </w:pPr>
            <w:bookmarkStart w:id="12" w:name="_Toc69836227"/>
            <w:r>
              <w:rPr>
                <w:rFonts w:ascii="Times New Roman" w:eastAsia="AngsanaUPC" w:hAnsi="Times New Roman"/>
                <w:b/>
                <w:bCs/>
                <w:iCs/>
                <w:sz w:val="24"/>
                <w:szCs w:val="28"/>
                <w:lang w:eastAsia="lt-LT"/>
              </w:rPr>
              <w:lastRenderedPageBreak/>
              <w:t xml:space="preserve">8. </w:t>
            </w:r>
            <w:r w:rsidR="00385835" w:rsidRPr="00385835">
              <w:rPr>
                <w:rFonts w:ascii="Times New Roman" w:eastAsia="AngsanaUPC" w:hAnsi="Times New Roman"/>
                <w:b/>
                <w:bCs/>
                <w:iCs/>
                <w:sz w:val="24"/>
                <w:szCs w:val="28"/>
                <w:lang w:eastAsia="lt-LT"/>
              </w:rPr>
              <w:t>PRIORITETAS. SOCIALINĖS ĮTRAUKTIES DIDINIMAS IR KOVA SU SKURDU</w:t>
            </w:r>
            <w:bookmarkEnd w:id="12"/>
          </w:p>
        </w:tc>
      </w:tr>
      <w:tr w:rsidR="00385835" w:rsidRPr="00385835" w:rsidTr="00385835">
        <w:trPr>
          <w:trHeight w:val="416"/>
        </w:trPr>
        <w:tc>
          <w:tcPr>
            <w:tcW w:w="9746" w:type="dxa"/>
            <w:shd w:val="clear" w:color="auto" w:fill="auto"/>
            <w:vAlign w:val="center"/>
          </w:tcPr>
          <w:p w:rsidR="00385835" w:rsidRPr="00385835" w:rsidRDefault="00385835" w:rsidP="00385835">
            <w:pPr>
              <w:spacing w:after="0" w:line="240" w:lineRule="auto"/>
              <w:ind w:firstLine="624"/>
              <w:jc w:val="both"/>
              <w:rPr>
                <w:rFonts w:ascii="Times New Roman" w:hAnsi="Times New Roman"/>
                <w:sz w:val="24"/>
                <w:szCs w:val="24"/>
              </w:rPr>
            </w:pPr>
            <w:r w:rsidRPr="00385835">
              <w:rPr>
                <w:rFonts w:ascii="Times New Roman" w:hAnsi="Times New Roman"/>
                <w:sz w:val="24"/>
                <w:szCs w:val="24"/>
              </w:rPr>
              <w:t>2014–2020 m. programavimo laikotarpiu planuojama sumažinti socialinių ir sveikatos paslaugų prieinamumo skirtumus skirtingose savivaldybėse, pagerinti socialinių paslaugų kokybę, diegti naujas socialines paslaugas, įgyvendinti deinstitucionalizaciją ir vystyti bendruomenėse teikiamas paslaugas. Efektyviausias būdas tai padaryti – derinti ERPF ir ESF investicijas.</w:t>
            </w:r>
          </w:p>
          <w:p w:rsidR="00385835" w:rsidRPr="00385835" w:rsidRDefault="00385835" w:rsidP="00385835">
            <w:pPr>
              <w:spacing w:after="0" w:line="240" w:lineRule="auto"/>
              <w:ind w:firstLine="624"/>
              <w:jc w:val="both"/>
              <w:rPr>
                <w:rFonts w:ascii="Times New Roman" w:hAnsi="Times New Roman"/>
                <w:sz w:val="24"/>
                <w:szCs w:val="24"/>
              </w:rPr>
            </w:pPr>
            <w:r w:rsidRPr="00385835">
              <w:rPr>
                <w:rFonts w:ascii="Times New Roman" w:hAnsi="Times New Roman"/>
                <w:sz w:val="24"/>
                <w:szCs w:val="24"/>
              </w:rPr>
              <w:t>2014–2020 m. pasitelkiant ERPF lėšas bus atnaujinama sveikatos ir socialinių paslaugų infrastruktūra, taip pat kita viešoji infrastruktūra kaimo vietovėse ir mažuose miesteliuose, kuri reikalinga bendruomenių socialinei, gyventojų sveikatos gerinimo ir kultūrinei veiklai. Savo ruožtu, ESF lėšos bus skirtos tam, kad ši infrastruktūra taptų integralia šalies viešųjų paslaugų sistemos dalimi, kurios tinkamas funkcionavimas būtų užtikrintas ir paramai pasibaigus. Bus finansuojamas naujų socialinių paslaugų kūrimas, kokybės ir prieinamumo gerinimas, įvairių paslaugų teikimo modelių išbandymas, paslaugas teikiančių darbuotojų kompetencijos tobulinimas. Bus siekiama užtikrinti socialinių, sveikatos, kultūros paslaugų integralumą, skatinti aktyvų vietos valdžios ir nevyriausybinio sektoriaus įsitraukimą planuojant, kuriant ir teikiant šias paslaugas.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vAlign w:val="center"/>
          </w:tcPr>
          <w:p w:rsidR="00385835" w:rsidRPr="00385835" w:rsidRDefault="00385835" w:rsidP="00385835">
            <w:pPr>
              <w:widowControl w:val="0"/>
              <w:tabs>
                <w:tab w:val="left" w:pos="622"/>
              </w:tabs>
              <w:spacing w:after="0" w:line="240" w:lineRule="auto"/>
              <w:rPr>
                <w:rFonts w:ascii="Times New Roman" w:eastAsia="AngsanaUPC" w:hAnsi="Times New Roman"/>
                <w:b/>
                <w:bCs/>
                <w:iCs/>
                <w:sz w:val="24"/>
                <w:szCs w:val="24"/>
                <w:lang w:eastAsia="lt-LT"/>
              </w:rPr>
            </w:pPr>
            <w:r w:rsidRPr="00385835">
              <w:rPr>
                <w:rFonts w:ascii="Times New Roman" w:eastAsia="AngsanaUPC" w:hAnsi="Times New Roman"/>
                <w:b/>
                <w:bCs/>
                <w:iCs/>
                <w:sz w:val="24"/>
                <w:szCs w:val="24"/>
                <w:lang w:eastAsia="lt-LT"/>
              </w:rPr>
              <w:t>8.1. INVESTICINIS PRIORITETAS</w:t>
            </w:r>
          </w:p>
        </w:tc>
        <w:tc>
          <w:tcPr>
            <w:tcW w:w="7336" w:type="dxa"/>
            <w:shd w:val="clear" w:color="auto" w:fill="EEECE1"/>
            <w:vAlign w:val="center"/>
          </w:tcPr>
          <w:p w:rsidR="00385835" w:rsidRPr="00385835" w:rsidRDefault="00385835" w:rsidP="00385835">
            <w:pPr>
              <w:spacing w:after="0" w:line="240" w:lineRule="auto"/>
              <w:jc w:val="both"/>
              <w:rPr>
                <w:rFonts w:ascii="Times New Roman" w:hAnsi="Times New Roman"/>
                <w:b/>
                <w:sz w:val="24"/>
                <w:szCs w:val="24"/>
              </w:rPr>
            </w:pPr>
            <w:r w:rsidRPr="00385835">
              <w:rPr>
                <w:rFonts w:ascii="Times New Roman" w:hAnsi="Times New Roman"/>
                <w:b/>
                <w:sz w:val="24"/>
                <w:szCs w:val="24"/>
              </w:rPr>
              <w:t>Investicijos į sveikatos ir socialinę infrastruktūrą, kuria prisidedama prie nacionalinės, regionų ir vietos plėtros, su sveikatos būkle susijusios nelygybės mažinimo, socialinės įtraukties skatinimo, suteikiant geresnę prieigą prie socialinių, kultūrinių ir rekreacinių paslaugų, ir perėjimo nuo institucinių p</w:t>
            </w:r>
            <w:r w:rsidR="00031EF1">
              <w:rPr>
                <w:rFonts w:ascii="Times New Roman" w:hAnsi="Times New Roman"/>
                <w:b/>
                <w:sz w:val="24"/>
                <w:szCs w:val="24"/>
              </w:rPr>
              <w:t>rie bendruomeninių paslaugų</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FONDAS</w:t>
            </w:r>
          </w:p>
        </w:tc>
        <w:tc>
          <w:tcPr>
            <w:tcW w:w="7336"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Europos regioninės plėtros fondas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8.1.1. KONKRETUS UŽDAVINYS</w:t>
            </w:r>
          </w:p>
        </w:tc>
        <w:tc>
          <w:tcPr>
            <w:tcW w:w="7336" w:type="dxa"/>
            <w:shd w:val="clear" w:color="auto" w:fill="EEECE1"/>
            <w:vAlign w:val="center"/>
          </w:tcPr>
          <w:p w:rsidR="00385835" w:rsidRPr="00385835" w:rsidRDefault="00385835" w:rsidP="00385835">
            <w:pPr>
              <w:spacing w:after="0" w:line="240" w:lineRule="auto"/>
              <w:jc w:val="both"/>
              <w:rPr>
                <w:rFonts w:ascii="Times New Roman" w:hAnsi="Times New Roman"/>
                <w:b/>
                <w:sz w:val="24"/>
                <w:szCs w:val="24"/>
              </w:rPr>
            </w:pPr>
            <w:r w:rsidRPr="00385835">
              <w:rPr>
                <w:rFonts w:ascii="Times New Roman" w:hAnsi="Times New Roman"/>
                <w:b/>
                <w:sz w:val="24"/>
                <w:szCs w:val="24"/>
              </w:rPr>
              <w:t>Padidinti bendruomenėje teikiamų socialinių paslaugų dalį</w:t>
            </w:r>
            <w:r w:rsidR="00A64507">
              <w:rPr>
                <w:rFonts w:ascii="Times New Roman" w:hAnsi="Times New Roman"/>
                <w:b/>
                <w:sz w:val="24"/>
                <w:szCs w:val="24"/>
              </w:rPr>
              <w:t>,</w:t>
            </w:r>
            <w:r w:rsidRPr="00385835">
              <w:rPr>
                <w:rFonts w:ascii="Times New Roman" w:hAnsi="Times New Roman"/>
                <w:b/>
                <w:sz w:val="24"/>
                <w:szCs w:val="24"/>
              </w:rPr>
              <w:t xml:space="preserve"> pereinant nuo institucinės globos prie bendruomeninių paslaugų</w:t>
            </w:r>
          </w:p>
        </w:tc>
      </w:tr>
      <w:tr w:rsidR="00385835" w:rsidRPr="00385835" w:rsidTr="00385835">
        <w:tc>
          <w:tcPr>
            <w:tcW w:w="9746" w:type="dxa"/>
            <w:gridSpan w:val="2"/>
            <w:shd w:val="clear" w:color="auto" w:fill="auto"/>
          </w:tcPr>
          <w:p w:rsidR="00385835" w:rsidRPr="00385835" w:rsidRDefault="00385835" w:rsidP="00385835">
            <w:pPr>
              <w:widowControl w:val="0"/>
              <w:tabs>
                <w:tab w:val="left" w:pos="622"/>
              </w:tabs>
              <w:spacing w:after="0" w:line="240" w:lineRule="auto"/>
              <w:ind w:firstLine="720"/>
              <w:jc w:val="both"/>
              <w:rPr>
                <w:rFonts w:ascii="Times New Roman" w:hAnsi="Times New Roman"/>
                <w:sz w:val="24"/>
                <w:szCs w:val="24"/>
              </w:rPr>
            </w:pPr>
            <w:r w:rsidRPr="00385835">
              <w:rPr>
                <w:rFonts w:ascii="Times New Roman" w:hAnsi="Times New Roman"/>
                <w:sz w:val="24"/>
                <w:szCs w:val="24"/>
              </w:rPr>
              <w:t xml:space="preserve">Gyventojų senėjimas ir emigracija lemia tai, kad Lietuvoje auga socialinių paslaugų pažeidžiamoms gyventojų grupėms poreikis. Didėja vyresnių vienišų asmenų skaičius, kuriems dėl amžiaus ir sveikatos būklės reikalingos socialinės paslaugos ar socialinė globa, tačiau tokios paslaugos savivaldybėse vis dar nepakankamai išvystytos. Per kelias dešimtis metų susiformavusi socialinių paslaugų teikimo institucinė struktūra lemia tai, kad stacionari globa institucijose yra išplėtota labiau negu bendruomeninė globa. </w:t>
            </w:r>
            <w:r w:rsidR="00686878">
              <w:rPr>
                <w:rFonts w:ascii="Times New Roman" w:hAnsi="Times New Roman"/>
                <w:sz w:val="24"/>
                <w:szCs w:val="24"/>
              </w:rPr>
              <w:t>Pavyzdžiui</w:t>
            </w:r>
            <w:r w:rsidRPr="00385835">
              <w:rPr>
                <w:rFonts w:ascii="Times New Roman" w:hAnsi="Times New Roman"/>
                <w:sz w:val="24"/>
                <w:szCs w:val="24"/>
              </w:rPr>
              <w:t>, 2012 m. globos įstaigose seniems žmonėms ir asmenims su negalia gyveno 10632 asmenys, o savarankiško gyvenimo namuose – tik 262 asmenys. Vaikų globos namuose buvo globojami daugiau nei 4 tūkst. vaikų (kuriems nustatyta globa/rūpyba).</w:t>
            </w:r>
          </w:p>
          <w:p w:rsidR="00385835" w:rsidRPr="00385835" w:rsidRDefault="00385835" w:rsidP="00385835">
            <w:pPr>
              <w:widowControl w:val="0"/>
              <w:tabs>
                <w:tab w:val="left" w:pos="622"/>
              </w:tabs>
              <w:spacing w:after="0" w:line="240" w:lineRule="auto"/>
              <w:ind w:firstLine="720"/>
              <w:jc w:val="both"/>
              <w:rPr>
                <w:rFonts w:ascii="Times New Roman" w:hAnsi="Times New Roman"/>
                <w:sz w:val="24"/>
                <w:szCs w:val="24"/>
              </w:rPr>
            </w:pPr>
            <w:r w:rsidRPr="00385835">
              <w:rPr>
                <w:rFonts w:ascii="Times New Roman" w:hAnsi="Times New Roman"/>
                <w:sz w:val="24"/>
                <w:szCs w:val="24"/>
              </w:rPr>
              <w:t>2014–2020 m. programavimo laikotarpiu bus sumažinti socialinių paslaugų prieinamumo skirtumai, pagerinta socialinių paslaugų kokybė, įdiegtos naujos socialinės paslaugos ir pertvarkyta vaiko teisių apsaugos sistema. Svarbus sisteminis po</w:t>
            </w:r>
            <w:r w:rsidR="00A64507">
              <w:rPr>
                <w:rFonts w:ascii="Times New Roman" w:hAnsi="Times New Roman"/>
                <w:sz w:val="24"/>
                <w:szCs w:val="24"/>
              </w:rPr>
              <w:t>kytis, kurio siekiama 2014–2020 </w:t>
            </w:r>
            <w:r w:rsidRPr="00385835">
              <w:rPr>
                <w:rFonts w:ascii="Times New Roman" w:hAnsi="Times New Roman"/>
                <w:sz w:val="24"/>
                <w:szCs w:val="24"/>
              </w:rPr>
              <w:t>m. laikotarpyje yra socialinių paslaugų teikimo deinstitucionalizacija ir bendruomenėse teikiamų paslaugų vystymas. Deinstitucionalizacija planuojama įgyvendinti</w:t>
            </w:r>
            <w:r w:rsidR="00A64507">
              <w:rPr>
                <w:rFonts w:ascii="Times New Roman" w:hAnsi="Times New Roman"/>
                <w:sz w:val="24"/>
                <w:szCs w:val="24"/>
              </w:rPr>
              <w:t>,</w:t>
            </w:r>
            <w:r w:rsidRPr="00385835">
              <w:rPr>
                <w:rFonts w:ascii="Times New Roman" w:hAnsi="Times New Roman"/>
                <w:sz w:val="24"/>
                <w:szCs w:val="24"/>
              </w:rPr>
              <w:t xml:space="preserve"> vadovaujantis Perėjimo nuo institucinės globos prie šeimoje ir bendruomenėje teikiamų paslaugų neįgaliesiems ir likusiems be tėvų globos vaikams 2014–2020 metų veiksmų planu ir atsižvelgiant į „Bendrąsias europines gaires dėl perėjimo nuo institucinės prie bendruomeninės globos“.</w:t>
            </w:r>
          </w:p>
          <w:p w:rsidR="00385835" w:rsidRPr="00385835" w:rsidRDefault="00385835" w:rsidP="00385835">
            <w:pPr>
              <w:widowControl w:val="0"/>
              <w:tabs>
                <w:tab w:val="left" w:pos="622"/>
              </w:tabs>
              <w:spacing w:after="0" w:line="240" w:lineRule="auto"/>
              <w:ind w:firstLine="720"/>
              <w:jc w:val="both"/>
              <w:rPr>
                <w:rFonts w:ascii="Times New Roman" w:hAnsi="Times New Roman"/>
                <w:sz w:val="24"/>
                <w:szCs w:val="24"/>
              </w:rPr>
            </w:pPr>
            <w:r w:rsidRPr="00385835">
              <w:rPr>
                <w:rFonts w:ascii="Times New Roman" w:hAnsi="Times New Roman"/>
                <w:sz w:val="24"/>
                <w:szCs w:val="24"/>
              </w:rPr>
              <w:t xml:space="preserve">Siekiant šių pokyčių, ERPF investicijos bus skirtos bendruomeninių ir/arba nestacionarių paslaugų organizavimo bei infrastruktūros plėtrai. Šios investicijos, kartu su ESF finansuojamomis veiklomis (pagal 8.4 investicinį prioritetą) padės sumažinti globos namuose gyvenančių vaikų (likusių be tėvų globos) ir neįgaliųjų su proto ir (ar) psichine negalia dalį, taip pat išvystyti kitoms gyventojų grupėms aktualias paslaugas. </w:t>
            </w:r>
            <w:r w:rsidRPr="00385835">
              <w:rPr>
                <w:rFonts w:ascii="Times New Roman" w:hAnsi="Times New Roman"/>
                <w:bCs/>
                <w:sz w:val="24"/>
                <w:szCs w:val="24"/>
              </w:rPr>
              <w:t>Be to tai prisidės prie to</w:t>
            </w:r>
            <w:r w:rsidRPr="00385835">
              <w:rPr>
                <w:rFonts w:ascii="Times New Roman" w:hAnsi="Times New Roman"/>
                <w:sz w:val="24"/>
                <w:szCs w:val="24"/>
              </w:rPr>
              <w:t xml:space="preserve">, kad nauji paslaugų gavėjai, šiuo metu negyvenantys globos įstaigose, </w:t>
            </w:r>
            <w:r w:rsidRPr="00385835">
              <w:rPr>
                <w:rFonts w:ascii="Times New Roman" w:hAnsi="Times New Roman"/>
                <w:bCs/>
                <w:sz w:val="24"/>
                <w:szCs w:val="24"/>
              </w:rPr>
              <w:t>nebepatektų</w:t>
            </w:r>
            <w:r w:rsidRPr="00385835">
              <w:rPr>
                <w:rFonts w:ascii="Times New Roman" w:hAnsi="Times New Roman"/>
                <w:sz w:val="24"/>
                <w:szCs w:val="24"/>
              </w:rPr>
              <w:t xml:space="preserve"> į stacionarias įstaigas dėl išvystytų nestacionarių </w:t>
            </w:r>
            <w:r w:rsidRPr="00385835">
              <w:rPr>
                <w:rFonts w:ascii="Times New Roman" w:hAnsi="Times New Roman"/>
                <w:sz w:val="24"/>
                <w:szCs w:val="24"/>
              </w:rPr>
              <w:lastRenderedPageBreak/>
              <w:t>paslaugų bendruomenėje.</w:t>
            </w:r>
          </w:p>
        </w:tc>
      </w:tr>
    </w:tbl>
    <w:p w:rsidR="00385835" w:rsidRPr="00385835" w:rsidRDefault="00385835" w:rsidP="00385835">
      <w:pPr>
        <w:spacing w:after="0" w:line="240" w:lineRule="auto"/>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512"/>
        <w:gridCol w:w="2104"/>
        <w:gridCol w:w="1006"/>
        <w:gridCol w:w="1006"/>
        <w:gridCol w:w="842"/>
        <w:gridCol w:w="938"/>
        <w:gridCol w:w="849"/>
        <w:gridCol w:w="1256"/>
        <w:gridCol w:w="1233"/>
      </w:tblGrid>
      <w:tr w:rsidR="00385835" w:rsidRPr="00385835" w:rsidTr="00385835">
        <w:tc>
          <w:tcPr>
            <w:tcW w:w="9695" w:type="dxa"/>
            <w:gridSpan w:val="9"/>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i/>
                <w:iCs/>
                <w:sz w:val="24"/>
                <w:szCs w:val="24"/>
                <w:lang w:eastAsia="lt-LT"/>
              </w:rPr>
            </w:pPr>
            <w:r w:rsidRPr="00385835">
              <w:rPr>
                <w:rFonts w:ascii="Times New Roman" w:eastAsia="AngsanaUPC" w:hAnsi="Times New Roman"/>
                <w:b/>
                <w:bCs/>
                <w:i/>
                <w:iCs/>
                <w:sz w:val="24"/>
                <w:szCs w:val="24"/>
                <w:lang w:eastAsia="lt-LT"/>
              </w:rPr>
              <w:t xml:space="preserve">ERPF </w:t>
            </w:r>
            <w:r w:rsidR="00B1109C">
              <w:rPr>
                <w:rFonts w:ascii="Times New Roman" w:eastAsia="AngsanaUPC" w:hAnsi="Times New Roman"/>
                <w:b/>
                <w:bCs/>
                <w:i/>
                <w:iCs/>
                <w:sz w:val="24"/>
                <w:szCs w:val="24"/>
                <w:lang w:eastAsia="lt-LT"/>
              </w:rPr>
              <w:t xml:space="preserve">specialieji </w:t>
            </w:r>
            <w:r w:rsidRPr="00385835">
              <w:rPr>
                <w:rFonts w:ascii="Times New Roman" w:eastAsia="AngsanaUPC" w:hAnsi="Times New Roman"/>
                <w:b/>
                <w:bCs/>
                <w:i/>
                <w:iCs/>
                <w:sz w:val="24"/>
                <w:szCs w:val="24"/>
                <w:lang w:eastAsia="lt-LT"/>
              </w:rPr>
              <w:t>programos rezultato rodikliai</w:t>
            </w:r>
          </w:p>
        </w:tc>
      </w:tr>
      <w:tr w:rsidR="00385835" w:rsidRPr="00385835" w:rsidTr="00463952">
        <w:tblPrEx>
          <w:shd w:val="clear" w:color="auto" w:fill="auto"/>
        </w:tblPrEx>
        <w:trPr>
          <w:cantSplit/>
          <w:trHeight w:val="702"/>
        </w:trPr>
        <w:tc>
          <w:tcPr>
            <w:tcW w:w="52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Nr.</w:t>
            </w:r>
          </w:p>
        </w:tc>
        <w:tc>
          <w:tcPr>
            <w:tcW w:w="231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Rodiklio pavadinimas</w:t>
            </w:r>
          </w:p>
        </w:tc>
        <w:tc>
          <w:tcPr>
            <w:tcW w:w="993"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Matavimo vienetas</w:t>
            </w:r>
          </w:p>
        </w:tc>
        <w:tc>
          <w:tcPr>
            <w:tcW w:w="1006"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Regiono kategorija</w:t>
            </w:r>
          </w:p>
        </w:tc>
        <w:tc>
          <w:tcPr>
            <w:tcW w:w="846"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 reikšmė</w:t>
            </w:r>
          </w:p>
        </w:tc>
        <w:tc>
          <w:tcPr>
            <w:tcW w:w="950"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Pradinės reikšmės metai</w:t>
            </w:r>
          </w:p>
        </w:tc>
        <w:tc>
          <w:tcPr>
            <w:tcW w:w="849"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Siektina reikšmė (2023)</w:t>
            </w:r>
          </w:p>
        </w:tc>
        <w:tc>
          <w:tcPr>
            <w:tcW w:w="98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Duomenų šaltinis</w:t>
            </w:r>
          </w:p>
        </w:tc>
        <w:tc>
          <w:tcPr>
            <w:tcW w:w="1235"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Atsiskaitymo dažnumas</w:t>
            </w:r>
          </w:p>
        </w:tc>
      </w:tr>
      <w:tr w:rsidR="00385835" w:rsidRPr="00385835" w:rsidTr="00385835">
        <w:tblPrEx>
          <w:shd w:val="clear" w:color="auto" w:fill="auto"/>
        </w:tblPrEx>
        <w:tc>
          <w:tcPr>
            <w:tcW w:w="52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w:t>
            </w:r>
          </w:p>
        </w:tc>
        <w:tc>
          <w:tcPr>
            <w:tcW w:w="2311" w:type="dxa"/>
            <w:shd w:val="clear" w:color="auto" w:fill="auto"/>
          </w:tcPr>
          <w:p w:rsidR="00385835" w:rsidRPr="00385835" w:rsidRDefault="00385835" w:rsidP="00385835">
            <w:pPr>
              <w:spacing w:after="0" w:line="240" w:lineRule="auto"/>
              <w:rPr>
                <w:rFonts w:ascii="Times New Roman" w:hAnsi="Times New Roman"/>
                <w:sz w:val="18"/>
                <w:szCs w:val="18"/>
                <w:shd w:val="clear" w:color="auto" w:fill="FFFFFF"/>
              </w:rPr>
            </w:pPr>
            <w:r w:rsidRPr="00385835">
              <w:rPr>
                <w:rFonts w:ascii="Times New Roman" w:hAnsi="Times New Roman"/>
                <w:sz w:val="18"/>
                <w:szCs w:val="18"/>
                <w:shd w:val="clear" w:color="auto" w:fill="FFFFFF"/>
              </w:rPr>
              <w:t>Neįgalių asmenų, gaunančių paslaugas bendruomenėje, dalis nuo visų neįgaliųjų, gaunančių socialines paslaugas</w:t>
            </w:r>
          </w:p>
        </w:tc>
        <w:tc>
          <w:tcPr>
            <w:tcW w:w="993"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Proc.</w:t>
            </w:r>
          </w:p>
        </w:tc>
        <w:tc>
          <w:tcPr>
            <w:tcW w:w="1006"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Mažiau išsivystęs</w:t>
            </w:r>
          </w:p>
        </w:tc>
        <w:tc>
          <w:tcPr>
            <w:tcW w:w="846"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73</w:t>
            </w:r>
          </w:p>
        </w:tc>
        <w:tc>
          <w:tcPr>
            <w:tcW w:w="950"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trike/>
                <w:sz w:val="18"/>
                <w:szCs w:val="18"/>
                <w:lang w:eastAsia="lt-LT"/>
              </w:rPr>
            </w:pPr>
            <w:r w:rsidRPr="00385835">
              <w:rPr>
                <w:rFonts w:ascii="Times New Roman" w:eastAsia="AngsanaUPC" w:hAnsi="Times New Roman"/>
                <w:bCs/>
                <w:iCs/>
                <w:sz w:val="18"/>
                <w:szCs w:val="18"/>
                <w:lang w:eastAsia="lt-LT"/>
              </w:rPr>
              <w:t>2012</w:t>
            </w:r>
          </w:p>
        </w:tc>
        <w:tc>
          <w:tcPr>
            <w:tcW w:w="849"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80</w:t>
            </w:r>
          </w:p>
        </w:tc>
        <w:tc>
          <w:tcPr>
            <w:tcW w:w="98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trike/>
                <w:sz w:val="18"/>
                <w:szCs w:val="18"/>
                <w:lang w:eastAsia="lt-LT"/>
              </w:rPr>
            </w:pPr>
            <w:r w:rsidRPr="00385835">
              <w:rPr>
                <w:rFonts w:ascii="Times New Roman" w:eastAsia="AngsanaUPC" w:hAnsi="Times New Roman"/>
                <w:bCs/>
                <w:iCs/>
                <w:sz w:val="18"/>
                <w:szCs w:val="18"/>
                <w:lang w:eastAsia="lt-LT"/>
              </w:rPr>
              <w:t>Lietuvos statistikos departamentas</w:t>
            </w:r>
          </w:p>
        </w:tc>
        <w:tc>
          <w:tcPr>
            <w:tcW w:w="1235"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highlight w:val="yellow"/>
                <w:lang w:eastAsia="lt-LT"/>
              </w:rPr>
            </w:pPr>
            <w:r w:rsidRPr="00385835">
              <w:rPr>
                <w:rFonts w:ascii="Times New Roman" w:eastAsia="AngsanaUPC" w:hAnsi="Times New Roman"/>
                <w:bCs/>
                <w:iCs/>
                <w:sz w:val="18"/>
                <w:szCs w:val="18"/>
                <w:lang w:eastAsia="lt-LT"/>
              </w:rPr>
              <w:t>Kartą per metus</w:t>
            </w:r>
          </w:p>
        </w:tc>
      </w:tr>
      <w:tr w:rsidR="00385835" w:rsidRPr="00385835" w:rsidTr="00385835">
        <w:tblPrEx>
          <w:shd w:val="clear" w:color="auto" w:fill="auto"/>
        </w:tblPrEx>
        <w:tc>
          <w:tcPr>
            <w:tcW w:w="52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w:t>
            </w:r>
          </w:p>
        </w:tc>
        <w:tc>
          <w:tcPr>
            <w:tcW w:w="2311" w:type="dxa"/>
            <w:shd w:val="clear" w:color="auto" w:fill="auto"/>
          </w:tcPr>
          <w:p w:rsidR="00385835" w:rsidRPr="00385835" w:rsidRDefault="00385835" w:rsidP="00385835">
            <w:pPr>
              <w:spacing w:after="0" w:line="240" w:lineRule="auto"/>
              <w:rPr>
                <w:rFonts w:ascii="Times New Roman" w:hAnsi="Times New Roman"/>
                <w:sz w:val="18"/>
                <w:szCs w:val="18"/>
                <w:shd w:val="clear" w:color="auto" w:fill="FFFFFF"/>
              </w:rPr>
            </w:pPr>
            <w:r w:rsidRPr="00385835">
              <w:rPr>
                <w:rFonts w:ascii="Times New Roman" w:hAnsi="Times New Roman"/>
                <w:sz w:val="18"/>
                <w:szCs w:val="18"/>
                <w:shd w:val="clear" w:color="auto" w:fill="FFFFFF"/>
              </w:rPr>
              <w:t>Globojamų (rūpinamų) vaikų, gaunančių socialinės globos paslaugas bendruomenėje, dalis</w:t>
            </w:r>
            <w:proofErr w:type="gramStart"/>
            <w:r w:rsidRPr="00385835">
              <w:rPr>
                <w:rFonts w:ascii="Times New Roman" w:hAnsi="Times New Roman"/>
                <w:sz w:val="18"/>
                <w:szCs w:val="18"/>
                <w:shd w:val="clear" w:color="auto" w:fill="FFFFFF"/>
              </w:rPr>
              <w:t xml:space="preserve">  </w:t>
            </w:r>
            <w:proofErr w:type="gramEnd"/>
            <w:r w:rsidRPr="00385835">
              <w:rPr>
                <w:rFonts w:ascii="Times New Roman" w:hAnsi="Times New Roman"/>
                <w:sz w:val="18"/>
                <w:szCs w:val="18"/>
                <w:shd w:val="clear" w:color="auto" w:fill="FFFFFF"/>
              </w:rPr>
              <w:t xml:space="preserve">nuo visų globojamų (rūpinamų) vaikų </w:t>
            </w:r>
          </w:p>
        </w:tc>
        <w:tc>
          <w:tcPr>
            <w:tcW w:w="993"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Proc.</w:t>
            </w:r>
          </w:p>
        </w:tc>
        <w:tc>
          <w:tcPr>
            <w:tcW w:w="1006" w:type="dxa"/>
            <w:shd w:val="clear" w:color="auto" w:fill="auto"/>
            <w:vAlign w:val="center"/>
          </w:tcPr>
          <w:p w:rsidR="00385835" w:rsidRPr="00385835" w:rsidRDefault="00385835" w:rsidP="00385835">
            <w:pPr>
              <w:spacing w:after="0"/>
              <w:jc w:val="center"/>
            </w:pPr>
            <w:r w:rsidRPr="00385835">
              <w:rPr>
                <w:rFonts w:ascii="Times New Roman" w:eastAsia="AngsanaUPC" w:hAnsi="Times New Roman"/>
                <w:bCs/>
                <w:iCs/>
                <w:sz w:val="18"/>
                <w:szCs w:val="18"/>
                <w:lang w:eastAsia="lt-LT"/>
              </w:rPr>
              <w:t>Mažiau išsivystęs</w:t>
            </w:r>
          </w:p>
        </w:tc>
        <w:tc>
          <w:tcPr>
            <w:tcW w:w="846"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61,7</w:t>
            </w:r>
          </w:p>
        </w:tc>
        <w:tc>
          <w:tcPr>
            <w:tcW w:w="950"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2012</w:t>
            </w:r>
          </w:p>
        </w:tc>
        <w:tc>
          <w:tcPr>
            <w:tcW w:w="849"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73</w:t>
            </w:r>
          </w:p>
        </w:tc>
        <w:tc>
          <w:tcPr>
            <w:tcW w:w="98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Lietuvos statistikos departamentas</w:t>
            </w:r>
          </w:p>
        </w:tc>
        <w:tc>
          <w:tcPr>
            <w:tcW w:w="1235"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bl>
    <w:p w:rsidR="00385835" w:rsidRPr="00385835" w:rsidRDefault="00385835" w:rsidP="00385835">
      <w:pPr>
        <w:spacing w:after="0" w:line="240" w:lineRule="auto"/>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tcPr>
          <w:p w:rsidR="00385835" w:rsidRPr="00385835" w:rsidRDefault="00385835" w:rsidP="00385835">
            <w:pPr>
              <w:widowControl w:val="0"/>
              <w:tabs>
                <w:tab w:val="left" w:pos="622"/>
              </w:tabs>
              <w:spacing w:after="0" w:line="240" w:lineRule="auto"/>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8.1.2. KONKRETUS UŽDAVINYS</w:t>
            </w:r>
          </w:p>
        </w:tc>
        <w:tc>
          <w:tcPr>
            <w:tcW w:w="7336" w:type="dxa"/>
            <w:shd w:val="clear" w:color="auto" w:fill="EEECE1"/>
            <w:vAlign w:val="center"/>
          </w:tcPr>
          <w:p w:rsidR="00385835" w:rsidRPr="00385835" w:rsidRDefault="00385835" w:rsidP="00385835">
            <w:pPr>
              <w:spacing w:after="0" w:line="240" w:lineRule="auto"/>
              <w:jc w:val="both"/>
              <w:rPr>
                <w:rFonts w:ascii="Times New Roman" w:hAnsi="Times New Roman"/>
                <w:b/>
                <w:sz w:val="24"/>
                <w:szCs w:val="24"/>
              </w:rPr>
            </w:pPr>
            <w:r w:rsidRPr="00385835">
              <w:rPr>
                <w:rFonts w:ascii="Times New Roman" w:hAnsi="Times New Roman"/>
                <w:b/>
                <w:sz w:val="24"/>
                <w:szCs w:val="24"/>
              </w:rPr>
              <w:t>Padidinti socialinio būsto prieinamumą pažeidžiamiausioms gyventojų grupėms</w:t>
            </w:r>
          </w:p>
        </w:tc>
      </w:tr>
      <w:tr w:rsidR="00385835" w:rsidRPr="00385835" w:rsidTr="00385835">
        <w:tc>
          <w:tcPr>
            <w:tcW w:w="9746" w:type="dxa"/>
            <w:gridSpan w:val="2"/>
            <w:shd w:val="clear" w:color="auto" w:fill="auto"/>
          </w:tcPr>
          <w:p w:rsidR="00385835" w:rsidRPr="00385835" w:rsidRDefault="00385835" w:rsidP="00385835">
            <w:pPr>
              <w:spacing w:after="0" w:line="240" w:lineRule="auto"/>
              <w:ind w:firstLine="624"/>
              <w:jc w:val="both"/>
              <w:rPr>
                <w:rFonts w:ascii="Times New Roman" w:hAnsi="Times New Roman"/>
                <w:sz w:val="24"/>
                <w:szCs w:val="24"/>
              </w:rPr>
            </w:pPr>
            <w:r w:rsidRPr="00385835">
              <w:rPr>
                <w:rFonts w:ascii="Times New Roman" w:hAnsi="Times New Roman"/>
                <w:sz w:val="24"/>
                <w:szCs w:val="24"/>
              </w:rPr>
              <w:t xml:space="preserve">Lietuvoje šiuo metu patenkinama nedidelė socialinio būsto poreikio dalis. 2012 m. daugiau nei 31 tūkst. asmenų (šeimų) buvo įtraukti į sąrašus socialiniam būstui nuomoti. Iš viso šiose šeimose gyveno apie 70 tūkst. asmenų. 2012 m. socialinis būstas išnuomotas 1086 asmenims (šeimoms). Tokiu būdu, būstu buvo aprūpinta </w:t>
            </w:r>
            <w:r w:rsidR="00A64507">
              <w:rPr>
                <w:rFonts w:ascii="Times New Roman" w:hAnsi="Times New Roman"/>
                <w:sz w:val="24"/>
                <w:szCs w:val="24"/>
              </w:rPr>
              <w:t>daugiau nei</w:t>
            </w:r>
            <w:r w:rsidRPr="00385835">
              <w:rPr>
                <w:rFonts w:ascii="Times New Roman" w:hAnsi="Times New Roman"/>
                <w:sz w:val="24"/>
                <w:szCs w:val="24"/>
              </w:rPr>
              <w:t xml:space="preserve"> 2,4 tūkst. žmonių. Didžiausia socialinio būsto problema yra didžiuosiuose Lietuvos miestuose (</w:t>
            </w:r>
            <w:r w:rsidR="00686878">
              <w:rPr>
                <w:rFonts w:ascii="Times New Roman" w:hAnsi="Times New Roman"/>
                <w:sz w:val="24"/>
                <w:szCs w:val="24"/>
              </w:rPr>
              <w:t>pavyzdžiui,</w:t>
            </w:r>
            <w:r w:rsidRPr="00385835">
              <w:rPr>
                <w:rFonts w:ascii="Times New Roman" w:hAnsi="Times New Roman"/>
                <w:sz w:val="24"/>
                <w:szCs w:val="24"/>
              </w:rPr>
              <w:t xml:space="preserve"> 2012 m. iš 6289 socialinio būsto Vilniuje laukusių asmenų (šeimų), jis išnuomotas tik 53 asmenims (šeimoms).</w:t>
            </w:r>
          </w:p>
          <w:p w:rsidR="00385835" w:rsidRPr="00385835" w:rsidRDefault="00385835" w:rsidP="00385835">
            <w:pPr>
              <w:spacing w:after="0" w:line="240" w:lineRule="auto"/>
              <w:ind w:firstLine="624"/>
              <w:jc w:val="both"/>
              <w:rPr>
                <w:rFonts w:ascii="Times New Roman" w:hAnsi="Times New Roman"/>
                <w:sz w:val="24"/>
                <w:szCs w:val="24"/>
              </w:rPr>
            </w:pPr>
            <w:r w:rsidRPr="00385835">
              <w:rPr>
                <w:rFonts w:ascii="Times New Roman" w:hAnsi="Times New Roman"/>
                <w:sz w:val="24"/>
                <w:szCs w:val="24"/>
              </w:rPr>
              <w:t>Socialinės apsaugos ir darbo ministerijos duomenimis, norint patenkinti visą socialinio būsto poreikį Lietuvoje, reikėtų paruošti iš viso 1520000 m</w:t>
            </w:r>
            <w:r w:rsidRPr="00385835">
              <w:rPr>
                <w:rFonts w:ascii="Times New Roman" w:hAnsi="Times New Roman"/>
                <w:sz w:val="24"/>
                <w:szCs w:val="24"/>
                <w:vertAlign w:val="superscript"/>
              </w:rPr>
              <w:t>2</w:t>
            </w:r>
            <w:r w:rsidRPr="00385835">
              <w:rPr>
                <w:rFonts w:ascii="Times New Roman" w:hAnsi="Times New Roman"/>
                <w:sz w:val="24"/>
                <w:szCs w:val="24"/>
              </w:rPr>
              <w:t xml:space="preserve"> naudingojo ploto. Parengtose Valstybės paramos būstui įsigyti ar išsinuomoti ir daugiabučiams namams atnaujinti įstatymo pataisose yra numatyta nauja paramos būstui išsinuomoti teikimo forma: nuomos ar išperkamosios nuomos mokesčių dalies kompensacija (</w:t>
            </w:r>
            <w:r w:rsidRPr="00385835">
              <w:rPr>
                <w:rFonts w:ascii="Times New Roman" w:hAnsi="Times New Roman"/>
                <w:bCs/>
                <w:sz w:val="24"/>
                <w:szCs w:val="24"/>
              </w:rPr>
              <w:t>š</w:t>
            </w:r>
            <w:r w:rsidRPr="00385835">
              <w:rPr>
                <w:rFonts w:ascii="Times New Roman" w:hAnsi="Times New Roman"/>
                <w:sz w:val="24"/>
                <w:szCs w:val="24"/>
              </w:rPr>
              <w:t>eimos ir asmenys, turintys teisę į socialinį būstą ir rinkos sąlygomis nuomojantys būstą iš fizinių ar juridinių asmenų,</w:t>
            </w:r>
            <w:r w:rsidRPr="00385835">
              <w:rPr>
                <w:rFonts w:ascii="Times New Roman" w:hAnsi="Times New Roman"/>
                <w:bCs/>
                <w:sz w:val="24"/>
                <w:szCs w:val="24"/>
              </w:rPr>
              <w:t xml:space="preserve"> įgyja teisę į nuomos ar išperkamosios nuomos mokesčių dalies kompensaciją)</w:t>
            </w:r>
            <w:r w:rsidRPr="00385835">
              <w:rPr>
                <w:rFonts w:ascii="Times New Roman" w:hAnsi="Times New Roman"/>
                <w:sz w:val="24"/>
                <w:szCs w:val="24"/>
              </w:rPr>
              <w:t>. 2013 m. atliktos apklausos (tyrimo) duomenys parodė, kad naująja paramos forma norėtų pasinaudoti apie 70 proc. šiuo metu laukiančių socialinio būsto nuomos asmenų (šeimų). Norint aprūpinti būstu likusius 30 proc. asmenų, kurie dėl socialinės padėties nesugebės rinkoje išsinuomoti būsto, planuojama plėsti savivaldybių socialinio būsto fondą, t.y. įsigyti, statyti, rekonstruoti bei kitaip pritaikyti esamus pastatus socialiniam būstui. Šiam tikslui įgyvendinti bus pasitelktos ERPF lėšos bei, pasinaudojant aukščiau paminėto įstatymo pataisomis, numatomos gauti privatizavimo lėšos už būstus, nuomojamus ne pagal socialinio būsto sąlygas. Parama socialiniam būstui bus derinama su ESF investicijomis pagal 8.3 ir 8.4 investicinius prioritetus, tokiu būdu kompleksiškai sprendžiant pažeidžiamų grupių ir šeimų problemas ir padedant joms integruotis į visuomenę ir darbo rinką.</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565"/>
        <w:gridCol w:w="2363"/>
        <w:gridCol w:w="1006"/>
        <w:gridCol w:w="1006"/>
        <w:gridCol w:w="826"/>
        <w:gridCol w:w="897"/>
        <w:gridCol w:w="850"/>
        <w:gridCol w:w="992"/>
        <w:gridCol w:w="1241"/>
      </w:tblGrid>
      <w:tr w:rsidR="00385835" w:rsidRPr="00385835" w:rsidTr="00385835">
        <w:tc>
          <w:tcPr>
            <w:tcW w:w="9746" w:type="dxa"/>
            <w:gridSpan w:val="9"/>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i/>
                <w:iCs/>
                <w:sz w:val="24"/>
                <w:szCs w:val="24"/>
                <w:lang w:eastAsia="lt-LT"/>
              </w:rPr>
            </w:pPr>
            <w:r w:rsidRPr="00385835">
              <w:rPr>
                <w:rFonts w:ascii="Times New Roman" w:eastAsia="AngsanaUPC" w:hAnsi="Times New Roman"/>
                <w:b/>
                <w:bCs/>
                <w:i/>
                <w:iCs/>
                <w:sz w:val="24"/>
                <w:szCs w:val="24"/>
                <w:lang w:eastAsia="lt-LT"/>
              </w:rPr>
              <w:t xml:space="preserve">ERPF </w:t>
            </w:r>
            <w:r w:rsidR="00B1109C">
              <w:rPr>
                <w:rFonts w:ascii="Times New Roman" w:eastAsia="AngsanaUPC" w:hAnsi="Times New Roman"/>
                <w:b/>
                <w:bCs/>
                <w:i/>
                <w:iCs/>
                <w:sz w:val="24"/>
                <w:szCs w:val="24"/>
                <w:lang w:eastAsia="lt-LT"/>
              </w:rPr>
              <w:t xml:space="preserve">specialieji </w:t>
            </w:r>
            <w:r w:rsidRPr="00385835">
              <w:rPr>
                <w:rFonts w:ascii="Times New Roman" w:eastAsia="AngsanaUPC" w:hAnsi="Times New Roman"/>
                <w:b/>
                <w:bCs/>
                <w:i/>
                <w:iCs/>
                <w:sz w:val="24"/>
                <w:szCs w:val="24"/>
                <w:lang w:eastAsia="lt-LT"/>
              </w:rPr>
              <w:t>programos rezultato rodikliai</w:t>
            </w:r>
          </w:p>
        </w:tc>
      </w:tr>
      <w:tr w:rsidR="00385835" w:rsidRPr="00385835" w:rsidTr="00385835">
        <w:tblPrEx>
          <w:shd w:val="clear" w:color="auto" w:fill="auto"/>
        </w:tblPrEx>
        <w:trPr>
          <w:cantSplit/>
          <w:trHeight w:val="737"/>
        </w:trPr>
        <w:tc>
          <w:tcPr>
            <w:tcW w:w="567"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Nr.</w:t>
            </w:r>
          </w:p>
        </w:tc>
        <w:tc>
          <w:tcPr>
            <w:tcW w:w="238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Rodiklio pavadinimas</w:t>
            </w:r>
          </w:p>
        </w:tc>
        <w:tc>
          <w:tcPr>
            <w:tcW w:w="986"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Matavimo vienetas</w:t>
            </w:r>
          </w:p>
        </w:tc>
        <w:tc>
          <w:tcPr>
            <w:tcW w:w="1006"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Regiono kategorija</w:t>
            </w:r>
          </w:p>
        </w:tc>
        <w:tc>
          <w:tcPr>
            <w:tcW w:w="826"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 reikšmė</w:t>
            </w:r>
          </w:p>
        </w:tc>
        <w:tc>
          <w:tcPr>
            <w:tcW w:w="897"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Pradinės reikšmės metai</w:t>
            </w:r>
          </w:p>
        </w:tc>
        <w:tc>
          <w:tcPr>
            <w:tcW w:w="850"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Siektina reikšmė (2023)</w:t>
            </w:r>
          </w:p>
        </w:tc>
        <w:tc>
          <w:tcPr>
            <w:tcW w:w="992"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Duomenų šaltinis</w:t>
            </w:r>
          </w:p>
        </w:tc>
        <w:tc>
          <w:tcPr>
            <w:tcW w:w="124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Atsiskaitymo dažnumas</w:t>
            </w:r>
          </w:p>
        </w:tc>
      </w:tr>
      <w:tr w:rsidR="00385835" w:rsidRPr="00385835" w:rsidTr="00385835">
        <w:tblPrEx>
          <w:shd w:val="clear" w:color="auto" w:fill="auto"/>
        </w:tblPrEx>
        <w:tc>
          <w:tcPr>
            <w:tcW w:w="56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w:t>
            </w:r>
          </w:p>
        </w:tc>
        <w:tc>
          <w:tcPr>
            <w:tcW w:w="2381" w:type="dxa"/>
            <w:shd w:val="clear" w:color="auto" w:fill="auto"/>
            <w:vAlign w:val="center"/>
          </w:tcPr>
          <w:p w:rsidR="00385835" w:rsidRPr="00385835" w:rsidRDefault="00385835" w:rsidP="00385835">
            <w:pPr>
              <w:widowControl w:val="0"/>
              <w:tabs>
                <w:tab w:val="left" w:pos="622"/>
              </w:tabs>
              <w:spacing w:after="0" w:line="240" w:lineRule="auto"/>
              <w:rPr>
                <w:rFonts w:ascii="Times New Roman" w:hAnsi="Times New Roman"/>
                <w:sz w:val="18"/>
                <w:szCs w:val="18"/>
              </w:rPr>
            </w:pPr>
            <w:r w:rsidRPr="00385835">
              <w:rPr>
                <w:rFonts w:ascii="Times New Roman" w:hAnsi="Times New Roman"/>
                <w:sz w:val="18"/>
                <w:szCs w:val="18"/>
              </w:rPr>
              <w:t xml:space="preserve">Asmenų (šeimų), kuriems išnuomotas savivaldybės socialinis būstas, dalis nuo visų socialinio būsto nuomos laukiančių asmenų (šeimų) </w:t>
            </w:r>
          </w:p>
        </w:tc>
        <w:tc>
          <w:tcPr>
            <w:tcW w:w="986"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18"/>
                <w:szCs w:val="18"/>
                <w:lang w:eastAsia="lt-LT"/>
              </w:rPr>
            </w:pPr>
            <w:r w:rsidRPr="00385835">
              <w:rPr>
                <w:rFonts w:ascii="Times New Roman" w:eastAsia="AngsanaUPC" w:hAnsi="Times New Roman"/>
                <w:bCs/>
                <w:sz w:val="18"/>
                <w:szCs w:val="18"/>
                <w:lang w:eastAsia="lt-LT"/>
              </w:rPr>
              <w:t>Proc.</w:t>
            </w:r>
          </w:p>
        </w:tc>
        <w:tc>
          <w:tcPr>
            <w:tcW w:w="1006"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18"/>
                <w:szCs w:val="18"/>
                <w:lang w:eastAsia="lt-LT"/>
              </w:rPr>
            </w:pPr>
            <w:r w:rsidRPr="00385835">
              <w:rPr>
                <w:rFonts w:ascii="Times New Roman" w:eastAsia="AngsanaUPC" w:hAnsi="Times New Roman"/>
                <w:bCs/>
                <w:sz w:val="18"/>
                <w:szCs w:val="18"/>
                <w:lang w:eastAsia="lt-LT"/>
              </w:rPr>
              <w:t>Mažiau išsivystęs</w:t>
            </w:r>
          </w:p>
        </w:tc>
        <w:tc>
          <w:tcPr>
            <w:tcW w:w="826"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3,6</w:t>
            </w:r>
          </w:p>
        </w:tc>
        <w:tc>
          <w:tcPr>
            <w:tcW w:w="89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2012</w:t>
            </w:r>
          </w:p>
        </w:tc>
        <w:tc>
          <w:tcPr>
            <w:tcW w:w="850"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14</w:t>
            </w:r>
          </w:p>
        </w:tc>
        <w:tc>
          <w:tcPr>
            <w:tcW w:w="992"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Socialinės apsaugos ir darbo ministerija</w:t>
            </w:r>
          </w:p>
        </w:tc>
        <w:tc>
          <w:tcPr>
            <w:tcW w:w="124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tcPr>
          <w:p w:rsidR="00385835" w:rsidRPr="00385835" w:rsidRDefault="00385835" w:rsidP="00385835">
            <w:pPr>
              <w:widowControl w:val="0"/>
              <w:tabs>
                <w:tab w:val="left" w:pos="622"/>
              </w:tabs>
              <w:spacing w:after="0" w:line="240" w:lineRule="auto"/>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lastRenderedPageBreak/>
              <w:t>8.1.3. KONKRETUS UŽDAVINYS</w:t>
            </w:r>
          </w:p>
        </w:tc>
        <w:tc>
          <w:tcPr>
            <w:tcW w:w="7336" w:type="dxa"/>
            <w:shd w:val="clear" w:color="auto" w:fill="EEECE1"/>
            <w:vAlign w:val="center"/>
          </w:tcPr>
          <w:p w:rsidR="00385835" w:rsidRPr="00385835" w:rsidRDefault="00385835" w:rsidP="00385835">
            <w:pPr>
              <w:spacing w:after="0" w:line="240" w:lineRule="auto"/>
              <w:jc w:val="both"/>
              <w:rPr>
                <w:rFonts w:ascii="Times New Roman" w:hAnsi="Times New Roman"/>
                <w:b/>
                <w:sz w:val="24"/>
                <w:szCs w:val="24"/>
              </w:rPr>
            </w:pPr>
            <w:r w:rsidRPr="00385835">
              <w:rPr>
                <w:rFonts w:ascii="Times New Roman" w:hAnsi="Times New Roman"/>
                <w:b/>
                <w:sz w:val="24"/>
                <w:szCs w:val="24"/>
              </w:rPr>
              <w:t>Pagerinti sveikatos priežiūros kokybę ir prieinamumą tikslinėms gyventojų grupėms bei sumažinti sveikatos netolygumus</w:t>
            </w:r>
          </w:p>
        </w:tc>
      </w:tr>
      <w:tr w:rsidR="00385835" w:rsidRPr="00385835" w:rsidTr="00385835">
        <w:tc>
          <w:tcPr>
            <w:tcW w:w="9746" w:type="dxa"/>
            <w:gridSpan w:val="2"/>
            <w:shd w:val="clear" w:color="auto" w:fill="auto"/>
          </w:tcPr>
          <w:p w:rsidR="00385835" w:rsidRPr="00385835" w:rsidRDefault="00385835" w:rsidP="00385835">
            <w:pPr>
              <w:spacing w:after="0" w:line="240" w:lineRule="auto"/>
              <w:ind w:firstLine="624"/>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 xml:space="preserve">Šalyje sveikatos priežiūros kokybę ir prieinamumą ribojančios kliūtys didesnę įtaką turi tam tikrų teritorijų (savivaldybių) gyventojams bei tam tikrų tikslinių grupių asmenims, t. y. lemia didesnį užleistų susirgimų ir priešlaikinių mirčių riziką, mažiau palankias jų sveikos gyvensenos formavimosi galimybes ir žemesnį sveikatos raštingumo lygį. </w:t>
            </w:r>
            <w:r w:rsidR="00686878">
              <w:rPr>
                <w:rFonts w:ascii="Times New Roman" w:eastAsia="AngsanaUPC" w:hAnsi="Times New Roman"/>
                <w:bCs/>
                <w:sz w:val="24"/>
                <w:szCs w:val="24"/>
                <w:lang w:eastAsia="lt-LT"/>
              </w:rPr>
              <w:t>Pavyzdžiui</w:t>
            </w:r>
            <w:r w:rsidRPr="00385835">
              <w:rPr>
                <w:rFonts w:ascii="Times New Roman" w:eastAsia="AngsanaUPC" w:hAnsi="Times New Roman"/>
                <w:bCs/>
                <w:sz w:val="24"/>
                <w:szCs w:val="24"/>
                <w:lang w:eastAsia="lt-LT"/>
              </w:rPr>
              <w:t>, Lietuvoje 23 savivaldybėse standartizuotas 0–64 m. amžiaus gyventojų mirtingumas dėl kraujotakos sistemos ligų vidutiniškai nuo 2007 iki 2012 m. viršijo šio rodiklio Lietuvos vidurkį 20 ir daugiau procentų. Taip pat 2012 m. duomenys rodo, kad miestų savivaldybių gyventojai pas gydytojus lankėsi dažniau (10,2 apsilankymai vienam gyventojui) nei rajonų savivaldybių gyventojai (6,2 apsilankymo vienam gyventojui). Todėl įgyvendinant šį uždavinį numatoma derinti kompleksinius veiksmus ir plėtoti infrastruktūrą, sudarant galimybes išskirtų tikslinių teritorijų gyventojams bei tikslinių grupių asmenims užtikrinti</w:t>
            </w:r>
            <w:r w:rsidR="00443EB4">
              <w:rPr>
                <w:rFonts w:ascii="Times New Roman" w:eastAsia="AngsanaUPC" w:hAnsi="Times New Roman"/>
                <w:bCs/>
                <w:sz w:val="24"/>
                <w:szCs w:val="24"/>
                <w:lang w:eastAsia="lt-LT"/>
              </w:rPr>
              <w:t>,</w:t>
            </w:r>
            <w:r w:rsidRPr="00385835">
              <w:rPr>
                <w:rFonts w:ascii="Times New Roman" w:eastAsia="AngsanaUPC" w:hAnsi="Times New Roman"/>
                <w:bCs/>
                <w:sz w:val="24"/>
                <w:szCs w:val="24"/>
                <w:lang w:eastAsia="lt-LT"/>
              </w:rPr>
              <w:t xml:space="preserve"> kuo tolygesnį kokybiškų viešųjų sveikatos ugdymo, ligų profilaktikos, ankstyvosios diagnostikos prevencinių ir specializuotų sveikatos priežiūros paslaugų prieinamumo lygį. Taip pat bus investuojama į sveikatos priežiūros ir savalaikės pagalbos efektyvaus organizavimo, teikimo bei valdymo modelių diegimą ir plėtojimą, remiant inovatyvius ir efektyvius sprendimus, technologijas tikslinių gyventojų grupių sveikatos raštingumui didinti, jiems konsultuoti, gydyti ir stebėti bei jų gyvenimo kokybei palaikyti.</w:t>
            </w:r>
          </w:p>
          <w:p w:rsidR="00385835" w:rsidRPr="00385835" w:rsidRDefault="00385835" w:rsidP="00385835">
            <w:pPr>
              <w:spacing w:after="0" w:line="240" w:lineRule="auto"/>
              <w:ind w:firstLine="624"/>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Tikslinėms gyventojų grupėms priskiriami: 1) šalies savivaldybėse, pasižyminčiose didžiausiais priešlaikinio mirtingumo dėl pagrindinių neinfekcinių ligų rodikliais, gyvenantys asmenys; 2) tam tikrų socialinės rizikos grupių asmenys, kuriems socialinės ir ekonominės priežastys (nedarbas, skurdas ir kt.) bei žalingi įpročiai (alkoholio vartojimas ir kt.) lemia sergamumą tam tikromis ligomis (tuberkulioze, priklausomybe nuo alkoholio) bei kuriems nepakankamai prieinama sveikatos priežiūra (neįgalieji, kt.); 3) vaikai (iki 18 metų), nes dėl egzistuojančių ekonominių, socialinių aplinkybių, tokių kaip nepalanki socialinė ir ekonominė šeimos padėtis, įsidarbinimo perspektyvos, jiems dažniau gresia socialinė atskirtis bei neigiamas šių veiksnių poveikis sveikatai; 4) vyresnio amžiaus (55 m. amžiaus ir vyresni) gyventojai, atsižvelgiant į siekį</w:t>
            </w:r>
            <w:r w:rsidR="00CA46F2">
              <w:rPr>
                <w:rFonts w:ascii="Times New Roman" w:eastAsia="AngsanaUPC" w:hAnsi="Times New Roman"/>
                <w:bCs/>
                <w:sz w:val="24"/>
                <w:szCs w:val="24"/>
                <w:lang w:eastAsia="lt-LT"/>
              </w:rPr>
              <w:t>,</w:t>
            </w:r>
            <w:r w:rsidRPr="00385835">
              <w:rPr>
                <w:rFonts w:ascii="Times New Roman" w:eastAsia="AngsanaUPC" w:hAnsi="Times New Roman"/>
                <w:bCs/>
                <w:sz w:val="24"/>
                <w:szCs w:val="24"/>
                <w:lang w:eastAsia="lt-LT"/>
              </w:rPr>
              <w:t xml:space="preserve"> kiek galima ilgiau išlaikyti gerą senstančių vyresnio amžiaus žmonių sveikatą, pagerinti jų gyvenimo kokybę bei sudaryti galimybes išlikti aktyviems darbe, bendruomenėje, gyventi savarankiškiems.</w:t>
            </w:r>
          </w:p>
          <w:p w:rsidR="00385835" w:rsidRPr="00385835" w:rsidRDefault="00385835" w:rsidP="00385835">
            <w:pPr>
              <w:widowControl w:val="0"/>
              <w:tabs>
                <w:tab w:val="left" w:pos="622"/>
              </w:tabs>
              <w:spacing w:after="0" w:line="240" w:lineRule="auto"/>
              <w:ind w:firstLine="624"/>
              <w:jc w:val="both"/>
            </w:pPr>
            <w:r w:rsidRPr="00385835">
              <w:rPr>
                <w:rFonts w:ascii="Times New Roman" w:eastAsia="AngsanaUPC" w:hAnsi="Times New Roman"/>
                <w:bCs/>
                <w:sz w:val="24"/>
                <w:szCs w:val="24"/>
                <w:lang w:eastAsia="lt-LT"/>
              </w:rPr>
              <w:t>Įgyvendinamos pagal šį uždavinį veiklos 2014–2020 m. programavimo laikotarpiu padės sumažinti teritorinius visuomenės ir asmens sveikatos priežiūros prieinamumo bei sveikatos lygio skirtumus, taip pat išvystyti socialinės rizikos grupių asmenims aktualias paslaugas, sudarys prielaidas šių gyventojų grupių ilgesniam ir sveikesniam gyvenimui, mažesnei priešlaikinių mirčių bei socialinės atskirties ir skurdo rizikai.</w:t>
            </w:r>
            <w:r w:rsidRPr="00385835">
              <w:t xml:space="preserve"> </w:t>
            </w:r>
          </w:p>
          <w:p w:rsidR="00385835" w:rsidRPr="00385835" w:rsidRDefault="00385835" w:rsidP="00385835">
            <w:pPr>
              <w:widowControl w:val="0"/>
              <w:tabs>
                <w:tab w:val="left" w:pos="622"/>
              </w:tabs>
              <w:spacing w:after="0" w:line="240" w:lineRule="auto"/>
              <w:ind w:firstLine="624"/>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Įgyvendinant šį uždavinį</w:t>
            </w:r>
            <w:r w:rsidR="001B6AD5">
              <w:rPr>
                <w:rFonts w:ascii="Times New Roman" w:eastAsia="AngsanaUPC" w:hAnsi="Times New Roman"/>
                <w:bCs/>
                <w:sz w:val="24"/>
                <w:szCs w:val="24"/>
                <w:lang w:eastAsia="lt-LT"/>
              </w:rPr>
              <w:t>,</w:t>
            </w:r>
            <w:r w:rsidRPr="00385835">
              <w:rPr>
                <w:rFonts w:ascii="Times New Roman" w:eastAsia="AngsanaUPC" w:hAnsi="Times New Roman"/>
                <w:bCs/>
                <w:sz w:val="24"/>
                <w:szCs w:val="24"/>
                <w:lang w:eastAsia="lt-LT"/>
              </w:rPr>
              <w:t xml:space="preserve"> taip pat bus prisidedama prie veiklų, įgyvendinamų taikant ITI per integruotas teritorijų vystymo programas, įvertinus šiose teritorijose egzistuojančius sveikatos ir sveikatos priežiūros kokybės ir prieinamumo netolygumų rodiklius.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2134"/>
        <w:gridCol w:w="1006"/>
        <w:gridCol w:w="1006"/>
        <w:gridCol w:w="850"/>
        <w:gridCol w:w="958"/>
        <w:gridCol w:w="847"/>
        <w:gridCol w:w="1126"/>
        <w:gridCol w:w="1237"/>
        <w:gridCol w:w="47"/>
      </w:tblGrid>
      <w:tr w:rsidR="00385835" w:rsidRPr="00385835" w:rsidTr="000D0444">
        <w:trPr>
          <w:tblHeader/>
        </w:trPr>
        <w:tc>
          <w:tcPr>
            <w:tcW w:w="9746" w:type="dxa"/>
            <w:gridSpan w:val="10"/>
            <w:tcBorders>
              <w:top w:val="single" w:sz="4" w:space="0" w:color="auto"/>
              <w:left w:val="single" w:sz="4" w:space="0" w:color="auto"/>
              <w:bottom w:val="single" w:sz="4" w:space="0" w:color="auto"/>
              <w:right w:val="single" w:sz="4" w:space="0" w:color="auto"/>
            </w:tcBorders>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i/>
                <w:iCs/>
                <w:sz w:val="24"/>
                <w:szCs w:val="24"/>
                <w:lang w:eastAsia="lt-LT"/>
              </w:rPr>
            </w:pPr>
            <w:r w:rsidRPr="00385835">
              <w:rPr>
                <w:rFonts w:ascii="Times New Roman" w:eastAsia="AngsanaUPC" w:hAnsi="Times New Roman"/>
                <w:b/>
                <w:bCs/>
                <w:i/>
                <w:iCs/>
                <w:sz w:val="24"/>
                <w:szCs w:val="24"/>
                <w:lang w:eastAsia="lt-LT"/>
              </w:rPr>
              <w:t xml:space="preserve">ERPF </w:t>
            </w:r>
            <w:r w:rsidR="00B1109C">
              <w:rPr>
                <w:rFonts w:ascii="Times New Roman" w:eastAsia="AngsanaUPC" w:hAnsi="Times New Roman"/>
                <w:b/>
                <w:bCs/>
                <w:i/>
                <w:iCs/>
                <w:sz w:val="24"/>
                <w:szCs w:val="24"/>
                <w:lang w:eastAsia="lt-LT"/>
              </w:rPr>
              <w:t xml:space="preserve">specialieji </w:t>
            </w:r>
            <w:r w:rsidRPr="00385835">
              <w:rPr>
                <w:rFonts w:ascii="Times New Roman" w:eastAsia="AngsanaUPC" w:hAnsi="Times New Roman"/>
                <w:b/>
                <w:bCs/>
                <w:i/>
                <w:iCs/>
                <w:sz w:val="24"/>
                <w:szCs w:val="24"/>
                <w:lang w:eastAsia="lt-LT"/>
              </w:rPr>
              <w:t>programos rezultato rodikliai</w:t>
            </w:r>
          </w:p>
        </w:tc>
      </w:tr>
      <w:tr w:rsidR="00385835" w:rsidRPr="00385835" w:rsidTr="000D0444">
        <w:trPr>
          <w:gridAfter w:val="1"/>
          <w:wAfter w:w="48" w:type="dxa"/>
          <w:cantSplit/>
          <w:trHeight w:val="737"/>
          <w:tblHeader/>
        </w:trPr>
        <w:tc>
          <w:tcPr>
            <w:tcW w:w="537"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Nr.</w:t>
            </w:r>
          </w:p>
        </w:tc>
        <w:tc>
          <w:tcPr>
            <w:tcW w:w="2149"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Rodiklio pavadinimas</w:t>
            </w:r>
          </w:p>
        </w:tc>
        <w:tc>
          <w:tcPr>
            <w:tcW w:w="986"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Matavimo vienetas</w:t>
            </w:r>
          </w:p>
        </w:tc>
        <w:tc>
          <w:tcPr>
            <w:tcW w:w="1006"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Regiono kategorija</w:t>
            </w:r>
          </w:p>
        </w:tc>
        <w:tc>
          <w:tcPr>
            <w:tcW w:w="85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 reikšmė</w:t>
            </w:r>
          </w:p>
        </w:tc>
        <w:tc>
          <w:tcPr>
            <w:tcW w:w="959"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Pradinės reikšmės metai</w:t>
            </w:r>
          </w:p>
        </w:tc>
        <w:tc>
          <w:tcPr>
            <w:tcW w:w="847"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Siektina reikšmė (2023)</w:t>
            </w:r>
          </w:p>
        </w:tc>
        <w:tc>
          <w:tcPr>
            <w:tcW w:w="1126"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Duomenų šaltinis</w:t>
            </w:r>
          </w:p>
        </w:tc>
        <w:tc>
          <w:tcPr>
            <w:tcW w:w="1237"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Atsiskaitymo dažnumas</w:t>
            </w:r>
          </w:p>
        </w:tc>
      </w:tr>
      <w:tr w:rsidR="00385835" w:rsidRPr="00385835" w:rsidTr="00385835">
        <w:trPr>
          <w:gridAfter w:val="1"/>
          <w:wAfter w:w="48" w:type="dxa"/>
        </w:trPr>
        <w:tc>
          <w:tcPr>
            <w:tcW w:w="53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w:t>
            </w:r>
          </w:p>
        </w:tc>
        <w:tc>
          <w:tcPr>
            <w:tcW w:w="2149" w:type="dxa"/>
            <w:shd w:val="clear" w:color="auto" w:fill="auto"/>
            <w:vAlign w:val="center"/>
          </w:tcPr>
          <w:p w:rsidR="00385835" w:rsidRPr="00385835" w:rsidRDefault="001B6AD5" w:rsidP="00385835">
            <w:pPr>
              <w:widowControl w:val="0"/>
              <w:tabs>
                <w:tab w:val="left" w:pos="622"/>
              </w:tabs>
              <w:spacing w:after="0" w:line="240" w:lineRule="auto"/>
              <w:rPr>
                <w:rFonts w:ascii="Times New Roman" w:eastAsia="AngsanaUPC" w:hAnsi="Times New Roman"/>
                <w:bCs/>
                <w:sz w:val="18"/>
                <w:szCs w:val="18"/>
                <w:lang w:eastAsia="lt-LT"/>
              </w:rPr>
            </w:pPr>
            <w:r>
              <w:rPr>
                <w:rFonts w:ascii="Times New Roman" w:eastAsia="AngsanaUPC" w:hAnsi="Times New Roman"/>
                <w:bCs/>
                <w:sz w:val="18"/>
                <w:szCs w:val="18"/>
                <w:lang w:eastAsia="lt-LT"/>
              </w:rPr>
              <w:t>Standartizuoto 0–</w:t>
            </w:r>
            <w:r w:rsidR="00385835" w:rsidRPr="00385835">
              <w:rPr>
                <w:rFonts w:ascii="Times New Roman" w:eastAsia="AngsanaUPC" w:hAnsi="Times New Roman"/>
                <w:bCs/>
                <w:sz w:val="18"/>
                <w:szCs w:val="18"/>
                <w:lang w:eastAsia="lt-LT"/>
              </w:rPr>
              <w:t>64 m. amžiaus gyventojų mirtingumo sumažėjimas tikslinėse teritorijose</w:t>
            </w:r>
            <w:r w:rsidR="00385835" w:rsidRPr="00385835">
              <w:rPr>
                <w:rFonts w:ascii="Times New Roman" w:eastAsia="AngsanaUPC" w:hAnsi="Times New Roman"/>
                <w:bCs/>
                <w:sz w:val="18"/>
                <w:szCs w:val="18"/>
                <w:vertAlign w:val="superscript"/>
                <w:lang w:eastAsia="lt-LT"/>
              </w:rPr>
              <w:footnoteReference w:id="3"/>
            </w:r>
            <w:r w:rsidR="00385835" w:rsidRPr="00385835">
              <w:rPr>
                <w:rFonts w:ascii="Times New Roman" w:eastAsia="AngsanaUPC" w:hAnsi="Times New Roman"/>
                <w:bCs/>
                <w:sz w:val="18"/>
                <w:szCs w:val="18"/>
                <w:lang w:eastAsia="lt-LT"/>
              </w:rPr>
              <w:t xml:space="preserve"> nuo </w:t>
            </w:r>
            <w:r w:rsidR="00385835" w:rsidRPr="00385835">
              <w:rPr>
                <w:rFonts w:ascii="Times New Roman" w:eastAsia="AngsanaUPC" w:hAnsi="Times New Roman"/>
                <w:bCs/>
                <w:sz w:val="18"/>
                <w:szCs w:val="18"/>
                <w:lang w:eastAsia="lt-LT"/>
              </w:rPr>
              <w:lastRenderedPageBreak/>
              <w:t>kraujotakos sistemos ligų</w:t>
            </w:r>
          </w:p>
        </w:tc>
        <w:tc>
          <w:tcPr>
            <w:tcW w:w="986" w:type="dxa"/>
            <w:shd w:val="clear" w:color="auto" w:fill="auto"/>
            <w:vAlign w:val="center"/>
          </w:tcPr>
          <w:p w:rsidR="00385835" w:rsidRPr="00385835" w:rsidRDefault="00385835" w:rsidP="00385835">
            <w:pPr>
              <w:spacing w:after="0" w:line="240" w:lineRule="auto"/>
              <w:jc w:val="center"/>
              <w:rPr>
                <w:rFonts w:ascii="Times New Roman" w:hAnsi="Times New Roman"/>
                <w:sz w:val="18"/>
                <w:szCs w:val="18"/>
              </w:rPr>
            </w:pPr>
            <w:r w:rsidRPr="00385835">
              <w:rPr>
                <w:rFonts w:ascii="Times New Roman" w:hAnsi="Times New Roman"/>
                <w:sz w:val="18"/>
                <w:szCs w:val="18"/>
              </w:rPr>
              <w:lastRenderedPageBreak/>
              <w:t>Atvejų skaičius 100000 gyv.</w:t>
            </w:r>
          </w:p>
        </w:tc>
        <w:tc>
          <w:tcPr>
            <w:tcW w:w="1006" w:type="dxa"/>
            <w:shd w:val="clear" w:color="auto" w:fill="auto"/>
            <w:vAlign w:val="center"/>
          </w:tcPr>
          <w:p w:rsidR="00385835" w:rsidRPr="00385835" w:rsidRDefault="00385835" w:rsidP="00385835">
            <w:pPr>
              <w:spacing w:after="0" w:line="240" w:lineRule="auto"/>
              <w:jc w:val="center"/>
              <w:rPr>
                <w:rFonts w:ascii="Times New Roman" w:hAnsi="Times New Roman"/>
                <w:sz w:val="18"/>
                <w:szCs w:val="18"/>
              </w:rPr>
            </w:pPr>
            <w:r w:rsidRPr="00385835">
              <w:rPr>
                <w:rFonts w:ascii="Times New Roman" w:hAnsi="Times New Roman"/>
                <w:sz w:val="18"/>
                <w:szCs w:val="18"/>
              </w:rPr>
              <w:t>Mažiau išsivystęs</w:t>
            </w:r>
          </w:p>
        </w:tc>
        <w:tc>
          <w:tcPr>
            <w:tcW w:w="851" w:type="dxa"/>
            <w:shd w:val="clear" w:color="auto" w:fill="auto"/>
            <w:vAlign w:val="center"/>
          </w:tcPr>
          <w:p w:rsidR="00385835" w:rsidRPr="00385835" w:rsidRDefault="00385835" w:rsidP="00385835">
            <w:pPr>
              <w:spacing w:after="0" w:line="240" w:lineRule="auto"/>
              <w:jc w:val="center"/>
              <w:rPr>
                <w:rFonts w:ascii="Times New Roman" w:hAnsi="Times New Roman"/>
                <w:sz w:val="18"/>
                <w:szCs w:val="18"/>
              </w:rPr>
            </w:pPr>
            <w:r w:rsidRPr="00385835">
              <w:rPr>
                <w:rFonts w:ascii="Times New Roman" w:hAnsi="Times New Roman"/>
                <w:sz w:val="18"/>
                <w:szCs w:val="18"/>
              </w:rPr>
              <w:t>158,91</w:t>
            </w:r>
          </w:p>
        </w:tc>
        <w:tc>
          <w:tcPr>
            <w:tcW w:w="959" w:type="dxa"/>
            <w:shd w:val="clear" w:color="auto" w:fill="auto"/>
            <w:vAlign w:val="center"/>
          </w:tcPr>
          <w:p w:rsidR="00385835" w:rsidRPr="00385835" w:rsidRDefault="00385835" w:rsidP="00385835">
            <w:pPr>
              <w:spacing w:after="0" w:line="240" w:lineRule="auto"/>
              <w:jc w:val="center"/>
              <w:rPr>
                <w:rFonts w:ascii="Times New Roman" w:hAnsi="Times New Roman"/>
                <w:sz w:val="18"/>
                <w:szCs w:val="18"/>
              </w:rPr>
            </w:pPr>
            <w:r w:rsidRPr="00385835">
              <w:rPr>
                <w:rFonts w:ascii="Times New Roman" w:hAnsi="Times New Roman"/>
                <w:sz w:val="18"/>
                <w:szCs w:val="18"/>
              </w:rPr>
              <w:t>2012</w:t>
            </w:r>
          </w:p>
        </w:tc>
        <w:tc>
          <w:tcPr>
            <w:tcW w:w="847" w:type="dxa"/>
            <w:shd w:val="clear" w:color="auto" w:fill="auto"/>
            <w:vAlign w:val="center"/>
          </w:tcPr>
          <w:p w:rsidR="00385835" w:rsidRPr="00385835" w:rsidRDefault="00385835" w:rsidP="00385835">
            <w:pPr>
              <w:spacing w:after="0" w:line="240" w:lineRule="auto"/>
              <w:jc w:val="center"/>
              <w:rPr>
                <w:rFonts w:ascii="Times New Roman" w:hAnsi="Times New Roman"/>
                <w:sz w:val="18"/>
                <w:szCs w:val="18"/>
              </w:rPr>
            </w:pPr>
            <w:r w:rsidRPr="00385835">
              <w:rPr>
                <w:rFonts w:ascii="Times New Roman" w:hAnsi="Times New Roman"/>
                <w:sz w:val="18"/>
                <w:szCs w:val="18"/>
              </w:rPr>
              <w:t>105</w:t>
            </w:r>
          </w:p>
        </w:tc>
        <w:tc>
          <w:tcPr>
            <w:tcW w:w="1126" w:type="dxa"/>
            <w:shd w:val="clear" w:color="auto" w:fill="auto"/>
            <w:vAlign w:val="center"/>
          </w:tcPr>
          <w:p w:rsidR="00385835" w:rsidRPr="00385835" w:rsidRDefault="00385835" w:rsidP="00385835">
            <w:pPr>
              <w:spacing w:after="0" w:line="240" w:lineRule="auto"/>
              <w:jc w:val="center"/>
              <w:rPr>
                <w:rFonts w:ascii="Times New Roman" w:hAnsi="Times New Roman"/>
                <w:sz w:val="18"/>
                <w:szCs w:val="18"/>
              </w:rPr>
            </w:pPr>
            <w:r w:rsidRPr="00385835">
              <w:rPr>
                <w:rFonts w:ascii="Times New Roman" w:hAnsi="Times New Roman"/>
                <w:sz w:val="18"/>
                <w:szCs w:val="18"/>
              </w:rPr>
              <w:t xml:space="preserve">Higienos instituto Sveikatos informacijos </w:t>
            </w:r>
            <w:r w:rsidRPr="00385835">
              <w:rPr>
                <w:rFonts w:ascii="Times New Roman" w:hAnsi="Times New Roman"/>
                <w:sz w:val="18"/>
                <w:szCs w:val="18"/>
              </w:rPr>
              <w:lastRenderedPageBreak/>
              <w:t>centras</w:t>
            </w:r>
          </w:p>
        </w:tc>
        <w:tc>
          <w:tcPr>
            <w:tcW w:w="1237" w:type="dxa"/>
            <w:shd w:val="clear" w:color="auto" w:fill="auto"/>
            <w:vAlign w:val="center"/>
          </w:tcPr>
          <w:p w:rsidR="00385835" w:rsidRPr="00385835" w:rsidRDefault="00385835" w:rsidP="00385835">
            <w:pPr>
              <w:spacing w:after="0" w:line="240" w:lineRule="auto"/>
              <w:jc w:val="center"/>
              <w:rPr>
                <w:rFonts w:ascii="Times New Roman" w:hAnsi="Times New Roman"/>
                <w:sz w:val="18"/>
                <w:szCs w:val="18"/>
              </w:rPr>
            </w:pPr>
            <w:r w:rsidRPr="00385835">
              <w:rPr>
                <w:rFonts w:ascii="Times New Roman" w:hAnsi="Times New Roman"/>
                <w:sz w:val="18"/>
                <w:szCs w:val="18"/>
              </w:rPr>
              <w:lastRenderedPageBreak/>
              <w:t>Kartą per metus</w:t>
            </w:r>
          </w:p>
        </w:tc>
      </w:tr>
      <w:tr w:rsidR="00385835" w:rsidRPr="00385835" w:rsidTr="00385835">
        <w:trPr>
          <w:gridAfter w:val="1"/>
          <w:wAfter w:w="48" w:type="dxa"/>
        </w:trPr>
        <w:tc>
          <w:tcPr>
            <w:tcW w:w="53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lastRenderedPageBreak/>
              <w:t>2.</w:t>
            </w:r>
          </w:p>
        </w:tc>
        <w:tc>
          <w:tcPr>
            <w:tcW w:w="2149" w:type="dxa"/>
            <w:shd w:val="clear" w:color="auto" w:fill="auto"/>
            <w:vAlign w:val="center"/>
          </w:tcPr>
          <w:p w:rsidR="00385835" w:rsidRPr="00385835" w:rsidDel="003B5BBA" w:rsidRDefault="00385835" w:rsidP="00385835">
            <w:pPr>
              <w:widowControl w:val="0"/>
              <w:tabs>
                <w:tab w:val="left" w:pos="622"/>
              </w:tabs>
              <w:spacing w:after="0" w:line="240" w:lineRule="auto"/>
              <w:rPr>
                <w:rFonts w:ascii="Times New Roman" w:eastAsia="AngsanaUPC" w:hAnsi="Times New Roman"/>
                <w:bCs/>
                <w:sz w:val="18"/>
                <w:szCs w:val="18"/>
                <w:lang w:eastAsia="lt-LT"/>
              </w:rPr>
            </w:pPr>
            <w:r w:rsidRPr="00385835">
              <w:rPr>
                <w:rFonts w:ascii="Times New Roman" w:eastAsia="AngsanaUPC" w:hAnsi="Times New Roman"/>
                <w:bCs/>
                <w:sz w:val="18"/>
                <w:szCs w:val="18"/>
                <w:lang w:eastAsia="lt-LT"/>
              </w:rPr>
              <w:t>Standartizuoto 0</w:t>
            </w:r>
            <w:r w:rsidR="001B6AD5">
              <w:rPr>
                <w:rFonts w:ascii="Times New Roman" w:eastAsia="AngsanaUPC" w:hAnsi="Times New Roman"/>
                <w:bCs/>
                <w:sz w:val="18"/>
                <w:szCs w:val="18"/>
                <w:lang w:eastAsia="lt-LT"/>
              </w:rPr>
              <w:t>–</w:t>
            </w:r>
            <w:r w:rsidRPr="00385835">
              <w:rPr>
                <w:rFonts w:ascii="Times New Roman" w:eastAsia="AngsanaUPC" w:hAnsi="Times New Roman"/>
                <w:bCs/>
                <w:sz w:val="18"/>
                <w:szCs w:val="18"/>
                <w:lang w:eastAsia="lt-LT"/>
              </w:rPr>
              <w:t>64 m. amžiaus gyventojų mirtingumo sumažėjimas tikslinėse teritorijose nuo cerebrovaskulinių ligų</w:t>
            </w:r>
          </w:p>
        </w:tc>
        <w:tc>
          <w:tcPr>
            <w:tcW w:w="986" w:type="dxa"/>
            <w:shd w:val="clear" w:color="auto" w:fill="auto"/>
            <w:vAlign w:val="center"/>
          </w:tcPr>
          <w:p w:rsidR="00385835" w:rsidRPr="00385835" w:rsidRDefault="00385835" w:rsidP="00385835">
            <w:pPr>
              <w:spacing w:after="0" w:line="240" w:lineRule="auto"/>
              <w:jc w:val="center"/>
              <w:rPr>
                <w:rFonts w:ascii="Times New Roman" w:hAnsi="Times New Roman"/>
                <w:sz w:val="18"/>
                <w:szCs w:val="18"/>
              </w:rPr>
            </w:pPr>
            <w:r w:rsidRPr="00385835">
              <w:rPr>
                <w:rFonts w:ascii="Times New Roman" w:hAnsi="Times New Roman"/>
                <w:sz w:val="18"/>
                <w:szCs w:val="18"/>
              </w:rPr>
              <w:t>Atvejų skaičius 100000 gyv.</w:t>
            </w:r>
          </w:p>
        </w:tc>
        <w:tc>
          <w:tcPr>
            <w:tcW w:w="1006" w:type="dxa"/>
            <w:shd w:val="clear" w:color="auto" w:fill="auto"/>
            <w:vAlign w:val="center"/>
          </w:tcPr>
          <w:p w:rsidR="00385835" w:rsidRPr="00385835" w:rsidRDefault="00385835" w:rsidP="00385835">
            <w:pPr>
              <w:spacing w:after="0" w:line="240" w:lineRule="auto"/>
              <w:jc w:val="center"/>
              <w:rPr>
                <w:rFonts w:ascii="Times New Roman" w:hAnsi="Times New Roman"/>
                <w:sz w:val="18"/>
                <w:szCs w:val="18"/>
              </w:rPr>
            </w:pPr>
            <w:r w:rsidRPr="00385835">
              <w:rPr>
                <w:rFonts w:ascii="Times New Roman" w:hAnsi="Times New Roman"/>
                <w:sz w:val="18"/>
                <w:szCs w:val="18"/>
              </w:rPr>
              <w:t>Mažiau išsivystęs</w:t>
            </w:r>
          </w:p>
        </w:tc>
        <w:tc>
          <w:tcPr>
            <w:tcW w:w="851" w:type="dxa"/>
            <w:shd w:val="clear" w:color="auto" w:fill="auto"/>
            <w:vAlign w:val="center"/>
          </w:tcPr>
          <w:p w:rsidR="00385835" w:rsidRPr="00385835" w:rsidRDefault="00385835" w:rsidP="00385835">
            <w:pPr>
              <w:spacing w:after="0" w:line="240" w:lineRule="auto"/>
              <w:jc w:val="center"/>
              <w:rPr>
                <w:rFonts w:ascii="Times New Roman" w:hAnsi="Times New Roman"/>
                <w:sz w:val="18"/>
                <w:szCs w:val="18"/>
              </w:rPr>
            </w:pPr>
            <w:r w:rsidRPr="00385835">
              <w:rPr>
                <w:rFonts w:ascii="Times New Roman" w:hAnsi="Times New Roman"/>
                <w:sz w:val="18"/>
                <w:szCs w:val="18"/>
              </w:rPr>
              <w:t>30,03</w:t>
            </w:r>
          </w:p>
        </w:tc>
        <w:tc>
          <w:tcPr>
            <w:tcW w:w="959" w:type="dxa"/>
            <w:shd w:val="clear" w:color="auto" w:fill="auto"/>
            <w:vAlign w:val="center"/>
          </w:tcPr>
          <w:p w:rsidR="00385835" w:rsidRPr="00385835" w:rsidRDefault="00385835" w:rsidP="00385835">
            <w:pPr>
              <w:spacing w:after="0" w:line="240" w:lineRule="auto"/>
              <w:jc w:val="center"/>
              <w:rPr>
                <w:rFonts w:ascii="Times New Roman" w:hAnsi="Times New Roman"/>
                <w:sz w:val="18"/>
                <w:szCs w:val="18"/>
              </w:rPr>
            </w:pPr>
            <w:r w:rsidRPr="00385835">
              <w:rPr>
                <w:rFonts w:ascii="Times New Roman" w:hAnsi="Times New Roman"/>
                <w:sz w:val="18"/>
                <w:szCs w:val="18"/>
              </w:rPr>
              <w:t>2012</w:t>
            </w:r>
          </w:p>
        </w:tc>
        <w:tc>
          <w:tcPr>
            <w:tcW w:w="847" w:type="dxa"/>
            <w:shd w:val="clear" w:color="auto" w:fill="auto"/>
            <w:vAlign w:val="center"/>
          </w:tcPr>
          <w:p w:rsidR="00385835" w:rsidRPr="00385835" w:rsidRDefault="00385835" w:rsidP="00385835">
            <w:pPr>
              <w:spacing w:after="0" w:line="240" w:lineRule="auto"/>
              <w:jc w:val="center"/>
              <w:rPr>
                <w:rFonts w:ascii="Times New Roman" w:hAnsi="Times New Roman"/>
                <w:sz w:val="18"/>
                <w:szCs w:val="18"/>
              </w:rPr>
            </w:pPr>
            <w:r w:rsidRPr="00385835">
              <w:rPr>
                <w:rFonts w:ascii="Times New Roman" w:hAnsi="Times New Roman"/>
                <w:sz w:val="18"/>
                <w:szCs w:val="18"/>
              </w:rPr>
              <w:t>24</w:t>
            </w:r>
          </w:p>
        </w:tc>
        <w:tc>
          <w:tcPr>
            <w:tcW w:w="1126" w:type="dxa"/>
            <w:shd w:val="clear" w:color="auto" w:fill="auto"/>
            <w:vAlign w:val="center"/>
          </w:tcPr>
          <w:p w:rsidR="00385835" w:rsidRPr="00385835" w:rsidRDefault="00385835" w:rsidP="00385835">
            <w:pPr>
              <w:spacing w:after="0" w:line="240" w:lineRule="auto"/>
              <w:jc w:val="center"/>
              <w:rPr>
                <w:rFonts w:ascii="Times New Roman" w:hAnsi="Times New Roman"/>
                <w:sz w:val="18"/>
                <w:szCs w:val="18"/>
              </w:rPr>
            </w:pPr>
            <w:r w:rsidRPr="00385835">
              <w:rPr>
                <w:rFonts w:ascii="Times New Roman" w:hAnsi="Times New Roman"/>
                <w:sz w:val="18"/>
                <w:szCs w:val="18"/>
              </w:rPr>
              <w:t>Higienos instituto Sveikatos informacijos centras</w:t>
            </w:r>
          </w:p>
        </w:tc>
        <w:tc>
          <w:tcPr>
            <w:tcW w:w="1237" w:type="dxa"/>
            <w:shd w:val="clear" w:color="auto" w:fill="auto"/>
            <w:vAlign w:val="center"/>
          </w:tcPr>
          <w:p w:rsidR="00385835" w:rsidRPr="00385835" w:rsidRDefault="00385835" w:rsidP="00385835">
            <w:pPr>
              <w:spacing w:after="0" w:line="240" w:lineRule="auto"/>
              <w:jc w:val="center"/>
              <w:rPr>
                <w:rFonts w:ascii="Times New Roman" w:hAnsi="Times New Roman"/>
                <w:sz w:val="18"/>
                <w:szCs w:val="18"/>
              </w:rPr>
            </w:pPr>
            <w:r w:rsidRPr="00385835">
              <w:rPr>
                <w:rFonts w:ascii="Times New Roman" w:hAnsi="Times New Roman"/>
                <w:sz w:val="18"/>
                <w:szCs w:val="18"/>
              </w:rPr>
              <w:t>Kartą per metus</w:t>
            </w:r>
          </w:p>
        </w:tc>
      </w:tr>
      <w:tr w:rsidR="00385835" w:rsidRPr="00385835" w:rsidTr="00385835">
        <w:trPr>
          <w:gridAfter w:val="1"/>
          <w:wAfter w:w="48" w:type="dxa"/>
        </w:trPr>
        <w:tc>
          <w:tcPr>
            <w:tcW w:w="53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3.</w:t>
            </w:r>
          </w:p>
        </w:tc>
        <w:tc>
          <w:tcPr>
            <w:tcW w:w="2149" w:type="dxa"/>
            <w:shd w:val="clear" w:color="auto" w:fill="auto"/>
          </w:tcPr>
          <w:p w:rsidR="00385835" w:rsidRPr="00385835" w:rsidRDefault="00385835" w:rsidP="00385835">
            <w:pPr>
              <w:spacing w:after="0" w:line="240" w:lineRule="auto"/>
              <w:rPr>
                <w:rFonts w:ascii="Times New Roman" w:hAnsi="Times New Roman"/>
                <w:sz w:val="18"/>
                <w:szCs w:val="18"/>
              </w:rPr>
            </w:pPr>
            <w:r w:rsidRPr="00385835">
              <w:rPr>
                <w:rFonts w:ascii="Times New Roman" w:hAnsi="Times New Roman"/>
                <w:sz w:val="18"/>
                <w:szCs w:val="18"/>
              </w:rPr>
              <w:t>Standartizuoto 0</w:t>
            </w:r>
            <w:r w:rsidR="001B6AD5">
              <w:rPr>
                <w:rFonts w:ascii="Times New Roman" w:eastAsia="AngsanaUPC" w:hAnsi="Times New Roman"/>
                <w:bCs/>
                <w:sz w:val="18"/>
                <w:szCs w:val="18"/>
                <w:lang w:eastAsia="lt-LT"/>
              </w:rPr>
              <w:t>–</w:t>
            </w:r>
            <w:r w:rsidRPr="00385835">
              <w:rPr>
                <w:rFonts w:ascii="Times New Roman" w:hAnsi="Times New Roman"/>
                <w:sz w:val="18"/>
                <w:szCs w:val="18"/>
              </w:rPr>
              <w:t>64 m. amžiaus gyventojų mirtingumo sumažėjimas tikslinėse teritorijose nuo piktybinių navikų</w:t>
            </w:r>
          </w:p>
        </w:tc>
        <w:tc>
          <w:tcPr>
            <w:tcW w:w="986" w:type="dxa"/>
            <w:shd w:val="clear" w:color="auto" w:fill="auto"/>
            <w:vAlign w:val="center"/>
          </w:tcPr>
          <w:p w:rsidR="00385835" w:rsidRPr="00385835" w:rsidRDefault="00385835" w:rsidP="00385835">
            <w:pPr>
              <w:spacing w:after="0" w:line="240" w:lineRule="auto"/>
              <w:jc w:val="center"/>
              <w:rPr>
                <w:rFonts w:ascii="Times New Roman" w:hAnsi="Times New Roman"/>
                <w:sz w:val="18"/>
                <w:szCs w:val="18"/>
              </w:rPr>
            </w:pPr>
            <w:r w:rsidRPr="00385835">
              <w:rPr>
                <w:rFonts w:ascii="Times New Roman" w:hAnsi="Times New Roman"/>
                <w:sz w:val="18"/>
                <w:szCs w:val="18"/>
              </w:rPr>
              <w:t>Atvejų skaičius 100000 gyv.</w:t>
            </w:r>
          </w:p>
        </w:tc>
        <w:tc>
          <w:tcPr>
            <w:tcW w:w="1006" w:type="dxa"/>
            <w:shd w:val="clear" w:color="auto" w:fill="auto"/>
            <w:vAlign w:val="center"/>
          </w:tcPr>
          <w:p w:rsidR="00385835" w:rsidRPr="00385835" w:rsidRDefault="00385835" w:rsidP="00385835">
            <w:pPr>
              <w:spacing w:after="0" w:line="240" w:lineRule="auto"/>
              <w:jc w:val="center"/>
              <w:rPr>
                <w:rFonts w:ascii="Times New Roman" w:hAnsi="Times New Roman"/>
                <w:sz w:val="18"/>
                <w:szCs w:val="18"/>
              </w:rPr>
            </w:pPr>
            <w:r w:rsidRPr="00385835">
              <w:rPr>
                <w:rFonts w:ascii="Times New Roman" w:hAnsi="Times New Roman"/>
                <w:sz w:val="18"/>
                <w:szCs w:val="18"/>
              </w:rPr>
              <w:t>Mažiau išsivystęs</w:t>
            </w:r>
          </w:p>
        </w:tc>
        <w:tc>
          <w:tcPr>
            <w:tcW w:w="851" w:type="dxa"/>
            <w:shd w:val="clear" w:color="auto" w:fill="auto"/>
            <w:vAlign w:val="center"/>
          </w:tcPr>
          <w:p w:rsidR="00385835" w:rsidRPr="00385835" w:rsidRDefault="00385835" w:rsidP="00385835">
            <w:pPr>
              <w:spacing w:after="0" w:line="240" w:lineRule="auto"/>
              <w:jc w:val="center"/>
              <w:rPr>
                <w:rFonts w:ascii="Times New Roman" w:hAnsi="Times New Roman"/>
                <w:sz w:val="18"/>
                <w:szCs w:val="18"/>
              </w:rPr>
            </w:pPr>
            <w:r w:rsidRPr="00385835">
              <w:rPr>
                <w:rFonts w:ascii="Times New Roman" w:hAnsi="Times New Roman"/>
                <w:sz w:val="18"/>
                <w:szCs w:val="18"/>
              </w:rPr>
              <w:t>91,85</w:t>
            </w:r>
          </w:p>
        </w:tc>
        <w:tc>
          <w:tcPr>
            <w:tcW w:w="959" w:type="dxa"/>
            <w:shd w:val="clear" w:color="auto" w:fill="auto"/>
            <w:vAlign w:val="center"/>
          </w:tcPr>
          <w:p w:rsidR="00385835" w:rsidRPr="00385835" w:rsidRDefault="00385835" w:rsidP="00385835">
            <w:pPr>
              <w:spacing w:after="0" w:line="240" w:lineRule="auto"/>
              <w:jc w:val="center"/>
              <w:rPr>
                <w:rFonts w:ascii="Times New Roman" w:hAnsi="Times New Roman"/>
                <w:sz w:val="18"/>
                <w:szCs w:val="18"/>
              </w:rPr>
            </w:pPr>
            <w:r w:rsidRPr="00385835">
              <w:rPr>
                <w:rFonts w:ascii="Times New Roman" w:hAnsi="Times New Roman"/>
                <w:sz w:val="18"/>
                <w:szCs w:val="18"/>
              </w:rPr>
              <w:t>2012</w:t>
            </w:r>
          </w:p>
        </w:tc>
        <w:tc>
          <w:tcPr>
            <w:tcW w:w="847" w:type="dxa"/>
            <w:shd w:val="clear" w:color="auto" w:fill="auto"/>
            <w:vAlign w:val="center"/>
          </w:tcPr>
          <w:p w:rsidR="00385835" w:rsidRPr="00385835" w:rsidRDefault="00385835" w:rsidP="00385835">
            <w:pPr>
              <w:spacing w:after="0" w:line="240" w:lineRule="auto"/>
              <w:jc w:val="center"/>
              <w:rPr>
                <w:rFonts w:ascii="Times New Roman" w:hAnsi="Times New Roman"/>
                <w:sz w:val="18"/>
                <w:szCs w:val="18"/>
              </w:rPr>
            </w:pPr>
            <w:r w:rsidRPr="00385835">
              <w:rPr>
                <w:rFonts w:ascii="Times New Roman" w:hAnsi="Times New Roman"/>
                <w:sz w:val="18"/>
                <w:szCs w:val="18"/>
              </w:rPr>
              <w:t>78</w:t>
            </w:r>
          </w:p>
        </w:tc>
        <w:tc>
          <w:tcPr>
            <w:tcW w:w="1126" w:type="dxa"/>
            <w:shd w:val="clear" w:color="auto" w:fill="auto"/>
            <w:vAlign w:val="center"/>
          </w:tcPr>
          <w:p w:rsidR="00385835" w:rsidRPr="00385835" w:rsidRDefault="00385835" w:rsidP="00385835">
            <w:pPr>
              <w:spacing w:after="0" w:line="240" w:lineRule="auto"/>
              <w:jc w:val="center"/>
              <w:rPr>
                <w:rFonts w:ascii="Times New Roman" w:hAnsi="Times New Roman"/>
                <w:sz w:val="18"/>
                <w:szCs w:val="18"/>
              </w:rPr>
            </w:pPr>
            <w:r w:rsidRPr="00385835">
              <w:rPr>
                <w:rFonts w:ascii="Times New Roman" w:hAnsi="Times New Roman"/>
                <w:sz w:val="18"/>
                <w:szCs w:val="18"/>
              </w:rPr>
              <w:t>Higienos instituto Sveikatos informacijos centras</w:t>
            </w:r>
          </w:p>
        </w:tc>
        <w:tc>
          <w:tcPr>
            <w:tcW w:w="1237" w:type="dxa"/>
            <w:shd w:val="clear" w:color="auto" w:fill="auto"/>
            <w:vAlign w:val="center"/>
          </w:tcPr>
          <w:p w:rsidR="00385835" w:rsidRPr="00385835" w:rsidRDefault="00385835" w:rsidP="00385835">
            <w:pPr>
              <w:spacing w:after="0" w:line="240" w:lineRule="auto"/>
              <w:jc w:val="center"/>
              <w:rPr>
                <w:rFonts w:ascii="Times New Roman" w:hAnsi="Times New Roman"/>
                <w:sz w:val="18"/>
                <w:szCs w:val="18"/>
              </w:rPr>
            </w:pPr>
            <w:r w:rsidRPr="00385835">
              <w:rPr>
                <w:rFonts w:ascii="Times New Roman" w:hAnsi="Times New Roman"/>
                <w:sz w:val="18"/>
                <w:szCs w:val="18"/>
              </w:rPr>
              <w:t>Kartą per metus</w:t>
            </w:r>
          </w:p>
        </w:tc>
      </w:tr>
      <w:tr w:rsidR="00385835" w:rsidRPr="00385835" w:rsidTr="00385835">
        <w:trPr>
          <w:gridAfter w:val="1"/>
          <w:wAfter w:w="48" w:type="dxa"/>
        </w:trPr>
        <w:tc>
          <w:tcPr>
            <w:tcW w:w="53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4.</w:t>
            </w:r>
          </w:p>
        </w:tc>
        <w:tc>
          <w:tcPr>
            <w:tcW w:w="2149" w:type="dxa"/>
            <w:shd w:val="clear" w:color="auto" w:fill="auto"/>
          </w:tcPr>
          <w:p w:rsidR="00385835" w:rsidRPr="00385835" w:rsidRDefault="00385835" w:rsidP="00385835">
            <w:pPr>
              <w:spacing w:after="0" w:line="240" w:lineRule="auto"/>
              <w:rPr>
                <w:rFonts w:ascii="Times New Roman" w:hAnsi="Times New Roman"/>
                <w:sz w:val="18"/>
                <w:szCs w:val="18"/>
              </w:rPr>
            </w:pPr>
            <w:r w:rsidRPr="00385835">
              <w:rPr>
                <w:rFonts w:ascii="Times New Roman" w:hAnsi="Times New Roman"/>
                <w:sz w:val="18"/>
                <w:szCs w:val="18"/>
              </w:rPr>
              <w:t>Standartizuoto 0</w:t>
            </w:r>
            <w:r w:rsidR="001B6AD5">
              <w:rPr>
                <w:rFonts w:ascii="Times New Roman" w:eastAsia="AngsanaUPC" w:hAnsi="Times New Roman"/>
                <w:bCs/>
                <w:sz w:val="18"/>
                <w:szCs w:val="18"/>
                <w:lang w:eastAsia="lt-LT"/>
              </w:rPr>
              <w:t>–</w:t>
            </w:r>
            <w:r w:rsidRPr="00385835">
              <w:rPr>
                <w:rFonts w:ascii="Times New Roman" w:hAnsi="Times New Roman"/>
                <w:sz w:val="18"/>
                <w:szCs w:val="18"/>
              </w:rPr>
              <w:t>64 m. amžiaus gyventojų mirtingumo sumažėjimas tikslinėse teritorijose dėl išorinių mirties priežasčių</w:t>
            </w:r>
          </w:p>
        </w:tc>
        <w:tc>
          <w:tcPr>
            <w:tcW w:w="986" w:type="dxa"/>
            <w:shd w:val="clear" w:color="auto" w:fill="auto"/>
            <w:vAlign w:val="center"/>
          </w:tcPr>
          <w:p w:rsidR="00385835" w:rsidRPr="00385835" w:rsidRDefault="00385835" w:rsidP="00385835">
            <w:pPr>
              <w:spacing w:after="0" w:line="240" w:lineRule="auto"/>
              <w:jc w:val="center"/>
              <w:rPr>
                <w:rFonts w:ascii="Times New Roman" w:hAnsi="Times New Roman"/>
                <w:sz w:val="18"/>
                <w:szCs w:val="18"/>
              </w:rPr>
            </w:pPr>
            <w:r w:rsidRPr="00385835">
              <w:rPr>
                <w:rFonts w:ascii="Times New Roman" w:hAnsi="Times New Roman"/>
                <w:sz w:val="18"/>
                <w:szCs w:val="18"/>
              </w:rPr>
              <w:t>Atvejų skaičius 100000 gyv.</w:t>
            </w:r>
          </w:p>
        </w:tc>
        <w:tc>
          <w:tcPr>
            <w:tcW w:w="1006" w:type="dxa"/>
            <w:shd w:val="clear" w:color="auto" w:fill="auto"/>
            <w:vAlign w:val="center"/>
          </w:tcPr>
          <w:p w:rsidR="00385835" w:rsidRPr="00385835" w:rsidRDefault="00385835" w:rsidP="00385835">
            <w:pPr>
              <w:spacing w:after="0" w:line="240" w:lineRule="auto"/>
              <w:jc w:val="center"/>
              <w:rPr>
                <w:rFonts w:ascii="Times New Roman" w:hAnsi="Times New Roman"/>
                <w:sz w:val="18"/>
                <w:szCs w:val="18"/>
              </w:rPr>
            </w:pPr>
            <w:r w:rsidRPr="00385835">
              <w:rPr>
                <w:rFonts w:ascii="Times New Roman" w:hAnsi="Times New Roman"/>
                <w:sz w:val="18"/>
                <w:szCs w:val="18"/>
              </w:rPr>
              <w:t>Mažiau išsivystęs</w:t>
            </w:r>
          </w:p>
        </w:tc>
        <w:tc>
          <w:tcPr>
            <w:tcW w:w="851" w:type="dxa"/>
            <w:shd w:val="clear" w:color="auto" w:fill="auto"/>
            <w:vAlign w:val="center"/>
          </w:tcPr>
          <w:p w:rsidR="00385835" w:rsidRPr="00385835" w:rsidRDefault="00385835" w:rsidP="00385835">
            <w:pPr>
              <w:spacing w:after="0" w:line="240" w:lineRule="auto"/>
              <w:jc w:val="center"/>
              <w:rPr>
                <w:rFonts w:ascii="Times New Roman" w:hAnsi="Times New Roman"/>
                <w:sz w:val="18"/>
                <w:szCs w:val="18"/>
              </w:rPr>
            </w:pPr>
            <w:r w:rsidRPr="00385835">
              <w:rPr>
                <w:rFonts w:ascii="Times New Roman" w:hAnsi="Times New Roman"/>
                <w:sz w:val="18"/>
                <w:szCs w:val="18"/>
              </w:rPr>
              <w:t>135,44</w:t>
            </w:r>
          </w:p>
        </w:tc>
        <w:tc>
          <w:tcPr>
            <w:tcW w:w="959" w:type="dxa"/>
            <w:shd w:val="clear" w:color="auto" w:fill="auto"/>
            <w:vAlign w:val="center"/>
          </w:tcPr>
          <w:p w:rsidR="00385835" w:rsidRPr="00385835" w:rsidRDefault="00385835" w:rsidP="00385835">
            <w:pPr>
              <w:spacing w:after="0" w:line="240" w:lineRule="auto"/>
              <w:jc w:val="center"/>
              <w:rPr>
                <w:rFonts w:ascii="Times New Roman" w:hAnsi="Times New Roman"/>
                <w:sz w:val="18"/>
                <w:szCs w:val="18"/>
              </w:rPr>
            </w:pPr>
            <w:r w:rsidRPr="00385835">
              <w:rPr>
                <w:rFonts w:ascii="Times New Roman" w:hAnsi="Times New Roman"/>
                <w:sz w:val="18"/>
                <w:szCs w:val="18"/>
              </w:rPr>
              <w:t>2012</w:t>
            </w:r>
          </w:p>
        </w:tc>
        <w:tc>
          <w:tcPr>
            <w:tcW w:w="847" w:type="dxa"/>
            <w:shd w:val="clear" w:color="auto" w:fill="auto"/>
            <w:vAlign w:val="center"/>
          </w:tcPr>
          <w:p w:rsidR="00385835" w:rsidRPr="00385835" w:rsidRDefault="00385835" w:rsidP="00385835">
            <w:pPr>
              <w:spacing w:after="0" w:line="240" w:lineRule="auto"/>
              <w:jc w:val="center"/>
              <w:rPr>
                <w:rFonts w:ascii="Times New Roman" w:hAnsi="Times New Roman"/>
                <w:sz w:val="18"/>
                <w:szCs w:val="18"/>
              </w:rPr>
            </w:pPr>
            <w:r w:rsidRPr="00385835">
              <w:rPr>
                <w:rFonts w:ascii="Times New Roman" w:hAnsi="Times New Roman"/>
                <w:sz w:val="18"/>
                <w:szCs w:val="18"/>
              </w:rPr>
              <w:t>82</w:t>
            </w:r>
          </w:p>
        </w:tc>
        <w:tc>
          <w:tcPr>
            <w:tcW w:w="1126" w:type="dxa"/>
            <w:shd w:val="clear" w:color="auto" w:fill="auto"/>
            <w:vAlign w:val="center"/>
          </w:tcPr>
          <w:p w:rsidR="00385835" w:rsidRPr="00385835" w:rsidRDefault="00385835" w:rsidP="00385835">
            <w:pPr>
              <w:spacing w:after="0" w:line="240" w:lineRule="auto"/>
              <w:jc w:val="center"/>
              <w:rPr>
                <w:rFonts w:ascii="Times New Roman" w:hAnsi="Times New Roman"/>
                <w:sz w:val="18"/>
                <w:szCs w:val="18"/>
              </w:rPr>
            </w:pPr>
            <w:r w:rsidRPr="00385835">
              <w:rPr>
                <w:rFonts w:ascii="Times New Roman" w:hAnsi="Times New Roman"/>
                <w:sz w:val="18"/>
                <w:szCs w:val="18"/>
              </w:rPr>
              <w:t>Higienos instituto Sveikatos informacijos centras</w:t>
            </w:r>
          </w:p>
        </w:tc>
        <w:tc>
          <w:tcPr>
            <w:tcW w:w="1237" w:type="dxa"/>
            <w:shd w:val="clear" w:color="auto" w:fill="auto"/>
            <w:vAlign w:val="center"/>
          </w:tcPr>
          <w:p w:rsidR="00385835" w:rsidRPr="00385835" w:rsidRDefault="00385835" w:rsidP="00385835">
            <w:pPr>
              <w:spacing w:after="0" w:line="240" w:lineRule="auto"/>
              <w:jc w:val="center"/>
              <w:rPr>
                <w:rFonts w:ascii="Times New Roman" w:hAnsi="Times New Roman"/>
                <w:sz w:val="18"/>
                <w:szCs w:val="18"/>
              </w:rPr>
            </w:pPr>
            <w:r w:rsidRPr="00385835">
              <w:rPr>
                <w:rFonts w:ascii="Times New Roman" w:hAnsi="Times New Roman"/>
                <w:sz w:val="18"/>
                <w:szCs w:val="18"/>
              </w:rPr>
              <w:t>Kartą per metus</w:t>
            </w:r>
          </w:p>
        </w:tc>
      </w:tr>
      <w:tr w:rsidR="00385835" w:rsidRPr="00385835" w:rsidTr="00385835">
        <w:trPr>
          <w:gridAfter w:val="1"/>
          <w:wAfter w:w="48" w:type="dxa"/>
        </w:trPr>
        <w:tc>
          <w:tcPr>
            <w:tcW w:w="53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5.</w:t>
            </w:r>
          </w:p>
        </w:tc>
        <w:tc>
          <w:tcPr>
            <w:tcW w:w="2149" w:type="dxa"/>
            <w:shd w:val="clear" w:color="auto" w:fill="auto"/>
            <w:vAlign w:val="center"/>
          </w:tcPr>
          <w:p w:rsidR="00385835" w:rsidRPr="00385835" w:rsidRDefault="00385835" w:rsidP="00385835">
            <w:pPr>
              <w:widowControl w:val="0"/>
              <w:tabs>
                <w:tab w:val="left" w:pos="622"/>
              </w:tabs>
              <w:spacing w:after="0" w:line="240" w:lineRule="auto"/>
              <w:rPr>
                <w:rFonts w:ascii="Times New Roman" w:eastAsia="AngsanaUPC" w:hAnsi="Times New Roman"/>
                <w:bCs/>
                <w:sz w:val="18"/>
                <w:szCs w:val="18"/>
                <w:lang w:eastAsia="lt-LT"/>
              </w:rPr>
            </w:pPr>
            <w:r w:rsidRPr="00385835">
              <w:rPr>
                <w:rFonts w:ascii="Times New Roman" w:eastAsia="AngsanaUPC" w:hAnsi="Times New Roman"/>
                <w:bCs/>
                <w:sz w:val="18"/>
                <w:szCs w:val="18"/>
                <w:lang w:eastAsia="lt-LT"/>
              </w:rPr>
              <w:t>Apsilankymų pas gydytojus skaičiaus, tenkančio vienam gyventojui, skirtumas tarp miestų ir rajonų savivaldybių gyventojų</w:t>
            </w:r>
          </w:p>
        </w:tc>
        <w:tc>
          <w:tcPr>
            <w:tcW w:w="986" w:type="dxa"/>
            <w:shd w:val="clear" w:color="auto" w:fill="auto"/>
            <w:vAlign w:val="center"/>
          </w:tcPr>
          <w:p w:rsidR="00385835" w:rsidRPr="00385835" w:rsidRDefault="00385835" w:rsidP="00385835">
            <w:pPr>
              <w:spacing w:after="0" w:line="240" w:lineRule="auto"/>
              <w:jc w:val="center"/>
              <w:rPr>
                <w:rFonts w:ascii="Times New Roman" w:hAnsi="Times New Roman"/>
                <w:sz w:val="18"/>
                <w:szCs w:val="18"/>
              </w:rPr>
            </w:pPr>
            <w:r w:rsidRPr="00385835">
              <w:rPr>
                <w:rFonts w:ascii="Times New Roman" w:hAnsi="Times New Roman"/>
                <w:sz w:val="18"/>
                <w:szCs w:val="18"/>
              </w:rPr>
              <w:t>Apsilan-kymų skaičius, tenkantis 1 gyventojui</w:t>
            </w:r>
          </w:p>
        </w:tc>
        <w:tc>
          <w:tcPr>
            <w:tcW w:w="1006" w:type="dxa"/>
            <w:shd w:val="clear" w:color="auto" w:fill="auto"/>
            <w:vAlign w:val="center"/>
          </w:tcPr>
          <w:p w:rsidR="00385835" w:rsidRPr="00385835" w:rsidRDefault="00385835" w:rsidP="00385835">
            <w:pPr>
              <w:spacing w:after="0" w:line="240" w:lineRule="auto"/>
              <w:jc w:val="center"/>
              <w:rPr>
                <w:rFonts w:ascii="Times New Roman" w:hAnsi="Times New Roman"/>
                <w:sz w:val="18"/>
                <w:szCs w:val="18"/>
              </w:rPr>
            </w:pPr>
            <w:r w:rsidRPr="00385835">
              <w:rPr>
                <w:rFonts w:ascii="Times New Roman" w:hAnsi="Times New Roman"/>
                <w:sz w:val="18"/>
                <w:szCs w:val="18"/>
              </w:rPr>
              <w:t>Mažiau išsivystęs</w:t>
            </w:r>
          </w:p>
        </w:tc>
        <w:tc>
          <w:tcPr>
            <w:tcW w:w="851" w:type="dxa"/>
            <w:shd w:val="clear" w:color="auto" w:fill="auto"/>
            <w:vAlign w:val="center"/>
          </w:tcPr>
          <w:p w:rsidR="00385835" w:rsidRPr="00385835" w:rsidRDefault="00385835" w:rsidP="00385835">
            <w:pPr>
              <w:spacing w:after="0" w:line="240" w:lineRule="auto"/>
              <w:jc w:val="center"/>
              <w:rPr>
                <w:rFonts w:ascii="Times New Roman" w:hAnsi="Times New Roman"/>
                <w:sz w:val="18"/>
                <w:szCs w:val="18"/>
              </w:rPr>
            </w:pPr>
            <w:r w:rsidRPr="00385835">
              <w:rPr>
                <w:rFonts w:ascii="Times New Roman" w:hAnsi="Times New Roman"/>
                <w:sz w:val="18"/>
                <w:szCs w:val="18"/>
              </w:rPr>
              <w:t>4</w:t>
            </w:r>
          </w:p>
        </w:tc>
        <w:tc>
          <w:tcPr>
            <w:tcW w:w="959" w:type="dxa"/>
            <w:shd w:val="clear" w:color="auto" w:fill="auto"/>
            <w:vAlign w:val="center"/>
          </w:tcPr>
          <w:p w:rsidR="00385835" w:rsidRPr="00385835" w:rsidRDefault="00385835" w:rsidP="00385835">
            <w:pPr>
              <w:spacing w:after="0" w:line="240" w:lineRule="auto"/>
              <w:jc w:val="center"/>
              <w:rPr>
                <w:rFonts w:ascii="Times New Roman" w:hAnsi="Times New Roman"/>
                <w:sz w:val="18"/>
                <w:szCs w:val="18"/>
              </w:rPr>
            </w:pPr>
            <w:r w:rsidRPr="00385835">
              <w:rPr>
                <w:rFonts w:ascii="Times New Roman" w:hAnsi="Times New Roman"/>
                <w:sz w:val="18"/>
                <w:szCs w:val="18"/>
              </w:rPr>
              <w:t>2012</w:t>
            </w:r>
          </w:p>
        </w:tc>
        <w:tc>
          <w:tcPr>
            <w:tcW w:w="847" w:type="dxa"/>
            <w:shd w:val="clear" w:color="auto" w:fill="auto"/>
            <w:vAlign w:val="center"/>
          </w:tcPr>
          <w:p w:rsidR="00385835" w:rsidRPr="00385835" w:rsidRDefault="00385835" w:rsidP="00385835">
            <w:pPr>
              <w:spacing w:after="0" w:line="240" w:lineRule="auto"/>
              <w:ind w:left="-108"/>
              <w:jc w:val="center"/>
              <w:rPr>
                <w:rFonts w:ascii="Times New Roman" w:hAnsi="Times New Roman"/>
                <w:sz w:val="18"/>
                <w:szCs w:val="18"/>
              </w:rPr>
            </w:pPr>
            <w:r w:rsidRPr="00385835">
              <w:rPr>
                <w:rFonts w:ascii="Times New Roman" w:hAnsi="Times New Roman"/>
                <w:sz w:val="18"/>
                <w:szCs w:val="18"/>
              </w:rPr>
              <w:t>3</w:t>
            </w:r>
          </w:p>
        </w:tc>
        <w:tc>
          <w:tcPr>
            <w:tcW w:w="1126" w:type="dxa"/>
            <w:shd w:val="clear" w:color="auto" w:fill="auto"/>
            <w:vAlign w:val="center"/>
          </w:tcPr>
          <w:p w:rsidR="00385835" w:rsidRPr="00385835" w:rsidRDefault="00385835" w:rsidP="00385835">
            <w:pPr>
              <w:spacing w:after="0" w:line="240" w:lineRule="auto"/>
              <w:jc w:val="center"/>
              <w:rPr>
                <w:rFonts w:ascii="Times New Roman" w:hAnsi="Times New Roman"/>
                <w:sz w:val="18"/>
                <w:szCs w:val="18"/>
              </w:rPr>
            </w:pPr>
            <w:r w:rsidRPr="00385835">
              <w:rPr>
                <w:rFonts w:ascii="Times New Roman" w:hAnsi="Times New Roman"/>
                <w:sz w:val="18"/>
                <w:szCs w:val="18"/>
              </w:rPr>
              <w:t>Higienos instituto Sveikatos informacijos centras, Privalomojo sveikatos draudimo informacinė sistema SVEIDRA</w:t>
            </w:r>
          </w:p>
        </w:tc>
        <w:tc>
          <w:tcPr>
            <w:tcW w:w="1237" w:type="dxa"/>
            <w:shd w:val="clear" w:color="auto" w:fill="auto"/>
            <w:vAlign w:val="center"/>
          </w:tcPr>
          <w:p w:rsidR="00385835" w:rsidRPr="00385835" w:rsidRDefault="00385835" w:rsidP="00385835">
            <w:pPr>
              <w:spacing w:after="0" w:line="240" w:lineRule="auto"/>
              <w:jc w:val="center"/>
              <w:rPr>
                <w:rFonts w:ascii="Times New Roman" w:hAnsi="Times New Roman"/>
                <w:sz w:val="18"/>
                <w:szCs w:val="18"/>
              </w:rPr>
            </w:pPr>
            <w:r w:rsidRPr="00385835">
              <w:rPr>
                <w:rFonts w:ascii="Times New Roman" w:hAnsi="Times New Roman"/>
                <w:sz w:val="18"/>
                <w:szCs w:val="18"/>
              </w:rPr>
              <w:t>Kartą per metus</w:t>
            </w:r>
          </w:p>
        </w:tc>
      </w:tr>
    </w:tbl>
    <w:p w:rsidR="00385835" w:rsidRPr="00385835" w:rsidRDefault="00385835" w:rsidP="00385835">
      <w:pPr>
        <w:spacing w:after="0"/>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385835" w:rsidRPr="00385835" w:rsidTr="00385835">
        <w:tc>
          <w:tcPr>
            <w:tcW w:w="9746" w:type="dxa"/>
            <w:tcBorders>
              <w:top w:val="single" w:sz="4" w:space="0" w:color="auto"/>
              <w:left w:val="single" w:sz="4" w:space="0" w:color="auto"/>
              <w:bottom w:val="single" w:sz="4" w:space="0" w:color="auto"/>
              <w:right w:val="single" w:sz="4" w:space="0" w:color="auto"/>
            </w:tcBorders>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Cs/>
                <w:iCs/>
                <w:sz w:val="24"/>
                <w:szCs w:val="24"/>
                <w:lang w:eastAsia="lt-LT"/>
              </w:rPr>
            </w:pPr>
            <w:r w:rsidRPr="00385835">
              <w:rPr>
                <w:rFonts w:ascii="Times New Roman" w:eastAsia="AngsanaUPC" w:hAnsi="Times New Roman"/>
                <w:b/>
                <w:bCs/>
                <w:i/>
                <w:iCs/>
                <w:sz w:val="24"/>
                <w:szCs w:val="24"/>
                <w:lang w:eastAsia="lt-LT"/>
              </w:rPr>
              <w:t>8.1. Investicinio prioriteto įgyvendinimo veiklos</w:t>
            </w:r>
          </w:p>
        </w:tc>
      </w:tr>
      <w:tr w:rsidR="00385835" w:rsidRPr="00385835" w:rsidTr="00385835">
        <w:tc>
          <w:tcPr>
            <w:tcW w:w="9746" w:type="dxa"/>
            <w:shd w:val="clear" w:color="auto" w:fill="auto"/>
          </w:tcPr>
          <w:p w:rsidR="00385835" w:rsidRPr="00385835" w:rsidRDefault="00385835" w:rsidP="00385835">
            <w:pPr>
              <w:tabs>
                <w:tab w:val="left" w:pos="560"/>
              </w:tabs>
              <w:spacing w:after="0" w:line="240" w:lineRule="auto"/>
              <w:ind w:left="34"/>
              <w:contextualSpacing/>
              <w:jc w:val="both"/>
              <w:rPr>
                <w:rFonts w:ascii="Times New Roman" w:eastAsia="AngsanaUPC" w:hAnsi="Times New Roman"/>
                <w:bCs/>
                <w:i/>
                <w:iCs/>
                <w:sz w:val="24"/>
                <w:szCs w:val="24"/>
                <w:lang w:eastAsia="lt-LT"/>
              </w:rPr>
            </w:pPr>
            <w:r w:rsidRPr="00385835">
              <w:rPr>
                <w:rFonts w:ascii="Times New Roman" w:eastAsia="AngsanaUPC" w:hAnsi="Times New Roman"/>
                <w:bCs/>
                <w:i/>
                <w:iCs/>
                <w:sz w:val="24"/>
                <w:szCs w:val="24"/>
                <w:lang w:eastAsia="lt-LT"/>
              </w:rPr>
              <w:t>8.1.1 konkretaus uždavinio veiklos:</w:t>
            </w:r>
          </w:p>
          <w:p w:rsidR="00385835" w:rsidRPr="00385835" w:rsidRDefault="00385835" w:rsidP="00650E41">
            <w:pPr>
              <w:numPr>
                <w:ilvl w:val="0"/>
                <w:numId w:val="42"/>
              </w:numPr>
              <w:tabs>
                <w:tab w:val="left" w:pos="459"/>
                <w:tab w:val="left" w:pos="560"/>
              </w:tabs>
              <w:spacing w:after="0" w:line="240" w:lineRule="auto"/>
              <w:ind w:left="34" w:firstLine="0"/>
              <w:contextualSpacing/>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Palaipsninis likusių be tėvų globos vaikų ir neįgaliųjų su proto ir (ar) psichine negalia socialinės globos namų deinstitucionalizacijos įgyvendinimas, kuriant socialinių paslaugų infrastruktūrą savivaldybėse ir vietos bendruomenėse. Numatoma vystyti pereinamojo tipo paslaugų bei nestacionarių socialinių paslaugų infrastruktūrą; spręsti apsirūpinimo būstu klausimą, t. y. kurti grupinio ir savarankiško gyvenimo namus; vystyti infrastruktūrą, reikalingą organizuoti alternatyvias institucinei vaiko globai formas; išskirtiniais atvejais, kai negalima naudoti bendruomenės paslaugų teikimo modelio, vystyti įstaigų, kurios teiktų specializuotas stacionarias slaugos ir globos paslaugas asmenims, kurie negali pasirūpinti savimi ir sugrįžti į šeimą/bendruomenę, infrastruktūrą ir gerinti jų kokybę (preliminariais skaičiavimais, specializuotų stacionarų infrastruktūrai sutvarkyti numatoma panaudoti apie 5</w:t>
            </w:r>
            <w:r w:rsidR="00B06312">
              <w:rPr>
                <w:rFonts w:ascii="Times New Roman" w:eastAsia="AngsanaUPC" w:hAnsi="Times New Roman"/>
                <w:bCs/>
                <w:sz w:val="18"/>
                <w:szCs w:val="18"/>
                <w:lang w:eastAsia="lt-LT"/>
              </w:rPr>
              <w:t>–</w:t>
            </w:r>
            <w:r w:rsidRPr="00385835">
              <w:rPr>
                <w:rFonts w:ascii="Times New Roman" w:eastAsia="AngsanaUPC" w:hAnsi="Times New Roman"/>
                <w:bCs/>
                <w:iCs/>
                <w:sz w:val="24"/>
                <w:szCs w:val="24"/>
                <w:lang w:eastAsia="lt-LT"/>
              </w:rPr>
              <w:t xml:space="preserve">7 proc. šiam konkrečiam uždaviniui įgyvendinti skirtų </w:t>
            </w:r>
            <w:r w:rsidR="000F4AE6">
              <w:rPr>
                <w:rFonts w:ascii="Times New Roman" w:eastAsia="AngsanaUPC" w:hAnsi="Times New Roman"/>
                <w:bCs/>
                <w:iCs/>
                <w:sz w:val="24"/>
                <w:szCs w:val="24"/>
                <w:lang w:eastAsia="lt-LT"/>
              </w:rPr>
              <w:t>ES fondų</w:t>
            </w:r>
            <w:r w:rsidRPr="00385835">
              <w:rPr>
                <w:rFonts w:ascii="Times New Roman" w:eastAsia="AngsanaUPC" w:hAnsi="Times New Roman"/>
                <w:bCs/>
                <w:iCs/>
                <w:sz w:val="24"/>
                <w:szCs w:val="24"/>
                <w:lang w:eastAsia="lt-LT"/>
              </w:rPr>
              <w:t xml:space="preserve"> lėšų). </w:t>
            </w:r>
          </w:p>
          <w:p w:rsidR="00385835" w:rsidRPr="00385835" w:rsidRDefault="00385835" w:rsidP="00650E41">
            <w:pPr>
              <w:numPr>
                <w:ilvl w:val="0"/>
                <w:numId w:val="42"/>
              </w:numPr>
              <w:tabs>
                <w:tab w:val="left" w:pos="459"/>
                <w:tab w:val="left" w:pos="560"/>
              </w:tabs>
              <w:spacing w:after="0" w:line="240" w:lineRule="auto"/>
              <w:ind w:left="34" w:firstLine="0"/>
              <w:contextualSpacing/>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Nestacionarių, bendruomeninių paslaugų infrastruktūros plėtra pažeidžiamoms grupėms ir šeimoms, kurių neapima deinstitucionalizacijos procesas. Numatoma vystyti nestacionarių paslaugų centrus (</w:t>
            </w:r>
            <w:r w:rsidR="00686878">
              <w:rPr>
                <w:rFonts w:ascii="Times New Roman" w:eastAsia="AngsanaUPC" w:hAnsi="Times New Roman"/>
                <w:bCs/>
                <w:iCs/>
                <w:sz w:val="24"/>
                <w:szCs w:val="24"/>
                <w:lang w:eastAsia="lt-LT"/>
              </w:rPr>
              <w:t>pavyzdžiui</w:t>
            </w:r>
            <w:r w:rsidRPr="00385835">
              <w:rPr>
                <w:rFonts w:ascii="Times New Roman" w:eastAsia="AngsanaUPC" w:hAnsi="Times New Roman"/>
                <w:bCs/>
                <w:iCs/>
                <w:sz w:val="24"/>
                <w:szCs w:val="24"/>
                <w:lang w:eastAsia="lt-LT"/>
              </w:rPr>
              <w:t>, psichosocialinės pagalbos įstaigas priklausantiems nuo psichoaktyviųjų medžiagų, prekybos žmonėmis, smurto aukoms ir smurtautojams, dienos centrus neįgaliesiems</w:t>
            </w:r>
            <w:r w:rsidR="00A8695D">
              <w:rPr>
                <w:rFonts w:ascii="Times New Roman" w:eastAsia="AngsanaUPC" w:hAnsi="Times New Roman"/>
                <w:bCs/>
                <w:iCs/>
                <w:sz w:val="24"/>
                <w:szCs w:val="24"/>
                <w:lang w:eastAsia="lt-LT"/>
              </w:rPr>
              <w:t>,</w:t>
            </w:r>
            <w:r w:rsidRPr="00385835">
              <w:rPr>
                <w:rFonts w:ascii="Times New Roman" w:eastAsia="AngsanaUPC" w:hAnsi="Times New Roman"/>
                <w:bCs/>
                <w:iCs/>
                <w:sz w:val="24"/>
                <w:szCs w:val="24"/>
                <w:lang w:eastAsia="lt-LT"/>
              </w:rPr>
              <w:t xml:space="preserve"> išskyrus</w:t>
            </w:r>
            <w:r w:rsidR="00A8695D">
              <w:rPr>
                <w:rFonts w:ascii="Times New Roman" w:eastAsia="AngsanaUPC" w:hAnsi="Times New Roman"/>
                <w:bCs/>
                <w:iCs/>
                <w:sz w:val="24"/>
                <w:szCs w:val="24"/>
                <w:lang w:eastAsia="lt-LT"/>
              </w:rPr>
              <w:t>,</w:t>
            </w:r>
            <w:r w:rsidRPr="00385835">
              <w:rPr>
                <w:rFonts w:ascii="Times New Roman" w:eastAsia="AngsanaUPC" w:hAnsi="Times New Roman"/>
                <w:bCs/>
                <w:iCs/>
                <w:sz w:val="24"/>
                <w:szCs w:val="24"/>
                <w:lang w:eastAsia="lt-LT"/>
              </w:rPr>
              <w:t xml:space="preserve"> turinčius proto ar psichikos negalią).</w:t>
            </w:r>
          </w:p>
          <w:p w:rsidR="00385835" w:rsidRDefault="00385835" w:rsidP="00650E41">
            <w:pPr>
              <w:numPr>
                <w:ilvl w:val="0"/>
                <w:numId w:val="42"/>
              </w:numPr>
              <w:tabs>
                <w:tab w:val="left" w:pos="459"/>
                <w:tab w:val="left" w:pos="560"/>
              </w:tabs>
              <w:spacing w:after="0" w:line="240" w:lineRule="auto"/>
              <w:ind w:left="34" w:firstLine="0"/>
              <w:contextualSpacing/>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Socialinės globos namų senyvo amžiaus asmenims infrastruktūros modernizavimas ir plėtra bendruomenėje.</w:t>
            </w:r>
          </w:p>
          <w:p w:rsidR="00385835" w:rsidRPr="00385835" w:rsidRDefault="00385835" w:rsidP="001B6AD5">
            <w:pPr>
              <w:tabs>
                <w:tab w:val="left" w:pos="560"/>
              </w:tabs>
              <w:spacing w:after="0" w:line="240" w:lineRule="auto"/>
              <w:contextualSpacing/>
              <w:jc w:val="both"/>
              <w:rPr>
                <w:rFonts w:ascii="Times New Roman" w:eastAsia="AngsanaUPC" w:hAnsi="Times New Roman"/>
                <w:bCs/>
                <w:i/>
                <w:iCs/>
                <w:sz w:val="24"/>
                <w:szCs w:val="24"/>
                <w:lang w:eastAsia="lt-LT"/>
              </w:rPr>
            </w:pPr>
            <w:r w:rsidRPr="00385835">
              <w:rPr>
                <w:rFonts w:ascii="Times New Roman" w:eastAsia="AngsanaUPC" w:hAnsi="Times New Roman"/>
                <w:bCs/>
                <w:i/>
                <w:iCs/>
                <w:sz w:val="24"/>
                <w:szCs w:val="24"/>
                <w:lang w:eastAsia="lt-LT"/>
              </w:rPr>
              <w:t>8.1.2 konkretaus uždavinio veiklos:</w:t>
            </w:r>
          </w:p>
          <w:p w:rsidR="00385835" w:rsidRPr="007E588C" w:rsidRDefault="00385835" w:rsidP="00650E41">
            <w:pPr>
              <w:numPr>
                <w:ilvl w:val="0"/>
                <w:numId w:val="43"/>
              </w:numPr>
              <w:tabs>
                <w:tab w:val="left" w:pos="459"/>
                <w:tab w:val="left" w:pos="560"/>
              </w:tabs>
              <w:spacing w:after="0" w:line="240" w:lineRule="auto"/>
              <w:ind w:left="34" w:firstLine="0"/>
              <w:contextualSpacing/>
              <w:jc w:val="both"/>
              <w:rPr>
                <w:rFonts w:ascii="Times New Roman" w:hAnsi="Times New Roman"/>
                <w:sz w:val="24"/>
                <w:szCs w:val="24"/>
              </w:rPr>
            </w:pPr>
            <w:r w:rsidRPr="00385835">
              <w:rPr>
                <w:rFonts w:ascii="Times New Roman" w:eastAsia="AngsanaUPC" w:hAnsi="Times New Roman"/>
                <w:bCs/>
                <w:iCs/>
                <w:sz w:val="24"/>
                <w:szCs w:val="24"/>
                <w:lang w:eastAsia="lt-LT"/>
              </w:rPr>
              <w:t xml:space="preserve">Socialinio būsto fondo plėtra: pastatų statyba, rekonstrukcija ir modernizavimas pritaikant juos socialiniam būstui, taip pat gyvenamųjų namų, jų dalių, butų pirkimas. </w:t>
            </w:r>
          </w:p>
          <w:p w:rsidR="00385835" w:rsidRPr="00385835" w:rsidRDefault="00385835" w:rsidP="00650E41">
            <w:pPr>
              <w:numPr>
                <w:ilvl w:val="2"/>
                <w:numId w:val="58"/>
              </w:numPr>
              <w:tabs>
                <w:tab w:val="left" w:pos="560"/>
              </w:tabs>
              <w:spacing w:after="0" w:line="240" w:lineRule="auto"/>
              <w:ind w:left="34" w:firstLine="0"/>
              <w:contextualSpacing/>
              <w:jc w:val="both"/>
              <w:rPr>
                <w:rFonts w:ascii="Times New Roman" w:eastAsia="AngsanaUPC" w:hAnsi="Times New Roman"/>
                <w:bCs/>
                <w:i/>
                <w:iCs/>
                <w:sz w:val="24"/>
                <w:szCs w:val="24"/>
                <w:lang w:eastAsia="lt-LT"/>
              </w:rPr>
            </w:pPr>
            <w:r w:rsidRPr="00385835">
              <w:rPr>
                <w:rFonts w:ascii="Times New Roman" w:eastAsia="AngsanaUPC" w:hAnsi="Times New Roman"/>
                <w:bCs/>
                <w:i/>
                <w:iCs/>
                <w:sz w:val="24"/>
                <w:szCs w:val="24"/>
                <w:lang w:eastAsia="lt-LT"/>
              </w:rPr>
              <w:t>konkretaus uždavinio veiklos:</w:t>
            </w:r>
          </w:p>
          <w:p w:rsidR="00385835" w:rsidRPr="00385835" w:rsidRDefault="00385835" w:rsidP="00650E41">
            <w:pPr>
              <w:numPr>
                <w:ilvl w:val="0"/>
                <w:numId w:val="57"/>
              </w:numPr>
              <w:tabs>
                <w:tab w:val="left" w:pos="459"/>
                <w:tab w:val="left" w:pos="560"/>
              </w:tabs>
              <w:spacing w:after="0" w:line="240" w:lineRule="auto"/>
              <w:ind w:left="34" w:firstLine="0"/>
              <w:contextualSpacing/>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lastRenderedPageBreak/>
              <w:t>Remiama infrastruktūra, skirta gerinti visuomenės sveikatos priežiūros kokybę ir prieinamumą bei jos integravimui su asmens sveikatos priežiūros ir socialinėmis paslaugomis, taip pat gerinti pirminės asmens sveikatos priežiūros organizavimą, slaugos ir palaikomojo gydymo paslaugų vystymą asmens sveikatos priežiūros įstaigose ir šių paslaugų teikimą pacientų namuose; greitosios medicinos pagalbos tarnybų veiklai tobulinti.</w:t>
            </w:r>
          </w:p>
          <w:p w:rsidR="00385835" w:rsidRPr="00385835" w:rsidRDefault="00385835" w:rsidP="00650E41">
            <w:pPr>
              <w:numPr>
                <w:ilvl w:val="0"/>
                <w:numId w:val="57"/>
              </w:numPr>
              <w:tabs>
                <w:tab w:val="left" w:pos="459"/>
                <w:tab w:val="left" w:pos="560"/>
              </w:tabs>
              <w:spacing w:after="0" w:line="240" w:lineRule="auto"/>
              <w:ind w:left="34" w:firstLine="0"/>
              <w:contextualSpacing/>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Infrastruktūros plėtra, sudaranti geresnes galimybes gauti savalaikę ir kokybišką specializuotą (specialistų) medicinos pagalbą ir sveikatos paslaugas (</w:t>
            </w:r>
            <w:r w:rsidR="00686878">
              <w:rPr>
                <w:rFonts w:ascii="Times New Roman" w:eastAsia="AngsanaUPC" w:hAnsi="Times New Roman"/>
                <w:bCs/>
                <w:iCs/>
                <w:sz w:val="24"/>
                <w:szCs w:val="24"/>
                <w:lang w:eastAsia="lt-LT"/>
              </w:rPr>
              <w:t>pavyzdžiui</w:t>
            </w:r>
            <w:r w:rsidRPr="00385835">
              <w:rPr>
                <w:rFonts w:ascii="Times New Roman" w:eastAsia="AngsanaUPC" w:hAnsi="Times New Roman"/>
                <w:bCs/>
                <w:iCs/>
                <w:sz w:val="24"/>
                <w:szCs w:val="24"/>
                <w:lang w:eastAsia="lt-LT"/>
              </w:rPr>
              <w:t>, įrangos ir/ar transporto mobilioms paslaugoms ir specializuotai pagalbai minėtose vietovėse, pacientų pervežimo paslaugoms, nuotolinėms sveikatos paslaugoms teikti, įsigijimas).</w:t>
            </w:r>
          </w:p>
          <w:p w:rsidR="00385835" w:rsidRPr="00385835" w:rsidRDefault="00385835" w:rsidP="00650E41">
            <w:pPr>
              <w:numPr>
                <w:ilvl w:val="0"/>
                <w:numId w:val="57"/>
              </w:numPr>
              <w:tabs>
                <w:tab w:val="left" w:pos="459"/>
                <w:tab w:val="left" w:pos="560"/>
              </w:tabs>
              <w:spacing w:after="0" w:line="240" w:lineRule="auto"/>
              <w:ind w:left="34" w:firstLine="0"/>
              <w:contextualSpacing/>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 xml:space="preserve">Efektyvių ir inovatyvių sveikatos priežiūros paslaugų teikimo infrastruktūros (fizinės ir informacinės) modelių diegimas bei plėtojimas, didinant sveikatos priežiūros paslaugų (sveikatos ugdymo, profilaktinių, ankstyvosios diagnostikos, medicininės reabilitacijos ir sveikatos grąžinimo, kt.) prieinamumą ir kokybę tikslinių teritorijų gyventojams, siekiant stiprinti tarp šių gyventojų paplitusių pagrindinių lėtinių ligų </w:t>
            </w:r>
            <w:proofErr w:type="gramStart"/>
            <w:r w:rsidRPr="00385835">
              <w:rPr>
                <w:rFonts w:ascii="Times New Roman" w:eastAsia="AngsanaUPC" w:hAnsi="Times New Roman"/>
                <w:bCs/>
                <w:iCs/>
                <w:sz w:val="24"/>
                <w:szCs w:val="24"/>
                <w:lang w:eastAsia="lt-LT"/>
              </w:rPr>
              <w:t>(</w:t>
            </w:r>
            <w:proofErr w:type="gramEnd"/>
            <w:r w:rsidRPr="00385835">
              <w:rPr>
                <w:rFonts w:ascii="Times New Roman" w:eastAsia="AngsanaUPC" w:hAnsi="Times New Roman"/>
                <w:bCs/>
                <w:iCs/>
                <w:sz w:val="24"/>
                <w:szCs w:val="24"/>
                <w:lang w:eastAsia="lt-LT"/>
              </w:rPr>
              <w:t>kraujotakos sistemos ligų, cerebrovaskulinių ligų, onkologinių susirgimų) ir išorinių mirties priežasčių rizikos veiksnių prevenciją ir jų valdymą bei mažinti šių ligų lemiamą priešlaikinį mirtingumą ir neįgalumą.</w:t>
            </w:r>
          </w:p>
          <w:p w:rsidR="00385835" w:rsidRPr="00385835" w:rsidRDefault="00385835" w:rsidP="00650E41">
            <w:pPr>
              <w:numPr>
                <w:ilvl w:val="0"/>
                <w:numId w:val="57"/>
              </w:numPr>
              <w:tabs>
                <w:tab w:val="left" w:pos="459"/>
                <w:tab w:val="left" w:pos="560"/>
              </w:tabs>
              <w:spacing w:after="0" w:line="240" w:lineRule="auto"/>
              <w:ind w:left="34" w:firstLine="0"/>
              <w:contextualSpacing/>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Investicijos į infrastruktūrą, skirtą vaikų sveikatos stiprinimui, ligų profilaktikai, ankstyvajai diagnostikai bei efektyviam vaikų ligų gydymui.</w:t>
            </w:r>
          </w:p>
          <w:p w:rsidR="00385835" w:rsidRPr="00385835" w:rsidRDefault="00385835" w:rsidP="00650E41">
            <w:pPr>
              <w:numPr>
                <w:ilvl w:val="0"/>
                <w:numId w:val="57"/>
              </w:numPr>
              <w:tabs>
                <w:tab w:val="left" w:pos="459"/>
                <w:tab w:val="left" w:pos="560"/>
              </w:tabs>
              <w:spacing w:after="0" w:line="240" w:lineRule="auto"/>
              <w:ind w:left="34" w:firstLine="0"/>
              <w:contextualSpacing/>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Infrastruktūros, orientuotos į tuberkuliozės prevencijos veiksmingumo didinimą bei diagnostikos ir gydymo efektyvumo stiprinimą, atnaujinimas ir plėtojimas.</w:t>
            </w:r>
          </w:p>
          <w:p w:rsidR="00385835" w:rsidRPr="00385835" w:rsidRDefault="00385835" w:rsidP="00650E41">
            <w:pPr>
              <w:numPr>
                <w:ilvl w:val="0"/>
                <w:numId w:val="57"/>
              </w:numPr>
              <w:tabs>
                <w:tab w:val="left" w:pos="459"/>
                <w:tab w:val="left" w:pos="560"/>
              </w:tabs>
              <w:spacing w:after="0" w:line="240" w:lineRule="auto"/>
              <w:ind w:left="34" w:firstLine="0"/>
              <w:contextualSpacing/>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 xml:space="preserve">Investicijos į infrastruktūrą, sudarančią galimybes gerinti sveikatos priežiūros (pavyzdžiui, burnos higienos (odontologijos), medicininės reabilitacijos ir sveikatos grąžinimo, ligų profilaktikos ir kt.) prieinamumą socialiai pažeidžiamiausioms gyventojų grupėms (neįgaliesiems ir kt.), taip pat į infrastruktūrą, skirtą priklausomybės ligų prevencijos, diagnostikos ir gydymo paslaugų plėtojimui </w:t>
            </w:r>
            <w:proofErr w:type="gramStart"/>
            <w:r w:rsidRPr="00385835">
              <w:rPr>
                <w:rFonts w:ascii="Times New Roman" w:eastAsia="AngsanaUPC" w:hAnsi="Times New Roman"/>
                <w:bCs/>
                <w:iCs/>
                <w:sz w:val="24"/>
                <w:szCs w:val="24"/>
                <w:lang w:eastAsia="lt-LT"/>
              </w:rPr>
              <w:t>(</w:t>
            </w:r>
            <w:proofErr w:type="gramEnd"/>
            <w:r w:rsidRPr="00385835">
              <w:rPr>
                <w:rFonts w:ascii="Times New Roman" w:eastAsia="AngsanaUPC" w:hAnsi="Times New Roman"/>
                <w:bCs/>
                <w:iCs/>
                <w:sz w:val="24"/>
                <w:szCs w:val="24"/>
                <w:lang w:eastAsia="lt-LT"/>
              </w:rPr>
              <w:t>pavyzdžiui, ,,žemo slenksčio“ kabinetuose, aktyviam konsultavimui ir pritraukimui asmenų, ypač žemo išsilavinimo, turinčių mažas pajamas, turinčių psichikos sutrikimų, taip pat nedirbančių asmenų, į rūkymo ir alkoholio atsisakymo grupių seansus ir pan.).</w:t>
            </w:r>
          </w:p>
          <w:p w:rsidR="00385835" w:rsidRPr="00385835" w:rsidRDefault="00385835" w:rsidP="00650E41">
            <w:pPr>
              <w:numPr>
                <w:ilvl w:val="0"/>
                <w:numId w:val="57"/>
              </w:numPr>
              <w:tabs>
                <w:tab w:val="left" w:pos="459"/>
                <w:tab w:val="left" w:pos="560"/>
              </w:tabs>
              <w:spacing w:after="0" w:line="240" w:lineRule="auto"/>
              <w:ind w:left="34" w:firstLine="0"/>
              <w:contextualSpacing/>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Sveiko senėjimo srityje numatomos investicijos į vyresnio amžiaus asmenims būdingų ligų prevencijai ir ankstyvai diagnostikai reikalingą infrastruktūrą, taip pat geriatrinių paslaugų plėtrai, medicininei reabilitacijai ir efektyvesniam bei greitesniam sveikatos grąžinimui reikalingos infrastruktūros atnaujinimą.</w:t>
            </w:r>
          </w:p>
          <w:p w:rsidR="00385835" w:rsidRPr="00385835" w:rsidRDefault="00385835" w:rsidP="00385835">
            <w:pPr>
              <w:tabs>
                <w:tab w:val="left" w:pos="560"/>
              </w:tabs>
              <w:spacing w:after="0" w:line="240" w:lineRule="auto"/>
              <w:ind w:left="34"/>
              <w:contextualSpacing/>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Investicijos pagal šį specifinį uždavinį prisideda ir papildo veiklas pagal 8.4.3 ir 2.3.1 specifinius uždavinius, taip pat bus susiję su 1.2 investicinio prioriteto investicijomis, skirtomis plėtoti ir diegti inovacijas sveikatos priežiūros srityje.</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567"/>
        <w:gridCol w:w="2410"/>
        <w:gridCol w:w="1276"/>
        <w:gridCol w:w="850"/>
        <w:gridCol w:w="1134"/>
        <w:gridCol w:w="1134"/>
        <w:gridCol w:w="1134"/>
        <w:gridCol w:w="1241"/>
      </w:tblGrid>
      <w:tr w:rsidR="00385835" w:rsidRPr="00385835" w:rsidTr="008F339D">
        <w:trPr>
          <w:tblHeader/>
        </w:trPr>
        <w:tc>
          <w:tcPr>
            <w:tcW w:w="9746" w:type="dxa"/>
            <w:gridSpan w:val="8"/>
            <w:shd w:val="clear" w:color="auto" w:fill="EEECE1"/>
          </w:tcPr>
          <w:p w:rsidR="00385835" w:rsidRPr="00385835" w:rsidRDefault="00385835" w:rsidP="00B1109C">
            <w:pPr>
              <w:widowControl w:val="0"/>
              <w:tabs>
                <w:tab w:val="left" w:pos="622"/>
              </w:tabs>
              <w:spacing w:after="0" w:line="240" w:lineRule="auto"/>
              <w:jc w:val="both"/>
              <w:rPr>
                <w:rFonts w:ascii="Times New Roman" w:eastAsia="AngsanaUPC" w:hAnsi="Times New Roman"/>
                <w:b/>
                <w:bCs/>
                <w:i/>
                <w:iCs/>
                <w:sz w:val="24"/>
                <w:szCs w:val="24"/>
                <w:lang w:eastAsia="lt-LT"/>
              </w:rPr>
            </w:pPr>
            <w:r w:rsidRPr="00385835">
              <w:rPr>
                <w:rFonts w:ascii="Times New Roman" w:eastAsia="AngsanaUPC" w:hAnsi="Times New Roman"/>
                <w:b/>
                <w:bCs/>
                <w:i/>
                <w:iCs/>
                <w:sz w:val="24"/>
                <w:szCs w:val="24"/>
                <w:lang w:eastAsia="lt-LT"/>
              </w:rPr>
              <w:t xml:space="preserve">ERPF bendrieji ir </w:t>
            </w:r>
            <w:r w:rsidR="00B1109C">
              <w:rPr>
                <w:rFonts w:ascii="Times New Roman" w:eastAsia="AngsanaUPC" w:hAnsi="Times New Roman"/>
                <w:b/>
                <w:bCs/>
                <w:i/>
                <w:iCs/>
                <w:sz w:val="24"/>
                <w:szCs w:val="24"/>
                <w:lang w:eastAsia="lt-LT"/>
              </w:rPr>
              <w:t xml:space="preserve">specialieji </w:t>
            </w:r>
            <w:r w:rsidRPr="00385835">
              <w:rPr>
                <w:rFonts w:ascii="Times New Roman" w:eastAsia="AngsanaUPC" w:hAnsi="Times New Roman"/>
                <w:b/>
                <w:bCs/>
                <w:i/>
                <w:iCs/>
                <w:sz w:val="24"/>
                <w:szCs w:val="24"/>
                <w:lang w:eastAsia="lt-LT"/>
              </w:rPr>
              <w:t>programos produkto rodikliai</w:t>
            </w:r>
          </w:p>
        </w:tc>
      </w:tr>
      <w:tr w:rsidR="00385835" w:rsidRPr="00385835" w:rsidTr="008F339D">
        <w:tblPrEx>
          <w:shd w:val="clear" w:color="auto" w:fill="auto"/>
        </w:tblPrEx>
        <w:trPr>
          <w:tblHeader/>
        </w:trPr>
        <w:tc>
          <w:tcPr>
            <w:tcW w:w="567"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Nr.</w:t>
            </w:r>
          </w:p>
        </w:tc>
        <w:tc>
          <w:tcPr>
            <w:tcW w:w="2410"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Rodiklio pavadinimas</w:t>
            </w:r>
          </w:p>
        </w:tc>
        <w:tc>
          <w:tcPr>
            <w:tcW w:w="1276"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Matavimo vienetas</w:t>
            </w:r>
          </w:p>
        </w:tc>
        <w:tc>
          <w:tcPr>
            <w:tcW w:w="850"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Fondas</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Regiono kategorija</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Siektina reikšmė (2023)</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Duomenų šaltinis</w:t>
            </w:r>
          </w:p>
        </w:tc>
        <w:tc>
          <w:tcPr>
            <w:tcW w:w="124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Atsiskaitymo dažnumas</w:t>
            </w:r>
          </w:p>
        </w:tc>
      </w:tr>
      <w:tr w:rsidR="00385835" w:rsidRPr="00385835" w:rsidTr="008F339D">
        <w:tblPrEx>
          <w:shd w:val="clear" w:color="auto" w:fill="auto"/>
        </w:tblPrEx>
        <w:tc>
          <w:tcPr>
            <w:tcW w:w="56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w:t>
            </w:r>
          </w:p>
        </w:tc>
        <w:tc>
          <w:tcPr>
            <w:tcW w:w="2410" w:type="dxa"/>
            <w:shd w:val="clear" w:color="auto" w:fill="auto"/>
            <w:vAlign w:val="center"/>
          </w:tcPr>
          <w:p w:rsidR="00385835" w:rsidRPr="00385835" w:rsidRDefault="00385835" w:rsidP="00385835">
            <w:pPr>
              <w:widowControl w:val="0"/>
              <w:tabs>
                <w:tab w:val="left" w:pos="622"/>
              </w:tabs>
              <w:spacing w:after="0" w:line="240" w:lineRule="auto"/>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Investicijas gavę socialinių paslaugų infrastruktūros objektai</w:t>
            </w:r>
          </w:p>
        </w:tc>
        <w:tc>
          <w:tcPr>
            <w:tcW w:w="1276"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Skaičius</w:t>
            </w:r>
          </w:p>
        </w:tc>
        <w:tc>
          <w:tcPr>
            <w:tcW w:w="850"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ERPF</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hAnsi="Times New Roman"/>
                <w:sz w:val="18"/>
                <w:szCs w:val="18"/>
              </w:rPr>
              <w:t>Mažiau išsivystęs</w:t>
            </w:r>
          </w:p>
        </w:tc>
        <w:tc>
          <w:tcPr>
            <w:tcW w:w="1134" w:type="dxa"/>
            <w:shd w:val="clear" w:color="auto" w:fill="auto"/>
            <w:vAlign w:val="center"/>
          </w:tcPr>
          <w:p w:rsidR="00385835" w:rsidRPr="00FC6264" w:rsidRDefault="00CB0078"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eastAsia="AngsanaUPC" w:hAnsi="Times New Roman"/>
                <w:bCs/>
                <w:iCs/>
                <w:sz w:val="18"/>
                <w:szCs w:val="18"/>
                <w:lang w:eastAsia="lt-LT"/>
              </w:rPr>
              <w:t>120</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Duomenys iš projektų</w:t>
            </w:r>
          </w:p>
        </w:tc>
        <w:tc>
          <w:tcPr>
            <w:tcW w:w="124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385835" w:rsidRPr="00385835" w:rsidTr="008F339D">
        <w:tblPrEx>
          <w:shd w:val="clear" w:color="auto" w:fill="auto"/>
        </w:tblPrEx>
        <w:tc>
          <w:tcPr>
            <w:tcW w:w="56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w:t>
            </w:r>
          </w:p>
        </w:tc>
        <w:tc>
          <w:tcPr>
            <w:tcW w:w="2410" w:type="dxa"/>
            <w:shd w:val="clear" w:color="auto" w:fill="auto"/>
            <w:vAlign w:val="center"/>
          </w:tcPr>
          <w:p w:rsidR="00385835" w:rsidRPr="00385835" w:rsidRDefault="00385835" w:rsidP="00385835">
            <w:pPr>
              <w:widowControl w:val="0"/>
              <w:tabs>
                <w:tab w:val="left" w:pos="622"/>
              </w:tabs>
              <w:spacing w:after="0" w:line="240" w:lineRule="auto"/>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Naujai įrengti ar įsigyti socialiniai būstai</w:t>
            </w:r>
          </w:p>
        </w:tc>
        <w:tc>
          <w:tcPr>
            <w:tcW w:w="1276"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Skaičius</w:t>
            </w:r>
          </w:p>
        </w:tc>
        <w:tc>
          <w:tcPr>
            <w:tcW w:w="850"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ERPF</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hAnsi="Times New Roman"/>
                <w:sz w:val="18"/>
                <w:szCs w:val="18"/>
              </w:rPr>
              <w:t>Mažiau išsivystęs</w:t>
            </w:r>
          </w:p>
        </w:tc>
        <w:tc>
          <w:tcPr>
            <w:tcW w:w="1134" w:type="dxa"/>
            <w:shd w:val="clear" w:color="auto" w:fill="auto"/>
            <w:vAlign w:val="center"/>
          </w:tcPr>
          <w:p w:rsidR="00385835" w:rsidRPr="00FC6264" w:rsidRDefault="00385835" w:rsidP="009348A3">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eastAsia="AngsanaUPC" w:hAnsi="Times New Roman"/>
                <w:bCs/>
                <w:iCs/>
                <w:sz w:val="18"/>
                <w:szCs w:val="18"/>
                <w:lang w:eastAsia="lt-LT"/>
              </w:rPr>
              <w:t>1</w:t>
            </w:r>
            <w:r w:rsidR="009348A3" w:rsidRPr="00FC6264">
              <w:rPr>
                <w:rFonts w:ascii="Times New Roman" w:eastAsia="AngsanaUPC" w:hAnsi="Times New Roman"/>
                <w:bCs/>
                <w:iCs/>
                <w:sz w:val="18"/>
                <w:szCs w:val="18"/>
                <w:lang w:eastAsia="lt-LT"/>
              </w:rPr>
              <w:t>.</w:t>
            </w:r>
            <w:r w:rsidR="00D37DF5" w:rsidRPr="00FC6264">
              <w:rPr>
                <w:rFonts w:ascii="Times New Roman" w:eastAsia="AngsanaUPC" w:hAnsi="Times New Roman"/>
                <w:bCs/>
                <w:iCs/>
                <w:sz w:val="18"/>
                <w:szCs w:val="18"/>
                <w:lang w:eastAsia="lt-LT"/>
              </w:rPr>
              <w:t>80</w:t>
            </w:r>
            <w:r w:rsidRPr="00FC6264">
              <w:rPr>
                <w:rFonts w:ascii="Times New Roman" w:eastAsia="AngsanaUPC" w:hAnsi="Times New Roman"/>
                <w:bCs/>
                <w:iCs/>
                <w:sz w:val="18"/>
                <w:szCs w:val="18"/>
                <w:lang w:eastAsia="lt-LT"/>
              </w:rPr>
              <w:t>0</w:t>
            </w:r>
          </w:p>
        </w:tc>
        <w:tc>
          <w:tcPr>
            <w:tcW w:w="1134" w:type="dxa"/>
            <w:shd w:val="clear" w:color="auto" w:fill="auto"/>
            <w:vAlign w:val="center"/>
          </w:tcPr>
          <w:p w:rsidR="00385835" w:rsidRPr="00D54F90"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D54F90">
              <w:rPr>
                <w:rFonts w:ascii="Times New Roman" w:eastAsia="AngsanaUPC" w:hAnsi="Times New Roman"/>
                <w:bCs/>
                <w:iCs/>
                <w:sz w:val="18"/>
                <w:szCs w:val="18"/>
                <w:lang w:eastAsia="lt-LT"/>
              </w:rPr>
              <w:t>Duomenys iš projektų</w:t>
            </w:r>
          </w:p>
        </w:tc>
        <w:tc>
          <w:tcPr>
            <w:tcW w:w="124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385835" w:rsidRPr="00385835" w:rsidTr="008F339D">
        <w:tblPrEx>
          <w:shd w:val="clear" w:color="auto" w:fill="auto"/>
        </w:tblPrEx>
        <w:tc>
          <w:tcPr>
            <w:tcW w:w="56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3.</w:t>
            </w:r>
          </w:p>
        </w:tc>
        <w:tc>
          <w:tcPr>
            <w:tcW w:w="2410" w:type="dxa"/>
            <w:shd w:val="clear" w:color="auto" w:fill="auto"/>
            <w:vAlign w:val="center"/>
          </w:tcPr>
          <w:p w:rsidR="00385835" w:rsidRPr="00385835" w:rsidRDefault="00385835" w:rsidP="00385835">
            <w:pPr>
              <w:widowControl w:val="0"/>
              <w:tabs>
                <w:tab w:val="left" w:pos="622"/>
              </w:tabs>
              <w:spacing w:after="0" w:line="240" w:lineRule="auto"/>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 xml:space="preserve">Gyventojai, turintys galimybę pasinaudoti pagerintomis sveikatos </w:t>
            </w:r>
            <w:r w:rsidR="00B1109C">
              <w:rPr>
                <w:rFonts w:ascii="Times New Roman" w:eastAsia="AngsanaUPC" w:hAnsi="Times New Roman"/>
                <w:bCs/>
                <w:iCs/>
                <w:sz w:val="18"/>
                <w:szCs w:val="18"/>
                <w:lang w:eastAsia="lt-LT"/>
              </w:rPr>
              <w:t xml:space="preserve">priežiūros </w:t>
            </w:r>
            <w:r w:rsidRPr="00385835">
              <w:rPr>
                <w:rFonts w:ascii="Times New Roman" w:eastAsia="AngsanaUPC" w:hAnsi="Times New Roman"/>
                <w:bCs/>
                <w:iCs/>
                <w:sz w:val="18"/>
                <w:szCs w:val="18"/>
                <w:lang w:eastAsia="lt-LT"/>
              </w:rPr>
              <w:t>paslaugomis</w:t>
            </w:r>
          </w:p>
        </w:tc>
        <w:tc>
          <w:tcPr>
            <w:tcW w:w="1276"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Asmenys</w:t>
            </w:r>
          </w:p>
        </w:tc>
        <w:tc>
          <w:tcPr>
            <w:tcW w:w="850"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ERPF</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hAnsi="Times New Roman"/>
                <w:sz w:val="18"/>
                <w:szCs w:val="18"/>
              </w:rPr>
              <w:t>Mažiau išsivystęs</w:t>
            </w:r>
          </w:p>
        </w:tc>
        <w:tc>
          <w:tcPr>
            <w:tcW w:w="1134" w:type="dxa"/>
            <w:shd w:val="clear" w:color="auto" w:fill="auto"/>
            <w:vAlign w:val="center"/>
          </w:tcPr>
          <w:p w:rsidR="00385835" w:rsidRPr="00FC6264" w:rsidRDefault="00385835" w:rsidP="009348A3">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eastAsia="AngsanaUPC" w:hAnsi="Times New Roman"/>
                <w:bCs/>
                <w:iCs/>
                <w:sz w:val="18"/>
                <w:szCs w:val="18"/>
                <w:lang w:eastAsia="lt-LT"/>
              </w:rPr>
              <w:t>1</w:t>
            </w:r>
            <w:r w:rsidR="009348A3" w:rsidRPr="00FC6264">
              <w:rPr>
                <w:rFonts w:ascii="Times New Roman" w:eastAsia="AngsanaUPC" w:hAnsi="Times New Roman"/>
                <w:bCs/>
                <w:iCs/>
                <w:sz w:val="18"/>
                <w:szCs w:val="18"/>
                <w:lang w:eastAsia="lt-LT"/>
              </w:rPr>
              <w:t>.</w:t>
            </w:r>
            <w:r w:rsidRPr="00FC6264">
              <w:rPr>
                <w:rFonts w:ascii="Times New Roman" w:eastAsia="AngsanaUPC" w:hAnsi="Times New Roman"/>
                <w:bCs/>
                <w:iCs/>
                <w:sz w:val="18"/>
                <w:szCs w:val="18"/>
                <w:lang w:eastAsia="lt-LT"/>
              </w:rPr>
              <w:t>000</w:t>
            </w:r>
            <w:r w:rsidR="009348A3" w:rsidRPr="00FC6264">
              <w:rPr>
                <w:rFonts w:ascii="Times New Roman" w:eastAsia="AngsanaUPC" w:hAnsi="Times New Roman"/>
                <w:bCs/>
                <w:iCs/>
                <w:sz w:val="18"/>
                <w:szCs w:val="18"/>
                <w:lang w:eastAsia="lt-LT"/>
              </w:rPr>
              <w:t>.</w:t>
            </w:r>
            <w:r w:rsidRPr="00FC6264">
              <w:rPr>
                <w:rFonts w:ascii="Times New Roman" w:eastAsia="AngsanaUPC" w:hAnsi="Times New Roman"/>
                <w:bCs/>
                <w:iCs/>
                <w:sz w:val="18"/>
                <w:szCs w:val="18"/>
                <w:lang w:eastAsia="lt-LT"/>
              </w:rPr>
              <w:t>000</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Duomenys iš projektų</w:t>
            </w:r>
          </w:p>
        </w:tc>
        <w:tc>
          <w:tcPr>
            <w:tcW w:w="124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385835" w:rsidRPr="00385835" w:rsidTr="008F339D">
        <w:tblPrEx>
          <w:shd w:val="clear" w:color="auto" w:fill="auto"/>
        </w:tblPrEx>
        <w:tc>
          <w:tcPr>
            <w:tcW w:w="56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 xml:space="preserve">4. </w:t>
            </w:r>
          </w:p>
        </w:tc>
        <w:tc>
          <w:tcPr>
            <w:tcW w:w="2410" w:type="dxa"/>
            <w:shd w:val="clear" w:color="auto" w:fill="auto"/>
            <w:vAlign w:val="center"/>
          </w:tcPr>
          <w:p w:rsidR="00385835" w:rsidRPr="00385835" w:rsidRDefault="00385835" w:rsidP="00385835">
            <w:pPr>
              <w:widowControl w:val="0"/>
              <w:tabs>
                <w:tab w:val="left" w:pos="622"/>
              </w:tabs>
              <w:spacing w:after="0" w:line="240" w:lineRule="auto"/>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Viešąsias sveikatos priežiūros paslaugas teikiančių įstaigų, kuriose pagerinta paslaugų teikimo infrastruktūra, skaičius</w:t>
            </w:r>
          </w:p>
        </w:tc>
        <w:tc>
          <w:tcPr>
            <w:tcW w:w="1276"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Skaičius</w:t>
            </w:r>
          </w:p>
        </w:tc>
        <w:tc>
          <w:tcPr>
            <w:tcW w:w="850"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ERPF</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Mažiau išsivystęs</w:t>
            </w:r>
          </w:p>
        </w:tc>
        <w:tc>
          <w:tcPr>
            <w:tcW w:w="1134" w:type="dxa"/>
            <w:shd w:val="clear" w:color="auto" w:fill="auto"/>
            <w:vAlign w:val="center"/>
          </w:tcPr>
          <w:p w:rsidR="00385835" w:rsidRPr="00FC6264" w:rsidRDefault="00CB0078"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eastAsia="AngsanaUPC" w:hAnsi="Times New Roman"/>
                <w:bCs/>
                <w:iCs/>
                <w:sz w:val="18"/>
                <w:szCs w:val="18"/>
                <w:lang w:eastAsia="lt-LT"/>
              </w:rPr>
              <w:t>240</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Duomenys iš projektų</w:t>
            </w:r>
          </w:p>
        </w:tc>
        <w:tc>
          <w:tcPr>
            <w:tcW w:w="124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921DC0" w:rsidRPr="008F339D" w:rsidTr="008F339D">
        <w:tblPrEx>
          <w:shd w:val="clear" w:color="auto" w:fill="auto"/>
        </w:tblPrEx>
        <w:tc>
          <w:tcPr>
            <w:tcW w:w="567" w:type="dxa"/>
            <w:shd w:val="clear" w:color="auto" w:fill="auto"/>
            <w:vAlign w:val="center"/>
          </w:tcPr>
          <w:p w:rsidR="00921DC0" w:rsidRPr="008F339D" w:rsidRDefault="00921DC0"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8F339D">
              <w:rPr>
                <w:rFonts w:ascii="Times New Roman" w:hAnsi="Times New Roman"/>
                <w:bCs/>
                <w:iCs/>
                <w:sz w:val="18"/>
                <w:szCs w:val="18"/>
                <w:lang w:eastAsia="lt-LT"/>
              </w:rPr>
              <w:t>5.</w:t>
            </w:r>
          </w:p>
        </w:tc>
        <w:tc>
          <w:tcPr>
            <w:tcW w:w="2410" w:type="dxa"/>
            <w:shd w:val="clear" w:color="auto" w:fill="auto"/>
            <w:vAlign w:val="center"/>
          </w:tcPr>
          <w:p w:rsidR="00921DC0" w:rsidRPr="008F339D" w:rsidRDefault="00921DC0" w:rsidP="00385835">
            <w:pPr>
              <w:widowControl w:val="0"/>
              <w:tabs>
                <w:tab w:val="left" w:pos="622"/>
              </w:tabs>
              <w:spacing w:after="0" w:line="240" w:lineRule="auto"/>
              <w:rPr>
                <w:rFonts w:ascii="Times New Roman" w:eastAsia="AngsanaUPC" w:hAnsi="Times New Roman"/>
                <w:bCs/>
                <w:iCs/>
                <w:sz w:val="18"/>
                <w:szCs w:val="18"/>
                <w:lang w:eastAsia="lt-LT"/>
              </w:rPr>
            </w:pPr>
            <w:r w:rsidRPr="008F339D">
              <w:rPr>
                <w:rFonts w:ascii="Times New Roman" w:hAnsi="Times New Roman"/>
                <w:color w:val="000000"/>
                <w:sz w:val="18"/>
                <w:szCs w:val="18"/>
                <w:lang w:eastAsia="lt-LT"/>
              </w:rPr>
              <w:t xml:space="preserve">Įsigytos medicininės įrangos </w:t>
            </w:r>
            <w:r w:rsidRPr="008F339D">
              <w:rPr>
                <w:rFonts w:ascii="Times New Roman" w:hAnsi="Times New Roman"/>
                <w:color w:val="000000"/>
                <w:sz w:val="18"/>
                <w:szCs w:val="18"/>
                <w:lang w:eastAsia="lt-LT"/>
              </w:rPr>
              <w:lastRenderedPageBreak/>
              <w:t>vertė</w:t>
            </w:r>
          </w:p>
        </w:tc>
        <w:tc>
          <w:tcPr>
            <w:tcW w:w="1276" w:type="dxa"/>
            <w:shd w:val="clear" w:color="auto" w:fill="auto"/>
            <w:vAlign w:val="center"/>
          </w:tcPr>
          <w:p w:rsidR="00921DC0" w:rsidRPr="008F339D" w:rsidRDefault="00921DC0"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8F339D">
              <w:rPr>
                <w:rFonts w:ascii="Times New Roman" w:hAnsi="Times New Roman"/>
                <w:bCs/>
                <w:iCs/>
                <w:sz w:val="18"/>
                <w:szCs w:val="18"/>
                <w:lang w:eastAsia="lt-LT"/>
              </w:rPr>
              <w:lastRenderedPageBreak/>
              <w:t>Eurai</w:t>
            </w:r>
          </w:p>
        </w:tc>
        <w:tc>
          <w:tcPr>
            <w:tcW w:w="850" w:type="dxa"/>
            <w:shd w:val="clear" w:color="auto" w:fill="auto"/>
            <w:vAlign w:val="center"/>
          </w:tcPr>
          <w:p w:rsidR="00921DC0" w:rsidRPr="008F339D" w:rsidRDefault="00921DC0"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8F339D">
              <w:rPr>
                <w:rFonts w:ascii="Times New Roman" w:hAnsi="Times New Roman"/>
                <w:bCs/>
                <w:iCs/>
                <w:sz w:val="18"/>
                <w:szCs w:val="18"/>
                <w:lang w:eastAsia="lt-LT"/>
              </w:rPr>
              <w:t>ERPF</w:t>
            </w:r>
          </w:p>
        </w:tc>
        <w:tc>
          <w:tcPr>
            <w:tcW w:w="1134" w:type="dxa"/>
            <w:shd w:val="clear" w:color="auto" w:fill="auto"/>
            <w:vAlign w:val="center"/>
          </w:tcPr>
          <w:p w:rsidR="00921DC0" w:rsidRPr="008F339D" w:rsidRDefault="00921DC0" w:rsidP="00385835">
            <w:pPr>
              <w:widowControl w:val="0"/>
              <w:tabs>
                <w:tab w:val="left" w:pos="622"/>
              </w:tabs>
              <w:spacing w:after="0" w:line="240" w:lineRule="auto"/>
              <w:jc w:val="center"/>
              <w:rPr>
                <w:rFonts w:ascii="Times New Roman" w:hAnsi="Times New Roman"/>
                <w:sz w:val="18"/>
                <w:szCs w:val="18"/>
              </w:rPr>
            </w:pPr>
            <w:r w:rsidRPr="008F339D">
              <w:rPr>
                <w:rFonts w:ascii="Times New Roman" w:hAnsi="Times New Roman"/>
                <w:bCs/>
                <w:iCs/>
                <w:sz w:val="18"/>
                <w:szCs w:val="18"/>
                <w:lang w:eastAsia="lt-LT"/>
              </w:rPr>
              <w:t xml:space="preserve">Mažiau </w:t>
            </w:r>
            <w:r w:rsidRPr="008F339D">
              <w:rPr>
                <w:rFonts w:ascii="Times New Roman" w:hAnsi="Times New Roman"/>
                <w:bCs/>
                <w:iCs/>
                <w:sz w:val="18"/>
                <w:szCs w:val="18"/>
                <w:lang w:eastAsia="lt-LT"/>
              </w:rPr>
              <w:lastRenderedPageBreak/>
              <w:t>išsivystęs</w:t>
            </w:r>
          </w:p>
        </w:tc>
        <w:tc>
          <w:tcPr>
            <w:tcW w:w="1134" w:type="dxa"/>
            <w:shd w:val="clear" w:color="auto" w:fill="auto"/>
            <w:vAlign w:val="center"/>
          </w:tcPr>
          <w:p w:rsidR="00921DC0" w:rsidRPr="008F339D" w:rsidRDefault="00921DC0"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8F339D">
              <w:rPr>
                <w:rFonts w:ascii="Times New Roman" w:hAnsi="Times New Roman"/>
                <w:bCs/>
                <w:sz w:val="18"/>
                <w:szCs w:val="18"/>
                <w:lang w:eastAsia="lt-LT"/>
              </w:rPr>
              <w:lastRenderedPageBreak/>
              <w:t>26.592.700</w:t>
            </w:r>
          </w:p>
        </w:tc>
        <w:tc>
          <w:tcPr>
            <w:tcW w:w="1134" w:type="dxa"/>
            <w:shd w:val="clear" w:color="auto" w:fill="auto"/>
            <w:vAlign w:val="center"/>
          </w:tcPr>
          <w:p w:rsidR="00921DC0" w:rsidRPr="008F339D" w:rsidRDefault="00921DC0"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8F339D">
              <w:rPr>
                <w:rFonts w:ascii="Times New Roman" w:hAnsi="Times New Roman"/>
                <w:bCs/>
                <w:iCs/>
                <w:sz w:val="18"/>
                <w:szCs w:val="18"/>
                <w:lang w:eastAsia="lt-LT"/>
              </w:rPr>
              <w:t xml:space="preserve">Duomenys </w:t>
            </w:r>
            <w:r w:rsidRPr="008F339D">
              <w:rPr>
                <w:rFonts w:ascii="Times New Roman" w:hAnsi="Times New Roman"/>
                <w:bCs/>
                <w:iCs/>
                <w:sz w:val="18"/>
                <w:szCs w:val="18"/>
                <w:lang w:eastAsia="lt-LT"/>
              </w:rPr>
              <w:lastRenderedPageBreak/>
              <w:t>iš projektų</w:t>
            </w:r>
          </w:p>
        </w:tc>
        <w:tc>
          <w:tcPr>
            <w:tcW w:w="1241" w:type="dxa"/>
            <w:shd w:val="clear" w:color="auto" w:fill="auto"/>
            <w:vAlign w:val="center"/>
          </w:tcPr>
          <w:p w:rsidR="00921DC0" w:rsidRPr="008F339D" w:rsidRDefault="00921DC0"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8F339D">
              <w:rPr>
                <w:rFonts w:ascii="Times New Roman" w:hAnsi="Times New Roman"/>
                <w:bCs/>
                <w:iCs/>
                <w:sz w:val="18"/>
                <w:szCs w:val="18"/>
                <w:lang w:eastAsia="lt-LT"/>
              </w:rPr>
              <w:lastRenderedPageBreak/>
              <w:t xml:space="preserve">Kartą per </w:t>
            </w:r>
            <w:r w:rsidRPr="008F339D">
              <w:rPr>
                <w:rFonts w:ascii="Times New Roman" w:hAnsi="Times New Roman"/>
                <w:bCs/>
                <w:iCs/>
                <w:sz w:val="18"/>
                <w:szCs w:val="18"/>
                <w:lang w:eastAsia="lt-LT"/>
              </w:rPr>
              <w:lastRenderedPageBreak/>
              <w:t>metus</w:t>
            </w:r>
          </w:p>
        </w:tc>
      </w:tr>
      <w:tr w:rsidR="00921DC0" w:rsidRPr="008F339D" w:rsidTr="008F339D">
        <w:tblPrEx>
          <w:shd w:val="clear" w:color="auto" w:fill="auto"/>
        </w:tblPrEx>
        <w:tc>
          <w:tcPr>
            <w:tcW w:w="567" w:type="dxa"/>
            <w:shd w:val="clear" w:color="auto" w:fill="auto"/>
            <w:vAlign w:val="center"/>
          </w:tcPr>
          <w:p w:rsidR="00921DC0" w:rsidRPr="008F339D" w:rsidRDefault="00921DC0"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8F339D">
              <w:rPr>
                <w:rFonts w:ascii="Times New Roman" w:hAnsi="Times New Roman"/>
                <w:bCs/>
                <w:iCs/>
                <w:sz w:val="18"/>
                <w:szCs w:val="18"/>
                <w:lang w:eastAsia="lt-LT"/>
              </w:rPr>
              <w:lastRenderedPageBreak/>
              <w:t>6.</w:t>
            </w:r>
          </w:p>
        </w:tc>
        <w:tc>
          <w:tcPr>
            <w:tcW w:w="2410" w:type="dxa"/>
            <w:shd w:val="clear" w:color="auto" w:fill="auto"/>
            <w:vAlign w:val="center"/>
          </w:tcPr>
          <w:p w:rsidR="00921DC0" w:rsidRPr="008F339D" w:rsidRDefault="00921DC0" w:rsidP="00385835">
            <w:pPr>
              <w:widowControl w:val="0"/>
              <w:tabs>
                <w:tab w:val="left" w:pos="622"/>
              </w:tabs>
              <w:spacing w:after="0" w:line="240" w:lineRule="auto"/>
              <w:rPr>
                <w:rFonts w:ascii="Times New Roman" w:eastAsia="AngsanaUPC" w:hAnsi="Times New Roman"/>
                <w:bCs/>
                <w:iCs/>
                <w:sz w:val="18"/>
                <w:szCs w:val="18"/>
                <w:lang w:eastAsia="lt-LT"/>
              </w:rPr>
            </w:pPr>
            <w:r w:rsidRPr="008F339D">
              <w:rPr>
                <w:rFonts w:ascii="Times New Roman" w:hAnsi="Times New Roman"/>
                <w:sz w:val="18"/>
                <w:szCs w:val="18"/>
              </w:rPr>
              <w:t xml:space="preserve">Informacinių technologijų, </w:t>
            </w:r>
            <w:r w:rsidRPr="008F339D">
              <w:rPr>
                <w:rFonts w:ascii="Times New Roman" w:hAnsi="Times New Roman"/>
                <w:color w:val="000000"/>
                <w:sz w:val="18"/>
                <w:szCs w:val="18"/>
                <w:lang w:eastAsia="lt-LT"/>
              </w:rPr>
              <w:t xml:space="preserve">susijusių su COVID-19, vertė </w:t>
            </w:r>
          </w:p>
        </w:tc>
        <w:tc>
          <w:tcPr>
            <w:tcW w:w="1276" w:type="dxa"/>
            <w:shd w:val="clear" w:color="auto" w:fill="auto"/>
            <w:vAlign w:val="center"/>
          </w:tcPr>
          <w:p w:rsidR="00921DC0" w:rsidRPr="008F339D" w:rsidRDefault="00921DC0"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8F339D">
              <w:rPr>
                <w:rFonts w:ascii="Times New Roman" w:hAnsi="Times New Roman"/>
                <w:bCs/>
                <w:iCs/>
                <w:sz w:val="18"/>
                <w:szCs w:val="18"/>
                <w:lang w:eastAsia="lt-LT"/>
              </w:rPr>
              <w:t>Eurai</w:t>
            </w:r>
          </w:p>
        </w:tc>
        <w:tc>
          <w:tcPr>
            <w:tcW w:w="850" w:type="dxa"/>
            <w:shd w:val="clear" w:color="auto" w:fill="auto"/>
            <w:vAlign w:val="center"/>
          </w:tcPr>
          <w:p w:rsidR="00921DC0" w:rsidRPr="008F339D" w:rsidRDefault="00921DC0"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8F339D">
              <w:rPr>
                <w:rFonts w:ascii="Times New Roman" w:hAnsi="Times New Roman"/>
                <w:bCs/>
                <w:iCs/>
                <w:sz w:val="18"/>
                <w:szCs w:val="18"/>
                <w:lang w:eastAsia="lt-LT"/>
              </w:rPr>
              <w:t>ERPF</w:t>
            </w:r>
          </w:p>
        </w:tc>
        <w:tc>
          <w:tcPr>
            <w:tcW w:w="1134" w:type="dxa"/>
            <w:shd w:val="clear" w:color="auto" w:fill="auto"/>
            <w:vAlign w:val="center"/>
          </w:tcPr>
          <w:p w:rsidR="00921DC0" w:rsidRPr="008F339D" w:rsidRDefault="00921DC0" w:rsidP="00385835">
            <w:pPr>
              <w:widowControl w:val="0"/>
              <w:tabs>
                <w:tab w:val="left" w:pos="622"/>
              </w:tabs>
              <w:spacing w:after="0" w:line="240" w:lineRule="auto"/>
              <w:jc w:val="center"/>
              <w:rPr>
                <w:rFonts w:ascii="Times New Roman" w:hAnsi="Times New Roman"/>
                <w:sz w:val="18"/>
                <w:szCs w:val="18"/>
              </w:rPr>
            </w:pPr>
            <w:r w:rsidRPr="008F339D">
              <w:rPr>
                <w:rFonts w:ascii="Times New Roman" w:hAnsi="Times New Roman"/>
                <w:bCs/>
                <w:iCs/>
                <w:sz w:val="18"/>
                <w:szCs w:val="18"/>
                <w:lang w:eastAsia="lt-LT"/>
              </w:rPr>
              <w:t>Mažiau išsivystęs</w:t>
            </w:r>
          </w:p>
        </w:tc>
        <w:tc>
          <w:tcPr>
            <w:tcW w:w="1134" w:type="dxa"/>
            <w:shd w:val="clear" w:color="auto" w:fill="auto"/>
            <w:vAlign w:val="center"/>
          </w:tcPr>
          <w:p w:rsidR="00921DC0" w:rsidRPr="008F339D" w:rsidRDefault="00921DC0"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8F339D">
              <w:rPr>
                <w:rFonts w:ascii="Times New Roman" w:hAnsi="Times New Roman"/>
                <w:bCs/>
                <w:sz w:val="18"/>
                <w:szCs w:val="18"/>
                <w:lang w:eastAsia="lt-LT"/>
              </w:rPr>
              <w:t>873.580</w:t>
            </w:r>
          </w:p>
        </w:tc>
        <w:tc>
          <w:tcPr>
            <w:tcW w:w="1134" w:type="dxa"/>
            <w:shd w:val="clear" w:color="auto" w:fill="auto"/>
            <w:vAlign w:val="center"/>
          </w:tcPr>
          <w:p w:rsidR="00921DC0" w:rsidRPr="008F339D" w:rsidRDefault="00921DC0"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8F339D">
              <w:rPr>
                <w:rFonts w:ascii="Times New Roman" w:hAnsi="Times New Roman"/>
                <w:bCs/>
                <w:iCs/>
                <w:sz w:val="18"/>
                <w:szCs w:val="18"/>
                <w:lang w:eastAsia="lt-LT"/>
              </w:rPr>
              <w:t>Duomenys iš projektų</w:t>
            </w:r>
          </w:p>
        </w:tc>
        <w:tc>
          <w:tcPr>
            <w:tcW w:w="1241" w:type="dxa"/>
            <w:shd w:val="clear" w:color="auto" w:fill="auto"/>
            <w:vAlign w:val="center"/>
          </w:tcPr>
          <w:p w:rsidR="00921DC0" w:rsidRPr="008F339D" w:rsidRDefault="00921DC0"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8F339D">
              <w:rPr>
                <w:rFonts w:ascii="Times New Roman" w:hAnsi="Times New Roman"/>
                <w:bCs/>
                <w:iCs/>
                <w:sz w:val="18"/>
                <w:szCs w:val="18"/>
                <w:lang w:eastAsia="lt-LT"/>
              </w:rPr>
              <w:t>Kartą per metus</w:t>
            </w:r>
          </w:p>
        </w:tc>
      </w:tr>
      <w:tr w:rsidR="00921DC0" w:rsidRPr="008F339D" w:rsidTr="008F339D">
        <w:tblPrEx>
          <w:shd w:val="clear" w:color="auto" w:fill="auto"/>
        </w:tblPrEx>
        <w:tc>
          <w:tcPr>
            <w:tcW w:w="567" w:type="dxa"/>
            <w:shd w:val="clear" w:color="auto" w:fill="auto"/>
            <w:vAlign w:val="center"/>
          </w:tcPr>
          <w:p w:rsidR="00921DC0" w:rsidRPr="008F339D" w:rsidRDefault="00921DC0"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8F339D">
              <w:rPr>
                <w:rFonts w:ascii="Times New Roman" w:hAnsi="Times New Roman"/>
                <w:bCs/>
                <w:iCs/>
                <w:sz w:val="18"/>
                <w:szCs w:val="18"/>
                <w:lang w:eastAsia="lt-LT"/>
              </w:rPr>
              <w:t>7.</w:t>
            </w:r>
          </w:p>
        </w:tc>
        <w:tc>
          <w:tcPr>
            <w:tcW w:w="2410" w:type="dxa"/>
            <w:shd w:val="clear" w:color="auto" w:fill="auto"/>
            <w:vAlign w:val="center"/>
          </w:tcPr>
          <w:p w:rsidR="00921DC0" w:rsidRPr="008F339D" w:rsidRDefault="00921DC0" w:rsidP="00385835">
            <w:pPr>
              <w:widowControl w:val="0"/>
              <w:tabs>
                <w:tab w:val="left" w:pos="622"/>
              </w:tabs>
              <w:spacing w:after="0" w:line="240" w:lineRule="auto"/>
              <w:rPr>
                <w:rFonts w:ascii="Times New Roman" w:eastAsia="AngsanaUPC" w:hAnsi="Times New Roman"/>
                <w:bCs/>
                <w:iCs/>
                <w:sz w:val="18"/>
                <w:szCs w:val="18"/>
                <w:lang w:eastAsia="lt-LT"/>
              </w:rPr>
            </w:pPr>
            <w:r w:rsidRPr="008F339D">
              <w:rPr>
                <w:rFonts w:ascii="Times New Roman" w:hAnsi="Times New Roman"/>
                <w:color w:val="000000"/>
                <w:sz w:val="18"/>
                <w:szCs w:val="18"/>
                <w:lang w:eastAsia="lt-LT"/>
              </w:rPr>
              <w:t>Sveikatos apsaugos sektoriuje naudojamų informacinių technologijų, susijusių su COVID-19, vertė</w:t>
            </w:r>
          </w:p>
        </w:tc>
        <w:tc>
          <w:tcPr>
            <w:tcW w:w="1276" w:type="dxa"/>
            <w:shd w:val="clear" w:color="auto" w:fill="auto"/>
            <w:vAlign w:val="center"/>
          </w:tcPr>
          <w:p w:rsidR="00921DC0" w:rsidRPr="008F339D" w:rsidRDefault="00921DC0"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8F339D">
              <w:rPr>
                <w:rFonts w:ascii="Times New Roman" w:hAnsi="Times New Roman"/>
                <w:bCs/>
                <w:iCs/>
                <w:sz w:val="18"/>
                <w:szCs w:val="18"/>
                <w:lang w:eastAsia="lt-LT"/>
              </w:rPr>
              <w:t>Eurai</w:t>
            </w:r>
          </w:p>
        </w:tc>
        <w:tc>
          <w:tcPr>
            <w:tcW w:w="850" w:type="dxa"/>
            <w:shd w:val="clear" w:color="auto" w:fill="auto"/>
            <w:vAlign w:val="center"/>
          </w:tcPr>
          <w:p w:rsidR="00921DC0" w:rsidRPr="008F339D" w:rsidRDefault="00921DC0"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8F339D">
              <w:rPr>
                <w:rFonts w:ascii="Times New Roman" w:hAnsi="Times New Roman"/>
                <w:bCs/>
                <w:iCs/>
                <w:sz w:val="18"/>
                <w:szCs w:val="18"/>
                <w:lang w:eastAsia="lt-LT"/>
              </w:rPr>
              <w:t>ERPF</w:t>
            </w:r>
          </w:p>
        </w:tc>
        <w:tc>
          <w:tcPr>
            <w:tcW w:w="1134" w:type="dxa"/>
            <w:shd w:val="clear" w:color="auto" w:fill="auto"/>
            <w:vAlign w:val="center"/>
          </w:tcPr>
          <w:p w:rsidR="00921DC0" w:rsidRPr="008F339D" w:rsidRDefault="00921DC0" w:rsidP="00385835">
            <w:pPr>
              <w:widowControl w:val="0"/>
              <w:tabs>
                <w:tab w:val="left" w:pos="622"/>
              </w:tabs>
              <w:spacing w:after="0" w:line="240" w:lineRule="auto"/>
              <w:jc w:val="center"/>
              <w:rPr>
                <w:rFonts w:ascii="Times New Roman" w:hAnsi="Times New Roman"/>
                <w:sz w:val="18"/>
                <w:szCs w:val="18"/>
              </w:rPr>
            </w:pPr>
            <w:r w:rsidRPr="008F339D">
              <w:rPr>
                <w:rFonts w:ascii="Times New Roman" w:hAnsi="Times New Roman"/>
                <w:bCs/>
                <w:iCs/>
                <w:sz w:val="18"/>
                <w:szCs w:val="18"/>
                <w:lang w:eastAsia="lt-LT"/>
              </w:rPr>
              <w:t>Mažiau išsivystęs</w:t>
            </w:r>
          </w:p>
        </w:tc>
        <w:tc>
          <w:tcPr>
            <w:tcW w:w="1134" w:type="dxa"/>
            <w:shd w:val="clear" w:color="auto" w:fill="auto"/>
            <w:vAlign w:val="center"/>
          </w:tcPr>
          <w:p w:rsidR="00921DC0" w:rsidRPr="008F339D" w:rsidRDefault="00921DC0"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8F339D">
              <w:rPr>
                <w:rFonts w:ascii="Times New Roman" w:hAnsi="Times New Roman"/>
                <w:bCs/>
                <w:sz w:val="18"/>
                <w:szCs w:val="18"/>
                <w:lang w:eastAsia="lt-LT"/>
              </w:rPr>
              <w:t>873.580</w:t>
            </w:r>
          </w:p>
        </w:tc>
        <w:tc>
          <w:tcPr>
            <w:tcW w:w="1134" w:type="dxa"/>
            <w:shd w:val="clear" w:color="auto" w:fill="auto"/>
            <w:vAlign w:val="center"/>
          </w:tcPr>
          <w:p w:rsidR="00921DC0" w:rsidRPr="008F339D" w:rsidRDefault="00921DC0"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8F339D">
              <w:rPr>
                <w:rFonts w:ascii="Times New Roman" w:hAnsi="Times New Roman"/>
                <w:bCs/>
                <w:iCs/>
                <w:sz w:val="18"/>
                <w:szCs w:val="18"/>
                <w:lang w:eastAsia="lt-LT"/>
              </w:rPr>
              <w:t>Duomenys iš projektų</w:t>
            </w:r>
          </w:p>
        </w:tc>
        <w:tc>
          <w:tcPr>
            <w:tcW w:w="1241" w:type="dxa"/>
            <w:shd w:val="clear" w:color="auto" w:fill="auto"/>
            <w:vAlign w:val="center"/>
          </w:tcPr>
          <w:p w:rsidR="00921DC0" w:rsidRPr="008F339D" w:rsidRDefault="00921DC0"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8F339D">
              <w:rPr>
                <w:rFonts w:ascii="Times New Roman" w:hAnsi="Times New Roman"/>
                <w:bCs/>
                <w:iCs/>
                <w:sz w:val="18"/>
                <w:szCs w:val="18"/>
                <w:lang w:eastAsia="lt-LT"/>
              </w:rPr>
              <w:t>Kartą per metus</w:t>
            </w:r>
          </w:p>
        </w:tc>
      </w:tr>
      <w:tr w:rsidR="00921DC0" w:rsidRPr="008F339D" w:rsidTr="008F339D">
        <w:tblPrEx>
          <w:shd w:val="clear" w:color="auto" w:fill="auto"/>
        </w:tblPrEx>
        <w:tc>
          <w:tcPr>
            <w:tcW w:w="567" w:type="dxa"/>
            <w:shd w:val="clear" w:color="auto" w:fill="auto"/>
            <w:vAlign w:val="center"/>
          </w:tcPr>
          <w:p w:rsidR="00921DC0" w:rsidRPr="008F339D" w:rsidRDefault="00921DC0"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8F339D">
              <w:rPr>
                <w:rFonts w:ascii="Times New Roman" w:hAnsi="Times New Roman"/>
                <w:bCs/>
                <w:iCs/>
                <w:sz w:val="18"/>
                <w:szCs w:val="18"/>
                <w:lang w:val="en-US" w:eastAsia="lt-LT"/>
              </w:rPr>
              <w:t>8.</w:t>
            </w:r>
          </w:p>
        </w:tc>
        <w:tc>
          <w:tcPr>
            <w:tcW w:w="2410" w:type="dxa"/>
            <w:shd w:val="clear" w:color="auto" w:fill="auto"/>
            <w:vAlign w:val="center"/>
          </w:tcPr>
          <w:p w:rsidR="00921DC0" w:rsidRPr="008F339D" w:rsidRDefault="00921DC0" w:rsidP="00385835">
            <w:pPr>
              <w:widowControl w:val="0"/>
              <w:tabs>
                <w:tab w:val="left" w:pos="622"/>
              </w:tabs>
              <w:spacing w:after="0" w:line="240" w:lineRule="auto"/>
              <w:rPr>
                <w:rFonts w:ascii="Times New Roman" w:eastAsia="AngsanaUPC" w:hAnsi="Times New Roman"/>
                <w:bCs/>
                <w:iCs/>
                <w:sz w:val="18"/>
                <w:szCs w:val="18"/>
                <w:lang w:eastAsia="lt-LT"/>
              </w:rPr>
            </w:pPr>
            <w:r w:rsidRPr="008F339D">
              <w:rPr>
                <w:rFonts w:ascii="Times New Roman" w:hAnsi="Times New Roman"/>
                <w:color w:val="000000"/>
                <w:sz w:val="18"/>
                <w:szCs w:val="18"/>
                <w:lang w:eastAsia="lt-LT"/>
              </w:rPr>
              <w:t>Ventiliatoriai COVID-19 gydyti</w:t>
            </w:r>
          </w:p>
        </w:tc>
        <w:tc>
          <w:tcPr>
            <w:tcW w:w="1276" w:type="dxa"/>
            <w:shd w:val="clear" w:color="auto" w:fill="auto"/>
            <w:vAlign w:val="center"/>
          </w:tcPr>
          <w:p w:rsidR="00921DC0" w:rsidRPr="008F339D" w:rsidRDefault="00921DC0"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8F339D">
              <w:rPr>
                <w:rFonts w:ascii="Times New Roman" w:hAnsi="Times New Roman"/>
                <w:bCs/>
                <w:iCs/>
                <w:sz w:val="18"/>
                <w:szCs w:val="18"/>
                <w:lang w:eastAsia="lt-LT"/>
              </w:rPr>
              <w:t>Skaičius</w:t>
            </w:r>
          </w:p>
        </w:tc>
        <w:tc>
          <w:tcPr>
            <w:tcW w:w="850" w:type="dxa"/>
            <w:shd w:val="clear" w:color="auto" w:fill="auto"/>
            <w:vAlign w:val="center"/>
          </w:tcPr>
          <w:p w:rsidR="00921DC0" w:rsidRPr="008F339D" w:rsidRDefault="00921DC0"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8F339D">
              <w:rPr>
                <w:rFonts w:ascii="Times New Roman" w:hAnsi="Times New Roman"/>
                <w:bCs/>
                <w:iCs/>
                <w:sz w:val="18"/>
                <w:szCs w:val="18"/>
                <w:lang w:eastAsia="lt-LT"/>
              </w:rPr>
              <w:t>ERPF</w:t>
            </w:r>
          </w:p>
        </w:tc>
        <w:tc>
          <w:tcPr>
            <w:tcW w:w="1134" w:type="dxa"/>
            <w:shd w:val="clear" w:color="auto" w:fill="auto"/>
            <w:vAlign w:val="center"/>
          </w:tcPr>
          <w:p w:rsidR="00921DC0" w:rsidRPr="008F339D" w:rsidRDefault="00921DC0" w:rsidP="00385835">
            <w:pPr>
              <w:widowControl w:val="0"/>
              <w:tabs>
                <w:tab w:val="left" w:pos="622"/>
              </w:tabs>
              <w:spacing w:after="0" w:line="240" w:lineRule="auto"/>
              <w:jc w:val="center"/>
              <w:rPr>
                <w:rFonts w:ascii="Times New Roman" w:hAnsi="Times New Roman"/>
                <w:sz w:val="18"/>
                <w:szCs w:val="18"/>
              </w:rPr>
            </w:pPr>
            <w:r w:rsidRPr="008F339D">
              <w:rPr>
                <w:rFonts w:ascii="Times New Roman" w:hAnsi="Times New Roman"/>
                <w:bCs/>
                <w:iCs/>
                <w:sz w:val="18"/>
                <w:szCs w:val="18"/>
                <w:lang w:eastAsia="lt-LT"/>
              </w:rPr>
              <w:t>Mažiau išsivystęs</w:t>
            </w:r>
          </w:p>
        </w:tc>
        <w:tc>
          <w:tcPr>
            <w:tcW w:w="1134" w:type="dxa"/>
            <w:shd w:val="clear" w:color="auto" w:fill="auto"/>
            <w:vAlign w:val="center"/>
          </w:tcPr>
          <w:p w:rsidR="00921DC0" w:rsidRPr="008F339D" w:rsidRDefault="00921DC0"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8F339D">
              <w:rPr>
                <w:rFonts w:ascii="Times New Roman" w:hAnsi="Times New Roman"/>
                <w:bCs/>
                <w:sz w:val="18"/>
                <w:szCs w:val="18"/>
                <w:lang w:eastAsia="lt-LT"/>
              </w:rPr>
              <w:t>246</w:t>
            </w:r>
          </w:p>
        </w:tc>
        <w:tc>
          <w:tcPr>
            <w:tcW w:w="1134" w:type="dxa"/>
            <w:shd w:val="clear" w:color="auto" w:fill="auto"/>
            <w:vAlign w:val="center"/>
          </w:tcPr>
          <w:p w:rsidR="00921DC0" w:rsidRPr="008F339D" w:rsidRDefault="00921DC0"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8F339D">
              <w:rPr>
                <w:rFonts w:ascii="Times New Roman" w:hAnsi="Times New Roman"/>
                <w:bCs/>
                <w:iCs/>
                <w:sz w:val="18"/>
                <w:szCs w:val="18"/>
                <w:lang w:eastAsia="lt-LT"/>
              </w:rPr>
              <w:t>Duomenys iš projektų</w:t>
            </w:r>
          </w:p>
        </w:tc>
        <w:tc>
          <w:tcPr>
            <w:tcW w:w="1241" w:type="dxa"/>
            <w:shd w:val="clear" w:color="auto" w:fill="auto"/>
            <w:vAlign w:val="center"/>
          </w:tcPr>
          <w:p w:rsidR="00921DC0" w:rsidRPr="008F339D" w:rsidRDefault="00921DC0"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8F339D">
              <w:rPr>
                <w:rFonts w:ascii="Times New Roman" w:hAnsi="Times New Roman"/>
                <w:bCs/>
                <w:iCs/>
                <w:sz w:val="18"/>
                <w:szCs w:val="18"/>
                <w:lang w:eastAsia="lt-LT"/>
              </w:rPr>
              <w:t>Kartą per metus</w:t>
            </w:r>
          </w:p>
        </w:tc>
      </w:tr>
      <w:tr w:rsidR="00921DC0" w:rsidRPr="008F339D" w:rsidTr="008F339D">
        <w:tblPrEx>
          <w:shd w:val="clear" w:color="auto" w:fill="auto"/>
        </w:tblPrEx>
        <w:tc>
          <w:tcPr>
            <w:tcW w:w="567" w:type="dxa"/>
            <w:shd w:val="clear" w:color="auto" w:fill="auto"/>
            <w:vAlign w:val="center"/>
          </w:tcPr>
          <w:p w:rsidR="00921DC0" w:rsidRPr="008F339D" w:rsidRDefault="00921DC0"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8F339D">
              <w:rPr>
                <w:rFonts w:ascii="Times New Roman" w:hAnsi="Times New Roman"/>
                <w:bCs/>
                <w:iCs/>
                <w:sz w:val="18"/>
                <w:szCs w:val="18"/>
                <w:lang w:val="en-US" w:eastAsia="lt-LT"/>
              </w:rPr>
              <w:t>9.</w:t>
            </w:r>
          </w:p>
        </w:tc>
        <w:tc>
          <w:tcPr>
            <w:tcW w:w="2410" w:type="dxa"/>
            <w:shd w:val="clear" w:color="auto" w:fill="auto"/>
            <w:vAlign w:val="center"/>
          </w:tcPr>
          <w:p w:rsidR="00921DC0" w:rsidRPr="008F339D" w:rsidRDefault="00921DC0" w:rsidP="00385835">
            <w:pPr>
              <w:widowControl w:val="0"/>
              <w:tabs>
                <w:tab w:val="left" w:pos="622"/>
              </w:tabs>
              <w:spacing w:after="0" w:line="240" w:lineRule="auto"/>
              <w:rPr>
                <w:rFonts w:ascii="Times New Roman" w:eastAsia="AngsanaUPC" w:hAnsi="Times New Roman"/>
                <w:bCs/>
                <w:iCs/>
                <w:sz w:val="18"/>
                <w:szCs w:val="18"/>
                <w:lang w:eastAsia="lt-LT"/>
              </w:rPr>
            </w:pPr>
            <w:r w:rsidRPr="008F339D">
              <w:rPr>
                <w:rFonts w:ascii="Times New Roman" w:hAnsi="Times New Roman"/>
                <w:color w:val="000000"/>
                <w:sz w:val="18"/>
                <w:szCs w:val="18"/>
                <w:lang w:eastAsia="lt-LT"/>
              </w:rPr>
              <w:t>Laboratorijų, gavusių paramą COVID-</w:t>
            </w:r>
            <w:r w:rsidRPr="008F339D">
              <w:rPr>
                <w:rFonts w:ascii="Times New Roman" w:hAnsi="Times New Roman"/>
                <w:color w:val="000000"/>
                <w:sz w:val="18"/>
                <w:szCs w:val="18"/>
                <w:lang w:val="en-US" w:eastAsia="lt-LT"/>
              </w:rPr>
              <w:t xml:space="preserve">19 </w:t>
            </w:r>
            <w:r w:rsidRPr="008F339D">
              <w:rPr>
                <w:rFonts w:ascii="Times New Roman" w:hAnsi="Times New Roman"/>
                <w:sz w:val="18"/>
                <w:szCs w:val="18"/>
              </w:rPr>
              <w:t>tyrimams</w:t>
            </w:r>
            <w:r w:rsidRPr="008F339D">
              <w:rPr>
                <w:rFonts w:ascii="Times New Roman" w:hAnsi="Times New Roman"/>
                <w:color w:val="000000"/>
                <w:sz w:val="18"/>
                <w:szCs w:val="18"/>
                <w:lang w:val="en-US" w:eastAsia="lt-LT"/>
              </w:rPr>
              <w:t xml:space="preserve"> </w:t>
            </w:r>
            <w:r w:rsidRPr="008F339D">
              <w:rPr>
                <w:rFonts w:ascii="Times New Roman" w:hAnsi="Times New Roman"/>
                <w:color w:val="000000"/>
                <w:sz w:val="18"/>
                <w:szCs w:val="18"/>
                <w:lang w:eastAsia="lt-LT"/>
              </w:rPr>
              <w:t>atlikti, skaičius</w:t>
            </w:r>
          </w:p>
        </w:tc>
        <w:tc>
          <w:tcPr>
            <w:tcW w:w="1276" w:type="dxa"/>
            <w:shd w:val="clear" w:color="auto" w:fill="auto"/>
            <w:vAlign w:val="center"/>
          </w:tcPr>
          <w:p w:rsidR="00921DC0" w:rsidRPr="008F339D" w:rsidRDefault="00921DC0"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8F339D">
              <w:rPr>
                <w:rFonts w:ascii="Times New Roman" w:hAnsi="Times New Roman"/>
                <w:bCs/>
                <w:iCs/>
                <w:sz w:val="18"/>
                <w:szCs w:val="18"/>
                <w:lang w:eastAsia="lt-LT"/>
              </w:rPr>
              <w:t>Skaičius</w:t>
            </w:r>
          </w:p>
        </w:tc>
        <w:tc>
          <w:tcPr>
            <w:tcW w:w="850" w:type="dxa"/>
            <w:shd w:val="clear" w:color="auto" w:fill="auto"/>
            <w:vAlign w:val="center"/>
          </w:tcPr>
          <w:p w:rsidR="00921DC0" w:rsidRPr="008F339D" w:rsidRDefault="00921DC0"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8F339D">
              <w:rPr>
                <w:rFonts w:ascii="Times New Roman" w:hAnsi="Times New Roman"/>
                <w:bCs/>
                <w:iCs/>
                <w:sz w:val="18"/>
                <w:szCs w:val="18"/>
                <w:lang w:eastAsia="lt-LT"/>
              </w:rPr>
              <w:t>ERPF</w:t>
            </w:r>
          </w:p>
        </w:tc>
        <w:tc>
          <w:tcPr>
            <w:tcW w:w="1134" w:type="dxa"/>
            <w:shd w:val="clear" w:color="auto" w:fill="auto"/>
            <w:vAlign w:val="center"/>
          </w:tcPr>
          <w:p w:rsidR="00921DC0" w:rsidRPr="008F339D" w:rsidRDefault="00921DC0" w:rsidP="00385835">
            <w:pPr>
              <w:widowControl w:val="0"/>
              <w:tabs>
                <w:tab w:val="left" w:pos="622"/>
              </w:tabs>
              <w:spacing w:after="0" w:line="240" w:lineRule="auto"/>
              <w:jc w:val="center"/>
              <w:rPr>
                <w:rFonts w:ascii="Times New Roman" w:hAnsi="Times New Roman"/>
                <w:sz w:val="18"/>
                <w:szCs w:val="18"/>
              </w:rPr>
            </w:pPr>
            <w:r w:rsidRPr="008F339D">
              <w:rPr>
                <w:rFonts w:ascii="Times New Roman" w:hAnsi="Times New Roman"/>
                <w:bCs/>
                <w:iCs/>
                <w:sz w:val="18"/>
                <w:szCs w:val="18"/>
                <w:lang w:eastAsia="lt-LT"/>
              </w:rPr>
              <w:t>Mažiau išsivystęs</w:t>
            </w:r>
          </w:p>
        </w:tc>
        <w:tc>
          <w:tcPr>
            <w:tcW w:w="1134" w:type="dxa"/>
            <w:shd w:val="clear" w:color="auto" w:fill="auto"/>
            <w:vAlign w:val="center"/>
          </w:tcPr>
          <w:p w:rsidR="00921DC0" w:rsidRPr="008F339D" w:rsidRDefault="00921DC0"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8F339D">
              <w:rPr>
                <w:rFonts w:ascii="Times New Roman" w:hAnsi="Times New Roman"/>
                <w:bCs/>
                <w:sz w:val="18"/>
                <w:szCs w:val="18"/>
                <w:lang w:eastAsia="lt-LT"/>
              </w:rPr>
              <w:t>6</w:t>
            </w:r>
          </w:p>
        </w:tc>
        <w:tc>
          <w:tcPr>
            <w:tcW w:w="1134" w:type="dxa"/>
            <w:shd w:val="clear" w:color="auto" w:fill="auto"/>
            <w:vAlign w:val="center"/>
          </w:tcPr>
          <w:p w:rsidR="00921DC0" w:rsidRPr="008F339D" w:rsidRDefault="00921DC0"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8F339D">
              <w:rPr>
                <w:rFonts w:ascii="Times New Roman" w:hAnsi="Times New Roman"/>
                <w:bCs/>
                <w:iCs/>
                <w:sz w:val="18"/>
                <w:szCs w:val="18"/>
                <w:lang w:eastAsia="lt-LT"/>
              </w:rPr>
              <w:t>Duomenys iš projektų</w:t>
            </w:r>
          </w:p>
        </w:tc>
        <w:tc>
          <w:tcPr>
            <w:tcW w:w="1241" w:type="dxa"/>
            <w:shd w:val="clear" w:color="auto" w:fill="auto"/>
            <w:vAlign w:val="center"/>
          </w:tcPr>
          <w:p w:rsidR="00921DC0" w:rsidRPr="008F339D" w:rsidRDefault="00921DC0"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8F339D">
              <w:rPr>
                <w:rFonts w:ascii="Times New Roman" w:hAnsi="Times New Roman"/>
                <w:bCs/>
                <w:iCs/>
                <w:sz w:val="18"/>
                <w:szCs w:val="18"/>
                <w:lang w:eastAsia="lt-LT"/>
              </w:rPr>
              <w:t>Kartą per metus</w:t>
            </w:r>
          </w:p>
        </w:tc>
      </w:tr>
      <w:tr w:rsidR="00B30D13" w:rsidRPr="008F339D" w:rsidTr="008F339D">
        <w:tblPrEx>
          <w:shd w:val="clear" w:color="auto" w:fill="auto"/>
        </w:tblPrEx>
        <w:tc>
          <w:tcPr>
            <w:tcW w:w="567" w:type="dxa"/>
            <w:shd w:val="clear" w:color="auto" w:fill="auto"/>
            <w:vAlign w:val="center"/>
          </w:tcPr>
          <w:p w:rsidR="00B30D13" w:rsidRPr="008F339D" w:rsidRDefault="00B30D13" w:rsidP="00385835">
            <w:pPr>
              <w:widowControl w:val="0"/>
              <w:tabs>
                <w:tab w:val="left" w:pos="622"/>
              </w:tabs>
              <w:spacing w:after="0" w:line="240" w:lineRule="auto"/>
              <w:jc w:val="center"/>
              <w:rPr>
                <w:rFonts w:ascii="Times New Roman" w:hAnsi="Times New Roman"/>
                <w:bCs/>
                <w:iCs/>
                <w:sz w:val="18"/>
                <w:szCs w:val="18"/>
                <w:lang w:val="en-US" w:eastAsia="lt-LT"/>
              </w:rPr>
            </w:pPr>
            <w:r w:rsidRPr="008F339D">
              <w:rPr>
                <w:rFonts w:ascii="Times New Roman" w:hAnsi="Times New Roman"/>
                <w:bCs/>
                <w:iCs/>
                <w:sz w:val="18"/>
                <w:szCs w:val="18"/>
                <w:lang w:val="en-US" w:eastAsia="lt-LT"/>
              </w:rPr>
              <w:t>10.</w:t>
            </w:r>
          </w:p>
        </w:tc>
        <w:tc>
          <w:tcPr>
            <w:tcW w:w="2410" w:type="dxa"/>
            <w:shd w:val="clear" w:color="auto" w:fill="auto"/>
            <w:vAlign w:val="center"/>
          </w:tcPr>
          <w:p w:rsidR="00B30D13" w:rsidRPr="008F339D" w:rsidRDefault="00B30D13" w:rsidP="00385835">
            <w:pPr>
              <w:widowControl w:val="0"/>
              <w:tabs>
                <w:tab w:val="left" w:pos="622"/>
              </w:tabs>
              <w:spacing w:after="0" w:line="240" w:lineRule="auto"/>
              <w:rPr>
                <w:rFonts w:ascii="Times New Roman" w:hAnsi="Times New Roman"/>
                <w:color w:val="000000"/>
                <w:sz w:val="18"/>
                <w:szCs w:val="18"/>
                <w:lang w:eastAsia="lt-LT"/>
              </w:rPr>
            </w:pPr>
            <w:r w:rsidRPr="008F339D">
              <w:rPr>
                <w:rFonts w:ascii="Times New Roman" w:hAnsi="Times New Roman"/>
                <w:sz w:val="18"/>
                <w:szCs w:val="18"/>
              </w:rPr>
              <w:t xml:space="preserve">Laboratorijoms, gavusioms paramą testuoti </w:t>
            </w:r>
            <w:r w:rsidRPr="008F339D">
              <w:rPr>
                <w:rFonts w:ascii="Times New Roman" w:hAnsi="Times New Roman"/>
                <w:color w:val="000000"/>
                <w:sz w:val="18"/>
                <w:szCs w:val="18"/>
                <w:lang w:eastAsia="lt-LT"/>
              </w:rPr>
              <w:t>COVID-</w:t>
            </w:r>
            <w:r w:rsidRPr="008F339D">
              <w:rPr>
                <w:rFonts w:ascii="Times New Roman" w:hAnsi="Times New Roman"/>
                <w:color w:val="000000"/>
                <w:sz w:val="18"/>
                <w:szCs w:val="18"/>
                <w:lang w:val="en-US" w:eastAsia="lt-LT"/>
              </w:rPr>
              <w:t xml:space="preserve">19, </w:t>
            </w:r>
            <w:r w:rsidRPr="008F339D">
              <w:rPr>
                <w:rFonts w:ascii="Times New Roman" w:hAnsi="Times New Roman"/>
                <w:color w:val="000000"/>
                <w:sz w:val="18"/>
                <w:szCs w:val="18"/>
                <w:lang w:eastAsia="lt-LT"/>
              </w:rPr>
              <w:t>skirtų investicijų vertė</w:t>
            </w:r>
          </w:p>
        </w:tc>
        <w:tc>
          <w:tcPr>
            <w:tcW w:w="1276" w:type="dxa"/>
            <w:shd w:val="clear" w:color="auto" w:fill="auto"/>
            <w:vAlign w:val="center"/>
          </w:tcPr>
          <w:p w:rsidR="00B30D13" w:rsidRPr="008F339D" w:rsidRDefault="00B30D13" w:rsidP="00385835">
            <w:pPr>
              <w:widowControl w:val="0"/>
              <w:tabs>
                <w:tab w:val="left" w:pos="622"/>
              </w:tabs>
              <w:spacing w:after="0" w:line="240" w:lineRule="auto"/>
              <w:jc w:val="center"/>
              <w:rPr>
                <w:rFonts w:ascii="Times New Roman" w:hAnsi="Times New Roman"/>
                <w:bCs/>
                <w:iCs/>
                <w:sz w:val="18"/>
                <w:szCs w:val="18"/>
                <w:lang w:eastAsia="lt-LT"/>
              </w:rPr>
            </w:pPr>
            <w:r w:rsidRPr="008F339D">
              <w:rPr>
                <w:rFonts w:ascii="Times New Roman" w:hAnsi="Times New Roman"/>
                <w:bCs/>
                <w:iCs/>
                <w:sz w:val="18"/>
                <w:szCs w:val="18"/>
                <w:lang w:eastAsia="lt-LT"/>
              </w:rPr>
              <w:t>Eurai</w:t>
            </w:r>
          </w:p>
        </w:tc>
        <w:tc>
          <w:tcPr>
            <w:tcW w:w="850" w:type="dxa"/>
            <w:shd w:val="clear" w:color="auto" w:fill="auto"/>
            <w:vAlign w:val="center"/>
          </w:tcPr>
          <w:p w:rsidR="00B30D13" w:rsidRPr="008F339D" w:rsidRDefault="00B30D13" w:rsidP="00385835">
            <w:pPr>
              <w:widowControl w:val="0"/>
              <w:tabs>
                <w:tab w:val="left" w:pos="622"/>
              </w:tabs>
              <w:spacing w:after="0" w:line="240" w:lineRule="auto"/>
              <w:jc w:val="center"/>
              <w:rPr>
                <w:rFonts w:ascii="Times New Roman" w:hAnsi="Times New Roman"/>
                <w:bCs/>
                <w:iCs/>
                <w:sz w:val="18"/>
                <w:szCs w:val="18"/>
                <w:lang w:eastAsia="lt-LT"/>
              </w:rPr>
            </w:pPr>
            <w:r w:rsidRPr="008F339D">
              <w:rPr>
                <w:rFonts w:ascii="Times New Roman" w:hAnsi="Times New Roman"/>
                <w:bCs/>
                <w:iCs/>
                <w:sz w:val="18"/>
                <w:szCs w:val="18"/>
                <w:lang w:eastAsia="lt-LT"/>
              </w:rPr>
              <w:t>ERPF</w:t>
            </w:r>
          </w:p>
        </w:tc>
        <w:tc>
          <w:tcPr>
            <w:tcW w:w="1134" w:type="dxa"/>
            <w:shd w:val="clear" w:color="auto" w:fill="auto"/>
            <w:vAlign w:val="center"/>
          </w:tcPr>
          <w:p w:rsidR="00B30D13" w:rsidRPr="008F339D" w:rsidRDefault="00B30D13" w:rsidP="00385835">
            <w:pPr>
              <w:widowControl w:val="0"/>
              <w:tabs>
                <w:tab w:val="left" w:pos="622"/>
              </w:tabs>
              <w:spacing w:after="0" w:line="240" w:lineRule="auto"/>
              <w:jc w:val="center"/>
              <w:rPr>
                <w:rFonts w:ascii="Times New Roman" w:hAnsi="Times New Roman"/>
                <w:bCs/>
                <w:iCs/>
                <w:sz w:val="18"/>
                <w:szCs w:val="18"/>
                <w:lang w:eastAsia="lt-LT"/>
              </w:rPr>
            </w:pPr>
            <w:r w:rsidRPr="008F339D">
              <w:rPr>
                <w:rFonts w:ascii="Times New Roman" w:hAnsi="Times New Roman"/>
                <w:bCs/>
                <w:iCs/>
                <w:sz w:val="18"/>
                <w:szCs w:val="18"/>
                <w:lang w:eastAsia="lt-LT"/>
              </w:rPr>
              <w:t>Mažiau išsivystęs</w:t>
            </w:r>
          </w:p>
        </w:tc>
        <w:tc>
          <w:tcPr>
            <w:tcW w:w="1134" w:type="dxa"/>
            <w:shd w:val="clear" w:color="auto" w:fill="auto"/>
            <w:vAlign w:val="center"/>
          </w:tcPr>
          <w:p w:rsidR="00B30D13" w:rsidRPr="008F339D" w:rsidRDefault="00B30D13" w:rsidP="00385835">
            <w:pPr>
              <w:widowControl w:val="0"/>
              <w:tabs>
                <w:tab w:val="left" w:pos="622"/>
              </w:tabs>
              <w:spacing w:after="0" w:line="240" w:lineRule="auto"/>
              <w:jc w:val="center"/>
              <w:rPr>
                <w:rFonts w:ascii="Times New Roman" w:hAnsi="Times New Roman"/>
                <w:bCs/>
                <w:sz w:val="18"/>
                <w:szCs w:val="18"/>
                <w:lang w:eastAsia="lt-LT"/>
              </w:rPr>
            </w:pPr>
            <w:r w:rsidRPr="008F339D">
              <w:rPr>
                <w:rFonts w:ascii="Times New Roman" w:hAnsi="Times New Roman"/>
                <w:bCs/>
                <w:sz w:val="18"/>
                <w:szCs w:val="18"/>
                <w:lang w:eastAsia="lt-LT"/>
              </w:rPr>
              <w:t>2.818.700</w:t>
            </w:r>
          </w:p>
        </w:tc>
        <w:tc>
          <w:tcPr>
            <w:tcW w:w="1134" w:type="dxa"/>
            <w:shd w:val="clear" w:color="auto" w:fill="auto"/>
            <w:vAlign w:val="center"/>
          </w:tcPr>
          <w:p w:rsidR="00B30D13" w:rsidRPr="008F339D" w:rsidRDefault="00B30D13" w:rsidP="00385835">
            <w:pPr>
              <w:widowControl w:val="0"/>
              <w:tabs>
                <w:tab w:val="left" w:pos="622"/>
              </w:tabs>
              <w:spacing w:after="0" w:line="240" w:lineRule="auto"/>
              <w:jc w:val="center"/>
              <w:rPr>
                <w:rFonts w:ascii="Times New Roman" w:hAnsi="Times New Roman"/>
                <w:bCs/>
                <w:iCs/>
                <w:sz w:val="18"/>
                <w:szCs w:val="18"/>
                <w:lang w:eastAsia="lt-LT"/>
              </w:rPr>
            </w:pPr>
            <w:r w:rsidRPr="008F339D">
              <w:rPr>
                <w:rFonts w:ascii="Times New Roman" w:hAnsi="Times New Roman"/>
                <w:bCs/>
                <w:iCs/>
                <w:sz w:val="18"/>
                <w:szCs w:val="18"/>
                <w:lang w:eastAsia="lt-LT"/>
              </w:rPr>
              <w:t>Duomenys iš projektų</w:t>
            </w:r>
          </w:p>
        </w:tc>
        <w:tc>
          <w:tcPr>
            <w:tcW w:w="1241" w:type="dxa"/>
            <w:shd w:val="clear" w:color="auto" w:fill="auto"/>
            <w:vAlign w:val="center"/>
          </w:tcPr>
          <w:p w:rsidR="00B30D13" w:rsidRPr="008F339D" w:rsidRDefault="00B30D13" w:rsidP="00385835">
            <w:pPr>
              <w:widowControl w:val="0"/>
              <w:tabs>
                <w:tab w:val="left" w:pos="622"/>
              </w:tabs>
              <w:spacing w:after="0" w:line="240" w:lineRule="auto"/>
              <w:jc w:val="center"/>
              <w:rPr>
                <w:rFonts w:ascii="Times New Roman" w:hAnsi="Times New Roman"/>
                <w:bCs/>
                <w:iCs/>
                <w:sz w:val="18"/>
                <w:szCs w:val="18"/>
                <w:lang w:eastAsia="lt-LT"/>
              </w:rPr>
            </w:pPr>
            <w:r w:rsidRPr="008F339D">
              <w:rPr>
                <w:rFonts w:ascii="Times New Roman" w:hAnsi="Times New Roman"/>
                <w:bCs/>
                <w:iCs/>
                <w:sz w:val="18"/>
                <w:szCs w:val="18"/>
                <w:lang w:eastAsia="lt-LT"/>
              </w:rPr>
              <w:t>Kartą per metus</w:t>
            </w:r>
          </w:p>
        </w:tc>
      </w:tr>
    </w:tbl>
    <w:p w:rsidR="00FA0F82" w:rsidRDefault="00FA0F82"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vAlign w:val="center"/>
          </w:tcPr>
          <w:p w:rsidR="00385835" w:rsidRPr="00385835" w:rsidRDefault="00385835" w:rsidP="00385835">
            <w:pPr>
              <w:widowControl w:val="0"/>
              <w:tabs>
                <w:tab w:val="left" w:pos="622"/>
              </w:tabs>
              <w:spacing w:after="0" w:line="240" w:lineRule="auto"/>
              <w:rPr>
                <w:rFonts w:ascii="Times New Roman" w:eastAsia="AngsanaUPC" w:hAnsi="Times New Roman"/>
                <w:b/>
                <w:bCs/>
                <w:iCs/>
                <w:sz w:val="24"/>
                <w:szCs w:val="24"/>
                <w:lang w:eastAsia="lt-LT"/>
              </w:rPr>
            </w:pPr>
            <w:r w:rsidRPr="00385835">
              <w:rPr>
                <w:rFonts w:ascii="Times New Roman" w:eastAsia="AngsanaUPC" w:hAnsi="Times New Roman"/>
                <w:b/>
                <w:bCs/>
                <w:iCs/>
                <w:sz w:val="24"/>
                <w:szCs w:val="24"/>
                <w:lang w:eastAsia="lt-LT"/>
              </w:rPr>
              <w:t>8.2. INVESTICINIS PRIORITETAS</w:t>
            </w:r>
          </w:p>
        </w:tc>
        <w:tc>
          <w:tcPr>
            <w:tcW w:w="7336" w:type="dxa"/>
            <w:shd w:val="clear" w:color="auto" w:fill="EEECE1"/>
            <w:vAlign w:val="center"/>
          </w:tcPr>
          <w:p w:rsidR="00385835" w:rsidRPr="00385835" w:rsidRDefault="00385835" w:rsidP="00385835">
            <w:pPr>
              <w:spacing w:after="0" w:line="240" w:lineRule="auto"/>
              <w:jc w:val="both"/>
              <w:rPr>
                <w:rFonts w:ascii="Times New Roman" w:hAnsi="Times New Roman"/>
                <w:b/>
                <w:sz w:val="24"/>
                <w:szCs w:val="24"/>
              </w:rPr>
            </w:pPr>
            <w:r w:rsidRPr="00385835">
              <w:rPr>
                <w:rFonts w:ascii="Times New Roman" w:hAnsi="Times New Roman"/>
                <w:b/>
                <w:sz w:val="24"/>
                <w:szCs w:val="24"/>
              </w:rPr>
              <w:t>Fizinio, ekonominio ir socialinio nepasiturinčių miestų ir kaimų bendruomenių bei v</w:t>
            </w:r>
            <w:r w:rsidR="00031EF1">
              <w:rPr>
                <w:rFonts w:ascii="Times New Roman" w:hAnsi="Times New Roman"/>
                <w:b/>
                <w:sz w:val="24"/>
                <w:szCs w:val="24"/>
              </w:rPr>
              <w:t>ietovių atnaujinimo rėmimas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FONDAS</w:t>
            </w:r>
          </w:p>
        </w:tc>
        <w:tc>
          <w:tcPr>
            <w:tcW w:w="7336"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Europos regioninės plėtros fondas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vAlign w:val="center"/>
          </w:tcPr>
          <w:p w:rsidR="00385835" w:rsidRPr="00385835" w:rsidRDefault="00385835" w:rsidP="00385835">
            <w:pPr>
              <w:widowControl w:val="0"/>
              <w:tabs>
                <w:tab w:val="left" w:pos="622"/>
              </w:tabs>
              <w:spacing w:after="0" w:line="240" w:lineRule="auto"/>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8.2.1. KONKRETUS UŽDAVINYS</w:t>
            </w:r>
          </w:p>
        </w:tc>
        <w:tc>
          <w:tcPr>
            <w:tcW w:w="7336" w:type="dxa"/>
            <w:shd w:val="clear" w:color="auto" w:fill="EEECE1"/>
            <w:vAlign w:val="center"/>
          </w:tcPr>
          <w:p w:rsidR="00385835" w:rsidRPr="00385835" w:rsidRDefault="00385835" w:rsidP="00385835">
            <w:pPr>
              <w:spacing w:after="0" w:line="240" w:lineRule="auto"/>
              <w:jc w:val="both"/>
              <w:rPr>
                <w:rFonts w:ascii="Times New Roman" w:hAnsi="Times New Roman"/>
                <w:b/>
                <w:sz w:val="24"/>
                <w:szCs w:val="24"/>
              </w:rPr>
            </w:pPr>
            <w:r w:rsidRPr="00385835">
              <w:rPr>
                <w:rFonts w:ascii="Times New Roman" w:hAnsi="Times New Roman"/>
                <w:b/>
                <w:sz w:val="24"/>
                <w:szCs w:val="24"/>
              </w:rPr>
              <w:t>Sumažinti geografinių sąlygų ir demografinių procesų sukeliamus gyvenimo kokybės netolygumus</w:t>
            </w:r>
          </w:p>
        </w:tc>
      </w:tr>
      <w:tr w:rsidR="00385835" w:rsidRPr="00385835" w:rsidTr="00385835">
        <w:tc>
          <w:tcPr>
            <w:tcW w:w="9746" w:type="dxa"/>
            <w:gridSpan w:val="2"/>
            <w:shd w:val="clear" w:color="auto" w:fill="auto"/>
          </w:tcPr>
          <w:p w:rsidR="00385835" w:rsidRPr="00385835" w:rsidRDefault="00385835" w:rsidP="00385835">
            <w:pPr>
              <w:autoSpaceDE w:val="0"/>
              <w:autoSpaceDN w:val="0"/>
              <w:adjustRightInd w:val="0"/>
              <w:spacing w:after="0" w:line="240" w:lineRule="auto"/>
              <w:ind w:firstLine="624"/>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 xml:space="preserve">Mažieji miestai, miesteliai ir kaimai (turintys nuo 1 iki 6 tūkst. gyv., išskyrus savivaldybių centrus) užtikrina pagrindinių paslaugų teikimą ir užimtumo galimybes kaimiškųjų teritorijų gyventojams, jų išsidėstymas greta didesnių miestų užtikrina miesto ir kaimo gyvenamųjų vietovių ryšius; retai gyvenamose teritorijose tokios gyvenamosios vietovės atlieka ir dalį miestams </w:t>
            </w:r>
            <w:proofErr w:type="gramStart"/>
            <w:r w:rsidRPr="00385835">
              <w:rPr>
                <w:rFonts w:ascii="Times New Roman" w:eastAsia="AngsanaUPC" w:hAnsi="Times New Roman"/>
                <w:bCs/>
                <w:sz w:val="24"/>
                <w:szCs w:val="24"/>
                <w:lang w:eastAsia="lt-LT"/>
              </w:rPr>
              <w:t>(</w:t>
            </w:r>
            <w:proofErr w:type="gramEnd"/>
            <w:r w:rsidRPr="00385835">
              <w:rPr>
                <w:rFonts w:ascii="Times New Roman" w:eastAsia="AngsanaUPC" w:hAnsi="Times New Roman"/>
                <w:bCs/>
                <w:sz w:val="24"/>
                <w:szCs w:val="24"/>
                <w:lang w:eastAsia="lt-LT"/>
              </w:rPr>
              <w:t>administraciniams, ekonominiams, gyventojų aptarnavimo centrams) būdingų funkcijų.</w:t>
            </w:r>
          </w:p>
          <w:p w:rsidR="00385835" w:rsidRPr="00385835" w:rsidRDefault="00385835" w:rsidP="00385835">
            <w:pPr>
              <w:widowControl w:val="0"/>
              <w:tabs>
                <w:tab w:val="left" w:pos="622"/>
              </w:tabs>
              <w:spacing w:after="0" w:line="240" w:lineRule="auto"/>
              <w:ind w:firstLine="624"/>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Tačiau did</w:t>
            </w:r>
            <w:r w:rsidR="00C311DF">
              <w:rPr>
                <w:rFonts w:ascii="Times New Roman" w:eastAsia="AngsanaUPC" w:hAnsi="Times New Roman"/>
                <w:bCs/>
                <w:sz w:val="24"/>
                <w:szCs w:val="24"/>
                <w:lang w:eastAsia="lt-LT"/>
              </w:rPr>
              <w:t xml:space="preserve">elė dalis šių teritorijų nėra </w:t>
            </w:r>
            <w:r w:rsidRPr="00385835">
              <w:rPr>
                <w:rFonts w:ascii="Times New Roman" w:eastAsia="AngsanaUPC" w:hAnsi="Times New Roman"/>
                <w:bCs/>
                <w:sz w:val="24"/>
                <w:szCs w:val="24"/>
                <w:lang w:eastAsia="lt-LT"/>
              </w:rPr>
              <w:t xml:space="preserve">patrauklios aukštesnes pajamas gaunantiems asmenims dėl prastesnio, lyginant su miestais, viešosios infrastruktūros išvystymo; maža gyventojų perkamoji galia, demografinis senėjimas ir gyventojų skaičiaus mažėjimas mažiausiuose miestuose, miesteliuose ir kaimuose, ypač esančiuose rečiau gyvenamuose regionuose, lemia tai, kad juose nevyksta aktyvesnė ekonominė veikla. </w:t>
            </w:r>
          </w:p>
          <w:p w:rsidR="00385835" w:rsidRPr="00385835" w:rsidRDefault="00385835" w:rsidP="00385835">
            <w:pPr>
              <w:widowControl w:val="0"/>
              <w:tabs>
                <w:tab w:val="left" w:pos="622"/>
              </w:tabs>
              <w:spacing w:after="0" w:line="240" w:lineRule="auto"/>
              <w:ind w:firstLine="624"/>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Dėl augančių santykinių infrastruktūros išlaikymo kaštų (1 gyventojui) miesteliuose ir kaimuose toliau mažėja prieinamų viešųjų paslaugų (</w:t>
            </w:r>
            <w:r w:rsidR="00686878">
              <w:rPr>
                <w:rFonts w:ascii="Times New Roman" w:eastAsia="AngsanaUPC" w:hAnsi="Times New Roman"/>
                <w:bCs/>
                <w:sz w:val="24"/>
                <w:szCs w:val="24"/>
                <w:lang w:eastAsia="lt-LT"/>
              </w:rPr>
              <w:t>pavyzdžiui,</w:t>
            </w:r>
            <w:r w:rsidRPr="00385835">
              <w:rPr>
                <w:rFonts w:ascii="Times New Roman" w:eastAsia="AngsanaUPC" w:hAnsi="Times New Roman"/>
                <w:bCs/>
                <w:sz w:val="24"/>
                <w:szCs w:val="24"/>
                <w:lang w:eastAsia="lt-LT"/>
              </w:rPr>
              <w:t xml:space="preserve"> uždaromos mokyklos, gydymo įstaigos); nėra pakankamai investuojama į infrastruktūrą, užtikrinančią geresnę gyvenamosios aplinkos kokybę. Todėl vyksta ne tik pačių miestų ir miestelių, bet </w:t>
            </w:r>
            <w:proofErr w:type="gramStart"/>
            <w:r w:rsidRPr="00385835">
              <w:rPr>
                <w:rFonts w:ascii="Times New Roman" w:eastAsia="AngsanaUPC" w:hAnsi="Times New Roman"/>
                <w:bCs/>
                <w:sz w:val="24"/>
                <w:szCs w:val="24"/>
                <w:lang w:eastAsia="lt-LT"/>
              </w:rPr>
              <w:t>ir jas supančių teritorijų fizinė ir socialinė degeneracija</w:t>
            </w:r>
            <w:proofErr w:type="gramEnd"/>
            <w:r w:rsidRPr="00385835">
              <w:rPr>
                <w:rFonts w:ascii="Times New Roman" w:eastAsia="AngsanaUPC" w:hAnsi="Times New Roman"/>
                <w:bCs/>
                <w:sz w:val="24"/>
                <w:szCs w:val="24"/>
                <w:lang w:eastAsia="lt-LT"/>
              </w:rPr>
              <w:t>, jose lieka gyventi daugiausiai vyresnio amžiaus ir socialinės rizikos grupių asmenys.</w:t>
            </w:r>
          </w:p>
          <w:p w:rsidR="00385835" w:rsidRPr="00385835" w:rsidRDefault="00385835" w:rsidP="00385835">
            <w:pPr>
              <w:autoSpaceDE w:val="0"/>
              <w:autoSpaceDN w:val="0"/>
              <w:adjustRightInd w:val="0"/>
              <w:spacing w:after="0" w:line="240" w:lineRule="auto"/>
              <w:ind w:firstLine="624"/>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 xml:space="preserve">Uždavinys bus įgyvendinamas tarp mažiausių miestų, miestelių ir kaimų išskirtose tikslinėse teritorijose (turinčiose nuo 1 iki 6 tūkst. gyv., išskyrus miestus – savivaldybių centrus), kurias pagal kiekvienam NUTS III lygmens regionui (apskričiai) būdingiausias socialines problemas </w:t>
            </w:r>
            <w:proofErr w:type="gramStart"/>
            <w:r w:rsidRPr="00385835">
              <w:rPr>
                <w:rFonts w:ascii="Times New Roman" w:eastAsia="AngsanaUPC" w:hAnsi="Times New Roman"/>
                <w:bCs/>
                <w:sz w:val="24"/>
                <w:szCs w:val="24"/>
                <w:lang w:eastAsia="lt-LT"/>
              </w:rPr>
              <w:t>(</w:t>
            </w:r>
            <w:proofErr w:type="gramEnd"/>
            <w:r w:rsidRPr="00385835">
              <w:rPr>
                <w:rFonts w:ascii="Times New Roman" w:eastAsia="AngsanaUPC" w:hAnsi="Times New Roman"/>
                <w:bCs/>
                <w:sz w:val="24"/>
                <w:szCs w:val="24"/>
                <w:lang w:eastAsia="lt-LT"/>
              </w:rPr>
              <w:t>maž</w:t>
            </w:r>
            <w:r w:rsidR="00E0690B">
              <w:rPr>
                <w:rFonts w:ascii="Times New Roman" w:eastAsia="AngsanaUPC" w:hAnsi="Times New Roman"/>
                <w:bCs/>
                <w:sz w:val="24"/>
                <w:szCs w:val="24"/>
                <w:lang w:eastAsia="lt-LT"/>
              </w:rPr>
              <w:t>as pajama</w:t>
            </w:r>
            <w:r w:rsidRPr="00385835">
              <w:rPr>
                <w:rFonts w:ascii="Times New Roman" w:eastAsia="AngsanaUPC" w:hAnsi="Times New Roman"/>
                <w:bCs/>
                <w:sz w:val="24"/>
                <w:szCs w:val="24"/>
                <w:lang w:eastAsia="lt-LT"/>
              </w:rPr>
              <w:t>s, nepalanki</w:t>
            </w:r>
            <w:r w:rsidR="00E0690B">
              <w:rPr>
                <w:rFonts w:ascii="Times New Roman" w:eastAsia="AngsanaUPC" w:hAnsi="Times New Roman"/>
                <w:bCs/>
                <w:sz w:val="24"/>
                <w:szCs w:val="24"/>
                <w:lang w:eastAsia="lt-LT"/>
              </w:rPr>
              <w:t>ą</w:t>
            </w:r>
            <w:r w:rsidRPr="00385835">
              <w:rPr>
                <w:rFonts w:ascii="Times New Roman" w:eastAsia="AngsanaUPC" w:hAnsi="Times New Roman"/>
                <w:bCs/>
                <w:sz w:val="24"/>
                <w:szCs w:val="24"/>
                <w:lang w:eastAsia="lt-LT"/>
              </w:rPr>
              <w:t xml:space="preserve"> d</w:t>
            </w:r>
            <w:r w:rsidR="00E0690B">
              <w:rPr>
                <w:rFonts w:ascii="Times New Roman" w:eastAsia="AngsanaUPC" w:hAnsi="Times New Roman"/>
                <w:bCs/>
                <w:sz w:val="24"/>
                <w:szCs w:val="24"/>
                <w:lang w:eastAsia="lt-LT"/>
              </w:rPr>
              <w:t>emografinę struktūrą, didelę dalį</w:t>
            </w:r>
            <w:r w:rsidRPr="00385835">
              <w:rPr>
                <w:rFonts w:ascii="Times New Roman" w:eastAsia="AngsanaUPC" w:hAnsi="Times New Roman"/>
                <w:bCs/>
                <w:sz w:val="24"/>
                <w:szCs w:val="24"/>
                <w:lang w:eastAsia="lt-LT"/>
              </w:rPr>
              <w:t xml:space="preserve"> socialinę atskirtį patiriančių asmenų, nedarb</w:t>
            </w:r>
            <w:r w:rsidR="00E0690B">
              <w:rPr>
                <w:rFonts w:ascii="Times New Roman" w:eastAsia="AngsanaUPC" w:hAnsi="Times New Roman"/>
                <w:bCs/>
                <w:sz w:val="24"/>
                <w:szCs w:val="24"/>
                <w:lang w:eastAsia="lt-LT"/>
              </w:rPr>
              <w:t>ą</w:t>
            </w:r>
            <w:r w:rsidRPr="00385835">
              <w:rPr>
                <w:rFonts w:ascii="Times New Roman" w:eastAsia="AngsanaUPC" w:hAnsi="Times New Roman"/>
                <w:bCs/>
                <w:sz w:val="24"/>
                <w:szCs w:val="24"/>
                <w:lang w:eastAsia="lt-LT"/>
              </w:rPr>
              <w:t xml:space="preserve"> ir kt.) atitinkančius kriterijus išskirs regionų plėtros tarybos. </w:t>
            </w:r>
          </w:p>
          <w:p w:rsidR="00385835" w:rsidRPr="00385835" w:rsidRDefault="00385835" w:rsidP="00385835">
            <w:pPr>
              <w:widowControl w:val="0"/>
              <w:tabs>
                <w:tab w:val="left" w:pos="622"/>
              </w:tabs>
              <w:spacing w:after="0" w:line="240" w:lineRule="auto"/>
              <w:ind w:firstLine="624"/>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Įgyvendinant uždavinį bus remiamas išskirtų tikslinių teritorijų (skurdžių, nuosmukį patiriančių mažiausių miestų, miestelių ir kaimų, atitinkančių regionų plėtros tarybų nustatytus kriterijus) fizinis atnaujinimas, kompleksiškai pertvarkant viešąją infrastruktūrą ir sudarant prielaidas naujų darbo vietų atsiradimui</w:t>
            </w:r>
            <w:r w:rsidRPr="00385835">
              <w:rPr>
                <w:rFonts w:ascii="Times New Roman" w:eastAsia="AngsanaUPC" w:hAnsi="Times New Roman"/>
                <w:bCs/>
                <w:iCs/>
                <w:sz w:val="24"/>
                <w:szCs w:val="24"/>
                <w:lang w:eastAsia="lt-LT"/>
              </w:rPr>
              <w:t>. Konvertuojant ir pritaikant naujai veiklai viešuosius pastatus ir teritorijas</w:t>
            </w:r>
            <w:r w:rsidR="00521AEE">
              <w:rPr>
                <w:rFonts w:ascii="Times New Roman" w:eastAsia="AngsanaUPC" w:hAnsi="Times New Roman"/>
                <w:bCs/>
                <w:iCs/>
                <w:sz w:val="24"/>
                <w:szCs w:val="24"/>
                <w:lang w:eastAsia="lt-LT"/>
              </w:rPr>
              <w:t>,</w:t>
            </w:r>
            <w:r w:rsidRPr="00385835">
              <w:rPr>
                <w:rFonts w:ascii="Times New Roman" w:eastAsia="AngsanaUPC" w:hAnsi="Times New Roman"/>
                <w:bCs/>
                <w:iCs/>
                <w:sz w:val="24"/>
                <w:szCs w:val="24"/>
                <w:lang w:eastAsia="lt-LT"/>
              </w:rPr>
              <w:t xml:space="preserve"> bus </w:t>
            </w:r>
            <w:r w:rsidRPr="00385835">
              <w:rPr>
                <w:rFonts w:ascii="Times New Roman" w:eastAsia="AngsanaUPC" w:hAnsi="Times New Roman"/>
                <w:bCs/>
                <w:sz w:val="24"/>
                <w:szCs w:val="24"/>
                <w:lang w:eastAsia="lt-LT"/>
              </w:rPr>
              <w:t xml:space="preserve">sudarytos sąlygos kaimo vietovėse ir mažiausiuose miestuose suaktyvinti socialinę veiklą – teikiant įvairesnes, aukštesnės kokybės ir prieinamas paslaugas (orientuojantis į </w:t>
            </w:r>
            <w:r w:rsidRPr="00385835">
              <w:rPr>
                <w:rFonts w:ascii="Times New Roman" w:eastAsia="AngsanaUPC" w:hAnsi="Times New Roman"/>
                <w:bCs/>
                <w:sz w:val="24"/>
                <w:szCs w:val="24"/>
                <w:lang w:eastAsia="lt-LT"/>
              </w:rPr>
              <w:lastRenderedPageBreak/>
              <w:t xml:space="preserve">bendruomenės teikiamas paslaugas vietos gyventojams), sumažinti gyvenamosios aplinkos kokybės netolygumai ir paskatinta ekonominė plėtra panaudojant vidinį potencialą </w:t>
            </w:r>
            <w:proofErr w:type="gramStart"/>
            <w:r w:rsidRPr="00385835">
              <w:rPr>
                <w:rFonts w:ascii="Times New Roman" w:eastAsia="AngsanaUPC" w:hAnsi="Times New Roman"/>
                <w:bCs/>
                <w:sz w:val="24"/>
                <w:szCs w:val="24"/>
                <w:lang w:eastAsia="lt-LT"/>
              </w:rPr>
              <w:t>(</w:t>
            </w:r>
            <w:proofErr w:type="gramEnd"/>
            <w:r w:rsidRPr="00385835">
              <w:rPr>
                <w:rFonts w:ascii="Times New Roman" w:eastAsia="AngsanaUPC" w:hAnsi="Times New Roman"/>
                <w:bCs/>
                <w:sz w:val="24"/>
                <w:szCs w:val="24"/>
                <w:lang w:eastAsia="lt-LT"/>
              </w:rPr>
              <w:t xml:space="preserve">patrauklesnę gamtinę aplinką, bendruomeninius ryšius ir ryšius su mažesnėmis kaimo vietovėmis, leidžiančius vystyti verslus, pridėtinės vertės grandine susijusius su aplinkinėse teritorijose vykstančia žemės ūkio veikla ar apdirbamąja gamyba) ir pritraukiant privačias investicijas. </w:t>
            </w:r>
          </w:p>
          <w:p w:rsidR="00385835" w:rsidRPr="00385835" w:rsidRDefault="00385835" w:rsidP="00385835">
            <w:pPr>
              <w:widowControl w:val="0"/>
              <w:tabs>
                <w:tab w:val="left" w:pos="622"/>
              </w:tabs>
              <w:spacing w:after="0" w:line="240" w:lineRule="auto"/>
              <w:ind w:firstLine="624"/>
              <w:jc w:val="both"/>
              <w:rPr>
                <w:rFonts w:ascii="Times New Roman" w:hAnsi="Times New Roman"/>
                <w:sz w:val="24"/>
                <w:szCs w:val="24"/>
              </w:rPr>
            </w:pPr>
            <w:r w:rsidRPr="00385835">
              <w:rPr>
                <w:rFonts w:ascii="Times New Roman" w:eastAsia="AngsanaUPC" w:hAnsi="Times New Roman"/>
                <w:bCs/>
                <w:sz w:val="24"/>
                <w:szCs w:val="24"/>
                <w:lang w:eastAsia="lt-LT"/>
              </w:rPr>
              <w:t>Atsižvelgus į tai, kad uždavinio rezultatams pasiekti reikalingos papildančios kitų investicinių prioritetų veiklos, jos bus įgyvendinamos</w:t>
            </w:r>
            <w:r w:rsidR="00AE370E">
              <w:rPr>
                <w:rFonts w:ascii="Times New Roman" w:eastAsia="AngsanaUPC" w:hAnsi="Times New Roman"/>
                <w:bCs/>
                <w:sz w:val="24"/>
                <w:szCs w:val="24"/>
                <w:lang w:eastAsia="lt-LT"/>
              </w:rPr>
              <w:t>,</w:t>
            </w:r>
            <w:r w:rsidRPr="00385835">
              <w:rPr>
                <w:rFonts w:ascii="Times New Roman" w:eastAsia="AngsanaUPC" w:hAnsi="Times New Roman"/>
                <w:bCs/>
                <w:sz w:val="24"/>
                <w:szCs w:val="24"/>
                <w:lang w:eastAsia="lt-LT"/>
              </w:rPr>
              <w:t xml:space="preserve"> taikant kompleksines investicijas įgyvendinant regionų plėtros planus. Tai leis investicijas, vykdomas pagal šį uždavinį papildyti veiksmais, susijusiais su transporto ir darnaus judumo sprendimais, didinančiais šių teritorijų pasiekiamumą, taip investicijomis, tiesiogiai skirtomis socialinių, sveikatos, švietimo paslaugų plėtrai tikslinėms gyventojų grupėms.</w:t>
            </w:r>
          </w:p>
        </w:tc>
      </w:tr>
    </w:tbl>
    <w:p w:rsidR="00463952" w:rsidRPr="00385835" w:rsidRDefault="00463952" w:rsidP="00385835">
      <w:pPr>
        <w:spacing w:after="0" w:line="240" w:lineRule="auto"/>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505"/>
        <w:gridCol w:w="2036"/>
        <w:gridCol w:w="1006"/>
        <w:gridCol w:w="1053"/>
        <w:gridCol w:w="835"/>
        <w:gridCol w:w="932"/>
        <w:gridCol w:w="1081"/>
        <w:gridCol w:w="1066"/>
        <w:gridCol w:w="1232"/>
      </w:tblGrid>
      <w:tr w:rsidR="00385835" w:rsidRPr="00385835" w:rsidTr="00031EF1">
        <w:trPr>
          <w:tblHeader/>
        </w:trPr>
        <w:tc>
          <w:tcPr>
            <w:tcW w:w="9746" w:type="dxa"/>
            <w:gridSpan w:val="9"/>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i/>
                <w:iCs/>
                <w:sz w:val="24"/>
                <w:szCs w:val="24"/>
                <w:lang w:eastAsia="lt-LT"/>
              </w:rPr>
            </w:pPr>
            <w:r w:rsidRPr="00385835">
              <w:rPr>
                <w:rFonts w:ascii="Times New Roman" w:eastAsia="AngsanaUPC" w:hAnsi="Times New Roman"/>
                <w:b/>
                <w:bCs/>
                <w:i/>
                <w:iCs/>
                <w:sz w:val="24"/>
                <w:szCs w:val="24"/>
                <w:lang w:eastAsia="lt-LT"/>
              </w:rPr>
              <w:t xml:space="preserve">ERPF </w:t>
            </w:r>
            <w:r w:rsidR="00B1109C">
              <w:rPr>
                <w:rFonts w:ascii="Times New Roman" w:eastAsia="AngsanaUPC" w:hAnsi="Times New Roman"/>
                <w:b/>
                <w:bCs/>
                <w:i/>
                <w:iCs/>
                <w:sz w:val="24"/>
                <w:szCs w:val="24"/>
                <w:lang w:eastAsia="lt-LT"/>
              </w:rPr>
              <w:t xml:space="preserve">specialieji </w:t>
            </w:r>
            <w:r w:rsidRPr="00385835">
              <w:rPr>
                <w:rFonts w:ascii="Times New Roman" w:eastAsia="AngsanaUPC" w:hAnsi="Times New Roman"/>
                <w:b/>
                <w:bCs/>
                <w:i/>
                <w:iCs/>
                <w:sz w:val="24"/>
                <w:szCs w:val="24"/>
                <w:lang w:eastAsia="lt-LT"/>
              </w:rPr>
              <w:t>programos rezultato rodikliai</w:t>
            </w:r>
          </w:p>
        </w:tc>
      </w:tr>
      <w:tr w:rsidR="00385835" w:rsidRPr="00385835" w:rsidTr="003409A1">
        <w:tblPrEx>
          <w:shd w:val="clear" w:color="auto" w:fill="auto"/>
        </w:tblPrEx>
        <w:trPr>
          <w:cantSplit/>
          <w:trHeight w:val="737"/>
          <w:tblHeader/>
        </w:trPr>
        <w:tc>
          <w:tcPr>
            <w:tcW w:w="505"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Nr.</w:t>
            </w:r>
          </w:p>
        </w:tc>
        <w:tc>
          <w:tcPr>
            <w:tcW w:w="2036"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Rodiklio pavadinimas</w:t>
            </w:r>
          </w:p>
        </w:tc>
        <w:tc>
          <w:tcPr>
            <w:tcW w:w="1006"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Matavimo vienetas</w:t>
            </w:r>
          </w:p>
        </w:tc>
        <w:tc>
          <w:tcPr>
            <w:tcW w:w="1053"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Regiono kategorija</w:t>
            </w:r>
          </w:p>
        </w:tc>
        <w:tc>
          <w:tcPr>
            <w:tcW w:w="835"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 reikšmė</w:t>
            </w:r>
          </w:p>
        </w:tc>
        <w:tc>
          <w:tcPr>
            <w:tcW w:w="932"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Pradinės reikšmės metai</w:t>
            </w:r>
          </w:p>
        </w:tc>
        <w:tc>
          <w:tcPr>
            <w:tcW w:w="108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Siektina reikšmė (2023)</w:t>
            </w:r>
          </w:p>
        </w:tc>
        <w:tc>
          <w:tcPr>
            <w:tcW w:w="1066"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Duomenų šaltinis</w:t>
            </w:r>
          </w:p>
        </w:tc>
        <w:tc>
          <w:tcPr>
            <w:tcW w:w="1232"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Atsiskaitymo dažnumas</w:t>
            </w:r>
          </w:p>
        </w:tc>
      </w:tr>
      <w:tr w:rsidR="003409A1" w:rsidRPr="00385835" w:rsidTr="003409A1">
        <w:tblPrEx>
          <w:shd w:val="clear" w:color="auto" w:fill="auto"/>
        </w:tblPrEx>
        <w:tc>
          <w:tcPr>
            <w:tcW w:w="505" w:type="dxa"/>
            <w:shd w:val="clear" w:color="auto" w:fill="auto"/>
            <w:vAlign w:val="center"/>
          </w:tcPr>
          <w:p w:rsidR="003409A1" w:rsidRPr="00385835" w:rsidRDefault="003409A1"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w:t>
            </w:r>
          </w:p>
        </w:tc>
        <w:tc>
          <w:tcPr>
            <w:tcW w:w="2036" w:type="dxa"/>
            <w:shd w:val="clear" w:color="auto" w:fill="auto"/>
            <w:vAlign w:val="center"/>
          </w:tcPr>
          <w:p w:rsidR="003409A1" w:rsidRPr="00385835" w:rsidRDefault="003409A1" w:rsidP="00385835">
            <w:pPr>
              <w:widowControl w:val="0"/>
              <w:tabs>
                <w:tab w:val="left" w:pos="622"/>
              </w:tabs>
              <w:spacing w:after="0" w:line="240" w:lineRule="auto"/>
              <w:rPr>
                <w:rFonts w:ascii="Times New Roman" w:eastAsia="AngsanaUPC" w:hAnsi="Times New Roman"/>
                <w:bCs/>
                <w:sz w:val="18"/>
                <w:szCs w:val="18"/>
                <w:lang w:eastAsia="lt-LT"/>
              </w:rPr>
            </w:pPr>
            <w:r>
              <w:rPr>
                <w:rFonts w:ascii="Times New Roman" w:eastAsia="AngsanaUPC" w:hAnsi="Times New Roman"/>
                <w:bCs/>
                <w:sz w:val="18"/>
                <w:szCs w:val="18"/>
                <w:lang w:eastAsia="lt-LT"/>
              </w:rPr>
              <w:t>Užimtųjų</w:t>
            </w:r>
            <w:r w:rsidRPr="006827C9">
              <w:rPr>
                <w:rFonts w:ascii="Times New Roman" w:eastAsia="AngsanaUPC" w:hAnsi="Times New Roman"/>
                <w:bCs/>
                <w:sz w:val="18"/>
                <w:szCs w:val="18"/>
                <w:lang w:eastAsia="lt-LT"/>
              </w:rPr>
              <w:t xml:space="preserve"> dalis</w:t>
            </w:r>
            <w:r>
              <w:rPr>
                <w:rFonts w:ascii="Times New Roman" w:eastAsia="AngsanaUPC" w:hAnsi="Times New Roman"/>
                <w:bCs/>
                <w:sz w:val="18"/>
                <w:szCs w:val="18"/>
                <w:lang w:eastAsia="lt-LT"/>
              </w:rPr>
              <w:t>*</w:t>
            </w:r>
            <w:r w:rsidRPr="006827C9">
              <w:rPr>
                <w:rFonts w:ascii="Times New Roman" w:eastAsia="AngsanaUPC" w:hAnsi="Times New Roman"/>
                <w:bCs/>
                <w:sz w:val="18"/>
                <w:szCs w:val="18"/>
                <w:lang w:eastAsia="lt-LT"/>
              </w:rPr>
              <w:t xml:space="preserve"> tikslinėse teritorijose</w:t>
            </w:r>
            <w:r>
              <w:rPr>
                <w:rFonts w:ascii="Times New Roman" w:eastAsia="AngsanaUPC" w:hAnsi="Times New Roman"/>
                <w:bCs/>
                <w:sz w:val="18"/>
                <w:szCs w:val="18"/>
                <w:lang w:eastAsia="lt-LT"/>
              </w:rPr>
              <w:t xml:space="preserve">** </w:t>
            </w:r>
          </w:p>
        </w:tc>
        <w:tc>
          <w:tcPr>
            <w:tcW w:w="1006" w:type="dxa"/>
            <w:shd w:val="clear" w:color="auto" w:fill="auto"/>
            <w:vAlign w:val="center"/>
          </w:tcPr>
          <w:p w:rsidR="003409A1" w:rsidRPr="00385835" w:rsidRDefault="003409A1" w:rsidP="00385835">
            <w:pPr>
              <w:widowControl w:val="0"/>
              <w:tabs>
                <w:tab w:val="left" w:pos="622"/>
              </w:tabs>
              <w:spacing w:after="0" w:line="240" w:lineRule="auto"/>
              <w:jc w:val="center"/>
              <w:rPr>
                <w:rFonts w:ascii="Times New Roman" w:eastAsia="AngsanaUPC" w:hAnsi="Times New Roman"/>
                <w:bCs/>
                <w:sz w:val="18"/>
                <w:szCs w:val="18"/>
                <w:lang w:eastAsia="lt-LT"/>
              </w:rPr>
            </w:pPr>
            <w:r w:rsidRPr="00385835">
              <w:rPr>
                <w:rFonts w:ascii="Times New Roman" w:eastAsia="AngsanaUPC" w:hAnsi="Times New Roman"/>
                <w:bCs/>
                <w:sz w:val="18"/>
                <w:szCs w:val="18"/>
                <w:lang w:eastAsia="lt-LT"/>
              </w:rPr>
              <w:t>Proc.</w:t>
            </w:r>
          </w:p>
        </w:tc>
        <w:tc>
          <w:tcPr>
            <w:tcW w:w="1053" w:type="dxa"/>
            <w:shd w:val="clear" w:color="auto" w:fill="auto"/>
            <w:vAlign w:val="center"/>
          </w:tcPr>
          <w:p w:rsidR="003409A1" w:rsidRPr="00385835" w:rsidRDefault="003409A1" w:rsidP="00385835">
            <w:pPr>
              <w:widowControl w:val="0"/>
              <w:tabs>
                <w:tab w:val="left" w:pos="622"/>
              </w:tabs>
              <w:spacing w:after="0" w:line="240" w:lineRule="auto"/>
              <w:jc w:val="center"/>
              <w:rPr>
                <w:rFonts w:ascii="Times New Roman" w:eastAsia="AngsanaUPC" w:hAnsi="Times New Roman"/>
                <w:bCs/>
                <w:sz w:val="18"/>
                <w:szCs w:val="18"/>
                <w:lang w:eastAsia="lt-LT"/>
              </w:rPr>
            </w:pPr>
            <w:r w:rsidRPr="00385835">
              <w:rPr>
                <w:rFonts w:ascii="Times New Roman" w:eastAsia="AngsanaUPC" w:hAnsi="Times New Roman"/>
                <w:bCs/>
                <w:sz w:val="18"/>
                <w:szCs w:val="18"/>
                <w:lang w:eastAsia="lt-LT"/>
              </w:rPr>
              <w:t>Mažiau išsivystęs</w:t>
            </w:r>
          </w:p>
        </w:tc>
        <w:tc>
          <w:tcPr>
            <w:tcW w:w="835" w:type="dxa"/>
            <w:shd w:val="clear" w:color="auto" w:fill="auto"/>
            <w:vAlign w:val="center"/>
          </w:tcPr>
          <w:p w:rsidR="003409A1" w:rsidRPr="00385835" w:rsidRDefault="003409A1" w:rsidP="00DC55B6">
            <w:pPr>
              <w:widowControl w:val="0"/>
              <w:tabs>
                <w:tab w:val="left" w:pos="622"/>
              </w:tabs>
              <w:spacing w:after="0" w:line="240" w:lineRule="auto"/>
              <w:jc w:val="center"/>
              <w:rPr>
                <w:rFonts w:ascii="Times New Roman" w:eastAsia="AngsanaUPC" w:hAnsi="Times New Roman"/>
                <w:bCs/>
                <w:iCs/>
                <w:sz w:val="18"/>
                <w:szCs w:val="18"/>
                <w:lang w:eastAsia="lt-LT"/>
              </w:rPr>
            </w:pPr>
            <w:r>
              <w:rPr>
                <w:rFonts w:ascii="Times New Roman" w:eastAsia="AngsanaUPC" w:hAnsi="Times New Roman"/>
                <w:bCs/>
                <w:iCs/>
                <w:sz w:val="18"/>
                <w:szCs w:val="18"/>
                <w:lang w:eastAsia="lt-LT"/>
              </w:rPr>
              <w:t>49,5</w:t>
            </w:r>
          </w:p>
        </w:tc>
        <w:tc>
          <w:tcPr>
            <w:tcW w:w="932" w:type="dxa"/>
            <w:shd w:val="clear" w:color="auto" w:fill="auto"/>
            <w:vAlign w:val="center"/>
          </w:tcPr>
          <w:p w:rsidR="003409A1" w:rsidRPr="00385835" w:rsidRDefault="003409A1" w:rsidP="00DC55B6">
            <w:pPr>
              <w:widowControl w:val="0"/>
              <w:tabs>
                <w:tab w:val="left" w:pos="622"/>
              </w:tabs>
              <w:spacing w:after="0" w:line="240" w:lineRule="auto"/>
              <w:jc w:val="center"/>
              <w:rPr>
                <w:rFonts w:ascii="Times New Roman" w:eastAsia="AngsanaUPC" w:hAnsi="Times New Roman"/>
                <w:bCs/>
                <w:iCs/>
                <w:sz w:val="18"/>
                <w:szCs w:val="18"/>
                <w:lang w:eastAsia="lt-LT"/>
              </w:rPr>
            </w:pPr>
            <w:r>
              <w:rPr>
                <w:rFonts w:ascii="Times New Roman" w:eastAsia="AngsanaUPC" w:hAnsi="Times New Roman"/>
                <w:bCs/>
                <w:iCs/>
                <w:sz w:val="18"/>
                <w:szCs w:val="18"/>
                <w:lang w:eastAsia="lt-LT"/>
              </w:rPr>
              <w:t>2011</w:t>
            </w:r>
          </w:p>
        </w:tc>
        <w:tc>
          <w:tcPr>
            <w:tcW w:w="1081" w:type="dxa"/>
            <w:shd w:val="clear" w:color="auto" w:fill="auto"/>
            <w:vAlign w:val="center"/>
          </w:tcPr>
          <w:p w:rsidR="003409A1" w:rsidRPr="00385835" w:rsidRDefault="003409A1" w:rsidP="00DC55B6">
            <w:pPr>
              <w:widowControl w:val="0"/>
              <w:tabs>
                <w:tab w:val="left" w:pos="622"/>
              </w:tabs>
              <w:spacing w:after="0" w:line="240" w:lineRule="auto"/>
              <w:jc w:val="center"/>
              <w:rPr>
                <w:rFonts w:ascii="Times New Roman" w:eastAsia="AngsanaUPC" w:hAnsi="Times New Roman"/>
                <w:bCs/>
                <w:iCs/>
                <w:sz w:val="18"/>
                <w:szCs w:val="18"/>
                <w:lang w:eastAsia="lt-LT"/>
              </w:rPr>
            </w:pPr>
            <w:r>
              <w:rPr>
                <w:rFonts w:ascii="Times New Roman" w:eastAsia="AngsanaUPC" w:hAnsi="Times New Roman"/>
                <w:bCs/>
                <w:iCs/>
                <w:sz w:val="18"/>
                <w:szCs w:val="18"/>
                <w:lang w:eastAsia="lt-LT"/>
              </w:rPr>
              <w:t>54,5</w:t>
            </w:r>
          </w:p>
        </w:tc>
        <w:tc>
          <w:tcPr>
            <w:tcW w:w="1066" w:type="dxa"/>
            <w:shd w:val="clear" w:color="auto" w:fill="auto"/>
            <w:vAlign w:val="center"/>
          </w:tcPr>
          <w:p w:rsidR="003409A1" w:rsidRPr="00385835" w:rsidRDefault="003409A1"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Times New Roman" w:hAnsi="Times New Roman"/>
                <w:sz w:val="18"/>
                <w:szCs w:val="18"/>
                <w:lang w:eastAsia="lt-LT"/>
              </w:rPr>
              <w:t>Vidaus reikalų ministerijos atliekamas tyrimas</w:t>
            </w:r>
          </w:p>
        </w:tc>
        <w:tc>
          <w:tcPr>
            <w:tcW w:w="1232" w:type="dxa"/>
            <w:shd w:val="clear" w:color="auto" w:fill="auto"/>
            <w:vAlign w:val="center"/>
          </w:tcPr>
          <w:p w:rsidR="003409A1" w:rsidRPr="00385835" w:rsidRDefault="003409A1"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2 metus</w:t>
            </w:r>
          </w:p>
        </w:tc>
      </w:tr>
      <w:tr w:rsidR="00385835" w:rsidRPr="00385835" w:rsidTr="003409A1">
        <w:tblPrEx>
          <w:shd w:val="clear" w:color="auto" w:fill="auto"/>
        </w:tblPrEx>
        <w:tc>
          <w:tcPr>
            <w:tcW w:w="505"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w:t>
            </w:r>
          </w:p>
        </w:tc>
        <w:tc>
          <w:tcPr>
            <w:tcW w:w="2036" w:type="dxa"/>
            <w:shd w:val="clear" w:color="auto" w:fill="auto"/>
            <w:vAlign w:val="center"/>
          </w:tcPr>
          <w:p w:rsidR="00385835" w:rsidRPr="00385835" w:rsidRDefault="00385835" w:rsidP="00385835">
            <w:pPr>
              <w:widowControl w:val="0"/>
              <w:tabs>
                <w:tab w:val="left" w:pos="622"/>
              </w:tabs>
              <w:spacing w:after="0" w:line="240" w:lineRule="auto"/>
              <w:rPr>
                <w:rFonts w:ascii="Times New Roman" w:eastAsia="AngsanaUPC" w:hAnsi="Times New Roman"/>
                <w:bCs/>
                <w:sz w:val="18"/>
                <w:szCs w:val="18"/>
                <w:lang w:eastAsia="lt-LT"/>
              </w:rPr>
            </w:pPr>
            <w:r w:rsidRPr="00385835">
              <w:rPr>
                <w:rFonts w:ascii="Times New Roman" w:eastAsia="Times New Roman" w:hAnsi="Times New Roman"/>
                <w:sz w:val="18"/>
                <w:szCs w:val="18"/>
                <w:lang w:eastAsia="lt-LT"/>
              </w:rPr>
              <w:t>Pritrauktos papildomos materialinės investicijos į tikslines teritorijas*</w:t>
            </w:r>
          </w:p>
        </w:tc>
        <w:tc>
          <w:tcPr>
            <w:tcW w:w="1006"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18"/>
                <w:szCs w:val="18"/>
                <w:lang w:eastAsia="lt-LT"/>
              </w:rPr>
            </w:pPr>
            <w:r w:rsidRPr="00385835">
              <w:rPr>
                <w:rFonts w:ascii="Times New Roman" w:eastAsia="AngsanaUPC" w:hAnsi="Times New Roman"/>
                <w:bCs/>
                <w:sz w:val="18"/>
                <w:szCs w:val="18"/>
                <w:lang w:eastAsia="lt-LT"/>
              </w:rPr>
              <w:t>Tūkst. EUR.</w:t>
            </w:r>
          </w:p>
        </w:tc>
        <w:tc>
          <w:tcPr>
            <w:tcW w:w="1053"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18"/>
                <w:szCs w:val="18"/>
                <w:lang w:eastAsia="lt-LT"/>
              </w:rPr>
            </w:pPr>
            <w:r w:rsidRPr="00385835">
              <w:rPr>
                <w:rFonts w:ascii="Times New Roman" w:eastAsia="AngsanaUPC" w:hAnsi="Times New Roman"/>
                <w:bCs/>
                <w:sz w:val="18"/>
                <w:szCs w:val="18"/>
                <w:lang w:eastAsia="lt-LT"/>
              </w:rPr>
              <w:t>Mažiau išsivystęs</w:t>
            </w:r>
          </w:p>
        </w:tc>
        <w:tc>
          <w:tcPr>
            <w:tcW w:w="835" w:type="dxa"/>
            <w:shd w:val="clear" w:color="auto" w:fill="auto"/>
            <w:vAlign w:val="center"/>
          </w:tcPr>
          <w:p w:rsidR="00385835" w:rsidRPr="00385835" w:rsidRDefault="00385835" w:rsidP="009348A3">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31</w:t>
            </w:r>
            <w:r w:rsidR="009348A3">
              <w:rPr>
                <w:rFonts w:ascii="Times New Roman" w:eastAsia="AngsanaUPC" w:hAnsi="Times New Roman"/>
                <w:bCs/>
                <w:iCs/>
                <w:sz w:val="18"/>
                <w:szCs w:val="18"/>
                <w:lang w:eastAsia="lt-LT"/>
              </w:rPr>
              <w:t>.</w:t>
            </w:r>
            <w:r w:rsidRPr="00385835">
              <w:rPr>
                <w:rFonts w:ascii="Times New Roman" w:eastAsia="AngsanaUPC" w:hAnsi="Times New Roman"/>
                <w:bCs/>
                <w:iCs/>
                <w:sz w:val="18"/>
                <w:szCs w:val="18"/>
                <w:lang w:eastAsia="lt-LT"/>
              </w:rPr>
              <w:t>900</w:t>
            </w:r>
          </w:p>
        </w:tc>
        <w:tc>
          <w:tcPr>
            <w:tcW w:w="932"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2011</w:t>
            </w:r>
          </w:p>
        </w:tc>
        <w:tc>
          <w:tcPr>
            <w:tcW w:w="1081" w:type="dxa"/>
            <w:shd w:val="clear" w:color="auto" w:fill="auto"/>
            <w:vAlign w:val="center"/>
          </w:tcPr>
          <w:p w:rsidR="00385835" w:rsidRPr="00385835" w:rsidRDefault="00385835" w:rsidP="009348A3">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55</w:t>
            </w:r>
            <w:r w:rsidR="009348A3">
              <w:rPr>
                <w:rFonts w:ascii="Times New Roman" w:eastAsia="AngsanaUPC" w:hAnsi="Times New Roman"/>
                <w:bCs/>
                <w:iCs/>
                <w:sz w:val="18"/>
                <w:szCs w:val="18"/>
                <w:lang w:eastAsia="lt-LT"/>
              </w:rPr>
              <w:t>.</w:t>
            </w:r>
            <w:r w:rsidRPr="00385835">
              <w:rPr>
                <w:rFonts w:ascii="Times New Roman" w:eastAsia="AngsanaUPC" w:hAnsi="Times New Roman"/>
                <w:bCs/>
                <w:iCs/>
                <w:sz w:val="18"/>
                <w:szCs w:val="18"/>
                <w:lang w:eastAsia="lt-LT"/>
              </w:rPr>
              <w:t>000</w:t>
            </w:r>
          </w:p>
        </w:tc>
        <w:tc>
          <w:tcPr>
            <w:tcW w:w="1066"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Times New Roman" w:hAnsi="Times New Roman"/>
                <w:sz w:val="18"/>
                <w:szCs w:val="18"/>
                <w:lang w:eastAsia="lt-LT"/>
              </w:rPr>
            </w:pPr>
            <w:r w:rsidRPr="00385835">
              <w:rPr>
                <w:rFonts w:ascii="Times New Roman" w:eastAsia="Times New Roman" w:hAnsi="Times New Roman"/>
                <w:sz w:val="18"/>
                <w:szCs w:val="18"/>
                <w:lang w:eastAsia="lt-LT"/>
              </w:rPr>
              <w:t>Vidaus reikalų ministerijos atliekamas tyrimas</w:t>
            </w:r>
          </w:p>
        </w:tc>
        <w:tc>
          <w:tcPr>
            <w:tcW w:w="1232"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2 metus</w:t>
            </w:r>
          </w:p>
        </w:tc>
      </w:tr>
    </w:tbl>
    <w:p w:rsidR="003409A1" w:rsidRPr="00AF6139" w:rsidRDefault="003409A1" w:rsidP="003409A1">
      <w:pPr>
        <w:spacing w:after="0" w:line="240" w:lineRule="auto"/>
        <w:jc w:val="both"/>
        <w:rPr>
          <w:rFonts w:ascii="Times New Roman" w:eastAsia="AngsanaUPC" w:hAnsi="Times New Roman"/>
          <w:bCs/>
          <w:sz w:val="18"/>
          <w:szCs w:val="18"/>
          <w:lang w:eastAsia="lt-LT"/>
        </w:rPr>
      </w:pPr>
      <w:r w:rsidRPr="003409A1">
        <w:rPr>
          <w:rFonts w:ascii="Times New Roman" w:hAnsi="Times New Roman"/>
          <w:sz w:val="20"/>
          <w:szCs w:val="20"/>
        </w:rPr>
        <w:t>*</w:t>
      </w:r>
      <w:r w:rsidRPr="003409A1">
        <w:rPr>
          <w:rFonts w:ascii="Times New Roman" w:eastAsia="AngsanaUPC" w:hAnsi="Times New Roman"/>
          <w:bCs/>
          <w:sz w:val="18"/>
          <w:szCs w:val="18"/>
          <w:lang w:eastAsia="lt-LT"/>
        </w:rPr>
        <w:t xml:space="preserve"> </w:t>
      </w:r>
      <w:r>
        <w:rPr>
          <w:rFonts w:ascii="Times New Roman" w:eastAsia="AngsanaUPC" w:hAnsi="Times New Roman"/>
          <w:bCs/>
          <w:sz w:val="18"/>
          <w:szCs w:val="18"/>
          <w:lang w:eastAsia="lt-LT"/>
        </w:rPr>
        <w:t xml:space="preserve">Nuo </w:t>
      </w:r>
      <w:r w:rsidR="00AF6139">
        <w:rPr>
          <w:rFonts w:ascii="Times New Roman" w:eastAsia="AngsanaUPC" w:hAnsi="Times New Roman"/>
          <w:bCs/>
          <w:sz w:val="18"/>
          <w:szCs w:val="18"/>
          <w:lang w:eastAsia="lt-LT"/>
        </w:rPr>
        <w:t>15–</w:t>
      </w:r>
      <w:r w:rsidRPr="003409A1">
        <w:rPr>
          <w:rFonts w:ascii="Times New Roman" w:eastAsia="AngsanaUPC" w:hAnsi="Times New Roman"/>
          <w:bCs/>
          <w:sz w:val="18"/>
          <w:szCs w:val="18"/>
          <w:lang w:eastAsia="lt-LT"/>
        </w:rPr>
        <w:t>64 m. amžiaus gyventojų skaičiaus.</w:t>
      </w:r>
    </w:p>
    <w:p w:rsidR="00385835" w:rsidRPr="00385835" w:rsidRDefault="00385835" w:rsidP="00385835">
      <w:pPr>
        <w:spacing w:after="0" w:line="240" w:lineRule="auto"/>
        <w:jc w:val="both"/>
        <w:rPr>
          <w:rFonts w:ascii="Times New Roman" w:hAnsi="Times New Roman"/>
          <w:sz w:val="20"/>
          <w:szCs w:val="20"/>
        </w:rPr>
      </w:pPr>
      <w:r w:rsidRPr="00385835">
        <w:rPr>
          <w:rFonts w:ascii="Times New Roman" w:hAnsi="Times New Roman"/>
          <w:sz w:val="20"/>
          <w:szCs w:val="20"/>
        </w:rPr>
        <w:t>*</w:t>
      </w:r>
      <w:r w:rsidR="003409A1">
        <w:rPr>
          <w:rFonts w:ascii="Times New Roman" w:hAnsi="Times New Roman"/>
          <w:sz w:val="20"/>
          <w:szCs w:val="20"/>
        </w:rPr>
        <w:t>*</w:t>
      </w:r>
      <w:r w:rsidRPr="00385835">
        <w:rPr>
          <w:rFonts w:ascii="Times New Roman" w:hAnsi="Times New Roman"/>
          <w:sz w:val="20"/>
          <w:szCs w:val="20"/>
        </w:rPr>
        <w:t xml:space="preserve"> Tikslinės teritorijos apima kaimo vietoves ir mažiausius miestus (turinčius 1 iki 6 tūkst. gyventojų, išskyrus miestus – savivaldybių centrus)</w:t>
      </w:r>
    </w:p>
    <w:p w:rsidR="00385835" w:rsidRPr="00385835" w:rsidRDefault="00385835" w:rsidP="00385835">
      <w:pPr>
        <w:spacing w:after="0" w:line="240" w:lineRule="auto"/>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385835" w:rsidRPr="00385835" w:rsidTr="00385835">
        <w:tc>
          <w:tcPr>
            <w:tcW w:w="9746" w:type="dxa"/>
            <w:tcBorders>
              <w:top w:val="single" w:sz="4" w:space="0" w:color="auto"/>
              <w:left w:val="single" w:sz="4" w:space="0" w:color="auto"/>
              <w:bottom w:val="single" w:sz="4" w:space="0" w:color="auto"/>
              <w:right w:val="single" w:sz="4" w:space="0" w:color="auto"/>
            </w:tcBorders>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Cs/>
                <w:iCs/>
                <w:sz w:val="24"/>
                <w:szCs w:val="24"/>
                <w:lang w:eastAsia="lt-LT"/>
              </w:rPr>
            </w:pPr>
            <w:r w:rsidRPr="00385835">
              <w:rPr>
                <w:rFonts w:ascii="Times New Roman" w:eastAsia="AngsanaUPC" w:hAnsi="Times New Roman"/>
                <w:b/>
                <w:bCs/>
                <w:i/>
                <w:iCs/>
                <w:sz w:val="24"/>
                <w:szCs w:val="24"/>
                <w:lang w:eastAsia="lt-LT"/>
              </w:rPr>
              <w:t>8.2. Investicinio prioriteto įgyvendinimo veiklos</w:t>
            </w:r>
          </w:p>
        </w:tc>
      </w:tr>
      <w:tr w:rsidR="00385835" w:rsidRPr="00385835" w:rsidTr="00385835">
        <w:tc>
          <w:tcPr>
            <w:tcW w:w="9746" w:type="dxa"/>
            <w:shd w:val="clear" w:color="auto" w:fill="auto"/>
          </w:tcPr>
          <w:p w:rsidR="00385835" w:rsidRPr="00385835" w:rsidRDefault="00385835" w:rsidP="00650E41">
            <w:pPr>
              <w:numPr>
                <w:ilvl w:val="0"/>
                <w:numId w:val="11"/>
              </w:numPr>
              <w:tabs>
                <w:tab w:val="left" w:pos="459"/>
              </w:tabs>
              <w:spacing w:after="0" w:line="240" w:lineRule="auto"/>
              <w:ind w:left="34"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Atvirų viešųjų erdvių urbanistinės infrastruktūros pertvarkymas</w:t>
            </w:r>
            <w:r w:rsidR="00C54E6D">
              <w:rPr>
                <w:rFonts w:ascii="Times New Roman" w:eastAsia="AngsanaUPC" w:hAnsi="Times New Roman"/>
                <w:bCs/>
                <w:iCs/>
                <w:sz w:val="24"/>
                <w:szCs w:val="24"/>
                <w:lang w:eastAsia="lt-LT"/>
              </w:rPr>
              <w:t>,</w:t>
            </w:r>
            <w:r w:rsidRPr="00385835">
              <w:rPr>
                <w:rFonts w:ascii="Times New Roman" w:eastAsia="AngsanaUPC" w:hAnsi="Times New Roman"/>
                <w:bCs/>
                <w:iCs/>
                <w:sz w:val="24"/>
                <w:szCs w:val="24"/>
                <w:lang w:eastAsia="lt-LT"/>
              </w:rPr>
              <w:t xml:space="preserve"> paruošiant investicijoms apleistas ar nepakankamai išnaudotas teritorijas, skatinant komercinės veiklos atsiradimą šiose teritorijose (pavyzdžiui</w:t>
            </w:r>
            <w:r w:rsidR="00686878">
              <w:rPr>
                <w:rFonts w:ascii="Times New Roman" w:eastAsia="AngsanaUPC" w:hAnsi="Times New Roman"/>
                <w:bCs/>
                <w:iCs/>
                <w:sz w:val="24"/>
                <w:szCs w:val="24"/>
                <w:lang w:eastAsia="lt-LT"/>
              </w:rPr>
              <w:t>,</w:t>
            </w:r>
            <w:r w:rsidRPr="00385835">
              <w:rPr>
                <w:rFonts w:ascii="Times New Roman" w:eastAsia="AngsanaUPC" w:hAnsi="Times New Roman"/>
                <w:bCs/>
                <w:iCs/>
                <w:sz w:val="24"/>
                <w:szCs w:val="24"/>
                <w:lang w:eastAsia="lt-LT"/>
              </w:rPr>
              <w:t xml:space="preserve"> nedideles pramonės zonas, turgavietes ir pan.), pritaikant viešąsias erdves saviraiškai, bendravimui, mokymuisi, sveikatinimui ir taip padidinant gyventojų srautus; taip sudarant prielaidas kurtis naujiems su gyventojų aptarnavimu susijusiems verslams</w:t>
            </w:r>
            <w:r w:rsidR="00C54E6D">
              <w:rPr>
                <w:rFonts w:ascii="Times New Roman" w:eastAsia="AngsanaUPC" w:hAnsi="Times New Roman"/>
                <w:bCs/>
                <w:iCs/>
                <w:sz w:val="24"/>
                <w:szCs w:val="24"/>
                <w:lang w:eastAsia="lt-LT"/>
              </w:rPr>
              <w:t>,</w:t>
            </w:r>
            <w:r w:rsidRPr="00385835">
              <w:rPr>
                <w:rFonts w:ascii="Times New Roman" w:eastAsia="AngsanaUPC" w:hAnsi="Times New Roman"/>
                <w:bCs/>
                <w:iCs/>
                <w:sz w:val="24"/>
                <w:szCs w:val="24"/>
                <w:lang w:eastAsia="lt-LT"/>
              </w:rPr>
              <w:t xml:space="preserve"> taip pat pritraukiant privačias investicijas.</w:t>
            </w:r>
          </w:p>
          <w:p w:rsidR="00385835" w:rsidRPr="00385835" w:rsidRDefault="00385835" w:rsidP="00650E41">
            <w:pPr>
              <w:numPr>
                <w:ilvl w:val="0"/>
                <w:numId w:val="11"/>
              </w:numPr>
              <w:tabs>
                <w:tab w:val="left" w:pos="459"/>
              </w:tabs>
              <w:spacing w:after="0" w:line="240" w:lineRule="auto"/>
              <w:ind w:left="34" w:firstLine="0"/>
              <w:jc w:val="both"/>
              <w:rPr>
                <w:rFonts w:ascii="Times New Roman" w:hAnsi="Times New Roman"/>
                <w:sz w:val="24"/>
                <w:szCs w:val="24"/>
              </w:rPr>
            </w:pPr>
            <w:r w:rsidRPr="00385835">
              <w:rPr>
                <w:rFonts w:ascii="Times New Roman" w:eastAsia="AngsanaUPC" w:hAnsi="Times New Roman"/>
                <w:bCs/>
                <w:iCs/>
                <w:sz w:val="24"/>
                <w:szCs w:val="24"/>
                <w:lang w:eastAsia="lt-LT"/>
              </w:rPr>
              <w:t>Apleistų ar neefektyviai naudojamų pastatų, kitos infrastruktūros ir teritorijų konversija, funkcionalumo didinimas (pavyzdžiui</w:t>
            </w:r>
            <w:r w:rsidR="00686878">
              <w:rPr>
                <w:rFonts w:ascii="Times New Roman" w:eastAsia="AngsanaUPC" w:hAnsi="Times New Roman"/>
                <w:bCs/>
                <w:iCs/>
                <w:sz w:val="24"/>
                <w:szCs w:val="24"/>
                <w:lang w:eastAsia="lt-LT"/>
              </w:rPr>
              <w:t>,</w:t>
            </w:r>
            <w:r w:rsidRPr="00385835">
              <w:rPr>
                <w:rFonts w:ascii="Times New Roman" w:eastAsia="AngsanaUPC" w:hAnsi="Times New Roman"/>
                <w:bCs/>
                <w:iCs/>
                <w:sz w:val="24"/>
                <w:szCs w:val="24"/>
                <w:lang w:eastAsia="lt-LT"/>
              </w:rPr>
              <w:t xml:space="preserve"> neveikiančius ar iš dalies užimtus pastatus pritaikant keletui paskirčių: bendruomenių veiklai, viešosioms, socialinėms paslaugoms). Bus skatinamos investicijos į apleistas teritorijas ir nenaudojamą infrastruktūrą, jos pritaikymą naujoms veikloms ir investicijoms, taip pat skatinant viešojo ir privataus sektoriaus partnerystę.</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561"/>
        <w:gridCol w:w="2886"/>
        <w:gridCol w:w="1116"/>
        <w:gridCol w:w="835"/>
        <w:gridCol w:w="1006"/>
        <w:gridCol w:w="1026"/>
        <w:gridCol w:w="1089"/>
        <w:gridCol w:w="1227"/>
      </w:tblGrid>
      <w:tr w:rsidR="00385835" w:rsidRPr="00385835" w:rsidTr="00385835">
        <w:tc>
          <w:tcPr>
            <w:tcW w:w="9746" w:type="dxa"/>
            <w:gridSpan w:val="8"/>
            <w:shd w:val="clear" w:color="auto" w:fill="EEECE1"/>
          </w:tcPr>
          <w:p w:rsidR="00385835" w:rsidRPr="00385835" w:rsidRDefault="00385835" w:rsidP="006827C9">
            <w:pPr>
              <w:widowControl w:val="0"/>
              <w:tabs>
                <w:tab w:val="left" w:pos="622"/>
              </w:tabs>
              <w:spacing w:after="0" w:line="240" w:lineRule="auto"/>
              <w:jc w:val="both"/>
              <w:rPr>
                <w:rFonts w:ascii="Times New Roman" w:eastAsia="AngsanaUPC" w:hAnsi="Times New Roman"/>
                <w:b/>
                <w:bCs/>
                <w:i/>
                <w:iCs/>
                <w:sz w:val="24"/>
                <w:szCs w:val="24"/>
                <w:lang w:eastAsia="lt-LT"/>
              </w:rPr>
            </w:pPr>
            <w:r w:rsidRPr="00385835">
              <w:rPr>
                <w:rFonts w:ascii="Times New Roman" w:eastAsia="AngsanaUPC" w:hAnsi="Times New Roman"/>
                <w:b/>
                <w:bCs/>
                <w:i/>
                <w:iCs/>
                <w:sz w:val="24"/>
                <w:szCs w:val="24"/>
                <w:lang w:eastAsia="lt-LT"/>
              </w:rPr>
              <w:t xml:space="preserve">ERPF bendrieji ir </w:t>
            </w:r>
            <w:r w:rsidR="006827C9">
              <w:rPr>
                <w:rFonts w:ascii="Times New Roman" w:eastAsia="AngsanaUPC" w:hAnsi="Times New Roman"/>
                <w:b/>
                <w:bCs/>
                <w:i/>
                <w:iCs/>
                <w:sz w:val="24"/>
                <w:szCs w:val="24"/>
                <w:lang w:eastAsia="lt-LT"/>
              </w:rPr>
              <w:t>specialieji</w:t>
            </w:r>
            <w:r w:rsidR="006827C9" w:rsidRPr="00385835">
              <w:rPr>
                <w:rFonts w:ascii="Times New Roman" w:eastAsia="AngsanaUPC" w:hAnsi="Times New Roman"/>
                <w:b/>
                <w:bCs/>
                <w:i/>
                <w:iCs/>
                <w:sz w:val="24"/>
                <w:szCs w:val="24"/>
                <w:lang w:eastAsia="lt-LT"/>
              </w:rPr>
              <w:t xml:space="preserve"> </w:t>
            </w:r>
            <w:r w:rsidRPr="00385835">
              <w:rPr>
                <w:rFonts w:ascii="Times New Roman" w:eastAsia="AngsanaUPC" w:hAnsi="Times New Roman"/>
                <w:b/>
                <w:bCs/>
                <w:i/>
                <w:iCs/>
                <w:sz w:val="24"/>
                <w:szCs w:val="24"/>
                <w:lang w:eastAsia="lt-LT"/>
              </w:rPr>
              <w:t>programos produkto rodikliai</w:t>
            </w:r>
          </w:p>
        </w:tc>
      </w:tr>
      <w:tr w:rsidR="00385835" w:rsidRPr="00385835" w:rsidTr="00385835">
        <w:tblPrEx>
          <w:shd w:val="clear" w:color="auto" w:fill="auto"/>
        </w:tblPrEx>
        <w:tc>
          <w:tcPr>
            <w:tcW w:w="56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Nr.</w:t>
            </w:r>
          </w:p>
        </w:tc>
        <w:tc>
          <w:tcPr>
            <w:tcW w:w="2886"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Rodiklio pavadinimas</w:t>
            </w:r>
          </w:p>
        </w:tc>
        <w:tc>
          <w:tcPr>
            <w:tcW w:w="1116"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Matavimo vienetai</w:t>
            </w:r>
          </w:p>
        </w:tc>
        <w:tc>
          <w:tcPr>
            <w:tcW w:w="835"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Fondas</w:t>
            </w:r>
          </w:p>
        </w:tc>
        <w:tc>
          <w:tcPr>
            <w:tcW w:w="1006"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Regiono kategorija</w:t>
            </w:r>
          </w:p>
        </w:tc>
        <w:tc>
          <w:tcPr>
            <w:tcW w:w="1026"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Siektina reikšmė (2023)</w:t>
            </w:r>
          </w:p>
        </w:tc>
        <w:tc>
          <w:tcPr>
            <w:tcW w:w="1089"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Duomenų šaltinis</w:t>
            </w:r>
          </w:p>
        </w:tc>
        <w:tc>
          <w:tcPr>
            <w:tcW w:w="1227"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Atsiskaitymo dažnumas</w:t>
            </w:r>
          </w:p>
        </w:tc>
      </w:tr>
      <w:tr w:rsidR="00385835" w:rsidRPr="00385835" w:rsidTr="00385835">
        <w:tblPrEx>
          <w:shd w:val="clear" w:color="auto" w:fill="auto"/>
        </w:tblPrEx>
        <w:tc>
          <w:tcPr>
            <w:tcW w:w="56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w:t>
            </w:r>
          </w:p>
        </w:tc>
        <w:tc>
          <w:tcPr>
            <w:tcW w:w="2886" w:type="dxa"/>
            <w:shd w:val="clear" w:color="auto" w:fill="auto"/>
            <w:vAlign w:val="center"/>
          </w:tcPr>
          <w:p w:rsidR="00385835" w:rsidRPr="00385835" w:rsidRDefault="00385835" w:rsidP="00385835">
            <w:pPr>
              <w:widowControl w:val="0"/>
              <w:tabs>
                <w:tab w:val="left" w:pos="622"/>
              </w:tabs>
              <w:spacing w:after="0" w:line="240" w:lineRule="auto"/>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Naujos atviros erdvės vietovėse nuo 1 iki 6 tūkst. gyv. (išskyrus savivaldybių centrus)</w:t>
            </w:r>
          </w:p>
        </w:tc>
        <w:tc>
          <w:tcPr>
            <w:tcW w:w="1116"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Kvadratiniai metrai</w:t>
            </w:r>
          </w:p>
        </w:tc>
        <w:tc>
          <w:tcPr>
            <w:tcW w:w="835"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ERPF</w:t>
            </w:r>
          </w:p>
        </w:tc>
        <w:tc>
          <w:tcPr>
            <w:tcW w:w="1006"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Mažiau išsivystęs</w:t>
            </w:r>
          </w:p>
        </w:tc>
        <w:tc>
          <w:tcPr>
            <w:tcW w:w="1026" w:type="dxa"/>
            <w:shd w:val="clear" w:color="auto" w:fill="auto"/>
            <w:vAlign w:val="center"/>
          </w:tcPr>
          <w:p w:rsidR="00385835" w:rsidRPr="00385835" w:rsidRDefault="00385835" w:rsidP="009348A3">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w:t>
            </w:r>
            <w:r w:rsidR="009348A3">
              <w:rPr>
                <w:rFonts w:ascii="Times New Roman" w:eastAsia="AngsanaUPC" w:hAnsi="Times New Roman"/>
                <w:bCs/>
                <w:iCs/>
                <w:sz w:val="18"/>
                <w:szCs w:val="18"/>
                <w:lang w:eastAsia="lt-LT"/>
              </w:rPr>
              <w:t>.</w:t>
            </w:r>
            <w:r w:rsidRPr="00385835">
              <w:rPr>
                <w:rFonts w:ascii="Times New Roman" w:eastAsia="AngsanaUPC" w:hAnsi="Times New Roman"/>
                <w:bCs/>
                <w:iCs/>
                <w:sz w:val="18"/>
                <w:szCs w:val="18"/>
                <w:lang w:eastAsia="lt-LT"/>
              </w:rPr>
              <w:t>000</w:t>
            </w:r>
            <w:r w:rsidR="009348A3">
              <w:rPr>
                <w:rFonts w:ascii="Times New Roman" w:eastAsia="AngsanaUPC" w:hAnsi="Times New Roman"/>
                <w:bCs/>
                <w:iCs/>
                <w:sz w:val="18"/>
                <w:szCs w:val="18"/>
                <w:lang w:eastAsia="lt-LT"/>
              </w:rPr>
              <w:t>.</w:t>
            </w:r>
            <w:r w:rsidRPr="00385835">
              <w:rPr>
                <w:rFonts w:ascii="Times New Roman" w:eastAsia="AngsanaUPC" w:hAnsi="Times New Roman"/>
                <w:bCs/>
                <w:iCs/>
                <w:sz w:val="18"/>
                <w:szCs w:val="18"/>
                <w:lang w:eastAsia="lt-LT"/>
              </w:rPr>
              <w:t>000</w:t>
            </w:r>
          </w:p>
        </w:tc>
        <w:tc>
          <w:tcPr>
            <w:tcW w:w="1089"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Duomenys iš projektų</w:t>
            </w:r>
          </w:p>
        </w:tc>
        <w:tc>
          <w:tcPr>
            <w:tcW w:w="122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385835" w:rsidRPr="00385835" w:rsidTr="00385835">
        <w:tblPrEx>
          <w:shd w:val="clear" w:color="auto" w:fill="auto"/>
        </w:tblPrEx>
        <w:tc>
          <w:tcPr>
            <w:tcW w:w="56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w:t>
            </w:r>
          </w:p>
        </w:tc>
        <w:tc>
          <w:tcPr>
            <w:tcW w:w="2886" w:type="dxa"/>
            <w:shd w:val="clear" w:color="auto" w:fill="auto"/>
            <w:vAlign w:val="center"/>
          </w:tcPr>
          <w:p w:rsidR="00385835" w:rsidRPr="00385835" w:rsidRDefault="00385835" w:rsidP="00385835">
            <w:pPr>
              <w:widowControl w:val="0"/>
              <w:tabs>
                <w:tab w:val="left" w:pos="622"/>
              </w:tabs>
              <w:spacing w:after="0" w:line="240" w:lineRule="auto"/>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Atnaujinti ir pritaikyti naujai paskirčiai pastatai ir statiniai kaimo vietovėse</w:t>
            </w:r>
          </w:p>
        </w:tc>
        <w:tc>
          <w:tcPr>
            <w:tcW w:w="1116" w:type="dxa"/>
            <w:shd w:val="clear" w:color="auto" w:fill="auto"/>
            <w:vAlign w:val="center"/>
          </w:tcPr>
          <w:p w:rsidR="00385835" w:rsidRPr="00385835" w:rsidDel="0072060A"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Kvadratiniai metrai</w:t>
            </w:r>
          </w:p>
        </w:tc>
        <w:tc>
          <w:tcPr>
            <w:tcW w:w="835"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ERPF</w:t>
            </w:r>
          </w:p>
        </w:tc>
        <w:tc>
          <w:tcPr>
            <w:tcW w:w="1006"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Mažiau išsivystęs</w:t>
            </w:r>
          </w:p>
        </w:tc>
        <w:tc>
          <w:tcPr>
            <w:tcW w:w="1026" w:type="dxa"/>
            <w:shd w:val="clear" w:color="auto" w:fill="auto"/>
            <w:vAlign w:val="center"/>
          </w:tcPr>
          <w:p w:rsidR="00385835" w:rsidRPr="00385835" w:rsidRDefault="00385835" w:rsidP="009348A3">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3</w:t>
            </w:r>
            <w:r w:rsidR="009348A3">
              <w:rPr>
                <w:rFonts w:ascii="Times New Roman" w:eastAsia="AngsanaUPC" w:hAnsi="Times New Roman"/>
                <w:bCs/>
                <w:iCs/>
                <w:sz w:val="18"/>
                <w:szCs w:val="18"/>
                <w:lang w:eastAsia="lt-LT"/>
              </w:rPr>
              <w:t>.</w:t>
            </w:r>
            <w:r w:rsidRPr="00385835">
              <w:rPr>
                <w:rFonts w:ascii="Times New Roman" w:eastAsia="AngsanaUPC" w:hAnsi="Times New Roman"/>
                <w:bCs/>
                <w:iCs/>
                <w:sz w:val="18"/>
                <w:szCs w:val="18"/>
                <w:lang w:eastAsia="lt-LT"/>
              </w:rPr>
              <w:t>000</w:t>
            </w:r>
          </w:p>
        </w:tc>
        <w:tc>
          <w:tcPr>
            <w:tcW w:w="1089" w:type="dxa"/>
            <w:shd w:val="clear" w:color="auto" w:fill="auto"/>
            <w:vAlign w:val="center"/>
          </w:tcPr>
          <w:p w:rsidR="00385835" w:rsidRPr="00385835" w:rsidDel="0072060A"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Duomenys iš projektų</w:t>
            </w:r>
          </w:p>
        </w:tc>
        <w:tc>
          <w:tcPr>
            <w:tcW w:w="122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bl>
    <w:p w:rsidR="00385835" w:rsidRDefault="00385835" w:rsidP="00385835">
      <w:pPr>
        <w:spacing w:after="0"/>
        <w:rPr>
          <w:rFonts w:ascii="Times New Roman" w:hAnsi="Times New Roman"/>
          <w:sz w:val="24"/>
          <w:szCs w:val="24"/>
        </w:rPr>
      </w:pPr>
    </w:p>
    <w:p w:rsidR="00900EB5" w:rsidRPr="00385835" w:rsidRDefault="00900EB5" w:rsidP="00385835">
      <w:pPr>
        <w:spacing w:after="0"/>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vAlign w:val="center"/>
          </w:tcPr>
          <w:p w:rsidR="00385835" w:rsidRPr="00385835" w:rsidRDefault="00385835" w:rsidP="00385835">
            <w:pPr>
              <w:widowControl w:val="0"/>
              <w:tabs>
                <w:tab w:val="left" w:pos="622"/>
              </w:tabs>
              <w:spacing w:after="0" w:line="240" w:lineRule="auto"/>
              <w:rPr>
                <w:rFonts w:ascii="Times New Roman" w:eastAsia="AngsanaUPC" w:hAnsi="Times New Roman"/>
                <w:b/>
                <w:bCs/>
                <w:iCs/>
                <w:sz w:val="24"/>
                <w:szCs w:val="24"/>
                <w:lang w:eastAsia="lt-LT"/>
              </w:rPr>
            </w:pPr>
            <w:r w:rsidRPr="00385835">
              <w:rPr>
                <w:rFonts w:ascii="Times New Roman" w:eastAsia="AngsanaUPC" w:hAnsi="Times New Roman"/>
                <w:b/>
                <w:bCs/>
                <w:iCs/>
                <w:sz w:val="24"/>
                <w:szCs w:val="24"/>
                <w:lang w:eastAsia="lt-LT"/>
              </w:rPr>
              <w:lastRenderedPageBreak/>
              <w:t>8.3. INVESTICINIS PRIORITETAS</w:t>
            </w:r>
          </w:p>
        </w:tc>
        <w:tc>
          <w:tcPr>
            <w:tcW w:w="7336" w:type="dxa"/>
            <w:shd w:val="clear" w:color="auto" w:fill="EEECE1"/>
            <w:vAlign w:val="center"/>
          </w:tcPr>
          <w:p w:rsidR="00385835" w:rsidRPr="00385835" w:rsidRDefault="00385835" w:rsidP="00385835">
            <w:pPr>
              <w:spacing w:after="0" w:line="240" w:lineRule="auto"/>
              <w:jc w:val="both"/>
              <w:rPr>
                <w:rFonts w:ascii="Times New Roman" w:hAnsi="Times New Roman"/>
                <w:b/>
                <w:sz w:val="24"/>
                <w:szCs w:val="24"/>
              </w:rPr>
            </w:pPr>
            <w:r w:rsidRPr="00385835">
              <w:rPr>
                <w:rFonts w:ascii="Times New Roman" w:hAnsi="Times New Roman"/>
                <w:b/>
                <w:sz w:val="24"/>
                <w:szCs w:val="24"/>
              </w:rPr>
              <w:t>Aktyvi įtrauktis, visų pirma</w:t>
            </w:r>
            <w:r w:rsidR="00F056B7">
              <w:rPr>
                <w:rFonts w:ascii="Times New Roman" w:hAnsi="Times New Roman"/>
                <w:b/>
                <w:sz w:val="24"/>
                <w:szCs w:val="24"/>
              </w:rPr>
              <w:t>,</w:t>
            </w:r>
            <w:r w:rsidRPr="00385835">
              <w:rPr>
                <w:rFonts w:ascii="Times New Roman" w:hAnsi="Times New Roman"/>
                <w:b/>
                <w:sz w:val="24"/>
                <w:szCs w:val="24"/>
              </w:rPr>
              <w:t xml:space="preserve"> siekiant skatinti lygias galimybes, dalyvavimą darbo rinkoje ir gere</w:t>
            </w:r>
            <w:r w:rsidR="00031EF1">
              <w:rPr>
                <w:rFonts w:ascii="Times New Roman" w:hAnsi="Times New Roman"/>
                <w:b/>
                <w:sz w:val="24"/>
                <w:szCs w:val="24"/>
              </w:rPr>
              <w:t>snes įsidarbinimo galimybes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FONDAS</w:t>
            </w:r>
          </w:p>
        </w:tc>
        <w:tc>
          <w:tcPr>
            <w:tcW w:w="7336"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Europos socialinis fondas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tcPr>
          <w:p w:rsidR="00385835" w:rsidRPr="00385835" w:rsidRDefault="00385835" w:rsidP="00385835">
            <w:pPr>
              <w:widowControl w:val="0"/>
              <w:tabs>
                <w:tab w:val="left" w:pos="622"/>
              </w:tabs>
              <w:spacing w:after="0" w:line="240" w:lineRule="auto"/>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8.3.1. KONKRETUS UŽDAVINYS</w:t>
            </w:r>
          </w:p>
        </w:tc>
        <w:tc>
          <w:tcPr>
            <w:tcW w:w="7336" w:type="dxa"/>
            <w:shd w:val="clear" w:color="auto" w:fill="EEECE1"/>
            <w:vAlign w:val="center"/>
          </w:tcPr>
          <w:p w:rsidR="00385835" w:rsidRPr="00385835" w:rsidRDefault="00385835" w:rsidP="00385835">
            <w:pPr>
              <w:spacing w:after="0" w:line="240" w:lineRule="auto"/>
              <w:jc w:val="both"/>
              <w:rPr>
                <w:rFonts w:ascii="Times New Roman" w:hAnsi="Times New Roman"/>
                <w:b/>
                <w:sz w:val="24"/>
                <w:szCs w:val="24"/>
              </w:rPr>
            </w:pPr>
            <w:r w:rsidRPr="00385835">
              <w:rPr>
                <w:rFonts w:ascii="Times New Roman" w:eastAsia="AngsanaUPC" w:hAnsi="Times New Roman"/>
                <w:b/>
                <w:bCs/>
                <w:sz w:val="24"/>
                <w:szCs w:val="24"/>
                <w:lang w:eastAsia="lt-LT"/>
              </w:rPr>
              <w:t>Padidinti labiausiai nutolusių nuo darbo rinkos asmenų integraciją į darbo rinką</w:t>
            </w:r>
          </w:p>
        </w:tc>
      </w:tr>
      <w:tr w:rsidR="00385835" w:rsidRPr="00385835" w:rsidTr="00385835">
        <w:tc>
          <w:tcPr>
            <w:tcW w:w="9746" w:type="dxa"/>
            <w:gridSpan w:val="2"/>
            <w:shd w:val="clear" w:color="auto" w:fill="auto"/>
          </w:tcPr>
          <w:p w:rsidR="00385835" w:rsidRPr="00385835" w:rsidRDefault="00385835" w:rsidP="00385835">
            <w:pPr>
              <w:widowControl w:val="0"/>
              <w:tabs>
                <w:tab w:val="left" w:pos="622"/>
              </w:tabs>
              <w:spacing w:after="0" w:line="240" w:lineRule="auto"/>
              <w:ind w:firstLine="624"/>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2012 m. Lietuvoje skurdo rizikoje ar socialinėje atskirtyje</w:t>
            </w:r>
            <w:r w:rsidR="00F056B7">
              <w:rPr>
                <w:rFonts w:ascii="Times New Roman" w:eastAsia="AngsanaUPC" w:hAnsi="Times New Roman"/>
                <w:bCs/>
                <w:sz w:val="24"/>
                <w:szCs w:val="24"/>
                <w:lang w:eastAsia="lt-LT"/>
              </w:rPr>
              <w:t xml:space="preserve"> gyvenantys asmenys sudarė 32,5 </w:t>
            </w:r>
            <w:r w:rsidRPr="00385835">
              <w:rPr>
                <w:rFonts w:ascii="Times New Roman" w:eastAsia="AngsanaUPC" w:hAnsi="Times New Roman"/>
                <w:bCs/>
                <w:sz w:val="24"/>
                <w:szCs w:val="24"/>
                <w:lang w:eastAsia="lt-LT"/>
              </w:rPr>
              <w:t>proc. šalies gyventojų (iš viso – 975 tūkst. žmonių). Pagal šį rodiklį Lietuva buvo penkta skurdžiausia šalis ES (ES-27 vidurkis – 24,8 proc.). Ypatingą skurdo ir socialinės atskirties riziką patiria socialiai pažeidžiamiausios visuomenės grupės, tokios kaip</w:t>
            </w:r>
            <w:r w:rsidR="00F056B7">
              <w:rPr>
                <w:rFonts w:ascii="Times New Roman" w:eastAsia="AngsanaUPC" w:hAnsi="Times New Roman"/>
                <w:bCs/>
                <w:sz w:val="24"/>
                <w:szCs w:val="24"/>
                <w:lang w:eastAsia="lt-LT"/>
              </w:rPr>
              <w:t>,</w:t>
            </w:r>
            <w:r w:rsidRPr="00385835">
              <w:rPr>
                <w:rFonts w:ascii="Times New Roman" w:eastAsia="AngsanaUPC" w:hAnsi="Times New Roman"/>
                <w:bCs/>
                <w:sz w:val="24"/>
                <w:szCs w:val="24"/>
                <w:lang w:eastAsia="lt-LT"/>
              </w:rPr>
              <w:t xml:space="preserve"> ilgalaikiai bedarbiai, asmenys su negalia, priklausomybės ligomis sergantys asmenys, romų bendruomenės nariai, iš įkalinimo įstaigų išėję asmenys, benamiai ir kt. Šioms grupėms priklausantys asmenys paprastai ilgą laiką būna ekonomiškai neaktyvūs, todėl jiems itin sudėtinga įsilieti į darbo rinką dėl neįgytų ar prarastų darbinių įgūdžių, kvalifikacijos ar socialinių gebėjimų.</w:t>
            </w:r>
          </w:p>
          <w:p w:rsidR="00385835" w:rsidRPr="00385835" w:rsidRDefault="00385835" w:rsidP="00385835">
            <w:pPr>
              <w:widowControl w:val="0"/>
              <w:tabs>
                <w:tab w:val="left" w:pos="622"/>
              </w:tabs>
              <w:spacing w:after="0" w:line="240" w:lineRule="auto"/>
              <w:ind w:firstLine="624"/>
              <w:jc w:val="both"/>
              <w:rPr>
                <w:rFonts w:ascii="Times New Roman" w:eastAsia="AngsanaUPC" w:hAnsi="Times New Roman"/>
                <w:bCs/>
                <w:iCs/>
                <w:sz w:val="24"/>
                <w:szCs w:val="24"/>
                <w:lang w:eastAsia="lt-LT"/>
              </w:rPr>
            </w:pPr>
            <w:r w:rsidRPr="00385835">
              <w:rPr>
                <w:rFonts w:ascii="Times New Roman" w:eastAsia="AngsanaUPC" w:hAnsi="Times New Roman"/>
                <w:bCs/>
                <w:sz w:val="24"/>
                <w:szCs w:val="24"/>
                <w:lang w:eastAsia="lt-LT"/>
              </w:rPr>
              <w:t>Lietuvoje labai trūksta paslaugų, kurios padėtų labiausiai nuo darbo rinkos nutolusiems asmenims atstatyti jų socialinius gebėjimus, motyvaciją, psichologinį pasirengimą ir t.t. Todėl 2014–2020 m. programavimo laikotarpiu planuojama investuoti į tokių paslaugų (psichosocialinės pagalbos, socialinių įgūdžių ugdymo ir palaikymo, sociokultūrinės, mokymo, tarpininkavimo įsidarbinant ir palaikymo darbo vietoje paslaugos) plėtrą, taip sukuriant prielaidas pažeidžiamiausių asmenų integracijai ir sugrįžimui į darbo rinką. Teikiant socialinės integracijos paslaugas socialiai pažeidžiamiems asmenims, būtina užtikrinti bendradarbiavimą tarp savivaldybių ir kitų socialines paslaugas teikiančių institucijų ir organizacijų.</w:t>
            </w:r>
          </w:p>
          <w:p w:rsidR="00385835" w:rsidRPr="00385835" w:rsidRDefault="00385835" w:rsidP="00385835">
            <w:pPr>
              <w:widowControl w:val="0"/>
              <w:tabs>
                <w:tab w:val="left" w:pos="622"/>
              </w:tabs>
              <w:spacing w:after="0" w:line="240" w:lineRule="auto"/>
              <w:ind w:firstLine="624"/>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Siekiamas rezultatas – kad gavęs paslaugas asmuo aktyviai siektų socialinės integracijos ir reabilitacijos (</w:t>
            </w:r>
            <w:r w:rsidR="00686878">
              <w:rPr>
                <w:rFonts w:ascii="Times New Roman" w:eastAsia="AngsanaUPC" w:hAnsi="Times New Roman"/>
                <w:bCs/>
                <w:sz w:val="24"/>
                <w:szCs w:val="24"/>
                <w:lang w:eastAsia="lt-LT"/>
              </w:rPr>
              <w:t>pavyzdžiui</w:t>
            </w:r>
            <w:r w:rsidRPr="00385835">
              <w:rPr>
                <w:rFonts w:ascii="Times New Roman" w:eastAsia="AngsanaUPC" w:hAnsi="Times New Roman"/>
                <w:bCs/>
                <w:sz w:val="24"/>
                <w:szCs w:val="24"/>
                <w:lang w:eastAsia="lt-LT"/>
              </w:rPr>
              <w:t>, gydytųsi nuo priklausomybių, spręstų būsto klausimus, mokytųsi ir kt.) ir būtų pasirengęs aktyviai ieškoti darbo, dalyvauti švietimo bei mokymo veikloje, dalyvauti LDB siūlomose ADRP priemonėse. Didelis dėmesys bus teikiamas paslaugų individualizavimui, kad jos</w:t>
            </w:r>
            <w:r w:rsidR="00F056B7">
              <w:rPr>
                <w:rFonts w:ascii="Times New Roman" w:eastAsia="AngsanaUPC" w:hAnsi="Times New Roman"/>
                <w:bCs/>
                <w:sz w:val="24"/>
                <w:szCs w:val="24"/>
                <w:lang w:eastAsia="lt-LT"/>
              </w:rPr>
              <w:t>,</w:t>
            </w:r>
            <w:r w:rsidRPr="00385835">
              <w:rPr>
                <w:rFonts w:ascii="Times New Roman" w:eastAsia="AngsanaUPC" w:hAnsi="Times New Roman"/>
                <w:bCs/>
                <w:sz w:val="24"/>
                <w:szCs w:val="24"/>
                <w:lang w:eastAsia="lt-LT"/>
              </w:rPr>
              <w:t xml:space="preserve"> kuo geriau atitiktų paslaugas gaunančių asmenų padėtį ir galimybes.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554"/>
        <w:gridCol w:w="2565"/>
        <w:gridCol w:w="992"/>
        <w:gridCol w:w="992"/>
        <w:gridCol w:w="567"/>
        <w:gridCol w:w="426"/>
        <w:gridCol w:w="708"/>
        <w:gridCol w:w="709"/>
        <w:gridCol w:w="425"/>
        <w:gridCol w:w="1134"/>
        <w:gridCol w:w="674"/>
      </w:tblGrid>
      <w:tr w:rsidR="00385835" w:rsidRPr="00385835" w:rsidTr="00385835">
        <w:tc>
          <w:tcPr>
            <w:tcW w:w="9746" w:type="dxa"/>
            <w:gridSpan w:val="11"/>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i/>
                <w:iCs/>
                <w:sz w:val="24"/>
                <w:szCs w:val="24"/>
                <w:lang w:eastAsia="lt-LT"/>
              </w:rPr>
            </w:pPr>
            <w:r w:rsidRPr="00385835">
              <w:rPr>
                <w:rFonts w:ascii="Times New Roman" w:eastAsia="AngsanaUPC" w:hAnsi="Times New Roman"/>
                <w:b/>
                <w:bCs/>
                <w:i/>
                <w:iCs/>
                <w:sz w:val="24"/>
                <w:szCs w:val="24"/>
                <w:lang w:eastAsia="lt-LT"/>
              </w:rPr>
              <w:t xml:space="preserve">ESF </w:t>
            </w:r>
            <w:r w:rsidR="00A9401B">
              <w:rPr>
                <w:rFonts w:ascii="Times New Roman" w:eastAsia="AngsanaUPC" w:hAnsi="Times New Roman"/>
                <w:b/>
                <w:bCs/>
                <w:i/>
                <w:iCs/>
                <w:sz w:val="24"/>
                <w:szCs w:val="24"/>
                <w:lang w:eastAsia="lt-LT"/>
              </w:rPr>
              <w:t xml:space="preserve">bendrieji ir </w:t>
            </w:r>
            <w:r w:rsidR="006827C9">
              <w:rPr>
                <w:rFonts w:ascii="Times New Roman" w:eastAsia="AngsanaUPC" w:hAnsi="Times New Roman"/>
                <w:b/>
                <w:bCs/>
                <w:i/>
                <w:iCs/>
                <w:sz w:val="24"/>
                <w:szCs w:val="24"/>
                <w:lang w:eastAsia="lt-LT"/>
              </w:rPr>
              <w:t>specialieji</w:t>
            </w:r>
            <w:r w:rsidR="006827C9" w:rsidRPr="00385835">
              <w:rPr>
                <w:rFonts w:ascii="Times New Roman" w:eastAsia="AngsanaUPC" w:hAnsi="Times New Roman"/>
                <w:b/>
                <w:bCs/>
                <w:i/>
                <w:iCs/>
                <w:sz w:val="24"/>
                <w:szCs w:val="24"/>
                <w:lang w:eastAsia="lt-LT"/>
              </w:rPr>
              <w:t xml:space="preserve"> </w:t>
            </w:r>
            <w:r w:rsidRPr="00385835">
              <w:rPr>
                <w:rFonts w:ascii="Times New Roman" w:eastAsia="AngsanaUPC" w:hAnsi="Times New Roman"/>
                <w:b/>
                <w:bCs/>
                <w:i/>
                <w:iCs/>
                <w:sz w:val="24"/>
                <w:szCs w:val="24"/>
                <w:lang w:eastAsia="lt-LT"/>
              </w:rPr>
              <w:t>programos rezultato rodikliai</w:t>
            </w:r>
          </w:p>
        </w:tc>
      </w:tr>
      <w:tr w:rsidR="00385835" w:rsidRPr="00385835" w:rsidTr="00385835">
        <w:tblPrEx>
          <w:shd w:val="clear" w:color="auto" w:fill="auto"/>
        </w:tblPrEx>
        <w:trPr>
          <w:cantSplit/>
          <w:trHeight w:val="1837"/>
        </w:trPr>
        <w:tc>
          <w:tcPr>
            <w:tcW w:w="55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Nr.</w:t>
            </w:r>
          </w:p>
        </w:tc>
        <w:tc>
          <w:tcPr>
            <w:tcW w:w="2565"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Rodiklio pavadinimas</w:t>
            </w:r>
          </w:p>
        </w:tc>
        <w:tc>
          <w:tcPr>
            <w:tcW w:w="992"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Regiono kategorija</w:t>
            </w:r>
          </w:p>
        </w:tc>
        <w:tc>
          <w:tcPr>
            <w:tcW w:w="992"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Matavimo vienetas</w:t>
            </w:r>
          </w:p>
        </w:tc>
        <w:tc>
          <w:tcPr>
            <w:tcW w:w="567"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Bendrasis produkto rodiklis, naudotas kaip pagrindas</w:t>
            </w:r>
          </w:p>
        </w:tc>
        <w:tc>
          <w:tcPr>
            <w:tcW w:w="426"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Pradinė reikšmė</w:t>
            </w:r>
          </w:p>
        </w:tc>
        <w:tc>
          <w:tcPr>
            <w:tcW w:w="708"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Pradinės ir siektinos reikšmės matavimo vienetai</w:t>
            </w:r>
          </w:p>
        </w:tc>
        <w:tc>
          <w:tcPr>
            <w:tcW w:w="709"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Pradinės reikšmės metai</w:t>
            </w:r>
          </w:p>
        </w:tc>
        <w:tc>
          <w:tcPr>
            <w:tcW w:w="425"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Siektina reikšmė (2023)</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Duomenų šaltinis</w:t>
            </w:r>
          </w:p>
        </w:tc>
        <w:tc>
          <w:tcPr>
            <w:tcW w:w="674"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Atsiskaitymo dažnumas</w:t>
            </w:r>
          </w:p>
        </w:tc>
      </w:tr>
      <w:tr w:rsidR="00385835" w:rsidRPr="00385835" w:rsidTr="00385835">
        <w:tblPrEx>
          <w:shd w:val="clear" w:color="auto" w:fill="auto"/>
        </w:tblPrEx>
        <w:tc>
          <w:tcPr>
            <w:tcW w:w="55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w:t>
            </w:r>
          </w:p>
        </w:tc>
        <w:tc>
          <w:tcPr>
            <w:tcW w:w="2565" w:type="dxa"/>
            <w:shd w:val="clear" w:color="auto" w:fill="auto"/>
            <w:vAlign w:val="center"/>
          </w:tcPr>
          <w:p w:rsidR="00385835" w:rsidRPr="00385835" w:rsidRDefault="00385835" w:rsidP="00BD3DE2">
            <w:pPr>
              <w:spacing w:after="0" w:line="240" w:lineRule="auto"/>
              <w:rPr>
                <w:rFonts w:ascii="Times New Roman" w:eastAsia="Times New Roman" w:hAnsi="Times New Roman"/>
                <w:bCs/>
                <w:sz w:val="18"/>
                <w:szCs w:val="18"/>
              </w:rPr>
            </w:pPr>
            <w:r w:rsidRPr="00385835">
              <w:rPr>
                <w:rFonts w:ascii="Times New Roman" w:eastAsia="Times New Roman" w:hAnsi="Times New Roman"/>
                <w:bCs/>
                <w:sz w:val="18"/>
                <w:szCs w:val="18"/>
              </w:rPr>
              <w:t>Socialiai pažeidžiami asmenys, kurie po dalyvavimo socialinei integracijai skirtose ESF veiklose pradėjo ieškoti darbo, mokytis</w:t>
            </w:r>
            <w:r w:rsidR="00D32ED8">
              <w:rPr>
                <w:rFonts w:ascii="Times New Roman" w:eastAsia="Times New Roman" w:hAnsi="Times New Roman"/>
                <w:bCs/>
                <w:sz w:val="18"/>
                <w:szCs w:val="18"/>
              </w:rPr>
              <w:t xml:space="preserve"> arba</w:t>
            </w:r>
            <w:r w:rsidR="005A6B3E">
              <w:rPr>
                <w:rFonts w:ascii="Times New Roman" w:eastAsia="Times New Roman" w:hAnsi="Times New Roman"/>
                <w:bCs/>
                <w:sz w:val="18"/>
                <w:szCs w:val="18"/>
              </w:rPr>
              <w:t xml:space="preserve"> </w:t>
            </w:r>
            <w:r w:rsidRPr="00385835">
              <w:rPr>
                <w:rFonts w:ascii="Times New Roman" w:eastAsia="Times New Roman" w:hAnsi="Times New Roman"/>
                <w:bCs/>
                <w:sz w:val="18"/>
                <w:szCs w:val="18"/>
              </w:rPr>
              <w:t>dirbti, įskaitant savarankišką darbą</w:t>
            </w:r>
          </w:p>
        </w:tc>
        <w:tc>
          <w:tcPr>
            <w:tcW w:w="992" w:type="dxa"/>
            <w:shd w:val="clear" w:color="auto" w:fill="auto"/>
            <w:vAlign w:val="center"/>
          </w:tcPr>
          <w:p w:rsidR="00385835" w:rsidRPr="00385835" w:rsidRDefault="00385835" w:rsidP="00385835">
            <w:pPr>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Mažiau išsivystęs</w:t>
            </w:r>
          </w:p>
        </w:tc>
        <w:tc>
          <w:tcPr>
            <w:tcW w:w="992" w:type="dxa"/>
            <w:shd w:val="clear" w:color="auto" w:fill="auto"/>
            <w:vAlign w:val="center"/>
          </w:tcPr>
          <w:p w:rsidR="00385835" w:rsidRPr="00385835" w:rsidRDefault="00385835" w:rsidP="00385835">
            <w:pPr>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Asmenys</w:t>
            </w:r>
          </w:p>
        </w:tc>
        <w:tc>
          <w:tcPr>
            <w:tcW w:w="56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w:t>
            </w:r>
          </w:p>
        </w:tc>
        <w:tc>
          <w:tcPr>
            <w:tcW w:w="426"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21</w:t>
            </w:r>
          </w:p>
        </w:tc>
        <w:tc>
          <w:tcPr>
            <w:tcW w:w="708"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Proc.</w:t>
            </w:r>
          </w:p>
        </w:tc>
        <w:tc>
          <w:tcPr>
            <w:tcW w:w="709"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2013</w:t>
            </w:r>
          </w:p>
        </w:tc>
        <w:tc>
          <w:tcPr>
            <w:tcW w:w="425"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40</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Duomenys iš projektų</w:t>
            </w:r>
          </w:p>
        </w:tc>
        <w:tc>
          <w:tcPr>
            <w:tcW w:w="67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tcPr>
          <w:p w:rsidR="00385835" w:rsidRPr="00385835" w:rsidRDefault="00385835" w:rsidP="00385835">
            <w:pPr>
              <w:widowControl w:val="0"/>
              <w:tabs>
                <w:tab w:val="left" w:pos="622"/>
              </w:tabs>
              <w:spacing w:after="0" w:line="240" w:lineRule="auto"/>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8.3.2. KONKRETUS UŽDAVINYS</w:t>
            </w:r>
          </w:p>
        </w:tc>
        <w:tc>
          <w:tcPr>
            <w:tcW w:w="7336" w:type="dxa"/>
            <w:shd w:val="clear" w:color="auto" w:fill="EEECE1"/>
            <w:vAlign w:val="center"/>
          </w:tcPr>
          <w:p w:rsidR="00385835" w:rsidRPr="00385835" w:rsidRDefault="00385835" w:rsidP="00034351">
            <w:pPr>
              <w:spacing w:after="0" w:line="240" w:lineRule="auto"/>
              <w:jc w:val="both"/>
              <w:rPr>
                <w:rFonts w:ascii="Times New Roman" w:hAnsi="Times New Roman"/>
                <w:b/>
                <w:sz w:val="24"/>
                <w:szCs w:val="24"/>
              </w:rPr>
            </w:pPr>
            <w:r w:rsidRPr="00385835">
              <w:rPr>
                <w:rFonts w:ascii="Times New Roman" w:hAnsi="Times New Roman"/>
                <w:b/>
                <w:sz w:val="24"/>
                <w:szCs w:val="24"/>
              </w:rPr>
              <w:t xml:space="preserve">Padidinti vyresnio darbingo amžiaus asmenų dalyvavimą darbo rinkoje ir </w:t>
            </w:r>
            <w:r w:rsidR="00034351">
              <w:rPr>
                <w:rFonts w:ascii="Times New Roman" w:hAnsi="Times New Roman"/>
                <w:b/>
                <w:sz w:val="24"/>
                <w:szCs w:val="24"/>
              </w:rPr>
              <w:t>savanoriškoje</w:t>
            </w:r>
            <w:r w:rsidR="00034351" w:rsidRPr="00385835">
              <w:rPr>
                <w:rFonts w:ascii="Times New Roman" w:hAnsi="Times New Roman"/>
                <w:b/>
                <w:sz w:val="24"/>
                <w:szCs w:val="24"/>
              </w:rPr>
              <w:t xml:space="preserve"> </w:t>
            </w:r>
            <w:r w:rsidRPr="00385835">
              <w:rPr>
                <w:rFonts w:ascii="Times New Roman" w:hAnsi="Times New Roman"/>
                <w:b/>
                <w:sz w:val="24"/>
                <w:szCs w:val="24"/>
              </w:rPr>
              <w:t>veikloje</w:t>
            </w:r>
          </w:p>
        </w:tc>
      </w:tr>
      <w:tr w:rsidR="00385835" w:rsidRPr="00385835" w:rsidTr="00385835">
        <w:tc>
          <w:tcPr>
            <w:tcW w:w="9746" w:type="dxa"/>
            <w:gridSpan w:val="2"/>
            <w:shd w:val="clear" w:color="auto" w:fill="auto"/>
          </w:tcPr>
          <w:p w:rsidR="00385835" w:rsidRPr="00385835" w:rsidRDefault="00385835" w:rsidP="00385835">
            <w:pPr>
              <w:widowControl w:val="0"/>
              <w:tabs>
                <w:tab w:val="left" w:pos="622"/>
              </w:tabs>
              <w:spacing w:after="0" w:line="240" w:lineRule="auto"/>
              <w:ind w:firstLine="624"/>
              <w:jc w:val="both"/>
              <w:rPr>
                <w:rFonts w:ascii="Times New Roman" w:hAnsi="Times New Roman"/>
                <w:sz w:val="24"/>
                <w:szCs w:val="24"/>
              </w:rPr>
            </w:pPr>
            <w:r w:rsidRPr="00385835">
              <w:rPr>
                <w:rFonts w:ascii="Times New Roman" w:hAnsi="Times New Roman"/>
                <w:sz w:val="24"/>
                <w:szCs w:val="24"/>
              </w:rPr>
              <w:t>Lietuvoje didėja vyresnio amžiaus asmenų dalis. Jei 2001 m. pradžioje 65 metų ir vyresni gyventojai sudarė 14 proc. (484,7 tūkst.), tai 2012 m. jų dalis siekė jau 18 proc. visų gyventojų (543,3 tūkst.). Tuo pačiu, daugiausia dėl emigracijos ir neigiamos natūralios gyventojų kaitos,  mažėja bendras šalies gyventojų skaičius: per pastaruosius 12 me</w:t>
            </w:r>
            <w:r w:rsidR="005A37E2">
              <w:rPr>
                <w:rFonts w:ascii="Times New Roman" w:hAnsi="Times New Roman"/>
                <w:sz w:val="24"/>
                <w:szCs w:val="24"/>
              </w:rPr>
              <w:t>tų gyventojų šalyje sumažėjo 15 </w:t>
            </w:r>
            <w:r w:rsidRPr="00385835">
              <w:rPr>
                <w:rFonts w:ascii="Times New Roman" w:hAnsi="Times New Roman"/>
                <w:sz w:val="24"/>
                <w:szCs w:val="24"/>
              </w:rPr>
              <w:t xml:space="preserve">proc. (nuo 3487 tūkst. 2001 m. iki 2979,31 tūkst. 2013 m. pradžioje). Tokia situacija kelia grėsmę socialinės apsaugos, sveikatos ir švietimo sistemų tvarumui, nes, dėl darbo jėgos </w:t>
            </w:r>
            <w:r w:rsidRPr="00385835">
              <w:rPr>
                <w:rFonts w:ascii="Times New Roman" w:hAnsi="Times New Roman"/>
                <w:sz w:val="24"/>
                <w:szCs w:val="24"/>
              </w:rPr>
              <w:lastRenderedPageBreak/>
              <w:t xml:space="preserve">senėjimo, mažėja galimybės jas išlaikyti ir, tuo pačiu, didėja socialinių, sveikatos priežiūros ir kitų paslaugų vyresniesiems poreikis. </w:t>
            </w:r>
          </w:p>
          <w:p w:rsidR="00385835" w:rsidRPr="00385835" w:rsidRDefault="00385835" w:rsidP="005A37E2">
            <w:pPr>
              <w:widowControl w:val="0"/>
              <w:tabs>
                <w:tab w:val="left" w:pos="622"/>
              </w:tabs>
              <w:spacing w:after="0" w:line="240" w:lineRule="auto"/>
              <w:ind w:firstLine="624"/>
              <w:jc w:val="both"/>
              <w:rPr>
                <w:rFonts w:ascii="Times New Roman" w:hAnsi="Times New Roman"/>
                <w:sz w:val="24"/>
                <w:szCs w:val="24"/>
              </w:rPr>
            </w:pPr>
            <w:r w:rsidRPr="00385835">
              <w:rPr>
                <w:rFonts w:ascii="Times New Roman" w:hAnsi="Times New Roman"/>
                <w:sz w:val="24"/>
                <w:szCs w:val="24"/>
              </w:rPr>
              <w:t>Reaguojant į senstančios visuomenės iššūkius, nuo 2012 m. pensinis amžius pradėtas tolinti, kol pasieks 65 metus. Ir nors šiuo metu Lietuvoje vyresnio amžiaus (55</w:t>
            </w:r>
            <w:r w:rsidR="0025352E" w:rsidRPr="00385835">
              <w:rPr>
                <w:rFonts w:ascii="Times New Roman" w:hAnsi="Times New Roman"/>
                <w:sz w:val="24"/>
                <w:szCs w:val="24"/>
              </w:rPr>
              <w:t>–</w:t>
            </w:r>
            <w:r w:rsidRPr="00385835">
              <w:rPr>
                <w:rFonts w:ascii="Times New Roman" w:hAnsi="Times New Roman"/>
                <w:sz w:val="24"/>
                <w:szCs w:val="24"/>
              </w:rPr>
              <w:t xml:space="preserve">64 m.) asmenų aktyvumo ir užimtumo lygis nėra žemas (atitinkamai 58,8 proc. ir 51,8 proc., ir abiem atvejais netgi viršijo bendrą visoms amžiaus grupėms Lietuvos rodiklį), išlieka tendencija, kad didėjant amžiui mažėja užimtumas </w:t>
            </w:r>
            <w:proofErr w:type="gramStart"/>
            <w:r w:rsidRPr="00385835">
              <w:rPr>
                <w:rFonts w:ascii="Times New Roman" w:hAnsi="Times New Roman"/>
                <w:sz w:val="24"/>
                <w:szCs w:val="24"/>
              </w:rPr>
              <w:t>(</w:t>
            </w:r>
            <w:proofErr w:type="gramEnd"/>
            <w:r w:rsidRPr="00385835">
              <w:rPr>
                <w:rFonts w:ascii="Times New Roman" w:hAnsi="Times New Roman"/>
                <w:sz w:val="24"/>
                <w:szCs w:val="24"/>
              </w:rPr>
              <w:t>2013 m. duomenimis 25</w:t>
            </w:r>
            <w:r w:rsidR="0025352E" w:rsidRPr="00385835">
              <w:rPr>
                <w:rFonts w:ascii="Times New Roman" w:hAnsi="Times New Roman"/>
                <w:sz w:val="24"/>
                <w:szCs w:val="24"/>
              </w:rPr>
              <w:t>–</w:t>
            </w:r>
            <w:r w:rsidRPr="00385835">
              <w:rPr>
                <w:rFonts w:ascii="Times New Roman" w:hAnsi="Times New Roman"/>
                <w:sz w:val="24"/>
                <w:szCs w:val="24"/>
              </w:rPr>
              <w:t>54 metų gyventojų užimtum</w:t>
            </w:r>
            <w:r w:rsidR="005A37E2">
              <w:rPr>
                <w:rFonts w:ascii="Times New Roman" w:hAnsi="Times New Roman"/>
                <w:sz w:val="24"/>
                <w:szCs w:val="24"/>
              </w:rPr>
              <w:t xml:space="preserve">o lygis buvo 79,6 procento,  55– </w:t>
            </w:r>
            <w:r w:rsidRPr="00385835">
              <w:rPr>
                <w:rFonts w:ascii="Times New Roman" w:hAnsi="Times New Roman"/>
                <w:sz w:val="24"/>
                <w:szCs w:val="24"/>
              </w:rPr>
              <w:t>64 metų – 53,4 proc., 65 metų ir vyresnių – tik 5,2 proc. Tai dažniausiai sąlygoja nekvalifikuoto ar mažai kvalifikuoto darbo poreikio mažėjimas, negalėjimas ar nenoras dirbti visą darbo laiką, priemonių, kurios sudarytų sąlygas vyresnio darbingo amžiaus asmenims dirbti ne visą darbo laiką bei derinti šeimos įsipareigojimus, susijusius su šeimos narių ilgalaike socialine globa ar slauga nebuvimas, neigiamas darbdavių požiūris į būtinybę investuoti į tokių darbuotojų kvalifikacijos kėlimą, persikvalifikavimą ar kompetencijų ugdymą, pačių vyresnio amžiaus asmenų nepasitikėjimas ir kt.</w:t>
            </w:r>
          </w:p>
          <w:p w:rsidR="00385835" w:rsidRPr="00385835" w:rsidRDefault="00385835" w:rsidP="00385835">
            <w:pPr>
              <w:widowControl w:val="0"/>
              <w:tabs>
                <w:tab w:val="left" w:pos="622"/>
              </w:tabs>
              <w:spacing w:after="0" w:line="240" w:lineRule="auto"/>
              <w:ind w:firstLine="624"/>
              <w:jc w:val="both"/>
              <w:rPr>
                <w:rFonts w:ascii="Times New Roman" w:eastAsia="AngsanaUPC" w:hAnsi="Times New Roman"/>
                <w:bCs/>
                <w:sz w:val="24"/>
                <w:szCs w:val="24"/>
                <w:lang w:eastAsia="lt-LT"/>
              </w:rPr>
            </w:pPr>
            <w:r w:rsidRPr="00385835">
              <w:rPr>
                <w:rFonts w:ascii="Times New Roman" w:hAnsi="Times New Roman"/>
                <w:sz w:val="24"/>
                <w:szCs w:val="24"/>
              </w:rPr>
              <w:t>2014–2020 m. planuojama finansuoti vyresnio amžiaus asmenų dalyvavimą ADRP priemonėse (7.3.1 uždavinys), sveiką senėjimą skatinančiose veiklose (8.4.2 uždavinys), mokymosi visą gyvenimą veiklose (9.4.2 uždavinys). Įgyvendinant šį uždavinį</w:t>
            </w:r>
            <w:r w:rsidR="005A37E2">
              <w:rPr>
                <w:rFonts w:ascii="Times New Roman" w:hAnsi="Times New Roman"/>
                <w:sz w:val="24"/>
                <w:szCs w:val="24"/>
              </w:rPr>
              <w:t>,</w:t>
            </w:r>
            <w:r w:rsidRPr="00385835">
              <w:rPr>
                <w:rFonts w:ascii="Times New Roman" w:hAnsi="Times New Roman"/>
                <w:sz w:val="24"/>
                <w:szCs w:val="24"/>
              </w:rPr>
              <w:t xml:space="preserve"> bus siekiama kurti ir tobulinti priemones, kurios padeda įveikti amžiaus barjerus, gerina mikroklimatą darbe, motyvuoja vyresnio amžiaus žmones planuoti savo karjerą, darbdavius skatina tobulinti su amžiumi susijusią politiką organizacijos lygmenyje, skatina socialinį dialogą tarp darbdavių bei darbuotojų diegti aktyvaus senėjimo priemones įmonių viduje, skatina vyresnio amžiaus asmenis dalyvauti savanoriškoje veikloje ir kt. Laukiamas rezultatas – vyresnio amžiaus asmenys ilgiau išliks aktyvūs darbo rinkoje arba įsitrauks į savanorišką veiklą.</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
        <w:gridCol w:w="2435"/>
        <w:gridCol w:w="992"/>
        <w:gridCol w:w="993"/>
        <w:gridCol w:w="567"/>
        <w:gridCol w:w="425"/>
        <w:gridCol w:w="709"/>
        <w:gridCol w:w="708"/>
        <w:gridCol w:w="426"/>
        <w:gridCol w:w="1134"/>
        <w:gridCol w:w="760"/>
        <w:gridCol w:w="55"/>
      </w:tblGrid>
      <w:tr w:rsidR="00385835" w:rsidRPr="00385835" w:rsidTr="00385835">
        <w:trPr>
          <w:tblHeader/>
        </w:trPr>
        <w:tc>
          <w:tcPr>
            <w:tcW w:w="9746" w:type="dxa"/>
            <w:gridSpan w:val="12"/>
            <w:tcBorders>
              <w:top w:val="single" w:sz="4" w:space="0" w:color="auto"/>
              <w:left w:val="single" w:sz="4" w:space="0" w:color="auto"/>
              <w:bottom w:val="single" w:sz="4" w:space="0" w:color="auto"/>
              <w:right w:val="single" w:sz="4" w:space="0" w:color="auto"/>
            </w:tcBorders>
            <w:shd w:val="clear" w:color="auto" w:fill="EEECE1"/>
          </w:tcPr>
          <w:p w:rsidR="00385835" w:rsidRPr="00385835" w:rsidRDefault="00385835" w:rsidP="006827C9">
            <w:pPr>
              <w:widowControl w:val="0"/>
              <w:tabs>
                <w:tab w:val="left" w:pos="622"/>
              </w:tabs>
              <w:spacing w:after="0" w:line="240" w:lineRule="auto"/>
              <w:jc w:val="both"/>
              <w:rPr>
                <w:rFonts w:ascii="Times New Roman" w:eastAsia="AngsanaUPC" w:hAnsi="Times New Roman"/>
                <w:b/>
                <w:bCs/>
                <w:i/>
                <w:iCs/>
                <w:sz w:val="24"/>
                <w:szCs w:val="24"/>
                <w:lang w:eastAsia="lt-LT"/>
              </w:rPr>
            </w:pPr>
            <w:r w:rsidRPr="00385835">
              <w:rPr>
                <w:rFonts w:ascii="Times New Roman" w:eastAsia="AngsanaUPC" w:hAnsi="Times New Roman"/>
                <w:b/>
                <w:bCs/>
                <w:i/>
                <w:iCs/>
                <w:sz w:val="24"/>
                <w:szCs w:val="24"/>
                <w:lang w:eastAsia="lt-LT"/>
              </w:rPr>
              <w:t xml:space="preserve">ESF </w:t>
            </w:r>
            <w:r w:rsidR="00A9401B">
              <w:rPr>
                <w:rFonts w:ascii="Times New Roman" w:eastAsia="AngsanaUPC" w:hAnsi="Times New Roman"/>
                <w:b/>
                <w:bCs/>
                <w:i/>
                <w:iCs/>
                <w:sz w:val="24"/>
                <w:szCs w:val="24"/>
                <w:lang w:eastAsia="lt-LT"/>
              </w:rPr>
              <w:t xml:space="preserve">bendrieji ir </w:t>
            </w:r>
            <w:r w:rsidR="006827C9">
              <w:rPr>
                <w:rFonts w:ascii="Times New Roman" w:eastAsia="AngsanaUPC" w:hAnsi="Times New Roman"/>
                <w:b/>
                <w:bCs/>
                <w:i/>
                <w:iCs/>
                <w:sz w:val="24"/>
                <w:szCs w:val="24"/>
                <w:lang w:eastAsia="lt-LT"/>
              </w:rPr>
              <w:t>specialieji</w:t>
            </w:r>
            <w:r w:rsidR="006827C9" w:rsidRPr="00385835">
              <w:rPr>
                <w:rFonts w:ascii="Times New Roman" w:eastAsia="AngsanaUPC" w:hAnsi="Times New Roman"/>
                <w:b/>
                <w:bCs/>
                <w:i/>
                <w:iCs/>
                <w:sz w:val="24"/>
                <w:szCs w:val="24"/>
                <w:lang w:eastAsia="lt-LT"/>
              </w:rPr>
              <w:t xml:space="preserve"> </w:t>
            </w:r>
            <w:r w:rsidRPr="00385835">
              <w:rPr>
                <w:rFonts w:ascii="Times New Roman" w:eastAsia="AngsanaUPC" w:hAnsi="Times New Roman"/>
                <w:b/>
                <w:bCs/>
                <w:i/>
                <w:iCs/>
                <w:sz w:val="24"/>
                <w:szCs w:val="24"/>
                <w:lang w:eastAsia="lt-LT"/>
              </w:rPr>
              <w:t>programos rezultato rodikliai</w:t>
            </w:r>
          </w:p>
        </w:tc>
      </w:tr>
      <w:tr w:rsidR="00385835" w:rsidRPr="00385835" w:rsidTr="00385835">
        <w:trPr>
          <w:gridAfter w:val="1"/>
          <w:wAfter w:w="55" w:type="dxa"/>
          <w:cantSplit/>
          <w:trHeight w:val="1837"/>
          <w:tblHeader/>
        </w:trPr>
        <w:tc>
          <w:tcPr>
            <w:tcW w:w="542"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Nr.</w:t>
            </w:r>
          </w:p>
        </w:tc>
        <w:tc>
          <w:tcPr>
            <w:tcW w:w="2435"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Rodiklio pavadinimas</w:t>
            </w:r>
          </w:p>
        </w:tc>
        <w:tc>
          <w:tcPr>
            <w:tcW w:w="992"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Regiono kategorija</w:t>
            </w:r>
          </w:p>
        </w:tc>
        <w:tc>
          <w:tcPr>
            <w:tcW w:w="993"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Matavimo vienetas</w:t>
            </w:r>
          </w:p>
        </w:tc>
        <w:tc>
          <w:tcPr>
            <w:tcW w:w="567"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Bendrasis produkto rodiklis, naudotas kaip pagrindas</w:t>
            </w:r>
          </w:p>
        </w:tc>
        <w:tc>
          <w:tcPr>
            <w:tcW w:w="425"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Pradinė reikšmė</w:t>
            </w:r>
          </w:p>
        </w:tc>
        <w:tc>
          <w:tcPr>
            <w:tcW w:w="709"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Pradinės ir siektinos reikšmės matavimo vienetai</w:t>
            </w:r>
          </w:p>
        </w:tc>
        <w:tc>
          <w:tcPr>
            <w:tcW w:w="708"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Pradinės reikšmės metai</w:t>
            </w:r>
          </w:p>
        </w:tc>
        <w:tc>
          <w:tcPr>
            <w:tcW w:w="426"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Siektina reikšmė (2023)</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Duomenų šaltinis</w:t>
            </w:r>
          </w:p>
        </w:tc>
        <w:tc>
          <w:tcPr>
            <w:tcW w:w="760"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Atsiskaitymo dažnumas</w:t>
            </w:r>
          </w:p>
        </w:tc>
      </w:tr>
      <w:tr w:rsidR="00385835" w:rsidRPr="00385835" w:rsidTr="00385835">
        <w:trPr>
          <w:gridAfter w:val="1"/>
          <w:wAfter w:w="55" w:type="dxa"/>
        </w:trPr>
        <w:tc>
          <w:tcPr>
            <w:tcW w:w="542"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w:t>
            </w:r>
          </w:p>
        </w:tc>
        <w:tc>
          <w:tcPr>
            <w:tcW w:w="2435" w:type="dxa"/>
            <w:shd w:val="clear" w:color="auto" w:fill="auto"/>
            <w:vAlign w:val="center"/>
          </w:tcPr>
          <w:p w:rsidR="00385835" w:rsidRPr="00385835" w:rsidRDefault="00385835" w:rsidP="00385835">
            <w:pPr>
              <w:spacing w:after="0" w:line="240" w:lineRule="auto"/>
              <w:rPr>
                <w:rFonts w:ascii="Times New Roman" w:eastAsia="Times New Roman" w:hAnsi="Times New Roman"/>
                <w:iCs/>
                <w:strike/>
                <w:sz w:val="18"/>
                <w:szCs w:val="18"/>
              </w:rPr>
            </w:pPr>
            <w:r w:rsidRPr="00385835">
              <w:rPr>
                <w:rFonts w:ascii="Times New Roman" w:eastAsia="AngsanaUPC" w:hAnsi="Times New Roman"/>
                <w:bCs/>
                <w:iCs/>
                <w:sz w:val="18"/>
                <w:szCs w:val="18"/>
                <w:lang w:eastAsia="lt-LT"/>
              </w:rPr>
              <w:t xml:space="preserve">Asmenys </w:t>
            </w:r>
            <w:r w:rsidR="00A64507" w:rsidRPr="004D542F">
              <w:rPr>
                <w:rFonts w:ascii="Times New Roman" w:eastAsia="AngsanaUPC" w:hAnsi="Times New Roman"/>
                <w:bCs/>
                <w:iCs/>
                <w:sz w:val="18"/>
                <w:szCs w:val="18"/>
                <w:lang w:eastAsia="lt-LT"/>
              </w:rPr>
              <w:t xml:space="preserve">vyresni kaip </w:t>
            </w:r>
            <w:r w:rsidR="004D542F" w:rsidRPr="004D542F">
              <w:rPr>
                <w:rFonts w:ascii="Times New Roman" w:eastAsia="AngsanaUPC" w:hAnsi="Times New Roman"/>
                <w:bCs/>
                <w:iCs/>
                <w:sz w:val="18"/>
                <w:szCs w:val="18"/>
                <w:lang w:eastAsia="lt-LT"/>
              </w:rPr>
              <w:t>54</w:t>
            </w:r>
            <w:r w:rsidR="004D542F">
              <w:rPr>
                <w:rFonts w:ascii="Times New Roman" w:eastAsia="AngsanaUPC" w:hAnsi="Times New Roman"/>
                <w:bCs/>
                <w:iCs/>
                <w:sz w:val="18"/>
                <w:szCs w:val="18"/>
                <w:lang w:eastAsia="lt-LT"/>
              </w:rPr>
              <w:t xml:space="preserve"> metų amžiaus</w:t>
            </w:r>
            <w:r w:rsidRPr="00385835">
              <w:rPr>
                <w:rFonts w:ascii="Times New Roman" w:eastAsia="Times New Roman" w:hAnsi="Times New Roman"/>
                <w:bCs/>
                <w:sz w:val="18"/>
                <w:szCs w:val="18"/>
              </w:rPr>
              <w:t>, kurie po dalyvavimo ESF veiklose įgijo kvalifikaciją*</w:t>
            </w:r>
          </w:p>
        </w:tc>
        <w:tc>
          <w:tcPr>
            <w:tcW w:w="992" w:type="dxa"/>
            <w:shd w:val="clear" w:color="auto" w:fill="auto"/>
            <w:vAlign w:val="center"/>
          </w:tcPr>
          <w:p w:rsidR="00385835" w:rsidRPr="00385835" w:rsidRDefault="00385835" w:rsidP="00385835">
            <w:pPr>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Mažiau išsivystęs</w:t>
            </w:r>
          </w:p>
        </w:tc>
        <w:tc>
          <w:tcPr>
            <w:tcW w:w="993" w:type="dxa"/>
            <w:shd w:val="clear" w:color="auto" w:fill="auto"/>
            <w:vAlign w:val="center"/>
          </w:tcPr>
          <w:p w:rsidR="00385835" w:rsidRPr="00385835" w:rsidRDefault="00385835" w:rsidP="00385835">
            <w:pPr>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 xml:space="preserve">Asmenys </w:t>
            </w:r>
          </w:p>
        </w:tc>
        <w:tc>
          <w:tcPr>
            <w:tcW w:w="56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w:t>
            </w:r>
          </w:p>
        </w:tc>
        <w:tc>
          <w:tcPr>
            <w:tcW w:w="425"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97</w:t>
            </w:r>
          </w:p>
        </w:tc>
        <w:tc>
          <w:tcPr>
            <w:tcW w:w="709"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Proc.</w:t>
            </w:r>
          </w:p>
        </w:tc>
        <w:tc>
          <w:tcPr>
            <w:tcW w:w="708"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2013</w:t>
            </w:r>
          </w:p>
        </w:tc>
        <w:tc>
          <w:tcPr>
            <w:tcW w:w="426"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97</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Duomenys iš projektų</w:t>
            </w:r>
          </w:p>
        </w:tc>
        <w:tc>
          <w:tcPr>
            <w:tcW w:w="760"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385835" w:rsidRPr="00385835" w:rsidTr="00385835">
        <w:trPr>
          <w:gridAfter w:val="1"/>
          <w:wAfter w:w="55" w:type="dxa"/>
        </w:trPr>
        <w:tc>
          <w:tcPr>
            <w:tcW w:w="542"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w:t>
            </w:r>
          </w:p>
        </w:tc>
        <w:tc>
          <w:tcPr>
            <w:tcW w:w="2435" w:type="dxa"/>
            <w:shd w:val="clear" w:color="auto" w:fill="auto"/>
            <w:vAlign w:val="center"/>
          </w:tcPr>
          <w:p w:rsidR="00385835" w:rsidRPr="00385835" w:rsidRDefault="00385835" w:rsidP="00385835">
            <w:pPr>
              <w:spacing w:after="0" w:line="240" w:lineRule="auto"/>
              <w:rPr>
                <w:rFonts w:ascii="Times New Roman" w:eastAsia="Times New Roman" w:hAnsi="Times New Roman"/>
                <w:iCs/>
                <w:sz w:val="18"/>
                <w:szCs w:val="18"/>
              </w:rPr>
            </w:pPr>
            <w:r w:rsidRPr="00385835">
              <w:rPr>
                <w:rFonts w:ascii="Times New Roman" w:eastAsia="AngsanaUPC" w:hAnsi="Times New Roman"/>
                <w:bCs/>
                <w:iCs/>
                <w:sz w:val="18"/>
                <w:szCs w:val="18"/>
                <w:lang w:eastAsia="lt-LT"/>
              </w:rPr>
              <w:t xml:space="preserve">Asmenys </w:t>
            </w:r>
            <w:r w:rsidR="00A64507" w:rsidRPr="004D542F">
              <w:rPr>
                <w:rFonts w:ascii="Times New Roman" w:eastAsia="AngsanaUPC" w:hAnsi="Times New Roman"/>
                <w:bCs/>
                <w:iCs/>
                <w:sz w:val="18"/>
                <w:szCs w:val="18"/>
                <w:lang w:eastAsia="lt-LT"/>
              </w:rPr>
              <w:t>vyresni kaip</w:t>
            </w:r>
            <w:r w:rsidR="00A64507" w:rsidRPr="008D3817">
              <w:rPr>
                <w:rFonts w:ascii="Times New Roman" w:eastAsia="AngsanaUPC" w:hAnsi="Times New Roman"/>
                <w:bCs/>
                <w:iCs/>
                <w:sz w:val="20"/>
                <w:szCs w:val="20"/>
                <w:lang w:eastAsia="lt-LT"/>
              </w:rPr>
              <w:t xml:space="preserve"> </w:t>
            </w:r>
            <w:r w:rsidR="004D542F">
              <w:rPr>
                <w:rFonts w:ascii="Times New Roman" w:eastAsia="AngsanaUPC" w:hAnsi="Times New Roman"/>
                <w:bCs/>
                <w:iCs/>
                <w:sz w:val="18"/>
                <w:szCs w:val="18"/>
                <w:lang w:eastAsia="lt-LT"/>
              </w:rPr>
              <w:t>54 metų amžiaus</w:t>
            </w:r>
            <w:r w:rsidRPr="00385835">
              <w:rPr>
                <w:rFonts w:ascii="Times New Roman" w:eastAsia="Times New Roman" w:hAnsi="Times New Roman"/>
                <w:bCs/>
                <w:sz w:val="18"/>
                <w:szCs w:val="18"/>
              </w:rPr>
              <w:t xml:space="preserve">, kurie po dalyvavimo ESF veiklose </w:t>
            </w:r>
            <w:r w:rsidRPr="00385835">
              <w:rPr>
                <w:rFonts w:ascii="Times New Roman" w:eastAsia="Times New Roman" w:hAnsi="Times New Roman"/>
                <w:bCs/>
                <w:iCs/>
                <w:sz w:val="18"/>
                <w:szCs w:val="18"/>
              </w:rPr>
              <w:t>dalyvauja savanoriškoje veikloje</w:t>
            </w:r>
          </w:p>
        </w:tc>
        <w:tc>
          <w:tcPr>
            <w:tcW w:w="992" w:type="dxa"/>
            <w:shd w:val="clear" w:color="auto" w:fill="auto"/>
            <w:vAlign w:val="center"/>
          </w:tcPr>
          <w:p w:rsidR="00385835" w:rsidRPr="00385835" w:rsidRDefault="00385835" w:rsidP="00385835">
            <w:pPr>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Mažiau išsivystęs</w:t>
            </w:r>
          </w:p>
        </w:tc>
        <w:tc>
          <w:tcPr>
            <w:tcW w:w="993" w:type="dxa"/>
            <w:shd w:val="clear" w:color="auto" w:fill="auto"/>
            <w:vAlign w:val="center"/>
          </w:tcPr>
          <w:p w:rsidR="00385835" w:rsidRPr="00385835" w:rsidRDefault="00385835" w:rsidP="00385835">
            <w:pPr>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 xml:space="preserve">Asmenys </w:t>
            </w:r>
          </w:p>
        </w:tc>
        <w:tc>
          <w:tcPr>
            <w:tcW w:w="56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w:t>
            </w:r>
          </w:p>
        </w:tc>
        <w:tc>
          <w:tcPr>
            <w:tcW w:w="425"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7</w:t>
            </w:r>
          </w:p>
        </w:tc>
        <w:tc>
          <w:tcPr>
            <w:tcW w:w="709"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 xml:space="preserve">Proc. </w:t>
            </w:r>
          </w:p>
        </w:tc>
        <w:tc>
          <w:tcPr>
            <w:tcW w:w="708"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2010</w:t>
            </w:r>
          </w:p>
        </w:tc>
        <w:tc>
          <w:tcPr>
            <w:tcW w:w="426"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10</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hAnsi="Times New Roman"/>
                <w:sz w:val="18"/>
                <w:szCs w:val="18"/>
              </w:rPr>
              <w:t>Duomenys iš projektų</w:t>
            </w:r>
          </w:p>
        </w:tc>
        <w:tc>
          <w:tcPr>
            <w:tcW w:w="760"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bl>
    <w:p w:rsidR="00385835" w:rsidRPr="00385835" w:rsidRDefault="00385835" w:rsidP="00385835">
      <w:pPr>
        <w:spacing w:after="0"/>
        <w:rPr>
          <w:rFonts w:ascii="Times New Roman" w:eastAsia="AngsanaUPC" w:hAnsi="Times New Roman"/>
          <w:bCs/>
          <w:sz w:val="18"/>
          <w:szCs w:val="18"/>
          <w:lang w:eastAsia="lt-LT"/>
        </w:rPr>
      </w:pPr>
      <w:r w:rsidRPr="00385835">
        <w:rPr>
          <w:rFonts w:ascii="Times New Roman" w:eastAsia="AngsanaUPC" w:hAnsi="Times New Roman"/>
          <w:bCs/>
          <w:sz w:val="18"/>
          <w:szCs w:val="18"/>
          <w:lang w:eastAsia="lt-LT"/>
        </w:rPr>
        <w:t>* Kvalifikacija suprantama pagal EK metodinėse stebėsenos ir vertinimo gairėse pateiktą apibrėžimą.</w:t>
      </w:r>
    </w:p>
    <w:p w:rsidR="00385835" w:rsidRPr="00FA0F82" w:rsidRDefault="00385835" w:rsidP="00FA0F82">
      <w:pPr>
        <w:spacing w:after="0" w:line="240" w:lineRule="auto"/>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385835" w:rsidRPr="00385835" w:rsidTr="00385835">
        <w:tc>
          <w:tcPr>
            <w:tcW w:w="9746" w:type="dxa"/>
            <w:tcBorders>
              <w:top w:val="single" w:sz="4" w:space="0" w:color="auto"/>
              <w:left w:val="single" w:sz="4" w:space="0" w:color="auto"/>
              <w:bottom w:val="single" w:sz="4" w:space="0" w:color="auto"/>
              <w:right w:val="single" w:sz="4" w:space="0" w:color="auto"/>
            </w:tcBorders>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Cs/>
                <w:iCs/>
                <w:sz w:val="24"/>
                <w:szCs w:val="24"/>
                <w:lang w:eastAsia="lt-LT"/>
              </w:rPr>
            </w:pPr>
            <w:r w:rsidRPr="00385835">
              <w:rPr>
                <w:rFonts w:ascii="Times New Roman" w:eastAsia="AngsanaUPC" w:hAnsi="Times New Roman"/>
                <w:b/>
                <w:bCs/>
                <w:i/>
                <w:iCs/>
                <w:sz w:val="24"/>
                <w:szCs w:val="24"/>
                <w:lang w:eastAsia="lt-LT"/>
              </w:rPr>
              <w:t>8.3. Investicinio prioriteto įgyvendinimo veiklos</w:t>
            </w:r>
          </w:p>
        </w:tc>
      </w:tr>
      <w:tr w:rsidR="00385835" w:rsidRPr="00385835" w:rsidTr="00385835">
        <w:tc>
          <w:tcPr>
            <w:tcW w:w="9746" w:type="dxa"/>
            <w:shd w:val="clear" w:color="auto" w:fill="auto"/>
          </w:tcPr>
          <w:p w:rsidR="00385835" w:rsidRPr="00900EB5" w:rsidRDefault="00385835" w:rsidP="00385835">
            <w:pPr>
              <w:widowControl w:val="0"/>
              <w:tabs>
                <w:tab w:val="left" w:pos="601"/>
              </w:tabs>
              <w:spacing w:after="0" w:line="240" w:lineRule="auto"/>
              <w:ind w:firstLine="624"/>
              <w:jc w:val="both"/>
              <w:rPr>
                <w:rFonts w:ascii="Times New Roman" w:eastAsia="AngsanaUPC" w:hAnsi="Times New Roman"/>
                <w:bCs/>
                <w:i/>
                <w:iCs/>
                <w:sz w:val="24"/>
                <w:szCs w:val="24"/>
                <w:lang w:eastAsia="lt-LT"/>
              </w:rPr>
            </w:pPr>
            <w:r w:rsidRPr="00900EB5">
              <w:rPr>
                <w:rFonts w:ascii="Times New Roman" w:eastAsia="AngsanaUPC" w:hAnsi="Times New Roman"/>
                <w:bCs/>
                <w:i/>
                <w:iCs/>
                <w:sz w:val="24"/>
                <w:szCs w:val="24"/>
                <w:lang w:eastAsia="lt-LT"/>
              </w:rPr>
              <w:t>8.3.1 konkretaus uždavinio veiklos:</w:t>
            </w:r>
          </w:p>
          <w:p w:rsidR="00385835" w:rsidRPr="00900EB5" w:rsidRDefault="00900EB5" w:rsidP="00650E41">
            <w:pPr>
              <w:widowControl w:val="0"/>
              <w:numPr>
                <w:ilvl w:val="0"/>
                <w:numId w:val="12"/>
              </w:numPr>
              <w:tabs>
                <w:tab w:val="left" w:pos="459"/>
              </w:tabs>
              <w:spacing w:after="0" w:line="240" w:lineRule="auto"/>
              <w:ind w:left="34" w:firstLine="0"/>
              <w:jc w:val="both"/>
              <w:rPr>
                <w:rFonts w:ascii="Times New Roman" w:eastAsia="AngsanaUPC" w:hAnsi="Times New Roman"/>
                <w:bCs/>
                <w:iCs/>
                <w:sz w:val="24"/>
                <w:szCs w:val="24"/>
                <w:lang w:eastAsia="lt-LT"/>
              </w:rPr>
            </w:pPr>
            <w:r w:rsidRPr="00900EB5">
              <w:rPr>
                <w:rFonts w:ascii="Times New Roman" w:eastAsia="AngsanaUPC" w:hAnsi="Times New Roman"/>
                <w:bCs/>
                <w:iCs/>
                <w:sz w:val="24"/>
                <w:szCs w:val="24"/>
                <w:lang w:eastAsia="lt-LT"/>
              </w:rPr>
              <w:t xml:space="preserve">Socialinės integracijos paslaugos pažeidžiamiems asmenims (įskaitant asmenis, sergančius priklausomybių ligomis, nuteistuosius ir grįžusius iš įkalinimo vietų, neįgaliuosius, romus, taip pat asmenis, kuriems suteikta laikinoji apsauga Lietuvos Respublikoje dėl Rusijos Federacijos karinės agresijos ir kitas pažeidžiamas grupes), siekiant paskatinti jų socialinę </w:t>
            </w:r>
            <w:proofErr w:type="spellStart"/>
            <w:r w:rsidRPr="00900EB5">
              <w:rPr>
                <w:rFonts w:ascii="Times New Roman" w:eastAsia="AngsanaUPC" w:hAnsi="Times New Roman"/>
                <w:bCs/>
                <w:iCs/>
                <w:sz w:val="24"/>
                <w:szCs w:val="24"/>
                <w:lang w:eastAsia="lt-LT"/>
              </w:rPr>
              <w:t>įtrauktį</w:t>
            </w:r>
            <w:proofErr w:type="spellEnd"/>
            <w:r w:rsidRPr="00900EB5">
              <w:rPr>
                <w:rFonts w:ascii="Times New Roman" w:eastAsia="AngsanaUPC" w:hAnsi="Times New Roman"/>
                <w:bCs/>
                <w:iCs/>
                <w:sz w:val="24"/>
                <w:szCs w:val="24"/>
                <w:lang w:eastAsia="lt-LT"/>
              </w:rPr>
              <w:t xml:space="preserve"> ir integraciją į darbo rinką. Finansuojamos asmenį įgalinančios psichosocialinės pagalbos, socialinių įgūdžių ugdymo ir palaikymo, sociokultūrinės, motyvavimo, mokymo, tarpininkavimo įdarbinant ir palaikymo darbo vietoje paslaugos, taip pat asmenų, kuriems suteikta laikinoji apsauga Lietuvos Respublikoje dėl Rusijos Federacijos karinės agresijos, pagrindinius poreikius tenkinanti parama, reikalinga </w:t>
            </w:r>
            <w:r w:rsidRPr="00900EB5">
              <w:rPr>
                <w:rFonts w:ascii="Times New Roman" w:eastAsia="AngsanaUPC" w:hAnsi="Times New Roman"/>
                <w:bCs/>
                <w:iCs/>
                <w:sz w:val="24"/>
                <w:szCs w:val="24"/>
                <w:lang w:eastAsia="lt-LT"/>
              </w:rPr>
              <w:lastRenderedPageBreak/>
              <w:t xml:space="preserve">sėkmingai asmenų socialinei </w:t>
            </w:r>
            <w:proofErr w:type="spellStart"/>
            <w:r w:rsidRPr="00900EB5">
              <w:rPr>
                <w:rFonts w:ascii="Times New Roman" w:eastAsia="AngsanaUPC" w:hAnsi="Times New Roman"/>
                <w:bCs/>
                <w:iCs/>
                <w:sz w:val="24"/>
                <w:szCs w:val="24"/>
                <w:lang w:eastAsia="lt-LT"/>
              </w:rPr>
              <w:t>įtraukčiai</w:t>
            </w:r>
            <w:proofErr w:type="spellEnd"/>
            <w:r w:rsidRPr="00900EB5">
              <w:rPr>
                <w:rFonts w:ascii="Times New Roman" w:eastAsia="AngsanaUPC" w:hAnsi="Times New Roman"/>
                <w:bCs/>
                <w:iCs/>
                <w:sz w:val="24"/>
                <w:szCs w:val="24"/>
                <w:lang w:eastAsia="lt-LT"/>
              </w:rPr>
              <w:t>.</w:t>
            </w:r>
            <w:r w:rsidR="00385835" w:rsidRPr="00900EB5">
              <w:rPr>
                <w:rFonts w:ascii="Times New Roman" w:eastAsia="AngsanaUPC" w:hAnsi="Times New Roman"/>
                <w:bCs/>
                <w:iCs/>
                <w:sz w:val="24"/>
                <w:szCs w:val="24"/>
                <w:lang w:eastAsia="lt-LT"/>
              </w:rPr>
              <w:t xml:space="preserve"> </w:t>
            </w:r>
          </w:p>
          <w:p w:rsidR="00385835" w:rsidRPr="00900EB5" w:rsidRDefault="00385835" w:rsidP="00385835">
            <w:pPr>
              <w:widowControl w:val="0"/>
              <w:tabs>
                <w:tab w:val="left" w:pos="601"/>
              </w:tabs>
              <w:spacing w:after="0" w:line="240" w:lineRule="auto"/>
              <w:ind w:firstLine="624"/>
              <w:jc w:val="both"/>
              <w:rPr>
                <w:rFonts w:ascii="Times New Roman" w:eastAsia="AngsanaUPC" w:hAnsi="Times New Roman"/>
                <w:bCs/>
                <w:i/>
                <w:iCs/>
                <w:sz w:val="24"/>
                <w:szCs w:val="24"/>
                <w:lang w:eastAsia="lt-LT"/>
              </w:rPr>
            </w:pPr>
            <w:r w:rsidRPr="00900EB5">
              <w:rPr>
                <w:rFonts w:ascii="Times New Roman" w:eastAsia="AngsanaUPC" w:hAnsi="Times New Roman"/>
                <w:bCs/>
                <w:i/>
                <w:iCs/>
                <w:sz w:val="24"/>
                <w:szCs w:val="24"/>
                <w:lang w:eastAsia="lt-LT"/>
              </w:rPr>
              <w:t>8.3.2 konkretaus uždavinio veiklos:</w:t>
            </w:r>
          </w:p>
          <w:p w:rsidR="00385835" w:rsidRPr="00900EB5" w:rsidRDefault="00385835" w:rsidP="00650E41">
            <w:pPr>
              <w:widowControl w:val="0"/>
              <w:numPr>
                <w:ilvl w:val="0"/>
                <w:numId w:val="12"/>
              </w:numPr>
              <w:tabs>
                <w:tab w:val="left" w:pos="459"/>
              </w:tabs>
              <w:spacing w:after="0" w:line="240" w:lineRule="auto"/>
              <w:ind w:left="34" w:firstLine="0"/>
              <w:jc w:val="both"/>
              <w:rPr>
                <w:rFonts w:ascii="Times New Roman" w:eastAsia="AngsanaUPC" w:hAnsi="Times New Roman"/>
                <w:bCs/>
                <w:iCs/>
                <w:sz w:val="24"/>
                <w:szCs w:val="24"/>
                <w:lang w:eastAsia="lt-LT"/>
              </w:rPr>
            </w:pPr>
            <w:r w:rsidRPr="00900EB5">
              <w:rPr>
                <w:rFonts w:ascii="Times New Roman" w:eastAsia="AngsanaUPC" w:hAnsi="Times New Roman"/>
                <w:bCs/>
                <w:iCs/>
                <w:sz w:val="24"/>
                <w:szCs w:val="24"/>
                <w:lang w:eastAsia="lt-LT"/>
              </w:rPr>
              <w:t>Parama aktyvaus senėjimo srityje. Finansuojamos veiklos: socialinio ir psichologinio darbo metodų vyresnio amžiaus asmenims taikymas, siekiant vyresnio amžiaus asmenų išlikimo darbe arba grįžimo į darbo rinką;  mokymų, tyrimų, švietėjišk</w:t>
            </w:r>
            <w:r w:rsidR="001A0D5F" w:rsidRPr="00900EB5">
              <w:rPr>
                <w:rFonts w:ascii="Times New Roman" w:eastAsia="AngsanaUPC" w:hAnsi="Times New Roman"/>
                <w:bCs/>
                <w:iCs/>
                <w:sz w:val="24"/>
                <w:szCs w:val="24"/>
                <w:lang w:eastAsia="lt-LT"/>
              </w:rPr>
              <w:t xml:space="preserve">os veiklos darbdaviams vykdymas, </w:t>
            </w:r>
            <w:r w:rsidRPr="00900EB5">
              <w:rPr>
                <w:rFonts w:ascii="Times New Roman" w:eastAsia="AngsanaUPC" w:hAnsi="Times New Roman"/>
                <w:bCs/>
                <w:iCs/>
                <w:sz w:val="24"/>
                <w:szCs w:val="24"/>
                <w:lang w:eastAsia="lt-LT"/>
              </w:rPr>
              <w:t>siekiant lygių galimybių taikymo vyresnio amžiaus asmenims darbo rinkoje; savanoriškos veiklos organizavimas ir kitos aktualios veiklos.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567"/>
        <w:gridCol w:w="2835"/>
        <w:gridCol w:w="1134"/>
        <w:gridCol w:w="851"/>
        <w:gridCol w:w="1134"/>
        <w:gridCol w:w="850"/>
        <w:gridCol w:w="1134"/>
        <w:gridCol w:w="1241"/>
      </w:tblGrid>
      <w:tr w:rsidR="00385835" w:rsidRPr="00385835" w:rsidTr="00385835">
        <w:tc>
          <w:tcPr>
            <w:tcW w:w="9746" w:type="dxa"/>
            <w:gridSpan w:val="8"/>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i/>
                <w:iCs/>
                <w:sz w:val="24"/>
                <w:szCs w:val="24"/>
                <w:lang w:eastAsia="lt-LT"/>
              </w:rPr>
            </w:pPr>
            <w:r w:rsidRPr="00385835">
              <w:rPr>
                <w:rFonts w:ascii="Times New Roman" w:eastAsia="AngsanaUPC" w:hAnsi="Times New Roman"/>
                <w:b/>
                <w:bCs/>
                <w:i/>
                <w:iCs/>
                <w:sz w:val="24"/>
                <w:szCs w:val="24"/>
                <w:lang w:eastAsia="lt-LT"/>
              </w:rPr>
              <w:t xml:space="preserve">ESF bendrieji ir </w:t>
            </w:r>
            <w:r w:rsidR="006827C9">
              <w:rPr>
                <w:rFonts w:ascii="Times New Roman" w:eastAsia="AngsanaUPC" w:hAnsi="Times New Roman"/>
                <w:b/>
                <w:bCs/>
                <w:i/>
                <w:iCs/>
                <w:sz w:val="24"/>
                <w:szCs w:val="24"/>
                <w:lang w:eastAsia="lt-LT"/>
              </w:rPr>
              <w:t>specialieji</w:t>
            </w:r>
            <w:r w:rsidR="006827C9" w:rsidRPr="00385835">
              <w:rPr>
                <w:rFonts w:ascii="Times New Roman" w:eastAsia="AngsanaUPC" w:hAnsi="Times New Roman"/>
                <w:b/>
                <w:bCs/>
                <w:i/>
                <w:iCs/>
                <w:sz w:val="24"/>
                <w:szCs w:val="24"/>
                <w:lang w:eastAsia="lt-LT"/>
              </w:rPr>
              <w:t xml:space="preserve"> </w:t>
            </w:r>
            <w:r w:rsidRPr="00385835">
              <w:rPr>
                <w:rFonts w:ascii="Times New Roman" w:eastAsia="AngsanaUPC" w:hAnsi="Times New Roman"/>
                <w:b/>
                <w:bCs/>
                <w:i/>
                <w:iCs/>
                <w:sz w:val="24"/>
                <w:szCs w:val="24"/>
                <w:lang w:eastAsia="lt-LT"/>
              </w:rPr>
              <w:t>programos produkto rodikliai</w:t>
            </w:r>
          </w:p>
        </w:tc>
      </w:tr>
      <w:tr w:rsidR="00385835" w:rsidRPr="00385835" w:rsidTr="00385835">
        <w:tblPrEx>
          <w:shd w:val="clear" w:color="auto" w:fill="auto"/>
        </w:tblPrEx>
        <w:tc>
          <w:tcPr>
            <w:tcW w:w="567"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Nr.</w:t>
            </w:r>
          </w:p>
        </w:tc>
        <w:tc>
          <w:tcPr>
            <w:tcW w:w="2835"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Rodiklio pavadinimas</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Matavimo vienetas</w:t>
            </w:r>
          </w:p>
        </w:tc>
        <w:tc>
          <w:tcPr>
            <w:tcW w:w="85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Fondas</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Regiono kategorija</w:t>
            </w:r>
          </w:p>
        </w:tc>
        <w:tc>
          <w:tcPr>
            <w:tcW w:w="850"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Siektina reikšmė (2023)</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Duomenų šaltinis</w:t>
            </w:r>
          </w:p>
        </w:tc>
        <w:tc>
          <w:tcPr>
            <w:tcW w:w="124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Atsiskaitymo dažnumas</w:t>
            </w:r>
          </w:p>
        </w:tc>
      </w:tr>
      <w:tr w:rsidR="00385835" w:rsidRPr="00385835" w:rsidTr="00385835">
        <w:tblPrEx>
          <w:shd w:val="clear" w:color="auto" w:fill="auto"/>
        </w:tblPrEx>
        <w:tc>
          <w:tcPr>
            <w:tcW w:w="56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w:t>
            </w:r>
          </w:p>
        </w:tc>
        <w:tc>
          <w:tcPr>
            <w:tcW w:w="2835" w:type="dxa"/>
            <w:shd w:val="clear" w:color="auto" w:fill="auto"/>
            <w:vAlign w:val="center"/>
          </w:tcPr>
          <w:p w:rsidR="00385835" w:rsidRPr="00385835" w:rsidRDefault="00385835" w:rsidP="00385835">
            <w:pPr>
              <w:widowControl w:val="0"/>
              <w:tabs>
                <w:tab w:val="left" w:pos="622"/>
              </w:tabs>
              <w:spacing w:after="0" w:line="240" w:lineRule="auto"/>
            </w:pPr>
            <w:r w:rsidRPr="00385835">
              <w:rPr>
                <w:rFonts w:ascii="Times New Roman" w:hAnsi="Times New Roman"/>
                <w:bCs/>
                <w:sz w:val="18"/>
                <w:szCs w:val="18"/>
              </w:rPr>
              <w:t>Socialiai pažeidžiami asmenys, dalyvavę socialinei integracijai skirtose ESF veiklose</w:t>
            </w:r>
          </w:p>
        </w:tc>
        <w:tc>
          <w:tcPr>
            <w:tcW w:w="1134" w:type="dxa"/>
            <w:shd w:val="clear" w:color="auto" w:fill="auto"/>
            <w:vAlign w:val="center"/>
          </w:tcPr>
          <w:p w:rsidR="00385835" w:rsidRPr="00385835" w:rsidRDefault="00385835" w:rsidP="00385835">
            <w:pPr>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Asmenys</w:t>
            </w:r>
          </w:p>
        </w:tc>
        <w:tc>
          <w:tcPr>
            <w:tcW w:w="851" w:type="dxa"/>
            <w:shd w:val="clear" w:color="auto" w:fill="auto"/>
            <w:vAlign w:val="center"/>
          </w:tcPr>
          <w:p w:rsidR="00385835" w:rsidRPr="00385835" w:rsidRDefault="00385835" w:rsidP="00385835">
            <w:pPr>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ESF</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Mažiau išsivystęs</w:t>
            </w:r>
          </w:p>
        </w:tc>
        <w:tc>
          <w:tcPr>
            <w:tcW w:w="850" w:type="dxa"/>
            <w:shd w:val="clear" w:color="auto" w:fill="auto"/>
            <w:vAlign w:val="center"/>
          </w:tcPr>
          <w:p w:rsidR="00385835" w:rsidRPr="00FC6264" w:rsidRDefault="00385835" w:rsidP="00CB0078">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eastAsia="AngsanaUPC" w:hAnsi="Times New Roman"/>
                <w:bCs/>
                <w:iCs/>
                <w:sz w:val="18"/>
                <w:szCs w:val="18"/>
                <w:lang w:eastAsia="lt-LT"/>
              </w:rPr>
              <w:t>1</w:t>
            </w:r>
            <w:r w:rsidR="00CB0078" w:rsidRPr="00FC6264">
              <w:rPr>
                <w:rFonts w:ascii="Times New Roman" w:eastAsia="AngsanaUPC" w:hAnsi="Times New Roman"/>
                <w:bCs/>
                <w:iCs/>
                <w:sz w:val="18"/>
                <w:szCs w:val="18"/>
                <w:lang w:eastAsia="lt-LT"/>
              </w:rPr>
              <w:t>3</w:t>
            </w:r>
            <w:r w:rsidR="009348A3" w:rsidRPr="00FC6264">
              <w:rPr>
                <w:rFonts w:ascii="Times New Roman" w:eastAsia="AngsanaUPC" w:hAnsi="Times New Roman"/>
                <w:bCs/>
                <w:iCs/>
                <w:sz w:val="18"/>
                <w:szCs w:val="18"/>
                <w:lang w:eastAsia="lt-LT"/>
              </w:rPr>
              <w:t>.</w:t>
            </w:r>
            <w:r w:rsidRPr="00FC6264">
              <w:rPr>
                <w:rFonts w:ascii="Times New Roman" w:eastAsia="AngsanaUPC" w:hAnsi="Times New Roman"/>
                <w:bCs/>
                <w:iCs/>
                <w:sz w:val="18"/>
                <w:szCs w:val="18"/>
                <w:lang w:eastAsia="lt-LT"/>
              </w:rPr>
              <w:t>000</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
                <w:iCs/>
                <w:sz w:val="18"/>
                <w:szCs w:val="18"/>
                <w:lang w:eastAsia="lt-LT"/>
              </w:rPr>
            </w:pPr>
            <w:r w:rsidRPr="00385835">
              <w:rPr>
                <w:rFonts w:ascii="Times New Roman" w:hAnsi="Times New Roman"/>
                <w:sz w:val="18"/>
                <w:szCs w:val="18"/>
              </w:rPr>
              <w:t>Duomenys iš projektų</w:t>
            </w:r>
          </w:p>
        </w:tc>
        <w:tc>
          <w:tcPr>
            <w:tcW w:w="124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385835" w:rsidRPr="00385835" w:rsidTr="00385835">
        <w:tblPrEx>
          <w:shd w:val="clear" w:color="auto" w:fill="auto"/>
        </w:tblPrEx>
        <w:tc>
          <w:tcPr>
            <w:tcW w:w="56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w:t>
            </w:r>
          </w:p>
        </w:tc>
        <w:tc>
          <w:tcPr>
            <w:tcW w:w="2835" w:type="dxa"/>
            <w:shd w:val="clear" w:color="auto" w:fill="auto"/>
            <w:vAlign w:val="center"/>
          </w:tcPr>
          <w:p w:rsidR="00385835" w:rsidRPr="00385835" w:rsidRDefault="00385835" w:rsidP="00385835">
            <w:pPr>
              <w:widowControl w:val="0"/>
              <w:tabs>
                <w:tab w:val="left" w:pos="622"/>
              </w:tabs>
              <w:spacing w:after="0" w:line="240" w:lineRule="auto"/>
              <w:rPr>
                <w:rFonts w:ascii="Times New Roman" w:hAnsi="Times New Roman"/>
                <w:bCs/>
                <w:sz w:val="18"/>
                <w:szCs w:val="18"/>
              </w:rPr>
            </w:pPr>
            <w:r w:rsidRPr="00385835">
              <w:rPr>
                <w:rFonts w:ascii="Times New Roman" w:hAnsi="Times New Roman"/>
                <w:bCs/>
                <w:sz w:val="18"/>
                <w:szCs w:val="18"/>
              </w:rPr>
              <w:t xml:space="preserve">Asmenys </w:t>
            </w:r>
            <w:r w:rsidR="004D542F" w:rsidRPr="004D542F">
              <w:rPr>
                <w:rFonts w:ascii="Times New Roman" w:eastAsia="AngsanaUPC" w:hAnsi="Times New Roman"/>
                <w:bCs/>
                <w:iCs/>
                <w:sz w:val="18"/>
                <w:szCs w:val="18"/>
                <w:lang w:eastAsia="lt-LT"/>
              </w:rPr>
              <w:t>vyresni kaip</w:t>
            </w:r>
            <w:proofErr w:type="gramStart"/>
            <w:r w:rsidR="004D542F" w:rsidRPr="008D3817">
              <w:rPr>
                <w:rFonts w:ascii="Times New Roman" w:eastAsia="AngsanaUPC" w:hAnsi="Times New Roman"/>
                <w:bCs/>
                <w:iCs/>
                <w:sz w:val="20"/>
                <w:szCs w:val="20"/>
                <w:lang w:eastAsia="lt-LT"/>
              </w:rPr>
              <w:t xml:space="preserve"> </w:t>
            </w:r>
            <w:r w:rsidR="004D542F">
              <w:rPr>
                <w:rFonts w:ascii="Times New Roman" w:hAnsi="Times New Roman"/>
                <w:bCs/>
                <w:sz w:val="18"/>
                <w:szCs w:val="18"/>
              </w:rPr>
              <w:t xml:space="preserve"> </w:t>
            </w:r>
            <w:proofErr w:type="gramEnd"/>
            <w:r w:rsidR="004D542F">
              <w:rPr>
                <w:rFonts w:ascii="Times New Roman" w:hAnsi="Times New Roman"/>
                <w:bCs/>
                <w:sz w:val="18"/>
                <w:szCs w:val="18"/>
              </w:rPr>
              <w:t>54 metų</w:t>
            </w:r>
            <w:r w:rsidRPr="00385835">
              <w:rPr>
                <w:rFonts w:ascii="Times New Roman" w:hAnsi="Times New Roman"/>
                <w:bCs/>
                <w:sz w:val="18"/>
                <w:szCs w:val="18"/>
              </w:rPr>
              <w:t xml:space="preserve"> amžiaus, dalyvavę aktyviam senėjimui skirtose ESF veiklose</w:t>
            </w:r>
          </w:p>
        </w:tc>
        <w:tc>
          <w:tcPr>
            <w:tcW w:w="1134" w:type="dxa"/>
            <w:shd w:val="clear" w:color="auto" w:fill="auto"/>
            <w:vAlign w:val="center"/>
          </w:tcPr>
          <w:p w:rsidR="00385835" w:rsidRPr="00385835" w:rsidRDefault="00385835" w:rsidP="00385835">
            <w:pPr>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Asmenys</w:t>
            </w:r>
          </w:p>
        </w:tc>
        <w:tc>
          <w:tcPr>
            <w:tcW w:w="851" w:type="dxa"/>
            <w:shd w:val="clear" w:color="auto" w:fill="auto"/>
            <w:vAlign w:val="center"/>
          </w:tcPr>
          <w:p w:rsidR="00385835" w:rsidRPr="00385835" w:rsidRDefault="00385835" w:rsidP="00385835">
            <w:pPr>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ESF</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Mažiau išsivystęs</w:t>
            </w:r>
          </w:p>
        </w:tc>
        <w:tc>
          <w:tcPr>
            <w:tcW w:w="850" w:type="dxa"/>
            <w:shd w:val="clear" w:color="auto" w:fill="auto"/>
            <w:vAlign w:val="center"/>
          </w:tcPr>
          <w:p w:rsidR="00385835" w:rsidRPr="00FC6264" w:rsidRDefault="00CB0078" w:rsidP="00CB0078">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eastAsia="AngsanaUPC" w:hAnsi="Times New Roman"/>
                <w:bCs/>
                <w:iCs/>
                <w:sz w:val="18"/>
                <w:szCs w:val="18"/>
                <w:lang w:eastAsia="lt-LT"/>
              </w:rPr>
              <w:t>5</w:t>
            </w:r>
            <w:r w:rsidR="009348A3" w:rsidRPr="00FC6264">
              <w:rPr>
                <w:rFonts w:ascii="Times New Roman" w:eastAsia="AngsanaUPC" w:hAnsi="Times New Roman"/>
                <w:bCs/>
                <w:iCs/>
                <w:sz w:val="18"/>
                <w:szCs w:val="18"/>
                <w:lang w:eastAsia="lt-LT"/>
              </w:rPr>
              <w:t>.</w:t>
            </w:r>
            <w:r w:rsidRPr="00FC6264">
              <w:rPr>
                <w:rFonts w:ascii="Times New Roman" w:eastAsia="AngsanaUPC" w:hAnsi="Times New Roman"/>
                <w:bCs/>
                <w:iCs/>
                <w:sz w:val="18"/>
                <w:szCs w:val="18"/>
                <w:lang w:eastAsia="lt-LT"/>
              </w:rPr>
              <w:t>8</w:t>
            </w:r>
            <w:r w:rsidR="00385835" w:rsidRPr="00FC6264">
              <w:rPr>
                <w:rFonts w:ascii="Times New Roman" w:eastAsia="AngsanaUPC" w:hAnsi="Times New Roman"/>
                <w:bCs/>
                <w:iCs/>
                <w:sz w:val="18"/>
                <w:szCs w:val="18"/>
                <w:lang w:eastAsia="lt-LT"/>
              </w:rPr>
              <w:t>00</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Duomenys iš projektų</w:t>
            </w:r>
          </w:p>
        </w:tc>
        <w:tc>
          <w:tcPr>
            <w:tcW w:w="124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900EB5" w:rsidRPr="00900EB5" w:rsidTr="00900EB5">
        <w:tblPrEx>
          <w:shd w:val="clear" w:color="auto" w:fill="auto"/>
        </w:tblPrEx>
        <w:tc>
          <w:tcPr>
            <w:tcW w:w="567" w:type="dxa"/>
            <w:shd w:val="clear" w:color="auto" w:fill="auto"/>
            <w:vAlign w:val="center"/>
          </w:tcPr>
          <w:p w:rsidR="00900EB5" w:rsidRPr="00900EB5" w:rsidRDefault="00900EB5" w:rsidP="00900EB5">
            <w:pPr>
              <w:spacing w:after="0" w:line="240" w:lineRule="auto"/>
              <w:jc w:val="center"/>
              <w:rPr>
                <w:rFonts w:ascii="Times New Roman" w:hAnsi="Times New Roman"/>
                <w:sz w:val="18"/>
                <w:szCs w:val="18"/>
              </w:rPr>
            </w:pPr>
            <w:r w:rsidRPr="00900EB5">
              <w:rPr>
                <w:rFonts w:ascii="Times New Roman" w:hAnsi="Times New Roman"/>
                <w:sz w:val="18"/>
                <w:szCs w:val="18"/>
              </w:rPr>
              <w:t>3.</w:t>
            </w:r>
          </w:p>
        </w:tc>
        <w:tc>
          <w:tcPr>
            <w:tcW w:w="2835" w:type="dxa"/>
            <w:shd w:val="clear" w:color="auto" w:fill="auto"/>
          </w:tcPr>
          <w:p w:rsidR="00900EB5" w:rsidRPr="00900EB5" w:rsidRDefault="00900EB5" w:rsidP="00900EB5">
            <w:pPr>
              <w:spacing w:after="0" w:line="240" w:lineRule="auto"/>
              <w:rPr>
                <w:rFonts w:ascii="Times New Roman" w:hAnsi="Times New Roman"/>
                <w:sz w:val="18"/>
                <w:szCs w:val="18"/>
              </w:rPr>
            </w:pPr>
            <w:r w:rsidRPr="00900EB5">
              <w:rPr>
                <w:rFonts w:ascii="Times New Roman" w:hAnsi="Times New Roman"/>
                <w:sz w:val="18"/>
                <w:szCs w:val="18"/>
              </w:rPr>
              <w:t>Bendras dalyvių, kuriems dėl karo Ukrainoje suteikta laikinoji apsauga, skaičius</w:t>
            </w:r>
          </w:p>
        </w:tc>
        <w:tc>
          <w:tcPr>
            <w:tcW w:w="1134" w:type="dxa"/>
            <w:shd w:val="clear" w:color="auto" w:fill="auto"/>
            <w:vAlign w:val="center"/>
          </w:tcPr>
          <w:p w:rsidR="00900EB5" w:rsidRPr="00900EB5" w:rsidRDefault="00900EB5" w:rsidP="00900EB5">
            <w:pPr>
              <w:spacing w:after="0" w:line="240" w:lineRule="auto"/>
              <w:jc w:val="center"/>
              <w:rPr>
                <w:rFonts w:ascii="Times New Roman" w:hAnsi="Times New Roman"/>
                <w:sz w:val="18"/>
                <w:szCs w:val="18"/>
              </w:rPr>
            </w:pPr>
            <w:r w:rsidRPr="00900EB5">
              <w:rPr>
                <w:rFonts w:ascii="Times New Roman" w:hAnsi="Times New Roman"/>
                <w:sz w:val="18"/>
                <w:szCs w:val="18"/>
              </w:rPr>
              <w:t>Asmenys</w:t>
            </w:r>
          </w:p>
        </w:tc>
        <w:tc>
          <w:tcPr>
            <w:tcW w:w="851" w:type="dxa"/>
            <w:shd w:val="clear" w:color="auto" w:fill="auto"/>
            <w:vAlign w:val="center"/>
          </w:tcPr>
          <w:p w:rsidR="00900EB5" w:rsidRPr="00900EB5" w:rsidRDefault="00900EB5" w:rsidP="00900EB5">
            <w:pPr>
              <w:spacing w:after="0" w:line="240" w:lineRule="auto"/>
              <w:jc w:val="center"/>
              <w:rPr>
                <w:rFonts w:ascii="Times New Roman" w:hAnsi="Times New Roman"/>
                <w:sz w:val="18"/>
                <w:szCs w:val="18"/>
              </w:rPr>
            </w:pPr>
            <w:r w:rsidRPr="00900EB5">
              <w:rPr>
                <w:rFonts w:ascii="Times New Roman" w:hAnsi="Times New Roman"/>
                <w:sz w:val="18"/>
                <w:szCs w:val="18"/>
              </w:rPr>
              <w:t>ESF</w:t>
            </w:r>
          </w:p>
        </w:tc>
        <w:tc>
          <w:tcPr>
            <w:tcW w:w="1134" w:type="dxa"/>
            <w:shd w:val="clear" w:color="auto" w:fill="auto"/>
            <w:vAlign w:val="center"/>
          </w:tcPr>
          <w:p w:rsidR="00900EB5" w:rsidRPr="00900EB5" w:rsidRDefault="00900EB5" w:rsidP="00900EB5">
            <w:pPr>
              <w:spacing w:after="0" w:line="240" w:lineRule="auto"/>
              <w:jc w:val="center"/>
              <w:rPr>
                <w:rFonts w:ascii="Times New Roman" w:hAnsi="Times New Roman"/>
                <w:sz w:val="18"/>
                <w:szCs w:val="18"/>
              </w:rPr>
            </w:pPr>
            <w:r w:rsidRPr="00900EB5">
              <w:rPr>
                <w:rFonts w:ascii="Times New Roman" w:hAnsi="Times New Roman"/>
                <w:sz w:val="18"/>
                <w:szCs w:val="18"/>
              </w:rPr>
              <w:t>Mažiau išsivystęs</w:t>
            </w:r>
          </w:p>
        </w:tc>
        <w:tc>
          <w:tcPr>
            <w:tcW w:w="850" w:type="dxa"/>
            <w:shd w:val="clear" w:color="auto" w:fill="auto"/>
            <w:vAlign w:val="center"/>
          </w:tcPr>
          <w:p w:rsidR="00900EB5" w:rsidRPr="00900EB5" w:rsidRDefault="00900EB5" w:rsidP="00900EB5">
            <w:pPr>
              <w:spacing w:after="0" w:line="240" w:lineRule="auto"/>
              <w:jc w:val="center"/>
              <w:rPr>
                <w:rFonts w:ascii="Times New Roman" w:hAnsi="Times New Roman"/>
                <w:sz w:val="18"/>
                <w:szCs w:val="18"/>
              </w:rPr>
            </w:pPr>
            <w:r w:rsidRPr="00900EB5">
              <w:rPr>
                <w:rFonts w:ascii="Times New Roman" w:hAnsi="Times New Roman"/>
                <w:sz w:val="18"/>
                <w:szCs w:val="18"/>
              </w:rPr>
              <w:t>1.230</w:t>
            </w:r>
          </w:p>
        </w:tc>
        <w:tc>
          <w:tcPr>
            <w:tcW w:w="1134" w:type="dxa"/>
            <w:shd w:val="clear" w:color="auto" w:fill="auto"/>
            <w:vAlign w:val="center"/>
          </w:tcPr>
          <w:p w:rsidR="00900EB5" w:rsidRPr="00900EB5" w:rsidRDefault="00900EB5" w:rsidP="00900EB5">
            <w:pPr>
              <w:spacing w:after="0" w:line="240" w:lineRule="auto"/>
              <w:jc w:val="center"/>
              <w:rPr>
                <w:rFonts w:ascii="Times New Roman" w:hAnsi="Times New Roman"/>
                <w:sz w:val="18"/>
                <w:szCs w:val="18"/>
              </w:rPr>
            </w:pPr>
            <w:r w:rsidRPr="00900EB5">
              <w:rPr>
                <w:rFonts w:ascii="Times New Roman" w:hAnsi="Times New Roman"/>
                <w:sz w:val="18"/>
                <w:szCs w:val="18"/>
              </w:rPr>
              <w:t>Duomenys iš projektų</w:t>
            </w:r>
          </w:p>
        </w:tc>
        <w:tc>
          <w:tcPr>
            <w:tcW w:w="1241" w:type="dxa"/>
            <w:shd w:val="clear" w:color="auto" w:fill="auto"/>
            <w:vAlign w:val="center"/>
          </w:tcPr>
          <w:p w:rsidR="00900EB5" w:rsidRPr="00900EB5" w:rsidRDefault="00900EB5" w:rsidP="00900EB5">
            <w:pPr>
              <w:spacing w:after="0" w:line="240" w:lineRule="auto"/>
              <w:jc w:val="center"/>
              <w:rPr>
                <w:rFonts w:ascii="Times New Roman" w:hAnsi="Times New Roman"/>
                <w:sz w:val="18"/>
                <w:szCs w:val="18"/>
              </w:rPr>
            </w:pPr>
            <w:r w:rsidRPr="00900EB5">
              <w:rPr>
                <w:rFonts w:ascii="Times New Roman" w:hAnsi="Times New Roman"/>
                <w:sz w:val="18"/>
                <w:szCs w:val="18"/>
              </w:rPr>
              <w:t>Kartą per metus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vAlign w:val="center"/>
          </w:tcPr>
          <w:p w:rsidR="00385835" w:rsidRPr="00385835" w:rsidRDefault="00385835" w:rsidP="00385835">
            <w:pPr>
              <w:widowControl w:val="0"/>
              <w:tabs>
                <w:tab w:val="left" w:pos="622"/>
              </w:tabs>
              <w:spacing w:after="0" w:line="240" w:lineRule="auto"/>
              <w:rPr>
                <w:rFonts w:ascii="Times New Roman" w:eastAsia="AngsanaUPC" w:hAnsi="Times New Roman"/>
                <w:b/>
                <w:bCs/>
                <w:iCs/>
                <w:sz w:val="24"/>
                <w:szCs w:val="24"/>
                <w:lang w:eastAsia="lt-LT"/>
              </w:rPr>
            </w:pPr>
            <w:r w:rsidRPr="00385835">
              <w:rPr>
                <w:rFonts w:ascii="Times New Roman" w:eastAsia="AngsanaUPC" w:hAnsi="Times New Roman"/>
                <w:b/>
                <w:bCs/>
                <w:iCs/>
                <w:sz w:val="24"/>
                <w:szCs w:val="24"/>
                <w:lang w:eastAsia="lt-LT"/>
              </w:rPr>
              <w:t>8.4. INVESTICINIS PRIORITETAS</w:t>
            </w:r>
          </w:p>
        </w:tc>
        <w:tc>
          <w:tcPr>
            <w:tcW w:w="7336" w:type="dxa"/>
            <w:shd w:val="clear" w:color="auto" w:fill="EEECE1"/>
            <w:vAlign w:val="center"/>
          </w:tcPr>
          <w:p w:rsidR="00385835" w:rsidRPr="00385835" w:rsidRDefault="00385835" w:rsidP="00385835">
            <w:pPr>
              <w:spacing w:after="0" w:line="240" w:lineRule="auto"/>
              <w:jc w:val="both"/>
              <w:rPr>
                <w:rFonts w:ascii="Times New Roman" w:hAnsi="Times New Roman"/>
                <w:b/>
                <w:sz w:val="24"/>
                <w:szCs w:val="24"/>
              </w:rPr>
            </w:pPr>
            <w:r w:rsidRPr="00385835">
              <w:rPr>
                <w:rFonts w:ascii="Times New Roman" w:hAnsi="Times New Roman"/>
                <w:b/>
                <w:sz w:val="24"/>
                <w:szCs w:val="24"/>
              </w:rPr>
              <w:t xml:space="preserve">Galimybių gauti įperkamas, darnias ir aukštos kokybės paslaugas didinimas, įskaitant sveikatos priežiūrą ir visuotinės svarbos </w:t>
            </w:r>
            <w:r w:rsidR="00031EF1">
              <w:rPr>
                <w:rFonts w:ascii="Times New Roman" w:hAnsi="Times New Roman"/>
                <w:b/>
                <w:sz w:val="24"/>
                <w:szCs w:val="24"/>
              </w:rPr>
              <w:t>socialines paslaugas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FONDAS</w:t>
            </w:r>
          </w:p>
        </w:tc>
        <w:tc>
          <w:tcPr>
            <w:tcW w:w="7336"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Europos socialinis fondas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tcPr>
          <w:p w:rsidR="00385835" w:rsidRPr="00385835" w:rsidRDefault="00385835" w:rsidP="00385835">
            <w:pPr>
              <w:widowControl w:val="0"/>
              <w:tabs>
                <w:tab w:val="left" w:pos="622"/>
              </w:tabs>
              <w:spacing w:after="0" w:line="240" w:lineRule="auto"/>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8.4.1. KONKRETUS UŽDAVINYS</w:t>
            </w:r>
          </w:p>
        </w:tc>
        <w:tc>
          <w:tcPr>
            <w:tcW w:w="7336" w:type="dxa"/>
            <w:shd w:val="clear" w:color="auto" w:fill="EEECE1"/>
            <w:vAlign w:val="center"/>
          </w:tcPr>
          <w:p w:rsidR="00385835" w:rsidRPr="00385835" w:rsidRDefault="00385835" w:rsidP="00385835">
            <w:pPr>
              <w:spacing w:after="0" w:line="240" w:lineRule="auto"/>
              <w:jc w:val="both"/>
              <w:rPr>
                <w:rFonts w:ascii="Times New Roman" w:hAnsi="Times New Roman"/>
                <w:b/>
                <w:sz w:val="24"/>
                <w:szCs w:val="24"/>
              </w:rPr>
            </w:pPr>
            <w:r w:rsidRPr="00385835">
              <w:rPr>
                <w:rFonts w:ascii="Times New Roman" w:hAnsi="Times New Roman"/>
                <w:b/>
                <w:bCs/>
                <w:sz w:val="24"/>
                <w:szCs w:val="24"/>
                <w:lang w:eastAsia="lt-LT"/>
              </w:rPr>
              <w:t>Padidinti bendruomenėje teikiamų paslaugų prieinamumą ir kokybę, plėtoti paslaugas šeimai</w:t>
            </w:r>
          </w:p>
        </w:tc>
      </w:tr>
      <w:tr w:rsidR="00385835" w:rsidRPr="00385835" w:rsidTr="00385835">
        <w:tc>
          <w:tcPr>
            <w:tcW w:w="9746" w:type="dxa"/>
            <w:gridSpan w:val="2"/>
            <w:shd w:val="clear" w:color="auto" w:fill="auto"/>
          </w:tcPr>
          <w:p w:rsidR="00385835" w:rsidRPr="00385835" w:rsidRDefault="00385835" w:rsidP="00385835">
            <w:pPr>
              <w:spacing w:after="0" w:line="240" w:lineRule="auto"/>
              <w:ind w:firstLine="720"/>
              <w:jc w:val="both"/>
              <w:rPr>
                <w:rFonts w:ascii="Times New Roman" w:hAnsi="Times New Roman"/>
                <w:sz w:val="24"/>
                <w:szCs w:val="24"/>
              </w:rPr>
            </w:pPr>
            <w:r w:rsidRPr="00385835">
              <w:rPr>
                <w:rFonts w:ascii="Times New Roman" w:hAnsi="Times New Roman"/>
                <w:sz w:val="24"/>
                <w:szCs w:val="24"/>
              </w:rPr>
              <w:t xml:space="preserve">Gyventojų senėjimas ir emigracija lemia tai, kad Lietuvoje auga socialinių paslaugų vyresnio amžiaus asmenims ir neįgaliesiems poreikis. Tačiau per kelias dešimtis metų susiformavusi socialinių paslaugų teikimo institucinė struktūra lemia tai, kad stacionari globa institucijose yra išplėtota labiau negu bendruomeninė globa. Siekiant sisteminio pokyčio, reikės įvertinti socialinių paslaugų išsivystymo lygį savivaldybėse, sukurti tvarius paslaugų teikimo modelius, finansuoti naujų paslaugų sukūrimą ir teikimą, remti pereinamąsias socialines paslaugas, tobulinti darbuotojų kompetenciją. Planuojamas rezultatas – derinant ESF </w:t>
            </w:r>
            <w:proofErr w:type="gramStart"/>
            <w:r w:rsidRPr="00385835">
              <w:rPr>
                <w:rFonts w:ascii="Times New Roman" w:hAnsi="Times New Roman"/>
                <w:sz w:val="24"/>
                <w:szCs w:val="24"/>
              </w:rPr>
              <w:t>ir ERPF investicijas sukurti ir teikti paslaugas</w:t>
            </w:r>
            <w:proofErr w:type="gramEnd"/>
            <w:r w:rsidRPr="00385835">
              <w:rPr>
                <w:rFonts w:ascii="Times New Roman" w:hAnsi="Times New Roman"/>
                <w:sz w:val="24"/>
                <w:szCs w:val="24"/>
              </w:rPr>
              <w:t xml:space="preserve">, kurios padės perėjimo prie bendruomeninių paslaugų procesą inicijuoti visoje šalyje. </w:t>
            </w:r>
            <w:proofErr w:type="gramStart"/>
            <w:r w:rsidRPr="00385835">
              <w:rPr>
                <w:rFonts w:ascii="Times New Roman" w:hAnsi="Times New Roman"/>
                <w:bCs/>
                <w:sz w:val="24"/>
                <w:szCs w:val="24"/>
              </w:rPr>
              <w:t>Be to</w:t>
            </w:r>
            <w:proofErr w:type="gramEnd"/>
            <w:r w:rsidRPr="00385835">
              <w:rPr>
                <w:rFonts w:ascii="Times New Roman" w:hAnsi="Times New Roman"/>
                <w:bCs/>
                <w:sz w:val="24"/>
                <w:szCs w:val="24"/>
              </w:rPr>
              <w:t xml:space="preserve"> tai prisidės prie to</w:t>
            </w:r>
            <w:r w:rsidRPr="00385835">
              <w:rPr>
                <w:rFonts w:ascii="Times New Roman" w:hAnsi="Times New Roman"/>
                <w:sz w:val="24"/>
                <w:szCs w:val="24"/>
              </w:rPr>
              <w:t xml:space="preserve">, kad nauji paslaugų gavėjai, šiuo metu negyvenantys globos įstaigose, </w:t>
            </w:r>
            <w:r w:rsidRPr="00385835">
              <w:rPr>
                <w:rFonts w:ascii="Times New Roman" w:hAnsi="Times New Roman"/>
                <w:bCs/>
                <w:sz w:val="24"/>
                <w:szCs w:val="24"/>
              </w:rPr>
              <w:t>nebepatektų</w:t>
            </w:r>
            <w:r w:rsidRPr="00385835">
              <w:rPr>
                <w:rFonts w:ascii="Times New Roman" w:hAnsi="Times New Roman"/>
                <w:sz w:val="24"/>
                <w:szCs w:val="24"/>
              </w:rPr>
              <w:t xml:space="preserve"> į stacionarias įstaigas dėl išvystytų nestacionarių paslaugų bendruomenėje.</w:t>
            </w:r>
          </w:p>
          <w:p w:rsidR="00385835" w:rsidRPr="00385835" w:rsidRDefault="00385835" w:rsidP="00385835">
            <w:pPr>
              <w:spacing w:after="0" w:line="240" w:lineRule="auto"/>
              <w:ind w:firstLine="720"/>
              <w:jc w:val="both"/>
              <w:rPr>
                <w:rFonts w:ascii="Times New Roman" w:hAnsi="Times New Roman"/>
                <w:sz w:val="24"/>
                <w:szCs w:val="24"/>
              </w:rPr>
            </w:pPr>
            <w:r w:rsidRPr="00385835">
              <w:rPr>
                <w:rFonts w:ascii="Times New Roman" w:hAnsi="Times New Roman"/>
                <w:sz w:val="24"/>
                <w:szCs w:val="24"/>
              </w:rPr>
              <w:t>Deinstitucionalizacija Lietuvoje bus įgyvendinama atsižvelgiant į „Bendrąsias europines gaires dėl perėjimo nuo institucinės prie bendruomeninės globos“.</w:t>
            </w:r>
          </w:p>
          <w:p w:rsidR="00385835" w:rsidRPr="00385835" w:rsidRDefault="00385835" w:rsidP="00385835">
            <w:pPr>
              <w:spacing w:after="0" w:line="240" w:lineRule="auto"/>
              <w:ind w:firstLine="720"/>
              <w:jc w:val="both"/>
              <w:rPr>
                <w:rFonts w:ascii="Times New Roman" w:hAnsi="Times New Roman"/>
                <w:sz w:val="24"/>
                <w:szCs w:val="24"/>
              </w:rPr>
            </w:pPr>
            <w:r w:rsidRPr="00385835">
              <w:rPr>
                <w:rFonts w:ascii="Times New Roman" w:hAnsi="Times New Roman"/>
                <w:sz w:val="24"/>
                <w:szCs w:val="24"/>
              </w:rPr>
              <w:t>Vystant bendruomenines paslaugas būtina atsižvelgti į tai, kad daliai asmenų, prižiūrinčių vaikus arba kitus šeimos asmenis, dėl įsipareigojimų šeimai sunku susirasti darbą ir pradėti dirbti. Eurostat</w:t>
            </w:r>
            <w:r w:rsidR="007E588C">
              <w:rPr>
                <w:rFonts w:ascii="Times New Roman" w:hAnsi="Times New Roman"/>
                <w:sz w:val="24"/>
                <w:szCs w:val="24"/>
              </w:rPr>
              <w:t>o</w:t>
            </w:r>
            <w:r w:rsidRPr="00385835">
              <w:rPr>
                <w:rFonts w:ascii="Times New Roman" w:hAnsi="Times New Roman"/>
                <w:sz w:val="24"/>
                <w:szCs w:val="24"/>
              </w:rPr>
              <w:t xml:space="preserve"> duomenimis, 2010 m. vaikus arba asmenis, kuriems reikalinga nuolatinė priežiūra, Lietuvoje prižiūrėjo 68,8 tūkst. asmenų, kurių du trečdaliai – moterys. 2010 m. tik apie 15 proc. dirbančių Lietuvos gyventojų manė, kad darbe jiems sudaromos galimybės naudotis lanksčiu darbo grafiku. Todėl pasitelkiant ESF lėšas bus plėtojamos bendruomeninės paslaugos, kurios padės derinti darbo ir šeimos įsipareigojimus.</w:t>
            </w:r>
          </w:p>
          <w:p w:rsidR="00385835" w:rsidRPr="00385835" w:rsidRDefault="00385835" w:rsidP="001A0D5F">
            <w:pPr>
              <w:widowControl w:val="0"/>
              <w:tabs>
                <w:tab w:val="left" w:pos="622"/>
              </w:tabs>
              <w:spacing w:after="0" w:line="240" w:lineRule="auto"/>
              <w:ind w:firstLine="624"/>
              <w:jc w:val="both"/>
              <w:rPr>
                <w:rFonts w:ascii="Times New Roman" w:eastAsia="AngsanaUPC" w:hAnsi="Times New Roman"/>
                <w:bCs/>
                <w:sz w:val="24"/>
                <w:szCs w:val="24"/>
                <w:lang w:eastAsia="lt-LT"/>
              </w:rPr>
            </w:pPr>
            <w:r w:rsidRPr="00385835">
              <w:rPr>
                <w:rFonts w:ascii="Times New Roman" w:hAnsi="Times New Roman"/>
                <w:sz w:val="24"/>
                <w:szCs w:val="24"/>
              </w:rPr>
              <w:t xml:space="preserve">Planuojama padėti sunkumus ir krizes patiriančioms šeimoms gauti reikiamą pagalbą ir sudaryti sąlygas vaikui augti saugioje aplinkoje. Šiuo metu vaikų dienos centrai, kuriuose teikiamos socialinės priežiūros paslaugos vaikams, augantiems socialinės rizikos šeimose, patenkina tik ketvirtadalį poreikio (paslaugas gauna 5 tūkst. vaikų iš daugiau nei 22 tūkst. vaikų </w:t>
            </w:r>
            <w:r w:rsidRPr="00385835">
              <w:rPr>
                <w:rFonts w:ascii="Times New Roman" w:hAnsi="Times New Roman"/>
                <w:sz w:val="24"/>
                <w:szCs w:val="24"/>
              </w:rPr>
              <w:lastRenderedPageBreak/>
              <w:t>augančių socialinės rizikos šeimose). Tėvams trūksta paslaugų, kurios padėtų išgyventi krizę, atsikratyti priklausomybių, išmokti pasirūpinti savimi ir kitais šeimos nariais ir įgalintų juos sėkmingai auklėti ir ugdyti vaikus. Sprendžiant šią problemą</w:t>
            </w:r>
            <w:r w:rsidR="001A0D5F">
              <w:rPr>
                <w:rFonts w:ascii="Times New Roman" w:hAnsi="Times New Roman"/>
                <w:sz w:val="24"/>
                <w:szCs w:val="24"/>
              </w:rPr>
              <w:t>,</w:t>
            </w:r>
            <w:r w:rsidRPr="00385835">
              <w:rPr>
                <w:rFonts w:ascii="Times New Roman" w:hAnsi="Times New Roman"/>
                <w:sz w:val="24"/>
                <w:szCs w:val="24"/>
              </w:rPr>
              <w:t xml:space="preserve"> bus didinamas prevencinių ir intervencinių paslaugų šeimai ir vaikui prieinamumas, kokybė ir įvairovė visose savivaldybėse.</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567"/>
        <w:gridCol w:w="2127"/>
        <w:gridCol w:w="992"/>
        <w:gridCol w:w="992"/>
        <w:gridCol w:w="709"/>
        <w:gridCol w:w="567"/>
        <w:gridCol w:w="709"/>
        <w:gridCol w:w="708"/>
        <w:gridCol w:w="567"/>
        <w:gridCol w:w="1134"/>
        <w:gridCol w:w="674"/>
      </w:tblGrid>
      <w:tr w:rsidR="00385835" w:rsidRPr="00385835" w:rsidTr="000D0444">
        <w:trPr>
          <w:tblHeader/>
        </w:trPr>
        <w:tc>
          <w:tcPr>
            <w:tcW w:w="9746" w:type="dxa"/>
            <w:gridSpan w:val="11"/>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i/>
                <w:iCs/>
                <w:sz w:val="24"/>
                <w:szCs w:val="24"/>
                <w:lang w:eastAsia="lt-LT"/>
              </w:rPr>
            </w:pPr>
            <w:r w:rsidRPr="00385835">
              <w:rPr>
                <w:rFonts w:ascii="Times New Roman" w:eastAsia="AngsanaUPC" w:hAnsi="Times New Roman"/>
                <w:b/>
                <w:bCs/>
                <w:i/>
                <w:iCs/>
                <w:sz w:val="24"/>
                <w:szCs w:val="24"/>
                <w:lang w:eastAsia="lt-LT"/>
              </w:rPr>
              <w:t xml:space="preserve">ESF </w:t>
            </w:r>
            <w:r w:rsidR="00A9401B">
              <w:rPr>
                <w:rFonts w:ascii="Times New Roman" w:eastAsia="AngsanaUPC" w:hAnsi="Times New Roman"/>
                <w:b/>
                <w:bCs/>
                <w:i/>
                <w:iCs/>
                <w:sz w:val="24"/>
                <w:szCs w:val="24"/>
                <w:lang w:eastAsia="lt-LT"/>
              </w:rPr>
              <w:t xml:space="preserve">bendrieji ir </w:t>
            </w:r>
            <w:r w:rsidR="006827C9">
              <w:rPr>
                <w:rFonts w:ascii="Times New Roman" w:eastAsia="AngsanaUPC" w:hAnsi="Times New Roman"/>
                <w:b/>
                <w:bCs/>
                <w:i/>
                <w:iCs/>
                <w:sz w:val="24"/>
                <w:szCs w:val="24"/>
                <w:lang w:eastAsia="lt-LT"/>
              </w:rPr>
              <w:t>specialieji</w:t>
            </w:r>
            <w:r w:rsidR="006827C9" w:rsidRPr="00385835">
              <w:rPr>
                <w:rFonts w:ascii="Times New Roman" w:eastAsia="AngsanaUPC" w:hAnsi="Times New Roman"/>
                <w:b/>
                <w:bCs/>
                <w:i/>
                <w:iCs/>
                <w:sz w:val="24"/>
                <w:szCs w:val="24"/>
                <w:lang w:eastAsia="lt-LT"/>
              </w:rPr>
              <w:t xml:space="preserve"> </w:t>
            </w:r>
            <w:r w:rsidRPr="00385835">
              <w:rPr>
                <w:rFonts w:ascii="Times New Roman" w:eastAsia="AngsanaUPC" w:hAnsi="Times New Roman"/>
                <w:b/>
                <w:bCs/>
                <w:i/>
                <w:iCs/>
                <w:sz w:val="24"/>
                <w:szCs w:val="24"/>
                <w:lang w:eastAsia="lt-LT"/>
              </w:rPr>
              <w:t>programos rezultato rodikliai</w:t>
            </w:r>
          </w:p>
        </w:tc>
      </w:tr>
      <w:tr w:rsidR="00385835" w:rsidRPr="00385835" w:rsidTr="000D0444">
        <w:tblPrEx>
          <w:shd w:val="clear" w:color="auto" w:fill="auto"/>
        </w:tblPrEx>
        <w:trPr>
          <w:cantSplit/>
          <w:trHeight w:val="1837"/>
          <w:tblHeader/>
        </w:trPr>
        <w:tc>
          <w:tcPr>
            <w:tcW w:w="567"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Nr.</w:t>
            </w:r>
          </w:p>
        </w:tc>
        <w:tc>
          <w:tcPr>
            <w:tcW w:w="2127"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Rodiklio pavadinimas</w:t>
            </w:r>
          </w:p>
        </w:tc>
        <w:tc>
          <w:tcPr>
            <w:tcW w:w="992"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Regiono kategorija</w:t>
            </w:r>
          </w:p>
        </w:tc>
        <w:tc>
          <w:tcPr>
            <w:tcW w:w="992"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Matavimo vienetas</w:t>
            </w:r>
          </w:p>
        </w:tc>
        <w:tc>
          <w:tcPr>
            <w:tcW w:w="709"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Bendrasis produkto rodiklis, naudotas kaip pagrindas</w:t>
            </w:r>
          </w:p>
        </w:tc>
        <w:tc>
          <w:tcPr>
            <w:tcW w:w="567"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 reikšmė</w:t>
            </w:r>
          </w:p>
        </w:tc>
        <w:tc>
          <w:tcPr>
            <w:tcW w:w="709"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Pradinės ir siektinos reikšmės matavimo vienetai</w:t>
            </w:r>
          </w:p>
        </w:tc>
        <w:tc>
          <w:tcPr>
            <w:tcW w:w="708"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Pradinės reikšmės metai</w:t>
            </w:r>
          </w:p>
        </w:tc>
        <w:tc>
          <w:tcPr>
            <w:tcW w:w="567"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Siektina reikšmė (2023)</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Duomenų šaltinis</w:t>
            </w:r>
          </w:p>
        </w:tc>
        <w:tc>
          <w:tcPr>
            <w:tcW w:w="674"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Atsiskaitymo dažnumas</w:t>
            </w:r>
          </w:p>
        </w:tc>
      </w:tr>
      <w:tr w:rsidR="00385835" w:rsidRPr="00385835" w:rsidTr="00385835">
        <w:tblPrEx>
          <w:shd w:val="clear" w:color="auto" w:fill="auto"/>
        </w:tblPrEx>
        <w:trPr>
          <w:trHeight w:val="689"/>
        </w:trPr>
        <w:tc>
          <w:tcPr>
            <w:tcW w:w="56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w:t>
            </w:r>
          </w:p>
        </w:tc>
        <w:tc>
          <w:tcPr>
            <w:tcW w:w="2127" w:type="dxa"/>
            <w:shd w:val="clear" w:color="auto" w:fill="auto"/>
            <w:vAlign w:val="center"/>
          </w:tcPr>
          <w:p w:rsidR="00385835" w:rsidRPr="00385835" w:rsidRDefault="00385835" w:rsidP="006827C9">
            <w:pPr>
              <w:spacing w:after="0" w:line="240" w:lineRule="auto"/>
              <w:rPr>
                <w:rFonts w:ascii="Times New Roman" w:hAnsi="Times New Roman"/>
                <w:sz w:val="18"/>
                <w:szCs w:val="18"/>
              </w:rPr>
            </w:pPr>
            <w:r w:rsidRPr="00385835">
              <w:rPr>
                <w:rFonts w:ascii="Times New Roman" w:hAnsi="Times New Roman"/>
                <w:sz w:val="18"/>
                <w:szCs w:val="18"/>
              </w:rPr>
              <w:t xml:space="preserve">Įgyvendintų </w:t>
            </w:r>
            <w:r w:rsidR="006827C9">
              <w:rPr>
                <w:rFonts w:ascii="Times New Roman" w:hAnsi="Times New Roman"/>
                <w:sz w:val="18"/>
                <w:szCs w:val="18"/>
              </w:rPr>
              <w:t xml:space="preserve">asmeniui taikomų </w:t>
            </w:r>
            <w:r w:rsidRPr="00385835">
              <w:rPr>
                <w:rFonts w:ascii="Times New Roman" w:hAnsi="Times New Roman"/>
                <w:sz w:val="18"/>
                <w:szCs w:val="18"/>
              </w:rPr>
              <w:t>individualių perėjimo nuo institucinės globos prie šeimoje ir bendruomenėje teikiamų paslaugų planų dalis nuo parengtų planų</w:t>
            </w:r>
          </w:p>
        </w:tc>
        <w:tc>
          <w:tcPr>
            <w:tcW w:w="992" w:type="dxa"/>
            <w:shd w:val="clear" w:color="auto" w:fill="auto"/>
            <w:vAlign w:val="center"/>
          </w:tcPr>
          <w:p w:rsidR="00385835" w:rsidRPr="00385835" w:rsidRDefault="00385835" w:rsidP="00385835">
            <w:pPr>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Mažiau išsivystęs</w:t>
            </w:r>
          </w:p>
        </w:tc>
        <w:tc>
          <w:tcPr>
            <w:tcW w:w="992" w:type="dxa"/>
            <w:shd w:val="clear" w:color="auto" w:fill="auto"/>
            <w:vAlign w:val="center"/>
          </w:tcPr>
          <w:p w:rsidR="00385835" w:rsidRPr="00385835" w:rsidRDefault="00385835" w:rsidP="00385835">
            <w:pPr>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Planai</w:t>
            </w:r>
          </w:p>
        </w:tc>
        <w:tc>
          <w:tcPr>
            <w:tcW w:w="709"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w:t>
            </w:r>
          </w:p>
        </w:tc>
        <w:tc>
          <w:tcPr>
            <w:tcW w:w="56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0</w:t>
            </w:r>
          </w:p>
        </w:tc>
        <w:tc>
          <w:tcPr>
            <w:tcW w:w="709"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Proc.</w:t>
            </w:r>
          </w:p>
        </w:tc>
        <w:tc>
          <w:tcPr>
            <w:tcW w:w="708"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2013</w:t>
            </w:r>
          </w:p>
        </w:tc>
        <w:tc>
          <w:tcPr>
            <w:tcW w:w="56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80</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shd w:val="clear" w:color="auto" w:fill="FFFFFF"/>
              </w:rPr>
            </w:pPr>
            <w:r w:rsidRPr="00385835">
              <w:rPr>
                <w:rFonts w:ascii="Times New Roman" w:hAnsi="Times New Roman"/>
                <w:sz w:val="18"/>
                <w:szCs w:val="18"/>
                <w:shd w:val="clear" w:color="auto" w:fill="FFFFFF"/>
              </w:rPr>
              <w:t>Duomenys iš projektų</w:t>
            </w:r>
          </w:p>
        </w:tc>
        <w:tc>
          <w:tcPr>
            <w:tcW w:w="67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385835" w:rsidRPr="00385835" w:rsidTr="00385835">
        <w:tblPrEx>
          <w:shd w:val="clear" w:color="auto" w:fill="auto"/>
        </w:tblPrEx>
        <w:tc>
          <w:tcPr>
            <w:tcW w:w="56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w:t>
            </w:r>
          </w:p>
        </w:tc>
        <w:tc>
          <w:tcPr>
            <w:tcW w:w="2127" w:type="dxa"/>
            <w:shd w:val="clear" w:color="auto" w:fill="auto"/>
            <w:vAlign w:val="center"/>
          </w:tcPr>
          <w:p w:rsidR="00385835" w:rsidRPr="00385835" w:rsidRDefault="00385835" w:rsidP="00385835">
            <w:pPr>
              <w:spacing w:after="0" w:line="240" w:lineRule="auto"/>
              <w:rPr>
                <w:rFonts w:ascii="Times New Roman" w:hAnsi="Times New Roman"/>
                <w:sz w:val="18"/>
                <w:szCs w:val="18"/>
              </w:rPr>
            </w:pPr>
            <w:r w:rsidRPr="00385835">
              <w:rPr>
                <w:rFonts w:ascii="Times New Roman" w:hAnsi="Times New Roman"/>
                <w:sz w:val="18"/>
                <w:szCs w:val="18"/>
              </w:rPr>
              <w:t>Paslaugų šeimai gavėjai, palankiai vertinantys gaunamų paslaugų kokybę</w:t>
            </w:r>
          </w:p>
        </w:tc>
        <w:tc>
          <w:tcPr>
            <w:tcW w:w="992" w:type="dxa"/>
            <w:shd w:val="clear" w:color="auto" w:fill="auto"/>
            <w:vAlign w:val="center"/>
          </w:tcPr>
          <w:p w:rsidR="00385835" w:rsidRPr="00385835" w:rsidRDefault="00385835" w:rsidP="00385835">
            <w:pPr>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Mažiau išsivystęs</w:t>
            </w:r>
          </w:p>
        </w:tc>
        <w:tc>
          <w:tcPr>
            <w:tcW w:w="992" w:type="dxa"/>
            <w:shd w:val="clear" w:color="auto" w:fill="auto"/>
            <w:vAlign w:val="center"/>
          </w:tcPr>
          <w:p w:rsidR="00385835" w:rsidRPr="00385835" w:rsidRDefault="00385835" w:rsidP="00385835">
            <w:pPr>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Asmenys</w:t>
            </w:r>
          </w:p>
        </w:tc>
        <w:tc>
          <w:tcPr>
            <w:tcW w:w="709"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w:t>
            </w:r>
          </w:p>
        </w:tc>
        <w:tc>
          <w:tcPr>
            <w:tcW w:w="56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95,5</w:t>
            </w:r>
          </w:p>
        </w:tc>
        <w:tc>
          <w:tcPr>
            <w:tcW w:w="709"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Proc.</w:t>
            </w:r>
          </w:p>
        </w:tc>
        <w:tc>
          <w:tcPr>
            <w:tcW w:w="708"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2014</w:t>
            </w:r>
          </w:p>
        </w:tc>
        <w:tc>
          <w:tcPr>
            <w:tcW w:w="56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98</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shd w:val="clear" w:color="auto" w:fill="FFFFFF"/>
              </w:rPr>
            </w:pPr>
            <w:r w:rsidRPr="00385835">
              <w:rPr>
                <w:rFonts w:ascii="Times New Roman" w:hAnsi="Times New Roman"/>
                <w:sz w:val="18"/>
                <w:szCs w:val="18"/>
                <w:shd w:val="clear" w:color="auto" w:fill="FFFFFF"/>
              </w:rPr>
              <w:t>Tyrimas</w:t>
            </w:r>
          </w:p>
        </w:tc>
        <w:tc>
          <w:tcPr>
            <w:tcW w:w="674" w:type="dxa"/>
            <w:shd w:val="clear" w:color="auto" w:fill="auto"/>
            <w:vAlign w:val="center"/>
          </w:tcPr>
          <w:p w:rsidR="003C470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3 kartus per laiko</w:t>
            </w:r>
            <w:r w:rsidR="003C4705">
              <w:rPr>
                <w:rFonts w:ascii="Times New Roman" w:eastAsia="AngsanaUPC" w:hAnsi="Times New Roman"/>
                <w:bCs/>
                <w:iCs/>
                <w:sz w:val="18"/>
                <w:szCs w:val="18"/>
                <w:lang w:eastAsia="lt-LT"/>
              </w:rPr>
              <w:t>-</w:t>
            </w:r>
          </w:p>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tarpį</w:t>
            </w:r>
          </w:p>
        </w:tc>
      </w:tr>
      <w:tr w:rsidR="00385835" w:rsidRPr="00385835" w:rsidTr="00385835">
        <w:tblPrEx>
          <w:shd w:val="clear" w:color="auto" w:fill="auto"/>
        </w:tblPrEx>
        <w:tc>
          <w:tcPr>
            <w:tcW w:w="56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3.</w:t>
            </w:r>
          </w:p>
        </w:tc>
        <w:tc>
          <w:tcPr>
            <w:tcW w:w="2127" w:type="dxa"/>
            <w:shd w:val="clear" w:color="auto" w:fill="auto"/>
            <w:vAlign w:val="center"/>
          </w:tcPr>
          <w:p w:rsidR="00385835" w:rsidRPr="00385835" w:rsidRDefault="00385835" w:rsidP="00385835">
            <w:pPr>
              <w:spacing w:after="0" w:line="240" w:lineRule="auto"/>
              <w:rPr>
                <w:rFonts w:ascii="Times New Roman" w:hAnsi="Times New Roman"/>
                <w:sz w:val="18"/>
                <w:szCs w:val="18"/>
              </w:rPr>
            </w:pPr>
            <w:r w:rsidRPr="00385835">
              <w:rPr>
                <w:rFonts w:ascii="Times New Roman" w:hAnsi="Times New Roman"/>
                <w:sz w:val="18"/>
                <w:szCs w:val="18"/>
              </w:rPr>
              <w:t>Socialinių paslaugų sistemos darbuotojai, kurie po dalyvavimo ESF veiklose įgijo kvalifikaciją*</w:t>
            </w:r>
          </w:p>
        </w:tc>
        <w:tc>
          <w:tcPr>
            <w:tcW w:w="992" w:type="dxa"/>
            <w:shd w:val="clear" w:color="auto" w:fill="auto"/>
            <w:vAlign w:val="center"/>
          </w:tcPr>
          <w:p w:rsidR="00385835" w:rsidRPr="00385835" w:rsidRDefault="00385835" w:rsidP="00385835">
            <w:pPr>
              <w:spacing w:after="0" w:line="240" w:lineRule="auto"/>
              <w:jc w:val="center"/>
              <w:rPr>
                <w:rFonts w:ascii="Times New Roman" w:eastAsia="Times New Roman" w:hAnsi="Times New Roman"/>
                <w:bCs/>
                <w:sz w:val="18"/>
                <w:szCs w:val="18"/>
              </w:rPr>
            </w:pPr>
            <w:r w:rsidRPr="00385835">
              <w:rPr>
                <w:rFonts w:ascii="Times New Roman" w:eastAsia="AngsanaUPC" w:hAnsi="Times New Roman"/>
                <w:bCs/>
                <w:iCs/>
                <w:sz w:val="18"/>
                <w:szCs w:val="18"/>
                <w:lang w:eastAsia="lt-LT"/>
              </w:rPr>
              <w:t>Mažiau išsivystęs</w:t>
            </w:r>
          </w:p>
        </w:tc>
        <w:tc>
          <w:tcPr>
            <w:tcW w:w="992" w:type="dxa"/>
            <w:shd w:val="clear" w:color="auto" w:fill="auto"/>
            <w:vAlign w:val="center"/>
          </w:tcPr>
          <w:p w:rsidR="00385835" w:rsidRPr="00385835" w:rsidRDefault="00385835" w:rsidP="00385835">
            <w:pPr>
              <w:spacing w:after="0" w:line="240" w:lineRule="auto"/>
              <w:jc w:val="center"/>
              <w:rPr>
                <w:rFonts w:ascii="Times New Roman" w:eastAsia="Times New Roman" w:hAnsi="Times New Roman"/>
                <w:bCs/>
                <w:sz w:val="18"/>
                <w:szCs w:val="18"/>
              </w:rPr>
            </w:pPr>
            <w:r w:rsidRPr="00385835">
              <w:rPr>
                <w:rFonts w:ascii="Times New Roman" w:eastAsia="AngsanaUPC" w:hAnsi="Times New Roman"/>
                <w:bCs/>
                <w:iCs/>
                <w:sz w:val="18"/>
                <w:szCs w:val="18"/>
                <w:lang w:eastAsia="lt-LT"/>
              </w:rPr>
              <w:t xml:space="preserve">Asmenys </w:t>
            </w:r>
          </w:p>
        </w:tc>
        <w:tc>
          <w:tcPr>
            <w:tcW w:w="709"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w:t>
            </w:r>
          </w:p>
        </w:tc>
        <w:tc>
          <w:tcPr>
            <w:tcW w:w="56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90</w:t>
            </w:r>
          </w:p>
        </w:tc>
        <w:tc>
          <w:tcPr>
            <w:tcW w:w="709"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Times New Roman" w:hAnsi="Times New Roman"/>
                <w:bCs/>
                <w:sz w:val="18"/>
                <w:szCs w:val="18"/>
              </w:rPr>
              <w:t>Proc.</w:t>
            </w:r>
          </w:p>
        </w:tc>
        <w:tc>
          <w:tcPr>
            <w:tcW w:w="708"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2013</w:t>
            </w:r>
          </w:p>
        </w:tc>
        <w:tc>
          <w:tcPr>
            <w:tcW w:w="56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95</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Duomenys iš projektų</w:t>
            </w:r>
          </w:p>
        </w:tc>
        <w:tc>
          <w:tcPr>
            <w:tcW w:w="67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18"/>
          <w:szCs w:val="18"/>
          <w:lang w:eastAsia="lt-LT"/>
        </w:rPr>
      </w:pPr>
      <w:r w:rsidRPr="00385835">
        <w:rPr>
          <w:rFonts w:ascii="Times New Roman" w:eastAsia="AngsanaUPC" w:hAnsi="Times New Roman"/>
          <w:bCs/>
          <w:sz w:val="18"/>
          <w:szCs w:val="18"/>
          <w:lang w:eastAsia="lt-LT"/>
        </w:rPr>
        <w:t>* Kvalifikacija suprantama pagal EK</w:t>
      </w:r>
      <w:proofErr w:type="gramStart"/>
      <w:r w:rsidRPr="00385835">
        <w:rPr>
          <w:rFonts w:ascii="Times New Roman" w:eastAsia="AngsanaUPC" w:hAnsi="Times New Roman"/>
          <w:bCs/>
          <w:sz w:val="18"/>
          <w:szCs w:val="18"/>
          <w:lang w:eastAsia="lt-LT"/>
        </w:rPr>
        <w:t xml:space="preserve">  </w:t>
      </w:r>
      <w:proofErr w:type="gramEnd"/>
      <w:r w:rsidRPr="00385835">
        <w:rPr>
          <w:rFonts w:ascii="Times New Roman" w:eastAsia="AngsanaUPC" w:hAnsi="Times New Roman"/>
          <w:bCs/>
          <w:sz w:val="18"/>
          <w:szCs w:val="18"/>
          <w:lang w:eastAsia="lt-LT"/>
        </w:rPr>
        <w:t>metodinėse stebėsenos ir vertinimo gairėse pateiktą apibrėžimą.</w:t>
      </w:r>
    </w:p>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tcPr>
          <w:p w:rsidR="00385835" w:rsidRPr="00385835" w:rsidRDefault="00385835" w:rsidP="00385835">
            <w:pPr>
              <w:widowControl w:val="0"/>
              <w:tabs>
                <w:tab w:val="left" w:pos="622"/>
              </w:tabs>
              <w:spacing w:after="0" w:line="240" w:lineRule="auto"/>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8.4.2. KONKRETUS UŽDAVINYS</w:t>
            </w:r>
          </w:p>
        </w:tc>
        <w:tc>
          <w:tcPr>
            <w:tcW w:w="7336" w:type="dxa"/>
            <w:shd w:val="clear" w:color="auto" w:fill="EEECE1"/>
            <w:vAlign w:val="center"/>
          </w:tcPr>
          <w:p w:rsidR="00385835" w:rsidRPr="00385835" w:rsidRDefault="00385835" w:rsidP="00385835">
            <w:pPr>
              <w:spacing w:after="0" w:line="240" w:lineRule="auto"/>
              <w:jc w:val="both"/>
              <w:rPr>
                <w:rFonts w:ascii="Times New Roman" w:hAnsi="Times New Roman"/>
                <w:b/>
                <w:sz w:val="24"/>
                <w:szCs w:val="24"/>
              </w:rPr>
            </w:pPr>
            <w:r w:rsidRPr="00385835">
              <w:rPr>
                <w:rFonts w:ascii="Times New Roman" w:eastAsia="AngsanaUPC" w:hAnsi="Times New Roman"/>
                <w:b/>
                <w:bCs/>
                <w:sz w:val="24"/>
                <w:szCs w:val="24"/>
                <w:lang w:eastAsia="lt-LT"/>
              </w:rPr>
              <w:t>Sumažinti sveikatos netolygumus, gerinant sveikatos priežiūros kokybę ir prieinamumą tikslinėms gyventojų grupėms</w:t>
            </w:r>
            <w:r w:rsidRPr="00385835">
              <w:rPr>
                <w:rFonts w:ascii="Times New Roman" w:eastAsia="AngsanaUPC" w:hAnsi="Times New Roman"/>
                <w:b/>
                <w:bCs/>
                <w:sz w:val="24"/>
                <w:szCs w:val="24"/>
                <w:vertAlign w:val="superscript"/>
                <w:lang w:eastAsia="lt-LT"/>
              </w:rPr>
              <w:footnoteReference w:id="4"/>
            </w:r>
            <w:r w:rsidRPr="00385835">
              <w:rPr>
                <w:rFonts w:ascii="Times New Roman" w:eastAsia="AngsanaUPC" w:hAnsi="Times New Roman"/>
                <w:b/>
                <w:bCs/>
                <w:sz w:val="24"/>
                <w:szCs w:val="24"/>
                <w:lang w:eastAsia="lt-LT"/>
              </w:rPr>
              <w:t xml:space="preserve"> ir skatinti sveiką senėjimą</w:t>
            </w:r>
          </w:p>
        </w:tc>
      </w:tr>
      <w:tr w:rsidR="00385835" w:rsidRPr="00385835" w:rsidTr="00385835">
        <w:tc>
          <w:tcPr>
            <w:tcW w:w="9746" w:type="dxa"/>
            <w:gridSpan w:val="2"/>
            <w:shd w:val="clear" w:color="auto" w:fill="auto"/>
          </w:tcPr>
          <w:p w:rsidR="00385835" w:rsidRPr="00385835" w:rsidRDefault="00385835" w:rsidP="00385835">
            <w:pPr>
              <w:widowControl w:val="0"/>
              <w:tabs>
                <w:tab w:val="left" w:pos="622"/>
              </w:tabs>
              <w:spacing w:after="0" w:line="240" w:lineRule="auto"/>
              <w:ind w:firstLine="624"/>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Duomenys rodo, kad dideli sveikatos ir jos priežiūros skirtumai egzistuoja tarp stabilias aukštas pajamas turinčių gyventojų ir tarp tų, kurių pajamos yra nereguliarios ir mažos, t. y. tarp asmenų, gyvenančių didžiųjų miestų savivaldybėse, ir tų, kurie gyvena rajonų savivaldybėse.</w:t>
            </w:r>
          </w:p>
          <w:p w:rsidR="00385835" w:rsidRPr="00385835" w:rsidRDefault="00385835" w:rsidP="00385835">
            <w:pPr>
              <w:widowControl w:val="0"/>
              <w:tabs>
                <w:tab w:val="left" w:pos="622"/>
              </w:tabs>
              <w:spacing w:after="0" w:line="240" w:lineRule="auto"/>
              <w:ind w:firstLine="624"/>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 xml:space="preserve">Intervencijomis į nurodytų tikslinių grupių sveikatos raštingumo didinimą ir sveikos gyvensenos įgūdžių formavimą, taip pat efektyvų sveikatos priežiūros sistemos funkcionavimą, tikslinėms grupėms bus užtikrinta efektyvi prieiga prie viešųjų kokybiškų sveikatos ugdymo, ligų profilaktikos, ankstyvosios diagnostikos ir specializuotų sveikatos priežiūros paslaugų tokiu būdu skatinant šiuos pažeidžiamus asmenis laiku ir pagal iškilusius sveikatos būklės poreikius </w:t>
            </w:r>
            <w:r w:rsidRPr="00385835">
              <w:rPr>
                <w:rFonts w:ascii="Times New Roman" w:eastAsia="AngsanaUPC" w:hAnsi="Times New Roman"/>
                <w:bCs/>
                <w:sz w:val="24"/>
                <w:szCs w:val="24"/>
                <w:lang w:eastAsia="lt-LT"/>
              </w:rPr>
              <w:lastRenderedPageBreak/>
              <w:t>pasinaudoti prieinamomis ir priimtinomis paslaugomis bei sudarant prielaidas jų ilgesniam ir sveikesniam gyvenimui, mažesnei priešlaikinių mirčių rizikai bei psichinės ir fizinės sveikatos lygio skirtumų mažėjimui.</w:t>
            </w:r>
          </w:p>
          <w:p w:rsidR="00385835" w:rsidRPr="00385835" w:rsidRDefault="00385835" w:rsidP="00385835">
            <w:pPr>
              <w:widowControl w:val="0"/>
              <w:tabs>
                <w:tab w:val="left" w:pos="622"/>
              </w:tabs>
              <w:spacing w:after="0" w:line="240" w:lineRule="auto"/>
              <w:ind w:firstLine="624"/>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Siekiant neutralizuoti neigiamą senėjimo bei demografinių pasekmių poveikį, numatoma įgyvendinti vyresnio amžiaus žmonių (55 metų ir vyresnių) sveiką senėjimą skatinančias intervencijas. Investicijos į šios tikslinės grupės asmenų sveikos gyvensenos ugdymą, kokybiškų prevencinių ir specializuotų sveikatos priežiūros paslaugų prieinamumo užtikrinimą sudarys galimybes stiprinti vyresnio amžiaus asmenų sveikatą, prailginti jų sveiką ir produktyvų amžių, tokiu būdu mažinant neigiamą sveikatos sutrikimų poveikį gyvenimo kokybei, savarankiškumui ir nepriklausomumui bei atitinkamai užkertant kelią šių asmenų socialinės atskirties ir skurdo rizikai.</w:t>
            </w:r>
          </w:p>
        </w:tc>
      </w:tr>
    </w:tbl>
    <w:p w:rsidR="007E588C" w:rsidRPr="00385835" w:rsidRDefault="007E588C"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535"/>
        <w:gridCol w:w="2442"/>
        <w:gridCol w:w="992"/>
        <w:gridCol w:w="993"/>
        <w:gridCol w:w="708"/>
        <w:gridCol w:w="426"/>
        <w:gridCol w:w="708"/>
        <w:gridCol w:w="709"/>
        <w:gridCol w:w="567"/>
        <w:gridCol w:w="992"/>
        <w:gridCol w:w="674"/>
      </w:tblGrid>
      <w:tr w:rsidR="00385835" w:rsidRPr="00385835" w:rsidTr="00385835">
        <w:trPr>
          <w:tblHeader/>
        </w:trPr>
        <w:tc>
          <w:tcPr>
            <w:tcW w:w="9746" w:type="dxa"/>
            <w:gridSpan w:val="11"/>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i/>
                <w:iCs/>
                <w:sz w:val="24"/>
                <w:szCs w:val="24"/>
                <w:lang w:eastAsia="lt-LT"/>
              </w:rPr>
            </w:pPr>
            <w:r w:rsidRPr="00385835">
              <w:rPr>
                <w:rFonts w:ascii="Times New Roman" w:eastAsia="AngsanaUPC" w:hAnsi="Times New Roman"/>
                <w:b/>
                <w:bCs/>
                <w:i/>
                <w:iCs/>
                <w:sz w:val="24"/>
                <w:szCs w:val="24"/>
                <w:lang w:eastAsia="lt-LT"/>
              </w:rPr>
              <w:t xml:space="preserve">ESF </w:t>
            </w:r>
            <w:r w:rsidR="00A9401B">
              <w:rPr>
                <w:rFonts w:ascii="Times New Roman" w:eastAsia="AngsanaUPC" w:hAnsi="Times New Roman"/>
                <w:b/>
                <w:bCs/>
                <w:i/>
                <w:iCs/>
                <w:sz w:val="24"/>
                <w:szCs w:val="24"/>
                <w:lang w:eastAsia="lt-LT"/>
              </w:rPr>
              <w:t xml:space="preserve">bendrieji ir </w:t>
            </w:r>
            <w:r w:rsidR="006827C9">
              <w:rPr>
                <w:rFonts w:ascii="Times New Roman" w:eastAsia="AngsanaUPC" w:hAnsi="Times New Roman"/>
                <w:b/>
                <w:bCs/>
                <w:i/>
                <w:iCs/>
                <w:sz w:val="24"/>
                <w:szCs w:val="24"/>
                <w:lang w:eastAsia="lt-LT"/>
              </w:rPr>
              <w:t>specialieji</w:t>
            </w:r>
            <w:r w:rsidR="006827C9" w:rsidRPr="00385835">
              <w:rPr>
                <w:rFonts w:ascii="Times New Roman" w:eastAsia="AngsanaUPC" w:hAnsi="Times New Roman"/>
                <w:b/>
                <w:bCs/>
                <w:i/>
                <w:iCs/>
                <w:sz w:val="24"/>
                <w:szCs w:val="24"/>
                <w:lang w:eastAsia="lt-LT"/>
              </w:rPr>
              <w:t xml:space="preserve"> </w:t>
            </w:r>
            <w:r w:rsidRPr="00385835">
              <w:rPr>
                <w:rFonts w:ascii="Times New Roman" w:eastAsia="AngsanaUPC" w:hAnsi="Times New Roman"/>
                <w:b/>
                <w:bCs/>
                <w:i/>
                <w:iCs/>
                <w:sz w:val="24"/>
                <w:szCs w:val="24"/>
                <w:lang w:eastAsia="lt-LT"/>
              </w:rPr>
              <w:t>programos rezultato rodikliai</w:t>
            </w:r>
          </w:p>
        </w:tc>
      </w:tr>
      <w:tr w:rsidR="00385835" w:rsidRPr="00385835" w:rsidTr="00385835">
        <w:tblPrEx>
          <w:shd w:val="clear" w:color="auto" w:fill="auto"/>
        </w:tblPrEx>
        <w:trPr>
          <w:cantSplit/>
          <w:trHeight w:val="1837"/>
          <w:tblHeader/>
        </w:trPr>
        <w:tc>
          <w:tcPr>
            <w:tcW w:w="535"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Nr.</w:t>
            </w:r>
          </w:p>
        </w:tc>
        <w:tc>
          <w:tcPr>
            <w:tcW w:w="2442"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Rodiklio pavadinimas</w:t>
            </w:r>
          </w:p>
        </w:tc>
        <w:tc>
          <w:tcPr>
            <w:tcW w:w="992"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Regiono kategorija</w:t>
            </w:r>
          </w:p>
        </w:tc>
        <w:tc>
          <w:tcPr>
            <w:tcW w:w="993"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Matavimo vienetas</w:t>
            </w:r>
          </w:p>
        </w:tc>
        <w:tc>
          <w:tcPr>
            <w:tcW w:w="708"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Bendrasis produkto rodiklis, naudotas kaip pagrindas</w:t>
            </w:r>
          </w:p>
        </w:tc>
        <w:tc>
          <w:tcPr>
            <w:tcW w:w="426"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 reikšmė</w:t>
            </w:r>
          </w:p>
        </w:tc>
        <w:tc>
          <w:tcPr>
            <w:tcW w:w="708"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Pradinės ir siektinos reikšmės matavimo vienetai</w:t>
            </w:r>
          </w:p>
        </w:tc>
        <w:tc>
          <w:tcPr>
            <w:tcW w:w="709"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Pradinės reikšmės metai</w:t>
            </w:r>
          </w:p>
        </w:tc>
        <w:tc>
          <w:tcPr>
            <w:tcW w:w="567"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Siektina reikšmė (2023)</w:t>
            </w:r>
          </w:p>
        </w:tc>
        <w:tc>
          <w:tcPr>
            <w:tcW w:w="992"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Duomenų šaltinis</w:t>
            </w:r>
          </w:p>
        </w:tc>
        <w:tc>
          <w:tcPr>
            <w:tcW w:w="674"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Atsiskaitymo dažnumas</w:t>
            </w:r>
          </w:p>
        </w:tc>
      </w:tr>
      <w:tr w:rsidR="00385835" w:rsidRPr="00385835" w:rsidTr="00385835">
        <w:tblPrEx>
          <w:shd w:val="clear" w:color="auto" w:fill="auto"/>
        </w:tblPrEx>
        <w:tc>
          <w:tcPr>
            <w:tcW w:w="535"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w:t>
            </w:r>
          </w:p>
        </w:tc>
        <w:tc>
          <w:tcPr>
            <w:tcW w:w="2442" w:type="dxa"/>
            <w:shd w:val="clear" w:color="auto" w:fill="auto"/>
            <w:vAlign w:val="center"/>
          </w:tcPr>
          <w:p w:rsidR="00385835" w:rsidRPr="00385835" w:rsidRDefault="00385835" w:rsidP="00385835">
            <w:pPr>
              <w:spacing w:after="0" w:line="240" w:lineRule="auto"/>
              <w:rPr>
                <w:rFonts w:ascii="Times New Roman" w:eastAsia="Times New Roman" w:hAnsi="Times New Roman"/>
                <w:bCs/>
                <w:sz w:val="18"/>
                <w:szCs w:val="18"/>
              </w:rPr>
            </w:pPr>
            <w:r w:rsidRPr="00385835">
              <w:rPr>
                <w:rFonts w:ascii="Times New Roman" w:eastAsia="Times New Roman" w:hAnsi="Times New Roman"/>
                <w:bCs/>
                <w:sz w:val="18"/>
                <w:szCs w:val="18"/>
              </w:rPr>
              <w:t>Didžiausiais sveikatos ir jos priežiūros prieinamumo netolygumais pasižyminčiuose regionuose gyvenančių asmenų, dalyvaujančių prevencinėse programose, dalis</w:t>
            </w:r>
          </w:p>
        </w:tc>
        <w:tc>
          <w:tcPr>
            <w:tcW w:w="992" w:type="dxa"/>
            <w:shd w:val="clear" w:color="auto" w:fill="auto"/>
            <w:vAlign w:val="center"/>
          </w:tcPr>
          <w:p w:rsidR="00385835" w:rsidRPr="00385835" w:rsidRDefault="00385835" w:rsidP="00385835">
            <w:pPr>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Mažiau išsivystęs</w:t>
            </w:r>
          </w:p>
        </w:tc>
        <w:tc>
          <w:tcPr>
            <w:tcW w:w="993" w:type="dxa"/>
            <w:shd w:val="clear" w:color="auto" w:fill="auto"/>
            <w:vAlign w:val="center"/>
          </w:tcPr>
          <w:p w:rsidR="00385835" w:rsidRPr="00385835" w:rsidRDefault="00385835" w:rsidP="00385835">
            <w:pPr>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 xml:space="preserve">Asmenys </w:t>
            </w:r>
          </w:p>
        </w:tc>
        <w:tc>
          <w:tcPr>
            <w:tcW w:w="708"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w:t>
            </w:r>
          </w:p>
        </w:tc>
        <w:tc>
          <w:tcPr>
            <w:tcW w:w="426" w:type="dxa"/>
            <w:shd w:val="clear" w:color="auto" w:fill="auto"/>
            <w:vAlign w:val="center"/>
          </w:tcPr>
          <w:p w:rsidR="00385835" w:rsidRPr="00385835" w:rsidRDefault="00385835" w:rsidP="00385835">
            <w:pPr>
              <w:widowControl w:val="0"/>
              <w:tabs>
                <w:tab w:val="left" w:pos="317"/>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15</w:t>
            </w:r>
          </w:p>
        </w:tc>
        <w:tc>
          <w:tcPr>
            <w:tcW w:w="708"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Proc.</w:t>
            </w:r>
          </w:p>
        </w:tc>
        <w:tc>
          <w:tcPr>
            <w:tcW w:w="709"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2014</w:t>
            </w:r>
          </w:p>
        </w:tc>
        <w:tc>
          <w:tcPr>
            <w:tcW w:w="56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val="en-US" w:eastAsia="lt-LT"/>
              </w:rPr>
              <w:t>35</w:t>
            </w:r>
          </w:p>
        </w:tc>
        <w:tc>
          <w:tcPr>
            <w:tcW w:w="992" w:type="dxa"/>
            <w:shd w:val="clear" w:color="auto" w:fill="auto"/>
            <w:vAlign w:val="center"/>
          </w:tcPr>
          <w:p w:rsidR="00385835" w:rsidRPr="00385835" w:rsidRDefault="00964001" w:rsidP="00DC55B6">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hAnsi="Times New Roman"/>
                <w:sz w:val="18"/>
                <w:szCs w:val="18"/>
                <w:shd w:val="clear" w:color="auto" w:fill="FFFFFF"/>
              </w:rPr>
              <w:t>Tyrimas</w:t>
            </w:r>
            <w:r w:rsidRPr="00385835" w:rsidDel="00964001">
              <w:rPr>
                <w:rFonts w:ascii="Times New Roman" w:eastAsia="AngsanaUPC" w:hAnsi="Times New Roman"/>
                <w:bCs/>
                <w:iCs/>
                <w:sz w:val="18"/>
                <w:szCs w:val="18"/>
                <w:lang w:eastAsia="lt-LT"/>
              </w:rPr>
              <w:t xml:space="preserve"> </w:t>
            </w:r>
          </w:p>
        </w:tc>
        <w:tc>
          <w:tcPr>
            <w:tcW w:w="674" w:type="dxa"/>
            <w:shd w:val="clear" w:color="auto" w:fill="auto"/>
            <w:vAlign w:val="center"/>
          </w:tcPr>
          <w:p w:rsidR="00385835" w:rsidRPr="00385835" w:rsidRDefault="003C4705" w:rsidP="003C4705">
            <w:pPr>
              <w:widowControl w:val="0"/>
              <w:tabs>
                <w:tab w:val="left" w:pos="622"/>
              </w:tabs>
              <w:spacing w:after="0" w:line="240" w:lineRule="auto"/>
              <w:jc w:val="center"/>
              <w:rPr>
                <w:rFonts w:ascii="Times New Roman" w:eastAsia="AngsanaUPC" w:hAnsi="Times New Roman"/>
                <w:bCs/>
                <w:iCs/>
                <w:sz w:val="18"/>
                <w:szCs w:val="18"/>
                <w:lang w:eastAsia="lt-LT"/>
              </w:rPr>
            </w:pPr>
            <w:r>
              <w:rPr>
                <w:rFonts w:ascii="Times New Roman" w:eastAsia="AngsanaUPC" w:hAnsi="Times New Roman"/>
                <w:bCs/>
                <w:iCs/>
                <w:sz w:val="18"/>
                <w:szCs w:val="18"/>
                <w:lang w:eastAsia="lt-LT"/>
              </w:rPr>
              <w:t>3 kartus per laiko</w:t>
            </w:r>
            <w:proofErr w:type="gramStart"/>
            <w:r>
              <w:rPr>
                <w:rFonts w:ascii="Times New Roman" w:eastAsia="AngsanaUPC" w:hAnsi="Times New Roman"/>
                <w:bCs/>
                <w:iCs/>
                <w:sz w:val="18"/>
                <w:szCs w:val="18"/>
                <w:lang w:eastAsia="lt-LT"/>
              </w:rPr>
              <w:t>-</w:t>
            </w:r>
            <w:proofErr w:type="gramEnd"/>
            <w:r w:rsidR="00964001" w:rsidRPr="00385835">
              <w:rPr>
                <w:rFonts w:ascii="Times New Roman" w:eastAsia="AngsanaUPC" w:hAnsi="Times New Roman"/>
                <w:bCs/>
                <w:iCs/>
                <w:sz w:val="18"/>
                <w:szCs w:val="18"/>
                <w:lang w:eastAsia="lt-LT"/>
              </w:rPr>
              <w:t>tarpį</w:t>
            </w:r>
            <w:r w:rsidR="00964001" w:rsidRPr="00385835" w:rsidDel="00964001">
              <w:rPr>
                <w:rFonts w:ascii="Times New Roman" w:eastAsia="AngsanaUPC" w:hAnsi="Times New Roman"/>
                <w:bCs/>
                <w:iCs/>
                <w:sz w:val="18"/>
                <w:szCs w:val="18"/>
                <w:lang w:eastAsia="lt-LT"/>
              </w:rPr>
              <w:t xml:space="preserve"> </w:t>
            </w:r>
          </w:p>
        </w:tc>
      </w:tr>
      <w:tr w:rsidR="005A6B3E" w:rsidRPr="00385835" w:rsidTr="00385835">
        <w:tblPrEx>
          <w:shd w:val="clear" w:color="auto" w:fill="auto"/>
        </w:tblPrEx>
        <w:tc>
          <w:tcPr>
            <w:tcW w:w="535" w:type="dxa"/>
            <w:shd w:val="clear" w:color="auto" w:fill="auto"/>
            <w:vAlign w:val="center"/>
          </w:tcPr>
          <w:p w:rsidR="005A6B3E" w:rsidRPr="00385835" w:rsidRDefault="005A6B3E"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w:t>
            </w:r>
          </w:p>
        </w:tc>
        <w:tc>
          <w:tcPr>
            <w:tcW w:w="2442" w:type="dxa"/>
            <w:shd w:val="clear" w:color="auto" w:fill="auto"/>
          </w:tcPr>
          <w:p w:rsidR="005A6B3E" w:rsidRPr="00385835" w:rsidRDefault="005A6B3E" w:rsidP="00385835">
            <w:pPr>
              <w:spacing w:after="0" w:line="240" w:lineRule="auto"/>
              <w:rPr>
                <w:rFonts w:ascii="Times New Roman" w:hAnsi="Times New Roman"/>
                <w:sz w:val="18"/>
                <w:szCs w:val="18"/>
              </w:rPr>
            </w:pPr>
            <w:r w:rsidRPr="00385835">
              <w:rPr>
                <w:rFonts w:ascii="Times New Roman" w:eastAsia="Times New Roman" w:hAnsi="Times New Roman"/>
                <w:bCs/>
                <w:sz w:val="18"/>
                <w:szCs w:val="18"/>
              </w:rPr>
              <w:t xml:space="preserve">Tikslinių grupių asmenų, pakeitusių gyvenseną dėl sveikatos įgyvendinus ESF lėšomis finansuotas visuomenės informavimo, švietimo ir mokymo veiklas (sveikos gyvensenos, sveikatos išsaugojimo ir stiprinimo, ligų prevencijos temomis), dalis </w:t>
            </w:r>
          </w:p>
        </w:tc>
        <w:tc>
          <w:tcPr>
            <w:tcW w:w="992" w:type="dxa"/>
            <w:shd w:val="clear" w:color="auto" w:fill="auto"/>
            <w:vAlign w:val="center"/>
          </w:tcPr>
          <w:p w:rsidR="005A6B3E" w:rsidRPr="00385835" w:rsidRDefault="005A6B3E" w:rsidP="00385835">
            <w:pPr>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Mažiau išsivystęs</w:t>
            </w:r>
          </w:p>
        </w:tc>
        <w:tc>
          <w:tcPr>
            <w:tcW w:w="993" w:type="dxa"/>
            <w:shd w:val="clear" w:color="auto" w:fill="auto"/>
            <w:vAlign w:val="center"/>
          </w:tcPr>
          <w:p w:rsidR="005A6B3E" w:rsidRPr="00385835" w:rsidRDefault="005A6B3E" w:rsidP="00385835">
            <w:pPr>
              <w:spacing w:after="0" w:line="240" w:lineRule="auto"/>
              <w:jc w:val="center"/>
              <w:rPr>
                <w:rFonts w:ascii="Times New Roman" w:hAnsi="Times New Roman"/>
                <w:sz w:val="18"/>
                <w:szCs w:val="18"/>
              </w:rPr>
            </w:pPr>
            <w:r w:rsidRPr="00385835">
              <w:rPr>
                <w:rFonts w:ascii="Times New Roman" w:hAnsi="Times New Roman"/>
                <w:sz w:val="18"/>
                <w:szCs w:val="18"/>
              </w:rPr>
              <w:t>Asmenys</w:t>
            </w:r>
          </w:p>
        </w:tc>
        <w:tc>
          <w:tcPr>
            <w:tcW w:w="708" w:type="dxa"/>
            <w:shd w:val="clear" w:color="auto" w:fill="auto"/>
            <w:vAlign w:val="center"/>
          </w:tcPr>
          <w:p w:rsidR="005A6B3E" w:rsidRPr="00385835" w:rsidRDefault="005A6B3E" w:rsidP="00385835">
            <w:pPr>
              <w:spacing w:after="0" w:line="240" w:lineRule="auto"/>
              <w:jc w:val="center"/>
              <w:rPr>
                <w:rFonts w:ascii="Times New Roman" w:hAnsi="Times New Roman"/>
                <w:sz w:val="18"/>
                <w:szCs w:val="18"/>
              </w:rPr>
            </w:pPr>
            <w:r w:rsidRPr="00385835">
              <w:rPr>
                <w:rFonts w:ascii="Times New Roman" w:hAnsi="Times New Roman"/>
                <w:sz w:val="18"/>
                <w:szCs w:val="18"/>
              </w:rPr>
              <w:t>-</w:t>
            </w:r>
          </w:p>
        </w:tc>
        <w:tc>
          <w:tcPr>
            <w:tcW w:w="426" w:type="dxa"/>
            <w:shd w:val="clear" w:color="auto" w:fill="auto"/>
            <w:vAlign w:val="center"/>
          </w:tcPr>
          <w:p w:rsidR="005A6B3E" w:rsidRPr="00385835" w:rsidRDefault="005A6B3E" w:rsidP="00385835">
            <w:pPr>
              <w:spacing w:after="0" w:line="240" w:lineRule="auto"/>
              <w:jc w:val="center"/>
              <w:rPr>
                <w:rFonts w:ascii="Times New Roman" w:hAnsi="Times New Roman"/>
                <w:sz w:val="18"/>
                <w:szCs w:val="18"/>
              </w:rPr>
            </w:pPr>
            <w:r w:rsidRPr="00385835">
              <w:rPr>
                <w:rFonts w:ascii="Times New Roman" w:hAnsi="Times New Roman"/>
                <w:sz w:val="18"/>
                <w:szCs w:val="18"/>
              </w:rPr>
              <w:t>21</w:t>
            </w:r>
          </w:p>
        </w:tc>
        <w:tc>
          <w:tcPr>
            <w:tcW w:w="708" w:type="dxa"/>
            <w:shd w:val="clear" w:color="auto" w:fill="auto"/>
            <w:vAlign w:val="center"/>
          </w:tcPr>
          <w:p w:rsidR="005A6B3E" w:rsidRPr="00385835" w:rsidRDefault="005A6B3E" w:rsidP="00385835">
            <w:pPr>
              <w:spacing w:after="0" w:line="240" w:lineRule="auto"/>
              <w:jc w:val="center"/>
              <w:rPr>
                <w:rFonts w:ascii="Times New Roman" w:hAnsi="Times New Roman"/>
                <w:sz w:val="18"/>
                <w:szCs w:val="18"/>
              </w:rPr>
            </w:pPr>
            <w:r w:rsidRPr="00385835">
              <w:rPr>
                <w:rFonts w:ascii="Times New Roman" w:hAnsi="Times New Roman"/>
                <w:sz w:val="18"/>
                <w:szCs w:val="18"/>
              </w:rPr>
              <w:t>Proc.</w:t>
            </w:r>
          </w:p>
        </w:tc>
        <w:tc>
          <w:tcPr>
            <w:tcW w:w="709" w:type="dxa"/>
            <w:shd w:val="clear" w:color="auto" w:fill="auto"/>
            <w:vAlign w:val="center"/>
          </w:tcPr>
          <w:p w:rsidR="005A6B3E" w:rsidRPr="00385835" w:rsidRDefault="005A6B3E" w:rsidP="00385835">
            <w:pPr>
              <w:spacing w:after="0" w:line="240" w:lineRule="auto"/>
              <w:jc w:val="center"/>
              <w:rPr>
                <w:rFonts w:ascii="Times New Roman" w:hAnsi="Times New Roman"/>
                <w:sz w:val="18"/>
                <w:szCs w:val="18"/>
              </w:rPr>
            </w:pPr>
            <w:r w:rsidRPr="00385835">
              <w:rPr>
                <w:rFonts w:ascii="Times New Roman" w:hAnsi="Times New Roman"/>
                <w:sz w:val="18"/>
                <w:szCs w:val="18"/>
              </w:rPr>
              <w:t>2014</w:t>
            </w:r>
          </w:p>
        </w:tc>
        <w:tc>
          <w:tcPr>
            <w:tcW w:w="567" w:type="dxa"/>
            <w:shd w:val="clear" w:color="auto" w:fill="auto"/>
            <w:vAlign w:val="center"/>
          </w:tcPr>
          <w:p w:rsidR="005A6B3E" w:rsidRPr="00385835" w:rsidRDefault="005A6B3E" w:rsidP="00385835">
            <w:pPr>
              <w:spacing w:after="0" w:line="240" w:lineRule="auto"/>
              <w:jc w:val="center"/>
              <w:rPr>
                <w:rFonts w:ascii="Times New Roman" w:hAnsi="Times New Roman"/>
                <w:sz w:val="18"/>
                <w:szCs w:val="18"/>
              </w:rPr>
            </w:pPr>
            <w:r w:rsidRPr="00385835">
              <w:rPr>
                <w:rFonts w:ascii="Times New Roman" w:hAnsi="Times New Roman"/>
                <w:sz w:val="18"/>
                <w:szCs w:val="18"/>
              </w:rPr>
              <w:t>26</w:t>
            </w:r>
          </w:p>
        </w:tc>
        <w:tc>
          <w:tcPr>
            <w:tcW w:w="992" w:type="dxa"/>
            <w:shd w:val="clear" w:color="auto" w:fill="auto"/>
            <w:vAlign w:val="center"/>
          </w:tcPr>
          <w:p w:rsidR="005A6B3E" w:rsidRPr="00385835" w:rsidRDefault="005A6B3E" w:rsidP="00DC55B6">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hAnsi="Times New Roman"/>
                <w:sz w:val="18"/>
                <w:szCs w:val="18"/>
                <w:shd w:val="clear" w:color="auto" w:fill="FFFFFF"/>
              </w:rPr>
              <w:t>Tyrimas</w:t>
            </w:r>
            <w:r w:rsidRPr="00385835" w:rsidDel="00964001">
              <w:rPr>
                <w:rFonts w:ascii="Times New Roman" w:eastAsia="AngsanaUPC" w:hAnsi="Times New Roman"/>
                <w:bCs/>
                <w:iCs/>
                <w:sz w:val="18"/>
                <w:szCs w:val="18"/>
                <w:lang w:eastAsia="lt-LT"/>
              </w:rPr>
              <w:t xml:space="preserve"> </w:t>
            </w:r>
          </w:p>
        </w:tc>
        <w:tc>
          <w:tcPr>
            <w:tcW w:w="674" w:type="dxa"/>
            <w:shd w:val="clear" w:color="auto" w:fill="auto"/>
            <w:vAlign w:val="center"/>
          </w:tcPr>
          <w:p w:rsidR="005A6B3E" w:rsidRPr="00385835" w:rsidRDefault="005A6B3E" w:rsidP="00D45648">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3 kartus per laiko</w:t>
            </w:r>
            <w:proofErr w:type="gramStart"/>
            <w:r w:rsidR="003C4705">
              <w:rPr>
                <w:rFonts w:ascii="Times New Roman" w:eastAsia="AngsanaUPC" w:hAnsi="Times New Roman"/>
                <w:bCs/>
                <w:iCs/>
                <w:sz w:val="18"/>
                <w:szCs w:val="18"/>
                <w:lang w:eastAsia="lt-LT"/>
              </w:rPr>
              <w:t>-</w:t>
            </w:r>
            <w:proofErr w:type="gramEnd"/>
            <w:r w:rsidRPr="00385835">
              <w:rPr>
                <w:rFonts w:ascii="Times New Roman" w:eastAsia="AngsanaUPC" w:hAnsi="Times New Roman"/>
                <w:bCs/>
                <w:iCs/>
                <w:sz w:val="18"/>
                <w:szCs w:val="18"/>
                <w:lang w:eastAsia="lt-LT"/>
              </w:rPr>
              <w:t>tarpį</w:t>
            </w:r>
            <w:r w:rsidRPr="00385835" w:rsidDel="00964001">
              <w:rPr>
                <w:rFonts w:ascii="Times New Roman" w:eastAsia="AngsanaUPC" w:hAnsi="Times New Roman"/>
                <w:bCs/>
                <w:iCs/>
                <w:sz w:val="18"/>
                <w:szCs w:val="18"/>
                <w:lang w:eastAsia="lt-LT"/>
              </w:rPr>
              <w:t xml:space="preserve"> </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385835" w:rsidRPr="00385835" w:rsidTr="00385835">
        <w:tc>
          <w:tcPr>
            <w:tcW w:w="9746" w:type="dxa"/>
            <w:tcBorders>
              <w:top w:val="single" w:sz="4" w:space="0" w:color="auto"/>
              <w:left w:val="single" w:sz="4" w:space="0" w:color="auto"/>
              <w:bottom w:val="single" w:sz="4" w:space="0" w:color="auto"/>
              <w:right w:val="single" w:sz="4" w:space="0" w:color="auto"/>
            </w:tcBorders>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Cs/>
                <w:iCs/>
                <w:sz w:val="24"/>
                <w:szCs w:val="24"/>
                <w:lang w:eastAsia="lt-LT"/>
              </w:rPr>
            </w:pPr>
            <w:r w:rsidRPr="00385835">
              <w:rPr>
                <w:rFonts w:ascii="Times New Roman" w:eastAsia="AngsanaUPC" w:hAnsi="Times New Roman"/>
                <w:b/>
                <w:bCs/>
                <w:i/>
                <w:iCs/>
                <w:sz w:val="24"/>
                <w:szCs w:val="24"/>
                <w:lang w:eastAsia="lt-LT"/>
              </w:rPr>
              <w:t>8.4. Investicinio prioriteto įgyvendinimo veiklos</w:t>
            </w:r>
          </w:p>
        </w:tc>
      </w:tr>
      <w:tr w:rsidR="00385835" w:rsidRPr="00385835" w:rsidTr="00385835">
        <w:tc>
          <w:tcPr>
            <w:tcW w:w="9746" w:type="dxa"/>
            <w:shd w:val="clear" w:color="auto" w:fill="auto"/>
          </w:tcPr>
          <w:p w:rsidR="00385835" w:rsidRPr="00385835" w:rsidRDefault="00385835" w:rsidP="00385835">
            <w:pPr>
              <w:widowControl w:val="0"/>
              <w:tabs>
                <w:tab w:val="left" w:pos="459"/>
              </w:tabs>
              <w:spacing w:after="0" w:line="240" w:lineRule="auto"/>
              <w:ind w:left="34"/>
              <w:jc w:val="both"/>
              <w:rPr>
                <w:rFonts w:ascii="Times New Roman" w:eastAsia="AngsanaUPC" w:hAnsi="Times New Roman"/>
                <w:bCs/>
                <w:i/>
                <w:iCs/>
                <w:sz w:val="24"/>
                <w:szCs w:val="24"/>
                <w:lang w:eastAsia="lt-LT"/>
              </w:rPr>
            </w:pPr>
            <w:r w:rsidRPr="00385835">
              <w:rPr>
                <w:rFonts w:ascii="Times New Roman" w:eastAsia="AngsanaUPC" w:hAnsi="Times New Roman"/>
                <w:bCs/>
                <w:i/>
                <w:iCs/>
                <w:sz w:val="24"/>
                <w:szCs w:val="24"/>
                <w:lang w:eastAsia="lt-LT"/>
              </w:rPr>
              <w:t>8.4.1. konkretaus uždavinio veiklos:</w:t>
            </w:r>
          </w:p>
          <w:p w:rsidR="00385835" w:rsidRPr="00385835" w:rsidRDefault="00385835" w:rsidP="00650E41">
            <w:pPr>
              <w:widowControl w:val="0"/>
              <w:numPr>
                <w:ilvl w:val="0"/>
                <w:numId w:val="12"/>
              </w:numPr>
              <w:tabs>
                <w:tab w:val="left" w:pos="459"/>
              </w:tabs>
              <w:spacing w:after="0" w:line="240" w:lineRule="auto"/>
              <w:ind w:left="34"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Parama nestacionarių ir bendruomeninių paslaugų kūrimui ir teikimui, siekiant, kad Lietuvoje būtų teikiamos alternatyvios stacionariai globai paslaugos (įskaitant paslaugas, kurios yra aktualios įgyvendinant deinstitucionalizacijos procesą) ir šeimose prižiūrimiems asmenims paslaugos, siekiant</w:t>
            </w:r>
            <w:r w:rsidR="00CE1999">
              <w:rPr>
                <w:rFonts w:ascii="Times New Roman" w:eastAsia="AngsanaUPC" w:hAnsi="Times New Roman"/>
                <w:bCs/>
                <w:iCs/>
                <w:sz w:val="24"/>
                <w:szCs w:val="24"/>
                <w:lang w:eastAsia="lt-LT"/>
              </w:rPr>
              <w:t>,</w:t>
            </w:r>
            <w:r w:rsidRPr="00385835">
              <w:rPr>
                <w:rFonts w:ascii="Times New Roman" w:eastAsia="AngsanaUPC" w:hAnsi="Times New Roman"/>
                <w:bCs/>
                <w:iCs/>
                <w:sz w:val="24"/>
                <w:szCs w:val="24"/>
                <w:lang w:eastAsia="lt-LT"/>
              </w:rPr>
              <w:t xml:space="preserve"> kad juos prižiūrintiems asmenims būtų sudarytos geresnės sąlygos įgyti, patobulin</w:t>
            </w:r>
            <w:r w:rsidR="00CE1999">
              <w:rPr>
                <w:rFonts w:ascii="Times New Roman" w:eastAsia="AngsanaUPC" w:hAnsi="Times New Roman"/>
                <w:bCs/>
                <w:iCs/>
                <w:sz w:val="24"/>
                <w:szCs w:val="24"/>
                <w:lang w:eastAsia="lt-LT"/>
              </w:rPr>
              <w:t>ti profesinę kvalifikaciją ir /</w:t>
            </w:r>
            <w:r w:rsidRPr="00385835">
              <w:rPr>
                <w:rFonts w:ascii="Times New Roman" w:eastAsia="AngsanaUPC" w:hAnsi="Times New Roman"/>
                <w:bCs/>
                <w:iCs/>
                <w:sz w:val="24"/>
                <w:szCs w:val="24"/>
                <w:lang w:eastAsia="lt-LT"/>
              </w:rPr>
              <w:t>arba dalyvauti darbo rinkoje. Remiamos „apsaugoto būsto“, socialinės reabilitacijos, psichosocialinės pagalbos, socialinių įgūdžių ugdymo, laikino „atokvėpio“, dienos užimtumo, asmeninio socialinio darbuotojo („palydėjimo“), šeimų konsultavimo, integralios pagalbos į namus, krizių įveikimo ir kt. socialinės paslaugos. Taip pat skatinama vaikų globa šeimose: visuomenės informavimas, mokymai globėjams, globėjų konsultavimas ir (savi)</w:t>
            </w:r>
            <w:r w:rsidR="00CE1999">
              <w:rPr>
                <w:rFonts w:ascii="Times New Roman" w:eastAsia="AngsanaUPC" w:hAnsi="Times New Roman"/>
                <w:bCs/>
                <w:iCs/>
                <w:sz w:val="24"/>
                <w:szCs w:val="24"/>
                <w:lang w:eastAsia="lt-LT"/>
              </w:rPr>
              <w:t xml:space="preserve"> </w:t>
            </w:r>
            <w:r w:rsidRPr="00385835">
              <w:rPr>
                <w:rFonts w:ascii="Times New Roman" w:eastAsia="AngsanaUPC" w:hAnsi="Times New Roman"/>
                <w:bCs/>
                <w:iCs/>
                <w:sz w:val="24"/>
                <w:szCs w:val="24"/>
                <w:lang w:eastAsia="lt-LT"/>
              </w:rPr>
              <w:t>pagalbos tinklų kūrimas.</w:t>
            </w:r>
          </w:p>
          <w:p w:rsidR="00385835" w:rsidRPr="00385835" w:rsidRDefault="00385835" w:rsidP="00650E41">
            <w:pPr>
              <w:widowControl w:val="0"/>
              <w:numPr>
                <w:ilvl w:val="0"/>
                <w:numId w:val="12"/>
              </w:numPr>
              <w:tabs>
                <w:tab w:val="left" w:pos="459"/>
              </w:tabs>
              <w:spacing w:after="0" w:line="240" w:lineRule="auto"/>
              <w:ind w:left="34"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Kompleksinės paslaugos šeimoms ir jų vaikams: psichologinė pagalba tėvams, mokymas, konsultavimas, tėvystės įgūdžių ugdymas, savipagalbos grupių steigimas; s</w:t>
            </w:r>
            <w:r w:rsidRPr="00385835" w:rsidDel="002134DD">
              <w:rPr>
                <w:rFonts w:ascii="Times New Roman" w:eastAsia="AngsanaUPC" w:hAnsi="Times New Roman"/>
                <w:bCs/>
                <w:iCs/>
                <w:sz w:val="24"/>
                <w:szCs w:val="24"/>
                <w:lang w:eastAsia="lt-LT"/>
              </w:rPr>
              <w:t>ocialinės, sveikatos ir kitos paslaugos, skirtos padėti tėvams išsigydyti priklausomybes, atsisakyti smurto, įgyti socialinius įgūdžius ir integruotis į visuomenę</w:t>
            </w:r>
            <w:r w:rsidRPr="00385835">
              <w:rPr>
                <w:rFonts w:ascii="Times New Roman" w:eastAsia="AngsanaUPC" w:hAnsi="Times New Roman"/>
                <w:bCs/>
                <w:iCs/>
                <w:sz w:val="24"/>
                <w:szCs w:val="24"/>
                <w:lang w:eastAsia="lt-LT"/>
              </w:rPr>
              <w:t>; p</w:t>
            </w:r>
            <w:r w:rsidRPr="00385835" w:rsidDel="002134DD">
              <w:rPr>
                <w:rFonts w:ascii="Times New Roman" w:eastAsia="AngsanaUPC" w:hAnsi="Times New Roman"/>
                <w:bCs/>
                <w:iCs/>
                <w:sz w:val="24"/>
                <w:szCs w:val="24"/>
                <w:lang w:eastAsia="lt-LT"/>
              </w:rPr>
              <w:t xml:space="preserve">sichologinė pagalba ir kitos reikalingos paslaugos </w:t>
            </w:r>
            <w:proofErr w:type="gramStart"/>
            <w:r w:rsidRPr="00385835" w:rsidDel="002134DD">
              <w:rPr>
                <w:rFonts w:ascii="Times New Roman" w:eastAsia="AngsanaUPC" w:hAnsi="Times New Roman"/>
                <w:bCs/>
                <w:iCs/>
                <w:sz w:val="24"/>
                <w:szCs w:val="24"/>
                <w:lang w:eastAsia="lt-LT"/>
              </w:rPr>
              <w:t>(</w:t>
            </w:r>
            <w:proofErr w:type="gramEnd"/>
            <w:r w:rsidRPr="00385835" w:rsidDel="002134DD">
              <w:rPr>
                <w:rFonts w:ascii="Times New Roman" w:eastAsia="AngsanaUPC" w:hAnsi="Times New Roman"/>
                <w:bCs/>
                <w:iCs/>
                <w:sz w:val="24"/>
                <w:szCs w:val="24"/>
                <w:lang w:eastAsia="lt-LT"/>
              </w:rPr>
              <w:t xml:space="preserve">įskaitant popamokinio ugdymo, sveikatos priežiūros ir kt.) vaikams, gyvenantiems rizikos ar </w:t>
            </w:r>
            <w:r w:rsidRPr="00385835" w:rsidDel="002134DD">
              <w:rPr>
                <w:rFonts w:ascii="Times New Roman" w:eastAsia="AngsanaUPC" w:hAnsi="Times New Roman"/>
                <w:bCs/>
                <w:iCs/>
                <w:sz w:val="24"/>
                <w:szCs w:val="24"/>
                <w:lang w:eastAsia="lt-LT"/>
              </w:rPr>
              <w:lastRenderedPageBreak/>
              <w:t>pažeidžiamose šeimose, taip pat vaikams turintiems elgesio, emo</w:t>
            </w:r>
            <w:r w:rsidRPr="00385835">
              <w:rPr>
                <w:rFonts w:ascii="Times New Roman" w:eastAsia="AngsanaUPC" w:hAnsi="Times New Roman"/>
                <w:bCs/>
                <w:iCs/>
                <w:sz w:val="24"/>
                <w:szCs w:val="24"/>
                <w:lang w:eastAsia="lt-LT"/>
              </w:rPr>
              <w:t>cijų, psichikos sutrikimų; visuomenės švietimas apie smurtą šeimoje ir nepakantumo jam ugdymas; kitos reikalingos paslaugos. Kompleksinės paslaugos bus teikiamos arti šeimos arba pasitelkiant mobilius darbuotojus arba užtikrinant pavėžėjimą paslaugų gavėjams.</w:t>
            </w:r>
          </w:p>
          <w:p w:rsidR="00385835" w:rsidRPr="00385835" w:rsidRDefault="00385835" w:rsidP="00650E41">
            <w:pPr>
              <w:widowControl w:val="0"/>
              <w:numPr>
                <w:ilvl w:val="0"/>
                <w:numId w:val="12"/>
              </w:numPr>
              <w:tabs>
                <w:tab w:val="left" w:pos="459"/>
              </w:tabs>
              <w:spacing w:after="0" w:line="240" w:lineRule="auto"/>
              <w:ind w:left="34"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 xml:space="preserve">Socialinių paslaugų sistemos stiprinimas: </w:t>
            </w:r>
          </w:p>
          <w:p w:rsidR="00385835" w:rsidRPr="00385835" w:rsidRDefault="00385835" w:rsidP="00650E41">
            <w:pPr>
              <w:widowControl w:val="0"/>
              <w:numPr>
                <w:ilvl w:val="1"/>
                <w:numId w:val="50"/>
              </w:numPr>
              <w:tabs>
                <w:tab w:val="left" w:pos="459"/>
                <w:tab w:val="left" w:pos="743"/>
              </w:tabs>
              <w:spacing w:after="0" w:line="240" w:lineRule="auto"/>
              <w:ind w:left="34"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paslaugų kokybės, pasiūlos ir paklausos stebėsena, planavimas bei prognozavimas. Tvarių socialinių paslaugų finansavimo ir įgyvendinimo modelių sukūrimas (</w:t>
            </w:r>
            <w:r w:rsidR="00686878">
              <w:rPr>
                <w:rFonts w:ascii="Times New Roman" w:eastAsia="AngsanaUPC" w:hAnsi="Times New Roman"/>
                <w:bCs/>
                <w:iCs/>
                <w:sz w:val="24"/>
                <w:szCs w:val="24"/>
                <w:lang w:eastAsia="lt-LT"/>
              </w:rPr>
              <w:t>pavyzdžiui</w:t>
            </w:r>
            <w:r w:rsidRPr="00385835">
              <w:rPr>
                <w:rFonts w:ascii="Times New Roman" w:eastAsia="AngsanaUPC" w:hAnsi="Times New Roman"/>
                <w:bCs/>
                <w:iCs/>
                <w:sz w:val="24"/>
                <w:szCs w:val="24"/>
                <w:lang w:eastAsia="lt-LT"/>
              </w:rPr>
              <w:t xml:space="preserve">, numatant, kaip nukreipti institucinį stacionarių paslaugų finansavimą į bendruomeninių paslaugų teikimą). Socialines paslaugas organizuojančių ar teikiančių biudžetinių įstaigų ir NVO bendradarbiavimo skatinimas, įskaitant iniciatyvas, kurios padėtų įgyvendinti socialinių paslaugų plėtros planus ir koordinuoti socialinių paslaugų teikimą visos savivaldybės mastu. Parama iniciatyvoms, skatinančioms bendradarbiavimą tarp sektorių, tarp institucijų, tarp nacionalinio ir vietos lygmens teikiant ir kuriant socialines paslaugas. </w:t>
            </w:r>
          </w:p>
          <w:p w:rsidR="00385835" w:rsidRPr="00385835" w:rsidRDefault="00385835" w:rsidP="00650E41">
            <w:pPr>
              <w:widowControl w:val="0"/>
              <w:numPr>
                <w:ilvl w:val="1"/>
                <w:numId w:val="50"/>
              </w:numPr>
              <w:tabs>
                <w:tab w:val="left" w:pos="459"/>
                <w:tab w:val="left" w:pos="743"/>
              </w:tabs>
              <w:spacing w:after="0" w:line="240" w:lineRule="auto"/>
              <w:ind w:left="34"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socialines paslaugas administruojančių ir teikiančių darbuotojų, dirbančių tiek biudžetinėse įstaigose, tiek ir NVO kompetencijos tobulinimas (įskaitant paramą institucijose dirbusių darbuotojų persikvalifikavimui teikti socialines paslaugas bendruomenėje) ir kompetencijų vertinimas.</w:t>
            </w:r>
          </w:p>
          <w:p w:rsidR="00385835" w:rsidRPr="00385835" w:rsidRDefault="00385835" w:rsidP="00650E41">
            <w:pPr>
              <w:widowControl w:val="0"/>
              <w:numPr>
                <w:ilvl w:val="1"/>
                <w:numId w:val="50"/>
              </w:numPr>
              <w:tabs>
                <w:tab w:val="left" w:pos="459"/>
                <w:tab w:val="left" w:pos="743"/>
              </w:tabs>
              <w:spacing w:after="0" w:line="240" w:lineRule="auto"/>
              <w:ind w:left="34"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aktualūs tyrimai ir vertinimai, visuomenės informavimo priemonės.</w:t>
            </w:r>
          </w:p>
          <w:p w:rsidR="00385835" w:rsidRPr="00385835" w:rsidRDefault="00385835" w:rsidP="00385835">
            <w:pPr>
              <w:widowControl w:val="0"/>
              <w:tabs>
                <w:tab w:val="left" w:pos="459"/>
              </w:tabs>
              <w:spacing w:after="0" w:line="240" w:lineRule="auto"/>
              <w:ind w:left="34"/>
              <w:jc w:val="both"/>
              <w:rPr>
                <w:rFonts w:ascii="Times New Roman" w:eastAsia="AngsanaUPC" w:hAnsi="Times New Roman"/>
                <w:bCs/>
                <w:i/>
                <w:iCs/>
                <w:sz w:val="24"/>
                <w:szCs w:val="24"/>
                <w:lang w:eastAsia="lt-LT"/>
              </w:rPr>
            </w:pPr>
            <w:r w:rsidRPr="00385835">
              <w:rPr>
                <w:rFonts w:ascii="Times New Roman" w:eastAsia="AngsanaUPC" w:hAnsi="Times New Roman"/>
                <w:bCs/>
                <w:i/>
                <w:iCs/>
                <w:sz w:val="24"/>
                <w:szCs w:val="24"/>
                <w:lang w:eastAsia="lt-LT"/>
              </w:rPr>
              <w:t>8.4.2. konkretaus uždavinio veiklos:</w:t>
            </w:r>
          </w:p>
          <w:p w:rsidR="00385835" w:rsidRPr="00385835" w:rsidRDefault="00385835" w:rsidP="00650E41">
            <w:pPr>
              <w:widowControl w:val="0"/>
              <w:numPr>
                <w:ilvl w:val="0"/>
                <w:numId w:val="44"/>
              </w:numPr>
              <w:tabs>
                <w:tab w:val="left" w:pos="459"/>
              </w:tabs>
              <w:spacing w:after="0" w:line="240" w:lineRule="auto"/>
              <w:ind w:left="34"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Efektyvių ir inovatyvių sveikatos priežiūros paslaugų teikimo modelių ir sprendimų, skirtų gerinti sveikatos priežiūros (kraujotakos sistemos ligų, onkologinių susirgimų, cerebrovaskulinių ligų, išorinių priežasčių srityse) kokybę ir prieinamumą tikslinėms gyventojų grupėms, sukūrimas, išbandymas, diegimas ir plėtra, įgyvendinimo stebėsena ir efektyvumo vertinimas.</w:t>
            </w:r>
          </w:p>
          <w:p w:rsidR="00385835" w:rsidRPr="00385835" w:rsidRDefault="00385835" w:rsidP="00650E41">
            <w:pPr>
              <w:widowControl w:val="0"/>
              <w:numPr>
                <w:ilvl w:val="0"/>
                <w:numId w:val="44"/>
              </w:numPr>
              <w:tabs>
                <w:tab w:val="left" w:pos="459"/>
              </w:tabs>
              <w:spacing w:after="0" w:line="240" w:lineRule="auto"/>
              <w:ind w:left="34"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Visuomenės ir asmens sveikatos priežiūros, socialinių darbuotojų ir kitų dalyvių bendradarbiavimo pirminės sveikatos priežiūros lygmenyje modelių sukūrimas, išbandymas ir įdiegimas, sprendžiant svarbiausias sveikatos problemas, visų pirma</w:t>
            </w:r>
            <w:r w:rsidR="0025526E">
              <w:rPr>
                <w:rFonts w:ascii="Times New Roman" w:eastAsia="AngsanaUPC" w:hAnsi="Times New Roman"/>
                <w:bCs/>
                <w:iCs/>
                <w:sz w:val="24"/>
                <w:szCs w:val="24"/>
                <w:lang w:eastAsia="lt-LT"/>
              </w:rPr>
              <w:t>,</w:t>
            </w:r>
            <w:r w:rsidRPr="00385835">
              <w:rPr>
                <w:rFonts w:ascii="Times New Roman" w:eastAsia="AngsanaUPC" w:hAnsi="Times New Roman"/>
                <w:bCs/>
                <w:iCs/>
                <w:sz w:val="24"/>
                <w:szCs w:val="24"/>
                <w:lang w:eastAsia="lt-LT"/>
              </w:rPr>
              <w:t xml:space="preserve"> populiacijos poliligotumo, lėtinių neinfekcinių ir dėl socialinių veiksnių įtakos atsiradusių sveikatos sutrikimų problemas.</w:t>
            </w:r>
          </w:p>
          <w:p w:rsidR="00385835" w:rsidRPr="00385835" w:rsidRDefault="00385835" w:rsidP="00650E41">
            <w:pPr>
              <w:widowControl w:val="0"/>
              <w:numPr>
                <w:ilvl w:val="0"/>
                <w:numId w:val="44"/>
              </w:numPr>
              <w:tabs>
                <w:tab w:val="left" w:pos="459"/>
              </w:tabs>
              <w:spacing w:after="0" w:line="240" w:lineRule="auto"/>
              <w:ind w:left="34"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Reikalingų sveikatos specialistų pritraukimo į didžiausiais sveikatos ir kitų sveikatos paslaugų teikimui būtinų specialistų netolygumais tarp tikslinių gyventojų grupių pasižyminčių šalies regionų sveikatos priežiūros įstaigas.</w:t>
            </w:r>
          </w:p>
          <w:p w:rsidR="00385835" w:rsidRPr="00385835" w:rsidRDefault="00385835" w:rsidP="00650E41">
            <w:pPr>
              <w:widowControl w:val="0"/>
              <w:numPr>
                <w:ilvl w:val="0"/>
                <w:numId w:val="44"/>
              </w:numPr>
              <w:tabs>
                <w:tab w:val="left" w:pos="459"/>
              </w:tabs>
              <w:spacing w:after="0" w:line="240" w:lineRule="auto"/>
              <w:ind w:left="34"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Prevencijos bei kontrolės paslaugų teikimo koordinavimo, vadybos ir stebėsenos tobulinimas, siekiant didesnio prevencinių programų įgyvendinimo efektyvumo teritorijose, pasižyminčiose blogiausiais sveikatos rodikliais (</w:t>
            </w:r>
            <w:r w:rsidR="00686878">
              <w:rPr>
                <w:rFonts w:ascii="Times New Roman" w:eastAsia="AngsanaUPC" w:hAnsi="Times New Roman"/>
                <w:bCs/>
                <w:iCs/>
                <w:sz w:val="24"/>
                <w:szCs w:val="24"/>
                <w:lang w:eastAsia="lt-LT"/>
              </w:rPr>
              <w:t>pavyzdžiui</w:t>
            </w:r>
            <w:r w:rsidRPr="00385835">
              <w:rPr>
                <w:rFonts w:ascii="Times New Roman" w:eastAsia="AngsanaUPC" w:hAnsi="Times New Roman"/>
                <w:bCs/>
                <w:iCs/>
                <w:sz w:val="24"/>
                <w:szCs w:val="24"/>
                <w:lang w:eastAsia="lt-LT"/>
              </w:rPr>
              <w:t>, pirminės sveikatos priežiūros veiklos integracijos modelio, naudojant „atvejo vadybos“ principą sukūrimas, išbandymas ir įdiegimas).</w:t>
            </w:r>
          </w:p>
          <w:p w:rsidR="00385835" w:rsidRPr="00385835" w:rsidRDefault="00385835" w:rsidP="00650E41">
            <w:pPr>
              <w:widowControl w:val="0"/>
              <w:numPr>
                <w:ilvl w:val="0"/>
                <w:numId w:val="44"/>
              </w:numPr>
              <w:tabs>
                <w:tab w:val="left" w:pos="459"/>
              </w:tabs>
              <w:spacing w:after="0" w:line="240" w:lineRule="auto"/>
              <w:ind w:left="34"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Informacijos teikimas tikslinėms gyventojų grupėms, jų švietimas ir mokymas sveikos gyvensenos, sveikatos išsaugojimo ir stiprinimo, ligų prevencijos bei kontrolės temomis (sveika mityba, fizinis aktyvumas, infekcinių ir neinfekcinių ligų profilaktika, savižudybių, smurto, netyčinių sužalojimų bei žalingų įpročių (alkoholio ir tabako vartoji</w:t>
            </w:r>
            <w:r w:rsidR="0025526E">
              <w:rPr>
                <w:rFonts w:ascii="Times New Roman" w:eastAsia="AngsanaUPC" w:hAnsi="Times New Roman"/>
                <w:bCs/>
                <w:iCs/>
                <w:sz w:val="24"/>
                <w:szCs w:val="24"/>
                <w:lang w:eastAsia="lt-LT"/>
              </w:rPr>
              <w:t xml:space="preserve">mo </w:t>
            </w:r>
            <w:r w:rsidRPr="00385835">
              <w:rPr>
                <w:rFonts w:ascii="Times New Roman" w:eastAsia="AngsanaUPC" w:hAnsi="Times New Roman"/>
                <w:bCs/>
                <w:iCs/>
                <w:sz w:val="24"/>
                <w:szCs w:val="24"/>
                <w:lang w:eastAsia="lt-LT"/>
              </w:rPr>
              <w:t>prevencija). Taip pat šių iniciatyvų efektyvumo stebėsena ir vertinimas.</w:t>
            </w:r>
          </w:p>
          <w:p w:rsidR="00385835" w:rsidRPr="00385835" w:rsidRDefault="00385835" w:rsidP="00650E41">
            <w:pPr>
              <w:widowControl w:val="0"/>
              <w:numPr>
                <w:ilvl w:val="0"/>
                <w:numId w:val="44"/>
              </w:numPr>
              <w:tabs>
                <w:tab w:val="left" w:pos="459"/>
                <w:tab w:val="left" w:pos="1168"/>
              </w:tabs>
              <w:spacing w:after="0" w:line="240" w:lineRule="auto"/>
              <w:ind w:left="34"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Tikslinių gyventojų grupių įgalinimo aktyviai dalyvauti sveikatos priežiūros veikloje didinimas. Investicijomis bus stiprinamas atitinkamų pacientų, NVO, vietos bendruomenių ir sveikatos priežiūros specialistų bendradarbiavimas, lygiavertė partnerystė bei sveikatos raštingumas nustatytose srityse, taip pat sudarant sąlygas sveikatos priežiūros paslaugas rinktis pagal sveikatos priežiūros įstaigų veiklos rezultatus, teikiamų paslaugų kokybę ir saugą.</w:t>
            </w:r>
          </w:p>
          <w:p w:rsidR="00385835" w:rsidRPr="00385835" w:rsidRDefault="00385835" w:rsidP="00650E41">
            <w:pPr>
              <w:widowControl w:val="0"/>
              <w:numPr>
                <w:ilvl w:val="0"/>
                <w:numId w:val="44"/>
              </w:numPr>
              <w:tabs>
                <w:tab w:val="left" w:pos="459"/>
                <w:tab w:val="left" w:pos="1168"/>
              </w:tabs>
              <w:spacing w:after="0" w:line="240" w:lineRule="auto"/>
              <w:ind w:left="34"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Sveikatos gerinimo programų savivaldybėse parengimas ir įgyvendinimas, siekiant mažinti vietos gyventojų sveikatos netolygumus. Numatoma finansuoti valstybės ir savivaldybių atstovų, sveikatos srities profesionalų, verslo institucijų, NVO ir bendruomeninių organizacijų bendradarbiavimo ir kompetencijų stiprinimo projektus, skirtus parengti ir įgyvendinti bendruomenių sveikatinimo programas.</w:t>
            </w:r>
          </w:p>
          <w:p w:rsidR="00385835" w:rsidRPr="00385835" w:rsidRDefault="00385835" w:rsidP="00650E41">
            <w:pPr>
              <w:widowControl w:val="0"/>
              <w:numPr>
                <w:ilvl w:val="0"/>
                <w:numId w:val="44"/>
              </w:numPr>
              <w:tabs>
                <w:tab w:val="left" w:pos="459"/>
                <w:tab w:val="left" w:pos="1168"/>
              </w:tabs>
              <w:spacing w:after="0" w:line="240" w:lineRule="auto"/>
              <w:ind w:left="34"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 xml:space="preserve">Parama projektams sveiko senėjimo srityje. Finansuojami mokymai vyresnio amžiaus </w:t>
            </w:r>
            <w:r w:rsidRPr="00385835">
              <w:rPr>
                <w:rFonts w:ascii="Times New Roman" w:eastAsia="AngsanaUPC" w:hAnsi="Times New Roman"/>
                <w:bCs/>
                <w:iCs/>
                <w:sz w:val="24"/>
                <w:szCs w:val="24"/>
                <w:lang w:eastAsia="lt-LT"/>
              </w:rPr>
              <w:lastRenderedPageBreak/>
              <w:t>gyventojams, jų švietimas sveikatos išsaugojimo ir stiprinimo, bendro sveikatos raštingumo srityse, informacinės kampanijos, tyrimai ir kitos iniciatyvos, skirtos vyresnio amžiaus žmonėms dėl geros sveikatos</w:t>
            </w:r>
            <w:r w:rsidR="0025526E">
              <w:rPr>
                <w:rFonts w:ascii="Times New Roman" w:eastAsia="AngsanaUPC" w:hAnsi="Times New Roman"/>
                <w:bCs/>
                <w:iCs/>
                <w:sz w:val="24"/>
                <w:szCs w:val="24"/>
                <w:lang w:eastAsia="lt-LT"/>
              </w:rPr>
              <w:t>,</w:t>
            </w:r>
            <w:r w:rsidRPr="00385835">
              <w:rPr>
                <w:rFonts w:ascii="Times New Roman" w:eastAsia="AngsanaUPC" w:hAnsi="Times New Roman"/>
                <w:bCs/>
                <w:iCs/>
                <w:sz w:val="24"/>
                <w:szCs w:val="24"/>
                <w:lang w:eastAsia="lt-LT"/>
              </w:rPr>
              <w:t xml:space="preserve"> kuo ilgiau išlikti aktyviems darbo rinkoje ir įprastinėje veikloje. Taip pat projektai, skirti būtinų sveikatos priežiūros specialistų kvalifikacijos tobulinimui, gebėjimų stiprinimui</w:t>
            </w:r>
            <w:r w:rsidR="0025526E">
              <w:rPr>
                <w:rFonts w:ascii="Times New Roman" w:eastAsia="AngsanaUPC" w:hAnsi="Times New Roman"/>
                <w:bCs/>
                <w:iCs/>
                <w:sz w:val="24"/>
                <w:szCs w:val="24"/>
                <w:lang w:eastAsia="lt-LT"/>
              </w:rPr>
              <w:t>,</w:t>
            </w:r>
            <w:r w:rsidRPr="00385835">
              <w:rPr>
                <w:rFonts w:ascii="Times New Roman" w:eastAsia="AngsanaUPC" w:hAnsi="Times New Roman"/>
                <w:bCs/>
                <w:iCs/>
                <w:sz w:val="24"/>
                <w:szCs w:val="24"/>
                <w:lang w:eastAsia="lt-LT"/>
              </w:rPr>
              <w:t xml:space="preserve"> siekiant užtikrinti didėjančius gyventojų sveikatos stiprinimo ir priežiūros poreikius dėl senėjančios visuomenės. Sveikatos darbe gerinimas bei darbingo amžiaus prailginimas</w:t>
            </w:r>
            <w:r w:rsidR="0025526E">
              <w:rPr>
                <w:rFonts w:ascii="Times New Roman" w:eastAsia="AngsanaUPC" w:hAnsi="Times New Roman"/>
                <w:bCs/>
                <w:iCs/>
                <w:sz w:val="24"/>
                <w:szCs w:val="24"/>
                <w:lang w:eastAsia="lt-LT"/>
              </w:rPr>
              <w:t>,</w:t>
            </w:r>
            <w:r w:rsidRPr="00385835">
              <w:rPr>
                <w:rFonts w:ascii="Times New Roman" w:eastAsia="AngsanaUPC" w:hAnsi="Times New Roman"/>
                <w:bCs/>
                <w:iCs/>
                <w:sz w:val="24"/>
                <w:szCs w:val="24"/>
                <w:lang w:eastAsia="lt-LT"/>
              </w:rPr>
              <w:t xml:space="preserve"> vykdant sergamumo profesinėmis ligomis ir ligomis susijusiomis su darbu prevenciją ir užtikrinant kokybiškas bei prieinamas profesinės sveikatos priežiūros paslaugas. Specialistų mokymai profesinių ligų atpažinimo, prevencijos srityse, bandomieji profesinės sveikatos priežiūros paslaugų modeliai įmonėse, jų vertinimas ir valdymas, informacijos sklaida, renginiai, darbdavių ir darbuotojų mokymai ir kitos iniciatyvos. Parama veikloms, kuriomis gerinama vyresnio amžiaus dirbančių asmenų fizinė ir psichinė sveikatos būklė, sveikatos stiprinimo bei ligų prevencijos inovacijos mažose ir vidutinėse įmonėse bei organizacijose.</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565"/>
        <w:gridCol w:w="2554"/>
        <w:gridCol w:w="1134"/>
        <w:gridCol w:w="851"/>
        <w:gridCol w:w="1134"/>
        <w:gridCol w:w="1134"/>
        <w:gridCol w:w="1134"/>
        <w:gridCol w:w="1241"/>
      </w:tblGrid>
      <w:tr w:rsidR="00385835" w:rsidRPr="00385835" w:rsidTr="00D93B9C">
        <w:tc>
          <w:tcPr>
            <w:tcW w:w="9747" w:type="dxa"/>
            <w:gridSpan w:val="8"/>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i/>
                <w:iCs/>
                <w:sz w:val="24"/>
                <w:szCs w:val="24"/>
                <w:lang w:eastAsia="lt-LT"/>
              </w:rPr>
            </w:pPr>
            <w:r w:rsidRPr="00385835">
              <w:rPr>
                <w:rFonts w:ascii="Times New Roman" w:eastAsia="AngsanaUPC" w:hAnsi="Times New Roman"/>
                <w:b/>
                <w:bCs/>
                <w:i/>
                <w:iCs/>
                <w:sz w:val="24"/>
                <w:szCs w:val="24"/>
                <w:lang w:eastAsia="lt-LT"/>
              </w:rPr>
              <w:t xml:space="preserve">ESF bendrieji ir </w:t>
            </w:r>
            <w:r w:rsidR="006827C9">
              <w:rPr>
                <w:rFonts w:ascii="Times New Roman" w:eastAsia="AngsanaUPC" w:hAnsi="Times New Roman"/>
                <w:b/>
                <w:bCs/>
                <w:i/>
                <w:iCs/>
                <w:sz w:val="24"/>
                <w:szCs w:val="24"/>
                <w:lang w:eastAsia="lt-LT"/>
              </w:rPr>
              <w:t>specialieji</w:t>
            </w:r>
            <w:r w:rsidR="006827C9" w:rsidRPr="00385835">
              <w:rPr>
                <w:rFonts w:ascii="Times New Roman" w:eastAsia="AngsanaUPC" w:hAnsi="Times New Roman"/>
                <w:b/>
                <w:bCs/>
                <w:i/>
                <w:iCs/>
                <w:sz w:val="24"/>
                <w:szCs w:val="24"/>
                <w:lang w:eastAsia="lt-LT"/>
              </w:rPr>
              <w:t xml:space="preserve"> </w:t>
            </w:r>
            <w:r w:rsidRPr="00385835">
              <w:rPr>
                <w:rFonts w:ascii="Times New Roman" w:eastAsia="AngsanaUPC" w:hAnsi="Times New Roman"/>
                <w:b/>
                <w:bCs/>
                <w:i/>
                <w:iCs/>
                <w:sz w:val="24"/>
                <w:szCs w:val="24"/>
                <w:lang w:eastAsia="lt-LT"/>
              </w:rPr>
              <w:t>programos produkto rodikliai</w:t>
            </w:r>
          </w:p>
        </w:tc>
      </w:tr>
      <w:tr w:rsidR="00385835" w:rsidRPr="00385835" w:rsidTr="00D93B9C">
        <w:tblPrEx>
          <w:shd w:val="clear" w:color="auto" w:fill="auto"/>
        </w:tblPrEx>
        <w:tc>
          <w:tcPr>
            <w:tcW w:w="565"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Nr.</w:t>
            </w:r>
          </w:p>
        </w:tc>
        <w:tc>
          <w:tcPr>
            <w:tcW w:w="255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Rodiklio pavadinimas</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Matavimo vienetas</w:t>
            </w:r>
          </w:p>
        </w:tc>
        <w:tc>
          <w:tcPr>
            <w:tcW w:w="85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Fondas</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Regiono kategorija</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Siektina reikšmė (2023)</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Duomenų šaltinis</w:t>
            </w:r>
          </w:p>
        </w:tc>
        <w:tc>
          <w:tcPr>
            <w:tcW w:w="124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Atsiskaitymo dažnumas</w:t>
            </w:r>
          </w:p>
        </w:tc>
      </w:tr>
      <w:tr w:rsidR="00385835" w:rsidRPr="00385835" w:rsidTr="00D93B9C">
        <w:tblPrEx>
          <w:shd w:val="clear" w:color="auto" w:fill="auto"/>
        </w:tblPrEx>
        <w:tc>
          <w:tcPr>
            <w:tcW w:w="565"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w:t>
            </w:r>
          </w:p>
        </w:tc>
        <w:tc>
          <w:tcPr>
            <w:tcW w:w="2554" w:type="dxa"/>
            <w:shd w:val="clear" w:color="auto" w:fill="auto"/>
            <w:vAlign w:val="center"/>
          </w:tcPr>
          <w:p w:rsidR="00385835" w:rsidRPr="00385835" w:rsidRDefault="00385835" w:rsidP="00385835">
            <w:pPr>
              <w:widowControl w:val="0"/>
              <w:tabs>
                <w:tab w:val="left" w:pos="622"/>
              </w:tabs>
              <w:spacing w:after="0" w:line="240" w:lineRule="auto"/>
              <w:rPr>
                <w:rFonts w:ascii="Times New Roman" w:eastAsia="AngsanaUPC" w:hAnsi="Times New Roman"/>
                <w:b/>
                <w:bCs/>
                <w:i/>
                <w:iCs/>
                <w:sz w:val="18"/>
                <w:szCs w:val="18"/>
                <w:lang w:eastAsia="lt-LT"/>
              </w:rPr>
            </w:pPr>
            <w:r w:rsidRPr="00385835">
              <w:rPr>
                <w:rFonts w:ascii="Times New Roman" w:hAnsi="Times New Roman"/>
                <w:sz w:val="18"/>
                <w:szCs w:val="18"/>
              </w:rPr>
              <w:t>Socialines paslaugas gavę tikslinių grupių asmenys (šeimos)</w:t>
            </w:r>
          </w:p>
        </w:tc>
        <w:tc>
          <w:tcPr>
            <w:tcW w:w="1134" w:type="dxa"/>
            <w:shd w:val="clear" w:color="auto" w:fill="auto"/>
            <w:vAlign w:val="center"/>
          </w:tcPr>
          <w:p w:rsidR="00385835" w:rsidRPr="00385835" w:rsidRDefault="00385835" w:rsidP="00385835">
            <w:pPr>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Skaičius</w:t>
            </w:r>
          </w:p>
        </w:tc>
        <w:tc>
          <w:tcPr>
            <w:tcW w:w="851" w:type="dxa"/>
            <w:shd w:val="clear" w:color="auto" w:fill="auto"/>
            <w:vAlign w:val="center"/>
          </w:tcPr>
          <w:p w:rsidR="00385835" w:rsidRPr="00385835" w:rsidRDefault="00385835" w:rsidP="00385835">
            <w:pPr>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ESF</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Mažiau išsivystęs</w:t>
            </w:r>
          </w:p>
        </w:tc>
        <w:tc>
          <w:tcPr>
            <w:tcW w:w="1134" w:type="dxa"/>
            <w:shd w:val="clear" w:color="auto" w:fill="auto"/>
            <w:vAlign w:val="center"/>
          </w:tcPr>
          <w:p w:rsidR="00385835" w:rsidRPr="00FC6264" w:rsidRDefault="00D37DF5" w:rsidP="00D37DF5">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eastAsia="AngsanaUPC" w:hAnsi="Times New Roman"/>
                <w:bCs/>
                <w:iCs/>
                <w:sz w:val="18"/>
                <w:szCs w:val="18"/>
                <w:lang w:eastAsia="lt-LT"/>
              </w:rPr>
              <w:t>26</w:t>
            </w:r>
            <w:r w:rsidR="009348A3" w:rsidRPr="00FC6264">
              <w:rPr>
                <w:rFonts w:ascii="Times New Roman" w:eastAsia="AngsanaUPC" w:hAnsi="Times New Roman"/>
                <w:bCs/>
                <w:iCs/>
                <w:sz w:val="18"/>
                <w:szCs w:val="18"/>
                <w:lang w:eastAsia="lt-LT"/>
              </w:rPr>
              <w:t>.</w:t>
            </w:r>
            <w:r w:rsidRPr="00FC6264">
              <w:rPr>
                <w:rFonts w:ascii="Times New Roman" w:eastAsia="AngsanaUPC" w:hAnsi="Times New Roman"/>
                <w:bCs/>
                <w:iCs/>
                <w:sz w:val="18"/>
                <w:szCs w:val="18"/>
                <w:lang w:eastAsia="lt-LT"/>
              </w:rPr>
              <w:t>6</w:t>
            </w:r>
            <w:r w:rsidR="00385835" w:rsidRPr="00FC6264">
              <w:rPr>
                <w:rFonts w:ascii="Times New Roman" w:eastAsia="AngsanaUPC" w:hAnsi="Times New Roman"/>
                <w:bCs/>
                <w:iCs/>
                <w:sz w:val="18"/>
                <w:szCs w:val="18"/>
                <w:lang w:eastAsia="lt-LT"/>
              </w:rPr>
              <w:t>00</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hAnsi="Times New Roman"/>
                <w:sz w:val="18"/>
                <w:szCs w:val="18"/>
              </w:rPr>
              <w:t xml:space="preserve">Duomenys iš projektų </w:t>
            </w:r>
          </w:p>
        </w:tc>
        <w:tc>
          <w:tcPr>
            <w:tcW w:w="124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385835" w:rsidRPr="00385835" w:rsidTr="00D93B9C">
        <w:tblPrEx>
          <w:shd w:val="clear" w:color="auto" w:fill="auto"/>
        </w:tblPrEx>
        <w:tc>
          <w:tcPr>
            <w:tcW w:w="565"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w:t>
            </w:r>
          </w:p>
        </w:tc>
        <w:tc>
          <w:tcPr>
            <w:tcW w:w="2554" w:type="dxa"/>
            <w:shd w:val="clear" w:color="auto" w:fill="auto"/>
            <w:vAlign w:val="center"/>
          </w:tcPr>
          <w:p w:rsidR="00385835" w:rsidRPr="00385835" w:rsidRDefault="00385835" w:rsidP="00385835">
            <w:pPr>
              <w:widowControl w:val="0"/>
              <w:tabs>
                <w:tab w:val="left" w:pos="622"/>
              </w:tabs>
              <w:spacing w:after="0" w:line="240" w:lineRule="auto"/>
              <w:rPr>
                <w:rFonts w:ascii="Times New Roman" w:hAnsi="Times New Roman"/>
                <w:sz w:val="18"/>
                <w:szCs w:val="18"/>
              </w:rPr>
            </w:pPr>
            <w:r w:rsidRPr="00385835">
              <w:rPr>
                <w:rFonts w:ascii="Times New Roman" w:hAnsi="Times New Roman"/>
                <w:sz w:val="18"/>
                <w:szCs w:val="18"/>
              </w:rPr>
              <w:t xml:space="preserve">Parengti </w:t>
            </w:r>
            <w:r w:rsidR="006827C9">
              <w:rPr>
                <w:rFonts w:ascii="Times New Roman" w:hAnsi="Times New Roman"/>
                <w:sz w:val="18"/>
                <w:szCs w:val="18"/>
              </w:rPr>
              <w:t xml:space="preserve">asmeniui taikomi </w:t>
            </w:r>
            <w:r w:rsidRPr="00385835">
              <w:rPr>
                <w:rFonts w:ascii="Times New Roman" w:hAnsi="Times New Roman"/>
                <w:sz w:val="18"/>
                <w:szCs w:val="18"/>
              </w:rPr>
              <w:t>individualūs perėjimo nuo institucinės globos prie šeimoje ir bendruomenėje teikiamų paslaugų planai</w:t>
            </w:r>
          </w:p>
        </w:tc>
        <w:tc>
          <w:tcPr>
            <w:tcW w:w="1134" w:type="dxa"/>
            <w:shd w:val="clear" w:color="auto" w:fill="auto"/>
            <w:vAlign w:val="center"/>
          </w:tcPr>
          <w:p w:rsidR="00385835" w:rsidRPr="00385835" w:rsidRDefault="00385835" w:rsidP="00385835">
            <w:pPr>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Skaičius</w:t>
            </w:r>
          </w:p>
        </w:tc>
        <w:tc>
          <w:tcPr>
            <w:tcW w:w="851" w:type="dxa"/>
            <w:shd w:val="clear" w:color="auto" w:fill="auto"/>
            <w:vAlign w:val="center"/>
          </w:tcPr>
          <w:p w:rsidR="00385835" w:rsidRPr="00385835" w:rsidRDefault="00385835" w:rsidP="00385835">
            <w:pPr>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ESF</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Mažiau išsivystęs</w:t>
            </w:r>
          </w:p>
        </w:tc>
        <w:tc>
          <w:tcPr>
            <w:tcW w:w="1134" w:type="dxa"/>
            <w:shd w:val="clear" w:color="auto" w:fill="auto"/>
            <w:vAlign w:val="center"/>
          </w:tcPr>
          <w:p w:rsidR="00385835" w:rsidRPr="00385835" w:rsidRDefault="00385835" w:rsidP="009348A3">
            <w:pPr>
              <w:widowControl w:val="0"/>
              <w:tabs>
                <w:tab w:val="left" w:pos="622"/>
              </w:tabs>
              <w:spacing w:after="0" w:line="240" w:lineRule="auto"/>
              <w:jc w:val="center"/>
              <w:rPr>
                <w:rFonts w:ascii="Times New Roman" w:eastAsia="AngsanaUPC" w:hAnsi="Times New Roman"/>
                <w:bCs/>
                <w:iCs/>
                <w:sz w:val="18"/>
                <w:szCs w:val="18"/>
                <w:highlight w:val="yellow"/>
                <w:lang w:eastAsia="lt-LT"/>
              </w:rPr>
            </w:pPr>
            <w:r w:rsidRPr="00385835">
              <w:rPr>
                <w:rFonts w:ascii="Times New Roman" w:eastAsia="AngsanaUPC" w:hAnsi="Times New Roman"/>
                <w:bCs/>
                <w:iCs/>
                <w:sz w:val="18"/>
                <w:szCs w:val="18"/>
                <w:lang w:eastAsia="lt-LT"/>
              </w:rPr>
              <w:t>1</w:t>
            </w:r>
            <w:r w:rsidR="009348A3">
              <w:rPr>
                <w:rFonts w:ascii="Times New Roman" w:eastAsia="AngsanaUPC" w:hAnsi="Times New Roman"/>
                <w:bCs/>
                <w:iCs/>
                <w:sz w:val="18"/>
                <w:szCs w:val="18"/>
                <w:lang w:eastAsia="lt-LT"/>
              </w:rPr>
              <w:t>.</w:t>
            </w:r>
            <w:r w:rsidRPr="00385835">
              <w:rPr>
                <w:rFonts w:ascii="Times New Roman" w:eastAsia="AngsanaUPC" w:hAnsi="Times New Roman"/>
                <w:bCs/>
                <w:iCs/>
                <w:sz w:val="18"/>
                <w:szCs w:val="18"/>
                <w:lang w:eastAsia="lt-LT"/>
              </w:rPr>
              <w:t>700</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 xml:space="preserve">Duomenys iš projektų </w:t>
            </w:r>
          </w:p>
        </w:tc>
        <w:tc>
          <w:tcPr>
            <w:tcW w:w="124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385835" w:rsidRPr="00385835" w:rsidTr="00D93B9C">
        <w:tblPrEx>
          <w:shd w:val="clear" w:color="auto" w:fill="auto"/>
        </w:tblPrEx>
        <w:tc>
          <w:tcPr>
            <w:tcW w:w="565"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3.</w:t>
            </w:r>
          </w:p>
        </w:tc>
        <w:tc>
          <w:tcPr>
            <w:tcW w:w="2554" w:type="dxa"/>
            <w:shd w:val="clear" w:color="auto" w:fill="auto"/>
            <w:vAlign w:val="center"/>
          </w:tcPr>
          <w:p w:rsidR="00385835" w:rsidRPr="00385835" w:rsidRDefault="00385835" w:rsidP="00385835">
            <w:pPr>
              <w:widowControl w:val="0"/>
              <w:tabs>
                <w:tab w:val="left" w:pos="622"/>
              </w:tabs>
              <w:spacing w:after="0" w:line="240" w:lineRule="auto"/>
              <w:rPr>
                <w:rFonts w:ascii="Times New Roman" w:hAnsi="Times New Roman"/>
                <w:bCs/>
                <w:sz w:val="18"/>
                <w:szCs w:val="18"/>
              </w:rPr>
            </w:pPr>
            <w:r w:rsidRPr="00385835">
              <w:rPr>
                <w:rFonts w:ascii="Times New Roman" w:hAnsi="Times New Roman"/>
                <w:sz w:val="18"/>
                <w:szCs w:val="18"/>
              </w:rPr>
              <w:t>Socialinių paslaugų sistemos darbuotojai, kurie dalyvavo kvalifikacijos tobulinimo veiklose</w:t>
            </w:r>
          </w:p>
        </w:tc>
        <w:tc>
          <w:tcPr>
            <w:tcW w:w="1134" w:type="dxa"/>
            <w:shd w:val="clear" w:color="auto" w:fill="auto"/>
            <w:vAlign w:val="center"/>
          </w:tcPr>
          <w:p w:rsidR="00385835" w:rsidRPr="00385835" w:rsidRDefault="00385835" w:rsidP="00385835">
            <w:pPr>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Skaičius</w:t>
            </w:r>
          </w:p>
        </w:tc>
        <w:tc>
          <w:tcPr>
            <w:tcW w:w="851" w:type="dxa"/>
            <w:shd w:val="clear" w:color="auto" w:fill="auto"/>
            <w:vAlign w:val="center"/>
          </w:tcPr>
          <w:p w:rsidR="00385835" w:rsidRPr="00385835" w:rsidRDefault="00385835" w:rsidP="00385835">
            <w:pPr>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ESF</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Mažiau išsivystęs</w:t>
            </w:r>
          </w:p>
        </w:tc>
        <w:tc>
          <w:tcPr>
            <w:tcW w:w="1134" w:type="dxa"/>
            <w:shd w:val="clear" w:color="auto" w:fill="auto"/>
            <w:vAlign w:val="center"/>
          </w:tcPr>
          <w:p w:rsidR="00385835" w:rsidRPr="00385835" w:rsidRDefault="00385835" w:rsidP="009348A3">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5</w:t>
            </w:r>
            <w:r w:rsidR="009348A3">
              <w:rPr>
                <w:rFonts w:ascii="Times New Roman" w:eastAsia="AngsanaUPC" w:hAnsi="Times New Roman"/>
                <w:bCs/>
                <w:iCs/>
                <w:sz w:val="18"/>
                <w:szCs w:val="18"/>
                <w:lang w:eastAsia="lt-LT"/>
              </w:rPr>
              <w:t>.</w:t>
            </w:r>
            <w:r w:rsidRPr="00385835">
              <w:rPr>
                <w:rFonts w:ascii="Times New Roman" w:eastAsia="AngsanaUPC" w:hAnsi="Times New Roman"/>
                <w:bCs/>
                <w:iCs/>
                <w:sz w:val="18"/>
                <w:szCs w:val="18"/>
                <w:lang w:eastAsia="lt-LT"/>
              </w:rPr>
              <w:t>000</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
                <w:iCs/>
                <w:sz w:val="18"/>
                <w:szCs w:val="18"/>
                <w:lang w:eastAsia="lt-LT"/>
              </w:rPr>
            </w:pPr>
            <w:r w:rsidRPr="00385835">
              <w:rPr>
                <w:rFonts w:ascii="Times New Roman" w:hAnsi="Times New Roman"/>
                <w:sz w:val="18"/>
                <w:szCs w:val="18"/>
              </w:rPr>
              <w:t xml:space="preserve">Duomenys iš projektų </w:t>
            </w:r>
          </w:p>
        </w:tc>
        <w:tc>
          <w:tcPr>
            <w:tcW w:w="124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385835" w:rsidRPr="00D93B9C" w:rsidTr="00D93B9C">
        <w:tblPrEx>
          <w:shd w:val="clear" w:color="auto" w:fill="auto"/>
        </w:tblPrEx>
        <w:tc>
          <w:tcPr>
            <w:tcW w:w="565" w:type="dxa"/>
            <w:shd w:val="clear" w:color="auto" w:fill="auto"/>
            <w:vAlign w:val="center"/>
          </w:tcPr>
          <w:p w:rsidR="00385835" w:rsidRPr="00D93B9C"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D93B9C">
              <w:rPr>
                <w:rFonts w:ascii="Times New Roman" w:eastAsia="AngsanaUPC" w:hAnsi="Times New Roman"/>
                <w:bCs/>
                <w:iCs/>
                <w:sz w:val="18"/>
                <w:szCs w:val="18"/>
                <w:lang w:eastAsia="lt-LT"/>
              </w:rPr>
              <w:t>4.</w:t>
            </w:r>
          </w:p>
        </w:tc>
        <w:tc>
          <w:tcPr>
            <w:tcW w:w="2554" w:type="dxa"/>
            <w:shd w:val="clear" w:color="auto" w:fill="auto"/>
            <w:vAlign w:val="center"/>
          </w:tcPr>
          <w:p w:rsidR="00385835" w:rsidRPr="00D93B9C" w:rsidRDefault="00385835" w:rsidP="00B30D13">
            <w:pPr>
              <w:widowControl w:val="0"/>
              <w:tabs>
                <w:tab w:val="left" w:pos="622"/>
              </w:tabs>
              <w:spacing w:after="0" w:line="240" w:lineRule="auto"/>
              <w:rPr>
                <w:rFonts w:ascii="Times New Roman" w:eastAsia="AngsanaUPC" w:hAnsi="Times New Roman"/>
                <w:bCs/>
                <w:iCs/>
                <w:sz w:val="18"/>
                <w:szCs w:val="18"/>
                <w:lang w:eastAsia="lt-LT"/>
              </w:rPr>
            </w:pPr>
            <w:r w:rsidRPr="00D93B9C">
              <w:rPr>
                <w:rFonts w:ascii="Times New Roman" w:hAnsi="Times New Roman"/>
                <w:bCs/>
                <w:sz w:val="18"/>
                <w:szCs w:val="18"/>
              </w:rPr>
              <w:t xml:space="preserve">Savivaldybės, kuriose </w:t>
            </w:r>
            <w:r w:rsidR="00B30D13" w:rsidRPr="00D93B9C">
              <w:rPr>
                <w:rFonts w:ascii="Times New Roman" w:hAnsi="Times New Roman"/>
                <w:bCs/>
                <w:sz w:val="18"/>
                <w:szCs w:val="18"/>
              </w:rPr>
              <w:t xml:space="preserve">įgyvenginti </w:t>
            </w:r>
            <w:r w:rsidRPr="00D93B9C">
              <w:rPr>
                <w:rFonts w:ascii="Times New Roman" w:hAnsi="Times New Roman"/>
                <w:bCs/>
                <w:sz w:val="18"/>
                <w:szCs w:val="18"/>
              </w:rPr>
              <w:t xml:space="preserve">inovatyvūs viešųjų asmens ir visuomenės sveikatos priežiūros paslaugų teikimo modeliai, pagerinantys sveikatos </w:t>
            </w:r>
            <w:r w:rsidR="006827C9" w:rsidRPr="00D93B9C">
              <w:rPr>
                <w:rFonts w:ascii="Times New Roman" w:hAnsi="Times New Roman"/>
                <w:bCs/>
                <w:sz w:val="18"/>
                <w:szCs w:val="18"/>
              </w:rPr>
              <w:t xml:space="preserve">priežiūros </w:t>
            </w:r>
            <w:r w:rsidRPr="00D93B9C">
              <w:rPr>
                <w:rFonts w:ascii="Times New Roman" w:hAnsi="Times New Roman"/>
                <w:bCs/>
                <w:sz w:val="18"/>
                <w:szCs w:val="18"/>
              </w:rPr>
              <w:t xml:space="preserve">paslaugų prieinamumą tikslinėms gyventojų grupėms </w:t>
            </w:r>
          </w:p>
        </w:tc>
        <w:tc>
          <w:tcPr>
            <w:tcW w:w="1134" w:type="dxa"/>
            <w:shd w:val="clear" w:color="auto" w:fill="auto"/>
            <w:vAlign w:val="center"/>
          </w:tcPr>
          <w:p w:rsidR="00385835" w:rsidRPr="00D93B9C"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D93B9C">
              <w:rPr>
                <w:rFonts w:ascii="Times New Roman" w:eastAsia="AngsanaUPC" w:hAnsi="Times New Roman"/>
                <w:bCs/>
                <w:iCs/>
                <w:sz w:val="18"/>
                <w:szCs w:val="18"/>
                <w:lang w:eastAsia="lt-LT"/>
              </w:rPr>
              <w:t>Skaičius</w:t>
            </w:r>
          </w:p>
        </w:tc>
        <w:tc>
          <w:tcPr>
            <w:tcW w:w="851" w:type="dxa"/>
            <w:shd w:val="clear" w:color="auto" w:fill="auto"/>
            <w:vAlign w:val="center"/>
          </w:tcPr>
          <w:p w:rsidR="00385835" w:rsidRPr="00D93B9C" w:rsidRDefault="00385835" w:rsidP="00385835">
            <w:pPr>
              <w:spacing w:after="0" w:line="240" w:lineRule="auto"/>
              <w:jc w:val="center"/>
              <w:rPr>
                <w:rFonts w:ascii="Times New Roman" w:hAnsi="Times New Roman"/>
                <w:sz w:val="18"/>
                <w:szCs w:val="18"/>
              </w:rPr>
            </w:pPr>
            <w:r w:rsidRPr="00D93B9C">
              <w:rPr>
                <w:rFonts w:ascii="Times New Roman" w:hAnsi="Times New Roman"/>
                <w:sz w:val="18"/>
                <w:szCs w:val="18"/>
              </w:rPr>
              <w:t>ESF</w:t>
            </w:r>
          </w:p>
        </w:tc>
        <w:tc>
          <w:tcPr>
            <w:tcW w:w="1134" w:type="dxa"/>
            <w:shd w:val="clear" w:color="auto" w:fill="auto"/>
            <w:vAlign w:val="center"/>
          </w:tcPr>
          <w:p w:rsidR="00385835" w:rsidRPr="00D93B9C" w:rsidRDefault="00385835" w:rsidP="00385835">
            <w:pPr>
              <w:spacing w:after="0" w:line="240" w:lineRule="auto"/>
              <w:jc w:val="center"/>
              <w:rPr>
                <w:rFonts w:ascii="Times New Roman" w:hAnsi="Times New Roman"/>
                <w:sz w:val="18"/>
                <w:szCs w:val="18"/>
              </w:rPr>
            </w:pPr>
            <w:r w:rsidRPr="00D93B9C">
              <w:rPr>
                <w:rFonts w:ascii="Times New Roman" w:eastAsia="AngsanaUPC" w:hAnsi="Times New Roman"/>
                <w:bCs/>
                <w:iCs/>
                <w:sz w:val="18"/>
                <w:szCs w:val="18"/>
                <w:lang w:eastAsia="lt-LT"/>
              </w:rPr>
              <w:t>Mažiau išsivystęs</w:t>
            </w:r>
          </w:p>
        </w:tc>
        <w:tc>
          <w:tcPr>
            <w:tcW w:w="1134" w:type="dxa"/>
            <w:shd w:val="clear" w:color="auto" w:fill="auto"/>
            <w:vAlign w:val="center"/>
          </w:tcPr>
          <w:p w:rsidR="00385835" w:rsidRPr="00D93B9C" w:rsidRDefault="00D93B9C" w:rsidP="00D93B9C">
            <w:pPr>
              <w:widowControl w:val="0"/>
              <w:tabs>
                <w:tab w:val="left" w:pos="622"/>
              </w:tabs>
              <w:spacing w:after="0" w:line="240" w:lineRule="auto"/>
              <w:jc w:val="center"/>
              <w:rPr>
                <w:rFonts w:ascii="Times New Roman" w:hAnsi="Times New Roman"/>
                <w:bCs/>
                <w:iCs/>
                <w:sz w:val="18"/>
                <w:szCs w:val="18"/>
                <w:lang w:eastAsia="lt-LT"/>
              </w:rPr>
            </w:pPr>
            <w:r>
              <w:rPr>
                <w:rFonts w:ascii="Times New Roman" w:hAnsi="Times New Roman"/>
                <w:bCs/>
                <w:iCs/>
                <w:sz w:val="18"/>
                <w:szCs w:val="18"/>
                <w:lang w:eastAsia="lt-LT"/>
              </w:rPr>
              <w:t>23</w:t>
            </w:r>
          </w:p>
        </w:tc>
        <w:tc>
          <w:tcPr>
            <w:tcW w:w="1134" w:type="dxa"/>
            <w:shd w:val="clear" w:color="auto" w:fill="auto"/>
            <w:vAlign w:val="center"/>
          </w:tcPr>
          <w:p w:rsidR="00385835" w:rsidRPr="00D93B9C" w:rsidRDefault="00385835" w:rsidP="00385835">
            <w:pPr>
              <w:spacing w:after="0" w:line="240" w:lineRule="auto"/>
              <w:jc w:val="center"/>
              <w:rPr>
                <w:rFonts w:ascii="Times New Roman" w:hAnsi="Times New Roman"/>
                <w:sz w:val="18"/>
                <w:szCs w:val="18"/>
              </w:rPr>
            </w:pPr>
            <w:r w:rsidRPr="00D93B9C">
              <w:rPr>
                <w:rFonts w:ascii="Times New Roman" w:hAnsi="Times New Roman"/>
                <w:sz w:val="18"/>
                <w:szCs w:val="18"/>
              </w:rPr>
              <w:t>Duomenys iš projektų</w:t>
            </w:r>
          </w:p>
        </w:tc>
        <w:tc>
          <w:tcPr>
            <w:tcW w:w="1241" w:type="dxa"/>
            <w:shd w:val="clear" w:color="auto" w:fill="auto"/>
            <w:vAlign w:val="center"/>
          </w:tcPr>
          <w:p w:rsidR="00385835" w:rsidRPr="00D93B9C"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D93B9C">
              <w:rPr>
                <w:rFonts w:ascii="Times New Roman" w:eastAsia="AngsanaUPC" w:hAnsi="Times New Roman"/>
                <w:bCs/>
                <w:iCs/>
                <w:sz w:val="18"/>
                <w:szCs w:val="18"/>
                <w:lang w:eastAsia="lt-LT"/>
              </w:rPr>
              <w:t>Kartą per metus</w:t>
            </w:r>
          </w:p>
        </w:tc>
      </w:tr>
      <w:tr w:rsidR="00385835" w:rsidRPr="00D93B9C" w:rsidTr="00D93B9C">
        <w:tblPrEx>
          <w:shd w:val="clear" w:color="auto" w:fill="auto"/>
        </w:tblPrEx>
        <w:tc>
          <w:tcPr>
            <w:tcW w:w="565" w:type="dxa"/>
            <w:shd w:val="clear" w:color="auto" w:fill="auto"/>
            <w:vAlign w:val="center"/>
          </w:tcPr>
          <w:p w:rsidR="00385835" w:rsidRPr="00D93B9C"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D93B9C">
              <w:rPr>
                <w:rFonts w:ascii="Times New Roman" w:eastAsia="AngsanaUPC" w:hAnsi="Times New Roman"/>
                <w:bCs/>
                <w:iCs/>
                <w:sz w:val="18"/>
                <w:szCs w:val="18"/>
                <w:lang w:eastAsia="lt-LT"/>
              </w:rPr>
              <w:t>5.</w:t>
            </w:r>
          </w:p>
        </w:tc>
        <w:tc>
          <w:tcPr>
            <w:tcW w:w="2554" w:type="dxa"/>
            <w:shd w:val="clear" w:color="auto" w:fill="auto"/>
            <w:vAlign w:val="center"/>
          </w:tcPr>
          <w:p w:rsidR="00385835" w:rsidRPr="00D93B9C" w:rsidRDefault="00385835" w:rsidP="00385835">
            <w:pPr>
              <w:widowControl w:val="0"/>
              <w:tabs>
                <w:tab w:val="left" w:pos="622"/>
              </w:tabs>
              <w:spacing w:after="0" w:line="240" w:lineRule="auto"/>
              <w:rPr>
                <w:rFonts w:ascii="Times New Roman" w:hAnsi="Times New Roman"/>
                <w:bCs/>
                <w:sz w:val="18"/>
                <w:szCs w:val="18"/>
                <w:highlight w:val="yellow"/>
              </w:rPr>
            </w:pPr>
            <w:r w:rsidRPr="00D93B9C">
              <w:rPr>
                <w:rFonts w:ascii="Times New Roman" w:hAnsi="Times New Roman"/>
                <w:bCs/>
                <w:sz w:val="18"/>
                <w:szCs w:val="18"/>
              </w:rPr>
              <w:t xml:space="preserve">Tikslinių grupių asmenys, kurie dalyvavo </w:t>
            </w:r>
            <w:r w:rsidRPr="00D93B9C">
              <w:rPr>
                <w:rFonts w:ascii="Times New Roman" w:eastAsia="AngsanaUPC" w:hAnsi="Times New Roman"/>
                <w:bCs/>
                <w:iCs/>
                <w:sz w:val="18"/>
                <w:szCs w:val="18"/>
                <w:lang w:eastAsia="lt-LT"/>
              </w:rPr>
              <w:t xml:space="preserve">informavimo, švietimo ir mokymo renginiuose bei </w:t>
            </w:r>
            <w:r w:rsidRPr="00D93B9C">
              <w:rPr>
                <w:rFonts w:ascii="Times New Roman" w:hAnsi="Times New Roman"/>
                <w:bCs/>
                <w:sz w:val="18"/>
                <w:szCs w:val="18"/>
              </w:rPr>
              <w:t>sveikatos raštingumą didinančiose veiklose</w:t>
            </w:r>
            <w:proofErr w:type="gramStart"/>
            <w:r w:rsidRPr="00D93B9C">
              <w:rPr>
                <w:rFonts w:ascii="Times New Roman" w:hAnsi="Times New Roman"/>
                <w:bCs/>
                <w:sz w:val="18"/>
                <w:szCs w:val="18"/>
              </w:rPr>
              <w:t xml:space="preserve">  </w:t>
            </w:r>
            <w:proofErr w:type="gramEnd"/>
          </w:p>
        </w:tc>
        <w:tc>
          <w:tcPr>
            <w:tcW w:w="1134" w:type="dxa"/>
            <w:shd w:val="clear" w:color="auto" w:fill="auto"/>
            <w:vAlign w:val="center"/>
          </w:tcPr>
          <w:p w:rsidR="00385835" w:rsidRPr="00D93B9C" w:rsidRDefault="00385835" w:rsidP="00385835">
            <w:pPr>
              <w:spacing w:after="0" w:line="240" w:lineRule="auto"/>
              <w:jc w:val="center"/>
              <w:rPr>
                <w:rFonts w:ascii="Times New Roman" w:hAnsi="Times New Roman"/>
                <w:sz w:val="18"/>
                <w:szCs w:val="18"/>
              </w:rPr>
            </w:pPr>
            <w:r w:rsidRPr="00D93B9C">
              <w:rPr>
                <w:rFonts w:ascii="Times New Roman" w:hAnsi="Times New Roman"/>
                <w:sz w:val="18"/>
                <w:szCs w:val="18"/>
              </w:rPr>
              <w:t>Skaičius</w:t>
            </w:r>
          </w:p>
        </w:tc>
        <w:tc>
          <w:tcPr>
            <w:tcW w:w="851" w:type="dxa"/>
            <w:shd w:val="clear" w:color="auto" w:fill="auto"/>
            <w:vAlign w:val="center"/>
          </w:tcPr>
          <w:p w:rsidR="00385835" w:rsidRPr="00D93B9C" w:rsidRDefault="00385835" w:rsidP="00385835">
            <w:pPr>
              <w:spacing w:after="0" w:line="240" w:lineRule="auto"/>
              <w:jc w:val="center"/>
              <w:rPr>
                <w:rFonts w:ascii="Times New Roman" w:hAnsi="Times New Roman"/>
                <w:sz w:val="18"/>
                <w:szCs w:val="18"/>
              </w:rPr>
            </w:pPr>
            <w:r w:rsidRPr="00D93B9C">
              <w:rPr>
                <w:rFonts w:ascii="Times New Roman" w:hAnsi="Times New Roman"/>
                <w:sz w:val="18"/>
                <w:szCs w:val="18"/>
              </w:rPr>
              <w:t>ESF</w:t>
            </w:r>
          </w:p>
        </w:tc>
        <w:tc>
          <w:tcPr>
            <w:tcW w:w="1134" w:type="dxa"/>
            <w:shd w:val="clear" w:color="auto" w:fill="auto"/>
            <w:vAlign w:val="center"/>
          </w:tcPr>
          <w:p w:rsidR="00385835" w:rsidRPr="00D93B9C" w:rsidRDefault="00385835" w:rsidP="00385835">
            <w:pPr>
              <w:spacing w:after="0" w:line="240" w:lineRule="auto"/>
              <w:jc w:val="center"/>
              <w:rPr>
                <w:rFonts w:ascii="Times New Roman" w:hAnsi="Times New Roman"/>
                <w:sz w:val="18"/>
                <w:szCs w:val="18"/>
              </w:rPr>
            </w:pPr>
            <w:r w:rsidRPr="00D93B9C">
              <w:rPr>
                <w:rFonts w:ascii="Times New Roman" w:eastAsia="AngsanaUPC" w:hAnsi="Times New Roman"/>
                <w:bCs/>
                <w:iCs/>
                <w:sz w:val="18"/>
                <w:szCs w:val="18"/>
                <w:lang w:eastAsia="lt-LT"/>
              </w:rPr>
              <w:t>Mažiau išsivystęs</w:t>
            </w:r>
          </w:p>
        </w:tc>
        <w:tc>
          <w:tcPr>
            <w:tcW w:w="1134" w:type="dxa"/>
            <w:shd w:val="clear" w:color="auto" w:fill="auto"/>
            <w:vAlign w:val="center"/>
          </w:tcPr>
          <w:p w:rsidR="00385835" w:rsidRPr="00D93B9C" w:rsidRDefault="00385835" w:rsidP="009348A3">
            <w:pPr>
              <w:spacing w:after="0" w:line="240" w:lineRule="auto"/>
              <w:jc w:val="center"/>
              <w:rPr>
                <w:rFonts w:ascii="Times New Roman" w:hAnsi="Times New Roman"/>
                <w:sz w:val="18"/>
                <w:szCs w:val="18"/>
              </w:rPr>
            </w:pPr>
            <w:r w:rsidRPr="00D93B9C">
              <w:rPr>
                <w:rFonts w:ascii="Times New Roman" w:hAnsi="Times New Roman"/>
                <w:sz w:val="18"/>
                <w:szCs w:val="18"/>
              </w:rPr>
              <w:t>100</w:t>
            </w:r>
            <w:r w:rsidR="009348A3" w:rsidRPr="00D93B9C">
              <w:rPr>
                <w:rFonts w:ascii="Times New Roman" w:hAnsi="Times New Roman"/>
                <w:sz w:val="18"/>
                <w:szCs w:val="18"/>
              </w:rPr>
              <w:t>.</w:t>
            </w:r>
            <w:r w:rsidRPr="00D93B9C">
              <w:rPr>
                <w:rFonts w:ascii="Times New Roman" w:hAnsi="Times New Roman"/>
                <w:sz w:val="18"/>
                <w:szCs w:val="18"/>
              </w:rPr>
              <w:t>000</w:t>
            </w:r>
          </w:p>
        </w:tc>
        <w:tc>
          <w:tcPr>
            <w:tcW w:w="1134" w:type="dxa"/>
            <w:shd w:val="clear" w:color="auto" w:fill="auto"/>
            <w:vAlign w:val="center"/>
          </w:tcPr>
          <w:p w:rsidR="00385835" w:rsidRPr="00D93B9C" w:rsidRDefault="00385835" w:rsidP="00385835">
            <w:pPr>
              <w:spacing w:after="0" w:line="240" w:lineRule="auto"/>
              <w:jc w:val="center"/>
              <w:rPr>
                <w:rFonts w:ascii="Times New Roman" w:hAnsi="Times New Roman"/>
                <w:sz w:val="18"/>
                <w:szCs w:val="18"/>
              </w:rPr>
            </w:pPr>
            <w:r w:rsidRPr="00D93B9C">
              <w:rPr>
                <w:rFonts w:ascii="Times New Roman" w:hAnsi="Times New Roman"/>
                <w:sz w:val="18"/>
                <w:szCs w:val="18"/>
              </w:rPr>
              <w:t>Duomenys iš projektų</w:t>
            </w:r>
          </w:p>
        </w:tc>
        <w:tc>
          <w:tcPr>
            <w:tcW w:w="1241" w:type="dxa"/>
            <w:shd w:val="clear" w:color="auto" w:fill="auto"/>
            <w:vAlign w:val="center"/>
          </w:tcPr>
          <w:p w:rsidR="00385835" w:rsidRPr="00D93B9C" w:rsidRDefault="00385835" w:rsidP="00385835">
            <w:pPr>
              <w:spacing w:after="0" w:line="240" w:lineRule="auto"/>
              <w:jc w:val="center"/>
              <w:rPr>
                <w:rFonts w:ascii="Times New Roman" w:hAnsi="Times New Roman"/>
                <w:sz w:val="18"/>
                <w:szCs w:val="18"/>
              </w:rPr>
            </w:pPr>
            <w:r w:rsidRPr="00D93B9C">
              <w:rPr>
                <w:rFonts w:ascii="Times New Roman" w:hAnsi="Times New Roman"/>
                <w:sz w:val="18"/>
                <w:szCs w:val="18"/>
              </w:rPr>
              <w:t>Kartą per metus</w:t>
            </w:r>
          </w:p>
        </w:tc>
      </w:tr>
      <w:tr w:rsidR="00B30D13" w:rsidRPr="00D93B9C" w:rsidTr="00D93B9C">
        <w:tblPrEx>
          <w:shd w:val="clear" w:color="auto" w:fill="auto"/>
        </w:tblPrEx>
        <w:tc>
          <w:tcPr>
            <w:tcW w:w="565" w:type="dxa"/>
            <w:shd w:val="clear" w:color="auto" w:fill="auto"/>
            <w:vAlign w:val="center"/>
          </w:tcPr>
          <w:p w:rsidR="00B30D13" w:rsidRPr="00D93B9C" w:rsidRDefault="00B30D13"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D93B9C">
              <w:rPr>
                <w:rFonts w:ascii="Times New Roman" w:hAnsi="Times New Roman"/>
                <w:bCs/>
                <w:iCs/>
                <w:sz w:val="18"/>
                <w:szCs w:val="18"/>
                <w:lang w:eastAsia="lt-LT"/>
              </w:rPr>
              <w:t>6.</w:t>
            </w:r>
          </w:p>
        </w:tc>
        <w:tc>
          <w:tcPr>
            <w:tcW w:w="2554" w:type="dxa"/>
            <w:shd w:val="clear" w:color="auto" w:fill="auto"/>
            <w:vAlign w:val="center"/>
          </w:tcPr>
          <w:p w:rsidR="00B30D13" w:rsidRPr="00D93B9C" w:rsidRDefault="00B30D13" w:rsidP="00385835">
            <w:pPr>
              <w:widowControl w:val="0"/>
              <w:tabs>
                <w:tab w:val="left" w:pos="622"/>
              </w:tabs>
              <w:spacing w:after="0" w:line="240" w:lineRule="auto"/>
              <w:rPr>
                <w:rFonts w:ascii="Times New Roman" w:hAnsi="Times New Roman"/>
                <w:bCs/>
                <w:sz w:val="18"/>
                <w:szCs w:val="18"/>
              </w:rPr>
            </w:pPr>
            <w:r w:rsidRPr="00D93B9C">
              <w:rPr>
                <w:rFonts w:ascii="Times New Roman" w:hAnsi="Times New Roman"/>
                <w:sz w:val="18"/>
                <w:szCs w:val="18"/>
              </w:rPr>
              <w:t>Įsigytų asmeninės apsaugos priemonių vertė</w:t>
            </w:r>
          </w:p>
        </w:tc>
        <w:tc>
          <w:tcPr>
            <w:tcW w:w="1134" w:type="dxa"/>
            <w:shd w:val="clear" w:color="auto" w:fill="auto"/>
            <w:vAlign w:val="center"/>
          </w:tcPr>
          <w:p w:rsidR="00B30D13" w:rsidRPr="00D93B9C" w:rsidRDefault="00B30D13" w:rsidP="00385835">
            <w:pPr>
              <w:spacing w:after="0" w:line="240" w:lineRule="auto"/>
              <w:jc w:val="center"/>
              <w:rPr>
                <w:rFonts w:ascii="Times New Roman" w:hAnsi="Times New Roman"/>
                <w:sz w:val="18"/>
                <w:szCs w:val="18"/>
              </w:rPr>
            </w:pPr>
            <w:r w:rsidRPr="00D93B9C">
              <w:rPr>
                <w:rFonts w:ascii="Times New Roman" w:hAnsi="Times New Roman"/>
                <w:bCs/>
                <w:iCs/>
                <w:sz w:val="18"/>
                <w:szCs w:val="18"/>
                <w:lang w:eastAsia="lt-LT"/>
              </w:rPr>
              <w:t>Eurai</w:t>
            </w:r>
          </w:p>
        </w:tc>
        <w:tc>
          <w:tcPr>
            <w:tcW w:w="851" w:type="dxa"/>
            <w:shd w:val="clear" w:color="auto" w:fill="auto"/>
            <w:vAlign w:val="center"/>
          </w:tcPr>
          <w:p w:rsidR="00B30D13" w:rsidRPr="00D93B9C" w:rsidRDefault="00B30D13" w:rsidP="00385835">
            <w:pPr>
              <w:spacing w:after="0" w:line="240" w:lineRule="auto"/>
              <w:jc w:val="center"/>
              <w:rPr>
                <w:rFonts w:ascii="Times New Roman" w:hAnsi="Times New Roman"/>
                <w:sz w:val="18"/>
                <w:szCs w:val="18"/>
              </w:rPr>
            </w:pPr>
            <w:r w:rsidRPr="00D93B9C">
              <w:rPr>
                <w:rFonts w:ascii="Times New Roman" w:hAnsi="Times New Roman"/>
                <w:bCs/>
                <w:iCs/>
                <w:sz w:val="18"/>
                <w:szCs w:val="18"/>
                <w:lang w:eastAsia="lt-LT"/>
              </w:rPr>
              <w:t>ESF</w:t>
            </w:r>
          </w:p>
        </w:tc>
        <w:tc>
          <w:tcPr>
            <w:tcW w:w="1134" w:type="dxa"/>
            <w:shd w:val="clear" w:color="auto" w:fill="auto"/>
            <w:vAlign w:val="center"/>
          </w:tcPr>
          <w:p w:rsidR="00B30D13" w:rsidRPr="00D93B9C" w:rsidRDefault="00B30D13" w:rsidP="00385835">
            <w:pPr>
              <w:spacing w:after="0" w:line="240" w:lineRule="auto"/>
              <w:jc w:val="center"/>
              <w:rPr>
                <w:rFonts w:ascii="Times New Roman" w:eastAsia="AngsanaUPC" w:hAnsi="Times New Roman"/>
                <w:bCs/>
                <w:iCs/>
                <w:sz w:val="18"/>
                <w:szCs w:val="18"/>
                <w:lang w:eastAsia="lt-LT"/>
              </w:rPr>
            </w:pPr>
            <w:r w:rsidRPr="00D93B9C">
              <w:rPr>
                <w:rFonts w:ascii="Times New Roman" w:hAnsi="Times New Roman"/>
                <w:bCs/>
                <w:iCs/>
                <w:sz w:val="18"/>
                <w:szCs w:val="18"/>
                <w:lang w:eastAsia="lt-LT"/>
              </w:rPr>
              <w:t>Mažiau išsivystęs</w:t>
            </w:r>
          </w:p>
        </w:tc>
        <w:tc>
          <w:tcPr>
            <w:tcW w:w="1134" w:type="dxa"/>
            <w:shd w:val="clear" w:color="auto" w:fill="auto"/>
            <w:vAlign w:val="center"/>
          </w:tcPr>
          <w:p w:rsidR="00B30D13" w:rsidRPr="00D93B9C" w:rsidRDefault="00B30D13" w:rsidP="009348A3">
            <w:pPr>
              <w:spacing w:after="0" w:line="240" w:lineRule="auto"/>
              <w:jc w:val="center"/>
              <w:rPr>
                <w:rFonts w:ascii="Times New Roman" w:hAnsi="Times New Roman"/>
                <w:sz w:val="18"/>
                <w:szCs w:val="18"/>
              </w:rPr>
            </w:pPr>
            <w:r w:rsidRPr="00D93B9C">
              <w:rPr>
                <w:rFonts w:ascii="Times New Roman" w:hAnsi="Times New Roman"/>
                <w:bCs/>
                <w:sz w:val="18"/>
                <w:szCs w:val="18"/>
                <w:lang w:val="en-US" w:eastAsia="lt-LT"/>
              </w:rPr>
              <w:t>15.502.180</w:t>
            </w:r>
          </w:p>
        </w:tc>
        <w:tc>
          <w:tcPr>
            <w:tcW w:w="1134" w:type="dxa"/>
            <w:shd w:val="clear" w:color="auto" w:fill="auto"/>
            <w:vAlign w:val="center"/>
          </w:tcPr>
          <w:p w:rsidR="00B30D13" w:rsidRPr="00D93B9C" w:rsidRDefault="00B30D13" w:rsidP="00385835">
            <w:pPr>
              <w:spacing w:after="0" w:line="240" w:lineRule="auto"/>
              <w:jc w:val="center"/>
              <w:rPr>
                <w:rFonts w:ascii="Times New Roman" w:hAnsi="Times New Roman"/>
                <w:sz w:val="18"/>
                <w:szCs w:val="18"/>
              </w:rPr>
            </w:pPr>
            <w:r w:rsidRPr="00D93B9C">
              <w:rPr>
                <w:rFonts w:ascii="Times New Roman" w:hAnsi="Times New Roman"/>
                <w:bCs/>
                <w:iCs/>
                <w:sz w:val="18"/>
                <w:szCs w:val="18"/>
                <w:lang w:eastAsia="lt-LT"/>
              </w:rPr>
              <w:t>Duomenys iš projektų</w:t>
            </w:r>
          </w:p>
        </w:tc>
        <w:tc>
          <w:tcPr>
            <w:tcW w:w="1241" w:type="dxa"/>
            <w:shd w:val="clear" w:color="auto" w:fill="auto"/>
            <w:vAlign w:val="center"/>
          </w:tcPr>
          <w:p w:rsidR="00B30D13" w:rsidRPr="00D93B9C" w:rsidRDefault="00B30D13" w:rsidP="00385835">
            <w:pPr>
              <w:spacing w:after="0" w:line="240" w:lineRule="auto"/>
              <w:jc w:val="center"/>
              <w:rPr>
                <w:rFonts w:ascii="Times New Roman" w:hAnsi="Times New Roman"/>
                <w:sz w:val="18"/>
                <w:szCs w:val="18"/>
              </w:rPr>
            </w:pPr>
            <w:r w:rsidRPr="00D93B9C">
              <w:rPr>
                <w:rFonts w:ascii="Times New Roman" w:hAnsi="Times New Roman"/>
                <w:bCs/>
                <w:iCs/>
                <w:sz w:val="18"/>
                <w:szCs w:val="18"/>
                <w:lang w:eastAsia="lt-LT"/>
              </w:rPr>
              <w:t>Kartą per metus</w:t>
            </w:r>
          </w:p>
        </w:tc>
      </w:tr>
      <w:tr w:rsidR="00B30D13" w:rsidRPr="00D93B9C" w:rsidTr="00D93B9C">
        <w:tblPrEx>
          <w:shd w:val="clear" w:color="auto" w:fill="auto"/>
        </w:tblPrEx>
        <w:tc>
          <w:tcPr>
            <w:tcW w:w="565" w:type="dxa"/>
            <w:shd w:val="clear" w:color="auto" w:fill="auto"/>
            <w:vAlign w:val="center"/>
          </w:tcPr>
          <w:p w:rsidR="00B30D13" w:rsidRPr="00D93B9C" w:rsidRDefault="00B30D13"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D93B9C">
              <w:rPr>
                <w:rFonts w:ascii="Times New Roman" w:hAnsi="Times New Roman"/>
                <w:bCs/>
                <w:iCs/>
                <w:sz w:val="18"/>
                <w:szCs w:val="18"/>
                <w:lang w:val="en-US" w:eastAsia="lt-LT"/>
              </w:rPr>
              <w:t>7</w:t>
            </w:r>
            <w:r w:rsidRPr="00D93B9C">
              <w:rPr>
                <w:rFonts w:ascii="Times New Roman" w:hAnsi="Times New Roman"/>
                <w:bCs/>
                <w:iCs/>
                <w:sz w:val="18"/>
                <w:szCs w:val="18"/>
                <w:lang w:eastAsia="lt-LT"/>
              </w:rPr>
              <w:t>.</w:t>
            </w:r>
          </w:p>
        </w:tc>
        <w:tc>
          <w:tcPr>
            <w:tcW w:w="2554" w:type="dxa"/>
            <w:shd w:val="clear" w:color="auto" w:fill="auto"/>
            <w:vAlign w:val="center"/>
          </w:tcPr>
          <w:p w:rsidR="00B30D13" w:rsidRPr="00D93B9C" w:rsidRDefault="00B30D13" w:rsidP="00385835">
            <w:pPr>
              <w:widowControl w:val="0"/>
              <w:tabs>
                <w:tab w:val="left" w:pos="622"/>
              </w:tabs>
              <w:spacing w:after="0" w:line="240" w:lineRule="auto"/>
              <w:rPr>
                <w:rFonts w:ascii="Times New Roman" w:hAnsi="Times New Roman"/>
                <w:bCs/>
                <w:sz w:val="18"/>
                <w:szCs w:val="18"/>
              </w:rPr>
            </w:pPr>
            <w:r w:rsidRPr="00D93B9C">
              <w:rPr>
                <w:rFonts w:ascii="Times New Roman" w:hAnsi="Times New Roman"/>
                <w:color w:val="000000"/>
                <w:sz w:val="18"/>
                <w:szCs w:val="18"/>
                <w:lang w:eastAsia="lt-LT"/>
              </w:rPr>
              <w:t>ESF veiksmų, skirtų sumažinti COVID-19 pandemijos padarinius, vertė</w:t>
            </w:r>
          </w:p>
        </w:tc>
        <w:tc>
          <w:tcPr>
            <w:tcW w:w="1134" w:type="dxa"/>
            <w:shd w:val="clear" w:color="auto" w:fill="auto"/>
            <w:vAlign w:val="center"/>
          </w:tcPr>
          <w:p w:rsidR="00B30D13" w:rsidRPr="00D93B9C" w:rsidRDefault="00B30D13" w:rsidP="00385835">
            <w:pPr>
              <w:spacing w:after="0" w:line="240" w:lineRule="auto"/>
              <w:jc w:val="center"/>
              <w:rPr>
                <w:rFonts w:ascii="Times New Roman" w:hAnsi="Times New Roman"/>
                <w:sz w:val="18"/>
                <w:szCs w:val="18"/>
              </w:rPr>
            </w:pPr>
            <w:r w:rsidRPr="00D93B9C">
              <w:rPr>
                <w:rFonts w:ascii="Times New Roman" w:hAnsi="Times New Roman"/>
                <w:bCs/>
                <w:iCs/>
                <w:sz w:val="18"/>
                <w:szCs w:val="18"/>
                <w:lang w:eastAsia="lt-LT"/>
              </w:rPr>
              <w:t>Eurai</w:t>
            </w:r>
          </w:p>
        </w:tc>
        <w:tc>
          <w:tcPr>
            <w:tcW w:w="851" w:type="dxa"/>
            <w:shd w:val="clear" w:color="auto" w:fill="auto"/>
            <w:vAlign w:val="center"/>
          </w:tcPr>
          <w:p w:rsidR="00B30D13" w:rsidRPr="00D93B9C" w:rsidRDefault="00B30D13" w:rsidP="00385835">
            <w:pPr>
              <w:spacing w:after="0" w:line="240" w:lineRule="auto"/>
              <w:jc w:val="center"/>
              <w:rPr>
                <w:rFonts w:ascii="Times New Roman" w:hAnsi="Times New Roman"/>
                <w:sz w:val="18"/>
                <w:szCs w:val="18"/>
              </w:rPr>
            </w:pPr>
            <w:r w:rsidRPr="00D93B9C">
              <w:rPr>
                <w:rFonts w:ascii="Times New Roman" w:hAnsi="Times New Roman"/>
                <w:bCs/>
                <w:iCs/>
                <w:sz w:val="18"/>
                <w:szCs w:val="18"/>
                <w:lang w:eastAsia="lt-LT"/>
              </w:rPr>
              <w:t>ESF</w:t>
            </w:r>
          </w:p>
        </w:tc>
        <w:tc>
          <w:tcPr>
            <w:tcW w:w="1134" w:type="dxa"/>
            <w:shd w:val="clear" w:color="auto" w:fill="auto"/>
            <w:vAlign w:val="center"/>
          </w:tcPr>
          <w:p w:rsidR="00B30D13" w:rsidRPr="00D93B9C" w:rsidRDefault="00B30D13" w:rsidP="00385835">
            <w:pPr>
              <w:spacing w:after="0" w:line="240" w:lineRule="auto"/>
              <w:jc w:val="center"/>
              <w:rPr>
                <w:rFonts w:ascii="Times New Roman" w:eastAsia="AngsanaUPC" w:hAnsi="Times New Roman"/>
                <w:bCs/>
                <w:iCs/>
                <w:sz w:val="18"/>
                <w:szCs w:val="18"/>
                <w:lang w:eastAsia="lt-LT"/>
              </w:rPr>
            </w:pPr>
            <w:r w:rsidRPr="00D93B9C">
              <w:rPr>
                <w:rFonts w:ascii="Times New Roman" w:hAnsi="Times New Roman"/>
                <w:bCs/>
                <w:iCs/>
                <w:sz w:val="18"/>
                <w:szCs w:val="18"/>
                <w:lang w:eastAsia="lt-LT"/>
              </w:rPr>
              <w:t>Mažiau išsivystęs</w:t>
            </w:r>
          </w:p>
        </w:tc>
        <w:tc>
          <w:tcPr>
            <w:tcW w:w="1134" w:type="dxa"/>
            <w:shd w:val="clear" w:color="auto" w:fill="auto"/>
            <w:vAlign w:val="center"/>
          </w:tcPr>
          <w:p w:rsidR="00B30D13" w:rsidRPr="00D93B9C" w:rsidRDefault="00B30D13" w:rsidP="009348A3">
            <w:pPr>
              <w:spacing w:after="0" w:line="240" w:lineRule="auto"/>
              <w:jc w:val="center"/>
              <w:rPr>
                <w:rFonts w:ascii="Times New Roman" w:hAnsi="Times New Roman"/>
                <w:sz w:val="18"/>
                <w:szCs w:val="18"/>
              </w:rPr>
            </w:pPr>
            <w:r w:rsidRPr="00D93B9C">
              <w:rPr>
                <w:rFonts w:ascii="Times New Roman" w:hAnsi="Times New Roman"/>
                <w:bCs/>
                <w:sz w:val="18"/>
                <w:szCs w:val="18"/>
              </w:rPr>
              <w:t>19.122.055</w:t>
            </w:r>
          </w:p>
        </w:tc>
        <w:tc>
          <w:tcPr>
            <w:tcW w:w="1134" w:type="dxa"/>
            <w:shd w:val="clear" w:color="auto" w:fill="auto"/>
            <w:vAlign w:val="center"/>
          </w:tcPr>
          <w:p w:rsidR="00B30D13" w:rsidRPr="00D93B9C" w:rsidRDefault="00B30D13" w:rsidP="00385835">
            <w:pPr>
              <w:spacing w:after="0" w:line="240" w:lineRule="auto"/>
              <w:jc w:val="center"/>
              <w:rPr>
                <w:rFonts w:ascii="Times New Roman" w:hAnsi="Times New Roman"/>
                <w:sz w:val="18"/>
                <w:szCs w:val="18"/>
              </w:rPr>
            </w:pPr>
            <w:r w:rsidRPr="00D93B9C">
              <w:rPr>
                <w:rFonts w:ascii="Times New Roman" w:hAnsi="Times New Roman"/>
                <w:bCs/>
                <w:iCs/>
                <w:sz w:val="18"/>
                <w:szCs w:val="18"/>
                <w:lang w:eastAsia="lt-LT"/>
              </w:rPr>
              <w:t>Duomenys iš projektų</w:t>
            </w:r>
          </w:p>
        </w:tc>
        <w:tc>
          <w:tcPr>
            <w:tcW w:w="1241" w:type="dxa"/>
            <w:shd w:val="clear" w:color="auto" w:fill="auto"/>
            <w:vAlign w:val="center"/>
          </w:tcPr>
          <w:p w:rsidR="00B30D13" w:rsidRPr="00D93B9C" w:rsidRDefault="00B30D13" w:rsidP="00385835">
            <w:pPr>
              <w:spacing w:after="0" w:line="240" w:lineRule="auto"/>
              <w:jc w:val="center"/>
              <w:rPr>
                <w:rFonts w:ascii="Times New Roman" w:hAnsi="Times New Roman"/>
                <w:sz w:val="18"/>
                <w:szCs w:val="18"/>
              </w:rPr>
            </w:pPr>
            <w:r w:rsidRPr="00D93B9C">
              <w:rPr>
                <w:rFonts w:ascii="Times New Roman" w:hAnsi="Times New Roman"/>
                <w:bCs/>
                <w:iCs/>
                <w:sz w:val="18"/>
                <w:szCs w:val="18"/>
                <w:lang w:eastAsia="lt-LT"/>
              </w:rPr>
              <w:t>Kartą per metus</w:t>
            </w:r>
          </w:p>
        </w:tc>
      </w:tr>
      <w:tr w:rsidR="00B30D13" w:rsidRPr="00D93B9C" w:rsidTr="00D93B9C">
        <w:tblPrEx>
          <w:shd w:val="clear" w:color="auto" w:fill="auto"/>
        </w:tblPrEx>
        <w:tc>
          <w:tcPr>
            <w:tcW w:w="565" w:type="dxa"/>
            <w:shd w:val="clear" w:color="auto" w:fill="auto"/>
            <w:vAlign w:val="center"/>
          </w:tcPr>
          <w:p w:rsidR="00B30D13" w:rsidRPr="00D93B9C" w:rsidRDefault="00B30D13"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D93B9C">
              <w:rPr>
                <w:rFonts w:ascii="Times New Roman" w:hAnsi="Times New Roman"/>
                <w:bCs/>
                <w:iCs/>
                <w:sz w:val="18"/>
                <w:szCs w:val="18"/>
                <w:lang w:val="en-US" w:eastAsia="lt-LT"/>
              </w:rPr>
              <w:t>8.</w:t>
            </w:r>
          </w:p>
        </w:tc>
        <w:tc>
          <w:tcPr>
            <w:tcW w:w="2554" w:type="dxa"/>
            <w:shd w:val="clear" w:color="auto" w:fill="auto"/>
            <w:vAlign w:val="center"/>
          </w:tcPr>
          <w:p w:rsidR="00B30D13" w:rsidRPr="00D93B9C" w:rsidRDefault="00B30D13" w:rsidP="00385835">
            <w:pPr>
              <w:widowControl w:val="0"/>
              <w:tabs>
                <w:tab w:val="left" w:pos="622"/>
              </w:tabs>
              <w:spacing w:after="0" w:line="240" w:lineRule="auto"/>
              <w:rPr>
                <w:rFonts w:ascii="Times New Roman" w:hAnsi="Times New Roman"/>
                <w:bCs/>
                <w:sz w:val="18"/>
                <w:szCs w:val="18"/>
              </w:rPr>
            </w:pPr>
            <w:r w:rsidRPr="00D93B9C">
              <w:rPr>
                <w:rFonts w:ascii="Times New Roman" w:hAnsi="Times New Roman"/>
                <w:color w:val="000000"/>
                <w:sz w:val="18"/>
                <w:szCs w:val="18"/>
                <w:lang w:eastAsia="lt-LT"/>
              </w:rPr>
              <w:t>Asmeninės apsaugos priemonės</w:t>
            </w:r>
          </w:p>
        </w:tc>
        <w:tc>
          <w:tcPr>
            <w:tcW w:w="1134" w:type="dxa"/>
            <w:shd w:val="clear" w:color="auto" w:fill="auto"/>
            <w:vAlign w:val="center"/>
          </w:tcPr>
          <w:p w:rsidR="00B30D13" w:rsidRPr="00D93B9C" w:rsidRDefault="00B30D13" w:rsidP="00385835">
            <w:pPr>
              <w:spacing w:after="0" w:line="240" w:lineRule="auto"/>
              <w:jc w:val="center"/>
              <w:rPr>
                <w:rFonts w:ascii="Times New Roman" w:hAnsi="Times New Roman"/>
                <w:sz w:val="18"/>
                <w:szCs w:val="18"/>
              </w:rPr>
            </w:pPr>
            <w:r w:rsidRPr="00D93B9C">
              <w:rPr>
                <w:rFonts w:ascii="Times New Roman" w:hAnsi="Times New Roman"/>
                <w:bCs/>
                <w:iCs/>
                <w:sz w:val="18"/>
                <w:szCs w:val="18"/>
                <w:lang w:eastAsia="lt-LT"/>
              </w:rPr>
              <w:t>Skaičius</w:t>
            </w:r>
          </w:p>
        </w:tc>
        <w:tc>
          <w:tcPr>
            <w:tcW w:w="851" w:type="dxa"/>
            <w:shd w:val="clear" w:color="auto" w:fill="auto"/>
            <w:vAlign w:val="center"/>
          </w:tcPr>
          <w:p w:rsidR="00B30D13" w:rsidRPr="00D93B9C" w:rsidRDefault="00B30D13" w:rsidP="00385835">
            <w:pPr>
              <w:spacing w:after="0" w:line="240" w:lineRule="auto"/>
              <w:jc w:val="center"/>
              <w:rPr>
                <w:rFonts w:ascii="Times New Roman" w:hAnsi="Times New Roman"/>
                <w:sz w:val="18"/>
                <w:szCs w:val="18"/>
              </w:rPr>
            </w:pPr>
            <w:r w:rsidRPr="00D93B9C">
              <w:rPr>
                <w:rFonts w:ascii="Times New Roman" w:hAnsi="Times New Roman"/>
                <w:bCs/>
                <w:iCs/>
                <w:sz w:val="18"/>
                <w:szCs w:val="18"/>
                <w:lang w:eastAsia="lt-LT"/>
              </w:rPr>
              <w:t>ESF</w:t>
            </w:r>
          </w:p>
        </w:tc>
        <w:tc>
          <w:tcPr>
            <w:tcW w:w="1134" w:type="dxa"/>
            <w:shd w:val="clear" w:color="auto" w:fill="auto"/>
            <w:vAlign w:val="center"/>
          </w:tcPr>
          <w:p w:rsidR="00B30D13" w:rsidRPr="00D93B9C" w:rsidRDefault="00B30D13" w:rsidP="00385835">
            <w:pPr>
              <w:spacing w:after="0" w:line="240" w:lineRule="auto"/>
              <w:jc w:val="center"/>
              <w:rPr>
                <w:rFonts w:ascii="Times New Roman" w:eastAsia="AngsanaUPC" w:hAnsi="Times New Roman"/>
                <w:bCs/>
                <w:iCs/>
                <w:sz w:val="18"/>
                <w:szCs w:val="18"/>
                <w:lang w:eastAsia="lt-LT"/>
              </w:rPr>
            </w:pPr>
            <w:r w:rsidRPr="00D93B9C">
              <w:rPr>
                <w:rFonts w:ascii="Times New Roman" w:hAnsi="Times New Roman"/>
                <w:bCs/>
                <w:iCs/>
                <w:sz w:val="18"/>
                <w:szCs w:val="18"/>
                <w:lang w:eastAsia="lt-LT"/>
              </w:rPr>
              <w:t>Mažiau išsivystęs</w:t>
            </w:r>
          </w:p>
        </w:tc>
        <w:tc>
          <w:tcPr>
            <w:tcW w:w="1134" w:type="dxa"/>
            <w:shd w:val="clear" w:color="auto" w:fill="auto"/>
            <w:vAlign w:val="center"/>
          </w:tcPr>
          <w:p w:rsidR="00B30D13" w:rsidRPr="00D93B9C" w:rsidRDefault="00B30D13" w:rsidP="009348A3">
            <w:pPr>
              <w:spacing w:after="0" w:line="240" w:lineRule="auto"/>
              <w:jc w:val="center"/>
              <w:rPr>
                <w:rFonts w:ascii="Times New Roman" w:hAnsi="Times New Roman"/>
                <w:sz w:val="18"/>
                <w:szCs w:val="18"/>
              </w:rPr>
            </w:pPr>
            <w:r w:rsidRPr="00D93B9C">
              <w:rPr>
                <w:rFonts w:ascii="Times New Roman" w:hAnsi="Times New Roman"/>
                <w:bCs/>
                <w:sz w:val="18"/>
                <w:szCs w:val="18"/>
                <w:lang w:val="en-US" w:eastAsia="lt-LT"/>
              </w:rPr>
              <w:t>29.777.000</w:t>
            </w:r>
          </w:p>
        </w:tc>
        <w:tc>
          <w:tcPr>
            <w:tcW w:w="1134" w:type="dxa"/>
            <w:shd w:val="clear" w:color="auto" w:fill="auto"/>
            <w:vAlign w:val="center"/>
          </w:tcPr>
          <w:p w:rsidR="00B30D13" w:rsidRPr="00D93B9C" w:rsidRDefault="00B30D13" w:rsidP="00385835">
            <w:pPr>
              <w:spacing w:after="0" w:line="240" w:lineRule="auto"/>
              <w:jc w:val="center"/>
              <w:rPr>
                <w:rFonts w:ascii="Times New Roman" w:hAnsi="Times New Roman"/>
                <w:sz w:val="18"/>
                <w:szCs w:val="18"/>
              </w:rPr>
            </w:pPr>
            <w:r w:rsidRPr="00D93B9C">
              <w:rPr>
                <w:rFonts w:ascii="Times New Roman" w:hAnsi="Times New Roman"/>
                <w:bCs/>
                <w:iCs/>
                <w:sz w:val="18"/>
                <w:szCs w:val="18"/>
                <w:lang w:eastAsia="lt-LT"/>
              </w:rPr>
              <w:t>Duomenys iš projektų</w:t>
            </w:r>
          </w:p>
        </w:tc>
        <w:tc>
          <w:tcPr>
            <w:tcW w:w="1241" w:type="dxa"/>
            <w:shd w:val="clear" w:color="auto" w:fill="auto"/>
            <w:vAlign w:val="center"/>
          </w:tcPr>
          <w:p w:rsidR="00B30D13" w:rsidRPr="00D93B9C" w:rsidRDefault="00B30D13" w:rsidP="00385835">
            <w:pPr>
              <w:spacing w:after="0" w:line="240" w:lineRule="auto"/>
              <w:jc w:val="center"/>
              <w:rPr>
                <w:rFonts w:ascii="Times New Roman" w:hAnsi="Times New Roman"/>
                <w:sz w:val="18"/>
                <w:szCs w:val="18"/>
              </w:rPr>
            </w:pPr>
            <w:r w:rsidRPr="00D93B9C">
              <w:rPr>
                <w:rFonts w:ascii="Times New Roman" w:hAnsi="Times New Roman"/>
                <w:bCs/>
                <w:iCs/>
                <w:sz w:val="18"/>
                <w:szCs w:val="18"/>
                <w:lang w:eastAsia="lt-LT"/>
              </w:rPr>
              <w:t>Kartą per metus</w:t>
            </w:r>
          </w:p>
        </w:tc>
      </w:tr>
      <w:tr w:rsidR="00B30D13" w:rsidRPr="00D93B9C" w:rsidTr="00D93B9C">
        <w:tblPrEx>
          <w:shd w:val="clear" w:color="auto" w:fill="auto"/>
        </w:tblPrEx>
        <w:tc>
          <w:tcPr>
            <w:tcW w:w="565" w:type="dxa"/>
            <w:shd w:val="clear" w:color="auto" w:fill="auto"/>
            <w:vAlign w:val="center"/>
          </w:tcPr>
          <w:p w:rsidR="00B30D13" w:rsidRPr="00D93B9C" w:rsidRDefault="00B30D13"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D93B9C">
              <w:rPr>
                <w:rFonts w:ascii="Times New Roman" w:hAnsi="Times New Roman"/>
                <w:bCs/>
                <w:iCs/>
                <w:sz w:val="18"/>
                <w:szCs w:val="18"/>
                <w:lang w:val="en-US" w:eastAsia="lt-LT"/>
              </w:rPr>
              <w:t>9.</w:t>
            </w:r>
          </w:p>
        </w:tc>
        <w:tc>
          <w:tcPr>
            <w:tcW w:w="2554" w:type="dxa"/>
            <w:shd w:val="clear" w:color="auto" w:fill="auto"/>
            <w:vAlign w:val="center"/>
          </w:tcPr>
          <w:p w:rsidR="00B30D13" w:rsidRPr="00D93B9C" w:rsidRDefault="00B30D13" w:rsidP="00385835">
            <w:pPr>
              <w:widowControl w:val="0"/>
              <w:tabs>
                <w:tab w:val="left" w:pos="622"/>
              </w:tabs>
              <w:spacing w:after="0" w:line="240" w:lineRule="auto"/>
              <w:rPr>
                <w:rFonts w:ascii="Times New Roman" w:hAnsi="Times New Roman"/>
                <w:bCs/>
                <w:sz w:val="18"/>
                <w:szCs w:val="18"/>
              </w:rPr>
            </w:pPr>
            <w:r w:rsidRPr="00D93B9C">
              <w:rPr>
                <w:rFonts w:ascii="Times New Roman" w:hAnsi="Times New Roman"/>
                <w:color w:val="000000"/>
                <w:sz w:val="18"/>
                <w:szCs w:val="18"/>
                <w:lang w:eastAsia="lt-LT"/>
              </w:rPr>
              <w:t>Sveikatos priežiūros personalas, kuriam skirta ESF parama</w:t>
            </w:r>
          </w:p>
        </w:tc>
        <w:tc>
          <w:tcPr>
            <w:tcW w:w="1134" w:type="dxa"/>
            <w:shd w:val="clear" w:color="auto" w:fill="auto"/>
            <w:vAlign w:val="center"/>
          </w:tcPr>
          <w:p w:rsidR="00B30D13" w:rsidRPr="00D93B9C" w:rsidRDefault="00B30D13" w:rsidP="00385835">
            <w:pPr>
              <w:spacing w:after="0" w:line="240" w:lineRule="auto"/>
              <w:jc w:val="center"/>
              <w:rPr>
                <w:rFonts w:ascii="Times New Roman" w:hAnsi="Times New Roman"/>
                <w:sz w:val="18"/>
                <w:szCs w:val="18"/>
              </w:rPr>
            </w:pPr>
            <w:r w:rsidRPr="00D93B9C">
              <w:rPr>
                <w:rFonts w:ascii="Times New Roman" w:hAnsi="Times New Roman"/>
                <w:bCs/>
                <w:iCs/>
                <w:sz w:val="18"/>
                <w:szCs w:val="18"/>
                <w:lang w:eastAsia="lt-LT"/>
              </w:rPr>
              <w:t>Skaičius</w:t>
            </w:r>
          </w:p>
        </w:tc>
        <w:tc>
          <w:tcPr>
            <w:tcW w:w="851" w:type="dxa"/>
            <w:shd w:val="clear" w:color="auto" w:fill="auto"/>
            <w:vAlign w:val="center"/>
          </w:tcPr>
          <w:p w:rsidR="00B30D13" w:rsidRPr="00D93B9C" w:rsidRDefault="00B30D13" w:rsidP="00385835">
            <w:pPr>
              <w:spacing w:after="0" w:line="240" w:lineRule="auto"/>
              <w:jc w:val="center"/>
              <w:rPr>
                <w:rFonts w:ascii="Times New Roman" w:hAnsi="Times New Roman"/>
                <w:sz w:val="18"/>
                <w:szCs w:val="18"/>
              </w:rPr>
            </w:pPr>
            <w:r w:rsidRPr="00D93B9C">
              <w:rPr>
                <w:rFonts w:ascii="Times New Roman" w:hAnsi="Times New Roman"/>
                <w:bCs/>
                <w:iCs/>
                <w:sz w:val="18"/>
                <w:szCs w:val="18"/>
                <w:lang w:eastAsia="lt-LT"/>
              </w:rPr>
              <w:t>ESF</w:t>
            </w:r>
          </w:p>
        </w:tc>
        <w:tc>
          <w:tcPr>
            <w:tcW w:w="1134" w:type="dxa"/>
            <w:shd w:val="clear" w:color="auto" w:fill="auto"/>
            <w:vAlign w:val="center"/>
          </w:tcPr>
          <w:p w:rsidR="00B30D13" w:rsidRPr="00D93B9C" w:rsidRDefault="00B30D13" w:rsidP="00385835">
            <w:pPr>
              <w:spacing w:after="0" w:line="240" w:lineRule="auto"/>
              <w:jc w:val="center"/>
              <w:rPr>
                <w:rFonts w:ascii="Times New Roman" w:eastAsia="AngsanaUPC" w:hAnsi="Times New Roman"/>
                <w:bCs/>
                <w:iCs/>
                <w:sz w:val="18"/>
                <w:szCs w:val="18"/>
                <w:lang w:eastAsia="lt-LT"/>
              </w:rPr>
            </w:pPr>
            <w:r w:rsidRPr="00D93B9C">
              <w:rPr>
                <w:rFonts w:ascii="Times New Roman" w:hAnsi="Times New Roman"/>
                <w:bCs/>
                <w:iCs/>
                <w:sz w:val="18"/>
                <w:szCs w:val="18"/>
                <w:lang w:eastAsia="lt-LT"/>
              </w:rPr>
              <w:t>Mažiau išsivystęs</w:t>
            </w:r>
          </w:p>
        </w:tc>
        <w:tc>
          <w:tcPr>
            <w:tcW w:w="1134" w:type="dxa"/>
            <w:shd w:val="clear" w:color="auto" w:fill="auto"/>
            <w:vAlign w:val="center"/>
          </w:tcPr>
          <w:p w:rsidR="00B30D13" w:rsidRPr="00D93B9C" w:rsidRDefault="00B30D13" w:rsidP="009348A3">
            <w:pPr>
              <w:spacing w:after="0" w:line="240" w:lineRule="auto"/>
              <w:jc w:val="center"/>
              <w:rPr>
                <w:rFonts w:ascii="Times New Roman" w:hAnsi="Times New Roman"/>
                <w:sz w:val="18"/>
                <w:szCs w:val="18"/>
              </w:rPr>
            </w:pPr>
            <w:r w:rsidRPr="00D93B9C">
              <w:rPr>
                <w:rFonts w:ascii="Times New Roman" w:hAnsi="Times New Roman"/>
                <w:sz w:val="18"/>
                <w:szCs w:val="18"/>
                <w:lang w:eastAsia="lt-LT"/>
              </w:rPr>
              <w:t>1.600</w:t>
            </w:r>
          </w:p>
        </w:tc>
        <w:tc>
          <w:tcPr>
            <w:tcW w:w="1134" w:type="dxa"/>
            <w:shd w:val="clear" w:color="auto" w:fill="auto"/>
            <w:vAlign w:val="center"/>
          </w:tcPr>
          <w:p w:rsidR="00B30D13" w:rsidRPr="00D93B9C" w:rsidRDefault="00B30D13" w:rsidP="00385835">
            <w:pPr>
              <w:spacing w:after="0" w:line="240" w:lineRule="auto"/>
              <w:jc w:val="center"/>
              <w:rPr>
                <w:rFonts w:ascii="Times New Roman" w:hAnsi="Times New Roman"/>
                <w:sz w:val="18"/>
                <w:szCs w:val="18"/>
              </w:rPr>
            </w:pPr>
            <w:r w:rsidRPr="00D93B9C">
              <w:rPr>
                <w:rFonts w:ascii="Times New Roman" w:hAnsi="Times New Roman"/>
                <w:bCs/>
                <w:iCs/>
                <w:sz w:val="18"/>
                <w:szCs w:val="18"/>
                <w:lang w:eastAsia="lt-LT"/>
              </w:rPr>
              <w:t>Duomenys iš projektų</w:t>
            </w:r>
          </w:p>
        </w:tc>
        <w:tc>
          <w:tcPr>
            <w:tcW w:w="1241" w:type="dxa"/>
            <w:shd w:val="clear" w:color="auto" w:fill="auto"/>
            <w:vAlign w:val="center"/>
          </w:tcPr>
          <w:p w:rsidR="00B30D13" w:rsidRPr="00D93B9C" w:rsidRDefault="00B30D13" w:rsidP="00385835">
            <w:pPr>
              <w:spacing w:after="0" w:line="240" w:lineRule="auto"/>
              <w:jc w:val="center"/>
              <w:rPr>
                <w:rFonts w:ascii="Times New Roman" w:hAnsi="Times New Roman"/>
                <w:sz w:val="18"/>
                <w:szCs w:val="18"/>
              </w:rPr>
            </w:pPr>
            <w:r w:rsidRPr="00D93B9C">
              <w:rPr>
                <w:rFonts w:ascii="Times New Roman" w:hAnsi="Times New Roman"/>
                <w:bCs/>
                <w:iCs/>
                <w:sz w:val="18"/>
                <w:szCs w:val="18"/>
                <w:lang w:eastAsia="lt-LT"/>
              </w:rPr>
              <w:t>Kartą per metus</w:t>
            </w:r>
          </w:p>
        </w:tc>
      </w:tr>
      <w:tr w:rsidR="00B30D13" w:rsidRPr="00D93B9C" w:rsidTr="00D93B9C">
        <w:tblPrEx>
          <w:shd w:val="clear" w:color="auto" w:fill="auto"/>
        </w:tblPrEx>
        <w:tc>
          <w:tcPr>
            <w:tcW w:w="565" w:type="dxa"/>
            <w:shd w:val="clear" w:color="auto" w:fill="auto"/>
            <w:vAlign w:val="center"/>
          </w:tcPr>
          <w:p w:rsidR="00B30D13" w:rsidRPr="00D93B9C" w:rsidRDefault="00B30D13"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D93B9C">
              <w:rPr>
                <w:rFonts w:ascii="Times New Roman" w:hAnsi="Times New Roman"/>
                <w:bCs/>
                <w:iCs/>
                <w:sz w:val="18"/>
                <w:szCs w:val="18"/>
                <w:lang w:val="en-US" w:eastAsia="lt-LT"/>
              </w:rPr>
              <w:t>10.</w:t>
            </w:r>
          </w:p>
        </w:tc>
        <w:tc>
          <w:tcPr>
            <w:tcW w:w="2554" w:type="dxa"/>
            <w:shd w:val="clear" w:color="auto" w:fill="auto"/>
            <w:vAlign w:val="center"/>
          </w:tcPr>
          <w:p w:rsidR="00B30D13" w:rsidRPr="00D93B9C" w:rsidRDefault="00B30D13" w:rsidP="00385835">
            <w:pPr>
              <w:widowControl w:val="0"/>
              <w:tabs>
                <w:tab w:val="left" w:pos="622"/>
              </w:tabs>
              <w:spacing w:after="0" w:line="240" w:lineRule="auto"/>
              <w:rPr>
                <w:rFonts w:ascii="Times New Roman" w:hAnsi="Times New Roman"/>
                <w:bCs/>
                <w:sz w:val="18"/>
                <w:szCs w:val="18"/>
              </w:rPr>
            </w:pPr>
            <w:r w:rsidRPr="00D93B9C">
              <w:rPr>
                <w:rFonts w:ascii="Times New Roman" w:hAnsi="Times New Roman"/>
                <w:sz w:val="18"/>
                <w:szCs w:val="18"/>
              </w:rPr>
              <w:t>Dalyviai, remiami kovojant su COVID-19 pandemijos poveikiu arba neutralizuojant jo poveikį</w:t>
            </w:r>
          </w:p>
        </w:tc>
        <w:tc>
          <w:tcPr>
            <w:tcW w:w="1134" w:type="dxa"/>
            <w:shd w:val="clear" w:color="auto" w:fill="auto"/>
            <w:vAlign w:val="center"/>
          </w:tcPr>
          <w:p w:rsidR="00B30D13" w:rsidRPr="00D93B9C" w:rsidRDefault="00B30D13" w:rsidP="00385835">
            <w:pPr>
              <w:spacing w:after="0" w:line="240" w:lineRule="auto"/>
              <w:jc w:val="center"/>
              <w:rPr>
                <w:rFonts w:ascii="Times New Roman" w:hAnsi="Times New Roman"/>
                <w:sz w:val="18"/>
                <w:szCs w:val="18"/>
              </w:rPr>
            </w:pPr>
            <w:r w:rsidRPr="00D93B9C">
              <w:rPr>
                <w:rFonts w:ascii="Times New Roman" w:hAnsi="Times New Roman"/>
                <w:bCs/>
                <w:iCs/>
                <w:sz w:val="18"/>
                <w:szCs w:val="18"/>
                <w:lang w:eastAsia="lt-LT"/>
              </w:rPr>
              <w:t>Skaičius</w:t>
            </w:r>
          </w:p>
        </w:tc>
        <w:tc>
          <w:tcPr>
            <w:tcW w:w="851" w:type="dxa"/>
            <w:shd w:val="clear" w:color="auto" w:fill="auto"/>
            <w:vAlign w:val="center"/>
          </w:tcPr>
          <w:p w:rsidR="00B30D13" w:rsidRPr="00D93B9C" w:rsidRDefault="00B30D13" w:rsidP="00385835">
            <w:pPr>
              <w:spacing w:after="0" w:line="240" w:lineRule="auto"/>
              <w:jc w:val="center"/>
              <w:rPr>
                <w:rFonts w:ascii="Times New Roman" w:hAnsi="Times New Roman"/>
                <w:sz w:val="18"/>
                <w:szCs w:val="18"/>
              </w:rPr>
            </w:pPr>
            <w:r w:rsidRPr="00D93B9C">
              <w:rPr>
                <w:rFonts w:ascii="Times New Roman" w:hAnsi="Times New Roman"/>
                <w:bCs/>
                <w:iCs/>
                <w:sz w:val="18"/>
                <w:szCs w:val="18"/>
                <w:lang w:eastAsia="lt-LT"/>
              </w:rPr>
              <w:t>ESF</w:t>
            </w:r>
          </w:p>
        </w:tc>
        <w:tc>
          <w:tcPr>
            <w:tcW w:w="1134" w:type="dxa"/>
            <w:shd w:val="clear" w:color="auto" w:fill="auto"/>
            <w:vAlign w:val="center"/>
          </w:tcPr>
          <w:p w:rsidR="00B30D13" w:rsidRPr="00D93B9C" w:rsidRDefault="00B30D13" w:rsidP="00385835">
            <w:pPr>
              <w:spacing w:after="0" w:line="240" w:lineRule="auto"/>
              <w:jc w:val="center"/>
              <w:rPr>
                <w:rFonts w:ascii="Times New Roman" w:eastAsia="AngsanaUPC" w:hAnsi="Times New Roman"/>
                <w:bCs/>
                <w:iCs/>
                <w:sz w:val="18"/>
                <w:szCs w:val="18"/>
                <w:lang w:eastAsia="lt-LT"/>
              </w:rPr>
            </w:pPr>
            <w:r w:rsidRPr="00D93B9C">
              <w:rPr>
                <w:rFonts w:ascii="Times New Roman" w:hAnsi="Times New Roman"/>
                <w:bCs/>
                <w:iCs/>
                <w:sz w:val="18"/>
                <w:szCs w:val="18"/>
                <w:lang w:eastAsia="lt-LT"/>
              </w:rPr>
              <w:t>Mažiau išsivystęs</w:t>
            </w:r>
          </w:p>
        </w:tc>
        <w:tc>
          <w:tcPr>
            <w:tcW w:w="1134" w:type="dxa"/>
            <w:shd w:val="clear" w:color="auto" w:fill="auto"/>
            <w:vAlign w:val="center"/>
          </w:tcPr>
          <w:p w:rsidR="00B30D13" w:rsidRPr="00D93B9C" w:rsidRDefault="00B30D13" w:rsidP="009348A3">
            <w:pPr>
              <w:spacing w:after="0" w:line="240" w:lineRule="auto"/>
              <w:jc w:val="center"/>
              <w:rPr>
                <w:rFonts w:ascii="Times New Roman" w:hAnsi="Times New Roman"/>
                <w:sz w:val="18"/>
                <w:szCs w:val="18"/>
              </w:rPr>
            </w:pPr>
            <w:r w:rsidRPr="00D93B9C">
              <w:rPr>
                <w:rFonts w:ascii="Times New Roman" w:hAnsi="Times New Roman"/>
                <w:sz w:val="18"/>
                <w:szCs w:val="18"/>
                <w:lang w:eastAsia="lt-LT"/>
              </w:rPr>
              <w:t>1.600</w:t>
            </w:r>
          </w:p>
        </w:tc>
        <w:tc>
          <w:tcPr>
            <w:tcW w:w="1134" w:type="dxa"/>
            <w:shd w:val="clear" w:color="auto" w:fill="auto"/>
            <w:vAlign w:val="center"/>
          </w:tcPr>
          <w:p w:rsidR="00B30D13" w:rsidRPr="00D93B9C" w:rsidRDefault="00B30D13" w:rsidP="00385835">
            <w:pPr>
              <w:spacing w:after="0" w:line="240" w:lineRule="auto"/>
              <w:jc w:val="center"/>
              <w:rPr>
                <w:rFonts w:ascii="Times New Roman" w:hAnsi="Times New Roman"/>
                <w:sz w:val="18"/>
                <w:szCs w:val="18"/>
              </w:rPr>
            </w:pPr>
            <w:r w:rsidRPr="00D93B9C">
              <w:rPr>
                <w:rFonts w:ascii="Times New Roman" w:hAnsi="Times New Roman"/>
                <w:bCs/>
                <w:iCs/>
                <w:sz w:val="18"/>
                <w:szCs w:val="18"/>
                <w:lang w:eastAsia="lt-LT"/>
              </w:rPr>
              <w:t>Duomenys iš projektų</w:t>
            </w:r>
          </w:p>
        </w:tc>
        <w:tc>
          <w:tcPr>
            <w:tcW w:w="1241" w:type="dxa"/>
            <w:shd w:val="clear" w:color="auto" w:fill="auto"/>
            <w:vAlign w:val="center"/>
          </w:tcPr>
          <w:p w:rsidR="00B30D13" w:rsidRPr="00D93B9C" w:rsidRDefault="00B30D13" w:rsidP="00385835">
            <w:pPr>
              <w:spacing w:after="0" w:line="240" w:lineRule="auto"/>
              <w:jc w:val="center"/>
              <w:rPr>
                <w:rFonts w:ascii="Times New Roman" w:hAnsi="Times New Roman"/>
                <w:sz w:val="18"/>
                <w:szCs w:val="18"/>
              </w:rPr>
            </w:pPr>
            <w:r w:rsidRPr="00D93B9C">
              <w:rPr>
                <w:rFonts w:ascii="Times New Roman" w:hAnsi="Times New Roman"/>
                <w:bCs/>
                <w:iCs/>
                <w:sz w:val="18"/>
                <w:szCs w:val="18"/>
                <w:lang w:eastAsia="lt-LT"/>
              </w:rPr>
              <w:t>Kartą per metus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vAlign w:val="center"/>
          </w:tcPr>
          <w:p w:rsidR="00385835" w:rsidRPr="00385835" w:rsidRDefault="00385835" w:rsidP="00385835">
            <w:pPr>
              <w:widowControl w:val="0"/>
              <w:tabs>
                <w:tab w:val="left" w:pos="622"/>
              </w:tabs>
              <w:spacing w:after="0" w:line="240" w:lineRule="auto"/>
              <w:rPr>
                <w:rFonts w:ascii="Times New Roman" w:eastAsia="AngsanaUPC" w:hAnsi="Times New Roman"/>
                <w:b/>
                <w:bCs/>
                <w:iCs/>
                <w:sz w:val="24"/>
                <w:szCs w:val="24"/>
                <w:lang w:eastAsia="lt-LT"/>
              </w:rPr>
            </w:pPr>
            <w:r w:rsidRPr="00385835">
              <w:rPr>
                <w:rFonts w:ascii="Times New Roman" w:eastAsia="AngsanaUPC" w:hAnsi="Times New Roman"/>
                <w:b/>
                <w:bCs/>
                <w:iCs/>
                <w:sz w:val="24"/>
                <w:szCs w:val="24"/>
                <w:lang w:eastAsia="lt-LT"/>
              </w:rPr>
              <w:t>8.5. INVESTICINIS PRIORITETAS</w:t>
            </w:r>
          </w:p>
        </w:tc>
        <w:tc>
          <w:tcPr>
            <w:tcW w:w="7336" w:type="dxa"/>
            <w:shd w:val="clear" w:color="auto" w:fill="EEECE1"/>
            <w:vAlign w:val="center"/>
          </w:tcPr>
          <w:p w:rsidR="00385835" w:rsidRPr="00385835" w:rsidRDefault="00385835" w:rsidP="00385835">
            <w:pPr>
              <w:spacing w:after="0" w:line="240" w:lineRule="auto"/>
              <w:jc w:val="both"/>
              <w:rPr>
                <w:rFonts w:ascii="Times New Roman" w:hAnsi="Times New Roman"/>
                <w:b/>
                <w:sz w:val="24"/>
                <w:szCs w:val="24"/>
              </w:rPr>
            </w:pPr>
            <w:r w:rsidRPr="00385835">
              <w:rPr>
                <w:rFonts w:ascii="Times New Roman" w:hAnsi="Times New Roman"/>
                <w:b/>
                <w:sz w:val="24"/>
                <w:szCs w:val="24"/>
              </w:rPr>
              <w:t>Socialinės verslininkystės ir profesinės integracijos socialinėse įmonėse bei socialinės ir solidarumo ekonomikos skatinimas</w:t>
            </w:r>
            <w:r w:rsidR="0025526E">
              <w:rPr>
                <w:rFonts w:ascii="Times New Roman" w:hAnsi="Times New Roman"/>
                <w:b/>
                <w:sz w:val="24"/>
                <w:szCs w:val="24"/>
              </w:rPr>
              <w:t>,</w:t>
            </w:r>
            <w:r w:rsidRPr="00385835">
              <w:rPr>
                <w:rFonts w:ascii="Times New Roman" w:hAnsi="Times New Roman"/>
                <w:b/>
                <w:sz w:val="24"/>
                <w:szCs w:val="24"/>
              </w:rPr>
              <w:t xml:space="preserve"> siekiant </w:t>
            </w:r>
            <w:r w:rsidRPr="00385835">
              <w:rPr>
                <w:rFonts w:ascii="Times New Roman" w:hAnsi="Times New Roman"/>
                <w:b/>
                <w:sz w:val="24"/>
                <w:szCs w:val="24"/>
              </w:rPr>
              <w:lastRenderedPageBreak/>
              <w:t>padid</w:t>
            </w:r>
            <w:r w:rsidR="00031EF1">
              <w:rPr>
                <w:rFonts w:ascii="Times New Roman" w:hAnsi="Times New Roman"/>
                <w:b/>
                <w:sz w:val="24"/>
                <w:szCs w:val="24"/>
              </w:rPr>
              <w:t>inti įsidarbinimo galimybes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FONDAS</w:t>
            </w:r>
          </w:p>
        </w:tc>
        <w:tc>
          <w:tcPr>
            <w:tcW w:w="7336"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Europos socialinis fondas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tcPr>
          <w:p w:rsidR="00385835" w:rsidRPr="00385835" w:rsidRDefault="00385835" w:rsidP="00385835">
            <w:pPr>
              <w:widowControl w:val="0"/>
              <w:tabs>
                <w:tab w:val="left" w:pos="622"/>
              </w:tabs>
              <w:spacing w:after="0" w:line="240" w:lineRule="auto"/>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8.5.1. KONKRETUS UŽDAVINYS</w:t>
            </w:r>
          </w:p>
        </w:tc>
        <w:tc>
          <w:tcPr>
            <w:tcW w:w="7336" w:type="dxa"/>
            <w:shd w:val="clear" w:color="auto" w:fill="EEECE1"/>
            <w:vAlign w:val="center"/>
          </w:tcPr>
          <w:p w:rsidR="00385835" w:rsidRPr="00385835" w:rsidRDefault="00385835" w:rsidP="00385835">
            <w:pPr>
              <w:spacing w:after="0" w:line="240" w:lineRule="auto"/>
              <w:jc w:val="both"/>
              <w:rPr>
                <w:rFonts w:ascii="Times New Roman" w:hAnsi="Times New Roman"/>
                <w:b/>
                <w:sz w:val="24"/>
                <w:szCs w:val="24"/>
              </w:rPr>
            </w:pPr>
            <w:r w:rsidRPr="00385835">
              <w:rPr>
                <w:rFonts w:ascii="Times New Roman" w:hAnsi="Times New Roman"/>
                <w:b/>
                <w:sz w:val="24"/>
                <w:szCs w:val="24"/>
              </w:rPr>
              <w:t>Paskatinti socialinį verslumą ir socialinę atsakomybę didinančių iniciatyvų atsiradimą</w:t>
            </w:r>
          </w:p>
        </w:tc>
      </w:tr>
      <w:tr w:rsidR="00385835" w:rsidRPr="00385835" w:rsidTr="00385835">
        <w:tc>
          <w:tcPr>
            <w:tcW w:w="9746" w:type="dxa"/>
            <w:gridSpan w:val="2"/>
            <w:shd w:val="clear" w:color="auto" w:fill="auto"/>
          </w:tcPr>
          <w:p w:rsidR="00385835" w:rsidRPr="00385835" w:rsidRDefault="00385835" w:rsidP="00385835">
            <w:pPr>
              <w:spacing w:after="0" w:line="240" w:lineRule="auto"/>
              <w:ind w:firstLine="720"/>
              <w:jc w:val="both"/>
              <w:rPr>
                <w:rFonts w:ascii="Times New Roman" w:hAnsi="Times New Roman"/>
                <w:sz w:val="24"/>
                <w:szCs w:val="24"/>
              </w:rPr>
            </w:pPr>
            <w:r w:rsidRPr="00385835">
              <w:rPr>
                <w:rFonts w:ascii="Times New Roman" w:hAnsi="Times New Roman"/>
                <w:sz w:val="24"/>
                <w:szCs w:val="24"/>
              </w:rPr>
              <w:t>Įgyvendinant šį uždavinį</w:t>
            </w:r>
            <w:r w:rsidR="00A04756">
              <w:rPr>
                <w:rFonts w:ascii="Times New Roman" w:hAnsi="Times New Roman"/>
                <w:sz w:val="24"/>
                <w:szCs w:val="24"/>
              </w:rPr>
              <w:t>,</w:t>
            </w:r>
            <w:r w:rsidRPr="00385835">
              <w:rPr>
                <w:rFonts w:ascii="Times New Roman" w:hAnsi="Times New Roman"/>
                <w:sz w:val="24"/>
                <w:szCs w:val="24"/>
              </w:rPr>
              <w:t xml:space="preserve"> siekiama prisidėti prie socialinės ekonomikos Lietuvoje kūrimo ir sustiprinti būtent socialinį aspektą, remiant socialinį verslą, socialines įmones, įmonių socialinę atsakomybę ir soci</w:t>
            </w:r>
            <w:r w:rsidR="00D93B9C">
              <w:rPr>
                <w:rFonts w:ascii="Times New Roman" w:hAnsi="Times New Roman"/>
                <w:sz w:val="24"/>
                <w:szCs w:val="24"/>
              </w:rPr>
              <w:t>alinį dialogą bei partnerystes.</w:t>
            </w:r>
          </w:p>
          <w:p w:rsidR="00385835" w:rsidRPr="00385835" w:rsidRDefault="00385835" w:rsidP="00385835">
            <w:pPr>
              <w:spacing w:after="0" w:line="240" w:lineRule="auto"/>
              <w:ind w:firstLine="720"/>
              <w:jc w:val="both"/>
              <w:rPr>
                <w:rFonts w:ascii="Times New Roman" w:hAnsi="Times New Roman"/>
                <w:sz w:val="24"/>
                <w:szCs w:val="24"/>
              </w:rPr>
            </w:pPr>
            <w:r w:rsidRPr="00385835">
              <w:rPr>
                <w:rFonts w:ascii="Times New Roman" w:hAnsi="Times New Roman"/>
                <w:sz w:val="24"/>
                <w:szCs w:val="24"/>
              </w:rPr>
              <w:t>Lietuvoje šiuo metu yra rengiama Socialinio verslo koncepcija ir diskutuojama apie valstybės vaidmenį skatinant socialinio verslo kūrimąsi bei plėtrą. Didžiausias iššūkis yra sukurti tokį socialinį verslą, kuris veiktų kaip priemonė, pritraukianti privatų finansinį ir žmogiškąjį kapitalą, efektyviai panaudojanti valstybės lėšas ir, galiausiai, išlaikanti save pas</w:t>
            </w:r>
            <w:r w:rsidR="00D93B9C">
              <w:rPr>
                <w:rFonts w:ascii="Times New Roman" w:hAnsi="Times New Roman"/>
                <w:sz w:val="24"/>
                <w:szCs w:val="24"/>
              </w:rPr>
              <w:t>irinktoje probleminėje srityje.</w:t>
            </w:r>
          </w:p>
          <w:p w:rsidR="00385835" w:rsidRPr="00385835" w:rsidRDefault="00385835" w:rsidP="00385835">
            <w:pPr>
              <w:spacing w:after="0" w:line="240" w:lineRule="auto"/>
              <w:ind w:firstLine="720"/>
              <w:jc w:val="both"/>
              <w:rPr>
                <w:rFonts w:ascii="Times New Roman" w:hAnsi="Times New Roman"/>
                <w:sz w:val="24"/>
                <w:szCs w:val="24"/>
              </w:rPr>
            </w:pPr>
            <w:r w:rsidRPr="00385835">
              <w:rPr>
                <w:rFonts w:ascii="Times New Roman" w:hAnsi="Times New Roman"/>
                <w:sz w:val="24"/>
                <w:szCs w:val="24"/>
              </w:rPr>
              <w:t>Siekiant praktiškai išbandyti įvairius socialinio verslo modelius</w:t>
            </w:r>
            <w:r w:rsidR="00A04756">
              <w:rPr>
                <w:rFonts w:ascii="Times New Roman" w:hAnsi="Times New Roman"/>
                <w:sz w:val="24"/>
                <w:szCs w:val="24"/>
              </w:rPr>
              <w:t>,</w:t>
            </w:r>
            <w:r w:rsidRPr="00385835">
              <w:rPr>
                <w:rFonts w:ascii="Times New Roman" w:hAnsi="Times New Roman"/>
                <w:sz w:val="24"/>
                <w:szCs w:val="24"/>
              </w:rPr>
              <w:t xml:space="preserve"> numatoma ESF lėšas skirti</w:t>
            </w:r>
            <w:proofErr w:type="gramStart"/>
            <w:r w:rsidRPr="00385835">
              <w:rPr>
                <w:rFonts w:ascii="Times New Roman" w:hAnsi="Times New Roman"/>
                <w:sz w:val="24"/>
                <w:szCs w:val="24"/>
              </w:rPr>
              <w:t xml:space="preserve">  </w:t>
            </w:r>
            <w:proofErr w:type="gramEnd"/>
            <w:r w:rsidRPr="00385835">
              <w:rPr>
                <w:rFonts w:ascii="Times New Roman" w:hAnsi="Times New Roman"/>
                <w:sz w:val="24"/>
                <w:szCs w:val="24"/>
              </w:rPr>
              <w:t xml:space="preserve">iniciatyvoms, </w:t>
            </w:r>
            <w:r w:rsidR="00A04756">
              <w:rPr>
                <w:rFonts w:ascii="Times New Roman" w:hAnsi="Times New Roman"/>
                <w:sz w:val="24"/>
                <w:szCs w:val="24"/>
              </w:rPr>
              <w:t>dėl kurių</w:t>
            </w:r>
            <w:r w:rsidRPr="00385835">
              <w:rPr>
                <w:rFonts w:ascii="Times New Roman" w:hAnsi="Times New Roman"/>
                <w:sz w:val="24"/>
                <w:szCs w:val="24"/>
              </w:rPr>
              <w:t xml:space="preserve"> atsirastų socialinio verslo pagrindais veikiančių įmonių ir organizacijų. Parama taip pat bus tei</w:t>
            </w:r>
            <w:r w:rsidR="00A04756">
              <w:rPr>
                <w:rFonts w:ascii="Times New Roman" w:hAnsi="Times New Roman"/>
                <w:sz w:val="24"/>
                <w:szCs w:val="24"/>
              </w:rPr>
              <w:t xml:space="preserve">kiama </w:t>
            </w:r>
            <w:r w:rsidRPr="00385835">
              <w:rPr>
                <w:rFonts w:ascii="Times New Roman" w:hAnsi="Times New Roman"/>
                <w:sz w:val="24"/>
                <w:szCs w:val="24"/>
              </w:rPr>
              <w:t>šiuo metu Lietuvoje veikiančioms socialinėms įmonėms, kuriose daugiausia įdarbinami asmenys su negalia. Bus siekiama didinti neįgalių darbuotojų užimtumo lygį, išlaikyti jų darbo vietas, remti naujai įdarbintus neįgaliuosius, didinti jų socialinę integraciją bei mažinti socialinę atskirtį, asistentų pagalba padėti neįgaliesiems atlikti darbo funkcijas.</w:t>
            </w:r>
          </w:p>
          <w:p w:rsidR="00385835" w:rsidRPr="00385835" w:rsidRDefault="00385835" w:rsidP="00385835">
            <w:pPr>
              <w:spacing w:after="0" w:line="240" w:lineRule="auto"/>
              <w:ind w:firstLine="720"/>
              <w:jc w:val="both"/>
              <w:rPr>
                <w:rFonts w:ascii="Times New Roman" w:hAnsi="Times New Roman"/>
                <w:sz w:val="24"/>
                <w:szCs w:val="24"/>
              </w:rPr>
            </w:pPr>
            <w:r w:rsidRPr="00385835">
              <w:rPr>
                <w:rFonts w:ascii="Times New Roman" w:hAnsi="Times New Roman"/>
                <w:sz w:val="24"/>
                <w:szCs w:val="24"/>
              </w:rPr>
              <w:t>Siekiant didinti verslo socialinę ir aplinkosaugos atsakomybę, kuri ilguoju periodu prisideda prie žmonių socialinės gerovės, numatoma skatinti įmonių socialinę atsakomybę. Lietuvos Nacionalinio atsakingo verslo tinklo narėmis yra tik 130 įmonių, iš kurių 87 yra prisijungusios prie JT pasaulinio susitarimo „Global Compact“. Dažniausiai ĮSA koncepcija yra diegiama stambiose įmonėse, o smulkaus ir vidutinio verslo įmonės socialiai atsakingo verslo praktiką naudoja gerokai rečiau, motyvuodamos išaugančiais kaštais. Todėl planuojama ir toliau skatinti atsakingo verslo tinklo plėtrą ir įmonių socialinės atsakomybės iniciatyvas, ypatingą dėmesį skiriant smulkaus ir vidutinio verslo sektoriui.</w:t>
            </w:r>
          </w:p>
          <w:p w:rsidR="00385835" w:rsidRPr="00385835" w:rsidRDefault="00385835" w:rsidP="00385835">
            <w:pPr>
              <w:spacing w:after="0" w:line="240" w:lineRule="auto"/>
              <w:ind w:firstLine="720"/>
              <w:jc w:val="both"/>
              <w:rPr>
                <w:rFonts w:ascii="Times New Roman" w:hAnsi="Times New Roman"/>
                <w:sz w:val="24"/>
                <w:szCs w:val="24"/>
              </w:rPr>
            </w:pPr>
            <w:r w:rsidRPr="00385835">
              <w:rPr>
                <w:rFonts w:ascii="Times New Roman" w:hAnsi="Times New Roman"/>
                <w:sz w:val="24"/>
                <w:szCs w:val="24"/>
              </w:rPr>
              <w:t>Strategijoje „Lietuva 2030“ numatyta sukurti mechanizmus, padėsiančius piliečius ir kitas suinteresuotas grupes įtraukti į visuomenės poreikių nustatymą ir užtikrinti jų dalyvavimą konstruktyvaus dialogo forma visais sprendimų priėmimo lygmenimis. Šiuo metu skirtingų sektorių bendradarbiavimas, ypač savivaldos lygmenyje, dažnai yra fragmentiškas, netvarus ir nepakankamai struktūruotas. Todėl siekiant paskatinti socialinių partnerių organizacijų konsultacijas, derybas ir bendrus veiksmus bei viešojo, nevyriausybinio ir privataus sektori</w:t>
            </w:r>
            <w:r w:rsidR="00711655">
              <w:rPr>
                <w:rFonts w:ascii="Times New Roman" w:hAnsi="Times New Roman"/>
                <w:sz w:val="24"/>
                <w:szCs w:val="24"/>
              </w:rPr>
              <w:t>ų pastangų derinimą sprendžiant</w:t>
            </w:r>
            <w:r w:rsidRPr="00385835">
              <w:rPr>
                <w:rFonts w:ascii="Times New Roman" w:hAnsi="Times New Roman"/>
                <w:sz w:val="24"/>
                <w:szCs w:val="24"/>
              </w:rPr>
              <w:t xml:space="preserve"> konkrečią (nacionalinio ar vietos lygmens) problemą, numatoma remti socialinį dialogą bei  partnerystes. Bus remiamos iniciatyvos, dėl kurių sugeba susitarti ir prie kurių įgyvendinimo nori prisidėti visos suinteresuotos pusės. Galimos partnerysčių sritys: aktyvi įtrauktis, aktyvios darbo rinkos priemonės, jaunimo nedarbo problemų sprendimas, aktyvus senėjimas, moterų ir vyrų lygybės ir nediskriminavimo principų diegimas darbo rinkoje.</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
        <w:gridCol w:w="2023"/>
        <w:gridCol w:w="992"/>
        <w:gridCol w:w="992"/>
        <w:gridCol w:w="709"/>
        <w:gridCol w:w="567"/>
        <w:gridCol w:w="851"/>
        <w:gridCol w:w="708"/>
        <w:gridCol w:w="632"/>
        <w:gridCol w:w="1097"/>
        <w:gridCol w:w="646"/>
      </w:tblGrid>
      <w:tr w:rsidR="00385835" w:rsidRPr="00385835" w:rsidTr="0056304C">
        <w:trPr>
          <w:tblHeader/>
        </w:trPr>
        <w:tc>
          <w:tcPr>
            <w:tcW w:w="9746" w:type="dxa"/>
            <w:gridSpan w:val="11"/>
            <w:tcBorders>
              <w:top w:val="single" w:sz="4" w:space="0" w:color="auto"/>
              <w:left w:val="single" w:sz="4" w:space="0" w:color="auto"/>
              <w:bottom w:val="single" w:sz="4" w:space="0" w:color="auto"/>
              <w:right w:val="single" w:sz="4" w:space="0" w:color="auto"/>
            </w:tcBorders>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i/>
                <w:iCs/>
                <w:sz w:val="24"/>
                <w:szCs w:val="24"/>
                <w:lang w:eastAsia="lt-LT"/>
              </w:rPr>
            </w:pPr>
            <w:r w:rsidRPr="00385835">
              <w:rPr>
                <w:rFonts w:ascii="Times New Roman" w:eastAsia="AngsanaUPC" w:hAnsi="Times New Roman"/>
                <w:b/>
                <w:bCs/>
                <w:i/>
                <w:iCs/>
                <w:sz w:val="24"/>
                <w:szCs w:val="24"/>
                <w:lang w:eastAsia="lt-LT"/>
              </w:rPr>
              <w:t xml:space="preserve">ESF </w:t>
            </w:r>
            <w:r w:rsidR="00A9401B">
              <w:rPr>
                <w:rFonts w:ascii="Times New Roman" w:eastAsia="AngsanaUPC" w:hAnsi="Times New Roman"/>
                <w:b/>
                <w:bCs/>
                <w:i/>
                <w:iCs/>
                <w:sz w:val="24"/>
                <w:szCs w:val="24"/>
                <w:lang w:eastAsia="lt-LT"/>
              </w:rPr>
              <w:t xml:space="preserve">bendrieji ir </w:t>
            </w:r>
            <w:r w:rsidR="006827C9">
              <w:rPr>
                <w:rFonts w:ascii="Times New Roman" w:eastAsia="AngsanaUPC" w:hAnsi="Times New Roman"/>
                <w:b/>
                <w:bCs/>
                <w:i/>
                <w:iCs/>
                <w:sz w:val="24"/>
                <w:szCs w:val="24"/>
                <w:lang w:eastAsia="lt-LT"/>
              </w:rPr>
              <w:t>specialieji</w:t>
            </w:r>
            <w:r w:rsidR="006827C9" w:rsidRPr="00385835">
              <w:rPr>
                <w:rFonts w:ascii="Times New Roman" w:eastAsia="AngsanaUPC" w:hAnsi="Times New Roman"/>
                <w:b/>
                <w:bCs/>
                <w:i/>
                <w:iCs/>
                <w:sz w:val="24"/>
                <w:szCs w:val="24"/>
                <w:lang w:eastAsia="lt-LT"/>
              </w:rPr>
              <w:t xml:space="preserve"> </w:t>
            </w:r>
            <w:r w:rsidRPr="00385835">
              <w:rPr>
                <w:rFonts w:ascii="Times New Roman" w:eastAsia="AngsanaUPC" w:hAnsi="Times New Roman"/>
                <w:b/>
                <w:bCs/>
                <w:i/>
                <w:iCs/>
                <w:sz w:val="24"/>
                <w:szCs w:val="24"/>
                <w:lang w:eastAsia="lt-LT"/>
              </w:rPr>
              <w:t>programos rezultato rodikliai</w:t>
            </w:r>
          </w:p>
        </w:tc>
      </w:tr>
      <w:tr w:rsidR="00385835" w:rsidRPr="00385835" w:rsidTr="0056304C">
        <w:trPr>
          <w:cantSplit/>
          <w:trHeight w:val="1837"/>
          <w:tblHeader/>
        </w:trPr>
        <w:tc>
          <w:tcPr>
            <w:tcW w:w="529"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Nr.</w:t>
            </w:r>
          </w:p>
        </w:tc>
        <w:tc>
          <w:tcPr>
            <w:tcW w:w="2023"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Rodiklio pavadinimas</w:t>
            </w:r>
          </w:p>
        </w:tc>
        <w:tc>
          <w:tcPr>
            <w:tcW w:w="992"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Regiono kategorija</w:t>
            </w:r>
          </w:p>
        </w:tc>
        <w:tc>
          <w:tcPr>
            <w:tcW w:w="992"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Rodiklio matavimo vienetai</w:t>
            </w:r>
          </w:p>
        </w:tc>
        <w:tc>
          <w:tcPr>
            <w:tcW w:w="709"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Bendrasis produkto rodiklis, naudotas kaip pagrindas</w:t>
            </w:r>
          </w:p>
        </w:tc>
        <w:tc>
          <w:tcPr>
            <w:tcW w:w="567"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 reikšmė</w:t>
            </w:r>
          </w:p>
        </w:tc>
        <w:tc>
          <w:tcPr>
            <w:tcW w:w="851"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Pradinės ir siektinos reikšmės matavimo vienetai</w:t>
            </w:r>
          </w:p>
        </w:tc>
        <w:tc>
          <w:tcPr>
            <w:tcW w:w="708"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Pradinės reikšmės metai</w:t>
            </w:r>
          </w:p>
        </w:tc>
        <w:tc>
          <w:tcPr>
            <w:tcW w:w="632"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Siektina reikšmė (2023)</w:t>
            </w:r>
          </w:p>
        </w:tc>
        <w:tc>
          <w:tcPr>
            <w:tcW w:w="1097"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Duomenų šaltinis</w:t>
            </w:r>
          </w:p>
        </w:tc>
        <w:tc>
          <w:tcPr>
            <w:tcW w:w="646"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Atsiskaitymo dažnumas</w:t>
            </w:r>
          </w:p>
        </w:tc>
      </w:tr>
      <w:tr w:rsidR="00385835" w:rsidRPr="00385835" w:rsidTr="00385835">
        <w:tc>
          <w:tcPr>
            <w:tcW w:w="529"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w:t>
            </w:r>
          </w:p>
        </w:tc>
        <w:tc>
          <w:tcPr>
            <w:tcW w:w="2023" w:type="dxa"/>
            <w:shd w:val="clear" w:color="auto" w:fill="auto"/>
            <w:vAlign w:val="center"/>
          </w:tcPr>
          <w:p w:rsidR="00385835" w:rsidRPr="00385835" w:rsidDel="00FA13D7" w:rsidRDefault="00385835" w:rsidP="00385835">
            <w:pPr>
              <w:spacing w:after="0" w:line="240" w:lineRule="auto"/>
              <w:rPr>
                <w:rFonts w:ascii="Times New Roman" w:hAnsi="Times New Roman"/>
                <w:bCs/>
                <w:sz w:val="18"/>
                <w:szCs w:val="18"/>
              </w:rPr>
            </w:pPr>
            <w:r w:rsidRPr="00385835">
              <w:rPr>
                <w:rFonts w:ascii="Times New Roman" w:hAnsi="Times New Roman"/>
                <w:bCs/>
                <w:sz w:val="18"/>
                <w:szCs w:val="18"/>
              </w:rPr>
              <w:t xml:space="preserve">Sėkmingai veikiančių socialinių verslų dalis nuo visų ESF </w:t>
            </w:r>
            <w:r w:rsidRPr="00385835">
              <w:rPr>
                <w:rFonts w:ascii="Times New Roman" w:hAnsi="Times New Roman"/>
                <w:bCs/>
                <w:sz w:val="18"/>
                <w:szCs w:val="18"/>
              </w:rPr>
              <w:lastRenderedPageBreak/>
              <w:t>investicijas gavusių socialinių verslų 12 mėn. po projekto pabaigos</w:t>
            </w:r>
          </w:p>
        </w:tc>
        <w:tc>
          <w:tcPr>
            <w:tcW w:w="992" w:type="dxa"/>
            <w:shd w:val="clear" w:color="auto" w:fill="auto"/>
            <w:vAlign w:val="center"/>
          </w:tcPr>
          <w:p w:rsidR="00385835" w:rsidRPr="00385835" w:rsidRDefault="00385835" w:rsidP="00385835">
            <w:pPr>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lastRenderedPageBreak/>
              <w:t>Mažiau išsivystęs</w:t>
            </w:r>
          </w:p>
        </w:tc>
        <w:tc>
          <w:tcPr>
            <w:tcW w:w="992" w:type="dxa"/>
            <w:shd w:val="clear" w:color="auto" w:fill="auto"/>
            <w:vAlign w:val="center"/>
          </w:tcPr>
          <w:p w:rsidR="00385835" w:rsidRPr="00385835" w:rsidRDefault="00385835" w:rsidP="00385835">
            <w:pPr>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Verslai</w:t>
            </w:r>
          </w:p>
        </w:tc>
        <w:tc>
          <w:tcPr>
            <w:tcW w:w="709"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
                <w:iCs/>
                <w:sz w:val="18"/>
                <w:szCs w:val="18"/>
                <w:lang w:eastAsia="lt-LT"/>
              </w:rPr>
            </w:pPr>
            <w:r w:rsidRPr="00385835">
              <w:rPr>
                <w:rFonts w:ascii="Times New Roman" w:eastAsia="AngsanaUPC" w:hAnsi="Times New Roman"/>
                <w:b/>
                <w:bCs/>
                <w:i/>
                <w:iCs/>
                <w:sz w:val="18"/>
                <w:szCs w:val="18"/>
                <w:lang w:eastAsia="lt-LT"/>
              </w:rPr>
              <w:t>-</w:t>
            </w:r>
          </w:p>
        </w:tc>
        <w:tc>
          <w:tcPr>
            <w:tcW w:w="56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0</w:t>
            </w:r>
          </w:p>
        </w:tc>
        <w:tc>
          <w:tcPr>
            <w:tcW w:w="851" w:type="dxa"/>
            <w:shd w:val="clear" w:color="auto" w:fill="auto"/>
            <w:vAlign w:val="center"/>
          </w:tcPr>
          <w:p w:rsidR="00385835" w:rsidRPr="00385835" w:rsidRDefault="00385835" w:rsidP="00385835">
            <w:pPr>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 xml:space="preserve">Proc. </w:t>
            </w:r>
          </w:p>
        </w:tc>
        <w:tc>
          <w:tcPr>
            <w:tcW w:w="708"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2014</w:t>
            </w:r>
          </w:p>
        </w:tc>
        <w:tc>
          <w:tcPr>
            <w:tcW w:w="632"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50</w:t>
            </w:r>
          </w:p>
        </w:tc>
        <w:tc>
          <w:tcPr>
            <w:tcW w:w="109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 xml:space="preserve">Duomenys iš projektų </w:t>
            </w:r>
          </w:p>
        </w:tc>
        <w:tc>
          <w:tcPr>
            <w:tcW w:w="646" w:type="dxa"/>
            <w:shd w:val="clear" w:color="auto" w:fill="auto"/>
            <w:vAlign w:val="center"/>
          </w:tcPr>
          <w:p w:rsidR="00385835" w:rsidRPr="00385835" w:rsidRDefault="00385835" w:rsidP="00385835">
            <w:pPr>
              <w:widowControl w:val="0"/>
              <w:tabs>
                <w:tab w:val="left" w:pos="622"/>
              </w:tabs>
              <w:spacing w:after="0" w:line="240" w:lineRule="auto"/>
              <w:jc w:val="both"/>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385835" w:rsidRPr="00385835" w:rsidTr="00385835">
        <w:tc>
          <w:tcPr>
            <w:tcW w:w="529"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lastRenderedPageBreak/>
              <w:t>2.</w:t>
            </w:r>
          </w:p>
        </w:tc>
        <w:tc>
          <w:tcPr>
            <w:tcW w:w="2023" w:type="dxa"/>
            <w:shd w:val="clear" w:color="auto" w:fill="auto"/>
            <w:vAlign w:val="center"/>
          </w:tcPr>
          <w:p w:rsidR="00385835" w:rsidRPr="00385835" w:rsidRDefault="001051C6" w:rsidP="00385835">
            <w:pPr>
              <w:spacing w:after="0" w:line="240" w:lineRule="auto"/>
              <w:rPr>
                <w:rFonts w:ascii="Times New Roman" w:hAnsi="Times New Roman"/>
                <w:bCs/>
                <w:sz w:val="18"/>
                <w:szCs w:val="18"/>
              </w:rPr>
            </w:pPr>
            <w:r>
              <w:rPr>
                <w:rFonts w:ascii="Times New Roman" w:hAnsi="Times New Roman"/>
                <w:bCs/>
                <w:sz w:val="18"/>
                <w:szCs w:val="18"/>
              </w:rPr>
              <w:t>E</w:t>
            </w:r>
            <w:r w:rsidR="006827C9">
              <w:rPr>
                <w:rFonts w:ascii="Times New Roman" w:hAnsi="Times New Roman"/>
                <w:bCs/>
                <w:sz w:val="18"/>
                <w:szCs w:val="18"/>
              </w:rPr>
              <w:t>S</w:t>
            </w:r>
            <w:r>
              <w:rPr>
                <w:rFonts w:ascii="Times New Roman" w:hAnsi="Times New Roman"/>
                <w:bCs/>
                <w:sz w:val="18"/>
                <w:szCs w:val="18"/>
              </w:rPr>
              <w:t>F s</w:t>
            </w:r>
            <w:r w:rsidR="006827C9">
              <w:rPr>
                <w:rFonts w:ascii="Times New Roman" w:hAnsi="Times New Roman"/>
                <w:bCs/>
                <w:sz w:val="18"/>
                <w:szCs w:val="18"/>
              </w:rPr>
              <w:t>ubsidijas</w:t>
            </w:r>
            <w:r w:rsidR="006827C9" w:rsidRPr="00385835">
              <w:rPr>
                <w:rFonts w:ascii="Times New Roman" w:hAnsi="Times New Roman"/>
                <w:bCs/>
                <w:sz w:val="18"/>
                <w:szCs w:val="18"/>
              </w:rPr>
              <w:t xml:space="preserve"> </w:t>
            </w:r>
            <w:r w:rsidR="00385835" w:rsidRPr="00385835">
              <w:rPr>
                <w:rFonts w:ascii="Times New Roman" w:hAnsi="Times New Roman"/>
                <w:bCs/>
                <w:sz w:val="18"/>
                <w:szCs w:val="18"/>
              </w:rPr>
              <w:t>gavę</w:t>
            </w:r>
            <w:proofErr w:type="gramStart"/>
            <w:r w:rsidR="00385835" w:rsidRPr="00385835">
              <w:rPr>
                <w:rFonts w:ascii="Times New Roman" w:hAnsi="Times New Roman"/>
                <w:bCs/>
                <w:sz w:val="18"/>
                <w:szCs w:val="18"/>
              </w:rPr>
              <w:t xml:space="preserve">  </w:t>
            </w:r>
            <w:proofErr w:type="gramEnd"/>
            <w:r w:rsidR="00385835" w:rsidRPr="00385835">
              <w:rPr>
                <w:rFonts w:ascii="Times New Roman" w:hAnsi="Times New Roman"/>
                <w:bCs/>
                <w:sz w:val="18"/>
                <w:szCs w:val="18"/>
              </w:rPr>
              <w:t xml:space="preserve">socialinių įmonių darbuotojai, kurie išsilaikė darbo vietoje </w:t>
            </w:r>
          </w:p>
        </w:tc>
        <w:tc>
          <w:tcPr>
            <w:tcW w:w="992" w:type="dxa"/>
            <w:shd w:val="clear" w:color="auto" w:fill="auto"/>
            <w:vAlign w:val="center"/>
          </w:tcPr>
          <w:p w:rsidR="00385835" w:rsidRPr="00385835" w:rsidRDefault="00385835" w:rsidP="00385835">
            <w:pPr>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Mažiau išsivystęs</w:t>
            </w:r>
          </w:p>
        </w:tc>
        <w:tc>
          <w:tcPr>
            <w:tcW w:w="992" w:type="dxa"/>
            <w:shd w:val="clear" w:color="auto" w:fill="auto"/>
            <w:vAlign w:val="center"/>
          </w:tcPr>
          <w:p w:rsidR="00385835" w:rsidRPr="00385835" w:rsidRDefault="00385835" w:rsidP="00385835">
            <w:pPr>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Asmenys</w:t>
            </w:r>
          </w:p>
        </w:tc>
        <w:tc>
          <w:tcPr>
            <w:tcW w:w="709"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
                <w:iCs/>
                <w:sz w:val="18"/>
                <w:szCs w:val="18"/>
                <w:lang w:eastAsia="lt-LT"/>
              </w:rPr>
            </w:pPr>
            <w:r w:rsidRPr="00385835">
              <w:rPr>
                <w:rFonts w:ascii="Times New Roman" w:eastAsia="AngsanaUPC" w:hAnsi="Times New Roman"/>
                <w:b/>
                <w:bCs/>
                <w:i/>
                <w:iCs/>
                <w:sz w:val="18"/>
                <w:szCs w:val="18"/>
                <w:lang w:eastAsia="lt-LT"/>
              </w:rPr>
              <w:t>-</w:t>
            </w:r>
          </w:p>
        </w:tc>
        <w:tc>
          <w:tcPr>
            <w:tcW w:w="56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74,8</w:t>
            </w:r>
          </w:p>
        </w:tc>
        <w:tc>
          <w:tcPr>
            <w:tcW w:w="851" w:type="dxa"/>
            <w:shd w:val="clear" w:color="auto" w:fill="auto"/>
            <w:vAlign w:val="center"/>
          </w:tcPr>
          <w:p w:rsidR="00385835" w:rsidRPr="00385835" w:rsidRDefault="00385835" w:rsidP="00385835">
            <w:pPr>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 xml:space="preserve">Proc. </w:t>
            </w:r>
          </w:p>
        </w:tc>
        <w:tc>
          <w:tcPr>
            <w:tcW w:w="708"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2013</w:t>
            </w:r>
          </w:p>
        </w:tc>
        <w:tc>
          <w:tcPr>
            <w:tcW w:w="632"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78</w:t>
            </w:r>
          </w:p>
        </w:tc>
        <w:tc>
          <w:tcPr>
            <w:tcW w:w="109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 xml:space="preserve">Duomenys iš projektų </w:t>
            </w:r>
          </w:p>
        </w:tc>
        <w:tc>
          <w:tcPr>
            <w:tcW w:w="646" w:type="dxa"/>
            <w:shd w:val="clear" w:color="auto" w:fill="auto"/>
            <w:vAlign w:val="center"/>
          </w:tcPr>
          <w:p w:rsidR="00385835" w:rsidRPr="00385835" w:rsidRDefault="00385835" w:rsidP="00385835">
            <w:pPr>
              <w:widowControl w:val="0"/>
              <w:tabs>
                <w:tab w:val="left" w:pos="622"/>
              </w:tabs>
              <w:spacing w:after="0" w:line="240" w:lineRule="auto"/>
              <w:jc w:val="both"/>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385835" w:rsidRPr="00385835" w:rsidTr="00385835">
        <w:tc>
          <w:tcPr>
            <w:tcW w:w="529"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3.</w:t>
            </w:r>
          </w:p>
        </w:tc>
        <w:tc>
          <w:tcPr>
            <w:tcW w:w="2023" w:type="dxa"/>
            <w:shd w:val="clear" w:color="auto" w:fill="auto"/>
            <w:vAlign w:val="center"/>
          </w:tcPr>
          <w:p w:rsidR="00385835" w:rsidRPr="00385835" w:rsidDel="00FA13D7" w:rsidRDefault="00385835" w:rsidP="004E7612">
            <w:pPr>
              <w:spacing w:after="0" w:line="240" w:lineRule="auto"/>
              <w:rPr>
                <w:rFonts w:ascii="Times New Roman" w:hAnsi="Times New Roman"/>
                <w:bCs/>
                <w:sz w:val="18"/>
                <w:szCs w:val="18"/>
              </w:rPr>
            </w:pPr>
            <w:r w:rsidRPr="00385835">
              <w:rPr>
                <w:rFonts w:ascii="Times New Roman" w:hAnsi="Times New Roman"/>
                <w:bCs/>
                <w:sz w:val="18"/>
                <w:szCs w:val="18"/>
              </w:rPr>
              <w:t xml:space="preserve">Asmenys, </w:t>
            </w:r>
            <w:r w:rsidRPr="00385835">
              <w:rPr>
                <w:rFonts w:ascii="Times New Roman" w:eastAsia="Times New Roman" w:hAnsi="Times New Roman"/>
                <w:bCs/>
                <w:sz w:val="18"/>
                <w:szCs w:val="18"/>
              </w:rPr>
              <w:t xml:space="preserve">kurie įgijo kvalifikaciją po dalyvavimo </w:t>
            </w:r>
            <w:r w:rsidR="001051C6">
              <w:rPr>
                <w:rFonts w:ascii="Times New Roman" w:eastAsia="Times New Roman" w:hAnsi="Times New Roman"/>
                <w:bCs/>
                <w:sz w:val="18"/>
                <w:szCs w:val="18"/>
              </w:rPr>
              <w:t xml:space="preserve">ESF </w:t>
            </w:r>
            <w:r w:rsidR="004E7612">
              <w:rPr>
                <w:rFonts w:ascii="Times New Roman" w:eastAsia="Times New Roman" w:hAnsi="Times New Roman"/>
                <w:bCs/>
                <w:sz w:val="18"/>
                <w:szCs w:val="18"/>
              </w:rPr>
              <w:t>lėšomis finansuojamuose</w:t>
            </w:r>
            <w:r w:rsidR="001051C6">
              <w:rPr>
                <w:rFonts w:ascii="Times New Roman" w:eastAsia="Times New Roman" w:hAnsi="Times New Roman"/>
                <w:bCs/>
                <w:sz w:val="18"/>
                <w:szCs w:val="18"/>
              </w:rPr>
              <w:t xml:space="preserve"> </w:t>
            </w:r>
            <w:r w:rsidRPr="00385835">
              <w:rPr>
                <w:rFonts w:ascii="Times New Roman" w:eastAsia="Times New Roman" w:hAnsi="Times New Roman"/>
                <w:bCs/>
                <w:sz w:val="18"/>
                <w:szCs w:val="18"/>
              </w:rPr>
              <w:t>mokym</w:t>
            </w:r>
            <w:r w:rsidR="004E7612">
              <w:rPr>
                <w:rFonts w:ascii="Times New Roman" w:eastAsia="Times New Roman" w:hAnsi="Times New Roman"/>
                <w:bCs/>
                <w:sz w:val="18"/>
                <w:szCs w:val="18"/>
              </w:rPr>
              <w:t>uos</w:t>
            </w:r>
            <w:r w:rsidRPr="00385835">
              <w:rPr>
                <w:rFonts w:ascii="Times New Roman" w:eastAsia="Times New Roman" w:hAnsi="Times New Roman"/>
                <w:bCs/>
                <w:sz w:val="18"/>
                <w:szCs w:val="18"/>
              </w:rPr>
              <w:t>e</w:t>
            </w:r>
          </w:p>
        </w:tc>
        <w:tc>
          <w:tcPr>
            <w:tcW w:w="992" w:type="dxa"/>
            <w:shd w:val="clear" w:color="auto" w:fill="auto"/>
            <w:vAlign w:val="center"/>
          </w:tcPr>
          <w:p w:rsidR="00385835" w:rsidRPr="00385835" w:rsidRDefault="00385835" w:rsidP="00385835">
            <w:pPr>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Mažiau išsivystęs</w:t>
            </w:r>
          </w:p>
        </w:tc>
        <w:tc>
          <w:tcPr>
            <w:tcW w:w="992" w:type="dxa"/>
            <w:shd w:val="clear" w:color="auto" w:fill="auto"/>
            <w:vAlign w:val="center"/>
          </w:tcPr>
          <w:p w:rsidR="00385835" w:rsidRPr="00385835" w:rsidRDefault="00385835" w:rsidP="00385835">
            <w:pPr>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Asmenys</w:t>
            </w:r>
          </w:p>
        </w:tc>
        <w:tc>
          <w:tcPr>
            <w:tcW w:w="709"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
                <w:iCs/>
                <w:sz w:val="18"/>
                <w:szCs w:val="18"/>
                <w:lang w:eastAsia="lt-LT"/>
              </w:rPr>
            </w:pPr>
            <w:r w:rsidRPr="00385835">
              <w:rPr>
                <w:rFonts w:ascii="Times New Roman" w:eastAsia="AngsanaUPC" w:hAnsi="Times New Roman"/>
                <w:b/>
                <w:bCs/>
                <w:i/>
                <w:iCs/>
                <w:sz w:val="18"/>
                <w:szCs w:val="18"/>
                <w:lang w:eastAsia="lt-LT"/>
              </w:rPr>
              <w:t>-</w:t>
            </w:r>
          </w:p>
        </w:tc>
        <w:tc>
          <w:tcPr>
            <w:tcW w:w="56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80</w:t>
            </w:r>
          </w:p>
        </w:tc>
        <w:tc>
          <w:tcPr>
            <w:tcW w:w="851" w:type="dxa"/>
            <w:shd w:val="clear" w:color="auto" w:fill="auto"/>
            <w:vAlign w:val="center"/>
          </w:tcPr>
          <w:p w:rsidR="00385835" w:rsidRPr="00385835" w:rsidRDefault="00385835" w:rsidP="00385835">
            <w:pPr>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 xml:space="preserve">Proc. </w:t>
            </w:r>
          </w:p>
        </w:tc>
        <w:tc>
          <w:tcPr>
            <w:tcW w:w="708"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2013</w:t>
            </w:r>
          </w:p>
        </w:tc>
        <w:tc>
          <w:tcPr>
            <w:tcW w:w="632"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85</w:t>
            </w:r>
          </w:p>
        </w:tc>
        <w:tc>
          <w:tcPr>
            <w:tcW w:w="109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 xml:space="preserve">Duomenys iš projektų </w:t>
            </w:r>
          </w:p>
        </w:tc>
        <w:tc>
          <w:tcPr>
            <w:tcW w:w="646" w:type="dxa"/>
            <w:shd w:val="clear" w:color="auto" w:fill="auto"/>
            <w:vAlign w:val="center"/>
          </w:tcPr>
          <w:p w:rsidR="00385835" w:rsidRPr="00385835" w:rsidRDefault="00385835" w:rsidP="00385835">
            <w:pPr>
              <w:widowControl w:val="0"/>
              <w:tabs>
                <w:tab w:val="left" w:pos="622"/>
              </w:tabs>
              <w:spacing w:after="0" w:line="240" w:lineRule="auto"/>
              <w:jc w:val="both"/>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bl>
    <w:p w:rsidR="00385835" w:rsidRPr="00385835" w:rsidRDefault="00385835" w:rsidP="00385835">
      <w:pPr>
        <w:spacing w:after="0"/>
        <w:rPr>
          <w:rFonts w:ascii="Times New Roman" w:eastAsia="AngsanaUPC" w:hAnsi="Times New Roman"/>
          <w:bCs/>
          <w:sz w:val="18"/>
          <w:szCs w:val="18"/>
          <w:lang w:eastAsia="lt-LT"/>
        </w:rPr>
      </w:pPr>
      <w:r w:rsidRPr="00385835">
        <w:rPr>
          <w:rFonts w:ascii="Times New Roman" w:eastAsia="AngsanaUPC" w:hAnsi="Times New Roman"/>
          <w:bCs/>
          <w:sz w:val="18"/>
          <w:szCs w:val="18"/>
          <w:lang w:eastAsia="lt-LT"/>
        </w:rPr>
        <w:t>* Kvalifikacija suprantama pagal EK metodinėse stebėsenos ir vertinimo gairėse pateiktą apibrėžimą.</w:t>
      </w:r>
    </w:p>
    <w:p w:rsidR="00385835" w:rsidRPr="00385835" w:rsidRDefault="00385835" w:rsidP="00385835">
      <w:pPr>
        <w:spacing w:after="0"/>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385835" w:rsidRPr="00385835" w:rsidTr="00385835">
        <w:tc>
          <w:tcPr>
            <w:tcW w:w="9746" w:type="dxa"/>
            <w:tcBorders>
              <w:top w:val="single" w:sz="4" w:space="0" w:color="auto"/>
              <w:left w:val="single" w:sz="4" w:space="0" w:color="auto"/>
              <w:bottom w:val="single" w:sz="4" w:space="0" w:color="auto"/>
              <w:right w:val="single" w:sz="4" w:space="0" w:color="auto"/>
            </w:tcBorders>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Cs/>
                <w:iCs/>
                <w:sz w:val="24"/>
                <w:szCs w:val="24"/>
                <w:lang w:eastAsia="lt-LT"/>
              </w:rPr>
            </w:pPr>
            <w:r w:rsidRPr="00385835">
              <w:rPr>
                <w:rFonts w:ascii="Times New Roman" w:eastAsia="AngsanaUPC" w:hAnsi="Times New Roman"/>
                <w:b/>
                <w:bCs/>
                <w:i/>
                <w:iCs/>
                <w:sz w:val="24"/>
                <w:szCs w:val="24"/>
                <w:lang w:eastAsia="lt-LT"/>
              </w:rPr>
              <w:t>8.5. Investicinio prioriteto įgyvendinimo veiklos</w:t>
            </w:r>
          </w:p>
        </w:tc>
      </w:tr>
      <w:tr w:rsidR="00385835" w:rsidRPr="00385835" w:rsidTr="00385835">
        <w:tc>
          <w:tcPr>
            <w:tcW w:w="9746" w:type="dxa"/>
            <w:shd w:val="clear" w:color="auto" w:fill="auto"/>
          </w:tcPr>
          <w:p w:rsidR="00385835" w:rsidRPr="00385835" w:rsidRDefault="00385835" w:rsidP="00650E41">
            <w:pPr>
              <w:numPr>
                <w:ilvl w:val="0"/>
                <w:numId w:val="17"/>
              </w:numPr>
              <w:tabs>
                <w:tab w:val="left" w:pos="459"/>
              </w:tabs>
              <w:spacing w:after="0" w:line="240" w:lineRule="auto"/>
              <w:ind w:left="34" w:firstLine="0"/>
              <w:contextualSpacing/>
              <w:jc w:val="both"/>
              <w:rPr>
                <w:rFonts w:ascii="Times New Roman" w:hAnsi="Times New Roman"/>
                <w:sz w:val="24"/>
                <w:szCs w:val="24"/>
                <w:lang w:eastAsia="lt-LT"/>
              </w:rPr>
            </w:pPr>
            <w:r w:rsidRPr="00385835">
              <w:rPr>
                <w:rFonts w:ascii="Times New Roman" w:hAnsi="Times New Roman"/>
                <w:sz w:val="24"/>
                <w:szCs w:val="24"/>
                <w:lang w:eastAsia="lt-LT"/>
              </w:rPr>
              <w:t>Socialinio verslo plėtra. Parama įmonėms ar organizacijoms, kurios teikia bendruomenei reikalingas paslaugas arba prekes, sprendžiančias konkrečią socialinę problemą.</w:t>
            </w:r>
          </w:p>
          <w:p w:rsidR="00385835" w:rsidRPr="00385835" w:rsidRDefault="00385835" w:rsidP="00650E41">
            <w:pPr>
              <w:numPr>
                <w:ilvl w:val="0"/>
                <w:numId w:val="17"/>
              </w:numPr>
              <w:tabs>
                <w:tab w:val="left" w:pos="459"/>
              </w:tabs>
              <w:spacing w:after="0" w:line="240" w:lineRule="auto"/>
              <w:ind w:left="34" w:firstLine="0"/>
              <w:contextualSpacing/>
              <w:jc w:val="both"/>
              <w:rPr>
                <w:rFonts w:ascii="Times New Roman" w:hAnsi="Times New Roman"/>
                <w:sz w:val="24"/>
                <w:szCs w:val="24"/>
                <w:lang w:eastAsia="lt-LT"/>
              </w:rPr>
            </w:pPr>
            <w:r w:rsidRPr="00385835">
              <w:rPr>
                <w:rFonts w:ascii="Times New Roman" w:hAnsi="Times New Roman"/>
                <w:sz w:val="24"/>
                <w:szCs w:val="24"/>
              </w:rPr>
              <w:t>Parama socialinėms įmonėms: socialinių įmonių tikslinėms grupėms priklausančių darbuotojų mokymas, subsidija socialinių įmonių tikslinėms grupėms priklausančių darbuotojų darbo užmokesčio, asistento (gestų kalbos vertėjo) išlaidoms kompensuoti.</w:t>
            </w:r>
          </w:p>
          <w:p w:rsidR="00385835" w:rsidRPr="00385835" w:rsidRDefault="00385835" w:rsidP="00650E41">
            <w:pPr>
              <w:numPr>
                <w:ilvl w:val="0"/>
                <w:numId w:val="17"/>
              </w:numPr>
              <w:tabs>
                <w:tab w:val="left" w:pos="459"/>
              </w:tabs>
              <w:spacing w:after="0" w:line="240" w:lineRule="auto"/>
              <w:ind w:left="34" w:firstLine="0"/>
              <w:contextualSpacing/>
              <w:jc w:val="both"/>
              <w:rPr>
                <w:rFonts w:ascii="Times New Roman" w:hAnsi="Times New Roman"/>
                <w:sz w:val="24"/>
                <w:szCs w:val="24"/>
                <w:lang w:eastAsia="lt-LT"/>
              </w:rPr>
            </w:pPr>
            <w:r w:rsidRPr="00385835">
              <w:rPr>
                <w:rFonts w:ascii="Times New Roman" w:hAnsi="Times New Roman"/>
                <w:sz w:val="24"/>
                <w:szCs w:val="24"/>
              </w:rPr>
              <w:t>Įmonių socialinės atsakomybės skatinimas: mokymai, konsultavimas, personalo mainai, tyrimai ir vertinimai, visuomenės informavimas, įmonių socialinę atsakomybę skatinančios akcijos ir kt. Skatinamas įmonių socialinės atsakomybės diegimas, taip pat horizontalių atsakingo verslo principų diegimas, tokių kaip</w:t>
            </w:r>
            <w:r w:rsidR="00247A9E">
              <w:rPr>
                <w:rFonts w:ascii="Times New Roman" w:hAnsi="Times New Roman"/>
                <w:sz w:val="24"/>
                <w:szCs w:val="24"/>
              </w:rPr>
              <w:t>,</w:t>
            </w:r>
            <w:r w:rsidRPr="00385835">
              <w:rPr>
                <w:rFonts w:ascii="Times New Roman" w:hAnsi="Times New Roman"/>
                <w:sz w:val="24"/>
                <w:szCs w:val="24"/>
              </w:rPr>
              <w:t xml:space="preserve"> atsakingas išteklių naudojimas, socialiniai atsakinga žmogiškųjų išteklių vadyba, darbuotojų sveikata ir sauga, moterų ir vyrų lygybė, nediskriminavimas dėl amž</w:t>
            </w:r>
            <w:r w:rsidR="00D93B9C">
              <w:rPr>
                <w:rFonts w:ascii="Times New Roman" w:hAnsi="Times New Roman"/>
                <w:sz w:val="24"/>
                <w:szCs w:val="24"/>
              </w:rPr>
              <w:t>iaus, negalios ir kt. pagrindų.</w:t>
            </w:r>
          </w:p>
          <w:p w:rsidR="00385835" w:rsidRPr="00385835" w:rsidRDefault="00385835" w:rsidP="00650E41">
            <w:pPr>
              <w:numPr>
                <w:ilvl w:val="0"/>
                <w:numId w:val="17"/>
              </w:numPr>
              <w:tabs>
                <w:tab w:val="left" w:pos="459"/>
              </w:tabs>
              <w:spacing w:after="0" w:line="240" w:lineRule="auto"/>
              <w:ind w:left="34" w:firstLine="0"/>
              <w:contextualSpacing/>
              <w:jc w:val="both"/>
              <w:rPr>
                <w:rFonts w:ascii="Times New Roman" w:eastAsia="AngsanaUPC" w:hAnsi="Times New Roman"/>
                <w:bCs/>
                <w:iCs/>
                <w:sz w:val="24"/>
                <w:szCs w:val="24"/>
                <w:lang w:eastAsia="lt-LT"/>
              </w:rPr>
            </w:pPr>
            <w:r w:rsidRPr="00385835">
              <w:rPr>
                <w:rFonts w:ascii="Times New Roman" w:hAnsi="Times New Roman"/>
                <w:sz w:val="24"/>
                <w:szCs w:val="24"/>
              </w:rPr>
              <w:t>Parama socialinio di</w:t>
            </w:r>
            <w:r w:rsidR="00D86A44">
              <w:rPr>
                <w:rFonts w:ascii="Times New Roman" w:hAnsi="Times New Roman"/>
                <w:sz w:val="24"/>
                <w:szCs w:val="24"/>
              </w:rPr>
              <w:t>alogo vystymui ir užimtumo ir</w:t>
            </w:r>
            <w:r w:rsidR="00D93B9C">
              <w:rPr>
                <w:rFonts w:ascii="Times New Roman" w:hAnsi="Times New Roman"/>
                <w:sz w:val="24"/>
                <w:szCs w:val="24"/>
              </w:rPr>
              <w:t xml:space="preserve"> </w:t>
            </w:r>
            <w:r w:rsidR="00D86A44">
              <w:rPr>
                <w:rFonts w:ascii="Times New Roman" w:hAnsi="Times New Roman"/>
                <w:sz w:val="24"/>
                <w:szCs w:val="24"/>
              </w:rPr>
              <w:t>/</w:t>
            </w:r>
            <w:r w:rsidR="00D93B9C">
              <w:rPr>
                <w:rFonts w:ascii="Times New Roman" w:hAnsi="Times New Roman"/>
                <w:sz w:val="24"/>
                <w:szCs w:val="24"/>
              </w:rPr>
              <w:t xml:space="preserve"> </w:t>
            </w:r>
            <w:r w:rsidRPr="00385835">
              <w:rPr>
                <w:rFonts w:ascii="Times New Roman" w:hAnsi="Times New Roman"/>
                <w:sz w:val="24"/>
                <w:szCs w:val="24"/>
              </w:rPr>
              <w:t>arba socialinės politikos įgyvendinimo partnerystei tarp viešojo, privataus ir nevyriausybinio sektorių (nacionaliniu ir vietos lygiu), įtraukiant mokymo, kultūros įstaigas ir vietos bendruomenę.</w:t>
            </w:r>
          </w:p>
        </w:tc>
      </w:tr>
    </w:tbl>
    <w:p w:rsidR="00031EF1" w:rsidRPr="00385835" w:rsidRDefault="00031EF1"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567"/>
        <w:gridCol w:w="2694"/>
        <w:gridCol w:w="1134"/>
        <w:gridCol w:w="850"/>
        <w:gridCol w:w="1134"/>
        <w:gridCol w:w="992"/>
        <w:gridCol w:w="1134"/>
        <w:gridCol w:w="1241"/>
      </w:tblGrid>
      <w:tr w:rsidR="00385835" w:rsidRPr="00385835" w:rsidTr="00385835">
        <w:tc>
          <w:tcPr>
            <w:tcW w:w="9746" w:type="dxa"/>
            <w:gridSpan w:val="8"/>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i/>
                <w:iCs/>
                <w:sz w:val="24"/>
                <w:szCs w:val="24"/>
                <w:lang w:eastAsia="lt-LT"/>
              </w:rPr>
            </w:pPr>
            <w:r w:rsidRPr="00385835">
              <w:rPr>
                <w:rFonts w:ascii="Times New Roman" w:eastAsia="AngsanaUPC" w:hAnsi="Times New Roman"/>
                <w:b/>
                <w:bCs/>
                <w:i/>
                <w:iCs/>
                <w:sz w:val="24"/>
                <w:szCs w:val="24"/>
                <w:lang w:eastAsia="lt-LT"/>
              </w:rPr>
              <w:t xml:space="preserve">ESF bendrieji ir </w:t>
            </w:r>
            <w:r w:rsidR="006827C9">
              <w:rPr>
                <w:rFonts w:ascii="Times New Roman" w:eastAsia="AngsanaUPC" w:hAnsi="Times New Roman"/>
                <w:b/>
                <w:bCs/>
                <w:i/>
                <w:iCs/>
                <w:sz w:val="24"/>
                <w:szCs w:val="24"/>
                <w:lang w:eastAsia="lt-LT"/>
              </w:rPr>
              <w:t>specialieji</w:t>
            </w:r>
            <w:r w:rsidR="006827C9" w:rsidRPr="00385835">
              <w:rPr>
                <w:rFonts w:ascii="Times New Roman" w:eastAsia="AngsanaUPC" w:hAnsi="Times New Roman"/>
                <w:b/>
                <w:bCs/>
                <w:i/>
                <w:iCs/>
                <w:sz w:val="24"/>
                <w:szCs w:val="24"/>
                <w:lang w:eastAsia="lt-LT"/>
              </w:rPr>
              <w:t xml:space="preserve"> </w:t>
            </w:r>
            <w:r w:rsidRPr="00385835">
              <w:rPr>
                <w:rFonts w:ascii="Times New Roman" w:eastAsia="AngsanaUPC" w:hAnsi="Times New Roman"/>
                <w:b/>
                <w:bCs/>
                <w:i/>
                <w:iCs/>
                <w:sz w:val="24"/>
                <w:szCs w:val="24"/>
                <w:lang w:eastAsia="lt-LT"/>
              </w:rPr>
              <w:t>programos produkto rodikliai</w:t>
            </w:r>
          </w:p>
        </w:tc>
      </w:tr>
      <w:tr w:rsidR="00385835" w:rsidRPr="00385835" w:rsidTr="00385835">
        <w:tblPrEx>
          <w:shd w:val="clear" w:color="auto" w:fill="auto"/>
        </w:tblPrEx>
        <w:tc>
          <w:tcPr>
            <w:tcW w:w="567"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Nr.</w:t>
            </w:r>
          </w:p>
        </w:tc>
        <w:tc>
          <w:tcPr>
            <w:tcW w:w="269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Rodiklio pavadinimas</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Matavimo vienetas</w:t>
            </w:r>
          </w:p>
        </w:tc>
        <w:tc>
          <w:tcPr>
            <w:tcW w:w="850"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Fondas</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Regiono kategorija</w:t>
            </w:r>
          </w:p>
        </w:tc>
        <w:tc>
          <w:tcPr>
            <w:tcW w:w="992"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Siektina reikšmė (2023)</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Duomenų šaltinis</w:t>
            </w:r>
          </w:p>
        </w:tc>
        <w:tc>
          <w:tcPr>
            <w:tcW w:w="124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Atsiskaitymo dažnumas</w:t>
            </w:r>
          </w:p>
        </w:tc>
      </w:tr>
      <w:tr w:rsidR="00385835" w:rsidRPr="00385835" w:rsidTr="00385835">
        <w:tblPrEx>
          <w:shd w:val="clear" w:color="auto" w:fill="auto"/>
        </w:tblPrEx>
        <w:tc>
          <w:tcPr>
            <w:tcW w:w="56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w:t>
            </w:r>
          </w:p>
        </w:tc>
        <w:tc>
          <w:tcPr>
            <w:tcW w:w="2694" w:type="dxa"/>
            <w:shd w:val="clear" w:color="auto" w:fill="auto"/>
            <w:vAlign w:val="center"/>
          </w:tcPr>
          <w:p w:rsidR="00385835" w:rsidRPr="00385835" w:rsidRDefault="00385835" w:rsidP="00385835">
            <w:pPr>
              <w:spacing w:after="0" w:line="240" w:lineRule="auto"/>
              <w:rPr>
                <w:rFonts w:ascii="Times New Roman" w:hAnsi="Times New Roman"/>
                <w:sz w:val="18"/>
                <w:szCs w:val="18"/>
              </w:rPr>
            </w:pPr>
            <w:r w:rsidRPr="00385835">
              <w:rPr>
                <w:rFonts w:ascii="Times New Roman" w:hAnsi="Times New Roman"/>
                <w:sz w:val="18"/>
                <w:szCs w:val="18"/>
              </w:rPr>
              <w:t>Socialiniai verslai, sukurti gavus ESF investicijas</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Skaičius</w:t>
            </w:r>
          </w:p>
        </w:tc>
        <w:tc>
          <w:tcPr>
            <w:tcW w:w="850"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trike/>
                <w:sz w:val="18"/>
                <w:szCs w:val="18"/>
                <w:lang w:eastAsia="lt-LT"/>
              </w:rPr>
            </w:pPr>
            <w:r w:rsidRPr="00385835">
              <w:rPr>
                <w:rFonts w:ascii="Times New Roman" w:eastAsia="AngsanaUPC" w:hAnsi="Times New Roman"/>
                <w:bCs/>
                <w:iCs/>
                <w:sz w:val="18"/>
                <w:szCs w:val="18"/>
                <w:lang w:eastAsia="lt-LT"/>
              </w:rPr>
              <w:t>ESF</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Mažiau išsivystęs</w:t>
            </w:r>
          </w:p>
        </w:tc>
        <w:tc>
          <w:tcPr>
            <w:tcW w:w="992"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10</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Duomenys iš projektų</w:t>
            </w:r>
          </w:p>
        </w:tc>
        <w:tc>
          <w:tcPr>
            <w:tcW w:w="124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385835" w:rsidRPr="00385835" w:rsidTr="00385835">
        <w:tblPrEx>
          <w:shd w:val="clear" w:color="auto" w:fill="auto"/>
        </w:tblPrEx>
        <w:tc>
          <w:tcPr>
            <w:tcW w:w="56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w:t>
            </w:r>
          </w:p>
        </w:tc>
        <w:tc>
          <w:tcPr>
            <w:tcW w:w="2694" w:type="dxa"/>
            <w:shd w:val="clear" w:color="auto" w:fill="auto"/>
            <w:vAlign w:val="center"/>
          </w:tcPr>
          <w:p w:rsidR="00385835" w:rsidRPr="00385835" w:rsidRDefault="001051C6" w:rsidP="00385835">
            <w:pPr>
              <w:spacing w:after="0" w:line="240" w:lineRule="auto"/>
              <w:rPr>
                <w:rFonts w:ascii="Times New Roman" w:hAnsi="Times New Roman"/>
                <w:sz w:val="18"/>
                <w:szCs w:val="18"/>
              </w:rPr>
            </w:pPr>
            <w:r>
              <w:rPr>
                <w:rFonts w:ascii="Times New Roman" w:hAnsi="Times New Roman"/>
                <w:sz w:val="18"/>
                <w:szCs w:val="18"/>
              </w:rPr>
              <w:t>E</w:t>
            </w:r>
            <w:r w:rsidR="00385835" w:rsidRPr="00385835">
              <w:rPr>
                <w:rFonts w:ascii="Times New Roman" w:hAnsi="Times New Roman"/>
                <w:sz w:val="18"/>
                <w:szCs w:val="18"/>
              </w:rPr>
              <w:t>S</w:t>
            </w:r>
            <w:r>
              <w:rPr>
                <w:rFonts w:ascii="Times New Roman" w:hAnsi="Times New Roman"/>
                <w:sz w:val="18"/>
                <w:szCs w:val="18"/>
              </w:rPr>
              <w:t>F s</w:t>
            </w:r>
            <w:r w:rsidR="00385835" w:rsidRPr="00385835">
              <w:rPr>
                <w:rFonts w:ascii="Times New Roman" w:hAnsi="Times New Roman"/>
                <w:sz w:val="18"/>
                <w:szCs w:val="18"/>
              </w:rPr>
              <w:t>ubsidijas gavę socialinių įmonių darbuotojai, priklausantys tikslinėms grupėms</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Skaičius</w:t>
            </w:r>
          </w:p>
        </w:tc>
        <w:tc>
          <w:tcPr>
            <w:tcW w:w="850"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ESF</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Mažiau išsivystęs</w:t>
            </w:r>
          </w:p>
        </w:tc>
        <w:tc>
          <w:tcPr>
            <w:tcW w:w="992" w:type="dxa"/>
            <w:shd w:val="clear" w:color="auto" w:fill="auto"/>
            <w:vAlign w:val="center"/>
          </w:tcPr>
          <w:p w:rsidR="00385835" w:rsidRPr="00385835" w:rsidRDefault="00385835" w:rsidP="009348A3">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5</w:t>
            </w:r>
            <w:r w:rsidR="009348A3">
              <w:rPr>
                <w:rFonts w:ascii="Times New Roman" w:eastAsia="AngsanaUPC" w:hAnsi="Times New Roman"/>
                <w:bCs/>
                <w:iCs/>
                <w:sz w:val="18"/>
                <w:szCs w:val="18"/>
                <w:lang w:eastAsia="lt-LT"/>
              </w:rPr>
              <w:t>.</w:t>
            </w:r>
            <w:r w:rsidRPr="00385835">
              <w:rPr>
                <w:rFonts w:ascii="Times New Roman" w:eastAsia="AngsanaUPC" w:hAnsi="Times New Roman"/>
                <w:bCs/>
                <w:iCs/>
                <w:sz w:val="18"/>
                <w:szCs w:val="18"/>
                <w:lang w:eastAsia="lt-LT"/>
              </w:rPr>
              <w:t>500</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Duomenys iš projektų</w:t>
            </w:r>
          </w:p>
        </w:tc>
        <w:tc>
          <w:tcPr>
            <w:tcW w:w="124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385835" w:rsidRPr="00385835" w:rsidTr="00385835">
        <w:tblPrEx>
          <w:shd w:val="clear" w:color="auto" w:fill="auto"/>
        </w:tblPrEx>
        <w:tc>
          <w:tcPr>
            <w:tcW w:w="56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3.</w:t>
            </w:r>
          </w:p>
        </w:tc>
        <w:tc>
          <w:tcPr>
            <w:tcW w:w="2694" w:type="dxa"/>
            <w:shd w:val="clear" w:color="auto" w:fill="auto"/>
            <w:vAlign w:val="center"/>
          </w:tcPr>
          <w:p w:rsidR="00385835" w:rsidRPr="00385835" w:rsidRDefault="004E7612" w:rsidP="00E926C2">
            <w:pPr>
              <w:spacing w:after="0" w:line="240" w:lineRule="auto"/>
              <w:rPr>
                <w:rFonts w:ascii="Times New Roman" w:hAnsi="Times New Roman"/>
                <w:sz w:val="18"/>
                <w:szCs w:val="18"/>
                <w:highlight w:val="yellow"/>
              </w:rPr>
            </w:pPr>
            <w:r>
              <w:rPr>
                <w:rFonts w:ascii="Times New Roman" w:eastAsia="Times New Roman" w:hAnsi="Times New Roman"/>
                <w:bCs/>
                <w:sz w:val="18"/>
                <w:szCs w:val="18"/>
              </w:rPr>
              <w:t xml:space="preserve">ESF lėšomis finansuojamuose </w:t>
            </w:r>
            <w:r w:rsidRPr="00385835">
              <w:rPr>
                <w:rFonts w:ascii="Times New Roman" w:eastAsia="Times New Roman" w:hAnsi="Times New Roman"/>
                <w:bCs/>
                <w:sz w:val="18"/>
                <w:szCs w:val="18"/>
              </w:rPr>
              <w:t>mokym</w:t>
            </w:r>
            <w:r>
              <w:rPr>
                <w:rFonts w:ascii="Times New Roman" w:eastAsia="Times New Roman" w:hAnsi="Times New Roman"/>
                <w:bCs/>
                <w:sz w:val="18"/>
                <w:szCs w:val="18"/>
              </w:rPr>
              <w:t>uos</w:t>
            </w:r>
            <w:r w:rsidRPr="00385835">
              <w:rPr>
                <w:rFonts w:ascii="Times New Roman" w:eastAsia="Times New Roman" w:hAnsi="Times New Roman"/>
                <w:bCs/>
                <w:sz w:val="18"/>
                <w:szCs w:val="18"/>
              </w:rPr>
              <w:t>e</w:t>
            </w:r>
            <w:r w:rsidRPr="00385835" w:rsidDel="00E926C2">
              <w:rPr>
                <w:rFonts w:ascii="Times New Roman" w:hAnsi="Times New Roman"/>
                <w:sz w:val="18"/>
                <w:szCs w:val="18"/>
              </w:rPr>
              <w:t xml:space="preserve"> </w:t>
            </w:r>
            <w:r w:rsidR="00385835" w:rsidRPr="00385835">
              <w:rPr>
                <w:rFonts w:ascii="Times New Roman" w:hAnsi="Times New Roman"/>
                <w:sz w:val="18"/>
                <w:szCs w:val="18"/>
              </w:rPr>
              <w:t xml:space="preserve">dalyvavę asmenys </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Skaičius</w:t>
            </w:r>
          </w:p>
        </w:tc>
        <w:tc>
          <w:tcPr>
            <w:tcW w:w="850"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ESF</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Mažiau išsivystęs</w:t>
            </w:r>
          </w:p>
        </w:tc>
        <w:tc>
          <w:tcPr>
            <w:tcW w:w="992" w:type="dxa"/>
            <w:shd w:val="clear" w:color="auto" w:fill="auto"/>
            <w:vAlign w:val="center"/>
          </w:tcPr>
          <w:p w:rsidR="00385835" w:rsidRPr="00385835" w:rsidRDefault="00385835" w:rsidP="009348A3">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7</w:t>
            </w:r>
            <w:r w:rsidR="009348A3">
              <w:rPr>
                <w:rFonts w:ascii="Times New Roman" w:eastAsia="AngsanaUPC" w:hAnsi="Times New Roman"/>
                <w:bCs/>
                <w:iCs/>
                <w:sz w:val="18"/>
                <w:szCs w:val="18"/>
                <w:lang w:eastAsia="lt-LT"/>
              </w:rPr>
              <w:t>.</w:t>
            </w:r>
            <w:r w:rsidRPr="00385835">
              <w:rPr>
                <w:rFonts w:ascii="Times New Roman" w:eastAsia="AngsanaUPC" w:hAnsi="Times New Roman"/>
                <w:bCs/>
                <w:iCs/>
                <w:sz w:val="18"/>
                <w:szCs w:val="18"/>
                <w:lang w:eastAsia="lt-LT"/>
              </w:rPr>
              <w:t>000</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Duomenys iš projektų</w:t>
            </w:r>
          </w:p>
        </w:tc>
        <w:tc>
          <w:tcPr>
            <w:tcW w:w="124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vAlign w:val="center"/>
          </w:tcPr>
          <w:p w:rsidR="00385835" w:rsidRPr="00385835" w:rsidRDefault="00385835" w:rsidP="00385835">
            <w:pPr>
              <w:widowControl w:val="0"/>
              <w:tabs>
                <w:tab w:val="left" w:pos="622"/>
              </w:tabs>
              <w:spacing w:after="0" w:line="240" w:lineRule="auto"/>
              <w:rPr>
                <w:rFonts w:ascii="Times New Roman" w:eastAsia="AngsanaUPC" w:hAnsi="Times New Roman"/>
                <w:b/>
                <w:bCs/>
                <w:iCs/>
                <w:sz w:val="24"/>
                <w:szCs w:val="24"/>
                <w:lang w:eastAsia="lt-LT"/>
              </w:rPr>
            </w:pPr>
            <w:r w:rsidRPr="00385835">
              <w:rPr>
                <w:rFonts w:ascii="Times New Roman" w:eastAsia="AngsanaUPC" w:hAnsi="Times New Roman"/>
                <w:b/>
                <w:bCs/>
                <w:iCs/>
                <w:sz w:val="24"/>
                <w:szCs w:val="24"/>
                <w:lang w:eastAsia="lt-LT"/>
              </w:rPr>
              <w:t>8.6. INVESTICINIS PRIORITETAS</w:t>
            </w:r>
          </w:p>
        </w:tc>
        <w:tc>
          <w:tcPr>
            <w:tcW w:w="7336" w:type="dxa"/>
            <w:shd w:val="clear" w:color="auto" w:fill="EEECE1"/>
            <w:vAlign w:val="center"/>
          </w:tcPr>
          <w:p w:rsidR="00385835" w:rsidRPr="00385835" w:rsidRDefault="00385835" w:rsidP="00385835">
            <w:pPr>
              <w:spacing w:after="0" w:line="240" w:lineRule="auto"/>
              <w:jc w:val="both"/>
              <w:rPr>
                <w:rFonts w:ascii="Times New Roman" w:hAnsi="Times New Roman"/>
                <w:b/>
                <w:sz w:val="24"/>
                <w:szCs w:val="24"/>
              </w:rPr>
            </w:pPr>
            <w:r w:rsidRPr="00385835">
              <w:rPr>
                <w:rFonts w:ascii="Times New Roman" w:hAnsi="Times New Roman"/>
                <w:b/>
                <w:sz w:val="24"/>
                <w:szCs w:val="24"/>
              </w:rPr>
              <w:t>BIV</w:t>
            </w:r>
            <w:r w:rsidR="000D0444">
              <w:rPr>
                <w:rFonts w:ascii="Times New Roman" w:hAnsi="Times New Roman"/>
                <w:b/>
                <w:sz w:val="24"/>
                <w:szCs w:val="24"/>
              </w:rPr>
              <w:t>P strategijų įgyvendinimas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FONDAS</w:t>
            </w:r>
          </w:p>
        </w:tc>
        <w:tc>
          <w:tcPr>
            <w:tcW w:w="7336"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Europos socialinis fondas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tcPr>
          <w:p w:rsidR="00385835" w:rsidRPr="00385835" w:rsidRDefault="00385835" w:rsidP="00385835">
            <w:pPr>
              <w:widowControl w:val="0"/>
              <w:tabs>
                <w:tab w:val="left" w:pos="622"/>
              </w:tabs>
              <w:spacing w:after="0" w:line="240" w:lineRule="auto"/>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8.6.1. KONKRETUS UŽDAVINYS</w:t>
            </w:r>
          </w:p>
        </w:tc>
        <w:tc>
          <w:tcPr>
            <w:tcW w:w="7336" w:type="dxa"/>
            <w:shd w:val="clear" w:color="auto" w:fill="EEECE1"/>
            <w:vAlign w:val="center"/>
          </w:tcPr>
          <w:p w:rsidR="00385835" w:rsidRPr="00385835" w:rsidRDefault="00385835" w:rsidP="00385835">
            <w:pPr>
              <w:spacing w:after="0" w:line="240" w:lineRule="auto"/>
              <w:jc w:val="both"/>
              <w:rPr>
                <w:rFonts w:ascii="Times New Roman" w:hAnsi="Times New Roman"/>
                <w:b/>
                <w:sz w:val="24"/>
                <w:szCs w:val="24"/>
              </w:rPr>
            </w:pPr>
            <w:r w:rsidRPr="00385835">
              <w:rPr>
                <w:rFonts w:ascii="Times New Roman" w:hAnsi="Times New Roman"/>
                <w:b/>
                <w:sz w:val="24"/>
                <w:szCs w:val="24"/>
              </w:rPr>
              <w:t>Pagerinti vietines įsidarbinimo galimybes ir didinti bendruomenių socialinę integraciją, išnaudojant vietos bendruomenių, verslo ir vietos valdžios ryšius</w:t>
            </w:r>
          </w:p>
        </w:tc>
      </w:tr>
      <w:tr w:rsidR="00385835" w:rsidRPr="00385835" w:rsidTr="00385835">
        <w:tc>
          <w:tcPr>
            <w:tcW w:w="9746" w:type="dxa"/>
            <w:gridSpan w:val="2"/>
            <w:shd w:val="clear" w:color="auto" w:fill="auto"/>
          </w:tcPr>
          <w:p w:rsidR="00385835" w:rsidRPr="00385835" w:rsidRDefault="00385835" w:rsidP="00385835">
            <w:pPr>
              <w:widowControl w:val="0"/>
              <w:tabs>
                <w:tab w:val="left" w:pos="622"/>
              </w:tabs>
              <w:spacing w:after="0" w:line="240" w:lineRule="auto"/>
              <w:ind w:firstLine="624"/>
              <w:jc w:val="both"/>
              <w:rPr>
                <w:rFonts w:ascii="Times New Roman" w:hAnsi="Times New Roman"/>
                <w:sz w:val="24"/>
                <w:szCs w:val="24"/>
              </w:rPr>
            </w:pPr>
            <w:r w:rsidRPr="00385835">
              <w:rPr>
                <w:rFonts w:ascii="Times New Roman" w:hAnsi="Times New Roman"/>
                <w:sz w:val="24"/>
                <w:szCs w:val="24"/>
              </w:rPr>
              <w:t>Įgyvendinant uždavinį</w:t>
            </w:r>
            <w:r w:rsidR="00D86A44">
              <w:rPr>
                <w:rFonts w:ascii="Times New Roman" w:hAnsi="Times New Roman"/>
                <w:sz w:val="24"/>
                <w:szCs w:val="24"/>
              </w:rPr>
              <w:t>,</w:t>
            </w:r>
            <w:r w:rsidRPr="00385835">
              <w:rPr>
                <w:rFonts w:ascii="Times New Roman" w:hAnsi="Times New Roman"/>
                <w:sz w:val="24"/>
                <w:szCs w:val="24"/>
              </w:rPr>
              <w:t xml:space="preserve"> siekiama į ESF tikslų įgyvendinimą įtraukti konkrečių miestų bendruomenes ir vietos verslus, sukuriant bendradarbiavimo tinklus, leidžiančius miestų vietovėse pasireiškiančias problemas visoms suinteresuotoms grupėms spręsti kartu – įgyvendinant vietos plėtros strategijas. Sprendžiant vietoje pasireiškiančias užimtumo ar socialinės atskirties problemas</w:t>
            </w:r>
            <w:r w:rsidR="00D86A44">
              <w:rPr>
                <w:rFonts w:ascii="Times New Roman" w:hAnsi="Times New Roman"/>
                <w:sz w:val="24"/>
                <w:szCs w:val="24"/>
              </w:rPr>
              <w:t>,</w:t>
            </w:r>
            <w:r w:rsidRPr="00385835">
              <w:rPr>
                <w:rFonts w:ascii="Times New Roman" w:hAnsi="Times New Roman"/>
                <w:sz w:val="24"/>
                <w:szCs w:val="24"/>
              </w:rPr>
              <w:t xml:space="preserve"> galės dalyvauti visos visuomenės grupės: tiek tikslinių grupių dalyviai, kurių socialinės integracijos ir įsitraukimo į darbo rinką yra siekiama, tiek aktyvūs bendruomenės nariai, taip pat savivaldybių institucijos ir įstaigos, privačios įmonės ir asocijuotos verslo struktūros, NVO ir kt. Visų vietos partnerių išteklių ir potencialo sutelkimas leis papildyti pagrindines (centralizuotai valdomas) ESF investicijas mažos apimties projektais, orientuotais į konkrečios vietovės specifiką </w:t>
            </w:r>
            <w:r w:rsidR="00D93B9C">
              <w:rPr>
                <w:rFonts w:ascii="Times New Roman" w:hAnsi="Times New Roman"/>
                <w:sz w:val="24"/>
                <w:szCs w:val="24"/>
              </w:rPr>
              <w:t>ir vietos partnerystes.</w:t>
            </w:r>
          </w:p>
          <w:p w:rsidR="00385835" w:rsidRPr="00385835" w:rsidRDefault="00385835" w:rsidP="00385835">
            <w:pPr>
              <w:widowControl w:val="0"/>
              <w:tabs>
                <w:tab w:val="left" w:pos="622"/>
              </w:tabs>
              <w:spacing w:after="0" w:line="240" w:lineRule="auto"/>
              <w:ind w:firstLine="624"/>
              <w:jc w:val="both"/>
              <w:rPr>
                <w:rFonts w:ascii="Times New Roman" w:hAnsi="Times New Roman"/>
                <w:sz w:val="24"/>
                <w:szCs w:val="24"/>
              </w:rPr>
            </w:pPr>
            <w:r w:rsidRPr="00385835">
              <w:rPr>
                <w:rFonts w:ascii="Times New Roman" w:hAnsi="Times New Roman"/>
                <w:sz w:val="24"/>
                <w:szCs w:val="24"/>
              </w:rPr>
              <w:t xml:space="preserve">Taip bus pasiekta, kad vietos plėtros strategijoje numatytų tikslinių grupių dalyvių padėtis darbo rinkoje pagerės (20 proc. dalyvių), remiamose veiklose dalyvavę ir jas organizavę bendruomenės nariai ir pasibaigus remiamų veiklų įgyvendinimui dalyvaus savanoriškoje veikloje teikiant socialines paslaugas, pagalbą įsidarbinant ir kitus veiksmus, mažinančius socialinę atskirtį </w:t>
            </w:r>
            <w:proofErr w:type="gramStart"/>
            <w:r w:rsidRPr="00385835">
              <w:rPr>
                <w:rFonts w:ascii="Times New Roman" w:hAnsi="Times New Roman"/>
                <w:sz w:val="24"/>
                <w:szCs w:val="24"/>
              </w:rPr>
              <w:t>(</w:t>
            </w:r>
            <w:proofErr w:type="gramEnd"/>
            <w:r w:rsidRPr="00385835">
              <w:rPr>
                <w:rFonts w:ascii="Times New Roman" w:hAnsi="Times New Roman"/>
                <w:sz w:val="24"/>
                <w:szCs w:val="24"/>
              </w:rPr>
              <w:t>10 proc. dalyvių).</w:t>
            </w:r>
          </w:p>
          <w:p w:rsidR="00385835" w:rsidRPr="00385835" w:rsidRDefault="00385835" w:rsidP="00385835">
            <w:pPr>
              <w:widowControl w:val="0"/>
              <w:tabs>
                <w:tab w:val="left" w:pos="622"/>
              </w:tabs>
              <w:spacing w:after="0" w:line="240" w:lineRule="auto"/>
              <w:ind w:firstLine="624"/>
              <w:jc w:val="both"/>
              <w:rPr>
                <w:rFonts w:ascii="Times New Roman" w:hAnsi="Times New Roman"/>
                <w:sz w:val="24"/>
                <w:szCs w:val="24"/>
              </w:rPr>
            </w:pPr>
            <w:r w:rsidRPr="00385835">
              <w:rPr>
                <w:rFonts w:ascii="Times New Roman" w:hAnsi="Times New Roman"/>
                <w:sz w:val="24"/>
                <w:szCs w:val="24"/>
              </w:rPr>
              <w:t>Atsižvelgus į tai, kad uždavinio rezultatus padės pasiekti papildančios kitų investicinių prioritetų veiklos (pavyzdžiui</w:t>
            </w:r>
            <w:r w:rsidR="00686878">
              <w:rPr>
                <w:rFonts w:ascii="Times New Roman" w:hAnsi="Times New Roman"/>
                <w:sz w:val="24"/>
                <w:szCs w:val="24"/>
              </w:rPr>
              <w:t>,</w:t>
            </w:r>
            <w:r w:rsidRPr="00385835">
              <w:rPr>
                <w:rFonts w:ascii="Times New Roman" w:hAnsi="Times New Roman"/>
                <w:sz w:val="24"/>
                <w:szCs w:val="24"/>
              </w:rPr>
              <w:t xml:space="preserve"> pagal 7 veiksmų programos prioritetą „Kokybiško užimtumo ir dalyvavimo darbo rinkoje skatinimas“ numatomos ERPF investicijos kompleksiniam miestų vietovių regeneravimui), prioritetas bus teikiamas toms vietos plėtros strategijo</w:t>
            </w:r>
            <w:r w:rsidR="00D86A44">
              <w:rPr>
                <w:rFonts w:ascii="Times New Roman" w:hAnsi="Times New Roman"/>
                <w:sz w:val="24"/>
                <w:szCs w:val="24"/>
              </w:rPr>
              <w:t>m</w:t>
            </w:r>
            <w:r w:rsidRPr="00385835">
              <w:rPr>
                <w:rFonts w:ascii="Times New Roman" w:hAnsi="Times New Roman"/>
                <w:sz w:val="24"/>
                <w:szCs w:val="24"/>
              </w:rPr>
              <w:t xml:space="preserve">s, kurios bus įgyvendinamos taikant ITI ir </w:t>
            </w:r>
            <w:proofErr w:type="gramStart"/>
            <w:r w:rsidRPr="00385835">
              <w:rPr>
                <w:rFonts w:ascii="Times New Roman" w:hAnsi="Times New Roman"/>
                <w:sz w:val="24"/>
                <w:szCs w:val="24"/>
              </w:rPr>
              <w:t>(</w:t>
            </w:r>
            <w:proofErr w:type="gramEnd"/>
            <w:r w:rsidRPr="00385835">
              <w:rPr>
                <w:rFonts w:ascii="Times New Roman" w:hAnsi="Times New Roman"/>
                <w:sz w:val="24"/>
                <w:szCs w:val="24"/>
              </w:rPr>
              <w:t>ar) prisidės prie integruotų teritorijų</w:t>
            </w:r>
            <w:r w:rsidR="00D93B9C">
              <w:rPr>
                <w:rFonts w:ascii="Times New Roman" w:hAnsi="Times New Roman"/>
                <w:sz w:val="24"/>
                <w:szCs w:val="24"/>
              </w:rPr>
              <w:t xml:space="preserve"> vystymo programų įgyvendinimo.</w:t>
            </w:r>
          </w:p>
          <w:p w:rsidR="00385835" w:rsidRPr="00385835" w:rsidRDefault="00385835" w:rsidP="00385835">
            <w:pPr>
              <w:widowControl w:val="0"/>
              <w:tabs>
                <w:tab w:val="left" w:pos="622"/>
              </w:tabs>
              <w:spacing w:after="0" w:line="240" w:lineRule="auto"/>
              <w:ind w:firstLine="624"/>
              <w:jc w:val="both"/>
              <w:rPr>
                <w:rFonts w:ascii="Times New Roman" w:eastAsia="AngsanaUPC" w:hAnsi="Times New Roman"/>
                <w:bCs/>
                <w:sz w:val="24"/>
                <w:szCs w:val="24"/>
                <w:lang w:eastAsia="lt-LT"/>
              </w:rPr>
            </w:pPr>
            <w:r w:rsidRPr="00385835">
              <w:rPr>
                <w:rFonts w:ascii="Times New Roman" w:hAnsi="Times New Roman"/>
                <w:sz w:val="24"/>
                <w:szCs w:val="24"/>
              </w:rPr>
              <w:t>Kaip ITI dalis BIVP prisidės ir prie platesnės tikslinių teritorijų regeneracijos (integruotai sprendžiant demografines, socialines, ekonomines, aplinkosaugines ir su klimato kaita susijusias problemas).</w:t>
            </w:r>
          </w:p>
        </w:tc>
      </w:tr>
    </w:tbl>
    <w:p w:rsidR="007E588C" w:rsidRPr="00385835" w:rsidRDefault="007E588C"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
        <w:gridCol w:w="2184"/>
        <w:gridCol w:w="992"/>
        <w:gridCol w:w="992"/>
        <w:gridCol w:w="709"/>
        <w:gridCol w:w="425"/>
        <w:gridCol w:w="851"/>
        <w:gridCol w:w="698"/>
        <w:gridCol w:w="577"/>
        <w:gridCol w:w="1110"/>
        <w:gridCol w:w="646"/>
        <w:gridCol w:w="52"/>
      </w:tblGrid>
      <w:tr w:rsidR="00385835" w:rsidRPr="00385835" w:rsidTr="00385835">
        <w:trPr>
          <w:tblHeader/>
        </w:trPr>
        <w:tc>
          <w:tcPr>
            <w:tcW w:w="9746" w:type="dxa"/>
            <w:gridSpan w:val="12"/>
            <w:tcBorders>
              <w:top w:val="single" w:sz="4" w:space="0" w:color="auto"/>
              <w:left w:val="single" w:sz="4" w:space="0" w:color="auto"/>
              <w:bottom w:val="single" w:sz="4" w:space="0" w:color="auto"/>
              <w:right w:val="single" w:sz="4" w:space="0" w:color="auto"/>
            </w:tcBorders>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i/>
                <w:iCs/>
                <w:sz w:val="24"/>
                <w:szCs w:val="24"/>
                <w:lang w:eastAsia="lt-LT"/>
              </w:rPr>
            </w:pPr>
            <w:r w:rsidRPr="00385835">
              <w:rPr>
                <w:rFonts w:ascii="Times New Roman" w:eastAsia="AngsanaUPC" w:hAnsi="Times New Roman"/>
                <w:b/>
                <w:bCs/>
                <w:i/>
                <w:iCs/>
                <w:sz w:val="24"/>
                <w:szCs w:val="24"/>
                <w:lang w:eastAsia="lt-LT"/>
              </w:rPr>
              <w:t xml:space="preserve">ESF </w:t>
            </w:r>
            <w:r w:rsidR="00A9401B">
              <w:rPr>
                <w:rFonts w:ascii="Times New Roman" w:eastAsia="AngsanaUPC" w:hAnsi="Times New Roman"/>
                <w:b/>
                <w:bCs/>
                <w:i/>
                <w:iCs/>
                <w:sz w:val="24"/>
                <w:szCs w:val="24"/>
                <w:lang w:eastAsia="lt-LT"/>
              </w:rPr>
              <w:t xml:space="preserve">bendrieji ir </w:t>
            </w:r>
            <w:r w:rsidR="006827C9">
              <w:rPr>
                <w:rFonts w:ascii="Times New Roman" w:eastAsia="AngsanaUPC" w:hAnsi="Times New Roman"/>
                <w:b/>
                <w:bCs/>
                <w:i/>
                <w:iCs/>
                <w:sz w:val="24"/>
                <w:szCs w:val="24"/>
                <w:lang w:eastAsia="lt-LT"/>
              </w:rPr>
              <w:t>specialieji</w:t>
            </w:r>
            <w:r w:rsidR="006827C9" w:rsidRPr="00385835">
              <w:rPr>
                <w:rFonts w:ascii="Times New Roman" w:eastAsia="AngsanaUPC" w:hAnsi="Times New Roman"/>
                <w:b/>
                <w:bCs/>
                <w:i/>
                <w:iCs/>
                <w:sz w:val="24"/>
                <w:szCs w:val="24"/>
                <w:lang w:eastAsia="lt-LT"/>
              </w:rPr>
              <w:t xml:space="preserve"> </w:t>
            </w:r>
            <w:r w:rsidRPr="00385835">
              <w:rPr>
                <w:rFonts w:ascii="Times New Roman" w:eastAsia="AngsanaUPC" w:hAnsi="Times New Roman"/>
                <w:b/>
                <w:bCs/>
                <w:i/>
                <w:iCs/>
                <w:sz w:val="24"/>
                <w:szCs w:val="24"/>
                <w:lang w:eastAsia="lt-LT"/>
              </w:rPr>
              <w:t>programos rezultato rodikliai</w:t>
            </w:r>
          </w:p>
        </w:tc>
      </w:tr>
      <w:tr w:rsidR="00385835" w:rsidRPr="00385835" w:rsidTr="00385835">
        <w:trPr>
          <w:gridAfter w:val="1"/>
          <w:wAfter w:w="52" w:type="dxa"/>
          <w:cantSplit/>
          <w:trHeight w:val="1837"/>
          <w:tblHeader/>
        </w:trPr>
        <w:tc>
          <w:tcPr>
            <w:tcW w:w="510"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Nr.</w:t>
            </w:r>
          </w:p>
        </w:tc>
        <w:tc>
          <w:tcPr>
            <w:tcW w:w="218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Rodiklio pavadinimas</w:t>
            </w:r>
          </w:p>
        </w:tc>
        <w:tc>
          <w:tcPr>
            <w:tcW w:w="992"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Regiono kategorija</w:t>
            </w:r>
          </w:p>
        </w:tc>
        <w:tc>
          <w:tcPr>
            <w:tcW w:w="992"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Matavimo vienetas</w:t>
            </w:r>
          </w:p>
        </w:tc>
        <w:tc>
          <w:tcPr>
            <w:tcW w:w="709"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Bendrasis produkto rodiklis, naudotas kaip pagrindas</w:t>
            </w:r>
          </w:p>
        </w:tc>
        <w:tc>
          <w:tcPr>
            <w:tcW w:w="425"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 reikšmė</w:t>
            </w:r>
          </w:p>
        </w:tc>
        <w:tc>
          <w:tcPr>
            <w:tcW w:w="851"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Pradinės ir siektinos reikšmės matavimo vienetai</w:t>
            </w:r>
          </w:p>
        </w:tc>
        <w:tc>
          <w:tcPr>
            <w:tcW w:w="698"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Pradinės reikšmės metai</w:t>
            </w:r>
          </w:p>
        </w:tc>
        <w:tc>
          <w:tcPr>
            <w:tcW w:w="577"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Siektina reikšmė (2023)</w:t>
            </w:r>
          </w:p>
        </w:tc>
        <w:tc>
          <w:tcPr>
            <w:tcW w:w="1110"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Duomenų šaltinis</w:t>
            </w:r>
          </w:p>
        </w:tc>
        <w:tc>
          <w:tcPr>
            <w:tcW w:w="646"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Atsiskaitymo dažnumas</w:t>
            </w:r>
          </w:p>
        </w:tc>
      </w:tr>
      <w:tr w:rsidR="00385835" w:rsidRPr="00385835" w:rsidTr="00385835">
        <w:trPr>
          <w:gridAfter w:val="1"/>
          <w:wAfter w:w="52" w:type="dxa"/>
        </w:trPr>
        <w:tc>
          <w:tcPr>
            <w:tcW w:w="510"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 xml:space="preserve">1. </w:t>
            </w:r>
          </w:p>
        </w:tc>
        <w:tc>
          <w:tcPr>
            <w:tcW w:w="2184" w:type="dxa"/>
            <w:shd w:val="clear" w:color="auto" w:fill="auto"/>
            <w:vAlign w:val="center"/>
          </w:tcPr>
          <w:p w:rsidR="00385835" w:rsidRPr="00385835" w:rsidRDefault="00385835" w:rsidP="00385835">
            <w:pPr>
              <w:spacing w:after="0" w:line="240" w:lineRule="auto"/>
              <w:rPr>
                <w:rFonts w:ascii="Times New Roman" w:eastAsia="TimesNewRoman" w:hAnsi="Times New Roman"/>
                <w:sz w:val="18"/>
                <w:szCs w:val="18"/>
                <w:lang w:eastAsia="lt-LT"/>
              </w:rPr>
            </w:pPr>
            <w:r w:rsidRPr="00385835">
              <w:rPr>
                <w:rFonts w:ascii="Times New Roman" w:eastAsia="TimesNewRoman" w:hAnsi="Times New Roman"/>
                <w:sz w:val="18"/>
                <w:szCs w:val="18"/>
                <w:lang w:eastAsia="lt-LT"/>
              </w:rPr>
              <w:t>BIVP projektų veiklų dalyviai</w:t>
            </w:r>
            <w:r w:rsidRPr="00385835">
              <w:rPr>
                <w:rFonts w:ascii="Times New Roman" w:hAnsi="Times New Roman"/>
                <w:sz w:val="18"/>
                <w:szCs w:val="18"/>
                <w:lang w:eastAsia="lt-LT"/>
              </w:rPr>
              <w:t>, kurių padėtis darbo rinkoje pagerėjo praėjus 6 mėnesiams po dalyvavimo ESF veiklose</w:t>
            </w:r>
          </w:p>
        </w:tc>
        <w:tc>
          <w:tcPr>
            <w:tcW w:w="992" w:type="dxa"/>
            <w:shd w:val="clear" w:color="auto" w:fill="auto"/>
            <w:vAlign w:val="center"/>
          </w:tcPr>
          <w:p w:rsidR="00385835" w:rsidRPr="00385835" w:rsidRDefault="00385835" w:rsidP="00385835">
            <w:pPr>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Mažiau išsivystęs</w:t>
            </w:r>
          </w:p>
        </w:tc>
        <w:tc>
          <w:tcPr>
            <w:tcW w:w="992" w:type="dxa"/>
            <w:shd w:val="clear" w:color="auto" w:fill="auto"/>
            <w:vAlign w:val="center"/>
          </w:tcPr>
          <w:p w:rsidR="00385835" w:rsidRPr="00385835" w:rsidRDefault="00385835" w:rsidP="00385835">
            <w:pPr>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Asmenys</w:t>
            </w:r>
          </w:p>
        </w:tc>
        <w:tc>
          <w:tcPr>
            <w:tcW w:w="709"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TimesNewRoman" w:hAnsi="Times New Roman"/>
                <w:sz w:val="18"/>
                <w:szCs w:val="18"/>
                <w:lang w:eastAsia="lt-LT"/>
              </w:rPr>
            </w:pPr>
            <w:r w:rsidRPr="00385835">
              <w:rPr>
                <w:rFonts w:ascii="Times New Roman" w:eastAsia="TimesNewRoman" w:hAnsi="Times New Roman"/>
                <w:sz w:val="18"/>
                <w:szCs w:val="18"/>
                <w:lang w:eastAsia="lt-LT"/>
              </w:rPr>
              <w:t>-</w:t>
            </w:r>
          </w:p>
        </w:tc>
        <w:tc>
          <w:tcPr>
            <w:tcW w:w="425"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15</w:t>
            </w:r>
          </w:p>
        </w:tc>
        <w:tc>
          <w:tcPr>
            <w:tcW w:w="85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Proc.</w:t>
            </w:r>
          </w:p>
        </w:tc>
        <w:tc>
          <w:tcPr>
            <w:tcW w:w="698"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2013</w:t>
            </w:r>
          </w:p>
        </w:tc>
        <w:tc>
          <w:tcPr>
            <w:tcW w:w="57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20</w:t>
            </w:r>
          </w:p>
        </w:tc>
        <w:tc>
          <w:tcPr>
            <w:tcW w:w="1110"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Duomenys iš projektų</w:t>
            </w:r>
          </w:p>
        </w:tc>
        <w:tc>
          <w:tcPr>
            <w:tcW w:w="646"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385835" w:rsidRPr="00385835" w:rsidTr="00385835">
        <w:trPr>
          <w:gridAfter w:val="1"/>
          <w:wAfter w:w="52" w:type="dxa"/>
        </w:trPr>
        <w:tc>
          <w:tcPr>
            <w:tcW w:w="510"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w:t>
            </w:r>
          </w:p>
        </w:tc>
        <w:tc>
          <w:tcPr>
            <w:tcW w:w="2184" w:type="dxa"/>
            <w:shd w:val="clear" w:color="auto" w:fill="auto"/>
            <w:vAlign w:val="center"/>
          </w:tcPr>
          <w:p w:rsidR="00385835" w:rsidRPr="00385835" w:rsidRDefault="00385835" w:rsidP="00385835">
            <w:pPr>
              <w:spacing w:after="0" w:line="240" w:lineRule="auto"/>
              <w:rPr>
                <w:rFonts w:ascii="Times New Roman" w:hAnsi="Times New Roman"/>
                <w:sz w:val="18"/>
                <w:szCs w:val="18"/>
                <w:lang w:eastAsia="lt-LT"/>
              </w:rPr>
            </w:pPr>
            <w:r w:rsidRPr="00385835">
              <w:rPr>
                <w:rFonts w:ascii="Times New Roman" w:hAnsi="Times New Roman"/>
                <w:sz w:val="18"/>
                <w:szCs w:val="18"/>
                <w:lang w:eastAsia="lt-LT"/>
              </w:rPr>
              <w:t>Socialinių partnerių organizacijose ar NVO savanoriaujantys dalyviai (vietos bendruomenės nariai) praėjus 6 mėnesiams po dalyvavimo ESF veiklose</w:t>
            </w:r>
          </w:p>
        </w:tc>
        <w:tc>
          <w:tcPr>
            <w:tcW w:w="992" w:type="dxa"/>
            <w:shd w:val="clear" w:color="auto" w:fill="auto"/>
            <w:vAlign w:val="center"/>
          </w:tcPr>
          <w:p w:rsidR="00385835" w:rsidRPr="00385835" w:rsidRDefault="00385835" w:rsidP="00385835">
            <w:pPr>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Mažiau išsivystęs</w:t>
            </w:r>
          </w:p>
        </w:tc>
        <w:tc>
          <w:tcPr>
            <w:tcW w:w="992" w:type="dxa"/>
            <w:shd w:val="clear" w:color="auto" w:fill="auto"/>
            <w:vAlign w:val="center"/>
          </w:tcPr>
          <w:p w:rsidR="00385835" w:rsidRPr="00385835" w:rsidRDefault="00385835" w:rsidP="00385835">
            <w:pPr>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Asmenys</w:t>
            </w:r>
          </w:p>
        </w:tc>
        <w:tc>
          <w:tcPr>
            <w:tcW w:w="709"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TimesNewRoman" w:hAnsi="Times New Roman"/>
                <w:sz w:val="18"/>
                <w:szCs w:val="18"/>
                <w:lang w:eastAsia="lt-LT"/>
              </w:rPr>
            </w:pPr>
            <w:r w:rsidRPr="00385835">
              <w:rPr>
                <w:rFonts w:ascii="Times New Roman" w:eastAsia="TimesNewRoman" w:hAnsi="Times New Roman"/>
                <w:sz w:val="18"/>
                <w:szCs w:val="18"/>
                <w:lang w:eastAsia="lt-LT"/>
              </w:rPr>
              <w:t>-</w:t>
            </w:r>
          </w:p>
        </w:tc>
        <w:tc>
          <w:tcPr>
            <w:tcW w:w="425"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7</w:t>
            </w:r>
          </w:p>
        </w:tc>
        <w:tc>
          <w:tcPr>
            <w:tcW w:w="85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Proc.</w:t>
            </w:r>
          </w:p>
        </w:tc>
        <w:tc>
          <w:tcPr>
            <w:tcW w:w="698"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2013</w:t>
            </w:r>
          </w:p>
        </w:tc>
        <w:tc>
          <w:tcPr>
            <w:tcW w:w="57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10</w:t>
            </w:r>
          </w:p>
        </w:tc>
        <w:tc>
          <w:tcPr>
            <w:tcW w:w="1110"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Duomenys iš projektų</w:t>
            </w:r>
          </w:p>
        </w:tc>
        <w:tc>
          <w:tcPr>
            <w:tcW w:w="646"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bl>
    <w:p w:rsidR="00385835" w:rsidRPr="00385835" w:rsidRDefault="00385835" w:rsidP="00385835">
      <w:pPr>
        <w:spacing w:after="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385835" w:rsidRPr="00385835" w:rsidTr="00385835">
        <w:tc>
          <w:tcPr>
            <w:tcW w:w="9746" w:type="dxa"/>
            <w:tcBorders>
              <w:top w:val="single" w:sz="4" w:space="0" w:color="auto"/>
              <w:left w:val="single" w:sz="4" w:space="0" w:color="auto"/>
              <w:bottom w:val="single" w:sz="4" w:space="0" w:color="auto"/>
              <w:right w:val="single" w:sz="4" w:space="0" w:color="auto"/>
            </w:tcBorders>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Cs/>
                <w:iCs/>
                <w:sz w:val="24"/>
                <w:szCs w:val="24"/>
                <w:lang w:eastAsia="lt-LT"/>
              </w:rPr>
            </w:pPr>
            <w:r w:rsidRPr="00385835">
              <w:rPr>
                <w:rFonts w:ascii="Times New Roman" w:eastAsia="AngsanaUPC" w:hAnsi="Times New Roman"/>
                <w:b/>
                <w:bCs/>
                <w:i/>
                <w:iCs/>
                <w:sz w:val="24"/>
                <w:szCs w:val="24"/>
                <w:lang w:eastAsia="lt-LT"/>
              </w:rPr>
              <w:t>8.6. Investicinio prioriteto įgyvendinimo veiklos</w:t>
            </w:r>
          </w:p>
        </w:tc>
      </w:tr>
      <w:tr w:rsidR="00385835" w:rsidRPr="00385835" w:rsidTr="00385835">
        <w:tc>
          <w:tcPr>
            <w:tcW w:w="9746" w:type="dxa"/>
            <w:shd w:val="clear" w:color="auto" w:fill="auto"/>
          </w:tcPr>
          <w:p w:rsidR="00385835" w:rsidRPr="00385835" w:rsidRDefault="00385835" w:rsidP="00650E41">
            <w:pPr>
              <w:numPr>
                <w:ilvl w:val="0"/>
                <w:numId w:val="27"/>
              </w:numPr>
              <w:tabs>
                <w:tab w:val="left" w:pos="459"/>
              </w:tabs>
              <w:autoSpaceDE w:val="0"/>
              <w:autoSpaceDN w:val="0"/>
              <w:adjustRightInd w:val="0"/>
              <w:spacing w:after="0" w:line="240" w:lineRule="auto"/>
              <w:ind w:left="34" w:firstLine="0"/>
              <w:jc w:val="both"/>
              <w:rPr>
                <w:rFonts w:ascii="Times New Roman" w:hAnsi="Times New Roman"/>
                <w:sz w:val="24"/>
                <w:szCs w:val="24"/>
              </w:rPr>
            </w:pPr>
            <w:r w:rsidRPr="00385835">
              <w:rPr>
                <w:rFonts w:ascii="Times New Roman" w:eastAsia="AngsanaUPC" w:hAnsi="Times New Roman"/>
                <w:bCs/>
                <w:iCs/>
                <w:sz w:val="24"/>
                <w:szCs w:val="24"/>
                <w:lang w:eastAsia="lt-LT"/>
              </w:rPr>
              <w:t xml:space="preserve">Bendruomenės inicijuojamos veiklos, skirtos socialinei atskirčiai mažinti – psichosocialinės, sociokultūrinės paslaugos; savanorių, bendruomenės narių, dirbančių su socialinės rizikos </w:t>
            </w:r>
            <w:r w:rsidRPr="00385835">
              <w:rPr>
                <w:rFonts w:ascii="Times New Roman" w:eastAsia="AngsanaUPC" w:hAnsi="Times New Roman"/>
                <w:bCs/>
                <w:iCs/>
                <w:sz w:val="24"/>
                <w:szCs w:val="24"/>
                <w:lang w:eastAsia="lt-LT"/>
              </w:rPr>
              <w:lastRenderedPageBreak/>
              <w:t xml:space="preserve">asmenimis mokymai; informacijos sklaida tikslinių grupių asmenims apie įvairiose organizacijose prieinamas socialines paslaugas ir tarpininkavimas </w:t>
            </w:r>
            <w:r w:rsidR="00D86A44" w:rsidRPr="00385835">
              <w:rPr>
                <w:rFonts w:ascii="Times New Roman" w:eastAsia="AngsanaUPC" w:hAnsi="Times New Roman"/>
                <w:bCs/>
                <w:iCs/>
                <w:sz w:val="24"/>
                <w:szCs w:val="24"/>
                <w:lang w:eastAsia="lt-LT"/>
              </w:rPr>
              <w:t xml:space="preserve">teikiant </w:t>
            </w:r>
            <w:r w:rsidRPr="00385835">
              <w:rPr>
                <w:rFonts w:ascii="Times New Roman" w:eastAsia="AngsanaUPC" w:hAnsi="Times New Roman"/>
                <w:bCs/>
                <w:iCs/>
                <w:sz w:val="24"/>
                <w:szCs w:val="24"/>
                <w:lang w:eastAsia="lt-LT"/>
              </w:rPr>
              <w:t xml:space="preserve">šias paslaugas; pagalba namuose; savipagalbos grupių steigimas ir kt.; kūryba paremtos partnerystės tarp bendruomenės narių, menininkų ir kultūros institucijų, kurių metu sprendžiamos iš anksto identifikuotos socialinės problemos. </w:t>
            </w:r>
          </w:p>
          <w:p w:rsidR="00385835" w:rsidRPr="00385835" w:rsidRDefault="00385835" w:rsidP="00650E41">
            <w:pPr>
              <w:numPr>
                <w:ilvl w:val="0"/>
                <w:numId w:val="27"/>
              </w:numPr>
              <w:tabs>
                <w:tab w:val="left" w:pos="459"/>
              </w:tabs>
              <w:autoSpaceDE w:val="0"/>
              <w:autoSpaceDN w:val="0"/>
              <w:adjustRightInd w:val="0"/>
              <w:spacing w:after="0" w:line="240" w:lineRule="auto"/>
              <w:ind w:left="34"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Užimtumo skatinimas, padedant bedarbiams ir neaktyviems asmenims įgyti naujų profesinių įgūdžių, įtraukiant juos į visuomeninę veiklą (įskaitant neformalųjį švietimą, kultūrinę veiklą, savanorystę) ir tarpininkaujant įdarbinant (bendradarbiaujant su teritorijoje veikiančiais verslais ir vietos valdžia).</w:t>
            </w:r>
          </w:p>
          <w:p w:rsidR="00385835" w:rsidRPr="00385835" w:rsidRDefault="00385835" w:rsidP="00650E41">
            <w:pPr>
              <w:widowControl w:val="0"/>
              <w:numPr>
                <w:ilvl w:val="0"/>
                <w:numId w:val="27"/>
              </w:numPr>
              <w:tabs>
                <w:tab w:val="left" w:pos="459"/>
                <w:tab w:val="left" w:pos="622"/>
                <w:tab w:val="left" w:pos="1665"/>
              </w:tabs>
              <w:spacing w:after="0" w:line="240" w:lineRule="auto"/>
              <w:ind w:left="34"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Neformalios verslumą skatinančios iniciatyvos (pavyzdžiui, mentorystė, tarpininkavimas, konsultacijos besikuriančiam verslui ar individualią veiklą pradedantiems asmenims).</w:t>
            </w:r>
          </w:p>
          <w:p w:rsidR="00385835" w:rsidRPr="00385835" w:rsidRDefault="00385835" w:rsidP="00650E41">
            <w:pPr>
              <w:widowControl w:val="0"/>
              <w:numPr>
                <w:ilvl w:val="0"/>
                <w:numId w:val="27"/>
              </w:numPr>
              <w:tabs>
                <w:tab w:val="left" w:pos="459"/>
                <w:tab w:val="left" w:pos="622"/>
                <w:tab w:val="left" w:pos="1665"/>
              </w:tabs>
              <w:spacing w:after="0" w:line="240" w:lineRule="auto"/>
              <w:ind w:left="34"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Bendradarbiavimo ir informacijos sklaidos tinklų kūrimas (įskaitant bendradarbiavimą su kaimo vietovių vietos veiklos grupėmis (VVG</w:t>
            </w:r>
            <w:proofErr w:type="gramStart"/>
            <w:r w:rsidRPr="00385835">
              <w:rPr>
                <w:rFonts w:ascii="Times New Roman" w:eastAsia="AngsanaUPC" w:hAnsi="Times New Roman"/>
                <w:bCs/>
                <w:iCs/>
                <w:sz w:val="24"/>
                <w:szCs w:val="24"/>
                <w:lang w:eastAsia="lt-LT"/>
              </w:rPr>
              <w:t>))</w:t>
            </w:r>
            <w:proofErr w:type="gramEnd"/>
            <w:r w:rsidRPr="00385835">
              <w:rPr>
                <w:rFonts w:ascii="Times New Roman" w:eastAsia="AngsanaUPC" w:hAnsi="Times New Roman"/>
                <w:bCs/>
                <w:iCs/>
                <w:sz w:val="24"/>
                <w:szCs w:val="24"/>
                <w:lang w:eastAsia="lt-LT"/>
              </w:rPr>
              <w:t>.</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564"/>
        <w:gridCol w:w="2966"/>
        <w:gridCol w:w="1006"/>
        <w:gridCol w:w="851"/>
        <w:gridCol w:w="1134"/>
        <w:gridCol w:w="850"/>
        <w:gridCol w:w="1091"/>
        <w:gridCol w:w="1227"/>
        <w:gridCol w:w="57"/>
      </w:tblGrid>
      <w:tr w:rsidR="00385835" w:rsidRPr="00385835" w:rsidTr="00385835">
        <w:tc>
          <w:tcPr>
            <w:tcW w:w="9746" w:type="dxa"/>
            <w:gridSpan w:val="9"/>
            <w:tcBorders>
              <w:top w:val="single" w:sz="4" w:space="0" w:color="auto"/>
              <w:left w:val="single" w:sz="4" w:space="0" w:color="auto"/>
              <w:bottom w:val="single" w:sz="4" w:space="0" w:color="auto"/>
              <w:right w:val="single" w:sz="4" w:space="0" w:color="auto"/>
            </w:tcBorders>
            <w:shd w:val="clear" w:color="auto" w:fill="EEECE1"/>
          </w:tcPr>
          <w:p w:rsidR="00385835" w:rsidRPr="00385835" w:rsidRDefault="00385835" w:rsidP="00385835">
            <w:pPr>
              <w:widowControl w:val="0"/>
              <w:tabs>
                <w:tab w:val="left" w:pos="622"/>
              </w:tabs>
              <w:spacing w:after="0" w:line="240" w:lineRule="auto"/>
              <w:jc w:val="both"/>
              <w:rPr>
                <w:rFonts w:ascii="Times New Roman" w:hAnsi="Times New Roman"/>
                <w:b/>
                <w:i/>
                <w:sz w:val="24"/>
                <w:szCs w:val="24"/>
              </w:rPr>
            </w:pPr>
            <w:r w:rsidRPr="00385835">
              <w:rPr>
                <w:rFonts w:ascii="Times New Roman" w:hAnsi="Times New Roman"/>
                <w:b/>
                <w:i/>
                <w:sz w:val="24"/>
                <w:szCs w:val="24"/>
              </w:rPr>
              <w:t xml:space="preserve">ESF </w:t>
            </w:r>
            <w:r w:rsidRPr="00385835">
              <w:rPr>
                <w:rFonts w:ascii="Times New Roman" w:eastAsia="AngsanaUPC" w:hAnsi="Times New Roman"/>
                <w:b/>
                <w:bCs/>
                <w:i/>
                <w:iCs/>
                <w:sz w:val="24"/>
                <w:szCs w:val="24"/>
                <w:lang w:eastAsia="lt-LT"/>
              </w:rPr>
              <w:t xml:space="preserve">bendrieji ir </w:t>
            </w:r>
            <w:r w:rsidR="006827C9">
              <w:rPr>
                <w:rFonts w:ascii="Times New Roman" w:eastAsia="AngsanaUPC" w:hAnsi="Times New Roman"/>
                <w:b/>
                <w:bCs/>
                <w:i/>
                <w:iCs/>
                <w:sz w:val="24"/>
                <w:szCs w:val="24"/>
                <w:lang w:eastAsia="lt-LT"/>
              </w:rPr>
              <w:t>specialieji</w:t>
            </w:r>
            <w:r w:rsidR="006827C9" w:rsidRPr="00385835">
              <w:rPr>
                <w:rFonts w:ascii="Times New Roman" w:eastAsia="AngsanaUPC" w:hAnsi="Times New Roman"/>
                <w:b/>
                <w:bCs/>
                <w:i/>
                <w:iCs/>
                <w:sz w:val="24"/>
                <w:szCs w:val="24"/>
                <w:lang w:eastAsia="lt-LT"/>
              </w:rPr>
              <w:t xml:space="preserve"> </w:t>
            </w:r>
            <w:r w:rsidRPr="00385835">
              <w:rPr>
                <w:rFonts w:ascii="Times New Roman" w:eastAsia="AngsanaUPC" w:hAnsi="Times New Roman"/>
                <w:b/>
                <w:bCs/>
                <w:i/>
                <w:iCs/>
                <w:sz w:val="24"/>
                <w:szCs w:val="24"/>
                <w:lang w:eastAsia="lt-LT"/>
              </w:rPr>
              <w:t>programos produkto rodikliai</w:t>
            </w:r>
          </w:p>
        </w:tc>
      </w:tr>
      <w:tr w:rsidR="00385835" w:rsidRPr="00385835" w:rsidTr="00385835">
        <w:tblPrEx>
          <w:shd w:val="clear" w:color="auto" w:fill="auto"/>
        </w:tblPrEx>
        <w:trPr>
          <w:gridAfter w:val="1"/>
          <w:wAfter w:w="57" w:type="dxa"/>
        </w:trPr>
        <w:tc>
          <w:tcPr>
            <w:tcW w:w="56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Nr.</w:t>
            </w:r>
          </w:p>
        </w:tc>
        <w:tc>
          <w:tcPr>
            <w:tcW w:w="2966"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Rodiklio pavadinimas</w:t>
            </w:r>
          </w:p>
        </w:tc>
        <w:tc>
          <w:tcPr>
            <w:tcW w:w="1006"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Matavimo vienetas</w:t>
            </w:r>
          </w:p>
        </w:tc>
        <w:tc>
          <w:tcPr>
            <w:tcW w:w="85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Fondas</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Regiono kategorija</w:t>
            </w:r>
          </w:p>
        </w:tc>
        <w:tc>
          <w:tcPr>
            <w:tcW w:w="850"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Siektina reikšmė (2023)</w:t>
            </w:r>
          </w:p>
        </w:tc>
        <w:tc>
          <w:tcPr>
            <w:tcW w:w="109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Duomenų šaltinis</w:t>
            </w:r>
          </w:p>
        </w:tc>
        <w:tc>
          <w:tcPr>
            <w:tcW w:w="1227"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Atsiskaitymo dažnumas</w:t>
            </w:r>
          </w:p>
        </w:tc>
      </w:tr>
      <w:tr w:rsidR="00385835" w:rsidRPr="00385835" w:rsidTr="00385835">
        <w:tblPrEx>
          <w:shd w:val="clear" w:color="auto" w:fill="auto"/>
        </w:tblPrEx>
        <w:trPr>
          <w:gridAfter w:val="1"/>
          <w:wAfter w:w="57" w:type="dxa"/>
        </w:trPr>
        <w:tc>
          <w:tcPr>
            <w:tcW w:w="56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w:t>
            </w:r>
          </w:p>
        </w:tc>
        <w:tc>
          <w:tcPr>
            <w:tcW w:w="2966" w:type="dxa"/>
            <w:shd w:val="clear" w:color="auto" w:fill="auto"/>
          </w:tcPr>
          <w:p w:rsidR="00385835" w:rsidRPr="00385835" w:rsidRDefault="00385835" w:rsidP="00385835">
            <w:pPr>
              <w:autoSpaceDE w:val="0"/>
              <w:autoSpaceDN w:val="0"/>
              <w:adjustRightInd w:val="0"/>
              <w:spacing w:after="0" w:line="240" w:lineRule="auto"/>
              <w:rPr>
                <w:rFonts w:ascii="Times New Roman" w:hAnsi="Times New Roman"/>
                <w:sz w:val="18"/>
                <w:szCs w:val="18"/>
                <w:lang w:eastAsia="lt-LT"/>
              </w:rPr>
            </w:pPr>
            <w:r w:rsidRPr="00385835">
              <w:rPr>
                <w:rFonts w:ascii="Times New Roman" w:hAnsi="Times New Roman"/>
                <w:sz w:val="18"/>
                <w:szCs w:val="18"/>
                <w:lang w:eastAsia="lt-LT"/>
              </w:rPr>
              <w:t>Projektų, kuriuos visiškai arba iš dalies įgyvendino socialiniai partneriai ar NVO skaičius</w:t>
            </w:r>
          </w:p>
        </w:tc>
        <w:tc>
          <w:tcPr>
            <w:tcW w:w="1006"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Skaičius</w:t>
            </w:r>
          </w:p>
        </w:tc>
        <w:tc>
          <w:tcPr>
            <w:tcW w:w="85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ESF</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Mažiau išsivystęs</w:t>
            </w:r>
          </w:p>
        </w:tc>
        <w:tc>
          <w:tcPr>
            <w:tcW w:w="850" w:type="dxa"/>
            <w:shd w:val="clear" w:color="auto" w:fill="auto"/>
            <w:vAlign w:val="center"/>
          </w:tcPr>
          <w:p w:rsidR="00385835" w:rsidRPr="00385835" w:rsidRDefault="001352F5" w:rsidP="00385835">
            <w:pPr>
              <w:widowControl w:val="0"/>
              <w:tabs>
                <w:tab w:val="left" w:pos="622"/>
              </w:tabs>
              <w:spacing w:after="0" w:line="240" w:lineRule="auto"/>
              <w:jc w:val="center"/>
              <w:rPr>
                <w:rFonts w:ascii="Times New Roman" w:eastAsia="AngsanaUPC" w:hAnsi="Times New Roman"/>
                <w:bCs/>
                <w:iCs/>
                <w:sz w:val="18"/>
                <w:szCs w:val="18"/>
                <w:lang w:eastAsia="lt-LT"/>
              </w:rPr>
            </w:pPr>
            <w:r>
              <w:rPr>
                <w:rFonts w:ascii="Times New Roman" w:eastAsia="AngsanaUPC" w:hAnsi="Times New Roman"/>
                <w:bCs/>
                <w:iCs/>
                <w:sz w:val="18"/>
                <w:szCs w:val="18"/>
                <w:lang w:eastAsia="lt-LT"/>
              </w:rPr>
              <w:t>83</w:t>
            </w:r>
          </w:p>
        </w:tc>
        <w:tc>
          <w:tcPr>
            <w:tcW w:w="109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Duomenys iš projektų</w:t>
            </w:r>
          </w:p>
        </w:tc>
        <w:tc>
          <w:tcPr>
            <w:tcW w:w="122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385835" w:rsidRPr="00385835" w:rsidTr="00385835">
        <w:tblPrEx>
          <w:shd w:val="clear" w:color="auto" w:fill="auto"/>
        </w:tblPrEx>
        <w:trPr>
          <w:gridAfter w:val="1"/>
          <w:wAfter w:w="57" w:type="dxa"/>
        </w:trPr>
        <w:tc>
          <w:tcPr>
            <w:tcW w:w="56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w:t>
            </w:r>
          </w:p>
        </w:tc>
        <w:tc>
          <w:tcPr>
            <w:tcW w:w="2966" w:type="dxa"/>
            <w:shd w:val="clear" w:color="auto" w:fill="auto"/>
          </w:tcPr>
          <w:p w:rsidR="00385835" w:rsidRPr="00385835" w:rsidRDefault="00385835" w:rsidP="00385835">
            <w:pPr>
              <w:autoSpaceDE w:val="0"/>
              <w:autoSpaceDN w:val="0"/>
              <w:adjustRightInd w:val="0"/>
              <w:spacing w:after="0" w:line="240" w:lineRule="auto"/>
              <w:rPr>
                <w:rFonts w:ascii="Times New Roman" w:eastAsia="TimesNewRoman" w:hAnsi="Times New Roman"/>
                <w:sz w:val="18"/>
                <w:szCs w:val="18"/>
                <w:lang w:eastAsia="lt-LT"/>
              </w:rPr>
            </w:pPr>
            <w:r w:rsidRPr="00385835">
              <w:rPr>
                <w:rFonts w:ascii="Times New Roman" w:eastAsia="TimesNewRoman" w:hAnsi="Times New Roman"/>
                <w:sz w:val="18"/>
                <w:szCs w:val="18"/>
                <w:lang w:eastAsia="lt-LT"/>
              </w:rPr>
              <w:t>BIVP projektų veiklų dalyviai (įskaitant visas tikslines grupes)</w:t>
            </w:r>
          </w:p>
        </w:tc>
        <w:tc>
          <w:tcPr>
            <w:tcW w:w="1006"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Skaičius</w:t>
            </w:r>
          </w:p>
        </w:tc>
        <w:tc>
          <w:tcPr>
            <w:tcW w:w="85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ESF</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Mažiau išsivystęs</w:t>
            </w:r>
          </w:p>
        </w:tc>
        <w:tc>
          <w:tcPr>
            <w:tcW w:w="850" w:type="dxa"/>
            <w:shd w:val="clear" w:color="auto" w:fill="auto"/>
            <w:vAlign w:val="center"/>
          </w:tcPr>
          <w:p w:rsidR="00385835" w:rsidRPr="00385835" w:rsidRDefault="001352F5" w:rsidP="009348A3">
            <w:pPr>
              <w:widowControl w:val="0"/>
              <w:tabs>
                <w:tab w:val="left" w:pos="622"/>
              </w:tabs>
              <w:spacing w:after="0" w:line="240" w:lineRule="auto"/>
              <w:jc w:val="center"/>
              <w:rPr>
                <w:rFonts w:ascii="Times New Roman" w:eastAsia="AngsanaUPC" w:hAnsi="Times New Roman"/>
                <w:bCs/>
                <w:iCs/>
                <w:sz w:val="18"/>
                <w:szCs w:val="18"/>
                <w:lang w:eastAsia="lt-LT"/>
              </w:rPr>
            </w:pPr>
            <w:r>
              <w:rPr>
                <w:rFonts w:ascii="Times New Roman" w:eastAsia="AngsanaUPC" w:hAnsi="Times New Roman"/>
                <w:bCs/>
                <w:iCs/>
                <w:sz w:val="18"/>
                <w:szCs w:val="18"/>
                <w:lang w:eastAsia="lt-LT"/>
              </w:rPr>
              <w:t>4</w:t>
            </w:r>
            <w:r w:rsidR="009348A3">
              <w:rPr>
                <w:rFonts w:ascii="Times New Roman" w:eastAsia="AngsanaUPC" w:hAnsi="Times New Roman"/>
                <w:bCs/>
                <w:iCs/>
                <w:sz w:val="18"/>
                <w:szCs w:val="18"/>
                <w:lang w:eastAsia="lt-LT"/>
              </w:rPr>
              <w:t>.</w:t>
            </w:r>
            <w:r>
              <w:rPr>
                <w:rFonts w:ascii="Times New Roman" w:eastAsia="AngsanaUPC" w:hAnsi="Times New Roman"/>
                <w:bCs/>
                <w:iCs/>
                <w:sz w:val="18"/>
                <w:szCs w:val="18"/>
                <w:lang w:eastAsia="lt-LT"/>
              </w:rPr>
              <w:t>174</w:t>
            </w:r>
          </w:p>
        </w:tc>
        <w:tc>
          <w:tcPr>
            <w:tcW w:w="109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Cs/>
                <w:iCs/>
                <w:sz w:val="18"/>
                <w:szCs w:val="18"/>
                <w:lang w:eastAsia="lt-LT"/>
              </w:rPr>
              <w:t>Duomenys iš projektų</w:t>
            </w:r>
          </w:p>
        </w:tc>
        <w:tc>
          <w:tcPr>
            <w:tcW w:w="122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746"/>
      </w:tblGrid>
      <w:tr w:rsidR="00385835" w:rsidRPr="00385835" w:rsidTr="00385835">
        <w:tc>
          <w:tcPr>
            <w:tcW w:w="9746"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i/>
                <w:iCs/>
                <w:sz w:val="24"/>
                <w:szCs w:val="24"/>
                <w:lang w:eastAsia="lt-LT"/>
              </w:rPr>
              <w:t>Projektų/veiksmų atrankos principai</w:t>
            </w:r>
          </w:p>
        </w:tc>
      </w:tr>
      <w:tr w:rsidR="00385835" w:rsidRPr="00385835" w:rsidTr="00385835">
        <w:tc>
          <w:tcPr>
            <w:tcW w:w="9746" w:type="dxa"/>
            <w:shd w:val="clear" w:color="auto" w:fill="auto"/>
          </w:tcPr>
          <w:p w:rsidR="00FA0F82" w:rsidRDefault="00385835" w:rsidP="00650E41">
            <w:pPr>
              <w:numPr>
                <w:ilvl w:val="0"/>
                <w:numId w:val="71"/>
              </w:numPr>
              <w:tabs>
                <w:tab w:val="left" w:pos="410"/>
              </w:tabs>
              <w:spacing w:after="0" w:line="240" w:lineRule="auto"/>
              <w:ind w:left="34" w:firstLine="0"/>
              <w:jc w:val="both"/>
              <w:rPr>
                <w:rFonts w:ascii="Times New Roman" w:hAnsi="Times New Roman"/>
                <w:color w:val="000000"/>
                <w:sz w:val="24"/>
                <w:szCs w:val="24"/>
              </w:rPr>
            </w:pPr>
            <w:r w:rsidRPr="00FA0F82">
              <w:rPr>
                <w:rFonts w:ascii="Times New Roman" w:hAnsi="Times New Roman"/>
                <w:color w:val="000000"/>
                <w:sz w:val="24"/>
                <w:szCs w:val="24"/>
              </w:rPr>
              <w:t xml:space="preserve">8.1 investicinį prioritetą įgyvendinantys projektai bus atrenkami valstybės projektų planavimo būdu ir regionų projektų planavimo būdu </w:t>
            </w:r>
            <w:r w:rsidRPr="00FA0F82">
              <w:rPr>
                <w:rFonts w:ascii="Times New Roman" w:hAnsi="Times New Roman"/>
                <w:bCs/>
                <w:color w:val="000000"/>
                <w:sz w:val="24"/>
                <w:szCs w:val="24"/>
              </w:rPr>
              <w:t>(tiesiogiai skiriant subsidiją)</w:t>
            </w:r>
            <w:r w:rsidRPr="00FA0F82">
              <w:rPr>
                <w:rFonts w:ascii="Times New Roman" w:hAnsi="Times New Roman"/>
                <w:color w:val="000000"/>
                <w:sz w:val="24"/>
                <w:szCs w:val="24"/>
              </w:rPr>
              <w:t>. Jeigu nusprendžiama, kad konkrečiam projektui dotacijos skiriamos tiesiogiai, ši procedūra turi atitikti sąlygas, nustatytas Bendrųjų nuostatų reglamento 125.3 str. (a) dalyje (ii) punkte, kuriuo reikalaujama, kad dotacijų skyrimo procedūra turi būti nediskriminuojanti ir skaidri.</w:t>
            </w:r>
          </w:p>
          <w:p w:rsidR="00FA0F82" w:rsidRDefault="00385835" w:rsidP="00650E41">
            <w:pPr>
              <w:numPr>
                <w:ilvl w:val="0"/>
                <w:numId w:val="71"/>
              </w:numPr>
              <w:tabs>
                <w:tab w:val="left" w:pos="410"/>
              </w:tabs>
              <w:spacing w:after="0" w:line="240" w:lineRule="auto"/>
              <w:ind w:left="34" w:firstLine="0"/>
              <w:jc w:val="both"/>
              <w:rPr>
                <w:rFonts w:ascii="Times New Roman" w:hAnsi="Times New Roman"/>
                <w:color w:val="000000"/>
                <w:sz w:val="24"/>
                <w:szCs w:val="24"/>
              </w:rPr>
            </w:pPr>
            <w:r w:rsidRPr="00FA0F82">
              <w:rPr>
                <w:rFonts w:ascii="Times New Roman" w:hAnsi="Times New Roman"/>
                <w:color w:val="000000"/>
                <w:sz w:val="24"/>
                <w:szCs w:val="24"/>
              </w:rPr>
              <w:t>Pagal šį investicinį prioritetą investicijos į socialinių ir sveikatos paslaugų infrastruktūrą planuojamos atsižvelgiant į 2007–2013 m. patirtį ir atliktas investicijas, numatomus 2014–2020 m. plėtros poreikius ir įvertinus demografines tendencijas tam, kad būtų užtikrintas socialinių ir sveikatos paslaugų prieinamumas, efektyvumas bei investicijų tvarumas.</w:t>
            </w:r>
          </w:p>
          <w:p w:rsidR="001352F5" w:rsidRPr="001352F5" w:rsidRDefault="001352F5" w:rsidP="00650E41">
            <w:pPr>
              <w:numPr>
                <w:ilvl w:val="0"/>
                <w:numId w:val="71"/>
              </w:numPr>
              <w:tabs>
                <w:tab w:val="left" w:pos="410"/>
              </w:tabs>
              <w:spacing w:after="0" w:line="240" w:lineRule="auto"/>
              <w:ind w:left="34" w:firstLine="0"/>
              <w:jc w:val="both"/>
              <w:rPr>
                <w:rFonts w:ascii="Times New Roman" w:hAnsi="Times New Roman"/>
                <w:color w:val="000000"/>
                <w:sz w:val="24"/>
                <w:szCs w:val="24"/>
              </w:rPr>
            </w:pPr>
            <w:r w:rsidRPr="001352F5">
              <w:rPr>
                <w:rFonts w:ascii="Times New Roman" w:hAnsi="Times New Roman"/>
                <w:bCs/>
                <w:iCs/>
                <w:color w:val="000000"/>
                <w:sz w:val="24"/>
                <w:szCs w:val="24"/>
              </w:rPr>
              <w:t>Šio investicinio prioriteto veiklos bus įgyvendinamos taikant ITI įgyvendinimo mechanizmą, nustatytą Veiksmų programos 4 skirsnyje, per ITVP.</w:t>
            </w:r>
          </w:p>
          <w:p w:rsidR="006D00AD" w:rsidRPr="00FA0F82" w:rsidRDefault="00385835" w:rsidP="00650E41">
            <w:pPr>
              <w:numPr>
                <w:ilvl w:val="0"/>
                <w:numId w:val="71"/>
              </w:numPr>
              <w:tabs>
                <w:tab w:val="left" w:pos="459"/>
              </w:tabs>
              <w:spacing w:after="0" w:line="240" w:lineRule="auto"/>
              <w:ind w:left="34" w:firstLine="0"/>
              <w:jc w:val="both"/>
              <w:rPr>
                <w:rFonts w:ascii="Times New Roman" w:hAnsi="Times New Roman"/>
                <w:color w:val="000000"/>
                <w:sz w:val="24"/>
                <w:szCs w:val="24"/>
              </w:rPr>
            </w:pPr>
            <w:r w:rsidRPr="00FA0F82">
              <w:rPr>
                <w:rFonts w:ascii="Times New Roman" w:hAnsi="Times New Roman"/>
                <w:color w:val="000000"/>
                <w:sz w:val="24"/>
                <w:szCs w:val="24"/>
              </w:rPr>
              <w:t xml:space="preserve">8.2. investicinis prioritetas bus įgyvendinamas taikant integruotus, apimančius keletą sektorių projektus ar jų grupes (URBAN tipo veiksmus), regionų projektų planavimo būdu, regionų plėtros tarybų atrinktose tikslinėse teritorijose. </w:t>
            </w:r>
            <w:r w:rsidRPr="00FA0F82">
              <w:rPr>
                <w:rFonts w:ascii="Times New Roman" w:hAnsi="Times New Roman"/>
                <w:bCs/>
                <w:iCs/>
                <w:color w:val="000000"/>
                <w:sz w:val="24"/>
                <w:szCs w:val="24"/>
              </w:rPr>
              <w:t xml:space="preserve">Veiklas planuojama įgyvendinti tikslinių teritorijų grupėje, apimančioje mažuosius miestus ir kaimo vietoves (nuo 1 iki 6 tūkst. gyventojų, išskyrus savivaldybių centrus). </w:t>
            </w:r>
            <w:r w:rsidRPr="00FA0F82">
              <w:rPr>
                <w:rFonts w:ascii="Times New Roman" w:hAnsi="Times New Roman"/>
                <w:color w:val="000000"/>
                <w:sz w:val="24"/>
                <w:szCs w:val="24"/>
              </w:rPr>
              <w:t>Atrankos kriterijus tikslinių teritorijų grupėje ir, jais vadovaujantis, tikslines teritorijas, nustato regionų plėtros tarybos, suderinusios su Vidaus reikalų ministerija. Atsižvelgiama į būdingiausias socialines, ekonomines, demografines problemas, šių teritorijų potencialą ir specifinius regiono iššūkius. Siekiant lėšų koncentravimo, į kiekvieną pasirinktą tikslinę teritoriją investuojama ne mažiau 725 tūkst. E</w:t>
            </w:r>
            <w:r w:rsidR="00D260C6" w:rsidRPr="00FA0F82">
              <w:rPr>
                <w:rFonts w:ascii="Times New Roman" w:hAnsi="Times New Roman"/>
                <w:color w:val="000000"/>
                <w:sz w:val="24"/>
                <w:szCs w:val="24"/>
              </w:rPr>
              <w:t>UR</w:t>
            </w:r>
            <w:r w:rsidRPr="00FA0F82">
              <w:rPr>
                <w:rFonts w:ascii="Times New Roman" w:hAnsi="Times New Roman"/>
                <w:color w:val="000000"/>
                <w:sz w:val="24"/>
                <w:szCs w:val="24"/>
              </w:rPr>
              <w:t xml:space="preserve">. </w:t>
            </w:r>
          </w:p>
          <w:p w:rsidR="00C04458" w:rsidRDefault="00C04458" w:rsidP="00AC10CD">
            <w:pPr>
              <w:spacing w:after="0" w:line="240" w:lineRule="auto"/>
              <w:ind w:firstLine="459"/>
              <w:jc w:val="both"/>
              <w:rPr>
                <w:rFonts w:ascii="Times New Roman" w:hAnsi="Times New Roman"/>
                <w:color w:val="000000"/>
                <w:sz w:val="24"/>
                <w:szCs w:val="24"/>
              </w:rPr>
            </w:pPr>
            <w:r w:rsidRPr="00385835">
              <w:rPr>
                <w:rFonts w:ascii="Times New Roman" w:hAnsi="Times New Roman"/>
                <w:color w:val="000000"/>
                <w:sz w:val="24"/>
                <w:szCs w:val="24"/>
              </w:rPr>
              <w:t>Šie veiksmai pagal regiono plėtros planą papildomi veiksmais pagal šį ir kitus Veiksmų programos prioritetus, užtikrinant tikslinių teritorijų pasiekiamumą (diegiant transporto, darnaus judumo sprendimus) ir paslaugų, tiesiogiai skirtų tikslinėms gyventojų grupėms sukūrimą ar patobulinimą.</w:t>
            </w:r>
          </w:p>
          <w:p w:rsidR="0090324B" w:rsidRPr="00385835" w:rsidRDefault="0090324B" w:rsidP="00AC10CD">
            <w:pPr>
              <w:widowControl w:val="0"/>
              <w:tabs>
                <w:tab w:val="left" w:pos="622"/>
              </w:tabs>
              <w:spacing w:after="0" w:line="240" w:lineRule="auto"/>
              <w:ind w:firstLine="459"/>
              <w:jc w:val="both"/>
              <w:rPr>
                <w:rFonts w:ascii="Times New Roman" w:hAnsi="Times New Roman"/>
                <w:color w:val="000000"/>
                <w:sz w:val="24"/>
                <w:szCs w:val="24"/>
                <w:lang w:eastAsia="lt-LT"/>
              </w:rPr>
            </w:pPr>
            <w:r>
              <w:rPr>
                <w:rFonts w:ascii="Times New Roman" w:hAnsi="Times New Roman"/>
                <w:color w:val="000000"/>
                <w:sz w:val="24"/>
                <w:szCs w:val="24"/>
                <w:lang w:eastAsia="lt-LT"/>
              </w:rPr>
              <w:t xml:space="preserve">Investuojant į kultūros ir tvaraus turizmo infrastruktūros objektus vidaus potencialo plėtojimui, bus vadovaujamasi ERPF reglamento 3 straipsnio nuostatomis, ypatingai atkreipiant </w:t>
            </w:r>
            <w:r>
              <w:rPr>
                <w:rFonts w:ascii="Times New Roman" w:hAnsi="Times New Roman"/>
                <w:color w:val="000000"/>
                <w:sz w:val="24"/>
                <w:szCs w:val="24"/>
                <w:lang w:eastAsia="lt-LT"/>
              </w:rPr>
              <w:lastRenderedPageBreak/>
              <w:t>dėmesį</w:t>
            </w:r>
            <w:r w:rsidR="007657A3">
              <w:rPr>
                <w:rFonts w:ascii="Times New Roman" w:hAnsi="Times New Roman"/>
                <w:color w:val="000000"/>
                <w:sz w:val="24"/>
                <w:szCs w:val="24"/>
                <w:lang w:eastAsia="lt-LT"/>
              </w:rPr>
              <w:t xml:space="preserve"> į 1 dalies e punkto nuostatas.</w:t>
            </w:r>
          </w:p>
          <w:p w:rsidR="00FA0F82" w:rsidRPr="00FA0F82" w:rsidRDefault="00385835" w:rsidP="00650E41">
            <w:pPr>
              <w:numPr>
                <w:ilvl w:val="0"/>
                <w:numId w:val="72"/>
              </w:numPr>
              <w:tabs>
                <w:tab w:val="left" w:pos="459"/>
              </w:tabs>
              <w:spacing w:after="0" w:line="240" w:lineRule="auto"/>
              <w:ind w:left="34" w:firstLine="0"/>
              <w:jc w:val="both"/>
              <w:rPr>
                <w:rFonts w:ascii="Times New Roman" w:hAnsi="Times New Roman"/>
                <w:color w:val="000000"/>
                <w:sz w:val="24"/>
                <w:szCs w:val="24"/>
              </w:rPr>
            </w:pPr>
            <w:r w:rsidRPr="00FA0F82">
              <w:rPr>
                <w:rFonts w:ascii="Times New Roman" w:hAnsi="Times New Roman"/>
                <w:sz w:val="24"/>
                <w:szCs w:val="24"/>
              </w:rPr>
              <w:t xml:space="preserve">8.3, 8.4 ir 8.5 investiciniams prioritetams įgyvendinti planuojama taikyti projektų konkursą ir valstybės projektų planavimą </w:t>
            </w:r>
            <w:r w:rsidRPr="00FA0F82">
              <w:rPr>
                <w:rFonts w:ascii="Times New Roman" w:eastAsia="AngsanaUPC" w:hAnsi="Times New Roman"/>
                <w:bCs/>
                <w:sz w:val="24"/>
                <w:szCs w:val="24"/>
                <w:lang w:eastAsia="lt-LT"/>
              </w:rPr>
              <w:t>(tiesiogiai skiriant subsidiją)</w:t>
            </w:r>
            <w:r w:rsidRPr="00FA0F82">
              <w:rPr>
                <w:rFonts w:ascii="Times New Roman" w:hAnsi="Times New Roman"/>
                <w:sz w:val="24"/>
                <w:szCs w:val="24"/>
              </w:rPr>
              <w:t>. Jeigu nusprendžiama, kad konkrečiam projektui dotacijos skiriamos tiesiogiai, ši procedūra turi atitikti sąlygas, nustatytas Bendrųjų nuostatų reglamento 125.3 str. (a) dalyje (ii) punkte, kuriuo reikalaujama, kad dotacijų skyrimo procedūra turi būti nediskriminuojanti ir skaidri.</w:t>
            </w:r>
          </w:p>
          <w:p w:rsidR="00385835" w:rsidRPr="00FA0F82" w:rsidRDefault="00385835" w:rsidP="00650E41">
            <w:pPr>
              <w:numPr>
                <w:ilvl w:val="0"/>
                <w:numId w:val="72"/>
              </w:numPr>
              <w:tabs>
                <w:tab w:val="left" w:pos="459"/>
              </w:tabs>
              <w:spacing w:after="0" w:line="240" w:lineRule="auto"/>
              <w:ind w:left="34" w:firstLine="0"/>
              <w:jc w:val="both"/>
              <w:rPr>
                <w:rFonts w:ascii="Times New Roman" w:hAnsi="Times New Roman"/>
                <w:color w:val="000000"/>
                <w:sz w:val="24"/>
                <w:szCs w:val="24"/>
              </w:rPr>
            </w:pPr>
            <w:r w:rsidRPr="00FA0F82">
              <w:rPr>
                <w:rFonts w:ascii="Times New Roman" w:hAnsi="Times New Roman"/>
                <w:color w:val="000000"/>
                <w:sz w:val="24"/>
                <w:szCs w:val="24"/>
              </w:rPr>
              <w:t xml:space="preserve">Įgyvendinant </w:t>
            </w:r>
            <w:r w:rsidRPr="00FA0F82">
              <w:rPr>
                <w:rFonts w:ascii="Times New Roman" w:hAnsi="Times New Roman"/>
                <w:bCs/>
                <w:iCs/>
                <w:color w:val="000000"/>
                <w:sz w:val="24"/>
                <w:szCs w:val="24"/>
              </w:rPr>
              <w:t xml:space="preserve">8.6. investicinį </w:t>
            </w:r>
            <w:r w:rsidRPr="00FA0F82">
              <w:rPr>
                <w:rFonts w:ascii="Times New Roman" w:hAnsi="Times New Roman"/>
                <w:color w:val="000000"/>
                <w:sz w:val="24"/>
                <w:szCs w:val="24"/>
              </w:rPr>
              <w:t>prioritetą siūloma koncentruotis į teritorijų, kuriose numatomos įgyvendinti ITI problematiką. Tai yra:</w:t>
            </w:r>
          </w:p>
          <w:p w:rsidR="00385835" w:rsidRPr="00385835" w:rsidRDefault="00385835" w:rsidP="00650E41">
            <w:pPr>
              <w:numPr>
                <w:ilvl w:val="0"/>
                <w:numId w:val="66"/>
              </w:numPr>
              <w:tabs>
                <w:tab w:val="left" w:pos="986"/>
              </w:tabs>
              <w:spacing w:after="0" w:line="240" w:lineRule="auto"/>
              <w:ind w:left="34" w:firstLine="425"/>
              <w:jc w:val="both"/>
              <w:rPr>
                <w:rFonts w:ascii="Times New Roman" w:hAnsi="Times New Roman"/>
                <w:color w:val="000000"/>
                <w:sz w:val="24"/>
                <w:szCs w:val="24"/>
              </w:rPr>
            </w:pPr>
            <w:r w:rsidRPr="00385835">
              <w:rPr>
                <w:rFonts w:ascii="Times New Roman" w:hAnsi="Times New Roman"/>
                <w:color w:val="000000"/>
                <w:sz w:val="24"/>
                <w:szCs w:val="24"/>
              </w:rPr>
              <w:t>5 didžiųjų miestų dalys (tikslinės ir susietos teritorijos);</w:t>
            </w:r>
          </w:p>
          <w:p w:rsidR="00385835" w:rsidRPr="00385835" w:rsidRDefault="00385835" w:rsidP="00650E41">
            <w:pPr>
              <w:numPr>
                <w:ilvl w:val="0"/>
                <w:numId w:val="66"/>
              </w:numPr>
              <w:tabs>
                <w:tab w:val="left" w:pos="986"/>
              </w:tabs>
              <w:spacing w:after="0" w:line="240" w:lineRule="auto"/>
              <w:ind w:left="34" w:firstLine="425"/>
              <w:jc w:val="both"/>
              <w:rPr>
                <w:rFonts w:ascii="Times New Roman" w:hAnsi="Times New Roman"/>
                <w:i/>
                <w:color w:val="000000"/>
                <w:sz w:val="24"/>
                <w:szCs w:val="24"/>
              </w:rPr>
            </w:pPr>
            <w:r w:rsidRPr="00385835">
              <w:rPr>
                <w:rFonts w:ascii="Times New Roman" w:hAnsi="Times New Roman"/>
                <w:color w:val="000000"/>
                <w:sz w:val="24"/>
                <w:szCs w:val="24"/>
              </w:rPr>
              <w:t>mažų ir vidutinių miestų grupėje išskirtos tikslinės teritorijos, pereinamojo laikotarpio tikslinės teritorijos ir su jomis susisietos teritorijos.</w:t>
            </w:r>
          </w:p>
          <w:p w:rsidR="00AC10CD" w:rsidRDefault="00385835" w:rsidP="00AC10CD">
            <w:pPr>
              <w:widowControl w:val="0"/>
              <w:tabs>
                <w:tab w:val="left" w:pos="622"/>
              </w:tabs>
              <w:spacing w:after="0" w:line="240" w:lineRule="auto"/>
              <w:ind w:firstLine="459"/>
              <w:jc w:val="both"/>
              <w:rPr>
                <w:rFonts w:ascii="Times New Roman" w:hAnsi="Times New Roman"/>
                <w:color w:val="000000"/>
                <w:sz w:val="24"/>
                <w:szCs w:val="24"/>
              </w:rPr>
            </w:pPr>
            <w:r w:rsidRPr="00385835">
              <w:rPr>
                <w:rFonts w:ascii="Times New Roman" w:hAnsi="Times New Roman"/>
                <w:color w:val="000000"/>
                <w:sz w:val="24"/>
                <w:szCs w:val="24"/>
              </w:rPr>
              <w:t xml:space="preserve">Veiklos gali būti įgyvendinamos ir kitose vietovėse, kuomet jos aiškiai prisideda prie veiksmų programos įgyvendinimo. </w:t>
            </w:r>
            <w:r w:rsidRPr="00385835">
              <w:rPr>
                <w:rFonts w:ascii="Times New Roman" w:hAnsi="Times New Roman"/>
                <w:bCs/>
                <w:iCs/>
                <w:color w:val="000000"/>
                <w:sz w:val="24"/>
                <w:szCs w:val="24"/>
              </w:rPr>
              <w:t xml:space="preserve">Investicinio prioriteto veiklos teritorijose, kuriose remiami integruoti miestų tvarios plėtros veiksmai (5 didžiųjų miestų išskirtose tikslinėse teritorijose) įgyvendinamos kaip privaloma ITI dalis. </w:t>
            </w:r>
            <w:r w:rsidRPr="00385835">
              <w:rPr>
                <w:rFonts w:ascii="Times New Roman" w:hAnsi="Times New Roman"/>
                <w:color w:val="000000"/>
                <w:sz w:val="24"/>
                <w:szCs w:val="24"/>
              </w:rPr>
              <w:t>BIVP sudaro galimybes papildyti vietos v</w:t>
            </w:r>
            <w:r w:rsidR="007657A3">
              <w:rPr>
                <w:rFonts w:ascii="Times New Roman" w:hAnsi="Times New Roman"/>
                <w:color w:val="000000"/>
                <w:sz w:val="24"/>
                <w:szCs w:val="24"/>
              </w:rPr>
              <w:t>aldžios inicijuojamas priemones</w:t>
            </w:r>
            <w:r w:rsidR="00D93B9C">
              <w:rPr>
                <w:rFonts w:ascii="Times New Roman" w:hAnsi="Times New Roman"/>
                <w:color w:val="000000"/>
                <w:sz w:val="24"/>
                <w:szCs w:val="24"/>
              </w:rPr>
              <w:t xml:space="preserve"> </w:t>
            </w:r>
            <w:r w:rsidRPr="00385835">
              <w:rPr>
                <w:rFonts w:ascii="Times New Roman" w:hAnsi="Times New Roman"/>
                <w:color w:val="000000"/>
                <w:sz w:val="24"/>
                <w:szCs w:val="24"/>
              </w:rPr>
              <w:t>/</w:t>
            </w:r>
            <w:r w:rsidR="00D93B9C">
              <w:rPr>
                <w:rFonts w:ascii="Times New Roman" w:hAnsi="Times New Roman"/>
                <w:color w:val="000000"/>
                <w:sz w:val="24"/>
                <w:szCs w:val="24"/>
              </w:rPr>
              <w:t xml:space="preserve"> </w:t>
            </w:r>
            <w:r w:rsidRPr="00385835">
              <w:rPr>
                <w:rFonts w:ascii="Times New Roman" w:hAnsi="Times New Roman"/>
                <w:color w:val="000000"/>
                <w:sz w:val="24"/>
                <w:szCs w:val="24"/>
              </w:rPr>
              <w:t>projektus (</w:t>
            </w:r>
            <w:proofErr w:type="gramStart"/>
            <w:r w:rsidRPr="00385835">
              <w:rPr>
                <w:rFonts w:ascii="Times New Roman" w:hAnsi="Times New Roman"/>
                <w:color w:val="000000"/>
                <w:sz w:val="24"/>
                <w:szCs w:val="24"/>
              </w:rPr>
              <w:t>tame tarpe</w:t>
            </w:r>
            <w:proofErr w:type="gramEnd"/>
            <w:r w:rsidRPr="00385835">
              <w:rPr>
                <w:rFonts w:ascii="Times New Roman" w:hAnsi="Times New Roman"/>
                <w:color w:val="000000"/>
                <w:sz w:val="24"/>
                <w:szCs w:val="24"/>
              </w:rPr>
              <w:t xml:space="preserve"> ir įgyvendinamus per ITI instrumentą) bendruomenei aktualiomis priemonėmis</w:t>
            </w:r>
            <w:r w:rsidR="00D93B9C">
              <w:rPr>
                <w:rFonts w:ascii="Times New Roman" w:hAnsi="Times New Roman"/>
                <w:color w:val="000000"/>
                <w:sz w:val="24"/>
                <w:szCs w:val="24"/>
              </w:rPr>
              <w:t xml:space="preserve"> </w:t>
            </w:r>
            <w:r w:rsidRPr="00385835">
              <w:rPr>
                <w:rFonts w:ascii="Times New Roman" w:hAnsi="Times New Roman"/>
                <w:color w:val="000000"/>
                <w:sz w:val="24"/>
                <w:szCs w:val="24"/>
              </w:rPr>
              <w:t>/</w:t>
            </w:r>
            <w:r w:rsidR="00D93B9C">
              <w:rPr>
                <w:rFonts w:ascii="Times New Roman" w:hAnsi="Times New Roman"/>
                <w:color w:val="000000"/>
                <w:sz w:val="24"/>
                <w:szCs w:val="24"/>
              </w:rPr>
              <w:t xml:space="preserve"> </w:t>
            </w:r>
            <w:r w:rsidRPr="00385835">
              <w:rPr>
                <w:rFonts w:ascii="Times New Roman" w:hAnsi="Times New Roman"/>
                <w:color w:val="000000"/>
                <w:sz w:val="24"/>
                <w:szCs w:val="24"/>
              </w:rPr>
              <w:t>projektais.</w:t>
            </w:r>
          </w:p>
          <w:p w:rsidR="00385835" w:rsidRPr="00385835" w:rsidRDefault="00385835" w:rsidP="00AC10CD">
            <w:pPr>
              <w:widowControl w:val="0"/>
              <w:tabs>
                <w:tab w:val="left" w:pos="622"/>
              </w:tabs>
              <w:spacing w:after="0" w:line="240" w:lineRule="auto"/>
              <w:ind w:firstLine="459"/>
              <w:jc w:val="both"/>
              <w:rPr>
                <w:rFonts w:ascii="Times New Roman" w:hAnsi="Times New Roman"/>
                <w:sz w:val="24"/>
                <w:szCs w:val="24"/>
              </w:rPr>
            </w:pPr>
            <w:r w:rsidRPr="00385835">
              <w:rPr>
                <w:rFonts w:ascii="Times New Roman" w:hAnsi="Times New Roman"/>
                <w:color w:val="000000"/>
                <w:sz w:val="24"/>
                <w:szCs w:val="24"/>
              </w:rPr>
              <w:t>Integruotą požiūrį vietos lygiu užtikrinti padės sustiprintas miestų plėtrai skirtų viešųjų investicinių instrumentų ir bendruomenės valdomų instrumentų koordinavimas.</w:t>
            </w:r>
          </w:p>
          <w:p w:rsidR="00385835" w:rsidRDefault="00385835" w:rsidP="00650E41">
            <w:pPr>
              <w:widowControl w:val="0"/>
              <w:numPr>
                <w:ilvl w:val="0"/>
                <w:numId w:val="75"/>
              </w:numPr>
              <w:tabs>
                <w:tab w:val="left" w:pos="459"/>
              </w:tabs>
              <w:spacing w:after="0" w:line="240" w:lineRule="auto"/>
              <w:ind w:left="34" w:firstLine="0"/>
              <w:jc w:val="both"/>
              <w:rPr>
                <w:rFonts w:ascii="Times New Roman" w:hAnsi="Times New Roman"/>
                <w:sz w:val="24"/>
                <w:szCs w:val="24"/>
              </w:rPr>
            </w:pPr>
            <w:r w:rsidRPr="00385835">
              <w:rPr>
                <w:rFonts w:ascii="Times New Roman" w:hAnsi="Times New Roman"/>
                <w:sz w:val="24"/>
                <w:szCs w:val="24"/>
              </w:rPr>
              <w:t>Skatinant socialinių paslaugų plėtrą pagal 8 prioritetą, bus vadovaujamasi dviem pagrindiniais principais: pirma, suteikti kuo daugiau galimybių nevyriausybiniam sektoriui ir bendruomenėms, ir antra, užtikrinti, kad socialinių paslaugų kūrimą ir plėtrą akt</w:t>
            </w:r>
            <w:r w:rsidR="00DC55B6">
              <w:rPr>
                <w:rFonts w:ascii="Times New Roman" w:hAnsi="Times New Roman"/>
                <w:sz w:val="24"/>
                <w:szCs w:val="24"/>
              </w:rPr>
              <w:t>yviau koordinuotų savivaldybės.</w:t>
            </w:r>
          </w:p>
          <w:p w:rsidR="00DC55B6" w:rsidRPr="00463952" w:rsidRDefault="00DC55B6" w:rsidP="00AC10CD">
            <w:pPr>
              <w:widowControl w:val="0"/>
              <w:tabs>
                <w:tab w:val="left" w:pos="622"/>
              </w:tabs>
              <w:spacing w:after="0" w:line="240" w:lineRule="auto"/>
              <w:jc w:val="both"/>
              <w:rPr>
                <w:rFonts w:ascii="Times New Roman" w:eastAsia="AngsanaUPC" w:hAnsi="Times New Roman"/>
                <w:bCs/>
                <w:iCs/>
                <w:sz w:val="24"/>
                <w:szCs w:val="24"/>
                <w:lang w:eastAsia="lt-LT"/>
              </w:rPr>
            </w:pPr>
            <w:r w:rsidRPr="00463952">
              <w:rPr>
                <w:rFonts w:ascii="Times New Roman" w:eastAsia="AngsanaUPC" w:hAnsi="Times New Roman"/>
                <w:bCs/>
                <w:sz w:val="24"/>
                <w:szCs w:val="24"/>
                <w:lang w:eastAsia="lt-LT"/>
              </w:rPr>
              <w:t xml:space="preserve">* Esant pagrįstam poreikiui pagal kiekvieną investicinį prioritetą gali būti taikomi ir kiti projektų atrankos būdai nurodyti pirmojo prioriteto dalyje </w:t>
            </w:r>
            <w:r w:rsidRPr="00463952">
              <w:rPr>
                <w:rFonts w:ascii="Times New Roman" w:eastAsia="AngsanaUPC" w:hAnsi="Times New Roman"/>
                <w:bCs/>
                <w:i/>
                <w:sz w:val="24"/>
                <w:szCs w:val="24"/>
                <w:lang w:eastAsia="lt-LT"/>
              </w:rPr>
              <w:t>„</w:t>
            </w:r>
            <w:r w:rsidRPr="00463952">
              <w:rPr>
                <w:rFonts w:ascii="Times New Roman" w:eastAsia="AngsanaUPC" w:hAnsi="Times New Roman"/>
                <w:bCs/>
                <w:i/>
                <w:iCs/>
                <w:sz w:val="24"/>
                <w:szCs w:val="24"/>
                <w:lang w:eastAsia="lt-LT"/>
              </w:rPr>
              <w:t>Projektų</w:t>
            </w:r>
            <w:r w:rsidR="00D93B9C">
              <w:rPr>
                <w:rFonts w:ascii="Times New Roman" w:eastAsia="AngsanaUPC" w:hAnsi="Times New Roman"/>
                <w:bCs/>
                <w:i/>
                <w:iCs/>
                <w:sz w:val="24"/>
                <w:szCs w:val="24"/>
                <w:lang w:eastAsia="lt-LT"/>
              </w:rPr>
              <w:t xml:space="preserve"> </w:t>
            </w:r>
            <w:r w:rsidRPr="00463952">
              <w:rPr>
                <w:rFonts w:ascii="Times New Roman" w:eastAsia="AngsanaUPC" w:hAnsi="Times New Roman"/>
                <w:bCs/>
                <w:i/>
                <w:iCs/>
                <w:sz w:val="24"/>
                <w:szCs w:val="24"/>
                <w:lang w:eastAsia="lt-LT"/>
              </w:rPr>
              <w:t>/</w:t>
            </w:r>
            <w:r w:rsidR="00D93B9C">
              <w:rPr>
                <w:rFonts w:ascii="Times New Roman" w:eastAsia="AngsanaUPC" w:hAnsi="Times New Roman"/>
                <w:bCs/>
                <w:i/>
                <w:iCs/>
                <w:sz w:val="24"/>
                <w:szCs w:val="24"/>
                <w:lang w:eastAsia="lt-LT"/>
              </w:rPr>
              <w:t xml:space="preserve"> </w:t>
            </w:r>
            <w:r w:rsidRPr="00463952">
              <w:rPr>
                <w:rFonts w:ascii="Times New Roman" w:eastAsia="AngsanaUPC" w:hAnsi="Times New Roman"/>
                <w:bCs/>
                <w:i/>
                <w:iCs/>
                <w:sz w:val="24"/>
                <w:szCs w:val="24"/>
                <w:lang w:eastAsia="lt-LT"/>
              </w:rPr>
              <w:t>veiksmų atrankos principai</w:t>
            </w:r>
            <w:r w:rsidR="00463952">
              <w:rPr>
                <w:rFonts w:ascii="Times New Roman" w:eastAsia="AngsanaUPC" w:hAnsi="Times New Roman"/>
                <w:bCs/>
                <w:i/>
                <w:iCs/>
                <w:sz w:val="24"/>
                <w:szCs w:val="24"/>
                <w:lang w:eastAsia="lt-LT"/>
              </w:rPr>
              <w:t>“</w:t>
            </w:r>
            <w:r w:rsidRPr="00463952">
              <w:rPr>
                <w:rFonts w:ascii="Times New Roman" w:eastAsia="AngsanaUPC" w:hAnsi="Times New Roman"/>
                <w:bCs/>
                <w:i/>
                <w:iCs/>
                <w:sz w:val="24"/>
                <w:szCs w:val="24"/>
                <w:lang w:eastAsia="lt-LT"/>
              </w:rPr>
              <w:t>.</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i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746"/>
      </w:tblGrid>
      <w:tr w:rsidR="00385835" w:rsidRPr="00385835" w:rsidTr="00385835">
        <w:tc>
          <w:tcPr>
            <w:tcW w:w="9746"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i/>
                <w:iCs/>
                <w:sz w:val="24"/>
                <w:szCs w:val="24"/>
                <w:lang w:eastAsia="lt-LT"/>
              </w:rPr>
              <w:t>Finansiniai instrumentai ir jų aprašymas</w:t>
            </w:r>
          </w:p>
        </w:tc>
      </w:tr>
      <w:tr w:rsidR="00385835" w:rsidRPr="00385835" w:rsidTr="00385835">
        <w:tc>
          <w:tcPr>
            <w:tcW w:w="9746" w:type="dxa"/>
            <w:shd w:val="clear" w:color="auto" w:fill="auto"/>
          </w:tcPr>
          <w:p w:rsidR="00385835" w:rsidRPr="00385835" w:rsidRDefault="00385835" w:rsidP="00385835">
            <w:pPr>
              <w:widowControl w:val="0"/>
              <w:tabs>
                <w:tab w:val="left" w:pos="622"/>
              </w:tabs>
              <w:spacing w:after="0" w:line="240" w:lineRule="auto"/>
              <w:ind w:firstLine="624"/>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Šiuo metu šiam prioritetui įgyvendinti finansinių instrumentų taikyti nenumatoma, tačiau įgyvendinimo metu atsižvelgiant į išankstinio (</w:t>
            </w:r>
            <w:r w:rsidRPr="00385835">
              <w:rPr>
                <w:rFonts w:ascii="Times New Roman" w:eastAsia="AngsanaUPC" w:hAnsi="Times New Roman"/>
                <w:bCs/>
                <w:i/>
                <w:iCs/>
                <w:sz w:val="24"/>
                <w:szCs w:val="24"/>
                <w:lang w:eastAsia="lt-LT"/>
              </w:rPr>
              <w:t>ex ante</w:t>
            </w:r>
            <w:r w:rsidRPr="00385835">
              <w:rPr>
                <w:rFonts w:ascii="Times New Roman" w:eastAsia="AngsanaUPC" w:hAnsi="Times New Roman"/>
                <w:bCs/>
                <w:iCs/>
                <w:sz w:val="24"/>
                <w:szCs w:val="24"/>
                <w:lang w:eastAsia="lt-LT"/>
              </w:rPr>
              <w:t>) vertinimo rezultatus gali būti numatytas finansinių instrumentų taikymas.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i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746"/>
      </w:tblGrid>
      <w:tr w:rsidR="00385835" w:rsidRPr="00385835" w:rsidTr="00385835">
        <w:tc>
          <w:tcPr>
            <w:tcW w:w="9746"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i/>
                <w:iCs/>
                <w:sz w:val="24"/>
                <w:szCs w:val="24"/>
                <w:lang w:eastAsia="lt-LT"/>
              </w:rPr>
              <w:t>Didelės apimties projektai</w:t>
            </w:r>
          </w:p>
        </w:tc>
      </w:tr>
      <w:tr w:rsidR="00385835" w:rsidRPr="00385835" w:rsidTr="00385835">
        <w:tc>
          <w:tcPr>
            <w:tcW w:w="9746" w:type="dxa"/>
            <w:shd w:val="clear" w:color="auto" w:fill="auto"/>
          </w:tcPr>
          <w:p w:rsidR="00385835" w:rsidRPr="00385835" w:rsidRDefault="00385835" w:rsidP="00385835">
            <w:pPr>
              <w:widowControl w:val="0"/>
              <w:tabs>
                <w:tab w:val="left" w:pos="622"/>
              </w:tabs>
              <w:spacing w:after="0" w:line="240" w:lineRule="auto"/>
              <w:ind w:firstLine="624"/>
              <w:jc w:val="both"/>
              <w:rPr>
                <w:rFonts w:ascii="Times New Roman" w:eastAsia="AngsanaUPC" w:hAnsi="Times New Roman"/>
                <w:bCs/>
                <w:iCs/>
                <w:sz w:val="24"/>
                <w:szCs w:val="24"/>
                <w:lang w:eastAsia="lt-LT"/>
              </w:rPr>
            </w:pPr>
            <w:r w:rsidRPr="00385835">
              <w:rPr>
                <w:rFonts w:ascii="Times New Roman" w:hAnsi="Times New Roman"/>
                <w:bCs/>
                <w:iCs/>
                <w:sz w:val="24"/>
                <w:szCs w:val="24"/>
              </w:rPr>
              <w:t>Pagal šį veiksmų programos prioritetą didelės apimties projektų vykdyti nenumatoma.</w:t>
            </w:r>
          </w:p>
        </w:tc>
      </w:tr>
    </w:tbl>
    <w:p w:rsidR="00385835" w:rsidRPr="00385835" w:rsidRDefault="00385835" w:rsidP="00385835">
      <w:pPr>
        <w:widowControl w:val="0"/>
        <w:tabs>
          <w:tab w:val="left" w:pos="622"/>
        </w:tabs>
        <w:spacing w:after="0" w:line="240" w:lineRule="auto"/>
        <w:jc w:val="both"/>
        <w:rPr>
          <w:rFonts w:ascii="Times New Roman" w:hAnsi="Times New Roman"/>
          <w:i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746"/>
      </w:tblGrid>
      <w:tr w:rsidR="00385835" w:rsidRPr="00385835" w:rsidTr="00385835">
        <w:tc>
          <w:tcPr>
            <w:tcW w:w="9746"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i/>
                <w:sz w:val="24"/>
                <w:szCs w:val="24"/>
                <w:lang w:eastAsia="lt-LT"/>
              </w:rPr>
            </w:pPr>
            <w:r w:rsidRPr="00385835">
              <w:rPr>
                <w:rFonts w:ascii="Times New Roman" w:hAnsi="Times New Roman"/>
                <w:b/>
                <w:i/>
                <w:sz w:val="24"/>
                <w:szCs w:val="24"/>
              </w:rPr>
              <w:t>ESF specialiosios nuostatos</w:t>
            </w:r>
          </w:p>
        </w:tc>
      </w:tr>
      <w:tr w:rsidR="00385835" w:rsidRPr="00385835" w:rsidTr="00385835">
        <w:trPr>
          <w:trHeight w:val="265"/>
        </w:trPr>
        <w:tc>
          <w:tcPr>
            <w:tcW w:w="9746" w:type="dxa"/>
            <w:shd w:val="clear" w:color="auto" w:fill="auto"/>
          </w:tcPr>
          <w:p w:rsidR="00385835" w:rsidRPr="00385835" w:rsidRDefault="00385835" w:rsidP="00385835">
            <w:pPr>
              <w:widowControl w:val="0"/>
              <w:tabs>
                <w:tab w:val="left" w:pos="601"/>
              </w:tabs>
              <w:spacing w:after="0" w:line="240" w:lineRule="auto"/>
              <w:ind w:firstLine="624"/>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Įgyvendinant šį investicinį prioritetą bus skatinamas socialinių inovacijų taikymas ir tarptautinis bendradarbiavimas.</w:t>
            </w:r>
          </w:p>
          <w:p w:rsidR="00385835" w:rsidRPr="00385835" w:rsidRDefault="00385835" w:rsidP="00385835">
            <w:pPr>
              <w:widowControl w:val="0"/>
              <w:tabs>
                <w:tab w:val="left" w:pos="601"/>
              </w:tabs>
              <w:spacing w:after="0" w:line="240" w:lineRule="auto"/>
              <w:ind w:firstLine="624"/>
              <w:jc w:val="both"/>
              <w:rPr>
                <w:rFonts w:ascii="Times New Roman" w:eastAsia="AngsanaUPC" w:hAnsi="Times New Roman"/>
                <w:bCs/>
                <w:iCs/>
                <w:sz w:val="24"/>
                <w:szCs w:val="24"/>
                <w:lang w:eastAsia="lt-LT"/>
              </w:rPr>
            </w:pPr>
            <w:r w:rsidRPr="00385835">
              <w:rPr>
                <w:rFonts w:ascii="Times New Roman" w:eastAsia="AngsanaUPC" w:hAnsi="Times New Roman"/>
                <w:bCs/>
                <w:sz w:val="24"/>
                <w:szCs w:val="24"/>
                <w:lang w:eastAsia="lt-LT"/>
              </w:rPr>
              <w:t>Parama socialinių inovacijų projektams socialinės ekonomikos ir socialinio verslo srityje. Parama skiriama projektams, kurie padėtų supažindinti visuomenę su socialinio verslo koncepcija, praktiškai pademonstruotų socialinio verslo veikimo principus ir prisidėtų prie to, kad Lietuvoje kurtųsi</w:t>
            </w:r>
            <w:r w:rsidR="007657A3">
              <w:rPr>
                <w:rFonts w:ascii="Times New Roman" w:eastAsia="AngsanaUPC" w:hAnsi="Times New Roman"/>
                <w:bCs/>
                <w:sz w:val="24"/>
                <w:szCs w:val="24"/>
                <w:lang w:eastAsia="lt-LT"/>
              </w:rPr>
              <w:t>,</w:t>
            </w:r>
            <w:r w:rsidRPr="00385835">
              <w:rPr>
                <w:rFonts w:ascii="Times New Roman" w:eastAsia="AngsanaUPC" w:hAnsi="Times New Roman"/>
                <w:bCs/>
                <w:sz w:val="24"/>
                <w:szCs w:val="24"/>
                <w:lang w:eastAsia="lt-LT"/>
              </w:rPr>
              <w:t xml:space="preserve"> kiek galima daugiau socialinio verslo principais veikiančių organizacijų. Planuojama teikti paramą perspektyvioms, bet Lietuvoje dar nepaplitusioms idėjoms išbandyti, pasimokyti iš patirties, įvertinti sėkmingo įgyvendinimo sąlygas, pasiūlyti tvarius finansavimo modelius. Prioritetas teikiamas tokioms idėjoms, kurios padeda išspręsti konkrečias viešosios politikos dilemas (</w:t>
            </w:r>
            <w:r w:rsidR="00686878">
              <w:rPr>
                <w:rFonts w:ascii="Times New Roman" w:eastAsia="AngsanaUPC" w:hAnsi="Times New Roman"/>
                <w:bCs/>
                <w:sz w:val="24"/>
                <w:szCs w:val="24"/>
                <w:lang w:eastAsia="lt-LT"/>
              </w:rPr>
              <w:t>pavyzdžiui</w:t>
            </w:r>
            <w:r w:rsidRPr="00385835">
              <w:rPr>
                <w:rFonts w:ascii="Times New Roman" w:eastAsia="AngsanaUPC" w:hAnsi="Times New Roman"/>
                <w:bCs/>
                <w:sz w:val="24"/>
                <w:szCs w:val="24"/>
                <w:lang w:eastAsia="lt-LT"/>
              </w:rPr>
              <w:t>, kokios aktyvios įtraukties priemonės yra efektyviausios) ir kurias vėliau galima įgyvendinti visos valstybės mastu. Dėl šios priežasties numatoma galimybė finansuoti kelis alternatyvius požiūrius į tos pačios problemos sprendimą siekiant įvertinti, kuris iš jų veikia geriau.</w:t>
            </w:r>
          </w:p>
          <w:p w:rsidR="00385835" w:rsidRPr="00385835" w:rsidRDefault="00385835" w:rsidP="00385835">
            <w:pPr>
              <w:widowControl w:val="0"/>
              <w:tabs>
                <w:tab w:val="left" w:pos="601"/>
              </w:tabs>
              <w:spacing w:after="0" w:line="240" w:lineRule="auto"/>
              <w:ind w:firstLine="624"/>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 xml:space="preserve">Parama skiriama projektams, kurie siekia perimti gerąją užsienio šalių patirtį ir pritaikyti ją Lietuvoje, pasidalinti darbo patirtimi su kitomis ES valstybėmis, inicijuojantiems naujų inovatyvių metodų, modelių kūrimą ir taikymą, didinančių </w:t>
            </w:r>
            <w:r w:rsidR="004F2562">
              <w:rPr>
                <w:rFonts w:ascii="Times New Roman" w:eastAsia="AngsanaUPC" w:hAnsi="Times New Roman"/>
                <w:bCs/>
                <w:sz w:val="24"/>
                <w:szCs w:val="24"/>
                <w:lang w:eastAsia="lt-LT"/>
              </w:rPr>
              <w:t>ES</w:t>
            </w:r>
            <w:r w:rsidR="004F2562" w:rsidRPr="00385835">
              <w:rPr>
                <w:rFonts w:ascii="Times New Roman" w:eastAsia="AngsanaUPC" w:hAnsi="Times New Roman"/>
                <w:bCs/>
                <w:sz w:val="24"/>
                <w:szCs w:val="24"/>
                <w:lang w:eastAsia="lt-LT"/>
              </w:rPr>
              <w:t xml:space="preserve"> </w:t>
            </w:r>
            <w:r w:rsidRPr="00385835">
              <w:rPr>
                <w:rFonts w:ascii="Times New Roman" w:eastAsia="AngsanaUPC" w:hAnsi="Times New Roman"/>
                <w:bCs/>
                <w:sz w:val="24"/>
                <w:szCs w:val="24"/>
                <w:lang w:eastAsia="lt-LT"/>
              </w:rPr>
              <w:t xml:space="preserve">fondų investavimo efektyvumą ir aiškiai atskleidžiančių tarptautinio bendradarbiavimo pridėtinę vertę. Siekiant užtikrinti tvarų Baltijos </w:t>
            </w:r>
            <w:r w:rsidRPr="00385835">
              <w:rPr>
                <w:rFonts w:ascii="Times New Roman" w:eastAsia="AngsanaUPC" w:hAnsi="Times New Roman"/>
                <w:bCs/>
                <w:sz w:val="24"/>
                <w:szCs w:val="24"/>
                <w:lang w:eastAsia="lt-LT"/>
              </w:rPr>
              <w:lastRenderedPageBreak/>
              <w:t>jūros valstybių</w:t>
            </w:r>
            <w:proofErr w:type="gramStart"/>
            <w:r w:rsidRPr="00385835">
              <w:rPr>
                <w:rFonts w:ascii="Times New Roman" w:eastAsia="AngsanaUPC" w:hAnsi="Times New Roman"/>
                <w:bCs/>
                <w:sz w:val="24"/>
                <w:szCs w:val="24"/>
                <w:lang w:eastAsia="lt-LT"/>
              </w:rPr>
              <w:t>-</w:t>
            </w:r>
            <w:proofErr w:type="gramEnd"/>
            <w:r w:rsidRPr="00385835">
              <w:rPr>
                <w:rFonts w:ascii="Times New Roman" w:eastAsia="AngsanaUPC" w:hAnsi="Times New Roman"/>
                <w:bCs/>
                <w:sz w:val="24"/>
                <w:szCs w:val="24"/>
                <w:lang w:eastAsia="lt-LT"/>
              </w:rPr>
              <w:t xml:space="preserve">kaimynių augimą, padidinti jo gyventojų gerovę, prisidėti prie pagrindinių ES politikos tikslų įgyvendinimo ir stiprinti regiono integraciją, parama bus skiriamas tarptautiniam bendradarbiavimui, susijusiam su ES BJRS įgyvendinimu. Tarptautinio bendradarbiavimo prioritetai bus nustatyti konsultuojantis su socialiniais partneriais. </w:t>
            </w:r>
          </w:p>
          <w:p w:rsidR="00385835" w:rsidRPr="00385835" w:rsidRDefault="00385835" w:rsidP="00385835">
            <w:pPr>
              <w:widowControl w:val="0"/>
              <w:tabs>
                <w:tab w:val="left" w:pos="601"/>
              </w:tabs>
              <w:spacing w:after="0" w:line="240" w:lineRule="auto"/>
              <w:ind w:firstLine="624"/>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2 ir 8 prioritetų lėšomis numatyta investuoti į bendruomenių aktyvinimą. Pagal 2.2 investicinį prioritetą numatyta skatinti vietos bendruomenes aktyviai įsitraukti į skaitmeninio raštingumo įgūdžių ugdymą, o pagal 8.1 ir 8.4 investicinius prioritetus – skatinti bendruomeninių paslaugų plėtrą ir jų kokybės gerinimą. 8.6 investicinis prioritetas numato įgyvendinti bendruomenės inicijuojamas veiklas, skirtas mažinti socialinę atskirtį, didinti užimtumą ir verslumą.</w:t>
            </w:r>
          </w:p>
          <w:p w:rsidR="00385835" w:rsidRPr="00385835" w:rsidRDefault="00385835" w:rsidP="00385835">
            <w:pPr>
              <w:widowControl w:val="0"/>
              <w:tabs>
                <w:tab w:val="left" w:pos="601"/>
              </w:tabs>
              <w:spacing w:after="0" w:line="240" w:lineRule="auto"/>
              <w:ind w:firstLine="624"/>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 xml:space="preserve">2 ir 8 prioritetus taip pat sieja tai, kad pagal 8 prioritetą numatoma gerinti sveikatos ir socialinių paslaugų kokybę ir prieinamumą, o pagal 2 prioritetą žadama investuoti į šių paslaugų prieinamumą ir plėtrą internete. </w:t>
            </w:r>
          </w:p>
          <w:p w:rsidR="00385835" w:rsidRPr="00385835" w:rsidRDefault="00385835" w:rsidP="00385835">
            <w:pPr>
              <w:widowControl w:val="0"/>
              <w:tabs>
                <w:tab w:val="left" w:pos="601"/>
              </w:tabs>
              <w:spacing w:after="0" w:line="240" w:lineRule="auto"/>
              <w:ind w:firstLine="624"/>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8 prioritetas numato investicijas į infrastruktūrą (socialin</w:t>
            </w:r>
            <w:r w:rsidR="007657A3">
              <w:rPr>
                <w:rFonts w:ascii="Times New Roman" w:eastAsia="AngsanaUPC" w:hAnsi="Times New Roman"/>
                <w:bCs/>
                <w:iCs/>
                <w:sz w:val="24"/>
                <w:szCs w:val="24"/>
                <w:lang w:eastAsia="lt-LT"/>
              </w:rPr>
              <w:t>į</w:t>
            </w:r>
            <w:r w:rsidRPr="00385835">
              <w:rPr>
                <w:rFonts w:ascii="Times New Roman" w:eastAsia="AngsanaUPC" w:hAnsi="Times New Roman"/>
                <w:bCs/>
                <w:iCs/>
                <w:sz w:val="24"/>
                <w:szCs w:val="24"/>
                <w:lang w:eastAsia="lt-LT"/>
              </w:rPr>
              <w:t xml:space="preserve"> būstą, socialinių ir sveikatos paslaugų infrastruktūrą, įvairių mažųjų miestų ir kaimo vietovių infrastruktūros objektus ir kt.), o 2 prioritetas – šių infrastruktūros objektų stebėseną. Pagal 2.3 investicinį prioritetą bus remiama erdvinių duomenų tvarkymo paslaugų ir infrastruktūros plėtra, įgyvendinanti direktyvą INSPIRE.</w:t>
            </w:r>
          </w:p>
          <w:p w:rsidR="00385835" w:rsidRPr="00385835" w:rsidRDefault="00385835" w:rsidP="00385835">
            <w:pPr>
              <w:widowControl w:val="0"/>
              <w:tabs>
                <w:tab w:val="left" w:pos="601"/>
              </w:tabs>
              <w:spacing w:after="0" w:line="240" w:lineRule="auto"/>
              <w:ind w:firstLine="624"/>
              <w:jc w:val="both"/>
              <w:rPr>
                <w:rFonts w:ascii="Times New Roman" w:eastAsia="AngsanaUPC" w:hAnsi="Times New Roman"/>
                <w:bCs/>
                <w:sz w:val="24"/>
                <w:szCs w:val="24"/>
                <w:lang w:eastAsia="lt-LT"/>
              </w:rPr>
            </w:pPr>
            <w:r w:rsidRPr="00385835">
              <w:rPr>
                <w:rFonts w:ascii="Times New Roman" w:eastAsia="AngsanaUPC" w:hAnsi="Times New Roman"/>
                <w:bCs/>
                <w:iCs/>
                <w:sz w:val="24"/>
                <w:szCs w:val="24"/>
                <w:lang w:eastAsia="lt-LT"/>
              </w:rPr>
              <w:t xml:space="preserve">8 prioritetas siejasi su 3 prioritetu veiklų lygmenyje. Pagal 3 prioritetą numatoma skatinti darbo jėgos paklausą: </w:t>
            </w:r>
            <w:r w:rsidRPr="00385835">
              <w:rPr>
                <w:rFonts w:ascii="Times New Roman" w:eastAsia="AngsanaUPC" w:hAnsi="Times New Roman"/>
                <w:bCs/>
                <w:sz w:val="24"/>
                <w:szCs w:val="24"/>
                <w:lang w:eastAsia="lt-LT"/>
              </w:rPr>
              <w:t>investuoti į verslumo ir naujų įmonių steigimo skatinimą, MVĮ veiklos internacionalizavimą ir pajėgumą įsitraukti į ekonomikos augimo ir inovacijų procesus. Pagal 8.5 investicinį prioritetą parama bus skiriama socialinėms įmonėms ir socialiniam verslui, t.y. taip pat siekiant didinti darbo jėgos paklausą. Be to, pagal 8.3 investicinį prioritetą bus teikiamos socialinės integracijos paslaugos socialiai pažeidžiamiems asmenims skatinant juos įsidarbinti (t.y.</w:t>
            </w:r>
            <w:r w:rsidR="007657A3">
              <w:rPr>
                <w:rFonts w:ascii="Times New Roman" w:eastAsia="AngsanaUPC" w:hAnsi="Times New Roman"/>
                <w:bCs/>
                <w:sz w:val="24"/>
                <w:szCs w:val="24"/>
                <w:lang w:eastAsia="lt-LT"/>
              </w:rPr>
              <w:t>,</w:t>
            </w:r>
            <w:r w:rsidRPr="00385835">
              <w:rPr>
                <w:rFonts w:ascii="Times New Roman" w:eastAsia="AngsanaUPC" w:hAnsi="Times New Roman"/>
                <w:bCs/>
                <w:sz w:val="24"/>
                <w:szCs w:val="24"/>
                <w:lang w:eastAsia="lt-LT"/>
              </w:rPr>
              <w:t xml:space="preserve"> didinti darbo jėgos pasiūlą). Tarp 8.6 investicinio prioriteto veiklų numatyta investuoti į bendruomenės inicijuotas neformalias verslumo iniciatyvas. Šios veiklos tiesiogiai siejasi su 3 prioritete numatytu verslumo skatinimu.</w:t>
            </w:r>
          </w:p>
          <w:p w:rsidR="00385835" w:rsidRPr="00385835" w:rsidRDefault="00385835" w:rsidP="00385835">
            <w:pPr>
              <w:widowControl w:val="0"/>
              <w:tabs>
                <w:tab w:val="left" w:pos="601"/>
              </w:tabs>
              <w:spacing w:after="0" w:line="240" w:lineRule="auto"/>
              <w:ind w:firstLine="851"/>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 xml:space="preserve">8 prioritete numatytos investicijos į infrastruktūrą taip pat siejasi su 4 prioritetu. 4.3 investiciniame prioritete numatyta renovuoti ir modernizuoti daugiabučius namus ir viešosios infrastruktūros objektus. Tie infrastruktūros objektai, kurie bus pastatyti arba atnaujinti 8 investicinio prioriteto lėšomis, bus suderinti su ES direktyvomis dėl efektyvaus energijos vartojimo, taigi iš esmės atitiks 4.3 investicinio prioriteto tikslus dėl energijos taupymo. </w:t>
            </w:r>
          </w:p>
          <w:p w:rsidR="00385835" w:rsidRPr="00385835" w:rsidRDefault="00385835" w:rsidP="00385835">
            <w:pPr>
              <w:widowControl w:val="0"/>
              <w:tabs>
                <w:tab w:val="left" w:pos="601"/>
              </w:tabs>
              <w:spacing w:after="0" w:line="240" w:lineRule="auto"/>
              <w:ind w:firstLine="851"/>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Investicijos pagal 8.1.3 specifinį uždavinį prisideda ir papildo veiklas pagal 8.4.2 ir 2.3.1 specifinius uždavinius, taip pat bus susiję su 1.2 investicinio prioriteto investicijomis, skirtomis plėtoti ir diegti inovacijas sveikatos priežiūros srityje.</w:t>
            </w:r>
          </w:p>
        </w:tc>
      </w:tr>
    </w:tbl>
    <w:p w:rsidR="00385835" w:rsidRPr="00385835" w:rsidRDefault="00385835" w:rsidP="00385835">
      <w:pPr>
        <w:widowControl w:val="0"/>
        <w:tabs>
          <w:tab w:val="left" w:pos="622"/>
        </w:tabs>
        <w:spacing w:after="0" w:line="240" w:lineRule="auto"/>
        <w:jc w:val="both"/>
        <w:rPr>
          <w:rFonts w:ascii="Times New Roman" w:hAnsi="Times New Roman"/>
          <w:iCs/>
          <w:sz w:val="24"/>
          <w:szCs w:val="24"/>
        </w:rPr>
      </w:pPr>
    </w:p>
    <w:p w:rsidR="00385835" w:rsidRPr="00385835" w:rsidRDefault="00385835" w:rsidP="00385835">
      <w:pPr>
        <w:widowControl w:val="0"/>
        <w:tabs>
          <w:tab w:val="left" w:pos="622"/>
        </w:tabs>
        <w:spacing w:after="0" w:line="240" w:lineRule="auto"/>
        <w:jc w:val="both"/>
        <w:rPr>
          <w:rFonts w:ascii="Times New Roman" w:eastAsia="AngsanaUPC" w:hAnsi="Times New Roman"/>
          <w:b/>
          <w:bCs/>
          <w:i/>
          <w:iCs/>
          <w:sz w:val="24"/>
          <w:szCs w:val="24"/>
          <w:lang w:eastAsia="lt-LT"/>
        </w:rPr>
        <w:sectPr w:rsidR="00385835" w:rsidRPr="00385835" w:rsidSect="00AC19DA">
          <w:pgSz w:w="11906" w:h="16838" w:code="9"/>
          <w:pgMar w:top="1701" w:right="567" w:bottom="1134" w:left="1701" w:header="567" w:footer="567" w:gutter="0"/>
          <w:cols w:space="1296"/>
          <w:docGrid w:linePitch="360"/>
        </w:sectPr>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1277"/>
        <w:gridCol w:w="2834"/>
        <w:gridCol w:w="1134"/>
        <w:gridCol w:w="851"/>
        <w:gridCol w:w="850"/>
        <w:gridCol w:w="1134"/>
        <w:gridCol w:w="1134"/>
        <w:gridCol w:w="992"/>
        <w:gridCol w:w="3828"/>
      </w:tblGrid>
      <w:tr w:rsidR="00385835" w:rsidRPr="00385835" w:rsidTr="00385835">
        <w:trPr>
          <w:tblHeader/>
        </w:trPr>
        <w:tc>
          <w:tcPr>
            <w:tcW w:w="14034" w:type="dxa"/>
            <w:gridSpan w:val="9"/>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i/>
                <w:iCs/>
                <w:sz w:val="24"/>
                <w:szCs w:val="24"/>
                <w:lang w:eastAsia="lt-LT"/>
              </w:rPr>
              <w:lastRenderedPageBreak/>
              <w:t>Prioriteto veiklos rezultatų peržiūros planas</w:t>
            </w:r>
          </w:p>
        </w:tc>
      </w:tr>
      <w:tr w:rsidR="00385835" w:rsidRPr="00385835" w:rsidTr="00385835">
        <w:trPr>
          <w:cantSplit/>
          <w:trHeight w:val="1134"/>
          <w:tblHeader/>
        </w:trPr>
        <w:tc>
          <w:tcPr>
            <w:tcW w:w="1277"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Rodiklio rūšis</w:t>
            </w:r>
          </w:p>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(įgyvendinimo žingsniai, finansinis, produkto ir rezultato rodiklis)</w:t>
            </w:r>
          </w:p>
        </w:tc>
        <w:tc>
          <w:tcPr>
            <w:tcW w:w="28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Rodiklio apibrėžimas arba įgyvendinimo žingsnis</w:t>
            </w:r>
          </w:p>
        </w:tc>
        <w:tc>
          <w:tcPr>
            <w:tcW w:w="1134"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Matavimo vienetas</w:t>
            </w:r>
          </w:p>
        </w:tc>
        <w:tc>
          <w:tcPr>
            <w:tcW w:w="851"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Fondas</w:t>
            </w:r>
          </w:p>
        </w:tc>
        <w:tc>
          <w:tcPr>
            <w:tcW w:w="850"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Regiono kategorija</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Tarpinė reikšmė (2018)</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Siektina reikšmė (2023)</w:t>
            </w:r>
          </w:p>
        </w:tc>
        <w:tc>
          <w:tcPr>
            <w:tcW w:w="992"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Duomenų šaltinis</w:t>
            </w:r>
          </w:p>
        </w:tc>
        <w:tc>
          <w:tcPr>
            <w:tcW w:w="3828"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Rodiklių tinkamumo pagrindimas</w:t>
            </w:r>
          </w:p>
        </w:tc>
      </w:tr>
      <w:tr w:rsidR="00385835" w:rsidRPr="0056304C" w:rsidTr="00AC10CD">
        <w:tc>
          <w:tcPr>
            <w:tcW w:w="1277" w:type="dxa"/>
            <w:shd w:val="clear" w:color="auto" w:fill="FFFFFF"/>
            <w:vAlign w:val="center"/>
          </w:tcPr>
          <w:p w:rsidR="00385835" w:rsidRPr="0056304C" w:rsidRDefault="00385835" w:rsidP="0056304C">
            <w:pPr>
              <w:spacing w:after="0" w:line="240" w:lineRule="auto"/>
              <w:rPr>
                <w:rFonts w:ascii="Times New Roman" w:hAnsi="Times New Roman"/>
                <w:sz w:val="16"/>
                <w:szCs w:val="16"/>
              </w:rPr>
            </w:pPr>
            <w:r w:rsidRPr="0056304C">
              <w:rPr>
                <w:rFonts w:ascii="Times New Roman" w:hAnsi="Times New Roman"/>
                <w:sz w:val="16"/>
                <w:szCs w:val="16"/>
              </w:rPr>
              <w:t>Finansinis</w:t>
            </w:r>
            <w:r w:rsidRPr="0056304C">
              <w:rPr>
                <w:rFonts w:ascii="Times New Roman" w:eastAsia="AngsanaUPC" w:hAnsi="Times New Roman"/>
                <w:bCs/>
                <w:iCs/>
                <w:sz w:val="16"/>
                <w:szCs w:val="16"/>
              </w:rPr>
              <w:t xml:space="preserve"> </w:t>
            </w:r>
            <w:r w:rsidRPr="0056304C">
              <w:rPr>
                <w:rFonts w:ascii="Times New Roman" w:hAnsi="Times New Roman"/>
                <w:sz w:val="16"/>
                <w:szCs w:val="16"/>
              </w:rPr>
              <w:t>rodiklis</w:t>
            </w:r>
          </w:p>
        </w:tc>
        <w:tc>
          <w:tcPr>
            <w:tcW w:w="2834" w:type="dxa"/>
            <w:shd w:val="clear" w:color="auto" w:fill="FFFFFF"/>
            <w:vAlign w:val="center"/>
          </w:tcPr>
          <w:p w:rsidR="00385835" w:rsidRPr="0056304C" w:rsidRDefault="00385835" w:rsidP="0056304C">
            <w:pPr>
              <w:spacing w:after="0" w:line="240" w:lineRule="auto"/>
              <w:rPr>
                <w:rFonts w:ascii="Times New Roman" w:hAnsi="Times New Roman"/>
                <w:i/>
                <w:sz w:val="16"/>
                <w:szCs w:val="16"/>
              </w:rPr>
            </w:pPr>
            <w:r w:rsidRPr="0056304C">
              <w:rPr>
                <w:rFonts w:ascii="Times New Roman" w:hAnsi="Times New Roman"/>
                <w:color w:val="000000"/>
                <w:sz w:val="16"/>
                <w:szCs w:val="16"/>
              </w:rPr>
              <w:t>Bendra tinkamų finansuoti išlaidų suma</w:t>
            </w:r>
            <w:r w:rsidR="004C4C32" w:rsidRPr="0056304C">
              <w:rPr>
                <w:rFonts w:ascii="Times New Roman" w:hAnsi="Times New Roman"/>
                <w:color w:val="000000"/>
                <w:sz w:val="16"/>
                <w:szCs w:val="16"/>
              </w:rPr>
              <w:t>,</w:t>
            </w:r>
            <w:r w:rsidRPr="0056304C">
              <w:rPr>
                <w:rFonts w:ascii="Times New Roman" w:hAnsi="Times New Roman"/>
                <w:color w:val="000000"/>
                <w:sz w:val="16"/>
                <w:szCs w:val="16"/>
              </w:rPr>
              <w:t xml:space="preserve"> pripažinta tinkama deklaruoti EK</w:t>
            </w:r>
          </w:p>
        </w:tc>
        <w:tc>
          <w:tcPr>
            <w:tcW w:w="1134" w:type="dxa"/>
            <w:shd w:val="clear" w:color="auto" w:fill="FFFFFF"/>
          </w:tcPr>
          <w:p w:rsidR="00385835" w:rsidRPr="0056304C" w:rsidRDefault="00385835" w:rsidP="0056304C">
            <w:pPr>
              <w:spacing w:after="0" w:line="240" w:lineRule="auto"/>
              <w:jc w:val="center"/>
              <w:rPr>
                <w:rFonts w:ascii="Times New Roman" w:hAnsi="Times New Roman"/>
                <w:i/>
                <w:sz w:val="16"/>
                <w:szCs w:val="16"/>
              </w:rPr>
            </w:pPr>
            <w:r w:rsidRPr="0056304C">
              <w:rPr>
                <w:rFonts w:ascii="Times New Roman" w:hAnsi="Times New Roman"/>
                <w:sz w:val="16"/>
                <w:szCs w:val="16"/>
              </w:rPr>
              <w:t>Eurai</w:t>
            </w:r>
          </w:p>
        </w:tc>
        <w:tc>
          <w:tcPr>
            <w:tcW w:w="851" w:type="dxa"/>
            <w:shd w:val="clear" w:color="auto" w:fill="FFFFFF"/>
          </w:tcPr>
          <w:p w:rsidR="00385835" w:rsidRPr="0056304C" w:rsidRDefault="00385835" w:rsidP="0056304C">
            <w:pPr>
              <w:spacing w:after="0" w:line="240" w:lineRule="auto"/>
              <w:jc w:val="center"/>
              <w:rPr>
                <w:rFonts w:ascii="Times New Roman" w:hAnsi="Times New Roman"/>
                <w:sz w:val="16"/>
                <w:szCs w:val="16"/>
              </w:rPr>
            </w:pPr>
            <w:r w:rsidRPr="0056304C">
              <w:rPr>
                <w:rFonts w:ascii="Times New Roman" w:hAnsi="Times New Roman"/>
                <w:sz w:val="16"/>
                <w:szCs w:val="16"/>
              </w:rPr>
              <w:t>ERPF</w:t>
            </w:r>
          </w:p>
        </w:tc>
        <w:tc>
          <w:tcPr>
            <w:tcW w:w="850" w:type="dxa"/>
            <w:shd w:val="clear" w:color="auto" w:fill="FFFFFF"/>
          </w:tcPr>
          <w:p w:rsidR="00385835" w:rsidRPr="0056304C" w:rsidRDefault="00385835" w:rsidP="0056304C">
            <w:pPr>
              <w:spacing w:after="0" w:line="240" w:lineRule="auto"/>
              <w:jc w:val="center"/>
              <w:rPr>
                <w:rFonts w:ascii="Times New Roman" w:hAnsi="Times New Roman"/>
                <w:sz w:val="16"/>
                <w:szCs w:val="16"/>
              </w:rPr>
            </w:pPr>
            <w:r w:rsidRPr="0056304C">
              <w:rPr>
                <w:rFonts w:ascii="Times New Roman" w:hAnsi="Times New Roman"/>
                <w:sz w:val="16"/>
                <w:szCs w:val="16"/>
              </w:rPr>
              <w:t>Mažiau išsivystęs</w:t>
            </w:r>
          </w:p>
        </w:tc>
        <w:tc>
          <w:tcPr>
            <w:tcW w:w="1134" w:type="dxa"/>
            <w:shd w:val="clear" w:color="auto" w:fill="FFFFFF"/>
          </w:tcPr>
          <w:p w:rsidR="00D828BD" w:rsidRPr="0056304C" w:rsidRDefault="00D828BD" w:rsidP="0056304C">
            <w:pPr>
              <w:spacing w:after="0"/>
              <w:jc w:val="center"/>
              <w:rPr>
                <w:rFonts w:ascii="Times New Roman" w:hAnsi="Times New Roman"/>
                <w:bCs/>
                <w:color w:val="000000"/>
                <w:sz w:val="16"/>
                <w:szCs w:val="16"/>
              </w:rPr>
            </w:pPr>
            <w:r w:rsidRPr="0056304C">
              <w:rPr>
                <w:rFonts w:ascii="Times New Roman" w:hAnsi="Times New Roman"/>
                <w:bCs/>
                <w:color w:val="000000"/>
                <w:sz w:val="16"/>
                <w:szCs w:val="16"/>
              </w:rPr>
              <w:t>85.707.382</w:t>
            </w:r>
          </w:p>
        </w:tc>
        <w:tc>
          <w:tcPr>
            <w:tcW w:w="1134" w:type="dxa"/>
            <w:shd w:val="clear" w:color="auto" w:fill="FFFFFF"/>
          </w:tcPr>
          <w:p w:rsidR="00385835" w:rsidRPr="0056304C" w:rsidRDefault="00CB0078" w:rsidP="0056304C">
            <w:pPr>
              <w:spacing w:after="0" w:line="240" w:lineRule="auto"/>
              <w:jc w:val="center"/>
              <w:rPr>
                <w:rFonts w:ascii="Times New Roman" w:hAnsi="Times New Roman"/>
                <w:sz w:val="16"/>
                <w:szCs w:val="16"/>
              </w:rPr>
            </w:pPr>
            <w:r w:rsidRPr="0056304C">
              <w:rPr>
                <w:rFonts w:ascii="Times New Roman" w:hAnsi="Times New Roman"/>
                <w:sz w:val="16"/>
                <w:szCs w:val="16"/>
              </w:rPr>
              <w:t>420</w:t>
            </w:r>
            <w:r w:rsidR="009348A3" w:rsidRPr="0056304C">
              <w:rPr>
                <w:rFonts w:ascii="Times New Roman" w:hAnsi="Times New Roman"/>
                <w:sz w:val="16"/>
                <w:szCs w:val="16"/>
              </w:rPr>
              <w:t>.</w:t>
            </w:r>
            <w:r w:rsidRPr="0056304C">
              <w:rPr>
                <w:rFonts w:ascii="Times New Roman" w:hAnsi="Times New Roman"/>
                <w:sz w:val="16"/>
                <w:szCs w:val="16"/>
              </w:rPr>
              <w:t>75</w:t>
            </w:r>
            <w:r w:rsidR="00385835" w:rsidRPr="0056304C">
              <w:rPr>
                <w:rFonts w:ascii="Times New Roman" w:hAnsi="Times New Roman"/>
                <w:sz w:val="16"/>
                <w:szCs w:val="16"/>
              </w:rPr>
              <w:t>3</w:t>
            </w:r>
            <w:r w:rsidR="009348A3" w:rsidRPr="0056304C">
              <w:rPr>
                <w:rFonts w:ascii="Times New Roman" w:hAnsi="Times New Roman"/>
                <w:sz w:val="16"/>
                <w:szCs w:val="16"/>
              </w:rPr>
              <w:t>.</w:t>
            </w:r>
            <w:r w:rsidRPr="0056304C">
              <w:rPr>
                <w:rFonts w:ascii="Times New Roman" w:hAnsi="Times New Roman"/>
                <w:sz w:val="16"/>
                <w:szCs w:val="16"/>
              </w:rPr>
              <w:t>112</w:t>
            </w:r>
          </w:p>
        </w:tc>
        <w:tc>
          <w:tcPr>
            <w:tcW w:w="992" w:type="dxa"/>
            <w:shd w:val="clear" w:color="auto" w:fill="FFFFFF"/>
          </w:tcPr>
          <w:p w:rsidR="00385835" w:rsidRPr="0056304C" w:rsidRDefault="00385835" w:rsidP="0056304C">
            <w:pPr>
              <w:spacing w:after="0"/>
              <w:jc w:val="center"/>
              <w:rPr>
                <w:rFonts w:ascii="Times New Roman" w:hAnsi="Times New Roman"/>
                <w:sz w:val="16"/>
                <w:szCs w:val="16"/>
              </w:rPr>
            </w:pPr>
            <w:r w:rsidRPr="0056304C">
              <w:rPr>
                <w:rFonts w:ascii="Times New Roman" w:hAnsi="Times New Roman"/>
                <w:sz w:val="16"/>
                <w:szCs w:val="16"/>
              </w:rPr>
              <w:t>Duomenys iš projektų</w:t>
            </w:r>
          </w:p>
        </w:tc>
        <w:tc>
          <w:tcPr>
            <w:tcW w:w="3828" w:type="dxa"/>
            <w:shd w:val="clear" w:color="auto" w:fill="FFFFFF"/>
          </w:tcPr>
          <w:p w:rsidR="00385835" w:rsidRPr="0056304C" w:rsidRDefault="00385835" w:rsidP="0056304C">
            <w:pPr>
              <w:spacing w:after="0" w:line="240" w:lineRule="auto"/>
              <w:rPr>
                <w:rFonts w:ascii="Times New Roman" w:hAnsi="Times New Roman"/>
                <w:sz w:val="16"/>
                <w:szCs w:val="16"/>
              </w:rPr>
            </w:pPr>
            <w:r w:rsidRPr="0056304C">
              <w:rPr>
                <w:rFonts w:ascii="Times New Roman" w:hAnsi="Times New Roman"/>
                <w:sz w:val="16"/>
                <w:szCs w:val="16"/>
              </w:rPr>
              <w:t>Privalomas rodiklis, kuris atspindi finansinę prioriteto įgyvendinimo pažangą.</w:t>
            </w:r>
          </w:p>
        </w:tc>
      </w:tr>
      <w:tr w:rsidR="00385835" w:rsidRPr="0056304C" w:rsidTr="00AC10CD">
        <w:tc>
          <w:tcPr>
            <w:tcW w:w="1277" w:type="dxa"/>
            <w:shd w:val="clear" w:color="auto" w:fill="FFFFFF"/>
            <w:vAlign w:val="center"/>
          </w:tcPr>
          <w:p w:rsidR="00385835" w:rsidRPr="0056304C" w:rsidRDefault="00385835" w:rsidP="0056304C">
            <w:pPr>
              <w:spacing w:after="0" w:line="240" w:lineRule="auto"/>
              <w:rPr>
                <w:rFonts w:ascii="Times New Roman" w:hAnsi="Times New Roman"/>
                <w:sz w:val="16"/>
                <w:szCs w:val="16"/>
              </w:rPr>
            </w:pPr>
            <w:r w:rsidRPr="0056304C">
              <w:rPr>
                <w:rFonts w:ascii="Times New Roman" w:hAnsi="Times New Roman"/>
                <w:sz w:val="16"/>
                <w:szCs w:val="16"/>
              </w:rPr>
              <w:t>Produkto rodiklis</w:t>
            </w:r>
          </w:p>
        </w:tc>
        <w:tc>
          <w:tcPr>
            <w:tcW w:w="2834" w:type="dxa"/>
            <w:shd w:val="clear" w:color="auto" w:fill="FFFFFF"/>
            <w:vAlign w:val="center"/>
          </w:tcPr>
          <w:p w:rsidR="00385835" w:rsidRPr="0056304C" w:rsidRDefault="00385835" w:rsidP="0056304C">
            <w:pPr>
              <w:spacing w:after="0" w:line="240" w:lineRule="auto"/>
              <w:rPr>
                <w:rFonts w:ascii="Times New Roman" w:hAnsi="Times New Roman"/>
                <w:sz w:val="16"/>
                <w:szCs w:val="16"/>
              </w:rPr>
            </w:pPr>
            <w:r w:rsidRPr="0056304C">
              <w:rPr>
                <w:rFonts w:ascii="Times New Roman" w:eastAsia="AngsanaUPC" w:hAnsi="Times New Roman"/>
                <w:bCs/>
                <w:iCs/>
                <w:sz w:val="16"/>
                <w:szCs w:val="16"/>
                <w:lang w:eastAsia="lt-LT"/>
              </w:rPr>
              <w:t>Viešąsias sveikatos priežiūros paslaugas teikiančių įstaigų, kuriose pagerinta paslaugų teikimo infrastruktūra, skaičius</w:t>
            </w:r>
            <w:r w:rsidRPr="0056304C">
              <w:rPr>
                <w:rFonts w:ascii="Times New Roman" w:hAnsi="Times New Roman"/>
                <w:sz w:val="16"/>
                <w:szCs w:val="16"/>
              </w:rPr>
              <w:t xml:space="preserve"> </w:t>
            </w:r>
          </w:p>
        </w:tc>
        <w:tc>
          <w:tcPr>
            <w:tcW w:w="1134" w:type="dxa"/>
            <w:shd w:val="clear" w:color="auto" w:fill="FFFFFF"/>
          </w:tcPr>
          <w:p w:rsidR="00385835" w:rsidRPr="0056304C" w:rsidRDefault="006827C9" w:rsidP="0056304C">
            <w:pPr>
              <w:spacing w:after="0" w:line="240" w:lineRule="auto"/>
              <w:jc w:val="center"/>
              <w:rPr>
                <w:rFonts w:ascii="Times New Roman" w:hAnsi="Times New Roman"/>
                <w:bCs/>
                <w:sz w:val="16"/>
                <w:szCs w:val="16"/>
              </w:rPr>
            </w:pPr>
            <w:r w:rsidRPr="0056304C">
              <w:rPr>
                <w:rFonts w:ascii="Times New Roman" w:hAnsi="Times New Roman"/>
                <w:bCs/>
                <w:sz w:val="16"/>
                <w:szCs w:val="16"/>
              </w:rPr>
              <w:t>Skaičius</w:t>
            </w:r>
          </w:p>
        </w:tc>
        <w:tc>
          <w:tcPr>
            <w:tcW w:w="851" w:type="dxa"/>
            <w:shd w:val="clear" w:color="auto" w:fill="FFFFFF"/>
          </w:tcPr>
          <w:p w:rsidR="00385835" w:rsidRPr="0056304C" w:rsidRDefault="00385835" w:rsidP="0056304C">
            <w:pPr>
              <w:spacing w:after="0" w:line="240" w:lineRule="auto"/>
              <w:jc w:val="center"/>
              <w:rPr>
                <w:rFonts w:ascii="Times New Roman" w:hAnsi="Times New Roman"/>
                <w:bCs/>
                <w:sz w:val="16"/>
                <w:szCs w:val="16"/>
              </w:rPr>
            </w:pPr>
            <w:r w:rsidRPr="0056304C">
              <w:rPr>
                <w:rFonts w:ascii="Times New Roman" w:hAnsi="Times New Roman"/>
                <w:bCs/>
                <w:sz w:val="16"/>
                <w:szCs w:val="16"/>
              </w:rPr>
              <w:t>ERPF</w:t>
            </w:r>
          </w:p>
        </w:tc>
        <w:tc>
          <w:tcPr>
            <w:tcW w:w="850" w:type="dxa"/>
            <w:shd w:val="clear" w:color="auto" w:fill="FFFFFF"/>
          </w:tcPr>
          <w:p w:rsidR="00385835" w:rsidRPr="0056304C" w:rsidRDefault="00385835" w:rsidP="0056304C">
            <w:pPr>
              <w:spacing w:after="0" w:line="240" w:lineRule="auto"/>
              <w:jc w:val="center"/>
              <w:rPr>
                <w:rFonts w:ascii="Times New Roman" w:hAnsi="Times New Roman"/>
                <w:bCs/>
                <w:sz w:val="16"/>
                <w:szCs w:val="16"/>
              </w:rPr>
            </w:pPr>
            <w:r w:rsidRPr="0056304C">
              <w:rPr>
                <w:rFonts w:ascii="Times New Roman" w:hAnsi="Times New Roman"/>
                <w:sz w:val="16"/>
                <w:szCs w:val="16"/>
              </w:rPr>
              <w:t>Mažiau išsivystęs</w:t>
            </w:r>
          </w:p>
        </w:tc>
        <w:tc>
          <w:tcPr>
            <w:tcW w:w="1134" w:type="dxa"/>
            <w:shd w:val="clear" w:color="auto" w:fill="FFFFFF"/>
          </w:tcPr>
          <w:p w:rsidR="00385835" w:rsidRPr="0056304C" w:rsidRDefault="00385835" w:rsidP="0056304C">
            <w:pPr>
              <w:spacing w:after="0" w:line="240" w:lineRule="auto"/>
              <w:jc w:val="center"/>
              <w:rPr>
                <w:rFonts w:ascii="Times New Roman" w:hAnsi="Times New Roman"/>
                <w:sz w:val="16"/>
                <w:szCs w:val="16"/>
              </w:rPr>
            </w:pPr>
            <w:r w:rsidRPr="0056304C">
              <w:rPr>
                <w:rFonts w:ascii="Times New Roman" w:hAnsi="Times New Roman"/>
                <w:sz w:val="16"/>
                <w:szCs w:val="16"/>
              </w:rPr>
              <w:t>40</w:t>
            </w:r>
          </w:p>
        </w:tc>
        <w:tc>
          <w:tcPr>
            <w:tcW w:w="1134" w:type="dxa"/>
            <w:shd w:val="clear" w:color="auto" w:fill="FFFFFF"/>
          </w:tcPr>
          <w:p w:rsidR="00385835" w:rsidRPr="0056304C" w:rsidRDefault="00385835" w:rsidP="0056304C">
            <w:pPr>
              <w:spacing w:after="0" w:line="240" w:lineRule="auto"/>
              <w:jc w:val="center"/>
              <w:rPr>
                <w:rFonts w:ascii="Times New Roman" w:hAnsi="Times New Roman"/>
                <w:sz w:val="16"/>
                <w:szCs w:val="16"/>
              </w:rPr>
            </w:pPr>
            <w:r w:rsidRPr="0056304C">
              <w:rPr>
                <w:rFonts w:ascii="Times New Roman" w:hAnsi="Times New Roman"/>
                <w:sz w:val="16"/>
                <w:szCs w:val="16"/>
              </w:rPr>
              <w:t>2</w:t>
            </w:r>
            <w:r w:rsidR="00CB0078" w:rsidRPr="0056304C">
              <w:rPr>
                <w:rFonts w:ascii="Times New Roman" w:hAnsi="Times New Roman"/>
                <w:sz w:val="16"/>
                <w:szCs w:val="16"/>
              </w:rPr>
              <w:t>40</w:t>
            </w:r>
          </w:p>
        </w:tc>
        <w:tc>
          <w:tcPr>
            <w:tcW w:w="992" w:type="dxa"/>
            <w:shd w:val="clear" w:color="auto" w:fill="FFFFFF"/>
          </w:tcPr>
          <w:p w:rsidR="00385835" w:rsidRPr="0056304C" w:rsidRDefault="00385835" w:rsidP="0056304C">
            <w:pPr>
              <w:spacing w:after="0" w:line="240" w:lineRule="auto"/>
              <w:jc w:val="center"/>
              <w:rPr>
                <w:rFonts w:ascii="Times New Roman" w:hAnsi="Times New Roman"/>
                <w:sz w:val="16"/>
                <w:szCs w:val="16"/>
              </w:rPr>
            </w:pPr>
            <w:r w:rsidRPr="0056304C">
              <w:rPr>
                <w:rFonts w:ascii="Times New Roman" w:hAnsi="Times New Roman"/>
                <w:sz w:val="16"/>
                <w:szCs w:val="16"/>
              </w:rPr>
              <w:t>Duomenys iš projektų</w:t>
            </w:r>
          </w:p>
        </w:tc>
        <w:tc>
          <w:tcPr>
            <w:tcW w:w="3828" w:type="dxa"/>
            <w:shd w:val="clear" w:color="auto" w:fill="FFFFFF"/>
          </w:tcPr>
          <w:p w:rsidR="00385835" w:rsidRPr="0056304C" w:rsidRDefault="00385835" w:rsidP="0056304C">
            <w:pPr>
              <w:spacing w:after="0" w:line="240" w:lineRule="auto"/>
              <w:rPr>
                <w:rFonts w:ascii="Times New Roman" w:hAnsi="Times New Roman"/>
                <w:sz w:val="16"/>
                <w:szCs w:val="16"/>
              </w:rPr>
            </w:pPr>
            <w:r w:rsidRPr="0056304C">
              <w:rPr>
                <w:rFonts w:ascii="Times New Roman" w:hAnsi="Times New Roman"/>
                <w:sz w:val="16"/>
                <w:szCs w:val="16"/>
              </w:rPr>
              <w:t>Rodiklis atspindi prioriteto įgyvendinimo eigą, nes jo pasiekimui skirta 5</w:t>
            </w:r>
            <w:r w:rsidR="00CB0078" w:rsidRPr="0056304C">
              <w:rPr>
                <w:rFonts w:ascii="Times New Roman" w:hAnsi="Times New Roman"/>
                <w:sz w:val="16"/>
                <w:szCs w:val="16"/>
              </w:rPr>
              <w:t>8</w:t>
            </w:r>
            <w:r w:rsidRPr="0056304C">
              <w:rPr>
                <w:rFonts w:ascii="Times New Roman" w:hAnsi="Times New Roman"/>
                <w:sz w:val="16"/>
                <w:szCs w:val="16"/>
              </w:rPr>
              <w:t xml:space="preserve"> proc. šio prioriteto įgyvendinimui skirtų ERPF lėšų.</w:t>
            </w:r>
          </w:p>
        </w:tc>
      </w:tr>
      <w:tr w:rsidR="00385835" w:rsidRPr="0056304C" w:rsidTr="00AC10CD">
        <w:tc>
          <w:tcPr>
            <w:tcW w:w="1277" w:type="dxa"/>
            <w:shd w:val="clear" w:color="auto" w:fill="FFFFFF"/>
            <w:vAlign w:val="center"/>
          </w:tcPr>
          <w:p w:rsidR="00385835" w:rsidRPr="0056304C" w:rsidRDefault="00385835" w:rsidP="0056304C">
            <w:pPr>
              <w:spacing w:after="0" w:line="240" w:lineRule="auto"/>
              <w:rPr>
                <w:rFonts w:ascii="Times New Roman" w:hAnsi="Times New Roman"/>
                <w:sz w:val="16"/>
                <w:szCs w:val="16"/>
              </w:rPr>
            </w:pPr>
            <w:r w:rsidRPr="0056304C">
              <w:rPr>
                <w:rFonts w:ascii="Times New Roman" w:hAnsi="Times New Roman"/>
                <w:sz w:val="16"/>
                <w:szCs w:val="16"/>
              </w:rPr>
              <w:t>Finansinis</w:t>
            </w:r>
            <w:r w:rsidRPr="0056304C">
              <w:rPr>
                <w:rFonts w:ascii="Times New Roman" w:eastAsia="AngsanaUPC" w:hAnsi="Times New Roman"/>
                <w:bCs/>
                <w:iCs/>
                <w:sz w:val="16"/>
                <w:szCs w:val="16"/>
              </w:rPr>
              <w:t xml:space="preserve"> </w:t>
            </w:r>
            <w:r w:rsidRPr="0056304C">
              <w:rPr>
                <w:rFonts w:ascii="Times New Roman" w:hAnsi="Times New Roman"/>
                <w:sz w:val="16"/>
                <w:szCs w:val="16"/>
              </w:rPr>
              <w:t>rodiklis</w:t>
            </w:r>
          </w:p>
        </w:tc>
        <w:tc>
          <w:tcPr>
            <w:tcW w:w="2834" w:type="dxa"/>
            <w:shd w:val="clear" w:color="auto" w:fill="FFFFFF"/>
            <w:vAlign w:val="center"/>
          </w:tcPr>
          <w:p w:rsidR="00385835" w:rsidRPr="0056304C" w:rsidRDefault="00385835" w:rsidP="0056304C">
            <w:pPr>
              <w:spacing w:after="0" w:line="240" w:lineRule="auto"/>
              <w:rPr>
                <w:rFonts w:ascii="Times New Roman" w:hAnsi="Times New Roman"/>
                <w:i/>
                <w:sz w:val="16"/>
                <w:szCs w:val="16"/>
              </w:rPr>
            </w:pPr>
            <w:r w:rsidRPr="0056304C">
              <w:rPr>
                <w:rFonts w:ascii="Times New Roman" w:hAnsi="Times New Roman"/>
                <w:color w:val="000000"/>
                <w:sz w:val="16"/>
                <w:szCs w:val="16"/>
              </w:rPr>
              <w:t>Bendra tinkamų finansuoti išlaidų suma</w:t>
            </w:r>
            <w:r w:rsidR="004C4C32" w:rsidRPr="0056304C">
              <w:rPr>
                <w:rFonts w:ascii="Times New Roman" w:hAnsi="Times New Roman"/>
                <w:color w:val="000000"/>
                <w:sz w:val="16"/>
                <w:szCs w:val="16"/>
              </w:rPr>
              <w:t>,</w:t>
            </w:r>
            <w:r w:rsidRPr="0056304C">
              <w:rPr>
                <w:rFonts w:ascii="Times New Roman" w:hAnsi="Times New Roman"/>
                <w:color w:val="000000"/>
                <w:sz w:val="16"/>
                <w:szCs w:val="16"/>
              </w:rPr>
              <w:t xml:space="preserve"> pripažinta tinkama deklaruoti EK</w:t>
            </w:r>
          </w:p>
        </w:tc>
        <w:tc>
          <w:tcPr>
            <w:tcW w:w="1134" w:type="dxa"/>
            <w:shd w:val="clear" w:color="auto" w:fill="FFFFFF"/>
          </w:tcPr>
          <w:p w:rsidR="00385835" w:rsidRPr="0056304C" w:rsidRDefault="00385835" w:rsidP="0056304C">
            <w:pPr>
              <w:spacing w:after="0" w:line="240" w:lineRule="auto"/>
              <w:jc w:val="center"/>
              <w:rPr>
                <w:rFonts w:ascii="Times New Roman" w:hAnsi="Times New Roman"/>
                <w:i/>
                <w:sz w:val="16"/>
                <w:szCs w:val="16"/>
              </w:rPr>
            </w:pPr>
            <w:r w:rsidRPr="0056304C">
              <w:rPr>
                <w:rFonts w:ascii="Times New Roman" w:hAnsi="Times New Roman"/>
                <w:sz w:val="16"/>
                <w:szCs w:val="16"/>
              </w:rPr>
              <w:t>Eurai</w:t>
            </w:r>
          </w:p>
        </w:tc>
        <w:tc>
          <w:tcPr>
            <w:tcW w:w="851" w:type="dxa"/>
            <w:shd w:val="clear" w:color="auto" w:fill="FFFFFF"/>
          </w:tcPr>
          <w:p w:rsidR="00385835" w:rsidRPr="0056304C" w:rsidRDefault="00385835" w:rsidP="0056304C">
            <w:pPr>
              <w:spacing w:after="0" w:line="240" w:lineRule="auto"/>
              <w:jc w:val="center"/>
              <w:rPr>
                <w:rFonts w:ascii="Times New Roman" w:hAnsi="Times New Roman"/>
                <w:sz w:val="16"/>
                <w:szCs w:val="16"/>
              </w:rPr>
            </w:pPr>
            <w:r w:rsidRPr="0056304C">
              <w:rPr>
                <w:rFonts w:ascii="Times New Roman" w:hAnsi="Times New Roman"/>
                <w:sz w:val="16"/>
                <w:szCs w:val="16"/>
              </w:rPr>
              <w:t>ESF</w:t>
            </w:r>
          </w:p>
        </w:tc>
        <w:tc>
          <w:tcPr>
            <w:tcW w:w="850" w:type="dxa"/>
            <w:shd w:val="clear" w:color="auto" w:fill="FFFFFF"/>
          </w:tcPr>
          <w:p w:rsidR="00385835" w:rsidRPr="0056304C" w:rsidRDefault="00385835" w:rsidP="0056304C">
            <w:pPr>
              <w:spacing w:after="0" w:line="240" w:lineRule="auto"/>
              <w:jc w:val="center"/>
              <w:rPr>
                <w:rFonts w:ascii="Times New Roman" w:hAnsi="Times New Roman"/>
                <w:sz w:val="16"/>
                <w:szCs w:val="16"/>
              </w:rPr>
            </w:pPr>
            <w:r w:rsidRPr="0056304C">
              <w:rPr>
                <w:rFonts w:ascii="Times New Roman" w:hAnsi="Times New Roman"/>
                <w:sz w:val="16"/>
                <w:szCs w:val="16"/>
              </w:rPr>
              <w:t>Mažiau išsivystęs</w:t>
            </w:r>
          </w:p>
        </w:tc>
        <w:tc>
          <w:tcPr>
            <w:tcW w:w="1134" w:type="dxa"/>
            <w:shd w:val="clear" w:color="auto" w:fill="FFFFFF"/>
          </w:tcPr>
          <w:p w:rsidR="00D828BD" w:rsidRPr="0056304C" w:rsidRDefault="00D828BD" w:rsidP="0056304C">
            <w:pPr>
              <w:spacing w:after="0"/>
              <w:jc w:val="center"/>
              <w:rPr>
                <w:rFonts w:ascii="Times New Roman" w:hAnsi="Times New Roman"/>
                <w:bCs/>
                <w:color w:val="000000"/>
                <w:sz w:val="16"/>
                <w:szCs w:val="16"/>
              </w:rPr>
            </w:pPr>
            <w:r w:rsidRPr="0056304C">
              <w:rPr>
                <w:rFonts w:ascii="Times New Roman" w:hAnsi="Times New Roman"/>
                <w:bCs/>
                <w:color w:val="000000"/>
                <w:sz w:val="16"/>
                <w:szCs w:val="16"/>
              </w:rPr>
              <w:t>67.496.698</w:t>
            </w:r>
          </w:p>
        </w:tc>
        <w:tc>
          <w:tcPr>
            <w:tcW w:w="1134" w:type="dxa"/>
            <w:shd w:val="clear" w:color="auto" w:fill="FFFFFF"/>
          </w:tcPr>
          <w:p w:rsidR="00385835" w:rsidRPr="0056304C" w:rsidRDefault="00AC0CDE" w:rsidP="0056304C">
            <w:pPr>
              <w:spacing w:after="0" w:line="240" w:lineRule="auto"/>
              <w:jc w:val="center"/>
              <w:rPr>
                <w:rFonts w:ascii="Times New Roman" w:hAnsi="Times New Roman"/>
                <w:sz w:val="16"/>
                <w:szCs w:val="16"/>
              </w:rPr>
            </w:pPr>
            <w:r w:rsidRPr="0056304C">
              <w:rPr>
                <w:rFonts w:ascii="Times New Roman" w:hAnsi="Times New Roman"/>
                <w:sz w:val="16"/>
                <w:szCs w:val="16"/>
              </w:rPr>
              <w:t>2</w:t>
            </w:r>
            <w:r w:rsidR="00D37DF5" w:rsidRPr="0056304C">
              <w:rPr>
                <w:rFonts w:ascii="Times New Roman" w:hAnsi="Times New Roman"/>
                <w:sz w:val="16"/>
                <w:szCs w:val="16"/>
              </w:rPr>
              <w:t>8</w:t>
            </w:r>
            <w:r w:rsidR="00CB0078" w:rsidRPr="0056304C">
              <w:rPr>
                <w:rFonts w:ascii="Times New Roman" w:hAnsi="Times New Roman"/>
                <w:sz w:val="16"/>
                <w:szCs w:val="16"/>
              </w:rPr>
              <w:t>3</w:t>
            </w:r>
            <w:r w:rsidR="009348A3" w:rsidRPr="0056304C">
              <w:rPr>
                <w:rFonts w:ascii="Times New Roman" w:hAnsi="Times New Roman"/>
                <w:sz w:val="16"/>
                <w:szCs w:val="16"/>
              </w:rPr>
              <w:t>.</w:t>
            </w:r>
            <w:r w:rsidR="00D37DF5" w:rsidRPr="0056304C">
              <w:rPr>
                <w:rFonts w:ascii="Times New Roman" w:hAnsi="Times New Roman"/>
                <w:sz w:val="16"/>
                <w:szCs w:val="16"/>
              </w:rPr>
              <w:t>5</w:t>
            </w:r>
            <w:r w:rsidR="00CB0078" w:rsidRPr="0056304C">
              <w:rPr>
                <w:rFonts w:ascii="Times New Roman" w:hAnsi="Times New Roman"/>
                <w:sz w:val="16"/>
                <w:szCs w:val="16"/>
              </w:rPr>
              <w:t>93</w:t>
            </w:r>
            <w:r w:rsidR="009348A3" w:rsidRPr="0056304C">
              <w:rPr>
                <w:rFonts w:ascii="Times New Roman" w:hAnsi="Times New Roman"/>
                <w:sz w:val="16"/>
                <w:szCs w:val="16"/>
              </w:rPr>
              <w:t>.</w:t>
            </w:r>
            <w:r w:rsidR="00CB0078" w:rsidRPr="0056304C">
              <w:rPr>
                <w:rFonts w:ascii="Times New Roman" w:hAnsi="Times New Roman"/>
                <w:sz w:val="16"/>
                <w:szCs w:val="16"/>
              </w:rPr>
              <w:t>396</w:t>
            </w:r>
          </w:p>
        </w:tc>
        <w:tc>
          <w:tcPr>
            <w:tcW w:w="992" w:type="dxa"/>
            <w:shd w:val="clear" w:color="auto" w:fill="FFFFFF"/>
          </w:tcPr>
          <w:p w:rsidR="00385835" w:rsidRPr="0056304C" w:rsidRDefault="00385835" w:rsidP="0056304C">
            <w:pPr>
              <w:spacing w:after="0"/>
              <w:jc w:val="center"/>
              <w:rPr>
                <w:rFonts w:ascii="Times New Roman" w:hAnsi="Times New Roman"/>
                <w:sz w:val="16"/>
                <w:szCs w:val="16"/>
              </w:rPr>
            </w:pPr>
            <w:r w:rsidRPr="0056304C">
              <w:rPr>
                <w:rFonts w:ascii="Times New Roman" w:hAnsi="Times New Roman"/>
                <w:sz w:val="16"/>
                <w:szCs w:val="16"/>
              </w:rPr>
              <w:t>Duomenys iš projektų</w:t>
            </w:r>
          </w:p>
        </w:tc>
        <w:tc>
          <w:tcPr>
            <w:tcW w:w="3828" w:type="dxa"/>
            <w:shd w:val="clear" w:color="auto" w:fill="FFFFFF"/>
          </w:tcPr>
          <w:p w:rsidR="00385835" w:rsidRPr="0056304C" w:rsidRDefault="00385835" w:rsidP="0056304C">
            <w:pPr>
              <w:spacing w:after="0" w:line="240" w:lineRule="auto"/>
              <w:rPr>
                <w:rFonts w:ascii="Times New Roman" w:hAnsi="Times New Roman"/>
                <w:sz w:val="16"/>
                <w:szCs w:val="16"/>
              </w:rPr>
            </w:pPr>
            <w:r w:rsidRPr="0056304C">
              <w:rPr>
                <w:rFonts w:ascii="Times New Roman" w:hAnsi="Times New Roman"/>
                <w:sz w:val="16"/>
                <w:szCs w:val="16"/>
              </w:rPr>
              <w:t>Privalomas rodiklis, kuris atspindi finansinę prioriteto įgyvendinimo pažangą.</w:t>
            </w:r>
          </w:p>
        </w:tc>
      </w:tr>
      <w:tr w:rsidR="00385835" w:rsidRPr="0056304C" w:rsidTr="00AC10CD">
        <w:tc>
          <w:tcPr>
            <w:tcW w:w="1277" w:type="dxa"/>
            <w:shd w:val="clear" w:color="auto" w:fill="auto"/>
            <w:vAlign w:val="center"/>
          </w:tcPr>
          <w:p w:rsidR="00385835" w:rsidRPr="0056304C" w:rsidRDefault="00385835" w:rsidP="0056304C">
            <w:pPr>
              <w:spacing w:after="0" w:line="240" w:lineRule="auto"/>
              <w:rPr>
                <w:rFonts w:ascii="Times New Roman" w:hAnsi="Times New Roman"/>
                <w:sz w:val="16"/>
                <w:szCs w:val="16"/>
              </w:rPr>
            </w:pPr>
            <w:r w:rsidRPr="0056304C">
              <w:rPr>
                <w:rFonts w:ascii="Times New Roman" w:hAnsi="Times New Roman"/>
                <w:sz w:val="16"/>
                <w:szCs w:val="16"/>
              </w:rPr>
              <w:t>Produkto rodiklis</w:t>
            </w:r>
          </w:p>
        </w:tc>
        <w:tc>
          <w:tcPr>
            <w:tcW w:w="2834" w:type="dxa"/>
            <w:shd w:val="clear" w:color="auto" w:fill="auto"/>
            <w:vAlign w:val="center"/>
          </w:tcPr>
          <w:p w:rsidR="00385835" w:rsidRPr="0056304C" w:rsidRDefault="00E63296" w:rsidP="0056304C">
            <w:pPr>
              <w:spacing w:after="0" w:line="240" w:lineRule="auto"/>
              <w:rPr>
                <w:rFonts w:ascii="Times New Roman" w:hAnsi="Times New Roman"/>
                <w:sz w:val="16"/>
                <w:szCs w:val="16"/>
              </w:rPr>
            </w:pPr>
            <w:r w:rsidRPr="0056304C">
              <w:rPr>
                <w:rFonts w:ascii="Times New Roman" w:eastAsia="Times New Roman" w:hAnsi="Times New Roman"/>
                <w:bCs/>
                <w:color w:val="000000"/>
                <w:sz w:val="16"/>
                <w:szCs w:val="16"/>
                <w:lang w:eastAsia="lt-LT"/>
              </w:rPr>
              <w:t>ESF s</w:t>
            </w:r>
            <w:r w:rsidR="00385835" w:rsidRPr="0056304C">
              <w:rPr>
                <w:rFonts w:ascii="Times New Roman" w:eastAsia="Times New Roman" w:hAnsi="Times New Roman"/>
                <w:bCs/>
                <w:color w:val="000000"/>
                <w:sz w:val="16"/>
                <w:szCs w:val="16"/>
                <w:lang w:eastAsia="lt-LT"/>
              </w:rPr>
              <w:t>ubsidijas gavę socialinių įmonių darbuotojai, priklausantys tikslinėms grupėms</w:t>
            </w:r>
          </w:p>
        </w:tc>
        <w:tc>
          <w:tcPr>
            <w:tcW w:w="1134" w:type="dxa"/>
            <w:shd w:val="clear" w:color="auto" w:fill="auto"/>
          </w:tcPr>
          <w:p w:rsidR="00385835" w:rsidRPr="0056304C" w:rsidRDefault="00385835" w:rsidP="0056304C">
            <w:pPr>
              <w:spacing w:after="0" w:line="240" w:lineRule="auto"/>
              <w:jc w:val="center"/>
              <w:rPr>
                <w:rFonts w:ascii="Times New Roman" w:hAnsi="Times New Roman"/>
                <w:sz w:val="16"/>
                <w:szCs w:val="16"/>
              </w:rPr>
            </w:pPr>
            <w:r w:rsidRPr="0056304C">
              <w:rPr>
                <w:rFonts w:ascii="Times New Roman" w:hAnsi="Times New Roman"/>
                <w:sz w:val="16"/>
                <w:szCs w:val="16"/>
              </w:rPr>
              <w:t>Asmenys</w:t>
            </w:r>
          </w:p>
        </w:tc>
        <w:tc>
          <w:tcPr>
            <w:tcW w:w="851" w:type="dxa"/>
            <w:shd w:val="clear" w:color="auto" w:fill="auto"/>
          </w:tcPr>
          <w:p w:rsidR="00385835" w:rsidRPr="0056304C" w:rsidRDefault="00385835" w:rsidP="0056304C">
            <w:pPr>
              <w:spacing w:after="0" w:line="240" w:lineRule="auto"/>
              <w:jc w:val="center"/>
              <w:rPr>
                <w:rFonts w:ascii="Times New Roman" w:hAnsi="Times New Roman"/>
                <w:sz w:val="16"/>
                <w:szCs w:val="16"/>
              </w:rPr>
            </w:pPr>
            <w:r w:rsidRPr="0056304C">
              <w:rPr>
                <w:rFonts w:ascii="Times New Roman" w:hAnsi="Times New Roman"/>
                <w:sz w:val="16"/>
                <w:szCs w:val="16"/>
              </w:rPr>
              <w:t>ESF</w:t>
            </w:r>
          </w:p>
        </w:tc>
        <w:tc>
          <w:tcPr>
            <w:tcW w:w="850" w:type="dxa"/>
            <w:shd w:val="clear" w:color="auto" w:fill="auto"/>
          </w:tcPr>
          <w:p w:rsidR="00385835" w:rsidRPr="0056304C" w:rsidRDefault="00385835" w:rsidP="0056304C">
            <w:pPr>
              <w:spacing w:after="0" w:line="240" w:lineRule="auto"/>
              <w:jc w:val="center"/>
              <w:rPr>
                <w:rFonts w:ascii="Times New Roman" w:hAnsi="Times New Roman"/>
                <w:sz w:val="16"/>
                <w:szCs w:val="16"/>
              </w:rPr>
            </w:pPr>
            <w:r w:rsidRPr="0056304C">
              <w:rPr>
                <w:rFonts w:ascii="Times New Roman" w:hAnsi="Times New Roman"/>
                <w:sz w:val="16"/>
                <w:szCs w:val="16"/>
              </w:rPr>
              <w:t>Mažiau išsivystęs</w:t>
            </w:r>
          </w:p>
        </w:tc>
        <w:tc>
          <w:tcPr>
            <w:tcW w:w="1134" w:type="dxa"/>
            <w:shd w:val="clear" w:color="auto" w:fill="auto"/>
          </w:tcPr>
          <w:p w:rsidR="00385835" w:rsidRPr="0056304C" w:rsidRDefault="00385835" w:rsidP="0056304C">
            <w:pPr>
              <w:spacing w:after="0" w:line="240" w:lineRule="auto"/>
              <w:jc w:val="center"/>
              <w:rPr>
                <w:rFonts w:ascii="Times New Roman" w:hAnsi="Times New Roman"/>
                <w:sz w:val="16"/>
                <w:szCs w:val="16"/>
              </w:rPr>
            </w:pPr>
            <w:r w:rsidRPr="0056304C">
              <w:rPr>
                <w:rFonts w:ascii="Times New Roman" w:hAnsi="Times New Roman"/>
                <w:sz w:val="16"/>
                <w:szCs w:val="16"/>
              </w:rPr>
              <w:t>4</w:t>
            </w:r>
            <w:r w:rsidR="009348A3" w:rsidRPr="0056304C">
              <w:rPr>
                <w:rFonts w:ascii="Times New Roman" w:hAnsi="Times New Roman"/>
                <w:sz w:val="16"/>
                <w:szCs w:val="16"/>
              </w:rPr>
              <w:t>.</w:t>
            </w:r>
            <w:r w:rsidRPr="0056304C">
              <w:rPr>
                <w:rFonts w:ascii="Times New Roman" w:hAnsi="Times New Roman"/>
                <w:sz w:val="16"/>
                <w:szCs w:val="16"/>
              </w:rPr>
              <w:t>400</w:t>
            </w:r>
          </w:p>
        </w:tc>
        <w:tc>
          <w:tcPr>
            <w:tcW w:w="1134" w:type="dxa"/>
            <w:shd w:val="clear" w:color="auto" w:fill="auto"/>
          </w:tcPr>
          <w:p w:rsidR="00385835" w:rsidRPr="0056304C" w:rsidRDefault="00385835" w:rsidP="0056304C">
            <w:pPr>
              <w:spacing w:after="0" w:line="240" w:lineRule="auto"/>
              <w:jc w:val="center"/>
              <w:rPr>
                <w:rFonts w:ascii="Times New Roman" w:hAnsi="Times New Roman"/>
                <w:sz w:val="16"/>
                <w:szCs w:val="16"/>
              </w:rPr>
            </w:pPr>
            <w:r w:rsidRPr="0056304C">
              <w:rPr>
                <w:rFonts w:ascii="Times New Roman" w:hAnsi="Times New Roman"/>
                <w:sz w:val="16"/>
                <w:szCs w:val="16"/>
              </w:rPr>
              <w:t>5</w:t>
            </w:r>
            <w:r w:rsidR="009348A3" w:rsidRPr="0056304C">
              <w:rPr>
                <w:rFonts w:ascii="Times New Roman" w:hAnsi="Times New Roman"/>
                <w:sz w:val="16"/>
                <w:szCs w:val="16"/>
              </w:rPr>
              <w:t>.</w:t>
            </w:r>
            <w:r w:rsidRPr="0056304C">
              <w:rPr>
                <w:rFonts w:ascii="Times New Roman" w:hAnsi="Times New Roman"/>
                <w:sz w:val="16"/>
                <w:szCs w:val="16"/>
              </w:rPr>
              <w:t>500</w:t>
            </w:r>
          </w:p>
        </w:tc>
        <w:tc>
          <w:tcPr>
            <w:tcW w:w="992" w:type="dxa"/>
          </w:tcPr>
          <w:p w:rsidR="00385835" w:rsidRPr="0056304C" w:rsidRDefault="00385835" w:rsidP="0056304C">
            <w:pPr>
              <w:spacing w:after="0" w:line="240" w:lineRule="auto"/>
              <w:jc w:val="center"/>
              <w:rPr>
                <w:rFonts w:ascii="Times New Roman" w:hAnsi="Times New Roman"/>
                <w:sz w:val="16"/>
                <w:szCs w:val="16"/>
              </w:rPr>
            </w:pPr>
            <w:r w:rsidRPr="0056304C">
              <w:rPr>
                <w:rFonts w:ascii="Times New Roman" w:hAnsi="Times New Roman"/>
                <w:sz w:val="16"/>
                <w:szCs w:val="16"/>
              </w:rPr>
              <w:t>Duomenys iš projektų</w:t>
            </w:r>
          </w:p>
        </w:tc>
        <w:tc>
          <w:tcPr>
            <w:tcW w:w="3828" w:type="dxa"/>
            <w:shd w:val="clear" w:color="auto" w:fill="auto"/>
          </w:tcPr>
          <w:p w:rsidR="00385835" w:rsidRPr="0056304C" w:rsidRDefault="00385835" w:rsidP="0056304C">
            <w:pPr>
              <w:spacing w:after="0" w:line="240" w:lineRule="auto"/>
              <w:rPr>
                <w:rFonts w:ascii="Times New Roman" w:hAnsi="Times New Roman"/>
                <w:sz w:val="16"/>
                <w:szCs w:val="16"/>
              </w:rPr>
            </w:pPr>
            <w:r w:rsidRPr="0056304C">
              <w:rPr>
                <w:rFonts w:ascii="Times New Roman" w:hAnsi="Times New Roman"/>
                <w:sz w:val="16"/>
                <w:szCs w:val="16"/>
              </w:rPr>
              <w:t>Rodiklis atspindi prioriteto įgyvendinimo eigą, nes jo pasiekimui skirta 14 proc. šio prioriteto įgyvendinimui skirtų ESF lėšų.</w:t>
            </w:r>
          </w:p>
        </w:tc>
      </w:tr>
      <w:tr w:rsidR="00385835" w:rsidRPr="0056304C" w:rsidTr="00AC10CD">
        <w:tc>
          <w:tcPr>
            <w:tcW w:w="1277" w:type="dxa"/>
            <w:shd w:val="clear" w:color="auto" w:fill="auto"/>
            <w:vAlign w:val="center"/>
          </w:tcPr>
          <w:p w:rsidR="00385835" w:rsidRPr="0056304C" w:rsidRDefault="00385835" w:rsidP="0056304C">
            <w:pPr>
              <w:spacing w:after="0" w:line="240" w:lineRule="auto"/>
              <w:rPr>
                <w:rFonts w:ascii="Times New Roman" w:hAnsi="Times New Roman"/>
                <w:sz w:val="16"/>
                <w:szCs w:val="16"/>
              </w:rPr>
            </w:pPr>
            <w:r w:rsidRPr="0056304C">
              <w:rPr>
                <w:rFonts w:ascii="Times New Roman" w:hAnsi="Times New Roman"/>
                <w:sz w:val="16"/>
                <w:szCs w:val="16"/>
              </w:rPr>
              <w:t>Produkto rodiklis</w:t>
            </w:r>
          </w:p>
        </w:tc>
        <w:tc>
          <w:tcPr>
            <w:tcW w:w="2834" w:type="dxa"/>
            <w:shd w:val="clear" w:color="auto" w:fill="auto"/>
            <w:vAlign w:val="center"/>
          </w:tcPr>
          <w:p w:rsidR="00385835" w:rsidRPr="0056304C" w:rsidRDefault="00385835" w:rsidP="0056304C">
            <w:pPr>
              <w:spacing w:after="0" w:line="240" w:lineRule="auto"/>
              <w:rPr>
                <w:rFonts w:ascii="Times New Roman" w:eastAsia="Times New Roman" w:hAnsi="Times New Roman"/>
                <w:bCs/>
                <w:color w:val="000000"/>
                <w:sz w:val="16"/>
                <w:szCs w:val="16"/>
                <w:lang w:eastAsia="lt-LT"/>
              </w:rPr>
            </w:pPr>
            <w:r w:rsidRPr="0056304C">
              <w:rPr>
                <w:rFonts w:ascii="Times New Roman" w:eastAsia="Times New Roman" w:hAnsi="Times New Roman"/>
                <w:bCs/>
                <w:color w:val="000000"/>
                <w:sz w:val="16"/>
                <w:szCs w:val="16"/>
                <w:lang w:eastAsia="lt-LT"/>
              </w:rPr>
              <w:t>Socialines paslaugas gavę tikslinių grupių asmenys (šeimos)</w:t>
            </w:r>
          </w:p>
        </w:tc>
        <w:tc>
          <w:tcPr>
            <w:tcW w:w="1134" w:type="dxa"/>
            <w:shd w:val="clear" w:color="auto" w:fill="auto"/>
          </w:tcPr>
          <w:p w:rsidR="00385835" w:rsidRPr="0056304C" w:rsidRDefault="00385835" w:rsidP="0056304C">
            <w:pPr>
              <w:spacing w:after="0" w:line="240" w:lineRule="auto"/>
              <w:jc w:val="center"/>
              <w:rPr>
                <w:rFonts w:ascii="Times New Roman" w:hAnsi="Times New Roman"/>
                <w:sz w:val="16"/>
                <w:szCs w:val="16"/>
              </w:rPr>
            </w:pPr>
            <w:r w:rsidRPr="0056304C">
              <w:rPr>
                <w:rFonts w:ascii="Times New Roman" w:hAnsi="Times New Roman"/>
                <w:sz w:val="16"/>
                <w:szCs w:val="16"/>
              </w:rPr>
              <w:t>Asmenys</w:t>
            </w:r>
          </w:p>
        </w:tc>
        <w:tc>
          <w:tcPr>
            <w:tcW w:w="851" w:type="dxa"/>
            <w:shd w:val="clear" w:color="auto" w:fill="auto"/>
          </w:tcPr>
          <w:p w:rsidR="00385835" w:rsidRPr="0056304C" w:rsidRDefault="00385835" w:rsidP="0056304C">
            <w:pPr>
              <w:spacing w:after="0" w:line="240" w:lineRule="auto"/>
              <w:jc w:val="center"/>
              <w:rPr>
                <w:rFonts w:ascii="Times New Roman" w:hAnsi="Times New Roman"/>
                <w:sz w:val="16"/>
                <w:szCs w:val="16"/>
              </w:rPr>
            </w:pPr>
            <w:r w:rsidRPr="0056304C">
              <w:rPr>
                <w:rFonts w:ascii="Times New Roman" w:hAnsi="Times New Roman"/>
                <w:sz w:val="16"/>
                <w:szCs w:val="16"/>
              </w:rPr>
              <w:t>ESF</w:t>
            </w:r>
          </w:p>
        </w:tc>
        <w:tc>
          <w:tcPr>
            <w:tcW w:w="850" w:type="dxa"/>
            <w:shd w:val="clear" w:color="auto" w:fill="auto"/>
          </w:tcPr>
          <w:p w:rsidR="00385835" w:rsidRPr="0056304C" w:rsidRDefault="00385835" w:rsidP="0056304C">
            <w:pPr>
              <w:spacing w:after="0" w:line="240" w:lineRule="auto"/>
              <w:jc w:val="center"/>
              <w:rPr>
                <w:rFonts w:ascii="Times New Roman" w:hAnsi="Times New Roman"/>
                <w:sz w:val="16"/>
                <w:szCs w:val="16"/>
              </w:rPr>
            </w:pPr>
            <w:r w:rsidRPr="0056304C">
              <w:rPr>
                <w:rFonts w:ascii="Times New Roman" w:hAnsi="Times New Roman"/>
                <w:sz w:val="16"/>
                <w:szCs w:val="16"/>
              </w:rPr>
              <w:t>Mažiau išsivystęs</w:t>
            </w:r>
          </w:p>
        </w:tc>
        <w:tc>
          <w:tcPr>
            <w:tcW w:w="1134" w:type="dxa"/>
            <w:shd w:val="clear" w:color="auto" w:fill="auto"/>
          </w:tcPr>
          <w:p w:rsidR="00385835" w:rsidRPr="0056304C" w:rsidRDefault="00385835" w:rsidP="0056304C">
            <w:pPr>
              <w:spacing w:after="0" w:line="240" w:lineRule="auto"/>
              <w:jc w:val="center"/>
              <w:rPr>
                <w:rFonts w:ascii="Times New Roman" w:hAnsi="Times New Roman"/>
                <w:sz w:val="16"/>
                <w:szCs w:val="16"/>
              </w:rPr>
            </w:pPr>
            <w:r w:rsidRPr="0056304C">
              <w:rPr>
                <w:rFonts w:ascii="Times New Roman" w:hAnsi="Times New Roman"/>
                <w:sz w:val="16"/>
                <w:szCs w:val="16"/>
              </w:rPr>
              <w:t>2</w:t>
            </w:r>
            <w:r w:rsidR="009348A3" w:rsidRPr="0056304C">
              <w:rPr>
                <w:rFonts w:ascii="Times New Roman" w:hAnsi="Times New Roman"/>
                <w:sz w:val="16"/>
                <w:szCs w:val="16"/>
              </w:rPr>
              <w:t>.</w:t>
            </w:r>
            <w:r w:rsidRPr="0056304C">
              <w:rPr>
                <w:rFonts w:ascii="Times New Roman" w:hAnsi="Times New Roman"/>
                <w:sz w:val="16"/>
                <w:szCs w:val="16"/>
              </w:rPr>
              <w:t>500</w:t>
            </w:r>
          </w:p>
        </w:tc>
        <w:tc>
          <w:tcPr>
            <w:tcW w:w="1134" w:type="dxa"/>
            <w:shd w:val="clear" w:color="auto" w:fill="auto"/>
          </w:tcPr>
          <w:p w:rsidR="00385835" w:rsidRPr="0056304C" w:rsidRDefault="00D37DF5" w:rsidP="0056304C">
            <w:pPr>
              <w:spacing w:after="0" w:line="240" w:lineRule="auto"/>
              <w:jc w:val="center"/>
              <w:rPr>
                <w:rFonts w:ascii="Times New Roman" w:hAnsi="Times New Roman"/>
                <w:sz w:val="16"/>
                <w:szCs w:val="16"/>
              </w:rPr>
            </w:pPr>
            <w:r w:rsidRPr="0056304C">
              <w:rPr>
                <w:rFonts w:ascii="Times New Roman" w:hAnsi="Times New Roman"/>
                <w:sz w:val="16"/>
                <w:szCs w:val="16"/>
              </w:rPr>
              <w:t>26</w:t>
            </w:r>
            <w:r w:rsidR="009348A3" w:rsidRPr="0056304C">
              <w:rPr>
                <w:rFonts w:ascii="Times New Roman" w:hAnsi="Times New Roman"/>
                <w:sz w:val="16"/>
                <w:szCs w:val="16"/>
              </w:rPr>
              <w:t>.</w:t>
            </w:r>
            <w:r w:rsidRPr="0056304C">
              <w:rPr>
                <w:rFonts w:ascii="Times New Roman" w:hAnsi="Times New Roman"/>
                <w:sz w:val="16"/>
                <w:szCs w:val="16"/>
              </w:rPr>
              <w:t>6</w:t>
            </w:r>
            <w:r w:rsidR="00385835" w:rsidRPr="0056304C">
              <w:rPr>
                <w:rFonts w:ascii="Times New Roman" w:hAnsi="Times New Roman"/>
                <w:sz w:val="16"/>
                <w:szCs w:val="16"/>
              </w:rPr>
              <w:t>00</w:t>
            </w:r>
          </w:p>
        </w:tc>
        <w:tc>
          <w:tcPr>
            <w:tcW w:w="992" w:type="dxa"/>
          </w:tcPr>
          <w:p w:rsidR="00385835" w:rsidRPr="0056304C" w:rsidRDefault="00385835" w:rsidP="0056304C">
            <w:pPr>
              <w:spacing w:after="0" w:line="240" w:lineRule="auto"/>
              <w:jc w:val="center"/>
              <w:rPr>
                <w:rFonts w:ascii="Times New Roman" w:hAnsi="Times New Roman"/>
                <w:sz w:val="16"/>
                <w:szCs w:val="16"/>
              </w:rPr>
            </w:pPr>
            <w:r w:rsidRPr="0056304C">
              <w:rPr>
                <w:rFonts w:ascii="Times New Roman" w:hAnsi="Times New Roman"/>
                <w:sz w:val="16"/>
                <w:szCs w:val="16"/>
              </w:rPr>
              <w:t>Duomenys iš projektų</w:t>
            </w:r>
          </w:p>
        </w:tc>
        <w:tc>
          <w:tcPr>
            <w:tcW w:w="3828" w:type="dxa"/>
            <w:shd w:val="clear" w:color="auto" w:fill="auto"/>
          </w:tcPr>
          <w:p w:rsidR="00385835" w:rsidRPr="0056304C" w:rsidRDefault="00385835" w:rsidP="0056304C">
            <w:pPr>
              <w:spacing w:after="0" w:line="240" w:lineRule="auto"/>
              <w:rPr>
                <w:rFonts w:ascii="Times New Roman" w:hAnsi="Times New Roman"/>
                <w:sz w:val="16"/>
                <w:szCs w:val="16"/>
              </w:rPr>
            </w:pPr>
            <w:r w:rsidRPr="0056304C">
              <w:rPr>
                <w:rFonts w:ascii="Times New Roman" w:hAnsi="Times New Roman"/>
                <w:sz w:val="16"/>
                <w:szCs w:val="16"/>
              </w:rPr>
              <w:t xml:space="preserve">Rodiklis atspindi prioriteto įgyvendinimo eigą, nes jo pasiekimui skirta </w:t>
            </w:r>
            <w:r w:rsidR="00D37DF5" w:rsidRPr="0056304C">
              <w:rPr>
                <w:rFonts w:ascii="Times New Roman" w:hAnsi="Times New Roman"/>
                <w:sz w:val="16"/>
                <w:szCs w:val="16"/>
              </w:rPr>
              <w:t>36,75</w:t>
            </w:r>
            <w:r w:rsidRPr="0056304C">
              <w:rPr>
                <w:rFonts w:ascii="Times New Roman" w:hAnsi="Times New Roman"/>
                <w:sz w:val="16"/>
                <w:szCs w:val="16"/>
              </w:rPr>
              <w:t xml:space="preserve"> proc. šio prioriteto įgyvendinimui skirtų ESF lėšų.</w:t>
            </w:r>
          </w:p>
        </w:tc>
      </w:tr>
      <w:tr w:rsidR="00385835" w:rsidRPr="0056304C" w:rsidTr="00AC10CD">
        <w:tc>
          <w:tcPr>
            <w:tcW w:w="1277" w:type="dxa"/>
            <w:shd w:val="clear" w:color="auto" w:fill="auto"/>
            <w:vAlign w:val="center"/>
          </w:tcPr>
          <w:p w:rsidR="00385835" w:rsidRPr="0056304C" w:rsidRDefault="00385835" w:rsidP="0056304C">
            <w:pPr>
              <w:spacing w:after="0" w:line="240" w:lineRule="auto"/>
              <w:rPr>
                <w:rFonts w:ascii="Times New Roman" w:hAnsi="Times New Roman"/>
                <w:sz w:val="16"/>
                <w:szCs w:val="16"/>
              </w:rPr>
            </w:pPr>
            <w:r w:rsidRPr="0056304C">
              <w:rPr>
                <w:rFonts w:ascii="Times New Roman" w:hAnsi="Times New Roman"/>
                <w:sz w:val="16"/>
                <w:szCs w:val="16"/>
              </w:rPr>
              <w:t>Produkto rodiklis</w:t>
            </w:r>
          </w:p>
        </w:tc>
        <w:tc>
          <w:tcPr>
            <w:tcW w:w="2834" w:type="dxa"/>
            <w:shd w:val="clear" w:color="auto" w:fill="auto"/>
            <w:vAlign w:val="center"/>
          </w:tcPr>
          <w:p w:rsidR="00385835" w:rsidRPr="0056304C" w:rsidRDefault="00385835" w:rsidP="0056304C">
            <w:pPr>
              <w:spacing w:after="0" w:line="240" w:lineRule="auto"/>
              <w:rPr>
                <w:rFonts w:ascii="Times New Roman" w:hAnsi="Times New Roman"/>
                <w:sz w:val="16"/>
                <w:szCs w:val="16"/>
              </w:rPr>
            </w:pPr>
            <w:r w:rsidRPr="0056304C">
              <w:rPr>
                <w:rFonts w:ascii="Times New Roman" w:hAnsi="Times New Roman"/>
                <w:sz w:val="16"/>
                <w:szCs w:val="16"/>
              </w:rPr>
              <w:t xml:space="preserve">Asmenys </w:t>
            </w:r>
            <w:r w:rsidR="004D542F" w:rsidRPr="0056304C">
              <w:rPr>
                <w:rFonts w:ascii="Times New Roman" w:eastAsia="AngsanaUPC" w:hAnsi="Times New Roman"/>
                <w:bCs/>
                <w:iCs/>
                <w:sz w:val="16"/>
                <w:szCs w:val="16"/>
                <w:lang w:eastAsia="lt-LT"/>
              </w:rPr>
              <w:t xml:space="preserve">vyresni kaip </w:t>
            </w:r>
            <w:r w:rsidRPr="0056304C">
              <w:rPr>
                <w:rFonts w:ascii="Times New Roman" w:hAnsi="Times New Roman"/>
                <w:sz w:val="16"/>
                <w:szCs w:val="16"/>
              </w:rPr>
              <w:t>54 metų amžiaus, dalyvavę aktyviam senėjimui skirtose ESF veiklose</w:t>
            </w:r>
          </w:p>
        </w:tc>
        <w:tc>
          <w:tcPr>
            <w:tcW w:w="1134" w:type="dxa"/>
            <w:shd w:val="clear" w:color="auto" w:fill="auto"/>
          </w:tcPr>
          <w:p w:rsidR="00385835" w:rsidRPr="0056304C" w:rsidRDefault="00385835" w:rsidP="0056304C">
            <w:pPr>
              <w:spacing w:after="0" w:line="240" w:lineRule="auto"/>
              <w:jc w:val="center"/>
              <w:rPr>
                <w:rFonts w:ascii="Times New Roman" w:hAnsi="Times New Roman"/>
                <w:sz w:val="16"/>
                <w:szCs w:val="16"/>
              </w:rPr>
            </w:pPr>
            <w:r w:rsidRPr="0056304C">
              <w:rPr>
                <w:rFonts w:ascii="Times New Roman" w:hAnsi="Times New Roman"/>
                <w:sz w:val="16"/>
                <w:szCs w:val="16"/>
              </w:rPr>
              <w:t>Asmenys</w:t>
            </w:r>
          </w:p>
        </w:tc>
        <w:tc>
          <w:tcPr>
            <w:tcW w:w="851" w:type="dxa"/>
            <w:shd w:val="clear" w:color="auto" w:fill="auto"/>
          </w:tcPr>
          <w:p w:rsidR="00385835" w:rsidRPr="0056304C" w:rsidRDefault="00385835" w:rsidP="0056304C">
            <w:pPr>
              <w:spacing w:after="0" w:line="240" w:lineRule="auto"/>
              <w:jc w:val="center"/>
              <w:rPr>
                <w:rFonts w:ascii="Times New Roman" w:hAnsi="Times New Roman"/>
                <w:sz w:val="16"/>
                <w:szCs w:val="16"/>
              </w:rPr>
            </w:pPr>
            <w:r w:rsidRPr="0056304C">
              <w:rPr>
                <w:rFonts w:ascii="Times New Roman" w:hAnsi="Times New Roman"/>
                <w:sz w:val="16"/>
                <w:szCs w:val="16"/>
              </w:rPr>
              <w:t>ESF</w:t>
            </w:r>
          </w:p>
        </w:tc>
        <w:tc>
          <w:tcPr>
            <w:tcW w:w="850" w:type="dxa"/>
            <w:shd w:val="clear" w:color="auto" w:fill="auto"/>
          </w:tcPr>
          <w:p w:rsidR="00385835" w:rsidRPr="0056304C" w:rsidRDefault="00385835" w:rsidP="0056304C">
            <w:pPr>
              <w:spacing w:after="0" w:line="240" w:lineRule="auto"/>
              <w:jc w:val="center"/>
              <w:rPr>
                <w:rFonts w:ascii="Times New Roman" w:hAnsi="Times New Roman"/>
                <w:sz w:val="16"/>
                <w:szCs w:val="16"/>
              </w:rPr>
            </w:pPr>
            <w:r w:rsidRPr="0056304C">
              <w:rPr>
                <w:rFonts w:ascii="Times New Roman" w:hAnsi="Times New Roman"/>
                <w:sz w:val="16"/>
                <w:szCs w:val="16"/>
              </w:rPr>
              <w:t>Mažiau išsivystęs</w:t>
            </w:r>
          </w:p>
        </w:tc>
        <w:tc>
          <w:tcPr>
            <w:tcW w:w="1134" w:type="dxa"/>
            <w:shd w:val="clear" w:color="auto" w:fill="auto"/>
          </w:tcPr>
          <w:p w:rsidR="00385835" w:rsidRPr="0056304C" w:rsidRDefault="00385835" w:rsidP="0056304C">
            <w:pPr>
              <w:spacing w:after="0" w:line="240" w:lineRule="auto"/>
              <w:jc w:val="center"/>
              <w:rPr>
                <w:rFonts w:ascii="Times New Roman" w:hAnsi="Times New Roman"/>
                <w:sz w:val="16"/>
                <w:szCs w:val="16"/>
              </w:rPr>
            </w:pPr>
            <w:r w:rsidRPr="0056304C">
              <w:rPr>
                <w:rFonts w:ascii="Times New Roman" w:hAnsi="Times New Roman"/>
                <w:sz w:val="16"/>
                <w:szCs w:val="16"/>
              </w:rPr>
              <w:t>1</w:t>
            </w:r>
            <w:r w:rsidR="009348A3" w:rsidRPr="0056304C">
              <w:rPr>
                <w:rFonts w:ascii="Times New Roman" w:hAnsi="Times New Roman"/>
                <w:sz w:val="16"/>
                <w:szCs w:val="16"/>
              </w:rPr>
              <w:t>.</w:t>
            </w:r>
            <w:r w:rsidRPr="0056304C">
              <w:rPr>
                <w:rFonts w:ascii="Times New Roman" w:hAnsi="Times New Roman"/>
                <w:sz w:val="16"/>
                <w:szCs w:val="16"/>
              </w:rPr>
              <w:t>000</w:t>
            </w:r>
          </w:p>
        </w:tc>
        <w:tc>
          <w:tcPr>
            <w:tcW w:w="1134" w:type="dxa"/>
            <w:shd w:val="clear" w:color="auto" w:fill="auto"/>
          </w:tcPr>
          <w:p w:rsidR="00385835" w:rsidRPr="0056304C" w:rsidRDefault="00385835" w:rsidP="0056304C">
            <w:pPr>
              <w:spacing w:after="0" w:line="240" w:lineRule="auto"/>
              <w:jc w:val="center"/>
              <w:rPr>
                <w:rFonts w:ascii="Times New Roman" w:hAnsi="Times New Roman"/>
                <w:sz w:val="16"/>
                <w:szCs w:val="16"/>
              </w:rPr>
            </w:pPr>
            <w:r w:rsidRPr="0056304C">
              <w:rPr>
                <w:rFonts w:ascii="Times New Roman" w:hAnsi="Times New Roman"/>
                <w:sz w:val="16"/>
                <w:szCs w:val="16"/>
              </w:rPr>
              <w:t>8</w:t>
            </w:r>
            <w:r w:rsidR="009348A3" w:rsidRPr="0056304C">
              <w:rPr>
                <w:rFonts w:ascii="Times New Roman" w:hAnsi="Times New Roman"/>
                <w:sz w:val="16"/>
                <w:szCs w:val="16"/>
              </w:rPr>
              <w:t>.</w:t>
            </w:r>
            <w:r w:rsidRPr="0056304C">
              <w:rPr>
                <w:rFonts w:ascii="Times New Roman" w:hAnsi="Times New Roman"/>
                <w:sz w:val="16"/>
                <w:szCs w:val="16"/>
              </w:rPr>
              <w:t>000</w:t>
            </w:r>
          </w:p>
        </w:tc>
        <w:tc>
          <w:tcPr>
            <w:tcW w:w="992" w:type="dxa"/>
          </w:tcPr>
          <w:p w:rsidR="00385835" w:rsidRPr="0056304C" w:rsidRDefault="00385835" w:rsidP="0056304C">
            <w:pPr>
              <w:spacing w:after="0" w:line="240" w:lineRule="auto"/>
              <w:jc w:val="center"/>
              <w:rPr>
                <w:rFonts w:ascii="Times New Roman" w:hAnsi="Times New Roman"/>
                <w:sz w:val="16"/>
                <w:szCs w:val="16"/>
              </w:rPr>
            </w:pPr>
            <w:r w:rsidRPr="0056304C">
              <w:rPr>
                <w:rFonts w:ascii="Times New Roman" w:hAnsi="Times New Roman"/>
                <w:sz w:val="16"/>
                <w:szCs w:val="16"/>
              </w:rPr>
              <w:t>Duomenys iš projektų</w:t>
            </w:r>
          </w:p>
        </w:tc>
        <w:tc>
          <w:tcPr>
            <w:tcW w:w="3828" w:type="dxa"/>
            <w:shd w:val="clear" w:color="auto" w:fill="auto"/>
          </w:tcPr>
          <w:p w:rsidR="00385835" w:rsidRPr="0056304C" w:rsidRDefault="00385835" w:rsidP="0056304C">
            <w:pPr>
              <w:spacing w:after="0" w:line="240" w:lineRule="auto"/>
              <w:rPr>
                <w:rFonts w:ascii="Times New Roman" w:hAnsi="Times New Roman"/>
                <w:sz w:val="16"/>
                <w:szCs w:val="16"/>
              </w:rPr>
            </w:pPr>
            <w:r w:rsidRPr="0056304C">
              <w:rPr>
                <w:rFonts w:ascii="Times New Roman" w:hAnsi="Times New Roman"/>
                <w:sz w:val="16"/>
                <w:szCs w:val="16"/>
              </w:rPr>
              <w:t>Rodiklis atspindi prioriteto įgyvendinimo eigą, nes jo pasiekimui skirta 8 proc. šio prioriteto įgyvendinimui skirtų ESF lėšų.</w:t>
            </w:r>
          </w:p>
        </w:tc>
      </w:tr>
      <w:tr w:rsidR="00385835" w:rsidRPr="0056304C" w:rsidTr="00AC10CD">
        <w:tc>
          <w:tcPr>
            <w:tcW w:w="1277" w:type="dxa"/>
            <w:shd w:val="clear" w:color="auto" w:fill="auto"/>
            <w:vAlign w:val="center"/>
          </w:tcPr>
          <w:p w:rsidR="00385835" w:rsidRPr="0056304C" w:rsidRDefault="00385835" w:rsidP="0056304C">
            <w:pPr>
              <w:spacing w:after="0" w:line="240" w:lineRule="auto"/>
              <w:rPr>
                <w:rFonts w:ascii="Times New Roman" w:hAnsi="Times New Roman"/>
                <w:sz w:val="16"/>
                <w:szCs w:val="16"/>
              </w:rPr>
            </w:pPr>
            <w:r w:rsidRPr="0056304C">
              <w:rPr>
                <w:rFonts w:ascii="Times New Roman" w:hAnsi="Times New Roman"/>
                <w:sz w:val="16"/>
                <w:szCs w:val="16"/>
              </w:rPr>
              <w:t>Produkto rodiklis</w:t>
            </w:r>
          </w:p>
        </w:tc>
        <w:tc>
          <w:tcPr>
            <w:tcW w:w="2834" w:type="dxa"/>
            <w:shd w:val="clear" w:color="auto" w:fill="auto"/>
            <w:vAlign w:val="center"/>
          </w:tcPr>
          <w:p w:rsidR="00385835" w:rsidRPr="0056304C" w:rsidRDefault="00385835" w:rsidP="0056304C">
            <w:pPr>
              <w:spacing w:after="0" w:line="240" w:lineRule="auto"/>
              <w:rPr>
                <w:rFonts w:ascii="Times New Roman" w:hAnsi="Times New Roman"/>
                <w:i/>
                <w:sz w:val="16"/>
                <w:szCs w:val="16"/>
              </w:rPr>
            </w:pPr>
            <w:r w:rsidRPr="0056304C">
              <w:rPr>
                <w:rFonts w:ascii="Times New Roman" w:eastAsia="AngsanaUPC" w:hAnsi="Times New Roman"/>
                <w:bCs/>
                <w:iCs/>
                <w:sz w:val="16"/>
                <w:szCs w:val="16"/>
              </w:rPr>
              <w:t>Tikslinių grupių asmenys, kurie dalyvavo informavimo, švietimo ir mokymo renginiuose bei sveikatos raštingumą didinančiose veiklose</w:t>
            </w:r>
          </w:p>
        </w:tc>
        <w:tc>
          <w:tcPr>
            <w:tcW w:w="1134" w:type="dxa"/>
            <w:shd w:val="clear" w:color="auto" w:fill="auto"/>
          </w:tcPr>
          <w:p w:rsidR="00385835" w:rsidRPr="0056304C" w:rsidRDefault="00385835" w:rsidP="0056304C">
            <w:pPr>
              <w:spacing w:after="0" w:line="240" w:lineRule="auto"/>
              <w:jc w:val="center"/>
              <w:rPr>
                <w:rFonts w:ascii="Times New Roman" w:hAnsi="Times New Roman"/>
                <w:sz w:val="16"/>
                <w:szCs w:val="16"/>
              </w:rPr>
            </w:pPr>
            <w:r w:rsidRPr="0056304C">
              <w:rPr>
                <w:rFonts w:ascii="Times New Roman" w:hAnsi="Times New Roman"/>
                <w:sz w:val="16"/>
                <w:szCs w:val="16"/>
              </w:rPr>
              <w:t>Asmenys</w:t>
            </w:r>
          </w:p>
        </w:tc>
        <w:tc>
          <w:tcPr>
            <w:tcW w:w="851" w:type="dxa"/>
            <w:shd w:val="clear" w:color="auto" w:fill="auto"/>
          </w:tcPr>
          <w:p w:rsidR="00385835" w:rsidRPr="0056304C" w:rsidRDefault="00385835" w:rsidP="0056304C">
            <w:pPr>
              <w:spacing w:after="0" w:line="240" w:lineRule="auto"/>
              <w:jc w:val="center"/>
              <w:rPr>
                <w:rFonts w:ascii="Times New Roman" w:hAnsi="Times New Roman"/>
                <w:sz w:val="16"/>
                <w:szCs w:val="16"/>
              </w:rPr>
            </w:pPr>
            <w:r w:rsidRPr="0056304C">
              <w:rPr>
                <w:rFonts w:ascii="Times New Roman" w:hAnsi="Times New Roman"/>
                <w:sz w:val="16"/>
                <w:szCs w:val="16"/>
              </w:rPr>
              <w:t>ESF</w:t>
            </w:r>
          </w:p>
        </w:tc>
        <w:tc>
          <w:tcPr>
            <w:tcW w:w="850" w:type="dxa"/>
            <w:shd w:val="clear" w:color="auto" w:fill="auto"/>
          </w:tcPr>
          <w:p w:rsidR="00385835" w:rsidRPr="0056304C" w:rsidRDefault="00385835" w:rsidP="0056304C">
            <w:pPr>
              <w:spacing w:after="0" w:line="240" w:lineRule="auto"/>
              <w:jc w:val="center"/>
              <w:rPr>
                <w:rFonts w:ascii="Times New Roman" w:hAnsi="Times New Roman"/>
                <w:sz w:val="16"/>
                <w:szCs w:val="16"/>
              </w:rPr>
            </w:pPr>
            <w:r w:rsidRPr="0056304C">
              <w:rPr>
                <w:rFonts w:ascii="Times New Roman" w:hAnsi="Times New Roman"/>
                <w:sz w:val="16"/>
                <w:szCs w:val="16"/>
              </w:rPr>
              <w:t>Mažiau išsivystęs</w:t>
            </w:r>
          </w:p>
        </w:tc>
        <w:tc>
          <w:tcPr>
            <w:tcW w:w="1134" w:type="dxa"/>
            <w:shd w:val="clear" w:color="auto" w:fill="auto"/>
          </w:tcPr>
          <w:p w:rsidR="00385835" w:rsidRPr="0056304C" w:rsidRDefault="00903CFD" w:rsidP="0056304C">
            <w:pPr>
              <w:spacing w:after="0" w:line="240" w:lineRule="auto"/>
              <w:jc w:val="center"/>
              <w:rPr>
                <w:rFonts w:ascii="Times New Roman" w:hAnsi="Times New Roman"/>
                <w:sz w:val="16"/>
                <w:szCs w:val="16"/>
              </w:rPr>
            </w:pPr>
            <w:r w:rsidRPr="0056304C">
              <w:rPr>
                <w:rFonts w:ascii="Times New Roman" w:hAnsi="Times New Roman"/>
                <w:sz w:val="16"/>
                <w:szCs w:val="16"/>
              </w:rPr>
              <w:t>13</w:t>
            </w:r>
            <w:r w:rsidR="009348A3" w:rsidRPr="0056304C">
              <w:rPr>
                <w:rFonts w:ascii="Times New Roman" w:hAnsi="Times New Roman"/>
                <w:sz w:val="16"/>
                <w:szCs w:val="16"/>
              </w:rPr>
              <w:t>.</w:t>
            </w:r>
            <w:r w:rsidR="00385835" w:rsidRPr="0056304C">
              <w:rPr>
                <w:rFonts w:ascii="Times New Roman" w:hAnsi="Times New Roman"/>
                <w:sz w:val="16"/>
                <w:szCs w:val="16"/>
              </w:rPr>
              <w:t>000</w:t>
            </w:r>
          </w:p>
        </w:tc>
        <w:tc>
          <w:tcPr>
            <w:tcW w:w="1134" w:type="dxa"/>
            <w:shd w:val="clear" w:color="auto" w:fill="auto"/>
          </w:tcPr>
          <w:p w:rsidR="00385835" w:rsidRPr="0056304C" w:rsidRDefault="00385835" w:rsidP="0056304C">
            <w:pPr>
              <w:spacing w:after="0" w:line="240" w:lineRule="auto"/>
              <w:jc w:val="center"/>
              <w:rPr>
                <w:rFonts w:ascii="Times New Roman" w:hAnsi="Times New Roman"/>
                <w:sz w:val="16"/>
                <w:szCs w:val="16"/>
              </w:rPr>
            </w:pPr>
            <w:r w:rsidRPr="0056304C">
              <w:rPr>
                <w:rFonts w:ascii="Times New Roman" w:hAnsi="Times New Roman"/>
                <w:sz w:val="16"/>
                <w:szCs w:val="16"/>
              </w:rPr>
              <w:t>100</w:t>
            </w:r>
            <w:r w:rsidR="009348A3" w:rsidRPr="0056304C">
              <w:rPr>
                <w:rFonts w:ascii="Times New Roman" w:hAnsi="Times New Roman"/>
                <w:sz w:val="16"/>
                <w:szCs w:val="16"/>
              </w:rPr>
              <w:t>.</w:t>
            </w:r>
            <w:r w:rsidRPr="0056304C">
              <w:rPr>
                <w:rFonts w:ascii="Times New Roman" w:hAnsi="Times New Roman"/>
                <w:sz w:val="16"/>
                <w:szCs w:val="16"/>
              </w:rPr>
              <w:t>000</w:t>
            </w:r>
          </w:p>
        </w:tc>
        <w:tc>
          <w:tcPr>
            <w:tcW w:w="992" w:type="dxa"/>
          </w:tcPr>
          <w:p w:rsidR="00385835" w:rsidRPr="0056304C" w:rsidRDefault="00385835" w:rsidP="0056304C">
            <w:pPr>
              <w:spacing w:after="0" w:line="240" w:lineRule="auto"/>
              <w:jc w:val="center"/>
              <w:rPr>
                <w:rFonts w:ascii="Times New Roman" w:hAnsi="Times New Roman"/>
                <w:sz w:val="16"/>
                <w:szCs w:val="16"/>
              </w:rPr>
            </w:pPr>
            <w:r w:rsidRPr="0056304C">
              <w:rPr>
                <w:rFonts w:ascii="Times New Roman" w:hAnsi="Times New Roman"/>
                <w:sz w:val="16"/>
                <w:szCs w:val="16"/>
              </w:rPr>
              <w:t>Duomenys iš projektų</w:t>
            </w:r>
          </w:p>
        </w:tc>
        <w:tc>
          <w:tcPr>
            <w:tcW w:w="3828" w:type="dxa"/>
            <w:shd w:val="clear" w:color="auto" w:fill="auto"/>
          </w:tcPr>
          <w:p w:rsidR="00385835" w:rsidRPr="0056304C" w:rsidRDefault="00385835" w:rsidP="0056304C">
            <w:pPr>
              <w:spacing w:after="0" w:line="240" w:lineRule="auto"/>
              <w:rPr>
                <w:rFonts w:ascii="Times New Roman" w:hAnsi="Times New Roman"/>
                <w:sz w:val="16"/>
                <w:szCs w:val="16"/>
              </w:rPr>
            </w:pPr>
            <w:r w:rsidRPr="0056304C">
              <w:rPr>
                <w:rFonts w:ascii="Times New Roman" w:hAnsi="Times New Roman"/>
                <w:sz w:val="16"/>
                <w:szCs w:val="16"/>
              </w:rPr>
              <w:t>Rodiklis atspindi prioriteto įgyvendinimo eigą, nes jo pasiekimui skirta 7 proc. šio prioriteto įgyvendinimui skirtų ESF lėšų.</w:t>
            </w:r>
          </w:p>
        </w:tc>
      </w:tr>
    </w:tbl>
    <w:p w:rsidR="00385835" w:rsidRPr="00385835" w:rsidRDefault="00385835" w:rsidP="00385835">
      <w:pPr>
        <w:spacing w:after="0" w:line="240" w:lineRule="auto"/>
        <w:rPr>
          <w:rFonts w:ascii="Times New Roman" w:hAnsi="Times New Roman"/>
          <w:sz w:val="24"/>
          <w:szCs w:val="24"/>
        </w:rPr>
      </w:pPr>
    </w:p>
    <w:p w:rsidR="00385835" w:rsidRPr="00385835" w:rsidRDefault="00385835" w:rsidP="00385835">
      <w:pPr>
        <w:autoSpaceDE w:val="0"/>
        <w:autoSpaceDN w:val="0"/>
        <w:adjustRightInd w:val="0"/>
        <w:spacing w:after="0" w:line="240" w:lineRule="auto"/>
        <w:ind w:firstLine="851"/>
        <w:jc w:val="both"/>
        <w:rPr>
          <w:rFonts w:ascii="Times New Roman" w:hAnsi="Times New Roman"/>
          <w:sz w:val="24"/>
          <w:szCs w:val="24"/>
        </w:rPr>
      </w:pPr>
      <w:r w:rsidRPr="00385835">
        <w:rPr>
          <w:rFonts w:ascii="Times New Roman" w:hAnsi="Times New Roman"/>
          <w:color w:val="000000"/>
          <w:sz w:val="24"/>
          <w:szCs w:val="24"/>
        </w:rPr>
        <w:t>Į veiklos peržiūros planą įtrauktų ERPF rodiklių tarpinės ir galutinės reikšmės nustatytos, įvertinus istorinius ankstesnio programavimo laikotarpio lėšų panaudojimo ir rodiklių pasiekimo duomenis, t.</w:t>
      </w:r>
      <w:r w:rsidR="00D37DF5">
        <w:rPr>
          <w:rFonts w:ascii="Times New Roman" w:hAnsi="Times New Roman"/>
          <w:color w:val="000000"/>
          <w:sz w:val="24"/>
          <w:szCs w:val="24"/>
        </w:rPr>
        <w:t xml:space="preserve"> </w:t>
      </w:r>
      <w:r w:rsidRPr="00385835">
        <w:rPr>
          <w:rFonts w:ascii="Times New Roman" w:hAnsi="Times New Roman"/>
          <w:color w:val="000000"/>
          <w:sz w:val="24"/>
          <w:szCs w:val="24"/>
        </w:rPr>
        <w:t xml:space="preserve">y. įgyvendinant panašaus pobūdžio intervencijas per analogišką laikotarpį pasiektas rodiklių reikšmes, tuo pačiu atsižvelgiant į </w:t>
      </w:r>
      <w:r w:rsidR="004C4C32">
        <w:rPr>
          <w:rFonts w:ascii="Times New Roman" w:hAnsi="Times New Roman"/>
          <w:color w:val="000000"/>
          <w:sz w:val="24"/>
          <w:szCs w:val="24"/>
        </w:rPr>
        <w:t>šiame programavimo laikotarpyje</w:t>
      </w:r>
      <w:r w:rsidRPr="00385835">
        <w:rPr>
          <w:rFonts w:ascii="Times New Roman" w:hAnsi="Times New Roman"/>
          <w:color w:val="000000"/>
          <w:sz w:val="24"/>
          <w:szCs w:val="24"/>
        </w:rPr>
        <w:t xml:space="preserve"> numatomas investicijų ir veiklų apimtis. Nustatant tarpines rodiklių reikšmes, taip pat atsižvelgta į sektoriaus pasirengimą panaudoti </w:t>
      </w:r>
      <w:r w:rsidR="000F4AE6">
        <w:rPr>
          <w:rFonts w:ascii="Times New Roman" w:hAnsi="Times New Roman"/>
          <w:color w:val="000000"/>
          <w:sz w:val="24"/>
          <w:szCs w:val="24"/>
        </w:rPr>
        <w:t>ES fondų</w:t>
      </w:r>
      <w:r w:rsidRPr="00385835">
        <w:rPr>
          <w:rFonts w:ascii="Times New Roman" w:hAnsi="Times New Roman"/>
          <w:color w:val="000000"/>
          <w:sz w:val="24"/>
          <w:szCs w:val="24"/>
        </w:rPr>
        <w:t xml:space="preserve"> lėšas – strateginio planavimo dokumentų parengtumo lygį ir juose nustatytus terminus, taip pat priemonių įgyvendinimo specifiką</w:t>
      </w:r>
      <w:r w:rsidRPr="00385835">
        <w:rPr>
          <w:rFonts w:ascii="Times New Roman" w:hAnsi="Times New Roman"/>
          <w:sz w:val="24"/>
          <w:szCs w:val="24"/>
        </w:rPr>
        <w:t xml:space="preserve">. </w:t>
      </w:r>
    </w:p>
    <w:p w:rsidR="007E588C" w:rsidRPr="00385835" w:rsidRDefault="00385835" w:rsidP="002447B3">
      <w:pPr>
        <w:spacing w:after="0" w:line="240" w:lineRule="auto"/>
        <w:ind w:firstLine="851"/>
        <w:jc w:val="both"/>
        <w:rPr>
          <w:rFonts w:ascii="Times New Roman" w:hAnsi="Times New Roman"/>
          <w:color w:val="000000"/>
          <w:sz w:val="24"/>
          <w:szCs w:val="24"/>
        </w:rPr>
      </w:pPr>
      <w:r w:rsidRPr="00385835">
        <w:rPr>
          <w:rFonts w:ascii="Times New Roman" w:hAnsi="Times New Roman"/>
          <w:color w:val="000000"/>
          <w:sz w:val="24"/>
          <w:szCs w:val="24"/>
        </w:rPr>
        <w:t>Į veiklos peržiūros planą įtrauktų ESF rodiklių tarpinės ir galutinės reikšmės nustatytos, įvertinus istorinius ankstesnio programavimo laikotarpio lėšų panaudojimo ir rodiklių pasiekimo duomenis, t.</w:t>
      </w:r>
      <w:r w:rsidR="00D37DF5">
        <w:rPr>
          <w:rFonts w:ascii="Times New Roman" w:hAnsi="Times New Roman"/>
          <w:color w:val="000000"/>
          <w:sz w:val="24"/>
          <w:szCs w:val="24"/>
        </w:rPr>
        <w:t xml:space="preserve"> </w:t>
      </w:r>
      <w:r w:rsidRPr="00385835">
        <w:rPr>
          <w:rFonts w:ascii="Times New Roman" w:hAnsi="Times New Roman"/>
          <w:color w:val="000000"/>
          <w:sz w:val="24"/>
          <w:szCs w:val="24"/>
        </w:rPr>
        <w:t xml:space="preserve">y. įgyvendinant panašaus pobūdžio intervencijas per analogišką laikotarpį pasiektas rodiklių reikšmes, tuo pačiu atsižvelgiant į šiame programavimo laikotarpyje numatomas investicijų ir veiklų apimtis. Nustatant tarpines rodiklių reikšmes, taip pat atsižvelgta į sektoriaus pasirengimą panaudoti </w:t>
      </w:r>
      <w:r w:rsidR="000F4AE6">
        <w:rPr>
          <w:rFonts w:ascii="Times New Roman" w:hAnsi="Times New Roman"/>
          <w:color w:val="000000"/>
          <w:sz w:val="24"/>
          <w:szCs w:val="24"/>
        </w:rPr>
        <w:t>ES fondų</w:t>
      </w:r>
      <w:r w:rsidRPr="00385835">
        <w:rPr>
          <w:rFonts w:ascii="Times New Roman" w:hAnsi="Times New Roman"/>
          <w:color w:val="000000"/>
          <w:sz w:val="24"/>
          <w:szCs w:val="24"/>
        </w:rPr>
        <w:t xml:space="preserve"> lėšas – </w:t>
      </w:r>
      <w:r w:rsidRPr="00385835">
        <w:rPr>
          <w:rFonts w:ascii="Times New Roman" w:hAnsi="Times New Roman"/>
          <w:sz w:val="24"/>
          <w:szCs w:val="24"/>
        </w:rPr>
        <w:t>priemonių ir tikslinių grupių specifiką, suderinamumą su ERPF intervencijomis ir pan</w:t>
      </w:r>
      <w:r w:rsidRPr="00385835">
        <w:rPr>
          <w:rFonts w:ascii="Times New Roman" w:hAnsi="Times New Roman"/>
          <w:color w:val="000000"/>
          <w:sz w:val="24"/>
          <w:szCs w:val="24"/>
        </w:rPr>
        <w:t>.</w:t>
      </w:r>
    </w:p>
    <w:p w:rsidR="00061F1E" w:rsidRDefault="00061F1E" w:rsidP="000D0444">
      <w:pPr>
        <w:widowControl w:val="0"/>
        <w:tabs>
          <w:tab w:val="left" w:pos="622"/>
        </w:tabs>
        <w:spacing w:after="0" w:line="240" w:lineRule="auto"/>
        <w:jc w:val="both"/>
        <w:rPr>
          <w:rFonts w:ascii="Times New Roman" w:eastAsia="AngsanaUPC" w:hAnsi="Times New Roman"/>
          <w:b/>
          <w:bCs/>
          <w:i/>
          <w:iCs/>
          <w:sz w:val="24"/>
          <w:szCs w:val="24"/>
          <w:lang w:eastAsia="lt-LT"/>
        </w:rPr>
        <w:sectPr w:rsidR="00061F1E" w:rsidSect="007369F8">
          <w:pgSz w:w="16838" w:h="11906" w:orient="landscape" w:code="9"/>
          <w:pgMar w:top="1701" w:right="1701" w:bottom="567" w:left="1134" w:header="567" w:footer="567" w:gutter="0"/>
          <w:cols w:space="1296"/>
          <w:docGrid w:linePitch="360"/>
        </w:sectPr>
      </w:pPr>
    </w:p>
    <w:p w:rsidR="000D0444" w:rsidRPr="002447B3" w:rsidRDefault="000D0444" w:rsidP="000D0444">
      <w:pPr>
        <w:widowControl w:val="0"/>
        <w:tabs>
          <w:tab w:val="left" w:pos="622"/>
        </w:tabs>
        <w:spacing w:after="0" w:line="240" w:lineRule="auto"/>
        <w:jc w:val="both"/>
        <w:rPr>
          <w:rFonts w:ascii="Times New Roman" w:hAnsi="Times New Roman"/>
          <w:b/>
          <w:bCs/>
          <w:iCs/>
          <w:sz w:val="18"/>
          <w:szCs w:val="18"/>
        </w:rPr>
      </w:pPr>
      <w:r w:rsidRPr="002447B3">
        <w:rPr>
          <w:rFonts w:ascii="Times New Roman" w:eastAsia="AngsanaUPC" w:hAnsi="Times New Roman"/>
          <w:b/>
          <w:bCs/>
          <w:i/>
          <w:iCs/>
          <w:sz w:val="24"/>
          <w:szCs w:val="24"/>
          <w:lang w:eastAsia="lt-LT"/>
        </w:rPr>
        <w:lastRenderedPageBreak/>
        <w:t>Numatomas išlaidų pasiskirstymas pagal kategorijas</w:t>
      </w:r>
    </w:p>
    <w:p w:rsidR="000D0444" w:rsidRPr="002447B3" w:rsidRDefault="000D0444" w:rsidP="000D0444">
      <w:pPr>
        <w:widowControl w:val="0"/>
        <w:tabs>
          <w:tab w:val="left" w:pos="622"/>
        </w:tabs>
        <w:spacing w:after="0" w:line="240" w:lineRule="auto"/>
        <w:jc w:val="both"/>
        <w:rPr>
          <w:rFonts w:ascii="Times New Roman" w:hAnsi="Times New Roman"/>
          <w:b/>
          <w:bCs/>
          <w:iCs/>
          <w:sz w:val="18"/>
          <w:szCs w:val="1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09"/>
        <w:gridCol w:w="6378"/>
        <w:gridCol w:w="1843"/>
      </w:tblGrid>
      <w:tr w:rsidR="000D0444" w:rsidRPr="002447B3" w:rsidTr="000D0444">
        <w:trPr>
          <w:tblHeader/>
        </w:trPr>
        <w:tc>
          <w:tcPr>
            <w:tcW w:w="9781" w:type="dxa"/>
            <w:gridSpan w:val="4"/>
            <w:shd w:val="clear" w:color="auto" w:fill="EEECE1"/>
            <w:vAlign w:val="center"/>
          </w:tcPr>
          <w:p w:rsidR="000D0444" w:rsidRPr="002447B3" w:rsidRDefault="000D0444" w:rsidP="000D0444">
            <w:pPr>
              <w:widowControl w:val="0"/>
              <w:tabs>
                <w:tab w:val="left" w:pos="622"/>
              </w:tabs>
              <w:spacing w:after="0" w:line="240" w:lineRule="auto"/>
              <w:jc w:val="both"/>
              <w:rPr>
                <w:rFonts w:ascii="Times New Roman" w:hAnsi="Times New Roman"/>
                <w:b/>
                <w:bCs/>
                <w:i/>
                <w:iCs/>
                <w:sz w:val="18"/>
                <w:szCs w:val="18"/>
              </w:rPr>
            </w:pPr>
            <w:r w:rsidRPr="002447B3">
              <w:rPr>
                <w:rFonts w:ascii="Times New Roman" w:hAnsi="Times New Roman"/>
                <w:b/>
                <w:bCs/>
                <w:i/>
                <w:iCs/>
                <w:sz w:val="18"/>
                <w:szCs w:val="18"/>
              </w:rPr>
              <w:t>Intervencinių veiksmų sritis</w:t>
            </w:r>
          </w:p>
        </w:tc>
      </w:tr>
      <w:tr w:rsidR="000D0444" w:rsidRPr="002447B3" w:rsidTr="006F1682">
        <w:tc>
          <w:tcPr>
            <w:tcW w:w="851" w:type="dxa"/>
            <w:shd w:val="clear" w:color="auto" w:fill="EEECE1"/>
            <w:vAlign w:val="center"/>
          </w:tcPr>
          <w:p w:rsidR="000D0444" w:rsidRPr="002447B3" w:rsidRDefault="000D0444" w:rsidP="000D0444">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Fondas</w:t>
            </w:r>
          </w:p>
        </w:tc>
        <w:tc>
          <w:tcPr>
            <w:tcW w:w="709" w:type="dxa"/>
            <w:shd w:val="clear" w:color="auto" w:fill="EEECE1"/>
            <w:vAlign w:val="center"/>
          </w:tcPr>
          <w:p w:rsidR="000D0444" w:rsidRPr="002447B3" w:rsidRDefault="000D0444" w:rsidP="000D0444">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Kodas</w:t>
            </w:r>
          </w:p>
        </w:tc>
        <w:tc>
          <w:tcPr>
            <w:tcW w:w="6378" w:type="dxa"/>
            <w:shd w:val="clear" w:color="auto" w:fill="EEECE1"/>
            <w:vAlign w:val="center"/>
          </w:tcPr>
          <w:p w:rsidR="000D0444" w:rsidRPr="002447B3" w:rsidRDefault="000D0444" w:rsidP="000D0444">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Pavadinimas</w:t>
            </w:r>
          </w:p>
        </w:tc>
        <w:tc>
          <w:tcPr>
            <w:tcW w:w="1843" w:type="dxa"/>
            <w:shd w:val="clear" w:color="auto" w:fill="EEECE1"/>
            <w:vAlign w:val="center"/>
          </w:tcPr>
          <w:p w:rsidR="000D0444" w:rsidRPr="002447B3" w:rsidRDefault="000D0444" w:rsidP="000D0444">
            <w:pPr>
              <w:widowControl w:val="0"/>
              <w:tabs>
                <w:tab w:val="left" w:pos="622"/>
              </w:tabs>
              <w:spacing w:after="0" w:line="240" w:lineRule="auto"/>
              <w:jc w:val="center"/>
              <w:rPr>
                <w:rFonts w:ascii="Times New Roman" w:hAnsi="Times New Roman"/>
                <w:b/>
                <w:bCs/>
                <w:iCs/>
                <w:sz w:val="18"/>
                <w:szCs w:val="18"/>
              </w:rPr>
            </w:pPr>
            <w:r w:rsidRPr="002447B3">
              <w:rPr>
                <w:rFonts w:ascii="Times New Roman" w:hAnsi="Times New Roman"/>
                <w:b/>
                <w:bCs/>
                <w:iCs/>
                <w:sz w:val="18"/>
                <w:szCs w:val="18"/>
              </w:rPr>
              <w:t>Finansinė proporcija (eurais)</w:t>
            </w:r>
          </w:p>
        </w:tc>
      </w:tr>
      <w:tr w:rsidR="009F1C50" w:rsidRPr="009348A3" w:rsidTr="006F1682">
        <w:tc>
          <w:tcPr>
            <w:tcW w:w="851" w:type="dxa"/>
            <w:shd w:val="clear" w:color="auto" w:fill="auto"/>
            <w:vAlign w:val="center"/>
          </w:tcPr>
          <w:p w:rsidR="009F1C50" w:rsidRPr="009348A3" w:rsidRDefault="009F1C50" w:rsidP="000D0444">
            <w:pPr>
              <w:widowControl w:val="0"/>
              <w:tabs>
                <w:tab w:val="left" w:pos="622"/>
              </w:tabs>
              <w:spacing w:after="0" w:line="240" w:lineRule="auto"/>
              <w:rPr>
                <w:rFonts w:ascii="Times New Roman" w:eastAsia="AngsanaUPC" w:hAnsi="Times New Roman"/>
                <w:bCs/>
                <w:sz w:val="18"/>
                <w:szCs w:val="18"/>
                <w:lang w:val="en-GB" w:eastAsia="lt-LT"/>
              </w:rPr>
            </w:pPr>
            <w:r w:rsidRPr="009348A3">
              <w:rPr>
                <w:rFonts w:ascii="Times New Roman" w:eastAsia="AngsanaUPC" w:hAnsi="Times New Roman"/>
                <w:bCs/>
                <w:sz w:val="18"/>
                <w:szCs w:val="18"/>
                <w:lang w:val="en-GB" w:eastAsia="lt-LT"/>
              </w:rPr>
              <w:t>ERPF</w:t>
            </w:r>
          </w:p>
        </w:tc>
        <w:tc>
          <w:tcPr>
            <w:tcW w:w="709" w:type="dxa"/>
            <w:shd w:val="clear" w:color="auto" w:fill="auto"/>
            <w:vAlign w:val="center"/>
          </w:tcPr>
          <w:p w:rsidR="009F1C50" w:rsidRPr="009348A3" w:rsidRDefault="009F1C50" w:rsidP="000D0444">
            <w:pPr>
              <w:widowControl w:val="0"/>
              <w:tabs>
                <w:tab w:val="left" w:pos="622"/>
              </w:tabs>
              <w:spacing w:after="0" w:line="240" w:lineRule="auto"/>
              <w:rPr>
                <w:rFonts w:ascii="Times New Roman" w:eastAsia="AngsanaUPC" w:hAnsi="Times New Roman"/>
                <w:bCs/>
                <w:sz w:val="18"/>
                <w:szCs w:val="18"/>
                <w:lang w:val="en-GB" w:eastAsia="lt-LT"/>
              </w:rPr>
            </w:pPr>
            <w:r w:rsidRPr="009348A3">
              <w:rPr>
                <w:rFonts w:ascii="Times New Roman" w:eastAsia="AngsanaUPC" w:hAnsi="Times New Roman"/>
                <w:bCs/>
                <w:sz w:val="18"/>
                <w:szCs w:val="18"/>
                <w:lang w:val="en-GB" w:eastAsia="lt-LT"/>
              </w:rPr>
              <w:t>53</w:t>
            </w:r>
          </w:p>
        </w:tc>
        <w:tc>
          <w:tcPr>
            <w:tcW w:w="6378" w:type="dxa"/>
            <w:shd w:val="clear" w:color="auto" w:fill="auto"/>
            <w:vAlign w:val="center"/>
          </w:tcPr>
          <w:p w:rsidR="009F1C50" w:rsidRPr="009348A3" w:rsidRDefault="009F1C50" w:rsidP="000D0444">
            <w:pPr>
              <w:widowControl w:val="0"/>
              <w:tabs>
                <w:tab w:val="left" w:pos="622"/>
              </w:tabs>
              <w:spacing w:after="0" w:line="240" w:lineRule="auto"/>
              <w:rPr>
                <w:rFonts w:ascii="Times New Roman" w:eastAsia="AngsanaUPC" w:hAnsi="Times New Roman"/>
                <w:bCs/>
                <w:sz w:val="18"/>
                <w:szCs w:val="18"/>
                <w:lang w:eastAsia="lt-LT"/>
              </w:rPr>
            </w:pPr>
            <w:r w:rsidRPr="009348A3">
              <w:rPr>
                <w:rFonts w:ascii="Times New Roman" w:eastAsia="AngsanaUPC" w:hAnsi="Times New Roman"/>
                <w:bCs/>
                <w:sz w:val="18"/>
                <w:szCs w:val="18"/>
                <w:lang w:eastAsia="lt-LT"/>
              </w:rPr>
              <w:t>Sveikatos priežiūros infrastruktūra</w:t>
            </w:r>
          </w:p>
        </w:tc>
        <w:tc>
          <w:tcPr>
            <w:tcW w:w="1843" w:type="dxa"/>
            <w:shd w:val="clear" w:color="auto" w:fill="auto"/>
            <w:vAlign w:val="center"/>
          </w:tcPr>
          <w:p w:rsidR="009F1C50" w:rsidRPr="00FC6264" w:rsidRDefault="00CB0078" w:rsidP="00AC0CDE">
            <w:pPr>
              <w:widowControl w:val="0"/>
              <w:tabs>
                <w:tab w:val="left" w:pos="622"/>
              </w:tabs>
              <w:spacing w:after="0" w:line="240" w:lineRule="auto"/>
              <w:jc w:val="right"/>
              <w:rPr>
                <w:rFonts w:ascii="Times New Roman" w:eastAsia="AngsanaUPC" w:hAnsi="Times New Roman"/>
                <w:bCs/>
                <w:sz w:val="18"/>
                <w:szCs w:val="18"/>
                <w:lang w:val="en-GB" w:eastAsia="lt-LT"/>
              </w:rPr>
            </w:pPr>
            <w:r w:rsidRPr="00FC6264">
              <w:rPr>
                <w:rFonts w:ascii="Times New Roman" w:eastAsia="AngsanaUPC" w:hAnsi="Times New Roman"/>
                <w:bCs/>
                <w:sz w:val="18"/>
                <w:szCs w:val="18"/>
                <w:lang w:val="en-GB" w:eastAsia="lt-LT"/>
              </w:rPr>
              <w:t>202</w:t>
            </w:r>
            <w:r w:rsidR="009348A3"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9</w:t>
            </w:r>
            <w:r w:rsidR="009F1C50" w:rsidRPr="00FC6264">
              <w:rPr>
                <w:rFonts w:ascii="Times New Roman" w:eastAsia="AngsanaUPC" w:hAnsi="Times New Roman"/>
                <w:bCs/>
                <w:sz w:val="18"/>
                <w:szCs w:val="18"/>
                <w:lang w:val="en-GB" w:eastAsia="lt-LT"/>
              </w:rPr>
              <w:t>89</w:t>
            </w:r>
            <w:r w:rsidR="009348A3" w:rsidRPr="00FC6264">
              <w:rPr>
                <w:rFonts w:ascii="Times New Roman" w:eastAsia="AngsanaUPC" w:hAnsi="Times New Roman"/>
                <w:bCs/>
                <w:sz w:val="18"/>
                <w:szCs w:val="18"/>
                <w:lang w:val="en-GB" w:eastAsia="lt-LT"/>
              </w:rPr>
              <w:t>.</w:t>
            </w:r>
            <w:r w:rsidR="009F1C50" w:rsidRPr="00FC6264">
              <w:rPr>
                <w:rFonts w:ascii="Times New Roman" w:eastAsia="AngsanaUPC" w:hAnsi="Times New Roman"/>
                <w:bCs/>
                <w:sz w:val="18"/>
                <w:szCs w:val="18"/>
                <w:lang w:val="en-GB" w:eastAsia="lt-LT"/>
              </w:rPr>
              <w:t>782</w:t>
            </w:r>
          </w:p>
        </w:tc>
      </w:tr>
      <w:tr w:rsidR="009F1C50" w:rsidRPr="009348A3" w:rsidTr="006F1682">
        <w:tc>
          <w:tcPr>
            <w:tcW w:w="851" w:type="dxa"/>
            <w:shd w:val="clear" w:color="auto" w:fill="auto"/>
            <w:vAlign w:val="center"/>
          </w:tcPr>
          <w:p w:rsidR="009F1C50" w:rsidRPr="009348A3" w:rsidRDefault="009F1C50" w:rsidP="000D0444">
            <w:pPr>
              <w:widowControl w:val="0"/>
              <w:tabs>
                <w:tab w:val="left" w:pos="622"/>
              </w:tabs>
              <w:spacing w:after="0" w:line="240" w:lineRule="auto"/>
              <w:rPr>
                <w:rFonts w:ascii="Times New Roman" w:eastAsia="AngsanaUPC" w:hAnsi="Times New Roman"/>
                <w:bCs/>
                <w:sz w:val="18"/>
                <w:szCs w:val="18"/>
                <w:lang w:val="en-GB" w:eastAsia="lt-LT"/>
              </w:rPr>
            </w:pPr>
            <w:r w:rsidRPr="009348A3">
              <w:rPr>
                <w:rFonts w:ascii="Times New Roman" w:eastAsia="AngsanaUPC" w:hAnsi="Times New Roman"/>
                <w:bCs/>
                <w:sz w:val="18"/>
                <w:szCs w:val="18"/>
                <w:lang w:val="en-GB" w:eastAsia="lt-LT"/>
              </w:rPr>
              <w:t>ERPF</w:t>
            </w:r>
          </w:p>
        </w:tc>
        <w:tc>
          <w:tcPr>
            <w:tcW w:w="709" w:type="dxa"/>
            <w:shd w:val="clear" w:color="auto" w:fill="auto"/>
            <w:vAlign w:val="center"/>
          </w:tcPr>
          <w:p w:rsidR="009F1C50" w:rsidRPr="009348A3" w:rsidRDefault="009F1C50" w:rsidP="000D0444">
            <w:pPr>
              <w:widowControl w:val="0"/>
              <w:tabs>
                <w:tab w:val="left" w:pos="622"/>
              </w:tabs>
              <w:spacing w:after="0" w:line="240" w:lineRule="auto"/>
              <w:rPr>
                <w:rFonts w:ascii="Times New Roman" w:eastAsia="AngsanaUPC" w:hAnsi="Times New Roman"/>
                <w:bCs/>
                <w:sz w:val="18"/>
                <w:szCs w:val="18"/>
                <w:lang w:val="en-GB" w:eastAsia="lt-LT"/>
              </w:rPr>
            </w:pPr>
            <w:r w:rsidRPr="009348A3">
              <w:rPr>
                <w:rFonts w:ascii="Times New Roman" w:eastAsia="AngsanaUPC" w:hAnsi="Times New Roman"/>
                <w:bCs/>
                <w:sz w:val="18"/>
                <w:szCs w:val="18"/>
                <w:lang w:val="en-GB" w:eastAsia="lt-LT"/>
              </w:rPr>
              <w:t>54</w:t>
            </w:r>
          </w:p>
        </w:tc>
        <w:tc>
          <w:tcPr>
            <w:tcW w:w="6378" w:type="dxa"/>
            <w:shd w:val="clear" w:color="auto" w:fill="auto"/>
            <w:vAlign w:val="center"/>
          </w:tcPr>
          <w:p w:rsidR="009F1C50" w:rsidRPr="009348A3" w:rsidRDefault="009F1C50" w:rsidP="000D0444">
            <w:pPr>
              <w:widowControl w:val="0"/>
              <w:tabs>
                <w:tab w:val="left" w:pos="622"/>
              </w:tabs>
              <w:spacing w:after="0" w:line="240" w:lineRule="auto"/>
              <w:rPr>
                <w:rFonts w:ascii="Times New Roman" w:eastAsia="AngsanaUPC" w:hAnsi="Times New Roman"/>
                <w:bCs/>
                <w:sz w:val="18"/>
                <w:szCs w:val="18"/>
                <w:lang w:eastAsia="lt-LT"/>
              </w:rPr>
            </w:pPr>
            <w:r w:rsidRPr="009348A3">
              <w:rPr>
                <w:rFonts w:ascii="Times New Roman" w:eastAsia="AngsanaUPC" w:hAnsi="Times New Roman"/>
                <w:bCs/>
                <w:sz w:val="18"/>
                <w:szCs w:val="18"/>
                <w:lang w:eastAsia="lt-LT"/>
              </w:rPr>
              <w:t>Būsto infrastruktūra</w:t>
            </w:r>
          </w:p>
        </w:tc>
        <w:tc>
          <w:tcPr>
            <w:tcW w:w="1843" w:type="dxa"/>
            <w:shd w:val="clear" w:color="auto" w:fill="auto"/>
            <w:vAlign w:val="center"/>
          </w:tcPr>
          <w:p w:rsidR="009F1C50" w:rsidRPr="00FC6264" w:rsidRDefault="009F1C50" w:rsidP="00AC0CDE">
            <w:pPr>
              <w:widowControl w:val="0"/>
              <w:tabs>
                <w:tab w:val="left" w:pos="622"/>
              </w:tabs>
              <w:spacing w:after="0" w:line="240" w:lineRule="auto"/>
              <w:jc w:val="right"/>
              <w:rPr>
                <w:rFonts w:ascii="Times New Roman" w:eastAsia="AngsanaUPC" w:hAnsi="Times New Roman"/>
                <w:bCs/>
                <w:sz w:val="18"/>
                <w:szCs w:val="18"/>
                <w:lang w:val="en-GB" w:eastAsia="lt-LT"/>
              </w:rPr>
            </w:pPr>
            <w:r w:rsidRPr="00FC6264">
              <w:rPr>
                <w:rFonts w:ascii="Times New Roman" w:eastAsia="AngsanaUPC" w:hAnsi="Times New Roman"/>
                <w:bCs/>
                <w:sz w:val="18"/>
                <w:szCs w:val="18"/>
                <w:lang w:val="en-GB" w:eastAsia="lt-LT"/>
              </w:rPr>
              <w:t>49</w:t>
            </w:r>
            <w:r w:rsidR="009348A3"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931</w:t>
            </w:r>
            <w:r w:rsidR="009348A3"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530</w:t>
            </w:r>
          </w:p>
        </w:tc>
      </w:tr>
      <w:tr w:rsidR="009F1C50" w:rsidRPr="009348A3" w:rsidTr="006F1682">
        <w:tc>
          <w:tcPr>
            <w:tcW w:w="851" w:type="dxa"/>
            <w:shd w:val="clear" w:color="auto" w:fill="auto"/>
            <w:vAlign w:val="center"/>
          </w:tcPr>
          <w:p w:rsidR="009F1C50" w:rsidRPr="009348A3" w:rsidRDefault="009F1C50" w:rsidP="000D0444">
            <w:pPr>
              <w:widowControl w:val="0"/>
              <w:tabs>
                <w:tab w:val="left" w:pos="622"/>
              </w:tabs>
              <w:spacing w:after="0" w:line="240" w:lineRule="auto"/>
              <w:rPr>
                <w:rFonts w:ascii="Times New Roman" w:eastAsia="AngsanaUPC" w:hAnsi="Times New Roman"/>
                <w:bCs/>
                <w:sz w:val="18"/>
                <w:szCs w:val="18"/>
                <w:lang w:val="en-GB" w:eastAsia="lt-LT"/>
              </w:rPr>
            </w:pPr>
            <w:r w:rsidRPr="009348A3">
              <w:rPr>
                <w:rFonts w:ascii="Times New Roman" w:eastAsia="AngsanaUPC" w:hAnsi="Times New Roman"/>
                <w:bCs/>
                <w:sz w:val="18"/>
                <w:szCs w:val="18"/>
                <w:lang w:val="en-GB" w:eastAsia="lt-LT"/>
              </w:rPr>
              <w:t>ERPF</w:t>
            </w:r>
          </w:p>
        </w:tc>
        <w:tc>
          <w:tcPr>
            <w:tcW w:w="709" w:type="dxa"/>
            <w:shd w:val="clear" w:color="auto" w:fill="auto"/>
            <w:vAlign w:val="center"/>
          </w:tcPr>
          <w:p w:rsidR="009F1C50" w:rsidRPr="009348A3" w:rsidRDefault="009F1C50" w:rsidP="000D0444">
            <w:pPr>
              <w:widowControl w:val="0"/>
              <w:tabs>
                <w:tab w:val="left" w:pos="622"/>
              </w:tabs>
              <w:spacing w:after="0" w:line="240" w:lineRule="auto"/>
              <w:rPr>
                <w:rFonts w:ascii="Times New Roman" w:eastAsia="AngsanaUPC" w:hAnsi="Times New Roman"/>
                <w:bCs/>
                <w:sz w:val="18"/>
                <w:szCs w:val="18"/>
                <w:lang w:val="en-GB" w:eastAsia="lt-LT"/>
              </w:rPr>
            </w:pPr>
            <w:r w:rsidRPr="009348A3">
              <w:rPr>
                <w:rFonts w:ascii="Times New Roman" w:eastAsia="AngsanaUPC" w:hAnsi="Times New Roman"/>
                <w:bCs/>
                <w:sz w:val="18"/>
                <w:szCs w:val="18"/>
                <w:lang w:val="en-GB" w:eastAsia="lt-LT"/>
              </w:rPr>
              <w:t>55</w:t>
            </w:r>
          </w:p>
        </w:tc>
        <w:tc>
          <w:tcPr>
            <w:tcW w:w="6378" w:type="dxa"/>
            <w:shd w:val="clear" w:color="auto" w:fill="auto"/>
            <w:vAlign w:val="center"/>
          </w:tcPr>
          <w:p w:rsidR="009F1C50" w:rsidRPr="009348A3" w:rsidRDefault="009F1C50" w:rsidP="000D0444">
            <w:pPr>
              <w:widowControl w:val="0"/>
              <w:tabs>
                <w:tab w:val="left" w:pos="622"/>
              </w:tabs>
              <w:spacing w:after="0" w:line="240" w:lineRule="auto"/>
              <w:rPr>
                <w:rFonts w:ascii="Times New Roman" w:eastAsia="AngsanaUPC" w:hAnsi="Times New Roman"/>
                <w:bCs/>
                <w:sz w:val="18"/>
                <w:szCs w:val="18"/>
                <w:lang w:eastAsia="lt-LT"/>
              </w:rPr>
            </w:pPr>
            <w:r w:rsidRPr="009348A3">
              <w:rPr>
                <w:rFonts w:ascii="Times New Roman" w:eastAsia="AngsanaUPC" w:hAnsi="Times New Roman"/>
                <w:bCs/>
                <w:sz w:val="18"/>
                <w:szCs w:val="18"/>
                <w:lang w:eastAsia="lt-LT"/>
              </w:rPr>
              <w:t>Kita socialinė infrastruktūra, kuria prisidedama prie regioninės ir vietos plėtros</w:t>
            </w:r>
          </w:p>
        </w:tc>
        <w:tc>
          <w:tcPr>
            <w:tcW w:w="1843" w:type="dxa"/>
            <w:shd w:val="clear" w:color="auto" w:fill="auto"/>
            <w:vAlign w:val="center"/>
          </w:tcPr>
          <w:p w:rsidR="009F1C50" w:rsidRPr="00FC6264" w:rsidRDefault="00750C20" w:rsidP="00AC0CDE">
            <w:pPr>
              <w:widowControl w:val="0"/>
              <w:tabs>
                <w:tab w:val="left" w:pos="622"/>
              </w:tabs>
              <w:spacing w:after="0" w:line="240" w:lineRule="auto"/>
              <w:jc w:val="right"/>
              <w:rPr>
                <w:rFonts w:ascii="Times New Roman" w:eastAsia="AngsanaUPC" w:hAnsi="Times New Roman"/>
                <w:bCs/>
                <w:sz w:val="18"/>
                <w:szCs w:val="18"/>
                <w:lang w:val="en-GB" w:eastAsia="lt-LT"/>
              </w:rPr>
            </w:pPr>
            <w:r w:rsidRPr="00FC6264">
              <w:rPr>
                <w:rFonts w:ascii="Times New Roman" w:eastAsia="AngsanaUPC" w:hAnsi="Times New Roman"/>
                <w:bCs/>
                <w:sz w:val="18"/>
                <w:szCs w:val="18"/>
                <w:lang w:val="en-GB" w:eastAsia="lt-LT"/>
              </w:rPr>
              <w:t>104</w:t>
            </w:r>
            <w:r w:rsidR="009348A3" w:rsidRPr="00FC6264">
              <w:rPr>
                <w:rFonts w:ascii="Times New Roman" w:eastAsia="AngsanaUPC" w:hAnsi="Times New Roman"/>
                <w:bCs/>
                <w:sz w:val="18"/>
                <w:szCs w:val="18"/>
                <w:lang w:val="en-GB" w:eastAsia="lt-LT"/>
              </w:rPr>
              <w:t>.</w:t>
            </w:r>
            <w:r w:rsidR="009F1C50" w:rsidRPr="00FC6264">
              <w:rPr>
                <w:rFonts w:ascii="Times New Roman" w:eastAsia="AngsanaUPC" w:hAnsi="Times New Roman"/>
                <w:bCs/>
                <w:sz w:val="18"/>
                <w:szCs w:val="18"/>
                <w:lang w:val="en-GB" w:eastAsia="lt-LT"/>
              </w:rPr>
              <w:t>718</w:t>
            </w:r>
            <w:r w:rsidR="009348A3" w:rsidRPr="00FC6264">
              <w:rPr>
                <w:rFonts w:ascii="Times New Roman" w:eastAsia="AngsanaUPC" w:hAnsi="Times New Roman"/>
                <w:bCs/>
                <w:sz w:val="18"/>
                <w:szCs w:val="18"/>
                <w:lang w:val="en-GB" w:eastAsia="lt-LT"/>
              </w:rPr>
              <w:t>.</w:t>
            </w:r>
            <w:r w:rsidR="009F1C50" w:rsidRPr="00FC6264">
              <w:rPr>
                <w:rFonts w:ascii="Times New Roman" w:eastAsia="AngsanaUPC" w:hAnsi="Times New Roman"/>
                <w:bCs/>
                <w:sz w:val="18"/>
                <w:szCs w:val="18"/>
                <w:lang w:val="en-GB" w:eastAsia="lt-LT"/>
              </w:rPr>
              <w:t>833</w:t>
            </w:r>
          </w:p>
        </w:tc>
      </w:tr>
      <w:tr w:rsidR="009F1C50" w:rsidRPr="009348A3" w:rsidTr="006F1682">
        <w:tc>
          <w:tcPr>
            <w:tcW w:w="851" w:type="dxa"/>
            <w:shd w:val="clear" w:color="auto" w:fill="auto"/>
            <w:vAlign w:val="center"/>
          </w:tcPr>
          <w:p w:rsidR="009F1C50" w:rsidRPr="009348A3" w:rsidRDefault="009F1C50" w:rsidP="000D0444">
            <w:pPr>
              <w:widowControl w:val="0"/>
              <w:tabs>
                <w:tab w:val="left" w:pos="622"/>
              </w:tabs>
              <w:spacing w:after="0" w:line="240" w:lineRule="auto"/>
              <w:rPr>
                <w:rFonts w:ascii="Times New Roman" w:eastAsia="AngsanaUPC" w:hAnsi="Times New Roman"/>
                <w:bCs/>
                <w:sz w:val="18"/>
                <w:szCs w:val="18"/>
                <w:lang w:val="en-GB" w:eastAsia="lt-LT"/>
              </w:rPr>
            </w:pPr>
            <w:r w:rsidRPr="009348A3">
              <w:rPr>
                <w:rFonts w:ascii="Times New Roman" w:eastAsia="AngsanaUPC" w:hAnsi="Times New Roman"/>
                <w:bCs/>
                <w:sz w:val="18"/>
                <w:szCs w:val="18"/>
                <w:lang w:val="en-GB" w:eastAsia="lt-LT"/>
              </w:rPr>
              <w:t>ESF</w:t>
            </w:r>
          </w:p>
        </w:tc>
        <w:tc>
          <w:tcPr>
            <w:tcW w:w="709" w:type="dxa"/>
            <w:shd w:val="clear" w:color="auto" w:fill="auto"/>
            <w:vAlign w:val="center"/>
          </w:tcPr>
          <w:p w:rsidR="009F1C50" w:rsidRPr="009348A3" w:rsidRDefault="009F1C50" w:rsidP="000D0444">
            <w:pPr>
              <w:widowControl w:val="0"/>
              <w:tabs>
                <w:tab w:val="left" w:pos="622"/>
              </w:tabs>
              <w:spacing w:after="0" w:line="240" w:lineRule="auto"/>
              <w:rPr>
                <w:rFonts w:ascii="Times New Roman" w:eastAsia="AngsanaUPC" w:hAnsi="Times New Roman"/>
                <w:bCs/>
                <w:sz w:val="18"/>
                <w:szCs w:val="18"/>
                <w:lang w:val="en-GB" w:eastAsia="lt-LT"/>
              </w:rPr>
            </w:pPr>
            <w:r w:rsidRPr="009348A3">
              <w:rPr>
                <w:rFonts w:ascii="Times New Roman" w:eastAsia="AngsanaUPC" w:hAnsi="Times New Roman"/>
                <w:bCs/>
                <w:sz w:val="18"/>
                <w:szCs w:val="18"/>
                <w:lang w:val="en-GB" w:eastAsia="lt-LT"/>
              </w:rPr>
              <w:t>109</w:t>
            </w:r>
          </w:p>
        </w:tc>
        <w:tc>
          <w:tcPr>
            <w:tcW w:w="6378" w:type="dxa"/>
            <w:shd w:val="clear" w:color="auto" w:fill="auto"/>
            <w:vAlign w:val="center"/>
          </w:tcPr>
          <w:p w:rsidR="009F1C50" w:rsidRPr="009348A3" w:rsidRDefault="009F1C50" w:rsidP="000D0444">
            <w:pPr>
              <w:widowControl w:val="0"/>
              <w:tabs>
                <w:tab w:val="left" w:pos="622"/>
              </w:tabs>
              <w:spacing w:after="0" w:line="240" w:lineRule="auto"/>
              <w:rPr>
                <w:rFonts w:ascii="Times New Roman" w:eastAsia="AngsanaUPC" w:hAnsi="Times New Roman"/>
                <w:bCs/>
                <w:sz w:val="18"/>
                <w:szCs w:val="18"/>
                <w:lang w:eastAsia="lt-LT"/>
              </w:rPr>
            </w:pPr>
            <w:r w:rsidRPr="009348A3">
              <w:rPr>
                <w:rFonts w:ascii="Times New Roman" w:eastAsia="AngsanaUPC" w:hAnsi="Times New Roman"/>
                <w:bCs/>
                <w:sz w:val="18"/>
                <w:szCs w:val="18"/>
                <w:lang w:eastAsia="lt-LT"/>
              </w:rPr>
              <w:t>Aktyvi įtrauktis, be kita ko, siekiant propaguoti lygias galimybes ir aktyvų dalyvavimą ir gerinti įsidarbinimo galimybes</w:t>
            </w:r>
          </w:p>
        </w:tc>
        <w:tc>
          <w:tcPr>
            <w:tcW w:w="1843" w:type="dxa"/>
            <w:shd w:val="clear" w:color="auto" w:fill="auto"/>
            <w:vAlign w:val="center"/>
          </w:tcPr>
          <w:p w:rsidR="009F1C50" w:rsidRPr="00FC6264" w:rsidRDefault="009F1C50" w:rsidP="00750C20">
            <w:pPr>
              <w:widowControl w:val="0"/>
              <w:tabs>
                <w:tab w:val="left" w:pos="622"/>
              </w:tabs>
              <w:spacing w:after="0" w:line="240" w:lineRule="auto"/>
              <w:jc w:val="right"/>
              <w:rPr>
                <w:rFonts w:ascii="Times New Roman" w:eastAsia="AngsanaUPC" w:hAnsi="Times New Roman"/>
                <w:bCs/>
                <w:sz w:val="18"/>
                <w:szCs w:val="18"/>
                <w:lang w:val="en-GB" w:eastAsia="lt-LT"/>
              </w:rPr>
            </w:pPr>
            <w:r w:rsidRPr="00FC6264">
              <w:rPr>
                <w:rFonts w:ascii="Times New Roman" w:eastAsia="AngsanaUPC" w:hAnsi="Times New Roman"/>
                <w:bCs/>
                <w:sz w:val="18"/>
                <w:szCs w:val="18"/>
                <w:lang w:val="en-GB" w:eastAsia="lt-LT"/>
              </w:rPr>
              <w:t>5</w:t>
            </w:r>
            <w:r w:rsidR="00750C20" w:rsidRPr="00FC6264">
              <w:rPr>
                <w:rFonts w:ascii="Times New Roman" w:eastAsia="AngsanaUPC" w:hAnsi="Times New Roman"/>
                <w:bCs/>
                <w:sz w:val="18"/>
                <w:szCs w:val="18"/>
                <w:lang w:val="en-GB" w:eastAsia="lt-LT"/>
              </w:rPr>
              <w:t>2</w:t>
            </w:r>
            <w:r w:rsidR="009348A3"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924</w:t>
            </w:r>
            <w:r w:rsidR="009348A3"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006</w:t>
            </w:r>
          </w:p>
        </w:tc>
      </w:tr>
      <w:tr w:rsidR="009F1C50" w:rsidRPr="009348A3" w:rsidTr="006F1682">
        <w:tc>
          <w:tcPr>
            <w:tcW w:w="851" w:type="dxa"/>
            <w:shd w:val="clear" w:color="auto" w:fill="auto"/>
            <w:vAlign w:val="center"/>
          </w:tcPr>
          <w:p w:rsidR="009F1C50" w:rsidRPr="009348A3" w:rsidRDefault="009F1C50" w:rsidP="000D0444">
            <w:pPr>
              <w:widowControl w:val="0"/>
              <w:tabs>
                <w:tab w:val="left" w:pos="622"/>
              </w:tabs>
              <w:spacing w:after="0" w:line="240" w:lineRule="auto"/>
              <w:rPr>
                <w:rFonts w:ascii="Times New Roman" w:eastAsia="AngsanaUPC" w:hAnsi="Times New Roman"/>
                <w:bCs/>
                <w:sz w:val="18"/>
                <w:szCs w:val="18"/>
                <w:lang w:val="en-GB" w:eastAsia="lt-LT"/>
              </w:rPr>
            </w:pPr>
            <w:r w:rsidRPr="009348A3">
              <w:rPr>
                <w:rFonts w:ascii="Times New Roman" w:eastAsia="AngsanaUPC" w:hAnsi="Times New Roman"/>
                <w:bCs/>
                <w:sz w:val="18"/>
                <w:szCs w:val="18"/>
                <w:lang w:val="en-GB" w:eastAsia="lt-LT"/>
              </w:rPr>
              <w:t>ESF</w:t>
            </w:r>
          </w:p>
        </w:tc>
        <w:tc>
          <w:tcPr>
            <w:tcW w:w="709" w:type="dxa"/>
            <w:shd w:val="clear" w:color="auto" w:fill="auto"/>
            <w:vAlign w:val="center"/>
          </w:tcPr>
          <w:p w:rsidR="009F1C50" w:rsidRPr="009348A3" w:rsidRDefault="009F1C50" w:rsidP="000D0444">
            <w:pPr>
              <w:widowControl w:val="0"/>
              <w:tabs>
                <w:tab w:val="left" w:pos="622"/>
              </w:tabs>
              <w:spacing w:after="0" w:line="240" w:lineRule="auto"/>
              <w:rPr>
                <w:rFonts w:ascii="Times New Roman" w:eastAsia="AngsanaUPC" w:hAnsi="Times New Roman"/>
                <w:bCs/>
                <w:sz w:val="18"/>
                <w:szCs w:val="18"/>
                <w:lang w:val="en-GB" w:eastAsia="lt-LT"/>
              </w:rPr>
            </w:pPr>
            <w:r w:rsidRPr="009348A3">
              <w:rPr>
                <w:rFonts w:ascii="Times New Roman" w:eastAsia="AngsanaUPC" w:hAnsi="Times New Roman"/>
                <w:bCs/>
                <w:sz w:val="18"/>
                <w:szCs w:val="18"/>
                <w:lang w:val="en-GB" w:eastAsia="lt-LT"/>
              </w:rPr>
              <w:t>112</w:t>
            </w:r>
          </w:p>
        </w:tc>
        <w:tc>
          <w:tcPr>
            <w:tcW w:w="6378" w:type="dxa"/>
            <w:shd w:val="clear" w:color="auto" w:fill="auto"/>
            <w:vAlign w:val="center"/>
          </w:tcPr>
          <w:p w:rsidR="009F1C50" w:rsidRPr="009348A3" w:rsidRDefault="009F1C50" w:rsidP="000D0444">
            <w:pPr>
              <w:widowControl w:val="0"/>
              <w:tabs>
                <w:tab w:val="left" w:pos="622"/>
              </w:tabs>
              <w:spacing w:after="0" w:line="240" w:lineRule="auto"/>
              <w:rPr>
                <w:rFonts w:ascii="Times New Roman" w:eastAsia="AngsanaUPC" w:hAnsi="Times New Roman"/>
                <w:bCs/>
                <w:sz w:val="18"/>
                <w:szCs w:val="18"/>
                <w:lang w:eastAsia="lt-LT"/>
              </w:rPr>
            </w:pPr>
            <w:r w:rsidRPr="009348A3">
              <w:rPr>
                <w:rFonts w:ascii="Times New Roman" w:eastAsia="AngsanaUPC" w:hAnsi="Times New Roman"/>
                <w:bCs/>
                <w:sz w:val="18"/>
                <w:szCs w:val="18"/>
                <w:lang w:eastAsia="lt-LT"/>
              </w:rPr>
              <w:t>Galimybių naudotis įperkamomis, tvariomis ir aukštos kokybės paslaugomis, įskaitant sveikatos priežiūrą ir visuotinės svarbos socialines paslaugas, didinimas</w:t>
            </w:r>
          </w:p>
        </w:tc>
        <w:tc>
          <w:tcPr>
            <w:tcW w:w="1843" w:type="dxa"/>
            <w:shd w:val="clear" w:color="auto" w:fill="auto"/>
            <w:vAlign w:val="center"/>
          </w:tcPr>
          <w:p w:rsidR="009F1C50" w:rsidRPr="00FC6264" w:rsidRDefault="00AC0CDE" w:rsidP="00750C20">
            <w:pPr>
              <w:widowControl w:val="0"/>
              <w:tabs>
                <w:tab w:val="left" w:pos="622"/>
              </w:tabs>
              <w:spacing w:after="0" w:line="240" w:lineRule="auto"/>
              <w:jc w:val="right"/>
              <w:rPr>
                <w:rFonts w:ascii="Times New Roman" w:eastAsia="AngsanaUPC" w:hAnsi="Times New Roman"/>
                <w:bCs/>
                <w:sz w:val="18"/>
                <w:szCs w:val="18"/>
                <w:lang w:val="en-GB" w:eastAsia="lt-LT"/>
              </w:rPr>
            </w:pPr>
            <w:r w:rsidRPr="00FC6264">
              <w:rPr>
                <w:rFonts w:ascii="Times New Roman" w:eastAsia="AngsanaUPC" w:hAnsi="Times New Roman"/>
                <w:bCs/>
                <w:sz w:val="18"/>
                <w:szCs w:val="18"/>
                <w:lang w:val="en-GB" w:eastAsia="lt-LT"/>
              </w:rPr>
              <w:t>12</w:t>
            </w:r>
            <w:r w:rsidR="00750C20" w:rsidRPr="00FC6264">
              <w:rPr>
                <w:rFonts w:ascii="Times New Roman" w:eastAsia="AngsanaUPC" w:hAnsi="Times New Roman"/>
                <w:bCs/>
                <w:sz w:val="18"/>
                <w:szCs w:val="18"/>
                <w:lang w:val="en-GB" w:eastAsia="lt-LT"/>
              </w:rPr>
              <w:t>8</w:t>
            </w:r>
            <w:r w:rsidR="009348A3" w:rsidRPr="00FC6264">
              <w:rPr>
                <w:rFonts w:ascii="Times New Roman" w:eastAsia="AngsanaUPC" w:hAnsi="Times New Roman"/>
                <w:bCs/>
                <w:sz w:val="18"/>
                <w:szCs w:val="18"/>
                <w:lang w:val="en-GB" w:eastAsia="lt-LT"/>
              </w:rPr>
              <w:t>.</w:t>
            </w:r>
            <w:r w:rsidR="00750C20" w:rsidRPr="00FC6264">
              <w:rPr>
                <w:rFonts w:ascii="Times New Roman" w:eastAsia="AngsanaUPC" w:hAnsi="Times New Roman"/>
                <w:bCs/>
                <w:sz w:val="18"/>
                <w:szCs w:val="18"/>
                <w:lang w:val="en-GB" w:eastAsia="lt-LT"/>
              </w:rPr>
              <w:t>0</w:t>
            </w:r>
            <w:r w:rsidRPr="00FC6264">
              <w:rPr>
                <w:rFonts w:ascii="Times New Roman" w:eastAsia="AngsanaUPC" w:hAnsi="Times New Roman"/>
                <w:bCs/>
                <w:sz w:val="18"/>
                <w:szCs w:val="18"/>
                <w:lang w:val="en-GB" w:eastAsia="lt-LT"/>
              </w:rPr>
              <w:t>04</w:t>
            </w:r>
            <w:r w:rsidR="009348A3"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236</w:t>
            </w:r>
          </w:p>
        </w:tc>
      </w:tr>
      <w:tr w:rsidR="009F1C50" w:rsidRPr="009348A3" w:rsidTr="006F1682">
        <w:tc>
          <w:tcPr>
            <w:tcW w:w="851" w:type="dxa"/>
            <w:shd w:val="clear" w:color="auto" w:fill="auto"/>
            <w:vAlign w:val="center"/>
          </w:tcPr>
          <w:p w:rsidR="009F1C50" w:rsidRPr="009348A3" w:rsidRDefault="009F1C50" w:rsidP="000D0444">
            <w:pPr>
              <w:widowControl w:val="0"/>
              <w:tabs>
                <w:tab w:val="left" w:pos="622"/>
              </w:tabs>
              <w:spacing w:after="0" w:line="240" w:lineRule="auto"/>
              <w:rPr>
                <w:rFonts w:ascii="Times New Roman" w:eastAsia="AngsanaUPC" w:hAnsi="Times New Roman"/>
                <w:bCs/>
                <w:sz w:val="18"/>
                <w:szCs w:val="18"/>
                <w:lang w:val="en-GB" w:eastAsia="lt-LT"/>
              </w:rPr>
            </w:pPr>
            <w:r w:rsidRPr="009348A3">
              <w:rPr>
                <w:rFonts w:ascii="Times New Roman" w:eastAsia="AngsanaUPC" w:hAnsi="Times New Roman"/>
                <w:bCs/>
                <w:sz w:val="18"/>
                <w:szCs w:val="18"/>
                <w:lang w:val="en-GB" w:eastAsia="lt-LT"/>
              </w:rPr>
              <w:t>ESF</w:t>
            </w:r>
          </w:p>
        </w:tc>
        <w:tc>
          <w:tcPr>
            <w:tcW w:w="709" w:type="dxa"/>
            <w:shd w:val="clear" w:color="auto" w:fill="auto"/>
            <w:vAlign w:val="center"/>
          </w:tcPr>
          <w:p w:rsidR="009F1C50" w:rsidRPr="009348A3" w:rsidRDefault="009F1C50" w:rsidP="000D0444">
            <w:pPr>
              <w:widowControl w:val="0"/>
              <w:tabs>
                <w:tab w:val="left" w:pos="622"/>
              </w:tabs>
              <w:spacing w:after="0" w:line="240" w:lineRule="auto"/>
              <w:rPr>
                <w:rFonts w:ascii="Times New Roman" w:eastAsia="AngsanaUPC" w:hAnsi="Times New Roman"/>
                <w:bCs/>
                <w:sz w:val="18"/>
                <w:szCs w:val="18"/>
                <w:lang w:val="en-GB" w:eastAsia="lt-LT"/>
              </w:rPr>
            </w:pPr>
            <w:r w:rsidRPr="009348A3">
              <w:rPr>
                <w:rFonts w:ascii="Times New Roman" w:eastAsia="AngsanaUPC" w:hAnsi="Times New Roman"/>
                <w:bCs/>
                <w:sz w:val="18"/>
                <w:szCs w:val="18"/>
                <w:lang w:val="en-GB" w:eastAsia="lt-LT"/>
              </w:rPr>
              <w:t>113</w:t>
            </w:r>
          </w:p>
        </w:tc>
        <w:tc>
          <w:tcPr>
            <w:tcW w:w="6378" w:type="dxa"/>
            <w:shd w:val="clear" w:color="auto" w:fill="auto"/>
            <w:vAlign w:val="center"/>
          </w:tcPr>
          <w:p w:rsidR="009F1C50" w:rsidRPr="009348A3" w:rsidRDefault="009F1C50" w:rsidP="000D0444">
            <w:pPr>
              <w:widowControl w:val="0"/>
              <w:tabs>
                <w:tab w:val="left" w:pos="622"/>
              </w:tabs>
              <w:spacing w:after="0" w:line="240" w:lineRule="auto"/>
              <w:rPr>
                <w:rFonts w:ascii="Times New Roman" w:eastAsia="AngsanaUPC" w:hAnsi="Times New Roman"/>
                <w:bCs/>
                <w:sz w:val="18"/>
                <w:szCs w:val="18"/>
                <w:lang w:eastAsia="lt-LT"/>
              </w:rPr>
            </w:pPr>
            <w:r w:rsidRPr="009348A3">
              <w:rPr>
                <w:rFonts w:ascii="Times New Roman" w:eastAsia="AngsanaUPC" w:hAnsi="Times New Roman"/>
                <w:bCs/>
                <w:sz w:val="18"/>
                <w:szCs w:val="18"/>
                <w:lang w:eastAsia="lt-LT"/>
              </w:rPr>
              <w:t>Socialinio verslumo ir profesinės integracijos socialinėse įmonėse, taip pat socialinės ir solidarumo ekonomikos skatinimas siekiant padidinti įsidarbinimo galimybes</w:t>
            </w:r>
          </w:p>
        </w:tc>
        <w:tc>
          <w:tcPr>
            <w:tcW w:w="1843" w:type="dxa"/>
            <w:shd w:val="clear" w:color="auto" w:fill="auto"/>
            <w:vAlign w:val="center"/>
          </w:tcPr>
          <w:p w:rsidR="009F1C50" w:rsidRPr="00FC6264" w:rsidRDefault="009F1C50" w:rsidP="00750C20">
            <w:pPr>
              <w:widowControl w:val="0"/>
              <w:tabs>
                <w:tab w:val="left" w:pos="622"/>
              </w:tabs>
              <w:spacing w:after="0" w:line="240" w:lineRule="auto"/>
              <w:jc w:val="right"/>
              <w:rPr>
                <w:rFonts w:ascii="Times New Roman" w:eastAsia="AngsanaUPC" w:hAnsi="Times New Roman"/>
                <w:bCs/>
                <w:sz w:val="18"/>
                <w:szCs w:val="18"/>
                <w:lang w:val="en-GB" w:eastAsia="lt-LT"/>
              </w:rPr>
            </w:pPr>
            <w:r w:rsidRPr="00FC6264">
              <w:rPr>
                <w:rFonts w:ascii="Times New Roman" w:eastAsia="AngsanaUPC" w:hAnsi="Times New Roman"/>
                <w:bCs/>
                <w:sz w:val="18"/>
                <w:szCs w:val="18"/>
                <w:lang w:val="en-GB" w:eastAsia="lt-LT"/>
              </w:rPr>
              <w:t>4</w:t>
            </w:r>
            <w:r w:rsidR="00750C20" w:rsidRPr="00FC6264">
              <w:rPr>
                <w:rFonts w:ascii="Times New Roman" w:eastAsia="AngsanaUPC" w:hAnsi="Times New Roman"/>
                <w:bCs/>
                <w:sz w:val="18"/>
                <w:szCs w:val="18"/>
                <w:lang w:val="en-GB" w:eastAsia="lt-LT"/>
              </w:rPr>
              <w:t>1</w:t>
            </w:r>
            <w:r w:rsidR="009348A3" w:rsidRPr="00FC6264">
              <w:rPr>
                <w:rFonts w:ascii="Times New Roman" w:eastAsia="AngsanaUPC" w:hAnsi="Times New Roman"/>
                <w:bCs/>
                <w:sz w:val="18"/>
                <w:szCs w:val="18"/>
                <w:lang w:val="en-GB" w:eastAsia="lt-LT"/>
              </w:rPr>
              <w:t>.</w:t>
            </w:r>
            <w:r w:rsidR="00750C20" w:rsidRPr="00FC6264">
              <w:rPr>
                <w:rFonts w:ascii="Times New Roman" w:eastAsia="AngsanaUPC" w:hAnsi="Times New Roman"/>
                <w:bCs/>
                <w:sz w:val="18"/>
                <w:szCs w:val="18"/>
                <w:lang w:val="en-GB" w:eastAsia="lt-LT"/>
              </w:rPr>
              <w:t>286</w:t>
            </w:r>
            <w:r w:rsidR="009348A3"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042</w:t>
            </w:r>
          </w:p>
        </w:tc>
      </w:tr>
      <w:tr w:rsidR="009F1C50" w:rsidRPr="009348A3" w:rsidTr="006F1682">
        <w:tc>
          <w:tcPr>
            <w:tcW w:w="851" w:type="dxa"/>
            <w:shd w:val="clear" w:color="auto" w:fill="auto"/>
            <w:vAlign w:val="center"/>
          </w:tcPr>
          <w:p w:rsidR="009F1C50" w:rsidRPr="009348A3" w:rsidRDefault="009F1C50" w:rsidP="000D0444">
            <w:pPr>
              <w:widowControl w:val="0"/>
              <w:tabs>
                <w:tab w:val="left" w:pos="622"/>
              </w:tabs>
              <w:spacing w:after="0" w:line="240" w:lineRule="auto"/>
              <w:rPr>
                <w:rFonts w:ascii="Times New Roman" w:eastAsia="AngsanaUPC" w:hAnsi="Times New Roman"/>
                <w:bCs/>
                <w:sz w:val="18"/>
                <w:szCs w:val="18"/>
                <w:lang w:val="en-GB" w:eastAsia="lt-LT"/>
              </w:rPr>
            </w:pPr>
            <w:r w:rsidRPr="009348A3">
              <w:rPr>
                <w:rFonts w:ascii="Times New Roman" w:eastAsia="AngsanaUPC" w:hAnsi="Times New Roman"/>
                <w:bCs/>
                <w:sz w:val="18"/>
                <w:szCs w:val="18"/>
                <w:lang w:val="en-GB" w:eastAsia="lt-LT"/>
              </w:rPr>
              <w:t>ESF</w:t>
            </w:r>
          </w:p>
        </w:tc>
        <w:tc>
          <w:tcPr>
            <w:tcW w:w="709" w:type="dxa"/>
            <w:shd w:val="clear" w:color="auto" w:fill="auto"/>
            <w:vAlign w:val="center"/>
          </w:tcPr>
          <w:p w:rsidR="009F1C50" w:rsidRPr="009348A3" w:rsidRDefault="009F1C50" w:rsidP="000D0444">
            <w:pPr>
              <w:widowControl w:val="0"/>
              <w:tabs>
                <w:tab w:val="left" w:pos="622"/>
              </w:tabs>
              <w:spacing w:after="0" w:line="240" w:lineRule="auto"/>
              <w:rPr>
                <w:rFonts w:ascii="Times New Roman" w:eastAsia="AngsanaUPC" w:hAnsi="Times New Roman"/>
                <w:bCs/>
                <w:sz w:val="18"/>
                <w:szCs w:val="18"/>
                <w:lang w:val="en-GB" w:eastAsia="lt-LT"/>
              </w:rPr>
            </w:pPr>
            <w:r w:rsidRPr="009348A3">
              <w:rPr>
                <w:rFonts w:ascii="Times New Roman" w:eastAsia="AngsanaUPC" w:hAnsi="Times New Roman"/>
                <w:bCs/>
                <w:sz w:val="18"/>
                <w:szCs w:val="18"/>
                <w:lang w:val="en-GB" w:eastAsia="lt-LT"/>
              </w:rPr>
              <w:t>114</w:t>
            </w:r>
          </w:p>
        </w:tc>
        <w:tc>
          <w:tcPr>
            <w:tcW w:w="6378" w:type="dxa"/>
            <w:shd w:val="clear" w:color="auto" w:fill="auto"/>
            <w:vAlign w:val="center"/>
          </w:tcPr>
          <w:p w:rsidR="009F1C50" w:rsidRPr="009348A3" w:rsidRDefault="00061F1E" w:rsidP="000D0444">
            <w:pPr>
              <w:widowControl w:val="0"/>
              <w:tabs>
                <w:tab w:val="left" w:pos="622"/>
              </w:tabs>
              <w:spacing w:after="0" w:line="240" w:lineRule="auto"/>
              <w:rPr>
                <w:rFonts w:ascii="Times New Roman" w:eastAsia="AngsanaUPC" w:hAnsi="Times New Roman"/>
                <w:bCs/>
                <w:sz w:val="18"/>
                <w:szCs w:val="18"/>
                <w:lang w:eastAsia="lt-LT"/>
              </w:rPr>
            </w:pPr>
            <w:r w:rsidRPr="009348A3">
              <w:rPr>
                <w:rFonts w:ascii="Times New Roman" w:eastAsia="AngsanaUPC" w:hAnsi="Times New Roman"/>
                <w:bCs/>
                <w:sz w:val="18"/>
                <w:szCs w:val="18"/>
                <w:lang w:eastAsia="lt-LT"/>
              </w:rPr>
              <w:t>Bendruomenės inicijuotos vietos plėtros strategijos</w:t>
            </w:r>
          </w:p>
        </w:tc>
        <w:tc>
          <w:tcPr>
            <w:tcW w:w="1843" w:type="dxa"/>
            <w:shd w:val="clear" w:color="auto" w:fill="auto"/>
            <w:vAlign w:val="center"/>
          </w:tcPr>
          <w:p w:rsidR="009F1C50" w:rsidRPr="00FC6264" w:rsidRDefault="00750C20" w:rsidP="00BB0960">
            <w:pPr>
              <w:widowControl w:val="0"/>
              <w:tabs>
                <w:tab w:val="left" w:pos="622"/>
              </w:tabs>
              <w:spacing w:after="0" w:line="240" w:lineRule="auto"/>
              <w:jc w:val="right"/>
              <w:rPr>
                <w:rFonts w:ascii="Times New Roman" w:eastAsia="AngsanaUPC" w:hAnsi="Times New Roman"/>
                <w:bCs/>
                <w:sz w:val="18"/>
                <w:szCs w:val="18"/>
                <w:lang w:val="en-GB" w:eastAsia="lt-LT"/>
              </w:rPr>
            </w:pPr>
            <w:r w:rsidRPr="00FC6264">
              <w:rPr>
                <w:rFonts w:ascii="Times New Roman" w:eastAsia="AngsanaUPC" w:hAnsi="Times New Roman"/>
                <w:bCs/>
                <w:sz w:val="18"/>
                <w:szCs w:val="18"/>
                <w:lang w:val="en-GB" w:eastAsia="lt-LT"/>
              </w:rPr>
              <w:t>18</w:t>
            </w:r>
            <w:r w:rsidR="009348A3"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eastAsia="lt-LT"/>
              </w:rPr>
              <w:t>8</w:t>
            </w:r>
            <w:r w:rsidR="00AC0CDE" w:rsidRPr="00FC6264">
              <w:rPr>
                <w:rFonts w:ascii="Times New Roman" w:eastAsia="AngsanaUPC" w:hAnsi="Times New Roman"/>
                <w:bCs/>
                <w:sz w:val="18"/>
                <w:szCs w:val="18"/>
                <w:lang w:eastAsia="lt-LT"/>
              </w:rPr>
              <w:t>40</w:t>
            </w:r>
            <w:r w:rsidR="009348A3" w:rsidRPr="00FC6264">
              <w:rPr>
                <w:rFonts w:ascii="Times New Roman" w:eastAsia="AngsanaUPC" w:hAnsi="Times New Roman"/>
                <w:bCs/>
                <w:sz w:val="18"/>
                <w:szCs w:val="18"/>
                <w:lang w:eastAsia="lt-LT"/>
              </w:rPr>
              <w:t>.</w:t>
            </w:r>
            <w:r w:rsidR="00AC0CDE" w:rsidRPr="00FC6264">
              <w:rPr>
                <w:rFonts w:ascii="Times New Roman" w:eastAsia="AngsanaUPC" w:hAnsi="Times New Roman"/>
                <w:bCs/>
                <w:sz w:val="18"/>
                <w:szCs w:val="18"/>
                <w:lang w:eastAsia="lt-LT"/>
              </w:rPr>
              <w:t>102</w:t>
            </w:r>
          </w:p>
        </w:tc>
      </w:tr>
    </w:tbl>
    <w:p w:rsidR="000D0444" w:rsidRPr="002447B3" w:rsidRDefault="000D0444" w:rsidP="000D0444">
      <w:pPr>
        <w:widowControl w:val="0"/>
        <w:tabs>
          <w:tab w:val="left" w:pos="622"/>
        </w:tabs>
        <w:spacing w:after="0" w:line="240" w:lineRule="auto"/>
        <w:jc w:val="both"/>
        <w:rPr>
          <w:rFonts w:ascii="Times New Roman" w:hAnsi="Times New Roman"/>
          <w:iCs/>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9"/>
        <w:gridCol w:w="6378"/>
        <w:gridCol w:w="1808"/>
      </w:tblGrid>
      <w:tr w:rsidR="000D0444" w:rsidRPr="002447B3" w:rsidTr="00BB0960">
        <w:tc>
          <w:tcPr>
            <w:tcW w:w="9746" w:type="dxa"/>
            <w:gridSpan w:val="4"/>
            <w:shd w:val="clear" w:color="auto" w:fill="EEECE1"/>
          </w:tcPr>
          <w:p w:rsidR="000D0444" w:rsidRPr="002447B3" w:rsidRDefault="000D0444" w:rsidP="00BB0960">
            <w:pPr>
              <w:widowControl w:val="0"/>
              <w:tabs>
                <w:tab w:val="left" w:pos="622"/>
              </w:tabs>
              <w:spacing w:after="0" w:line="240" w:lineRule="auto"/>
              <w:jc w:val="both"/>
              <w:rPr>
                <w:rFonts w:ascii="Times New Roman" w:hAnsi="Times New Roman"/>
                <w:i/>
                <w:iCs/>
                <w:sz w:val="18"/>
                <w:szCs w:val="18"/>
              </w:rPr>
            </w:pPr>
            <w:r w:rsidRPr="002447B3">
              <w:rPr>
                <w:rFonts w:ascii="Times New Roman" w:hAnsi="Times New Roman"/>
                <w:b/>
                <w:bCs/>
                <w:i/>
                <w:iCs/>
                <w:sz w:val="18"/>
                <w:szCs w:val="18"/>
              </w:rPr>
              <w:t>Finansavimo forma</w:t>
            </w:r>
          </w:p>
        </w:tc>
      </w:tr>
      <w:tr w:rsidR="000D0444" w:rsidRPr="002447B3" w:rsidTr="006F1682">
        <w:tc>
          <w:tcPr>
            <w:tcW w:w="851" w:type="dxa"/>
            <w:shd w:val="clear" w:color="auto" w:fill="EEECE1"/>
            <w:vAlign w:val="center"/>
          </w:tcPr>
          <w:p w:rsidR="000D0444" w:rsidRPr="002447B3" w:rsidRDefault="000D0444" w:rsidP="00BB0960">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Fondas</w:t>
            </w:r>
          </w:p>
        </w:tc>
        <w:tc>
          <w:tcPr>
            <w:tcW w:w="709" w:type="dxa"/>
            <w:shd w:val="clear" w:color="auto" w:fill="EEECE1"/>
            <w:vAlign w:val="center"/>
          </w:tcPr>
          <w:p w:rsidR="000D0444" w:rsidRPr="002447B3" w:rsidRDefault="000D0444" w:rsidP="00BB0960">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Kodas</w:t>
            </w:r>
          </w:p>
        </w:tc>
        <w:tc>
          <w:tcPr>
            <w:tcW w:w="6378" w:type="dxa"/>
            <w:shd w:val="clear" w:color="auto" w:fill="EEECE1"/>
            <w:vAlign w:val="center"/>
          </w:tcPr>
          <w:p w:rsidR="000D0444" w:rsidRPr="002447B3" w:rsidRDefault="000D0444" w:rsidP="00BB0960">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Pavadinimas</w:t>
            </w:r>
          </w:p>
        </w:tc>
        <w:tc>
          <w:tcPr>
            <w:tcW w:w="1808" w:type="dxa"/>
            <w:shd w:val="clear" w:color="auto" w:fill="EEECE1"/>
            <w:vAlign w:val="center"/>
          </w:tcPr>
          <w:p w:rsidR="000D0444" w:rsidRPr="002447B3" w:rsidRDefault="000D0444" w:rsidP="00BB0960">
            <w:pPr>
              <w:widowControl w:val="0"/>
              <w:tabs>
                <w:tab w:val="left" w:pos="622"/>
              </w:tabs>
              <w:spacing w:after="0" w:line="240" w:lineRule="auto"/>
              <w:jc w:val="center"/>
              <w:rPr>
                <w:rFonts w:ascii="Times New Roman" w:hAnsi="Times New Roman"/>
                <w:b/>
                <w:bCs/>
                <w:iCs/>
                <w:sz w:val="18"/>
                <w:szCs w:val="18"/>
              </w:rPr>
            </w:pPr>
            <w:r w:rsidRPr="002447B3">
              <w:rPr>
                <w:rFonts w:ascii="Times New Roman" w:hAnsi="Times New Roman"/>
                <w:b/>
                <w:bCs/>
                <w:iCs/>
                <w:sz w:val="18"/>
                <w:szCs w:val="18"/>
              </w:rPr>
              <w:t>Finansinė proporcija (eurais)</w:t>
            </w:r>
          </w:p>
        </w:tc>
      </w:tr>
      <w:tr w:rsidR="009F1C50" w:rsidRPr="009348A3" w:rsidTr="006F1682">
        <w:tc>
          <w:tcPr>
            <w:tcW w:w="851" w:type="dxa"/>
            <w:shd w:val="clear" w:color="auto" w:fill="FFFFFF"/>
            <w:vAlign w:val="center"/>
          </w:tcPr>
          <w:p w:rsidR="009F1C50" w:rsidRPr="009348A3" w:rsidRDefault="009F1C50" w:rsidP="00BB0960">
            <w:pPr>
              <w:widowControl w:val="0"/>
              <w:tabs>
                <w:tab w:val="left" w:pos="622"/>
              </w:tabs>
              <w:spacing w:after="0" w:line="240" w:lineRule="auto"/>
              <w:rPr>
                <w:rFonts w:ascii="Times New Roman" w:eastAsia="AngsanaUPC" w:hAnsi="Times New Roman"/>
                <w:bCs/>
                <w:sz w:val="18"/>
                <w:szCs w:val="18"/>
                <w:lang w:val="en-GB" w:eastAsia="lt-LT"/>
              </w:rPr>
            </w:pPr>
            <w:r w:rsidRPr="009348A3">
              <w:rPr>
                <w:rFonts w:ascii="Times New Roman" w:eastAsia="AngsanaUPC" w:hAnsi="Times New Roman"/>
                <w:bCs/>
                <w:sz w:val="18"/>
                <w:szCs w:val="18"/>
                <w:lang w:val="en-GB" w:eastAsia="lt-LT"/>
              </w:rPr>
              <w:t>ERPF</w:t>
            </w:r>
          </w:p>
        </w:tc>
        <w:tc>
          <w:tcPr>
            <w:tcW w:w="709" w:type="dxa"/>
            <w:shd w:val="clear" w:color="auto" w:fill="FFFFFF"/>
            <w:vAlign w:val="center"/>
          </w:tcPr>
          <w:p w:rsidR="009F1C50" w:rsidRPr="009348A3" w:rsidRDefault="006F1682" w:rsidP="00BB0960">
            <w:pPr>
              <w:widowControl w:val="0"/>
              <w:tabs>
                <w:tab w:val="left" w:pos="622"/>
              </w:tabs>
              <w:spacing w:after="0" w:line="240" w:lineRule="auto"/>
              <w:jc w:val="both"/>
              <w:rPr>
                <w:rFonts w:ascii="Times New Roman" w:hAnsi="Times New Roman"/>
                <w:bCs/>
                <w:iCs/>
                <w:sz w:val="18"/>
                <w:szCs w:val="18"/>
              </w:rPr>
            </w:pPr>
            <w:r w:rsidRPr="009348A3">
              <w:rPr>
                <w:rFonts w:ascii="Times New Roman" w:hAnsi="Times New Roman"/>
                <w:bCs/>
                <w:iCs/>
                <w:sz w:val="18"/>
                <w:szCs w:val="18"/>
              </w:rPr>
              <w:t>0</w:t>
            </w:r>
            <w:r w:rsidR="009F1C50" w:rsidRPr="009348A3">
              <w:rPr>
                <w:rFonts w:ascii="Times New Roman" w:hAnsi="Times New Roman"/>
                <w:bCs/>
                <w:iCs/>
                <w:sz w:val="18"/>
                <w:szCs w:val="18"/>
              </w:rPr>
              <w:t>1</w:t>
            </w:r>
          </w:p>
        </w:tc>
        <w:tc>
          <w:tcPr>
            <w:tcW w:w="6378" w:type="dxa"/>
            <w:shd w:val="clear" w:color="auto" w:fill="FFFFFF"/>
            <w:vAlign w:val="center"/>
          </w:tcPr>
          <w:p w:rsidR="009F1C50" w:rsidRPr="009348A3" w:rsidRDefault="009F1C50" w:rsidP="00BB0960">
            <w:pPr>
              <w:widowControl w:val="0"/>
              <w:tabs>
                <w:tab w:val="left" w:pos="622"/>
              </w:tabs>
              <w:spacing w:after="0" w:line="240" w:lineRule="auto"/>
              <w:jc w:val="both"/>
              <w:rPr>
                <w:rFonts w:ascii="Times New Roman" w:hAnsi="Times New Roman"/>
                <w:bCs/>
                <w:iCs/>
                <w:sz w:val="18"/>
                <w:szCs w:val="18"/>
              </w:rPr>
            </w:pPr>
            <w:r w:rsidRPr="009348A3">
              <w:rPr>
                <w:rFonts w:ascii="Times New Roman" w:hAnsi="Times New Roman"/>
                <w:bCs/>
                <w:iCs/>
                <w:sz w:val="18"/>
                <w:szCs w:val="18"/>
              </w:rPr>
              <w:t>Negrąžinamoji subsidija</w:t>
            </w:r>
          </w:p>
        </w:tc>
        <w:tc>
          <w:tcPr>
            <w:tcW w:w="1808" w:type="dxa"/>
            <w:shd w:val="clear" w:color="auto" w:fill="FFFFFF"/>
            <w:vAlign w:val="center"/>
          </w:tcPr>
          <w:p w:rsidR="009F1C50" w:rsidRPr="00FC6264" w:rsidRDefault="00750C20" w:rsidP="00AC0CDE">
            <w:pPr>
              <w:widowControl w:val="0"/>
              <w:tabs>
                <w:tab w:val="left" w:pos="622"/>
              </w:tabs>
              <w:spacing w:after="0" w:line="240" w:lineRule="auto"/>
              <w:jc w:val="right"/>
              <w:rPr>
                <w:rFonts w:ascii="Times New Roman" w:eastAsia="AngsanaUPC" w:hAnsi="Times New Roman"/>
                <w:bCs/>
                <w:sz w:val="18"/>
                <w:szCs w:val="18"/>
                <w:lang w:val="en-GB" w:eastAsia="lt-LT"/>
              </w:rPr>
            </w:pPr>
            <w:r w:rsidRPr="00FC6264">
              <w:rPr>
                <w:rFonts w:ascii="Times New Roman" w:eastAsia="AngsanaUPC" w:hAnsi="Times New Roman"/>
                <w:bCs/>
                <w:sz w:val="18"/>
                <w:szCs w:val="18"/>
                <w:lang w:val="en-GB" w:eastAsia="lt-LT"/>
              </w:rPr>
              <w:t>357</w:t>
            </w:r>
            <w:r w:rsidR="009348A3"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6</w:t>
            </w:r>
            <w:r w:rsidR="009F1C50" w:rsidRPr="00FC6264">
              <w:rPr>
                <w:rFonts w:ascii="Times New Roman" w:eastAsia="AngsanaUPC" w:hAnsi="Times New Roman"/>
                <w:bCs/>
                <w:sz w:val="18"/>
                <w:szCs w:val="18"/>
                <w:lang w:val="en-GB" w:eastAsia="lt-LT"/>
              </w:rPr>
              <w:t>40</w:t>
            </w:r>
            <w:r w:rsidR="009348A3" w:rsidRPr="00FC6264">
              <w:rPr>
                <w:rFonts w:ascii="Times New Roman" w:eastAsia="AngsanaUPC" w:hAnsi="Times New Roman"/>
                <w:bCs/>
                <w:sz w:val="18"/>
                <w:szCs w:val="18"/>
                <w:lang w:val="en-GB" w:eastAsia="lt-LT"/>
              </w:rPr>
              <w:t>.</w:t>
            </w:r>
            <w:r w:rsidR="009F1C50" w:rsidRPr="00FC6264">
              <w:rPr>
                <w:rFonts w:ascii="Times New Roman" w:eastAsia="AngsanaUPC" w:hAnsi="Times New Roman"/>
                <w:bCs/>
                <w:sz w:val="18"/>
                <w:szCs w:val="18"/>
                <w:lang w:val="en-GB" w:eastAsia="lt-LT"/>
              </w:rPr>
              <w:t>145</w:t>
            </w:r>
          </w:p>
        </w:tc>
      </w:tr>
      <w:tr w:rsidR="009F1C50" w:rsidRPr="009348A3" w:rsidTr="006F1682">
        <w:tc>
          <w:tcPr>
            <w:tcW w:w="851" w:type="dxa"/>
            <w:shd w:val="clear" w:color="auto" w:fill="auto"/>
            <w:vAlign w:val="center"/>
          </w:tcPr>
          <w:p w:rsidR="009F1C50" w:rsidRPr="009348A3" w:rsidRDefault="009F1C50" w:rsidP="00BB0960">
            <w:pPr>
              <w:widowControl w:val="0"/>
              <w:tabs>
                <w:tab w:val="left" w:pos="622"/>
              </w:tabs>
              <w:spacing w:after="0" w:line="240" w:lineRule="auto"/>
              <w:rPr>
                <w:rFonts w:ascii="Times New Roman" w:eastAsia="AngsanaUPC" w:hAnsi="Times New Roman"/>
                <w:bCs/>
                <w:sz w:val="18"/>
                <w:szCs w:val="18"/>
                <w:lang w:val="en-GB" w:eastAsia="lt-LT"/>
              </w:rPr>
            </w:pPr>
            <w:r w:rsidRPr="009348A3">
              <w:rPr>
                <w:rFonts w:ascii="Times New Roman" w:eastAsia="AngsanaUPC" w:hAnsi="Times New Roman"/>
                <w:bCs/>
                <w:sz w:val="18"/>
                <w:szCs w:val="18"/>
                <w:lang w:val="en-GB" w:eastAsia="lt-LT"/>
              </w:rPr>
              <w:t>ESF</w:t>
            </w:r>
          </w:p>
        </w:tc>
        <w:tc>
          <w:tcPr>
            <w:tcW w:w="709" w:type="dxa"/>
            <w:shd w:val="clear" w:color="auto" w:fill="auto"/>
            <w:vAlign w:val="center"/>
          </w:tcPr>
          <w:p w:rsidR="009F1C50" w:rsidRPr="009348A3" w:rsidRDefault="006F1682" w:rsidP="00BB0960">
            <w:pPr>
              <w:widowControl w:val="0"/>
              <w:tabs>
                <w:tab w:val="left" w:pos="622"/>
              </w:tabs>
              <w:spacing w:after="0" w:line="240" w:lineRule="auto"/>
              <w:rPr>
                <w:rFonts w:ascii="Times New Roman" w:eastAsia="AngsanaUPC" w:hAnsi="Times New Roman"/>
                <w:bCs/>
                <w:sz w:val="18"/>
                <w:szCs w:val="18"/>
                <w:lang w:eastAsia="lt-LT"/>
              </w:rPr>
            </w:pPr>
            <w:r w:rsidRPr="009348A3">
              <w:rPr>
                <w:rFonts w:ascii="Times New Roman" w:eastAsia="AngsanaUPC" w:hAnsi="Times New Roman"/>
                <w:bCs/>
                <w:sz w:val="18"/>
                <w:szCs w:val="18"/>
                <w:lang w:eastAsia="lt-LT"/>
              </w:rPr>
              <w:t>0</w:t>
            </w:r>
            <w:r w:rsidR="009F1C50" w:rsidRPr="009348A3">
              <w:rPr>
                <w:rFonts w:ascii="Times New Roman" w:eastAsia="AngsanaUPC" w:hAnsi="Times New Roman"/>
                <w:bCs/>
                <w:sz w:val="18"/>
                <w:szCs w:val="18"/>
                <w:lang w:eastAsia="lt-LT"/>
              </w:rPr>
              <w:t>1</w:t>
            </w:r>
          </w:p>
        </w:tc>
        <w:tc>
          <w:tcPr>
            <w:tcW w:w="6378" w:type="dxa"/>
            <w:shd w:val="clear" w:color="auto" w:fill="auto"/>
            <w:vAlign w:val="center"/>
          </w:tcPr>
          <w:p w:rsidR="009F1C50" w:rsidRPr="009348A3" w:rsidRDefault="009F1C50" w:rsidP="00BB0960">
            <w:pPr>
              <w:widowControl w:val="0"/>
              <w:tabs>
                <w:tab w:val="left" w:pos="622"/>
              </w:tabs>
              <w:spacing w:after="0" w:line="240" w:lineRule="auto"/>
              <w:rPr>
                <w:rFonts w:ascii="Times New Roman" w:eastAsia="AngsanaUPC" w:hAnsi="Times New Roman"/>
                <w:bCs/>
                <w:sz w:val="18"/>
                <w:szCs w:val="18"/>
                <w:lang w:eastAsia="lt-LT"/>
              </w:rPr>
            </w:pPr>
            <w:r w:rsidRPr="009348A3">
              <w:rPr>
                <w:rFonts w:ascii="Times New Roman" w:eastAsia="AngsanaUPC" w:hAnsi="Times New Roman"/>
                <w:bCs/>
                <w:sz w:val="18"/>
                <w:szCs w:val="18"/>
                <w:lang w:eastAsia="lt-LT"/>
              </w:rPr>
              <w:t>Negrąžinamoji subsidija</w:t>
            </w:r>
          </w:p>
        </w:tc>
        <w:tc>
          <w:tcPr>
            <w:tcW w:w="1808" w:type="dxa"/>
            <w:shd w:val="clear" w:color="auto" w:fill="auto"/>
            <w:vAlign w:val="center"/>
          </w:tcPr>
          <w:p w:rsidR="009F1C50" w:rsidRPr="00FC6264" w:rsidRDefault="00AC0CDE" w:rsidP="00D37DF5">
            <w:pPr>
              <w:widowControl w:val="0"/>
              <w:tabs>
                <w:tab w:val="left" w:pos="622"/>
              </w:tabs>
              <w:spacing w:after="0" w:line="240" w:lineRule="auto"/>
              <w:jc w:val="right"/>
              <w:rPr>
                <w:rFonts w:ascii="Times New Roman" w:eastAsia="AngsanaUPC" w:hAnsi="Times New Roman"/>
                <w:bCs/>
                <w:sz w:val="18"/>
                <w:szCs w:val="18"/>
                <w:lang w:val="en-GB" w:eastAsia="lt-LT"/>
              </w:rPr>
            </w:pPr>
            <w:r w:rsidRPr="00FC6264">
              <w:rPr>
                <w:rFonts w:ascii="Times New Roman" w:eastAsia="AngsanaUPC" w:hAnsi="Times New Roman"/>
                <w:bCs/>
                <w:sz w:val="18"/>
                <w:szCs w:val="18"/>
                <w:lang w:val="en-GB" w:eastAsia="lt-LT"/>
              </w:rPr>
              <w:t>24</w:t>
            </w:r>
            <w:r w:rsidR="00D37DF5" w:rsidRPr="00FC6264">
              <w:rPr>
                <w:rFonts w:ascii="Times New Roman" w:eastAsia="AngsanaUPC" w:hAnsi="Times New Roman"/>
                <w:bCs/>
                <w:sz w:val="18"/>
                <w:szCs w:val="18"/>
                <w:lang w:val="en-GB" w:eastAsia="lt-LT"/>
              </w:rPr>
              <w:t>1</w:t>
            </w:r>
            <w:r w:rsidR="009348A3" w:rsidRPr="00FC6264">
              <w:rPr>
                <w:rFonts w:ascii="Times New Roman" w:eastAsia="AngsanaUPC" w:hAnsi="Times New Roman"/>
                <w:bCs/>
                <w:sz w:val="18"/>
                <w:szCs w:val="18"/>
                <w:lang w:val="en-GB" w:eastAsia="lt-LT"/>
              </w:rPr>
              <w:t>.</w:t>
            </w:r>
            <w:r w:rsidR="00750C20" w:rsidRPr="00FC6264">
              <w:rPr>
                <w:rFonts w:ascii="Times New Roman" w:eastAsia="AngsanaUPC" w:hAnsi="Times New Roman"/>
                <w:bCs/>
                <w:sz w:val="18"/>
                <w:szCs w:val="18"/>
                <w:lang w:val="en-GB" w:eastAsia="lt-LT"/>
              </w:rPr>
              <w:t>05</w:t>
            </w:r>
            <w:r w:rsidR="00D37DF5" w:rsidRPr="00FC6264">
              <w:rPr>
                <w:rFonts w:ascii="Times New Roman" w:eastAsia="AngsanaUPC" w:hAnsi="Times New Roman"/>
                <w:bCs/>
                <w:sz w:val="18"/>
                <w:szCs w:val="18"/>
                <w:lang w:val="en-GB" w:eastAsia="lt-LT"/>
              </w:rPr>
              <w:t>4</w:t>
            </w:r>
            <w:r w:rsidR="009348A3"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386</w:t>
            </w:r>
          </w:p>
        </w:tc>
      </w:tr>
    </w:tbl>
    <w:p w:rsidR="000D0444" w:rsidRPr="002447B3" w:rsidRDefault="000D0444" w:rsidP="000D0444">
      <w:pPr>
        <w:widowControl w:val="0"/>
        <w:tabs>
          <w:tab w:val="left" w:pos="622"/>
        </w:tabs>
        <w:spacing w:after="0" w:line="240" w:lineRule="auto"/>
        <w:jc w:val="both"/>
        <w:rPr>
          <w:rFonts w:ascii="Times New Roman" w:hAnsi="Times New Roman"/>
          <w:iCs/>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9"/>
        <w:gridCol w:w="6378"/>
        <w:gridCol w:w="1808"/>
      </w:tblGrid>
      <w:tr w:rsidR="000D0444" w:rsidRPr="002447B3" w:rsidTr="00BB0960">
        <w:tc>
          <w:tcPr>
            <w:tcW w:w="9746" w:type="dxa"/>
            <w:gridSpan w:val="4"/>
            <w:shd w:val="clear" w:color="auto" w:fill="EEECE1"/>
          </w:tcPr>
          <w:p w:rsidR="000D0444" w:rsidRPr="002447B3" w:rsidRDefault="000D0444" w:rsidP="00BB0960">
            <w:pPr>
              <w:widowControl w:val="0"/>
              <w:tabs>
                <w:tab w:val="left" w:pos="622"/>
              </w:tabs>
              <w:spacing w:after="0" w:line="240" w:lineRule="auto"/>
              <w:jc w:val="both"/>
              <w:rPr>
                <w:rFonts w:ascii="Times New Roman" w:hAnsi="Times New Roman"/>
                <w:i/>
                <w:iCs/>
                <w:sz w:val="18"/>
                <w:szCs w:val="18"/>
              </w:rPr>
            </w:pPr>
            <w:r w:rsidRPr="002447B3">
              <w:rPr>
                <w:rFonts w:ascii="Times New Roman" w:hAnsi="Times New Roman"/>
                <w:b/>
                <w:bCs/>
                <w:i/>
                <w:iCs/>
                <w:sz w:val="18"/>
                <w:szCs w:val="18"/>
              </w:rPr>
              <w:t>Teritorijų tipas</w:t>
            </w:r>
          </w:p>
        </w:tc>
      </w:tr>
      <w:tr w:rsidR="000D0444" w:rsidRPr="002447B3" w:rsidTr="006F1682">
        <w:tc>
          <w:tcPr>
            <w:tcW w:w="851" w:type="dxa"/>
            <w:shd w:val="clear" w:color="auto" w:fill="EEECE1"/>
            <w:vAlign w:val="center"/>
          </w:tcPr>
          <w:p w:rsidR="000D0444" w:rsidRPr="002447B3" w:rsidRDefault="000D0444" w:rsidP="00BB0960">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Fondas</w:t>
            </w:r>
          </w:p>
        </w:tc>
        <w:tc>
          <w:tcPr>
            <w:tcW w:w="709" w:type="dxa"/>
            <w:shd w:val="clear" w:color="auto" w:fill="EEECE1"/>
            <w:vAlign w:val="center"/>
          </w:tcPr>
          <w:p w:rsidR="000D0444" w:rsidRPr="002447B3" w:rsidRDefault="000D0444" w:rsidP="00BB0960">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Kodas</w:t>
            </w:r>
          </w:p>
        </w:tc>
        <w:tc>
          <w:tcPr>
            <w:tcW w:w="6378" w:type="dxa"/>
            <w:shd w:val="clear" w:color="auto" w:fill="EEECE1"/>
            <w:vAlign w:val="center"/>
          </w:tcPr>
          <w:p w:rsidR="000D0444" w:rsidRPr="002447B3" w:rsidRDefault="000D0444" w:rsidP="00BB0960">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Pavadinimas</w:t>
            </w:r>
          </w:p>
        </w:tc>
        <w:tc>
          <w:tcPr>
            <w:tcW w:w="1808" w:type="dxa"/>
            <w:shd w:val="clear" w:color="auto" w:fill="EEECE1"/>
            <w:vAlign w:val="center"/>
          </w:tcPr>
          <w:p w:rsidR="000D0444" w:rsidRPr="002447B3" w:rsidRDefault="000D0444" w:rsidP="00BB0960">
            <w:pPr>
              <w:widowControl w:val="0"/>
              <w:tabs>
                <w:tab w:val="left" w:pos="622"/>
              </w:tabs>
              <w:spacing w:after="0" w:line="240" w:lineRule="auto"/>
              <w:jc w:val="center"/>
              <w:rPr>
                <w:rFonts w:ascii="Times New Roman" w:hAnsi="Times New Roman"/>
                <w:b/>
                <w:bCs/>
                <w:iCs/>
                <w:sz w:val="18"/>
                <w:szCs w:val="18"/>
              </w:rPr>
            </w:pPr>
            <w:r w:rsidRPr="002447B3">
              <w:rPr>
                <w:rFonts w:ascii="Times New Roman" w:hAnsi="Times New Roman"/>
                <w:b/>
                <w:bCs/>
                <w:iCs/>
                <w:sz w:val="18"/>
                <w:szCs w:val="18"/>
              </w:rPr>
              <w:t>Finansinė proporcija (eurais)</w:t>
            </w:r>
          </w:p>
        </w:tc>
      </w:tr>
      <w:tr w:rsidR="009F1C50" w:rsidRPr="009348A3" w:rsidTr="006F1682">
        <w:tc>
          <w:tcPr>
            <w:tcW w:w="851" w:type="dxa"/>
            <w:shd w:val="clear" w:color="auto" w:fill="FFFFFF"/>
            <w:vAlign w:val="center"/>
          </w:tcPr>
          <w:p w:rsidR="009F1C50" w:rsidRPr="009348A3" w:rsidRDefault="009F1C50" w:rsidP="00BB0960">
            <w:pPr>
              <w:widowControl w:val="0"/>
              <w:tabs>
                <w:tab w:val="left" w:pos="622"/>
              </w:tabs>
              <w:spacing w:after="0" w:line="240" w:lineRule="auto"/>
              <w:rPr>
                <w:rFonts w:ascii="Times New Roman" w:eastAsia="AngsanaUPC" w:hAnsi="Times New Roman"/>
                <w:bCs/>
                <w:sz w:val="18"/>
                <w:szCs w:val="18"/>
                <w:lang w:val="en-GB" w:eastAsia="lt-LT"/>
              </w:rPr>
            </w:pPr>
            <w:r w:rsidRPr="009348A3">
              <w:rPr>
                <w:rFonts w:ascii="Times New Roman" w:eastAsia="AngsanaUPC" w:hAnsi="Times New Roman"/>
                <w:bCs/>
                <w:sz w:val="18"/>
                <w:szCs w:val="18"/>
                <w:lang w:val="en-GB" w:eastAsia="lt-LT"/>
              </w:rPr>
              <w:t>ESF</w:t>
            </w:r>
          </w:p>
        </w:tc>
        <w:tc>
          <w:tcPr>
            <w:tcW w:w="709" w:type="dxa"/>
            <w:shd w:val="clear" w:color="auto" w:fill="FFFFFF"/>
            <w:vAlign w:val="center"/>
          </w:tcPr>
          <w:p w:rsidR="009F1C50" w:rsidRPr="009348A3" w:rsidRDefault="006F1682" w:rsidP="00BB0960">
            <w:pPr>
              <w:widowControl w:val="0"/>
              <w:tabs>
                <w:tab w:val="left" w:pos="622"/>
              </w:tabs>
              <w:spacing w:after="0" w:line="240" w:lineRule="auto"/>
              <w:jc w:val="both"/>
              <w:rPr>
                <w:rFonts w:ascii="Times New Roman" w:hAnsi="Times New Roman"/>
                <w:bCs/>
                <w:iCs/>
                <w:sz w:val="18"/>
                <w:szCs w:val="18"/>
              </w:rPr>
            </w:pPr>
            <w:r w:rsidRPr="009348A3">
              <w:rPr>
                <w:rFonts w:ascii="Times New Roman" w:hAnsi="Times New Roman"/>
                <w:bCs/>
                <w:iCs/>
                <w:sz w:val="18"/>
                <w:szCs w:val="18"/>
              </w:rPr>
              <w:t>0</w:t>
            </w:r>
            <w:r w:rsidR="009F1C50" w:rsidRPr="009348A3">
              <w:rPr>
                <w:rFonts w:ascii="Times New Roman" w:hAnsi="Times New Roman"/>
                <w:bCs/>
                <w:iCs/>
                <w:sz w:val="18"/>
                <w:szCs w:val="18"/>
              </w:rPr>
              <w:t>1</w:t>
            </w:r>
          </w:p>
        </w:tc>
        <w:tc>
          <w:tcPr>
            <w:tcW w:w="6378" w:type="dxa"/>
            <w:shd w:val="clear" w:color="auto" w:fill="FFFFFF"/>
            <w:vAlign w:val="center"/>
          </w:tcPr>
          <w:p w:rsidR="009F1C50" w:rsidRPr="009348A3" w:rsidRDefault="009F1C50" w:rsidP="00BB0960">
            <w:pPr>
              <w:widowControl w:val="0"/>
              <w:tabs>
                <w:tab w:val="left" w:pos="622"/>
              </w:tabs>
              <w:spacing w:after="0" w:line="240" w:lineRule="auto"/>
              <w:jc w:val="both"/>
              <w:rPr>
                <w:rFonts w:ascii="Times New Roman" w:hAnsi="Times New Roman"/>
                <w:bCs/>
                <w:iCs/>
                <w:sz w:val="18"/>
                <w:szCs w:val="18"/>
              </w:rPr>
            </w:pPr>
            <w:r w:rsidRPr="009348A3">
              <w:rPr>
                <w:rFonts w:ascii="Times New Roman" w:hAnsi="Times New Roman"/>
                <w:bCs/>
                <w:iCs/>
                <w:sz w:val="18"/>
                <w:szCs w:val="18"/>
              </w:rPr>
              <w:t>Didelės miesto teritorijos (tankiai apgyvendintos, &gt; 50 000 gyventojų)</w:t>
            </w:r>
          </w:p>
        </w:tc>
        <w:tc>
          <w:tcPr>
            <w:tcW w:w="1808" w:type="dxa"/>
            <w:shd w:val="clear" w:color="auto" w:fill="FFFFFF"/>
            <w:vAlign w:val="center"/>
          </w:tcPr>
          <w:p w:rsidR="009F1C50" w:rsidRPr="00FC6264" w:rsidRDefault="00AC0CDE" w:rsidP="00BB0960">
            <w:pPr>
              <w:widowControl w:val="0"/>
              <w:tabs>
                <w:tab w:val="left" w:pos="622"/>
              </w:tabs>
              <w:spacing w:after="0" w:line="240" w:lineRule="auto"/>
              <w:jc w:val="right"/>
              <w:rPr>
                <w:rFonts w:ascii="Times New Roman" w:eastAsia="AngsanaUPC" w:hAnsi="Times New Roman"/>
                <w:bCs/>
                <w:sz w:val="18"/>
                <w:szCs w:val="18"/>
                <w:lang w:val="en-GB" w:eastAsia="lt-LT"/>
              </w:rPr>
            </w:pPr>
            <w:r w:rsidRPr="00FC6264">
              <w:rPr>
                <w:rFonts w:ascii="Times New Roman" w:eastAsia="AngsanaUPC" w:hAnsi="Times New Roman"/>
                <w:bCs/>
                <w:sz w:val="18"/>
                <w:szCs w:val="18"/>
                <w:lang w:val="en-GB" w:eastAsia="lt-LT"/>
              </w:rPr>
              <w:t>5</w:t>
            </w:r>
            <w:r w:rsidR="009348A3" w:rsidRPr="00FC6264">
              <w:rPr>
                <w:rFonts w:ascii="Times New Roman" w:eastAsia="AngsanaUPC" w:hAnsi="Times New Roman"/>
                <w:bCs/>
                <w:sz w:val="18"/>
                <w:szCs w:val="18"/>
                <w:lang w:val="en-GB" w:eastAsia="lt-LT"/>
              </w:rPr>
              <w:t>.</w:t>
            </w:r>
            <w:r w:rsidR="00750C20" w:rsidRPr="00FC6264">
              <w:rPr>
                <w:rFonts w:ascii="Times New Roman" w:eastAsia="AngsanaUPC" w:hAnsi="Times New Roman"/>
                <w:bCs/>
                <w:sz w:val="18"/>
                <w:szCs w:val="18"/>
                <w:lang w:val="en-GB" w:eastAsia="lt-LT"/>
              </w:rPr>
              <w:t>514</w:t>
            </w:r>
            <w:r w:rsidR="009348A3" w:rsidRPr="00FC6264">
              <w:rPr>
                <w:rFonts w:ascii="Times New Roman" w:eastAsia="AngsanaUPC" w:hAnsi="Times New Roman"/>
                <w:bCs/>
                <w:sz w:val="18"/>
                <w:szCs w:val="18"/>
                <w:lang w:val="en-GB" w:eastAsia="lt-LT"/>
              </w:rPr>
              <w:t>.</w:t>
            </w:r>
            <w:r w:rsidR="00750C20" w:rsidRPr="00FC6264">
              <w:rPr>
                <w:rFonts w:ascii="Times New Roman" w:eastAsia="AngsanaUPC" w:hAnsi="Times New Roman"/>
                <w:bCs/>
                <w:sz w:val="18"/>
                <w:szCs w:val="18"/>
                <w:lang w:val="en-GB" w:eastAsia="lt-LT"/>
              </w:rPr>
              <w:t>430</w:t>
            </w:r>
          </w:p>
        </w:tc>
      </w:tr>
      <w:tr w:rsidR="009F1C50" w:rsidRPr="009348A3" w:rsidTr="006F1682">
        <w:tc>
          <w:tcPr>
            <w:tcW w:w="851" w:type="dxa"/>
            <w:shd w:val="clear" w:color="auto" w:fill="auto"/>
            <w:vAlign w:val="center"/>
          </w:tcPr>
          <w:p w:rsidR="009F1C50" w:rsidRPr="009348A3" w:rsidRDefault="009F1C50" w:rsidP="00BB0960">
            <w:pPr>
              <w:widowControl w:val="0"/>
              <w:tabs>
                <w:tab w:val="left" w:pos="622"/>
              </w:tabs>
              <w:spacing w:after="0" w:line="240" w:lineRule="auto"/>
              <w:rPr>
                <w:rFonts w:ascii="Times New Roman" w:eastAsia="AngsanaUPC" w:hAnsi="Times New Roman"/>
                <w:bCs/>
                <w:sz w:val="18"/>
                <w:szCs w:val="18"/>
                <w:lang w:val="en-GB" w:eastAsia="lt-LT"/>
              </w:rPr>
            </w:pPr>
            <w:r w:rsidRPr="009348A3">
              <w:rPr>
                <w:rFonts w:ascii="Times New Roman" w:eastAsia="AngsanaUPC" w:hAnsi="Times New Roman"/>
                <w:bCs/>
                <w:sz w:val="18"/>
                <w:szCs w:val="18"/>
                <w:lang w:val="en-GB" w:eastAsia="lt-LT"/>
              </w:rPr>
              <w:t>ERPF</w:t>
            </w:r>
          </w:p>
        </w:tc>
        <w:tc>
          <w:tcPr>
            <w:tcW w:w="709" w:type="dxa"/>
            <w:shd w:val="clear" w:color="auto" w:fill="auto"/>
            <w:vAlign w:val="center"/>
          </w:tcPr>
          <w:p w:rsidR="009F1C50" w:rsidRPr="009348A3" w:rsidRDefault="006F1682" w:rsidP="00BB0960">
            <w:pPr>
              <w:widowControl w:val="0"/>
              <w:tabs>
                <w:tab w:val="left" w:pos="622"/>
              </w:tabs>
              <w:spacing w:after="0" w:line="240" w:lineRule="auto"/>
              <w:rPr>
                <w:rFonts w:ascii="Times New Roman" w:eastAsia="AngsanaUPC" w:hAnsi="Times New Roman"/>
                <w:bCs/>
                <w:sz w:val="18"/>
                <w:szCs w:val="18"/>
                <w:lang w:val="en-GB" w:eastAsia="lt-LT"/>
              </w:rPr>
            </w:pPr>
            <w:r w:rsidRPr="009348A3">
              <w:rPr>
                <w:rFonts w:ascii="Times New Roman" w:eastAsia="AngsanaUPC" w:hAnsi="Times New Roman"/>
                <w:bCs/>
                <w:sz w:val="18"/>
                <w:szCs w:val="18"/>
                <w:lang w:val="en-GB" w:eastAsia="lt-LT"/>
              </w:rPr>
              <w:t>0</w:t>
            </w:r>
            <w:r w:rsidR="009F1C50" w:rsidRPr="009348A3">
              <w:rPr>
                <w:rFonts w:ascii="Times New Roman" w:eastAsia="AngsanaUPC" w:hAnsi="Times New Roman"/>
                <w:bCs/>
                <w:sz w:val="18"/>
                <w:szCs w:val="18"/>
                <w:lang w:val="en-GB" w:eastAsia="lt-LT"/>
              </w:rPr>
              <w:t>2</w:t>
            </w:r>
          </w:p>
        </w:tc>
        <w:tc>
          <w:tcPr>
            <w:tcW w:w="6378" w:type="dxa"/>
            <w:shd w:val="clear" w:color="auto" w:fill="auto"/>
            <w:vAlign w:val="center"/>
          </w:tcPr>
          <w:p w:rsidR="009F1C50" w:rsidRPr="009348A3" w:rsidRDefault="009F1C50" w:rsidP="00BB0960">
            <w:pPr>
              <w:widowControl w:val="0"/>
              <w:tabs>
                <w:tab w:val="left" w:pos="622"/>
              </w:tabs>
              <w:spacing w:after="0" w:line="240" w:lineRule="auto"/>
              <w:jc w:val="both"/>
              <w:rPr>
                <w:rFonts w:ascii="Times New Roman" w:hAnsi="Times New Roman"/>
                <w:bCs/>
                <w:iCs/>
                <w:sz w:val="18"/>
                <w:szCs w:val="18"/>
              </w:rPr>
            </w:pPr>
            <w:r w:rsidRPr="009348A3">
              <w:rPr>
                <w:rFonts w:ascii="Times New Roman" w:hAnsi="Times New Roman"/>
                <w:bCs/>
                <w:iCs/>
                <w:sz w:val="18"/>
                <w:szCs w:val="18"/>
              </w:rPr>
              <w:t>Mažos miesto teritorijos (vidutiniškai tankiai apgyvendintos, &gt; 5 000 gyventojų)</w:t>
            </w:r>
          </w:p>
        </w:tc>
        <w:tc>
          <w:tcPr>
            <w:tcW w:w="1808" w:type="dxa"/>
            <w:shd w:val="clear" w:color="auto" w:fill="auto"/>
            <w:vAlign w:val="center"/>
          </w:tcPr>
          <w:p w:rsidR="009F1C50" w:rsidRPr="00FC6264" w:rsidRDefault="009F1C50" w:rsidP="00AC0CDE">
            <w:pPr>
              <w:widowControl w:val="0"/>
              <w:tabs>
                <w:tab w:val="left" w:pos="622"/>
              </w:tabs>
              <w:spacing w:after="0" w:line="240" w:lineRule="auto"/>
              <w:jc w:val="right"/>
              <w:rPr>
                <w:rFonts w:ascii="Times New Roman" w:eastAsia="AngsanaUPC" w:hAnsi="Times New Roman"/>
                <w:bCs/>
                <w:sz w:val="18"/>
                <w:szCs w:val="18"/>
                <w:lang w:val="en-GB" w:eastAsia="lt-LT"/>
              </w:rPr>
            </w:pPr>
            <w:r w:rsidRPr="00FC6264">
              <w:rPr>
                <w:rFonts w:ascii="Times New Roman" w:eastAsia="AngsanaUPC" w:hAnsi="Times New Roman"/>
                <w:bCs/>
                <w:sz w:val="18"/>
                <w:szCs w:val="18"/>
                <w:lang w:val="en-GB" w:eastAsia="lt-LT"/>
              </w:rPr>
              <w:t>18</w:t>
            </w:r>
            <w:r w:rsidR="009348A3"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825</w:t>
            </w:r>
            <w:r w:rsidR="009348A3"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301</w:t>
            </w:r>
          </w:p>
        </w:tc>
      </w:tr>
      <w:tr w:rsidR="009F1C50" w:rsidRPr="009348A3" w:rsidTr="006F1682">
        <w:tc>
          <w:tcPr>
            <w:tcW w:w="851" w:type="dxa"/>
            <w:shd w:val="clear" w:color="auto" w:fill="auto"/>
            <w:vAlign w:val="center"/>
          </w:tcPr>
          <w:p w:rsidR="009F1C50" w:rsidRPr="009348A3" w:rsidRDefault="009F1C50" w:rsidP="00BB0960">
            <w:pPr>
              <w:widowControl w:val="0"/>
              <w:tabs>
                <w:tab w:val="left" w:pos="622"/>
              </w:tabs>
              <w:spacing w:after="0" w:line="240" w:lineRule="auto"/>
              <w:rPr>
                <w:rFonts w:ascii="Times New Roman" w:eastAsia="AngsanaUPC" w:hAnsi="Times New Roman"/>
                <w:bCs/>
                <w:sz w:val="18"/>
                <w:szCs w:val="18"/>
                <w:lang w:val="en-GB" w:eastAsia="lt-LT"/>
              </w:rPr>
            </w:pPr>
            <w:r w:rsidRPr="009348A3">
              <w:rPr>
                <w:rFonts w:ascii="Times New Roman" w:eastAsia="AngsanaUPC" w:hAnsi="Times New Roman"/>
                <w:bCs/>
                <w:sz w:val="18"/>
                <w:szCs w:val="18"/>
                <w:lang w:val="en-GB" w:eastAsia="lt-LT"/>
              </w:rPr>
              <w:t>ESF</w:t>
            </w:r>
          </w:p>
        </w:tc>
        <w:tc>
          <w:tcPr>
            <w:tcW w:w="709" w:type="dxa"/>
            <w:shd w:val="clear" w:color="auto" w:fill="auto"/>
            <w:vAlign w:val="center"/>
          </w:tcPr>
          <w:p w:rsidR="009F1C50" w:rsidRPr="009348A3" w:rsidRDefault="006F1682" w:rsidP="00BB0960">
            <w:pPr>
              <w:widowControl w:val="0"/>
              <w:tabs>
                <w:tab w:val="left" w:pos="622"/>
              </w:tabs>
              <w:spacing w:after="0" w:line="240" w:lineRule="auto"/>
              <w:rPr>
                <w:rFonts w:ascii="Times New Roman" w:eastAsia="AngsanaUPC" w:hAnsi="Times New Roman"/>
                <w:bCs/>
                <w:sz w:val="18"/>
                <w:szCs w:val="18"/>
                <w:lang w:val="en-GB" w:eastAsia="lt-LT"/>
              </w:rPr>
            </w:pPr>
            <w:r w:rsidRPr="009348A3">
              <w:rPr>
                <w:rFonts w:ascii="Times New Roman" w:eastAsia="AngsanaUPC" w:hAnsi="Times New Roman"/>
                <w:bCs/>
                <w:sz w:val="18"/>
                <w:szCs w:val="18"/>
                <w:lang w:val="en-GB" w:eastAsia="lt-LT"/>
              </w:rPr>
              <w:t>0</w:t>
            </w:r>
            <w:r w:rsidR="009F1C50" w:rsidRPr="009348A3">
              <w:rPr>
                <w:rFonts w:ascii="Times New Roman" w:eastAsia="AngsanaUPC" w:hAnsi="Times New Roman"/>
                <w:bCs/>
                <w:sz w:val="18"/>
                <w:szCs w:val="18"/>
                <w:lang w:val="en-GB" w:eastAsia="lt-LT"/>
              </w:rPr>
              <w:t>2</w:t>
            </w:r>
          </w:p>
        </w:tc>
        <w:tc>
          <w:tcPr>
            <w:tcW w:w="6378" w:type="dxa"/>
            <w:shd w:val="clear" w:color="auto" w:fill="auto"/>
            <w:vAlign w:val="center"/>
          </w:tcPr>
          <w:p w:rsidR="009F1C50" w:rsidRPr="009348A3" w:rsidRDefault="009F1C50" w:rsidP="00BB0960">
            <w:pPr>
              <w:widowControl w:val="0"/>
              <w:tabs>
                <w:tab w:val="left" w:pos="622"/>
              </w:tabs>
              <w:spacing w:after="0" w:line="240" w:lineRule="auto"/>
              <w:jc w:val="both"/>
              <w:rPr>
                <w:rFonts w:ascii="Times New Roman" w:hAnsi="Times New Roman"/>
                <w:bCs/>
                <w:iCs/>
                <w:sz w:val="18"/>
                <w:szCs w:val="18"/>
              </w:rPr>
            </w:pPr>
            <w:r w:rsidRPr="009348A3">
              <w:rPr>
                <w:rFonts w:ascii="Times New Roman" w:hAnsi="Times New Roman"/>
                <w:bCs/>
                <w:iCs/>
                <w:sz w:val="18"/>
                <w:szCs w:val="18"/>
              </w:rPr>
              <w:t>Mažos miesto teritorijos (vidutiniškai tankiai apgyvendintos, &gt; 5 000 gyventojų)</w:t>
            </w:r>
          </w:p>
        </w:tc>
        <w:tc>
          <w:tcPr>
            <w:tcW w:w="1808" w:type="dxa"/>
            <w:shd w:val="clear" w:color="auto" w:fill="auto"/>
            <w:vAlign w:val="center"/>
          </w:tcPr>
          <w:p w:rsidR="009F1C50" w:rsidRPr="00FC6264" w:rsidRDefault="00750C20" w:rsidP="00BB0960">
            <w:pPr>
              <w:widowControl w:val="0"/>
              <w:tabs>
                <w:tab w:val="left" w:pos="622"/>
              </w:tabs>
              <w:spacing w:after="0" w:line="240" w:lineRule="auto"/>
              <w:jc w:val="right"/>
              <w:rPr>
                <w:rFonts w:ascii="Times New Roman" w:eastAsia="AngsanaUPC" w:hAnsi="Times New Roman"/>
                <w:bCs/>
                <w:sz w:val="18"/>
                <w:szCs w:val="18"/>
                <w:lang w:val="en-GB" w:eastAsia="lt-LT"/>
              </w:rPr>
            </w:pPr>
            <w:r w:rsidRPr="00FC6264">
              <w:rPr>
                <w:rFonts w:ascii="Times New Roman" w:eastAsia="AngsanaUPC" w:hAnsi="Times New Roman"/>
                <w:bCs/>
                <w:sz w:val="18"/>
                <w:szCs w:val="18"/>
                <w:lang w:eastAsia="lt-LT"/>
              </w:rPr>
              <w:t>13</w:t>
            </w:r>
            <w:r w:rsidR="009348A3" w:rsidRPr="00FC6264">
              <w:rPr>
                <w:rFonts w:ascii="Times New Roman" w:eastAsia="AngsanaUPC" w:hAnsi="Times New Roman"/>
                <w:bCs/>
                <w:sz w:val="18"/>
                <w:szCs w:val="18"/>
                <w:lang w:eastAsia="lt-LT"/>
              </w:rPr>
              <w:t>.</w:t>
            </w:r>
            <w:r w:rsidRPr="00FC6264">
              <w:rPr>
                <w:rFonts w:ascii="Times New Roman" w:eastAsia="AngsanaUPC" w:hAnsi="Times New Roman"/>
                <w:bCs/>
                <w:sz w:val="18"/>
                <w:szCs w:val="18"/>
                <w:lang w:eastAsia="lt-LT"/>
              </w:rPr>
              <w:t>325</w:t>
            </w:r>
            <w:r w:rsidR="009348A3" w:rsidRPr="00FC6264">
              <w:rPr>
                <w:rFonts w:ascii="Times New Roman" w:eastAsia="AngsanaUPC" w:hAnsi="Times New Roman"/>
                <w:bCs/>
                <w:sz w:val="18"/>
                <w:szCs w:val="18"/>
                <w:lang w:eastAsia="lt-LT"/>
              </w:rPr>
              <w:t>.</w:t>
            </w:r>
            <w:r w:rsidRPr="00FC6264">
              <w:rPr>
                <w:rFonts w:ascii="Times New Roman" w:eastAsia="AngsanaUPC" w:hAnsi="Times New Roman"/>
                <w:bCs/>
                <w:sz w:val="18"/>
                <w:szCs w:val="18"/>
                <w:lang w:eastAsia="lt-LT"/>
              </w:rPr>
              <w:t>672</w:t>
            </w:r>
          </w:p>
        </w:tc>
      </w:tr>
      <w:tr w:rsidR="009F1C50" w:rsidRPr="009348A3" w:rsidTr="006F1682">
        <w:tc>
          <w:tcPr>
            <w:tcW w:w="851" w:type="dxa"/>
            <w:shd w:val="clear" w:color="auto" w:fill="auto"/>
            <w:vAlign w:val="center"/>
          </w:tcPr>
          <w:p w:rsidR="009F1C50" w:rsidRPr="009348A3" w:rsidRDefault="009F1C50" w:rsidP="00BB0960">
            <w:pPr>
              <w:widowControl w:val="0"/>
              <w:tabs>
                <w:tab w:val="left" w:pos="622"/>
              </w:tabs>
              <w:spacing w:after="0" w:line="240" w:lineRule="auto"/>
              <w:rPr>
                <w:rFonts w:ascii="Times New Roman" w:eastAsia="AngsanaUPC" w:hAnsi="Times New Roman"/>
                <w:bCs/>
                <w:sz w:val="18"/>
                <w:szCs w:val="18"/>
                <w:lang w:val="en-GB" w:eastAsia="lt-LT"/>
              </w:rPr>
            </w:pPr>
            <w:r w:rsidRPr="009348A3">
              <w:rPr>
                <w:rFonts w:ascii="Times New Roman" w:eastAsia="AngsanaUPC" w:hAnsi="Times New Roman"/>
                <w:bCs/>
                <w:sz w:val="18"/>
                <w:szCs w:val="18"/>
                <w:lang w:val="en-GB" w:eastAsia="lt-LT"/>
              </w:rPr>
              <w:t>ERPF</w:t>
            </w:r>
          </w:p>
        </w:tc>
        <w:tc>
          <w:tcPr>
            <w:tcW w:w="709" w:type="dxa"/>
            <w:shd w:val="clear" w:color="auto" w:fill="auto"/>
            <w:vAlign w:val="center"/>
          </w:tcPr>
          <w:p w:rsidR="009F1C50" w:rsidRPr="009348A3" w:rsidRDefault="006F1682" w:rsidP="00BB0960">
            <w:pPr>
              <w:widowControl w:val="0"/>
              <w:tabs>
                <w:tab w:val="left" w:pos="622"/>
              </w:tabs>
              <w:spacing w:after="0" w:line="240" w:lineRule="auto"/>
              <w:rPr>
                <w:rFonts w:ascii="Times New Roman" w:eastAsia="AngsanaUPC" w:hAnsi="Times New Roman"/>
                <w:bCs/>
                <w:sz w:val="18"/>
                <w:szCs w:val="18"/>
                <w:lang w:val="en-GB" w:eastAsia="lt-LT"/>
              </w:rPr>
            </w:pPr>
            <w:r w:rsidRPr="009348A3">
              <w:rPr>
                <w:rFonts w:ascii="Times New Roman" w:eastAsia="AngsanaUPC" w:hAnsi="Times New Roman"/>
                <w:bCs/>
                <w:sz w:val="18"/>
                <w:szCs w:val="18"/>
                <w:lang w:val="en-GB" w:eastAsia="lt-LT"/>
              </w:rPr>
              <w:t>0</w:t>
            </w:r>
            <w:r w:rsidR="009F1C50" w:rsidRPr="009348A3">
              <w:rPr>
                <w:rFonts w:ascii="Times New Roman" w:eastAsia="AngsanaUPC" w:hAnsi="Times New Roman"/>
                <w:bCs/>
                <w:sz w:val="18"/>
                <w:szCs w:val="18"/>
                <w:lang w:val="en-GB" w:eastAsia="lt-LT"/>
              </w:rPr>
              <w:t>3</w:t>
            </w:r>
          </w:p>
        </w:tc>
        <w:tc>
          <w:tcPr>
            <w:tcW w:w="6378" w:type="dxa"/>
            <w:shd w:val="clear" w:color="auto" w:fill="auto"/>
            <w:vAlign w:val="center"/>
          </w:tcPr>
          <w:p w:rsidR="009F1C50" w:rsidRPr="009348A3" w:rsidRDefault="009F1C50" w:rsidP="00BB0960">
            <w:pPr>
              <w:widowControl w:val="0"/>
              <w:tabs>
                <w:tab w:val="left" w:pos="622"/>
              </w:tabs>
              <w:spacing w:after="0" w:line="240" w:lineRule="auto"/>
              <w:jc w:val="both"/>
              <w:rPr>
                <w:rFonts w:ascii="Times New Roman" w:hAnsi="Times New Roman"/>
                <w:bCs/>
                <w:iCs/>
                <w:sz w:val="18"/>
                <w:szCs w:val="18"/>
              </w:rPr>
            </w:pPr>
            <w:r w:rsidRPr="009348A3">
              <w:rPr>
                <w:rFonts w:ascii="Times New Roman" w:hAnsi="Times New Roman"/>
                <w:bCs/>
                <w:iCs/>
                <w:sz w:val="18"/>
                <w:szCs w:val="18"/>
              </w:rPr>
              <w:t>Kaimo teritorijos (retai apgyvendintos)</w:t>
            </w:r>
          </w:p>
        </w:tc>
        <w:tc>
          <w:tcPr>
            <w:tcW w:w="1808" w:type="dxa"/>
            <w:shd w:val="clear" w:color="auto" w:fill="auto"/>
            <w:vAlign w:val="center"/>
          </w:tcPr>
          <w:p w:rsidR="009F1C50" w:rsidRPr="00FC6264" w:rsidRDefault="009F1C50" w:rsidP="00750C20">
            <w:pPr>
              <w:widowControl w:val="0"/>
              <w:tabs>
                <w:tab w:val="left" w:pos="622"/>
              </w:tabs>
              <w:spacing w:after="0" w:line="240" w:lineRule="auto"/>
              <w:jc w:val="right"/>
              <w:rPr>
                <w:rFonts w:ascii="Times New Roman" w:eastAsia="AngsanaUPC" w:hAnsi="Times New Roman"/>
                <w:bCs/>
                <w:sz w:val="18"/>
                <w:szCs w:val="18"/>
                <w:lang w:val="en-GB" w:eastAsia="lt-LT"/>
              </w:rPr>
            </w:pPr>
            <w:r w:rsidRPr="00FC6264">
              <w:rPr>
                <w:rFonts w:ascii="Times New Roman" w:eastAsia="AngsanaUPC" w:hAnsi="Times New Roman"/>
                <w:bCs/>
                <w:sz w:val="18"/>
                <w:szCs w:val="18"/>
                <w:lang w:val="en-GB" w:eastAsia="lt-LT"/>
              </w:rPr>
              <w:t>2</w:t>
            </w:r>
            <w:r w:rsidR="00750C20" w:rsidRPr="00FC6264">
              <w:rPr>
                <w:rFonts w:ascii="Times New Roman" w:eastAsia="AngsanaUPC" w:hAnsi="Times New Roman"/>
                <w:bCs/>
                <w:sz w:val="18"/>
                <w:szCs w:val="18"/>
                <w:lang w:val="en-GB" w:eastAsia="lt-LT"/>
              </w:rPr>
              <w:t>5</w:t>
            </w:r>
            <w:r w:rsidR="009348A3" w:rsidRPr="00FC6264">
              <w:rPr>
                <w:rFonts w:ascii="Times New Roman" w:eastAsia="AngsanaUPC" w:hAnsi="Times New Roman"/>
                <w:bCs/>
                <w:sz w:val="18"/>
                <w:szCs w:val="18"/>
                <w:lang w:val="en-GB" w:eastAsia="lt-LT"/>
              </w:rPr>
              <w:t>.</w:t>
            </w:r>
            <w:r w:rsidR="00750C20" w:rsidRPr="00FC6264">
              <w:rPr>
                <w:rFonts w:ascii="Times New Roman" w:eastAsia="AngsanaUPC" w:hAnsi="Times New Roman"/>
                <w:bCs/>
                <w:sz w:val="18"/>
                <w:szCs w:val="18"/>
                <w:lang w:val="en-GB" w:eastAsia="lt-LT"/>
              </w:rPr>
              <w:t>6</w:t>
            </w:r>
            <w:r w:rsidRPr="00FC6264">
              <w:rPr>
                <w:rFonts w:ascii="Times New Roman" w:eastAsia="AngsanaUPC" w:hAnsi="Times New Roman"/>
                <w:bCs/>
                <w:sz w:val="18"/>
                <w:szCs w:val="18"/>
                <w:lang w:val="en-GB" w:eastAsia="lt-LT"/>
              </w:rPr>
              <w:t>62</w:t>
            </w:r>
            <w:r w:rsidR="009348A3"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002</w:t>
            </w:r>
          </w:p>
        </w:tc>
      </w:tr>
      <w:tr w:rsidR="009F1C50" w:rsidRPr="009348A3" w:rsidTr="006F1682">
        <w:tc>
          <w:tcPr>
            <w:tcW w:w="851" w:type="dxa"/>
            <w:shd w:val="clear" w:color="auto" w:fill="auto"/>
            <w:vAlign w:val="center"/>
          </w:tcPr>
          <w:p w:rsidR="009F1C50" w:rsidRPr="009348A3" w:rsidRDefault="009F1C50" w:rsidP="00BB0960">
            <w:pPr>
              <w:widowControl w:val="0"/>
              <w:tabs>
                <w:tab w:val="left" w:pos="622"/>
              </w:tabs>
              <w:spacing w:after="0" w:line="240" w:lineRule="auto"/>
              <w:rPr>
                <w:rFonts w:ascii="Times New Roman" w:eastAsia="AngsanaUPC" w:hAnsi="Times New Roman"/>
                <w:bCs/>
                <w:sz w:val="18"/>
                <w:szCs w:val="18"/>
                <w:lang w:val="en-GB" w:eastAsia="lt-LT"/>
              </w:rPr>
            </w:pPr>
            <w:r w:rsidRPr="009348A3">
              <w:rPr>
                <w:rFonts w:ascii="Times New Roman" w:eastAsia="AngsanaUPC" w:hAnsi="Times New Roman"/>
                <w:bCs/>
                <w:sz w:val="18"/>
                <w:szCs w:val="18"/>
                <w:lang w:val="en-GB" w:eastAsia="lt-LT"/>
              </w:rPr>
              <w:t>ESF</w:t>
            </w:r>
          </w:p>
        </w:tc>
        <w:tc>
          <w:tcPr>
            <w:tcW w:w="709" w:type="dxa"/>
            <w:shd w:val="clear" w:color="auto" w:fill="auto"/>
            <w:vAlign w:val="center"/>
          </w:tcPr>
          <w:p w:rsidR="009F1C50" w:rsidRPr="009348A3" w:rsidRDefault="006F1682" w:rsidP="00BB0960">
            <w:pPr>
              <w:widowControl w:val="0"/>
              <w:tabs>
                <w:tab w:val="left" w:pos="622"/>
              </w:tabs>
              <w:spacing w:after="0" w:line="240" w:lineRule="auto"/>
              <w:rPr>
                <w:rFonts w:ascii="Times New Roman" w:eastAsia="AngsanaUPC" w:hAnsi="Times New Roman"/>
                <w:bCs/>
                <w:sz w:val="18"/>
                <w:szCs w:val="18"/>
                <w:lang w:val="en-GB" w:eastAsia="lt-LT"/>
              </w:rPr>
            </w:pPr>
            <w:r w:rsidRPr="009348A3">
              <w:rPr>
                <w:rFonts w:ascii="Times New Roman" w:eastAsia="AngsanaUPC" w:hAnsi="Times New Roman"/>
                <w:bCs/>
                <w:sz w:val="18"/>
                <w:szCs w:val="18"/>
                <w:lang w:val="en-GB" w:eastAsia="lt-LT"/>
              </w:rPr>
              <w:t>0</w:t>
            </w:r>
            <w:r w:rsidR="009F1C50" w:rsidRPr="009348A3">
              <w:rPr>
                <w:rFonts w:ascii="Times New Roman" w:eastAsia="AngsanaUPC" w:hAnsi="Times New Roman"/>
                <w:bCs/>
                <w:sz w:val="18"/>
                <w:szCs w:val="18"/>
                <w:lang w:val="en-GB" w:eastAsia="lt-LT"/>
              </w:rPr>
              <w:t>6</w:t>
            </w:r>
          </w:p>
        </w:tc>
        <w:tc>
          <w:tcPr>
            <w:tcW w:w="6378" w:type="dxa"/>
            <w:shd w:val="clear" w:color="auto" w:fill="auto"/>
            <w:vAlign w:val="center"/>
          </w:tcPr>
          <w:p w:rsidR="009F1C50" w:rsidRPr="009348A3" w:rsidRDefault="009F1C50" w:rsidP="00BB0960">
            <w:pPr>
              <w:widowControl w:val="0"/>
              <w:tabs>
                <w:tab w:val="left" w:pos="622"/>
              </w:tabs>
              <w:spacing w:after="0" w:line="240" w:lineRule="auto"/>
              <w:jc w:val="both"/>
              <w:rPr>
                <w:rFonts w:ascii="Times New Roman" w:hAnsi="Times New Roman"/>
                <w:bCs/>
                <w:iCs/>
                <w:sz w:val="18"/>
                <w:szCs w:val="18"/>
              </w:rPr>
            </w:pPr>
            <w:r w:rsidRPr="009348A3">
              <w:rPr>
                <w:rFonts w:ascii="Times New Roman" w:hAnsi="Times New Roman"/>
                <w:bCs/>
                <w:iCs/>
                <w:sz w:val="18"/>
                <w:szCs w:val="18"/>
              </w:rPr>
              <w:t>ESF tarpvalstybinis bendradarbiavimas</w:t>
            </w:r>
          </w:p>
        </w:tc>
        <w:tc>
          <w:tcPr>
            <w:tcW w:w="1808" w:type="dxa"/>
            <w:shd w:val="clear" w:color="auto" w:fill="auto"/>
            <w:vAlign w:val="center"/>
          </w:tcPr>
          <w:p w:rsidR="009F1C50" w:rsidRPr="00FC6264" w:rsidRDefault="009F1C50" w:rsidP="00AC0CDE">
            <w:pPr>
              <w:widowControl w:val="0"/>
              <w:tabs>
                <w:tab w:val="left" w:pos="622"/>
              </w:tabs>
              <w:spacing w:after="0" w:line="240" w:lineRule="auto"/>
              <w:jc w:val="right"/>
              <w:rPr>
                <w:rFonts w:ascii="Times New Roman" w:eastAsia="AngsanaUPC" w:hAnsi="Times New Roman"/>
                <w:bCs/>
                <w:sz w:val="18"/>
                <w:szCs w:val="18"/>
                <w:lang w:val="en-GB" w:eastAsia="lt-LT"/>
              </w:rPr>
            </w:pPr>
            <w:r w:rsidRPr="00FC6264">
              <w:rPr>
                <w:rFonts w:ascii="Times New Roman" w:eastAsia="AngsanaUPC" w:hAnsi="Times New Roman"/>
                <w:bCs/>
                <w:sz w:val="18"/>
                <w:szCs w:val="18"/>
                <w:lang w:val="en-GB" w:eastAsia="lt-LT"/>
              </w:rPr>
              <w:t>11</w:t>
            </w:r>
            <w:r w:rsidR="009348A3"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584</w:t>
            </w:r>
            <w:r w:rsidR="009348A3"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801</w:t>
            </w:r>
          </w:p>
        </w:tc>
      </w:tr>
      <w:tr w:rsidR="009F1C50" w:rsidRPr="009348A3" w:rsidTr="006F1682">
        <w:tc>
          <w:tcPr>
            <w:tcW w:w="851" w:type="dxa"/>
            <w:shd w:val="clear" w:color="auto" w:fill="auto"/>
            <w:vAlign w:val="center"/>
          </w:tcPr>
          <w:p w:rsidR="009F1C50" w:rsidRPr="009348A3" w:rsidRDefault="009F1C50" w:rsidP="00BB0960">
            <w:pPr>
              <w:widowControl w:val="0"/>
              <w:tabs>
                <w:tab w:val="left" w:pos="622"/>
              </w:tabs>
              <w:spacing w:after="0" w:line="240" w:lineRule="auto"/>
              <w:rPr>
                <w:rFonts w:ascii="Times New Roman" w:eastAsia="AngsanaUPC" w:hAnsi="Times New Roman"/>
                <w:bCs/>
                <w:sz w:val="18"/>
                <w:szCs w:val="18"/>
                <w:lang w:val="en-GB" w:eastAsia="lt-LT"/>
              </w:rPr>
            </w:pPr>
            <w:r w:rsidRPr="009348A3">
              <w:rPr>
                <w:rFonts w:ascii="Times New Roman" w:eastAsia="AngsanaUPC" w:hAnsi="Times New Roman"/>
                <w:bCs/>
                <w:sz w:val="18"/>
                <w:szCs w:val="18"/>
                <w:lang w:val="en-GB" w:eastAsia="lt-LT"/>
              </w:rPr>
              <w:t>ERPF</w:t>
            </w:r>
          </w:p>
        </w:tc>
        <w:tc>
          <w:tcPr>
            <w:tcW w:w="709" w:type="dxa"/>
            <w:shd w:val="clear" w:color="auto" w:fill="auto"/>
            <w:vAlign w:val="center"/>
          </w:tcPr>
          <w:p w:rsidR="009F1C50" w:rsidRPr="009348A3" w:rsidRDefault="006F1682" w:rsidP="00BB0960">
            <w:pPr>
              <w:widowControl w:val="0"/>
              <w:tabs>
                <w:tab w:val="left" w:pos="622"/>
              </w:tabs>
              <w:spacing w:after="0" w:line="240" w:lineRule="auto"/>
              <w:rPr>
                <w:rFonts w:ascii="Times New Roman" w:eastAsia="AngsanaUPC" w:hAnsi="Times New Roman"/>
                <w:bCs/>
                <w:sz w:val="18"/>
                <w:szCs w:val="18"/>
                <w:lang w:val="en-GB" w:eastAsia="lt-LT"/>
              </w:rPr>
            </w:pPr>
            <w:r w:rsidRPr="009348A3">
              <w:rPr>
                <w:rFonts w:ascii="Times New Roman" w:eastAsia="AngsanaUPC" w:hAnsi="Times New Roman"/>
                <w:bCs/>
                <w:sz w:val="18"/>
                <w:szCs w:val="18"/>
                <w:lang w:val="en-GB" w:eastAsia="lt-LT"/>
              </w:rPr>
              <w:t>0</w:t>
            </w:r>
            <w:r w:rsidR="009F1C50" w:rsidRPr="009348A3">
              <w:rPr>
                <w:rFonts w:ascii="Times New Roman" w:eastAsia="AngsanaUPC" w:hAnsi="Times New Roman"/>
                <w:bCs/>
                <w:sz w:val="18"/>
                <w:szCs w:val="18"/>
                <w:lang w:val="en-GB" w:eastAsia="lt-LT"/>
              </w:rPr>
              <w:t>7</w:t>
            </w:r>
          </w:p>
        </w:tc>
        <w:tc>
          <w:tcPr>
            <w:tcW w:w="6378" w:type="dxa"/>
            <w:shd w:val="clear" w:color="auto" w:fill="auto"/>
            <w:vAlign w:val="center"/>
          </w:tcPr>
          <w:p w:rsidR="009F1C50" w:rsidRPr="009348A3" w:rsidRDefault="009F1C50" w:rsidP="00BB0960">
            <w:pPr>
              <w:widowControl w:val="0"/>
              <w:tabs>
                <w:tab w:val="left" w:pos="622"/>
              </w:tabs>
              <w:spacing w:after="0" w:line="240" w:lineRule="auto"/>
              <w:jc w:val="both"/>
              <w:rPr>
                <w:rFonts w:ascii="Times New Roman" w:hAnsi="Times New Roman"/>
                <w:bCs/>
                <w:iCs/>
                <w:sz w:val="18"/>
                <w:szCs w:val="18"/>
              </w:rPr>
            </w:pPr>
            <w:r w:rsidRPr="009348A3">
              <w:rPr>
                <w:rFonts w:ascii="Times New Roman" w:hAnsi="Times New Roman"/>
                <w:bCs/>
                <w:iCs/>
                <w:sz w:val="18"/>
                <w:szCs w:val="18"/>
              </w:rPr>
              <w:t>Netaikoma</w:t>
            </w:r>
          </w:p>
        </w:tc>
        <w:tc>
          <w:tcPr>
            <w:tcW w:w="1808" w:type="dxa"/>
            <w:shd w:val="clear" w:color="auto" w:fill="auto"/>
            <w:vAlign w:val="center"/>
          </w:tcPr>
          <w:p w:rsidR="009F1C50" w:rsidRPr="00FC6264" w:rsidRDefault="00750C20" w:rsidP="00AC0CDE">
            <w:pPr>
              <w:widowControl w:val="0"/>
              <w:tabs>
                <w:tab w:val="left" w:pos="622"/>
              </w:tabs>
              <w:spacing w:after="0" w:line="240" w:lineRule="auto"/>
              <w:jc w:val="right"/>
              <w:rPr>
                <w:rFonts w:ascii="Times New Roman" w:eastAsia="AngsanaUPC" w:hAnsi="Times New Roman"/>
                <w:bCs/>
                <w:sz w:val="18"/>
                <w:szCs w:val="18"/>
                <w:lang w:val="en-GB" w:eastAsia="lt-LT"/>
              </w:rPr>
            </w:pPr>
            <w:r w:rsidRPr="00FC6264">
              <w:rPr>
                <w:rFonts w:ascii="Times New Roman" w:eastAsia="AngsanaUPC" w:hAnsi="Times New Roman"/>
                <w:bCs/>
                <w:sz w:val="18"/>
                <w:szCs w:val="18"/>
                <w:lang w:val="en-GB" w:eastAsia="lt-LT"/>
              </w:rPr>
              <w:t>313</w:t>
            </w:r>
            <w:r w:rsidR="009348A3"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1</w:t>
            </w:r>
            <w:r w:rsidR="009F1C50" w:rsidRPr="00FC6264">
              <w:rPr>
                <w:rFonts w:ascii="Times New Roman" w:eastAsia="AngsanaUPC" w:hAnsi="Times New Roman"/>
                <w:bCs/>
                <w:sz w:val="18"/>
                <w:szCs w:val="18"/>
                <w:lang w:val="en-GB" w:eastAsia="lt-LT"/>
              </w:rPr>
              <w:t>52</w:t>
            </w:r>
            <w:r w:rsidR="009348A3" w:rsidRPr="00FC6264">
              <w:rPr>
                <w:rFonts w:ascii="Times New Roman" w:eastAsia="AngsanaUPC" w:hAnsi="Times New Roman"/>
                <w:bCs/>
                <w:sz w:val="18"/>
                <w:szCs w:val="18"/>
                <w:lang w:val="en-GB" w:eastAsia="lt-LT"/>
              </w:rPr>
              <w:t>.</w:t>
            </w:r>
            <w:r w:rsidR="009F1C50" w:rsidRPr="00FC6264">
              <w:rPr>
                <w:rFonts w:ascii="Times New Roman" w:eastAsia="AngsanaUPC" w:hAnsi="Times New Roman"/>
                <w:bCs/>
                <w:sz w:val="18"/>
                <w:szCs w:val="18"/>
                <w:lang w:val="en-GB" w:eastAsia="lt-LT"/>
              </w:rPr>
              <w:t>842</w:t>
            </w:r>
          </w:p>
        </w:tc>
      </w:tr>
      <w:tr w:rsidR="009F1C50" w:rsidRPr="009348A3" w:rsidTr="006F1682">
        <w:tc>
          <w:tcPr>
            <w:tcW w:w="851" w:type="dxa"/>
            <w:shd w:val="clear" w:color="auto" w:fill="auto"/>
            <w:vAlign w:val="center"/>
          </w:tcPr>
          <w:p w:rsidR="009F1C50" w:rsidRPr="009348A3" w:rsidRDefault="009F1C50" w:rsidP="00BB0960">
            <w:pPr>
              <w:widowControl w:val="0"/>
              <w:tabs>
                <w:tab w:val="left" w:pos="622"/>
              </w:tabs>
              <w:spacing w:after="0" w:line="240" w:lineRule="auto"/>
              <w:rPr>
                <w:rFonts w:ascii="Times New Roman" w:eastAsia="AngsanaUPC" w:hAnsi="Times New Roman"/>
                <w:bCs/>
                <w:sz w:val="18"/>
                <w:szCs w:val="18"/>
                <w:lang w:val="en-GB" w:eastAsia="lt-LT"/>
              </w:rPr>
            </w:pPr>
            <w:r w:rsidRPr="009348A3">
              <w:rPr>
                <w:rFonts w:ascii="Times New Roman" w:eastAsia="AngsanaUPC" w:hAnsi="Times New Roman"/>
                <w:bCs/>
                <w:sz w:val="18"/>
                <w:szCs w:val="18"/>
                <w:lang w:val="en-GB" w:eastAsia="lt-LT"/>
              </w:rPr>
              <w:t>ESF</w:t>
            </w:r>
          </w:p>
        </w:tc>
        <w:tc>
          <w:tcPr>
            <w:tcW w:w="709" w:type="dxa"/>
            <w:shd w:val="clear" w:color="auto" w:fill="auto"/>
            <w:vAlign w:val="center"/>
          </w:tcPr>
          <w:p w:rsidR="009F1C50" w:rsidRPr="009348A3" w:rsidRDefault="006F1682" w:rsidP="00BB0960">
            <w:pPr>
              <w:widowControl w:val="0"/>
              <w:tabs>
                <w:tab w:val="left" w:pos="622"/>
              </w:tabs>
              <w:spacing w:after="0" w:line="240" w:lineRule="auto"/>
              <w:rPr>
                <w:rFonts w:ascii="Times New Roman" w:eastAsia="AngsanaUPC" w:hAnsi="Times New Roman"/>
                <w:bCs/>
                <w:sz w:val="18"/>
                <w:szCs w:val="18"/>
                <w:lang w:val="en-GB" w:eastAsia="lt-LT"/>
              </w:rPr>
            </w:pPr>
            <w:r w:rsidRPr="009348A3">
              <w:rPr>
                <w:rFonts w:ascii="Times New Roman" w:eastAsia="AngsanaUPC" w:hAnsi="Times New Roman"/>
                <w:bCs/>
                <w:sz w:val="18"/>
                <w:szCs w:val="18"/>
                <w:lang w:val="en-GB" w:eastAsia="lt-LT"/>
              </w:rPr>
              <w:t>0</w:t>
            </w:r>
            <w:r w:rsidR="009F1C50" w:rsidRPr="009348A3">
              <w:rPr>
                <w:rFonts w:ascii="Times New Roman" w:eastAsia="AngsanaUPC" w:hAnsi="Times New Roman"/>
                <w:bCs/>
                <w:sz w:val="18"/>
                <w:szCs w:val="18"/>
                <w:lang w:val="en-GB" w:eastAsia="lt-LT"/>
              </w:rPr>
              <w:t>7</w:t>
            </w:r>
          </w:p>
        </w:tc>
        <w:tc>
          <w:tcPr>
            <w:tcW w:w="6378" w:type="dxa"/>
            <w:shd w:val="clear" w:color="auto" w:fill="auto"/>
            <w:vAlign w:val="center"/>
          </w:tcPr>
          <w:p w:rsidR="009F1C50" w:rsidRPr="009348A3" w:rsidRDefault="009F1C50" w:rsidP="00BB0960">
            <w:pPr>
              <w:widowControl w:val="0"/>
              <w:tabs>
                <w:tab w:val="left" w:pos="622"/>
              </w:tabs>
              <w:spacing w:after="0" w:line="240" w:lineRule="auto"/>
              <w:jc w:val="both"/>
              <w:rPr>
                <w:rFonts w:ascii="Times New Roman" w:hAnsi="Times New Roman"/>
                <w:bCs/>
                <w:iCs/>
                <w:sz w:val="18"/>
                <w:szCs w:val="18"/>
              </w:rPr>
            </w:pPr>
            <w:r w:rsidRPr="009348A3">
              <w:rPr>
                <w:rFonts w:ascii="Times New Roman" w:hAnsi="Times New Roman"/>
                <w:bCs/>
                <w:iCs/>
                <w:sz w:val="18"/>
                <w:szCs w:val="18"/>
              </w:rPr>
              <w:t>Netaikoma</w:t>
            </w:r>
          </w:p>
        </w:tc>
        <w:tc>
          <w:tcPr>
            <w:tcW w:w="1808" w:type="dxa"/>
            <w:shd w:val="clear" w:color="auto" w:fill="auto"/>
            <w:vAlign w:val="center"/>
          </w:tcPr>
          <w:p w:rsidR="009F1C50" w:rsidRPr="00FC6264" w:rsidRDefault="00AC0CDE" w:rsidP="00750C20">
            <w:pPr>
              <w:widowControl w:val="0"/>
              <w:tabs>
                <w:tab w:val="left" w:pos="622"/>
              </w:tabs>
              <w:spacing w:after="0" w:line="240" w:lineRule="auto"/>
              <w:jc w:val="right"/>
              <w:rPr>
                <w:rFonts w:ascii="Times New Roman" w:eastAsia="AngsanaUPC" w:hAnsi="Times New Roman"/>
                <w:bCs/>
                <w:sz w:val="18"/>
                <w:szCs w:val="18"/>
                <w:lang w:val="en-GB" w:eastAsia="lt-LT"/>
              </w:rPr>
            </w:pPr>
            <w:r w:rsidRPr="00FC6264">
              <w:rPr>
                <w:rFonts w:ascii="Times New Roman" w:eastAsia="AngsanaUPC" w:hAnsi="Times New Roman"/>
                <w:bCs/>
                <w:sz w:val="18"/>
                <w:szCs w:val="18"/>
                <w:lang w:val="en-GB" w:eastAsia="lt-LT"/>
              </w:rPr>
              <w:t>2</w:t>
            </w:r>
            <w:r w:rsidR="00D37DF5" w:rsidRPr="00FC6264">
              <w:rPr>
                <w:rFonts w:ascii="Times New Roman" w:eastAsia="AngsanaUPC" w:hAnsi="Times New Roman"/>
                <w:bCs/>
                <w:sz w:val="18"/>
                <w:szCs w:val="18"/>
                <w:lang w:val="en-GB" w:eastAsia="lt-LT"/>
              </w:rPr>
              <w:t>10</w:t>
            </w:r>
            <w:r w:rsidR="009348A3" w:rsidRPr="00FC6264">
              <w:rPr>
                <w:rFonts w:ascii="Times New Roman" w:eastAsia="AngsanaUPC" w:hAnsi="Times New Roman"/>
                <w:bCs/>
                <w:sz w:val="18"/>
                <w:szCs w:val="18"/>
                <w:lang w:val="en-GB" w:eastAsia="lt-LT"/>
              </w:rPr>
              <w:t>.</w:t>
            </w:r>
            <w:r w:rsidR="00750C20" w:rsidRPr="00FC6264">
              <w:rPr>
                <w:rFonts w:ascii="Times New Roman" w:eastAsia="AngsanaUPC" w:hAnsi="Times New Roman"/>
                <w:bCs/>
                <w:sz w:val="18"/>
                <w:szCs w:val="18"/>
                <w:lang w:val="en-GB" w:eastAsia="lt-LT"/>
              </w:rPr>
              <w:t>62</w:t>
            </w:r>
            <w:r w:rsidRPr="00FC6264">
              <w:rPr>
                <w:rFonts w:ascii="Times New Roman" w:eastAsia="AngsanaUPC" w:hAnsi="Times New Roman"/>
                <w:bCs/>
                <w:sz w:val="18"/>
                <w:szCs w:val="18"/>
                <w:lang w:val="en-GB" w:eastAsia="lt-LT"/>
              </w:rPr>
              <w:t>9</w:t>
            </w:r>
            <w:r w:rsidR="009348A3"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48</w:t>
            </w:r>
            <w:r w:rsidR="00750C20" w:rsidRPr="00FC6264">
              <w:rPr>
                <w:rFonts w:ascii="Times New Roman" w:eastAsia="AngsanaUPC" w:hAnsi="Times New Roman"/>
                <w:bCs/>
                <w:sz w:val="18"/>
                <w:szCs w:val="18"/>
                <w:lang w:val="en-GB" w:eastAsia="lt-LT"/>
              </w:rPr>
              <w:t>3</w:t>
            </w:r>
          </w:p>
        </w:tc>
      </w:tr>
    </w:tbl>
    <w:p w:rsidR="000D0444" w:rsidRPr="002447B3" w:rsidRDefault="000D0444" w:rsidP="000D0444">
      <w:pPr>
        <w:widowControl w:val="0"/>
        <w:tabs>
          <w:tab w:val="left" w:pos="622"/>
        </w:tabs>
        <w:spacing w:after="0" w:line="240" w:lineRule="auto"/>
        <w:jc w:val="both"/>
        <w:rPr>
          <w:rFonts w:ascii="Times New Roman" w:hAnsi="Times New Roman"/>
          <w:iCs/>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9"/>
        <w:gridCol w:w="6378"/>
        <w:gridCol w:w="1808"/>
      </w:tblGrid>
      <w:tr w:rsidR="000D0444" w:rsidRPr="002447B3" w:rsidTr="00BB0960">
        <w:tc>
          <w:tcPr>
            <w:tcW w:w="9746" w:type="dxa"/>
            <w:gridSpan w:val="4"/>
            <w:shd w:val="clear" w:color="auto" w:fill="EEECE1"/>
          </w:tcPr>
          <w:p w:rsidR="000D0444" w:rsidRPr="002447B3" w:rsidRDefault="000D0444" w:rsidP="00BB0960">
            <w:pPr>
              <w:widowControl w:val="0"/>
              <w:tabs>
                <w:tab w:val="left" w:pos="622"/>
              </w:tabs>
              <w:spacing w:after="0" w:line="240" w:lineRule="auto"/>
              <w:jc w:val="both"/>
              <w:rPr>
                <w:rFonts w:ascii="Times New Roman" w:hAnsi="Times New Roman"/>
                <w:i/>
                <w:iCs/>
                <w:sz w:val="18"/>
                <w:szCs w:val="18"/>
              </w:rPr>
            </w:pPr>
            <w:r w:rsidRPr="002447B3">
              <w:rPr>
                <w:rFonts w:ascii="Times New Roman" w:hAnsi="Times New Roman"/>
                <w:b/>
                <w:bCs/>
                <w:i/>
                <w:iCs/>
                <w:sz w:val="18"/>
                <w:szCs w:val="18"/>
              </w:rPr>
              <w:t>Teritorinės paramos paskirstymo priemonės</w:t>
            </w:r>
          </w:p>
        </w:tc>
      </w:tr>
      <w:tr w:rsidR="000D0444" w:rsidRPr="002447B3" w:rsidTr="006F1682">
        <w:tc>
          <w:tcPr>
            <w:tcW w:w="851" w:type="dxa"/>
            <w:shd w:val="clear" w:color="auto" w:fill="EEECE1"/>
            <w:vAlign w:val="center"/>
          </w:tcPr>
          <w:p w:rsidR="000D0444" w:rsidRPr="002447B3" w:rsidRDefault="000D0444" w:rsidP="00BB0960">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Fondas</w:t>
            </w:r>
          </w:p>
        </w:tc>
        <w:tc>
          <w:tcPr>
            <w:tcW w:w="709" w:type="dxa"/>
            <w:shd w:val="clear" w:color="auto" w:fill="EEECE1"/>
            <w:vAlign w:val="center"/>
          </w:tcPr>
          <w:p w:rsidR="000D0444" w:rsidRPr="002447B3" w:rsidRDefault="000D0444" w:rsidP="00BB0960">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Kodas</w:t>
            </w:r>
          </w:p>
        </w:tc>
        <w:tc>
          <w:tcPr>
            <w:tcW w:w="6378" w:type="dxa"/>
            <w:shd w:val="clear" w:color="auto" w:fill="EEECE1"/>
            <w:vAlign w:val="center"/>
          </w:tcPr>
          <w:p w:rsidR="000D0444" w:rsidRPr="002447B3" w:rsidRDefault="000D0444" w:rsidP="00BB0960">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Pavadinimas</w:t>
            </w:r>
          </w:p>
        </w:tc>
        <w:tc>
          <w:tcPr>
            <w:tcW w:w="1808" w:type="dxa"/>
            <w:shd w:val="clear" w:color="auto" w:fill="EEECE1"/>
            <w:vAlign w:val="center"/>
          </w:tcPr>
          <w:p w:rsidR="000D0444" w:rsidRPr="002447B3" w:rsidRDefault="000D0444" w:rsidP="00BB0960">
            <w:pPr>
              <w:widowControl w:val="0"/>
              <w:tabs>
                <w:tab w:val="left" w:pos="622"/>
              </w:tabs>
              <w:spacing w:after="0" w:line="240" w:lineRule="auto"/>
              <w:jc w:val="center"/>
              <w:rPr>
                <w:rFonts w:ascii="Times New Roman" w:hAnsi="Times New Roman"/>
                <w:b/>
                <w:bCs/>
                <w:iCs/>
                <w:sz w:val="18"/>
                <w:szCs w:val="18"/>
              </w:rPr>
            </w:pPr>
            <w:r w:rsidRPr="002447B3">
              <w:rPr>
                <w:rFonts w:ascii="Times New Roman" w:hAnsi="Times New Roman"/>
                <w:b/>
                <w:bCs/>
                <w:iCs/>
                <w:sz w:val="18"/>
                <w:szCs w:val="18"/>
              </w:rPr>
              <w:t>Finansinė proporcija (eurais)</w:t>
            </w:r>
          </w:p>
        </w:tc>
      </w:tr>
      <w:tr w:rsidR="00AC0CDE" w:rsidRPr="00A50C23" w:rsidTr="006F1682">
        <w:tc>
          <w:tcPr>
            <w:tcW w:w="851" w:type="dxa"/>
            <w:shd w:val="clear" w:color="auto" w:fill="auto"/>
            <w:vAlign w:val="center"/>
          </w:tcPr>
          <w:p w:rsidR="00AC0CDE" w:rsidRPr="00A50C23" w:rsidRDefault="00AC0CDE" w:rsidP="003425A4">
            <w:pPr>
              <w:widowControl w:val="0"/>
              <w:tabs>
                <w:tab w:val="left" w:pos="622"/>
              </w:tabs>
              <w:spacing w:after="0" w:line="240" w:lineRule="auto"/>
              <w:rPr>
                <w:rFonts w:ascii="Times New Roman" w:eastAsia="AngsanaUPC" w:hAnsi="Times New Roman"/>
                <w:bCs/>
                <w:sz w:val="18"/>
                <w:szCs w:val="18"/>
                <w:lang w:val="en-GB" w:eastAsia="lt-LT"/>
              </w:rPr>
            </w:pPr>
            <w:r w:rsidRPr="00A50C23">
              <w:rPr>
                <w:rFonts w:ascii="Times New Roman" w:eastAsia="AngsanaUPC" w:hAnsi="Times New Roman"/>
                <w:bCs/>
                <w:sz w:val="18"/>
                <w:szCs w:val="18"/>
                <w:lang w:val="en-GB" w:eastAsia="lt-LT"/>
              </w:rPr>
              <w:t>ERPF</w:t>
            </w:r>
          </w:p>
        </w:tc>
        <w:tc>
          <w:tcPr>
            <w:tcW w:w="709" w:type="dxa"/>
            <w:shd w:val="clear" w:color="auto" w:fill="auto"/>
            <w:vAlign w:val="center"/>
          </w:tcPr>
          <w:p w:rsidR="00AC0CDE" w:rsidRPr="00A50C23" w:rsidRDefault="00AC0CDE" w:rsidP="003425A4">
            <w:pPr>
              <w:widowControl w:val="0"/>
              <w:tabs>
                <w:tab w:val="left" w:pos="622"/>
              </w:tabs>
              <w:spacing w:after="0" w:line="240" w:lineRule="auto"/>
              <w:rPr>
                <w:rFonts w:ascii="Times New Roman" w:eastAsia="AngsanaUPC" w:hAnsi="Times New Roman"/>
                <w:bCs/>
                <w:sz w:val="18"/>
                <w:szCs w:val="18"/>
                <w:lang w:val="en-GB" w:eastAsia="lt-LT"/>
              </w:rPr>
            </w:pPr>
            <w:r w:rsidRPr="00A50C23">
              <w:rPr>
                <w:rFonts w:ascii="Times New Roman" w:eastAsia="AngsanaUPC" w:hAnsi="Times New Roman"/>
                <w:bCs/>
                <w:sz w:val="18"/>
                <w:szCs w:val="18"/>
                <w:lang w:val="en-GB" w:eastAsia="lt-LT"/>
              </w:rPr>
              <w:t>01</w:t>
            </w:r>
          </w:p>
        </w:tc>
        <w:tc>
          <w:tcPr>
            <w:tcW w:w="6378" w:type="dxa"/>
            <w:shd w:val="clear" w:color="auto" w:fill="auto"/>
            <w:vAlign w:val="center"/>
          </w:tcPr>
          <w:p w:rsidR="00AC0CDE" w:rsidRPr="00A50C23" w:rsidRDefault="00AC0CDE" w:rsidP="003425A4">
            <w:pPr>
              <w:widowControl w:val="0"/>
              <w:tabs>
                <w:tab w:val="left" w:pos="622"/>
              </w:tabs>
              <w:spacing w:after="0" w:line="240" w:lineRule="auto"/>
              <w:jc w:val="both"/>
              <w:rPr>
                <w:rFonts w:ascii="Times New Roman" w:hAnsi="Times New Roman"/>
                <w:bCs/>
                <w:iCs/>
                <w:sz w:val="18"/>
                <w:szCs w:val="18"/>
              </w:rPr>
            </w:pPr>
            <w:r w:rsidRPr="00A50C23">
              <w:rPr>
                <w:rFonts w:ascii="Times New Roman" w:hAnsi="Times New Roman"/>
                <w:bCs/>
                <w:iCs/>
                <w:sz w:val="18"/>
                <w:szCs w:val="18"/>
              </w:rPr>
              <w:t>Integruotosios teritorinės investicijos: miesto teritorijos</w:t>
            </w:r>
          </w:p>
        </w:tc>
        <w:tc>
          <w:tcPr>
            <w:tcW w:w="1808" w:type="dxa"/>
            <w:shd w:val="clear" w:color="auto" w:fill="auto"/>
            <w:vAlign w:val="center"/>
          </w:tcPr>
          <w:p w:rsidR="00AC0CDE" w:rsidRPr="00FC6264" w:rsidRDefault="00AC0CDE" w:rsidP="003425A4">
            <w:pPr>
              <w:widowControl w:val="0"/>
              <w:tabs>
                <w:tab w:val="left" w:pos="622"/>
              </w:tabs>
              <w:spacing w:after="0" w:line="240" w:lineRule="auto"/>
              <w:jc w:val="right"/>
              <w:rPr>
                <w:rFonts w:ascii="Times New Roman" w:eastAsia="AngsanaUPC" w:hAnsi="Times New Roman"/>
                <w:bCs/>
                <w:sz w:val="18"/>
                <w:szCs w:val="18"/>
                <w:lang w:val="en-GB" w:eastAsia="lt-LT"/>
              </w:rPr>
            </w:pPr>
            <w:r w:rsidRPr="00FC6264">
              <w:rPr>
                <w:rFonts w:ascii="Times New Roman" w:eastAsia="AngsanaUPC" w:hAnsi="Times New Roman"/>
                <w:bCs/>
                <w:sz w:val="18"/>
                <w:szCs w:val="18"/>
                <w:lang w:val="en-GB" w:eastAsia="lt-LT"/>
              </w:rPr>
              <w:t>4</w:t>
            </w:r>
            <w:r w:rsidR="00A50C23"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184</w:t>
            </w:r>
            <w:r w:rsidR="00A50C23"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891</w:t>
            </w:r>
          </w:p>
        </w:tc>
      </w:tr>
      <w:tr w:rsidR="00AC0CDE" w:rsidRPr="00A50C23" w:rsidTr="006F1682">
        <w:tc>
          <w:tcPr>
            <w:tcW w:w="851" w:type="dxa"/>
            <w:shd w:val="clear" w:color="auto" w:fill="auto"/>
            <w:vAlign w:val="center"/>
          </w:tcPr>
          <w:p w:rsidR="00AC0CDE" w:rsidRPr="00A50C23" w:rsidRDefault="00AC0CDE" w:rsidP="003425A4">
            <w:pPr>
              <w:widowControl w:val="0"/>
              <w:tabs>
                <w:tab w:val="left" w:pos="622"/>
              </w:tabs>
              <w:spacing w:after="0" w:line="240" w:lineRule="auto"/>
              <w:rPr>
                <w:rFonts w:ascii="Times New Roman" w:eastAsia="AngsanaUPC" w:hAnsi="Times New Roman"/>
                <w:bCs/>
                <w:sz w:val="18"/>
                <w:szCs w:val="18"/>
                <w:lang w:val="en-GB" w:eastAsia="lt-LT"/>
              </w:rPr>
            </w:pPr>
            <w:r w:rsidRPr="00A50C23">
              <w:rPr>
                <w:rFonts w:ascii="Times New Roman" w:eastAsia="AngsanaUPC" w:hAnsi="Times New Roman"/>
                <w:bCs/>
                <w:sz w:val="18"/>
                <w:szCs w:val="18"/>
                <w:lang w:val="en-GB" w:eastAsia="lt-LT"/>
              </w:rPr>
              <w:t>ERPF</w:t>
            </w:r>
          </w:p>
        </w:tc>
        <w:tc>
          <w:tcPr>
            <w:tcW w:w="709" w:type="dxa"/>
            <w:shd w:val="clear" w:color="auto" w:fill="auto"/>
            <w:vAlign w:val="center"/>
          </w:tcPr>
          <w:p w:rsidR="00AC0CDE" w:rsidRPr="00A50C23" w:rsidRDefault="00AC0CDE" w:rsidP="003425A4">
            <w:pPr>
              <w:widowControl w:val="0"/>
              <w:tabs>
                <w:tab w:val="left" w:pos="622"/>
              </w:tabs>
              <w:spacing w:after="0" w:line="240" w:lineRule="auto"/>
              <w:rPr>
                <w:rFonts w:ascii="Times New Roman" w:eastAsia="AngsanaUPC" w:hAnsi="Times New Roman"/>
                <w:bCs/>
                <w:sz w:val="18"/>
                <w:szCs w:val="18"/>
                <w:lang w:val="en-GB" w:eastAsia="lt-LT"/>
              </w:rPr>
            </w:pPr>
            <w:r w:rsidRPr="00A50C23">
              <w:rPr>
                <w:rFonts w:ascii="Times New Roman" w:eastAsia="AngsanaUPC" w:hAnsi="Times New Roman"/>
                <w:bCs/>
                <w:sz w:val="18"/>
                <w:szCs w:val="18"/>
                <w:lang w:val="en-GB" w:eastAsia="lt-LT"/>
              </w:rPr>
              <w:t>03</w:t>
            </w:r>
          </w:p>
        </w:tc>
        <w:tc>
          <w:tcPr>
            <w:tcW w:w="6378" w:type="dxa"/>
            <w:shd w:val="clear" w:color="auto" w:fill="auto"/>
            <w:vAlign w:val="center"/>
          </w:tcPr>
          <w:p w:rsidR="00AC0CDE" w:rsidRPr="00A50C23" w:rsidRDefault="00AC0CDE" w:rsidP="003425A4">
            <w:pPr>
              <w:widowControl w:val="0"/>
              <w:tabs>
                <w:tab w:val="left" w:pos="622"/>
              </w:tabs>
              <w:spacing w:after="0" w:line="240" w:lineRule="auto"/>
              <w:jc w:val="both"/>
              <w:rPr>
                <w:rFonts w:ascii="Times New Roman" w:hAnsi="Times New Roman"/>
                <w:bCs/>
                <w:iCs/>
                <w:sz w:val="18"/>
                <w:szCs w:val="18"/>
              </w:rPr>
            </w:pPr>
            <w:r w:rsidRPr="00A50C23">
              <w:rPr>
                <w:rFonts w:ascii="Times New Roman" w:hAnsi="Times New Roman"/>
                <w:bCs/>
                <w:iCs/>
                <w:sz w:val="18"/>
                <w:szCs w:val="18"/>
              </w:rPr>
              <w:t>Integruotosios teritorinės investicijos: kita</w:t>
            </w:r>
          </w:p>
        </w:tc>
        <w:tc>
          <w:tcPr>
            <w:tcW w:w="1808" w:type="dxa"/>
            <w:shd w:val="clear" w:color="auto" w:fill="auto"/>
            <w:vAlign w:val="center"/>
          </w:tcPr>
          <w:p w:rsidR="00AC0CDE" w:rsidRPr="00FC6264" w:rsidRDefault="00AC0CDE" w:rsidP="003425A4">
            <w:pPr>
              <w:widowControl w:val="0"/>
              <w:tabs>
                <w:tab w:val="left" w:pos="622"/>
              </w:tabs>
              <w:spacing w:after="0" w:line="240" w:lineRule="auto"/>
              <w:jc w:val="right"/>
              <w:rPr>
                <w:rFonts w:ascii="Times New Roman" w:eastAsia="AngsanaUPC" w:hAnsi="Times New Roman"/>
                <w:bCs/>
                <w:sz w:val="18"/>
                <w:szCs w:val="18"/>
                <w:lang w:val="en-GB" w:eastAsia="lt-LT"/>
              </w:rPr>
            </w:pPr>
            <w:r w:rsidRPr="00FC6264">
              <w:rPr>
                <w:rFonts w:ascii="Times New Roman" w:eastAsia="AngsanaUPC" w:hAnsi="Times New Roman"/>
                <w:bCs/>
                <w:sz w:val="18"/>
                <w:szCs w:val="18"/>
                <w:lang w:val="en-GB" w:eastAsia="lt-LT"/>
              </w:rPr>
              <w:t>17</w:t>
            </w:r>
            <w:r w:rsidR="00A50C23"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956</w:t>
            </w:r>
            <w:r w:rsidR="00A50C23"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241</w:t>
            </w:r>
          </w:p>
        </w:tc>
      </w:tr>
      <w:tr w:rsidR="00DA7585" w:rsidRPr="00A50C23" w:rsidTr="006F1682">
        <w:tc>
          <w:tcPr>
            <w:tcW w:w="851" w:type="dxa"/>
            <w:shd w:val="clear" w:color="auto" w:fill="auto"/>
            <w:vAlign w:val="center"/>
          </w:tcPr>
          <w:p w:rsidR="00DA7585" w:rsidRPr="00D54F90" w:rsidRDefault="00DA7585" w:rsidP="003425A4">
            <w:pPr>
              <w:widowControl w:val="0"/>
              <w:tabs>
                <w:tab w:val="left" w:pos="622"/>
              </w:tabs>
              <w:spacing w:after="0" w:line="240" w:lineRule="auto"/>
              <w:rPr>
                <w:rFonts w:ascii="Times New Roman" w:eastAsia="AngsanaUPC" w:hAnsi="Times New Roman"/>
                <w:bCs/>
                <w:sz w:val="18"/>
                <w:szCs w:val="18"/>
                <w:lang w:val="en-GB" w:eastAsia="lt-LT"/>
              </w:rPr>
            </w:pPr>
            <w:r w:rsidRPr="00D54F90">
              <w:rPr>
                <w:rFonts w:ascii="Times New Roman" w:eastAsia="AngsanaUPC" w:hAnsi="Times New Roman"/>
                <w:bCs/>
                <w:sz w:val="18"/>
                <w:szCs w:val="18"/>
                <w:lang w:val="en-GB" w:eastAsia="lt-LT"/>
              </w:rPr>
              <w:t>ESF</w:t>
            </w:r>
          </w:p>
        </w:tc>
        <w:tc>
          <w:tcPr>
            <w:tcW w:w="709" w:type="dxa"/>
            <w:shd w:val="clear" w:color="auto" w:fill="auto"/>
            <w:vAlign w:val="center"/>
          </w:tcPr>
          <w:p w:rsidR="00DA7585" w:rsidRPr="00D54F90" w:rsidRDefault="00DA7585" w:rsidP="003425A4">
            <w:pPr>
              <w:widowControl w:val="0"/>
              <w:tabs>
                <w:tab w:val="left" w:pos="622"/>
              </w:tabs>
              <w:spacing w:after="0" w:line="240" w:lineRule="auto"/>
              <w:rPr>
                <w:rFonts w:ascii="Times New Roman" w:eastAsia="AngsanaUPC" w:hAnsi="Times New Roman"/>
                <w:bCs/>
                <w:sz w:val="18"/>
                <w:szCs w:val="18"/>
                <w:lang w:val="en-GB" w:eastAsia="lt-LT"/>
              </w:rPr>
            </w:pPr>
            <w:r w:rsidRPr="00D54F90">
              <w:rPr>
                <w:rFonts w:ascii="Times New Roman" w:eastAsia="AngsanaUPC" w:hAnsi="Times New Roman"/>
                <w:bCs/>
                <w:sz w:val="18"/>
                <w:szCs w:val="18"/>
                <w:lang w:val="en-GB" w:eastAsia="lt-LT"/>
              </w:rPr>
              <w:t>03</w:t>
            </w:r>
          </w:p>
        </w:tc>
        <w:tc>
          <w:tcPr>
            <w:tcW w:w="6378" w:type="dxa"/>
            <w:shd w:val="clear" w:color="auto" w:fill="auto"/>
            <w:vAlign w:val="center"/>
          </w:tcPr>
          <w:p w:rsidR="00DA7585" w:rsidRPr="00D54F90" w:rsidRDefault="00DA7585" w:rsidP="00C92D1A">
            <w:pPr>
              <w:widowControl w:val="0"/>
              <w:tabs>
                <w:tab w:val="left" w:pos="622"/>
              </w:tabs>
              <w:spacing w:after="0" w:line="240" w:lineRule="auto"/>
              <w:jc w:val="both"/>
              <w:rPr>
                <w:rFonts w:ascii="Times New Roman" w:hAnsi="Times New Roman"/>
                <w:bCs/>
                <w:iCs/>
                <w:sz w:val="18"/>
                <w:szCs w:val="18"/>
              </w:rPr>
            </w:pPr>
            <w:r w:rsidRPr="00D54F90">
              <w:rPr>
                <w:rFonts w:ascii="Times New Roman" w:hAnsi="Times New Roman"/>
                <w:bCs/>
                <w:iCs/>
                <w:sz w:val="18"/>
                <w:szCs w:val="18"/>
              </w:rPr>
              <w:t>Integruotosios teritorinės investicijos: kita</w:t>
            </w:r>
          </w:p>
        </w:tc>
        <w:tc>
          <w:tcPr>
            <w:tcW w:w="1808" w:type="dxa"/>
            <w:shd w:val="clear" w:color="auto" w:fill="auto"/>
            <w:vAlign w:val="center"/>
          </w:tcPr>
          <w:p w:rsidR="00DA7585" w:rsidRPr="00FC6264" w:rsidRDefault="00750C20" w:rsidP="003425A4">
            <w:pPr>
              <w:widowControl w:val="0"/>
              <w:tabs>
                <w:tab w:val="left" w:pos="622"/>
              </w:tabs>
              <w:spacing w:after="0" w:line="240" w:lineRule="auto"/>
              <w:jc w:val="right"/>
              <w:rPr>
                <w:rFonts w:ascii="Times New Roman" w:eastAsia="AngsanaUPC" w:hAnsi="Times New Roman"/>
                <w:bCs/>
                <w:sz w:val="18"/>
                <w:szCs w:val="18"/>
                <w:lang w:val="en-GB" w:eastAsia="lt-LT"/>
              </w:rPr>
            </w:pPr>
            <w:r w:rsidRPr="00FC6264">
              <w:rPr>
                <w:rFonts w:ascii="Times New Roman" w:eastAsia="AngsanaUPC" w:hAnsi="Times New Roman"/>
                <w:bCs/>
                <w:sz w:val="18"/>
                <w:szCs w:val="18"/>
                <w:lang w:val="en-GB" w:eastAsia="lt-LT"/>
              </w:rPr>
              <w:t>160.000</w:t>
            </w:r>
          </w:p>
        </w:tc>
      </w:tr>
      <w:tr w:rsidR="00DA7585" w:rsidRPr="00A50C23" w:rsidTr="006F1682">
        <w:tc>
          <w:tcPr>
            <w:tcW w:w="851" w:type="dxa"/>
            <w:shd w:val="clear" w:color="auto" w:fill="auto"/>
            <w:vAlign w:val="center"/>
          </w:tcPr>
          <w:p w:rsidR="00DA7585" w:rsidRPr="00D54F90" w:rsidRDefault="00DA7585" w:rsidP="003425A4">
            <w:pPr>
              <w:widowControl w:val="0"/>
              <w:tabs>
                <w:tab w:val="left" w:pos="622"/>
              </w:tabs>
              <w:spacing w:after="0" w:line="240" w:lineRule="auto"/>
              <w:rPr>
                <w:rFonts w:ascii="Times New Roman" w:eastAsia="AngsanaUPC" w:hAnsi="Times New Roman"/>
                <w:bCs/>
                <w:sz w:val="18"/>
                <w:szCs w:val="18"/>
                <w:lang w:val="en-GB" w:eastAsia="lt-LT"/>
              </w:rPr>
            </w:pPr>
            <w:r w:rsidRPr="00D54F90">
              <w:rPr>
                <w:rFonts w:ascii="Times New Roman" w:eastAsia="AngsanaUPC" w:hAnsi="Times New Roman"/>
                <w:bCs/>
                <w:sz w:val="18"/>
                <w:szCs w:val="18"/>
                <w:lang w:val="en-GB" w:eastAsia="lt-LT"/>
              </w:rPr>
              <w:t>ERPF</w:t>
            </w:r>
          </w:p>
        </w:tc>
        <w:tc>
          <w:tcPr>
            <w:tcW w:w="709" w:type="dxa"/>
            <w:shd w:val="clear" w:color="auto" w:fill="auto"/>
            <w:vAlign w:val="center"/>
          </w:tcPr>
          <w:p w:rsidR="00DA7585" w:rsidRPr="00D54F90" w:rsidRDefault="00DA7585" w:rsidP="003425A4">
            <w:pPr>
              <w:widowControl w:val="0"/>
              <w:tabs>
                <w:tab w:val="left" w:pos="622"/>
              </w:tabs>
              <w:spacing w:after="0" w:line="240" w:lineRule="auto"/>
              <w:rPr>
                <w:rFonts w:ascii="Times New Roman" w:eastAsia="AngsanaUPC" w:hAnsi="Times New Roman"/>
                <w:bCs/>
                <w:sz w:val="18"/>
                <w:szCs w:val="18"/>
                <w:lang w:val="en-GB" w:eastAsia="lt-LT"/>
              </w:rPr>
            </w:pPr>
            <w:r w:rsidRPr="00D54F90">
              <w:rPr>
                <w:rFonts w:ascii="Times New Roman" w:eastAsia="AngsanaUPC" w:hAnsi="Times New Roman"/>
                <w:bCs/>
                <w:sz w:val="18"/>
                <w:szCs w:val="18"/>
                <w:lang w:val="en-GB" w:eastAsia="lt-LT"/>
              </w:rPr>
              <w:t>04</w:t>
            </w:r>
          </w:p>
        </w:tc>
        <w:tc>
          <w:tcPr>
            <w:tcW w:w="6378" w:type="dxa"/>
            <w:shd w:val="clear" w:color="auto" w:fill="auto"/>
            <w:vAlign w:val="center"/>
          </w:tcPr>
          <w:p w:rsidR="00DA7585" w:rsidRPr="00D54F90" w:rsidRDefault="00DA7585" w:rsidP="003425A4">
            <w:pPr>
              <w:widowControl w:val="0"/>
              <w:tabs>
                <w:tab w:val="left" w:pos="622"/>
              </w:tabs>
              <w:spacing w:after="0" w:line="240" w:lineRule="auto"/>
              <w:jc w:val="both"/>
              <w:rPr>
                <w:rFonts w:ascii="Times New Roman" w:hAnsi="Times New Roman"/>
                <w:bCs/>
                <w:iCs/>
                <w:sz w:val="18"/>
                <w:szCs w:val="18"/>
              </w:rPr>
            </w:pPr>
            <w:r w:rsidRPr="00D54F90">
              <w:rPr>
                <w:rFonts w:ascii="Times New Roman" w:hAnsi="Times New Roman"/>
                <w:bCs/>
                <w:iCs/>
                <w:sz w:val="18"/>
                <w:szCs w:val="18"/>
              </w:rPr>
              <w:t>Kiti integraciniai tvarios kaimo plėtros metodai</w:t>
            </w:r>
          </w:p>
        </w:tc>
        <w:tc>
          <w:tcPr>
            <w:tcW w:w="1808" w:type="dxa"/>
            <w:shd w:val="clear" w:color="auto" w:fill="auto"/>
            <w:vAlign w:val="center"/>
          </w:tcPr>
          <w:p w:rsidR="00DA7585" w:rsidRPr="00FC6264" w:rsidRDefault="00DA7585" w:rsidP="003425A4">
            <w:pPr>
              <w:widowControl w:val="0"/>
              <w:tabs>
                <w:tab w:val="left" w:pos="622"/>
              </w:tabs>
              <w:spacing w:after="0" w:line="240" w:lineRule="auto"/>
              <w:jc w:val="right"/>
              <w:rPr>
                <w:rFonts w:ascii="Times New Roman" w:eastAsia="AngsanaUPC" w:hAnsi="Times New Roman"/>
                <w:bCs/>
                <w:sz w:val="18"/>
                <w:szCs w:val="18"/>
                <w:lang w:val="en-GB" w:eastAsia="lt-LT"/>
              </w:rPr>
            </w:pPr>
            <w:r w:rsidRPr="00FC6264">
              <w:rPr>
                <w:rFonts w:ascii="Times New Roman" w:eastAsia="AngsanaUPC" w:hAnsi="Times New Roman"/>
                <w:bCs/>
                <w:sz w:val="18"/>
                <w:szCs w:val="18"/>
                <w:lang w:val="en-GB" w:eastAsia="lt-LT"/>
              </w:rPr>
              <w:t>39.078.037</w:t>
            </w:r>
          </w:p>
        </w:tc>
      </w:tr>
      <w:tr w:rsidR="00DA7585" w:rsidRPr="00A50C23" w:rsidTr="006F1682">
        <w:tc>
          <w:tcPr>
            <w:tcW w:w="851" w:type="dxa"/>
            <w:shd w:val="clear" w:color="auto" w:fill="auto"/>
            <w:vAlign w:val="center"/>
          </w:tcPr>
          <w:p w:rsidR="00DA7585" w:rsidRPr="00D54F90" w:rsidRDefault="00DA7585" w:rsidP="00BB0960">
            <w:pPr>
              <w:widowControl w:val="0"/>
              <w:tabs>
                <w:tab w:val="left" w:pos="622"/>
              </w:tabs>
              <w:spacing w:after="0" w:line="240" w:lineRule="auto"/>
              <w:rPr>
                <w:rFonts w:ascii="Times New Roman" w:eastAsia="AngsanaUPC" w:hAnsi="Times New Roman"/>
                <w:bCs/>
                <w:sz w:val="18"/>
                <w:szCs w:val="18"/>
                <w:lang w:val="en-GB" w:eastAsia="lt-LT"/>
              </w:rPr>
            </w:pPr>
            <w:r w:rsidRPr="00D54F90">
              <w:rPr>
                <w:rFonts w:ascii="Times New Roman" w:eastAsia="AngsanaUPC" w:hAnsi="Times New Roman"/>
                <w:bCs/>
                <w:sz w:val="18"/>
                <w:szCs w:val="18"/>
                <w:lang w:val="en-GB" w:eastAsia="lt-LT"/>
              </w:rPr>
              <w:t>ESF</w:t>
            </w:r>
          </w:p>
        </w:tc>
        <w:tc>
          <w:tcPr>
            <w:tcW w:w="709" w:type="dxa"/>
            <w:shd w:val="clear" w:color="auto" w:fill="auto"/>
            <w:vAlign w:val="center"/>
          </w:tcPr>
          <w:p w:rsidR="00DA7585" w:rsidRPr="00D54F90" w:rsidRDefault="00DA7585" w:rsidP="00BB0960">
            <w:pPr>
              <w:widowControl w:val="0"/>
              <w:tabs>
                <w:tab w:val="left" w:pos="622"/>
              </w:tabs>
              <w:spacing w:after="0" w:line="240" w:lineRule="auto"/>
              <w:rPr>
                <w:rFonts w:ascii="Times New Roman" w:eastAsia="AngsanaUPC" w:hAnsi="Times New Roman"/>
                <w:bCs/>
                <w:sz w:val="18"/>
                <w:szCs w:val="18"/>
                <w:lang w:val="en-GB" w:eastAsia="lt-LT"/>
              </w:rPr>
            </w:pPr>
            <w:r w:rsidRPr="00D54F90">
              <w:rPr>
                <w:rFonts w:ascii="Times New Roman" w:eastAsia="AngsanaUPC" w:hAnsi="Times New Roman"/>
                <w:bCs/>
                <w:sz w:val="18"/>
                <w:szCs w:val="18"/>
                <w:lang w:val="en-GB" w:eastAsia="lt-LT"/>
              </w:rPr>
              <w:t>06</w:t>
            </w:r>
          </w:p>
        </w:tc>
        <w:tc>
          <w:tcPr>
            <w:tcW w:w="6378" w:type="dxa"/>
            <w:shd w:val="clear" w:color="auto" w:fill="auto"/>
            <w:vAlign w:val="center"/>
          </w:tcPr>
          <w:p w:rsidR="00DA7585" w:rsidRPr="00D54F90" w:rsidRDefault="00DA7585" w:rsidP="00BB0960">
            <w:pPr>
              <w:widowControl w:val="0"/>
              <w:tabs>
                <w:tab w:val="left" w:pos="622"/>
              </w:tabs>
              <w:spacing w:after="0" w:line="240" w:lineRule="auto"/>
              <w:jc w:val="both"/>
              <w:rPr>
                <w:rFonts w:ascii="Times New Roman" w:hAnsi="Times New Roman"/>
                <w:bCs/>
                <w:iCs/>
                <w:sz w:val="18"/>
                <w:szCs w:val="18"/>
              </w:rPr>
            </w:pPr>
            <w:r w:rsidRPr="00D54F90">
              <w:rPr>
                <w:rFonts w:ascii="Times New Roman" w:hAnsi="Times New Roman"/>
                <w:bCs/>
                <w:iCs/>
                <w:sz w:val="18"/>
                <w:szCs w:val="18"/>
              </w:rPr>
              <w:t>Bendruomenės inicijuotos vietos plėtros iniciatyvos</w:t>
            </w:r>
          </w:p>
        </w:tc>
        <w:tc>
          <w:tcPr>
            <w:tcW w:w="1808" w:type="dxa"/>
            <w:shd w:val="clear" w:color="auto" w:fill="auto"/>
            <w:vAlign w:val="center"/>
          </w:tcPr>
          <w:p w:rsidR="00DA7585" w:rsidRPr="00FC6264" w:rsidRDefault="00DA7585" w:rsidP="00750C20">
            <w:pPr>
              <w:widowControl w:val="0"/>
              <w:tabs>
                <w:tab w:val="left" w:pos="622"/>
              </w:tabs>
              <w:spacing w:after="0" w:line="240" w:lineRule="auto"/>
              <w:jc w:val="right"/>
              <w:rPr>
                <w:rFonts w:ascii="Times New Roman" w:eastAsia="AngsanaUPC" w:hAnsi="Times New Roman"/>
                <w:bCs/>
                <w:sz w:val="18"/>
                <w:szCs w:val="18"/>
                <w:lang w:val="en-GB" w:eastAsia="lt-LT"/>
              </w:rPr>
            </w:pPr>
            <w:r w:rsidRPr="00FC6264">
              <w:rPr>
                <w:rFonts w:ascii="Times New Roman" w:eastAsia="AngsanaUPC" w:hAnsi="Times New Roman"/>
                <w:bCs/>
                <w:sz w:val="18"/>
                <w:szCs w:val="18"/>
                <w:lang w:val="en-GB" w:eastAsia="lt-LT"/>
              </w:rPr>
              <w:t>1</w:t>
            </w:r>
            <w:r w:rsidR="00750C20" w:rsidRPr="00FC6264">
              <w:rPr>
                <w:rFonts w:ascii="Times New Roman" w:eastAsia="AngsanaUPC" w:hAnsi="Times New Roman"/>
                <w:bCs/>
                <w:sz w:val="18"/>
                <w:szCs w:val="18"/>
                <w:lang w:val="en-GB" w:eastAsia="lt-LT"/>
              </w:rPr>
              <w:t>8</w:t>
            </w:r>
            <w:r w:rsidRPr="00FC6264">
              <w:rPr>
                <w:rFonts w:ascii="Times New Roman" w:eastAsia="AngsanaUPC" w:hAnsi="Times New Roman"/>
                <w:bCs/>
                <w:sz w:val="18"/>
                <w:szCs w:val="18"/>
                <w:lang w:val="en-GB" w:eastAsia="lt-LT"/>
              </w:rPr>
              <w:t>.</w:t>
            </w:r>
            <w:r w:rsidR="00750C20" w:rsidRPr="00FC6264">
              <w:rPr>
                <w:rFonts w:ascii="Times New Roman" w:eastAsia="AngsanaUPC" w:hAnsi="Times New Roman"/>
                <w:bCs/>
                <w:sz w:val="18"/>
                <w:szCs w:val="18"/>
                <w:lang w:val="en-GB" w:eastAsia="lt-LT"/>
              </w:rPr>
              <w:t>8</w:t>
            </w:r>
            <w:r w:rsidRPr="00FC6264">
              <w:rPr>
                <w:rFonts w:ascii="Times New Roman" w:eastAsia="AngsanaUPC" w:hAnsi="Times New Roman"/>
                <w:bCs/>
                <w:sz w:val="18"/>
                <w:szCs w:val="18"/>
                <w:lang w:val="en-GB" w:eastAsia="lt-LT"/>
              </w:rPr>
              <w:t>40.102</w:t>
            </w:r>
          </w:p>
        </w:tc>
      </w:tr>
      <w:tr w:rsidR="00DA7585" w:rsidRPr="00A50C23" w:rsidTr="006F1682">
        <w:tc>
          <w:tcPr>
            <w:tcW w:w="851" w:type="dxa"/>
            <w:shd w:val="clear" w:color="auto" w:fill="auto"/>
            <w:vAlign w:val="center"/>
          </w:tcPr>
          <w:p w:rsidR="00DA7585" w:rsidRPr="00D54F90" w:rsidRDefault="00DA7585" w:rsidP="00BB0960">
            <w:pPr>
              <w:widowControl w:val="0"/>
              <w:tabs>
                <w:tab w:val="left" w:pos="622"/>
              </w:tabs>
              <w:spacing w:after="0" w:line="240" w:lineRule="auto"/>
              <w:rPr>
                <w:rFonts w:ascii="Times New Roman" w:eastAsia="AngsanaUPC" w:hAnsi="Times New Roman"/>
                <w:bCs/>
                <w:sz w:val="18"/>
                <w:szCs w:val="18"/>
                <w:lang w:val="en-GB" w:eastAsia="lt-LT"/>
              </w:rPr>
            </w:pPr>
            <w:r w:rsidRPr="00D54F90">
              <w:rPr>
                <w:rFonts w:ascii="Times New Roman" w:eastAsia="AngsanaUPC" w:hAnsi="Times New Roman"/>
                <w:bCs/>
                <w:sz w:val="18"/>
                <w:szCs w:val="18"/>
                <w:lang w:val="en-GB" w:eastAsia="lt-LT"/>
              </w:rPr>
              <w:t>ERPF</w:t>
            </w:r>
          </w:p>
        </w:tc>
        <w:tc>
          <w:tcPr>
            <w:tcW w:w="709" w:type="dxa"/>
            <w:shd w:val="clear" w:color="auto" w:fill="auto"/>
            <w:vAlign w:val="center"/>
          </w:tcPr>
          <w:p w:rsidR="00DA7585" w:rsidRPr="00D54F90" w:rsidRDefault="00DA7585" w:rsidP="00BB0960">
            <w:pPr>
              <w:widowControl w:val="0"/>
              <w:tabs>
                <w:tab w:val="left" w:pos="622"/>
              </w:tabs>
              <w:spacing w:after="0" w:line="240" w:lineRule="auto"/>
              <w:rPr>
                <w:rFonts w:ascii="Times New Roman" w:eastAsia="AngsanaUPC" w:hAnsi="Times New Roman"/>
                <w:bCs/>
                <w:sz w:val="18"/>
                <w:szCs w:val="18"/>
                <w:lang w:val="en-GB" w:eastAsia="lt-LT"/>
              </w:rPr>
            </w:pPr>
            <w:r w:rsidRPr="00D54F90">
              <w:rPr>
                <w:rFonts w:ascii="Times New Roman" w:eastAsia="AngsanaUPC" w:hAnsi="Times New Roman"/>
                <w:bCs/>
                <w:sz w:val="18"/>
                <w:szCs w:val="18"/>
                <w:lang w:val="en-GB" w:eastAsia="lt-LT"/>
              </w:rPr>
              <w:t>07</w:t>
            </w:r>
          </w:p>
        </w:tc>
        <w:tc>
          <w:tcPr>
            <w:tcW w:w="6378" w:type="dxa"/>
            <w:shd w:val="clear" w:color="auto" w:fill="auto"/>
            <w:vAlign w:val="center"/>
          </w:tcPr>
          <w:p w:rsidR="00DA7585" w:rsidRPr="00D54F90" w:rsidRDefault="00DA7585" w:rsidP="00BB0960">
            <w:pPr>
              <w:widowControl w:val="0"/>
              <w:tabs>
                <w:tab w:val="left" w:pos="622"/>
              </w:tabs>
              <w:spacing w:after="0" w:line="240" w:lineRule="auto"/>
              <w:jc w:val="both"/>
              <w:rPr>
                <w:rFonts w:ascii="Times New Roman" w:hAnsi="Times New Roman"/>
                <w:bCs/>
                <w:iCs/>
                <w:sz w:val="18"/>
                <w:szCs w:val="18"/>
              </w:rPr>
            </w:pPr>
            <w:r w:rsidRPr="00D54F90">
              <w:rPr>
                <w:rFonts w:ascii="Times New Roman" w:hAnsi="Times New Roman"/>
                <w:bCs/>
                <w:iCs/>
                <w:sz w:val="18"/>
                <w:szCs w:val="18"/>
              </w:rPr>
              <w:t>Netaikoma</w:t>
            </w:r>
          </w:p>
        </w:tc>
        <w:tc>
          <w:tcPr>
            <w:tcW w:w="1808" w:type="dxa"/>
            <w:shd w:val="clear" w:color="auto" w:fill="auto"/>
            <w:vAlign w:val="center"/>
          </w:tcPr>
          <w:p w:rsidR="00DA7585" w:rsidRPr="00FC6264" w:rsidRDefault="00750C20" w:rsidP="00AC0CDE">
            <w:pPr>
              <w:widowControl w:val="0"/>
              <w:tabs>
                <w:tab w:val="left" w:pos="622"/>
              </w:tabs>
              <w:spacing w:after="0" w:line="240" w:lineRule="auto"/>
              <w:jc w:val="right"/>
              <w:rPr>
                <w:rFonts w:ascii="Times New Roman" w:eastAsia="AngsanaUPC" w:hAnsi="Times New Roman"/>
                <w:bCs/>
                <w:sz w:val="18"/>
                <w:szCs w:val="18"/>
                <w:lang w:val="en-GB" w:eastAsia="lt-LT"/>
              </w:rPr>
            </w:pPr>
            <w:r w:rsidRPr="00FC6264">
              <w:rPr>
                <w:rFonts w:ascii="Times New Roman" w:eastAsia="AngsanaUPC" w:hAnsi="Times New Roman"/>
                <w:bCs/>
                <w:sz w:val="18"/>
                <w:szCs w:val="18"/>
                <w:lang w:val="en-GB" w:eastAsia="lt-LT"/>
              </w:rPr>
              <w:t>296.4</w:t>
            </w:r>
            <w:r w:rsidR="00DA7585" w:rsidRPr="00FC6264">
              <w:rPr>
                <w:rFonts w:ascii="Times New Roman" w:eastAsia="AngsanaUPC" w:hAnsi="Times New Roman"/>
                <w:bCs/>
                <w:sz w:val="18"/>
                <w:szCs w:val="18"/>
                <w:lang w:val="en-GB" w:eastAsia="lt-LT"/>
              </w:rPr>
              <w:t>20.976</w:t>
            </w:r>
          </w:p>
        </w:tc>
      </w:tr>
      <w:tr w:rsidR="00DA7585" w:rsidRPr="00A50C23" w:rsidTr="006F1682">
        <w:tc>
          <w:tcPr>
            <w:tcW w:w="851" w:type="dxa"/>
            <w:shd w:val="clear" w:color="auto" w:fill="auto"/>
            <w:vAlign w:val="center"/>
          </w:tcPr>
          <w:p w:rsidR="00DA7585" w:rsidRPr="00D54F90" w:rsidRDefault="00DA7585" w:rsidP="00BB0960">
            <w:pPr>
              <w:widowControl w:val="0"/>
              <w:tabs>
                <w:tab w:val="left" w:pos="622"/>
              </w:tabs>
              <w:spacing w:after="0" w:line="240" w:lineRule="auto"/>
              <w:rPr>
                <w:rFonts w:ascii="Times New Roman" w:eastAsia="AngsanaUPC" w:hAnsi="Times New Roman"/>
                <w:bCs/>
                <w:sz w:val="18"/>
                <w:szCs w:val="18"/>
                <w:lang w:val="en-GB" w:eastAsia="lt-LT"/>
              </w:rPr>
            </w:pPr>
            <w:r w:rsidRPr="00D54F90">
              <w:rPr>
                <w:rFonts w:ascii="Times New Roman" w:eastAsia="AngsanaUPC" w:hAnsi="Times New Roman"/>
                <w:bCs/>
                <w:sz w:val="18"/>
                <w:szCs w:val="18"/>
                <w:lang w:val="en-GB" w:eastAsia="lt-LT"/>
              </w:rPr>
              <w:t>ESF</w:t>
            </w:r>
          </w:p>
        </w:tc>
        <w:tc>
          <w:tcPr>
            <w:tcW w:w="709" w:type="dxa"/>
            <w:shd w:val="clear" w:color="auto" w:fill="auto"/>
            <w:vAlign w:val="center"/>
          </w:tcPr>
          <w:p w:rsidR="00DA7585" w:rsidRPr="00D54F90" w:rsidRDefault="00DA7585" w:rsidP="00BB0960">
            <w:pPr>
              <w:widowControl w:val="0"/>
              <w:tabs>
                <w:tab w:val="left" w:pos="622"/>
              </w:tabs>
              <w:spacing w:after="0" w:line="240" w:lineRule="auto"/>
              <w:rPr>
                <w:rFonts w:ascii="Times New Roman" w:eastAsia="AngsanaUPC" w:hAnsi="Times New Roman"/>
                <w:bCs/>
                <w:sz w:val="18"/>
                <w:szCs w:val="18"/>
                <w:lang w:val="en-GB" w:eastAsia="lt-LT"/>
              </w:rPr>
            </w:pPr>
            <w:r w:rsidRPr="00D54F90">
              <w:rPr>
                <w:rFonts w:ascii="Times New Roman" w:eastAsia="AngsanaUPC" w:hAnsi="Times New Roman"/>
                <w:bCs/>
                <w:sz w:val="18"/>
                <w:szCs w:val="18"/>
                <w:lang w:val="en-GB" w:eastAsia="lt-LT"/>
              </w:rPr>
              <w:t>07</w:t>
            </w:r>
          </w:p>
        </w:tc>
        <w:tc>
          <w:tcPr>
            <w:tcW w:w="6378" w:type="dxa"/>
            <w:shd w:val="clear" w:color="auto" w:fill="auto"/>
            <w:vAlign w:val="center"/>
          </w:tcPr>
          <w:p w:rsidR="00DA7585" w:rsidRPr="00D54F90" w:rsidRDefault="00DA7585" w:rsidP="00BB0960">
            <w:pPr>
              <w:widowControl w:val="0"/>
              <w:tabs>
                <w:tab w:val="left" w:pos="622"/>
              </w:tabs>
              <w:spacing w:after="0" w:line="240" w:lineRule="auto"/>
              <w:jc w:val="both"/>
              <w:rPr>
                <w:rFonts w:ascii="Times New Roman" w:hAnsi="Times New Roman"/>
                <w:bCs/>
                <w:iCs/>
                <w:sz w:val="18"/>
                <w:szCs w:val="18"/>
              </w:rPr>
            </w:pPr>
            <w:r w:rsidRPr="00D54F90">
              <w:rPr>
                <w:rFonts w:ascii="Times New Roman" w:hAnsi="Times New Roman"/>
                <w:bCs/>
                <w:iCs/>
                <w:sz w:val="18"/>
                <w:szCs w:val="18"/>
              </w:rPr>
              <w:t>Netaikoma</w:t>
            </w:r>
          </w:p>
        </w:tc>
        <w:tc>
          <w:tcPr>
            <w:tcW w:w="1808" w:type="dxa"/>
            <w:shd w:val="clear" w:color="auto" w:fill="auto"/>
            <w:vAlign w:val="center"/>
          </w:tcPr>
          <w:p w:rsidR="00DA7585" w:rsidRPr="00FC6264" w:rsidRDefault="00750C20" w:rsidP="00DA7585">
            <w:pPr>
              <w:widowControl w:val="0"/>
              <w:tabs>
                <w:tab w:val="left" w:pos="622"/>
              </w:tabs>
              <w:spacing w:after="0" w:line="240" w:lineRule="auto"/>
              <w:jc w:val="right"/>
              <w:rPr>
                <w:rFonts w:ascii="Times New Roman" w:eastAsia="AngsanaUPC" w:hAnsi="Times New Roman"/>
                <w:bCs/>
                <w:sz w:val="18"/>
                <w:szCs w:val="18"/>
                <w:lang w:val="en-GB" w:eastAsia="lt-LT"/>
              </w:rPr>
            </w:pPr>
            <w:r w:rsidRPr="00FC6264">
              <w:rPr>
                <w:rFonts w:ascii="Times New Roman" w:eastAsia="AngsanaUPC" w:hAnsi="Times New Roman"/>
                <w:bCs/>
                <w:sz w:val="18"/>
                <w:szCs w:val="18"/>
                <w:lang w:val="en-GB" w:eastAsia="lt-LT"/>
              </w:rPr>
              <w:t>222.0</w:t>
            </w:r>
            <w:r w:rsidR="00DA7585" w:rsidRPr="00FC6264">
              <w:rPr>
                <w:rFonts w:ascii="Times New Roman" w:eastAsia="AngsanaUPC" w:hAnsi="Times New Roman"/>
                <w:bCs/>
                <w:sz w:val="18"/>
                <w:szCs w:val="18"/>
                <w:lang w:val="en-GB" w:eastAsia="lt-LT"/>
              </w:rPr>
              <w:t>54.284</w:t>
            </w:r>
          </w:p>
        </w:tc>
      </w:tr>
    </w:tbl>
    <w:p w:rsidR="000D0444" w:rsidRPr="002447B3" w:rsidRDefault="000D0444" w:rsidP="000D0444">
      <w:pPr>
        <w:widowControl w:val="0"/>
        <w:tabs>
          <w:tab w:val="left" w:pos="622"/>
        </w:tabs>
        <w:spacing w:after="0" w:line="240" w:lineRule="auto"/>
        <w:jc w:val="both"/>
        <w:rPr>
          <w:rFonts w:ascii="Times New Roman" w:hAnsi="Times New Roman"/>
          <w:i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9"/>
        <w:gridCol w:w="6378"/>
        <w:gridCol w:w="1808"/>
      </w:tblGrid>
      <w:tr w:rsidR="000D0444" w:rsidRPr="002447B3" w:rsidTr="00BB0960">
        <w:tc>
          <w:tcPr>
            <w:tcW w:w="9746" w:type="dxa"/>
            <w:gridSpan w:val="4"/>
            <w:shd w:val="clear" w:color="auto" w:fill="EEECE1"/>
          </w:tcPr>
          <w:p w:rsidR="000D0444" w:rsidRPr="002447B3" w:rsidRDefault="000D0444" w:rsidP="00BB0960">
            <w:pPr>
              <w:widowControl w:val="0"/>
              <w:tabs>
                <w:tab w:val="left" w:pos="622"/>
              </w:tabs>
              <w:spacing w:after="0" w:line="240" w:lineRule="auto"/>
              <w:jc w:val="both"/>
              <w:rPr>
                <w:rFonts w:ascii="Times New Roman" w:hAnsi="Times New Roman"/>
                <w:i/>
                <w:iCs/>
                <w:sz w:val="18"/>
                <w:szCs w:val="18"/>
              </w:rPr>
            </w:pPr>
            <w:r w:rsidRPr="002447B3">
              <w:rPr>
                <w:rFonts w:ascii="Times New Roman" w:hAnsi="Times New Roman"/>
                <w:b/>
                <w:bCs/>
                <w:i/>
                <w:iCs/>
                <w:sz w:val="18"/>
                <w:szCs w:val="18"/>
              </w:rPr>
              <w:t>ESF antrinė tema</w:t>
            </w:r>
          </w:p>
        </w:tc>
      </w:tr>
      <w:tr w:rsidR="000D0444" w:rsidRPr="002447B3" w:rsidTr="006F1682">
        <w:tc>
          <w:tcPr>
            <w:tcW w:w="851" w:type="dxa"/>
            <w:shd w:val="clear" w:color="auto" w:fill="EEECE1"/>
            <w:vAlign w:val="center"/>
          </w:tcPr>
          <w:p w:rsidR="000D0444" w:rsidRPr="002447B3" w:rsidRDefault="000D0444" w:rsidP="00BB0960">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Fondas</w:t>
            </w:r>
          </w:p>
        </w:tc>
        <w:tc>
          <w:tcPr>
            <w:tcW w:w="709" w:type="dxa"/>
            <w:shd w:val="clear" w:color="auto" w:fill="EEECE1"/>
            <w:vAlign w:val="center"/>
          </w:tcPr>
          <w:p w:rsidR="000D0444" w:rsidRPr="002447B3" w:rsidRDefault="000D0444" w:rsidP="00BB0960">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Kodas</w:t>
            </w:r>
          </w:p>
        </w:tc>
        <w:tc>
          <w:tcPr>
            <w:tcW w:w="6378" w:type="dxa"/>
            <w:shd w:val="clear" w:color="auto" w:fill="EEECE1"/>
            <w:vAlign w:val="center"/>
          </w:tcPr>
          <w:p w:rsidR="000D0444" w:rsidRPr="002447B3" w:rsidRDefault="000D0444" w:rsidP="00BB0960">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Pavadinimas</w:t>
            </w:r>
          </w:p>
        </w:tc>
        <w:tc>
          <w:tcPr>
            <w:tcW w:w="1808" w:type="dxa"/>
            <w:shd w:val="clear" w:color="auto" w:fill="EEECE1"/>
            <w:vAlign w:val="center"/>
          </w:tcPr>
          <w:p w:rsidR="000D0444" w:rsidRPr="002447B3" w:rsidRDefault="000D0444" w:rsidP="00BB0960">
            <w:pPr>
              <w:widowControl w:val="0"/>
              <w:tabs>
                <w:tab w:val="left" w:pos="622"/>
              </w:tabs>
              <w:spacing w:after="0" w:line="240" w:lineRule="auto"/>
              <w:jc w:val="center"/>
              <w:rPr>
                <w:rFonts w:ascii="Times New Roman" w:hAnsi="Times New Roman"/>
                <w:b/>
                <w:bCs/>
                <w:iCs/>
                <w:sz w:val="18"/>
                <w:szCs w:val="18"/>
              </w:rPr>
            </w:pPr>
            <w:r w:rsidRPr="002447B3">
              <w:rPr>
                <w:rFonts w:ascii="Times New Roman" w:hAnsi="Times New Roman"/>
                <w:b/>
                <w:bCs/>
                <w:iCs/>
                <w:sz w:val="18"/>
                <w:szCs w:val="18"/>
              </w:rPr>
              <w:t>Finansinė proporcija (eurais)</w:t>
            </w:r>
          </w:p>
        </w:tc>
      </w:tr>
      <w:tr w:rsidR="009F1C50" w:rsidRPr="00A50C23" w:rsidTr="00FC6264">
        <w:trPr>
          <w:trHeight w:val="112"/>
        </w:trPr>
        <w:tc>
          <w:tcPr>
            <w:tcW w:w="851" w:type="dxa"/>
            <w:shd w:val="clear" w:color="auto" w:fill="auto"/>
            <w:vAlign w:val="center"/>
          </w:tcPr>
          <w:p w:rsidR="009F1C50" w:rsidRPr="00A50C23" w:rsidRDefault="009F1C50" w:rsidP="00BB0960">
            <w:pPr>
              <w:widowControl w:val="0"/>
              <w:tabs>
                <w:tab w:val="left" w:pos="622"/>
              </w:tabs>
              <w:spacing w:after="0" w:line="240" w:lineRule="auto"/>
              <w:rPr>
                <w:rFonts w:ascii="Times New Roman" w:eastAsia="AngsanaUPC" w:hAnsi="Times New Roman"/>
                <w:bCs/>
                <w:sz w:val="18"/>
                <w:szCs w:val="18"/>
                <w:lang w:val="en-GB" w:eastAsia="lt-LT"/>
              </w:rPr>
            </w:pPr>
            <w:r w:rsidRPr="00A50C23">
              <w:rPr>
                <w:rFonts w:ascii="Times New Roman" w:eastAsia="AngsanaUPC" w:hAnsi="Times New Roman"/>
                <w:bCs/>
                <w:sz w:val="18"/>
                <w:szCs w:val="18"/>
                <w:lang w:val="en-GB" w:eastAsia="lt-LT"/>
              </w:rPr>
              <w:t>ESF</w:t>
            </w:r>
          </w:p>
        </w:tc>
        <w:tc>
          <w:tcPr>
            <w:tcW w:w="709" w:type="dxa"/>
            <w:shd w:val="clear" w:color="auto" w:fill="auto"/>
            <w:vAlign w:val="center"/>
          </w:tcPr>
          <w:p w:rsidR="009F1C50" w:rsidRPr="00A50C23" w:rsidRDefault="006F1682" w:rsidP="00BB0960">
            <w:pPr>
              <w:widowControl w:val="0"/>
              <w:tabs>
                <w:tab w:val="left" w:pos="622"/>
              </w:tabs>
              <w:spacing w:after="0" w:line="240" w:lineRule="auto"/>
              <w:rPr>
                <w:rFonts w:ascii="Times New Roman" w:eastAsia="AngsanaUPC" w:hAnsi="Times New Roman"/>
                <w:bCs/>
                <w:sz w:val="18"/>
                <w:szCs w:val="18"/>
                <w:lang w:val="en-GB" w:eastAsia="lt-LT"/>
              </w:rPr>
            </w:pPr>
            <w:r w:rsidRPr="00A50C23">
              <w:rPr>
                <w:rFonts w:ascii="Times New Roman" w:eastAsia="AngsanaUPC" w:hAnsi="Times New Roman"/>
                <w:bCs/>
                <w:sz w:val="18"/>
                <w:szCs w:val="18"/>
                <w:lang w:val="en-GB" w:eastAsia="lt-LT"/>
              </w:rPr>
              <w:t>0</w:t>
            </w:r>
            <w:r w:rsidR="009F1C50" w:rsidRPr="00A50C23">
              <w:rPr>
                <w:rFonts w:ascii="Times New Roman" w:eastAsia="AngsanaUPC" w:hAnsi="Times New Roman"/>
                <w:bCs/>
                <w:sz w:val="18"/>
                <w:szCs w:val="18"/>
                <w:lang w:val="en-GB" w:eastAsia="lt-LT"/>
              </w:rPr>
              <w:t>2</w:t>
            </w:r>
          </w:p>
        </w:tc>
        <w:tc>
          <w:tcPr>
            <w:tcW w:w="6378" w:type="dxa"/>
            <w:shd w:val="clear" w:color="auto" w:fill="auto"/>
            <w:vAlign w:val="center"/>
          </w:tcPr>
          <w:p w:rsidR="009F1C50" w:rsidRPr="00A50C23" w:rsidRDefault="009F1C50" w:rsidP="00BB0960">
            <w:pPr>
              <w:widowControl w:val="0"/>
              <w:tabs>
                <w:tab w:val="left" w:pos="622"/>
              </w:tabs>
              <w:spacing w:after="0" w:line="240" w:lineRule="auto"/>
              <w:jc w:val="both"/>
              <w:rPr>
                <w:rFonts w:ascii="Times New Roman" w:hAnsi="Times New Roman"/>
                <w:bCs/>
                <w:iCs/>
                <w:sz w:val="18"/>
                <w:szCs w:val="18"/>
              </w:rPr>
            </w:pPr>
            <w:r w:rsidRPr="00A50C23">
              <w:rPr>
                <w:rFonts w:ascii="Times New Roman" w:hAnsi="Times New Roman"/>
                <w:bCs/>
                <w:iCs/>
                <w:sz w:val="18"/>
                <w:szCs w:val="18"/>
              </w:rPr>
              <w:t>Socialinės inovacijos</w:t>
            </w:r>
          </w:p>
        </w:tc>
        <w:tc>
          <w:tcPr>
            <w:tcW w:w="1808" w:type="dxa"/>
            <w:shd w:val="clear" w:color="auto" w:fill="auto"/>
            <w:vAlign w:val="center"/>
          </w:tcPr>
          <w:p w:rsidR="009F1C50" w:rsidRPr="00FC6264" w:rsidRDefault="00750C20" w:rsidP="00AC0CDE">
            <w:pPr>
              <w:widowControl w:val="0"/>
              <w:tabs>
                <w:tab w:val="left" w:pos="622"/>
              </w:tabs>
              <w:spacing w:after="0" w:line="240" w:lineRule="auto"/>
              <w:jc w:val="right"/>
              <w:rPr>
                <w:rFonts w:ascii="Times New Roman" w:eastAsia="AngsanaUPC" w:hAnsi="Times New Roman"/>
                <w:bCs/>
                <w:sz w:val="18"/>
                <w:szCs w:val="18"/>
                <w:lang w:val="en-GB" w:eastAsia="lt-LT"/>
              </w:rPr>
            </w:pPr>
            <w:r w:rsidRPr="00FC6264">
              <w:rPr>
                <w:rFonts w:ascii="Times New Roman" w:eastAsia="AngsanaUPC" w:hAnsi="Times New Roman"/>
                <w:bCs/>
                <w:sz w:val="18"/>
                <w:szCs w:val="18"/>
                <w:lang w:val="en-GB" w:eastAsia="lt-LT"/>
              </w:rPr>
              <w:t>12</w:t>
            </w:r>
            <w:r w:rsidR="00A50C23"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1</w:t>
            </w:r>
            <w:r w:rsidR="009F1C50" w:rsidRPr="00FC6264">
              <w:rPr>
                <w:rFonts w:ascii="Times New Roman" w:eastAsia="AngsanaUPC" w:hAnsi="Times New Roman"/>
                <w:bCs/>
                <w:sz w:val="18"/>
                <w:szCs w:val="18"/>
                <w:lang w:val="en-GB" w:eastAsia="lt-LT"/>
              </w:rPr>
              <w:t>92</w:t>
            </w:r>
            <w:r w:rsidR="00A50C23" w:rsidRPr="00FC6264">
              <w:rPr>
                <w:rFonts w:ascii="Times New Roman" w:eastAsia="AngsanaUPC" w:hAnsi="Times New Roman"/>
                <w:bCs/>
                <w:sz w:val="18"/>
                <w:szCs w:val="18"/>
                <w:lang w:val="en-GB" w:eastAsia="lt-LT"/>
              </w:rPr>
              <w:t>.</w:t>
            </w:r>
            <w:r w:rsidR="009F1C50" w:rsidRPr="00FC6264">
              <w:rPr>
                <w:rFonts w:ascii="Times New Roman" w:eastAsia="AngsanaUPC" w:hAnsi="Times New Roman"/>
                <w:bCs/>
                <w:sz w:val="18"/>
                <w:szCs w:val="18"/>
                <w:lang w:val="en-GB" w:eastAsia="lt-LT"/>
              </w:rPr>
              <w:t>402</w:t>
            </w:r>
          </w:p>
        </w:tc>
      </w:tr>
      <w:tr w:rsidR="009F1C50" w:rsidRPr="00A50C23" w:rsidTr="006F1682">
        <w:tc>
          <w:tcPr>
            <w:tcW w:w="851" w:type="dxa"/>
            <w:shd w:val="clear" w:color="auto" w:fill="auto"/>
            <w:vAlign w:val="center"/>
          </w:tcPr>
          <w:p w:rsidR="009F1C50" w:rsidRPr="00A50C23" w:rsidRDefault="009F1C50" w:rsidP="00BB0960">
            <w:pPr>
              <w:widowControl w:val="0"/>
              <w:tabs>
                <w:tab w:val="left" w:pos="622"/>
              </w:tabs>
              <w:spacing w:after="0" w:line="240" w:lineRule="auto"/>
              <w:rPr>
                <w:rFonts w:ascii="Times New Roman" w:eastAsia="AngsanaUPC" w:hAnsi="Times New Roman"/>
                <w:bCs/>
                <w:sz w:val="18"/>
                <w:szCs w:val="18"/>
                <w:lang w:val="en-GB" w:eastAsia="lt-LT"/>
              </w:rPr>
            </w:pPr>
            <w:r w:rsidRPr="00A50C23">
              <w:rPr>
                <w:rFonts w:ascii="Times New Roman" w:eastAsia="AngsanaUPC" w:hAnsi="Times New Roman"/>
                <w:bCs/>
                <w:sz w:val="18"/>
                <w:szCs w:val="18"/>
                <w:lang w:val="en-GB" w:eastAsia="lt-LT"/>
              </w:rPr>
              <w:t>ESF</w:t>
            </w:r>
          </w:p>
        </w:tc>
        <w:tc>
          <w:tcPr>
            <w:tcW w:w="709" w:type="dxa"/>
            <w:shd w:val="clear" w:color="auto" w:fill="auto"/>
            <w:vAlign w:val="center"/>
          </w:tcPr>
          <w:p w:rsidR="009F1C50" w:rsidRPr="00A50C23" w:rsidRDefault="006F1682" w:rsidP="00BB0960">
            <w:pPr>
              <w:widowControl w:val="0"/>
              <w:tabs>
                <w:tab w:val="left" w:pos="622"/>
              </w:tabs>
              <w:spacing w:after="0" w:line="240" w:lineRule="auto"/>
              <w:rPr>
                <w:rFonts w:ascii="Times New Roman" w:eastAsia="AngsanaUPC" w:hAnsi="Times New Roman"/>
                <w:bCs/>
                <w:sz w:val="18"/>
                <w:szCs w:val="18"/>
                <w:lang w:val="en-GB" w:eastAsia="lt-LT"/>
              </w:rPr>
            </w:pPr>
            <w:r w:rsidRPr="00A50C23">
              <w:rPr>
                <w:rFonts w:ascii="Times New Roman" w:eastAsia="AngsanaUPC" w:hAnsi="Times New Roman"/>
                <w:bCs/>
                <w:sz w:val="18"/>
                <w:szCs w:val="18"/>
                <w:lang w:val="en-GB" w:eastAsia="lt-LT"/>
              </w:rPr>
              <w:t>0</w:t>
            </w:r>
            <w:r w:rsidR="009F1C50" w:rsidRPr="00A50C23">
              <w:rPr>
                <w:rFonts w:ascii="Times New Roman" w:eastAsia="AngsanaUPC" w:hAnsi="Times New Roman"/>
                <w:bCs/>
                <w:sz w:val="18"/>
                <w:szCs w:val="18"/>
                <w:lang w:val="en-GB" w:eastAsia="lt-LT"/>
              </w:rPr>
              <w:t>8</w:t>
            </w:r>
          </w:p>
        </w:tc>
        <w:tc>
          <w:tcPr>
            <w:tcW w:w="6378" w:type="dxa"/>
            <w:shd w:val="clear" w:color="auto" w:fill="auto"/>
            <w:vAlign w:val="center"/>
          </w:tcPr>
          <w:p w:rsidR="009F1C50" w:rsidRPr="00A50C23" w:rsidRDefault="009F1C50" w:rsidP="00BB0960">
            <w:pPr>
              <w:widowControl w:val="0"/>
              <w:tabs>
                <w:tab w:val="left" w:pos="622"/>
              </w:tabs>
              <w:spacing w:after="0" w:line="240" w:lineRule="auto"/>
              <w:jc w:val="both"/>
              <w:rPr>
                <w:rFonts w:ascii="Times New Roman" w:hAnsi="Times New Roman"/>
                <w:bCs/>
                <w:iCs/>
                <w:sz w:val="18"/>
                <w:szCs w:val="18"/>
              </w:rPr>
            </w:pPr>
            <w:r w:rsidRPr="00A50C23">
              <w:rPr>
                <w:rFonts w:ascii="Times New Roman" w:hAnsi="Times New Roman"/>
                <w:bCs/>
                <w:iCs/>
                <w:sz w:val="18"/>
                <w:szCs w:val="18"/>
              </w:rPr>
              <w:t>Netaikoma</w:t>
            </w:r>
          </w:p>
        </w:tc>
        <w:tc>
          <w:tcPr>
            <w:tcW w:w="1808" w:type="dxa"/>
            <w:shd w:val="clear" w:color="auto" w:fill="auto"/>
            <w:vAlign w:val="center"/>
          </w:tcPr>
          <w:p w:rsidR="009F1C50" w:rsidRPr="00FC6264" w:rsidRDefault="00AC0CDE" w:rsidP="00DA7585">
            <w:pPr>
              <w:widowControl w:val="0"/>
              <w:tabs>
                <w:tab w:val="left" w:pos="622"/>
              </w:tabs>
              <w:spacing w:after="0" w:line="240" w:lineRule="auto"/>
              <w:jc w:val="right"/>
              <w:rPr>
                <w:rFonts w:ascii="Times New Roman" w:eastAsia="AngsanaUPC" w:hAnsi="Times New Roman"/>
                <w:bCs/>
                <w:sz w:val="18"/>
                <w:szCs w:val="18"/>
                <w:lang w:val="en-GB" w:eastAsia="lt-LT"/>
              </w:rPr>
            </w:pPr>
            <w:r w:rsidRPr="00FC6264">
              <w:rPr>
                <w:rFonts w:ascii="Times New Roman" w:eastAsia="AngsanaUPC" w:hAnsi="Times New Roman"/>
                <w:bCs/>
                <w:sz w:val="18"/>
                <w:szCs w:val="18"/>
                <w:lang w:val="en-GB" w:eastAsia="lt-LT"/>
              </w:rPr>
              <w:t>2</w:t>
            </w:r>
            <w:r w:rsidR="00750C20" w:rsidRPr="00FC6264">
              <w:rPr>
                <w:rFonts w:ascii="Times New Roman" w:eastAsia="AngsanaUPC" w:hAnsi="Times New Roman"/>
                <w:bCs/>
                <w:sz w:val="18"/>
                <w:szCs w:val="18"/>
                <w:lang w:val="en-GB" w:eastAsia="lt-LT"/>
              </w:rPr>
              <w:t>28</w:t>
            </w:r>
            <w:r w:rsidR="00A50C23" w:rsidRPr="00FC6264">
              <w:rPr>
                <w:rFonts w:ascii="Times New Roman" w:eastAsia="AngsanaUPC" w:hAnsi="Times New Roman"/>
                <w:bCs/>
                <w:sz w:val="18"/>
                <w:szCs w:val="18"/>
                <w:lang w:val="en-GB" w:eastAsia="lt-LT"/>
              </w:rPr>
              <w:t>.</w:t>
            </w:r>
            <w:r w:rsidR="00750C20" w:rsidRPr="00FC6264">
              <w:rPr>
                <w:rFonts w:ascii="Times New Roman" w:eastAsia="AngsanaUPC" w:hAnsi="Times New Roman"/>
                <w:bCs/>
                <w:sz w:val="18"/>
                <w:szCs w:val="18"/>
                <w:lang w:val="en-GB" w:eastAsia="lt-LT"/>
              </w:rPr>
              <w:t>86</w:t>
            </w:r>
            <w:r w:rsidRPr="00FC6264">
              <w:rPr>
                <w:rFonts w:ascii="Times New Roman" w:eastAsia="AngsanaUPC" w:hAnsi="Times New Roman"/>
                <w:bCs/>
                <w:sz w:val="18"/>
                <w:szCs w:val="18"/>
                <w:lang w:val="en-GB" w:eastAsia="lt-LT"/>
              </w:rPr>
              <w:t>1</w:t>
            </w:r>
            <w:r w:rsidR="00A50C23"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984</w:t>
            </w:r>
          </w:p>
        </w:tc>
      </w:tr>
    </w:tbl>
    <w:p w:rsidR="000D0444" w:rsidRDefault="000D0444" w:rsidP="00385835">
      <w:pPr>
        <w:widowControl w:val="0"/>
        <w:tabs>
          <w:tab w:val="left" w:pos="622"/>
        </w:tabs>
        <w:spacing w:after="0" w:line="240" w:lineRule="auto"/>
        <w:jc w:val="both"/>
        <w:rPr>
          <w:rFonts w:ascii="Times New Roman" w:hAnsi="Times New Roman"/>
          <w:iCs/>
          <w:sz w:val="24"/>
          <w:szCs w:val="24"/>
        </w:rPr>
      </w:pPr>
    </w:p>
    <w:p w:rsidR="00061F1E" w:rsidRDefault="00061F1E" w:rsidP="00385835">
      <w:pPr>
        <w:widowControl w:val="0"/>
        <w:tabs>
          <w:tab w:val="left" w:pos="622"/>
        </w:tabs>
        <w:spacing w:after="0" w:line="240" w:lineRule="auto"/>
        <w:jc w:val="both"/>
        <w:rPr>
          <w:rFonts w:ascii="Times New Roman" w:hAnsi="Times New Roman"/>
          <w:iCs/>
          <w:sz w:val="24"/>
          <w:szCs w:val="24"/>
        </w:rPr>
        <w:sectPr w:rsidR="00061F1E" w:rsidSect="00061F1E">
          <w:pgSz w:w="11906" w:h="16838" w:code="9"/>
          <w:pgMar w:top="1701" w:right="567" w:bottom="1134" w:left="1701" w:header="567" w:footer="567" w:gutter="0"/>
          <w:cols w:space="1296"/>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746"/>
      </w:tblGrid>
      <w:tr w:rsidR="00385835" w:rsidRPr="00385835" w:rsidTr="00385835">
        <w:trPr>
          <w:trHeight w:val="416"/>
        </w:trPr>
        <w:tc>
          <w:tcPr>
            <w:tcW w:w="9746" w:type="dxa"/>
            <w:shd w:val="clear" w:color="auto" w:fill="EEECE1"/>
            <w:vAlign w:val="center"/>
          </w:tcPr>
          <w:p w:rsidR="00385835" w:rsidRPr="00385835" w:rsidRDefault="00385835" w:rsidP="00385835">
            <w:pPr>
              <w:keepNext/>
              <w:spacing w:after="0" w:line="240" w:lineRule="auto"/>
              <w:jc w:val="both"/>
              <w:outlineLvl w:val="1"/>
              <w:rPr>
                <w:rFonts w:ascii="Times New Roman" w:eastAsia="AngsanaUPC" w:hAnsi="Times New Roman"/>
                <w:b/>
                <w:bCs/>
                <w:iCs/>
                <w:sz w:val="24"/>
                <w:szCs w:val="28"/>
                <w:lang w:eastAsia="lt-LT"/>
              </w:rPr>
            </w:pPr>
            <w:bookmarkStart w:id="13" w:name="_Toc69836228"/>
            <w:r w:rsidRPr="00385835">
              <w:rPr>
                <w:rFonts w:ascii="Times New Roman" w:eastAsia="AngsanaUPC" w:hAnsi="Times New Roman"/>
                <w:b/>
                <w:bCs/>
                <w:iCs/>
                <w:sz w:val="24"/>
                <w:szCs w:val="28"/>
                <w:lang w:eastAsia="lt-LT"/>
              </w:rPr>
              <w:lastRenderedPageBreak/>
              <w:t>9 PRIORITETAS. VISUOMENĖS ŠVIETIMAS IR ŽMOGIŠKŲJŲ IŠTEKLIŲ POTENCIALO DIDINIMAS</w:t>
            </w:r>
            <w:bookmarkEnd w:id="13"/>
          </w:p>
        </w:tc>
      </w:tr>
      <w:tr w:rsidR="00385835" w:rsidRPr="00385835" w:rsidTr="00385835">
        <w:trPr>
          <w:trHeight w:val="416"/>
        </w:trPr>
        <w:tc>
          <w:tcPr>
            <w:tcW w:w="9746" w:type="dxa"/>
            <w:shd w:val="clear" w:color="auto" w:fill="auto"/>
            <w:vAlign w:val="center"/>
          </w:tcPr>
          <w:p w:rsidR="00385835" w:rsidRPr="00385835" w:rsidRDefault="00385835" w:rsidP="00385835">
            <w:pPr>
              <w:widowControl w:val="0"/>
              <w:tabs>
                <w:tab w:val="left" w:pos="622"/>
              </w:tabs>
              <w:spacing w:after="0" w:line="240" w:lineRule="auto"/>
              <w:ind w:firstLine="624"/>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2014–2020 m. bendroje strateginėje programoje numatytas teminis tikslas „Investicijos į švietimą, įgūdžius ir mokymąsi visą gyvenimą“, prie kurio prisidės vienas ERPF reglamente ir trys ESF reglamente numatyti investiciniai prioritetai. ERPF ir ESF finansuotinos veiklos numatomos visose švietimo srityse. Infrastruktūros tobulinimas kartu su ESF remiamomis veiklomis sudarys sąlygas vykdyti kokybinius pokyčius ugdymo(si) ir mokymo(si) srityse</w:t>
            </w:r>
            <w:r w:rsidR="000D3037">
              <w:rPr>
                <w:rFonts w:ascii="Times New Roman" w:eastAsia="AngsanaUPC" w:hAnsi="Times New Roman"/>
                <w:bCs/>
                <w:sz w:val="24"/>
                <w:szCs w:val="24"/>
                <w:lang w:eastAsia="lt-LT"/>
              </w:rPr>
              <w:t>,</w:t>
            </w:r>
            <w:r w:rsidRPr="00385835">
              <w:rPr>
                <w:rFonts w:ascii="Times New Roman" w:eastAsia="AngsanaUPC" w:hAnsi="Times New Roman"/>
                <w:bCs/>
                <w:sz w:val="24"/>
                <w:szCs w:val="24"/>
                <w:lang w:eastAsia="lt-LT"/>
              </w:rPr>
              <w:t xml:space="preserve"> siekiant strategijos </w:t>
            </w:r>
            <w:r w:rsidR="000D3037">
              <w:rPr>
                <w:rFonts w:ascii="Times New Roman" w:eastAsia="AngsanaUPC" w:hAnsi="Times New Roman"/>
                <w:bCs/>
                <w:sz w:val="24"/>
                <w:szCs w:val="24"/>
                <w:lang w:eastAsia="lt-LT"/>
              </w:rPr>
              <w:t>„</w:t>
            </w:r>
            <w:r w:rsidRPr="00385835">
              <w:rPr>
                <w:rFonts w:ascii="Times New Roman" w:eastAsia="AngsanaUPC" w:hAnsi="Times New Roman"/>
                <w:bCs/>
                <w:sz w:val="24"/>
                <w:szCs w:val="24"/>
                <w:lang w:eastAsia="lt-LT"/>
              </w:rPr>
              <w:t>Europa 2020</w:t>
            </w:r>
            <w:r w:rsidR="000D3037">
              <w:rPr>
                <w:rFonts w:ascii="Times New Roman" w:eastAsia="AngsanaUPC" w:hAnsi="Times New Roman"/>
                <w:bCs/>
                <w:sz w:val="24"/>
                <w:szCs w:val="24"/>
                <w:lang w:eastAsia="lt-LT"/>
              </w:rPr>
              <w:t>“</w:t>
            </w:r>
            <w:r w:rsidRPr="00385835">
              <w:rPr>
                <w:rFonts w:ascii="Times New Roman" w:eastAsia="AngsanaUPC" w:hAnsi="Times New Roman"/>
                <w:bCs/>
                <w:sz w:val="24"/>
                <w:szCs w:val="24"/>
                <w:lang w:eastAsia="lt-LT"/>
              </w:rPr>
              <w:t xml:space="preserve"> ir nacionalinėse švietimo strategijose užsibrėžtų tikslų. </w:t>
            </w:r>
          </w:p>
          <w:p w:rsidR="00385835" w:rsidRPr="00385835" w:rsidRDefault="00385835" w:rsidP="00385835">
            <w:pPr>
              <w:widowControl w:val="0"/>
              <w:tabs>
                <w:tab w:val="left" w:pos="622"/>
              </w:tabs>
              <w:spacing w:after="0" w:line="240" w:lineRule="auto"/>
              <w:ind w:firstLine="624"/>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Ikimokyklinio ir priešmokyklinio ugdymo vietų trūkumas miestuose ir prastas jų pasiekiamumas kaimiškose vietovėse riboja ankstyvąjį vaikų švietimą, o investicijos iš ERPF leis modernizuoti pasenusią įrangą ir ugdymo priemones, kurios riboja galimybes vaikus mokyti pagal šiuolaikines ugdymo programas, realizuojant naujai įgytas pedagogines kompetencijas.</w:t>
            </w:r>
          </w:p>
          <w:p w:rsidR="00385835" w:rsidRPr="00385835" w:rsidRDefault="00385835" w:rsidP="00385835">
            <w:pPr>
              <w:widowControl w:val="0"/>
              <w:tabs>
                <w:tab w:val="left" w:pos="622"/>
              </w:tabs>
              <w:spacing w:after="0" w:line="240" w:lineRule="auto"/>
              <w:ind w:firstLine="624"/>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Tarptautiniai mokinių pasiekimų tyrimai patvirtina sąsajas tarp mokymosi pasiekimų ir aplinkos. Intervencijomis iš ERPF į bendrojo ugdymo infrastruktūrą siekiama didinti mokyklų tinklo efektyvumą ir ugdymo kokybę. Pasinaudojant modernia infrastruktūra bus plečiamas gamtos ir technologinių mokslų mokymas, didinama vaikų neformaliojo švietimo aprėptis,</w:t>
            </w:r>
            <w:r w:rsidR="001C700D">
              <w:rPr>
                <w:rFonts w:ascii="Times New Roman" w:eastAsia="AngsanaUPC" w:hAnsi="Times New Roman"/>
                <w:bCs/>
                <w:sz w:val="24"/>
                <w:szCs w:val="24"/>
                <w:lang w:eastAsia="lt-LT"/>
              </w:rPr>
              <w:t xml:space="preserve"> </w:t>
            </w:r>
            <w:r w:rsidRPr="00385835">
              <w:rPr>
                <w:rFonts w:ascii="Times New Roman" w:eastAsia="AngsanaUPC" w:hAnsi="Times New Roman"/>
                <w:bCs/>
                <w:sz w:val="24"/>
                <w:szCs w:val="24"/>
                <w:lang w:eastAsia="lt-LT"/>
              </w:rPr>
              <w:t>o ESF remiamos veiklos užtikrins naujų ugdymo organizavimo sistemų diegimą, sudarys sąlygas pedagoginiams darbuotojams tobulinti kvalifikaciją, įgalins juos naudotis naujomis mokymo priemonėmis ir metodais. Bus siekiama tobulinti mokinių pažinimą, geriau integruoti į bendrąjį ugdymą specialių ugdymo poreikių turinčius vaikus, bus remiamos mokyklų iniciatyvos nukreiptos į prevenciją, mokyklos nelankančių vaikų sugražinimą.</w:t>
            </w:r>
          </w:p>
          <w:p w:rsidR="00385835" w:rsidRPr="00385835" w:rsidRDefault="00385835" w:rsidP="00385835">
            <w:pPr>
              <w:widowControl w:val="0"/>
              <w:tabs>
                <w:tab w:val="left" w:pos="622"/>
              </w:tabs>
              <w:spacing w:after="0" w:line="240" w:lineRule="auto"/>
              <w:ind w:firstLine="624"/>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Didinant profesinio ir suaugusiųjų mokymo atitiktį darbo rinkos poreikiams, būtina stiprinti praktinį mokymą, mokyklų bendradarbiavimą su socialiniais partneriais ir gerinti mokymo pasiūlos lankstumą. ERPF lėšomis bus gerinamas kokybiško praktinio mokymo prieinamumas</w:t>
            </w:r>
            <w:r w:rsidR="000D3037">
              <w:rPr>
                <w:rFonts w:ascii="Times New Roman" w:eastAsia="AngsanaUPC" w:hAnsi="Times New Roman"/>
                <w:bCs/>
                <w:sz w:val="24"/>
                <w:szCs w:val="24"/>
                <w:lang w:eastAsia="lt-LT"/>
              </w:rPr>
              <w:t>,</w:t>
            </w:r>
            <w:r w:rsidRPr="00385835">
              <w:rPr>
                <w:rFonts w:ascii="Times New Roman" w:eastAsia="AngsanaUPC" w:hAnsi="Times New Roman"/>
                <w:bCs/>
                <w:sz w:val="24"/>
                <w:szCs w:val="24"/>
                <w:lang w:eastAsia="lt-LT"/>
              </w:rPr>
              <w:t xml:space="preserve"> plėtojant sektorinių praktinio mokymo centrų tinklą ir sustiprinant bazinį profesinį mokymą kitose profesinio mokymo įstaigose. Taip pat planuojama modernizuoti suaugusiųjų švietimo centrus. ESF remiamomis veiklomis būtų sprendžiamos tiek profesinio ir suaugusiųjų mokymosi pasiūlos kokybės ir lankstumo problemos, tiek skatinama mokymosi paklausa</w:t>
            </w:r>
            <w:r w:rsidR="000D3037">
              <w:rPr>
                <w:rFonts w:ascii="Times New Roman" w:eastAsia="AngsanaUPC" w:hAnsi="Times New Roman"/>
                <w:bCs/>
                <w:sz w:val="24"/>
                <w:szCs w:val="24"/>
                <w:lang w:eastAsia="lt-LT"/>
              </w:rPr>
              <w:t>,</w:t>
            </w:r>
            <w:r w:rsidRPr="00385835">
              <w:rPr>
                <w:rFonts w:ascii="Times New Roman" w:eastAsia="AngsanaUPC" w:hAnsi="Times New Roman"/>
                <w:bCs/>
                <w:sz w:val="24"/>
                <w:szCs w:val="24"/>
                <w:lang w:eastAsia="lt-LT"/>
              </w:rPr>
              <w:t xml:space="preserve"> sudarant sąlygas mažiausiai besimokančių visuomenės grupių mokymuisi, kokybiškam praktiniam mokymui pas darbdavius, remiant viešųjų paslaugų darbuotojų mokymąsi. </w:t>
            </w:r>
          </w:p>
          <w:p w:rsidR="00385835" w:rsidRPr="00385835" w:rsidRDefault="00385835" w:rsidP="00385835">
            <w:pPr>
              <w:widowControl w:val="0"/>
              <w:tabs>
                <w:tab w:val="left" w:pos="622"/>
              </w:tabs>
              <w:spacing w:after="0" w:line="240" w:lineRule="auto"/>
              <w:ind w:firstLine="624"/>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Studijų infrastruktūros modernizavimas reikalingas kokybiškam studijų procesui organizuoti ir tęsti aukštųjų mokyklų tinklo ir infrastruktūros konsolidavimą. Numatoma, kad bus pagerintos studijų sąsajos su moksliniais tyrimais, gerinant aukštojo mokslo patrauklumą ir efektyviau naudojant išteklius. Pasitelkiant ESF investicijas pag</w:t>
            </w:r>
            <w:r w:rsidR="001C700D">
              <w:rPr>
                <w:rFonts w:ascii="Times New Roman" w:eastAsia="AngsanaUPC" w:hAnsi="Times New Roman"/>
                <w:bCs/>
                <w:sz w:val="24"/>
                <w:szCs w:val="24"/>
                <w:lang w:eastAsia="lt-LT"/>
              </w:rPr>
              <w:t>er</w:t>
            </w:r>
            <w:r w:rsidRPr="00385835">
              <w:rPr>
                <w:rFonts w:ascii="Times New Roman" w:eastAsia="AngsanaUPC" w:hAnsi="Times New Roman"/>
                <w:bCs/>
                <w:sz w:val="24"/>
                <w:szCs w:val="24"/>
                <w:lang w:eastAsia="lt-LT"/>
              </w:rPr>
              <w:t>ės studijų kokybė, labiau prisitaikant prie darbo rinkos poreikių, plėtojant naujus studijų metodus ir inovatyvias technologijas, užtikrinant kokybišką aukštojo mokslo turinį ir aktualias programas, stiprinant dėstytojų gebėjimus, didinant studijų tarptautiškumą. Be to</w:t>
            </w:r>
            <w:r w:rsidR="000D3037">
              <w:rPr>
                <w:rFonts w:ascii="Times New Roman" w:eastAsia="AngsanaUPC" w:hAnsi="Times New Roman"/>
                <w:bCs/>
                <w:sz w:val="24"/>
                <w:szCs w:val="24"/>
                <w:lang w:eastAsia="lt-LT"/>
              </w:rPr>
              <w:t>,</w:t>
            </w:r>
            <w:r w:rsidRPr="00385835">
              <w:rPr>
                <w:rFonts w:ascii="Times New Roman" w:eastAsia="AngsanaUPC" w:hAnsi="Times New Roman"/>
                <w:bCs/>
                <w:sz w:val="24"/>
                <w:szCs w:val="24"/>
                <w:lang w:eastAsia="lt-LT"/>
              </w:rPr>
              <w:t xml:space="preserve"> būtina didinti studijų prieinamumą, ypač per menkai atstovaujamoms ir pažeidžiamoms grupėms ir didinti studijų įtrauktį į mokymosi visą gyvenimą sistemą. Taip pat ESF lėšomis bus stiprinami mokslininkų ir tyrėjų gebėjimai, skatinamas mokslo populiarinimas, dalyvavimas tarptautinėse mokslo programose ir kitos veiklos.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vAlign w:val="center"/>
          </w:tcPr>
          <w:p w:rsidR="00385835" w:rsidRPr="00385835" w:rsidRDefault="00385835" w:rsidP="00385835">
            <w:pPr>
              <w:widowControl w:val="0"/>
              <w:tabs>
                <w:tab w:val="left" w:pos="622"/>
              </w:tabs>
              <w:spacing w:after="0" w:line="240" w:lineRule="auto"/>
              <w:rPr>
                <w:rFonts w:ascii="Times New Roman" w:eastAsia="AngsanaUPC" w:hAnsi="Times New Roman"/>
                <w:b/>
                <w:bCs/>
                <w:iCs/>
                <w:sz w:val="24"/>
                <w:szCs w:val="24"/>
                <w:lang w:eastAsia="lt-LT"/>
              </w:rPr>
            </w:pPr>
            <w:r w:rsidRPr="00385835">
              <w:rPr>
                <w:rFonts w:ascii="Times New Roman" w:eastAsia="AngsanaUPC" w:hAnsi="Times New Roman"/>
                <w:b/>
                <w:bCs/>
                <w:iCs/>
                <w:sz w:val="24"/>
                <w:szCs w:val="24"/>
                <w:lang w:eastAsia="lt-LT"/>
              </w:rPr>
              <w:t>9.1. INVESTICINIS PRIORITETAS</w:t>
            </w:r>
          </w:p>
        </w:tc>
        <w:tc>
          <w:tcPr>
            <w:tcW w:w="7336" w:type="dxa"/>
            <w:shd w:val="clear" w:color="auto" w:fill="EEECE1"/>
            <w:vAlign w:val="center"/>
          </w:tcPr>
          <w:p w:rsidR="00385835" w:rsidRPr="00385835" w:rsidRDefault="00385835" w:rsidP="00385835">
            <w:pPr>
              <w:widowControl w:val="0"/>
              <w:tabs>
                <w:tab w:val="left" w:pos="622"/>
              </w:tabs>
              <w:spacing w:after="0" w:line="240" w:lineRule="auto"/>
              <w:jc w:val="both"/>
              <w:rPr>
                <w:rFonts w:ascii="Times New Roman" w:eastAsia="AngsanaUPC" w:hAnsi="Times New Roman"/>
                <w:b/>
                <w:bCs/>
                <w:iCs/>
                <w:sz w:val="24"/>
                <w:szCs w:val="24"/>
                <w:lang w:eastAsia="lt-LT"/>
              </w:rPr>
            </w:pPr>
            <w:r w:rsidRPr="00385835">
              <w:rPr>
                <w:rFonts w:ascii="Times New Roman" w:eastAsia="Times New Roman" w:hAnsi="Times New Roman"/>
                <w:b/>
                <w:sz w:val="24"/>
                <w:szCs w:val="24"/>
                <w:lang w:eastAsia="lt-LT"/>
              </w:rPr>
              <w:t>Investicijos į švietimą, profesinį mokymą, skirtos švietimo ir mokymo infrastruktūrai tobulinti, siekiant suteikti įgūdžių ir užtikrinti mokymosi visą gyvenimą galimybę</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FONDAS</w:t>
            </w:r>
          </w:p>
        </w:tc>
        <w:tc>
          <w:tcPr>
            <w:tcW w:w="7336"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Europos regioninės plėtros fondas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9.1.1. KONKRETUS UŽDAVINYS</w:t>
            </w:r>
          </w:p>
        </w:tc>
        <w:tc>
          <w:tcPr>
            <w:tcW w:w="7336" w:type="dxa"/>
            <w:shd w:val="clear" w:color="auto" w:fill="EEECE1"/>
            <w:vAlign w:val="center"/>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Tobulinti ir koncentruoti studijų infrastruktūrą, siekiant aukštesnės studijų kokybės</w:t>
            </w:r>
          </w:p>
        </w:tc>
      </w:tr>
      <w:tr w:rsidR="00385835" w:rsidRPr="00385835" w:rsidTr="00385835">
        <w:tc>
          <w:tcPr>
            <w:tcW w:w="9746" w:type="dxa"/>
            <w:gridSpan w:val="2"/>
            <w:shd w:val="clear" w:color="auto" w:fill="auto"/>
          </w:tcPr>
          <w:p w:rsidR="00385835" w:rsidRPr="00385835" w:rsidRDefault="00385835" w:rsidP="00385835">
            <w:pPr>
              <w:spacing w:after="0" w:line="240" w:lineRule="auto"/>
              <w:ind w:firstLine="624"/>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 xml:space="preserve">Siekiama, kad Lietuvos aukštasis mokslas taptų kokybiškas, atviras ir modernus, kad </w:t>
            </w:r>
            <w:r w:rsidRPr="00385835">
              <w:rPr>
                <w:rFonts w:ascii="Times New Roman" w:eastAsia="AngsanaUPC" w:hAnsi="Times New Roman"/>
                <w:bCs/>
                <w:sz w:val="24"/>
                <w:szCs w:val="24"/>
                <w:lang w:eastAsia="lt-LT"/>
              </w:rPr>
              <w:lastRenderedPageBreak/>
              <w:t xml:space="preserve">aukštosios mokyklos išliktų patrauklios Lietuvos ir užsienio studentams, šalies ūkis ir visuomenė būtų aprūpinta kvalifikuota, prie pokyčių prisitaikančia darbo jėga. </w:t>
            </w:r>
          </w:p>
          <w:p w:rsidR="00385835" w:rsidRPr="00385835" w:rsidRDefault="00385835" w:rsidP="00385835">
            <w:pPr>
              <w:spacing w:after="0" w:line="240" w:lineRule="auto"/>
              <w:ind w:firstLine="624"/>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Studijų infrastruktūra tebelieka fragmentiška: platus aukštųjų mokyklų tinklas neužtikrina kompetencijų ir išteklių koncentracijos (Lietuvoje 2012 m. veikė 45 aukštosios mokyklos, iš jų 15, kuriose mokėsi mažiau kaip 5 tūkst. studentų). Dėl nepakankamai modernios ir fragmentuotos aukštojo mokslo infrastruktūros bei mokymo aplinkos sunku sudaryti sąlygas kokybiškoms studijoms ir mokymuisi, konkuruoti ir bendradarbiauti su kitomis užsienio (aukštosiomis) mokyklomis, todėl prisidedant prie Valstybinės studijų, mokslinių tyrimų ir eksperimentinės (socialinės, kultūrinės) plėtros 2013–2020 m. programoje nustatytų tikslų įgyvendinimo siekiama, kad ekstensyvi mokslo ir studijų institucijų plėtra ir išskaidytas potencialas bei ištekliai būtų sutelkti, o studijoms skirta infrastruktūra koncentruota. Studijų aplinka neatitinka šiuolaikinių studijų vietoms keliamų poreikių, trūksta studijoms reikalingų priemonių. Šiuo metu nei viena Lietuvos aukštoji mokykla nepatenka tarp 250 geriausių Europos aukštųjų mokyklų, todėl 2014–2020 m.  investuojant į Lietuvos aukštąjį mokslą būtina sudaryti prielaidas Lietuvoje atsirasti aukštosioms mokykloms, kuriose atitiktų geriausių Europ</w:t>
            </w:r>
            <w:r w:rsidR="000D3037">
              <w:rPr>
                <w:rFonts w:ascii="Times New Roman" w:eastAsia="AngsanaUPC" w:hAnsi="Times New Roman"/>
                <w:bCs/>
                <w:sz w:val="24"/>
                <w:szCs w:val="24"/>
                <w:lang w:eastAsia="lt-LT"/>
              </w:rPr>
              <w:t>os ir pasaulio aukštųjų mokyklų</w:t>
            </w:r>
            <w:r w:rsidRPr="00385835">
              <w:rPr>
                <w:rFonts w:ascii="Times New Roman" w:eastAsia="AngsanaUPC" w:hAnsi="Times New Roman"/>
                <w:bCs/>
                <w:sz w:val="24"/>
                <w:szCs w:val="24"/>
                <w:lang w:eastAsia="lt-LT"/>
              </w:rPr>
              <w:t xml:space="preserve"> lygį.</w:t>
            </w:r>
          </w:p>
          <w:p w:rsidR="00385835" w:rsidRPr="00385835" w:rsidRDefault="000D3037" w:rsidP="00385835">
            <w:pPr>
              <w:spacing w:after="0" w:line="240" w:lineRule="auto"/>
              <w:ind w:firstLine="624"/>
              <w:jc w:val="both"/>
              <w:rPr>
                <w:rFonts w:ascii="Times New Roman" w:eastAsia="AngsanaUPC" w:hAnsi="Times New Roman"/>
                <w:bCs/>
                <w:sz w:val="24"/>
                <w:szCs w:val="24"/>
                <w:lang w:eastAsia="lt-LT"/>
              </w:rPr>
            </w:pPr>
            <w:r>
              <w:rPr>
                <w:rFonts w:ascii="Times New Roman" w:eastAsia="AngsanaUPC" w:hAnsi="Times New Roman"/>
                <w:bCs/>
                <w:sz w:val="24"/>
                <w:szCs w:val="24"/>
                <w:lang w:eastAsia="lt-LT"/>
              </w:rPr>
              <w:t xml:space="preserve">Įgyvendinant šį uždavinį, </w:t>
            </w:r>
            <w:r w:rsidR="00385835" w:rsidRPr="00385835">
              <w:rPr>
                <w:rFonts w:ascii="Times New Roman" w:eastAsia="AngsanaUPC" w:hAnsi="Times New Roman"/>
                <w:bCs/>
                <w:sz w:val="24"/>
                <w:szCs w:val="24"/>
                <w:lang w:eastAsia="lt-LT"/>
              </w:rPr>
              <w:t xml:space="preserve">pagerės studijų kokybė, studijų infrastruktūra ne tik atitiks šiuolaikiniam studijų procesui keliamus reikalavimus, bet ir bus koncentruota, todėl kelių aukštųjų mokyklų studentai galės naudotis koncentruota šiuolaikiška infrastruktūra. Kolegijos geriau atitiks regiono ūkio struktūrą ir poreikius bei turės svarbą šalies ekonomikos plėtrai. </w:t>
            </w:r>
          </w:p>
          <w:p w:rsidR="00385835" w:rsidRPr="00385835" w:rsidRDefault="00385835" w:rsidP="00385835">
            <w:pPr>
              <w:spacing w:after="0" w:line="240" w:lineRule="auto"/>
              <w:ind w:firstLine="624"/>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 xml:space="preserve">Bus įrengtos šiuolaikinės darbo vietos dėstytojams, modernizuota studijų aplinka, kūrybinės, sveikatinimo, laisvalaikio erdvės, atnaujinta studijų bazinė įranga, </w:t>
            </w:r>
          </w:p>
          <w:p w:rsidR="00385835" w:rsidRPr="00385835" w:rsidRDefault="00385835" w:rsidP="00385835">
            <w:pPr>
              <w:spacing w:after="0" w:line="240" w:lineRule="auto"/>
              <w:ind w:firstLine="624"/>
              <w:jc w:val="both"/>
              <w:rPr>
                <w:rFonts w:ascii="Times New Roman" w:hAnsi="Times New Roman"/>
                <w:sz w:val="24"/>
                <w:szCs w:val="24"/>
              </w:rPr>
            </w:pPr>
            <w:r w:rsidRPr="00385835">
              <w:rPr>
                <w:rFonts w:ascii="Times New Roman" w:eastAsia="AngsanaUPC" w:hAnsi="Times New Roman"/>
                <w:bCs/>
                <w:sz w:val="24"/>
                <w:szCs w:val="24"/>
                <w:lang w:eastAsia="lt-LT"/>
              </w:rPr>
              <w:t>Tinkamam studijų kokybės valdymui reikalingi objektyvūs duomenys bus gaunami tik iš reguliarią stebėseną ir duomenų atnaujinimą vykdančių registrų, duomenų bazių, todėl bus atnaujinta ir išplėsta infrastruktūra, kuri reikalinga švietimo informacinėms sistemoms, švietimo nacionaliniams registrams ar</w:t>
            </w:r>
            <w:r w:rsidR="000D3037">
              <w:rPr>
                <w:rFonts w:ascii="Times New Roman" w:eastAsia="AngsanaUPC" w:hAnsi="Times New Roman"/>
                <w:bCs/>
                <w:sz w:val="24"/>
                <w:szCs w:val="24"/>
                <w:lang w:eastAsia="lt-LT"/>
              </w:rPr>
              <w:t xml:space="preserve"> duomenų bazėms funkcionuoti,</w:t>
            </w:r>
            <w:r w:rsidR="00DA7585">
              <w:rPr>
                <w:rFonts w:ascii="Times New Roman" w:eastAsia="AngsanaUPC" w:hAnsi="Times New Roman"/>
                <w:bCs/>
                <w:sz w:val="24"/>
                <w:szCs w:val="24"/>
                <w:lang w:eastAsia="lt-LT"/>
              </w:rPr>
              <w:t xml:space="preserve"> </w:t>
            </w:r>
            <w:r w:rsidRPr="00385835">
              <w:rPr>
                <w:rFonts w:ascii="Times New Roman" w:eastAsia="AngsanaUPC" w:hAnsi="Times New Roman"/>
                <w:bCs/>
                <w:sz w:val="24"/>
                <w:szCs w:val="24"/>
                <w:lang w:eastAsia="lt-LT"/>
              </w:rPr>
              <w:t>taip pat bus plėtojama virtuali mokymosi aplinka.</w:t>
            </w:r>
          </w:p>
        </w:tc>
      </w:tr>
    </w:tbl>
    <w:p w:rsidR="00385835" w:rsidRPr="00385835" w:rsidRDefault="00385835" w:rsidP="00385835">
      <w:pPr>
        <w:spacing w:after="0" w:line="240" w:lineRule="auto"/>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471"/>
        <w:gridCol w:w="2328"/>
        <w:gridCol w:w="1006"/>
        <w:gridCol w:w="1006"/>
        <w:gridCol w:w="847"/>
        <w:gridCol w:w="897"/>
        <w:gridCol w:w="850"/>
        <w:gridCol w:w="1114"/>
        <w:gridCol w:w="1227"/>
      </w:tblGrid>
      <w:tr w:rsidR="00385835" w:rsidRPr="00385835" w:rsidTr="00385835">
        <w:tc>
          <w:tcPr>
            <w:tcW w:w="9746" w:type="dxa"/>
            <w:gridSpan w:val="9"/>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i/>
                <w:iCs/>
                <w:sz w:val="24"/>
                <w:szCs w:val="24"/>
                <w:lang w:eastAsia="lt-LT"/>
              </w:rPr>
            </w:pPr>
            <w:r w:rsidRPr="00385835">
              <w:rPr>
                <w:rFonts w:ascii="Times New Roman" w:eastAsia="AngsanaUPC" w:hAnsi="Times New Roman"/>
                <w:b/>
                <w:bCs/>
                <w:i/>
                <w:iCs/>
                <w:sz w:val="24"/>
                <w:szCs w:val="24"/>
                <w:lang w:eastAsia="lt-LT"/>
              </w:rPr>
              <w:t xml:space="preserve">ERPF </w:t>
            </w:r>
            <w:r w:rsidR="006827C9">
              <w:rPr>
                <w:rFonts w:ascii="Times New Roman" w:eastAsia="AngsanaUPC" w:hAnsi="Times New Roman"/>
                <w:b/>
                <w:bCs/>
                <w:i/>
                <w:iCs/>
                <w:sz w:val="24"/>
                <w:szCs w:val="24"/>
                <w:lang w:eastAsia="lt-LT"/>
              </w:rPr>
              <w:t>specialieji</w:t>
            </w:r>
            <w:r w:rsidR="006827C9" w:rsidRPr="00385835">
              <w:rPr>
                <w:rFonts w:ascii="Times New Roman" w:eastAsia="AngsanaUPC" w:hAnsi="Times New Roman"/>
                <w:b/>
                <w:bCs/>
                <w:i/>
                <w:iCs/>
                <w:sz w:val="24"/>
                <w:szCs w:val="24"/>
                <w:lang w:eastAsia="lt-LT"/>
              </w:rPr>
              <w:t xml:space="preserve"> </w:t>
            </w:r>
            <w:r w:rsidRPr="00385835">
              <w:rPr>
                <w:rFonts w:ascii="Times New Roman" w:eastAsia="AngsanaUPC" w:hAnsi="Times New Roman"/>
                <w:b/>
                <w:bCs/>
                <w:i/>
                <w:iCs/>
                <w:sz w:val="24"/>
                <w:szCs w:val="24"/>
                <w:lang w:eastAsia="lt-LT"/>
              </w:rPr>
              <w:t>programos rezultato rodikliai</w:t>
            </w:r>
          </w:p>
        </w:tc>
      </w:tr>
      <w:tr w:rsidR="00385835" w:rsidRPr="00385835" w:rsidTr="00385835">
        <w:tblPrEx>
          <w:shd w:val="clear" w:color="auto" w:fill="auto"/>
        </w:tblPrEx>
        <w:trPr>
          <w:cantSplit/>
          <w:trHeight w:val="571"/>
        </w:trPr>
        <w:tc>
          <w:tcPr>
            <w:tcW w:w="470"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Nr.</w:t>
            </w:r>
          </w:p>
        </w:tc>
        <w:tc>
          <w:tcPr>
            <w:tcW w:w="2507"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Rodiklio pavadinimas</w:t>
            </w:r>
          </w:p>
        </w:tc>
        <w:tc>
          <w:tcPr>
            <w:tcW w:w="992"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Matavimo vienetas</w:t>
            </w:r>
          </w:p>
        </w:tc>
        <w:tc>
          <w:tcPr>
            <w:tcW w:w="993"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Regiono kategorija</w:t>
            </w:r>
          </w:p>
        </w:tc>
        <w:tc>
          <w:tcPr>
            <w:tcW w:w="850"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 reikšmė</w:t>
            </w:r>
          </w:p>
        </w:tc>
        <w:tc>
          <w:tcPr>
            <w:tcW w:w="85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Pradinės reikšmės metai</w:t>
            </w:r>
          </w:p>
        </w:tc>
        <w:tc>
          <w:tcPr>
            <w:tcW w:w="850"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Siektina reikšmė (2023)</w:t>
            </w:r>
          </w:p>
        </w:tc>
        <w:tc>
          <w:tcPr>
            <w:tcW w:w="1119"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Duomenų šaltinis</w:t>
            </w:r>
          </w:p>
        </w:tc>
        <w:tc>
          <w:tcPr>
            <w:tcW w:w="111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Atsiskaitymo dažnumas</w:t>
            </w:r>
          </w:p>
        </w:tc>
      </w:tr>
      <w:tr w:rsidR="00385835" w:rsidRPr="00385835" w:rsidTr="00385835">
        <w:tblPrEx>
          <w:shd w:val="clear" w:color="auto" w:fill="auto"/>
        </w:tblPrEx>
        <w:tc>
          <w:tcPr>
            <w:tcW w:w="470"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1.</w:t>
            </w:r>
          </w:p>
        </w:tc>
        <w:tc>
          <w:tcPr>
            <w:tcW w:w="2507" w:type="dxa"/>
            <w:shd w:val="clear" w:color="auto" w:fill="auto"/>
            <w:vAlign w:val="center"/>
          </w:tcPr>
          <w:p w:rsidR="00385835" w:rsidRPr="00385835" w:rsidDel="00B22B8B" w:rsidRDefault="00385835" w:rsidP="00385835">
            <w:pPr>
              <w:widowControl w:val="0"/>
              <w:tabs>
                <w:tab w:val="left" w:pos="622"/>
              </w:tabs>
              <w:spacing w:after="0" w:line="240" w:lineRule="auto"/>
              <w:rPr>
                <w:rFonts w:ascii="Times New Roman" w:hAnsi="Times New Roman"/>
                <w:sz w:val="18"/>
                <w:szCs w:val="18"/>
              </w:rPr>
            </w:pPr>
            <w:r w:rsidRPr="00385835">
              <w:rPr>
                <w:rFonts w:ascii="Times New Roman" w:hAnsi="Times New Roman"/>
                <w:sz w:val="18"/>
                <w:szCs w:val="18"/>
              </w:rPr>
              <w:t>Studentų, studijuojančių aukštosiose mokyklose, kuriose bent už 289 tūkst. eurų pagal veiksmų programą ERPF lėšomis atnaujinta koncentruota studijų infrastruktūra, dalis</w:t>
            </w:r>
            <w:r w:rsidRPr="00385835" w:rsidDel="002552A6">
              <w:rPr>
                <w:rFonts w:ascii="Times New Roman" w:hAnsi="Times New Roman"/>
                <w:sz w:val="18"/>
                <w:szCs w:val="18"/>
              </w:rPr>
              <w:t xml:space="preserve"> </w:t>
            </w:r>
          </w:p>
        </w:tc>
        <w:tc>
          <w:tcPr>
            <w:tcW w:w="992"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Proc.</w:t>
            </w:r>
          </w:p>
        </w:tc>
        <w:tc>
          <w:tcPr>
            <w:tcW w:w="993"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Mažiau išsivystęs</w:t>
            </w:r>
          </w:p>
        </w:tc>
        <w:tc>
          <w:tcPr>
            <w:tcW w:w="850" w:type="dxa"/>
            <w:shd w:val="clear" w:color="auto" w:fill="auto"/>
            <w:vAlign w:val="center"/>
          </w:tcPr>
          <w:p w:rsidR="00385835" w:rsidRPr="00385835" w:rsidDel="00E02E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5,22</w:t>
            </w:r>
          </w:p>
        </w:tc>
        <w:tc>
          <w:tcPr>
            <w:tcW w:w="85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2013</w:t>
            </w:r>
          </w:p>
        </w:tc>
        <w:tc>
          <w:tcPr>
            <w:tcW w:w="850" w:type="dxa"/>
            <w:shd w:val="clear" w:color="auto" w:fill="auto"/>
            <w:vAlign w:val="center"/>
          </w:tcPr>
          <w:p w:rsidR="00385835" w:rsidRPr="00385835" w:rsidDel="00E02E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10</w:t>
            </w:r>
          </w:p>
        </w:tc>
        <w:tc>
          <w:tcPr>
            <w:tcW w:w="1119"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Švietimo valdymo informacinė sistema, duomenys iš projektų</w:t>
            </w:r>
          </w:p>
        </w:tc>
        <w:tc>
          <w:tcPr>
            <w:tcW w:w="111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bl>
    <w:p w:rsidR="00385835" w:rsidRPr="00385835" w:rsidRDefault="00385835" w:rsidP="00385835">
      <w:pPr>
        <w:spacing w:after="0" w:line="240" w:lineRule="auto"/>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tcPr>
          <w:p w:rsidR="00385835" w:rsidRPr="00385835" w:rsidRDefault="00385835" w:rsidP="00385835">
            <w:pPr>
              <w:widowControl w:val="0"/>
              <w:tabs>
                <w:tab w:val="left" w:pos="622"/>
              </w:tabs>
              <w:spacing w:after="0" w:line="240" w:lineRule="auto"/>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9.1.2. KONKRETUS UŽDAVINYS</w:t>
            </w:r>
          </w:p>
        </w:tc>
        <w:tc>
          <w:tcPr>
            <w:tcW w:w="7336" w:type="dxa"/>
            <w:shd w:val="clear" w:color="auto" w:fill="EEECE1"/>
            <w:vAlign w:val="center"/>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Padidinti kokybiško profesinio ir suaugusiųjų mokymo prieinamumą investuojant į infrastruktūrą</w:t>
            </w:r>
          </w:p>
        </w:tc>
      </w:tr>
      <w:tr w:rsidR="00385835" w:rsidRPr="00385835" w:rsidTr="00385835">
        <w:tc>
          <w:tcPr>
            <w:tcW w:w="9746" w:type="dxa"/>
            <w:gridSpan w:val="2"/>
            <w:shd w:val="clear" w:color="auto" w:fill="auto"/>
          </w:tcPr>
          <w:p w:rsidR="00385835" w:rsidRPr="00385835" w:rsidRDefault="00385835" w:rsidP="00385835">
            <w:pPr>
              <w:spacing w:after="0" w:line="240" w:lineRule="auto"/>
              <w:ind w:firstLine="624"/>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Profesinio mokymo patrauklumas Lietuvoje auga lėtai. Mokinių dalis, kurie mokosi pagal profesinio mokymo programas, skirtas įgyti vidurinį išsilavinimą kartu su profesine kvalifikacija, sudaro mažiau nei 30 proc. visų mokinių ISCED 3 lygmens programose, kai ES šalių vidurkis siekia apie 50 proc. Viena</w:t>
            </w:r>
            <w:r w:rsidR="000D3037">
              <w:rPr>
                <w:rFonts w:ascii="Times New Roman" w:eastAsia="AngsanaUPC" w:hAnsi="Times New Roman"/>
                <w:bCs/>
                <w:sz w:val="24"/>
                <w:szCs w:val="24"/>
                <w:lang w:eastAsia="lt-LT"/>
              </w:rPr>
              <w:t xml:space="preserve"> iš</w:t>
            </w:r>
            <w:r w:rsidRPr="00385835">
              <w:rPr>
                <w:rFonts w:ascii="Times New Roman" w:eastAsia="AngsanaUPC" w:hAnsi="Times New Roman"/>
                <w:bCs/>
                <w:sz w:val="24"/>
                <w:szCs w:val="24"/>
                <w:lang w:eastAsia="lt-LT"/>
              </w:rPr>
              <w:t xml:space="preserve"> svarbiausių žemo profesinio mokymo patrauklumo priežasčių yra nepakankama šio mokymo kokybė didelėje dalyje profesinio mokymo įstaigų. Daugiau nei 6 proc. suaugusiųjų nėra baigę bendrojo ugdymo programos – tai riboja jų tęstinį mokymąsi ir karjeros galimybes. Taip pat pažymėtina, jog suaugusiųjų švietimo centrų tinklas yra gerai išplėtotas, tačiau centrų mokymosi erdvės ir priemonės yra nusidėvėję ir nepatrauklios besimokantiesiems.</w:t>
            </w:r>
          </w:p>
          <w:p w:rsidR="00385835" w:rsidRPr="00385835" w:rsidRDefault="00385835" w:rsidP="00385835">
            <w:pPr>
              <w:spacing w:after="0" w:line="240" w:lineRule="auto"/>
              <w:ind w:firstLine="624"/>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 xml:space="preserve">Praktiniam mokymui skirtos infrastruktūros būklė yra vienas </w:t>
            </w:r>
            <w:r w:rsidR="000D3037">
              <w:rPr>
                <w:rFonts w:ascii="Times New Roman" w:eastAsia="AngsanaUPC" w:hAnsi="Times New Roman"/>
                <w:bCs/>
                <w:sz w:val="24"/>
                <w:szCs w:val="24"/>
                <w:lang w:eastAsia="lt-LT"/>
              </w:rPr>
              <w:t xml:space="preserve">iš </w:t>
            </w:r>
            <w:r w:rsidRPr="00385835">
              <w:rPr>
                <w:rFonts w:ascii="Times New Roman" w:eastAsia="AngsanaUPC" w:hAnsi="Times New Roman"/>
                <w:bCs/>
                <w:sz w:val="24"/>
                <w:szCs w:val="24"/>
                <w:lang w:eastAsia="lt-LT"/>
              </w:rPr>
              <w:t xml:space="preserve">svarbiausių profesinio ir suaugusiųjų mokymo kokybės veiksnių, nes net 70 proc. viso profesinio mokymo programų laiko skiriama praktiniam mokymui. 2004–2013 m. programavimo laikotarpiais buvo modernizuotos </w:t>
            </w:r>
            <w:r w:rsidRPr="00385835">
              <w:rPr>
                <w:rFonts w:ascii="Times New Roman" w:eastAsia="AngsanaUPC" w:hAnsi="Times New Roman"/>
                <w:bCs/>
                <w:sz w:val="24"/>
                <w:szCs w:val="24"/>
                <w:lang w:eastAsia="lt-LT"/>
              </w:rPr>
              <w:lastRenderedPageBreak/>
              <w:t xml:space="preserve">mokymo erdvės ir įranga dalyje profesinio ir suaugusiųjų mokymo įstaigų, </w:t>
            </w:r>
            <w:r w:rsidR="000D3037">
              <w:rPr>
                <w:rFonts w:ascii="Times New Roman" w:eastAsia="AngsanaUPC" w:hAnsi="Times New Roman"/>
                <w:bCs/>
                <w:sz w:val="24"/>
                <w:szCs w:val="24"/>
                <w:lang w:eastAsia="lt-LT"/>
              </w:rPr>
              <w:t xml:space="preserve">daugiausia </w:t>
            </w:r>
            <w:r w:rsidRPr="00385835">
              <w:rPr>
                <w:rFonts w:ascii="Times New Roman" w:eastAsia="AngsanaUPC" w:hAnsi="Times New Roman"/>
                <w:bCs/>
                <w:sz w:val="24"/>
                <w:szCs w:val="24"/>
                <w:lang w:eastAsia="lt-LT"/>
              </w:rPr>
              <w:t>investuojant į sektorinius praktinio mokymo centrus, kurių kūrimas papildo kitas profesinio mokymo kokybės didinimo veiklas.</w:t>
            </w:r>
          </w:p>
          <w:p w:rsidR="00385835" w:rsidRPr="00385835" w:rsidRDefault="00385835" w:rsidP="00385835">
            <w:pPr>
              <w:spacing w:after="0" w:line="240" w:lineRule="auto"/>
              <w:ind w:firstLine="624"/>
              <w:jc w:val="both"/>
              <w:rPr>
                <w:rFonts w:ascii="Times New Roman" w:hAnsi="Times New Roman"/>
                <w:sz w:val="24"/>
                <w:szCs w:val="24"/>
              </w:rPr>
            </w:pPr>
            <w:r w:rsidRPr="00385835">
              <w:rPr>
                <w:rFonts w:ascii="Times New Roman" w:eastAsia="AngsanaUPC" w:hAnsi="Times New Roman"/>
                <w:bCs/>
                <w:sz w:val="24"/>
                <w:szCs w:val="24"/>
                <w:lang w:eastAsia="lt-LT"/>
              </w:rPr>
              <w:t>2014–2020 m. laikotarpiu bus plėtojami sektoriniai praktinio mokymo centrai, investuojant į sektorinius centrus turinčių profesinio mokymo įstaigų infrastruktūros kompleksinį sutvarkymą. Lygiagrečiai bus plėtojama infrastruktūra, reikalinga kokybiškai vykdyti bazinį profesinį mokymą kitose profesinio mokymo įstaigose, kuriose nėra sektorinio praktinio mokymo centro. Taip bus sudarytos sąlygos pasiūlyti jaunimui ir suaugusiems kokybiško mokymosi galimybes netoli jų gyvenamos vietos, su mobilumo galimybe užbaigti praktinį mokymą aukšto technologinio lygio sektoriniame praktinio mokymo centre. Be to, naujuoju programavimo periodu bus modernizuota dalis suaugusių švietimo centrų.</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522"/>
        <w:gridCol w:w="1746"/>
        <w:gridCol w:w="1134"/>
        <w:gridCol w:w="1134"/>
        <w:gridCol w:w="968"/>
        <w:gridCol w:w="950"/>
        <w:gridCol w:w="848"/>
        <w:gridCol w:w="1203"/>
        <w:gridCol w:w="1241"/>
      </w:tblGrid>
      <w:tr w:rsidR="00385835" w:rsidRPr="00385835" w:rsidTr="00385835">
        <w:tc>
          <w:tcPr>
            <w:tcW w:w="9746" w:type="dxa"/>
            <w:gridSpan w:val="9"/>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i/>
                <w:iCs/>
                <w:sz w:val="24"/>
                <w:szCs w:val="24"/>
                <w:lang w:eastAsia="lt-LT"/>
              </w:rPr>
            </w:pPr>
            <w:r w:rsidRPr="00385835">
              <w:rPr>
                <w:rFonts w:ascii="Times New Roman" w:eastAsia="AngsanaUPC" w:hAnsi="Times New Roman"/>
                <w:b/>
                <w:bCs/>
                <w:i/>
                <w:iCs/>
                <w:sz w:val="24"/>
                <w:szCs w:val="24"/>
                <w:lang w:eastAsia="lt-LT"/>
              </w:rPr>
              <w:t xml:space="preserve">ERPF </w:t>
            </w:r>
            <w:r w:rsidR="006827C9">
              <w:rPr>
                <w:rFonts w:ascii="Times New Roman" w:eastAsia="AngsanaUPC" w:hAnsi="Times New Roman"/>
                <w:b/>
                <w:bCs/>
                <w:i/>
                <w:iCs/>
                <w:sz w:val="24"/>
                <w:szCs w:val="24"/>
                <w:lang w:eastAsia="lt-LT"/>
              </w:rPr>
              <w:t>specialieji</w:t>
            </w:r>
            <w:r w:rsidR="006827C9" w:rsidRPr="00385835">
              <w:rPr>
                <w:rFonts w:ascii="Times New Roman" w:eastAsia="AngsanaUPC" w:hAnsi="Times New Roman"/>
                <w:b/>
                <w:bCs/>
                <w:i/>
                <w:iCs/>
                <w:sz w:val="24"/>
                <w:szCs w:val="24"/>
                <w:lang w:eastAsia="lt-LT"/>
              </w:rPr>
              <w:t xml:space="preserve"> </w:t>
            </w:r>
            <w:r w:rsidRPr="00385835">
              <w:rPr>
                <w:rFonts w:ascii="Times New Roman" w:eastAsia="AngsanaUPC" w:hAnsi="Times New Roman"/>
                <w:b/>
                <w:bCs/>
                <w:i/>
                <w:iCs/>
                <w:sz w:val="24"/>
                <w:szCs w:val="24"/>
                <w:lang w:eastAsia="lt-LT"/>
              </w:rPr>
              <w:t>programos rezultato rodikliai</w:t>
            </w:r>
          </w:p>
        </w:tc>
      </w:tr>
      <w:tr w:rsidR="00385835" w:rsidRPr="00385835" w:rsidTr="00385835">
        <w:tblPrEx>
          <w:shd w:val="clear" w:color="auto" w:fill="auto"/>
        </w:tblPrEx>
        <w:trPr>
          <w:cantSplit/>
          <w:trHeight w:val="737"/>
        </w:trPr>
        <w:tc>
          <w:tcPr>
            <w:tcW w:w="522"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Nr.</w:t>
            </w:r>
          </w:p>
        </w:tc>
        <w:tc>
          <w:tcPr>
            <w:tcW w:w="1746"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Rodiklio pavadinimas</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Matavimo vienetas</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Regiono kategorija</w:t>
            </w:r>
          </w:p>
        </w:tc>
        <w:tc>
          <w:tcPr>
            <w:tcW w:w="968"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 reikšmė</w:t>
            </w:r>
          </w:p>
        </w:tc>
        <w:tc>
          <w:tcPr>
            <w:tcW w:w="950"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Pradinės reikšmės metai</w:t>
            </w:r>
          </w:p>
        </w:tc>
        <w:tc>
          <w:tcPr>
            <w:tcW w:w="848"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Siektina reikšmė (2023)</w:t>
            </w:r>
          </w:p>
        </w:tc>
        <w:tc>
          <w:tcPr>
            <w:tcW w:w="1203"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Duomenų šaltinis</w:t>
            </w:r>
          </w:p>
        </w:tc>
        <w:tc>
          <w:tcPr>
            <w:tcW w:w="124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Atsiskaitymo dažnumas</w:t>
            </w:r>
          </w:p>
        </w:tc>
      </w:tr>
      <w:tr w:rsidR="00385835" w:rsidRPr="00385835" w:rsidTr="00385835">
        <w:tblPrEx>
          <w:shd w:val="clear" w:color="auto" w:fill="auto"/>
        </w:tblPrEx>
        <w:tc>
          <w:tcPr>
            <w:tcW w:w="522"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w:t>
            </w:r>
          </w:p>
        </w:tc>
        <w:tc>
          <w:tcPr>
            <w:tcW w:w="1746" w:type="dxa"/>
            <w:shd w:val="clear" w:color="auto" w:fill="auto"/>
            <w:vAlign w:val="center"/>
          </w:tcPr>
          <w:p w:rsidR="00385835" w:rsidRPr="00385835" w:rsidDel="00B22B8B" w:rsidRDefault="00385835" w:rsidP="00385835">
            <w:pPr>
              <w:spacing w:after="0" w:line="240" w:lineRule="auto"/>
              <w:rPr>
                <w:rFonts w:ascii="Times New Roman" w:eastAsia="AngsanaUPC" w:hAnsi="Times New Roman"/>
                <w:bCs/>
                <w:iCs/>
                <w:sz w:val="18"/>
                <w:szCs w:val="18"/>
                <w:lang w:eastAsia="lt-LT"/>
              </w:rPr>
            </w:pPr>
            <w:r w:rsidRPr="00385835">
              <w:rPr>
                <w:rFonts w:ascii="Times New Roman" w:hAnsi="Times New Roman"/>
                <w:sz w:val="18"/>
                <w:szCs w:val="18"/>
              </w:rPr>
              <w:t>Profesinio mokymo mokinių, kurie mokosi bent už 289 tūkst. eurų pagal veiksmų programą ERPF lėšomis atnaujintose įstaigose, dalis</w:t>
            </w:r>
          </w:p>
        </w:tc>
        <w:tc>
          <w:tcPr>
            <w:tcW w:w="1134" w:type="dxa"/>
            <w:shd w:val="clear" w:color="auto" w:fill="auto"/>
            <w:vAlign w:val="center"/>
          </w:tcPr>
          <w:p w:rsidR="00385835" w:rsidRPr="00385835" w:rsidRDefault="00385835" w:rsidP="00385835">
            <w:pPr>
              <w:spacing w:after="0" w:line="240" w:lineRule="auto"/>
              <w:jc w:val="center"/>
              <w:rPr>
                <w:rFonts w:ascii="Times New Roman" w:eastAsia="AngsanaUPC" w:hAnsi="Times New Roman"/>
                <w:bCs/>
                <w:iCs/>
                <w:sz w:val="18"/>
                <w:szCs w:val="18"/>
                <w:lang w:eastAsia="lt-LT"/>
              </w:rPr>
            </w:pPr>
            <w:r w:rsidRPr="00385835">
              <w:rPr>
                <w:rFonts w:ascii="Times New Roman" w:hAnsi="Times New Roman"/>
                <w:sz w:val="18"/>
                <w:szCs w:val="18"/>
              </w:rPr>
              <w:t>Proc.</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hAnsi="Times New Roman"/>
                <w:sz w:val="18"/>
                <w:szCs w:val="18"/>
              </w:rPr>
              <w:t>Mažiau išsivystęs</w:t>
            </w:r>
          </w:p>
        </w:tc>
        <w:tc>
          <w:tcPr>
            <w:tcW w:w="968"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hAnsi="Times New Roman"/>
                <w:sz w:val="18"/>
                <w:szCs w:val="18"/>
              </w:rPr>
              <w:t>53</w:t>
            </w:r>
          </w:p>
        </w:tc>
        <w:tc>
          <w:tcPr>
            <w:tcW w:w="950"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hAnsi="Times New Roman"/>
                <w:sz w:val="18"/>
                <w:szCs w:val="18"/>
              </w:rPr>
              <w:t>2013</w:t>
            </w:r>
          </w:p>
        </w:tc>
        <w:tc>
          <w:tcPr>
            <w:tcW w:w="848"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hAnsi="Times New Roman"/>
                <w:sz w:val="18"/>
                <w:szCs w:val="18"/>
              </w:rPr>
              <w:t>75</w:t>
            </w:r>
          </w:p>
        </w:tc>
        <w:tc>
          <w:tcPr>
            <w:tcW w:w="1203" w:type="dxa"/>
            <w:shd w:val="clear" w:color="auto" w:fill="auto"/>
            <w:vAlign w:val="center"/>
          </w:tcPr>
          <w:p w:rsidR="00385835" w:rsidRPr="00385835" w:rsidRDefault="00385835" w:rsidP="00385835">
            <w:pPr>
              <w:spacing w:after="0" w:line="240" w:lineRule="auto"/>
              <w:jc w:val="center"/>
              <w:rPr>
                <w:rFonts w:ascii="Times New Roman" w:eastAsia="AngsanaUPC" w:hAnsi="Times New Roman"/>
                <w:bCs/>
                <w:iCs/>
                <w:sz w:val="18"/>
                <w:szCs w:val="18"/>
                <w:lang w:eastAsia="lt-LT"/>
              </w:rPr>
            </w:pPr>
            <w:r w:rsidRPr="00385835">
              <w:rPr>
                <w:rFonts w:ascii="Times New Roman" w:hAnsi="Times New Roman"/>
                <w:sz w:val="18"/>
                <w:szCs w:val="18"/>
              </w:rPr>
              <w:t>Švietimo valdymo informacinė sistema, duomenys iš projektų</w:t>
            </w:r>
          </w:p>
        </w:tc>
        <w:tc>
          <w:tcPr>
            <w:tcW w:w="124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tcPr>
          <w:p w:rsidR="00385835" w:rsidRPr="00385835" w:rsidRDefault="00385835" w:rsidP="00385835">
            <w:pPr>
              <w:widowControl w:val="0"/>
              <w:tabs>
                <w:tab w:val="left" w:pos="622"/>
              </w:tabs>
              <w:spacing w:after="0" w:line="240" w:lineRule="auto"/>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9.1.3. KONKRETUS UŽDAVINYS</w:t>
            </w:r>
          </w:p>
        </w:tc>
        <w:tc>
          <w:tcPr>
            <w:tcW w:w="7336" w:type="dxa"/>
            <w:shd w:val="clear" w:color="auto" w:fill="EEECE1"/>
            <w:vAlign w:val="center"/>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 xml:space="preserve">Padidinti bendrojo ugdymo ir neformaliojo švietimo įstaigų </w:t>
            </w:r>
            <w:r w:rsidR="00412224">
              <w:rPr>
                <w:rFonts w:ascii="Tms Rmn" w:hAnsi="Tms Rmn" w:cs="Tms Rmn"/>
                <w:b/>
                <w:bCs/>
                <w:color w:val="000000"/>
                <w:sz w:val="24"/>
                <w:szCs w:val="24"/>
                <w:lang w:eastAsia="lt-LT"/>
              </w:rPr>
              <w:t xml:space="preserve">(ypač vykdančių ikimokyklinio ir priešmokyklinio ugdymo programas) </w:t>
            </w:r>
            <w:r w:rsidRPr="00385835">
              <w:rPr>
                <w:rFonts w:ascii="Times New Roman" w:eastAsia="AngsanaUPC" w:hAnsi="Times New Roman"/>
                <w:b/>
                <w:bCs/>
                <w:sz w:val="24"/>
                <w:szCs w:val="24"/>
                <w:lang w:eastAsia="lt-LT"/>
              </w:rPr>
              <w:t>tinklo veiklos efektyvumą</w:t>
            </w:r>
          </w:p>
        </w:tc>
      </w:tr>
      <w:tr w:rsidR="00385835" w:rsidRPr="00385835" w:rsidTr="00385835">
        <w:tc>
          <w:tcPr>
            <w:tcW w:w="9746" w:type="dxa"/>
            <w:gridSpan w:val="2"/>
            <w:shd w:val="clear" w:color="auto" w:fill="auto"/>
          </w:tcPr>
          <w:p w:rsidR="00385835" w:rsidRPr="00385835" w:rsidRDefault="00385835" w:rsidP="00385835">
            <w:pPr>
              <w:spacing w:after="0" w:line="240" w:lineRule="auto"/>
              <w:ind w:firstLine="624"/>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 xml:space="preserve">Bendrojo ir neformalaus ugdymo infrastruktūros srityje pagrindiniai iššūkiai yra susiję su dėl demografinių priežasčių išbalansuotu ugdymo įstaigų tinklu. Mokyklos, kurios nesurenka pakankamai mokinio krepšelių, negali išlaikyti pakankamai mokytojų specialistų, skirtingų klasių mokiniai ugdomi kartu ir dėl to prastėja ugdymo kokybė, kaimo vietovėse išlieka aukštas ankstyvas pasitraukimas iš švietimo sistemos. Ypač blogos ugdymo sąlygos vaikų socializacijos centruose. Didžioji dalis Lietuvos vaikų mokosi nerenovuotose ir technologiškai prastai aprūpintose miestų mokyklose. </w:t>
            </w:r>
          </w:p>
          <w:p w:rsidR="00385835" w:rsidRPr="00385835" w:rsidRDefault="00385835" w:rsidP="00385835">
            <w:pPr>
              <w:spacing w:after="0" w:line="240" w:lineRule="auto"/>
              <w:ind w:firstLine="624"/>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 xml:space="preserve">Nors pastaruosius 15 metų investicijos intensyvėjo, tačiau modernizuotų bent už 1 mln. Lt įstaigų tik 26,9 proc., o IEA TIMSS 2011 m. tyrimo duomenimis santykinai žemesnius Lietuvos mokinių pasiekimus sąlygojo tai, kad tik 13 proc. aštuntokų mokosi mokyklose, kuriose yra gamtos mokslų laboratorijos, o pradinės mokyklos jų visai neturi. </w:t>
            </w:r>
            <w:r w:rsidR="00DA1631">
              <w:rPr>
                <w:rFonts w:ascii="Times New Roman" w:eastAsia="AngsanaUPC" w:hAnsi="Times New Roman"/>
                <w:bCs/>
                <w:sz w:val="24"/>
                <w:szCs w:val="24"/>
                <w:lang w:eastAsia="lt-LT"/>
              </w:rPr>
              <w:t xml:space="preserve">Neformaliajame švietime </w:t>
            </w:r>
            <w:r w:rsidR="00DA1631" w:rsidRPr="00385835">
              <w:rPr>
                <w:rFonts w:ascii="Times New Roman" w:eastAsia="AngsanaUPC" w:hAnsi="Times New Roman"/>
                <w:bCs/>
                <w:sz w:val="24"/>
                <w:szCs w:val="24"/>
                <w:lang w:eastAsia="lt-LT"/>
              </w:rPr>
              <w:t xml:space="preserve">dalyvaujančių </w:t>
            </w:r>
            <w:r w:rsidR="00DA1631">
              <w:rPr>
                <w:rFonts w:ascii="Times New Roman" w:eastAsia="AngsanaUPC" w:hAnsi="Times New Roman"/>
                <w:bCs/>
                <w:sz w:val="24"/>
                <w:szCs w:val="24"/>
                <w:lang w:eastAsia="lt-LT"/>
              </w:rPr>
              <w:t xml:space="preserve">mokinių </w:t>
            </w:r>
            <w:r w:rsidRPr="00385835">
              <w:rPr>
                <w:rFonts w:ascii="Times New Roman" w:eastAsia="AngsanaUPC" w:hAnsi="Times New Roman"/>
                <w:bCs/>
                <w:sz w:val="24"/>
                <w:szCs w:val="24"/>
                <w:lang w:eastAsia="lt-LT"/>
              </w:rPr>
              <w:t xml:space="preserve">dalis 2012 m. sudarė vos 14,2 proc. ir tik aštuonioliktoji lankančiųjų dalis buvo ugdoma techninės kūrybos ar gamtamoksliniuose būreliuose. </w:t>
            </w:r>
          </w:p>
          <w:p w:rsidR="00385835" w:rsidRPr="00385835" w:rsidRDefault="00385835" w:rsidP="00385835">
            <w:pPr>
              <w:spacing w:after="0" w:line="240" w:lineRule="auto"/>
              <w:ind w:firstLine="624"/>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Dėl miestų plėtros bei nustojusio mažėti gimstamumo dalyje savivaldybių ikimokyklinio ugdymo įstaigos negali priimti visų norinčių vaikų, dauguma valstybinių ikimokyklinio ugdymo įstaigų yra prastos būklės, naudoja pasenusias ugdymo priemones ir dėl to negali užtikrinti kokybiško ir prieinamo vaikų ikimokyklinio ir priešmokyklinio ugdymo.</w:t>
            </w:r>
          </w:p>
          <w:p w:rsidR="00385835" w:rsidRPr="00385835" w:rsidRDefault="00385835" w:rsidP="00385835">
            <w:pPr>
              <w:spacing w:after="0" w:line="240" w:lineRule="auto"/>
              <w:ind w:firstLine="624"/>
              <w:jc w:val="both"/>
              <w:rPr>
                <w:rFonts w:ascii="Times New Roman" w:hAnsi="Times New Roman"/>
                <w:sz w:val="24"/>
                <w:szCs w:val="24"/>
              </w:rPr>
            </w:pPr>
            <w:r w:rsidRPr="00385835">
              <w:rPr>
                <w:rFonts w:ascii="Times New Roman" w:eastAsia="AngsanaUPC" w:hAnsi="Times New Roman"/>
                <w:bCs/>
                <w:sz w:val="24"/>
                <w:szCs w:val="24"/>
                <w:lang w:eastAsia="lt-LT"/>
              </w:rPr>
              <w:t xml:space="preserve">2014–2020 m. laikotarpiu bus padidintas kokybiško bendrojo ugdymo ir neformaliojo ugdymo prieinamumas vaikams nepriklausomai nuo jų gyvenamos vietos, remiant valstybės ir savivaldybių iniciatyvas ir įsipareigojimus didinti įstaigų tinklo efektyvumą ir prieinamumą kaimo vietovėse taip, kad visiems būtų sudarytos sąlygos gauti kokybiškas ir prieinamas švietimo paslaugas nepriklausomai nuo gyvenamosios vietos. Didesnė dalis bendrojo ugdymo mokinių mokysis modernizuotose kokybišką ugdymą užtikrinančiose, patogiai pasiekiamose įstaigose. Panaudojant uždaviniui skirtas lėšas bus pagerintos ugdymo sąlygos vaikų socializacijos </w:t>
            </w:r>
            <w:r w:rsidRPr="00385835">
              <w:rPr>
                <w:rFonts w:ascii="Times New Roman" w:eastAsia="AngsanaUPC" w:hAnsi="Times New Roman"/>
                <w:bCs/>
                <w:sz w:val="24"/>
                <w:szCs w:val="24"/>
                <w:lang w:eastAsia="lt-LT"/>
              </w:rPr>
              <w:lastRenderedPageBreak/>
              <w:t>centruose. Taip pat bus išplėsta ikimokyklinio ir priešmokyklinio ugdymo aprėptis, kad kokybiškos paslaugos būtų prieinamos greta namų ar tėvų darboviečių.</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522"/>
        <w:gridCol w:w="1784"/>
        <w:gridCol w:w="1006"/>
        <w:gridCol w:w="1075"/>
        <w:gridCol w:w="1026"/>
        <w:gridCol w:w="949"/>
        <w:gridCol w:w="848"/>
        <w:gridCol w:w="1301"/>
        <w:gridCol w:w="1235"/>
      </w:tblGrid>
      <w:tr w:rsidR="00385835" w:rsidRPr="00385835" w:rsidTr="0056304C">
        <w:tc>
          <w:tcPr>
            <w:tcW w:w="9746" w:type="dxa"/>
            <w:gridSpan w:val="9"/>
            <w:shd w:val="clear" w:color="auto" w:fill="EEECE1" w:themeFill="background2"/>
          </w:tcPr>
          <w:p w:rsidR="00385835" w:rsidRPr="00385835" w:rsidRDefault="00385835" w:rsidP="00385835">
            <w:pPr>
              <w:widowControl w:val="0"/>
              <w:tabs>
                <w:tab w:val="left" w:pos="622"/>
              </w:tabs>
              <w:spacing w:after="0" w:line="240" w:lineRule="auto"/>
              <w:jc w:val="both"/>
              <w:rPr>
                <w:rFonts w:ascii="Times New Roman" w:eastAsia="AngsanaUPC" w:hAnsi="Times New Roman"/>
                <w:b/>
                <w:bCs/>
                <w:i/>
                <w:iCs/>
                <w:sz w:val="24"/>
                <w:szCs w:val="24"/>
                <w:lang w:eastAsia="lt-LT"/>
              </w:rPr>
            </w:pPr>
            <w:r w:rsidRPr="00385835">
              <w:rPr>
                <w:rFonts w:ascii="Times New Roman" w:eastAsia="AngsanaUPC" w:hAnsi="Times New Roman"/>
                <w:b/>
                <w:bCs/>
                <w:i/>
                <w:iCs/>
                <w:sz w:val="24"/>
                <w:szCs w:val="24"/>
                <w:lang w:eastAsia="lt-LT"/>
              </w:rPr>
              <w:t xml:space="preserve">ERPF </w:t>
            </w:r>
            <w:r w:rsidR="006827C9">
              <w:rPr>
                <w:rFonts w:ascii="Times New Roman" w:eastAsia="AngsanaUPC" w:hAnsi="Times New Roman"/>
                <w:b/>
                <w:bCs/>
                <w:i/>
                <w:iCs/>
                <w:sz w:val="24"/>
                <w:szCs w:val="24"/>
                <w:lang w:eastAsia="lt-LT"/>
              </w:rPr>
              <w:t>specialieji</w:t>
            </w:r>
            <w:r w:rsidR="006827C9" w:rsidRPr="00385835">
              <w:rPr>
                <w:rFonts w:ascii="Times New Roman" w:eastAsia="AngsanaUPC" w:hAnsi="Times New Roman"/>
                <w:b/>
                <w:bCs/>
                <w:i/>
                <w:iCs/>
                <w:sz w:val="24"/>
                <w:szCs w:val="24"/>
                <w:lang w:eastAsia="lt-LT"/>
              </w:rPr>
              <w:t xml:space="preserve"> </w:t>
            </w:r>
            <w:r w:rsidRPr="00385835">
              <w:rPr>
                <w:rFonts w:ascii="Times New Roman" w:eastAsia="AngsanaUPC" w:hAnsi="Times New Roman"/>
                <w:b/>
                <w:bCs/>
                <w:i/>
                <w:iCs/>
                <w:sz w:val="24"/>
                <w:szCs w:val="24"/>
                <w:lang w:eastAsia="lt-LT"/>
              </w:rPr>
              <w:t>programos rezultato rodikliai</w:t>
            </w:r>
          </w:p>
        </w:tc>
      </w:tr>
      <w:tr w:rsidR="00385835" w:rsidRPr="00385835" w:rsidTr="0056304C">
        <w:tblPrEx>
          <w:shd w:val="clear" w:color="auto" w:fill="auto"/>
        </w:tblPrEx>
        <w:trPr>
          <w:cantSplit/>
          <w:trHeight w:val="737"/>
        </w:trPr>
        <w:tc>
          <w:tcPr>
            <w:tcW w:w="522" w:type="dxa"/>
            <w:shd w:val="clear" w:color="auto" w:fill="EEECE1" w:themeFill="background2"/>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Nr.</w:t>
            </w:r>
          </w:p>
        </w:tc>
        <w:tc>
          <w:tcPr>
            <w:tcW w:w="1784" w:type="dxa"/>
            <w:shd w:val="clear" w:color="auto" w:fill="EEECE1" w:themeFill="background2"/>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Rodiklio pavadinimas</w:t>
            </w:r>
          </w:p>
        </w:tc>
        <w:tc>
          <w:tcPr>
            <w:tcW w:w="1006" w:type="dxa"/>
            <w:shd w:val="clear" w:color="auto" w:fill="EEECE1" w:themeFill="background2"/>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Matavimo vienetas</w:t>
            </w:r>
          </w:p>
        </w:tc>
        <w:tc>
          <w:tcPr>
            <w:tcW w:w="1075" w:type="dxa"/>
            <w:shd w:val="clear" w:color="auto" w:fill="EEECE1" w:themeFill="background2"/>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Regiono kategorija</w:t>
            </w:r>
          </w:p>
        </w:tc>
        <w:tc>
          <w:tcPr>
            <w:tcW w:w="1026" w:type="dxa"/>
            <w:shd w:val="clear" w:color="auto" w:fill="EEECE1" w:themeFill="background2"/>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 reikšmė</w:t>
            </w:r>
          </w:p>
        </w:tc>
        <w:tc>
          <w:tcPr>
            <w:tcW w:w="949" w:type="dxa"/>
            <w:shd w:val="clear" w:color="auto" w:fill="EEECE1" w:themeFill="background2"/>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Pradinės reikšmės metai</w:t>
            </w:r>
          </w:p>
        </w:tc>
        <w:tc>
          <w:tcPr>
            <w:tcW w:w="848" w:type="dxa"/>
            <w:shd w:val="clear" w:color="auto" w:fill="EEECE1" w:themeFill="background2"/>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Siektina reikšmė (2023)</w:t>
            </w:r>
          </w:p>
        </w:tc>
        <w:tc>
          <w:tcPr>
            <w:tcW w:w="1301" w:type="dxa"/>
            <w:shd w:val="clear" w:color="auto" w:fill="EEECE1" w:themeFill="background2"/>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Duomenų šaltinis</w:t>
            </w:r>
          </w:p>
        </w:tc>
        <w:tc>
          <w:tcPr>
            <w:tcW w:w="1235" w:type="dxa"/>
            <w:shd w:val="clear" w:color="auto" w:fill="EEECE1" w:themeFill="background2"/>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Atsiskaitymo dažnumas</w:t>
            </w:r>
          </w:p>
        </w:tc>
      </w:tr>
      <w:tr w:rsidR="00385835" w:rsidRPr="00385835" w:rsidTr="00385835">
        <w:tblPrEx>
          <w:shd w:val="clear" w:color="auto" w:fill="auto"/>
        </w:tblPrEx>
        <w:tc>
          <w:tcPr>
            <w:tcW w:w="522"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w:t>
            </w:r>
          </w:p>
        </w:tc>
        <w:tc>
          <w:tcPr>
            <w:tcW w:w="1784" w:type="dxa"/>
            <w:shd w:val="clear" w:color="auto" w:fill="auto"/>
          </w:tcPr>
          <w:p w:rsidR="00385835" w:rsidRPr="00385835" w:rsidDel="00B22B8B" w:rsidRDefault="00385835" w:rsidP="00385835">
            <w:pPr>
              <w:spacing w:after="0" w:line="240" w:lineRule="auto"/>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 xml:space="preserve">Bendrojo ugdymo </w:t>
            </w:r>
            <w:r w:rsidRPr="00385835">
              <w:rPr>
                <w:rFonts w:ascii="Times New Roman" w:hAnsi="Times New Roman"/>
                <w:sz w:val="18"/>
                <w:szCs w:val="18"/>
              </w:rPr>
              <w:t>mokinių, kurie mokosi bent už 289 tūkst. eurų pagal veiksmų programą ERPF lėšomis atnaujintose įstaigose, dalis</w:t>
            </w:r>
          </w:p>
        </w:tc>
        <w:tc>
          <w:tcPr>
            <w:tcW w:w="1006" w:type="dxa"/>
            <w:shd w:val="clear" w:color="auto" w:fill="auto"/>
            <w:vAlign w:val="center"/>
          </w:tcPr>
          <w:p w:rsidR="00385835" w:rsidRPr="00385835" w:rsidRDefault="00385835" w:rsidP="00385835">
            <w:pPr>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Proc.</w:t>
            </w:r>
          </w:p>
        </w:tc>
        <w:tc>
          <w:tcPr>
            <w:tcW w:w="1075"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Mažiau išsivystęs</w:t>
            </w:r>
          </w:p>
        </w:tc>
        <w:tc>
          <w:tcPr>
            <w:tcW w:w="1026"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36,14</w:t>
            </w:r>
          </w:p>
        </w:tc>
        <w:tc>
          <w:tcPr>
            <w:tcW w:w="949"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2012</w:t>
            </w:r>
          </w:p>
        </w:tc>
        <w:tc>
          <w:tcPr>
            <w:tcW w:w="848"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48</w:t>
            </w:r>
          </w:p>
        </w:tc>
        <w:tc>
          <w:tcPr>
            <w:tcW w:w="1301" w:type="dxa"/>
            <w:shd w:val="clear" w:color="auto" w:fill="auto"/>
            <w:vAlign w:val="center"/>
          </w:tcPr>
          <w:p w:rsidR="00385835" w:rsidRPr="00385835" w:rsidRDefault="00385835" w:rsidP="00385835">
            <w:pPr>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Švietimo valdymo informacinė sistema, duomenys iš projektų</w:t>
            </w:r>
          </w:p>
        </w:tc>
        <w:tc>
          <w:tcPr>
            <w:tcW w:w="1235"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385835" w:rsidRPr="00385835" w:rsidTr="00385835">
        <w:tblPrEx>
          <w:shd w:val="clear" w:color="auto" w:fill="auto"/>
        </w:tblPrEx>
        <w:tc>
          <w:tcPr>
            <w:tcW w:w="522"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w:t>
            </w:r>
          </w:p>
        </w:tc>
        <w:tc>
          <w:tcPr>
            <w:tcW w:w="1784" w:type="dxa"/>
            <w:shd w:val="clear" w:color="auto" w:fill="auto"/>
          </w:tcPr>
          <w:p w:rsidR="00385835" w:rsidRPr="00385835" w:rsidDel="00B22B8B" w:rsidRDefault="00DA1631" w:rsidP="00385835">
            <w:pPr>
              <w:spacing w:after="0" w:line="240" w:lineRule="auto"/>
              <w:rPr>
                <w:rFonts w:ascii="Times New Roman" w:eastAsia="AngsanaUPC" w:hAnsi="Times New Roman"/>
                <w:bCs/>
                <w:iCs/>
                <w:sz w:val="18"/>
                <w:szCs w:val="18"/>
                <w:lang w:eastAsia="lt-LT"/>
              </w:rPr>
            </w:pPr>
            <w:r>
              <w:rPr>
                <w:rFonts w:ascii="Times New Roman" w:eastAsia="AngsanaUPC" w:hAnsi="Times New Roman"/>
                <w:bCs/>
                <w:iCs/>
                <w:sz w:val="18"/>
                <w:szCs w:val="18"/>
                <w:lang w:eastAsia="lt-LT"/>
              </w:rPr>
              <w:t>1–</w:t>
            </w:r>
            <w:r w:rsidR="00385835" w:rsidRPr="00385835">
              <w:rPr>
                <w:rFonts w:ascii="Times New Roman" w:eastAsia="AngsanaUPC" w:hAnsi="Times New Roman"/>
                <w:bCs/>
                <w:iCs/>
                <w:sz w:val="18"/>
                <w:szCs w:val="18"/>
                <w:lang w:eastAsia="lt-LT"/>
              </w:rPr>
              <w:t xml:space="preserve">6 metų vaikų, ugdomų pagal veiksmų programą ERPF lėšomis atnaujintose ikimokyklinio ir priešmokyklinio ugdymo įstaigose, dalis </w:t>
            </w:r>
          </w:p>
        </w:tc>
        <w:tc>
          <w:tcPr>
            <w:tcW w:w="1006" w:type="dxa"/>
            <w:shd w:val="clear" w:color="auto" w:fill="auto"/>
            <w:vAlign w:val="center"/>
          </w:tcPr>
          <w:p w:rsidR="00385835" w:rsidRPr="00385835" w:rsidRDefault="00385835" w:rsidP="00385835">
            <w:pPr>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Proc.</w:t>
            </w:r>
          </w:p>
        </w:tc>
        <w:tc>
          <w:tcPr>
            <w:tcW w:w="1075"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Mažiau išsivystęs</w:t>
            </w:r>
          </w:p>
        </w:tc>
        <w:tc>
          <w:tcPr>
            <w:tcW w:w="1026"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25</w:t>
            </w:r>
          </w:p>
        </w:tc>
        <w:tc>
          <w:tcPr>
            <w:tcW w:w="949"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2014</w:t>
            </w:r>
          </w:p>
        </w:tc>
        <w:tc>
          <w:tcPr>
            <w:tcW w:w="848"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46</w:t>
            </w:r>
          </w:p>
        </w:tc>
        <w:tc>
          <w:tcPr>
            <w:tcW w:w="1301" w:type="dxa"/>
            <w:shd w:val="clear" w:color="auto" w:fill="auto"/>
            <w:vAlign w:val="center"/>
          </w:tcPr>
          <w:p w:rsidR="00385835" w:rsidRPr="00385835" w:rsidRDefault="00385835" w:rsidP="00385835">
            <w:pPr>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Lietuvos statistikos departamentas, duomenys iš projektų</w:t>
            </w:r>
            <w:proofErr w:type="gramStart"/>
            <w:r w:rsidRPr="00385835">
              <w:rPr>
                <w:rFonts w:ascii="Times New Roman" w:eastAsia="AngsanaUPC" w:hAnsi="Times New Roman"/>
                <w:bCs/>
                <w:iCs/>
                <w:sz w:val="18"/>
                <w:szCs w:val="18"/>
                <w:lang w:eastAsia="lt-LT"/>
              </w:rPr>
              <w:t xml:space="preserve">  </w:t>
            </w:r>
            <w:proofErr w:type="gramEnd"/>
          </w:p>
        </w:tc>
        <w:tc>
          <w:tcPr>
            <w:tcW w:w="1235"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385835" w:rsidRPr="00385835" w:rsidTr="00385835">
        <w:tc>
          <w:tcPr>
            <w:tcW w:w="9746" w:type="dxa"/>
            <w:tcBorders>
              <w:top w:val="single" w:sz="4" w:space="0" w:color="auto"/>
              <w:left w:val="single" w:sz="4" w:space="0" w:color="auto"/>
              <w:bottom w:val="single" w:sz="4" w:space="0" w:color="auto"/>
              <w:right w:val="single" w:sz="4" w:space="0" w:color="auto"/>
            </w:tcBorders>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Cs/>
                <w:iCs/>
                <w:sz w:val="24"/>
                <w:szCs w:val="24"/>
                <w:lang w:eastAsia="lt-LT"/>
              </w:rPr>
            </w:pPr>
            <w:r w:rsidRPr="00385835">
              <w:rPr>
                <w:rFonts w:ascii="Times New Roman" w:eastAsia="AngsanaUPC" w:hAnsi="Times New Roman"/>
                <w:b/>
                <w:bCs/>
                <w:i/>
                <w:iCs/>
                <w:sz w:val="24"/>
                <w:szCs w:val="24"/>
                <w:lang w:eastAsia="lt-LT"/>
              </w:rPr>
              <w:t>9.1. Investicinio prioriteto įgyvendinimo veiklos</w:t>
            </w:r>
          </w:p>
        </w:tc>
      </w:tr>
      <w:tr w:rsidR="00385835" w:rsidRPr="00385835" w:rsidTr="00385835">
        <w:tc>
          <w:tcPr>
            <w:tcW w:w="9746" w:type="dxa"/>
            <w:shd w:val="clear" w:color="auto" w:fill="auto"/>
          </w:tcPr>
          <w:p w:rsidR="00385835" w:rsidRPr="00385835" w:rsidRDefault="00385835" w:rsidP="00385835">
            <w:pPr>
              <w:widowControl w:val="0"/>
              <w:tabs>
                <w:tab w:val="left" w:pos="459"/>
              </w:tabs>
              <w:spacing w:after="0" w:line="240" w:lineRule="auto"/>
              <w:ind w:left="34"/>
              <w:jc w:val="both"/>
              <w:rPr>
                <w:rFonts w:ascii="Times New Roman" w:hAnsi="Times New Roman"/>
                <w:i/>
                <w:color w:val="1F1A17"/>
                <w:sz w:val="24"/>
                <w:szCs w:val="24"/>
              </w:rPr>
            </w:pPr>
            <w:r w:rsidRPr="00385835">
              <w:rPr>
                <w:rFonts w:ascii="Times New Roman" w:hAnsi="Times New Roman"/>
                <w:i/>
                <w:color w:val="1F1A17"/>
                <w:sz w:val="24"/>
                <w:szCs w:val="24"/>
              </w:rPr>
              <w:t>9.1.1 konkretaus uždavinio veiklos:</w:t>
            </w:r>
          </w:p>
          <w:p w:rsidR="00385835" w:rsidRPr="00385835" w:rsidRDefault="00385835" w:rsidP="00650E41">
            <w:pPr>
              <w:numPr>
                <w:ilvl w:val="0"/>
                <w:numId w:val="31"/>
              </w:numPr>
              <w:tabs>
                <w:tab w:val="left" w:pos="459"/>
              </w:tabs>
              <w:spacing w:after="0" w:line="240" w:lineRule="auto"/>
              <w:ind w:left="34" w:firstLine="0"/>
              <w:jc w:val="both"/>
              <w:rPr>
                <w:rFonts w:ascii="Times New Roman" w:hAnsi="Times New Roman"/>
                <w:bCs/>
                <w:iCs/>
                <w:color w:val="1F1A17"/>
                <w:sz w:val="24"/>
                <w:szCs w:val="24"/>
              </w:rPr>
            </w:pPr>
            <w:r w:rsidRPr="00385835">
              <w:rPr>
                <w:rFonts w:ascii="Times New Roman" w:hAnsi="Times New Roman"/>
                <w:bCs/>
                <w:iCs/>
                <w:color w:val="1F1A17"/>
                <w:sz w:val="24"/>
                <w:szCs w:val="24"/>
              </w:rPr>
              <w:t>Mokslo ir studijų institucijų infrastruktūros koncentravimas, studijų aplinkos modernizavimas, dėstytojų darbo ir studijų aplinkos tobulinimas bei technologinis aprūpinimas, studijoms skirta įranga, bendro naudojimo studijų infrastruktūra.</w:t>
            </w:r>
          </w:p>
          <w:p w:rsidR="00385835" w:rsidRPr="00385835" w:rsidRDefault="00385835" w:rsidP="00650E41">
            <w:pPr>
              <w:numPr>
                <w:ilvl w:val="0"/>
                <w:numId w:val="18"/>
              </w:numPr>
              <w:tabs>
                <w:tab w:val="left" w:pos="459"/>
                <w:tab w:val="num" w:pos="1125"/>
              </w:tabs>
              <w:spacing w:after="0" w:line="240" w:lineRule="auto"/>
              <w:ind w:left="34" w:firstLine="0"/>
              <w:contextualSpacing/>
              <w:jc w:val="both"/>
              <w:rPr>
                <w:rFonts w:ascii="Times New Roman" w:hAnsi="Times New Roman"/>
                <w:bCs/>
                <w:iCs/>
                <w:color w:val="1F1A17"/>
                <w:sz w:val="24"/>
                <w:szCs w:val="24"/>
              </w:rPr>
            </w:pPr>
            <w:r w:rsidRPr="00385835">
              <w:rPr>
                <w:rFonts w:ascii="Times New Roman" w:hAnsi="Times New Roman"/>
                <w:bCs/>
                <w:iCs/>
                <w:color w:val="1F1A17"/>
                <w:sz w:val="24"/>
                <w:szCs w:val="24"/>
              </w:rPr>
              <w:t xml:space="preserve">Fizinės infrastruktūros, reikalingos švietimo informacinėms sistemoms, švietimo nacionaliniams registrams ar duomenų bazėms funkcionuoti, plėtra. </w:t>
            </w:r>
          </w:p>
          <w:p w:rsidR="00385835" w:rsidRPr="00385835" w:rsidRDefault="00385835" w:rsidP="00DA1631">
            <w:pPr>
              <w:tabs>
                <w:tab w:val="left" w:pos="459"/>
                <w:tab w:val="left" w:pos="543"/>
              </w:tabs>
              <w:spacing w:after="0" w:line="240" w:lineRule="auto"/>
              <w:jc w:val="both"/>
              <w:rPr>
                <w:rFonts w:ascii="Times New Roman" w:hAnsi="Times New Roman"/>
                <w:i/>
                <w:sz w:val="24"/>
                <w:szCs w:val="24"/>
                <w:lang w:eastAsia="lt-LT"/>
              </w:rPr>
            </w:pPr>
            <w:r w:rsidRPr="00385835">
              <w:rPr>
                <w:rFonts w:ascii="Times New Roman" w:hAnsi="Times New Roman"/>
                <w:bCs/>
                <w:i/>
                <w:iCs/>
                <w:color w:val="222222"/>
                <w:sz w:val="24"/>
                <w:szCs w:val="24"/>
                <w:shd w:val="clear" w:color="auto" w:fill="FFFFFF"/>
              </w:rPr>
              <w:t>9.1.2 konkretaus uždavinio veiklos:</w:t>
            </w:r>
          </w:p>
          <w:p w:rsidR="00385835" w:rsidRPr="00385835" w:rsidRDefault="00385835" w:rsidP="00650E41">
            <w:pPr>
              <w:numPr>
                <w:ilvl w:val="0"/>
                <w:numId w:val="31"/>
              </w:numPr>
              <w:tabs>
                <w:tab w:val="left" w:pos="459"/>
              </w:tabs>
              <w:spacing w:after="0" w:line="240" w:lineRule="auto"/>
              <w:ind w:left="34" w:firstLine="0"/>
              <w:jc w:val="both"/>
              <w:rPr>
                <w:rFonts w:ascii="Times New Roman" w:eastAsia="Times New Roman" w:hAnsi="Times New Roman"/>
                <w:bCs/>
                <w:iCs/>
                <w:sz w:val="24"/>
                <w:szCs w:val="24"/>
                <w:lang w:eastAsia="lt-LT"/>
              </w:rPr>
            </w:pPr>
            <w:r w:rsidRPr="00385835">
              <w:rPr>
                <w:rFonts w:ascii="Times New Roman" w:eastAsia="Times New Roman" w:hAnsi="Times New Roman"/>
                <w:bCs/>
                <w:iCs/>
                <w:sz w:val="24"/>
                <w:szCs w:val="24"/>
                <w:lang w:eastAsia="lt-LT"/>
              </w:rPr>
              <w:t xml:space="preserve">Sektorinių praktinio mokymo centrų plėtra, investicijos į sektorinius centrus turinčių profesinio mokymo įstaigų bendrabučius, kad juose galėtų apsistoti mokiniai iš kitų įstaigų ir tęstinio mokymosi programų dalyviai ir kitas susijusias </w:t>
            </w:r>
            <w:r w:rsidRPr="00385835">
              <w:rPr>
                <w:rFonts w:ascii="Times New Roman" w:eastAsia="AngsanaUPC" w:hAnsi="Times New Roman"/>
                <w:bCs/>
                <w:sz w:val="24"/>
                <w:szCs w:val="24"/>
                <w:lang w:eastAsia="lt-LT"/>
              </w:rPr>
              <w:t xml:space="preserve">centrų </w:t>
            </w:r>
            <w:r w:rsidRPr="00385835">
              <w:rPr>
                <w:rFonts w:ascii="Times New Roman" w:eastAsia="Times New Roman" w:hAnsi="Times New Roman"/>
                <w:bCs/>
                <w:iCs/>
                <w:sz w:val="24"/>
                <w:szCs w:val="24"/>
                <w:lang w:eastAsia="lt-LT"/>
              </w:rPr>
              <w:t>švietimo erdves.</w:t>
            </w:r>
          </w:p>
          <w:p w:rsidR="00385835" w:rsidRPr="00385835" w:rsidRDefault="00385835" w:rsidP="00650E41">
            <w:pPr>
              <w:numPr>
                <w:ilvl w:val="0"/>
                <w:numId w:val="31"/>
              </w:numPr>
              <w:tabs>
                <w:tab w:val="left" w:pos="459"/>
              </w:tabs>
              <w:spacing w:after="0" w:line="240" w:lineRule="auto"/>
              <w:ind w:left="34" w:firstLine="0"/>
              <w:jc w:val="both"/>
              <w:rPr>
                <w:rFonts w:ascii="Times New Roman" w:eastAsia="Times New Roman" w:hAnsi="Times New Roman"/>
                <w:bCs/>
                <w:iCs/>
                <w:sz w:val="24"/>
                <w:szCs w:val="24"/>
                <w:lang w:eastAsia="lt-LT"/>
              </w:rPr>
            </w:pPr>
            <w:r w:rsidRPr="00385835">
              <w:rPr>
                <w:rFonts w:ascii="Times New Roman" w:eastAsia="Times New Roman" w:hAnsi="Times New Roman"/>
                <w:bCs/>
                <w:iCs/>
                <w:sz w:val="24"/>
                <w:szCs w:val="24"/>
                <w:lang w:eastAsia="lt-LT"/>
              </w:rPr>
              <w:t>Infrastruktūros reikalingos kokybiškai įgyvendinti bazinius profesinio mokymo modulius profesinio mokymo įstaigose, kuriose nėra sektorinio praktinio mokymo centro, plėtra.</w:t>
            </w:r>
          </w:p>
          <w:p w:rsidR="00385835" w:rsidRPr="00385835" w:rsidRDefault="00385835" w:rsidP="00DA1631">
            <w:pPr>
              <w:tabs>
                <w:tab w:val="left" w:pos="459"/>
                <w:tab w:val="left" w:pos="543"/>
              </w:tabs>
              <w:spacing w:after="0" w:line="240" w:lineRule="auto"/>
              <w:jc w:val="both"/>
              <w:rPr>
                <w:rFonts w:ascii="Times New Roman" w:hAnsi="Times New Roman"/>
                <w:i/>
                <w:sz w:val="24"/>
                <w:szCs w:val="24"/>
                <w:lang w:eastAsia="lt-LT"/>
              </w:rPr>
            </w:pPr>
            <w:r w:rsidRPr="00385835">
              <w:rPr>
                <w:rFonts w:ascii="Times New Roman" w:hAnsi="Times New Roman"/>
                <w:bCs/>
                <w:i/>
                <w:iCs/>
                <w:color w:val="222222"/>
                <w:sz w:val="24"/>
                <w:szCs w:val="24"/>
                <w:shd w:val="clear" w:color="auto" w:fill="FFFFFF"/>
              </w:rPr>
              <w:t>9.1.3 konkretaus uždavinio veiklos:</w:t>
            </w:r>
          </w:p>
          <w:p w:rsidR="00385835" w:rsidRPr="00385835" w:rsidRDefault="00385835" w:rsidP="00650E41">
            <w:pPr>
              <w:numPr>
                <w:ilvl w:val="0"/>
                <w:numId w:val="31"/>
              </w:numPr>
              <w:tabs>
                <w:tab w:val="left" w:pos="459"/>
              </w:tabs>
              <w:spacing w:after="0" w:line="240" w:lineRule="auto"/>
              <w:ind w:left="34" w:firstLine="0"/>
              <w:jc w:val="both"/>
              <w:rPr>
                <w:rFonts w:ascii="Times New Roman" w:eastAsia="Times New Roman" w:hAnsi="Times New Roman"/>
                <w:bCs/>
                <w:iCs/>
                <w:sz w:val="24"/>
                <w:szCs w:val="24"/>
                <w:lang w:eastAsia="lt-LT"/>
              </w:rPr>
            </w:pPr>
            <w:r w:rsidRPr="00385835">
              <w:rPr>
                <w:rFonts w:ascii="Times New Roman" w:eastAsia="Times New Roman" w:hAnsi="Times New Roman"/>
                <w:bCs/>
                <w:iCs/>
                <w:sz w:val="24"/>
                <w:szCs w:val="24"/>
                <w:lang w:eastAsia="lt-LT"/>
              </w:rPr>
              <w:t xml:space="preserve">Valstybės ir </w:t>
            </w:r>
            <w:r w:rsidR="004056A1">
              <w:rPr>
                <w:rFonts w:ascii="Times New Roman" w:eastAsia="Times New Roman" w:hAnsi="Times New Roman"/>
                <w:bCs/>
                <w:iCs/>
                <w:sz w:val="24"/>
                <w:szCs w:val="24"/>
                <w:lang w:eastAsia="lt-LT"/>
              </w:rPr>
              <w:t xml:space="preserve">savivaldybių iniciatyvų rėmimas, </w:t>
            </w:r>
            <w:r w:rsidRPr="00385835">
              <w:rPr>
                <w:rFonts w:ascii="Times New Roman" w:eastAsia="Times New Roman" w:hAnsi="Times New Roman"/>
                <w:bCs/>
                <w:iCs/>
                <w:sz w:val="24"/>
                <w:szCs w:val="24"/>
                <w:lang w:eastAsia="lt-LT"/>
              </w:rPr>
              <w:t>tobulinant ikimokyklinio ugdymo įstaigų, pradinio, pagrindinio ir progimnazijų, gimnazijų tipo mokyklų tinklą ir gerinant ugdymo kokybę per pastatų, ugdymo priemonių ir aplinkos modernizavimą</w:t>
            </w:r>
            <w:r w:rsidR="004056A1">
              <w:rPr>
                <w:rFonts w:ascii="Times New Roman" w:eastAsia="Times New Roman" w:hAnsi="Times New Roman"/>
                <w:bCs/>
                <w:iCs/>
                <w:sz w:val="24"/>
                <w:szCs w:val="24"/>
                <w:lang w:eastAsia="lt-LT"/>
              </w:rPr>
              <w:t>,</w:t>
            </w:r>
            <w:r w:rsidRPr="00385835">
              <w:rPr>
                <w:rFonts w:ascii="Times New Roman" w:eastAsia="Times New Roman" w:hAnsi="Times New Roman"/>
                <w:bCs/>
                <w:iCs/>
                <w:sz w:val="24"/>
                <w:szCs w:val="24"/>
                <w:lang w:eastAsia="lt-LT"/>
              </w:rPr>
              <w:t xml:space="preserve"> skiriant didelį dėmesį kūrybiškumą skatinančiai ugdymo(si) aplinkai, užtikrinant vaikų saugumą ir pritaikant nenaudojamas švietimo įstaigų patalpas kitoms švietimo reikmėms </w:t>
            </w:r>
            <w:proofErr w:type="gramStart"/>
            <w:r w:rsidRPr="00385835">
              <w:rPr>
                <w:rFonts w:ascii="Times New Roman" w:eastAsia="Times New Roman" w:hAnsi="Times New Roman"/>
                <w:bCs/>
                <w:iCs/>
                <w:sz w:val="24"/>
                <w:szCs w:val="24"/>
                <w:lang w:eastAsia="lt-LT"/>
              </w:rPr>
              <w:t>(</w:t>
            </w:r>
            <w:proofErr w:type="gramEnd"/>
            <w:r w:rsidR="00686878">
              <w:rPr>
                <w:rFonts w:ascii="Times New Roman" w:eastAsia="Times New Roman" w:hAnsi="Times New Roman"/>
                <w:bCs/>
                <w:iCs/>
                <w:sz w:val="24"/>
                <w:szCs w:val="24"/>
                <w:lang w:eastAsia="lt-LT"/>
              </w:rPr>
              <w:t>pavyzdžiui</w:t>
            </w:r>
            <w:r w:rsidRPr="00385835">
              <w:rPr>
                <w:rFonts w:ascii="Times New Roman" w:eastAsia="Times New Roman" w:hAnsi="Times New Roman"/>
                <w:bCs/>
                <w:iCs/>
                <w:sz w:val="24"/>
                <w:szCs w:val="24"/>
                <w:lang w:eastAsia="lt-LT"/>
              </w:rPr>
              <w:t>, ikimokykliniam ir kitam neformaliam ugdymui, suaugusiųjų mokymuisi). Prioritetas bus teikiamas kompleksinėms investicijoms į demografiniu požiūriu perspektyvių mokyklų infrastruktūrą kartu su jų steigėjų įsipareigojimu užtikrinti patogų pasiekiamumą ir prieinamumą kaimo vietovėse. Atsižvelgiant į tinklo pertvarkas</w:t>
            </w:r>
            <w:r w:rsidR="004056A1">
              <w:rPr>
                <w:rFonts w:ascii="Times New Roman" w:eastAsia="Times New Roman" w:hAnsi="Times New Roman"/>
                <w:bCs/>
                <w:iCs/>
                <w:sz w:val="24"/>
                <w:szCs w:val="24"/>
                <w:lang w:eastAsia="lt-LT"/>
              </w:rPr>
              <w:t>,</w:t>
            </w:r>
            <w:r w:rsidRPr="00385835">
              <w:rPr>
                <w:rFonts w:ascii="Times New Roman" w:eastAsia="Times New Roman" w:hAnsi="Times New Roman"/>
                <w:bCs/>
                <w:iCs/>
                <w:sz w:val="24"/>
                <w:szCs w:val="24"/>
                <w:lang w:eastAsia="lt-LT"/>
              </w:rPr>
              <w:t xml:space="preserve"> bus įsigyjamos transporto priemonės palengvinančios įstaigų pasiekiamumą atokiau kaimo vietovėse gyvenantiems mokiniams ir švietimo darbuotojams. </w:t>
            </w:r>
          </w:p>
          <w:p w:rsidR="00385835" w:rsidRPr="00385835" w:rsidRDefault="00385835" w:rsidP="00650E41">
            <w:pPr>
              <w:numPr>
                <w:ilvl w:val="0"/>
                <w:numId w:val="31"/>
              </w:numPr>
              <w:tabs>
                <w:tab w:val="left" w:pos="459"/>
              </w:tabs>
              <w:spacing w:after="0" w:line="240" w:lineRule="auto"/>
              <w:ind w:left="34" w:firstLine="0"/>
              <w:jc w:val="both"/>
              <w:rPr>
                <w:rFonts w:ascii="Times New Roman" w:eastAsia="Times New Roman" w:hAnsi="Times New Roman"/>
                <w:bCs/>
                <w:iCs/>
                <w:sz w:val="24"/>
                <w:szCs w:val="24"/>
                <w:lang w:eastAsia="lt-LT"/>
              </w:rPr>
            </w:pPr>
            <w:r w:rsidRPr="00385835">
              <w:rPr>
                <w:rFonts w:ascii="Times New Roman" w:eastAsia="Times New Roman" w:hAnsi="Times New Roman"/>
                <w:bCs/>
                <w:iCs/>
                <w:sz w:val="24"/>
                <w:szCs w:val="24"/>
                <w:lang w:eastAsia="lt-LT"/>
              </w:rPr>
              <w:t>Ugdymo kokybės gerinimas bendrojo ugdymo įstaigose, diegiant modernias švietimo technologijas ugdymo turiniui perteikti, demonstruoti ir komunikuoti, įsteigiant ar modernizuojant mokyklines gamtos mokslų laboratorijas ir kitas specializuotas klases ar kabinetus, su šiuolaikišk</w:t>
            </w:r>
            <w:r w:rsidR="004056A1">
              <w:rPr>
                <w:rFonts w:ascii="Times New Roman" w:eastAsia="Times New Roman" w:hAnsi="Times New Roman"/>
                <w:bCs/>
                <w:iCs/>
                <w:sz w:val="24"/>
                <w:szCs w:val="24"/>
                <w:lang w:eastAsia="lt-LT"/>
              </w:rPr>
              <w:t>omis mokytojų darbo vietomis,</w:t>
            </w:r>
            <w:r w:rsidR="00CE0486">
              <w:rPr>
                <w:rFonts w:ascii="Times New Roman" w:eastAsia="Times New Roman" w:hAnsi="Times New Roman"/>
                <w:bCs/>
                <w:iCs/>
                <w:sz w:val="24"/>
                <w:szCs w:val="24"/>
                <w:lang w:eastAsia="lt-LT"/>
              </w:rPr>
              <w:t xml:space="preserve"> </w:t>
            </w:r>
            <w:r w:rsidRPr="00385835">
              <w:rPr>
                <w:rFonts w:ascii="Times New Roman" w:eastAsia="Times New Roman" w:hAnsi="Times New Roman"/>
                <w:bCs/>
                <w:iCs/>
                <w:sz w:val="24"/>
                <w:szCs w:val="24"/>
                <w:lang w:eastAsia="lt-LT"/>
              </w:rPr>
              <w:t xml:space="preserve">taip pat įdiegiant bevielius tinklus. Paramą gavusios mokyklos ir jų steigėjai įsipareigos vertinti, skelbti ir gerinti mokinių ugdymo pasiekimus, mažinti </w:t>
            </w:r>
            <w:r w:rsidRPr="00385835">
              <w:rPr>
                <w:rFonts w:ascii="Times New Roman" w:eastAsia="Times New Roman" w:hAnsi="Times New Roman"/>
                <w:bCs/>
                <w:iCs/>
                <w:sz w:val="24"/>
                <w:szCs w:val="24"/>
                <w:lang w:eastAsia="lt-LT"/>
              </w:rPr>
              <w:lastRenderedPageBreak/>
              <w:t xml:space="preserve">ankstyvą pasitraukimą iš švietimo sistemos, taip pat ugdyti kūrybiškumą, pilietiškumą ir verslumą. </w:t>
            </w:r>
          </w:p>
          <w:p w:rsidR="00385835" w:rsidRPr="00385835" w:rsidRDefault="00385835" w:rsidP="00650E41">
            <w:pPr>
              <w:numPr>
                <w:ilvl w:val="0"/>
                <w:numId w:val="31"/>
              </w:numPr>
              <w:tabs>
                <w:tab w:val="left" w:pos="459"/>
              </w:tabs>
              <w:spacing w:after="0" w:line="240" w:lineRule="auto"/>
              <w:ind w:left="34" w:firstLine="0"/>
              <w:jc w:val="both"/>
              <w:rPr>
                <w:rFonts w:ascii="Times New Roman" w:eastAsia="Times New Roman" w:hAnsi="Times New Roman"/>
                <w:bCs/>
                <w:iCs/>
                <w:sz w:val="24"/>
                <w:szCs w:val="24"/>
                <w:lang w:eastAsia="lt-LT"/>
              </w:rPr>
            </w:pPr>
            <w:r w:rsidRPr="00385835">
              <w:rPr>
                <w:rFonts w:ascii="Times New Roman" w:eastAsia="Times New Roman" w:hAnsi="Times New Roman"/>
                <w:bCs/>
                <w:iCs/>
                <w:sz w:val="24"/>
                <w:szCs w:val="24"/>
                <w:lang w:eastAsia="lt-LT"/>
              </w:rPr>
              <w:t>Esamos ikimokyklinio ugdymo įstaigų infrastruktūros modernizavimas ir aprūpinimas priemonėmis skatinančiomis vaikų kūrybiškumą ir savireguliaciją. Paskatos savivaldybėms ir privatiems švietimo teikėjams teikti kokybiškas ikimokyklinio ugdymo paslaugas vietovėse, kuriose yra tokio ugdymo paklausa, tačiau kuriose ikimokyklinio ugdymo paslaugos nebuvo teikiamos arba jų pasiūla buvo nepakankama.</w:t>
            </w:r>
          </w:p>
          <w:p w:rsidR="00385835" w:rsidRPr="00385835" w:rsidRDefault="00385835" w:rsidP="00650E41">
            <w:pPr>
              <w:numPr>
                <w:ilvl w:val="0"/>
                <w:numId w:val="31"/>
              </w:numPr>
              <w:tabs>
                <w:tab w:val="left" w:pos="459"/>
              </w:tabs>
              <w:spacing w:after="0" w:line="240" w:lineRule="auto"/>
              <w:ind w:left="34" w:firstLine="0"/>
              <w:jc w:val="both"/>
              <w:rPr>
                <w:rFonts w:ascii="Times New Roman" w:eastAsia="Times New Roman" w:hAnsi="Times New Roman"/>
                <w:bCs/>
                <w:iCs/>
                <w:sz w:val="24"/>
                <w:szCs w:val="24"/>
                <w:lang w:eastAsia="lt-LT"/>
              </w:rPr>
            </w:pPr>
            <w:r w:rsidRPr="00385835">
              <w:rPr>
                <w:rFonts w:ascii="Times New Roman" w:eastAsia="Times New Roman" w:hAnsi="Times New Roman"/>
                <w:bCs/>
                <w:iCs/>
                <w:sz w:val="24"/>
                <w:szCs w:val="24"/>
                <w:lang w:eastAsia="lt-LT"/>
              </w:rPr>
              <w:t xml:space="preserve">Vaikų socializacijos centrų tinklo </w:t>
            </w:r>
            <w:r w:rsidRPr="00385835">
              <w:rPr>
                <w:rFonts w:ascii="Times New Roman" w:hAnsi="Times New Roman"/>
                <w:sz w:val="24"/>
                <w:szCs w:val="24"/>
              </w:rPr>
              <w:t xml:space="preserve">infrastruktūros sutvarkymas, </w:t>
            </w:r>
            <w:r w:rsidRPr="00385835">
              <w:rPr>
                <w:rFonts w:ascii="Times New Roman" w:eastAsia="Times New Roman" w:hAnsi="Times New Roman"/>
                <w:bCs/>
                <w:iCs/>
                <w:sz w:val="24"/>
                <w:szCs w:val="24"/>
                <w:lang w:eastAsia="lt-LT"/>
              </w:rPr>
              <w:t xml:space="preserve">sudarant sąlygas individualizuotai kompleksiškai teikiamai pagalbai </w:t>
            </w:r>
            <w:r w:rsidRPr="00385835">
              <w:rPr>
                <w:rFonts w:ascii="Times New Roman" w:hAnsi="Times New Roman"/>
                <w:sz w:val="24"/>
                <w:szCs w:val="24"/>
              </w:rPr>
              <w:t xml:space="preserve">skirtingų </w:t>
            </w:r>
            <w:r w:rsidRPr="00385835">
              <w:rPr>
                <w:rFonts w:ascii="Times New Roman" w:eastAsia="Times New Roman" w:hAnsi="Times New Roman"/>
                <w:bCs/>
                <w:iCs/>
                <w:sz w:val="24"/>
                <w:szCs w:val="24"/>
                <w:lang w:eastAsia="lt-LT"/>
              </w:rPr>
              <w:t>specialių poreikių vaikams.</w:t>
            </w:r>
          </w:p>
          <w:p w:rsidR="00385835" w:rsidRPr="00385835" w:rsidRDefault="00385835" w:rsidP="00650E41">
            <w:pPr>
              <w:numPr>
                <w:ilvl w:val="0"/>
                <w:numId w:val="31"/>
              </w:numPr>
              <w:tabs>
                <w:tab w:val="left" w:pos="459"/>
              </w:tabs>
              <w:spacing w:after="0" w:line="240" w:lineRule="auto"/>
              <w:ind w:left="34" w:firstLine="0"/>
              <w:jc w:val="both"/>
              <w:rPr>
                <w:rFonts w:ascii="Times New Roman" w:eastAsia="Times New Roman" w:hAnsi="Times New Roman"/>
                <w:bCs/>
                <w:iCs/>
                <w:sz w:val="24"/>
                <w:szCs w:val="24"/>
                <w:lang w:eastAsia="lt-LT"/>
              </w:rPr>
            </w:pPr>
            <w:r w:rsidRPr="00385835">
              <w:rPr>
                <w:rFonts w:ascii="Times New Roman" w:eastAsia="Times New Roman" w:hAnsi="Times New Roman"/>
                <w:bCs/>
                <w:iCs/>
                <w:sz w:val="24"/>
                <w:szCs w:val="24"/>
                <w:lang w:eastAsia="lt-LT"/>
              </w:rPr>
              <w:t>Investicijos į techninės kūrybos ir meno, gamtamokslinių, muzikos, dailės, teatro, meno, sporto mokyklų ir būrelių, kitą kūrybiškumą, sveiką gyvenseną ir vaikų socializaciją skatinančią neformaliojo švietimo teikėjų infrastruktūrą (pavyzdžiui</w:t>
            </w:r>
            <w:r w:rsidR="00686878">
              <w:rPr>
                <w:rFonts w:ascii="Times New Roman" w:eastAsia="Times New Roman" w:hAnsi="Times New Roman"/>
                <w:bCs/>
                <w:iCs/>
                <w:sz w:val="24"/>
                <w:szCs w:val="24"/>
                <w:lang w:eastAsia="lt-LT"/>
              </w:rPr>
              <w:t>,</w:t>
            </w:r>
            <w:r w:rsidRPr="00385835">
              <w:rPr>
                <w:rFonts w:ascii="Times New Roman" w:eastAsia="Times New Roman" w:hAnsi="Times New Roman"/>
                <w:bCs/>
                <w:iCs/>
                <w:sz w:val="24"/>
                <w:szCs w:val="24"/>
                <w:lang w:eastAsia="lt-LT"/>
              </w:rPr>
              <w:t xml:space="preserve"> vaikų vasaros poilsio stovykl</w:t>
            </w:r>
            <w:r w:rsidR="004056A1">
              <w:rPr>
                <w:rFonts w:ascii="Times New Roman" w:eastAsia="Times New Roman" w:hAnsi="Times New Roman"/>
                <w:bCs/>
                <w:iCs/>
                <w:sz w:val="24"/>
                <w:szCs w:val="24"/>
                <w:lang w:eastAsia="lt-LT"/>
              </w:rPr>
              <w:t>a</w:t>
            </w:r>
            <w:r w:rsidRPr="00385835">
              <w:rPr>
                <w:rFonts w:ascii="Times New Roman" w:eastAsia="Times New Roman" w:hAnsi="Times New Roman"/>
                <w:bCs/>
                <w:iCs/>
                <w:sz w:val="24"/>
                <w:szCs w:val="24"/>
                <w:lang w:eastAsia="lt-LT"/>
              </w:rPr>
              <w:t xml:space="preserve">s). </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4A0" w:firstRow="1" w:lastRow="0" w:firstColumn="1" w:lastColumn="0" w:noHBand="0" w:noVBand="1"/>
      </w:tblPr>
      <w:tblGrid>
        <w:gridCol w:w="567"/>
        <w:gridCol w:w="2835"/>
        <w:gridCol w:w="1134"/>
        <w:gridCol w:w="851"/>
        <w:gridCol w:w="1134"/>
        <w:gridCol w:w="850"/>
        <w:gridCol w:w="1134"/>
        <w:gridCol w:w="1241"/>
      </w:tblGrid>
      <w:tr w:rsidR="00385835" w:rsidRPr="00385835" w:rsidTr="0056304C">
        <w:tc>
          <w:tcPr>
            <w:tcW w:w="9746" w:type="dxa"/>
            <w:gridSpan w:val="8"/>
            <w:shd w:val="clear" w:color="auto" w:fill="EEECE1" w:themeFill="background2"/>
          </w:tcPr>
          <w:p w:rsidR="00385835" w:rsidRPr="00385835" w:rsidRDefault="00385835" w:rsidP="006827C9">
            <w:pPr>
              <w:widowControl w:val="0"/>
              <w:tabs>
                <w:tab w:val="left" w:pos="622"/>
              </w:tabs>
              <w:spacing w:after="0" w:line="240" w:lineRule="auto"/>
              <w:jc w:val="both"/>
              <w:rPr>
                <w:rFonts w:ascii="Times New Roman" w:eastAsia="AngsanaUPC" w:hAnsi="Times New Roman"/>
                <w:b/>
                <w:bCs/>
                <w:i/>
                <w:iCs/>
                <w:sz w:val="24"/>
                <w:szCs w:val="24"/>
                <w:lang w:eastAsia="lt-LT"/>
              </w:rPr>
            </w:pPr>
            <w:r w:rsidRPr="00385835">
              <w:rPr>
                <w:rFonts w:ascii="Times New Roman" w:eastAsia="AngsanaUPC" w:hAnsi="Times New Roman"/>
                <w:b/>
                <w:bCs/>
                <w:i/>
                <w:iCs/>
                <w:sz w:val="24"/>
                <w:szCs w:val="24"/>
                <w:lang w:eastAsia="lt-LT"/>
              </w:rPr>
              <w:t xml:space="preserve">ERPF bendrieji ir </w:t>
            </w:r>
            <w:r w:rsidR="006827C9">
              <w:rPr>
                <w:rFonts w:ascii="Times New Roman" w:eastAsia="AngsanaUPC" w:hAnsi="Times New Roman"/>
                <w:b/>
                <w:bCs/>
                <w:i/>
                <w:iCs/>
                <w:sz w:val="24"/>
                <w:szCs w:val="24"/>
                <w:lang w:eastAsia="lt-LT"/>
              </w:rPr>
              <w:t>specialieji</w:t>
            </w:r>
            <w:r w:rsidR="006827C9" w:rsidRPr="00385835">
              <w:rPr>
                <w:rFonts w:ascii="Times New Roman" w:eastAsia="AngsanaUPC" w:hAnsi="Times New Roman"/>
                <w:b/>
                <w:bCs/>
                <w:i/>
                <w:iCs/>
                <w:sz w:val="24"/>
                <w:szCs w:val="24"/>
                <w:lang w:eastAsia="lt-LT"/>
              </w:rPr>
              <w:t xml:space="preserve"> </w:t>
            </w:r>
            <w:r w:rsidRPr="00385835">
              <w:rPr>
                <w:rFonts w:ascii="Times New Roman" w:eastAsia="AngsanaUPC" w:hAnsi="Times New Roman"/>
                <w:b/>
                <w:bCs/>
                <w:i/>
                <w:iCs/>
                <w:sz w:val="24"/>
                <w:szCs w:val="24"/>
                <w:lang w:eastAsia="lt-LT"/>
              </w:rPr>
              <w:t>programos produkto rodikliai</w:t>
            </w:r>
          </w:p>
        </w:tc>
      </w:tr>
      <w:tr w:rsidR="00385835" w:rsidRPr="00385835" w:rsidTr="0056304C">
        <w:tc>
          <w:tcPr>
            <w:tcW w:w="567" w:type="dxa"/>
            <w:shd w:val="clear" w:color="auto" w:fill="EEECE1" w:themeFill="background2"/>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Nr.</w:t>
            </w:r>
          </w:p>
        </w:tc>
        <w:tc>
          <w:tcPr>
            <w:tcW w:w="2835" w:type="dxa"/>
            <w:shd w:val="clear" w:color="auto" w:fill="EEECE1" w:themeFill="background2"/>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Rodiklio pavadinimas</w:t>
            </w:r>
          </w:p>
        </w:tc>
        <w:tc>
          <w:tcPr>
            <w:tcW w:w="1134" w:type="dxa"/>
            <w:shd w:val="clear" w:color="auto" w:fill="EEECE1" w:themeFill="background2"/>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Matavimo vienetai</w:t>
            </w:r>
          </w:p>
        </w:tc>
        <w:tc>
          <w:tcPr>
            <w:tcW w:w="851" w:type="dxa"/>
            <w:shd w:val="clear" w:color="auto" w:fill="EEECE1" w:themeFill="background2"/>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Fondas</w:t>
            </w:r>
          </w:p>
        </w:tc>
        <w:tc>
          <w:tcPr>
            <w:tcW w:w="1134" w:type="dxa"/>
            <w:shd w:val="clear" w:color="auto" w:fill="EEECE1" w:themeFill="background2"/>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Regiono kategorija</w:t>
            </w:r>
          </w:p>
        </w:tc>
        <w:tc>
          <w:tcPr>
            <w:tcW w:w="850" w:type="dxa"/>
            <w:shd w:val="clear" w:color="auto" w:fill="EEECE1" w:themeFill="background2"/>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Siektina reikšmė (2023)</w:t>
            </w:r>
          </w:p>
        </w:tc>
        <w:tc>
          <w:tcPr>
            <w:tcW w:w="1134" w:type="dxa"/>
            <w:shd w:val="clear" w:color="auto" w:fill="EEECE1" w:themeFill="background2"/>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Duomenų šaltinis</w:t>
            </w:r>
          </w:p>
        </w:tc>
        <w:tc>
          <w:tcPr>
            <w:tcW w:w="1241" w:type="dxa"/>
            <w:shd w:val="clear" w:color="auto" w:fill="EEECE1" w:themeFill="background2"/>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Atsiskaitymo dažnumas</w:t>
            </w:r>
          </w:p>
        </w:tc>
      </w:tr>
      <w:tr w:rsidR="00385835" w:rsidRPr="00385835" w:rsidTr="0056304C">
        <w:tc>
          <w:tcPr>
            <w:tcW w:w="9746" w:type="dxa"/>
            <w:gridSpan w:val="8"/>
            <w:shd w:val="clear" w:color="auto" w:fill="EEECE1" w:themeFill="background2"/>
            <w:vAlign w:val="center"/>
          </w:tcPr>
          <w:p w:rsidR="00385835" w:rsidRPr="00385835" w:rsidRDefault="00385835" w:rsidP="00385835">
            <w:pPr>
              <w:widowControl w:val="0"/>
              <w:tabs>
                <w:tab w:val="left" w:pos="622"/>
              </w:tabs>
              <w:spacing w:after="0" w:line="240" w:lineRule="auto"/>
              <w:rPr>
                <w:rFonts w:ascii="Times New Roman" w:eastAsia="AngsanaUPC" w:hAnsi="Times New Roman"/>
                <w:b/>
                <w:bCs/>
                <w:iCs/>
                <w:sz w:val="18"/>
                <w:szCs w:val="18"/>
                <w:lang w:eastAsia="lt-LT"/>
              </w:rPr>
            </w:pPr>
            <w:r w:rsidRPr="00385835">
              <w:rPr>
                <w:rFonts w:ascii="Times New Roman" w:eastAsia="AngsanaUPC" w:hAnsi="Times New Roman"/>
                <w:bCs/>
                <w:i/>
                <w:iCs/>
                <w:sz w:val="18"/>
                <w:szCs w:val="18"/>
                <w:lang w:eastAsia="lt-LT"/>
              </w:rPr>
              <w:t>9.1.1., 9.1.2., 9.1.3. konkrečių uždavinių veiklas atspindintis bendrasis produkto rodiklis</w:t>
            </w:r>
          </w:p>
        </w:tc>
      </w:tr>
      <w:tr w:rsidR="00385835" w:rsidRPr="00385835" w:rsidTr="00385835">
        <w:tc>
          <w:tcPr>
            <w:tcW w:w="56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w:t>
            </w:r>
          </w:p>
        </w:tc>
        <w:tc>
          <w:tcPr>
            <w:tcW w:w="2835" w:type="dxa"/>
            <w:shd w:val="clear" w:color="auto" w:fill="auto"/>
            <w:vAlign w:val="center"/>
          </w:tcPr>
          <w:p w:rsidR="00385835" w:rsidRPr="00385835" w:rsidRDefault="00385835" w:rsidP="00385835">
            <w:pPr>
              <w:widowControl w:val="0"/>
              <w:tabs>
                <w:tab w:val="left" w:pos="622"/>
              </w:tabs>
              <w:spacing w:after="0" w:line="240" w:lineRule="auto"/>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Investicijas gavusios vaikų priežiūros arba švietimo infrastruktūros pajėgumas</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Skaičius</w:t>
            </w:r>
          </w:p>
        </w:tc>
        <w:tc>
          <w:tcPr>
            <w:tcW w:w="85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ERPF</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hAnsi="Times New Roman"/>
                <w:sz w:val="18"/>
                <w:szCs w:val="18"/>
              </w:rPr>
              <w:t>Mažiau išsivystęs</w:t>
            </w:r>
          </w:p>
        </w:tc>
        <w:tc>
          <w:tcPr>
            <w:tcW w:w="850" w:type="dxa"/>
            <w:shd w:val="clear" w:color="auto" w:fill="auto"/>
            <w:vAlign w:val="center"/>
          </w:tcPr>
          <w:p w:rsidR="00385835" w:rsidRPr="00385835" w:rsidRDefault="00385835" w:rsidP="00A50C23">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112</w:t>
            </w:r>
            <w:r w:rsidR="00A50C23">
              <w:rPr>
                <w:rFonts w:ascii="Times New Roman" w:eastAsia="AngsanaUPC" w:hAnsi="Times New Roman"/>
                <w:bCs/>
                <w:iCs/>
                <w:sz w:val="18"/>
                <w:szCs w:val="18"/>
                <w:lang w:eastAsia="lt-LT"/>
              </w:rPr>
              <w:t>.</w:t>
            </w:r>
            <w:r w:rsidRPr="00385835">
              <w:rPr>
                <w:rFonts w:ascii="Times New Roman" w:eastAsia="AngsanaUPC" w:hAnsi="Times New Roman"/>
                <w:bCs/>
                <w:iCs/>
                <w:sz w:val="18"/>
                <w:szCs w:val="18"/>
                <w:lang w:eastAsia="lt-LT"/>
              </w:rPr>
              <w:t>300</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hAnsi="Times New Roman"/>
                <w:sz w:val="18"/>
                <w:szCs w:val="18"/>
              </w:rPr>
              <w:t>Duomenys iš projektų</w:t>
            </w:r>
          </w:p>
        </w:tc>
        <w:tc>
          <w:tcPr>
            <w:tcW w:w="124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hAnsi="Times New Roman"/>
                <w:sz w:val="18"/>
                <w:szCs w:val="18"/>
              </w:rPr>
              <w:t>Kartą per metus</w:t>
            </w:r>
          </w:p>
        </w:tc>
      </w:tr>
      <w:tr w:rsidR="00385835" w:rsidRPr="00385835" w:rsidTr="0056304C">
        <w:tc>
          <w:tcPr>
            <w:tcW w:w="9746" w:type="dxa"/>
            <w:gridSpan w:val="8"/>
            <w:tcBorders>
              <w:bottom w:val="single" w:sz="4" w:space="0" w:color="auto"/>
            </w:tcBorders>
            <w:shd w:val="clear" w:color="auto" w:fill="EEECE1" w:themeFill="background2"/>
            <w:vAlign w:val="center"/>
          </w:tcPr>
          <w:p w:rsidR="00385835" w:rsidRPr="00B93030" w:rsidRDefault="00385835" w:rsidP="00150AF5">
            <w:pPr>
              <w:widowControl w:val="0"/>
              <w:tabs>
                <w:tab w:val="left" w:pos="622"/>
              </w:tabs>
              <w:spacing w:after="0" w:line="240" w:lineRule="auto"/>
              <w:rPr>
                <w:rFonts w:ascii="Times New Roman" w:eastAsia="AngsanaUPC" w:hAnsi="Times New Roman"/>
                <w:bCs/>
                <w:i/>
                <w:iCs/>
                <w:sz w:val="18"/>
                <w:szCs w:val="18"/>
                <w:lang w:eastAsia="lt-LT"/>
              </w:rPr>
            </w:pPr>
            <w:r w:rsidRPr="00B93030">
              <w:rPr>
                <w:rFonts w:ascii="Times New Roman" w:eastAsia="AngsanaUPC" w:hAnsi="Times New Roman"/>
                <w:bCs/>
                <w:i/>
                <w:iCs/>
                <w:sz w:val="18"/>
                <w:szCs w:val="18"/>
                <w:lang w:eastAsia="lt-LT"/>
              </w:rPr>
              <w:t xml:space="preserve">9.1.1. konkretaus uždavinio veiklas atspindintys </w:t>
            </w:r>
            <w:r w:rsidR="00150AF5" w:rsidRPr="00B93030">
              <w:rPr>
                <w:rFonts w:ascii="Times New Roman" w:eastAsia="AngsanaUPC" w:hAnsi="Times New Roman"/>
                <w:bCs/>
                <w:i/>
                <w:iCs/>
                <w:sz w:val="18"/>
                <w:szCs w:val="18"/>
                <w:lang w:eastAsia="lt-LT"/>
              </w:rPr>
              <w:t xml:space="preserve">specialieji programos </w:t>
            </w:r>
            <w:r w:rsidRPr="00B93030">
              <w:rPr>
                <w:rFonts w:ascii="Times New Roman" w:eastAsia="AngsanaUPC" w:hAnsi="Times New Roman"/>
                <w:bCs/>
                <w:i/>
                <w:iCs/>
                <w:sz w:val="18"/>
                <w:szCs w:val="18"/>
                <w:lang w:eastAsia="lt-LT"/>
              </w:rPr>
              <w:t>produkto rodikliai</w:t>
            </w:r>
          </w:p>
        </w:tc>
      </w:tr>
      <w:tr w:rsidR="00385835" w:rsidRPr="00385835" w:rsidTr="00385835">
        <w:tc>
          <w:tcPr>
            <w:tcW w:w="56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2.</w:t>
            </w:r>
          </w:p>
        </w:tc>
        <w:tc>
          <w:tcPr>
            <w:tcW w:w="2835" w:type="dxa"/>
            <w:shd w:val="clear" w:color="auto" w:fill="auto"/>
            <w:vAlign w:val="center"/>
          </w:tcPr>
          <w:p w:rsidR="00385835" w:rsidRPr="00385835" w:rsidRDefault="00385835" w:rsidP="00385835">
            <w:pPr>
              <w:spacing w:after="0" w:line="240" w:lineRule="auto"/>
              <w:rPr>
                <w:rFonts w:ascii="Times New Roman" w:hAnsi="Times New Roman"/>
                <w:sz w:val="18"/>
                <w:szCs w:val="18"/>
                <w:highlight w:val="yellow"/>
              </w:rPr>
            </w:pPr>
            <w:r w:rsidRPr="00385835">
              <w:rPr>
                <w:rFonts w:ascii="Times New Roman" w:hAnsi="Times New Roman"/>
                <w:sz w:val="18"/>
                <w:szCs w:val="18"/>
              </w:rPr>
              <w:t xml:space="preserve">Aukštosios mokyklos, kuriose </w:t>
            </w:r>
            <w:r w:rsidR="00FD5AA0" w:rsidRPr="00FD5AA0">
              <w:rPr>
                <w:rFonts w:ascii="Times New Roman" w:hAnsi="Times New Roman"/>
                <w:sz w:val="18"/>
                <w:szCs w:val="18"/>
              </w:rPr>
              <w:t>bent už 289 tūkst. eurų</w:t>
            </w:r>
            <w:r w:rsidR="00FD5AA0" w:rsidRPr="00385835">
              <w:rPr>
                <w:rFonts w:ascii="Times New Roman" w:hAnsi="Times New Roman"/>
                <w:sz w:val="18"/>
                <w:szCs w:val="18"/>
              </w:rPr>
              <w:t xml:space="preserve"> </w:t>
            </w:r>
            <w:r w:rsidRPr="00385835">
              <w:rPr>
                <w:rFonts w:ascii="Times New Roman" w:hAnsi="Times New Roman"/>
                <w:sz w:val="18"/>
                <w:szCs w:val="18"/>
              </w:rPr>
              <w:t>pagal veiksmų programą ERPF lėšomis atnaujinta koncentruota studijų infrastruktūra</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bCs/>
                <w:sz w:val="18"/>
                <w:szCs w:val="18"/>
              </w:rPr>
              <w:t>Skaičius</w:t>
            </w:r>
          </w:p>
        </w:tc>
        <w:tc>
          <w:tcPr>
            <w:tcW w:w="85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bCs/>
                <w:sz w:val="18"/>
                <w:szCs w:val="18"/>
              </w:rPr>
              <w:t>ERPF</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hAnsi="Times New Roman"/>
                <w:sz w:val="18"/>
                <w:szCs w:val="18"/>
              </w:rPr>
              <w:t>Mažiau išsivystęs</w:t>
            </w:r>
          </w:p>
        </w:tc>
        <w:tc>
          <w:tcPr>
            <w:tcW w:w="850"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bCs/>
                <w:iCs/>
                <w:sz w:val="18"/>
                <w:szCs w:val="18"/>
              </w:rPr>
              <w:t>5</w:t>
            </w:r>
          </w:p>
        </w:tc>
        <w:tc>
          <w:tcPr>
            <w:tcW w:w="1134" w:type="dxa"/>
            <w:shd w:val="clear" w:color="auto" w:fill="auto"/>
            <w:vAlign w:val="center"/>
          </w:tcPr>
          <w:p w:rsidR="00385835" w:rsidRPr="00385835" w:rsidRDefault="00385835" w:rsidP="00385835">
            <w:pPr>
              <w:spacing w:after="0" w:line="240" w:lineRule="auto"/>
              <w:jc w:val="center"/>
              <w:rPr>
                <w:rFonts w:ascii="Times New Roman" w:hAnsi="Times New Roman"/>
                <w:sz w:val="18"/>
                <w:szCs w:val="18"/>
              </w:rPr>
            </w:pPr>
            <w:r w:rsidRPr="00385835">
              <w:rPr>
                <w:rFonts w:ascii="Times New Roman" w:hAnsi="Times New Roman"/>
                <w:sz w:val="18"/>
                <w:szCs w:val="18"/>
              </w:rPr>
              <w:t>Duomenys iš projektų</w:t>
            </w:r>
          </w:p>
        </w:tc>
        <w:tc>
          <w:tcPr>
            <w:tcW w:w="124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hAnsi="Times New Roman"/>
                <w:sz w:val="18"/>
                <w:szCs w:val="18"/>
              </w:rPr>
              <w:t>Kartą per metus</w:t>
            </w:r>
          </w:p>
        </w:tc>
      </w:tr>
      <w:tr w:rsidR="00385835" w:rsidRPr="00385835" w:rsidTr="0056304C">
        <w:tc>
          <w:tcPr>
            <w:tcW w:w="9746" w:type="dxa"/>
            <w:gridSpan w:val="8"/>
            <w:tcBorders>
              <w:bottom w:val="single" w:sz="4" w:space="0" w:color="auto"/>
            </w:tcBorders>
            <w:shd w:val="clear" w:color="auto" w:fill="EEECE1" w:themeFill="background2"/>
            <w:vAlign w:val="center"/>
          </w:tcPr>
          <w:p w:rsidR="00385835" w:rsidRPr="00B93030" w:rsidRDefault="00385835" w:rsidP="00150AF5">
            <w:pPr>
              <w:widowControl w:val="0"/>
              <w:tabs>
                <w:tab w:val="left" w:pos="622"/>
              </w:tabs>
              <w:spacing w:after="0" w:line="240" w:lineRule="auto"/>
              <w:rPr>
                <w:rFonts w:ascii="Times New Roman" w:eastAsia="AngsanaUPC" w:hAnsi="Times New Roman"/>
                <w:bCs/>
                <w:iCs/>
                <w:sz w:val="18"/>
                <w:szCs w:val="18"/>
                <w:lang w:eastAsia="lt-LT"/>
              </w:rPr>
            </w:pPr>
            <w:r w:rsidRPr="00B93030">
              <w:rPr>
                <w:rFonts w:ascii="Times New Roman" w:eastAsia="AngsanaUPC" w:hAnsi="Times New Roman"/>
                <w:bCs/>
                <w:i/>
                <w:iCs/>
                <w:sz w:val="18"/>
                <w:szCs w:val="18"/>
                <w:lang w:eastAsia="lt-LT"/>
              </w:rPr>
              <w:t xml:space="preserve">9.1.2. konkretaus uždavinio veiklas atspindintys </w:t>
            </w:r>
            <w:r w:rsidR="00150AF5" w:rsidRPr="00B93030">
              <w:rPr>
                <w:rFonts w:ascii="Times New Roman" w:eastAsia="AngsanaUPC" w:hAnsi="Times New Roman"/>
                <w:bCs/>
                <w:i/>
                <w:iCs/>
                <w:sz w:val="18"/>
                <w:szCs w:val="18"/>
                <w:lang w:eastAsia="lt-LT"/>
              </w:rPr>
              <w:t xml:space="preserve">specialieji programos </w:t>
            </w:r>
            <w:r w:rsidRPr="00B93030">
              <w:rPr>
                <w:rFonts w:ascii="Times New Roman" w:eastAsia="AngsanaUPC" w:hAnsi="Times New Roman"/>
                <w:bCs/>
                <w:i/>
                <w:iCs/>
                <w:sz w:val="18"/>
                <w:szCs w:val="18"/>
                <w:lang w:eastAsia="lt-LT"/>
              </w:rPr>
              <w:t>produkto rodikliai</w:t>
            </w:r>
          </w:p>
        </w:tc>
      </w:tr>
      <w:tr w:rsidR="00385835" w:rsidRPr="00385835" w:rsidTr="00385835">
        <w:tc>
          <w:tcPr>
            <w:tcW w:w="56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3.</w:t>
            </w:r>
          </w:p>
        </w:tc>
        <w:tc>
          <w:tcPr>
            <w:tcW w:w="2835" w:type="dxa"/>
            <w:shd w:val="clear" w:color="auto" w:fill="auto"/>
            <w:vAlign w:val="center"/>
          </w:tcPr>
          <w:p w:rsidR="00385835" w:rsidRPr="00385835" w:rsidRDefault="00385835" w:rsidP="00FD5AA0">
            <w:pPr>
              <w:spacing w:after="0" w:line="240" w:lineRule="auto"/>
              <w:rPr>
                <w:rFonts w:ascii="Times New Roman" w:hAnsi="Times New Roman"/>
                <w:sz w:val="18"/>
                <w:szCs w:val="18"/>
              </w:rPr>
            </w:pPr>
            <w:r w:rsidRPr="00385835">
              <w:rPr>
                <w:rFonts w:ascii="Times New Roman" w:hAnsi="Times New Roman"/>
                <w:sz w:val="18"/>
                <w:szCs w:val="18"/>
              </w:rPr>
              <w:t xml:space="preserve">Bent už 289 </w:t>
            </w:r>
            <w:r w:rsidR="00FD5AA0">
              <w:rPr>
                <w:rFonts w:ascii="Times New Roman" w:hAnsi="Times New Roman"/>
                <w:sz w:val="18"/>
                <w:szCs w:val="18"/>
              </w:rPr>
              <w:t>tūkst</w:t>
            </w:r>
            <w:r w:rsidRPr="00385835">
              <w:rPr>
                <w:rFonts w:ascii="Times New Roman" w:hAnsi="Times New Roman"/>
                <w:sz w:val="18"/>
                <w:szCs w:val="18"/>
              </w:rPr>
              <w:t>. eurų pagal veiksmų programą ERPF lėšomis atnaujintos profesinio mokymo įstaigos</w:t>
            </w:r>
            <w:r w:rsidRPr="00385835" w:rsidDel="003F072A">
              <w:rPr>
                <w:rFonts w:ascii="Times New Roman" w:hAnsi="Times New Roman"/>
                <w:sz w:val="18"/>
                <w:szCs w:val="18"/>
              </w:rPr>
              <w:t xml:space="preserve"> </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hAnsi="Times New Roman"/>
                <w:bCs/>
                <w:sz w:val="18"/>
                <w:szCs w:val="18"/>
              </w:rPr>
              <w:t>Skaičius</w:t>
            </w:r>
          </w:p>
        </w:tc>
        <w:tc>
          <w:tcPr>
            <w:tcW w:w="85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
                <w:iCs/>
                <w:sz w:val="18"/>
                <w:szCs w:val="18"/>
                <w:lang w:eastAsia="lt-LT"/>
              </w:rPr>
            </w:pPr>
            <w:r w:rsidRPr="00385835">
              <w:rPr>
                <w:rFonts w:ascii="Times New Roman" w:hAnsi="Times New Roman"/>
                <w:bCs/>
                <w:sz w:val="18"/>
                <w:szCs w:val="18"/>
              </w:rPr>
              <w:t>ERPF</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hAnsi="Times New Roman"/>
                <w:sz w:val="18"/>
                <w:szCs w:val="18"/>
              </w:rPr>
              <w:t>Mažiau išsivystęs</w:t>
            </w:r>
          </w:p>
        </w:tc>
        <w:tc>
          <w:tcPr>
            <w:tcW w:w="850"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20</w:t>
            </w:r>
          </w:p>
        </w:tc>
        <w:tc>
          <w:tcPr>
            <w:tcW w:w="1134" w:type="dxa"/>
            <w:shd w:val="clear" w:color="auto" w:fill="auto"/>
            <w:vAlign w:val="center"/>
          </w:tcPr>
          <w:p w:rsidR="00385835" w:rsidRPr="00385835" w:rsidRDefault="00385835" w:rsidP="00385835">
            <w:pPr>
              <w:spacing w:after="0" w:line="240" w:lineRule="auto"/>
              <w:jc w:val="center"/>
              <w:rPr>
                <w:rFonts w:ascii="Times New Roman" w:hAnsi="Times New Roman"/>
                <w:sz w:val="18"/>
                <w:szCs w:val="18"/>
              </w:rPr>
            </w:pPr>
            <w:r w:rsidRPr="00385835">
              <w:rPr>
                <w:rFonts w:ascii="Times New Roman" w:hAnsi="Times New Roman"/>
                <w:sz w:val="18"/>
                <w:szCs w:val="18"/>
              </w:rPr>
              <w:t>Duomenys iš projektų</w:t>
            </w:r>
          </w:p>
        </w:tc>
        <w:tc>
          <w:tcPr>
            <w:tcW w:w="124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hAnsi="Times New Roman"/>
                <w:sz w:val="18"/>
                <w:szCs w:val="18"/>
              </w:rPr>
              <w:t>Kartą per metus</w:t>
            </w:r>
          </w:p>
        </w:tc>
      </w:tr>
      <w:tr w:rsidR="00385835" w:rsidRPr="00385835" w:rsidTr="0056304C">
        <w:tc>
          <w:tcPr>
            <w:tcW w:w="9746" w:type="dxa"/>
            <w:gridSpan w:val="8"/>
            <w:tcBorders>
              <w:bottom w:val="single" w:sz="4" w:space="0" w:color="auto"/>
            </w:tcBorders>
            <w:shd w:val="clear" w:color="auto" w:fill="EEECE1" w:themeFill="background2"/>
            <w:vAlign w:val="center"/>
          </w:tcPr>
          <w:p w:rsidR="00385835" w:rsidRPr="00B93030" w:rsidRDefault="00385835" w:rsidP="00150AF5">
            <w:pPr>
              <w:widowControl w:val="0"/>
              <w:tabs>
                <w:tab w:val="left" w:pos="622"/>
              </w:tabs>
              <w:spacing w:after="0" w:line="240" w:lineRule="auto"/>
              <w:rPr>
                <w:rFonts w:ascii="Times New Roman" w:eastAsia="AngsanaUPC" w:hAnsi="Times New Roman"/>
                <w:bCs/>
                <w:iCs/>
                <w:sz w:val="18"/>
                <w:szCs w:val="18"/>
                <w:lang w:eastAsia="lt-LT"/>
              </w:rPr>
            </w:pPr>
            <w:r w:rsidRPr="00B93030">
              <w:rPr>
                <w:rFonts w:ascii="Times New Roman" w:eastAsia="AngsanaUPC" w:hAnsi="Times New Roman"/>
                <w:bCs/>
                <w:i/>
                <w:iCs/>
                <w:sz w:val="18"/>
                <w:szCs w:val="18"/>
                <w:lang w:eastAsia="lt-LT"/>
              </w:rPr>
              <w:t xml:space="preserve">9.1.3. konkretaus uždavinio veiklas atspindintys </w:t>
            </w:r>
            <w:r w:rsidR="00150AF5" w:rsidRPr="00B93030">
              <w:rPr>
                <w:rFonts w:ascii="Times New Roman" w:eastAsia="AngsanaUPC" w:hAnsi="Times New Roman"/>
                <w:bCs/>
                <w:i/>
                <w:iCs/>
                <w:sz w:val="18"/>
                <w:szCs w:val="18"/>
                <w:lang w:eastAsia="lt-LT"/>
              </w:rPr>
              <w:t xml:space="preserve">specialieji programos </w:t>
            </w:r>
            <w:r w:rsidRPr="00B93030">
              <w:rPr>
                <w:rFonts w:ascii="Times New Roman" w:eastAsia="AngsanaUPC" w:hAnsi="Times New Roman"/>
                <w:bCs/>
                <w:i/>
                <w:iCs/>
                <w:sz w:val="18"/>
                <w:szCs w:val="18"/>
                <w:lang w:eastAsia="lt-LT"/>
              </w:rPr>
              <w:t>produkto rodikliai</w:t>
            </w:r>
          </w:p>
        </w:tc>
      </w:tr>
      <w:tr w:rsidR="00385835" w:rsidRPr="00385835" w:rsidTr="00385835">
        <w:tc>
          <w:tcPr>
            <w:tcW w:w="56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4.</w:t>
            </w:r>
          </w:p>
        </w:tc>
        <w:tc>
          <w:tcPr>
            <w:tcW w:w="2835" w:type="dxa"/>
            <w:shd w:val="clear" w:color="auto" w:fill="auto"/>
            <w:vAlign w:val="center"/>
          </w:tcPr>
          <w:p w:rsidR="00385835" w:rsidRPr="00385835" w:rsidRDefault="00385835" w:rsidP="00385835">
            <w:pPr>
              <w:spacing w:after="0" w:line="240" w:lineRule="auto"/>
              <w:rPr>
                <w:rFonts w:ascii="Times New Roman" w:hAnsi="Times New Roman"/>
                <w:sz w:val="18"/>
                <w:szCs w:val="18"/>
              </w:rPr>
            </w:pPr>
            <w:r w:rsidRPr="00385835">
              <w:rPr>
                <w:rFonts w:ascii="Times New Roman" w:hAnsi="Times New Roman"/>
                <w:sz w:val="18"/>
                <w:szCs w:val="18"/>
              </w:rPr>
              <w:t>Švietimo ir kitų švietimo teikėjų įstaigos, kuriose pagal veiksmų programą ERPF lėšomis sukurta ar atnaujinta ne mažiau nei viena edukacinė erdvė</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Skaičius</w:t>
            </w:r>
          </w:p>
        </w:tc>
        <w:tc>
          <w:tcPr>
            <w:tcW w:w="85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
                <w:iCs/>
                <w:sz w:val="18"/>
                <w:szCs w:val="18"/>
                <w:lang w:eastAsia="lt-LT"/>
              </w:rPr>
            </w:pPr>
            <w:r w:rsidRPr="00385835">
              <w:rPr>
                <w:rFonts w:ascii="Times New Roman" w:eastAsia="AngsanaUPC" w:hAnsi="Times New Roman"/>
                <w:bCs/>
                <w:iCs/>
                <w:sz w:val="18"/>
                <w:szCs w:val="18"/>
                <w:lang w:eastAsia="lt-LT"/>
              </w:rPr>
              <w:t>ERPF</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Mažiau išsivystęs</w:t>
            </w:r>
          </w:p>
        </w:tc>
        <w:tc>
          <w:tcPr>
            <w:tcW w:w="850" w:type="dxa"/>
            <w:shd w:val="clear" w:color="auto" w:fill="auto"/>
            <w:vAlign w:val="center"/>
          </w:tcPr>
          <w:p w:rsidR="00385835" w:rsidRPr="00FC6264" w:rsidRDefault="00DA758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eastAsia="AngsanaUPC" w:hAnsi="Times New Roman"/>
                <w:bCs/>
                <w:iCs/>
                <w:sz w:val="18"/>
                <w:szCs w:val="18"/>
                <w:lang w:eastAsia="lt-LT"/>
              </w:rPr>
              <w:t>900</w:t>
            </w:r>
          </w:p>
        </w:tc>
        <w:tc>
          <w:tcPr>
            <w:tcW w:w="1134" w:type="dxa"/>
            <w:shd w:val="clear" w:color="auto" w:fill="auto"/>
            <w:vAlign w:val="center"/>
          </w:tcPr>
          <w:p w:rsidR="00385835" w:rsidRPr="00FC6264" w:rsidRDefault="00385835" w:rsidP="00385835">
            <w:pPr>
              <w:spacing w:after="0" w:line="240" w:lineRule="auto"/>
              <w:jc w:val="center"/>
              <w:rPr>
                <w:rFonts w:ascii="Times New Roman" w:hAnsi="Times New Roman"/>
                <w:sz w:val="18"/>
                <w:szCs w:val="18"/>
              </w:rPr>
            </w:pPr>
            <w:r w:rsidRPr="00FC6264">
              <w:rPr>
                <w:rFonts w:ascii="Times New Roman" w:hAnsi="Times New Roman"/>
                <w:sz w:val="18"/>
                <w:szCs w:val="18"/>
              </w:rPr>
              <w:t>Duomenys iš projektų</w:t>
            </w:r>
          </w:p>
        </w:tc>
        <w:tc>
          <w:tcPr>
            <w:tcW w:w="124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Cs/>
                <w:iCs/>
                <w:sz w:val="18"/>
                <w:szCs w:val="18"/>
                <w:lang w:eastAsia="lt-LT"/>
              </w:rPr>
              <w:t>Kartą per metus</w:t>
            </w:r>
          </w:p>
        </w:tc>
      </w:tr>
      <w:tr w:rsidR="00385835" w:rsidRPr="00385835" w:rsidTr="00385835">
        <w:tc>
          <w:tcPr>
            <w:tcW w:w="56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5.</w:t>
            </w:r>
          </w:p>
        </w:tc>
        <w:tc>
          <w:tcPr>
            <w:tcW w:w="2835" w:type="dxa"/>
            <w:shd w:val="clear" w:color="auto" w:fill="auto"/>
            <w:vAlign w:val="center"/>
          </w:tcPr>
          <w:p w:rsidR="00385835" w:rsidRPr="00385835" w:rsidRDefault="00385835" w:rsidP="00385835">
            <w:pPr>
              <w:spacing w:after="0" w:line="240" w:lineRule="auto"/>
              <w:rPr>
                <w:rFonts w:ascii="Times New Roman" w:hAnsi="Times New Roman"/>
                <w:sz w:val="18"/>
                <w:szCs w:val="18"/>
              </w:rPr>
            </w:pPr>
            <w:r w:rsidRPr="00385835">
              <w:rPr>
                <w:rFonts w:ascii="Times New Roman" w:hAnsi="Times New Roman"/>
                <w:sz w:val="18"/>
                <w:szCs w:val="18"/>
              </w:rPr>
              <w:t>Pagal veiksmų programą ERPF lėšomis sukurtos naujos ikimokyklinio ir priešmokyklinio ugdymo vietos</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eastAsia="AngsanaUPC" w:hAnsi="Times New Roman"/>
                <w:bCs/>
                <w:iCs/>
                <w:sz w:val="18"/>
                <w:szCs w:val="18"/>
                <w:lang w:eastAsia="lt-LT"/>
              </w:rPr>
              <w:t>Skaičius</w:t>
            </w:r>
          </w:p>
        </w:tc>
        <w:tc>
          <w:tcPr>
            <w:tcW w:w="85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ERPF</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eastAsia="AngsanaUPC" w:hAnsi="Times New Roman"/>
                <w:bCs/>
                <w:iCs/>
                <w:sz w:val="18"/>
                <w:szCs w:val="18"/>
                <w:lang w:eastAsia="lt-LT"/>
              </w:rPr>
              <w:t>Mažiau išsivystęs</w:t>
            </w:r>
          </w:p>
        </w:tc>
        <w:tc>
          <w:tcPr>
            <w:tcW w:w="850" w:type="dxa"/>
            <w:shd w:val="clear" w:color="auto" w:fill="auto"/>
            <w:vAlign w:val="center"/>
          </w:tcPr>
          <w:p w:rsidR="00385835" w:rsidRPr="00385835" w:rsidRDefault="002F2E5D" w:rsidP="00A50C23">
            <w:pPr>
              <w:widowControl w:val="0"/>
              <w:tabs>
                <w:tab w:val="left" w:pos="622"/>
              </w:tabs>
              <w:spacing w:after="0" w:line="240" w:lineRule="auto"/>
              <w:jc w:val="center"/>
              <w:rPr>
                <w:rFonts w:ascii="Times New Roman" w:eastAsia="AngsanaUPC" w:hAnsi="Times New Roman"/>
                <w:bCs/>
                <w:iCs/>
                <w:sz w:val="18"/>
                <w:szCs w:val="18"/>
                <w:lang w:eastAsia="lt-LT"/>
              </w:rPr>
            </w:pPr>
            <w:r>
              <w:rPr>
                <w:rFonts w:ascii="Times New Roman" w:eastAsia="AngsanaUPC" w:hAnsi="Times New Roman"/>
                <w:bCs/>
                <w:iCs/>
                <w:sz w:val="18"/>
                <w:szCs w:val="18"/>
                <w:lang w:eastAsia="lt-LT"/>
              </w:rPr>
              <w:t>2</w:t>
            </w:r>
            <w:r w:rsidR="00A50C23">
              <w:rPr>
                <w:rFonts w:ascii="Times New Roman" w:eastAsia="AngsanaUPC" w:hAnsi="Times New Roman"/>
                <w:bCs/>
                <w:iCs/>
                <w:sz w:val="18"/>
                <w:szCs w:val="18"/>
                <w:lang w:eastAsia="lt-LT"/>
              </w:rPr>
              <w:t>.</w:t>
            </w:r>
            <w:r w:rsidR="00385835" w:rsidRPr="00385835">
              <w:rPr>
                <w:rFonts w:ascii="Times New Roman" w:eastAsia="AngsanaUPC" w:hAnsi="Times New Roman"/>
                <w:bCs/>
                <w:iCs/>
                <w:sz w:val="18"/>
                <w:szCs w:val="18"/>
                <w:lang w:eastAsia="lt-LT"/>
              </w:rPr>
              <w:t>000</w:t>
            </w:r>
          </w:p>
        </w:tc>
        <w:tc>
          <w:tcPr>
            <w:tcW w:w="1134" w:type="dxa"/>
            <w:shd w:val="clear" w:color="auto" w:fill="auto"/>
            <w:vAlign w:val="center"/>
          </w:tcPr>
          <w:p w:rsidR="00385835" w:rsidRPr="00385835" w:rsidRDefault="00385835" w:rsidP="00385835">
            <w:pPr>
              <w:spacing w:after="0" w:line="240" w:lineRule="auto"/>
              <w:jc w:val="center"/>
              <w:rPr>
                <w:rFonts w:ascii="Times New Roman" w:hAnsi="Times New Roman"/>
                <w:sz w:val="18"/>
                <w:szCs w:val="18"/>
              </w:rPr>
            </w:pPr>
            <w:r w:rsidRPr="00385835">
              <w:rPr>
                <w:rFonts w:ascii="Times New Roman" w:hAnsi="Times New Roman"/>
                <w:sz w:val="18"/>
                <w:szCs w:val="18"/>
              </w:rPr>
              <w:t>Duomenys iš projektų</w:t>
            </w:r>
          </w:p>
        </w:tc>
        <w:tc>
          <w:tcPr>
            <w:tcW w:w="124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2F2E5D" w:rsidRPr="00385835" w:rsidTr="00385835">
        <w:tc>
          <w:tcPr>
            <w:tcW w:w="567" w:type="dxa"/>
            <w:shd w:val="clear" w:color="auto" w:fill="auto"/>
            <w:vAlign w:val="center"/>
          </w:tcPr>
          <w:p w:rsidR="002F2E5D" w:rsidRPr="002F2E5D" w:rsidRDefault="002F2E5D" w:rsidP="003425A4">
            <w:pPr>
              <w:widowControl w:val="0"/>
              <w:tabs>
                <w:tab w:val="left" w:pos="622"/>
              </w:tabs>
              <w:spacing w:after="0" w:line="240" w:lineRule="auto"/>
              <w:jc w:val="center"/>
              <w:rPr>
                <w:rFonts w:ascii="Times New Roman" w:eastAsia="Times New Roman" w:hAnsi="Times New Roman"/>
                <w:sz w:val="18"/>
                <w:szCs w:val="18"/>
              </w:rPr>
            </w:pPr>
            <w:r w:rsidRPr="002F2E5D">
              <w:rPr>
                <w:rFonts w:ascii="Times New Roman" w:eastAsia="Times New Roman" w:hAnsi="Times New Roman"/>
                <w:sz w:val="18"/>
                <w:szCs w:val="18"/>
              </w:rPr>
              <w:t>6.</w:t>
            </w:r>
          </w:p>
        </w:tc>
        <w:tc>
          <w:tcPr>
            <w:tcW w:w="2835" w:type="dxa"/>
            <w:shd w:val="clear" w:color="auto" w:fill="auto"/>
            <w:vAlign w:val="center"/>
          </w:tcPr>
          <w:p w:rsidR="002F2E5D" w:rsidRPr="002F2E5D" w:rsidRDefault="002F2E5D" w:rsidP="003425A4">
            <w:pPr>
              <w:spacing w:after="0" w:line="240" w:lineRule="auto"/>
              <w:rPr>
                <w:rFonts w:ascii="Times New Roman" w:eastAsia="Times New Roman" w:hAnsi="Times New Roman"/>
                <w:sz w:val="18"/>
                <w:szCs w:val="18"/>
              </w:rPr>
            </w:pPr>
            <w:r w:rsidRPr="002F2E5D">
              <w:rPr>
                <w:rFonts w:ascii="Times New Roman" w:eastAsia="Times New Roman" w:hAnsi="Times New Roman"/>
                <w:sz w:val="18"/>
                <w:szCs w:val="18"/>
              </w:rPr>
              <w:t>Pagal veiksmų programą ERPF lėšomis atnaujintos ikimokyklinio ir/ar priešmokyklinio ugdymo vietos</w:t>
            </w:r>
          </w:p>
        </w:tc>
        <w:tc>
          <w:tcPr>
            <w:tcW w:w="1134" w:type="dxa"/>
            <w:shd w:val="clear" w:color="auto" w:fill="auto"/>
            <w:vAlign w:val="center"/>
          </w:tcPr>
          <w:p w:rsidR="002F2E5D" w:rsidRPr="002F2E5D" w:rsidRDefault="002F2E5D" w:rsidP="003425A4">
            <w:pPr>
              <w:widowControl w:val="0"/>
              <w:tabs>
                <w:tab w:val="left" w:pos="622"/>
              </w:tabs>
              <w:spacing w:after="0" w:line="240" w:lineRule="auto"/>
              <w:jc w:val="center"/>
              <w:rPr>
                <w:rFonts w:ascii="Times New Roman" w:eastAsia="AngsanaUPC" w:hAnsi="Times New Roman"/>
                <w:bCs/>
                <w:iCs/>
                <w:sz w:val="18"/>
                <w:szCs w:val="18"/>
                <w:lang w:eastAsia="lt-LT"/>
              </w:rPr>
            </w:pPr>
            <w:r w:rsidRPr="002F2E5D">
              <w:rPr>
                <w:rFonts w:ascii="Times New Roman" w:eastAsia="AngsanaUPC" w:hAnsi="Times New Roman"/>
                <w:bCs/>
                <w:iCs/>
                <w:sz w:val="18"/>
                <w:szCs w:val="18"/>
                <w:lang w:eastAsia="lt-LT"/>
              </w:rPr>
              <w:t>Skaičius</w:t>
            </w:r>
          </w:p>
        </w:tc>
        <w:tc>
          <w:tcPr>
            <w:tcW w:w="851" w:type="dxa"/>
            <w:shd w:val="clear" w:color="auto" w:fill="auto"/>
            <w:vAlign w:val="center"/>
          </w:tcPr>
          <w:p w:rsidR="002F2E5D" w:rsidRPr="002F2E5D" w:rsidRDefault="002F2E5D" w:rsidP="003425A4">
            <w:pPr>
              <w:widowControl w:val="0"/>
              <w:tabs>
                <w:tab w:val="left" w:pos="622"/>
              </w:tabs>
              <w:spacing w:after="0" w:line="240" w:lineRule="auto"/>
              <w:jc w:val="center"/>
              <w:rPr>
                <w:rFonts w:ascii="Times New Roman" w:eastAsia="AngsanaUPC" w:hAnsi="Times New Roman"/>
                <w:bCs/>
                <w:iCs/>
                <w:sz w:val="18"/>
                <w:szCs w:val="18"/>
                <w:lang w:eastAsia="lt-LT"/>
              </w:rPr>
            </w:pPr>
            <w:r w:rsidRPr="002F2E5D">
              <w:rPr>
                <w:rFonts w:ascii="Times New Roman" w:eastAsia="AngsanaUPC" w:hAnsi="Times New Roman"/>
                <w:bCs/>
                <w:iCs/>
                <w:sz w:val="18"/>
                <w:szCs w:val="18"/>
                <w:lang w:eastAsia="lt-LT"/>
              </w:rPr>
              <w:t>ERPF</w:t>
            </w:r>
          </w:p>
        </w:tc>
        <w:tc>
          <w:tcPr>
            <w:tcW w:w="1134" w:type="dxa"/>
            <w:shd w:val="clear" w:color="auto" w:fill="auto"/>
            <w:vAlign w:val="center"/>
          </w:tcPr>
          <w:p w:rsidR="002F2E5D" w:rsidRPr="002F2E5D" w:rsidRDefault="002F2E5D" w:rsidP="003425A4">
            <w:pPr>
              <w:widowControl w:val="0"/>
              <w:tabs>
                <w:tab w:val="left" w:pos="622"/>
              </w:tabs>
              <w:spacing w:after="0" w:line="240" w:lineRule="auto"/>
              <w:jc w:val="center"/>
              <w:rPr>
                <w:rFonts w:ascii="Times New Roman" w:eastAsia="AngsanaUPC" w:hAnsi="Times New Roman"/>
                <w:bCs/>
                <w:iCs/>
                <w:sz w:val="18"/>
                <w:szCs w:val="18"/>
                <w:lang w:eastAsia="lt-LT"/>
              </w:rPr>
            </w:pPr>
            <w:r w:rsidRPr="002F2E5D">
              <w:rPr>
                <w:rFonts w:ascii="Times New Roman" w:eastAsia="AngsanaUPC" w:hAnsi="Times New Roman"/>
                <w:bCs/>
                <w:iCs/>
                <w:sz w:val="18"/>
                <w:szCs w:val="18"/>
                <w:lang w:eastAsia="lt-LT"/>
              </w:rPr>
              <w:t>Mažiau išsivystęs</w:t>
            </w:r>
          </w:p>
        </w:tc>
        <w:tc>
          <w:tcPr>
            <w:tcW w:w="850" w:type="dxa"/>
            <w:shd w:val="clear" w:color="auto" w:fill="auto"/>
            <w:vAlign w:val="center"/>
          </w:tcPr>
          <w:p w:rsidR="002F2E5D" w:rsidRPr="002F2E5D" w:rsidRDefault="002F2E5D" w:rsidP="00A50C23">
            <w:pPr>
              <w:widowControl w:val="0"/>
              <w:tabs>
                <w:tab w:val="left" w:pos="622"/>
              </w:tabs>
              <w:spacing w:after="0" w:line="240" w:lineRule="auto"/>
              <w:jc w:val="center"/>
              <w:rPr>
                <w:rFonts w:ascii="Times New Roman" w:eastAsia="AngsanaUPC" w:hAnsi="Times New Roman"/>
                <w:bCs/>
                <w:iCs/>
                <w:sz w:val="18"/>
                <w:szCs w:val="18"/>
                <w:lang w:eastAsia="lt-LT"/>
              </w:rPr>
            </w:pPr>
            <w:r w:rsidRPr="002F2E5D">
              <w:rPr>
                <w:rFonts w:ascii="Times New Roman" w:eastAsia="AngsanaUPC" w:hAnsi="Times New Roman"/>
                <w:bCs/>
                <w:iCs/>
                <w:sz w:val="18"/>
                <w:szCs w:val="18"/>
                <w:lang w:eastAsia="lt-LT"/>
              </w:rPr>
              <w:t>2</w:t>
            </w:r>
            <w:r w:rsidR="00A50C23">
              <w:rPr>
                <w:rFonts w:ascii="Times New Roman" w:eastAsia="AngsanaUPC" w:hAnsi="Times New Roman"/>
                <w:bCs/>
                <w:iCs/>
                <w:sz w:val="18"/>
                <w:szCs w:val="18"/>
                <w:lang w:eastAsia="lt-LT"/>
              </w:rPr>
              <w:t>.</w:t>
            </w:r>
            <w:r w:rsidRPr="002F2E5D">
              <w:rPr>
                <w:rFonts w:ascii="Times New Roman" w:eastAsia="AngsanaUPC" w:hAnsi="Times New Roman"/>
                <w:bCs/>
                <w:iCs/>
                <w:sz w:val="18"/>
                <w:szCs w:val="18"/>
                <w:lang w:eastAsia="lt-LT"/>
              </w:rPr>
              <w:t>256</w:t>
            </w:r>
          </w:p>
        </w:tc>
        <w:tc>
          <w:tcPr>
            <w:tcW w:w="1134" w:type="dxa"/>
            <w:shd w:val="clear" w:color="auto" w:fill="auto"/>
            <w:vAlign w:val="center"/>
          </w:tcPr>
          <w:p w:rsidR="002F2E5D" w:rsidRPr="002F2E5D" w:rsidRDefault="002F2E5D" w:rsidP="003425A4">
            <w:pPr>
              <w:spacing w:after="0" w:line="240" w:lineRule="auto"/>
              <w:jc w:val="center"/>
              <w:rPr>
                <w:rFonts w:ascii="Times New Roman" w:eastAsia="Times New Roman" w:hAnsi="Times New Roman"/>
                <w:sz w:val="18"/>
                <w:szCs w:val="18"/>
              </w:rPr>
            </w:pPr>
            <w:r w:rsidRPr="002F2E5D">
              <w:rPr>
                <w:rFonts w:ascii="Times New Roman" w:eastAsia="Times New Roman" w:hAnsi="Times New Roman"/>
                <w:sz w:val="18"/>
                <w:szCs w:val="18"/>
              </w:rPr>
              <w:t>Duomenys iš projektų</w:t>
            </w:r>
          </w:p>
        </w:tc>
        <w:tc>
          <w:tcPr>
            <w:tcW w:w="1241" w:type="dxa"/>
            <w:shd w:val="clear" w:color="auto" w:fill="auto"/>
            <w:vAlign w:val="center"/>
          </w:tcPr>
          <w:p w:rsidR="002F2E5D" w:rsidRPr="002F2E5D" w:rsidRDefault="002F2E5D" w:rsidP="003425A4">
            <w:pPr>
              <w:widowControl w:val="0"/>
              <w:tabs>
                <w:tab w:val="left" w:pos="622"/>
              </w:tabs>
              <w:spacing w:after="0" w:line="240" w:lineRule="auto"/>
              <w:jc w:val="center"/>
              <w:rPr>
                <w:rFonts w:ascii="Times New Roman" w:eastAsia="AngsanaUPC" w:hAnsi="Times New Roman"/>
                <w:bCs/>
                <w:iCs/>
                <w:sz w:val="18"/>
                <w:szCs w:val="18"/>
                <w:lang w:eastAsia="lt-LT"/>
              </w:rPr>
            </w:pPr>
            <w:r w:rsidRPr="002F2E5D">
              <w:rPr>
                <w:rFonts w:ascii="Times New Roman" w:eastAsia="AngsanaUPC" w:hAnsi="Times New Roman"/>
                <w:bCs/>
                <w:iCs/>
                <w:sz w:val="18"/>
                <w:szCs w:val="18"/>
                <w:lang w:eastAsia="lt-LT"/>
              </w:rPr>
              <w:t>Kartą per metus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vAlign w:val="center"/>
          </w:tcPr>
          <w:p w:rsidR="00385835" w:rsidRPr="00385835" w:rsidRDefault="00385835" w:rsidP="00385835">
            <w:pPr>
              <w:widowControl w:val="0"/>
              <w:tabs>
                <w:tab w:val="left" w:pos="622"/>
              </w:tabs>
              <w:spacing w:after="0" w:line="240" w:lineRule="auto"/>
              <w:rPr>
                <w:rFonts w:ascii="Times New Roman" w:eastAsia="AngsanaUPC" w:hAnsi="Times New Roman"/>
                <w:b/>
                <w:bCs/>
                <w:iCs/>
                <w:sz w:val="24"/>
                <w:szCs w:val="24"/>
                <w:lang w:eastAsia="lt-LT"/>
              </w:rPr>
            </w:pPr>
            <w:r w:rsidRPr="00385835">
              <w:rPr>
                <w:rFonts w:ascii="Times New Roman" w:eastAsia="AngsanaUPC" w:hAnsi="Times New Roman"/>
                <w:b/>
                <w:bCs/>
                <w:iCs/>
                <w:sz w:val="24"/>
                <w:szCs w:val="24"/>
                <w:lang w:eastAsia="lt-LT"/>
              </w:rPr>
              <w:t>9.2. INVESTICINIS PRIORITETAS</w:t>
            </w:r>
          </w:p>
        </w:tc>
        <w:tc>
          <w:tcPr>
            <w:tcW w:w="7336" w:type="dxa"/>
            <w:shd w:val="clear" w:color="auto" w:fill="EEECE1"/>
            <w:vAlign w:val="center"/>
          </w:tcPr>
          <w:p w:rsidR="00385835" w:rsidRPr="00385835" w:rsidRDefault="00385835" w:rsidP="00385835">
            <w:pPr>
              <w:widowControl w:val="0"/>
              <w:tabs>
                <w:tab w:val="left" w:pos="622"/>
              </w:tabs>
              <w:spacing w:after="0" w:line="240" w:lineRule="auto"/>
              <w:jc w:val="both"/>
              <w:rPr>
                <w:rFonts w:ascii="Times New Roman" w:eastAsia="AngsanaUPC" w:hAnsi="Times New Roman"/>
                <w:b/>
                <w:bCs/>
                <w:iCs/>
                <w:sz w:val="24"/>
                <w:szCs w:val="24"/>
                <w:lang w:eastAsia="lt-LT"/>
              </w:rPr>
            </w:pPr>
            <w:r w:rsidRPr="00385835">
              <w:rPr>
                <w:rFonts w:ascii="Times New Roman" w:eastAsia="AngsanaUPC" w:hAnsi="Times New Roman"/>
                <w:b/>
                <w:bCs/>
                <w:sz w:val="24"/>
                <w:szCs w:val="24"/>
                <w:lang w:eastAsia="lt-LT"/>
              </w:rPr>
              <w:t>Mokyklos nebaigiančių asmenų skaičiaus mažinimas ir mokyklos nebaigimo prevencija, lygių galimybių gauti geros kokybės ikimokyklinį, pradinį, pagrindinį ir vidurinį išsilavinimą, įskaitant grįžimui į švietimo ir mokymo procesą skirtus mokymosi būdus, tarp jų formalųjį, neformalųjį mokymąsi ir savišvietą, užtikri</w:t>
            </w:r>
            <w:r w:rsidR="00031EF1">
              <w:rPr>
                <w:rFonts w:ascii="Times New Roman" w:eastAsia="AngsanaUPC" w:hAnsi="Times New Roman"/>
                <w:b/>
                <w:bCs/>
                <w:sz w:val="24"/>
                <w:szCs w:val="24"/>
                <w:lang w:eastAsia="lt-LT"/>
              </w:rPr>
              <w:t>nimas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FONDAS</w:t>
            </w:r>
          </w:p>
        </w:tc>
        <w:tc>
          <w:tcPr>
            <w:tcW w:w="7336"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Europos socialinis fondas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tcPr>
          <w:p w:rsidR="00385835" w:rsidRPr="00385835" w:rsidRDefault="00385835" w:rsidP="00385835">
            <w:pPr>
              <w:widowControl w:val="0"/>
              <w:tabs>
                <w:tab w:val="left" w:pos="622"/>
              </w:tabs>
              <w:spacing w:after="0" w:line="240" w:lineRule="auto"/>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9.2.1. KONKRETUS UŽDAVINYS</w:t>
            </w:r>
          </w:p>
        </w:tc>
        <w:tc>
          <w:tcPr>
            <w:tcW w:w="7336" w:type="dxa"/>
            <w:shd w:val="clear" w:color="auto" w:fill="EEECE1"/>
            <w:vAlign w:val="center"/>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Pagerinti mokinių ugdymo pasiekimus skatinant pokyčius švietimo įstaigų veikloje</w:t>
            </w:r>
          </w:p>
        </w:tc>
      </w:tr>
      <w:tr w:rsidR="00385835" w:rsidRPr="00385835" w:rsidTr="00385835">
        <w:tc>
          <w:tcPr>
            <w:tcW w:w="9746" w:type="dxa"/>
            <w:gridSpan w:val="2"/>
            <w:shd w:val="clear" w:color="auto" w:fill="auto"/>
          </w:tcPr>
          <w:p w:rsidR="00385835" w:rsidRPr="00385835" w:rsidRDefault="00385835" w:rsidP="00385835">
            <w:pPr>
              <w:spacing w:after="0" w:line="240" w:lineRule="auto"/>
              <w:ind w:firstLine="624"/>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 xml:space="preserve">Naujausi tarptautinių mokinių pasiekimų tyrimų (PISA, TIMSS ir PIRLS) rezultatai rodo, kad vidutiniai Lietuvos mokinių skaitymo, matematikos ir gamtos mokslų pasiekimai išlieka </w:t>
            </w:r>
            <w:r w:rsidRPr="00385835">
              <w:rPr>
                <w:rFonts w:ascii="Times New Roman" w:eastAsia="AngsanaUPC" w:hAnsi="Times New Roman"/>
                <w:bCs/>
                <w:sz w:val="24"/>
                <w:szCs w:val="24"/>
                <w:lang w:eastAsia="lt-LT"/>
              </w:rPr>
              <w:lastRenderedPageBreak/>
              <w:t xml:space="preserve">statistiškai žemesni nei kaimyninėse šalyse, kaimo vaikų pasiekimai </w:t>
            </w:r>
            <w:proofErr w:type="gramStart"/>
            <w:r w:rsidRPr="00385835">
              <w:rPr>
                <w:rFonts w:ascii="Times New Roman" w:eastAsia="AngsanaUPC" w:hAnsi="Times New Roman"/>
                <w:bCs/>
                <w:sz w:val="24"/>
                <w:szCs w:val="24"/>
                <w:lang w:eastAsia="lt-LT"/>
              </w:rPr>
              <w:t>žymiai</w:t>
            </w:r>
            <w:proofErr w:type="gramEnd"/>
            <w:r w:rsidRPr="00385835">
              <w:rPr>
                <w:rFonts w:ascii="Times New Roman" w:eastAsia="AngsanaUPC" w:hAnsi="Times New Roman"/>
                <w:bCs/>
                <w:sz w:val="24"/>
                <w:szCs w:val="24"/>
                <w:lang w:eastAsia="lt-LT"/>
              </w:rPr>
              <w:t xml:space="preserve"> prastesni nei miesto, o berniukų</w:t>
            </w:r>
            <w:r w:rsidR="004056A1">
              <w:rPr>
                <w:rFonts w:ascii="Times New Roman" w:eastAsia="AngsanaUPC" w:hAnsi="Times New Roman"/>
                <w:bCs/>
                <w:sz w:val="24"/>
                <w:szCs w:val="24"/>
                <w:lang w:eastAsia="lt-LT"/>
              </w:rPr>
              <w:t xml:space="preserve"> rezultatai</w:t>
            </w:r>
            <w:r w:rsidRPr="00385835">
              <w:rPr>
                <w:rFonts w:ascii="Times New Roman" w:eastAsia="AngsanaUPC" w:hAnsi="Times New Roman"/>
                <w:bCs/>
                <w:sz w:val="24"/>
                <w:szCs w:val="24"/>
                <w:lang w:eastAsia="lt-LT"/>
              </w:rPr>
              <w:t xml:space="preserve"> gerokai prastesni nei mergaičių. </w:t>
            </w:r>
          </w:p>
          <w:p w:rsidR="00385835" w:rsidRPr="00385835" w:rsidRDefault="00385835" w:rsidP="00385835">
            <w:pPr>
              <w:spacing w:after="0" w:line="240" w:lineRule="auto"/>
              <w:ind w:firstLine="624"/>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Didelė dalis mokyklų ir ikimokyklinio ugdymo įstaigų taiko pasenusius ugdymo organizavimo modelius, metodus, ugdymo įrankius, priemones ir turinį. Ugdymo įstaigų darbuotojams ir bendruomenės nariams trūksta bendrųjų ir dalykinių kompetencijų. Pedagoginiai darbuotojai sen</w:t>
            </w:r>
            <w:r w:rsidR="004056A1">
              <w:rPr>
                <w:rFonts w:ascii="Times New Roman" w:eastAsia="AngsanaUPC" w:hAnsi="Times New Roman"/>
                <w:bCs/>
                <w:sz w:val="24"/>
                <w:szCs w:val="24"/>
                <w:lang w:eastAsia="lt-LT"/>
              </w:rPr>
              <w:t>sta, o į jų vietą neateina jaunų šiuolaikiškai parengtų darbuotojų</w:t>
            </w:r>
            <w:r w:rsidRPr="00385835">
              <w:rPr>
                <w:rFonts w:ascii="Times New Roman" w:eastAsia="AngsanaUPC" w:hAnsi="Times New Roman"/>
                <w:bCs/>
                <w:sz w:val="24"/>
                <w:szCs w:val="24"/>
                <w:lang w:eastAsia="lt-LT"/>
              </w:rPr>
              <w:t xml:space="preserve">. Mokytojams ir auklėtojams trūksta mokinių pažinimo, vadybinių, dalykinių ir technologinių kompetencijų, gebėjimų ugdyti mokinių kūrybiškumą, pilietiškumą, lyderystę ir verslumą. </w:t>
            </w:r>
          </w:p>
          <w:p w:rsidR="00385835" w:rsidRPr="00385835" w:rsidRDefault="00385835" w:rsidP="00385835">
            <w:pPr>
              <w:spacing w:after="0" w:line="240" w:lineRule="auto"/>
              <w:ind w:firstLine="624"/>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2014–2020 m. programavimo laikotarpiu, atsižvelgiant į mokinių pasiekimų ir mokyklų pažangos vertinimo rezultatus, bus remiamos kryptingos valstybės institucijų, savivaldybių ir mokyklų bendruomenių pastangos gerinti mokinių pasi</w:t>
            </w:r>
            <w:r w:rsidR="004056A1">
              <w:rPr>
                <w:rFonts w:ascii="Times New Roman" w:eastAsia="AngsanaUPC" w:hAnsi="Times New Roman"/>
                <w:bCs/>
                <w:sz w:val="24"/>
                <w:szCs w:val="24"/>
                <w:lang w:eastAsia="lt-LT"/>
              </w:rPr>
              <w:t>ekimus. P</w:t>
            </w:r>
            <w:r w:rsidR="004056A1" w:rsidRPr="00385835">
              <w:rPr>
                <w:rFonts w:ascii="Times New Roman" w:eastAsia="AngsanaUPC" w:hAnsi="Times New Roman"/>
                <w:bCs/>
                <w:sz w:val="24"/>
                <w:szCs w:val="24"/>
                <w:lang w:eastAsia="lt-LT"/>
              </w:rPr>
              <w:t xml:space="preserve">ažangos </w:t>
            </w:r>
            <w:r w:rsidR="004056A1">
              <w:rPr>
                <w:rFonts w:ascii="Times New Roman" w:eastAsia="AngsanaUPC" w:hAnsi="Times New Roman"/>
                <w:bCs/>
                <w:sz w:val="24"/>
                <w:szCs w:val="24"/>
                <w:lang w:eastAsia="lt-LT"/>
              </w:rPr>
              <w:t>siekiančios</w:t>
            </w:r>
            <w:r w:rsidRPr="00385835">
              <w:rPr>
                <w:rFonts w:ascii="Times New Roman" w:eastAsia="AngsanaUPC" w:hAnsi="Times New Roman"/>
                <w:bCs/>
                <w:sz w:val="24"/>
                <w:szCs w:val="24"/>
                <w:lang w:eastAsia="lt-LT"/>
              </w:rPr>
              <w:t xml:space="preserve"> mokyklos rengs individualizuotus veiksmų planus, pagal kuriuos parama bus teikiama prisiimant sutartinius įsipareigojimus pagerinti ugdymo kokybę, dalyvauti mokinių pasiekimų vertinimuose ir viešinti jų rezultatus. Šios į konkrečią ugdymo įstaigos problematiką nukreiptos priemonės pagerins mokinių ugdymo pasiekimus skaitymo, matematikos ir gamtos mokslų srityje, taip pat sumažins kaimo vaikų pasiekimų skirtumą lyginant su miesto vaikų pasiekimais, pagerins berniukų pasiekimus.</w:t>
            </w:r>
          </w:p>
          <w:p w:rsidR="00385835" w:rsidRPr="00385835" w:rsidRDefault="00385835" w:rsidP="00385835">
            <w:pPr>
              <w:spacing w:after="0" w:line="240" w:lineRule="auto"/>
              <w:ind w:firstLine="624"/>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Remiantis Bendrojo ugdymo mokyklų, vykdančių pradinio ir pagrindinio ugdymo programas, stiprinimo ir inkliuzinio ugdymo plėtros 2014–2016 metų veiksmų planu bei siejant su konkrečių mokyklų ir ikimokyklinio ugdymo įstaigų poreikiais</w:t>
            </w:r>
            <w:r w:rsidR="004056A1">
              <w:rPr>
                <w:rFonts w:ascii="Times New Roman" w:eastAsia="AngsanaUPC" w:hAnsi="Times New Roman"/>
                <w:bCs/>
                <w:sz w:val="24"/>
                <w:szCs w:val="24"/>
                <w:lang w:eastAsia="lt-LT"/>
              </w:rPr>
              <w:t>,</w:t>
            </w:r>
            <w:r w:rsidRPr="00385835">
              <w:rPr>
                <w:rFonts w:ascii="Times New Roman" w:hAnsi="Times New Roman"/>
                <w:sz w:val="24"/>
                <w:szCs w:val="24"/>
              </w:rPr>
              <w:t xml:space="preserve"> </w:t>
            </w:r>
            <w:r w:rsidRPr="00385835">
              <w:rPr>
                <w:rFonts w:ascii="Times New Roman" w:eastAsia="AngsanaUPC" w:hAnsi="Times New Roman"/>
                <w:bCs/>
                <w:sz w:val="24"/>
                <w:szCs w:val="24"/>
                <w:lang w:eastAsia="lt-LT"/>
              </w:rPr>
              <w:t>bus tikslingai patobulinta pedagoginių darbuotojų kvalifikacija. Švietimo pagalbos sistema bus priartinta prie mokytojo ar auklėtojo darbo vietos. Pedagogams bus sudarytos sąlygos pripažinti neformaliai įgytas kompetencijas, tobulinti kvalifikaciją laipsniškai kaupiant kreditus aukštojo mokslo įstaigose, siekti magistro laipsnio. Nauji specialistai bus įtraukti į švietimo ir švietimo pagalbos veiklą. Per mentorystę ir kitais būdais bus įgytos pedagoginės informacinių technologijų, psichologinės ir kitos reikalingos kompetencijos.</w:t>
            </w:r>
          </w:p>
          <w:p w:rsidR="00385835" w:rsidRPr="00385835" w:rsidRDefault="00385835" w:rsidP="00385835">
            <w:pPr>
              <w:spacing w:after="0" w:line="240" w:lineRule="auto"/>
              <w:ind w:firstLine="624"/>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Remiantis patvirtintu Informacinių ir komunikacinių technologijų diegimo į bendrąjį ugdymą ir profesinį mokymą 2014–2016 metų veiksmų planu bus diegiamos informacinės ir komunikacinės technologijos bei ugdoma mokytojų kvalifikacija dirbti su naujomis informacinėmis ir komunikacinėmis technologijomis.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568"/>
        <w:gridCol w:w="1842"/>
        <w:gridCol w:w="992"/>
        <w:gridCol w:w="992"/>
        <w:gridCol w:w="710"/>
        <w:gridCol w:w="561"/>
        <w:gridCol w:w="852"/>
        <w:gridCol w:w="713"/>
        <w:gridCol w:w="569"/>
        <w:gridCol w:w="1214"/>
        <w:gridCol w:w="733"/>
      </w:tblGrid>
      <w:tr w:rsidR="00385835" w:rsidRPr="00385835" w:rsidTr="00385835">
        <w:trPr>
          <w:tblHeader/>
        </w:trPr>
        <w:tc>
          <w:tcPr>
            <w:tcW w:w="5000" w:type="pct"/>
            <w:gridSpan w:val="11"/>
            <w:shd w:val="clear" w:color="auto" w:fill="EEECE1"/>
          </w:tcPr>
          <w:p w:rsidR="00385835" w:rsidRPr="00385835" w:rsidRDefault="00385835" w:rsidP="006827C9">
            <w:pPr>
              <w:widowControl w:val="0"/>
              <w:tabs>
                <w:tab w:val="left" w:pos="622"/>
              </w:tabs>
              <w:spacing w:after="0" w:line="240" w:lineRule="auto"/>
              <w:jc w:val="both"/>
              <w:rPr>
                <w:rFonts w:ascii="Times New Roman" w:eastAsia="AngsanaUPC" w:hAnsi="Times New Roman"/>
                <w:b/>
                <w:bCs/>
                <w:i/>
                <w:iCs/>
                <w:sz w:val="24"/>
                <w:szCs w:val="24"/>
                <w:lang w:eastAsia="lt-LT"/>
              </w:rPr>
            </w:pPr>
            <w:r w:rsidRPr="00385835">
              <w:rPr>
                <w:rFonts w:ascii="Times New Roman" w:eastAsia="AngsanaUPC" w:hAnsi="Times New Roman"/>
                <w:b/>
                <w:bCs/>
                <w:i/>
                <w:iCs/>
                <w:sz w:val="24"/>
                <w:szCs w:val="24"/>
                <w:lang w:eastAsia="lt-LT"/>
              </w:rPr>
              <w:t xml:space="preserve">ESF bendrieji ir </w:t>
            </w:r>
            <w:r w:rsidR="006827C9">
              <w:rPr>
                <w:rFonts w:ascii="Times New Roman" w:eastAsia="AngsanaUPC" w:hAnsi="Times New Roman"/>
                <w:b/>
                <w:bCs/>
                <w:i/>
                <w:iCs/>
                <w:sz w:val="24"/>
                <w:szCs w:val="24"/>
                <w:lang w:eastAsia="lt-LT"/>
              </w:rPr>
              <w:t>specialieji</w:t>
            </w:r>
            <w:r w:rsidR="006827C9" w:rsidRPr="00385835">
              <w:rPr>
                <w:rFonts w:ascii="Times New Roman" w:eastAsia="AngsanaUPC" w:hAnsi="Times New Roman"/>
                <w:b/>
                <w:bCs/>
                <w:i/>
                <w:iCs/>
                <w:sz w:val="24"/>
                <w:szCs w:val="24"/>
                <w:lang w:eastAsia="lt-LT"/>
              </w:rPr>
              <w:t xml:space="preserve"> </w:t>
            </w:r>
            <w:r w:rsidRPr="00385835">
              <w:rPr>
                <w:rFonts w:ascii="Times New Roman" w:eastAsia="AngsanaUPC" w:hAnsi="Times New Roman"/>
                <w:b/>
                <w:bCs/>
                <w:i/>
                <w:iCs/>
                <w:sz w:val="24"/>
                <w:szCs w:val="24"/>
                <w:lang w:eastAsia="lt-LT"/>
              </w:rPr>
              <w:t>programos rezultato rodikliai</w:t>
            </w:r>
          </w:p>
        </w:tc>
      </w:tr>
      <w:tr w:rsidR="00385835" w:rsidRPr="00385835" w:rsidTr="00385835">
        <w:tblPrEx>
          <w:shd w:val="clear" w:color="auto" w:fill="auto"/>
        </w:tblPrEx>
        <w:trPr>
          <w:cantSplit/>
          <w:trHeight w:val="1837"/>
          <w:tblHeader/>
        </w:trPr>
        <w:tc>
          <w:tcPr>
            <w:tcW w:w="291" w:type="pct"/>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Nr.</w:t>
            </w:r>
          </w:p>
        </w:tc>
        <w:tc>
          <w:tcPr>
            <w:tcW w:w="945" w:type="pct"/>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Rodiklio pavadinimas</w:t>
            </w:r>
          </w:p>
        </w:tc>
        <w:tc>
          <w:tcPr>
            <w:tcW w:w="509" w:type="pct"/>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Regiono kategorija</w:t>
            </w:r>
          </w:p>
        </w:tc>
        <w:tc>
          <w:tcPr>
            <w:tcW w:w="509" w:type="pct"/>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Matavimo vienetas</w:t>
            </w:r>
          </w:p>
        </w:tc>
        <w:tc>
          <w:tcPr>
            <w:tcW w:w="364" w:type="pct"/>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Bendrasis produkto rodiklis, naudotas kaip pagrindas</w:t>
            </w:r>
          </w:p>
        </w:tc>
        <w:tc>
          <w:tcPr>
            <w:tcW w:w="288" w:type="pct"/>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 reikšmė</w:t>
            </w:r>
          </w:p>
        </w:tc>
        <w:tc>
          <w:tcPr>
            <w:tcW w:w="437" w:type="pct"/>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Pradinės ir siektinos reikšmės matavimo vienetai</w:t>
            </w:r>
          </w:p>
        </w:tc>
        <w:tc>
          <w:tcPr>
            <w:tcW w:w="366" w:type="pct"/>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Pradinės reikšmės metai</w:t>
            </w:r>
          </w:p>
        </w:tc>
        <w:tc>
          <w:tcPr>
            <w:tcW w:w="292" w:type="pct"/>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Siektina reikšmė (2023)</w:t>
            </w:r>
          </w:p>
        </w:tc>
        <w:tc>
          <w:tcPr>
            <w:tcW w:w="623" w:type="pct"/>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Duomenų šaltinis</w:t>
            </w:r>
          </w:p>
        </w:tc>
        <w:tc>
          <w:tcPr>
            <w:tcW w:w="376" w:type="pct"/>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Atsiskaitymo dažnumas</w:t>
            </w:r>
          </w:p>
        </w:tc>
      </w:tr>
      <w:tr w:rsidR="00385835" w:rsidRPr="00385835" w:rsidTr="00385835">
        <w:tblPrEx>
          <w:shd w:val="clear" w:color="auto" w:fill="auto"/>
        </w:tblPrEx>
        <w:tc>
          <w:tcPr>
            <w:tcW w:w="291" w:type="pct"/>
            <w:shd w:val="clear" w:color="auto" w:fill="auto"/>
            <w:vAlign w:val="center"/>
          </w:tcPr>
          <w:p w:rsidR="00385835" w:rsidRPr="00385835" w:rsidDel="00EB790F" w:rsidRDefault="00385835" w:rsidP="00385835">
            <w:pPr>
              <w:widowControl w:val="0"/>
              <w:tabs>
                <w:tab w:val="left" w:pos="622"/>
              </w:tabs>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1.</w:t>
            </w:r>
          </w:p>
        </w:tc>
        <w:tc>
          <w:tcPr>
            <w:tcW w:w="945" w:type="pct"/>
            <w:shd w:val="clear" w:color="auto" w:fill="auto"/>
          </w:tcPr>
          <w:p w:rsidR="00385835" w:rsidRPr="00385835" w:rsidRDefault="00385835" w:rsidP="00385835">
            <w:pPr>
              <w:widowControl w:val="0"/>
              <w:tabs>
                <w:tab w:val="left" w:pos="622"/>
              </w:tabs>
              <w:spacing w:after="0" w:line="240" w:lineRule="auto"/>
              <w:rPr>
                <w:rFonts w:ascii="Times New Roman" w:eastAsia="Times New Roman" w:hAnsi="Times New Roman"/>
                <w:bCs/>
                <w:sz w:val="18"/>
                <w:szCs w:val="18"/>
              </w:rPr>
            </w:pPr>
            <w:r w:rsidRPr="00385835">
              <w:rPr>
                <w:rFonts w:ascii="Times New Roman" w:eastAsia="Times New Roman" w:hAnsi="Times New Roman"/>
                <w:bCs/>
                <w:sz w:val="18"/>
                <w:szCs w:val="18"/>
              </w:rPr>
              <w:t>Pagal veiksmų programą ESF finansavimą ugdymo kokybei gerinti gavusių mokyklų, kurių mokinių ugdymo pasiekimai pagerėjo, dalis</w:t>
            </w:r>
          </w:p>
        </w:tc>
        <w:tc>
          <w:tcPr>
            <w:tcW w:w="509" w:type="pct"/>
            <w:shd w:val="clear" w:color="auto" w:fill="auto"/>
            <w:vAlign w:val="center"/>
          </w:tcPr>
          <w:p w:rsidR="00385835" w:rsidRPr="00385835" w:rsidDel="00EB790F" w:rsidRDefault="00385835" w:rsidP="00385835">
            <w:pPr>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Mažiau išsivystęs</w:t>
            </w:r>
          </w:p>
        </w:tc>
        <w:tc>
          <w:tcPr>
            <w:tcW w:w="509" w:type="pct"/>
            <w:shd w:val="clear" w:color="auto" w:fill="auto"/>
            <w:vAlign w:val="center"/>
          </w:tcPr>
          <w:p w:rsidR="00385835" w:rsidRPr="00385835" w:rsidDel="00EB790F" w:rsidRDefault="00385835" w:rsidP="00385835">
            <w:pPr>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Mokyklos</w:t>
            </w:r>
          </w:p>
        </w:tc>
        <w:tc>
          <w:tcPr>
            <w:tcW w:w="364" w:type="pct"/>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Times New Roman" w:hAnsi="Times New Roman"/>
                <w:b/>
                <w:bCs/>
                <w:sz w:val="18"/>
                <w:szCs w:val="18"/>
              </w:rPr>
            </w:pPr>
            <w:r w:rsidRPr="00385835">
              <w:rPr>
                <w:rFonts w:ascii="Times New Roman" w:eastAsia="Times New Roman" w:hAnsi="Times New Roman"/>
                <w:b/>
                <w:bCs/>
                <w:sz w:val="18"/>
                <w:szCs w:val="18"/>
              </w:rPr>
              <w:t>-</w:t>
            </w:r>
          </w:p>
        </w:tc>
        <w:tc>
          <w:tcPr>
            <w:tcW w:w="288" w:type="pct"/>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0</w:t>
            </w:r>
          </w:p>
        </w:tc>
        <w:tc>
          <w:tcPr>
            <w:tcW w:w="437" w:type="pct"/>
            <w:shd w:val="clear" w:color="auto" w:fill="auto"/>
            <w:vAlign w:val="center"/>
          </w:tcPr>
          <w:p w:rsidR="00385835" w:rsidRPr="00385835" w:rsidDel="00EB790F" w:rsidRDefault="00385835" w:rsidP="00385835">
            <w:pPr>
              <w:widowControl w:val="0"/>
              <w:tabs>
                <w:tab w:val="left" w:pos="622"/>
              </w:tabs>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Proc.</w:t>
            </w:r>
          </w:p>
        </w:tc>
        <w:tc>
          <w:tcPr>
            <w:tcW w:w="366" w:type="pct"/>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2014</w:t>
            </w:r>
          </w:p>
        </w:tc>
        <w:tc>
          <w:tcPr>
            <w:tcW w:w="292" w:type="pct"/>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70</w:t>
            </w:r>
          </w:p>
        </w:tc>
        <w:tc>
          <w:tcPr>
            <w:tcW w:w="623" w:type="pct"/>
            <w:shd w:val="clear" w:color="auto" w:fill="auto"/>
            <w:vAlign w:val="center"/>
          </w:tcPr>
          <w:p w:rsidR="00385835" w:rsidRPr="00385835" w:rsidDel="00EB790F" w:rsidRDefault="00385835" w:rsidP="00385835">
            <w:pPr>
              <w:widowControl w:val="0"/>
              <w:tabs>
                <w:tab w:val="left" w:pos="622"/>
              </w:tabs>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Nacionalinis egzaminų centras, duomenys iš projektų</w:t>
            </w:r>
          </w:p>
        </w:tc>
        <w:tc>
          <w:tcPr>
            <w:tcW w:w="376" w:type="pct"/>
            <w:shd w:val="clear" w:color="auto" w:fill="auto"/>
            <w:vAlign w:val="center"/>
          </w:tcPr>
          <w:p w:rsidR="00385835" w:rsidRPr="00385835" w:rsidDel="00EB790F"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tcPr>
          <w:p w:rsidR="00385835" w:rsidRPr="00385835" w:rsidRDefault="00385835" w:rsidP="00385835">
            <w:pPr>
              <w:widowControl w:val="0"/>
              <w:tabs>
                <w:tab w:val="left" w:pos="622"/>
              </w:tabs>
              <w:spacing w:after="0" w:line="240" w:lineRule="auto"/>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9.2.2. KONKRETUS UŽDAVINYS</w:t>
            </w:r>
          </w:p>
        </w:tc>
        <w:tc>
          <w:tcPr>
            <w:tcW w:w="7336" w:type="dxa"/>
            <w:shd w:val="clear" w:color="auto" w:fill="EEECE1"/>
            <w:vAlign w:val="center"/>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Sumažinti anksti iš švietimo sistemos pasitraukusių ir bendrojo ugdymo programos nebaigusių asmenų skaičių</w:t>
            </w:r>
          </w:p>
        </w:tc>
      </w:tr>
      <w:tr w:rsidR="00385835" w:rsidRPr="00385835" w:rsidTr="00385835">
        <w:tc>
          <w:tcPr>
            <w:tcW w:w="9746" w:type="dxa"/>
            <w:gridSpan w:val="2"/>
            <w:shd w:val="clear" w:color="auto" w:fill="auto"/>
          </w:tcPr>
          <w:p w:rsidR="00385835" w:rsidRPr="00385835" w:rsidRDefault="00385835" w:rsidP="00385835">
            <w:pPr>
              <w:spacing w:after="0" w:line="240" w:lineRule="auto"/>
              <w:ind w:firstLine="624"/>
              <w:jc w:val="both"/>
              <w:rPr>
                <w:rFonts w:ascii="Times New Roman" w:hAnsi="Times New Roman"/>
                <w:sz w:val="24"/>
                <w:szCs w:val="24"/>
              </w:rPr>
            </w:pPr>
            <w:r w:rsidRPr="00385835">
              <w:rPr>
                <w:rFonts w:ascii="Times New Roman" w:hAnsi="Times New Roman"/>
                <w:sz w:val="24"/>
                <w:szCs w:val="24"/>
              </w:rPr>
              <w:t xml:space="preserve">Lietuvoje bendrojo ugdymo nebaigusių ir iš švietimo sistemos pasitraukusių mokinių skaičius kaimiškose vietovėse beveik 3 kartus didesnis nei mieste, anksti švietimo sistemą palikusių vaikinų yra du kartus daugiau nei merginų. Šiuo metu taikomų ankstyvojo pasitraukimo </w:t>
            </w:r>
            <w:r w:rsidRPr="00385835">
              <w:rPr>
                <w:rFonts w:ascii="Times New Roman" w:hAnsi="Times New Roman"/>
                <w:sz w:val="24"/>
                <w:szCs w:val="24"/>
              </w:rPr>
              <w:lastRenderedPageBreak/>
              <w:t xml:space="preserve">prevencijos, mažinimo ir antros galimybės priemonių įvairovė bei mastas yra ribojamas išteklių, ypač mažai dėmesio skiriama prevencinei veiklai, o švietimo pagalba nepakankamai individualizuota, intensyvi ir savalaikė. Prastai tenkinami tiek turinčių raidos sutrikimų, tiek ypač gabių vaikų ugdymo poreikiai. Mažai dėmesio skiriama mokinių socialinio, emocinio, saugumo ir lygiavertiškumo užtikrinimui. </w:t>
            </w:r>
          </w:p>
          <w:p w:rsidR="00385835" w:rsidRPr="00385835" w:rsidRDefault="00385835" w:rsidP="00385835">
            <w:pPr>
              <w:spacing w:after="0" w:line="240" w:lineRule="auto"/>
              <w:ind w:firstLine="624"/>
              <w:jc w:val="both"/>
              <w:rPr>
                <w:rFonts w:ascii="Times New Roman" w:hAnsi="Times New Roman"/>
                <w:sz w:val="24"/>
                <w:szCs w:val="24"/>
              </w:rPr>
            </w:pPr>
            <w:r w:rsidRPr="00385835">
              <w:rPr>
                <w:rFonts w:ascii="Times New Roman" w:hAnsi="Times New Roman"/>
                <w:sz w:val="24"/>
                <w:szCs w:val="24"/>
              </w:rPr>
              <w:t>Labai didelę reikšmę vaikų socializacijai ir mokymosi motyvacijai turi neformalus ugdymas, kuris padeda išlaikyti mokinius formaliojo švietimo sistemoje ir ją papildo įvairiomis ugdymo kryptimis ir galimybėmis. Neformalaus ugdymo įstaigų tinklas ypač retas kaimiškose vietovėse, kur dalyvaujančių vaikų buvo daugiau nei du kartus mažiau nei mieste. Be to, maža tokio ugdymo pasirinkimo įvairovė –</w:t>
            </w:r>
            <w:r w:rsidR="004056A1">
              <w:rPr>
                <w:rFonts w:ascii="Times New Roman" w:hAnsi="Times New Roman"/>
                <w:sz w:val="24"/>
                <w:szCs w:val="24"/>
              </w:rPr>
              <w:t xml:space="preserve"> </w:t>
            </w:r>
            <w:r w:rsidRPr="00385835">
              <w:rPr>
                <w:rFonts w:ascii="Times New Roman" w:hAnsi="Times New Roman"/>
                <w:sz w:val="24"/>
                <w:szCs w:val="24"/>
              </w:rPr>
              <w:t xml:space="preserve">dažniausiai nėra technologinio ir gamtamokslinio ugdymo galimybių. </w:t>
            </w:r>
          </w:p>
          <w:p w:rsidR="00385835" w:rsidRPr="00385835" w:rsidRDefault="00385835" w:rsidP="00385835">
            <w:pPr>
              <w:spacing w:after="0" w:line="240" w:lineRule="auto"/>
              <w:ind w:firstLine="624"/>
              <w:jc w:val="both"/>
              <w:rPr>
                <w:rFonts w:ascii="Times New Roman" w:hAnsi="Times New Roman"/>
                <w:sz w:val="24"/>
                <w:szCs w:val="24"/>
              </w:rPr>
            </w:pPr>
            <w:r w:rsidRPr="00385835">
              <w:rPr>
                <w:rFonts w:ascii="Times New Roman" w:hAnsi="Times New Roman"/>
                <w:sz w:val="24"/>
                <w:szCs w:val="24"/>
              </w:rPr>
              <w:t>2014–2020 m. programavimo laikotarpiu bus remiamos tikslingos valstybės institucijų, savivaldybių ir mokyklų bendruomenių pastangos padėti mokiniams sėkmingai baigti bendrojo ugdymo programą arba (ir) įgyti profesinę kvalifikaciją. Iš valstybės biudžeto skiriamas lėšas papildant šio uždavinio lėšomis bus kryptingai investuojama į mokyklas, kuriose yra padidinta ankstyvojo pasitraukimo iš švietimo sistemos rizika.</w:t>
            </w:r>
          </w:p>
          <w:p w:rsidR="00385835" w:rsidRPr="00385835" w:rsidRDefault="00385835" w:rsidP="00385835">
            <w:pPr>
              <w:widowControl w:val="0"/>
              <w:tabs>
                <w:tab w:val="left" w:pos="622"/>
              </w:tabs>
              <w:spacing w:after="0" w:line="240" w:lineRule="auto"/>
              <w:ind w:firstLine="624"/>
              <w:jc w:val="both"/>
              <w:rPr>
                <w:rFonts w:ascii="Times New Roman" w:eastAsia="AngsanaUPC" w:hAnsi="Times New Roman"/>
                <w:bCs/>
                <w:sz w:val="24"/>
                <w:szCs w:val="24"/>
                <w:lang w:eastAsia="lt-LT"/>
              </w:rPr>
            </w:pPr>
            <w:r w:rsidRPr="00385835">
              <w:rPr>
                <w:rFonts w:ascii="Times New Roman" w:hAnsi="Times New Roman"/>
                <w:sz w:val="24"/>
                <w:szCs w:val="24"/>
              </w:rPr>
              <w:t>2014–2</w:t>
            </w:r>
            <w:r w:rsidR="004056A1">
              <w:rPr>
                <w:rFonts w:ascii="Times New Roman" w:hAnsi="Times New Roman"/>
                <w:sz w:val="24"/>
                <w:szCs w:val="24"/>
              </w:rPr>
              <w:t>020 m. programavimo laikotarpiu</w:t>
            </w:r>
            <w:r w:rsidRPr="00385835">
              <w:rPr>
                <w:rFonts w:ascii="Times New Roman" w:hAnsi="Times New Roman"/>
                <w:sz w:val="24"/>
                <w:szCs w:val="24"/>
              </w:rPr>
              <w:t xml:space="preserve"> bus išplėstas švietimo pagalbos teikimas, padidintas kokybiško neformalaus vaikų ugdymo prieinamumas, išplėsta ikimokyklinio ir priešmokyklinio ugdymo aprėptis, sustiprintas lituanistinį švietimą užsienio lietuviams</w:t>
            </w:r>
            <w:r w:rsidRPr="00385835" w:rsidDel="00714DE7">
              <w:rPr>
                <w:rFonts w:ascii="Times New Roman" w:hAnsi="Times New Roman"/>
                <w:sz w:val="24"/>
                <w:szCs w:val="24"/>
              </w:rPr>
              <w:t xml:space="preserve"> </w:t>
            </w:r>
            <w:r w:rsidRPr="00385835">
              <w:rPr>
                <w:rFonts w:ascii="Times New Roman" w:hAnsi="Times New Roman"/>
                <w:sz w:val="24"/>
                <w:szCs w:val="24"/>
              </w:rPr>
              <w:t>ir sudarytos sąlygos neužkertančios galimybės sugrįžti į nacionalinę švietimo sistemą, padidinta neformaliojo ir alternatyvaus ugdymo įvairovė, sukurta mokinių mokymosi ir savišvietos rezultatų patvirtinimo sistema, užtikrinta ilgalaikė ankstyvojo pasitraukimo iš švietimo sistemos prevencija Dėmesio skiriama socialinės rizikos šeimų vaikų ugdymui, švietimo pagalbos teikimui.</w:t>
            </w:r>
            <w:r w:rsidRPr="005A6B3E">
              <w:rPr>
                <w:rFonts w:ascii="Times New Roman" w:eastAsia="AngsanaUPC" w:hAnsi="Times New Roman"/>
                <w:bCs/>
                <w:iCs/>
                <w:sz w:val="24"/>
                <w:szCs w:val="24"/>
                <w:lang w:eastAsia="lt-LT"/>
              </w:rPr>
              <w:t xml:space="preserve"> </w:t>
            </w:r>
            <w:r w:rsidRPr="00385835">
              <w:rPr>
                <w:rFonts w:ascii="Times New Roman" w:hAnsi="Times New Roman"/>
                <w:bCs/>
                <w:iCs/>
                <w:sz w:val="24"/>
                <w:szCs w:val="24"/>
              </w:rPr>
              <w:t>Padidės specialiųjų poreikių ir socialinės atskirties grupių vaikų integracija į bendrojo ugdymo įstaigas</w:t>
            </w:r>
            <w:r w:rsidRPr="00385835">
              <w:rPr>
                <w:rFonts w:ascii="Times New Roman" w:eastAsia="AngsanaUPC" w:hAnsi="Times New Roman"/>
                <w:bCs/>
                <w:iCs/>
                <w:sz w:val="24"/>
                <w:szCs w:val="24"/>
                <w:lang w:eastAsia="lt-LT"/>
              </w:rPr>
              <w:t xml:space="preserve"> </w:t>
            </w:r>
            <w:r w:rsidRPr="00385835">
              <w:rPr>
                <w:rFonts w:ascii="Times New Roman" w:hAnsi="Times New Roman"/>
                <w:bCs/>
                <w:iCs/>
                <w:sz w:val="24"/>
                <w:szCs w:val="24"/>
              </w:rPr>
              <w:t>ir patobulintos specializuotų ugdymo įstaigų teikiamos paslaugos, kurios sudarys prielaidas sėkmingai integracijai į bendrojo ugdymo įstaigas.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567"/>
        <w:gridCol w:w="2127"/>
        <w:gridCol w:w="992"/>
        <w:gridCol w:w="992"/>
        <w:gridCol w:w="709"/>
        <w:gridCol w:w="425"/>
        <w:gridCol w:w="709"/>
        <w:gridCol w:w="709"/>
        <w:gridCol w:w="425"/>
        <w:gridCol w:w="1417"/>
        <w:gridCol w:w="674"/>
      </w:tblGrid>
      <w:tr w:rsidR="00385835" w:rsidRPr="00385835" w:rsidTr="00385835">
        <w:tc>
          <w:tcPr>
            <w:tcW w:w="9746" w:type="dxa"/>
            <w:gridSpan w:val="11"/>
            <w:shd w:val="clear" w:color="auto" w:fill="EEECE1"/>
          </w:tcPr>
          <w:p w:rsidR="00385835" w:rsidRPr="00385835" w:rsidRDefault="00385835" w:rsidP="006827C9">
            <w:pPr>
              <w:widowControl w:val="0"/>
              <w:tabs>
                <w:tab w:val="left" w:pos="622"/>
              </w:tabs>
              <w:spacing w:after="0" w:line="240" w:lineRule="auto"/>
              <w:jc w:val="both"/>
              <w:rPr>
                <w:rFonts w:ascii="Times New Roman" w:eastAsia="AngsanaUPC" w:hAnsi="Times New Roman"/>
                <w:b/>
                <w:bCs/>
                <w:i/>
                <w:iCs/>
                <w:sz w:val="24"/>
                <w:szCs w:val="24"/>
                <w:lang w:eastAsia="lt-LT"/>
              </w:rPr>
            </w:pPr>
            <w:r w:rsidRPr="00385835">
              <w:rPr>
                <w:rFonts w:ascii="Times New Roman" w:eastAsia="AngsanaUPC" w:hAnsi="Times New Roman"/>
                <w:b/>
                <w:bCs/>
                <w:i/>
                <w:iCs/>
                <w:sz w:val="24"/>
                <w:szCs w:val="24"/>
                <w:lang w:eastAsia="lt-LT"/>
              </w:rPr>
              <w:t xml:space="preserve">ESF bendrieji ir </w:t>
            </w:r>
            <w:r w:rsidR="006827C9">
              <w:rPr>
                <w:rFonts w:ascii="Times New Roman" w:eastAsia="AngsanaUPC" w:hAnsi="Times New Roman"/>
                <w:b/>
                <w:bCs/>
                <w:i/>
                <w:iCs/>
                <w:sz w:val="24"/>
                <w:szCs w:val="24"/>
                <w:lang w:eastAsia="lt-LT"/>
              </w:rPr>
              <w:t>specialieji</w:t>
            </w:r>
            <w:r w:rsidR="006827C9" w:rsidRPr="00385835">
              <w:rPr>
                <w:rFonts w:ascii="Times New Roman" w:eastAsia="AngsanaUPC" w:hAnsi="Times New Roman"/>
                <w:b/>
                <w:bCs/>
                <w:i/>
                <w:iCs/>
                <w:sz w:val="24"/>
                <w:szCs w:val="24"/>
                <w:lang w:eastAsia="lt-LT"/>
              </w:rPr>
              <w:t xml:space="preserve"> </w:t>
            </w:r>
            <w:r w:rsidRPr="00385835">
              <w:rPr>
                <w:rFonts w:ascii="Times New Roman" w:eastAsia="AngsanaUPC" w:hAnsi="Times New Roman"/>
                <w:b/>
                <w:bCs/>
                <w:i/>
                <w:iCs/>
                <w:sz w:val="24"/>
                <w:szCs w:val="24"/>
                <w:lang w:eastAsia="lt-LT"/>
              </w:rPr>
              <w:t>programos rezultato rodikliai</w:t>
            </w:r>
          </w:p>
        </w:tc>
      </w:tr>
      <w:tr w:rsidR="00385835" w:rsidRPr="00385835" w:rsidTr="00385835">
        <w:tblPrEx>
          <w:shd w:val="clear" w:color="auto" w:fill="auto"/>
        </w:tblPrEx>
        <w:trPr>
          <w:cantSplit/>
          <w:trHeight w:val="1837"/>
        </w:trPr>
        <w:tc>
          <w:tcPr>
            <w:tcW w:w="567"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Nr.</w:t>
            </w:r>
          </w:p>
        </w:tc>
        <w:tc>
          <w:tcPr>
            <w:tcW w:w="2127"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Rodiklio pavadinimas</w:t>
            </w:r>
          </w:p>
        </w:tc>
        <w:tc>
          <w:tcPr>
            <w:tcW w:w="992"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Regiono kategorija</w:t>
            </w:r>
          </w:p>
        </w:tc>
        <w:tc>
          <w:tcPr>
            <w:tcW w:w="992"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Matavimo vienetas</w:t>
            </w:r>
          </w:p>
        </w:tc>
        <w:tc>
          <w:tcPr>
            <w:tcW w:w="709"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Bendrasis produkto rodiklis, naudotas kaip pagrindas</w:t>
            </w:r>
          </w:p>
        </w:tc>
        <w:tc>
          <w:tcPr>
            <w:tcW w:w="425"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 reikšmė</w:t>
            </w:r>
          </w:p>
        </w:tc>
        <w:tc>
          <w:tcPr>
            <w:tcW w:w="709"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Pradinės ir siektinos reikšmės matavimo vienetai</w:t>
            </w:r>
          </w:p>
        </w:tc>
        <w:tc>
          <w:tcPr>
            <w:tcW w:w="709"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Pradinės reikšmės metai</w:t>
            </w:r>
          </w:p>
        </w:tc>
        <w:tc>
          <w:tcPr>
            <w:tcW w:w="425"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Siektina reikšmė (2023)</w:t>
            </w:r>
          </w:p>
        </w:tc>
        <w:tc>
          <w:tcPr>
            <w:tcW w:w="1417"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Duomenų šaltinis</w:t>
            </w:r>
          </w:p>
        </w:tc>
        <w:tc>
          <w:tcPr>
            <w:tcW w:w="674"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Atsiskaitymo dažnumas</w:t>
            </w:r>
          </w:p>
        </w:tc>
      </w:tr>
      <w:tr w:rsidR="00385835" w:rsidRPr="00385835" w:rsidTr="00385835">
        <w:tblPrEx>
          <w:shd w:val="clear" w:color="auto" w:fill="auto"/>
        </w:tblPrEx>
        <w:trPr>
          <w:cantSplit/>
          <w:trHeight w:val="276"/>
        </w:trPr>
        <w:tc>
          <w:tcPr>
            <w:tcW w:w="56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1.</w:t>
            </w:r>
          </w:p>
        </w:tc>
        <w:tc>
          <w:tcPr>
            <w:tcW w:w="2127" w:type="dxa"/>
            <w:shd w:val="clear" w:color="auto" w:fill="auto"/>
            <w:vAlign w:val="center"/>
          </w:tcPr>
          <w:p w:rsidR="00385835" w:rsidRPr="00385835" w:rsidRDefault="00385835" w:rsidP="00385835">
            <w:pPr>
              <w:widowControl w:val="0"/>
              <w:tabs>
                <w:tab w:val="left" w:pos="622"/>
              </w:tabs>
              <w:spacing w:after="0" w:line="240" w:lineRule="auto"/>
              <w:rPr>
                <w:rFonts w:ascii="Times New Roman" w:eastAsia="Times New Roman" w:hAnsi="Times New Roman"/>
                <w:bCs/>
                <w:sz w:val="18"/>
                <w:szCs w:val="18"/>
              </w:rPr>
            </w:pPr>
            <w:r w:rsidRPr="00385835">
              <w:rPr>
                <w:rFonts w:ascii="Times New Roman" w:eastAsia="Times New Roman" w:hAnsi="Times New Roman"/>
                <w:bCs/>
                <w:sz w:val="18"/>
                <w:szCs w:val="18"/>
              </w:rPr>
              <w:t xml:space="preserve">Mokyklos nelankančių mokinių dalies sumažėjimas mokyklose, kurios pagal veiksmų programą ESF lėšomis įgyvendino ankstyvojo pasitraukimo iš mokyklos prevencijos bei kompensacijos priemones </w:t>
            </w:r>
          </w:p>
        </w:tc>
        <w:tc>
          <w:tcPr>
            <w:tcW w:w="992" w:type="dxa"/>
            <w:shd w:val="clear" w:color="auto" w:fill="auto"/>
            <w:vAlign w:val="center"/>
          </w:tcPr>
          <w:p w:rsidR="00385835" w:rsidRPr="00385835" w:rsidRDefault="00385835" w:rsidP="00385835">
            <w:pPr>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Mažiau išsivystęs</w:t>
            </w:r>
          </w:p>
        </w:tc>
        <w:tc>
          <w:tcPr>
            <w:tcW w:w="992" w:type="dxa"/>
            <w:shd w:val="clear" w:color="auto" w:fill="auto"/>
            <w:vAlign w:val="center"/>
          </w:tcPr>
          <w:p w:rsidR="00385835" w:rsidRPr="00385835" w:rsidRDefault="00385835" w:rsidP="00385835">
            <w:pPr>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Asmenys</w:t>
            </w:r>
          </w:p>
        </w:tc>
        <w:tc>
          <w:tcPr>
            <w:tcW w:w="709"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Times New Roman" w:hAnsi="Times New Roman"/>
                <w:b/>
                <w:bCs/>
                <w:sz w:val="18"/>
                <w:szCs w:val="18"/>
              </w:rPr>
            </w:pPr>
            <w:r w:rsidRPr="00385835">
              <w:rPr>
                <w:rFonts w:ascii="Times New Roman" w:eastAsia="Times New Roman" w:hAnsi="Times New Roman"/>
                <w:bCs/>
                <w:sz w:val="18"/>
                <w:szCs w:val="18"/>
              </w:rPr>
              <w:t>-</w:t>
            </w:r>
          </w:p>
        </w:tc>
        <w:tc>
          <w:tcPr>
            <w:tcW w:w="425"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0*</w:t>
            </w:r>
          </w:p>
        </w:tc>
        <w:tc>
          <w:tcPr>
            <w:tcW w:w="709"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Proc.</w:t>
            </w:r>
          </w:p>
        </w:tc>
        <w:tc>
          <w:tcPr>
            <w:tcW w:w="709"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Times New Roman" w:hAnsi="Times New Roman"/>
                <w:b/>
                <w:bCs/>
                <w:sz w:val="18"/>
                <w:szCs w:val="18"/>
              </w:rPr>
            </w:pPr>
            <w:r w:rsidRPr="00385835">
              <w:rPr>
                <w:rFonts w:ascii="Times New Roman" w:eastAsia="Times New Roman" w:hAnsi="Times New Roman"/>
                <w:bCs/>
                <w:sz w:val="18"/>
                <w:szCs w:val="18"/>
              </w:rPr>
              <w:t>2012</w:t>
            </w:r>
          </w:p>
        </w:tc>
        <w:tc>
          <w:tcPr>
            <w:tcW w:w="425"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2</w:t>
            </w:r>
          </w:p>
        </w:tc>
        <w:tc>
          <w:tcPr>
            <w:tcW w:w="141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Nesimokančių vaikų ir mokyklos nelankančių mokinių informacinė sistema, duomenys iš projektų</w:t>
            </w:r>
          </w:p>
        </w:tc>
        <w:tc>
          <w:tcPr>
            <w:tcW w:w="67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bl>
    <w:p w:rsidR="00385835" w:rsidRPr="00385835" w:rsidRDefault="00385835" w:rsidP="00385835">
      <w:pPr>
        <w:widowControl w:val="0"/>
        <w:tabs>
          <w:tab w:val="left" w:pos="622"/>
        </w:tabs>
        <w:spacing w:after="0" w:line="240" w:lineRule="auto"/>
        <w:jc w:val="both"/>
        <w:rPr>
          <w:rFonts w:ascii="Times New Roman" w:eastAsia="Times New Roman" w:hAnsi="Times New Roman"/>
          <w:bCs/>
          <w:sz w:val="18"/>
          <w:szCs w:val="18"/>
        </w:rPr>
      </w:pPr>
      <w:r w:rsidRPr="00385835">
        <w:rPr>
          <w:rFonts w:ascii="Times New Roman" w:eastAsia="AngsanaUPC" w:hAnsi="Times New Roman"/>
          <w:bCs/>
          <w:sz w:val="24"/>
          <w:szCs w:val="24"/>
          <w:lang w:eastAsia="lt-LT"/>
        </w:rPr>
        <w:t xml:space="preserve">* </w:t>
      </w:r>
      <w:r w:rsidRPr="00385835">
        <w:rPr>
          <w:rFonts w:ascii="Times New Roman" w:eastAsia="Times New Roman" w:hAnsi="Times New Roman"/>
          <w:bCs/>
          <w:sz w:val="18"/>
          <w:szCs w:val="18"/>
        </w:rPr>
        <w:t>Nustatoma kiekvienai mokyklai</w:t>
      </w:r>
    </w:p>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385835" w:rsidRPr="00385835" w:rsidTr="00385835">
        <w:tc>
          <w:tcPr>
            <w:tcW w:w="9746" w:type="dxa"/>
            <w:tcBorders>
              <w:top w:val="single" w:sz="4" w:space="0" w:color="auto"/>
              <w:left w:val="single" w:sz="4" w:space="0" w:color="auto"/>
              <w:bottom w:val="single" w:sz="4" w:space="0" w:color="auto"/>
              <w:right w:val="single" w:sz="4" w:space="0" w:color="auto"/>
            </w:tcBorders>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Cs/>
                <w:iCs/>
                <w:sz w:val="24"/>
                <w:szCs w:val="24"/>
                <w:lang w:eastAsia="lt-LT"/>
              </w:rPr>
            </w:pPr>
            <w:r w:rsidRPr="00385835">
              <w:rPr>
                <w:rFonts w:ascii="Times New Roman" w:eastAsia="AngsanaUPC" w:hAnsi="Times New Roman"/>
                <w:b/>
                <w:bCs/>
                <w:i/>
                <w:iCs/>
                <w:sz w:val="24"/>
                <w:szCs w:val="24"/>
                <w:lang w:eastAsia="lt-LT"/>
              </w:rPr>
              <w:t>9.2. Investicinio prioriteto įgyvendinimo veiklos</w:t>
            </w:r>
          </w:p>
        </w:tc>
      </w:tr>
      <w:tr w:rsidR="00385835" w:rsidRPr="00385835" w:rsidTr="00385835">
        <w:tc>
          <w:tcPr>
            <w:tcW w:w="9746" w:type="dxa"/>
            <w:shd w:val="clear" w:color="auto" w:fill="auto"/>
          </w:tcPr>
          <w:p w:rsidR="00385835" w:rsidRPr="00385835" w:rsidRDefault="00385835" w:rsidP="00385835">
            <w:pPr>
              <w:widowControl w:val="0"/>
              <w:tabs>
                <w:tab w:val="left" w:pos="601"/>
                <w:tab w:val="left" w:pos="1665"/>
              </w:tabs>
              <w:spacing w:after="0" w:line="240" w:lineRule="auto"/>
              <w:ind w:left="34"/>
              <w:jc w:val="both"/>
              <w:rPr>
                <w:rFonts w:ascii="Times New Roman" w:eastAsia="AngsanaUPC" w:hAnsi="Times New Roman"/>
                <w:bCs/>
                <w:i/>
                <w:iCs/>
                <w:sz w:val="24"/>
                <w:szCs w:val="24"/>
                <w:lang w:eastAsia="lt-LT"/>
              </w:rPr>
            </w:pPr>
            <w:r w:rsidRPr="00385835">
              <w:rPr>
                <w:rFonts w:ascii="Times New Roman" w:eastAsia="AngsanaUPC" w:hAnsi="Times New Roman"/>
                <w:bCs/>
                <w:i/>
                <w:iCs/>
                <w:sz w:val="24"/>
                <w:szCs w:val="24"/>
                <w:lang w:eastAsia="lt-LT"/>
              </w:rPr>
              <w:t>9.2.1 konkretaus uždavinio veiklos:</w:t>
            </w:r>
          </w:p>
          <w:p w:rsidR="00385835" w:rsidRPr="00385835" w:rsidRDefault="00385835" w:rsidP="00650E41">
            <w:pPr>
              <w:widowControl w:val="0"/>
              <w:numPr>
                <w:ilvl w:val="0"/>
                <w:numId w:val="18"/>
              </w:numPr>
              <w:tabs>
                <w:tab w:val="left" w:pos="459"/>
                <w:tab w:val="num" w:pos="1125"/>
                <w:tab w:val="left" w:pos="1665"/>
              </w:tabs>
              <w:spacing w:after="0" w:line="240" w:lineRule="auto"/>
              <w:ind w:left="34"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Mokyklų ir jų bendruomenių, steigėjų iniciatyvų gerinti mokinių ugdymo pasiekimus rėmimas. Mokyklų, ypač kai</w:t>
            </w:r>
            <w:r w:rsidR="004056A1">
              <w:rPr>
                <w:rFonts w:ascii="Times New Roman" w:eastAsia="AngsanaUPC" w:hAnsi="Times New Roman"/>
                <w:bCs/>
                <w:iCs/>
                <w:sz w:val="24"/>
                <w:szCs w:val="24"/>
                <w:lang w:eastAsia="lt-LT"/>
              </w:rPr>
              <w:t xml:space="preserve">miškų mokyklų, </w:t>
            </w:r>
            <w:r w:rsidRPr="00385835">
              <w:rPr>
                <w:rFonts w:ascii="Times New Roman" w:eastAsia="AngsanaUPC" w:hAnsi="Times New Roman"/>
                <w:bCs/>
                <w:iCs/>
                <w:sz w:val="24"/>
                <w:szCs w:val="24"/>
                <w:lang w:eastAsia="lt-LT"/>
              </w:rPr>
              <w:t xml:space="preserve">veiklos veiksmingumo didinimas. Gerosios praktikos ugdymo organizavimo metodikų įgyvendinimas, elektroninių ugdymo (ugdymo turinio, proceso perkėlimas į elektroninę erdvę ir jo pateikimas IRT ir kitomis priemonėmis) ir švietimo pagalbos </w:t>
            </w:r>
            <w:r w:rsidRPr="00385835">
              <w:rPr>
                <w:rFonts w:ascii="Times New Roman" w:eastAsia="AngsanaUPC" w:hAnsi="Times New Roman"/>
                <w:bCs/>
                <w:iCs/>
                <w:sz w:val="24"/>
                <w:szCs w:val="24"/>
                <w:lang w:eastAsia="lt-LT"/>
              </w:rPr>
              <w:lastRenderedPageBreak/>
              <w:t>paslaugų plėtra, reikalingų švietimo technologijų diegimas bei taikymas, mokytojų darbo vietų aprūpinimas, švietimo pagalbos veiklos, parama originalių mokyklų ir ikimokyklinio ugdymo įstaigų ugdymo organizavimo projektams, kokybės valdymo ir institucinio vertinimo sistemų stiprinimui. Taip pat bus remiamos karjeros paslaugos ir tėvų informavimas ir mokymas apie vaikų ugdymo poreikius, mokymo programas, įtraukimas į ikimokyklinio ir bendrojo ugdymo įstaigų savivaldą, aktyvesnis dalyvavimas</w:t>
            </w:r>
            <w:r w:rsidR="004056A1">
              <w:rPr>
                <w:rFonts w:ascii="Times New Roman" w:eastAsia="AngsanaUPC" w:hAnsi="Times New Roman"/>
                <w:bCs/>
                <w:iCs/>
                <w:sz w:val="24"/>
                <w:szCs w:val="24"/>
                <w:lang w:eastAsia="lt-LT"/>
              </w:rPr>
              <w:t>,</w:t>
            </w:r>
            <w:r w:rsidRPr="00385835">
              <w:rPr>
                <w:rFonts w:ascii="Times New Roman" w:eastAsia="AngsanaUPC" w:hAnsi="Times New Roman"/>
                <w:bCs/>
                <w:iCs/>
                <w:sz w:val="24"/>
                <w:szCs w:val="24"/>
                <w:lang w:eastAsia="lt-LT"/>
              </w:rPr>
              <w:t xml:space="preserve"> įgyvendinant ugdymo ir mokymo programas bendradarbiaujant su švietimo įstaigomis. Kūryba paremtų partnerysčių plėtojimas: kultūros įstaigų, kūrybinių verslų atstovų, kūrėjų bendradarbiavimas su švietimo įstaigomis, kūrybinių kompetencijų, metodų, priemonių ir viešos kultūros infrastruktūros naudojimas aktualiems ugdymo(si) poreikiams, stiprinant jungtis tarp formaliojo ir neformaliojo švietimo.</w:t>
            </w:r>
          </w:p>
          <w:p w:rsidR="00385835" w:rsidRPr="00385835" w:rsidRDefault="00385835" w:rsidP="00650E41">
            <w:pPr>
              <w:widowControl w:val="0"/>
              <w:numPr>
                <w:ilvl w:val="0"/>
                <w:numId w:val="18"/>
              </w:numPr>
              <w:tabs>
                <w:tab w:val="left" w:pos="459"/>
                <w:tab w:val="num" w:pos="1125"/>
                <w:tab w:val="left" w:pos="1665"/>
              </w:tabs>
              <w:spacing w:after="0" w:line="240" w:lineRule="auto"/>
              <w:ind w:left="34"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 xml:space="preserve">Vertinimo ir stebėsenos sistemos plėtra: kompetencijų ugdymo ir pasiekimų vertinimo sistemos diegimas, neformalaus, ikimokyklinio, priešmokyklinio </w:t>
            </w:r>
            <w:proofErr w:type="gramStart"/>
            <w:r w:rsidRPr="00385835">
              <w:rPr>
                <w:rFonts w:ascii="Times New Roman" w:eastAsia="AngsanaUPC" w:hAnsi="Times New Roman"/>
                <w:bCs/>
                <w:iCs/>
                <w:sz w:val="24"/>
                <w:szCs w:val="24"/>
                <w:lang w:eastAsia="lt-LT"/>
              </w:rPr>
              <w:t>ir bendrojo ugdymo stebėsenos tobulinimas, mokinių kompetencijų vertinimo ir įsivertinimo metodikų, sistemų, įrankių kūrimas ir pasiekimų tyrimai, parama vertinimo ir jo modernizavimo veikloms ir vertinimo rezultatų sklaida/viešinimas ir panaudojimas</w:t>
            </w:r>
            <w:proofErr w:type="gramEnd"/>
            <w:r w:rsidRPr="00385835">
              <w:rPr>
                <w:rFonts w:ascii="Times New Roman" w:eastAsia="AngsanaUPC" w:hAnsi="Times New Roman"/>
                <w:bCs/>
                <w:iCs/>
                <w:sz w:val="24"/>
                <w:szCs w:val="24"/>
                <w:lang w:eastAsia="lt-LT"/>
              </w:rPr>
              <w:t xml:space="preserve">. </w:t>
            </w:r>
          </w:p>
          <w:p w:rsidR="00385835" w:rsidRPr="00385835" w:rsidRDefault="00385835" w:rsidP="00650E41">
            <w:pPr>
              <w:widowControl w:val="0"/>
              <w:numPr>
                <w:ilvl w:val="0"/>
                <w:numId w:val="18"/>
              </w:numPr>
              <w:tabs>
                <w:tab w:val="left" w:pos="459"/>
                <w:tab w:val="num" w:pos="1125"/>
                <w:tab w:val="left" w:pos="1665"/>
              </w:tabs>
              <w:spacing w:after="0" w:line="240" w:lineRule="auto"/>
              <w:ind w:left="34"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 xml:space="preserve">Esminis kvalifikacijos tobulinimas mokytojams, švietimo pagalbos specialistų kvalifikacijos tobulinimas. Semestras/modulis aukštojoje mokykloje, ilgalaikės ir trumpalaikės stažuotės ir praktikos, tarptautinės patirties įgijimo skatinimas ir rėmimas, bendrųjų ir specifinių kompetencijų tobulinimas, mokinių pažinimo kompetencijų tobulinimas, kūrybingumą skatinančių metodų ir programų diegimas, prieinamumas prie informacijos šaltinių, mokytojų bendradarbiavimui skirtų renginių rėmimas, gerosios patirties sklaidos iniciatyvų atviroje erdvėje skatinimas; mokytojo profesijos populiarinimas. </w:t>
            </w:r>
          </w:p>
          <w:p w:rsidR="00385835" w:rsidRDefault="00385835" w:rsidP="00650E41">
            <w:pPr>
              <w:widowControl w:val="0"/>
              <w:numPr>
                <w:ilvl w:val="0"/>
                <w:numId w:val="13"/>
              </w:numPr>
              <w:tabs>
                <w:tab w:val="left" w:pos="459"/>
                <w:tab w:val="left" w:pos="1665"/>
              </w:tabs>
              <w:spacing w:after="0" w:line="240" w:lineRule="auto"/>
              <w:ind w:left="34"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Pedagogo specialybės populiarinimas. Specialistų pritraukimas į švietimo ir švietimo pagalbos veiklą: pedagoginių kompetencijų suteikimas ne pedagogams ir į jų įtraukimas į švietimo, švietimo pagalbos veiklą, specialistų ir mokslininkų pritraukim</w:t>
            </w:r>
            <w:r w:rsidR="000C2D82">
              <w:rPr>
                <w:rFonts w:ascii="Times New Roman" w:eastAsia="AngsanaUPC" w:hAnsi="Times New Roman"/>
                <w:bCs/>
                <w:iCs/>
                <w:sz w:val="24"/>
                <w:szCs w:val="24"/>
                <w:lang w:eastAsia="lt-LT"/>
              </w:rPr>
              <w:t>as</w:t>
            </w:r>
            <w:r w:rsidRPr="00385835">
              <w:rPr>
                <w:rFonts w:ascii="Times New Roman" w:eastAsia="AngsanaUPC" w:hAnsi="Times New Roman"/>
                <w:bCs/>
                <w:iCs/>
                <w:sz w:val="24"/>
                <w:szCs w:val="24"/>
                <w:lang w:eastAsia="lt-LT"/>
              </w:rPr>
              <w:t xml:space="preserve"> į švietimo sistemą iš darbo rinkos, pirmųjų pedagoginio darbo metų rėmim</w:t>
            </w:r>
            <w:r w:rsidR="000C2D82">
              <w:rPr>
                <w:rFonts w:ascii="Times New Roman" w:eastAsia="AngsanaUPC" w:hAnsi="Times New Roman"/>
                <w:bCs/>
                <w:iCs/>
                <w:sz w:val="24"/>
                <w:szCs w:val="24"/>
                <w:lang w:eastAsia="lt-LT"/>
              </w:rPr>
              <w:t>as</w:t>
            </w:r>
            <w:r w:rsidRPr="00385835">
              <w:rPr>
                <w:rFonts w:ascii="Times New Roman" w:eastAsia="AngsanaUPC" w:hAnsi="Times New Roman"/>
                <w:bCs/>
                <w:iCs/>
                <w:sz w:val="24"/>
                <w:szCs w:val="24"/>
                <w:lang w:eastAsia="lt-LT"/>
              </w:rPr>
              <w:t xml:space="preserve">, atsitraukimo iš pedagoginės veiklos rėmimas, </w:t>
            </w:r>
            <w:r w:rsidR="000C2D82">
              <w:rPr>
                <w:rFonts w:ascii="Times New Roman" w:eastAsia="AngsanaUPC" w:hAnsi="Times New Roman"/>
                <w:bCs/>
                <w:iCs/>
                <w:sz w:val="24"/>
                <w:szCs w:val="24"/>
                <w:lang w:eastAsia="lt-LT"/>
              </w:rPr>
              <w:t xml:space="preserve">padedant </w:t>
            </w:r>
            <w:r w:rsidRPr="00385835">
              <w:rPr>
                <w:rFonts w:ascii="Times New Roman" w:eastAsia="AngsanaUPC" w:hAnsi="Times New Roman"/>
                <w:bCs/>
                <w:iCs/>
                <w:sz w:val="24"/>
                <w:szCs w:val="24"/>
                <w:lang w:eastAsia="lt-LT"/>
              </w:rPr>
              <w:t>pereiti prie mokytojo konsultanto, padėjėjo ar mentoriaus vaidmens panaudojant sukauptą patirtį.</w:t>
            </w:r>
          </w:p>
          <w:p w:rsidR="00385835" w:rsidRPr="00385835" w:rsidRDefault="00385835" w:rsidP="004056A1">
            <w:pPr>
              <w:widowControl w:val="0"/>
              <w:tabs>
                <w:tab w:val="left" w:pos="601"/>
                <w:tab w:val="left" w:pos="1665"/>
              </w:tabs>
              <w:spacing w:after="0" w:line="240" w:lineRule="auto"/>
              <w:jc w:val="both"/>
              <w:rPr>
                <w:rFonts w:ascii="Times New Roman" w:eastAsia="AngsanaUPC" w:hAnsi="Times New Roman"/>
                <w:bCs/>
                <w:i/>
                <w:iCs/>
                <w:sz w:val="24"/>
                <w:szCs w:val="24"/>
                <w:lang w:eastAsia="lt-LT"/>
              </w:rPr>
            </w:pPr>
            <w:r w:rsidRPr="00385835">
              <w:rPr>
                <w:rFonts w:ascii="Times New Roman" w:eastAsia="AngsanaUPC" w:hAnsi="Times New Roman"/>
                <w:bCs/>
                <w:i/>
                <w:iCs/>
                <w:sz w:val="24"/>
                <w:szCs w:val="24"/>
                <w:lang w:eastAsia="lt-LT"/>
              </w:rPr>
              <w:t>9.2.2. konkretaus uždavinio veiklos:</w:t>
            </w:r>
          </w:p>
          <w:p w:rsidR="00385835" w:rsidRPr="00385835" w:rsidRDefault="00385835" w:rsidP="00650E41">
            <w:pPr>
              <w:widowControl w:val="0"/>
              <w:numPr>
                <w:ilvl w:val="0"/>
                <w:numId w:val="13"/>
              </w:numPr>
              <w:tabs>
                <w:tab w:val="left" w:pos="459"/>
                <w:tab w:val="left" w:pos="1665"/>
              </w:tabs>
              <w:spacing w:after="0" w:line="240" w:lineRule="auto"/>
              <w:ind w:left="34"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Mokyklų ir jų bendruomenių, steigėjų pastangos mažinti ankstyvą pasitraukimą iš švietimo sistemos rėmimas. Kompleksiškai teikiama švietimo pagalba, ugdymo aplinkos tobulinimas</w:t>
            </w:r>
            <w:r w:rsidR="00963FF1" w:rsidRPr="00385835">
              <w:rPr>
                <w:rFonts w:ascii="Times New Roman" w:eastAsia="AngsanaUPC" w:hAnsi="Times New Roman"/>
                <w:bCs/>
                <w:iCs/>
                <w:sz w:val="24"/>
                <w:szCs w:val="24"/>
                <w:lang w:eastAsia="lt-LT"/>
              </w:rPr>
              <w:t>,</w:t>
            </w:r>
            <w:r w:rsidRPr="00385835">
              <w:rPr>
                <w:rFonts w:ascii="Times New Roman" w:eastAsia="AngsanaUPC" w:hAnsi="Times New Roman"/>
                <w:bCs/>
                <w:iCs/>
                <w:sz w:val="24"/>
                <w:szCs w:val="24"/>
                <w:lang w:eastAsia="lt-LT"/>
              </w:rPr>
              <w:t xml:space="preserve"> t.y. prevencinių, intervencinių ir kompensacinių priemonių įgyvendinimas, mokinių socialinio, emocinio saugumo ir lygiavertiškumo užtikrinimas. Mokyklose diegiami saugios mokyklos sisteminiai pokyčiai, lemiantys patyčių, prekybos žmonėmis ir smurto, alkoholio ir tabako vartojimo mažinimą, kad būtų užtikrinamas mokyklos bendruomenės psichologinis saugumas. Planuojamas švietimo įstaigų darbuotojų kompetencijų ugdymas vykdant neformaliojo švietimo programas.</w:t>
            </w:r>
          </w:p>
          <w:p w:rsidR="00385835" w:rsidRPr="00385835" w:rsidRDefault="00385835" w:rsidP="00650E41">
            <w:pPr>
              <w:widowControl w:val="0"/>
              <w:numPr>
                <w:ilvl w:val="0"/>
                <w:numId w:val="13"/>
              </w:numPr>
              <w:tabs>
                <w:tab w:val="left" w:pos="459"/>
                <w:tab w:val="left" w:pos="1665"/>
              </w:tabs>
              <w:spacing w:after="0" w:line="240" w:lineRule="auto"/>
              <w:ind w:left="34"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Specialiųjų poreikių ir socialinės atskirties grupių vaikų integracijos į švietimo sistemą rėmimas ir neformaliojo bei alternatyvaus ugdymo įvairovės skatinimas. Bus investuojama į specializuotų ugdymo įstaigų paslaugų tobulinimą, skatinant kokybinius pokyčius vaikų socializacijos centrų ir kitų specializuotų įstaigų veikloje, taip pat bus skiriamas labai didelis dėmesys specialiųjų poreikių ir socialinės atskirties grupių vaikų integravimui į bendrojo ugdymo įstaigas ir mokytojų gebėjimui dirbti. Numatoma finansuoti įvairią individualizuotą švietimo pagalbą. Investicijos apims visas specialiųjų ugdymo p</w:t>
            </w:r>
            <w:r w:rsidR="00963FF1">
              <w:rPr>
                <w:rFonts w:ascii="Times New Roman" w:eastAsia="AngsanaUPC" w:hAnsi="Times New Roman"/>
                <w:bCs/>
                <w:iCs/>
                <w:sz w:val="24"/>
                <w:szCs w:val="24"/>
                <w:lang w:eastAsia="lt-LT"/>
              </w:rPr>
              <w:t>oreikių mokinių grupes: mokinius, turinčius</w:t>
            </w:r>
            <w:r w:rsidRPr="00385835">
              <w:rPr>
                <w:rFonts w:ascii="Times New Roman" w:eastAsia="AngsanaUPC" w:hAnsi="Times New Roman"/>
                <w:bCs/>
                <w:iCs/>
                <w:sz w:val="24"/>
                <w:szCs w:val="24"/>
                <w:lang w:eastAsia="lt-LT"/>
              </w:rPr>
              <w:t xml:space="preserve"> negalių, raidos sutrikimų ir mokymosi s</w:t>
            </w:r>
            <w:r w:rsidR="00963FF1">
              <w:rPr>
                <w:rFonts w:ascii="Times New Roman" w:eastAsia="AngsanaUPC" w:hAnsi="Times New Roman"/>
                <w:bCs/>
                <w:iCs/>
                <w:sz w:val="24"/>
                <w:szCs w:val="24"/>
                <w:lang w:eastAsia="lt-LT"/>
              </w:rPr>
              <w:t>unkumų, ypatingų gabumų turinčius mokinius</w:t>
            </w:r>
            <w:r w:rsidRPr="00385835">
              <w:rPr>
                <w:rFonts w:ascii="Times New Roman" w:eastAsia="AngsanaUPC" w:hAnsi="Times New Roman"/>
                <w:bCs/>
                <w:iCs/>
                <w:sz w:val="24"/>
                <w:szCs w:val="24"/>
                <w:lang w:eastAsia="lt-LT"/>
              </w:rPr>
              <w:t xml:space="preserve">. </w:t>
            </w:r>
          </w:p>
          <w:p w:rsidR="00385835" w:rsidRPr="00385835" w:rsidRDefault="00385835" w:rsidP="00650E41">
            <w:pPr>
              <w:widowControl w:val="0"/>
              <w:numPr>
                <w:ilvl w:val="0"/>
                <w:numId w:val="13"/>
              </w:numPr>
              <w:tabs>
                <w:tab w:val="left" w:pos="459"/>
                <w:tab w:val="left" w:pos="1665"/>
              </w:tabs>
              <w:spacing w:after="0" w:line="240" w:lineRule="auto"/>
              <w:ind w:left="34"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Įvairiems mokinių poreikiams tenkinti ir gabumams atskleisti bus skatinamas įvairių organizacijų aktyvus įsitraukimas į vaikų ir jaunimo švietimo veiklą, netradicinių erdvių panaudojimas edukacinėms reikmėms, neformaliojo ugdymo iniciatyvų rėmimas ir jų palaikymas, parama neformaliojo švietimo įstaigų paslaugų įvairovei ir prieinamumui didinti</w:t>
            </w:r>
            <w:r w:rsidR="00963FF1">
              <w:rPr>
                <w:rFonts w:ascii="Times New Roman" w:eastAsia="AngsanaUPC" w:hAnsi="Times New Roman"/>
                <w:bCs/>
                <w:iCs/>
                <w:sz w:val="24"/>
                <w:szCs w:val="24"/>
                <w:lang w:eastAsia="lt-LT"/>
              </w:rPr>
              <w:t>,</w:t>
            </w:r>
            <w:r w:rsidRPr="00385835">
              <w:rPr>
                <w:rFonts w:ascii="Times New Roman" w:eastAsia="AngsanaUPC" w:hAnsi="Times New Roman"/>
                <w:bCs/>
                <w:iCs/>
                <w:sz w:val="24"/>
                <w:szCs w:val="24"/>
                <w:lang w:eastAsia="lt-LT"/>
              </w:rPr>
              <w:t xml:space="preserve"> ypač didelį dėmesį skiriant gamtamokslinių, technol</w:t>
            </w:r>
            <w:r w:rsidR="00963FF1">
              <w:rPr>
                <w:rFonts w:ascii="Times New Roman" w:eastAsia="AngsanaUPC" w:hAnsi="Times New Roman"/>
                <w:bCs/>
                <w:iCs/>
                <w:sz w:val="24"/>
                <w:szCs w:val="24"/>
                <w:lang w:eastAsia="lt-LT"/>
              </w:rPr>
              <w:t>oginių, verslumo kompetencijų,</w:t>
            </w:r>
            <w:r w:rsidR="00DA7585">
              <w:rPr>
                <w:rFonts w:ascii="Times New Roman" w:eastAsia="AngsanaUPC" w:hAnsi="Times New Roman"/>
                <w:bCs/>
                <w:iCs/>
                <w:sz w:val="24"/>
                <w:szCs w:val="24"/>
                <w:lang w:eastAsia="lt-LT"/>
              </w:rPr>
              <w:t xml:space="preserve"> </w:t>
            </w:r>
            <w:r w:rsidRPr="00385835">
              <w:rPr>
                <w:rFonts w:ascii="Times New Roman" w:eastAsia="AngsanaUPC" w:hAnsi="Times New Roman"/>
                <w:bCs/>
                <w:iCs/>
                <w:sz w:val="24"/>
                <w:szCs w:val="24"/>
                <w:lang w:eastAsia="lt-LT"/>
              </w:rPr>
              <w:t xml:space="preserve">taip pat kūrybiškumui ir </w:t>
            </w:r>
            <w:r w:rsidRPr="00385835">
              <w:rPr>
                <w:rFonts w:ascii="Times New Roman" w:eastAsia="AngsanaUPC" w:hAnsi="Times New Roman"/>
                <w:bCs/>
                <w:iCs/>
                <w:sz w:val="24"/>
                <w:szCs w:val="24"/>
                <w:lang w:eastAsia="lt-LT"/>
              </w:rPr>
              <w:lastRenderedPageBreak/>
              <w:t>pilietiškumui ugdyti, taip pat švietimo įstaigų darbuotojų kompetencijų ugdymas vykdant neformaliojo švietimo programas.</w:t>
            </w:r>
          </w:p>
          <w:p w:rsidR="00385835" w:rsidRPr="00385835" w:rsidRDefault="00385835" w:rsidP="00650E41">
            <w:pPr>
              <w:widowControl w:val="0"/>
              <w:numPr>
                <w:ilvl w:val="0"/>
                <w:numId w:val="13"/>
              </w:numPr>
              <w:tabs>
                <w:tab w:val="left" w:pos="459"/>
                <w:tab w:val="left" w:pos="1665"/>
              </w:tabs>
              <w:spacing w:after="0" w:line="240" w:lineRule="auto"/>
              <w:ind w:left="34"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Siekiant sudaryti sąlygas emigracijoje augantiems vaikams sėkmingai prisitaikyti prie nacionalinės švietimo sistemos, bus stiprinama</w:t>
            </w:r>
            <w:r w:rsidR="00963FF1">
              <w:rPr>
                <w:rFonts w:ascii="Times New Roman" w:eastAsia="AngsanaUPC" w:hAnsi="Times New Roman"/>
                <w:bCs/>
                <w:iCs/>
                <w:sz w:val="24"/>
                <w:szCs w:val="24"/>
                <w:lang w:eastAsia="lt-LT"/>
              </w:rPr>
              <w:t>s užsienio lietuvių lituanistinis švietimas</w:t>
            </w:r>
            <w:r w:rsidRPr="00385835">
              <w:rPr>
                <w:rFonts w:ascii="Times New Roman" w:eastAsia="AngsanaUPC" w:hAnsi="Times New Roman"/>
                <w:bCs/>
                <w:iCs/>
                <w:sz w:val="24"/>
                <w:szCs w:val="24"/>
                <w:lang w:eastAsia="lt-LT"/>
              </w:rPr>
              <w:t>, bus rengiamos atitinkamoms tikslinėms grupėms skirtos mokymo priemonės, tobulinamos lituanistinių mokytojų profesinės ir pedagoginės kompetencijos, organizuojamos bendros užsienio lietuvių ir Lietuvos vaikų edukacinės stovyklos Lietuvoje ir pan.</w:t>
            </w:r>
            <w:r w:rsidR="00963FF1">
              <w:rPr>
                <w:rFonts w:ascii="Times New Roman" w:eastAsia="AngsanaUPC" w:hAnsi="Times New Roman"/>
                <w:bCs/>
                <w:iCs/>
                <w:sz w:val="24"/>
                <w:szCs w:val="24"/>
                <w:lang w:eastAsia="lt-LT"/>
              </w:rPr>
              <w:t>,</w:t>
            </w:r>
            <w:r w:rsidRPr="00385835">
              <w:rPr>
                <w:rFonts w:ascii="Times New Roman" w:eastAsia="AngsanaUPC" w:hAnsi="Times New Roman"/>
                <w:bCs/>
                <w:iCs/>
                <w:sz w:val="24"/>
                <w:szCs w:val="24"/>
                <w:lang w:eastAsia="lt-LT"/>
              </w:rPr>
              <w:t xml:space="preserve"> taip sudarant galimybę šių specialiųjų ugdymosi poreikių vaikams sugrįžti į nacionalinę švietimo sistemą.</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570"/>
        <w:gridCol w:w="2834"/>
        <w:gridCol w:w="1138"/>
        <w:gridCol w:w="885"/>
        <w:gridCol w:w="1134"/>
        <w:gridCol w:w="856"/>
        <w:gridCol w:w="1001"/>
        <w:gridCol w:w="1227"/>
      </w:tblGrid>
      <w:tr w:rsidR="00385835" w:rsidRPr="00385835" w:rsidTr="00385835">
        <w:tc>
          <w:tcPr>
            <w:tcW w:w="5000" w:type="pct"/>
            <w:gridSpan w:val="8"/>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i/>
                <w:iCs/>
                <w:sz w:val="24"/>
                <w:szCs w:val="24"/>
                <w:lang w:eastAsia="lt-LT"/>
              </w:rPr>
            </w:pPr>
            <w:r w:rsidRPr="00385835">
              <w:rPr>
                <w:rFonts w:ascii="Times New Roman" w:eastAsia="AngsanaUPC" w:hAnsi="Times New Roman"/>
                <w:b/>
                <w:bCs/>
                <w:i/>
                <w:iCs/>
                <w:sz w:val="24"/>
                <w:szCs w:val="24"/>
                <w:lang w:eastAsia="lt-LT"/>
              </w:rPr>
              <w:t xml:space="preserve">ESF bendrieji ir </w:t>
            </w:r>
            <w:r w:rsidR="006827C9">
              <w:rPr>
                <w:rFonts w:ascii="Times New Roman" w:eastAsia="AngsanaUPC" w:hAnsi="Times New Roman"/>
                <w:b/>
                <w:bCs/>
                <w:i/>
                <w:iCs/>
                <w:sz w:val="24"/>
                <w:szCs w:val="24"/>
                <w:lang w:eastAsia="lt-LT"/>
              </w:rPr>
              <w:t>specialieji</w:t>
            </w:r>
            <w:r w:rsidR="006827C9" w:rsidRPr="00385835">
              <w:rPr>
                <w:rFonts w:ascii="Times New Roman" w:eastAsia="AngsanaUPC" w:hAnsi="Times New Roman"/>
                <w:b/>
                <w:bCs/>
                <w:i/>
                <w:iCs/>
                <w:sz w:val="24"/>
                <w:szCs w:val="24"/>
                <w:lang w:eastAsia="lt-LT"/>
              </w:rPr>
              <w:t xml:space="preserve"> </w:t>
            </w:r>
            <w:r w:rsidR="006827C9">
              <w:rPr>
                <w:rFonts w:ascii="Times New Roman" w:eastAsia="AngsanaUPC" w:hAnsi="Times New Roman"/>
                <w:b/>
                <w:bCs/>
                <w:i/>
                <w:iCs/>
                <w:sz w:val="24"/>
                <w:szCs w:val="24"/>
                <w:lang w:eastAsia="lt-LT"/>
              </w:rPr>
              <w:t xml:space="preserve">programos </w:t>
            </w:r>
            <w:r w:rsidRPr="00385835">
              <w:rPr>
                <w:rFonts w:ascii="Times New Roman" w:eastAsia="AngsanaUPC" w:hAnsi="Times New Roman"/>
                <w:b/>
                <w:bCs/>
                <w:i/>
                <w:iCs/>
                <w:sz w:val="24"/>
                <w:szCs w:val="24"/>
                <w:lang w:eastAsia="lt-LT"/>
              </w:rPr>
              <w:t>produkto rodikliai</w:t>
            </w:r>
          </w:p>
        </w:tc>
      </w:tr>
      <w:tr w:rsidR="00385835" w:rsidRPr="00385835" w:rsidTr="00750C20">
        <w:tblPrEx>
          <w:shd w:val="clear" w:color="auto" w:fill="auto"/>
        </w:tblPrEx>
        <w:tc>
          <w:tcPr>
            <w:tcW w:w="295" w:type="pct"/>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Nr.</w:t>
            </w:r>
          </w:p>
        </w:tc>
        <w:tc>
          <w:tcPr>
            <w:tcW w:w="1469" w:type="pct"/>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Rodiklio pavadinimas</w:t>
            </w:r>
          </w:p>
        </w:tc>
        <w:tc>
          <w:tcPr>
            <w:tcW w:w="590" w:type="pct"/>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Matavimo vienetas</w:t>
            </w:r>
          </w:p>
        </w:tc>
        <w:tc>
          <w:tcPr>
            <w:tcW w:w="459" w:type="pct"/>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Fondas</w:t>
            </w:r>
          </w:p>
        </w:tc>
        <w:tc>
          <w:tcPr>
            <w:tcW w:w="588" w:type="pct"/>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Regiono kategorija</w:t>
            </w:r>
          </w:p>
        </w:tc>
        <w:tc>
          <w:tcPr>
            <w:tcW w:w="444" w:type="pct"/>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Siektina reikšmė (2023)</w:t>
            </w:r>
          </w:p>
        </w:tc>
        <w:tc>
          <w:tcPr>
            <w:tcW w:w="519" w:type="pct"/>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Duomenų šaltinis</w:t>
            </w:r>
          </w:p>
        </w:tc>
        <w:tc>
          <w:tcPr>
            <w:tcW w:w="636" w:type="pct"/>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Atsiskaitymo dažnumas</w:t>
            </w:r>
          </w:p>
        </w:tc>
      </w:tr>
      <w:tr w:rsidR="00385835" w:rsidRPr="00385835" w:rsidTr="00385835">
        <w:tblPrEx>
          <w:shd w:val="clear" w:color="auto" w:fill="auto"/>
        </w:tblPrEx>
        <w:tc>
          <w:tcPr>
            <w:tcW w:w="5000" w:type="pct"/>
            <w:gridSpan w:val="8"/>
            <w:shd w:val="clear" w:color="auto" w:fill="EEECE1"/>
            <w:vAlign w:val="center"/>
          </w:tcPr>
          <w:p w:rsidR="00385835" w:rsidRPr="00B93030" w:rsidRDefault="00385835" w:rsidP="00385835">
            <w:pPr>
              <w:widowControl w:val="0"/>
              <w:tabs>
                <w:tab w:val="left" w:pos="622"/>
              </w:tabs>
              <w:spacing w:after="0" w:line="240" w:lineRule="auto"/>
              <w:rPr>
                <w:rFonts w:ascii="Times New Roman" w:eastAsia="AngsanaUPC" w:hAnsi="Times New Roman"/>
                <w:bCs/>
                <w:iCs/>
                <w:sz w:val="18"/>
                <w:szCs w:val="18"/>
                <w:lang w:eastAsia="lt-LT"/>
              </w:rPr>
            </w:pPr>
            <w:r w:rsidRPr="00B93030">
              <w:rPr>
                <w:rFonts w:ascii="Times New Roman" w:eastAsia="AngsanaUPC" w:hAnsi="Times New Roman"/>
                <w:i/>
                <w:iCs/>
                <w:sz w:val="18"/>
                <w:szCs w:val="18"/>
                <w:lang w:eastAsia="lt-LT"/>
              </w:rPr>
              <w:t>9.2.1. konkretaus uždavinio veiklas atspindintys produkto rodikliai:</w:t>
            </w:r>
          </w:p>
        </w:tc>
      </w:tr>
      <w:tr w:rsidR="00385835" w:rsidRPr="00385835" w:rsidTr="00750C20">
        <w:tblPrEx>
          <w:shd w:val="clear" w:color="auto" w:fill="auto"/>
        </w:tblPrEx>
        <w:tc>
          <w:tcPr>
            <w:tcW w:w="295" w:type="pct"/>
            <w:shd w:val="clear" w:color="auto" w:fill="auto"/>
            <w:vAlign w:val="center"/>
          </w:tcPr>
          <w:p w:rsidR="00385835" w:rsidRPr="00385835" w:rsidRDefault="00385835" w:rsidP="00385835">
            <w:pPr>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1.</w:t>
            </w:r>
          </w:p>
        </w:tc>
        <w:tc>
          <w:tcPr>
            <w:tcW w:w="1469" w:type="pct"/>
            <w:shd w:val="clear" w:color="auto" w:fill="auto"/>
            <w:vAlign w:val="center"/>
          </w:tcPr>
          <w:p w:rsidR="00385835" w:rsidRPr="00385835" w:rsidRDefault="00385835" w:rsidP="00385835">
            <w:pPr>
              <w:spacing w:after="0" w:line="240" w:lineRule="auto"/>
              <w:rPr>
                <w:rFonts w:ascii="Times New Roman" w:eastAsia="Times New Roman" w:hAnsi="Times New Roman"/>
                <w:bCs/>
                <w:sz w:val="18"/>
                <w:szCs w:val="18"/>
              </w:rPr>
            </w:pPr>
            <w:r w:rsidRPr="00385835">
              <w:rPr>
                <w:rFonts w:ascii="Times New Roman" w:eastAsia="Times New Roman" w:hAnsi="Times New Roman"/>
                <w:bCs/>
                <w:sz w:val="18"/>
                <w:szCs w:val="18"/>
              </w:rPr>
              <w:t>Mokyklos, kuriose ga</w:t>
            </w:r>
            <w:r w:rsidR="00750C20">
              <w:rPr>
                <w:rFonts w:ascii="Times New Roman" w:eastAsia="Times New Roman" w:hAnsi="Times New Roman"/>
                <w:bCs/>
                <w:sz w:val="18"/>
                <w:szCs w:val="18"/>
              </w:rPr>
              <w:t xml:space="preserve">vus pagal veiksmų programą ESF </w:t>
            </w:r>
            <w:r w:rsidRPr="00385835">
              <w:rPr>
                <w:rFonts w:ascii="Times New Roman" w:eastAsia="Times New Roman" w:hAnsi="Times New Roman"/>
                <w:bCs/>
                <w:sz w:val="18"/>
                <w:szCs w:val="18"/>
              </w:rPr>
              <w:t>finansavimą ugdymo kokybei gerinti įdiegtos mokinių kompetencijų vertinimo ar įsivertinimo sistemos</w:t>
            </w:r>
          </w:p>
        </w:tc>
        <w:tc>
          <w:tcPr>
            <w:tcW w:w="590" w:type="pct"/>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Skaičius</w:t>
            </w:r>
          </w:p>
        </w:tc>
        <w:tc>
          <w:tcPr>
            <w:tcW w:w="459" w:type="pct"/>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ESF</w:t>
            </w:r>
          </w:p>
        </w:tc>
        <w:tc>
          <w:tcPr>
            <w:tcW w:w="588" w:type="pct"/>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Mažiau išsivystęs</w:t>
            </w:r>
          </w:p>
        </w:tc>
        <w:tc>
          <w:tcPr>
            <w:tcW w:w="444" w:type="pct"/>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360</w:t>
            </w:r>
          </w:p>
        </w:tc>
        <w:tc>
          <w:tcPr>
            <w:tcW w:w="519" w:type="pct"/>
            <w:shd w:val="clear" w:color="auto" w:fill="auto"/>
            <w:vAlign w:val="center"/>
          </w:tcPr>
          <w:p w:rsidR="00385835" w:rsidRPr="00385835" w:rsidRDefault="00385835" w:rsidP="00385835">
            <w:pPr>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Duomenys iš projektų</w:t>
            </w:r>
          </w:p>
        </w:tc>
        <w:tc>
          <w:tcPr>
            <w:tcW w:w="636" w:type="pct"/>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 xml:space="preserve">Kartą per metus </w:t>
            </w:r>
          </w:p>
        </w:tc>
      </w:tr>
      <w:tr w:rsidR="00385835" w:rsidRPr="00385835" w:rsidTr="0093527D">
        <w:tblPrEx>
          <w:shd w:val="clear" w:color="auto" w:fill="auto"/>
        </w:tblPrEx>
        <w:tc>
          <w:tcPr>
            <w:tcW w:w="295" w:type="pct"/>
            <w:shd w:val="clear" w:color="auto" w:fill="auto"/>
            <w:vAlign w:val="center"/>
          </w:tcPr>
          <w:p w:rsidR="00385835" w:rsidRPr="00385835" w:rsidRDefault="00385835" w:rsidP="00385835">
            <w:pPr>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2.</w:t>
            </w:r>
          </w:p>
        </w:tc>
        <w:tc>
          <w:tcPr>
            <w:tcW w:w="1469" w:type="pct"/>
            <w:shd w:val="clear" w:color="auto" w:fill="auto"/>
            <w:vAlign w:val="center"/>
          </w:tcPr>
          <w:p w:rsidR="00385835" w:rsidRPr="00385835" w:rsidRDefault="00385835" w:rsidP="00385835">
            <w:pPr>
              <w:spacing w:after="0" w:line="240" w:lineRule="auto"/>
              <w:rPr>
                <w:rFonts w:ascii="Times New Roman" w:eastAsia="Times New Roman" w:hAnsi="Times New Roman"/>
                <w:bCs/>
                <w:sz w:val="18"/>
                <w:szCs w:val="18"/>
              </w:rPr>
            </w:pPr>
            <w:r w:rsidRPr="00385835">
              <w:rPr>
                <w:rFonts w:ascii="Times New Roman" w:eastAsia="Times New Roman" w:hAnsi="Times New Roman"/>
                <w:bCs/>
                <w:sz w:val="18"/>
                <w:szCs w:val="18"/>
              </w:rPr>
              <w:t>Švietimo įstaigų</w:t>
            </w:r>
            <w:r w:rsidRPr="00385835" w:rsidDel="008148D3">
              <w:rPr>
                <w:rFonts w:ascii="Times New Roman" w:eastAsia="Times New Roman" w:hAnsi="Times New Roman"/>
                <w:bCs/>
                <w:sz w:val="18"/>
                <w:szCs w:val="18"/>
              </w:rPr>
              <w:t xml:space="preserve"> </w:t>
            </w:r>
            <w:r w:rsidRPr="00385835">
              <w:rPr>
                <w:rFonts w:ascii="Times New Roman" w:eastAsia="Times New Roman" w:hAnsi="Times New Roman"/>
                <w:bCs/>
                <w:sz w:val="18"/>
                <w:szCs w:val="18"/>
              </w:rPr>
              <w:t>darbuotojai, kurie dalyvavo ESF veiklose, skirtose mokytis pagal neformaliojo švietimo programas</w:t>
            </w:r>
          </w:p>
        </w:tc>
        <w:tc>
          <w:tcPr>
            <w:tcW w:w="590" w:type="pct"/>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Skaičius</w:t>
            </w:r>
          </w:p>
        </w:tc>
        <w:tc>
          <w:tcPr>
            <w:tcW w:w="459" w:type="pct"/>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ESF</w:t>
            </w:r>
          </w:p>
        </w:tc>
        <w:tc>
          <w:tcPr>
            <w:tcW w:w="588" w:type="pct"/>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Mažiau išsivystęs</w:t>
            </w:r>
          </w:p>
        </w:tc>
        <w:tc>
          <w:tcPr>
            <w:tcW w:w="444" w:type="pct"/>
            <w:shd w:val="clear" w:color="auto" w:fill="auto"/>
            <w:vAlign w:val="center"/>
          </w:tcPr>
          <w:p w:rsidR="00385835" w:rsidRPr="002B14C1" w:rsidRDefault="002B14C1" w:rsidP="00A50C23">
            <w:pPr>
              <w:widowControl w:val="0"/>
              <w:tabs>
                <w:tab w:val="left" w:pos="622"/>
              </w:tabs>
              <w:spacing w:after="0" w:line="240" w:lineRule="auto"/>
              <w:jc w:val="center"/>
              <w:rPr>
                <w:rFonts w:ascii="Times New Roman" w:eastAsia="AngsanaUPC" w:hAnsi="Times New Roman"/>
                <w:bCs/>
                <w:iCs/>
                <w:sz w:val="18"/>
                <w:szCs w:val="18"/>
                <w:lang w:eastAsia="lt-LT"/>
              </w:rPr>
            </w:pPr>
            <w:r w:rsidRPr="002B14C1">
              <w:rPr>
                <w:rFonts w:ascii="Times New Roman" w:eastAsia="AngsanaUPC" w:hAnsi="Times New Roman"/>
                <w:bCs/>
                <w:iCs/>
                <w:sz w:val="18"/>
                <w:szCs w:val="18"/>
                <w:lang w:eastAsia="lt-LT"/>
              </w:rPr>
              <w:t>10.000</w:t>
            </w:r>
          </w:p>
        </w:tc>
        <w:tc>
          <w:tcPr>
            <w:tcW w:w="519" w:type="pct"/>
            <w:shd w:val="clear" w:color="auto" w:fill="auto"/>
            <w:vAlign w:val="center"/>
          </w:tcPr>
          <w:p w:rsidR="00385835" w:rsidRPr="00385835" w:rsidRDefault="00385835" w:rsidP="00385835">
            <w:pPr>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Duomenys iš projektų</w:t>
            </w:r>
          </w:p>
        </w:tc>
        <w:tc>
          <w:tcPr>
            <w:tcW w:w="636" w:type="pct"/>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385835" w:rsidRPr="00385835" w:rsidTr="00385835">
        <w:tblPrEx>
          <w:shd w:val="clear" w:color="auto" w:fill="auto"/>
        </w:tblPrEx>
        <w:tc>
          <w:tcPr>
            <w:tcW w:w="5000" w:type="pct"/>
            <w:gridSpan w:val="8"/>
            <w:shd w:val="clear" w:color="auto" w:fill="EEECE1"/>
            <w:vAlign w:val="center"/>
          </w:tcPr>
          <w:p w:rsidR="00385835" w:rsidRPr="00B93030" w:rsidRDefault="00385835" w:rsidP="00385835">
            <w:pPr>
              <w:widowControl w:val="0"/>
              <w:tabs>
                <w:tab w:val="left" w:pos="622"/>
              </w:tabs>
              <w:spacing w:after="0" w:line="240" w:lineRule="auto"/>
              <w:rPr>
                <w:rFonts w:ascii="Times New Roman" w:eastAsia="AngsanaUPC" w:hAnsi="Times New Roman"/>
                <w:bCs/>
                <w:iCs/>
                <w:sz w:val="18"/>
                <w:szCs w:val="18"/>
                <w:lang w:eastAsia="lt-LT"/>
              </w:rPr>
            </w:pPr>
            <w:r w:rsidRPr="00B93030">
              <w:rPr>
                <w:rFonts w:ascii="Times New Roman" w:eastAsia="AngsanaUPC" w:hAnsi="Times New Roman"/>
                <w:i/>
                <w:iCs/>
                <w:sz w:val="18"/>
                <w:szCs w:val="18"/>
                <w:lang w:eastAsia="lt-LT"/>
              </w:rPr>
              <w:t>9.2.2. konkretaus uždavinio veiklas atspindintys produkto rodikliai:</w:t>
            </w:r>
          </w:p>
        </w:tc>
      </w:tr>
      <w:tr w:rsidR="00385835" w:rsidRPr="00385835" w:rsidTr="00750C20">
        <w:tblPrEx>
          <w:shd w:val="clear" w:color="auto" w:fill="auto"/>
        </w:tblPrEx>
        <w:tc>
          <w:tcPr>
            <w:tcW w:w="295" w:type="pct"/>
            <w:shd w:val="clear" w:color="auto" w:fill="auto"/>
            <w:vAlign w:val="center"/>
          </w:tcPr>
          <w:p w:rsidR="00385835" w:rsidRPr="00385835" w:rsidRDefault="00385835" w:rsidP="00385835">
            <w:pPr>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3.</w:t>
            </w:r>
          </w:p>
        </w:tc>
        <w:tc>
          <w:tcPr>
            <w:tcW w:w="1469" w:type="pct"/>
            <w:shd w:val="clear" w:color="auto" w:fill="auto"/>
            <w:vAlign w:val="center"/>
          </w:tcPr>
          <w:p w:rsidR="00385835" w:rsidRPr="00385835" w:rsidRDefault="00385835" w:rsidP="00385835">
            <w:pPr>
              <w:spacing w:after="0" w:line="240" w:lineRule="auto"/>
              <w:rPr>
                <w:rFonts w:ascii="Times New Roman" w:eastAsia="Times New Roman" w:hAnsi="Times New Roman"/>
                <w:bCs/>
                <w:sz w:val="18"/>
                <w:szCs w:val="18"/>
              </w:rPr>
            </w:pPr>
            <w:r w:rsidRPr="00385835">
              <w:rPr>
                <w:rFonts w:ascii="Times New Roman" w:eastAsia="Times New Roman" w:hAnsi="Times New Roman"/>
                <w:bCs/>
                <w:iCs/>
                <w:sz w:val="18"/>
                <w:szCs w:val="18"/>
              </w:rPr>
              <w:t>Mokiniai, kuriems pagal veiksmų programą ESF lėšomis buvo suteikta švietimo pagalba</w:t>
            </w:r>
          </w:p>
        </w:tc>
        <w:tc>
          <w:tcPr>
            <w:tcW w:w="590" w:type="pct"/>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Times New Roman" w:hAnsi="Times New Roman"/>
                <w:bCs/>
                <w:sz w:val="18"/>
                <w:szCs w:val="18"/>
              </w:rPr>
            </w:pPr>
            <w:r w:rsidRPr="00385835">
              <w:rPr>
                <w:rFonts w:ascii="Times New Roman" w:eastAsia="AngsanaUPC" w:hAnsi="Times New Roman"/>
                <w:bCs/>
                <w:iCs/>
                <w:sz w:val="18"/>
                <w:szCs w:val="18"/>
                <w:lang w:eastAsia="lt-LT"/>
              </w:rPr>
              <w:t>Skaičius</w:t>
            </w:r>
          </w:p>
        </w:tc>
        <w:tc>
          <w:tcPr>
            <w:tcW w:w="459" w:type="pct"/>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Times New Roman" w:hAnsi="Times New Roman"/>
                <w:bCs/>
                <w:sz w:val="18"/>
                <w:szCs w:val="18"/>
              </w:rPr>
            </w:pPr>
            <w:r w:rsidRPr="00385835">
              <w:rPr>
                <w:rFonts w:ascii="Times New Roman" w:eastAsia="AngsanaUPC" w:hAnsi="Times New Roman"/>
                <w:bCs/>
                <w:iCs/>
                <w:sz w:val="18"/>
                <w:szCs w:val="18"/>
                <w:lang w:eastAsia="lt-LT"/>
              </w:rPr>
              <w:t>ESF</w:t>
            </w:r>
          </w:p>
        </w:tc>
        <w:tc>
          <w:tcPr>
            <w:tcW w:w="588" w:type="pct"/>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Mažiau išsivystęs</w:t>
            </w:r>
          </w:p>
        </w:tc>
        <w:tc>
          <w:tcPr>
            <w:tcW w:w="444" w:type="pct"/>
            <w:shd w:val="clear" w:color="auto" w:fill="auto"/>
            <w:vAlign w:val="center"/>
          </w:tcPr>
          <w:p w:rsidR="00385835" w:rsidRPr="00385835" w:rsidRDefault="00385835" w:rsidP="00A50C23">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4</w:t>
            </w:r>
            <w:r w:rsidR="00A50C23">
              <w:rPr>
                <w:rFonts w:ascii="Times New Roman" w:eastAsia="AngsanaUPC" w:hAnsi="Times New Roman"/>
                <w:bCs/>
                <w:iCs/>
                <w:sz w:val="18"/>
                <w:szCs w:val="18"/>
                <w:lang w:eastAsia="lt-LT"/>
              </w:rPr>
              <w:t>.</w:t>
            </w:r>
            <w:r w:rsidRPr="00385835">
              <w:rPr>
                <w:rFonts w:ascii="Times New Roman" w:eastAsia="AngsanaUPC" w:hAnsi="Times New Roman"/>
                <w:bCs/>
                <w:iCs/>
                <w:sz w:val="18"/>
                <w:szCs w:val="18"/>
                <w:lang w:eastAsia="lt-LT"/>
              </w:rPr>
              <w:t>000</w:t>
            </w:r>
          </w:p>
        </w:tc>
        <w:tc>
          <w:tcPr>
            <w:tcW w:w="519" w:type="pct"/>
            <w:shd w:val="clear" w:color="auto" w:fill="auto"/>
            <w:vAlign w:val="center"/>
          </w:tcPr>
          <w:p w:rsidR="00385835" w:rsidRPr="00385835" w:rsidRDefault="00385835" w:rsidP="00385835">
            <w:pPr>
              <w:spacing w:after="0" w:line="240" w:lineRule="auto"/>
              <w:jc w:val="center"/>
              <w:rPr>
                <w:rFonts w:ascii="Times New Roman" w:eastAsia="Times New Roman" w:hAnsi="Times New Roman"/>
                <w:bCs/>
                <w:sz w:val="18"/>
                <w:szCs w:val="18"/>
              </w:rPr>
            </w:pPr>
            <w:r w:rsidRPr="00385835">
              <w:rPr>
                <w:rFonts w:ascii="Times New Roman" w:eastAsia="AngsanaUPC" w:hAnsi="Times New Roman"/>
                <w:bCs/>
                <w:iCs/>
                <w:sz w:val="18"/>
                <w:szCs w:val="18"/>
                <w:lang w:eastAsia="lt-LT"/>
              </w:rPr>
              <w:t>Duomenys iš projektų</w:t>
            </w:r>
          </w:p>
        </w:tc>
        <w:tc>
          <w:tcPr>
            <w:tcW w:w="636" w:type="pct"/>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2B14C1" w:rsidRPr="00385835" w:rsidTr="0093527D">
        <w:tblPrEx>
          <w:shd w:val="clear" w:color="auto" w:fill="auto"/>
        </w:tblPrEx>
        <w:tc>
          <w:tcPr>
            <w:tcW w:w="295" w:type="pct"/>
            <w:shd w:val="clear" w:color="auto" w:fill="auto"/>
            <w:vAlign w:val="center"/>
          </w:tcPr>
          <w:p w:rsidR="002B14C1" w:rsidRPr="00385835" w:rsidRDefault="002B14C1" w:rsidP="00385835">
            <w:pPr>
              <w:spacing w:after="0" w:line="240" w:lineRule="auto"/>
              <w:jc w:val="center"/>
              <w:rPr>
                <w:rFonts w:ascii="Times New Roman" w:eastAsia="Times New Roman" w:hAnsi="Times New Roman"/>
                <w:bCs/>
                <w:sz w:val="18"/>
                <w:szCs w:val="18"/>
              </w:rPr>
            </w:pPr>
            <w:r>
              <w:rPr>
                <w:rFonts w:ascii="Times New Roman" w:eastAsia="Times New Roman" w:hAnsi="Times New Roman"/>
                <w:bCs/>
                <w:sz w:val="18"/>
                <w:szCs w:val="18"/>
              </w:rPr>
              <w:t xml:space="preserve">4. </w:t>
            </w:r>
          </w:p>
        </w:tc>
        <w:tc>
          <w:tcPr>
            <w:tcW w:w="1469" w:type="pct"/>
            <w:shd w:val="clear" w:color="auto" w:fill="auto"/>
            <w:vAlign w:val="center"/>
          </w:tcPr>
          <w:p w:rsidR="002B14C1" w:rsidRPr="00385835" w:rsidRDefault="002B14C1" w:rsidP="00385835">
            <w:pPr>
              <w:spacing w:after="0" w:line="240" w:lineRule="auto"/>
              <w:rPr>
                <w:rFonts w:ascii="Times New Roman" w:eastAsia="Times New Roman" w:hAnsi="Times New Roman"/>
                <w:bCs/>
                <w:iCs/>
                <w:sz w:val="18"/>
                <w:szCs w:val="18"/>
              </w:rPr>
            </w:pPr>
            <w:r w:rsidRPr="002B14C1">
              <w:rPr>
                <w:rFonts w:ascii="Times New Roman" w:eastAsia="Times New Roman" w:hAnsi="Times New Roman"/>
                <w:bCs/>
                <w:iCs/>
                <w:sz w:val="18"/>
                <w:szCs w:val="18"/>
              </w:rPr>
              <w:t>Švietimo įstaigų</w:t>
            </w:r>
            <w:r w:rsidRPr="002B14C1" w:rsidDel="008148D3">
              <w:rPr>
                <w:rFonts w:ascii="Times New Roman" w:eastAsia="Times New Roman" w:hAnsi="Times New Roman"/>
                <w:bCs/>
                <w:iCs/>
                <w:sz w:val="18"/>
                <w:szCs w:val="18"/>
              </w:rPr>
              <w:t xml:space="preserve"> </w:t>
            </w:r>
            <w:r w:rsidRPr="002B14C1">
              <w:rPr>
                <w:rFonts w:ascii="Times New Roman" w:eastAsia="Times New Roman" w:hAnsi="Times New Roman"/>
                <w:bCs/>
                <w:iCs/>
                <w:sz w:val="18"/>
                <w:szCs w:val="18"/>
              </w:rPr>
              <w:t>darbuotojai, kurie dalyvavo ESF veiklose, skirtose mokytis pagal neformaliojo švietimo programas</w:t>
            </w:r>
          </w:p>
        </w:tc>
        <w:tc>
          <w:tcPr>
            <w:tcW w:w="590" w:type="pct"/>
            <w:shd w:val="clear" w:color="auto" w:fill="auto"/>
            <w:vAlign w:val="center"/>
          </w:tcPr>
          <w:p w:rsidR="002B14C1" w:rsidRPr="00385835" w:rsidRDefault="002B14C1" w:rsidP="002A27F5">
            <w:pPr>
              <w:widowControl w:val="0"/>
              <w:tabs>
                <w:tab w:val="left" w:pos="622"/>
              </w:tabs>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Skaičius</w:t>
            </w:r>
          </w:p>
        </w:tc>
        <w:tc>
          <w:tcPr>
            <w:tcW w:w="459" w:type="pct"/>
            <w:shd w:val="clear" w:color="auto" w:fill="auto"/>
            <w:vAlign w:val="center"/>
          </w:tcPr>
          <w:p w:rsidR="002B14C1" w:rsidRPr="00385835" w:rsidRDefault="002B14C1" w:rsidP="002A27F5">
            <w:pPr>
              <w:widowControl w:val="0"/>
              <w:tabs>
                <w:tab w:val="left" w:pos="622"/>
              </w:tabs>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ESF</w:t>
            </w:r>
          </w:p>
        </w:tc>
        <w:tc>
          <w:tcPr>
            <w:tcW w:w="588" w:type="pct"/>
            <w:shd w:val="clear" w:color="auto" w:fill="auto"/>
            <w:vAlign w:val="center"/>
          </w:tcPr>
          <w:p w:rsidR="002B14C1" w:rsidRPr="00385835" w:rsidRDefault="002B14C1" w:rsidP="002A27F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Mažiau išsivystęs</w:t>
            </w:r>
          </w:p>
        </w:tc>
        <w:tc>
          <w:tcPr>
            <w:tcW w:w="444" w:type="pct"/>
            <w:shd w:val="clear" w:color="auto" w:fill="auto"/>
            <w:vAlign w:val="center"/>
          </w:tcPr>
          <w:p w:rsidR="002B14C1" w:rsidRPr="002B14C1" w:rsidRDefault="002B14C1" w:rsidP="002A27F5">
            <w:pPr>
              <w:widowControl w:val="0"/>
              <w:tabs>
                <w:tab w:val="left" w:pos="622"/>
              </w:tabs>
              <w:spacing w:after="0" w:line="240" w:lineRule="auto"/>
              <w:jc w:val="center"/>
              <w:rPr>
                <w:rFonts w:ascii="Times New Roman" w:eastAsia="AngsanaUPC" w:hAnsi="Times New Roman"/>
                <w:bCs/>
                <w:iCs/>
                <w:sz w:val="18"/>
                <w:szCs w:val="18"/>
                <w:lang w:eastAsia="lt-LT"/>
              </w:rPr>
            </w:pPr>
            <w:r w:rsidRPr="002B14C1">
              <w:rPr>
                <w:rFonts w:ascii="Times New Roman" w:eastAsia="AngsanaUPC" w:hAnsi="Times New Roman"/>
                <w:bCs/>
                <w:iCs/>
                <w:sz w:val="18"/>
                <w:szCs w:val="18"/>
                <w:lang w:eastAsia="lt-LT"/>
              </w:rPr>
              <w:t>1</w:t>
            </w:r>
            <w:r>
              <w:rPr>
                <w:rFonts w:ascii="Times New Roman" w:eastAsia="AngsanaUPC" w:hAnsi="Times New Roman"/>
                <w:bCs/>
                <w:iCs/>
                <w:sz w:val="18"/>
                <w:szCs w:val="18"/>
                <w:lang w:eastAsia="lt-LT"/>
              </w:rPr>
              <w:t>.1</w:t>
            </w:r>
            <w:r w:rsidRPr="002B14C1">
              <w:rPr>
                <w:rFonts w:ascii="Times New Roman" w:eastAsia="AngsanaUPC" w:hAnsi="Times New Roman"/>
                <w:bCs/>
                <w:iCs/>
                <w:sz w:val="18"/>
                <w:szCs w:val="18"/>
                <w:lang w:eastAsia="lt-LT"/>
              </w:rPr>
              <w:t>00</w:t>
            </w:r>
          </w:p>
        </w:tc>
        <w:tc>
          <w:tcPr>
            <w:tcW w:w="519" w:type="pct"/>
            <w:shd w:val="clear" w:color="auto" w:fill="auto"/>
            <w:vAlign w:val="center"/>
          </w:tcPr>
          <w:p w:rsidR="002B14C1" w:rsidRPr="00385835" w:rsidRDefault="002B14C1" w:rsidP="002A27F5">
            <w:pPr>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Duomenys iš projektų</w:t>
            </w:r>
          </w:p>
        </w:tc>
        <w:tc>
          <w:tcPr>
            <w:tcW w:w="636" w:type="pct"/>
            <w:shd w:val="clear" w:color="auto" w:fill="auto"/>
            <w:vAlign w:val="center"/>
          </w:tcPr>
          <w:p w:rsidR="002B14C1" w:rsidRPr="00385835" w:rsidRDefault="002B14C1" w:rsidP="002A27F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750C20" w:rsidRPr="00385835" w:rsidTr="009812CA">
        <w:tblPrEx>
          <w:shd w:val="clear" w:color="auto" w:fill="auto"/>
        </w:tblPrEx>
        <w:tc>
          <w:tcPr>
            <w:tcW w:w="295" w:type="pct"/>
            <w:shd w:val="clear" w:color="auto" w:fill="auto"/>
            <w:vAlign w:val="center"/>
          </w:tcPr>
          <w:p w:rsidR="00750C20" w:rsidRPr="00FC6264" w:rsidRDefault="002B14C1" w:rsidP="002B14C1">
            <w:pPr>
              <w:spacing w:after="0" w:line="240" w:lineRule="auto"/>
              <w:jc w:val="center"/>
              <w:rPr>
                <w:rFonts w:ascii="Times New Roman" w:eastAsia="Times New Roman" w:hAnsi="Times New Roman"/>
                <w:bCs/>
                <w:sz w:val="18"/>
                <w:szCs w:val="18"/>
              </w:rPr>
            </w:pPr>
            <w:r>
              <w:rPr>
                <w:rFonts w:ascii="Times New Roman" w:eastAsia="Times New Roman" w:hAnsi="Times New Roman"/>
                <w:bCs/>
                <w:sz w:val="18"/>
                <w:szCs w:val="18"/>
              </w:rPr>
              <w:t>5</w:t>
            </w:r>
            <w:r w:rsidR="00750C20" w:rsidRPr="00FC6264">
              <w:rPr>
                <w:rFonts w:ascii="Times New Roman" w:eastAsia="Times New Roman" w:hAnsi="Times New Roman"/>
                <w:bCs/>
                <w:sz w:val="18"/>
                <w:szCs w:val="18"/>
              </w:rPr>
              <w:t>.</w:t>
            </w:r>
          </w:p>
        </w:tc>
        <w:tc>
          <w:tcPr>
            <w:tcW w:w="1469" w:type="pct"/>
            <w:shd w:val="clear" w:color="auto" w:fill="auto"/>
            <w:vAlign w:val="center"/>
          </w:tcPr>
          <w:p w:rsidR="00750C20" w:rsidRPr="00FC6264" w:rsidRDefault="00750C20" w:rsidP="009812CA">
            <w:pPr>
              <w:spacing w:after="0" w:line="240" w:lineRule="auto"/>
              <w:rPr>
                <w:rFonts w:ascii="Times New Roman" w:eastAsia="Times New Roman" w:hAnsi="Times New Roman"/>
                <w:bCs/>
                <w:sz w:val="18"/>
                <w:szCs w:val="18"/>
              </w:rPr>
            </w:pPr>
            <w:r w:rsidRPr="00FC6264">
              <w:rPr>
                <w:rFonts w:ascii="Times New Roman" w:eastAsia="Times New Roman" w:hAnsi="Times New Roman"/>
                <w:bCs/>
                <w:sz w:val="18"/>
                <w:szCs w:val="18"/>
              </w:rPr>
              <w:t>Mokiniai, kuriems pagal veiksmų programą ESF lėšomis suteiktos neformaliojo vaikų švietimo paslaugos</w:t>
            </w:r>
          </w:p>
        </w:tc>
        <w:tc>
          <w:tcPr>
            <w:tcW w:w="590" w:type="pct"/>
            <w:shd w:val="clear" w:color="auto" w:fill="auto"/>
            <w:vAlign w:val="center"/>
          </w:tcPr>
          <w:p w:rsidR="00750C20" w:rsidRPr="00FC6264" w:rsidRDefault="00750C20" w:rsidP="009812CA">
            <w:pPr>
              <w:spacing w:after="0" w:line="240" w:lineRule="auto"/>
              <w:jc w:val="center"/>
              <w:rPr>
                <w:rFonts w:ascii="Times New Roman" w:eastAsia="Times New Roman" w:hAnsi="Times New Roman"/>
                <w:bCs/>
                <w:sz w:val="18"/>
                <w:szCs w:val="18"/>
              </w:rPr>
            </w:pPr>
            <w:r w:rsidRPr="00FC6264">
              <w:rPr>
                <w:rFonts w:ascii="Times New Roman" w:eastAsia="Times New Roman" w:hAnsi="Times New Roman"/>
                <w:bCs/>
                <w:sz w:val="18"/>
                <w:szCs w:val="18"/>
              </w:rPr>
              <w:t>Skaičius</w:t>
            </w:r>
          </w:p>
        </w:tc>
        <w:tc>
          <w:tcPr>
            <w:tcW w:w="459" w:type="pct"/>
            <w:shd w:val="clear" w:color="auto" w:fill="auto"/>
            <w:vAlign w:val="center"/>
          </w:tcPr>
          <w:p w:rsidR="00750C20" w:rsidRPr="00FC6264" w:rsidRDefault="00750C20" w:rsidP="009812CA">
            <w:pPr>
              <w:spacing w:after="0" w:line="240" w:lineRule="auto"/>
              <w:jc w:val="center"/>
              <w:rPr>
                <w:rFonts w:ascii="Times New Roman" w:eastAsia="Times New Roman" w:hAnsi="Times New Roman"/>
                <w:bCs/>
                <w:sz w:val="18"/>
                <w:szCs w:val="18"/>
              </w:rPr>
            </w:pPr>
            <w:r w:rsidRPr="00FC6264">
              <w:rPr>
                <w:rFonts w:ascii="Times New Roman" w:eastAsia="Times New Roman" w:hAnsi="Times New Roman"/>
                <w:bCs/>
                <w:sz w:val="18"/>
                <w:szCs w:val="18"/>
              </w:rPr>
              <w:t>ESF</w:t>
            </w:r>
          </w:p>
        </w:tc>
        <w:tc>
          <w:tcPr>
            <w:tcW w:w="588" w:type="pct"/>
            <w:shd w:val="clear" w:color="auto" w:fill="auto"/>
            <w:vAlign w:val="center"/>
          </w:tcPr>
          <w:p w:rsidR="00750C20" w:rsidRPr="00FC6264" w:rsidRDefault="00750C20" w:rsidP="009812CA">
            <w:pPr>
              <w:spacing w:after="0" w:line="240" w:lineRule="auto"/>
              <w:jc w:val="center"/>
              <w:rPr>
                <w:rFonts w:ascii="Times New Roman" w:eastAsia="Times New Roman" w:hAnsi="Times New Roman"/>
                <w:bCs/>
                <w:sz w:val="18"/>
                <w:szCs w:val="18"/>
              </w:rPr>
            </w:pPr>
            <w:r w:rsidRPr="00FC6264">
              <w:rPr>
                <w:rFonts w:ascii="Times New Roman" w:eastAsia="Times New Roman" w:hAnsi="Times New Roman"/>
                <w:bCs/>
                <w:sz w:val="18"/>
                <w:szCs w:val="18"/>
              </w:rPr>
              <w:t>Mažiau išsivystęs</w:t>
            </w:r>
          </w:p>
        </w:tc>
        <w:tc>
          <w:tcPr>
            <w:tcW w:w="444" w:type="pct"/>
            <w:shd w:val="clear" w:color="auto" w:fill="auto"/>
            <w:vAlign w:val="center"/>
          </w:tcPr>
          <w:p w:rsidR="00750C20" w:rsidRPr="00FC6264" w:rsidRDefault="00750C20" w:rsidP="009812CA">
            <w:pPr>
              <w:spacing w:after="0" w:line="240" w:lineRule="auto"/>
              <w:jc w:val="center"/>
              <w:rPr>
                <w:rFonts w:ascii="Times New Roman" w:eastAsia="Times New Roman" w:hAnsi="Times New Roman"/>
                <w:bCs/>
                <w:sz w:val="18"/>
                <w:szCs w:val="18"/>
              </w:rPr>
            </w:pPr>
            <w:r w:rsidRPr="00FC6264">
              <w:rPr>
                <w:rFonts w:ascii="Times New Roman" w:eastAsia="Times New Roman" w:hAnsi="Times New Roman"/>
                <w:bCs/>
                <w:sz w:val="18"/>
                <w:szCs w:val="18"/>
              </w:rPr>
              <w:t>215.000</w:t>
            </w:r>
          </w:p>
        </w:tc>
        <w:tc>
          <w:tcPr>
            <w:tcW w:w="519" w:type="pct"/>
            <w:shd w:val="clear" w:color="auto" w:fill="auto"/>
            <w:vAlign w:val="center"/>
          </w:tcPr>
          <w:p w:rsidR="00750C20" w:rsidRPr="00FC6264" w:rsidRDefault="00750C20" w:rsidP="009812CA">
            <w:pPr>
              <w:spacing w:after="0" w:line="240" w:lineRule="auto"/>
              <w:jc w:val="center"/>
              <w:rPr>
                <w:rFonts w:ascii="Times New Roman" w:eastAsia="Times New Roman" w:hAnsi="Times New Roman"/>
                <w:bCs/>
                <w:sz w:val="18"/>
                <w:szCs w:val="18"/>
              </w:rPr>
            </w:pPr>
            <w:r w:rsidRPr="00FC6264">
              <w:rPr>
                <w:rFonts w:ascii="Times New Roman" w:eastAsia="Times New Roman" w:hAnsi="Times New Roman"/>
                <w:bCs/>
                <w:sz w:val="18"/>
                <w:szCs w:val="18"/>
              </w:rPr>
              <w:t>Duomenys iš projektų</w:t>
            </w:r>
          </w:p>
        </w:tc>
        <w:tc>
          <w:tcPr>
            <w:tcW w:w="636" w:type="pct"/>
            <w:shd w:val="clear" w:color="auto" w:fill="auto"/>
            <w:vAlign w:val="center"/>
          </w:tcPr>
          <w:p w:rsidR="00750C20" w:rsidRPr="00FC6264" w:rsidRDefault="00750C20" w:rsidP="009812CA">
            <w:pPr>
              <w:spacing w:after="0" w:line="240" w:lineRule="auto"/>
              <w:jc w:val="center"/>
              <w:rPr>
                <w:rFonts w:ascii="Times New Roman" w:eastAsia="Times New Roman" w:hAnsi="Times New Roman"/>
                <w:bCs/>
                <w:sz w:val="18"/>
                <w:szCs w:val="18"/>
              </w:rPr>
            </w:pPr>
            <w:r w:rsidRPr="00FC6264">
              <w:rPr>
                <w:rFonts w:ascii="Times New Roman" w:eastAsia="Times New Roman" w:hAnsi="Times New Roman"/>
                <w:bCs/>
                <w:sz w:val="18"/>
                <w:szCs w:val="18"/>
              </w:rPr>
              <w:t>Kartą per metus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vAlign w:val="center"/>
          </w:tcPr>
          <w:p w:rsidR="00385835" w:rsidRPr="00385835" w:rsidRDefault="00385835" w:rsidP="00385835">
            <w:pPr>
              <w:widowControl w:val="0"/>
              <w:tabs>
                <w:tab w:val="left" w:pos="622"/>
              </w:tabs>
              <w:spacing w:after="0" w:line="240" w:lineRule="auto"/>
              <w:rPr>
                <w:rFonts w:ascii="Times New Roman" w:eastAsia="AngsanaUPC" w:hAnsi="Times New Roman"/>
                <w:b/>
                <w:bCs/>
                <w:iCs/>
                <w:sz w:val="24"/>
                <w:szCs w:val="24"/>
                <w:lang w:eastAsia="lt-LT"/>
              </w:rPr>
            </w:pPr>
            <w:r w:rsidRPr="00385835">
              <w:rPr>
                <w:rFonts w:ascii="Times New Roman" w:eastAsia="AngsanaUPC" w:hAnsi="Times New Roman"/>
                <w:b/>
                <w:bCs/>
                <w:iCs/>
                <w:sz w:val="24"/>
                <w:szCs w:val="24"/>
                <w:lang w:eastAsia="lt-LT"/>
              </w:rPr>
              <w:t>9.3. INVESTICINIS PRIORITETAS</w:t>
            </w:r>
          </w:p>
        </w:tc>
        <w:tc>
          <w:tcPr>
            <w:tcW w:w="7336" w:type="dxa"/>
            <w:shd w:val="clear" w:color="auto" w:fill="EEECE1"/>
            <w:vAlign w:val="center"/>
          </w:tcPr>
          <w:p w:rsidR="00385835" w:rsidRPr="00385835" w:rsidRDefault="00385835" w:rsidP="00385835">
            <w:pPr>
              <w:widowControl w:val="0"/>
              <w:tabs>
                <w:tab w:val="left" w:pos="622"/>
              </w:tabs>
              <w:spacing w:after="0" w:line="240" w:lineRule="auto"/>
              <w:jc w:val="both"/>
              <w:rPr>
                <w:rFonts w:ascii="Times New Roman" w:eastAsia="AngsanaUPC" w:hAnsi="Times New Roman"/>
                <w:b/>
                <w:bCs/>
                <w:iCs/>
                <w:sz w:val="24"/>
                <w:szCs w:val="24"/>
                <w:lang w:eastAsia="lt-LT"/>
              </w:rPr>
            </w:pPr>
            <w:r w:rsidRPr="00385835">
              <w:rPr>
                <w:rFonts w:ascii="Times New Roman" w:hAnsi="Times New Roman"/>
                <w:b/>
                <w:bCs/>
                <w:iCs/>
                <w:sz w:val="24"/>
                <w:szCs w:val="24"/>
                <w:lang w:eastAsia="lt-LT"/>
              </w:rPr>
              <w:t>Aukštojo ir lygiaverčio jam mokslo kokybės, veiksmingumo ir prieinamumo didinimas</w:t>
            </w:r>
            <w:r w:rsidR="00963FF1">
              <w:rPr>
                <w:rFonts w:ascii="Times New Roman" w:hAnsi="Times New Roman"/>
                <w:b/>
                <w:bCs/>
                <w:iCs/>
                <w:sz w:val="24"/>
                <w:szCs w:val="24"/>
                <w:lang w:eastAsia="lt-LT"/>
              </w:rPr>
              <w:t>,</w:t>
            </w:r>
            <w:r w:rsidRPr="00385835">
              <w:rPr>
                <w:rFonts w:ascii="Times New Roman" w:hAnsi="Times New Roman"/>
                <w:b/>
                <w:bCs/>
                <w:iCs/>
                <w:sz w:val="24"/>
                <w:szCs w:val="24"/>
                <w:lang w:eastAsia="lt-LT"/>
              </w:rPr>
              <w:t xml:space="preserve"> siekiant didesnės studentų įtraukties ir geresnio mokymosi pažangumo, atkreipiant d</w:t>
            </w:r>
            <w:r w:rsidR="00031EF1">
              <w:rPr>
                <w:rFonts w:ascii="Times New Roman" w:hAnsi="Times New Roman"/>
                <w:b/>
                <w:bCs/>
                <w:iCs/>
                <w:sz w:val="24"/>
                <w:szCs w:val="24"/>
                <w:lang w:eastAsia="lt-LT"/>
              </w:rPr>
              <w:t>ėmesį į atskirties grupes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FONDAS</w:t>
            </w:r>
          </w:p>
        </w:tc>
        <w:tc>
          <w:tcPr>
            <w:tcW w:w="7336"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Europos socialinis fondas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tcPr>
          <w:p w:rsidR="00385835" w:rsidRPr="00385835" w:rsidRDefault="00385835" w:rsidP="00385835">
            <w:pPr>
              <w:widowControl w:val="0"/>
              <w:tabs>
                <w:tab w:val="left" w:pos="622"/>
              </w:tabs>
              <w:spacing w:after="0" w:line="240" w:lineRule="auto"/>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9.3.1. KONKRETUS UŽDAVINYS</w:t>
            </w:r>
          </w:p>
        </w:tc>
        <w:tc>
          <w:tcPr>
            <w:tcW w:w="7336" w:type="dxa"/>
            <w:shd w:val="clear" w:color="auto" w:fill="EEECE1"/>
            <w:vAlign w:val="center"/>
          </w:tcPr>
          <w:p w:rsidR="00385835" w:rsidRPr="00385835" w:rsidRDefault="00385835" w:rsidP="00D84380">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hAnsi="Times New Roman"/>
                <w:b/>
                <w:bCs/>
                <w:sz w:val="24"/>
                <w:szCs w:val="24"/>
                <w:lang w:eastAsia="lt-LT"/>
              </w:rPr>
              <w:t>Siekiant geresnės studijų atitikties darbo</w:t>
            </w:r>
            <w:r w:rsidR="00963FF1">
              <w:rPr>
                <w:rFonts w:ascii="Times New Roman" w:hAnsi="Times New Roman"/>
                <w:b/>
                <w:bCs/>
                <w:sz w:val="24"/>
                <w:szCs w:val="24"/>
                <w:lang w:eastAsia="lt-LT"/>
              </w:rPr>
              <w:t xml:space="preserve"> rinkos ir visuomenės poreikiams,</w:t>
            </w:r>
            <w:r w:rsidRPr="00385835">
              <w:rPr>
                <w:rFonts w:ascii="Times New Roman" w:hAnsi="Times New Roman"/>
                <w:b/>
                <w:bCs/>
                <w:sz w:val="24"/>
                <w:szCs w:val="24"/>
                <w:lang w:eastAsia="lt-LT"/>
              </w:rPr>
              <w:t xml:space="preserve"> </w:t>
            </w:r>
            <w:r w:rsidR="00D84380">
              <w:rPr>
                <w:rFonts w:ascii="Times New Roman" w:hAnsi="Times New Roman"/>
                <w:b/>
                <w:bCs/>
                <w:sz w:val="24"/>
                <w:szCs w:val="24"/>
                <w:lang w:eastAsia="lt-LT"/>
              </w:rPr>
              <w:t>ger</w:t>
            </w:r>
            <w:r w:rsidR="00D84380" w:rsidRPr="00385835">
              <w:rPr>
                <w:rFonts w:ascii="Times New Roman" w:hAnsi="Times New Roman"/>
                <w:b/>
                <w:bCs/>
                <w:sz w:val="24"/>
                <w:szCs w:val="24"/>
                <w:lang w:eastAsia="lt-LT"/>
              </w:rPr>
              <w:t xml:space="preserve">inti </w:t>
            </w:r>
            <w:r w:rsidRPr="00385835">
              <w:rPr>
                <w:rFonts w:ascii="Times New Roman" w:hAnsi="Times New Roman"/>
                <w:b/>
                <w:bCs/>
                <w:sz w:val="24"/>
                <w:szCs w:val="24"/>
                <w:lang w:eastAsia="lt-LT"/>
              </w:rPr>
              <w:t>studijų kokybę ir didinti studijų prieinamumą</w:t>
            </w:r>
          </w:p>
        </w:tc>
      </w:tr>
      <w:tr w:rsidR="00385835" w:rsidRPr="00385835" w:rsidTr="00385835">
        <w:tc>
          <w:tcPr>
            <w:tcW w:w="9746" w:type="dxa"/>
            <w:gridSpan w:val="2"/>
            <w:shd w:val="clear" w:color="auto" w:fill="auto"/>
          </w:tcPr>
          <w:p w:rsidR="00385835" w:rsidRPr="00385835" w:rsidRDefault="00385835" w:rsidP="00385835">
            <w:pPr>
              <w:spacing w:after="0" w:line="240" w:lineRule="auto"/>
              <w:ind w:firstLine="624"/>
              <w:jc w:val="both"/>
              <w:rPr>
                <w:rFonts w:ascii="Times New Roman" w:hAnsi="Times New Roman"/>
                <w:bCs/>
                <w:sz w:val="24"/>
                <w:szCs w:val="24"/>
                <w:lang w:eastAsia="lt-LT"/>
              </w:rPr>
            </w:pPr>
            <w:r w:rsidRPr="00385835">
              <w:rPr>
                <w:rFonts w:ascii="Times New Roman" w:hAnsi="Times New Roman"/>
                <w:bCs/>
                <w:sz w:val="24"/>
                <w:szCs w:val="24"/>
                <w:lang w:eastAsia="lt-LT"/>
              </w:rPr>
              <w:t>Lietuvos aukštosios mokyklos iš esmės atnaujino studijų programas, optimizavo aukštųjų mokyklų vidinę struktūrą, įdiegė kokybės valdymo sistemas, dėstytojai tobulino kvalifikaciją, buvo parengta ir išleista daug mokslinės, metodinės literatūros, išsiplėtė tarptautinis bendradarbiavimas studijų srityje, dėstytojų ir studentų akademinio mobilumo galimybės, tačiau dalis su studijomis susijusių problemų išlieka aktualios. 2014–2020 m. iššūkiai yra susiję su darbo rinkos ir visuomenės poreikių neatitinkančia studijų kokybe (turiniu, struktūra, ir studijų perteikimu) ir fragmentiškas socialinių partnerių įtraukimas į studijų turinio formavimą, praktinių įgūdžių stoka, į procesą, bet ne į rezultatus orientuotos studijos bei menkai išvystytos karjeros paslaugos lemia žemesnį įsidarbinimo lygį bei studijų Lietuvoje patrauklumo mažėjimą (25</w:t>
            </w:r>
            <w:r w:rsidR="005F025D" w:rsidRPr="00385835">
              <w:rPr>
                <w:rFonts w:ascii="Times New Roman" w:hAnsi="Times New Roman"/>
                <w:bCs/>
                <w:sz w:val="24"/>
                <w:szCs w:val="24"/>
                <w:lang w:eastAsia="lt-LT"/>
              </w:rPr>
              <w:t>–</w:t>
            </w:r>
            <w:r w:rsidRPr="00385835">
              <w:rPr>
                <w:rFonts w:ascii="Times New Roman" w:hAnsi="Times New Roman"/>
                <w:bCs/>
                <w:sz w:val="24"/>
                <w:szCs w:val="24"/>
                <w:lang w:eastAsia="lt-LT"/>
              </w:rPr>
              <w:t xml:space="preserve">29 m. amžiaus asmenų su aukštuoju išsilavinimu užimtumas sumažėjo </w:t>
            </w:r>
            <w:r w:rsidR="00963FF1">
              <w:rPr>
                <w:rFonts w:ascii="Times New Roman" w:hAnsi="Times New Roman"/>
                <w:bCs/>
                <w:sz w:val="24"/>
                <w:szCs w:val="24"/>
                <w:lang w:eastAsia="lt-LT"/>
              </w:rPr>
              <w:t xml:space="preserve">nuo 89,2 proc. 2006 m. iki </w:t>
            </w:r>
            <w:r w:rsidR="00963FF1">
              <w:rPr>
                <w:rFonts w:ascii="Times New Roman" w:hAnsi="Times New Roman"/>
                <w:bCs/>
                <w:sz w:val="24"/>
                <w:szCs w:val="24"/>
                <w:lang w:eastAsia="lt-LT"/>
              </w:rPr>
              <w:lastRenderedPageBreak/>
              <w:t>84,8 </w:t>
            </w:r>
            <w:r w:rsidRPr="00385835">
              <w:rPr>
                <w:rFonts w:ascii="Times New Roman" w:hAnsi="Times New Roman"/>
                <w:bCs/>
                <w:sz w:val="24"/>
                <w:szCs w:val="24"/>
                <w:lang w:eastAsia="lt-LT"/>
              </w:rPr>
              <w:t>proc. 2011 m., jaunimo (20</w:t>
            </w:r>
            <w:r w:rsidR="005F025D" w:rsidRPr="00385835">
              <w:rPr>
                <w:rFonts w:ascii="Times New Roman" w:hAnsi="Times New Roman"/>
                <w:bCs/>
                <w:sz w:val="24"/>
                <w:szCs w:val="24"/>
                <w:lang w:eastAsia="lt-LT"/>
              </w:rPr>
              <w:t>–</w:t>
            </w:r>
            <w:r w:rsidRPr="00385835">
              <w:rPr>
                <w:rFonts w:ascii="Times New Roman" w:hAnsi="Times New Roman"/>
                <w:bCs/>
                <w:sz w:val="24"/>
                <w:szCs w:val="24"/>
                <w:lang w:eastAsia="lt-LT"/>
              </w:rPr>
              <w:t>34 m.) su aukštuoju išsilavinimu nedarbo lygis sudarė 14,6 proc. 2011 m. palyginti su 11,6 proc. ES vidurkiu). Auga išvykstančių studijuoti į užsienį (Lietuvos studentų, studijuojančių ES šalyse narėse ir kandidatėse bei Europos ekonominės erdvės šalyse, skaičius išaugo nuo 4,4 tūkst. 2004 m. iki 9,4 tūkst. 2011 m.) skaičius. Atsižvelgiant į šiuos iššūkius, planuojama toliau tęsti tik labai gerai pasiteisinusias veiklas, kurios buvo finansuotos 2007</w:t>
            </w:r>
            <w:r w:rsidR="001566F7" w:rsidRPr="00385835">
              <w:rPr>
                <w:rFonts w:ascii="Times New Roman" w:hAnsi="Times New Roman"/>
                <w:bCs/>
                <w:sz w:val="24"/>
                <w:szCs w:val="24"/>
                <w:lang w:eastAsia="lt-LT"/>
              </w:rPr>
              <w:t>–</w:t>
            </w:r>
            <w:r w:rsidRPr="00385835">
              <w:rPr>
                <w:rFonts w:ascii="Times New Roman" w:hAnsi="Times New Roman"/>
                <w:bCs/>
                <w:sz w:val="24"/>
                <w:szCs w:val="24"/>
                <w:lang w:eastAsia="lt-LT"/>
              </w:rPr>
              <w:t>2013 m. laikotarpiu, tačiau bus vengiama lėšų dubliavimo.</w:t>
            </w:r>
          </w:p>
          <w:p w:rsidR="00385835" w:rsidRPr="00385835" w:rsidRDefault="00385835" w:rsidP="00385835">
            <w:pPr>
              <w:spacing w:after="0" w:line="240" w:lineRule="auto"/>
              <w:ind w:firstLine="624"/>
              <w:jc w:val="both"/>
              <w:rPr>
                <w:rFonts w:ascii="Times New Roman" w:hAnsi="Times New Roman"/>
                <w:bCs/>
                <w:sz w:val="24"/>
                <w:szCs w:val="24"/>
                <w:lang w:eastAsia="lt-LT"/>
              </w:rPr>
            </w:pPr>
            <w:r w:rsidRPr="00385835">
              <w:rPr>
                <w:rFonts w:ascii="Times New Roman" w:hAnsi="Times New Roman"/>
                <w:bCs/>
                <w:sz w:val="24"/>
                <w:szCs w:val="24"/>
                <w:lang w:eastAsia="lt-LT"/>
              </w:rPr>
              <w:t>2014–2020 m. programavimo laikotarpiu aukštesnės studijų kokybės planuojama pasiekti fokusuojant turimus išteklius esminių aukštojo mokslo kokybę lemiančius veiksnių stiprinimui: su socialiniais partneriais bus patobulintas studijų turinys, teikiama metodinė pagalba aukštosioms mokykloms, rengiant į rezultatus orientuotas studijų programas, modulius, todėl studijos labiau atitiks darbo rinkos poreikius</w:t>
            </w:r>
            <w:r w:rsidR="00963FF1">
              <w:rPr>
                <w:rFonts w:ascii="Times New Roman" w:hAnsi="Times New Roman"/>
                <w:bCs/>
                <w:sz w:val="24"/>
                <w:szCs w:val="24"/>
                <w:lang w:eastAsia="lt-LT"/>
              </w:rPr>
              <w:t>,</w:t>
            </w:r>
            <w:r w:rsidRPr="00385835">
              <w:rPr>
                <w:rFonts w:ascii="Times New Roman" w:hAnsi="Times New Roman"/>
                <w:bCs/>
                <w:sz w:val="24"/>
                <w:szCs w:val="24"/>
                <w:lang w:eastAsia="lt-LT"/>
              </w:rPr>
              <w:t xml:space="preserve"> studentai įgaus daugiau praktinių įgūdžių, teikiamos karjeros paslaugos, didinamas akademinio personalo profesionalumas ir aukštojo mokslo tarptautiškumas studijų programose, prisidedančiose prie Lietuvos sumanios specializacijos, patvirtintos 2014 m. balandžio 30 d. Lietuvos Respublikos Vyriausybės nutarimu Nr. 411 „Dėl prioritetinių mokslinių tyrimų ir eksperimentinės (socialinės, kultūrinės) plėtros ir inovacijų raidos (sumanios specializacijos) krypčių ir jų prioritetų įgyvendinimo programos patvirtinimo“ numatytų krypčių įgyvendinimo. </w:t>
            </w:r>
          </w:p>
          <w:p w:rsidR="00385835" w:rsidRPr="00385835" w:rsidRDefault="00385835" w:rsidP="00385835">
            <w:pPr>
              <w:widowControl w:val="0"/>
              <w:tabs>
                <w:tab w:val="left" w:pos="622"/>
              </w:tabs>
              <w:spacing w:after="0" w:line="240" w:lineRule="auto"/>
              <w:ind w:firstLine="624"/>
              <w:jc w:val="both"/>
              <w:rPr>
                <w:rFonts w:ascii="Times New Roman" w:eastAsia="AngsanaUPC" w:hAnsi="Times New Roman"/>
                <w:bCs/>
                <w:sz w:val="24"/>
                <w:szCs w:val="24"/>
                <w:lang w:eastAsia="lt-LT"/>
              </w:rPr>
            </w:pPr>
            <w:r w:rsidRPr="00385835">
              <w:rPr>
                <w:rFonts w:ascii="Times New Roman" w:hAnsi="Times New Roman"/>
                <w:bCs/>
                <w:sz w:val="24"/>
                <w:szCs w:val="24"/>
                <w:lang w:eastAsia="lt-LT"/>
              </w:rPr>
              <w:t>Atsižvelgiant į tai, jog studijų prieinamumą riboja nuotolinių ar lanksčių formų studijų stoka ir menkai išvystyta finansinių paskatų sistema, todėl studijų prieinamumas bus padidintas</w:t>
            </w:r>
            <w:r w:rsidR="00963FF1">
              <w:rPr>
                <w:rFonts w:ascii="Times New Roman" w:hAnsi="Times New Roman"/>
                <w:bCs/>
                <w:sz w:val="24"/>
                <w:szCs w:val="24"/>
                <w:lang w:eastAsia="lt-LT"/>
              </w:rPr>
              <w:t>,</w:t>
            </w:r>
            <w:r w:rsidRPr="00385835">
              <w:rPr>
                <w:rFonts w:ascii="Times New Roman" w:hAnsi="Times New Roman"/>
                <w:bCs/>
                <w:sz w:val="24"/>
                <w:szCs w:val="24"/>
                <w:lang w:eastAsia="lt-LT"/>
              </w:rPr>
              <w:t xml:space="preserve"> teikiant socialines bei finansines paskatas studentams (stipendijas, išmokas, lengvatines paskolas studijų įmokai finansuoti ir pan.) iš mažai atstovaujamų socialinių grupių.</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507"/>
        <w:gridCol w:w="1903"/>
        <w:gridCol w:w="957"/>
        <w:gridCol w:w="886"/>
        <w:gridCol w:w="809"/>
        <w:gridCol w:w="711"/>
        <w:gridCol w:w="791"/>
        <w:gridCol w:w="576"/>
        <w:gridCol w:w="601"/>
        <w:gridCol w:w="1078"/>
        <w:gridCol w:w="927"/>
      </w:tblGrid>
      <w:tr w:rsidR="00385835" w:rsidRPr="00385835" w:rsidTr="00385835">
        <w:tc>
          <w:tcPr>
            <w:tcW w:w="9746" w:type="dxa"/>
            <w:gridSpan w:val="11"/>
            <w:shd w:val="clear" w:color="auto" w:fill="EEECE1"/>
          </w:tcPr>
          <w:p w:rsidR="00385835" w:rsidRPr="00385835" w:rsidRDefault="00385835" w:rsidP="006827C9">
            <w:pPr>
              <w:widowControl w:val="0"/>
              <w:tabs>
                <w:tab w:val="left" w:pos="622"/>
              </w:tabs>
              <w:spacing w:after="0" w:line="240" w:lineRule="auto"/>
              <w:jc w:val="both"/>
              <w:rPr>
                <w:rFonts w:ascii="Times New Roman" w:eastAsia="AngsanaUPC" w:hAnsi="Times New Roman"/>
                <w:b/>
                <w:bCs/>
                <w:i/>
                <w:iCs/>
                <w:sz w:val="24"/>
                <w:szCs w:val="24"/>
                <w:lang w:eastAsia="lt-LT"/>
              </w:rPr>
            </w:pPr>
            <w:r w:rsidRPr="00385835">
              <w:rPr>
                <w:rFonts w:ascii="Times New Roman" w:eastAsia="AngsanaUPC" w:hAnsi="Times New Roman"/>
                <w:b/>
                <w:bCs/>
                <w:i/>
                <w:iCs/>
                <w:sz w:val="24"/>
                <w:szCs w:val="24"/>
                <w:lang w:eastAsia="lt-LT"/>
              </w:rPr>
              <w:t xml:space="preserve">ESF bendrieji ir </w:t>
            </w:r>
            <w:r w:rsidR="006827C9">
              <w:rPr>
                <w:rFonts w:ascii="Times New Roman" w:eastAsia="AngsanaUPC" w:hAnsi="Times New Roman"/>
                <w:b/>
                <w:bCs/>
                <w:i/>
                <w:iCs/>
                <w:sz w:val="24"/>
                <w:szCs w:val="24"/>
                <w:lang w:eastAsia="lt-LT"/>
              </w:rPr>
              <w:t>specialieji</w:t>
            </w:r>
            <w:r w:rsidR="006827C9" w:rsidRPr="00385835">
              <w:rPr>
                <w:rFonts w:ascii="Times New Roman" w:eastAsia="AngsanaUPC" w:hAnsi="Times New Roman"/>
                <w:b/>
                <w:bCs/>
                <w:i/>
                <w:iCs/>
                <w:sz w:val="24"/>
                <w:szCs w:val="24"/>
                <w:lang w:eastAsia="lt-LT"/>
              </w:rPr>
              <w:t xml:space="preserve"> </w:t>
            </w:r>
            <w:r w:rsidRPr="00385835">
              <w:rPr>
                <w:rFonts w:ascii="Times New Roman" w:eastAsia="AngsanaUPC" w:hAnsi="Times New Roman"/>
                <w:b/>
                <w:bCs/>
                <w:i/>
                <w:iCs/>
                <w:sz w:val="24"/>
                <w:szCs w:val="24"/>
                <w:lang w:eastAsia="lt-LT"/>
              </w:rPr>
              <w:t>programos rezultato rodikliai</w:t>
            </w:r>
          </w:p>
        </w:tc>
      </w:tr>
      <w:tr w:rsidR="00385835" w:rsidRPr="00385835" w:rsidTr="00385835">
        <w:tblPrEx>
          <w:shd w:val="clear" w:color="auto" w:fill="auto"/>
        </w:tblPrEx>
        <w:trPr>
          <w:cantSplit/>
          <w:trHeight w:val="1837"/>
        </w:trPr>
        <w:tc>
          <w:tcPr>
            <w:tcW w:w="507"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Nr.</w:t>
            </w:r>
          </w:p>
        </w:tc>
        <w:tc>
          <w:tcPr>
            <w:tcW w:w="1903"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Rodiklio pavadinimas</w:t>
            </w:r>
          </w:p>
        </w:tc>
        <w:tc>
          <w:tcPr>
            <w:tcW w:w="957"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Regiono kategorija</w:t>
            </w:r>
          </w:p>
        </w:tc>
        <w:tc>
          <w:tcPr>
            <w:tcW w:w="886"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Matavimo vienetas</w:t>
            </w:r>
          </w:p>
        </w:tc>
        <w:tc>
          <w:tcPr>
            <w:tcW w:w="809"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Bendrasis produkto rodiklis, naudotas kaip pagrindas</w:t>
            </w:r>
          </w:p>
        </w:tc>
        <w:tc>
          <w:tcPr>
            <w:tcW w:w="711"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 reikšmė</w:t>
            </w:r>
          </w:p>
        </w:tc>
        <w:tc>
          <w:tcPr>
            <w:tcW w:w="791"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Pradinės ir siektinos reikšmės matavimo vienetai</w:t>
            </w:r>
          </w:p>
        </w:tc>
        <w:tc>
          <w:tcPr>
            <w:tcW w:w="576"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Pradinės reikšmės metai</w:t>
            </w:r>
          </w:p>
        </w:tc>
        <w:tc>
          <w:tcPr>
            <w:tcW w:w="601"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Siektina reikšmė (2023)</w:t>
            </w:r>
          </w:p>
        </w:tc>
        <w:tc>
          <w:tcPr>
            <w:tcW w:w="1078"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Duomenų šaltinis</w:t>
            </w:r>
          </w:p>
        </w:tc>
        <w:tc>
          <w:tcPr>
            <w:tcW w:w="927"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Atsiskaitymo dažnumas</w:t>
            </w:r>
          </w:p>
        </w:tc>
      </w:tr>
      <w:tr w:rsidR="00385835" w:rsidRPr="00385835" w:rsidTr="00385835">
        <w:tblPrEx>
          <w:shd w:val="clear" w:color="auto" w:fill="auto"/>
        </w:tblPrEx>
        <w:tc>
          <w:tcPr>
            <w:tcW w:w="507" w:type="dxa"/>
            <w:shd w:val="clear" w:color="auto" w:fill="auto"/>
            <w:vAlign w:val="center"/>
          </w:tcPr>
          <w:p w:rsidR="00385835" w:rsidRPr="00385835" w:rsidDel="0085738C" w:rsidRDefault="00385835" w:rsidP="00385835">
            <w:pPr>
              <w:widowControl w:val="0"/>
              <w:tabs>
                <w:tab w:val="left" w:pos="622"/>
              </w:tabs>
              <w:spacing w:after="0" w:line="240" w:lineRule="auto"/>
              <w:jc w:val="center"/>
              <w:rPr>
                <w:rFonts w:ascii="Times New Roman" w:hAnsi="Times New Roman"/>
                <w:bCs/>
                <w:iCs/>
                <w:sz w:val="18"/>
                <w:szCs w:val="18"/>
                <w:lang w:eastAsia="lt-LT"/>
              </w:rPr>
            </w:pPr>
            <w:r w:rsidRPr="00385835">
              <w:rPr>
                <w:rFonts w:ascii="Times New Roman" w:hAnsi="Times New Roman"/>
                <w:bCs/>
                <w:iCs/>
                <w:sz w:val="18"/>
                <w:szCs w:val="18"/>
                <w:lang w:eastAsia="lt-LT"/>
              </w:rPr>
              <w:t>1.</w:t>
            </w:r>
          </w:p>
        </w:tc>
        <w:tc>
          <w:tcPr>
            <w:tcW w:w="1903" w:type="dxa"/>
            <w:shd w:val="clear" w:color="auto" w:fill="auto"/>
            <w:vAlign w:val="center"/>
          </w:tcPr>
          <w:p w:rsidR="00385835" w:rsidRPr="00385835" w:rsidRDefault="00385835" w:rsidP="00385835">
            <w:pPr>
              <w:spacing w:after="0" w:line="240" w:lineRule="auto"/>
              <w:rPr>
                <w:rFonts w:ascii="Times New Roman" w:hAnsi="Times New Roman"/>
                <w:sz w:val="18"/>
                <w:szCs w:val="18"/>
              </w:rPr>
            </w:pPr>
            <w:r w:rsidRPr="00385835">
              <w:rPr>
                <w:rFonts w:ascii="Times New Roman" w:hAnsi="Times New Roman"/>
                <w:sz w:val="18"/>
                <w:szCs w:val="18"/>
              </w:rPr>
              <w:t xml:space="preserve">Studentų, kurie pagal veiksmų programą ESF lėšomis bent dalį studijų laikotarpio mokėsi užsienio aukštosiose mokyklose, dalis </w:t>
            </w:r>
          </w:p>
        </w:tc>
        <w:tc>
          <w:tcPr>
            <w:tcW w:w="957" w:type="dxa"/>
            <w:shd w:val="clear" w:color="auto" w:fill="auto"/>
            <w:vAlign w:val="center"/>
          </w:tcPr>
          <w:p w:rsidR="00385835" w:rsidRPr="00385835" w:rsidRDefault="00385835" w:rsidP="00385835">
            <w:pPr>
              <w:spacing w:after="0" w:line="240" w:lineRule="auto"/>
              <w:jc w:val="center"/>
              <w:rPr>
                <w:rFonts w:ascii="Times New Roman" w:hAnsi="Times New Roman"/>
                <w:sz w:val="18"/>
                <w:szCs w:val="18"/>
              </w:rPr>
            </w:pPr>
            <w:r w:rsidRPr="00385835">
              <w:rPr>
                <w:rFonts w:ascii="Times New Roman" w:hAnsi="Times New Roman"/>
                <w:sz w:val="18"/>
                <w:szCs w:val="18"/>
              </w:rPr>
              <w:t>Mažiau išsivystęs</w:t>
            </w:r>
          </w:p>
        </w:tc>
        <w:tc>
          <w:tcPr>
            <w:tcW w:w="886" w:type="dxa"/>
            <w:shd w:val="clear" w:color="auto" w:fill="auto"/>
            <w:vAlign w:val="center"/>
          </w:tcPr>
          <w:p w:rsidR="00385835" w:rsidRPr="00385835" w:rsidRDefault="00385835" w:rsidP="00385835">
            <w:pPr>
              <w:spacing w:after="0" w:line="240" w:lineRule="auto"/>
              <w:jc w:val="center"/>
              <w:rPr>
                <w:rFonts w:ascii="Times New Roman" w:hAnsi="Times New Roman"/>
                <w:sz w:val="18"/>
                <w:szCs w:val="18"/>
              </w:rPr>
            </w:pPr>
            <w:r w:rsidRPr="00385835">
              <w:rPr>
                <w:rFonts w:ascii="Times New Roman" w:hAnsi="Times New Roman"/>
                <w:sz w:val="18"/>
                <w:szCs w:val="18"/>
              </w:rPr>
              <w:t>Asmenys</w:t>
            </w:r>
          </w:p>
        </w:tc>
        <w:tc>
          <w:tcPr>
            <w:tcW w:w="809"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w:t>
            </w:r>
          </w:p>
        </w:tc>
        <w:tc>
          <w:tcPr>
            <w:tcW w:w="711" w:type="dxa"/>
            <w:shd w:val="clear" w:color="auto" w:fill="auto"/>
            <w:vAlign w:val="center"/>
          </w:tcPr>
          <w:p w:rsidR="00385835" w:rsidRPr="00385835" w:rsidDel="0085738C"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0,93</w:t>
            </w:r>
          </w:p>
        </w:tc>
        <w:tc>
          <w:tcPr>
            <w:tcW w:w="791" w:type="dxa"/>
            <w:shd w:val="clear" w:color="auto" w:fill="auto"/>
            <w:vAlign w:val="center"/>
          </w:tcPr>
          <w:p w:rsidR="00385835" w:rsidRPr="00385835" w:rsidDel="0085738C"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Proc.</w:t>
            </w:r>
          </w:p>
        </w:tc>
        <w:tc>
          <w:tcPr>
            <w:tcW w:w="576"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2013</w:t>
            </w:r>
          </w:p>
        </w:tc>
        <w:tc>
          <w:tcPr>
            <w:tcW w:w="601" w:type="dxa"/>
            <w:shd w:val="clear" w:color="auto" w:fill="auto"/>
            <w:vAlign w:val="center"/>
          </w:tcPr>
          <w:p w:rsidR="00385835" w:rsidRPr="00385835" w:rsidDel="0085738C"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2,25</w:t>
            </w:r>
          </w:p>
        </w:tc>
        <w:tc>
          <w:tcPr>
            <w:tcW w:w="1078" w:type="dxa"/>
            <w:shd w:val="clear" w:color="auto" w:fill="auto"/>
            <w:vAlign w:val="center"/>
          </w:tcPr>
          <w:p w:rsidR="00385835" w:rsidRPr="00385835" w:rsidDel="0085738C"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Duomenys iš projektų</w:t>
            </w:r>
          </w:p>
        </w:tc>
        <w:tc>
          <w:tcPr>
            <w:tcW w:w="92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 xml:space="preserve">Kartą per metus </w:t>
            </w:r>
          </w:p>
        </w:tc>
      </w:tr>
      <w:tr w:rsidR="00385835" w:rsidRPr="00385835" w:rsidTr="00385835">
        <w:tblPrEx>
          <w:shd w:val="clear" w:color="auto" w:fill="auto"/>
        </w:tblPrEx>
        <w:tc>
          <w:tcPr>
            <w:tcW w:w="50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bCs/>
                <w:iCs/>
                <w:sz w:val="18"/>
                <w:szCs w:val="18"/>
                <w:lang w:eastAsia="lt-LT"/>
              </w:rPr>
            </w:pPr>
            <w:r w:rsidRPr="00385835">
              <w:rPr>
                <w:rFonts w:ascii="Times New Roman" w:hAnsi="Times New Roman"/>
                <w:bCs/>
                <w:iCs/>
                <w:sz w:val="18"/>
                <w:szCs w:val="18"/>
                <w:lang w:eastAsia="lt-LT"/>
              </w:rPr>
              <w:t>2.</w:t>
            </w:r>
          </w:p>
        </w:tc>
        <w:tc>
          <w:tcPr>
            <w:tcW w:w="1903" w:type="dxa"/>
            <w:shd w:val="clear" w:color="auto" w:fill="auto"/>
            <w:vAlign w:val="center"/>
          </w:tcPr>
          <w:p w:rsidR="00385835" w:rsidRPr="00385835" w:rsidRDefault="00385835" w:rsidP="00385835">
            <w:pPr>
              <w:spacing w:after="0" w:line="240" w:lineRule="auto"/>
              <w:rPr>
                <w:rFonts w:ascii="Times New Roman" w:hAnsi="Times New Roman"/>
                <w:sz w:val="18"/>
                <w:szCs w:val="18"/>
              </w:rPr>
            </w:pPr>
            <w:r w:rsidRPr="00385835">
              <w:rPr>
                <w:rFonts w:ascii="Times New Roman" w:hAnsi="Times New Roman"/>
                <w:sz w:val="18"/>
                <w:szCs w:val="18"/>
              </w:rPr>
              <w:t>Studentų, pagal veiksmų programą ESF lėšomis atlikusių praktiką įmonėse ir organizacijose, dalis</w:t>
            </w:r>
          </w:p>
        </w:tc>
        <w:tc>
          <w:tcPr>
            <w:tcW w:w="957" w:type="dxa"/>
            <w:shd w:val="clear" w:color="auto" w:fill="auto"/>
            <w:vAlign w:val="center"/>
          </w:tcPr>
          <w:p w:rsidR="00385835" w:rsidRPr="00385835" w:rsidRDefault="00385835" w:rsidP="00385835">
            <w:pPr>
              <w:spacing w:after="0" w:line="240" w:lineRule="auto"/>
              <w:jc w:val="center"/>
              <w:rPr>
                <w:rFonts w:ascii="Times New Roman" w:hAnsi="Times New Roman"/>
                <w:sz w:val="18"/>
                <w:szCs w:val="18"/>
              </w:rPr>
            </w:pPr>
            <w:r w:rsidRPr="00385835">
              <w:rPr>
                <w:rFonts w:ascii="Times New Roman" w:hAnsi="Times New Roman"/>
                <w:bCs/>
                <w:sz w:val="18"/>
                <w:szCs w:val="18"/>
              </w:rPr>
              <w:t>Mažiau išsivystęs</w:t>
            </w:r>
          </w:p>
        </w:tc>
        <w:tc>
          <w:tcPr>
            <w:tcW w:w="886" w:type="dxa"/>
            <w:shd w:val="clear" w:color="auto" w:fill="auto"/>
            <w:vAlign w:val="center"/>
          </w:tcPr>
          <w:p w:rsidR="00385835" w:rsidRPr="00385835" w:rsidRDefault="00385835" w:rsidP="00385835">
            <w:pPr>
              <w:spacing w:after="0" w:line="240" w:lineRule="auto"/>
              <w:jc w:val="center"/>
              <w:rPr>
                <w:rFonts w:ascii="Times New Roman" w:hAnsi="Times New Roman"/>
                <w:sz w:val="18"/>
                <w:szCs w:val="18"/>
              </w:rPr>
            </w:pPr>
            <w:r w:rsidRPr="00385835">
              <w:rPr>
                <w:rFonts w:ascii="Times New Roman" w:hAnsi="Times New Roman"/>
                <w:bCs/>
                <w:sz w:val="18"/>
                <w:szCs w:val="18"/>
              </w:rPr>
              <w:t>Asmenys</w:t>
            </w:r>
          </w:p>
        </w:tc>
        <w:tc>
          <w:tcPr>
            <w:tcW w:w="809"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w:t>
            </w:r>
          </w:p>
        </w:tc>
        <w:tc>
          <w:tcPr>
            <w:tcW w:w="71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lang w:val="en-US"/>
              </w:rPr>
            </w:pPr>
            <w:r w:rsidRPr="00385835">
              <w:rPr>
                <w:rFonts w:ascii="Times New Roman" w:hAnsi="Times New Roman"/>
                <w:bCs/>
                <w:sz w:val="18"/>
                <w:szCs w:val="18"/>
              </w:rPr>
              <w:t>3,16</w:t>
            </w:r>
          </w:p>
        </w:tc>
        <w:tc>
          <w:tcPr>
            <w:tcW w:w="79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bCs/>
                <w:sz w:val="18"/>
                <w:szCs w:val="18"/>
              </w:rPr>
              <w:t>Proc.</w:t>
            </w:r>
          </w:p>
        </w:tc>
        <w:tc>
          <w:tcPr>
            <w:tcW w:w="576"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bCs/>
                <w:iCs/>
                <w:sz w:val="18"/>
                <w:szCs w:val="18"/>
              </w:rPr>
              <w:t>2013</w:t>
            </w:r>
          </w:p>
        </w:tc>
        <w:tc>
          <w:tcPr>
            <w:tcW w:w="60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bCs/>
                <w:iCs/>
                <w:sz w:val="18"/>
                <w:szCs w:val="18"/>
              </w:rPr>
              <w:t>4,8</w:t>
            </w:r>
          </w:p>
        </w:tc>
        <w:tc>
          <w:tcPr>
            <w:tcW w:w="1078"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Duomenys iš projektų</w:t>
            </w:r>
          </w:p>
        </w:tc>
        <w:tc>
          <w:tcPr>
            <w:tcW w:w="92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bCs/>
                <w:iCs/>
                <w:sz w:val="18"/>
                <w:szCs w:val="18"/>
              </w:rPr>
              <w:t>Kartą per metus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tcPr>
          <w:p w:rsidR="00385835" w:rsidRPr="00385835" w:rsidRDefault="00385835" w:rsidP="00385835">
            <w:pPr>
              <w:widowControl w:val="0"/>
              <w:tabs>
                <w:tab w:val="left" w:pos="622"/>
              </w:tabs>
              <w:spacing w:after="0" w:line="240" w:lineRule="auto"/>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9.3.2. KONKRETUS UŽDAVINYS</w:t>
            </w:r>
          </w:p>
        </w:tc>
        <w:tc>
          <w:tcPr>
            <w:tcW w:w="7336" w:type="dxa"/>
            <w:shd w:val="clear" w:color="auto" w:fill="EEECE1"/>
            <w:vAlign w:val="center"/>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hAnsi="Times New Roman"/>
                <w:b/>
                <w:bCs/>
                <w:iCs/>
                <w:sz w:val="24"/>
                <w:szCs w:val="24"/>
                <w:lang w:eastAsia="lt-LT"/>
              </w:rPr>
              <w:t>Stiprinti aukštojo mokslo stebėseną, išorinį vertinimą ir efektyvų studijų valdymą, siekiant nuolatinio studijų kokybės gerinimo</w:t>
            </w:r>
          </w:p>
        </w:tc>
      </w:tr>
      <w:tr w:rsidR="00385835" w:rsidRPr="00385835" w:rsidTr="00385835">
        <w:tc>
          <w:tcPr>
            <w:tcW w:w="9746" w:type="dxa"/>
            <w:gridSpan w:val="2"/>
            <w:shd w:val="clear" w:color="auto" w:fill="auto"/>
          </w:tcPr>
          <w:p w:rsidR="00385835" w:rsidRPr="00385835" w:rsidRDefault="00385835" w:rsidP="00385835">
            <w:pPr>
              <w:spacing w:after="0" w:line="240" w:lineRule="auto"/>
              <w:ind w:firstLine="624"/>
              <w:jc w:val="both"/>
              <w:rPr>
                <w:rFonts w:ascii="Times New Roman" w:hAnsi="Times New Roman"/>
                <w:bCs/>
                <w:sz w:val="24"/>
                <w:szCs w:val="24"/>
                <w:lang w:eastAsia="lt-LT"/>
              </w:rPr>
            </w:pPr>
            <w:r w:rsidRPr="00385835">
              <w:rPr>
                <w:rFonts w:ascii="Times New Roman" w:hAnsi="Times New Roman"/>
                <w:bCs/>
                <w:sz w:val="24"/>
                <w:szCs w:val="24"/>
                <w:lang w:eastAsia="lt-LT"/>
              </w:rPr>
              <w:t>2007–2013 m. programavimo laikotarpiu įdiegtos kokybės valdymo sistemos yra skirtos esamam studijų procesui užtikrinti ir palaikyti, tačiau trūksta sistemos, kuri įgalintų daryti nuolatinius studijų kokybės gerinimo pokyčius, o aukštųjų mokyklų vadovams trūksta specialių įgūdžių ir gebėjimų vykdyti tokius pokyčius.</w:t>
            </w:r>
          </w:p>
          <w:p w:rsidR="00385835" w:rsidRPr="00385835" w:rsidRDefault="00385835" w:rsidP="00385835">
            <w:pPr>
              <w:spacing w:after="0" w:line="240" w:lineRule="auto"/>
              <w:ind w:firstLine="624"/>
              <w:jc w:val="both"/>
              <w:rPr>
                <w:rFonts w:ascii="Times New Roman" w:hAnsi="Times New Roman"/>
                <w:bCs/>
                <w:sz w:val="24"/>
                <w:szCs w:val="24"/>
                <w:lang w:eastAsia="lt-LT"/>
              </w:rPr>
            </w:pPr>
            <w:r w:rsidRPr="00385835">
              <w:rPr>
                <w:rFonts w:ascii="Times New Roman" w:hAnsi="Times New Roman"/>
                <w:bCs/>
                <w:sz w:val="24"/>
                <w:szCs w:val="24"/>
                <w:lang w:eastAsia="lt-LT"/>
              </w:rPr>
              <w:t xml:space="preserve">Taip pat studijų kokybės valdyme stokojama objektyvių duomenų, reikalingų sprendimų priėmimui ir tobulintinoms sritims, raidos tendencijoms ir perspektyvoms nustatyti, reikalingų svarbiausioms studijų kokybę </w:t>
            </w:r>
            <w:proofErr w:type="gramStart"/>
            <w:r w:rsidRPr="00385835">
              <w:rPr>
                <w:rFonts w:ascii="Times New Roman" w:hAnsi="Times New Roman"/>
                <w:bCs/>
                <w:sz w:val="24"/>
                <w:szCs w:val="24"/>
                <w:lang w:eastAsia="lt-LT"/>
              </w:rPr>
              <w:t>įtakojantiems</w:t>
            </w:r>
            <w:proofErr w:type="gramEnd"/>
            <w:r w:rsidRPr="00385835">
              <w:rPr>
                <w:rFonts w:ascii="Times New Roman" w:hAnsi="Times New Roman"/>
                <w:bCs/>
                <w:sz w:val="24"/>
                <w:szCs w:val="24"/>
                <w:lang w:eastAsia="lt-LT"/>
              </w:rPr>
              <w:t xml:space="preserve"> veiksniams ir priežastims nustatyti bei įrodymais grįstam valdymui diegti.</w:t>
            </w:r>
          </w:p>
          <w:p w:rsidR="00385835" w:rsidRPr="00385835" w:rsidRDefault="00385835" w:rsidP="00963FF1">
            <w:pPr>
              <w:spacing w:after="0" w:line="240" w:lineRule="auto"/>
              <w:ind w:firstLine="624"/>
              <w:jc w:val="both"/>
              <w:rPr>
                <w:rFonts w:ascii="Times New Roman" w:eastAsia="AngsanaUPC" w:hAnsi="Times New Roman"/>
                <w:bCs/>
                <w:sz w:val="24"/>
                <w:szCs w:val="24"/>
                <w:lang w:eastAsia="lt-LT"/>
              </w:rPr>
            </w:pPr>
            <w:r w:rsidRPr="00385835">
              <w:rPr>
                <w:rFonts w:ascii="Times New Roman" w:hAnsi="Times New Roman"/>
                <w:bCs/>
                <w:sz w:val="24"/>
                <w:szCs w:val="24"/>
                <w:lang w:eastAsia="lt-LT"/>
              </w:rPr>
              <w:lastRenderedPageBreak/>
              <w:t>2014–2</w:t>
            </w:r>
            <w:r w:rsidR="00963FF1">
              <w:rPr>
                <w:rFonts w:ascii="Times New Roman" w:hAnsi="Times New Roman"/>
                <w:bCs/>
                <w:sz w:val="24"/>
                <w:szCs w:val="24"/>
                <w:lang w:eastAsia="lt-LT"/>
              </w:rPr>
              <w:t>020 m. programavimo laikotarpiu,</w:t>
            </w:r>
            <w:r w:rsidRPr="00385835">
              <w:rPr>
                <w:rFonts w:ascii="Times New Roman" w:hAnsi="Times New Roman"/>
                <w:bCs/>
                <w:sz w:val="24"/>
                <w:szCs w:val="24"/>
                <w:lang w:eastAsia="lt-LT"/>
              </w:rPr>
              <w:t xml:space="preserve"> siekiant įrodymais grįsto studijų kokybės valdymo ir į rezultatus orientuotų studijų Lietuvoje, bus sustiprinta stebėsenos, išorinio vertinimo (studijų programų ir institucinio), kokybinio vertinimo, savęs įsivertinimo ir akreditacijos sistemos, padidintas socialinių dalininkų įsitraukimas į studijų kokybės gerinimo procesą. Atsižvelgiant į aukštųj</w:t>
            </w:r>
            <w:r w:rsidR="00963FF1">
              <w:rPr>
                <w:rFonts w:ascii="Times New Roman" w:hAnsi="Times New Roman"/>
                <w:bCs/>
                <w:sz w:val="24"/>
                <w:szCs w:val="24"/>
                <w:lang w:eastAsia="lt-LT"/>
              </w:rPr>
              <w:t xml:space="preserve">ų mokyklų autonomijos principą, </w:t>
            </w:r>
            <w:r w:rsidRPr="00385835">
              <w:rPr>
                <w:rFonts w:ascii="Times New Roman" w:hAnsi="Times New Roman"/>
                <w:bCs/>
                <w:sz w:val="24"/>
                <w:szCs w:val="24"/>
                <w:lang w:eastAsia="lt-LT"/>
              </w:rPr>
              <w:t>bus paspartintas studijų kokybės gerinimas pačių aukštųjų mokyklų iniciatyva bei paskatintas šių mokyklų tinklo optimizavimas, ilgainiui išliekant tik geriausioms aukštosioms mokykloms, gebančioms konkuruoti globalioje auk</w:t>
            </w:r>
            <w:r w:rsidR="00963FF1">
              <w:rPr>
                <w:rFonts w:ascii="Times New Roman" w:hAnsi="Times New Roman"/>
                <w:bCs/>
                <w:sz w:val="24"/>
                <w:szCs w:val="24"/>
                <w:lang w:eastAsia="lt-LT"/>
              </w:rPr>
              <w:t xml:space="preserve">štojo mokslo erdvėje. Žymiai </w:t>
            </w:r>
            <w:r w:rsidRPr="00385835">
              <w:rPr>
                <w:rFonts w:ascii="Times New Roman" w:hAnsi="Times New Roman"/>
                <w:bCs/>
                <w:sz w:val="24"/>
                <w:szCs w:val="24"/>
                <w:lang w:eastAsia="lt-LT"/>
              </w:rPr>
              <w:t>pagerės kvalifikacijų formavimo ir pripažinimo sistemos aukštajame moksle veikimas ir prieinamumas, padidės atitiktis besikeičiantiems darbo rinkos poreikiams ir pagerės nuolatinė ir sisteminė studijų kokybė, pagerintas studijų ir aukštųjų mokyklų valdymas,  sumažintos sąnaudos, efek</w:t>
            </w:r>
            <w:r w:rsidR="00963FF1">
              <w:rPr>
                <w:rFonts w:ascii="Times New Roman" w:hAnsi="Times New Roman"/>
                <w:bCs/>
                <w:sz w:val="24"/>
                <w:szCs w:val="24"/>
                <w:lang w:eastAsia="lt-LT"/>
              </w:rPr>
              <w:t>tyvinta aukštųjų mokyklų veikla</w:t>
            </w:r>
            <w:r w:rsidRPr="00385835">
              <w:rPr>
                <w:rFonts w:ascii="Times New Roman" w:hAnsi="Times New Roman"/>
                <w:bCs/>
                <w:sz w:val="24"/>
                <w:szCs w:val="24"/>
                <w:lang w:eastAsia="lt-LT"/>
              </w:rPr>
              <w:t>, pereinant prie į studijų rezultatus nukreiptų studijų valdymo. Efektyvus studijų valdymas leis užtikrinti aukštesnį absolventų įsidarbinamumą, nuolatinį studijų atnaujinimą ir prisitaikymą prie darbo rinkos ir visuomenės poreikių ir tai sudarys sąlygas efektyviau naudoti viešąsias investicijas, skiriamas aukštajam mokslui.</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516"/>
        <w:gridCol w:w="1975"/>
        <w:gridCol w:w="951"/>
        <w:gridCol w:w="1302"/>
        <w:gridCol w:w="720"/>
        <w:gridCol w:w="519"/>
        <w:gridCol w:w="789"/>
        <w:gridCol w:w="576"/>
        <w:gridCol w:w="590"/>
        <w:gridCol w:w="1107"/>
        <w:gridCol w:w="701"/>
      </w:tblGrid>
      <w:tr w:rsidR="00385835" w:rsidRPr="00385835" w:rsidTr="00385835">
        <w:tc>
          <w:tcPr>
            <w:tcW w:w="9746" w:type="dxa"/>
            <w:gridSpan w:val="11"/>
            <w:shd w:val="clear" w:color="auto" w:fill="EEECE1"/>
          </w:tcPr>
          <w:p w:rsidR="00385835" w:rsidRPr="00385835" w:rsidRDefault="00385835" w:rsidP="006827C9">
            <w:pPr>
              <w:widowControl w:val="0"/>
              <w:tabs>
                <w:tab w:val="left" w:pos="622"/>
              </w:tabs>
              <w:spacing w:after="0" w:line="240" w:lineRule="auto"/>
              <w:jc w:val="both"/>
              <w:rPr>
                <w:rFonts w:ascii="Times New Roman" w:eastAsia="AngsanaUPC" w:hAnsi="Times New Roman"/>
                <w:b/>
                <w:bCs/>
                <w:i/>
                <w:iCs/>
                <w:sz w:val="24"/>
                <w:szCs w:val="24"/>
                <w:lang w:eastAsia="lt-LT"/>
              </w:rPr>
            </w:pPr>
            <w:r w:rsidRPr="00385835">
              <w:rPr>
                <w:rFonts w:ascii="Times New Roman" w:eastAsia="AngsanaUPC" w:hAnsi="Times New Roman"/>
                <w:b/>
                <w:bCs/>
                <w:i/>
                <w:iCs/>
                <w:sz w:val="24"/>
                <w:szCs w:val="24"/>
                <w:lang w:eastAsia="lt-LT"/>
              </w:rPr>
              <w:t xml:space="preserve">ESF bendrieji ir </w:t>
            </w:r>
            <w:r w:rsidR="006827C9">
              <w:rPr>
                <w:rFonts w:ascii="Times New Roman" w:eastAsia="AngsanaUPC" w:hAnsi="Times New Roman"/>
                <w:b/>
                <w:bCs/>
                <w:i/>
                <w:iCs/>
                <w:sz w:val="24"/>
                <w:szCs w:val="24"/>
                <w:lang w:eastAsia="lt-LT"/>
              </w:rPr>
              <w:t>specialieji</w:t>
            </w:r>
            <w:r w:rsidR="006827C9" w:rsidRPr="00385835">
              <w:rPr>
                <w:rFonts w:ascii="Times New Roman" w:eastAsia="AngsanaUPC" w:hAnsi="Times New Roman"/>
                <w:b/>
                <w:bCs/>
                <w:i/>
                <w:iCs/>
                <w:sz w:val="24"/>
                <w:szCs w:val="24"/>
                <w:lang w:eastAsia="lt-LT"/>
              </w:rPr>
              <w:t xml:space="preserve"> </w:t>
            </w:r>
            <w:r w:rsidRPr="00385835">
              <w:rPr>
                <w:rFonts w:ascii="Times New Roman" w:eastAsia="AngsanaUPC" w:hAnsi="Times New Roman"/>
                <w:b/>
                <w:bCs/>
                <w:i/>
                <w:iCs/>
                <w:sz w:val="24"/>
                <w:szCs w:val="24"/>
                <w:lang w:eastAsia="lt-LT"/>
              </w:rPr>
              <w:t>programos rezultato rodikliai</w:t>
            </w:r>
          </w:p>
        </w:tc>
      </w:tr>
      <w:tr w:rsidR="00385835" w:rsidRPr="00385835" w:rsidTr="00385835">
        <w:tblPrEx>
          <w:shd w:val="clear" w:color="auto" w:fill="auto"/>
        </w:tblPrEx>
        <w:trPr>
          <w:cantSplit/>
          <w:trHeight w:val="1837"/>
        </w:trPr>
        <w:tc>
          <w:tcPr>
            <w:tcW w:w="516"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Nr.</w:t>
            </w:r>
          </w:p>
        </w:tc>
        <w:tc>
          <w:tcPr>
            <w:tcW w:w="1975"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Rodiklio pavadinimas</w:t>
            </w:r>
          </w:p>
        </w:tc>
        <w:tc>
          <w:tcPr>
            <w:tcW w:w="951"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Regiono kategorija</w:t>
            </w:r>
          </w:p>
        </w:tc>
        <w:tc>
          <w:tcPr>
            <w:tcW w:w="1302"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Matavimo vienetas</w:t>
            </w:r>
          </w:p>
        </w:tc>
        <w:tc>
          <w:tcPr>
            <w:tcW w:w="720"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Bendrasis produkto rodiklis, naudotas kaip pagrindas</w:t>
            </w:r>
          </w:p>
        </w:tc>
        <w:tc>
          <w:tcPr>
            <w:tcW w:w="519"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 reikšmė</w:t>
            </w:r>
          </w:p>
        </w:tc>
        <w:tc>
          <w:tcPr>
            <w:tcW w:w="789"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Pradinės ir siektinos reikšmės matavimo vienetai</w:t>
            </w:r>
          </w:p>
        </w:tc>
        <w:tc>
          <w:tcPr>
            <w:tcW w:w="576"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Pradinės reikšmės metai</w:t>
            </w:r>
          </w:p>
        </w:tc>
        <w:tc>
          <w:tcPr>
            <w:tcW w:w="590"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Siektina reikšmė (2023)</w:t>
            </w:r>
          </w:p>
        </w:tc>
        <w:tc>
          <w:tcPr>
            <w:tcW w:w="1107"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Duomenų šaltinis</w:t>
            </w:r>
          </w:p>
        </w:tc>
        <w:tc>
          <w:tcPr>
            <w:tcW w:w="701"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Atsiskaitymo dažnumas</w:t>
            </w:r>
          </w:p>
        </w:tc>
      </w:tr>
      <w:tr w:rsidR="00385835" w:rsidRPr="00385835" w:rsidTr="00385835">
        <w:tblPrEx>
          <w:shd w:val="clear" w:color="auto" w:fill="auto"/>
        </w:tblPrEx>
        <w:tc>
          <w:tcPr>
            <w:tcW w:w="516" w:type="dxa"/>
            <w:shd w:val="clear" w:color="auto" w:fill="auto"/>
            <w:vAlign w:val="center"/>
          </w:tcPr>
          <w:p w:rsidR="00385835" w:rsidRPr="00385835" w:rsidDel="00C9751A" w:rsidRDefault="00385835" w:rsidP="00385835">
            <w:pPr>
              <w:widowControl w:val="0"/>
              <w:tabs>
                <w:tab w:val="left" w:pos="622"/>
              </w:tabs>
              <w:spacing w:after="0" w:line="240" w:lineRule="auto"/>
              <w:jc w:val="center"/>
              <w:rPr>
                <w:rFonts w:ascii="Times New Roman" w:hAnsi="Times New Roman"/>
                <w:bCs/>
                <w:iCs/>
                <w:sz w:val="18"/>
                <w:szCs w:val="18"/>
                <w:lang w:eastAsia="lt-LT"/>
              </w:rPr>
            </w:pPr>
            <w:r w:rsidRPr="00385835">
              <w:rPr>
                <w:rFonts w:ascii="Times New Roman" w:hAnsi="Times New Roman"/>
                <w:bCs/>
                <w:iCs/>
                <w:sz w:val="18"/>
                <w:szCs w:val="18"/>
                <w:lang w:eastAsia="lt-LT"/>
              </w:rPr>
              <w:t>1.</w:t>
            </w:r>
          </w:p>
        </w:tc>
        <w:tc>
          <w:tcPr>
            <w:tcW w:w="1975" w:type="dxa"/>
            <w:shd w:val="clear" w:color="auto" w:fill="auto"/>
            <w:vAlign w:val="center"/>
          </w:tcPr>
          <w:p w:rsidR="00385835" w:rsidRPr="00385835" w:rsidRDefault="00385835" w:rsidP="00385835">
            <w:pPr>
              <w:spacing w:after="0" w:line="240" w:lineRule="auto"/>
              <w:rPr>
                <w:rFonts w:ascii="Times New Roman" w:hAnsi="Times New Roman"/>
                <w:sz w:val="18"/>
                <w:szCs w:val="18"/>
              </w:rPr>
            </w:pPr>
            <w:r w:rsidRPr="00385835">
              <w:rPr>
                <w:rFonts w:ascii="Times New Roman" w:hAnsi="Times New Roman"/>
                <w:sz w:val="18"/>
                <w:szCs w:val="18"/>
              </w:rPr>
              <w:t>Aukštųjų mokyklų, kurioms pagal veiksmų programą ESF lėšomis buvo atliktas išorinis vertinimas, dalis</w:t>
            </w:r>
          </w:p>
        </w:tc>
        <w:tc>
          <w:tcPr>
            <w:tcW w:w="951" w:type="dxa"/>
            <w:shd w:val="clear" w:color="auto" w:fill="auto"/>
            <w:vAlign w:val="center"/>
          </w:tcPr>
          <w:p w:rsidR="00385835" w:rsidRPr="00385835" w:rsidRDefault="00385835" w:rsidP="00385835">
            <w:pPr>
              <w:spacing w:after="0" w:line="240" w:lineRule="auto"/>
              <w:jc w:val="center"/>
              <w:rPr>
                <w:rFonts w:ascii="Times New Roman" w:hAnsi="Times New Roman"/>
                <w:sz w:val="18"/>
                <w:szCs w:val="18"/>
              </w:rPr>
            </w:pPr>
            <w:r w:rsidRPr="00385835">
              <w:rPr>
                <w:rFonts w:ascii="Times New Roman" w:hAnsi="Times New Roman"/>
                <w:sz w:val="18"/>
                <w:szCs w:val="18"/>
              </w:rPr>
              <w:t>Mažiau išsivystęs</w:t>
            </w:r>
          </w:p>
        </w:tc>
        <w:tc>
          <w:tcPr>
            <w:tcW w:w="1302" w:type="dxa"/>
            <w:shd w:val="clear" w:color="auto" w:fill="auto"/>
            <w:vAlign w:val="center"/>
          </w:tcPr>
          <w:p w:rsidR="00385835" w:rsidRPr="00385835" w:rsidRDefault="00385835" w:rsidP="00385835">
            <w:pPr>
              <w:spacing w:after="0" w:line="240" w:lineRule="auto"/>
              <w:jc w:val="center"/>
              <w:rPr>
                <w:rFonts w:ascii="Times New Roman" w:hAnsi="Times New Roman"/>
                <w:sz w:val="18"/>
                <w:szCs w:val="18"/>
              </w:rPr>
            </w:pPr>
            <w:r w:rsidRPr="00385835">
              <w:rPr>
                <w:rFonts w:ascii="Times New Roman" w:hAnsi="Times New Roman"/>
                <w:sz w:val="18"/>
                <w:szCs w:val="18"/>
              </w:rPr>
              <w:t>Aukštosios mokyklos</w:t>
            </w:r>
          </w:p>
        </w:tc>
        <w:tc>
          <w:tcPr>
            <w:tcW w:w="720"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w:t>
            </w:r>
          </w:p>
        </w:tc>
        <w:tc>
          <w:tcPr>
            <w:tcW w:w="519"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0</w:t>
            </w:r>
          </w:p>
        </w:tc>
        <w:tc>
          <w:tcPr>
            <w:tcW w:w="789" w:type="dxa"/>
            <w:shd w:val="clear" w:color="auto" w:fill="auto"/>
            <w:vAlign w:val="center"/>
          </w:tcPr>
          <w:p w:rsidR="00385835" w:rsidRPr="00385835" w:rsidDel="00C9751A"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Proc.</w:t>
            </w:r>
          </w:p>
        </w:tc>
        <w:tc>
          <w:tcPr>
            <w:tcW w:w="576"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2014</w:t>
            </w:r>
          </w:p>
        </w:tc>
        <w:tc>
          <w:tcPr>
            <w:tcW w:w="590" w:type="dxa"/>
            <w:shd w:val="clear" w:color="auto" w:fill="auto"/>
            <w:vAlign w:val="center"/>
          </w:tcPr>
          <w:p w:rsidR="00385835" w:rsidRPr="00385835" w:rsidDel="00C9751A"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50</w:t>
            </w:r>
          </w:p>
        </w:tc>
        <w:tc>
          <w:tcPr>
            <w:tcW w:w="1107" w:type="dxa"/>
            <w:shd w:val="clear" w:color="auto" w:fill="auto"/>
            <w:vAlign w:val="center"/>
          </w:tcPr>
          <w:p w:rsidR="00385835" w:rsidRPr="00385835" w:rsidRDefault="00385835" w:rsidP="00385835">
            <w:pPr>
              <w:spacing w:after="0" w:line="240" w:lineRule="auto"/>
              <w:jc w:val="center"/>
              <w:rPr>
                <w:rFonts w:ascii="Times New Roman" w:hAnsi="Times New Roman"/>
                <w:sz w:val="18"/>
                <w:szCs w:val="18"/>
              </w:rPr>
            </w:pPr>
            <w:r w:rsidRPr="00385835">
              <w:rPr>
                <w:rFonts w:ascii="Times New Roman" w:hAnsi="Times New Roman"/>
                <w:sz w:val="18"/>
                <w:szCs w:val="18"/>
              </w:rPr>
              <w:t>Duomenys iš projektų</w:t>
            </w:r>
          </w:p>
        </w:tc>
        <w:tc>
          <w:tcPr>
            <w:tcW w:w="70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tcPr>
          <w:p w:rsidR="00385835" w:rsidRPr="00385835" w:rsidRDefault="00385835" w:rsidP="00385835">
            <w:pPr>
              <w:widowControl w:val="0"/>
              <w:tabs>
                <w:tab w:val="left" w:pos="622"/>
              </w:tabs>
              <w:spacing w:after="0" w:line="240" w:lineRule="auto"/>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9.3.3. KONKRETUS UŽDAVINYS</w:t>
            </w:r>
          </w:p>
        </w:tc>
        <w:tc>
          <w:tcPr>
            <w:tcW w:w="7336" w:type="dxa"/>
            <w:shd w:val="clear" w:color="auto" w:fill="EEECE1"/>
            <w:vAlign w:val="center"/>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hAnsi="Times New Roman"/>
                <w:b/>
                <w:bCs/>
                <w:sz w:val="24"/>
                <w:szCs w:val="24"/>
                <w:lang w:eastAsia="lt-LT"/>
              </w:rPr>
              <w:t>Sustiprinti viešojo sektoriaus tyrėjų gebėjimus bei pajėgumus vykdyti aukšto lygio MTEP veiklas</w:t>
            </w:r>
          </w:p>
        </w:tc>
      </w:tr>
      <w:tr w:rsidR="00385835" w:rsidRPr="00385835" w:rsidTr="00385835">
        <w:tc>
          <w:tcPr>
            <w:tcW w:w="9746" w:type="dxa"/>
            <w:gridSpan w:val="2"/>
            <w:shd w:val="clear" w:color="auto" w:fill="auto"/>
          </w:tcPr>
          <w:p w:rsidR="00385835" w:rsidRPr="00385835" w:rsidRDefault="00385835" w:rsidP="00385835">
            <w:pPr>
              <w:widowControl w:val="0"/>
              <w:tabs>
                <w:tab w:val="left" w:pos="622"/>
              </w:tabs>
              <w:spacing w:after="0" w:line="240" w:lineRule="auto"/>
              <w:ind w:firstLine="624"/>
              <w:jc w:val="both"/>
              <w:rPr>
                <w:rFonts w:ascii="Times New Roman" w:hAnsi="Times New Roman"/>
                <w:color w:val="1F1A17"/>
                <w:sz w:val="24"/>
                <w:szCs w:val="24"/>
              </w:rPr>
            </w:pPr>
            <w:r w:rsidRPr="00385835">
              <w:rPr>
                <w:rFonts w:ascii="Times New Roman" w:hAnsi="Times New Roman"/>
                <w:color w:val="1F1A17"/>
                <w:sz w:val="24"/>
                <w:szCs w:val="24"/>
              </w:rPr>
              <w:t>MTEP sistemos sėkmingai plėtrai užtikrinti Lietuva yra identifikavusi poreikį stiprinti</w:t>
            </w:r>
            <w:proofErr w:type="gramStart"/>
            <w:r w:rsidRPr="00385835">
              <w:rPr>
                <w:rFonts w:ascii="Times New Roman" w:hAnsi="Times New Roman"/>
                <w:color w:val="1F1A17"/>
                <w:sz w:val="24"/>
                <w:szCs w:val="24"/>
              </w:rPr>
              <w:t xml:space="preserve">  </w:t>
            </w:r>
            <w:proofErr w:type="gramEnd"/>
            <w:r w:rsidRPr="00385835">
              <w:rPr>
                <w:rFonts w:ascii="Times New Roman" w:hAnsi="Times New Roman"/>
                <w:color w:val="1F1A17"/>
                <w:sz w:val="24"/>
                <w:szCs w:val="24"/>
              </w:rPr>
              <w:t xml:space="preserve">ir sutelkti žmogiškąjį MTEP potencialą. Lietuvos išlaidos MTEP nuo ES vidurkio atsilieka daugiau nei 2 kartus. Pagal Europos Komisijos dotacijų apimtį, tenkančią vienam projekto dalyviui, dalyvaujančiam </w:t>
            </w:r>
            <w:r w:rsidRPr="00385835">
              <w:rPr>
                <w:rFonts w:ascii="Times New Roman" w:hAnsi="Times New Roman"/>
                <w:bCs/>
                <w:color w:val="1F1A17"/>
                <w:sz w:val="24"/>
                <w:szCs w:val="24"/>
              </w:rPr>
              <w:t>ES 7-ojoje bendrojoje mokslinių tyrimų, technologinės plėtros ir demonstracinės veiklos programoje</w:t>
            </w:r>
            <w:r w:rsidRPr="00385835">
              <w:rPr>
                <w:rFonts w:ascii="Times New Roman" w:hAnsi="Times New Roman"/>
                <w:b/>
                <w:bCs/>
                <w:color w:val="1F1A17"/>
                <w:sz w:val="24"/>
                <w:szCs w:val="24"/>
              </w:rPr>
              <w:t xml:space="preserve"> </w:t>
            </w:r>
            <w:r w:rsidRPr="00385835">
              <w:rPr>
                <w:rFonts w:ascii="Times New Roman" w:hAnsi="Times New Roman"/>
                <w:color w:val="1F1A17"/>
                <w:sz w:val="24"/>
                <w:szCs w:val="24"/>
              </w:rPr>
              <w:t xml:space="preserve">(7BP) ir pateiktų vertinimui paraiškų koordinatorių ir dalyvių skaičiaus santykį, Lietuva atsiduria paskutinėse pozicijose palyginus su kitomis ES šalimis. </w:t>
            </w:r>
            <w:proofErr w:type="gramStart"/>
            <w:r w:rsidRPr="00385835">
              <w:rPr>
                <w:rFonts w:ascii="Times New Roman" w:hAnsi="Times New Roman"/>
                <w:color w:val="1F1A17"/>
                <w:sz w:val="24"/>
                <w:szCs w:val="24"/>
              </w:rPr>
              <w:t>Tuo tarpu</w:t>
            </w:r>
            <w:proofErr w:type="gramEnd"/>
            <w:r w:rsidRPr="00385835">
              <w:rPr>
                <w:rFonts w:ascii="Times New Roman" w:hAnsi="Times New Roman"/>
                <w:color w:val="1F1A17"/>
                <w:sz w:val="24"/>
                <w:szCs w:val="24"/>
              </w:rPr>
              <w:t xml:space="preserve"> pagal bendrų mokslo ir verslo publikacijų skaičių Lietuva daugiau nei 2 kartus atsilieka nuo ES vidurkio. Tai sudaro prielaidas, jog Lietuvos mokslininkams ir tyrėjams trūksta kompetencijų. Taip pat beveik pusė Lietuvos gyventojų mano, kad jaunimo skatinimas domėtis mokslu yra nepakankamas. Intervencijos minėtose srityse buvo pradėtos įgyvendinti jau 2007–2013 m. programavimo laikotarpiu įgyvendinant Tyrėjų karjeros programą, tačiau investicijos nebuvo pakankamos.</w:t>
            </w:r>
          </w:p>
          <w:p w:rsidR="00385835" w:rsidRPr="00385835" w:rsidRDefault="00385835" w:rsidP="00385835">
            <w:pPr>
              <w:widowControl w:val="0"/>
              <w:tabs>
                <w:tab w:val="left" w:pos="622"/>
              </w:tabs>
              <w:spacing w:after="0" w:line="240" w:lineRule="auto"/>
              <w:ind w:firstLine="624"/>
              <w:jc w:val="both"/>
              <w:rPr>
                <w:rFonts w:ascii="Times New Roman" w:hAnsi="Times New Roman"/>
                <w:color w:val="1F1A17"/>
                <w:sz w:val="24"/>
                <w:szCs w:val="24"/>
              </w:rPr>
            </w:pPr>
            <w:r w:rsidRPr="00385835">
              <w:rPr>
                <w:rFonts w:ascii="Times New Roman" w:hAnsi="Times New Roman"/>
                <w:color w:val="1F1A17"/>
                <w:sz w:val="24"/>
                <w:szCs w:val="24"/>
              </w:rPr>
              <w:t>2014–2020 m. programavimo laikotarpiu numatoma tęsti pasiteisinusių priemonių įgyvendinimą</w:t>
            </w:r>
            <w:r w:rsidR="00963FF1">
              <w:rPr>
                <w:rFonts w:ascii="Times New Roman" w:hAnsi="Times New Roman"/>
                <w:color w:val="1F1A17"/>
                <w:sz w:val="24"/>
                <w:szCs w:val="24"/>
              </w:rPr>
              <w:t>,</w:t>
            </w:r>
            <w:r w:rsidRPr="00385835">
              <w:rPr>
                <w:rFonts w:ascii="Times New Roman" w:hAnsi="Times New Roman"/>
                <w:color w:val="1F1A17"/>
                <w:sz w:val="24"/>
                <w:szCs w:val="24"/>
              </w:rPr>
              <w:t xml:space="preserve"> išplečiant jų mastą ir papildant naujomis aktualiomis veiklomis. Didžioji dalis investicinių lėšų bus skirta viešojo sektoriaus tyrėjų bei jų grupių vykdomoms MTEP veikloms finansuoti, kad per praktinę veiklą būtų įgyjama naujų įgūdžių, stiprėtų jau turimi bendrieji tyrėjų gebėjimai ir būtų tobulinami aktualūs specialieji gebėjimai. Didėjant MTEP veiklų apimtims bus geriau išnaudojama MTEPI infrastruktūra, padidės mokslo pasirengimas vystyti sumanios specializacijos strategijoje identifikuotas technologijas ir procesus bei įgyvendinti aukšto lygio MTEP veiklas su partneriais Lietuvoje ir užsienyje. Intervencijomis bus siekiama, kad tyrėjai </w:t>
            </w:r>
            <w:r w:rsidRPr="00385835">
              <w:rPr>
                <w:rFonts w:ascii="Times New Roman" w:hAnsi="Times New Roman"/>
                <w:color w:val="1F1A17"/>
                <w:sz w:val="24"/>
                <w:szCs w:val="24"/>
              </w:rPr>
              <w:lastRenderedPageBreak/>
              <w:t xml:space="preserve">įgytus ir/arba sustiprintus gebėjimus aktyviai taikytų savo tolimesnėje veikloje. </w:t>
            </w:r>
            <w:proofErr w:type="gramStart"/>
            <w:r w:rsidRPr="00385835">
              <w:rPr>
                <w:rFonts w:ascii="Times New Roman" w:hAnsi="Times New Roman"/>
                <w:color w:val="1F1A17"/>
                <w:sz w:val="24"/>
                <w:szCs w:val="24"/>
              </w:rPr>
              <w:t>Tuo tarpu</w:t>
            </w:r>
            <w:proofErr w:type="gramEnd"/>
            <w:r w:rsidRPr="00385835">
              <w:rPr>
                <w:rFonts w:ascii="Times New Roman" w:hAnsi="Times New Roman"/>
                <w:color w:val="1F1A17"/>
                <w:sz w:val="24"/>
                <w:szCs w:val="24"/>
              </w:rPr>
              <w:t xml:space="preserve"> investicijomis į jaunųjų tyrėjų rengimą ir mokslo populiarinimą bei mobilumą (tarpinstitucinį, tarpsektorinį ir tarptautinį) skatinančiomis iniciatyvomis bus padidintas bendras tyrėjų skaičius šalyje ir paskatintas šalies MTEP žmogiškųjų išteklių bazės atsinaujinimas.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471"/>
        <w:gridCol w:w="2223"/>
        <w:gridCol w:w="992"/>
        <w:gridCol w:w="992"/>
        <w:gridCol w:w="709"/>
        <w:gridCol w:w="425"/>
        <w:gridCol w:w="709"/>
        <w:gridCol w:w="709"/>
        <w:gridCol w:w="425"/>
        <w:gridCol w:w="1134"/>
        <w:gridCol w:w="957"/>
      </w:tblGrid>
      <w:tr w:rsidR="00385835" w:rsidRPr="00385835" w:rsidTr="00385835">
        <w:tc>
          <w:tcPr>
            <w:tcW w:w="9746" w:type="dxa"/>
            <w:gridSpan w:val="11"/>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i/>
                <w:iCs/>
                <w:sz w:val="24"/>
                <w:szCs w:val="24"/>
                <w:lang w:eastAsia="lt-LT"/>
              </w:rPr>
            </w:pPr>
            <w:r w:rsidRPr="00385835">
              <w:rPr>
                <w:rFonts w:ascii="Times New Roman" w:eastAsia="AngsanaUPC" w:hAnsi="Times New Roman"/>
                <w:b/>
                <w:bCs/>
                <w:i/>
                <w:iCs/>
                <w:sz w:val="24"/>
                <w:szCs w:val="24"/>
                <w:lang w:eastAsia="lt-LT"/>
              </w:rPr>
              <w:t xml:space="preserve">ESF </w:t>
            </w:r>
            <w:r w:rsidR="00A9401B">
              <w:rPr>
                <w:rFonts w:ascii="Times New Roman" w:eastAsia="AngsanaUPC" w:hAnsi="Times New Roman"/>
                <w:b/>
                <w:bCs/>
                <w:i/>
                <w:iCs/>
                <w:sz w:val="24"/>
                <w:szCs w:val="24"/>
                <w:lang w:eastAsia="lt-LT"/>
              </w:rPr>
              <w:t xml:space="preserve">bendrieji ir </w:t>
            </w:r>
            <w:r w:rsidR="006827C9">
              <w:rPr>
                <w:rFonts w:ascii="Times New Roman" w:eastAsia="AngsanaUPC" w:hAnsi="Times New Roman"/>
                <w:b/>
                <w:bCs/>
                <w:i/>
                <w:iCs/>
                <w:sz w:val="24"/>
                <w:szCs w:val="24"/>
                <w:lang w:eastAsia="lt-LT"/>
              </w:rPr>
              <w:t>specialieji</w:t>
            </w:r>
            <w:r w:rsidR="006827C9" w:rsidRPr="00385835">
              <w:rPr>
                <w:rFonts w:ascii="Times New Roman" w:eastAsia="AngsanaUPC" w:hAnsi="Times New Roman"/>
                <w:b/>
                <w:bCs/>
                <w:i/>
                <w:iCs/>
                <w:sz w:val="24"/>
                <w:szCs w:val="24"/>
                <w:lang w:eastAsia="lt-LT"/>
              </w:rPr>
              <w:t xml:space="preserve"> </w:t>
            </w:r>
            <w:r w:rsidRPr="00385835">
              <w:rPr>
                <w:rFonts w:ascii="Times New Roman" w:eastAsia="AngsanaUPC" w:hAnsi="Times New Roman"/>
                <w:b/>
                <w:bCs/>
                <w:i/>
                <w:iCs/>
                <w:sz w:val="24"/>
                <w:szCs w:val="24"/>
                <w:lang w:eastAsia="lt-LT"/>
              </w:rPr>
              <w:t>programos rezultato rodikliai</w:t>
            </w:r>
          </w:p>
        </w:tc>
      </w:tr>
      <w:tr w:rsidR="00385835" w:rsidRPr="00385835" w:rsidTr="00385835">
        <w:tblPrEx>
          <w:shd w:val="clear" w:color="auto" w:fill="auto"/>
        </w:tblPrEx>
        <w:trPr>
          <w:cantSplit/>
          <w:trHeight w:val="1837"/>
        </w:trPr>
        <w:tc>
          <w:tcPr>
            <w:tcW w:w="47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Nr.</w:t>
            </w:r>
          </w:p>
        </w:tc>
        <w:tc>
          <w:tcPr>
            <w:tcW w:w="2223"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Rodiklio pavadinimas</w:t>
            </w:r>
          </w:p>
        </w:tc>
        <w:tc>
          <w:tcPr>
            <w:tcW w:w="992"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Regiono kategorija</w:t>
            </w:r>
          </w:p>
        </w:tc>
        <w:tc>
          <w:tcPr>
            <w:tcW w:w="992"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Matavimo vienetas</w:t>
            </w:r>
          </w:p>
        </w:tc>
        <w:tc>
          <w:tcPr>
            <w:tcW w:w="709"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Bendrasis produkto rodiklis, naudotas kaip pagrindas</w:t>
            </w:r>
          </w:p>
        </w:tc>
        <w:tc>
          <w:tcPr>
            <w:tcW w:w="425"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 reikšmė</w:t>
            </w:r>
          </w:p>
        </w:tc>
        <w:tc>
          <w:tcPr>
            <w:tcW w:w="709"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Pradinės ir siektinos reikšmės matavimo vienetai</w:t>
            </w:r>
          </w:p>
        </w:tc>
        <w:tc>
          <w:tcPr>
            <w:tcW w:w="709"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Pradinės reikšmės metai</w:t>
            </w:r>
          </w:p>
        </w:tc>
        <w:tc>
          <w:tcPr>
            <w:tcW w:w="425"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Siektina reikšmė (2023)</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Duomenų šaltinis</w:t>
            </w:r>
          </w:p>
        </w:tc>
        <w:tc>
          <w:tcPr>
            <w:tcW w:w="957"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Atsiskaitymo dažnumas</w:t>
            </w:r>
          </w:p>
        </w:tc>
      </w:tr>
      <w:tr w:rsidR="00385835" w:rsidRPr="00385835" w:rsidTr="00385835">
        <w:tblPrEx>
          <w:shd w:val="clear" w:color="auto" w:fill="auto"/>
        </w:tblPrEx>
        <w:tc>
          <w:tcPr>
            <w:tcW w:w="47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bCs/>
                <w:iCs/>
                <w:sz w:val="18"/>
                <w:szCs w:val="18"/>
                <w:lang w:eastAsia="lt-LT"/>
              </w:rPr>
            </w:pPr>
            <w:r w:rsidRPr="00385835">
              <w:rPr>
                <w:rFonts w:ascii="Times New Roman" w:hAnsi="Times New Roman"/>
                <w:bCs/>
                <w:iCs/>
                <w:sz w:val="18"/>
                <w:szCs w:val="18"/>
                <w:lang w:eastAsia="lt-LT"/>
              </w:rPr>
              <w:t>1.</w:t>
            </w:r>
          </w:p>
        </w:tc>
        <w:tc>
          <w:tcPr>
            <w:tcW w:w="2223" w:type="dxa"/>
            <w:shd w:val="clear" w:color="auto" w:fill="auto"/>
            <w:vAlign w:val="center"/>
          </w:tcPr>
          <w:p w:rsidR="00385835" w:rsidRPr="00385835" w:rsidRDefault="00385835" w:rsidP="00385835">
            <w:pPr>
              <w:spacing w:after="0" w:line="240" w:lineRule="auto"/>
              <w:rPr>
                <w:rFonts w:ascii="Times New Roman" w:hAnsi="Times New Roman"/>
                <w:sz w:val="18"/>
                <w:szCs w:val="18"/>
              </w:rPr>
            </w:pPr>
            <w:r w:rsidRPr="00385835">
              <w:rPr>
                <w:rFonts w:ascii="Times New Roman" w:hAnsi="Times New Roman"/>
                <w:sz w:val="18"/>
                <w:szCs w:val="18"/>
                <w:lang w:eastAsia="lt-LT"/>
              </w:rPr>
              <w:t>Asmenų, kurie po dalyvavimo ESF veiklose baigė doktorantūros studijas, dalis</w:t>
            </w:r>
          </w:p>
        </w:tc>
        <w:tc>
          <w:tcPr>
            <w:tcW w:w="992" w:type="dxa"/>
            <w:shd w:val="clear" w:color="auto" w:fill="auto"/>
            <w:vAlign w:val="center"/>
          </w:tcPr>
          <w:p w:rsidR="00385835" w:rsidRPr="00385835" w:rsidRDefault="00385835" w:rsidP="00385835">
            <w:pPr>
              <w:spacing w:after="0" w:line="240" w:lineRule="auto"/>
              <w:jc w:val="center"/>
              <w:rPr>
                <w:rFonts w:ascii="Times New Roman" w:hAnsi="Times New Roman"/>
                <w:bCs/>
                <w:sz w:val="18"/>
                <w:szCs w:val="18"/>
              </w:rPr>
            </w:pPr>
            <w:r w:rsidRPr="00385835">
              <w:rPr>
                <w:rFonts w:ascii="Times New Roman" w:hAnsi="Times New Roman"/>
                <w:bCs/>
                <w:sz w:val="18"/>
                <w:szCs w:val="18"/>
              </w:rPr>
              <w:t>Mažiau išsivystęs</w:t>
            </w:r>
          </w:p>
        </w:tc>
        <w:tc>
          <w:tcPr>
            <w:tcW w:w="992" w:type="dxa"/>
            <w:shd w:val="clear" w:color="auto" w:fill="auto"/>
            <w:vAlign w:val="center"/>
          </w:tcPr>
          <w:p w:rsidR="00385835" w:rsidRPr="00385835" w:rsidRDefault="00385835" w:rsidP="00385835">
            <w:pPr>
              <w:spacing w:after="0" w:line="240" w:lineRule="auto"/>
              <w:jc w:val="center"/>
              <w:rPr>
                <w:sz w:val="18"/>
                <w:szCs w:val="18"/>
              </w:rPr>
            </w:pPr>
            <w:r w:rsidRPr="00385835">
              <w:rPr>
                <w:rFonts w:ascii="Times New Roman" w:hAnsi="Times New Roman"/>
                <w:bCs/>
                <w:sz w:val="18"/>
                <w:szCs w:val="18"/>
              </w:rPr>
              <w:t>Asmenys</w:t>
            </w:r>
          </w:p>
        </w:tc>
        <w:tc>
          <w:tcPr>
            <w:tcW w:w="709" w:type="dxa"/>
            <w:shd w:val="clear" w:color="auto" w:fill="auto"/>
            <w:vAlign w:val="center"/>
          </w:tcPr>
          <w:p w:rsidR="00385835" w:rsidRPr="00385835" w:rsidRDefault="00385835" w:rsidP="00385835">
            <w:pPr>
              <w:spacing w:after="0" w:line="240" w:lineRule="auto"/>
              <w:contextualSpacing/>
              <w:jc w:val="center"/>
              <w:rPr>
                <w:rFonts w:ascii="Times New Roman" w:hAnsi="Times New Roman"/>
                <w:sz w:val="18"/>
                <w:szCs w:val="18"/>
              </w:rPr>
            </w:pPr>
            <w:r w:rsidRPr="00385835">
              <w:rPr>
                <w:rFonts w:ascii="Times New Roman" w:hAnsi="Times New Roman"/>
                <w:sz w:val="18"/>
                <w:szCs w:val="18"/>
              </w:rPr>
              <w:t>-</w:t>
            </w:r>
          </w:p>
        </w:tc>
        <w:tc>
          <w:tcPr>
            <w:tcW w:w="425" w:type="dxa"/>
            <w:shd w:val="clear" w:color="auto" w:fill="auto"/>
            <w:vAlign w:val="center"/>
          </w:tcPr>
          <w:p w:rsidR="00385835" w:rsidRPr="00385835" w:rsidRDefault="00385835" w:rsidP="00385835">
            <w:pPr>
              <w:spacing w:after="0" w:line="240" w:lineRule="auto"/>
              <w:jc w:val="center"/>
              <w:rPr>
                <w:rFonts w:ascii="Times New Roman" w:hAnsi="Times New Roman"/>
                <w:bCs/>
                <w:sz w:val="18"/>
                <w:szCs w:val="18"/>
              </w:rPr>
            </w:pPr>
            <w:r w:rsidRPr="00385835">
              <w:rPr>
                <w:rFonts w:ascii="Times New Roman" w:hAnsi="Times New Roman"/>
                <w:bCs/>
                <w:sz w:val="18"/>
                <w:szCs w:val="18"/>
              </w:rPr>
              <w:t>85</w:t>
            </w:r>
          </w:p>
        </w:tc>
        <w:tc>
          <w:tcPr>
            <w:tcW w:w="709" w:type="dxa"/>
            <w:shd w:val="clear" w:color="auto" w:fill="auto"/>
            <w:vAlign w:val="center"/>
          </w:tcPr>
          <w:p w:rsidR="00385835" w:rsidRPr="00385835" w:rsidRDefault="00385835" w:rsidP="00385835">
            <w:pPr>
              <w:spacing w:after="0" w:line="240" w:lineRule="auto"/>
              <w:jc w:val="center"/>
              <w:rPr>
                <w:rFonts w:ascii="Times New Roman" w:hAnsi="Times New Roman"/>
                <w:bCs/>
                <w:sz w:val="18"/>
                <w:szCs w:val="18"/>
              </w:rPr>
            </w:pPr>
            <w:r w:rsidRPr="00385835">
              <w:rPr>
                <w:rFonts w:ascii="Times New Roman" w:hAnsi="Times New Roman"/>
                <w:bCs/>
                <w:sz w:val="18"/>
                <w:szCs w:val="18"/>
              </w:rPr>
              <w:t>Proc.</w:t>
            </w:r>
          </w:p>
        </w:tc>
        <w:tc>
          <w:tcPr>
            <w:tcW w:w="709"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bCs/>
                <w:iCs/>
                <w:sz w:val="18"/>
                <w:szCs w:val="18"/>
                <w:lang w:eastAsia="lt-LT"/>
              </w:rPr>
            </w:pPr>
            <w:r w:rsidRPr="00385835">
              <w:rPr>
                <w:rFonts w:ascii="Times New Roman" w:hAnsi="Times New Roman"/>
                <w:bCs/>
                <w:iCs/>
                <w:sz w:val="18"/>
                <w:szCs w:val="18"/>
                <w:lang w:eastAsia="lt-LT"/>
              </w:rPr>
              <w:t>2014</w:t>
            </w:r>
          </w:p>
        </w:tc>
        <w:tc>
          <w:tcPr>
            <w:tcW w:w="425"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bCs/>
                <w:iCs/>
                <w:sz w:val="18"/>
                <w:szCs w:val="18"/>
                <w:lang w:eastAsia="lt-LT"/>
              </w:rPr>
            </w:pPr>
            <w:r w:rsidRPr="00385835">
              <w:rPr>
                <w:rFonts w:ascii="Times New Roman" w:hAnsi="Times New Roman"/>
                <w:bCs/>
                <w:iCs/>
                <w:sz w:val="18"/>
                <w:szCs w:val="18"/>
                <w:lang w:eastAsia="lt-LT"/>
              </w:rPr>
              <w:t>85</w:t>
            </w:r>
          </w:p>
        </w:tc>
        <w:tc>
          <w:tcPr>
            <w:tcW w:w="1134" w:type="dxa"/>
            <w:shd w:val="clear" w:color="auto" w:fill="auto"/>
            <w:vAlign w:val="center"/>
          </w:tcPr>
          <w:p w:rsidR="00385835" w:rsidRPr="00385835" w:rsidRDefault="00385835" w:rsidP="00385835">
            <w:pPr>
              <w:spacing w:after="0" w:line="240" w:lineRule="auto"/>
              <w:jc w:val="center"/>
              <w:rPr>
                <w:rFonts w:ascii="Times New Roman" w:hAnsi="Times New Roman"/>
                <w:bCs/>
                <w:sz w:val="18"/>
                <w:szCs w:val="18"/>
              </w:rPr>
            </w:pPr>
            <w:r w:rsidRPr="00385835">
              <w:rPr>
                <w:rFonts w:ascii="Times New Roman" w:hAnsi="Times New Roman"/>
                <w:sz w:val="18"/>
                <w:szCs w:val="18"/>
              </w:rPr>
              <w:t>Duomenys iš projektų</w:t>
            </w:r>
          </w:p>
        </w:tc>
        <w:tc>
          <w:tcPr>
            <w:tcW w:w="95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bCs/>
                <w:iCs/>
                <w:sz w:val="18"/>
                <w:szCs w:val="18"/>
                <w:lang w:eastAsia="lt-LT"/>
              </w:rPr>
            </w:pPr>
            <w:r w:rsidRPr="00385835">
              <w:rPr>
                <w:rFonts w:ascii="Times New Roman" w:hAnsi="Times New Roman"/>
                <w:bCs/>
                <w:iCs/>
                <w:sz w:val="18"/>
                <w:szCs w:val="18"/>
                <w:lang w:eastAsia="lt-LT"/>
              </w:rPr>
              <w:t>Kartą per metus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385835" w:rsidRPr="00385835" w:rsidTr="00385835">
        <w:tc>
          <w:tcPr>
            <w:tcW w:w="9746" w:type="dxa"/>
            <w:tcBorders>
              <w:top w:val="single" w:sz="4" w:space="0" w:color="auto"/>
              <w:left w:val="single" w:sz="4" w:space="0" w:color="auto"/>
              <w:bottom w:val="single" w:sz="4" w:space="0" w:color="auto"/>
              <w:right w:val="single" w:sz="4" w:space="0" w:color="auto"/>
            </w:tcBorders>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Cs/>
                <w:iCs/>
                <w:sz w:val="24"/>
                <w:szCs w:val="24"/>
                <w:lang w:eastAsia="lt-LT"/>
              </w:rPr>
            </w:pPr>
            <w:r w:rsidRPr="00385835">
              <w:rPr>
                <w:rFonts w:ascii="Times New Roman" w:eastAsia="AngsanaUPC" w:hAnsi="Times New Roman"/>
                <w:b/>
                <w:bCs/>
                <w:i/>
                <w:iCs/>
                <w:sz w:val="24"/>
                <w:szCs w:val="24"/>
                <w:lang w:eastAsia="lt-LT"/>
              </w:rPr>
              <w:t>9.3. Investicinio prioriteto įgyvendinimo veiklos</w:t>
            </w:r>
          </w:p>
        </w:tc>
      </w:tr>
      <w:tr w:rsidR="00385835" w:rsidRPr="00385835" w:rsidTr="00385835">
        <w:tc>
          <w:tcPr>
            <w:tcW w:w="9746" w:type="dxa"/>
            <w:shd w:val="clear" w:color="auto" w:fill="auto"/>
          </w:tcPr>
          <w:p w:rsidR="00385835" w:rsidRPr="00385835" w:rsidRDefault="00385835" w:rsidP="00385835">
            <w:pPr>
              <w:tabs>
                <w:tab w:val="left" w:pos="593"/>
              </w:tabs>
              <w:spacing w:after="0" w:line="240" w:lineRule="auto"/>
              <w:ind w:left="34"/>
              <w:contextualSpacing/>
              <w:jc w:val="both"/>
              <w:rPr>
                <w:rFonts w:ascii="Times New Roman" w:hAnsi="Times New Roman"/>
                <w:i/>
                <w:color w:val="1F1A17"/>
                <w:sz w:val="24"/>
                <w:szCs w:val="24"/>
                <w:lang w:eastAsia="lt-LT"/>
              </w:rPr>
            </w:pPr>
            <w:r w:rsidRPr="00385835">
              <w:rPr>
                <w:rFonts w:ascii="Times New Roman" w:hAnsi="Times New Roman"/>
                <w:i/>
                <w:color w:val="1F1A17"/>
                <w:sz w:val="24"/>
                <w:szCs w:val="24"/>
                <w:lang w:eastAsia="lt-LT"/>
              </w:rPr>
              <w:t>9.3.1. konkretaus uždavinio veiklos:</w:t>
            </w:r>
          </w:p>
          <w:p w:rsidR="00385835" w:rsidRPr="00385835" w:rsidRDefault="00385835" w:rsidP="00650E41">
            <w:pPr>
              <w:numPr>
                <w:ilvl w:val="0"/>
                <w:numId w:val="37"/>
              </w:numPr>
              <w:tabs>
                <w:tab w:val="left" w:pos="459"/>
              </w:tabs>
              <w:spacing w:after="0" w:line="240" w:lineRule="auto"/>
              <w:ind w:left="34" w:firstLine="0"/>
              <w:contextualSpacing/>
              <w:jc w:val="both"/>
              <w:rPr>
                <w:rFonts w:ascii="Times New Roman" w:hAnsi="Times New Roman"/>
                <w:color w:val="1F1A17"/>
                <w:sz w:val="24"/>
                <w:szCs w:val="24"/>
                <w:lang w:eastAsia="lt-LT"/>
              </w:rPr>
            </w:pPr>
            <w:r w:rsidRPr="00385835">
              <w:rPr>
                <w:rFonts w:ascii="Times New Roman" w:hAnsi="Times New Roman"/>
                <w:color w:val="1F1A17"/>
                <w:sz w:val="24"/>
                <w:szCs w:val="24"/>
                <w:lang w:eastAsia="lt-LT"/>
              </w:rPr>
              <w:t>Studijų kokybės gerinimas. Turinio tobulinimas, sistemiškai įtraukiant socialinius partnerius į turinio formavimą. Į mokymosi rezultatus orientuotos studijų programos ir moduliai. Studentų kūrybiškumą, verslumą ir lyderystę skatinančių studijų/ mokymo(-si) metodų mokslo ir studijų institucijose diegimas. Sistemos, įgijusiems profesinį bakalaurą ir siekiantiems tęsti studijas aukštesnėje studijų pakopoje sukūrimas ir įgyvendinimas. Studentų karjeros planavimas ir ugdymas karjerai. Prieigos prie tarptautinių, studijoms reikalingų duomenų bazių, registrų, interneto, atvirų mokymosi išteklių plėtra studijų poreikiams tenkinti. Pedagogų rengimo modernizavimas ir užimtumo galimybių didinimas.</w:t>
            </w:r>
          </w:p>
          <w:p w:rsidR="00385835" w:rsidRPr="00385835" w:rsidRDefault="00385835" w:rsidP="00650E41">
            <w:pPr>
              <w:numPr>
                <w:ilvl w:val="0"/>
                <w:numId w:val="37"/>
              </w:numPr>
              <w:tabs>
                <w:tab w:val="left" w:pos="459"/>
              </w:tabs>
              <w:spacing w:after="0" w:line="240" w:lineRule="auto"/>
              <w:ind w:left="34" w:firstLine="0"/>
              <w:contextualSpacing/>
              <w:jc w:val="both"/>
              <w:rPr>
                <w:rFonts w:ascii="Times New Roman" w:hAnsi="Times New Roman"/>
                <w:color w:val="1F1A17"/>
                <w:sz w:val="24"/>
                <w:szCs w:val="24"/>
                <w:lang w:eastAsia="lt-LT"/>
              </w:rPr>
            </w:pPr>
            <w:r w:rsidRPr="00385835">
              <w:rPr>
                <w:rFonts w:ascii="Times New Roman" w:hAnsi="Times New Roman"/>
                <w:color w:val="1F1A17"/>
                <w:sz w:val="24"/>
                <w:szCs w:val="24"/>
                <w:lang w:eastAsia="lt-LT"/>
              </w:rPr>
              <w:t>Studijų tarptautiškumo didinimas: studentų mobilumo (dalinės studijos ir praktikos) skatinimas, studentų dalyvavimas tarptautiniuose tinkluose ir tarptautiniuose projektuose ir mokslinėje veikloje, parama jungtinėse, dvigubo laipsnio studijų programose studijuojantiems studentams, užsienio studentų pritraukimas, ypač atvykstantiems studijuoti į su Lietuvos sumania specializacija susijusias studijų programas, galimybių studijuoti Lietuvoje viešinimas. Lietuvos mokslo ir studijų institucijų ir užsienio šalių lituanistikos (baltistikos) centrų bendradarbiavimas. Dėstytojų mobilumo skatinimas, užsieniečių dėstytojų pritraukimas dėstyti Lietuvos aukštosiose mokyklose. Aukštųjų mokyklų (tarptautinio) konkurencingumo didinimas, vertinimo ir reitingavimo rezultatų sklaida, universitetų (tarptautinio) žinomumo ir prestižo didinimas.</w:t>
            </w:r>
          </w:p>
          <w:p w:rsidR="00385835" w:rsidRPr="00385835" w:rsidRDefault="00385835" w:rsidP="00650E41">
            <w:pPr>
              <w:numPr>
                <w:ilvl w:val="0"/>
                <w:numId w:val="37"/>
              </w:numPr>
              <w:tabs>
                <w:tab w:val="left" w:pos="459"/>
              </w:tabs>
              <w:spacing w:after="0" w:line="240" w:lineRule="auto"/>
              <w:ind w:left="34" w:firstLine="0"/>
              <w:contextualSpacing/>
              <w:jc w:val="both"/>
              <w:rPr>
                <w:rFonts w:ascii="Times New Roman" w:hAnsi="Times New Roman"/>
                <w:color w:val="1F1A17"/>
                <w:sz w:val="24"/>
                <w:szCs w:val="24"/>
                <w:lang w:eastAsia="lt-LT"/>
              </w:rPr>
            </w:pPr>
            <w:r w:rsidRPr="00385835">
              <w:rPr>
                <w:rFonts w:ascii="Times New Roman" w:hAnsi="Times New Roman"/>
                <w:color w:val="1F1A17"/>
                <w:sz w:val="24"/>
                <w:szCs w:val="24"/>
                <w:lang w:eastAsia="lt-LT"/>
              </w:rPr>
              <w:t>Praktikos, praktinių įgūdžių studentams suteikimas – sąsaja su darbo rinka ir profesija. Praktikos darbo vietose, partnerystė su socialiniais partneriais ir jų įtraukimas į studijų praktikų organizavimą ir vykdymą, finansinės paskatos studentų praktikai įmonėse ir organizacijose, sistemos, įgijusiems profesinį bakalaurą ir siekiantiems tęsti studijas aukštesnėje pakopoje sukūrimas ir įgyvendinimas.</w:t>
            </w:r>
          </w:p>
          <w:p w:rsidR="00385835" w:rsidRPr="00385835" w:rsidRDefault="00385835" w:rsidP="00650E41">
            <w:pPr>
              <w:numPr>
                <w:ilvl w:val="0"/>
                <w:numId w:val="37"/>
              </w:numPr>
              <w:tabs>
                <w:tab w:val="left" w:pos="459"/>
              </w:tabs>
              <w:spacing w:after="0" w:line="240" w:lineRule="auto"/>
              <w:ind w:left="34" w:firstLine="0"/>
              <w:contextualSpacing/>
              <w:jc w:val="both"/>
              <w:rPr>
                <w:rFonts w:ascii="Times New Roman" w:hAnsi="Times New Roman"/>
                <w:color w:val="1F1A17"/>
                <w:sz w:val="24"/>
                <w:szCs w:val="24"/>
                <w:lang w:eastAsia="lt-LT"/>
              </w:rPr>
            </w:pPr>
            <w:r w:rsidRPr="00385835">
              <w:rPr>
                <w:rFonts w:ascii="Times New Roman" w:hAnsi="Times New Roman"/>
                <w:color w:val="1F1A17"/>
                <w:sz w:val="24"/>
                <w:szCs w:val="24"/>
                <w:lang w:eastAsia="lt-LT"/>
              </w:rPr>
              <w:t xml:space="preserve">Akademinio personalo profesionalumo didinimas. Sisteminis ir nuolatinis akademinio personalo pedagoginių, andragoginių, dalykinių ir mokslinių kompetencijų, praktinių gebėjimų atnaujinimas ir tobulinimas bei profesinė tinklaveika. </w:t>
            </w:r>
          </w:p>
          <w:p w:rsidR="00385835" w:rsidRPr="00385835" w:rsidRDefault="00385835" w:rsidP="00650E41">
            <w:pPr>
              <w:numPr>
                <w:ilvl w:val="0"/>
                <w:numId w:val="38"/>
              </w:numPr>
              <w:tabs>
                <w:tab w:val="left" w:pos="459"/>
              </w:tabs>
              <w:spacing w:after="0" w:line="240" w:lineRule="auto"/>
              <w:ind w:left="34" w:firstLine="0"/>
              <w:contextualSpacing/>
              <w:jc w:val="both"/>
              <w:rPr>
                <w:rFonts w:ascii="Times New Roman" w:hAnsi="Times New Roman"/>
                <w:color w:val="1F1A17"/>
                <w:sz w:val="24"/>
                <w:szCs w:val="24"/>
                <w:lang w:eastAsia="lt-LT"/>
              </w:rPr>
            </w:pPr>
            <w:r w:rsidRPr="00385835">
              <w:rPr>
                <w:rFonts w:ascii="Times New Roman" w:hAnsi="Times New Roman"/>
                <w:color w:val="1F1A17"/>
                <w:sz w:val="24"/>
                <w:szCs w:val="24"/>
                <w:lang w:eastAsia="lt-LT"/>
              </w:rPr>
              <w:t>Studijų prieinamumo įvairiomis formomis didinimas – lanksčių studijų formų diegimas, socialiai jautrių grupių pritraukimas į studijas. Socialinės ir finansinės paskatos (stipendijos, norminė</w:t>
            </w:r>
            <w:r w:rsidR="0034589A">
              <w:rPr>
                <w:rFonts w:ascii="Times New Roman" w:hAnsi="Times New Roman"/>
                <w:color w:val="1F1A17"/>
                <w:sz w:val="24"/>
                <w:szCs w:val="24"/>
                <w:lang w:eastAsia="lt-LT"/>
              </w:rPr>
              <w:t>s studijų kainos</w:t>
            </w:r>
            <w:r w:rsidRPr="00385835">
              <w:rPr>
                <w:rFonts w:ascii="Times New Roman" w:hAnsi="Times New Roman"/>
                <w:color w:val="1F1A17"/>
                <w:sz w:val="24"/>
                <w:szCs w:val="24"/>
                <w:lang w:eastAsia="lt-LT"/>
              </w:rPr>
              <w:t>, išmokos, lengvatinės paskolos studijų įmokai finansuoti ir pan.) bei pagalba studentams iš socialiai jautrių, socialinės atskirties, mažai atstovaujamų grupių. Specialistų rengimas su sumanios specializacijos prioritetais susijusiose studijų programose.</w:t>
            </w:r>
          </w:p>
          <w:p w:rsidR="00385835" w:rsidRPr="00385835" w:rsidRDefault="00385835" w:rsidP="00385835">
            <w:pPr>
              <w:tabs>
                <w:tab w:val="left" w:pos="593"/>
              </w:tabs>
              <w:spacing w:after="0" w:line="240" w:lineRule="auto"/>
              <w:ind w:left="34"/>
              <w:contextualSpacing/>
              <w:jc w:val="both"/>
              <w:rPr>
                <w:rFonts w:ascii="Times New Roman" w:hAnsi="Times New Roman"/>
                <w:i/>
                <w:color w:val="1F1A17"/>
                <w:sz w:val="24"/>
                <w:szCs w:val="24"/>
                <w:lang w:eastAsia="lt-LT"/>
              </w:rPr>
            </w:pPr>
            <w:r w:rsidRPr="00385835">
              <w:rPr>
                <w:rFonts w:ascii="Times New Roman" w:hAnsi="Times New Roman"/>
                <w:i/>
                <w:color w:val="1F1A17"/>
                <w:sz w:val="24"/>
                <w:szCs w:val="24"/>
                <w:lang w:eastAsia="lt-LT"/>
              </w:rPr>
              <w:t>9.3.2 konkretaus uždavinio veiklos:</w:t>
            </w:r>
          </w:p>
          <w:p w:rsidR="00385835" w:rsidRPr="00385835" w:rsidRDefault="00385835" w:rsidP="00650E41">
            <w:pPr>
              <w:numPr>
                <w:ilvl w:val="0"/>
                <w:numId w:val="38"/>
              </w:numPr>
              <w:tabs>
                <w:tab w:val="left" w:pos="459"/>
              </w:tabs>
              <w:spacing w:after="0" w:line="240" w:lineRule="auto"/>
              <w:ind w:left="34" w:firstLine="0"/>
              <w:contextualSpacing/>
              <w:jc w:val="both"/>
              <w:rPr>
                <w:rFonts w:ascii="Times New Roman" w:hAnsi="Times New Roman"/>
                <w:color w:val="1F1A17"/>
                <w:sz w:val="24"/>
                <w:szCs w:val="24"/>
                <w:lang w:eastAsia="lt-LT"/>
              </w:rPr>
            </w:pPr>
            <w:r w:rsidRPr="00385835">
              <w:rPr>
                <w:rFonts w:ascii="Times New Roman" w:hAnsi="Times New Roman"/>
                <w:color w:val="1F1A17"/>
                <w:sz w:val="24"/>
                <w:szCs w:val="24"/>
                <w:lang w:eastAsia="lt-LT"/>
              </w:rPr>
              <w:lastRenderedPageBreak/>
              <w:t xml:space="preserve">Stebėsenos, išorinio vertinimo (studijų programų ir institucinio), aukštųjų mokyklų įsivertinimo ir akreditacijos sistemos stiprinimas, priėmimo į aukštąsias mokyklas sistemos palaikymas, tobulinimas, socialinių dalininkų įsitraukimo studijų kokybės gerinimo procesus – siekiant įrodymais ir pasiekimais grįsto valdymo ir vadybos </w:t>
            </w:r>
            <w:proofErr w:type="gramStart"/>
            <w:r w:rsidRPr="00385835">
              <w:rPr>
                <w:rFonts w:ascii="Times New Roman" w:hAnsi="Times New Roman"/>
                <w:color w:val="1F1A17"/>
                <w:sz w:val="24"/>
                <w:szCs w:val="24"/>
                <w:lang w:eastAsia="lt-LT"/>
              </w:rPr>
              <w:t>(</w:t>
            </w:r>
            <w:proofErr w:type="gramEnd"/>
            <w:r w:rsidRPr="00385835">
              <w:rPr>
                <w:rFonts w:ascii="Times New Roman" w:hAnsi="Times New Roman"/>
                <w:color w:val="1F1A17"/>
                <w:sz w:val="24"/>
                <w:szCs w:val="24"/>
                <w:lang w:eastAsia="lt-LT"/>
              </w:rPr>
              <w:t>įrodymais grįstas sprendimų priėmimas, trūkumų ir tendencijų nustatymas, pažangos stebėsena), aukštųjų mokyklų personalo vadybinių kompetencijų stiprinimas.</w:t>
            </w:r>
          </w:p>
          <w:p w:rsidR="00385835" w:rsidRPr="00385835" w:rsidRDefault="00385835" w:rsidP="00650E41">
            <w:pPr>
              <w:numPr>
                <w:ilvl w:val="0"/>
                <w:numId w:val="38"/>
              </w:numPr>
              <w:tabs>
                <w:tab w:val="left" w:pos="459"/>
              </w:tabs>
              <w:spacing w:after="0" w:line="240" w:lineRule="auto"/>
              <w:ind w:left="34" w:firstLine="0"/>
              <w:contextualSpacing/>
              <w:jc w:val="both"/>
              <w:rPr>
                <w:rFonts w:ascii="Times New Roman" w:hAnsi="Times New Roman"/>
                <w:color w:val="1F1A17"/>
                <w:sz w:val="24"/>
                <w:szCs w:val="24"/>
                <w:lang w:eastAsia="lt-LT"/>
              </w:rPr>
            </w:pPr>
            <w:r w:rsidRPr="00385835">
              <w:rPr>
                <w:rFonts w:ascii="Times New Roman" w:hAnsi="Times New Roman"/>
                <w:color w:val="1F1A17"/>
                <w:sz w:val="24"/>
                <w:szCs w:val="24"/>
                <w:lang w:eastAsia="lt-LT"/>
              </w:rPr>
              <w:t>Kvalifikacijų ir kvalifikacijų pripažinimo sistemos aukštojo mokslo srityje kūrimas ir plėtra. Kvalifikacijų formavimas (pagal aukštojo mokslo sritį), tarptautinis išorinis vertinimas (studijų ir institucijų) įtraukiant ekspertus iš užsienio ir socialinius partnerius, socialinių partnerių įtraukimas į kvalifikacijų formavimą, kompetencijų bei darbo rinkos poreikių tyrimai bei studijų atitikties šiems poreikiams tyrimai, vertinimai ir stebėsena.</w:t>
            </w:r>
          </w:p>
          <w:p w:rsidR="00385835" w:rsidRPr="00385835" w:rsidRDefault="00385835" w:rsidP="00650E41">
            <w:pPr>
              <w:numPr>
                <w:ilvl w:val="0"/>
                <w:numId w:val="38"/>
              </w:numPr>
              <w:tabs>
                <w:tab w:val="left" w:pos="459"/>
              </w:tabs>
              <w:spacing w:after="0" w:line="240" w:lineRule="auto"/>
              <w:ind w:left="34" w:firstLine="0"/>
              <w:contextualSpacing/>
              <w:jc w:val="both"/>
              <w:rPr>
                <w:rFonts w:ascii="Times New Roman" w:hAnsi="Times New Roman"/>
                <w:color w:val="1F1A17"/>
                <w:sz w:val="24"/>
                <w:szCs w:val="24"/>
                <w:lang w:eastAsia="lt-LT"/>
              </w:rPr>
            </w:pPr>
            <w:r w:rsidRPr="00385835">
              <w:rPr>
                <w:rFonts w:ascii="Times New Roman" w:hAnsi="Times New Roman"/>
                <w:color w:val="1F1A17"/>
                <w:sz w:val="24"/>
                <w:szCs w:val="24"/>
                <w:lang w:eastAsia="lt-LT"/>
              </w:rPr>
              <w:t>Studijų ir aukštosios mokyklos valdymo, administravimo, studijų proceso organizavimo ir švietimo pagalbos tobulinimas bei tam skirtų el. priemonių taikymas.</w:t>
            </w:r>
          </w:p>
          <w:p w:rsidR="00385835" w:rsidRPr="00385835" w:rsidRDefault="00385835" w:rsidP="00385835">
            <w:pPr>
              <w:tabs>
                <w:tab w:val="left" w:pos="593"/>
              </w:tabs>
              <w:spacing w:after="0" w:line="240" w:lineRule="auto"/>
              <w:ind w:left="34"/>
              <w:contextualSpacing/>
              <w:jc w:val="both"/>
              <w:rPr>
                <w:rFonts w:ascii="Times New Roman" w:hAnsi="Times New Roman"/>
                <w:i/>
                <w:color w:val="1F1A17"/>
                <w:sz w:val="24"/>
                <w:szCs w:val="24"/>
                <w:lang w:eastAsia="lt-LT"/>
              </w:rPr>
            </w:pPr>
            <w:r w:rsidRPr="00385835">
              <w:rPr>
                <w:rFonts w:ascii="Times New Roman" w:hAnsi="Times New Roman"/>
                <w:i/>
                <w:color w:val="1F1A17"/>
                <w:sz w:val="24"/>
                <w:szCs w:val="24"/>
                <w:lang w:eastAsia="lt-LT"/>
              </w:rPr>
              <w:t>9.3.3 konkretaus uždavinio veiklos:</w:t>
            </w:r>
          </w:p>
          <w:p w:rsidR="00385835" w:rsidRPr="00385835" w:rsidRDefault="00385835" w:rsidP="00650E41">
            <w:pPr>
              <w:numPr>
                <w:ilvl w:val="0"/>
                <w:numId w:val="39"/>
              </w:numPr>
              <w:tabs>
                <w:tab w:val="left" w:pos="459"/>
              </w:tabs>
              <w:spacing w:after="0" w:line="240" w:lineRule="auto"/>
              <w:ind w:left="34" w:firstLine="0"/>
              <w:contextualSpacing/>
              <w:jc w:val="both"/>
              <w:rPr>
                <w:rFonts w:ascii="Times New Roman" w:hAnsi="Times New Roman"/>
                <w:color w:val="1F1A17"/>
                <w:sz w:val="24"/>
                <w:szCs w:val="24"/>
                <w:lang w:eastAsia="lt-LT"/>
              </w:rPr>
            </w:pPr>
            <w:r w:rsidRPr="00385835">
              <w:rPr>
                <w:rFonts w:ascii="Times New Roman" w:hAnsi="Times New Roman"/>
                <w:color w:val="1F1A17"/>
                <w:sz w:val="24"/>
                <w:szCs w:val="24"/>
                <w:lang w:eastAsia="lt-LT"/>
              </w:rPr>
              <w:t xml:space="preserve">Parama MTEP veiklų, prisidedančių prie tyrėjų pajėgumų, profesinių gebėjimų ir kompetencijų ugdymo, vykdymui: parama patyrusių ir pažengusių tyrėjų, aukšto </w:t>
            </w:r>
            <w:r w:rsidR="00321A13">
              <w:rPr>
                <w:rFonts w:ascii="Times New Roman" w:hAnsi="Times New Roman"/>
                <w:color w:val="1F1A17"/>
                <w:sz w:val="24"/>
                <w:szCs w:val="24"/>
                <w:lang w:eastAsia="lt-LT"/>
              </w:rPr>
              <w:t>lygio tyrėjų grupių (pavyzdinių/</w:t>
            </w:r>
            <w:r w:rsidRPr="00385835">
              <w:rPr>
                <w:rFonts w:ascii="Times New Roman" w:hAnsi="Times New Roman"/>
                <w:color w:val="1F1A17"/>
                <w:sz w:val="24"/>
                <w:szCs w:val="24"/>
                <w:lang w:eastAsia="lt-LT"/>
              </w:rPr>
              <w:t xml:space="preserve">ekscelencijos mokslo centrų), vietos tyrėjų bendrai su bendradarbiaujančiomis (angl. </w:t>
            </w:r>
            <w:r w:rsidRPr="00BA0956">
              <w:rPr>
                <w:rFonts w:ascii="Times New Roman" w:hAnsi="Times New Roman"/>
                <w:i/>
                <w:color w:val="1F1A17"/>
                <w:sz w:val="24"/>
                <w:szCs w:val="24"/>
                <w:lang w:eastAsia="lt-LT"/>
              </w:rPr>
              <w:t>teaming</w:t>
            </w:r>
            <w:r w:rsidRPr="00385835">
              <w:rPr>
                <w:rFonts w:ascii="Times New Roman" w:hAnsi="Times New Roman"/>
                <w:color w:val="1F1A17"/>
                <w:sz w:val="24"/>
                <w:szCs w:val="24"/>
                <w:lang w:eastAsia="lt-LT"/>
              </w:rPr>
              <w:t>) aukšto lygio laboratorijomis kitose ES šalyse vykdomoms MTEP veikloms.</w:t>
            </w:r>
          </w:p>
          <w:p w:rsidR="00385835" w:rsidRPr="00385835" w:rsidRDefault="00385835" w:rsidP="00650E41">
            <w:pPr>
              <w:numPr>
                <w:ilvl w:val="0"/>
                <w:numId w:val="39"/>
              </w:numPr>
              <w:tabs>
                <w:tab w:val="left" w:pos="459"/>
              </w:tabs>
              <w:spacing w:after="0" w:line="240" w:lineRule="auto"/>
              <w:ind w:left="34" w:firstLine="0"/>
              <w:contextualSpacing/>
              <w:jc w:val="both"/>
              <w:rPr>
                <w:rFonts w:ascii="Times New Roman" w:hAnsi="Times New Roman"/>
                <w:color w:val="1F1A17"/>
                <w:sz w:val="24"/>
                <w:szCs w:val="24"/>
                <w:lang w:eastAsia="lt-LT"/>
              </w:rPr>
            </w:pPr>
            <w:r w:rsidRPr="00385835">
              <w:rPr>
                <w:rFonts w:ascii="Times New Roman" w:hAnsi="Times New Roman"/>
                <w:color w:val="1F1A17"/>
                <w:sz w:val="24"/>
                <w:szCs w:val="24"/>
                <w:lang w:eastAsia="lt-LT"/>
              </w:rPr>
              <w:t xml:space="preserve">Jaunųjų tyrėjų rengimas ir kvalifikacijos tobulinimas: moksleivių ir studentų vykdomų MTEP veiklų skatinimas; studentų mokslinių praktikų </w:t>
            </w:r>
            <w:r w:rsidR="00321A13">
              <w:rPr>
                <w:rFonts w:ascii="Times New Roman" w:hAnsi="Times New Roman"/>
                <w:color w:val="1F1A17"/>
                <w:sz w:val="24"/>
                <w:szCs w:val="24"/>
                <w:lang w:eastAsia="lt-LT"/>
              </w:rPr>
              <w:t>(pavyzdžiui, studentų mokslinių tyrimų, vykdomų</w:t>
            </w:r>
            <w:r w:rsidRPr="00385835">
              <w:rPr>
                <w:rFonts w:ascii="Times New Roman" w:hAnsi="Times New Roman"/>
                <w:color w:val="1F1A17"/>
                <w:sz w:val="24"/>
                <w:szCs w:val="24"/>
                <w:lang w:eastAsia="lt-LT"/>
              </w:rPr>
              <w:t xml:space="preserve"> laisvu nuo studijų metu) rėmimas; doktorantūros programų vykdymas finansuojant doktorantūros vietas </w:t>
            </w:r>
            <w:proofErr w:type="gramStart"/>
            <w:r w:rsidRPr="00385835">
              <w:rPr>
                <w:rFonts w:ascii="Times New Roman" w:hAnsi="Times New Roman"/>
                <w:color w:val="1F1A17"/>
                <w:sz w:val="24"/>
                <w:szCs w:val="24"/>
                <w:lang w:eastAsia="lt-LT"/>
              </w:rPr>
              <w:t>(</w:t>
            </w:r>
            <w:proofErr w:type="gramEnd"/>
            <w:r w:rsidRPr="00385835">
              <w:rPr>
                <w:rFonts w:ascii="Times New Roman" w:hAnsi="Times New Roman"/>
                <w:color w:val="1F1A17"/>
                <w:sz w:val="24"/>
                <w:szCs w:val="24"/>
                <w:lang w:eastAsia="lt-LT"/>
              </w:rPr>
              <w:t>ypač fizinių ir technologijų mokslų ir meno: dizaino, medijų, vizualinės komunikacijos, rinkodaros srityje); parama doktorantų vykdomai mokslinei veiklai, įskaitant studijuoti doktorantūroje atvykusio jaunimo iš užsienio vykdomų MTEP veiklų finansavimą; doktorantūros žinioms imliose įmonėse ir kitose mokslo ir studijų institucijose rėmimas; stažuotes žinioms imliose įmonėse apimančios jaunųjų mokslininkų stažuočių po doktorantūros studijų sistemos plėtra.</w:t>
            </w:r>
          </w:p>
          <w:p w:rsidR="00385835" w:rsidRPr="00385835" w:rsidRDefault="00385835" w:rsidP="00650E41">
            <w:pPr>
              <w:numPr>
                <w:ilvl w:val="0"/>
                <w:numId w:val="39"/>
              </w:numPr>
              <w:tabs>
                <w:tab w:val="left" w:pos="459"/>
              </w:tabs>
              <w:spacing w:after="0" w:line="240" w:lineRule="auto"/>
              <w:ind w:left="34" w:firstLine="0"/>
              <w:contextualSpacing/>
              <w:jc w:val="both"/>
              <w:rPr>
                <w:rFonts w:ascii="Times New Roman" w:hAnsi="Times New Roman"/>
                <w:color w:val="1F1A17"/>
                <w:sz w:val="24"/>
                <w:szCs w:val="24"/>
                <w:lang w:eastAsia="lt-LT"/>
              </w:rPr>
            </w:pPr>
            <w:r w:rsidRPr="00385835">
              <w:rPr>
                <w:rFonts w:ascii="Times New Roman" w:hAnsi="Times New Roman"/>
                <w:color w:val="1F1A17"/>
                <w:sz w:val="24"/>
                <w:szCs w:val="24"/>
                <w:lang w:eastAsia="lt-LT"/>
              </w:rPr>
              <w:t>Tyrėjų tarpinstitucinio, tarptautinio ir tarpsektorinio mobilumo skatinimas: parama patyrusių tyrėjų stažuotėms užsienio mokslo institucijose bei žinioms imliose įmonėse; Lietuvos tyrėjų dalyvavimo tarptautinėse konferencijose, idėjų mugėse ir kt. mokslo renginiuose finansavimas; iniciatyvos, skatinančios užsienio mokslininkus ir kitus tyrėjus atvykti dirbti ir vykdyti MTEP veiklas Lietuvos mokslo ir studijų institucijose; emigravusių lietuvių tyrėjų susigrąžinimas</w:t>
            </w:r>
            <w:r w:rsidR="00D93B9C">
              <w:rPr>
                <w:rFonts w:ascii="Times New Roman" w:hAnsi="Times New Roman"/>
                <w:color w:val="1F1A17"/>
                <w:sz w:val="24"/>
                <w:szCs w:val="24"/>
                <w:lang w:eastAsia="lt-LT"/>
              </w:rPr>
              <w:t xml:space="preserve"> </w:t>
            </w:r>
            <w:r w:rsidRPr="00385835">
              <w:rPr>
                <w:rFonts w:ascii="Times New Roman" w:hAnsi="Times New Roman"/>
                <w:color w:val="1F1A17"/>
                <w:sz w:val="24"/>
                <w:szCs w:val="24"/>
                <w:lang w:eastAsia="lt-LT"/>
              </w:rPr>
              <w:t>/</w:t>
            </w:r>
            <w:r w:rsidR="00D93B9C">
              <w:rPr>
                <w:rFonts w:ascii="Times New Roman" w:hAnsi="Times New Roman"/>
                <w:color w:val="1F1A17"/>
                <w:sz w:val="24"/>
                <w:szCs w:val="24"/>
                <w:lang w:eastAsia="lt-LT"/>
              </w:rPr>
              <w:t xml:space="preserve"> </w:t>
            </w:r>
            <w:r w:rsidRPr="00385835">
              <w:rPr>
                <w:rFonts w:ascii="Times New Roman" w:hAnsi="Times New Roman"/>
                <w:color w:val="1F1A17"/>
                <w:sz w:val="24"/>
                <w:szCs w:val="24"/>
                <w:lang w:eastAsia="lt-LT"/>
              </w:rPr>
              <w:t>reintegracija.</w:t>
            </w:r>
          </w:p>
          <w:p w:rsidR="00385835" w:rsidRPr="00385835" w:rsidRDefault="00385835" w:rsidP="00650E41">
            <w:pPr>
              <w:numPr>
                <w:ilvl w:val="0"/>
                <w:numId w:val="39"/>
              </w:numPr>
              <w:tabs>
                <w:tab w:val="left" w:pos="459"/>
              </w:tabs>
              <w:spacing w:after="0" w:line="240" w:lineRule="auto"/>
              <w:ind w:left="34" w:firstLine="0"/>
              <w:contextualSpacing/>
              <w:jc w:val="both"/>
              <w:rPr>
                <w:rFonts w:ascii="Times New Roman" w:hAnsi="Times New Roman"/>
                <w:color w:val="1F1A17"/>
                <w:sz w:val="24"/>
                <w:szCs w:val="24"/>
                <w:lang w:eastAsia="lt-LT"/>
              </w:rPr>
            </w:pPr>
            <w:r w:rsidRPr="00385835">
              <w:rPr>
                <w:rFonts w:ascii="Times New Roman" w:hAnsi="Times New Roman"/>
                <w:color w:val="1F1A17"/>
                <w:sz w:val="24"/>
                <w:szCs w:val="24"/>
                <w:lang w:eastAsia="lt-LT"/>
              </w:rPr>
              <w:t xml:space="preserve">Partnerysčių kūrimosi skatinimas: parama akademinių bendruomenių kūrimuisi ir veiklai paskatinti; MTEP tematinių tinklų aktyvumo skatinimas; parama mokslo ir studijų institucijų įsijungimui ir dalyvavimui tarptautinėse MTEP ir inovacijų iniciatyvose. </w:t>
            </w:r>
          </w:p>
          <w:p w:rsidR="00385835" w:rsidRPr="00385835" w:rsidRDefault="00385835" w:rsidP="00650E41">
            <w:pPr>
              <w:numPr>
                <w:ilvl w:val="0"/>
                <w:numId w:val="39"/>
              </w:numPr>
              <w:tabs>
                <w:tab w:val="left" w:pos="459"/>
              </w:tabs>
              <w:spacing w:after="0" w:line="240" w:lineRule="auto"/>
              <w:ind w:left="34" w:firstLine="0"/>
              <w:contextualSpacing/>
              <w:jc w:val="both"/>
              <w:rPr>
                <w:rFonts w:ascii="Times New Roman" w:hAnsi="Times New Roman"/>
                <w:color w:val="1F1A17"/>
                <w:sz w:val="24"/>
                <w:szCs w:val="24"/>
                <w:lang w:eastAsia="lt-LT"/>
              </w:rPr>
            </w:pPr>
            <w:r w:rsidRPr="00385835">
              <w:rPr>
                <w:rFonts w:ascii="Times New Roman" w:hAnsi="Times New Roman"/>
                <w:color w:val="1F1A17"/>
                <w:sz w:val="24"/>
                <w:szCs w:val="24"/>
                <w:lang w:eastAsia="lt-LT"/>
              </w:rPr>
              <w:t>Tyrėjų bendrųjų gebėjimų ir kompetencijų stiprinimas: tyrėjų praktiniai mokymai, kurių metu stiprinami jų gebėjimai rengti projektų paraiškas ir vykdyti MTEP projektus, taip pat tobulinami įgūdžiai, susiję su MTEP rezultatų komercinimu ir technologijų perdavimu, ugdomi viešojo ir privataus sektorių bendradarbiavimą MTEP srityje skatinančių kompetencijos centrų personalo gebėjimai, stiprinamos atviros prieigos centrų personalo kompetencijos; parama mokslininkų ir kitų tyrėjų dalyvavimui tarptautinių programų tiksliniuose renginiuose skatinti.</w:t>
            </w:r>
          </w:p>
          <w:p w:rsidR="00385835" w:rsidRPr="00385835" w:rsidRDefault="00385835" w:rsidP="00650E41">
            <w:pPr>
              <w:numPr>
                <w:ilvl w:val="0"/>
                <w:numId w:val="39"/>
              </w:numPr>
              <w:tabs>
                <w:tab w:val="left" w:pos="459"/>
              </w:tabs>
              <w:spacing w:after="0" w:line="240" w:lineRule="auto"/>
              <w:ind w:left="34" w:firstLine="0"/>
              <w:contextualSpacing/>
              <w:jc w:val="both"/>
              <w:rPr>
                <w:rFonts w:ascii="Times New Roman" w:hAnsi="Times New Roman"/>
                <w:color w:val="1F1A17"/>
                <w:sz w:val="24"/>
                <w:szCs w:val="24"/>
                <w:lang w:eastAsia="lt-LT"/>
              </w:rPr>
            </w:pPr>
            <w:r w:rsidRPr="00385835">
              <w:rPr>
                <w:rFonts w:ascii="Times New Roman" w:hAnsi="Times New Roman"/>
                <w:color w:val="1F1A17"/>
                <w:sz w:val="24"/>
                <w:szCs w:val="24"/>
                <w:lang w:eastAsia="lt-LT"/>
              </w:rPr>
              <w:t>Mokslo populiarinimas ir tyrėjų darbo sąlygų gerinimas: parama mokslinių straipsnių publikavimui aukšto mokslinio lygio žurnaluose, mokslo populiarinimo renginių organizavimui, mokslo publikacijų, elektroninių dokumentų kaupimui ir sklaidai, pristatymui tarptautiniuose ir nacionaliniuose konkursuose, parodose finansuoti; jaunųjų, pažengusių bei aukšto lygio tyrėjų apdovanojimai</w:t>
            </w:r>
          </w:p>
        </w:tc>
      </w:tr>
    </w:tbl>
    <w:p w:rsid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p w:rsidR="0056304C" w:rsidRDefault="0056304C" w:rsidP="00385835">
      <w:pPr>
        <w:widowControl w:val="0"/>
        <w:tabs>
          <w:tab w:val="left" w:pos="622"/>
        </w:tabs>
        <w:spacing w:after="0" w:line="240" w:lineRule="auto"/>
        <w:jc w:val="both"/>
        <w:rPr>
          <w:rFonts w:ascii="Times New Roman" w:eastAsia="AngsanaUPC" w:hAnsi="Times New Roman"/>
          <w:bCs/>
          <w:sz w:val="24"/>
          <w:szCs w:val="24"/>
          <w:lang w:eastAsia="lt-LT"/>
        </w:rPr>
      </w:pPr>
    </w:p>
    <w:p w:rsidR="0056304C" w:rsidRPr="00385835" w:rsidRDefault="0056304C"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567"/>
        <w:gridCol w:w="2694"/>
        <w:gridCol w:w="1134"/>
        <w:gridCol w:w="850"/>
        <w:gridCol w:w="1134"/>
        <w:gridCol w:w="992"/>
        <w:gridCol w:w="1134"/>
        <w:gridCol w:w="1241"/>
      </w:tblGrid>
      <w:tr w:rsidR="00385835" w:rsidRPr="00385835" w:rsidTr="00385835">
        <w:trPr>
          <w:tblHeader/>
        </w:trPr>
        <w:tc>
          <w:tcPr>
            <w:tcW w:w="9746" w:type="dxa"/>
            <w:gridSpan w:val="8"/>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i/>
                <w:iCs/>
                <w:sz w:val="24"/>
                <w:szCs w:val="24"/>
                <w:lang w:eastAsia="lt-LT"/>
              </w:rPr>
            </w:pPr>
            <w:r w:rsidRPr="00385835">
              <w:rPr>
                <w:rFonts w:ascii="Times New Roman" w:eastAsia="AngsanaUPC" w:hAnsi="Times New Roman"/>
                <w:b/>
                <w:bCs/>
                <w:i/>
                <w:iCs/>
                <w:sz w:val="24"/>
                <w:szCs w:val="24"/>
                <w:lang w:eastAsia="lt-LT"/>
              </w:rPr>
              <w:lastRenderedPageBreak/>
              <w:t xml:space="preserve">ESF bendrieji ir </w:t>
            </w:r>
            <w:r w:rsidR="00D94011">
              <w:rPr>
                <w:rFonts w:ascii="Times New Roman" w:eastAsia="AngsanaUPC" w:hAnsi="Times New Roman"/>
                <w:b/>
                <w:bCs/>
                <w:i/>
                <w:iCs/>
                <w:sz w:val="24"/>
                <w:szCs w:val="24"/>
                <w:lang w:eastAsia="lt-LT"/>
              </w:rPr>
              <w:t>specialieji</w:t>
            </w:r>
            <w:r w:rsidR="00D94011" w:rsidRPr="00385835">
              <w:rPr>
                <w:rFonts w:ascii="Times New Roman" w:eastAsia="AngsanaUPC" w:hAnsi="Times New Roman"/>
                <w:b/>
                <w:bCs/>
                <w:i/>
                <w:iCs/>
                <w:sz w:val="24"/>
                <w:szCs w:val="24"/>
                <w:lang w:eastAsia="lt-LT"/>
              </w:rPr>
              <w:t xml:space="preserve"> </w:t>
            </w:r>
            <w:r w:rsidR="00D94011">
              <w:rPr>
                <w:rFonts w:ascii="Times New Roman" w:eastAsia="AngsanaUPC" w:hAnsi="Times New Roman"/>
                <w:b/>
                <w:bCs/>
                <w:i/>
                <w:iCs/>
                <w:sz w:val="24"/>
                <w:szCs w:val="24"/>
                <w:lang w:eastAsia="lt-LT"/>
              </w:rPr>
              <w:t xml:space="preserve">programos </w:t>
            </w:r>
            <w:r w:rsidRPr="00385835">
              <w:rPr>
                <w:rFonts w:ascii="Times New Roman" w:eastAsia="AngsanaUPC" w:hAnsi="Times New Roman"/>
                <w:b/>
                <w:bCs/>
                <w:i/>
                <w:iCs/>
                <w:sz w:val="24"/>
                <w:szCs w:val="24"/>
                <w:lang w:eastAsia="lt-LT"/>
              </w:rPr>
              <w:t>produkto rodikliai</w:t>
            </w:r>
          </w:p>
        </w:tc>
      </w:tr>
      <w:tr w:rsidR="00385835" w:rsidRPr="00385835" w:rsidTr="00385835">
        <w:tblPrEx>
          <w:shd w:val="clear" w:color="auto" w:fill="auto"/>
        </w:tblPrEx>
        <w:trPr>
          <w:tblHeader/>
        </w:trPr>
        <w:tc>
          <w:tcPr>
            <w:tcW w:w="567"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Nr.</w:t>
            </w:r>
          </w:p>
        </w:tc>
        <w:tc>
          <w:tcPr>
            <w:tcW w:w="269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Rodiklio pavadinimas</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Matavimo vienetas</w:t>
            </w:r>
          </w:p>
        </w:tc>
        <w:tc>
          <w:tcPr>
            <w:tcW w:w="850"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Fondas</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Regiono kategorija</w:t>
            </w:r>
          </w:p>
        </w:tc>
        <w:tc>
          <w:tcPr>
            <w:tcW w:w="992"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Siektina reikšmė (2023)</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Duomenų šaltinis</w:t>
            </w:r>
          </w:p>
        </w:tc>
        <w:tc>
          <w:tcPr>
            <w:tcW w:w="124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Atsiskaitymo dažnumas</w:t>
            </w:r>
          </w:p>
        </w:tc>
      </w:tr>
      <w:tr w:rsidR="00385835" w:rsidRPr="00B93030" w:rsidTr="00385835">
        <w:tblPrEx>
          <w:shd w:val="clear" w:color="auto" w:fill="auto"/>
        </w:tblPrEx>
        <w:tc>
          <w:tcPr>
            <w:tcW w:w="9746" w:type="dxa"/>
            <w:gridSpan w:val="8"/>
            <w:shd w:val="clear" w:color="auto" w:fill="EEECE1"/>
            <w:vAlign w:val="center"/>
          </w:tcPr>
          <w:p w:rsidR="00385835" w:rsidRPr="00B93030" w:rsidRDefault="00385835" w:rsidP="00385835">
            <w:pPr>
              <w:widowControl w:val="0"/>
              <w:tabs>
                <w:tab w:val="left" w:pos="622"/>
              </w:tabs>
              <w:spacing w:after="0" w:line="240" w:lineRule="auto"/>
              <w:rPr>
                <w:rFonts w:ascii="Times New Roman" w:eastAsia="AngsanaUPC" w:hAnsi="Times New Roman"/>
                <w:b/>
                <w:bCs/>
                <w:iCs/>
                <w:sz w:val="18"/>
                <w:szCs w:val="18"/>
                <w:lang w:eastAsia="lt-LT"/>
              </w:rPr>
            </w:pPr>
            <w:r w:rsidRPr="00B93030">
              <w:rPr>
                <w:rFonts w:ascii="Times New Roman" w:eastAsia="AngsanaUPC" w:hAnsi="Times New Roman"/>
                <w:i/>
                <w:iCs/>
                <w:sz w:val="18"/>
                <w:szCs w:val="18"/>
                <w:lang w:eastAsia="lt-LT"/>
              </w:rPr>
              <w:t>9.3.1.konkretaus uždavinio veiklas atspindintys produkto rodikliai:</w:t>
            </w:r>
          </w:p>
        </w:tc>
      </w:tr>
      <w:tr w:rsidR="00385835" w:rsidRPr="00385835" w:rsidTr="00385835">
        <w:tblPrEx>
          <w:shd w:val="clear" w:color="auto" w:fill="auto"/>
        </w:tblPrEx>
        <w:tc>
          <w:tcPr>
            <w:tcW w:w="56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1.</w:t>
            </w:r>
          </w:p>
        </w:tc>
        <w:tc>
          <w:tcPr>
            <w:tcW w:w="2694" w:type="dxa"/>
            <w:shd w:val="clear" w:color="auto" w:fill="auto"/>
          </w:tcPr>
          <w:p w:rsidR="00385835" w:rsidRPr="00385835" w:rsidRDefault="00385835" w:rsidP="00385835">
            <w:pPr>
              <w:spacing w:after="0" w:line="240" w:lineRule="auto"/>
              <w:rPr>
                <w:rFonts w:ascii="Times New Roman" w:hAnsi="Times New Roman"/>
                <w:sz w:val="18"/>
                <w:szCs w:val="18"/>
              </w:rPr>
            </w:pPr>
            <w:r w:rsidRPr="00385835">
              <w:rPr>
                <w:rFonts w:ascii="Times New Roman" w:hAnsi="Times New Roman"/>
                <w:sz w:val="18"/>
                <w:szCs w:val="18"/>
              </w:rPr>
              <w:t xml:space="preserve">Studentai, kurie pagal </w:t>
            </w:r>
            <w:r w:rsidRPr="00385835">
              <w:rPr>
                <w:rFonts w:ascii="Times New Roman" w:hAnsi="Times New Roman"/>
                <w:iCs/>
                <w:sz w:val="18"/>
                <w:szCs w:val="18"/>
              </w:rPr>
              <w:t>veiksmų programą ESF lėšomis</w:t>
            </w:r>
            <w:r w:rsidRPr="00385835">
              <w:rPr>
                <w:rFonts w:ascii="Times New Roman" w:hAnsi="Times New Roman"/>
                <w:sz w:val="18"/>
                <w:szCs w:val="18"/>
              </w:rPr>
              <w:t xml:space="preserve"> bent dalį studijų laikotarpio mokėsi užsienio aukštosiose mokyklose</w:t>
            </w:r>
          </w:p>
        </w:tc>
        <w:tc>
          <w:tcPr>
            <w:tcW w:w="1134" w:type="dxa"/>
            <w:shd w:val="clear" w:color="auto" w:fill="auto"/>
            <w:vAlign w:val="center"/>
          </w:tcPr>
          <w:p w:rsidR="00385835" w:rsidRPr="00385835" w:rsidRDefault="00385835" w:rsidP="00385835">
            <w:pPr>
              <w:spacing w:after="0" w:line="240" w:lineRule="auto"/>
              <w:jc w:val="center"/>
              <w:rPr>
                <w:rFonts w:ascii="Times New Roman" w:hAnsi="Times New Roman"/>
                <w:sz w:val="18"/>
                <w:szCs w:val="18"/>
              </w:rPr>
            </w:pPr>
            <w:r w:rsidRPr="00385835">
              <w:rPr>
                <w:rFonts w:ascii="Times New Roman" w:hAnsi="Times New Roman"/>
                <w:sz w:val="18"/>
                <w:szCs w:val="18"/>
              </w:rPr>
              <w:t>Skaičius</w:t>
            </w:r>
          </w:p>
        </w:tc>
        <w:tc>
          <w:tcPr>
            <w:tcW w:w="850"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ESF</w:t>
            </w:r>
          </w:p>
        </w:tc>
        <w:tc>
          <w:tcPr>
            <w:tcW w:w="1134" w:type="dxa"/>
            <w:shd w:val="clear" w:color="auto" w:fill="auto"/>
            <w:vAlign w:val="center"/>
          </w:tcPr>
          <w:p w:rsidR="00385835" w:rsidRPr="00385835" w:rsidRDefault="00385835" w:rsidP="00385835">
            <w:pPr>
              <w:spacing w:after="0" w:line="240" w:lineRule="auto"/>
              <w:jc w:val="center"/>
              <w:rPr>
                <w:sz w:val="18"/>
                <w:szCs w:val="18"/>
              </w:rPr>
            </w:pPr>
            <w:r w:rsidRPr="00385835">
              <w:rPr>
                <w:rFonts w:ascii="Times New Roman" w:hAnsi="Times New Roman"/>
                <w:sz w:val="18"/>
                <w:szCs w:val="18"/>
              </w:rPr>
              <w:t>Mažiau išsivystęs</w:t>
            </w:r>
          </w:p>
        </w:tc>
        <w:tc>
          <w:tcPr>
            <w:tcW w:w="992" w:type="dxa"/>
            <w:shd w:val="clear" w:color="auto" w:fill="auto"/>
            <w:vAlign w:val="center"/>
          </w:tcPr>
          <w:p w:rsidR="00385835" w:rsidRPr="00385835" w:rsidRDefault="00385835" w:rsidP="00A50C23">
            <w:pPr>
              <w:spacing w:after="0" w:line="240" w:lineRule="auto"/>
              <w:jc w:val="center"/>
              <w:rPr>
                <w:rFonts w:ascii="Times New Roman" w:hAnsi="Times New Roman"/>
                <w:sz w:val="18"/>
                <w:szCs w:val="18"/>
              </w:rPr>
            </w:pPr>
            <w:r w:rsidRPr="00385835">
              <w:rPr>
                <w:rFonts w:ascii="Times New Roman" w:hAnsi="Times New Roman"/>
                <w:sz w:val="18"/>
                <w:szCs w:val="18"/>
              </w:rPr>
              <w:t>3</w:t>
            </w:r>
            <w:r w:rsidR="00A50C23">
              <w:rPr>
                <w:rFonts w:ascii="Times New Roman" w:hAnsi="Times New Roman"/>
                <w:sz w:val="18"/>
                <w:szCs w:val="18"/>
              </w:rPr>
              <w:t>.</w:t>
            </w:r>
            <w:r w:rsidRPr="00385835">
              <w:rPr>
                <w:rFonts w:ascii="Times New Roman" w:hAnsi="Times New Roman"/>
                <w:sz w:val="18"/>
                <w:szCs w:val="18"/>
              </w:rPr>
              <w:t>600</w:t>
            </w:r>
          </w:p>
        </w:tc>
        <w:tc>
          <w:tcPr>
            <w:tcW w:w="1134" w:type="dxa"/>
            <w:shd w:val="clear" w:color="auto" w:fill="auto"/>
            <w:vAlign w:val="center"/>
          </w:tcPr>
          <w:p w:rsidR="00385835" w:rsidRPr="00385835" w:rsidRDefault="00385835" w:rsidP="00385835">
            <w:pPr>
              <w:spacing w:after="0" w:line="240" w:lineRule="auto"/>
              <w:jc w:val="center"/>
              <w:rPr>
                <w:rFonts w:ascii="Times New Roman" w:hAnsi="Times New Roman"/>
                <w:sz w:val="18"/>
                <w:szCs w:val="18"/>
              </w:rPr>
            </w:pPr>
            <w:r w:rsidRPr="00385835">
              <w:rPr>
                <w:rFonts w:ascii="Times New Roman" w:hAnsi="Times New Roman"/>
                <w:sz w:val="18"/>
                <w:szCs w:val="18"/>
              </w:rPr>
              <w:t>Duomenys iš projektų</w:t>
            </w:r>
          </w:p>
        </w:tc>
        <w:tc>
          <w:tcPr>
            <w:tcW w:w="1241" w:type="dxa"/>
            <w:shd w:val="clear" w:color="auto" w:fill="auto"/>
            <w:vAlign w:val="center"/>
          </w:tcPr>
          <w:p w:rsidR="00385835" w:rsidRPr="00385835" w:rsidRDefault="00385835" w:rsidP="00385835">
            <w:pPr>
              <w:spacing w:after="0" w:line="240" w:lineRule="auto"/>
              <w:jc w:val="center"/>
            </w:pPr>
            <w:r w:rsidRPr="00385835">
              <w:rPr>
                <w:rFonts w:ascii="Times New Roman" w:hAnsi="Times New Roman"/>
                <w:sz w:val="18"/>
                <w:szCs w:val="18"/>
              </w:rPr>
              <w:t>Kartą per metus</w:t>
            </w:r>
          </w:p>
        </w:tc>
      </w:tr>
      <w:tr w:rsidR="00385835" w:rsidRPr="00385835" w:rsidTr="00385835">
        <w:tblPrEx>
          <w:shd w:val="clear" w:color="auto" w:fill="auto"/>
        </w:tblPrEx>
        <w:tc>
          <w:tcPr>
            <w:tcW w:w="56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2.</w:t>
            </w:r>
          </w:p>
        </w:tc>
        <w:tc>
          <w:tcPr>
            <w:tcW w:w="2694" w:type="dxa"/>
            <w:shd w:val="clear" w:color="auto" w:fill="auto"/>
          </w:tcPr>
          <w:p w:rsidR="00385835" w:rsidRPr="00385835" w:rsidRDefault="00385835" w:rsidP="00385835">
            <w:pPr>
              <w:spacing w:after="0" w:line="240" w:lineRule="auto"/>
              <w:rPr>
                <w:rFonts w:ascii="Times New Roman" w:hAnsi="Times New Roman"/>
                <w:sz w:val="18"/>
                <w:szCs w:val="18"/>
              </w:rPr>
            </w:pPr>
            <w:r w:rsidRPr="00385835">
              <w:rPr>
                <w:rFonts w:ascii="Times New Roman" w:hAnsi="Times New Roman"/>
                <w:sz w:val="18"/>
                <w:szCs w:val="18"/>
              </w:rPr>
              <w:t>Studentai, kurie pagal veiksmų programą ESF lėšomis atliko praktiką įmonėse ir organizacijose</w:t>
            </w:r>
          </w:p>
        </w:tc>
        <w:tc>
          <w:tcPr>
            <w:tcW w:w="1134" w:type="dxa"/>
            <w:shd w:val="clear" w:color="auto" w:fill="auto"/>
            <w:vAlign w:val="center"/>
          </w:tcPr>
          <w:p w:rsidR="00385835" w:rsidRPr="00385835" w:rsidRDefault="00385835" w:rsidP="00385835">
            <w:pPr>
              <w:spacing w:after="0" w:line="240" w:lineRule="auto"/>
              <w:jc w:val="center"/>
              <w:rPr>
                <w:rFonts w:ascii="Times New Roman" w:hAnsi="Times New Roman"/>
                <w:sz w:val="18"/>
                <w:szCs w:val="18"/>
              </w:rPr>
            </w:pPr>
            <w:r w:rsidRPr="00385835">
              <w:rPr>
                <w:rFonts w:ascii="Times New Roman" w:hAnsi="Times New Roman"/>
                <w:sz w:val="18"/>
                <w:szCs w:val="18"/>
              </w:rPr>
              <w:t>Skaičius</w:t>
            </w:r>
          </w:p>
        </w:tc>
        <w:tc>
          <w:tcPr>
            <w:tcW w:w="850"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ESF</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Mažiau išsivystęs</w:t>
            </w:r>
          </w:p>
        </w:tc>
        <w:tc>
          <w:tcPr>
            <w:tcW w:w="992" w:type="dxa"/>
            <w:shd w:val="clear" w:color="auto" w:fill="auto"/>
            <w:vAlign w:val="center"/>
          </w:tcPr>
          <w:p w:rsidR="00385835" w:rsidRPr="00385835" w:rsidRDefault="00385835" w:rsidP="00A50C23">
            <w:pPr>
              <w:spacing w:after="0" w:line="240" w:lineRule="auto"/>
              <w:jc w:val="center"/>
              <w:rPr>
                <w:rFonts w:ascii="Times New Roman" w:hAnsi="Times New Roman"/>
                <w:sz w:val="18"/>
                <w:szCs w:val="18"/>
              </w:rPr>
            </w:pPr>
            <w:r w:rsidRPr="00385835">
              <w:rPr>
                <w:rFonts w:ascii="Times New Roman" w:hAnsi="Times New Roman"/>
                <w:sz w:val="18"/>
                <w:szCs w:val="18"/>
              </w:rPr>
              <w:t>5</w:t>
            </w:r>
            <w:r w:rsidR="00A50C23">
              <w:rPr>
                <w:rFonts w:ascii="Times New Roman" w:hAnsi="Times New Roman"/>
                <w:sz w:val="18"/>
                <w:szCs w:val="18"/>
              </w:rPr>
              <w:t>.</w:t>
            </w:r>
            <w:r w:rsidRPr="00385835">
              <w:rPr>
                <w:rFonts w:ascii="Times New Roman" w:hAnsi="Times New Roman"/>
                <w:sz w:val="18"/>
                <w:szCs w:val="18"/>
              </w:rPr>
              <w:t>000</w:t>
            </w:r>
          </w:p>
        </w:tc>
        <w:tc>
          <w:tcPr>
            <w:tcW w:w="1134" w:type="dxa"/>
            <w:shd w:val="clear" w:color="auto" w:fill="auto"/>
            <w:vAlign w:val="center"/>
          </w:tcPr>
          <w:p w:rsidR="00385835" w:rsidRPr="00385835" w:rsidRDefault="00385835" w:rsidP="00385835">
            <w:pPr>
              <w:spacing w:after="0" w:line="240" w:lineRule="auto"/>
              <w:jc w:val="center"/>
              <w:rPr>
                <w:rFonts w:ascii="Times New Roman" w:hAnsi="Times New Roman"/>
                <w:sz w:val="18"/>
                <w:szCs w:val="18"/>
              </w:rPr>
            </w:pPr>
            <w:r w:rsidRPr="00385835">
              <w:rPr>
                <w:rFonts w:ascii="Times New Roman" w:hAnsi="Times New Roman"/>
                <w:sz w:val="18"/>
                <w:szCs w:val="18"/>
              </w:rPr>
              <w:t>Duomenys iš projektų</w:t>
            </w:r>
          </w:p>
        </w:tc>
        <w:tc>
          <w:tcPr>
            <w:tcW w:w="124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Kartą per metus</w:t>
            </w:r>
          </w:p>
        </w:tc>
      </w:tr>
      <w:tr w:rsidR="00385835" w:rsidRPr="00385835" w:rsidTr="00385835">
        <w:tblPrEx>
          <w:shd w:val="clear" w:color="auto" w:fill="auto"/>
        </w:tblPrEx>
        <w:tc>
          <w:tcPr>
            <w:tcW w:w="56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3.</w:t>
            </w:r>
          </w:p>
        </w:tc>
        <w:tc>
          <w:tcPr>
            <w:tcW w:w="2694" w:type="dxa"/>
            <w:shd w:val="clear" w:color="auto" w:fill="auto"/>
          </w:tcPr>
          <w:p w:rsidR="00385835" w:rsidRPr="00385835" w:rsidRDefault="00385835" w:rsidP="00385835">
            <w:pPr>
              <w:spacing w:after="0" w:line="240" w:lineRule="auto"/>
              <w:rPr>
                <w:rFonts w:ascii="Times New Roman" w:hAnsi="Times New Roman"/>
                <w:sz w:val="18"/>
                <w:szCs w:val="18"/>
              </w:rPr>
            </w:pPr>
            <w:r w:rsidRPr="00385835">
              <w:rPr>
                <w:rFonts w:ascii="Times New Roman" w:hAnsi="Times New Roman"/>
                <w:sz w:val="18"/>
                <w:szCs w:val="18"/>
              </w:rPr>
              <w:t>Socialiai jautrių, socialinės atskirties ir mažai atstovaujamų grupių studentai, kuriems buvo skirta tikslinė išmoka studijų prieinamumui gerinti</w:t>
            </w:r>
          </w:p>
        </w:tc>
        <w:tc>
          <w:tcPr>
            <w:tcW w:w="1134" w:type="dxa"/>
            <w:shd w:val="clear" w:color="auto" w:fill="auto"/>
            <w:vAlign w:val="center"/>
          </w:tcPr>
          <w:p w:rsidR="00385835" w:rsidRPr="00385835" w:rsidRDefault="00385835" w:rsidP="00385835">
            <w:pPr>
              <w:spacing w:after="0" w:line="240" w:lineRule="auto"/>
              <w:jc w:val="center"/>
              <w:rPr>
                <w:rFonts w:ascii="Times New Roman" w:hAnsi="Times New Roman"/>
                <w:sz w:val="18"/>
                <w:szCs w:val="18"/>
              </w:rPr>
            </w:pPr>
            <w:r w:rsidRPr="00385835">
              <w:rPr>
                <w:rFonts w:ascii="Times New Roman" w:hAnsi="Times New Roman"/>
                <w:sz w:val="18"/>
                <w:szCs w:val="18"/>
              </w:rPr>
              <w:t>Skaičius</w:t>
            </w:r>
          </w:p>
        </w:tc>
        <w:tc>
          <w:tcPr>
            <w:tcW w:w="850"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ESF</w:t>
            </w:r>
          </w:p>
        </w:tc>
        <w:tc>
          <w:tcPr>
            <w:tcW w:w="1134" w:type="dxa"/>
            <w:shd w:val="clear" w:color="auto" w:fill="auto"/>
            <w:vAlign w:val="center"/>
          </w:tcPr>
          <w:p w:rsidR="00385835" w:rsidRPr="00385835" w:rsidRDefault="00385835" w:rsidP="00385835">
            <w:pPr>
              <w:spacing w:after="0" w:line="240" w:lineRule="auto"/>
              <w:jc w:val="center"/>
              <w:rPr>
                <w:sz w:val="18"/>
                <w:szCs w:val="18"/>
              </w:rPr>
            </w:pPr>
            <w:r w:rsidRPr="00385835">
              <w:rPr>
                <w:rFonts w:ascii="Times New Roman" w:hAnsi="Times New Roman"/>
                <w:sz w:val="18"/>
                <w:szCs w:val="18"/>
              </w:rPr>
              <w:t>Mažiau išsivystęs</w:t>
            </w:r>
          </w:p>
        </w:tc>
        <w:tc>
          <w:tcPr>
            <w:tcW w:w="992" w:type="dxa"/>
            <w:shd w:val="clear" w:color="auto" w:fill="auto"/>
            <w:vAlign w:val="center"/>
          </w:tcPr>
          <w:p w:rsidR="00385835" w:rsidRPr="00385835" w:rsidRDefault="00385835" w:rsidP="00A50C23">
            <w:pPr>
              <w:spacing w:after="0" w:line="240" w:lineRule="auto"/>
              <w:jc w:val="center"/>
              <w:rPr>
                <w:rFonts w:ascii="Times New Roman" w:hAnsi="Times New Roman"/>
                <w:sz w:val="18"/>
                <w:szCs w:val="18"/>
              </w:rPr>
            </w:pPr>
            <w:r w:rsidRPr="00385835">
              <w:rPr>
                <w:rFonts w:ascii="Times New Roman" w:hAnsi="Times New Roman"/>
                <w:sz w:val="18"/>
                <w:szCs w:val="18"/>
              </w:rPr>
              <w:t>1</w:t>
            </w:r>
            <w:r w:rsidR="00A50C23">
              <w:rPr>
                <w:rFonts w:ascii="Times New Roman" w:hAnsi="Times New Roman"/>
                <w:sz w:val="18"/>
                <w:szCs w:val="18"/>
              </w:rPr>
              <w:t>.</w:t>
            </w:r>
            <w:r w:rsidRPr="00385835">
              <w:rPr>
                <w:rFonts w:ascii="Times New Roman" w:hAnsi="Times New Roman"/>
                <w:sz w:val="18"/>
                <w:szCs w:val="18"/>
              </w:rPr>
              <w:t>000</w:t>
            </w:r>
          </w:p>
        </w:tc>
        <w:tc>
          <w:tcPr>
            <w:tcW w:w="1134" w:type="dxa"/>
            <w:shd w:val="clear" w:color="auto" w:fill="auto"/>
            <w:vAlign w:val="center"/>
          </w:tcPr>
          <w:p w:rsidR="00385835" w:rsidRPr="00385835" w:rsidRDefault="00385835" w:rsidP="00385835">
            <w:pPr>
              <w:spacing w:after="0" w:line="240" w:lineRule="auto"/>
              <w:jc w:val="center"/>
              <w:rPr>
                <w:rFonts w:ascii="Times New Roman" w:hAnsi="Times New Roman"/>
                <w:sz w:val="18"/>
                <w:szCs w:val="18"/>
              </w:rPr>
            </w:pPr>
            <w:r w:rsidRPr="00385835">
              <w:rPr>
                <w:rFonts w:ascii="Times New Roman" w:hAnsi="Times New Roman"/>
                <w:sz w:val="18"/>
                <w:szCs w:val="18"/>
              </w:rPr>
              <w:t>Duomenys iš projektų</w:t>
            </w:r>
          </w:p>
        </w:tc>
        <w:tc>
          <w:tcPr>
            <w:tcW w:w="1241" w:type="dxa"/>
            <w:shd w:val="clear" w:color="auto" w:fill="auto"/>
            <w:vAlign w:val="center"/>
          </w:tcPr>
          <w:p w:rsidR="00385835" w:rsidRPr="00385835" w:rsidRDefault="00385835" w:rsidP="00385835">
            <w:pPr>
              <w:spacing w:after="0" w:line="240" w:lineRule="auto"/>
              <w:jc w:val="center"/>
            </w:pPr>
            <w:r w:rsidRPr="00385835">
              <w:rPr>
                <w:rFonts w:ascii="Times New Roman" w:hAnsi="Times New Roman"/>
                <w:sz w:val="18"/>
                <w:szCs w:val="18"/>
              </w:rPr>
              <w:t>Kartą per metus</w:t>
            </w:r>
          </w:p>
        </w:tc>
      </w:tr>
      <w:tr w:rsidR="00385835" w:rsidRPr="00385835" w:rsidTr="00385835">
        <w:tblPrEx>
          <w:shd w:val="clear" w:color="auto" w:fill="auto"/>
        </w:tblPrEx>
        <w:tc>
          <w:tcPr>
            <w:tcW w:w="56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4.</w:t>
            </w:r>
          </w:p>
        </w:tc>
        <w:tc>
          <w:tcPr>
            <w:tcW w:w="2694" w:type="dxa"/>
            <w:shd w:val="clear" w:color="auto" w:fill="auto"/>
          </w:tcPr>
          <w:p w:rsidR="00385835" w:rsidRPr="00385835" w:rsidRDefault="00385835" w:rsidP="00385835">
            <w:pPr>
              <w:spacing w:after="0" w:line="240" w:lineRule="auto"/>
              <w:rPr>
                <w:rFonts w:ascii="Times New Roman" w:hAnsi="Times New Roman"/>
                <w:sz w:val="18"/>
                <w:szCs w:val="18"/>
              </w:rPr>
            </w:pPr>
            <w:r w:rsidRPr="00385835">
              <w:rPr>
                <w:rFonts w:ascii="Times New Roman" w:hAnsi="Times New Roman"/>
                <w:sz w:val="18"/>
                <w:szCs w:val="18"/>
              </w:rPr>
              <w:t>Dėstytojai, kurie dalyvavo ESF veiklose, skirtose mokytis pagal neformaliojo švietimo programas</w:t>
            </w:r>
          </w:p>
        </w:tc>
        <w:tc>
          <w:tcPr>
            <w:tcW w:w="1134" w:type="dxa"/>
            <w:shd w:val="clear" w:color="auto" w:fill="auto"/>
            <w:vAlign w:val="center"/>
          </w:tcPr>
          <w:p w:rsidR="00385835" w:rsidRPr="00385835" w:rsidRDefault="00385835" w:rsidP="00385835">
            <w:pPr>
              <w:spacing w:after="0" w:line="240" w:lineRule="auto"/>
              <w:jc w:val="center"/>
              <w:rPr>
                <w:rFonts w:ascii="Times New Roman" w:hAnsi="Times New Roman"/>
                <w:sz w:val="18"/>
                <w:szCs w:val="18"/>
              </w:rPr>
            </w:pPr>
            <w:r w:rsidRPr="00385835">
              <w:rPr>
                <w:rFonts w:ascii="Times New Roman" w:hAnsi="Times New Roman"/>
                <w:sz w:val="18"/>
                <w:szCs w:val="18"/>
              </w:rPr>
              <w:t>Skaičius</w:t>
            </w:r>
          </w:p>
        </w:tc>
        <w:tc>
          <w:tcPr>
            <w:tcW w:w="850"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ESF</w:t>
            </w:r>
          </w:p>
        </w:tc>
        <w:tc>
          <w:tcPr>
            <w:tcW w:w="1134" w:type="dxa"/>
            <w:shd w:val="clear" w:color="auto" w:fill="auto"/>
            <w:vAlign w:val="center"/>
          </w:tcPr>
          <w:p w:rsidR="00385835" w:rsidRPr="00385835" w:rsidRDefault="00385835" w:rsidP="00385835">
            <w:pPr>
              <w:spacing w:after="0" w:line="240" w:lineRule="auto"/>
              <w:jc w:val="center"/>
              <w:rPr>
                <w:sz w:val="18"/>
                <w:szCs w:val="18"/>
              </w:rPr>
            </w:pPr>
            <w:r w:rsidRPr="00385835">
              <w:rPr>
                <w:rFonts w:ascii="Times New Roman" w:hAnsi="Times New Roman"/>
                <w:sz w:val="18"/>
                <w:szCs w:val="18"/>
              </w:rPr>
              <w:t>Mažiau išsivystęs</w:t>
            </w:r>
          </w:p>
        </w:tc>
        <w:tc>
          <w:tcPr>
            <w:tcW w:w="992" w:type="dxa"/>
            <w:shd w:val="clear" w:color="auto" w:fill="auto"/>
            <w:vAlign w:val="center"/>
          </w:tcPr>
          <w:p w:rsidR="00385835" w:rsidRPr="00385835" w:rsidRDefault="00385835" w:rsidP="00A50C23">
            <w:pPr>
              <w:spacing w:after="0" w:line="240" w:lineRule="auto"/>
              <w:jc w:val="center"/>
              <w:rPr>
                <w:rFonts w:ascii="Times New Roman" w:hAnsi="Times New Roman"/>
                <w:sz w:val="18"/>
                <w:szCs w:val="18"/>
              </w:rPr>
            </w:pPr>
            <w:r w:rsidRPr="00385835">
              <w:rPr>
                <w:rFonts w:ascii="Times New Roman" w:hAnsi="Times New Roman"/>
                <w:sz w:val="18"/>
                <w:szCs w:val="18"/>
              </w:rPr>
              <w:t>1</w:t>
            </w:r>
            <w:r w:rsidR="00A50C23">
              <w:rPr>
                <w:rFonts w:ascii="Times New Roman" w:hAnsi="Times New Roman"/>
                <w:sz w:val="18"/>
                <w:szCs w:val="18"/>
              </w:rPr>
              <w:t>.</w:t>
            </w:r>
            <w:r w:rsidRPr="00385835">
              <w:rPr>
                <w:rFonts w:ascii="Times New Roman" w:hAnsi="Times New Roman"/>
                <w:sz w:val="18"/>
                <w:szCs w:val="18"/>
              </w:rPr>
              <w:t>000</w:t>
            </w:r>
          </w:p>
        </w:tc>
        <w:tc>
          <w:tcPr>
            <w:tcW w:w="1134" w:type="dxa"/>
            <w:shd w:val="clear" w:color="auto" w:fill="auto"/>
            <w:vAlign w:val="center"/>
          </w:tcPr>
          <w:p w:rsidR="00385835" w:rsidRPr="00385835" w:rsidRDefault="00385835" w:rsidP="00385835">
            <w:pPr>
              <w:spacing w:after="0" w:line="240" w:lineRule="auto"/>
              <w:jc w:val="center"/>
              <w:rPr>
                <w:rFonts w:ascii="Times New Roman" w:hAnsi="Times New Roman"/>
                <w:sz w:val="18"/>
                <w:szCs w:val="18"/>
              </w:rPr>
            </w:pPr>
            <w:r w:rsidRPr="00385835">
              <w:rPr>
                <w:rFonts w:ascii="Times New Roman" w:hAnsi="Times New Roman"/>
                <w:sz w:val="18"/>
                <w:szCs w:val="18"/>
              </w:rPr>
              <w:t>Duomenys iš projektų</w:t>
            </w:r>
          </w:p>
        </w:tc>
        <w:tc>
          <w:tcPr>
            <w:tcW w:w="1241" w:type="dxa"/>
            <w:shd w:val="clear" w:color="auto" w:fill="auto"/>
            <w:vAlign w:val="center"/>
          </w:tcPr>
          <w:p w:rsidR="00385835" w:rsidRPr="00385835" w:rsidRDefault="00385835" w:rsidP="00385835">
            <w:pPr>
              <w:spacing w:after="0" w:line="240" w:lineRule="auto"/>
              <w:jc w:val="center"/>
            </w:pPr>
            <w:r w:rsidRPr="00385835">
              <w:rPr>
                <w:rFonts w:ascii="Times New Roman" w:hAnsi="Times New Roman"/>
                <w:sz w:val="18"/>
                <w:szCs w:val="18"/>
              </w:rPr>
              <w:t>Kartą per metus</w:t>
            </w:r>
          </w:p>
        </w:tc>
      </w:tr>
      <w:tr w:rsidR="00385835" w:rsidRPr="00B93030" w:rsidTr="00385835">
        <w:tblPrEx>
          <w:shd w:val="clear" w:color="auto" w:fill="auto"/>
        </w:tblPrEx>
        <w:tc>
          <w:tcPr>
            <w:tcW w:w="9746" w:type="dxa"/>
            <w:gridSpan w:val="8"/>
            <w:shd w:val="clear" w:color="auto" w:fill="EEECE1"/>
          </w:tcPr>
          <w:p w:rsidR="00385835" w:rsidRPr="00B93030" w:rsidRDefault="00385835" w:rsidP="00385835">
            <w:pPr>
              <w:widowControl w:val="0"/>
              <w:tabs>
                <w:tab w:val="left" w:pos="622"/>
              </w:tabs>
              <w:spacing w:after="0" w:line="240" w:lineRule="auto"/>
              <w:jc w:val="both"/>
              <w:rPr>
                <w:rFonts w:ascii="Times New Roman" w:hAnsi="Times New Roman"/>
                <w:sz w:val="18"/>
                <w:szCs w:val="18"/>
              </w:rPr>
            </w:pPr>
            <w:r w:rsidRPr="00B93030">
              <w:rPr>
                <w:rFonts w:ascii="Times New Roman" w:eastAsia="AngsanaUPC" w:hAnsi="Times New Roman"/>
                <w:i/>
                <w:iCs/>
                <w:sz w:val="18"/>
                <w:szCs w:val="18"/>
                <w:lang w:eastAsia="lt-LT"/>
              </w:rPr>
              <w:t>9.3.2.konkretaus uždavinio veiklas atspindintys produkto rodikliai:</w:t>
            </w:r>
          </w:p>
        </w:tc>
      </w:tr>
      <w:tr w:rsidR="00385835" w:rsidRPr="00385835" w:rsidTr="00385835">
        <w:tblPrEx>
          <w:shd w:val="clear" w:color="auto" w:fill="auto"/>
        </w:tblPrEx>
        <w:tc>
          <w:tcPr>
            <w:tcW w:w="56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5.</w:t>
            </w:r>
          </w:p>
        </w:tc>
        <w:tc>
          <w:tcPr>
            <w:tcW w:w="2694" w:type="dxa"/>
            <w:shd w:val="clear" w:color="auto" w:fill="auto"/>
          </w:tcPr>
          <w:p w:rsidR="00385835" w:rsidRPr="00385835" w:rsidRDefault="00385835" w:rsidP="00385835">
            <w:pPr>
              <w:spacing w:after="0" w:line="240" w:lineRule="auto"/>
              <w:rPr>
                <w:rFonts w:ascii="Times New Roman" w:hAnsi="Times New Roman"/>
                <w:sz w:val="18"/>
                <w:szCs w:val="18"/>
              </w:rPr>
            </w:pPr>
            <w:r w:rsidRPr="00385835">
              <w:rPr>
                <w:rFonts w:ascii="Times New Roman" w:hAnsi="Times New Roman"/>
                <w:sz w:val="18"/>
                <w:szCs w:val="18"/>
              </w:rPr>
              <w:t>Pagal veiksmų programą</w:t>
            </w:r>
            <w:proofErr w:type="gramStart"/>
            <w:r w:rsidRPr="00385835">
              <w:rPr>
                <w:rFonts w:ascii="Times New Roman" w:hAnsi="Times New Roman"/>
                <w:sz w:val="18"/>
                <w:szCs w:val="18"/>
              </w:rPr>
              <w:t xml:space="preserve">  </w:t>
            </w:r>
            <w:proofErr w:type="gramEnd"/>
            <w:r w:rsidRPr="00385835">
              <w:rPr>
                <w:rFonts w:ascii="Times New Roman" w:hAnsi="Times New Roman"/>
                <w:sz w:val="18"/>
                <w:szCs w:val="18"/>
              </w:rPr>
              <w:t>ESF</w:t>
            </w:r>
            <w:r w:rsidR="00D94011">
              <w:rPr>
                <w:rFonts w:ascii="Times New Roman" w:hAnsi="Times New Roman"/>
                <w:sz w:val="18"/>
                <w:szCs w:val="18"/>
              </w:rPr>
              <w:t xml:space="preserve"> </w:t>
            </w:r>
            <w:r w:rsidRPr="00385835">
              <w:rPr>
                <w:rFonts w:ascii="Times New Roman" w:hAnsi="Times New Roman"/>
                <w:sz w:val="18"/>
                <w:szCs w:val="18"/>
              </w:rPr>
              <w:t>lėšomis sukurti ar atnaujinti stebėsenos įrankiai</w:t>
            </w:r>
          </w:p>
        </w:tc>
        <w:tc>
          <w:tcPr>
            <w:tcW w:w="1134" w:type="dxa"/>
            <w:shd w:val="clear" w:color="auto" w:fill="auto"/>
            <w:vAlign w:val="center"/>
          </w:tcPr>
          <w:p w:rsidR="00385835" w:rsidRPr="00385835" w:rsidRDefault="00385835" w:rsidP="00385835">
            <w:pPr>
              <w:spacing w:after="0" w:line="240" w:lineRule="auto"/>
              <w:jc w:val="center"/>
              <w:rPr>
                <w:rFonts w:ascii="Times New Roman" w:hAnsi="Times New Roman"/>
                <w:sz w:val="18"/>
                <w:szCs w:val="18"/>
              </w:rPr>
            </w:pPr>
            <w:r w:rsidRPr="00385835">
              <w:rPr>
                <w:rFonts w:ascii="Times New Roman" w:hAnsi="Times New Roman"/>
                <w:sz w:val="18"/>
                <w:szCs w:val="18"/>
              </w:rPr>
              <w:t>Skaičius</w:t>
            </w:r>
          </w:p>
        </w:tc>
        <w:tc>
          <w:tcPr>
            <w:tcW w:w="850"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ESF</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bCs/>
                <w:iCs/>
                <w:sz w:val="20"/>
                <w:szCs w:val="20"/>
                <w:lang w:eastAsia="lt-LT"/>
              </w:rPr>
            </w:pPr>
            <w:r w:rsidRPr="00385835">
              <w:rPr>
                <w:rFonts w:ascii="Times New Roman" w:hAnsi="Times New Roman"/>
                <w:sz w:val="18"/>
                <w:szCs w:val="18"/>
              </w:rPr>
              <w:t>Mažiau išsivystęs</w:t>
            </w:r>
          </w:p>
        </w:tc>
        <w:tc>
          <w:tcPr>
            <w:tcW w:w="992" w:type="dxa"/>
            <w:shd w:val="clear" w:color="auto" w:fill="auto"/>
            <w:vAlign w:val="center"/>
          </w:tcPr>
          <w:p w:rsidR="00385835" w:rsidRPr="00385835" w:rsidRDefault="00385835" w:rsidP="00385835">
            <w:pPr>
              <w:spacing w:after="0" w:line="240" w:lineRule="auto"/>
              <w:jc w:val="center"/>
              <w:rPr>
                <w:rFonts w:ascii="Times New Roman" w:hAnsi="Times New Roman"/>
                <w:sz w:val="18"/>
                <w:szCs w:val="18"/>
              </w:rPr>
            </w:pPr>
            <w:r w:rsidRPr="00385835">
              <w:rPr>
                <w:rFonts w:ascii="Times New Roman" w:hAnsi="Times New Roman"/>
                <w:sz w:val="18"/>
                <w:szCs w:val="18"/>
              </w:rPr>
              <w:t>12</w:t>
            </w:r>
          </w:p>
        </w:tc>
        <w:tc>
          <w:tcPr>
            <w:tcW w:w="1134" w:type="dxa"/>
            <w:shd w:val="clear" w:color="auto" w:fill="auto"/>
            <w:vAlign w:val="center"/>
          </w:tcPr>
          <w:p w:rsidR="00385835" w:rsidRPr="00385835" w:rsidRDefault="00385835" w:rsidP="00385835">
            <w:pPr>
              <w:spacing w:after="0" w:line="240" w:lineRule="auto"/>
              <w:jc w:val="center"/>
              <w:rPr>
                <w:rFonts w:ascii="Times New Roman" w:hAnsi="Times New Roman"/>
                <w:sz w:val="18"/>
                <w:szCs w:val="18"/>
              </w:rPr>
            </w:pPr>
            <w:r w:rsidRPr="00385835">
              <w:rPr>
                <w:rFonts w:ascii="Times New Roman" w:hAnsi="Times New Roman"/>
                <w:sz w:val="18"/>
                <w:szCs w:val="18"/>
              </w:rPr>
              <w:t>Duomenys iš projektų</w:t>
            </w:r>
          </w:p>
        </w:tc>
        <w:tc>
          <w:tcPr>
            <w:tcW w:w="124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Kartą per metus</w:t>
            </w:r>
          </w:p>
        </w:tc>
      </w:tr>
      <w:tr w:rsidR="00385835" w:rsidRPr="00385835" w:rsidTr="00385835">
        <w:tblPrEx>
          <w:shd w:val="clear" w:color="auto" w:fill="auto"/>
        </w:tblPrEx>
        <w:tc>
          <w:tcPr>
            <w:tcW w:w="56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6.</w:t>
            </w:r>
          </w:p>
        </w:tc>
        <w:tc>
          <w:tcPr>
            <w:tcW w:w="2694" w:type="dxa"/>
            <w:shd w:val="clear" w:color="auto" w:fill="auto"/>
            <w:vAlign w:val="center"/>
          </w:tcPr>
          <w:p w:rsidR="00385835" w:rsidRPr="00385835" w:rsidRDefault="00385835" w:rsidP="00385835">
            <w:pPr>
              <w:spacing w:after="0" w:line="240" w:lineRule="auto"/>
              <w:rPr>
                <w:rFonts w:ascii="Times New Roman" w:hAnsi="Times New Roman"/>
                <w:sz w:val="18"/>
                <w:szCs w:val="18"/>
              </w:rPr>
            </w:pPr>
            <w:r w:rsidRPr="00385835">
              <w:rPr>
                <w:rFonts w:ascii="Times New Roman" w:hAnsi="Times New Roman"/>
                <w:sz w:val="18"/>
                <w:szCs w:val="18"/>
              </w:rPr>
              <w:t xml:space="preserve">Aukštosios mokyklos, kurioms pagal </w:t>
            </w:r>
            <w:r w:rsidRPr="00385835">
              <w:rPr>
                <w:rFonts w:ascii="Times New Roman" w:hAnsi="Times New Roman"/>
                <w:iCs/>
                <w:sz w:val="18"/>
                <w:szCs w:val="18"/>
              </w:rPr>
              <w:t>veiksmų programą ESF lėšomis</w:t>
            </w:r>
            <w:r w:rsidRPr="00385835">
              <w:rPr>
                <w:rFonts w:ascii="Times New Roman" w:hAnsi="Times New Roman"/>
                <w:sz w:val="18"/>
                <w:szCs w:val="18"/>
              </w:rPr>
              <w:t xml:space="preserve"> atliktas išorinis vertinimas</w:t>
            </w:r>
          </w:p>
        </w:tc>
        <w:tc>
          <w:tcPr>
            <w:tcW w:w="1134" w:type="dxa"/>
            <w:shd w:val="clear" w:color="auto" w:fill="auto"/>
            <w:vAlign w:val="center"/>
          </w:tcPr>
          <w:p w:rsidR="00385835" w:rsidRPr="00385835" w:rsidRDefault="00385835" w:rsidP="00385835">
            <w:pPr>
              <w:spacing w:after="0" w:line="240" w:lineRule="auto"/>
              <w:jc w:val="center"/>
              <w:rPr>
                <w:rFonts w:ascii="Times New Roman" w:hAnsi="Times New Roman"/>
                <w:sz w:val="18"/>
                <w:szCs w:val="18"/>
              </w:rPr>
            </w:pPr>
            <w:r w:rsidRPr="00385835">
              <w:rPr>
                <w:rFonts w:ascii="Times New Roman" w:hAnsi="Times New Roman"/>
                <w:sz w:val="18"/>
                <w:szCs w:val="18"/>
              </w:rPr>
              <w:t>Skaičius</w:t>
            </w:r>
          </w:p>
        </w:tc>
        <w:tc>
          <w:tcPr>
            <w:tcW w:w="850"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ESF</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Mažiau išsivystęs</w:t>
            </w:r>
          </w:p>
        </w:tc>
        <w:tc>
          <w:tcPr>
            <w:tcW w:w="992" w:type="dxa"/>
            <w:shd w:val="clear" w:color="auto" w:fill="auto"/>
            <w:vAlign w:val="center"/>
          </w:tcPr>
          <w:p w:rsidR="00385835" w:rsidRPr="00385835" w:rsidDel="00A90942" w:rsidRDefault="00385835" w:rsidP="00385835">
            <w:pPr>
              <w:spacing w:after="0" w:line="240" w:lineRule="auto"/>
              <w:jc w:val="center"/>
              <w:rPr>
                <w:rFonts w:ascii="Times New Roman" w:hAnsi="Times New Roman"/>
                <w:sz w:val="18"/>
                <w:szCs w:val="18"/>
              </w:rPr>
            </w:pPr>
            <w:r w:rsidRPr="00385835">
              <w:rPr>
                <w:rFonts w:ascii="Times New Roman" w:hAnsi="Times New Roman"/>
                <w:sz w:val="18"/>
                <w:szCs w:val="18"/>
              </w:rPr>
              <w:t>23</w:t>
            </w:r>
          </w:p>
        </w:tc>
        <w:tc>
          <w:tcPr>
            <w:tcW w:w="1134" w:type="dxa"/>
            <w:shd w:val="clear" w:color="auto" w:fill="auto"/>
            <w:vAlign w:val="center"/>
          </w:tcPr>
          <w:p w:rsidR="00385835" w:rsidRPr="00385835" w:rsidRDefault="00385835" w:rsidP="00385835">
            <w:pPr>
              <w:spacing w:after="0" w:line="240" w:lineRule="auto"/>
              <w:jc w:val="center"/>
              <w:rPr>
                <w:rFonts w:ascii="Times New Roman" w:hAnsi="Times New Roman"/>
                <w:sz w:val="18"/>
                <w:szCs w:val="18"/>
              </w:rPr>
            </w:pPr>
            <w:r w:rsidRPr="00385835">
              <w:rPr>
                <w:rFonts w:ascii="Times New Roman" w:hAnsi="Times New Roman"/>
                <w:sz w:val="18"/>
                <w:szCs w:val="18"/>
              </w:rPr>
              <w:t>Duomenys iš projektų</w:t>
            </w:r>
          </w:p>
        </w:tc>
        <w:tc>
          <w:tcPr>
            <w:tcW w:w="124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bCs/>
                <w:iCs/>
                <w:sz w:val="18"/>
                <w:szCs w:val="18"/>
              </w:rPr>
              <w:t>Kartą per metus</w:t>
            </w:r>
          </w:p>
        </w:tc>
      </w:tr>
      <w:tr w:rsidR="00385835" w:rsidRPr="00385835" w:rsidTr="00385835">
        <w:tblPrEx>
          <w:shd w:val="clear" w:color="auto" w:fill="auto"/>
        </w:tblPrEx>
        <w:tc>
          <w:tcPr>
            <w:tcW w:w="56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7.</w:t>
            </w:r>
          </w:p>
        </w:tc>
        <w:tc>
          <w:tcPr>
            <w:tcW w:w="2694" w:type="dxa"/>
            <w:shd w:val="clear" w:color="auto" w:fill="auto"/>
            <w:vAlign w:val="center"/>
          </w:tcPr>
          <w:p w:rsidR="00385835" w:rsidRPr="00385835" w:rsidRDefault="00385835" w:rsidP="00385835">
            <w:pPr>
              <w:spacing w:after="0" w:line="240" w:lineRule="auto"/>
              <w:rPr>
                <w:rFonts w:ascii="Times New Roman" w:hAnsi="Times New Roman"/>
                <w:sz w:val="18"/>
                <w:szCs w:val="18"/>
              </w:rPr>
            </w:pPr>
            <w:r w:rsidRPr="00385835">
              <w:rPr>
                <w:rFonts w:ascii="Times New Roman" w:hAnsi="Times New Roman"/>
                <w:sz w:val="18"/>
                <w:szCs w:val="18"/>
              </w:rPr>
              <w:t>Mokymosi visą gyvenimą sistemos</w:t>
            </w:r>
            <w:r w:rsidRPr="00385835">
              <w:rPr>
                <w:rFonts w:ascii="Times New Roman" w:eastAsia="AngsanaUPC" w:hAnsi="Times New Roman"/>
                <w:bCs/>
                <w:iCs/>
                <w:sz w:val="18"/>
                <w:szCs w:val="18"/>
                <w:lang w:eastAsia="lt-LT"/>
              </w:rPr>
              <w:t xml:space="preserve"> institucijų</w:t>
            </w:r>
            <w:r w:rsidRPr="00385835">
              <w:rPr>
                <w:rFonts w:ascii="Times New Roman" w:hAnsi="Times New Roman"/>
                <w:sz w:val="18"/>
                <w:szCs w:val="18"/>
              </w:rPr>
              <w:t xml:space="preserve"> administracijos darbuotojai, kurie dalyvavo ESF veiklose, skirtose mokytis pagal neformaliojo švietimo programas</w:t>
            </w:r>
          </w:p>
        </w:tc>
        <w:tc>
          <w:tcPr>
            <w:tcW w:w="1134" w:type="dxa"/>
            <w:shd w:val="clear" w:color="auto" w:fill="auto"/>
            <w:vAlign w:val="center"/>
          </w:tcPr>
          <w:p w:rsidR="00385835" w:rsidRPr="00385835" w:rsidRDefault="00385835" w:rsidP="00385835">
            <w:pPr>
              <w:spacing w:after="0" w:line="240" w:lineRule="auto"/>
              <w:jc w:val="center"/>
              <w:rPr>
                <w:rFonts w:ascii="Times New Roman" w:hAnsi="Times New Roman"/>
                <w:sz w:val="18"/>
                <w:szCs w:val="18"/>
              </w:rPr>
            </w:pPr>
            <w:r w:rsidRPr="00385835">
              <w:rPr>
                <w:rFonts w:ascii="Times New Roman" w:hAnsi="Times New Roman"/>
                <w:sz w:val="18"/>
                <w:szCs w:val="18"/>
              </w:rPr>
              <w:t>Skaičius</w:t>
            </w:r>
          </w:p>
        </w:tc>
        <w:tc>
          <w:tcPr>
            <w:tcW w:w="850"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ESF</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Mažiau išsivystęs</w:t>
            </w:r>
          </w:p>
        </w:tc>
        <w:tc>
          <w:tcPr>
            <w:tcW w:w="992" w:type="dxa"/>
            <w:shd w:val="clear" w:color="auto" w:fill="auto"/>
            <w:vAlign w:val="center"/>
          </w:tcPr>
          <w:p w:rsidR="00385835" w:rsidRPr="00385835" w:rsidRDefault="00385835" w:rsidP="00385835">
            <w:pPr>
              <w:spacing w:after="0" w:line="240" w:lineRule="auto"/>
              <w:jc w:val="center"/>
              <w:rPr>
                <w:rFonts w:ascii="Times New Roman" w:hAnsi="Times New Roman"/>
                <w:sz w:val="18"/>
                <w:szCs w:val="18"/>
              </w:rPr>
            </w:pPr>
            <w:r w:rsidRPr="00385835">
              <w:rPr>
                <w:rFonts w:ascii="Times New Roman" w:hAnsi="Times New Roman"/>
                <w:sz w:val="18"/>
                <w:szCs w:val="18"/>
              </w:rPr>
              <w:t>200</w:t>
            </w:r>
          </w:p>
        </w:tc>
        <w:tc>
          <w:tcPr>
            <w:tcW w:w="1134" w:type="dxa"/>
            <w:shd w:val="clear" w:color="auto" w:fill="auto"/>
            <w:vAlign w:val="center"/>
          </w:tcPr>
          <w:p w:rsidR="00385835" w:rsidRPr="00385835" w:rsidRDefault="00385835" w:rsidP="00385835">
            <w:pPr>
              <w:spacing w:after="0" w:line="240" w:lineRule="auto"/>
              <w:jc w:val="center"/>
              <w:rPr>
                <w:rFonts w:ascii="Times New Roman" w:hAnsi="Times New Roman"/>
                <w:sz w:val="18"/>
                <w:szCs w:val="18"/>
              </w:rPr>
            </w:pPr>
            <w:r w:rsidRPr="00385835">
              <w:rPr>
                <w:rFonts w:ascii="Times New Roman" w:hAnsi="Times New Roman"/>
                <w:sz w:val="18"/>
                <w:szCs w:val="18"/>
              </w:rPr>
              <w:t>Duomenys iš projektų</w:t>
            </w:r>
          </w:p>
        </w:tc>
        <w:tc>
          <w:tcPr>
            <w:tcW w:w="124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bCs/>
                <w:iCs/>
                <w:sz w:val="18"/>
                <w:szCs w:val="18"/>
              </w:rPr>
            </w:pPr>
            <w:r w:rsidRPr="00385835">
              <w:rPr>
                <w:rFonts w:ascii="Times New Roman" w:hAnsi="Times New Roman"/>
                <w:bCs/>
                <w:iCs/>
                <w:sz w:val="18"/>
                <w:szCs w:val="18"/>
              </w:rPr>
              <w:t>Kartą per metus</w:t>
            </w:r>
          </w:p>
        </w:tc>
      </w:tr>
      <w:tr w:rsidR="00385835" w:rsidRPr="00B93030" w:rsidTr="00385835">
        <w:tblPrEx>
          <w:shd w:val="clear" w:color="auto" w:fill="auto"/>
        </w:tblPrEx>
        <w:tc>
          <w:tcPr>
            <w:tcW w:w="9746" w:type="dxa"/>
            <w:gridSpan w:val="8"/>
            <w:shd w:val="clear" w:color="auto" w:fill="EEECE1"/>
          </w:tcPr>
          <w:p w:rsidR="00385835" w:rsidRPr="00B93030" w:rsidRDefault="00385835" w:rsidP="00385835">
            <w:pPr>
              <w:widowControl w:val="0"/>
              <w:tabs>
                <w:tab w:val="left" w:pos="622"/>
              </w:tabs>
              <w:spacing w:after="0" w:line="240" w:lineRule="auto"/>
              <w:jc w:val="both"/>
              <w:rPr>
                <w:rFonts w:ascii="Times New Roman" w:hAnsi="Times New Roman"/>
                <w:sz w:val="18"/>
                <w:szCs w:val="18"/>
              </w:rPr>
            </w:pPr>
            <w:r w:rsidRPr="00B93030">
              <w:rPr>
                <w:rFonts w:ascii="Times New Roman" w:eastAsia="AngsanaUPC" w:hAnsi="Times New Roman"/>
                <w:i/>
                <w:iCs/>
                <w:sz w:val="18"/>
                <w:szCs w:val="18"/>
                <w:lang w:eastAsia="lt-LT"/>
              </w:rPr>
              <w:t>9.3.3.konkretaus uždavinio veiklas atspindintys produkto rodikliai:</w:t>
            </w:r>
          </w:p>
        </w:tc>
      </w:tr>
      <w:tr w:rsidR="00385835" w:rsidRPr="00385835" w:rsidTr="00385835">
        <w:tblPrEx>
          <w:shd w:val="clear" w:color="auto" w:fill="auto"/>
        </w:tblPrEx>
        <w:tc>
          <w:tcPr>
            <w:tcW w:w="56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8.</w:t>
            </w:r>
          </w:p>
        </w:tc>
        <w:tc>
          <w:tcPr>
            <w:tcW w:w="2694" w:type="dxa"/>
            <w:shd w:val="clear" w:color="auto" w:fill="auto"/>
            <w:vAlign w:val="center"/>
          </w:tcPr>
          <w:p w:rsidR="00385835" w:rsidRPr="00385835" w:rsidRDefault="00385835" w:rsidP="00385835">
            <w:pPr>
              <w:spacing w:after="0" w:line="240" w:lineRule="auto"/>
              <w:rPr>
                <w:sz w:val="18"/>
                <w:szCs w:val="18"/>
              </w:rPr>
            </w:pPr>
            <w:r w:rsidRPr="00385835">
              <w:rPr>
                <w:rFonts w:ascii="Times New Roman" w:hAnsi="Times New Roman"/>
                <w:sz w:val="18"/>
                <w:szCs w:val="18"/>
              </w:rPr>
              <w:t>Į mokslo ir studijų institucijas panaudojant ESF investicijas pritraukti tyrėjai iš užsienio</w:t>
            </w:r>
          </w:p>
        </w:tc>
        <w:tc>
          <w:tcPr>
            <w:tcW w:w="1134" w:type="dxa"/>
            <w:shd w:val="clear" w:color="auto" w:fill="auto"/>
            <w:vAlign w:val="center"/>
          </w:tcPr>
          <w:p w:rsidR="00385835" w:rsidRPr="00385835" w:rsidRDefault="00385835" w:rsidP="00385835">
            <w:pPr>
              <w:spacing w:after="0" w:line="240" w:lineRule="auto"/>
              <w:jc w:val="center"/>
              <w:rPr>
                <w:rFonts w:ascii="Times New Roman" w:hAnsi="Times New Roman"/>
                <w:sz w:val="18"/>
                <w:szCs w:val="18"/>
              </w:rPr>
            </w:pPr>
            <w:r w:rsidRPr="00385835">
              <w:rPr>
                <w:rFonts w:ascii="Times New Roman" w:hAnsi="Times New Roman"/>
                <w:sz w:val="18"/>
                <w:szCs w:val="18"/>
              </w:rPr>
              <w:t>Skaičius</w:t>
            </w:r>
          </w:p>
        </w:tc>
        <w:tc>
          <w:tcPr>
            <w:tcW w:w="850" w:type="dxa"/>
            <w:shd w:val="clear" w:color="auto" w:fill="auto"/>
            <w:vAlign w:val="center"/>
          </w:tcPr>
          <w:p w:rsidR="00385835" w:rsidRPr="00385835" w:rsidRDefault="00385835" w:rsidP="00385835">
            <w:pPr>
              <w:spacing w:after="0" w:line="240" w:lineRule="auto"/>
              <w:jc w:val="center"/>
              <w:rPr>
                <w:rFonts w:ascii="Times New Roman" w:hAnsi="Times New Roman"/>
                <w:sz w:val="18"/>
                <w:szCs w:val="18"/>
              </w:rPr>
            </w:pPr>
            <w:r w:rsidRPr="00385835">
              <w:rPr>
                <w:rFonts w:ascii="Times New Roman" w:hAnsi="Times New Roman"/>
                <w:sz w:val="18"/>
                <w:szCs w:val="18"/>
              </w:rPr>
              <w:t>ESF</w:t>
            </w:r>
          </w:p>
        </w:tc>
        <w:tc>
          <w:tcPr>
            <w:tcW w:w="1134" w:type="dxa"/>
            <w:shd w:val="clear" w:color="auto" w:fill="auto"/>
            <w:vAlign w:val="center"/>
          </w:tcPr>
          <w:p w:rsidR="00385835" w:rsidRPr="00385835" w:rsidRDefault="00385835" w:rsidP="00385835">
            <w:pPr>
              <w:spacing w:after="0" w:line="240" w:lineRule="auto"/>
              <w:jc w:val="center"/>
              <w:rPr>
                <w:rFonts w:ascii="Times New Roman" w:hAnsi="Times New Roman"/>
                <w:sz w:val="18"/>
                <w:szCs w:val="18"/>
              </w:rPr>
            </w:pPr>
            <w:r w:rsidRPr="00385835">
              <w:rPr>
                <w:rFonts w:ascii="Times New Roman" w:hAnsi="Times New Roman"/>
                <w:sz w:val="18"/>
                <w:szCs w:val="18"/>
              </w:rPr>
              <w:t>Mažiau išsivystęs</w:t>
            </w:r>
          </w:p>
        </w:tc>
        <w:tc>
          <w:tcPr>
            <w:tcW w:w="992" w:type="dxa"/>
            <w:shd w:val="clear" w:color="auto" w:fill="auto"/>
            <w:vAlign w:val="center"/>
          </w:tcPr>
          <w:p w:rsidR="00385835" w:rsidRPr="00385835" w:rsidRDefault="00385835" w:rsidP="00385835">
            <w:pPr>
              <w:spacing w:after="0" w:line="240" w:lineRule="auto"/>
              <w:jc w:val="center"/>
              <w:rPr>
                <w:rFonts w:ascii="Times New Roman" w:hAnsi="Times New Roman"/>
                <w:sz w:val="18"/>
                <w:szCs w:val="18"/>
              </w:rPr>
            </w:pPr>
            <w:r w:rsidRPr="00385835">
              <w:rPr>
                <w:rFonts w:ascii="Times New Roman" w:hAnsi="Times New Roman"/>
                <w:sz w:val="18"/>
                <w:szCs w:val="18"/>
              </w:rPr>
              <w:t>600</w:t>
            </w:r>
          </w:p>
        </w:tc>
        <w:tc>
          <w:tcPr>
            <w:tcW w:w="1134" w:type="dxa"/>
            <w:shd w:val="clear" w:color="auto" w:fill="auto"/>
            <w:vAlign w:val="center"/>
          </w:tcPr>
          <w:p w:rsidR="00385835" w:rsidRPr="00385835" w:rsidRDefault="00385835" w:rsidP="00385835">
            <w:pPr>
              <w:spacing w:after="0" w:line="240" w:lineRule="auto"/>
              <w:jc w:val="center"/>
              <w:rPr>
                <w:rFonts w:ascii="Times New Roman" w:hAnsi="Times New Roman"/>
                <w:sz w:val="18"/>
                <w:szCs w:val="18"/>
              </w:rPr>
            </w:pPr>
            <w:r w:rsidRPr="00385835">
              <w:rPr>
                <w:rFonts w:ascii="Times New Roman" w:hAnsi="Times New Roman"/>
                <w:sz w:val="18"/>
                <w:szCs w:val="18"/>
              </w:rPr>
              <w:t>Duomenys iš projektų</w:t>
            </w:r>
          </w:p>
        </w:tc>
        <w:tc>
          <w:tcPr>
            <w:tcW w:w="124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bCs/>
                <w:iCs/>
                <w:sz w:val="18"/>
                <w:szCs w:val="18"/>
                <w:lang w:eastAsia="lt-LT"/>
              </w:rPr>
              <w:t>Kartą per metus</w:t>
            </w:r>
          </w:p>
        </w:tc>
      </w:tr>
      <w:tr w:rsidR="00385835" w:rsidRPr="00385835" w:rsidTr="00385835">
        <w:tblPrEx>
          <w:shd w:val="clear" w:color="auto" w:fill="auto"/>
        </w:tblPrEx>
        <w:tc>
          <w:tcPr>
            <w:tcW w:w="56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9.</w:t>
            </w:r>
          </w:p>
        </w:tc>
        <w:tc>
          <w:tcPr>
            <w:tcW w:w="2694" w:type="dxa"/>
            <w:shd w:val="clear" w:color="auto" w:fill="auto"/>
            <w:vAlign w:val="center"/>
          </w:tcPr>
          <w:p w:rsidR="00385835" w:rsidRPr="00385835" w:rsidRDefault="00385835" w:rsidP="00385835">
            <w:pPr>
              <w:spacing w:after="0" w:line="240" w:lineRule="auto"/>
              <w:contextualSpacing/>
              <w:rPr>
                <w:rFonts w:ascii="Times New Roman" w:hAnsi="Times New Roman"/>
                <w:sz w:val="18"/>
                <w:szCs w:val="18"/>
              </w:rPr>
            </w:pPr>
            <w:r w:rsidRPr="00385835">
              <w:rPr>
                <w:rFonts w:ascii="Times New Roman" w:hAnsi="Times New Roman"/>
                <w:sz w:val="18"/>
                <w:szCs w:val="18"/>
              </w:rPr>
              <w:t>Į užsienį panaudojant ESF investicijas tobulinti profesinių žinių išvykę tyrėjai</w:t>
            </w:r>
          </w:p>
        </w:tc>
        <w:tc>
          <w:tcPr>
            <w:tcW w:w="1134" w:type="dxa"/>
            <w:shd w:val="clear" w:color="auto" w:fill="auto"/>
            <w:vAlign w:val="center"/>
          </w:tcPr>
          <w:p w:rsidR="00385835" w:rsidRPr="00385835" w:rsidDel="009647C8" w:rsidRDefault="00385835" w:rsidP="00385835">
            <w:pPr>
              <w:spacing w:after="0" w:line="240" w:lineRule="auto"/>
              <w:jc w:val="center"/>
              <w:rPr>
                <w:rFonts w:ascii="Times New Roman" w:hAnsi="Times New Roman"/>
                <w:sz w:val="18"/>
                <w:szCs w:val="18"/>
              </w:rPr>
            </w:pPr>
            <w:r w:rsidRPr="00385835">
              <w:rPr>
                <w:rFonts w:ascii="Times New Roman" w:hAnsi="Times New Roman"/>
                <w:sz w:val="18"/>
                <w:szCs w:val="18"/>
              </w:rPr>
              <w:t>Skaičius</w:t>
            </w:r>
          </w:p>
        </w:tc>
        <w:tc>
          <w:tcPr>
            <w:tcW w:w="850" w:type="dxa"/>
            <w:shd w:val="clear" w:color="auto" w:fill="auto"/>
            <w:vAlign w:val="center"/>
          </w:tcPr>
          <w:p w:rsidR="00385835" w:rsidRPr="00385835" w:rsidRDefault="00385835" w:rsidP="00385835">
            <w:pPr>
              <w:spacing w:after="0" w:line="240" w:lineRule="auto"/>
              <w:jc w:val="center"/>
              <w:rPr>
                <w:rFonts w:ascii="Times New Roman" w:hAnsi="Times New Roman"/>
                <w:sz w:val="18"/>
                <w:szCs w:val="18"/>
              </w:rPr>
            </w:pPr>
            <w:r w:rsidRPr="00385835">
              <w:rPr>
                <w:rFonts w:ascii="Times New Roman" w:hAnsi="Times New Roman"/>
                <w:sz w:val="18"/>
                <w:szCs w:val="18"/>
              </w:rPr>
              <w:t>ESF</w:t>
            </w:r>
          </w:p>
        </w:tc>
        <w:tc>
          <w:tcPr>
            <w:tcW w:w="1134" w:type="dxa"/>
            <w:shd w:val="clear" w:color="auto" w:fill="auto"/>
            <w:vAlign w:val="center"/>
          </w:tcPr>
          <w:p w:rsidR="00385835" w:rsidRPr="00385835" w:rsidRDefault="00385835" w:rsidP="00385835">
            <w:pPr>
              <w:spacing w:after="0" w:line="240" w:lineRule="auto"/>
              <w:jc w:val="center"/>
              <w:rPr>
                <w:sz w:val="18"/>
                <w:szCs w:val="18"/>
              </w:rPr>
            </w:pPr>
            <w:r w:rsidRPr="00385835">
              <w:rPr>
                <w:rFonts w:ascii="Times New Roman" w:hAnsi="Times New Roman"/>
                <w:sz w:val="18"/>
                <w:szCs w:val="18"/>
              </w:rPr>
              <w:t>Mažiau išsivystęs</w:t>
            </w:r>
          </w:p>
        </w:tc>
        <w:tc>
          <w:tcPr>
            <w:tcW w:w="992" w:type="dxa"/>
            <w:shd w:val="clear" w:color="auto" w:fill="auto"/>
            <w:vAlign w:val="center"/>
          </w:tcPr>
          <w:p w:rsidR="00385835" w:rsidRPr="00385835" w:rsidRDefault="00385835" w:rsidP="00A50C23">
            <w:pPr>
              <w:spacing w:after="0" w:line="240" w:lineRule="auto"/>
              <w:jc w:val="center"/>
              <w:rPr>
                <w:rFonts w:ascii="Times New Roman" w:hAnsi="Times New Roman"/>
                <w:sz w:val="18"/>
                <w:szCs w:val="18"/>
              </w:rPr>
            </w:pPr>
            <w:r w:rsidRPr="00385835">
              <w:rPr>
                <w:rFonts w:ascii="Times New Roman" w:hAnsi="Times New Roman"/>
                <w:sz w:val="18"/>
                <w:szCs w:val="18"/>
              </w:rPr>
              <w:t>1</w:t>
            </w:r>
            <w:r w:rsidR="00A50C23">
              <w:rPr>
                <w:rFonts w:ascii="Times New Roman" w:hAnsi="Times New Roman"/>
                <w:sz w:val="18"/>
                <w:szCs w:val="18"/>
              </w:rPr>
              <w:t>.</w:t>
            </w:r>
            <w:r w:rsidRPr="00385835">
              <w:rPr>
                <w:rFonts w:ascii="Times New Roman" w:hAnsi="Times New Roman"/>
                <w:sz w:val="18"/>
                <w:szCs w:val="18"/>
              </w:rPr>
              <w:t>100</w:t>
            </w:r>
          </w:p>
        </w:tc>
        <w:tc>
          <w:tcPr>
            <w:tcW w:w="1134" w:type="dxa"/>
            <w:shd w:val="clear" w:color="auto" w:fill="auto"/>
            <w:vAlign w:val="center"/>
          </w:tcPr>
          <w:p w:rsidR="00385835" w:rsidRPr="00385835" w:rsidRDefault="00385835" w:rsidP="00385835">
            <w:pPr>
              <w:spacing w:after="0" w:line="240" w:lineRule="auto"/>
              <w:jc w:val="center"/>
              <w:rPr>
                <w:rFonts w:ascii="Times New Roman" w:hAnsi="Times New Roman"/>
                <w:sz w:val="18"/>
                <w:szCs w:val="18"/>
              </w:rPr>
            </w:pPr>
            <w:r w:rsidRPr="00385835">
              <w:rPr>
                <w:rFonts w:ascii="Times New Roman" w:hAnsi="Times New Roman"/>
                <w:sz w:val="18"/>
                <w:szCs w:val="18"/>
              </w:rPr>
              <w:t>Duomenys iš projektų</w:t>
            </w:r>
          </w:p>
        </w:tc>
        <w:tc>
          <w:tcPr>
            <w:tcW w:w="124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bCs/>
                <w:iCs/>
                <w:sz w:val="18"/>
                <w:szCs w:val="18"/>
                <w:lang w:eastAsia="lt-LT"/>
              </w:rPr>
              <w:t>Kartą per metus</w:t>
            </w:r>
          </w:p>
        </w:tc>
      </w:tr>
      <w:tr w:rsidR="00385835" w:rsidRPr="00385835" w:rsidTr="00385835">
        <w:tblPrEx>
          <w:shd w:val="clear" w:color="auto" w:fill="auto"/>
        </w:tblPrEx>
        <w:tc>
          <w:tcPr>
            <w:tcW w:w="56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10.</w:t>
            </w:r>
          </w:p>
        </w:tc>
        <w:tc>
          <w:tcPr>
            <w:tcW w:w="2694" w:type="dxa"/>
            <w:shd w:val="clear" w:color="auto" w:fill="auto"/>
            <w:vAlign w:val="center"/>
          </w:tcPr>
          <w:p w:rsidR="00385835" w:rsidRPr="00385835" w:rsidRDefault="00385835" w:rsidP="00385835">
            <w:pPr>
              <w:spacing w:after="0" w:line="240" w:lineRule="auto"/>
              <w:rPr>
                <w:sz w:val="18"/>
                <w:szCs w:val="18"/>
              </w:rPr>
            </w:pPr>
            <w:r w:rsidRPr="00385835">
              <w:rPr>
                <w:rFonts w:ascii="Times New Roman" w:hAnsi="Times New Roman"/>
                <w:sz w:val="18"/>
                <w:szCs w:val="18"/>
              </w:rPr>
              <w:t>Asmenys, kurie dalyvavo ESF veiklose, skirtose doktorantūrai</w:t>
            </w:r>
          </w:p>
        </w:tc>
        <w:tc>
          <w:tcPr>
            <w:tcW w:w="1134" w:type="dxa"/>
            <w:shd w:val="clear" w:color="auto" w:fill="auto"/>
            <w:vAlign w:val="center"/>
          </w:tcPr>
          <w:p w:rsidR="00385835" w:rsidRPr="00385835" w:rsidDel="009647C8" w:rsidRDefault="00385835" w:rsidP="00385835">
            <w:pPr>
              <w:spacing w:after="0" w:line="240" w:lineRule="auto"/>
              <w:jc w:val="center"/>
              <w:rPr>
                <w:rFonts w:ascii="Times New Roman" w:hAnsi="Times New Roman"/>
                <w:sz w:val="18"/>
                <w:szCs w:val="18"/>
              </w:rPr>
            </w:pPr>
            <w:r w:rsidRPr="00385835">
              <w:rPr>
                <w:rFonts w:ascii="Times New Roman" w:hAnsi="Times New Roman"/>
                <w:sz w:val="18"/>
                <w:szCs w:val="18"/>
              </w:rPr>
              <w:t>Skaičius</w:t>
            </w:r>
          </w:p>
        </w:tc>
        <w:tc>
          <w:tcPr>
            <w:tcW w:w="850" w:type="dxa"/>
            <w:shd w:val="clear" w:color="auto" w:fill="auto"/>
            <w:vAlign w:val="center"/>
          </w:tcPr>
          <w:p w:rsidR="00385835" w:rsidRPr="00385835" w:rsidRDefault="00385835" w:rsidP="00385835">
            <w:pPr>
              <w:spacing w:after="0" w:line="240" w:lineRule="auto"/>
              <w:jc w:val="center"/>
              <w:rPr>
                <w:rFonts w:ascii="Times New Roman" w:hAnsi="Times New Roman"/>
                <w:sz w:val="18"/>
                <w:szCs w:val="18"/>
              </w:rPr>
            </w:pPr>
            <w:r w:rsidRPr="00385835">
              <w:rPr>
                <w:rFonts w:ascii="Times New Roman" w:hAnsi="Times New Roman"/>
                <w:sz w:val="18"/>
                <w:szCs w:val="18"/>
              </w:rPr>
              <w:t>ESF</w:t>
            </w:r>
          </w:p>
        </w:tc>
        <w:tc>
          <w:tcPr>
            <w:tcW w:w="1134" w:type="dxa"/>
            <w:shd w:val="clear" w:color="auto" w:fill="auto"/>
            <w:vAlign w:val="center"/>
          </w:tcPr>
          <w:p w:rsidR="00385835" w:rsidRPr="00385835" w:rsidRDefault="00385835" w:rsidP="00385835">
            <w:pPr>
              <w:spacing w:after="0" w:line="240" w:lineRule="auto"/>
              <w:jc w:val="center"/>
              <w:rPr>
                <w:sz w:val="18"/>
                <w:szCs w:val="18"/>
              </w:rPr>
            </w:pPr>
            <w:r w:rsidRPr="00385835">
              <w:rPr>
                <w:rFonts w:ascii="Times New Roman" w:hAnsi="Times New Roman"/>
                <w:sz w:val="18"/>
                <w:szCs w:val="18"/>
              </w:rPr>
              <w:t>Mažiau išsivystęs</w:t>
            </w:r>
          </w:p>
        </w:tc>
        <w:tc>
          <w:tcPr>
            <w:tcW w:w="992" w:type="dxa"/>
            <w:shd w:val="clear" w:color="auto" w:fill="auto"/>
            <w:vAlign w:val="center"/>
          </w:tcPr>
          <w:p w:rsidR="00385835" w:rsidRPr="00385835" w:rsidRDefault="00385835" w:rsidP="00385835">
            <w:pPr>
              <w:spacing w:after="0" w:line="240" w:lineRule="auto"/>
              <w:jc w:val="center"/>
              <w:rPr>
                <w:rFonts w:ascii="Times New Roman" w:hAnsi="Times New Roman"/>
                <w:sz w:val="18"/>
                <w:szCs w:val="18"/>
              </w:rPr>
            </w:pPr>
            <w:r w:rsidRPr="00385835">
              <w:rPr>
                <w:rFonts w:ascii="Times New Roman" w:hAnsi="Times New Roman"/>
                <w:sz w:val="18"/>
                <w:szCs w:val="18"/>
              </w:rPr>
              <w:t>380</w:t>
            </w:r>
          </w:p>
        </w:tc>
        <w:tc>
          <w:tcPr>
            <w:tcW w:w="1134" w:type="dxa"/>
            <w:shd w:val="clear" w:color="auto" w:fill="auto"/>
            <w:vAlign w:val="center"/>
          </w:tcPr>
          <w:p w:rsidR="00385835" w:rsidRPr="00385835" w:rsidRDefault="00385835" w:rsidP="00385835">
            <w:pPr>
              <w:spacing w:after="0" w:line="240" w:lineRule="auto"/>
              <w:jc w:val="center"/>
              <w:rPr>
                <w:rFonts w:ascii="Times New Roman" w:hAnsi="Times New Roman"/>
                <w:sz w:val="18"/>
                <w:szCs w:val="18"/>
              </w:rPr>
            </w:pPr>
            <w:r w:rsidRPr="00385835">
              <w:rPr>
                <w:rFonts w:ascii="Times New Roman" w:hAnsi="Times New Roman"/>
                <w:sz w:val="18"/>
                <w:szCs w:val="18"/>
              </w:rPr>
              <w:t>Duomenys iš projektų</w:t>
            </w:r>
          </w:p>
        </w:tc>
        <w:tc>
          <w:tcPr>
            <w:tcW w:w="124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bCs/>
                <w:iCs/>
                <w:sz w:val="18"/>
                <w:szCs w:val="18"/>
                <w:lang w:eastAsia="lt-LT"/>
              </w:rPr>
              <w:t>Kartą per metus</w:t>
            </w:r>
          </w:p>
        </w:tc>
      </w:tr>
      <w:tr w:rsidR="00385835" w:rsidRPr="00385835" w:rsidTr="00385835">
        <w:tblPrEx>
          <w:shd w:val="clear" w:color="auto" w:fill="auto"/>
        </w:tblPrEx>
        <w:tc>
          <w:tcPr>
            <w:tcW w:w="56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11.</w:t>
            </w:r>
          </w:p>
        </w:tc>
        <w:tc>
          <w:tcPr>
            <w:tcW w:w="2694" w:type="dxa"/>
            <w:shd w:val="clear" w:color="auto" w:fill="auto"/>
            <w:vAlign w:val="center"/>
          </w:tcPr>
          <w:p w:rsidR="00385835" w:rsidRPr="00385835" w:rsidRDefault="00385835" w:rsidP="00385835">
            <w:pPr>
              <w:spacing w:after="0" w:line="240" w:lineRule="auto"/>
              <w:rPr>
                <w:sz w:val="18"/>
                <w:szCs w:val="18"/>
              </w:rPr>
            </w:pPr>
            <w:r w:rsidRPr="00385835">
              <w:rPr>
                <w:rFonts w:ascii="Times New Roman" w:hAnsi="Times New Roman"/>
                <w:sz w:val="18"/>
                <w:szCs w:val="18"/>
              </w:rPr>
              <w:t>Tyrėjai, kurie dalyvavo ESF veiklose, skirtose mokytis pagal neformaliojo švietimo programas</w:t>
            </w:r>
          </w:p>
        </w:tc>
        <w:tc>
          <w:tcPr>
            <w:tcW w:w="1134" w:type="dxa"/>
            <w:shd w:val="clear" w:color="auto" w:fill="auto"/>
            <w:vAlign w:val="center"/>
          </w:tcPr>
          <w:p w:rsidR="00385835" w:rsidRPr="00385835" w:rsidRDefault="00385835" w:rsidP="00385835">
            <w:pPr>
              <w:spacing w:after="0" w:line="240" w:lineRule="auto"/>
              <w:jc w:val="center"/>
              <w:rPr>
                <w:rFonts w:ascii="Times New Roman" w:hAnsi="Times New Roman"/>
                <w:sz w:val="18"/>
                <w:szCs w:val="18"/>
              </w:rPr>
            </w:pPr>
            <w:r w:rsidRPr="00385835">
              <w:rPr>
                <w:rFonts w:ascii="Times New Roman" w:hAnsi="Times New Roman"/>
                <w:sz w:val="18"/>
                <w:szCs w:val="18"/>
              </w:rPr>
              <w:t>Skaičius</w:t>
            </w:r>
          </w:p>
        </w:tc>
        <w:tc>
          <w:tcPr>
            <w:tcW w:w="850" w:type="dxa"/>
            <w:shd w:val="clear" w:color="auto" w:fill="auto"/>
            <w:vAlign w:val="center"/>
          </w:tcPr>
          <w:p w:rsidR="00385835" w:rsidRPr="00385835" w:rsidRDefault="00385835" w:rsidP="00385835">
            <w:pPr>
              <w:spacing w:after="0" w:line="240" w:lineRule="auto"/>
              <w:jc w:val="center"/>
              <w:rPr>
                <w:rFonts w:ascii="Times New Roman" w:hAnsi="Times New Roman"/>
                <w:sz w:val="18"/>
                <w:szCs w:val="18"/>
              </w:rPr>
            </w:pPr>
            <w:r w:rsidRPr="00385835">
              <w:rPr>
                <w:rFonts w:ascii="Times New Roman" w:hAnsi="Times New Roman"/>
                <w:sz w:val="18"/>
                <w:szCs w:val="18"/>
              </w:rPr>
              <w:t>ESF</w:t>
            </w:r>
          </w:p>
        </w:tc>
        <w:tc>
          <w:tcPr>
            <w:tcW w:w="1134" w:type="dxa"/>
            <w:shd w:val="clear" w:color="auto" w:fill="auto"/>
            <w:vAlign w:val="center"/>
          </w:tcPr>
          <w:p w:rsidR="00385835" w:rsidRPr="00385835" w:rsidRDefault="00385835" w:rsidP="00385835">
            <w:pPr>
              <w:spacing w:after="0" w:line="240" w:lineRule="auto"/>
              <w:jc w:val="center"/>
              <w:rPr>
                <w:sz w:val="18"/>
                <w:szCs w:val="18"/>
              </w:rPr>
            </w:pPr>
            <w:r w:rsidRPr="00385835">
              <w:rPr>
                <w:rFonts w:ascii="Times New Roman" w:hAnsi="Times New Roman"/>
                <w:sz w:val="18"/>
                <w:szCs w:val="18"/>
              </w:rPr>
              <w:t>Mažiau išsivystęs</w:t>
            </w:r>
          </w:p>
        </w:tc>
        <w:tc>
          <w:tcPr>
            <w:tcW w:w="992" w:type="dxa"/>
            <w:shd w:val="clear" w:color="auto" w:fill="auto"/>
            <w:vAlign w:val="center"/>
          </w:tcPr>
          <w:p w:rsidR="00385835" w:rsidRPr="00385835" w:rsidRDefault="00385835" w:rsidP="00A50C23">
            <w:pPr>
              <w:spacing w:after="0" w:line="240" w:lineRule="auto"/>
              <w:jc w:val="center"/>
              <w:rPr>
                <w:rFonts w:ascii="Times New Roman" w:hAnsi="Times New Roman"/>
                <w:sz w:val="18"/>
                <w:szCs w:val="18"/>
              </w:rPr>
            </w:pPr>
            <w:r w:rsidRPr="00385835">
              <w:rPr>
                <w:rFonts w:ascii="Times New Roman" w:hAnsi="Times New Roman"/>
                <w:sz w:val="18"/>
                <w:szCs w:val="18"/>
              </w:rPr>
              <w:t>2</w:t>
            </w:r>
            <w:r w:rsidR="00A50C23">
              <w:rPr>
                <w:rFonts w:ascii="Times New Roman" w:hAnsi="Times New Roman"/>
                <w:sz w:val="18"/>
                <w:szCs w:val="18"/>
              </w:rPr>
              <w:t>.</w:t>
            </w:r>
            <w:r w:rsidRPr="00385835">
              <w:rPr>
                <w:rFonts w:ascii="Times New Roman" w:hAnsi="Times New Roman"/>
                <w:sz w:val="18"/>
                <w:szCs w:val="18"/>
              </w:rPr>
              <w:t>200</w:t>
            </w:r>
          </w:p>
        </w:tc>
        <w:tc>
          <w:tcPr>
            <w:tcW w:w="1134" w:type="dxa"/>
            <w:shd w:val="clear" w:color="auto" w:fill="auto"/>
            <w:vAlign w:val="center"/>
          </w:tcPr>
          <w:p w:rsidR="00385835" w:rsidRPr="00385835" w:rsidRDefault="00385835" w:rsidP="00385835">
            <w:pPr>
              <w:spacing w:after="0" w:line="240" w:lineRule="auto"/>
              <w:jc w:val="center"/>
              <w:rPr>
                <w:rFonts w:ascii="Times New Roman" w:hAnsi="Times New Roman"/>
                <w:sz w:val="18"/>
                <w:szCs w:val="18"/>
              </w:rPr>
            </w:pPr>
            <w:r w:rsidRPr="00385835">
              <w:rPr>
                <w:rFonts w:ascii="Times New Roman" w:hAnsi="Times New Roman"/>
                <w:sz w:val="18"/>
                <w:szCs w:val="18"/>
              </w:rPr>
              <w:t>Duomenys iš projektų</w:t>
            </w:r>
          </w:p>
        </w:tc>
        <w:tc>
          <w:tcPr>
            <w:tcW w:w="124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bCs/>
                <w:iCs/>
                <w:sz w:val="18"/>
                <w:szCs w:val="18"/>
                <w:lang w:eastAsia="lt-LT"/>
              </w:rPr>
              <w:t>Kartą per metus</w:t>
            </w:r>
          </w:p>
        </w:tc>
      </w:tr>
      <w:tr w:rsidR="00385835" w:rsidRPr="00385835" w:rsidTr="00385835">
        <w:tblPrEx>
          <w:shd w:val="clear" w:color="auto" w:fill="auto"/>
        </w:tblPrEx>
        <w:tc>
          <w:tcPr>
            <w:tcW w:w="567" w:type="dxa"/>
            <w:shd w:val="clear" w:color="auto" w:fill="auto"/>
            <w:vAlign w:val="center"/>
          </w:tcPr>
          <w:p w:rsidR="00385835" w:rsidRPr="00385835" w:rsidDel="00623A0C"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12.</w:t>
            </w:r>
          </w:p>
        </w:tc>
        <w:tc>
          <w:tcPr>
            <w:tcW w:w="2694" w:type="dxa"/>
            <w:shd w:val="clear" w:color="auto" w:fill="auto"/>
            <w:vAlign w:val="center"/>
          </w:tcPr>
          <w:p w:rsidR="00385835" w:rsidRPr="00385835" w:rsidRDefault="00385835" w:rsidP="00385835">
            <w:pPr>
              <w:spacing w:after="0" w:line="240" w:lineRule="auto"/>
              <w:rPr>
                <w:rFonts w:ascii="Times New Roman" w:hAnsi="Times New Roman"/>
                <w:sz w:val="18"/>
                <w:szCs w:val="18"/>
              </w:rPr>
            </w:pPr>
            <w:r w:rsidRPr="00385835">
              <w:rPr>
                <w:rFonts w:ascii="Times New Roman" w:hAnsi="Times New Roman"/>
                <w:sz w:val="18"/>
                <w:szCs w:val="18"/>
              </w:rPr>
              <w:t>Įgyvendinti MTEP projektai</w:t>
            </w:r>
          </w:p>
        </w:tc>
        <w:tc>
          <w:tcPr>
            <w:tcW w:w="1134" w:type="dxa"/>
            <w:shd w:val="clear" w:color="auto" w:fill="auto"/>
            <w:vAlign w:val="center"/>
          </w:tcPr>
          <w:p w:rsidR="00385835" w:rsidRPr="00385835" w:rsidRDefault="00385835" w:rsidP="00385835">
            <w:pPr>
              <w:spacing w:after="0" w:line="240" w:lineRule="auto"/>
              <w:jc w:val="center"/>
              <w:rPr>
                <w:rFonts w:ascii="Times New Roman" w:hAnsi="Times New Roman"/>
                <w:sz w:val="18"/>
                <w:szCs w:val="18"/>
              </w:rPr>
            </w:pPr>
            <w:r w:rsidRPr="00385835">
              <w:rPr>
                <w:rFonts w:ascii="Times New Roman" w:hAnsi="Times New Roman"/>
                <w:sz w:val="18"/>
                <w:szCs w:val="18"/>
              </w:rPr>
              <w:t>Skaičius</w:t>
            </w:r>
          </w:p>
        </w:tc>
        <w:tc>
          <w:tcPr>
            <w:tcW w:w="850" w:type="dxa"/>
            <w:shd w:val="clear" w:color="auto" w:fill="auto"/>
            <w:vAlign w:val="center"/>
          </w:tcPr>
          <w:p w:rsidR="00385835" w:rsidRPr="00385835" w:rsidRDefault="00385835" w:rsidP="00385835">
            <w:pPr>
              <w:spacing w:after="0" w:line="240" w:lineRule="auto"/>
              <w:jc w:val="center"/>
              <w:rPr>
                <w:rFonts w:ascii="Times New Roman" w:hAnsi="Times New Roman"/>
                <w:sz w:val="18"/>
                <w:szCs w:val="18"/>
              </w:rPr>
            </w:pPr>
            <w:r w:rsidRPr="00385835">
              <w:rPr>
                <w:rFonts w:ascii="Times New Roman" w:hAnsi="Times New Roman"/>
                <w:sz w:val="18"/>
                <w:szCs w:val="18"/>
              </w:rPr>
              <w:t>ESF</w:t>
            </w:r>
          </w:p>
        </w:tc>
        <w:tc>
          <w:tcPr>
            <w:tcW w:w="1134" w:type="dxa"/>
            <w:shd w:val="clear" w:color="auto" w:fill="auto"/>
            <w:vAlign w:val="center"/>
          </w:tcPr>
          <w:p w:rsidR="00385835" w:rsidRPr="00385835" w:rsidRDefault="00385835" w:rsidP="00385835">
            <w:pPr>
              <w:spacing w:after="0" w:line="240" w:lineRule="auto"/>
              <w:jc w:val="center"/>
              <w:rPr>
                <w:rFonts w:ascii="Times New Roman" w:hAnsi="Times New Roman"/>
                <w:sz w:val="18"/>
                <w:szCs w:val="18"/>
              </w:rPr>
            </w:pPr>
            <w:r w:rsidRPr="00385835">
              <w:rPr>
                <w:rFonts w:ascii="Times New Roman" w:hAnsi="Times New Roman"/>
                <w:sz w:val="18"/>
                <w:szCs w:val="18"/>
              </w:rPr>
              <w:t>Mažiau išsivystęs</w:t>
            </w:r>
          </w:p>
        </w:tc>
        <w:tc>
          <w:tcPr>
            <w:tcW w:w="992" w:type="dxa"/>
            <w:shd w:val="clear" w:color="auto" w:fill="auto"/>
            <w:vAlign w:val="center"/>
          </w:tcPr>
          <w:p w:rsidR="00385835" w:rsidRPr="00385835" w:rsidRDefault="00385835" w:rsidP="00385835">
            <w:pPr>
              <w:spacing w:after="0" w:line="240" w:lineRule="auto"/>
              <w:jc w:val="center"/>
              <w:rPr>
                <w:rFonts w:ascii="Times New Roman" w:hAnsi="Times New Roman"/>
                <w:sz w:val="18"/>
                <w:szCs w:val="18"/>
              </w:rPr>
            </w:pPr>
            <w:r w:rsidRPr="00385835">
              <w:rPr>
                <w:rFonts w:ascii="Times New Roman" w:hAnsi="Times New Roman"/>
                <w:sz w:val="18"/>
                <w:szCs w:val="18"/>
              </w:rPr>
              <w:t>80</w:t>
            </w:r>
          </w:p>
        </w:tc>
        <w:tc>
          <w:tcPr>
            <w:tcW w:w="1134" w:type="dxa"/>
            <w:shd w:val="clear" w:color="auto" w:fill="auto"/>
            <w:vAlign w:val="center"/>
          </w:tcPr>
          <w:p w:rsidR="00385835" w:rsidRPr="00385835" w:rsidRDefault="00385835" w:rsidP="00385835">
            <w:pPr>
              <w:spacing w:after="0" w:line="240" w:lineRule="auto"/>
              <w:jc w:val="center"/>
              <w:rPr>
                <w:rFonts w:ascii="Times New Roman" w:hAnsi="Times New Roman"/>
                <w:sz w:val="18"/>
                <w:szCs w:val="18"/>
              </w:rPr>
            </w:pPr>
            <w:r w:rsidRPr="00385835">
              <w:rPr>
                <w:rFonts w:ascii="Times New Roman" w:hAnsi="Times New Roman"/>
                <w:sz w:val="18"/>
                <w:szCs w:val="18"/>
              </w:rPr>
              <w:t>Duomenys iš projektų</w:t>
            </w:r>
          </w:p>
        </w:tc>
        <w:tc>
          <w:tcPr>
            <w:tcW w:w="124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bCs/>
                <w:iCs/>
                <w:sz w:val="18"/>
                <w:szCs w:val="18"/>
                <w:lang w:eastAsia="lt-LT"/>
              </w:rPr>
            </w:pPr>
            <w:r w:rsidRPr="00385835">
              <w:rPr>
                <w:rFonts w:ascii="Times New Roman" w:hAnsi="Times New Roman"/>
                <w:bCs/>
                <w:iCs/>
                <w:sz w:val="18"/>
                <w:szCs w:val="18"/>
                <w:lang w:eastAsia="lt-LT"/>
              </w:rPr>
              <w:t>Kartą per metus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vAlign w:val="center"/>
          </w:tcPr>
          <w:p w:rsidR="00385835" w:rsidRPr="00385835" w:rsidRDefault="00385835" w:rsidP="00385835">
            <w:pPr>
              <w:widowControl w:val="0"/>
              <w:tabs>
                <w:tab w:val="left" w:pos="622"/>
              </w:tabs>
              <w:spacing w:after="0" w:line="240" w:lineRule="auto"/>
              <w:rPr>
                <w:rFonts w:ascii="Times New Roman" w:eastAsia="AngsanaUPC" w:hAnsi="Times New Roman"/>
                <w:b/>
                <w:bCs/>
                <w:iCs/>
                <w:sz w:val="24"/>
                <w:szCs w:val="24"/>
                <w:lang w:eastAsia="lt-LT"/>
              </w:rPr>
            </w:pPr>
            <w:r w:rsidRPr="00385835">
              <w:rPr>
                <w:rFonts w:ascii="Times New Roman" w:eastAsia="AngsanaUPC" w:hAnsi="Times New Roman"/>
                <w:b/>
                <w:bCs/>
                <w:iCs/>
                <w:sz w:val="24"/>
                <w:szCs w:val="24"/>
                <w:lang w:eastAsia="lt-LT"/>
              </w:rPr>
              <w:t>9.4. INVESTICINIS PRIORITETAS</w:t>
            </w:r>
          </w:p>
        </w:tc>
        <w:tc>
          <w:tcPr>
            <w:tcW w:w="7336" w:type="dxa"/>
            <w:shd w:val="clear" w:color="auto" w:fill="EEECE1"/>
            <w:vAlign w:val="center"/>
          </w:tcPr>
          <w:p w:rsidR="00385835" w:rsidRPr="00385835" w:rsidRDefault="00385835" w:rsidP="00385835">
            <w:pPr>
              <w:widowControl w:val="0"/>
              <w:tabs>
                <w:tab w:val="left" w:pos="622"/>
              </w:tabs>
              <w:spacing w:after="0" w:line="240" w:lineRule="auto"/>
              <w:jc w:val="both"/>
              <w:rPr>
                <w:rFonts w:ascii="Times New Roman" w:eastAsia="AngsanaUPC" w:hAnsi="Times New Roman"/>
                <w:b/>
                <w:bCs/>
                <w:iCs/>
                <w:sz w:val="24"/>
                <w:szCs w:val="24"/>
                <w:lang w:eastAsia="lt-LT"/>
              </w:rPr>
            </w:pPr>
            <w:r w:rsidRPr="00385835">
              <w:rPr>
                <w:rFonts w:ascii="Times New Roman" w:hAnsi="Times New Roman"/>
                <w:b/>
                <w:bCs/>
                <w:iCs/>
                <w:sz w:val="24"/>
                <w:szCs w:val="24"/>
                <w:lang w:eastAsia="lt-LT"/>
              </w:rPr>
              <w:t>Vienodų galimybių formaliai, neformaliai ir savarankiškai mokytis visą gyvenimą suteikimas visoms amžiaus grupėms, darbuotojų žinių, įgūdžių ir kompetencijos ugdymas ir lanksčių mokymosi būdų, be kita ko, pasitelkiant profesinį mokymą ir įgytos kompetencijos pripažinimą, skatinimas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FONDAS</w:t>
            </w:r>
          </w:p>
        </w:tc>
        <w:tc>
          <w:tcPr>
            <w:tcW w:w="7336"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Europos socialinis fondas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tcPr>
          <w:p w:rsidR="00385835" w:rsidRPr="00385835" w:rsidRDefault="00385835" w:rsidP="00385835">
            <w:pPr>
              <w:widowControl w:val="0"/>
              <w:tabs>
                <w:tab w:val="left" w:pos="622"/>
              </w:tabs>
              <w:spacing w:after="0" w:line="240" w:lineRule="auto"/>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9.4.1. KONKRETUS UŽDAVINYS</w:t>
            </w:r>
          </w:p>
        </w:tc>
        <w:tc>
          <w:tcPr>
            <w:tcW w:w="7336" w:type="dxa"/>
            <w:shd w:val="clear" w:color="auto" w:fill="EEECE1"/>
            <w:vAlign w:val="center"/>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Padidinti profesinio ir suaugusiųjų mokymo atitiktį darbo rinkos poreikiams ir patrauklumą</w:t>
            </w:r>
          </w:p>
        </w:tc>
      </w:tr>
      <w:tr w:rsidR="00385835" w:rsidRPr="00385835" w:rsidTr="00385835">
        <w:tc>
          <w:tcPr>
            <w:tcW w:w="9746" w:type="dxa"/>
            <w:gridSpan w:val="2"/>
            <w:shd w:val="clear" w:color="auto" w:fill="auto"/>
          </w:tcPr>
          <w:p w:rsidR="00385835" w:rsidRPr="00385835" w:rsidRDefault="00385835" w:rsidP="00385835">
            <w:pPr>
              <w:spacing w:after="0" w:line="240" w:lineRule="auto"/>
              <w:ind w:firstLine="624"/>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 xml:space="preserve">Profesinio ir suaugusiųjų mokymo paslaugos yra nepakankamai kokybiškos. Lietuvos pramoninkų konfederacijos duomenimis, net 44 proc. šalies įmonių 2012 m. nesamdė naujų </w:t>
            </w:r>
            <w:r w:rsidRPr="00385835">
              <w:rPr>
                <w:rFonts w:ascii="Times New Roman" w:eastAsia="AngsanaUPC" w:hAnsi="Times New Roman"/>
                <w:bCs/>
                <w:sz w:val="24"/>
                <w:szCs w:val="24"/>
                <w:lang w:eastAsia="lt-LT"/>
              </w:rPr>
              <w:lastRenderedPageBreak/>
              <w:t>darbuotojų</w:t>
            </w:r>
            <w:proofErr w:type="gramStart"/>
            <w:r w:rsidRPr="00385835">
              <w:rPr>
                <w:rFonts w:ascii="Times New Roman" w:eastAsia="AngsanaUPC" w:hAnsi="Times New Roman"/>
                <w:bCs/>
                <w:sz w:val="24"/>
                <w:szCs w:val="24"/>
                <w:lang w:eastAsia="lt-LT"/>
              </w:rPr>
              <w:t xml:space="preserve"> tik</w:t>
            </w:r>
            <w:proofErr w:type="gramEnd"/>
            <w:r w:rsidRPr="00385835">
              <w:rPr>
                <w:rFonts w:ascii="Times New Roman" w:eastAsia="AngsanaUPC" w:hAnsi="Times New Roman"/>
                <w:bCs/>
                <w:sz w:val="24"/>
                <w:szCs w:val="24"/>
                <w:lang w:eastAsia="lt-LT"/>
              </w:rPr>
              <w:t xml:space="preserve"> todėl, kad nerado kvalifikuotų specialistų. </w:t>
            </w:r>
          </w:p>
          <w:p w:rsidR="00385835" w:rsidRPr="00385835" w:rsidRDefault="00385835" w:rsidP="00385835">
            <w:pPr>
              <w:spacing w:after="0" w:line="240" w:lineRule="auto"/>
              <w:ind w:firstLine="624"/>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Iki 2007–2013 m. programavimo laikotarpio pabaigos bendradarbiaujant su socialiniais partneriais bus parengti ar atnaujinti profesiniai standartai 5 ūkio sektoriams, parengta 40 modulinių profesinio mokymo programų, tačiau šie darbai neapima visų ūkio sektorių ir Lietuvos kvalifikacijų sandara bei šiuolaikiškas švietimo turinys dar nėra baigti formuoti. Lietuvoje vis dar trūksta kryptingo mokymosi visą gyvenimą sampratos populiarinimo, taip pat formuojančių teigiamą profesinio mokymo įvaizdį veiksnių, tokių kaip</w:t>
            </w:r>
            <w:r w:rsidR="00321A13">
              <w:rPr>
                <w:rFonts w:ascii="Times New Roman" w:eastAsia="AngsanaUPC" w:hAnsi="Times New Roman"/>
                <w:bCs/>
                <w:sz w:val="24"/>
                <w:szCs w:val="24"/>
                <w:lang w:eastAsia="lt-LT"/>
              </w:rPr>
              <w:t>,</w:t>
            </w:r>
            <w:r w:rsidRPr="00385835">
              <w:rPr>
                <w:rFonts w:ascii="Times New Roman" w:eastAsia="AngsanaUPC" w:hAnsi="Times New Roman"/>
                <w:bCs/>
                <w:sz w:val="24"/>
                <w:szCs w:val="24"/>
                <w:lang w:eastAsia="lt-LT"/>
              </w:rPr>
              <w:t xml:space="preserve"> karjeros paslaugų plėtojimas orientuojantis į naujas tikslines grupes – suaugusiuosius bei nesimokantį ir nedirbantį jaunimą; įvairiais būdais įgytų kompetencijų ir kvalifikacijų pripažinimo sistemos veiklos užtikrinimas.</w:t>
            </w:r>
          </w:p>
          <w:p w:rsidR="00385835" w:rsidRPr="00385835" w:rsidRDefault="00385835" w:rsidP="00385835">
            <w:pPr>
              <w:spacing w:after="0" w:line="240" w:lineRule="auto"/>
              <w:ind w:firstLine="624"/>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Atsižvelgiant į darbdavių išreikštą nuomonę, kad profesinio mokymo įstaigose įgytos kompetencijos neužtikrina darbo rinkos poreikių, iki 2007–2013 m. programavimo laikotarpio pabaigos bus praktiškai išbandyta pameistrystės mokymo forma ir parengtos atitinkamos rekomendacijos padės įvertinti, koks pameistrystės organizavimo ir finansavimo modelis būtų tinkamiausias Lietuvai ir užtikrinti praktinių įgūdžių lavinimo kokybę naujajame programavimo laikotarpyje.</w:t>
            </w:r>
          </w:p>
          <w:p w:rsidR="00385835" w:rsidRPr="00385835" w:rsidRDefault="00385835" w:rsidP="00385835">
            <w:pPr>
              <w:spacing w:after="0" w:line="240" w:lineRule="auto"/>
              <w:ind w:firstLine="624"/>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2014–2020 m. bus finansuojami mokinio praktinio mokymo modulio darbo vietoje kaštai, skatinant darbdavius aktyviau dalyvauti organizuojant pameistrystę arba praktinį mokymą realiose darbo vietose, kas prisidės prie glaudesnio švietimo ir verslo bendradarbiavimo, geresnės darbo įgūdžių atitikties darbo rinkai. Taip pat bus organizuojami įmonių darbuotojų, kurie vykdys mokinių praktinį mokymą, mokymai, suteiksiantys įmonių darbuotojams andragoginių ir kitų kompetencijų, reikalingų pameistrystės kokybei užtikrinti.</w:t>
            </w:r>
          </w:p>
          <w:p w:rsidR="00385835" w:rsidRPr="00385835" w:rsidRDefault="00385835" w:rsidP="00385835">
            <w:pPr>
              <w:spacing w:after="0" w:line="240" w:lineRule="auto"/>
              <w:ind w:firstLine="624"/>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 xml:space="preserve">Kvalifikacijų sandaros ir šiuolaikiško turinio formavimo darbai bus tęsiami kitiems Lietuvos ūkio sektoriams, kuriems nebuvo parengti profesiniai standartai bei modulinės mokymo programos. Tai pagerins profesinio mokymo lankstumą, jo pritaikymą prie kintančių ūkio poreikių. Tobulinant įvairiais būdais įgytų kompetencijų ir kvalifikacijų vertinimo ir pripažinimo sistemą, bus sudarytos palankios sąlygos žinių ir gebėjimų užskaitymui. </w:t>
            </w:r>
          </w:p>
          <w:p w:rsidR="00385835" w:rsidRPr="00385835" w:rsidRDefault="00385835" w:rsidP="00385835">
            <w:pPr>
              <w:spacing w:after="0" w:line="240" w:lineRule="auto"/>
              <w:ind w:firstLine="624"/>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2014–2020 m. programavimo laikotarpiu bus tęsiamas išorinis ir vidinis profesinio mokymo įstaigų ir programų vertinimas, stiprinami profesinio ir suaugusiųjų mokymo stebėsena ir tyrimai, diegiamos naujovės švietimo valdymo procesuose ir priemonėse, bus didinamas visuomenės informuotumas apie naujausias mokymosi galimybes ir jų įvairiapusę naudą</w:t>
            </w:r>
            <w:proofErr w:type="gramStart"/>
            <w:r w:rsidRPr="00385835">
              <w:rPr>
                <w:rFonts w:ascii="Times New Roman" w:eastAsia="AngsanaUPC" w:hAnsi="Times New Roman"/>
                <w:bCs/>
                <w:sz w:val="24"/>
                <w:szCs w:val="24"/>
                <w:lang w:eastAsia="lt-LT"/>
              </w:rPr>
              <w:t>, bei</w:t>
            </w:r>
            <w:proofErr w:type="gramEnd"/>
            <w:r w:rsidRPr="00385835">
              <w:rPr>
                <w:rFonts w:ascii="Times New Roman" w:eastAsia="AngsanaUPC" w:hAnsi="Times New Roman"/>
                <w:bCs/>
                <w:sz w:val="24"/>
                <w:szCs w:val="24"/>
                <w:lang w:eastAsia="lt-LT"/>
              </w:rPr>
              <w:t xml:space="preserve"> investuojama į kokybiškų karjeros paslaugų teikimą visuose švietimo lygmenyse, kas užtikrins profesinio ir suaugusiųjų mokymo pasiūlos ir patrauklumo padidėjimą.</w:t>
            </w:r>
          </w:p>
          <w:p w:rsidR="00385835" w:rsidRPr="00385835" w:rsidRDefault="00385835" w:rsidP="00385835">
            <w:pPr>
              <w:widowControl w:val="0"/>
              <w:tabs>
                <w:tab w:val="left" w:pos="622"/>
              </w:tabs>
              <w:spacing w:after="0" w:line="240" w:lineRule="auto"/>
              <w:ind w:firstLine="624"/>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Didinant profesinio ir suaugusiųjų mokymo atitiktį darbo rinkos poreikiams šio uždavinio lėšomis finansuojamą formalųjį profesinį mokymą sektoriniuose praktinio mokymo centruose, praktikose pas darbdavius ar pameistrystės programose</w:t>
            </w:r>
            <w:r w:rsidR="00321A13">
              <w:rPr>
                <w:rFonts w:ascii="Times New Roman" w:eastAsia="AngsanaUPC" w:hAnsi="Times New Roman"/>
                <w:bCs/>
                <w:sz w:val="24"/>
                <w:szCs w:val="24"/>
                <w:lang w:eastAsia="lt-LT"/>
              </w:rPr>
              <w:t>,</w:t>
            </w:r>
            <w:r w:rsidRPr="00385835">
              <w:rPr>
                <w:rFonts w:ascii="Times New Roman" w:eastAsia="AngsanaUPC" w:hAnsi="Times New Roman"/>
                <w:bCs/>
                <w:sz w:val="24"/>
                <w:szCs w:val="24"/>
                <w:lang w:eastAsia="lt-LT"/>
              </w:rPr>
              <w:t xml:space="preserve"> papildys Lietuvos Respublikos žemės ūkio ministerijos su neformaliuoju mokymu susijusią veiklos sritį „Parama profesiniam mokymui ir įgūdžiams įgyti“, kurią įgyvendinant bus siekiama suteikti ūkininkams, miškų valdytojams, kitiems kaimo plėtros subjektams žinių ir užtikrinti jų technologinių, ekonominių bei vadybinių kompetencijų tobulinimą.</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507"/>
        <w:gridCol w:w="2045"/>
        <w:gridCol w:w="992"/>
        <w:gridCol w:w="901"/>
        <w:gridCol w:w="636"/>
        <w:gridCol w:w="557"/>
        <w:gridCol w:w="781"/>
        <w:gridCol w:w="576"/>
        <w:gridCol w:w="525"/>
        <w:gridCol w:w="1532"/>
        <w:gridCol w:w="694"/>
      </w:tblGrid>
      <w:tr w:rsidR="00385835" w:rsidRPr="00385835" w:rsidTr="00AC10CD">
        <w:trPr>
          <w:tblHeader/>
        </w:trPr>
        <w:tc>
          <w:tcPr>
            <w:tcW w:w="9746" w:type="dxa"/>
            <w:gridSpan w:val="11"/>
            <w:shd w:val="clear" w:color="auto" w:fill="EEECE1"/>
          </w:tcPr>
          <w:p w:rsidR="00385835" w:rsidRPr="00385835" w:rsidRDefault="00385835" w:rsidP="00D94011">
            <w:pPr>
              <w:widowControl w:val="0"/>
              <w:tabs>
                <w:tab w:val="left" w:pos="622"/>
              </w:tabs>
              <w:spacing w:after="0" w:line="240" w:lineRule="auto"/>
              <w:jc w:val="both"/>
              <w:rPr>
                <w:rFonts w:ascii="Times New Roman" w:eastAsia="AngsanaUPC" w:hAnsi="Times New Roman"/>
                <w:b/>
                <w:bCs/>
                <w:i/>
                <w:iCs/>
                <w:sz w:val="24"/>
                <w:szCs w:val="24"/>
                <w:lang w:eastAsia="lt-LT"/>
              </w:rPr>
            </w:pPr>
            <w:r w:rsidRPr="00385835">
              <w:rPr>
                <w:rFonts w:ascii="Times New Roman" w:eastAsia="AngsanaUPC" w:hAnsi="Times New Roman"/>
                <w:b/>
                <w:bCs/>
                <w:i/>
                <w:iCs/>
                <w:sz w:val="24"/>
                <w:szCs w:val="24"/>
                <w:lang w:eastAsia="lt-LT"/>
              </w:rPr>
              <w:t xml:space="preserve">ESF bendrieji ir </w:t>
            </w:r>
            <w:r w:rsidR="00D94011">
              <w:rPr>
                <w:rFonts w:ascii="Times New Roman" w:eastAsia="AngsanaUPC" w:hAnsi="Times New Roman"/>
                <w:b/>
                <w:bCs/>
                <w:i/>
                <w:iCs/>
                <w:sz w:val="24"/>
                <w:szCs w:val="24"/>
                <w:lang w:eastAsia="lt-LT"/>
              </w:rPr>
              <w:t>specialieji</w:t>
            </w:r>
            <w:r w:rsidR="00D94011" w:rsidRPr="00385835">
              <w:rPr>
                <w:rFonts w:ascii="Times New Roman" w:eastAsia="AngsanaUPC" w:hAnsi="Times New Roman"/>
                <w:b/>
                <w:bCs/>
                <w:i/>
                <w:iCs/>
                <w:sz w:val="24"/>
                <w:szCs w:val="24"/>
                <w:lang w:eastAsia="lt-LT"/>
              </w:rPr>
              <w:t xml:space="preserve"> </w:t>
            </w:r>
            <w:r w:rsidRPr="00385835">
              <w:rPr>
                <w:rFonts w:ascii="Times New Roman" w:eastAsia="AngsanaUPC" w:hAnsi="Times New Roman"/>
                <w:b/>
                <w:bCs/>
                <w:i/>
                <w:iCs/>
                <w:sz w:val="24"/>
                <w:szCs w:val="24"/>
                <w:lang w:eastAsia="lt-LT"/>
              </w:rPr>
              <w:t>programos rezultato rodikliai</w:t>
            </w:r>
          </w:p>
        </w:tc>
      </w:tr>
      <w:tr w:rsidR="00385835" w:rsidRPr="00385835" w:rsidTr="00AC10CD">
        <w:tblPrEx>
          <w:shd w:val="clear" w:color="auto" w:fill="auto"/>
        </w:tblPrEx>
        <w:trPr>
          <w:cantSplit/>
          <w:trHeight w:val="1837"/>
          <w:tblHeader/>
        </w:trPr>
        <w:tc>
          <w:tcPr>
            <w:tcW w:w="507"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Nr.</w:t>
            </w:r>
          </w:p>
        </w:tc>
        <w:tc>
          <w:tcPr>
            <w:tcW w:w="2045"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Rodiklio pavadinimas</w:t>
            </w:r>
          </w:p>
        </w:tc>
        <w:tc>
          <w:tcPr>
            <w:tcW w:w="992"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Regiono kategorija</w:t>
            </w:r>
          </w:p>
        </w:tc>
        <w:tc>
          <w:tcPr>
            <w:tcW w:w="901"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Rodiklio matavimo vienetai</w:t>
            </w:r>
          </w:p>
        </w:tc>
        <w:tc>
          <w:tcPr>
            <w:tcW w:w="636"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Bendrasis produkto rodiklis, naudotas kaip pagrindas</w:t>
            </w:r>
          </w:p>
        </w:tc>
        <w:tc>
          <w:tcPr>
            <w:tcW w:w="557"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 reikšmė</w:t>
            </w:r>
          </w:p>
        </w:tc>
        <w:tc>
          <w:tcPr>
            <w:tcW w:w="781"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Pradinės ir siektinos reikšmės matavimo vienetai</w:t>
            </w:r>
          </w:p>
        </w:tc>
        <w:tc>
          <w:tcPr>
            <w:tcW w:w="576"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Pradinės reikšmės metai</w:t>
            </w:r>
          </w:p>
        </w:tc>
        <w:tc>
          <w:tcPr>
            <w:tcW w:w="525"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Siektina reikšmė (2023)</w:t>
            </w:r>
          </w:p>
        </w:tc>
        <w:tc>
          <w:tcPr>
            <w:tcW w:w="1532"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Duomenų šaltinis</w:t>
            </w:r>
          </w:p>
        </w:tc>
        <w:tc>
          <w:tcPr>
            <w:tcW w:w="694"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Atsiskaitymo dažnumas</w:t>
            </w:r>
          </w:p>
        </w:tc>
      </w:tr>
      <w:tr w:rsidR="00385835" w:rsidRPr="00385835" w:rsidTr="00385835">
        <w:tblPrEx>
          <w:shd w:val="clear" w:color="auto" w:fill="auto"/>
        </w:tblPrEx>
        <w:tc>
          <w:tcPr>
            <w:tcW w:w="50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w:t>
            </w:r>
          </w:p>
        </w:tc>
        <w:tc>
          <w:tcPr>
            <w:tcW w:w="2045" w:type="dxa"/>
            <w:shd w:val="clear" w:color="auto" w:fill="auto"/>
            <w:vAlign w:val="center"/>
          </w:tcPr>
          <w:p w:rsidR="00385835" w:rsidRPr="00385835" w:rsidRDefault="00385835" w:rsidP="00385835">
            <w:pPr>
              <w:spacing w:after="0" w:line="240" w:lineRule="auto"/>
              <w:rPr>
                <w:rFonts w:ascii="Times New Roman" w:eastAsia="Times New Roman" w:hAnsi="Times New Roman"/>
                <w:bCs/>
                <w:sz w:val="18"/>
                <w:szCs w:val="18"/>
              </w:rPr>
            </w:pPr>
            <w:r w:rsidRPr="00385835">
              <w:rPr>
                <w:rFonts w:ascii="Times New Roman" w:eastAsia="Times New Roman" w:hAnsi="Times New Roman"/>
                <w:bCs/>
                <w:sz w:val="18"/>
                <w:szCs w:val="18"/>
              </w:rPr>
              <w:t xml:space="preserve">Mokinių, kurie mokėsi pagal veiksmų programą ESF lėšomis parengtas </w:t>
            </w:r>
            <w:r w:rsidRPr="00385835">
              <w:rPr>
                <w:rFonts w:ascii="Times New Roman" w:eastAsia="Times New Roman" w:hAnsi="Times New Roman"/>
                <w:bCs/>
                <w:sz w:val="18"/>
                <w:szCs w:val="18"/>
              </w:rPr>
              <w:lastRenderedPageBreak/>
              <w:t>arba atnaujintas modulines profesinio mokymo programas, dalis</w:t>
            </w:r>
          </w:p>
        </w:tc>
        <w:tc>
          <w:tcPr>
            <w:tcW w:w="992" w:type="dxa"/>
            <w:shd w:val="clear" w:color="auto" w:fill="auto"/>
            <w:vAlign w:val="center"/>
          </w:tcPr>
          <w:p w:rsidR="00385835" w:rsidRPr="00385835" w:rsidRDefault="00385835" w:rsidP="00385835">
            <w:pPr>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lastRenderedPageBreak/>
              <w:t>Mažiau išsivystęs</w:t>
            </w:r>
          </w:p>
        </w:tc>
        <w:tc>
          <w:tcPr>
            <w:tcW w:w="901" w:type="dxa"/>
            <w:shd w:val="clear" w:color="auto" w:fill="auto"/>
            <w:vAlign w:val="center"/>
          </w:tcPr>
          <w:p w:rsidR="00385835" w:rsidRPr="00385835" w:rsidRDefault="00385835" w:rsidP="00385835">
            <w:pPr>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Asmenys</w:t>
            </w:r>
          </w:p>
        </w:tc>
        <w:tc>
          <w:tcPr>
            <w:tcW w:w="636"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w:t>
            </w:r>
          </w:p>
        </w:tc>
        <w:tc>
          <w:tcPr>
            <w:tcW w:w="55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0,47</w:t>
            </w:r>
          </w:p>
        </w:tc>
        <w:tc>
          <w:tcPr>
            <w:tcW w:w="78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Proc.</w:t>
            </w:r>
          </w:p>
        </w:tc>
        <w:tc>
          <w:tcPr>
            <w:tcW w:w="576"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2014</w:t>
            </w:r>
          </w:p>
        </w:tc>
        <w:tc>
          <w:tcPr>
            <w:tcW w:w="525"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40</w:t>
            </w:r>
          </w:p>
        </w:tc>
        <w:tc>
          <w:tcPr>
            <w:tcW w:w="1532"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
                <w:iCs/>
                <w:sz w:val="18"/>
                <w:szCs w:val="18"/>
                <w:lang w:eastAsia="lt-LT"/>
              </w:rPr>
            </w:pPr>
            <w:r w:rsidRPr="00385835">
              <w:rPr>
                <w:rFonts w:ascii="Times New Roman" w:eastAsia="AngsanaUPC" w:hAnsi="Times New Roman"/>
                <w:bCs/>
                <w:iCs/>
                <w:sz w:val="18"/>
                <w:szCs w:val="18"/>
                <w:lang w:eastAsia="lt-LT"/>
              </w:rPr>
              <w:t xml:space="preserve">Kvalifikacijų ir profesinio mokymo plėtros </w:t>
            </w:r>
            <w:r w:rsidRPr="00385835">
              <w:rPr>
                <w:rFonts w:ascii="Times New Roman" w:eastAsia="AngsanaUPC" w:hAnsi="Times New Roman"/>
                <w:bCs/>
                <w:iCs/>
                <w:sz w:val="18"/>
                <w:szCs w:val="18"/>
                <w:lang w:eastAsia="lt-LT"/>
              </w:rPr>
              <w:lastRenderedPageBreak/>
              <w:t>centras, Švietimo valdymo informacinė sistema, duomenys iš projektų</w:t>
            </w:r>
          </w:p>
        </w:tc>
        <w:tc>
          <w:tcPr>
            <w:tcW w:w="69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lastRenderedPageBreak/>
              <w:t>Kartą per metus</w:t>
            </w:r>
          </w:p>
        </w:tc>
      </w:tr>
      <w:tr w:rsidR="00385835" w:rsidRPr="00385835" w:rsidTr="00385835">
        <w:tblPrEx>
          <w:shd w:val="clear" w:color="auto" w:fill="auto"/>
        </w:tblPrEx>
        <w:tc>
          <w:tcPr>
            <w:tcW w:w="50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lastRenderedPageBreak/>
              <w:t>2.</w:t>
            </w:r>
          </w:p>
        </w:tc>
        <w:tc>
          <w:tcPr>
            <w:tcW w:w="2045" w:type="dxa"/>
            <w:shd w:val="clear" w:color="auto" w:fill="auto"/>
            <w:vAlign w:val="center"/>
          </w:tcPr>
          <w:p w:rsidR="00385835" w:rsidRPr="00385835" w:rsidRDefault="00385835" w:rsidP="00385835">
            <w:pPr>
              <w:spacing w:after="0" w:line="240" w:lineRule="auto"/>
              <w:rPr>
                <w:rFonts w:ascii="Times New Roman" w:eastAsia="Times New Roman" w:hAnsi="Times New Roman"/>
                <w:bCs/>
                <w:sz w:val="18"/>
                <w:szCs w:val="18"/>
              </w:rPr>
            </w:pPr>
            <w:r w:rsidRPr="00385835">
              <w:rPr>
                <w:rFonts w:ascii="Times New Roman" w:hAnsi="Times New Roman"/>
                <w:sz w:val="18"/>
                <w:szCs w:val="18"/>
              </w:rPr>
              <w:t xml:space="preserve">Mokinių, kurie pagal veiksmų programą ESF lėšomis baigę profesinio mokymo programos dalį darbo vietoje, įgijo kvalifikaciją, dalis </w:t>
            </w:r>
          </w:p>
        </w:tc>
        <w:tc>
          <w:tcPr>
            <w:tcW w:w="992" w:type="dxa"/>
            <w:shd w:val="clear" w:color="auto" w:fill="auto"/>
            <w:vAlign w:val="center"/>
          </w:tcPr>
          <w:p w:rsidR="00385835" w:rsidRPr="00385835" w:rsidRDefault="00385835" w:rsidP="00385835">
            <w:pPr>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Mažiau išsivystęs</w:t>
            </w:r>
          </w:p>
        </w:tc>
        <w:tc>
          <w:tcPr>
            <w:tcW w:w="901" w:type="dxa"/>
            <w:shd w:val="clear" w:color="auto" w:fill="auto"/>
            <w:vAlign w:val="center"/>
          </w:tcPr>
          <w:p w:rsidR="00385835" w:rsidRPr="00385835" w:rsidRDefault="00385835" w:rsidP="00385835">
            <w:pPr>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Asmenys</w:t>
            </w:r>
          </w:p>
        </w:tc>
        <w:tc>
          <w:tcPr>
            <w:tcW w:w="636"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
                <w:iCs/>
                <w:sz w:val="18"/>
                <w:szCs w:val="18"/>
                <w:lang w:eastAsia="lt-LT"/>
              </w:rPr>
            </w:pPr>
            <w:r w:rsidRPr="00385835">
              <w:rPr>
                <w:rFonts w:ascii="Times New Roman" w:eastAsia="AngsanaUPC" w:hAnsi="Times New Roman"/>
                <w:bCs/>
                <w:iCs/>
                <w:sz w:val="18"/>
                <w:szCs w:val="18"/>
                <w:lang w:eastAsia="lt-LT"/>
              </w:rPr>
              <w:t>-</w:t>
            </w:r>
          </w:p>
        </w:tc>
        <w:tc>
          <w:tcPr>
            <w:tcW w:w="55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80</w:t>
            </w:r>
          </w:p>
        </w:tc>
        <w:tc>
          <w:tcPr>
            <w:tcW w:w="78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Proc.</w:t>
            </w:r>
          </w:p>
        </w:tc>
        <w:tc>
          <w:tcPr>
            <w:tcW w:w="576"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2014</w:t>
            </w:r>
          </w:p>
        </w:tc>
        <w:tc>
          <w:tcPr>
            <w:tcW w:w="525"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80</w:t>
            </w:r>
          </w:p>
        </w:tc>
        <w:tc>
          <w:tcPr>
            <w:tcW w:w="1532"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Duomenys iš projektų</w:t>
            </w:r>
          </w:p>
        </w:tc>
        <w:tc>
          <w:tcPr>
            <w:tcW w:w="69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385835" w:rsidRPr="00385835" w:rsidTr="00385835">
        <w:tblPrEx>
          <w:shd w:val="clear" w:color="auto" w:fill="auto"/>
        </w:tblPrEx>
        <w:tc>
          <w:tcPr>
            <w:tcW w:w="50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3.</w:t>
            </w:r>
          </w:p>
        </w:tc>
        <w:tc>
          <w:tcPr>
            <w:tcW w:w="2045" w:type="dxa"/>
            <w:shd w:val="clear" w:color="auto" w:fill="auto"/>
            <w:vAlign w:val="center"/>
          </w:tcPr>
          <w:p w:rsidR="00385835" w:rsidRPr="00385835" w:rsidRDefault="00385835" w:rsidP="00385835">
            <w:pPr>
              <w:spacing w:after="0" w:line="240" w:lineRule="auto"/>
              <w:rPr>
                <w:rFonts w:ascii="Times New Roman" w:eastAsia="Times New Roman" w:hAnsi="Times New Roman"/>
                <w:bCs/>
                <w:sz w:val="18"/>
                <w:szCs w:val="18"/>
              </w:rPr>
            </w:pPr>
            <w:r w:rsidRPr="00385835">
              <w:rPr>
                <w:rFonts w:ascii="Times New Roman" w:hAnsi="Times New Roman"/>
                <w:sz w:val="18"/>
                <w:szCs w:val="18"/>
              </w:rPr>
              <w:t>Mokinių, kurie mokosi pagal profesinio mokymo programas, kurios pagal veiksmų programą ESF lėšomis buvo įvertintos išoriniu vertinimu, dalis</w:t>
            </w:r>
          </w:p>
        </w:tc>
        <w:tc>
          <w:tcPr>
            <w:tcW w:w="992" w:type="dxa"/>
            <w:shd w:val="clear" w:color="auto" w:fill="auto"/>
            <w:vAlign w:val="center"/>
          </w:tcPr>
          <w:p w:rsidR="00385835" w:rsidRPr="00385835" w:rsidRDefault="00385835" w:rsidP="00385835">
            <w:pPr>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Mažiau išsivystęs</w:t>
            </w:r>
          </w:p>
        </w:tc>
        <w:tc>
          <w:tcPr>
            <w:tcW w:w="901" w:type="dxa"/>
            <w:shd w:val="clear" w:color="auto" w:fill="auto"/>
            <w:vAlign w:val="center"/>
          </w:tcPr>
          <w:p w:rsidR="00385835" w:rsidRPr="00385835" w:rsidRDefault="00385835" w:rsidP="00385835">
            <w:pPr>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Asmenys</w:t>
            </w:r>
          </w:p>
        </w:tc>
        <w:tc>
          <w:tcPr>
            <w:tcW w:w="636"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
                <w:iCs/>
                <w:sz w:val="18"/>
                <w:szCs w:val="18"/>
                <w:lang w:eastAsia="lt-LT"/>
              </w:rPr>
            </w:pPr>
            <w:r w:rsidRPr="00385835">
              <w:rPr>
                <w:rFonts w:ascii="Times New Roman" w:eastAsia="AngsanaUPC" w:hAnsi="Times New Roman"/>
                <w:bCs/>
                <w:iCs/>
                <w:sz w:val="18"/>
                <w:szCs w:val="18"/>
                <w:lang w:eastAsia="lt-LT"/>
              </w:rPr>
              <w:t>-</w:t>
            </w:r>
          </w:p>
        </w:tc>
        <w:tc>
          <w:tcPr>
            <w:tcW w:w="55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30</w:t>
            </w:r>
          </w:p>
        </w:tc>
        <w:tc>
          <w:tcPr>
            <w:tcW w:w="78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Proc.</w:t>
            </w:r>
          </w:p>
        </w:tc>
        <w:tc>
          <w:tcPr>
            <w:tcW w:w="576"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2013</w:t>
            </w:r>
          </w:p>
        </w:tc>
        <w:tc>
          <w:tcPr>
            <w:tcW w:w="525"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55</w:t>
            </w:r>
          </w:p>
        </w:tc>
        <w:tc>
          <w:tcPr>
            <w:tcW w:w="1532"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Duomenys iš projektų</w:t>
            </w:r>
          </w:p>
        </w:tc>
        <w:tc>
          <w:tcPr>
            <w:tcW w:w="69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bl>
    <w:p w:rsidR="00385835" w:rsidRPr="00385835" w:rsidRDefault="00385835" w:rsidP="00385835">
      <w:pPr>
        <w:spacing w:after="0"/>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tcPr>
          <w:p w:rsidR="00385835" w:rsidRPr="00385835" w:rsidRDefault="00385835" w:rsidP="00385835">
            <w:pPr>
              <w:widowControl w:val="0"/>
              <w:tabs>
                <w:tab w:val="left" w:pos="622"/>
              </w:tabs>
              <w:spacing w:after="0" w:line="240" w:lineRule="auto"/>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9.4.2. KONKRETUS UŽDAVINYS</w:t>
            </w:r>
          </w:p>
        </w:tc>
        <w:tc>
          <w:tcPr>
            <w:tcW w:w="7336" w:type="dxa"/>
            <w:shd w:val="clear" w:color="auto" w:fill="EEECE1"/>
            <w:vAlign w:val="center"/>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hAnsi="Times New Roman"/>
                <w:b/>
                <w:bCs/>
                <w:iCs/>
                <w:sz w:val="24"/>
                <w:szCs w:val="24"/>
                <w:lang w:eastAsia="lt-LT"/>
              </w:rPr>
              <w:t>Sukurti sąlygas ir paskatas mokymuisi visą gyvenimą, užtikrinant veiksmingą pagalbą tobulinantis</w:t>
            </w:r>
          </w:p>
        </w:tc>
      </w:tr>
      <w:tr w:rsidR="00385835" w:rsidRPr="00385835" w:rsidTr="00385835">
        <w:tc>
          <w:tcPr>
            <w:tcW w:w="9746" w:type="dxa"/>
            <w:gridSpan w:val="2"/>
            <w:shd w:val="clear" w:color="auto" w:fill="auto"/>
          </w:tcPr>
          <w:p w:rsidR="00385835" w:rsidRPr="00385835" w:rsidRDefault="00385835" w:rsidP="00385835">
            <w:pPr>
              <w:spacing w:after="0" w:line="240" w:lineRule="auto"/>
              <w:ind w:firstLine="624"/>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Lietuvoje 2012 m. 25–64 m. amžiaus gyventojų, dalyvavusių formaliame ar neformaliame mokyme, dalis buvo 1,7 karto mažesnė nei ES šalių vidurkis (atitinkamai, 5,7 proc. ir 9 proc.), o nuo strategijos „Europa 2020“ siekinio (15 proc.) ji skyrėsi 2,6 karto</w:t>
            </w:r>
            <w:r w:rsidR="00321A13">
              <w:rPr>
                <w:rFonts w:ascii="Times New Roman" w:eastAsia="AngsanaUPC" w:hAnsi="Times New Roman"/>
                <w:bCs/>
                <w:sz w:val="24"/>
                <w:szCs w:val="24"/>
                <w:lang w:eastAsia="lt-LT"/>
              </w:rPr>
              <w:t>. Kliūtys suaugusiųjų mokymuisi</w:t>
            </w:r>
            <w:r w:rsidRPr="00385835">
              <w:rPr>
                <w:rFonts w:ascii="Times New Roman" w:eastAsia="AngsanaUPC" w:hAnsi="Times New Roman"/>
                <w:bCs/>
                <w:sz w:val="24"/>
                <w:szCs w:val="24"/>
                <w:lang w:eastAsia="lt-LT"/>
              </w:rPr>
              <w:t xml:space="preserve"> yra susijusios su tam skiriamų asmeninių lėšų ir laiko trūkumu. </w:t>
            </w:r>
          </w:p>
          <w:p w:rsidR="00385835" w:rsidRPr="00385835" w:rsidRDefault="00385835" w:rsidP="00385835">
            <w:pPr>
              <w:spacing w:after="0" w:line="240" w:lineRule="auto"/>
              <w:ind w:firstLine="624"/>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 xml:space="preserve">2007–2013 m. programavimo laikotarpiu mokymosi visą gyvenimą srityje daugiausia lėšų buvo skirta aukštos kvalifikacijos viešųjų paslaugų darbuotojų ir bedarbių bei įspėtų apie atleidimą iš darbo mokymui, įmonės taip pat daugiausia investavo į aukštos kvalifikacijos darbuotojų mokymąsi. </w:t>
            </w:r>
            <w:proofErr w:type="gramStart"/>
            <w:r w:rsidRPr="00385835">
              <w:rPr>
                <w:rFonts w:ascii="Times New Roman" w:eastAsia="AngsanaUPC" w:hAnsi="Times New Roman"/>
                <w:bCs/>
                <w:sz w:val="24"/>
                <w:szCs w:val="24"/>
                <w:lang w:eastAsia="lt-LT"/>
              </w:rPr>
              <w:t>Tuo tarpu</w:t>
            </w:r>
            <w:proofErr w:type="gramEnd"/>
            <w:r w:rsidRPr="00385835">
              <w:rPr>
                <w:rFonts w:ascii="Times New Roman" w:eastAsia="AngsanaUPC" w:hAnsi="Times New Roman"/>
                <w:bCs/>
                <w:sz w:val="24"/>
                <w:szCs w:val="24"/>
                <w:lang w:eastAsia="lt-LT"/>
              </w:rPr>
              <w:t xml:space="preserve"> nekvalifikuotų ir žemesnės kvalifikacijos dirbančių asmenų, kurie sudaro daugiau nei pusę visos šalies darbo jėgos, mokymuisi iki šiol skirtas nepakankamas dėmesys. Be to</w:t>
            </w:r>
            <w:r w:rsidR="00321A13">
              <w:rPr>
                <w:rFonts w:ascii="Times New Roman" w:eastAsia="AngsanaUPC" w:hAnsi="Times New Roman"/>
                <w:bCs/>
                <w:sz w:val="24"/>
                <w:szCs w:val="24"/>
                <w:lang w:eastAsia="lt-LT"/>
              </w:rPr>
              <w:t>,</w:t>
            </w:r>
            <w:r w:rsidRPr="00385835">
              <w:rPr>
                <w:rFonts w:ascii="Times New Roman" w:eastAsia="AngsanaUPC" w:hAnsi="Times New Roman"/>
                <w:bCs/>
                <w:sz w:val="24"/>
                <w:szCs w:val="24"/>
                <w:lang w:eastAsia="lt-LT"/>
              </w:rPr>
              <w:t xml:space="preserve"> didelė šių asmenų dalis dirba darbus, kuriems atlikti jie neturi kvalifikacijos ir negali mokymosi paslaugų įsigyti dėl žemų pajamų. Be to, didelės dalies mokymo įstaigų pedagoginių darbuotojų kompetencijos yra nepakankamos, kad būtų užtikrinta teikiamų mokymo paslaugų kokybė.</w:t>
            </w:r>
          </w:p>
          <w:p w:rsidR="00385835" w:rsidRPr="00385835" w:rsidRDefault="00385835" w:rsidP="00385835">
            <w:pPr>
              <w:spacing w:after="0" w:line="240" w:lineRule="auto"/>
              <w:ind w:firstLine="624"/>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2014–2020 m. programavimo laikotarpiu nekvalifikuotiems ir žemesnės kvalifikacijos asmenims bus</w:t>
            </w:r>
            <w:r w:rsidRPr="00385835" w:rsidDel="002C5219">
              <w:rPr>
                <w:rFonts w:ascii="Times New Roman" w:eastAsia="AngsanaUPC" w:hAnsi="Times New Roman"/>
                <w:bCs/>
                <w:sz w:val="24"/>
                <w:szCs w:val="24"/>
                <w:lang w:eastAsia="lt-LT"/>
              </w:rPr>
              <w:t xml:space="preserve"> </w:t>
            </w:r>
            <w:r w:rsidRPr="00385835">
              <w:rPr>
                <w:rFonts w:ascii="Times New Roman" w:eastAsia="AngsanaUPC" w:hAnsi="Times New Roman"/>
                <w:bCs/>
                <w:sz w:val="24"/>
                <w:szCs w:val="24"/>
                <w:lang w:eastAsia="lt-LT"/>
              </w:rPr>
              <w:t>sudarytos sąlygos įsivertinti turimas kompetencijas ir baigti bendrojo ugdymo ar profesinio mokymo programą, įgyti trūkstamą kvalifikaciją ar kompetencijų. Vyresnio amžiaus asmenims bus atvertos galimybės įgyti</w:t>
            </w:r>
            <w:r w:rsidR="00321A13">
              <w:rPr>
                <w:rFonts w:ascii="Times New Roman" w:eastAsia="AngsanaUPC" w:hAnsi="Times New Roman"/>
                <w:bCs/>
                <w:sz w:val="24"/>
                <w:szCs w:val="24"/>
                <w:lang w:eastAsia="lt-LT"/>
              </w:rPr>
              <w:t xml:space="preserve"> pirmą aukštąjį išsilavinimą, </w:t>
            </w:r>
            <w:r w:rsidRPr="00385835">
              <w:rPr>
                <w:rFonts w:ascii="Times New Roman" w:eastAsia="AngsanaUPC" w:hAnsi="Times New Roman"/>
                <w:bCs/>
                <w:sz w:val="24"/>
                <w:szCs w:val="24"/>
                <w:lang w:eastAsia="lt-LT"/>
              </w:rPr>
              <w:t>taip pat bus plėtojamos senjorų mokymosi galimybės. Be to, naujuoju programavimo laikotarpiu bus praplėstos kvalifikacijos tobulinimo galimybės profesinio ir suaugusiųjų mokymo įstaigų pedagoginiams darbuotojams Lietuvos ir užsienio aukštosiose mokyklose, bus skatinamas praktinis mokymasis pas darbdavius. Bus tęsiamas ir kitų pasiteisinusių priemonių įgyvendinimas</w:t>
            </w:r>
            <w:r w:rsidR="00321A13">
              <w:rPr>
                <w:rFonts w:ascii="Times New Roman" w:eastAsia="AngsanaUPC" w:hAnsi="Times New Roman"/>
                <w:bCs/>
                <w:sz w:val="24"/>
                <w:szCs w:val="24"/>
                <w:lang w:eastAsia="lt-LT"/>
              </w:rPr>
              <w:t>,</w:t>
            </w:r>
            <w:r w:rsidRPr="00385835">
              <w:rPr>
                <w:rFonts w:ascii="Times New Roman" w:eastAsia="AngsanaUPC" w:hAnsi="Times New Roman"/>
                <w:bCs/>
                <w:sz w:val="24"/>
                <w:szCs w:val="24"/>
                <w:lang w:eastAsia="lt-LT"/>
              </w:rPr>
              <w:t xml:space="preserve"> suteikiant švietimo lyderiams kompetencijas vykdyti kokybinius pokyčius mokymo įstaigų veikloje. Tokiu būdu padidės asmenų, dalyvaujančių mokymesi visą gyvenimą, skaičius, bus sudarytos sąlygos socialiai pažeidžiamų grupių (nebaigusių bendrojo ugdymo programos suaugusių, nekvalifikuotų ir žemesnės kvalifikacijos asmenų) dalyvavimui mokymosi visą gyvenimą veiklose.</w:t>
            </w:r>
          </w:p>
          <w:p w:rsidR="00385835" w:rsidRPr="00385835" w:rsidRDefault="00385835" w:rsidP="00385835">
            <w:pPr>
              <w:widowControl w:val="0"/>
              <w:tabs>
                <w:tab w:val="left" w:pos="622"/>
              </w:tabs>
              <w:spacing w:after="0" w:line="240" w:lineRule="auto"/>
              <w:ind w:firstLine="624"/>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 xml:space="preserve">Atsižvelgiant į sparčią informacinių technologijų, žaliosios ekonomikos plėtrą ir kitus </w:t>
            </w:r>
            <w:r w:rsidRPr="00385835">
              <w:rPr>
                <w:rFonts w:ascii="Times New Roman" w:eastAsia="AngsanaUPC" w:hAnsi="Times New Roman"/>
                <w:bCs/>
                <w:sz w:val="24"/>
                <w:szCs w:val="24"/>
                <w:lang w:eastAsia="lt-LT"/>
              </w:rPr>
              <w:lastRenderedPageBreak/>
              <w:t>ekonomikos pokyčius</w:t>
            </w:r>
            <w:r w:rsidR="00321A13">
              <w:rPr>
                <w:rFonts w:ascii="Times New Roman" w:eastAsia="AngsanaUPC" w:hAnsi="Times New Roman"/>
                <w:bCs/>
                <w:sz w:val="24"/>
                <w:szCs w:val="24"/>
                <w:lang w:eastAsia="lt-LT"/>
              </w:rPr>
              <w:t>,</w:t>
            </w:r>
            <w:r w:rsidRPr="00385835">
              <w:rPr>
                <w:rFonts w:ascii="Times New Roman" w:eastAsia="AngsanaUPC" w:hAnsi="Times New Roman"/>
                <w:bCs/>
                <w:sz w:val="24"/>
                <w:szCs w:val="24"/>
                <w:lang w:eastAsia="lt-LT"/>
              </w:rPr>
              <w:t xml:space="preserve"> bus imamasi iniciatyvų siekiančių paskatinti asmenis tobulinti įgūdžius su tuo susijusiose srityse.</w:t>
            </w:r>
          </w:p>
          <w:p w:rsidR="00385835" w:rsidRPr="00385835" w:rsidRDefault="00385835" w:rsidP="00385835">
            <w:pPr>
              <w:widowControl w:val="0"/>
              <w:tabs>
                <w:tab w:val="left" w:pos="622"/>
              </w:tabs>
              <w:spacing w:after="0" w:line="240" w:lineRule="auto"/>
              <w:ind w:firstLine="624"/>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Šio uždavinio ir 10.1 investicinio prioriteto „Visuomenės poreikius atitinkantis ir pažangus viešasis valdymas“ veiklų sinergija leis efektyviai didinti viešųjų paslaugų kokybę, prieinamumą ir skatinti viešųjų paslaugų sistemų reformas. Šio uždavinio intervencijos bus skirtos viešųjų paslaugų darbuotojų (išskyrus švietimo, socialines ir darbo rinkos paslaugas) kvalifikacijos tobulinimui ne valstybės tarnyboje, siekiant skatinti mokymąsi visą gyvenimą. Tuo tarpu 10.1 investicinio prioriteto veiklomis bus siekiama stiprinti institucinius pajėgumus ir veiksmingą viešąjį administravimą, didinant viešojo valdymo institucijų veiklos efektyvumą, viešojo valdymo procesų skaidrumą ir atvirumą, gerinant visuomenei teikiamų paslaugų kokybę, verslo reguliavimo aplinką ir žmogiškųjų išteklių valdymą valstybinės tarnyboje.</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474"/>
        <w:gridCol w:w="2220"/>
        <w:gridCol w:w="990"/>
        <w:gridCol w:w="994"/>
        <w:gridCol w:w="563"/>
        <w:gridCol w:w="427"/>
        <w:gridCol w:w="850"/>
        <w:gridCol w:w="708"/>
        <w:gridCol w:w="711"/>
        <w:gridCol w:w="1131"/>
        <w:gridCol w:w="678"/>
      </w:tblGrid>
      <w:tr w:rsidR="00385835" w:rsidRPr="00385835" w:rsidTr="00385835">
        <w:tc>
          <w:tcPr>
            <w:tcW w:w="5000" w:type="pct"/>
            <w:gridSpan w:val="11"/>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i/>
                <w:iCs/>
                <w:sz w:val="24"/>
                <w:szCs w:val="24"/>
                <w:lang w:eastAsia="lt-LT"/>
              </w:rPr>
            </w:pPr>
            <w:r w:rsidRPr="00385835">
              <w:rPr>
                <w:rFonts w:ascii="Times New Roman" w:eastAsia="AngsanaUPC" w:hAnsi="Times New Roman"/>
                <w:b/>
                <w:bCs/>
                <w:i/>
                <w:iCs/>
                <w:sz w:val="24"/>
                <w:szCs w:val="24"/>
                <w:lang w:eastAsia="lt-LT"/>
              </w:rPr>
              <w:t xml:space="preserve">ESF bendrieji ir </w:t>
            </w:r>
            <w:r w:rsidR="00D94011">
              <w:rPr>
                <w:rFonts w:ascii="Times New Roman" w:eastAsia="AngsanaUPC" w:hAnsi="Times New Roman"/>
                <w:b/>
                <w:bCs/>
                <w:i/>
                <w:iCs/>
                <w:sz w:val="24"/>
                <w:szCs w:val="24"/>
                <w:lang w:eastAsia="lt-LT"/>
              </w:rPr>
              <w:t>specialieji</w:t>
            </w:r>
            <w:r w:rsidR="00D94011" w:rsidRPr="00385835">
              <w:rPr>
                <w:rFonts w:ascii="Times New Roman" w:eastAsia="AngsanaUPC" w:hAnsi="Times New Roman"/>
                <w:b/>
                <w:bCs/>
                <w:i/>
                <w:iCs/>
                <w:sz w:val="24"/>
                <w:szCs w:val="24"/>
                <w:lang w:eastAsia="lt-LT"/>
              </w:rPr>
              <w:t xml:space="preserve"> </w:t>
            </w:r>
            <w:r w:rsidRPr="00385835">
              <w:rPr>
                <w:rFonts w:ascii="Times New Roman" w:eastAsia="AngsanaUPC" w:hAnsi="Times New Roman"/>
                <w:b/>
                <w:bCs/>
                <w:i/>
                <w:iCs/>
                <w:sz w:val="24"/>
                <w:szCs w:val="24"/>
                <w:lang w:eastAsia="lt-LT"/>
              </w:rPr>
              <w:t>programos rezultato rodikliai</w:t>
            </w:r>
          </w:p>
        </w:tc>
      </w:tr>
      <w:tr w:rsidR="00385835" w:rsidRPr="00385835" w:rsidTr="00385835">
        <w:tblPrEx>
          <w:shd w:val="clear" w:color="auto" w:fill="auto"/>
        </w:tblPrEx>
        <w:trPr>
          <w:cantSplit/>
          <w:trHeight w:val="1837"/>
        </w:trPr>
        <w:tc>
          <w:tcPr>
            <w:tcW w:w="243" w:type="pct"/>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Nr.</w:t>
            </w:r>
          </w:p>
        </w:tc>
        <w:tc>
          <w:tcPr>
            <w:tcW w:w="1139" w:type="pct"/>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Rodiklio pavadinimas</w:t>
            </w:r>
          </w:p>
        </w:tc>
        <w:tc>
          <w:tcPr>
            <w:tcW w:w="508" w:type="pct"/>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Regiono kategorija</w:t>
            </w:r>
          </w:p>
        </w:tc>
        <w:tc>
          <w:tcPr>
            <w:tcW w:w="510" w:type="pct"/>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Matavimo vienetas</w:t>
            </w:r>
          </w:p>
        </w:tc>
        <w:tc>
          <w:tcPr>
            <w:tcW w:w="289" w:type="pct"/>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Bendrasis produkto rodiklis, naudotas kaip pagrindas</w:t>
            </w:r>
          </w:p>
        </w:tc>
        <w:tc>
          <w:tcPr>
            <w:tcW w:w="219" w:type="pct"/>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 reikšmė</w:t>
            </w:r>
          </w:p>
        </w:tc>
        <w:tc>
          <w:tcPr>
            <w:tcW w:w="436" w:type="pct"/>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Pradinės ir siektinos reikšmės matavimo vienetai</w:t>
            </w:r>
          </w:p>
        </w:tc>
        <w:tc>
          <w:tcPr>
            <w:tcW w:w="363" w:type="pct"/>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Pradinės reikšmės metai</w:t>
            </w:r>
          </w:p>
        </w:tc>
        <w:tc>
          <w:tcPr>
            <w:tcW w:w="365" w:type="pct"/>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Siektina reikšmė (2023)</w:t>
            </w:r>
          </w:p>
        </w:tc>
        <w:tc>
          <w:tcPr>
            <w:tcW w:w="580" w:type="pct"/>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Duomenų šaltinis</w:t>
            </w:r>
          </w:p>
        </w:tc>
        <w:tc>
          <w:tcPr>
            <w:tcW w:w="348" w:type="pct"/>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Atsiskaitymo dažnumas</w:t>
            </w:r>
          </w:p>
        </w:tc>
      </w:tr>
      <w:tr w:rsidR="00385835" w:rsidRPr="00385835" w:rsidTr="00385835">
        <w:tblPrEx>
          <w:shd w:val="clear" w:color="auto" w:fill="auto"/>
        </w:tblPrEx>
        <w:tc>
          <w:tcPr>
            <w:tcW w:w="243" w:type="pct"/>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w:t>
            </w:r>
          </w:p>
        </w:tc>
        <w:tc>
          <w:tcPr>
            <w:tcW w:w="1139" w:type="pct"/>
            <w:shd w:val="clear" w:color="auto" w:fill="auto"/>
            <w:vAlign w:val="center"/>
          </w:tcPr>
          <w:p w:rsidR="00385835" w:rsidRPr="00385835" w:rsidRDefault="00385835" w:rsidP="00385835">
            <w:pPr>
              <w:spacing w:after="0" w:line="240" w:lineRule="auto"/>
              <w:rPr>
                <w:rFonts w:ascii="Times New Roman" w:eastAsia="Times New Roman" w:hAnsi="Times New Roman"/>
                <w:bCs/>
                <w:sz w:val="18"/>
                <w:szCs w:val="18"/>
              </w:rPr>
            </w:pPr>
            <w:r w:rsidRPr="00385835">
              <w:rPr>
                <w:rFonts w:ascii="Times New Roman" w:eastAsia="Times New Roman" w:hAnsi="Times New Roman"/>
                <w:bCs/>
                <w:sz w:val="18"/>
                <w:szCs w:val="18"/>
              </w:rPr>
              <w:t>Asmenų, kurie įgijo valstybės pripažįstamą kvalifikaciją po dalyvavimo ESF veiklose, dalis</w:t>
            </w:r>
          </w:p>
        </w:tc>
        <w:tc>
          <w:tcPr>
            <w:tcW w:w="508" w:type="pct"/>
            <w:shd w:val="clear" w:color="auto" w:fill="auto"/>
            <w:vAlign w:val="center"/>
          </w:tcPr>
          <w:p w:rsidR="00385835" w:rsidRPr="00385835" w:rsidRDefault="00385835" w:rsidP="00385835">
            <w:pPr>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Mažiau išsivystęs</w:t>
            </w:r>
          </w:p>
        </w:tc>
        <w:tc>
          <w:tcPr>
            <w:tcW w:w="510" w:type="pct"/>
            <w:shd w:val="clear" w:color="auto" w:fill="auto"/>
            <w:vAlign w:val="center"/>
          </w:tcPr>
          <w:p w:rsidR="00385835" w:rsidRPr="00385835" w:rsidRDefault="00385835" w:rsidP="00385835">
            <w:pPr>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Asmenys</w:t>
            </w:r>
          </w:p>
        </w:tc>
        <w:tc>
          <w:tcPr>
            <w:tcW w:w="289" w:type="pct"/>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w:t>
            </w:r>
          </w:p>
        </w:tc>
        <w:tc>
          <w:tcPr>
            <w:tcW w:w="219" w:type="pct"/>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0</w:t>
            </w:r>
          </w:p>
        </w:tc>
        <w:tc>
          <w:tcPr>
            <w:tcW w:w="436" w:type="pct"/>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Proc.</w:t>
            </w:r>
          </w:p>
        </w:tc>
        <w:tc>
          <w:tcPr>
            <w:tcW w:w="363" w:type="pct"/>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2014</w:t>
            </w:r>
          </w:p>
        </w:tc>
        <w:tc>
          <w:tcPr>
            <w:tcW w:w="365" w:type="pct"/>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80</w:t>
            </w:r>
          </w:p>
        </w:tc>
        <w:tc>
          <w:tcPr>
            <w:tcW w:w="580" w:type="pct"/>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Duomenys iš projektų</w:t>
            </w:r>
          </w:p>
        </w:tc>
        <w:tc>
          <w:tcPr>
            <w:tcW w:w="348" w:type="pct"/>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
                <w:iCs/>
                <w:sz w:val="24"/>
                <w:szCs w:val="24"/>
                <w:lang w:eastAsia="lt-LT"/>
              </w:rPr>
            </w:pPr>
            <w:r w:rsidRPr="00385835">
              <w:rPr>
                <w:rFonts w:ascii="Times New Roman" w:eastAsia="AngsanaUPC" w:hAnsi="Times New Roman"/>
                <w:bCs/>
                <w:iCs/>
                <w:sz w:val="18"/>
                <w:szCs w:val="18"/>
                <w:lang w:eastAsia="lt-LT"/>
              </w:rPr>
              <w:t>Kartą per metus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tcPr>
          <w:p w:rsidR="00385835" w:rsidRPr="00385835" w:rsidRDefault="00385835" w:rsidP="00385835">
            <w:pPr>
              <w:widowControl w:val="0"/>
              <w:tabs>
                <w:tab w:val="left" w:pos="622"/>
              </w:tabs>
              <w:spacing w:after="0" w:line="240" w:lineRule="auto"/>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9.4.3. KONKRETUS UŽDAVINYS</w:t>
            </w:r>
          </w:p>
        </w:tc>
        <w:tc>
          <w:tcPr>
            <w:tcW w:w="7336" w:type="dxa"/>
            <w:shd w:val="clear" w:color="auto" w:fill="EEECE1"/>
            <w:vAlign w:val="center"/>
          </w:tcPr>
          <w:p w:rsidR="00385835" w:rsidRPr="00385835" w:rsidRDefault="00385835" w:rsidP="00385835">
            <w:pPr>
              <w:spacing w:after="0" w:line="240" w:lineRule="auto"/>
              <w:rPr>
                <w:rFonts w:ascii="Times New Roman" w:hAnsi="Times New Roman"/>
                <w:b/>
                <w:sz w:val="24"/>
                <w:szCs w:val="24"/>
              </w:rPr>
            </w:pPr>
            <w:r w:rsidRPr="00385835">
              <w:rPr>
                <w:rFonts w:ascii="Times New Roman" w:hAnsi="Times New Roman"/>
                <w:b/>
                <w:sz w:val="24"/>
                <w:szCs w:val="24"/>
              </w:rPr>
              <w:t>Padidinti dirbančių žmogiškųjų išteklių konkurencingumą, užtikrinant galimybes prisitaikyti prie ūkio poreikių</w:t>
            </w:r>
          </w:p>
        </w:tc>
      </w:tr>
      <w:tr w:rsidR="00385835" w:rsidRPr="00385835" w:rsidTr="00385835">
        <w:tc>
          <w:tcPr>
            <w:tcW w:w="9746" w:type="dxa"/>
            <w:gridSpan w:val="2"/>
            <w:shd w:val="clear" w:color="auto" w:fill="auto"/>
          </w:tcPr>
          <w:p w:rsidR="006C2A11" w:rsidRPr="00385835" w:rsidRDefault="006C2A11" w:rsidP="0056304C">
            <w:pPr>
              <w:spacing w:after="0" w:line="240" w:lineRule="auto"/>
              <w:ind w:firstLine="709"/>
              <w:jc w:val="both"/>
              <w:rPr>
                <w:rFonts w:ascii="Times New Roman" w:hAnsi="Times New Roman"/>
                <w:sz w:val="24"/>
                <w:szCs w:val="24"/>
              </w:rPr>
            </w:pPr>
            <w:r w:rsidRPr="00385835">
              <w:rPr>
                <w:rFonts w:ascii="Times New Roman" w:hAnsi="Times New Roman"/>
                <w:sz w:val="24"/>
                <w:szCs w:val="24"/>
              </w:rPr>
              <w:t>Siekiant didinti Lietuvos konkurencingumą, būtina užtikrinti nuolatinį darbuotojų kvalifikacijos lygio palaikymą, jų profesinį mobilumą ir gebėjimą sparčiai persiorientuoti į kito ūkio sektoriaus veiklas. Šiuo metu nėra nuolat veikiančios valstybės remiamos kompetencijų tobulinimo sistemos dirbantiesiems.</w:t>
            </w:r>
          </w:p>
          <w:p w:rsidR="006C2A11" w:rsidRPr="00385835" w:rsidRDefault="006C2A11" w:rsidP="0056304C">
            <w:pPr>
              <w:spacing w:after="0" w:line="240" w:lineRule="auto"/>
              <w:ind w:firstLine="709"/>
              <w:jc w:val="both"/>
              <w:rPr>
                <w:rFonts w:ascii="Times New Roman" w:hAnsi="Times New Roman"/>
                <w:sz w:val="24"/>
                <w:szCs w:val="24"/>
              </w:rPr>
            </w:pPr>
            <w:r w:rsidRPr="00385835">
              <w:rPr>
                <w:rFonts w:ascii="Times New Roman" w:hAnsi="Times New Roman"/>
                <w:sz w:val="24"/>
                <w:szCs w:val="24"/>
              </w:rPr>
              <w:t xml:space="preserve">Lietuvoje </w:t>
            </w:r>
            <w:r>
              <w:rPr>
                <w:rFonts w:ascii="Times New Roman" w:hAnsi="Times New Roman"/>
                <w:sz w:val="24"/>
                <w:szCs w:val="24"/>
              </w:rPr>
              <w:t>nėra sukurta</w:t>
            </w:r>
            <w:r w:rsidRPr="00385835">
              <w:rPr>
                <w:rFonts w:ascii="Times New Roman" w:hAnsi="Times New Roman"/>
                <w:sz w:val="24"/>
                <w:szCs w:val="24"/>
              </w:rPr>
              <w:t xml:space="preserve"> žmogiškųjų išteklių prognozavim</w:t>
            </w:r>
            <w:r>
              <w:rPr>
                <w:rFonts w:ascii="Times New Roman" w:hAnsi="Times New Roman"/>
                <w:sz w:val="24"/>
                <w:szCs w:val="24"/>
              </w:rPr>
              <w:t>o sistema</w:t>
            </w:r>
            <w:r w:rsidRPr="00385835">
              <w:rPr>
                <w:rFonts w:ascii="Times New Roman" w:hAnsi="Times New Roman"/>
                <w:sz w:val="24"/>
                <w:szCs w:val="24"/>
              </w:rPr>
              <w:t>, ir tai lemia itin reikšmingos informacijos trūkumą. Taip pat Lietuvoje nėra informacijos apie realią situaciją darbo rinkoje ir darbo vietų užpildymą kvalifikuotais specialistais.</w:t>
            </w:r>
          </w:p>
          <w:p w:rsidR="006C2A11" w:rsidRPr="00385835" w:rsidRDefault="006C2A11" w:rsidP="0056304C">
            <w:pPr>
              <w:spacing w:after="0" w:line="240" w:lineRule="auto"/>
              <w:ind w:firstLine="709"/>
              <w:jc w:val="both"/>
              <w:rPr>
                <w:rFonts w:ascii="Times New Roman" w:hAnsi="Times New Roman"/>
                <w:sz w:val="24"/>
                <w:szCs w:val="24"/>
              </w:rPr>
            </w:pPr>
            <w:r w:rsidRPr="00385835">
              <w:rPr>
                <w:rFonts w:ascii="Times New Roman" w:hAnsi="Times New Roman"/>
                <w:sz w:val="24"/>
                <w:szCs w:val="24"/>
              </w:rPr>
              <w:t xml:space="preserve">Nėra instrumento, skirto darbo rinkos profesinės struktūros palyginimui tarptautiniu ir šalies mastu. Esamo Lietuvos profesijų klasifikatoriaus pavidalas nėra tinkamas, informacijos pateikimo forma ir turinys nėra patogūs vartotojui. Įgyvendinus švietimo reformą ir suteikus galimybę mokiniams nusinešti mokymo </w:t>
            </w:r>
            <w:r w:rsidR="00D84ACF">
              <w:rPr>
                <w:rFonts w:ascii="Times New Roman" w:hAnsi="Times New Roman"/>
                <w:sz w:val="24"/>
                <w:szCs w:val="24"/>
              </w:rPr>
              <w:t>„</w:t>
            </w:r>
            <w:r w:rsidRPr="00385835">
              <w:rPr>
                <w:rFonts w:ascii="Times New Roman" w:hAnsi="Times New Roman"/>
                <w:sz w:val="24"/>
                <w:szCs w:val="24"/>
              </w:rPr>
              <w:t>krepšelius</w:t>
            </w:r>
            <w:r w:rsidR="00D84ACF">
              <w:rPr>
                <w:rFonts w:ascii="Times New Roman" w:hAnsi="Times New Roman"/>
                <w:sz w:val="24"/>
                <w:szCs w:val="24"/>
              </w:rPr>
              <w:t>“</w:t>
            </w:r>
            <w:r w:rsidRPr="00385835">
              <w:rPr>
                <w:rFonts w:ascii="Times New Roman" w:hAnsi="Times New Roman"/>
                <w:sz w:val="24"/>
                <w:szCs w:val="24"/>
              </w:rPr>
              <w:t xml:space="preserve"> į mokslo ir studijų programas, atsirado būtinybė suteikti jiems objektyvią informaciją apie paklausą darbo rinkoje ir įsidarbinimo perspektyvas.</w:t>
            </w:r>
          </w:p>
          <w:p w:rsidR="006C2A11" w:rsidRPr="00385835" w:rsidRDefault="006C2A11" w:rsidP="0056304C">
            <w:pPr>
              <w:spacing w:after="0" w:line="240" w:lineRule="auto"/>
              <w:ind w:firstLine="709"/>
              <w:jc w:val="both"/>
              <w:rPr>
                <w:rFonts w:ascii="Times New Roman" w:hAnsi="Times New Roman"/>
                <w:sz w:val="24"/>
                <w:szCs w:val="24"/>
              </w:rPr>
            </w:pPr>
            <w:r w:rsidRPr="00385835">
              <w:rPr>
                <w:rFonts w:ascii="Times New Roman" w:hAnsi="Times New Roman"/>
                <w:sz w:val="24"/>
                <w:szCs w:val="24"/>
              </w:rPr>
              <w:t xml:space="preserve">2014–2020 m. programavimo laikotarpiu bus tobulinamos įmonių, žmogiškųjų išteklių kvalifikacijos ir didinamos jų kompetencijos įskaitant IRT kompetencijas. Numatoma sukurti ir įdiegti </w:t>
            </w:r>
            <w:r w:rsidR="00681F07">
              <w:rPr>
                <w:rFonts w:ascii="Times New Roman" w:hAnsi="Times New Roman"/>
                <w:sz w:val="24"/>
                <w:szCs w:val="24"/>
              </w:rPr>
              <w:t>čekių sis</w:t>
            </w:r>
            <w:r w:rsidRPr="00385835">
              <w:rPr>
                <w:rFonts w:ascii="Times New Roman" w:hAnsi="Times New Roman"/>
                <w:sz w:val="24"/>
                <w:szCs w:val="24"/>
              </w:rPr>
              <w:t xml:space="preserve">temą, skirtą padidinti įmonių, ypatingai labai mažų, mažų ir vidutinių įmonių žmogiškųjų išteklių kompetencijų tobulinimo prieinamumą. </w:t>
            </w:r>
            <w:r w:rsidRPr="00555CF5">
              <w:rPr>
                <w:rFonts w:ascii="Times New Roman" w:hAnsi="Times New Roman"/>
                <w:sz w:val="24"/>
                <w:szCs w:val="24"/>
              </w:rPr>
              <w:t xml:space="preserve">Įgyvendinant </w:t>
            </w:r>
            <w:r w:rsidR="00681F07" w:rsidRPr="00555CF5">
              <w:rPr>
                <w:rFonts w:ascii="Times New Roman" w:hAnsi="Times New Roman"/>
                <w:sz w:val="24"/>
                <w:szCs w:val="24"/>
              </w:rPr>
              <w:t>čekių</w:t>
            </w:r>
            <w:r w:rsidRPr="00555CF5">
              <w:rPr>
                <w:rFonts w:ascii="Times New Roman" w:hAnsi="Times New Roman"/>
                <w:sz w:val="24"/>
                <w:szCs w:val="24"/>
              </w:rPr>
              <w:t xml:space="preserve"> sistemą</w:t>
            </w:r>
            <w:r w:rsidRPr="00385835">
              <w:rPr>
                <w:rFonts w:ascii="Times New Roman" w:hAnsi="Times New Roman"/>
                <w:sz w:val="24"/>
                <w:szCs w:val="24"/>
              </w:rPr>
              <w:t xml:space="preserve">, bus siekiama </w:t>
            </w:r>
            <w:r w:rsidRPr="00385835">
              <w:rPr>
                <w:rFonts w:ascii="Times New Roman" w:hAnsi="Times New Roman"/>
                <w:bCs/>
                <w:sz w:val="24"/>
                <w:szCs w:val="24"/>
              </w:rPr>
              <w:t>sukurti galimybę įmonėms, esant poreikiui, patobulinti savo darbuotojų kvalifikaciją, vaučerio pavidalu gauti aukštos kokybės mokymo paslaugas darbuotojams.</w:t>
            </w:r>
          </w:p>
          <w:p w:rsidR="006C2A11" w:rsidRPr="00385835" w:rsidRDefault="006C2A11" w:rsidP="0056304C">
            <w:pPr>
              <w:spacing w:after="0" w:line="240" w:lineRule="auto"/>
              <w:ind w:firstLine="709"/>
              <w:jc w:val="both"/>
              <w:rPr>
                <w:rFonts w:ascii="Times New Roman" w:hAnsi="Times New Roman"/>
                <w:sz w:val="24"/>
                <w:szCs w:val="24"/>
              </w:rPr>
            </w:pPr>
            <w:r w:rsidRPr="00385835">
              <w:rPr>
                <w:rFonts w:ascii="Times New Roman" w:hAnsi="Times New Roman"/>
                <w:sz w:val="24"/>
                <w:szCs w:val="24"/>
              </w:rPr>
              <w:t>Numatoma remti investuojančių įmonių personalo rengimo poreikius. Taip pat planuojama teikti paramą inovacijas diegiančių įmonių darbuotojų gebėjimų dirbti su naujomis technologijomis ugdymui. Taip pat 2014–2020 m. programavimo laikotarpiu numatoma sukurti žmogiškųjų išteklių stebėsenos, prognozavimo ir plėtros sistemą, kuri apims</w:t>
            </w:r>
            <w:r>
              <w:rPr>
                <w:rFonts w:ascii="Times New Roman" w:hAnsi="Times New Roman"/>
                <w:sz w:val="24"/>
                <w:szCs w:val="24"/>
              </w:rPr>
              <w:t xml:space="preserve"> vidutinės trukmės</w:t>
            </w:r>
            <w:r w:rsidRPr="00385835">
              <w:rPr>
                <w:rFonts w:ascii="Times New Roman" w:hAnsi="Times New Roman"/>
                <w:sz w:val="24"/>
                <w:szCs w:val="24"/>
              </w:rPr>
              <w:t xml:space="preserve"> žmogiškųjų išteklių paklausos </w:t>
            </w:r>
            <w:r>
              <w:rPr>
                <w:rFonts w:ascii="Times New Roman" w:hAnsi="Times New Roman"/>
                <w:sz w:val="24"/>
                <w:szCs w:val="24"/>
              </w:rPr>
              <w:t>prognostinius tyrimus, prognozavimo rezultatų sklaidą,</w:t>
            </w:r>
            <w:r w:rsidRPr="00385835">
              <w:rPr>
                <w:rFonts w:ascii="Times New Roman" w:hAnsi="Times New Roman"/>
                <w:sz w:val="24"/>
                <w:szCs w:val="24"/>
              </w:rPr>
              <w:t xml:space="preserve"> taip pat </w:t>
            </w:r>
            <w:r w:rsidRPr="00385835">
              <w:rPr>
                <w:rFonts w:ascii="Times New Roman" w:hAnsi="Times New Roman"/>
                <w:sz w:val="24"/>
                <w:szCs w:val="24"/>
              </w:rPr>
              <w:lastRenderedPageBreak/>
              <w:t xml:space="preserve">profesijų klasifikatoriaus </w:t>
            </w:r>
            <w:r w:rsidRPr="00385835">
              <w:rPr>
                <w:rFonts w:ascii="Times New Roman" w:hAnsi="Times New Roman"/>
                <w:bCs/>
                <w:iCs/>
                <w:sz w:val="24"/>
                <w:szCs w:val="24"/>
              </w:rPr>
              <w:t xml:space="preserve">funkcionalumo užtikrinimą bei plėtrą, </w:t>
            </w:r>
            <w:r>
              <w:rPr>
                <w:rFonts w:ascii="Times New Roman" w:hAnsi="Times New Roman"/>
                <w:bCs/>
                <w:iCs/>
                <w:sz w:val="24"/>
                <w:szCs w:val="24"/>
              </w:rPr>
              <w:t>parengiant išplėstinę Lietuvos profesijų klasifikatoriaus versiją, kurios turinys ir informacijos pateikimo forma bus patogi plačiam vartotojų ratui.</w:t>
            </w:r>
          </w:p>
          <w:p w:rsidR="00385835" w:rsidRPr="006C2A11" w:rsidRDefault="006C2A11" w:rsidP="0056304C">
            <w:pPr>
              <w:spacing w:after="0" w:line="240" w:lineRule="auto"/>
              <w:ind w:firstLine="743"/>
              <w:jc w:val="both"/>
            </w:pPr>
            <w:r w:rsidRPr="00385835">
              <w:rPr>
                <w:rFonts w:ascii="Times New Roman" w:hAnsi="Times New Roman"/>
                <w:sz w:val="24"/>
                <w:szCs w:val="24"/>
              </w:rPr>
              <w:t xml:space="preserve">Žmogiškųjų išteklių paklausos darbo rinkoje prognostinių tyrimų rezultatus numatoma panaudoti profesiniam orientavimui, sukuriant profesinio orientavimo produktus tikslinėms grupėms. </w:t>
            </w:r>
          </w:p>
        </w:tc>
      </w:tr>
    </w:tbl>
    <w:p w:rsidR="00031EF1" w:rsidRPr="00385835" w:rsidRDefault="00031EF1"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491"/>
        <w:gridCol w:w="2344"/>
        <w:gridCol w:w="993"/>
        <w:gridCol w:w="992"/>
        <w:gridCol w:w="709"/>
        <w:gridCol w:w="708"/>
        <w:gridCol w:w="709"/>
        <w:gridCol w:w="709"/>
        <w:gridCol w:w="567"/>
        <w:gridCol w:w="850"/>
        <w:gridCol w:w="674"/>
      </w:tblGrid>
      <w:tr w:rsidR="00385835" w:rsidRPr="00385835" w:rsidTr="00385835">
        <w:tc>
          <w:tcPr>
            <w:tcW w:w="9746" w:type="dxa"/>
            <w:gridSpan w:val="11"/>
            <w:shd w:val="clear" w:color="auto" w:fill="EEECE1"/>
          </w:tcPr>
          <w:p w:rsidR="00385835" w:rsidRPr="00385835" w:rsidRDefault="00385835" w:rsidP="00D94011">
            <w:pPr>
              <w:widowControl w:val="0"/>
              <w:tabs>
                <w:tab w:val="left" w:pos="622"/>
              </w:tabs>
              <w:spacing w:after="0" w:line="240" w:lineRule="auto"/>
              <w:jc w:val="both"/>
              <w:rPr>
                <w:rFonts w:ascii="Times New Roman" w:eastAsia="AngsanaUPC" w:hAnsi="Times New Roman"/>
                <w:b/>
                <w:bCs/>
                <w:i/>
                <w:iCs/>
                <w:sz w:val="24"/>
                <w:szCs w:val="24"/>
                <w:lang w:eastAsia="lt-LT"/>
              </w:rPr>
            </w:pPr>
            <w:r w:rsidRPr="00385835">
              <w:rPr>
                <w:rFonts w:ascii="Times New Roman" w:eastAsia="AngsanaUPC" w:hAnsi="Times New Roman"/>
                <w:b/>
                <w:bCs/>
                <w:i/>
                <w:iCs/>
                <w:sz w:val="24"/>
                <w:szCs w:val="24"/>
                <w:lang w:eastAsia="lt-LT"/>
              </w:rPr>
              <w:t xml:space="preserve">ESF bendrieji ir </w:t>
            </w:r>
            <w:r w:rsidR="00D94011">
              <w:rPr>
                <w:rFonts w:ascii="Times New Roman" w:eastAsia="AngsanaUPC" w:hAnsi="Times New Roman"/>
                <w:b/>
                <w:bCs/>
                <w:i/>
                <w:iCs/>
                <w:sz w:val="24"/>
                <w:szCs w:val="24"/>
                <w:lang w:eastAsia="lt-LT"/>
              </w:rPr>
              <w:t>specialieji</w:t>
            </w:r>
            <w:r w:rsidR="00D94011" w:rsidRPr="00385835">
              <w:rPr>
                <w:rFonts w:ascii="Times New Roman" w:eastAsia="AngsanaUPC" w:hAnsi="Times New Roman"/>
                <w:b/>
                <w:bCs/>
                <w:i/>
                <w:iCs/>
                <w:sz w:val="24"/>
                <w:szCs w:val="24"/>
                <w:lang w:eastAsia="lt-LT"/>
              </w:rPr>
              <w:t xml:space="preserve"> </w:t>
            </w:r>
            <w:r w:rsidRPr="00385835">
              <w:rPr>
                <w:rFonts w:ascii="Times New Roman" w:eastAsia="AngsanaUPC" w:hAnsi="Times New Roman"/>
                <w:b/>
                <w:bCs/>
                <w:i/>
                <w:iCs/>
                <w:sz w:val="24"/>
                <w:szCs w:val="24"/>
                <w:lang w:eastAsia="lt-LT"/>
              </w:rPr>
              <w:t>programos rezultato rodikliai</w:t>
            </w:r>
          </w:p>
        </w:tc>
      </w:tr>
      <w:tr w:rsidR="00385835" w:rsidRPr="00385835" w:rsidTr="0056304C">
        <w:tblPrEx>
          <w:shd w:val="clear" w:color="auto" w:fill="auto"/>
        </w:tblPrEx>
        <w:trPr>
          <w:cantSplit/>
          <w:trHeight w:val="1868"/>
        </w:trPr>
        <w:tc>
          <w:tcPr>
            <w:tcW w:w="49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Nr.</w:t>
            </w:r>
          </w:p>
        </w:tc>
        <w:tc>
          <w:tcPr>
            <w:tcW w:w="234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Rodiklio pavadinimas</w:t>
            </w:r>
          </w:p>
        </w:tc>
        <w:tc>
          <w:tcPr>
            <w:tcW w:w="993"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Regiono kategorija</w:t>
            </w:r>
          </w:p>
        </w:tc>
        <w:tc>
          <w:tcPr>
            <w:tcW w:w="992"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Matavimo vienetas</w:t>
            </w:r>
          </w:p>
        </w:tc>
        <w:tc>
          <w:tcPr>
            <w:tcW w:w="709"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Bendrasis produkto rodiklis, naudotas kaip pagrindas</w:t>
            </w:r>
          </w:p>
        </w:tc>
        <w:tc>
          <w:tcPr>
            <w:tcW w:w="708"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 reikšmė</w:t>
            </w:r>
          </w:p>
        </w:tc>
        <w:tc>
          <w:tcPr>
            <w:tcW w:w="709"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Pradinės ir siektinos reikšmės matavimo vienetai</w:t>
            </w:r>
          </w:p>
        </w:tc>
        <w:tc>
          <w:tcPr>
            <w:tcW w:w="709"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Pradinės reikšmės metai</w:t>
            </w:r>
          </w:p>
        </w:tc>
        <w:tc>
          <w:tcPr>
            <w:tcW w:w="567"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Siektina reikšmė (2023)</w:t>
            </w:r>
          </w:p>
        </w:tc>
        <w:tc>
          <w:tcPr>
            <w:tcW w:w="850"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Duomenų šaltinis</w:t>
            </w:r>
          </w:p>
        </w:tc>
        <w:tc>
          <w:tcPr>
            <w:tcW w:w="674"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Atsiskaitymo dažnumas</w:t>
            </w:r>
          </w:p>
        </w:tc>
      </w:tr>
      <w:tr w:rsidR="00E470BA" w:rsidRPr="00385835" w:rsidTr="00385835">
        <w:tblPrEx>
          <w:shd w:val="clear" w:color="auto" w:fill="auto"/>
        </w:tblPrEx>
        <w:tc>
          <w:tcPr>
            <w:tcW w:w="491" w:type="dxa"/>
            <w:shd w:val="clear" w:color="auto" w:fill="auto"/>
            <w:vAlign w:val="center"/>
          </w:tcPr>
          <w:p w:rsidR="00E470BA" w:rsidRPr="00385835" w:rsidRDefault="00E470BA"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w:t>
            </w:r>
          </w:p>
        </w:tc>
        <w:tc>
          <w:tcPr>
            <w:tcW w:w="2344" w:type="dxa"/>
            <w:shd w:val="clear" w:color="auto" w:fill="auto"/>
            <w:vAlign w:val="center"/>
          </w:tcPr>
          <w:p w:rsidR="00E470BA" w:rsidRPr="00385835" w:rsidRDefault="00E470BA" w:rsidP="00385835">
            <w:pPr>
              <w:spacing w:after="0" w:line="240" w:lineRule="auto"/>
              <w:rPr>
                <w:rFonts w:ascii="Times New Roman" w:eastAsia="Times New Roman" w:hAnsi="Times New Roman"/>
                <w:bCs/>
                <w:sz w:val="18"/>
                <w:szCs w:val="18"/>
              </w:rPr>
            </w:pPr>
            <w:r w:rsidRPr="00385835">
              <w:rPr>
                <w:rFonts w:ascii="Times New Roman" w:hAnsi="Times New Roman"/>
                <w:bCs/>
                <w:sz w:val="18"/>
                <w:szCs w:val="18"/>
              </w:rPr>
              <w:t>Sėkmingai mokymus baigusių asmenų, kurie taiko įgytas žinias darbe, dalis praėjus ne mažiau kaip 6 mėn., bet ne daugiau kaip 24 mėn. po dalyvavimo ESF veiklose</w:t>
            </w:r>
          </w:p>
        </w:tc>
        <w:tc>
          <w:tcPr>
            <w:tcW w:w="993" w:type="dxa"/>
            <w:shd w:val="clear" w:color="auto" w:fill="auto"/>
            <w:vAlign w:val="center"/>
          </w:tcPr>
          <w:p w:rsidR="00E470BA" w:rsidRPr="00385835" w:rsidRDefault="00E470BA" w:rsidP="00385835">
            <w:pPr>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Mažiau išsivystęs</w:t>
            </w:r>
          </w:p>
        </w:tc>
        <w:tc>
          <w:tcPr>
            <w:tcW w:w="992" w:type="dxa"/>
            <w:shd w:val="clear" w:color="auto" w:fill="auto"/>
            <w:vAlign w:val="center"/>
          </w:tcPr>
          <w:p w:rsidR="00E470BA" w:rsidRPr="00385835" w:rsidRDefault="00E470BA" w:rsidP="00385835">
            <w:pPr>
              <w:spacing w:after="0" w:line="240" w:lineRule="auto"/>
              <w:jc w:val="center"/>
              <w:rPr>
                <w:rFonts w:ascii="Times New Roman" w:hAnsi="Times New Roman"/>
                <w:sz w:val="18"/>
                <w:szCs w:val="18"/>
              </w:rPr>
            </w:pPr>
            <w:r w:rsidRPr="00385835">
              <w:rPr>
                <w:rFonts w:ascii="Times New Roman" w:eastAsia="Times New Roman" w:hAnsi="Times New Roman"/>
                <w:bCs/>
                <w:sz w:val="18"/>
                <w:szCs w:val="18"/>
              </w:rPr>
              <w:t>Asmenys</w:t>
            </w:r>
          </w:p>
        </w:tc>
        <w:tc>
          <w:tcPr>
            <w:tcW w:w="709" w:type="dxa"/>
            <w:shd w:val="clear" w:color="auto" w:fill="auto"/>
            <w:vAlign w:val="center"/>
          </w:tcPr>
          <w:p w:rsidR="00E470BA" w:rsidRPr="00385835" w:rsidRDefault="00E470BA"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w:t>
            </w:r>
          </w:p>
        </w:tc>
        <w:tc>
          <w:tcPr>
            <w:tcW w:w="708" w:type="dxa"/>
            <w:shd w:val="clear" w:color="auto" w:fill="auto"/>
            <w:vAlign w:val="center"/>
          </w:tcPr>
          <w:p w:rsidR="00E470BA" w:rsidRPr="00385835" w:rsidRDefault="00E470BA"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58,52</w:t>
            </w:r>
          </w:p>
        </w:tc>
        <w:tc>
          <w:tcPr>
            <w:tcW w:w="709" w:type="dxa"/>
            <w:shd w:val="clear" w:color="auto" w:fill="auto"/>
            <w:vAlign w:val="center"/>
          </w:tcPr>
          <w:p w:rsidR="00E470BA" w:rsidRPr="00385835" w:rsidRDefault="00E470BA"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Proc.</w:t>
            </w:r>
          </w:p>
        </w:tc>
        <w:tc>
          <w:tcPr>
            <w:tcW w:w="709" w:type="dxa"/>
            <w:shd w:val="clear" w:color="auto" w:fill="auto"/>
            <w:vAlign w:val="center"/>
          </w:tcPr>
          <w:p w:rsidR="00E470BA" w:rsidRPr="00385835" w:rsidRDefault="00E470BA"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2013</w:t>
            </w:r>
          </w:p>
        </w:tc>
        <w:tc>
          <w:tcPr>
            <w:tcW w:w="567" w:type="dxa"/>
            <w:shd w:val="clear" w:color="auto" w:fill="auto"/>
            <w:vAlign w:val="center"/>
          </w:tcPr>
          <w:p w:rsidR="00E470BA" w:rsidRPr="00385835" w:rsidRDefault="00E470BA"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hAnsi="Times New Roman"/>
                <w:bCs/>
                <w:sz w:val="18"/>
                <w:szCs w:val="18"/>
              </w:rPr>
              <w:t>85</w:t>
            </w:r>
          </w:p>
        </w:tc>
        <w:tc>
          <w:tcPr>
            <w:tcW w:w="850" w:type="dxa"/>
            <w:shd w:val="clear" w:color="auto" w:fill="auto"/>
            <w:vAlign w:val="center"/>
          </w:tcPr>
          <w:p w:rsidR="00E470BA" w:rsidRPr="00385835" w:rsidRDefault="00E470BA"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hAnsi="Times New Roman"/>
                <w:sz w:val="18"/>
                <w:szCs w:val="18"/>
                <w:shd w:val="clear" w:color="auto" w:fill="FFFFFF"/>
              </w:rPr>
              <w:t>Tyrimas</w:t>
            </w:r>
          </w:p>
        </w:tc>
        <w:tc>
          <w:tcPr>
            <w:tcW w:w="674" w:type="dxa"/>
            <w:shd w:val="clear" w:color="auto" w:fill="auto"/>
            <w:vAlign w:val="center"/>
          </w:tcPr>
          <w:p w:rsidR="00E470BA" w:rsidRPr="00385835" w:rsidRDefault="00E470BA"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3 kartus per laiko</w:t>
            </w:r>
            <w:proofErr w:type="gramStart"/>
            <w:r w:rsidR="003C4705">
              <w:rPr>
                <w:rFonts w:ascii="Times New Roman" w:eastAsia="AngsanaUPC" w:hAnsi="Times New Roman"/>
                <w:bCs/>
                <w:iCs/>
                <w:sz w:val="18"/>
                <w:szCs w:val="18"/>
                <w:lang w:eastAsia="lt-LT"/>
              </w:rPr>
              <w:t>-</w:t>
            </w:r>
            <w:proofErr w:type="gramEnd"/>
            <w:r w:rsidRPr="00385835">
              <w:rPr>
                <w:rFonts w:ascii="Times New Roman" w:eastAsia="AngsanaUPC" w:hAnsi="Times New Roman"/>
                <w:bCs/>
                <w:iCs/>
                <w:sz w:val="18"/>
                <w:szCs w:val="18"/>
                <w:lang w:eastAsia="lt-LT"/>
              </w:rPr>
              <w:t>tarpį</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385835" w:rsidRPr="00385835" w:rsidTr="00385835">
        <w:tc>
          <w:tcPr>
            <w:tcW w:w="9746" w:type="dxa"/>
            <w:tcBorders>
              <w:top w:val="single" w:sz="4" w:space="0" w:color="auto"/>
              <w:left w:val="single" w:sz="4" w:space="0" w:color="auto"/>
              <w:bottom w:val="single" w:sz="4" w:space="0" w:color="auto"/>
              <w:right w:val="single" w:sz="4" w:space="0" w:color="auto"/>
            </w:tcBorders>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Cs/>
                <w:iCs/>
                <w:sz w:val="24"/>
                <w:szCs w:val="24"/>
                <w:lang w:eastAsia="lt-LT"/>
              </w:rPr>
            </w:pPr>
            <w:r w:rsidRPr="00385835">
              <w:rPr>
                <w:rFonts w:ascii="Times New Roman" w:eastAsia="AngsanaUPC" w:hAnsi="Times New Roman"/>
                <w:b/>
                <w:bCs/>
                <w:i/>
                <w:iCs/>
                <w:sz w:val="24"/>
                <w:szCs w:val="24"/>
                <w:lang w:eastAsia="lt-LT"/>
              </w:rPr>
              <w:t>9.4. Investicinio prioriteto įgyvendinimo veiklos</w:t>
            </w:r>
          </w:p>
        </w:tc>
      </w:tr>
      <w:tr w:rsidR="00385835" w:rsidRPr="00385835" w:rsidTr="00385835">
        <w:tc>
          <w:tcPr>
            <w:tcW w:w="9746" w:type="dxa"/>
            <w:shd w:val="clear" w:color="auto" w:fill="auto"/>
          </w:tcPr>
          <w:p w:rsidR="00385835" w:rsidRPr="00385835" w:rsidRDefault="00385835" w:rsidP="0056304C">
            <w:pPr>
              <w:widowControl w:val="0"/>
              <w:tabs>
                <w:tab w:val="left" w:pos="622"/>
                <w:tab w:val="left" w:pos="1665"/>
              </w:tabs>
              <w:spacing w:after="0" w:line="240" w:lineRule="auto"/>
              <w:ind w:left="34"/>
              <w:jc w:val="both"/>
              <w:rPr>
                <w:rFonts w:ascii="Times New Roman" w:eastAsia="AngsanaUPC" w:hAnsi="Times New Roman"/>
                <w:bCs/>
                <w:i/>
                <w:iCs/>
                <w:sz w:val="24"/>
                <w:szCs w:val="24"/>
                <w:lang w:eastAsia="lt-LT"/>
              </w:rPr>
            </w:pPr>
            <w:r w:rsidRPr="00385835">
              <w:rPr>
                <w:rFonts w:ascii="Times New Roman" w:eastAsia="AngsanaUPC" w:hAnsi="Times New Roman"/>
                <w:bCs/>
                <w:i/>
                <w:iCs/>
                <w:sz w:val="24"/>
                <w:szCs w:val="24"/>
                <w:lang w:eastAsia="lt-LT"/>
              </w:rPr>
              <w:t>9.4.1. konkretaus uždavinio veiklos:</w:t>
            </w:r>
          </w:p>
          <w:p w:rsidR="00385835" w:rsidRPr="00385835" w:rsidRDefault="00385835" w:rsidP="0056304C">
            <w:pPr>
              <w:widowControl w:val="0"/>
              <w:numPr>
                <w:ilvl w:val="0"/>
                <w:numId w:val="40"/>
              </w:numPr>
              <w:tabs>
                <w:tab w:val="left" w:pos="459"/>
                <w:tab w:val="left" w:pos="1665"/>
              </w:tabs>
              <w:spacing w:after="0" w:line="240" w:lineRule="auto"/>
              <w:ind w:left="34"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Parama Lietuvos kvalifikacijų sandaros ir šiuolaikiško švietimo turinio formavimui: profesinių standartų rengimas; socialinių partnerių įtraukimas į kvalifikacijų ir mokymo turinio formavimą, naujų mokymo metodų diegimą ir mokymo programų įgyvendinimą; profesinio mokymo ir neuniversitetinių studijų, bendrojo ugdymo ir profesinio mokymo suartinimo veiklos, modulinių programų rengimas ir jų diegimas; mokymosi rezultatais grindžiamos kvalifikacijų sistemos plėtra; mokymosi visą gyvenimą turinio skaitmeninimas ir atviros prieigos užtikrinimas, modulinių mokymo programų katalogo sukūrimas ir viešinimas.</w:t>
            </w:r>
          </w:p>
          <w:p w:rsidR="00385835" w:rsidRPr="00385835" w:rsidRDefault="00385835" w:rsidP="0056304C">
            <w:pPr>
              <w:widowControl w:val="0"/>
              <w:numPr>
                <w:ilvl w:val="0"/>
                <w:numId w:val="40"/>
              </w:numPr>
              <w:tabs>
                <w:tab w:val="left" w:pos="459"/>
                <w:tab w:val="left" w:pos="1665"/>
              </w:tabs>
              <w:spacing w:after="0" w:line="240" w:lineRule="auto"/>
              <w:ind w:left="34"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Įvairias būdais įgytų kompetencijų ir kvalifikacijų vertinimo ir pripažinimo sistemos tobulinimas: asmens įgytų kompetencijų vertinimo sistemos plėtra, užduočių banko sukūrimas; užsienyje įgyto išsilavinimo, kvalifikacijos pripažinimo sistemos veiklos užtikrinimas ir elektroninės pripažinimo erdvės palaikymas bei tobulinimas; galimybių pripažinti kompetencijas viešinimas.</w:t>
            </w:r>
          </w:p>
          <w:p w:rsidR="00385835" w:rsidRPr="00385835" w:rsidRDefault="00385835" w:rsidP="0056304C">
            <w:pPr>
              <w:widowControl w:val="0"/>
              <w:numPr>
                <w:ilvl w:val="0"/>
                <w:numId w:val="40"/>
              </w:numPr>
              <w:tabs>
                <w:tab w:val="left" w:pos="459"/>
                <w:tab w:val="left" w:pos="1665"/>
              </w:tabs>
              <w:spacing w:after="0" w:line="240" w:lineRule="auto"/>
              <w:ind w:left="34"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Praktinių įgūdžių įgijimo rėmimas dalyvaujantiems formaliojo švietimo programose ir pagalba mokiniams iš socialiai jautrių grupių: galimybės atlikti praktinio mokymo dalį aukšto technologinio lygio sektoriniuose praktinio mokymo centruose, pasirengimo darbo rinkai užbaigimas praktikose pas darbdavius arba pameistrystės programose; už mokinių praktikas ir pameistrystę įmonėse, bendrovėse ar ūkiuose atsakingų darbuotojų mokymas; socialinės ir finansinės paskatos bei pagalba mokiniams iš socialiai jautrių grupių profesiniame mokyme.</w:t>
            </w:r>
          </w:p>
          <w:p w:rsidR="00385835" w:rsidRPr="00385835" w:rsidRDefault="00385835" w:rsidP="0056304C">
            <w:pPr>
              <w:widowControl w:val="0"/>
              <w:numPr>
                <w:ilvl w:val="0"/>
                <w:numId w:val="40"/>
              </w:numPr>
              <w:tabs>
                <w:tab w:val="left" w:pos="459"/>
                <w:tab w:val="left" w:pos="1665"/>
              </w:tabs>
              <w:spacing w:after="0" w:line="240" w:lineRule="auto"/>
              <w:ind w:left="34"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Švietimo valdymo sistemų ir procesų tobulinimas švietime: informacinių sistemų ir registrų tolesnė plėtra, ypač sąsajų tarpusavyje ir su kitomis valstybės informacinėmis sistemomis ir registrais gerinimas; švietimo politikos stebėsenos ir vertinimo stiprinimas, stiprinant švietimo analitinį potencialą ir prielaidas įrodymais grįstam valdymui; elektroninių švietimo procesų valdymo priemonių diegimas, suaugusiųjų mokymosi poreikių, mokymų efektyvumo, pritaikomumo tyrimai; išorinis ir vidinis profesinio mokymo įstaigų ir programų vertinimas ir vertinimo rezultatų sklaida.</w:t>
            </w:r>
          </w:p>
          <w:p w:rsidR="00385835" w:rsidRPr="00385835" w:rsidRDefault="00385835" w:rsidP="0056304C">
            <w:pPr>
              <w:widowControl w:val="0"/>
              <w:numPr>
                <w:ilvl w:val="0"/>
                <w:numId w:val="40"/>
              </w:numPr>
              <w:tabs>
                <w:tab w:val="left" w:pos="459"/>
                <w:tab w:val="left" w:pos="1665"/>
              </w:tabs>
              <w:spacing w:after="0" w:line="240" w:lineRule="auto"/>
              <w:ind w:left="34"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 xml:space="preserve">Profesinio, suaugusiųjų mokymo ir bendrojo ugdymo vadovų ir bendruomenės lyderių gebėjimų didinimas vykdyti kokybinius pokyčius švietimo įstaigų veikloje ir kokybės užtikrinimo </w:t>
            </w:r>
            <w:r w:rsidRPr="00385835">
              <w:rPr>
                <w:rFonts w:ascii="Times New Roman" w:eastAsia="AngsanaUPC" w:hAnsi="Times New Roman"/>
                <w:bCs/>
                <w:iCs/>
                <w:sz w:val="24"/>
                <w:szCs w:val="24"/>
                <w:lang w:eastAsia="lt-LT"/>
              </w:rPr>
              <w:lastRenderedPageBreak/>
              <w:t>procesų stiprinimas: švietimo vadybos studijos remiantis geriausia tarptautine praktika, konsultavimas, mentorystė ir tarpusavio pagalba, kitų iniciatyvų, skirtų švietimo lyderystės ugdymui, įgyvendinimas. Išorinis ir vidinis profesinio mokymo įstaigų ir programų vertinimas ir vertinimo rezultatų sklaida.</w:t>
            </w:r>
          </w:p>
          <w:p w:rsidR="00385835" w:rsidRPr="00385835" w:rsidRDefault="00385835" w:rsidP="0056304C">
            <w:pPr>
              <w:widowControl w:val="0"/>
              <w:numPr>
                <w:ilvl w:val="0"/>
                <w:numId w:val="40"/>
              </w:numPr>
              <w:tabs>
                <w:tab w:val="left" w:pos="459"/>
                <w:tab w:val="left" w:pos="1665"/>
              </w:tabs>
              <w:spacing w:after="0" w:line="240" w:lineRule="auto"/>
              <w:ind w:left="34"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Mokymosi visą gyvenimą sampratos populiarinimas; mokymosi visą gyvenimą regioninio tinklo koordinavimo stiprinimas, profesinio mokymo įvaizdžio gerinimas ir patrauklumo didinimas: profesinio meistriškumo konkursai, kokybės apdovanojimai ir kitos veiklos įgyvendinamos glaudžiai bendradarbiaujant su socialiniais partneriais.</w:t>
            </w:r>
          </w:p>
          <w:p w:rsidR="00385835" w:rsidRPr="00385835" w:rsidRDefault="00385835" w:rsidP="0056304C">
            <w:pPr>
              <w:widowControl w:val="0"/>
              <w:numPr>
                <w:ilvl w:val="0"/>
                <w:numId w:val="40"/>
              </w:numPr>
              <w:tabs>
                <w:tab w:val="left" w:pos="459"/>
                <w:tab w:val="left" w:pos="1665"/>
              </w:tabs>
              <w:spacing w:after="0" w:line="240" w:lineRule="auto"/>
              <w:ind w:left="34"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Kokybiškų karjeros paslaugų teikimas realioje ir virtualioje aplinkoje (besimokantiesiems bendrojo ugdymo mokyklose, profesinio mokymo įstaigose, aukštosiose mokyklose, ypač suaugusiems ir anksti pasitraukusiems iš švietimo sistemos asmenims) ir parama šių paslaugų prieinamumo užtikrinimui. Karjeros planavimui ir valdymui skirtų priemonių ir informacijos (apimančios žinių apie kompetencijų pasiūlą bei paklausą kaupimą bei sklaidą) prieinamumo užtikrinimas, švietimo įstaigų ir darbdavių iniciatyvos, skirtos besimokančiųjų informuotumui apie profesines karjeros perspektyvas stiprinimui.</w:t>
            </w:r>
          </w:p>
          <w:p w:rsidR="00385835" w:rsidRPr="00385835" w:rsidRDefault="00385835" w:rsidP="0056304C">
            <w:pPr>
              <w:widowControl w:val="0"/>
              <w:tabs>
                <w:tab w:val="left" w:pos="622"/>
                <w:tab w:val="left" w:pos="1665"/>
              </w:tabs>
              <w:spacing w:after="0" w:line="240" w:lineRule="auto"/>
              <w:jc w:val="both"/>
              <w:rPr>
                <w:rFonts w:ascii="Times New Roman" w:eastAsia="AngsanaUPC" w:hAnsi="Times New Roman"/>
                <w:bCs/>
                <w:i/>
                <w:iCs/>
                <w:sz w:val="24"/>
                <w:szCs w:val="24"/>
                <w:lang w:eastAsia="lt-LT"/>
              </w:rPr>
            </w:pPr>
            <w:r w:rsidRPr="00385835">
              <w:rPr>
                <w:rFonts w:ascii="Times New Roman" w:eastAsia="AngsanaUPC" w:hAnsi="Times New Roman"/>
                <w:bCs/>
                <w:i/>
                <w:iCs/>
                <w:sz w:val="24"/>
                <w:szCs w:val="24"/>
                <w:lang w:eastAsia="lt-LT"/>
              </w:rPr>
              <w:t>9.4.2. konkretaus uždavinio veiklos:</w:t>
            </w:r>
          </w:p>
          <w:p w:rsidR="00385835" w:rsidRPr="00385835" w:rsidRDefault="00385835" w:rsidP="0056304C">
            <w:pPr>
              <w:widowControl w:val="0"/>
              <w:numPr>
                <w:ilvl w:val="0"/>
                <w:numId w:val="41"/>
              </w:numPr>
              <w:tabs>
                <w:tab w:val="left" w:pos="459"/>
                <w:tab w:val="left" w:pos="1665"/>
              </w:tabs>
              <w:spacing w:after="0" w:line="240" w:lineRule="auto"/>
              <w:ind w:left="34"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Paskatos ir sąlygos mažiau besimokančių suaugusiųjų grupių turimų kompetencijų įvertinimui, pripažinimui ar įsitraukimui į bendrojo ugdymo, profesinio mokymo ir studijų programas, modulius visų pakopų kvalifikacijoms įgyti (pagal Europos kvalifikacijų sandarą (EKS), ypač didelį dėmesį skiriant 1</w:t>
            </w:r>
            <w:proofErr w:type="gramStart"/>
            <w:r w:rsidRPr="00385835">
              <w:rPr>
                <w:rFonts w:ascii="Times New Roman" w:eastAsia="AngsanaUPC" w:hAnsi="Times New Roman"/>
                <w:bCs/>
                <w:iCs/>
                <w:sz w:val="24"/>
                <w:szCs w:val="24"/>
                <w:lang w:eastAsia="lt-LT"/>
              </w:rPr>
              <w:t>-</w:t>
            </w:r>
            <w:proofErr w:type="gramEnd"/>
            <w:r w:rsidRPr="00385835">
              <w:rPr>
                <w:rFonts w:ascii="Times New Roman" w:eastAsia="AngsanaUPC" w:hAnsi="Times New Roman"/>
                <w:bCs/>
                <w:iCs/>
                <w:sz w:val="24"/>
                <w:szCs w:val="24"/>
                <w:lang w:eastAsia="lt-LT"/>
              </w:rPr>
              <w:t>4 EKS pakopų kvalifikacijoms įgyti. Vyresnio amžiaus asmenims numatoma atverti galimybes įgyti pirmą aukštąjį išsilavinimą ir plėtoti senjorų mokymosi galimybes.</w:t>
            </w:r>
          </w:p>
          <w:p w:rsidR="00385835" w:rsidRPr="00385835" w:rsidRDefault="00385835" w:rsidP="0056304C">
            <w:pPr>
              <w:widowControl w:val="0"/>
              <w:numPr>
                <w:ilvl w:val="0"/>
                <w:numId w:val="41"/>
              </w:numPr>
              <w:tabs>
                <w:tab w:val="left" w:pos="459"/>
                <w:tab w:val="left" w:pos="1665"/>
              </w:tabs>
              <w:spacing w:after="0" w:line="240" w:lineRule="auto"/>
              <w:ind w:left="34"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Profesinio mokymo, suaugusiųjų švietimo ir kitų pedagoginių darbuotojų kvalifikacijos tobulinimas: profesijos mokytojų technologinių kompetencijų tobulinimas (mokymas per pameistrystę, praktinį mokymą darbo vietoje), profesinio ir suaugusiųjų mokymo įstaigų mokytojų tarptautinės patirties įgijimo rėmimas, pedagoginių, kūrybinių, verslumo, dalykinių ir bendrųjų kompetencijų tobulinimas, rengimas darbui su naujai parengtomis programomis, metodikomis, mokymo priemonėmis ir nauja įranga, bendrojo ugdymo mokytojų bendrųjų ir dalykinių kompetencijų tobulinimas.</w:t>
            </w:r>
          </w:p>
          <w:p w:rsidR="00385835" w:rsidRPr="00385835" w:rsidRDefault="00385835" w:rsidP="0056304C">
            <w:pPr>
              <w:widowControl w:val="0"/>
              <w:numPr>
                <w:ilvl w:val="0"/>
                <w:numId w:val="41"/>
              </w:numPr>
              <w:tabs>
                <w:tab w:val="left" w:pos="459"/>
                <w:tab w:val="left" w:pos="1665"/>
              </w:tabs>
              <w:spacing w:after="0" w:line="240" w:lineRule="auto"/>
              <w:ind w:left="34"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Profesinio, suaugusiųjų mokymo ir bendrojo ugdymo vadovų ir bendruomenės lyderių gebėjimų didinimas vykdyti kokybinius pokyčius švietimo įstaigų veikloje ir kokybės užtikrinimo procesų stiprinimas: švietimo vadybos studijos remiantis geriausia tarptautine praktika, konsultavimas, mentorystė ir tarpusavio pagalba, kitų iniciatyvų, skirtų švietimo lyderystės ugdymui, įgyvendinimas.</w:t>
            </w:r>
          </w:p>
          <w:p w:rsidR="00385835" w:rsidRPr="00385835" w:rsidRDefault="00385835" w:rsidP="0056304C">
            <w:pPr>
              <w:widowControl w:val="0"/>
              <w:numPr>
                <w:ilvl w:val="0"/>
                <w:numId w:val="41"/>
              </w:numPr>
              <w:tabs>
                <w:tab w:val="left" w:pos="459"/>
                <w:tab w:val="left" w:pos="1665"/>
              </w:tabs>
              <w:spacing w:after="0" w:line="240" w:lineRule="auto"/>
              <w:ind w:left="34"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Viešųjų paslaugų darbuotojų kompetencijos ir kvalifikacijos tobulinimas siekiant paskatinti jų mokymąsi visą gyvenimą, padidinti viešųjų paslaugų kokybę, prieinamumą ir remti vykdomas viešųjų paslaugų sistemų reformas.</w:t>
            </w:r>
          </w:p>
          <w:p w:rsidR="006C2A11" w:rsidRPr="00385835" w:rsidRDefault="006C2A11" w:rsidP="0056304C">
            <w:pPr>
              <w:widowControl w:val="0"/>
              <w:tabs>
                <w:tab w:val="left" w:pos="622"/>
                <w:tab w:val="left" w:pos="1665"/>
              </w:tabs>
              <w:spacing w:after="0" w:line="240" w:lineRule="auto"/>
              <w:jc w:val="both"/>
              <w:rPr>
                <w:rFonts w:ascii="Times New Roman" w:eastAsia="AngsanaUPC" w:hAnsi="Times New Roman"/>
                <w:bCs/>
                <w:i/>
                <w:iCs/>
                <w:sz w:val="24"/>
                <w:szCs w:val="24"/>
                <w:lang w:eastAsia="lt-LT"/>
              </w:rPr>
            </w:pPr>
            <w:r w:rsidRPr="00385835">
              <w:rPr>
                <w:rFonts w:ascii="Times New Roman" w:eastAsia="AngsanaUPC" w:hAnsi="Times New Roman"/>
                <w:bCs/>
                <w:i/>
                <w:iCs/>
                <w:sz w:val="24"/>
                <w:szCs w:val="24"/>
                <w:lang w:eastAsia="lt-LT"/>
              </w:rPr>
              <w:t>9.4.3. konkretaus uždavinio veiklos:</w:t>
            </w:r>
          </w:p>
          <w:p w:rsidR="006C2A11" w:rsidRPr="00385835" w:rsidRDefault="006C2A11" w:rsidP="0056304C">
            <w:pPr>
              <w:widowControl w:val="0"/>
              <w:numPr>
                <w:ilvl w:val="0"/>
                <w:numId w:val="23"/>
              </w:numPr>
              <w:tabs>
                <w:tab w:val="left" w:pos="0"/>
                <w:tab w:val="left" w:pos="34"/>
                <w:tab w:val="left" w:pos="459"/>
              </w:tabs>
              <w:spacing w:after="0" w:line="240" w:lineRule="auto"/>
              <w:ind w:left="34"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 xml:space="preserve">Žmogiškųjų išteklių kvalifikacijos tobulinimo ir kompetentingumo plėtros iniciatyvos bus įgyvendinamos per „kompetencijų </w:t>
            </w:r>
            <w:r w:rsidR="00681F07">
              <w:rPr>
                <w:rFonts w:ascii="Times New Roman" w:eastAsia="AngsanaUPC" w:hAnsi="Times New Roman"/>
                <w:bCs/>
                <w:iCs/>
                <w:sz w:val="24"/>
                <w:szCs w:val="24"/>
                <w:lang w:eastAsia="lt-LT"/>
              </w:rPr>
              <w:t>čekį</w:t>
            </w:r>
            <w:r w:rsidRPr="00385835">
              <w:rPr>
                <w:rFonts w:ascii="Times New Roman" w:eastAsia="AngsanaUPC" w:hAnsi="Times New Roman"/>
                <w:bCs/>
                <w:iCs/>
                <w:sz w:val="24"/>
                <w:szCs w:val="24"/>
                <w:lang w:eastAsia="lt-LT"/>
              </w:rPr>
              <w:t>“, skirtą didinti kvalifikacijos tobulinimo bei kompetentingumo plėtros galimybių prieinamumą įmonių, ypač MVĮ, darbuotojams.</w:t>
            </w:r>
          </w:p>
          <w:p w:rsidR="006C2A11" w:rsidRPr="00385835" w:rsidRDefault="006C2A11" w:rsidP="0056304C">
            <w:pPr>
              <w:widowControl w:val="0"/>
              <w:numPr>
                <w:ilvl w:val="0"/>
                <w:numId w:val="23"/>
              </w:numPr>
              <w:tabs>
                <w:tab w:val="left" w:pos="0"/>
                <w:tab w:val="left" w:pos="34"/>
                <w:tab w:val="left" w:pos="459"/>
              </w:tabs>
              <w:spacing w:after="0" w:line="240" w:lineRule="auto"/>
              <w:ind w:left="34"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 xml:space="preserve">Teikti paramą investuotojų ir įmonių, vykdančių MTEPI veiklas, žmogiškųjų išteklių kompetencijos ugdymui ir kvalifikacijos </w:t>
            </w:r>
            <w:r>
              <w:rPr>
                <w:rFonts w:ascii="Times New Roman" w:eastAsia="AngsanaUPC" w:hAnsi="Times New Roman"/>
                <w:bCs/>
                <w:iCs/>
                <w:sz w:val="24"/>
                <w:szCs w:val="24"/>
                <w:lang w:eastAsia="lt-LT"/>
              </w:rPr>
              <w:t>tobulinimui</w:t>
            </w:r>
            <w:r w:rsidRPr="00385835">
              <w:rPr>
                <w:rFonts w:ascii="Times New Roman" w:eastAsia="AngsanaUPC" w:hAnsi="Times New Roman"/>
                <w:bCs/>
                <w:iCs/>
                <w:sz w:val="24"/>
                <w:szCs w:val="24"/>
                <w:lang w:eastAsia="lt-LT"/>
              </w:rPr>
              <w:t>.</w:t>
            </w:r>
          </w:p>
          <w:p w:rsidR="006C2A11" w:rsidRPr="00385835" w:rsidRDefault="00DC205E" w:rsidP="0056304C">
            <w:pPr>
              <w:widowControl w:val="0"/>
              <w:numPr>
                <w:ilvl w:val="0"/>
                <w:numId w:val="23"/>
              </w:numPr>
              <w:tabs>
                <w:tab w:val="left" w:pos="0"/>
                <w:tab w:val="left" w:pos="34"/>
                <w:tab w:val="left" w:pos="459"/>
              </w:tabs>
              <w:spacing w:after="0" w:line="240" w:lineRule="auto"/>
              <w:ind w:left="34" w:firstLine="0"/>
              <w:jc w:val="both"/>
              <w:rPr>
                <w:rFonts w:ascii="Times New Roman" w:eastAsia="AngsanaUPC" w:hAnsi="Times New Roman"/>
                <w:bCs/>
                <w:iCs/>
                <w:sz w:val="24"/>
                <w:szCs w:val="24"/>
                <w:lang w:eastAsia="lt-LT"/>
              </w:rPr>
            </w:pPr>
            <w:r>
              <w:rPr>
                <w:rFonts w:ascii="Times New Roman" w:eastAsia="AngsanaUPC" w:hAnsi="Times New Roman"/>
                <w:bCs/>
                <w:iCs/>
                <w:sz w:val="24"/>
                <w:szCs w:val="24"/>
                <w:lang w:eastAsia="lt-LT"/>
              </w:rPr>
              <w:t xml:space="preserve"> </w:t>
            </w:r>
            <w:r w:rsidR="006C2A11">
              <w:rPr>
                <w:rFonts w:ascii="Times New Roman" w:eastAsia="AngsanaUPC" w:hAnsi="Times New Roman"/>
                <w:bCs/>
                <w:iCs/>
                <w:sz w:val="24"/>
                <w:szCs w:val="24"/>
                <w:lang w:eastAsia="lt-LT"/>
              </w:rPr>
              <w:t>Teikti paramą pameistrystės ir sektorinių kompetencijų ugdymo projektams</w:t>
            </w:r>
            <w:r w:rsidR="006C2A11" w:rsidRPr="00385835">
              <w:rPr>
                <w:rFonts w:ascii="Times New Roman" w:eastAsia="AngsanaUPC" w:hAnsi="Times New Roman"/>
                <w:bCs/>
                <w:iCs/>
                <w:sz w:val="24"/>
                <w:szCs w:val="24"/>
                <w:lang w:eastAsia="lt-LT"/>
              </w:rPr>
              <w:t>, taip pat sukurti darbinėje veikloje įgyjamų kvalifikacijų posistemę bei užtikrinti tolesnį jos veikimą.</w:t>
            </w:r>
          </w:p>
          <w:p w:rsidR="006C2A11" w:rsidRPr="00385835" w:rsidRDefault="006C2A11" w:rsidP="0056304C">
            <w:pPr>
              <w:widowControl w:val="0"/>
              <w:numPr>
                <w:ilvl w:val="0"/>
                <w:numId w:val="23"/>
              </w:numPr>
              <w:tabs>
                <w:tab w:val="left" w:pos="0"/>
                <w:tab w:val="left" w:pos="34"/>
                <w:tab w:val="left" w:pos="459"/>
              </w:tabs>
              <w:spacing w:after="0" w:line="240" w:lineRule="auto"/>
              <w:ind w:left="34"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Vidutinės trukmės žmogiškųjų išteklių paklausos prognozavimo sistemos funkcionalumo palaikymas ir plėtra periodiškai atnaujinant žmogiškųjų išteklių paklausos darbo rinkoje informacinę bazę.</w:t>
            </w:r>
          </w:p>
          <w:p w:rsidR="006C2A11" w:rsidRPr="00385835" w:rsidRDefault="006C2A11" w:rsidP="0056304C">
            <w:pPr>
              <w:widowControl w:val="0"/>
              <w:numPr>
                <w:ilvl w:val="0"/>
                <w:numId w:val="23"/>
              </w:numPr>
              <w:tabs>
                <w:tab w:val="left" w:pos="0"/>
                <w:tab w:val="left" w:pos="34"/>
                <w:tab w:val="left" w:pos="459"/>
              </w:tabs>
              <w:spacing w:after="0" w:line="240" w:lineRule="auto"/>
              <w:ind w:left="34"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 xml:space="preserve">Žmogiškųjų išteklių paklausos darbo rinkoje prognostinių tyrimų rezultatų apdorojimas ir </w:t>
            </w:r>
            <w:r w:rsidRPr="00385835">
              <w:rPr>
                <w:rFonts w:ascii="Times New Roman" w:eastAsia="AngsanaUPC" w:hAnsi="Times New Roman"/>
                <w:bCs/>
                <w:iCs/>
                <w:sz w:val="24"/>
                <w:szCs w:val="24"/>
                <w:lang w:eastAsia="lt-LT"/>
              </w:rPr>
              <w:lastRenderedPageBreak/>
              <w:t>sklaida skirtingoms tikslinėms grupė</w:t>
            </w:r>
            <w:r>
              <w:rPr>
                <w:rFonts w:ascii="Times New Roman" w:eastAsia="AngsanaUPC" w:hAnsi="Times New Roman"/>
                <w:bCs/>
                <w:iCs/>
                <w:sz w:val="24"/>
                <w:szCs w:val="24"/>
                <w:lang w:eastAsia="lt-LT"/>
              </w:rPr>
              <w:t>m</w:t>
            </w:r>
            <w:r w:rsidRPr="00385835">
              <w:rPr>
                <w:rFonts w:ascii="Times New Roman" w:eastAsia="AngsanaUPC" w:hAnsi="Times New Roman"/>
                <w:bCs/>
                <w:iCs/>
                <w:sz w:val="24"/>
                <w:szCs w:val="24"/>
                <w:lang w:eastAsia="lt-LT"/>
              </w:rPr>
              <w:t>s</w:t>
            </w:r>
            <w:r>
              <w:rPr>
                <w:rFonts w:ascii="Times New Roman" w:eastAsia="AngsanaUPC" w:hAnsi="Times New Roman"/>
                <w:bCs/>
                <w:iCs/>
                <w:sz w:val="24"/>
                <w:szCs w:val="24"/>
                <w:lang w:eastAsia="lt-LT"/>
              </w:rPr>
              <w:t>, vykdant profesinį orientavimą</w:t>
            </w:r>
            <w:r w:rsidRPr="00385835">
              <w:rPr>
                <w:rFonts w:ascii="Times New Roman" w:eastAsia="AngsanaUPC" w:hAnsi="Times New Roman"/>
                <w:bCs/>
                <w:iCs/>
                <w:sz w:val="24"/>
                <w:szCs w:val="24"/>
                <w:lang w:eastAsia="lt-LT"/>
              </w:rPr>
              <w:t>.</w:t>
            </w:r>
          </w:p>
          <w:p w:rsidR="00385835" w:rsidRPr="00BF2985" w:rsidRDefault="006C2A11" w:rsidP="0056304C">
            <w:pPr>
              <w:spacing w:after="0" w:line="240" w:lineRule="auto"/>
            </w:pPr>
            <w:r w:rsidRPr="00385835">
              <w:rPr>
                <w:rFonts w:ascii="Times New Roman" w:eastAsia="AngsanaUPC" w:hAnsi="Times New Roman"/>
                <w:bCs/>
                <w:iCs/>
                <w:sz w:val="24"/>
                <w:szCs w:val="24"/>
                <w:lang w:eastAsia="lt-LT"/>
              </w:rPr>
              <w:t>Visaverčio instrumento, paremto išplėstine Lietuvos profesijų klasifikatoriaus versija (ISCO-08 pagrindu), skirto darbo rinkos profesinės struktūros palyginimui tarptautiniu ir šalies mastu, apimančio nuolat atnaujinamą profesijų sąrašą, visų profesijų aprašus ir jų sąsajas su išsilavinimo ir kvalifikacijų lygiais</w:t>
            </w:r>
            <w:r w:rsidR="00681F07">
              <w:rPr>
                <w:rFonts w:ascii="Times New Roman" w:eastAsia="AngsanaUPC" w:hAnsi="Times New Roman"/>
                <w:bCs/>
                <w:iCs/>
                <w:sz w:val="24"/>
                <w:szCs w:val="24"/>
                <w:lang w:eastAsia="lt-LT"/>
              </w:rPr>
              <w:t>,</w:t>
            </w:r>
            <w:r w:rsidRPr="00385835">
              <w:rPr>
                <w:rFonts w:ascii="Times New Roman" w:eastAsia="AngsanaUPC" w:hAnsi="Times New Roman"/>
                <w:bCs/>
                <w:iCs/>
                <w:sz w:val="24"/>
                <w:szCs w:val="24"/>
                <w:lang w:eastAsia="lt-LT"/>
              </w:rPr>
              <w:t xml:space="preserve"> funkc</w:t>
            </w:r>
            <w:r w:rsidR="00BF2985">
              <w:rPr>
                <w:rFonts w:ascii="Times New Roman" w:eastAsia="AngsanaUPC" w:hAnsi="Times New Roman"/>
                <w:bCs/>
                <w:iCs/>
                <w:sz w:val="24"/>
                <w:szCs w:val="24"/>
                <w:lang w:eastAsia="lt-LT"/>
              </w:rPr>
              <w:t>ionalumo užtikrinimas ir plėtra.</w:t>
            </w:r>
          </w:p>
        </w:tc>
      </w:tr>
    </w:tbl>
    <w:p w:rsidR="00555CF5" w:rsidRPr="00385835" w:rsidRDefault="00555CF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567"/>
        <w:gridCol w:w="2835"/>
        <w:gridCol w:w="1134"/>
        <w:gridCol w:w="851"/>
        <w:gridCol w:w="1134"/>
        <w:gridCol w:w="850"/>
        <w:gridCol w:w="1134"/>
        <w:gridCol w:w="1241"/>
      </w:tblGrid>
      <w:tr w:rsidR="00385835" w:rsidRPr="00385835" w:rsidTr="00385835">
        <w:trPr>
          <w:tblHeader/>
        </w:trPr>
        <w:tc>
          <w:tcPr>
            <w:tcW w:w="9746" w:type="dxa"/>
            <w:gridSpan w:val="8"/>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i/>
                <w:iCs/>
                <w:sz w:val="24"/>
                <w:szCs w:val="24"/>
                <w:lang w:eastAsia="lt-LT"/>
              </w:rPr>
            </w:pPr>
            <w:r w:rsidRPr="00385835">
              <w:rPr>
                <w:rFonts w:ascii="Times New Roman" w:eastAsia="AngsanaUPC" w:hAnsi="Times New Roman"/>
                <w:b/>
                <w:bCs/>
                <w:i/>
                <w:iCs/>
                <w:sz w:val="24"/>
                <w:szCs w:val="24"/>
                <w:lang w:eastAsia="lt-LT"/>
              </w:rPr>
              <w:t xml:space="preserve">ESF bendrieji ir </w:t>
            </w:r>
            <w:r w:rsidR="00D94011">
              <w:rPr>
                <w:rFonts w:ascii="Times New Roman" w:eastAsia="AngsanaUPC" w:hAnsi="Times New Roman"/>
                <w:b/>
                <w:bCs/>
                <w:i/>
                <w:iCs/>
                <w:sz w:val="24"/>
                <w:szCs w:val="24"/>
                <w:lang w:eastAsia="lt-LT"/>
              </w:rPr>
              <w:t>specialieji</w:t>
            </w:r>
            <w:r w:rsidR="00D94011" w:rsidRPr="00385835">
              <w:rPr>
                <w:rFonts w:ascii="Times New Roman" w:eastAsia="AngsanaUPC" w:hAnsi="Times New Roman"/>
                <w:b/>
                <w:bCs/>
                <w:i/>
                <w:iCs/>
                <w:sz w:val="24"/>
                <w:szCs w:val="24"/>
                <w:lang w:eastAsia="lt-LT"/>
              </w:rPr>
              <w:t xml:space="preserve"> </w:t>
            </w:r>
            <w:r w:rsidR="00D94011">
              <w:rPr>
                <w:rFonts w:ascii="Times New Roman" w:eastAsia="AngsanaUPC" w:hAnsi="Times New Roman"/>
                <w:b/>
                <w:bCs/>
                <w:i/>
                <w:iCs/>
                <w:sz w:val="24"/>
                <w:szCs w:val="24"/>
                <w:lang w:eastAsia="lt-LT"/>
              </w:rPr>
              <w:t xml:space="preserve">programos </w:t>
            </w:r>
            <w:r w:rsidRPr="00385835">
              <w:rPr>
                <w:rFonts w:ascii="Times New Roman" w:eastAsia="AngsanaUPC" w:hAnsi="Times New Roman"/>
                <w:b/>
                <w:bCs/>
                <w:i/>
                <w:iCs/>
                <w:sz w:val="24"/>
                <w:szCs w:val="24"/>
                <w:lang w:eastAsia="lt-LT"/>
              </w:rPr>
              <w:t>produkto rodikliai</w:t>
            </w:r>
          </w:p>
        </w:tc>
      </w:tr>
      <w:tr w:rsidR="00385835" w:rsidRPr="00385835" w:rsidTr="0056304C">
        <w:tblPrEx>
          <w:shd w:val="clear" w:color="auto" w:fill="auto"/>
        </w:tblPrEx>
        <w:trPr>
          <w:tblHeader/>
        </w:trPr>
        <w:tc>
          <w:tcPr>
            <w:tcW w:w="567"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Nr.</w:t>
            </w:r>
          </w:p>
        </w:tc>
        <w:tc>
          <w:tcPr>
            <w:tcW w:w="2835"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Rodiklio pavadinimas</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Matavimo vienetas</w:t>
            </w:r>
          </w:p>
        </w:tc>
        <w:tc>
          <w:tcPr>
            <w:tcW w:w="85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Fondas</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Regiono kategorija</w:t>
            </w:r>
          </w:p>
        </w:tc>
        <w:tc>
          <w:tcPr>
            <w:tcW w:w="850"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Siektina reikšmė (2023)</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Duomenų šaltinis</w:t>
            </w:r>
          </w:p>
        </w:tc>
        <w:tc>
          <w:tcPr>
            <w:tcW w:w="124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Atsiskaitymo dažnumas</w:t>
            </w:r>
          </w:p>
        </w:tc>
      </w:tr>
      <w:tr w:rsidR="00385835" w:rsidRPr="00B93030" w:rsidTr="00385835">
        <w:tblPrEx>
          <w:shd w:val="clear" w:color="auto" w:fill="auto"/>
        </w:tblPrEx>
        <w:tc>
          <w:tcPr>
            <w:tcW w:w="9746" w:type="dxa"/>
            <w:gridSpan w:val="8"/>
            <w:shd w:val="clear" w:color="auto" w:fill="EEECE1"/>
            <w:vAlign w:val="center"/>
          </w:tcPr>
          <w:p w:rsidR="00385835" w:rsidRPr="00B93030" w:rsidRDefault="00385835" w:rsidP="00385835">
            <w:pPr>
              <w:widowControl w:val="0"/>
              <w:tabs>
                <w:tab w:val="left" w:pos="622"/>
              </w:tabs>
              <w:spacing w:after="0" w:line="240" w:lineRule="auto"/>
              <w:rPr>
                <w:rFonts w:ascii="Times New Roman" w:eastAsia="AngsanaUPC" w:hAnsi="Times New Roman"/>
                <w:b/>
                <w:bCs/>
                <w:iCs/>
                <w:sz w:val="18"/>
                <w:szCs w:val="18"/>
                <w:lang w:eastAsia="lt-LT"/>
              </w:rPr>
            </w:pPr>
            <w:r w:rsidRPr="00B93030">
              <w:rPr>
                <w:rFonts w:ascii="Times New Roman" w:eastAsia="AngsanaUPC" w:hAnsi="Times New Roman"/>
                <w:i/>
                <w:iCs/>
                <w:sz w:val="18"/>
                <w:szCs w:val="18"/>
                <w:lang w:eastAsia="lt-LT"/>
              </w:rPr>
              <w:t>9.4.1.konkretaus uždavinio veiklas atspindintys produkto rodikliai:</w:t>
            </w:r>
          </w:p>
        </w:tc>
      </w:tr>
      <w:tr w:rsidR="00385835" w:rsidRPr="00385835" w:rsidTr="0056304C">
        <w:tblPrEx>
          <w:shd w:val="clear" w:color="auto" w:fill="auto"/>
        </w:tblPrEx>
        <w:tc>
          <w:tcPr>
            <w:tcW w:w="56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w:t>
            </w:r>
          </w:p>
        </w:tc>
        <w:tc>
          <w:tcPr>
            <w:tcW w:w="2835" w:type="dxa"/>
            <w:shd w:val="clear" w:color="auto" w:fill="auto"/>
            <w:vAlign w:val="center"/>
          </w:tcPr>
          <w:p w:rsidR="00385835" w:rsidRPr="00385835" w:rsidRDefault="00385835" w:rsidP="00385835">
            <w:pPr>
              <w:widowControl w:val="0"/>
              <w:tabs>
                <w:tab w:val="left" w:pos="622"/>
              </w:tabs>
              <w:spacing w:after="0" w:line="240" w:lineRule="auto"/>
              <w:rPr>
                <w:rFonts w:ascii="Times New Roman" w:eastAsia="AngsanaUPC" w:hAnsi="Times New Roman"/>
                <w:bCs/>
                <w:iCs/>
                <w:sz w:val="18"/>
                <w:szCs w:val="18"/>
                <w:lang w:eastAsia="lt-LT"/>
              </w:rPr>
            </w:pPr>
            <w:r w:rsidRPr="00385835">
              <w:rPr>
                <w:rFonts w:ascii="Times New Roman" w:eastAsia="Times New Roman" w:hAnsi="Times New Roman"/>
                <w:color w:val="000000"/>
                <w:kern w:val="24"/>
                <w:sz w:val="18"/>
                <w:szCs w:val="18"/>
              </w:rPr>
              <w:t>Pagal veiksmų programą ESF lėšomis sukurtos naujos arba atnaujintos modulinės profesinio mokymo programos</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Skaičius</w:t>
            </w:r>
          </w:p>
        </w:tc>
        <w:tc>
          <w:tcPr>
            <w:tcW w:w="85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ESF</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Mažiau išsivystęs</w:t>
            </w:r>
          </w:p>
        </w:tc>
        <w:tc>
          <w:tcPr>
            <w:tcW w:w="850"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120</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Times New Roman" w:hAnsi="Times New Roman"/>
                <w:color w:val="000000"/>
                <w:kern w:val="24"/>
                <w:sz w:val="18"/>
                <w:szCs w:val="18"/>
              </w:rPr>
              <w:t>Duomenys iš projektų</w:t>
            </w:r>
          </w:p>
        </w:tc>
        <w:tc>
          <w:tcPr>
            <w:tcW w:w="124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385835" w:rsidRPr="00385835" w:rsidTr="0056304C">
        <w:tblPrEx>
          <w:shd w:val="clear" w:color="auto" w:fill="auto"/>
        </w:tblPrEx>
        <w:tc>
          <w:tcPr>
            <w:tcW w:w="56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w:t>
            </w:r>
          </w:p>
        </w:tc>
        <w:tc>
          <w:tcPr>
            <w:tcW w:w="2835" w:type="dxa"/>
            <w:shd w:val="clear" w:color="auto" w:fill="auto"/>
            <w:vAlign w:val="center"/>
          </w:tcPr>
          <w:p w:rsidR="00385835" w:rsidRPr="00385835" w:rsidRDefault="00385835" w:rsidP="00385835">
            <w:pPr>
              <w:widowControl w:val="0"/>
              <w:tabs>
                <w:tab w:val="left" w:pos="622"/>
              </w:tabs>
              <w:spacing w:after="0" w:line="240" w:lineRule="auto"/>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Profesinio mokymo ir neformalaus suaugusiųjų švietimo programos, kuriose buvo įdiegtos interaktyvios elektroninės mokymosi priemonės</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Skaičius</w:t>
            </w:r>
          </w:p>
        </w:tc>
        <w:tc>
          <w:tcPr>
            <w:tcW w:w="85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ESF</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Mažiau išsivystęs</w:t>
            </w:r>
          </w:p>
        </w:tc>
        <w:tc>
          <w:tcPr>
            <w:tcW w:w="850"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180</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Duomenys iš projektų</w:t>
            </w:r>
          </w:p>
        </w:tc>
        <w:tc>
          <w:tcPr>
            <w:tcW w:w="124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385835" w:rsidRPr="00385835" w:rsidTr="0056304C">
        <w:tblPrEx>
          <w:shd w:val="clear" w:color="auto" w:fill="auto"/>
        </w:tblPrEx>
        <w:tc>
          <w:tcPr>
            <w:tcW w:w="56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3.</w:t>
            </w:r>
          </w:p>
        </w:tc>
        <w:tc>
          <w:tcPr>
            <w:tcW w:w="2835" w:type="dxa"/>
            <w:shd w:val="clear" w:color="auto" w:fill="auto"/>
            <w:vAlign w:val="center"/>
          </w:tcPr>
          <w:p w:rsidR="00385835" w:rsidRPr="00385835" w:rsidRDefault="00385835" w:rsidP="00385835">
            <w:pPr>
              <w:widowControl w:val="0"/>
              <w:tabs>
                <w:tab w:val="left" w:pos="622"/>
              </w:tabs>
              <w:spacing w:after="0" w:line="240" w:lineRule="auto"/>
              <w:rPr>
                <w:rFonts w:ascii="Times New Roman" w:eastAsia="AngsanaUPC" w:hAnsi="Times New Roman"/>
                <w:bCs/>
                <w:iCs/>
                <w:sz w:val="18"/>
                <w:szCs w:val="18"/>
                <w:lang w:eastAsia="lt-LT"/>
              </w:rPr>
            </w:pPr>
            <w:r w:rsidRPr="00385835">
              <w:rPr>
                <w:rFonts w:ascii="Times New Roman" w:eastAsia="Times New Roman" w:hAnsi="Times New Roman"/>
                <w:bCs/>
                <w:sz w:val="18"/>
                <w:szCs w:val="18"/>
              </w:rPr>
              <w:t>Mokiniai, kurie mokėsi pagal veiksmų programą ESF lėšomis parengtas arba atnaujintas modulines profesinio mokymo programas</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Skaičius</w:t>
            </w:r>
          </w:p>
        </w:tc>
        <w:tc>
          <w:tcPr>
            <w:tcW w:w="85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Times New Roman" w:hAnsi="Times New Roman"/>
                <w:bCs/>
                <w:sz w:val="18"/>
                <w:szCs w:val="18"/>
              </w:rPr>
              <w:t>ESF</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Mažiau išsivystęs</w:t>
            </w:r>
          </w:p>
        </w:tc>
        <w:tc>
          <w:tcPr>
            <w:tcW w:w="850" w:type="dxa"/>
            <w:shd w:val="clear" w:color="auto" w:fill="auto"/>
            <w:vAlign w:val="center"/>
          </w:tcPr>
          <w:p w:rsidR="00385835" w:rsidRPr="00385835" w:rsidRDefault="00385835" w:rsidP="00A50C23">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17</w:t>
            </w:r>
            <w:r w:rsidR="00A50C23">
              <w:rPr>
                <w:rFonts w:ascii="Times New Roman" w:eastAsia="AngsanaUPC" w:hAnsi="Times New Roman"/>
                <w:bCs/>
                <w:iCs/>
                <w:sz w:val="18"/>
                <w:szCs w:val="18"/>
                <w:lang w:eastAsia="lt-LT"/>
              </w:rPr>
              <w:t>.</w:t>
            </w:r>
            <w:r w:rsidRPr="00385835">
              <w:rPr>
                <w:rFonts w:ascii="Times New Roman" w:eastAsia="AngsanaUPC" w:hAnsi="Times New Roman"/>
                <w:bCs/>
                <w:iCs/>
                <w:sz w:val="18"/>
                <w:szCs w:val="18"/>
                <w:lang w:eastAsia="lt-LT"/>
              </w:rPr>
              <w:t>900</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Duomenys iš projektų</w:t>
            </w:r>
          </w:p>
        </w:tc>
        <w:tc>
          <w:tcPr>
            <w:tcW w:w="124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385835" w:rsidRPr="00385835" w:rsidTr="0056304C">
        <w:tblPrEx>
          <w:shd w:val="clear" w:color="auto" w:fill="auto"/>
        </w:tblPrEx>
        <w:tc>
          <w:tcPr>
            <w:tcW w:w="567" w:type="dxa"/>
            <w:shd w:val="clear" w:color="auto" w:fill="auto"/>
            <w:vAlign w:val="center"/>
          </w:tcPr>
          <w:p w:rsidR="00385835" w:rsidRPr="00385835" w:rsidDel="00F71A98"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4.</w:t>
            </w:r>
          </w:p>
        </w:tc>
        <w:tc>
          <w:tcPr>
            <w:tcW w:w="2835" w:type="dxa"/>
            <w:shd w:val="clear" w:color="auto" w:fill="auto"/>
            <w:vAlign w:val="center"/>
          </w:tcPr>
          <w:p w:rsidR="00385835" w:rsidRPr="00385835" w:rsidRDefault="00385835" w:rsidP="00385835">
            <w:pPr>
              <w:widowControl w:val="0"/>
              <w:tabs>
                <w:tab w:val="left" w:pos="622"/>
              </w:tabs>
              <w:spacing w:after="0" w:line="240" w:lineRule="auto"/>
              <w:rPr>
                <w:rFonts w:ascii="Times New Roman" w:eastAsia="Times New Roman" w:hAnsi="Times New Roman"/>
                <w:bCs/>
                <w:sz w:val="18"/>
                <w:szCs w:val="18"/>
              </w:rPr>
            </w:pPr>
            <w:r w:rsidRPr="00385835">
              <w:rPr>
                <w:rFonts w:ascii="Times New Roman" w:eastAsia="Times New Roman" w:hAnsi="Times New Roman"/>
                <w:color w:val="000000"/>
                <w:kern w:val="24"/>
                <w:sz w:val="18"/>
                <w:szCs w:val="18"/>
              </w:rPr>
              <w:t>Mokiniai, kurie pagal veiksmų programą ESF lėšomis profesinio mokymo programos dalį mokėsi darbo vietoje</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Skaičius</w:t>
            </w:r>
          </w:p>
        </w:tc>
        <w:tc>
          <w:tcPr>
            <w:tcW w:w="85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Times New Roman" w:hAnsi="Times New Roman"/>
                <w:bCs/>
                <w:sz w:val="18"/>
                <w:szCs w:val="18"/>
              </w:rPr>
            </w:pPr>
            <w:r w:rsidRPr="00385835">
              <w:rPr>
                <w:rFonts w:ascii="Times New Roman" w:eastAsia="AngsanaUPC" w:hAnsi="Times New Roman"/>
                <w:bCs/>
                <w:iCs/>
                <w:sz w:val="18"/>
                <w:szCs w:val="18"/>
                <w:lang w:eastAsia="lt-LT"/>
              </w:rPr>
              <w:t>ESF</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Mažiau išsivystęs</w:t>
            </w:r>
          </w:p>
        </w:tc>
        <w:tc>
          <w:tcPr>
            <w:tcW w:w="850" w:type="dxa"/>
            <w:shd w:val="clear" w:color="auto" w:fill="auto"/>
            <w:vAlign w:val="center"/>
          </w:tcPr>
          <w:p w:rsidR="00385835" w:rsidRPr="00385835" w:rsidRDefault="00385835" w:rsidP="00A50C23">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10</w:t>
            </w:r>
            <w:r w:rsidR="00A50C23">
              <w:rPr>
                <w:rFonts w:ascii="Times New Roman" w:eastAsia="AngsanaUPC" w:hAnsi="Times New Roman"/>
                <w:bCs/>
                <w:iCs/>
                <w:sz w:val="18"/>
                <w:szCs w:val="18"/>
                <w:lang w:eastAsia="lt-LT"/>
              </w:rPr>
              <w:t>.</w:t>
            </w:r>
            <w:r w:rsidRPr="00385835">
              <w:rPr>
                <w:rFonts w:ascii="Times New Roman" w:eastAsia="AngsanaUPC" w:hAnsi="Times New Roman"/>
                <w:bCs/>
                <w:iCs/>
                <w:sz w:val="18"/>
                <w:szCs w:val="18"/>
                <w:lang w:eastAsia="lt-LT"/>
              </w:rPr>
              <w:t>000</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Times New Roman" w:hAnsi="Times New Roman"/>
                <w:color w:val="000000"/>
                <w:kern w:val="24"/>
                <w:sz w:val="18"/>
                <w:szCs w:val="18"/>
              </w:rPr>
              <w:t>Duomenys iš projektų</w:t>
            </w:r>
          </w:p>
        </w:tc>
        <w:tc>
          <w:tcPr>
            <w:tcW w:w="124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385835" w:rsidRPr="00385835" w:rsidTr="0056304C">
        <w:tblPrEx>
          <w:shd w:val="clear" w:color="auto" w:fill="auto"/>
        </w:tblPrEx>
        <w:tc>
          <w:tcPr>
            <w:tcW w:w="56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5.</w:t>
            </w:r>
          </w:p>
        </w:tc>
        <w:tc>
          <w:tcPr>
            <w:tcW w:w="2835" w:type="dxa"/>
            <w:shd w:val="clear" w:color="auto" w:fill="auto"/>
            <w:vAlign w:val="center"/>
          </w:tcPr>
          <w:p w:rsidR="00385835" w:rsidRPr="00385835" w:rsidRDefault="00A40D3A" w:rsidP="00385835">
            <w:pPr>
              <w:widowControl w:val="0"/>
              <w:tabs>
                <w:tab w:val="left" w:pos="622"/>
              </w:tabs>
              <w:spacing w:after="0" w:line="240" w:lineRule="auto"/>
              <w:rPr>
                <w:rFonts w:ascii="Times New Roman" w:eastAsia="Times New Roman" w:hAnsi="Times New Roman"/>
                <w:color w:val="000000"/>
                <w:kern w:val="24"/>
                <w:sz w:val="18"/>
                <w:szCs w:val="18"/>
              </w:rPr>
            </w:pPr>
            <w:r>
              <w:rPr>
                <w:rFonts w:ascii="Times New Roman" w:eastAsia="Times New Roman" w:hAnsi="Times New Roman"/>
                <w:color w:val="000000"/>
                <w:kern w:val="24"/>
                <w:sz w:val="18"/>
                <w:szCs w:val="18"/>
              </w:rPr>
              <w:t>P</w:t>
            </w:r>
            <w:r w:rsidR="00385835" w:rsidRPr="00385835">
              <w:rPr>
                <w:rFonts w:ascii="Times New Roman" w:eastAsia="Times New Roman" w:hAnsi="Times New Roman"/>
                <w:color w:val="000000"/>
                <w:kern w:val="24"/>
                <w:sz w:val="18"/>
                <w:szCs w:val="18"/>
              </w:rPr>
              <w:t>rofesinio mokymo programos, kurios pagal veiksmų programą ESF lėšomis buvo įvertintos išoriniu vertinimu</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Skaičius</w:t>
            </w:r>
          </w:p>
        </w:tc>
        <w:tc>
          <w:tcPr>
            <w:tcW w:w="85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ESF</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Mažiau išsivystęs</w:t>
            </w:r>
          </w:p>
        </w:tc>
        <w:tc>
          <w:tcPr>
            <w:tcW w:w="850"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50</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Times New Roman" w:hAnsi="Times New Roman"/>
                <w:color w:val="000000"/>
                <w:kern w:val="24"/>
                <w:sz w:val="18"/>
                <w:szCs w:val="18"/>
              </w:rPr>
            </w:pPr>
            <w:r w:rsidRPr="00385835">
              <w:rPr>
                <w:rFonts w:ascii="Times New Roman" w:eastAsia="Times New Roman" w:hAnsi="Times New Roman"/>
                <w:color w:val="000000"/>
                <w:kern w:val="24"/>
                <w:sz w:val="18"/>
                <w:szCs w:val="18"/>
              </w:rPr>
              <w:t>Duomenys iš projektų</w:t>
            </w:r>
          </w:p>
        </w:tc>
        <w:tc>
          <w:tcPr>
            <w:tcW w:w="124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385835" w:rsidRPr="00385835" w:rsidTr="0056304C">
        <w:tblPrEx>
          <w:shd w:val="clear" w:color="auto" w:fill="auto"/>
        </w:tblPrEx>
        <w:tc>
          <w:tcPr>
            <w:tcW w:w="56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6.</w:t>
            </w:r>
          </w:p>
        </w:tc>
        <w:tc>
          <w:tcPr>
            <w:tcW w:w="2835" w:type="dxa"/>
            <w:shd w:val="clear" w:color="auto" w:fill="auto"/>
            <w:vAlign w:val="center"/>
          </w:tcPr>
          <w:p w:rsidR="00385835" w:rsidRPr="00385835" w:rsidRDefault="00385835" w:rsidP="00385835">
            <w:pPr>
              <w:widowControl w:val="0"/>
              <w:tabs>
                <w:tab w:val="left" w:pos="622"/>
              </w:tabs>
              <w:spacing w:after="0" w:line="240" w:lineRule="auto"/>
              <w:rPr>
                <w:rFonts w:ascii="Times New Roman" w:eastAsia="Times New Roman" w:hAnsi="Times New Roman"/>
                <w:color w:val="000000"/>
                <w:kern w:val="24"/>
                <w:sz w:val="18"/>
                <w:szCs w:val="18"/>
              </w:rPr>
            </w:pPr>
            <w:r w:rsidRPr="00385835">
              <w:rPr>
                <w:rFonts w:ascii="Times New Roman" w:eastAsia="Times New Roman" w:hAnsi="Times New Roman"/>
                <w:color w:val="000000"/>
                <w:kern w:val="24"/>
                <w:sz w:val="18"/>
                <w:szCs w:val="18"/>
              </w:rPr>
              <w:t xml:space="preserve">Asmenys, dalyvavę ESF veiklose, skirtose ugdymui karjerai </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Skaičius</w:t>
            </w:r>
          </w:p>
        </w:tc>
        <w:tc>
          <w:tcPr>
            <w:tcW w:w="85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ESF</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Mažiau išsivystęs</w:t>
            </w:r>
          </w:p>
        </w:tc>
        <w:tc>
          <w:tcPr>
            <w:tcW w:w="850" w:type="dxa"/>
            <w:shd w:val="clear" w:color="auto" w:fill="auto"/>
            <w:vAlign w:val="center"/>
          </w:tcPr>
          <w:p w:rsidR="00385835" w:rsidRPr="00385835" w:rsidRDefault="00385835" w:rsidP="00A50C23">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40</w:t>
            </w:r>
            <w:r w:rsidR="00A50C23">
              <w:rPr>
                <w:rFonts w:ascii="Times New Roman" w:eastAsia="AngsanaUPC" w:hAnsi="Times New Roman"/>
                <w:bCs/>
                <w:iCs/>
                <w:sz w:val="18"/>
                <w:szCs w:val="18"/>
                <w:lang w:eastAsia="lt-LT"/>
              </w:rPr>
              <w:t>.</w:t>
            </w:r>
            <w:r w:rsidRPr="00385835">
              <w:rPr>
                <w:rFonts w:ascii="Times New Roman" w:eastAsia="AngsanaUPC" w:hAnsi="Times New Roman"/>
                <w:bCs/>
                <w:iCs/>
                <w:sz w:val="18"/>
                <w:szCs w:val="18"/>
                <w:lang w:eastAsia="lt-LT"/>
              </w:rPr>
              <w:t>000</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Times New Roman" w:hAnsi="Times New Roman"/>
                <w:color w:val="000000"/>
                <w:kern w:val="24"/>
                <w:sz w:val="18"/>
                <w:szCs w:val="18"/>
              </w:rPr>
            </w:pPr>
            <w:r w:rsidRPr="00385835">
              <w:rPr>
                <w:rFonts w:ascii="Times New Roman" w:eastAsia="Times New Roman" w:hAnsi="Times New Roman"/>
                <w:color w:val="000000"/>
                <w:kern w:val="24"/>
                <w:sz w:val="18"/>
                <w:szCs w:val="18"/>
              </w:rPr>
              <w:t>Duomenys iš projektų</w:t>
            </w:r>
          </w:p>
        </w:tc>
        <w:tc>
          <w:tcPr>
            <w:tcW w:w="124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385835" w:rsidRPr="00B93030" w:rsidTr="00385835">
        <w:tblPrEx>
          <w:shd w:val="clear" w:color="auto" w:fill="auto"/>
        </w:tblPrEx>
        <w:tc>
          <w:tcPr>
            <w:tcW w:w="9746" w:type="dxa"/>
            <w:gridSpan w:val="8"/>
            <w:shd w:val="clear" w:color="auto" w:fill="EEECE1"/>
            <w:vAlign w:val="center"/>
          </w:tcPr>
          <w:p w:rsidR="00385835" w:rsidRPr="00B93030" w:rsidRDefault="00385835" w:rsidP="00385835">
            <w:pPr>
              <w:widowControl w:val="0"/>
              <w:tabs>
                <w:tab w:val="left" w:pos="622"/>
              </w:tabs>
              <w:spacing w:after="0" w:line="240" w:lineRule="auto"/>
              <w:rPr>
                <w:rFonts w:ascii="Times New Roman" w:eastAsia="AngsanaUPC" w:hAnsi="Times New Roman"/>
                <w:bCs/>
                <w:iCs/>
                <w:sz w:val="18"/>
                <w:szCs w:val="18"/>
                <w:lang w:eastAsia="lt-LT"/>
              </w:rPr>
            </w:pPr>
            <w:r w:rsidRPr="00B93030">
              <w:rPr>
                <w:rFonts w:ascii="Times New Roman" w:eastAsia="AngsanaUPC" w:hAnsi="Times New Roman"/>
                <w:i/>
                <w:iCs/>
                <w:sz w:val="18"/>
                <w:szCs w:val="18"/>
                <w:lang w:eastAsia="lt-LT"/>
              </w:rPr>
              <w:t>9.4.2.konkretaus uždavinio veiklas atspindintys produkto rodikliai:</w:t>
            </w:r>
          </w:p>
        </w:tc>
      </w:tr>
      <w:tr w:rsidR="00385835" w:rsidRPr="00385835" w:rsidTr="0056304C">
        <w:tblPrEx>
          <w:shd w:val="clear" w:color="auto" w:fill="auto"/>
        </w:tblPrEx>
        <w:tc>
          <w:tcPr>
            <w:tcW w:w="567" w:type="dxa"/>
            <w:shd w:val="clear" w:color="auto" w:fill="auto"/>
            <w:vAlign w:val="center"/>
          </w:tcPr>
          <w:p w:rsidR="00385835" w:rsidRPr="00385835" w:rsidDel="00E018D4"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7.</w:t>
            </w:r>
          </w:p>
        </w:tc>
        <w:tc>
          <w:tcPr>
            <w:tcW w:w="2835" w:type="dxa"/>
            <w:shd w:val="clear" w:color="auto" w:fill="auto"/>
            <w:vAlign w:val="center"/>
          </w:tcPr>
          <w:p w:rsidR="00385835" w:rsidRPr="00385835" w:rsidRDefault="00385835" w:rsidP="00385835">
            <w:pPr>
              <w:widowControl w:val="0"/>
              <w:tabs>
                <w:tab w:val="left" w:pos="622"/>
              </w:tabs>
              <w:spacing w:after="0" w:line="240" w:lineRule="auto"/>
              <w:rPr>
                <w:rFonts w:ascii="Times New Roman" w:eastAsia="AngsanaUPC" w:hAnsi="Times New Roman"/>
                <w:bCs/>
                <w:iCs/>
                <w:sz w:val="18"/>
                <w:szCs w:val="18"/>
                <w:lang w:eastAsia="lt-LT"/>
              </w:rPr>
            </w:pPr>
            <w:r w:rsidRPr="00385835">
              <w:rPr>
                <w:rFonts w:ascii="Times New Roman" w:eastAsia="Times New Roman" w:hAnsi="Times New Roman"/>
                <w:bCs/>
                <w:iCs/>
                <w:color w:val="000000"/>
                <w:kern w:val="24"/>
                <w:sz w:val="18"/>
                <w:szCs w:val="18"/>
              </w:rPr>
              <w:t>Švietimo įstaigų darbuotojai, kurie dalyvavo ESF veiklose, skirtose mokytis pagal neformaliojo švietimo programas</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Skaičius</w:t>
            </w:r>
          </w:p>
        </w:tc>
        <w:tc>
          <w:tcPr>
            <w:tcW w:w="85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ESF</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Mažiau išsivystęs</w:t>
            </w:r>
          </w:p>
        </w:tc>
        <w:tc>
          <w:tcPr>
            <w:tcW w:w="850" w:type="dxa"/>
            <w:shd w:val="clear" w:color="auto" w:fill="auto"/>
            <w:vAlign w:val="center"/>
          </w:tcPr>
          <w:p w:rsidR="00385835" w:rsidRPr="00385835" w:rsidRDefault="00385835" w:rsidP="00A50C23">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5</w:t>
            </w:r>
            <w:r w:rsidR="00A50C23">
              <w:rPr>
                <w:rFonts w:ascii="Times New Roman" w:eastAsia="AngsanaUPC" w:hAnsi="Times New Roman"/>
                <w:bCs/>
                <w:iCs/>
                <w:sz w:val="18"/>
                <w:szCs w:val="18"/>
                <w:lang w:eastAsia="lt-LT"/>
              </w:rPr>
              <w:t>.</w:t>
            </w:r>
            <w:r w:rsidRPr="00385835">
              <w:rPr>
                <w:rFonts w:ascii="Times New Roman" w:eastAsia="AngsanaUPC" w:hAnsi="Times New Roman"/>
                <w:bCs/>
                <w:iCs/>
                <w:sz w:val="18"/>
                <w:szCs w:val="18"/>
                <w:lang w:eastAsia="lt-LT"/>
              </w:rPr>
              <w:t>400</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Times New Roman" w:hAnsi="Times New Roman"/>
                <w:color w:val="000000"/>
                <w:kern w:val="24"/>
                <w:sz w:val="18"/>
                <w:szCs w:val="18"/>
              </w:rPr>
              <w:t>Duomenys iš projektų</w:t>
            </w:r>
          </w:p>
        </w:tc>
        <w:tc>
          <w:tcPr>
            <w:tcW w:w="124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385835" w:rsidRPr="00385835" w:rsidTr="0056304C">
        <w:tblPrEx>
          <w:shd w:val="clear" w:color="auto" w:fill="auto"/>
        </w:tblPrEx>
        <w:tc>
          <w:tcPr>
            <w:tcW w:w="567" w:type="dxa"/>
            <w:shd w:val="clear" w:color="auto" w:fill="auto"/>
            <w:vAlign w:val="center"/>
          </w:tcPr>
          <w:p w:rsidR="00385835" w:rsidRPr="00385835" w:rsidDel="00E018D4"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8.</w:t>
            </w:r>
          </w:p>
        </w:tc>
        <w:tc>
          <w:tcPr>
            <w:tcW w:w="2835" w:type="dxa"/>
            <w:shd w:val="clear" w:color="auto" w:fill="auto"/>
            <w:vAlign w:val="center"/>
          </w:tcPr>
          <w:p w:rsidR="00385835" w:rsidRPr="00385835" w:rsidRDefault="00385835" w:rsidP="00385835">
            <w:pPr>
              <w:widowControl w:val="0"/>
              <w:tabs>
                <w:tab w:val="left" w:pos="622"/>
              </w:tabs>
              <w:spacing w:after="0" w:line="240" w:lineRule="auto"/>
              <w:rPr>
                <w:rFonts w:ascii="Times New Roman" w:eastAsia="AngsanaUPC" w:hAnsi="Times New Roman"/>
                <w:bCs/>
                <w:iCs/>
                <w:sz w:val="18"/>
                <w:szCs w:val="18"/>
                <w:lang w:eastAsia="lt-LT"/>
              </w:rPr>
            </w:pPr>
            <w:r w:rsidRPr="00385835">
              <w:rPr>
                <w:rFonts w:ascii="Times New Roman" w:eastAsia="Times New Roman" w:hAnsi="Times New Roman"/>
                <w:color w:val="000000"/>
                <w:kern w:val="24"/>
                <w:sz w:val="18"/>
                <w:szCs w:val="18"/>
              </w:rPr>
              <w:t>Asmenys, kurie dalyvavo ESF veiklose, skirtose mokytis pagal formaliojo švietimo programas ar modulius</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Times New Roman" w:hAnsi="Times New Roman"/>
                <w:color w:val="000000"/>
                <w:kern w:val="24"/>
                <w:sz w:val="18"/>
                <w:szCs w:val="18"/>
              </w:rPr>
              <w:t>Skaičius</w:t>
            </w:r>
          </w:p>
        </w:tc>
        <w:tc>
          <w:tcPr>
            <w:tcW w:w="85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Times New Roman" w:hAnsi="Times New Roman"/>
                <w:color w:val="000000"/>
                <w:kern w:val="24"/>
                <w:sz w:val="18"/>
                <w:szCs w:val="18"/>
              </w:rPr>
              <w:t>ESF</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Times New Roman" w:hAnsi="Times New Roman"/>
                <w:color w:val="000000"/>
                <w:kern w:val="24"/>
                <w:sz w:val="18"/>
                <w:szCs w:val="18"/>
              </w:rPr>
              <w:t>Mažiau išsivystęs</w:t>
            </w:r>
          </w:p>
        </w:tc>
        <w:tc>
          <w:tcPr>
            <w:tcW w:w="850" w:type="dxa"/>
            <w:shd w:val="clear" w:color="auto" w:fill="auto"/>
            <w:vAlign w:val="center"/>
          </w:tcPr>
          <w:p w:rsidR="00385835" w:rsidRPr="00385835" w:rsidRDefault="00385835" w:rsidP="00A50C23">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Times New Roman" w:hAnsi="Times New Roman"/>
                <w:color w:val="000000"/>
                <w:kern w:val="24"/>
                <w:sz w:val="18"/>
                <w:szCs w:val="18"/>
              </w:rPr>
              <w:t>5</w:t>
            </w:r>
            <w:r w:rsidR="00A50C23">
              <w:rPr>
                <w:rFonts w:ascii="Times New Roman" w:eastAsia="Times New Roman" w:hAnsi="Times New Roman"/>
                <w:color w:val="000000"/>
                <w:kern w:val="24"/>
                <w:sz w:val="18"/>
                <w:szCs w:val="18"/>
              </w:rPr>
              <w:t>.</w:t>
            </w:r>
            <w:r w:rsidRPr="00385835">
              <w:rPr>
                <w:rFonts w:ascii="Times New Roman" w:eastAsia="Times New Roman" w:hAnsi="Times New Roman"/>
                <w:color w:val="000000"/>
                <w:kern w:val="24"/>
                <w:sz w:val="18"/>
                <w:szCs w:val="18"/>
              </w:rPr>
              <w:t>500</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Times New Roman" w:hAnsi="Times New Roman"/>
                <w:color w:val="000000"/>
                <w:kern w:val="24"/>
                <w:sz w:val="18"/>
                <w:szCs w:val="18"/>
              </w:rPr>
              <w:t>Duomenys iš projektų</w:t>
            </w:r>
          </w:p>
        </w:tc>
        <w:tc>
          <w:tcPr>
            <w:tcW w:w="124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Times New Roman" w:hAnsi="Times New Roman"/>
                <w:color w:val="000000"/>
                <w:kern w:val="24"/>
                <w:sz w:val="18"/>
                <w:szCs w:val="18"/>
              </w:rPr>
              <w:t>Kartą per metus</w:t>
            </w:r>
          </w:p>
        </w:tc>
      </w:tr>
      <w:tr w:rsidR="00385835" w:rsidRPr="00385835" w:rsidTr="0056304C">
        <w:tblPrEx>
          <w:shd w:val="clear" w:color="auto" w:fill="auto"/>
        </w:tblPrEx>
        <w:tc>
          <w:tcPr>
            <w:tcW w:w="567" w:type="dxa"/>
            <w:shd w:val="clear" w:color="auto" w:fill="auto"/>
            <w:vAlign w:val="center"/>
          </w:tcPr>
          <w:p w:rsidR="00385835" w:rsidRPr="00385835" w:rsidDel="00E018D4"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9.</w:t>
            </w:r>
          </w:p>
        </w:tc>
        <w:tc>
          <w:tcPr>
            <w:tcW w:w="2835" w:type="dxa"/>
            <w:shd w:val="clear" w:color="auto" w:fill="auto"/>
            <w:vAlign w:val="center"/>
          </w:tcPr>
          <w:p w:rsidR="00385835" w:rsidRPr="00385835" w:rsidRDefault="00385835" w:rsidP="00385835">
            <w:pPr>
              <w:widowControl w:val="0"/>
              <w:tabs>
                <w:tab w:val="left" w:pos="622"/>
              </w:tabs>
              <w:spacing w:after="0" w:line="240" w:lineRule="auto"/>
              <w:rPr>
                <w:rFonts w:ascii="Times New Roman" w:eastAsia="AngsanaUPC" w:hAnsi="Times New Roman"/>
                <w:bCs/>
                <w:iCs/>
                <w:sz w:val="18"/>
                <w:szCs w:val="18"/>
                <w:lang w:eastAsia="lt-LT"/>
              </w:rPr>
            </w:pPr>
            <w:r w:rsidRPr="00385835">
              <w:rPr>
                <w:rFonts w:ascii="Times New Roman" w:eastAsia="Times New Roman" w:hAnsi="Times New Roman"/>
                <w:color w:val="000000"/>
                <w:kern w:val="24"/>
                <w:sz w:val="18"/>
                <w:szCs w:val="18"/>
              </w:rPr>
              <w:t xml:space="preserve">Asmenys, kurie </w:t>
            </w:r>
            <w:r w:rsidRPr="00385835">
              <w:rPr>
                <w:rFonts w:ascii="Times New Roman" w:hAnsi="Times New Roman"/>
                <w:sz w:val="18"/>
                <w:szCs w:val="18"/>
              </w:rPr>
              <w:t>dalyvavo ESF veiklose, skirtose mokytis pagal neformaliojo švietimo programas</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Times New Roman" w:hAnsi="Times New Roman"/>
                <w:color w:val="000000"/>
                <w:kern w:val="24"/>
                <w:sz w:val="18"/>
                <w:szCs w:val="18"/>
              </w:rPr>
              <w:t>Skaičius</w:t>
            </w:r>
          </w:p>
        </w:tc>
        <w:tc>
          <w:tcPr>
            <w:tcW w:w="85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Times New Roman" w:hAnsi="Times New Roman"/>
                <w:color w:val="000000"/>
                <w:kern w:val="24"/>
                <w:sz w:val="18"/>
                <w:szCs w:val="18"/>
              </w:rPr>
              <w:t>ESF</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Times New Roman" w:hAnsi="Times New Roman"/>
                <w:color w:val="000000"/>
                <w:kern w:val="24"/>
                <w:sz w:val="18"/>
                <w:szCs w:val="18"/>
              </w:rPr>
              <w:t>Mažiau išsivystęs</w:t>
            </w:r>
          </w:p>
        </w:tc>
        <w:tc>
          <w:tcPr>
            <w:tcW w:w="850" w:type="dxa"/>
            <w:shd w:val="clear" w:color="auto" w:fill="auto"/>
            <w:vAlign w:val="center"/>
          </w:tcPr>
          <w:p w:rsidR="00385835" w:rsidRPr="00385835" w:rsidRDefault="00385835" w:rsidP="00A50C23">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eastAsia="AngsanaUPC" w:hAnsi="Times New Roman"/>
                <w:bCs/>
                <w:iCs/>
                <w:sz w:val="18"/>
                <w:szCs w:val="18"/>
                <w:lang w:eastAsia="lt-LT"/>
              </w:rPr>
              <w:t>15</w:t>
            </w:r>
            <w:r w:rsidR="00A50C23" w:rsidRPr="00FC6264">
              <w:rPr>
                <w:rFonts w:ascii="Times New Roman" w:eastAsia="AngsanaUPC" w:hAnsi="Times New Roman"/>
                <w:bCs/>
                <w:iCs/>
                <w:sz w:val="18"/>
                <w:szCs w:val="18"/>
                <w:lang w:eastAsia="lt-LT"/>
              </w:rPr>
              <w:t>.</w:t>
            </w:r>
            <w:r w:rsidR="00DA7585" w:rsidRPr="00FC6264">
              <w:rPr>
                <w:rFonts w:ascii="Times New Roman" w:eastAsia="AngsanaUPC" w:hAnsi="Times New Roman"/>
                <w:bCs/>
                <w:iCs/>
                <w:sz w:val="18"/>
                <w:szCs w:val="18"/>
                <w:lang w:eastAsia="lt-LT"/>
              </w:rPr>
              <w:t>95</w:t>
            </w:r>
            <w:r w:rsidRPr="00FC6264">
              <w:rPr>
                <w:rFonts w:ascii="Times New Roman" w:eastAsia="AngsanaUPC" w:hAnsi="Times New Roman"/>
                <w:bCs/>
                <w:iCs/>
                <w:sz w:val="18"/>
                <w:szCs w:val="18"/>
                <w:lang w:eastAsia="lt-LT"/>
              </w:rPr>
              <w:t>0</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Times New Roman" w:hAnsi="Times New Roman"/>
                <w:color w:val="000000"/>
                <w:kern w:val="24"/>
                <w:sz w:val="18"/>
                <w:szCs w:val="18"/>
              </w:rPr>
              <w:t>Duomenys iš projektų</w:t>
            </w:r>
          </w:p>
        </w:tc>
        <w:tc>
          <w:tcPr>
            <w:tcW w:w="124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Times New Roman" w:hAnsi="Times New Roman"/>
                <w:color w:val="000000"/>
                <w:kern w:val="24"/>
                <w:sz w:val="18"/>
                <w:szCs w:val="18"/>
              </w:rPr>
              <w:t>Kartą per metus</w:t>
            </w:r>
          </w:p>
        </w:tc>
      </w:tr>
      <w:tr w:rsidR="00385835" w:rsidRPr="00B93030" w:rsidTr="00385835">
        <w:tblPrEx>
          <w:shd w:val="clear" w:color="auto" w:fill="auto"/>
        </w:tblPrEx>
        <w:tc>
          <w:tcPr>
            <w:tcW w:w="9746" w:type="dxa"/>
            <w:gridSpan w:val="8"/>
            <w:shd w:val="clear" w:color="auto" w:fill="EEECE1"/>
            <w:vAlign w:val="center"/>
          </w:tcPr>
          <w:p w:rsidR="00385835" w:rsidRPr="00B93030" w:rsidRDefault="00385835" w:rsidP="00385835">
            <w:pPr>
              <w:widowControl w:val="0"/>
              <w:tabs>
                <w:tab w:val="left" w:pos="622"/>
              </w:tabs>
              <w:spacing w:after="0" w:line="240" w:lineRule="auto"/>
              <w:rPr>
                <w:rFonts w:ascii="Times New Roman" w:eastAsia="AngsanaUPC" w:hAnsi="Times New Roman"/>
                <w:bCs/>
                <w:iCs/>
                <w:sz w:val="18"/>
                <w:szCs w:val="18"/>
                <w:lang w:eastAsia="lt-LT"/>
              </w:rPr>
            </w:pPr>
            <w:r w:rsidRPr="00B93030">
              <w:rPr>
                <w:rFonts w:ascii="Times New Roman" w:eastAsia="AngsanaUPC" w:hAnsi="Times New Roman"/>
                <w:i/>
                <w:iCs/>
                <w:sz w:val="18"/>
                <w:szCs w:val="18"/>
                <w:lang w:eastAsia="lt-LT"/>
              </w:rPr>
              <w:t>9.4.3.konkretaus uždavinio veiklas atspindintys produkto rodikliai:</w:t>
            </w:r>
          </w:p>
        </w:tc>
      </w:tr>
      <w:tr w:rsidR="00385835" w:rsidRPr="00385835" w:rsidTr="0056304C">
        <w:tblPrEx>
          <w:shd w:val="clear" w:color="auto" w:fill="auto"/>
        </w:tblPrEx>
        <w:tc>
          <w:tcPr>
            <w:tcW w:w="56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10.</w:t>
            </w:r>
          </w:p>
        </w:tc>
        <w:tc>
          <w:tcPr>
            <w:tcW w:w="2835" w:type="dxa"/>
            <w:shd w:val="clear" w:color="auto" w:fill="auto"/>
            <w:vAlign w:val="center"/>
          </w:tcPr>
          <w:p w:rsidR="00385835" w:rsidRPr="00385835" w:rsidRDefault="00385835" w:rsidP="00385835">
            <w:pPr>
              <w:widowControl w:val="0"/>
              <w:tabs>
                <w:tab w:val="left" w:pos="622"/>
              </w:tabs>
              <w:spacing w:after="0" w:line="240" w:lineRule="auto"/>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Apmokyti investicijas gavusių labai mažų, mažų ir vidutinių įmonių darbuotojai</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Skaičius</w:t>
            </w:r>
          </w:p>
        </w:tc>
        <w:tc>
          <w:tcPr>
            <w:tcW w:w="85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ESF</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Mažiau išsivystęs</w:t>
            </w:r>
          </w:p>
        </w:tc>
        <w:tc>
          <w:tcPr>
            <w:tcW w:w="850" w:type="dxa"/>
            <w:shd w:val="clear" w:color="auto" w:fill="auto"/>
            <w:vAlign w:val="center"/>
          </w:tcPr>
          <w:p w:rsidR="00385835" w:rsidRPr="00385835" w:rsidRDefault="00385835" w:rsidP="00A50C23">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19</w:t>
            </w:r>
            <w:r w:rsidR="00A50C23">
              <w:rPr>
                <w:rFonts w:ascii="Times New Roman" w:eastAsia="AngsanaUPC" w:hAnsi="Times New Roman"/>
                <w:bCs/>
                <w:iCs/>
                <w:sz w:val="18"/>
                <w:szCs w:val="18"/>
                <w:lang w:eastAsia="lt-LT"/>
              </w:rPr>
              <w:t>.</w:t>
            </w:r>
            <w:r w:rsidRPr="00385835">
              <w:rPr>
                <w:rFonts w:ascii="Times New Roman" w:eastAsia="AngsanaUPC" w:hAnsi="Times New Roman"/>
                <w:bCs/>
                <w:iCs/>
                <w:sz w:val="18"/>
                <w:szCs w:val="18"/>
                <w:lang w:eastAsia="lt-LT"/>
              </w:rPr>
              <w:t>500</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Duomenys iš projektų</w:t>
            </w:r>
          </w:p>
        </w:tc>
        <w:tc>
          <w:tcPr>
            <w:tcW w:w="124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385835" w:rsidRPr="00385835" w:rsidTr="0056304C">
        <w:tblPrEx>
          <w:shd w:val="clear" w:color="auto" w:fill="auto"/>
        </w:tblPrEx>
        <w:tc>
          <w:tcPr>
            <w:tcW w:w="56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11.</w:t>
            </w:r>
          </w:p>
        </w:tc>
        <w:tc>
          <w:tcPr>
            <w:tcW w:w="2835" w:type="dxa"/>
            <w:shd w:val="clear" w:color="auto" w:fill="auto"/>
            <w:vAlign w:val="center"/>
          </w:tcPr>
          <w:p w:rsidR="00385835" w:rsidRPr="00385835" w:rsidRDefault="00385835" w:rsidP="00385835">
            <w:pPr>
              <w:widowControl w:val="0"/>
              <w:tabs>
                <w:tab w:val="left" w:pos="622"/>
              </w:tabs>
              <w:spacing w:after="0" w:line="240" w:lineRule="auto"/>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Dirbantieji, kurie dalyvavo ESF mokymuose</w:t>
            </w:r>
            <w:r w:rsidR="00554CEA">
              <w:rPr>
                <w:rFonts w:ascii="Times New Roman" w:eastAsia="AngsanaUPC" w:hAnsi="Times New Roman"/>
                <w:bCs/>
                <w:iCs/>
                <w:sz w:val="18"/>
                <w:szCs w:val="18"/>
                <w:lang w:eastAsia="lt-LT"/>
              </w:rPr>
              <w:t>,</w:t>
            </w:r>
            <w:r w:rsidRPr="00385835">
              <w:rPr>
                <w:rFonts w:ascii="Times New Roman" w:eastAsia="AngsanaUPC" w:hAnsi="Times New Roman"/>
                <w:bCs/>
                <w:iCs/>
                <w:sz w:val="18"/>
                <w:szCs w:val="18"/>
                <w:lang w:eastAsia="lt-LT"/>
              </w:rPr>
              <w:t xml:space="preserve"> suteikiančiuose kvalifikaciją arba kompetenciją</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Skaičius</w:t>
            </w:r>
          </w:p>
        </w:tc>
        <w:tc>
          <w:tcPr>
            <w:tcW w:w="85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ESF</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Mažiau išsivystęs</w:t>
            </w:r>
          </w:p>
        </w:tc>
        <w:tc>
          <w:tcPr>
            <w:tcW w:w="850" w:type="dxa"/>
            <w:shd w:val="clear" w:color="auto" w:fill="auto"/>
            <w:vAlign w:val="center"/>
          </w:tcPr>
          <w:p w:rsidR="00385835" w:rsidRPr="00385835" w:rsidRDefault="00385835" w:rsidP="00A50C23">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65</w:t>
            </w:r>
            <w:r w:rsidR="00A50C23">
              <w:rPr>
                <w:rFonts w:ascii="Times New Roman" w:eastAsia="AngsanaUPC" w:hAnsi="Times New Roman"/>
                <w:bCs/>
                <w:iCs/>
                <w:sz w:val="18"/>
                <w:szCs w:val="18"/>
                <w:lang w:eastAsia="lt-LT"/>
              </w:rPr>
              <w:t>.</w:t>
            </w:r>
            <w:r w:rsidRPr="00385835">
              <w:rPr>
                <w:rFonts w:ascii="Times New Roman" w:eastAsia="AngsanaUPC" w:hAnsi="Times New Roman"/>
                <w:bCs/>
                <w:iCs/>
                <w:sz w:val="18"/>
                <w:szCs w:val="18"/>
                <w:lang w:eastAsia="lt-LT"/>
              </w:rPr>
              <w:t>000</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Duomenys iš projektų</w:t>
            </w:r>
          </w:p>
        </w:tc>
        <w:tc>
          <w:tcPr>
            <w:tcW w:w="124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385835" w:rsidRPr="00385835" w:rsidTr="0056304C">
        <w:tblPrEx>
          <w:shd w:val="clear" w:color="auto" w:fill="auto"/>
        </w:tblPrEx>
        <w:tc>
          <w:tcPr>
            <w:tcW w:w="567" w:type="dxa"/>
            <w:shd w:val="clear" w:color="auto" w:fill="auto"/>
            <w:vAlign w:val="center"/>
          </w:tcPr>
          <w:p w:rsidR="00385835" w:rsidRPr="00385835" w:rsidDel="00F71A98"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12.</w:t>
            </w:r>
          </w:p>
        </w:tc>
        <w:tc>
          <w:tcPr>
            <w:tcW w:w="2835" w:type="dxa"/>
            <w:shd w:val="clear" w:color="auto" w:fill="auto"/>
            <w:vAlign w:val="center"/>
          </w:tcPr>
          <w:p w:rsidR="00385835" w:rsidRPr="00385835" w:rsidRDefault="00385835" w:rsidP="00385835">
            <w:pPr>
              <w:widowControl w:val="0"/>
              <w:tabs>
                <w:tab w:val="left" w:pos="622"/>
              </w:tabs>
              <w:spacing w:after="0" w:line="240" w:lineRule="auto"/>
              <w:rPr>
                <w:rFonts w:ascii="Times New Roman" w:eastAsia="AngsanaUPC" w:hAnsi="Times New Roman"/>
                <w:bCs/>
                <w:iCs/>
                <w:sz w:val="18"/>
                <w:szCs w:val="18"/>
                <w:lang w:eastAsia="lt-LT"/>
              </w:rPr>
            </w:pPr>
            <w:r w:rsidRPr="00385835">
              <w:rPr>
                <w:rFonts w:ascii="Times New Roman" w:hAnsi="Times New Roman"/>
                <w:sz w:val="18"/>
                <w:szCs w:val="18"/>
              </w:rPr>
              <w:t>Atnaujintos žmogiškųjų išteklių stebėsenos, prognozavimo ir plėtros sistemos dalys</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Skaičius</w:t>
            </w:r>
          </w:p>
        </w:tc>
        <w:tc>
          <w:tcPr>
            <w:tcW w:w="85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ESF</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Mažiau išsivystęs</w:t>
            </w:r>
          </w:p>
        </w:tc>
        <w:tc>
          <w:tcPr>
            <w:tcW w:w="850"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3</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Duomenys iš projektų</w:t>
            </w:r>
          </w:p>
        </w:tc>
        <w:tc>
          <w:tcPr>
            <w:tcW w:w="124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bl>
    <w:p w:rsidR="00385835" w:rsidRPr="00385835" w:rsidRDefault="00385835" w:rsidP="00385835">
      <w:pPr>
        <w:spacing w:after="0" w:line="240" w:lineRule="auto"/>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9746"/>
      </w:tblGrid>
      <w:tr w:rsidR="00385835" w:rsidRPr="00385835" w:rsidTr="00385835">
        <w:tc>
          <w:tcPr>
            <w:tcW w:w="9746"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i/>
                <w:iCs/>
                <w:sz w:val="24"/>
                <w:szCs w:val="24"/>
                <w:lang w:eastAsia="lt-LT"/>
              </w:rPr>
              <w:t>Projektų</w:t>
            </w:r>
            <w:r w:rsidR="00DA7585">
              <w:rPr>
                <w:rFonts w:ascii="Times New Roman" w:eastAsia="AngsanaUPC" w:hAnsi="Times New Roman"/>
                <w:b/>
                <w:bCs/>
                <w:i/>
                <w:iCs/>
                <w:sz w:val="24"/>
                <w:szCs w:val="24"/>
                <w:lang w:eastAsia="lt-LT"/>
              </w:rPr>
              <w:t xml:space="preserve"> </w:t>
            </w:r>
            <w:r w:rsidRPr="00385835">
              <w:rPr>
                <w:rFonts w:ascii="Times New Roman" w:eastAsia="AngsanaUPC" w:hAnsi="Times New Roman"/>
                <w:b/>
                <w:bCs/>
                <w:i/>
                <w:iCs/>
                <w:sz w:val="24"/>
                <w:szCs w:val="24"/>
                <w:lang w:eastAsia="lt-LT"/>
              </w:rPr>
              <w:t>/</w:t>
            </w:r>
            <w:r w:rsidR="00DA7585">
              <w:rPr>
                <w:rFonts w:ascii="Times New Roman" w:eastAsia="AngsanaUPC" w:hAnsi="Times New Roman"/>
                <w:b/>
                <w:bCs/>
                <w:i/>
                <w:iCs/>
                <w:sz w:val="24"/>
                <w:szCs w:val="24"/>
                <w:lang w:eastAsia="lt-LT"/>
              </w:rPr>
              <w:t xml:space="preserve"> </w:t>
            </w:r>
            <w:r w:rsidRPr="00385835">
              <w:rPr>
                <w:rFonts w:ascii="Times New Roman" w:eastAsia="AngsanaUPC" w:hAnsi="Times New Roman"/>
                <w:b/>
                <w:bCs/>
                <w:i/>
                <w:iCs/>
                <w:sz w:val="24"/>
                <w:szCs w:val="24"/>
                <w:lang w:eastAsia="lt-LT"/>
              </w:rPr>
              <w:t>veiksmų atrankos principai</w:t>
            </w:r>
          </w:p>
        </w:tc>
      </w:tr>
      <w:tr w:rsidR="00385835" w:rsidRPr="00385835" w:rsidTr="00385835">
        <w:tc>
          <w:tcPr>
            <w:tcW w:w="9746" w:type="dxa"/>
            <w:shd w:val="clear" w:color="auto" w:fill="auto"/>
          </w:tcPr>
          <w:p w:rsidR="00772596" w:rsidRDefault="00385835" w:rsidP="00650E41">
            <w:pPr>
              <w:widowControl w:val="0"/>
              <w:numPr>
                <w:ilvl w:val="0"/>
                <w:numId w:val="73"/>
              </w:numPr>
              <w:tabs>
                <w:tab w:val="left" w:pos="631"/>
              </w:tabs>
              <w:spacing w:after="0" w:line="240" w:lineRule="auto"/>
              <w:ind w:left="34"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Veiksmų programos 9.1. investicinį prioritetą įgyvendinantys projektai bus atrenkami konkurso būdu, valstybės projektų planavimo būdu (tiesiogiai skiriant subsidiją) ir regiono projektų planavimo būdu (tiesiogiai skiriant subsid</w:t>
            </w:r>
            <w:r w:rsidR="00772596">
              <w:rPr>
                <w:rFonts w:ascii="Times New Roman" w:eastAsia="AngsanaUPC" w:hAnsi="Times New Roman"/>
                <w:bCs/>
                <w:iCs/>
                <w:sz w:val="24"/>
                <w:szCs w:val="24"/>
                <w:lang w:eastAsia="lt-LT"/>
              </w:rPr>
              <w:t>iją).</w:t>
            </w:r>
          </w:p>
          <w:p w:rsidR="00772596" w:rsidRDefault="00385835" w:rsidP="00650E41">
            <w:pPr>
              <w:widowControl w:val="0"/>
              <w:numPr>
                <w:ilvl w:val="0"/>
                <w:numId w:val="73"/>
              </w:numPr>
              <w:tabs>
                <w:tab w:val="left" w:pos="631"/>
              </w:tabs>
              <w:spacing w:after="0" w:line="240" w:lineRule="auto"/>
              <w:ind w:left="34" w:firstLine="624"/>
              <w:jc w:val="both"/>
              <w:rPr>
                <w:rFonts w:ascii="Times New Roman" w:eastAsia="AngsanaUPC" w:hAnsi="Times New Roman"/>
                <w:bCs/>
                <w:iCs/>
                <w:sz w:val="24"/>
                <w:szCs w:val="24"/>
                <w:lang w:eastAsia="lt-LT"/>
              </w:rPr>
            </w:pPr>
            <w:r w:rsidRPr="00772596">
              <w:rPr>
                <w:rFonts w:ascii="Times New Roman" w:eastAsia="AngsanaUPC" w:hAnsi="Times New Roman"/>
                <w:bCs/>
                <w:iCs/>
                <w:sz w:val="24"/>
                <w:szCs w:val="24"/>
                <w:lang w:eastAsia="lt-LT"/>
              </w:rPr>
              <w:t xml:space="preserve">Jeigu nusprendžiama, kad konkrečiam projektui dotacijos skiriamos tiesiogiai, ši </w:t>
            </w:r>
            <w:r w:rsidRPr="00772596">
              <w:rPr>
                <w:rFonts w:ascii="Times New Roman" w:eastAsia="AngsanaUPC" w:hAnsi="Times New Roman"/>
                <w:bCs/>
                <w:iCs/>
                <w:sz w:val="24"/>
                <w:szCs w:val="24"/>
                <w:lang w:eastAsia="lt-LT"/>
              </w:rPr>
              <w:lastRenderedPageBreak/>
              <w:t>procedūra turi atitikti sąlygas, nustatytas Bendrųjų nuostatų reglamento 125.3 str. (a) dalyje (ii) punkte, kuriuo reikalaujama, kad dotacijų skyrimo procedūra turi būti nediskriminuojanti ir skaidri.</w:t>
            </w:r>
          </w:p>
          <w:p w:rsidR="00681F07" w:rsidRPr="00772596" w:rsidRDefault="00385835" w:rsidP="00650E41">
            <w:pPr>
              <w:widowControl w:val="0"/>
              <w:numPr>
                <w:ilvl w:val="0"/>
                <w:numId w:val="73"/>
              </w:numPr>
              <w:tabs>
                <w:tab w:val="left" w:pos="631"/>
              </w:tabs>
              <w:spacing w:after="0" w:line="240" w:lineRule="auto"/>
              <w:ind w:left="34" w:firstLine="624"/>
              <w:jc w:val="both"/>
              <w:rPr>
                <w:rFonts w:ascii="Times New Roman" w:eastAsia="AngsanaUPC" w:hAnsi="Times New Roman"/>
                <w:bCs/>
                <w:iCs/>
                <w:sz w:val="24"/>
                <w:szCs w:val="24"/>
                <w:lang w:eastAsia="lt-LT"/>
              </w:rPr>
            </w:pPr>
            <w:r w:rsidRPr="00772596">
              <w:rPr>
                <w:rFonts w:ascii="Times New Roman" w:hAnsi="Times New Roman"/>
                <w:color w:val="000000"/>
                <w:sz w:val="24"/>
                <w:szCs w:val="24"/>
                <w:lang w:eastAsia="lt-LT"/>
              </w:rPr>
              <w:t>Investicijos į švietimo infrastruktūrą planuojamos atsižvelgiant į 2007–2013 m. patirtį ir atliktas investicijas, numatomus 2014–2020 m. plėtros poreikius ir įvertinus demografines tendencijas tam, kad būtų užtikrintas švietimo paslaugų prieinamumas, efektyvumas bei investicijų tvarumas.</w:t>
            </w:r>
          </w:p>
          <w:p w:rsidR="00772596" w:rsidRPr="00772596" w:rsidRDefault="00772596" w:rsidP="00650E41">
            <w:pPr>
              <w:widowControl w:val="0"/>
              <w:numPr>
                <w:ilvl w:val="0"/>
                <w:numId w:val="73"/>
              </w:numPr>
              <w:tabs>
                <w:tab w:val="left" w:pos="631"/>
              </w:tabs>
              <w:spacing w:after="0" w:line="240" w:lineRule="auto"/>
              <w:ind w:left="34" w:firstLine="624"/>
              <w:jc w:val="both"/>
              <w:rPr>
                <w:rFonts w:ascii="Times New Roman" w:eastAsia="AngsanaUPC" w:hAnsi="Times New Roman"/>
                <w:bCs/>
                <w:iCs/>
                <w:sz w:val="24"/>
                <w:szCs w:val="24"/>
                <w:lang w:eastAsia="lt-LT"/>
              </w:rPr>
            </w:pPr>
            <w:r w:rsidRPr="00772596">
              <w:rPr>
                <w:rFonts w:ascii="Times New Roman" w:hAnsi="Times New Roman"/>
                <w:bCs/>
                <w:iCs/>
                <w:color w:val="000000"/>
                <w:sz w:val="24"/>
                <w:szCs w:val="24"/>
                <w:lang w:eastAsia="lt-LT"/>
              </w:rPr>
              <w:t>Šio investicinio prioriteto veiklos bus įgyvendinamos taikant ITI įgyvendinimo mechanizmą, nustatytą Veiksmų programos 4 skirsnyje, per ITVP.</w:t>
            </w:r>
          </w:p>
          <w:p w:rsidR="00681F07" w:rsidRDefault="00385835" w:rsidP="00650E41">
            <w:pPr>
              <w:widowControl w:val="0"/>
              <w:numPr>
                <w:ilvl w:val="0"/>
                <w:numId w:val="73"/>
              </w:numPr>
              <w:tabs>
                <w:tab w:val="left" w:pos="631"/>
              </w:tabs>
              <w:spacing w:after="0" w:line="240" w:lineRule="auto"/>
              <w:ind w:left="34"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Veiksmų programos 9.2., 9.3 ir 9.4 investicinius prioritetus įgyvendinantys projektai bus atrenkami konkurso būdu ir valstybės projektų planavimo būdu (tiesiogiai skiriant subsidiją). Jeigu nusprendžiama, kad konkrečiam projektui dotacijos skiriamos tiesiogiai, ši procedūra turi atitikti sąlygas, nustatytas Bendrųjų nuostatų reglamento 125.3 str. (a) dalyje (ii) punkte, kuriuo reikalaujama, kad dotacijų skyrimo procedūra turi būti nediskriminuojanti ir skaidri.</w:t>
            </w:r>
          </w:p>
          <w:p w:rsidR="00385835" w:rsidRPr="00385835" w:rsidRDefault="00385835" w:rsidP="00650E41">
            <w:pPr>
              <w:widowControl w:val="0"/>
              <w:numPr>
                <w:ilvl w:val="0"/>
                <w:numId w:val="73"/>
              </w:numPr>
              <w:tabs>
                <w:tab w:val="left" w:pos="631"/>
              </w:tabs>
              <w:spacing w:after="0" w:line="240" w:lineRule="auto"/>
              <w:ind w:left="34"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 xml:space="preserve">9.4.3 </w:t>
            </w:r>
            <w:r w:rsidR="001C5DE1" w:rsidRPr="001C5DE1">
              <w:rPr>
                <w:rFonts w:ascii="Times New Roman" w:eastAsia="AngsanaUPC" w:hAnsi="Times New Roman"/>
                <w:bCs/>
                <w:iCs/>
                <w:sz w:val="24"/>
                <w:szCs w:val="24"/>
                <w:lang w:eastAsia="lt-LT"/>
              </w:rPr>
              <w:t xml:space="preserve">konkrečiame uždavinyje numatytą „Kompetencijų </w:t>
            </w:r>
            <w:r w:rsidR="001C5DE1">
              <w:rPr>
                <w:rFonts w:ascii="Times New Roman" w:eastAsia="AngsanaUPC" w:hAnsi="Times New Roman"/>
                <w:bCs/>
                <w:iCs/>
                <w:sz w:val="24"/>
                <w:szCs w:val="24"/>
                <w:lang w:eastAsia="lt-LT"/>
              </w:rPr>
              <w:t>čekio</w:t>
            </w:r>
            <w:r w:rsidR="001C5DE1" w:rsidRPr="001C5DE1">
              <w:rPr>
                <w:rFonts w:ascii="Times New Roman" w:eastAsia="AngsanaUPC" w:hAnsi="Times New Roman"/>
                <w:bCs/>
                <w:iCs/>
                <w:sz w:val="24"/>
                <w:szCs w:val="24"/>
                <w:lang w:eastAsia="lt-LT"/>
              </w:rPr>
              <w:t xml:space="preserve">“ veiklą numatoma įgyvendinti visuotinės dotacijos būdu. Įgyvendinant minėtas įmonių darbuotojų mokymams skirtas veiklas bus laikomasi valstybės pagalbos principų, atsižvelgiant į Bendrojo bendrosios išimties reglamente (GBER) ir </w:t>
            </w:r>
            <w:r w:rsidR="001C5DE1" w:rsidRPr="001C5DE1">
              <w:rPr>
                <w:rFonts w:ascii="Times New Roman" w:eastAsia="AngsanaUPC" w:hAnsi="Times New Roman"/>
                <w:bCs/>
                <w:i/>
                <w:iCs/>
                <w:sz w:val="24"/>
                <w:szCs w:val="24"/>
                <w:lang w:eastAsia="lt-LT"/>
              </w:rPr>
              <w:t>De minimis</w:t>
            </w:r>
            <w:r w:rsidR="001C5DE1" w:rsidRPr="001C5DE1">
              <w:rPr>
                <w:rFonts w:ascii="Times New Roman" w:eastAsia="AngsanaUPC" w:hAnsi="Times New Roman"/>
                <w:bCs/>
                <w:iCs/>
                <w:sz w:val="24"/>
                <w:szCs w:val="24"/>
                <w:lang w:eastAsia="lt-LT"/>
              </w:rPr>
              <w:t xml:space="preserve"> reglamente nustatytus reikalavimus.</w:t>
            </w:r>
          </w:p>
          <w:p w:rsidR="00385835" w:rsidRDefault="00385835" w:rsidP="00650E41">
            <w:pPr>
              <w:widowControl w:val="0"/>
              <w:numPr>
                <w:ilvl w:val="0"/>
                <w:numId w:val="73"/>
              </w:numPr>
              <w:tabs>
                <w:tab w:val="left" w:pos="631"/>
              </w:tabs>
              <w:spacing w:after="0" w:line="240" w:lineRule="auto"/>
              <w:ind w:left="34"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9.4 investicinius prioritetus įgyvendinančių projektų teikiamų paslaugų kokybė bus nuolat stebima ir vertinama. Ūkio ministerija, remdamasi šiuo metu ekspertų atliekamu tyrimu, patvirtins Ūkio ministro įsakymu kriterijus, kurias remiantis bus atrenkami aukštos kokybės mokymų paslaugų teikėjai bei nustatyti reikalavimai mokymo programoms. Tokiu būdu Ūkio ministerija užtikrins teikiamų mokymo paslaugų kokybę bei skaidrių principų laikymąsi.</w:t>
            </w:r>
          </w:p>
          <w:p w:rsidR="00CD4124" w:rsidRPr="00463952" w:rsidRDefault="00CD4124" w:rsidP="00CD4124">
            <w:pPr>
              <w:widowControl w:val="0"/>
              <w:tabs>
                <w:tab w:val="left" w:pos="631"/>
              </w:tabs>
              <w:spacing w:after="0" w:line="240" w:lineRule="auto"/>
              <w:ind w:left="34"/>
              <w:jc w:val="both"/>
              <w:rPr>
                <w:rFonts w:ascii="Times New Roman" w:eastAsia="AngsanaUPC" w:hAnsi="Times New Roman"/>
                <w:bCs/>
                <w:iCs/>
                <w:sz w:val="24"/>
                <w:szCs w:val="24"/>
                <w:lang w:eastAsia="lt-LT"/>
              </w:rPr>
            </w:pPr>
            <w:r w:rsidRPr="00463952">
              <w:rPr>
                <w:rFonts w:ascii="Times New Roman" w:eastAsia="AngsanaUPC" w:hAnsi="Times New Roman"/>
                <w:bCs/>
                <w:sz w:val="24"/>
                <w:szCs w:val="24"/>
                <w:lang w:eastAsia="lt-LT"/>
              </w:rPr>
              <w:t xml:space="preserve">* Esant pagrįstam poreikiui pagal kiekvieną investicinį prioritetą gali būti taikomi ir kiti projektų atrankos būdai nurodyti pirmojo prioriteto dalyje </w:t>
            </w:r>
            <w:r w:rsidRPr="00463952">
              <w:rPr>
                <w:rFonts w:ascii="Times New Roman" w:eastAsia="AngsanaUPC" w:hAnsi="Times New Roman"/>
                <w:bCs/>
                <w:i/>
                <w:sz w:val="24"/>
                <w:szCs w:val="24"/>
                <w:lang w:eastAsia="lt-LT"/>
              </w:rPr>
              <w:t>„</w:t>
            </w:r>
            <w:r w:rsidRPr="00463952">
              <w:rPr>
                <w:rFonts w:ascii="Times New Roman" w:eastAsia="AngsanaUPC" w:hAnsi="Times New Roman"/>
                <w:bCs/>
                <w:i/>
                <w:iCs/>
                <w:sz w:val="24"/>
                <w:szCs w:val="24"/>
                <w:lang w:eastAsia="lt-LT"/>
              </w:rPr>
              <w:t>Projektų/veiksmų atrankos principai</w:t>
            </w:r>
            <w:r w:rsidR="00463952" w:rsidRPr="00463952">
              <w:rPr>
                <w:rFonts w:ascii="Times New Roman" w:eastAsia="AngsanaUPC" w:hAnsi="Times New Roman"/>
                <w:bCs/>
                <w:i/>
                <w:iCs/>
                <w:sz w:val="24"/>
                <w:szCs w:val="24"/>
                <w:lang w:eastAsia="lt-LT"/>
              </w:rPr>
              <w:t>“</w:t>
            </w:r>
            <w:r w:rsidRPr="00463952">
              <w:rPr>
                <w:rFonts w:ascii="Times New Roman" w:eastAsia="AngsanaUPC" w:hAnsi="Times New Roman"/>
                <w:bCs/>
                <w:i/>
                <w:iCs/>
                <w:sz w:val="24"/>
                <w:szCs w:val="24"/>
                <w:lang w:eastAsia="lt-LT"/>
              </w:rPr>
              <w:t>.</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i/>
          <w:i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746"/>
      </w:tblGrid>
      <w:tr w:rsidR="00385835" w:rsidRPr="00385835" w:rsidTr="00385835">
        <w:tc>
          <w:tcPr>
            <w:tcW w:w="9746"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i/>
                <w:iCs/>
                <w:sz w:val="24"/>
                <w:szCs w:val="24"/>
                <w:lang w:eastAsia="lt-LT"/>
              </w:rPr>
              <w:t>Finansiniai instrumentai ir jų aprašymas</w:t>
            </w:r>
          </w:p>
        </w:tc>
      </w:tr>
      <w:tr w:rsidR="00385835" w:rsidRPr="00385835" w:rsidTr="00385835">
        <w:tc>
          <w:tcPr>
            <w:tcW w:w="9746" w:type="dxa"/>
            <w:shd w:val="clear" w:color="auto" w:fill="auto"/>
          </w:tcPr>
          <w:p w:rsidR="00385835" w:rsidRPr="00385835" w:rsidRDefault="00385835" w:rsidP="00385835">
            <w:pPr>
              <w:widowControl w:val="0"/>
              <w:tabs>
                <w:tab w:val="left" w:pos="622"/>
              </w:tabs>
              <w:spacing w:after="0" w:line="240" w:lineRule="auto"/>
              <w:ind w:firstLine="624"/>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 xml:space="preserve">Šiuo metu yra analizuojamos finansinių instrumentų panaudojimo galimybės uždaviniui „Siekiant geresnės studijų atitikties darbo rinkos ir visuomenės poreikiams gerinti studijų kokybę ir didinti studijų prieinamumą“ (teikti lengvatines paskolas studijų įmokai finansuoti) įgyvendinti. </w:t>
            </w:r>
          </w:p>
          <w:p w:rsidR="00385835" w:rsidRPr="00385835" w:rsidRDefault="00385835" w:rsidP="00385835">
            <w:pPr>
              <w:widowControl w:val="0"/>
              <w:tabs>
                <w:tab w:val="left" w:pos="622"/>
              </w:tabs>
              <w:spacing w:after="0" w:line="240" w:lineRule="auto"/>
              <w:ind w:firstLine="624"/>
              <w:jc w:val="both"/>
              <w:rPr>
                <w:rFonts w:ascii="Times New Roman" w:hAnsi="Times New Roman"/>
                <w:bCs/>
                <w:sz w:val="24"/>
                <w:szCs w:val="24"/>
                <w:lang w:eastAsia="lt-LT"/>
              </w:rPr>
            </w:pPr>
            <w:r w:rsidRPr="00385835">
              <w:rPr>
                <w:rFonts w:ascii="Times New Roman" w:eastAsia="AngsanaUPC" w:hAnsi="Times New Roman"/>
                <w:bCs/>
                <w:iCs/>
                <w:sz w:val="24"/>
                <w:szCs w:val="24"/>
                <w:lang w:eastAsia="lt-LT"/>
              </w:rPr>
              <w:t>Kitiems šio veiksmų programos prioriteto uždaviniams įgyvendinti finansinių instrumentų taikyti nenumatoma,</w:t>
            </w:r>
            <w:r w:rsidRPr="00385835">
              <w:rPr>
                <w:color w:val="222222"/>
                <w:sz w:val="2"/>
                <w:szCs w:val="2"/>
              </w:rPr>
              <w:t xml:space="preserve"> </w:t>
            </w:r>
            <w:r w:rsidRPr="00385835">
              <w:rPr>
                <w:rFonts w:ascii="Times New Roman" w:eastAsia="AngsanaUPC" w:hAnsi="Times New Roman"/>
                <w:bCs/>
                <w:iCs/>
                <w:sz w:val="24"/>
                <w:szCs w:val="24"/>
                <w:lang w:eastAsia="lt-LT"/>
              </w:rPr>
              <w:t>tačiau įgyvendinimo metu</w:t>
            </w:r>
            <w:r w:rsidR="007524B7">
              <w:rPr>
                <w:rFonts w:ascii="Times New Roman" w:eastAsia="AngsanaUPC" w:hAnsi="Times New Roman"/>
                <w:bCs/>
                <w:iCs/>
                <w:sz w:val="24"/>
                <w:szCs w:val="24"/>
                <w:lang w:eastAsia="lt-LT"/>
              </w:rPr>
              <w:t>,</w:t>
            </w:r>
            <w:r w:rsidRPr="00385835">
              <w:rPr>
                <w:rFonts w:ascii="Times New Roman" w:eastAsia="AngsanaUPC" w:hAnsi="Times New Roman"/>
                <w:bCs/>
                <w:iCs/>
                <w:sz w:val="24"/>
                <w:szCs w:val="24"/>
                <w:lang w:eastAsia="lt-LT"/>
              </w:rPr>
              <w:t xml:space="preserve"> atsižvelgiant į išankstinio (</w:t>
            </w:r>
            <w:r w:rsidRPr="00385835">
              <w:rPr>
                <w:rFonts w:ascii="Times New Roman" w:eastAsia="AngsanaUPC" w:hAnsi="Times New Roman"/>
                <w:bCs/>
                <w:i/>
                <w:iCs/>
                <w:sz w:val="24"/>
                <w:szCs w:val="24"/>
                <w:lang w:eastAsia="lt-LT"/>
              </w:rPr>
              <w:t>ex ante</w:t>
            </w:r>
            <w:r w:rsidRPr="00385835">
              <w:rPr>
                <w:rFonts w:ascii="Times New Roman" w:eastAsia="AngsanaUPC" w:hAnsi="Times New Roman"/>
                <w:bCs/>
                <w:iCs/>
                <w:sz w:val="24"/>
                <w:szCs w:val="24"/>
                <w:lang w:eastAsia="lt-LT"/>
              </w:rPr>
              <w:t>) vertinimo rezultatus</w:t>
            </w:r>
            <w:r w:rsidR="007524B7">
              <w:rPr>
                <w:rFonts w:ascii="Times New Roman" w:eastAsia="AngsanaUPC" w:hAnsi="Times New Roman"/>
                <w:bCs/>
                <w:iCs/>
                <w:sz w:val="24"/>
                <w:szCs w:val="24"/>
                <w:lang w:eastAsia="lt-LT"/>
              </w:rPr>
              <w:t>,</w:t>
            </w:r>
            <w:r w:rsidRPr="00385835">
              <w:rPr>
                <w:rFonts w:ascii="Times New Roman" w:eastAsia="AngsanaUPC" w:hAnsi="Times New Roman"/>
                <w:bCs/>
                <w:iCs/>
                <w:sz w:val="24"/>
                <w:szCs w:val="24"/>
                <w:lang w:eastAsia="lt-LT"/>
              </w:rPr>
              <w:t xml:space="preserve"> gali būti numatytas finansinių instrumentų taikymas.</w:t>
            </w:r>
          </w:p>
        </w:tc>
      </w:tr>
    </w:tbl>
    <w:p w:rsidR="00385835" w:rsidRPr="00385835" w:rsidRDefault="00385835" w:rsidP="00385835">
      <w:pPr>
        <w:widowControl w:val="0"/>
        <w:tabs>
          <w:tab w:val="left" w:pos="622"/>
        </w:tabs>
        <w:spacing w:after="0" w:line="240" w:lineRule="auto"/>
        <w:jc w:val="both"/>
        <w:rPr>
          <w:rFonts w:ascii="Times New Roman" w:hAnsi="Times New Roman"/>
          <w:i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746"/>
      </w:tblGrid>
      <w:tr w:rsidR="00385835" w:rsidRPr="00385835" w:rsidTr="00385835">
        <w:tc>
          <w:tcPr>
            <w:tcW w:w="9746" w:type="dxa"/>
            <w:shd w:val="clear" w:color="auto" w:fill="EEECE1"/>
          </w:tcPr>
          <w:p w:rsidR="00385835" w:rsidRPr="00385835" w:rsidRDefault="00385835" w:rsidP="00385835">
            <w:pPr>
              <w:spacing w:after="0"/>
              <w:rPr>
                <w:rFonts w:ascii="Times New Roman" w:hAnsi="Times New Roman"/>
                <w:b/>
                <w:bCs/>
                <w:sz w:val="24"/>
                <w:szCs w:val="24"/>
              </w:rPr>
            </w:pPr>
            <w:r w:rsidRPr="00385835">
              <w:rPr>
                <w:rFonts w:ascii="Times New Roman" w:hAnsi="Times New Roman"/>
                <w:b/>
                <w:bCs/>
                <w:i/>
                <w:iCs/>
                <w:sz w:val="24"/>
                <w:szCs w:val="24"/>
              </w:rPr>
              <w:t>Didelės apimties projektai</w:t>
            </w:r>
          </w:p>
        </w:tc>
      </w:tr>
      <w:tr w:rsidR="00385835" w:rsidRPr="00385835" w:rsidTr="00385835">
        <w:tc>
          <w:tcPr>
            <w:tcW w:w="9746" w:type="dxa"/>
            <w:shd w:val="clear" w:color="auto" w:fill="auto"/>
          </w:tcPr>
          <w:p w:rsidR="00385835" w:rsidRPr="00385835" w:rsidRDefault="00385835" w:rsidP="00385835">
            <w:pPr>
              <w:spacing w:after="0" w:line="240" w:lineRule="auto"/>
              <w:ind w:firstLine="624"/>
              <w:rPr>
                <w:rFonts w:ascii="Times New Roman" w:hAnsi="Times New Roman"/>
                <w:bCs/>
                <w:iCs/>
                <w:sz w:val="24"/>
                <w:szCs w:val="24"/>
              </w:rPr>
            </w:pPr>
            <w:r w:rsidRPr="00385835">
              <w:rPr>
                <w:rFonts w:ascii="Times New Roman" w:hAnsi="Times New Roman"/>
                <w:bCs/>
                <w:iCs/>
                <w:sz w:val="24"/>
                <w:szCs w:val="24"/>
              </w:rPr>
              <w:t>Pagal šį veiksmų programos prioritetą didelės apimties projektų vykdyti nenumatoma.</w:t>
            </w:r>
          </w:p>
        </w:tc>
      </w:tr>
    </w:tbl>
    <w:p w:rsidR="00385835" w:rsidRPr="00385835" w:rsidRDefault="00385835" w:rsidP="00385835">
      <w:pPr>
        <w:widowControl w:val="0"/>
        <w:tabs>
          <w:tab w:val="left" w:pos="622"/>
        </w:tabs>
        <w:spacing w:after="0" w:line="240" w:lineRule="auto"/>
        <w:jc w:val="both"/>
        <w:rPr>
          <w:rFonts w:ascii="Times New Roman" w:hAnsi="Times New Roman"/>
          <w:i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746"/>
      </w:tblGrid>
      <w:tr w:rsidR="00385835" w:rsidRPr="00385835" w:rsidTr="00385835">
        <w:tc>
          <w:tcPr>
            <w:tcW w:w="9746"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i/>
                <w:sz w:val="24"/>
                <w:szCs w:val="24"/>
                <w:lang w:eastAsia="lt-LT"/>
              </w:rPr>
            </w:pPr>
            <w:r w:rsidRPr="00385835">
              <w:rPr>
                <w:rFonts w:ascii="Times New Roman" w:hAnsi="Times New Roman"/>
                <w:b/>
                <w:i/>
                <w:sz w:val="24"/>
                <w:szCs w:val="24"/>
              </w:rPr>
              <w:t>ESF specialiosios nuostatos</w:t>
            </w:r>
          </w:p>
        </w:tc>
      </w:tr>
      <w:tr w:rsidR="00385835" w:rsidRPr="00385835" w:rsidTr="00385835">
        <w:tc>
          <w:tcPr>
            <w:tcW w:w="9746" w:type="dxa"/>
            <w:shd w:val="clear" w:color="auto" w:fill="auto"/>
          </w:tcPr>
          <w:p w:rsidR="007524B7" w:rsidRDefault="00385835" w:rsidP="007524B7">
            <w:pPr>
              <w:widowControl w:val="0"/>
              <w:tabs>
                <w:tab w:val="left" w:pos="601"/>
              </w:tabs>
              <w:spacing w:after="0" w:line="240" w:lineRule="auto"/>
              <w:jc w:val="both"/>
              <w:rPr>
                <w:rFonts w:ascii="Times New Roman" w:hAnsi="Times New Roman"/>
                <w:bCs/>
                <w:iCs/>
                <w:sz w:val="24"/>
                <w:szCs w:val="24"/>
                <w:lang w:eastAsia="lt-LT"/>
              </w:rPr>
            </w:pPr>
            <w:r w:rsidRPr="00385835">
              <w:rPr>
                <w:rFonts w:ascii="Times New Roman" w:hAnsi="Times New Roman"/>
                <w:bCs/>
                <w:iCs/>
                <w:sz w:val="24"/>
                <w:szCs w:val="24"/>
                <w:lang w:eastAsia="lt-LT"/>
              </w:rPr>
              <w:t>Įgyvendinant investicinio prioriteto uždavinius bus prisidedama prie ESF konkrečių nuostatų, susijusių su tarptautinio bendrad</w:t>
            </w:r>
            <w:r w:rsidR="007524B7">
              <w:rPr>
                <w:rFonts w:ascii="Times New Roman" w:hAnsi="Times New Roman"/>
                <w:bCs/>
                <w:iCs/>
                <w:sz w:val="24"/>
                <w:szCs w:val="24"/>
                <w:lang w:eastAsia="lt-LT"/>
              </w:rPr>
              <w:t>arbiavimo rėmimu, įgyvendinimo:</w:t>
            </w:r>
          </w:p>
          <w:p w:rsidR="00385835" w:rsidRPr="00385835" w:rsidRDefault="00385835" w:rsidP="00650E41">
            <w:pPr>
              <w:widowControl w:val="0"/>
              <w:numPr>
                <w:ilvl w:val="0"/>
                <w:numId w:val="69"/>
              </w:numPr>
              <w:tabs>
                <w:tab w:val="left" w:pos="601"/>
              </w:tabs>
              <w:spacing w:after="0" w:line="240" w:lineRule="auto"/>
              <w:ind w:left="34" w:firstLine="326"/>
              <w:jc w:val="both"/>
              <w:rPr>
                <w:rFonts w:ascii="Times New Roman" w:hAnsi="Times New Roman"/>
                <w:bCs/>
                <w:iCs/>
                <w:sz w:val="24"/>
                <w:szCs w:val="24"/>
                <w:lang w:eastAsia="lt-LT"/>
              </w:rPr>
            </w:pPr>
            <w:r w:rsidRPr="00385835">
              <w:rPr>
                <w:rFonts w:ascii="Times New Roman" w:hAnsi="Times New Roman"/>
                <w:sz w:val="24"/>
                <w:szCs w:val="24"/>
              </w:rPr>
              <w:t>pagal konkretų investicinio prioriteto uždavinį „Siekiant geresnės studijų atitikties darbo rinkos ir visuomenės poreikiams gerinti studijų kokybę ir didinti studijų prieinamumą“ bus skatinamas tarptautinis studentų ir dėstytojų mobilumas, kviestinių dėstytojų pritraukimas, dėstytojų ir studentų tinklaveika, dėstytojų ir studentų dalyvavimas tarptautiniuose projektuose ir veiklose, vykdomose jungtinės studijų programose, taip pat gerinamas studijoms reikalingų tarptautinių duomenų bazių, registrų prieinamumas. Taip pat uždavinio veiklos prisidės prie Lietuvos aukštųjų mokyklų tarptautinio žinomumo ir prestižo didinimo, tarptautinio įvaizdžio gerinimo bei bus didinamas Lietuvos mokslo ir studijų institucijų ir užsienio šalių lituanistikos (baltistikos) centrų bendradarbiavimas;</w:t>
            </w:r>
          </w:p>
          <w:p w:rsidR="00385835" w:rsidRPr="00385835" w:rsidRDefault="00385835" w:rsidP="00650E41">
            <w:pPr>
              <w:widowControl w:val="0"/>
              <w:numPr>
                <w:ilvl w:val="0"/>
                <w:numId w:val="24"/>
              </w:numPr>
              <w:tabs>
                <w:tab w:val="left" w:pos="601"/>
              </w:tabs>
              <w:spacing w:after="0" w:line="240" w:lineRule="auto"/>
              <w:ind w:left="34" w:firstLine="326"/>
              <w:jc w:val="both"/>
              <w:rPr>
                <w:rFonts w:ascii="Times New Roman" w:hAnsi="Times New Roman"/>
                <w:sz w:val="24"/>
                <w:szCs w:val="24"/>
              </w:rPr>
            </w:pPr>
            <w:r w:rsidRPr="00385835">
              <w:rPr>
                <w:rFonts w:ascii="Times New Roman" w:hAnsi="Times New Roman"/>
                <w:sz w:val="24"/>
                <w:szCs w:val="24"/>
              </w:rPr>
              <w:lastRenderedPageBreak/>
              <w:t>pagal konkretų investicinio prioriteto uždavinį „Stiprinti aukštojo mokslo stebėseną, išorinį vertinimą ir efektyvų studijų valdymą, siekiant nuolatinio studijų kokybės gerinimo“ bus plėtojama užsienyje įgytų kvalifikacijų pripažinimo sistema. Taip pat uždavinio veiklos prisidės prie Lietuvos aukštųjų mokyklų vertinimo ir reitingavimo rezultatų skleidimo tarptautiniu mastu;</w:t>
            </w:r>
          </w:p>
          <w:p w:rsidR="00385835" w:rsidRPr="00385835" w:rsidRDefault="00385835" w:rsidP="00650E41">
            <w:pPr>
              <w:numPr>
                <w:ilvl w:val="0"/>
                <w:numId w:val="24"/>
              </w:numPr>
              <w:tabs>
                <w:tab w:val="left" w:pos="601"/>
              </w:tabs>
              <w:spacing w:after="0" w:line="240" w:lineRule="auto"/>
              <w:ind w:left="34" w:firstLine="326"/>
              <w:jc w:val="both"/>
              <w:rPr>
                <w:rFonts w:ascii="Times New Roman" w:hAnsi="Times New Roman"/>
                <w:sz w:val="24"/>
                <w:szCs w:val="24"/>
              </w:rPr>
            </w:pPr>
            <w:r w:rsidRPr="00385835">
              <w:rPr>
                <w:rFonts w:ascii="Times New Roman" w:hAnsi="Times New Roman"/>
                <w:sz w:val="24"/>
                <w:szCs w:val="24"/>
              </w:rPr>
              <w:t>pagal konkretų investicinio prioriteto uždavinį „Sustiprinti viešojo sektoriaus tyrėjų gebėjimus bei pajėgumus vykdyti aukšto lygio MTEP veiklas“ bus vykdomos tarptautinį tyrėjų ir MTEP personalo bendradarbiavimą skatinančios veiklos, įskaitant užsienio tyrėjų (</w:t>
            </w:r>
            <w:proofErr w:type="gramStart"/>
            <w:r w:rsidRPr="00385835">
              <w:rPr>
                <w:rFonts w:ascii="Times New Roman" w:hAnsi="Times New Roman"/>
                <w:sz w:val="24"/>
                <w:szCs w:val="24"/>
              </w:rPr>
              <w:t>tame tarpe</w:t>
            </w:r>
            <w:proofErr w:type="gramEnd"/>
            <w:r w:rsidRPr="00385835">
              <w:rPr>
                <w:rFonts w:ascii="Times New Roman" w:hAnsi="Times New Roman"/>
                <w:sz w:val="24"/>
                <w:szCs w:val="24"/>
              </w:rPr>
              <w:t xml:space="preserve"> ir tyrėjų iš trečiųjų šalių) pritraukimą darbui Lietuvos mokslo ir studijų institucijose, mokslo ir studijų institucijoms priklausančiuose atviros prieigos centruose, paskatas užsieniečiams (tame tarpe ir asmenis iš trečiųjų šalių) rinktis doktorantūros studijas Lietuvoje, jaunųjų tyrėjų stažuotes po doktorantūros studijų, patyrusių tyrėjų stažuotes užsienio mokslo ir studijų institucijose bei mokslui imliose įmonėse, Lietuvos tyrėjų, bendradarbiaujant su tyrėjais iš užsienio vykdomus MTEP projektus, tyrėjų mainus, tarptautinį mokslo ir studijų institucijų bendradarbiavimą, partnerysčių kūrimą.</w:t>
            </w:r>
          </w:p>
          <w:p w:rsidR="00385835" w:rsidRPr="00385835" w:rsidRDefault="00385835" w:rsidP="00650E41">
            <w:pPr>
              <w:numPr>
                <w:ilvl w:val="0"/>
                <w:numId w:val="24"/>
              </w:numPr>
              <w:tabs>
                <w:tab w:val="left" w:pos="601"/>
              </w:tabs>
              <w:spacing w:after="0" w:line="240" w:lineRule="auto"/>
              <w:ind w:left="34" w:firstLine="326"/>
              <w:jc w:val="both"/>
              <w:rPr>
                <w:rFonts w:ascii="Times New Roman" w:hAnsi="Times New Roman"/>
                <w:sz w:val="24"/>
                <w:szCs w:val="24"/>
              </w:rPr>
            </w:pPr>
            <w:r w:rsidRPr="00385835">
              <w:rPr>
                <w:rFonts w:ascii="Times New Roman" w:eastAsia="Times New Roman" w:hAnsi="Times New Roman"/>
                <w:sz w:val="24"/>
                <w:szCs w:val="24"/>
                <w:lang w:eastAsia="lt-LT"/>
              </w:rPr>
              <w:t>9 prioritetas siejasi su 1 prioritetu veiklų lygmenyje. Pagal 9.3. investicinio prioriteto veiklas planuojama kelti mokslininkų ir kitų tyrėjų kvalifikaciją jiems dalyvaujant mokymuose, stažuo</w:t>
            </w:r>
            <w:r w:rsidR="00DA7585">
              <w:rPr>
                <w:rFonts w:ascii="Times New Roman" w:eastAsia="Times New Roman" w:hAnsi="Times New Roman"/>
                <w:sz w:val="24"/>
                <w:szCs w:val="24"/>
                <w:lang w:eastAsia="lt-LT"/>
              </w:rPr>
              <w:t xml:space="preserve">tėse, tarptautinių mokslinių </w:t>
            </w:r>
            <w:r w:rsidRPr="00385835">
              <w:rPr>
                <w:rFonts w:ascii="Times New Roman" w:eastAsia="Times New Roman" w:hAnsi="Times New Roman"/>
                <w:sz w:val="24"/>
                <w:szCs w:val="24"/>
                <w:lang w:eastAsia="lt-LT"/>
              </w:rPr>
              <w:t>organizacijų veiklose. 1 prioritetas tiesiogiai prisideda prie šių veiklų per elektroninių mokslinių bazių prieinamumą, mokslinės infrastruktūros įsigijimą ir atnaujinimą. Tyrėjai ir mokslininkai vykdys mokslinius tyrimus sumanios specializacijos srityse. Dalis studentų, doktorantų bus rengiami atsižvelgiant į sumanios spec</w:t>
            </w:r>
            <w:r w:rsidR="007524B7">
              <w:rPr>
                <w:rFonts w:ascii="Times New Roman" w:eastAsia="Times New Roman" w:hAnsi="Times New Roman"/>
                <w:sz w:val="24"/>
                <w:szCs w:val="24"/>
                <w:lang w:eastAsia="lt-LT"/>
              </w:rPr>
              <w:t>ializacijos</w:t>
            </w:r>
            <w:proofErr w:type="gramStart"/>
            <w:r w:rsidR="007524B7">
              <w:rPr>
                <w:rFonts w:ascii="Times New Roman" w:eastAsia="Times New Roman" w:hAnsi="Times New Roman"/>
                <w:sz w:val="24"/>
                <w:szCs w:val="24"/>
                <w:lang w:eastAsia="lt-LT"/>
              </w:rPr>
              <w:t xml:space="preserve">  </w:t>
            </w:r>
            <w:proofErr w:type="gramEnd"/>
            <w:r w:rsidR="007524B7">
              <w:rPr>
                <w:rFonts w:ascii="Times New Roman" w:eastAsia="Times New Roman" w:hAnsi="Times New Roman"/>
                <w:sz w:val="24"/>
                <w:szCs w:val="24"/>
                <w:lang w:eastAsia="lt-LT"/>
              </w:rPr>
              <w:t xml:space="preserve">išskirtas sritis, </w:t>
            </w:r>
            <w:r w:rsidRPr="00385835">
              <w:rPr>
                <w:rFonts w:ascii="Times New Roman" w:eastAsia="Times New Roman" w:hAnsi="Times New Roman"/>
                <w:sz w:val="24"/>
                <w:szCs w:val="24"/>
                <w:lang w:eastAsia="lt-LT"/>
              </w:rPr>
              <w:t xml:space="preserve"> tai taip pat tiesiogiai siejasi su 1 prioritetu.</w:t>
            </w:r>
          </w:p>
        </w:tc>
      </w:tr>
    </w:tbl>
    <w:p w:rsidR="00385835" w:rsidRPr="00385835" w:rsidRDefault="00385835" w:rsidP="00385835">
      <w:pPr>
        <w:widowControl w:val="0"/>
        <w:tabs>
          <w:tab w:val="left" w:pos="622"/>
        </w:tabs>
        <w:spacing w:after="0" w:line="240" w:lineRule="auto"/>
        <w:jc w:val="both"/>
        <w:rPr>
          <w:rFonts w:ascii="Times New Roman" w:hAnsi="Times New Roman"/>
          <w:iCs/>
          <w:sz w:val="24"/>
          <w:szCs w:val="24"/>
        </w:rPr>
      </w:pPr>
    </w:p>
    <w:p w:rsidR="00385835" w:rsidRPr="00385835" w:rsidRDefault="00385835" w:rsidP="00385835">
      <w:pPr>
        <w:widowControl w:val="0"/>
        <w:tabs>
          <w:tab w:val="left" w:pos="622"/>
        </w:tabs>
        <w:spacing w:after="0" w:line="240" w:lineRule="auto"/>
        <w:jc w:val="both"/>
        <w:rPr>
          <w:rFonts w:ascii="Times New Roman" w:eastAsia="AngsanaUPC" w:hAnsi="Times New Roman"/>
          <w:b/>
          <w:bCs/>
          <w:i/>
          <w:iCs/>
          <w:sz w:val="24"/>
          <w:szCs w:val="24"/>
          <w:lang w:eastAsia="lt-LT"/>
        </w:rPr>
        <w:sectPr w:rsidR="00385835" w:rsidRPr="00385835" w:rsidSect="00AC19DA">
          <w:pgSz w:w="11906" w:h="16838" w:code="9"/>
          <w:pgMar w:top="1701" w:right="567" w:bottom="1134" w:left="1701" w:header="567" w:footer="567" w:gutter="0"/>
          <w:cols w:space="1296"/>
          <w:docGrid w:linePitch="360"/>
        </w:sectPr>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1277"/>
        <w:gridCol w:w="2551"/>
        <w:gridCol w:w="850"/>
        <w:gridCol w:w="709"/>
        <w:gridCol w:w="850"/>
        <w:gridCol w:w="1134"/>
        <w:gridCol w:w="1134"/>
        <w:gridCol w:w="993"/>
        <w:gridCol w:w="4536"/>
      </w:tblGrid>
      <w:tr w:rsidR="00385835" w:rsidRPr="00385835" w:rsidTr="00385835">
        <w:trPr>
          <w:tblHeader/>
        </w:trPr>
        <w:tc>
          <w:tcPr>
            <w:tcW w:w="14034" w:type="dxa"/>
            <w:gridSpan w:val="9"/>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i/>
                <w:iCs/>
                <w:sz w:val="24"/>
                <w:szCs w:val="24"/>
                <w:lang w:eastAsia="lt-LT"/>
              </w:rPr>
              <w:lastRenderedPageBreak/>
              <w:t>Prioriteto veiklos rezultatų peržiūros planas</w:t>
            </w:r>
          </w:p>
        </w:tc>
      </w:tr>
      <w:tr w:rsidR="00385835" w:rsidRPr="00385835" w:rsidTr="0056304C">
        <w:trPr>
          <w:cantSplit/>
          <w:trHeight w:val="1134"/>
          <w:tblHeader/>
        </w:trPr>
        <w:tc>
          <w:tcPr>
            <w:tcW w:w="1277"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Rodiklio rūšis</w:t>
            </w:r>
          </w:p>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(įgyvendinimo žingsniai, finansinis, produkto ir rezultato rodiklis)</w:t>
            </w:r>
          </w:p>
        </w:tc>
        <w:tc>
          <w:tcPr>
            <w:tcW w:w="255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Rodiklio apibrėžimas arba įgyvendinimo žingsnis</w:t>
            </w:r>
          </w:p>
        </w:tc>
        <w:tc>
          <w:tcPr>
            <w:tcW w:w="850"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Matavimo vienetas</w:t>
            </w:r>
          </w:p>
        </w:tc>
        <w:tc>
          <w:tcPr>
            <w:tcW w:w="709"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Fondas</w:t>
            </w:r>
          </w:p>
        </w:tc>
        <w:tc>
          <w:tcPr>
            <w:tcW w:w="850"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Regiono kategorija</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Tarpinė reikšmė (2018)</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Siektina reikšmė (2023)</w:t>
            </w:r>
          </w:p>
        </w:tc>
        <w:tc>
          <w:tcPr>
            <w:tcW w:w="993"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Duomenų šaltinis</w:t>
            </w:r>
          </w:p>
        </w:tc>
        <w:tc>
          <w:tcPr>
            <w:tcW w:w="4536"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Rodiklių tinkamumo pagrindimas</w:t>
            </w:r>
          </w:p>
        </w:tc>
      </w:tr>
      <w:tr w:rsidR="00385835" w:rsidRPr="0056304C" w:rsidTr="0056304C">
        <w:tc>
          <w:tcPr>
            <w:tcW w:w="1277" w:type="dxa"/>
            <w:shd w:val="clear" w:color="auto" w:fill="FFFFFF"/>
            <w:vAlign w:val="center"/>
          </w:tcPr>
          <w:p w:rsidR="00385835" w:rsidRPr="0056304C" w:rsidRDefault="00385835" w:rsidP="0056304C">
            <w:pPr>
              <w:spacing w:after="0" w:line="240" w:lineRule="auto"/>
              <w:rPr>
                <w:rFonts w:ascii="Times New Roman" w:hAnsi="Times New Roman"/>
                <w:sz w:val="16"/>
                <w:szCs w:val="16"/>
              </w:rPr>
            </w:pPr>
            <w:r w:rsidRPr="0056304C">
              <w:rPr>
                <w:rFonts w:ascii="Times New Roman" w:hAnsi="Times New Roman"/>
                <w:sz w:val="16"/>
                <w:szCs w:val="16"/>
              </w:rPr>
              <w:t>Finansinis</w:t>
            </w:r>
            <w:r w:rsidRPr="0056304C">
              <w:rPr>
                <w:rFonts w:ascii="Times New Roman" w:eastAsia="AngsanaUPC" w:hAnsi="Times New Roman"/>
                <w:bCs/>
                <w:iCs/>
                <w:sz w:val="16"/>
                <w:szCs w:val="16"/>
              </w:rPr>
              <w:t xml:space="preserve"> </w:t>
            </w:r>
            <w:r w:rsidRPr="0056304C">
              <w:rPr>
                <w:rFonts w:ascii="Times New Roman" w:hAnsi="Times New Roman"/>
                <w:sz w:val="16"/>
                <w:szCs w:val="16"/>
              </w:rPr>
              <w:t>rodiklis</w:t>
            </w:r>
          </w:p>
        </w:tc>
        <w:tc>
          <w:tcPr>
            <w:tcW w:w="2551" w:type="dxa"/>
            <w:shd w:val="clear" w:color="auto" w:fill="FFFFFF"/>
            <w:vAlign w:val="center"/>
          </w:tcPr>
          <w:p w:rsidR="00385835" w:rsidRPr="0056304C" w:rsidRDefault="00385835" w:rsidP="0056304C">
            <w:pPr>
              <w:spacing w:after="0" w:line="240" w:lineRule="auto"/>
              <w:rPr>
                <w:rFonts w:ascii="Times New Roman" w:hAnsi="Times New Roman"/>
                <w:i/>
                <w:sz w:val="16"/>
                <w:szCs w:val="16"/>
              </w:rPr>
            </w:pPr>
            <w:r w:rsidRPr="0056304C">
              <w:rPr>
                <w:rFonts w:ascii="Times New Roman" w:hAnsi="Times New Roman"/>
                <w:color w:val="000000"/>
                <w:sz w:val="16"/>
                <w:szCs w:val="16"/>
              </w:rPr>
              <w:t>Bendra tinkamų finansuoti išlaidų suma</w:t>
            </w:r>
            <w:r w:rsidR="007524B7" w:rsidRPr="0056304C">
              <w:rPr>
                <w:rFonts w:ascii="Times New Roman" w:hAnsi="Times New Roman"/>
                <w:color w:val="000000"/>
                <w:sz w:val="16"/>
                <w:szCs w:val="16"/>
              </w:rPr>
              <w:t>,</w:t>
            </w:r>
            <w:r w:rsidRPr="0056304C">
              <w:rPr>
                <w:rFonts w:ascii="Times New Roman" w:hAnsi="Times New Roman"/>
                <w:color w:val="000000"/>
                <w:sz w:val="16"/>
                <w:szCs w:val="16"/>
              </w:rPr>
              <w:t xml:space="preserve"> pripažinta tinkama deklaruoti EK</w:t>
            </w:r>
          </w:p>
        </w:tc>
        <w:tc>
          <w:tcPr>
            <w:tcW w:w="850" w:type="dxa"/>
            <w:shd w:val="clear" w:color="auto" w:fill="FFFFFF"/>
          </w:tcPr>
          <w:p w:rsidR="00385835" w:rsidRPr="0056304C" w:rsidRDefault="00385835" w:rsidP="0056304C">
            <w:pPr>
              <w:spacing w:after="0" w:line="240" w:lineRule="auto"/>
              <w:jc w:val="center"/>
              <w:rPr>
                <w:rFonts w:ascii="Times New Roman" w:hAnsi="Times New Roman"/>
                <w:i/>
                <w:sz w:val="16"/>
                <w:szCs w:val="16"/>
              </w:rPr>
            </w:pPr>
            <w:r w:rsidRPr="0056304C">
              <w:rPr>
                <w:rFonts w:ascii="Times New Roman" w:hAnsi="Times New Roman"/>
                <w:sz w:val="16"/>
                <w:szCs w:val="16"/>
              </w:rPr>
              <w:t>Eurai</w:t>
            </w:r>
          </w:p>
        </w:tc>
        <w:tc>
          <w:tcPr>
            <w:tcW w:w="709" w:type="dxa"/>
            <w:shd w:val="clear" w:color="auto" w:fill="FFFFFF"/>
          </w:tcPr>
          <w:p w:rsidR="00385835" w:rsidRPr="0056304C" w:rsidRDefault="00385835" w:rsidP="0056304C">
            <w:pPr>
              <w:spacing w:after="0" w:line="240" w:lineRule="auto"/>
              <w:jc w:val="center"/>
              <w:rPr>
                <w:rFonts w:ascii="Times New Roman" w:hAnsi="Times New Roman"/>
                <w:sz w:val="16"/>
                <w:szCs w:val="16"/>
              </w:rPr>
            </w:pPr>
            <w:r w:rsidRPr="0056304C">
              <w:rPr>
                <w:rFonts w:ascii="Times New Roman" w:hAnsi="Times New Roman"/>
                <w:sz w:val="16"/>
                <w:szCs w:val="16"/>
              </w:rPr>
              <w:t>ERPF</w:t>
            </w:r>
          </w:p>
        </w:tc>
        <w:tc>
          <w:tcPr>
            <w:tcW w:w="850" w:type="dxa"/>
            <w:shd w:val="clear" w:color="auto" w:fill="FFFFFF"/>
          </w:tcPr>
          <w:p w:rsidR="00385835" w:rsidRPr="0056304C" w:rsidRDefault="00385835" w:rsidP="0056304C">
            <w:pPr>
              <w:spacing w:after="0" w:line="240" w:lineRule="auto"/>
              <w:jc w:val="center"/>
              <w:rPr>
                <w:rFonts w:ascii="Times New Roman" w:hAnsi="Times New Roman"/>
                <w:sz w:val="16"/>
                <w:szCs w:val="16"/>
              </w:rPr>
            </w:pPr>
            <w:r w:rsidRPr="0056304C">
              <w:rPr>
                <w:rFonts w:ascii="Times New Roman" w:hAnsi="Times New Roman"/>
                <w:sz w:val="16"/>
                <w:szCs w:val="16"/>
              </w:rPr>
              <w:t>Mažiau išsivystęs</w:t>
            </w:r>
          </w:p>
        </w:tc>
        <w:tc>
          <w:tcPr>
            <w:tcW w:w="1134" w:type="dxa"/>
            <w:shd w:val="clear" w:color="auto" w:fill="FFFFFF"/>
          </w:tcPr>
          <w:p w:rsidR="00E04A5B" w:rsidRPr="0056304C" w:rsidRDefault="00E04A5B" w:rsidP="0056304C">
            <w:pPr>
              <w:spacing w:after="0" w:line="240" w:lineRule="auto"/>
              <w:jc w:val="center"/>
              <w:rPr>
                <w:rFonts w:ascii="Times New Roman" w:hAnsi="Times New Roman"/>
                <w:sz w:val="16"/>
                <w:szCs w:val="16"/>
              </w:rPr>
            </w:pPr>
            <w:r w:rsidRPr="0056304C">
              <w:rPr>
                <w:rFonts w:ascii="Times New Roman" w:hAnsi="Times New Roman"/>
                <w:sz w:val="16"/>
                <w:szCs w:val="16"/>
              </w:rPr>
              <w:t>21.415.750</w:t>
            </w:r>
          </w:p>
        </w:tc>
        <w:tc>
          <w:tcPr>
            <w:tcW w:w="1134" w:type="dxa"/>
            <w:shd w:val="clear" w:color="auto" w:fill="FFFFFF"/>
          </w:tcPr>
          <w:p w:rsidR="00385835" w:rsidRPr="0056304C" w:rsidRDefault="00385835" w:rsidP="0056304C">
            <w:pPr>
              <w:spacing w:after="0" w:line="240" w:lineRule="auto"/>
              <w:jc w:val="center"/>
              <w:rPr>
                <w:rFonts w:ascii="Times New Roman" w:hAnsi="Times New Roman"/>
                <w:sz w:val="16"/>
                <w:szCs w:val="16"/>
              </w:rPr>
            </w:pPr>
            <w:r w:rsidRPr="0056304C">
              <w:rPr>
                <w:rFonts w:ascii="Times New Roman" w:hAnsi="Times New Roman"/>
                <w:sz w:val="16"/>
                <w:szCs w:val="16"/>
              </w:rPr>
              <w:t>245</w:t>
            </w:r>
            <w:r w:rsidR="00A50C23" w:rsidRPr="0056304C">
              <w:rPr>
                <w:rFonts w:ascii="Times New Roman" w:hAnsi="Times New Roman"/>
                <w:sz w:val="16"/>
                <w:szCs w:val="16"/>
              </w:rPr>
              <w:t>.</w:t>
            </w:r>
            <w:r w:rsidRPr="0056304C">
              <w:rPr>
                <w:rFonts w:ascii="Times New Roman" w:hAnsi="Times New Roman"/>
                <w:sz w:val="16"/>
                <w:szCs w:val="16"/>
              </w:rPr>
              <w:t>351</w:t>
            </w:r>
            <w:r w:rsidR="00A50C23" w:rsidRPr="0056304C">
              <w:rPr>
                <w:rFonts w:ascii="Times New Roman" w:hAnsi="Times New Roman"/>
                <w:sz w:val="16"/>
                <w:szCs w:val="16"/>
              </w:rPr>
              <w:t>.</w:t>
            </w:r>
            <w:r w:rsidRPr="0056304C">
              <w:rPr>
                <w:rFonts w:ascii="Times New Roman" w:hAnsi="Times New Roman"/>
                <w:sz w:val="16"/>
                <w:szCs w:val="16"/>
              </w:rPr>
              <w:t>171</w:t>
            </w:r>
          </w:p>
        </w:tc>
        <w:tc>
          <w:tcPr>
            <w:tcW w:w="993" w:type="dxa"/>
            <w:shd w:val="clear" w:color="auto" w:fill="FFFFFF"/>
          </w:tcPr>
          <w:p w:rsidR="00385835" w:rsidRPr="0056304C" w:rsidRDefault="00385835" w:rsidP="0056304C">
            <w:pPr>
              <w:spacing w:after="0"/>
              <w:jc w:val="center"/>
              <w:rPr>
                <w:rFonts w:ascii="Times New Roman" w:hAnsi="Times New Roman"/>
                <w:sz w:val="16"/>
                <w:szCs w:val="16"/>
              </w:rPr>
            </w:pPr>
            <w:r w:rsidRPr="0056304C">
              <w:rPr>
                <w:rFonts w:ascii="Times New Roman" w:hAnsi="Times New Roman"/>
                <w:sz w:val="16"/>
                <w:szCs w:val="16"/>
              </w:rPr>
              <w:t>Duomenys iš projektų</w:t>
            </w:r>
          </w:p>
        </w:tc>
        <w:tc>
          <w:tcPr>
            <w:tcW w:w="4536" w:type="dxa"/>
            <w:shd w:val="clear" w:color="auto" w:fill="FFFFFF"/>
          </w:tcPr>
          <w:p w:rsidR="00385835" w:rsidRPr="0056304C" w:rsidRDefault="00385835" w:rsidP="0056304C">
            <w:pPr>
              <w:spacing w:after="0" w:line="240" w:lineRule="auto"/>
              <w:rPr>
                <w:rFonts w:ascii="Times New Roman" w:hAnsi="Times New Roman"/>
                <w:sz w:val="16"/>
                <w:szCs w:val="16"/>
              </w:rPr>
            </w:pPr>
            <w:r w:rsidRPr="0056304C">
              <w:rPr>
                <w:rFonts w:ascii="Times New Roman" w:hAnsi="Times New Roman"/>
                <w:sz w:val="16"/>
                <w:szCs w:val="16"/>
              </w:rPr>
              <w:t>Privalomas rodiklis, kuris atspindi finansinę prioriteto įgyvendinimo pažangą.</w:t>
            </w:r>
          </w:p>
        </w:tc>
      </w:tr>
      <w:tr w:rsidR="00385835" w:rsidRPr="0056304C" w:rsidTr="0056304C">
        <w:tc>
          <w:tcPr>
            <w:tcW w:w="1277" w:type="dxa"/>
            <w:shd w:val="clear" w:color="auto" w:fill="FFFFFF"/>
            <w:vAlign w:val="center"/>
          </w:tcPr>
          <w:p w:rsidR="00385835" w:rsidRPr="0056304C" w:rsidRDefault="00385835" w:rsidP="0056304C">
            <w:pPr>
              <w:spacing w:after="0" w:line="240" w:lineRule="auto"/>
              <w:rPr>
                <w:rFonts w:ascii="Times New Roman" w:hAnsi="Times New Roman"/>
                <w:sz w:val="16"/>
                <w:szCs w:val="16"/>
              </w:rPr>
            </w:pPr>
            <w:r w:rsidRPr="0056304C">
              <w:rPr>
                <w:rFonts w:ascii="Times New Roman" w:hAnsi="Times New Roman"/>
                <w:sz w:val="16"/>
                <w:szCs w:val="16"/>
              </w:rPr>
              <w:t>Produkto rodiklis</w:t>
            </w:r>
          </w:p>
        </w:tc>
        <w:tc>
          <w:tcPr>
            <w:tcW w:w="2551" w:type="dxa"/>
            <w:shd w:val="clear" w:color="auto" w:fill="FFFFFF"/>
            <w:vAlign w:val="center"/>
          </w:tcPr>
          <w:p w:rsidR="00385835" w:rsidRPr="0056304C" w:rsidRDefault="00385835" w:rsidP="0056304C">
            <w:pPr>
              <w:spacing w:after="0" w:line="240" w:lineRule="auto"/>
              <w:rPr>
                <w:rFonts w:ascii="Times New Roman" w:hAnsi="Times New Roman"/>
                <w:sz w:val="16"/>
                <w:szCs w:val="16"/>
              </w:rPr>
            </w:pPr>
            <w:r w:rsidRPr="0056304C">
              <w:rPr>
                <w:rFonts w:ascii="Times New Roman" w:hAnsi="Times New Roman"/>
                <w:bCs/>
                <w:iCs/>
                <w:sz w:val="16"/>
                <w:szCs w:val="16"/>
              </w:rPr>
              <w:t xml:space="preserve">Bent už 289 </w:t>
            </w:r>
            <w:r w:rsidR="00604771" w:rsidRPr="0056304C">
              <w:rPr>
                <w:rFonts w:ascii="Times New Roman" w:hAnsi="Times New Roman"/>
                <w:bCs/>
                <w:iCs/>
                <w:sz w:val="16"/>
                <w:szCs w:val="16"/>
              </w:rPr>
              <w:t>tūkst</w:t>
            </w:r>
            <w:r w:rsidRPr="0056304C">
              <w:rPr>
                <w:rFonts w:ascii="Times New Roman" w:hAnsi="Times New Roman"/>
                <w:bCs/>
                <w:iCs/>
                <w:sz w:val="16"/>
                <w:szCs w:val="16"/>
              </w:rPr>
              <w:t>. eurų pagal veiksmų programą ERPF lėšomis atnaujintos profesinio mokymo įstaigos</w:t>
            </w:r>
          </w:p>
        </w:tc>
        <w:tc>
          <w:tcPr>
            <w:tcW w:w="850" w:type="dxa"/>
            <w:shd w:val="clear" w:color="auto" w:fill="FFFFFF"/>
          </w:tcPr>
          <w:p w:rsidR="00385835" w:rsidRPr="0056304C" w:rsidRDefault="00385835" w:rsidP="0056304C">
            <w:pPr>
              <w:spacing w:after="0" w:line="240" w:lineRule="auto"/>
              <w:jc w:val="center"/>
              <w:rPr>
                <w:rFonts w:ascii="Times New Roman" w:hAnsi="Times New Roman"/>
                <w:sz w:val="16"/>
                <w:szCs w:val="16"/>
              </w:rPr>
            </w:pPr>
            <w:r w:rsidRPr="0056304C">
              <w:rPr>
                <w:rFonts w:ascii="Times New Roman" w:hAnsi="Times New Roman"/>
                <w:sz w:val="16"/>
                <w:szCs w:val="16"/>
              </w:rPr>
              <w:t>Skaičius</w:t>
            </w:r>
          </w:p>
        </w:tc>
        <w:tc>
          <w:tcPr>
            <w:tcW w:w="709" w:type="dxa"/>
            <w:shd w:val="clear" w:color="auto" w:fill="FFFFFF"/>
          </w:tcPr>
          <w:p w:rsidR="00385835" w:rsidRPr="0056304C" w:rsidRDefault="00385835" w:rsidP="0056304C">
            <w:pPr>
              <w:spacing w:after="0" w:line="240" w:lineRule="auto"/>
              <w:jc w:val="center"/>
              <w:rPr>
                <w:rFonts w:ascii="Times New Roman" w:hAnsi="Times New Roman"/>
                <w:sz w:val="16"/>
                <w:szCs w:val="16"/>
              </w:rPr>
            </w:pPr>
            <w:r w:rsidRPr="0056304C">
              <w:rPr>
                <w:rFonts w:ascii="Times New Roman" w:hAnsi="Times New Roman"/>
                <w:sz w:val="16"/>
                <w:szCs w:val="16"/>
              </w:rPr>
              <w:t>ERPF</w:t>
            </w:r>
          </w:p>
        </w:tc>
        <w:tc>
          <w:tcPr>
            <w:tcW w:w="850" w:type="dxa"/>
            <w:shd w:val="clear" w:color="auto" w:fill="FFFFFF"/>
          </w:tcPr>
          <w:p w:rsidR="00385835" w:rsidRPr="0056304C" w:rsidRDefault="00385835" w:rsidP="0056304C">
            <w:pPr>
              <w:spacing w:after="0" w:line="240" w:lineRule="auto"/>
              <w:jc w:val="center"/>
              <w:rPr>
                <w:rFonts w:ascii="Times New Roman" w:hAnsi="Times New Roman"/>
                <w:sz w:val="16"/>
                <w:szCs w:val="16"/>
              </w:rPr>
            </w:pPr>
            <w:r w:rsidRPr="0056304C">
              <w:rPr>
                <w:rFonts w:ascii="Times New Roman" w:hAnsi="Times New Roman"/>
                <w:sz w:val="16"/>
                <w:szCs w:val="16"/>
              </w:rPr>
              <w:t>Mažiau išsivystęs</w:t>
            </w:r>
          </w:p>
        </w:tc>
        <w:tc>
          <w:tcPr>
            <w:tcW w:w="1134" w:type="dxa"/>
            <w:shd w:val="clear" w:color="auto" w:fill="FFFFFF"/>
          </w:tcPr>
          <w:p w:rsidR="00385835" w:rsidRPr="0056304C" w:rsidRDefault="00385835" w:rsidP="0056304C">
            <w:pPr>
              <w:spacing w:after="0" w:line="240" w:lineRule="auto"/>
              <w:jc w:val="center"/>
              <w:rPr>
                <w:rFonts w:ascii="Times New Roman" w:hAnsi="Times New Roman"/>
                <w:sz w:val="16"/>
                <w:szCs w:val="16"/>
              </w:rPr>
            </w:pPr>
            <w:r w:rsidRPr="0056304C">
              <w:rPr>
                <w:rFonts w:ascii="Times New Roman" w:hAnsi="Times New Roman"/>
                <w:sz w:val="16"/>
                <w:szCs w:val="16"/>
              </w:rPr>
              <w:t>0</w:t>
            </w:r>
          </w:p>
        </w:tc>
        <w:tc>
          <w:tcPr>
            <w:tcW w:w="1134" w:type="dxa"/>
            <w:shd w:val="clear" w:color="auto" w:fill="FFFFFF"/>
          </w:tcPr>
          <w:p w:rsidR="00385835" w:rsidRPr="0056304C" w:rsidRDefault="00385835" w:rsidP="0056304C">
            <w:pPr>
              <w:spacing w:after="0" w:line="240" w:lineRule="auto"/>
              <w:jc w:val="center"/>
              <w:rPr>
                <w:rFonts w:ascii="Times New Roman" w:hAnsi="Times New Roman"/>
                <w:sz w:val="16"/>
                <w:szCs w:val="16"/>
              </w:rPr>
            </w:pPr>
            <w:r w:rsidRPr="0056304C">
              <w:rPr>
                <w:rFonts w:ascii="Times New Roman" w:hAnsi="Times New Roman"/>
                <w:sz w:val="16"/>
                <w:szCs w:val="16"/>
              </w:rPr>
              <w:t>20</w:t>
            </w:r>
          </w:p>
        </w:tc>
        <w:tc>
          <w:tcPr>
            <w:tcW w:w="993" w:type="dxa"/>
            <w:shd w:val="clear" w:color="auto" w:fill="FFFFFF"/>
          </w:tcPr>
          <w:p w:rsidR="00385835" w:rsidRPr="0056304C" w:rsidRDefault="00385835" w:rsidP="0056304C">
            <w:pPr>
              <w:spacing w:after="0" w:line="240" w:lineRule="auto"/>
              <w:jc w:val="center"/>
              <w:rPr>
                <w:rFonts w:ascii="Times New Roman" w:hAnsi="Times New Roman"/>
                <w:sz w:val="16"/>
                <w:szCs w:val="16"/>
              </w:rPr>
            </w:pPr>
            <w:r w:rsidRPr="0056304C">
              <w:rPr>
                <w:rFonts w:ascii="Times New Roman" w:hAnsi="Times New Roman"/>
                <w:sz w:val="16"/>
                <w:szCs w:val="16"/>
              </w:rPr>
              <w:t>Duomenys iš projektų</w:t>
            </w:r>
          </w:p>
        </w:tc>
        <w:tc>
          <w:tcPr>
            <w:tcW w:w="4536" w:type="dxa"/>
            <w:shd w:val="clear" w:color="auto" w:fill="FFFFFF"/>
          </w:tcPr>
          <w:p w:rsidR="00385835" w:rsidRPr="0056304C" w:rsidRDefault="00385835" w:rsidP="0056304C">
            <w:pPr>
              <w:spacing w:after="0" w:line="240" w:lineRule="auto"/>
              <w:rPr>
                <w:rFonts w:ascii="Times New Roman" w:hAnsi="Times New Roman"/>
                <w:sz w:val="16"/>
                <w:szCs w:val="16"/>
              </w:rPr>
            </w:pPr>
            <w:r w:rsidRPr="0056304C">
              <w:rPr>
                <w:rFonts w:ascii="Times New Roman" w:hAnsi="Times New Roman"/>
                <w:sz w:val="16"/>
                <w:szCs w:val="16"/>
              </w:rPr>
              <w:t>Rodiklis atspindi prioriteto įgyvendinimo eigą, nes jo pasiekimui skirta 23 proc. šio prioriteto įgyvendinimui skirtų ERPF lėšų.</w:t>
            </w:r>
          </w:p>
        </w:tc>
      </w:tr>
      <w:tr w:rsidR="00385835" w:rsidRPr="0056304C" w:rsidTr="0056304C">
        <w:tc>
          <w:tcPr>
            <w:tcW w:w="1277" w:type="dxa"/>
            <w:shd w:val="clear" w:color="auto" w:fill="FFFFFF"/>
            <w:vAlign w:val="center"/>
          </w:tcPr>
          <w:p w:rsidR="00385835" w:rsidRPr="0056304C" w:rsidRDefault="00385835" w:rsidP="0056304C">
            <w:pPr>
              <w:spacing w:after="0" w:line="240" w:lineRule="auto"/>
              <w:rPr>
                <w:rFonts w:ascii="Times New Roman" w:hAnsi="Times New Roman"/>
                <w:bCs/>
                <w:iCs/>
                <w:sz w:val="16"/>
                <w:szCs w:val="16"/>
              </w:rPr>
            </w:pPr>
            <w:r w:rsidRPr="0056304C">
              <w:rPr>
                <w:rFonts w:ascii="Times New Roman" w:hAnsi="Times New Roman"/>
                <w:bCs/>
                <w:iCs/>
                <w:sz w:val="16"/>
                <w:szCs w:val="16"/>
              </w:rPr>
              <w:t>Įgyvendinimo žingsnis</w:t>
            </w:r>
          </w:p>
        </w:tc>
        <w:tc>
          <w:tcPr>
            <w:tcW w:w="2551" w:type="dxa"/>
            <w:shd w:val="clear" w:color="auto" w:fill="FFFFFF"/>
            <w:vAlign w:val="center"/>
          </w:tcPr>
          <w:p w:rsidR="00385835" w:rsidRPr="0056304C" w:rsidRDefault="00385835" w:rsidP="0056304C">
            <w:pPr>
              <w:spacing w:after="0" w:line="240" w:lineRule="auto"/>
              <w:rPr>
                <w:rFonts w:ascii="Times New Roman" w:hAnsi="Times New Roman"/>
                <w:bCs/>
                <w:sz w:val="16"/>
                <w:szCs w:val="16"/>
              </w:rPr>
            </w:pPr>
            <w:r w:rsidRPr="0056304C">
              <w:rPr>
                <w:rFonts w:ascii="Times New Roman" w:hAnsi="Times New Roman"/>
                <w:sz w:val="16"/>
                <w:szCs w:val="16"/>
              </w:rPr>
              <w:t>Projektų finansavimo ir administravimo sutartyse suplanuota produkto rodiklio „</w:t>
            </w:r>
            <w:r w:rsidRPr="0056304C">
              <w:rPr>
                <w:rFonts w:ascii="Times New Roman" w:hAnsi="Times New Roman"/>
                <w:bCs/>
                <w:iCs/>
                <w:sz w:val="16"/>
                <w:szCs w:val="16"/>
              </w:rPr>
              <w:t xml:space="preserve">Bent už 289 </w:t>
            </w:r>
            <w:r w:rsidR="00604771" w:rsidRPr="0056304C">
              <w:rPr>
                <w:rFonts w:ascii="Times New Roman" w:hAnsi="Times New Roman"/>
                <w:bCs/>
                <w:iCs/>
                <w:sz w:val="16"/>
                <w:szCs w:val="16"/>
              </w:rPr>
              <w:t>tūkst</w:t>
            </w:r>
            <w:r w:rsidRPr="0056304C">
              <w:rPr>
                <w:rFonts w:ascii="Times New Roman" w:hAnsi="Times New Roman"/>
                <w:bCs/>
                <w:iCs/>
                <w:sz w:val="16"/>
                <w:szCs w:val="16"/>
              </w:rPr>
              <w:t>. eurų pagal veiksmų programą ERPF lėšomis atnaujintos profesinio mokymo įstaigos</w:t>
            </w:r>
            <w:r w:rsidRPr="0056304C">
              <w:rPr>
                <w:rFonts w:ascii="Times New Roman" w:hAnsi="Times New Roman"/>
                <w:sz w:val="16"/>
                <w:szCs w:val="16"/>
              </w:rPr>
              <w:t>“ reikšmė</w:t>
            </w:r>
          </w:p>
        </w:tc>
        <w:tc>
          <w:tcPr>
            <w:tcW w:w="850" w:type="dxa"/>
            <w:shd w:val="clear" w:color="auto" w:fill="FFFFFF"/>
          </w:tcPr>
          <w:p w:rsidR="00385835" w:rsidRPr="0056304C" w:rsidRDefault="00385835" w:rsidP="0056304C">
            <w:pPr>
              <w:spacing w:after="0" w:line="240" w:lineRule="auto"/>
              <w:jc w:val="center"/>
              <w:rPr>
                <w:rFonts w:ascii="Times New Roman" w:hAnsi="Times New Roman"/>
                <w:bCs/>
                <w:sz w:val="16"/>
                <w:szCs w:val="16"/>
              </w:rPr>
            </w:pPr>
            <w:r w:rsidRPr="0056304C">
              <w:rPr>
                <w:rFonts w:ascii="Times New Roman" w:hAnsi="Times New Roman"/>
                <w:bCs/>
                <w:sz w:val="16"/>
                <w:szCs w:val="16"/>
              </w:rPr>
              <w:t>Skaičius</w:t>
            </w:r>
          </w:p>
        </w:tc>
        <w:tc>
          <w:tcPr>
            <w:tcW w:w="709" w:type="dxa"/>
            <w:shd w:val="clear" w:color="auto" w:fill="FFFFFF"/>
          </w:tcPr>
          <w:p w:rsidR="00385835" w:rsidRPr="0056304C" w:rsidRDefault="00385835" w:rsidP="0056304C">
            <w:pPr>
              <w:spacing w:after="0" w:line="240" w:lineRule="auto"/>
              <w:jc w:val="center"/>
              <w:rPr>
                <w:rFonts w:ascii="Times New Roman" w:hAnsi="Times New Roman"/>
                <w:bCs/>
                <w:sz w:val="16"/>
                <w:szCs w:val="16"/>
              </w:rPr>
            </w:pPr>
            <w:r w:rsidRPr="0056304C">
              <w:rPr>
                <w:rFonts w:ascii="Times New Roman" w:hAnsi="Times New Roman"/>
                <w:bCs/>
                <w:sz w:val="16"/>
                <w:szCs w:val="16"/>
              </w:rPr>
              <w:t>ERPF</w:t>
            </w:r>
          </w:p>
        </w:tc>
        <w:tc>
          <w:tcPr>
            <w:tcW w:w="850" w:type="dxa"/>
            <w:shd w:val="clear" w:color="auto" w:fill="FFFFFF"/>
          </w:tcPr>
          <w:p w:rsidR="00385835" w:rsidRPr="0056304C" w:rsidRDefault="00385835" w:rsidP="0056304C">
            <w:pPr>
              <w:widowControl w:val="0"/>
              <w:tabs>
                <w:tab w:val="left" w:pos="622"/>
              </w:tabs>
              <w:spacing w:after="0"/>
              <w:jc w:val="center"/>
              <w:rPr>
                <w:rFonts w:ascii="Times New Roman" w:hAnsi="Times New Roman"/>
                <w:bCs/>
                <w:iCs/>
                <w:sz w:val="16"/>
                <w:szCs w:val="16"/>
              </w:rPr>
            </w:pPr>
            <w:r w:rsidRPr="0056304C">
              <w:rPr>
                <w:rFonts w:ascii="Times New Roman" w:hAnsi="Times New Roman"/>
                <w:sz w:val="16"/>
                <w:szCs w:val="16"/>
              </w:rPr>
              <w:t>Mažiau išsivystęs</w:t>
            </w:r>
          </w:p>
        </w:tc>
        <w:tc>
          <w:tcPr>
            <w:tcW w:w="1134" w:type="dxa"/>
            <w:shd w:val="clear" w:color="auto" w:fill="FFFFFF"/>
          </w:tcPr>
          <w:p w:rsidR="00385835" w:rsidRPr="0056304C" w:rsidRDefault="00385835" w:rsidP="0056304C">
            <w:pPr>
              <w:spacing w:after="0" w:line="240" w:lineRule="auto"/>
              <w:jc w:val="center"/>
              <w:rPr>
                <w:rFonts w:ascii="Times New Roman" w:hAnsi="Times New Roman"/>
                <w:sz w:val="16"/>
                <w:szCs w:val="16"/>
              </w:rPr>
            </w:pPr>
            <w:r w:rsidRPr="0056304C">
              <w:rPr>
                <w:rFonts w:ascii="Times New Roman" w:hAnsi="Times New Roman"/>
                <w:sz w:val="16"/>
                <w:szCs w:val="16"/>
              </w:rPr>
              <w:t>16</w:t>
            </w:r>
          </w:p>
        </w:tc>
        <w:tc>
          <w:tcPr>
            <w:tcW w:w="1134" w:type="dxa"/>
            <w:shd w:val="clear" w:color="auto" w:fill="FFFFFF"/>
          </w:tcPr>
          <w:p w:rsidR="00385835" w:rsidRPr="0056304C" w:rsidRDefault="00385835" w:rsidP="0056304C">
            <w:pPr>
              <w:spacing w:after="0" w:line="240" w:lineRule="auto"/>
              <w:jc w:val="center"/>
              <w:rPr>
                <w:rFonts w:ascii="Times New Roman" w:hAnsi="Times New Roman"/>
                <w:sz w:val="16"/>
                <w:szCs w:val="16"/>
              </w:rPr>
            </w:pPr>
            <w:r w:rsidRPr="0056304C">
              <w:rPr>
                <w:rFonts w:ascii="Times New Roman" w:hAnsi="Times New Roman"/>
                <w:sz w:val="16"/>
                <w:szCs w:val="16"/>
              </w:rPr>
              <w:t>-</w:t>
            </w:r>
          </w:p>
        </w:tc>
        <w:tc>
          <w:tcPr>
            <w:tcW w:w="993" w:type="dxa"/>
            <w:shd w:val="clear" w:color="auto" w:fill="FFFFFF"/>
          </w:tcPr>
          <w:p w:rsidR="00385835" w:rsidRPr="0056304C" w:rsidDel="007F0983" w:rsidRDefault="00385835" w:rsidP="0056304C">
            <w:pPr>
              <w:spacing w:after="0" w:line="240" w:lineRule="auto"/>
              <w:jc w:val="center"/>
              <w:rPr>
                <w:rFonts w:ascii="Times New Roman" w:hAnsi="Times New Roman"/>
                <w:sz w:val="16"/>
                <w:szCs w:val="16"/>
              </w:rPr>
            </w:pPr>
            <w:r w:rsidRPr="0056304C">
              <w:rPr>
                <w:rFonts w:ascii="Times New Roman" w:hAnsi="Times New Roman"/>
                <w:sz w:val="16"/>
                <w:szCs w:val="16"/>
              </w:rPr>
              <w:t>Duomenys iš projektų</w:t>
            </w:r>
          </w:p>
        </w:tc>
        <w:tc>
          <w:tcPr>
            <w:tcW w:w="4536" w:type="dxa"/>
            <w:shd w:val="clear" w:color="auto" w:fill="FFFFFF"/>
          </w:tcPr>
          <w:p w:rsidR="00385835" w:rsidRPr="0056304C" w:rsidRDefault="00385835" w:rsidP="0056304C">
            <w:pPr>
              <w:spacing w:after="0" w:line="240" w:lineRule="auto"/>
              <w:rPr>
                <w:rFonts w:ascii="Times New Roman" w:hAnsi="Times New Roman"/>
                <w:sz w:val="16"/>
                <w:szCs w:val="16"/>
              </w:rPr>
            </w:pPr>
            <w:r w:rsidRPr="0056304C">
              <w:rPr>
                <w:rFonts w:ascii="Times New Roman" w:hAnsi="Times New Roman"/>
                <w:sz w:val="16"/>
                <w:szCs w:val="16"/>
              </w:rPr>
              <w:t>Įgyvendinimo žingsnis pasirinktas, nes iki 2018 m. pabaigos nebus baigtų projektų, atsižvelgiant į ilgesnę projektų įgyvendinimo trukmę ir vėlesnę jų įgyvendinimo pradžią, kuri yra numatoma dėl poreikio atlikti parengiamuosius profesinio mokymo įstaigų atnaujinimo darbus.</w:t>
            </w:r>
          </w:p>
          <w:p w:rsidR="00385835" w:rsidRPr="0056304C" w:rsidRDefault="00385835" w:rsidP="0056304C">
            <w:pPr>
              <w:spacing w:after="0" w:line="240" w:lineRule="auto"/>
              <w:rPr>
                <w:rFonts w:ascii="Times New Roman" w:hAnsi="Times New Roman"/>
                <w:sz w:val="16"/>
                <w:szCs w:val="16"/>
              </w:rPr>
            </w:pPr>
            <w:r w:rsidRPr="0056304C">
              <w:rPr>
                <w:rFonts w:ascii="Times New Roman" w:hAnsi="Times New Roman"/>
                <w:sz w:val="16"/>
                <w:szCs w:val="16"/>
              </w:rPr>
              <w:t>Projektų finansavimo ir administravimo sutartyse suplanuota produkto rodiklio reikšmė rodys, ar projektai bus įgyvendinti numatyta apimtimi.</w:t>
            </w:r>
          </w:p>
        </w:tc>
      </w:tr>
      <w:tr w:rsidR="00385835" w:rsidRPr="0056304C" w:rsidTr="0056304C">
        <w:tc>
          <w:tcPr>
            <w:tcW w:w="1277" w:type="dxa"/>
            <w:shd w:val="clear" w:color="auto" w:fill="FFFFFF"/>
            <w:vAlign w:val="center"/>
          </w:tcPr>
          <w:p w:rsidR="00385835" w:rsidRPr="0056304C" w:rsidRDefault="00385835" w:rsidP="0056304C">
            <w:pPr>
              <w:spacing w:after="0" w:line="240" w:lineRule="auto"/>
              <w:rPr>
                <w:rFonts w:ascii="Times New Roman" w:hAnsi="Times New Roman"/>
                <w:sz w:val="16"/>
                <w:szCs w:val="16"/>
              </w:rPr>
            </w:pPr>
            <w:r w:rsidRPr="0056304C">
              <w:rPr>
                <w:rFonts w:ascii="Times New Roman" w:hAnsi="Times New Roman"/>
                <w:sz w:val="16"/>
                <w:szCs w:val="16"/>
              </w:rPr>
              <w:t>Produkto rodiklis</w:t>
            </w:r>
          </w:p>
        </w:tc>
        <w:tc>
          <w:tcPr>
            <w:tcW w:w="2551" w:type="dxa"/>
            <w:shd w:val="clear" w:color="auto" w:fill="FFFFFF"/>
            <w:vAlign w:val="center"/>
          </w:tcPr>
          <w:p w:rsidR="00385835" w:rsidRPr="0056304C" w:rsidRDefault="00385835" w:rsidP="0056304C">
            <w:pPr>
              <w:spacing w:after="0" w:line="240" w:lineRule="auto"/>
              <w:rPr>
                <w:rFonts w:ascii="Times New Roman" w:hAnsi="Times New Roman"/>
                <w:bCs/>
                <w:sz w:val="16"/>
                <w:szCs w:val="16"/>
              </w:rPr>
            </w:pPr>
            <w:r w:rsidRPr="0056304C">
              <w:rPr>
                <w:rFonts w:ascii="Times New Roman" w:hAnsi="Times New Roman"/>
                <w:bCs/>
                <w:iCs/>
                <w:sz w:val="16"/>
                <w:szCs w:val="16"/>
              </w:rPr>
              <w:t>Švietimo ir kitų švietimo teikėjų įstaigos, kuriose pagal veiksmų programą ERPF lėšomis sukurta ar atnaujinta ne mažiau nei viena edukacinė erdvė</w:t>
            </w:r>
          </w:p>
        </w:tc>
        <w:tc>
          <w:tcPr>
            <w:tcW w:w="850" w:type="dxa"/>
            <w:shd w:val="clear" w:color="auto" w:fill="FFFFFF"/>
          </w:tcPr>
          <w:p w:rsidR="00385835" w:rsidRPr="0056304C" w:rsidRDefault="00385835" w:rsidP="0056304C">
            <w:pPr>
              <w:spacing w:after="0" w:line="240" w:lineRule="auto"/>
              <w:jc w:val="center"/>
              <w:rPr>
                <w:rFonts w:ascii="Times New Roman" w:hAnsi="Times New Roman"/>
                <w:bCs/>
                <w:sz w:val="16"/>
                <w:szCs w:val="16"/>
              </w:rPr>
            </w:pPr>
            <w:r w:rsidRPr="0056304C">
              <w:rPr>
                <w:rFonts w:ascii="Times New Roman" w:hAnsi="Times New Roman"/>
                <w:bCs/>
                <w:sz w:val="16"/>
                <w:szCs w:val="16"/>
              </w:rPr>
              <w:t>Skaičius</w:t>
            </w:r>
          </w:p>
        </w:tc>
        <w:tc>
          <w:tcPr>
            <w:tcW w:w="709" w:type="dxa"/>
            <w:shd w:val="clear" w:color="auto" w:fill="FFFFFF"/>
          </w:tcPr>
          <w:p w:rsidR="00385835" w:rsidRPr="0056304C" w:rsidRDefault="00385835" w:rsidP="0056304C">
            <w:pPr>
              <w:spacing w:after="0" w:line="240" w:lineRule="auto"/>
              <w:jc w:val="center"/>
              <w:rPr>
                <w:rFonts w:ascii="Times New Roman" w:hAnsi="Times New Roman"/>
                <w:bCs/>
                <w:sz w:val="16"/>
                <w:szCs w:val="16"/>
              </w:rPr>
            </w:pPr>
            <w:r w:rsidRPr="0056304C">
              <w:rPr>
                <w:rFonts w:ascii="Times New Roman" w:hAnsi="Times New Roman"/>
                <w:bCs/>
                <w:sz w:val="16"/>
                <w:szCs w:val="16"/>
              </w:rPr>
              <w:t>ERPF</w:t>
            </w:r>
          </w:p>
        </w:tc>
        <w:tc>
          <w:tcPr>
            <w:tcW w:w="850" w:type="dxa"/>
            <w:shd w:val="clear" w:color="auto" w:fill="FFFFFF"/>
          </w:tcPr>
          <w:p w:rsidR="00385835" w:rsidRPr="0056304C" w:rsidRDefault="00385835" w:rsidP="0056304C">
            <w:pPr>
              <w:spacing w:after="0" w:line="240" w:lineRule="auto"/>
              <w:jc w:val="center"/>
              <w:rPr>
                <w:rFonts w:ascii="Times New Roman" w:hAnsi="Times New Roman"/>
                <w:bCs/>
                <w:sz w:val="16"/>
                <w:szCs w:val="16"/>
              </w:rPr>
            </w:pPr>
            <w:r w:rsidRPr="0056304C">
              <w:rPr>
                <w:rFonts w:ascii="Times New Roman" w:hAnsi="Times New Roman"/>
                <w:bCs/>
                <w:sz w:val="16"/>
                <w:szCs w:val="16"/>
              </w:rPr>
              <w:t>Mažiau išsivystęs</w:t>
            </w:r>
          </w:p>
        </w:tc>
        <w:tc>
          <w:tcPr>
            <w:tcW w:w="1134" w:type="dxa"/>
            <w:shd w:val="clear" w:color="auto" w:fill="FFFFFF"/>
          </w:tcPr>
          <w:p w:rsidR="00385835" w:rsidRPr="0056304C" w:rsidRDefault="00385835" w:rsidP="0056304C">
            <w:pPr>
              <w:spacing w:after="0" w:line="240" w:lineRule="auto"/>
              <w:jc w:val="center"/>
              <w:rPr>
                <w:rFonts w:ascii="Times New Roman" w:hAnsi="Times New Roman"/>
                <w:sz w:val="16"/>
                <w:szCs w:val="16"/>
              </w:rPr>
            </w:pPr>
            <w:r w:rsidRPr="0056304C">
              <w:rPr>
                <w:rFonts w:ascii="Times New Roman" w:hAnsi="Times New Roman"/>
                <w:sz w:val="16"/>
                <w:szCs w:val="16"/>
              </w:rPr>
              <w:t>0</w:t>
            </w:r>
          </w:p>
        </w:tc>
        <w:tc>
          <w:tcPr>
            <w:tcW w:w="1134" w:type="dxa"/>
            <w:shd w:val="clear" w:color="auto" w:fill="FFFFFF"/>
          </w:tcPr>
          <w:p w:rsidR="00385835" w:rsidRPr="0056304C" w:rsidRDefault="009812CA" w:rsidP="0056304C">
            <w:pPr>
              <w:spacing w:after="0" w:line="240" w:lineRule="auto"/>
              <w:jc w:val="center"/>
              <w:rPr>
                <w:rFonts w:ascii="Times New Roman" w:hAnsi="Times New Roman"/>
                <w:sz w:val="16"/>
                <w:szCs w:val="16"/>
              </w:rPr>
            </w:pPr>
            <w:r w:rsidRPr="0056304C">
              <w:rPr>
                <w:rFonts w:ascii="Times New Roman" w:hAnsi="Times New Roman"/>
                <w:sz w:val="16"/>
                <w:szCs w:val="16"/>
              </w:rPr>
              <w:t>900</w:t>
            </w:r>
          </w:p>
        </w:tc>
        <w:tc>
          <w:tcPr>
            <w:tcW w:w="993" w:type="dxa"/>
            <w:shd w:val="clear" w:color="auto" w:fill="FFFFFF"/>
          </w:tcPr>
          <w:p w:rsidR="00385835" w:rsidRPr="0056304C" w:rsidRDefault="00385835" w:rsidP="0056304C">
            <w:pPr>
              <w:spacing w:after="0" w:line="240" w:lineRule="auto"/>
              <w:jc w:val="center"/>
              <w:rPr>
                <w:rFonts w:ascii="Times New Roman" w:hAnsi="Times New Roman"/>
                <w:sz w:val="16"/>
                <w:szCs w:val="16"/>
              </w:rPr>
            </w:pPr>
            <w:r w:rsidRPr="0056304C">
              <w:rPr>
                <w:rFonts w:ascii="Times New Roman" w:hAnsi="Times New Roman"/>
                <w:sz w:val="16"/>
                <w:szCs w:val="16"/>
              </w:rPr>
              <w:t>Duomenys iš projektų</w:t>
            </w:r>
          </w:p>
        </w:tc>
        <w:tc>
          <w:tcPr>
            <w:tcW w:w="4536" w:type="dxa"/>
            <w:shd w:val="clear" w:color="auto" w:fill="FFFFFF"/>
          </w:tcPr>
          <w:p w:rsidR="00385835" w:rsidRPr="0056304C" w:rsidRDefault="00385835" w:rsidP="0056304C">
            <w:pPr>
              <w:spacing w:after="0" w:line="240" w:lineRule="auto"/>
              <w:rPr>
                <w:rFonts w:ascii="Times New Roman" w:hAnsi="Times New Roman"/>
                <w:sz w:val="16"/>
                <w:szCs w:val="16"/>
              </w:rPr>
            </w:pPr>
            <w:r w:rsidRPr="0056304C">
              <w:rPr>
                <w:rFonts w:ascii="Times New Roman" w:hAnsi="Times New Roman"/>
                <w:sz w:val="16"/>
                <w:szCs w:val="16"/>
              </w:rPr>
              <w:t>Rodiklis atspindi prioriteto įgyvendinimo eigą, nes jo pasiekimui skirta 41 proc. šio prioriteto įgyvendinimui skirtų ERPF lėšų.</w:t>
            </w:r>
          </w:p>
        </w:tc>
      </w:tr>
      <w:tr w:rsidR="00385835" w:rsidRPr="0056304C" w:rsidTr="0056304C">
        <w:tc>
          <w:tcPr>
            <w:tcW w:w="1277" w:type="dxa"/>
            <w:shd w:val="clear" w:color="auto" w:fill="FFFFFF"/>
            <w:vAlign w:val="center"/>
          </w:tcPr>
          <w:p w:rsidR="00385835" w:rsidRPr="0056304C" w:rsidRDefault="00385835" w:rsidP="0056304C">
            <w:pPr>
              <w:spacing w:after="0" w:line="240" w:lineRule="auto"/>
              <w:rPr>
                <w:rFonts w:ascii="Times New Roman" w:hAnsi="Times New Roman"/>
                <w:bCs/>
                <w:iCs/>
                <w:sz w:val="16"/>
                <w:szCs w:val="16"/>
              </w:rPr>
            </w:pPr>
            <w:r w:rsidRPr="0056304C">
              <w:rPr>
                <w:rFonts w:ascii="Times New Roman" w:hAnsi="Times New Roman"/>
                <w:bCs/>
                <w:iCs/>
                <w:sz w:val="16"/>
                <w:szCs w:val="16"/>
              </w:rPr>
              <w:t>Įgyvendinimo žingsnis</w:t>
            </w:r>
          </w:p>
        </w:tc>
        <w:tc>
          <w:tcPr>
            <w:tcW w:w="2551" w:type="dxa"/>
            <w:shd w:val="clear" w:color="auto" w:fill="FFFFFF"/>
            <w:vAlign w:val="center"/>
          </w:tcPr>
          <w:p w:rsidR="00385835" w:rsidRPr="0056304C" w:rsidRDefault="00385835" w:rsidP="0056304C">
            <w:pPr>
              <w:spacing w:after="0" w:line="240" w:lineRule="auto"/>
              <w:rPr>
                <w:rFonts w:ascii="Times New Roman" w:hAnsi="Times New Roman"/>
                <w:sz w:val="16"/>
                <w:szCs w:val="16"/>
              </w:rPr>
            </w:pPr>
            <w:r w:rsidRPr="0056304C">
              <w:rPr>
                <w:rFonts w:ascii="Times New Roman" w:hAnsi="Times New Roman"/>
                <w:sz w:val="16"/>
                <w:szCs w:val="16"/>
              </w:rPr>
              <w:t>Projektų finansavimo ir administravimo sutartyse suplanuota produkto rodiklio „</w:t>
            </w:r>
            <w:r w:rsidRPr="0056304C">
              <w:rPr>
                <w:rFonts w:ascii="Times New Roman" w:hAnsi="Times New Roman"/>
                <w:bCs/>
                <w:iCs/>
                <w:sz w:val="16"/>
                <w:szCs w:val="16"/>
              </w:rPr>
              <w:t>Švietimo ir kitų švietimo teikėjų įstaigos, kuriose pagal veiksmų programą ERPF lėšomis sukurta ar atnaujinta ne mažiau nei viena edukacinė erdvė</w:t>
            </w:r>
            <w:r w:rsidRPr="0056304C">
              <w:rPr>
                <w:rFonts w:ascii="Times New Roman" w:hAnsi="Times New Roman"/>
                <w:sz w:val="16"/>
                <w:szCs w:val="16"/>
              </w:rPr>
              <w:t>“ reikšmė</w:t>
            </w:r>
          </w:p>
        </w:tc>
        <w:tc>
          <w:tcPr>
            <w:tcW w:w="850" w:type="dxa"/>
            <w:shd w:val="clear" w:color="auto" w:fill="FFFFFF"/>
          </w:tcPr>
          <w:p w:rsidR="00385835" w:rsidRPr="0056304C" w:rsidRDefault="00385835" w:rsidP="0056304C">
            <w:pPr>
              <w:spacing w:after="0" w:line="240" w:lineRule="auto"/>
              <w:jc w:val="center"/>
              <w:rPr>
                <w:rFonts w:ascii="Times New Roman" w:hAnsi="Times New Roman"/>
                <w:sz w:val="16"/>
                <w:szCs w:val="16"/>
              </w:rPr>
            </w:pPr>
            <w:r w:rsidRPr="0056304C">
              <w:rPr>
                <w:rFonts w:ascii="Times New Roman" w:hAnsi="Times New Roman"/>
                <w:sz w:val="16"/>
                <w:szCs w:val="16"/>
              </w:rPr>
              <w:t>Skaičius</w:t>
            </w:r>
          </w:p>
        </w:tc>
        <w:tc>
          <w:tcPr>
            <w:tcW w:w="709" w:type="dxa"/>
            <w:shd w:val="clear" w:color="auto" w:fill="FFFFFF"/>
          </w:tcPr>
          <w:p w:rsidR="00385835" w:rsidRPr="0056304C" w:rsidRDefault="00385835" w:rsidP="0056304C">
            <w:pPr>
              <w:spacing w:after="0" w:line="240" w:lineRule="auto"/>
              <w:jc w:val="center"/>
              <w:rPr>
                <w:rFonts w:ascii="Times New Roman" w:hAnsi="Times New Roman"/>
                <w:sz w:val="16"/>
                <w:szCs w:val="16"/>
              </w:rPr>
            </w:pPr>
            <w:r w:rsidRPr="0056304C">
              <w:rPr>
                <w:rFonts w:ascii="Times New Roman" w:hAnsi="Times New Roman"/>
                <w:sz w:val="16"/>
                <w:szCs w:val="16"/>
              </w:rPr>
              <w:t>ERPF</w:t>
            </w:r>
          </w:p>
        </w:tc>
        <w:tc>
          <w:tcPr>
            <w:tcW w:w="850" w:type="dxa"/>
            <w:shd w:val="clear" w:color="auto" w:fill="FFFFFF"/>
          </w:tcPr>
          <w:p w:rsidR="00385835" w:rsidRPr="0056304C" w:rsidRDefault="00385835" w:rsidP="0056304C">
            <w:pPr>
              <w:spacing w:after="0" w:line="240" w:lineRule="auto"/>
              <w:jc w:val="center"/>
              <w:rPr>
                <w:rFonts w:ascii="Times New Roman" w:hAnsi="Times New Roman"/>
                <w:sz w:val="16"/>
                <w:szCs w:val="16"/>
              </w:rPr>
            </w:pPr>
            <w:r w:rsidRPr="0056304C">
              <w:rPr>
                <w:rFonts w:ascii="Times New Roman" w:hAnsi="Times New Roman"/>
                <w:bCs/>
                <w:sz w:val="16"/>
                <w:szCs w:val="16"/>
              </w:rPr>
              <w:t>Mažiau išsivystęs</w:t>
            </w:r>
          </w:p>
        </w:tc>
        <w:tc>
          <w:tcPr>
            <w:tcW w:w="1134" w:type="dxa"/>
            <w:shd w:val="clear" w:color="auto" w:fill="FFFFFF"/>
          </w:tcPr>
          <w:p w:rsidR="00385835" w:rsidRPr="0056304C" w:rsidRDefault="00385835" w:rsidP="0056304C">
            <w:pPr>
              <w:spacing w:after="0" w:line="240" w:lineRule="auto"/>
              <w:jc w:val="center"/>
              <w:rPr>
                <w:rFonts w:ascii="Times New Roman" w:hAnsi="Times New Roman"/>
                <w:sz w:val="16"/>
                <w:szCs w:val="16"/>
              </w:rPr>
            </w:pPr>
            <w:r w:rsidRPr="0056304C">
              <w:rPr>
                <w:rFonts w:ascii="Times New Roman" w:hAnsi="Times New Roman"/>
                <w:sz w:val="16"/>
                <w:szCs w:val="16"/>
              </w:rPr>
              <w:t>90</w:t>
            </w:r>
          </w:p>
        </w:tc>
        <w:tc>
          <w:tcPr>
            <w:tcW w:w="1134" w:type="dxa"/>
            <w:shd w:val="clear" w:color="auto" w:fill="FFFFFF"/>
          </w:tcPr>
          <w:p w:rsidR="00385835" w:rsidRPr="0056304C" w:rsidRDefault="00385835" w:rsidP="0056304C">
            <w:pPr>
              <w:spacing w:after="0" w:line="240" w:lineRule="auto"/>
              <w:jc w:val="center"/>
              <w:rPr>
                <w:rFonts w:ascii="Times New Roman" w:hAnsi="Times New Roman"/>
                <w:sz w:val="16"/>
                <w:szCs w:val="16"/>
              </w:rPr>
            </w:pPr>
            <w:r w:rsidRPr="0056304C">
              <w:rPr>
                <w:rFonts w:ascii="Times New Roman" w:hAnsi="Times New Roman"/>
                <w:sz w:val="16"/>
                <w:szCs w:val="16"/>
              </w:rPr>
              <w:t>-</w:t>
            </w:r>
          </w:p>
        </w:tc>
        <w:tc>
          <w:tcPr>
            <w:tcW w:w="993" w:type="dxa"/>
            <w:shd w:val="clear" w:color="auto" w:fill="FFFFFF"/>
          </w:tcPr>
          <w:p w:rsidR="00385835" w:rsidRPr="0056304C" w:rsidRDefault="00385835" w:rsidP="0056304C">
            <w:pPr>
              <w:spacing w:after="0" w:line="240" w:lineRule="auto"/>
              <w:jc w:val="center"/>
              <w:rPr>
                <w:rFonts w:ascii="Times New Roman" w:hAnsi="Times New Roman"/>
                <w:sz w:val="16"/>
                <w:szCs w:val="16"/>
              </w:rPr>
            </w:pPr>
            <w:r w:rsidRPr="0056304C">
              <w:rPr>
                <w:rFonts w:ascii="Times New Roman" w:hAnsi="Times New Roman"/>
                <w:sz w:val="16"/>
                <w:szCs w:val="16"/>
              </w:rPr>
              <w:t>Duomenys iš projektų</w:t>
            </w:r>
          </w:p>
        </w:tc>
        <w:tc>
          <w:tcPr>
            <w:tcW w:w="4536" w:type="dxa"/>
            <w:shd w:val="clear" w:color="auto" w:fill="FFFFFF"/>
          </w:tcPr>
          <w:p w:rsidR="00385835" w:rsidRPr="0056304C" w:rsidRDefault="00385835" w:rsidP="0056304C">
            <w:pPr>
              <w:spacing w:after="0" w:line="240" w:lineRule="auto"/>
              <w:rPr>
                <w:rFonts w:ascii="Times New Roman" w:hAnsi="Times New Roman"/>
                <w:sz w:val="16"/>
                <w:szCs w:val="16"/>
              </w:rPr>
            </w:pPr>
            <w:r w:rsidRPr="0056304C">
              <w:rPr>
                <w:rFonts w:ascii="Times New Roman" w:hAnsi="Times New Roman"/>
                <w:sz w:val="16"/>
                <w:szCs w:val="16"/>
              </w:rPr>
              <w:t>Įgyvendinimo žingsnis pasirinktas, nes iki 2018 m. pabaigos nebus baigtų projektų, atsižvelgiant į ilgesnę projektų įgyvendinimo trukmę ir vėlesnę jų įgyvendinimo pradžią, kuri yra numatoma dėl ilgiau trunkančios regionų planavimo</w:t>
            </w:r>
            <w:proofErr w:type="gramStart"/>
            <w:r w:rsidRPr="0056304C">
              <w:rPr>
                <w:rFonts w:ascii="Times New Roman" w:hAnsi="Times New Roman"/>
                <w:sz w:val="16"/>
                <w:szCs w:val="16"/>
              </w:rPr>
              <w:t xml:space="preserve">  </w:t>
            </w:r>
            <w:proofErr w:type="gramEnd"/>
            <w:r w:rsidRPr="0056304C">
              <w:rPr>
                <w:rFonts w:ascii="Times New Roman" w:hAnsi="Times New Roman"/>
                <w:sz w:val="16"/>
                <w:szCs w:val="16"/>
              </w:rPr>
              <w:t>projektų atrankos procedūros ir poreikio atlikti parengiamuosius darbus, susijusius su techninių dokumentų parengimu.</w:t>
            </w:r>
          </w:p>
          <w:p w:rsidR="00385835" w:rsidRPr="0056304C" w:rsidRDefault="00385835" w:rsidP="0056304C">
            <w:pPr>
              <w:spacing w:after="0" w:line="240" w:lineRule="auto"/>
              <w:rPr>
                <w:rFonts w:ascii="Times New Roman" w:hAnsi="Times New Roman"/>
                <w:sz w:val="16"/>
                <w:szCs w:val="16"/>
              </w:rPr>
            </w:pPr>
            <w:r w:rsidRPr="0056304C">
              <w:rPr>
                <w:rFonts w:ascii="Times New Roman" w:hAnsi="Times New Roman"/>
                <w:sz w:val="16"/>
                <w:szCs w:val="16"/>
              </w:rPr>
              <w:t>Projektų finansavimo ir administravimo sutartyse suplanuota produkto rodiklio reikšmė rodys, ar projektai bus įgyvendinti numatyta apimtimi.</w:t>
            </w:r>
          </w:p>
        </w:tc>
      </w:tr>
      <w:tr w:rsidR="00385835" w:rsidRPr="0056304C" w:rsidTr="0056304C">
        <w:tc>
          <w:tcPr>
            <w:tcW w:w="1277" w:type="dxa"/>
            <w:shd w:val="clear" w:color="auto" w:fill="FFFFFF"/>
            <w:vAlign w:val="center"/>
          </w:tcPr>
          <w:p w:rsidR="00385835" w:rsidRPr="0056304C" w:rsidRDefault="00385835" w:rsidP="0056304C">
            <w:pPr>
              <w:spacing w:after="0" w:line="240" w:lineRule="auto"/>
              <w:rPr>
                <w:rFonts w:ascii="Times New Roman" w:hAnsi="Times New Roman"/>
                <w:sz w:val="16"/>
                <w:szCs w:val="16"/>
              </w:rPr>
            </w:pPr>
            <w:r w:rsidRPr="0056304C">
              <w:rPr>
                <w:rFonts w:ascii="Times New Roman" w:hAnsi="Times New Roman"/>
                <w:sz w:val="16"/>
                <w:szCs w:val="16"/>
              </w:rPr>
              <w:t>Finansinis</w:t>
            </w:r>
            <w:r w:rsidRPr="0056304C">
              <w:rPr>
                <w:rFonts w:ascii="Times New Roman" w:eastAsia="AngsanaUPC" w:hAnsi="Times New Roman"/>
                <w:bCs/>
                <w:iCs/>
                <w:sz w:val="16"/>
                <w:szCs w:val="16"/>
              </w:rPr>
              <w:t xml:space="preserve"> </w:t>
            </w:r>
            <w:r w:rsidRPr="0056304C">
              <w:rPr>
                <w:rFonts w:ascii="Times New Roman" w:hAnsi="Times New Roman"/>
                <w:sz w:val="16"/>
                <w:szCs w:val="16"/>
              </w:rPr>
              <w:t>rodiklis</w:t>
            </w:r>
          </w:p>
        </w:tc>
        <w:tc>
          <w:tcPr>
            <w:tcW w:w="2551" w:type="dxa"/>
            <w:shd w:val="clear" w:color="auto" w:fill="FFFFFF"/>
            <w:vAlign w:val="center"/>
          </w:tcPr>
          <w:p w:rsidR="00385835" w:rsidRPr="0056304C" w:rsidRDefault="00385835" w:rsidP="0056304C">
            <w:pPr>
              <w:spacing w:after="0" w:line="240" w:lineRule="auto"/>
              <w:rPr>
                <w:rFonts w:ascii="Times New Roman" w:hAnsi="Times New Roman"/>
                <w:i/>
                <w:sz w:val="16"/>
                <w:szCs w:val="16"/>
              </w:rPr>
            </w:pPr>
            <w:r w:rsidRPr="0056304C">
              <w:rPr>
                <w:rFonts w:ascii="Times New Roman" w:hAnsi="Times New Roman"/>
                <w:color w:val="000000"/>
                <w:sz w:val="16"/>
                <w:szCs w:val="16"/>
              </w:rPr>
              <w:t>Bendra tinkamų finansuoti išlaidų suma</w:t>
            </w:r>
            <w:r w:rsidR="007524B7" w:rsidRPr="0056304C">
              <w:rPr>
                <w:rFonts w:ascii="Times New Roman" w:hAnsi="Times New Roman"/>
                <w:color w:val="000000"/>
                <w:sz w:val="16"/>
                <w:szCs w:val="16"/>
              </w:rPr>
              <w:t>,</w:t>
            </w:r>
            <w:r w:rsidRPr="0056304C">
              <w:rPr>
                <w:rFonts w:ascii="Times New Roman" w:hAnsi="Times New Roman"/>
                <w:color w:val="000000"/>
                <w:sz w:val="16"/>
                <w:szCs w:val="16"/>
              </w:rPr>
              <w:t xml:space="preserve"> pripažinta tinkama deklaruoti EK</w:t>
            </w:r>
          </w:p>
        </w:tc>
        <w:tc>
          <w:tcPr>
            <w:tcW w:w="850" w:type="dxa"/>
            <w:shd w:val="clear" w:color="auto" w:fill="FFFFFF"/>
          </w:tcPr>
          <w:p w:rsidR="00385835" w:rsidRPr="0056304C" w:rsidRDefault="00385835" w:rsidP="0056304C">
            <w:pPr>
              <w:spacing w:after="0" w:line="240" w:lineRule="auto"/>
              <w:jc w:val="center"/>
              <w:rPr>
                <w:rFonts w:ascii="Times New Roman" w:hAnsi="Times New Roman"/>
                <w:i/>
                <w:sz w:val="16"/>
                <w:szCs w:val="16"/>
              </w:rPr>
            </w:pPr>
            <w:r w:rsidRPr="0056304C">
              <w:rPr>
                <w:rFonts w:ascii="Times New Roman" w:hAnsi="Times New Roman"/>
                <w:sz w:val="16"/>
                <w:szCs w:val="16"/>
              </w:rPr>
              <w:t>Eurai</w:t>
            </w:r>
          </w:p>
        </w:tc>
        <w:tc>
          <w:tcPr>
            <w:tcW w:w="709" w:type="dxa"/>
            <w:shd w:val="clear" w:color="auto" w:fill="FFFFFF"/>
          </w:tcPr>
          <w:p w:rsidR="00385835" w:rsidRPr="0056304C" w:rsidRDefault="00385835" w:rsidP="0056304C">
            <w:pPr>
              <w:spacing w:after="0" w:line="240" w:lineRule="auto"/>
              <w:jc w:val="center"/>
              <w:rPr>
                <w:rFonts w:ascii="Times New Roman" w:hAnsi="Times New Roman"/>
                <w:sz w:val="16"/>
                <w:szCs w:val="16"/>
              </w:rPr>
            </w:pPr>
            <w:r w:rsidRPr="0056304C">
              <w:rPr>
                <w:rFonts w:ascii="Times New Roman" w:hAnsi="Times New Roman"/>
                <w:sz w:val="16"/>
                <w:szCs w:val="16"/>
              </w:rPr>
              <w:t>ESF</w:t>
            </w:r>
          </w:p>
        </w:tc>
        <w:tc>
          <w:tcPr>
            <w:tcW w:w="850" w:type="dxa"/>
            <w:shd w:val="clear" w:color="auto" w:fill="FFFFFF"/>
          </w:tcPr>
          <w:p w:rsidR="00385835" w:rsidRPr="0056304C" w:rsidRDefault="00385835" w:rsidP="0056304C">
            <w:pPr>
              <w:spacing w:after="0" w:line="240" w:lineRule="auto"/>
              <w:jc w:val="center"/>
              <w:rPr>
                <w:rFonts w:ascii="Times New Roman" w:hAnsi="Times New Roman"/>
                <w:sz w:val="16"/>
                <w:szCs w:val="16"/>
              </w:rPr>
            </w:pPr>
            <w:r w:rsidRPr="0056304C">
              <w:rPr>
                <w:rFonts w:ascii="Times New Roman" w:hAnsi="Times New Roman"/>
                <w:sz w:val="16"/>
                <w:szCs w:val="16"/>
              </w:rPr>
              <w:t>Mažiau išsivystęs</w:t>
            </w:r>
          </w:p>
        </w:tc>
        <w:tc>
          <w:tcPr>
            <w:tcW w:w="1134" w:type="dxa"/>
            <w:shd w:val="clear" w:color="auto" w:fill="FFFFFF"/>
          </w:tcPr>
          <w:p w:rsidR="00E04A5B" w:rsidRPr="0056304C" w:rsidRDefault="00E04A5B" w:rsidP="0056304C">
            <w:pPr>
              <w:spacing w:after="0" w:line="240" w:lineRule="auto"/>
              <w:jc w:val="center"/>
              <w:rPr>
                <w:rFonts w:ascii="Times New Roman" w:hAnsi="Times New Roman"/>
                <w:sz w:val="16"/>
                <w:szCs w:val="16"/>
              </w:rPr>
            </w:pPr>
            <w:r w:rsidRPr="0056304C">
              <w:rPr>
                <w:rFonts w:ascii="Times New Roman" w:hAnsi="Times New Roman"/>
                <w:sz w:val="16"/>
                <w:szCs w:val="16"/>
              </w:rPr>
              <w:t>98.998.708</w:t>
            </w:r>
          </w:p>
        </w:tc>
        <w:tc>
          <w:tcPr>
            <w:tcW w:w="1134" w:type="dxa"/>
            <w:shd w:val="clear" w:color="auto" w:fill="FFFFFF"/>
          </w:tcPr>
          <w:p w:rsidR="00385835" w:rsidRPr="0056304C" w:rsidRDefault="00385835" w:rsidP="0056304C">
            <w:pPr>
              <w:spacing w:after="0" w:line="240" w:lineRule="auto"/>
              <w:jc w:val="center"/>
              <w:rPr>
                <w:rFonts w:ascii="Times New Roman" w:hAnsi="Times New Roman"/>
                <w:sz w:val="16"/>
                <w:szCs w:val="16"/>
              </w:rPr>
            </w:pPr>
            <w:r w:rsidRPr="0056304C">
              <w:rPr>
                <w:rFonts w:ascii="Times New Roman" w:hAnsi="Times New Roman"/>
                <w:sz w:val="16"/>
                <w:szCs w:val="16"/>
              </w:rPr>
              <w:t>5</w:t>
            </w:r>
            <w:r w:rsidR="009812CA" w:rsidRPr="0056304C">
              <w:rPr>
                <w:rFonts w:ascii="Times New Roman" w:hAnsi="Times New Roman"/>
                <w:sz w:val="16"/>
                <w:szCs w:val="16"/>
              </w:rPr>
              <w:t>33</w:t>
            </w:r>
            <w:r w:rsidR="00A50C23" w:rsidRPr="0056304C">
              <w:rPr>
                <w:rFonts w:ascii="Times New Roman" w:hAnsi="Times New Roman"/>
                <w:sz w:val="16"/>
                <w:szCs w:val="16"/>
              </w:rPr>
              <w:t>.</w:t>
            </w:r>
            <w:r w:rsidR="009812CA" w:rsidRPr="0056304C">
              <w:rPr>
                <w:rFonts w:ascii="Times New Roman" w:hAnsi="Times New Roman"/>
                <w:sz w:val="16"/>
                <w:szCs w:val="16"/>
              </w:rPr>
              <w:t>155</w:t>
            </w:r>
            <w:r w:rsidR="00A50C23" w:rsidRPr="0056304C">
              <w:rPr>
                <w:rFonts w:ascii="Times New Roman" w:hAnsi="Times New Roman"/>
                <w:sz w:val="16"/>
                <w:szCs w:val="16"/>
              </w:rPr>
              <w:t>.</w:t>
            </w:r>
            <w:r w:rsidR="009812CA" w:rsidRPr="0056304C">
              <w:rPr>
                <w:rFonts w:ascii="Times New Roman" w:hAnsi="Times New Roman"/>
                <w:sz w:val="16"/>
                <w:szCs w:val="16"/>
              </w:rPr>
              <w:t>395</w:t>
            </w:r>
          </w:p>
        </w:tc>
        <w:tc>
          <w:tcPr>
            <w:tcW w:w="993" w:type="dxa"/>
            <w:shd w:val="clear" w:color="auto" w:fill="FFFFFF"/>
          </w:tcPr>
          <w:p w:rsidR="00385835" w:rsidRPr="0056304C" w:rsidRDefault="00385835" w:rsidP="0056304C">
            <w:pPr>
              <w:spacing w:after="0" w:line="240" w:lineRule="auto"/>
              <w:jc w:val="center"/>
              <w:rPr>
                <w:rFonts w:ascii="Times New Roman" w:hAnsi="Times New Roman"/>
                <w:sz w:val="16"/>
                <w:szCs w:val="16"/>
              </w:rPr>
            </w:pPr>
            <w:r w:rsidRPr="0056304C">
              <w:rPr>
                <w:rFonts w:ascii="Times New Roman" w:hAnsi="Times New Roman"/>
                <w:sz w:val="16"/>
                <w:szCs w:val="16"/>
              </w:rPr>
              <w:t>Duomenys iš projektų</w:t>
            </w:r>
          </w:p>
        </w:tc>
        <w:tc>
          <w:tcPr>
            <w:tcW w:w="4536" w:type="dxa"/>
            <w:shd w:val="clear" w:color="auto" w:fill="FFFFFF"/>
          </w:tcPr>
          <w:p w:rsidR="00385835" w:rsidRPr="0056304C" w:rsidRDefault="00385835" w:rsidP="0056304C">
            <w:pPr>
              <w:spacing w:after="0" w:line="240" w:lineRule="auto"/>
              <w:rPr>
                <w:rFonts w:ascii="Times New Roman" w:hAnsi="Times New Roman"/>
                <w:sz w:val="16"/>
                <w:szCs w:val="16"/>
              </w:rPr>
            </w:pPr>
            <w:r w:rsidRPr="0056304C">
              <w:rPr>
                <w:rFonts w:ascii="Times New Roman" w:hAnsi="Times New Roman"/>
                <w:sz w:val="16"/>
                <w:szCs w:val="16"/>
              </w:rPr>
              <w:t>Privalomas rodiklis, kuris atspindi finansinę prioriteto įgyvendinimo pažangą.</w:t>
            </w:r>
          </w:p>
        </w:tc>
      </w:tr>
      <w:tr w:rsidR="00385835" w:rsidRPr="0056304C" w:rsidTr="0056304C">
        <w:tc>
          <w:tcPr>
            <w:tcW w:w="1277" w:type="dxa"/>
            <w:shd w:val="clear" w:color="auto" w:fill="auto"/>
            <w:vAlign w:val="center"/>
          </w:tcPr>
          <w:p w:rsidR="00385835" w:rsidRPr="0056304C" w:rsidRDefault="00385835" w:rsidP="0056304C">
            <w:pPr>
              <w:spacing w:after="0" w:line="240" w:lineRule="auto"/>
              <w:rPr>
                <w:rFonts w:ascii="Times New Roman" w:hAnsi="Times New Roman"/>
                <w:sz w:val="16"/>
                <w:szCs w:val="16"/>
              </w:rPr>
            </w:pPr>
            <w:r w:rsidRPr="0056304C">
              <w:rPr>
                <w:rFonts w:ascii="Times New Roman" w:hAnsi="Times New Roman"/>
                <w:sz w:val="16"/>
                <w:szCs w:val="16"/>
              </w:rPr>
              <w:t>Produkto rodiklis</w:t>
            </w:r>
          </w:p>
        </w:tc>
        <w:tc>
          <w:tcPr>
            <w:tcW w:w="2551" w:type="dxa"/>
            <w:shd w:val="clear" w:color="auto" w:fill="auto"/>
            <w:vAlign w:val="center"/>
          </w:tcPr>
          <w:p w:rsidR="00385835" w:rsidRPr="0056304C" w:rsidRDefault="00385835" w:rsidP="0056304C">
            <w:pPr>
              <w:spacing w:after="0" w:line="240" w:lineRule="auto"/>
              <w:rPr>
                <w:rFonts w:ascii="Times New Roman" w:hAnsi="Times New Roman"/>
                <w:sz w:val="16"/>
                <w:szCs w:val="16"/>
              </w:rPr>
            </w:pPr>
            <w:r w:rsidRPr="0056304C">
              <w:rPr>
                <w:rFonts w:ascii="Times New Roman" w:hAnsi="Times New Roman"/>
                <w:bCs/>
                <w:iCs/>
                <w:sz w:val="16"/>
                <w:szCs w:val="16"/>
              </w:rPr>
              <w:t>Studentai, kurie pagal veiksmų programą ESF lėšomis bent dalį studijų laikotarpio mokėsi užsienio aukštosiose mokyklose</w:t>
            </w:r>
          </w:p>
        </w:tc>
        <w:tc>
          <w:tcPr>
            <w:tcW w:w="850" w:type="dxa"/>
            <w:shd w:val="clear" w:color="auto" w:fill="auto"/>
          </w:tcPr>
          <w:p w:rsidR="00385835" w:rsidRPr="0056304C" w:rsidRDefault="00385835" w:rsidP="0056304C">
            <w:pPr>
              <w:spacing w:after="0" w:line="240" w:lineRule="auto"/>
              <w:jc w:val="center"/>
              <w:rPr>
                <w:rFonts w:ascii="Times New Roman" w:hAnsi="Times New Roman"/>
                <w:sz w:val="16"/>
                <w:szCs w:val="16"/>
              </w:rPr>
            </w:pPr>
            <w:r w:rsidRPr="0056304C">
              <w:rPr>
                <w:rFonts w:ascii="Times New Roman" w:hAnsi="Times New Roman"/>
                <w:sz w:val="16"/>
                <w:szCs w:val="16"/>
              </w:rPr>
              <w:t>Asmenys</w:t>
            </w:r>
          </w:p>
        </w:tc>
        <w:tc>
          <w:tcPr>
            <w:tcW w:w="709" w:type="dxa"/>
            <w:shd w:val="clear" w:color="auto" w:fill="auto"/>
          </w:tcPr>
          <w:p w:rsidR="00385835" w:rsidRPr="0056304C" w:rsidRDefault="00385835" w:rsidP="0056304C">
            <w:pPr>
              <w:spacing w:after="0" w:line="240" w:lineRule="auto"/>
              <w:jc w:val="center"/>
              <w:rPr>
                <w:rFonts w:ascii="Times New Roman" w:hAnsi="Times New Roman"/>
                <w:sz w:val="16"/>
                <w:szCs w:val="16"/>
              </w:rPr>
            </w:pPr>
            <w:r w:rsidRPr="0056304C">
              <w:rPr>
                <w:rFonts w:ascii="Times New Roman" w:hAnsi="Times New Roman"/>
                <w:sz w:val="16"/>
                <w:szCs w:val="16"/>
              </w:rPr>
              <w:t>ESF</w:t>
            </w:r>
          </w:p>
        </w:tc>
        <w:tc>
          <w:tcPr>
            <w:tcW w:w="850" w:type="dxa"/>
            <w:shd w:val="clear" w:color="auto" w:fill="auto"/>
          </w:tcPr>
          <w:p w:rsidR="00385835" w:rsidRPr="0056304C" w:rsidRDefault="00385835" w:rsidP="0056304C">
            <w:pPr>
              <w:spacing w:after="0" w:line="240" w:lineRule="auto"/>
              <w:jc w:val="center"/>
              <w:rPr>
                <w:rFonts w:ascii="Times New Roman" w:hAnsi="Times New Roman"/>
                <w:sz w:val="16"/>
                <w:szCs w:val="16"/>
              </w:rPr>
            </w:pPr>
            <w:r w:rsidRPr="0056304C">
              <w:rPr>
                <w:rFonts w:ascii="Times New Roman" w:hAnsi="Times New Roman"/>
                <w:bCs/>
                <w:sz w:val="16"/>
                <w:szCs w:val="16"/>
              </w:rPr>
              <w:t>Mažiau išsivystęs</w:t>
            </w:r>
          </w:p>
        </w:tc>
        <w:tc>
          <w:tcPr>
            <w:tcW w:w="1134" w:type="dxa"/>
            <w:shd w:val="clear" w:color="auto" w:fill="auto"/>
          </w:tcPr>
          <w:p w:rsidR="00385835" w:rsidRPr="0056304C" w:rsidRDefault="00385835" w:rsidP="0056304C">
            <w:pPr>
              <w:spacing w:after="0" w:line="240" w:lineRule="auto"/>
              <w:jc w:val="center"/>
              <w:rPr>
                <w:rFonts w:ascii="Times New Roman" w:hAnsi="Times New Roman"/>
                <w:sz w:val="16"/>
                <w:szCs w:val="16"/>
              </w:rPr>
            </w:pPr>
            <w:r w:rsidRPr="0056304C">
              <w:rPr>
                <w:rFonts w:ascii="Times New Roman" w:hAnsi="Times New Roman"/>
                <w:sz w:val="16"/>
                <w:szCs w:val="16"/>
              </w:rPr>
              <w:t>612</w:t>
            </w:r>
          </w:p>
        </w:tc>
        <w:tc>
          <w:tcPr>
            <w:tcW w:w="1134" w:type="dxa"/>
            <w:shd w:val="clear" w:color="auto" w:fill="auto"/>
          </w:tcPr>
          <w:p w:rsidR="00385835" w:rsidRPr="0056304C" w:rsidRDefault="00385835" w:rsidP="0056304C">
            <w:pPr>
              <w:spacing w:after="0" w:line="240" w:lineRule="auto"/>
              <w:jc w:val="center"/>
              <w:rPr>
                <w:rFonts w:ascii="Times New Roman" w:hAnsi="Times New Roman"/>
                <w:sz w:val="16"/>
                <w:szCs w:val="16"/>
              </w:rPr>
            </w:pPr>
            <w:r w:rsidRPr="0056304C">
              <w:rPr>
                <w:rFonts w:ascii="Times New Roman" w:hAnsi="Times New Roman"/>
                <w:sz w:val="16"/>
                <w:szCs w:val="16"/>
              </w:rPr>
              <w:t>3</w:t>
            </w:r>
            <w:r w:rsidR="00A50C23" w:rsidRPr="0056304C">
              <w:rPr>
                <w:rFonts w:ascii="Times New Roman" w:hAnsi="Times New Roman"/>
                <w:sz w:val="16"/>
                <w:szCs w:val="16"/>
              </w:rPr>
              <w:t>.</w:t>
            </w:r>
            <w:r w:rsidRPr="0056304C">
              <w:rPr>
                <w:rFonts w:ascii="Times New Roman" w:hAnsi="Times New Roman"/>
                <w:sz w:val="16"/>
                <w:szCs w:val="16"/>
              </w:rPr>
              <w:t>600</w:t>
            </w:r>
          </w:p>
        </w:tc>
        <w:tc>
          <w:tcPr>
            <w:tcW w:w="993" w:type="dxa"/>
          </w:tcPr>
          <w:p w:rsidR="00385835" w:rsidRPr="0056304C" w:rsidRDefault="00385835" w:rsidP="0056304C">
            <w:pPr>
              <w:spacing w:after="0" w:line="240" w:lineRule="auto"/>
              <w:jc w:val="center"/>
              <w:rPr>
                <w:rFonts w:ascii="Times New Roman" w:hAnsi="Times New Roman"/>
                <w:sz w:val="16"/>
                <w:szCs w:val="16"/>
              </w:rPr>
            </w:pPr>
            <w:r w:rsidRPr="0056304C">
              <w:rPr>
                <w:rFonts w:ascii="Times New Roman" w:hAnsi="Times New Roman"/>
                <w:sz w:val="16"/>
                <w:szCs w:val="16"/>
              </w:rPr>
              <w:t>Duomenys iš projektų</w:t>
            </w:r>
          </w:p>
        </w:tc>
        <w:tc>
          <w:tcPr>
            <w:tcW w:w="4536" w:type="dxa"/>
            <w:shd w:val="clear" w:color="auto" w:fill="auto"/>
          </w:tcPr>
          <w:p w:rsidR="00385835" w:rsidRPr="0056304C" w:rsidRDefault="00385835" w:rsidP="0056304C">
            <w:pPr>
              <w:spacing w:after="0" w:line="240" w:lineRule="auto"/>
              <w:rPr>
                <w:rFonts w:ascii="Times New Roman" w:hAnsi="Times New Roman"/>
                <w:sz w:val="16"/>
                <w:szCs w:val="16"/>
              </w:rPr>
            </w:pPr>
            <w:r w:rsidRPr="0056304C">
              <w:rPr>
                <w:rFonts w:ascii="Times New Roman" w:hAnsi="Times New Roman"/>
                <w:sz w:val="16"/>
                <w:szCs w:val="16"/>
              </w:rPr>
              <w:t>Rodiklis atspindi prioriteto įgyvendinimo eigą, nes jo pasiekimui skirta 5 proc. šio prioriteto įgyvendinimui skirtų ESF lėšų.</w:t>
            </w:r>
          </w:p>
        </w:tc>
      </w:tr>
      <w:tr w:rsidR="00385835" w:rsidRPr="0056304C" w:rsidTr="0056304C">
        <w:tc>
          <w:tcPr>
            <w:tcW w:w="1277" w:type="dxa"/>
            <w:shd w:val="clear" w:color="auto" w:fill="auto"/>
            <w:vAlign w:val="center"/>
          </w:tcPr>
          <w:p w:rsidR="00385835" w:rsidRPr="0056304C" w:rsidRDefault="00385835" w:rsidP="0056304C">
            <w:pPr>
              <w:spacing w:after="0" w:line="240" w:lineRule="auto"/>
              <w:rPr>
                <w:rFonts w:ascii="Times New Roman" w:hAnsi="Times New Roman"/>
                <w:sz w:val="16"/>
                <w:szCs w:val="16"/>
              </w:rPr>
            </w:pPr>
            <w:r w:rsidRPr="0056304C">
              <w:rPr>
                <w:rFonts w:ascii="Times New Roman" w:hAnsi="Times New Roman"/>
                <w:sz w:val="16"/>
                <w:szCs w:val="16"/>
              </w:rPr>
              <w:t>Produkto rodiklis</w:t>
            </w:r>
          </w:p>
        </w:tc>
        <w:tc>
          <w:tcPr>
            <w:tcW w:w="2551" w:type="dxa"/>
            <w:shd w:val="clear" w:color="auto" w:fill="auto"/>
            <w:vAlign w:val="center"/>
          </w:tcPr>
          <w:p w:rsidR="00385835" w:rsidRPr="0056304C" w:rsidRDefault="00385835" w:rsidP="0056304C">
            <w:pPr>
              <w:spacing w:after="0" w:line="240" w:lineRule="auto"/>
              <w:rPr>
                <w:rFonts w:ascii="Times New Roman" w:hAnsi="Times New Roman"/>
                <w:sz w:val="16"/>
                <w:szCs w:val="16"/>
              </w:rPr>
            </w:pPr>
            <w:r w:rsidRPr="0056304C">
              <w:rPr>
                <w:rFonts w:ascii="Times New Roman" w:hAnsi="Times New Roman"/>
                <w:sz w:val="16"/>
                <w:szCs w:val="16"/>
              </w:rPr>
              <w:t>Tyrėjai, kurie dalyvavo ESF veiklose, skirtose mokytis pagal neformaliojo švietimo programas</w:t>
            </w:r>
          </w:p>
        </w:tc>
        <w:tc>
          <w:tcPr>
            <w:tcW w:w="850" w:type="dxa"/>
            <w:shd w:val="clear" w:color="auto" w:fill="auto"/>
          </w:tcPr>
          <w:p w:rsidR="00385835" w:rsidRPr="0056304C" w:rsidRDefault="00385835" w:rsidP="0056304C">
            <w:pPr>
              <w:spacing w:after="0" w:line="240" w:lineRule="auto"/>
              <w:jc w:val="center"/>
              <w:rPr>
                <w:rFonts w:ascii="Times New Roman" w:hAnsi="Times New Roman"/>
                <w:sz w:val="16"/>
                <w:szCs w:val="16"/>
              </w:rPr>
            </w:pPr>
            <w:r w:rsidRPr="0056304C">
              <w:rPr>
                <w:rFonts w:ascii="Times New Roman" w:hAnsi="Times New Roman"/>
                <w:sz w:val="16"/>
                <w:szCs w:val="16"/>
              </w:rPr>
              <w:t>Asmenys</w:t>
            </w:r>
          </w:p>
        </w:tc>
        <w:tc>
          <w:tcPr>
            <w:tcW w:w="709" w:type="dxa"/>
            <w:shd w:val="clear" w:color="auto" w:fill="auto"/>
          </w:tcPr>
          <w:p w:rsidR="00385835" w:rsidRPr="0056304C" w:rsidRDefault="00385835" w:rsidP="0056304C">
            <w:pPr>
              <w:spacing w:after="0" w:line="240" w:lineRule="auto"/>
              <w:jc w:val="center"/>
              <w:rPr>
                <w:rFonts w:ascii="Times New Roman" w:hAnsi="Times New Roman"/>
                <w:sz w:val="16"/>
                <w:szCs w:val="16"/>
              </w:rPr>
            </w:pPr>
            <w:r w:rsidRPr="0056304C">
              <w:rPr>
                <w:rFonts w:ascii="Times New Roman" w:hAnsi="Times New Roman"/>
                <w:sz w:val="16"/>
                <w:szCs w:val="16"/>
              </w:rPr>
              <w:t>ESF</w:t>
            </w:r>
          </w:p>
        </w:tc>
        <w:tc>
          <w:tcPr>
            <w:tcW w:w="850" w:type="dxa"/>
            <w:shd w:val="clear" w:color="auto" w:fill="auto"/>
          </w:tcPr>
          <w:p w:rsidR="00385835" w:rsidRPr="0056304C" w:rsidRDefault="00385835" w:rsidP="0056304C">
            <w:pPr>
              <w:spacing w:after="0" w:line="240" w:lineRule="auto"/>
              <w:jc w:val="center"/>
              <w:rPr>
                <w:rFonts w:ascii="Times New Roman" w:hAnsi="Times New Roman"/>
                <w:sz w:val="16"/>
                <w:szCs w:val="16"/>
              </w:rPr>
            </w:pPr>
            <w:r w:rsidRPr="0056304C">
              <w:rPr>
                <w:rFonts w:ascii="Times New Roman" w:hAnsi="Times New Roman"/>
                <w:bCs/>
                <w:sz w:val="16"/>
                <w:szCs w:val="16"/>
              </w:rPr>
              <w:t>Mažiau išsivystęs</w:t>
            </w:r>
          </w:p>
        </w:tc>
        <w:tc>
          <w:tcPr>
            <w:tcW w:w="1134" w:type="dxa"/>
            <w:shd w:val="clear" w:color="auto" w:fill="auto"/>
          </w:tcPr>
          <w:p w:rsidR="00385835" w:rsidRPr="0056304C" w:rsidRDefault="00385835" w:rsidP="0056304C">
            <w:pPr>
              <w:spacing w:after="0" w:line="240" w:lineRule="auto"/>
              <w:jc w:val="center"/>
              <w:rPr>
                <w:rFonts w:ascii="Times New Roman" w:hAnsi="Times New Roman"/>
                <w:sz w:val="16"/>
                <w:szCs w:val="16"/>
              </w:rPr>
            </w:pPr>
            <w:r w:rsidRPr="0056304C">
              <w:rPr>
                <w:rFonts w:ascii="Times New Roman" w:hAnsi="Times New Roman"/>
                <w:sz w:val="16"/>
                <w:szCs w:val="16"/>
              </w:rPr>
              <w:t>374</w:t>
            </w:r>
          </w:p>
        </w:tc>
        <w:tc>
          <w:tcPr>
            <w:tcW w:w="1134" w:type="dxa"/>
            <w:shd w:val="clear" w:color="auto" w:fill="auto"/>
          </w:tcPr>
          <w:p w:rsidR="00385835" w:rsidRPr="0056304C" w:rsidRDefault="00385835" w:rsidP="0056304C">
            <w:pPr>
              <w:spacing w:after="0" w:line="240" w:lineRule="auto"/>
              <w:jc w:val="center"/>
              <w:rPr>
                <w:rFonts w:ascii="Times New Roman" w:hAnsi="Times New Roman"/>
                <w:sz w:val="16"/>
                <w:szCs w:val="16"/>
              </w:rPr>
            </w:pPr>
            <w:r w:rsidRPr="0056304C">
              <w:rPr>
                <w:rFonts w:ascii="Times New Roman" w:hAnsi="Times New Roman"/>
                <w:sz w:val="16"/>
                <w:szCs w:val="16"/>
              </w:rPr>
              <w:t>2</w:t>
            </w:r>
            <w:r w:rsidR="00A50C23" w:rsidRPr="0056304C">
              <w:rPr>
                <w:rFonts w:ascii="Times New Roman" w:hAnsi="Times New Roman"/>
                <w:sz w:val="16"/>
                <w:szCs w:val="16"/>
              </w:rPr>
              <w:t>.</w:t>
            </w:r>
            <w:r w:rsidRPr="0056304C">
              <w:rPr>
                <w:rFonts w:ascii="Times New Roman" w:hAnsi="Times New Roman"/>
                <w:sz w:val="16"/>
                <w:szCs w:val="16"/>
              </w:rPr>
              <w:t>200</w:t>
            </w:r>
          </w:p>
        </w:tc>
        <w:tc>
          <w:tcPr>
            <w:tcW w:w="993" w:type="dxa"/>
          </w:tcPr>
          <w:p w:rsidR="00385835" w:rsidRPr="0056304C" w:rsidRDefault="00385835" w:rsidP="0056304C">
            <w:pPr>
              <w:spacing w:after="0" w:line="240" w:lineRule="auto"/>
              <w:jc w:val="center"/>
              <w:rPr>
                <w:rFonts w:ascii="Times New Roman" w:hAnsi="Times New Roman"/>
                <w:sz w:val="16"/>
                <w:szCs w:val="16"/>
              </w:rPr>
            </w:pPr>
            <w:r w:rsidRPr="0056304C">
              <w:rPr>
                <w:rFonts w:ascii="Times New Roman" w:hAnsi="Times New Roman"/>
                <w:sz w:val="16"/>
                <w:szCs w:val="16"/>
              </w:rPr>
              <w:t>Duomenys iš projektų</w:t>
            </w:r>
          </w:p>
        </w:tc>
        <w:tc>
          <w:tcPr>
            <w:tcW w:w="4536" w:type="dxa"/>
            <w:shd w:val="clear" w:color="auto" w:fill="auto"/>
          </w:tcPr>
          <w:p w:rsidR="00385835" w:rsidRPr="0056304C" w:rsidRDefault="00385835" w:rsidP="0056304C">
            <w:pPr>
              <w:spacing w:after="0" w:line="240" w:lineRule="auto"/>
              <w:rPr>
                <w:rFonts w:ascii="Times New Roman" w:hAnsi="Times New Roman"/>
                <w:sz w:val="16"/>
                <w:szCs w:val="16"/>
              </w:rPr>
            </w:pPr>
            <w:r w:rsidRPr="0056304C">
              <w:rPr>
                <w:rFonts w:ascii="Times New Roman" w:hAnsi="Times New Roman"/>
                <w:sz w:val="16"/>
                <w:szCs w:val="16"/>
              </w:rPr>
              <w:t>Rodiklis atspindi prioriteto įgyvendinimo eigą, nes jo pasiekimui skirta 25 proc. šio prioriteto įgyvendinimui skirtų ESF lėšų.</w:t>
            </w:r>
          </w:p>
        </w:tc>
      </w:tr>
      <w:tr w:rsidR="00385835" w:rsidRPr="0056304C" w:rsidTr="0056304C">
        <w:tc>
          <w:tcPr>
            <w:tcW w:w="1277" w:type="dxa"/>
            <w:shd w:val="clear" w:color="auto" w:fill="auto"/>
            <w:vAlign w:val="center"/>
          </w:tcPr>
          <w:p w:rsidR="00385835" w:rsidRPr="0056304C" w:rsidRDefault="00385835" w:rsidP="0056304C">
            <w:pPr>
              <w:spacing w:after="0" w:line="240" w:lineRule="auto"/>
              <w:rPr>
                <w:rFonts w:ascii="Times New Roman" w:hAnsi="Times New Roman"/>
                <w:sz w:val="16"/>
                <w:szCs w:val="16"/>
              </w:rPr>
            </w:pPr>
            <w:r w:rsidRPr="0056304C">
              <w:rPr>
                <w:rFonts w:ascii="Times New Roman" w:hAnsi="Times New Roman"/>
                <w:sz w:val="16"/>
                <w:szCs w:val="16"/>
              </w:rPr>
              <w:t xml:space="preserve">Produkto </w:t>
            </w:r>
            <w:r w:rsidRPr="0056304C">
              <w:rPr>
                <w:rFonts w:ascii="Times New Roman" w:hAnsi="Times New Roman"/>
                <w:sz w:val="16"/>
                <w:szCs w:val="16"/>
              </w:rPr>
              <w:lastRenderedPageBreak/>
              <w:t>rodiklis</w:t>
            </w:r>
          </w:p>
        </w:tc>
        <w:tc>
          <w:tcPr>
            <w:tcW w:w="2551" w:type="dxa"/>
            <w:shd w:val="clear" w:color="auto" w:fill="auto"/>
            <w:vAlign w:val="center"/>
          </w:tcPr>
          <w:p w:rsidR="00385835" w:rsidRPr="0056304C" w:rsidRDefault="00385835" w:rsidP="0056304C">
            <w:pPr>
              <w:spacing w:after="0" w:line="240" w:lineRule="auto"/>
              <w:rPr>
                <w:rFonts w:ascii="Times New Roman" w:hAnsi="Times New Roman"/>
                <w:sz w:val="16"/>
                <w:szCs w:val="16"/>
              </w:rPr>
            </w:pPr>
            <w:r w:rsidRPr="0056304C">
              <w:rPr>
                <w:rFonts w:ascii="Times New Roman" w:eastAsia="AngsanaUPC" w:hAnsi="Times New Roman"/>
                <w:bCs/>
                <w:iCs/>
                <w:sz w:val="16"/>
                <w:szCs w:val="16"/>
              </w:rPr>
              <w:lastRenderedPageBreak/>
              <w:t xml:space="preserve">Dirbantieji, kurie dalyvavo ESF </w:t>
            </w:r>
            <w:r w:rsidRPr="0056304C">
              <w:rPr>
                <w:rFonts w:ascii="Times New Roman" w:eastAsia="AngsanaUPC" w:hAnsi="Times New Roman"/>
                <w:bCs/>
                <w:iCs/>
                <w:sz w:val="16"/>
                <w:szCs w:val="16"/>
              </w:rPr>
              <w:lastRenderedPageBreak/>
              <w:t>mokymuose, suteikiančiuose</w:t>
            </w:r>
            <w:proofErr w:type="gramStart"/>
            <w:r w:rsidRPr="0056304C">
              <w:rPr>
                <w:rFonts w:ascii="Times New Roman" w:eastAsia="AngsanaUPC" w:hAnsi="Times New Roman"/>
                <w:bCs/>
                <w:iCs/>
                <w:sz w:val="16"/>
                <w:szCs w:val="16"/>
              </w:rPr>
              <w:t xml:space="preserve">  </w:t>
            </w:r>
            <w:proofErr w:type="gramEnd"/>
            <w:r w:rsidRPr="0056304C">
              <w:rPr>
                <w:rFonts w:ascii="Times New Roman" w:eastAsia="AngsanaUPC" w:hAnsi="Times New Roman"/>
                <w:bCs/>
                <w:iCs/>
                <w:sz w:val="16"/>
                <w:szCs w:val="16"/>
              </w:rPr>
              <w:t>kvalifikaciją arba kompetenciją</w:t>
            </w:r>
          </w:p>
        </w:tc>
        <w:tc>
          <w:tcPr>
            <w:tcW w:w="850" w:type="dxa"/>
            <w:shd w:val="clear" w:color="auto" w:fill="auto"/>
          </w:tcPr>
          <w:p w:rsidR="00385835" w:rsidRPr="0056304C" w:rsidRDefault="00385835" w:rsidP="0056304C">
            <w:pPr>
              <w:spacing w:after="0" w:line="240" w:lineRule="auto"/>
              <w:jc w:val="center"/>
              <w:rPr>
                <w:rFonts w:ascii="Times New Roman" w:hAnsi="Times New Roman"/>
                <w:sz w:val="16"/>
                <w:szCs w:val="16"/>
              </w:rPr>
            </w:pPr>
            <w:r w:rsidRPr="0056304C">
              <w:rPr>
                <w:rFonts w:ascii="Times New Roman" w:hAnsi="Times New Roman"/>
                <w:sz w:val="16"/>
                <w:szCs w:val="16"/>
              </w:rPr>
              <w:lastRenderedPageBreak/>
              <w:t>Asmenys</w:t>
            </w:r>
          </w:p>
        </w:tc>
        <w:tc>
          <w:tcPr>
            <w:tcW w:w="709" w:type="dxa"/>
            <w:shd w:val="clear" w:color="auto" w:fill="auto"/>
          </w:tcPr>
          <w:p w:rsidR="00385835" w:rsidRPr="0056304C" w:rsidRDefault="00385835" w:rsidP="0056304C">
            <w:pPr>
              <w:spacing w:after="0" w:line="240" w:lineRule="auto"/>
              <w:jc w:val="center"/>
              <w:rPr>
                <w:rFonts w:ascii="Times New Roman" w:hAnsi="Times New Roman"/>
                <w:sz w:val="16"/>
                <w:szCs w:val="16"/>
              </w:rPr>
            </w:pPr>
            <w:r w:rsidRPr="0056304C">
              <w:rPr>
                <w:rFonts w:ascii="Times New Roman" w:hAnsi="Times New Roman"/>
                <w:sz w:val="16"/>
                <w:szCs w:val="16"/>
              </w:rPr>
              <w:t>ESF</w:t>
            </w:r>
          </w:p>
        </w:tc>
        <w:tc>
          <w:tcPr>
            <w:tcW w:w="850" w:type="dxa"/>
            <w:shd w:val="clear" w:color="auto" w:fill="auto"/>
          </w:tcPr>
          <w:p w:rsidR="00385835" w:rsidRPr="0056304C" w:rsidRDefault="00385835" w:rsidP="0056304C">
            <w:pPr>
              <w:spacing w:after="0" w:line="240" w:lineRule="auto"/>
              <w:jc w:val="center"/>
              <w:rPr>
                <w:rFonts w:ascii="Times New Roman" w:hAnsi="Times New Roman"/>
                <w:sz w:val="16"/>
                <w:szCs w:val="16"/>
              </w:rPr>
            </w:pPr>
            <w:r w:rsidRPr="0056304C">
              <w:rPr>
                <w:rFonts w:ascii="Times New Roman" w:hAnsi="Times New Roman"/>
                <w:bCs/>
                <w:sz w:val="16"/>
                <w:szCs w:val="16"/>
              </w:rPr>
              <w:t xml:space="preserve">Mažiau </w:t>
            </w:r>
            <w:r w:rsidRPr="0056304C">
              <w:rPr>
                <w:rFonts w:ascii="Times New Roman" w:hAnsi="Times New Roman"/>
                <w:bCs/>
                <w:sz w:val="16"/>
                <w:szCs w:val="16"/>
              </w:rPr>
              <w:lastRenderedPageBreak/>
              <w:t>išsivystęs</w:t>
            </w:r>
          </w:p>
        </w:tc>
        <w:tc>
          <w:tcPr>
            <w:tcW w:w="1134" w:type="dxa"/>
            <w:shd w:val="clear" w:color="auto" w:fill="auto"/>
          </w:tcPr>
          <w:p w:rsidR="00385835" w:rsidRPr="0056304C" w:rsidRDefault="00385835" w:rsidP="0056304C">
            <w:pPr>
              <w:spacing w:after="0" w:line="240" w:lineRule="auto"/>
              <w:jc w:val="center"/>
              <w:rPr>
                <w:rFonts w:ascii="Times New Roman" w:hAnsi="Times New Roman"/>
                <w:sz w:val="16"/>
                <w:szCs w:val="16"/>
              </w:rPr>
            </w:pPr>
            <w:r w:rsidRPr="0056304C">
              <w:rPr>
                <w:rFonts w:ascii="Times New Roman" w:hAnsi="Times New Roman"/>
                <w:sz w:val="16"/>
                <w:szCs w:val="16"/>
              </w:rPr>
              <w:lastRenderedPageBreak/>
              <w:t>11</w:t>
            </w:r>
            <w:r w:rsidR="00A50C23" w:rsidRPr="0056304C">
              <w:rPr>
                <w:rFonts w:ascii="Times New Roman" w:hAnsi="Times New Roman"/>
                <w:sz w:val="16"/>
                <w:szCs w:val="16"/>
              </w:rPr>
              <w:t>.</w:t>
            </w:r>
            <w:r w:rsidRPr="0056304C">
              <w:rPr>
                <w:rFonts w:ascii="Times New Roman" w:hAnsi="Times New Roman"/>
                <w:sz w:val="16"/>
                <w:szCs w:val="16"/>
              </w:rPr>
              <w:t>700</w:t>
            </w:r>
          </w:p>
        </w:tc>
        <w:tc>
          <w:tcPr>
            <w:tcW w:w="1134" w:type="dxa"/>
            <w:shd w:val="clear" w:color="auto" w:fill="auto"/>
          </w:tcPr>
          <w:p w:rsidR="00385835" w:rsidRPr="0056304C" w:rsidRDefault="00385835" w:rsidP="0056304C">
            <w:pPr>
              <w:spacing w:after="0" w:line="240" w:lineRule="auto"/>
              <w:jc w:val="center"/>
              <w:rPr>
                <w:rFonts w:ascii="Times New Roman" w:hAnsi="Times New Roman"/>
                <w:sz w:val="16"/>
                <w:szCs w:val="16"/>
              </w:rPr>
            </w:pPr>
            <w:r w:rsidRPr="0056304C">
              <w:rPr>
                <w:rFonts w:ascii="Times New Roman" w:hAnsi="Times New Roman"/>
                <w:sz w:val="16"/>
                <w:szCs w:val="16"/>
              </w:rPr>
              <w:t>65</w:t>
            </w:r>
            <w:r w:rsidR="00A50C23" w:rsidRPr="0056304C">
              <w:rPr>
                <w:rFonts w:ascii="Times New Roman" w:hAnsi="Times New Roman"/>
                <w:sz w:val="16"/>
                <w:szCs w:val="16"/>
              </w:rPr>
              <w:t>.</w:t>
            </w:r>
            <w:r w:rsidRPr="0056304C">
              <w:rPr>
                <w:rFonts w:ascii="Times New Roman" w:hAnsi="Times New Roman"/>
                <w:sz w:val="16"/>
                <w:szCs w:val="16"/>
              </w:rPr>
              <w:t>000</w:t>
            </w:r>
          </w:p>
        </w:tc>
        <w:tc>
          <w:tcPr>
            <w:tcW w:w="993" w:type="dxa"/>
          </w:tcPr>
          <w:p w:rsidR="00385835" w:rsidRPr="0056304C" w:rsidRDefault="00385835" w:rsidP="0056304C">
            <w:pPr>
              <w:spacing w:after="0" w:line="240" w:lineRule="auto"/>
              <w:jc w:val="center"/>
              <w:rPr>
                <w:rFonts w:ascii="Times New Roman" w:hAnsi="Times New Roman"/>
                <w:sz w:val="16"/>
                <w:szCs w:val="16"/>
              </w:rPr>
            </w:pPr>
            <w:r w:rsidRPr="0056304C">
              <w:rPr>
                <w:rFonts w:ascii="Times New Roman" w:hAnsi="Times New Roman"/>
                <w:sz w:val="16"/>
                <w:szCs w:val="16"/>
              </w:rPr>
              <w:t xml:space="preserve">Duomenys </w:t>
            </w:r>
            <w:r w:rsidRPr="0056304C">
              <w:rPr>
                <w:rFonts w:ascii="Times New Roman" w:hAnsi="Times New Roman"/>
                <w:sz w:val="16"/>
                <w:szCs w:val="16"/>
              </w:rPr>
              <w:lastRenderedPageBreak/>
              <w:t>iš projektų</w:t>
            </w:r>
          </w:p>
        </w:tc>
        <w:tc>
          <w:tcPr>
            <w:tcW w:w="4536" w:type="dxa"/>
            <w:shd w:val="clear" w:color="auto" w:fill="auto"/>
          </w:tcPr>
          <w:p w:rsidR="00385835" w:rsidRPr="0056304C" w:rsidRDefault="00385835" w:rsidP="0056304C">
            <w:pPr>
              <w:spacing w:after="0" w:line="240" w:lineRule="auto"/>
              <w:rPr>
                <w:rFonts w:ascii="Times New Roman" w:hAnsi="Times New Roman"/>
                <w:sz w:val="16"/>
                <w:szCs w:val="16"/>
              </w:rPr>
            </w:pPr>
            <w:r w:rsidRPr="0056304C">
              <w:rPr>
                <w:rFonts w:ascii="Times New Roman" w:hAnsi="Times New Roman"/>
                <w:sz w:val="16"/>
                <w:szCs w:val="16"/>
              </w:rPr>
              <w:lastRenderedPageBreak/>
              <w:t xml:space="preserve">Rodiklis atspindi prioriteto įgyvendinimo eigą, nes jo pasiekimui </w:t>
            </w:r>
            <w:r w:rsidRPr="0056304C">
              <w:rPr>
                <w:rFonts w:ascii="Times New Roman" w:hAnsi="Times New Roman"/>
                <w:sz w:val="16"/>
                <w:szCs w:val="16"/>
              </w:rPr>
              <w:lastRenderedPageBreak/>
              <w:t>skirta 22 proc. šio prioriteto įgyvendinimui skirtų ESF lėšų.</w:t>
            </w:r>
          </w:p>
        </w:tc>
      </w:tr>
    </w:tbl>
    <w:p w:rsidR="00385835" w:rsidRPr="00385835" w:rsidRDefault="00385835" w:rsidP="00385835">
      <w:pPr>
        <w:spacing w:after="0" w:line="240" w:lineRule="auto"/>
        <w:rPr>
          <w:rFonts w:ascii="Times New Roman" w:hAnsi="Times New Roman"/>
          <w:sz w:val="24"/>
          <w:szCs w:val="24"/>
        </w:rPr>
      </w:pPr>
    </w:p>
    <w:p w:rsidR="00385835" w:rsidRPr="00385835" w:rsidRDefault="00385835" w:rsidP="00385835">
      <w:pPr>
        <w:autoSpaceDE w:val="0"/>
        <w:autoSpaceDN w:val="0"/>
        <w:adjustRightInd w:val="0"/>
        <w:spacing w:after="0" w:line="240" w:lineRule="auto"/>
        <w:ind w:firstLine="851"/>
        <w:jc w:val="both"/>
        <w:rPr>
          <w:rFonts w:ascii="Times New Roman" w:hAnsi="Times New Roman"/>
          <w:sz w:val="24"/>
          <w:szCs w:val="24"/>
        </w:rPr>
      </w:pPr>
      <w:r w:rsidRPr="00385835">
        <w:rPr>
          <w:rFonts w:ascii="Times New Roman" w:hAnsi="Times New Roman"/>
          <w:color w:val="000000"/>
          <w:sz w:val="24"/>
          <w:szCs w:val="24"/>
        </w:rPr>
        <w:t>Į veiklos peržiūros planą įtrauktų ERPF rodiklių tarpinės ir galutinės reikšmės nustatytos, įvertinus istorinius ankstesnio programavimo laikotarpio lėšų panaudojimo ir rodiklių pasiekimo duomenis, t.</w:t>
      </w:r>
      <w:r w:rsidR="00DA7585">
        <w:rPr>
          <w:rFonts w:ascii="Times New Roman" w:hAnsi="Times New Roman"/>
          <w:color w:val="000000"/>
          <w:sz w:val="24"/>
          <w:szCs w:val="24"/>
        </w:rPr>
        <w:t xml:space="preserve"> </w:t>
      </w:r>
      <w:r w:rsidRPr="00385835">
        <w:rPr>
          <w:rFonts w:ascii="Times New Roman" w:hAnsi="Times New Roman"/>
          <w:color w:val="000000"/>
          <w:sz w:val="24"/>
          <w:szCs w:val="24"/>
        </w:rPr>
        <w:t xml:space="preserve">y. įgyvendinant panašaus pobūdžio intervencijas per analogišką laikotarpį pasiektas rodiklių reikšmes, tuo pačiu atsižvelgiant į </w:t>
      </w:r>
      <w:r w:rsidR="00D54F90">
        <w:rPr>
          <w:rFonts w:ascii="Times New Roman" w:hAnsi="Times New Roman"/>
          <w:color w:val="000000"/>
          <w:sz w:val="24"/>
          <w:szCs w:val="24"/>
        </w:rPr>
        <w:t>šiame programavimo laikotarpyje</w:t>
      </w:r>
      <w:r w:rsidRPr="00385835">
        <w:rPr>
          <w:rFonts w:ascii="Times New Roman" w:hAnsi="Times New Roman"/>
          <w:color w:val="000000"/>
          <w:sz w:val="24"/>
          <w:szCs w:val="24"/>
        </w:rPr>
        <w:t xml:space="preserve"> numatomas investicijų ir veiklų apimtis. Nustatant tarpines rodiklių reikšmes, taip pat atsižvelgta į sektoriaus pasirengimą panaudoti </w:t>
      </w:r>
      <w:r w:rsidR="000F4AE6">
        <w:rPr>
          <w:rFonts w:ascii="Times New Roman" w:hAnsi="Times New Roman"/>
          <w:color w:val="000000"/>
          <w:sz w:val="24"/>
          <w:szCs w:val="24"/>
        </w:rPr>
        <w:t>ES fondų</w:t>
      </w:r>
      <w:r w:rsidRPr="00385835">
        <w:rPr>
          <w:rFonts w:ascii="Times New Roman" w:hAnsi="Times New Roman"/>
          <w:color w:val="000000"/>
          <w:sz w:val="24"/>
          <w:szCs w:val="24"/>
        </w:rPr>
        <w:t xml:space="preserve"> lėšas – poreikį parengti profesinio mokymo įstaigų optimizavimo tinklo planą bei edukacinių erdvių kūrimo ir (arba) atnaujinimo techninius dokumentus, tai pat kai kurių priemonių įgyvendinimo specifiką, pagal kurią numatoma taikyti ilgiau trunkančią regionų projektų planavimo procedūrą.</w:t>
      </w:r>
    </w:p>
    <w:p w:rsidR="00385835" w:rsidRPr="00385835" w:rsidRDefault="00385835" w:rsidP="002447B3">
      <w:pPr>
        <w:spacing w:after="0" w:line="240" w:lineRule="auto"/>
        <w:ind w:firstLine="851"/>
        <w:jc w:val="both"/>
        <w:rPr>
          <w:rFonts w:ascii="Times New Roman" w:hAnsi="Times New Roman"/>
          <w:sz w:val="24"/>
          <w:szCs w:val="24"/>
        </w:rPr>
      </w:pPr>
      <w:r w:rsidRPr="00385835">
        <w:rPr>
          <w:rFonts w:ascii="Times New Roman" w:hAnsi="Times New Roman"/>
          <w:color w:val="000000"/>
          <w:sz w:val="24"/>
          <w:szCs w:val="24"/>
        </w:rPr>
        <w:t>Į veiklos peržiūros planą įtrauktų ESF rodiklių tarpinės ir galutinės reikšmės nustatytos, įvertinus istorinius ankstesnio programavimo laikotarpio lėšų panaudojimo ir rodiklių pasiekimo duomenis, t.</w:t>
      </w:r>
      <w:r w:rsidR="00DA7585">
        <w:rPr>
          <w:rFonts w:ascii="Times New Roman" w:hAnsi="Times New Roman"/>
          <w:color w:val="000000"/>
          <w:sz w:val="24"/>
          <w:szCs w:val="24"/>
        </w:rPr>
        <w:t xml:space="preserve"> </w:t>
      </w:r>
      <w:r w:rsidRPr="00385835">
        <w:rPr>
          <w:rFonts w:ascii="Times New Roman" w:hAnsi="Times New Roman"/>
          <w:color w:val="000000"/>
          <w:sz w:val="24"/>
          <w:szCs w:val="24"/>
        </w:rPr>
        <w:t xml:space="preserve">y. įgyvendinant panašaus pobūdžio intervencijas per analogišką laikotarpį pasiektas rodiklių reikšmes, tuo pačiu atsižvelgiant į šiame programavimo laikotarpyje numatomas investicijų ir veiklų apimtis. Nustatant tarpines rodiklių reikšmes, taip pat atsižvelgta į sektoriaus pasirengimą panaudoti </w:t>
      </w:r>
      <w:r w:rsidR="000F4AE6">
        <w:rPr>
          <w:rFonts w:ascii="Times New Roman" w:hAnsi="Times New Roman"/>
          <w:color w:val="000000"/>
          <w:sz w:val="24"/>
          <w:szCs w:val="24"/>
        </w:rPr>
        <w:t>ES fondų</w:t>
      </w:r>
      <w:r w:rsidRPr="00385835">
        <w:rPr>
          <w:rFonts w:ascii="Times New Roman" w:hAnsi="Times New Roman"/>
          <w:color w:val="000000"/>
          <w:sz w:val="24"/>
          <w:szCs w:val="24"/>
        </w:rPr>
        <w:t xml:space="preserve"> lėšas – </w:t>
      </w:r>
      <w:r w:rsidRPr="00385835">
        <w:rPr>
          <w:rFonts w:ascii="Times New Roman" w:hAnsi="Times New Roman"/>
          <w:sz w:val="24"/>
          <w:szCs w:val="24"/>
        </w:rPr>
        <w:t xml:space="preserve">priemonių ir tikslinių grupių specifiką, suderinamumą su ERPF intervencijomis, taip pat </w:t>
      </w:r>
      <w:r w:rsidRPr="00385835">
        <w:rPr>
          <w:rFonts w:ascii="Times New Roman" w:hAnsi="Times New Roman"/>
          <w:color w:val="000000"/>
          <w:sz w:val="24"/>
          <w:szCs w:val="24"/>
        </w:rPr>
        <w:t xml:space="preserve">poreikį atlikti žmogiškųjų išteklių prognozavimo darbus, susijusius su kai kurių iniciatyvų naujumu </w:t>
      </w:r>
      <w:r w:rsidRPr="00385835">
        <w:rPr>
          <w:rFonts w:ascii="Times New Roman" w:hAnsi="Times New Roman"/>
          <w:sz w:val="24"/>
          <w:szCs w:val="24"/>
        </w:rPr>
        <w:t>ir pan</w:t>
      </w:r>
      <w:r w:rsidRPr="00385835">
        <w:rPr>
          <w:rFonts w:ascii="Times New Roman" w:hAnsi="Times New Roman"/>
          <w:color w:val="000000"/>
          <w:sz w:val="24"/>
          <w:szCs w:val="24"/>
        </w:rPr>
        <w:t>.</w:t>
      </w:r>
    </w:p>
    <w:p w:rsidR="007F6BC3" w:rsidRDefault="007F6BC3" w:rsidP="00130753">
      <w:pPr>
        <w:widowControl w:val="0"/>
        <w:tabs>
          <w:tab w:val="left" w:pos="622"/>
        </w:tabs>
        <w:spacing w:after="0" w:line="240" w:lineRule="auto"/>
        <w:jc w:val="both"/>
        <w:rPr>
          <w:rFonts w:ascii="Times New Roman" w:eastAsia="AngsanaUPC" w:hAnsi="Times New Roman"/>
          <w:b/>
          <w:bCs/>
          <w:i/>
          <w:iCs/>
          <w:sz w:val="24"/>
          <w:szCs w:val="24"/>
          <w:lang w:eastAsia="lt-LT"/>
        </w:rPr>
        <w:sectPr w:rsidR="007F6BC3" w:rsidSect="00E978F8">
          <w:pgSz w:w="16838" w:h="11906" w:orient="landscape" w:code="9"/>
          <w:pgMar w:top="1701" w:right="1701" w:bottom="567" w:left="1134" w:header="567" w:footer="567" w:gutter="0"/>
          <w:cols w:space="1296"/>
          <w:docGrid w:linePitch="360"/>
        </w:sectPr>
      </w:pPr>
    </w:p>
    <w:p w:rsidR="00130753" w:rsidRPr="002447B3" w:rsidRDefault="00130753" w:rsidP="00130753">
      <w:pPr>
        <w:widowControl w:val="0"/>
        <w:tabs>
          <w:tab w:val="left" w:pos="622"/>
        </w:tabs>
        <w:spacing w:after="0" w:line="240" w:lineRule="auto"/>
        <w:jc w:val="both"/>
        <w:rPr>
          <w:rFonts w:ascii="Times New Roman" w:hAnsi="Times New Roman"/>
          <w:b/>
          <w:bCs/>
          <w:iCs/>
          <w:sz w:val="18"/>
          <w:szCs w:val="18"/>
        </w:rPr>
      </w:pPr>
      <w:r w:rsidRPr="002447B3">
        <w:rPr>
          <w:rFonts w:ascii="Times New Roman" w:eastAsia="AngsanaUPC" w:hAnsi="Times New Roman"/>
          <w:b/>
          <w:bCs/>
          <w:i/>
          <w:iCs/>
          <w:sz w:val="24"/>
          <w:szCs w:val="24"/>
          <w:lang w:eastAsia="lt-LT"/>
        </w:rPr>
        <w:lastRenderedPageBreak/>
        <w:t>Numatomas išlaidų pasiskirstymas pagal kategorijas</w:t>
      </w:r>
    </w:p>
    <w:p w:rsidR="00130753" w:rsidRPr="002447B3" w:rsidRDefault="00130753" w:rsidP="00130753">
      <w:pPr>
        <w:widowControl w:val="0"/>
        <w:tabs>
          <w:tab w:val="left" w:pos="622"/>
        </w:tabs>
        <w:spacing w:after="0" w:line="240" w:lineRule="auto"/>
        <w:jc w:val="both"/>
        <w:rPr>
          <w:rFonts w:ascii="Times New Roman" w:hAnsi="Times New Roman"/>
          <w:b/>
          <w:bCs/>
          <w:iCs/>
          <w:sz w:val="18"/>
          <w:szCs w:val="1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09"/>
        <w:gridCol w:w="6378"/>
        <w:gridCol w:w="1843"/>
      </w:tblGrid>
      <w:tr w:rsidR="00130753" w:rsidRPr="002447B3" w:rsidTr="00BB0960">
        <w:trPr>
          <w:tblHeader/>
        </w:trPr>
        <w:tc>
          <w:tcPr>
            <w:tcW w:w="9781" w:type="dxa"/>
            <w:gridSpan w:val="4"/>
            <w:shd w:val="clear" w:color="auto" w:fill="EEECE1"/>
            <w:vAlign w:val="center"/>
          </w:tcPr>
          <w:p w:rsidR="00130753" w:rsidRPr="002447B3" w:rsidRDefault="00130753" w:rsidP="00BB0960">
            <w:pPr>
              <w:widowControl w:val="0"/>
              <w:tabs>
                <w:tab w:val="left" w:pos="622"/>
              </w:tabs>
              <w:spacing w:after="0" w:line="240" w:lineRule="auto"/>
              <w:jc w:val="both"/>
              <w:rPr>
                <w:rFonts w:ascii="Times New Roman" w:hAnsi="Times New Roman"/>
                <w:b/>
                <w:bCs/>
                <w:i/>
                <w:iCs/>
                <w:sz w:val="18"/>
                <w:szCs w:val="18"/>
              </w:rPr>
            </w:pPr>
            <w:r w:rsidRPr="002447B3">
              <w:rPr>
                <w:rFonts w:ascii="Times New Roman" w:hAnsi="Times New Roman"/>
                <w:b/>
                <w:bCs/>
                <w:i/>
                <w:iCs/>
                <w:sz w:val="18"/>
                <w:szCs w:val="18"/>
              </w:rPr>
              <w:t>Intervencinių veiksmų sritis</w:t>
            </w:r>
          </w:p>
        </w:tc>
      </w:tr>
      <w:tr w:rsidR="00130753" w:rsidRPr="002447B3" w:rsidTr="00386A96">
        <w:tc>
          <w:tcPr>
            <w:tcW w:w="851" w:type="dxa"/>
            <w:shd w:val="clear" w:color="auto" w:fill="EEECE1"/>
            <w:vAlign w:val="center"/>
          </w:tcPr>
          <w:p w:rsidR="00130753" w:rsidRPr="002447B3" w:rsidRDefault="00130753" w:rsidP="00BB0960">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Fondas</w:t>
            </w:r>
          </w:p>
        </w:tc>
        <w:tc>
          <w:tcPr>
            <w:tcW w:w="709" w:type="dxa"/>
            <w:shd w:val="clear" w:color="auto" w:fill="EEECE1"/>
            <w:vAlign w:val="center"/>
          </w:tcPr>
          <w:p w:rsidR="00130753" w:rsidRPr="002447B3" w:rsidRDefault="00130753" w:rsidP="00BB0960">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Kodas</w:t>
            </w:r>
          </w:p>
        </w:tc>
        <w:tc>
          <w:tcPr>
            <w:tcW w:w="6378" w:type="dxa"/>
            <w:shd w:val="clear" w:color="auto" w:fill="EEECE1"/>
            <w:vAlign w:val="center"/>
          </w:tcPr>
          <w:p w:rsidR="00130753" w:rsidRPr="002447B3" w:rsidRDefault="00130753" w:rsidP="00BB0960">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Pavadinimas</w:t>
            </w:r>
          </w:p>
        </w:tc>
        <w:tc>
          <w:tcPr>
            <w:tcW w:w="1843" w:type="dxa"/>
            <w:shd w:val="clear" w:color="auto" w:fill="EEECE1"/>
            <w:vAlign w:val="center"/>
          </w:tcPr>
          <w:p w:rsidR="00130753" w:rsidRPr="002447B3" w:rsidRDefault="00130753" w:rsidP="00BB0960">
            <w:pPr>
              <w:widowControl w:val="0"/>
              <w:tabs>
                <w:tab w:val="left" w:pos="622"/>
              </w:tabs>
              <w:spacing w:after="0" w:line="240" w:lineRule="auto"/>
              <w:jc w:val="center"/>
              <w:rPr>
                <w:rFonts w:ascii="Times New Roman" w:hAnsi="Times New Roman"/>
                <w:b/>
                <w:bCs/>
                <w:iCs/>
                <w:sz w:val="18"/>
                <w:szCs w:val="18"/>
              </w:rPr>
            </w:pPr>
            <w:r w:rsidRPr="002447B3">
              <w:rPr>
                <w:rFonts w:ascii="Times New Roman" w:hAnsi="Times New Roman"/>
                <w:b/>
                <w:bCs/>
                <w:iCs/>
                <w:sz w:val="18"/>
                <w:szCs w:val="18"/>
              </w:rPr>
              <w:t>Finansinė proporcija (eurais)</w:t>
            </w:r>
          </w:p>
        </w:tc>
      </w:tr>
      <w:tr w:rsidR="00130753" w:rsidRPr="00A50C23" w:rsidTr="00386A96">
        <w:tc>
          <w:tcPr>
            <w:tcW w:w="851" w:type="dxa"/>
            <w:shd w:val="clear" w:color="auto" w:fill="auto"/>
            <w:vAlign w:val="center"/>
          </w:tcPr>
          <w:p w:rsidR="00130753" w:rsidRPr="00A50C23" w:rsidRDefault="00130753" w:rsidP="00BB0960">
            <w:pPr>
              <w:widowControl w:val="0"/>
              <w:tabs>
                <w:tab w:val="left" w:pos="622"/>
              </w:tabs>
              <w:spacing w:after="0" w:line="240" w:lineRule="auto"/>
              <w:rPr>
                <w:rFonts w:ascii="Times New Roman" w:eastAsia="AngsanaUPC" w:hAnsi="Times New Roman"/>
                <w:bCs/>
                <w:sz w:val="18"/>
                <w:szCs w:val="18"/>
                <w:lang w:val="en-GB" w:eastAsia="lt-LT"/>
              </w:rPr>
            </w:pPr>
            <w:r w:rsidRPr="00A50C23">
              <w:rPr>
                <w:rFonts w:ascii="Times New Roman" w:eastAsia="AngsanaUPC" w:hAnsi="Times New Roman"/>
                <w:bCs/>
                <w:sz w:val="18"/>
                <w:szCs w:val="18"/>
                <w:lang w:val="en-GB" w:eastAsia="lt-LT"/>
              </w:rPr>
              <w:t>ERPF</w:t>
            </w:r>
          </w:p>
        </w:tc>
        <w:tc>
          <w:tcPr>
            <w:tcW w:w="709" w:type="dxa"/>
            <w:shd w:val="clear" w:color="auto" w:fill="auto"/>
            <w:vAlign w:val="center"/>
          </w:tcPr>
          <w:p w:rsidR="00130753" w:rsidRPr="00A50C23" w:rsidRDefault="00130753" w:rsidP="00BB0960">
            <w:pPr>
              <w:widowControl w:val="0"/>
              <w:tabs>
                <w:tab w:val="left" w:pos="622"/>
              </w:tabs>
              <w:spacing w:after="0" w:line="240" w:lineRule="auto"/>
              <w:rPr>
                <w:rFonts w:ascii="Times New Roman" w:eastAsia="AngsanaUPC" w:hAnsi="Times New Roman"/>
                <w:bCs/>
                <w:sz w:val="18"/>
                <w:szCs w:val="18"/>
                <w:lang w:val="en-GB" w:eastAsia="lt-LT"/>
              </w:rPr>
            </w:pPr>
            <w:r w:rsidRPr="00A50C23">
              <w:rPr>
                <w:rFonts w:ascii="Times New Roman" w:eastAsia="AngsanaUPC" w:hAnsi="Times New Roman"/>
                <w:bCs/>
                <w:sz w:val="18"/>
                <w:szCs w:val="18"/>
                <w:lang w:val="en-GB" w:eastAsia="lt-LT"/>
              </w:rPr>
              <w:t>49</w:t>
            </w:r>
          </w:p>
        </w:tc>
        <w:tc>
          <w:tcPr>
            <w:tcW w:w="6378" w:type="dxa"/>
            <w:shd w:val="clear" w:color="auto" w:fill="auto"/>
            <w:vAlign w:val="center"/>
          </w:tcPr>
          <w:p w:rsidR="00130753" w:rsidRPr="00A50C23" w:rsidRDefault="00130753" w:rsidP="00BB0960">
            <w:pPr>
              <w:widowControl w:val="0"/>
              <w:tabs>
                <w:tab w:val="left" w:pos="622"/>
              </w:tabs>
              <w:spacing w:after="0" w:line="240" w:lineRule="auto"/>
              <w:rPr>
                <w:rFonts w:ascii="Times New Roman" w:eastAsia="AngsanaUPC" w:hAnsi="Times New Roman"/>
                <w:bCs/>
                <w:sz w:val="18"/>
                <w:szCs w:val="18"/>
                <w:lang w:eastAsia="lt-LT"/>
              </w:rPr>
            </w:pPr>
            <w:r w:rsidRPr="00A50C23">
              <w:rPr>
                <w:rFonts w:ascii="Times New Roman" w:eastAsia="AngsanaUPC" w:hAnsi="Times New Roman"/>
                <w:bCs/>
                <w:sz w:val="18"/>
                <w:szCs w:val="18"/>
                <w:lang w:eastAsia="lt-LT"/>
              </w:rPr>
              <w:t>Tretiniam išsilavinimui skirta švietimo infrastruktūra</w:t>
            </w:r>
          </w:p>
        </w:tc>
        <w:tc>
          <w:tcPr>
            <w:tcW w:w="1843" w:type="dxa"/>
            <w:shd w:val="clear" w:color="auto" w:fill="auto"/>
            <w:vAlign w:val="center"/>
          </w:tcPr>
          <w:p w:rsidR="00130753" w:rsidRPr="00FC6264" w:rsidRDefault="00DA7585" w:rsidP="00772596">
            <w:pPr>
              <w:widowControl w:val="0"/>
              <w:tabs>
                <w:tab w:val="left" w:pos="622"/>
              </w:tabs>
              <w:spacing w:after="0" w:line="240" w:lineRule="auto"/>
              <w:jc w:val="right"/>
              <w:rPr>
                <w:rFonts w:ascii="Times New Roman" w:eastAsia="AngsanaUPC" w:hAnsi="Times New Roman"/>
                <w:bCs/>
                <w:sz w:val="18"/>
                <w:szCs w:val="18"/>
                <w:lang w:val="en-GB" w:eastAsia="lt-LT"/>
              </w:rPr>
            </w:pPr>
            <w:r w:rsidRPr="00FC6264">
              <w:rPr>
                <w:rFonts w:ascii="Times New Roman" w:eastAsia="AngsanaUPC" w:hAnsi="Times New Roman"/>
                <w:bCs/>
                <w:sz w:val="18"/>
                <w:szCs w:val="18"/>
                <w:lang w:val="en-GB" w:eastAsia="lt-LT"/>
              </w:rPr>
              <w:t>57</w:t>
            </w:r>
            <w:r w:rsidR="00A50C23" w:rsidRPr="00FC6264">
              <w:rPr>
                <w:rFonts w:ascii="Times New Roman" w:eastAsia="AngsanaUPC" w:hAnsi="Times New Roman"/>
                <w:bCs/>
                <w:sz w:val="18"/>
                <w:szCs w:val="18"/>
                <w:lang w:val="en-GB" w:eastAsia="lt-LT"/>
              </w:rPr>
              <w:t>.</w:t>
            </w:r>
            <w:r w:rsidR="00130753" w:rsidRPr="00FC6264">
              <w:rPr>
                <w:rFonts w:ascii="Times New Roman" w:eastAsia="AngsanaUPC" w:hAnsi="Times New Roman"/>
                <w:bCs/>
                <w:sz w:val="18"/>
                <w:szCs w:val="18"/>
                <w:lang w:val="en-GB" w:eastAsia="lt-LT"/>
              </w:rPr>
              <w:t>648</w:t>
            </w:r>
            <w:r w:rsidR="00A50C23" w:rsidRPr="00FC6264">
              <w:rPr>
                <w:rFonts w:ascii="Times New Roman" w:eastAsia="AngsanaUPC" w:hAnsi="Times New Roman"/>
                <w:bCs/>
                <w:sz w:val="18"/>
                <w:szCs w:val="18"/>
                <w:lang w:val="en-GB" w:eastAsia="lt-LT"/>
              </w:rPr>
              <w:t>.</w:t>
            </w:r>
            <w:r w:rsidR="00130753" w:rsidRPr="00FC6264">
              <w:rPr>
                <w:rFonts w:ascii="Times New Roman" w:eastAsia="AngsanaUPC" w:hAnsi="Times New Roman"/>
                <w:bCs/>
                <w:sz w:val="18"/>
                <w:szCs w:val="18"/>
                <w:lang w:val="en-GB" w:eastAsia="lt-LT"/>
              </w:rPr>
              <w:t xml:space="preserve">592 </w:t>
            </w:r>
          </w:p>
        </w:tc>
      </w:tr>
      <w:tr w:rsidR="00130753" w:rsidRPr="00A50C23" w:rsidTr="00386A96">
        <w:tc>
          <w:tcPr>
            <w:tcW w:w="851" w:type="dxa"/>
            <w:shd w:val="clear" w:color="auto" w:fill="auto"/>
            <w:vAlign w:val="center"/>
          </w:tcPr>
          <w:p w:rsidR="00130753" w:rsidRPr="00A50C23" w:rsidRDefault="00130753" w:rsidP="00BB0960">
            <w:pPr>
              <w:widowControl w:val="0"/>
              <w:tabs>
                <w:tab w:val="left" w:pos="622"/>
              </w:tabs>
              <w:spacing w:after="0" w:line="240" w:lineRule="auto"/>
              <w:rPr>
                <w:rFonts w:ascii="Times New Roman" w:eastAsia="AngsanaUPC" w:hAnsi="Times New Roman"/>
                <w:bCs/>
                <w:sz w:val="18"/>
                <w:szCs w:val="18"/>
                <w:lang w:val="en-GB" w:eastAsia="lt-LT"/>
              </w:rPr>
            </w:pPr>
            <w:r w:rsidRPr="00A50C23">
              <w:rPr>
                <w:rFonts w:ascii="Times New Roman" w:eastAsia="AngsanaUPC" w:hAnsi="Times New Roman"/>
                <w:bCs/>
                <w:sz w:val="18"/>
                <w:szCs w:val="18"/>
                <w:lang w:val="en-GB" w:eastAsia="lt-LT"/>
              </w:rPr>
              <w:t>ERPF</w:t>
            </w:r>
          </w:p>
        </w:tc>
        <w:tc>
          <w:tcPr>
            <w:tcW w:w="709" w:type="dxa"/>
            <w:shd w:val="clear" w:color="auto" w:fill="auto"/>
            <w:vAlign w:val="center"/>
          </w:tcPr>
          <w:p w:rsidR="00130753" w:rsidRPr="00A50C23" w:rsidRDefault="00130753" w:rsidP="00BB0960">
            <w:pPr>
              <w:widowControl w:val="0"/>
              <w:tabs>
                <w:tab w:val="left" w:pos="622"/>
              </w:tabs>
              <w:spacing w:after="0" w:line="240" w:lineRule="auto"/>
              <w:rPr>
                <w:rFonts w:ascii="Times New Roman" w:eastAsia="AngsanaUPC" w:hAnsi="Times New Roman"/>
                <w:bCs/>
                <w:sz w:val="18"/>
                <w:szCs w:val="18"/>
                <w:lang w:val="en-GB" w:eastAsia="lt-LT"/>
              </w:rPr>
            </w:pPr>
            <w:r w:rsidRPr="00A50C23">
              <w:rPr>
                <w:rFonts w:ascii="Times New Roman" w:eastAsia="AngsanaUPC" w:hAnsi="Times New Roman"/>
                <w:bCs/>
                <w:sz w:val="18"/>
                <w:szCs w:val="18"/>
                <w:lang w:val="en-GB" w:eastAsia="lt-LT"/>
              </w:rPr>
              <w:t>50</w:t>
            </w:r>
          </w:p>
        </w:tc>
        <w:tc>
          <w:tcPr>
            <w:tcW w:w="6378" w:type="dxa"/>
            <w:shd w:val="clear" w:color="auto" w:fill="auto"/>
            <w:vAlign w:val="center"/>
          </w:tcPr>
          <w:p w:rsidR="00130753" w:rsidRPr="00A50C23" w:rsidRDefault="00130753" w:rsidP="00130753">
            <w:pPr>
              <w:widowControl w:val="0"/>
              <w:tabs>
                <w:tab w:val="left" w:pos="622"/>
              </w:tabs>
              <w:spacing w:after="0" w:line="240" w:lineRule="auto"/>
              <w:rPr>
                <w:rFonts w:ascii="Times New Roman" w:eastAsia="AngsanaUPC" w:hAnsi="Times New Roman"/>
                <w:bCs/>
                <w:sz w:val="18"/>
                <w:szCs w:val="18"/>
                <w:lang w:eastAsia="lt-LT"/>
              </w:rPr>
            </w:pPr>
            <w:r w:rsidRPr="00A50C23">
              <w:rPr>
                <w:rFonts w:ascii="Times New Roman" w:eastAsia="AngsanaUPC" w:hAnsi="Times New Roman"/>
                <w:bCs/>
                <w:sz w:val="18"/>
                <w:szCs w:val="18"/>
                <w:lang w:eastAsia="lt-LT"/>
              </w:rPr>
              <w:t>Profesiniam rengimui bei mokymui ir suaugusiųjų mokymuisi skirta švietimo infrastruktūra</w:t>
            </w:r>
          </w:p>
        </w:tc>
        <w:tc>
          <w:tcPr>
            <w:tcW w:w="1843" w:type="dxa"/>
            <w:shd w:val="clear" w:color="auto" w:fill="auto"/>
            <w:vAlign w:val="center"/>
          </w:tcPr>
          <w:p w:rsidR="00130753" w:rsidRPr="00FC6264" w:rsidRDefault="00DA7585" w:rsidP="00DA7585">
            <w:pPr>
              <w:widowControl w:val="0"/>
              <w:tabs>
                <w:tab w:val="left" w:pos="622"/>
              </w:tabs>
              <w:spacing w:after="0" w:line="240" w:lineRule="auto"/>
              <w:jc w:val="right"/>
              <w:rPr>
                <w:rFonts w:ascii="Times New Roman" w:eastAsia="AngsanaUPC" w:hAnsi="Times New Roman"/>
                <w:bCs/>
                <w:sz w:val="18"/>
                <w:szCs w:val="18"/>
                <w:lang w:val="en-GB" w:eastAsia="lt-LT"/>
              </w:rPr>
            </w:pPr>
            <w:r w:rsidRPr="00FC6264">
              <w:rPr>
                <w:rFonts w:ascii="Times New Roman" w:eastAsia="AngsanaUPC" w:hAnsi="Times New Roman"/>
                <w:bCs/>
                <w:sz w:val="18"/>
                <w:szCs w:val="18"/>
                <w:lang w:val="en-GB" w:eastAsia="lt-LT"/>
              </w:rPr>
              <w:t>41</w:t>
            </w:r>
            <w:r w:rsidR="00A50C23"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734</w:t>
            </w:r>
            <w:r w:rsidR="00A50C23" w:rsidRPr="00FC6264">
              <w:rPr>
                <w:rFonts w:ascii="Times New Roman" w:eastAsia="AngsanaUPC" w:hAnsi="Times New Roman"/>
                <w:bCs/>
                <w:sz w:val="18"/>
                <w:szCs w:val="18"/>
                <w:lang w:val="en-GB" w:eastAsia="lt-LT"/>
              </w:rPr>
              <w:t>.</w:t>
            </w:r>
            <w:r w:rsidR="00130753" w:rsidRPr="00FC6264">
              <w:rPr>
                <w:rFonts w:ascii="Times New Roman" w:eastAsia="AngsanaUPC" w:hAnsi="Times New Roman"/>
                <w:bCs/>
                <w:sz w:val="18"/>
                <w:szCs w:val="18"/>
                <w:lang w:val="en-GB" w:eastAsia="lt-LT"/>
              </w:rPr>
              <w:t>470</w:t>
            </w:r>
          </w:p>
        </w:tc>
      </w:tr>
      <w:tr w:rsidR="00130753" w:rsidRPr="00A50C23" w:rsidTr="00386A96">
        <w:tc>
          <w:tcPr>
            <w:tcW w:w="851" w:type="dxa"/>
            <w:shd w:val="clear" w:color="auto" w:fill="auto"/>
            <w:vAlign w:val="center"/>
          </w:tcPr>
          <w:p w:rsidR="00130753" w:rsidRPr="00A50C23" w:rsidRDefault="00130753" w:rsidP="00BB0960">
            <w:pPr>
              <w:widowControl w:val="0"/>
              <w:tabs>
                <w:tab w:val="left" w:pos="622"/>
              </w:tabs>
              <w:spacing w:after="0" w:line="240" w:lineRule="auto"/>
              <w:rPr>
                <w:rFonts w:ascii="Times New Roman" w:eastAsia="AngsanaUPC" w:hAnsi="Times New Roman"/>
                <w:bCs/>
                <w:sz w:val="18"/>
                <w:szCs w:val="18"/>
                <w:lang w:val="en-GB" w:eastAsia="lt-LT"/>
              </w:rPr>
            </w:pPr>
            <w:r w:rsidRPr="00A50C23">
              <w:rPr>
                <w:rFonts w:ascii="Times New Roman" w:eastAsia="AngsanaUPC" w:hAnsi="Times New Roman"/>
                <w:bCs/>
                <w:sz w:val="18"/>
                <w:szCs w:val="18"/>
                <w:lang w:val="en-GB" w:eastAsia="lt-LT"/>
              </w:rPr>
              <w:t>ERPF</w:t>
            </w:r>
          </w:p>
        </w:tc>
        <w:tc>
          <w:tcPr>
            <w:tcW w:w="709" w:type="dxa"/>
            <w:shd w:val="clear" w:color="auto" w:fill="auto"/>
            <w:vAlign w:val="center"/>
          </w:tcPr>
          <w:p w:rsidR="00130753" w:rsidRPr="00A50C23" w:rsidRDefault="00130753" w:rsidP="00BB0960">
            <w:pPr>
              <w:widowControl w:val="0"/>
              <w:tabs>
                <w:tab w:val="left" w:pos="622"/>
              </w:tabs>
              <w:spacing w:after="0" w:line="240" w:lineRule="auto"/>
              <w:rPr>
                <w:rFonts w:ascii="Times New Roman" w:eastAsia="AngsanaUPC" w:hAnsi="Times New Roman"/>
                <w:bCs/>
                <w:sz w:val="18"/>
                <w:szCs w:val="18"/>
                <w:lang w:val="en-GB" w:eastAsia="lt-LT"/>
              </w:rPr>
            </w:pPr>
            <w:r w:rsidRPr="00A50C23">
              <w:rPr>
                <w:rFonts w:ascii="Times New Roman" w:eastAsia="AngsanaUPC" w:hAnsi="Times New Roman"/>
                <w:bCs/>
                <w:sz w:val="18"/>
                <w:szCs w:val="18"/>
                <w:lang w:val="en-GB" w:eastAsia="lt-LT"/>
              </w:rPr>
              <w:t>51</w:t>
            </w:r>
          </w:p>
        </w:tc>
        <w:tc>
          <w:tcPr>
            <w:tcW w:w="6378" w:type="dxa"/>
            <w:shd w:val="clear" w:color="auto" w:fill="auto"/>
            <w:vAlign w:val="center"/>
          </w:tcPr>
          <w:p w:rsidR="00130753" w:rsidRPr="00A50C23" w:rsidRDefault="00130753" w:rsidP="00130753">
            <w:pPr>
              <w:widowControl w:val="0"/>
              <w:tabs>
                <w:tab w:val="left" w:pos="622"/>
              </w:tabs>
              <w:spacing w:after="0" w:line="240" w:lineRule="auto"/>
              <w:rPr>
                <w:rFonts w:ascii="Times New Roman" w:eastAsia="AngsanaUPC" w:hAnsi="Times New Roman"/>
                <w:bCs/>
                <w:sz w:val="18"/>
                <w:szCs w:val="18"/>
                <w:lang w:eastAsia="lt-LT"/>
              </w:rPr>
            </w:pPr>
            <w:r w:rsidRPr="00A50C23">
              <w:rPr>
                <w:rFonts w:ascii="Times New Roman" w:eastAsia="AngsanaUPC" w:hAnsi="Times New Roman"/>
                <w:bCs/>
                <w:sz w:val="18"/>
                <w:szCs w:val="18"/>
                <w:lang w:eastAsia="lt-LT"/>
              </w:rPr>
              <w:t>Mokykliniam ugdymui (pradiniam ir bendrajam viduriniam išsilavinimui) skirta švietimo infrastruktūra</w:t>
            </w:r>
          </w:p>
        </w:tc>
        <w:tc>
          <w:tcPr>
            <w:tcW w:w="1843" w:type="dxa"/>
            <w:shd w:val="clear" w:color="auto" w:fill="auto"/>
            <w:vAlign w:val="center"/>
          </w:tcPr>
          <w:p w:rsidR="00130753" w:rsidRPr="00FC6264" w:rsidRDefault="00D47A28" w:rsidP="00772596">
            <w:pPr>
              <w:widowControl w:val="0"/>
              <w:tabs>
                <w:tab w:val="left" w:pos="622"/>
              </w:tabs>
              <w:spacing w:after="0" w:line="240" w:lineRule="auto"/>
              <w:jc w:val="right"/>
              <w:rPr>
                <w:rFonts w:ascii="Times New Roman" w:eastAsia="AngsanaUPC" w:hAnsi="Times New Roman"/>
                <w:bCs/>
                <w:sz w:val="18"/>
                <w:szCs w:val="18"/>
                <w:lang w:val="en-GB" w:eastAsia="lt-LT"/>
              </w:rPr>
            </w:pPr>
            <w:r w:rsidRPr="00FC6264">
              <w:rPr>
                <w:rFonts w:ascii="Times New Roman" w:eastAsia="AngsanaUPC" w:hAnsi="Times New Roman"/>
                <w:bCs/>
                <w:sz w:val="18"/>
                <w:szCs w:val="18"/>
                <w:lang w:val="en-GB" w:eastAsia="lt-LT"/>
              </w:rPr>
              <w:t>90</w:t>
            </w:r>
            <w:r w:rsidR="00A50C23"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535</w:t>
            </w:r>
            <w:r w:rsidR="00A50C23" w:rsidRPr="00FC6264">
              <w:rPr>
                <w:rFonts w:ascii="Times New Roman" w:eastAsia="AngsanaUPC" w:hAnsi="Times New Roman"/>
                <w:bCs/>
                <w:sz w:val="18"/>
                <w:szCs w:val="18"/>
                <w:lang w:val="en-GB" w:eastAsia="lt-LT"/>
              </w:rPr>
              <w:t>.</w:t>
            </w:r>
            <w:r w:rsidR="00130753" w:rsidRPr="00FC6264">
              <w:rPr>
                <w:rFonts w:ascii="Times New Roman" w:eastAsia="AngsanaUPC" w:hAnsi="Times New Roman"/>
                <w:bCs/>
                <w:sz w:val="18"/>
                <w:szCs w:val="18"/>
                <w:lang w:val="en-GB" w:eastAsia="lt-LT"/>
              </w:rPr>
              <w:t>821</w:t>
            </w:r>
          </w:p>
        </w:tc>
      </w:tr>
      <w:tr w:rsidR="00130753" w:rsidRPr="00A50C23" w:rsidTr="00386A96">
        <w:tc>
          <w:tcPr>
            <w:tcW w:w="851" w:type="dxa"/>
            <w:shd w:val="clear" w:color="auto" w:fill="auto"/>
            <w:vAlign w:val="center"/>
          </w:tcPr>
          <w:p w:rsidR="00130753" w:rsidRPr="00A50C23" w:rsidRDefault="00130753" w:rsidP="00BB0960">
            <w:pPr>
              <w:widowControl w:val="0"/>
              <w:tabs>
                <w:tab w:val="left" w:pos="622"/>
              </w:tabs>
              <w:spacing w:after="0" w:line="240" w:lineRule="auto"/>
              <w:rPr>
                <w:rFonts w:ascii="Times New Roman" w:eastAsia="AngsanaUPC" w:hAnsi="Times New Roman"/>
                <w:bCs/>
                <w:sz w:val="18"/>
                <w:szCs w:val="18"/>
                <w:lang w:val="en-GB" w:eastAsia="lt-LT"/>
              </w:rPr>
            </w:pPr>
            <w:r w:rsidRPr="00A50C23">
              <w:rPr>
                <w:rFonts w:ascii="Times New Roman" w:eastAsia="AngsanaUPC" w:hAnsi="Times New Roman"/>
                <w:bCs/>
                <w:sz w:val="18"/>
                <w:szCs w:val="18"/>
                <w:lang w:val="en-GB" w:eastAsia="lt-LT"/>
              </w:rPr>
              <w:t>ERPF</w:t>
            </w:r>
          </w:p>
        </w:tc>
        <w:tc>
          <w:tcPr>
            <w:tcW w:w="709" w:type="dxa"/>
            <w:shd w:val="clear" w:color="auto" w:fill="auto"/>
            <w:vAlign w:val="center"/>
          </w:tcPr>
          <w:p w:rsidR="00130753" w:rsidRPr="00A50C23" w:rsidRDefault="00130753" w:rsidP="00BB0960">
            <w:pPr>
              <w:widowControl w:val="0"/>
              <w:tabs>
                <w:tab w:val="left" w:pos="622"/>
              </w:tabs>
              <w:spacing w:after="0" w:line="240" w:lineRule="auto"/>
              <w:rPr>
                <w:rFonts w:ascii="Times New Roman" w:eastAsia="AngsanaUPC" w:hAnsi="Times New Roman"/>
                <w:bCs/>
                <w:sz w:val="18"/>
                <w:szCs w:val="18"/>
                <w:lang w:val="en-GB" w:eastAsia="lt-LT"/>
              </w:rPr>
            </w:pPr>
            <w:r w:rsidRPr="00A50C23">
              <w:rPr>
                <w:rFonts w:ascii="Times New Roman" w:eastAsia="AngsanaUPC" w:hAnsi="Times New Roman"/>
                <w:bCs/>
                <w:sz w:val="18"/>
                <w:szCs w:val="18"/>
                <w:lang w:val="en-GB" w:eastAsia="lt-LT"/>
              </w:rPr>
              <w:t>52</w:t>
            </w:r>
          </w:p>
        </w:tc>
        <w:tc>
          <w:tcPr>
            <w:tcW w:w="6378" w:type="dxa"/>
            <w:shd w:val="clear" w:color="auto" w:fill="auto"/>
            <w:vAlign w:val="center"/>
          </w:tcPr>
          <w:p w:rsidR="00130753" w:rsidRPr="00A50C23" w:rsidRDefault="00130753" w:rsidP="00BB0960">
            <w:pPr>
              <w:widowControl w:val="0"/>
              <w:tabs>
                <w:tab w:val="left" w:pos="622"/>
              </w:tabs>
              <w:spacing w:after="0" w:line="240" w:lineRule="auto"/>
              <w:rPr>
                <w:rFonts w:ascii="Times New Roman" w:eastAsia="AngsanaUPC" w:hAnsi="Times New Roman"/>
                <w:bCs/>
                <w:sz w:val="18"/>
                <w:szCs w:val="18"/>
                <w:lang w:eastAsia="lt-LT"/>
              </w:rPr>
            </w:pPr>
            <w:r w:rsidRPr="00A50C23">
              <w:rPr>
                <w:rFonts w:ascii="Times New Roman" w:eastAsia="AngsanaUPC" w:hAnsi="Times New Roman"/>
                <w:bCs/>
                <w:sz w:val="18"/>
                <w:szCs w:val="18"/>
                <w:lang w:eastAsia="lt-LT"/>
              </w:rPr>
              <w:t>Ikimokyklinio ugdymo ir priežiūros infrastruktūra</w:t>
            </w:r>
          </w:p>
        </w:tc>
        <w:tc>
          <w:tcPr>
            <w:tcW w:w="1843" w:type="dxa"/>
            <w:shd w:val="clear" w:color="auto" w:fill="auto"/>
            <w:vAlign w:val="center"/>
          </w:tcPr>
          <w:p w:rsidR="00130753" w:rsidRPr="00FC6264" w:rsidRDefault="00130753" w:rsidP="00772596">
            <w:pPr>
              <w:widowControl w:val="0"/>
              <w:tabs>
                <w:tab w:val="left" w:pos="622"/>
              </w:tabs>
              <w:spacing w:after="0" w:line="240" w:lineRule="auto"/>
              <w:jc w:val="right"/>
              <w:rPr>
                <w:rFonts w:ascii="Times New Roman" w:eastAsia="AngsanaUPC" w:hAnsi="Times New Roman"/>
                <w:bCs/>
                <w:sz w:val="18"/>
                <w:szCs w:val="18"/>
                <w:lang w:val="en-GB" w:eastAsia="lt-LT"/>
              </w:rPr>
            </w:pPr>
            <w:r w:rsidRPr="00FC6264">
              <w:rPr>
                <w:rFonts w:ascii="Times New Roman" w:eastAsia="AngsanaUPC" w:hAnsi="Times New Roman"/>
                <w:bCs/>
                <w:sz w:val="18"/>
                <w:szCs w:val="18"/>
                <w:lang w:val="en-GB" w:eastAsia="lt-LT"/>
              </w:rPr>
              <w:t>18</w:t>
            </w:r>
            <w:r w:rsidR="00A50C23"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629</w:t>
            </w:r>
            <w:r w:rsidR="00A50C23"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612</w:t>
            </w:r>
          </w:p>
        </w:tc>
      </w:tr>
      <w:tr w:rsidR="00130753" w:rsidRPr="00A50C23" w:rsidTr="00386A96">
        <w:tc>
          <w:tcPr>
            <w:tcW w:w="851" w:type="dxa"/>
            <w:shd w:val="clear" w:color="auto" w:fill="auto"/>
            <w:vAlign w:val="center"/>
          </w:tcPr>
          <w:p w:rsidR="00130753" w:rsidRPr="00A50C23" w:rsidRDefault="00130753" w:rsidP="00BB0960">
            <w:pPr>
              <w:widowControl w:val="0"/>
              <w:tabs>
                <w:tab w:val="left" w:pos="622"/>
              </w:tabs>
              <w:spacing w:after="0" w:line="240" w:lineRule="auto"/>
              <w:rPr>
                <w:rFonts w:ascii="Times New Roman" w:eastAsia="AngsanaUPC" w:hAnsi="Times New Roman"/>
                <w:bCs/>
                <w:sz w:val="18"/>
                <w:szCs w:val="18"/>
                <w:lang w:val="en-GB" w:eastAsia="lt-LT"/>
              </w:rPr>
            </w:pPr>
            <w:r w:rsidRPr="00A50C23">
              <w:rPr>
                <w:rFonts w:ascii="Times New Roman" w:eastAsia="AngsanaUPC" w:hAnsi="Times New Roman"/>
                <w:bCs/>
                <w:sz w:val="18"/>
                <w:szCs w:val="18"/>
                <w:lang w:val="en-GB" w:eastAsia="lt-LT"/>
              </w:rPr>
              <w:t>ESF</w:t>
            </w:r>
          </w:p>
        </w:tc>
        <w:tc>
          <w:tcPr>
            <w:tcW w:w="709" w:type="dxa"/>
            <w:shd w:val="clear" w:color="auto" w:fill="auto"/>
            <w:vAlign w:val="center"/>
          </w:tcPr>
          <w:p w:rsidR="00130753" w:rsidRPr="00A50C23" w:rsidRDefault="00130753" w:rsidP="00BB0960">
            <w:pPr>
              <w:widowControl w:val="0"/>
              <w:tabs>
                <w:tab w:val="left" w:pos="622"/>
              </w:tabs>
              <w:spacing w:after="0" w:line="240" w:lineRule="auto"/>
              <w:rPr>
                <w:rFonts w:ascii="Times New Roman" w:eastAsia="AngsanaUPC" w:hAnsi="Times New Roman"/>
                <w:bCs/>
                <w:sz w:val="18"/>
                <w:szCs w:val="18"/>
                <w:lang w:val="en-GB" w:eastAsia="lt-LT"/>
              </w:rPr>
            </w:pPr>
            <w:r w:rsidRPr="00A50C23">
              <w:rPr>
                <w:rFonts w:ascii="Times New Roman" w:eastAsia="AngsanaUPC" w:hAnsi="Times New Roman"/>
                <w:bCs/>
                <w:sz w:val="18"/>
                <w:szCs w:val="18"/>
                <w:lang w:val="en-GB" w:eastAsia="lt-LT"/>
              </w:rPr>
              <w:t>115</w:t>
            </w:r>
          </w:p>
        </w:tc>
        <w:tc>
          <w:tcPr>
            <w:tcW w:w="6378" w:type="dxa"/>
            <w:shd w:val="clear" w:color="auto" w:fill="auto"/>
            <w:vAlign w:val="center"/>
          </w:tcPr>
          <w:p w:rsidR="00130753" w:rsidRPr="00A50C23" w:rsidRDefault="00130753" w:rsidP="00130753">
            <w:pPr>
              <w:widowControl w:val="0"/>
              <w:tabs>
                <w:tab w:val="left" w:pos="622"/>
              </w:tabs>
              <w:spacing w:after="0" w:line="240" w:lineRule="auto"/>
              <w:rPr>
                <w:rFonts w:ascii="Times New Roman" w:eastAsia="AngsanaUPC" w:hAnsi="Times New Roman"/>
                <w:bCs/>
                <w:sz w:val="18"/>
                <w:szCs w:val="18"/>
                <w:lang w:eastAsia="lt-LT"/>
              </w:rPr>
            </w:pPr>
            <w:r w:rsidRPr="00A50C23">
              <w:rPr>
                <w:rFonts w:ascii="Times New Roman" w:eastAsia="AngsanaUPC" w:hAnsi="Times New Roman"/>
                <w:bCs/>
                <w:sz w:val="18"/>
                <w:szCs w:val="18"/>
                <w:lang w:eastAsia="lt-LT"/>
              </w:rPr>
              <w:t>Mokyklos nebaigiančių asmenų skaičiaus mažinimas ir mokyklos nebaigimo prevencija, taip pat lygių galimybių gauti kokybišką ikimokyklinį, pradinį ir vidurinį išsilavinimą, įskaitant grįžimui į švietimo ir mokymo procesą skirtus mokymosi būdus (formalųjį, neformalųjį mokymąsi ir savišvietą), užtikrinimas</w:t>
            </w:r>
          </w:p>
        </w:tc>
        <w:tc>
          <w:tcPr>
            <w:tcW w:w="1843" w:type="dxa"/>
            <w:shd w:val="clear" w:color="auto" w:fill="auto"/>
            <w:vAlign w:val="center"/>
          </w:tcPr>
          <w:p w:rsidR="00130753" w:rsidRPr="00FC6264" w:rsidRDefault="00D47A28" w:rsidP="009812CA">
            <w:pPr>
              <w:widowControl w:val="0"/>
              <w:tabs>
                <w:tab w:val="left" w:pos="622"/>
              </w:tabs>
              <w:spacing w:after="0" w:line="240" w:lineRule="auto"/>
              <w:jc w:val="right"/>
              <w:rPr>
                <w:rFonts w:ascii="Times New Roman" w:eastAsia="AngsanaUPC" w:hAnsi="Times New Roman"/>
                <w:bCs/>
                <w:sz w:val="18"/>
                <w:szCs w:val="18"/>
                <w:lang w:val="en-GB" w:eastAsia="lt-LT"/>
              </w:rPr>
            </w:pPr>
            <w:r w:rsidRPr="00FC6264">
              <w:rPr>
                <w:rFonts w:ascii="Times New Roman" w:eastAsia="AngsanaUPC" w:hAnsi="Times New Roman"/>
                <w:bCs/>
                <w:sz w:val="18"/>
                <w:szCs w:val="18"/>
                <w:lang w:eastAsia="lt-LT"/>
              </w:rPr>
              <w:t>1</w:t>
            </w:r>
            <w:r w:rsidR="009812CA" w:rsidRPr="00FC6264">
              <w:rPr>
                <w:rFonts w:ascii="Times New Roman" w:eastAsia="AngsanaUPC" w:hAnsi="Times New Roman"/>
                <w:bCs/>
                <w:sz w:val="18"/>
                <w:szCs w:val="18"/>
                <w:lang w:eastAsia="lt-LT"/>
              </w:rPr>
              <w:t>16</w:t>
            </w:r>
            <w:r w:rsidR="00A50C23" w:rsidRPr="00FC6264">
              <w:rPr>
                <w:rFonts w:ascii="Times New Roman" w:eastAsia="AngsanaUPC" w:hAnsi="Times New Roman"/>
                <w:bCs/>
                <w:sz w:val="18"/>
                <w:szCs w:val="18"/>
                <w:lang w:eastAsia="lt-LT"/>
              </w:rPr>
              <w:t>.</w:t>
            </w:r>
            <w:r w:rsidRPr="00FC6264">
              <w:rPr>
                <w:rFonts w:ascii="Times New Roman" w:eastAsia="AngsanaUPC" w:hAnsi="Times New Roman"/>
                <w:bCs/>
                <w:sz w:val="18"/>
                <w:szCs w:val="18"/>
                <w:lang w:eastAsia="lt-LT"/>
              </w:rPr>
              <w:t>864</w:t>
            </w:r>
            <w:r w:rsidR="00A50C23" w:rsidRPr="00FC6264">
              <w:rPr>
                <w:rFonts w:ascii="Times New Roman" w:eastAsia="AngsanaUPC" w:hAnsi="Times New Roman"/>
                <w:bCs/>
                <w:sz w:val="18"/>
                <w:szCs w:val="18"/>
                <w:lang w:eastAsia="lt-LT"/>
              </w:rPr>
              <w:t>.</w:t>
            </w:r>
            <w:r w:rsidR="00772596" w:rsidRPr="00FC6264">
              <w:rPr>
                <w:rFonts w:ascii="Times New Roman" w:eastAsia="AngsanaUPC" w:hAnsi="Times New Roman"/>
                <w:bCs/>
                <w:sz w:val="18"/>
                <w:szCs w:val="18"/>
                <w:lang w:eastAsia="lt-LT"/>
              </w:rPr>
              <w:t>079</w:t>
            </w:r>
          </w:p>
        </w:tc>
      </w:tr>
      <w:tr w:rsidR="00130753" w:rsidRPr="00A50C23" w:rsidTr="00386A96">
        <w:tc>
          <w:tcPr>
            <w:tcW w:w="851" w:type="dxa"/>
            <w:shd w:val="clear" w:color="auto" w:fill="auto"/>
            <w:vAlign w:val="center"/>
          </w:tcPr>
          <w:p w:rsidR="00130753" w:rsidRPr="00A50C23" w:rsidRDefault="00130753" w:rsidP="00BB0960">
            <w:pPr>
              <w:widowControl w:val="0"/>
              <w:tabs>
                <w:tab w:val="left" w:pos="622"/>
              </w:tabs>
              <w:spacing w:after="0" w:line="240" w:lineRule="auto"/>
              <w:rPr>
                <w:rFonts w:ascii="Times New Roman" w:eastAsia="AngsanaUPC" w:hAnsi="Times New Roman"/>
                <w:bCs/>
                <w:sz w:val="18"/>
                <w:szCs w:val="18"/>
                <w:lang w:val="en-GB" w:eastAsia="lt-LT"/>
              </w:rPr>
            </w:pPr>
            <w:r w:rsidRPr="00A50C23">
              <w:rPr>
                <w:rFonts w:ascii="Times New Roman" w:eastAsia="AngsanaUPC" w:hAnsi="Times New Roman"/>
                <w:bCs/>
                <w:sz w:val="18"/>
                <w:szCs w:val="18"/>
                <w:lang w:val="en-GB" w:eastAsia="lt-LT"/>
              </w:rPr>
              <w:t>ESF</w:t>
            </w:r>
          </w:p>
        </w:tc>
        <w:tc>
          <w:tcPr>
            <w:tcW w:w="709" w:type="dxa"/>
            <w:shd w:val="clear" w:color="auto" w:fill="auto"/>
            <w:vAlign w:val="center"/>
          </w:tcPr>
          <w:p w:rsidR="00130753" w:rsidRPr="00A50C23" w:rsidRDefault="00130753" w:rsidP="00BB0960">
            <w:pPr>
              <w:widowControl w:val="0"/>
              <w:tabs>
                <w:tab w:val="left" w:pos="622"/>
              </w:tabs>
              <w:spacing w:after="0" w:line="240" w:lineRule="auto"/>
              <w:rPr>
                <w:rFonts w:ascii="Times New Roman" w:eastAsia="AngsanaUPC" w:hAnsi="Times New Roman"/>
                <w:bCs/>
                <w:sz w:val="18"/>
                <w:szCs w:val="18"/>
                <w:lang w:val="en-GB" w:eastAsia="lt-LT"/>
              </w:rPr>
            </w:pPr>
            <w:r w:rsidRPr="00A50C23">
              <w:rPr>
                <w:rFonts w:ascii="Times New Roman" w:eastAsia="AngsanaUPC" w:hAnsi="Times New Roman"/>
                <w:bCs/>
                <w:sz w:val="18"/>
                <w:szCs w:val="18"/>
                <w:lang w:val="en-GB" w:eastAsia="lt-LT"/>
              </w:rPr>
              <w:t>116</w:t>
            </w:r>
          </w:p>
        </w:tc>
        <w:tc>
          <w:tcPr>
            <w:tcW w:w="6378" w:type="dxa"/>
            <w:shd w:val="clear" w:color="auto" w:fill="auto"/>
            <w:vAlign w:val="center"/>
          </w:tcPr>
          <w:p w:rsidR="00130753" w:rsidRPr="00A50C23" w:rsidRDefault="00130753" w:rsidP="00130753">
            <w:pPr>
              <w:widowControl w:val="0"/>
              <w:tabs>
                <w:tab w:val="left" w:pos="622"/>
              </w:tabs>
              <w:spacing w:after="0" w:line="240" w:lineRule="auto"/>
              <w:rPr>
                <w:rFonts w:ascii="Times New Roman" w:eastAsia="AngsanaUPC" w:hAnsi="Times New Roman"/>
                <w:bCs/>
                <w:sz w:val="18"/>
                <w:szCs w:val="18"/>
                <w:lang w:eastAsia="lt-LT"/>
              </w:rPr>
            </w:pPr>
            <w:r w:rsidRPr="00A50C23">
              <w:rPr>
                <w:rFonts w:ascii="Times New Roman" w:eastAsia="AngsanaUPC" w:hAnsi="Times New Roman"/>
                <w:bCs/>
                <w:sz w:val="18"/>
                <w:szCs w:val="18"/>
                <w:lang w:eastAsia="lt-LT"/>
              </w:rPr>
              <w:t>Aukštojo ir lygiaverčio lygmens mokslo kokybės, veiksmingumo ir prieinamumo didinimas siekiant didinti dalyvaujančių asmenų skaičių ir gerinti rezultatus, visų pirma atsižvelgiant į nepalankias sąlygas turinčių asmenų grupes</w:t>
            </w:r>
          </w:p>
        </w:tc>
        <w:tc>
          <w:tcPr>
            <w:tcW w:w="1843" w:type="dxa"/>
            <w:shd w:val="clear" w:color="auto" w:fill="auto"/>
            <w:vAlign w:val="center"/>
          </w:tcPr>
          <w:p w:rsidR="00130753" w:rsidRPr="00FC6264" w:rsidRDefault="00D47A28" w:rsidP="00D47A28">
            <w:pPr>
              <w:widowControl w:val="0"/>
              <w:tabs>
                <w:tab w:val="left" w:pos="622"/>
              </w:tabs>
              <w:spacing w:after="0" w:line="240" w:lineRule="auto"/>
              <w:jc w:val="right"/>
              <w:rPr>
                <w:rFonts w:ascii="Times New Roman" w:eastAsia="AngsanaUPC" w:hAnsi="Times New Roman"/>
                <w:bCs/>
                <w:sz w:val="18"/>
                <w:szCs w:val="18"/>
                <w:lang w:val="en-GB" w:eastAsia="lt-LT"/>
              </w:rPr>
            </w:pPr>
            <w:r w:rsidRPr="00FC6264">
              <w:rPr>
                <w:rFonts w:ascii="Times New Roman" w:eastAsia="AngsanaUPC" w:hAnsi="Times New Roman"/>
                <w:bCs/>
                <w:sz w:val="18"/>
                <w:szCs w:val="18"/>
                <w:lang w:eastAsia="lt-LT"/>
              </w:rPr>
              <w:t>191</w:t>
            </w:r>
            <w:r w:rsidR="00A50C23" w:rsidRPr="00FC6264">
              <w:rPr>
                <w:rFonts w:ascii="Times New Roman" w:eastAsia="AngsanaUPC" w:hAnsi="Times New Roman"/>
                <w:bCs/>
                <w:sz w:val="18"/>
                <w:szCs w:val="18"/>
                <w:lang w:eastAsia="lt-LT"/>
              </w:rPr>
              <w:t>.</w:t>
            </w:r>
            <w:r w:rsidRPr="00FC6264">
              <w:rPr>
                <w:rFonts w:ascii="Times New Roman" w:eastAsia="AngsanaUPC" w:hAnsi="Times New Roman"/>
                <w:bCs/>
                <w:sz w:val="18"/>
                <w:szCs w:val="18"/>
                <w:lang w:eastAsia="lt-LT"/>
              </w:rPr>
              <w:t>206</w:t>
            </w:r>
            <w:r w:rsidR="00A50C23" w:rsidRPr="00FC6264">
              <w:rPr>
                <w:rFonts w:ascii="Times New Roman" w:eastAsia="AngsanaUPC" w:hAnsi="Times New Roman"/>
                <w:bCs/>
                <w:sz w:val="18"/>
                <w:szCs w:val="18"/>
                <w:lang w:eastAsia="lt-LT"/>
              </w:rPr>
              <w:t>.</w:t>
            </w:r>
            <w:r w:rsidR="00772596" w:rsidRPr="00FC6264">
              <w:rPr>
                <w:rFonts w:ascii="Times New Roman" w:eastAsia="AngsanaUPC" w:hAnsi="Times New Roman"/>
                <w:bCs/>
                <w:sz w:val="18"/>
                <w:szCs w:val="18"/>
                <w:lang w:eastAsia="lt-LT"/>
              </w:rPr>
              <w:t>989</w:t>
            </w:r>
          </w:p>
        </w:tc>
      </w:tr>
      <w:tr w:rsidR="00130753" w:rsidRPr="00A50C23" w:rsidTr="00386A96">
        <w:tc>
          <w:tcPr>
            <w:tcW w:w="851" w:type="dxa"/>
            <w:shd w:val="clear" w:color="auto" w:fill="auto"/>
            <w:vAlign w:val="center"/>
          </w:tcPr>
          <w:p w:rsidR="00130753" w:rsidRPr="00A50C23" w:rsidRDefault="00130753" w:rsidP="00BB0960">
            <w:pPr>
              <w:widowControl w:val="0"/>
              <w:tabs>
                <w:tab w:val="left" w:pos="622"/>
              </w:tabs>
              <w:spacing w:after="0" w:line="240" w:lineRule="auto"/>
              <w:rPr>
                <w:rFonts w:ascii="Times New Roman" w:eastAsia="AngsanaUPC" w:hAnsi="Times New Roman"/>
                <w:bCs/>
                <w:sz w:val="18"/>
                <w:szCs w:val="18"/>
                <w:lang w:val="en-GB" w:eastAsia="lt-LT"/>
              </w:rPr>
            </w:pPr>
            <w:r w:rsidRPr="00A50C23">
              <w:rPr>
                <w:rFonts w:ascii="Times New Roman" w:eastAsia="AngsanaUPC" w:hAnsi="Times New Roman"/>
                <w:bCs/>
                <w:sz w:val="18"/>
                <w:szCs w:val="18"/>
                <w:lang w:val="en-GB" w:eastAsia="lt-LT"/>
              </w:rPr>
              <w:t>ESF</w:t>
            </w:r>
          </w:p>
        </w:tc>
        <w:tc>
          <w:tcPr>
            <w:tcW w:w="709" w:type="dxa"/>
            <w:shd w:val="clear" w:color="auto" w:fill="auto"/>
            <w:vAlign w:val="center"/>
          </w:tcPr>
          <w:p w:rsidR="00130753" w:rsidRPr="00A50C23" w:rsidRDefault="00130753" w:rsidP="00BB0960">
            <w:pPr>
              <w:widowControl w:val="0"/>
              <w:tabs>
                <w:tab w:val="left" w:pos="622"/>
              </w:tabs>
              <w:spacing w:after="0" w:line="240" w:lineRule="auto"/>
              <w:rPr>
                <w:rFonts w:ascii="Times New Roman" w:eastAsia="AngsanaUPC" w:hAnsi="Times New Roman"/>
                <w:bCs/>
                <w:sz w:val="18"/>
                <w:szCs w:val="18"/>
                <w:lang w:val="en-GB" w:eastAsia="lt-LT"/>
              </w:rPr>
            </w:pPr>
            <w:r w:rsidRPr="00A50C23">
              <w:rPr>
                <w:rFonts w:ascii="Times New Roman" w:eastAsia="AngsanaUPC" w:hAnsi="Times New Roman"/>
                <w:bCs/>
                <w:sz w:val="18"/>
                <w:szCs w:val="18"/>
                <w:lang w:val="en-GB" w:eastAsia="lt-LT"/>
              </w:rPr>
              <w:t>117</w:t>
            </w:r>
          </w:p>
        </w:tc>
        <w:tc>
          <w:tcPr>
            <w:tcW w:w="6378" w:type="dxa"/>
            <w:shd w:val="clear" w:color="auto" w:fill="auto"/>
            <w:vAlign w:val="center"/>
          </w:tcPr>
          <w:p w:rsidR="00130753" w:rsidRPr="00A50C23" w:rsidRDefault="00130753" w:rsidP="00130753">
            <w:pPr>
              <w:widowControl w:val="0"/>
              <w:tabs>
                <w:tab w:val="left" w:pos="622"/>
              </w:tabs>
              <w:spacing w:after="0" w:line="240" w:lineRule="auto"/>
              <w:rPr>
                <w:rFonts w:ascii="Times New Roman" w:eastAsia="AngsanaUPC" w:hAnsi="Times New Roman"/>
                <w:bCs/>
                <w:sz w:val="18"/>
                <w:szCs w:val="18"/>
                <w:lang w:eastAsia="lt-LT"/>
              </w:rPr>
            </w:pPr>
            <w:r w:rsidRPr="00A50C23">
              <w:rPr>
                <w:rFonts w:ascii="Times New Roman" w:eastAsia="AngsanaUPC" w:hAnsi="Times New Roman"/>
                <w:bCs/>
                <w:sz w:val="18"/>
                <w:szCs w:val="18"/>
                <w:lang w:eastAsia="lt-LT"/>
              </w:rPr>
              <w:t>Vienodų galimybių formaliai, neformaliai ir savarankiškai mokytis visą gyvenimą suteikimas visoms amžiaus grupėms, darbuotojų žinių, įgūdžių ir kompetencijos ugdymas ir lanksčių mokymosi būdų, be kita ko, pasitelkiant profesinį orientavimą ir įgytos kompetencijos pripažinimą, skatinimas</w:t>
            </w:r>
          </w:p>
        </w:tc>
        <w:tc>
          <w:tcPr>
            <w:tcW w:w="1843" w:type="dxa"/>
            <w:shd w:val="clear" w:color="auto" w:fill="auto"/>
            <w:vAlign w:val="center"/>
          </w:tcPr>
          <w:p w:rsidR="00130753" w:rsidRPr="00FC6264" w:rsidRDefault="00130753" w:rsidP="00D47A28">
            <w:pPr>
              <w:widowControl w:val="0"/>
              <w:tabs>
                <w:tab w:val="left" w:pos="622"/>
              </w:tabs>
              <w:spacing w:after="0" w:line="240" w:lineRule="auto"/>
              <w:jc w:val="right"/>
              <w:rPr>
                <w:rFonts w:ascii="Times New Roman" w:eastAsia="AngsanaUPC" w:hAnsi="Times New Roman"/>
                <w:bCs/>
                <w:sz w:val="18"/>
                <w:szCs w:val="18"/>
                <w:lang w:val="en-GB" w:eastAsia="lt-LT"/>
              </w:rPr>
            </w:pPr>
            <w:r w:rsidRPr="00FC6264">
              <w:rPr>
                <w:rFonts w:ascii="Times New Roman" w:eastAsia="AngsanaUPC" w:hAnsi="Times New Roman"/>
                <w:bCs/>
                <w:sz w:val="18"/>
                <w:szCs w:val="18"/>
                <w:lang w:val="en-GB" w:eastAsia="lt-LT"/>
              </w:rPr>
              <w:t>1</w:t>
            </w:r>
            <w:r w:rsidR="009812CA" w:rsidRPr="00FC6264">
              <w:rPr>
                <w:rFonts w:ascii="Times New Roman" w:eastAsia="AngsanaUPC" w:hAnsi="Times New Roman"/>
                <w:bCs/>
                <w:sz w:val="18"/>
                <w:szCs w:val="18"/>
                <w:lang w:val="en-GB" w:eastAsia="lt-LT"/>
              </w:rPr>
              <w:t>45</w:t>
            </w:r>
            <w:r w:rsidR="00A50C23" w:rsidRPr="00FC6264">
              <w:rPr>
                <w:rFonts w:ascii="Times New Roman" w:eastAsia="AngsanaUPC" w:hAnsi="Times New Roman"/>
                <w:bCs/>
                <w:sz w:val="18"/>
                <w:szCs w:val="18"/>
                <w:lang w:val="en-GB" w:eastAsia="lt-LT"/>
              </w:rPr>
              <w:t>.</w:t>
            </w:r>
            <w:r w:rsidR="009812CA" w:rsidRPr="00FC6264">
              <w:rPr>
                <w:rFonts w:ascii="Times New Roman" w:eastAsia="AngsanaUPC" w:hAnsi="Times New Roman"/>
                <w:bCs/>
                <w:sz w:val="18"/>
                <w:szCs w:val="18"/>
                <w:lang w:val="en-GB" w:eastAsia="lt-LT"/>
              </w:rPr>
              <w:t>111</w:t>
            </w:r>
            <w:r w:rsidR="00A50C23" w:rsidRPr="00FC6264">
              <w:rPr>
                <w:rFonts w:ascii="Times New Roman" w:eastAsia="AngsanaUPC" w:hAnsi="Times New Roman"/>
                <w:bCs/>
                <w:sz w:val="18"/>
                <w:szCs w:val="18"/>
                <w:lang w:val="en-GB" w:eastAsia="lt-LT"/>
              </w:rPr>
              <w:t>.</w:t>
            </w:r>
            <w:r w:rsidR="009812CA" w:rsidRPr="00FC6264">
              <w:rPr>
                <w:rFonts w:ascii="Times New Roman" w:eastAsia="AngsanaUPC" w:hAnsi="Times New Roman"/>
                <w:bCs/>
                <w:sz w:val="18"/>
                <w:szCs w:val="18"/>
                <w:lang w:val="en-GB" w:eastAsia="lt-LT"/>
              </w:rPr>
              <w:t>017</w:t>
            </w:r>
          </w:p>
        </w:tc>
      </w:tr>
    </w:tbl>
    <w:p w:rsidR="00130753" w:rsidRPr="002447B3" w:rsidRDefault="00130753" w:rsidP="00130753">
      <w:pPr>
        <w:widowControl w:val="0"/>
        <w:tabs>
          <w:tab w:val="left" w:pos="622"/>
        </w:tabs>
        <w:spacing w:after="0" w:line="240" w:lineRule="auto"/>
        <w:jc w:val="both"/>
        <w:rPr>
          <w:rFonts w:ascii="Times New Roman" w:hAnsi="Times New Roman"/>
          <w:iCs/>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9"/>
        <w:gridCol w:w="6378"/>
        <w:gridCol w:w="1808"/>
      </w:tblGrid>
      <w:tr w:rsidR="00130753" w:rsidRPr="002447B3" w:rsidTr="00BB0960">
        <w:tc>
          <w:tcPr>
            <w:tcW w:w="9746" w:type="dxa"/>
            <w:gridSpan w:val="4"/>
            <w:shd w:val="clear" w:color="auto" w:fill="EEECE1"/>
          </w:tcPr>
          <w:p w:rsidR="00130753" w:rsidRPr="002447B3" w:rsidRDefault="00130753" w:rsidP="00BB0960">
            <w:pPr>
              <w:widowControl w:val="0"/>
              <w:tabs>
                <w:tab w:val="left" w:pos="622"/>
              </w:tabs>
              <w:spacing w:after="0" w:line="240" w:lineRule="auto"/>
              <w:jc w:val="both"/>
              <w:rPr>
                <w:rFonts w:ascii="Times New Roman" w:hAnsi="Times New Roman"/>
                <w:i/>
                <w:iCs/>
                <w:sz w:val="18"/>
                <w:szCs w:val="18"/>
              </w:rPr>
            </w:pPr>
            <w:r w:rsidRPr="002447B3">
              <w:rPr>
                <w:rFonts w:ascii="Times New Roman" w:hAnsi="Times New Roman"/>
                <w:b/>
                <w:bCs/>
                <w:i/>
                <w:iCs/>
                <w:sz w:val="18"/>
                <w:szCs w:val="18"/>
              </w:rPr>
              <w:t>Finansavimo forma</w:t>
            </w:r>
          </w:p>
        </w:tc>
      </w:tr>
      <w:tr w:rsidR="00130753" w:rsidRPr="002447B3" w:rsidTr="00386A96">
        <w:tc>
          <w:tcPr>
            <w:tcW w:w="851" w:type="dxa"/>
            <w:shd w:val="clear" w:color="auto" w:fill="EEECE1"/>
            <w:vAlign w:val="center"/>
          </w:tcPr>
          <w:p w:rsidR="00130753" w:rsidRPr="002447B3" w:rsidRDefault="00130753" w:rsidP="00BB0960">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Fondas</w:t>
            </w:r>
          </w:p>
        </w:tc>
        <w:tc>
          <w:tcPr>
            <w:tcW w:w="709" w:type="dxa"/>
            <w:shd w:val="clear" w:color="auto" w:fill="EEECE1"/>
            <w:vAlign w:val="center"/>
          </w:tcPr>
          <w:p w:rsidR="00130753" w:rsidRPr="002447B3" w:rsidRDefault="00130753" w:rsidP="00BB0960">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Kodas</w:t>
            </w:r>
          </w:p>
        </w:tc>
        <w:tc>
          <w:tcPr>
            <w:tcW w:w="6378" w:type="dxa"/>
            <w:shd w:val="clear" w:color="auto" w:fill="EEECE1"/>
            <w:vAlign w:val="center"/>
          </w:tcPr>
          <w:p w:rsidR="00130753" w:rsidRPr="002447B3" w:rsidRDefault="00130753" w:rsidP="00BB0960">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Pavadinimas</w:t>
            </w:r>
          </w:p>
        </w:tc>
        <w:tc>
          <w:tcPr>
            <w:tcW w:w="1808" w:type="dxa"/>
            <w:shd w:val="clear" w:color="auto" w:fill="EEECE1"/>
            <w:vAlign w:val="center"/>
          </w:tcPr>
          <w:p w:rsidR="00130753" w:rsidRPr="002447B3" w:rsidRDefault="00130753" w:rsidP="00BB0960">
            <w:pPr>
              <w:widowControl w:val="0"/>
              <w:tabs>
                <w:tab w:val="left" w:pos="622"/>
              </w:tabs>
              <w:spacing w:after="0" w:line="240" w:lineRule="auto"/>
              <w:jc w:val="center"/>
              <w:rPr>
                <w:rFonts w:ascii="Times New Roman" w:hAnsi="Times New Roman"/>
                <w:b/>
                <w:bCs/>
                <w:iCs/>
                <w:sz w:val="18"/>
                <w:szCs w:val="18"/>
              </w:rPr>
            </w:pPr>
            <w:r w:rsidRPr="002447B3">
              <w:rPr>
                <w:rFonts w:ascii="Times New Roman" w:hAnsi="Times New Roman"/>
                <w:b/>
                <w:bCs/>
                <w:iCs/>
                <w:sz w:val="18"/>
                <w:szCs w:val="18"/>
              </w:rPr>
              <w:t>Finansinė proporcija (eurais)</w:t>
            </w:r>
          </w:p>
        </w:tc>
      </w:tr>
      <w:tr w:rsidR="007F6BC3" w:rsidRPr="00A50C23" w:rsidTr="00386A96">
        <w:tc>
          <w:tcPr>
            <w:tcW w:w="851" w:type="dxa"/>
            <w:shd w:val="clear" w:color="auto" w:fill="FFFFFF"/>
            <w:vAlign w:val="center"/>
          </w:tcPr>
          <w:p w:rsidR="007F6BC3" w:rsidRPr="00A50C23" w:rsidRDefault="007F6BC3" w:rsidP="00BB0960">
            <w:pPr>
              <w:widowControl w:val="0"/>
              <w:tabs>
                <w:tab w:val="left" w:pos="622"/>
              </w:tabs>
              <w:spacing w:after="0" w:line="240" w:lineRule="auto"/>
              <w:rPr>
                <w:rFonts w:ascii="Times New Roman" w:eastAsia="AngsanaUPC" w:hAnsi="Times New Roman"/>
                <w:bCs/>
                <w:sz w:val="18"/>
                <w:szCs w:val="18"/>
                <w:lang w:val="en-GB" w:eastAsia="lt-LT"/>
              </w:rPr>
            </w:pPr>
            <w:r w:rsidRPr="00A50C23">
              <w:rPr>
                <w:rFonts w:ascii="Times New Roman" w:eastAsia="AngsanaUPC" w:hAnsi="Times New Roman"/>
                <w:bCs/>
                <w:sz w:val="18"/>
                <w:szCs w:val="18"/>
                <w:lang w:val="en-GB" w:eastAsia="lt-LT"/>
              </w:rPr>
              <w:t>ERPF</w:t>
            </w:r>
          </w:p>
        </w:tc>
        <w:tc>
          <w:tcPr>
            <w:tcW w:w="709" w:type="dxa"/>
            <w:shd w:val="clear" w:color="auto" w:fill="FFFFFF"/>
            <w:vAlign w:val="center"/>
          </w:tcPr>
          <w:p w:rsidR="007F6BC3" w:rsidRPr="00A50C23" w:rsidRDefault="00386A96" w:rsidP="00BB0960">
            <w:pPr>
              <w:widowControl w:val="0"/>
              <w:tabs>
                <w:tab w:val="left" w:pos="622"/>
              </w:tabs>
              <w:spacing w:after="0" w:line="240" w:lineRule="auto"/>
              <w:jc w:val="both"/>
              <w:rPr>
                <w:rFonts w:ascii="Times New Roman" w:hAnsi="Times New Roman"/>
                <w:bCs/>
                <w:iCs/>
                <w:sz w:val="18"/>
                <w:szCs w:val="18"/>
              </w:rPr>
            </w:pPr>
            <w:r w:rsidRPr="00A50C23">
              <w:rPr>
                <w:rFonts w:ascii="Times New Roman" w:hAnsi="Times New Roman"/>
                <w:bCs/>
                <w:iCs/>
                <w:sz w:val="18"/>
                <w:szCs w:val="18"/>
              </w:rPr>
              <w:t>0</w:t>
            </w:r>
            <w:r w:rsidR="007F6BC3" w:rsidRPr="00A50C23">
              <w:rPr>
                <w:rFonts w:ascii="Times New Roman" w:hAnsi="Times New Roman"/>
                <w:bCs/>
                <w:iCs/>
                <w:sz w:val="18"/>
                <w:szCs w:val="18"/>
              </w:rPr>
              <w:t>1</w:t>
            </w:r>
          </w:p>
        </w:tc>
        <w:tc>
          <w:tcPr>
            <w:tcW w:w="6378" w:type="dxa"/>
            <w:shd w:val="clear" w:color="auto" w:fill="FFFFFF"/>
            <w:vAlign w:val="center"/>
          </w:tcPr>
          <w:p w:rsidR="007F6BC3" w:rsidRPr="00A50C23" w:rsidRDefault="007F6BC3" w:rsidP="00BB0960">
            <w:pPr>
              <w:widowControl w:val="0"/>
              <w:tabs>
                <w:tab w:val="left" w:pos="622"/>
              </w:tabs>
              <w:spacing w:after="0" w:line="240" w:lineRule="auto"/>
              <w:jc w:val="both"/>
              <w:rPr>
                <w:rFonts w:ascii="Times New Roman" w:hAnsi="Times New Roman"/>
                <w:bCs/>
                <w:iCs/>
                <w:sz w:val="18"/>
                <w:szCs w:val="18"/>
              </w:rPr>
            </w:pPr>
            <w:r w:rsidRPr="00A50C23">
              <w:rPr>
                <w:rFonts w:ascii="Times New Roman" w:hAnsi="Times New Roman"/>
                <w:bCs/>
                <w:iCs/>
                <w:sz w:val="18"/>
                <w:szCs w:val="18"/>
              </w:rPr>
              <w:t>Negrąžinamoji subsidija</w:t>
            </w:r>
          </w:p>
        </w:tc>
        <w:tc>
          <w:tcPr>
            <w:tcW w:w="1808" w:type="dxa"/>
            <w:shd w:val="clear" w:color="auto" w:fill="FFFFFF"/>
            <w:vAlign w:val="center"/>
          </w:tcPr>
          <w:p w:rsidR="007F6BC3" w:rsidRPr="00A50C23" w:rsidRDefault="007F6BC3" w:rsidP="00772596">
            <w:pPr>
              <w:widowControl w:val="0"/>
              <w:tabs>
                <w:tab w:val="left" w:pos="622"/>
              </w:tabs>
              <w:spacing w:after="0" w:line="240" w:lineRule="auto"/>
              <w:jc w:val="right"/>
              <w:rPr>
                <w:rFonts w:ascii="Times New Roman" w:eastAsia="AngsanaUPC" w:hAnsi="Times New Roman"/>
                <w:bCs/>
                <w:sz w:val="18"/>
                <w:szCs w:val="18"/>
                <w:lang w:val="en-GB" w:eastAsia="lt-LT"/>
              </w:rPr>
            </w:pPr>
            <w:r w:rsidRPr="00A50C23">
              <w:rPr>
                <w:rFonts w:ascii="Times New Roman" w:eastAsia="AngsanaUPC" w:hAnsi="Times New Roman"/>
                <w:bCs/>
                <w:sz w:val="18"/>
                <w:szCs w:val="18"/>
                <w:lang w:val="en-GB" w:eastAsia="lt-LT"/>
              </w:rPr>
              <w:t>208</w:t>
            </w:r>
            <w:r w:rsidR="00A50C23" w:rsidRPr="00A50C23">
              <w:rPr>
                <w:rFonts w:ascii="Times New Roman" w:eastAsia="AngsanaUPC" w:hAnsi="Times New Roman"/>
                <w:bCs/>
                <w:sz w:val="18"/>
                <w:szCs w:val="18"/>
                <w:lang w:val="en-GB" w:eastAsia="lt-LT"/>
              </w:rPr>
              <w:t>.</w:t>
            </w:r>
            <w:r w:rsidRPr="00A50C23">
              <w:rPr>
                <w:rFonts w:ascii="Times New Roman" w:eastAsia="AngsanaUPC" w:hAnsi="Times New Roman"/>
                <w:bCs/>
                <w:sz w:val="18"/>
                <w:szCs w:val="18"/>
                <w:lang w:val="en-GB" w:eastAsia="lt-LT"/>
              </w:rPr>
              <w:t>548</w:t>
            </w:r>
            <w:r w:rsidR="00A50C23" w:rsidRPr="00A50C23">
              <w:rPr>
                <w:rFonts w:ascii="Times New Roman" w:eastAsia="AngsanaUPC" w:hAnsi="Times New Roman"/>
                <w:bCs/>
                <w:sz w:val="18"/>
                <w:szCs w:val="18"/>
                <w:lang w:val="en-GB" w:eastAsia="lt-LT"/>
              </w:rPr>
              <w:t>.</w:t>
            </w:r>
            <w:r w:rsidRPr="00A50C23">
              <w:rPr>
                <w:rFonts w:ascii="Times New Roman" w:eastAsia="AngsanaUPC" w:hAnsi="Times New Roman"/>
                <w:bCs/>
                <w:sz w:val="18"/>
                <w:szCs w:val="18"/>
                <w:lang w:val="en-GB" w:eastAsia="lt-LT"/>
              </w:rPr>
              <w:t>495</w:t>
            </w:r>
          </w:p>
        </w:tc>
      </w:tr>
      <w:tr w:rsidR="007F6BC3" w:rsidRPr="00D54F90" w:rsidTr="00386A96">
        <w:tc>
          <w:tcPr>
            <w:tcW w:w="851" w:type="dxa"/>
            <w:shd w:val="clear" w:color="auto" w:fill="auto"/>
            <w:vAlign w:val="center"/>
          </w:tcPr>
          <w:p w:rsidR="007F6BC3" w:rsidRPr="00A50C23" w:rsidRDefault="007F6BC3" w:rsidP="00BB0960">
            <w:pPr>
              <w:widowControl w:val="0"/>
              <w:tabs>
                <w:tab w:val="left" w:pos="622"/>
              </w:tabs>
              <w:spacing w:after="0" w:line="240" w:lineRule="auto"/>
              <w:rPr>
                <w:rFonts w:ascii="Times New Roman" w:eastAsia="AngsanaUPC" w:hAnsi="Times New Roman"/>
                <w:bCs/>
                <w:sz w:val="18"/>
                <w:szCs w:val="18"/>
                <w:lang w:val="en-GB" w:eastAsia="lt-LT"/>
              </w:rPr>
            </w:pPr>
            <w:r w:rsidRPr="00A50C23">
              <w:rPr>
                <w:rFonts w:ascii="Times New Roman" w:eastAsia="AngsanaUPC" w:hAnsi="Times New Roman"/>
                <w:bCs/>
                <w:sz w:val="18"/>
                <w:szCs w:val="18"/>
                <w:lang w:val="en-GB" w:eastAsia="lt-LT"/>
              </w:rPr>
              <w:t>ESF</w:t>
            </w:r>
          </w:p>
        </w:tc>
        <w:tc>
          <w:tcPr>
            <w:tcW w:w="709" w:type="dxa"/>
            <w:shd w:val="clear" w:color="auto" w:fill="auto"/>
            <w:vAlign w:val="center"/>
          </w:tcPr>
          <w:p w:rsidR="007F6BC3" w:rsidRPr="00A50C23" w:rsidRDefault="00386A96" w:rsidP="00BB0960">
            <w:pPr>
              <w:widowControl w:val="0"/>
              <w:tabs>
                <w:tab w:val="left" w:pos="622"/>
              </w:tabs>
              <w:spacing w:after="0" w:line="240" w:lineRule="auto"/>
              <w:rPr>
                <w:rFonts w:ascii="Times New Roman" w:eastAsia="AngsanaUPC" w:hAnsi="Times New Roman"/>
                <w:bCs/>
                <w:sz w:val="18"/>
                <w:szCs w:val="18"/>
                <w:lang w:eastAsia="lt-LT"/>
              </w:rPr>
            </w:pPr>
            <w:r w:rsidRPr="00A50C23">
              <w:rPr>
                <w:rFonts w:ascii="Times New Roman" w:eastAsia="AngsanaUPC" w:hAnsi="Times New Roman"/>
                <w:bCs/>
                <w:sz w:val="18"/>
                <w:szCs w:val="18"/>
                <w:lang w:eastAsia="lt-LT"/>
              </w:rPr>
              <w:t>0</w:t>
            </w:r>
            <w:r w:rsidR="007F6BC3" w:rsidRPr="00A50C23">
              <w:rPr>
                <w:rFonts w:ascii="Times New Roman" w:eastAsia="AngsanaUPC" w:hAnsi="Times New Roman"/>
                <w:bCs/>
                <w:sz w:val="18"/>
                <w:szCs w:val="18"/>
                <w:lang w:eastAsia="lt-LT"/>
              </w:rPr>
              <w:t>1</w:t>
            </w:r>
          </w:p>
        </w:tc>
        <w:tc>
          <w:tcPr>
            <w:tcW w:w="6378" w:type="dxa"/>
            <w:shd w:val="clear" w:color="auto" w:fill="auto"/>
            <w:vAlign w:val="center"/>
          </w:tcPr>
          <w:p w:rsidR="007F6BC3" w:rsidRPr="00A50C23" w:rsidRDefault="007F6BC3" w:rsidP="00BB0960">
            <w:pPr>
              <w:widowControl w:val="0"/>
              <w:tabs>
                <w:tab w:val="left" w:pos="622"/>
              </w:tabs>
              <w:spacing w:after="0" w:line="240" w:lineRule="auto"/>
              <w:rPr>
                <w:rFonts w:ascii="Times New Roman" w:eastAsia="AngsanaUPC" w:hAnsi="Times New Roman"/>
                <w:bCs/>
                <w:sz w:val="18"/>
                <w:szCs w:val="18"/>
                <w:lang w:eastAsia="lt-LT"/>
              </w:rPr>
            </w:pPr>
            <w:r w:rsidRPr="00A50C23">
              <w:rPr>
                <w:rFonts w:ascii="Times New Roman" w:eastAsia="AngsanaUPC" w:hAnsi="Times New Roman"/>
                <w:bCs/>
                <w:sz w:val="18"/>
                <w:szCs w:val="18"/>
                <w:lang w:eastAsia="lt-LT"/>
              </w:rPr>
              <w:t>Negrąžinamoji subsidija</w:t>
            </w:r>
          </w:p>
        </w:tc>
        <w:tc>
          <w:tcPr>
            <w:tcW w:w="1808" w:type="dxa"/>
            <w:shd w:val="clear" w:color="auto" w:fill="auto"/>
            <w:vAlign w:val="center"/>
          </w:tcPr>
          <w:p w:rsidR="007F6BC3" w:rsidRPr="00D54F90" w:rsidRDefault="007F6BC3" w:rsidP="009812CA">
            <w:pPr>
              <w:widowControl w:val="0"/>
              <w:tabs>
                <w:tab w:val="left" w:pos="622"/>
              </w:tabs>
              <w:spacing w:after="0" w:line="240" w:lineRule="auto"/>
              <w:jc w:val="right"/>
              <w:rPr>
                <w:rFonts w:ascii="Times New Roman" w:eastAsia="AngsanaUPC" w:hAnsi="Times New Roman"/>
                <w:bCs/>
                <w:sz w:val="18"/>
                <w:szCs w:val="18"/>
                <w:lang w:val="en-GB" w:eastAsia="lt-LT"/>
              </w:rPr>
            </w:pPr>
            <w:r w:rsidRPr="00FC6264">
              <w:rPr>
                <w:rFonts w:ascii="Times New Roman" w:eastAsia="AngsanaUPC" w:hAnsi="Times New Roman"/>
                <w:bCs/>
                <w:sz w:val="18"/>
                <w:szCs w:val="18"/>
                <w:lang w:val="en-GB" w:eastAsia="lt-LT"/>
              </w:rPr>
              <w:t>4</w:t>
            </w:r>
            <w:r w:rsidR="009812CA" w:rsidRPr="00FC6264">
              <w:rPr>
                <w:rFonts w:ascii="Times New Roman" w:eastAsia="AngsanaUPC" w:hAnsi="Times New Roman"/>
                <w:bCs/>
                <w:sz w:val="18"/>
                <w:szCs w:val="18"/>
                <w:lang w:val="en-GB" w:eastAsia="lt-LT"/>
              </w:rPr>
              <w:t>53</w:t>
            </w:r>
            <w:r w:rsidR="00A50C23" w:rsidRPr="00FC6264">
              <w:rPr>
                <w:rFonts w:ascii="Times New Roman" w:eastAsia="AngsanaUPC" w:hAnsi="Times New Roman"/>
                <w:bCs/>
                <w:sz w:val="18"/>
                <w:szCs w:val="18"/>
                <w:lang w:val="en-GB" w:eastAsia="lt-LT"/>
              </w:rPr>
              <w:t>.</w:t>
            </w:r>
            <w:r w:rsidR="009812CA" w:rsidRPr="00FC6264">
              <w:rPr>
                <w:rFonts w:ascii="Times New Roman" w:eastAsia="AngsanaUPC" w:hAnsi="Times New Roman"/>
                <w:bCs/>
                <w:sz w:val="18"/>
                <w:szCs w:val="18"/>
                <w:lang w:val="en-GB" w:eastAsia="lt-LT"/>
              </w:rPr>
              <w:t>182</w:t>
            </w:r>
            <w:r w:rsidR="00A50C23" w:rsidRPr="00FC6264">
              <w:rPr>
                <w:rFonts w:ascii="Times New Roman" w:eastAsia="AngsanaUPC" w:hAnsi="Times New Roman"/>
                <w:bCs/>
                <w:sz w:val="18"/>
                <w:szCs w:val="18"/>
                <w:lang w:val="en-GB" w:eastAsia="lt-LT"/>
              </w:rPr>
              <w:t>.</w:t>
            </w:r>
            <w:r w:rsidR="009812CA" w:rsidRPr="00FC6264">
              <w:rPr>
                <w:rFonts w:ascii="Times New Roman" w:eastAsia="AngsanaUPC" w:hAnsi="Times New Roman"/>
                <w:bCs/>
                <w:sz w:val="18"/>
                <w:szCs w:val="18"/>
                <w:lang w:val="en-GB" w:eastAsia="lt-LT"/>
              </w:rPr>
              <w:t>085</w:t>
            </w:r>
          </w:p>
        </w:tc>
      </w:tr>
    </w:tbl>
    <w:p w:rsidR="00130753" w:rsidRPr="002447B3" w:rsidRDefault="00130753" w:rsidP="00130753">
      <w:pPr>
        <w:widowControl w:val="0"/>
        <w:tabs>
          <w:tab w:val="left" w:pos="622"/>
        </w:tabs>
        <w:spacing w:after="0" w:line="240" w:lineRule="auto"/>
        <w:jc w:val="both"/>
        <w:rPr>
          <w:rFonts w:ascii="Times New Roman" w:hAnsi="Times New Roman"/>
          <w:iCs/>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9"/>
        <w:gridCol w:w="6378"/>
        <w:gridCol w:w="1808"/>
      </w:tblGrid>
      <w:tr w:rsidR="00130753" w:rsidRPr="002447B3" w:rsidTr="00BB0960">
        <w:tc>
          <w:tcPr>
            <w:tcW w:w="9746" w:type="dxa"/>
            <w:gridSpan w:val="4"/>
            <w:shd w:val="clear" w:color="auto" w:fill="EEECE1"/>
          </w:tcPr>
          <w:p w:rsidR="00130753" w:rsidRPr="002447B3" w:rsidRDefault="00130753" w:rsidP="00BB0960">
            <w:pPr>
              <w:widowControl w:val="0"/>
              <w:tabs>
                <w:tab w:val="left" w:pos="622"/>
              </w:tabs>
              <w:spacing w:after="0" w:line="240" w:lineRule="auto"/>
              <w:jc w:val="both"/>
              <w:rPr>
                <w:rFonts w:ascii="Times New Roman" w:hAnsi="Times New Roman"/>
                <w:i/>
                <w:iCs/>
                <w:sz w:val="18"/>
                <w:szCs w:val="18"/>
              </w:rPr>
            </w:pPr>
            <w:r w:rsidRPr="002447B3">
              <w:rPr>
                <w:rFonts w:ascii="Times New Roman" w:hAnsi="Times New Roman"/>
                <w:b/>
                <w:bCs/>
                <w:i/>
                <w:iCs/>
                <w:sz w:val="18"/>
                <w:szCs w:val="18"/>
              </w:rPr>
              <w:t>Teritorijų tipas</w:t>
            </w:r>
          </w:p>
        </w:tc>
      </w:tr>
      <w:tr w:rsidR="00130753" w:rsidRPr="002447B3" w:rsidTr="00386A96">
        <w:tc>
          <w:tcPr>
            <w:tcW w:w="851" w:type="dxa"/>
            <w:shd w:val="clear" w:color="auto" w:fill="EEECE1"/>
            <w:vAlign w:val="center"/>
          </w:tcPr>
          <w:p w:rsidR="00130753" w:rsidRPr="002447B3" w:rsidRDefault="00130753" w:rsidP="00BB0960">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Fondas</w:t>
            </w:r>
          </w:p>
        </w:tc>
        <w:tc>
          <w:tcPr>
            <w:tcW w:w="709" w:type="dxa"/>
            <w:shd w:val="clear" w:color="auto" w:fill="EEECE1"/>
            <w:vAlign w:val="center"/>
          </w:tcPr>
          <w:p w:rsidR="00130753" w:rsidRPr="002447B3" w:rsidRDefault="00130753" w:rsidP="00BB0960">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Kodas</w:t>
            </w:r>
          </w:p>
        </w:tc>
        <w:tc>
          <w:tcPr>
            <w:tcW w:w="6378" w:type="dxa"/>
            <w:shd w:val="clear" w:color="auto" w:fill="EEECE1"/>
            <w:vAlign w:val="center"/>
          </w:tcPr>
          <w:p w:rsidR="00130753" w:rsidRPr="002447B3" w:rsidRDefault="00130753" w:rsidP="00BB0960">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Pavadinimas</w:t>
            </w:r>
          </w:p>
        </w:tc>
        <w:tc>
          <w:tcPr>
            <w:tcW w:w="1808" w:type="dxa"/>
            <w:shd w:val="clear" w:color="auto" w:fill="EEECE1"/>
            <w:vAlign w:val="center"/>
          </w:tcPr>
          <w:p w:rsidR="00130753" w:rsidRPr="002447B3" w:rsidRDefault="00130753" w:rsidP="00BB0960">
            <w:pPr>
              <w:widowControl w:val="0"/>
              <w:tabs>
                <w:tab w:val="left" w:pos="622"/>
              </w:tabs>
              <w:spacing w:after="0" w:line="240" w:lineRule="auto"/>
              <w:jc w:val="center"/>
              <w:rPr>
                <w:rFonts w:ascii="Times New Roman" w:hAnsi="Times New Roman"/>
                <w:b/>
                <w:bCs/>
                <w:iCs/>
                <w:sz w:val="18"/>
                <w:szCs w:val="18"/>
              </w:rPr>
            </w:pPr>
            <w:r w:rsidRPr="002447B3">
              <w:rPr>
                <w:rFonts w:ascii="Times New Roman" w:hAnsi="Times New Roman"/>
                <w:b/>
                <w:bCs/>
                <w:iCs/>
                <w:sz w:val="18"/>
                <w:szCs w:val="18"/>
              </w:rPr>
              <w:t>Finansinė proporcija (eurais)</w:t>
            </w:r>
          </w:p>
        </w:tc>
      </w:tr>
      <w:tr w:rsidR="007F6BC3" w:rsidRPr="00A50C23" w:rsidTr="00386A96">
        <w:tc>
          <w:tcPr>
            <w:tcW w:w="851" w:type="dxa"/>
            <w:shd w:val="clear" w:color="auto" w:fill="auto"/>
            <w:vAlign w:val="center"/>
          </w:tcPr>
          <w:p w:rsidR="007F6BC3" w:rsidRPr="00A50C23" w:rsidRDefault="007F6BC3" w:rsidP="00BB0960">
            <w:pPr>
              <w:widowControl w:val="0"/>
              <w:tabs>
                <w:tab w:val="left" w:pos="622"/>
              </w:tabs>
              <w:spacing w:after="0" w:line="240" w:lineRule="auto"/>
              <w:rPr>
                <w:rFonts w:ascii="Times New Roman" w:eastAsia="AngsanaUPC" w:hAnsi="Times New Roman"/>
                <w:bCs/>
                <w:sz w:val="18"/>
                <w:szCs w:val="18"/>
                <w:lang w:val="en-GB" w:eastAsia="lt-LT"/>
              </w:rPr>
            </w:pPr>
            <w:r w:rsidRPr="00A50C23">
              <w:rPr>
                <w:rFonts w:ascii="Times New Roman" w:eastAsia="AngsanaUPC" w:hAnsi="Times New Roman"/>
                <w:bCs/>
                <w:sz w:val="18"/>
                <w:szCs w:val="18"/>
                <w:lang w:val="en-GB" w:eastAsia="lt-LT"/>
              </w:rPr>
              <w:t>ERPF</w:t>
            </w:r>
          </w:p>
        </w:tc>
        <w:tc>
          <w:tcPr>
            <w:tcW w:w="709" w:type="dxa"/>
            <w:shd w:val="clear" w:color="auto" w:fill="auto"/>
            <w:vAlign w:val="center"/>
          </w:tcPr>
          <w:p w:rsidR="007F6BC3" w:rsidRPr="00A50C23" w:rsidRDefault="007F6BC3" w:rsidP="00A50C23">
            <w:pPr>
              <w:widowControl w:val="0"/>
              <w:tabs>
                <w:tab w:val="left" w:pos="622"/>
              </w:tabs>
              <w:spacing w:after="0" w:line="240" w:lineRule="auto"/>
              <w:rPr>
                <w:rFonts w:ascii="Times New Roman" w:eastAsia="AngsanaUPC" w:hAnsi="Times New Roman"/>
                <w:bCs/>
                <w:sz w:val="18"/>
                <w:szCs w:val="18"/>
                <w:lang w:val="en-GB" w:eastAsia="lt-LT"/>
              </w:rPr>
            </w:pPr>
            <w:r w:rsidRPr="00A50C23">
              <w:rPr>
                <w:rFonts w:ascii="Times New Roman" w:eastAsia="AngsanaUPC" w:hAnsi="Times New Roman"/>
                <w:bCs/>
                <w:sz w:val="18"/>
                <w:szCs w:val="18"/>
                <w:lang w:val="en-GB" w:eastAsia="lt-LT"/>
              </w:rPr>
              <w:t>07</w:t>
            </w:r>
          </w:p>
        </w:tc>
        <w:tc>
          <w:tcPr>
            <w:tcW w:w="6378" w:type="dxa"/>
            <w:shd w:val="clear" w:color="auto" w:fill="auto"/>
            <w:vAlign w:val="center"/>
          </w:tcPr>
          <w:p w:rsidR="007F6BC3" w:rsidRPr="00A50C23" w:rsidRDefault="007F6BC3" w:rsidP="00BB0960">
            <w:pPr>
              <w:widowControl w:val="0"/>
              <w:tabs>
                <w:tab w:val="left" w:pos="622"/>
              </w:tabs>
              <w:spacing w:after="0" w:line="240" w:lineRule="auto"/>
              <w:jc w:val="both"/>
              <w:rPr>
                <w:rFonts w:ascii="Times New Roman" w:hAnsi="Times New Roman"/>
                <w:bCs/>
                <w:iCs/>
                <w:sz w:val="18"/>
                <w:szCs w:val="18"/>
              </w:rPr>
            </w:pPr>
            <w:r w:rsidRPr="00A50C23">
              <w:rPr>
                <w:rFonts w:ascii="Times New Roman" w:hAnsi="Times New Roman"/>
                <w:bCs/>
                <w:iCs/>
                <w:sz w:val="18"/>
                <w:szCs w:val="18"/>
              </w:rPr>
              <w:t>Netaikoma</w:t>
            </w:r>
          </w:p>
        </w:tc>
        <w:tc>
          <w:tcPr>
            <w:tcW w:w="1808" w:type="dxa"/>
            <w:shd w:val="clear" w:color="auto" w:fill="auto"/>
            <w:vAlign w:val="center"/>
          </w:tcPr>
          <w:p w:rsidR="007F6BC3" w:rsidRPr="00A50C23" w:rsidRDefault="007F6BC3" w:rsidP="00772596">
            <w:pPr>
              <w:widowControl w:val="0"/>
              <w:tabs>
                <w:tab w:val="left" w:pos="622"/>
              </w:tabs>
              <w:spacing w:after="0" w:line="240" w:lineRule="auto"/>
              <w:jc w:val="right"/>
              <w:rPr>
                <w:rFonts w:ascii="Times New Roman" w:eastAsia="AngsanaUPC" w:hAnsi="Times New Roman"/>
                <w:bCs/>
                <w:sz w:val="18"/>
                <w:szCs w:val="18"/>
                <w:lang w:val="en-GB" w:eastAsia="lt-LT"/>
              </w:rPr>
            </w:pPr>
            <w:r w:rsidRPr="00A50C23">
              <w:rPr>
                <w:rFonts w:ascii="Times New Roman" w:eastAsia="AngsanaUPC" w:hAnsi="Times New Roman"/>
                <w:bCs/>
                <w:sz w:val="18"/>
                <w:szCs w:val="18"/>
                <w:lang w:val="en-GB" w:eastAsia="lt-LT"/>
              </w:rPr>
              <w:t>208</w:t>
            </w:r>
            <w:r w:rsidR="00A50C23" w:rsidRPr="00A50C23">
              <w:rPr>
                <w:rFonts w:ascii="Times New Roman" w:eastAsia="AngsanaUPC" w:hAnsi="Times New Roman"/>
                <w:bCs/>
                <w:sz w:val="18"/>
                <w:szCs w:val="18"/>
                <w:lang w:val="en-GB" w:eastAsia="lt-LT"/>
              </w:rPr>
              <w:t>.</w:t>
            </w:r>
            <w:r w:rsidRPr="00A50C23">
              <w:rPr>
                <w:rFonts w:ascii="Times New Roman" w:eastAsia="AngsanaUPC" w:hAnsi="Times New Roman"/>
                <w:bCs/>
                <w:sz w:val="18"/>
                <w:szCs w:val="18"/>
                <w:lang w:val="en-GB" w:eastAsia="lt-LT"/>
              </w:rPr>
              <w:t>548</w:t>
            </w:r>
            <w:r w:rsidR="00A50C23" w:rsidRPr="00A50C23">
              <w:rPr>
                <w:rFonts w:ascii="Times New Roman" w:eastAsia="AngsanaUPC" w:hAnsi="Times New Roman"/>
                <w:bCs/>
                <w:sz w:val="18"/>
                <w:szCs w:val="18"/>
                <w:lang w:val="en-GB" w:eastAsia="lt-LT"/>
              </w:rPr>
              <w:t>.</w:t>
            </w:r>
            <w:r w:rsidRPr="00A50C23">
              <w:rPr>
                <w:rFonts w:ascii="Times New Roman" w:eastAsia="AngsanaUPC" w:hAnsi="Times New Roman"/>
                <w:bCs/>
                <w:sz w:val="18"/>
                <w:szCs w:val="18"/>
                <w:lang w:val="en-GB" w:eastAsia="lt-LT"/>
              </w:rPr>
              <w:t>495</w:t>
            </w:r>
          </w:p>
        </w:tc>
      </w:tr>
      <w:tr w:rsidR="007F6BC3" w:rsidRPr="00FC6264" w:rsidTr="00386A96">
        <w:tc>
          <w:tcPr>
            <w:tcW w:w="851" w:type="dxa"/>
            <w:shd w:val="clear" w:color="auto" w:fill="auto"/>
            <w:vAlign w:val="center"/>
          </w:tcPr>
          <w:p w:rsidR="007F6BC3" w:rsidRPr="00A50C23" w:rsidRDefault="007F6BC3" w:rsidP="00BB0960">
            <w:pPr>
              <w:widowControl w:val="0"/>
              <w:tabs>
                <w:tab w:val="left" w:pos="622"/>
              </w:tabs>
              <w:spacing w:after="0" w:line="240" w:lineRule="auto"/>
              <w:rPr>
                <w:rFonts w:ascii="Times New Roman" w:eastAsia="AngsanaUPC" w:hAnsi="Times New Roman"/>
                <w:bCs/>
                <w:sz w:val="18"/>
                <w:szCs w:val="18"/>
                <w:lang w:val="en-GB" w:eastAsia="lt-LT"/>
              </w:rPr>
            </w:pPr>
            <w:r w:rsidRPr="00A50C23">
              <w:rPr>
                <w:rFonts w:ascii="Times New Roman" w:eastAsia="AngsanaUPC" w:hAnsi="Times New Roman"/>
                <w:bCs/>
                <w:sz w:val="18"/>
                <w:szCs w:val="18"/>
                <w:lang w:val="en-GB" w:eastAsia="lt-LT"/>
              </w:rPr>
              <w:t>ESF</w:t>
            </w:r>
          </w:p>
        </w:tc>
        <w:tc>
          <w:tcPr>
            <w:tcW w:w="709" w:type="dxa"/>
            <w:shd w:val="clear" w:color="auto" w:fill="auto"/>
            <w:vAlign w:val="center"/>
          </w:tcPr>
          <w:p w:rsidR="007F6BC3" w:rsidRPr="00A50C23" w:rsidRDefault="007F6BC3" w:rsidP="00A50C23">
            <w:pPr>
              <w:widowControl w:val="0"/>
              <w:tabs>
                <w:tab w:val="left" w:pos="622"/>
              </w:tabs>
              <w:spacing w:after="0" w:line="240" w:lineRule="auto"/>
              <w:rPr>
                <w:rFonts w:ascii="Times New Roman" w:eastAsia="AngsanaUPC" w:hAnsi="Times New Roman"/>
                <w:bCs/>
                <w:sz w:val="18"/>
                <w:szCs w:val="18"/>
                <w:lang w:val="en-GB" w:eastAsia="lt-LT"/>
              </w:rPr>
            </w:pPr>
            <w:r w:rsidRPr="00A50C23">
              <w:rPr>
                <w:rFonts w:ascii="Times New Roman" w:eastAsia="AngsanaUPC" w:hAnsi="Times New Roman"/>
                <w:bCs/>
                <w:sz w:val="18"/>
                <w:szCs w:val="18"/>
                <w:lang w:val="en-GB" w:eastAsia="lt-LT"/>
              </w:rPr>
              <w:t>07</w:t>
            </w:r>
          </w:p>
        </w:tc>
        <w:tc>
          <w:tcPr>
            <w:tcW w:w="6378" w:type="dxa"/>
            <w:shd w:val="clear" w:color="auto" w:fill="auto"/>
            <w:vAlign w:val="center"/>
          </w:tcPr>
          <w:p w:rsidR="007F6BC3" w:rsidRPr="00A50C23" w:rsidRDefault="007F6BC3" w:rsidP="00BB0960">
            <w:pPr>
              <w:widowControl w:val="0"/>
              <w:tabs>
                <w:tab w:val="left" w:pos="622"/>
              </w:tabs>
              <w:spacing w:after="0" w:line="240" w:lineRule="auto"/>
              <w:jc w:val="both"/>
              <w:rPr>
                <w:rFonts w:ascii="Times New Roman" w:hAnsi="Times New Roman"/>
                <w:bCs/>
                <w:iCs/>
                <w:sz w:val="18"/>
                <w:szCs w:val="18"/>
              </w:rPr>
            </w:pPr>
            <w:r w:rsidRPr="00A50C23">
              <w:rPr>
                <w:rFonts w:ascii="Times New Roman" w:hAnsi="Times New Roman"/>
                <w:bCs/>
                <w:iCs/>
                <w:sz w:val="18"/>
                <w:szCs w:val="18"/>
              </w:rPr>
              <w:t>Netaikoma</w:t>
            </w:r>
          </w:p>
        </w:tc>
        <w:tc>
          <w:tcPr>
            <w:tcW w:w="1808" w:type="dxa"/>
            <w:shd w:val="clear" w:color="auto" w:fill="auto"/>
            <w:vAlign w:val="center"/>
          </w:tcPr>
          <w:p w:rsidR="007F6BC3" w:rsidRPr="00FC6264" w:rsidRDefault="00D47A28" w:rsidP="009812CA">
            <w:pPr>
              <w:widowControl w:val="0"/>
              <w:tabs>
                <w:tab w:val="left" w:pos="622"/>
              </w:tabs>
              <w:spacing w:after="0" w:line="240" w:lineRule="auto"/>
              <w:jc w:val="right"/>
              <w:rPr>
                <w:rFonts w:ascii="Times New Roman" w:eastAsia="AngsanaUPC" w:hAnsi="Times New Roman"/>
                <w:bCs/>
                <w:sz w:val="18"/>
                <w:szCs w:val="18"/>
                <w:lang w:val="en-GB" w:eastAsia="lt-LT"/>
              </w:rPr>
            </w:pPr>
            <w:r w:rsidRPr="00FC6264">
              <w:rPr>
                <w:rFonts w:ascii="Times New Roman" w:eastAsia="AngsanaUPC" w:hAnsi="Times New Roman"/>
                <w:bCs/>
                <w:sz w:val="18"/>
                <w:szCs w:val="18"/>
                <w:lang w:val="en-GB" w:eastAsia="lt-LT"/>
              </w:rPr>
              <w:t>4</w:t>
            </w:r>
            <w:r w:rsidR="009812CA" w:rsidRPr="00FC6264">
              <w:rPr>
                <w:rFonts w:ascii="Times New Roman" w:eastAsia="AngsanaUPC" w:hAnsi="Times New Roman"/>
                <w:bCs/>
                <w:sz w:val="18"/>
                <w:szCs w:val="18"/>
                <w:lang w:val="en-GB" w:eastAsia="lt-LT"/>
              </w:rPr>
              <w:t>53</w:t>
            </w:r>
            <w:r w:rsidR="00A50C23" w:rsidRPr="00FC6264">
              <w:rPr>
                <w:rFonts w:ascii="Times New Roman" w:eastAsia="AngsanaUPC" w:hAnsi="Times New Roman"/>
                <w:bCs/>
                <w:sz w:val="18"/>
                <w:szCs w:val="18"/>
                <w:lang w:val="en-GB" w:eastAsia="lt-LT"/>
              </w:rPr>
              <w:t>.</w:t>
            </w:r>
            <w:r w:rsidR="009812CA" w:rsidRPr="00FC6264">
              <w:rPr>
                <w:rFonts w:ascii="Times New Roman" w:eastAsia="AngsanaUPC" w:hAnsi="Times New Roman"/>
                <w:bCs/>
                <w:sz w:val="18"/>
                <w:szCs w:val="18"/>
                <w:lang w:val="en-GB" w:eastAsia="lt-LT"/>
              </w:rPr>
              <w:t>182</w:t>
            </w:r>
            <w:r w:rsidR="00A50C23" w:rsidRPr="00FC6264">
              <w:rPr>
                <w:rFonts w:ascii="Times New Roman" w:eastAsia="AngsanaUPC" w:hAnsi="Times New Roman"/>
                <w:bCs/>
                <w:sz w:val="18"/>
                <w:szCs w:val="18"/>
                <w:lang w:val="en-GB" w:eastAsia="lt-LT"/>
              </w:rPr>
              <w:t>.</w:t>
            </w:r>
            <w:r w:rsidR="009812CA" w:rsidRPr="00FC6264">
              <w:rPr>
                <w:rFonts w:ascii="Times New Roman" w:eastAsia="AngsanaUPC" w:hAnsi="Times New Roman"/>
                <w:bCs/>
                <w:sz w:val="18"/>
                <w:szCs w:val="18"/>
                <w:lang w:val="en-GB" w:eastAsia="lt-LT"/>
              </w:rPr>
              <w:t>085</w:t>
            </w:r>
          </w:p>
        </w:tc>
      </w:tr>
    </w:tbl>
    <w:p w:rsidR="00130753" w:rsidRPr="002447B3" w:rsidRDefault="00130753" w:rsidP="00130753">
      <w:pPr>
        <w:widowControl w:val="0"/>
        <w:tabs>
          <w:tab w:val="left" w:pos="622"/>
        </w:tabs>
        <w:spacing w:after="0" w:line="240" w:lineRule="auto"/>
        <w:jc w:val="both"/>
        <w:rPr>
          <w:rFonts w:ascii="Times New Roman" w:hAnsi="Times New Roman"/>
          <w:iCs/>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9"/>
        <w:gridCol w:w="6378"/>
        <w:gridCol w:w="1808"/>
      </w:tblGrid>
      <w:tr w:rsidR="00130753" w:rsidRPr="002447B3" w:rsidTr="00BB0960">
        <w:tc>
          <w:tcPr>
            <w:tcW w:w="9746" w:type="dxa"/>
            <w:gridSpan w:val="4"/>
            <w:shd w:val="clear" w:color="auto" w:fill="EEECE1"/>
          </w:tcPr>
          <w:p w:rsidR="00130753" w:rsidRPr="002447B3" w:rsidRDefault="00130753" w:rsidP="00BB0960">
            <w:pPr>
              <w:widowControl w:val="0"/>
              <w:tabs>
                <w:tab w:val="left" w:pos="622"/>
              </w:tabs>
              <w:spacing w:after="0" w:line="240" w:lineRule="auto"/>
              <w:jc w:val="both"/>
              <w:rPr>
                <w:rFonts w:ascii="Times New Roman" w:hAnsi="Times New Roman"/>
                <w:i/>
                <w:iCs/>
                <w:sz w:val="18"/>
                <w:szCs w:val="18"/>
              </w:rPr>
            </w:pPr>
            <w:r w:rsidRPr="002447B3">
              <w:rPr>
                <w:rFonts w:ascii="Times New Roman" w:hAnsi="Times New Roman"/>
                <w:b/>
                <w:bCs/>
                <w:i/>
                <w:iCs/>
                <w:sz w:val="18"/>
                <w:szCs w:val="18"/>
              </w:rPr>
              <w:t>Teritorinės paramos paskirstymo priemonės</w:t>
            </w:r>
          </w:p>
        </w:tc>
      </w:tr>
      <w:tr w:rsidR="00130753" w:rsidRPr="002447B3" w:rsidTr="00386A96">
        <w:tc>
          <w:tcPr>
            <w:tcW w:w="851" w:type="dxa"/>
            <w:shd w:val="clear" w:color="auto" w:fill="EEECE1"/>
            <w:vAlign w:val="center"/>
          </w:tcPr>
          <w:p w:rsidR="00130753" w:rsidRPr="002447B3" w:rsidRDefault="00130753" w:rsidP="00BB0960">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Fondas</w:t>
            </w:r>
          </w:p>
        </w:tc>
        <w:tc>
          <w:tcPr>
            <w:tcW w:w="709" w:type="dxa"/>
            <w:shd w:val="clear" w:color="auto" w:fill="EEECE1"/>
            <w:vAlign w:val="center"/>
          </w:tcPr>
          <w:p w:rsidR="00130753" w:rsidRPr="002447B3" w:rsidRDefault="00130753" w:rsidP="00BB0960">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Kodas</w:t>
            </w:r>
          </w:p>
        </w:tc>
        <w:tc>
          <w:tcPr>
            <w:tcW w:w="6378" w:type="dxa"/>
            <w:shd w:val="clear" w:color="auto" w:fill="EEECE1"/>
            <w:vAlign w:val="center"/>
          </w:tcPr>
          <w:p w:rsidR="00130753" w:rsidRPr="002447B3" w:rsidRDefault="00130753" w:rsidP="00BB0960">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Pavadinimas</w:t>
            </w:r>
          </w:p>
        </w:tc>
        <w:tc>
          <w:tcPr>
            <w:tcW w:w="1808" w:type="dxa"/>
            <w:shd w:val="clear" w:color="auto" w:fill="EEECE1"/>
            <w:vAlign w:val="center"/>
          </w:tcPr>
          <w:p w:rsidR="00130753" w:rsidRPr="002447B3" w:rsidRDefault="00130753" w:rsidP="00BB0960">
            <w:pPr>
              <w:widowControl w:val="0"/>
              <w:tabs>
                <w:tab w:val="left" w:pos="622"/>
              </w:tabs>
              <w:spacing w:after="0" w:line="240" w:lineRule="auto"/>
              <w:jc w:val="center"/>
              <w:rPr>
                <w:rFonts w:ascii="Times New Roman" w:hAnsi="Times New Roman"/>
                <w:b/>
                <w:bCs/>
                <w:iCs/>
                <w:sz w:val="18"/>
                <w:szCs w:val="18"/>
              </w:rPr>
            </w:pPr>
            <w:r w:rsidRPr="002447B3">
              <w:rPr>
                <w:rFonts w:ascii="Times New Roman" w:hAnsi="Times New Roman"/>
                <w:b/>
                <w:bCs/>
                <w:iCs/>
                <w:sz w:val="18"/>
                <w:szCs w:val="18"/>
              </w:rPr>
              <w:t>Finansinė proporcija (eurais)</w:t>
            </w:r>
          </w:p>
        </w:tc>
      </w:tr>
      <w:tr w:rsidR="00B13F50" w:rsidRPr="00A50C23" w:rsidTr="00386A96">
        <w:tc>
          <w:tcPr>
            <w:tcW w:w="851" w:type="dxa"/>
            <w:shd w:val="clear" w:color="auto" w:fill="auto"/>
            <w:vAlign w:val="center"/>
          </w:tcPr>
          <w:p w:rsidR="00B13F50" w:rsidRPr="00A50C23" w:rsidRDefault="00B13F50" w:rsidP="003425A4">
            <w:pPr>
              <w:widowControl w:val="0"/>
              <w:tabs>
                <w:tab w:val="left" w:pos="622"/>
              </w:tabs>
              <w:spacing w:after="0" w:line="240" w:lineRule="auto"/>
              <w:rPr>
                <w:rFonts w:ascii="Times New Roman" w:hAnsi="Times New Roman"/>
                <w:bCs/>
                <w:iCs/>
                <w:sz w:val="18"/>
                <w:szCs w:val="18"/>
              </w:rPr>
            </w:pPr>
            <w:r w:rsidRPr="00A50C23">
              <w:rPr>
                <w:rFonts w:ascii="Times New Roman" w:hAnsi="Times New Roman"/>
                <w:bCs/>
                <w:iCs/>
                <w:sz w:val="18"/>
                <w:szCs w:val="18"/>
              </w:rPr>
              <w:t>ERPF</w:t>
            </w:r>
          </w:p>
        </w:tc>
        <w:tc>
          <w:tcPr>
            <w:tcW w:w="709" w:type="dxa"/>
            <w:shd w:val="clear" w:color="auto" w:fill="auto"/>
            <w:vAlign w:val="center"/>
          </w:tcPr>
          <w:p w:rsidR="00B13F50" w:rsidRPr="00A50C23" w:rsidRDefault="00B13F50" w:rsidP="003425A4">
            <w:pPr>
              <w:widowControl w:val="0"/>
              <w:tabs>
                <w:tab w:val="left" w:pos="622"/>
              </w:tabs>
              <w:spacing w:after="0" w:line="240" w:lineRule="auto"/>
              <w:rPr>
                <w:rFonts w:ascii="Times New Roman" w:hAnsi="Times New Roman"/>
                <w:bCs/>
                <w:iCs/>
                <w:sz w:val="18"/>
                <w:szCs w:val="18"/>
              </w:rPr>
            </w:pPr>
            <w:r w:rsidRPr="00A50C23">
              <w:rPr>
                <w:rFonts w:ascii="Times New Roman" w:hAnsi="Times New Roman"/>
                <w:bCs/>
                <w:iCs/>
                <w:sz w:val="18"/>
                <w:szCs w:val="18"/>
              </w:rPr>
              <w:t>01</w:t>
            </w:r>
          </w:p>
        </w:tc>
        <w:tc>
          <w:tcPr>
            <w:tcW w:w="6378" w:type="dxa"/>
            <w:shd w:val="clear" w:color="auto" w:fill="auto"/>
            <w:vAlign w:val="center"/>
          </w:tcPr>
          <w:p w:rsidR="00B13F50" w:rsidRPr="00A50C23" w:rsidRDefault="00B13F50" w:rsidP="003425A4">
            <w:pPr>
              <w:widowControl w:val="0"/>
              <w:tabs>
                <w:tab w:val="left" w:pos="622"/>
              </w:tabs>
              <w:spacing w:after="0" w:line="240" w:lineRule="auto"/>
              <w:rPr>
                <w:rFonts w:ascii="Times New Roman" w:hAnsi="Times New Roman"/>
                <w:bCs/>
                <w:iCs/>
                <w:sz w:val="18"/>
                <w:szCs w:val="18"/>
              </w:rPr>
            </w:pPr>
            <w:r w:rsidRPr="00A50C23">
              <w:rPr>
                <w:rFonts w:ascii="Times New Roman" w:hAnsi="Times New Roman"/>
                <w:bCs/>
                <w:iCs/>
                <w:sz w:val="18"/>
                <w:szCs w:val="18"/>
              </w:rPr>
              <w:t>Integruotosios teritorinės investicijos: miesto teritorijos</w:t>
            </w:r>
          </w:p>
        </w:tc>
        <w:tc>
          <w:tcPr>
            <w:tcW w:w="1808" w:type="dxa"/>
            <w:shd w:val="clear" w:color="auto" w:fill="auto"/>
            <w:vAlign w:val="center"/>
          </w:tcPr>
          <w:p w:rsidR="00B13F50" w:rsidRPr="00A50C23" w:rsidRDefault="00B13F50" w:rsidP="003425A4">
            <w:pPr>
              <w:widowControl w:val="0"/>
              <w:tabs>
                <w:tab w:val="left" w:pos="622"/>
              </w:tabs>
              <w:spacing w:after="0" w:line="240" w:lineRule="auto"/>
              <w:jc w:val="right"/>
              <w:rPr>
                <w:rFonts w:ascii="Times New Roman" w:hAnsi="Times New Roman"/>
                <w:bCs/>
                <w:iCs/>
                <w:sz w:val="18"/>
                <w:szCs w:val="18"/>
              </w:rPr>
            </w:pPr>
            <w:r w:rsidRPr="00A50C23">
              <w:rPr>
                <w:rFonts w:ascii="Times New Roman" w:hAnsi="Times New Roman"/>
                <w:bCs/>
                <w:iCs/>
                <w:sz w:val="18"/>
                <w:szCs w:val="18"/>
              </w:rPr>
              <w:t>19</w:t>
            </w:r>
            <w:r w:rsidR="00A50C23" w:rsidRPr="00A50C23">
              <w:rPr>
                <w:rFonts w:ascii="Times New Roman" w:hAnsi="Times New Roman"/>
                <w:bCs/>
                <w:iCs/>
                <w:sz w:val="18"/>
                <w:szCs w:val="18"/>
              </w:rPr>
              <w:t>.</w:t>
            </w:r>
            <w:r w:rsidRPr="00A50C23">
              <w:rPr>
                <w:rFonts w:ascii="Times New Roman" w:hAnsi="Times New Roman"/>
                <w:bCs/>
                <w:iCs/>
                <w:sz w:val="18"/>
                <w:szCs w:val="18"/>
              </w:rPr>
              <w:t>785</w:t>
            </w:r>
            <w:r w:rsidR="00A50C23" w:rsidRPr="00A50C23">
              <w:rPr>
                <w:rFonts w:ascii="Times New Roman" w:hAnsi="Times New Roman"/>
                <w:bCs/>
                <w:iCs/>
                <w:sz w:val="18"/>
                <w:szCs w:val="18"/>
              </w:rPr>
              <w:t>.</w:t>
            </w:r>
            <w:r w:rsidRPr="00A50C23">
              <w:rPr>
                <w:rFonts w:ascii="Times New Roman" w:hAnsi="Times New Roman"/>
                <w:bCs/>
                <w:iCs/>
                <w:sz w:val="18"/>
                <w:szCs w:val="18"/>
              </w:rPr>
              <w:t>575</w:t>
            </w:r>
          </w:p>
        </w:tc>
      </w:tr>
      <w:tr w:rsidR="00B13F50" w:rsidRPr="00A50C23" w:rsidTr="00386A96">
        <w:tc>
          <w:tcPr>
            <w:tcW w:w="851" w:type="dxa"/>
            <w:shd w:val="clear" w:color="auto" w:fill="auto"/>
            <w:vAlign w:val="center"/>
          </w:tcPr>
          <w:p w:rsidR="00B13F50" w:rsidRPr="00A50C23" w:rsidRDefault="00B13F50" w:rsidP="003425A4">
            <w:pPr>
              <w:widowControl w:val="0"/>
              <w:tabs>
                <w:tab w:val="left" w:pos="622"/>
              </w:tabs>
              <w:spacing w:after="0" w:line="240" w:lineRule="auto"/>
              <w:rPr>
                <w:rFonts w:ascii="Times New Roman" w:hAnsi="Times New Roman"/>
                <w:bCs/>
                <w:iCs/>
                <w:sz w:val="18"/>
                <w:szCs w:val="18"/>
              </w:rPr>
            </w:pPr>
            <w:r w:rsidRPr="00A50C23">
              <w:rPr>
                <w:rFonts w:ascii="Times New Roman" w:hAnsi="Times New Roman"/>
                <w:bCs/>
                <w:iCs/>
                <w:sz w:val="18"/>
                <w:szCs w:val="18"/>
              </w:rPr>
              <w:t>ERPF</w:t>
            </w:r>
          </w:p>
        </w:tc>
        <w:tc>
          <w:tcPr>
            <w:tcW w:w="709" w:type="dxa"/>
            <w:shd w:val="clear" w:color="auto" w:fill="auto"/>
            <w:vAlign w:val="center"/>
          </w:tcPr>
          <w:p w:rsidR="00B13F50" w:rsidRPr="00A50C23" w:rsidRDefault="00B13F50" w:rsidP="003425A4">
            <w:pPr>
              <w:widowControl w:val="0"/>
              <w:tabs>
                <w:tab w:val="left" w:pos="622"/>
              </w:tabs>
              <w:spacing w:after="0" w:line="240" w:lineRule="auto"/>
              <w:rPr>
                <w:rFonts w:ascii="Times New Roman" w:hAnsi="Times New Roman"/>
                <w:bCs/>
                <w:iCs/>
                <w:sz w:val="18"/>
                <w:szCs w:val="18"/>
              </w:rPr>
            </w:pPr>
            <w:r w:rsidRPr="00A50C23">
              <w:rPr>
                <w:rFonts w:ascii="Times New Roman" w:hAnsi="Times New Roman"/>
                <w:bCs/>
                <w:iCs/>
                <w:sz w:val="18"/>
                <w:szCs w:val="18"/>
              </w:rPr>
              <w:t>03</w:t>
            </w:r>
          </w:p>
        </w:tc>
        <w:tc>
          <w:tcPr>
            <w:tcW w:w="6378" w:type="dxa"/>
            <w:shd w:val="clear" w:color="auto" w:fill="auto"/>
            <w:vAlign w:val="center"/>
          </w:tcPr>
          <w:p w:rsidR="00B13F50" w:rsidRPr="00A50C23" w:rsidRDefault="00B13F50" w:rsidP="003425A4">
            <w:pPr>
              <w:widowControl w:val="0"/>
              <w:tabs>
                <w:tab w:val="left" w:pos="622"/>
              </w:tabs>
              <w:spacing w:after="0" w:line="240" w:lineRule="auto"/>
              <w:rPr>
                <w:rFonts w:ascii="Times New Roman" w:hAnsi="Times New Roman"/>
                <w:bCs/>
                <w:iCs/>
                <w:sz w:val="18"/>
                <w:szCs w:val="18"/>
              </w:rPr>
            </w:pPr>
            <w:r w:rsidRPr="00A50C23">
              <w:rPr>
                <w:rFonts w:ascii="Times New Roman" w:hAnsi="Times New Roman"/>
                <w:bCs/>
                <w:iCs/>
                <w:sz w:val="18"/>
                <w:szCs w:val="18"/>
              </w:rPr>
              <w:t>Integruotosios teritorinės investicijos: kita</w:t>
            </w:r>
          </w:p>
        </w:tc>
        <w:tc>
          <w:tcPr>
            <w:tcW w:w="1808" w:type="dxa"/>
            <w:shd w:val="clear" w:color="auto" w:fill="auto"/>
            <w:vAlign w:val="center"/>
          </w:tcPr>
          <w:p w:rsidR="00B13F50" w:rsidRPr="00A50C23" w:rsidRDefault="00B13F50" w:rsidP="003425A4">
            <w:pPr>
              <w:widowControl w:val="0"/>
              <w:tabs>
                <w:tab w:val="left" w:pos="622"/>
              </w:tabs>
              <w:spacing w:after="0" w:line="240" w:lineRule="auto"/>
              <w:jc w:val="right"/>
              <w:rPr>
                <w:rFonts w:ascii="Times New Roman" w:hAnsi="Times New Roman"/>
                <w:bCs/>
                <w:iCs/>
                <w:sz w:val="18"/>
                <w:szCs w:val="18"/>
              </w:rPr>
            </w:pPr>
            <w:r w:rsidRPr="00A50C23">
              <w:rPr>
                <w:rFonts w:ascii="Times New Roman" w:hAnsi="Times New Roman"/>
                <w:bCs/>
                <w:iCs/>
                <w:sz w:val="18"/>
                <w:szCs w:val="18"/>
              </w:rPr>
              <w:t>3</w:t>
            </w:r>
            <w:r w:rsidR="00A50C23" w:rsidRPr="00A50C23">
              <w:rPr>
                <w:rFonts w:ascii="Times New Roman" w:hAnsi="Times New Roman"/>
                <w:bCs/>
                <w:iCs/>
                <w:sz w:val="18"/>
                <w:szCs w:val="18"/>
              </w:rPr>
              <w:t>.</w:t>
            </w:r>
            <w:r w:rsidRPr="00A50C23">
              <w:rPr>
                <w:rFonts w:ascii="Times New Roman" w:hAnsi="Times New Roman"/>
                <w:bCs/>
                <w:iCs/>
                <w:sz w:val="18"/>
                <w:szCs w:val="18"/>
              </w:rPr>
              <w:t>915</w:t>
            </w:r>
            <w:r w:rsidR="00A50C23" w:rsidRPr="00A50C23">
              <w:rPr>
                <w:rFonts w:ascii="Times New Roman" w:hAnsi="Times New Roman"/>
                <w:bCs/>
                <w:iCs/>
                <w:sz w:val="18"/>
                <w:szCs w:val="18"/>
              </w:rPr>
              <w:t>.</w:t>
            </w:r>
            <w:r w:rsidRPr="00A50C23">
              <w:rPr>
                <w:rFonts w:ascii="Times New Roman" w:hAnsi="Times New Roman"/>
                <w:bCs/>
                <w:iCs/>
                <w:sz w:val="18"/>
                <w:szCs w:val="18"/>
              </w:rPr>
              <w:t>824</w:t>
            </w:r>
          </w:p>
        </w:tc>
      </w:tr>
      <w:tr w:rsidR="007F6BC3" w:rsidRPr="00A50C23" w:rsidTr="00386A96">
        <w:tc>
          <w:tcPr>
            <w:tcW w:w="851" w:type="dxa"/>
            <w:shd w:val="clear" w:color="auto" w:fill="auto"/>
            <w:vAlign w:val="center"/>
          </w:tcPr>
          <w:p w:rsidR="007F6BC3" w:rsidRPr="00A50C23" w:rsidRDefault="007F6BC3" w:rsidP="00BB0960">
            <w:pPr>
              <w:widowControl w:val="0"/>
              <w:tabs>
                <w:tab w:val="left" w:pos="622"/>
              </w:tabs>
              <w:spacing w:after="0" w:line="240" w:lineRule="auto"/>
              <w:rPr>
                <w:rFonts w:ascii="Times New Roman" w:eastAsia="AngsanaUPC" w:hAnsi="Times New Roman"/>
                <w:bCs/>
                <w:sz w:val="18"/>
                <w:szCs w:val="18"/>
                <w:lang w:val="en-GB" w:eastAsia="lt-LT"/>
              </w:rPr>
            </w:pPr>
            <w:r w:rsidRPr="00A50C23">
              <w:rPr>
                <w:rFonts w:ascii="Times New Roman" w:eastAsia="AngsanaUPC" w:hAnsi="Times New Roman"/>
                <w:bCs/>
                <w:sz w:val="18"/>
                <w:szCs w:val="18"/>
                <w:lang w:val="en-GB" w:eastAsia="lt-LT"/>
              </w:rPr>
              <w:t>ERPF</w:t>
            </w:r>
          </w:p>
        </w:tc>
        <w:tc>
          <w:tcPr>
            <w:tcW w:w="709" w:type="dxa"/>
            <w:shd w:val="clear" w:color="auto" w:fill="auto"/>
            <w:vAlign w:val="center"/>
          </w:tcPr>
          <w:p w:rsidR="007F6BC3" w:rsidRPr="00A50C23" w:rsidRDefault="00386A96" w:rsidP="00BB0960">
            <w:pPr>
              <w:widowControl w:val="0"/>
              <w:tabs>
                <w:tab w:val="left" w:pos="622"/>
              </w:tabs>
              <w:spacing w:after="0" w:line="240" w:lineRule="auto"/>
              <w:rPr>
                <w:rFonts w:ascii="Times New Roman" w:eastAsia="AngsanaUPC" w:hAnsi="Times New Roman"/>
                <w:bCs/>
                <w:sz w:val="18"/>
                <w:szCs w:val="18"/>
                <w:lang w:val="en-GB" w:eastAsia="lt-LT"/>
              </w:rPr>
            </w:pPr>
            <w:r w:rsidRPr="00A50C23">
              <w:rPr>
                <w:rFonts w:ascii="Times New Roman" w:eastAsia="AngsanaUPC" w:hAnsi="Times New Roman"/>
                <w:bCs/>
                <w:sz w:val="18"/>
                <w:szCs w:val="18"/>
                <w:lang w:val="en-GB" w:eastAsia="lt-LT"/>
              </w:rPr>
              <w:t>0</w:t>
            </w:r>
            <w:r w:rsidR="007F6BC3" w:rsidRPr="00A50C23">
              <w:rPr>
                <w:rFonts w:ascii="Times New Roman" w:eastAsia="AngsanaUPC" w:hAnsi="Times New Roman"/>
                <w:bCs/>
                <w:sz w:val="18"/>
                <w:szCs w:val="18"/>
                <w:lang w:val="en-GB" w:eastAsia="lt-LT"/>
              </w:rPr>
              <w:t>7</w:t>
            </w:r>
          </w:p>
        </w:tc>
        <w:tc>
          <w:tcPr>
            <w:tcW w:w="6378" w:type="dxa"/>
            <w:shd w:val="clear" w:color="auto" w:fill="auto"/>
            <w:vAlign w:val="center"/>
          </w:tcPr>
          <w:p w:rsidR="007F6BC3" w:rsidRPr="00A50C23" w:rsidRDefault="007F6BC3" w:rsidP="00BB0960">
            <w:pPr>
              <w:widowControl w:val="0"/>
              <w:tabs>
                <w:tab w:val="left" w:pos="622"/>
              </w:tabs>
              <w:spacing w:after="0" w:line="240" w:lineRule="auto"/>
              <w:jc w:val="both"/>
              <w:rPr>
                <w:rFonts w:ascii="Times New Roman" w:hAnsi="Times New Roman"/>
                <w:bCs/>
                <w:iCs/>
                <w:sz w:val="18"/>
                <w:szCs w:val="18"/>
              </w:rPr>
            </w:pPr>
            <w:r w:rsidRPr="00A50C23">
              <w:rPr>
                <w:rFonts w:ascii="Times New Roman" w:hAnsi="Times New Roman"/>
                <w:bCs/>
                <w:iCs/>
                <w:sz w:val="18"/>
                <w:szCs w:val="18"/>
              </w:rPr>
              <w:t>Netaikoma</w:t>
            </w:r>
          </w:p>
        </w:tc>
        <w:tc>
          <w:tcPr>
            <w:tcW w:w="1808" w:type="dxa"/>
            <w:shd w:val="clear" w:color="auto" w:fill="auto"/>
            <w:vAlign w:val="center"/>
          </w:tcPr>
          <w:p w:rsidR="007F6BC3" w:rsidRPr="00FC6264" w:rsidRDefault="00B13F50" w:rsidP="00772596">
            <w:pPr>
              <w:widowControl w:val="0"/>
              <w:tabs>
                <w:tab w:val="left" w:pos="622"/>
              </w:tabs>
              <w:spacing w:after="0" w:line="240" w:lineRule="auto"/>
              <w:jc w:val="right"/>
              <w:rPr>
                <w:rFonts w:ascii="Times New Roman" w:eastAsia="AngsanaUPC" w:hAnsi="Times New Roman"/>
                <w:bCs/>
                <w:sz w:val="18"/>
                <w:szCs w:val="18"/>
                <w:lang w:val="en-GB" w:eastAsia="lt-LT"/>
              </w:rPr>
            </w:pPr>
            <w:r w:rsidRPr="00FC6264">
              <w:rPr>
                <w:rFonts w:ascii="Times New Roman" w:eastAsia="AngsanaUPC" w:hAnsi="Times New Roman"/>
                <w:bCs/>
                <w:sz w:val="18"/>
                <w:szCs w:val="18"/>
                <w:lang w:val="en-GB" w:eastAsia="lt-LT"/>
              </w:rPr>
              <w:t>184</w:t>
            </w:r>
            <w:r w:rsidR="00A50C23"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847</w:t>
            </w:r>
            <w:r w:rsidR="00A50C23"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096</w:t>
            </w:r>
          </w:p>
        </w:tc>
      </w:tr>
      <w:tr w:rsidR="007F6BC3" w:rsidRPr="00D54F90" w:rsidTr="00386A96">
        <w:tc>
          <w:tcPr>
            <w:tcW w:w="851" w:type="dxa"/>
            <w:shd w:val="clear" w:color="auto" w:fill="auto"/>
            <w:vAlign w:val="center"/>
          </w:tcPr>
          <w:p w:rsidR="007F6BC3" w:rsidRPr="00A50C23" w:rsidRDefault="007F6BC3" w:rsidP="00BB0960">
            <w:pPr>
              <w:widowControl w:val="0"/>
              <w:tabs>
                <w:tab w:val="left" w:pos="622"/>
              </w:tabs>
              <w:spacing w:after="0" w:line="240" w:lineRule="auto"/>
              <w:rPr>
                <w:rFonts w:ascii="Times New Roman" w:eastAsia="AngsanaUPC" w:hAnsi="Times New Roman"/>
                <w:bCs/>
                <w:sz w:val="18"/>
                <w:szCs w:val="18"/>
                <w:lang w:val="en-GB" w:eastAsia="lt-LT"/>
              </w:rPr>
            </w:pPr>
            <w:r w:rsidRPr="00A50C23">
              <w:rPr>
                <w:rFonts w:ascii="Times New Roman" w:eastAsia="AngsanaUPC" w:hAnsi="Times New Roman"/>
                <w:bCs/>
                <w:sz w:val="18"/>
                <w:szCs w:val="18"/>
                <w:lang w:val="en-GB" w:eastAsia="lt-LT"/>
              </w:rPr>
              <w:t>ESF</w:t>
            </w:r>
          </w:p>
        </w:tc>
        <w:tc>
          <w:tcPr>
            <w:tcW w:w="709" w:type="dxa"/>
            <w:shd w:val="clear" w:color="auto" w:fill="auto"/>
            <w:vAlign w:val="center"/>
          </w:tcPr>
          <w:p w:rsidR="007F6BC3" w:rsidRPr="00A50C23" w:rsidRDefault="00386A96" w:rsidP="00BB0960">
            <w:pPr>
              <w:widowControl w:val="0"/>
              <w:tabs>
                <w:tab w:val="left" w:pos="622"/>
              </w:tabs>
              <w:spacing w:after="0" w:line="240" w:lineRule="auto"/>
              <w:rPr>
                <w:rFonts w:ascii="Times New Roman" w:eastAsia="AngsanaUPC" w:hAnsi="Times New Roman"/>
                <w:bCs/>
                <w:sz w:val="18"/>
                <w:szCs w:val="18"/>
                <w:lang w:val="en-GB" w:eastAsia="lt-LT"/>
              </w:rPr>
            </w:pPr>
            <w:r w:rsidRPr="00A50C23">
              <w:rPr>
                <w:rFonts w:ascii="Times New Roman" w:eastAsia="AngsanaUPC" w:hAnsi="Times New Roman"/>
                <w:bCs/>
                <w:sz w:val="18"/>
                <w:szCs w:val="18"/>
                <w:lang w:val="en-GB" w:eastAsia="lt-LT"/>
              </w:rPr>
              <w:t>0</w:t>
            </w:r>
            <w:r w:rsidR="007F6BC3" w:rsidRPr="00A50C23">
              <w:rPr>
                <w:rFonts w:ascii="Times New Roman" w:eastAsia="AngsanaUPC" w:hAnsi="Times New Roman"/>
                <w:bCs/>
                <w:sz w:val="18"/>
                <w:szCs w:val="18"/>
                <w:lang w:val="en-GB" w:eastAsia="lt-LT"/>
              </w:rPr>
              <w:t>7</w:t>
            </w:r>
          </w:p>
        </w:tc>
        <w:tc>
          <w:tcPr>
            <w:tcW w:w="6378" w:type="dxa"/>
            <w:shd w:val="clear" w:color="auto" w:fill="auto"/>
            <w:vAlign w:val="center"/>
          </w:tcPr>
          <w:p w:rsidR="007F6BC3" w:rsidRPr="00A50C23" w:rsidRDefault="007F6BC3" w:rsidP="00BB0960">
            <w:pPr>
              <w:widowControl w:val="0"/>
              <w:tabs>
                <w:tab w:val="left" w:pos="622"/>
              </w:tabs>
              <w:spacing w:after="0" w:line="240" w:lineRule="auto"/>
              <w:jc w:val="both"/>
              <w:rPr>
                <w:rFonts w:ascii="Times New Roman" w:hAnsi="Times New Roman"/>
                <w:bCs/>
                <w:iCs/>
                <w:sz w:val="18"/>
                <w:szCs w:val="18"/>
              </w:rPr>
            </w:pPr>
            <w:r w:rsidRPr="00A50C23">
              <w:rPr>
                <w:rFonts w:ascii="Times New Roman" w:hAnsi="Times New Roman"/>
                <w:bCs/>
                <w:iCs/>
                <w:sz w:val="18"/>
                <w:szCs w:val="18"/>
              </w:rPr>
              <w:t>Netaikoma</w:t>
            </w:r>
          </w:p>
        </w:tc>
        <w:tc>
          <w:tcPr>
            <w:tcW w:w="1808" w:type="dxa"/>
            <w:shd w:val="clear" w:color="auto" w:fill="auto"/>
            <w:vAlign w:val="center"/>
          </w:tcPr>
          <w:p w:rsidR="007F6BC3" w:rsidRPr="00FC6264" w:rsidRDefault="007F6BC3" w:rsidP="00D47A28">
            <w:pPr>
              <w:widowControl w:val="0"/>
              <w:tabs>
                <w:tab w:val="left" w:pos="622"/>
              </w:tabs>
              <w:spacing w:after="0" w:line="240" w:lineRule="auto"/>
              <w:jc w:val="right"/>
              <w:rPr>
                <w:rFonts w:ascii="Times New Roman" w:eastAsia="AngsanaUPC" w:hAnsi="Times New Roman"/>
                <w:bCs/>
                <w:sz w:val="18"/>
                <w:szCs w:val="18"/>
                <w:lang w:val="en-GB" w:eastAsia="lt-LT"/>
              </w:rPr>
            </w:pPr>
            <w:r w:rsidRPr="00FC6264">
              <w:rPr>
                <w:rFonts w:ascii="Times New Roman" w:eastAsia="AngsanaUPC" w:hAnsi="Times New Roman"/>
                <w:bCs/>
                <w:sz w:val="18"/>
                <w:szCs w:val="18"/>
                <w:lang w:val="en-GB" w:eastAsia="lt-LT"/>
              </w:rPr>
              <w:t>4</w:t>
            </w:r>
            <w:r w:rsidR="009812CA" w:rsidRPr="00FC6264">
              <w:rPr>
                <w:rFonts w:ascii="Times New Roman" w:eastAsia="AngsanaUPC" w:hAnsi="Times New Roman"/>
                <w:bCs/>
                <w:sz w:val="18"/>
                <w:szCs w:val="18"/>
                <w:lang w:val="en-GB" w:eastAsia="lt-LT"/>
              </w:rPr>
              <w:t>53</w:t>
            </w:r>
            <w:r w:rsidR="00A50C23" w:rsidRPr="00FC6264">
              <w:rPr>
                <w:rFonts w:ascii="Times New Roman" w:eastAsia="AngsanaUPC" w:hAnsi="Times New Roman"/>
                <w:bCs/>
                <w:sz w:val="18"/>
                <w:szCs w:val="18"/>
                <w:lang w:val="en-GB" w:eastAsia="lt-LT"/>
              </w:rPr>
              <w:t>.</w:t>
            </w:r>
            <w:r w:rsidR="009812CA" w:rsidRPr="00FC6264">
              <w:rPr>
                <w:rFonts w:ascii="Times New Roman" w:eastAsia="AngsanaUPC" w:hAnsi="Times New Roman"/>
                <w:bCs/>
                <w:sz w:val="18"/>
                <w:szCs w:val="18"/>
                <w:lang w:val="en-GB" w:eastAsia="lt-LT"/>
              </w:rPr>
              <w:t>182</w:t>
            </w:r>
            <w:r w:rsidR="00A50C23" w:rsidRPr="00FC6264">
              <w:rPr>
                <w:rFonts w:ascii="Times New Roman" w:eastAsia="AngsanaUPC" w:hAnsi="Times New Roman"/>
                <w:bCs/>
                <w:sz w:val="18"/>
                <w:szCs w:val="18"/>
                <w:lang w:val="en-GB" w:eastAsia="lt-LT"/>
              </w:rPr>
              <w:t>.</w:t>
            </w:r>
            <w:r w:rsidR="009812CA" w:rsidRPr="00FC6264">
              <w:rPr>
                <w:rFonts w:ascii="Times New Roman" w:eastAsia="AngsanaUPC" w:hAnsi="Times New Roman"/>
                <w:bCs/>
                <w:sz w:val="18"/>
                <w:szCs w:val="18"/>
                <w:lang w:val="en-GB" w:eastAsia="lt-LT"/>
              </w:rPr>
              <w:t>085</w:t>
            </w:r>
          </w:p>
        </w:tc>
      </w:tr>
    </w:tbl>
    <w:p w:rsidR="00130753" w:rsidRPr="002447B3" w:rsidRDefault="00130753" w:rsidP="00130753">
      <w:pPr>
        <w:widowControl w:val="0"/>
        <w:tabs>
          <w:tab w:val="left" w:pos="622"/>
        </w:tabs>
        <w:spacing w:after="0" w:line="240" w:lineRule="auto"/>
        <w:jc w:val="both"/>
        <w:rPr>
          <w:rFonts w:ascii="Times New Roman" w:hAnsi="Times New Roman"/>
          <w:i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9"/>
        <w:gridCol w:w="6378"/>
        <w:gridCol w:w="1808"/>
      </w:tblGrid>
      <w:tr w:rsidR="00130753" w:rsidRPr="002447B3" w:rsidTr="00BB0960">
        <w:tc>
          <w:tcPr>
            <w:tcW w:w="9746" w:type="dxa"/>
            <w:gridSpan w:val="4"/>
            <w:shd w:val="clear" w:color="auto" w:fill="EEECE1"/>
          </w:tcPr>
          <w:p w:rsidR="00130753" w:rsidRPr="002447B3" w:rsidRDefault="00130753" w:rsidP="00BB0960">
            <w:pPr>
              <w:widowControl w:val="0"/>
              <w:tabs>
                <w:tab w:val="left" w:pos="622"/>
              </w:tabs>
              <w:spacing w:after="0" w:line="240" w:lineRule="auto"/>
              <w:jc w:val="both"/>
              <w:rPr>
                <w:rFonts w:ascii="Times New Roman" w:hAnsi="Times New Roman"/>
                <w:i/>
                <w:iCs/>
                <w:sz w:val="18"/>
                <w:szCs w:val="18"/>
              </w:rPr>
            </w:pPr>
            <w:r w:rsidRPr="002447B3">
              <w:rPr>
                <w:rFonts w:ascii="Times New Roman" w:hAnsi="Times New Roman"/>
                <w:b/>
                <w:bCs/>
                <w:i/>
                <w:iCs/>
                <w:sz w:val="18"/>
                <w:szCs w:val="18"/>
              </w:rPr>
              <w:t>ESF antrinė tema</w:t>
            </w:r>
          </w:p>
        </w:tc>
      </w:tr>
      <w:tr w:rsidR="00130753" w:rsidRPr="002447B3" w:rsidTr="00386A96">
        <w:tc>
          <w:tcPr>
            <w:tcW w:w="851" w:type="dxa"/>
            <w:shd w:val="clear" w:color="auto" w:fill="EEECE1"/>
            <w:vAlign w:val="center"/>
          </w:tcPr>
          <w:p w:rsidR="00130753" w:rsidRPr="002447B3" w:rsidRDefault="00130753" w:rsidP="00BB0960">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Fondas</w:t>
            </w:r>
          </w:p>
        </w:tc>
        <w:tc>
          <w:tcPr>
            <w:tcW w:w="709" w:type="dxa"/>
            <w:shd w:val="clear" w:color="auto" w:fill="EEECE1"/>
            <w:vAlign w:val="center"/>
          </w:tcPr>
          <w:p w:rsidR="00130753" w:rsidRPr="002447B3" w:rsidRDefault="00130753" w:rsidP="00BB0960">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Kodas</w:t>
            </w:r>
          </w:p>
        </w:tc>
        <w:tc>
          <w:tcPr>
            <w:tcW w:w="6378" w:type="dxa"/>
            <w:shd w:val="clear" w:color="auto" w:fill="EEECE1"/>
            <w:vAlign w:val="center"/>
          </w:tcPr>
          <w:p w:rsidR="00130753" w:rsidRPr="002447B3" w:rsidRDefault="00130753" w:rsidP="00BB0960">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Pavadinimas</w:t>
            </w:r>
          </w:p>
        </w:tc>
        <w:tc>
          <w:tcPr>
            <w:tcW w:w="1808" w:type="dxa"/>
            <w:shd w:val="clear" w:color="auto" w:fill="EEECE1"/>
            <w:vAlign w:val="center"/>
          </w:tcPr>
          <w:p w:rsidR="00130753" w:rsidRPr="002447B3" w:rsidRDefault="00130753" w:rsidP="00BB0960">
            <w:pPr>
              <w:widowControl w:val="0"/>
              <w:tabs>
                <w:tab w:val="left" w:pos="622"/>
              </w:tabs>
              <w:spacing w:after="0" w:line="240" w:lineRule="auto"/>
              <w:jc w:val="center"/>
              <w:rPr>
                <w:rFonts w:ascii="Times New Roman" w:hAnsi="Times New Roman"/>
                <w:b/>
                <w:bCs/>
                <w:iCs/>
                <w:sz w:val="18"/>
                <w:szCs w:val="18"/>
              </w:rPr>
            </w:pPr>
            <w:r w:rsidRPr="002447B3">
              <w:rPr>
                <w:rFonts w:ascii="Times New Roman" w:hAnsi="Times New Roman"/>
                <w:b/>
                <w:bCs/>
                <w:iCs/>
                <w:sz w:val="18"/>
                <w:szCs w:val="18"/>
              </w:rPr>
              <w:t>Finansinė proporcija (eurais)</w:t>
            </w:r>
          </w:p>
        </w:tc>
      </w:tr>
      <w:tr w:rsidR="007F6BC3" w:rsidRPr="00A50C23" w:rsidTr="00386A96">
        <w:tc>
          <w:tcPr>
            <w:tcW w:w="851" w:type="dxa"/>
            <w:shd w:val="clear" w:color="auto" w:fill="auto"/>
            <w:vAlign w:val="center"/>
          </w:tcPr>
          <w:p w:rsidR="007F6BC3" w:rsidRPr="00A50C23" w:rsidRDefault="007F6BC3" w:rsidP="00BB0960">
            <w:pPr>
              <w:widowControl w:val="0"/>
              <w:tabs>
                <w:tab w:val="left" w:pos="622"/>
              </w:tabs>
              <w:spacing w:after="0" w:line="240" w:lineRule="auto"/>
              <w:rPr>
                <w:rFonts w:ascii="Times New Roman" w:eastAsia="AngsanaUPC" w:hAnsi="Times New Roman"/>
                <w:bCs/>
                <w:sz w:val="18"/>
                <w:szCs w:val="18"/>
                <w:lang w:val="en-GB" w:eastAsia="lt-LT"/>
              </w:rPr>
            </w:pPr>
            <w:r w:rsidRPr="00A50C23">
              <w:rPr>
                <w:rFonts w:ascii="Times New Roman" w:eastAsia="AngsanaUPC" w:hAnsi="Times New Roman"/>
                <w:bCs/>
                <w:sz w:val="18"/>
                <w:szCs w:val="18"/>
                <w:lang w:val="en-GB" w:eastAsia="lt-LT"/>
              </w:rPr>
              <w:t>ESF</w:t>
            </w:r>
          </w:p>
        </w:tc>
        <w:tc>
          <w:tcPr>
            <w:tcW w:w="709" w:type="dxa"/>
            <w:shd w:val="clear" w:color="auto" w:fill="auto"/>
            <w:vAlign w:val="center"/>
          </w:tcPr>
          <w:p w:rsidR="007F6BC3" w:rsidRPr="00A50C23" w:rsidRDefault="007F6BC3" w:rsidP="00A50C23">
            <w:pPr>
              <w:widowControl w:val="0"/>
              <w:tabs>
                <w:tab w:val="left" w:pos="622"/>
              </w:tabs>
              <w:spacing w:after="0" w:line="240" w:lineRule="auto"/>
              <w:rPr>
                <w:rFonts w:ascii="Times New Roman" w:eastAsia="AngsanaUPC" w:hAnsi="Times New Roman"/>
                <w:bCs/>
                <w:sz w:val="18"/>
                <w:szCs w:val="18"/>
                <w:lang w:val="en-GB" w:eastAsia="lt-LT"/>
              </w:rPr>
            </w:pPr>
            <w:r w:rsidRPr="00A50C23">
              <w:rPr>
                <w:rFonts w:ascii="Times New Roman" w:eastAsia="AngsanaUPC" w:hAnsi="Times New Roman"/>
                <w:bCs/>
                <w:sz w:val="18"/>
                <w:szCs w:val="18"/>
                <w:lang w:val="en-GB" w:eastAsia="lt-LT"/>
              </w:rPr>
              <w:t>03</w:t>
            </w:r>
          </w:p>
        </w:tc>
        <w:tc>
          <w:tcPr>
            <w:tcW w:w="6378" w:type="dxa"/>
            <w:shd w:val="clear" w:color="auto" w:fill="auto"/>
            <w:vAlign w:val="center"/>
          </w:tcPr>
          <w:p w:rsidR="007F6BC3" w:rsidRPr="00A50C23" w:rsidRDefault="007F6BC3" w:rsidP="00BB0960">
            <w:pPr>
              <w:widowControl w:val="0"/>
              <w:tabs>
                <w:tab w:val="left" w:pos="622"/>
              </w:tabs>
              <w:spacing w:after="0" w:line="240" w:lineRule="auto"/>
              <w:jc w:val="both"/>
              <w:rPr>
                <w:rFonts w:ascii="Times New Roman" w:hAnsi="Times New Roman"/>
                <w:bCs/>
                <w:iCs/>
                <w:sz w:val="18"/>
                <w:szCs w:val="18"/>
              </w:rPr>
            </w:pPr>
            <w:r w:rsidRPr="00A50C23">
              <w:rPr>
                <w:rFonts w:ascii="Times New Roman" w:hAnsi="Times New Roman"/>
                <w:bCs/>
                <w:iCs/>
                <w:sz w:val="18"/>
                <w:szCs w:val="18"/>
              </w:rPr>
              <w:t>MVĮ konkurencingumo didinimas</w:t>
            </w:r>
          </w:p>
        </w:tc>
        <w:tc>
          <w:tcPr>
            <w:tcW w:w="1808" w:type="dxa"/>
            <w:shd w:val="clear" w:color="auto" w:fill="auto"/>
            <w:vAlign w:val="center"/>
          </w:tcPr>
          <w:p w:rsidR="007F6BC3" w:rsidRPr="00FC6264" w:rsidRDefault="009812CA" w:rsidP="00772596">
            <w:pPr>
              <w:widowControl w:val="0"/>
              <w:tabs>
                <w:tab w:val="left" w:pos="622"/>
              </w:tabs>
              <w:spacing w:after="0" w:line="240" w:lineRule="auto"/>
              <w:jc w:val="right"/>
              <w:rPr>
                <w:rFonts w:ascii="Times New Roman" w:eastAsia="AngsanaUPC" w:hAnsi="Times New Roman"/>
                <w:bCs/>
                <w:sz w:val="18"/>
                <w:szCs w:val="18"/>
                <w:lang w:val="en-GB" w:eastAsia="lt-LT"/>
              </w:rPr>
            </w:pPr>
            <w:r w:rsidRPr="00FC6264">
              <w:rPr>
                <w:rFonts w:ascii="Times New Roman" w:eastAsia="AngsanaUPC" w:hAnsi="Times New Roman"/>
                <w:bCs/>
                <w:sz w:val="18"/>
                <w:szCs w:val="18"/>
                <w:lang w:val="en-GB" w:eastAsia="lt-LT"/>
              </w:rPr>
              <w:t>70</w:t>
            </w:r>
            <w:r w:rsidR="00A50C23"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431</w:t>
            </w:r>
            <w:r w:rsidR="00A50C23"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787</w:t>
            </w:r>
          </w:p>
        </w:tc>
      </w:tr>
      <w:tr w:rsidR="007F6BC3" w:rsidRPr="00A50C23" w:rsidTr="00386A96">
        <w:tc>
          <w:tcPr>
            <w:tcW w:w="851" w:type="dxa"/>
            <w:shd w:val="clear" w:color="auto" w:fill="auto"/>
            <w:vAlign w:val="center"/>
          </w:tcPr>
          <w:p w:rsidR="007F6BC3" w:rsidRPr="00A50C23" w:rsidRDefault="007F6BC3" w:rsidP="00BB0960">
            <w:pPr>
              <w:widowControl w:val="0"/>
              <w:tabs>
                <w:tab w:val="left" w:pos="622"/>
              </w:tabs>
              <w:spacing w:after="0" w:line="240" w:lineRule="auto"/>
              <w:rPr>
                <w:rFonts w:ascii="Times New Roman" w:eastAsia="AngsanaUPC" w:hAnsi="Times New Roman"/>
                <w:bCs/>
                <w:sz w:val="18"/>
                <w:szCs w:val="18"/>
                <w:lang w:val="en-GB" w:eastAsia="lt-LT"/>
              </w:rPr>
            </w:pPr>
            <w:r w:rsidRPr="00A50C23">
              <w:rPr>
                <w:rFonts w:ascii="Times New Roman" w:eastAsia="AngsanaUPC" w:hAnsi="Times New Roman"/>
                <w:bCs/>
                <w:sz w:val="18"/>
                <w:szCs w:val="18"/>
                <w:lang w:val="en-GB" w:eastAsia="lt-LT"/>
              </w:rPr>
              <w:t>ESF</w:t>
            </w:r>
          </w:p>
        </w:tc>
        <w:tc>
          <w:tcPr>
            <w:tcW w:w="709" w:type="dxa"/>
            <w:shd w:val="clear" w:color="auto" w:fill="auto"/>
            <w:vAlign w:val="center"/>
          </w:tcPr>
          <w:p w:rsidR="007F6BC3" w:rsidRPr="00A50C23" w:rsidRDefault="007F6BC3" w:rsidP="00A50C23">
            <w:pPr>
              <w:widowControl w:val="0"/>
              <w:tabs>
                <w:tab w:val="left" w:pos="622"/>
              </w:tabs>
              <w:spacing w:after="0" w:line="240" w:lineRule="auto"/>
              <w:rPr>
                <w:rFonts w:ascii="Times New Roman" w:eastAsia="AngsanaUPC" w:hAnsi="Times New Roman"/>
                <w:bCs/>
                <w:sz w:val="18"/>
                <w:szCs w:val="18"/>
                <w:lang w:val="en-GB" w:eastAsia="lt-LT"/>
              </w:rPr>
            </w:pPr>
            <w:r w:rsidRPr="00A50C23">
              <w:rPr>
                <w:rFonts w:ascii="Times New Roman" w:eastAsia="AngsanaUPC" w:hAnsi="Times New Roman"/>
                <w:bCs/>
                <w:sz w:val="18"/>
                <w:szCs w:val="18"/>
                <w:lang w:val="en-GB" w:eastAsia="lt-LT"/>
              </w:rPr>
              <w:t>08</w:t>
            </w:r>
          </w:p>
        </w:tc>
        <w:tc>
          <w:tcPr>
            <w:tcW w:w="6378" w:type="dxa"/>
            <w:shd w:val="clear" w:color="auto" w:fill="auto"/>
            <w:vAlign w:val="center"/>
          </w:tcPr>
          <w:p w:rsidR="007F6BC3" w:rsidRPr="00A50C23" w:rsidRDefault="007F6BC3" w:rsidP="00BB0960">
            <w:pPr>
              <w:widowControl w:val="0"/>
              <w:tabs>
                <w:tab w:val="left" w:pos="622"/>
              </w:tabs>
              <w:spacing w:after="0" w:line="240" w:lineRule="auto"/>
              <w:jc w:val="both"/>
              <w:rPr>
                <w:rFonts w:ascii="Times New Roman" w:hAnsi="Times New Roman"/>
                <w:bCs/>
                <w:iCs/>
                <w:sz w:val="18"/>
                <w:szCs w:val="18"/>
              </w:rPr>
            </w:pPr>
            <w:r w:rsidRPr="00A50C23">
              <w:rPr>
                <w:rFonts w:ascii="Times New Roman" w:hAnsi="Times New Roman"/>
                <w:bCs/>
                <w:iCs/>
                <w:sz w:val="18"/>
                <w:szCs w:val="18"/>
              </w:rPr>
              <w:t>Netaikoma</w:t>
            </w:r>
          </w:p>
        </w:tc>
        <w:tc>
          <w:tcPr>
            <w:tcW w:w="1808" w:type="dxa"/>
            <w:shd w:val="clear" w:color="auto" w:fill="auto"/>
            <w:vAlign w:val="center"/>
          </w:tcPr>
          <w:p w:rsidR="007F6BC3" w:rsidRPr="00FC6264" w:rsidRDefault="007F6BC3" w:rsidP="00D47A28">
            <w:pPr>
              <w:widowControl w:val="0"/>
              <w:tabs>
                <w:tab w:val="left" w:pos="622"/>
              </w:tabs>
              <w:spacing w:after="0" w:line="240" w:lineRule="auto"/>
              <w:jc w:val="right"/>
              <w:rPr>
                <w:rFonts w:ascii="Times New Roman" w:eastAsia="AngsanaUPC" w:hAnsi="Times New Roman"/>
                <w:bCs/>
                <w:sz w:val="18"/>
                <w:szCs w:val="18"/>
                <w:lang w:val="en-GB" w:eastAsia="lt-LT"/>
              </w:rPr>
            </w:pPr>
            <w:r w:rsidRPr="00FC6264">
              <w:rPr>
                <w:rFonts w:ascii="Times New Roman" w:eastAsia="AngsanaUPC" w:hAnsi="Times New Roman"/>
                <w:bCs/>
                <w:sz w:val="18"/>
                <w:szCs w:val="18"/>
                <w:lang w:val="en-GB" w:eastAsia="lt-LT"/>
              </w:rPr>
              <w:t>3</w:t>
            </w:r>
            <w:r w:rsidR="00D47A28" w:rsidRPr="00FC6264">
              <w:rPr>
                <w:rFonts w:ascii="Times New Roman" w:eastAsia="AngsanaUPC" w:hAnsi="Times New Roman"/>
                <w:bCs/>
                <w:sz w:val="18"/>
                <w:szCs w:val="18"/>
                <w:lang w:val="en-GB" w:eastAsia="lt-LT"/>
              </w:rPr>
              <w:t>82</w:t>
            </w:r>
            <w:r w:rsidR="00A50C23" w:rsidRPr="00FC6264">
              <w:rPr>
                <w:rFonts w:ascii="Times New Roman" w:eastAsia="AngsanaUPC" w:hAnsi="Times New Roman"/>
                <w:bCs/>
                <w:sz w:val="18"/>
                <w:szCs w:val="18"/>
                <w:lang w:val="en-GB" w:eastAsia="lt-LT"/>
              </w:rPr>
              <w:t>.</w:t>
            </w:r>
            <w:r w:rsidR="00D47A28" w:rsidRPr="00FC6264">
              <w:rPr>
                <w:rFonts w:ascii="Times New Roman" w:eastAsia="AngsanaUPC" w:hAnsi="Times New Roman"/>
                <w:bCs/>
                <w:sz w:val="18"/>
                <w:szCs w:val="18"/>
                <w:lang w:val="en-GB" w:eastAsia="lt-LT"/>
              </w:rPr>
              <w:t>7</w:t>
            </w:r>
            <w:r w:rsidRPr="00FC6264">
              <w:rPr>
                <w:rFonts w:ascii="Times New Roman" w:eastAsia="AngsanaUPC" w:hAnsi="Times New Roman"/>
                <w:bCs/>
                <w:sz w:val="18"/>
                <w:szCs w:val="18"/>
                <w:lang w:val="en-GB" w:eastAsia="lt-LT"/>
              </w:rPr>
              <w:t>50</w:t>
            </w:r>
            <w:r w:rsidR="00A50C23" w:rsidRPr="00FC6264">
              <w:rPr>
                <w:rFonts w:ascii="Times New Roman" w:eastAsia="AngsanaUPC" w:hAnsi="Times New Roman"/>
                <w:bCs/>
                <w:sz w:val="18"/>
                <w:szCs w:val="18"/>
                <w:lang w:val="en-GB" w:eastAsia="lt-LT"/>
              </w:rPr>
              <w:t>.</w:t>
            </w:r>
            <w:r w:rsidRPr="00FC6264">
              <w:rPr>
                <w:rFonts w:ascii="Times New Roman" w:eastAsia="AngsanaUPC" w:hAnsi="Times New Roman"/>
                <w:bCs/>
                <w:sz w:val="18"/>
                <w:szCs w:val="18"/>
                <w:lang w:val="en-GB" w:eastAsia="lt-LT"/>
              </w:rPr>
              <w:t>298</w:t>
            </w:r>
          </w:p>
        </w:tc>
      </w:tr>
    </w:tbl>
    <w:p w:rsidR="00385835" w:rsidRDefault="00385835" w:rsidP="00385835">
      <w:pPr>
        <w:spacing w:after="0" w:line="240" w:lineRule="auto"/>
        <w:rPr>
          <w:b/>
          <w:bCs/>
          <w:iCs/>
        </w:rPr>
      </w:pPr>
    </w:p>
    <w:p w:rsidR="007F6BC3" w:rsidRDefault="007F6BC3" w:rsidP="00385835">
      <w:pPr>
        <w:spacing w:after="0" w:line="240" w:lineRule="auto"/>
        <w:rPr>
          <w:b/>
          <w:bCs/>
          <w:iCs/>
        </w:rPr>
        <w:sectPr w:rsidR="007F6BC3" w:rsidSect="007F6BC3">
          <w:pgSz w:w="11906" w:h="16838" w:code="9"/>
          <w:pgMar w:top="1701" w:right="567" w:bottom="1134" w:left="1701" w:header="567" w:footer="567" w:gutter="0"/>
          <w:cols w:space="1296"/>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746"/>
      </w:tblGrid>
      <w:tr w:rsidR="00385835" w:rsidRPr="00385835" w:rsidTr="00385835">
        <w:trPr>
          <w:trHeight w:val="416"/>
        </w:trPr>
        <w:tc>
          <w:tcPr>
            <w:tcW w:w="9746" w:type="dxa"/>
            <w:shd w:val="clear" w:color="auto" w:fill="EEECE1"/>
            <w:vAlign w:val="center"/>
          </w:tcPr>
          <w:p w:rsidR="00385835" w:rsidRPr="00385835" w:rsidRDefault="00385835" w:rsidP="00385835">
            <w:pPr>
              <w:keepNext/>
              <w:spacing w:after="0" w:line="240" w:lineRule="auto"/>
              <w:jc w:val="both"/>
              <w:outlineLvl w:val="1"/>
              <w:rPr>
                <w:rFonts w:ascii="Times New Roman" w:eastAsia="AngsanaUPC" w:hAnsi="Times New Roman"/>
                <w:b/>
                <w:bCs/>
                <w:iCs/>
                <w:sz w:val="24"/>
                <w:szCs w:val="28"/>
                <w:lang w:eastAsia="lt-LT"/>
              </w:rPr>
            </w:pPr>
            <w:r w:rsidRPr="00385835">
              <w:rPr>
                <w:rFonts w:ascii="Times New Roman" w:eastAsia="Times New Roman" w:hAnsi="Times New Roman"/>
                <w:b/>
                <w:bCs/>
                <w:sz w:val="24"/>
                <w:szCs w:val="24"/>
                <w:lang w:val="x-none"/>
              </w:rPr>
              <w:lastRenderedPageBreak/>
              <w:br w:type="page"/>
            </w:r>
            <w:bookmarkStart w:id="14" w:name="_Toc69836229"/>
            <w:r w:rsidRPr="00385835">
              <w:rPr>
                <w:rFonts w:ascii="Times New Roman" w:eastAsia="AngsanaUPC" w:hAnsi="Times New Roman"/>
                <w:b/>
                <w:bCs/>
                <w:iCs/>
                <w:sz w:val="24"/>
                <w:szCs w:val="28"/>
                <w:lang w:eastAsia="lt-LT"/>
              </w:rPr>
              <w:t>10 PRIORITETAS. VISUOMENĖS POREIKIUS ATITINKANTIS IR PAŽANGUS VIEŠASIS VALDYMAS</w:t>
            </w:r>
            <w:bookmarkEnd w:id="14"/>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vAlign w:val="center"/>
          </w:tcPr>
          <w:p w:rsidR="00385835" w:rsidRPr="00385835" w:rsidRDefault="00385835" w:rsidP="00385835">
            <w:pPr>
              <w:widowControl w:val="0"/>
              <w:tabs>
                <w:tab w:val="left" w:pos="622"/>
              </w:tabs>
              <w:spacing w:after="0" w:line="240" w:lineRule="auto"/>
              <w:rPr>
                <w:rFonts w:ascii="Times New Roman" w:eastAsia="AngsanaUPC" w:hAnsi="Times New Roman"/>
                <w:b/>
                <w:bCs/>
                <w:iCs/>
                <w:sz w:val="24"/>
                <w:szCs w:val="24"/>
                <w:lang w:eastAsia="lt-LT"/>
              </w:rPr>
            </w:pPr>
            <w:r w:rsidRPr="00385835">
              <w:rPr>
                <w:rFonts w:ascii="Times New Roman" w:eastAsia="AngsanaUPC" w:hAnsi="Times New Roman"/>
                <w:b/>
                <w:bCs/>
                <w:iCs/>
                <w:sz w:val="24"/>
                <w:szCs w:val="24"/>
                <w:lang w:eastAsia="lt-LT"/>
              </w:rPr>
              <w:t>10.1. INVESTICINIS PRIORITETAS</w:t>
            </w:r>
          </w:p>
        </w:tc>
        <w:tc>
          <w:tcPr>
            <w:tcW w:w="7336" w:type="dxa"/>
            <w:shd w:val="clear" w:color="auto" w:fill="EEECE1"/>
            <w:vAlign w:val="center"/>
          </w:tcPr>
          <w:p w:rsidR="00385835" w:rsidRPr="00385835" w:rsidRDefault="00385835" w:rsidP="00385835">
            <w:pPr>
              <w:spacing w:after="0" w:line="240" w:lineRule="auto"/>
              <w:jc w:val="both"/>
              <w:rPr>
                <w:rFonts w:ascii="Times New Roman" w:hAnsi="Times New Roman"/>
                <w:b/>
                <w:sz w:val="24"/>
                <w:szCs w:val="24"/>
              </w:rPr>
            </w:pPr>
            <w:r w:rsidRPr="00385835">
              <w:rPr>
                <w:rFonts w:ascii="Times New Roman" w:hAnsi="Times New Roman"/>
                <w:b/>
                <w:sz w:val="24"/>
                <w:szCs w:val="24"/>
              </w:rPr>
              <w:t>Investavimas į institucinių gebėjimų stiprinimą ir veiksmingesnį viešąjį administravimą bei viešąsias paslaugas nacionaliniu, regionų ir vietos lygmenimis, siekiant reformų, geresnio regl</w:t>
            </w:r>
            <w:r w:rsidR="00031EF1">
              <w:rPr>
                <w:rFonts w:ascii="Times New Roman" w:hAnsi="Times New Roman"/>
                <w:b/>
                <w:sz w:val="24"/>
                <w:szCs w:val="24"/>
              </w:rPr>
              <w:t>amentavimo ir gero valdymo</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FONDAS</w:t>
            </w:r>
          </w:p>
        </w:tc>
        <w:tc>
          <w:tcPr>
            <w:tcW w:w="7336"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Europos socialinis fondas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tcPr>
          <w:p w:rsidR="00385835" w:rsidRPr="00385835" w:rsidRDefault="00385835" w:rsidP="00385835">
            <w:pPr>
              <w:widowControl w:val="0"/>
              <w:tabs>
                <w:tab w:val="left" w:pos="622"/>
              </w:tabs>
              <w:spacing w:after="0" w:line="240" w:lineRule="auto"/>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10.1.1. KONKRETUS UŽDAVINYS</w:t>
            </w:r>
          </w:p>
        </w:tc>
        <w:tc>
          <w:tcPr>
            <w:tcW w:w="7336" w:type="dxa"/>
            <w:shd w:val="clear" w:color="auto" w:fill="EEECE1"/>
            <w:vAlign w:val="center"/>
          </w:tcPr>
          <w:p w:rsidR="00385835" w:rsidRPr="00385835" w:rsidRDefault="00385835" w:rsidP="00385835">
            <w:pPr>
              <w:spacing w:after="0" w:line="240" w:lineRule="auto"/>
              <w:jc w:val="both"/>
              <w:rPr>
                <w:rFonts w:ascii="Times New Roman" w:hAnsi="Times New Roman"/>
                <w:b/>
                <w:sz w:val="24"/>
                <w:szCs w:val="24"/>
              </w:rPr>
            </w:pPr>
            <w:r w:rsidRPr="00385835">
              <w:rPr>
                <w:rFonts w:ascii="Times New Roman" w:hAnsi="Times New Roman"/>
                <w:b/>
                <w:sz w:val="24"/>
                <w:szCs w:val="24"/>
              </w:rPr>
              <w:t>Padidinti valdymo orientaciją į rezultatus</w:t>
            </w:r>
          </w:p>
        </w:tc>
      </w:tr>
      <w:tr w:rsidR="00385835" w:rsidRPr="00385835" w:rsidTr="00385835">
        <w:tc>
          <w:tcPr>
            <w:tcW w:w="9746" w:type="dxa"/>
            <w:gridSpan w:val="2"/>
            <w:shd w:val="clear" w:color="auto" w:fill="auto"/>
          </w:tcPr>
          <w:p w:rsidR="00385835" w:rsidRPr="00385835" w:rsidRDefault="00385835" w:rsidP="00385835">
            <w:pPr>
              <w:widowControl w:val="0"/>
              <w:tabs>
                <w:tab w:val="left" w:pos="622"/>
              </w:tabs>
              <w:spacing w:after="0" w:line="240" w:lineRule="auto"/>
              <w:ind w:firstLine="624"/>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 xml:space="preserve">Viešojo valdymo sprendimai ne visuomet grindžiami jau pasiektų valdymo rezultatų informacija (įrodymais), trūksta sisteminio viešojo valdymo institucijų veiklos planavimo, stebėjimo, vertinimo ir tobulinimo. Egzistuoja poreikis didinti viešojo valdymo institucijų atliekamų funkcijų efektyvumą, atitinkamai planuoti ir įgyvendinti sisteminius institucinės sandaros tobulinimo sprendimus bei vykdyti kitas nacionalines viešojo valdymo reformas. </w:t>
            </w:r>
          </w:p>
          <w:p w:rsidR="00385835" w:rsidRPr="00385835" w:rsidRDefault="00385835" w:rsidP="00385835">
            <w:pPr>
              <w:widowControl w:val="0"/>
              <w:tabs>
                <w:tab w:val="left" w:pos="622"/>
              </w:tabs>
              <w:spacing w:after="0" w:line="240" w:lineRule="auto"/>
              <w:ind w:firstLine="624"/>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 xml:space="preserve">Įgyvendinant uždavinį, bus siekiama, kad daugiau viešojo valdymo institucijų taikytų įrodymais grįsto valdymo priemones, </w:t>
            </w:r>
            <w:r w:rsidR="007524B7">
              <w:rPr>
                <w:rFonts w:ascii="Times New Roman" w:eastAsia="AngsanaUPC" w:hAnsi="Times New Roman"/>
                <w:bCs/>
                <w:sz w:val="24"/>
                <w:szCs w:val="24"/>
                <w:lang w:eastAsia="lt-LT"/>
              </w:rPr>
              <w:t>diegtų įvairias veiklos valdymo/</w:t>
            </w:r>
            <w:r w:rsidRPr="00385835">
              <w:rPr>
                <w:rFonts w:ascii="Times New Roman" w:eastAsia="AngsanaUPC" w:hAnsi="Times New Roman"/>
                <w:bCs/>
                <w:sz w:val="24"/>
                <w:szCs w:val="24"/>
                <w:lang w:eastAsia="lt-LT"/>
              </w:rPr>
              <w:t>kokybės vadybos sistemas, vykdytų vidaus administravimo tobulinimo iniciatyvas, susijusias su bendrųjų funkcijų analize, vertinimu, centralizavimu, standartizavimu. Siekiant racionalesnio viešajam valdymui skiriamų išteklių paskirstymo ir efektyvesnio jų panaudojimo, numatoma vykdyti gerai suplanuotas nacionalines viešojo valdymo reformas. Taip pat numatoma tobulinti viešųjų išlaidų valdymą. Tikimasi, kad veiklos, susijusios su viešojo valdymo institucijų veiklos efektyvumo didinimu, įrodymais grįsto valdymo priemonių taikymu ir nacionalinių viešojo valdymo reformų įgyvendinimu, prisidės prie valdymo efektyvumo indekso pagerėjimo (2011 m. – 21 vieta ES, 2020</w:t>
            </w:r>
            <w:r w:rsidR="00A50C23">
              <w:rPr>
                <w:rFonts w:ascii="Times New Roman" w:eastAsia="AngsanaUPC" w:hAnsi="Times New Roman"/>
                <w:bCs/>
                <w:sz w:val="24"/>
                <w:szCs w:val="24"/>
                <w:lang w:eastAsia="lt-LT"/>
              </w:rPr>
              <w:t>.</w:t>
            </w:r>
            <w:r w:rsidRPr="00385835">
              <w:rPr>
                <w:rFonts w:ascii="Times New Roman" w:eastAsia="AngsanaUPC" w:hAnsi="Times New Roman"/>
                <w:bCs/>
                <w:sz w:val="24"/>
                <w:szCs w:val="24"/>
                <w:lang w:eastAsia="lt-LT"/>
              </w:rPr>
              <w:t>m. siekiams rodiklis – 15 vieta ES).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504"/>
        <w:gridCol w:w="2331"/>
        <w:gridCol w:w="993"/>
        <w:gridCol w:w="1134"/>
        <w:gridCol w:w="708"/>
        <w:gridCol w:w="426"/>
        <w:gridCol w:w="708"/>
        <w:gridCol w:w="709"/>
        <w:gridCol w:w="581"/>
        <w:gridCol w:w="1006"/>
        <w:gridCol w:w="646"/>
      </w:tblGrid>
      <w:tr w:rsidR="00385835" w:rsidRPr="00385835" w:rsidTr="00385835">
        <w:tc>
          <w:tcPr>
            <w:tcW w:w="9746" w:type="dxa"/>
            <w:gridSpan w:val="11"/>
            <w:shd w:val="clear" w:color="auto" w:fill="EEECE1"/>
          </w:tcPr>
          <w:p w:rsidR="00385835" w:rsidRPr="00385835" w:rsidRDefault="00385835" w:rsidP="00D94011">
            <w:pPr>
              <w:widowControl w:val="0"/>
              <w:tabs>
                <w:tab w:val="left" w:pos="622"/>
              </w:tabs>
              <w:spacing w:after="0" w:line="240" w:lineRule="auto"/>
              <w:jc w:val="both"/>
              <w:rPr>
                <w:rFonts w:ascii="Times New Roman" w:eastAsia="AngsanaUPC" w:hAnsi="Times New Roman"/>
                <w:b/>
                <w:bCs/>
                <w:i/>
                <w:iCs/>
                <w:sz w:val="24"/>
                <w:szCs w:val="24"/>
                <w:lang w:eastAsia="lt-LT"/>
              </w:rPr>
            </w:pPr>
            <w:r w:rsidRPr="00385835">
              <w:rPr>
                <w:rFonts w:ascii="Times New Roman" w:eastAsia="AngsanaUPC" w:hAnsi="Times New Roman"/>
                <w:b/>
                <w:bCs/>
                <w:i/>
                <w:iCs/>
                <w:sz w:val="24"/>
                <w:szCs w:val="24"/>
                <w:lang w:eastAsia="lt-LT"/>
              </w:rPr>
              <w:t xml:space="preserve">ESF bendrieji ir </w:t>
            </w:r>
            <w:r w:rsidR="00D94011">
              <w:rPr>
                <w:rFonts w:ascii="Times New Roman" w:eastAsia="AngsanaUPC" w:hAnsi="Times New Roman"/>
                <w:b/>
                <w:bCs/>
                <w:i/>
                <w:iCs/>
                <w:sz w:val="24"/>
                <w:szCs w:val="24"/>
                <w:lang w:eastAsia="lt-LT"/>
              </w:rPr>
              <w:t>specialieji</w:t>
            </w:r>
            <w:r w:rsidR="00D94011" w:rsidRPr="00385835">
              <w:rPr>
                <w:rFonts w:ascii="Times New Roman" w:eastAsia="AngsanaUPC" w:hAnsi="Times New Roman"/>
                <w:b/>
                <w:bCs/>
                <w:i/>
                <w:iCs/>
                <w:sz w:val="24"/>
                <w:szCs w:val="24"/>
                <w:lang w:eastAsia="lt-LT"/>
              </w:rPr>
              <w:t xml:space="preserve"> </w:t>
            </w:r>
            <w:r w:rsidRPr="00385835">
              <w:rPr>
                <w:rFonts w:ascii="Times New Roman" w:eastAsia="AngsanaUPC" w:hAnsi="Times New Roman"/>
                <w:b/>
                <w:bCs/>
                <w:i/>
                <w:iCs/>
                <w:sz w:val="24"/>
                <w:szCs w:val="24"/>
                <w:lang w:eastAsia="lt-LT"/>
              </w:rPr>
              <w:t>programos rezultato rodikliai</w:t>
            </w:r>
          </w:p>
        </w:tc>
      </w:tr>
      <w:tr w:rsidR="00385835" w:rsidRPr="00385835" w:rsidTr="00385835">
        <w:tblPrEx>
          <w:shd w:val="clear" w:color="auto" w:fill="auto"/>
        </w:tblPrEx>
        <w:trPr>
          <w:cantSplit/>
          <w:trHeight w:val="1837"/>
        </w:trPr>
        <w:tc>
          <w:tcPr>
            <w:tcW w:w="50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Nr.</w:t>
            </w:r>
          </w:p>
        </w:tc>
        <w:tc>
          <w:tcPr>
            <w:tcW w:w="233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Rodiklio pavadinimas</w:t>
            </w:r>
          </w:p>
        </w:tc>
        <w:tc>
          <w:tcPr>
            <w:tcW w:w="993"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Regiono kategorija</w:t>
            </w:r>
          </w:p>
        </w:tc>
        <w:tc>
          <w:tcPr>
            <w:tcW w:w="1134"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Matavimo vienetas</w:t>
            </w:r>
          </w:p>
        </w:tc>
        <w:tc>
          <w:tcPr>
            <w:tcW w:w="708"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Bendrasis produkto rodiklis, naudotas kaip pagrindas</w:t>
            </w:r>
          </w:p>
        </w:tc>
        <w:tc>
          <w:tcPr>
            <w:tcW w:w="426"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 reikšmė</w:t>
            </w:r>
          </w:p>
        </w:tc>
        <w:tc>
          <w:tcPr>
            <w:tcW w:w="708"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Pradinės ir siektinos reikšmės matavimo vienetai</w:t>
            </w:r>
          </w:p>
        </w:tc>
        <w:tc>
          <w:tcPr>
            <w:tcW w:w="709"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Pradinės reikšmės metai</w:t>
            </w:r>
          </w:p>
        </w:tc>
        <w:tc>
          <w:tcPr>
            <w:tcW w:w="581"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Siektina reikšmė (2023)</w:t>
            </w:r>
          </w:p>
        </w:tc>
        <w:tc>
          <w:tcPr>
            <w:tcW w:w="1006"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Duomenų šaltinis</w:t>
            </w:r>
          </w:p>
        </w:tc>
        <w:tc>
          <w:tcPr>
            <w:tcW w:w="646"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Atsiskaitymo dažnumas</w:t>
            </w:r>
          </w:p>
        </w:tc>
      </w:tr>
      <w:tr w:rsidR="00385835" w:rsidRPr="00385835" w:rsidTr="00385835">
        <w:tblPrEx>
          <w:shd w:val="clear" w:color="auto" w:fill="auto"/>
        </w:tblPrEx>
        <w:tc>
          <w:tcPr>
            <w:tcW w:w="50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w:t>
            </w:r>
            <w:r w:rsidR="007138C8">
              <w:rPr>
                <w:rFonts w:ascii="Times New Roman" w:eastAsia="AngsanaUPC" w:hAnsi="Times New Roman"/>
                <w:bCs/>
                <w:iCs/>
                <w:sz w:val="18"/>
                <w:szCs w:val="18"/>
                <w:lang w:eastAsia="lt-LT"/>
              </w:rPr>
              <w:t>.</w:t>
            </w:r>
          </w:p>
        </w:tc>
        <w:tc>
          <w:tcPr>
            <w:tcW w:w="2331" w:type="dxa"/>
            <w:shd w:val="clear" w:color="auto" w:fill="auto"/>
            <w:vAlign w:val="center"/>
          </w:tcPr>
          <w:p w:rsidR="00385835" w:rsidRPr="00385835" w:rsidRDefault="00385835" w:rsidP="00385835">
            <w:pPr>
              <w:spacing w:after="0" w:line="240" w:lineRule="auto"/>
              <w:rPr>
                <w:rFonts w:ascii="Times New Roman" w:eastAsia="Times New Roman" w:hAnsi="Times New Roman"/>
                <w:bCs/>
                <w:sz w:val="18"/>
                <w:szCs w:val="18"/>
              </w:rPr>
            </w:pPr>
            <w:r w:rsidRPr="00385835">
              <w:rPr>
                <w:rFonts w:ascii="Times New Roman" w:eastAsia="Times New Roman" w:hAnsi="Times New Roman"/>
                <w:bCs/>
                <w:sz w:val="18"/>
                <w:szCs w:val="18"/>
              </w:rPr>
              <w:t>Valstybės ir savivaldybių institucijų ir įstaigų, kurios naudoja pagal veiksmų programą ESF lėšomis įgyvendintas veiklos valdymo tobulinimo priemones, dalis</w:t>
            </w:r>
          </w:p>
        </w:tc>
        <w:tc>
          <w:tcPr>
            <w:tcW w:w="993" w:type="dxa"/>
            <w:shd w:val="clear" w:color="auto" w:fill="auto"/>
            <w:vAlign w:val="center"/>
          </w:tcPr>
          <w:p w:rsidR="00385835" w:rsidRPr="00385835" w:rsidRDefault="00385835" w:rsidP="00385835">
            <w:pPr>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Mažiau išsivystęs</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Institucijos ir įstaigos</w:t>
            </w:r>
          </w:p>
        </w:tc>
        <w:tc>
          <w:tcPr>
            <w:tcW w:w="708"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w:t>
            </w:r>
          </w:p>
        </w:tc>
        <w:tc>
          <w:tcPr>
            <w:tcW w:w="426"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27</w:t>
            </w:r>
          </w:p>
        </w:tc>
        <w:tc>
          <w:tcPr>
            <w:tcW w:w="708"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Proc.</w:t>
            </w:r>
          </w:p>
        </w:tc>
        <w:tc>
          <w:tcPr>
            <w:tcW w:w="709"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2013</w:t>
            </w:r>
          </w:p>
        </w:tc>
        <w:tc>
          <w:tcPr>
            <w:tcW w:w="581" w:type="dxa"/>
            <w:shd w:val="clear" w:color="auto" w:fill="auto"/>
            <w:vAlign w:val="center"/>
          </w:tcPr>
          <w:p w:rsidR="00385835" w:rsidRPr="00385835" w:rsidRDefault="00385835" w:rsidP="00385835">
            <w:pPr>
              <w:widowControl w:val="0"/>
              <w:tabs>
                <w:tab w:val="left" w:pos="622"/>
              </w:tabs>
              <w:spacing w:before="60" w:after="60"/>
              <w:jc w:val="center"/>
              <w:rPr>
                <w:rFonts w:ascii="Times New Roman" w:hAnsi="Times New Roman"/>
                <w:sz w:val="18"/>
                <w:szCs w:val="18"/>
                <w:highlight w:val="yellow"/>
              </w:rPr>
            </w:pPr>
            <w:r w:rsidRPr="00385835">
              <w:rPr>
                <w:rFonts w:ascii="Times New Roman" w:hAnsi="Times New Roman"/>
                <w:sz w:val="18"/>
                <w:szCs w:val="18"/>
              </w:rPr>
              <w:t>33</w:t>
            </w:r>
          </w:p>
        </w:tc>
        <w:tc>
          <w:tcPr>
            <w:tcW w:w="1006"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hAnsi="Times New Roman"/>
                <w:sz w:val="18"/>
                <w:szCs w:val="18"/>
              </w:rPr>
              <w:t>Duomenys iš projektų</w:t>
            </w:r>
          </w:p>
        </w:tc>
        <w:tc>
          <w:tcPr>
            <w:tcW w:w="646"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Kartą per metus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18"/>
          <w:szCs w:val="18"/>
          <w:lang w:eastAsia="lt-LT"/>
        </w:rPr>
      </w:pPr>
      <w:r w:rsidRPr="00385835">
        <w:rPr>
          <w:rFonts w:ascii="Times New Roman" w:eastAsia="AngsanaUPC" w:hAnsi="Times New Roman"/>
          <w:bCs/>
          <w:sz w:val="18"/>
          <w:szCs w:val="18"/>
          <w:lang w:eastAsia="lt-LT"/>
        </w:rPr>
        <w:t>* pradinė reikšmė nustatyta įvertinus viešojo valdymo institucijas, kuriose pagal 2007</w:t>
      </w:r>
      <w:r w:rsidR="007524B7">
        <w:rPr>
          <w:rFonts w:ascii="Times New Roman" w:eastAsia="AngsanaUPC" w:hAnsi="Times New Roman"/>
          <w:bCs/>
          <w:sz w:val="18"/>
          <w:szCs w:val="18"/>
          <w:lang w:eastAsia="lt-LT"/>
        </w:rPr>
        <w:t>–</w:t>
      </w:r>
      <w:r w:rsidRPr="00385835">
        <w:rPr>
          <w:rFonts w:ascii="Times New Roman" w:eastAsia="AngsanaUPC" w:hAnsi="Times New Roman"/>
          <w:bCs/>
          <w:sz w:val="18"/>
          <w:szCs w:val="18"/>
          <w:lang w:eastAsia="lt-LT"/>
        </w:rPr>
        <w:t>2013 m. Žmogiškųjų išteklių plėtros veiksmų programos 4 prioritetą ,,Administracinių gebėjimų stiprinimas ir viešojo administravimo efektyvumo didinimas“ (toliau</w:t>
      </w:r>
      <w:r w:rsidR="007524B7">
        <w:rPr>
          <w:rFonts w:ascii="Times New Roman" w:eastAsia="AngsanaUPC" w:hAnsi="Times New Roman"/>
          <w:bCs/>
          <w:sz w:val="18"/>
          <w:szCs w:val="18"/>
          <w:lang w:eastAsia="lt-LT"/>
        </w:rPr>
        <w:t xml:space="preserve"> – 2007– </w:t>
      </w:r>
      <w:r w:rsidRPr="00385835">
        <w:rPr>
          <w:rFonts w:ascii="Times New Roman" w:eastAsia="AngsanaUPC" w:hAnsi="Times New Roman"/>
          <w:bCs/>
          <w:sz w:val="18"/>
          <w:szCs w:val="18"/>
          <w:lang w:eastAsia="lt-LT"/>
        </w:rPr>
        <w:t>2013 m. veiksmų programos 4 prioritetas) ESF lėšomis iki 2013 m. pab. įgyvendintos veiklos valdymo tobulinimo priemonės;</w:t>
      </w:r>
    </w:p>
    <w:p w:rsidR="00385835" w:rsidRPr="00385835" w:rsidRDefault="00385835" w:rsidP="00385835">
      <w:pPr>
        <w:widowControl w:val="0"/>
        <w:tabs>
          <w:tab w:val="left" w:pos="622"/>
        </w:tabs>
        <w:spacing w:after="0" w:line="240" w:lineRule="auto"/>
        <w:jc w:val="both"/>
        <w:rPr>
          <w:rFonts w:ascii="Times New Roman" w:eastAsia="AngsanaUPC" w:hAnsi="Times New Roman"/>
          <w:bCs/>
          <w:sz w:val="18"/>
          <w:szCs w:val="18"/>
          <w:lang w:eastAsia="lt-LT"/>
        </w:rPr>
      </w:pPr>
      <w:r w:rsidRPr="00385835">
        <w:rPr>
          <w:rFonts w:ascii="Times New Roman" w:eastAsia="AngsanaUPC" w:hAnsi="Times New Roman"/>
          <w:bCs/>
          <w:sz w:val="18"/>
          <w:szCs w:val="18"/>
          <w:lang w:eastAsia="lt-LT"/>
        </w:rPr>
        <w:t>** siektina reikšmė nustatyta įvertinus tik tas viešojo valdymo institucijas, į kurių veiklos valdymo tobulinimą numatoma investuoti ESF lėšas pagal šią veiksmų programą; siektinai reikšmei apskaičiuoti nenaudojami pradinės rodiklio reikšmės duomenys;</w:t>
      </w:r>
    </w:p>
    <w:p w:rsidR="00031EF1" w:rsidRPr="00385835" w:rsidRDefault="00031EF1"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229"/>
      </w:tblGrid>
      <w:tr w:rsidR="00385835" w:rsidRPr="00385835" w:rsidTr="00385835">
        <w:tc>
          <w:tcPr>
            <w:tcW w:w="2410" w:type="dxa"/>
            <w:shd w:val="clear" w:color="auto" w:fill="EEECE1"/>
          </w:tcPr>
          <w:p w:rsidR="00385835" w:rsidRPr="00385835" w:rsidRDefault="00385835" w:rsidP="00385835">
            <w:pPr>
              <w:widowControl w:val="0"/>
              <w:tabs>
                <w:tab w:val="left" w:pos="622"/>
              </w:tabs>
              <w:spacing w:after="0" w:line="240" w:lineRule="auto"/>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10.1.2. KONKRETUS UŽDAVINYS</w:t>
            </w:r>
          </w:p>
        </w:tc>
        <w:tc>
          <w:tcPr>
            <w:tcW w:w="7229" w:type="dxa"/>
            <w:shd w:val="clear" w:color="auto" w:fill="EEECE1"/>
            <w:vAlign w:val="center"/>
          </w:tcPr>
          <w:p w:rsidR="00385835" w:rsidRPr="00385835" w:rsidRDefault="00385835" w:rsidP="00385835">
            <w:pPr>
              <w:spacing w:after="0" w:line="240" w:lineRule="auto"/>
              <w:jc w:val="both"/>
              <w:rPr>
                <w:rFonts w:ascii="Times New Roman" w:hAnsi="Times New Roman"/>
                <w:b/>
                <w:sz w:val="24"/>
                <w:szCs w:val="24"/>
              </w:rPr>
            </w:pPr>
            <w:r w:rsidRPr="00385835">
              <w:rPr>
                <w:rFonts w:ascii="Times New Roman" w:hAnsi="Times New Roman"/>
                <w:b/>
                <w:bCs/>
                <w:sz w:val="24"/>
                <w:szCs w:val="24"/>
              </w:rPr>
              <w:t>Padidinti viešojo valdymo procesų skaidrumą ir atvirumą</w:t>
            </w:r>
          </w:p>
        </w:tc>
      </w:tr>
      <w:tr w:rsidR="00385835" w:rsidRPr="00385835" w:rsidTr="00385835">
        <w:tc>
          <w:tcPr>
            <w:tcW w:w="9639" w:type="dxa"/>
            <w:gridSpan w:val="2"/>
            <w:shd w:val="clear" w:color="auto" w:fill="auto"/>
          </w:tcPr>
          <w:p w:rsidR="00385835" w:rsidRPr="00385835" w:rsidRDefault="00385835" w:rsidP="00385835">
            <w:pPr>
              <w:widowControl w:val="0"/>
              <w:tabs>
                <w:tab w:val="left" w:pos="622"/>
              </w:tabs>
              <w:spacing w:after="0" w:line="240" w:lineRule="auto"/>
              <w:ind w:firstLine="459"/>
              <w:jc w:val="both"/>
              <w:rPr>
                <w:rFonts w:ascii="Times New Roman" w:hAnsi="Times New Roman"/>
                <w:bCs/>
                <w:sz w:val="24"/>
                <w:szCs w:val="24"/>
              </w:rPr>
            </w:pPr>
            <w:r w:rsidRPr="00385835">
              <w:rPr>
                <w:rFonts w:ascii="Times New Roman" w:hAnsi="Times New Roman"/>
                <w:bCs/>
                <w:iCs/>
                <w:sz w:val="24"/>
                <w:szCs w:val="24"/>
              </w:rPr>
              <w:lastRenderedPageBreak/>
              <w:t xml:space="preserve">Lietuvos korupcijos suvokimo indekso rodiklis yra vienas žemiausių tarp ES šalių narių, taip pat nėra aukšti </w:t>
            </w:r>
            <w:r w:rsidRPr="00385835">
              <w:rPr>
                <w:rFonts w:ascii="Times New Roman" w:hAnsi="Times New Roman"/>
                <w:sz w:val="24"/>
                <w:szCs w:val="24"/>
              </w:rPr>
              <w:t>visuomenės pasitikėjimo viešojo valdymo institucijomis rodikliai</w:t>
            </w:r>
            <w:r w:rsidRPr="00385835">
              <w:rPr>
                <w:rFonts w:ascii="Times New Roman" w:hAnsi="Times New Roman"/>
                <w:bCs/>
                <w:iCs/>
                <w:sz w:val="24"/>
                <w:szCs w:val="24"/>
              </w:rPr>
              <w:t>. V</w:t>
            </w:r>
            <w:r w:rsidRPr="00385835">
              <w:rPr>
                <w:rFonts w:ascii="Times New Roman" w:hAnsi="Times New Roman"/>
                <w:sz w:val="24"/>
                <w:szCs w:val="24"/>
              </w:rPr>
              <w:t>isuomenė nepakankamai aktyviai dalyvauja viešojo valdymo procesuose, jai trūksta žinių apie galimybes juose dalyvauti, taip pat informacijos apie viešojo valdymo institucijų veiklą ir rezultatus.</w:t>
            </w:r>
            <w:r w:rsidRPr="00385835">
              <w:rPr>
                <w:rFonts w:ascii="Times New Roman" w:hAnsi="Times New Roman"/>
                <w:bCs/>
                <w:iCs/>
                <w:sz w:val="24"/>
                <w:szCs w:val="24"/>
              </w:rPr>
              <w:t xml:space="preserve"> </w:t>
            </w:r>
          </w:p>
          <w:p w:rsidR="00385835" w:rsidRPr="00385835" w:rsidRDefault="00385835" w:rsidP="00385835">
            <w:pPr>
              <w:widowControl w:val="0"/>
              <w:tabs>
                <w:tab w:val="left" w:pos="622"/>
              </w:tabs>
              <w:spacing w:after="0" w:line="240" w:lineRule="auto"/>
              <w:ind w:firstLine="459"/>
              <w:jc w:val="both"/>
              <w:rPr>
                <w:rFonts w:ascii="Times New Roman" w:eastAsia="AngsanaUPC" w:hAnsi="Times New Roman"/>
                <w:bCs/>
                <w:sz w:val="24"/>
                <w:szCs w:val="24"/>
                <w:lang w:eastAsia="lt-LT"/>
              </w:rPr>
            </w:pPr>
            <w:r w:rsidRPr="00385835">
              <w:rPr>
                <w:rFonts w:ascii="Times New Roman" w:hAnsi="Times New Roman"/>
                <w:bCs/>
                <w:sz w:val="24"/>
                <w:szCs w:val="24"/>
              </w:rPr>
              <w:t>Atsižvelgiant į tai, numatoma aktyviau vykdyti konsultacijas su visuomene, jai skelbti aiškią ir suprantamą viešojo valdymo informaciją, skleisti žinias apie jos galimybes ir būdus dalyvauti viešojo valdymo procesuose. Korupcijos mažinimo srityje numatoma kurti ir įgyvendinti antikorupcines priemones labiausiai korupcijos paveiktose viešojo valdymo srityse (</w:t>
            </w:r>
            <w:r w:rsidR="00686878">
              <w:rPr>
                <w:rFonts w:ascii="Times New Roman" w:hAnsi="Times New Roman"/>
                <w:bCs/>
                <w:sz w:val="24"/>
                <w:szCs w:val="24"/>
              </w:rPr>
              <w:t>pavyzdžiui,</w:t>
            </w:r>
            <w:r w:rsidRPr="00385835">
              <w:rPr>
                <w:rFonts w:ascii="Times New Roman" w:hAnsi="Times New Roman"/>
                <w:bCs/>
                <w:sz w:val="24"/>
                <w:szCs w:val="24"/>
              </w:rPr>
              <w:t xml:space="preserve"> viešųjų pirkimų, sveikatos priežiūros, teisėsaugos ir kt.), gerinti šių priemonių valdymą ir korupcijos pokyčių stebėsenos procesus, tobulinti tarnybinės (profesinės) etikos viešojo valdymo institucijose valdymą ir įgyvendinti nepriekaištingam profesinės etikos normų laikymuisi užtikrinti reikalingas priemones. Taip pat numatoma stiprinti viešojo valdymo institucijų dirbančiųjų kompetencijas tarnybinės etikos, korupcijos prevencijos ir korupcijos tyrimo srityse, skatinti visuomenės nepakantumo didinimo korupcijai iniciatyvų vykdymą ir kt. Įgyvendinus šias veiklas, turėtų suaktyvėti konsultacijų su visuomene vykdymas nacionaliniu ir savivaldos lygmenimis, padaugėti gyventojų, pareiškusių nuomonę jiems svarbiais klausimais ir sužinojusių informaciją apie viešojo valdymo institucijų veiklą, mažėti korupcijos apraiškų labiausiai korupcijos paveiktose viešojo valdymo srityse, taip pat turėtų padidėti viešojo valdymo institucijų darbuotojų ir visuomenės korupcijos ir tarnybinės etikos pažeidimų suvokimas ir nepakantumas jiems.</w:t>
            </w:r>
          </w:p>
        </w:tc>
      </w:tr>
    </w:tbl>
    <w:p w:rsidR="00385835" w:rsidRPr="00385835" w:rsidRDefault="00385835" w:rsidP="00385835">
      <w:pPr>
        <w:spacing w:after="0"/>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567"/>
        <w:gridCol w:w="2268"/>
        <w:gridCol w:w="993"/>
        <w:gridCol w:w="992"/>
        <w:gridCol w:w="709"/>
        <w:gridCol w:w="708"/>
        <w:gridCol w:w="709"/>
        <w:gridCol w:w="709"/>
        <w:gridCol w:w="567"/>
        <w:gridCol w:w="868"/>
        <w:gridCol w:w="656"/>
      </w:tblGrid>
      <w:tr w:rsidR="00385835" w:rsidRPr="00385835" w:rsidTr="00385835">
        <w:tc>
          <w:tcPr>
            <w:tcW w:w="9746" w:type="dxa"/>
            <w:gridSpan w:val="11"/>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i/>
                <w:iCs/>
                <w:sz w:val="24"/>
                <w:szCs w:val="24"/>
                <w:lang w:eastAsia="lt-LT"/>
              </w:rPr>
            </w:pPr>
            <w:r w:rsidRPr="00385835">
              <w:rPr>
                <w:rFonts w:ascii="Times New Roman" w:eastAsia="AngsanaUPC" w:hAnsi="Times New Roman"/>
                <w:b/>
                <w:bCs/>
                <w:i/>
                <w:iCs/>
                <w:sz w:val="24"/>
                <w:szCs w:val="24"/>
                <w:lang w:eastAsia="lt-LT"/>
              </w:rPr>
              <w:t xml:space="preserve">ESF bendrieji ir </w:t>
            </w:r>
            <w:r w:rsidR="00A9401B">
              <w:rPr>
                <w:rFonts w:ascii="Times New Roman" w:eastAsia="AngsanaUPC" w:hAnsi="Times New Roman"/>
                <w:b/>
                <w:bCs/>
                <w:i/>
                <w:iCs/>
                <w:sz w:val="24"/>
                <w:szCs w:val="24"/>
                <w:lang w:eastAsia="lt-LT"/>
              </w:rPr>
              <w:t xml:space="preserve">specialieji </w:t>
            </w:r>
            <w:r w:rsidRPr="00385835">
              <w:rPr>
                <w:rFonts w:ascii="Times New Roman" w:eastAsia="AngsanaUPC" w:hAnsi="Times New Roman"/>
                <w:b/>
                <w:bCs/>
                <w:i/>
                <w:iCs/>
                <w:sz w:val="24"/>
                <w:szCs w:val="24"/>
                <w:lang w:eastAsia="lt-LT"/>
              </w:rPr>
              <w:t>programos rezultato rodikliai</w:t>
            </w:r>
          </w:p>
        </w:tc>
      </w:tr>
      <w:tr w:rsidR="00385835" w:rsidRPr="00385835" w:rsidTr="00385835">
        <w:tblPrEx>
          <w:shd w:val="clear" w:color="auto" w:fill="auto"/>
        </w:tblPrEx>
        <w:trPr>
          <w:cantSplit/>
          <w:trHeight w:val="1837"/>
        </w:trPr>
        <w:tc>
          <w:tcPr>
            <w:tcW w:w="567"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Nr.</w:t>
            </w:r>
          </w:p>
        </w:tc>
        <w:tc>
          <w:tcPr>
            <w:tcW w:w="2268"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Rodiklio pavadinimas</w:t>
            </w:r>
          </w:p>
        </w:tc>
        <w:tc>
          <w:tcPr>
            <w:tcW w:w="993"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Regiono kategorija</w:t>
            </w:r>
          </w:p>
        </w:tc>
        <w:tc>
          <w:tcPr>
            <w:tcW w:w="992"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Matavimo vienetas</w:t>
            </w:r>
          </w:p>
        </w:tc>
        <w:tc>
          <w:tcPr>
            <w:tcW w:w="709"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Bendrasis produkto rodiklis, naudotas kaip pagrindas</w:t>
            </w:r>
          </w:p>
        </w:tc>
        <w:tc>
          <w:tcPr>
            <w:tcW w:w="708"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 reikšmė</w:t>
            </w:r>
          </w:p>
        </w:tc>
        <w:tc>
          <w:tcPr>
            <w:tcW w:w="709"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Pradinės ir siektinos reikšmės matavimo vienetai</w:t>
            </w:r>
          </w:p>
        </w:tc>
        <w:tc>
          <w:tcPr>
            <w:tcW w:w="709"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Pradinės reikšmės metai</w:t>
            </w:r>
          </w:p>
        </w:tc>
        <w:tc>
          <w:tcPr>
            <w:tcW w:w="567"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Siektina reikšmė (2023)</w:t>
            </w:r>
          </w:p>
        </w:tc>
        <w:tc>
          <w:tcPr>
            <w:tcW w:w="868"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Duomenų šaltinis</w:t>
            </w:r>
          </w:p>
        </w:tc>
        <w:tc>
          <w:tcPr>
            <w:tcW w:w="656"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Atsiskaitymo dažnumas</w:t>
            </w:r>
          </w:p>
        </w:tc>
      </w:tr>
      <w:tr w:rsidR="00385835" w:rsidRPr="00385835" w:rsidTr="00385835">
        <w:tblPrEx>
          <w:shd w:val="clear" w:color="auto" w:fill="auto"/>
        </w:tblPrEx>
        <w:tc>
          <w:tcPr>
            <w:tcW w:w="56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w:t>
            </w:r>
          </w:p>
        </w:tc>
        <w:tc>
          <w:tcPr>
            <w:tcW w:w="2268" w:type="dxa"/>
            <w:shd w:val="clear" w:color="auto" w:fill="auto"/>
            <w:vAlign w:val="center"/>
          </w:tcPr>
          <w:p w:rsidR="00385835" w:rsidRPr="00385835" w:rsidRDefault="00385835" w:rsidP="00385835">
            <w:pPr>
              <w:spacing w:after="0" w:line="240" w:lineRule="auto"/>
              <w:rPr>
                <w:rFonts w:ascii="Times New Roman" w:eastAsia="Times New Roman" w:hAnsi="Times New Roman"/>
                <w:bCs/>
                <w:sz w:val="18"/>
                <w:szCs w:val="18"/>
              </w:rPr>
            </w:pPr>
            <w:r w:rsidRPr="00385835">
              <w:rPr>
                <w:rFonts w:ascii="Times New Roman" w:eastAsia="Times New Roman" w:hAnsi="Times New Roman"/>
                <w:bCs/>
                <w:sz w:val="18"/>
                <w:szCs w:val="18"/>
              </w:rPr>
              <w:t>Viešųjų pirkimų, per kalendorinius metus vykdytų pagal veiksmų programą ESF lėšomis atnaujintoje centrinėje viešųjų pirkimų informacinėje sistemoje, dalis</w:t>
            </w:r>
          </w:p>
        </w:tc>
        <w:tc>
          <w:tcPr>
            <w:tcW w:w="993" w:type="dxa"/>
            <w:shd w:val="clear" w:color="auto" w:fill="auto"/>
            <w:vAlign w:val="center"/>
          </w:tcPr>
          <w:p w:rsidR="00385835" w:rsidRPr="00385835" w:rsidRDefault="00385835" w:rsidP="00385835">
            <w:pPr>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Mažiau išsivystęs</w:t>
            </w:r>
          </w:p>
        </w:tc>
        <w:tc>
          <w:tcPr>
            <w:tcW w:w="992"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Viešieji pirkimai</w:t>
            </w:r>
          </w:p>
        </w:tc>
        <w:tc>
          <w:tcPr>
            <w:tcW w:w="709"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w:t>
            </w:r>
          </w:p>
        </w:tc>
        <w:tc>
          <w:tcPr>
            <w:tcW w:w="708"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87,1</w:t>
            </w:r>
          </w:p>
        </w:tc>
        <w:tc>
          <w:tcPr>
            <w:tcW w:w="709"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Proc.</w:t>
            </w:r>
          </w:p>
        </w:tc>
        <w:tc>
          <w:tcPr>
            <w:tcW w:w="709"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2013</w:t>
            </w:r>
          </w:p>
        </w:tc>
        <w:tc>
          <w:tcPr>
            <w:tcW w:w="56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98</w:t>
            </w:r>
          </w:p>
        </w:tc>
        <w:tc>
          <w:tcPr>
            <w:tcW w:w="868"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Viešųjų pirkimų tarnyba</w:t>
            </w:r>
          </w:p>
        </w:tc>
        <w:tc>
          <w:tcPr>
            <w:tcW w:w="656"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 xml:space="preserve">Kartą per metus </w:t>
            </w:r>
          </w:p>
        </w:tc>
      </w:tr>
      <w:tr w:rsidR="00385835" w:rsidRPr="00385835" w:rsidTr="00385835">
        <w:tblPrEx>
          <w:shd w:val="clear" w:color="auto" w:fill="auto"/>
        </w:tblPrEx>
        <w:tc>
          <w:tcPr>
            <w:tcW w:w="56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w:t>
            </w:r>
          </w:p>
        </w:tc>
        <w:tc>
          <w:tcPr>
            <w:tcW w:w="2268" w:type="dxa"/>
            <w:shd w:val="clear" w:color="auto" w:fill="auto"/>
            <w:vAlign w:val="center"/>
          </w:tcPr>
          <w:p w:rsidR="00385835" w:rsidRPr="00385835" w:rsidRDefault="00385835" w:rsidP="00385835">
            <w:pPr>
              <w:spacing w:after="0" w:line="240" w:lineRule="auto"/>
              <w:rPr>
                <w:rFonts w:ascii="Times New Roman" w:eastAsia="Times New Roman" w:hAnsi="Times New Roman"/>
                <w:bCs/>
                <w:sz w:val="18"/>
                <w:szCs w:val="18"/>
              </w:rPr>
            </w:pPr>
            <w:r w:rsidRPr="00385835">
              <w:rPr>
                <w:rFonts w:ascii="Times New Roman" w:eastAsia="Times New Roman" w:hAnsi="Times New Roman"/>
                <w:bCs/>
                <w:sz w:val="18"/>
                <w:szCs w:val="18"/>
              </w:rPr>
              <w:t>Asmenų, kurie praėjus 6 mėnesiams po dalyvavimo ESF veiklose, skirtose stiprinti kompetencijas korupcijos prevencijos ar tarnybinės (profesinės) etikos srityje, darbe taiko įgytas žinias ir gebėjimus, dalis</w:t>
            </w:r>
          </w:p>
        </w:tc>
        <w:tc>
          <w:tcPr>
            <w:tcW w:w="993" w:type="dxa"/>
            <w:shd w:val="clear" w:color="auto" w:fill="auto"/>
            <w:vAlign w:val="center"/>
          </w:tcPr>
          <w:p w:rsidR="00385835" w:rsidRPr="00385835" w:rsidRDefault="00385835" w:rsidP="00385835">
            <w:pPr>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Mažiau išsivystęs</w:t>
            </w:r>
          </w:p>
        </w:tc>
        <w:tc>
          <w:tcPr>
            <w:tcW w:w="992"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Asmenys</w:t>
            </w:r>
          </w:p>
        </w:tc>
        <w:tc>
          <w:tcPr>
            <w:tcW w:w="709"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w:t>
            </w:r>
          </w:p>
        </w:tc>
        <w:tc>
          <w:tcPr>
            <w:tcW w:w="708"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58,52</w:t>
            </w:r>
          </w:p>
        </w:tc>
        <w:tc>
          <w:tcPr>
            <w:tcW w:w="709"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Proc.</w:t>
            </w:r>
          </w:p>
        </w:tc>
        <w:tc>
          <w:tcPr>
            <w:tcW w:w="709"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2013</w:t>
            </w:r>
          </w:p>
        </w:tc>
        <w:tc>
          <w:tcPr>
            <w:tcW w:w="56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75</w:t>
            </w:r>
          </w:p>
        </w:tc>
        <w:tc>
          <w:tcPr>
            <w:tcW w:w="868"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Tyrimas</w:t>
            </w:r>
          </w:p>
        </w:tc>
        <w:tc>
          <w:tcPr>
            <w:tcW w:w="656"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bCs/>
                <w:iCs/>
                <w:sz w:val="18"/>
                <w:szCs w:val="18"/>
              </w:rPr>
              <w:t>3 kartus per laiko</w:t>
            </w:r>
            <w:proofErr w:type="gramStart"/>
            <w:r w:rsidR="003C4705">
              <w:rPr>
                <w:rFonts w:ascii="Times New Roman" w:eastAsia="AngsanaUPC" w:hAnsi="Times New Roman"/>
                <w:bCs/>
                <w:iCs/>
                <w:sz w:val="18"/>
                <w:szCs w:val="18"/>
                <w:lang w:eastAsia="lt-LT"/>
              </w:rPr>
              <w:t>-</w:t>
            </w:r>
            <w:proofErr w:type="gramEnd"/>
            <w:r w:rsidRPr="00385835">
              <w:rPr>
                <w:rFonts w:ascii="Times New Roman" w:hAnsi="Times New Roman"/>
                <w:bCs/>
                <w:iCs/>
                <w:sz w:val="18"/>
                <w:szCs w:val="18"/>
              </w:rPr>
              <w:t>tarpį</w:t>
            </w:r>
          </w:p>
        </w:tc>
      </w:tr>
    </w:tbl>
    <w:p w:rsidR="00031EF1" w:rsidRPr="00385835" w:rsidRDefault="00031EF1" w:rsidP="00385835">
      <w:pPr>
        <w:spacing w:after="0"/>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tcBorders>
              <w:top w:val="single" w:sz="4" w:space="0" w:color="auto"/>
              <w:left w:val="single" w:sz="4" w:space="0" w:color="auto"/>
              <w:bottom w:val="single" w:sz="4" w:space="0" w:color="auto"/>
              <w:right w:val="single" w:sz="4" w:space="0" w:color="auto"/>
            </w:tcBorders>
            <w:shd w:val="clear" w:color="auto" w:fill="EEECE1"/>
            <w:hideMark/>
          </w:tcPr>
          <w:p w:rsidR="00385835" w:rsidRPr="00385835" w:rsidRDefault="00385835" w:rsidP="00385835">
            <w:pPr>
              <w:widowControl w:val="0"/>
              <w:tabs>
                <w:tab w:val="left" w:pos="622"/>
              </w:tabs>
              <w:spacing w:after="0" w:line="240" w:lineRule="auto"/>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10.1.3. KONKRETUS UŽDAVINYS</w:t>
            </w:r>
          </w:p>
        </w:tc>
        <w:tc>
          <w:tcPr>
            <w:tcW w:w="7336"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385835" w:rsidRPr="00385835" w:rsidRDefault="00385835" w:rsidP="00385835">
            <w:pPr>
              <w:spacing w:after="0" w:line="240" w:lineRule="auto"/>
              <w:jc w:val="both"/>
              <w:rPr>
                <w:rFonts w:ascii="Times New Roman" w:hAnsi="Times New Roman"/>
                <w:b/>
                <w:sz w:val="24"/>
                <w:szCs w:val="24"/>
              </w:rPr>
            </w:pPr>
            <w:r w:rsidRPr="00385835">
              <w:rPr>
                <w:rFonts w:ascii="Times New Roman" w:hAnsi="Times New Roman"/>
                <w:b/>
                <w:sz w:val="24"/>
                <w:szCs w:val="24"/>
              </w:rPr>
              <w:t>Pagerinti visuomenei teikiamų paslaugų kokybę, didinant jų atitikimą visuomenės poreikiams</w:t>
            </w:r>
          </w:p>
        </w:tc>
      </w:tr>
      <w:tr w:rsidR="00385835" w:rsidRPr="00385835" w:rsidTr="00385835">
        <w:tc>
          <w:tcPr>
            <w:tcW w:w="9746" w:type="dxa"/>
            <w:gridSpan w:val="2"/>
            <w:tcBorders>
              <w:top w:val="single" w:sz="4" w:space="0" w:color="auto"/>
              <w:left w:val="single" w:sz="4" w:space="0" w:color="auto"/>
              <w:bottom w:val="single" w:sz="4" w:space="0" w:color="auto"/>
              <w:right w:val="single" w:sz="4" w:space="0" w:color="auto"/>
            </w:tcBorders>
            <w:shd w:val="clear" w:color="auto" w:fill="auto"/>
            <w:hideMark/>
          </w:tcPr>
          <w:p w:rsidR="00385835" w:rsidRPr="00385835" w:rsidRDefault="00385835" w:rsidP="00385835">
            <w:pPr>
              <w:widowControl w:val="0"/>
              <w:tabs>
                <w:tab w:val="left" w:pos="622"/>
              </w:tabs>
              <w:spacing w:after="0" w:line="240" w:lineRule="auto"/>
              <w:ind w:firstLine="624"/>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 xml:space="preserve">Viešojo valdymo institucijos nėra pakankamai aktyvios tobulinant visuomenei teikiamas paslaugas, trūksta kompleksiškų, tarpusavyje gerai koordinuotų veiksmų, kuriais viešajame valdyme butų siekiama visuomenės poreikius atitinkančios paslaugų kokybės. Kol kas šalyje nenustatyti minimalūs paslaugų kokybės standartai, paslaugos teikiamos neatsižvelgiant į tai, kur ir </w:t>
            </w:r>
            <w:r w:rsidRPr="00385835">
              <w:rPr>
                <w:rFonts w:ascii="Times New Roman" w:eastAsia="AngsanaUPC" w:hAnsi="Times New Roman"/>
                <w:bCs/>
                <w:sz w:val="24"/>
                <w:szCs w:val="24"/>
                <w:lang w:eastAsia="lt-LT"/>
              </w:rPr>
              <w:lastRenderedPageBreak/>
              <w:t>kaip visuomenei būtų patogiau jas gauti, vis dar stebimas nepakankamas asmenų aptarnavimo vieno langelio principu lygis. Numatoma, kad įgyvendinant šį uždavinį bus patvirtinti paslaugų kokybės standartai, viešojo valdymo institucijos pradės rengti piliečių chartijas (2020 m. siektina reikšmė – 90 proc.), aktyviau matuoti visuomenės pasitenkinimo teikiamomis paslaugomis rodiklius, veiksmingiau taikyti vieno langelio principą aptaraujant asmenis. Taip pat bus sustiprintos darbuotojų kompetencijos, reikalingos geresniam paslaugų teikimui ir asmenų aptarnavimui. Tikimasi, kad minėtos paslaugų kokybės gerinimo veiklos padės padidinti administracinių paslaugų teikimo ir aptarnavimo efektyvumo koeficientą (2011 m. – 0,85, 2020 m. siekiamas rodiklis – 0,95).</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552"/>
        <w:gridCol w:w="2779"/>
        <w:gridCol w:w="907"/>
        <w:gridCol w:w="1016"/>
        <w:gridCol w:w="608"/>
        <w:gridCol w:w="441"/>
        <w:gridCol w:w="652"/>
        <w:gridCol w:w="576"/>
        <w:gridCol w:w="565"/>
        <w:gridCol w:w="1004"/>
        <w:gridCol w:w="646"/>
      </w:tblGrid>
      <w:tr w:rsidR="00385835" w:rsidRPr="00385835" w:rsidTr="00385835">
        <w:tc>
          <w:tcPr>
            <w:tcW w:w="9746" w:type="dxa"/>
            <w:gridSpan w:val="11"/>
            <w:tcBorders>
              <w:top w:val="single" w:sz="4" w:space="0" w:color="auto"/>
              <w:left w:val="single" w:sz="4" w:space="0" w:color="auto"/>
              <w:bottom w:val="single" w:sz="4" w:space="0" w:color="auto"/>
              <w:right w:val="single" w:sz="4" w:space="0" w:color="auto"/>
            </w:tcBorders>
            <w:shd w:val="clear" w:color="auto" w:fill="EEECE1"/>
            <w:hideMark/>
          </w:tcPr>
          <w:p w:rsidR="00385835" w:rsidRPr="00385835" w:rsidRDefault="00385835" w:rsidP="00385835">
            <w:pPr>
              <w:widowControl w:val="0"/>
              <w:tabs>
                <w:tab w:val="left" w:pos="622"/>
              </w:tabs>
              <w:spacing w:after="0" w:line="240" w:lineRule="auto"/>
              <w:jc w:val="both"/>
              <w:rPr>
                <w:rFonts w:ascii="Times New Roman" w:eastAsia="AngsanaUPC" w:hAnsi="Times New Roman"/>
                <w:b/>
                <w:bCs/>
                <w:i/>
                <w:iCs/>
                <w:sz w:val="24"/>
                <w:szCs w:val="24"/>
                <w:lang w:eastAsia="lt-LT"/>
              </w:rPr>
            </w:pPr>
            <w:r w:rsidRPr="00385835">
              <w:rPr>
                <w:rFonts w:ascii="Times New Roman" w:eastAsia="AngsanaUPC" w:hAnsi="Times New Roman"/>
                <w:b/>
                <w:bCs/>
                <w:i/>
                <w:iCs/>
                <w:sz w:val="24"/>
                <w:szCs w:val="24"/>
                <w:lang w:eastAsia="lt-LT"/>
              </w:rPr>
              <w:t xml:space="preserve">ESF bendrieji ir </w:t>
            </w:r>
            <w:r w:rsidR="00A9401B">
              <w:rPr>
                <w:rFonts w:ascii="Times New Roman" w:eastAsia="AngsanaUPC" w:hAnsi="Times New Roman"/>
                <w:b/>
                <w:bCs/>
                <w:i/>
                <w:iCs/>
                <w:sz w:val="24"/>
                <w:szCs w:val="24"/>
                <w:lang w:eastAsia="lt-LT"/>
              </w:rPr>
              <w:t xml:space="preserve">specialieji </w:t>
            </w:r>
            <w:r w:rsidRPr="00385835">
              <w:rPr>
                <w:rFonts w:ascii="Times New Roman" w:eastAsia="AngsanaUPC" w:hAnsi="Times New Roman"/>
                <w:b/>
                <w:bCs/>
                <w:i/>
                <w:iCs/>
                <w:sz w:val="24"/>
                <w:szCs w:val="24"/>
                <w:lang w:eastAsia="lt-LT"/>
              </w:rPr>
              <w:t>programos rezultato rodikliai</w:t>
            </w:r>
          </w:p>
        </w:tc>
      </w:tr>
      <w:tr w:rsidR="00385835" w:rsidRPr="00385835" w:rsidTr="00385835">
        <w:trPr>
          <w:cantSplit/>
          <w:trHeight w:val="1837"/>
        </w:trPr>
        <w:tc>
          <w:tcPr>
            <w:tcW w:w="567"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Nr.</w:t>
            </w:r>
          </w:p>
        </w:tc>
        <w:tc>
          <w:tcPr>
            <w:tcW w:w="3079"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Rodiklio pavadinimas</w:t>
            </w:r>
          </w:p>
        </w:tc>
        <w:tc>
          <w:tcPr>
            <w:tcW w:w="907" w:type="dxa"/>
            <w:tcBorders>
              <w:top w:val="single" w:sz="4" w:space="0" w:color="auto"/>
              <w:left w:val="single" w:sz="4" w:space="0" w:color="auto"/>
              <w:bottom w:val="single" w:sz="4" w:space="0" w:color="auto"/>
              <w:right w:val="single" w:sz="4" w:space="0" w:color="auto"/>
            </w:tcBorders>
            <w:shd w:val="clear" w:color="auto" w:fill="EEECE1"/>
            <w:textDirection w:val="btLr"/>
            <w:vAlign w:val="center"/>
            <w:hideMark/>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Regiono kategorija</w:t>
            </w:r>
          </w:p>
        </w:tc>
        <w:tc>
          <w:tcPr>
            <w:tcW w:w="629" w:type="dxa"/>
            <w:tcBorders>
              <w:top w:val="single" w:sz="4" w:space="0" w:color="auto"/>
              <w:left w:val="single" w:sz="4" w:space="0" w:color="auto"/>
              <w:bottom w:val="single" w:sz="4" w:space="0" w:color="auto"/>
              <w:right w:val="single" w:sz="4" w:space="0" w:color="auto"/>
            </w:tcBorders>
            <w:shd w:val="clear" w:color="auto" w:fill="EEECE1"/>
            <w:textDirection w:val="btLr"/>
            <w:vAlign w:val="center"/>
            <w:hideMark/>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Matavimo vienetas</w:t>
            </w:r>
          </w:p>
        </w:tc>
        <w:tc>
          <w:tcPr>
            <w:tcW w:w="642" w:type="dxa"/>
            <w:tcBorders>
              <w:top w:val="single" w:sz="4" w:space="0" w:color="auto"/>
              <w:left w:val="single" w:sz="4" w:space="0" w:color="auto"/>
              <w:bottom w:val="single" w:sz="4" w:space="0" w:color="auto"/>
              <w:right w:val="single" w:sz="4" w:space="0" w:color="auto"/>
            </w:tcBorders>
            <w:shd w:val="clear" w:color="auto" w:fill="EEECE1"/>
            <w:textDirection w:val="btLr"/>
            <w:vAlign w:val="center"/>
            <w:hideMark/>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Bendrasis produkto rodiklis, naudotas kaip pagrindas</w:t>
            </w:r>
          </w:p>
        </w:tc>
        <w:tc>
          <w:tcPr>
            <w:tcW w:w="441" w:type="dxa"/>
            <w:tcBorders>
              <w:top w:val="single" w:sz="4" w:space="0" w:color="auto"/>
              <w:left w:val="single" w:sz="4" w:space="0" w:color="auto"/>
              <w:bottom w:val="single" w:sz="4" w:space="0" w:color="auto"/>
              <w:right w:val="single" w:sz="4" w:space="0" w:color="auto"/>
            </w:tcBorders>
            <w:shd w:val="clear" w:color="auto" w:fill="EEECE1"/>
            <w:textDirection w:val="btLr"/>
            <w:vAlign w:val="center"/>
            <w:hideMark/>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 reikšmė</w:t>
            </w:r>
          </w:p>
        </w:tc>
        <w:tc>
          <w:tcPr>
            <w:tcW w:w="664" w:type="dxa"/>
            <w:tcBorders>
              <w:top w:val="single" w:sz="4" w:space="0" w:color="auto"/>
              <w:left w:val="single" w:sz="4" w:space="0" w:color="auto"/>
              <w:bottom w:val="single" w:sz="4" w:space="0" w:color="auto"/>
              <w:right w:val="single" w:sz="4" w:space="0" w:color="auto"/>
            </w:tcBorders>
            <w:shd w:val="clear" w:color="auto" w:fill="EEECE1"/>
            <w:textDirection w:val="btLr"/>
            <w:vAlign w:val="center"/>
            <w:hideMark/>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Pradinės ir siektinos reikšmės matavimo vienetai</w:t>
            </w:r>
          </w:p>
        </w:tc>
        <w:tc>
          <w:tcPr>
            <w:tcW w:w="576" w:type="dxa"/>
            <w:tcBorders>
              <w:top w:val="single" w:sz="4" w:space="0" w:color="auto"/>
              <w:left w:val="single" w:sz="4" w:space="0" w:color="auto"/>
              <w:bottom w:val="single" w:sz="4" w:space="0" w:color="auto"/>
              <w:right w:val="single" w:sz="4" w:space="0" w:color="auto"/>
            </w:tcBorders>
            <w:shd w:val="clear" w:color="auto" w:fill="EEECE1"/>
            <w:textDirection w:val="btLr"/>
            <w:vAlign w:val="center"/>
            <w:hideMark/>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Pradinės reikšmės metai</w:t>
            </w:r>
          </w:p>
        </w:tc>
        <w:tc>
          <w:tcPr>
            <w:tcW w:w="589" w:type="dxa"/>
            <w:tcBorders>
              <w:top w:val="single" w:sz="4" w:space="0" w:color="auto"/>
              <w:left w:val="single" w:sz="4" w:space="0" w:color="auto"/>
              <w:bottom w:val="single" w:sz="4" w:space="0" w:color="auto"/>
              <w:right w:val="single" w:sz="4" w:space="0" w:color="auto"/>
            </w:tcBorders>
            <w:shd w:val="clear" w:color="auto" w:fill="EEECE1"/>
            <w:textDirection w:val="btLr"/>
            <w:vAlign w:val="center"/>
            <w:hideMark/>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Siektina reikšmė (2023)</w:t>
            </w:r>
          </w:p>
        </w:tc>
        <w:tc>
          <w:tcPr>
            <w:tcW w:w="1006"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Duomenų šaltinis</w:t>
            </w:r>
          </w:p>
        </w:tc>
        <w:tc>
          <w:tcPr>
            <w:tcW w:w="646" w:type="dxa"/>
            <w:tcBorders>
              <w:top w:val="single" w:sz="4" w:space="0" w:color="auto"/>
              <w:left w:val="single" w:sz="4" w:space="0" w:color="auto"/>
              <w:bottom w:val="single" w:sz="4" w:space="0" w:color="auto"/>
              <w:right w:val="single" w:sz="4" w:space="0" w:color="auto"/>
            </w:tcBorders>
            <w:shd w:val="clear" w:color="auto" w:fill="EEECE1"/>
            <w:textDirection w:val="btLr"/>
            <w:vAlign w:val="center"/>
            <w:hideMark/>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Atsiskaitymo dažnumas</w:t>
            </w:r>
          </w:p>
        </w:tc>
      </w:tr>
      <w:tr w:rsidR="00385835" w:rsidRPr="00385835" w:rsidTr="00385835">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Del="00E1284F"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w:t>
            </w:r>
          </w:p>
        </w:tc>
        <w:tc>
          <w:tcPr>
            <w:tcW w:w="3079"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spacing w:after="0" w:line="240" w:lineRule="auto"/>
              <w:rPr>
                <w:rFonts w:ascii="Times New Roman" w:hAnsi="Times New Roman"/>
                <w:sz w:val="18"/>
                <w:szCs w:val="18"/>
              </w:rPr>
            </w:pPr>
            <w:r w:rsidRPr="00385835">
              <w:rPr>
                <w:rFonts w:ascii="Times New Roman" w:hAnsi="Times New Roman"/>
                <w:sz w:val="18"/>
                <w:szCs w:val="18"/>
              </w:rPr>
              <w:t>Valstybės ir savivaldybių institucijų ir įstaigų, pagal veiksmų programą ESF lėšomis įgyvendinusių paslaugų ir (ar) aptarnavimo kokybei gerinti skirtas priemones, dalis</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Mažiau išsivystęs</w:t>
            </w: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Institucijos ir įstaigos</w:t>
            </w:r>
          </w:p>
        </w:tc>
        <w:tc>
          <w:tcPr>
            <w:tcW w:w="642"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w:t>
            </w:r>
          </w:p>
        </w:tc>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4,8</w:t>
            </w:r>
          </w:p>
        </w:tc>
        <w:tc>
          <w:tcPr>
            <w:tcW w:w="664"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Proc.</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2013</w:t>
            </w: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B13F50" w:rsidP="00385835">
            <w:pPr>
              <w:widowControl w:val="0"/>
              <w:tabs>
                <w:tab w:val="left" w:pos="622"/>
              </w:tabs>
              <w:spacing w:after="0" w:line="240" w:lineRule="auto"/>
              <w:jc w:val="center"/>
              <w:rPr>
                <w:rFonts w:ascii="Times New Roman" w:hAnsi="Times New Roman"/>
                <w:sz w:val="18"/>
                <w:szCs w:val="18"/>
              </w:rPr>
            </w:pPr>
            <w:r>
              <w:rPr>
                <w:rFonts w:ascii="Times New Roman" w:hAnsi="Times New Roman"/>
                <w:sz w:val="18"/>
                <w:szCs w:val="18"/>
              </w:rPr>
              <w:t>7,3</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 xml:space="preserve">Duomenys iš projektų </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 xml:space="preserve">Kartą per metus </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18"/>
          <w:szCs w:val="18"/>
          <w:lang w:eastAsia="lt-LT"/>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694"/>
        <w:gridCol w:w="7087"/>
      </w:tblGrid>
      <w:tr w:rsidR="00385835" w:rsidRPr="00385835" w:rsidTr="00385835">
        <w:tc>
          <w:tcPr>
            <w:tcW w:w="2694" w:type="dxa"/>
            <w:tcBorders>
              <w:top w:val="single" w:sz="4" w:space="0" w:color="auto"/>
              <w:left w:val="single" w:sz="4" w:space="0" w:color="auto"/>
              <w:bottom w:val="single" w:sz="4" w:space="0" w:color="auto"/>
              <w:right w:val="single" w:sz="4" w:space="0" w:color="auto"/>
            </w:tcBorders>
            <w:shd w:val="clear" w:color="auto" w:fill="EEECE1"/>
            <w:hideMark/>
          </w:tcPr>
          <w:p w:rsidR="00385835" w:rsidRPr="00385835" w:rsidRDefault="00385835" w:rsidP="00385835">
            <w:pPr>
              <w:widowControl w:val="0"/>
              <w:tabs>
                <w:tab w:val="left" w:pos="622"/>
              </w:tabs>
              <w:spacing w:after="0" w:line="240" w:lineRule="auto"/>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10.1.4. KONKRETUS UŽDAVINYS</w:t>
            </w:r>
          </w:p>
        </w:tc>
        <w:tc>
          <w:tcPr>
            <w:tcW w:w="7087"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385835" w:rsidRPr="00385835" w:rsidRDefault="00385835" w:rsidP="00385835">
            <w:pPr>
              <w:spacing w:after="0" w:line="240" w:lineRule="auto"/>
              <w:jc w:val="both"/>
              <w:rPr>
                <w:rFonts w:ascii="Times New Roman" w:hAnsi="Times New Roman"/>
                <w:b/>
                <w:sz w:val="24"/>
                <w:szCs w:val="24"/>
              </w:rPr>
            </w:pPr>
            <w:r w:rsidRPr="00385835">
              <w:rPr>
                <w:rFonts w:ascii="Times New Roman" w:hAnsi="Times New Roman"/>
                <w:b/>
                <w:sz w:val="24"/>
                <w:szCs w:val="24"/>
              </w:rPr>
              <w:t>Pagerinti verslo reguliavimo aplinką</w:t>
            </w:r>
          </w:p>
        </w:tc>
      </w:tr>
      <w:tr w:rsidR="00385835" w:rsidRPr="00385835" w:rsidTr="00385835">
        <w:tc>
          <w:tcPr>
            <w:tcW w:w="9781" w:type="dxa"/>
            <w:gridSpan w:val="2"/>
            <w:tcBorders>
              <w:top w:val="single" w:sz="4" w:space="0" w:color="auto"/>
              <w:left w:val="single" w:sz="4" w:space="0" w:color="auto"/>
              <w:bottom w:val="single" w:sz="4" w:space="0" w:color="auto"/>
              <w:right w:val="single" w:sz="4" w:space="0" w:color="auto"/>
            </w:tcBorders>
            <w:shd w:val="clear" w:color="auto" w:fill="auto"/>
            <w:hideMark/>
          </w:tcPr>
          <w:p w:rsidR="00385835" w:rsidRPr="00385835" w:rsidRDefault="00385835" w:rsidP="00385835">
            <w:pPr>
              <w:widowControl w:val="0"/>
              <w:tabs>
                <w:tab w:val="left" w:pos="622"/>
              </w:tabs>
              <w:spacing w:after="0" w:line="240" w:lineRule="auto"/>
              <w:ind w:firstLine="459"/>
              <w:jc w:val="both"/>
              <w:rPr>
                <w:rFonts w:ascii="Times New Roman" w:hAnsi="Times New Roman"/>
                <w:sz w:val="24"/>
                <w:szCs w:val="24"/>
              </w:rPr>
            </w:pPr>
            <w:r w:rsidRPr="00385835">
              <w:rPr>
                <w:rFonts w:ascii="Times New Roman" w:hAnsi="Times New Roman"/>
                <w:sz w:val="24"/>
                <w:szCs w:val="24"/>
              </w:rPr>
              <w:t xml:space="preserve">Dėl perteklinio, neracionalaus ar sudėtingo teisinio reguliavimo verslui ir gyventojams sukuriama nepagrįsta administracinė ir (ar) kita reguliavimo našta, kuri nepakankamai aktyviai ir sistemingai vertinama ir mažinama, lėtai įgyvendinamos kitos verslo aplinkos gerinimo iniciatyvos. Atsižvelgiant į tai, </w:t>
            </w:r>
            <w:r w:rsidRPr="00385835">
              <w:rPr>
                <w:rFonts w:ascii="Times New Roman" w:hAnsi="Times New Roman"/>
                <w:bCs/>
                <w:sz w:val="24"/>
                <w:szCs w:val="24"/>
              </w:rPr>
              <w:t>numatoma pagerinti teisės aktų kokybę, sumažinti administracinę ir (ar) kitą reguliavimo naštą, padidinti informacijos apie verslui teikiamas paslaugas kokybę. Siekiama, kad Lietuva pagal reglamentavimo kokybės indeksą 2020</w:t>
            </w:r>
            <w:r w:rsidR="00D47A28">
              <w:rPr>
                <w:rFonts w:ascii="Times New Roman" w:hAnsi="Times New Roman"/>
                <w:bCs/>
                <w:sz w:val="24"/>
                <w:szCs w:val="24"/>
              </w:rPr>
              <w:t xml:space="preserve"> </w:t>
            </w:r>
            <w:r w:rsidRPr="00385835">
              <w:rPr>
                <w:rFonts w:ascii="Times New Roman" w:hAnsi="Times New Roman"/>
                <w:bCs/>
                <w:sz w:val="24"/>
                <w:szCs w:val="24"/>
              </w:rPr>
              <w:t>m. užimtų 13 vietą ES (2011</w:t>
            </w:r>
            <w:r w:rsidR="00D47A28">
              <w:rPr>
                <w:rFonts w:ascii="Times New Roman" w:hAnsi="Times New Roman"/>
                <w:bCs/>
                <w:sz w:val="24"/>
                <w:szCs w:val="24"/>
              </w:rPr>
              <w:t xml:space="preserve"> </w:t>
            </w:r>
            <w:r w:rsidRPr="00385835">
              <w:rPr>
                <w:rFonts w:ascii="Times New Roman" w:hAnsi="Times New Roman"/>
                <w:bCs/>
                <w:sz w:val="24"/>
                <w:szCs w:val="24"/>
              </w:rPr>
              <w:t xml:space="preserve">m. – 17 vieta ES). </w:t>
            </w:r>
          </w:p>
          <w:p w:rsidR="00385835" w:rsidRPr="00385835" w:rsidRDefault="00385835" w:rsidP="00385835">
            <w:pPr>
              <w:widowControl w:val="0"/>
              <w:tabs>
                <w:tab w:val="left" w:pos="622"/>
              </w:tabs>
              <w:spacing w:after="0" w:line="240" w:lineRule="auto"/>
              <w:ind w:firstLine="459"/>
              <w:jc w:val="both"/>
              <w:rPr>
                <w:rFonts w:ascii="Times New Roman" w:hAnsi="Times New Roman"/>
                <w:bCs/>
                <w:sz w:val="24"/>
                <w:szCs w:val="24"/>
              </w:rPr>
            </w:pPr>
            <w:r w:rsidRPr="00385835">
              <w:rPr>
                <w:rFonts w:ascii="Times New Roman" w:hAnsi="Times New Roman"/>
                <w:bCs/>
                <w:sz w:val="24"/>
                <w:szCs w:val="24"/>
              </w:rPr>
              <w:t xml:space="preserve">Verslo priežiūros sistema vis dar nepakankamai efektyvi, todėl numatoma tęsti ūkio subjektų veiklos priežiūrą atliekančių institucijų pertvarką, mažinti dėl priežiūros funkcijų ūkio subjektams tenkančią naštą, skatinti šių subjektų ir jų priežiūrą atliekančių institucijų konsultavimąsi ir taip padidinti ūkio subjektų pasitenkinimą minėtų institucijų veikla. </w:t>
            </w:r>
          </w:p>
          <w:p w:rsidR="00385835" w:rsidRPr="00385835" w:rsidRDefault="00385835" w:rsidP="00385835">
            <w:pPr>
              <w:widowControl w:val="0"/>
              <w:tabs>
                <w:tab w:val="left" w:pos="622"/>
              </w:tabs>
              <w:spacing w:after="0" w:line="240" w:lineRule="auto"/>
              <w:ind w:firstLine="459"/>
              <w:jc w:val="both"/>
              <w:rPr>
                <w:rFonts w:ascii="Times New Roman" w:eastAsia="AngsanaUPC" w:hAnsi="Times New Roman"/>
                <w:bCs/>
                <w:sz w:val="24"/>
                <w:szCs w:val="24"/>
                <w:lang w:eastAsia="lt-LT"/>
              </w:rPr>
            </w:pPr>
            <w:r w:rsidRPr="00385835">
              <w:rPr>
                <w:rFonts w:ascii="Times New Roman" w:hAnsi="Times New Roman"/>
                <w:bCs/>
                <w:sz w:val="24"/>
                <w:szCs w:val="24"/>
              </w:rPr>
              <w:t xml:space="preserve">Siekiant verslui palankios aplinkos, numatoma didinti teisingumo sistemos veiksmingumą, kuriant prielaidas paprastesniam ir efektyvesniam teisinių ginčų sprendimui, suaktyvinant teisminės mediacijos ir kitų </w:t>
            </w:r>
            <w:r w:rsidRPr="00385835">
              <w:rPr>
                <w:rFonts w:ascii="Times New Roman" w:hAnsi="Times New Roman"/>
                <w:sz w:val="24"/>
                <w:szCs w:val="24"/>
              </w:rPr>
              <w:t>alternatyvių (neteisminių) civilinių ginčų sprendimo būdų taikymą ir kt. Taip bus prisidedama prie visuomenės pasitikėjimo teismais didinimo.</w:t>
            </w:r>
          </w:p>
        </w:tc>
      </w:tr>
    </w:tbl>
    <w:p w:rsidR="00031EF1" w:rsidRPr="00385835" w:rsidRDefault="00031EF1" w:rsidP="00385835">
      <w:pPr>
        <w:spacing w:after="0"/>
        <w:rPr>
          <w:rFonts w:ascii="Times New Roman" w:hAnsi="Times New Roman"/>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497"/>
        <w:gridCol w:w="2338"/>
        <w:gridCol w:w="993"/>
        <w:gridCol w:w="1090"/>
        <w:gridCol w:w="625"/>
        <w:gridCol w:w="576"/>
        <w:gridCol w:w="777"/>
        <w:gridCol w:w="671"/>
        <w:gridCol w:w="530"/>
        <w:gridCol w:w="1038"/>
        <w:gridCol w:w="646"/>
      </w:tblGrid>
      <w:tr w:rsidR="00385835" w:rsidRPr="00385835" w:rsidTr="00385835">
        <w:tc>
          <w:tcPr>
            <w:tcW w:w="9781" w:type="dxa"/>
            <w:gridSpan w:val="11"/>
            <w:tcBorders>
              <w:top w:val="single" w:sz="4" w:space="0" w:color="auto"/>
              <w:left w:val="single" w:sz="4" w:space="0" w:color="auto"/>
              <w:bottom w:val="single" w:sz="4" w:space="0" w:color="auto"/>
              <w:right w:val="single" w:sz="4" w:space="0" w:color="auto"/>
            </w:tcBorders>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i/>
                <w:iCs/>
                <w:sz w:val="24"/>
                <w:szCs w:val="24"/>
                <w:lang w:eastAsia="lt-LT"/>
              </w:rPr>
            </w:pPr>
            <w:r w:rsidRPr="00385835">
              <w:rPr>
                <w:rFonts w:ascii="Times New Roman" w:eastAsia="AngsanaUPC" w:hAnsi="Times New Roman"/>
                <w:b/>
                <w:bCs/>
                <w:i/>
                <w:iCs/>
                <w:sz w:val="24"/>
                <w:szCs w:val="24"/>
                <w:lang w:eastAsia="lt-LT"/>
              </w:rPr>
              <w:t xml:space="preserve">ESF </w:t>
            </w:r>
            <w:r w:rsidR="00A9401B">
              <w:rPr>
                <w:rFonts w:ascii="Times New Roman" w:eastAsia="AngsanaUPC" w:hAnsi="Times New Roman"/>
                <w:b/>
                <w:bCs/>
                <w:i/>
                <w:iCs/>
                <w:sz w:val="24"/>
                <w:szCs w:val="24"/>
                <w:lang w:eastAsia="lt-LT"/>
              </w:rPr>
              <w:t xml:space="preserve">bendrieji ir </w:t>
            </w:r>
            <w:r w:rsidR="00D94011">
              <w:rPr>
                <w:rFonts w:ascii="Times New Roman" w:eastAsia="AngsanaUPC" w:hAnsi="Times New Roman"/>
                <w:b/>
                <w:bCs/>
                <w:i/>
                <w:iCs/>
                <w:sz w:val="24"/>
                <w:szCs w:val="24"/>
                <w:lang w:eastAsia="lt-LT"/>
              </w:rPr>
              <w:t>specialieji</w:t>
            </w:r>
            <w:r w:rsidR="00D94011" w:rsidRPr="00385835">
              <w:rPr>
                <w:rFonts w:ascii="Times New Roman" w:eastAsia="AngsanaUPC" w:hAnsi="Times New Roman"/>
                <w:b/>
                <w:bCs/>
                <w:i/>
                <w:iCs/>
                <w:sz w:val="24"/>
                <w:szCs w:val="24"/>
                <w:lang w:eastAsia="lt-LT"/>
              </w:rPr>
              <w:t xml:space="preserve"> </w:t>
            </w:r>
            <w:r w:rsidRPr="00385835">
              <w:rPr>
                <w:rFonts w:ascii="Times New Roman" w:eastAsia="AngsanaUPC" w:hAnsi="Times New Roman"/>
                <w:b/>
                <w:bCs/>
                <w:i/>
                <w:iCs/>
                <w:sz w:val="24"/>
                <w:szCs w:val="24"/>
                <w:lang w:eastAsia="lt-LT"/>
              </w:rPr>
              <w:t>programos rezultato rodikliai</w:t>
            </w:r>
          </w:p>
        </w:tc>
      </w:tr>
      <w:tr w:rsidR="00385835" w:rsidRPr="00385835" w:rsidTr="00385835">
        <w:trPr>
          <w:cantSplit/>
          <w:trHeight w:val="1837"/>
        </w:trPr>
        <w:tc>
          <w:tcPr>
            <w:tcW w:w="497"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Nr.</w:t>
            </w:r>
          </w:p>
        </w:tc>
        <w:tc>
          <w:tcPr>
            <w:tcW w:w="2338"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Rodiklio pavadinimas</w:t>
            </w:r>
          </w:p>
        </w:tc>
        <w:tc>
          <w:tcPr>
            <w:tcW w:w="993" w:type="dxa"/>
            <w:tcBorders>
              <w:top w:val="single" w:sz="4" w:space="0" w:color="auto"/>
              <w:left w:val="single" w:sz="4" w:space="0" w:color="auto"/>
              <w:bottom w:val="single" w:sz="4" w:space="0" w:color="auto"/>
              <w:right w:val="single" w:sz="4" w:space="0" w:color="auto"/>
            </w:tcBorders>
            <w:shd w:val="clear" w:color="auto" w:fill="EEECE1"/>
            <w:textDirection w:val="btLr"/>
            <w:vAlign w:val="center"/>
            <w:hideMark/>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Regiono kategorija</w:t>
            </w:r>
          </w:p>
        </w:tc>
        <w:tc>
          <w:tcPr>
            <w:tcW w:w="1090" w:type="dxa"/>
            <w:tcBorders>
              <w:top w:val="single" w:sz="4" w:space="0" w:color="auto"/>
              <w:left w:val="single" w:sz="4" w:space="0" w:color="auto"/>
              <w:bottom w:val="single" w:sz="4" w:space="0" w:color="auto"/>
              <w:right w:val="single" w:sz="4" w:space="0" w:color="auto"/>
            </w:tcBorders>
            <w:shd w:val="clear" w:color="auto" w:fill="EEECE1"/>
            <w:textDirection w:val="btLr"/>
            <w:vAlign w:val="center"/>
            <w:hideMark/>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Matavimo vienetas</w:t>
            </w:r>
          </w:p>
        </w:tc>
        <w:tc>
          <w:tcPr>
            <w:tcW w:w="625" w:type="dxa"/>
            <w:tcBorders>
              <w:top w:val="single" w:sz="4" w:space="0" w:color="auto"/>
              <w:left w:val="single" w:sz="4" w:space="0" w:color="auto"/>
              <w:bottom w:val="single" w:sz="4" w:space="0" w:color="auto"/>
              <w:right w:val="single" w:sz="4" w:space="0" w:color="auto"/>
            </w:tcBorders>
            <w:shd w:val="clear" w:color="auto" w:fill="EEECE1"/>
            <w:textDirection w:val="btLr"/>
            <w:vAlign w:val="center"/>
            <w:hideMark/>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Bendrasis produkto rodiklis, naudotas kaip pagrindas</w:t>
            </w:r>
          </w:p>
        </w:tc>
        <w:tc>
          <w:tcPr>
            <w:tcW w:w="576" w:type="dxa"/>
            <w:tcBorders>
              <w:top w:val="single" w:sz="4" w:space="0" w:color="auto"/>
              <w:left w:val="single" w:sz="4" w:space="0" w:color="auto"/>
              <w:bottom w:val="single" w:sz="4" w:space="0" w:color="auto"/>
              <w:right w:val="single" w:sz="4" w:space="0" w:color="auto"/>
            </w:tcBorders>
            <w:shd w:val="clear" w:color="auto" w:fill="EEECE1"/>
            <w:textDirection w:val="btLr"/>
            <w:vAlign w:val="center"/>
            <w:hideMark/>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 reikšmė</w:t>
            </w:r>
          </w:p>
        </w:tc>
        <w:tc>
          <w:tcPr>
            <w:tcW w:w="777" w:type="dxa"/>
            <w:tcBorders>
              <w:top w:val="single" w:sz="4" w:space="0" w:color="auto"/>
              <w:left w:val="single" w:sz="4" w:space="0" w:color="auto"/>
              <w:bottom w:val="single" w:sz="4" w:space="0" w:color="auto"/>
              <w:right w:val="single" w:sz="4" w:space="0" w:color="auto"/>
            </w:tcBorders>
            <w:shd w:val="clear" w:color="auto" w:fill="EEECE1"/>
            <w:textDirection w:val="btLr"/>
            <w:vAlign w:val="center"/>
            <w:hideMark/>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Pradinės ir siektinos reikšmės matavimo vienetai</w:t>
            </w:r>
          </w:p>
        </w:tc>
        <w:tc>
          <w:tcPr>
            <w:tcW w:w="671" w:type="dxa"/>
            <w:tcBorders>
              <w:top w:val="single" w:sz="4" w:space="0" w:color="auto"/>
              <w:left w:val="single" w:sz="4" w:space="0" w:color="auto"/>
              <w:bottom w:val="single" w:sz="4" w:space="0" w:color="auto"/>
              <w:right w:val="single" w:sz="4" w:space="0" w:color="auto"/>
            </w:tcBorders>
            <w:shd w:val="clear" w:color="auto" w:fill="EEECE1"/>
            <w:textDirection w:val="btLr"/>
            <w:vAlign w:val="center"/>
            <w:hideMark/>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Pradinės reikšmės metai</w:t>
            </w:r>
          </w:p>
        </w:tc>
        <w:tc>
          <w:tcPr>
            <w:tcW w:w="530" w:type="dxa"/>
            <w:tcBorders>
              <w:top w:val="single" w:sz="4" w:space="0" w:color="auto"/>
              <w:left w:val="single" w:sz="4" w:space="0" w:color="auto"/>
              <w:bottom w:val="single" w:sz="4" w:space="0" w:color="auto"/>
              <w:right w:val="single" w:sz="4" w:space="0" w:color="auto"/>
            </w:tcBorders>
            <w:shd w:val="clear" w:color="auto" w:fill="EEECE1"/>
            <w:textDirection w:val="btLr"/>
            <w:vAlign w:val="center"/>
            <w:hideMark/>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Siektina reikšmė (2023)</w:t>
            </w:r>
          </w:p>
        </w:tc>
        <w:tc>
          <w:tcPr>
            <w:tcW w:w="1038"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Duomenų šaltinis</w:t>
            </w:r>
          </w:p>
        </w:tc>
        <w:tc>
          <w:tcPr>
            <w:tcW w:w="646" w:type="dxa"/>
            <w:tcBorders>
              <w:top w:val="single" w:sz="4" w:space="0" w:color="auto"/>
              <w:left w:val="single" w:sz="4" w:space="0" w:color="auto"/>
              <w:bottom w:val="single" w:sz="4" w:space="0" w:color="auto"/>
              <w:right w:val="single" w:sz="4" w:space="0" w:color="auto"/>
            </w:tcBorders>
            <w:shd w:val="clear" w:color="auto" w:fill="EEECE1"/>
            <w:textDirection w:val="btLr"/>
            <w:vAlign w:val="center"/>
            <w:hideMark/>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Atsiskaitymo dažnumas</w:t>
            </w:r>
          </w:p>
        </w:tc>
      </w:tr>
      <w:tr w:rsidR="00385835" w:rsidRPr="00385835" w:rsidTr="00385835">
        <w:tc>
          <w:tcPr>
            <w:tcW w:w="4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w:t>
            </w:r>
          </w:p>
        </w:tc>
        <w:tc>
          <w:tcPr>
            <w:tcW w:w="23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835" w:rsidRPr="00385835" w:rsidRDefault="00385835" w:rsidP="00385835">
            <w:pPr>
              <w:spacing w:after="0" w:line="240" w:lineRule="auto"/>
              <w:rPr>
                <w:rFonts w:ascii="Times New Roman" w:eastAsia="Times New Roman" w:hAnsi="Times New Roman"/>
                <w:bCs/>
                <w:sz w:val="18"/>
                <w:szCs w:val="18"/>
              </w:rPr>
            </w:pPr>
            <w:r w:rsidRPr="00385835">
              <w:rPr>
                <w:rFonts w:ascii="Times New Roman" w:hAnsi="Times New Roman"/>
                <w:sz w:val="18"/>
                <w:szCs w:val="18"/>
              </w:rPr>
              <w:t xml:space="preserve">Dėl pagal </w:t>
            </w:r>
            <w:r w:rsidRPr="00385835">
              <w:rPr>
                <w:rFonts w:ascii="Times New Roman" w:eastAsia="AngsanaUPC" w:hAnsi="Times New Roman"/>
                <w:bCs/>
                <w:iCs/>
                <w:sz w:val="18"/>
                <w:szCs w:val="18"/>
                <w:lang w:eastAsia="lt-LT"/>
              </w:rPr>
              <w:t>veiksmų programą ESF</w:t>
            </w:r>
            <w:r w:rsidRPr="00385835">
              <w:rPr>
                <w:rFonts w:ascii="Times New Roman" w:hAnsi="Times New Roman"/>
                <w:sz w:val="18"/>
                <w:szCs w:val="18"/>
              </w:rPr>
              <w:t xml:space="preserve"> lėšomis įgyvendintų </w:t>
            </w:r>
            <w:r w:rsidRPr="00385835">
              <w:rPr>
                <w:rFonts w:ascii="Times New Roman" w:hAnsi="Times New Roman"/>
                <w:sz w:val="18"/>
                <w:szCs w:val="18"/>
              </w:rPr>
              <w:lastRenderedPageBreak/>
              <w:t>geresnio reglamentavimo iniciatyvų sumažėjusi administracinė ir (ar) kita reguliavimo našta verslui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835" w:rsidRPr="00385835" w:rsidRDefault="00385835" w:rsidP="00385835">
            <w:pPr>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lastRenderedPageBreak/>
              <w:t xml:space="preserve">Mažiau išsivystęs </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Mln. EUR</w:t>
            </w:r>
          </w:p>
        </w:tc>
        <w:tc>
          <w:tcPr>
            <w:tcW w:w="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1,16</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Mln. EUR</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2013</w:t>
            </w:r>
          </w:p>
        </w:tc>
        <w:tc>
          <w:tcPr>
            <w:tcW w:w="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3</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hAnsi="Times New Roman"/>
                <w:sz w:val="18"/>
                <w:szCs w:val="18"/>
              </w:rPr>
              <w:t>Duomenys iš projektų</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 xml:space="preserve">Kartą per </w:t>
            </w:r>
            <w:r w:rsidRPr="00385835">
              <w:rPr>
                <w:rFonts w:ascii="Times New Roman" w:hAnsi="Times New Roman"/>
                <w:sz w:val="18"/>
                <w:szCs w:val="18"/>
              </w:rPr>
              <w:lastRenderedPageBreak/>
              <w:t>metus</w:t>
            </w:r>
          </w:p>
        </w:tc>
      </w:tr>
      <w:tr w:rsidR="00385835" w:rsidRPr="00385835" w:rsidTr="00385835">
        <w:tc>
          <w:tcPr>
            <w:tcW w:w="4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lastRenderedPageBreak/>
              <w:t>2.</w:t>
            </w:r>
          </w:p>
        </w:tc>
        <w:tc>
          <w:tcPr>
            <w:tcW w:w="2338"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spacing w:after="0" w:line="240" w:lineRule="auto"/>
              <w:rPr>
                <w:rFonts w:ascii="Times New Roman" w:eastAsia="Times New Roman" w:hAnsi="Times New Roman"/>
                <w:bCs/>
                <w:sz w:val="18"/>
                <w:szCs w:val="18"/>
              </w:rPr>
            </w:pPr>
            <w:r w:rsidRPr="00385835">
              <w:rPr>
                <w:rFonts w:ascii="Times New Roman" w:hAnsi="Times New Roman"/>
                <w:sz w:val="18"/>
                <w:szCs w:val="18"/>
              </w:rPr>
              <w:t xml:space="preserve">Ūkio subjektų veiklos priežiūros institucijų, kuriose pagal </w:t>
            </w:r>
            <w:r w:rsidRPr="00385835">
              <w:rPr>
                <w:rFonts w:ascii="Times New Roman" w:eastAsia="AngsanaUPC" w:hAnsi="Times New Roman"/>
                <w:bCs/>
                <w:iCs/>
                <w:sz w:val="18"/>
                <w:szCs w:val="18"/>
                <w:lang w:eastAsia="lt-LT"/>
              </w:rPr>
              <w:t>veiksmų programą ESF</w:t>
            </w:r>
            <w:r w:rsidRPr="00385835">
              <w:rPr>
                <w:rFonts w:ascii="Times New Roman" w:hAnsi="Times New Roman"/>
                <w:sz w:val="18"/>
                <w:szCs w:val="18"/>
              </w:rPr>
              <w:t xml:space="preserve"> lėšomis įdiegtos ar patobulintos pažangios verslo priežiūros priemonės, dalis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835" w:rsidRPr="00385835" w:rsidRDefault="00385835" w:rsidP="00385835">
            <w:pPr>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 xml:space="preserve">Mažiau išsivystęs </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Institucijos</w:t>
            </w:r>
          </w:p>
        </w:tc>
        <w:tc>
          <w:tcPr>
            <w:tcW w:w="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5</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Proc.</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2013</w:t>
            </w:r>
          </w:p>
        </w:tc>
        <w:tc>
          <w:tcPr>
            <w:tcW w:w="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30</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Duomenys iš projektų</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 xml:space="preserve">Kartą per metus </w:t>
            </w:r>
          </w:p>
        </w:tc>
      </w:tr>
      <w:tr w:rsidR="00385835" w:rsidRPr="00385835" w:rsidTr="00385835">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Del="00E1284F"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3.</w:t>
            </w:r>
          </w:p>
        </w:tc>
        <w:tc>
          <w:tcPr>
            <w:tcW w:w="2338"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spacing w:after="0" w:line="240" w:lineRule="auto"/>
              <w:rPr>
                <w:rFonts w:ascii="Times New Roman" w:hAnsi="Times New Roman"/>
                <w:sz w:val="18"/>
                <w:szCs w:val="18"/>
              </w:rPr>
            </w:pPr>
            <w:r w:rsidRPr="00385835">
              <w:rPr>
                <w:rFonts w:ascii="Times New Roman" w:hAnsi="Times New Roman"/>
                <w:sz w:val="18"/>
                <w:szCs w:val="18"/>
              </w:rPr>
              <w:t>Teismų, kuriuose pagal veiksmų programą ESF lėšomis įgyvendintos teisingumo vykdymo efektyvumui didinti skirtos priemonės, dalis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 xml:space="preserve">Mažiau išsivystęs </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Teismai</w:t>
            </w:r>
          </w:p>
        </w:tc>
        <w:tc>
          <w:tcPr>
            <w:tcW w:w="625"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13</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Proc.</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2013</w:t>
            </w:r>
          </w:p>
        </w:tc>
        <w:tc>
          <w:tcPr>
            <w:tcW w:w="530"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75</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Duomenys iš projektų</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 xml:space="preserve">Kartą per metus </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552"/>
        <w:gridCol w:w="7087"/>
      </w:tblGrid>
      <w:tr w:rsidR="00385835" w:rsidRPr="00385835" w:rsidTr="00385835">
        <w:tc>
          <w:tcPr>
            <w:tcW w:w="2552" w:type="dxa"/>
            <w:tcBorders>
              <w:top w:val="single" w:sz="4" w:space="0" w:color="auto"/>
              <w:left w:val="single" w:sz="4" w:space="0" w:color="auto"/>
              <w:bottom w:val="single" w:sz="4" w:space="0" w:color="auto"/>
              <w:right w:val="single" w:sz="4" w:space="0" w:color="auto"/>
            </w:tcBorders>
            <w:shd w:val="clear" w:color="auto" w:fill="EEECE1"/>
            <w:hideMark/>
          </w:tcPr>
          <w:p w:rsidR="00385835" w:rsidRPr="00385835" w:rsidRDefault="00385835" w:rsidP="00385835">
            <w:pPr>
              <w:widowControl w:val="0"/>
              <w:tabs>
                <w:tab w:val="left" w:pos="622"/>
              </w:tabs>
              <w:spacing w:after="0" w:line="240" w:lineRule="auto"/>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10.1.5. KONKRETUS UŽDAVINYS</w:t>
            </w:r>
          </w:p>
        </w:tc>
        <w:tc>
          <w:tcPr>
            <w:tcW w:w="7087"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385835" w:rsidRPr="00385835" w:rsidRDefault="00385835" w:rsidP="00385835">
            <w:pPr>
              <w:spacing w:after="0" w:line="240" w:lineRule="auto"/>
              <w:jc w:val="both"/>
              <w:rPr>
                <w:rFonts w:ascii="Times New Roman" w:hAnsi="Times New Roman"/>
                <w:b/>
                <w:sz w:val="24"/>
                <w:szCs w:val="24"/>
              </w:rPr>
            </w:pPr>
            <w:r w:rsidRPr="00385835">
              <w:rPr>
                <w:rFonts w:ascii="Times New Roman" w:hAnsi="Times New Roman"/>
                <w:b/>
                <w:sz w:val="24"/>
                <w:szCs w:val="24"/>
              </w:rPr>
              <w:t>Pagerinti žmogiškųjų išteklių valdymą valstybinėje tarnyboje</w:t>
            </w:r>
          </w:p>
        </w:tc>
      </w:tr>
      <w:tr w:rsidR="00385835" w:rsidRPr="00385835" w:rsidTr="00385835">
        <w:tc>
          <w:tcPr>
            <w:tcW w:w="9639" w:type="dxa"/>
            <w:gridSpan w:val="2"/>
            <w:tcBorders>
              <w:top w:val="single" w:sz="4" w:space="0" w:color="auto"/>
              <w:left w:val="single" w:sz="4" w:space="0" w:color="auto"/>
              <w:bottom w:val="single" w:sz="4" w:space="0" w:color="auto"/>
              <w:right w:val="single" w:sz="4" w:space="0" w:color="auto"/>
            </w:tcBorders>
            <w:shd w:val="clear" w:color="auto" w:fill="auto"/>
            <w:hideMark/>
          </w:tcPr>
          <w:p w:rsidR="00385835" w:rsidRPr="00385835" w:rsidRDefault="00385835" w:rsidP="00385835">
            <w:pPr>
              <w:widowControl w:val="0"/>
              <w:tabs>
                <w:tab w:val="left" w:pos="622"/>
              </w:tabs>
              <w:spacing w:after="0" w:line="240" w:lineRule="auto"/>
              <w:ind w:firstLine="624"/>
              <w:jc w:val="both"/>
              <w:rPr>
                <w:rFonts w:ascii="Times New Roman" w:hAnsi="Times New Roman"/>
                <w:sz w:val="24"/>
                <w:szCs w:val="24"/>
              </w:rPr>
            </w:pPr>
            <w:r w:rsidRPr="00385835">
              <w:rPr>
                <w:rFonts w:ascii="Times New Roman" w:hAnsi="Times New Roman"/>
                <w:sz w:val="24"/>
                <w:szCs w:val="24"/>
              </w:rPr>
              <w:t>Lietuvos valstybinė tarnyba vis dar per daug orientuota į veiklos procesus ir teisinį jų reglamentavimą, jai trūksta orientacijos į rezultatus, novatoriškumo, lankstumo, strateginių gebėjimų, efektyvaus žmogiškųjų išteklių valdymo. 2009 m. OECD</w:t>
            </w:r>
            <w:r w:rsidR="00D47A28">
              <w:rPr>
                <w:rFonts w:ascii="Times New Roman" w:hAnsi="Times New Roman"/>
                <w:sz w:val="24"/>
                <w:szCs w:val="24"/>
              </w:rPr>
              <w:t xml:space="preserve"> </w:t>
            </w:r>
            <w:r w:rsidRPr="00385835">
              <w:rPr>
                <w:rFonts w:ascii="Times New Roman" w:hAnsi="Times New Roman"/>
                <w:sz w:val="24"/>
                <w:szCs w:val="24"/>
              </w:rPr>
              <w:t>/</w:t>
            </w:r>
            <w:r w:rsidR="00D47A28">
              <w:rPr>
                <w:rFonts w:ascii="Times New Roman" w:hAnsi="Times New Roman"/>
                <w:sz w:val="24"/>
                <w:szCs w:val="24"/>
              </w:rPr>
              <w:t xml:space="preserve"> </w:t>
            </w:r>
            <w:r w:rsidRPr="00385835">
              <w:rPr>
                <w:rFonts w:ascii="Times New Roman" w:hAnsi="Times New Roman"/>
                <w:sz w:val="24"/>
                <w:szCs w:val="24"/>
              </w:rPr>
              <w:t xml:space="preserve">SIGMA ataskaitoje buvo nustatyta žemiausia valstybės tarnybos atitiktis Europos viešojo administravimo principams aukštesniosios valstybės tarnybos srityje, nepakankama atitiktis dirbančiųjų veiklos vertinimo srityje, darbo užmokesčio sistema buvo įvertinta kaip nekonkurencinga ir nepakankamai susieta su dirbančiųjų veiklos rezultatais. </w:t>
            </w:r>
          </w:p>
          <w:p w:rsidR="00385835" w:rsidRPr="00385835" w:rsidRDefault="00385835" w:rsidP="00B13F50">
            <w:pPr>
              <w:spacing w:after="0" w:line="240" w:lineRule="auto"/>
              <w:ind w:firstLine="624"/>
              <w:jc w:val="both"/>
              <w:rPr>
                <w:rFonts w:ascii="Times New Roman" w:eastAsia="AngsanaUPC" w:hAnsi="Times New Roman"/>
                <w:bCs/>
                <w:sz w:val="24"/>
                <w:szCs w:val="24"/>
                <w:lang w:eastAsia="lt-LT"/>
              </w:rPr>
            </w:pPr>
            <w:r w:rsidRPr="00385835">
              <w:rPr>
                <w:rFonts w:ascii="Times New Roman" w:hAnsi="Times New Roman"/>
                <w:sz w:val="24"/>
                <w:szCs w:val="24"/>
              </w:rPr>
              <w:t>Siekiant spręsti šias problemas, valstybinei tarnybai būtini neatidėliotini pokyčiai žmogiškųjų išteklių ir jų kompetencijų valdymo srityse. Įgyvendinant uždavinį</w:t>
            </w:r>
            <w:r w:rsidR="007524B7">
              <w:rPr>
                <w:rFonts w:ascii="Times New Roman" w:hAnsi="Times New Roman"/>
                <w:sz w:val="24"/>
                <w:szCs w:val="24"/>
              </w:rPr>
              <w:t>,</w:t>
            </w:r>
            <w:r w:rsidRPr="00385835">
              <w:rPr>
                <w:rFonts w:ascii="Times New Roman" w:hAnsi="Times New Roman"/>
                <w:sz w:val="24"/>
                <w:szCs w:val="24"/>
              </w:rPr>
              <w:t xml:space="preserve"> bus siekiama sukurti ir įdiegti kokybiškai naują aukštesniųjų vadovų valdymą, skaidrią ir konkurencingą dirbančiųjų darbo užmokesčio sistemą, pažangias motyvavimo priemones, patobulinti valstybės tarnautojų atrankos sistemą, orientuojant ją į gebėjimų ir kompetencijų vertinimą</w:t>
            </w:r>
            <w:r w:rsidR="00B13F50">
              <w:rPr>
                <w:rFonts w:ascii="Times New Roman" w:hAnsi="Times New Roman"/>
                <w:sz w:val="24"/>
                <w:szCs w:val="24"/>
              </w:rPr>
              <w:t>.</w:t>
            </w:r>
          </w:p>
        </w:tc>
      </w:tr>
    </w:tbl>
    <w:p w:rsidR="00385835" w:rsidRPr="00385835" w:rsidRDefault="00385835" w:rsidP="00385835">
      <w:pPr>
        <w:spacing w:after="0"/>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567"/>
        <w:gridCol w:w="2127"/>
        <w:gridCol w:w="992"/>
        <w:gridCol w:w="1134"/>
        <w:gridCol w:w="567"/>
        <w:gridCol w:w="709"/>
        <w:gridCol w:w="708"/>
        <w:gridCol w:w="709"/>
        <w:gridCol w:w="567"/>
        <w:gridCol w:w="1055"/>
        <w:gridCol w:w="611"/>
      </w:tblGrid>
      <w:tr w:rsidR="00385835" w:rsidRPr="00385835" w:rsidTr="00385835">
        <w:trPr>
          <w:tblHeader/>
        </w:trPr>
        <w:tc>
          <w:tcPr>
            <w:tcW w:w="9746" w:type="dxa"/>
            <w:gridSpan w:val="11"/>
            <w:tcBorders>
              <w:top w:val="single" w:sz="4" w:space="0" w:color="auto"/>
              <w:left w:val="single" w:sz="4" w:space="0" w:color="auto"/>
              <w:bottom w:val="single" w:sz="4" w:space="0" w:color="auto"/>
              <w:right w:val="single" w:sz="4" w:space="0" w:color="auto"/>
            </w:tcBorders>
            <w:shd w:val="clear" w:color="auto" w:fill="EEECE1"/>
            <w:hideMark/>
          </w:tcPr>
          <w:p w:rsidR="00385835" w:rsidRPr="00385835" w:rsidRDefault="00385835" w:rsidP="00385835">
            <w:pPr>
              <w:widowControl w:val="0"/>
              <w:tabs>
                <w:tab w:val="left" w:pos="622"/>
              </w:tabs>
              <w:spacing w:after="0" w:line="240" w:lineRule="auto"/>
              <w:jc w:val="both"/>
              <w:rPr>
                <w:rFonts w:ascii="Times New Roman" w:eastAsia="AngsanaUPC" w:hAnsi="Times New Roman"/>
                <w:b/>
                <w:bCs/>
                <w:i/>
                <w:iCs/>
                <w:sz w:val="24"/>
                <w:szCs w:val="24"/>
                <w:lang w:eastAsia="lt-LT"/>
              </w:rPr>
            </w:pPr>
            <w:r w:rsidRPr="00385835">
              <w:rPr>
                <w:rFonts w:ascii="Times New Roman" w:eastAsia="AngsanaUPC" w:hAnsi="Times New Roman"/>
                <w:b/>
                <w:bCs/>
                <w:i/>
                <w:iCs/>
                <w:sz w:val="24"/>
                <w:szCs w:val="24"/>
                <w:lang w:eastAsia="lt-LT"/>
              </w:rPr>
              <w:t xml:space="preserve">ESF bendrieji ir </w:t>
            </w:r>
            <w:r w:rsidR="00E56B6D">
              <w:rPr>
                <w:rFonts w:ascii="Times New Roman" w:eastAsia="AngsanaUPC" w:hAnsi="Times New Roman"/>
                <w:b/>
                <w:bCs/>
                <w:i/>
                <w:iCs/>
                <w:sz w:val="24"/>
                <w:szCs w:val="24"/>
                <w:lang w:eastAsia="lt-LT"/>
              </w:rPr>
              <w:t xml:space="preserve">specialieji </w:t>
            </w:r>
            <w:r w:rsidRPr="00385835">
              <w:rPr>
                <w:rFonts w:ascii="Times New Roman" w:eastAsia="AngsanaUPC" w:hAnsi="Times New Roman"/>
                <w:b/>
                <w:bCs/>
                <w:i/>
                <w:iCs/>
                <w:sz w:val="24"/>
                <w:szCs w:val="24"/>
                <w:lang w:eastAsia="lt-LT"/>
              </w:rPr>
              <w:t>programos rezultato rodikliai</w:t>
            </w:r>
          </w:p>
        </w:tc>
      </w:tr>
      <w:tr w:rsidR="00385835" w:rsidRPr="00385835" w:rsidTr="00385835">
        <w:trPr>
          <w:cantSplit/>
          <w:trHeight w:val="1837"/>
          <w:tblHeader/>
        </w:trPr>
        <w:tc>
          <w:tcPr>
            <w:tcW w:w="567"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Nr.</w:t>
            </w:r>
          </w:p>
        </w:tc>
        <w:tc>
          <w:tcPr>
            <w:tcW w:w="2127"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Rodiklio pavadinimas</w:t>
            </w:r>
          </w:p>
        </w:tc>
        <w:tc>
          <w:tcPr>
            <w:tcW w:w="992" w:type="dxa"/>
            <w:tcBorders>
              <w:top w:val="single" w:sz="4" w:space="0" w:color="auto"/>
              <w:left w:val="single" w:sz="4" w:space="0" w:color="auto"/>
              <w:bottom w:val="single" w:sz="4" w:space="0" w:color="auto"/>
              <w:right w:val="single" w:sz="4" w:space="0" w:color="auto"/>
            </w:tcBorders>
            <w:shd w:val="clear" w:color="auto" w:fill="EEECE1"/>
            <w:textDirection w:val="btLr"/>
            <w:vAlign w:val="center"/>
            <w:hideMark/>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Regiono kategorija</w:t>
            </w:r>
          </w:p>
        </w:tc>
        <w:tc>
          <w:tcPr>
            <w:tcW w:w="1134" w:type="dxa"/>
            <w:tcBorders>
              <w:top w:val="single" w:sz="4" w:space="0" w:color="auto"/>
              <w:left w:val="single" w:sz="4" w:space="0" w:color="auto"/>
              <w:bottom w:val="single" w:sz="4" w:space="0" w:color="auto"/>
              <w:right w:val="single" w:sz="4" w:space="0" w:color="auto"/>
            </w:tcBorders>
            <w:shd w:val="clear" w:color="auto" w:fill="EEECE1"/>
            <w:textDirection w:val="btLr"/>
            <w:vAlign w:val="center"/>
            <w:hideMark/>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Matavimo vienetas</w:t>
            </w:r>
          </w:p>
        </w:tc>
        <w:tc>
          <w:tcPr>
            <w:tcW w:w="567" w:type="dxa"/>
            <w:tcBorders>
              <w:top w:val="single" w:sz="4" w:space="0" w:color="auto"/>
              <w:left w:val="single" w:sz="4" w:space="0" w:color="auto"/>
              <w:bottom w:val="single" w:sz="4" w:space="0" w:color="auto"/>
              <w:right w:val="single" w:sz="4" w:space="0" w:color="auto"/>
            </w:tcBorders>
            <w:shd w:val="clear" w:color="auto" w:fill="EEECE1"/>
            <w:textDirection w:val="btLr"/>
            <w:vAlign w:val="center"/>
            <w:hideMark/>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Bendrasis produkto rodiklis, naudotas kaip pagrindas</w:t>
            </w:r>
          </w:p>
        </w:tc>
        <w:tc>
          <w:tcPr>
            <w:tcW w:w="709" w:type="dxa"/>
            <w:tcBorders>
              <w:top w:val="single" w:sz="4" w:space="0" w:color="auto"/>
              <w:left w:val="single" w:sz="4" w:space="0" w:color="auto"/>
              <w:bottom w:val="single" w:sz="4" w:space="0" w:color="auto"/>
              <w:right w:val="single" w:sz="4" w:space="0" w:color="auto"/>
            </w:tcBorders>
            <w:shd w:val="clear" w:color="auto" w:fill="EEECE1"/>
            <w:textDirection w:val="btLr"/>
            <w:vAlign w:val="center"/>
            <w:hideMark/>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 reikšmė</w:t>
            </w:r>
          </w:p>
        </w:tc>
        <w:tc>
          <w:tcPr>
            <w:tcW w:w="708" w:type="dxa"/>
            <w:tcBorders>
              <w:top w:val="single" w:sz="4" w:space="0" w:color="auto"/>
              <w:left w:val="single" w:sz="4" w:space="0" w:color="auto"/>
              <w:bottom w:val="single" w:sz="4" w:space="0" w:color="auto"/>
              <w:right w:val="single" w:sz="4" w:space="0" w:color="auto"/>
            </w:tcBorders>
            <w:shd w:val="clear" w:color="auto" w:fill="EEECE1"/>
            <w:textDirection w:val="btLr"/>
            <w:vAlign w:val="center"/>
            <w:hideMark/>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Pradinės ir siektinos reikšmės matavimo vienetai</w:t>
            </w:r>
          </w:p>
        </w:tc>
        <w:tc>
          <w:tcPr>
            <w:tcW w:w="709" w:type="dxa"/>
            <w:tcBorders>
              <w:top w:val="single" w:sz="4" w:space="0" w:color="auto"/>
              <w:left w:val="single" w:sz="4" w:space="0" w:color="auto"/>
              <w:bottom w:val="single" w:sz="4" w:space="0" w:color="auto"/>
              <w:right w:val="single" w:sz="4" w:space="0" w:color="auto"/>
            </w:tcBorders>
            <w:shd w:val="clear" w:color="auto" w:fill="EEECE1"/>
            <w:textDirection w:val="btLr"/>
            <w:vAlign w:val="center"/>
            <w:hideMark/>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Pradinės reikšmės metai</w:t>
            </w:r>
          </w:p>
        </w:tc>
        <w:tc>
          <w:tcPr>
            <w:tcW w:w="567" w:type="dxa"/>
            <w:tcBorders>
              <w:top w:val="single" w:sz="4" w:space="0" w:color="auto"/>
              <w:left w:val="single" w:sz="4" w:space="0" w:color="auto"/>
              <w:bottom w:val="single" w:sz="4" w:space="0" w:color="auto"/>
              <w:right w:val="single" w:sz="4" w:space="0" w:color="auto"/>
            </w:tcBorders>
            <w:shd w:val="clear" w:color="auto" w:fill="EEECE1"/>
            <w:textDirection w:val="btLr"/>
            <w:vAlign w:val="center"/>
            <w:hideMark/>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Siektina reikšmė (2023)</w:t>
            </w:r>
          </w:p>
        </w:tc>
        <w:tc>
          <w:tcPr>
            <w:tcW w:w="1055" w:type="dxa"/>
            <w:tcBorders>
              <w:top w:val="single" w:sz="4" w:space="0" w:color="auto"/>
              <w:left w:val="single" w:sz="4" w:space="0" w:color="auto"/>
              <w:bottom w:val="single" w:sz="4" w:space="0" w:color="auto"/>
              <w:right w:val="single" w:sz="4" w:space="0" w:color="auto"/>
            </w:tcBorders>
            <w:shd w:val="clear" w:color="auto" w:fill="EEECE1"/>
            <w:textDirection w:val="btLr"/>
            <w:vAlign w:val="center"/>
            <w:hideMark/>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Duomenų šaltinis</w:t>
            </w:r>
          </w:p>
        </w:tc>
        <w:tc>
          <w:tcPr>
            <w:tcW w:w="611" w:type="dxa"/>
            <w:tcBorders>
              <w:top w:val="single" w:sz="4" w:space="0" w:color="auto"/>
              <w:left w:val="single" w:sz="4" w:space="0" w:color="auto"/>
              <w:bottom w:val="single" w:sz="4" w:space="0" w:color="auto"/>
              <w:right w:val="single" w:sz="4" w:space="0" w:color="auto"/>
            </w:tcBorders>
            <w:shd w:val="clear" w:color="auto" w:fill="EEECE1"/>
            <w:textDirection w:val="btLr"/>
            <w:vAlign w:val="center"/>
            <w:hideMark/>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Atsiskaitymo dažnumas</w:t>
            </w:r>
          </w:p>
        </w:tc>
      </w:tr>
      <w:tr w:rsidR="00385835" w:rsidRPr="00385835" w:rsidTr="00385835">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835" w:rsidRPr="00385835" w:rsidRDefault="00385835" w:rsidP="00385835">
            <w:pPr>
              <w:spacing w:after="0" w:line="240" w:lineRule="auto"/>
              <w:rPr>
                <w:rFonts w:ascii="Times New Roman" w:eastAsia="Times New Roman" w:hAnsi="Times New Roman"/>
                <w:bCs/>
                <w:sz w:val="18"/>
                <w:szCs w:val="18"/>
              </w:rPr>
            </w:pPr>
            <w:r w:rsidRPr="00385835">
              <w:rPr>
                <w:rFonts w:ascii="Times New Roman" w:eastAsia="Times New Roman" w:hAnsi="Times New Roman"/>
                <w:bCs/>
                <w:sz w:val="18"/>
                <w:szCs w:val="18"/>
              </w:rPr>
              <w:t>Aukštesniųjų vadovų, dalyvaujančių pagal veiksmų programą ESF lėšomis finansuotuose aukštesniųjų vadovų bendradarbiavimo tinkluose, dalis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835" w:rsidRPr="00385835" w:rsidRDefault="00385835" w:rsidP="00385835">
            <w:pPr>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Mažiau išsivystęs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Asmenys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Proc.</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2013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100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Duomenys iš projektų</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Times New Roman" w:hAnsi="Times New Roman"/>
                <w:bCs/>
                <w:sz w:val="18"/>
                <w:szCs w:val="18"/>
              </w:rPr>
              <w:t>Kar</w:t>
            </w:r>
            <w:proofErr w:type="gramStart"/>
            <w:r w:rsidR="007524B7">
              <w:rPr>
                <w:rFonts w:ascii="Times New Roman" w:eastAsia="Times New Roman" w:hAnsi="Times New Roman"/>
                <w:bCs/>
                <w:sz w:val="18"/>
                <w:szCs w:val="18"/>
              </w:rPr>
              <w:t>-</w:t>
            </w:r>
            <w:proofErr w:type="gramEnd"/>
            <w:r w:rsidRPr="00385835">
              <w:rPr>
                <w:rFonts w:ascii="Times New Roman" w:eastAsia="Times New Roman" w:hAnsi="Times New Roman"/>
                <w:bCs/>
                <w:sz w:val="18"/>
                <w:szCs w:val="18"/>
              </w:rPr>
              <w:t>tą per me</w:t>
            </w:r>
            <w:r w:rsidR="007524B7">
              <w:rPr>
                <w:rFonts w:ascii="Times New Roman" w:eastAsia="Times New Roman" w:hAnsi="Times New Roman"/>
                <w:bCs/>
                <w:sz w:val="18"/>
                <w:szCs w:val="18"/>
              </w:rPr>
              <w:t>-</w:t>
            </w:r>
            <w:r w:rsidRPr="00385835">
              <w:rPr>
                <w:rFonts w:ascii="Times New Roman" w:eastAsia="Times New Roman" w:hAnsi="Times New Roman"/>
                <w:bCs/>
                <w:sz w:val="18"/>
                <w:szCs w:val="18"/>
              </w:rPr>
              <w:t>tus</w:t>
            </w:r>
          </w:p>
        </w:tc>
      </w:tr>
      <w:tr w:rsidR="00385835" w:rsidRPr="00385835" w:rsidTr="00385835">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Del="00E1284F"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spacing w:after="0" w:line="240" w:lineRule="auto"/>
              <w:rPr>
                <w:rFonts w:ascii="Times New Roman" w:eastAsia="Times New Roman" w:hAnsi="Times New Roman"/>
                <w:bCs/>
                <w:sz w:val="18"/>
                <w:szCs w:val="18"/>
              </w:rPr>
            </w:pPr>
            <w:r w:rsidRPr="00385835">
              <w:rPr>
                <w:rFonts w:ascii="Times New Roman" w:eastAsia="Times New Roman" w:hAnsi="Times New Roman"/>
                <w:bCs/>
                <w:sz w:val="18"/>
                <w:szCs w:val="18"/>
              </w:rPr>
              <w:t>Valstybės ir savivaldybių institucijų ir įstaigų, kuriose taikomas pagal veiksmų programą ESF lėšomis įdiegtas kompetencijomis grįstas valstybės tarnybos žmogiškųjų išteklių valdymas, dalis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Mažiau išsivystęs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Institucijos ir įstaigos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1,6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Proc.</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2013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95</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Valstybės tarnybos departamentas</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tcPr>
          <w:p w:rsidR="003C4705" w:rsidRDefault="00385835" w:rsidP="00385835">
            <w:pPr>
              <w:widowControl w:val="0"/>
              <w:tabs>
                <w:tab w:val="left" w:pos="622"/>
              </w:tabs>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Kar</w:t>
            </w:r>
            <w:proofErr w:type="gramStart"/>
            <w:r w:rsidR="003C4705">
              <w:rPr>
                <w:rFonts w:ascii="Times New Roman" w:eastAsia="AngsanaUPC" w:hAnsi="Times New Roman"/>
                <w:bCs/>
                <w:iCs/>
                <w:sz w:val="18"/>
                <w:szCs w:val="18"/>
                <w:lang w:eastAsia="lt-LT"/>
              </w:rPr>
              <w:t>-</w:t>
            </w:r>
            <w:proofErr w:type="gramEnd"/>
            <w:r w:rsidRPr="00385835">
              <w:rPr>
                <w:rFonts w:ascii="Times New Roman" w:eastAsia="Times New Roman" w:hAnsi="Times New Roman"/>
                <w:bCs/>
                <w:sz w:val="18"/>
                <w:szCs w:val="18"/>
              </w:rPr>
              <w:t xml:space="preserve">tą </w:t>
            </w:r>
          </w:p>
          <w:p w:rsidR="00385835" w:rsidRPr="00385835" w:rsidRDefault="00385835" w:rsidP="003C4705">
            <w:pPr>
              <w:widowControl w:val="0"/>
              <w:tabs>
                <w:tab w:val="left" w:pos="622"/>
              </w:tabs>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t>per me</w:t>
            </w:r>
            <w:r w:rsidR="003C4705">
              <w:rPr>
                <w:rFonts w:ascii="Times New Roman" w:eastAsia="AngsanaUPC" w:hAnsi="Times New Roman"/>
                <w:bCs/>
                <w:iCs/>
                <w:sz w:val="18"/>
                <w:szCs w:val="18"/>
                <w:lang w:eastAsia="lt-LT"/>
              </w:rPr>
              <w:t>-</w:t>
            </w:r>
            <w:r w:rsidRPr="00385835">
              <w:rPr>
                <w:rFonts w:ascii="Times New Roman" w:eastAsia="Times New Roman" w:hAnsi="Times New Roman"/>
                <w:bCs/>
                <w:sz w:val="18"/>
                <w:szCs w:val="18"/>
              </w:rPr>
              <w:t>tus</w:t>
            </w:r>
          </w:p>
        </w:tc>
      </w:tr>
      <w:tr w:rsidR="00385835" w:rsidRPr="00385835" w:rsidTr="00385835">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3.</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rPr>
                <w:rFonts w:ascii="Times New Roman" w:eastAsia="Times New Roman" w:hAnsi="Times New Roman"/>
                <w:bCs/>
                <w:sz w:val="18"/>
                <w:szCs w:val="18"/>
              </w:rPr>
            </w:pPr>
            <w:r w:rsidRPr="00385835">
              <w:rPr>
                <w:rFonts w:ascii="Times New Roman" w:eastAsia="Times New Roman" w:hAnsi="Times New Roman"/>
                <w:bCs/>
                <w:sz w:val="18"/>
                <w:szCs w:val="18"/>
              </w:rPr>
              <w:t xml:space="preserve">Asmenų, kurie praėjus 6 mėnesiams po </w:t>
            </w:r>
            <w:r w:rsidRPr="00385835">
              <w:rPr>
                <w:rFonts w:ascii="Times New Roman" w:eastAsia="Times New Roman" w:hAnsi="Times New Roman"/>
                <w:bCs/>
                <w:sz w:val="18"/>
                <w:szCs w:val="18"/>
              </w:rPr>
              <w:lastRenderedPageBreak/>
              <w:t>dalyvavimo ESF veiklose, skirtose stiprinti strategines kompetencijas, darbe taiko įgytas žinias ir gebėjimus, dalis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sz w:val="18"/>
                <w:szCs w:val="18"/>
              </w:rPr>
              <w:lastRenderedPageBreak/>
              <w:t>Mažiau išsivystęs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Asmenys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58,52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Proc.</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2013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75</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hAnsi="Times New Roman"/>
                <w:sz w:val="18"/>
                <w:szCs w:val="18"/>
              </w:rPr>
              <w:t>Tyrimas</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Times New Roman" w:hAnsi="Times New Roman"/>
                <w:bCs/>
                <w:sz w:val="18"/>
                <w:szCs w:val="18"/>
              </w:rPr>
            </w:pPr>
            <w:r w:rsidRPr="00385835">
              <w:rPr>
                <w:rFonts w:ascii="Times New Roman" w:eastAsia="Times New Roman" w:hAnsi="Times New Roman"/>
                <w:bCs/>
                <w:iCs/>
                <w:sz w:val="18"/>
                <w:szCs w:val="18"/>
              </w:rPr>
              <w:t>3 kar</w:t>
            </w:r>
            <w:r w:rsidR="003C4705">
              <w:rPr>
                <w:rFonts w:ascii="Times New Roman" w:eastAsia="Times New Roman" w:hAnsi="Times New Roman"/>
                <w:bCs/>
                <w:iCs/>
                <w:sz w:val="18"/>
                <w:szCs w:val="18"/>
              </w:rPr>
              <w:t>-</w:t>
            </w:r>
            <w:r w:rsidR="003C4705">
              <w:rPr>
                <w:rFonts w:ascii="Times New Roman" w:eastAsia="Times New Roman" w:hAnsi="Times New Roman"/>
                <w:bCs/>
                <w:iCs/>
                <w:sz w:val="18"/>
                <w:szCs w:val="18"/>
              </w:rPr>
              <w:lastRenderedPageBreak/>
              <w:t>tus per laiko</w:t>
            </w:r>
            <w:r w:rsidRPr="00385835">
              <w:rPr>
                <w:rFonts w:ascii="Times New Roman" w:eastAsia="Times New Roman" w:hAnsi="Times New Roman"/>
                <w:bCs/>
                <w:iCs/>
                <w:sz w:val="18"/>
                <w:szCs w:val="18"/>
              </w:rPr>
              <w:t>tarpį</w:t>
            </w:r>
          </w:p>
        </w:tc>
      </w:tr>
    </w:tbl>
    <w:p w:rsidR="00385835" w:rsidRPr="00385835" w:rsidRDefault="00385835" w:rsidP="00385835">
      <w:pPr>
        <w:spacing w:after="0"/>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385835" w:rsidRPr="00385835" w:rsidTr="00385835">
        <w:tc>
          <w:tcPr>
            <w:tcW w:w="9746" w:type="dxa"/>
            <w:tcBorders>
              <w:top w:val="single" w:sz="4" w:space="0" w:color="auto"/>
              <w:left w:val="single" w:sz="4" w:space="0" w:color="auto"/>
              <w:bottom w:val="single" w:sz="4" w:space="0" w:color="auto"/>
              <w:right w:val="single" w:sz="4" w:space="0" w:color="auto"/>
            </w:tcBorders>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Cs/>
                <w:iCs/>
                <w:sz w:val="24"/>
                <w:szCs w:val="24"/>
                <w:lang w:eastAsia="lt-LT"/>
              </w:rPr>
            </w:pPr>
            <w:r w:rsidRPr="00385835">
              <w:rPr>
                <w:rFonts w:ascii="Times New Roman" w:eastAsia="AngsanaUPC" w:hAnsi="Times New Roman"/>
                <w:b/>
                <w:bCs/>
                <w:i/>
                <w:iCs/>
                <w:sz w:val="24"/>
                <w:szCs w:val="24"/>
                <w:lang w:eastAsia="lt-LT"/>
              </w:rPr>
              <w:t>10.1. Investicinio prioriteto įgyvendinimo veiklos</w:t>
            </w:r>
          </w:p>
        </w:tc>
      </w:tr>
      <w:tr w:rsidR="00385835" w:rsidRPr="00385835" w:rsidTr="00385835">
        <w:tc>
          <w:tcPr>
            <w:tcW w:w="9746" w:type="dxa"/>
            <w:shd w:val="clear" w:color="auto" w:fill="auto"/>
          </w:tcPr>
          <w:p w:rsidR="00385835" w:rsidRPr="00385835" w:rsidRDefault="00385835" w:rsidP="00385835">
            <w:pPr>
              <w:widowControl w:val="0"/>
              <w:tabs>
                <w:tab w:val="left" w:pos="601"/>
              </w:tabs>
              <w:spacing w:after="0" w:line="240" w:lineRule="auto"/>
              <w:jc w:val="both"/>
              <w:rPr>
                <w:rFonts w:ascii="Times New Roman" w:eastAsia="AngsanaUPC" w:hAnsi="Times New Roman"/>
                <w:bCs/>
                <w:i/>
                <w:iCs/>
                <w:sz w:val="24"/>
                <w:szCs w:val="24"/>
                <w:lang w:eastAsia="lt-LT"/>
              </w:rPr>
            </w:pPr>
            <w:r w:rsidRPr="00385835">
              <w:rPr>
                <w:rFonts w:ascii="Times New Roman" w:eastAsia="AngsanaUPC" w:hAnsi="Times New Roman"/>
                <w:bCs/>
                <w:i/>
                <w:iCs/>
                <w:sz w:val="24"/>
                <w:szCs w:val="24"/>
                <w:lang w:eastAsia="lt-LT"/>
              </w:rPr>
              <w:t>10.1.1. konkretaus uždavinio veiklos:</w:t>
            </w:r>
          </w:p>
          <w:p w:rsidR="00385835" w:rsidRPr="00385835" w:rsidRDefault="00385835" w:rsidP="00650E41">
            <w:pPr>
              <w:widowControl w:val="0"/>
              <w:numPr>
                <w:ilvl w:val="0"/>
                <w:numId w:val="45"/>
              </w:numPr>
              <w:tabs>
                <w:tab w:val="left" w:pos="459"/>
                <w:tab w:val="left" w:pos="885"/>
              </w:tabs>
              <w:spacing w:after="0" w:line="240" w:lineRule="auto"/>
              <w:ind w:left="34"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Įrodymais grįsto valdymo priemonių taikymas. Bus remiamos veiklos, susijusios su programų vertinimu, funkcijų peržiūrų vykdymu, sprendimų poveikio vertinimu (</w:t>
            </w:r>
            <w:r w:rsidR="00686878">
              <w:rPr>
                <w:rFonts w:ascii="Times New Roman" w:eastAsia="AngsanaUPC" w:hAnsi="Times New Roman"/>
                <w:bCs/>
                <w:iCs/>
                <w:sz w:val="24"/>
                <w:szCs w:val="24"/>
                <w:lang w:eastAsia="lt-LT"/>
              </w:rPr>
              <w:t>pavyzdžiui,</w:t>
            </w:r>
            <w:r w:rsidRPr="00385835">
              <w:rPr>
                <w:rFonts w:ascii="Times New Roman" w:eastAsia="AngsanaUPC" w:hAnsi="Times New Roman"/>
                <w:bCs/>
                <w:iCs/>
                <w:sz w:val="24"/>
                <w:szCs w:val="24"/>
                <w:lang w:eastAsia="lt-LT"/>
              </w:rPr>
              <w:t xml:space="preserve"> sąnaudų</w:t>
            </w:r>
            <w:proofErr w:type="gramStart"/>
            <w:r w:rsidRPr="00385835">
              <w:rPr>
                <w:rFonts w:ascii="Times New Roman" w:eastAsia="AngsanaUPC" w:hAnsi="Times New Roman"/>
                <w:bCs/>
                <w:iCs/>
                <w:sz w:val="24"/>
                <w:szCs w:val="24"/>
                <w:lang w:eastAsia="lt-LT"/>
              </w:rPr>
              <w:t>-</w:t>
            </w:r>
            <w:proofErr w:type="gramEnd"/>
            <w:r w:rsidRPr="00385835">
              <w:rPr>
                <w:rFonts w:ascii="Times New Roman" w:eastAsia="AngsanaUPC" w:hAnsi="Times New Roman"/>
                <w:bCs/>
                <w:iCs/>
                <w:sz w:val="24"/>
                <w:szCs w:val="24"/>
                <w:lang w:eastAsia="lt-LT"/>
              </w:rPr>
              <w:t>naudos analizės metodo taikymu, išplėstinių sprendimų poveikio vertinimų vykdymu, prioritetinių teisėkūros iniciatyvų poveikio vertinimo kokybės priežiūrų vykdymu), šių veiksmų koordinavimu, įrodymais grįsto valdymo priemonių taikymui ir koordinavimui reikalingų institucinių gebėjimų (įskaitant darbuotojų kompetencijas) stiprinimu ir kt.</w:t>
            </w:r>
          </w:p>
          <w:p w:rsidR="00385835" w:rsidRPr="00385835" w:rsidRDefault="00385835" w:rsidP="00650E41">
            <w:pPr>
              <w:widowControl w:val="0"/>
              <w:numPr>
                <w:ilvl w:val="0"/>
                <w:numId w:val="45"/>
              </w:numPr>
              <w:tabs>
                <w:tab w:val="left" w:pos="459"/>
                <w:tab w:val="left" w:pos="885"/>
              </w:tabs>
              <w:spacing w:after="0" w:line="240" w:lineRule="auto"/>
              <w:ind w:left="34"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Viešojo valdymo institucijų veiklos efektyvumo didinimas. Bus remiamos įvairios institucijų vidaus administravimo tobulinimo iniciatyvos, sus</w:t>
            </w:r>
            <w:r w:rsidR="0038647B">
              <w:rPr>
                <w:rFonts w:ascii="Times New Roman" w:eastAsia="AngsanaUPC" w:hAnsi="Times New Roman"/>
                <w:bCs/>
                <w:iCs/>
                <w:sz w:val="24"/>
                <w:szCs w:val="24"/>
                <w:lang w:eastAsia="lt-LT"/>
              </w:rPr>
              <w:t>ijusios su bendrųjų funkcijų (</w:t>
            </w:r>
            <w:r w:rsidRPr="00385835">
              <w:rPr>
                <w:rFonts w:ascii="Times New Roman" w:eastAsia="AngsanaUPC" w:hAnsi="Times New Roman"/>
                <w:bCs/>
                <w:iCs/>
                <w:sz w:val="24"/>
                <w:szCs w:val="24"/>
                <w:lang w:eastAsia="lt-LT"/>
              </w:rPr>
              <w:t>finansų, dokumentų, turto, informacinių technologijų ir kitų išteklių valdymo) efektyvumo didinimu (jų analize, vertinimu, centralizavimu, standartizavimu, reikalingų informacinių sistemų diegimu, tobulinimu ir kt.). Numatoma remti veiklas, susijusias su viešojo valdymo institucijų veiklos (jos rezultatų) planavimu, stebėsena ir vertinimu (</w:t>
            </w:r>
            <w:r w:rsidR="00686878">
              <w:rPr>
                <w:rFonts w:ascii="Times New Roman" w:eastAsia="AngsanaUPC" w:hAnsi="Times New Roman"/>
                <w:bCs/>
                <w:iCs/>
                <w:sz w:val="24"/>
                <w:szCs w:val="24"/>
                <w:lang w:eastAsia="lt-LT"/>
              </w:rPr>
              <w:t>pavyzdžiui,</w:t>
            </w:r>
            <w:r w:rsidRPr="00385835">
              <w:rPr>
                <w:rFonts w:ascii="Times New Roman" w:eastAsia="AngsanaUPC" w:hAnsi="Times New Roman"/>
                <w:bCs/>
                <w:iCs/>
                <w:sz w:val="24"/>
                <w:szCs w:val="24"/>
                <w:lang w:eastAsia="lt-LT"/>
              </w:rPr>
              <w:t xml:space="preserve"> institucijos lygiu</w:t>
            </w:r>
            <w:r w:rsidR="0038647B">
              <w:rPr>
                <w:rFonts w:ascii="Times New Roman" w:eastAsia="AngsanaUPC" w:hAnsi="Times New Roman"/>
                <w:bCs/>
                <w:iCs/>
                <w:sz w:val="24"/>
                <w:szCs w:val="24"/>
                <w:lang w:eastAsia="lt-LT"/>
              </w:rPr>
              <w:t>,</w:t>
            </w:r>
            <w:r w:rsidRPr="00385835">
              <w:rPr>
                <w:rFonts w:ascii="Times New Roman" w:eastAsia="AngsanaUPC" w:hAnsi="Times New Roman"/>
                <w:bCs/>
                <w:iCs/>
                <w:sz w:val="24"/>
                <w:szCs w:val="24"/>
                <w:lang w:eastAsia="lt-LT"/>
              </w:rPr>
              <w:t xml:space="preserve"> kuriant ir diegiant atitinkamas stebėsenos sistemas, tobulinant valstybės ar savivaldybių išteklių valdymo sistemas, registrus ir pan.). Taip pat bus skatinamas ir kitų veiklos valdymo tobulinimo priemonių taikymas (projektų/procesų valdymo, kokybės vadybos sistemų (ypač Bendrojo vertinimo modelio) diegimas, šių sistemų palaikymas ir kt.). Bus finansuojamos veiklos, skirtos tobulinti viešųjų investicijų projektų planavimo, rengimo, vertinimo, įgyvendinimo ir jo priežiūros procesus, skatinti įvairių finansavimo šaltinių ir būdų (įskaitant viešąją ir privačią partnerystę) viešosioms investicijoms naudojimą. Numatoma remti veiklas, skirtas tarpinstituciniam bendradarbiavimui stiprinti (kuriant kompetencijų tinklus</w:t>
            </w:r>
            <w:r w:rsidR="00FD7A80">
              <w:rPr>
                <w:rFonts w:ascii="Times New Roman" w:eastAsia="AngsanaUPC" w:hAnsi="Times New Roman"/>
                <w:bCs/>
                <w:iCs/>
                <w:sz w:val="24"/>
                <w:szCs w:val="24"/>
                <w:lang w:eastAsia="lt-LT"/>
              </w:rPr>
              <w:t xml:space="preserve"> </w:t>
            </w:r>
            <w:r w:rsidRPr="00385835">
              <w:rPr>
                <w:rFonts w:ascii="Times New Roman" w:eastAsia="AngsanaUPC" w:hAnsi="Times New Roman"/>
                <w:bCs/>
                <w:iCs/>
                <w:sz w:val="24"/>
                <w:szCs w:val="24"/>
                <w:lang w:eastAsia="lt-LT"/>
              </w:rPr>
              <w:t>/</w:t>
            </w:r>
            <w:r w:rsidR="00FD7A80">
              <w:rPr>
                <w:rFonts w:ascii="Times New Roman" w:eastAsia="AngsanaUPC" w:hAnsi="Times New Roman"/>
                <w:bCs/>
                <w:iCs/>
                <w:sz w:val="24"/>
                <w:szCs w:val="24"/>
                <w:lang w:eastAsia="lt-LT"/>
              </w:rPr>
              <w:t xml:space="preserve"> </w:t>
            </w:r>
            <w:r w:rsidRPr="00385835">
              <w:rPr>
                <w:rFonts w:ascii="Times New Roman" w:eastAsia="AngsanaUPC" w:hAnsi="Times New Roman"/>
                <w:bCs/>
                <w:iCs/>
                <w:sz w:val="24"/>
                <w:szCs w:val="24"/>
                <w:lang w:eastAsia="lt-LT"/>
              </w:rPr>
              <w:t>forumus, išbandant naujus bendradarbiavimo mechanizmus ir pan.). Taip pat parama bus teikiama minėtiems viešojo valdymo institucijų veiklos efektyvumo didinimo veiksmams vykdyti ir koordinuoti reikalingų institucinių gebėjimų (įskaitant darbuotojų kompetencijas) stiprinimui.</w:t>
            </w:r>
          </w:p>
          <w:p w:rsidR="00385835" w:rsidRPr="0038647B" w:rsidRDefault="00385835" w:rsidP="00650E41">
            <w:pPr>
              <w:widowControl w:val="0"/>
              <w:numPr>
                <w:ilvl w:val="0"/>
                <w:numId w:val="45"/>
              </w:numPr>
              <w:tabs>
                <w:tab w:val="left" w:pos="459"/>
                <w:tab w:val="left" w:pos="885"/>
              </w:tabs>
              <w:spacing w:after="0" w:line="240" w:lineRule="auto"/>
              <w:ind w:left="34"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Nacionalinių viešojo valdymo reformų įgyvendinimas. Bus stiprinami instituciniai gebėjimai (įskaitant darbuotojų kompetenciją), reikalingi tinkamai pasirengti ir</w:t>
            </w:r>
            <w:r w:rsidR="00FD7A80">
              <w:rPr>
                <w:rFonts w:ascii="Times New Roman" w:eastAsia="AngsanaUPC" w:hAnsi="Times New Roman"/>
                <w:bCs/>
                <w:iCs/>
                <w:sz w:val="24"/>
                <w:szCs w:val="24"/>
                <w:lang w:eastAsia="lt-LT"/>
              </w:rPr>
              <w:t xml:space="preserve"> </w:t>
            </w:r>
            <w:r w:rsidRPr="00385835">
              <w:rPr>
                <w:rFonts w:ascii="Times New Roman" w:eastAsia="AngsanaUPC" w:hAnsi="Times New Roman"/>
                <w:bCs/>
                <w:iCs/>
                <w:sz w:val="24"/>
                <w:szCs w:val="24"/>
                <w:lang w:eastAsia="lt-LT"/>
              </w:rPr>
              <w:t>/</w:t>
            </w:r>
            <w:r w:rsidR="00FD7A80">
              <w:rPr>
                <w:rFonts w:ascii="Times New Roman" w:eastAsia="AngsanaUPC" w:hAnsi="Times New Roman"/>
                <w:bCs/>
                <w:iCs/>
                <w:sz w:val="24"/>
                <w:szCs w:val="24"/>
                <w:lang w:eastAsia="lt-LT"/>
              </w:rPr>
              <w:t xml:space="preserve"> </w:t>
            </w:r>
            <w:r w:rsidRPr="00385835">
              <w:rPr>
                <w:rFonts w:ascii="Times New Roman" w:eastAsia="AngsanaUPC" w:hAnsi="Times New Roman"/>
                <w:bCs/>
                <w:iCs/>
                <w:sz w:val="24"/>
                <w:szCs w:val="24"/>
                <w:lang w:eastAsia="lt-LT"/>
              </w:rPr>
              <w:t>ar įgyvendinti bei koordinuoti atitinkamos viešojo valdymo srities (</w:t>
            </w:r>
            <w:r w:rsidR="00686878">
              <w:rPr>
                <w:rFonts w:ascii="Times New Roman" w:eastAsia="AngsanaUPC" w:hAnsi="Times New Roman"/>
                <w:bCs/>
                <w:iCs/>
                <w:sz w:val="24"/>
                <w:szCs w:val="24"/>
                <w:lang w:eastAsia="lt-LT"/>
              </w:rPr>
              <w:t>pavyzdžiui,</w:t>
            </w:r>
            <w:r w:rsidRPr="00385835">
              <w:rPr>
                <w:rFonts w:ascii="Times New Roman" w:eastAsia="AngsanaUPC" w:hAnsi="Times New Roman"/>
                <w:bCs/>
                <w:iCs/>
                <w:sz w:val="24"/>
                <w:szCs w:val="24"/>
                <w:lang w:eastAsia="lt-LT"/>
              </w:rPr>
              <w:t xml:space="preserve"> švietimo, kultūros, sveikatos, mokesčių, institucinės sandaros, pensijų, valstybės valdomų įmonių, ir kt.) reformas. Taip pat numatoma remti viešojo valdymo pokyčių</w:t>
            </w:r>
            <w:r w:rsidR="00FD7A80">
              <w:rPr>
                <w:rFonts w:ascii="Times New Roman" w:eastAsia="AngsanaUPC" w:hAnsi="Times New Roman"/>
                <w:bCs/>
                <w:iCs/>
                <w:sz w:val="24"/>
                <w:szCs w:val="24"/>
                <w:lang w:eastAsia="lt-LT"/>
              </w:rPr>
              <w:t xml:space="preserve"> </w:t>
            </w:r>
            <w:r w:rsidRPr="00385835">
              <w:rPr>
                <w:rFonts w:ascii="Times New Roman" w:eastAsia="AngsanaUPC" w:hAnsi="Times New Roman"/>
                <w:bCs/>
                <w:iCs/>
                <w:sz w:val="24"/>
                <w:szCs w:val="24"/>
                <w:lang w:eastAsia="lt-LT"/>
              </w:rPr>
              <w:t>/</w:t>
            </w:r>
            <w:r w:rsidR="00FD7A80">
              <w:rPr>
                <w:rFonts w:ascii="Times New Roman" w:eastAsia="AngsanaUPC" w:hAnsi="Times New Roman"/>
                <w:bCs/>
                <w:iCs/>
                <w:sz w:val="24"/>
                <w:szCs w:val="24"/>
                <w:lang w:eastAsia="lt-LT"/>
              </w:rPr>
              <w:t xml:space="preserve"> </w:t>
            </w:r>
            <w:r w:rsidRPr="00385835">
              <w:rPr>
                <w:rFonts w:ascii="Times New Roman" w:eastAsia="AngsanaUPC" w:hAnsi="Times New Roman"/>
                <w:bCs/>
                <w:iCs/>
                <w:sz w:val="24"/>
                <w:szCs w:val="24"/>
                <w:lang w:eastAsia="lt-LT"/>
              </w:rPr>
              <w:t>rezultatų</w:t>
            </w:r>
            <w:r w:rsidR="00FD7A80">
              <w:rPr>
                <w:rFonts w:ascii="Times New Roman" w:eastAsia="AngsanaUPC" w:hAnsi="Times New Roman"/>
                <w:bCs/>
                <w:iCs/>
                <w:sz w:val="24"/>
                <w:szCs w:val="24"/>
                <w:lang w:eastAsia="lt-LT"/>
              </w:rPr>
              <w:t xml:space="preserve"> </w:t>
            </w:r>
            <w:r w:rsidRPr="00385835">
              <w:rPr>
                <w:rFonts w:ascii="Times New Roman" w:eastAsia="AngsanaUPC" w:hAnsi="Times New Roman"/>
                <w:bCs/>
                <w:iCs/>
                <w:sz w:val="24"/>
                <w:szCs w:val="24"/>
                <w:lang w:eastAsia="lt-LT"/>
              </w:rPr>
              <w:t>/</w:t>
            </w:r>
            <w:r w:rsidR="00FD7A80">
              <w:rPr>
                <w:rFonts w:ascii="Times New Roman" w:eastAsia="AngsanaUPC" w:hAnsi="Times New Roman"/>
                <w:bCs/>
                <w:iCs/>
                <w:sz w:val="24"/>
                <w:szCs w:val="24"/>
                <w:lang w:eastAsia="lt-LT"/>
              </w:rPr>
              <w:t xml:space="preserve"> </w:t>
            </w:r>
            <w:r w:rsidRPr="00385835">
              <w:rPr>
                <w:rFonts w:ascii="Times New Roman" w:eastAsia="AngsanaUPC" w:hAnsi="Times New Roman"/>
                <w:bCs/>
                <w:iCs/>
                <w:sz w:val="24"/>
                <w:szCs w:val="24"/>
                <w:lang w:eastAsia="lt-LT"/>
              </w:rPr>
              <w:t>atskirų sričių valdymo (stebėsenos) sistemų (ne instituciniu lygiu) kūrimą ir diegimą (</w:t>
            </w:r>
            <w:r w:rsidR="00686878">
              <w:rPr>
                <w:rFonts w:ascii="Times New Roman" w:eastAsia="AngsanaUPC" w:hAnsi="Times New Roman"/>
                <w:bCs/>
                <w:iCs/>
                <w:sz w:val="24"/>
                <w:szCs w:val="24"/>
                <w:lang w:eastAsia="lt-LT"/>
              </w:rPr>
              <w:t>pavyzdžiui</w:t>
            </w:r>
            <w:r w:rsidRPr="00385835">
              <w:rPr>
                <w:rFonts w:ascii="Times New Roman" w:eastAsia="AngsanaUPC" w:hAnsi="Times New Roman"/>
                <w:bCs/>
                <w:iCs/>
                <w:sz w:val="24"/>
                <w:szCs w:val="24"/>
                <w:lang w:eastAsia="lt-LT"/>
              </w:rPr>
              <w:t xml:space="preserve">, kultūros srities statistinių duomenų surinkimo sistemos, savivaldybių veiklos stebėsenos sistemos, valstybės turto valdymo, atskirų strateginių programų įgyvendinimo valdymo ir pan.), kompetencijų tinklų formavimą ir veiklas, susijusias su viešojo valdymo pokyčių stebėsenos rezultatų analize, vertinimu, prognozavimu ir kt. </w:t>
            </w:r>
            <w:r w:rsidR="007633BD">
              <w:rPr>
                <w:rFonts w:ascii="Times New Roman" w:eastAsia="AngsanaUPC" w:hAnsi="Times New Roman"/>
                <w:bCs/>
                <w:i/>
                <w:iCs/>
                <w:sz w:val="24"/>
                <w:szCs w:val="24"/>
                <w:lang w:eastAsia="lt-LT"/>
              </w:rPr>
              <w:t xml:space="preserve">  </w:t>
            </w:r>
            <w:r w:rsidRPr="0038647B">
              <w:rPr>
                <w:rFonts w:ascii="Times New Roman" w:eastAsia="AngsanaUPC" w:hAnsi="Times New Roman"/>
                <w:bCs/>
                <w:i/>
                <w:iCs/>
                <w:sz w:val="24"/>
                <w:szCs w:val="24"/>
                <w:lang w:eastAsia="lt-LT"/>
              </w:rPr>
              <w:t xml:space="preserve"> konkretaus uždavinio veiklos:</w:t>
            </w:r>
          </w:p>
          <w:p w:rsidR="00385835" w:rsidRPr="00385835" w:rsidRDefault="00385835" w:rsidP="00650E41">
            <w:pPr>
              <w:widowControl w:val="0"/>
              <w:numPr>
                <w:ilvl w:val="0"/>
                <w:numId w:val="46"/>
              </w:numPr>
              <w:tabs>
                <w:tab w:val="left" w:pos="459"/>
                <w:tab w:val="left" w:pos="885"/>
              </w:tabs>
              <w:spacing w:after="0" w:line="240" w:lineRule="auto"/>
              <w:ind w:left="34" w:firstLine="0"/>
              <w:jc w:val="both"/>
              <w:rPr>
                <w:rFonts w:ascii="Times New Roman" w:hAnsi="Times New Roman"/>
                <w:bCs/>
                <w:sz w:val="24"/>
                <w:szCs w:val="24"/>
              </w:rPr>
            </w:pPr>
            <w:r w:rsidRPr="00385835">
              <w:rPr>
                <w:rFonts w:ascii="Times New Roman" w:eastAsia="AngsanaUPC" w:hAnsi="Times New Roman"/>
                <w:bCs/>
                <w:iCs/>
                <w:sz w:val="24"/>
                <w:szCs w:val="24"/>
                <w:lang w:eastAsia="lt-LT"/>
              </w:rPr>
              <w:t xml:space="preserve">Visuomenės įtraukimo į viešojo valdymo procesus skatinimas. Bus finansuojamas viešojo valdymo institucijų konsultavimosi su visuomene mechanizmo tobulinimas, naujų – išbandymas, </w:t>
            </w:r>
            <w:r w:rsidRPr="00385835">
              <w:rPr>
                <w:rFonts w:ascii="Times New Roman" w:eastAsia="AngsanaUPC" w:hAnsi="Times New Roman"/>
                <w:bCs/>
                <w:iCs/>
                <w:sz w:val="24"/>
                <w:szCs w:val="24"/>
                <w:lang w:eastAsia="lt-LT"/>
              </w:rPr>
              <w:lastRenderedPageBreak/>
              <w:t>viešųjų konsultacijų vykdymas bei institucijų gebėjimų vykdyti minėtas konsultacijas stiprinimas. Bus remiama informacijos apie visuomenės galimybes dalyvauti viešojo valdymo procesuose (sprendimų priėmime, teisėkūroje) sklaida, visuomenės, ypač NVO ir vietos bendruomenių, dalyvavimo viešojo valdymo procesuose skatinimas ir šiam dalyvavimui reikalingų jų gebėjimų stiprinimas. Taip pat parama bus skiriama visuomenės dalyvavimo viešojo valdymo procesuose veiksmingumo stebėsenos vykdymui ir veikloms, susijusioms su viešosios informacijos aktualumo visuomenei vertinimu ir jos skelbimu.</w:t>
            </w:r>
          </w:p>
          <w:p w:rsidR="00385835" w:rsidRPr="00385835" w:rsidRDefault="00385835" w:rsidP="00650E41">
            <w:pPr>
              <w:widowControl w:val="0"/>
              <w:numPr>
                <w:ilvl w:val="0"/>
                <w:numId w:val="46"/>
              </w:numPr>
              <w:tabs>
                <w:tab w:val="left" w:pos="459"/>
                <w:tab w:val="left" w:pos="885"/>
              </w:tabs>
              <w:spacing w:after="0" w:line="240" w:lineRule="auto"/>
              <w:ind w:left="34" w:firstLine="0"/>
              <w:jc w:val="both"/>
              <w:rPr>
                <w:rFonts w:ascii="Times New Roman" w:hAnsi="Times New Roman"/>
                <w:bCs/>
                <w:sz w:val="24"/>
                <w:szCs w:val="24"/>
              </w:rPr>
            </w:pPr>
            <w:r w:rsidRPr="00385835">
              <w:rPr>
                <w:rFonts w:ascii="Times New Roman" w:eastAsia="AngsanaUPC" w:hAnsi="Times New Roman"/>
                <w:bCs/>
                <w:iCs/>
                <w:sz w:val="24"/>
                <w:szCs w:val="24"/>
                <w:lang w:eastAsia="lt-LT"/>
              </w:rPr>
              <w:t>Korupcijos prevencijos bei korupcijos tyrimo efektyvumo didinimas. Bus remiamas antikorupcinių priemonių viešojo valdymo srityse, kurios Nacionalinėje kovos su korupcija programoje nurodomos kaip labiausiai paveiktos korupcijos (</w:t>
            </w:r>
            <w:r w:rsidR="00686878">
              <w:rPr>
                <w:rFonts w:ascii="Times New Roman" w:eastAsia="AngsanaUPC" w:hAnsi="Times New Roman"/>
                <w:bCs/>
                <w:iCs/>
                <w:sz w:val="24"/>
                <w:szCs w:val="24"/>
                <w:lang w:eastAsia="lt-LT"/>
              </w:rPr>
              <w:t>pavyzdžiui</w:t>
            </w:r>
            <w:r w:rsidR="0038647B">
              <w:rPr>
                <w:rFonts w:ascii="Times New Roman" w:eastAsia="AngsanaUPC" w:hAnsi="Times New Roman"/>
                <w:bCs/>
                <w:iCs/>
                <w:sz w:val="24"/>
                <w:szCs w:val="24"/>
                <w:lang w:eastAsia="lt-LT"/>
              </w:rPr>
              <w:t>, viešuosiuose pirkimuose, sveikatos priežiūroje, teisėsaugoje</w:t>
            </w:r>
            <w:r w:rsidRPr="00385835">
              <w:rPr>
                <w:rFonts w:ascii="Times New Roman" w:eastAsia="AngsanaUPC" w:hAnsi="Times New Roman"/>
                <w:bCs/>
                <w:iCs/>
                <w:sz w:val="24"/>
                <w:szCs w:val="24"/>
                <w:lang w:eastAsia="lt-LT"/>
              </w:rPr>
              <w:t xml:space="preserve"> ir pan.), kūrimas ir įgyvendinimas, visuomenės nepakantumo korupcijai didinimo iniciatyvų kūrimas ir vykdymas. Bus finansuojami korupcijos pokyčių tyrimai ir vertinimai bei veiksmai, skirti tobulinti korupcijos situacijos stebėseną, </w:t>
            </w:r>
            <w:r w:rsidRPr="00385835">
              <w:rPr>
                <w:rFonts w:ascii="Times New Roman" w:hAnsi="Times New Roman"/>
                <w:bCs/>
                <w:sz w:val="24"/>
                <w:szCs w:val="24"/>
              </w:rPr>
              <w:t xml:space="preserve">korupcijos prevencijos ir korupcijos tyrimo priemonių </w:t>
            </w:r>
            <w:r w:rsidRPr="00385835">
              <w:rPr>
                <w:rFonts w:ascii="Times New Roman" w:eastAsia="AngsanaUPC" w:hAnsi="Times New Roman"/>
                <w:bCs/>
                <w:iCs/>
                <w:sz w:val="24"/>
                <w:szCs w:val="24"/>
                <w:lang w:eastAsia="lt-LT"/>
              </w:rPr>
              <w:t xml:space="preserve">valdymą (planavimą, įgyvendinimo koordinavimą, stebėseną ir vertinimą), korupcijos rizikos ir jos veiksnių nustatymą bei valdymą institucijų lygiu. Taip pat numatoma </w:t>
            </w:r>
            <w:r w:rsidRPr="00385835">
              <w:rPr>
                <w:rFonts w:ascii="Times New Roman" w:hAnsi="Times New Roman"/>
                <w:bCs/>
                <w:sz w:val="24"/>
                <w:szCs w:val="24"/>
              </w:rPr>
              <w:t xml:space="preserve">stiprinti </w:t>
            </w:r>
            <w:r w:rsidRPr="00385835">
              <w:rPr>
                <w:rFonts w:ascii="Times New Roman" w:eastAsia="AngsanaUPC" w:hAnsi="Times New Roman"/>
                <w:bCs/>
                <w:iCs/>
                <w:sz w:val="24"/>
                <w:szCs w:val="24"/>
                <w:lang w:eastAsia="lt-LT"/>
              </w:rPr>
              <w:t>viešojo valdymo institucijų darbuotojų kompetencijas korupcijos prevencijos ir korupcijos tyrimo srityse, visuomenei viešinti su</w:t>
            </w:r>
            <w:r w:rsidRPr="00385835">
              <w:rPr>
                <w:rFonts w:ascii="Times New Roman" w:hAnsi="Times New Roman"/>
                <w:bCs/>
                <w:sz w:val="24"/>
                <w:szCs w:val="24"/>
              </w:rPr>
              <w:t xml:space="preserve"> </w:t>
            </w:r>
            <w:r w:rsidRPr="00385835">
              <w:rPr>
                <w:rFonts w:ascii="Times New Roman" w:eastAsia="AngsanaUPC" w:hAnsi="Times New Roman"/>
                <w:bCs/>
                <w:iCs/>
                <w:sz w:val="24"/>
                <w:szCs w:val="24"/>
                <w:lang w:eastAsia="lt-LT"/>
              </w:rPr>
              <w:t>korupcijos prevencija ir korupcijos tyrimais susijusią informaciją.</w:t>
            </w:r>
          </w:p>
          <w:p w:rsidR="00385835" w:rsidRPr="00385835" w:rsidRDefault="00385835" w:rsidP="00650E41">
            <w:pPr>
              <w:widowControl w:val="0"/>
              <w:numPr>
                <w:ilvl w:val="0"/>
                <w:numId w:val="46"/>
              </w:numPr>
              <w:tabs>
                <w:tab w:val="left" w:pos="459"/>
                <w:tab w:val="left" w:pos="885"/>
              </w:tabs>
              <w:spacing w:after="0" w:line="240" w:lineRule="auto"/>
              <w:ind w:left="34" w:firstLine="0"/>
              <w:jc w:val="both"/>
              <w:rPr>
                <w:rFonts w:ascii="Times New Roman" w:hAnsi="Times New Roman"/>
                <w:bCs/>
                <w:sz w:val="24"/>
                <w:szCs w:val="24"/>
              </w:rPr>
            </w:pPr>
            <w:r w:rsidRPr="00385835">
              <w:rPr>
                <w:rFonts w:ascii="Times New Roman" w:eastAsia="AngsanaUPC" w:hAnsi="Times New Roman"/>
                <w:bCs/>
                <w:iCs/>
                <w:sz w:val="24"/>
                <w:szCs w:val="24"/>
                <w:lang w:eastAsia="lt-LT"/>
              </w:rPr>
              <w:t>Viešųjų pirkimų sistemos tobulinimas. Numatoma finansuoti viešųjų pirkimų skaidrumui ir efektyvumui didinti skirtas veiklas, t. y. veiklas, kurios susijusios su elektroninių ir centralizuotų viešųjų pirkimų plėtra, viešųjų pirkimų rizikos valdymo ir stebėsenos tobulinimu, įvairios metodinės pagalbos priemonių perkančiosioms organizacijoms kūrimu, diegimu. Bus finansuojamos veiklos, skirtos stiprinti viešųjų pirkimų sistemos dalyvių institucinius gebėjimus (įskaitant darbuotojų kompetencijas), reikalingus įgyvendinti minėtus viešųjų pirkimų sistemos tobulinimo veiksmus, ir kt.</w:t>
            </w:r>
          </w:p>
          <w:p w:rsidR="00385835" w:rsidRPr="00385835" w:rsidRDefault="00385835" w:rsidP="00650E41">
            <w:pPr>
              <w:widowControl w:val="0"/>
              <w:numPr>
                <w:ilvl w:val="0"/>
                <w:numId w:val="46"/>
              </w:numPr>
              <w:tabs>
                <w:tab w:val="left" w:pos="459"/>
                <w:tab w:val="left" w:pos="885"/>
              </w:tabs>
              <w:spacing w:after="0" w:line="240" w:lineRule="auto"/>
              <w:ind w:left="34" w:firstLine="0"/>
              <w:jc w:val="both"/>
              <w:rPr>
                <w:rFonts w:ascii="Times New Roman" w:hAnsi="Times New Roman"/>
                <w:bCs/>
                <w:sz w:val="24"/>
                <w:szCs w:val="24"/>
              </w:rPr>
            </w:pPr>
            <w:r w:rsidRPr="00385835">
              <w:rPr>
                <w:rFonts w:ascii="Times New Roman" w:eastAsia="AngsanaUPC" w:hAnsi="Times New Roman"/>
                <w:bCs/>
                <w:iCs/>
                <w:sz w:val="24"/>
                <w:szCs w:val="24"/>
                <w:lang w:eastAsia="lt-LT"/>
              </w:rPr>
              <w:t>Tarnybinės (profesinės) etikos viešojo valdymo institucijose stiprinimas. Bus remiami veiksmai, skirti tobulinti etikos valdymą viešojo valdymo institucijose (</w:t>
            </w:r>
            <w:r w:rsidR="00686878">
              <w:rPr>
                <w:rFonts w:ascii="Times New Roman" w:eastAsia="AngsanaUPC" w:hAnsi="Times New Roman"/>
                <w:bCs/>
                <w:iCs/>
                <w:sz w:val="24"/>
                <w:szCs w:val="24"/>
                <w:lang w:eastAsia="lt-LT"/>
              </w:rPr>
              <w:t>pavyzdžiui</w:t>
            </w:r>
            <w:r w:rsidRPr="00385835">
              <w:rPr>
                <w:rFonts w:ascii="Times New Roman" w:eastAsia="AngsanaUPC" w:hAnsi="Times New Roman"/>
                <w:bCs/>
                <w:iCs/>
                <w:sz w:val="24"/>
                <w:szCs w:val="24"/>
                <w:lang w:eastAsia="lt-LT"/>
              </w:rPr>
              <w:t>, standartų, kodeksų, privačių interesų registro kūrimas, diegimas ir kt.), etikos pažeidimų (dėl viešojo valdymo institucijų dirbančiųjų privačių ir visuomenės viešųjų interesų konflikto ar neetiško elgesio) viešojo valdymo institucijose pokyčių stebėseną, vertinimą bei rizikų valdymą,  sukurti ir diegti konsultavimo ir mokymo sistemas interesų derinimo, interesų konfliktų išvengimo, etikos normų laikymosi klausimais, stiprinti viešojo valdymo institucijų dirbančiųjų kompetencijas etikos srityje ir pan.</w:t>
            </w:r>
          </w:p>
          <w:p w:rsidR="00385835" w:rsidRPr="00385835" w:rsidRDefault="00385835" w:rsidP="00385835">
            <w:pPr>
              <w:widowControl w:val="0"/>
              <w:tabs>
                <w:tab w:val="left" w:pos="601"/>
                <w:tab w:val="left" w:pos="743"/>
              </w:tabs>
              <w:spacing w:after="0" w:line="240" w:lineRule="auto"/>
              <w:jc w:val="both"/>
              <w:rPr>
                <w:rFonts w:ascii="Times New Roman" w:eastAsia="AngsanaUPC" w:hAnsi="Times New Roman"/>
                <w:bCs/>
                <w:i/>
                <w:iCs/>
                <w:sz w:val="24"/>
                <w:szCs w:val="24"/>
                <w:lang w:eastAsia="lt-LT"/>
              </w:rPr>
            </w:pPr>
            <w:r w:rsidRPr="00385835">
              <w:rPr>
                <w:rFonts w:ascii="Times New Roman" w:eastAsia="AngsanaUPC" w:hAnsi="Times New Roman"/>
                <w:bCs/>
                <w:i/>
                <w:iCs/>
                <w:sz w:val="24"/>
                <w:szCs w:val="24"/>
                <w:lang w:eastAsia="lt-LT"/>
              </w:rPr>
              <w:t>10.1.3. konkretaus uždavinio veiklos:</w:t>
            </w:r>
          </w:p>
          <w:p w:rsidR="00385835" w:rsidRPr="00385835" w:rsidRDefault="00385835" w:rsidP="00650E41">
            <w:pPr>
              <w:widowControl w:val="0"/>
              <w:numPr>
                <w:ilvl w:val="0"/>
                <w:numId w:val="47"/>
              </w:numPr>
              <w:tabs>
                <w:tab w:val="left" w:pos="459"/>
              </w:tabs>
              <w:spacing w:after="0" w:line="240" w:lineRule="auto"/>
              <w:ind w:left="34" w:firstLine="0"/>
              <w:jc w:val="both"/>
              <w:rPr>
                <w:rFonts w:ascii="Times New Roman" w:eastAsia="AngsanaUPC" w:hAnsi="Times New Roman"/>
                <w:b/>
                <w:bCs/>
                <w:iCs/>
                <w:sz w:val="24"/>
                <w:szCs w:val="24"/>
                <w:lang w:eastAsia="lt-LT"/>
              </w:rPr>
            </w:pPr>
            <w:r w:rsidRPr="00385835">
              <w:rPr>
                <w:rFonts w:ascii="Times New Roman" w:eastAsia="AngsanaUPC" w:hAnsi="Times New Roman"/>
                <w:bCs/>
                <w:iCs/>
                <w:sz w:val="24"/>
                <w:szCs w:val="24"/>
                <w:lang w:eastAsia="lt-LT"/>
              </w:rPr>
              <w:t>Visuomenei teikiamų paslaugų kokybės ir asmenų aptarnavimo gerinimo iniciatyvų kūrimas ir įgyvendinimas. Bus remiamos veiklos, susijusios su paslaugų ir jų teikimo procedūrų analize, paslaugų teikimo tikslingumo vertinimu, paslaugų optimizavimu, jų kokybės standartų kūrimu. Taip pat numatoma remti piliečių chartijų rengimą bei veiklas, susijusias su paslaugų ir asmenų aptarnavimo kokybės vertinimu ir gerinimu, vartotojų pasitenkinimo teikiamomis paslaugomis matavimu, veiksmingesniu vieno langelio principo taikymu, paslaugų prieinamumo didinimu, koncentruojant (centralizuojant) jų teikimą atitinkamoje (visuomenei priimtinoje ar sutelktų kompetencijų) vietoje</w:t>
            </w:r>
            <w:r w:rsidR="00FD7A80">
              <w:rPr>
                <w:rFonts w:ascii="Times New Roman" w:eastAsia="AngsanaUPC" w:hAnsi="Times New Roman"/>
                <w:bCs/>
                <w:iCs/>
                <w:sz w:val="24"/>
                <w:szCs w:val="24"/>
                <w:lang w:eastAsia="lt-LT"/>
              </w:rPr>
              <w:t xml:space="preserve"> </w:t>
            </w:r>
            <w:r w:rsidRPr="00385835">
              <w:rPr>
                <w:rFonts w:ascii="Times New Roman" w:eastAsia="AngsanaUPC" w:hAnsi="Times New Roman"/>
                <w:bCs/>
                <w:iCs/>
                <w:sz w:val="24"/>
                <w:szCs w:val="24"/>
                <w:lang w:eastAsia="lt-LT"/>
              </w:rPr>
              <w:t>/</w:t>
            </w:r>
            <w:r w:rsidR="00FD7A80">
              <w:rPr>
                <w:rFonts w:ascii="Times New Roman" w:eastAsia="AngsanaUPC" w:hAnsi="Times New Roman"/>
                <w:bCs/>
                <w:iCs/>
                <w:sz w:val="24"/>
                <w:szCs w:val="24"/>
                <w:lang w:eastAsia="lt-LT"/>
              </w:rPr>
              <w:t xml:space="preserve"> </w:t>
            </w:r>
            <w:r w:rsidRPr="00385835">
              <w:rPr>
                <w:rFonts w:ascii="Times New Roman" w:eastAsia="AngsanaUPC" w:hAnsi="Times New Roman"/>
                <w:bCs/>
                <w:iCs/>
                <w:sz w:val="24"/>
                <w:szCs w:val="24"/>
                <w:lang w:eastAsia="lt-LT"/>
              </w:rPr>
              <w:t xml:space="preserve">teritorijoje </w:t>
            </w:r>
            <w:proofErr w:type="gramStart"/>
            <w:r w:rsidRPr="00385835">
              <w:rPr>
                <w:rFonts w:ascii="Times New Roman" w:eastAsia="AngsanaUPC" w:hAnsi="Times New Roman"/>
                <w:bCs/>
                <w:iCs/>
                <w:sz w:val="24"/>
                <w:szCs w:val="24"/>
                <w:lang w:eastAsia="lt-LT"/>
              </w:rPr>
              <w:t>ir kitų pažangių paslaugų ir asmenų aptarnavimo kokybę gerinančių priemonių kūrimu ir vykdymu</w:t>
            </w:r>
            <w:proofErr w:type="gramEnd"/>
            <w:r w:rsidRPr="00385835">
              <w:rPr>
                <w:rFonts w:ascii="Times New Roman" w:eastAsia="AngsanaUPC" w:hAnsi="Times New Roman"/>
                <w:bCs/>
                <w:iCs/>
                <w:sz w:val="24"/>
                <w:szCs w:val="24"/>
                <w:lang w:eastAsia="lt-LT"/>
              </w:rPr>
              <w:t xml:space="preserve">. Taip pat bus stiprinami instituciniai gebėjimai (įskaitant darbuotojų kompetenciją), reikalingi minėtoms paslaugų kokybės ir asmenų aptarnavimo gerinimo iniciatyvoms kurti, įgyvendinti ir koordinuoti bei </w:t>
            </w:r>
            <w:r w:rsidRPr="00385835">
              <w:rPr>
                <w:rFonts w:ascii="Times New Roman" w:eastAsia="AngsanaUPC" w:hAnsi="Times New Roman"/>
                <w:bCs/>
                <w:sz w:val="24"/>
                <w:szCs w:val="24"/>
                <w:lang w:eastAsia="lt-LT"/>
              </w:rPr>
              <w:t>darbuotojų orientacijai į klientą didinti.</w:t>
            </w:r>
          </w:p>
          <w:p w:rsidR="00385835" w:rsidRPr="00385835" w:rsidRDefault="00385835" w:rsidP="00385835">
            <w:pPr>
              <w:widowControl w:val="0"/>
              <w:tabs>
                <w:tab w:val="left" w:pos="318"/>
                <w:tab w:val="left" w:pos="885"/>
              </w:tabs>
              <w:spacing w:after="0" w:line="240" w:lineRule="auto"/>
              <w:jc w:val="both"/>
              <w:rPr>
                <w:rFonts w:ascii="Times New Roman" w:eastAsia="AngsanaUPC" w:hAnsi="Times New Roman"/>
                <w:bCs/>
                <w:i/>
                <w:iCs/>
                <w:sz w:val="24"/>
                <w:szCs w:val="24"/>
                <w:lang w:eastAsia="lt-LT"/>
              </w:rPr>
            </w:pPr>
            <w:r w:rsidRPr="00385835">
              <w:rPr>
                <w:rFonts w:ascii="Times New Roman" w:eastAsia="AngsanaUPC" w:hAnsi="Times New Roman"/>
                <w:bCs/>
                <w:i/>
                <w:iCs/>
                <w:sz w:val="24"/>
                <w:szCs w:val="24"/>
                <w:lang w:eastAsia="lt-LT"/>
              </w:rPr>
              <w:t>10.1.4. konkretaus uždavinio veiklos:</w:t>
            </w:r>
          </w:p>
          <w:p w:rsidR="00385835" w:rsidRPr="00385835" w:rsidRDefault="00385835" w:rsidP="00650E41">
            <w:pPr>
              <w:widowControl w:val="0"/>
              <w:numPr>
                <w:ilvl w:val="0"/>
                <w:numId w:val="47"/>
              </w:numPr>
              <w:tabs>
                <w:tab w:val="left" w:pos="459"/>
                <w:tab w:val="left" w:pos="885"/>
              </w:tabs>
              <w:spacing w:after="0" w:line="240" w:lineRule="auto"/>
              <w:ind w:left="34"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 xml:space="preserve">Geresnio reglamentavimo priemonių vykdymas. Siekiant įgyvendinti geresnio reglamentavimo principus, bus tobulinamos teisėkūros procedūros ir teisinis reguliavimas. Bus remiamos veiklos, susijusios su reglamentavimo mažinimu ir paprastinimu, teisės aktų kokybės didinimu, sprendimų projektų poveikio vertinimu, reguliavimo reformų pokyčių/rezultatų </w:t>
            </w:r>
            <w:r w:rsidRPr="00385835">
              <w:rPr>
                <w:rFonts w:ascii="Times New Roman" w:eastAsia="AngsanaUPC" w:hAnsi="Times New Roman"/>
                <w:bCs/>
                <w:iCs/>
                <w:sz w:val="24"/>
                <w:szCs w:val="24"/>
                <w:lang w:eastAsia="lt-LT"/>
              </w:rPr>
              <w:lastRenderedPageBreak/>
              <w:t>poveikio vertinimo</w:t>
            </w:r>
            <w:r w:rsidR="00FD7A80">
              <w:rPr>
                <w:rFonts w:ascii="Times New Roman" w:eastAsia="AngsanaUPC" w:hAnsi="Times New Roman"/>
                <w:bCs/>
                <w:iCs/>
                <w:sz w:val="24"/>
                <w:szCs w:val="24"/>
                <w:lang w:eastAsia="lt-LT"/>
              </w:rPr>
              <w:t xml:space="preserve"> </w:t>
            </w:r>
            <w:r w:rsidRPr="00385835">
              <w:rPr>
                <w:rFonts w:ascii="Times New Roman" w:eastAsia="AngsanaUPC" w:hAnsi="Times New Roman"/>
                <w:bCs/>
                <w:iCs/>
                <w:sz w:val="24"/>
                <w:szCs w:val="24"/>
                <w:lang w:eastAsia="lt-LT"/>
              </w:rPr>
              <w:t>/</w:t>
            </w:r>
            <w:r w:rsidR="00FD7A80">
              <w:rPr>
                <w:rFonts w:ascii="Times New Roman" w:eastAsia="AngsanaUPC" w:hAnsi="Times New Roman"/>
                <w:bCs/>
                <w:iCs/>
                <w:sz w:val="24"/>
                <w:szCs w:val="24"/>
                <w:lang w:eastAsia="lt-LT"/>
              </w:rPr>
              <w:t xml:space="preserve"> </w:t>
            </w:r>
            <w:r w:rsidRPr="00385835">
              <w:rPr>
                <w:rFonts w:ascii="Times New Roman" w:eastAsia="AngsanaUPC" w:hAnsi="Times New Roman"/>
                <w:bCs/>
                <w:iCs/>
                <w:sz w:val="24"/>
                <w:szCs w:val="24"/>
                <w:lang w:eastAsia="lt-LT"/>
              </w:rPr>
              <w:t>stebėsenos priemonių kūrimu, vykdymu ir kt. Bus finansuojamas administracinės ir (ar) kitos reguliavimo naštos vertinimas, šios naštos mažinimo priemonių rengimas ir įgyvendinimas. Bus stiprinami viešojo valdymo institucijų gebėjimai, reikalingi tinkamam minėtų geresnio reglamentavimo priemonių kūrimui, vykdymui ir šių veiksmų koordinavimui. Taip pat bus finansuojamos veiklos, skirtos gerinti informacijos apie verslui teikiamas paslaugas ir jo teisinį reguliavimą bei priežiūrą, kokybę.</w:t>
            </w:r>
          </w:p>
          <w:p w:rsidR="00385835" w:rsidRPr="00385835" w:rsidRDefault="00385835" w:rsidP="00650E41">
            <w:pPr>
              <w:widowControl w:val="0"/>
              <w:numPr>
                <w:ilvl w:val="0"/>
                <w:numId w:val="47"/>
              </w:numPr>
              <w:tabs>
                <w:tab w:val="left" w:pos="459"/>
                <w:tab w:val="left" w:pos="885"/>
              </w:tabs>
              <w:spacing w:after="0" w:line="240" w:lineRule="auto"/>
              <w:ind w:left="34"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 xml:space="preserve">Ūkio subjektų veiklos priežiūros sistemos efektyvumo didinimas. Bus remiamos veiklos, susijusios su: rizikos vertinimo ir valdymo sistemų ūkio subjektų veiklos priežiūros institucijose diegimu, tobulinimu; vieningų ūkio subjektų konsultavimo ir tikrinimo sistemų kūrimu, diegimu, tobulinimu; informacinių technologijų </w:t>
            </w:r>
            <w:r w:rsidRPr="00385835">
              <w:rPr>
                <w:rFonts w:ascii="Times New Roman" w:hAnsi="Times New Roman"/>
                <w:iCs/>
                <w:sz w:val="24"/>
                <w:szCs w:val="24"/>
              </w:rPr>
              <w:t xml:space="preserve">kontrolės veiksmų kokybei ir efektyvumui užtikrinti plėtra; kitų pažangių priežiūros priemonių diegimu ir tobulinimu, </w:t>
            </w:r>
            <w:r w:rsidRPr="00385835">
              <w:rPr>
                <w:rFonts w:ascii="Times New Roman" w:eastAsia="AngsanaUPC" w:hAnsi="Times New Roman"/>
                <w:bCs/>
                <w:iCs/>
                <w:sz w:val="24"/>
                <w:szCs w:val="24"/>
                <w:lang w:eastAsia="lt-LT"/>
              </w:rPr>
              <w:t>taip pat šių procesų koordinavimu ir stebėsena. Bus finansuojamas bendrai priežiūros institucijų informacinei sistemai sukurti ir įdiegti bei šių institucijų bendradarbiavimui gerinti skirtos veiklos (įtraukiant ir prižiūrimas institucijas, joms suteikiant naudą ir užsitikrinant palaikymą bei kuriamų IT įrankių kokybę). Bus stiprinami ūkio subjektų veiklos priežiūros sistemos efektyvumui didinti reikalingi instituciniai gebėjimai (įskaitant priežiūros funkcijas vykdančių darbuotojų kompetencijos tobulinimą) ir kt.</w:t>
            </w:r>
          </w:p>
          <w:p w:rsidR="00385835" w:rsidRPr="00385835" w:rsidRDefault="00385835" w:rsidP="00650E41">
            <w:pPr>
              <w:widowControl w:val="0"/>
              <w:numPr>
                <w:ilvl w:val="0"/>
                <w:numId w:val="47"/>
              </w:numPr>
              <w:tabs>
                <w:tab w:val="left" w:pos="459"/>
                <w:tab w:val="left" w:pos="885"/>
              </w:tabs>
              <w:spacing w:after="0" w:line="240" w:lineRule="auto"/>
              <w:ind w:left="34"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Teisingumo sistemos tobulinimas. Bus remiamos veiklos, skirtos didinti teisingumo vykdymo efektyvumą, įskaitant prie teismų atvirumo ir nepriklausomumo didinimo prisidedančias veiklas (</w:t>
            </w:r>
            <w:r w:rsidR="00686878">
              <w:rPr>
                <w:rFonts w:ascii="Times New Roman" w:eastAsia="AngsanaUPC" w:hAnsi="Times New Roman"/>
                <w:bCs/>
                <w:iCs/>
                <w:sz w:val="24"/>
                <w:szCs w:val="24"/>
                <w:lang w:eastAsia="lt-LT"/>
              </w:rPr>
              <w:t>pavyzdžiui</w:t>
            </w:r>
            <w:r w:rsidRPr="00385835">
              <w:rPr>
                <w:rFonts w:ascii="Times New Roman" w:eastAsia="AngsanaUPC" w:hAnsi="Times New Roman"/>
                <w:bCs/>
                <w:iCs/>
                <w:sz w:val="24"/>
                <w:szCs w:val="24"/>
                <w:lang w:eastAsia="lt-LT"/>
              </w:rPr>
              <w:t>, pasitikėjimo teismais strategijos parengimas ir jai vykdyti reikalingų priemonių įgyvendinimas, rezultatų stebėsena; veiksmai, susiję su visuomenės tarėjų įtraukimu į teismų darbą). Bus finansuojamos veiklos, skirtos diegti alternatyvius civilinių ginčų sprendimo būdus ir skatinti visuomenę juos plačiau naudoti. Taip pat bus finansuojamas teisingumo sistemai tobulinti bei šiam procesui koordinuoti ir stebėti reikalingų institucinių gebėjimų (</w:t>
            </w:r>
            <w:r w:rsidR="00686878">
              <w:rPr>
                <w:rFonts w:ascii="Times New Roman" w:eastAsia="AngsanaUPC" w:hAnsi="Times New Roman"/>
                <w:bCs/>
                <w:iCs/>
                <w:sz w:val="24"/>
                <w:szCs w:val="24"/>
                <w:lang w:eastAsia="lt-LT"/>
              </w:rPr>
              <w:t>pavyzdžiui</w:t>
            </w:r>
            <w:r w:rsidRPr="00385835">
              <w:rPr>
                <w:rFonts w:ascii="Times New Roman" w:eastAsia="AngsanaUPC" w:hAnsi="Times New Roman"/>
                <w:bCs/>
                <w:iCs/>
                <w:sz w:val="24"/>
                <w:szCs w:val="24"/>
                <w:lang w:eastAsia="lt-LT"/>
              </w:rPr>
              <w:t>, teisėjų, Teisingumo ministerijos darbuotojų kompetencijų) stiprinimas ir kt.</w:t>
            </w:r>
          </w:p>
          <w:p w:rsidR="00385835" w:rsidRPr="00385835" w:rsidRDefault="00385835" w:rsidP="00385835">
            <w:pPr>
              <w:widowControl w:val="0"/>
              <w:tabs>
                <w:tab w:val="left" w:pos="601"/>
                <w:tab w:val="left" w:pos="743"/>
              </w:tabs>
              <w:spacing w:after="0" w:line="240" w:lineRule="auto"/>
              <w:jc w:val="both"/>
              <w:rPr>
                <w:rFonts w:ascii="Times New Roman" w:eastAsia="AngsanaUPC" w:hAnsi="Times New Roman"/>
                <w:bCs/>
                <w:i/>
                <w:iCs/>
                <w:sz w:val="24"/>
                <w:szCs w:val="24"/>
                <w:lang w:eastAsia="lt-LT"/>
              </w:rPr>
            </w:pPr>
            <w:r w:rsidRPr="00385835">
              <w:rPr>
                <w:rFonts w:ascii="Times New Roman" w:eastAsia="AngsanaUPC" w:hAnsi="Times New Roman"/>
                <w:bCs/>
                <w:i/>
                <w:iCs/>
                <w:sz w:val="24"/>
                <w:szCs w:val="24"/>
                <w:lang w:eastAsia="lt-LT"/>
              </w:rPr>
              <w:t>10.1.5. konkretaus uždavinio veiklos:</w:t>
            </w:r>
          </w:p>
          <w:p w:rsidR="00B13F50" w:rsidRDefault="00385835" w:rsidP="00650E41">
            <w:pPr>
              <w:widowControl w:val="0"/>
              <w:numPr>
                <w:ilvl w:val="0"/>
                <w:numId w:val="48"/>
              </w:numPr>
              <w:tabs>
                <w:tab w:val="left" w:pos="459"/>
                <w:tab w:val="left" w:pos="885"/>
              </w:tabs>
              <w:spacing w:after="0" w:line="240" w:lineRule="auto"/>
              <w:ind w:left="34" w:firstLine="0"/>
              <w:jc w:val="both"/>
              <w:rPr>
                <w:rFonts w:ascii="Times New Roman" w:eastAsia="AngsanaUPC" w:hAnsi="Times New Roman"/>
                <w:bCs/>
                <w:iCs/>
                <w:sz w:val="24"/>
                <w:szCs w:val="24"/>
                <w:lang w:eastAsia="lt-LT"/>
              </w:rPr>
            </w:pPr>
            <w:r w:rsidRPr="00B13F50">
              <w:rPr>
                <w:rFonts w:ascii="Times New Roman" w:eastAsia="AngsanaUPC" w:hAnsi="Times New Roman"/>
                <w:bCs/>
                <w:iCs/>
                <w:sz w:val="24"/>
                <w:szCs w:val="24"/>
                <w:lang w:eastAsia="lt-LT"/>
              </w:rPr>
              <w:t>Valstybinės tarnybos žmogiškųjų išteklių valdymo tobulinimas. Investicijos bus skiriamos įgyvendinti pažangias žmogiškųjų išteklių valdymo strategijas ir skatinti naujų personalo valdymo standartų kūrimą ir diegimą, plėtoti jau esamas ir diegti naujas valstybės tarnybos vertybes organizacinėje kultūroje ir kt. Sisteminiu lygmeniu bus remiamos veiklos, susijusios su atrankos į valstybės tarnybą, karjeros planavimo, veiklos vertinimo, mokymo, darbo užmokesčio ir motyvavimo sistemų tobulinimu, skatinamos įvairios mobilumo iniciatyvos, stiprinami už personalo valdymą atsakingų valstybės ir savivaldybių institucijų ir įstaigų darbuotojų gebėjimai, finansuojamas žmogiškųjų išteklių valdymo efektyvumui didinti reikalingų informacinių sistemų diegimas, tobulinimas ir kt.</w:t>
            </w:r>
            <w:r w:rsidRPr="00385835">
              <w:rPr>
                <w:rFonts w:ascii="Times New Roman" w:eastAsia="AngsanaUPC" w:hAnsi="Times New Roman"/>
                <w:bCs/>
                <w:iCs/>
                <w:sz w:val="24"/>
                <w:szCs w:val="24"/>
                <w:vertAlign w:val="superscript"/>
                <w:lang w:eastAsia="lt-LT"/>
              </w:rPr>
              <w:footnoteReference w:id="5"/>
            </w:r>
            <w:r w:rsidRPr="00B13F50">
              <w:rPr>
                <w:rFonts w:ascii="Times New Roman" w:eastAsia="AngsanaUPC" w:hAnsi="Times New Roman"/>
                <w:bCs/>
                <w:iCs/>
                <w:sz w:val="24"/>
                <w:szCs w:val="24"/>
                <w:lang w:eastAsia="lt-LT"/>
              </w:rPr>
              <w:t xml:space="preserve"> </w:t>
            </w:r>
          </w:p>
          <w:p w:rsidR="00385835" w:rsidRPr="00B13F50" w:rsidRDefault="00385835" w:rsidP="00650E41">
            <w:pPr>
              <w:widowControl w:val="0"/>
              <w:numPr>
                <w:ilvl w:val="0"/>
                <w:numId w:val="48"/>
              </w:numPr>
              <w:tabs>
                <w:tab w:val="left" w:pos="459"/>
                <w:tab w:val="left" w:pos="885"/>
              </w:tabs>
              <w:spacing w:after="0" w:line="240" w:lineRule="auto"/>
              <w:ind w:left="34" w:firstLine="0"/>
              <w:jc w:val="both"/>
              <w:rPr>
                <w:rFonts w:ascii="Times New Roman" w:eastAsia="AngsanaUPC" w:hAnsi="Times New Roman"/>
                <w:bCs/>
                <w:iCs/>
                <w:sz w:val="24"/>
                <w:szCs w:val="24"/>
                <w:lang w:eastAsia="lt-LT"/>
              </w:rPr>
            </w:pPr>
            <w:r w:rsidRPr="00B13F50">
              <w:rPr>
                <w:rFonts w:ascii="Times New Roman" w:eastAsia="AngsanaUPC" w:hAnsi="Times New Roman"/>
                <w:bCs/>
                <w:iCs/>
                <w:sz w:val="24"/>
                <w:szCs w:val="24"/>
                <w:lang w:eastAsia="lt-LT"/>
              </w:rPr>
              <w:t>Aukštesniųjų kategorijų valstybės tarnautojų ir valstybės pareigūnų grandies stiprinimas. Bus remiamos veiklos, skirtos kurti ir diegti pažangius aukštesniųjų vadovų valdymo instrumentus, mobilumo programas, bendradarbiavimo tinklus. Bus siekiama sudaryti sąlygas tarpinstitucinio bendradarbiavimo kultūrai plisti, kuriant informavimo ir komunikavimo interaktyvias priemones, būtinas bendradarbiavimo tinklų valdymui. Bus tobulinami aukštesniųjų kategorijų valstybės tarnautojų bei valstybės pareigūnų vadybiniai (valdymo ir vadovavimo) ir lyderystės gebėjimai, kartu su ES šalių administracijomis įgyvendinami centralizuoti mokymo projektai ir skatinama patirties sklaida.</w:t>
            </w:r>
          </w:p>
          <w:p w:rsidR="00385835" w:rsidRPr="00385835" w:rsidRDefault="00385835" w:rsidP="00650E41">
            <w:pPr>
              <w:widowControl w:val="0"/>
              <w:numPr>
                <w:ilvl w:val="0"/>
                <w:numId w:val="48"/>
              </w:numPr>
              <w:tabs>
                <w:tab w:val="left" w:pos="459"/>
                <w:tab w:val="left" w:pos="885"/>
              </w:tabs>
              <w:spacing w:after="0" w:line="240" w:lineRule="auto"/>
              <w:ind w:left="34" w:firstLine="0"/>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Valstybės ir savivaldybių institucijų ir įstaigų dirbančiųjų strateginių kompetencijų</w:t>
            </w:r>
            <w:r w:rsidRPr="00385835">
              <w:rPr>
                <w:rFonts w:ascii="Times New Roman" w:eastAsia="AngsanaUPC" w:hAnsi="Times New Roman"/>
                <w:bCs/>
                <w:iCs/>
                <w:sz w:val="24"/>
                <w:szCs w:val="24"/>
                <w:vertAlign w:val="superscript"/>
                <w:lang w:eastAsia="lt-LT"/>
              </w:rPr>
              <w:footnoteReference w:id="6"/>
            </w:r>
            <w:r w:rsidRPr="00385835">
              <w:rPr>
                <w:rFonts w:ascii="Times New Roman" w:eastAsia="AngsanaUPC" w:hAnsi="Times New Roman"/>
                <w:bCs/>
                <w:iCs/>
                <w:sz w:val="24"/>
                <w:szCs w:val="24"/>
                <w:lang w:eastAsia="lt-LT"/>
              </w:rPr>
              <w:t xml:space="preserve"> stiprinimas. Bus remiami valstybės politikų, teisėjų, prokurorų, valstybės pareigūnų, valstybės </w:t>
            </w:r>
            <w:r w:rsidRPr="00385835">
              <w:rPr>
                <w:rFonts w:ascii="Times New Roman" w:eastAsia="AngsanaUPC" w:hAnsi="Times New Roman"/>
                <w:bCs/>
                <w:iCs/>
                <w:sz w:val="24"/>
                <w:szCs w:val="24"/>
                <w:lang w:eastAsia="lt-LT"/>
              </w:rPr>
              <w:lastRenderedPageBreak/>
              <w:t>tarnautojų (politinio asmeninio pasitikėjimo, karjeros ir statutinių), taip pat darbuotojų, dirbančių pagal darbo sutartis, mokymai</w:t>
            </w:r>
            <w:r w:rsidRPr="00385835">
              <w:rPr>
                <w:rFonts w:ascii="Times New Roman" w:eastAsia="AngsanaUPC" w:hAnsi="Times New Roman"/>
                <w:bCs/>
                <w:iCs/>
                <w:sz w:val="24"/>
                <w:szCs w:val="24"/>
                <w:vertAlign w:val="superscript"/>
                <w:lang w:eastAsia="lt-LT"/>
              </w:rPr>
              <w:footnoteReference w:id="7"/>
            </w:r>
            <w:r w:rsidRPr="00385835">
              <w:rPr>
                <w:rFonts w:ascii="Times New Roman" w:eastAsia="AngsanaUPC" w:hAnsi="Times New Roman"/>
                <w:bCs/>
                <w:iCs/>
                <w:sz w:val="24"/>
                <w:szCs w:val="24"/>
                <w:lang w:eastAsia="lt-LT"/>
              </w:rPr>
              <w:t>, užtikrinantys Vyriausybei svarbių prioritetinių mokymo tikslų įgyvendinimą atitinkamu (2014–2017 m. ir 2018–2022 m.) laikotarpiu, šiems mokymams vykdyti reikalingų mokymo programų, inovatyvių mokymo priemonių rengimas. 2014–2017 metų laikotarpiu numatoma investuoti į dirbančiųjų strateginių kompetencijų, susijusių su vadovavimo, lyderystės ir pokyčių valdymo gebėjimais, tobulinimą, taip pat analitinių ir komunikacinių gebėjimų bei įgūdžių gerinimą bei kitų specifinių strateginių kompetencijų ugdymą. Siekiant užtikrinti mokymų efektyvumą, mokymo dalyviai bus atrenkami pagal dirbančiųjų pareigybių aprašymuose nustatytas būtinąsias kompetencijas ir institucijų identifikuotą dirbančiųjų mokymo poreikį.</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567"/>
        <w:gridCol w:w="3105"/>
        <w:gridCol w:w="1006"/>
        <w:gridCol w:w="837"/>
        <w:gridCol w:w="1006"/>
        <w:gridCol w:w="850"/>
        <w:gridCol w:w="1134"/>
        <w:gridCol w:w="1241"/>
      </w:tblGrid>
      <w:tr w:rsidR="00385835" w:rsidRPr="00385835" w:rsidTr="00385835">
        <w:trPr>
          <w:tblHeader/>
        </w:trPr>
        <w:tc>
          <w:tcPr>
            <w:tcW w:w="9746" w:type="dxa"/>
            <w:gridSpan w:val="8"/>
            <w:tcBorders>
              <w:top w:val="single" w:sz="4" w:space="0" w:color="auto"/>
              <w:left w:val="single" w:sz="4" w:space="0" w:color="auto"/>
              <w:bottom w:val="single" w:sz="4" w:space="0" w:color="auto"/>
              <w:right w:val="single" w:sz="4" w:space="0" w:color="auto"/>
            </w:tcBorders>
            <w:shd w:val="clear" w:color="auto" w:fill="EEECE1"/>
            <w:hideMark/>
          </w:tcPr>
          <w:p w:rsidR="00385835" w:rsidRPr="00385835" w:rsidRDefault="00385835" w:rsidP="00D94011">
            <w:pPr>
              <w:widowControl w:val="0"/>
              <w:tabs>
                <w:tab w:val="left" w:pos="622"/>
              </w:tabs>
              <w:spacing w:after="0" w:line="240" w:lineRule="auto"/>
              <w:jc w:val="both"/>
              <w:rPr>
                <w:rFonts w:ascii="Times New Roman" w:eastAsia="AngsanaUPC" w:hAnsi="Times New Roman"/>
                <w:b/>
                <w:bCs/>
                <w:i/>
                <w:iCs/>
                <w:sz w:val="24"/>
                <w:szCs w:val="24"/>
                <w:lang w:eastAsia="lt-LT"/>
              </w:rPr>
            </w:pPr>
            <w:r w:rsidRPr="00385835">
              <w:rPr>
                <w:rFonts w:ascii="Times New Roman" w:eastAsia="AngsanaUPC" w:hAnsi="Times New Roman"/>
                <w:b/>
                <w:bCs/>
                <w:i/>
                <w:iCs/>
                <w:sz w:val="24"/>
                <w:szCs w:val="24"/>
                <w:lang w:eastAsia="lt-LT"/>
              </w:rPr>
              <w:t xml:space="preserve">ESF bendrieji ir </w:t>
            </w:r>
            <w:r w:rsidR="00D94011">
              <w:rPr>
                <w:rFonts w:ascii="Times New Roman" w:eastAsia="AngsanaUPC" w:hAnsi="Times New Roman"/>
                <w:b/>
                <w:bCs/>
                <w:i/>
                <w:iCs/>
                <w:sz w:val="24"/>
                <w:szCs w:val="24"/>
                <w:lang w:eastAsia="lt-LT"/>
              </w:rPr>
              <w:t>specialieji</w:t>
            </w:r>
            <w:r w:rsidR="00D94011" w:rsidRPr="00385835">
              <w:rPr>
                <w:rFonts w:ascii="Times New Roman" w:eastAsia="AngsanaUPC" w:hAnsi="Times New Roman"/>
                <w:b/>
                <w:bCs/>
                <w:i/>
                <w:iCs/>
                <w:sz w:val="24"/>
                <w:szCs w:val="24"/>
                <w:lang w:eastAsia="lt-LT"/>
              </w:rPr>
              <w:t xml:space="preserve"> </w:t>
            </w:r>
            <w:r w:rsidRPr="00385835">
              <w:rPr>
                <w:rFonts w:ascii="Times New Roman" w:eastAsia="AngsanaUPC" w:hAnsi="Times New Roman"/>
                <w:b/>
                <w:bCs/>
                <w:i/>
                <w:iCs/>
                <w:sz w:val="24"/>
                <w:szCs w:val="24"/>
                <w:lang w:eastAsia="lt-LT"/>
              </w:rPr>
              <w:t>programos produkto rodikliai</w:t>
            </w:r>
          </w:p>
        </w:tc>
      </w:tr>
      <w:tr w:rsidR="00385835" w:rsidRPr="00385835" w:rsidTr="00385835">
        <w:trPr>
          <w:tblHeader/>
        </w:trPr>
        <w:tc>
          <w:tcPr>
            <w:tcW w:w="567"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Nr.</w:t>
            </w:r>
          </w:p>
        </w:tc>
        <w:tc>
          <w:tcPr>
            <w:tcW w:w="3105"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Rodiklio pavadinimas</w:t>
            </w:r>
          </w:p>
        </w:tc>
        <w:tc>
          <w:tcPr>
            <w:tcW w:w="1006"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Matavimo vienetas</w:t>
            </w:r>
          </w:p>
        </w:tc>
        <w:tc>
          <w:tcPr>
            <w:tcW w:w="837"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Fondas</w:t>
            </w:r>
          </w:p>
        </w:tc>
        <w:tc>
          <w:tcPr>
            <w:tcW w:w="1006"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Regiono kategorija</w:t>
            </w:r>
          </w:p>
        </w:tc>
        <w:tc>
          <w:tcPr>
            <w:tcW w:w="850"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Siektina reikšmė (2023)</w:t>
            </w:r>
          </w:p>
        </w:tc>
        <w:tc>
          <w:tcPr>
            <w:tcW w:w="1134"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Duomenų šaltinis</w:t>
            </w:r>
          </w:p>
        </w:tc>
        <w:tc>
          <w:tcPr>
            <w:tcW w:w="1241"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8"/>
                <w:szCs w:val="18"/>
                <w:lang w:eastAsia="lt-LT"/>
              </w:rPr>
            </w:pPr>
            <w:r w:rsidRPr="00385835">
              <w:rPr>
                <w:rFonts w:ascii="Times New Roman" w:eastAsia="AngsanaUPC" w:hAnsi="Times New Roman"/>
                <w:b/>
                <w:bCs/>
                <w:iCs/>
                <w:sz w:val="18"/>
                <w:szCs w:val="18"/>
                <w:lang w:eastAsia="lt-LT"/>
              </w:rPr>
              <w:t>Atsiskaitymo dažnumas</w:t>
            </w:r>
          </w:p>
        </w:tc>
      </w:tr>
      <w:tr w:rsidR="00385835" w:rsidRPr="00B93030" w:rsidTr="00385835">
        <w:tc>
          <w:tcPr>
            <w:tcW w:w="9746" w:type="dxa"/>
            <w:gridSpan w:val="8"/>
            <w:tcBorders>
              <w:top w:val="single" w:sz="4" w:space="0" w:color="auto"/>
              <w:left w:val="single" w:sz="4" w:space="0" w:color="auto"/>
              <w:bottom w:val="single" w:sz="4" w:space="0" w:color="auto"/>
              <w:right w:val="single" w:sz="4" w:space="0" w:color="auto"/>
            </w:tcBorders>
            <w:shd w:val="clear" w:color="auto" w:fill="EEECE1"/>
            <w:vAlign w:val="center"/>
            <w:hideMark/>
          </w:tcPr>
          <w:p w:rsidR="00385835" w:rsidRPr="00B93030" w:rsidRDefault="00385835" w:rsidP="00385835">
            <w:pPr>
              <w:widowControl w:val="0"/>
              <w:tabs>
                <w:tab w:val="left" w:pos="622"/>
              </w:tabs>
              <w:spacing w:after="0" w:line="240" w:lineRule="auto"/>
              <w:jc w:val="both"/>
              <w:rPr>
                <w:rFonts w:ascii="Times New Roman" w:eastAsia="AngsanaUPC" w:hAnsi="Times New Roman"/>
                <w:bCs/>
                <w:i/>
                <w:iCs/>
                <w:sz w:val="18"/>
                <w:szCs w:val="18"/>
                <w:lang w:eastAsia="lt-LT"/>
              </w:rPr>
            </w:pPr>
            <w:r w:rsidRPr="00B93030">
              <w:rPr>
                <w:rFonts w:ascii="Times New Roman" w:eastAsia="AngsanaUPC" w:hAnsi="Times New Roman"/>
                <w:bCs/>
                <w:i/>
                <w:iCs/>
                <w:sz w:val="18"/>
                <w:szCs w:val="18"/>
                <w:lang w:eastAsia="lt-LT"/>
              </w:rPr>
              <w:t>10.1.1. konkretaus uždavinio rodikliai:</w:t>
            </w:r>
          </w:p>
        </w:tc>
      </w:tr>
      <w:tr w:rsidR="00385835" w:rsidRPr="00385835" w:rsidTr="00385835">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w:t>
            </w:r>
          </w:p>
        </w:tc>
        <w:tc>
          <w:tcPr>
            <w:tcW w:w="3105" w:type="dxa"/>
            <w:tcBorders>
              <w:top w:val="single" w:sz="4" w:space="0" w:color="auto"/>
              <w:left w:val="single" w:sz="4" w:space="0" w:color="auto"/>
              <w:bottom w:val="single" w:sz="4" w:space="0" w:color="auto"/>
              <w:right w:val="single" w:sz="4" w:space="0" w:color="auto"/>
            </w:tcBorders>
            <w:shd w:val="clear" w:color="auto" w:fill="auto"/>
            <w:hideMark/>
          </w:tcPr>
          <w:p w:rsidR="00385835" w:rsidRPr="00385835" w:rsidRDefault="00385835" w:rsidP="00385835">
            <w:pPr>
              <w:widowControl w:val="0"/>
              <w:tabs>
                <w:tab w:val="left" w:pos="622"/>
              </w:tabs>
              <w:spacing w:after="0" w:line="240" w:lineRule="auto"/>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Viešojo valdymo institucijos, pagal veiksmų programą ESF lėšomis įgyvendinusios veiklos valdymo tobulinimo priemones</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Skaičius</w:t>
            </w:r>
          </w:p>
        </w:tc>
        <w:tc>
          <w:tcPr>
            <w:tcW w:w="8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ESF</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Mažiau išsivystęs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835" w:rsidRPr="00FC6264" w:rsidRDefault="00D47A28"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eastAsia="AngsanaUPC" w:hAnsi="Times New Roman"/>
                <w:bCs/>
                <w:iCs/>
                <w:sz w:val="18"/>
                <w:szCs w:val="18"/>
                <w:lang w:eastAsia="lt-LT"/>
              </w:rPr>
              <w:t>32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835" w:rsidRPr="00FC6264"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eastAsia="AngsanaUPC" w:hAnsi="Times New Roman"/>
                <w:bCs/>
                <w:iCs/>
                <w:sz w:val="18"/>
                <w:szCs w:val="18"/>
                <w:lang w:eastAsia="lt-LT"/>
              </w:rPr>
              <w:t>Duomenys iš projektų</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385835" w:rsidRPr="00385835" w:rsidTr="00385835">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2</w:t>
            </w:r>
          </w:p>
        </w:tc>
        <w:tc>
          <w:tcPr>
            <w:tcW w:w="3105" w:type="dxa"/>
            <w:tcBorders>
              <w:top w:val="single" w:sz="4" w:space="0" w:color="auto"/>
              <w:left w:val="single" w:sz="4" w:space="0" w:color="auto"/>
              <w:bottom w:val="single" w:sz="4" w:space="0" w:color="auto"/>
              <w:right w:val="single" w:sz="4" w:space="0" w:color="auto"/>
            </w:tcBorders>
            <w:shd w:val="clear" w:color="auto" w:fill="auto"/>
            <w:hideMark/>
          </w:tcPr>
          <w:p w:rsidR="00385835" w:rsidRPr="00385835" w:rsidRDefault="00385835" w:rsidP="00385835">
            <w:pPr>
              <w:widowControl w:val="0"/>
              <w:tabs>
                <w:tab w:val="left" w:pos="622"/>
              </w:tabs>
              <w:spacing w:after="0" w:line="240" w:lineRule="auto"/>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Įrodymais grįsto valdymo priemonės, kurias pagal veiksmų programą ESF lėšomis taikė viešojo valdymo institucijos</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Skaičius</w:t>
            </w:r>
          </w:p>
        </w:tc>
        <w:tc>
          <w:tcPr>
            <w:tcW w:w="8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ESF</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Mažiau išsivystęs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835" w:rsidRPr="00D47A28"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Duomenys iš projektų</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385835" w:rsidRPr="00385835" w:rsidTr="00385835">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3.</w:t>
            </w:r>
          </w:p>
        </w:tc>
        <w:tc>
          <w:tcPr>
            <w:tcW w:w="3105" w:type="dxa"/>
            <w:tcBorders>
              <w:top w:val="single" w:sz="4" w:space="0" w:color="auto"/>
              <w:left w:val="single" w:sz="4" w:space="0" w:color="auto"/>
              <w:bottom w:val="single" w:sz="4" w:space="0" w:color="auto"/>
              <w:right w:val="single" w:sz="4" w:space="0" w:color="auto"/>
            </w:tcBorders>
            <w:shd w:val="clear" w:color="auto" w:fill="auto"/>
          </w:tcPr>
          <w:p w:rsidR="00385835" w:rsidRPr="00385835" w:rsidRDefault="00385835" w:rsidP="00385835">
            <w:pPr>
              <w:widowControl w:val="0"/>
              <w:tabs>
                <w:tab w:val="left" w:pos="622"/>
              </w:tabs>
              <w:spacing w:after="0" w:line="240" w:lineRule="auto"/>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 xml:space="preserve">Viešojo valdymo institucijų darbuotojai, kurie dalyvavo pagal veiksmų programą ESF lėšomis vykdytose veiklose, skirtose stiprinti įrodymais grįsto valdymo priemonių taikymui ar institucijų veiklos valdymo tobulinimui reikalingas kompetencijas </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Skaičius</w:t>
            </w:r>
          </w:p>
        </w:tc>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ESF</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Mažiau išsivystęs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A50C23">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3</w:t>
            </w:r>
            <w:r w:rsidR="00A50C23">
              <w:rPr>
                <w:rFonts w:ascii="Times New Roman" w:eastAsia="AngsanaUPC" w:hAnsi="Times New Roman"/>
                <w:bCs/>
                <w:iCs/>
                <w:sz w:val="18"/>
                <w:szCs w:val="18"/>
                <w:lang w:eastAsia="lt-LT"/>
              </w:rPr>
              <w:t>.</w:t>
            </w:r>
            <w:r w:rsidRPr="00385835">
              <w:rPr>
                <w:rFonts w:ascii="Times New Roman" w:eastAsia="AngsanaUPC" w:hAnsi="Times New Roman"/>
                <w:bCs/>
                <w:iCs/>
                <w:sz w:val="18"/>
                <w:szCs w:val="18"/>
                <w:lang w:eastAsia="lt-LT"/>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Duomenys iš projektų</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385835" w:rsidRPr="00B93030" w:rsidTr="00385835">
        <w:tc>
          <w:tcPr>
            <w:tcW w:w="9746" w:type="dxa"/>
            <w:gridSpan w:val="8"/>
            <w:tcBorders>
              <w:top w:val="single" w:sz="4" w:space="0" w:color="auto"/>
              <w:left w:val="single" w:sz="4" w:space="0" w:color="auto"/>
              <w:bottom w:val="single" w:sz="4" w:space="0" w:color="auto"/>
              <w:right w:val="single" w:sz="4" w:space="0" w:color="auto"/>
            </w:tcBorders>
            <w:shd w:val="clear" w:color="auto" w:fill="EEECE1"/>
            <w:vAlign w:val="center"/>
            <w:hideMark/>
          </w:tcPr>
          <w:p w:rsidR="00385835" w:rsidRPr="00B93030" w:rsidRDefault="00385835" w:rsidP="00385835">
            <w:pPr>
              <w:widowControl w:val="0"/>
              <w:tabs>
                <w:tab w:val="left" w:pos="622"/>
              </w:tabs>
              <w:spacing w:after="0" w:line="240" w:lineRule="auto"/>
              <w:rPr>
                <w:rFonts w:ascii="Times New Roman" w:eastAsia="AngsanaUPC" w:hAnsi="Times New Roman"/>
                <w:bCs/>
                <w:iCs/>
                <w:sz w:val="18"/>
                <w:szCs w:val="18"/>
                <w:lang w:eastAsia="lt-LT"/>
              </w:rPr>
            </w:pPr>
            <w:r w:rsidRPr="00B93030">
              <w:rPr>
                <w:rFonts w:ascii="Times New Roman" w:eastAsia="AngsanaUPC" w:hAnsi="Times New Roman"/>
                <w:bCs/>
                <w:i/>
                <w:iCs/>
                <w:sz w:val="18"/>
                <w:szCs w:val="18"/>
                <w:lang w:eastAsia="lt-LT"/>
              </w:rPr>
              <w:t>10.1.2. konkretaus uždavinio rodikliai:</w:t>
            </w:r>
          </w:p>
        </w:tc>
      </w:tr>
      <w:tr w:rsidR="00385835" w:rsidRPr="00385835" w:rsidTr="00385835">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4.</w:t>
            </w:r>
          </w:p>
        </w:tc>
        <w:tc>
          <w:tcPr>
            <w:tcW w:w="3105" w:type="dxa"/>
            <w:tcBorders>
              <w:top w:val="single" w:sz="4" w:space="0" w:color="auto"/>
              <w:left w:val="single" w:sz="4" w:space="0" w:color="auto"/>
              <w:bottom w:val="single" w:sz="4" w:space="0" w:color="auto"/>
              <w:right w:val="single" w:sz="4" w:space="0" w:color="auto"/>
            </w:tcBorders>
            <w:shd w:val="clear" w:color="auto" w:fill="auto"/>
            <w:hideMark/>
          </w:tcPr>
          <w:p w:rsidR="00385835" w:rsidRPr="00385835" w:rsidRDefault="00385835" w:rsidP="00385835">
            <w:pPr>
              <w:widowControl w:val="0"/>
              <w:tabs>
                <w:tab w:val="left" w:pos="622"/>
              </w:tabs>
              <w:spacing w:after="0" w:line="240" w:lineRule="auto"/>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Atnaujinta centrinė viešųjų pirkimų informacinė sistema</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Skaičius</w:t>
            </w:r>
          </w:p>
        </w:tc>
        <w:tc>
          <w:tcPr>
            <w:tcW w:w="8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ESF</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Mažiau išsivystęs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Duomenys iš projektų</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385835" w:rsidRPr="00385835" w:rsidTr="00385835">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5.</w:t>
            </w:r>
          </w:p>
        </w:tc>
        <w:tc>
          <w:tcPr>
            <w:tcW w:w="3105" w:type="dxa"/>
            <w:tcBorders>
              <w:top w:val="single" w:sz="4" w:space="0" w:color="auto"/>
              <w:left w:val="single" w:sz="4" w:space="0" w:color="auto"/>
              <w:bottom w:val="single" w:sz="4" w:space="0" w:color="auto"/>
              <w:right w:val="single" w:sz="4" w:space="0" w:color="auto"/>
            </w:tcBorders>
            <w:shd w:val="clear" w:color="auto" w:fill="auto"/>
            <w:hideMark/>
          </w:tcPr>
          <w:p w:rsidR="00385835" w:rsidRPr="00385835" w:rsidRDefault="00385835" w:rsidP="00385835">
            <w:pPr>
              <w:widowControl w:val="0"/>
              <w:tabs>
                <w:tab w:val="left" w:pos="622"/>
              </w:tabs>
              <w:spacing w:after="0" w:line="240" w:lineRule="auto"/>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Jautriose korupcijai viešojo valdymo srityse dirbančių viešojo valdymo institucijų darbuotojai, kurie dalyvavo pagal ESF veiklose, skirtose stiprinti</w:t>
            </w:r>
            <w:r w:rsidRPr="00385835" w:rsidDel="00EB4191">
              <w:rPr>
                <w:rFonts w:ascii="Times New Roman" w:eastAsia="AngsanaUPC" w:hAnsi="Times New Roman"/>
                <w:bCs/>
                <w:iCs/>
                <w:sz w:val="18"/>
                <w:szCs w:val="18"/>
                <w:lang w:eastAsia="lt-LT"/>
              </w:rPr>
              <w:t xml:space="preserve"> </w:t>
            </w:r>
            <w:r w:rsidRPr="00385835">
              <w:rPr>
                <w:rFonts w:ascii="Times New Roman" w:eastAsia="AngsanaUPC" w:hAnsi="Times New Roman"/>
                <w:bCs/>
                <w:iCs/>
                <w:sz w:val="18"/>
                <w:szCs w:val="18"/>
                <w:lang w:eastAsia="lt-LT"/>
              </w:rPr>
              <w:t>kompetencijas korupcijos prevencijos ar tarnybinės (profesinės) etikos srityje</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Skaičius</w:t>
            </w:r>
          </w:p>
        </w:tc>
        <w:tc>
          <w:tcPr>
            <w:tcW w:w="8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ESF</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Mažiau išsivystęs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835" w:rsidRPr="00385835" w:rsidRDefault="00385835" w:rsidP="00A50C23">
            <w:pPr>
              <w:widowControl w:val="0"/>
              <w:tabs>
                <w:tab w:val="left" w:pos="622"/>
              </w:tabs>
              <w:spacing w:after="0" w:line="240" w:lineRule="auto"/>
              <w:jc w:val="center"/>
              <w:rPr>
                <w:rFonts w:ascii="Times New Roman" w:eastAsia="AngsanaUPC" w:hAnsi="Times New Roman"/>
                <w:bCs/>
                <w:iCs/>
                <w:sz w:val="18"/>
                <w:szCs w:val="18"/>
                <w:highlight w:val="yellow"/>
                <w:lang w:eastAsia="lt-LT"/>
              </w:rPr>
            </w:pPr>
            <w:r w:rsidRPr="00385835">
              <w:rPr>
                <w:rFonts w:ascii="Times New Roman" w:eastAsia="AngsanaUPC" w:hAnsi="Times New Roman"/>
                <w:bCs/>
                <w:iCs/>
                <w:sz w:val="18"/>
                <w:szCs w:val="18"/>
                <w:lang w:eastAsia="lt-LT"/>
              </w:rPr>
              <w:t>4</w:t>
            </w:r>
            <w:r w:rsidR="00A50C23">
              <w:rPr>
                <w:rFonts w:ascii="Times New Roman" w:eastAsia="AngsanaUPC" w:hAnsi="Times New Roman"/>
                <w:bCs/>
                <w:iCs/>
                <w:sz w:val="18"/>
                <w:szCs w:val="18"/>
                <w:lang w:eastAsia="lt-LT"/>
              </w:rPr>
              <w:t>.</w:t>
            </w:r>
            <w:r w:rsidRPr="00385835">
              <w:rPr>
                <w:rFonts w:ascii="Times New Roman" w:eastAsia="AngsanaUPC" w:hAnsi="Times New Roman"/>
                <w:bCs/>
                <w:iCs/>
                <w:sz w:val="18"/>
                <w:szCs w:val="18"/>
                <w:lang w:eastAsia="lt-LT"/>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Duomenys iš projektų</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385835" w:rsidRPr="00385835" w:rsidTr="00385835">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Del="00EB4191"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6.</w:t>
            </w:r>
          </w:p>
        </w:tc>
        <w:tc>
          <w:tcPr>
            <w:tcW w:w="3105" w:type="dxa"/>
            <w:tcBorders>
              <w:top w:val="single" w:sz="4" w:space="0" w:color="auto"/>
              <w:left w:val="single" w:sz="4" w:space="0" w:color="auto"/>
              <w:bottom w:val="single" w:sz="4" w:space="0" w:color="auto"/>
              <w:right w:val="single" w:sz="4" w:space="0" w:color="auto"/>
            </w:tcBorders>
            <w:shd w:val="clear" w:color="auto" w:fill="auto"/>
          </w:tcPr>
          <w:p w:rsidR="00385835" w:rsidRPr="00385835" w:rsidDel="00EB4191" w:rsidRDefault="00385835" w:rsidP="00385835">
            <w:pPr>
              <w:widowControl w:val="0"/>
              <w:tabs>
                <w:tab w:val="left" w:pos="622"/>
              </w:tabs>
              <w:spacing w:after="0" w:line="240" w:lineRule="auto"/>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Gyventojai, kurie dalyvavo pagal veiksmų programą ESF lėšomis vykdytose veiklose, skirtose informuoti visuomenę apie viešojo valdymo procesus ar skatinti juose dalyvauti</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Skaičius</w:t>
            </w:r>
          </w:p>
        </w:tc>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ESF</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Mažiau išsivystęs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A50C23">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15</w:t>
            </w:r>
            <w:r w:rsidR="00A50C23">
              <w:rPr>
                <w:rFonts w:ascii="Times New Roman" w:eastAsia="AngsanaUPC" w:hAnsi="Times New Roman"/>
                <w:bCs/>
                <w:iCs/>
                <w:sz w:val="18"/>
                <w:szCs w:val="18"/>
                <w:lang w:eastAsia="lt-LT"/>
              </w:rPr>
              <w:t>.</w:t>
            </w:r>
            <w:r w:rsidRPr="00385835">
              <w:rPr>
                <w:rFonts w:ascii="Times New Roman" w:eastAsia="AngsanaUPC" w:hAnsi="Times New Roman"/>
                <w:bCs/>
                <w:iCs/>
                <w:sz w:val="18"/>
                <w:szCs w:val="18"/>
                <w:lang w:eastAsia="lt-LT"/>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Duomenys iš projektų</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385835" w:rsidRPr="00B93030" w:rsidTr="00385835">
        <w:tc>
          <w:tcPr>
            <w:tcW w:w="9746" w:type="dxa"/>
            <w:gridSpan w:val="8"/>
            <w:tcBorders>
              <w:top w:val="single" w:sz="4" w:space="0" w:color="auto"/>
              <w:left w:val="single" w:sz="4" w:space="0" w:color="auto"/>
              <w:bottom w:val="single" w:sz="4" w:space="0" w:color="auto"/>
              <w:right w:val="single" w:sz="4" w:space="0" w:color="auto"/>
            </w:tcBorders>
            <w:shd w:val="clear" w:color="auto" w:fill="EEECE1"/>
            <w:vAlign w:val="center"/>
            <w:hideMark/>
          </w:tcPr>
          <w:p w:rsidR="00385835" w:rsidRPr="00B93030" w:rsidRDefault="00385835" w:rsidP="00385835">
            <w:pPr>
              <w:widowControl w:val="0"/>
              <w:tabs>
                <w:tab w:val="left" w:pos="622"/>
              </w:tabs>
              <w:spacing w:after="0" w:line="240" w:lineRule="auto"/>
              <w:jc w:val="both"/>
              <w:rPr>
                <w:rFonts w:ascii="Times New Roman" w:eastAsia="AngsanaUPC" w:hAnsi="Times New Roman"/>
                <w:bCs/>
                <w:iCs/>
                <w:sz w:val="18"/>
                <w:szCs w:val="18"/>
                <w:lang w:eastAsia="lt-LT"/>
              </w:rPr>
            </w:pPr>
            <w:r w:rsidRPr="00B93030">
              <w:rPr>
                <w:rFonts w:ascii="Times New Roman" w:eastAsia="AngsanaUPC" w:hAnsi="Times New Roman"/>
                <w:bCs/>
                <w:i/>
                <w:iCs/>
                <w:sz w:val="18"/>
                <w:szCs w:val="18"/>
                <w:lang w:eastAsia="lt-LT"/>
              </w:rPr>
              <w:t>10.1.3. konkretaus uždavinio rodikliai:</w:t>
            </w:r>
          </w:p>
        </w:tc>
      </w:tr>
      <w:tr w:rsidR="00385835" w:rsidRPr="00385835" w:rsidTr="00385835">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7.</w:t>
            </w:r>
          </w:p>
        </w:tc>
        <w:tc>
          <w:tcPr>
            <w:tcW w:w="3105" w:type="dxa"/>
            <w:tcBorders>
              <w:top w:val="single" w:sz="4" w:space="0" w:color="auto"/>
              <w:left w:val="single" w:sz="4" w:space="0" w:color="auto"/>
              <w:bottom w:val="single" w:sz="4" w:space="0" w:color="auto"/>
              <w:right w:val="single" w:sz="4" w:space="0" w:color="auto"/>
            </w:tcBorders>
            <w:shd w:val="clear" w:color="auto" w:fill="auto"/>
          </w:tcPr>
          <w:p w:rsidR="00385835" w:rsidRPr="00385835" w:rsidRDefault="00385835" w:rsidP="00385835">
            <w:pPr>
              <w:widowControl w:val="0"/>
              <w:tabs>
                <w:tab w:val="left" w:pos="622"/>
              </w:tabs>
              <w:spacing w:after="0" w:line="240" w:lineRule="auto"/>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Viešojo valdymo institucijos, pagal veiksmų programą ESF lėšomis įgyvendinusios paslaugų ir (ar) aptarnavimo kokybei gerinti skirtas priemones</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Skaičius</w:t>
            </w:r>
          </w:p>
        </w:tc>
        <w:tc>
          <w:tcPr>
            <w:tcW w:w="8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ESF</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Mažiau išsivystęs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835" w:rsidRPr="00385835" w:rsidRDefault="00B13F50" w:rsidP="00385835">
            <w:pPr>
              <w:widowControl w:val="0"/>
              <w:tabs>
                <w:tab w:val="left" w:pos="622"/>
              </w:tabs>
              <w:spacing w:after="0" w:line="240" w:lineRule="auto"/>
              <w:jc w:val="center"/>
              <w:rPr>
                <w:rFonts w:ascii="Times New Roman" w:eastAsia="AngsanaUPC" w:hAnsi="Times New Roman"/>
                <w:bCs/>
                <w:iCs/>
                <w:sz w:val="18"/>
                <w:szCs w:val="18"/>
                <w:lang w:eastAsia="lt-LT"/>
              </w:rPr>
            </w:pPr>
            <w:r>
              <w:rPr>
                <w:rFonts w:ascii="Times New Roman" w:eastAsia="AngsanaUPC" w:hAnsi="Times New Roman"/>
                <w:bCs/>
                <w:iCs/>
                <w:sz w:val="18"/>
                <w:szCs w:val="18"/>
                <w:lang w:eastAsia="lt-LT"/>
              </w:rPr>
              <w:t>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hAnsi="Times New Roman"/>
                <w:sz w:val="18"/>
                <w:szCs w:val="18"/>
              </w:rPr>
              <w:t>Duomenys iš projektų</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385835" w:rsidRPr="00385835" w:rsidTr="00385835">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Del="00EB4191"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lastRenderedPageBreak/>
              <w:t>8.</w:t>
            </w:r>
          </w:p>
        </w:tc>
        <w:tc>
          <w:tcPr>
            <w:tcW w:w="3105" w:type="dxa"/>
            <w:tcBorders>
              <w:top w:val="single" w:sz="4" w:space="0" w:color="auto"/>
              <w:left w:val="single" w:sz="4" w:space="0" w:color="auto"/>
              <w:bottom w:val="single" w:sz="4" w:space="0" w:color="auto"/>
              <w:right w:val="single" w:sz="4" w:space="0" w:color="auto"/>
            </w:tcBorders>
            <w:shd w:val="clear" w:color="auto" w:fill="auto"/>
          </w:tcPr>
          <w:p w:rsidR="00385835" w:rsidRPr="00385835" w:rsidRDefault="00385835" w:rsidP="00385835">
            <w:pPr>
              <w:widowControl w:val="0"/>
              <w:tabs>
                <w:tab w:val="left" w:pos="622"/>
              </w:tabs>
              <w:spacing w:after="0" w:line="240" w:lineRule="auto"/>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Viešojo valdymo institucijų darbuotojai, kurie dalyvavo pagal veiksmų programą</w:t>
            </w:r>
            <w:proofErr w:type="gramStart"/>
            <w:r w:rsidRPr="00385835">
              <w:rPr>
                <w:rFonts w:ascii="Times New Roman" w:eastAsia="AngsanaUPC" w:hAnsi="Times New Roman"/>
                <w:bCs/>
                <w:iCs/>
                <w:sz w:val="18"/>
                <w:szCs w:val="18"/>
                <w:lang w:eastAsia="lt-LT"/>
              </w:rPr>
              <w:t xml:space="preserve">  </w:t>
            </w:r>
            <w:proofErr w:type="gramEnd"/>
            <w:r w:rsidRPr="00385835">
              <w:rPr>
                <w:rFonts w:ascii="Times New Roman" w:eastAsia="AngsanaUPC" w:hAnsi="Times New Roman"/>
                <w:bCs/>
                <w:iCs/>
                <w:sz w:val="18"/>
                <w:szCs w:val="18"/>
                <w:lang w:eastAsia="lt-LT"/>
              </w:rPr>
              <w:t>ESF lėšomis vykdytose veiklose, skirtose stiprinti teikiamų paslaugų ir (ar) aptarnavimo kokybės gerinimui reikalingas kompetencijas</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Skaičius</w:t>
            </w:r>
          </w:p>
        </w:tc>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ESF</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Mažiau išsivystęs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B13F50" w:rsidP="00385835">
            <w:pPr>
              <w:widowControl w:val="0"/>
              <w:tabs>
                <w:tab w:val="left" w:pos="622"/>
              </w:tabs>
              <w:spacing w:after="0" w:line="240" w:lineRule="auto"/>
              <w:jc w:val="center"/>
              <w:rPr>
                <w:rFonts w:ascii="Times New Roman" w:eastAsia="AngsanaUPC" w:hAnsi="Times New Roman"/>
                <w:bCs/>
                <w:iCs/>
                <w:sz w:val="18"/>
                <w:szCs w:val="18"/>
                <w:lang w:eastAsia="lt-LT"/>
              </w:rPr>
            </w:pPr>
            <w:r>
              <w:rPr>
                <w:rFonts w:ascii="Times New Roman" w:eastAsia="AngsanaUPC" w:hAnsi="Times New Roman"/>
                <w:bCs/>
                <w:iCs/>
                <w:sz w:val="18"/>
                <w:szCs w:val="18"/>
                <w:lang w:eastAsia="lt-LT"/>
              </w:rPr>
              <w:t>2</w:t>
            </w:r>
            <w:r w:rsidR="00A50C23">
              <w:rPr>
                <w:rFonts w:ascii="Times New Roman" w:eastAsia="AngsanaUPC" w:hAnsi="Times New Roman"/>
                <w:bCs/>
                <w:iCs/>
                <w:sz w:val="18"/>
                <w:szCs w:val="18"/>
                <w:lang w:eastAsia="lt-LT"/>
              </w:rPr>
              <w:t>.</w:t>
            </w:r>
            <w:r>
              <w:rPr>
                <w:rFonts w:ascii="Times New Roman" w:eastAsia="AngsanaUPC" w:hAnsi="Times New Roman"/>
                <w:bCs/>
                <w:iCs/>
                <w:sz w:val="18"/>
                <w:szCs w:val="18"/>
                <w:lang w:eastAsia="lt-LT"/>
              </w:rPr>
              <w:t>250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Duomenys iš projektų</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385835" w:rsidRPr="00B93030" w:rsidTr="00385835">
        <w:tc>
          <w:tcPr>
            <w:tcW w:w="9746" w:type="dxa"/>
            <w:gridSpan w:val="8"/>
            <w:tcBorders>
              <w:top w:val="single" w:sz="4" w:space="0" w:color="auto"/>
              <w:left w:val="single" w:sz="4" w:space="0" w:color="auto"/>
              <w:bottom w:val="single" w:sz="4" w:space="0" w:color="auto"/>
              <w:right w:val="single" w:sz="4" w:space="0" w:color="auto"/>
            </w:tcBorders>
            <w:shd w:val="clear" w:color="auto" w:fill="EEECE1"/>
            <w:vAlign w:val="center"/>
            <w:hideMark/>
          </w:tcPr>
          <w:p w:rsidR="00385835" w:rsidRPr="00B93030" w:rsidRDefault="00385835" w:rsidP="00385835">
            <w:pPr>
              <w:widowControl w:val="0"/>
              <w:tabs>
                <w:tab w:val="left" w:pos="622"/>
              </w:tabs>
              <w:spacing w:after="0" w:line="240" w:lineRule="auto"/>
              <w:jc w:val="both"/>
              <w:rPr>
                <w:rFonts w:ascii="Times New Roman" w:eastAsia="AngsanaUPC" w:hAnsi="Times New Roman"/>
                <w:bCs/>
                <w:iCs/>
                <w:sz w:val="18"/>
                <w:szCs w:val="18"/>
                <w:lang w:eastAsia="lt-LT"/>
              </w:rPr>
            </w:pPr>
            <w:r w:rsidRPr="00B93030">
              <w:rPr>
                <w:rFonts w:ascii="Times New Roman" w:eastAsia="AngsanaUPC" w:hAnsi="Times New Roman"/>
                <w:bCs/>
                <w:i/>
                <w:iCs/>
                <w:sz w:val="18"/>
                <w:szCs w:val="18"/>
                <w:lang w:eastAsia="lt-LT"/>
              </w:rPr>
              <w:t>10.1.4. konkretaus uždavinio rodikliai:</w:t>
            </w:r>
          </w:p>
        </w:tc>
      </w:tr>
      <w:tr w:rsidR="00385835" w:rsidRPr="00385835" w:rsidTr="00385835">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9.</w:t>
            </w:r>
          </w:p>
        </w:tc>
        <w:tc>
          <w:tcPr>
            <w:tcW w:w="3105" w:type="dxa"/>
            <w:tcBorders>
              <w:top w:val="single" w:sz="4" w:space="0" w:color="auto"/>
              <w:left w:val="single" w:sz="4" w:space="0" w:color="auto"/>
              <w:bottom w:val="single" w:sz="4" w:space="0" w:color="auto"/>
              <w:right w:val="single" w:sz="4" w:space="0" w:color="auto"/>
            </w:tcBorders>
            <w:shd w:val="clear" w:color="auto" w:fill="auto"/>
            <w:hideMark/>
          </w:tcPr>
          <w:p w:rsidR="00385835" w:rsidRPr="00385835" w:rsidRDefault="00385835" w:rsidP="00385835">
            <w:pPr>
              <w:widowControl w:val="0"/>
              <w:tabs>
                <w:tab w:val="left" w:pos="622"/>
              </w:tabs>
              <w:spacing w:after="0" w:line="240" w:lineRule="auto"/>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Geresnio reglamentavimo diegimo projektai, įgyvendinti pagal veiksmų programą ESF lėšomis</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Skaičius</w:t>
            </w:r>
          </w:p>
        </w:tc>
        <w:tc>
          <w:tcPr>
            <w:tcW w:w="8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ESF</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Mažiau išsivystęs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835" w:rsidRPr="00FC6264" w:rsidRDefault="00723F29"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FC6264">
              <w:rPr>
                <w:rFonts w:ascii="Times New Roman" w:eastAsia="AngsanaUPC" w:hAnsi="Times New Roman"/>
                <w:bCs/>
                <w:iCs/>
                <w:sz w:val="18"/>
                <w:szCs w:val="18"/>
                <w:lang w:eastAsia="lt-LT"/>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835" w:rsidRPr="00FC6264" w:rsidRDefault="00385835" w:rsidP="00385835">
            <w:pPr>
              <w:widowControl w:val="0"/>
              <w:tabs>
                <w:tab w:val="left" w:pos="622"/>
              </w:tabs>
              <w:spacing w:after="0" w:line="240" w:lineRule="auto"/>
              <w:jc w:val="center"/>
              <w:rPr>
                <w:rFonts w:ascii="Times New Roman" w:hAnsi="Times New Roman"/>
                <w:sz w:val="18"/>
                <w:szCs w:val="18"/>
              </w:rPr>
            </w:pPr>
            <w:r w:rsidRPr="00FC6264">
              <w:rPr>
                <w:rFonts w:ascii="Times New Roman" w:eastAsia="AngsanaUPC" w:hAnsi="Times New Roman"/>
                <w:bCs/>
                <w:iCs/>
                <w:sz w:val="18"/>
                <w:szCs w:val="18"/>
                <w:lang w:eastAsia="lt-LT"/>
              </w:rPr>
              <w:t>Duomenys iš projektų</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385835" w:rsidRPr="00385835" w:rsidTr="00385835">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10.</w:t>
            </w:r>
          </w:p>
        </w:tc>
        <w:tc>
          <w:tcPr>
            <w:tcW w:w="3105" w:type="dxa"/>
            <w:tcBorders>
              <w:top w:val="single" w:sz="4" w:space="0" w:color="auto"/>
              <w:left w:val="single" w:sz="4" w:space="0" w:color="auto"/>
              <w:bottom w:val="single" w:sz="4" w:space="0" w:color="auto"/>
              <w:right w:val="single" w:sz="4" w:space="0" w:color="auto"/>
            </w:tcBorders>
            <w:shd w:val="clear" w:color="auto" w:fill="auto"/>
            <w:hideMark/>
          </w:tcPr>
          <w:p w:rsidR="00385835" w:rsidRPr="00385835" w:rsidRDefault="00385835" w:rsidP="00385835">
            <w:pPr>
              <w:widowControl w:val="0"/>
              <w:tabs>
                <w:tab w:val="left" w:pos="622"/>
              </w:tabs>
              <w:spacing w:after="0" w:line="240" w:lineRule="auto"/>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Ūkio subjektų veiklos priežiūrą vykdančiose institucijose, kuriose pagal veiksmų programą ESF lėšomis įdiegtos ar patobulintos pažangios verslo priežiūros priemonės</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Skaičius</w:t>
            </w:r>
          </w:p>
        </w:tc>
        <w:tc>
          <w:tcPr>
            <w:tcW w:w="8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ESF</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Mažiau išsivystęs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Duomenys iš projektų</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385835" w:rsidRPr="00385835" w:rsidTr="00385835">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Del="002E6A96"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11.</w:t>
            </w:r>
          </w:p>
        </w:tc>
        <w:tc>
          <w:tcPr>
            <w:tcW w:w="3105" w:type="dxa"/>
            <w:tcBorders>
              <w:top w:val="single" w:sz="4" w:space="0" w:color="auto"/>
              <w:left w:val="single" w:sz="4" w:space="0" w:color="auto"/>
              <w:bottom w:val="single" w:sz="4" w:space="0" w:color="auto"/>
              <w:right w:val="single" w:sz="4" w:space="0" w:color="auto"/>
            </w:tcBorders>
            <w:shd w:val="clear" w:color="auto" w:fill="auto"/>
          </w:tcPr>
          <w:p w:rsidR="00385835" w:rsidRPr="00385835" w:rsidRDefault="00385835" w:rsidP="00385835">
            <w:pPr>
              <w:widowControl w:val="0"/>
              <w:tabs>
                <w:tab w:val="left" w:pos="622"/>
              </w:tabs>
              <w:spacing w:after="0" w:line="240" w:lineRule="auto"/>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Viešojo valdymo institucijų darbuotojai, kurie dalyvavo pagal veiksmų programą ESF lėšomis vykdytose veiklose, skirtose stiprinti geresnio reglamentavimo diegimui ar ūkio subjektų veiklos priežiūros efektyvumo didinimui reikalingas kompetencijas</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Skaičius</w:t>
            </w:r>
          </w:p>
        </w:tc>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ESF</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Mažiau išsivystęs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A50C23">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3</w:t>
            </w:r>
            <w:r w:rsidR="00A50C23">
              <w:rPr>
                <w:rFonts w:ascii="Times New Roman" w:eastAsia="AngsanaUPC" w:hAnsi="Times New Roman"/>
                <w:bCs/>
                <w:iCs/>
                <w:sz w:val="18"/>
                <w:szCs w:val="18"/>
                <w:lang w:eastAsia="lt-LT"/>
              </w:rPr>
              <w:t>.</w:t>
            </w:r>
            <w:r w:rsidRPr="00385835">
              <w:rPr>
                <w:rFonts w:ascii="Times New Roman" w:eastAsia="AngsanaUPC" w:hAnsi="Times New Roman"/>
                <w:bCs/>
                <w:iCs/>
                <w:sz w:val="18"/>
                <w:szCs w:val="18"/>
                <w:lang w:eastAsia="lt-LT"/>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hAnsi="Times New Roman"/>
                <w:sz w:val="18"/>
                <w:szCs w:val="18"/>
              </w:rPr>
              <w:t>Duomenys iš projektų</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385835" w:rsidRPr="00385835" w:rsidTr="00385835">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Del="002E6A96"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 xml:space="preserve">12. </w:t>
            </w:r>
          </w:p>
        </w:tc>
        <w:tc>
          <w:tcPr>
            <w:tcW w:w="3105" w:type="dxa"/>
            <w:tcBorders>
              <w:top w:val="single" w:sz="4" w:space="0" w:color="auto"/>
              <w:left w:val="single" w:sz="4" w:space="0" w:color="auto"/>
              <w:bottom w:val="single" w:sz="4" w:space="0" w:color="auto"/>
              <w:right w:val="single" w:sz="4" w:space="0" w:color="auto"/>
            </w:tcBorders>
            <w:shd w:val="clear" w:color="auto" w:fill="auto"/>
          </w:tcPr>
          <w:p w:rsidR="00385835" w:rsidRPr="00385835" w:rsidRDefault="00385835" w:rsidP="00385835">
            <w:pPr>
              <w:widowControl w:val="0"/>
              <w:tabs>
                <w:tab w:val="left" w:pos="622"/>
              </w:tabs>
              <w:spacing w:after="0" w:line="240" w:lineRule="auto"/>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Teisingumo sistemai tobulinti skirti projektai, įgyvendinti pagal veiksmų programą ESF lėšomis</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Skaičius</w:t>
            </w:r>
          </w:p>
        </w:tc>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ESF</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Mažiau išsivystęs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hAnsi="Times New Roman"/>
                <w:sz w:val="18"/>
                <w:szCs w:val="18"/>
              </w:rPr>
            </w:pPr>
            <w:r w:rsidRPr="00385835">
              <w:rPr>
                <w:rFonts w:ascii="Times New Roman" w:eastAsia="AngsanaUPC" w:hAnsi="Times New Roman"/>
                <w:bCs/>
                <w:iCs/>
                <w:sz w:val="18"/>
                <w:szCs w:val="18"/>
                <w:lang w:eastAsia="lt-LT"/>
              </w:rPr>
              <w:t>Duomenys iš projektų</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385835" w:rsidRPr="00B93030" w:rsidTr="00385835">
        <w:tc>
          <w:tcPr>
            <w:tcW w:w="9746" w:type="dxa"/>
            <w:gridSpan w:val="8"/>
            <w:tcBorders>
              <w:top w:val="single" w:sz="4" w:space="0" w:color="auto"/>
              <w:left w:val="single" w:sz="4" w:space="0" w:color="auto"/>
              <w:bottom w:val="single" w:sz="4" w:space="0" w:color="auto"/>
              <w:right w:val="single" w:sz="4" w:space="0" w:color="auto"/>
            </w:tcBorders>
            <w:shd w:val="clear" w:color="auto" w:fill="EEECE1"/>
            <w:vAlign w:val="center"/>
            <w:hideMark/>
          </w:tcPr>
          <w:p w:rsidR="00385835" w:rsidRPr="00B93030" w:rsidRDefault="00385835" w:rsidP="00385835">
            <w:pPr>
              <w:widowControl w:val="0"/>
              <w:tabs>
                <w:tab w:val="left" w:pos="622"/>
              </w:tabs>
              <w:spacing w:after="0" w:line="240" w:lineRule="auto"/>
              <w:jc w:val="both"/>
              <w:rPr>
                <w:rFonts w:ascii="Times New Roman" w:eastAsia="AngsanaUPC" w:hAnsi="Times New Roman"/>
                <w:bCs/>
                <w:iCs/>
                <w:sz w:val="18"/>
                <w:szCs w:val="18"/>
                <w:lang w:eastAsia="lt-LT"/>
              </w:rPr>
            </w:pPr>
            <w:r w:rsidRPr="00B93030">
              <w:rPr>
                <w:rFonts w:ascii="Times New Roman" w:eastAsia="AngsanaUPC" w:hAnsi="Times New Roman"/>
                <w:bCs/>
                <w:i/>
                <w:iCs/>
                <w:sz w:val="18"/>
                <w:szCs w:val="18"/>
                <w:lang w:eastAsia="lt-LT"/>
              </w:rPr>
              <w:t>10.1.5. konkretaus uždavinio rodikliai:</w:t>
            </w:r>
          </w:p>
        </w:tc>
      </w:tr>
      <w:tr w:rsidR="00385835" w:rsidRPr="00385835" w:rsidTr="00385835">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13.</w:t>
            </w:r>
          </w:p>
        </w:tc>
        <w:tc>
          <w:tcPr>
            <w:tcW w:w="3105" w:type="dxa"/>
            <w:tcBorders>
              <w:top w:val="single" w:sz="4" w:space="0" w:color="auto"/>
              <w:left w:val="single" w:sz="4" w:space="0" w:color="auto"/>
              <w:bottom w:val="single" w:sz="4" w:space="0" w:color="auto"/>
              <w:right w:val="single" w:sz="4" w:space="0" w:color="auto"/>
            </w:tcBorders>
            <w:shd w:val="clear" w:color="auto" w:fill="auto"/>
            <w:hideMark/>
          </w:tcPr>
          <w:p w:rsidR="00385835" w:rsidRPr="00385835" w:rsidRDefault="00385835" w:rsidP="00385835">
            <w:pPr>
              <w:widowControl w:val="0"/>
              <w:tabs>
                <w:tab w:val="left" w:pos="622"/>
              </w:tabs>
              <w:spacing w:after="0" w:line="240" w:lineRule="auto"/>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Pagal veiksmų programą ESF lėšomis sukurtos ir įgyvendintos aukštesniųjų vadovų ugdymo programos</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Skaičius</w:t>
            </w:r>
          </w:p>
        </w:tc>
        <w:tc>
          <w:tcPr>
            <w:tcW w:w="8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ESF</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835" w:rsidRPr="00385835" w:rsidRDefault="00385835" w:rsidP="00385835">
            <w:pPr>
              <w:spacing w:after="0" w:line="240" w:lineRule="auto"/>
              <w:jc w:val="center"/>
              <w:rPr>
                <w:rFonts w:ascii="Times New Roman" w:hAnsi="Times New Roman"/>
                <w:sz w:val="18"/>
                <w:szCs w:val="18"/>
              </w:rPr>
            </w:pPr>
            <w:r w:rsidRPr="00385835">
              <w:rPr>
                <w:rFonts w:ascii="Times New Roman" w:eastAsia="AngsanaUPC" w:hAnsi="Times New Roman"/>
                <w:bCs/>
                <w:iCs/>
                <w:sz w:val="18"/>
                <w:szCs w:val="18"/>
                <w:lang w:eastAsia="lt-LT"/>
              </w:rPr>
              <w:t>Mažiau išsivystęs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835" w:rsidRPr="00385835" w:rsidRDefault="00385835" w:rsidP="00385835">
            <w:pPr>
              <w:spacing w:after="0" w:line="240" w:lineRule="auto"/>
              <w:jc w:val="center"/>
              <w:rPr>
                <w:rFonts w:ascii="Times New Roman" w:hAnsi="Times New Roman"/>
                <w:sz w:val="18"/>
                <w:szCs w:val="18"/>
              </w:rPr>
            </w:pPr>
            <w:r w:rsidRPr="00385835">
              <w:rPr>
                <w:rFonts w:ascii="Times New Roman" w:hAnsi="Times New Roman"/>
                <w:sz w:val="18"/>
                <w:szCs w:val="18"/>
              </w:rPr>
              <w:t>Duomenys iš projektų</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385835" w:rsidRPr="00385835" w:rsidTr="00385835">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Del="002E6A96"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14.</w:t>
            </w:r>
          </w:p>
        </w:tc>
        <w:tc>
          <w:tcPr>
            <w:tcW w:w="3105" w:type="dxa"/>
            <w:tcBorders>
              <w:top w:val="single" w:sz="4" w:space="0" w:color="auto"/>
              <w:left w:val="single" w:sz="4" w:space="0" w:color="auto"/>
              <w:bottom w:val="single" w:sz="4" w:space="0" w:color="auto"/>
              <w:right w:val="single" w:sz="4" w:space="0" w:color="auto"/>
            </w:tcBorders>
            <w:shd w:val="clear" w:color="auto" w:fill="auto"/>
          </w:tcPr>
          <w:p w:rsidR="00385835" w:rsidRPr="00385835" w:rsidRDefault="00385835" w:rsidP="00385835">
            <w:pPr>
              <w:widowControl w:val="0"/>
              <w:tabs>
                <w:tab w:val="left" w:pos="622"/>
              </w:tabs>
              <w:spacing w:after="0" w:line="240" w:lineRule="auto"/>
              <w:rPr>
                <w:rFonts w:ascii="Times New Roman" w:eastAsia="AngsanaUPC" w:hAnsi="Times New Roman"/>
                <w:bCs/>
                <w:iCs/>
                <w:sz w:val="18"/>
                <w:szCs w:val="18"/>
                <w:lang w:eastAsia="lt-LT"/>
              </w:rPr>
            </w:pPr>
            <w:r w:rsidRPr="00385835">
              <w:rPr>
                <w:rFonts w:ascii="Times New Roman" w:eastAsia="Times New Roman" w:hAnsi="Times New Roman"/>
                <w:bCs/>
                <w:sz w:val="18"/>
                <w:szCs w:val="18"/>
              </w:rPr>
              <w:t xml:space="preserve">Pagal veiksmų programą ESF lėšomis įgyvendinti projektai, skirti diegti kompetencijomis grįstą žmogiškųjų išteklių valdymą </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Skaičius</w:t>
            </w:r>
          </w:p>
        </w:tc>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ESF</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Mažiau išsivystęs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spacing w:after="0" w:line="240" w:lineRule="auto"/>
              <w:jc w:val="center"/>
              <w:rPr>
                <w:rFonts w:ascii="Times New Roman" w:hAnsi="Times New Roman"/>
                <w:sz w:val="18"/>
                <w:szCs w:val="18"/>
              </w:rPr>
            </w:pPr>
            <w:r w:rsidRPr="00385835">
              <w:rPr>
                <w:rFonts w:ascii="Times New Roman" w:hAnsi="Times New Roman"/>
                <w:sz w:val="18"/>
                <w:szCs w:val="18"/>
              </w:rPr>
              <w:t>Duomenys iš projektų</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r w:rsidR="00385835" w:rsidRPr="00385835" w:rsidTr="00385835">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835" w:rsidRPr="00385835" w:rsidRDefault="00385835" w:rsidP="00B13F50">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1</w:t>
            </w:r>
            <w:r w:rsidR="00B13F50">
              <w:rPr>
                <w:rFonts w:ascii="Times New Roman" w:eastAsia="AngsanaUPC" w:hAnsi="Times New Roman"/>
                <w:bCs/>
                <w:iCs/>
                <w:sz w:val="18"/>
                <w:szCs w:val="18"/>
                <w:lang w:eastAsia="lt-LT"/>
              </w:rPr>
              <w:t>5</w:t>
            </w:r>
            <w:r w:rsidRPr="00385835">
              <w:rPr>
                <w:rFonts w:ascii="Times New Roman" w:eastAsia="AngsanaUPC" w:hAnsi="Times New Roman"/>
                <w:bCs/>
                <w:iCs/>
                <w:sz w:val="18"/>
                <w:szCs w:val="18"/>
                <w:lang w:eastAsia="lt-LT"/>
              </w:rPr>
              <w:t>.</w:t>
            </w:r>
          </w:p>
        </w:tc>
        <w:tc>
          <w:tcPr>
            <w:tcW w:w="3105" w:type="dxa"/>
            <w:tcBorders>
              <w:top w:val="single" w:sz="4" w:space="0" w:color="auto"/>
              <w:left w:val="single" w:sz="4" w:space="0" w:color="auto"/>
              <w:bottom w:val="single" w:sz="4" w:space="0" w:color="auto"/>
              <w:right w:val="single" w:sz="4" w:space="0" w:color="auto"/>
            </w:tcBorders>
            <w:shd w:val="clear" w:color="auto" w:fill="auto"/>
            <w:hideMark/>
          </w:tcPr>
          <w:p w:rsidR="00385835" w:rsidRPr="00385835" w:rsidRDefault="00385835" w:rsidP="00385835">
            <w:pPr>
              <w:spacing w:after="0" w:line="240" w:lineRule="auto"/>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Viešojo valdymo institucijų darbuotojai, kurie dalyvavo</w:t>
            </w:r>
            <w:r w:rsidR="00A50C23">
              <w:rPr>
                <w:rFonts w:ascii="Times New Roman" w:eastAsia="AngsanaUPC" w:hAnsi="Times New Roman"/>
                <w:bCs/>
                <w:iCs/>
                <w:sz w:val="18"/>
                <w:szCs w:val="18"/>
                <w:lang w:eastAsia="lt-LT"/>
              </w:rPr>
              <w:t>.</w:t>
            </w:r>
            <w:r w:rsidRPr="00385835">
              <w:rPr>
                <w:rFonts w:ascii="Times New Roman" w:eastAsia="AngsanaUPC" w:hAnsi="Times New Roman"/>
                <w:bCs/>
                <w:iCs/>
                <w:sz w:val="18"/>
                <w:szCs w:val="18"/>
                <w:lang w:eastAsia="lt-LT"/>
              </w:rPr>
              <w:t xml:space="preserve"> pagal veiksmų programą ESF lėšomis vykdytuose mokymuose strateginėms kompetencijoms stiprinti</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Skaičius</w:t>
            </w:r>
          </w:p>
        </w:tc>
        <w:tc>
          <w:tcPr>
            <w:tcW w:w="8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ESF</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835" w:rsidRPr="00385835" w:rsidRDefault="00385835" w:rsidP="00385835">
            <w:pPr>
              <w:spacing w:after="0" w:line="240" w:lineRule="auto"/>
              <w:jc w:val="center"/>
              <w:rPr>
                <w:rFonts w:ascii="Times New Roman" w:hAnsi="Times New Roman"/>
                <w:sz w:val="18"/>
                <w:szCs w:val="18"/>
              </w:rPr>
            </w:pPr>
            <w:r w:rsidRPr="00385835">
              <w:rPr>
                <w:rFonts w:ascii="Times New Roman" w:eastAsia="AngsanaUPC" w:hAnsi="Times New Roman"/>
                <w:bCs/>
                <w:iCs/>
                <w:sz w:val="18"/>
                <w:szCs w:val="18"/>
                <w:lang w:eastAsia="lt-LT"/>
              </w:rPr>
              <w:t>Mažiau išsivystęs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835" w:rsidRPr="00385835" w:rsidRDefault="00B13F50" w:rsidP="00385835">
            <w:pPr>
              <w:widowControl w:val="0"/>
              <w:tabs>
                <w:tab w:val="left" w:pos="622"/>
              </w:tabs>
              <w:spacing w:after="0" w:line="240" w:lineRule="auto"/>
              <w:jc w:val="center"/>
              <w:rPr>
                <w:rFonts w:ascii="Times New Roman" w:eastAsia="AngsanaUPC" w:hAnsi="Times New Roman"/>
                <w:bCs/>
                <w:iCs/>
                <w:sz w:val="18"/>
                <w:szCs w:val="18"/>
                <w:lang w:eastAsia="lt-LT"/>
              </w:rPr>
            </w:pPr>
            <w:r>
              <w:rPr>
                <w:rFonts w:ascii="Times New Roman" w:eastAsia="AngsanaUPC" w:hAnsi="Times New Roman"/>
                <w:bCs/>
                <w:iCs/>
                <w:sz w:val="18"/>
                <w:szCs w:val="18"/>
                <w:lang w:eastAsia="lt-LT"/>
              </w:rPr>
              <w:t>3</w:t>
            </w:r>
            <w:r w:rsidR="00A50C23">
              <w:rPr>
                <w:rFonts w:ascii="Times New Roman" w:eastAsia="AngsanaUPC" w:hAnsi="Times New Roman"/>
                <w:bCs/>
                <w:iCs/>
                <w:sz w:val="18"/>
                <w:szCs w:val="18"/>
                <w:lang w:eastAsia="lt-LT"/>
              </w:rPr>
              <w:t>.</w:t>
            </w:r>
            <w:r>
              <w:rPr>
                <w:rFonts w:ascii="Times New Roman" w:eastAsia="AngsanaUPC" w:hAnsi="Times New Roman"/>
                <w:bCs/>
                <w:iCs/>
                <w:sz w:val="18"/>
                <w:szCs w:val="18"/>
                <w:lang w:eastAsia="lt-LT"/>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835" w:rsidRPr="00385835" w:rsidRDefault="00385835" w:rsidP="00385835">
            <w:pPr>
              <w:spacing w:after="0" w:line="240" w:lineRule="auto"/>
              <w:jc w:val="center"/>
              <w:rPr>
                <w:rFonts w:ascii="Times New Roman" w:hAnsi="Times New Roman"/>
                <w:sz w:val="18"/>
                <w:szCs w:val="18"/>
              </w:rPr>
            </w:pPr>
            <w:r w:rsidRPr="00385835">
              <w:rPr>
                <w:rFonts w:ascii="Times New Roman" w:hAnsi="Times New Roman"/>
                <w:sz w:val="18"/>
                <w:szCs w:val="18"/>
              </w:rPr>
              <w:t>Duomenys iš projektų</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835" w:rsidRPr="00385835" w:rsidRDefault="00385835" w:rsidP="00385835">
            <w:pPr>
              <w:widowControl w:val="0"/>
              <w:tabs>
                <w:tab w:val="left" w:pos="622"/>
              </w:tabs>
              <w:spacing w:after="0" w:line="240" w:lineRule="auto"/>
              <w:jc w:val="center"/>
              <w:rPr>
                <w:rFonts w:ascii="Times New Roman" w:eastAsia="AngsanaUPC" w:hAnsi="Times New Roman"/>
                <w:bCs/>
                <w:iCs/>
                <w:sz w:val="18"/>
                <w:szCs w:val="18"/>
                <w:lang w:eastAsia="lt-LT"/>
              </w:rPr>
            </w:pPr>
            <w:r w:rsidRPr="00385835">
              <w:rPr>
                <w:rFonts w:ascii="Times New Roman" w:eastAsia="AngsanaUPC" w:hAnsi="Times New Roman"/>
                <w:bCs/>
                <w:iCs/>
                <w:sz w:val="18"/>
                <w:szCs w:val="18"/>
                <w:lang w:eastAsia="lt-LT"/>
              </w:rPr>
              <w:t>Kartą per metus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746"/>
      </w:tblGrid>
      <w:tr w:rsidR="00385835" w:rsidRPr="00385835" w:rsidTr="00385835">
        <w:tc>
          <w:tcPr>
            <w:tcW w:w="9746"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hAnsi="Times New Roman"/>
                <w:b/>
                <w:i/>
                <w:sz w:val="24"/>
                <w:szCs w:val="24"/>
              </w:rPr>
              <w:t>ESF specialiosios nuostatos</w:t>
            </w:r>
          </w:p>
        </w:tc>
      </w:tr>
      <w:tr w:rsidR="00385835" w:rsidRPr="00385835" w:rsidTr="00385835">
        <w:tc>
          <w:tcPr>
            <w:tcW w:w="9746" w:type="dxa"/>
            <w:shd w:val="clear" w:color="auto" w:fill="auto"/>
          </w:tcPr>
          <w:p w:rsidR="00385835" w:rsidRPr="00385835" w:rsidRDefault="00385835" w:rsidP="00385835">
            <w:pPr>
              <w:widowControl w:val="0"/>
              <w:tabs>
                <w:tab w:val="left" w:pos="601"/>
              </w:tabs>
              <w:spacing w:after="0" w:line="240" w:lineRule="auto"/>
              <w:ind w:firstLine="624"/>
              <w:jc w:val="both"/>
              <w:rPr>
                <w:rFonts w:ascii="Times New Roman" w:eastAsia="AngsanaUPC" w:hAnsi="Times New Roman"/>
                <w:bCs/>
                <w:iCs/>
                <w:sz w:val="24"/>
                <w:szCs w:val="24"/>
                <w:lang w:eastAsia="lt-LT"/>
              </w:rPr>
            </w:pPr>
            <w:r w:rsidRPr="00385835">
              <w:rPr>
                <w:rFonts w:ascii="Times New Roman" w:eastAsia="AngsanaUPC" w:hAnsi="Times New Roman"/>
                <w:bCs/>
                <w:sz w:val="24"/>
                <w:szCs w:val="24"/>
                <w:lang w:eastAsia="lt-LT"/>
              </w:rPr>
              <w:t>Įgyvendinant šį investicinį prioritetą bus prisidedama prie 2.1 investicinio prioriteto ,,Plačiajuosčio ryšio diegimo plėtra ir sparčiųjų tinklų plėtojimas ir naujų technologijų ir skaitmeninės ekonomikos tinklų pasirinkimo rėmimas“ įgyvendinimo. ESF lėšomis bus vertinamas paslaugų perkėlimo į elektroninę erdvę tikslingumas, nustatoma paslaugų atitiktis vartotojų poreikiams ir optimizuotas šių paslaugų teikimo procesas.</w:t>
            </w:r>
            <w:r w:rsidRPr="00385835">
              <w:rPr>
                <w:rFonts w:ascii="Times New Roman" w:eastAsia="AngsanaUPC" w:hAnsi="Times New Roman"/>
                <w:bCs/>
                <w:iCs/>
                <w:sz w:val="24"/>
                <w:szCs w:val="24"/>
                <w:lang w:eastAsia="lt-LT"/>
              </w:rPr>
              <w:t xml:space="preserve"> Taip pat ESF lėšomis bus finansuojamos visuomenės įtraukimo į viešojo valdymo procesus skatinimo iniciatyvos, taip užtikrinant elektroninės demokratijos sprendimų ir priemonių, kurias numatoma kurti ir diegti įgyvendinant 2.1 investicinį prioritetą, aktyvų naudojimą.</w:t>
            </w:r>
          </w:p>
          <w:p w:rsidR="00385835" w:rsidRPr="00385835" w:rsidRDefault="00385835" w:rsidP="00385835">
            <w:pPr>
              <w:widowControl w:val="0"/>
              <w:tabs>
                <w:tab w:val="left" w:pos="601"/>
              </w:tabs>
              <w:spacing w:after="0" w:line="240" w:lineRule="auto"/>
              <w:ind w:firstLine="624"/>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Šio investicinio prioriteto lėšomis numatoma prisidėti prie 5.1 investicinio prioriteto ,,Prisitaikymo prie klimato kaitos investicijų skatinimas“ įgyvendinimo. ESF lėšos bus naudojamos valstybės ir savivaldybių institucijų ir įstaigų veiklos ekstremalių situacijų (įskaitant dėl klimato kaitos kylančias nelaimes) atveju valdymo tobulinimui.</w:t>
            </w:r>
          </w:p>
          <w:p w:rsidR="00385835" w:rsidRPr="00385835" w:rsidRDefault="00385835" w:rsidP="00385835">
            <w:pPr>
              <w:widowControl w:val="0"/>
              <w:tabs>
                <w:tab w:val="left" w:pos="601"/>
              </w:tabs>
              <w:spacing w:after="0" w:line="240" w:lineRule="auto"/>
              <w:ind w:left="34" w:firstLine="624"/>
              <w:jc w:val="both"/>
              <w:rPr>
                <w:rFonts w:ascii="Times New Roman" w:eastAsia="AngsanaUPC" w:hAnsi="Times New Roman"/>
                <w:bCs/>
                <w:iCs/>
                <w:sz w:val="24"/>
                <w:szCs w:val="24"/>
                <w:lang w:eastAsia="lt-LT"/>
              </w:rPr>
            </w:pPr>
            <w:r w:rsidRPr="00385835">
              <w:rPr>
                <w:rFonts w:ascii="Times New Roman" w:eastAsia="AngsanaUPC" w:hAnsi="Times New Roman"/>
                <w:bCs/>
                <w:sz w:val="24"/>
                <w:szCs w:val="24"/>
                <w:lang w:eastAsia="lt-LT"/>
              </w:rPr>
              <w:t>Įgyvendinant šį investicinį prioritetą</w:t>
            </w:r>
            <w:r w:rsidR="00862C29">
              <w:rPr>
                <w:rFonts w:ascii="Times New Roman" w:eastAsia="AngsanaUPC" w:hAnsi="Times New Roman"/>
                <w:bCs/>
                <w:sz w:val="24"/>
                <w:szCs w:val="24"/>
                <w:lang w:eastAsia="lt-LT"/>
              </w:rPr>
              <w:t>,</w:t>
            </w:r>
            <w:r w:rsidRPr="00385835">
              <w:rPr>
                <w:rFonts w:ascii="Times New Roman" w:eastAsia="AngsanaUPC" w:hAnsi="Times New Roman"/>
                <w:bCs/>
                <w:sz w:val="24"/>
                <w:szCs w:val="24"/>
                <w:lang w:eastAsia="lt-LT"/>
              </w:rPr>
              <w:t xml:space="preserve"> bus skatinamas socialinių inovacijų taikymas ir tarptautinis bendradarbiavimas. Socialines inovacijas numatoma taikyti įgyvendinant uždavinių </w:t>
            </w:r>
            <w:r w:rsidRPr="00385835">
              <w:rPr>
                <w:rFonts w:ascii="Times New Roman" w:eastAsia="AngsanaUPC" w:hAnsi="Times New Roman"/>
                <w:bCs/>
                <w:sz w:val="24"/>
                <w:szCs w:val="24"/>
                <w:lang w:eastAsia="lt-LT"/>
              </w:rPr>
              <w:lastRenderedPageBreak/>
              <w:t>veiklas, susijusias su: nacionalinių viešojo valdymo reformų įgyvendinimu, viešojo valdymo institucijų veiklos efektyvumo didinimu, visuomenės dalyvavimo viešojo valdymo procesuose skatinimu, visuomenei teikiamų paslaugų kokybės gerinimu, pažangių žmogiškųjų išteklių valdymo priemonių taikymu ir kt. Tarptautinis bendradarbiavimas bus skatinamas finansuojant gerosios užsienio šalių patirties perėmimą (darbuotojų stažuotes, mokomuosius vizitus užsienyje, užsienio ekspertų vizitus ir pan.) ir kitų bendradarbiavimo tarptautiniu mastu priemonių, tiesiogiai susijusių su atitinkamų uždavinių turiniu, vykdymą.</w:t>
            </w:r>
          </w:p>
        </w:tc>
      </w:tr>
    </w:tbl>
    <w:p w:rsidR="00385835" w:rsidRPr="00385835" w:rsidRDefault="00385835" w:rsidP="00385835">
      <w:pPr>
        <w:spacing w:after="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746"/>
      </w:tblGrid>
      <w:tr w:rsidR="00385835" w:rsidRPr="00385835" w:rsidTr="00385835">
        <w:tc>
          <w:tcPr>
            <w:tcW w:w="9746"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i/>
                <w:iCs/>
                <w:sz w:val="24"/>
                <w:szCs w:val="24"/>
                <w:lang w:eastAsia="lt-LT"/>
              </w:rPr>
              <w:t>Projektų</w:t>
            </w:r>
            <w:r w:rsidR="00D47A28">
              <w:rPr>
                <w:rFonts w:ascii="Times New Roman" w:eastAsia="AngsanaUPC" w:hAnsi="Times New Roman"/>
                <w:b/>
                <w:bCs/>
                <w:i/>
                <w:iCs/>
                <w:sz w:val="24"/>
                <w:szCs w:val="24"/>
                <w:lang w:eastAsia="lt-LT"/>
              </w:rPr>
              <w:t xml:space="preserve"> </w:t>
            </w:r>
            <w:r w:rsidRPr="00385835">
              <w:rPr>
                <w:rFonts w:ascii="Times New Roman" w:eastAsia="AngsanaUPC" w:hAnsi="Times New Roman"/>
                <w:b/>
                <w:bCs/>
                <w:i/>
                <w:iCs/>
                <w:sz w:val="24"/>
                <w:szCs w:val="24"/>
                <w:lang w:eastAsia="lt-LT"/>
              </w:rPr>
              <w:t>/</w:t>
            </w:r>
            <w:r w:rsidR="00D47A28">
              <w:rPr>
                <w:rFonts w:ascii="Times New Roman" w:eastAsia="AngsanaUPC" w:hAnsi="Times New Roman"/>
                <w:b/>
                <w:bCs/>
                <w:i/>
                <w:iCs/>
                <w:sz w:val="24"/>
                <w:szCs w:val="24"/>
                <w:lang w:eastAsia="lt-LT"/>
              </w:rPr>
              <w:t xml:space="preserve"> </w:t>
            </w:r>
            <w:r w:rsidRPr="00385835">
              <w:rPr>
                <w:rFonts w:ascii="Times New Roman" w:eastAsia="AngsanaUPC" w:hAnsi="Times New Roman"/>
                <w:b/>
                <w:bCs/>
                <w:i/>
                <w:iCs/>
                <w:sz w:val="24"/>
                <w:szCs w:val="24"/>
                <w:lang w:eastAsia="lt-LT"/>
              </w:rPr>
              <w:t>veiksmų atrankos principai</w:t>
            </w:r>
          </w:p>
        </w:tc>
      </w:tr>
      <w:tr w:rsidR="00385835" w:rsidRPr="00385835" w:rsidTr="00385835">
        <w:tc>
          <w:tcPr>
            <w:tcW w:w="9746" w:type="dxa"/>
            <w:shd w:val="clear" w:color="auto" w:fill="auto"/>
          </w:tcPr>
          <w:p w:rsidR="00555CF5" w:rsidRDefault="00385835" w:rsidP="00650E41">
            <w:pPr>
              <w:widowControl w:val="0"/>
              <w:numPr>
                <w:ilvl w:val="0"/>
                <w:numId w:val="74"/>
              </w:numPr>
              <w:tabs>
                <w:tab w:val="left" w:pos="622"/>
              </w:tabs>
              <w:spacing w:after="0" w:line="240" w:lineRule="auto"/>
              <w:ind w:left="34" w:firstLine="0"/>
              <w:jc w:val="both"/>
              <w:rPr>
                <w:rFonts w:ascii="Times New Roman" w:eastAsia="AngsanaUPC" w:hAnsi="Times New Roman"/>
                <w:bCs/>
                <w:sz w:val="24"/>
                <w:szCs w:val="24"/>
                <w:lang w:eastAsia="lt-LT"/>
              </w:rPr>
            </w:pPr>
            <w:r w:rsidRPr="00555CF5">
              <w:rPr>
                <w:rFonts w:ascii="Times New Roman" w:eastAsia="AngsanaUPC" w:hAnsi="Times New Roman"/>
                <w:bCs/>
                <w:sz w:val="24"/>
                <w:szCs w:val="24"/>
                <w:lang w:eastAsia="lt-LT"/>
              </w:rPr>
              <w:t>Pagal šį investicinį prioritetą didžiąją dalį projektų numatoma atrinkti valstybės projektų planavimo būdu</w:t>
            </w:r>
            <w:proofErr w:type="gramStart"/>
            <w:r w:rsidRPr="00555CF5">
              <w:rPr>
                <w:rFonts w:ascii="Times New Roman" w:eastAsia="AngsanaUPC" w:hAnsi="Times New Roman"/>
                <w:bCs/>
                <w:sz w:val="24"/>
                <w:szCs w:val="24"/>
                <w:lang w:eastAsia="lt-LT"/>
              </w:rPr>
              <w:t xml:space="preserve"> </w:t>
            </w:r>
            <w:r w:rsidRPr="00555CF5">
              <w:rPr>
                <w:color w:val="222222"/>
                <w:sz w:val="2"/>
                <w:szCs w:val="2"/>
              </w:rPr>
              <w:t xml:space="preserve"> </w:t>
            </w:r>
            <w:proofErr w:type="gramEnd"/>
            <w:r w:rsidRPr="00555CF5">
              <w:rPr>
                <w:rFonts w:ascii="Times New Roman" w:eastAsia="AngsanaUPC" w:hAnsi="Times New Roman"/>
                <w:bCs/>
                <w:sz w:val="24"/>
                <w:szCs w:val="24"/>
                <w:lang w:eastAsia="lt-LT"/>
              </w:rPr>
              <w:t>(tiesiogiai skiriant subsidiją), remiantis Viešojo valdymo tobulinimo 2012–2020 metų programos, Nacionalinės kovos su korupcija programos ir kitų nacionalinių strateginio planavimo dokumentų bei juos įgyvendinančių teisės aktų nuostatomis. Jeigu nusprendžiama, kad konkrečiam projektui dotacijos skiriamos tiesiogiai, ši procedūra turi atitikti sąlygas, nustatytas Bendrųjų nuostatų reglamento 125.3 str. (a) dalyje (ii) punkte, kuriuo reikalaujama, kad dotacijų skyrimo procedūra turi būti nediskriminuojanti ir skaidri.</w:t>
            </w:r>
          </w:p>
          <w:p w:rsidR="00555CF5" w:rsidRDefault="00385835" w:rsidP="00650E41">
            <w:pPr>
              <w:widowControl w:val="0"/>
              <w:numPr>
                <w:ilvl w:val="0"/>
                <w:numId w:val="74"/>
              </w:numPr>
              <w:tabs>
                <w:tab w:val="left" w:pos="622"/>
              </w:tabs>
              <w:spacing w:after="0" w:line="240" w:lineRule="auto"/>
              <w:ind w:left="34" w:firstLine="0"/>
              <w:jc w:val="both"/>
              <w:rPr>
                <w:rFonts w:ascii="Times New Roman" w:eastAsia="AngsanaUPC" w:hAnsi="Times New Roman"/>
                <w:bCs/>
                <w:sz w:val="24"/>
                <w:szCs w:val="24"/>
                <w:lang w:eastAsia="lt-LT"/>
              </w:rPr>
            </w:pPr>
            <w:r w:rsidRPr="00555CF5">
              <w:rPr>
                <w:rFonts w:ascii="Times New Roman" w:eastAsia="AngsanaUPC" w:hAnsi="Times New Roman"/>
                <w:bCs/>
                <w:sz w:val="24"/>
                <w:szCs w:val="24"/>
                <w:lang w:eastAsia="lt-LT"/>
              </w:rPr>
              <w:t>Šio prioriteto 3 uždaviniui ,,Gerinti visuomenei teikiamų paslaugų kokybę, didinant jų atitikimą visuomenės poreikiams“ įgyvendinti skirtų projektų atrankos vykdymas bus derinamas su viešųjų ir administracinių paslaugų perkėlimo į elektroninę erdvę projektų, finansuotinų pagal</w:t>
            </w:r>
            <w:proofErr w:type="gramStart"/>
            <w:r w:rsidRPr="00555CF5">
              <w:rPr>
                <w:rFonts w:ascii="Times New Roman" w:eastAsia="AngsanaUPC" w:hAnsi="Times New Roman"/>
                <w:bCs/>
                <w:sz w:val="24"/>
                <w:szCs w:val="24"/>
                <w:lang w:eastAsia="lt-LT"/>
              </w:rPr>
              <w:t xml:space="preserve">  </w:t>
            </w:r>
            <w:proofErr w:type="gramEnd"/>
            <w:r w:rsidRPr="00555CF5">
              <w:rPr>
                <w:rFonts w:ascii="Times New Roman" w:eastAsia="AngsanaUPC" w:hAnsi="Times New Roman"/>
                <w:bCs/>
                <w:sz w:val="24"/>
                <w:szCs w:val="24"/>
                <w:lang w:eastAsia="lt-LT"/>
              </w:rPr>
              <w:t>2.1 investicinį prioritetą planavimu. Tai leis užtikrinti kokybišką paslaugų perkėli</w:t>
            </w:r>
            <w:r w:rsidR="00555CF5">
              <w:rPr>
                <w:rFonts w:ascii="Times New Roman" w:eastAsia="AngsanaUPC" w:hAnsi="Times New Roman"/>
                <w:bCs/>
                <w:sz w:val="24"/>
                <w:szCs w:val="24"/>
                <w:lang w:eastAsia="lt-LT"/>
              </w:rPr>
              <w:t>mo į elektroninę erdvę procesą.</w:t>
            </w:r>
          </w:p>
          <w:p w:rsidR="00385835" w:rsidRDefault="00385835" w:rsidP="00650E41">
            <w:pPr>
              <w:widowControl w:val="0"/>
              <w:numPr>
                <w:ilvl w:val="0"/>
                <w:numId w:val="74"/>
              </w:numPr>
              <w:tabs>
                <w:tab w:val="left" w:pos="622"/>
              </w:tabs>
              <w:spacing w:after="0" w:line="240" w:lineRule="auto"/>
              <w:ind w:left="34" w:firstLine="0"/>
              <w:jc w:val="both"/>
              <w:rPr>
                <w:rFonts w:ascii="Times New Roman" w:eastAsia="AngsanaUPC" w:hAnsi="Times New Roman"/>
                <w:bCs/>
                <w:sz w:val="24"/>
                <w:szCs w:val="24"/>
                <w:lang w:eastAsia="lt-LT"/>
              </w:rPr>
            </w:pPr>
            <w:r w:rsidRPr="00385835">
              <w:rPr>
                <w:rFonts w:ascii="Times New Roman" w:eastAsia="AngsanaUPC" w:hAnsi="Times New Roman"/>
                <w:bCs/>
                <w:sz w:val="24"/>
                <w:szCs w:val="24"/>
                <w:lang w:eastAsia="lt-LT"/>
              </w:rPr>
              <w:t>Bus finansuojami tik centralizuotai ar sisteminiu lygiu įgyvendinami valstybės ir savivaldybių institucijų ir įstaigų dirbančiųjų strateginių kompetencijų stiprinimo projektai.</w:t>
            </w:r>
          </w:p>
          <w:p w:rsidR="00CD4124" w:rsidRPr="00463952" w:rsidRDefault="00CD4124" w:rsidP="00CD4124">
            <w:pPr>
              <w:widowControl w:val="0"/>
              <w:tabs>
                <w:tab w:val="left" w:pos="622"/>
              </w:tabs>
              <w:spacing w:after="0" w:line="240" w:lineRule="auto"/>
              <w:ind w:left="34"/>
              <w:jc w:val="both"/>
              <w:rPr>
                <w:rFonts w:ascii="Times New Roman" w:eastAsia="AngsanaUPC" w:hAnsi="Times New Roman"/>
                <w:bCs/>
                <w:sz w:val="24"/>
                <w:szCs w:val="24"/>
                <w:lang w:eastAsia="lt-LT"/>
              </w:rPr>
            </w:pPr>
            <w:r w:rsidRPr="00463952">
              <w:rPr>
                <w:rFonts w:ascii="Times New Roman" w:eastAsia="AngsanaUPC" w:hAnsi="Times New Roman"/>
                <w:bCs/>
                <w:sz w:val="24"/>
                <w:szCs w:val="24"/>
                <w:lang w:eastAsia="lt-LT"/>
              </w:rPr>
              <w:t xml:space="preserve">* Esant pagrįstam poreikiui pagal kiekvieną investicinį prioritetą gali būti taikomi ir kiti projektų atrankos būdai nurodyti pirmojo prioriteto dalyje </w:t>
            </w:r>
            <w:r w:rsidRPr="00463952">
              <w:rPr>
                <w:rFonts w:ascii="Times New Roman" w:eastAsia="AngsanaUPC" w:hAnsi="Times New Roman"/>
                <w:bCs/>
                <w:i/>
                <w:sz w:val="24"/>
                <w:szCs w:val="24"/>
                <w:lang w:eastAsia="lt-LT"/>
              </w:rPr>
              <w:t>„</w:t>
            </w:r>
            <w:r w:rsidRPr="00463952">
              <w:rPr>
                <w:rFonts w:ascii="Times New Roman" w:eastAsia="AngsanaUPC" w:hAnsi="Times New Roman"/>
                <w:bCs/>
                <w:i/>
                <w:iCs/>
                <w:sz w:val="24"/>
                <w:szCs w:val="24"/>
                <w:lang w:eastAsia="lt-LT"/>
              </w:rPr>
              <w:t>Projektų</w:t>
            </w:r>
            <w:r w:rsidR="00D47A28">
              <w:rPr>
                <w:rFonts w:ascii="Times New Roman" w:eastAsia="AngsanaUPC" w:hAnsi="Times New Roman"/>
                <w:bCs/>
                <w:i/>
                <w:iCs/>
                <w:sz w:val="24"/>
                <w:szCs w:val="24"/>
                <w:lang w:eastAsia="lt-LT"/>
              </w:rPr>
              <w:t xml:space="preserve"> </w:t>
            </w:r>
            <w:r w:rsidRPr="00463952">
              <w:rPr>
                <w:rFonts w:ascii="Times New Roman" w:eastAsia="AngsanaUPC" w:hAnsi="Times New Roman"/>
                <w:bCs/>
                <w:i/>
                <w:iCs/>
                <w:sz w:val="24"/>
                <w:szCs w:val="24"/>
                <w:lang w:eastAsia="lt-LT"/>
              </w:rPr>
              <w:t>/</w:t>
            </w:r>
            <w:r w:rsidR="00D47A28">
              <w:rPr>
                <w:rFonts w:ascii="Times New Roman" w:eastAsia="AngsanaUPC" w:hAnsi="Times New Roman"/>
                <w:bCs/>
                <w:i/>
                <w:iCs/>
                <w:sz w:val="24"/>
                <w:szCs w:val="24"/>
                <w:lang w:eastAsia="lt-LT"/>
              </w:rPr>
              <w:t xml:space="preserve"> </w:t>
            </w:r>
            <w:r w:rsidRPr="00463952">
              <w:rPr>
                <w:rFonts w:ascii="Times New Roman" w:eastAsia="AngsanaUPC" w:hAnsi="Times New Roman"/>
                <w:bCs/>
                <w:i/>
                <w:iCs/>
                <w:sz w:val="24"/>
                <w:szCs w:val="24"/>
                <w:lang w:eastAsia="lt-LT"/>
              </w:rPr>
              <w:t>veiksmų atrankos principai</w:t>
            </w:r>
            <w:r w:rsidR="00463952" w:rsidRPr="00463952">
              <w:rPr>
                <w:rFonts w:ascii="Times New Roman" w:eastAsia="AngsanaUPC" w:hAnsi="Times New Roman"/>
                <w:bCs/>
                <w:i/>
                <w:iCs/>
                <w:sz w:val="24"/>
                <w:szCs w:val="24"/>
                <w:lang w:eastAsia="lt-LT"/>
              </w:rPr>
              <w:t>“</w:t>
            </w:r>
            <w:r w:rsidRPr="00463952">
              <w:rPr>
                <w:rFonts w:ascii="Times New Roman" w:eastAsia="AngsanaUPC" w:hAnsi="Times New Roman"/>
                <w:bCs/>
                <w:i/>
                <w:iCs/>
                <w:sz w:val="24"/>
                <w:szCs w:val="24"/>
                <w:lang w:eastAsia="lt-LT"/>
              </w:rPr>
              <w:t>.</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
          <w:bCs/>
          <w:i/>
          <w:i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746"/>
      </w:tblGrid>
      <w:tr w:rsidR="00385835" w:rsidRPr="00385835" w:rsidTr="00385835">
        <w:tc>
          <w:tcPr>
            <w:tcW w:w="9746" w:type="dxa"/>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i/>
                <w:iCs/>
                <w:sz w:val="24"/>
                <w:szCs w:val="24"/>
                <w:lang w:eastAsia="lt-LT"/>
              </w:rPr>
              <w:t>Finansiniai instrumentai ir jų aprašymas</w:t>
            </w:r>
          </w:p>
        </w:tc>
      </w:tr>
      <w:tr w:rsidR="00385835" w:rsidRPr="00385835" w:rsidTr="00385835">
        <w:tc>
          <w:tcPr>
            <w:tcW w:w="9746" w:type="dxa"/>
            <w:shd w:val="clear" w:color="auto" w:fill="auto"/>
          </w:tcPr>
          <w:p w:rsidR="00385835" w:rsidRPr="00385835" w:rsidRDefault="00385835" w:rsidP="00385835">
            <w:pPr>
              <w:widowControl w:val="0"/>
              <w:tabs>
                <w:tab w:val="left" w:pos="622"/>
              </w:tabs>
              <w:spacing w:after="0" w:line="240" w:lineRule="auto"/>
              <w:ind w:firstLine="624"/>
              <w:jc w:val="both"/>
              <w:rPr>
                <w:rFonts w:ascii="Times New Roman" w:eastAsia="AngsanaUPC" w:hAnsi="Times New Roman"/>
                <w:bCs/>
                <w:iCs/>
                <w:sz w:val="24"/>
                <w:szCs w:val="24"/>
                <w:lang w:eastAsia="lt-LT"/>
              </w:rPr>
            </w:pPr>
            <w:r w:rsidRPr="00385835">
              <w:rPr>
                <w:rFonts w:ascii="Times New Roman" w:eastAsia="AngsanaUPC" w:hAnsi="Times New Roman"/>
                <w:bCs/>
                <w:iCs/>
                <w:sz w:val="24"/>
                <w:szCs w:val="24"/>
                <w:lang w:eastAsia="lt-LT"/>
              </w:rPr>
              <w:t>Pagal šį veiksmų programos prioritetą finansinių instrumentų taikyti nenumatoma,</w:t>
            </w:r>
            <w:r w:rsidRPr="00385835">
              <w:rPr>
                <w:color w:val="222222"/>
                <w:sz w:val="2"/>
                <w:szCs w:val="2"/>
              </w:rPr>
              <w:t xml:space="preserve"> </w:t>
            </w:r>
            <w:r w:rsidRPr="00385835">
              <w:rPr>
                <w:rFonts w:ascii="Times New Roman" w:eastAsia="AngsanaUPC" w:hAnsi="Times New Roman"/>
                <w:bCs/>
                <w:iCs/>
                <w:sz w:val="24"/>
                <w:szCs w:val="24"/>
                <w:lang w:eastAsia="lt-LT"/>
              </w:rPr>
              <w:t>tačiau įgyvendinimo metu atsižvelgiant į išankstinio (</w:t>
            </w:r>
            <w:r w:rsidRPr="00385835">
              <w:rPr>
                <w:rFonts w:ascii="Times New Roman" w:eastAsia="AngsanaUPC" w:hAnsi="Times New Roman"/>
                <w:bCs/>
                <w:i/>
                <w:iCs/>
                <w:sz w:val="24"/>
                <w:szCs w:val="24"/>
                <w:lang w:eastAsia="lt-LT"/>
              </w:rPr>
              <w:t>ex ante</w:t>
            </w:r>
            <w:r w:rsidRPr="00385835">
              <w:rPr>
                <w:rFonts w:ascii="Times New Roman" w:eastAsia="AngsanaUPC" w:hAnsi="Times New Roman"/>
                <w:bCs/>
                <w:iCs/>
                <w:sz w:val="24"/>
                <w:szCs w:val="24"/>
                <w:lang w:eastAsia="lt-LT"/>
              </w:rPr>
              <w:t>) vertinimo rezultatus gali būti numatytas finansinių instrumentų taikymas.</w:t>
            </w:r>
          </w:p>
        </w:tc>
      </w:tr>
    </w:tbl>
    <w:p w:rsidR="00385835" w:rsidRPr="00385835" w:rsidRDefault="00385835" w:rsidP="00385835">
      <w:pPr>
        <w:spacing w:after="0" w:line="240" w:lineRule="auto"/>
        <w:rPr>
          <w:rFonts w:ascii="Times New Roman" w:hAnsi="Times New Roman"/>
          <w:i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746"/>
      </w:tblGrid>
      <w:tr w:rsidR="00385835" w:rsidRPr="00385835" w:rsidTr="00385835">
        <w:tc>
          <w:tcPr>
            <w:tcW w:w="9746" w:type="dxa"/>
            <w:shd w:val="clear" w:color="auto" w:fill="EEECE1"/>
          </w:tcPr>
          <w:p w:rsidR="00385835" w:rsidRPr="00385835" w:rsidRDefault="00385835" w:rsidP="00385835">
            <w:pPr>
              <w:spacing w:after="0"/>
              <w:rPr>
                <w:rFonts w:ascii="Times New Roman" w:hAnsi="Times New Roman"/>
                <w:b/>
                <w:bCs/>
                <w:sz w:val="24"/>
                <w:szCs w:val="24"/>
              </w:rPr>
            </w:pPr>
            <w:r w:rsidRPr="00385835">
              <w:rPr>
                <w:rFonts w:ascii="Times New Roman" w:hAnsi="Times New Roman"/>
                <w:b/>
                <w:bCs/>
                <w:i/>
                <w:iCs/>
                <w:sz w:val="24"/>
                <w:szCs w:val="24"/>
              </w:rPr>
              <w:t>Didelės apimties projektai</w:t>
            </w:r>
          </w:p>
        </w:tc>
      </w:tr>
      <w:tr w:rsidR="00385835" w:rsidRPr="00385835" w:rsidTr="00385835">
        <w:tc>
          <w:tcPr>
            <w:tcW w:w="9746" w:type="dxa"/>
            <w:shd w:val="clear" w:color="auto" w:fill="auto"/>
          </w:tcPr>
          <w:p w:rsidR="00385835" w:rsidRPr="00385835" w:rsidRDefault="00385835" w:rsidP="00385835">
            <w:pPr>
              <w:spacing w:after="0" w:line="240" w:lineRule="auto"/>
              <w:ind w:firstLine="624"/>
              <w:rPr>
                <w:rFonts w:ascii="Times New Roman" w:hAnsi="Times New Roman"/>
                <w:bCs/>
                <w:iCs/>
                <w:sz w:val="24"/>
                <w:szCs w:val="24"/>
              </w:rPr>
            </w:pPr>
            <w:r w:rsidRPr="00385835">
              <w:rPr>
                <w:rFonts w:ascii="Times New Roman" w:hAnsi="Times New Roman"/>
                <w:bCs/>
                <w:iCs/>
                <w:sz w:val="24"/>
                <w:szCs w:val="24"/>
              </w:rPr>
              <w:t>Pagal šį veiksmų programos prioritetą didelės apimties projektų vykdyti nenumatoma.</w:t>
            </w:r>
          </w:p>
        </w:tc>
      </w:tr>
    </w:tbl>
    <w:p w:rsidR="00385835" w:rsidRPr="00385835" w:rsidRDefault="00385835" w:rsidP="00385835">
      <w:pPr>
        <w:spacing w:after="0" w:line="240" w:lineRule="auto"/>
        <w:rPr>
          <w:rFonts w:ascii="Times New Roman" w:hAnsi="Times New Roman"/>
          <w:iCs/>
          <w:sz w:val="24"/>
          <w:szCs w:val="24"/>
        </w:rPr>
      </w:pPr>
    </w:p>
    <w:p w:rsidR="00385835" w:rsidRPr="00385835" w:rsidRDefault="00385835" w:rsidP="00385835">
      <w:pPr>
        <w:widowControl w:val="0"/>
        <w:tabs>
          <w:tab w:val="left" w:pos="622"/>
        </w:tabs>
        <w:spacing w:after="0" w:line="240" w:lineRule="auto"/>
        <w:jc w:val="both"/>
        <w:rPr>
          <w:rFonts w:ascii="Times New Roman" w:eastAsia="AngsanaUPC" w:hAnsi="Times New Roman"/>
          <w:b/>
          <w:bCs/>
          <w:i/>
          <w:iCs/>
          <w:sz w:val="24"/>
          <w:szCs w:val="24"/>
          <w:lang w:eastAsia="lt-LT"/>
        </w:rPr>
        <w:sectPr w:rsidR="00385835" w:rsidRPr="00385835" w:rsidSect="00AC19DA">
          <w:pgSz w:w="11906" w:h="16838" w:code="9"/>
          <w:pgMar w:top="1701" w:right="567" w:bottom="1134" w:left="1701" w:header="567" w:footer="567" w:gutter="0"/>
          <w:cols w:space="1296"/>
          <w:docGrid w:linePitch="360"/>
        </w:sectPr>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1276"/>
        <w:gridCol w:w="3119"/>
        <w:gridCol w:w="850"/>
        <w:gridCol w:w="567"/>
        <w:gridCol w:w="851"/>
        <w:gridCol w:w="992"/>
        <w:gridCol w:w="1134"/>
        <w:gridCol w:w="992"/>
        <w:gridCol w:w="4253"/>
      </w:tblGrid>
      <w:tr w:rsidR="00385835" w:rsidRPr="00385835" w:rsidTr="00385835">
        <w:trPr>
          <w:tblHeader/>
        </w:trPr>
        <w:tc>
          <w:tcPr>
            <w:tcW w:w="14034" w:type="dxa"/>
            <w:gridSpan w:val="9"/>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sz w:val="24"/>
                <w:szCs w:val="24"/>
                <w:lang w:eastAsia="lt-LT"/>
              </w:rPr>
            </w:pPr>
            <w:r w:rsidRPr="00385835">
              <w:rPr>
                <w:rFonts w:ascii="Times New Roman" w:eastAsia="AngsanaUPC" w:hAnsi="Times New Roman"/>
                <w:b/>
                <w:bCs/>
                <w:i/>
                <w:iCs/>
                <w:sz w:val="24"/>
                <w:szCs w:val="24"/>
                <w:lang w:eastAsia="lt-LT"/>
              </w:rPr>
              <w:lastRenderedPageBreak/>
              <w:t>Prioriteto veiklos rezultatų peržiūros planas</w:t>
            </w:r>
          </w:p>
        </w:tc>
      </w:tr>
      <w:tr w:rsidR="00385835" w:rsidRPr="00385835" w:rsidTr="00827571">
        <w:trPr>
          <w:cantSplit/>
          <w:trHeight w:val="1134"/>
          <w:tblHeader/>
        </w:trPr>
        <w:tc>
          <w:tcPr>
            <w:tcW w:w="1276"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Rodiklio rūšis</w:t>
            </w:r>
          </w:p>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(įgyvendinimo žingsniai, finansinis, produkto ir rezultato rodiklis)</w:t>
            </w:r>
          </w:p>
        </w:tc>
        <w:tc>
          <w:tcPr>
            <w:tcW w:w="3119"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Rodiklio apibrėžimas arba įgyvendinimo žingsnis</w:t>
            </w:r>
          </w:p>
        </w:tc>
        <w:tc>
          <w:tcPr>
            <w:tcW w:w="850"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Matavimo vienetas</w:t>
            </w:r>
          </w:p>
        </w:tc>
        <w:tc>
          <w:tcPr>
            <w:tcW w:w="567"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Fondas</w:t>
            </w:r>
          </w:p>
        </w:tc>
        <w:tc>
          <w:tcPr>
            <w:tcW w:w="851" w:type="dxa"/>
            <w:shd w:val="clear" w:color="auto" w:fill="EEECE1"/>
            <w:textDirection w:val="btLr"/>
            <w:vAlign w:val="center"/>
          </w:tcPr>
          <w:p w:rsidR="00385835" w:rsidRPr="00385835" w:rsidRDefault="00385835" w:rsidP="00385835">
            <w:pPr>
              <w:widowControl w:val="0"/>
              <w:tabs>
                <w:tab w:val="left" w:pos="622"/>
              </w:tabs>
              <w:spacing w:after="0" w:line="240" w:lineRule="auto"/>
              <w:ind w:left="113" w:right="113"/>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Regiono kategorija</w:t>
            </w:r>
          </w:p>
        </w:tc>
        <w:tc>
          <w:tcPr>
            <w:tcW w:w="992"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Tarpinė reikšmė (2018)</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Siektina reikšmė (2023)</w:t>
            </w:r>
          </w:p>
        </w:tc>
        <w:tc>
          <w:tcPr>
            <w:tcW w:w="992"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Duomenų šaltinis</w:t>
            </w:r>
          </w:p>
        </w:tc>
        <w:tc>
          <w:tcPr>
            <w:tcW w:w="4253"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iCs/>
                <w:sz w:val="16"/>
                <w:szCs w:val="16"/>
                <w:lang w:eastAsia="lt-LT"/>
              </w:rPr>
            </w:pPr>
            <w:r w:rsidRPr="00385835">
              <w:rPr>
                <w:rFonts w:ascii="Times New Roman" w:eastAsia="AngsanaUPC" w:hAnsi="Times New Roman"/>
                <w:b/>
                <w:bCs/>
                <w:iCs/>
                <w:sz w:val="16"/>
                <w:szCs w:val="16"/>
                <w:lang w:eastAsia="lt-LT"/>
              </w:rPr>
              <w:t>Rodiklių tinkamumo pagrindimas</w:t>
            </w:r>
          </w:p>
        </w:tc>
      </w:tr>
      <w:tr w:rsidR="00385835" w:rsidRPr="0056304C" w:rsidTr="00827571">
        <w:tc>
          <w:tcPr>
            <w:tcW w:w="1276" w:type="dxa"/>
            <w:shd w:val="clear" w:color="auto" w:fill="FFFFFF"/>
            <w:vAlign w:val="center"/>
          </w:tcPr>
          <w:p w:rsidR="00385835" w:rsidRPr="0056304C" w:rsidRDefault="00385835" w:rsidP="0056304C">
            <w:pPr>
              <w:spacing w:after="0" w:line="240" w:lineRule="auto"/>
              <w:rPr>
                <w:rFonts w:ascii="Times New Roman" w:hAnsi="Times New Roman"/>
                <w:sz w:val="16"/>
                <w:szCs w:val="16"/>
              </w:rPr>
            </w:pPr>
            <w:r w:rsidRPr="0056304C">
              <w:rPr>
                <w:rFonts w:ascii="Times New Roman" w:hAnsi="Times New Roman"/>
                <w:sz w:val="16"/>
                <w:szCs w:val="16"/>
              </w:rPr>
              <w:t>Finansinis</w:t>
            </w:r>
            <w:r w:rsidRPr="0056304C">
              <w:rPr>
                <w:rFonts w:ascii="Times New Roman" w:eastAsia="AngsanaUPC" w:hAnsi="Times New Roman"/>
                <w:bCs/>
                <w:iCs/>
                <w:sz w:val="16"/>
                <w:szCs w:val="16"/>
              </w:rPr>
              <w:t xml:space="preserve"> </w:t>
            </w:r>
            <w:r w:rsidRPr="0056304C">
              <w:rPr>
                <w:rFonts w:ascii="Times New Roman" w:hAnsi="Times New Roman"/>
                <w:sz w:val="16"/>
                <w:szCs w:val="16"/>
              </w:rPr>
              <w:t>rodiklis</w:t>
            </w:r>
          </w:p>
        </w:tc>
        <w:tc>
          <w:tcPr>
            <w:tcW w:w="3119" w:type="dxa"/>
            <w:shd w:val="clear" w:color="auto" w:fill="FFFFFF"/>
            <w:vAlign w:val="center"/>
          </w:tcPr>
          <w:p w:rsidR="00385835" w:rsidRPr="0056304C" w:rsidRDefault="00385835" w:rsidP="0056304C">
            <w:pPr>
              <w:spacing w:after="0" w:line="240" w:lineRule="auto"/>
              <w:rPr>
                <w:rFonts w:ascii="Times New Roman" w:hAnsi="Times New Roman"/>
                <w:i/>
                <w:sz w:val="16"/>
                <w:szCs w:val="16"/>
              </w:rPr>
            </w:pPr>
            <w:r w:rsidRPr="0056304C">
              <w:rPr>
                <w:rFonts w:ascii="Times New Roman" w:hAnsi="Times New Roman"/>
                <w:color w:val="000000"/>
                <w:sz w:val="16"/>
                <w:szCs w:val="16"/>
              </w:rPr>
              <w:t xml:space="preserve">Bendra </w:t>
            </w:r>
            <w:r w:rsidR="00862C29" w:rsidRPr="0056304C">
              <w:rPr>
                <w:rFonts w:ascii="Times New Roman" w:hAnsi="Times New Roman"/>
                <w:color w:val="000000"/>
                <w:sz w:val="16"/>
                <w:szCs w:val="16"/>
              </w:rPr>
              <w:t xml:space="preserve">tinkamų finansuoti išlaidų suma, </w:t>
            </w:r>
            <w:r w:rsidRPr="0056304C">
              <w:rPr>
                <w:rFonts w:ascii="Times New Roman" w:hAnsi="Times New Roman"/>
                <w:color w:val="000000"/>
                <w:sz w:val="16"/>
                <w:szCs w:val="16"/>
              </w:rPr>
              <w:t>pripažinta tinkama deklaruoti EK</w:t>
            </w:r>
          </w:p>
        </w:tc>
        <w:tc>
          <w:tcPr>
            <w:tcW w:w="850" w:type="dxa"/>
            <w:shd w:val="clear" w:color="auto" w:fill="FFFFFF"/>
          </w:tcPr>
          <w:p w:rsidR="00385835" w:rsidRPr="0056304C" w:rsidRDefault="00385835" w:rsidP="0056304C">
            <w:pPr>
              <w:spacing w:after="0" w:line="240" w:lineRule="auto"/>
              <w:jc w:val="center"/>
              <w:rPr>
                <w:rFonts w:ascii="Times New Roman" w:hAnsi="Times New Roman"/>
                <w:i/>
                <w:sz w:val="16"/>
                <w:szCs w:val="16"/>
              </w:rPr>
            </w:pPr>
            <w:r w:rsidRPr="0056304C">
              <w:rPr>
                <w:rFonts w:ascii="Times New Roman" w:hAnsi="Times New Roman"/>
                <w:sz w:val="16"/>
                <w:szCs w:val="16"/>
              </w:rPr>
              <w:t>Eurai</w:t>
            </w:r>
          </w:p>
        </w:tc>
        <w:tc>
          <w:tcPr>
            <w:tcW w:w="567" w:type="dxa"/>
            <w:shd w:val="clear" w:color="auto" w:fill="FFFFFF"/>
          </w:tcPr>
          <w:p w:rsidR="00385835" w:rsidRPr="0056304C" w:rsidRDefault="00385835" w:rsidP="0056304C">
            <w:pPr>
              <w:spacing w:after="0" w:line="240" w:lineRule="auto"/>
              <w:jc w:val="center"/>
              <w:rPr>
                <w:rFonts w:ascii="Times New Roman" w:hAnsi="Times New Roman"/>
                <w:sz w:val="16"/>
                <w:szCs w:val="16"/>
              </w:rPr>
            </w:pPr>
            <w:r w:rsidRPr="0056304C">
              <w:rPr>
                <w:rFonts w:ascii="Times New Roman" w:hAnsi="Times New Roman"/>
                <w:sz w:val="16"/>
                <w:szCs w:val="16"/>
              </w:rPr>
              <w:t>ESF</w:t>
            </w:r>
          </w:p>
        </w:tc>
        <w:tc>
          <w:tcPr>
            <w:tcW w:w="851" w:type="dxa"/>
            <w:shd w:val="clear" w:color="auto" w:fill="FFFFFF"/>
          </w:tcPr>
          <w:p w:rsidR="00385835" w:rsidRPr="0056304C" w:rsidRDefault="00385835" w:rsidP="0056304C">
            <w:pPr>
              <w:spacing w:after="0" w:line="240" w:lineRule="auto"/>
              <w:jc w:val="center"/>
              <w:rPr>
                <w:rFonts w:ascii="Times New Roman" w:hAnsi="Times New Roman"/>
                <w:sz w:val="16"/>
                <w:szCs w:val="16"/>
              </w:rPr>
            </w:pPr>
            <w:r w:rsidRPr="0056304C">
              <w:rPr>
                <w:rFonts w:ascii="Times New Roman" w:hAnsi="Times New Roman"/>
                <w:sz w:val="16"/>
                <w:szCs w:val="16"/>
              </w:rPr>
              <w:t>Mažiau išsivystęs</w:t>
            </w:r>
          </w:p>
        </w:tc>
        <w:tc>
          <w:tcPr>
            <w:tcW w:w="992" w:type="dxa"/>
            <w:shd w:val="clear" w:color="auto" w:fill="FFFFFF"/>
          </w:tcPr>
          <w:p w:rsidR="00E04A5B" w:rsidRPr="0056304C" w:rsidRDefault="00E04A5B" w:rsidP="0056304C">
            <w:pPr>
              <w:spacing w:after="0" w:line="240" w:lineRule="auto"/>
              <w:jc w:val="center"/>
              <w:rPr>
                <w:rFonts w:ascii="Times New Roman" w:hAnsi="Times New Roman"/>
                <w:sz w:val="16"/>
                <w:szCs w:val="16"/>
              </w:rPr>
            </w:pPr>
            <w:r w:rsidRPr="0056304C">
              <w:rPr>
                <w:rFonts w:ascii="Times New Roman" w:hAnsi="Times New Roman"/>
                <w:sz w:val="16"/>
                <w:szCs w:val="16"/>
              </w:rPr>
              <w:t>14.143.549</w:t>
            </w:r>
          </w:p>
        </w:tc>
        <w:tc>
          <w:tcPr>
            <w:tcW w:w="1134" w:type="dxa"/>
            <w:shd w:val="clear" w:color="auto" w:fill="FFFFFF"/>
          </w:tcPr>
          <w:p w:rsidR="00385835" w:rsidRPr="0056304C" w:rsidRDefault="00B13F50" w:rsidP="0056304C">
            <w:pPr>
              <w:spacing w:after="0" w:line="240" w:lineRule="auto"/>
              <w:jc w:val="center"/>
              <w:rPr>
                <w:rFonts w:ascii="Times New Roman" w:hAnsi="Times New Roman"/>
                <w:sz w:val="16"/>
                <w:szCs w:val="16"/>
              </w:rPr>
            </w:pPr>
            <w:r w:rsidRPr="0056304C">
              <w:rPr>
                <w:rFonts w:ascii="Times New Roman" w:hAnsi="Times New Roman"/>
                <w:sz w:val="16"/>
                <w:szCs w:val="16"/>
              </w:rPr>
              <w:t>1</w:t>
            </w:r>
            <w:r w:rsidR="00723F29" w:rsidRPr="0056304C">
              <w:rPr>
                <w:rFonts w:ascii="Times New Roman" w:hAnsi="Times New Roman"/>
                <w:sz w:val="16"/>
                <w:szCs w:val="16"/>
              </w:rPr>
              <w:t>26</w:t>
            </w:r>
            <w:r w:rsidR="00A50C23" w:rsidRPr="0056304C">
              <w:rPr>
                <w:rFonts w:ascii="Times New Roman" w:hAnsi="Times New Roman"/>
                <w:sz w:val="16"/>
                <w:szCs w:val="16"/>
              </w:rPr>
              <w:t>.</w:t>
            </w:r>
            <w:r w:rsidR="00723F29" w:rsidRPr="0056304C">
              <w:rPr>
                <w:rFonts w:ascii="Times New Roman" w:hAnsi="Times New Roman"/>
                <w:sz w:val="16"/>
                <w:szCs w:val="16"/>
              </w:rPr>
              <w:t>422</w:t>
            </w:r>
            <w:r w:rsidR="00A50C23" w:rsidRPr="0056304C">
              <w:rPr>
                <w:rFonts w:ascii="Times New Roman" w:hAnsi="Times New Roman"/>
                <w:sz w:val="16"/>
                <w:szCs w:val="16"/>
              </w:rPr>
              <w:t>.</w:t>
            </w:r>
            <w:r w:rsidR="00723F29" w:rsidRPr="0056304C">
              <w:rPr>
                <w:rFonts w:ascii="Times New Roman" w:hAnsi="Times New Roman"/>
                <w:sz w:val="16"/>
                <w:szCs w:val="16"/>
              </w:rPr>
              <w:t>570</w:t>
            </w:r>
          </w:p>
        </w:tc>
        <w:tc>
          <w:tcPr>
            <w:tcW w:w="992" w:type="dxa"/>
            <w:shd w:val="clear" w:color="auto" w:fill="FFFFFF"/>
          </w:tcPr>
          <w:p w:rsidR="00385835" w:rsidRPr="0056304C" w:rsidRDefault="00385835" w:rsidP="0056304C">
            <w:pPr>
              <w:spacing w:after="0" w:line="240" w:lineRule="auto"/>
              <w:jc w:val="center"/>
              <w:rPr>
                <w:rFonts w:ascii="Times New Roman" w:hAnsi="Times New Roman"/>
                <w:sz w:val="16"/>
                <w:szCs w:val="16"/>
              </w:rPr>
            </w:pPr>
            <w:r w:rsidRPr="0056304C">
              <w:rPr>
                <w:rFonts w:ascii="Times New Roman" w:hAnsi="Times New Roman"/>
                <w:sz w:val="16"/>
                <w:szCs w:val="16"/>
              </w:rPr>
              <w:t>Duomenys iš projektų</w:t>
            </w:r>
          </w:p>
        </w:tc>
        <w:tc>
          <w:tcPr>
            <w:tcW w:w="4253" w:type="dxa"/>
            <w:shd w:val="clear" w:color="auto" w:fill="FFFFFF"/>
            <w:vAlign w:val="center"/>
          </w:tcPr>
          <w:p w:rsidR="00385835" w:rsidRPr="0056304C" w:rsidRDefault="00385835" w:rsidP="0056304C">
            <w:pPr>
              <w:spacing w:after="0" w:line="240" w:lineRule="auto"/>
              <w:rPr>
                <w:rFonts w:ascii="Times New Roman" w:hAnsi="Times New Roman"/>
                <w:sz w:val="16"/>
                <w:szCs w:val="16"/>
              </w:rPr>
            </w:pPr>
            <w:r w:rsidRPr="0056304C">
              <w:rPr>
                <w:rFonts w:ascii="Times New Roman" w:hAnsi="Times New Roman"/>
                <w:sz w:val="16"/>
                <w:szCs w:val="16"/>
              </w:rPr>
              <w:t>Privalomas rodiklis, kuris atspindi finansinę prioriteto įgyvendinimo pažangą.</w:t>
            </w:r>
          </w:p>
        </w:tc>
      </w:tr>
      <w:tr w:rsidR="00385835" w:rsidRPr="0056304C" w:rsidTr="00827571">
        <w:tc>
          <w:tcPr>
            <w:tcW w:w="1276" w:type="dxa"/>
            <w:shd w:val="clear" w:color="auto" w:fill="auto"/>
            <w:vAlign w:val="center"/>
          </w:tcPr>
          <w:p w:rsidR="00385835" w:rsidRPr="0056304C" w:rsidRDefault="00385835" w:rsidP="0056304C">
            <w:pPr>
              <w:spacing w:after="0" w:line="240" w:lineRule="auto"/>
              <w:rPr>
                <w:rFonts w:ascii="Times New Roman" w:hAnsi="Times New Roman"/>
                <w:sz w:val="16"/>
                <w:szCs w:val="16"/>
              </w:rPr>
            </w:pPr>
            <w:r w:rsidRPr="0056304C">
              <w:rPr>
                <w:rFonts w:ascii="Times New Roman" w:hAnsi="Times New Roman"/>
                <w:sz w:val="16"/>
                <w:szCs w:val="16"/>
              </w:rPr>
              <w:t>Produkto rodiklis</w:t>
            </w:r>
          </w:p>
        </w:tc>
        <w:tc>
          <w:tcPr>
            <w:tcW w:w="3119" w:type="dxa"/>
            <w:shd w:val="clear" w:color="auto" w:fill="auto"/>
          </w:tcPr>
          <w:p w:rsidR="00385835" w:rsidRPr="0056304C" w:rsidRDefault="00385835" w:rsidP="0056304C">
            <w:pPr>
              <w:spacing w:after="0" w:line="240" w:lineRule="auto"/>
              <w:rPr>
                <w:rFonts w:ascii="Times New Roman" w:hAnsi="Times New Roman"/>
                <w:bCs/>
                <w:sz w:val="16"/>
                <w:szCs w:val="16"/>
              </w:rPr>
            </w:pPr>
            <w:r w:rsidRPr="0056304C">
              <w:rPr>
                <w:rFonts w:ascii="Times New Roman" w:eastAsia="AngsanaUPC" w:hAnsi="Times New Roman"/>
                <w:bCs/>
                <w:iCs/>
                <w:sz w:val="16"/>
                <w:szCs w:val="16"/>
              </w:rPr>
              <w:t>Viešojo valdymo institucijos, pagal veiksmų programą ESF lėšomis įgyvendinusios veiklos valdymo tobulinimo priemones</w:t>
            </w:r>
          </w:p>
        </w:tc>
        <w:tc>
          <w:tcPr>
            <w:tcW w:w="850" w:type="dxa"/>
            <w:shd w:val="clear" w:color="auto" w:fill="auto"/>
          </w:tcPr>
          <w:p w:rsidR="00385835" w:rsidRPr="0056304C" w:rsidRDefault="00385835" w:rsidP="0056304C">
            <w:pPr>
              <w:spacing w:after="0" w:line="240" w:lineRule="auto"/>
              <w:jc w:val="center"/>
              <w:rPr>
                <w:rFonts w:ascii="Times New Roman" w:hAnsi="Times New Roman"/>
                <w:bCs/>
                <w:sz w:val="16"/>
                <w:szCs w:val="16"/>
              </w:rPr>
            </w:pPr>
            <w:r w:rsidRPr="0056304C">
              <w:rPr>
                <w:rFonts w:ascii="Times New Roman" w:hAnsi="Times New Roman"/>
                <w:bCs/>
                <w:sz w:val="16"/>
                <w:szCs w:val="16"/>
              </w:rPr>
              <w:t>Skaičius</w:t>
            </w:r>
          </w:p>
        </w:tc>
        <w:tc>
          <w:tcPr>
            <w:tcW w:w="567" w:type="dxa"/>
            <w:shd w:val="clear" w:color="auto" w:fill="auto"/>
          </w:tcPr>
          <w:p w:rsidR="00385835" w:rsidRPr="0056304C" w:rsidRDefault="00385835" w:rsidP="0056304C">
            <w:pPr>
              <w:spacing w:after="0" w:line="240" w:lineRule="auto"/>
              <w:jc w:val="center"/>
              <w:rPr>
                <w:rFonts w:ascii="Times New Roman" w:hAnsi="Times New Roman"/>
                <w:bCs/>
                <w:sz w:val="16"/>
                <w:szCs w:val="16"/>
              </w:rPr>
            </w:pPr>
            <w:r w:rsidRPr="0056304C">
              <w:rPr>
                <w:rFonts w:ascii="Times New Roman" w:hAnsi="Times New Roman"/>
                <w:bCs/>
                <w:sz w:val="16"/>
                <w:szCs w:val="16"/>
              </w:rPr>
              <w:t>ESF</w:t>
            </w:r>
          </w:p>
        </w:tc>
        <w:tc>
          <w:tcPr>
            <w:tcW w:w="851" w:type="dxa"/>
            <w:shd w:val="clear" w:color="auto" w:fill="auto"/>
          </w:tcPr>
          <w:p w:rsidR="00385835" w:rsidRPr="0056304C" w:rsidRDefault="00385835" w:rsidP="0056304C">
            <w:pPr>
              <w:widowControl w:val="0"/>
              <w:tabs>
                <w:tab w:val="left" w:pos="622"/>
              </w:tabs>
              <w:spacing w:after="0"/>
              <w:jc w:val="center"/>
              <w:rPr>
                <w:rFonts w:ascii="Times New Roman" w:hAnsi="Times New Roman"/>
                <w:bCs/>
                <w:iCs/>
                <w:sz w:val="16"/>
                <w:szCs w:val="16"/>
              </w:rPr>
            </w:pPr>
            <w:r w:rsidRPr="0056304C">
              <w:rPr>
                <w:rFonts w:ascii="Times New Roman" w:hAnsi="Times New Roman"/>
                <w:sz w:val="16"/>
                <w:szCs w:val="16"/>
              </w:rPr>
              <w:t>Mažiau išsivystęs</w:t>
            </w:r>
          </w:p>
        </w:tc>
        <w:tc>
          <w:tcPr>
            <w:tcW w:w="992" w:type="dxa"/>
            <w:shd w:val="clear" w:color="auto" w:fill="auto"/>
          </w:tcPr>
          <w:p w:rsidR="00385835" w:rsidRPr="0056304C" w:rsidRDefault="00385835" w:rsidP="0056304C">
            <w:pPr>
              <w:spacing w:after="0" w:line="240" w:lineRule="auto"/>
              <w:jc w:val="center"/>
              <w:rPr>
                <w:rFonts w:ascii="Times New Roman" w:hAnsi="Times New Roman"/>
                <w:sz w:val="16"/>
                <w:szCs w:val="16"/>
              </w:rPr>
            </w:pPr>
            <w:r w:rsidRPr="0056304C">
              <w:rPr>
                <w:rFonts w:ascii="Times New Roman" w:hAnsi="Times New Roman"/>
                <w:sz w:val="16"/>
                <w:szCs w:val="16"/>
              </w:rPr>
              <w:t>0</w:t>
            </w:r>
          </w:p>
        </w:tc>
        <w:tc>
          <w:tcPr>
            <w:tcW w:w="1134" w:type="dxa"/>
            <w:shd w:val="clear" w:color="auto" w:fill="auto"/>
          </w:tcPr>
          <w:p w:rsidR="00385835" w:rsidRPr="0056304C" w:rsidRDefault="00D47A28" w:rsidP="0056304C">
            <w:pPr>
              <w:spacing w:after="0" w:line="240" w:lineRule="auto"/>
              <w:jc w:val="center"/>
              <w:rPr>
                <w:rFonts w:ascii="Times New Roman" w:hAnsi="Times New Roman"/>
                <w:sz w:val="16"/>
                <w:szCs w:val="16"/>
              </w:rPr>
            </w:pPr>
            <w:r w:rsidRPr="0056304C">
              <w:rPr>
                <w:rFonts w:ascii="Times New Roman" w:hAnsi="Times New Roman"/>
                <w:sz w:val="16"/>
                <w:szCs w:val="16"/>
              </w:rPr>
              <w:t>32</w:t>
            </w:r>
          </w:p>
        </w:tc>
        <w:tc>
          <w:tcPr>
            <w:tcW w:w="992" w:type="dxa"/>
            <w:shd w:val="clear" w:color="auto" w:fill="auto"/>
          </w:tcPr>
          <w:p w:rsidR="00385835" w:rsidRPr="0056304C" w:rsidDel="007F0983" w:rsidRDefault="00385835" w:rsidP="0056304C">
            <w:pPr>
              <w:spacing w:after="0" w:line="240" w:lineRule="auto"/>
              <w:jc w:val="center"/>
              <w:rPr>
                <w:rFonts w:ascii="Times New Roman" w:hAnsi="Times New Roman"/>
                <w:sz w:val="16"/>
                <w:szCs w:val="16"/>
              </w:rPr>
            </w:pPr>
            <w:r w:rsidRPr="0056304C">
              <w:rPr>
                <w:rFonts w:ascii="Times New Roman" w:hAnsi="Times New Roman"/>
                <w:sz w:val="16"/>
                <w:szCs w:val="16"/>
              </w:rPr>
              <w:t>Duomenys iš projektų</w:t>
            </w:r>
          </w:p>
        </w:tc>
        <w:tc>
          <w:tcPr>
            <w:tcW w:w="4253" w:type="dxa"/>
            <w:shd w:val="clear" w:color="auto" w:fill="auto"/>
            <w:vAlign w:val="center"/>
          </w:tcPr>
          <w:p w:rsidR="00385835" w:rsidRPr="0056304C" w:rsidRDefault="00385835" w:rsidP="0056304C">
            <w:pPr>
              <w:spacing w:after="0" w:line="240" w:lineRule="auto"/>
              <w:rPr>
                <w:rFonts w:ascii="Times New Roman" w:hAnsi="Times New Roman"/>
                <w:sz w:val="16"/>
                <w:szCs w:val="16"/>
              </w:rPr>
            </w:pPr>
            <w:r w:rsidRPr="0056304C">
              <w:rPr>
                <w:rFonts w:ascii="Times New Roman" w:hAnsi="Times New Roman"/>
                <w:sz w:val="16"/>
                <w:szCs w:val="16"/>
              </w:rPr>
              <w:t xml:space="preserve">Rodiklis atspindi prioriteto įgyvendinimo eigą, nes jo pasiekimui skirta </w:t>
            </w:r>
            <w:r w:rsidR="00D47A28" w:rsidRPr="0056304C">
              <w:rPr>
                <w:rFonts w:ascii="Times New Roman" w:hAnsi="Times New Roman"/>
                <w:sz w:val="16"/>
                <w:szCs w:val="16"/>
              </w:rPr>
              <w:t>37,8</w:t>
            </w:r>
            <w:r w:rsidRPr="0056304C">
              <w:rPr>
                <w:rFonts w:ascii="Times New Roman" w:hAnsi="Times New Roman"/>
                <w:sz w:val="16"/>
                <w:szCs w:val="16"/>
              </w:rPr>
              <w:t xml:space="preserve"> proc. šio prioriteto įgyvendinimui skirtų ESF lėšų.</w:t>
            </w:r>
          </w:p>
        </w:tc>
      </w:tr>
      <w:tr w:rsidR="00385835" w:rsidRPr="0056304C" w:rsidTr="00827571">
        <w:tc>
          <w:tcPr>
            <w:tcW w:w="1276" w:type="dxa"/>
            <w:shd w:val="clear" w:color="auto" w:fill="auto"/>
            <w:vAlign w:val="center"/>
          </w:tcPr>
          <w:p w:rsidR="00385835" w:rsidRPr="0056304C" w:rsidRDefault="00385835" w:rsidP="0056304C">
            <w:pPr>
              <w:spacing w:after="0" w:line="240" w:lineRule="auto"/>
              <w:rPr>
                <w:rFonts w:ascii="Times New Roman" w:hAnsi="Times New Roman"/>
                <w:bCs/>
                <w:sz w:val="16"/>
                <w:szCs w:val="16"/>
              </w:rPr>
            </w:pPr>
            <w:r w:rsidRPr="0056304C">
              <w:rPr>
                <w:rFonts w:ascii="Times New Roman" w:hAnsi="Times New Roman"/>
                <w:bCs/>
                <w:sz w:val="16"/>
                <w:szCs w:val="16"/>
              </w:rPr>
              <w:t>Įgyvendinimo žingsnis</w:t>
            </w:r>
          </w:p>
        </w:tc>
        <w:tc>
          <w:tcPr>
            <w:tcW w:w="3119" w:type="dxa"/>
            <w:shd w:val="clear" w:color="auto" w:fill="auto"/>
          </w:tcPr>
          <w:p w:rsidR="00385835" w:rsidRPr="0056304C" w:rsidRDefault="00385835" w:rsidP="0056304C">
            <w:pPr>
              <w:spacing w:after="0" w:line="240" w:lineRule="auto"/>
              <w:rPr>
                <w:rFonts w:ascii="Times New Roman" w:hAnsi="Times New Roman"/>
                <w:sz w:val="16"/>
                <w:szCs w:val="16"/>
              </w:rPr>
            </w:pPr>
            <w:r w:rsidRPr="0056304C">
              <w:rPr>
                <w:rFonts w:ascii="Times New Roman" w:hAnsi="Times New Roman"/>
                <w:sz w:val="16"/>
                <w:szCs w:val="16"/>
              </w:rPr>
              <w:t>Projektų finansavimo ir administravimo sutartyse suplanuota produkto rodiklio „</w:t>
            </w:r>
            <w:r w:rsidRPr="0056304C">
              <w:rPr>
                <w:rFonts w:ascii="Times New Roman" w:eastAsia="AngsanaUPC" w:hAnsi="Times New Roman"/>
                <w:bCs/>
                <w:iCs/>
                <w:sz w:val="16"/>
                <w:szCs w:val="16"/>
              </w:rPr>
              <w:t>Viešojo valdymo institucijos, pagal veiksmų programą ESF lėšomis įgyvendinusios veiklos valdymo tobulinimo priemones</w:t>
            </w:r>
            <w:r w:rsidRPr="0056304C">
              <w:rPr>
                <w:rFonts w:ascii="Times New Roman" w:hAnsi="Times New Roman"/>
                <w:sz w:val="16"/>
                <w:szCs w:val="16"/>
              </w:rPr>
              <w:t>“ reikšmė</w:t>
            </w:r>
          </w:p>
        </w:tc>
        <w:tc>
          <w:tcPr>
            <w:tcW w:w="850" w:type="dxa"/>
            <w:shd w:val="clear" w:color="auto" w:fill="auto"/>
          </w:tcPr>
          <w:p w:rsidR="00385835" w:rsidRPr="0056304C" w:rsidRDefault="00385835" w:rsidP="0056304C">
            <w:pPr>
              <w:spacing w:after="0" w:line="240" w:lineRule="auto"/>
              <w:jc w:val="center"/>
              <w:rPr>
                <w:rFonts w:ascii="Times New Roman" w:hAnsi="Times New Roman"/>
                <w:bCs/>
                <w:sz w:val="16"/>
                <w:szCs w:val="16"/>
              </w:rPr>
            </w:pPr>
            <w:r w:rsidRPr="0056304C">
              <w:rPr>
                <w:rFonts w:ascii="Times New Roman" w:hAnsi="Times New Roman"/>
                <w:bCs/>
                <w:sz w:val="16"/>
                <w:szCs w:val="16"/>
              </w:rPr>
              <w:t>Skaičius</w:t>
            </w:r>
          </w:p>
        </w:tc>
        <w:tc>
          <w:tcPr>
            <w:tcW w:w="567" w:type="dxa"/>
            <w:shd w:val="clear" w:color="auto" w:fill="auto"/>
          </w:tcPr>
          <w:p w:rsidR="00385835" w:rsidRPr="0056304C" w:rsidRDefault="00385835" w:rsidP="0056304C">
            <w:pPr>
              <w:spacing w:after="0" w:line="240" w:lineRule="auto"/>
              <w:jc w:val="center"/>
              <w:rPr>
                <w:rFonts w:ascii="Times New Roman" w:hAnsi="Times New Roman"/>
                <w:bCs/>
                <w:sz w:val="16"/>
                <w:szCs w:val="16"/>
              </w:rPr>
            </w:pPr>
            <w:r w:rsidRPr="0056304C">
              <w:rPr>
                <w:rFonts w:ascii="Times New Roman" w:hAnsi="Times New Roman"/>
                <w:bCs/>
                <w:sz w:val="16"/>
                <w:szCs w:val="16"/>
              </w:rPr>
              <w:t>ESF</w:t>
            </w:r>
          </w:p>
        </w:tc>
        <w:tc>
          <w:tcPr>
            <w:tcW w:w="851" w:type="dxa"/>
            <w:shd w:val="clear" w:color="auto" w:fill="auto"/>
          </w:tcPr>
          <w:p w:rsidR="00385835" w:rsidRPr="0056304C" w:rsidRDefault="00385835" w:rsidP="0056304C">
            <w:pPr>
              <w:widowControl w:val="0"/>
              <w:tabs>
                <w:tab w:val="left" w:pos="622"/>
              </w:tabs>
              <w:spacing w:after="0"/>
              <w:jc w:val="center"/>
              <w:rPr>
                <w:rFonts w:ascii="Times New Roman" w:hAnsi="Times New Roman"/>
                <w:sz w:val="16"/>
                <w:szCs w:val="16"/>
              </w:rPr>
            </w:pPr>
            <w:r w:rsidRPr="0056304C">
              <w:rPr>
                <w:rFonts w:ascii="Times New Roman" w:hAnsi="Times New Roman"/>
                <w:bCs/>
                <w:sz w:val="16"/>
                <w:szCs w:val="16"/>
              </w:rPr>
              <w:t>Mažiau išsivystęs</w:t>
            </w:r>
          </w:p>
        </w:tc>
        <w:tc>
          <w:tcPr>
            <w:tcW w:w="992" w:type="dxa"/>
            <w:shd w:val="clear" w:color="auto" w:fill="auto"/>
          </w:tcPr>
          <w:p w:rsidR="00385835" w:rsidRPr="0056304C" w:rsidRDefault="005D51B7" w:rsidP="0056304C">
            <w:pPr>
              <w:spacing w:after="0" w:line="240" w:lineRule="auto"/>
              <w:jc w:val="center"/>
              <w:rPr>
                <w:rFonts w:ascii="Times New Roman" w:hAnsi="Times New Roman"/>
                <w:sz w:val="16"/>
                <w:szCs w:val="16"/>
              </w:rPr>
            </w:pPr>
            <w:r w:rsidRPr="0056304C">
              <w:rPr>
                <w:rFonts w:ascii="Times New Roman" w:hAnsi="Times New Roman"/>
                <w:sz w:val="16"/>
                <w:szCs w:val="16"/>
              </w:rPr>
              <w:t>20</w:t>
            </w:r>
          </w:p>
        </w:tc>
        <w:tc>
          <w:tcPr>
            <w:tcW w:w="1134" w:type="dxa"/>
            <w:shd w:val="clear" w:color="auto" w:fill="auto"/>
          </w:tcPr>
          <w:p w:rsidR="00385835" w:rsidRPr="0056304C" w:rsidRDefault="00385835" w:rsidP="0056304C">
            <w:pPr>
              <w:spacing w:after="0" w:line="240" w:lineRule="auto"/>
              <w:jc w:val="center"/>
              <w:rPr>
                <w:rFonts w:ascii="Times New Roman" w:hAnsi="Times New Roman"/>
                <w:sz w:val="16"/>
                <w:szCs w:val="16"/>
              </w:rPr>
            </w:pPr>
            <w:r w:rsidRPr="0056304C">
              <w:rPr>
                <w:rFonts w:ascii="Times New Roman" w:hAnsi="Times New Roman"/>
                <w:sz w:val="16"/>
                <w:szCs w:val="16"/>
              </w:rPr>
              <w:t>-</w:t>
            </w:r>
          </w:p>
        </w:tc>
        <w:tc>
          <w:tcPr>
            <w:tcW w:w="992" w:type="dxa"/>
            <w:shd w:val="clear" w:color="auto" w:fill="auto"/>
          </w:tcPr>
          <w:p w:rsidR="00385835" w:rsidRPr="0056304C" w:rsidRDefault="00385835" w:rsidP="0056304C">
            <w:pPr>
              <w:spacing w:after="0" w:line="240" w:lineRule="auto"/>
              <w:jc w:val="center"/>
              <w:rPr>
                <w:rFonts w:ascii="Times New Roman" w:hAnsi="Times New Roman"/>
                <w:sz w:val="16"/>
                <w:szCs w:val="16"/>
              </w:rPr>
            </w:pPr>
            <w:r w:rsidRPr="0056304C">
              <w:rPr>
                <w:rFonts w:ascii="Times New Roman" w:hAnsi="Times New Roman"/>
                <w:sz w:val="16"/>
                <w:szCs w:val="16"/>
              </w:rPr>
              <w:t>Duomenys iš projektų</w:t>
            </w:r>
          </w:p>
        </w:tc>
        <w:tc>
          <w:tcPr>
            <w:tcW w:w="4253" w:type="dxa"/>
            <w:shd w:val="clear" w:color="auto" w:fill="auto"/>
            <w:vAlign w:val="center"/>
          </w:tcPr>
          <w:p w:rsidR="00385835" w:rsidRPr="0056304C" w:rsidRDefault="00385835" w:rsidP="0056304C">
            <w:pPr>
              <w:spacing w:after="0" w:line="240" w:lineRule="auto"/>
              <w:rPr>
                <w:rFonts w:ascii="Times New Roman" w:hAnsi="Times New Roman"/>
                <w:sz w:val="16"/>
                <w:szCs w:val="16"/>
              </w:rPr>
            </w:pPr>
            <w:r w:rsidRPr="0056304C">
              <w:rPr>
                <w:rFonts w:ascii="Times New Roman" w:hAnsi="Times New Roman"/>
                <w:sz w:val="16"/>
                <w:szCs w:val="16"/>
              </w:rPr>
              <w:t>Įgyvendinimo žingsnis pasirinktas, atsižvelgiant į produkto rodiklio skaičiavimo metodiką, pagal kurią pasiekimai skaičiuojami projektų</w:t>
            </w:r>
            <w:proofErr w:type="gramStart"/>
            <w:r w:rsidRPr="0056304C">
              <w:rPr>
                <w:rFonts w:ascii="Times New Roman" w:hAnsi="Times New Roman"/>
                <w:sz w:val="16"/>
                <w:szCs w:val="16"/>
              </w:rPr>
              <w:t xml:space="preserve">  </w:t>
            </w:r>
            <w:proofErr w:type="gramEnd"/>
            <w:r w:rsidRPr="0056304C">
              <w:rPr>
                <w:rFonts w:ascii="Times New Roman" w:hAnsi="Times New Roman"/>
                <w:sz w:val="16"/>
                <w:szCs w:val="16"/>
              </w:rPr>
              <w:t>įgyvendinimo pabaigoje. Tuo tarpu iki 2018 m. pabaigos nebus baigtų projektų, nes</w:t>
            </w:r>
            <w:proofErr w:type="gramStart"/>
            <w:r w:rsidRPr="0056304C">
              <w:rPr>
                <w:rFonts w:ascii="Times New Roman" w:hAnsi="Times New Roman"/>
                <w:sz w:val="16"/>
                <w:szCs w:val="16"/>
              </w:rPr>
              <w:t xml:space="preserve">  </w:t>
            </w:r>
            <w:proofErr w:type="gramEnd"/>
            <w:r w:rsidRPr="0056304C">
              <w:rPr>
                <w:rFonts w:ascii="Times New Roman" w:hAnsi="Times New Roman"/>
                <w:sz w:val="16"/>
                <w:szCs w:val="16"/>
              </w:rPr>
              <w:t>siekiant šio rodiklio, bus vykdomi  sisteminio pobūdžio projektai, kurių įgyvendinimo trukmė dažnai būna ilgesnė nei 3 metai. Projektų finansavimo ir administravimo sutartyse suplanuota produkto rodiklio reikšmė rodys, ar projektai įgyvendinami numatyta apimtimi.</w:t>
            </w:r>
          </w:p>
        </w:tc>
      </w:tr>
      <w:tr w:rsidR="00385835" w:rsidRPr="0056304C" w:rsidTr="00827571">
        <w:tc>
          <w:tcPr>
            <w:tcW w:w="1276" w:type="dxa"/>
            <w:shd w:val="clear" w:color="auto" w:fill="auto"/>
            <w:vAlign w:val="center"/>
          </w:tcPr>
          <w:p w:rsidR="00385835" w:rsidRPr="0056304C" w:rsidRDefault="00385835" w:rsidP="0056304C">
            <w:pPr>
              <w:spacing w:after="0" w:line="240" w:lineRule="auto"/>
              <w:rPr>
                <w:rFonts w:ascii="Times New Roman" w:hAnsi="Times New Roman"/>
                <w:sz w:val="16"/>
                <w:szCs w:val="16"/>
              </w:rPr>
            </w:pPr>
            <w:r w:rsidRPr="0056304C">
              <w:rPr>
                <w:rFonts w:ascii="Times New Roman" w:hAnsi="Times New Roman"/>
                <w:sz w:val="16"/>
                <w:szCs w:val="16"/>
              </w:rPr>
              <w:t>Produkto rodiklis</w:t>
            </w:r>
          </w:p>
        </w:tc>
        <w:tc>
          <w:tcPr>
            <w:tcW w:w="3119" w:type="dxa"/>
            <w:shd w:val="clear" w:color="auto" w:fill="auto"/>
          </w:tcPr>
          <w:p w:rsidR="00385835" w:rsidRPr="0056304C" w:rsidRDefault="00385835" w:rsidP="0056304C">
            <w:pPr>
              <w:spacing w:after="0" w:line="240" w:lineRule="auto"/>
              <w:rPr>
                <w:rFonts w:ascii="Times New Roman" w:eastAsia="AngsanaUPC" w:hAnsi="Times New Roman"/>
                <w:bCs/>
                <w:iCs/>
                <w:sz w:val="16"/>
                <w:szCs w:val="16"/>
              </w:rPr>
            </w:pPr>
            <w:r w:rsidRPr="0056304C">
              <w:rPr>
                <w:rFonts w:ascii="Times New Roman" w:eastAsia="AngsanaUPC" w:hAnsi="Times New Roman"/>
                <w:bCs/>
                <w:iCs/>
                <w:sz w:val="16"/>
                <w:szCs w:val="16"/>
              </w:rPr>
              <w:t>Viešojo valdymo institucijos, pagal veiksmų programą ESF lėšomis įgyvendinusios paslaugų ir (ar) aptarnavimo kokybei gerinti skirtas priemones</w:t>
            </w:r>
          </w:p>
        </w:tc>
        <w:tc>
          <w:tcPr>
            <w:tcW w:w="850" w:type="dxa"/>
            <w:shd w:val="clear" w:color="auto" w:fill="auto"/>
          </w:tcPr>
          <w:p w:rsidR="00385835" w:rsidRPr="0056304C" w:rsidRDefault="00385835" w:rsidP="0056304C">
            <w:pPr>
              <w:spacing w:after="0" w:line="240" w:lineRule="auto"/>
              <w:jc w:val="center"/>
              <w:rPr>
                <w:rFonts w:ascii="Times New Roman" w:hAnsi="Times New Roman"/>
                <w:bCs/>
                <w:sz w:val="16"/>
                <w:szCs w:val="16"/>
              </w:rPr>
            </w:pPr>
            <w:r w:rsidRPr="0056304C">
              <w:rPr>
                <w:rFonts w:ascii="Times New Roman" w:hAnsi="Times New Roman"/>
                <w:bCs/>
                <w:sz w:val="16"/>
                <w:szCs w:val="16"/>
              </w:rPr>
              <w:t>Skaičius</w:t>
            </w:r>
          </w:p>
        </w:tc>
        <w:tc>
          <w:tcPr>
            <w:tcW w:w="567" w:type="dxa"/>
            <w:shd w:val="clear" w:color="auto" w:fill="auto"/>
          </w:tcPr>
          <w:p w:rsidR="00385835" w:rsidRPr="0056304C" w:rsidRDefault="00385835" w:rsidP="0056304C">
            <w:pPr>
              <w:spacing w:after="0" w:line="240" w:lineRule="auto"/>
              <w:jc w:val="center"/>
              <w:rPr>
                <w:rFonts w:ascii="Times New Roman" w:hAnsi="Times New Roman"/>
                <w:bCs/>
                <w:sz w:val="16"/>
                <w:szCs w:val="16"/>
              </w:rPr>
            </w:pPr>
            <w:r w:rsidRPr="0056304C">
              <w:rPr>
                <w:rFonts w:ascii="Times New Roman" w:hAnsi="Times New Roman"/>
                <w:bCs/>
                <w:sz w:val="16"/>
                <w:szCs w:val="16"/>
              </w:rPr>
              <w:t>ESF</w:t>
            </w:r>
          </w:p>
        </w:tc>
        <w:tc>
          <w:tcPr>
            <w:tcW w:w="851" w:type="dxa"/>
            <w:shd w:val="clear" w:color="auto" w:fill="auto"/>
          </w:tcPr>
          <w:p w:rsidR="00385835" w:rsidRPr="0056304C" w:rsidRDefault="00385835" w:rsidP="0056304C">
            <w:pPr>
              <w:spacing w:after="0" w:line="240" w:lineRule="auto"/>
              <w:jc w:val="center"/>
              <w:rPr>
                <w:rFonts w:ascii="Times New Roman" w:hAnsi="Times New Roman"/>
                <w:bCs/>
                <w:sz w:val="16"/>
                <w:szCs w:val="16"/>
              </w:rPr>
            </w:pPr>
            <w:r w:rsidRPr="0056304C">
              <w:rPr>
                <w:rFonts w:ascii="Times New Roman" w:hAnsi="Times New Roman"/>
                <w:bCs/>
                <w:sz w:val="16"/>
                <w:szCs w:val="16"/>
              </w:rPr>
              <w:t>Mažiau išsivystęs</w:t>
            </w:r>
          </w:p>
        </w:tc>
        <w:tc>
          <w:tcPr>
            <w:tcW w:w="992" w:type="dxa"/>
            <w:shd w:val="clear" w:color="auto" w:fill="auto"/>
          </w:tcPr>
          <w:p w:rsidR="00385835" w:rsidRPr="0056304C" w:rsidRDefault="00385835" w:rsidP="0056304C">
            <w:pPr>
              <w:spacing w:after="0" w:line="240" w:lineRule="auto"/>
              <w:jc w:val="center"/>
              <w:rPr>
                <w:rFonts w:ascii="Times New Roman" w:hAnsi="Times New Roman"/>
                <w:sz w:val="16"/>
                <w:szCs w:val="16"/>
              </w:rPr>
            </w:pPr>
            <w:r w:rsidRPr="0056304C">
              <w:rPr>
                <w:rFonts w:ascii="Times New Roman" w:hAnsi="Times New Roman"/>
                <w:sz w:val="16"/>
                <w:szCs w:val="16"/>
              </w:rPr>
              <w:t>0</w:t>
            </w:r>
          </w:p>
        </w:tc>
        <w:tc>
          <w:tcPr>
            <w:tcW w:w="1134" w:type="dxa"/>
            <w:shd w:val="clear" w:color="auto" w:fill="auto"/>
          </w:tcPr>
          <w:p w:rsidR="00385835" w:rsidRPr="0056304C" w:rsidRDefault="0042276D" w:rsidP="0056304C">
            <w:pPr>
              <w:spacing w:after="0" w:line="240" w:lineRule="auto"/>
              <w:jc w:val="center"/>
              <w:rPr>
                <w:rFonts w:ascii="Times New Roman" w:hAnsi="Times New Roman"/>
                <w:sz w:val="16"/>
                <w:szCs w:val="16"/>
              </w:rPr>
            </w:pPr>
            <w:r w:rsidRPr="0056304C">
              <w:rPr>
                <w:rFonts w:ascii="Times New Roman" w:hAnsi="Times New Roman"/>
                <w:sz w:val="16"/>
                <w:szCs w:val="16"/>
              </w:rPr>
              <w:t>45</w:t>
            </w:r>
          </w:p>
        </w:tc>
        <w:tc>
          <w:tcPr>
            <w:tcW w:w="992" w:type="dxa"/>
            <w:shd w:val="clear" w:color="auto" w:fill="auto"/>
          </w:tcPr>
          <w:p w:rsidR="00385835" w:rsidRPr="0056304C" w:rsidRDefault="00385835" w:rsidP="0056304C">
            <w:pPr>
              <w:spacing w:after="0" w:line="240" w:lineRule="auto"/>
              <w:jc w:val="center"/>
              <w:rPr>
                <w:rFonts w:ascii="Times New Roman" w:hAnsi="Times New Roman"/>
                <w:sz w:val="16"/>
                <w:szCs w:val="16"/>
              </w:rPr>
            </w:pPr>
            <w:r w:rsidRPr="0056304C">
              <w:rPr>
                <w:rFonts w:ascii="Times New Roman" w:hAnsi="Times New Roman"/>
                <w:sz w:val="16"/>
                <w:szCs w:val="16"/>
              </w:rPr>
              <w:t>Duomenys iš projektų</w:t>
            </w:r>
          </w:p>
        </w:tc>
        <w:tc>
          <w:tcPr>
            <w:tcW w:w="4253" w:type="dxa"/>
            <w:shd w:val="clear" w:color="auto" w:fill="auto"/>
          </w:tcPr>
          <w:p w:rsidR="00385835" w:rsidRPr="0056304C" w:rsidRDefault="00385835" w:rsidP="00827571">
            <w:pPr>
              <w:spacing w:after="0" w:line="240" w:lineRule="auto"/>
              <w:rPr>
                <w:rFonts w:ascii="Times New Roman" w:hAnsi="Times New Roman"/>
                <w:sz w:val="16"/>
                <w:szCs w:val="16"/>
              </w:rPr>
            </w:pPr>
            <w:r w:rsidRPr="0056304C">
              <w:rPr>
                <w:rFonts w:ascii="Times New Roman" w:hAnsi="Times New Roman"/>
                <w:sz w:val="16"/>
                <w:szCs w:val="16"/>
              </w:rPr>
              <w:t>Rodiklis atspindi prioriteto įgyvendinimo eigą, nes jo pasiekimui skirta 26 proc. šio prioriteto įgyvendinimui skirtų ESF lėšų.</w:t>
            </w:r>
          </w:p>
        </w:tc>
      </w:tr>
      <w:tr w:rsidR="00385835" w:rsidRPr="0056304C" w:rsidTr="00827571">
        <w:tc>
          <w:tcPr>
            <w:tcW w:w="1276" w:type="dxa"/>
            <w:shd w:val="clear" w:color="auto" w:fill="auto"/>
            <w:vAlign w:val="center"/>
          </w:tcPr>
          <w:p w:rsidR="00385835" w:rsidRPr="0056304C" w:rsidRDefault="00385835" w:rsidP="0056304C">
            <w:pPr>
              <w:spacing w:after="0" w:line="240" w:lineRule="auto"/>
              <w:rPr>
                <w:rFonts w:ascii="Times New Roman" w:hAnsi="Times New Roman"/>
                <w:bCs/>
                <w:sz w:val="16"/>
                <w:szCs w:val="16"/>
              </w:rPr>
            </w:pPr>
            <w:r w:rsidRPr="0056304C">
              <w:rPr>
                <w:rFonts w:ascii="Times New Roman" w:hAnsi="Times New Roman"/>
                <w:bCs/>
                <w:sz w:val="16"/>
                <w:szCs w:val="16"/>
              </w:rPr>
              <w:t>Įgyvendinimo žingsnis</w:t>
            </w:r>
          </w:p>
        </w:tc>
        <w:tc>
          <w:tcPr>
            <w:tcW w:w="3119" w:type="dxa"/>
            <w:shd w:val="clear" w:color="auto" w:fill="auto"/>
          </w:tcPr>
          <w:p w:rsidR="00385835" w:rsidRPr="0056304C" w:rsidRDefault="00385835" w:rsidP="0056304C">
            <w:pPr>
              <w:spacing w:after="0" w:line="240" w:lineRule="auto"/>
              <w:rPr>
                <w:rFonts w:ascii="Times New Roman" w:hAnsi="Times New Roman"/>
                <w:sz w:val="16"/>
                <w:szCs w:val="16"/>
              </w:rPr>
            </w:pPr>
            <w:r w:rsidRPr="0056304C">
              <w:rPr>
                <w:rFonts w:ascii="Times New Roman" w:hAnsi="Times New Roman"/>
                <w:sz w:val="16"/>
                <w:szCs w:val="16"/>
              </w:rPr>
              <w:t>Projektų finansavimo ir administravimo sutartyse suplanuota produkto rodiklio „</w:t>
            </w:r>
            <w:r w:rsidRPr="0056304C">
              <w:rPr>
                <w:rFonts w:ascii="Times New Roman" w:hAnsi="Times New Roman"/>
                <w:bCs/>
                <w:iCs/>
                <w:sz w:val="16"/>
                <w:szCs w:val="16"/>
              </w:rPr>
              <w:t>Viešojo valdymo institucijos, pagal veiksmų programą ESF lėšomis įgyvendinusios paslaugų ir (ar) aptarnavimo kokybei gerinti skirtas priemones</w:t>
            </w:r>
            <w:r w:rsidRPr="0056304C">
              <w:rPr>
                <w:rFonts w:ascii="Times New Roman" w:hAnsi="Times New Roman"/>
                <w:sz w:val="16"/>
                <w:szCs w:val="16"/>
              </w:rPr>
              <w:t>“ reikšmė</w:t>
            </w:r>
          </w:p>
        </w:tc>
        <w:tc>
          <w:tcPr>
            <w:tcW w:w="850" w:type="dxa"/>
            <w:shd w:val="clear" w:color="auto" w:fill="auto"/>
          </w:tcPr>
          <w:p w:rsidR="00385835" w:rsidRPr="0056304C" w:rsidRDefault="00385835" w:rsidP="0056304C">
            <w:pPr>
              <w:spacing w:after="0" w:line="240" w:lineRule="auto"/>
              <w:jc w:val="center"/>
              <w:rPr>
                <w:rFonts w:ascii="Times New Roman" w:hAnsi="Times New Roman"/>
                <w:sz w:val="16"/>
                <w:szCs w:val="16"/>
              </w:rPr>
            </w:pPr>
            <w:r w:rsidRPr="0056304C">
              <w:rPr>
                <w:rFonts w:ascii="Times New Roman" w:hAnsi="Times New Roman"/>
                <w:sz w:val="16"/>
                <w:szCs w:val="16"/>
              </w:rPr>
              <w:t>Skaičius</w:t>
            </w:r>
          </w:p>
        </w:tc>
        <w:tc>
          <w:tcPr>
            <w:tcW w:w="567" w:type="dxa"/>
            <w:shd w:val="clear" w:color="auto" w:fill="auto"/>
          </w:tcPr>
          <w:p w:rsidR="00385835" w:rsidRPr="0056304C" w:rsidRDefault="00385835" w:rsidP="0056304C">
            <w:pPr>
              <w:spacing w:after="0" w:line="240" w:lineRule="auto"/>
              <w:jc w:val="center"/>
              <w:rPr>
                <w:rFonts w:ascii="Times New Roman" w:hAnsi="Times New Roman"/>
                <w:sz w:val="16"/>
                <w:szCs w:val="16"/>
              </w:rPr>
            </w:pPr>
            <w:r w:rsidRPr="0056304C">
              <w:rPr>
                <w:rFonts w:ascii="Times New Roman" w:hAnsi="Times New Roman"/>
                <w:sz w:val="16"/>
                <w:szCs w:val="16"/>
              </w:rPr>
              <w:t>ESF</w:t>
            </w:r>
          </w:p>
        </w:tc>
        <w:tc>
          <w:tcPr>
            <w:tcW w:w="851" w:type="dxa"/>
            <w:shd w:val="clear" w:color="auto" w:fill="auto"/>
          </w:tcPr>
          <w:p w:rsidR="00385835" w:rsidRPr="0056304C" w:rsidRDefault="00385835" w:rsidP="0056304C">
            <w:pPr>
              <w:spacing w:after="0" w:line="240" w:lineRule="auto"/>
              <w:jc w:val="center"/>
              <w:rPr>
                <w:rFonts w:ascii="Times New Roman" w:hAnsi="Times New Roman"/>
                <w:sz w:val="16"/>
                <w:szCs w:val="16"/>
              </w:rPr>
            </w:pPr>
            <w:r w:rsidRPr="0056304C">
              <w:rPr>
                <w:rFonts w:ascii="Times New Roman" w:hAnsi="Times New Roman"/>
                <w:bCs/>
                <w:sz w:val="16"/>
                <w:szCs w:val="16"/>
              </w:rPr>
              <w:t>Mažiau išsivystęs</w:t>
            </w:r>
          </w:p>
        </w:tc>
        <w:tc>
          <w:tcPr>
            <w:tcW w:w="992" w:type="dxa"/>
            <w:shd w:val="clear" w:color="auto" w:fill="auto"/>
          </w:tcPr>
          <w:p w:rsidR="00385835" w:rsidRPr="0056304C" w:rsidRDefault="0042276D" w:rsidP="0056304C">
            <w:pPr>
              <w:spacing w:after="0" w:line="240" w:lineRule="auto"/>
              <w:jc w:val="center"/>
              <w:rPr>
                <w:rFonts w:ascii="Times New Roman" w:hAnsi="Times New Roman"/>
                <w:sz w:val="16"/>
                <w:szCs w:val="16"/>
              </w:rPr>
            </w:pPr>
            <w:r w:rsidRPr="0056304C">
              <w:rPr>
                <w:rFonts w:ascii="Times New Roman" w:hAnsi="Times New Roman"/>
                <w:sz w:val="16"/>
                <w:szCs w:val="16"/>
              </w:rPr>
              <w:t>23</w:t>
            </w:r>
          </w:p>
        </w:tc>
        <w:tc>
          <w:tcPr>
            <w:tcW w:w="1134" w:type="dxa"/>
            <w:shd w:val="clear" w:color="auto" w:fill="auto"/>
          </w:tcPr>
          <w:p w:rsidR="00385835" w:rsidRPr="0056304C" w:rsidRDefault="00385835" w:rsidP="0056304C">
            <w:pPr>
              <w:spacing w:after="0" w:line="240" w:lineRule="auto"/>
              <w:jc w:val="center"/>
              <w:rPr>
                <w:rFonts w:ascii="Times New Roman" w:hAnsi="Times New Roman"/>
                <w:sz w:val="16"/>
                <w:szCs w:val="16"/>
              </w:rPr>
            </w:pPr>
            <w:r w:rsidRPr="0056304C">
              <w:rPr>
                <w:rFonts w:ascii="Times New Roman" w:hAnsi="Times New Roman"/>
                <w:sz w:val="16"/>
                <w:szCs w:val="16"/>
              </w:rPr>
              <w:t>-</w:t>
            </w:r>
          </w:p>
        </w:tc>
        <w:tc>
          <w:tcPr>
            <w:tcW w:w="992" w:type="dxa"/>
            <w:shd w:val="clear" w:color="auto" w:fill="auto"/>
          </w:tcPr>
          <w:p w:rsidR="00385835" w:rsidRPr="0056304C" w:rsidRDefault="00385835" w:rsidP="0056304C">
            <w:pPr>
              <w:spacing w:after="0" w:line="240" w:lineRule="auto"/>
              <w:jc w:val="center"/>
              <w:rPr>
                <w:rFonts w:ascii="Times New Roman" w:hAnsi="Times New Roman"/>
                <w:sz w:val="16"/>
                <w:szCs w:val="16"/>
              </w:rPr>
            </w:pPr>
            <w:r w:rsidRPr="0056304C">
              <w:rPr>
                <w:rFonts w:ascii="Times New Roman" w:hAnsi="Times New Roman"/>
                <w:sz w:val="16"/>
                <w:szCs w:val="16"/>
              </w:rPr>
              <w:t>Duomenys iš projektų</w:t>
            </w:r>
          </w:p>
        </w:tc>
        <w:tc>
          <w:tcPr>
            <w:tcW w:w="4253" w:type="dxa"/>
            <w:shd w:val="clear" w:color="auto" w:fill="auto"/>
            <w:vAlign w:val="center"/>
          </w:tcPr>
          <w:p w:rsidR="00385835" w:rsidRPr="0056304C" w:rsidRDefault="00385835" w:rsidP="0056304C">
            <w:pPr>
              <w:spacing w:after="0" w:line="240" w:lineRule="auto"/>
              <w:rPr>
                <w:rFonts w:ascii="Times New Roman" w:hAnsi="Times New Roman"/>
                <w:sz w:val="16"/>
                <w:szCs w:val="16"/>
              </w:rPr>
            </w:pPr>
            <w:r w:rsidRPr="0056304C">
              <w:rPr>
                <w:rFonts w:ascii="Times New Roman" w:hAnsi="Times New Roman"/>
                <w:sz w:val="16"/>
                <w:szCs w:val="16"/>
              </w:rPr>
              <w:t>Įgyvendinimo žingsnis pasirinktas, atsižvelgiant į produkto rodiklio skaičiavimo metodiką, pagal kurią pasiekimai skaičiuojami projektų</w:t>
            </w:r>
            <w:proofErr w:type="gramStart"/>
            <w:r w:rsidRPr="0056304C">
              <w:rPr>
                <w:rFonts w:ascii="Times New Roman" w:hAnsi="Times New Roman"/>
                <w:sz w:val="16"/>
                <w:szCs w:val="16"/>
              </w:rPr>
              <w:t xml:space="preserve">  </w:t>
            </w:r>
            <w:proofErr w:type="gramEnd"/>
            <w:r w:rsidRPr="0056304C">
              <w:rPr>
                <w:rFonts w:ascii="Times New Roman" w:hAnsi="Times New Roman"/>
                <w:sz w:val="16"/>
                <w:szCs w:val="16"/>
              </w:rPr>
              <w:t>įgyvendinimo pabaigoje. Tuo tarpu iki 2018 m. pabaigos nebus baigtų projektų, nes siekiant šio rodiklio, bus vykdomi</w:t>
            </w:r>
            <w:proofErr w:type="gramStart"/>
            <w:r w:rsidRPr="0056304C">
              <w:rPr>
                <w:rFonts w:ascii="Times New Roman" w:hAnsi="Times New Roman"/>
                <w:sz w:val="16"/>
                <w:szCs w:val="16"/>
              </w:rPr>
              <w:t xml:space="preserve">  </w:t>
            </w:r>
            <w:proofErr w:type="gramEnd"/>
            <w:r w:rsidRPr="0056304C">
              <w:rPr>
                <w:rFonts w:ascii="Times New Roman" w:hAnsi="Times New Roman"/>
                <w:sz w:val="16"/>
                <w:szCs w:val="16"/>
              </w:rPr>
              <w:t xml:space="preserve">sisteminio pobūdžio projektai, kurių įgyvendinimo trukmė dažnai būna ilgesnė nei 3 metai. </w:t>
            </w:r>
          </w:p>
          <w:p w:rsidR="00385835" w:rsidRPr="0056304C" w:rsidRDefault="00385835" w:rsidP="0056304C">
            <w:pPr>
              <w:spacing w:after="0" w:line="240" w:lineRule="auto"/>
              <w:rPr>
                <w:rFonts w:ascii="Times New Roman" w:hAnsi="Times New Roman"/>
                <w:sz w:val="16"/>
                <w:szCs w:val="16"/>
              </w:rPr>
            </w:pPr>
            <w:r w:rsidRPr="0056304C">
              <w:rPr>
                <w:rFonts w:ascii="Times New Roman" w:hAnsi="Times New Roman"/>
                <w:sz w:val="16"/>
                <w:szCs w:val="16"/>
              </w:rPr>
              <w:t>Projektų finansavimo ir administravimo sutartyse suplanuota produkto rodiklio reikšmė rodys, ar projektai įgyvendinami numatyta apimtimi.</w:t>
            </w:r>
          </w:p>
        </w:tc>
      </w:tr>
    </w:tbl>
    <w:p w:rsidR="00385835" w:rsidRPr="00385835" w:rsidRDefault="00385835" w:rsidP="00385835">
      <w:pPr>
        <w:spacing w:after="0" w:line="240" w:lineRule="auto"/>
        <w:rPr>
          <w:rFonts w:ascii="Times New Roman" w:hAnsi="Times New Roman"/>
          <w:sz w:val="24"/>
          <w:szCs w:val="24"/>
        </w:rPr>
      </w:pPr>
    </w:p>
    <w:p w:rsidR="00385835" w:rsidRPr="00385835" w:rsidRDefault="00385835" w:rsidP="00385835">
      <w:pPr>
        <w:autoSpaceDE w:val="0"/>
        <w:autoSpaceDN w:val="0"/>
        <w:adjustRightInd w:val="0"/>
        <w:spacing w:after="0" w:line="240" w:lineRule="auto"/>
        <w:ind w:firstLine="851"/>
        <w:jc w:val="both"/>
        <w:rPr>
          <w:rFonts w:ascii="Times New Roman" w:hAnsi="Times New Roman"/>
          <w:color w:val="000000"/>
          <w:sz w:val="24"/>
          <w:szCs w:val="24"/>
        </w:rPr>
      </w:pPr>
      <w:r w:rsidRPr="00385835">
        <w:rPr>
          <w:rFonts w:ascii="Times New Roman" w:hAnsi="Times New Roman"/>
          <w:color w:val="000000"/>
          <w:sz w:val="24"/>
          <w:szCs w:val="24"/>
        </w:rPr>
        <w:t>Į veiklos peržiūros planą įtrauktų rodiklių tarpinės ir galutinės reikšmės nustatytos, įvertinus istorinius ankstesnio programavimo laikotarpio lėšų panaudojimo ir rodiklių pasiekimo duomenis, t.</w:t>
      </w:r>
      <w:r w:rsidR="00D47A28">
        <w:rPr>
          <w:rFonts w:ascii="Times New Roman" w:hAnsi="Times New Roman"/>
          <w:color w:val="000000"/>
          <w:sz w:val="24"/>
          <w:szCs w:val="24"/>
        </w:rPr>
        <w:t xml:space="preserve"> </w:t>
      </w:r>
      <w:r w:rsidRPr="00385835">
        <w:rPr>
          <w:rFonts w:ascii="Times New Roman" w:hAnsi="Times New Roman"/>
          <w:color w:val="000000"/>
          <w:sz w:val="24"/>
          <w:szCs w:val="24"/>
        </w:rPr>
        <w:t>y. įgyvendinant panašaus pobūdžio intervencijas per analogišką laikotarpį pasiektas rodiklių reikšmes, tuo pačiu atsižvelgiant į šiame programavimo laikotarpyje</w:t>
      </w:r>
      <w:proofErr w:type="gramStart"/>
      <w:r w:rsidRPr="00385835">
        <w:rPr>
          <w:rFonts w:ascii="Times New Roman" w:hAnsi="Times New Roman"/>
          <w:color w:val="000000"/>
          <w:sz w:val="24"/>
          <w:szCs w:val="24"/>
        </w:rPr>
        <w:t xml:space="preserve">  </w:t>
      </w:r>
      <w:proofErr w:type="gramEnd"/>
      <w:r w:rsidRPr="00385835">
        <w:rPr>
          <w:rFonts w:ascii="Times New Roman" w:hAnsi="Times New Roman"/>
          <w:color w:val="000000"/>
          <w:sz w:val="24"/>
          <w:szCs w:val="24"/>
        </w:rPr>
        <w:t xml:space="preserve">numatomas investicijų ir veiklų apimtis. </w:t>
      </w:r>
    </w:p>
    <w:p w:rsidR="00AC33BC" w:rsidRDefault="00385835" w:rsidP="002447B3">
      <w:pPr>
        <w:spacing w:after="0" w:line="240" w:lineRule="auto"/>
        <w:ind w:firstLine="851"/>
        <w:jc w:val="both"/>
        <w:rPr>
          <w:rFonts w:ascii="Times New Roman" w:eastAsia="AngsanaUPC" w:hAnsi="Times New Roman"/>
          <w:b/>
          <w:bCs/>
          <w:i/>
          <w:iCs/>
          <w:sz w:val="24"/>
          <w:szCs w:val="24"/>
          <w:lang w:eastAsia="lt-LT"/>
        </w:rPr>
      </w:pPr>
      <w:r w:rsidRPr="00385835">
        <w:rPr>
          <w:rFonts w:ascii="Times New Roman" w:hAnsi="Times New Roman"/>
          <w:color w:val="000000"/>
          <w:sz w:val="24"/>
          <w:szCs w:val="24"/>
        </w:rPr>
        <w:t xml:space="preserve">Nustatant tarpines rodiklių reikšmes, taip pat atsižvelgta į sektoriaus pasirengimą panaudoti </w:t>
      </w:r>
      <w:r w:rsidR="000F4AE6">
        <w:rPr>
          <w:rFonts w:ascii="Times New Roman" w:hAnsi="Times New Roman"/>
          <w:color w:val="000000"/>
          <w:sz w:val="24"/>
          <w:szCs w:val="24"/>
        </w:rPr>
        <w:t>ES fondų</w:t>
      </w:r>
      <w:r w:rsidRPr="00385835">
        <w:rPr>
          <w:rFonts w:ascii="Times New Roman" w:hAnsi="Times New Roman"/>
          <w:color w:val="000000"/>
          <w:sz w:val="24"/>
          <w:szCs w:val="24"/>
        </w:rPr>
        <w:t xml:space="preserve"> lėšas – numatomą vėlesnę priemonių įgyvendinimo pradžią ir šių priemonių specifiką, pagal kurią numatoma finansuoti daugiau sisteminio pobūdžio projektų, kurių </w:t>
      </w:r>
      <w:r w:rsidRPr="00385835">
        <w:rPr>
          <w:rFonts w:ascii="Times New Roman" w:hAnsi="Times New Roman"/>
          <w:sz w:val="24"/>
          <w:szCs w:val="24"/>
        </w:rPr>
        <w:t xml:space="preserve">įgyvendinimo trukmė dažnai būna ilgesnė nei 3 metai. Šių projektų pradžia daugeliu atvejų taip pat numatoma ne ankstesnė kaip 2015 m., kadangi iki to laiko dauguma institucijų įgyvendins 2007–2013 m. veiksmų programų lėšomis finansuojamus projektus. </w:t>
      </w:r>
      <w:r w:rsidRPr="00385835">
        <w:rPr>
          <w:rFonts w:ascii="Times New Roman" w:hAnsi="Times New Roman"/>
          <w:color w:val="000000"/>
          <w:sz w:val="24"/>
          <w:szCs w:val="24"/>
        </w:rPr>
        <w:t xml:space="preserve">Nustatant tarpines rodiklių reikšmes, </w:t>
      </w:r>
      <w:r w:rsidRPr="00385835">
        <w:rPr>
          <w:rFonts w:ascii="Times New Roman" w:hAnsi="Times New Roman"/>
          <w:sz w:val="24"/>
          <w:szCs w:val="24"/>
        </w:rPr>
        <w:t xml:space="preserve">atsižvelgta ir į produkto rodiklio skaičiavimo metodiką, pagal kurią pasiekimai skaičiuojami projektų įgyvendinimo pabaigoje. </w:t>
      </w:r>
    </w:p>
    <w:p w:rsidR="00AC33BC" w:rsidRDefault="00AC33BC" w:rsidP="00596570">
      <w:pPr>
        <w:widowControl w:val="0"/>
        <w:tabs>
          <w:tab w:val="left" w:pos="622"/>
        </w:tabs>
        <w:spacing w:after="0" w:line="240" w:lineRule="auto"/>
        <w:jc w:val="both"/>
        <w:rPr>
          <w:rFonts w:ascii="Times New Roman" w:eastAsia="AngsanaUPC" w:hAnsi="Times New Roman"/>
          <w:b/>
          <w:bCs/>
          <w:i/>
          <w:iCs/>
          <w:sz w:val="24"/>
          <w:szCs w:val="24"/>
          <w:lang w:eastAsia="lt-LT"/>
        </w:rPr>
        <w:sectPr w:rsidR="00AC33BC" w:rsidSect="00B27630">
          <w:pgSz w:w="16838" w:h="11906" w:orient="landscape" w:code="9"/>
          <w:pgMar w:top="1701" w:right="1701" w:bottom="567" w:left="1134" w:header="567" w:footer="567" w:gutter="0"/>
          <w:cols w:space="1296"/>
          <w:docGrid w:linePitch="360"/>
        </w:sectPr>
      </w:pPr>
    </w:p>
    <w:p w:rsidR="00596570" w:rsidRPr="002447B3" w:rsidRDefault="00596570" w:rsidP="00596570">
      <w:pPr>
        <w:widowControl w:val="0"/>
        <w:tabs>
          <w:tab w:val="left" w:pos="622"/>
        </w:tabs>
        <w:spacing w:after="0" w:line="240" w:lineRule="auto"/>
        <w:jc w:val="both"/>
        <w:rPr>
          <w:rFonts w:ascii="Times New Roman" w:hAnsi="Times New Roman"/>
          <w:b/>
          <w:bCs/>
          <w:iCs/>
          <w:sz w:val="18"/>
          <w:szCs w:val="18"/>
        </w:rPr>
      </w:pPr>
      <w:r w:rsidRPr="002447B3">
        <w:rPr>
          <w:rFonts w:ascii="Times New Roman" w:eastAsia="AngsanaUPC" w:hAnsi="Times New Roman"/>
          <w:b/>
          <w:bCs/>
          <w:i/>
          <w:iCs/>
          <w:sz w:val="24"/>
          <w:szCs w:val="24"/>
          <w:lang w:eastAsia="lt-LT"/>
        </w:rPr>
        <w:lastRenderedPageBreak/>
        <w:t>Numatomas išlaidų pasiskirstymas pagal kategorijas</w:t>
      </w:r>
    </w:p>
    <w:p w:rsidR="00596570" w:rsidRPr="002447B3" w:rsidRDefault="00596570" w:rsidP="00596570">
      <w:pPr>
        <w:widowControl w:val="0"/>
        <w:tabs>
          <w:tab w:val="left" w:pos="622"/>
        </w:tabs>
        <w:spacing w:after="0" w:line="240" w:lineRule="auto"/>
        <w:jc w:val="both"/>
        <w:rPr>
          <w:rFonts w:ascii="Times New Roman" w:hAnsi="Times New Roman"/>
          <w:b/>
          <w:bCs/>
          <w:iCs/>
          <w:sz w:val="18"/>
          <w:szCs w:val="1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09"/>
        <w:gridCol w:w="6378"/>
        <w:gridCol w:w="1843"/>
      </w:tblGrid>
      <w:tr w:rsidR="00596570" w:rsidRPr="002447B3" w:rsidTr="009D62C6">
        <w:trPr>
          <w:tblHeader/>
        </w:trPr>
        <w:tc>
          <w:tcPr>
            <w:tcW w:w="9781" w:type="dxa"/>
            <w:gridSpan w:val="4"/>
            <w:shd w:val="clear" w:color="auto" w:fill="EEECE1"/>
            <w:vAlign w:val="center"/>
          </w:tcPr>
          <w:p w:rsidR="00596570" w:rsidRPr="002447B3" w:rsidRDefault="00596570" w:rsidP="009D62C6">
            <w:pPr>
              <w:widowControl w:val="0"/>
              <w:tabs>
                <w:tab w:val="left" w:pos="622"/>
              </w:tabs>
              <w:spacing w:after="0" w:line="240" w:lineRule="auto"/>
              <w:jc w:val="both"/>
              <w:rPr>
                <w:rFonts w:ascii="Times New Roman" w:hAnsi="Times New Roman"/>
                <w:b/>
                <w:bCs/>
                <w:i/>
                <w:iCs/>
                <w:sz w:val="18"/>
                <w:szCs w:val="18"/>
              </w:rPr>
            </w:pPr>
            <w:r w:rsidRPr="002447B3">
              <w:rPr>
                <w:rFonts w:ascii="Times New Roman" w:hAnsi="Times New Roman"/>
                <w:b/>
                <w:bCs/>
                <w:i/>
                <w:iCs/>
                <w:sz w:val="18"/>
                <w:szCs w:val="18"/>
              </w:rPr>
              <w:t>Intervencinių veiksmų sritis</w:t>
            </w:r>
          </w:p>
        </w:tc>
      </w:tr>
      <w:tr w:rsidR="00596570" w:rsidRPr="002447B3" w:rsidTr="00386A96">
        <w:tc>
          <w:tcPr>
            <w:tcW w:w="851" w:type="dxa"/>
            <w:shd w:val="clear" w:color="auto" w:fill="EEECE1"/>
            <w:vAlign w:val="center"/>
          </w:tcPr>
          <w:p w:rsidR="00596570" w:rsidRPr="002447B3" w:rsidRDefault="00596570" w:rsidP="009D62C6">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Fondas</w:t>
            </w:r>
          </w:p>
        </w:tc>
        <w:tc>
          <w:tcPr>
            <w:tcW w:w="709" w:type="dxa"/>
            <w:shd w:val="clear" w:color="auto" w:fill="EEECE1"/>
            <w:vAlign w:val="center"/>
          </w:tcPr>
          <w:p w:rsidR="00596570" w:rsidRPr="002447B3" w:rsidRDefault="00596570" w:rsidP="009D62C6">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Kodas</w:t>
            </w:r>
          </w:p>
        </w:tc>
        <w:tc>
          <w:tcPr>
            <w:tcW w:w="6378" w:type="dxa"/>
            <w:shd w:val="clear" w:color="auto" w:fill="EEECE1"/>
            <w:vAlign w:val="center"/>
          </w:tcPr>
          <w:p w:rsidR="00596570" w:rsidRPr="002447B3" w:rsidRDefault="00596570" w:rsidP="009D62C6">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Pavadinimas</w:t>
            </w:r>
          </w:p>
        </w:tc>
        <w:tc>
          <w:tcPr>
            <w:tcW w:w="1843" w:type="dxa"/>
            <w:shd w:val="clear" w:color="auto" w:fill="EEECE1"/>
            <w:vAlign w:val="center"/>
          </w:tcPr>
          <w:p w:rsidR="00596570" w:rsidRPr="002447B3" w:rsidRDefault="00596570" w:rsidP="009D62C6">
            <w:pPr>
              <w:widowControl w:val="0"/>
              <w:tabs>
                <w:tab w:val="left" w:pos="622"/>
              </w:tabs>
              <w:spacing w:after="0" w:line="240" w:lineRule="auto"/>
              <w:jc w:val="center"/>
              <w:rPr>
                <w:rFonts w:ascii="Times New Roman" w:hAnsi="Times New Roman"/>
                <w:b/>
                <w:bCs/>
                <w:iCs/>
                <w:sz w:val="18"/>
                <w:szCs w:val="18"/>
              </w:rPr>
            </w:pPr>
            <w:r w:rsidRPr="002447B3">
              <w:rPr>
                <w:rFonts w:ascii="Times New Roman" w:hAnsi="Times New Roman"/>
                <w:b/>
                <w:bCs/>
                <w:iCs/>
                <w:sz w:val="18"/>
                <w:szCs w:val="18"/>
              </w:rPr>
              <w:t>Finansinė proporcija (eurais)</w:t>
            </w:r>
          </w:p>
        </w:tc>
      </w:tr>
      <w:tr w:rsidR="00596570" w:rsidRPr="00A50C23" w:rsidTr="00386A96">
        <w:tc>
          <w:tcPr>
            <w:tcW w:w="851" w:type="dxa"/>
            <w:shd w:val="clear" w:color="auto" w:fill="auto"/>
            <w:vAlign w:val="center"/>
          </w:tcPr>
          <w:p w:rsidR="00596570" w:rsidRPr="00A50C23" w:rsidRDefault="00596570" w:rsidP="009D62C6">
            <w:pPr>
              <w:widowControl w:val="0"/>
              <w:tabs>
                <w:tab w:val="left" w:pos="622"/>
              </w:tabs>
              <w:spacing w:after="0" w:line="240" w:lineRule="auto"/>
              <w:rPr>
                <w:rFonts w:ascii="Times New Roman" w:eastAsia="AngsanaUPC" w:hAnsi="Times New Roman"/>
                <w:bCs/>
                <w:sz w:val="18"/>
                <w:szCs w:val="18"/>
                <w:lang w:val="en-GB" w:eastAsia="lt-LT"/>
              </w:rPr>
            </w:pPr>
            <w:r w:rsidRPr="00A50C23">
              <w:rPr>
                <w:rFonts w:ascii="Times New Roman" w:eastAsia="AngsanaUPC" w:hAnsi="Times New Roman"/>
                <w:bCs/>
                <w:sz w:val="18"/>
                <w:szCs w:val="18"/>
                <w:lang w:val="en-GB" w:eastAsia="lt-LT"/>
              </w:rPr>
              <w:t>ESF</w:t>
            </w:r>
          </w:p>
        </w:tc>
        <w:tc>
          <w:tcPr>
            <w:tcW w:w="709" w:type="dxa"/>
            <w:shd w:val="clear" w:color="auto" w:fill="auto"/>
            <w:vAlign w:val="center"/>
          </w:tcPr>
          <w:p w:rsidR="00596570" w:rsidRPr="00A50C23" w:rsidRDefault="00596570" w:rsidP="009D62C6">
            <w:pPr>
              <w:widowControl w:val="0"/>
              <w:tabs>
                <w:tab w:val="left" w:pos="622"/>
              </w:tabs>
              <w:spacing w:after="0" w:line="240" w:lineRule="auto"/>
              <w:rPr>
                <w:rFonts w:ascii="Times New Roman" w:eastAsia="AngsanaUPC" w:hAnsi="Times New Roman"/>
                <w:bCs/>
                <w:sz w:val="18"/>
                <w:szCs w:val="18"/>
                <w:lang w:val="en-GB" w:eastAsia="lt-LT"/>
              </w:rPr>
            </w:pPr>
            <w:r w:rsidRPr="00A50C23">
              <w:rPr>
                <w:rFonts w:ascii="Times New Roman" w:eastAsia="AngsanaUPC" w:hAnsi="Times New Roman"/>
                <w:bCs/>
                <w:sz w:val="18"/>
                <w:szCs w:val="18"/>
                <w:lang w:val="en-GB" w:eastAsia="lt-LT"/>
              </w:rPr>
              <w:t>119</w:t>
            </w:r>
          </w:p>
        </w:tc>
        <w:tc>
          <w:tcPr>
            <w:tcW w:w="6378" w:type="dxa"/>
            <w:shd w:val="clear" w:color="auto" w:fill="auto"/>
            <w:vAlign w:val="center"/>
          </w:tcPr>
          <w:p w:rsidR="00596570" w:rsidRPr="00A50C23" w:rsidRDefault="00596570" w:rsidP="00596570">
            <w:pPr>
              <w:widowControl w:val="0"/>
              <w:tabs>
                <w:tab w:val="left" w:pos="622"/>
              </w:tabs>
              <w:spacing w:after="0" w:line="240" w:lineRule="auto"/>
              <w:rPr>
                <w:rFonts w:ascii="Times New Roman" w:eastAsia="AngsanaUPC" w:hAnsi="Times New Roman"/>
                <w:bCs/>
                <w:sz w:val="18"/>
                <w:szCs w:val="18"/>
                <w:lang w:eastAsia="lt-LT"/>
              </w:rPr>
            </w:pPr>
            <w:r w:rsidRPr="00A50C23">
              <w:rPr>
                <w:rFonts w:ascii="Times New Roman" w:eastAsia="AngsanaUPC" w:hAnsi="Times New Roman"/>
                <w:bCs/>
                <w:sz w:val="18"/>
                <w:szCs w:val="18"/>
                <w:lang w:eastAsia="lt-LT"/>
              </w:rPr>
              <w:t>Investavimas į institucinius gebėjimus ir viešojo administravimo subjektų bei viešųjų paslaugų veiksmingumą nacionaliniu, regioniniu ir vietos lygmenimis siekiant reformų, geresnio reglamentavimo ir gero valdymo</w:t>
            </w:r>
          </w:p>
        </w:tc>
        <w:tc>
          <w:tcPr>
            <w:tcW w:w="1843" w:type="dxa"/>
            <w:shd w:val="clear" w:color="auto" w:fill="auto"/>
            <w:vAlign w:val="center"/>
          </w:tcPr>
          <w:p w:rsidR="00596570" w:rsidRPr="00A50C23" w:rsidRDefault="0042276D" w:rsidP="00D47A28">
            <w:pPr>
              <w:widowControl w:val="0"/>
              <w:tabs>
                <w:tab w:val="left" w:pos="622"/>
              </w:tabs>
              <w:spacing w:after="0" w:line="240" w:lineRule="auto"/>
              <w:jc w:val="right"/>
              <w:rPr>
                <w:rFonts w:ascii="Times New Roman" w:eastAsia="AngsanaUPC" w:hAnsi="Times New Roman"/>
                <w:bCs/>
                <w:sz w:val="18"/>
                <w:szCs w:val="18"/>
                <w:lang w:val="en-GB" w:eastAsia="lt-LT"/>
              </w:rPr>
            </w:pPr>
            <w:r w:rsidRPr="004E77F7">
              <w:rPr>
                <w:rFonts w:ascii="Times New Roman" w:eastAsia="AngsanaUPC" w:hAnsi="Times New Roman"/>
                <w:bCs/>
                <w:sz w:val="18"/>
                <w:szCs w:val="18"/>
                <w:lang w:eastAsia="lt-LT"/>
              </w:rPr>
              <w:t>1</w:t>
            </w:r>
            <w:r w:rsidR="00723F29" w:rsidRPr="004E77F7">
              <w:rPr>
                <w:rFonts w:ascii="Times New Roman" w:eastAsia="AngsanaUPC" w:hAnsi="Times New Roman"/>
                <w:bCs/>
                <w:sz w:val="18"/>
                <w:szCs w:val="18"/>
                <w:lang w:eastAsia="lt-LT"/>
              </w:rPr>
              <w:t>07</w:t>
            </w:r>
            <w:r w:rsidR="00A50C23" w:rsidRPr="004E77F7">
              <w:rPr>
                <w:rFonts w:ascii="Times New Roman" w:eastAsia="AngsanaUPC" w:hAnsi="Times New Roman"/>
                <w:bCs/>
                <w:sz w:val="18"/>
                <w:szCs w:val="18"/>
                <w:lang w:eastAsia="lt-LT"/>
              </w:rPr>
              <w:t>.</w:t>
            </w:r>
            <w:r w:rsidR="00D47A28" w:rsidRPr="004E77F7">
              <w:rPr>
                <w:rFonts w:ascii="Times New Roman" w:eastAsia="AngsanaUPC" w:hAnsi="Times New Roman"/>
                <w:bCs/>
                <w:sz w:val="18"/>
                <w:szCs w:val="18"/>
                <w:lang w:eastAsia="lt-LT"/>
              </w:rPr>
              <w:t>4</w:t>
            </w:r>
            <w:r w:rsidRPr="004E77F7">
              <w:rPr>
                <w:rFonts w:ascii="Times New Roman" w:eastAsia="AngsanaUPC" w:hAnsi="Times New Roman"/>
                <w:bCs/>
                <w:sz w:val="18"/>
                <w:szCs w:val="18"/>
                <w:lang w:eastAsia="lt-LT"/>
              </w:rPr>
              <w:t>59</w:t>
            </w:r>
            <w:r w:rsidR="00A50C23" w:rsidRPr="004E77F7">
              <w:rPr>
                <w:rFonts w:ascii="Times New Roman" w:eastAsia="AngsanaUPC" w:hAnsi="Times New Roman"/>
                <w:bCs/>
                <w:sz w:val="18"/>
                <w:szCs w:val="18"/>
                <w:lang w:eastAsia="lt-LT"/>
              </w:rPr>
              <w:t>.</w:t>
            </w:r>
            <w:r w:rsidRPr="004E77F7">
              <w:rPr>
                <w:rFonts w:ascii="Times New Roman" w:eastAsia="AngsanaUPC" w:hAnsi="Times New Roman"/>
                <w:bCs/>
                <w:sz w:val="18"/>
                <w:szCs w:val="18"/>
                <w:lang w:eastAsia="lt-LT"/>
              </w:rPr>
              <w:t>184</w:t>
            </w:r>
          </w:p>
        </w:tc>
      </w:tr>
    </w:tbl>
    <w:p w:rsidR="00596570" w:rsidRPr="002447B3" w:rsidRDefault="00596570" w:rsidP="00596570">
      <w:pPr>
        <w:widowControl w:val="0"/>
        <w:tabs>
          <w:tab w:val="left" w:pos="622"/>
        </w:tabs>
        <w:spacing w:after="0" w:line="240" w:lineRule="auto"/>
        <w:jc w:val="both"/>
        <w:rPr>
          <w:rFonts w:ascii="Times New Roman" w:hAnsi="Times New Roman"/>
          <w:iCs/>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9"/>
        <w:gridCol w:w="6378"/>
        <w:gridCol w:w="1808"/>
      </w:tblGrid>
      <w:tr w:rsidR="00596570" w:rsidRPr="002447B3" w:rsidTr="009D62C6">
        <w:tc>
          <w:tcPr>
            <w:tcW w:w="9746" w:type="dxa"/>
            <w:gridSpan w:val="4"/>
            <w:shd w:val="clear" w:color="auto" w:fill="EEECE1"/>
          </w:tcPr>
          <w:p w:rsidR="00596570" w:rsidRPr="002447B3" w:rsidRDefault="00596570" w:rsidP="009D62C6">
            <w:pPr>
              <w:widowControl w:val="0"/>
              <w:tabs>
                <w:tab w:val="left" w:pos="622"/>
              </w:tabs>
              <w:spacing w:after="0" w:line="240" w:lineRule="auto"/>
              <w:jc w:val="both"/>
              <w:rPr>
                <w:rFonts w:ascii="Times New Roman" w:hAnsi="Times New Roman"/>
                <w:i/>
                <w:iCs/>
                <w:sz w:val="18"/>
                <w:szCs w:val="18"/>
              </w:rPr>
            </w:pPr>
            <w:r w:rsidRPr="002447B3">
              <w:rPr>
                <w:rFonts w:ascii="Times New Roman" w:hAnsi="Times New Roman"/>
                <w:b/>
                <w:bCs/>
                <w:i/>
                <w:iCs/>
                <w:sz w:val="18"/>
                <w:szCs w:val="18"/>
              </w:rPr>
              <w:t>Finansavimo forma</w:t>
            </w:r>
          </w:p>
        </w:tc>
      </w:tr>
      <w:tr w:rsidR="00596570" w:rsidRPr="002447B3" w:rsidTr="00386A96">
        <w:tc>
          <w:tcPr>
            <w:tcW w:w="851" w:type="dxa"/>
            <w:shd w:val="clear" w:color="auto" w:fill="EEECE1"/>
            <w:vAlign w:val="center"/>
          </w:tcPr>
          <w:p w:rsidR="00596570" w:rsidRPr="002447B3" w:rsidRDefault="00596570" w:rsidP="009D62C6">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Fondas</w:t>
            </w:r>
          </w:p>
        </w:tc>
        <w:tc>
          <w:tcPr>
            <w:tcW w:w="709" w:type="dxa"/>
            <w:shd w:val="clear" w:color="auto" w:fill="EEECE1"/>
            <w:vAlign w:val="center"/>
          </w:tcPr>
          <w:p w:rsidR="00596570" w:rsidRPr="002447B3" w:rsidRDefault="00596570" w:rsidP="009D62C6">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Kodas</w:t>
            </w:r>
          </w:p>
        </w:tc>
        <w:tc>
          <w:tcPr>
            <w:tcW w:w="6378" w:type="dxa"/>
            <w:shd w:val="clear" w:color="auto" w:fill="EEECE1"/>
            <w:vAlign w:val="center"/>
          </w:tcPr>
          <w:p w:rsidR="00596570" w:rsidRPr="002447B3" w:rsidRDefault="00596570" w:rsidP="009D62C6">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Pavadinimas</w:t>
            </w:r>
          </w:p>
        </w:tc>
        <w:tc>
          <w:tcPr>
            <w:tcW w:w="1808" w:type="dxa"/>
            <w:shd w:val="clear" w:color="auto" w:fill="EEECE1"/>
            <w:vAlign w:val="center"/>
          </w:tcPr>
          <w:p w:rsidR="00596570" w:rsidRPr="002447B3" w:rsidRDefault="00596570" w:rsidP="009D62C6">
            <w:pPr>
              <w:widowControl w:val="0"/>
              <w:tabs>
                <w:tab w:val="left" w:pos="622"/>
              </w:tabs>
              <w:spacing w:after="0" w:line="240" w:lineRule="auto"/>
              <w:jc w:val="center"/>
              <w:rPr>
                <w:rFonts w:ascii="Times New Roman" w:hAnsi="Times New Roman"/>
                <w:b/>
                <w:bCs/>
                <w:iCs/>
                <w:sz w:val="18"/>
                <w:szCs w:val="18"/>
              </w:rPr>
            </w:pPr>
            <w:r w:rsidRPr="002447B3">
              <w:rPr>
                <w:rFonts w:ascii="Times New Roman" w:hAnsi="Times New Roman"/>
                <w:b/>
                <w:bCs/>
                <w:iCs/>
                <w:sz w:val="18"/>
                <w:szCs w:val="18"/>
              </w:rPr>
              <w:t>Finansinė proporcija (eurais)</w:t>
            </w:r>
          </w:p>
        </w:tc>
      </w:tr>
      <w:tr w:rsidR="00596570" w:rsidRPr="00D54F90" w:rsidTr="00386A96">
        <w:tc>
          <w:tcPr>
            <w:tcW w:w="851" w:type="dxa"/>
            <w:shd w:val="clear" w:color="auto" w:fill="auto"/>
            <w:vAlign w:val="center"/>
          </w:tcPr>
          <w:p w:rsidR="00596570" w:rsidRPr="00A50C23" w:rsidRDefault="00596570" w:rsidP="009D62C6">
            <w:pPr>
              <w:widowControl w:val="0"/>
              <w:tabs>
                <w:tab w:val="left" w:pos="622"/>
              </w:tabs>
              <w:spacing w:after="0" w:line="240" w:lineRule="auto"/>
              <w:rPr>
                <w:rFonts w:ascii="Times New Roman" w:eastAsia="AngsanaUPC" w:hAnsi="Times New Roman"/>
                <w:bCs/>
                <w:sz w:val="18"/>
                <w:szCs w:val="18"/>
                <w:lang w:val="en-GB" w:eastAsia="lt-LT"/>
              </w:rPr>
            </w:pPr>
            <w:r w:rsidRPr="00A50C23">
              <w:rPr>
                <w:rFonts w:ascii="Times New Roman" w:eastAsia="AngsanaUPC" w:hAnsi="Times New Roman"/>
                <w:bCs/>
                <w:sz w:val="18"/>
                <w:szCs w:val="18"/>
                <w:lang w:val="en-GB" w:eastAsia="lt-LT"/>
              </w:rPr>
              <w:t>ESF</w:t>
            </w:r>
          </w:p>
        </w:tc>
        <w:tc>
          <w:tcPr>
            <w:tcW w:w="709" w:type="dxa"/>
            <w:shd w:val="clear" w:color="auto" w:fill="auto"/>
            <w:vAlign w:val="center"/>
          </w:tcPr>
          <w:p w:rsidR="00596570" w:rsidRPr="00A50C23" w:rsidRDefault="00596570" w:rsidP="009D62C6">
            <w:pPr>
              <w:widowControl w:val="0"/>
              <w:tabs>
                <w:tab w:val="left" w:pos="622"/>
              </w:tabs>
              <w:spacing w:after="0" w:line="240" w:lineRule="auto"/>
              <w:rPr>
                <w:rFonts w:ascii="Times New Roman" w:eastAsia="AngsanaUPC" w:hAnsi="Times New Roman"/>
                <w:bCs/>
                <w:sz w:val="18"/>
                <w:szCs w:val="18"/>
                <w:lang w:eastAsia="lt-LT"/>
              </w:rPr>
            </w:pPr>
            <w:r w:rsidRPr="00A50C23">
              <w:rPr>
                <w:rFonts w:ascii="Times New Roman" w:eastAsia="AngsanaUPC" w:hAnsi="Times New Roman"/>
                <w:bCs/>
                <w:sz w:val="18"/>
                <w:szCs w:val="18"/>
                <w:lang w:eastAsia="lt-LT"/>
              </w:rPr>
              <w:t>01</w:t>
            </w:r>
          </w:p>
        </w:tc>
        <w:tc>
          <w:tcPr>
            <w:tcW w:w="6378" w:type="dxa"/>
            <w:shd w:val="clear" w:color="auto" w:fill="auto"/>
            <w:vAlign w:val="center"/>
          </w:tcPr>
          <w:p w:rsidR="00596570" w:rsidRPr="00A50C23" w:rsidRDefault="00596570" w:rsidP="009D62C6">
            <w:pPr>
              <w:widowControl w:val="0"/>
              <w:tabs>
                <w:tab w:val="left" w:pos="622"/>
              </w:tabs>
              <w:spacing w:after="0" w:line="240" w:lineRule="auto"/>
              <w:rPr>
                <w:rFonts w:ascii="Times New Roman" w:eastAsia="AngsanaUPC" w:hAnsi="Times New Roman"/>
                <w:bCs/>
                <w:sz w:val="18"/>
                <w:szCs w:val="18"/>
                <w:lang w:eastAsia="lt-LT"/>
              </w:rPr>
            </w:pPr>
            <w:r w:rsidRPr="00A50C23">
              <w:rPr>
                <w:rFonts w:ascii="Times New Roman" w:eastAsia="AngsanaUPC" w:hAnsi="Times New Roman"/>
                <w:bCs/>
                <w:sz w:val="18"/>
                <w:szCs w:val="18"/>
                <w:lang w:eastAsia="lt-LT"/>
              </w:rPr>
              <w:t>Negrąžinamoji subsidija</w:t>
            </w:r>
          </w:p>
        </w:tc>
        <w:tc>
          <w:tcPr>
            <w:tcW w:w="1808" w:type="dxa"/>
            <w:shd w:val="clear" w:color="auto" w:fill="auto"/>
            <w:vAlign w:val="center"/>
          </w:tcPr>
          <w:p w:rsidR="00596570" w:rsidRPr="00D54F90" w:rsidRDefault="0042276D" w:rsidP="00D47A28">
            <w:pPr>
              <w:widowControl w:val="0"/>
              <w:tabs>
                <w:tab w:val="left" w:pos="622"/>
              </w:tabs>
              <w:spacing w:after="0" w:line="240" w:lineRule="auto"/>
              <w:jc w:val="right"/>
              <w:rPr>
                <w:rFonts w:ascii="Times New Roman" w:eastAsia="AngsanaUPC" w:hAnsi="Times New Roman"/>
                <w:bCs/>
                <w:sz w:val="18"/>
                <w:szCs w:val="18"/>
                <w:lang w:val="en-GB" w:eastAsia="lt-LT"/>
              </w:rPr>
            </w:pPr>
            <w:r w:rsidRPr="004E77F7">
              <w:rPr>
                <w:rFonts w:ascii="Times New Roman" w:eastAsia="AngsanaUPC" w:hAnsi="Times New Roman"/>
                <w:bCs/>
                <w:sz w:val="18"/>
                <w:szCs w:val="18"/>
                <w:lang w:eastAsia="lt-LT"/>
              </w:rPr>
              <w:t>1</w:t>
            </w:r>
            <w:r w:rsidR="00723F29" w:rsidRPr="004E77F7">
              <w:rPr>
                <w:rFonts w:ascii="Times New Roman" w:eastAsia="AngsanaUPC" w:hAnsi="Times New Roman"/>
                <w:bCs/>
                <w:sz w:val="18"/>
                <w:szCs w:val="18"/>
                <w:lang w:eastAsia="lt-LT"/>
              </w:rPr>
              <w:t>07</w:t>
            </w:r>
            <w:r w:rsidR="00D47A28" w:rsidRPr="004E77F7">
              <w:rPr>
                <w:rFonts w:ascii="Times New Roman" w:eastAsia="AngsanaUPC" w:hAnsi="Times New Roman"/>
                <w:bCs/>
                <w:sz w:val="18"/>
                <w:szCs w:val="18"/>
                <w:lang w:eastAsia="lt-LT"/>
              </w:rPr>
              <w:t>.459</w:t>
            </w:r>
            <w:r w:rsidR="00A50C23" w:rsidRPr="004E77F7">
              <w:rPr>
                <w:rFonts w:ascii="Times New Roman" w:eastAsia="AngsanaUPC" w:hAnsi="Times New Roman"/>
                <w:bCs/>
                <w:sz w:val="18"/>
                <w:szCs w:val="18"/>
                <w:lang w:eastAsia="lt-LT"/>
              </w:rPr>
              <w:t>.</w:t>
            </w:r>
            <w:r w:rsidRPr="004E77F7">
              <w:rPr>
                <w:rFonts w:ascii="Times New Roman" w:eastAsia="AngsanaUPC" w:hAnsi="Times New Roman"/>
                <w:bCs/>
                <w:sz w:val="18"/>
                <w:szCs w:val="18"/>
                <w:lang w:eastAsia="lt-LT"/>
              </w:rPr>
              <w:t>184</w:t>
            </w:r>
          </w:p>
        </w:tc>
      </w:tr>
    </w:tbl>
    <w:p w:rsidR="00596570" w:rsidRPr="002447B3" w:rsidRDefault="00596570" w:rsidP="00596570">
      <w:pPr>
        <w:widowControl w:val="0"/>
        <w:tabs>
          <w:tab w:val="left" w:pos="622"/>
        </w:tabs>
        <w:spacing w:after="0" w:line="240" w:lineRule="auto"/>
        <w:jc w:val="both"/>
        <w:rPr>
          <w:rFonts w:ascii="Times New Roman" w:hAnsi="Times New Roman"/>
          <w:iCs/>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9"/>
        <w:gridCol w:w="6378"/>
        <w:gridCol w:w="1808"/>
      </w:tblGrid>
      <w:tr w:rsidR="00596570" w:rsidRPr="002447B3" w:rsidTr="009D62C6">
        <w:tc>
          <w:tcPr>
            <w:tcW w:w="9746" w:type="dxa"/>
            <w:gridSpan w:val="4"/>
            <w:shd w:val="clear" w:color="auto" w:fill="EEECE1"/>
          </w:tcPr>
          <w:p w:rsidR="00596570" w:rsidRPr="002447B3" w:rsidRDefault="00596570" w:rsidP="009D62C6">
            <w:pPr>
              <w:widowControl w:val="0"/>
              <w:tabs>
                <w:tab w:val="left" w:pos="622"/>
              </w:tabs>
              <w:spacing w:after="0" w:line="240" w:lineRule="auto"/>
              <w:jc w:val="both"/>
              <w:rPr>
                <w:rFonts w:ascii="Times New Roman" w:hAnsi="Times New Roman"/>
                <w:i/>
                <w:iCs/>
                <w:sz w:val="18"/>
                <w:szCs w:val="18"/>
              </w:rPr>
            </w:pPr>
            <w:r w:rsidRPr="002447B3">
              <w:rPr>
                <w:rFonts w:ascii="Times New Roman" w:hAnsi="Times New Roman"/>
                <w:b/>
                <w:bCs/>
                <w:i/>
                <w:iCs/>
                <w:sz w:val="18"/>
                <w:szCs w:val="18"/>
              </w:rPr>
              <w:t>Teritorijų tipas</w:t>
            </w:r>
          </w:p>
        </w:tc>
      </w:tr>
      <w:tr w:rsidR="00596570" w:rsidRPr="002447B3" w:rsidTr="00386A96">
        <w:tc>
          <w:tcPr>
            <w:tcW w:w="851" w:type="dxa"/>
            <w:shd w:val="clear" w:color="auto" w:fill="EEECE1"/>
            <w:vAlign w:val="center"/>
          </w:tcPr>
          <w:p w:rsidR="00596570" w:rsidRPr="002447B3" w:rsidRDefault="00596570" w:rsidP="009D62C6">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Fondas</w:t>
            </w:r>
          </w:p>
        </w:tc>
        <w:tc>
          <w:tcPr>
            <w:tcW w:w="709" w:type="dxa"/>
            <w:shd w:val="clear" w:color="auto" w:fill="EEECE1"/>
            <w:vAlign w:val="center"/>
          </w:tcPr>
          <w:p w:rsidR="00596570" w:rsidRPr="002447B3" w:rsidRDefault="00596570" w:rsidP="009D62C6">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Kodas</w:t>
            </w:r>
          </w:p>
        </w:tc>
        <w:tc>
          <w:tcPr>
            <w:tcW w:w="6378" w:type="dxa"/>
            <w:shd w:val="clear" w:color="auto" w:fill="EEECE1"/>
            <w:vAlign w:val="center"/>
          </w:tcPr>
          <w:p w:rsidR="00596570" w:rsidRPr="002447B3" w:rsidRDefault="00596570" w:rsidP="009D62C6">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Pavadinimas</w:t>
            </w:r>
          </w:p>
        </w:tc>
        <w:tc>
          <w:tcPr>
            <w:tcW w:w="1808" w:type="dxa"/>
            <w:shd w:val="clear" w:color="auto" w:fill="EEECE1"/>
            <w:vAlign w:val="center"/>
          </w:tcPr>
          <w:p w:rsidR="00596570" w:rsidRPr="002447B3" w:rsidRDefault="00596570" w:rsidP="009D62C6">
            <w:pPr>
              <w:widowControl w:val="0"/>
              <w:tabs>
                <w:tab w:val="left" w:pos="622"/>
              </w:tabs>
              <w:spacing w:after="0" w:line="240" w:lineRule="auto"/>
              <w:jc w:val="center"/>
              <w:rPr>
                <w:rFonts w:ascii="Times New Roman" w:hAnsi="Times New Roman"/>
                <w:b/>
                <w:bCs/>
                <w:iCs/>
                <w:sz w:val="18"/>
                <w:szCs w:val="18"/>
              </w:rPr>
            </w:pPr>
            <w:r w:rsidRPr="002447B3">
              <w:rPr>
                <w:rFonts w:ascii="Times New Roman" w:hAnsi="Times New Roman"/>
                <w:b/>
                <w:bCs/>
                <w:iCs/>
                <w:sz w:val="18"/>
                <w:szCs w:val="18"/>
              </w:rPr>
              <w:t>Finansinė proporcija (eurais)</w:t>
            </w:r>
          </w:p>
        </w:tc>
      </w:tr>
      <w:tr w:rsidR="00596570" w:rsidRPr="00D54F90" w:rsidTr="00386A96">
        <w:tc>
          <w:tcPr>
            <w:tcW w:w="851" w:type="dxa"/>
            <w:shd w:val="clear" w:color="auto" w:fill="auto"/>
            <w:vAlign w:val="center"/>
          </w:tcPr>
          <w:p w:rsidR="00596570" w:rsidRPr="00A50C23" w:rsidRDefault="00596570" w:rsidP="009D62C6">
            <w:pPr>
              <w:widowControl w:val="0"/>
              <w:tabs>
                <w:tab w:val="left" w:pos="622"/>
              </w:tabs>
              <w:spacing w:after="0" w:line="240" w:lineRule="auto"/>
              <w:rPr>
                <w:rFonts w:ascii="Times New Roman" w:eastAsia="AngsanaUPC" w:hAnsi="Times New Roman"/>
                <w:bCs/>
                <w:sz w:val="18"/>
                <w:szCs w:val="18"/>
                <w:lang w:val="en-GB" w:eastAsia="lt-LT"/>
              </w:rPr>
            </w:pPr>
            <w:r w:rsidRPr="00A50C23">
              <w:rPr>
                <w:rFonts w:ascii="Times New Roman" w:eastAsia="AngsanaUPC" w:hAnsi="Times New Roman"/>
                <w:bCs/>
                <w:sz w:val="18"/>
                <w:szCs w:val="18"/>
                <w:lang w:val="en-GB" w:eastAsia="lt-LT"/>
              </w:rPr>
              <w:t>ESF</w:t>
            </w:r>
          </w:p>
        </w:tc>
        <w:tc>
          <w:tcPr>
            <w:tcW w:w="709" w:type="dxa"/>
            <w:shd w:val="clear" w:color="auto" w:fill="auto"/>
            <w:vAlign w:val="center"/>
          </w:tcPr>
          <w:p w:rsidR="00596570" w:rsidRPr="00A50C23" w:rsidRDefault="00596570" w:rsidP="009D62C6">
            <w:pPr>
              <w:widowControl w:val="0"/>
              <w:tabs>
                <w:tab w:val="left" w:pos="622"/>
              </w:tabs>
              <w:spacing w:after="0" w:line="240" w:lineRule="auto"/>
              <w:rPr>
                <w:rFonts w:ascii="Times New Roman" w:eastAsia="AngsanaUPC" w:hAnsi="Times New Roman"/>
                <w:bCs/>
                <w:sz w:val="18"/>
                <w:szCs w:val="18"/>
                <w:lang w:val="en-GB" w:eastAsia="lt-LT"/>
              </w:rPr>
            </w:pPr>
            <w:r w:rsidRPr="00A50C23">
              <w:rPr>
                <w:rFonts w:ascii="Times New Roman" w:eastAsia="AngsanaUPC" w:hAnsi="Times New Roman"/>
                <w:bCs/>
                <w:sz w:val="18"/>
                <w:szCs w:val="18"/>
                <w:lang w:val="en-GB" w:eastAsia="lt-LT"/>
              </w:rPr>
              <w:t>07</w:t>
            </w:r>
          </w:p>
        </w:tc>
        <w:tc>
          <w:tcPr>
            <w:tcW w:w="6378" w:type="dxa"/>
            <w:shd w:val="clear" w:color="auto" w:fill="auto"/>
            <w:vAlign w:val="center"/>
          </w:tcPr>
          <w:p w:rsidR="00596570" w:rsidRPr="00A50C23" w:rsidRDefault="00596570" w:rsidP="009D62C6">
            <w:pPr>
              <w:widowControl w:val="0"/>
              <w:tabs>
                <w:tab w:val="left" w:pos="622"/>
              </w:tabs>
              <w:spacing w:after="0" w:line="240" w:lineRule="auto"/>
              <w:jc w:val="both"/>
              <w:rPr>
                <w:rFonts w:ascii="Times New Roman" w:hAnsi="Times New Roman"/>
                <w:bCs/>
                <w:iCs/>
                <w:sz w:val="18"/>
                <w:szCs w:val="18"/>
              </w:rPr>
            </w:pPr>
            <w:r w:rsidRPr="00A50C23">
              <w:rPr>
                <w:rFonts w:ascii="Times New Roman" w:hAnsi="Times New Roman"/>
                <w:bCs/>
                <w:iCs/>
                <w:sz w:val="18"/>
                <w:szCs w:val="18"/>
              </w:rPr>
              <w:t>Netaikoma</w:t>
            </w:r>
          </w:p>
        </w:tc>
        <w:tc>
          <w:tcPr>
            <w:tcW w:w="1808" w:type="dxa"/>
            <w:shd w:val="clear" w:color="auto" w:fill="auto"/>
            <w:vAlign w:val="center"/>
          </w:tcPr>
          <w:p w:rsidR="00596570" w:rsidRPr="00D54F90" w:rsidRDefault="00723F29" w:rsidP="009D62C6">
            <w:pPr>
              <w:widowControl w:val="0"/>
              <w:tabs>
                <w:tab w:val="left" w:pos="622"/>
              </w:tabs>
              <w:spacing w:after="0" w:line="240" w:lineRule="auto"/>
              <w:jc w:val="right"/>
              <w:rPr>
                <w:rFonts w:ascii="Times New Roman" w:eastAsia="AngsanaUPC" w:hAnsi="Times New Roman"/>
                <w:bCs/>
                <w:sz w:val="18"/>
                <w:szCs w:val="18"/>
                <w:lang w:val="en-GB" w:eastAsia="lt-LT"/>
              </w:rPr>
            </w:pPr>
            <w:r w:rsidRPr="004E77F7">
              <w:rPr>
                <w:rFonts w:ascii="Times New Roman" w:eastAsia="AngsanaUPC" w:hAnsi="Times New Roman"/>
                <w:bCs/>
                <w:sz w:val="18"/>
                <w:szCs w:val="18"/>
                <w:lang w:eastAsia="lt-LT"/>
              </w:rPr>
              <w:t>107</w:t>
            </w:r>
            <w:r w:rsidR="00A50C23" w:rsidRPr="004E77F7">
              <w:rPr>
                <w:rFonts w:ascii="Times New Roman" w:eastAsia="AngsanaUPC" w:hAnsi="Times New Roman"/>
                <w:bCs/>
                <w:sz w:val="18"/>
                <w:szCs w:val="18"/>
                <w:lang w:eastAsia="lt-LT"/>
              </w:rPr>
              <w:t>.</w:t>
            </w:r>
            <w:r w:rsidR="00D47A28" w:rsidRPr="004E77F7">
              <w:rPr>
                <w:rFonts w:ascii="Times New Roman" w:eastAsia="AngsanaUPC" w:hAnsi="Times New Roman"/>
                <w:bCs/>
                <w:sz w:val="18"/>
                <w:szCs w:val="18"/>
                <w:lang w:eastAsia="lt-LT"/>
              </w:rPr>
              <w:t>459</w:t>
            </w:r>
            <w:r w:rsidR="00A50C23" w:rsidRPr="004E77F7">
              <w:rPr>
                <w:rFonts w:ascii="Times New Roman" w:eastAsia="AngsanaUPC" w:hAnsi="Times New Roman"/>
                <w:bCs/>
                <w:sz w:val="18"/>
                <w:szCs w:val="18"/>
                <w:lang w:eastAsia="lt-LT"/>
              </w:rPr>
              <w:t>.</w:t>
            </w:r>
            <w:r w:rsidR="0042276D" w:rsidRPr="004E77F7">
              <w:rPr>
                <w:rFonts w:ascii="Times New Roman" w:eastAsia="AngsanaUPC" w:hAnsi="Times New Roman"/>
                <w:bCs/>
                <w:sz w:val="18"/>
                <w:szCs w:val="18"/>
                <w:lang w:eastAsia="lt-LT"/>
              </w:rPr>
              <w:t>184</w:t>
            </w:r>
          </w:p>
        </w:tc>
      </w:tr>
    </w:tbl>
    <w:p w:rsidR="00596570" w:rsidRPr="002447B3" w:rsidRDefault="00596570" w:rsidP="00596570">
      <w:pPr>
        <w:widowControl w:val="0"/>
        <w:tabs>
          <w:tab w:val="left" w:pos="622"/>
        </w:tabs>
        <w:spacing w:after="0" w:line="240" w:lineRule="auto"/>
        <w:jc w:val="both"/>
        <w:rPr>
          <w:rFonts w:ascii="Times New Roman" w:hAnsi="Times New Roman"/>
          <w:iCs/>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9"/>
        <w:gridCol w:w="6378"/>
        <w:gridCol w:w="1808"/>
      </w:tblGrid>
      <w:tr w:rsidR="00596570" w:rsidRPr="002447B3" w:rsidTr="009D62C6">
        <w:tc>
          <w:tcPr>
            <w:tcW w:w="9746" w:type="dxa"/>
            <w:gridSpan w:val="4"/>
            <w:shd w:val="clear" w:color="auto" w:fill="EEECE1"/>
          </w:tcPr>
          <w:p w:rsidR="00596570" w:rsidRPr="002447B3" w:rsidRDefault="00596570" w:rsidP="009D62C6">
            <w:pPr>
              <w:widowControl w:val="0"/>
              <w:tabs>
                <w:tab w:val="left" w:pos="622"/>
              </w:tabs>
              <w:spacing w:after="0" w:line="240" w:lineRule="auto"/>
              <w:jc w:val="both"/>
              <w:rPr>
                <w:rFonts w:ascii="Times New Roman" w:hAnsi="Times New Roman"/>
                <w:i/>
                <w:iCs/>
                <w:sz w:val="18"/>
                <w:szCs w:val="18"/>
              </w:rPr>
            </w:pPr>
            <w:r w:rsidRPr="002447B3">
              <w:rPr>
                <w:rFonts w:ascii="Times New Roman" w:hAnsi="Times New Roman"/>
                <w:b/>
                <w:bCs/>
                <w:i/>
                <w:iCs/>
                <w:sz w:val="18"/>
                <w:szCs w:val="18"/>
              </w:rPr>
              <w:t>Teritorinės paramos paskirstymo priemonės</w:t>
            </w:r>
          </w:p>
        </w:tc>
      </w:tr>
      <w:tr w:rsidR="00596570" w:rsidRPr="002447B3" w:rsidTr="00386A96">
        <w:tc>
          <w:tcPr>
            <w:tcW w:w="851" w:type="dxa"/>
            <w:shd w:val="clear" w:color="auto" w:fill="EEECE1"/>
            <w:vAlign w:val="center"/>
          </w:tcPr>
          <w:p w:rsidR="00596570" w:rsidRPr="002447B3" w:rsidRDefault="00596570" w:rsidP="009D62C6">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Fondas</w:t>
            </w:r>
          </w:p>
        </w:tc>
        <w:tc>
          <w:tcPr>
            <w:tcW w:w="709" w:type="dxa"/>
            <w:shd w:val="clear" w:color="auto" w:fill="EEECE1"/>
            <w:vAlign w:val="center"/>
          </w:tcPr>
          <w:p w:rsidR="00596570" w:rsidRPr="002447B3" w:rsidRDefault="00596570" w:rsidP="009D62C6">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Kodas</w:t>
            </w:r>
          </w:p>
        </w:tc>
        <w:tc>
          <w:tcPr>
            <w:tcW w:w="6378" w:type="dxa"/>
            <w:shd w:val="clear" w:color="auto" w:fill="EEECE1"/>
            <w:vAlign w:val="center"/>
          </w:tcPr>
          <w:p w:rsidR="00596570" w:rsidRPr="002447B3" w:rsidRDefault="00596570" w:rsidP="009D62C6">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Pavadinimas</w:t>
            </w:r>
          </w:p>
        </w:tc>
        <w:tc>
          <w:tcPr>
            <w:tcW w:w="1808" w:type="dxa"/>
            <w:shd w:val="clear" w:color="auto" w:fill="EEECE1"/>
            <w:vAlign w:val="center"/>
          </w:tcPr>
          <w:p w:rsidR="00596570" w:rsidRPr="002447B3" w:rsidRDefault="00596570" w:rsidP="009D62C6">
            <w:pPr>
              <w:widowControl w:val="0"/>
              <w:tabs>
                <w:tab w:val="left" w:pos="622"/>
              </w:tabs>
              <w:spacing w:after="0" w:line="240" w:lineRule="auto"/>
              <w:jc w:val="center"/>
              <w:rPr>
                <w:rFonts w:ascii="Times New Roman" w:hAnsi="Times New Roman"/>
                <w:b/>
                <w:bCs/>
                <w:iCs/>
                <w:sz w:val="18"/>
                <w:szCs w:val="18"/>
              </w:rPr>
            </w:pPr>
            <w:r w:rsidRPr="002447B3">
              <w:rPr>
                <w:rFonts w:ascii="Times New Roman" w:hAnsi="Times New Roman"/>
                <w:b/>
                <w:bCs/>
                <w:iCs/>
                <w:sz w:val="18"/>
                <w:szCs w:val="18"/>
              </w:rPr>
              <w:t>Finansinė proporcija (eurais)</w:t>
            </w:r>
          </w:p>
        </w:tc>
      </w:tr>
      <w:tr w:rsidR="00723F29" w:rsidRPr="00D54F90" w:rsidTr="00386A96">
        <w:tc>
          <w:tcPr>
            <w:tcW w:w="851" w:type="dxa"/>
            <w:shd w:val="clear" w:color="auto" w:fill="auto"/>
            <w:vAlign w:val="center"/>
          </w:tcPr>
          <w:p w:rsidR="00723F29" w:rsidRPr="004E77F7" w:rsidRDefault="00723F29" w:rsidP="000122B1">
            <w:pPr>
              <w:widowControl w:val="0"/>
              <w:tabs>
                <w:tab w:val="left" w:pos="622"/>
              </w:tabs>
              <w:spacing w:after="0" w:line="240" w:lineRule="auto"/>
              <w:rPr>
                <w:rFonts w:ascii="Times New Roman" w:eastAsia="AngsanaUPC" w:hAnsi="Times New Roman"/>
                <w:bCs/>
                <w:sz w:val="18"/>
                <w:szCs w:val="18"/>
                <w:lang w:val="en-GB" w:eastAsia="lt-LT"/>
              </w:rPr>
            </w:pPr>
            <w:r w:rsidRPr="004E77F7">
              <w:rPr>
                <w:rFonts w:ascii="Times New Roman" w:eastAsia="AngsanaUPC" w:hAnsi="Times New Roman"/>
                <w:bCs/>
                <w:sz w:val="18"/>
                <w:szCs w:val="18"/>
                <w:lang w:val="en-GB" w:eastAsia="lt-LT"/>
              </w:rPr>
              <w:t>ESF</w:t>
            </w:r>
          </w:p>
        </w:tc>
        <w:tc>
          <w:tcPr>
            <w:tcW w:w="709" w:type="dxa"/>
            <w:shd w:val="clear" w:color="auto" w:fill="auto"/>
            <w:vAlign w:val="center"/>
          </w:tcPr>
          <w:p w:rsidR="00723F29" w:rsidRPr="004E77F7" w:rsidRDefault="00723F29" w:rsidP="000122B1">
            <w:pPr>
              <w:widowControl w:val="0"/>
              <w:tabs>
                <w:tab w:val="left" w:pos="622"/>
              </w:tabs>
              <w:spacing w:after="0" w:line="240" w:lineRule="auto"/>
              <w:rPr>
                <w:rFonts w:ascii="Times New Roman" w:eastAsia="AngsanaUPC" w:hAnsi="Times New Roman"/>
                <w:bCs/>
                <w:sz w:val="18"/>
                <w:szCs w:val="18"/>
                <w:lang w:val="en-GB" w:eastAsia="lt-LT"/>
              </w:rPr>
            </w:pPr>
            <w:r w:rsidRPr="004E77F7">
              <w:rPr>
                <w:rFonts w:ascii="Times New Roman" w:eastAsia="AngsanaUPC" w:hAnsi="Times New Roman"/>
                <w:bCs/>
                <w:sz w:val="18"/>
                <w:szCs w:val="18"/>
                <w:lang w:val="en-GB" w:eastAsia="lt-LT"/>
              </w:rPr>
              <w:t>03</w:t>
            </w:r>
          </w:p>
        </w:tc>
        <w:tc>
          <w:tcPr>
            <w:tcW w:w="6378" w:type="dxa"/>
            <w:shd w:val="clear" w:color="auto" w:fill="auto"/>
            <w:vAlign w:val="center"/>
          </w:tcPr>
          <w:p w:rsidR="00723F29" w:rsidRPr="004E77F7" w:rsidRDefault="00723F29" w:rsidP="00723F29">
            <w:pPr>
              <w:widowControl w:val="0"/>
              <w:tabs>
                <w:tab w:val="left" w:pos="622"/>
              </w:tabs>
              <w:spacing w:after="0" w:line="240" w:lineRule="auto"/>
              <w:jc w:val="both"/>
              <w:rPr>
                <w:rFonts w:ascii="Times New Roman" w:hAnsi="Times New Roman"/>
                <w:bCs/>
                <w:iCs/>
                <w:sz w:val="18"/>
                <w:szCs w:val="18"/>
              </w:rPr>
            </w:pPr>
            <w:r w:rsidRPr="004E77F7">
              <w:rPr>
                <w:rFonts w:ascii="Times New Roman" w:hAnsi="Times New Roman"/>
                <w:bCs/>
                <w:iCs/>
                <w:sz w:val="18"/>
                <w:szCs w:val="18"/>
              </w:rPr>
              <w:t>Intergruotosios teritorinės investicijos: kita</w:t>
            </w:r>
          </w:p>
        </w:tc>
        <w:tc>
          <w:tcPr>
            <w:tcW w:w="1808" w:type="dxa"/>
            <w:shd w:val="clear" w:color="auto" w:fill="auto"/>
            <w:vAlign w:val="center"/>
          </w:tcPr>
          <w:p w:rsidR="00723F29" w:rsidRPr="004E77F7" w:rsidRDefault="00723F29" w:rsidP="00723F29">
            <w:pPr>
              <w:widowControl w:val="0"/>
              <w:tabs>
                <w:tab w:val="left" w:pos="622"/>
              </w:tabs>
              <w:spacing w:after="0" w:line="240" w:lineRule="auto"/>
              <w:jc w:val="right"/>
              <w:rPr>
                <w:rFonts w:ascii="Times New Roman" w:eastAsia="AngsanaUPC" w:hAnsi="Times New Roman"/>
                <w:bCs/>
                <w:sz w:val="18"/>
                <w:szCs w:val="18"/>
                <w:lang w:eastAsia="lt-LT"/>
              </w:rPr>
            </w:pPr>
            <w:r w:rsidRPr="004E77F7">
              <w:rPr>
                <w:rFonts w:ascii="Times New Roman" w:eastAsia="AngsanaUPC" w:hAnsi="Times New Roman"/>
                <w:bCs/>
                <w:sz w:val="18"/>
                <w:szCs w:val="18"/>
                <w:lang w:eastAsia="lt-LT"/>
              </w:rPr>
              <w:t>1.000.000</w:t>
            </w:r>
          </w:p>
        </w:tc>
      </w:tr>
      <w:tr w:rsidR="00723F29" w:rsidRPr="00D54F90" w:rsidTr="00386A96">
        <w:tc>
          <w:tcPr>
            <w:tcW w:w="851" w:type="dxa"/>
            <w:shd w:val="clear" w:color="auto" w:fill="auto"/>
            <w:vAlign w:val="center"/>
          </w:tcPr>
          <w:p w:rsidR="00723F29" w:rsidRPr="004E77F7" w:rsidRDefault="00723F29" w:rsidP="000122B1">
            <w:pPr>
              <w:widowControl w:val="0"/>
              <w:tabs>
                <w:tab w:val="left" w:pos="622"/>
              </w:tabs>
              <w:spacing w:after="0" w:line="240" w:lineRule="auto"/>
              <w:rPr>
                <w:rFonts w:ascii="Times New Roman" w:eastAsia="AngsanaUPC" w:hAnsi="Times New Roman"/>
                <w:bCs/>
                <w:sz w:val="18"/>
                <w:szCs w:val="18"/>
                <w:lang w:val="en-GB" w:eastAsia="lt-LT"/>
              </w:rPr>
            </w:pPr>
            <w:r w:rsidRPr="004E77F7">
              <w:rPr>
                <w:rFonts w:ascii="Times New Roman" w:eastAsia="AngsanaUPC" w:hAnsi="Times New Roman"/>
                <w:bCs/>
                <w:sz w:val="18"/>
                <w:szCs w:val="18"/>
                <w:lang w:val="en-GB" w:eastAsia="lt-LT"/>
              </w:rPr>
              <w:t>ESF</w:t>
            </w:r>
          </w:p>
        </w:tc>
        <w:tc>
          <w:tcPr>
            <w:tcW w:w="709" w:type="dxa"/>
            <w:shd w:val="clear" w:color="auto" w:fill="auto"/>
            <w:vAlign w:val="center"/>
          </w:tcPr>
          <w:p w:rsidR="00723F29" w:rsidRPr="004E77F7" w:rsidRDefault="00723F29" w:rsidP="000122B1">
            <w:pPr>
              <w:widowControl w:val="0"/>
              <w:tabs>
                <w:tab w:val="left" w:pos="622"/>
              </w:tabs>
              <w:spacing w:after="0" w:line="240" w:lineRule="auto"/>
              <w:rPr>
                <w:rFonts w:ascii="Times New Roman" w:eastAsia="AngsanaUPC" w:hAnsi="Times New Roman"/>
                <w:bCs/>
                <w:sz w:val="18"/>
                <w:szCs w:val="18"/>
                <w:lang w:val="en-GB" w:eastAsia="lt-LT"/>
              </w:rPr>
            </w:pPr>
            <w:r w:rsidRPr="004E77F7">
              <w:rPr>
                <w:rFonts w:ascii="Times New Roman" w:eastAsia="AngsanaUPC" w:hAnsi="Times New Roman"/>
                <w:bCs/>
                <w:sz w:val="18"/>
                <w:szCs w:val="18"/>
                <w:lang w:val="en-GB" w:eastAsia="lt-LT"/>
              </w:rPr>
              <w:t>07</w:t>
            </w:r>
          </w:p>
        </w:tc>
        <w:tc>
          <w:tcPr>
            <w:tcW w:w="6378" w:type="dxa"/>
            <w:shd w:val="clear" w:color="auto" w:fill="auto"/>
            <w:vAlign w:val="center"/>
          </w:tcPr>
          <w:p w:rsidR="00723F29" w:rsidRPr="004E77F7" w:rsidRDefault="00723F29" w:rsidP="000122B1">
            <w:pPr>
              <w:widowControl w:val="0"/>
              <w:tabs>
                <w:tab w:val="left" w:pos="622"/>
              </w:tabs>
              <w:spacing w:after="0" w:line="240" w:lineRule="auto"/>
              <w:jc w:val="both"/>
              <w:rPr>
                <w:rFonts w:ascii="Times New Roman" w:hAnsi="Times New Roman"/>
                <w:bCs/>
                <w:iCs/>
                <w:sz w:val="18"/>
                <w:szCs w:val="18"/>
              </w:rPr>
            </w:pPr>
            <w:r w:rsidRPr="004E77F7">
              <w:rPr>
                <w:rFonts w:ascii="Times New Roman" w:hAnsi="Times New Roman"/>
                <w:bCs/>
                <w:iCs/>
                <w:sz w:val="18"/>
                <w:szCs w:val="18"/>
              </w:rPr>
              <w:t>Netaikoma</w:t>
            </w:r>
          </w:p>
        </w:tc>
        <w:tc>
          <w:tcPr>
            <w:tcW w:w="1808" w:type="dxa"/>
            <w:shd w:val="clear" w:color="auto" w:fill="auto"/>
            <w:vAlign w:val="center"/>
          </w:tcPr>
          <w:p w:rsidR="00723F29" w:rsidRPr="004E77F7" w:rsidRDefault="00723F29" w:rsidP="000122B1">
            <w:pPr>
              <w:widowControl w:val="0"/>
              <w:tabs>
                <w:tab w:val="left" w:pos="622"/>
              </w:tabs>
              <w:spacing w:after="0" w:line="240" w:lineRule="auto"/>
              <w:jc w:val="right"/>
              <w:rPr>
                <w:rFonts w:ascii="Times New Roman" w:eastAsia="AngsanaUPC" w:hAnsi="Times New Roman"/>
                <w:bCs/>
                <w:sz w:val="18"/>
                <w:szCs w:val="18"/>
                <w:lang w:val="en-GB" w:eastAsia="lt-LT"/>
              </w:rPr>
            </w:pPr>
            <w:r w:rsidRPr="004E77F7">
              <w:rPr>
                <w:rFonts w:ascii="Times New Roman" w:eastAsia="AngsanaUPC" w:hAnsi="Times New Roman"/>
                <w:bCs/>
                <w:sz w:val="18"/>
                <w:szCs w:val="18"/>
                <w:lang w:eastAsia="lt-LT"/>
              </w:rPr>
              <w:t>106.459.184</w:t>
            </w:r>
          </w:p>
        </w:tc>
      </w:tr>
    </w:tbl>
    <w:p w:rsidR="00596570" w:rsidRPr="002447B3" w:rsidRDefault="00596570" w:rsidP="00596570">
      <w:pPr>
        <w:widowControl w:val="0"/>
        <w:tabs>
          <w:tab w:val="left" w:pos="622"/>
        </w:tabs>
        <w:spacing w:after="0" w:line="240" w:lineRule="auto"/>
        <w:jc w:val="both"/>
        <w:rPr>
          <w:rFonts w:ascii="Times New Roman" w:hAnsi="Times New Roman"/>
          <w:i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9"/>
        <w:gridCol w:w="6378"/>
        <w:gridCol w:w="1808"/>
      </w:tblGrid>
      <w:tr w:rsidR="00596570" w:rsidRPr="002447B3" w:rsidTr="009D62C6">
        <w:tc>
          <w:tcPr>
            <w:tcW w:w="9746" w:type="dxa"/>
            <w:gridSpan w:val="4"/>
            <w:shd w:val="clear" w:color="auto" w:fill="EEECE1"/>
          </w:tcPr>
          <w:p w:rsidR="00596570" w:rsidRPr="002447B3" w:rsidRDefault="00596570" w:rsidP="009D62C6">
            <w:pPr>
              <w:widowControl w:val="0"/>
              <w:tabs>
                <w:tab w:val="left" w:pos="622"/>
              </w:tabs>
              <w:spacing w:after="0" w:line="240" w:lineRule="auto"/>
              <w:jc w:val="both"/>
              <w:rPr>
                <w:rFonts w:ascii="Times New Roman" w:hAnsi="Times New Roman"/>
                <w:i/>
                <w:iCs/>
                <w:sz w:val="18"/>
                <w:szCs w:val="18"/>
              </w:rPr>
            </w:pPr>
            <w:r w:rsidRPr="002447B3">
              <w:rPr>
                <w:rFonts w:ascii="Times New Roman" w:hAnsi="Times New Roman"/>
                <w:b/>
                <w:bCs/>
                <w:i/>
                <w:iCs/>
                <w:sz w:val="18"/>
                <w:szCs w:val="18"/>
              </w:rPr>
              <w:t>ESF antrinė tema</w:t>
            </w:r>
          </w:p>
        </w:tc>
      </w:tr>
      <w:tr w:rsidR="00596570" w:rsidRPr="002447B3" w:rsidTr="00386A96">
        <w:tc>
          <w:tcPr>
            <w:tcW w:w="851" w:type="dxa"/>
            <w:shd w:val="clear" w:color="auto" w:fill="EEECE1"/>
            <w:vAlign w:val="center"/>
          </w:tcPr>
          <w:p w:rsidR="00596570" w:rsidRPr="002447B3" w:rsidRDefault="00596570" w:rsidP="009D62C6">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Fondas</w:t>
            </w:r>
          </w:p>
        </w:tc>
        <w:tc>
          <w:tcPr>
            <w:tcW w:w="709" w:type="dxa"/>
            <w:shd w:val="clear" w:color="auto" w:fill="EEECE1"/>
            <w:vAlign w:val="center"/>
          </w:tcPr>
          <w:p w:rsidR="00596570" w:rsidRPr="002447B3" w:rsidRDefault="00596570" w:rsidP="009D62C6">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Kodas</w:t>
            </w:r>
          </w:p>
        </w:tc>
        <w:tc>
          <w:tcPr>
            <w:tcW w:w="6378" w:type="dxa"/>
            <w:shd w:val="clear" w:color="auto" w:fill="EEECE1"/>
            <w:vAlign w:val="center"/>
          </w:tcPr>
          <w:p w:rsidR="00596570" w:rsidRPr="002447B3" w:rsidRDefault="00596570" w:rsidP="009D62C6">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Pavadinimas</w:t>
            </w:r>
          </w:p>
        </w:tc>
        <w:tc>
          <w:tcPr>
            <w:tcW w:w="1808" w:type="dxa"/>
            <w:shd w:val="clear" w:color="auto" w:fill="EEECE1"/>
            <w:vAlign w:val="center"/>
          </w:tcPr>
          <w:p w:rsidR="00596570" w:rsidRPr="002447B3" w:rsidRDefault="00596570" w:rsidP="009D62C6">
            <w:pPr>
              <w:widowControl w:val="0"/>
              <w:tabs>
                <w:tab w:val="left" w:pos="622"/>
              </w:tabs>
              <w:spacing w:after="0" w:line="240" w:lineRule="auto"/>
              <w:jc w:val="center"/>
              <w:rPr>
                <w:rFonts w:ascii="Times New Roman" w:hAnsi="Times New Roman"/>
                <w:b/>
                <w:bCs/>
                <w:iCs/>
                <w:sz w:val="18"/>
                <w:szCs w:val="18"/>
              </w:rPr>
            </w:pPr>
            <w:r w:rsidRPr="002447B3">
              <w:rPr>
                <w:rFonts w:ascii="Times New Roman" w:hAnsi="Times New Roman"/>
                <w:b/>
                <w:bCs/>
                <w:iCs/>
                <w:sz w:val="18"/>
                <w:szCs w:val="18"/>
              </w:rPr>
              <w:t>Finansinė proporcija (eurais)</w:t>
            </w:r>
          </w:p>
        </w:tc>
      </w:tr>
      <w:tr w:rsidR="00596570" w:rsidRPr="00A50C23" w:rsidTr="00386A96">
        <w:tc>
          <w:tcPr>
            <w:tcW w:w="851" w:type="dxa"/>
            <w:shd w:val="clear" w:color="auto" w:fill="auto"/>
            <w:vAlign w:val="center"/>
          </w:tcPr>
          <w:p w:rsidR="00596570" w:rsidRPr="00A50C23" w:rsidRDefault="00596570" w:rsidP="009D62C6">
            <w:pPr>
              <w:widowControl w:val="0"/>
              <w:tabs>
                <w:tab w:val="left" w:pos="622"/>
              </w:tabs>
              <w:spacing w:after="0" w:line="240" w:lineRule="auto"/>
              <w:rPr>
                <w:rFonts w:ascii="Times New Roman" w:eastAsia="AngsanaUPC" w:hAnsi="Times New Roman"/>
                <w:bCs/>
                <w:sz w:val="18"/>
                <w:szCs w:val="18"/>
                <w:lang w:val="en-GB" w:eastAsia="lt-LT"/>
              </w:rPr>
            </w:pPr>
            <w:r w:rsidRPr="00A50C23">
              <w:rPr>
                <w:rFonts w:ascii="Times New Roman" w:eastAsia="AngsanaUPC" w:hAnsi="Times New Roman"/>
                <w:bCs/>
                <w:sz w:val="18"/>
                <w:szCs w:val="18"/>
                <w:lang w:val="en-GB" w:eastAsia="lt-LT"/>
              </w:rPr>
              <w:t>ESF</w:t>
            </w:r>
          </w:p>
        </w:tc>
        <w:tc>
          <w:tcPr>
            <w:tcW w:w="709" w:type="dxa"/>
            <w:shd w:val="clear" w:color="auto" w:fill="auto"/>
            <w:vAlign w:val="center"/>
          </w:tcPr>
          <w:p w:rsidR="00596570" w:rsidRPr="00A50C23" w:rsidRDefault="00596570" w:rsidP="00A50C23">
            <w:pPr>
              <w:widowControl w:val="0"/>
              <w:tabs>
                <w:tab w:val="left" w:pos="622"/>
              </w:tabs>
              <w:spacing w:after="0" w:line="240" w:lineRule="auto"/>
              <w:rPr>
                <w:rFonts w:ascii="Times New Roman" w:eastAsia="AngsanaUPC" w:hAnsi="Times New Roman"/>
                <w:bCs/>
                <w:sz w:val="18"/>
                <w:szCs w:val="18"/>
                <w:lang w:val="en-GB" w:eastAsia="lt-LT"/>
              </w:rPr>
            </w:pPr>
            <w:r w:rsidRPr="00A50C23">
              <w:rPr>
                <w:rFonts w:ascii="Times New Roman" w:eastAsia="AngsanaUPC" w:hAnsi="Times New Roman"/>
                <w:bCs/>
                <w:sz w:val="18"/>
                <w:szCs w:val="18"/>
                <w:lang w:val="en-GB" w:eastAsia="lt-LT"/>
              </w:rPr>
              <w:t>08</w:t>
            </w:r>
          </w:p>
        </w:tc>
        <w:tc>
          <w:tcPr>
            <w:tcW w:w="6378" w:type="dxa"/>
            <w:shd w:val="clear" w:color="auto" w:fill="auto"/>
            <w:vAlign w:val="center"/>
          </w:tcPr>
          <w:p w:rsidR="00596570" w:rsidRPr="00A50C23" w:rsidRDefault="00596570" w:rsidP="009D62C6">
            <w:pPr>
              <w:widowControl w:val="0"/>
              <w:tabs>
                <w:tab w:val="left" w:pos="622"/>
              </w:tabs>
              <w:spacing w:after="0" w:line="240" w:lineRule="auto"/>
              <w:jc w:val="both"/>
              <w:rPr>
                <w:rFonts w:ascii="Times New Roman" w:hAnsi="Times New Roman"/>
                <w:bCs/>
                <w:iCs/>
                <w:sz w:val="18"/>
                <w:szCs w:val="18"/>
              </w:rPr>
            </w:pPr>
            <w:r w:rsidRPr="00A50C23">
              <w:rPr>
                <w:rFonts w:ascii="Times New Roman" w:hAnsi="Times New Roman"/>
                <w:bCs/>
                <w:iCs/>
                <w:sz w:val="18"/>
                <w:szCs w:val="18"/>
              </w:rPr>
              <w:t>Netaikoma</w:t>
            </w:r>
          </w:p>
        </w:tc>
        <w:tc>
          <w:tcPr>
            <w:tcW w:w="1808" w:type="dxa"/>
            <w:shd w:val="clear" w:color="auto" w:fill="auto"/>
            <w:vAlign w:val="center"/>
          </w:tcPr>
          <w:p w:rsidR="00596570" w:rsidRPr="00A50C23" w:rsidRDefault="00D47A28" w:rsidP="00723F29">
            <w:pPr>
              <w:widowControl w:val="0"/>
              <w:tabs>
                <w:tab w:val="left" w:pos="622"/>
              </w:tabs>
              <w:spacing w:after="0" w:line="240" w:lineRule="auto"/>
              <w:jc w:val="right"/>
              <w:rPr>
                <w:rFonts w:ascii="Times New Roman" w:eastAsia="AngsanaUPC" w:hAnsi="Times New Roman"/>
                <w:bCs/>
                <w:sz w:val="18"/>
                <w:szCs w:val="18"/>
                <w:lang w:val="en-GB" w:eastAsia="lt-LT"/>
              </w:rPr>
            </w:pPr>
            <w:r w:rsidRPr="004E77F7">
              <w:rPr>
                <w:rFonts w:ascii="Times New Roman" w:eastAsia="AngsanaUPC" w:hAnsi="Times New Roman"/>
                <w:bCs/>
                <w:sz w:val="18"/>
                <w:szCs w:val="18"/>
                <w:lang w:eastAsia="lt-LT"/>
              </w:rPr>
              <w:t>1</w:t>
            </w:r>
            <w:r w:rsidR="00723F29" w:rsidRPr="004E77F7">
              <w:rPr>
                <w:rFonts w:ascii="Times New Roman" w:eastAsia="AngsanaUPC" w:hAnsi="Times New Roman"/>
                <w:bCs/>
                <w:sz w:val="18"/>
                <w:szCs w:val="18"/>
                <w:lang w:eastAsia="lt-LT"/>
              </w:rPr>
              <w:t>07</w:t>
            </w:r>
            <w:r w:rsidRPr="004E77F7">
              <w:rPr>
                <w:rFonts w:ascii="Times New Roman" w:eastAsia="AngsanaUPC" w:hAnsi="Times New Roman"/>
                <w:bCs/>
                <w:sz w:val="18"/>
                <w:szCs w:val="18"/>
                <w:lang w:eastAsia="lt-LT"/>
              </w:rPr>
              <w:t>.4</w:t>
            </w:r>
            <w:r w:rsidR="00A50C23" w:rsidRPr="004E77F7">
              <w:rPr>
                <w:rFonts w:ascii="Times New Roman" w:eastAsia="AngsanaUPC" w:hAnsi="Times New Roman"/>
                <w:bCs/>
                <w:sz w:val="18"/>
                <w:szCs w:val="18"/>
                <w:lang w:eastAsia="lt-LT"/>
              </w:rPr>
              <w:t>59.184</w:t>
            </w:r>
          </w:p>
        </w:tc>
      </w:tr>
    </w:tbl>
    <w:p w:rsidR="00596570" w:rsidRDefault="00596570" w:rsidP="00385835">
      <w:pPr>
        <w:widowControl w:val="0"/>
        <w:tabs>
          <w:tab w:val="left" w:pos="622"/>
        </w:tabs>
        <w:spacing w:after="0" w:line="240" w:lineRule="auto"/>
        <w:jc w:val="both"/>
        <w:rPr>
          <w:rFonts w:ascii="Times New Roman" w:hAnsi="Times New Roman"/>
          <w:iCs/>
          <w:sz w:val="24"/>
          <w:szCs w:val="24"/>
        </w:rPr>
        <w:sectPr w:rsidR="00596570" w:rsidSect="00596570">
          <w:pgSz w:w="11906" w:h="16838" w:code="9"/>
          <w:pgMar w:top="1701" w:right="567" w:bottom="1134" w:left="1701" w:header="567" w:footer="567" w:gutter="0"/>
          <w:cols w:space="1296"/>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746"/>
      </w:tblGrid>
      <w:tr w:rsidR="00385835" w:rsidRPr="00385835" w:rsidTr="00385835">
        <w:trPr>
          <w:trHeight w:val="416"/>
        </w:trPr>
        <w:tc>
          <w:tcPr>
            <w:tcW w:w="9746" w:type="dxa"/>
            <w:shd w:val="clear" w:color="auto" w:fill="EEECE1"/>
            <w:vAlign w:val="center"/>
          </w:tcPr>
          <w:p w:rsidR="00385835" w:rsidRPr="00385835" w:rsidRDefault="00385835" w:rsidP="00385835">
            <w:pPr>
              <w:keepNext/>
              <w:spacing w:after="0" w:line="240" w:lineRule="auto"/>
              <w:jc w:val="both"/>
              <w:outlineLvl w:val="1"/>
              <w:rPr>
                <w:rFonts w:ascii="Times New Roman" w:eastAsia="AngsanaUPC" w:hAnsi="Times New Roman"/>
                <w:b/>
                <w:bCs/>
                <w:iCs/>
                <w:sz w:val="24"/>
                <w:szCs w:val="28"/>
                <w:lang w:eastAsia="lt-LT"/>
              </w:rPr>
            </w:pPr>
            <w:bookmarkStart w:id="15" w:name="_Toc69836230"/>
            <w:r w:rsidRPr="00385835">
              <w:rPr>
                <w:rFonts w:ascii="Times New Roman" w:eastAsia="AngsanaUPC" w:hAnsi="Times New Roman"/>
                <w:b/>
                <w:bCs/>
                <w:iCs/>
                <w:sz w:val="24"/>
                <w:szCs w:val="28"/>
                <w:lang w:eastAsia="lt-LT"/>
              </w:rPr>
              <w:lastRenderedPageBreak/>
              <w:t>11 PRIORITETAS. TECHNINĖ PARAMA VEIKSMŲ PROGRAMAI ADMINISTRUOTI</w:t>
            </w:r>
            <w:bookmarkEnd w:id="15"/>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385835" w:rsidRPr="00385835" w:rsidTr="00385835">
        <w:tc>
          <w:tcPr>
            <w:tcW w:w="2410" w:type="dxa"/>
            <w:shd w:val="clear" w:color="auto" w:fill="EEECE1"/>
            <w:vAlign w:val="center"/>
          </w:tcPr>
          <w:p w:rsidR="00385835" w:rsidRPr="00385835" w:rsidRDefault="00385835" w:rsidP="00385835">
            <w:pPr>
              <w:widowControl w:val="0"/>
              <w:tabs>
                <w:tab w:val="left" w:pos="622"/>
              </w:tabs>
              <w:spacing w:after="0" w:line="240" w:lineRule="auto"/>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11.1. KONKRETUS UŽDAVINYS</w:t>
            </w:r>
          </w:p>
        </w:tc>
        <w:tc>
          <w:tcPr>
            <w:tcW w:w="7336" w:type="dxa"/>
            <w:shd w:val="clear" w:color="auto" w:fill="EEECE1"/>
            <w:vAlign w:val="center"/>
          </w:tcPr>
          <w:p w:rsidR="00385835" w:rsidRPr="00385835" w:rsidRDefault="00385835" w:rsidP="00385835">
            <w:pPr>
              <w:spacing w:after="0" w:line="240" w:lineRule="auto"/>
              <w:jc w:val="both"/>
              <w:rPr>
                <w:rFonts w:ascii="Times New Roman" w:hAnsi="Times New Roman"/>
                <w:b/>
                <w:sz w:val="24"/>
                <w:szCs w:val="24"/>
              </w:rPr>
            </w:pPr>
            <w:r w:rsidRPr="00385835">
              <w:rPr>
                <w:rFonts w:ascii="Times New Roman" w:hAnsi="Times New Roman"/>
                <w:b/>
                <w:sz w:val="24"/>
                <w:szCs w:val="24"/>
              </w:rPr>
              <w:t>Užtikrinti efektyvų veiksmų programos administravimą</w:t>
            </w:r>
          </w:p>
        </w:tc>
      </w:tr>
      <w:tr w:rsidR="00385835" w:rsidRPr="00385835" w:rsidTr="00385835">
        <w:tblPrEx>
          <w:shd w:val="clear" w:color="auto" w:fill="auto"/>
        </w:tblPrEx>
        <w:tc>
          <w:tcPr>
            <w:tcW w:w="9746" w:type="dxa"/>
            <w:gridSpan w:val="2"/>
            <w:shd w:val="clear" w:color="auto" w:fill="auto"/>
          </w:tcPr>
          <w:p w:rsidR="00385835" w:rsidRPr="00385835" w:rsidRDefault="00385835" w:rsidP="00385835">
            <w:pPr>
              <w:spacing w:after="0" w:line="240" w:lineRule="auto"/>
              <w:ind w:firstLine="624"/>
              <w:jc w:val="both"/>
              <w:rPr>
                <w:rFonts w:ascii="Times New Roman" w:hAnsi="Times New Roman"/>
                <w:sz w:val="24"/>
                <w:szCs w:val="24"/>
              </w:rPr>
            </w:pPr>
            <w:r w:rsidRPr="00385835">
              <w:rPr>
                <w:rFonts w:ascii="Times New Roman" w:hAnsi="Times New Roman"/>
                <w:sz w:val="24"/>
                <w:szCs w:val="24"/>
              </w:rPr>
              <w:t xml:space="preserve">2007–2013 m. programavimo laikotarpiu finansuojant techninės paramos lėšomis Lietuvoje sukurta efektyvi ir tinkamai veikianti, gerais finansų valdymo principais grįsta </w:t>
            </w:r>
            <w:r w:rsidR="000F4AE6">
              <w:rPr>
                <w:rFonts w:ascii="Times New Roman" w:hAnsi="Times New Roman"/>
                <w:sz w:val="24"/>
                <w:szCs w:val="24"/>
              </w:rPr>
              <w:t>ES fondų</w:t>
            </w:r>
            <w:r w:rsidRPr="00385835">
              <w:rPr>
                <w:rFonts w:ascii="Times New Roman" w:hAnsi="Times New Roman"/>
                <w:sz w:val="24"/>
                <w:szCs w:val="24"/>
              </w:rPr>
              <w:t xml:space="preserve"> administravimo sistema. Tolimesni sistemos tobulinimo iššūkiai yra susiję su didesniu supaprastinimu projektų vykdytojams bei didelės darbuotojų kaitos sistemoje suvaldymu.</w:t>
            </w:r>
          </w:p>
          <w:p w:rsidR="00385835" w:rsidRPr="00385835" w:rsidRDefault="00385835" w:rsidP="00385835">
            <w:pPr>
              <w:spacing w:after="0" w:line="240" w:lineRule="auto"/>
              <w:ind w:firstLine="624"/>
              <w:jc w:val="both"/>
              <w:rPr>
                <w:rFonts w:ascii="Times New Roman" w:hAnsi="Times New Roman"/>
                <w:sz w:val="24"/>
                <w:szCs w:val="24"/>
              </w:rPr>
            </w:pPr>
            <w:r w:rsidRPr="00385835">
              <w:rPr>
                <w:rFonts w:ascii="Times New Roman" w:hAnsi="Times New Roman"/>
                <w:sz w:val="24"/>
                <w:szCs w:val="24"/>
              </w:rPr>
              <w:t>Kuriant 2014–2020</w:t>
            </w:r>
            <w:r w:rsidR="00647498">
              <w:rPr>
                <w:rFonts w:ascii="Times New Roman" w:hAnsi="Times New Roman"/>
                <w:sz w:val="24"/>
                <w:szCs w:val="24"/>
              </w:rPr>
              <w:t xml:space="preserve"> m.</w:t>
            </w:r>
            <w:r w:rsidRPr="00385835">
              <w:rPr>
                <w:rFonts w:ascii="Times New Roman" w:hAnsi="Times New Roman"/>
                <w:sz w:val="24"/>
                <w:szCs w:val="24"/>
              </w:rPr>
              <w:t xml:space="preserve"> programavimo laikotarpio administravimo sistemą</w:t>
            </w:r>
            <w:r w:rsidR="00647498">
              <w:rPr>
                <w:rFonts w:ascii="Times New Roman" w:hAnsi="Times New Roman"/>
                <w:sz w:val="24"/>
                <w:szCs w:val="24"/>
              </w:rPr>
              <w:t>,</w:t>
            </w:r>
            <w:r w:rsidRPr="00385835">
              <w:rPr>
                <w:rFonts w:ascii="Times New Roman" w:hAnsi="Times New Roman"/>
                <w:sz w:val="24"/>
                <w:szCs w:val="24"/>
              </w:rPr>
              <w:t xml:space="preserve"> visų pirma</w:t>
            </w:r>
            <w:r w:rsidR="00647498">
              <w:rPr>
                <w:rFonts w:ascii="Times New Roman" w:hAnsi="Times New Roman"/>
                <w:sz w:val="24"/>
                <w:szCs w:val="24"/>
              </w:rPr>
              <w:t>,</w:t>
            </w:r>
            <w:r w:rsidRPr="00385835">
              <w:rPr>
                <w:rFonts w:ascii="Times New Roman" w:hAnsi="Times New Roman"/>
                <w:sz w:val="24"/>
                <w:szCs w:val="24"/>
              </w:rPr>
              <w:t xml:space="preserve"> bus siekiama užtikrinti sistemos tęstinumą ir valdymo ir kontrolės sistemos (VKS) institucijose sukauptų administravimo gebėjimų bei kompetencijų išsaugojimą, kuriant ir tobulinant kompetencijų ugdymo ir motyvacijos skatinimo sistemą. Taip pat bus siekiama patobulinti institucinę VKS sandarą, pagerinti tarpinstitucinį bendradarbiavimą, standartizuoti taikomą administracinę praktiką bei sumažinti administracinę naštą proporcingai taikant reikalavimus projektams ir tobulinant IT sistemą. Tokiu būdu sistema turėtų tapti aiškesnė ir labiau suprantama pareiškėjams, projektų vykdytojams bei kontrolės institucijoms. Į sistemą taip pat bus įtrauktos institucijos nepriklausančios VKS, kurių kompetencijų sritys yra svarbios ES fondų administravimo efektyvumui. Įtraukiant naujas institucijas</w:t>
            </w:r>
            <w:r w:rsidR="00647498">
              <w:rPr>
                <w:rFonts w:ascii="Times New Roman" w:hAnsi="Times New Roman"/>
                <w:sz w:val="24"/>
                <w:szCs w:val="24"/>
              </w:rPr>
              <w:t>,</w:t>
            </w:r>
            <w:r w:rsidRPr="00385835">
              <w:rPr>
                <w:rFonts w:ascii="Times New Roman" w:hAnsi="Times New Roman"/>
                <w:sz w:val="24"/>
                <w:szCs w:val="24"/>
              </w:rPr>
              <w:t xml:space="preserve"> bus užtikrinama, kad jų turimi administraciniai gebėjimai atitiktų pavestoms funkcijoms</w:t>
            </w:r>
            <w:r w:rsidR="00FD7A80">
              <w:rPr>
                <w:rFonts w:ascii="Times New Roman" w:hAnsi="Times New Roman"/>
                <w:sz w:val="24"/>
                <w:szCs w:val="24"/>
              </w:rPr>
              <w:t xml:space="preserve"> vykdyti keliamus reikalavimus.</w:t>
            </w:r>
          </w:p>
          <w:p w:rsidR="00385835" w:rsidRPr="00385835" w:rsidRDefault="00385835" w:rsidP="00385835">
            <w:pPr>
              <w:spacing w:after="0" w:line="240" w:lineRule="auto"/>
              <w:ind w:firstLine="624"/>
              <w:jc w:val="both"/>
              <w:rPr>
                <w:rFonts w:ascii="Times New Roman" w:hAnsi="Times New Roman"/>
                <w:sz w:val="24"/>
                <w:szCs w:val="24"/>
              </w:rPr>
            </w:pPr>
            <w:r w:rsidRPr="00385835">
              <w:rPr>
                <w:rFonts w:ascii="Times New Roman" w:hAnsi="Times New Roman"/>
                <w:sz w:val="24"/>
                <w:szCs w:val="24"/>
              </w:rPr>
              <w:t>Siekiant didesnio skaidrumo sistemoje</w:t>
            </w:r>
            <w:r w:rsidR="00647498">
              <w:rPr>
                <w:rFonts w:ascii="Times New Roman" w:hAnsi="Times New Roman"/>
                <w:sz w:val="24"/>
                <w:szCs w:val="24"/>
              </w:rPr>
              <w:t>,</w:t>
            </w:r>
            <w:r w:rsidRPr="00385835">
              <w:rPr>
                <w:rFonts w:ascii="Times New Roman" w:hAnsi="Times New Roman"/>
                <w:sz w:val="24"/>
                <w:szCs w:val="24"/>
              </w:rPr>
              <w:t xml:space="preserve"> bus užtikrinamas tinkamas funkcijų atskyrimas, pavestų užduočių priežiūra, paramos skyrimo skaidrumas, taip pat būtų įgyvendin</w:t>
            </w:r>
            <w:r w:rsidR="00FD7A80">
              <w:rPr>
                <w:rFonts w:ascii="Times New Roman" w:hAnsi="Times New Roman"/>
                <w:sz w:val="24"/>
                <w:szCs w:val="24"/>
              </w:rPr>
              <w:t>amos anti-sukčiavimo priemonės.</w:t>
            </w:r>
          </w:p>
          <w:p w:rsidR="00385835" w:rsidRPr="00385835" w:rsidRDefault="00385835" w:rsidP="00385835">
            <w:pPr>
              <w:spacing w:after="0" w:line="240" w:lineRule="auto"/>
              <w:ind w:firstLine="624"/>
              <w:jc w:val="both"/>
              <w:rPr>
                <w:rFonts w:ascii="Times New Roman" w:hAnsi="Times New Roman"/>
                <w:sz w:val="24"/>
                <w:szCs w:val="24"/>
              </w:rPr>
            </w:pPr>
            <w:r w:rsidRPr="00385835">
              <w:rPr>
                <w:rFonts w:ascii="Times New Roman" w:hAnsi="Times New Roman"/>
                <w:sz w:val="24"/>
                <w:szCs w:val="24"/>
              </w:rPr>
              <w:t xml:space="preserve">Sistemoje dirbančių darbuotojų darbo užmokestis ir kitos su veiksmų programos administravimu susijusios išlaidos, bus finansuojamos techninės paramos lėšomis. </w:t>
            </w:r>
          </w:p>
          <w:p w:rsidR="00385835" w:rsidRPr="00385835" w:rsidRDefault="00385835" w:rsidP="004F2562">
            <w:pPr>
              <w:spacing w:after="0" w:line="240" w:lineRule="auto"/>
              <w:ind w:firstLine="624"/>
              <w:jc w:val="both"/>
              <w:rPr>
                <w:rFonts w:ascii="Times New Roman" w:hAnsi="Times New Roman"/>
                <w:sz w:val="24"/>
                <w:szCs w:val="24"/>
              </w:rPr>
            </w:pPr>
            <w:r w:rsidRPr="00385835">
              <w:rPr>
                <w:rFonts w:ascii="Times New Roman" w:hAnsi="Times New Roman"/>
                <w:sz w:val="24"/>
                <w:szCs w:val="24"/>
              </w:rPr>
              <w:t>Siekiant paskatinti glaudesnę partnerystę</w:t>
            </w:r>
            <w:r w:rsidR="00647498">
              <w:rPr>
                <w:rFonts w:ascii="Times New Roman" w:hAnsi="Times New Roman"/>
                <w:sz w:val="24"/>
                <w:szCs w:val="24"/>
              </w:rPr>
              <w:t>,</w:t>
            </w:r>
            <w:r w:rsidRPr="00385835">
              <w:rPr>
                <w:rFonts w:ascii="Times New Roman" w:hAnsi="Times New Roman"/>
                <w:sz w:val="24"/>
                <w:szCs w:val="24"/>
              </w:rPr>
              <w:t xml:space="preserve"> socialiniai ekonominiai partneriai bus aktyviai įtraukti į </w:t>
            </w:r>
            <w:r w:rsidR="004F2562">
              <w:rPr>
                <w:rFonts w:ascii="Times New Roman" w:hAnsi="Times New Roman"/>
                <w:sz w:val="24"/>
                <w:szCs w:val="24"/>
              </w:rPr>
              <w:t>ES</w:t>
            </w:r>
            <w:r w:rsidR="004F2562" w:rsidRPr="00385835">
              <w:rPr>
                <w:rFonts w:ascii="Times New Roman" w:hAnsi="Times New Roman"/>
                <w:sz w:val="24"/>
                <w:szCs w:val="24"/>
              </w:rPr>
              <w:t xml:space="preserve"> </w:t>
            </w:r>
            <w:r w:rsidRPr="00385835">
              <w:rPr>
                <w:rFonts w:ascii="Times New Roman" w:hAnsi="Times New Roman"/>
                <w:sz w:val="24"/>
                <w:szCs w:val="24"/>
              </w:rPr>
              <w:t>fondų administravimo procesus, o norint partnerystę padaryti kokybiškesne bus ugdomi socialinių ekonominių partnerių gebėjimai.</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535"/>
        <w:gridCol w:w="2867"/>
        <w:gridCol w:w="1134"/>
        <w:gridCol w:w="851"/>
        <w:gridCol w:w="992"/>
        <w:gridCol w:w="851"/>
        <w:gridCol w:w="1275"/>
        <w:gridCol w:w="1241"/>
      </w:tblGrid>
      <w:tr w:rsidR="00385835" w:rsidRPr="00385835" w:rsidTr="00385835">
        <w:tc>
          <w:tcPr>
            <w:tcW w:w="9746" w:type="dxa"/>
            <w:gridSpan w:val="8"/>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i/>
                <w:iCs/>
                <w:sz w:val="24"/>
                <w:szCs w:val="24"/>
                <w:lang w:eastAsia="lt-LT"/>
              </w:rPr>
            </w:pPr>
            <w:r w:rsidRPr="00385835">
              <w:rPr>
                <w:rFonts w:ascii="Times New Roman" w:eastAsia="AngsanaUPC" w:hAnsi="Times New Roman"/>
                <w:b/>
                <w:bCs/>
                <w:i/>
                <w:iCs/>
                <w:sz w:val="24"/>
                <w:szCs w:val="24"/>
                <w:lang w:eastAsia="lt-LT"/>
              </w:rPr>
              <w:t xml:space="preserve">SaF </w:t>
            </w:r>
            <w:r w:rsidR="00D94011">
              <w:rPr>
                <w:rFonts w:ascii="Times New Roman" w:eastAsia="AngsanaUPC" w:hAnsi="Times New Roman"/>
                <w:b/>
                <w:bCs/>
                <w:i/>
                <w:iCs/>
                <w:sz w:val="24"/>
                <w:szCs w:val="24"/>
                <w:lang w:eastAsia="lt-LT"/>
              </w:rPr>
              <w:t>specialieji</w:t>
            </w:r>
            <w:r w:rsidR="00D94011" w:rsidRPr="00385835">
              <w:rPr>
                <w:rFonts w:ascii="Times New Roman" w:eastAsia="AngsanaUPC" w:hAnsi="Times New Roman"/>
                <w:b/>
                <w:bCs/>
                <w:i/>
                <w:iCs/>
                <w:sz w:val="24"/>
                <w:szCs w:val="24"/>
                <w:lang w:eastAsia="lt-LT"/>
              </w:rPr>
              <w:t xml:space="preserve"> </w:t>
            </w:r>
            <w:r w:rsidR="00D94011">
              <w:rPr>
                <w:rFonts w:ascii="Times New Roman" w:eastAsia="AngsanaUPC" w:hAnsi="Times New Roman"/>
                <w:b/>
                <w:bCs/>
                <w:i/>
                <w:iCs/>
                <w:sz w:val="24"/>
                <w:szCs w:val="24"/>
                <w:lang w:eastAsia="lt-LT"/>
              </w:rPr>
              <w:t xml:space="preserve">programos </w:t>
            </w:r>
            <w:r w:rsidRPr="00385835">
              <w:rPr>
                <w:rFonts w:ascii="Times New Roman" w:eastAsia="AngsanaUPC" w:hAnsi="Times New Roman"/>
                <w:b/>
                <w:bCs/>
                <w:i/>
                <w:iCs/>
                <w:sz w:val="24"/>
                <w:szCs w:val="24"/>
                <w:lang w:eastAsia="lt-LT"/>
              </w:rPr>
              <w:t>rezultato rodikliai</w:t>
            </w:r>
          </w:p>
        </w:tc>
      </w:tr>
      <w:tr w:rsidR="00385835" w:rsidRPr="00385835" w:rsidTr="00385835">
        <w:tblPrEx>
          <w:shd w:val="clear" w:color="auto" w:fill="auto"/>
        </w:tblPrEx>
        <w:tc>
          <w:tcPr>
            <w:tcW w:w="535"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sz w:val="18"/>
                <w:szCs w:val="18"/>
                <w:lang w:eastAsia="lt-LT"/>
              </w:rPr>
            </w:pPr>
            <w:r w:rsidRPr="00385835">
              <w:rPr>
                <w:rFonts w:ascii="Times New Roman" w:eastAsia="AngsanaUPC" w:hAnsi="Times New Roman"/>
                <w:b/>
                <w:bCs/>
                <w:sz w:val="18"/>
                <w:szCs w:val="18"/>
                <w:lang w:eastAsia="lt-LT"/>
              </w:rPr>
              <w:t>Nr.</w:t>
            </w:r>
          </w:p>
        </w:tc>
        <w:tc>
          <w:tcPr>
            <w:tcW w:w="2867"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sz w:val="18"/>
                <w:szCs w:val="18"/>
                <w:lang w:eastAsia="lt-LT"/>
              </w:rPr>
            </w:pPr>
            <w:r w:rsidRPr="00385835">
              <w:rPr>
                <w:rFonts w:ascii="Times New Roman" w:eastAsia="AngsanaUPC" w:hAnsi="Times New Roman"/>
                <w:b/>
                <w:bCs/>
                <w:sz w:val="18"/>
                <w:szCs w:val="18"/>
                <w:lang w:eastAsia="lt-LT"/>
              </w:rPr>
              <w:t>Rodiklis</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sz w:val="18"/>
                <w:szCs w:val="18"/>
                <w:lang w:eastAsia="lt-LT"/>
              </w:rPr>
            </w:pPr>
            <w:r w:rsidRPr="00385835">
              <w:rPr>
                <w:rFonts w:ascii="Times New Roman" w:eastAsia="AngsanaUPC" w:hAnsi="Times New Roman"/>
                <w:b/>
                <w:bCs/>
                <w:sz w:val="18"/>
                <w:szCs w:val="18"/>
                <w:lang w:eastAsia="lt-LT"/>
              </w:rPr>
              <w:t>Matavimo vienetai</w:t>
            </w:r>
          </w:p>
        </w:tc>
        <w:tc>
          <w:tcPr>
            <w:tcW w:w="85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sz w:val="18"/>
                <w:szCs w:val="18"/>
                <w:lang w:eastAsia="lt-LT"/>
              </w:rPr>
            </w:pPr>
            <w:r w:rsidRPr="00385835">
              <w:rPr>
                <w:rFonts w:ascii="Times New Roman" w:eastAsia="AngsanaUPC" w:hAnsi="Times New Roman"/>
                <w:b/>
                <w:bCs/>
                <w:sz w:val="18"/>
                <w:szCs w:val="18"/>
                <w:lang w:eastAsia="lt-LT"/>
              </w:rPr>
              <w:t>Pradinė reikšmė</w:t>
            </w:r>
          </w:p>
        </w:tc>
        <w:tc>
          <w:tcPr>
            <w:tcW w:w="992"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sz w:val="18"/>
                <w:szCs w:val="18"/>
                <w:lang w:eastAsia="lt-LT"/>
              </w:rPr>
            </w:pPr>
            <w:r w:rsidRPr="00385835">
              <w:rPr>
                <w:rFonts w:ascii="Times New Roman" w:eastAsia="AngsanaUPC" w:hAnsi="Times New Roman"/>
                <w:b/>
                <w:bCs/>
                <w:sz w:val="18"/>
                <w:szCs w:val="18"/>
                <w:lang w:eastAsia="lt-LT"/>
              </w:rPr>
              <w:t>Pradinės reikšmės metai</w:t>
            </w:r>
          </w:p>
        </w:tc>
        <w:tc>
          <w:tcPr>
            <w:tcW w:w="85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sz w:val="18"/>
                <w:szCs w:val="18"/>
                <w:lang w:eastAsia="lt-LT"/>
              </w:rPr>
            </w:pPr>
            <w:r w:rsidRPr="00385835">
              <w:rPr>
                <w:rFonts w:ascii="Times New Roman" w:eastAsia="AngsanaUPC" w:hAnsi="Times New Roman"/>
                <w:b/>
                <w:bCs/>
                <w:iCs/>
                <w:sz w:val="18"/>
                <w:szCs w:val="18"/>
                <w:lang w:eastAsia="lt-LT"/>
              </w:rPr>
              <w:t>Siektina reikšmė (2023)</w:t>
            </w:r>
          </w:p>
        </w:tc>
        <w:tc>
          <w:tcPr>
            <w:tcW w:w="1275"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sz w:val="18"/>
                <w:szCs w:val="18"/>
                <w:lang w:eastAsia="lt-LT"/>
              </w:rPr>
            </w:pPr>
            <w:r w:rsidRPr="00385835">
              <w:rPr>
                <w:rFonts w:ascii="Times New Roman" w:eastAsia="AngsanaUPC" w:hAnsi="Times New Roman"/>
                <w:b/>
                <w:bCs/>
                <w:sz w:val="18"/>
                <w:szCs w:val="18"/>
                <w:lang w:eastAsia="lt-LT"/>
              </w:rPr>
              <w:t>Duomenų šaltinis</w:t>
            </w:r>
          </w:p>
        </w:tc>
        <w:tc>
          <w:tcPr>
            <w:tcW w:w="124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sz w:val="18"/>
                <w:szCs w:val="18"/>
                <w:lang w:eastAsia="lt-LT"/>
              </w:rPr>
            </w:pPr>
            <w:r w:rsidRPr="00385835">
              <w:rPr>
                <w:rFonts w:ascii="Times New Roman" w:eastAsia="AngsanaUPC" w:hAnsi="Times New Roman"/>
                <w:b/>
                <w:bCs/>
                <w:sz w:val="18"/>
                <w:szCs w:val="18"/>
                <w:lang w:eastAsia="lt-LT"/>
              </w:rPr>
              <w:t>Atsiskaitymo dažnumas</w:t>
            </w:r>
          </w:p>
        </w:tc>
      </w:tr>
      <w:tr w:rsidR="00385835" w:rsidRPr="00385835" w:rsidTr="00385835">
        <w:tblPrEx>
          <w:shd w:val="clear" w:color="auto" w:fill="auto"/>
        </w:tblPrEx>
        <w:tc>
          <w:tcPr>
            <w:tcW w:w="535"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20"/>
                <w:szCs w:val="20"/>
                <w:lang w:eastAsia="lt-LT"/>
              </w:rPr>
            </w:pPr>
            <w:r w:rsidRPr="00385835">
              <w:rPr>
                <w:rFonts w:ascii="Times New Roman" w:eastAsia="AngsanaUPC" w:hAnsi="Times New Roman"/>
                <w:bCs/>
                <w:sz w:val="20"/>
                <w:szCs w:val="20"/>
                <w:lang w:eastAsia="lt-LT"/>
              </w:rPr>
              <w:t xml:space="preserve">1. </w:t>
            </w:r>
          </w:p>
        </w:tc>
        <w:tc>
          <w:tcPr>
            <w:tcW w:w="2867" w:type="dxa"/>
            <w:shd w:val="clear" w:color="auto" w:fill="auto"/>
          </w:tcPr>
          <w:p w:rsidR="00385835" w:rsidRPr="00385835" w:rsidRDefault="00385835" w:rsidP="00385835">
            <w:pPr>
              <w:widowControl w:val="0"/>
              <w:tabs>
                <w:tab w:val="left" w:pos="622"/>
              </w:tabs>
              <w:spacing w:after="0" w:line="240" w:lineRule="auto"/>
              <w:rPr>
                <w:rFonts w:ascii="Times New Roman" w:eastAsia="AngsanaUPC" w:hAnsi="Times New Roman"/>
                <w:bCs/>
                <w:sz w:val="20"/>
                <w:szCs w:val="20"/>
                <w:lang w:eastAsia="lt-LT"/>
              </w:rPr>
            </w:pPr>
            <w:r w:rsidRPr="00385835">
              <w:rPr>
                <w:rFonts w:ascii="Times New Roman" w:eastAsia="AngsanaUPC" w:hAnsi="Times New Roman"/>
                <w:bCs/>
                <w:sz w:val="20"/>
                <w:szCs w:val="20"/>
                <w:lang w:eastAsia="lt-LT"/>
              </w:rPr>
              <w:t>Išlaidų</w:t>
            </w:r>
            <w:r w:rsidR="00554CEA">
              <w:rPr>
                <w:rFonts w:ascii="Times New Roman" w:eastAsia="AngsanaUPC" w:hAnsi="Times New Roman"/>
                <w:bCs/>
                <w:sz w:val="20"/>
                <w:szCs w:val="20"/>
                <w:lang w:eastAsia="lt-LT"/>
              </w:rPr>
              <w:t>,</w:t>
            </w:r>
            <w:r w:rsidRPr="00385835">
              <w:rPr>
                <w:rFonts w:ascii="Times New Roman" w:eastAsia="AngsanaUPC" w:hAnsi="Times New Roman"/>
                <w:bCs/>
                <w:sz w:val="20"/>
                <w:szCs w:val="20"/>
                <w:lang w:eastAsia="lt-LT"/>
              </w:rPr>
              <w:t xml:space="preserve"> apmokamų taikant supaprastintus išlaidų apmokėjimo būdus ESF projektuose</w:t>
            </w:r>
            <w:r w:rsidR="00554CEA">
              <w:rPr>
                <w:rFonts w:ascii="Times New Roman" w:eastAsia="AngsanaUPC" w:hAnsi="Times New Roman"/>
                <w:bCs/>
                <w:sz w:val="20"/>
                <w:szCs w:val="20"/>
                <w:lang w:eastAsia="lt-LT"/>
              </w:rPr>
              <w:t>,</w:t>
            </w:r>
            <w:r w:rsidRPr="00385835">
              <w:rPr>
                <w:rFonts w:ascii="Times New Roman" w:eastAsia="AngsanaUPC" w:hAnsi="Times New Roman"/>
                <w:bCs/>
                <w:sz w:val="20"/>
                <w:szCs w:val="20"/>
                <w:lang w:eastAsia="lt-LT"/>
              </w:rPr>
              <w:t xml:space="preserve"> dalis nuo visų apmokamų ESF projektų išlaidų</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20"/>
                <w:szCs w:val="20"/>
                <w:lang w:eastAsia="lt-LT"/>
              </w:rPr>
            </w:pPr>
            <w:r w:rsidRPr="00385835">
              <w:rPr>
                <w:rFonts w:ascii="Times New Roman" w:eastAsia="AngsanaUPC" w:hAnsi="Times New Roman"/>
                <w:bCs/>
                <w:sz w:val="20"/>
                <w:szCs w:val="20"/>
                <w:lang w:eastAsia="lt-LT"/>
              </w:rPr>
              <w:t xml:space="preserve">Proc. </w:t>
            </w:r>
          </w:p>
        </w:tc>
        <w:tc>
          <w:tcPr>
            <w:tcW w:w="85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20"/>
                <w:szCs w:val="20"/>
                <w:lang w:eastAsia="lt-LT"/>
              </w:rPr>
            </w:pPr>
            <w:r w:rsidRPr="00385835">
              <w:rPr>
                <w:rFonts w:ascii="Times New Roman" w:eastAsia="AngsanaUPC" w:hAnsi="Times New Roman"/>
                <w:bCs/>
                <w:sz w:val="20"/>
                <w:szCs w:val="20"/>
                <w:lang w:eastAsia="lt-LT"/>
              </w:rPr>
              <w:t>9,7*</w:t>
            </w:r>
          </w:p>
        </w:tc>
        <w:tc>
          <w:tcPr>
            <w:tcW w:w="992"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20"/>
                <w:szCs w:val="20"/>
                <w:lang w:eastAsia="lt-LT"/>
              </w:rPr>
            </w:pPr>
            <w:r w:rsidRPr="00385835">
              <w:rPr>
                <w:rFonts w:ascii="Times New Roman" w:eastAsia="AngsanaUPC" w:hAnsi="Times New Roman"/>
                <w:bCs/>
                <w:sz w:val="20"/>
                <w:szCs w:val="20"/>
                <w:lang w:eastAsia="lt-LT"/>
              </w:rPr>
              <w:t>2013</w:t>
            </w:r>
          </w:p>
        </w:tc>
        <w:tc>
          <w:tcPr>
            <w:tcW w:w="85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20"/>
                <w:szCs w:val="20"/>
                <w:lang w:eastAsia="lt-LT"/>
              </w:rPr>
            </w:pPr>
            <w:r w:rsidRPr="00385835">
              <w:rPr>
                <w:rFonts w:ascii="Times New Roman" w:eastAsia="AngsanaUPC" w:hAnsi="Times New Roman"/>
                <w:bCs/>
                <w:sz w:val="20"/>
                <w:szCs w:val="20"/>
                <w:lang w:eastAsia="lt-LT"/>
              </w:rPr>
              <w:t>20</w:t>
            </w:r>
          </w:p>
        </w:tc>
        <w:tc>
          <w:tcPr>
            <w:tcW w:w="1275"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20"/>
                <w:szCs w:val="20"/>
                <w:lang w:eastAsia="lt-LT"/>
              </w:rPr>
            </w:pPr>
            <w:r w:rsidRPr="00385835">
              <w:rPr>
                <w:rFonts w:ascii="Times New Roman" w:eastAsia="AngsanaUPC" w:hAnsi="Times New Roman"/>
                <w:bCs/>
                <w:sz w:val="20"/>
                <w:szCs w:val="20"/>
                <w:lang w:eastAsia="lt-LT"/>
              </w:rPr>
              <w:t>Finansų ministerijos atliekamas tyrimas</w:t>
            </w:r>
          </w:p>
        </w:tc>
        <w:tc>
          <w:tcPr>
            <w:tcW w:w="124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20"/>
                <w:szCs w:val="20"/>
                <w:lang w:eastAsia="lt-LT"/>
              </w:rPr>
            </w:pPr>
            <w:r w:rsidRPr="00385835">
              <w:rPr>
                <w:rFonts w:ascii="Times New Roman" w:eastAsia="AngsanaUPC" w:hAnsi="Times New Roman"/>
                <w:bCs/>
                <w:sz w:val="20"/>
                <w:szCs w:val="20"/>
                <w:lang w:eastAsia="lt-LT"/>
              </w:rPr>
              <w:t>Kartą per metus</w:t>
            </w:r>
          </w:p>
        </w:tc>
      </w:tr>
      <w:tr w:rsidR="00385835" w:rsidRPr="00385835" w:rsidTr="00385835">
        <w:tblPrEx>
          <w:shd w:val="clear" w:color="auto" w:fill="auto"/>
        </w:tblPrEx>
        <w:tc>
          <w:tcPr>
            <w:tcW w:w="535"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20"/>
                <w:szCs w:val="20"/>
                <w:lang w:eastAsia="lt-LT"/>
              </w:rPr>
            </w:pPr>
            <w:r w:rsidRPr="00385835">
              <w:rPr>
                <w:rFonts w:ascii="Times New Roman" w:eastAsia="AngsanaUPC" w:hAnsi="Times New Roman"/>
                <w:bCs/>
                <w:sz w:val="20"/>
                <w:szCs w:val="20"/>
                <w:lang w:eastAsia="lt-LT"/>
              </w:rPr>
              <w:t xml:space="preserve">2. </w:t>
            </w:r>
          </w:p>
        </w:tc>
        <w:tc>
          <w:tcPr>
            <w:tcW w:w="2867" w:type="dxa"/>
            <w:shd w:val="clear" w:color="auto" w:fill="auto"/>
          </w:tcPr>
          <w:p w:rsidR="00385835" w:rsidRPr="00385835" w:rsidRDefault="00385835" w:rsidP="00385835">
            <w:pPr>
              <w:widowControl w:val="0"/>
              <w:tabs>
                <w:tab w:val="left" w:pos="622"/>
              </w:tabs>
              <w:spacing w:after="0" w:line="240" w:lineRule="auto"/>
              <w:rPr>
                <w:rFonts w:ascii="Times New Roman" w:eastAsia="AngsanaUPC" w:hAnsi="Times New Roman"/>
                <w:bCs/>
                <w:sz w:val="20"/>
                <w:szCs w:val="20"/>
                <w:lang w:eastAsia="lt-LT"/>
              </w:rPr>
            </w:pPr>
            <w:r w:rsidRPr="00385835">
              <w:rPr>
                <w:rFonts w:ascii="Times New Roman" w:eastAsia="AngsanaUPC" w:hAnsi="Times New Roman"/>
                <w:bCs/>
                <w:sz w:val="20"/>
                <w:szCs w:val="20"/>
                <w:lang w:eastAsia="lt-LT"/>
              </w:rPr>
              <w:t>Išlaidų</w:t>
            </w:r>
            <w:r w:rsidR="00554CEA">
              <w:rPr>
                <w:rFonts w:ascii="Times New Roman" w:eastAsia="AngsanaUPC" w:hAnsi="Times New Roman"/>
                <w:bCs/>
                <w:sz w:val="20"/>
                <w:szCs w:val="20"/>
                <w:lang w:eastAsia="lt-LT"/>
              </w:rPr>
              <w:t>,</w:t>
            </w:r>
            <w:r w:rsidRPr="00385835">
              <w:rPr>
                <w:rFonts w:ascii="Times New Roman" w:eastAsia="AngsanaUPC" w:hAnsi="Times New Roman"/>
                <w:bCs/>
                <w:sz w:val="20"/>
                <w:szCs w:val="20"/>
                <w:lang w:eastAsia="lt-LT"/>
              </w:rPr>
              <w:t xml:space="preserve"> apmokamų taikant supaprastintus išlaidų apmokėjimo būdus ERPF projektuose</w:t>
            </w:r>
            <w:r w:rsidR="00554CEA">
              <w:rPr>
                <w:rFonts w:ascii="Times New Roman" w:eastAsia="AngsanaUPC" w:hAnsi="Times New Roman"/>
                <w:bCs/>
                <w:sz w:val="20"/>
                <w:szCs w:val="20"/>
                <w:lang w:eastAsia="lt-LT"/>
              </w:rPr>
              <w:t>,</w:t>
            </w:r>
            <w:r w:rsidRPr="00385835">
              <w:rPr>
                <w:rFonts w:ascii="Times New Roman" w:eastAsia="AngsanaUPC" w:hAnsi="Times New Roman"/>
                <w:bCs/>
                <w:sz w:val="20"/>
                <w:szCs w:val="20"/>
                <w:lang w:eastAsia="lt-LT"/>
              </w:rPr>
              <w:t xml:space="preserve"> dalis nuo visų apmokamų ERPF projektų išlaidų</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20"/>
                <w:szCs w:val="20"/>
                <w:lang w:eastAsia="lt-LT"/>
              </w:rPr>
            </w:pPr>
            <w:r w:rsidRPr="00385835">
              <w:rPr>
                <w:rFonts w:ascii="Times New Roman" w:eastAsia="AngsanaUPC" w:hAnsi="Times New Roman"/>
                <w:bCs/>
                <w:sz w:val="20"/>
                <w:szCs w:val="20"/>
                <w:lang w:eastAsia="lt-LT"/>
              </w:rPr>
              <w:t xml:space="preserve">Proc. </w:t>
            </w:r>
          </w:p>
        </w:tc>
        <w:tc>
          <w:tcPr>
            <w:tcW w:w="85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20"/>
                <w:szCs w:val="20"/>
                <w:lang w:eastAsia="lt-LT"/>
              </w:rPr>
            </w:pPr>
            <w:r w:rsidRPr="00385835">
              <w:rPr>
                <w:rFonts w:ascii="Times New Roman" w:eastAsia="AngsanaUPC" w:hAnsi="Times New Roman"/>
                <w:bCs/>
                <w:sz w:val="20"/>
                <w:szCs w:val="20"/>
                <w:lang w:eastAsia="lt-LT"/>
              </w:rPr>
              <w:t>0,4*</w:t>
            </w:r>
          </w:p>
        </w:tc>
        <w:tc>
          <w:tcPr>
            <w:tcW w:w="992"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20"/>
                <w:szCs w:val="20"/>
                <w:lang w:eastAsia="lt-LT"/>
              </w:rPr>
            </w:pPr>
            <w:r w:rsidRPr="00385835">
              <w:rPr>
                <w:rFonts w:ascii="Times New Roman" w:eastAsia="AngsanaUPC" w:hAnsi="Times New Roman"/>
                <w:bCs/>
                <w:sz w:val="20"/>
                <w:szCs w:val="20"/>
                <w:lang w:eastAsia="lt-LT"/>
              </w:rPr>
              <w:t>2013</w:t>
            </w:r>
          </w:p>
        </w:tc>
        <w:tc>
          <w:tcPr>
            <w:tcW w:w="85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20"/>
                <w:szCs w:val="20"/>
                <w:lang w:eastAsia="lt-LT"/>
              </w:rPr>
            </w:pPr>
            <w:r w:rsidRPr="00385835">
              <w:rPr>
                <w:rFonts w:ascii="Times New Roman" w:eastAsia="AngsanaUPC" w:hAnsi="Times New Roman"/>
                <w:bCs/>
                <w:sz w:val="20"/>
                <w:szCs w:val="20"/>
                <w:lang w:eastAsia="lt-LT"/>
              </w:rPr>
              <w:t>4</w:t>
            </w:r>
          </w:p>
        </w:tc>
        <w:tc>
          <w:tcPr>
            <w:tcW w:w="1275"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20"/>
                <w:szCs w:val="20"/>
                <w:lang w:eastAsia="lt-LT"/>
              </w:rPr>
            </w:pPr>
            <w:r w:rsidRPr="00385835">
              <w:rPr>
                <w:rFonts w:ascii="Times New Roman" w:eastAsia="AngsanaUPC" w:hAnsi="Times New Roman"/>
                <w:bCs/>
                <w:sz w:val="20"/>
                <w:szCs w:val="20"/>
                <w:lang w:eastAsia="lt-LT"/>
              </w:rPr>
              <w:t>Finansų ministerijos atliekamas tyrimas</w:t>
            </w:r>
          </w:p>
        </w:tc>
        <w:tc>
          <w:tcPr>
            <w:tcW w:w="124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20"/>
                <w:szCs w:val="20"/>
                <w:lang w:eastAsia="lt-LT"/>
              </w:rPr>
            </w:pPr>
            <w:r w:rsidRPr="00385835">
              <w:rPr>
                <w:rFonts w:ascii="Times New Roman" w:eastAsia="AngsanaUPC" w:hAnsi="Times New Roman"/>
                <w:bCs/>
                <w:sz w:val="20"/>
                <w:szCs w:val="20"/>
                <w:lang w:eastAsia="lt-LT"/>
              </w:rPr>
              <w:t>Kartą per metus</w:t>
            </w:r>
          </w:p>
        </w:tc>
      </w:tr>
      <w:tr w:rsidR="00385835" w:rsidRPr="00385835" w:rsidTr="00385835">
        <w:tblPrEx>
          <w:shd w:val="clear" w:color="auto" w:fill="auto"/>
        </w:tblPrEx>
        <w:tc>
          <w:tcPr>
            <w:tcW w:w="535"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20"/>
                <w:szCs w:val="20"/>
                <w:lang w:eastAsia="lt-LT"/>
              </w:rPr>
            </w:pPr>
            <w:r w:rsidRPr="00385835">
              <w:rPr>
                <w:rFonts w:ascii="Times New Roman" w:eastAsia="AngsanaUPC" w:hAnsi="Times New Roman"/>
                <w:bCs/>
                <w:sz w:val="20"/>
                <w:szCs w:val="20"/>
                <w:lang w:eastAsia="lt-LT"/>
              </w:rPr>
              <w:t xml:space="preserve">3. </w:t>
            </w:r>
          </w:p>
        </w:tc>
        <w:tc>
          <w:tcPr>
            <w:tcW w:w="2867" w:type="dxa"/>
            <w:shd w:val="clear" w:color="auto" w:fill="auto"/>
          </w:tcPr>
          <w:p w:rsidR="00385835" w:rsidRPr="00385835" w:rsidRDefault="00385835" w:rsidP="00385835">
            <w:pPr>
              <w:widowControl w:val="0"/>
              <w:tabs>
                <w:tab w:val="left" w:pos="622"/>
              </w:tabs>
              <w:spacing w:after="0" w:line="240" w:lineRule="auto"/>
              <w:rPr>
                <w:rFonts w:ascii="Times New Roman" w:eastAsia="AngsanaUPC" w:hAnsi="Times New Roman"/>
                <w:bCs/>
                <w:sz w:val="20"/>
                <w:szCs w:val="20"/>
                <w:lang w:eastAsia="lt-LT"/>
              </w:rPr>
            </w:pPr>
            <w:r w:rsidRPr="00385835">
              <w:rPr>
                <w:rFonts w:ascii="Times New Roman" w:eastAsia="AngsanaUPC" w:hAnsi="Times New Roman"/>
                <w:bCs/>
                <w:sz w:val="20"/>
                <w:szCs w:val="20"/>
                <w:lang w:eastAsia="lt-LT"/>
              </w:rPr>
              <w:t>Išlaidų</w:t>
            </w:r>
            <w:r w:rsidR="00554CEA">
              <w:rPr>
                <w:rFonts w:ascii="Times New Roman" w:eastAsia="AngsanaUPC" w:hAnsi="Times New Roman"/>
                <w:bCs/>
                <w:sz w:val="20"/>
                <w:szCs w:val="20"/>
                <w:lang w:eastAsia="lt-LT"/>
              </w:rPr>
              <w:t>,</w:t>
            </w:r>
            <w:r w:rsidRPr="00385835">
              <w:rPr>
                <w:rFonts w:ascii="Times New Roman" w:eastAsia="AngsanaUPC" w:hAnsi="Times New Roman"/>
                <w:bCs/>
                <w:sz w:val="20"/>
                <w:szCs w:val="20"/>
                <w:lang w:eastAsia="lt-LT"/>
              </w:rPr>
              <w:t xml:space="preserve"> apmokamų taikant supaprastintus išlaidų apmokėjimo būdus SaF projektuose</w:t>
            </w:r>
            <w:r w:rsidR="00554CEA">
              <w:rPr>
                <w:rFonts w:ascii="Times New Roman" w:eastAsia="AngsanaUPC" w:hAnsi="Times New Roman"/>
                <w:bCs/>
                <w:sz w:val="20"/>
                <w:szCs w:val="20"/>
                <w:lang w:eastAsia="lt-LT"/>
              </w:rPr>
              <w:t>,</w:t>
            </w:r>
            <w:r w:rsidRPr="00385835">
              <w:rPr>
                <w:rFonts w:ascii="Times New Roman" w:eastAsia="AngsanaUPC" w:hAnsi="Times New Roman"/>
                <w:bCs/>
                <w:sz w:val="20"/>
                <w:szCs w:val="20"/>
                <w:lang w:eastAsia="lt-LT"/>
              </w:rPr>
              <w:t xml:space="preserve"> dalis nuo visų apmokamų SaF projektų išlaidų</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20"/>
                <w:szCs w:val="20"/>
                <w:lang w:eastAsia="lt-LT"/>
              </w:rPr>
            </w:pPr>
            <w:r w:rsidRPr="00385835">
              <w:rPr>
                <w:rFonts w:ascii="Times New Roman" w:eastAsia="AngsanaUPC" w:hAnsi="Times New Roman"/>
                <w:bCs/>
                <w:sz w:val="20"/>
                <w:szCs w:val="20"/>
                <w:lang w:eastAsia="lt-LT"/>
              </w:rPr>
              <w:t>Proc.</w:t>
            </w:r>
          </w:p>
        </w:tc>
        <w:tc>
          <w:tcPr>
            <w:tcW w:w="85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20"/>
                <w:szCs w:val="20"/>
                <w:lang w:eastAsia="lt-LT"/>
              </w:rPr>
            </w:pPr>
            <w:r w:rsidRPr="00385835">
              <w:rPr>
                <w:rFonts w:ascii="Times New Roman" w:eastAsia="AngsanaUPC" w:hAnsi="Times New Roman"/>
                <w:bCs/>
                <w:sz w:val="20"/>
                <w:szCs w:val="20"/>
                <w:lang w:eastAsia="lt-LT"/>
              </w:rPr>
              <w:t>0**</w:t>
            </w:r>
          </w:p>
        </w:tc>
        <w:tc>
          <w:tcPr>
            <w:tcW w:w="992"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20"/>
                <w:szCs w:val="20"/>
                <w:lang w:eastAsia="lt-LT"/>
              </w:rPr>
            </w:pPr>
            <w:r w:rsidRPr="00385835">
              <w:rPr>
                <w:rFonts w:ascii="Times New Roman" w:eastAsia="AngsanaUPC" w:hAnsi="Times New Roman"/>
                <w:bCs/>
                <w:sz w:val="20"/>
                <w:szCs w:val="20"/>
                <w:lang w:eastAsia="lt-LT"/>
              </w:rPr>
              <w:t>2013</w:t>
            </w:r>
          </w:p>
        </w:tc>
        <w:tc>
          <w:tcPr>
            <w:tcW w:w="85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20"/>
                <w:szCs w:val="20"/>
                <w:lang w:eastAsia="lt-LT"/>
              </w:rPr>
            </w:pPr>
            <w:r w:rsidRPr="00385835">
              <w:rPr>
                <w:rFonts w:ascii="Times New Roman" w:eastAsia="AngsanaUPC" w:hAnsi="Times New Roman"/>
                <w:bCs/>
                <w:sz w:val="20"/>
                <w:szCs w:val="20"/>
                <w:lang w:eastAsia="lt-LT"/>
              </w:rPr>
              <w:t>1</w:t>
            </w:r>
          </w:p>
        </w:tc>
        <w:tc>
          <w:tcPr>
            <w:tcW w:w="1275"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20"/>
                <w:szCs w:val="20"/>
                <w:lang w:eastAsia="lt-LT"/>
              </w:rPr>
            </w:pPr>
            <w:r w:rsidRPr="00385835">
              <w:rPr>
                <w:rFonts w:ascii="Times New Roman" w:eastAsia="AngsanaUPC" w:hAnsi="Times New Roman"/>
                <w:bCs/>
                <w:sz w:val="20"/>
                <w:szCs w:val="20"/>
                <w:lang w:eastAsia="lt-LT"/>
              </w:rPr>
              <w:t>Finansų ministerijos atliekamas tyrimas</w:t>
            </w:r>
          </w:p>
        </w:tc>
        <w:tc>
          <w:tcPr>
            <w:tcW w:w="124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20"/>
                <w:szCs w:val="20"/>
                <w:lang w:eastAsia="lt-LT"/>
              </w:rPr>
            </w:pPr>
            <w:r w:rsidRPr="00385835">
              <w:rPr>
                <w:rFonts w:ascii="Times New Roman" w:eastAsia="AngsanaUPC" w:hAnsi="Times New Roman"/>
                <w:bCs/>
                <w:sz w:val="20"/>
                <w:szCs w:val="20"/>
                <w:lang w:eastAsia="lt-LT"/>
              </w:rPr>
              <w:t>Kartą per metus</w:t>
            </w:r>
          </w:p>
        </w:tc>
      </w:tr>
      <w:tr w:rsidR="00385835" w:rsidRPr="00385835" w:rsidTr="00385835">
        <w:tblPrEx>
          <w:shd w:val="clear" w:color="auto" w:fill="auto"/>
        </w:tblPrEx>
        <w:tc>
          <w:tcPr>
            <w:tcW w:w="535"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20"/>
                <w:szCs w:val="20"/>
                <w:lang w:eastAsia="lt-LT"/>
              </w:rPr>
            </w:pPr>
            <w:r w:rsidRPr="00385835">
              <w:rPr>
                <w:rFonts w:ascii="Times New Roman" w:eastAsia="AngsanaUPC" w:hAnsi="Times New Roman"/>
                <w:bCs/>
                <w:sz w:val="20"/>
                <w:szCs w:val="20"/>
                <w:lang w:eastAsia="lt-LT"/>
              </w:rPr>
              <w:t xml:space="preserve">4. </w:t>
            </w:r>
          </w:p>
        </w:tc>
        <w:tc>
          <w:tcPr>
            <w:tcW w:w="2867" w:type="dxa"/>
            <w:shd w:val="clear" w:color="auto" w:fill="auto"/>
          </w:tcPr>
          <w:p w:rsidR="00385835" w:rsidRPr="00385835" w:rsidRDefault="00385835" w:rsidP="00385835">
            <w:pPr>
              <w:widowControl w:val="0"/>
              <w:tabs>
                <w:tab w:val="left" w:pos="622"/>
              </w:tabs>
              <w:spacing w:after="0" w:line="240" w:lineRule="auto"/>
              <w:rPr>
                <w:rFonts w:ascii="Times New Roman" w:eastAsia="AngsanaUPC" w:hAnsi="Times New Roman"/>
                <w:bCs/>
                <w:sz w:val="20"/>
                <w:szCs w:val="20"/>
                <w:lang w:eastAsia="lt-LT"/>
              </w:rPr>
            </w:pPr>
            <w:r w:rsidRPr="00385835">
              <w:rPr>
                <w:rFonts w:ascii="Times New Roman" w:eastAsia="AngsanaUPC" w:hAnsi="Times New Roman"/>
                <w:bCs/>
                <w:sz w:val="20"/>
                <w:szCs w:val="20"/>
                <w:lang w:eastAsia="lt-LT"/>
              </w:rPr>
              <w:t>ES fondus administruojančio personalo kaita</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20"/>
                <w:szCs w:val="20"/>
                <w:lang w:eastAsia="lt-LT"/>
              </w:rPr>
            </w:pPr>
            <w:r w:rsidRPr="00385835">
              <w:rPr>
                <w:rFonts w:ascii="Times New Roman" w:eastAsia="AngsanaUPC" w:hAnsi="Times New Roman"/>
                <w:bCs/>
                <w:sz w:val="20"/>
                <w:szCs w:val="20"/>
                <w:lang w:eastAsia="lt-LT"/>
              </w:rPr>
              <w:t>Proc.</w:t>
            </w:r>
          </w:p>
        </w:tc>
        <w:tc>
          <w:tcPr>
            <w:tcW w:w="85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20"/>
                <w:szCs w:val="20"/>
                <w:lang w:eastAsia="lt-LT"/>
              </w:rPr>
            </w:pPr>
            <w:r w:rsidRPr="00385835">
              <w:rPr>
                <w:rFonts w:ascii="Times New Roman" w:eastAsia="AngsanaUPC" w:hAnsi="Times New Roman"/>
                <w:bCs/>
                <w:sz w:val="20"/>
                <w:szCs w:val="20"/>
                <w:lang w:eastAsia="lt-LT"/>
              </w:rPr>
              <w:t>13</w:t>
            </w:r>
          </w:p>
        </w:tc>
        <w:tc>
          <w:tcPr>
            <w:tcW w:w="992"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20"/>
                <w:szCs w:val="20"/>
                <w:lang w:eastAsia="lt-LT"/>
              </w:rPr>
            </w:pPr>
            <w:r w:rsidRPr="00385835">
              <w:rPr>
                <w:rFonts w:ascii="Times New Roman" w:eastAsia="AngsanaUPC" w:hAnsi="Times New Roman"/>
                <w:bCs/>
                <w:sz w:val="20"/>
                <w:szCs w:val="20"/>
                <w:lang w:eastAsia="lt-LT"/>
              </w:rPr>
              <w:t>2013</w:t>
            </w:r>
          </w:p>
        </w:tc>
        <w:tc>
          <w:tcPr>
            <w:tcW w:w="85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20"/>
                <w:szCs w:val="20"/>
                <w:lang w:eastAsia="lt-LT"/>
              </w:rPr>
            </w:pPr>
            <w:r w:rsidRPr="00385835">
              <w:rPr>
                <w:rFonts w:ascii="Times New Roman" w:eastAsia="AngsanaUPC" w:hAnsi="Times New Roman"/>
                <w:bCs/>
                <w:sz w:val="20"/>
                <w:szCs w:val="20"/>
                <w:lang w:eastAsia="lt-LT"/>
              </w:rPr>
              <w:t>10</w:t>
            </w:r>
          </w:p>
        </w:tc>
        <w:tc>
          <w:tcPr>
            <w:tcW w:w="1275"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20"/>
                <w:szCs w:val="20"/>
                <w:lang w:eastAsia="lt-LT"/>
              </w:rPr>
            </w:pPr>
            <w:r w:rsidRPr="00385835">
              <w:rPr>
                <w:rFonts w:ascii="Times New Roman" w:eastAsia="AngsanaUPC" w:hAnsi="Times New Roman"/>
                <w:bCs/>
                <w:sz w:val="20"/>
                <w:szCs w:val="20"/>
                <w:lang w:eastAsia="lt-LT"/>
              </w:rPr>
              <w:t>Duomenys iš projektų</w:t>
            </w:r>
          </w:p>
        </w:tc>
        <w:tc>
          <w:tcPr>
            <w:tcW w:w="124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20"/>
                <w:szCs w:val="20"/>
                <w:lang w:eastAsia="lt-LT"/>
              </w:rPr>
            </w:pPr>
            <w:r w:rsidRPr="00385835">
              <w:rPr>
                <w:rFonts w:ascii="Times New Roman" w:eastAsia="AngsanaUPC" w:hAnsi="Times New Roman"/>
                <w:bCs/>
                <w:sz w:val="20"/>
                <w:szCs w:val="20"/>
                <w:lang w:eastAsia="lt-LT"/>
              </w:rPr>
              <w:t>Kartą per metus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18"/>
          <w:szCs w:val="18"/>
          <w:lang w:eastAsia="lt-LT"/>
        </w:rPr>
      </w:pPr>
      <w:r w:rsidRPr="00385835">
        <w:rPr>
          <w:rFonts w:ascii="Times New Roman" w:eastAsia="AngsanaUPC" w:hAnsi="Times New Roman"/>
          <w:bCs/>
          <w:sz w:val="18"/>
          <w:szCs w:val="18"/>
          <w:lang w:eastAsia="lt-LT"/>
        </w:rPr>
        <w:t>*- duomenys pradine</w:t>
      </w:r>
      <w:r w:rsidR="00647498">
        <w:rPr>
          <w:rFonts w:ascii="Times New Roman" w:eastAsia="AngsanaUPC" w:hAnsi="Times New Roman"/>
          <w:bCs/>
          <w:sz w:val="18"/>
          <w:szCs w:val="18"/>
          <w:lang w:eastAsia="lt-LT"/>
        </w:rPr>
        <w:t>i reikšmei apskaičiuoti iš 2007–</w:t>
      </w:r>
      <w:r w:rsidRPr="00385835">
        <w:rPr>
          <w:rFonts w:ascii="Times New Roman" w:eastAsia="AngsanaUPC" w:hAnsi="Times New Roman"/>
          <w:bCs/>
          <w:sz w:val="18"/>
          <w:szCs w:val="18"/>
          <w:lang w:eastAsia="lt-LT"/>
        </w:rPr>
        <w:t xml:space="preserve">2013 m. programavimo periodo projektų </w:t>
      </w:r>
    </w:p>
    <w:p w:rsidR="00385835" w:rsidRPr="00385835" w:rsidRDefault="00385835" w:rsidP="00385835">
      <w:pPr>
        <w:widowControl w:val="0"/>
        <w:tabs>
          <w:tab w:val="left" w:pos="622"/>
        </w:tabs>
        <w:spacing w:after="0" w:line="240" w:lineRule="auto"/>
        <w:jc w:val="both"/>
        <w:rPr>
          <w:rFonts w:ascii="Times New Roman" w:eastAsia="AngsanaUPC" w:hAnsi="Times New Roman"/>
          <w:bCs/>
          <w:sz w:val="18"/>
          <w:szCs w:val="18"/>
          <w:lang w:eastAsia="lt-LT"/>
        </w:rPr>
      </w:pPr>
      <w:r w:rsidRPr="00385835">
        <w:rPr>
          <w:rFonts w:ascii="Times New Roman" w:eastAsia="AngsanaUPC" w:hAnsi="Times New Roman"/>
          <w:bCs/>
          <w:sz w:val="18"/>
          <w:szCs w:val="18"/>
          <w:lang w:eastAsia="lt-LT"/>
        </w:rPr>
        <w:t xml:space="preserve">**- </w:t>
      </w:r>
      <w:r w:rsidRPr="00385835">
        <w:rPr>
          <w:rFonts w:ascii="Times New Roman" w:eastAsia="AngsanaUPC" w:hAnsi="Times New Roman"/>
          <w:bCs/>
          <w:iCs/>
          <w:sz w:val="20"/>
          <w:szCs w:val="24"/>
          <w:lang w:eastAsia="lt-LT"/>
        </w:rPr>
        <w:t>SaF</w:t>
      </w:r>
      <w:r w:rsidRPr="00385835">
        <w:rPr>
          <w:rFonts w:ascii="Times New Roman" w:eastAsia="AngsanaUPC" w:hAnsi="Times New Roman"/>
          <w:bCs/>
          <w:sz w:val="14"/>
          <w:szCs w:val="18"/>
          <w:lang w:eastAsia="lt-LT"/>
        </w:rPr>
        <w:t xml:space="preserve"> </w:t>
      </w:r>
      <w:r w:rsidR="00647498">
        <w:rPr>
          <w:rFonts w:ascii="Times New Roman" w:eastAsia="AngsanaUPC" w:hAnsi="Times New Roman"/>
          <w:bCs/>
          <w:sz w:val="18"/>
          <w:szCs w:val="18"/>
          <w:lang w:eastAsia="lt-LT"/>
        </w:rPr>
        <w:t>projektuose 2007–</w:t>
      </w:r>
      <w:r w:rsidRPr="00385835">
        <w:rPr>
          <w:rFonts w:ascii="Times New Roman" w:eastAsia="AngsanaUPC" w:hAnsi="Times New Roman"/>
          <w:bCs/>
          <w:sz w:val="18"/>
          <w:szCs w:val="18"/>
          <w:lang w:eastAsia="lt-LT"/>
        </w:rPr>
        <w:t>2013 m. programavimo periodu supaprastinimai netaikomi</w:t>
      </w:r>
    </w:p>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385835" w:rsidRPr="00385835" w:rsidTr="00385835">
        <w:tc>
          <w:tcPr>
            <w:tcW w:w="9746" w:type="dxa"/>
            <w:tcBorders>
              <w:top w:val="single" w:sz="4" w:space="0" w:color="auto"/>
              <w:left w:val="single" w:sz="4" w:space="0" w:color="auto"/>
              <w:bottom w:val="single" w:sz="4" w:space="0" w:color="auto"/>
              <w:right w:val="single" w:sz="4" w:space="0" w:color="auto"/>
            </w:tcBorders>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Cs/>
                <w:iCs/>
                <w:sz w:val="24"/>
                <w:szCs w:val="24"/>
                <w:lang w:eastAsia="lt-LT"/>
              </w:rPr>
            </w:pPr>
            <w:r w:rsidRPr="00385835">
              <w:rPr>
                <w:rFonts w:ascii="Times New Roman" w:eastAsia="AngsanaUPC" w:hAnsi="Times New Roman"/>
                <w:b/>
                <w:bCs/>
                <w:i/>
                <w:iCs/>
                <w:sz w:val="24"/>
                <w:szCs w:val="24"/>
                <w:lang w:eastAsia="lt-LT"/>
              </w:rPr>
              <w:lastRenderedPageBreak/>
              <w:t>Techninės paramos prioriteto įgyvendinimo veiklos</w:t>
            </w:r>
          </w:p>
        </w:tc>
      </w:tr>
      <w:tr w:rsidR="00385835" w:rsidRPr="00385835" w:rsidTr="00385835">
        <w:tc>
          <w:tcPr>
            <w:tcW w:w="9746" w:type="dxa"/>
            <w:shd w:val="clear" w:color="auto" w:fill="auto"/>
          </w:tcPr>
          <w:p w:rsidR="00385835" w:rsidRPr="00385835" w:rsidRDefault="00385835" w:rsidP="00650E41">
            <w:pPr>
              <w:numPr>
                <w:ilvl w:val="0"/>
                <w:numId w:val="56"/>
              </w:numPr>
              <w:tabs>
                <w:tab w:val="left" w:pos="549"/>
              </w:tabs>
              <w:spacing w:after="0" w:line="240" w:lineRule="auto"/>
              <w:ind w:left="34" w:firstLine="0"/>
              <w:jc w:val="both"/>
              <w:rPr>
                <w:rFonts w:ascii="Times New Roman" w:hAnsi="Times New Roman"/>
                <w:sz w:val="24"/>
                <w:szCs w:val="24"/>
              </w:rPr>
            </w:pPr>
            <w:r w:rsidRPr="00385835">
              <w:rPr>
                <w:rFonts w:ascii="Times New Roman" w:hAnsi="Times New Roman"/>
                <w:sz w:val="24"/>
                <w:szCs w:val="24"/>
              </w:rPr>
              <w:t>Veiksmų programos parengimas, įgyvendinimas, priežiūra ir kontrolė, auditas ir kitos su veiksmų programos įgyvendinimu susijusios veiklos. Taip pat bus finansuojamos veiklos susijusios su programavimo laikotarpių pasikeitimais (t.y. susijusios su užbaigimu ir pasirengimu ateinančiam periodui) ir Partnerystės sutarties įgyvendinimu. Parama bus teikiama institucijoms įsitraukusioms į veiksmų programos valdymą, visų pirma</w:t>
            </w:r>
            <w:r w:rsidR="00647498">
              <w:rPr>
                <w:rFonts w:ascii="Times New Roman" w:hAnsi="Times New Roman"/>
                <w:sz w:val="24"/>
                <w:szCs w:val="24"/>
              </w:rPr>
              <w:t>,</w:t>
            </w:r>
            <w:r w:rsidRPr="00385835">
              <w:rPr>
                <w:rFonts w:ascii="Times New Roman" w:hAnsi="Times New Roman"/>
                <w:sz w:val="24"/>
                <w:szCs w:val="24"/>
              </w:rPr>
              <w:t xml:space="preserve"> tai VKS institucijos. Parama taip pat bus teikiama ir kitoms institucijoms, kurios atlieka funkcijas susijusias su veiksmų programos įgyvendinimu. Techninės paramos lėšomis bus finansuojamos institucijų darbo užmokesčio, komandiruočių, darbo vietos įrengimo ir išlaikymo, posėdžių bei renginių organizavimo, konsultavimo paslaugų įsigijimo ir kitos su veiksmų programos įgyvendinimu susijusios išlaidos. </w:t>
            </w:r>
            <w:r w:rsidRPr="00385835">
              <w:rPr>
                <w:rFonts w:ascii="Times New Roman" w:hAnsi="Times New Roman"/>
                <w:color w:val="000000"/>
                <w:sz w:val="24"/>
                <w:szCs w:val="24"/>
                <w:lang w:eastAsia="lt-LT"/>
              </w:rPr>
              <w:t>Siekiant didinti sukčiavimo prevenciją, atsižvelgiant į korupcijos ir sukčiavimo prevenciją reglamentuojančius nacionalinius teisės aktus ir EK siūlomas rekomendacijas, bus taikomos korupcijos ir sukčiavimo rizikos mažinimo prevencinės priemonės.</w:t>
            </w:r>
          </w:p>
          <w:p w:rsidR="00385835" w:rsidRPr="00385835" w:rsidRDefault="00385835" w:rsidP="00650E41">
            <w:pPr>
              <w:numPr>
                <w:ilvl w:val="0"/>
                <w:numId w:val="56"/>
              </w:numPr>
              <w:tabs>
                <w:tab w:val="left" w:pos="549"/>
              </w:tabs>
              <w:spacing w:after="0" w:line="240" w:lineRule="auto"/>
              <w:ind w:left="34" w:firstLine="0"/>
              <w:jc w:val="both"/>
              <w:rPr>
                <w:rFonts w:ascii="Times New Roman" w:hAnsi="Times New Roman"/>
                <w:sz w:val="24"/>
                <w:szCs w:val="24"/>
              </w:rPr>
            </w:pPr>
            <w:r w:rsidRPr="00385835">
              <w:rPr>
                <w:rFonts w:ascii="Times New Roman" w:hAnsi="Times New Roman"/>
                <w:sz w:val="24"/>
                <w:szCs w:val="24"/>
              </w:rPr>
              <w:t>Administravimo sistemos darbuotojų administracinių gebėjimų, kompetencijų ir motyvacijos stiprinimas; 2014–2020 m. programavimo laikotarpiu bus siekiama išsaugoti sistemoje sukauptus administracinius gebėjimus ir kompetencijas. Bus skatinamas aktyvesnis apsikeitimas gerąja patirtimi, kuriamas informacinių sistemų įrankis, skirtas apsikeitimui informacija, stiprinamas bendradarbiavimas tarp institucijų. Kaip nurodyta Partnerystės sutarties dalyje, skirtoje administracinių gebėjimų stiprinimui, 2014–2020 m. programavimo laikotarpiu bus ir toliau įgyvendinama centralizuotų mokymų sistema, kuri bus tobulinama</w:t>
            </w:r>
            <w:r w:rsidR="007A28F6">
              <w:rPr>
                <w:rFonts w:ascii="Times New Roman" w:hAnsi="Times New Roman"/>
                <w:sz w:val="24"/>
                <w:szCs w:val="24"/>
              </w:rPr>
              <w:t>,</w:t>
            </w:r>
            <w:r w:rsidRPr="00385835">
              <w:rPr>
                <w:rFonts w:ascii="Times New Roman" w:hAnsi="Times New Roman"/>
                <w:sz w:val="24"/>
                <w:szCs w:val="24"/>
              </w:rPr>
              <w:t xml:space="preserve"> siekiant atspindėti naujus sistemai kylančius reikalavimus. Kovojant su didele darbuotojų kaita sistemoje, bus diegiama motyvacijos skatinimo sistema, kuri be kitų priemonių galės apimti ir priemones, skirtas įdiegti su veiklos rezultatais susietas paskatas bei kitas motyvaciją stiprinančias priemones.</w:t>
            </w:r>
          </w:p>
          <w:p w:rsidR="00385835" w:rsidRPr="00385835" w:rsidRDefault="00385835" w:rsidP="00650E41">
            <w:pPr>
              <w:numPr>
                <w:ilvl w:val="0"/>
                <w:numId w:val="56"/>
              </w:numPr>
              <w:tabs>
                <w:tab w:val="left" w:pos="549"/>
              </w:tabs>
              <w:spacing w:after="0" w:line="240" w:lineRule="auto"/>
              <w:ind w:left="34" w:firstLine="0"/>
              <w:jc w:val="both"/>
              <w:rPr>
                <w:rFonts w:ascii="Times New Roman" w:hAnsi="Times New Roman"/>
                <w:sz w:val="24"/>
                <w:szCs w:val="24"/>
              </w:rPr>
            </w:pPr>
            <w:r w:rsidRPr="00385835">
              <w:rPr>
                <w:rFonts w:ascii="Times New Roman" w:hAnsi="Times New Roman"/>
                <w:sz w:val="24"/>
                <w:szCs w:val="24"/>
              </w:rPr>
              <w:t>Administracinės naštos mažinimo veiklos, kurios bus įgyvendinamos elektronizuojant paramos administravimo procesus ir diferencijuojant reikalavimus projektams. Plečiant informacinių sistemų</w:t>
            </w:r>
            <w:proofErr w:type="gramStart"/>
            <w:r w:rsidRPr="00385835">
              <w:rPr>
                <w:rFonts w:ascii="Times New Roman" w:hAnsi="Times New Roman"/>
                <w:sz w:val="24"/>
                <w:szCs w:val="24"/>
              </w:rPr>
              <w:t xml:space="preserve">  </w:t>
            </w:r>
            <w:proofErr w:type="gramEnd"/>
            <w:r w:rsidRPr="00385835">
              <w:rPr>
                <w:rFonts w:ascii="Times New Roman" w:hAnsi="Times New Roman"/>
                <w:sz w:val="24"/>
                <w:szCs w:val="24"/>
              </w:rPr>
              <w:t>naudojimą</w:t>
            </w:r>
            <w:r w:rsidR="007A28F6">
              <w:rPr>
                <w:rFonts w:ascii="Times New Roman" w:hAnsi="Times New Roman"/>
                <w:sz w:val="24"/>
                <w:szCs w:val="24"/>
              </w:rPr>
              <w:t>,</w:t>
            </w:r>
            <w:r w:rsidRPr="00385835">
              <w:rPr>
                <w:rFonts w:ascii="Times New Roman" w:hAnsi="Times New Roman"/>
                <w:sz w:val="24"/>
                <w:szCs w:val="24"/>
              </w:rPr>
              <w:t xml:space="preserve"> bus siekiama kuo platesnio įvairių procesų standartizavimo ir elektronizavimo: bus plečiamos DMS galimybės, pritaikant ją ne tik projektų vykdytojams, bet ir pareiškėjams, plačiau naudojamos elektroninės (automatizuotos) formos paramos administravimo procesuose, užtikrinamas elektroninis apsikeitimas duomenimis, atsisakant informacijos teikimo popieriniu formatu, didinama SFMIS ir kitų valstybės institucijų duomenų bazių integracija užtikrinant automatizuotą keitimąsi duomenimis. </w:t>
            </w:r>
          </w:p>
          <w:p w:rsidR="00385835" w:rsidRPr="00385835" w:rsidRDefault="00385835" w:rsidP="00650E41">
            <w:pPr>
              <w:numPr>
                <w:ilvl w:val="0"/>
                <w:numId w:val="51"/>
              </w:numPr>
              <w:tabs>
                <w:tab w:val="left" w:pos="459"/>
              </w:tabs>
              <w:spacing w:after="0" w:line="240" w:lineRule="auto"/>
              <w:ind w:left="34" w:firstLine="0"/>
              <w:jc w:val="both"/>
              <w:rPr>
                <w:rFonts w:ascii="Times New Roman" w:hAnsi="Times New Roman"/>
                <w:sz w:val="24"/>
                <w:szCs w:val="24"/>
              </w:rPr>
            </w:pPr>
            <w:r w:rsidRPr="00385835">
              <w:rPr>
                <w:rFonts w:ascii="Times New Roman" w:hAnsi="Times New Roman"/>
                <w:sz w:val="24"/>
                <w:szCs w:val="24"/>
              </w:rPr>
              <w:t>Socialinių ekonominių partnerių įtraukimas į paramos administravimo procesus ir gebėjimų ugdymas; 2014–2020 m. programavimo laikotarpiu socialiniai ekonominiai partneriai bus aktyviai įtraukti į ES fondų investicijų programavimo, įgyvendinimo, stebėsenos ir kitus ES fondų administravimo etapus. Taip pat partneriai bus įtraukti į Stebėsenos komiteto veiklą. Stiprinant socialinių ekonominių partnerių administracinius gebėjimus, jiems bus sudarytos sąlygos dalyvauti vadovaujančiosios organizacijos organizuojamuose mokymuose, taip pat bus sudaryta galimybė organizuoti susirinkimus ir posėdžius, kurie prisidėtų prie geresnio veiksmų programos įgyvendinimo. Minėtos veiklos bus apmokamos techninės paramos lėšomis.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567"/>
        <w:gridCol w:w="5103"/>
        <w:gridCol w:w="1418"/>
        <w:gridCol w:w="1417"/>
        <w:gridCol w:w="1241"/>
      </w:tblGrid>
      <w:tr w:rsidR="00385835" w:rsidRPr="00385835" w:rsidTr="00385835">
        <w:trPr>
          <w:tblHeader/>
        </w:trPr>
        <w:tc>
          <w:tcPr>
            <w:tcW w:w="9746" w:type="dxa"/>
            <w:gridSpan w:val="5"/>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i/>
                <w:iCs/>
                <w:sz w:val="24"/>
                <w:szCs w:val="24"/>
                <w:lang w:eastAsia="lt-LT"/>
              </w:rPr>
            </w:pPr>
            <w:r w:rsidRPr="00385835">
              <w:rPr>
                <w:rFonts w:ascii="Times New Roman" w:eastAsia="AngsanaUPC" w:hAnsi="Times New Roman"/>
                <w:b/>
                <w:bCs/>
                <w:i/>
                <w:iCs/>
                <w:sz w:val="24"/>
                <w:szCs w:val="24"/>
                <w:lang w:eastAsia="lt-LT"/>
              </w:rPr>
              <w:t xml:space="preserve">SaF </w:t>
            </w:r>
            <w:r w:rsidR="00D94011">
              <w:rPr>
                <w:rFonts w:ascii="Times New Roman" w:eastAsia="AngsanaUPC" w:hAnsi="Times New Roman"/>
                <w:b/>
                <w:bCs/>
                <w:i/>
                <w:iCs/>
                <w:sz w:val="24"/>
                <w:szCs w:val="24"/>
                <w:lang w:eastAsia="lt-LT"/>
              </w:rPr>
              <w:t>specialieji</w:t>
            </w:r>
            <w:r w:rsidR="00D94011" w:rsidRPr="00385835">
              <w:rPr>
                <w:rFonts w:ascii="Times New Roman" w:eastAsia="AngsanaUPC" w:hAnsi="Times New Roman"/>
                <w:b/>
                <w:bCs/>
                <w:i/>
                <w:iCs/>
                <w:sz w:val="24"/>
                <w:szCs w:val="24"/>
                <w:lang w:eastAsia="lt-LT"/>
              </w:rPr>
              <w:t xml:space="preserve"> </w:t>
            </w:r>
            <w:r w:rsidR="00D94011">
              <w:rPr>
                <w:rFonts w:ascii="Times New Roman" w:eastAsia="AngsanaUPC" w:hAnsi="Times New Roman"/>
                <w:b/>
                <w:bCs/>
                <w:i/>
                <w:iCs/>
                <w:sz w:val="24"/>
                <w:szCs w:val="24"/>
                <w:lang w:eastAsia="lt-LT"/>
              </w:rPr>
              <w:t xml:space="preserve">programos </w:t>
            </w:r>
            <w:r w:rsidRPr="00385835">
              <w:rPr>
                <w:rFonts w:ascii="Times New Roman" w:eastAsia="AngsanaUPC" w:hAnsi="Times New Roman"/>
                <w:b/>
                <w:bCs/>
                <w:i/>
                <w:iCs/>
                <w:sz w:val="24"/>
                <w:szCs w:val="24"/>
                <w:lang w:eastAsia="lt-LT"/>
              </w:rPr>
              <w:t>produkto rodikliai</w:t>
            </w:r>
          </w:p>
        </w:tc>
      </w:tr>
      <w:tr w:rsidR="00385835" w:rsidRPr="00385835" w:rsidTr="00385835">
        <w:tblPrEx>
          <w:shd w:val="clear" w:color="auto" w:fill="auto"/>
        </w:tblPrEx>
        <w:trPr>
          <w:tblHeader/>
        </w:trPr>
        <w:tc>
          <w:tcPr>
            <w:tcW w:w="567"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sz w:val="18"/>
                <w:szCs w:val="18"/>
                <w:lang w:eastAsia="lt-LT"/>
              </w:rPr>
            </w:pPr>
            <w:r w:rsidRPr="00385835">
              <w:rPr>
                <w:rFonts w:ascii="Times New Roman" w:eastAsia="AngsanaUPC" w:hAnsi="Times New Roman"/>
                <w:b/>
                <w:bCs/>
                <w:sz w:val="18"/>
                <w:szCs w:val="18"/>
                <w:lang w:eastAsia="lt-LT"/>
              </w:rPr>
              <w:t>Nr.</w:t>
            </w:r>
          </w:p>
        </w:tc>
        <w:tc>
          <w:tcPr>
            <w:tcW w:w="5103"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sz w:val="18"/>
                <w:szCs w:val="18"/>
                <w:lang w:eastAsia="lt-LT"/>
              </w:rPr>
            </w:pPr>
            <w:r w:rsidRPr="00385835">
              <w:rPr>
                <w:rFonts w:ascii="Times New Roman" w:eastAsia="AngsanaUPC" w:hAnsi="Times New Roman"/>
                <w:b/>
                <w:bCs/>
                <w:sz w:val="18"/>
                <w:szCs w:val="18"/>
                <w:lang w:eastAsia="lt-LT"/>
              </w:rPr>
              <w:t>Rodiklio pavadinimas</w:t>
            </w:r>
          </w:p>
        </w:tc>
        <w:tc>
          <w:tcPr>
            <w:tcW w:w="1418"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sz w:val="18"/>
                <w:szCs w:val="18"/>
                <w:lang w:eastAsia="lt-LT"/>
              </w:rPr>
            </w:pPr>
            <w:r w:rsidRPr="00385835">
              <w:rPr>
                <w:rFonts w:ascii="Times New Roman" w:eastAsia="AngsanaUPC" w:hAnsi="Times New Roman"/>
                <w:b/>
                <w:bCs/>
                <w:sz w:val="18"/>
                <w:szCs w:val="18"/>
                <w:lang w:eastAsia="lt-LT"/>
              </w:rPr>
              <w:t>Matavimo vienetai</w:t>
            </w:r>
          </w:p>
        </w:tc>
        <w:tc>
          <w:tcPr>
            <w:tcW w:w="1417"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sz w:val="18"/>
                <w:szCs w:val="18"/>
                <w:lang w:eastAsia="lt-LT"/>
              </w:rPr>
            </w:pPr>
            <w:r w:rsidRPr="00385835">
              <w:rPr>
                <w:rFonts w:ascii="Times New Roman" w:eastAsia="AngsanaUPC" w:hAnsi="Times New Roman"/>
                <w:b/>
                <w:bCs/>
                <w:iCs/>
                <w:sz w:val="18"/>
                <w:szCs w:val="18"/>
                <w:lang w:eastAsia="lt-LT"/>
              </w:rPr>
              <w:t>Siektina reikšmė (2023)</w:t>
            </w:r>
          </w:p>
        </w:tc>
        <w:tc>
          <w:tcPr>
            <w:tcW w:w="124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sz w:val="18"/>
                <w:szCs w:val="18"/>
                <w:lang w:eastAsia="lt-LT"/>
              </w:rPr>
            </w:pPr>
            <w:r w:rsidRPr="00385835">
              <w:rPr>
                <w:rFonts w:ascii="Times New Roman" w:eastAsia="AngsanaUPC" w:hAnsi="Times New Roman"/>
                <w:b/>
                <w:bCs/>
                <w:sz w:val="18"/>
                <w:szCs w:val="18"/>
                <w:lang w:eastAsia="lt-LT"/>
              </w:rPr>
              <w:t>Duomenų šaltinis</w:t>
            </w:r>
          </w:p>
        </w:tc>
      </w:tr>
      <w:tr w:rsidR="00385835" w:rsidRPr="00385835" w:rsidTr="00385835">
        <w:tblPrEx>
          <w:shd w:val="clear" w:color="auto" w:fill="auto"/>
        </w:tblPrEx>
        <w:tc>
          <w:tcPr>
            <w:tcW w:w="56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20"/>
                <w:szCs w:val="20"/>
                <w:lang w:eastAsia="lt-LT"/>
              </w:rPr>
            </w:pPr>
            <w:r w:rsidRPr="00385835">
              <w:rPr>
                <w:rFonts w:ascii="Times New Roman" w:eastAsia="AngsanaUPC" w:hAnsi="Times New Roman"/>
                <w:bCs/>
                <w:sz w:val="20"/>
                <w:szCs w:val="20"/>
                <w:lang w:eastAsia="lt-LT"/>
              </w:rPr>
              <w:t>1.</w:t>
            </w:r>
          </w:p>
        </w:tc>
        <w:tc>
          <w:tcPr>
            <w:tcW w:w="5103" w:type="dxa"/>
            <w:shd w:val="clear" w:color="auto" w:fill="auto"/>
            <w:vAlign w:val="center"/>
          </w:tcPr>
          <w:p w:rsidR="00385835" w:rsidRPr="00385835" w:rsidRDefault="00385835" w:rsidP="00385835">
            <w:pPr>
              <w:widowControl w:val="0"/>
              <w:tabs>
                <w:tab w:val="left" w:pos="622"/>
              </w:tabs>
              <w:spacing w:after="0" w:line="240" w:lineRule="auto"/>
              <w:rPr>
                <w:rFonts w:ascii="Times New Roman" w:eastAsia="AngsanaUPC" w:hAnsi="Times New Roman"/>
                <w:bCs/>
                <w:sz w:val="20"/>
                <w:szCs w:val="20"/>
                <w:lang w:eastAsia="lt-LT"/>
              </w:rPr>
            </w:pPr>
            <w:r w:rsidRPr="00385835">
              <w:rPr>
                <w:rFonts w:ascii="Times New Roman" w:eastAsia="AngsanaUPC" w:hAnsi="Times New Roman"/>
                <w:bCs/>
                <w:sz w:val="20"/>
                <w:szCs w:val="20"/>
                <w:lang w:eastAsia="lt-LT"/>
              </w:rPr>
              <w:t>Apmokyti valstybės tarnautojai ir darbuotojai</w:t>
            </w:r>
          </w:p>
        </w:tc>
        <w:tc>
          <w:tcPr>
            <w:tcW w:w="1418"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20"/>
                <w:szCs w:val="20"/>
                <w:lang w:eastAsia="lt-LT"/>
              </w:rPr>
            </w:pPr>
            <w:r w:rsidRPr="00385835">
              <w:rPr>
                <w:rFonts w:ascii="Times New Roman" w:eastAsia="AngsanaUPC" w:hAnsi="Times New Roman"/>
                <w:bCs/>
                <w:sz w:val="20"/>
                <w:szCs w:val="20"/>
                <w:lang w:eastAsia="lt-LT"/>
              </w:rPr>
              <w:t>Skaičius</w:t>
            </w:r>
          </w:p>
        </w:tc>
        <w:tc>
          <w:tcPr>
            <w:tcW w:w="141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20"/>
                <w:szCs w:val="20"/>
                <w:lang w:eastAsia="lt-LT"/>
              </w:rPr>
            </w:pPr>
            <w:r w:rsidRPr="00385835">
              <w:rPr>
                <w:rFonts w:ascii="Times New Roman" w:hAnsi="Times New Roman"/>
                <w:color w:val="000000"/>
                <w:sz w:val="20"/>
                <w:szCs w:val="20"/>
                <w:lang w:eastAsia="lt-LT"/>
              </w:rPr>
              <w:t>8</w:t>
            </w:r>
            <w:r w:rsidR="00A50C23">
              <w:rPr>
                <w:rFonts w:ascii="Times New Roman" w:hAnsi="Times New Roman"/>
                <w:color w:val="000000"/>
                <w:sz w:val="20"/>
                <w:szCs w:val="20"/>
                <w:lang w:eastAsia="lt-LT"/>
              </w:rPr>
              <w:t>.</w:t>
            </w:r>
            <w:r w:rsidRPr="00385835">
              <w:rPr>
                <w:rFonts w:ascii="Times New Roman" w:hAnsi="Times New Roman"/>
                <w:color w:val="000000"/>
                <w:sz w:val="20"/>
                <w:szCs w:val="20"/>
                <w:lang w:eastAsia="lt-LT"/>
              </w:rPr>
              <w:t>938</w:t>
            </w:r>
            <w:r w:rsidRPr="00385835" w:rsidDel="00434BD3">
              <w:rPr>
                <w:rFonts w:ascii="Times New Roman" w:eastAsia="AngsanaUPC" w:hAnsi="Times New Roman"/>
                <w:bCs/>
                <w:sz w:val="20"/>
                <w:szCs w:val="20"/>
                <w:lang w:eastAsia="lt-LT"/>
              </w:rPr>
              <w:t xml:space="preserve"> </w:t>
            </w:r>
            <w:r w:rsidRPr="00385835">
              <w:rPr>
                <w:rFonts w:ascii="Times New Roman" w:eastAsia="AngsanaUPC" w:hAnsi="Times New Roman"/>
                <w:bCs/>
                <w:sz w:val="20"/>
                <w:szCs w:val="20"/>
                <w:lang w:eastAsia="lt-LT"/>
              </w:rPr>
              <w:t>***</w:t>
            </w:r>
          </w:p>
        </w:tc>
        <w:tc>
          <w:tcPr>
            <w:tcW w:w="124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20"/>
                <w:szCs w:val="20"/>
                <w:lang w:eastAsia="lt-LT"/>
              </w:rPr>
            </w:pPr>
            <w:r w:rsidRPr="00385835">
              <w:rPr>
                <w:rFonts w:ascii="Times New Roman" w:eastAsia="AngsanaUPC" w:hAnsi="Times New Roman"/>
                <w:bCs/>
                <w:sz w:val="20"/>
                <w:szCs w:val="20"/>
                <w:lang w:eastAsia="lt-LT"/>
              </w:rPr>
              <w:t>Duomenys iš projektų</w:t>
            </w:r>
          </w:p>
        </w:tc>
      </w:tr>
      <w:tr w:rsidR="00385835" w:rsidRPr="00385835" w:rsidTr="00385835">
        <w:tblPrEx>
          <w:shd w:val="clear" w:color="auto" w:fill="auto"/>
        </w:tblPrEx>
        <w:tc>
          <w:tcPr>
            <w:tcW w:w="56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20"/>
                <w:szCs w:val="20"/>
                <w:lang w:eastAsia="lt-LT"/>
              </w:rPr>
            </w:pPr>
            <w:r w:rsidRPr="00385835">
              <w:rPr>
                <w:rFonts w:ascii="Times New Roman" w:eastAsia="AngsanaUPC" w:hAnsi="Times New Roman"/>
                <w:bCs/>
                <w:sz w:val="20"/>
                <w:szCs w:val="20"/>
                <w:lang w:eastAsia="lt-LT"/>
              </w:rPr>
              <w:t>2.</w:t>
            </w:r>
          </w:p>
        </w:tc>
        <w:tc>
          <w:tcPr>
            <w:tcW w:w="5103" w:type="dxa"/>
            <w:shd w:val="clear" w:color="auto" w:fill="auto"/>
            <w:vAlign w:val="center"/>
          </w:tcPr>
          <w:p w:rsidR="00385835" w:rsidRPr="00385835" w:rsidRDefault="00385835" w:rsidP="00385835">
            <w:pPr>
              <w:widowControl w:val="0"/>
              <w:tabs>
                <w:tab w:val="left" w:pos="622"/>
              </w:tabs>
              <w:spacing w:after="0" w:line="240" w:lineRule="auto"/>
              <w:rPr>
                <w:rFonts w:ascii="Times New Roman" w:eastAsia="AngsanaUPC" w:hAnsi="Times New Roman"/>
                <w:bCs/>
                <w:sz w:val="20"/>
                <w:szCs w:val="20"/>
                <w:lang w:eastAsia="lt-LT"/>
              </w:rPr>
            </w:pPr>
            <w:r w:rsidRPr="00385835">
              <w:rPr>
                <w:rFonts w:ascii="Times New Roman" w:eastAsia="AngsanaUPC" w:hAnsi="Times New Roman"/>
                <w:bCs/>
                <w:sz w:val="20"/>
                <w:szCs w:val="20"/>
                <w:lang w:eastAsia="lt-LT"/>
              </w:rPr>
              <w:t>Apmokyti socialiniai ekonominiai partneriai</w:t>
            </w:r>
          </w:p>
        </w:tc>
        <w:tc>
          <w:tcPr>
            <w:tcW w:w="1418"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20"/>
                <w:szCs w:val="20"/>
                <w:lang w:eastAsia="lt-LT"/>
              </w:rPr>
            </w:pPr>
            <w:r w:rsidRPr="00385835">
              <w:rPr>
                <w:rFonts w:ascii="Times New Roman" w:eastAsia="AngsanaUPC" w:hAnsi="Times New Roman"/>
                <w:bCs/>
                <w:sz w:val="20"/>
                <w:szCs w:val="20"/>
                <w:lang w:eastAsia="lt-LT"/>
              </w:rPr>
              <w:t>Skaičius</w:t>
            </w:r>
          </w:p>
        </w:tc>
        <w:tc>
          <w:tcPr>
            <w:tcW w:w="141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20"/>
                <w:szCs w:val="20"/>
                <w:lang w:eastAsia="lt-LT"/>
              </w:rPr>
            </w:pPr>
            <w:r w:rsidRPr="00385835">
              <w:rPr>
                <w:rFonts w:ascii="Times New Roman" w:eastAsia="AngsanaUPC" w:hAnsi="Times New Roman"/>
                <w:bCs/>
                <w:sz w:val="20"/>
                <w:szCs w:val="20"/>
                <w:lang w:eastAsia="lt-LT"/>
              </w:rPr>
              <w:t>400***</w:t>
            </w:r>
          </w:p>
        </w:tc>
        <w:tc>
          <w:tcPr>
            <w:tcW w:w="124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20"/>
                <w:szCs w:val="20"/>
                <w:lang w:eastAsia="lt-LT"/>
              </w:rPr>
            </w:pPr>
            <w:r w:rsidRPr="00385835">
              <w:rPr>
                <w:rFonts w:ascii="Times New Roman" w:eastAsia="AngsanaUPC" w:hAnsi="Times New Roman"/>
                <w:bCs/>
                <w:sz w:val="20"/>
                <w:szCs w:val="20"/>
                <w:lang w:eastAsia="lt-LT"/>
              </w:rPr>
              <w:t>Duomenys iš projektų</w:t>
            </w:r>
          </w:p>
        </w:tc>
      </w:tr>
      <w:tr w:rsidR="00385835" w:rsidRPr="00385835" w:rsidTr="00385835">
        <w:tblPrEx>
          <w:shd w:val="clear" w:color="auto" w:fill="auto"/>
        </w:tblPrEx>
        <w:tc>
          <w:tcPr>
            <w:tcW w:w="567" w:type="dxa"/>
            <w:shd w:val="clear" w:color="auto" w:fill="auto"/>
            <w:vAlign w:val="center"/>
          </w:tcPr>
          <w:p w:rsidR="00385835" w:rsidRPr="00385835" w:rsidRDefault="00385835" w:rsidP="00385835">
            <w:pPr>
              <w:spacing w:after="0" w:line="240" w:lineRule="auto"/>
              <w:jc w:val="center"/>
              <w:rPr>
                <w:rFonts w:ascii="Times New Roman" w:hAnsi="Times New Roman"/>
                <w:sz w:val="20"/>
                <w:szCs w:val="20"/>
              </w:rPr>
            </w:pPr>
            <w:r w:rsidRPr="00385835">
              <w:rPr>
                <w:rFonts w:ascii="Times New Roman" w:hAnsi="Times New Roman"/>
                <w:sz w:val="20"/>
                <w:szCs w:val="20"/>
              </w:rPr>
              <w:t>3.</w:t>
            </w:r>
          </w:p>
        </w:tc>
        <w:tc>
          <w:tcPr>
            <w:tcW w:w="5103" w:type="dxa"/>
            <w:shd w:val="clear" w:color="auto" w:fill="auto"/>
          </w:tcPr>
          <w:p w:rsidR="00385835" w:rsidRPr="00385835" w:rsidRDefault="00385835" w:rsidP="00385835">
            <w:pPr>
              <w:spacing w:after="0" w:line="240" w:lineRule="auto"/>
              <w:rPr>
                <w:rFonts w:ascii="Times New Roman" w:hAnsi="Times New Roman"/>
                <w:sz w:val="20"/>
                <w:szCs w:val="20"/>
              </w:rPr>
            </w:pPr>
            <w:r w:rsidRPr="00385835">
              <w:rPr>
                <w:rFonts w:ascii="Times New Roman" w:hAnsi="Times New Roman"/>
                <w:sz w:val="20"/>
                <w:szCs w:val="20"/>
              </w:rPr>
              <w:t>Įdiegta ES Reglamentų reikalavimus atitinkanti kompiuterinė informacinė valdymo ir priežiūros sistema</w:t>
            </w:r>
          </w:p>
        </w:tc>
        <w:tc>
          <w:tcPr>
            <w:tcW w:w="1418" w:type="dxa"/>
            <w:shd w:val="clear" w:color="auto" w:fill="auto"/>
            <w:vAlign w:val="center"/>
          </w:tcPr>
          <w:p w:rsidR="00385835" w:rsidRPr="00385835" w:rsidRDefault="00385835" w:rsidP="00385835">
            <w:pPr>
              <w:spacing w:after="0" w:line="240" w:lineRule="auto"/>
              <w:jc w:val="center"/>
              <w:rPr>
                <w:rFonts w:ascii="Times New Roman" w:hAnsi="Times New Roman"/>
                <w:sz w:val="20"/>
                <w:szCs w:val="20"/>
              </w:rPr>
            </w:pPr>
            <w:r w:rsidRPr="00385835">
              <w:rPr>
                <w:rFonts w:ascii="Times New Roman" w:hAnsi="Times New Roman"/>
                <w:sz w:val="20"/>
                <w:szCs w:val="20"/>
              </w:rPr>
              <w:t>Skaičius</w:t>
            </w:r>
          </w:p>
        </w:tc>
        <w:tc>
          <w:tcPr>
            <w:tcW w:w="1417" w:type="dxa"/>
            <w:shd w:val="clear" w:color="auto" w:fill="auto"/>
            <w:vAlign w:val="center"/>
          </w:tcPr>
          <w:p w:rsidR="00385835" w:rsidRPr="00385835" w:rsidRDefault="00385835" w:rsidP="00385835">
            <w:pPr>
              <w:spacing w:after="0" w:line="240" w:lineRule="auto"/>
              <w:jc w:val="center"/>
              <w:rPr>
                <w:rFonts w:ascii="Times New Roman" w:hAnsi="Times New Roman"/>
                <w:sz w:val="20"/>
                <w:szCs w:val="20"/>
              </w:rPr>
            </w:pPr>
            <w:r w:rsidRPr="00385835">
              <w:rPr>
                <w:rFonts w:ascii="Times New Roman" w:hAnsi="Times New Roman"/>
                <w:sz w:val="20"/>
                <w:szCs w:val="20"/>
              </w:rPr>
              <w:t>1</w:t>
            </w:r>
          </w:p>
        </w:tc>
        <w:tc>
          <w:tcPr>
            <w:tcW w:w="1241" w:type="dxa"/>
            <w:shd w:val="clear" w:color="auto" w:fill="auto"/>
            <w:vAlign w:val="center"/>
          </w:tcPr>
          <w:p w:rsidR="00385835" w:rsidRPr="00385835" w:rsidRDefault="00385835" w:rsidP="00385835">
            <w:pPr>
              <w:spacing w:after="0" w:line="240" w:lineRule="auto"/>
              <w:jc w:val="center"/>
              <w:rPr>
                <w:rFonts w:ascii="Times New Roman" w:hAnsi="Times New Roman"/>
                <w:sz w:val="20"/>
                <w:szCs w:val="20"/>
              </w:rPr>
            </w:pPr>
            <w:r w:rsidRPr="00385835">
              <w:rPr>
                <w:rFonts w:ascii="Times New Roman" w:hAnsi="Times New Roman"/>
                <w:sz w:val="20"/>
                <w:szCs w:val="20"/>
              </w:rPr>
              <w:t>Duomenys iš projektų</w:t>
            </w:r>
          </w:p>
        </w:tc>
      </w:tr>
      <w:tr w:rsidR="00385835" w:rsidRPr="00385835" w:rsidTr="00385835">
        <w:tblPrEx>
          <w:shd w:val="clear" w:color="auto" w:fill="auto"/>
        </w:tblPrEx>
        <w:tc>
          <w:tcPr>
            <w:tcW w:w="56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20"/>
                <w:szCs w:val="20"/>
                <w:lang w:eastAsia="lt-LT"/>
              </w:rPr>
            </w:pPr>
            <w:r w:rsidRPr="00385835">
              <w:rPr>
                <w:rFonts w:ascii="Times New Roman" w:eastAsia="AngsanaUPC" w:hAnsi="Times New Roman"/>
                <w:bCs/>
                <w:sz w:val="20"/>
                <w:szCs w:val="20"/>
                <w:lang w:eastAsia="lt-LT"/>
              </w:rPr>
              <w:t>4.</w:t>
            </w:r>
          </w:p>
        </w:tc>
        <w:tc>
          <w:tcPr>
            <w:tcW w:w="5103" w:type="dxa"/>
            <w:shd w:val="clear" w:color="auto" w:fill="auto"/>
            <w:vAlign w:val="center"/>
          </w:tcPr>
          <w:p w:rsidR="00385835" w:rsidRPr="00385835" w:rsidRDefault="00385835" w:rsidP="00385835">
            <w:pPr>
              <w:widowControl w:val="0"/>
              <w:tabs>
                <w:tab w:val="left" w:pos="622"/>
              </w:tabs>
              <w:spacing w:after="0" w:line="240" w:lineRule="auto"/>
              <w:rPr>
                <w:rFonts w:ascii="Times New Roman" w:hAnsi="Times New Roman"/>
                <w:color w:val="000000"/>
                <w:sz w:val="20"/>
                <w:szCs w:val="20"/>
                <w:lang w:eastAsia="lt-LT"/>
              </w:rPr>
            </w:pPr>
            <w:r w:rsidRPr="00385835">
              <w:rPr>
                <w:rFonts w:ascii="Times New Roman" w:hAnsi="Times New Roman"/>
                <w:color w:val="000000"/>
                <w:sz w:val="20"/>
                <w:szCs w:val="20"/>
                <w:lang w:eastAsia="lt-LT"/>
              </w:rPr>
              <w:t>ES fondus administruojantys darbuotojai</w:t>
            </w:r>
          </w:p>
        </w:tc>
        <w:tc>
          <w:tcPr>
            <w:tcW w:w="1418"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20"/>
                <w:szCs w:val="20"/>
                <w:lang w:eastAsia="lt-LT"/>
              </w:rPr>
            </w:pPr>
            <w:r w:rsidRPr="00385835">
              <w:rPr>
                <w:rFonts w:ascii="Times New Roman" w:eastAsia="AngsanaUPC" w:hAnsi="Times New Roman"/>
                <w:bCs/>
                <w:sz w:val="20"/>
                <w:szCs w:val="20"/>
                <w:lang w:eastAsia="lt-LT"/>
              </w:rPr>
              <w:t>Skaičius</w:t>
            </w:r>
          </w:p>
        </w:tc>
        <w:tc>
          <w:tcPr>
            <w:tcW w:w="141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20"/>
                <w:szCs w:val="20"/>
                <w:lang w:eastAsia="lt-LT"/>
              </w:rPr>
            </w:pPr>
            <w:r w:rsidRPr="00385835">
              <w:rPr>
                <w:rFonts w:ascii="Times New Roman" w:eastAsia="AngsanaUPC" w:hAnsi="Times New Roman"/>
                <w:bCs/>
                <w:sz w:val="20"/>
                <w:szCs w:val="20"/>
                <w:lang w:eastAsia="lt-LT"/>
              </w:rPr>
              <w:t>1</w:t>
            </w:r>
            <w:r w:rsidR="00A50C23">
              <w:rPr>
                <w:rFonts w:ascii="Times New Roman" w:eastAsia="AngsanaUPC" w:hAnsi="Times New Roman"/>
                <w:bCs/>
                <w:sz w:val="20"/>
                <w:szCs w:val="20"/>
                <w:lang w:eastAsia="lt-LT"/>
              </w:rPr>
              <w:t>.</w:t>
            </w:r>
            <w:r w:rsidRPr="00385835">
              <w:rPr>
                <w:rFonts w:ascii="Times New Roman" w:eastAsia="AngsanaUPC" w:hAnsi="Times New Roman"/>
                <w:bCs/>
                <w:sz w:val="20"/>
                <w:szCs w:val="20"/>
                <w:lang w:eastAsia="lt-LT"/>
              </w:rPr>
              <w:t>227</w:t>
            </w:r>
          </w:p>
        </w:tc>
        <w:tc>
          <w:tcPr>
            <w:tcW w:w="124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20"/>
                <w:szCs w:val="20"/>
                <w:lang w:eastAsia="lt-LT"/>
              </w:rPr>
            </w:pPr>
            <w:r w:rsidRPr="00385835">
              <w:rPr>
                <w:rFonts w:ascii="Times New Roman" w:eastAsia="AngsanaUPC" w:hAnsi="Times New Roman"/>
                <w:bCs/>
                <w:sz w:val="20"/>
                <w:szCs w:val="20"/>
                <w:lang w:eastAsia="lt-LT"/>
              </w:rPr>
              <w:t>Duomenys iš projektų</w:t>
            </w:r>
          </w:p>
        </w:tc>
      </w:tr>
    </w:tbl>
    <w:p w:rsidR="00AC33BC" w:rsidRDefault="00385835" w:rsidP="00385835">
      <w:pPr>
        <w:widowControl w:val="0"/>
        <w:tabs>
          <w:tab w:val="left" w:pos="622"/>
        </w:tabs>
        <w:spacing w:after="0" w:line="240" w:lineRule="auto"/>
        <w:jc w:val="both"/>
        <w:rPr>
          <w:rFonts w:ascii="Times New Roman" w:eastAsia="AngsanaUPC" w:hAnsi="Times New Roman"/>
          <w:bCs/>
          <w:sz w:val="20"/>
          <w:szCs w:val="20"/>
          <w:lang w:eastAsia="lt-LT"/>
        </w:rPr>
      </w:pPr>
      <w:r w:rsidRPr="00385835">
        <w:rPr>
          <w:rFonts w:ascii="Times New Roman" w:eastAsia="AngsanaUPC" w:hAnsi="Times New Roman"/>
          <w:bCs/>
          <w:sz w:val="20"/>
          <w:szCs w:val="20"/>
          <w:lang w:eastAsia="lt-LT"/>
        </w:rPr>
        <w:t>***- Neunikalūs dalyviai</w:t>
      </w:r>
    </w:p>
    <w:p w:rsidR="00596570" w:rsidRPr="002447B3" w:rsidRDefault="00596570" w:rsidP="00596570">
      <w:pPr>
        <w:widowControl w:val="0"/>
        <w:tabs>
          <w:tab w:val="left" w:pos="622"/>
        </w:tabs>
        <w:spacing w:after="0" w:line="240" w:lineRule="auto"/>
        <w:jc w:val="both"/>
        <w:rPr>
          <w:rFonts w:ascii="Times New Roman" w:hAnsi="Times New Roman"/>
          <w:b/>
          <w:bCs/>
          <w:iCs/>
          <w:sz w:val="18"/>
          <w:szCs w:val="18"/>
        </w:rPr>
      </w:pPr>
      <w:r w:rsidRPr="002447B3">
        <w:rPr>
          <w:rFonts w:ascii="Times New Roman" w:eastAsia="AngsanaUPC" w:hAnsi="Times New Roman"/>
          <w:b/>
          <w:bCs/>
          <w:i/>
          <w:iCs/>
          <w:sz w:val="24"/>
          <w:szCs w:val="24"/>
          <w:lang w:eastAsia="lt-LT"/>
        </w:rPr>
        <w:lastRenderedPageBreak/>
        <w:t>Numatomas išlaidų pasiskirstymas pagal kategorijas</w:t>
      </w:r>
    </w:p>
    <w:p w:rsidR="00596570" w:rsidRPr="002447B3" w:rsidRDefault="00596570" w:rsidP="00596570">
      <w:pPr>
        <w:widowControl w:val="0"/>
        <w:tabs>
          <w:tab w:val="left" w:pos="622"/>
        </w:tabs>
        <w:spacing w:after="0" w:line="240" w:lineRule="auto"/>
        <w:jc w:val="both"/>
        <w:rPr>
          <w:rFonts w:ascii="Times New Roman" w:hAnsi="Times New Roman"/>
          <w:b/>
          <w:bCs/>
          <w:iCs/>
          <w:sz w:val="18"/>
          <w:szCs w:val="1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09"/>
        <w:gridCol w:w="6378"/>
        <w:gridCol w:w="1843"/>
      </w:tblGrid>
      <w:tr w:rsidR="00596570" w:rsidRPr="002447B3" w:rsidTr="009D62C6">
        <w:trPr>
          <w:tblHeader/>
        </w:trPr>
        <w:tc>
          <w:tcPr>
            <w:tcW w:w="9781" w:type="dxa"/>
            <w:gridSpan w:val="4"/>
            <w:shd w:val="clear" w:color="auto" w:fill="EEECE1"/>
            <w:vAlign w:val="center"/>
          </w:tcPr>
          <w:p w:rsidR="00596570" w:rsidRPr="002447B3" w:rsidRDefault="00596570" w:rsidP="009D62C6">
            <w:pPr>
              <w:widowControl w:val="0"/>
              <w:tabs>
                <w:tab w:val="left" w:pos="622"/>
              </w:tabs>
              <w:spacing w:after="0" w:line="240" w:lineRule="auto"/>
              <w:jc w:val="both"/>
              <w:rPr>
                <w:rFonts w:ascii="Times New Roman" w:hAnsi="Times New Roman"/>
                <w:b/>
                <w:bCs/>
                <w:i/>
                <w:iCs/>
                <w:sz w:val="18"/>
                <w:szCs w:val="18"/>
              </w:rPr>
            </w:pPr>
            <w:r w:rsidRPr="002447B3">
              <w:rPr>
                <w:rFonts w:ascii="Times New Roman" w:hAnsi="Times New Roman"/>
                <w:b/>
                <w:bCs/>
                <w:i/>
                <w:iCs/>
                <w:sz w:val="18"/>
                <w:szCs w:val="18"/>
              </w:rPr>
              <w:t>Intervencinių veiksmų sritis</w:t>
            </w:r>
          </w:p>
        </w:tc>
      </w:tr>
      <w:tr w:rsidR="00596570" w:rsidRPr="002447B3" w:rsidTr="00386A96">
        <w:tc>
          <w:tcPr>
            <w:tcW w:w="851" w:type="dxa"/>
            <w:shd w:val="clear" w:color="auto" w:fill="EEECE1"/>
            <w:vAlign w:val="center"/>
          </w:tcPr>
          <w:p w:rsidR="00596570" w:rsidRPr="002447B3" w:rsidRDefault="00596570" w:rsidP="009D62C6">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Fondas</w:t>
            </w:r>
          </w:p>
        </w:tc>
        <w:tc>
          <w:tcPr>
            <w:tcW w:w="709" w:type="dxa"/>
            <w:shd w:val="clear" w:color="auto" w:fill="EEECE1"/>
            <w:vAlign w:val="center"/>
          </w:tcPr>
          <w:p w:rsidR="00596570" w:rsidRPr="002447B3" w:rsidRDefault="00596570" w:rsidP="009D62C6">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Kodas</w:t>
            </w:r>
          </w:p>
        </w:tc>
        <w:tc>
          <w:tcPr>
            <w:tcW w:w="6378" w:type="dxa"/>
            <w:shd w:val="clear" w:color="auto" w:fill="EEECE1"/>
            <w:vAlign w:val="center"/>
          </w:tcPr>
          <w:p w:rsidR="00596570" w:rsidRPr="002447B3" w:rsidRDefault="00596570" w:rsidP="009D62C6">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Pavadinimas</w:t>
            </w:r>
          </w:p>
        </w:tc>
        <w:tc>
          <w:tcPr>
            <w:tcW w:w="1843" w:type="dxa"/>
            <w:shd w:val="clear" w:color="auto" w:fill="EEECE1"/>
            <w:vAlign w:val="center"/>
          </w:tcPr>
          <w:p w:rsidR="00596570" w:rsidRPr="002447B3" w:rsidRDefault="00596570" w:rsidP="009D62C6">
            <w:pPr>
              <w:widowControl w:val="0"/>
              <w:tabs>
                <w:tab w:val="left" w:pos="622"/>
              </w:tabs>
              <w:spacing w:after="0" w:line="240" w:lineRule="auto"/>
              <w:jc w:val="center"/>
              <w:rPr>
                <w:rFonts w:ascii="Times New Roman" w:hAnsi="Times New Roman"/>
                <w:b/>
                <w:bCs/>
                <w:iCs/>
                <w:sz w:val="18"/>
                <w:szCs w:val="18"/>
              </w:rPr>
            </w:pPr>
            <w:r w:rsidRPr="002447B3">
              <w:rPr>
                <w:rFonts w:ascii="Times New Roman" w:hAnsi="Times New Roman"/>
                <w:b/>
                <w:bCs/>
                <w:iCs/>
                <w:sz w:val="18"/>
                <w:szCs w:val="18"/>
              </w:rPr>
              <w:t>Finansinė proporcija (eurais)</w:t>
            </w:r>
          </w:p>
        </w:tc>
      </w:tr>
      <w:tr w:rsidR="00596570" w:rsidRPr="002447B3" w:rsidTr="00386A96">
        <w:tc>
          <w:tcPr>
            <w:tcW w:w="851" w:type="dxa"/>
            <w:shd w:val="clear" w:color="auto" w:fill="auto"/>
            <w:vAlign w:val="center"/>
          </w:tcPr>
          <w:p w:rsidR="00596570" w:rsidRPr="00FD7A80" w:rsidRDefault="00596570" w:rsidP="009D62C6">
            <w:pPr>
              <w:widowControl w:val="0"/>
              <w:tabs>
                <w:tab w:val="left" w:pos="622"/>
              </w:tabs>
              <w:spacing w:after="0" w:line="240" w:lineRule="auto"/>
              <w:rPr>
                <w:rFonts w:ascii="Times New Roman" w:eastAsia="AngsanaUPC" w:hAnsi="Times New Roman"/>
                <w:bCs/>
                <w:sz w:val="20"/>
                <w:szCs w:val="20"/>
                <w:lang w:eastAsia="lt-LT"/>
              </w:rPr>
            </w:pPr>
            <w:r w:rsidRPr="00FD7A80">
              <w:rPr>
                <w:rFonts w:ascii="Times New Roman" w:eastAsia="AngsanaUPC" w:hAnsi="Times New Roman"/>
                <w:bCs/>
                <w:sz w:val="20"/>
                <w:szCs w:val="20"/>
                <w:lang w:eastAsia="lt-LT"/>
              </w:rPr>
              <w:t>SaF</w:t>
            </w:r>
          </w:p>
        </w:tc>
        <w:tc>
          <w:tcPr>
            <w:tcW w:w="709" w:type="dxa"/>
            <w:shd w:val="clear" w:color="auto" w:fill="auto"/>
            <w:vAlign w:val="center"/>
          </w:tcPr>
          <w:p w:rsidR="00596570" w:rsidRPr="002447B3" w:rsidRDefault="00596570" w:rsidP="009D62C6">
            <w:pPr>
              <w:widowControl w:val="0"/>
              <w:tabs>
                <w:tab w:val="left" w:pos="622"/>
              </w:tabs>
              <w:spacing w:after="0" w:line="240" w:lineRule="auto"/>
              <w:rPr>
                <w:rFonts w:ascii="Times New Roman" w:eastAsia="AngsanaUPC" w:hAnsi="Times New Roman"/>
                <w:bCs/>
                <w:sz w:val="20"/>
                <w:szCs w:val="20"/>
                <w:lang w:val="en-GB" w:eastAsia="lt-LT"/>
              </w:rPr>
            </w:pPr>
            <w:r w:rsidRPr="002447B3">
              <w:rPr>
                <w:rFonts w:ascii="Times New Roman" w:eastAsia="AngsanaUPC" w:hAnsi="Times New Roman"/>
                <w:bCs/>
                <w:sz w:val="20"/>
                <w:szCs w:val="20"/>
                <w:lang w:val="en-GB" w:eastAsia="lt-LT"/>
              </w:rPr>
              <w:t>121</w:t>
            </w:r>
          </w:p>
        </w:tc>
        <w:tc>
          <w:tcPr>
            <w:tcW w:w="6378" w:type="dxa"/>
            <w:shd w:val="clear" w:color="auto" w:fill="auto"/>
            <w:vAlign w:val="center"/>
          </w:tcPr>
          <w:p w:rsidR="00596570" w:rsidRPr="002447B3" w:rsidRDefault="00596570" w:rsidP="009D62C6">
            <w:pPr>
              <w:widowControl w:val="0"/>
              <w:tabs>
                <w:tab w:val="left" w:pos="622"/>
              </w:tabs>
              <w:spacing w:after="0" w:line="240" w:lineRule="auto"/>
              <w:rPr>
                <w:rFonts w:ascii="Times New Roman" w:eastAsia="AngsanaUPC" w:hAnsi="Times New Roman"/>
                <w:bCs/>
                <w:sz w:val="18"/>
                <w:szCs w:val="18"/>
                <w:lang w:eastAsia="lt-LT"/>
              </w:rPr>
            </w:pPr>
            <w:r w:rsidRPr="002447B3">
              <w:rPr>
                <w:rFonts w:ascii="Times New Roman" w:eastAsia="AngsanaUPC" w:hAnsi="Times New Roman"/>
                <w:bCs/>
                <w:sz w:val="18"/>
                <w:szCs w:val="18"/>
                <w:lang w:eastAsia="lt-LT"/>
              </w:rPr>
              <w:t>Rengimas, įgyvendinimas, stebėjimas ir tikrinimas</w:t>
            </w:r>
          </w:p>
        </w:tc>
        <w:tc>
          <w:tcPr>
            <w:tcW w:w="1843" w:type="dxa"/>
            <w:shd w:val="clear" w:color="auto" w:fill="auto"/>
            <w:vAlign w:val="center"/>
          </w:tcPr>
          <w:p w:rsidR="00596570" w:rsidRPr="002447B3" w:rsidRDefault="00596570" w:rsidP="00A50C23">
            <w:pPr>
              <w:widowControl w:val="0"/>
              <w:tabs>
                <w:tab w:val="left" w:pos="622"/>
              </w:tabs>
              <w:spacing w:after="0" w:line="240" w:lineRule="auto"/>
              <w:jc w:val="right"/>
              <w:rPr>
                <w:rFonts w:ascii="Times New Roman" w:eastAsia="AngsanaUPC" w:hAnsi="Times New Roman"/>
                <w:bCs/>
                <w:sz w:val="20"/>
                <w:szCs w:val="20"/>
                <w:lang w:val="en-GB" w:eastAsia="lt-LT"/>
              </w:rPr>
            </w:pPr>
            <w:r w:rsidRPr="002447B3">
              <w:rPr>
                <w:rFonts w:ascii="Times New Roman" w:eastAsia="AngsanaUPC" w:hAnsi="Times New Roman"/>
                <w:bCs/>
                <w:sz w:val="20"/>
                <w:szCs w:val="20"/>
                <w:lang w:val="en-GB" w:eastAsia="lt-LT"/>
              </w:rPr>
              <w:t>187</w:t>
            </w:r>
            <w:r w:rsidR="00A50C23">
              <w:rPr>
                <w:rFonts w:ascii="Times New Roman" w:eastAsia="AngsanaUPC" w:hAnsi="Times New Roman"/>
                <w:bCs/>
                <w:sz w:val="20"/>
                <w:szCs w:val="20"/>
                <w:lang w:val="en-GB" w:eastAsia="lt-LT"/>
              </w:rPr>
              <w:t>.</w:t>
            </w:r>
            <w:r w:rsidRPr="002447B3">
              <w:rPr>
                <w:rFonts w:ascii="Times New Roman" w:eastAsia="AngsanaUPC" w:hAnsi="Times New Roman"/>
                <w:bCs/>
                <w:sz w:val="20"/>
                <w:szCs w:val="20"/>
                <w:lang w:val="en-GB" w:eastAsia="lt-LT"/>
              </w:rPr>
              <w:t>543</w:t>
            </w:r>
            <w:r w:rsidR="00A50C23">
              <w:rPr>
                <w:rFonts w:ascii="Times New Roman" w:eastAsia="AngsanaUPC" w:hAnsi="Times New Roman"/>
                <w:bCs/>
                <w:sz w:val="20"/>
                <w:szCs w:val="20"/>
                <w:lang w:val="en-GB" w:eastAsia="lt-LT"/>
              </w:rPr>
              <w:t>.</w:t>
            </w:r>
            <w:r w:rsidRPr="002447B3">
              <w:rPr>
                <w:rFonts w:ascii="Times New Roman" w:eastAsia="AngsanaUPC" w:hAnsi="Times New Roman"/>
                <w:bCs/>
                <w:sz w:val="20"/>
                <w:szCs w:val="20"/>
                <w:lang w:val="en-GB" w:eastAsia="lt-LT"/>
              </w:rPr>
              <w:t>198</w:t>
            </w:r>
          </w:p>
        </w:tc>
      </w:tr>
    </w:tbl>
    <w:p w:rsidR="00596570" w:rsidRPr="002447B3" w:rsidRDefault="00596570" w:rsidP="00596570">
      <w:pPr>
        <w:widowControl w:val="0"/>
        <w:tabs>
          <w:tab w:val="left" w:pos="622"/>
        </w:tabs>
        <w:spacing w:after="0" w:line="240" w:lineRule="auto"/>
        <w:jc w:val="both"/>
        <w:rPr>
          <w:rFonts w:ascii="Times New Roman" w:hAnsi="Times New Roman"/>
          <w:iCs/>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9"/>
        <w:gridCol w:w="6378"/>
        <w:gridCol w:w="1808"/>
      </w:tblGrid>
      <w:tr w:rsidR="00596570" w:rsidRPr="002447B3" w:rsidTr="009D62C6">
        <w:tc>
          <w:tcPr>
            <w:tcW w:w="9746" w:type="dxa"/>
            <w:gridSpan w:val="4"/>
            <w:shd w:val="clear" w:color="auto" w:fill="EEECE1"/>
          </w:tcPr>
          <w:p w:rsidR="00596570" w:rsidRPr="002447B3" w:rsidRDefault="00596570" w:rsidP="009D62C6">
            <w:pPr>
              <w:widowControl w:val="0"/>
              <w:tabs>
                <w:tab w:val="left" w:pos="622"/>
              </w:tabs>
              <w:spacing w:after="0" w:line="240" w:lineRule="auto"/>
              <w:jc w:val="both"/>
              <w:rPr>
                <w:rFonts w:ascii="Times New Roman" w:hAnsi="Times New Roman"/>
                <w:i/>
                <w:iCs/>
                <w:sz w:val="18"/>
                <w:szCs w:val="18"/>
              </w:rPr>
            </w:pPr>
            <w:r w:rsidRPr="002447B3">
              <w:rPr>
                <w:rFonts w:ascii="Times New Roman" w:hAnsi="Times New Roman"/>
                <w:b/>
                <w:bCs/>
                <w:i/>
                <w:iCs/>
                <w:sz w:val="18"/>
                <w:szCs w:val="18"/>
              </w:rPr>
              <w:t>Finansavimo forma</w:t>
            </w:r>
          </w:p>
        </w:tc>
      </w:tr>
      <w:tr w:rsidR="00596570" w:rsidRPr="002447B3" w:rsidTr="00386A96">
        <w:tc>
          <w:tcPr>
            <w:tcW w:w="851" w:type="dxa"/>
            <w:shd w:val="clear" w:color="auto" w:fill="EEECE1"/>
            <w:vAlign w:val="center"/>
          </w:tcPr>
          <w:p w:rsidR="00596570" w:rsidRPr="002447B3" w:rsidRDefault="00596570" w:rsidP="009D62C6">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Fondas</w:t>
            </w:r>
          </w:p>
        </w:tc>
        <w:tc>
          <w:tcPr>
            <w:tcW w:w="709" w:type="dxa"/>
            <w:shd w:val="clear" w:color="auto" w:fill="EEECE1"/>
            <w:vAlign w:val="center"/>
          </w:tcPr>
          <w:p w:rsidR="00596570" w:rsidRPr="002447B3" w:rsidRDefault="00596570" w:rsidP="009D62C6">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Kodas</w:t>
            </w:r>
          </w:p>
        </w:tc>
        <w:tc>
          <w:tcPr>
            <w:tcW w:w="6378" w:type="dxa"/>
            <w:shd w:val="clear" w:color="auto" w:fill="EEECE1"/>
            <w:vAlign w:val="center"/>
          </w:tcPr>
          <w:p w:rsidR="00596570" w:rsidRPr="002447B3" w:rsidRDefault="00596570" w:rsidP="009D62C6">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Pavadinimas</w:t>
            </w:r>
          </w:p>
        </w:tc>
        <w:tc>
          <w:tcPr>
            <w:tcW w:w="1808" w:type="dxa"/>
            <w:shd w:val="clear" w:color="auto" w:fill="EEECE1"/>
            <w:vAlign w:val="center"/>
          </w:tcPr>
          <w:p w:rsidR="00596570" w:rsidRPr="002447B3" w:rsidRDefault="00596570" w:rsidP="009D62C6">
            <w:pPr>
              <w:widowControl w:val="0"/>
              <w:tabs>
                <w:tab w:val="left" w:pos="622"/>
              </w:tabs>
              <w:spacing w:after="0" w:line="240" w:lineRule="auto"/>
              <w:jc w:val="center"/>
              <w:rPr>
                <w:rFonts w:ascii="Times New Roman" w:hAnsi="Times New Roman"/>
                <w:b/>
                <w:bCs/>
                <w:iCs/>
                <w:sz w:val="18"/>
                <w:szCs w:val="18"/>
              </w:rPr>
            </w:pPr>
            <w:r w:rsidRPr="002447B3">
              <w:rPr>
                <w:rFonts w:ascii="Times New Roman" w:hAnsi="Times New Roman"/>
                <w:b/>
                <w:bCs/>
                <w:iCs/>
                <w:sz w:val="18"/>
                <w:szCs w:val="18"/>
              </w:rPr>
              <w:t>Finansinė proporcija (eurais)</w:t>
            </w:r>
          </w:p>
        </w:tc>
      </w:tr>
      <w:tr w:rsidR="00596570" w:rsidRPr="002447B3" w:rsidTr="00386A96">
        <w:tc>
          <w:tcPr>
            <w:tcW w:w="851" w:type="dxa"/>
            <w:shd w:val="clear" w:color="auto" w:fill="auto"/>
            <w:vAlign w:val="center"/>
          </w:tcPr>
          <w:p w:rsidR="00596570" w:rsidRPr="00FD7A80" w:rsidRDefault="00596570" w:rsidP="009D62C6">
            <w:pPr>
              <w:widowControl w:val="0"/>
              <w:tabs>
                <w:tab w:val="left" w:pos="622"/>
              </w:tabs>
              <w:spacing w:after="0" w:line="240" w:lineRule="auto"/>
              <w:rPr>
                <w:rFonts w:ascii="Times New Roman" w:eastAsia="AngsanaUPC" w:hAnsi="Times New Roman"/>
                <w:bCs/>
                <w:sz w:val="20"/>
                <w:szCs w:val="20"/>
                <w:lang w:eastAsia="lt-LT"/>
              </w:rPr>
            </w:pPr>
            <w:r w:rsidRPr="00FD7A80">
              <w:rPr>
                <w:rFonts w:ascii="Times New Roman" w:eastAsia="AngsanaUPC" w:hAnsi="Times New Roman"/>
                <w:bCs/>
                <w:sz w:val="20"/>
                <w:szCs w:val="20"/>
                <w:lang w:eastAsia="lt-LT"/>
              </w:rPr>
              <w:t>SaF</w:t>
            </w:r>
          </w:p>
        </w:tc>
        <w:tc>
          <w:tcPr>
            <w:tcW w:w="709" w:type="dxa"/>
            <w:shd w:val="clear" w:color="auto" w:fill="auto"/>
            <w:vAlign w:val="center"/>
          </w:tcPr>
          <w:p w:rsidR="00596570" w:rsidRPr="002447B3" w:rsidRDefault="00596570" w:rsidP="009D62C6">
            <w:pPr>
              <w:widowControl w:val="0"/>
              <w:tabs>
                <w:tab w:val="left" w:pos="622"/>
              </w:tabs>
              <w:spacing w:after="0" w:line="240" w:lineRule="auto"/>
              <w:rPr>
                <w:rFonts w:ascii="Times New Roman" w:eastAsia="AngsanaUPC" w:hAnsi="Times New Roman"/>
                <w:bCs/>
                <w:sz w:val="20"/>
                <w:szCs w:val="20"/>
                <w:lang w:eastAsia="lt-LT"/>
              </w:rPr>
            </w:pPr>
            <w:r w:rsidRPr="002447B3">
              <w:rPr>
                <w:rFonts w:ascii="Times New Roman" w:eastAsia="AngsanaUPC" w:hAnsi="Times New Roman"/>
                <w:bCs/>
                <w:sz w:val="20"/>
                <w:szCs w:val="20"/>
                <w:lang w:eastAsia="lt-LT"/>
              </w:rPr>
              <w:t>01</w:t>
            </w:r>
          </w:p>
        </w:tc>
        <w:tc>
          <w:tcPr>
            <w:tcW w:w="6378" w:type="dxa"/>
            <w:shd w:val="clear" w:color="auto" w:fill="auto"/>
            <w:vAlign w:val="center"/>
          </w:tcPr>
          <w:p w:rsidR="00596570" w:rsidRPr="002447B3" w:rsidRDefault="00596570" w:rsidP="009D62C6">
            <w:pPr>
              <w:widowControl w:val="0"/>
              <w:tabs>
                <w:tab w:val="left" w:pos="622"/>
              </w:tabs>
              <w:spacing w:after="0" w:line="240" w:lineRule="auto"/>
              <w:rPr>
                <w:rFonts w:ascii="Times New Roman" w:eastAsia="AngsanaUPC" w:hAnsi="Times New Roman"/>
                <w:bCs/>
                <w:sz w:val="18"/>
                <w:szCs w:val="18"/>
                <w:lang w:eastAsia="lt-LT"/>
              </w:rPr>
            </w:pPr>
            <w:r w:rsidRPr="002447B3">
              <w:rPr>
                <w:rFonts w:ascii="Times New Roman" w:eastAsia="AngsanaUPC" w:hAnsi="Times New Roman"/>
                <w:bCs/>
                <w:sz w:val="18"/>
                <w:szCs w:val="18"/>
                <w:lang w:eastAsia="lt-LT"/>
              </w:rPr>
              <w:t>Negrąžinamoji subsidija</w:t>
            </w:r>
          </w:p>
        </w:tc>
        <w:tc>
          <w:tcPr>
            <w:tcW w:w="1808" w:type="dxa"/>
            <w:shd w:val="clear" w:color="auto" w:fill="auto"/>
            <w:vAlign w:val="center"/>
          </w:tcPr>
          <w:p w:rsidR="00596570" w:rsidRPr="002447B3" w:rsidRDefault="00596570" w:rsidP="00A50C23">
            <w:pPr>
              <w:widowControl w:val="0"/>
              <w:tabs>
                <w:tab w:val="left" w:pos="622"/>
              </w:tabs>
              <w:spacing w:after="0" w:line="240" w:lineRule="auto"/>
              <w:jc w:val="right"/>
              <w:rPr>
                <w:rFonts w:ascii="Times New Roman" w:eastAsia="AngsanaUPC" w:hAnsi="Times New Roman"/>
                <w:bCs/>
                <w:sz w:val="20"/>
                <w:szCs w:val="20"/>
                <w:lang w:val="en-GB" w:eastAsia="lt-LT"/>
              </w:rPr>
            </w:pPr>
            <w:r w:rsidRPr="002447B3">
              <w:rPr>
                <w:rFonts w:ascii="Times New Roman" w:eastAsia="AngsanaUPC" w:hAnsi="Times New Roman"/>
                <w:bCs/>
                <w:sz w:val="20"/>
                <w:szCs w:val="20"/>
                <w:lang w:val="en-GB" w:eastAsia="lt-LT"/>
              </w:rPr>
              <w:t>187</w:t>
            </w:r>
            <w:r w:rsidR="00A50C23">
              <w:rPr>
                <w:rFonts w:ascii="Times New Roman" w:eastAsia="AngsanaUPC" w:hAnsi="Times New Roman"/>
                <w:bCs/>
                <w:sz w:val="20"/>
                <w:szCs w:val="20"/>
                <w:lang w:val="en-GB" w:eastAsia="lt-LT"/>
              </w:rPr>
              <w:t>.</w:t>
            </w:r>
            <w:r w:rsidRPr="002447B3">
              <w:rPr>
                <w:rFonts w:ascii="Times New Roman" w:eastAsia="AngsanaUPC" w:hAnsi="Times New Roman"/>
                <w:bCs/>
                <w:sz w:val="20"/>
                <w:szCs w:val="20"/>
                <w:lang w:val="en-GB" w:eastAsia="lt-LT"/>
              </w:rPr>
              <w:t>543</w:t>
            </w:r>
            <w:r w:rsidR="00A50C23">
              <w:rPr>
                <w:rFonts w:ascii="Times New Roman" w:eastAsia="AngsanaUPC" w:hAnsi="Times New Roman"/>
                <w:bCs/>
                <w:sz w:val="20"/>
                <w:szCs w:val="20"/>
                <w:lang w:val="en-GB" w:eastAsia="lt-LT"/>
              </w:rPr>
              <w:t>.</w:t>
            </w:r>
            <w:r w:rsidRPr="002447B3">
              <w:rPr>
                <w:rFonts w:ascii="Times New Roman" w:eastAsia="AngsanaUPC" w:hAnsi="Times New Roman"/>
                <w:bCs/>
                <w:sz w:val="20"/>
                <w:szCs w:val="20"/>
                <w:lang w:val="en-GB" w:eastAsia="lt-LT"/>
              </w:rPr>
              <w:t>198</w:t>
            </w:r>
          </w:p>
        </w:tc>
      </w:tr>
    </w:tbl>
    <w:p w:rsidR="00596570" w:rsidRPr="002447B3" w:rsidRDefault="00596570" w:rsidP="00596570">
      <w:pPr>
        <w:widowControl w:val="0"/>
        <w:tabs>
          <w:tab w:val="left" w:pos="622"/>
        </w:tabs>
        <w:spacing w:after="0" w:line="240" w:lineRule="auto"/>
        <w:jc w:val="both"/>
        <w:rPr>
          <w:rFonts w:ascii="Times New Roman" w:hAnsi="Times New Roman"/>
          <w:iCs/>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9"/>
        <w:gridCol w:w="6378"/>
        <w:gridCol w:w="1808"/>
      </w:tblGrid>
      <w:tr w:rsidR="00596570" w:rsidRPr="002447B3" w:rsidTr="009D62C6">
        <w:tc>
          <w:tcPr>
            <w:tcW w:w="9746" w:type="dxa"/>
            <w:gridSpan w:val="4"/>
            <w:shd w:val="clear" w:color="auto" w:fill="EEECE1"/>
          </w:tcPr>
          <w:p w:rsidR="00596570" w:rsidRPr="002447B3" w:rsidRDefault="00596570" w:rsidP="009D62C6">
            <w:pPr>
              <w:widowControl w:val="0"/>
              <w:tabs>
                <w:tab w:val="left" w:pos="622"/>
              </w:tabs>
              <w:spacing w:after="0" w:line="240" w:lineRule="auto"/>
              <w:jc w:val="both"/>
              <w:rPr>
                <w:rFonts w:ascii="Times New Roman" w:hAnsi="Times New Roman"/>
                <w:i/>
                <w:iCs/>
                <w:sz w:val="18"/>
                <w:szCs w:val="18"/>
              </w:rPr>
            </w:pPr>
            <w:r w:rsidRPr="002447B3">
              <w:rPr>
                <w:rFonts w:ascii="Times New Roman" w:hAnsi="Times New Roman"/>
                <w:b/>
                <w:bCs/>
                <w:i/>
                <w:iCs/>
                <w:sz w:val="18"/>
                <w:szCs w:val="18"/>
              </w:rPr>
              <w:t>Teritorijų tipas</w:t>
            </w:r>
          </w:p>
        </w:tc>
      </w:tr>
      <w:tr w:rsidR="00596570" w:rsidRPr="002447B3" w:rsidTr="00386A96">
        <w:tc>
          <w:tcPr>
            <w:tcW w:w="851" w:type="dxa"/>
            <w:shd w:val="clear" w:color="auto" w:fill="EEECE1"/>
            <w:vAlign w:val="center"/>
          </w:tcPr>
          <w:p w:rsidR="00596570" w:rsidRPr="002447B3" w:rsidRDefault="00596570" w:rsidP="009D62C6">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Fondas</w:t>
            </w:r>
          </w:p>
        </w:tc>
        <w:tc>
          <w:tcPr>
            <w:tcW w:w="709" w:type="dxa"/>
            <w:shd w:val="clear" w:color="auto" w:fill="EEECE1"/>
            <w:vAlign w:val="center"/>
          </w:tcPr>
          <w:p w:rsidR="00596570" w:rsidRPr="002447B3" w:rsidRDefault="00596570" w:rsidP="009D62C6">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Kodas</w:t>
            </w:r>
          </w:p>
        </w:tc>
        <w:tc>
          <w:tcPr>
            <w:tcW w:w="6378" w:type="dxa"/>
            <w:shd w:val="clear" w:color="auto" w:fill="EEECE1"/>
            <w:vAlign w:val="center"/>
          </w:tcPr>
          <w:p w:rsidR="00596570" w:rsidRPr="002447B3" w:rsidRDefault="00596570" w:rsidP="009D62C6">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Pavadinimas</w:t>
            </w:r>
          </w:p>
        </w:tc>
        <w:tc>
          <w:tcPr>
            <w:tcW w:w="1808" w:type="dxa"/>
            <w:shd w:val="clear" w:color="auto" w:fill="EEECE1"/>
            <w:vAlign w:val="center"/>
          </w:tcPr>
          <w:p w:rsidR="00596570" w:rsidRPr="002447B3" w:rsidRDefault="00596570" w:rsidP="009D62C6">
            <w:pPr>
              <w:widowControl w:val="0"/>
              <w:tabs>
                <w:tab w:val="left" w:pos="622"/>
              </w:tabs>
              <w:spacing w:after="0" w:line="240" w:lineRule="auto"/>
              <w:jc w:val="center"/>
              <w:rPr>
                <w:rFonts w:ascii="Times New Roman" w:hAnsi="Times New Roman"/>
                <w:b/>
                <w:bCs/>
                <w:iCs/>
                <w:sz w:val="18"/>
                <w:szCs w:val="18"/>
              </w:rPr>
            </w:pPr>
            <w:r w:rsidRPr="002447B3">
              <w:rPr>
                <w:rFonts w:ascii="Times New Roman" w:hAnsi="Times New Roman"/>
                <w:b/>
                <w:bCs/>
                <w:iCs/>
                <w:sz w:val="18"/>
                <w:szCs w:val="18"/>
              </w:rPr>
              <w:t>Finansinė proporcija (eurais)</w:t>
            </w:r>
          </w:p>
        </w:tc>
      </w:tr>
      <w:tr w:rsidR="00596570" w:rsidRPr="00BB0960" w:rsidTr="00386A96">
        <w:tc>
          <w:tcPr>
            <w:tcW w:w="851" w:type="dxa"/>
            <w:shd w:val="clear" w:color="auto" w:fill="auto"/>
            <w:vAlign w:val="center"/>
          </w:tcPr>
          <w:p w:rsidR="00596570" w:rsidRPr="00FD7A80" w:rsidRDefault="00596570" w:rsidP="009D62C6">
            <w:pPr>
              <w:widowControl w:val="0"/>
              <w:tabs>
                <w:tab w:val="left" w:pos="622"/>
              </w:tabs>
              <w:spacing w:after="0" w:line="240" w:lineRule="auto"/>
              <w:rPr>
                <w:rFonts w:ascii="Times New Roman" w:eastAsia="AngsanaUPC" w:hAnsi="Times New Roman"/>
                <w:bCs/>
                <w:sz w:val="20"/>
                <w:szCs w:val="20"/>
                <w:lang w:eastAsia="lt-LT"/>
              </w:rPr>
            </w:pPr>
            <w:r w:rsidRPr="00FD7A80">
              <w:rPr>
                <w:rFonts w:ascii="Times New Roman" w:eastAsia="AngsanaUPC" w:hAnsi="Times New Roman"/>
                <w:bCs/>
                <w:sz w:val="20"/>
                <w:szCs w:val="20"/>
                <w:lang w:eastAsia="lt-LT"/>
              </w:rPr>
              <w:t>SaF</w:t>
            </w:r>
          </w:p>
        </w:tc>
        <w:tc>
          <w:tcPr>
            <w:tcW w:w="709" w:type="dxa"/>
            <w:shd w:val="clear" w:color="auto" w:fill="auto"/>
            <w:vAlign w:val="center"/>
          </w:tcPr>
          <w:p w:rsidR="00596570" w:rsidRPr="002447B3" w:rsidRDefault="00596570" w:rsidP="009D62C6">
            <w:pPr>
              <w:widowControl w:val="0"/>
              <w:tabs>
                <w:tab w:val="left" w:pos="622"/>
              </w:tabs>
              <w:spacing w:after="0" w:line="240" w:lineRule="auto"/>
              <w:rPr>
                <w:rFonts w:ascii="Times New Roman" w:eastAsia="AngsanaUPC" w:hAnsi="Times New Roman"/>
                <w:bCs/>
                <w:sz w:val="20"/>
                <w:szCs w:val="20"/>
                <w:lang w:val="en-GB" w:eastAsia="lt-LT"/>
              </w:rPr>
            </w:pPr>
            <w:r w:rsidRPr="002447B3">
              <w:rPr>
                <w:rFonts w:ascii="Times New Roman" w:eastAsia="AngsanaUPC" w:hAnsi="Times New Roman"/>
                <w:bCs/>
                <w:sz w:val="20"/>
                <w:szCs w:val="20"/>
                <w:lang w:val="en-GB" w:eastAsia="lt-LT"/>
              </w:rPr>
              <w:t>07</w:t>
            </w:r>
          </w:p>
        </w:tc>
        <w:tc>
          <w:tcPr>
            <w:tcW w:w="6378" w:type="dxa"/>
            <w:shd w:val="clear" w:color="auto" w:fill="auto"/>
            <w:vAlign w:val="center"/>
          </w:tcPr>
          <w:p w:rsidR="00596570" w:rsidRPr="002447B3" w:rsidRDefault="00596570" w:rsidP="009D62C6">
            <w:pPr>
              <w:widowControl w:val="0"/>
              <w:tabs>
                <w:tab w:val="left" w:pos="622"/>
              </w:tabs>
              <w:spacing w:after="0" w:line="240" w:lineRule="auto"/>
              <w:jc w:val="both"/>
              <w:rPr>
                <w:rFonts w:ascii="Times New Roman" w:hAnsi="Times New Roman"/>
                <w:bCs/>
                <w:iCs/>
                <w:sz w:val="18"/>
                <w:szCs w:val="18"/>
              </w:rPr>
            </w:pPr>
            <w:r w:rsidRPr="002447B3">
              <w:rPr>
                <w:rFonts w:ascii="Times New Roman" w:hAnsi="Times New Roman"/>
                <w:bCs/>
                <w:iCs/>
                <w:sz w:val="18"/>
                <w:szCs w:val="18"/>
              </w:rPr>
              <w:t>Netaikoma</w:t>
            </w:r>
          </w:p>
        </w:tc>
        <w:tc>
          <w:tcPr>
            <w:tcW w:w="1808" w:type="dxa"/>
            <w:shd w:val="clear" w:color="auto" w:fill="auto"/>
            <w:vAlign w:val="center"/>
          </w:tcPr>
          <w:p w:rsidR="00596570" w:rsidRPr="00BB0960" w:rsidRDefault="00596570" w:rsidP="00A50C23">
            <w:pPr>
              <w:widowControl w:val="0"/>
              <w:tabs>
                <w:tab w:val="left" w:pos="622"/>
              </w:tabs>
              <w:spacing w:after="0" w:line="240" w:lineRule="auto"/>
              <w:jc w:val="right"/>
              <w:rPr>
                <w:rFonts w:ascii="Times New Roman" w:eastAsia="AngsanaUPC" w:hAnsi="Times New Roman"/>
                <w:bCs/>
                <w:sz w:val="20"/>
                <w:szCs w:val="20"/>
                <w:lang w:val="en-GB" w:eastAsia="lt-LT"/>
              </w:rPr>
            </w:pPr>
            <w:r w:rsidRPr="002447B3">
              <w:rPr>
                <w:rFonts w:ascii="Times New Roman" w:eastAsia="AngsanaUPC" w:hAnsi="Times New Roman"/>
                <w:bCs/>
                <w:sz w:val="20"/>
                <w:szCs w:val="20"/>
                <w:lang w:val="en-GB" w:eastAsia="lt-LT"/>
              </w:rPr>
              <w:t>187</w:t>
            </w:r>
            <w:r w:rsidR="00A50C23">
              <w:rPr>
                <w:rFonts w:ascii="Times New Roman" w:eastAsia="AngsanaUPC" w:hAnsi="Times New Roman"/>
                <w:bCs/>
                <w:sz w:val="20"/>
                <w:szCs w:val="20"/>
                <w:lang w:val="en-GB" w:eastAsia="lt-LT"/>
              </w:rPr>
              <w:t>.</w:t>
            </w:r>
            <w:r w:rsidRPr="002447B3">
              <w:rPr>
                <w:rFonts w:ascii="Times New Roman" w:eastAsia="AngsanaUPC" w:hAnsi="Times New Roman"/>
                <w:bCs/>
                <w:sz w:val="20"/>
                <w:szCs w:val="20"/>
                <w:lang w:val="en-GB" w:eastAsia="lt-LT"/>
              </w:rPr>
              <w:t>543</w:t>
            </w:r>
            <w:r w:rsidR="00A50C23">
              <w:rPr>
                <w:rFonts w:ascii="Times New Roman" w:eastAsia="AngsanaUPC" w:hAnsi="Times New Roman"/>
                <w:bCs/>
                <w:sz w:val="20"/>
                <w:szCs w:val="20"/>
                <w:lang w:val="en-GB" w:eastAsia="lt-LT"/>
              </w:rPr>
              <w:t>.</w:t>
            </w:r>
            <w:r w:rsidRPr="002447B3">
              <w:rPr>
                <w:rFonts w:ascii="Times New Roman" w:eastAsia="AngsanaUPC" w:hAnsi="Times New Roman"/>
                <w:bCs/>
                <w:sz w:val="20"/>
                <w:szCs w:val="20"/>
                <w:lang w:val="en-GB" w:eastAsia="lt-LT"/>
              </w:rPr>
              <w:t>198</w:t>
            </w:r>
          </w:p>
        </w:tc>
      </w:tr>
    </w:tbl>
    <w:p w:rsidR="00596570" w:rsidRDefault="00596570" w:rsidP="00385835">
      <w:pPr>
        <w:widowControl w:val="0"/>
        <w:tabs>
          <w:tab w:val="left" w:pos="622"/>
        </w:tabs>
        <w:spacing w:after="0" w:line="240" w:lineRule="auto"/>
        <w:jc w:val="both"/>
        <w:rPr>
          <w:rFonts w:ascii="Times New Roman" w:hAnsi="Times New Roman"/>
          <w:iCs/>
          <w:sz w:val="24"/>
          <w:szCs w:val="24"/>
        </w:rPr>
      </w:pPr>
    </w:p>
    <w:p w:rsidR="00385835" w:rsidRPr="00385835" w:rsidRDefault="00385835" w:rsidP="00385835">
      <w:pPr>
        <w:widowControl w:val="0"/>
        <w:tabs>
          <w:tab w:val="left" w:pos="622"/>
        </w:tabs>
        <w:spacing w:after="0" w:line="240" w:lineRule="auto"/>
        <w:jc w:val="both"/>
        <w:rPr>
          <w:rFonts w:ascii="Times New Roman" w:hAnsi="Times New Roman"/>
          <w:iCs/>
          <w:sz w:val="24"/>
          <w:szCs w:val="24"/>
        </w:rPr>
      </w:pPr>
      <w:r w:rsidRPr="00385835">
        <w:rPr>
          <w:rFonts w:ascii="Times New Roman" w:hAnsi="Times New Roman"/>
          <w:iCs/>
          <w:sz w:val="24"/>
          <w:szCs w:val="24"/>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746"/>
      </w:tblGrid>
      <w:tr w:rsidR="00385835" w:rsidRPr="00385835" w:rsidTr="00385835">
        <w:trPr>
          <w:trHeight w:val="416"/>
        </w:trPr>
        <w:tc>
          <w:tcPr>
            <w:tcW w:w="9746" w:type="dxa"/>
            <w:shd w:val="clear" w:color="auto" w:fill="EEECE1"/>
            <w:vAlign w:val="center"/>
          </w:tcPr>
          <w:p w:rsidR="00385835" w:rsidRPr="00385835" w:rsidRDefault="00385835" w:rsidP="00385835">
            <w:pPr>
              <w:keepNext/>
              <w:spacing w:after="0" w:line="240" w:lineRule="auto"/>
              <w:jc w:val="both"/>
              <w:outlineLvl w:val="1"/>
              <w:rPr>
                <w:rFonts w:ascii="Times New Roman" w:eastAsia="AngsanaUPC" w:hAnsi="Times New Roman"/>
                <w:b/>
                <w:bCs/>
                <w:iCs/>
                <w:sz w:val="24"/>
                <w:szCs w:val="28"/>
                <w:lang w:eastAsia="lt-LT"/>
              </w:rPr>
            </w:pPr>
            <w:bookmarkStart w:id="16" w:name="_Toc69836231"/>
            <w:r w:rsidRPr="00385835">
              <w:rPr>
                <w:rFonts w:ascii="Times New Roman" w:eastAsia="AngsanaUPC" w:hAnsi="Times New Roman"/>
                <w:b/>
                <w:bCs/>
                <w:iCs/>
                <w:sz w:val="24"/>
                <w:szCs w:val="28"/>
                <w:lang w:eastAsia="lt-LT"/>
              </w:rPr>
              <w:lastRenderedPageBreak/>
              <w:t>12 PRIORITETAS. TECHNINĖ PARAMA, SKIRTA INFORMUOTI APIE VEIKSMŲ PROGRAMĄ IR JAI VERTINTI.</w:t>
            </w:r>
            <w:bookmarkEnd w:id="16"/>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835"/>
        <w:gridCol w:w="6854"/>
      </w:tblGrid>
      <w:tr w:rsidR="00385835" w:rsidRPr="00385835" w:rsidTr="00FE48A2">
        <w:tc>
          <w:tcPr>
            <w:tcW w:w="2835" w:type="dxa"/>
            <w:shd w:val="clear" w:color="auto" w:fill="EEECE1"/>
            <w:vAlign w:val="center"/>
          </w:tcPr>
          <w:p w:rsidR="00385835" w:rsidRPr="00385835" w:rsidRDefault="00385835" w:rsidP="00385835">
            <w:pPr>
              <w:widowControl w:val="0"/>
              <w:tabs>
                <w:tab w:val="left" w:pos="622"/>
              </w:tabs>
              <w:spacing w:after="0" w:line="240" w:lineRule="auto"/>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12.1. KONKRETUS UŽDAVINYS</w:t>
            </w:r>
          </w:p>
        </w:tc>
        <w:tc>
          <w:tcPr>
            <w:tcW w:w="6854" w:type="dxa"/>
            <w:shd w:val="clear" w:color="auto" w:fill="EEECE1"/>
            <w:vAlign w:val="center"/>
          </w:tcPr>
          <w:p w:rsidR="00385835" w:rsidRPr="00385835" w:rsidRDefault="00385835" w:rsidP="00385835">
            <w:pPr>
              <w:spacing w:after="0" w:line="240" w:lineRule="auto"/>
              <w:jc w:val="both"/>
              <w:rPr>
                <w:rFonts w:ascii="Times New Roman" w:hAnsi="Times New Roman"/>
                <w:b/>
                <w:sz w:val="24"/>
                <w:szCs w:val="24"/>
              </w:rPr>
            </w:pPr>
            <w:r w:rsidRPr="00385835">
              <w:rPr>
                <w:rFonts w:ascii="Times New Roman" w:hAnsi="Times New Roman"/>
                <w:b/>
                <w:sz w:val="24"/>
                <w:szCs w:val="24"/>
              </w:rPr>
              <w:t>Užtikrinti informavimą apie ES fondų investicijas</w:t>
            </w:r>
          </w:p>
        </w:tc>
      </w:tr>
      <w:tr w:rsidR="00385835" w:rsidRPr="00385835" w:rsidTr="00385835">
        <w:tblPrEx>
          <w:shd w:val="clear" w:color="auto" w:fill="auto"/>
        </w:tblPrEx>
        <w:tc>
          <w:tcPr>
            <w:tcW w:w="9689" w:type="dxa"/>
            <w:gridSpan w:val="2"/>
            <w:shd w:val="clear" w:color="auto" w:fill="auto"/>
          </w:tcPr>
          <w:p w:rsidR="00385835" w:rsidRPr="00385835" w:rsidRDefault="00385835" w:rsidP="00385835">
            <w:pPr>
              <w:spacing w:after="0" w:line="240" w:lineRule="auto"/>
              <w:ind w:firstLine="624"/>
              <w:jc w:val="both"/>
              <w:rPr>
                <w:rFonts w:ascii="Times New Roman" w:hAnsi="Times New Roman"/>
                <w:sz w:val="24"/>
                <w:szCs w:val="24"/>
              </w:rPr>
            </w:pPr>
            <w:r w:rsidRPr="00385835">
              <w:rPr>
                <w:rFonts w:ascii="Times New Roman" w:hAnsi="Times New Roman"/>
                <w:sz w:val="24"/>
                <w:szCs w:val="24"/>
              </w:rPr>
              <w:t xml:space="preserve">Paskutinieji, tiek Lietuvos visuomenės nuomonės, tiek potencialių pareiškėjų ir projektų vykdytojų tyrimų rezultatai rodo, jog žinomumas apie finansavimą iš ES fondų yra gana didelis, o pasitenkinimas gaunamos informacijos paprastumu, aiškumu ir operatyvumu yra sumažėjęs, todėl 2014–2020 m. programavimo laikotarpiu, planuojama labiau koncentruotis į informacijos pateikimo savalaikiškumą, paprastumą, aiškumą ir operatyvumą, t. y. kokybinius rodiklius. Taip pat pastebima, jog per pastaruosius metus padaugėjo ir gyventojų, nekreipiančių dėmesio į informaciją apie ES fondus, tačiau tai labiau sietina ne su jų abejingumu šiai temai, o su pasitenkinimu jau turima informacija šia tema – daugumos apklaustų gyventojų teigimu, informacijos apie ES fondus jiems pakanka, jie jaučia asmeninę ES fondų naudą. Dalies gyventojų teigimu, juos domina informacija apie ES fondų teikiamas galimybes, apie konkrečius projektus, kurie vykdomi jų regione, kuriuose jie galėtų dalyvauti, taip pat gyventojams trūksta informacijos ES fondų skyrimo tikslingumui, efektyvumui ir skaidrumui įvertinti. Taip pat pažymėtina, kad 2014–2020 m. programavimo laikotarpiu didelis dėmesys bus skiriamas socialinių, ekonominių ir regioninių partnerių, projektų vykdytojų, vietos bendruomenių ir nevyriausybinio sektoriaus įtraukimui į ES fondų komunikacijos procesą. Tikėtina, kad didesnis partnerių, vietos bendruomenių ir nevyriausybinio sektoriaus, tiesiogiai susijusio su projektų įgyvendinimo rezultatais, įsitraukimas skatintų didesnį pasitikėjimą </w:t>
            </w:r>
            <w:r w:rsidR="000F4AE6">
              <w:rPr>
                <w:rFonts w:ascii="Times New Roman" w:hAnsi="Times New Roman"/>
                <w:sz w:val="24"/>
                <w:szCs w:val="24"/>
              </w:rPr>
              <w:t>ES fondų</w:t>
            </w:r>
            <w:r w:rsidRPr="00385835">
              <w:rPr>
                <w:rFonts w:ascii="Times New Roman" w:hAnsi="Times New Roman"/>
                <w:sz w:val="24"/>
                <w:szCs w:val="24"/>
              </w:rPr>
              <w:t xml:space="preserve"> sistemos efektyvumu ir skaidrumu. </w:t>
            </w:r>
          </w:p>
          <w:p w:rsidR="00385835" w:rsidRPr="00385835" w:rsidRDefault="00385835" w:rsidP="00385835">
            <w:pPr>
              <w:widowControl w:val="0"/>
              <w:tabs>
                <w:tab w:val="left" w:pos="622"/>
              </w:tabs>
              <w:spacing w:after="0" w:line="240" w:lineRule="auto"/>
              <w:ind w:firstLine="624"/>
              <w:jc w:val="both"/>
              <w:rPr>
                <w:rFonts w:ascii="Times New Roman" w:hAnsi="Times New Roman"/>
                <w:sz w:val="24"/>
                <w:szCs w:val="24"/>
              </w:rPr>
            </w:pPr>
            <w:r w:rsidRPr="00385835">
              <w:rPr>
                <w:rFonts w:ascii="Times New Roman" w:hAnsi="Times New Roman"/>
                <w:sz w:val="24"/>
                <w:szCs w:val="24"/>
              </w:rPr>
              <w:t>Informavimo ir komunikacijos veiklų rezultatai bus vertinami</w:t>
            </w:r>
            <w:r w:rsidR="00C724EE">
              <w:rPr>
                <w:rFonts w:ascii="Times New Roman" w:hAnsi="Times New Roman"/>
                <w:sz w:val="24"/>
                <w:szCs w:val="24"/>
              </w:rPr>
              <w:t>,</w:t>
            </w:r>
            <w:r w:rsidRPr="00385835">
              <w:rPr>
                <w:rFonts w:ascii="Times New Roman" w:hAnsi="Times New Roman"/>
                <w:sz w:val="24"/>
                <w:szCs w:val="24"/>
              </w:rPr>
              <w:t xml:space="preserve"> remiantis kiekvienais metais atliekamais potencialių pareiškėjų, projektų vykdytojų ir visuomenės nuomonės apklausų rezultatais.</w:t>
            </w:r>
          </w:p>
          <w:p w:rsidR="00385835" w:rsidRPr="00385835" w:rsidRDefault="00385835" w:rsidP="00385835">
            <w:pPr>
              <w:widowControl w:val="0"/>
              <w:tabs>
                <w:tab w:val="left" w:pos="622"/>
              </w:tabs>
              <w:spacing w:after="0" w:line="240" w:lineRule="auto"/>
              <w:ind w:firstLine="624"/>
              <w:jc w:val="both"/>
              <w:rPr>
                <w:rFonts w:ascii="Times New Roman" w:eastAsia="AngsanaUPC" w:hAnsi="Times New Roman"/>
                <w:bCs/>
                <w:sz w:val="24"/>
                <w:szCs w:val="24"/>
                <w:lang w:eastAsia="lt-LT"/>
              </w:rPr>
            </w:pPr>
            <w:r w:rsidRPr="00385835">
              <w:rPr>
                <w:rFonts w:ascii="Times New Roman" w:hAnsi="Times New Roman"/>
                <w:sz w:val="24"/>
                <w:szCs w:val="24"/>
              </w:rPr>
              <w:t xml:space="preserve">Įgyvendinus informavimo ir komunikacijos veiklas, tikimasi pasiekti gilesnį visuomenės supratimą apie ES investicijas Lietuvoje, </w:t>
            </w:r>
            <w:r w:rsidRPr="00385835">
              <w:rPr>
                <w:rFonts w:ascii="Times New Roman" w:hAnsi="Times New Roman"/>
                <w:iCs/>
                <w:sz w:val="24"/>
                <w:szCs w:val="24"/>
              </w:rPr>
              <w:t>kad gyventojai galėtų suprasti ir įvertinti, kaip ES investicijos padeda siekti svarbių teigiamų socialinių ir ekonominių pokyčių šalyje ir prisideda prie europietiškos gyventojų gyvenimo kokybės užtikrinimo.</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567"/>
        <w:gridCol w:w="2835"/>
        <w:gridCol w:w="1134"/>
        <w:gridCol w:w="993"/>
        <w:gridCol w:w="992"/>
        <w:gridCol w:w="850"/>
        <w:gridCol w:w="1134"/>
        <w:gridCol w:w="1241"/>
      </w:tblGrid>
      <w:tr w:rsidR="00385835" w:rsidRPr="00385835" w:rsidTr="00385835">
        <w:tc>
          <w:tcPr>
            <w:tcW w:w="9746" w:type="dxa"/>
            <w:gridSpan w:val="8"/>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i/>
                <w:iCs/>
                <w:sz w:val="24"/>
                <w:szCs w:val="24"/>
                <w:lang w:eastAsia="lt-LT"/>
              </w:rPr>
            </w:pPr>
            <w:r w:rsidRPr="00385835">
              <w:rPr>
                <w:rFonts w:ascii="Times New Roman" w:eastAsia="AngsanaUPC" w:hAnsi="Times New Roman"/>
                <w:b/>
                <w:bCs/>
                <w:i/>
                <w:iCs/>
                <w:sz w:val="24"/>
                <w:szCs w:val="24"/>
                <w:lang w:eastAsia="lt-LT"/>
              </w:rPr>
              <w:t xml:space="preserve">ESF </w:t>
            </w:r>
            <w:r w:rsidR="00D94011">
              <w:rPr>
                <w:rFonts w:ascii="Times New Roman" w:eastAsia="AngsanaUPC" w:hAnsi="Times New Roman"/>
                <w:b/>
                <w:bCs/>
                <w:i/>
                <w:iCs/>
                <w:sz w:val="24"/>
                <w:szCs w:val="24"/>
                <w:lang w:eastAsia="lt-LT"/>
              </w:rPr>
              <w:t xml:space="preserve">specialieji programos </w:t>
            </w:r>
            <w:r w:rsidRPr="00385835">
              <w:rPr>
                <w:rFonts w:ascii="Times New Roman" w:eastAsia="AngsanaUPC" w:hAnsi="Times New Roman"/>
                <w:b/>
                <w:bCs/>
                <w:i/>
                <w:iCs/>
                <w:sz w:val="24"/>
                <w:szCs w:val="24"/>
                <w:lang w:eastAsia="lt-LT"/>
              </w:rPr>
              <w:t>rezultato rodikliai</w:t>
            </w:r>
          </w:p>
        </w:tc>
      </w:tr>
      <w:tr w:rsidR="00385835" w:rsidRPr="00385835" w:rsidTr="00385835">
        <w:tblPrEx>
          <w:shd w:val="clear" w:color="auto" w:fill="auto"/>
        </w:tblPrEx>
        <w:tc>
          <w:tcPr>
            <w:tcW w:w="567"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sz w:val="18"/>
                <w:szCs w:val="18"/>
                <w:lang w:eastAsia="lt-LT"/>
              </w:rPr>
            </w:pPr>
            <w:r w:rsidRPr="00385835">
              <w:rPr>
                <w:rFonts w:ascii="Times New Roman" w:eastAsia="AngsanaUPC" w:hAnsi="Times New Roman"/>
                <w:b/>
                <w:bCs/>
                <w:sz w:val="18"/>
                <w:szCs w:val="18"/>
                <w:lang w:eastAsia="lt-LT"/>
              </w:rPr>
              <w:t>Nr.</w:t>
            </w:r>
          </w:p>
        </w:tc>
        <w:tc>
          <w:tcPr>
            <w:tcW w:w="2835"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sz w:val="18"/>
                <w:szCs w:val="18"/>
                <w:lang w:eastAsia="lt-LT"/>
              </w:rPr>
            </w:pPr>
            <w:r w:rsidRPr="00385835">
              <w:rPr>
                <w:rFonts w:ascii="Times New Roman" w:eastAsia="AngsanaUPC" w:hAnsi="Times New Roman"/>
                <w:b/>
                <w:bCs/>
                <w:sz w:val="18"/>
                <w:szCs w:val="18"/>
                <w:lang w:eastAsia="lt-LT"/>
              </w:rPr>
              <w:t>Rodiklis</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sz w:val="18"/>
                <w:szCs w:val="18"/>
                <w:lang w:eastAsia="lt-LT"/>
              </w:rPr>
            </w:pPr>
            <w:r w:rsidRPr="00385835">
              <w:rPr>
                <w:rFonts w:ascii="Times New Roman" w:eastAsia="AngsanaUPC" w:hAnsi="Times New Roman"/>
                <w:b/>
                <w:bCs/>
                <w:sz w:val="18"/>
                <w:szCs w:val="18"/>
                <w:lang w:eastAsia="lt-LT"/>
              </w:rPr>
              <w:t>Matavimo vienetai</w:t>
            </w:r>
          </w:p>
        </w:tc>
        <w:tc>
          <w:tcPr>
            <w:tcW w:w="993"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sz w:val="18"/>
                <w:szCs w:val="18"/>
                <w:lang w:eastAsia="lt-LT"/>
              </w:rPr>
            </w:pPr>
            <w:r w:rsidRPr="00385835">
              <w:rPr>
                <w:rFonts w:ascii="Times New Roman" w:eastAsia="AngsanaUPC" w:hAnsi="Times New Roman"/>
                <w:b/>
                <w:bCs/>
                <w:sz w:val="18"/>
                <w:szCs w:val="18"/>
                <w:lang w:eastAsia="lt-LT"/>
              </w:rPr>
              <w:t>Pradinė reikšmė</w:t>
            </w:r>
          </w:p>
        </w:tc>
        <w:tc>
          <w:tcPr>
            <w:tcW w:w="992"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sz w:val="18"/>
                <w:szCs w:val="18"/>
                <w:lang w:eastAsia="lt-LT"/>
              </w:rPr>
            </w:pPr>
            <w:r w:rsidRPr="00385835">
              <w:rPr>
                <w:rFonts w:ascii="Times New Roman" w:eastAsia="AngsanaUPC" w:hAnsi="Times New Roman"/>
                <w:b/>
                <w:bCs/>
                <w:sz w:val="18"/>
                <w:szCs w:val="18"/>
                <w:lang w:eastAsia="lt-LT"/>
              </w:rPr>
              <w:t>Pradinės reikšmės metai</w:t>
            </w:r>
          </w:p>
        </w:tc>
        <w:tc>
          <w:tcPr>
            <w:tcW w:w="850"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sz w:val="18"/>
                <w:szCs w:val="18"/>
                <w:lang w:eastAsia="lt-LT"/>
              </w:rPr>
            </w:pPr>
            <w:r w:rsidRPr="00385835">
              <w:rPr>
                <w:rFonts w:ascii="Times New Roman" w:eastAsia="AngsanaUPC" w:hAnsi="Times New Roman"/>
                <w:b/>
                <w:bCs/>
                <w:iCs/>
                <w:sz w:val="18"/>
                <w:szCs w:val="18"/>
                <w:lang w:eastAsia="lt-LT"/>
              </w:rPr>
              <w:t>Siektina reikšmė (2023)</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sz w:val="18"/>
                <w:szCs w:val="18"/>
                <w:lang w:eastAsia="lt-LT"/>
              </w:rPr>
            </w:pPr>
            <w:r w:rsidRPr="00385835">
              <w:rPr>
                <w:rFonts w:ascii="Times New Roman" w:eastAsia="AngsanaUPC" w:hAnsi="Times New Roman"/>
                <w:b/>
                <w:bCs/>
                <w:sz w:val="18"/>
                <w:szCs w:val="18"/>
                <w:lang w:eastAsia="lt-LT"/>
              </w:rPr>
              <w:t>Duomenų šaltinis</w:t>
            </w:r>
          </w:p>
        </w:tc>
        <w:tc>
          <w:tcPr>
            <w:tcW w:w="124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sz w:val="18"/>
                <w:szCs w:val="18"/>
                <w:lang w:eastAsia="lt-LT"/>
              </w:rPr>
            </w:pPr>
            <w:r w:rsidRPr="00385835">
              <w:rPr>
                <w:rFonts w:ascii="Times New Roman" w:eastAsia="AngsanaUPC" w:hAnsi="Times New Roman"/>
                <w:b/>
                <w:bCs/>
                <w:sz w:val="18"/>
                <w:szCs w:val="18"/>
                <w:lang w:eastAsia="lt-LT"/>
              </w:rPr>
              <w:t>Atsiskaitymo dažnumas</w:t>
            </w:r>
          </w:p>
        </w:tc>
      </w:tr>
      <w:tr w:rsidR="00385835" w:rsidRPr="00385835" w:rsidTr="00385835">
        <w:tblPrEx>
          <w:shd w:val="clear" w:color="auto" w:fill="auto"/>
        </w:tblPrEx>
        <w:tc>
          <w:tcPr>
            <w:tcW w:w="56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18"/>
                <w:szCs w:val="18"/>
                <w:lang w:eastAsia="lt-LT"/>
              </w:rPr>
            </w:pPr>
            <w:r w:rsidRPr="00385835">
              <w:rPr>
                <w:rFonts w:ascii="Times New Roman" w:eastAsia="AngsanaUPC" w:hAnsi="Times New Roman"/>
                <w:bCs/>
                <w:sz w:val="18"/>
                <w:szCs w:val="18"/>
                <w:lang w:eastAsia="lt-LT"/>
              </w:rPr>
              <w:t>1.</w:t>
            </w:r>
          </w:p>
        </w:tc>
        <w:tc>
          <w:tcPr>
            <w:tcW w:w="2835" w:type="dxa"/>
            <w:shd w:val="clear" w:color="auto" w:fill="auto"/>
          </w:tcPr>
          <w:p w:rsidR="00385835" w:rsidRPr="00385835" w:rsidRDefault="000867A6" w:rsidP="00385835">
            <w:pPr>
              <w:widowControl w:val="0"/>
              <w:tabs>
                <w:tab w:val="left" w:pos="622"/>
              </w:tabs>
              <w:spacing w:after="0" w:line="240" w:lineRule="auto"/>
              <w:rPr>
                <w:rFonts w:ascii="Times New Roman" w:eastAsia="AngsanaUPC" w:hAnsi="Times New Roman"/>
                <w:bCs/>
                <w:sz w:val="18"/>
                <w:szCs w:val="18"/>
                <w:lang w:eastAsia="lt-LT"/>
              </w:rPr>
            </w:pPr>
            <w:r w:rsidRPr="000867A6">
              <w:rPr>
                <w:rFonts w:ascii="Times New Roman" w:hAnsi="Times New Roman"/>
                <w:color w:val="000000"/>
                <w:sz w:val="18"/>
                <w:szCs w:val="20"/>
                <w:lang w:eastAsia="lt-LT"/>
              </w:rPr>
              <w:t xml:space="preserve">Dalis potencialių pareiškėjų, kuriuos tenkina turima informacija </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18"/>
                <w:szCs w:val="18"/>
                <w:lang w:eastAsia="lt-LT"/>
              </w:rPr>
            </w:pPr>
            <w:r w:rsidRPr="00385835">
              <w:rPr>
                <w:rFonts w:ascii="Times New Roman" w:eastAsia="AngsanaUPC" w:hAnsi="Times New Roman"/>
                <w:bCs/>
                <w:sz w:val="18"/>
                <w:szCs w:val="18"/>
                <w:lang w:eastAsia="lt-LT"/>
              </w:rPr>
              <w:t>Proc.</w:t>
            </w:r>
          </w:p>
        </w:tc>
        <w:tc>
          <w:tcPr>
            <w:tcW w:w="993"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18"/>
                <w:szCs w:val="18"/>
                <w:lang w:eastAsia="lt-LT"/>
              </w:rPr>
            </w:pPr>
            <w:r w:rsidRPr="00385835">
              <w:rPr>
                <w:rFonts w:ascii="Times New Roman" w:eastAsia="AngsanaUPC" w:hAnsi="Times New Roman"/>
                <w:bCs/>
                <w:sz w:val="18"/>
                <w:szCs w:val="18"/>
                <w:lang w:eastAsia="lt-LT"/>
              </w:rPr>
              <w:t>30</w:t>
            </w:r>
          </w:p>
        </w:tc>
        <w:tc>
          <w:tcPr>
            <w:tcW w:w="992"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18"/>
                <w:szCs w:val="18"/>
                <w:lang w:eastAsia="lt-LT"/>
              </w:rPr>
            </w:pPr>
            <w:r w:rsidRPr="00385835">
              <w:rPr>
                <w:rFonts w:ascii="Times New Roman" w:eastAsia="AngsanaUPC" w:hAnsi="Times New Roman"/>
                <w:bCs/>
                <w:sz w:val="18"/>
                <w:szCs w:val="18"/>
                <w:lang w:eastAsia="lt-LT"/>
              </w:rPr>
              <w:t>2009</w:t>
            </w:r>
          </w:p>
        </w:tc>
        <w:tc>
          <w:tcPr>
            <w:tcW w:w="850"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18"/>
                <w:szCs w:val="18"/>
                <w:lang w:eastAsia="lt-LT"/>
              </w:rPr>
            </w:pPr>
            <w:r w:rsidRPr="00385835">
              <w:rPr>
                <w:rFonts w:ascii="Times New Roman" w:eastAsia="AngsanaUPC" w:hAnsi="Times New Roman"/>
                <w:bCs/>
                <w:sz w:val="18"/>
                <w:szCs w:val="18"/>
                <w:lang w:eastAsia="lt-LT"/>
              </w:rPr>
              <w:t>65</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18"/>
                <w:szCs w:val="18"/>
                <w:lang w:eastAsia="lt-LT"/>
              </w:rPr>
            </w:pPr>
            <w:r w:rsidRPr="00385835">
              <w:rPr>
                <w:rFonts w:ascii="Times New Roman" w:eastAsia="AngsanaUPC" w:hAnsi="Times New Roman"/>
                <w:bCs/>
                <w:sz w:val="18"/>
                <w:szCs w:val="18"/>
                <w:lang w:eastAsia="lt-LT"/>
              </w:rPr>
              <w:t>Potencialių pareiškėjų tyrimai</w:t>
            </w:r>
          </w:p>
        </w:tc>
        <w:tc>
          <w:tcPr>
            <w:tcW w:w="124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18"/>
                <w:szCs w:val="18"/>
                <w:lang w:eastAsia="lt-LT"/>
              </w:rPr>
            </w:pPr>
            <w:r w:rsidRPr="00385835">
              <w:rPr>
                <w:rFonts w:ascii="Times New Roman" w:eastAsia="AngsanaUPC" w:hAnsi="Times New Roman"/>
                <w:bCs/>
                <w:sz w:val="18"/>
                <w:szCs w:val="18"/>
                <w:lang w:eastAsia="lt-LT"/>
              </w:rPr>
              <w:t>Kartą per metus</w:t>
            </w:r>
          </w:p>
        </w:tc>
      </w:tr>
      <w:tr w:rsidR="00385835" w:rsidRPr="00385835" w:rsidTr="00385835">
        <w:tblPrEx>
          <w:shd w:val="clear" w:color="auto" w:fill="auto"/>
        </w:tblPrEx>
        <w:tc>
          <w:tcPr>
            <w:tcW w:w="56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18"/>
                <w:szCs w:val="18"/>
                <w:lang w:eastAsia="lt-LT"/>
              </w:rPr>
            </w:pPr>
            <w:r w:rsidRPr="00385835">
              <w:rPr>
                <w:rFonts w:ascii="Times New Roman" w:eastAsia="AngsanaUPC" w:hAnsi="Times New Roman"/>
                <w:bCs/>
                <w:sz w:val="18"/>
                <w:szCs w:val="18"/>
                <w:lang w:eastAsia="lt-LT"/>
              </w:rPr>
              <w:t>2.</w:t>
            </w:r>
          </w:p>
        </w:tc>
        <w:tc>
          <w:tcPr>
            <w:tcW w:w="2835" w:type="dxa"/>
            <w:shd w:val="clear" w:color="auto" w:fill="auto"/>
          </w:tcPr>
          <w:p w:rsidR="00385835" w:rsidRPr="00A403CA" w:rsidRDefault="000867A6" w:rsidP="00385835">
            <w:pPr>
              <w:widowControl w:val="0"/>
              <w:tabs>
                <w:tab w:val="left" w:pos="622"/>
              </w:tabs>
              <w:spacing w:after="0" w:line="240" w:lineRule="auto"/>
              <w:rPr>
                <w:rFonts w:ascii="Times New Roman" w:eastAsia="AngsanaUPC" w:hAnsi="Times New Roman"/>
                <w:bCs/>
                <w:sz w:val="18"/>
                <w:szCs w:val="18"/>
                <w:lang w:eastAsia="lt-LT"/>
              </w:rPr>
            </w:pPr>
            <w:r w:rsidRPr="000867A6">
              <w:rPr>
                <w:rFonts w:ascii="Times New Roman" w:hAnsi="Times New Roman"/>
                <w:color w:val="000000"/>
                <w:sz w:val="18"/>
                <w:szCs w:val="18"/>
                <w:lang w:eastAsia="lt-LT"/>
              </w:rPr>
              <w:t>Dalis projektų vykdytojų, kuriems pakanka informacijos kaip tinkamai įgyvendinti projektą</w:t>
            </w:r>
            <w:r>
              <w:rPr>
                <w:rFonts w:ascii="Times New Roman" w:hAnsi="Times New Roman"/>
                <w:color w:val="000000"/>
                <w:sz w:val="18"/>
                <w:szCs w:val="18"/>
                <w:lang w:eastAsia="lt-LT"/>
              </w:rPr>
              <w:t xml:space="preserve"> </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18"/>
                <w:szCs w:val="18"/>
                <w:lang w:eastAsia="lt-LT"/>
              </w:rPr>
            </w:pPr>
            <w:r w:rsidRPr="00385835">
              <w:rPr>
                <w:rFonts w:ascii="Times New Roman" w:eastAsia="AngsanaUPC" w:hAnsi="Times New Roman"/>
                <w:bCs/>
                <w:sz w:val="18"/>
                <w:szCs w:val="18"/>
                <w:lang w:eastAsia="lt-LT"/>
              </w:rPr>
              <w:t>Proc.</w:t>
            </w:r>
          </w:p>
        </w:tc>
        <w:tc>
          <w:tcPr>
            <w:tcW w:w="993"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18"/>
                <w:szCs w:val="18"/>
                <w:lang w:eastAsia="lt-LT"/>
              </w:rPr>
            </w:pPr>
            <w:r w:rsidRPr="00385835">
              <w:rPr>
                <w:rFonts w:ascii="Times New Roman" w:eastAsia="AngsanaUPC" w:hAnsi="Times New Roman"/>
                <w:bCs/>
                <w:sz w:val="18"/>
                <w:szCs w:val="18"/>
                <w:lang w:eastAsia="lt-LT"/>
              </w:rPr>
              <w:t>18</w:t>
            </w:r>
          </w:p>
        </w:tc>
        <w:tc>
          <w:tcPr>
            <w:tcW w:w="992"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18"/>
                <w:szCs w:val="18"/>
                <w:lang w:eastAsia="lt-LT"/>
              </w:rPr>
            </w:pPr>
            <w:r w:rsidRPr="00385835">
              <w:rPr>
                <w:rFonts w:ascii="Times New Roman" w:eastAsia="AngsanaUPC" w:hAnsi="Times New Roman"/>
                <w:bCs/>
                <w:sz w:val="18"/>
                <w:szCs w:val="18"/>
                <w:lang w:eastAsia="lt-LT"/>
              </w:rPr>
              <w:t>2009</w:t>
            </w:r>
          </w:p>
        </w:tc>
        <w:tc>
          <w:tcPr>
            <w:tcW w:w="850"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18"/>
                <w:szCs w:val="18"/>
                <w:lang w:eastAsia="lt-LT"/>
              </w:rPr>
            </w:pPr>
            <w:r w:rsidRPr="00385835">
              <w:rPr>
                <w:rFonts w:ascii="Times New Roman" w:eastAsia="AngsanaUPC" w:hAnsi="Times New Roman"/>
                <w:bCs/>
                <w:sz w:val="18"/>
                <w:szCs w:val="18"/>
                <w:lang w:eastAsia="lt-LT"/>
              </w:rPr>
              <w:t>65</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18"/>
                <w:szCs w:val="18"/>
                <w:lang w:eastAsia="lt-LT"/>
              </w:rPr>
            </w:pPr>
            <w:r w:rsidRPr="00385835">
              <w:rPr>
                <w:rFonts w:ascii="Times New Roman" w:eastAsia="AngsanaUPC" w:hAnsi="Times New Roman"/>
                <w:bCs/>
                <w:sz w:val="18"/>
                <w:szCs w:val="18"/>
                <w:lang w:eastAsia="lt-LT"/>
              </w:rPr>
              <w:t>Projektų vykdytojų tyrimai</w:t>
            </w:r>
          </w:p>
        </w:tc>
        <w:tc>
          <w:tcPr>
            <w:tcW w:w="124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18"/>
                <w:szCs w:val="18"/>
                <w:lang w:eastAsia="lt-LT"/>
              </w:rPr>
            </w:pPr>
            <w:r w:rsidRPr="00385835">
              <w:rPr>
                <w:rFonts w:ascii="Times New Roman" w:eastAsia="AngsanaUPC" w:hAnsi="Times New Roman"/>
                <w:bCs/>
                <w:sz w:val="18"/>
                <w:szCs w:val="18"/>
                <w:lang w:eastAsia="lt-LT"/>
              </w:rPr>
              <w:t>Kartą per metus</w:t>
            </w:r>
          </w:p>
        </w:tc>
      </w:tr>
      <w:tr w:rsidR="00385835" w:rsidRPr="00385835" w:rsidTr="00385835">
        <w:tblPrEx>
          <w:shd w:val="clear" w:color="auto" w:fill="auto"/>
        </w:tblPrEx>
        <w:tc>
          <w:tcPr>
            <w:tcW w:w="56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18"/>
                <w:szCs w:val="18"/>
                <w:lang w:eastAsia="lt-LT"/>
              </w:rPr>
            </w:pPr>
            <w:r w:rsidRPr="00385835">
              <w:rPr>
                <w:rFonts w:ascii="Times New Roman" w:eastAsia="AngsanaUPC" w:hAnsi="Times New Roman"/>
                <w:bCs/>
                <w:sz w:val="18"/>
                <w:szCs w:val="18"/>
                <w:lang w:eastAsia="lt-LT"/>
              </w:rPr>
              <w:t>3.</w:t>
            </w:r>
          </w:p>
        </w:tc>
        <w:tc>
          <w:tcPr>
            <w:tcW w:w="2835" w:type="dxa"/>
            <w:shd w:val="clear" w:color="auto" w:fill="auto"/>
          </w:tcPr>
          <w:p w:rsidR="00385835" w:rsidRPr="00A403CA" w:rsidRDefault="000867A6" w:rsidP="00C35012">
            <w:pPr>
              <w:widowControl w:val="0"/>
              <w:tabs>
                <w:tab w:val="left" w:pos="622"/>
              </w:tabs>
              <w:spacing w:after="0" w:line="240" w:lineRule="auto"/>
              <w:rPr>
                <w:rFonts w:ascii="Times New Roman" w:eastAsia="AngsanaUPC" w:hAnsi="Times New Roman"/>
                <w:bCs/>
                <w:sz w:val="18"/>
                <w:szCs w:val="18"/>
                <w:lang w:eastAsia="lt-LT"/>
              </w:rPr>
            </w:pPr>
            <w:r w:rsidRPr="000867A6">
              <w:rPr>
                <w:rFonts w:ascii="Times New Roman" w:hAnsi="Times New Roman"/>
                <w:color w:val="000000"/>
                <w:sz w:val="18"/>
                <w:szCs w:val="18"/>
                <w:lang w:eastAsia="lt-LT"/>
              </w:rPr>
              <w:t>Dalis gyventojų, teigiančių, kad ES investicijos padeda siekti teigiamų socialinių ir ekonominių pokyčių šalyje ir prisideda prie gyventojų gyvenimo kokybės gerinimo</w:t>
            </w:r>
            <w:r w:rsidR="0073590D">
              <w:rPr>
                <w:rFonts w:ascii="Times New Roman" w:hAnsi="Times New Roman"/>
                <w:color w:val="000000"/>
                <w:sz w:val="18"/>
                <w:szCs w:val="18"/>
                <w:lang w:eastAsia="lt-LT"/>
              </w:rPr>
              <w:t xml:space="preserve"> </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18"/>
                <w:szCs w:val="18"/>
                <w:lang w:eastAsia="lt-LT"/>
              </w:rPr>
            </w:pPr>
            <w:r w:rsidRPr="00385835">
              <w:rPr>
                <w:rFonts w:ascii="Times New Roman" w:eastAsia="AngsanaUPC" w:hAnsi="Times New Roman"/>
                <w:bCs/>
                <w:sz w:val="18"/>
                <w:szCs w:val="18"/>
                <w:lang w:eastAsia="lt-LT"/>
              </w:rPr>
              <w:t>Proc.</w:t>
            </w:r>
          </w:p>
        </w:tc>
        <w:tc>
          <w:tcPr>
            <w:tcW w:w="993"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18"/>
                <w:szCs w:val="18"/>
                <w:lang w:eastAsia="lt-LT"/>
              </w:rPr>
            </w:pPr>
            <w:r w:rsidRPr="00385835">
              <w:rPr>
                <w:rFonts w:ascii="Times New Roman" w:eastAsia="AngsanaUPC" w:hAnsi="Times New Roman"/>
                <w:bCs/>
                <w:sz w:val="18"/>
                <w:szCs w:val="18"/>
                <w:lang w:eastAsia="lt-LT"/>
              </w:rPr>
              <w:t>50</w:t>
            </w:r>
          </w:p>
        </w:tc>
        <w:tc>
          <w:tcPr>
            <w:tcW w:w="992"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18"/>
                <w:szCs w:val="18"/>
                <w:lang w:eastAsia="lt-LT"/>
              </w:rPr>
            </w:pPr>
            <w:r w:rsidRPr="00385835">
              <w:rPr>
                <w:rFonts w:ascii="Times New Roman" w:eastAsia="AngsanaUPC" w:hAnsi="Times New Roman"/>
                <w:bCs/>
                <w:sz w:val="18"/>
                <w:szCs w:val="18"/>
                <w:lang w:eastAsia="lt-LT"/>
              </w:rPr>
              <w:t>2008</w:t>
            </w:r>
          </w:p>
        </w:tc>
        <w:tc>
          <w:tcPr>
            <w:tcW w:w="850"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18"/>
                <w:szCs w:val="18"/>
                <w:lang w:eastAsia="lt-LT"/>
              </w:rPr>
            </w:pPr>
            <w:r w:rsidRPr="00385835">
              <w:rPr>
                <w:rFonts w:ascii="Times New Roman" w:eastAsia="AngsanaUPC" w:hAnsi="Times New Roman"/>
                <w:bCs/>
                <w:sz w:val="18"/>
                <w:szCs w:val="18"/>
                <w:lang w:eastAsia="lt-LT"/>
              </w:rPr>
              <w:t>60</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18"/>
                <w:szCs w:val="18"/>
                <w:lang w:eastAsia="lt-LT"/>
              </w:rPr>
            </w:pPr>
            <w:r w:rsidRPr="00385835">
              <w:rPr>
                <w:rFonts w:ascii="Times New Roman" w:eastAsia="AngsanaUPC" w:hAnsi="Times New Roman"/>
                <w:bCs/>
                <w:sz w:val="18"/>
                <w:szCs w:val="18"/>
                <w:lang w:eastAsia="lt-LT"/>
              </w:rPr>
              <w:t>Visuomenės nuomonės tyrimai</w:t>
            </w:r>
          </w:p>
        </w:tc>
        <w:tc>
          <w:tcPr>
            <w:tcW w:w="124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18"/>
                <w:szCs w:val="18"/>
                <w:lang w:eastAsia="lt-LT"/>
              </w:rPr>
            </w:pPr>
            <w:r w:rsidRPr="00385835">
              <w:rPr>
                <w:rFonts w:ascii="Times New Roman" w:eastAsia="AngsanaUPC" w:hAnsi="Times New Roman"/>
                <w:bCs/>
                <w:sz w:val="18"/>
                <w:szCs w:val="18"/>
                <w:lang w:eastAsia="lt-LT"/>
              </w:rPr>
              <w:t>Kartą per metus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3261"/>
        <w:gridCol w:w="6428"/>
      </w:tblGrid>
      <w:tr w:rsidR="00385835" w:rsidRPr="00385835" w:rsidTr="00AC0209">
        <w:tc>
          <w:tcPr>
            <w:tcW w:w="3261" w:type="dxa"/>
            <w:shd w:val="clear" w:color="auto" w:fill="EEECE1"/>
            <w:vAlign w:val="center"/>
          </w:tcPr>
          <w:p w:rsidR="00385835" w:rsidRPr="00385835" w:rsidRDefault="00385835" w:rsidP="00385835">
            <w:pPr>
              <w:widowControl w:val="0"/>
              <w:tabs>
                <w:tab w:val="left" w:pos="622"/>
              </w:tabs>
              <w:spacing w:after="0" w:line="240" w:lineRule="auto"/>
              <w:rPr>
                <w:rFonts w:ascii="Times New Roman" w:eastAsia="AngsanaUPC" w:hAnsi="Times New Roman"/>
                <w:b/>
                <w:bCs/>
                <w:sz w:val="24"/>
                <w:szCs w:val="24"/>
                <w:lang w:eastAsia="lt-LT"/>
              </w:rPr>
            </w:pPr>
            <w:r w:rsidRPr="00385835">
              <w:rPr>
                <w:rFonts w:ascii="Times New Roman" w:eastAsia="AngsanaUPC" w:hAnsi="Times New Roman"/>
                <w:b/>
                <w:bCs/>
                <w:sz w:val="24"/>
                <w:szCs w:val="24"/>
                <w:lang w:eastAsia="lt-LT"/>
              </w:rPr>
              <w:t>12.2. KONKRETUS UŽDAVINYS</w:t>
            </w:r>
          </w:p>
        </w:tc>
        <w:tc>
          <w:tcPr>
            <w:tcW w:w="6428" w:type="dxa"/>
            <w:shd w:val="clear" w:color="auto" w:fill="EEECE1"/>
            <w:vAlign w:val="center"/>
          </w:tcPr>
          <w:p w:rsidR="00385835" w:rsidRPr="00385835" w:rsidRDefault="00385835" w:rsidP="00385835">
            <w:pPr>
              <w:spacing w:after="0" w:line="240" w:lineRule="auto"/>
              <w:jc w:val="both"/>
              <w:rPr>
                <w:rFonts w:ascii="Times New Roman" w:hAnsi="Times New Roman"/>
                <w:b/>
                <w:sz w:val="24"/>
                <w:szCs w:val="24"/>
              </w:rPr>
            </w:pPr>
            <w:r w:rsidRPr="00385835">
              <w:rPr>
                <w:rFonts w:ascii="Times New Roman" w:hAnsi="Times New Roman"/>
                <w:b/>
                <w:sz w:val="24"/>
                <w:szCs w:val="24"/>
              </w:rPr>
              <w:t>Užtikrinti ES fondų investicijų vertinimą</w:t>
            </w:r>
          </w:p>
        </w:tc>
      </w:tr>
      <w:tr w:rsidR="00385835" w:rsidRPr="00385835" w:rsidTr="00385835">
        <w:tblPrEx>
          <w:shd w:val="clear" w:color="auto" w:fill="auto"/>
        </w:tblPrEx>
        <w:tc>
          <w:tcPr>
            <w:tcW w:w="9689" w:type="dxa"/>
            <w:gridSpan w:val="2"/>
            <w:shd w:val="clear" w:color="auto" w:fill="auto"/>
          </w:tcPr>
          <w:p w:rsidR="00385835" w:rsidRPr="00385835" w:rsidRDefault="00385835" w:rsidP="00385835">
            <w:pPr>
              <w:spacing w:after="0" w:line="240" w:lineRule="auto"/>
              <w:ind w:firstLine="624"/>
              <w:jc w:val="both"/>
              <w:rPr>
                <w:rFonts w:ascii="Times New Roman" w:eastAsia="Times New Roman" w:hAnsi="Times New Roman"/>
                <w:sz w:val="24"/>
                <w:szCs w:val="24"/>
                <w:lang w:eastAsia="lt-LT"/>
              </w:rPr>
            </w:pPr>
            <w:r w:rsidRPr="00385835">
              <w:rPr>
                <w:rFonts w:ascii="Times New Roman" w:eastAsia="Times New Roman" w:hAnsi="Times New Roman"/>
                <w:sz w:val="24"/>
                <w:szCs w:val="24"/>
                <w:lang w:eastAsia="lt-LT"/>
              </w:rPr>
              <w:t>Vertinimo tikslas 2014–2020 m. programavimo laikotarpiu – pagerinti veiksmų programos turinio ir jos įgyvendinimo kokybę, nustatyti ES fondų rezultatyvumą, efektyvumą ir poveikį. Šio tikslo bus siekiama</w:t>
            </w:r>
            <w:r w:rsidR="00C724EE">
              <w:rPr>
                <w:rFonts w:ascii="Times New Roman" w:eastAsia="Times New Roman" w:hAnsi="Times New Roman"/>
                <w:sz w:val="24"/>
                <w:szCs w:val="24"/>
                <w:lang w:eastAsia="lt-LT"/>
              </w:rPr>
              <w:t>,</w:t>
            </w:r>
            <w:r w:rsidRPr="00385835">
              <w:rPr>
                <w:rFonts w:ascii="Times New Roman" w:eastAsia="Times New Roman" w:hAnsi="Times New Roman"/>
                <w:sz w:val="24"/>
                <w:szCs w:val="24"/>
                <w:lang w:eastAsia="lt-LT"/>
              </w:rPr>
              <w:t xml:space="preserve"> atsižvelgiant į 2007–2013 m. programavimo laikotarpiu </w:t>
            </w:r>
            <w:r w:rsidR="000F4AE6">
              <w:rPr>
                <w:rFonts w:ascii="Times New Roman" w:eastAsia="Times New Roman" w:hAnsi="Times New Roman"/>
                <w:sz w:val="24"/>
                <w:szCs w:val="24"/>
                <w:lang w:eastAsia="lt-LT"/>
              </w:rPr>
              <w:t>ES fondų</w:t>
            </w:r>
            <w:r w:rsidRPr="00385835">
              <w:rPr>
                <w:rFonts w:ascii="Times New Roman" w:eastAsia="Times New Roman" w:hAnsi="Times New Roman"/>
                <w:sz w:val="24"/>
                <w:szCs w:val="24"/>
                <w:lang w:eastAsia="lt-LT"/>
              </w:rPr>
              <w:t xml:space="preserve"> vertinimo patirtį ir išmoktas pamokas. Organizuojant 2007–2013 m. programavimo laikotarpio ES </w:t>
            </w:r>
            <w:r w:rsidRPr="00385835">
              <w:rPr>
                <w:rFonts w:ascii="Times New Roman" w:eastAsia="Times New Roman" w:hAnsi="Times New Roman"/>
                <w:sz w:val="24"/>
                <w:szCs w:val="24"/>
                <w:lang w:eastAsia="lt-LT"/>
              </w:rPr>
              <w:lastRenderedPageBreak/>
              <w:t>struktūrinės paramos</w:t>
            </w:r>
            <w:r w:rsidRPr="00385835" w:rsidDel="00A93584">
              <w:rPr>
                <w:rFonts w:ascii="Times New Roman" w:eastAsia="Times New Roman" w:hAnsi="Times New Roman"/>
                <w:sz w:val="24"/>
                <w:szCs w:val="24"/>
                <w:lang w:eastAsia="lt-LT"/>
              </w:rPr>
              <w:t xml:space="preserve"> </w:t>
            </w:r>
            <w:r w:rsidRPr="00385835">
              <w:rPr>
                <w:rFonts w:ascii="Times New Roman" w:eastAsia="Times New Roman" w:hAnsi="Times New Roman"/>
                <w:sz w:val="24"/>
                <w:szCs w:val="24"/>
                <w:lang w:eastAsia="lt-LT"/>
              </w:rPr>
              <w:t>vertinimo procesą Lietuvoje buvo patvirtintas 2007–2013 m. programavimo laikotarpio ES struktūrinės paramos vertinimo planas, kuriame nustatyti vertinimo tikslai ir uždaviniai, suplanuotos priemonės ir finansiniai ištekliai tikslams ir uždaviniams įgyvendinti. Vertinimo planui įgyvendinti 2008–2013 m. buvo sudaryti 6 jį detalizuojantys metiniai vertinimo planai. Atsižvelgiant į Lietuvos socialinę ekonominę situaciją, veiksmų programų įgyvendinimo būklę bei EK pateiktas vertinimo aktualijas, metiniams vertinimo planams</w:t>
            </w:r>
            <w:r w:rsidR="00C724EE">
              <w:rPr>
                <w:rFonts w:ascii="Times New Roman" w:eastAsia="Times New Roman" w:hAnsi="Times New Roman"/>
                <w:sz w:val="24"/>
                <w:szCs w:val="24"/>
                <w:lang w:eastAsia="lt-LT"/>
              </w:rPr>
              <w:t>,</w:t>
            </w:r>
            <w:r w:rsidRPr="00385835">
              <w:rPr>
                <w:rFonts w:ascii="Times New Roman" w:eastAsia="Times New Roman" w:hAnsi="Times New Roman"/>
                <w:sz w:val="24"/>
                <w:szCs w:val="24"/>
                <w:lang w:eastAsia="lt-LT"/>
              </w:rPr>
              <w:t xml:space="preserve"> buvo nustatytos ES struktūrinės paramos vertinimo prioritetinės temos. Metiniai vertinimo planai 2008–2013 m. apima iš viso 67 vertinimus (tarp jų – 3 vertinimo galimybių stiprinimo projektus). </w:t>
            </w:r>
          </w:p>
          <w:p w:rsidR="00385835" w:rsidRPr="00385835" w:rsidRDefault="00385835" w:rsidP="00385835">
            <w:pPr>
              <w:spacing w:after="0" w:line="240" w:lineRule="auto"/>
              <w:ind w:firstLine="624"/>
              <w:jc w:val="both"/>
              <w:rPr>
                <w:rFonts w:ascii="Times New Roman" w:eastAsia="Times New Roman" w:hAnsi="Times New Roman"/>
                <w:sz w:val="24"/>
                <w:szCs w:val="24"/>
                <w:lang w:eastAsia="lt-LT"/>
              </w:rPr>
            </w:pPr>
            <w:r w:rsidRPr="00385835">
              <w:rPr>
                <w:rFonts w:ascii="Times New Roman" w:eastAsia="Times New Roman" w:hAnsi="Times New Roman"/>
                <w:sz w:val="24"/>
                <w:szCs w:val="24"/>
                <w:lang w:eastAsia="lt-LT"/>
              </w:rPr>
              <w:t>Siekiant pagerinti vertinimų kokybę ir rezultatų panaudojimą, 2013 m. buvo atliktas vertinimų kokybės ir rezultatų panaudojimo vertinimas, kuris parodė, kad apie 60 proc. visų vertinimuose pateiktų rekomendacijų yra įgyvendintos. Taip pat pateikta išvada, kad planuojant ir organizuojant vertinimą viena iš pagrindinių problemų vertinimo srityje buvo nepakankami instituciniai ir asmeniniai gebėjimai, kurie lemia silpną vertinimo paklausą ir neužtikrina vertinimo kokybės bei tinkamo vertinimo rezultatų panaudojimo.</w:t>
            </w:r>
          </w:p>
          <w:p w:rsidR="00385835" w:rsidRPr="00385835" w:rsidRDefault="00385835" w:rsidP="00385835">
            <w:pPr>
              <w:spacing w:after="0" w:line="240" w:lineRule="auto"/>
              <w:ind w:firstLine="624"/>
              <w:jc w:val="both"/>
              <w:rPr>
                <w:rFonts w:ascii="Times New Roman" w:eastAsia="Times New Roman" w:hAnsi="Times New Roman"/>
                <w:sz w:val="24"/>
                <w:szCs w:val="24"/>
                <w:lang w:eastAsia="lt-LT"/>
              </w:rPr>
            </w:pPr>
            <w:r w:rsidRPr="00385835">
              <w:rPr>
                <w:rFonts w:ascii="Times New Roman" w:eastAsia="Times New Roman" w:hAnsi="Times New Roman"/>
                <w:sz w:val="24"/>
                <w:szCs w:val="24"/>
                <w:lang w:eastAsia="lt-LT"/>
              </w:rPr>
              <w:t>2014–2020 m. programavimo laikotarpiu vertinimo tikslo įgyvendinimui bus parengtas strateginis dokumentas – 2014–2020 m. ES fondų panaudojimo vertinimo planas (toliau – vertinimo planas), kuriame bus nustatytas numatomų atlikti vertinimų sąrašas, plano įgyvendinimo biudžetas ir kita reikalinga informacija. Vadovaujantis vertinimo planu, bus atliekami:</w:t>
            </w:r>
          </w:p>
          <w:p w:rsidR="00385835" w:rsidRPr="00385835" w:rsidRDefault="00385835" w:rsidP="00650E41">
            <w:pPr>
              <w:numPr>
                <w:ilvl w:val="0"/>
                <w:numId w:val="20"/>
              </w:numPr>
              <w:spacing w:after="0" w:line="240" w:lineRule="auto"/>
              <w:jc w:val="both"/>
              <w:rPr>
                <w:rFonts w:ascii="Times New Roman" w:eastAsia="Times New Roman" w:hAnsi="Times New Roman"/>
                <w:sz w:val="24"/>
                <w:szCs w:val="24"/>
                <w:lang w:eastAsia="lt-LT"/>
              </w:rPr>
            </w:pPr>
            <w:r w:rsidRPr="00385835">
              <w:rPr>
                <w:rFonts w:ascii="Times New Roman" w:eastAsia="Times New Roman" w:hAnsi="Times New Roman"/>
                <w:sz w:val="24"/>
                <w:szCs w:val="24"/>
                <w:lang w:eastAsia="lt-LT"/>
              </w:rPr>
              <w:t>2007–2013 m. veiksmų programų baigiamieji (</w:t>
            </w:r>
            <w:r w:rsidRPr="00385835">
              <w:rPr>
                <w:rFonts w:ascii="Times New Roman" w:eastAsia="Times New Roman" w:hAnsi="Times New Roman"/>
                <w:i/>
                <w:sz w:val="24"/>
                <w:szCs w:val="24"/>
                <w:lang w:eastAsia="lt-LT"/>
              </w:rPr>
              <w:t>ex post</w:t>
            </w:r>
            <w:r w:rsidRPr="00385835">
              <w:rPr>
                <w:rFonts w:ascii="Times New Roman" w:eastAsia="Times New Roman" w:hAnsi="Times New Roman"/>
                <w:sz w:val="24"/>
                <w:szCs w:val="24"/>
                <w:lang w:eastAsia="lt-LT"/>
              </w:rPr>
              <w:t>) vertinimai;</w:t>
            </w:r>
          </w:p>
          <w:p w:rsidR="00385835" w:rsidRPr="00385835" w:rsidRDefault="00385835" w:rsidP="00650E41">
            <w:pPr>
              <w:numPr>
                <w:ilvl w:val="0"/>
                <w:numId w:val="20"/>
              </w:numPr>
              <w:spacing w:after="0" w:line="240" w:lineRule="auto"/>
              <w:jc w:val="both"/>
              <w:rPr>
                <w:rFonts w:ascii="Times New Roman" w:eastAsia="Times New Roman" w:hAnsi="Times New Roman"/>
                <w:sz w:val="24"/>
                <w:szCs w:val="24"/>
                <w:lang w:eastAsia="lt-LT"/>
              </w:rPr>
            </w:pPr>
            <w:r w:rsidRPr="00385835">
              <w:rPr>
                <w:rFonts w:ascii="Times New Roman" w:eastAsia="Times New Roman" w:hAnsi="Times New Roman"/>
                <w:sz w:val="24"/>
                <w:szCs w:val="24"/>
                <w:lang w:eastAsia="lt-LT"/>
              </w:rPr>
              <w:t>veiksmų programos (ar jos dalies) įgyvendinimo bei poveikio vertinimai;</w:t>
            </w:r>
          </w:p>
          <w:p w:rsidR="00385835" w:rsidRPr="00385835" w:rsidRDefault="00385835" w:rsidP="00650E41">
            <w:pPr>
              <w:numPr>
                <w:ilvl w:val="0"/>
                <w:numId w:val="20"/>
              </w:numPr>
              <w:spacing w:after="0" w:line="240" w:lineRule="auto"/>
              <w:jc w:val="both"/>
              <w:rPr>
                <w:rFonts w:ascii="Times New Roman" w:eastAsia="Times New Roman" w:hAnsi="Times New Roman"/>
                <w:sz w:val="24"/>
                <w:szCs w:val="24"/>
                <w:lang w:eastAsia="lt-LT"/>
              </w:rPr>
            </w:pPr>
            <w:r w:rsidRPr="00385835">
              <w:rPr>
                <w:rFonts w:ascii="Times New Roman" w:eastAsia="Times New Roman" w:hAnsi="Times New Roman"/>
                <w:sz w:val="24"/>
                <w:szCs w:val="24"/>
                <w:lang w:eastAsia="lt-LT"/>
              </w:rPr>
              <w:t>būsimojo programavimo laikotarpio išankstinis (</w:t>
            </w:r>
            <w:r w:rsidRPr="00385835">
              <w:rPr>
                <w:rFonts w:ascii="Times New Roman" w:eastAsia="Times New Roman" w:hAnsi="Times New Roman"/>
                <w:i/>
                <w:sz w:val="24"/>
                <w:szCs w:val="24"/>
                <w:lang w:eastAsia="lt-LT"/>
              </w:rPr>
              <w:t>ex ante</w:t>
            </w:r>
            <w:r w:rsidRPr="00385835">
              <w:rPr>
                <w:rFonts w:ascii="Times New Roman" w:eastAsia="Times New Roman" w:hAnsi="Times New Roman"/>
                <w:sz w:val="24"/>
                <w:szCs w:val="24"/>
                <w:lang w:eastAsia="lt-LT"/>
              </w:rPr>
              <w:t>) vertinimas.</w:t>
            </w:r>
          </w:p>
          <w:p w:rsidR="00385835" w:rsidRPr="00385835" w:rsidRDefault="00385835" w:rsidP="00385835">
            <w:pPr>
              <w:spacing w:after="0" w:line="240" w:lineRule="auto"/>
              <w:ind w:firstLine="624"/>
              <w:jc w:val="both"/>
              <w:rPr>
                <w:rFonts w:ascii="Times New Roman" w:eastAsia="Times New Roman" w:hAnsi="Times New Roman"/>
                <w:bCs/>
                <w:sz w:val="24"/>
                <w:szCs w:val="24"/>
                <w:lang w:eastAsia="lt-LT"/>
              </w:rPr>
            </w:pPr>
            <w:r w:rsidRPr="00385835">
              <w:rPr>
                <w:rFonts w:ascii="Times New Roman" w:eastAsia="Times New Roman" w:hAnsi="Times New Roman"/>
                <w:bCs/>
                <w:sz w:val="24"/>
                <w:szCs w:val="24"/>
                <w:lang w:eastAsia="lt-LT"/>
              </w:rPr>
              <w:t xml:space="preserve">Vertinimo plano įgyvendinimui kasmet bus rengiami metiniai vertinimo planai. </w:t>
            </w:r>
          </w:p>
          <w:p w:rsidR="00385835" w:rsidRPr="00385835" w:rsidRDefault="00385835" w:rsidP="00385835">
            <w:pPr>
              <w:spacing w:after="0" w:line="240" w:lineRule="auto"/>
              <w:ind w:firstLine="624"/>
              <w:jc w:val="both"/>
              <w:rPr>
                <w:rFonts w:ascii="Times New Roman" w:eastAsia="Times New Roman" w:hAnsi="Times New Roman"/>
                <w:bCs/>
                <w:sz w:val="24"/>
                <w:szCs w:val="24"/>
                <w:lang w:eastAsia="lt-LT"/>
              </w:rPr>
            </w:pPr>
            <w:r w:rsidRPr="00385835">
              <w:rPr>
                <w:rFonts w:ascii="Times New Roman" w:eastAsia="Times New Roman" w:hAnsi="Times New Roman"/>
                <w:bCs/>
                <w:sz w:val="24"/>
                <w:szCs w:val="24"/>
                <w:lang w:eastAsia="lt-LT"/>
              </w:rPr>
              <w:t>Vertinimo kokybės bus siekiama</w:t>
            </w:r>
            <w:r w:rsidR="00C724EE">
              <w:rPr>
                <w:rFonts w:ascii="Times New Roman" w:eastAsia="Times New Roman" w:hAnsi="Times New Roman"/>
                <w:bCs/>
                <w:sz w:val="24"/>
                <w:szCs w:val="24"/>
                <w:lang w:eastAsia="lt-LT"/>
              </w:rPr>
              <w:t>,</w:t>
            </w:r>
            <w:r w:rsidRPr="00385835">
              <w:rPr>
                <w:rFonts w:ascii="Times New Roman" w:eastAsia="Times New Roman" w:hAnsi="Times New Roman"/>
                <w:bCs/>
                <w:sz w:val="24"/>
                <w:szCs w:val="24"/>
                <w:lang w:eastAsia="lt-LT"/>
              </w:rPr>
              <w:t xml:space="preserve"> užtikrinant reikalingų duomenų prieinamumą ir pakankamumą – vertinimams atlikti bus naudojami: stebėsenos duomenys (duomenys apie veiksmų programos finansinius, produkto ir rezultato rodiklius bus kaupiami </w:t>
            </w:r>
            <w:r w:rsidR="000F4AE6">
              <w:rPr>
                <w:rFonts w:ascii="Times New Roman" w:eastAsia="Times New Roman" w:hAnsi="Times New Roman"/>
                <w:bCs/>
                <w:sz w:val="24"/>
                <w:szCs w:val="24"/>
                <w:lang w:eastAsia="lt-LT"/>
              </w:rPr>
              <w:t>ES fondų</w:t>
            </w:r>
            <w:r w:rsidRPr="00385835">
              <w:rPr>
                <w:rFonts w:ascii="Times New Roman" w:eastAsia="Times New Roman" w:hAnsi="Times New Roman"/>
                <w:bCs/>
                <w:sz w:val="24"/>
                <w:szCs w:val="24"/>
                <w:lang w:eastAsia="lt-LT"/>
              </w:rPr>
              <w:t xml:space="preserve"> panaudojimo kompiuterinėje informacinėje valdymo ir priežiūros sistemoje); administraciniai duomenys ir registrai; ES ir nacionalinės statistikos duomenys; tyrimų metu sukaupti duomenys. </w:t>
            </w:r>
          </w:p>
          <w:p w:rsidR="00385835" w:rsidRPr="00385835" w:rsidRDefault="00385835" w:rsidP="00385835">
            <w:pPr>
              <w:spacing w:after="0" w:line="240" w:lineRule="auto"/>
              <w:ind w:firstLine="624"/>
              <w:jc w:val="both"/>
              <w:rPr>
                <w:rFonts w:ascii="Times New Roman" w:eastAsia="Times New Roman" w:hAnsi="Times New Roman"/>
                <w:bCs/>
                <w:sz w:val="24"/>
                <w:szCs w:val="24"/>
                <w:lang w:eastAsia="lt-LT"/>
              </w:rPr>
            </w:pPr>
            <w:r w:rsidRPr="00385835">
              <w:rPr>
                <w:rFonts w:ascii="Times New Roman" w:eastAsia="Times New Roman" w:hAnsi="Times New Roman"/>
                <w:bCs/>
                <w:sz w:val="24"/>
                <w:szCs w:val="24"/>
                <w:lang w:eastAsia="lt-LT"/>
              </w:rPr>
              <w:t xml:space="preserve">Vertinimo planavimo, įgyvendinimo ir rezultatų panaudojimo kokybė bus užtikrinama taikant ES struktūrinės paramos vertinimo standartus. </w:t>
            </w:r>
          </w:p>
          <w:p w:rsidR="00385835" w:rsidRPr="00385835" w:rsidRDefault="00385835" w:rsidP="00385835">
            <w:pPr>
              <w:widowControl w:val="0"/>
              <w:tabs>
                <w:tab w:val="left" w:pos="622"/>
              </w:tabs>
              <w:spacing w:after="0" w:line="240" w:lineRule="auto"/>
              <w:ind w:firstLine="624"/>
              <w:jc w:val="both"/>
              <w:rPr>
                <w:rFonts w:ascii="Times New Roman" w:eastAsia="AngsanaUPC" w:hAnsi="Times New Roman"/>
                <w:bCs/>
                <w:sz w:val="24"/>
                <w:szCs w:val="24"/>
                <w:lang w:eastAsia="lt-LT"/>
              </w:rPr>
            </w:pPr>
            <w:r w:rsidRPr="00385835">
              <w:rPr>
                <w:rFonts w:ascii="Times New Roman" w:eastAsia="Times New Roman" w:hAnsi="Times New Roman"/>
                <w:bCs/>
                <w:sz w:val="24"/>
                <w:szCs w:val="24"/>
                <w:lang w:eastAsia="lt-LT"/>
              </w:rPr>
              <w:t xml:space="preserve">Ypač didelis dėmesys bus skiriamas vertinimų rezultatų panaudojimui: vertinimų rezultatai (vertinimo atskaitos, sukurtos metodikos, skaičiavimo modeliai) bus tinkamai viešinami visoms tikslinėms grupėms ir skelbiami ES </w:t>
            </w:r>
            <w:r w:rsidR="00C724EE">
              <w:rPr>
                <w:rFonts w:ascii="Times New Roman" w:eastAsia="Times New Roman" w:hAnsi="Times New Roman"/>
                <w:bCs/>
                <w:sz w:val="24"/>
                <w:szCs w:val="24"/>
                <w:lang w:eastAsia="lt-LT"/>
              </w:rPr>
              <w:t>fondų investicijų interneto</w:t>
            </w:r>
            <w:r w:rsidRPr="00385835">
              <w:rPr>
                <w:rFonts w:ascii="Times New Roman" w:eastAsia="Times New Roman" w:hAnsi="Times New Roman"/>
                <w:bCs/>
                <w:sz w:val="24"/>
                <w:szCs w:val="24"/>
                <w:lang w:eastAsia="lt-LT"/>
              </w:rPr>
              <w:t xml:space="preserve"> portale, vertinimuose pateiktos rekomendacijos ir vertinimų rezultatai bus naudojami programų tobulinimui ir atskaitomybei, sprendimų priėmimui.</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535"/>
        <w:gridCol w:w="2584"/>
        <w:gridCol w:w="1134"/>
        <w:gridCol w:w="850"/>
        <w:gridCol w:w="993"/>
        <w:gridCol w:w="992"/>
        <w:gridCol w:w="1417"/>
        <w:gridCol w:w="1241"/>
      </w:tblGrid>
      <w:tr w:rsidR="00385835" w:rsidRPr="00385835" w:rsidTr="00385835">
        <w:tc>
          <w:tcPr>
            <w:tcW w:w="9746" w:type="dxa"/>
            <w:gridSpan w:val="8"/>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i/>
                <w:iCs/>
                <w:sz w:val="24"/>
                <w:szCs w:val="24"/>
                <w:lang w:eastAsia="lt-LT"/>
              </w:rPr>
            </w:pPr>
            <w:r w:rsidRPr="00385835">
              <w:rPr>
                <w:rFonts w:ascii="Times New Roman" w:eastAsia="AngsanaUPC" w:hAnsi="Times New Roman"/>
                <w:b/>
                <w:bCs/>
                <w:i/>
                <w:iCs/>
                <w:sz w:val="24"/>
                <w:szCs w:val="24"/>
                <w:lang w:eastAsia="lt-LT"/>
              </w:rPr>
              <w:t xml:space="preserve">ESF </w:t>
            </w:r>
            <w:r w:rsidR="00D94011">
              <w:rPr>
                <w:rFonts w:ascii="Times New Roman" w:eastAsia="AngsanaUPC" w:hAnsi="Times New Roman"/>
                <w:b/>
                <w:bCs/>
                <w:i/>
                <w:iCs/>
                <w:sz w:val="24"/>
                <w:szCs w:val="24"/>
                <w:lang w:eastAsia="lt-LT"/>
              </w:rPr>
              <w:t xml:space="preserve">specialieji programos </w:t>
            </w:r>
            <w:r w:rsidRPr="00385835">
              <w:rPr>
                <w:rFonts w:ascii="Times New Roman" w:eastAsia="AngsanaUPC" w:hAnsi="Times New Roman"/>
                <w:b/>
                <w:bCs/>
                <w:i/>
                <w:iCs/>
                <w:sz w:val="24"/>
                <w:szCs w:val="24"/>
                <w:lang w:eastAsia="lt-LT"/>
              </w:rPr>
              <w:t>rezultato rodikliai</w:t>
            </w:r>
          </w:p>
        </w:tc>
      </w:tr>
      <w:tr w:rsidR="00385835" w:rsidRPr="00385835" w:rsidTr="00385835">
        <w:tblPrEx>
          <w:shd w:val="clear" w:color="auto" w:fill="auto"/>
        </w:tblPrEx>
        <w:tc>
          <w:tcPr>
            <w:tcW w:w="535"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sz w:val="18"/>
                <w:szCs w:val="18"/>
                <w:lang w:eastAsia="lt-LT"/>
              </w:rPr>
            </w:pPr>
            <w:r w:rsidRPr="00385835">
              <w:rPr>
                <w:rFonts w:ascii="Times New Roman" w:eastAsia="AngsanaUPC" w:hAnsi="Times New Roman"/>
                <w:b/>
                <w:bCs/>
                <w:sz w:val="18"/>
                <w:szCs w:val="18"/>
                <w:lang w:eastAsia="lt-LT"/>
              </w:rPr>
              <w:t>Nr.</w:t>
            </w:r>
          </w:p>
        </w:tc>
        <w:tc>
          <w:tcPr>
            <w:tcW w:w="258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sz w:val="18"/>
                <w:szCs w:val="18"/>
                <w:lang w:eastAsia="lt-LT"/>
              </w:rPr>
            </w:pPr>
            <w:r w:rsidRPr="00385835">
              <w:rPr>
                <w:rFonts w:ascii="Times New Roman" w:eastAsia="AngsanaUPC" w:hAnsi="Times New Roman"/>
                <w:b/>
                <w:bCs/>
                <w:sz w:val="18"/>
                <w:szCs w:val="18"/>
                <w:lang w:eastAsia="lt-LT"/>
              </w:rPr>
              <w:t>Rodiklis</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sz w:val="18"/>
                <w:szCs w:val="18"/>
                <w:lang w:eastAsia="lt-LT"/>
              </w:rPr>
            </w:pPr>
            <w:r w:rsidRPr="00385835">
              <w:rPr>
                <w:rFonts w:ascii="Times New Roman" w:eastAsia="AngsanaUPC" w:hAnsi="Times New Roman"/>
                <w:b/>
                <w:bCs/>
                <w:sz w:val="18"/>
                <w:szCs w:val="18"/>
                <w:lang w:eastAsia="lt-LT"/>
              </w:rPr>
              <w:t>Matavimo vienetai</w:t>
            </w:r>
          </w:p>
        </w:tc>
        <w:tc>
          <w:tcPr>
            <w:tcW w:w="850"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sz w:val="18"/>
                <w:szCs w:val="18"/>
                <w:lang w:eastAsia="lt-LT"/>
              </w:rPr>
            </w:pPr>
            <w:r w:rsidRPr="00385835">
              <w:rPr>
                <w:rFonts w:ascii="Times New Roman" w:eastAsia="AngsanaUPC" w:hAnsi="Times New Roman"/>
                <w:b/>
                <w:bCs/>
                <w:sz w:val="18"/>
                <w:szCs w:val="18"/>
                <w:lang w:eastAsia="lt-LT"/>
              </w:rPr>
              <w:t>Pradinė reikšmė</w:t>
            </w:r>
          </w:p>
        </w:tc>
        <w:tc>
          <w:tcPr>
            <w:tcW w:w="993"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sz w:val="18"/>
                <w:szCs w:val="18"/>
                <w:lang w:eastAsia="lt-LT"/>
              </w:rPr>
            </w:pPr>
            <w:r w:rsidRPr="00385835">
              <w:rPr>
                <w:rFonts w:ascii="Times New Roman" w:eastAsia="AngsanaUPC" w:hAnsi="Times New Roman"/>
                <w:b/>
                <w:bCs/>
                <w:sz w:val="18"/>
                <w:szCs w:val="18"/>
                <w:lang w:eastAsia="lt-LT"/>
              </w:rPr>
              <w:t>Pradinės reikšmės metai</w:t>
            </w:r>
          </w:p>
        </w:tc>
        <w:tc>
          <w:tcPr>
            <w:tcW w:w="992"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sz w:val="18"/>
                <w:szCs w:val="18"/>
                <w:lang w:eastAsia="lt-LT"/>
              </w:rPr>
            </w:pPr>
            <w:r w:rsidRPr="00385835">
              <w:rPr>
                <w:rFonts w:ascii="Times New Roman" w:eastAsia="AngsanaUPC" w:hAnsi="Times New Roman"/>
                <w:b/>
                <w:bCs/>
                <w:iCs/>
                <w:sz w:val="18"/>
                <w:szCs w:val="18"/>
                <w:lang w:eastAsia="lt-LT"/>
              </w:rPr>
              <w:t>Siektina reikšmė (2023)</w:t>
            </w:r>
          </w:p>
        </w:tc>
        <w:tc>
          <w:tcPr>
            <w:tcW w:w="1417"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sz w:val="18"/>
                <w:szCs w:val="18"/>
                <w:lang w:eastAsia="lt-LT"/>
              </w:rPr>
            </w:pPr>
            <w:r w:rsidRPr="00385835">
              <w:rPr>
                <w:rFonts w:ascii="Times New Roman" w:eastAsia="AngsanaUPC" w:hAnsi="Times New Roman"/>
                <w:b/>
                <w:bCs/>
                <w:sz w:val="18"/>
                <w:szCs w:val="18"/>
                <w:lang w:eastAsia="lt-LT"/>
              </w:rPr>
              <w:t>Duomenų šaltinis</w:t>
            </w:r>
          </w:p>
        </w:tc>
        <w:tc>
          <w:tcPr>
            <w:tcW w:w="124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sz w:val="18"/>
                <w:szCs w:val="18"/>
                <w:lang w:eastAsia="lt-LT"/>
              </w:rPr>
            </w:pPr>
            <w:r w:rsidRPr="00385835">
              <w:rPr>
                <w:rFonts w:ascii="Times New Roman" w:eastAsia="AngsanaUPC" w:hAnsi="Times New Roman"/>
                <w:b/>
                <w:bCs/>
                <w:sz w:val="18"/>
                <w:szCs w:val="18"/>
                <w:lang w:eastAsia="lt-LT"/>
              </w:rPr>
              <w:t>Atsiskaitymo dažnumas</w:t>
            </w:r>
          </w:p>
        </w:tc>
      </w:tr>
      <w:tr w:rsidR="00385835" w:rsidRPr="00385835" w:rsidTr="00385835">
        <w:tblPrEx>
          <w:shd w:val="clear" w:color="auto" w:fill="auto"/>
        </w:tblPrEx>
        <w:tc>
          <w:tcPr>
            <w:tcW w:w="535"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20"/>
                <w:szCs w:val="20"/>
                <w:lang w:eastAsia="lt-LT"/>
              </w:rPr>
            </w:pPr>
            <w:r w:rsidRPr="00385835">
              <w:rPr>
                <w:rFonts w:ascii="Times New Roman" w:eastAsia="AngsanaUPC" w:hAnsi="Times New Roman"/>
                <w:bCs/>
                <w:sz w:val="20"/>
                <w:szCs w:val="20"/>
                <w:lang w:eastAsia="lt-LT"/>
              </w:rPr>
              <w:t>1.</w:t>
            </w:r>
          </w:p>
        </w:tc>
        <w:tc>
          <w:tcPr>
            <w:tcW w:w="2584" w:type="dxa"/>
            <w:shd w:val="clear" w:color="auto" w:fill="auto"/>
            <w:vAlign w:val="center"/>
          </w:tcPr>
          <w:p w:rsidR="00385835" w:rsidRPr="00385835" w:rsidRDefault="00385835" w:rsidP="00385835">
            <w:pPr>
              <w:widowControl w:val="0"/>
              <w:tabs>
                <w:tab w:val="left" w:pos="622"/>
              </w:tabs>
              <w:spacing w:after="0" w:line="240" w:lineRule="auto"/>
              <w:rPr>
                <w:rFonts w:ascii="Times New Roman" w:eastAsia="AngsanaUPC" w:hAnsi="Times New Roman"/>
                <w:bCs/>
                <w:sz w:val="20"/>
                <w:szCs w:val="20"/>
                <w:lang w:eastAsia="lt-LT"/>
              </w:rPr>
            </w:pPr>
            <w:r w:rsidRPr="00385835">
              <w:rPr>
                <w:rFonts w:ascii="Times New Roman" w:eastAsia="AngsanaUPC" w:hAnsi="Times New Roman"/>
                <w:bCs/>
                <w:sz w:val="20"/>
                <w:szCs w:val="20"/>
                <w:lang w:eastAsia="lt-LT"/>
              </w:rPr>
              <w:t>Įgyvendintos rekomendacijos</w:t>
            </w:r>
          </w:p>
        </w:tc>
        <w:tc>
          <w:tcPr>
            <w:tcW w:w="1134"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20"/>
                <w:szCs w:val="20"/>
                <w:lang w:eastAsia="lt-LT"/>
              </w:rPr>
            </w:pPr>
            <w:r w:rsidRPr="00385835">
              <w:rPr>
                <w:rFonts w:ascii="Times New Roman" w:eastAsia="AngsanaUPC" w:hAnsi="Times New Roman"/>
                <w:bCs/>
                <w:sz w:val="20"/>
                <w:szCs w:val="20"/>
                <w:lang w:eastAsia="lt-LT"/>
              </w:rPr>
              <w:t>Proc.</w:t>
            </w:r>
          </w:p>
        </w:tc>
        <w:tc>
          <w:tcPr>
            <w:tcW w:w="850"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20"/>
                <w:szCs w:val="20"/>
                <w:lang w:eastAsia="lt-LT"/>
              </w:rPr>
            </w:pPr>
            <w:r w:rsidRPr="00385835">
              <w:rPr>
                <w:rFonts w:ascii="Times New Roman" w:eastAsia="AngsanaUPC" w:hAnsi="Times New Roman"/>
                <w:bCs/>
                <w:sz w:val="20"/>
                <w:szCs w:val="20"/>
                <w:lang w:eastAsia="lt-LT"/>
              </w:rPr>
              <w:t>60</w:t>
            </w:r>
          </w:p>
        </w:tc>
        <w:tc>
          <w:tcPr>
            <w:tcW w:w="993"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20"/>
                <w:szCs w:val="20"/>
                <w:lang w:eastAsia="lt-LT"/>
              </w:rPr>
            </w:pPr>
            <w:r w:rsidRPr="00385835">
              <w:rPr>
                <w:rFonts w:ascii="Times New Roman" w:eastAsia="AngsanaUPC" w:hAnsi="Times New Roman"/>
                <w:bCs/>
                <w:sz w:val="20"/>
                <w:szCs w:val="20"/>
                <w:lang w:eastAsia="lt-LT"/>
              </w:rPr>
              <w:t>2014</w:t>
            </w:r>
          </w:p>
        </w:tc>
        <w:tc>
          <w:tcPr>
            <w:tcW w:w="992"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20"/>
                <w:szCs w:val="20"/>
                <w:lang w:eastAsia="lt-LT"/>
              </w:rPr>
            </w:pPr>
            <w:r w:rsidRPr="00385835">
              <w:rPr>
                <w:rFonts w:ascii="Times New Roman" w:eastAsia="AngsanaUPC" w:hAnsi="Times New Roman"/>
                <w:bCs/>
                <w:sz w:val="20"/>
                <w:szCs w:val="20"/>
                <w:lang w:eastAsia="lt-LT"/>
              </w:rPr>
              <w:t>70</w:t>
            </w:r>
          </w:p>
        </w:tc>
        <w:tc>
          <w:tcPr>
            <w:tcW w:w="1417"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20"/>
                <w:szCs w:val="20"/>
                <w:lang w:eastAsia="lt-LT"/>
              </w:rPr>
            </w:pPr>
            <w:r w:rsidRPr="00385835">
              <w:rPr>
                <w:rFonts w:ascii="Times New Roman" w:eastAsia="AngsanaUPC" w:hAnsi="Times New Roman"/>
                <w:bCs/>
                <w:sz w:val="20"/>
                <w:szCs w:val="20"/>
                <w:lang w:eastAsia="lt-LT"/>
              </w:rPr>
              <w:t>Duomenys iš projektų</w:t>
            </w:r>
          </w:p>
        </w:tc>
        <w:tc>
          <w:tcPr>
            <w:tcW w:w="1241" w:type="dxa"/>
            <w:shd w:val="clear" w:color="auto" w:fill="auto"/>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Cs/>
                <w:sz w:val="20"/>
                <w:szCs w:val="20"/>
                <w:lang w:eastAsia="lt-LT"/>
              </w:rPr>
            </w:pPr>
            <w:r w:rsidRPr="00385835">
              <w:rPr>
                <w:rFonts w:ascii="Times New Roman" w:eastAsia="AngsanaUPC" w:hAnsi="Times New Roman"/>
                <w:bCs/>
                <w:sz w:val="20"/>
                <w:szCs w:val="20"/>
                <w:lang w:eastAsia="lt-LT"/>
              </w:rPr>
              <w:t>Kartą per metus</w:t>
            </w:r>
          </w:p>
        </w:tc>
      </w:tr>
    </w:tbl>
    <w:p w:rsidR="00385835" w:rsidRP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385835" w:rsidRPr="00385835" w:rsidTr="00385835">
        <w:tc>
          <w:tcPr>
            <w:tcW w:w="9746" w:type="dxa"/>
            <w:tcBorders>
              <w:top w:val="single" w:sz="4" w:space="0" w:color="auto"/>
              <w:left w:val="single" w:sz="4" w:space="0" w:color="auto"/>
              <w:bottom w:val="single" w:sz="4" w:space="0" w:color="auto"/>
              <w:right w:val="single" w:sz="4" w:space="0" w:color="auto"/>
            </w:tcBorders>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Cs/>
                <w:iCs/>
                <w:sz w:val="24"/>
                <w:szCs w:val="24"/>
                <w:lang w:eastAsia="lt-LT"/>
              </w:rPr>
            </w:pPr>
            <w:r w:rsidRPr="00385835">
              <w:rPr>
                <w:rFonts w:ascii="Times New Roman" w:eastAsia="AngsanaUPC" w:hAnsi="Times New Roman"/>
                <w:b/>
                <w:bCs/>
                <w:i/>
                <w:iCs/>
                <w:sz w:val="24"/>
                <w:szCs w:val="24"/>
                <w:lang w:eastAsia="lt-LT"/>
              </w:rPr>
              <w:t>Techninės paramos prioriteto įgyvendinimo veiklos</w:t>
            </w:r>
          </w:p>
        </w:tc>
      </w:tr>
      <w:tr w:rsidR="00385835" w:rsidRPr="00385835" w:rsidTr="00385835">
        <w:tc>
          <w:tcPr>
            <w:tcW w:w="9746" w:type="dxa"/>
            <w:shd w:val="clear" w:color="auto" w:fill="auto"/>
          </w:tcPr>
          <w:p w:rsidR="00385835" w:rsidRPr="00385835" w:rsidRDefault="00385835" w:rsidP="00385835">
            <w:pPr>
              <w:spacing w:after="0" w:line="240" w:lineRule="auto"/>
              <w:ind w:firstLine="624"/>
              <w:jc w:val="both"/>
              <w:rPr>
                <w:rFonts w:ascii="Times New Roman" w:eastAsia="Times New Roman" w:hAnsi="Times New Roman"/>
                <w:i/>
                <w:sz w:val="24"/>
                <w:szCs w:val="24"/>
                <w:lang w:eastAsia="lt-LT"/>
              </w:rPr>
            </w:pPr>
            <w:r w:rsidRPr="00385835">
              <w:rPr>
                <w:rFonts w:ascii="Times New Roman" w:eastAsia="Times New Roman" w:hAnsi="Times New Roman"/>
                <w:i/>
                <w:sz w:val="24"/>
                <w:szCs w:val="24"/>
                <w:lang w:eastAsia="lt-LT"/>
              </w:rPr>
              <w:t>12.1 konkretaus uždavinio veiklos:</w:t>
            </w:r>
          </w:p>
          <w:p w:rsidR="00385835" w:rsidRPr="00385835" w:rsidRDefault="00385835" w:rsidP="00385835">
            <w:pPr>
              <w:spacing w:after="0" w:line="240" w:lineRule="auto"/>
              <w:ind w:firstLine="624"/>
              <w:jc w:val="both"/>
              <w:rPr>
                <w:rFonts w:ascii="Times New Roman" w:hAnsi="Times New Roman"/>
                <w:sz w:val="24"/>
                <w:szCs w:val="24"/>
              </w:rPr>
            </w:pPr>
            <w:r w:rsidRPr="00385835">
              <w:rPr>
                <w:rFonts w:ascii="Times New Roman" w:hAnsi="Times New Roman"/>
                <w:sz w:val="24"/>
                <w:szCs w:val="24"/>
              </w:rPr>
              <w:t>2014–2020 m. programavimo laikotarpiu planuojama finansuoti komunikacijos veiklas, kurios įgyvendintų Komunikacijos strategiją. Vykdomos veiklos u</w:t>
            </w:r>
            <w:r w:rsidRPr="00385835">
              <w:rPr>
                <w:rFonts w:ascii="Times New Roman" w:hAnsi="Times New Roman"/>
                <w:noProof/>
                <w:snapToGrid w:val="0"/>
                <w:sz w:val="24"/>
                <w:szCs w:val="24"/>
              </w:rPr>
              <w:t xml:space="preserve">žtikrins kokybišką potencialių pareiškėjų bei projektų vykdytojų informavimą </w:t>
            </w:r>
            <w:r w:rsidRPr="00385835">
              <w:rPr>
                <w:rFonts w:ascii="Times New Roman" w:hAnsi="Times New Roman"/>
                <w:noProof/>
                <w:sz w:val="24"/>
                <w:szCs w:val="24"/>
              </w:rPr>
              <w:t>apie veiksmų programos teikiamas galimybes ir reikalavimus ES finansavimui gauti. Taip pat bus finansuojamos komunikacijos veiklos, kuriomis informuojama visuomenė ir atskiros jos grupės apie planuojamus projektus, įgyvendinamų ir įgyvendintų projektų rezultatus, akcentuojant jų teikiamą naudą ir kuriamą pridėtinę vertę.</w:t>
            </w:r>
          </w:p>
          <w:p w:rsidR="00385835" w:rsidRPr="00385835" w:rsidRDefault="00385835" w:rsidP="00385835">
            <w:pPr>
              <w:spacing w:after="0" w:line="240" w:lineRule="auto"/>
              <w:ind w:firstLine="624"/>
              <w:jc w:val="both"/>
              <w:rPr>
                <w:rFonts w:ascii="Times New Roman" w:eastAsia="Times New Roman" w:hAnsi="Times New Roman"/>
                <w:sz w:val="24"/>
                <w:szCs w:val="24"/>
              </w:rPr>
            </w:pPr>
            <w:r w:rsidRPr="00385835">
              <w:rPr>
                <w:rFonts w:ascii="Times New Roman" w:eastAsia="Times New Roman" w:hAnsi="Times New Roman"/>
                <w:noProof/>
                <w:sz w:val="24"/>
                <w:szCs w:val="24"/>
              </w:rPr>
              <w:lastRenderedPageBreak/>
              <w:t>2014–2020 m. programavimo laikotarpiu planuojamos šios komunikacijos veiklos: plati informavimo kampanija, skelbianti apie veiksmų programos įgyvendinimo pradžią, kasmet vykdomos informavimo veiklos televizijoje, radijuje, internete ir t.t. kur populiarinamos finansavimo galimybės, pristatomi pagal veiksmų programą pasiekti rezultatai, taip pat informuojama apie didelės apimties projektus, organizuojami informaciniai renginiai potencialiems pareiškėjams ir projektų vykdytojams, konferencijos, seminarai, mokymai, geriausiųjų projektų rinkimai ir apdovanojimai bei pan.</w:t>
            </w:r>
            <w:r w:rsidRPr="00385835">
              <w:rPr>
                <w:rFonts w:ascii="Times New Roman" w:eastAsia="Times New Roman" w:hAnsi="Times New Roman"/>
                <w:sz w:val="24"/>
                <w:szCs w:val="24"/>
              </w:rPr>
              <w:t xml:space="preserve"> </w:t>
            </w:r>
          </w:p>
          <w:p w:rsidR="00385835" w:rsidRPr="00385835" w:rsidRDefault="00385835" w:rsidP="00385835">
            <w:pPr>
              <w:spacing w:after="0" w:line="240" w:lineRule="auto"/>
              <w:ind w:firstLine="624"/>
              <w:jc w:val="both"/>
              <w:rPr>
                <w:rFonts w:ascii="Times New Roman" w:hAnsi="Times New Roman"/>
                <w:noProof/>
                <w:sz w:val="24"/>
                <w:szCs w:val="24"/>
                <w:lang w:eastAsia="en-GB"/>
              </w:rPr>
            </w:pPr>
            <w:r w:rsidRPr="00385835">
              <w:rPr>
                <w:rFonts w:ascii="Times New Roman" w:hAnsi="Times New Roman"/>
                <w:noProof/>
                <w:sz w:val="24"/>
                <w:szCs w:val="24"/>
                <w:lang w:eastAsia="en-GB"/>
              </w:rPr>
              <w:t xml:space="preserve">Informacija apie ES fondų finansavimo galimybes, projektų vykdytojus ir panašiai bus skelbiama ES fondų svetainėje. Tokiu būdu bus užtikrinamas informacijos prieinamumas, pateikimas laiku ir prisidedama prie </w:t>
            </w:r>
            <w:r w:rsidR="000F4AE6">
              <w:rPr>
                <w:rFonts w:ascii="Times New Roman" w:hAnsi="Times New Roman"/>
                <w:noProof/>
                <w:sz w:val="24"/>
                <w:szCs w:val="24"/>
                <w:lang w:eastAsia="en-GB"/>
              </w:rPr>
              <w:t>ES fondų</w:t>
            </w:r>
            <w:r w:rsidRPr="00385835">
              <w:rPr>
                <w:rFonts w:ascii="Times New Roman" w:hAnsi="Times New Roman"/>
                <w:noProof/>
                <w:sz w:val="24"/>
                <w:szCs w:val="24"/>
                <w:lang w:eastAsia="en-GB"/>
              </w:rPr>
              <w:t xml:space="preserve"> lėšų panaudojimo skaidrumo užtikrinimo. Įgyvendinant lygių galimybių ir nediskriminavimo principus, informacinę medžiagą potencialiems pareiškėjams ir naudos gavėjams planuojama pateikti ir neįgaliesiems asmenims prieinamomis formomis.</w:t>
            </w:r>
          </w:p>
          <w:p w:rsidR="00385835" w:rsidRPr="00385835" w:rsidRDefault="00385835" w:rsidP="00385835">
            <w:pPr>
              <w:spacing w:after="0" w:line="240" w:lineRule="auto"/>
              <w:ind w:firstLine="624"/>
              <w:jc w:val="both"/>
              <w:rPr>
                <w:rFonts w:ascii="Times New Roman" w:hAnsi="Times New Roman"/>
                <w:noProof/>
                <w:sz w:val="24"/>
                <w:szCs w:val="24"/>
                <w:lang w:eastAsia="en-GB"/>
              </w:rPr>
            </w:pPr>
            <w:r w:rsidRPr="00385835">
              <w:rPr>
                <w:rFonts w:ascii="Times New Roman" w:hAnsi="Times New Roman"/>
                <w:sz w:val="24"/>
                <w:szCs w:val="24"/>
                <w:lang w:eastAsia="en-GB"/>
              </w:rPr>
              <w:t>Siekiant gerinti teikiamos informacijos kokybę, orientaciją į tikslinės auditorijos poreikius ir komunikacijos veiklų efektyvumą, bus periodiškai atliekami tikslinių auditorijų nuomonių tyrimai ir komunikacijos veiklų efektyvumo vertinimai.</w:t>
            </w:r>
          </w:p>
          <w:p w:rsidR="00385835" w:rsidRPr="00385835" w:rsidRDefault="00385835" w:rsidP="00385835">
            <w:pPr>
              <w:spacing w:after="0" w:line="240" w:lineRule="auto"/>
              <w:ind w:firstLine="624"/>
              <w:jc w:val="both"/>
              <w:rPr>
                <w:rFonts w:ascii="Times New Roman" w:eastAsia="Times New Roman" w:hAnsi="Times New Roman"/>
                <w:sz w:val="24"/>
                <w:szCs w:val="24"/>
              </w:rPr>
            </w:pPr>
            <w:r w:rsidRPr="00385835">
              <w:rPr>
                <w:rFonts w:ascii="Times New Roman" w:eastAsia="Times New Roman" w:hAnsi="Times New Roman"/>
                <w:sz w:val="24"/>
                <w:szCs w:val="24"/>
              </w:rPr>
              <w:t>Planuojama, kad didžiąją dalį ES fondų komunikacijos veiklų vykdys ES fondų investicijas administruojančios institucijos ir jų viešųjų pirkimų būdu pasitelkti paslaugų teikėjai. Esant poreikiui, veiklų įgyvendinimui konkurso būdu gali būti pasitelkiami socialiniai, ekonominiai, regioniniai partneriai, nevyriausybinio sektoriaus organizacijos ir kita.</w:t>
            </w:r>
          </w:p>
          <w:p w:rsidR="00385835" w:rsidRPr="00385835" w:rsidRDefault="00385835" w:rsidP="0042276D">
            <w:pPr>
              <w:spacing w:after="0" w:line="240" w:lineRule="auto"/>
              <w:ind w:firstLine="624"/>
              <w:jc w:val="both"/>
              <w:rPr>
                <w:rFonts w:ascii="Times New Roman" w:eastAsia="Times New Roman" w:hAnsi="Times New Roman"/>
                <w:i/>
                <w:sz w:val="24"/>
                <w:szCs w:val="24"/>
                <w:lang w:eastAsia="lt-LT"/>
              </w:rPr>
            </w:pPr>
            <w:r w:rsidRPr="00385835">
              <w:rPr>
                <w:rFonts w:ascii="Times New Roman" w:eastAsia="Times New Roman" w:hAnsi="Times New Roman"/>
                <w:i/>
                <w:sz w:val="24"/>
                <w:szCs w:val="24"/>
                <w:lang w:eastAsia="lt-LT"/>
              </w:rPr>
              <w:t>12.2 konkretaus uždavinio veiklos:</w:t>
            </w:r>
          </w:p>
          <w:p w:rsidR="00385835" w:rsidRPr="00385835" w:rsidRDefault="00385835" w:rsidP="00385835">
            <w:pPr>
              <w:spacing w:after="0" w:line="240" w:lineRule="auto"/>
              <w:ind w:firstLine="624"/>
              <w:jc w:val="both"/>
              <w:rPr>
                <w:rFonts w:ascii="Times New Roman" w:eastAsia="Times New Roman" w:hAnsi="Times New Roman"/>
                <w:sz w:val="24"/>
                <w:szCs w:val="24"/>
                <w:lang w:eastAsia="lt-LT"/>
              </w:rPr>
            </w:pPr>
            <w:r w:rsidRPr="00385835">
              <w:rPr>
                <w:rFonts w:ascii="Times New Roman" w:eastAsia="Times New Roman" w:hAnsi="Times New Roman"/>
                <w:sz w:val="24"/>
                <w:szCs w:val="24"/>
                <w:lang w:eastAsia="lt-LT"/>
              </w:rPr>
              <w:t>Programavimo laikotarpio metu bus atliekami ES reglamentų reikalavimus bei nacionalinius vertinimo poreikius atitinkantys vertinimai:</w:t>
            </w:r>
          </w:p>
          <w:p w:rsidR="00385835" w:rsidRPr="00385835" w:rsidRDefault="00385835" w:rsidP="00650E41">
            <w:pPr>
              <w:numPr>
                <w:ilvl w:val="0"/>
                <w:numId w:val="54"/>
              </w:numPr>
              <w:tabs>
                <w:tab w:val="left" w:pos="601"/>
              </w:tabs>
              <w:spacing w:after="0" w:line="240" w:lineRule="auto"/>
              <w:ind w:left="34" w:firstLine="326"/>
              <w:jc w:val="both"/>
              <w:rPr>
                <w:rFonts w:ascii="Times New Roman" w:eastAsia="Times New Roman" w:hAnsi="Times New Roman"/>
                <w:sz w:val="24"/>
                <w:szCs w:val="24"/>
                <w:lang w:eastAsia="lt-LT"/>
              </w:rPr>
            </w:pPr>
            <w:r w:rsidRPr="00385835">
              <w:rPr>
                <w:rFonts w:ascii="Times New Roman" w:eastAsia="Times New Roman" w:hAnsi="Times New Roman"/>
                <w:sz w:val="24"/>
                <w:szCs w:val="24"/>
                <w:lang w:eastAsia="lt-LT"/>
              </w:rPr>
              <w:t xml:space="preserve">poveikio vertinimai skirti intervencijų sukeltiems pokyčiams nustatyti, t. y. kokie buvo intervencijų padariniai ar kiek intervencijos prisidėjo prie įvykusių pokyčių. Šių vertinimų objektas yra 2014–2020 m. Nacionalinė pažangos programa, veiksmų programa (ar jos dalis). Planuojama atlikti visų veiksmų programos prioritetų poveikio vertinimus, taip pat vertinimus, siekiant nustatyti </w:t>
            </w:r>
            <w:r w:rsidR="000F4AE6">
              <w:rPr>
                <w:rFonts w:ascii="Times New Roman" w:eastAsia="Times New Roman" w:hAnsi="Times New Roman"/>
                <w:sz w:val="24"/>
                <w:szCs w:val="24"/>
                <w:lang w:eastAsia="lt-LT"/>
              </w:rPr>
              <w:t>ES fondų</w:t>
            </w:r>
            <w:r w:rsidRPr="00385835">
              <w:rPr>
                <w:rFonts w:ascii="Times New Roman" w:eastAsia="Times New Roman" w:hAnsi="Times New Roman"/>
                <w:sz w:val="24"/>
                <w:szCs w:val="24"/>
                <w:lang w:eastAsia="lt-LT"/>
              </w:rPr>
              <w:t xml:space="preserve"> investicijų poveikį ES ar nacionalinių strateginių tikslų įgyvendinimui Lietuvos ūkio, atskirų ūkio sektorių, (investicinių sričių) ir regionų lygiu.</w:t>
            </w:r>
          </w:p>
          <w:p w:rsidR="00385835" w:rsidRPr="00385835" w:rsidRDefault="00385835" w:rsidP="00650E41">
            <w:pPr>
              <w:numPr>
                <w:ilvl w:val="0"/>
                <w:numId w:val="54"/>
              </w:numPr>
              <w:tabs>
                <w:tab w:val="left" w:pos="601"/>
              </w:tabs>
              <w:spacing w:after="0" w:line="240" w:lineRule="auto"/>
              <w:ind w:left="34" w:firstLine="326"/>
              <w:jc w:val="both"/>
              <w:rPr>
                <w:rFonts w:ascii="Times New Roman" w:eastAsia="Times New Roman" w:hAnsi="Times New Roman"/>
                <w:sz w:val="24"/>
                <w:szCs w:val="24"/>
                <w:lang w:eastAsia="lt-LT"/>
              </w:rPr>
            </w:pPr>
            <w:r w:rsidRPr="00385835">
              <w:rPr>
                <w:rFonts w:ascii="Times New Roman" w:eastAsia="Times New Roman" w:hAnsi="Times New Roman"/>
                <w:sz w:val="24"/>
                <w:szCs w:val="24"/>
                <w:lang w:eastAsia="lt-LT"/>
              </w:rPr>
              <w:t xml:space="preserve">veiksmų programos prioritetų ar konkrečių uždavinių įgyvendinimo pažangai nustatyti bei veiksmų programos administravimo kokybei įvertinti bus atliekami </w:t>
            </w:r>
            <w:r w:rsidRPr="00385835">
              <w:rPr>
                <w:rFonts w:ascii="Times New Roman" w:eastAsia="Times New Roman" w:hAnsi="Times New Roman"/>
                <w:i/>
                <w:sz w:val="24"/>
                <w:szCs w:val="24"/>
                <w:lang w:eastAsia="lt-LT"/>
              </w:rPr>
              <w:t>įgyvendinimo vertinimai</w:t>
            </w:r>
            <w:r w:rsidRPr="00385835">
              <w:rPr>
                <w:rFonts w:ascii="Times New Roman" w:eastAsia="Times New Roman" w:hAnsi="Times New Roman"/>
                <w:sz w:val="24"/>
                <w:szCs w:val="24"/>
                <w:lang w:eastAsia="lt-LT"/>
              </w:rPr>
              <w:t xml:space="preserve">. Įgyvendinimo pažangos vertinimais (tarpiniais vertinimais) bus siekiama nustatyti </w:t>
            </w:r>
            <w:r w:rsidR="000F4AE6">
              <w:rPr>
                <w:rFonts w:ascii="Times New Roman" w:eastAsia="Times New Roman" w:hAnsi="Times New Roman"/>
                <w:sz w:val="24"/>
                <w:szCs w:val="24"/>
                <w:lang w:eastAsia="lt-LT"/>
              </w:rPr>
              <w:t>ES fondų</w:t>
            </w:r>
            <w:r w:rsidRPr="00385835">
              <w:rPr>
                <w:rFonts w:ascii="Times New Roman" w:eastAsia="Times New Roman" w:hAnsi="Times New Roman"/>
                <w:sz w:val="24"/>
                <w:szCs w:val="24"/>
                <w:lang w:eastAsia="lt-LT"/>
              </w:rPr>
              <w:t xml:space="preserve"> lėšų panaudojimo efektyvumą, priemonių ir projektų įgyvendinimą, uždavinių pasiekimą, stebėsenos rodiklių vykdymą ir pasiekimo tikimybę, išorės veiksnių įtaką, atsižvelgiant į </w:t>
            </w:r>
            <w:r w:rsidR="000F4AE6">
              <w:rPr>
                <w:rFonts w:ascii="Times New Roman" w:eastAsia="Times New Roman" w:hAnsi="Times New Roman"/>
                <w:sz w:val="24"/>
                <w:szCs w:val="24"/>
                <w:lang w:eastAsia="lt-LT"/>
              </w:rPr>
              <w:t>ES fondų</w:t>
            </w:r>
            <w:r w:rsidRPr="00385835">
              <w:rPr>
                <w:rFonts w:ascii="Times New Roman" w:eastAsia="Times New Roman" w:hAnsi="Times New Roman"/>
                <w:sz w:val="24"/>
                <w:szCs w:val="24"/>
                <w:lang w:eastAsia="lt-LT"/>
              </w:rPr>
              <w:t xml:space="preserve"> naujoves, jų įgyvendinimo problemas ir rizikas, siekiant laiku priimti sprendimus dėl finansuojamų intervencijų logikos, turinio ir jų įgyvendinimo. Administravimo proceso vertinimais bus siekiama tobulinti programos valdymo ir kontrolės sistemą.</w:t>
            </w:r>
          </w:p>
          <w:p w:rsidR="00385835" w:rsidRPr="00385835" w:rsidRDefault="00385835" w:rsidP="00650E41">
            <w:pPr>
              <w:numPr>
                <w:ilvl w:val="0"/>
                <w:numId w:val="54"/>
              </w:numPr>
              <w:tabs>
                <w:tab w:val="left" w:pos="601"/>
              </w:tabs>
              <w:spacing w:after="0" w:line="240" w:lineRule="auto"/>
              <w:ind w:left="34" w:firstLine="326"/>
              <w:jc w:val="both"/>
              <w:rPr>
                <w:rFonts w:ascii="Times New Roman" w:eastAsia="Times New Roman" w:hAnsi="Times New Roman"/>
                <w:sz w:val="24"/>
                <w:szCs w:val="24"/>
                <w:lang w:eastAsia="lt-LT"/>
              </w:rPr>
            </w:pPr>
            <w:r w:rsidRPr="00385835">
              <w:rPr>
                <w:rFonts w:ascii="Times New Roman" w:eastAsia="Times New Roman" w:hAnsi="Times New Roman"/>
                <w:sz w:val="24"/>
                <w:szCs w:val="24"/>
                <w:lang w:eastAsia="lt-LT"/>
              </w:rPr>
              <w:t xml:space="preserve">vertinimai, susiję su ES politikos horizontaliųjų prioritetų ir nacionalinių prioritetų įgyvendinimu, kiti vertinimai, kurių poreikis nustatomas išankstinio vertinimo rezultatais ir rekomendacijomis, veiksmų programos rengimo patirti ir derybų su EK rezultatais, besikeičiančia socialine ir ekonomine situacija, strateginiais dokumentais veiksmų programos įgyvendinimo pažanga ir kita informacija. </w:t>
            </w:r>
          </w:p>
          <w:p w:rsidR="00385835" w:rsidRPr="00385835" w:rsidRDefault="00385835" w:rsidP="00650E41">
            <w:pPr>
              <w:numPr>
                <w:ilvl w:val="0"/>
                <w:numId w:val="59"/>
              </w:numPr>
              <w:tabs>
                <w:tab w:val="left" w:pos="601"/>
              </w:tabs>
              <w:spacing w:after="0" w:line="240" w:lineRule="auto"/>
              <w:ind w:left="34" w:firstLine="284"/>
              <w:jc w:val="both"/>
              <w:rPr>
                <w:rFonts w:ascii="Times New Roman" w:eastAsia="Times New Roman" w:hAnsi="Times New Roman"/>
                <w:sz w:val="24"/>
                <w:szCs w:val="24"/>
                <w:lang w:eastAsia="lt-LT"/>
              </w:rPr>
            </w:pPr>
            <w:r w:rsidRPr="00385835">
              <w:rPr>
                <w:rFonts w:ascii="Times New Roman" w:eastAsia="Times New Roman" w:hAnsi="Times New Roman"/>
                <w:sz w:val="24"/>
                <w:szCs w:val="24"/>
                <w:lang w:eastAsia="lt-LT"/>
              </w:rPr>
              <w:t>vertinimo gebėjimų stiprinimo priemonės. Įgyvendinant vertinimo gebėjimų stiprinimo priemones</w:t>
            </w:r>
            <w:r w:rsidR="00C724EE">
              <w:rPr>
                <w:rFonts w:ascii="Times New Roman" w:eastAsia="Times New Roman" w:hAnsi="Times New Roman"/>
                <w:sz w:val="24"/>
                <w:szCs w:val="24"/>
                <w:lang w:eastAsia="lt-LT"/>
              </w:rPr>
              <w:t>,</w:t>
            </w:r>
            <w:r w:rsidRPr="00385835">
              <w:rPr>
                <w:rFonts w:ascii="Times New Roman" w:eastAsia="Times New Roman" w:hAnsi="Times New Roman"/>
                <w:sz w:val="24"/>
                <w:szCs w:val="24"/>
                <w:lang w:eastAsia="lt-LT"/>
              </w:rPr>
              <w:t xml:space="preserve"> bus organizuojami mokymai (paskaitos, seminarai, pažintiniai vizitai kitų šalių institucijose), apsikeitimo patirtimi renginiai, rengiama ir tobulinama metodinė medžiaga (gairės, vadovai, taisyklės); bus organizuojamos įvairios vertinimo sklaidos priemonės, plėtojama partnerystė.</w:t>
            </w:r>
          </w:p>
        </w:tc>
      </w:tr>
    </w:tbl>
    <w:p w:rsidR="00385835" w:rsidRDefault="00385835" w:rsidP="00385835">
      <w:pPr>
        <w:widowControl w:val="0"/>
        <w:tabs>
          <w:tab w:val="left" w:pos="622"/>
        </w:tabs>
        <w:spacing w:after="0" w:line="240" w:lineRule="auto"/>
        <w:jc w:val="both"/>
        <w:rPr>
          <w:rFonts w:ascii="Times New Roman" w:eastAsia="AngsanaUPC" w:hAnsi="Times New Roman"/>
          <w:bCs/>
          <w:sz w:val="24"/>
          <w:szCs w:val="24"/>
          <w:lang w:eastAsia="lt-LT"/>
        </w:rPr>
      </w:pPr>
    </w:p>
    <w:p w:rsidR="00827571" w:rsidRDefault="00827571" w:rsidP="00385835">
      <w:pPr>
        <w:widowControl w:val="0"/>
        <w:tabs>
          <w:tab w:val="left" w:pos="622"/>
        </w:tabs>
        <w:spacing w:after="0" w:line="240" w:lineRule="auto"/>
        <w:jc w:val="both"/>
        <w:rPr>
          <w:rFonts w:ascii="Times New Roman" w:eastAsia="AngsanaUPC" w:hAnsi="Times New Roman"/>
          <w:bCs/>
          <w:sz w:val="24"/>
          <w:szCs w:val="24"/>
          <w:lang w:eastAsia="lt-LT"/>
        </w:rPr>
      </w:pPr>
    </w:p>
    <w:p w:rsidR="00827571" w:rsidRDefault="00827571" w:rsidP="00385835">
      <w:pPr>
        <w:widowControl w:val="0"/>
        <w:tabs>
          <w:tab w:val="left" w:pos="622"/>
        </w:tabs>
        <w:spacing w:after="0" w:line="240" w:lineRule="auto"/>
        <w:jc w:val="both"/>
        <w:rPr>
          <w:rFonts w:ascii="Times New Roman" w:eastAsia="AngsanaUPC" w:hAnsi="Times New Roman"/>
          <w:bCs/>
          <w:sz w:val="24"/>
          <w:szCs w:val="24"/>
          <w:lang w:eastAsia="lt-LT"/>
        </w:rPr>
      </w:pP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567"/>
        <w:gridCol w:w="4820"/>
        <w:gridCol w:w="1134"/>
        <w:gridCol w:w="1134"/>
        <w:gridCol w:w="2091"/>
      </w:tblGrid>
      <w:tr w:rsidR="00385835" w:rsidRPr="00385835" w:rsidTr="00385835">
        <w:tc>
          <w:tcPr>
            <w:tcW w:w="9746" w:type="dxa"/>
            <w:gridSpan w:val="5"/>
            <w:shd w:val="clear" w:color="auto" w:fill="EEECE1"/>
          </w:tcPr>
          <w:p w:rsidR="00385835" w:rsidRPr="00385835" w:rsidRDefault="00385835" w:rsidP="00385835">
            <w:pPr>
              <w:widowControl w:val="0"/>
              <w:tabs>
                <w:tab w:val="left" w:pos="622"/>
              </w:tabs>
              <w:spacing w:after="0" w:line="240" w:lineRule="auto"/>
              <w:jc w:val="both"/>
              <w:rPr>
                <w:rFonts w:ascii="Times New Roman" w:eastAsia="AngsanaUPC" w:hAnsi="Times New Roman"/>
                <w:b/>
                <w:bCs/>
                <w:i/>
                <w:iCs/>
                <w:sz w:val="24"/>
                <w:szCs w:val="24"/>
                <w:lang w:eastAsia="lt-LT"/>
              </w:rPr>
            </w:pPr>
            <w:r w:rsidRPr="00385835">
              <w:rPr>
                <w:rFonts w:ascii="Times New Roman" w:eastAsia="AngsanaUPC" w:hAnsi="Times New Roman"/>
                <w:b/>
                <w:bCs/>
                <w:i/>
                <w:iCs/>
                <w:sz w:val="24"/>
                <w:szCs w:val="24"/>
                <w:lang w:eastAsia="lt-LT"/>
              </w:rPr>
              <w:lastRenderedPageBreak/>
              <w:t xml:space="preserve">ESF </w:t>
            </w:r>
            <w:r w:rsidR="00D94011">
              <w:rPr>
                <w:rFonts w:ascii="Times New Roman" w:eastAsia="AngsanaUPC" w:hAnsi="Times New Roman"/>
                <w:b/>
                <w:bCs/>
                <w:i/>
                <w:iCs/>
                <w:sz w:val="24"/>
                <w:szCs w:val="24"/>
                <w:lang w:eastAsia="lt-LT"/>
              </w:rPr>
              <w:t xml:space="preserve">specialieji programos </w:t>
            </w:r>
            <w:r w:rsidRPr="00385835">
              <w:rPr>
                <w:rFonts w:ascii="Times New Roman" w:eastAsia="AngsanaUPC" w:hAnsi="Times New Roman"/>
                <w:b/>
                <w:bCs/>
                <w:i/>
                <w:iCs/>
                <w:sz w:val="24"/>
                <w:szCs w:val="24"/>
                <w:lang w:eastAsia="lt-LT"/>
              </w:rPr>
              <w:t>produkto rodikliai</w:t>
            </w:r>
          </w:p>
        </w:tc>
      </w:tr>
      <w:tr w:rsidR="00385835" w:rsidRPr="00385835" w:rsidTr="00385835">
        <w:tblPrEx>
          <w:shd w:val="clear" w:color="auto" w:fill="auto"/>
        </w:tblPrEx>
        <w:tc>
          <w:tcPr>
            <w:tcW w:w="567"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sz w:val="18"/>
                <w:szCs w:val="18"/>
                <w:lang w:eastAsia="lt-LT"/>
              </w:rPr>
            </w:pPr>
            <w:r w:rsidRPr="00385835">
              <w:rPr>
                <w:rFonts w:ascii="Times New Roman" w:eastAsia="AngsanaUPC" w:hAnsi="Times New Roman"/>
                <w:b/>
                <w:bCs/>
                <w:sz w:val="18"/>
                <w:szCs w:val="18"/>
                <w:lang w:eastAsia="lt-LT"/>
              </w:rPr>
              <w:t>Nr.</w:t>
            </w:r>
          </w:p>
        </w:tc>
        <w:tc>
          <w:tcPr>
            <w:tcW w:w="4820"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sz w:val="18"/>
                <w:szCs w:val="18"/>
                <w:lang w:eastAsia="lt-LT"/>
              </w:rPr>
            </w:pPr>
            <w:r w:rsidRPr="00385835">
              <w:rPr>
                <w:rFonts w:ascii="Times New Roman" w:eastAsia="AngsanaUPC" w:hAnsi="Times New Roman"/>
                <w:b/>
                <w:bCs/>
                <w:sz w:val="18"/>
                <w:szCs w:val="18"/>
                <w:lang w:eastAsia="lt-LT"/>
              </w:rPr>
              <w:t>Rodiklio pavadinimas</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sz w:val="18"/>
                <w:szCs w:val="18"/>
                <w:lang w:eastAsia="lt-LT"/>
              </w:rPr>
            </w:pPr>
            <w:r w:rsidRPr="00385835">
              <w:rPr>
                <w:rFonts w:ascii="Times New Roman" w:eastAsia="AngsanaUPC" w:hAnsi="Times New Roman"/>
                <w:b/>
                <w:bCs/>
                <w:sz w:val="18"/>
                <w:szCs w:val="18"/>
                <w:lang w:eastAsia="lt-LT"/>
              </w:rPr>
              <w:t>Matavimo vienetai</w:t>
            </w:r>
          </w:p>
        </w:tc>
        <w:tc>
          <w:tcPr>
            <w:tcW w:w="1134"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sz w:val="18"/>
                <w:szCs w:val="18"/>
                <w:lang w:eastAsia="lt-LT"/>
              </w:rPr>
            </w:pPr>
            <w:r w:rsidRPr="00385835">
              <w:rPr>
                <w:rFonts w:ascii="Times New Roman" w:eastAsia="AngsanaUPC" w:hAnsi="Times New Roman"/>
                <w:b/>
                <w:bCs/>
                <w:iCs/>
                <w:sz w:val="18"/>
                <w:szCs w:val="18"/>
                <w:lang w:eastAsia="lt-LT"/>
              </w:rPr>
              <w:t>Siektina reikšmė (2023)</w:t>
            </w:r>
          </w:p>
        </w:tc>
        <w:tc>
          <w:tcPr>
            <w:tcW w:w="2091" w:type="dxa"/>
            <w:shd w:val="clear" w:color="auto" w:fill="EEECE1"/>
            <w:vAlign w:val="center"/>
          </w:tcPr>
          <w:p w:rsidR="00385835" w:rsidRPr="00385835" w:rsidRDefault="00385835" w:rsidP="00385835">
            <w:pPr>
              <w:widowControl w:val="0"/>
              <w:tabs>
                <w:tab w:val="left" w:pos="622"/>
              </w:tabs>
              <w:spacing w:after="0" w:line="240" w:lineRule="auto"/>
              <w:jc w:val="center"/>
              <w:rPr>
                <w:rFonts w:ascii="Times New Roman" w:eastAsia="AngsanaUPC" w:hAnsi="Times New Roman"/>
                <w:b/>
                <w:bCs/>
                <w:sz w:val="18"/>
                <w:szCs w:val="18"/>
                <w:lang w:eastAsia="lt-LT"/>
              </w:rPr>
            </w:pPr>
            <w:r w:rsidRPr="00385835">
              <w:rPr>
                <w:rFonts w:ascii="Times New Roman" w:eastAsia="AngsanaUPC" w:hAnsi="Times New Roman"/>
                <w:b/>
                <w:bCs/>
                <w:sz w:val="18"/>
                <w:szCs w:val="18"/>
                <w:lang w:eastAsia="lt-LT"/>
              </w:rPr>
              <w:t>Duomenų šaltinis</w:t>
            </w:r>
          </w:p>
        </w:tc>
      </w:tr>
      <w:tr w:rsidR="00385835" w:rsidRPr="00385835" w:rsidTr="00385835">
        <w:tblPrEx>
          <w:shd w:val="clear" w:color="auto" w:fill="auto"/>
        </w:tblPrEx>
        <w:trPr>
          <w:trHeight w:val="490"/>
        </w:trPr>
        <w:tc>
          <w:tcPr>
            <w:tcW w:w="567" w:type="dxa"/>
            <w:shd w:val="clear" w:color="auto" w:fill="auto"/>
            <w:vAlign w:val="center"/>
          </w:tcPr>
          <w:p w:rsidR="00385835" w:rsidRPr="00385835" w:rsidRDefault="00385835" w:rsidP="00385835">
            <w:pPr>
              <w:spacing w:after="0" w:line="240" w:lineRule="auto"/>
              <w:jc w:val="center"/>
              <w:rPr>
                <w:rFonts w:ascii="Times New Roman" w:hAnsi="Times New Roman"/>
                <w:sz w:val="20"/>
                <w:szCs w:val="20"/>
              </w:rPr>
            </w:pPr>
            <w:r w:rsidRPr="00385835">
              <w:rPr>
                <w:rFonts w:ascii="Times New Roman" w:hAnsi="Times New Roman"/>
                <w:sz w:val="20"/>
                <w:szCs w:val="20"/>
              </w:rPr>
              <w:t>1.</w:t>
            </w:r>
          </w:p>
        </w:tc>
        <w:tc>
          <w:tcPr>
            <w:tcW w:w="4820" w:type="dxa"/>
            <w:shd w:val="clear" w:color="auto" w:fill="auto"/>
            <w:vAlign w:val="center"/>
          </w:tcPr>
          <w:p w:rsidR="00385835" w:rsidRPr="00385835" w:rsidRDefault="00554CEA" w:rsidP="00385835">
            <w:pPr>
              <w:spacing w:after="0" w:line="240" w:lineRule="auto"/>
              <w:rPr>
                <w:rFonts w:ascii="Times New Roman" w:hAnsi="Times New Roman"/>
                <w:sz w:val="20"/>
                <w:szCs w:val="20"/>
              </w:rPr>
            </w:pPr>
            <w:r>
              <w:rPr>
                <w:rFonts w:ascii="Times New Roman" w:hAnsi="Times New Roman"/>
                <w:sz w:val="20"/>
                <w:szCs w:val="20"/>
              </w:rPr>
              <w:t>Įgyvendinta plati i</w:t>
            </w:r>
            <w:r w:rsidR="00385835" w:rsidRPr="00385835">
              <w:rPr>
                <w:rFonts w:ascii="Times New Roman" w:hAnsi="Times New Roman"/>
                <w:sz w:val="20"/>
                <w:szCs w:val="20"/>
              </w:rPr>
              <w:t>nformavimo kampanija, informuojanti apie veiksmų programos įgyvendinimo pradžią.</w:t>
            </w:r>
          </w:p>
        </w:tc>
        <w:tc>
          <w:tcPr>
            <w:tcW w:w="1134" w:type="dxa"/>
            <w:shd w:val="clear" w:color="auto" w:fill="auto"/>
            <w:vAlign w:val="center"/>
          </w:tcPr>
          <w:p w:rsidR="00385835" w:rsidRPr="00385835" w:rsidRDefault="00385835" w:rsidP="00385835">
            <w:pPr>
              <w:spacing w:after="0" w:line="240" w:lineRule="auto"/>
              <w:jc w:val="center"/>
              <w:rPr>
                <w:rFonts w:ascii="Times New Roman" w:hAnsi="Times New Roman"/>
                <w:sz w:val="20"/>
                <w:szCs w:val="20"/>
              </w:rPr>
            </w:pPr>
            <w:r w:rsidRPr="00385835">
              <w:rPr>
                <w:rFonts w:ascii="Times New Roman" w:hAnsi="Times New Roman"/>
                <w:sz w:val="20"/>
                <w:szCs w:val="20"/>
              </w:rPr>
              <w:t>Skaičius</w:t>
            </w:r>
          </w:p>
        </w:tc>
        <w:tc>
          <w:tcPr>
            <w:tcW w:w="1134" w:type="dxa"/>
            <w:shd w:val="clear" w:color="auto" w:fill="auto"/>
            <w:vAlign w:val="center"/>
          </w:tcPr>
          <w:p w:rsidR="00385835" w:rsidRPr="00385835" w:rsidRDefault="00385835" w:rsidP="00385835">
            <w:pPr>
              <w:spacing w:after="0" w:line="240" w:lineRule="auto"/>
              <w:jc w:val="center"/>
              <w:rPr>
                <w:rFonts w:ascii="Times New Roman" w:hAnsi="Times New Roman"/>
                <w:sz w:val="20"/>
                <w:szCs w:val="20"/>
              </w:rPr>
            </w:pPr>
            <w:r w:rsidRPr="00385835">
              <w:rPr>
                <w:rFonts w:ascii="Times New Roman" w:hAnsi="Times New Roman"/>
                <w:sz w:val="20"/>
                <w:szCs w:val="20"/>
              </w:rPr>
              <w:t>1</w:t>
            </w:r>
          </w:p>
        </w:tc>
        <w:tc>
          <w:tcPr>
            <w:tcW w:w="2091" w:type="dxa"/>
            <w:shd w:val="clear" w:color="auto" w:fill="auto"/>
            <w:vAlign w:val="center"/>
          </w:tcPr>
          <w:p w:rsidR="00385835" w:rsidRPr="00385835" w:rsidRDefault="00385835" w:rsidP="00385835">
            <w:pPr>
              <w:spacing w:after="0" w:line="240" w:lineRule="auto"/>
              <w:jc w:val="center"/>
              <w:rPr>
                <w:rFonts w:ascii="Times New Roman" w:hAnsi="Times New Roman"/>
                <w:sz w:val="20"/>
                <w:szCs w:val="20"/>
              </w:rPr>
            </w:pPr>
            <w:r w:rsidRPr="00385835">
              <w:rPr>
                <w:rFonts w:ascii="Times New Roman" w:hAnsi="Times New Roman"/>
                <w:sz w:val="20"/>
                <w:szCs w:val="20"/>
              </w:rPr>
              <w:t>Duomenys iš projektų</w:t>
            </w:r>
          </w:p>
        </w:tc>
      </w:tr>
      <w:tr w:rsidR="00385835" w:rsidRPr="00385835" w:rsidTr="00385835">
        <w:tblPrEx>
          <w:shd w:val="clear" w:color="auto" w:fill="auto"/>
        </w:tblPrEx>
        <w:tc>
          <w:tcPr>
            <w:tcW w:w="567" w:type="dxa"/>
            <w:shd w:val="clear" w:color="auto" w:fill="auto"/>
            <w:vAlign w:val="center"/>
          </w:tcPr>
          <w:p w:rsidR="00385835" w:rsidRPr="00385835" w:rsidRDefault="00385835" w:rsidP="00385835">
            <w:pPr>
              <w:spacing w:after="0" w:line="240" w:lineRule="auto"/>
              <w:jc w:val="center"/>
              <w:rPr>
                <w:rFonts w:ascii="Times New Roman" w:hAnsi="Times New Roman"/>
                <w:sz w:val="20"/>
                <w:szCs w:val="20"/>
              </w:rPr>
            </w:pPr>
            <w:r w:rsidRPr="00385835">
              <w:rPr>
                <w:rFonts w:ascii="Times New Roman" w:hAnsi="Times New Roman"/>
                <w:sz w:val="20"/>
                <w:szCs w:val="20"/>
              </w:rPr>
              <w:t>2.</w:t>
            </w:r>
          </w:p>
        </w:tc>
        <w:tc>
          <w:tcPr>
            <w:tcW w:w="4820" w:type="dxa"/>
            <w:shd w:val="clear" w:color="auto" w:fill="auto"/>
            <w:vAlign w:val="center"/>
          </w:tcPr>
          <w:p w:rsidR="00385835" w:rsidRPr="00385835" w:rsidRDefault="00385835" w:rsidP="00385835">
            <w:pPr>
              <w:spacing w:after="0" w:line="240" w:lineRule="auto"/>
              <w:rPr>
                <w:rFonts w:ascii="Times New Roman" w:hAnsi="Times New Roman"/>
                <w:sz w:val="20"/>
                <w:szCs w:val="20"/>
              </w:rPr>
            </w:pPr>
            <w:r w:rsidRPr="00385835">
              <w:rPr>
                <w:rFonts w:ascii="Times New Roman" w:hAnsi="Times New Roman"/>
                <w:sz w:val="20"/>
                <w:szCs w:val="20"/>
              </w:rPr>
              <w:t>Įgyvendintos informavimo ir komunikacijos kampanijos</w:t>
            </w:r>
          </w:p>
        </w:tc>
        <w:tc>
          <w:tcPr>
            <w:tcW w:w="1134" w:type="dxa"/>
            <w:shd w:val="clear" w:color="auto" w:fill="auto"/>
            <w:vAlign w:val="center"/>
          </w:tcPr>
          <w:p w:rsidR="00385835" w:rsidRPr="00385835" w:rsidRDefault="00385835" w:rsidP="00385835">
            <w:pPr>
              <w:spacing w:after="0" w:line="240" w:lineRule="auto"/>
              <w:jc w:val="center"/>
              <w:rPr>
                <w:rFonts w:ascii="Times New Roman" w:hAnsi="Times New Roman"/>
                <w:sz w:val="20"/>
                <w:szCs w:val="20"/>
              </w:rPr>
            </w:pPr>
            <w:r w:rsidRPr="00385835">
              <w:rPr>
                <w:rFonts w:ascii="Times New Roman" w:hAnsi="Times New Roman"/>
                <w:sz w:val="20"/>
                <w:szCs w:val="20"/>
              </w:rPr>
              <w:t>Skaičius</w:t>
            </w:r>
          </w:p>
        </w:tc>
        <w:tc>
          <w:tcPr>
            <w:tcW w:w="1134" w:type="dxa"/>
            <w:shd w:val="clear" w:color="auto" w:fill="auto"/>
            <w:vAlign w:val="center"/>
          </w:tcPr>
          <w:p w:rsidR="00385835" w:rsidRPr="00385835" w:rsidRDefault="00385835" w:rsidP="00385835">
            <w:pPr>
              <w:spacing w:after="0" w:line="240" w:lineRule="auto"/>
              <w:jc w:val="center"/>
              <w:rPr>
                <w:rFonts w:ascii="Times New Roman" w:hAnsi="Times New Roman"/>
                <w:sz w:val="20"/>
                <w:szCs w:val="20"/>
              </w:rPr>
            </w:pPr>
            <w:r w:rsidRPr="00385835">
              <w:rPr>
                <w:rFonts w:ascii="Times New Roman" w:hAnsi="Times New Roman"/>
                <w:sz w:val="20"/>
                <w:szCs w:val="20"/>
              </w:rPr>
              <w:t>57</w:t>
            </w:r>
          </w:p>
        </w:tc>
        <w:tc>
          <w:tcPr>
            <w:tcW w:w="2091" w:type="dxa"/>
            <w:shd w:val="clear" w:color="auto" w:fill="auto"/>
            <w:vAlign w:val="center"/>
          </w:tcPr>
          <w:p w:rsidR="00385835" w:rsidRPr="00385835" w:rsidRDefault="00385835" w:rsidP="00385835">
            <w:pPr>
              <w:spacing w:after="0" w:line="240" w:lineRule="auto"/>
              <w:jc w:val="center"/>
              <w:rPr>
                <w:rFonts w:ascii="Times New Roman" w:hAnsi="Times New Roman"/>
                <w:sz w:val="20"/>
                <w:szCs w:val="20"/>
              </w:rPr>
            </w:pPr>
            <w:r w:rsidRPr="00385835">
              <w:rPr>
                <w:rFonts w:ascii="Times New Roman" w:hAnsi="Times New Roman"/>
                <w:sz w:val="20"/>
                <w:szCs w:val="20"/>
              </w:rPr>
              <w:t>Duomenys iš projektų</w:t>
            </w:r>
          </w:p>
        </w:tc>
      </w:tr>
      <w:tr w:rsidR="00385835" w:rsidRPr="00385835" w:rsidTr="00385835">
        <w:tblPrEx>
          <w:shd w:val="clear" w:color="auto" w:fill="auto"/>
        </w:tblPrEx>
        <w:tc>
          <w:tcPr>
            <w:tcW w:w="567" w:type="dxa"/>
            <w:shd w:val="clear" w:color="auto" w:fill="auto"/>
            <w:vAlign w:val="center"/>
          </w:tcPr>
          <w:p w:rsidR="00385835" w:rsidRPr="00385835" w:rsidRDefault="00385835" w:rsidP="00385835">
            <w:pPr>
              <w:spacing w:after="0" w:line="240" w:lineRule="auto"/>
              <w:jc w:val="center"/>
              <w:rPr>
                <w:rFonts w:ascii="Times New Roman" w:hAnsi="Times New Roman"/>
                <w:sz w:val="20"/>
                <w:szCs w:val="20"/>
              </w:rPr>
            </w:pPr>
            <w:r w:rsidRPr="00385835">
              <w:rPr>
                <w:rFonts w:ascii="Times New Roman" w:hAnsi="Times New Roman"/>
                <w:sz w:val="20"/>
                <w:szCs w:val="20"/>
              </w:rPr>
              <w:t>3.</w:t>
            </w:r>
          </w:p>
        </w:tc>
        <w:tc>
          <w:tcPr>
            <w:tcW w:w="4820" w:type="dxa"/>
            <w:shd w:val="clear" w:color="auto" w:fill="auto"/>
            <w:vAlign w:val="center"/>
          </w:tcPr>
          <w:p w:rsidR="00385835" w:rsidRPr="00385835" w:rsidRDefault="00385835" w:rsidP="00385835">
            <w:pPr>
              <w:spacing w:after="0" w:line="240" w:lineRule="auto"/>
              <w:rPr>
                <w:rFonts w:ascii="Times New Roman" w:hAnsi="Times New Roman"/>
                <w:sz w:val="20"/>
                <w:szCs w:val="20"/>
              </w:rPr>
            </w:pPr>
            <w:r w:rsidRPr="00385835">
              <w:rPr>
                <w:rFonts w:ascii="Times New Roman" w:hAnsi="Times New Roman"/>
                <w:sz w:val="20"/>
                <w:szCs w:val="20"/>
              </w:rPr>
              <w:t>ES fondų svetainėje apsilankiusių unikalių lankytojų vidutinis skaičius per metus</w:t>
            </w:r>
          </w:p>
        </w:tc>
        <w:tc>
          <w:tcPr>
            <w:tcW w:w="1134" w:type="dxa"/>
            <w:shd w:val="clear" w:color="auto" w:fill="auto"/>
            <w:vAlign w:val="center"/>
          </w:tcPr>
          <w:p w:rsidR="00385835" w:rsidRPr="00385835" w:rsidRDefault="00385835" w:rsidP="00385835">
            <w:pPr>
              <w:spacing w:after="0" w:line="240" w:lineRule="auto"/>
              <w:jc w:val="center"/>
              <w:rPr>
                <w:rFonts w:ascii="Times New Roman" w:hAnsi="Times New Roman"/>
                <w:sz w:val="20"/>
                <w:szCs w:val="20"/>
              </w:rPr>
            </w:pPr>
            <w:r w:rsidRPr="00385835">
              <w:rPr>
                <w:rFonts w:ascii="Times New Roman" w:hAnsi="Times New Roman"/>
                <w:sz w:val="20"/>
                <w:szCs w:val="20"/>
              </w:rPr>
              <w:t>Skaičius</w:t>
            </w:r>
          </w:p>
        </w:tc>
        <w:tc>
          <w:tcPr>
            <w:tcW w:w="1134" w:type="dxa"/>
            <w:shd w:val="clear" w:color="auto" w:fill="auto"/>
            <w:vAlign w:val="center"/>
          </w:tcPr>
          <w:p w:rsidR="00385835" w:rsidRPr="00385835" w:rsidRDefault="00385835" w:rsidP="0042276D">
            <w:pPr>
              <w:spacing w:after="0" w:line="240" w:lineRule="auto"/>
              <w:jc w:val="center"/>
              <w:rPr>
                <w:rFonts w:ascii="Times New Roman" w:hAnsi="Times New Roman"/>
                <w:sz w:val="20"/>
                <w:szCs w:val="20"/>
              </w:rPr>
            </w:pPr>
            <w:r w:rsidRPr="00385835">
              <w:rPr>
                <w:rFonts w:ascii="Times New Roman" w:hAnsi="Times New Roman"/>
                <w:sz w:val="20"/>
                <w:szCs w:val="20"/>
              </w:rPr>
              <w:t>200</w:t>
            </w:r>
            <w:r w:rsidR="00A50C23">
              <w:rPr>
                <w:rFonts w:ascii="Times New Roman" w:hAnsi="Times New Roman"/>
                <w:sz w:val="20"/>
                <w:szCs w:val="20"/>
              </w:rPr>
              <w:t>.</w:t>
            </w:r>
            <w:r w:rsidRPr="00385835">
              <w:rPr>
                <w:rFonts w:ascii="Times New Roman" w:hAnsi="Times New Roman"/>
                <w:sz w:val="20"/>
                <w:szCs w:val="20"/>
              </w:rPr>
              <w:t>000</w:t>
            </w:r>
          </w:p>
        </w:tc>
        <w:tc>
          <w:tcPr>
            <w:tcW w:w="2091" w:type="dxa"/>
            <w:shd w:val="clear" w:color="auto" w:fill="auto"/>
            <w:vAlign w:val="center"/>
          </w:tcPr>
          <w:p w:rsidR="00385835" w:rsidRPr="00385835" w:rsidRDefault="00385835" w:rsidP="00385835">
            <w:pPr>
              <w:spacing w:after="0" w:line="240" w:lineRule="auto"/>
              <w:jc w:val="center"/>
              <w:rPr>
                <w:rFonts w:ascii="Times New Roman" w:hAnsi="Times New Roman"/>
                <w:sz w:val="20"/>
                <w:szCs w:val="20"/>
              </w:rPr>
            </w:pPr>
            <w:r w:rsidRPr="00385835">
              <w:rPr>
                <w:rFonts w:ascii="Times New Roman" w:hAnsi="Times New Roman"/>
                <w:sz w:val="20"/>
                <w:szCs w:val="20"/>
              </w:rPr>
              <w:t>Duomenys iš interneto svetainių lankomumo analizės sistemos</w:t>
            </w:r>
          </w:p>
        </w:tc>
      </w:tr>
      <w:tr w:rsidR="00385835" w:rsidRPr="00385835" w:rsidTr="00385835">
        <w:tblPrEx>
          <w:shd w:val="clear" w:color="auto" w:fill="auto"/>
        </w:tblPrEx>
        <w:tc>
          <w:tcPr>
            <w:tcW w:w="567" w:type="dxa"/>
            <w:shd w:val="clear" w:color="auto" w:fill="auto"/>
            <w:vAlign w:val="center"/>
          </w:tcPr>
          <w:p w:rsidR="00385835" w:rsidRPr="00385835" w:rsidRDefault="00385835" w:rsidP="00385835">
            <w:pPr>
              <w:spacing w:after="0" w:line="240" w:lineRule="auto"/>
              <w:jc w:val="center"/>
              <w:rPr>
                <w:rFonts w:ascii="Times New Roman" w:hAnsi="Times New Roman"/>
                <w:sz w:val="20"/>
                <w:szCs w:val="20"/>
              </w:rPr>
            </w:pPr>
            <w:r w:rsidRPr="00385835">
              <w:rPr>
                <w:rFonts w:ascii="Times New Roman" w:hAnsi="Times New Roman"/>
                <w:sz w:val="20"/>
                <w:szCs w:val="20"/>
              </w:rPr>
              <w:t>4.</w:t>
            </w:r>
          </w:p>
        </w:tc>
        <w:tc>
          <w:tcPr>
            <w:tcW w:w="4820" w:type="dxa"/>
            <w:shd w:val="clear" w:color="auto" w:fill="auto"/>
            <w:vAlign w:val="center"/>
          </w:tcPr>
          <w:p w:rsidR="00385835" w:rsidRPr="00385835" w:rsidRDefault="00385835" w:rsidP="00385835">
            <w:pPr>
              <w:spacing w:after="0" w:line="240" w:lineRule="auto"/>
              <w:rPr>
                <w:rFonts w:ascii="Times New Roman" w:hAnsi="Times New Roman"/>
                <w:sz w:val="20"/>
                <w:szCs w:val="20"/>
              </w:rPr>
            </w:pPr>
            <w:r w:rsidRPr="00385835">
              <w:rPr>
                <w:rFonts w:ascii="Times New Roman" w:hAnsi="Times New Roman"/>
                <w:sz w:val="20"/>
                <w:szCs w:val="20"/>
              </w:rPr>
              <w:t>Atlikti vertinimai</w:t>
            </w:r>
          </w:p>
        </w:tc>
        <w:tc>
          <w:tcPr>
            <w:tcW w:w="1134" w:type="dxa"/>
            <w:shd w:val="clear" w:color="auto" w:fill="auto"/>
            <w:vAlign w:val="center"/>
          </w:tcPr>
          <w:p w:rsidR="00385835" w:rsidRPr="00385835" w:rsidRDefault="00385835" w:rsidP="00385835">
            <w:pPr>
              <w:spacing w:after="0" w:line="240" w:lineRule="auto"/>
              <w:jc w:val="center"/>
              <w:rPr>
                <w:rFonts w:ascii="Times New Roman" w:hAnsi="Times New Roman"/>
                <w:sz w:val="20"/>
                <w:szCs w:val="20"/>
              </w:rPr>
            </w:pPr>
            <w:r w:rsidRPr="00385835">
              <w:rPr>
                <w:rFonts w:ascii="Times New Roman" w:hAnsi="Times New Roman"/>
                <w:sz w:val="20"/>
                <w:szCs w:val="20"/>
              </w:rPr>
              <w:t>Skaičius</w:t>
            </w:r>
          </w:p>
        </w:tc>
        <w:tc>
          <w:tcPr>
            <w:tcW w:w="1134" w:type="dxa"/>
            <w:shd w:val="clear" w:color="auto" w:fill="auto"/>
            <w:vAlign w:val="center"/>
          </w:tcPr>
          <w:p w:rsidR="00385835" w:rsidRPr="00385835" w:rsidRDefault="00385835" w:rsidP="00385835">
            <w:pPr>
              <w:spacing w:after="0" w:line="240" w:lineRule="auto"/>
              <w:jc w:val="center"/>
              <w:rPr>
                <w:rFonts w:ascii="Times New Roman" w:hAnsi="Times New Roman"/>
                <w:sz w:val="20"/>
                <w:szCs w:val="20"/>
              </w:rPr>
            </w:pPr>
            <w:r w:rsidRPr="00385835">
              <w:rPr>
                <w:rFonts w:ascii="Times New Roman" w:hAnsi="Times New Roman"/>
                <w:sz w:val="20"/>
                <w:szCs w:val="20"/>
              </w:rPr>
              <w:t>70</w:t>
            </w:r>
          </w:p>
        </w:tc>
        <w:tc>
          <w:tcPr>
            <w:tcW w:w="2091" w:type="dxa"/>
            <w:shd w:val="clear" w:color="auto" w:fill="auto"/>
            <w:vAlign w:val="center"/>
          </w:tcPr>
          <w:p w:rsidR="00385835" w:rsidRPr="00385835" w:rsidRDefault="00385835" w:rsidP="00385835">
            <w:pPr>
              <w:spacing w:after="0" w:line="240" w:lineRule="auto"/>
              <w:jc w:val="center"/>
              <w:rPr>
                <w:rFonts w:ascii="Times New Roman" w:hAnsi="Times New Roman"/>
                <w:sz w:val="20"/>
                <w:szCs w:val="20"/>
              </w:rPr>
            </w:pPr>
            <w:r w:rsidRPr="00385835">
              <w:rPr>
                <w:rFonts w:ascii="Times New Roman" w:hAnsi="Times New Roman"/>
                <w:sz w:val="20"/>
                <w:szCs w:val="20"/>
              </w:rPr>
              <w:t>Duomenys iš projektų</w:t>
            </w:r>
          </w:p>
        </w:tc>
      </w:tr>
    </w:tbl>
    <w:p w:rsidR="00AC33BC" w:rsidRPr="00385835" w:rsidRDefault="00AC33BC" w:rsidP="00385835">
      <w:pPr>
        <w:tabs>
          <w:tab w:val="left" w:pos="2410"/>
        </w:tabs>
        <w:spacing w:after="0" w:line="240" w:lineRule="auto"/>
        <w:jc w:val="both"/>
        <w:rPr>
          <w:rFonts w:ascii="Times New Roman" w:hAnsi="Times New Roman"/>
          <w:bCs/>
          <w:iCs/>
          <w:sz w:val="24"/>
          <w:szCs w:val="24"/>
        </w:rPr>
      </w:pPr>
    </w:p>
    <w:p w:rsidR="00596570" w:rsidRPr="002447B3" w:rsidRDefault="00596570" w:rsidP="00596570">
      <w:pPr>
        <w:widowControl w:val="0"/>
        <w:tabs>
          <w:tab w:val="left" w:pos="622"/>
        </w:tabs>
        <w:spacing w:after="0" w:line="240" w:lineRule="auto"/>
        <w:jc w:val="both"/>
        <w:rPr>
          <w:rFonts w:ascii="Times New Roman" w:hAnsi="Times New Roman"/>
          <w:b/>
          <w:bCs/>
          <w:iCs/>
          <w:sz w:val="18"/>
          <w:szCs w:val="18"/>
        </w:rPr>
      </w:pPr>
      <w:r w:rsidRPr="002447B3">
        <w:rPr>
          <w:rFonts w:ascii="Times New Roman" w:eastAsia="AngsanaUPC" w:hAnsi="Times New Roman"/>
          <w:b/>
          <w:bCs/>
          <w:i/>
          <w:iCs/>
          <w:sz w:val="24"/>
          <w:szCs w:val="24"/>
          <w:lang w:eastAsia="lt-LT"/>
        </w:rPr>
        <w:t>Numatomas išlaidų pasiskirstymas pagal kategorijas</w:t>
      </w:r>
    </w:p>
    <w:p w:rsidR="00596570" w:rsidRPr="002447B3" w:rsidRDefault="00596570" w:rsidP="00596570">
      <w:pPr>
        <w:widowControl w:val="0"/>
        <w:tabs>
          <w:tab w:val="left" w:pos="622"/>
        </w:tabs>
        <w:spacing w:after="0" w:line="240" w:lineRule="auto"/>
        <w:jc w:val="both"/>
        <w:rPr>
          <w:rFonts w:ascii="Times New Roman" w:hAnsi="Times New Roman"/>
          <w:b/>
          <w:bCs/>
          <w:iCs/>
          <w:sz w:val="18"/>
          <w:szCs w:val="1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09"/>
        <w:gridCol w:w="6378"/>
        <w:gridCol w:w="1843"/>
      </w:tblGrid>
      <w:tr w:rsidR="00596570" w:rsidRPr="002447B3" w:rsidTr="009D62C6">
        <w:trPr>
          <w:tblHeader/>
        </w:trPr>
        <w:tc>
          <w:tcPr>
            <w:tcW w:w="9781" w:type="dxa"/>
            <w:gridSpan w:val="4"/>
            <w:shd w:val="clear" w:color="auto" w:fill="EEECE1"/>
            <w:vAlign w:val="center"/>
          </w:tcPr>
          <w:p w:rsidR="00596570" w:rsidRPr="002447B3" w:rsidRDefault="00596570" w:rsidP="009D62C6">
            <w:pPr>
              <w:widowControl w:val="0"/>
              <w:tabs>
                <w:tab w:val="left" w:pos="622"/>
              </w:tabs>
              <w:spacing w:after="0" w:line="240" w:lineRule="auto"/>
              <w:jc w:val="both"/>
              <w:rPr>
                <w:rFonts w:ascii="Times New Roman" w:hAnsi="Times New Roman"/>
                <w:b/>
                <w:bCs/>
                <w:i/>
                <w:iCs/>
                <w:sz w:val="18"/>
                <w:szCs w:val="18"/>
              </w:rPr>
            </w:pPr>
            <w:r w:rsidRPr="002447B3">
              <w:rPr>
                <w:rFonts w:ascii="Times New Roman" w:hAnsi="Times New Roman"/>
                <w:b/>
                <w:bCs/>
                <w:i/>
                <w:iCs/>
                <w:sz w:val="18"/>
                <w:szCs w:val="18"/>
              </w:rPr>
              <w:t>Intervencinių veiksmų sritis</w:t>
            </w:r>
          </w:p>
        </w:tc>
      </w:tr>
      <w:tr w:rsidR="00596570" w:rsidRPr="002447B3" w:rsidTr="00386A96">
        <w:tc>
          <w:tcPr>
            <w:tcW w:w="851" w:type="dxa"/>
            <w:shd w:val="clear" w:color="auto" w:fill="EEECE1"/>
            <w:vAlign w:val="center"/>
          </w:tcPr>
          <w:p w:rsidR="00596570" w:rsidRPr="002447B3" w:rsidRDefault="00596570" w:rsidP="009D62C6">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Fondas</w:t>
            </w:r>
          </w:p>
        </w:tc>
        <w:tc>
          <w:tcPr>
            <w:tcW w:w="709" w:type="dxa"/>
            <w:shd w:val="clear" w:color="auto" w:fill="EEECE1"/>
            <w:vAlign w:val="center"/>
          </w:tcPr>
          <w:p w:rsidR="00596570" w:rsidRPr="002447B3" w:rsidRDefault="00596570" w:rsidP="009D62C6">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Kodas</w:t>
            </w:r>
          </w:p>
        </w:tc>
        <w:tc>
          <w:tcPr>
            <w:tcW w:w="6378" w:type="dxa"/>
            <w:shd w:val="clear" w:color="auto" w:fill="EEECE1"/>
            <w:vAlign w:val="center"/>
          </w:tcPr>
          <w:p w:rsidR="00596570" w:rsidRPr="002447B3" w:rsidRDefault="00596570" w:rsidP="009D62C6">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Pavadinimas</w:t>
            </w:r>
          </w:p>
        </w:tc>
        <w:tc>
          <w:tcPr>
            <w:tcW w:w="1843" w:type="dxa"/>
            <w:shd w:val="clear" w:color="auto" w:fill="EEECE1"/>
            <w:vAlign w:val="center"/>
          </w:tcPr>
          <w:p w:rsidR="00596570" w:rsidRPr="002447B3" w:rsidRDefault="00596570" w:rsidP="009D62C6">
            <w:pPr>
              <w:widowControl w:val="0"/>
              <w:tabs>
                <w:tab w:val="left" w:pos="622"/>
              </w:tabs>
              <w:spacing w:after="0" w:line="240" w:lineRule="auto"/>
              <w:jc w:val="center"/>
              <w:rPr>
                <w:rFonts w:ascii="Times New Roman" w:hAnsi="Times New Roman"/>
                <w:b/>
                <w:bCs/>
                <w:iCs/>
                <w:sz w:val="18"/>
                <w:szCs w:val="18"/>
              </w:rPr>
            </w:pPr>
            <w:r w:rsidRPr="002447B3">
              <w:rPr>
                <w:rFonts w:ascii="Times New Roman" w:hAnsi="Times New Roman"/>
                <w:b/>
                <w:bCs/>
                <w:iCs/>
                <w:sz w:val="18"/>
                <w:szCs w:val="18"/>
              </w:rPr>
              <w:t>Finansinė proporcija (eurais)</w:t>
            </w:r>
          </w:p>
        </w:tc>
      </w:tr>
      <w:tr w:rsidR="00596570" w:rsidRPr="002447B3" w:rsidTr="00386A96">
        <w:tc>
          <w:tcPr>
            <w:tcW w:w="851" w:type="dxa"/>
            <w:shd w:val="clear" w:color="auto" w:fill="auto"/>
            <w:vAlign w:val="center"/>
          </w:tcPr>
          <w:p w:rsidR="00596570" w:rsidRPr="002447B3" w:rsidRDefault="00596570" w:rsidP="009D62C6">
            <w:pPr>
              <w:widowControl w:val="0"/>
              <w:tabs>
                <w:tab w:val="left" w:pos="622"/>
              </w:tabs>
              <w:spacing w:after="0" w:line="240" w:lineRule="auto"/>
              <w:rPr>
                <w:rFonts w:ascii="Times New Roman" w:eastAsia="AngsanaUPC" w:hAnsi="Times New Roman"/>
                <w:bCs/>
                <w:sz w:val="20"/>
                <w:szCs w:val="20"/>
                <w:lang w:val="en-GB" w:eastAsia="lt-LT"/>
              </w:rPr>
            </w:pPr>
            <w:r w:rsidRPr="002447B3">
              <w:rPr>
                <w:rFonts w:ascii="Times New Roman" w:eastAsia="AngsanaUPC" w:hAnsi="Times New Roman"/>
                <w:bCs/>
                <w:sz w:val="20"/>
                <w:szCs w:val="20"/>
                <w:lang w:val="en-GB" w:eastAsia="lt-LT"/>
              </w:rPr>
              <w:t>ESF</w:t>
            </w:r>
          </w:p>
        </w:tc>
        <w:tc>
          <w:tcPr>
            <w:tcW w:w="709" w:type="dxa"/>
            <w:shd w:val="clear" w:color="auto" w:fill="auto"/>
            <w:vAlign w:val="center"/>
          </w:tcPr>
          <w:p w:rsidR="00596570" w:rsidRPr="002447B3" w:rsidRDefault="00596570" w:rsidP="00596570">
            <w:pPr>
              <w:widowControl w:val="0"/>
              <w:tabs>
                <w:tab w:val="left" w:pos="622"/>
              </w:tabs>
              <w:spacing w:after="0" w:line="240" w:lineRule="auto"/>
              <w:rPr>
                <w:rFonts w:ascii="Times New Roman" w:eastAsia="AngsanaUPC" w:hAnsi="Times New Roman"/>
                <w:bCs/>
                <w:sz w:val="20"/>
                <w:szCs w:val="20"/>
                <w:lang w:val="en-GB" w:eastAsia="lt-LT"/>
              </w:rPr>
            </w:pPr>
            <w:r w:rsidRPr="002447B3">
              <w:rPr>
                <w:rFonts w:ascii="Times New Roman" w:eastAsia="AngsanaUPC" w:hAnsi="Times New Roman"/>
                <w:bCs/>
                <w:sz w:val="20"/>
                <w:szCs w:val="20"/>
                <w:lang w:val="en-GB" w:eastAsia="lt-LT"/>
              </w:rPr>
              <w:t>122</w:t>
            </w:r>
          </w:p>
        </w:tc>
        <w:tc>
          <w:tcPr>
            <w:tcW w:w="6378" w:type="dxa"/>
            <w:shd w:val="clear" w:color="auto" w:fill="auto"/>
            <w:vAlign w:val="center"/>
          </w:tcPr>
          <w:p w:rsidR="00596570" w:rsidRPr="002447B3" w:rsidRDefault="00596570" w:rsidP="009D62C6">
            <w:pPr>
              <w:widowControl w:val="0"/>
              <w:tabs>
                <w:tab w:val="left" w:pos="622"/>
              </w:tabs>
              <w:spacing w:after="0" w:line="240" w:lineRule="auto"/>
              <w:rPr>
                <w:rFonts w:ascii="Times New Roman" w:eastAsia="AngsanaUPC" w:hAnsi="Times New Roman"/>
                <w:bCs/>
                <w:sz w:val="18"/>
                <w:szCs w:val="18"/>
                <w:lang w:eastAsia="lt-LT"/>
              </w:rPr>
            </w:pPr>
            <w:r w:rsidRPr="002447B3">
              <w:rPr>
                <w:rFonts w:ascii="Times New Roman" w:eastAsia="AngsanaUPC" w:hAnsi="Times New Roman"/>
                <w:bCs/>
                <w:sz w:val="18"/>
                <w:szCs w:val="18"/>
                <w:lang w:eastAsia="lt-LT"/>
              </w:rPr>
              <w:t>Vertinimas ir tyrimai</w:t>
            </w:r>
          </w:p>
        </w:tc>
        <w:tc>
          <w:tcPr>
            <w:tcW w:w="1843" w:type="dxa"/>
            <w:shd w:val="clear" w:color="auto" w:fill="auto"/>
            <w:vAlign w:val="center"/>
          </w:tcPr>
          <w:p w:rsidR="00596570" w:rsidRPr="002447B3" w:rsidRDefault="00596570" w:rsidP="0042276D">
            <w:pPr>
              <w:widowControl w:val="0"/>
              <w:tabs>
                <w:tab w:val="left" w:pos="622"/>
              </w:tabs>
              <w:spacing w:after="0" w:line="240" w:lineRule="auto"/>
              <w:jc w:val="right"/>
              <w:rPr>
                <w:rFonts w:ascii="Times New Roman" w:eastAsia="AngsanaUPC" w:hAnsi="Times New Roman"/>
                <w:bCs/>
                <w:sz w:val="20"/>
                <w:szCs w:val="20"/>
                <w:lang w:val="en-GB" w:eastAsia="lt-LT"/>
              </w:rPr>
            </w:pPr>
            <w:r w:rsidRPr="002447B3">
              <w:rPr>
                <w:rFonts w:ascii="Times New Roman" w:eastAsia="AngsanaUPC" w:hAnsi="Times New Roman"/>
                <w:bCs/>
                <w:sz w:val="20"/>
                <w:szCs w:val="20"/>
                <w:lang w:val="en-GB" w:eastAsia="lt-LT"/>
              </w:rPr>
              <w:t>5</w:t>
            </w:r>
            <w:r w:rsidR="00A50C23">
              <w:rPr>
                <w:rFonts w:ascii="Times New Roman" w:eastAsia="AngsanaUPC" w:hAnsi="Times New Roman"/>
                <w:bCs/>
                <w:sz w:val="20"/>
                <w:szCs w:val="20"/>
                <w:lang w:val="en-GB" w:eastAsia="lt-LT"/>
              </w:rPr>
              <w:t>.</w:t>
            </w:r>
            <w:r w:rsidRPr="002447B3">
              <w:rPr>
                <w:rFonts w:ascii="Times New Roman" w:eastAsia="AngsanaUPC" w:hAnsi="Times New Roman"/>
                <w:bCs/>
                <w:sz w:val="20"/>
                <w:szCs w:val="20"/>
                <w:lang w:val="en-GB" w:eastAsia="lt-LT"/>
              </w:rPr>
              <w:t>792</w:t>
            </w:r>
            <w:r w:rsidR="00A50C23">
              <w:rPr>
                <w:rFonts w:ascii="Times New Roman" w:eastAsia="AngsanaUPC" w:hAnsi="Times New Roman"/>
                <w:bCs/>
                <w:sz w:val="20"/>
                <w:szCs w:val="20"/>
                <w:lang w:val="en-GB" w:eastAsia="lt-LT"/>
              </w:rPr>
              <w:t>.</w:t>
            </w:r>
            <w:r w:rsidRPr="002447B3">
              <w:rPr>
                <w:rFonts w:ascii="Times New Roman" w:eastAsia="AngsanaUPC" w:hAnsi="Times New Roman"/>
                <w:bCs/>
                <w:sz w:val="20"/>
                <w:szCs w:val="20"/>
                <w:lang w:val="en-GB" w:eastAsia="lt-LT"/>
              </w:rPr>
              <w:t>400</w:t>
            </w:r>
          </w:p>
        </w:tc>
      </w:tr>
      <w:tr w:rsidR="00596570" w:rsidRPr="002447B3" w:rsidTr="00386A96">
        <w:tc>
          <w:tcPr>
            <w:tcW w:w="851" w:type="dxa"/>
            <w:shd w:val="clear" w:color="auto" w:fill="auto"/>
            <w:vAlign w:val="center"/>
          </w:tcPr>
          <w:p w:rsidR="00596570" w:rsidRPr="002447B3" w:rsidRDefault="00596570" w:rsidP="009D62C6">
            <w:pPr>
              <w:widowControl w:val="0"/>
              <w:tabs>
                <w:tab w:val="left" w:pos="622"/>
              </w:tabs>
              <w:spacing w:after="0" w:line="240" w:lineRule="auto"/>
              <w:rPr>
                <w:rFonts w:ascii="Times New Roman" w:eastAsia="AngsanaUPC" w:hAnsi="Times New Roman"/>
                <w:bCs/>
                <w:sz w:val="20"/>
                <w:szCs w:val="20"/>
                <w:lang w:val="en-GB" w:eastAsia="lt-LT"/>
              </w:rPr>
            </w:pPr>
            <w:r w:rsidRPr="002447B3">
              <w:rPr>
                <w:rFonts w:ascii="Times New Roman" w:eastAsia="AngsanaUPC" w:hAnsi="Times New Roman"/>
                <w:bCs/>
                <w:sz w:val="20"/>
                <w:szCs w:val="20"/>
                <w:lang w:val="en-GB" w:eastAsia="lt-LT"/>
              </w:rPr>
              <w:t>ESF</w:t>
            </w:r>
          </w:p>
        </w:tc>
        <w:tc>
          <w:tcPr>
            <w:tcW w:w="709" w:type="dxa"/>
            <w:shd w:val="clear" w:color="auto" w:fill="auto"/>
            <w:vAlign w:val="center"/>
          </w:tcPr>
          <w:p w:rsidR="00596570" w:rsidRPr="002447B3" w:rsidRDefault="00596570" w:rsidP="009D62C6">
            <w:pPr>
              <w:widowControl w:val="0"/>
              <w:tabs>
                <w:tab w:val="left" w:pos="622"/>
              </w:tabs>
              <w:spacing w:after="0" w:line="240" w:lineRule="auto"/>
              <w:rPr>
                <w:rFonts w:ascii="Times New Roman" w:eastAsia="AngsanaUPC" w:hAnsi="Times New Roman"/>
                <w:bCs/>
                <w:sz w:val="20"/>
                <w:szCs w:val="20"/>
                <w:lang w:val="en-GB" w:eastAsia="lt-LT"/>
              </w:rPr>
            </w:pPr>
            <w:r w:rsidRPr="002447B3">
              <w:rPr>
                <w:rFonts w:ascii="Times New Roman" w:eastAsia="AngsanaUPC" w:hAnsi="Times New Roman"/>
                <w:bCs/>
                <w:sz w:val="20"/>
                <w:szCs w:val="20"/>
                <w:lang w:val="en-GB" w:eastAsia="lt-LT"/>
              </w:rPr>
              <w:t>123</w:t>
            </w:r>
          </w:p>
        </w:tc>
        <w:tc>
          <w:tcPr>
            <w:tcW w:w="6378" w:type="dxa"/>
            <w:shd w:val="clear" w:color="auto" w:fill="auto"/>
            <w:vAlign w:val="center"/>
          </w:tcPr>
          <w:p w:rsidR="00596570" w:rsidRPr="002447B3" w:rsidRDefault="00596570" w:rsidP="009D62C6">
            <w:pPr>
              <w:widowControl w:val="0"/>
              <w:tabs>
                <w:tab w:val="left" w:pos="622"/>
              </w:tabs>
              <w:spacing w:after="0" w:line="240" w:lineRule="auto"/>
              <w:rPr>
                <w:rFonts w:ascii="Times New Roman" w:eastAsia="AngsanaUPC" w:hAnsi="Times New Roman"/>
                <w:bCs/>
                <w:sz w:val="18"/>
                <w:szCs w:val="18"/>
                <w:lang w:eastAsia="lt-LT"/>
              </w:rPr>
            </w:pPr>
            <w:r w:rsidRPr="002447B3">
              <w:rPr>
                <w:rFonts w:ascii="Times New Roman" w:eastAsia="AngsanaUPC" w:hAnsi="Times New Roman"/>
                <w:bCs/>
                <w:sz w:val="18"/>
                <w:szCs w:val="18"/>
                <w:lang w:eastAsia="lt-LT"/>
              </w:rPr>
              <w:t>Informavimas ir komunikacija</w:t>
            </w:r>
          </w:p>
        </w:tc>
        <w:tc>
          <w:tcPr>
            <w:tcW w:w="1843" w:type="dxa"/>
            <w:shd w:val="clear" w:color="auto" w:fill="auto"/>
            <w:vAlign w:val="center"/>
          </w:tcPr>
          <w:p w:rsidR="00596570" w:rsidRPr="002447B3" w:rsidRDefault="00596570" w:rsidP="0042276D">
            <w:pPr>
              <w:widowControl w:val="0"/>
              <w:tabs>
                <w:tab w:val="left" w:pos="622"/>
              </w:tabs>
              <w:spacing w:after="0" w:line="240" w:lineRule="auto"/>
              <w:jc w:val="right"/>
              <w:rPr>
                <w:rFonts w:ascii="Times New Roman" w:eastAsia="AngsanaUPC" w:hAnsi="Times New Roman"/>
                <w:bCs/>
                <w:sz w:val="20"/>
                <w:szCs w:val="20"/>
                <w:lang w:val="en-GB" w:eastAsia="lt-LT"/>
              </w:rPr>
            </w:pPr>
            <w:r w:rsidRPr="002447B3">
              <w:rPr>
                <w:rFonts w:ascii="Times New Roman" w:eastAsia="AngsanaUPC" w:hAnsi="Times New Roman"/>
                <w:bCs/>
                <w:sz w:val="20"/>
                <w:szCs w:val="20"/>
                <w:lang w:val="en-GB" w:eastAsia="lt-LT"/>
              </w:rPr>
              <w:t>20</w:t>
            </w:r>
            <w:r w:rsidR="00A50C23">
              <w:rPr>
                <w:rFonts w:ascii="Times New Roman" w:eastAsia="AngsanaUPC" w:hAnsi="Times New Roman"/>
                <w:bCs/>
                <w:sz w:val="20"/>
                <w:szCs w:val="20"/>
                <w:lang w:val="en-GB" w:eastAsia="lt-LT"/>
              </w:rPr>
              <w:t>.</w:t>
            </w:r>
            <w:r w:rsidRPr="002447B3">
              <w:rPr>
                <w:rFonts w:ascii="Times New Roman" w:eastAsia="AngsanaUPC" w:hAnsi="Times New Roman"/>
                <w:bCs/>
                <w:sz w:val="20"/>
                <w:szCs w:val="20"/>
                <w:lang w:val="en-GB" w:eastAsia="lt-LT"/>
              </w:rPr>
              <w:t>019</w:t>
            </w:r>
            <w:r w:rsidR="00A50C23">
              <w:rPr>
                <w:rFonts w:ascii="Times New Roman" w:eastAsia="AngsanaUPC" w:hAnsi="Times New Roman"/>
                <w:bCs/>
                <w:sz w:val="20"/>
                <w:szCs w:val="20"/>
                <w:lang w:val="en-GB" w:eastAsia="lt-LT"/>
              </w:rPr>
              <w:t>.</w:t>
            </w:r>
            <w:r w:rsidRPr="002447B3">
              <w:rPr>
                <w:rFonts w:ascii="Times New Roman" w:eastAsia="AngsanaUPC" w:hAnsi="Times New Roman"/>
                <w:bCs/>
                <w:sz w:val="20"/>
                <w:szCs w:val="20"/>
                <w:lang w:val="en-GB" w:eastAsia="lt-LT"/>
              </w:rPr>
              <w:t>783</w:t>
            </w:r>
          </w:p>
        </w:tc>
      </w:tr>
    </w:tbl>
    <w:p w:rsidR="00596570" w:rsidRPr="002447B3" w:rsidRDefault="00596570" w:rsidP="00596570">
      <w:pPr>
        <w:widowControl w:val="0"/>
        <w:tabs>
          <w:tab w:val="left" w:pos="622"/>
        </w:tabs>
        <w:spacing w:after="0" w:line="240" w:lineRule="auto"/>
        <w:jc w:val="both"/>
        <w:rPr>
          <w:rFonts w:ascii="Times New Roman" w:hAnsi="Times New Roman"/>
          <w:iCs/>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9"/>
        <w:gridCol w:w="6378"/>
        <w:gridCol w:w="1808"/>
      </w:tblGrid>
      <w:tr w:rsidR="00596570" w:rsidRPr="002447B3" w:rsidTr="009D62C6">
        <w:tc>
          <w:tcPr>
            <w:tcW w:w="9746" w:type="dxa"/>
            <w:gridSpan w:val="4"/>
            <w:shd w:val="clear" w:color="auto" w:fill="EEECE1"/>
          </w:tcPr>
          <w:p w:rsidR="00596570" w:rsidRPr="002447B3" w:rsidRDefault="00596570" w:rsidP="009D62C6">
            <w:pPr>
              <w:widowControl w:val="0"/>
              <w:tabs>
                <w:tab w:val="left" w:pos="622"/>
              </w:tabs>
              <w:spacing w:after="0" w:line="240" w:lineRule="auto"/>
              <w:jc w:val="both"/>
              <w:rPr>
                <w:rFonts w:ascii="Times New Roman" w:hAnsi="Times New Roman"/>
                <w:i/>
                <w:iCs/>
                <w:sz w:val="18"/>
                <w:szCs w:val="18"/>
              </w:rPr>
            </w:pPr>
            <w:r w:rsidRPr="002447B3">
              <w:rPr>
                <w:rFonts w:ascii="Times New Roman" w:hAnsi="Times New Roman"/>
                <w:b/>
                <w:bCs/>
                <w:i/>
                <w:iCs/>
                <w:sz w:val="18"/>
                <w:szCs w:val="18"/>
              </w:rPr>
              <w:t>Finansavimo forma</w:t>
            </w:r>
          </w:p>
        </w:tc>
      </w:tr>
      <w:tr w:rsidR="00596570" w:rsidRPr="002447B3" w:rsidTr="00386A96">
        <w:tc>
          <w:tcPr>
            <w:tcW w:w="851" w:type="dxa"/>
            <w:shd w:val="clear" w:color="auto" w:fill="EEECE1"/>
            <w:vAlign w:val="center"/>
          </w:tcPr>
          <w:p w:rsidR="00596570" w:rsidRPr="002447B3" w:rsidRDefault="00596570" w:rsidP="009D62C6">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Fondas</w:t>
            </w:r>
          </w:p>
        </w:tc>
        <w:tc>
          <w:tcPr>
            <w:tcW w:w="709" w:type="dxa"/>
            <w:shd w:val="clear" w:color="auto" w:fill="EEECE1"/>
            <w:vAlign w:val="center"/>
          </w:tcPr>
          <w:p w:rsidR="00596570" w:rsidRPr="002447B3" w:rsidRDefault="00596570" w:rsidP="009D62C6">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Kodas</w:t>
            </w:r>
          </w:p>
        </w:tc>
        <w:tc>
          <w:tcPr>
            <w:tcW w:w="6378" w:type="dxa"/>
            <w:shd w:val="clear" w:color="auto" w:fill="EEECE1"/>
            <w:vAlign w:val="center"/>
          </w:tcPr>
          <w:p w:rsidR="00596570" w:rsidRPr="002447B3" w:rsidRDefault="00596570" w:rsidP="009D62C6">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Pavadinimas</w:t>
            </w:r>
          </w:p>
        </w:tc>
        <w:tc>
          <w:tcPr>
            <w:tcW w:w="1808" w:type="dxa"/>
            <w:shd w:val="clear" w:color="auto" w:fill="EEECE1"/>
            <w:vAlign w:val="center"/>
          </w:tcPr>
          <w:p w:rsidR="00596570" w:rsidRPr="002447B3" w:rsidRDefault="00596570" w:rsidP="009D62C6">
            <w:pPr>
              <w:widowControl w:val="0"/>
              <w:tabs>
                <w:tab w:val="left" w:pos="622"/>
              </w:tabs>
              <w:spacing w:after="0" w:line="240" w:lineRule="auto"/>
              <w:jc w:val="center"/>
              <w:rPr>
                <w:rFonts w:ascii="Times New Roman" w:hAnsi="Times New Roman"/>
                <w:b/>
                <w:bCs/>
                <w:iCs/>
                <w:sz w:val="18"/>
                <w:szCs w:val="18"/>
              </w:rPr>
            </w:pPr>
            <w:r w:rsidRPr="002447B3">
              <w:rPr>
                <w:rFonts w:ascii="Times New Roman" w:hAnsi="Times New Roman"/>
                <w:b/>
                <w:bCs/>
                <w:iCs/>
                <w:sz w:val="18"/>
                <w:szCs w:val="18"/>
              </w:rPr>
              <w:t>Finansinė proporcija (eurais)</w:t>
            </w:r>
          </w:p>
        </w:tc>
      </w:tr>
      <w:tr w:rsidR="00596570" w:rsidRPr="002447B3" w:rsidTr="00386A96">
        <w:tc>
          <w:tcPr>
            <w:tcW w:w="851" w:type="dxa"/>
            <w:shd w:val="clear" w:color="auto" w:fill="auto"/>
            <w:vAlign w:val="center"/>
          </w:tcPr>
          <w:p w:rsidR="00596570" w:rsidRPr="002447B3" w:rsidRDefault="00596570" w:rsidP="009D62C6">
            <w:pPr>
              <w:widowControl w:val="0"/>
              <w:tabs>
                <w:tab w:val="left" w:pos="622"/>
              </w:tabs>
              <w:spacing w:after="0" w:line="240" w:lineRule="auto"/>
              <w:rPr>
                <w:rFonts w:ascii="Times New Roman" w:eastAsia="AngsanaUPC" w:hAnsi="Times New Roman"/>
                <w:bCs/>
                <w:sz w:val="20"/>
                <w:szCs w:val="20"/>
                <w:lang w:val="en-GB" w:eastAsia="lt-LT"/>
              </w:rPr>
            </w:pPr>
            <w:r w:rsidRPr="002447B3">
              <w:rPr>
                <w:rFonts w:ascii="Times New Roman" w:eastAsia="AngsanaUPC" w:hAnsi="Times New Roman"/>
                <w:bCs/>
                <w:sz w:val="20"/>
                <w:szCs w:val="20"/>
                <w:lang w:val="en-GB" w:eastAsia="lt-LT"/>
              </w:rPr>
              <w:t>ESF</w:t>
            </w:r>
          </w:p>
        </w:tc>
        <w:tc>
          <w:tcPr>
            <w:tcW w:w="709" w:type="dxa"/>
            <w:shd w:val="clear" w:color="auto" w:fill="auto"/>
            <w:vAlign w:val="center"/>
          </w:tcPr>
          <w:p w:rsidR="00596570" w:rsidRPr="002447B3" w:rsidRDefault="00596570" w:rsidP="009D62C6">
            <w:pPr>
              <w:widowControl w:val="0"/>
              <w:tabs>
                <w:tab w:val="left" w:pos="622"/>
              </w:tabs>
              <w:spacing w:after="0" w:line="240" w:lineRule="auto"/>
              <w:rPr>
                <w:rFonts w:ascii="Times New Roman" w:eastAsia="AngsanaUPC" w:hAnsi="Times New Roman"/>
                <w:bCs/>
                <w:sz w:val="20"/>
                <w:szCs w:val="20"/>
                <w:lang w:eastAsia="lt-LT"/>
              </w:rPr>
            </w:pPr>
            <w:r w:rsidRPr="002447B3">
              <w:rPr>
                <w:rFonts w:ascii="Times New Roman" w:eastAsia="AngsanaUPC" w:hAnsi="Times New Roman"/>
                <w:bCs/>
                <w:sz w:val="20"/>
                <w:szCs w:val="20"/>
                <w:lang w:eastAsia="lt-LT"/>
              </w:rPr>
              <w:t>01</w:t>
            </w:r>
          </w:p>
        </w:tc>
        <w:tc>
          <w:tcPr>
            <w:tcW w:w="6378" w:type="dxa"/>
            <w:shd w:val="clear" w:color="auto" w:fill="auto"/>
            <w:vAlign w:val="center"/>
          </w:tcPr>
          <w:p w:rsidR="00596570" w:rsidRPr="002447B3" w:rsidRDefault="00596570" w:rsidP="009D62C6">
            <w:pPr>
              <w:widowControl w:val="0"/>
              <w:tabs>
                <w:tab w:val="left" w:pos="622"/>
              </w:tabs>
              <w:spacing w:after="0" w:line="240" w:lineRule="auto"/>
              <w:rPr>
                <w:rFonts w:ascii="Times New Roman" w:eastAsia="AngsanaUPC" w:hAnsi="Times New Roman"/>
                <w:bCs/>
                <w:sz w:val="18"/>
                <w:szCs w:val="18"/>
                <w:lang w:eastAsia="lt-LT"/>
              </w:rPr>
            </w:pPr>
            <w:r w:rsidRPr="002447B3">
              <w:rPr>
                <w:rFonts w:ascii="Times New Roman" w:eastAsia="AngsanaUPC" w:hAnsi="Times New Roman"/>
                <w:bCs/>
                <w:sz w:val="18"/>
                <w:szCs w:val="18"/>
                <w:lang w:eastAsia="lt-LT"/>
              </w:rPr>
              <w:t>Negrąžinamoji subsidija</w:t>
            </w:r>
          </w:p>
        </w:tc>
        <w:tc>
          <w:tcPr>
            <w:tcW w:w="1808" w:type="dxa"/>
            <w:shd w:val="clear" w:color="auto" w:fill="auto"/>
            <w:vAlign w:val="center"/>
          </w:tcPr>
          <w:p w:rsidR="00596570" w:rsidRPr="002447B3" w:rsidRDefault="00596570" w:rsidP="0042276D">
            <w:pPr>
              <w:widowControl w:val="0"/>
              <w:tabs>
                <w:tab w:val="left" w:pos="622"/>
              </w:tabs>
              <w:spacing w:after="0" w:line="240" w:lineRule="auto"/>
              <w:jc w:val="right"/>
              <w:rPr>
                <w:rFonts w:ascii="Times New Roman" w:eastAsia="AngsanaUPC" w:hAnsi="Times New Roman"/>
                <w:bCs/>
                <w:sz w:val="20"/>
                <w:szCs w:val="20"/>
                <w:lang w:val="en-GB" w:eastAsia="lt-LT"/>
              </w:rPr>
            </w:pPr>
            <w:r w:rsidRPr="002447B3">
              <w:rPr>
                <w:rFonts w:ascii="Times New Roman" w:eastAsia="AngsanaUPC" w:hAnsi="Times New Roman"/>
                <w:bCs/>
                <w:sz w:val="20"/>
                <w:szCs w:val="20"/>
                <w:lang w:val="en-GB" w:eastAsia="lt-LT"/>
              </w:rPr>
              <w:t>25</w:t>
            </w:r>
            <w:r w:rsidR="00A50C23">
              <w:rPr>
                <w:rFonts w:ascii="Times New Roman" w:eastAsia="AngsanaUPC" w:hAnsi="Times New Roman"/>
                <w:bCs/>
                <w:sz w:val="20"/>
                <w:szCs w:val="20"/>
                <w:lang w:val="en-GB" w:eastAsia="lt-LT"/>
              </w:rPr>
              <w:t>.</w:t>
            </w:r>
            <w:r w:rsidRPr="002447B3">
              <w:rPr>
                <w:rFonts w:ascii="Times New Roman" w:eastAsia="AngsanaUPC" w:hAnsi="Times New Roman"/>
                <w:bCs/>
                <w:sz w:val="20"/>
                <w:szCs w:val="20"/>
                <w:lang w:val="en-GB" w:eastAsia="lt-LT"/>
              </w:rPr>
              <w:t>812</w:t>
            </w:r>
            <w:r w:rsidR="00A50C23">
              <w:rPr>
                <w:rFonts w:ascii="Times New Roman" w:eastAsia="AngsanaUPC" w:hAnsi="Times New Roman"/>
                <w:bCs/>
                <w:sz w:val="20"/>
                <w:szCs w:val="20"/>
                <w:lang w:val="en-GB" w:eastAsia="lt-LT"/>
              </w:rPr>
              <w:t>.</w:t>
            </w:r>
            <w:r w:rsidRPr="002447B3">
              <w:rPr>
                <w:rFonts w:ascii="Times New Roman" w:eastAsia="AngsanaUPC" w:hAnsi="Times New Roman"/>
                <w:bCs/>
                <w:sz w:val="20"/>
                <w:szCs w:val="20"/>
                <w:lang w:val="en-GB" w:eastAsia="lt-LT"/>
              </w:rPr>
              <w:t>183</w:t>
            </w:r>
          </w:p>
        </w:tc>
      </w:tr>
    </w:tbl>
    <w:p w:rsidR="00596570" w:rsidRPr="002447B3" w:rsidRDefault="00596570" w:rsidP="00596570">
      <w:pPr>
        <w:widowControl w:val="0"/>
        <w:tabs>
          <w:tab w:val="left" w:pos="622"/>
        </w:tabs>
        <w:spacing w:after="0" w:line="240" w:lineRule="auto"/>
        <w:jc w:val="both"/>
        <w:rPr>
          <w:rFonts w:ascii="Times New Roman" w:hAnsi="Times New Roman"/>
          <w:iCs/>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9"/>
        <w:gridCol w:w="6378"/>
        <w:gridCol w:w="1808"/>
      </w:tblGrid>
      <w:tr w:rsidR="00596570" w:rsidRPr="002447B3" w:rsidTr="009D62C6">
        <w:tc>
          <w:tcPr>
            <w:tcW w:w="9746" w:type="dxa"/>
            <w:gridSpan w:val="4"/>
            <w:shd w:val="clear" w:color="auto" w:fill="EEECE1"/>
          </w:tcPr>
          <w:p w:rsidR="00596570" w:rsidRPr="002447B3" w:rsidRDefault="00596570" w:rsidP="009D62C6">
            <w:pPr>
              <w:widowControl w:val="0"/>
              <w:tabs>
                <w:tab w:val="left" w:pos="622"/>
              </w:tabs>
              <w:spacing w:after="0" w:line="240" w:lineRule="auto"/>
              <w:jc w:val="both"/>
              <w:rPr>
                <w:rFonts w:ascii="Times New Roman" w:hAnsi="Times New Roman"/>
                <w:i/>
                <w:iCs/>
                <w:sz w:val="18"/>
                <w:szCs w:val="18"/>
              </w:rPr>
            </w:pPr>
            <w:r w:rsidRPr="002447B3">
              <w:rPr>
                <w:rFonts w:ascii="Times New Roman" w:hAnsi="Times New Roman"/>
                <w:b/>
                <w:bCs/>
                <w:i/>
                <w:iCs/>
                <w:sz w:val="18"/>
                <w:szCs w:val="18"/>
              </w:rPr>
              <w:t>Teritorijų tipas</w:t>
            </w:r>
          </w:p>
        </w:tc>
      </w:tr>
      <w:tr w:rsidR="00596570" w:rsidRPr="002447B3" w:rsidTr="00386A96">
        <w:tc>
          <w:tcPr>
            <w:tcW w:w="851" w:type="dxa"/>
            <w:shd w:val="clear" w:color="auto" w:fill="EEECE1"/>
            <w:vAlign w:val="center"/>
          </w:tcPr>
          <w:p w:rsidR="00596570" w:rsidRPr="002447B3" w:rsidRDefault="00596570" w:rsidP="009D62C6">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Fondas</w:t>
            </w:r>
          </w:p>
        </w:tc>
        <w:tc>
          <w:tcPr>
            <w:tcW w:w="709" w:type="dxa"/>
            <w:shd w:val="clear" w:color="auto" w:fill="EEECE1"/>
            <w:vAlign w:val="center"/>
          </w:tcPr>
          <w:p w:rsidR="00596570" w:rsidRPr="002447B3" w:rsidRDefault="00596570" w:rsidP="009D62C6">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Kodas</w:t>
            </w:r>
          </w:p>
        </w:tc>
        <w:tc>
          <w:tcPr>
            <w:tcW w:w="6378" w:type="dxa"/>
            <w:shd w:val="clear" w:color="auto" w:fill="EEECE1"/>
            <w:vAlign w:val="center"/>
          </w:tcPr>
          <w:p w:rsidR="00596570" w:rsidRPr="002447B3" w:rsidRDefault="00596570" w:rsidP="009D62C6">
            <w:pPr>
              <w:widowControl w:val="0"/>
              <w:tabs>
                <w:tab w:val="left" w:pos="622"/>
              </w:tabs>
              <w:spacing w:after="0" w:line="240" w:lineRule="auto"/>
              <w:jc w:val="both"/>
              <w:rPr>
                <w:rFonts w:ascii="Times New Roman" w:hAnsi="Times New Roman"/>
                <w:b/>
                <w:bCs/>
                <w:iCs/>
                <w:sz w:val="18"/>
                <w:szCs w:val="18"/>
              </w:rPr>
            </w:pPr>
            <w:r w:rsidRPr="002447B3">
              <w:rPr>
                <w:rFonts w:ascii="Times New Roman" w:hAnsi="Times New Roman"/>
                <w:b/>
                <w:bCs/>
                <w:iCs/>
                <w:sz w:val="18"/>
                <w:szCs w:val="18"/>
              </w:rPr>
              <w:t>Pavadinimas</w:t>
            </w:r>
          </w:p>
        </w:tc>
        <w:tc>
          <w:tcPr>
            <w:tcW w:w="1808" w:type="dxa"/>
            <w:shd w:val="clear" w:color="auto" w:fill="EEECE1"/>
            <w:vAlign w:val="center"/>
          </w:tcPr>
          <w:p w:rsidR="00596570" w:rsidRPr="002447B3" w:rsidRDefault="00596570" w:rsidP="009D62C6">
            <w:pPr>
              <w:widowControl w:val="0"/>
              <w:tabs>
                <w:tab w:val="left" w:pos="622"/>
              </w:tabs>
              <w:spacing w:after="0" w:line="240" w:lineRule="auto"/>
              <w:jc w:val="center"/>
              <w:rPr>
                <w:rFonts w:ascii="Times New Roman" w:hAnsi="Times New Roman"/>
                <w:b/>
                <w:bCs/>
                <w:iCs/>
                <w:sz w:val="18"/>
                <w:szCs w:val="18"/>
              </w:rPr>
            </w:pPr>
            <w:r w:rsidRPr="002447B3">
              <w:rPr>
                <w:rFonts w:ascii="Times New Roman" w:hAnsi="Times New Roman"/>
                <w:b/>
                <w:bCs/>
                <w:iCs/>
                <w:sz w:val="18"/>
                <w:szCs w:val="18"/>
              </w:rPr>
              <w:t>Finansinė proporcija (eurais)</w:t>
            </w:r>
          </w:p>
        </w:tc>
      </w:tr>
      <w:tr w:rsidR="00596570" w:rsidRPr="00BB0960" w:rsidTr="00386A96">
        <w:tc>
          <w:tcPr>
            <w:tcW w:w="851" w:type="dxa"/>
            <w:shd w:val="clear" w:color="auto" w:fill="auto"/>
            <w:vAlign w:val="center"/>
          </w:tcPr>
          <w:p w:rsidR="00596570" w:rsidRPr="002447B3" w:rsidRDefault="00596570" w:rsidP="009D62C6">
            <w:pPr>
              <w:widowControl w:val="0"/>
              <w:tabs>
                <w:tab w:val="left" w:pos="622"/>
              </w:tabs>
              <w:spacing w:after="0" w:line="240" w:lineRule="auto"/>
              <w:rPr>
                <w:rFonts w:ascii="Times New Roman" w:eastAsia="AngsanaUPC" w:hAnsi="Times New Roman"/>
                <w:bCs/>
                <w:sz w:val="20"/>
                <w:szCs w:val="20"/>
                <w:lang w:val="en-GB" w:eastAsia="lt-LT"/>
              </w:rPr>
            </w:pPr>
            <w:r w:rsidRPr="002447B3">
              <w:rPr>
                <w:rFonts w:ascii="Times New Roman" w:eastAsia="AngsanaUPC" w:hAnsi="Times New Roman"/>
                <w:bCs/>
                <w:sz w:val="20"/>
                <w:szCs w:val="20"/>
                <w:lang w:val="en-GB" w:eastAsia="lt-LT"/>
              </w:rPr>
              <w:t>ESF</w:t>
            </w:r>
          </w:p>
        </w:tc>
        <w:tc>
          <w:tcPr>
            <w:tcW w:w="709" w:type="dxa"/>
            <w:shd w:val="clear" w:color="auto" w:fill="auto"/>
            <w:vAlign w:val="center"/>
          </w:tcPr>
          <w:p w:rsidR="00596570" w:rsidRPr="002447B3" w:rsidRDefault="00596570" w:rsidP="009D62C6">
            <w:pPr>
              <w:widowControl w:val="0"/>
              <w:tabs>
                <w:tab w:val="left" w:pos="622"/>
              </w:tabs>
              <w:spacing w:after="0" w:line="240" w:lineRule="auto"/>
              <w:rPr>
                <w:rFonts w:ascii="Times New Roman" w:eastAsia="AngsanaUPC" w:hAnsi="Times New Roman"/>
                <w:bCs/>
                <w:sz w:val="20"/>
                <w:szCs w:val="20"/>
                <w:lang w:val="en-GB" w:eastAsia="lt-LT"/>
              </w:rPr>
            </w:pPr>
            <w:r w:rsidRPr="002447B3">
              <w:rPr>
                <w:rFonts w:ascii="Times New Roman" w:eastAsia="AngsanaUPC" w:hAnsi="Times New Roman"/>
                <w:bCs/>
                <w:sz w:val="20"/>
                <w:szCs w:val="20"/>
                <w:lang w:val="en-GB" w:eastAsia="lt-LT"/>
              </w:rPr>
              <w:t>07</w:t>
            </w:r>
          </w:p>
        </w:tc>
        <w:tc>
          <w:tcPr>
            <w:tcW w:w="6378" w:type="dxa"/>
            <w:shd w:val="clear" w:color="auto" w:fill="auto"/>
            <w:vAlign w:val="center"/>
          </w:tcPr>
          <w:p w:rsidR="00596570" w:rsidRPr="002447B3" w:rsidRDefault="00596570" w:rsidP="009D62C6">
            <w:pPr>
              <w:widowControl w:val="0"/>
              <w:tabs>
                <w:tab w:val="left" w:pos="622"/>
              </w:tabs>
              <w:spacing w:after="0" w:line="240" w:lineRule="auto"/>
              <w:jc w:val="both"/>
              <w:rPr>
                <w:rFonts w:ascii="Times New Roman" w:hAnsi="Times New Roman"/>
                <w:bCs/>
                <w:iCs/>
                <w:sz w:val="18"/>
                <w:szCs w:val="18"/>
              </w:rPr>
            </w:pPr>
            <w:r w:rsidRPr="002447B3">
              <w:rPr>
                <w:rFonts w:ascii="Times New Roman" w:hAnsi="Times New Roman"/>
                <w:bCs/>
                <w:iCs/>
                <w:sz w:val="18"/>
                <w:szCs w:val="18"/>
              </w:rPr>
              <w:t>Netaikoma</w:t>
            </w:r>
          </w:p>
        </w:tc>
        <w:tc>
          <w:tcPr>
            <w:tcW w:w="1808" w:type="dxa"/>
            <w:shd w:val="clear" w:color="auto" w:fill="auto"/>
            <w:vAlign w:val="center"/>
          </w:tcPr>
          <w:p w:rsidR="00596570" w:rsidRPr="00BB0960" w:rsidRDefault="00596570" w:rsidP="0042276D">
            <w:pPr>
              <w:widowControl w:val="0"/>
              <w:tabs>
                <w:tab w:val="left" w:pos="622"/>
              </w:tabs>
              <w:spacing w:after="0" w:line="240" w:lineRule="auto"/>
              <w:jc w:val="right"/>
              <w:rPr>
                <w:rFonts w:ascii="Times New Roman" w:eastAsia="AngsanaUPC" w:hAnsi="Times New Roman"/>
                <w:bCs/>
                <w:sz w:val="20"/>
                <w:szCs w:val="20"/>
                <w:lang w:val="en-GB" w:eastAsia="lt-LT"/>
              </w:rPr>
            </w:pPr>
            <w:r w:rsidRPr="002447B3">
              <w:rPr>
                <w:rFonts w:ascii="Times New Roman" w:eastAsia="AngsanaUPC" w:hAnsi="Times New Roman"/>
                <w:bCs/>
                <w:sz w:val="20"/>
                <w:szCs w:val="20"/>
                <w:lang w:val="en-GB" w:eastAsia="lt-LT"/>
              </w:rPr>
              <w:t>25</w:t>
            </w:r>
            <w:r w:rsidR="00A50C23">
              <w:rPr>
                <w:rFonts w:ascii="Times New Roman" w:eastAsia="AngsanaUPC" w:hAnsi="Times New Roman"/>
                <w:bCs/>
                <w:sz w:val="20"/>
                <w:szCs w:val="20"/>
                <w:lang w:val="en-GB" w:eastAsia="lt-LT"/>
              </w:rPr>
              <w:t>.</w:t>
            </w:r>
            <w:r w:rsidRPr="002447B3">
              <w:rPr>
                <w:rFonts w:ascii="Times New Roman" w:eastAsia="AngsanaUPC" w:hAnsi="Times New Roman"/>
                <w:bCs/>
                <w:sz w:val="20"/>
                <w:szCs w:val="20"/>
                <w:lang w:val="en-GB" w:eastAsia="lt-LT"/>
              </w:rPr>
              <w:t>812</w:t>
            </w:r>
            <w:r w:rsidR="00A50C23">
              <w:rPr>
                <w:rFonts w:ascii="Times New Roman" w:eastAsia="AngsanaUPC" w:hAnsi="Times New Roman"/>
                <w:bCs/>
                <w:sz w:val="20"/>
                <w:szCs w:val="20"/>
                <w:lang w:val="en-GB" w:eastAsia="lt-LT"/>
              </w:rPr>
              <w:t>.</w:t>
            </w:r>
            <w:r w:rsidRPr="002447B3">
              <w:rPr>
                <w:rFonts w:ascii="Times New Roman" w:eastAsia="AngsanaUPC" w:hAnsi="Times New Roman"/>
                <w:bCs/>
                <w:sz w:val="20"/>
                <w:szCs w:val="20"/>
                <w:lang w:val="en-GB" w:eastAsia="lt-LT"/>
              </w:rPr>
              <w:t>183</w:t>
            </w:r>
          </w:p>
        </w:tc>
      </w:tr>
    </w:tbl>
    <w:p w:rsidR="00B30D13" w:rsidRPr="00B14340" w:rsidRDefault="00B30D13" w:rsidP="00B30D13">
      <w:pPr>
        <w:widowControl w:val="0"/>
        <w:tabs>
          <w:tab w:val="left" w:pos="622"/>
        </w:tabs>
        <w:spacing w:after="0" w:line="240" w:lineRule="auto"/>
        <w:jc w:val="both"/>
        <w:rPr>
          <w:rFonts w:ascii="Times New Roman" w:eastAsia="AngsanaUPC" w:hAnsi="Times New Roman"/>
          <w:b/>
          <w:bCs/>
          <w:sz w:val="20"/>
          <w:szCs w:val="20"/>
          <w:lang w:eastAsia="lt-LT"/>
        </w:rPr>
      </w:pPr>
    </w:p>
    <w:p w:rsidR="00B30D13" w:rsidRDefault="00B30D13" w:rsidP="00B30D13">
      <w:pPr>
        <w:widowControl w:val="0"/>
        <w:tabs>
          <w:tab w:val="left" w:pos="622"/>
        </w:tabs>
        <w:spacing w:after="0" w:line="240" w:lineRule="auto"/>
        <w:jc w:val="both"/>
        <w:rPr>
          <w:rFonts w:ascii="Times New Roman" w:eastAsia="AngsanaUPC" w:hAnsi="Times New Roman"/>
          <w:b/>
          <w:bCs/>
          <w:sz w:val="24"/>
          <w:szCs w:val="24"/>
          <w:lang w:eastAsia="lt-LT"/>
        </w:rPr>
        <w:sectPr w:rsidR="00B30D13" w:rsidSect="00AC19DA">
          <w:pgSz w:w="11906" w:h="16838" w:code="9"/>
          <w:pgMar w:top="1701" w:right="567" w:bottom="1134" w:left="1701" w:header="567" w:footer="567" w:gutter="0"/>
          <w:cols w:space="1296"/>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746"/>
      </w:tblGrid>
      <w:tr w:rsidR="00B30D13" w:rsidRPr="00FD7A80" w:rsidTr="00B30D13">
        <w:trPr>
          <w:trHeight w:val="416"/>
        </w:trPr>
        <w:tc>
          <w:tcPr>
            <w:tcW w:w="9746" w:type="dxa"/>
            <w:shd w:val="clear" w:color="auto" w:fill="EEECE1"/>
            <w:vAlign w:val="center"/>
          </w:tcPr>
          <w:p w:rsidR="00B30D13" w:rsidRPr="00FD7A80" w:rsidRDefault="00B30D13" w:rsidP="00B30D13">
            <w:pPr>
              <w:keepNext/>
              <w:spacing w:after="0" w:line="240" w:lineRule="auto"/>
              <w:jc w:val="both"/>
              <w:outlineLvl w:val="1"/>
              <w:rPr>
                <w:rFonts w:ascii="Times New Roman" w:eastAsia="AngsanaUPC" w:hAnsi="Times New Roman"/>
                <w:b/>
                <w:bCs/>
                <w:iCs/>
                <w:sz w:val="24"/>
                <w:szCs w:val="28"/>
                <w:lang w:eastAsia="lt-LT"/>
              </w:rPr>
            </w:pPr>
            <w:bookmarkStart w:id="17" w:name="_Toc69836232"/>
            <w:r w:rsidRPr="00FD7A80">
              <w:rPr>
                <w:rFonts w:ascii="Times New Roman" w:eastAsia="AngsanaUPC" w:hAnsi="Times New Roman"/>
                <w:b/>
                <w:bCs/>
                <w:iCs/>
                <w:sz w:val="24"/>
                <w:szCs w:val="28"/>
                <w:lang w:eastAsia="lt-LT"/>
              </w:rPr>
              <w:lastRenderedPageBreak/>
              <w:t>13 PRIORITETAS. VEIKSMŲ, SKIRTŲ COVID-19 PANDEMIJOS SUKELTAI KRIZEI ĮVEIKTI, SKATINIMAS IR PASIRENGIMAS APLINKĄ TAUSOJANČIAM, SKAITMENINIAM IR TVARIAM EKONOMIKOS ATGAIVINIMUI</w:t>
            </w:r>
            <w:bookmarkEnd w:id="17"/>
          </w:p>
        </w:tc>
      </w:tr>
    </w:tbl>
    <w:p w:rsidR="00B30D13" w:rsidRPr="00FD7A80" w:rsidRDefault="00B30D13" w:rsidP="00254EEE">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B30D13" w:rsidRPr="00FD7A80" w:rsidTr="00B30D13">
        <w:tc>
          <w:tcPr>
            <w:tcW w:w="2410" w:type="dxa"/>
            <w:shd w:val="clear" w:color="auto" w:fill="EEECE1"/>
          </w:tcPr>
          <w:p w:rsidR="00B30D13" w:rsidRPr="00FD7A80" w:rsidRDefault="00B30D13" w:rsidP="00B30D13">
            <w:pPr>
              <w:widowControl w:val="0"/>
              <w:tabs>
                <w:tab w:val="left" w:pos="622"/>
              </w:tabs>
              <w:spacing w:after="0" w:line="240" w:lineRule="auto"/>
              <w:jc w:val="both"/>
              <w:rPr>
                <w:rFonts w:ascii="Times New Roman" w:eastAsia="AngsanaUPC" w:hAnsi="Times New Roman"/>
                <w:b/>
                <w:bCs/>
                <w:sz w:val="24"/>
                <w:szCs w:val="24"/>
                <w:lang w:eastAsia="lt-LT"/>
              </w:rPr>
            </w:pPr>
            <w:r w:rsidRPr="00FD7A80">
              <w:rPr>
                <w:rFonts w:ascii="Times New Roman" w:eastAsia="AngsanaUPC" w:hAnsi="Times New Roman"/>
                <w:b/>
                <w:bCs/>
                <w:sz w:val="24"/>
                <w:szCs w:val="24"/>
                <w:lang w:eastAsia="lt-LT"/>
              </w:rPr>
              <w:t>FONDAS</w:t>
            </w:r>
          </w:p>
        </w:tc>
        <w:tc>
          <w:tcPr>
            <w:tcW w:w="7336" w:type="dxa"/>
            <w:shd w:val="clear" w:color="auto" w:fill="EEECE1"/>
          </w:tcPr>
          <w:p w:rsidR="00B30D13" w:rsidRPr="00FD7A80" w:rsidRDefault="00B30D13" w:rsidP="00B30D13">
            <w:pPr>
              <w:widowControl w:val="0"/>
              <w:tabs>
                <w:tab w:val="left" w:pos="622"/>
              </w:tabs>
              <w:spacing w:after="0" w:line="240" w:lineRule="auto"/>
              <w:jc w:val="both"/>
              <w:rPr>
                <w:rFonts w:ascii="Times New Roman" w:eastAsia="AngsanaUPC" w:hAnsi="Times New Roman"/>
                <w:b/>
                <w:bCs/>
                <w:sz w:val="24"/>
                <w:szCs w:val="24"/>
                <w:lang w:eastAsia="lt-LT"/>
              </w:rPr>
            </w:pPr>
            <w:r w:rsidRPr="00FD7A80">
              <w:rPr>
                <w:rFonts w:ascii="Times New Roman" w:eastAsia="AngsanaUPC" w:hAnsi="Times New Roman"/>
                <w:b/>
                <w:bCs/>
                <w:sz w:val="24"/>
                <w:szCs w:val="24"/>
                <w:lang w:eastAsia="lt-LT"/>
              </w:rPr>
              <w:t>Europos regioninės plėtros fondas</w:t>
            </w:r>
          </w:p>
        </w:tc>
      </w:tr>
    </w:tbl>
    <w:p w:rsidR="00B30D13" w:rsidRPr="00FD7A80" w:rsidRDefault="00B30D13" w:rsidP="00254EEE">
      <w:pPr>
        <w:widowControl w:val="0"/>
        <w:tabs>
          <w:tab w:val="left" w:pos="622"/>
        </w:tabs>
        <w:spacing w:after="0" w:line="240" w:lineRule="auto"/>
        <w:jc w:val="both"/>
        <w:rPr>
          <w:rFonts w:ascii="Times New Roman" w:eastAsia="AngsanaUPC" w:hAnsi="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04"/>
        <w:gridCol w:w="7285"/>
      </w:tblGrid>
      <w:tr w:rsidR="00B30D13" w:rsidRPr="00FD7A80" w:rsidTr="00B30D13">
        <w:tc>
          <w:tcPr>
            <w:tcW w:w="2404" w:type="dxa"/>
            <w:shd w:val="clear" w:color="auto" w:fill="EEECE1"/>
            <w:vAlign w:val="center"/>
          </w:tcPr>
          <w:p w:rsidR="00B30D13" w:rsidRPr="00FD7A80" w:rsidRDefault="00B30D13" w:rsidP="00B30D13">
            <w:pPr>
              <w:widowControl w:val="0"/>
              <w:tabs>
                <w:tab w:val="left" w:pos="622"/>
              </w:tabs>
              <w:spacing w:after="0" w:line="240" w:lineRule="auto"/>
              <w:rPr>
                <w:rFonts w:ascii="Times New Roman" w:eastAsia="AngsanaUPC" w:hAnsi="Times New Roman"/>
                <w:b/>
                <w:bCs/>
                <w:sz w:val="24"/>
                <w:szCs w:val="24"/>
                <w:lang w:eastAsia="lt-LT"/>
              </w:rPr>
            </w:pPr>
            <w:r w:rsidRPr="00FD7A80">
              <w:rPr>
                <w:rFonts w:ascii="Times New Roman" w:eastAsia="AngsanaUPC" w:hAnsi="Times New Roman"/>
                <w:b/>
                <w:bCs/>
                <w:sz w:val="24"/>
                <w:szCs w:val="24"/>
                <w:lang w:eastAsia="lt-LT"/>
              </w:rPr>
              <w:t>13.1.1. KONKRETUS UŽDAVINYS</w:t>
            </w:r>
          </w:p>
        </w:tc>
        <w:tc>
          <w:tcPr>
            <w:tcW w:w="7285" w:type="dxa"/>
            <w:shd w:val="clear" w:color="auto" w:fill="EEECE1"/>
            <w:vAlign w:val="center"/>
          </w:tcPr>
          <w:p w:rsidR="00B30D13" w:rsidRPr="00FD7A80" w:rsidRDefault="00B30D13" w:rsidP="00B30D13">
            <w:pPr>
              <w:spacing w:after="0" w:line="240" w:lineRule="auto"/>
              <w:jc w:val="both"/>
              <w:rPr>
                <w:rFonts w:ascii="Times New Roman" w:hAnsi="Times New Roman"/>
                <w:b/>
                <w:sz w:val="24"/>
                <w:szCs w:val="24"/>
              </w:rPr>
            </w:pPr>
            <w:r w:rsidRPr="00FD7A80">
              <w:rPr>
                <w:rFonts w:ascii="Times New Roman" w:hAnsi="Times New Roman"/>
                <w:b/>
                <w:sz w:val="24"/>
                <w:szCs w:val="24"/>
              </w:rPr>
              <w:t>Skaitmeninimo ir inovacijų, siekiant šalinti COVID-19 pandemijos pasekmes ekonomikai, didinimas</w:t>
            </w:r>
          </w:p>
        </w:tc>
      </w:tr>
      <w:tr w:rsidR="00B30D13" w:rsidRPr="00FD7A80" w:rsidTr="00B30D13">
        <w:tc>
          <w:tcPr>
            <w:tcW w:w="9689" w:type="dxa"/>
            <w:gridSpan w:val="2"/>
            <w:shd w:val="clear" w:color="auto" w:fill="auto"/>
          </w:tcPr>
          <w:p w:rsidR="00B30D13" w:rsidRPr="00FD7A80" w:rsidRDefault="00B30D13" w:rsidP="00B30D13">
            <w:pPr>
              <w:spacing w:after="0" w:line="240" w:lineRule="auto"/>
              <w:ind w:firstLine="624"/>
              <w:jc w:val="both"/>
              <w:rPr>
                <w:rFonts w:ascii="Times New Roman" w:hAnsi="Times New Roman"/>
                <w:sz w:val="24"/>
                <w:szCs w:val="24"/>
              </w:rPr>
            </w:pPr>
            <w:r w:rsidRPr="00FD7A80">
              <w:rPr>
                <w:rFonts w:ascii="Times New Roman" w:hAnsi="Times New Roman"/>
                <w:sz w:val="24"/>
                <w:szCs w:val="24"/>
              </w:rPr>
              <w:t>Siekiant tvarios ekonomikos plėtros Lietuvoje bei norint užtikrinti jos ilgalaikį ir subalansuotą augimą, atsižvelgiant į pasaulinės COVID-19 pandemijos pasekmes, reikalingos sparčios ir efektyvios investicijos pažangesnei ekonomikai. Tam, kad kuo didesnę ekonomikos dalį sudarytų inovatyvus ir aukštą pridėtinę vertę kuriantis verslas, reikalinga pereiti prie skaitmeninės ir žiniomis grįstos ekonomikos, kurioje vyrauja gerai apmokamos ir aukštos kompetencijos reikalaujančios darbo vietos, vystomos inovacijos ir didelės vertės produktai. Taip pat siekiant ekonomikos atsigavimo po pandemijos, būtinos investicijos į inovatyvumu, kūrybiniu potencialu ir kūrybiškais sprendimais, gebėjimu persiorientuoti į paklausesnius ir aukštos pridėtinės vertės kūrimu pasižyminčius sektorius, taip didinant įmonių konkurencingumą ir atsparumą ekonomikos svyravimams. Būtent toks ekonomikos modelis būtų atsparesnis galimiems šokams ateityje.</w:t>
            </w:r>
          </w:p>
          <w:p w:rsidR="00B30D13" w:rsidRPr="00FD7A80" w:rsidRDefault="00B30D13" w:rsidP="00B30D13">
            <w:pPr>
              <w:spacing w:after="0" w:line="240" w:lineRule="auto"/>
              <w:ind w:firstLine="624"/>
              <w:jc w:val="both"/>
              <w:rPr>
                <w:rFonts w:ascii="Times New Roman" w:hAnsi="Times New Roman"/>
                <w:sz w:val="24"/>
                <w:szCs w:val="24"/>
              </w:rPr>
            </w:pPr>
            <w:r w:rsidRPr="00FD7A80">
              <w:rPr>
                <w:rFonts w:ascii="Times New Roman" w:hAnsi="Times New Roman"/>
                <w:sz w:val="24"/>
                <w:szCs w:val="24"/>
              </w:rPr>
              <w:t>Kovojant su pandemija būtina išnaudoti MTEPI ir skaitmeninį konkurencingumą. Dėl pandemijos metu įvestų apribojimų ir poreikio vengti fizinio kontakto išryškėjo skaitmeninės ekonomikos trūkumas. Ir verslui, ir valstybės sektoriui, ir gyventojams iškilo būtinybė pereiti prie skaitmeninių sprendimų siekiant užtikrinti sklandžią tolesnę veiklą. Pasaulio ekonomikos forumas išskyrė skaitmeninės ekonomikos investicijas kaip esminę priemonę vyriausybėms, sieksiančioms paspartinti ekonomikos atsigavimą ir užtikrinti ilgalaikį šalies ekonomikos augimą. Europos Taryba Lietuvai rekomenduoja užtikrinti, kad priemonės, kuriomis skatinamas ekonomikos atsigavimas, būtų orientuotos į ateitį ir palengvintų skaitmeninę ir žaliąją pertvarką. Taip pat rekomenduojama skatinti technologines ir netechnologines inovacijas labai mažose, mažose ir vidutinėse įmonėse. Investicijos į MTEP ir inovacijas, į kovai su COVID-19 būtinų produktų gamybą prisidės prie įmonių gamybos produktyvumo augimo.</w:t>
            </w:r>
          </w:p>
          <w:p w:rsidR="00B30D13" w:rsidRPr="00FD7A80" w:rsidRDefault="00B30D13" w:rsidP="00B30D13">
            <w:pPr>
              <w:spacing w:after="0" w:line="240" w:lineRule="auto"/>
              <w:ind w:firstLine="624"/>
              <w:jc w:val="both"/>
              <w:rPr>
                <w:rFonts w:ascii="Times New Roman" w:hAnsi="Times New Roman"/>
                <w:sz w:val="24"/>
                <w:szCs w:val="24"/>
              </w:rPr>
            </w:pPr>
            <w:r w:rsidRPr="00FD7A80">
              <w:rPr>
                <w:rFonts w:ascii="Times New Roman" w:hAnsi="Times New Roman"/>
                <w:sz w:val="24"/>
                <w:szCs w:val="24"/>
              </w:rPr>
              <w:t>Mokslinių tyrimų ir eksperimentinės plėtros veiklos lygis vis dar išlieka žemas, siekiant didinti reikiamus MTEPI pajėgumus, investicijos bus orientuojamos į verslo MTEPI skatinimą, mokslo ir verslo bendradarbiavimo didinimą.</w:t>
            </w:r>
          </w:p>
          <w:p w:rsidR="00B30D13" w:rsidRPr="00FD7A80" w:rsidRDefault="00B30D13" w:rsidP="00B30D13">
            <w:pPr>
              <w:spacing w:after="0" w:line="240" w:lineRule="auto"/>
              <w:ind w:firstLine="624"/>
              <w:jc w:val="both"/>
              <w:rPr>
                <w:rFonts w:ascii="Times New Roman" w:hAnsi="Times New Roman"/>
                <w:sz w:val="24"/>
                <w:szCs w:val="24"/>
              </w:rPr>
            </w:pPr>
            <w:r w:rsidRPr="00FD7A80">
              <w:rPr>
                <w:rFonts w:ascii="Times New Roman" w:hAnsi="Times New Roman"/>
                <w:sz w:val="24"/>
                <w:szCs w:val="24"/>
              </w:rPr>
              <w:t>Atsižvelgiant į gyventojų senėjimą bei poreikį efektyviai mažinti šio reiškinio sukeliamas visuomenės sveikatos, socialines ir ekonomines problemas, bus kuriamos bei diegiamos mokslo įrodymais pagrįstos inovacijos lėtinių ligų, ypač onkologinių, širdies ir kraujagyslių ligų diagnostikos ir gydymo srityse. Investicijos į pažangias, mažiau invazines šiuolaikines diagnostikos ir gydymo technologijas bei modernią infrastruktūrą sudarys sąlygas užtikrinti naujausių ir kokybiškų gydymo metodų prieinamumą Lietuvos pacientams, padidins jų išgyvenamumo galimybes, leis pritaikyti mokslo pasiekimus lėtinių ligų diagnozavimo ir gydymo optimizavimui, racionaliau naudoti turimus resursus užtikrinant šiuolaikinį ir saugų teikiamų paslaugų lygį, ypač pandemijos ar kitu kriziniu laikotarpiu.</w:t>
            </w:r>
          </w:p>
        </w:tc>
      </w:tr>
    </w:tbl>
    <w:p w:rsidR="00B30D13" w:rsidRPr="00FD7A80" w:rsidRDefault="00B30D13" w:rsidP="00254EEE">
      <w:pPr>
        <w:widowControl w:val="0"/>
        <w:tabs>
          <w:tab w:val="left" w:pos="622"/>
        </w:tabs>
        <w:spacing w:after="0" w:line="240" w:lineRule="auto"/>
        <w:jc w:val="both"/>
        <w:rPr>
          <w:rFonts w:ascii="Times New Roman" w:eastAsia="AngsanaUPC" w:hAnsi="Times New Roman"/>
          <w:bCs/>
          <w:sz w:val="24"/>
          <w:szCs w:val="24"/>
          <w:lang w:eastAsia="lt-LT"/>
        </w:rPr>
      </w:pP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567"/>
        <w:gridCol w:w="1560"/>
        <w:gridCol w:w="1134"/>
        <w:gridCol w:w="1134"/>
        <w:gridCol w:w="850"/>
        <w:gridCol w:w="992"/>
        <w:gridCol w:w="851"/>
        <w:gridCol w:w="1417"/>
        <w:gridCol w:w="1241"/>
      </w:tblGrid>
      <w:tr w:rsidR="00B30D13" w:rsidRPr="00FD7A80" w:rsidTr="00B30D13">
        <w:trPr>
          <w:tblHeader/>
        </w:trPr>
        <w:tc>
          <w:tcPr>
            <w:tcW w:w="9746" w:type="dxa"/>
            <w:gridSpan w:val="9"/>
            <w:shd w:val="clear" w:color="auto" w:fill="EEECE1"/>
          </w:tcPr>
          <w:p w:rsidR="00B30D13" w:rsidRPr="00FD7A80" w:rsidRDefault="00B30D13" w:rsidP="00B30D13">
            <w:pPr>
              <w:widowControl w:val="0"/>
              <w:tabs>
                <w:tab w:val="left" w:pos="622"/>
              </w:tabs>
              <w:spacing w:after="0" w:line="240" w:lineRule="auto"/>
              <w:jc w:val="both"/>
              <w:rPr>
                <w:rFonts w:ascii="Times New Roman" w:eastAsia="AngsanaUPC" w:hAnsi="Times New Roman"/>
                <w:b/>
                <w:bCs/>
                <w:i/>
                <w:iCs/>
                <w:sz w:val="18"/>
                <w:szCs w:val="18"/>
                <w:lang w:eastAsia="lt-LT"/>
              </w:rPr>
            </w:pPr>
            <w:r w:rsidRPr="00FD7A80">
              <w:rPr>
                <w:rFonts w:ascii="Times New Roman" w:eastAsia="AngsanaUPC" w:hAnsi="Times New Roman"/>
                <w:b/>
                <w:bCs/>
                <w:i/>
                <w:iCs/>
                <w:sz w:val="18"/>
                <w:szCs w:val="18"/>
                <w:lang w:eastAsia="lt-LT"/>
              </w:rPr>
              <w:t>ERPF specialieji programos rezultato rodikliai</w:t>
            </w:r>
          </w:p>
        </w:tc>
      </w:tr>
      <w:tr w:rsidR="00B30D13" w:rsidRPr="00FD7A80" w:rsidTr="00827571">
        <w:tblPrEx>
          <w:shd w:val="clear" w:color="auto" w:fill="auto"/>
        </w:tblPrEx>
        <w:trPr>
          <w:trHeight w:val="868"/>
          <w:tblHeader/>
        </w:trPr>
        <w:tc>
          <w:tcPr>
            <w:tcW w:w="567" w:type="dxa"/>
            <w:shd w:val="clear" w:color="auto" w:fill="EEECE1"/>
            <w:vAlign w:val="center"/>
          </w:tcPr>
          <w:p w:rsidR="00B30D13" w:rsidRPr="00FD7A80" w:rsidRDefault="00B30D13" w:rsidP="00B30D13">
            <w:pPr>
              <w:widowControl w:val="0"/>
              <w:tabs>
                <w:tab w:val="left" w:pos="622"/>
              </w:tabs>
              <w:spacing w:after="0" w:line="240" w:lineRule="auto"/>
              <w:jc w:val="center"/>
              <w:rPr>
                <w:rFonts w:ascii="Times New Roman" w:eastAsia="AngsanaUPC" w:hAnsi="Times New Roman"/>
                <w:b/>
                <w:bCs/>
                <w:iCs/>
                <w:sz w:val="18"/>
                <w:szCs w:val="18"/>
                <w:lang w:eastAsia="lt-LT"/>
              </w:rPr>
            </w:pPr>
            <w:r w:rsidRPr="00FD7A80">
              <w:rPr>
                <w:rFonts w:ascii="Times New Roman" w:eastAsia="AngsanaUPC" w:hAnsi="Times New Roman"/>
                <w:b/>
                <w:bCs/>
                <w:iCs/>
                <w:sz w:val="18"/>
                <w:szCs w:val="18"/>
                <w:lang w:eastAsia="lt-LT"/>
              </w:rPr>
              <w:t>Nr.</w:t>
            </w:r>
          </w:p>
        </w:tc>
        <w:tc>
          <w:tcPr>
            <w:tcW w:w="1560" w:type="dxa"/>
            <w:shd w:val="clear" w:color="auto" w:fill="EEECE1"/>
            <w:vAlign w:val="center"/>
          </w:tcPr>
          <w:p w:rsidR="00B30D13" w:rsidRPr="00FD7A80" w:rsidRDefault="00B30D13" w:rsidP="00B30D13">
            <w:pPr>
              <w:widowControl w:val="0"/>
              <w:tabs>
                <w:tab w:val="left" w:pos="622"/>
              </w:tabs>
              <w:spacing w:after="0" w:line="240" w:lineRule="auto"/>
              <w:jc w:val="center"/>
              <w:rPr>
                <w:rFonts w:ascii="Times New Roman" w:eastAsia="AngsanaUPC" w:hAnsi="Times New Roman"/>
                <w:b/>
                <w:bCs/>
                <w:iCs/>
                <w:sz w:val="18"/>
                <w:szCs w:val="18"/>
                <w:lang w:eastAsia="lt-LT"/>
              </w:rPr>
            </w:pPr>
            <w:r w:rsidRPr="00FD7A80">
              <w:rPr>
                <w:rFonts w:ascii="Times New Roman" w:eastAsia="AngsanaUPC" w:hAnsi="Times New Roman"/>
                <w:b/>
                <w:bCs/>
                <w:iCs/>
                <w:sz w:val="18"/>
                <w:szCs w:val="18"/>
                <w:lang w:eastAsia="lt-LT"/>
              </w:rPr>
              <w:t>Rodiklio pavadinimas</w:t>
            </w:r>
          </w:p>
        </w:tc>
        <w:tc>
          <w:tcPr>
            <w:tcW w:w="1134" w:type="dxa"/>
            <w:shd w:val="clear" w:color="auto" w:fill="EEECE1"/>
            <w:vAlign w:val="center"/>
          </w:tcPr>
          <w:p w:rsidR="00B30D13" w:rsidRPr="00FD7A80" w:rsidRDefault="00B30D13" w:rsidP="00B30D13">
            <w:pPr>
              <w:widowControl w:val="0"/>
              <w:tabs>
                <w:tab w:val="left" w:pos="622"/>
              </w:tabs>
              <w:spacing w:after="0" w:line="240" w:lineRule="auto"/>
              <w:jc w:val="center"/>
              <w:rPr>
                <w:rFonts w:ascii="Times New Roman" w:eastAsia="AngsanaUPC" w:hAnsi="Times New Roman"/>
                <w:b/>
                <w:bCs/>
                <w:iCs/>
                <w:sz w:val="18"/>
                <w:szCs w:val="18"/>
                <w:lang w:eastAsia="lt-LT"/>
              </w:rPr>
            </w:pPr>
            <w:r w:rsidRPr="00FD7A80">
              <w:rPr>
                <w:rFonts w:ascii="Times New Roman" w:eastAsia="AngsanaUPC" w:hAnsi="Times New Roman"/>
                <w:b/>
                <w:bCs/>
                <w:iCs/>
                <w:sz w:val="18"/>
                <w:szCs w:val="18"/>
                <w:lang w:eastAsia="lt-LT"/>
              </w:rPr>
              <w:t>Matavimo vienetas</w:t>
            </w:r>
          </w:p>
        </w:tc>
        <w:tc>
          <w:tcPr>
            <w:tcW w:w="1134" w:type="dxa"/>
            <w:shd w:val="clear" w:color="auto" w:fill="EEECE1"/>
            <w:vAlign w:val="center"/>
          </w:tcPr>
          <w:p w:rsidR="00B30D13" w:rsidRPr="00FD7A80" w:rsidRDefault="00B30D13" w:rsidP="00B30D13">
            <w:pPr>
              <w:widowControl w:val="0"/>
              <w:tabs>
                <w:tab w:val="left" w:pos="622"/>
              </w:tabs>
              <w:spacing w:after="0" w:line="240" w:lineRule="auto"/>
              <w:jc w:val="center"/>
              <w:rPr>
                <w:rFonts w:ascii="Times New Roman" w:eastAsia="AngsanaUPC" w:hAnsi="Times New Roman"/>
                <w:b/>
                <w:bCs/>
                <w:iCs/>
                <w:sz w:val="18"/>
                <w:szCs w:val="18"/>
                <w:lang w:eastAsia="lt-LT"/>
              </w:rPr>
            </w:pPr>
            <w:r w:rsidRPr="00FD7A80">
              <w:rPr>
                <w:rFonts w:ascii="Times New Roman" w:eastAsia="AngsanaUPC" w:hAnsi="Times New Roman"/>
                <w:b/>
                <w:bCs/>
                <w:iCs/>
                <w:sz w:val="18"/>
                <w:szCs w:val="18"/>
                <w:lang w:eastAsia="lt-LT"/>
              </w:rPr>
              <w:t>Regiono kategorija</w:t>
            </w:r>
          </w:p>
        </w:tc>
        <w:tc>
          <w:tcPr>
            <w:tcW w:w="850" w:type="dxa"/>
            <w:shd w:val="clear" w:color="auto" w:fill="EEECE1"/>
            <w:vAlign w:val="center"/>
          </w:tcPr>
          <w:p w:rsidR="00B30D13" w:rsidRPr="00FD7A80" w:rsidRDefault="00B30D13" w:rsidP="00B30D13">
            <w:pPr>
              <w:widowControl w:val="0"/>
              <w:tabs>
                <w:tab w:val="left" w:pos="622"/>
              </w:tabs>
              <w:spacing w:after="0" w:line="240" w:lineRule="auto"/>
              <w:jc w:val="center"/>
              <w:rPr>
                <w:rFonts w:ascii="Times New Roman" w:eastAsia="AngsanaUPC" w:hAnsi="Times New Roman"/>
                <w:b/>
                <w:bCs/>
                <w:iCs/>
                <w:sz w:val="18"/>
                <w:szCs w:val="18"/>
                <w:lang w:eastAsia="lt-LT"/>
              </w:rPr>
            </w:pPr>
            <w:r w:rsidRPr="00FD7A80">
              <w:rPr>
                <w:rFonts w:ascii="Times New Roman" w:eastAsia="AngsanaUPC" w:hAnsi="Times New Roman"/>
                <w:b/>
                <w:bCs/>
                <w:iCs/>
                <w:sz w:val="18"/>
                <w:szCs w:val="18"/>
                <w:lang w:eastAsia="lt-LT"/>
              </w:rPr>
              <w:t>Pradinė reikšmė</w:t>
            </w:r>
          </w:p>
        </w:tc>
        <w:tc>
          <w:tcPr>
            <w:tcW w:w="992" w:type="dxa"/>
            <w:shd w:val="clear" w:color="auto" w:fill="EEECE1"/>
            <w:vAlign w:val="center"/>
          </w:tcPr>
          <w:p w:rsidR="00B30D13" w:rsidRPr="00FD7A80" w:rsidRDefault="00B30D13" w:rsidP="00B30D13">
            <w:pPr>
              <w:widowControl w:val="0"/>
              <w:tabs>
                <w:tab w:val="left" w:pos="622"/>
              </w:tabs>
              <w:spacing w:after="0" w:line="240" w:lineRule="auto"/>
              <w:jc w:val="center"/>
              <w:rPr>
                <w:rFonts w:ascii="Times New Roman" w:eastAsia="AngsanaUPC" w:hAnsi="Times New Roman"/>
                <w:b/>
                <w:bCs/>
                <w:iCs/>
                <w:sz w:val="18"/>
                <w:szCs w:val="18"/>
                <w:lang w:eastAsia="lt-LT"/>
              </w:rPr>
            </w:pPr>
            <w:r w:rsidRPr="00FD7A80">
              <w:rPr>
                <w:rFonts w:ascii="Times New Roman" w:eastAsia="AngsanaUPC" w:hAnsi="Times New Roman"/>
                <w:b/>
                <w:bCs/>
                <w:iCs/>
                <w:sz w:val="18"/>
                <w:szCs w:val="18"/>
                <w:lang w:eastAsia="lt-LT"/>
              </w:rPr>
              <w:t>Pradinės reikšmės metai</w:t>
            </w:r>
          </w:p>
        </w:tc>
        <w:tc>
          <w:tcPr>
            <w:tcW w:w="851" w:type="dxa"/>
            <w:shd w:val="clear" w:color="auto" w:fill="EEECE1"/>
            <w:vAlign w:val="center"/>
          </w:tcPr>
          <w:p w:rsidR="00B30D13" w:rsidRPr="00FD7A80" w:rsidRDefault="00B30D13" w:rsidP="00B30D13">
            <w:pPr>
              <w:widowControl w:val="0"/>
              <w:tabs>
                <w:tab w:val="left" w:pos="622"/>
              </w:tabs>
              <w:spacing w:after="0" w:line="240" w:lineRule="auto"/>
              <w:jc w:val="center"/>
              <w:rPr>
                <w:rFonts w:ascii="Times New Roman" w:eastAsia="AngsanaUPC" w:hAnsi="Times New Roman"/>
                <w:b/>
                <w:bCs/>
                <w:iCs/>
                <w:sz w:val="18"/>
                <w:szCs w:val="18"/>
                <w:lang w:eastAsia="lt-LT"/>
              </w:rPr>
            </w:pPr>
            <w:r w:rsidRPr="00FD7A80">
              <w:rPr>
                <w:rFonts w:ascii="Times New Roman" w:eastAsia="AngsanaUPC" w:hAnsi="Times New Roman"/>
                <w:b/>
                <w:bCs/>
                <w:iCs/>
                <w:sz w:val="18"/>
                <w:szCs w:val="18"/>
                <w:lang w:eastAsia="lt-LT"/>
              </w:rPr>
              <w:t xml:space="preserve">Siektina reikšmė (2023 </w:t>
            </w:r>
            <w:proofErr w:type="gramStart"/>
            <w:r w:rsidRPr="00FD7A80">
              <w:rPr>
                <w:rFonts w:ascii="Times New Roman" w:eastAsia="AngsanaUPC" w:hAnsi="Times New Roman"/>
                <w:b/>
                <w:bCs/>
                <w:iCs/>
                <w:sz w:val="18"/>
                <w:szCs w:val="18"/>
                <w:lang w:eastAsia="lt-LT"/>
              </w:rPr>
              <w:t>m. )</w:t>
            </w:r>
            <w:proofErr w:type="gramEnd"/>
          </w:p>
        </w:tc>
        <w:tc>
          <w:tcPr>
            <w:tcW w:w="1417" w:type="dxa"/>
            <w:shd w:val="clear" w:color="auto" w:fill="EEECE1"/>
            <w:vAlign w:val="center"/>
          </w:tcPr>
          <w:p w:rsidR="00B30D13" w:rsidRPr="00FD7A80" w:rsidRDefault="00B30D13" w:rsidP="00B30D13">
            <w:pPr>
              <w:widowControl w:val="0"/>
              <w:tabs>
                <w:tab w:val="left" w:pos="622"/>
              </w:tabs>
              <w:spacing w:after="0" w:line="240" w:lineRule="auto"/>
              <w:jc w:val="center"/>
              <w:rPr>
                <w:rFonts w:ascii="Times New Roman" w:eastAsia="AngsanaUPC" w:hAnsi="Times New Roman"/>
                <w:b/>
                <w:bCs/>
                <w:iCs/>
                <w:sz w:val="18"/>
                <w:szCs w:val="18"/>
                <w:lang w:eastAsia="lt-LT"/>
              </w:rPr>
            </w:pPr>
            <w:r w:rsidRPr="00FD7A80">
              <w:rPr>
                <w:rFonts w:ascii="Times New Roman" w:eastAsia="AngsanaUPC" w:hAnsi="Times New Roman"/>
                <w:b/>
                <w:bCs/>
                <w:iCs/>
                <w:sz w:val="18"/>
                <w:szCs w:val="18"/>
                <w:lang w:eastAsia="lt-LT"/>
              </w:rPr>
              <w:t>Duomenų šaltinis</w:t>
            </w:r>
          </w:p>
        </w:tc>
        <w:tc>
          <w:tcPr>
            <w:tcW w:w="1241" w:type="dxa"/>
            <w:shd w:val="clear" w:color="auto" w:fill="EEECE1"/>
            <w:vAlign w:val="center"/>
          </w:tcPr>
          <w:p w:rsidR="00B30D13" w:rsidRPr="00FD7A80" w:rsidRDefault="00B30D13" w:rsidP="00B30D13">
            <w:pPr>
              <w:widowControl w:val="0"/>
              <w:tabs>
                <w:tab w:val="left" w:pos="622"/>
              </w:tabs>
              <w:spacing w:after="0" w:line="240" w:lineRule="auto"/>
              <w:jc w:val="center"/>
              <w:rPr>
                <w:rFonts w:ascii="Times New Roman" w:eastAsia="AngsanaUPC" w:hAnsi="Times New Roman"/>
                <w:b/>
                <w:bCs/>
                <w:iCs/>
                <w:sz w:val="18"/>
                <w:szCs w:val="18"/>
                <w:lang w:eastAsia="lt-LT"/>
              </w:rPr>
            </w:pPr>
            <w:r w:rsidRPr="00FD7A80">
              <w:rPr>
                <w:rFonts w:ascii="Times New Roman" w:eastAsia="AngsanaUPC" w:hAnsi="Times New Roman"/>
                <w:b/>
                <w:bCs/>
                <w:iCs/>
                <w:sz w:val="18"/>
                <w:szCs w:val="18"/>
                <w:lang w:eastAsia="lt-LT"/>
              </w:rPr>
              <w:t>Atsiskaitymo dažnumas</w:t>
            </w:r>
          </w:p>
        </w:tc>
      </w:tr>
      <w:tr w:rsidR="00B30D13" w:rsidRPr="00FD7A80" w:rsidTr="00827571">
        <w:tblPrEx>
          <w:shd w:val="clear" w:color="auto" w:fill="auto"/>
        </w:tblPrEx>
        <w:trPr>
          <w:trHeight w:val="187"/>
        </w:trPr>
        <w:tc>
          <w:tcPr>
            <w:tcW w:w="567" w:type="dxa"/>
            <w:shd w:val="clear" w:color="auto" w:fill="auto"/>
            <w:vAlign w:val="center"/>
          </w:tcPr>
          <w:p w:rsidR="00B30D13" w:rsidRPr="00FD7A80" w:rsidRDefault="00B30D13" w:rsidP="00B30D13">
            <w:pPr>
              <w:widowControl w:val="0"/>
              <w:tabs>
                <w:tab w:val="left" w:pos="622"/>
              </w:tabs>
              <w:spacing w:after="0" w:line="240" w:lineRule="auto"/>
              <w:jc w:val="center"/>
              <w:rPr>
                <w:rFonts w:ascii="Times New Roman" w:eastAsia="AngsanaUPC" w:hAnsi="Times New Roman"/>
                <w:bCs/>
                <w:iCs/>
                <w:sz w:val="18"/>
                <w:szCs w:val="18"/>
                <w:lang w:val="en-US" w:eastAsia="lt-LT"/>
              </w:rPr>
            </w:pPr>
            <w:r w:rsidRPr="00FD7A80">
              <w:rPr>
                <w:rFonts w:ascii="Times New Roman" w:eastAsia="AngsanaUPC" w:hAnsi="Times New Roman"/>
                <w:bCs/>
                <w:iCs/>
                <w:sz w:val="18"/>
                <w:szCs w:val="18"/>
                <w:lang w:val="en-US" w:eastAsia="lt-LT"/>
              </w:rPr>
              <w:t>1.</w:t>
            </w:r>
          </w:p>
        </w:tc>
        <w:tc>
          <w:tcPr>
            <w:tcW w:w="1560" w:type="dxa"/>
            <w:shd w:val="clear" w:color="auto" w:fill="auto"/>
            <w:vAlign w:val="center"/>
          </w:tcPr>
          <w:p w:rsidR="00B30D13" w:rsidRPr="00FD7A80" w:rsidRDefault="00B30D13" w:rsidP="00B30D13">
            <w:pPr>
              <w:autoSpaceDE w:val="0"/>
              <w:autoSpaceDN w:val="0"/>
              <w:adjustRightInd w:val="0"/>
              <w:spacing w:after="0" w:line="240" w:lineRule="auto"/>
              <w:rPr>
                <w:rFonts w:ascii="Times New Roman" w:eastAsia="Times New Roman" w:hAnsi="Times New Roman"/>
                <w:sz w:val="18"/>
                <w:szCs w:val="18"/>
                <w:lang w:eastAsia="lt-LT"/>
              </w:rPr>
            </w:pPr>
            <w:r w:rsidRPr="00FD7A80">
              <w:rPr>
                <w:rFonts w:ascii="Times New Roman" w:eastAsia="Times New Roman" w:hAnsi="Times New Roman"/>
                <w:sz w:val="18"/>
                <w:szCs w:val="18"/>
                <w:lang w:eastAsia="lt-LT"/>
              </w:rPr>
              <w:t xml:space="preserve">Ūkio subjektų finansuota mokslo ir studijų </w:t>
            </w:r>
            <w:r w:rsidRPr="00FD7A80">
              <w:rPr>
                <w:rFonts w:ascii="Times New Roman" w:eastAsia="Times New Roman" w:hAnsi="Times New Roman"/>
                <w:sz w:val="18"/>
                <w:szCs w:val="18"/>
                <w:lang w:eastAsia="lt-LT"/>
              </w:rPr>
              <w:lastRenderedPageBreak/>
              <w:t>institucijų MTEP išlaidų dalis nuo visų išlaidų</w:t>
            </w:r>
          </w:p>
        </w:tc>
        <w:tc>
          <w:tcPr>
            <w:tcW w:w="1134" w:type="dxa"/>
            <w:shd w:val="clear" w:color="auto" w:fill="auto"/>
            <w:vAlign w:val="center"/>
          </w:tcPr>
          <w:p w:rsidR="00B30D13" w:rsidRPr="00FD7A80" w:rsidRDefault="00B30D13" w:rsidP="00B30D13">
            <w:pPr>
              <w:widowControl w:val="0"/>
              <w:tabs>
                <w:tab w:val="left" w:pos="622"/>
              </w:tabs>
              <w:spacing w:after="0" w:line="240" w:lineRule="auto"/>
              <w:jc w:val="center"/>
              <w:rPr>
                <w:rFonts w:ascii="Times New Roman" w:eastAsia="Times New Roman" w:hAnsi="Times New Roman"/>
                <w:sz w:val="18"/>
                <w:szCs w:val="18"/>
                <w:lang w:eastAsia="lt-LT"/>
              </w:rPr>
            </w:pPr>
            <w:r w:rsidRPr="00FD7A80">
              <w:rPr>
                <w:rFonts w:ascii="Times New Roman" w:eastAsia="Times New Roman" w:hAnsi="Times New Roman"/>
                <w:sz w:val="18"/>
                <w:szCs w:val="18"/>
                <w:lang w:eastAsia="lt-LT"/>
              </w:rPr>
              <w:lastRenderedPageBreak/>
              <w:t>Proc.</w:t>
            </w:r>
          </w:p>
        </w:tc>
        <w:tc>
          <w:tcPr>
            <w:tcW w:w="1134" w:type="dxa"/>
            <w:shd w:val="clear" w:color="auto" w:fill="auto"/>
            <w:vAlign w:val="center"/>
          </w:tcPr>
          <w:p w:rsidR="00B30D13" w:rsidRPr="00FD7A80" w:rsidRDefault="00B30D13" w:rsidP="00B30D13">
            <w:pPr>
              <w:widowControl w:val="0"/>
              <w:tabs>
                <w:tab w:val="left" w:pos="622"/>
              </w:tabs>
              <w:spacing w:after="0" w:line="240" w:lineRule="auto"/>
              <w:jc w:val="center"/>
              <w:rPr>
                <w:rFonts w:ascii="Times New Roman" w:eastAsia="AngsanaUPC" w:hAnsi="Times New Roman"/>
                <w:bCs/>
                <w:iCs/>
                <w:sz w:val="18"/>
                <w:szCs w:val="18"/>
                <w:lang w:eastAsia="lt-LT"/>
              </w:rPr>
            </w:pPr>
            <w:r w:rsidRPr="00FD7A80">
              <w:rPr>
                <w:rFonts w:ascii="Times New Roman" w:eastAsia="AngsanaUPC" w:hAnsi="Times New Roman"/>
                <w:bCs/>
                <w:iCs/>
                <w:sz w:val="18"/>
                <w:szCs w:val="18"/>
                <w:lang w:eastAsia="lt-LT"/>
              </w:rPr>
              <w:t>Mažiau išsivystęs</w:t>
            </w:r>
          </w:p>
        </w:tc>
        <w:tc>
          <w:tcPr>
            <w:tcW w:w="850" w:type="dxa"/>
            <w:shd w:val="clear" w:color="auto" w:fill="auto"/>
            <w:vAlign w:val="center"/>
          </w:tcPr>
          <w:p w:rsidR="00B30D13" w:rsidRPr="00FD7A80" w:rsidRDefault="00B30D13" w:rsidP="00B30D13">
            <w:pPr>
              <w:widowControl w:val="0"/>
              <w:tabs>
                <w:tab w:val="left" w:pos="622"/>
              </w:tabs>
              <w:spacing w:after="0" w:line="240" w:lineRule="auto"/>
              <w:jc w:val="center"/>
              <w:rPr>
                <w:rFonts w:ascii="Times New Roman" w:eastAsia="Times New Roman" w:hAnsi="Times New Roman"/>
                <w:sz w:val="18"/>
                <w:szCs w:val="18"/>
                <w:lang w:eastAsia="lt-LT"/>
              </w:rPr>
            </w:pPr>
            <w:r w:rsidRPr="00FD7A80">
              <w:rPr>
                <w:rFonts w:ascii="Times New Roman" w:eastAsia="Times New Roman" w:hAnsi="Times New Roman"/>
                <w:sz w:val="18"/>
                <w:szCs w:val="18"/>
                <w:lang w:eastAsia="lt-LT"/>
              </w:rPr>
              <w:t>2,8</w:t>
            </w:r>
          </w:p>
        </w:tc>
        <w:tc>
          <w:tcPr>
            <w:tcW w:w="992" w:type="dxa"/>
            <w:shd w:val="clear" w:color="auto" w:fill="auto"/>
            <w:vAlign w:val="center"/>
          </w:tcPr>
          <w:p w:rsidR="00B30D13" w:rsidRPr="00FD7A80" w:rsidRDefault="00B30D13" w:rsidP="00B30D13">
            <w:pPr>
              <w:widowControl w:val="0"/>
              <w:tabs>
                <w:tab w:val="left" w:pos="622"/>
              </w:tabs>
              <w:spacing w:after="0" w:line="240" w:lineRule="auto"/>
              <w:jc w:val="center"/>
              <w:rPr>
                <w:rFonts w:ascii="Times New Roman" w:eastAsia="AngsanaUPC" w:hAnsi="Times New Roman"/>
                <w:bCs/>
                <w:iCs/>
                <w:sz w:val="18"/>
                <w:szCs w:val="18"/>
                <w:lang w:eastAsia="lt-LT"/>
              </w:rPr>
            </w:pPr>
            <w:r w:rsidRPr="00FD7A80">
              <w:rPr>
                <w:rFonts w:ascii="Times New Roman" w:eastAsia="AngsanaUPC" w:hAnsi="Times New Roman"/>
                <w:bCs/>
                <w:iCs/>
                <w:sz w:val="18"/>
                <w:szCs w:val="18"/>
                <w:lang w:eastAsia="lt-LT"/>
              </w:rPr>
              <w:t>2019</w:t>
            </w:r>
          </w:p>
        </w:tc>
        <w:tc>
          <w:tcPr>
            <w:tcW w:w="851" w:type="dxa"/>
            <w:shd w:val="clear" w:color="auto" w:fill="auto"/>
            <w:vAlign w:val="center"/>
          </w:tcPr>
          <w:p w:rsidR="00B30D13" w:rsidRPr="00FD7A80" w:rsidRDefault="00827571" w:rsidP="00B30D13">
            <w:pPr>
              <w:widowControl w:val="0"/>
              <w:tabs>
                <w:tab w:val="left" w:pos="622"/>
              </w:tabs>
              <w:spacing w:after="0" w:line="240" w:lineRule="auto"/>
              <w:jc w:val="center"/>
              <w:rPr>
                <w:rFonts w:ascii="Times New Roman" w:eastAsia="Times New Roman" w:hAnsi="Times New Roman"/>
                <w:sz w:val="18"/>
                <w:szCs w:val="18"/>
                <w:lang w:eastAsia="lt-LT"/>
              </w:rPr>
            </w:pPr>
            <w:r>
              <w:rPr>
                <w:rFonts w:ascii="Times New Roman" w:eastAsia="Times New Roman" w:hAnsi="Times New Roman"/>
                <w:sz w:val="18"/>
                <w:szCs w:val="18"/>
                <w:lang w:eastAsia="lt-LT"/>
              </w:rPr>
              <w:t>7</w:t>
            </w:r>
          </w:p>
        </w:tc>
        <w:tc>
          <w:tcPr>
            <w:tcW w:w="1417" w:type="dxa"/>
            <w:shd w:val="clear" w:color="auto" w:fill="auto"/>
            <w:vAlign w:val="center"/>
          </w:tcPr>
          <w:p w:rsidR="00B30D13" w:rsidRPr="00FD7A80" w:rsidRDefault="00B30D13" w:rsidP="00B30D13">
            <w:pPr>
              <w:widowControl w:val="0"/>
              <w:tabs>
                <w:tab w:val="left" w:pos="622"/>
              </w:tabs>
              <w:spacing w:after="0" w:line="240" w:lineRule="auto"/>
              <w:jc w:val="center"/>
              <w:rPr>
                <w:rFonts w:ascii="Times New Roman" w:eastAsia="AngsanaUPC" w:hAnsi="Times New Roman"/>
                <w:bCs/>
                <w:iCs/>
                <w:sz w:val="18"/>
                <w:szCs w:val="18"/>
                <w:lang w:eastAsia="lt-LT"/>
              </w:rPr>
            </w:pPr>
            <w:r w:rsidRPr="00FD7A80">
              <w:rPr>
                <w:rFonts w:ascii="Times New Roman" w:eastAsia="AngsanaUPC" w:hAnsi="Times New Roman"/>
                <w:bCs/>
                <w:iCs/>
                <w:sz w:val="18"/>
                <w:szCs w:val="18"/>
                <w:lang w:eastAsia="lt-LT"/>
              </w:rPr>
              <w:t>Lietuvos statistikos departamentas</w:t>
            </w:r>
          </w:p>
        </w:tc>
        <w:tc>
          <w:tcPr>
            <w:tcW w:w="1241" w:type="dxa"/>
            <w:shd w:val="clear" w:color="auto" w:fill="auto"/>
            <w:vAlign w:val="center"/>
          </w:tcPr>
          <w:p w:rsidR="00B30D13" w:rsidRPr="00FD7A80" w:rsidRDefault="00B30D13" w:rsidP="00B30D13">
            <w:pPr>
              <w:widowControl w:val="0"/>
              <w:tabs>
                <w:tab w:val="left" w:pos="622"/>
              </w:tabs>
              <w:spacing w:after="0" w:line="240" w:lineRule="auto"/>
              <w:jc w:val="center"/>
              <w:rPr>
                <w:rFonts w:ascii="Times New Roman" w:eastAsia="AngsanaUPC" w:hAnsi="Times New Roman"/>
                <w:bCs/>
                <w:iCs/>
                <w:sz w:val="18"/>
                <w:szCs w:val="18"/>
                <w:lang w:eastAsia="lt-LT"/>
              </w:rPr>
            </w:pPr>
            <w:r w:rsidRPr="00FD7A80">
              <w:rPr>
                <w:rFonts w:ascii="Times New Roman" w:eastAsia="AngsanaUPC" w:hAnsi="Times New Roman"/>
                <w:bCs/>
                <w:iCs/>
                <w:sz w:val="18"/>
                <w:szCs w:val="18"/>
                <w:lang w:eastAsia="lt-LT"/>
              </w:rPr>
              <w:t>Kartą per metus</w:t>
            </w:r>
          </w:p>
        </w:tc>
      </w:tr>
      <w:tr w:rsidR="00B30D13" w:rsidRPr="00FD7A80" w:rsidTr="00827571">
        <w:tblPrEx>
          <w:shd w:val="clear" w:color="auto" w:fill="auto"/>
        </w:tblPrEx>
        <w:trPr>
          <w:trHeight w:val="187"/>
        </w:trPr>
        <w:tc>
          <w:tcPr>
            <w:tcW w:w="567" w:type="dxa"/>
            <w:shd w:val="clear" w:color="auto" w:fill="auto"/>
            <w:vAlign w:val="center"/>
          </w:tcPr>
          <w:p w:rsidR="00B30D13" w:rsidRPr="00FD7A80" w:rsidRDefault="00B30D13" w:rsidP="00B30D13">
            <w:pPr>
              <w:widowControl w:val="0"/>
              <w:tabs>
                <w:tab w:val="left" w:pos="622"/>
              </w:tabs>
              <w:spacing w:after="0" w:line="240" w:lineRule="auto"/>
              <w:jc w:val="center"/>
              <w:rPr>
                <w:rFonts w:ascii="Times New Roman" w:eastAsia="AngsanaUPC" w:hAnsi="Times New Roman"/>
                <w:bCs/>
                <w:iCs/>
                <w:sz w:val="18"/>
                <w:szCs w:val="18"/>
                <w:lang w:val="en-US" w:eastAsia="lt-LT"/>
              </w:rPr>
            </w:pPr>
            <w:r w:rsidRPr="00FD7A80">
              <w:rPr>
                <w:rFonts w:ascii="Times New Roman" w:eastAsia="AngsanaUPC" w:hAnsi="Times New Roman"/>
                <w:bCs/>
                <w:iCs/>
                <w:sz w:val="18"/>
                <w:szCs w:val="18"/>
                <w:lang w:val="en-US" w:eastAsia="lt-LT"/>
              </w:rPr>
              <w:lastRenderedPageBreak/>
              <w:t>2.</w:t>
            </w:r>
          </w:p>
        </w:tc>
        <w:tc>
          <w:tcPr>
            <w:tcW w:w="1560" w:type="dxa"/>
            <w:shd w:val="clear" w:color="auto" w:fill="auto"/>
            <w:vAlign w:val="center"/>
          </w:tcPr>
          <w:p w:rsidR="00B30D13" w:rsidRPr="00FD7A80" w:rsidRDefault="00B30D13" w:rsidP="00B30D13">
            <w:pPr>
              <w:autoSpaceDE w:val="0"/>
              <w:autoSpaceDN w:val="0"/>
              <w:adjustRightInd w:val="0"/>
              <w:spacing w:after="0" w:line="240" w:lineRule="auto"/>
              <w:rPr>
                <w:rFonts w:ascii="Times New Roman" w:eastAsia="Times New Roman" w:hAnsi="Times New Roman"/>
                <w:sz w:val="18"/>
                <w:szCs w:val="18"/>
                <w:lang w:eastAsia="lt-LT"/>
              </w:rPr>
            </w:pPr>
            <w:r w:rsidRPr="00FD7A80">
              <w:rPr>
                <w:rFonts w:ascii="Times New Roman" w:eastAsia="Times New Roman" w:hAnsi="Times New Roman"/>
                <w:sz w:val="18"/>
                <w:szCs w:val="18"/>
                <w:lang w:eastAsia="lt-LT"/>
              </w:rPr>
              <w:t>Verslo sektoriaus išlaidos MTEP, tenkančios vienam gyventojui</w:t>
            </w:r>
          </w:p>
        </w:tc>
        <w:tc>
          <w:tcPr>
            <w:tcW w:w="1134" w:type="dxa"/>
            <w:shd w:val="clear" w:color="auto" w:fill="auto"/>
            <w:vAlign w:val="center"/>
          </w:tcPr>
          <w:p w:rsidR="00B30D13" w:rsidRPr="00FD7A80" w:rsidRDefault="00B30D13" w:rsidP="00B30D13">
            <w:pPr>
              <w:widowControl w:val="0"/>
              <w:tabs>
                <w:tab w:val="left" w:pos="622"/>
              </w:tabs>
              <w:spacing w:after="0" w:line="240" w:lineRule="auto"/>
              <w:jc w:val="center"/>
              <w:rPr>
                <w:rFonts w:ascii="Times New Roman" w:eastAsia="Times New Roman" w:hAnsi="Times New Roman"/>
                <w:sz w:val="18"/>
                <w:szCs w:val="18"/>
                <w:lang w:val="en-US" w:eastAsia="lt-LT"/>
              </w:rPr>
            </w:pPr>
            <w:r w:rsidRPr="00FD7A80">
              <w:rPr>
                <w:rFonts w:ascii="Times New Roman" w:eastAsia="Times New Roman" w:hAnsi="Times New Roman"/>
                <w:sz w:val="18"/>
                <w:szCs w:val="18"/>
                <w:lang w:eastAsia="lt-LT"/>
              </w:rPr>
              <w:t>Eurai</w:t>
            </w:r>
          </w:p>
        </w:tc>
        <w:tc>
          <w:tcPr>
            <w:tcW w:w="1134" w:type="dxa"/>
            <w:shd w:val="clear" w:color="auto" w:fill="auto"/>
            <w:vAlign w:val="center"/>
          </w:tcPr>
          <w:p w:rsidR="00B30D13" w:rsidRPr="00FD7A80" w:rsidRDefault="00B30D13" w:rsidP="00B30D13">
            <w:pPr>
              <w:widowControl w:val="0"/>
              <w:tabs>
                <w:tab w:val="left" w:pos="622"/>
              </w:tabs>
              <w:spacing w:after="0" w:line="240" w:lineRule="auto"/>
              <w:jc w:val="center"/>
              <w:rPr>
                <w:rFonts w:ascii="Times New Roman" w:eastAsia="AngsanaUPC" w:hAnsi="Times New Roman"/>
                <w:bCs/>
                <w:iCs/>
                <w:sz w:val="18"/>
                <w:szCs w:val="18"/>
                <w:lang w:eastAsia="lt-LT"/>
              </w:rPr>
            </w:pPr>
            <w:r w:rsidRPr="00FD7A80">
              <w:rPr>
                <w:rFonts w:ascii="Times New Roman" w:eastAsia="AngsanaUPC" w:hAnsi="Times New Roman"/>
                <w:bCs/>
                <w:iCs/>
                <w:sz w:val="18"/>
                <w:szCs w:val="18"/>
                <w:lang w:eastAsia="lt-LT"/>
              </w:rPr>
              <w:t>Mažiau išsivystęs</w:t>
            </w:r>
          </w:p>
        </w:tc>
        <w:tc>
          <w:tcPr>
            <w:tcW w:w="850" w:type="dxa"/>
            <w:shd w:val="clear" w:color="auto" w:fill="auto"/>
            <w:vAlign w:val="center"/>
          </w:tcPr>
          <w:p w:rsidR="00B30D13" w:rsidRPr="00FD7A80" w:rsidRDefault="00B30D13" w:rsidP="00B30D13">
            <w:pPr>
              <w:widowControl w:val="0"/>
              <w:tabs>
                <w:tab w:val="left" w:pos="622"/>
              </w:tabs>
              <w:spacing w:after="0" w:line="240" w:lineRule="auto"/>
              <w:jc w:val="center"/>
              <w:rPr>
                <w:rFonts w:ascii="Times New Roman" w:eastAsia="Times New Roman" w:hAnsi="Times New Roman"/>
                <w:sz w:val="18"/>
                <w:szCs w:val="18"/>
                <w:lang w:eastAsia="lt-LT"/>
              </w:rPr>
            </w:pPr>
            <w:r w:rsidRPr="00FD7A80">
              <w:rPr>
                <w:rFonts w:ascii="Times New Roman" w:eastAsia="Times New Roman" w:hAnsi="Times New Roman"/>
                <w:sz w:val="18"/>
                <w:szCs w:val="18"/>
                <w:lang w:eastAsia="lt-LT"/>
              </w:rPr>
              <w:t>53</w:t>
            </w:r>
          </w:p>
        </w:tc>
        <w:tc>
          <w:tcPr>
            <w:tcW w:w="992" w:type="dxa"/>
            <w:shd w:val="clear" w:color="auto" w:fill="auto"/>
            <w:vAlign w:val="center"/>
          </w:tcPr>
          <w:p w:rsidR="00B30D13" w:rsidRPr="00FD7A80" w:rsidRDefault="00B30D13" w:rsidP="00B30D13">
            <w:pPr>
              <w:widowControl w:val="0"/>
              <w:tabs>
                <w:tab w:val="left" w:pos="622"/>
              </w:tabs>
              <w:spacing w:after="0" w:line="240" w:lineRule="auto"/>
              <w:jc w:val="center"/>
              <w:rPr>
                <w:rFonts w:ascii="Times New Roman" w:eastAsia="AngsanaUPC" w:hAnsi="Times New Roman"/>
                <w:bCs/>
                <w:iCs/>
                <w:sz w:val="18"/>
                <w:szCs w:val="18"/>
                <w:lang w:eastAsia="lt-LT"/>
              </w:rPr>
            </w:pPr>
            <w:r w:rsidRPr="00FD7A80">
              <w:rPr>
                <w:rFonts w:ascii="Times New Roman" w:eastAsia="AngsanaUPC" w:hAnsi="Times New Roman"/>
                <w:bCs/>
                <w:iCs/>
                <w:sz w:val="18"/>
                <w:szCs w:val="18"/>
                <w:lang w:eastAsia="lt-LT"/>
              </w:rPr>
              <w:t>2018</w:t>
            </w:r>
          </w:p>
        </w:tc>
        <w:tc>
          <w:tcPr>
            <w:tcW w:w="851" w:type="dxa"/>
            <w:shd w:val="clear" w:color="auto" w:fill="auto"/>
            <w:vAlign w:val="center"/>
          </w:tcPr>
          <w:p w:rsidR="00B30D13" w:rsidRPr="00827571" w:rsidRDefault="00827571" w:rsidP="00B30D13">
            <w:pPr>
              <w:widowControl w:val="0"/>
              <w:tabs>
                <w:tab w:val="left" w:pos="622"/>
              </w:tabs>
              <w:spacing w:after="0" w:line="240" w:lineRule="auto"/>
              <w:jc w:val="center"/>
              <w:rPr>
                <w:rFonts w:ascii="Times New Roman" w:eastAsia="Times New Roman" w:hAnsi="Times New Roman"/>
                <w:sz w:val="18"/>
                <w:szCs w:val="18"/>
                <w:lang w:eastAsia="lt-LT"/>
              </w:rPr>
            </w:pPr>
            <w:r w:rsidRPr="00827571">
              <w:rPr>
                <w:rFonts w:ascii="Times New Roman" w:eastAsia="Times New Roman" w:hAnsi="Times New Roman"/>
                <w:sz w:val="18"/>
                <w:szCs w:val="18"/>
                <w:lang w:eastAsia="lt-LT"/>
              </w:rPr>
              <w:t>60,70</w:t>
            </w:r>
          </w:p>
        </w:tc>
        <w:tc>
          <w:tcPr>
            <w:tcW w:w="1417" w:type="dxa"/>
            <w:shd w:val="clear" w:color="auto" w:fill="auto"/>
            <w:vAlign w:val="center"/>
          </w:tcPr>
          <w:p w:rsidR="00B30D13" w:rsidRPr="00FD7A80" w:rsidRDefault="00B30D13" w:rsidP="00B30D13">
            <w:pPr>
              <w:widowControl w:val="0"/>
              <w:tabs>
                <w:tab w:val="left" w:pos="622"/>
              </w:tabs>
              <w:spacing w:after="0" w:line="240" w:lineRule="auto"/>
              <w:jc w:val="center"/>
              <w:rPr>
                <w:rFonts w:ascii="Times New Roman" w:eastAsia="AngsanaUPC" w:hAnsi="Times New Roman"/>
                <w:bCs/>
                <w:iCs/>
                <w:sz w:val="18"/>
                <w:szCs w:val="18"/>
                <w:lang w:eastAsia="lt-LT"/>
              </w:rPr>
            </w:pPr>
            <w:r w:rsidRPr="00FD7A80">
              <w:rPr>
                <w:rFonts w:ascii="Times New Roman" w:eastAsia="AngsanaUPC" w:hAnsi="Times New Roman"/>
                <w:bCs/>
                <w:iCs/>
                <w:sz w:val="18"/>
                <w:szCs w:val="18"/>
                <w:lang w:eastAsia="lt-LT"/>
              </w:rPr>
              <w:t>Eurostatas</w:t>
            </w:r>
          </w:p>
        </w:tc>
        <w:tc>
          <w:tcPr>
            <w:tcW w:w="1241" w:type="dxa"/>
            <w:shd w:val="clear" w:color="auto" w:fill="auto"/>
            <w:vAlign w:val="center"/>
          </w:tcPr>
          <w:p w:rsidR="00B30D13" w:rsidRPr="00FD7A80" w:rsidRDefault="00B30D13" w:rsidP="00B30D13">
            <w:pPr>
              <w:widowControl w:val="0"/>
              <w:tabs>
                <w:tab w:val="left" w:pos="622"/>
              </w:tabs>
              <w:spacing w:after="0" w:line="240" w:lineRule="auto"/>
              <w:jc w:val="center"/>
              <w:rPr>
                <w:rFonts w:ascii="Times New Roman" w:eastAsia="AngsanaUPC" w:hAnsi="Times New Roman"/>
                <w:bCs/>
                <w:iCs/>
                <w:sz w:val="18"/>
                <w:szCs w:val="18"/>
                <w:lang w:eastAsia="lt-LT"/>
              </w:rPr>
            </w:pPr>
            <w:r w:rsidRPr="00FD7A80">
              <w:rPr>
                <w:rFonts w:ascii="Times New Roman" w:eastAsia="AngsanaUPC" w:hAnsi="Times New Roman"/>
                <w:bCs/>
                <w:iCs/>
                <w:sz w:val="18"/>
                <w:szCs w:val="18"/>
                <w:lang w:eastAsia="lt-LT"/>
              </w:rPr>
              <w:t>Kartą per metus</w:t>
            </w:r>
          </w:p>
        </w:tc>
      </w:tr>
      <w:tr w:rsidR="00B30D13" w:rsidRPr="00FD7A80" w:rsidTr="00827571">
        <w:tblPrEx>
          <w:shd w:val="clear" w:color="auto" w:fill="auto"/>
        </w:tblPrEx>
        <w:trPr>
          <w:trHeight w:val="187"/>
        </w:trPr>
        <w:tc>
          <w:tcPr>
            <w:tcW w:w="567" w:type="dxa"/>
            <w:shd w:val="clear" w:color="auto" w:fill="auto"/>
            <w:vAlign w:val="center"/>
          </w:tcPr>
          <w:p w:rsidR="00B30D13" w:rsidRPr="00FD7A80" w:rsidRDefault="00B30D13" w:rsidP="00B30D13">
            <w:pPr>
              <w:widowControl w:val="0"/>
              <w:tabs>
                <w:tab w:val="left" w:pos="622"/>
              </w:tabs>
              <w:spacing w:after="0" w:line="240" w:lineRule="auto"/>
              <w:jc w:val="center"/>
              <w:rPr>
                <w:rFonts w:ascii="Times New Roman" w:eastAsia="AngsanaUPC" w:hAnsi="Times New Roman"/>
                <w:bCs/>
                <w:iCs/>
                <w:sz w:val="18"/>
                <w:szCs w:val="18"/>
                <w:lang w:val="en-US" w:eastAsia="lt-LT"/>
              </w:rPr>
            </w:pPr>
            <w:r w:rsidRPr="00FD7A80">
              <w:rPr>
                <w:rFonts w:ascii="Times New Roman" w:eastAsia="AngsanaUPC" w:hAnsi="Times New Roman"/>
                <w:bCs/>
                <w:iCs/>
                <w:sz w:val="18"/>
                <w:szCs w:val="18"/>
                <w:lang w:val="en-US" w:eastAsia="lt-LT"/>
              </w:rPr>
              <w:t>3.</w:t>
            </w:r>
          </w:p>
        </w:tc>
        <w:tc>
          <w:tcPr>
            <w:tcW w:w="1560" w:type="dxa"/>
            <w:shd w:val="clear" w:color="auto" w:fill="auto"/>
            <w:vAlign w:val="center"/>
          </w:tcPr>
          <w:p w:rsidR="00B30D13" w:rsidRPr="00FD7A80" w:rsidRDefault="00B30D13" w:rsidP="00B30D13">
            <w:pPr>
              <w:autoSpaceDE w:val="0"/>
              <w:autoSpaceDN w:val="0"/>
              <w:adjustRightInd w:val="0"/>
              <w:spacing w:after="0" w:line="240" w:lineRule="auto"/>
              <w:rPr>
                <w:rFonts w:ascii="Times New Roman" w:eastAsia="Times New Roman" w:hAnsi="Times New Roman"/>
                <w:sz w:val="18"/>
                <w:szCs w:val="18"/>
                <w:lang w:eastAsia="lt-LT"/>
              </w:rPr>
            </w:pPr>
            <w:r w:rsidRPr="00FD7A80">
              <w:rPr>
                <w:rFonts w:ascii="Times New Roman" w:eastAsia="Times New Roman" w:hAnsi="Times New Roman"/>
                <w:sz w:val="18"/>
                <w:szCs w:val="18"/>
                <w:lang w:eastAsia="lt-LT"/>
              </w:rPr>
              <w:t>Pridėtinė vertė gamybos sąnaudomis, sukurta MVĮ, tenkanti vienam darbuotojui</w:t>
            </w:r>
            <w:r w:rsidRPr="00FD7A80">
              <w:rPr>
                <w:rFonts w:ascii="Times New Roman" w:eastAsia="Times New Roman" w:hAnsi="Times New Roman"/>
                <w:sz w:val="18"/>
                <w:szCs w:val="18"/>
                <w:vertAlign w:val="superscript"/>
                <w:lang w:eastAsia="lt-LT"/>
              </w:rPr>
              <w:t>1</w:t>
            </w:r>
          </w:p>
        </w:tc>
        <w:tc>
          <w:tcPr>
            <w:tcW w:w="1134" w:type="dxa"/>
            <w:shd w:val="clear" w:color="auto" w:fill="auto"/>
            <w:vAlign w:val="center"/>
          </w:tcPr>
          <w:p w:rsidR="00B30D13" w:rsidRPr="00FD7A80" w:rsidRDefault="00B30D13" w:rsidP="00827571">
            <w:pPr>
              <w:autoSpaceDE w:val="0"/>
              <w:autoSpaceDN w:val="0"/>
              <w:adjustRightInd w:val="0"/>
              <w:spacing w:after="0" w:line="240" w:lineRule="auto"/>
              <w:jc w:val="center"/>
              <w:rPr>
                <w:rFonts w:ascii="Times New Roman" w:eastAsia="Times New Roman" w:hAnsi="Times New Roman"/>
                <w:sz w:val="18"/>
                <w:szCs w:val="18"/>
                <w:lang w:eastAsia="lt-LT"/>
              </w:rPr>
            </w:pPr>
            <w:r w:rsidRPr="00FD7A80">
              <w:rPr>
                <w:rFonts w:ascii="Times New Roman" w:eastAsia="Times New Roman" w:hAnsi="Times New Roman"/>
                <w:sz w:val="18"/>
                <w:szCs w:val="18"/>
                <w:lang w:eastAsia="lt-LT"/>
              </w:rPr>
              <w:t>Eurai per</w:t>
            </w:r>
            <w:r w:rsidR="00827571">
              <w:rPr>
                <w:rFonts w:ascii="Times New Roman" w:eastAsia="Times New Roman" w:hAnsi="Times New Roman"/>
                <w:sz w:val="18"/>
                <w:szCs w:val="18"/>
                <w:lang w:eastAsia="lt-LT"/>
              </w:rPr>
              <w:t xml:space="preserve"> </w:t>
            </w:r>
            <w:r w:rsidRPr="00FD7A80">
              <w:rPr>
                <w:rFonts w:ascii="Times New Roman" w:eastAsia="Times New Roman" w:hAnsi="Times New Roman"/>
                <w:sz w:val="18"/>
                <w:szCs w:val="18"/>
                <w:lang w:eastAsia="lt-LT"/>
              </w:rPr>
              <w:t>metus</w:t>
            </w:r>
          </w:p>
        </w:tc>
        <w:tc>
          <w:tcPr>
            <w:tcW w:w="1134" w:type="dxa"/>
            <w:shd w:val="clear" w:color="auto" w:fill="auto"/>
            <w:vAlign w:val="center"/>
          </w:tcPr>
          <w:p w:rsidR="00B30D13" w:rsidRPr="00FD7A80" w:rsidRDefault="00B30D13" w:rsidP="00B30D13">
            <w:pPr>
              <w:widowControl w:val="0"/>
              <w:tabs>
                <w:tab w:val="left" w:pos="622"/>
              </w:tabs>
              <w:spacing w:after="0" w:line="240" w:lineRule="auto"/>
              <w:jc w:val="center"/>
              <w:rPr>
                <w:rFonts w:ascii="Times New Roman" w:eastAsia="AngsanaUPC" w:hAnsi="Times New Roman"/>
                <w:bCs/>
                <w:iCs/>
                <w:sz w:val="18"/>
                <w:szCs w:val="18"/>
                <w:lang w:eastAsia="lt-LT"/>
              </w:rPr>
            </w:pPr>
            <w:r w:rsidRPr="00FD7A80">
              <w:rPr>
                <w:rFonts w:ascii="Times New Roman" w:eastAsia="AngsanaUPC" w:hAnsi="Times New Roman"/>
                <w:bCs/>
                <w:iCs/>
                <w:sz w:val="18"/>
                <w:szCs w:val="18"/>
                <w:lang w:eastAsia="lt-LT"/>
              </w:rPr>
              <w:t>Mažiau išsivystęs</w:t>
            </w:r>
          </w:p>
        </w:tc>
        <w:tc>
          <w:tcPr>
            <w:tcW w:w="850" w:type="dxa"/>
            <w:shd w:val="clear" w:color="auto" w:fill="auto"/>
            <w:vAlign w:val="center"/>
          </w:tcPr>
          <w:p w:rsidR="00B30D13" w:rsidRPr="00FD7A80" w:rsidRDefault="00B30D13" w:rsidP="00B30D13">
            <w:pPr>
              <w:widowControl w:val="0"/>
              <w:tabs>
                <w:tab w:val="left" w:pos="622"/>
              </w:tabs>
              <w:spacing w:after="0" w:line="240" w:lineRule="auto"/>
              <w:jc w:val="center"/>
              <w:rPr>
                <w:rFonts w:ascii="Times New Roman" w:eastAsia="Times New Roman" w:hAnsi="Times New Roman"/>
                <w:sz w:val="18"/>
                <w:szCs w:val="18"/>
                <w:lang w:eastAsia="lt-LT"/>
              </w:rPr>
            </w:pPr>
            <w:r w:rsidRPr="00FD7A80">
              <w:rPr>
                <w:rFonts w:ascii="Times New Roman" w:eastAsia="Times New Roman" w:hAnsi="Times New Roman"/>
                <w:sz w:val="18"/>
                <w:szCs w:val="18"/>
                <w:lang w:eastAsia="lt-LT"/>
              </w:rPr>
              <w:t>17.202</w:t>
            </w:r>
          </w:p>
        </w:tc>
        <w:tc>
          <w:tcPr>
            <w:tcW w:w="992" w:type="dxa"/>
            <w:shd w:val="clear" w:color="auto" w:fill="auto"/>
            <w:vAlign w:val="center"/>
          </w:tcPr>
          <w:p w:rsidR="00B30D13" w:rsidRPr="00FD7A80" w:rsidRDefault="00B30D13" w:rsidP="00B30D13">
            <w:pPr>
              <w:widowControl w:val="0"/>
              <w:tabs>
                <w:tab w:val="left" w:pos="622"/>
              </w:tabs>
              <w:spacing w:after="0" w:line="240" w:lineRule="auto"/>
              <w:jc w:val="center"/>
              <w:rPr>
                <w:rFonts w:ascii="Times New Roman" w:eastAsia="AngsanaUPC" w:hAnsi="Times New Roman"/>
                <w:bCs/>
                <w:iCs/>
                <w:sz w:val="18"/>
                <w:szCs w:val="18"/>
                <w:lang w:eastAsia="lt-LT"/>
              </w:rPr>
            </w:pPr>
            <w:r w:rsidRPr="00FD7A80">
              <w:rPr>
                <w:rFonts w:ascii="Times New Roman" w:eastAsia="AngsanaUPC" w:hAnsi="Times New Roman"/>
                <w:bCs/>
                <w:iCs/>
                <w:sz w:val="18"/>
                <w:szCs w:val="18"/>
                <w:lang w:eastAsia="lt-LT"/>
              </w:rPr>
              <w:t>2017</w:t>
            </w:r>
          </w:p>
        </w:tc>
        <w:tc>
          <w:tcPr>
            <w:tcW w:w="851" w:type="dxa"/>
            <w:shd w:val="clear" w:color="auto" w:fill="auto"/>
            <w:vAlign w:val="center"/>
          </w:tcPr>
          <w:p w:rsidR="00B30D13" w:rsidRPr="00827571" w:rsidRDefault="00827571" w:rsidP="00B30D13">
            <w:pPr>
              <w:widowControl w:val="0"/>
              <w:tabs>
                <w:tab w:val="left" w:pos="622"/>
              </w:tabs>
              <w:spacing w:after="0" w:line="240" w:lineRule="auto"/>
              <w:jc w:val="center"/>
              <w:rPr>
                <w:rFonts w:ascii="Times New Roman" w:eastAsia="Times New Roman" w:hAnsi="Times New Roman"/>
                <w:sz w:val="18"/>
                <w:szCs w:val="18"/>
                <w:lang w:eastAsia="lt-LT"/>
              </w:rPr>
            </w:pPr>
            <w:r w:rsidRPr="00827571">
              <w:rPr>
                <w:rFonts w:ascii="Times New Roman" w:eastAsia="Times New Roman" w:hAnsi="Times New Roman"/>
                <w:sz w:val="18"/>
                <w:szCs w:val="18"/>
                <w:lang w:eastAsia="lt-LT"/>
              </w:rPr>
              <w:t>17.726</w:t>
            </w:r>
          </w:p>
        </w:tc>
        <w:tc>
          <w:tcPr>
            <w:tcW w:w="1417" w:type="dxa"/>
            <w:shd w:val="clear" w:color="auto" w:fill="auto"/>
            <w:vAlign w:val="center"/>
          </w:tcPr>
          <w:p w:rsidR="00B30D13" w:rsidRPr="00FD7A80" w:rsidRDefault="00B30D13" w:rsidP="00B30D13">
            <w:pPr>
              <w:widowControl w:val="0"/>
              <w:tabs>
                <w:tab w:val="left" w:pos="622"/>
              </w:tabs>
              <w:spacing w:after="0" w:line="240" w:lineRule="auto"/>
              <w:jc w:val="center"/>
              <w:rPr>
                <w:rFonts w:ascii="Times New Roman" w:eastAsia="AngsanaUPC" w:hAnsi="Times New Roman"/>
                <w:bCs/>
                <w:iCs/>
                <w:sz w:val="18"/>
                <w:szCs w:val="18"/>
                <w:lang w:eastAsia="lt-LT"/>
              </w:rPr>
            </w:pPr>
            <w:r w:rsidRPr="00FD7A80">
              <w:rPr>
                <w:rFonts w:ascii="Times New Roman" w:eastAsia="AngsanaUPC" w:hAnsi="Times New Roman"/>
                <w:bCs/>
                <w:iCs/>
                <w:sz w:val="18"/>
                <w:szCs w:val="18"/>
                <w:lang w:eastAsia="lt-LT"/>
              </w:rPr>
              <w:t>Eurostatas</w:t>
            </w:r>
          </w:p>
        </w:tc>
        <w:tc>
          <w:tcPr>
            <w:tcW w:w="1241" w:type="dxa"/>
            <w:shd w:val="clear" w:color="auto" w:fill="auto"/>
            <w:vAlign w:val="center"/>
          </w:tcPr>
          <w:p w:rsidR="00B30D13" w:rsidRPr="00FD7A80" w:rsidRDefault="00B30D13" w:rsidP="00B30D13">
            <w:pPr>
              <w:widowControl w:val="0"/>
              <w:tabs>
                <w:tab w:val="left" w:pos="622"/>
              </w:tabs>
              <w:spacing w:after="0" w:line="240" w:lineRule="auto"/>
              <w:jc w:val="center"/>
              <w:rPr>
                <w:rFonts w:ascii="Times New Roman" w:eastAsia="AngsanaUPC" w:hAnsi="Times New Roman"/>
                <w:bCs/>
                <w:iCs/>
                <w:sz w:val="18"/>
                <w:szCs w:val="18"/>
                <w:lang w:eastAsia="lt-LT"/>
              </w:rPr>
            </w:pPr>
            <w:r w:rsidRPr="00FD7A80">
              <w:rPr>
                <w:rFonts w:ascii="Times New Roman" w:eastAsia="AngsanaUPC" w:hAnsi="Times New Roman"/>
                <w:bCs/>
                <w:iCs/>
                <w:sz w:val="18"/>
                <w:szCs w:val="18"/>
                <w:lang w:eastAsia="lt-LT"/>
              </w:rPr>
              <w:t>Kartą per metus</w:t>
            </w:r>
          </w:p>
        </w:tc>
      </w:tr>
      <w:tr w:rsidR="00B30D13" w:rsidRPr="00FD7A80" w:rsidTr="00827571">
        <w:tblPrEx>
          <w:shd w:val="clear" w:color="auto" w:fill="auto"/>
        </w:tblPrEx>
        <w:trPr>
          <w:trHeight w:val="187"/>
        </w:trPr>
        <w:tc>
          <w:tcPr>
            <w:tcW w:w="567" w:type="dxa"/>
            <w:shd w:val="clear" w:color="auto" w:fill="auto"/>
            <w:vAlign w:val="center"/>
          </w:tcPr>
          <w:p w:rsidR="00B30D13" w:rsidRPr="00FD7A80" w:rsidRDefault="00B30D13" w:rsidP="00B30D13">
            <w:pPr>
              <w:widowControl w:val="0"/>
              <w:tabs>
                <w:tab w:val="left" w:pos="622"/>
              </w:tabs>
              <w:spacing w:after="0" w:line="240" w:lineRule="auto"/>
              <w:jc w:val="center"/>
              <w:rPr>
                <w:rFonts w:ascii="Times New Roman" w:eastAsia="AngsanaUPC" w:hAnsi="Times New Roman"/>
                <w:bCs/>
                <w:iCs/>
                <w:sz w:val="18"/>
                <w:szCs w:val="18"/>
                <w:lang w:val="en-US" w:eastAsia="lt-LT"/>
              </w:rPr>
            </w:pPr>
            <w:r w:rsidRPr="00FD7A80">
              <w:rPr>
                <w:rFonts w:ascii="Times New Roman" w:eastAsia="AngsanaUPC" w:hAnsi="Times New Roman"/>
                <w:bCs/>
                <w:iCs/>
                <w:sz w:val="18"/>
                <w:szCs w:val="18"/>
                <w:lang w:val="en-US" w:eastAsia="lt-LT"/>
              </w:rPr>
              <w:t>4.</w:t>
            </w:r>
          </w:p>
        </w:tc>
        <w:tc>
          <w:tcPr>
            <w:tcW w:w="1560" w:type="dxa"/>
            <w:shd w:val="clear" w:color="auto" w:fill="auto"/>
            <w:vAlign w:val="center"/>
          </w:tcPr>
          <w:p w:rsidR="00B30D13" w:rsidRPr="00FD7A80" w:rsidRDefault="00B30D13" w:rsidP="00B30D13">
            <w:pPr>
              <w:autoSpaceDE w:val="0"/>
              <w:autoSpaceDN w:val="0"/>
              <w:adjustRightInd w:val="0"/>
              <w:spacing w:after="0" w:line="240" w:lineRule="auto"/>
              <w:rPr>
                <w:rFonts w:ascii="Times New Roman" w:eastAsia="Times New Roman" w:hAnsi="Times New Roman"/>
                <w:sz w:val="18"/>
                <w:szCs w:val="18"/>
                <w:lang w:eastAsia="lt-LT"/>
              </w:rPr>
            </w:pPr>
            <w:r w:rsidRPr="00FD7A80">
              <w:rPr>
                <w:rFonts w:ascii="Times New Roman" w:eastAsia="Times New Roman" w:hAnsi="Times New Roman"/>
                <w:sz w:val="18"/>
                <w:szCs w:val="18"/>
                <w:lang w:eastAsia="lt-LT"/>
              </w:rPr>
              <w:t>Kultūros sektoriaus sukuriamos pridėtinės vertės dalis, palyginti su visa sukuriama verte</w:t>
            </w:r>
          </w:p>
        </w:tc>
        <w:tc>
          <w:tcPr>
            <w:tcW w:w="1134" w:type="dxa"/>
            <w:shd w:val="clear" w:color="auto" w:fill="auto"/>
            <w:vAlign w:val="center"/>
          </w:tcPr>
          <w:p w:rsidR="00B30D13" w:rsidRPr="00FD7A80" w:rsidRDefault="00B30D13" w:rsidP="00B30D13">
            <w:pPr>
              <w:autoSpaceDE w:val="0"/>
              <w:autoSpaceDN w:val="0"/>
              <w:adjustRightInd w:val="0"/>
              <w:spacing w:after="0" w:line="240" w:lineRule="auto"/>
              <w:jc w:val="center"/>
              <w:rPr>
                <w:rFonts w:ascii="Times New Roman" w:eastAsia="Times New Roman" w:hAnsi="Times New Roman"/>
                <w:sz w:val="18"/>
                <w:szCs w:val="18"/>
                <w:lang w:eastAsia="lt-LT"/>
              </w:rPr>
            </w:pPr>
            <w:r w:rsidRPr="00FD7A80">
              <w:rPr>
                <w:rFonts w:ascii="Times New Roman" w:eastAsia="Times New Roman" w:hAnsi="Times New Roman"/>
                <w:sz w:val="18"/>
                <w:szCs w:val="18"/>
                <w:lang w:eastAsia="lt-LT"/>
              </w:rPr>
              <w:t>Proc.</w:t>
            </w:r>
          </w:p>
        </w:tc>
        <w:tc>
          <w:tcPr>
            <w:tcW w:w="1134" w:type="dxa"/>
            <w:shd w:val="clear" w:color="auto" w:fill="auto"/>
            <w:vAlign w:val="center"/>
          </w:tcPr>
          <w:p w:rsidR="00B30D13" w:rsidRPr="00FD7A80" w:rsidRDefault="00B30D13" w:rsidP="00B30D13">
            <w:pPr>
              <w:widowControl w:val="0"/>
              <w:tabs>
                <w:tab w:val="left" w:pos="622"/>
              </w:tabs>
              <w:spacing w:after="0" w:line="240" w:lineRule="auto"/>
              <w:jc w:val="center"/>
              <w:rPr>
                <w:rFonts w:ascii="Times New Roman" w:eastAsia="AngsanaUPC" w:hAnsi="Times New Roman"/>
                <w:bCs/>
                <w:iCs/>
                <w:sz w:val="18"/>
                <w:szCs w:val="18"/>
                <w:lang w:eastAsia="lt-LT"/>
              </w:rPr>
            </w:pPr>
            <w:r w:rsidRPr="00FD7A80">
              <w:rPr>
                <w:rFonts w:ascii="Times New Roman" w:eastAsia="AngsanaUPC" w:hAnsi="Times New Roman"/>
                <w:bCs/>
                <w:iCs/>
                <w:sz w:val="18"/>
                <w:szCs w:val="18"/>
                <w:lang w:eastAsia="lt-LT"/>
              </w:rPr>
              <w:t>Mažiau išsivystęs</w:t>
            </w:r>
          </w:p>
        </w:tc>
        <w:tc>
          <w:tcPr>
            <w:tcW w:w="850" w:type="dxa"/>
            <w:shd w:val="clear" w:color="auto" w:fill="auto"/>
            <w:vAlign w:val="center"/>
          </w:tcPr>
          <w:p w:rsidR="00B30D13" w:rsidRPr="00FD7A80" w:rsidRDefault="00B30D13" w:rsidP="00B30D13">
            <w:pPr>
              <w:widowControl w:val="0"/>
              <w:tabs>
                <w:tab w:val="left" w:pos="622"/>
              </w:tabs>
              <w:spacing w:after="0" w:line="240" w:lineRule="auto"/>
              <w:jc w:val="center"/>
              <w:rPr>
                <w:rFonts w:ascii="Times New Roman" w:eastAsia="Times New Roman" w:hAnsi="Times New Roman"/>
                <w:sz w:val="18"/>
                <w:szCs w:val="18"/>
                <w:lang w:eastAsia="lt-LT"/>
              </w:rPr>
            </w:pPr>
            <w:r w:rsidRPr="00FD7A80">
              <w:rPr>
                <w:rFonts w:ascii="Times New Roman" w:eastAsia="Times New Roman" w:hAnsi="Times New Roman"/>
                <w:sz w:val="18"/>
                <w:szCs w:val="18"/>
                <w:lang w:eastAsia="lt-LT"/>
              </w:rPr>
              <w:t>2,2</w:t>
            </w:r>
          </w:p>
        </w:tc>
        <w:tc>
          <w:tcPr>
            <w:tcW w:w="992" w:type="dxa"/>
            <w:shd w:val="clear" w:color="auto" w:fill="auto"/>
            <w:vAlign w:val="center"/>
          </w:tcPr>
          <w:p w:rsidR="00B30D13" w:rsidRPr="00FD7A80" w:rsidRDefault="00B30D13" w:rsidP="00B30D13">
            <w:pPr>
              <w:widowControl w:val="0"/>
              <w:tabs>
                <w:tab w:val="left" w:pos="622"/>
              </w:tabs>
              <w:spacing w:after="0" w:line="240" w:lineRule="auto"/>
              <w:jc w:val="center"/>
              <w:rPr>
                <w:rFonts w:ascii="Times New Roman" w:eastAsia="AngsanaUPC" w:hAnsi="Times New Roman"/>
                <w:bCs/>
                <w:iCs/>
                <w:sz w:val="18"/>
                <w:szCs w:val="18"/>
                <w:lang w:eastAsia="lt-LT"/>
              </w:rPr>
            </w:pPr>
            <w:r w:rsidRPr="00FD7A80">
              <w:rPr>
                <w:rFonts w:ascii="Times New Roman" w:eastAsia="AngsanaUPC" w:hAnsi="Times New Roman"/>
                <w:bCs/>
                <w:iCs/>
                <w:sz w:val="18"/>
                <w:szCs w:val="18"/>
                <w:lang w:eastAsia="lt-LT"/>
              </w:rPr>
              <w:t>2017</w:t>
            </w:r>
          </w:p>
        </w:tc>
        <w:tc>
          <w:tcPr>
            <w:tcW w:w="851" w:type="dxa"/>
            <w:shd w:val="clear" w:color="auto" w:fill="auto"/>
            <w:vAlign w:val="center"/>
          </w:tcPr>
          <w:p w:rsidR="00B30D13" w:rsidRPr="00827571" w:rsidRDefault="00B30D13" w:rsidP="00827571">
            <w:pPr>
              <w:widowControl w:val="0"/>
              <w:tabs>
                <w:tab w:val="left" w:pos="622"/>
              </w:tabs>
              <w:spacing w:after="0" w:line="240" w:lineRule="auto"/>
              <w:jc w:val="center"/>
              <w:rPr>
                <w:rFonts w:ascii="Times New Roman" w:eastAsia="Times New Roman" w:hAnsi="Times New Roman"/>
                <w:sz w:val="18"/>
                <w:szCs w:val="18"/>
                <w:lang w:eastAsia="lt-LT"/>
              </w:rPr>
            </w:pPr>
            <w:r w:rsidRPr="00827571">
              <w:rPr>
                <w:rFonts w:ascii="Times New Roman" w:eastAsia="Times New Roman" w:hAnsi="Times New Roman"/>
                <w:sz w:val="18"/>
                <w:szCs w:val="18"/>
                <w:lang w:eastAsia="lt-LT"/>
              </w:rPr>
              <w:t>2,</w:t>
            </w:r>
            <w:r w:rsidR="00827571" w:rsidRPr="00827571">
              <w:rPr>
                <w:rFonts w:ascii="Times New Roman" w:eastAsia="Times New Roman" w:hAnsi="Times New Roman"/>
                <w:sz w:val="18"/>
                <w:szCs w:val="18"/>
                <w:lang w:eastAsia="lt-LT"/>
              </w:rPr>
              <w:t>6</w:t>
            </w:r>
          </w:p>
        </w:tc>
        <w:tc>
          <w:tcPr>
            <w:tcW w:w="1417" w:type="dxa"/>
            <w:shd w:val="clear" w:color="auto" w:fill="auto"/>
            <w:vAlign w:val="center"/>
          </w:tcPr>
          <w:p w:rsidR="00B30D13" w:rsidRPr="00FD7A80" w:rsidRDefault="00B30D13" w:rsidP="00B30D13">
            <w:pPr>
              <w:autoSpaceDE w:val="0"/>
              <w:autoSpaceDN w:val="0"/>
              <w:adjustRightInd w:val="0"/>
              <w:spacing w:after="0" w:line="240" w:lineRule="auto"/>
              <w:jc w:val="center"/>
              <w:rPr>
                <w:rFonts w:ascii="Times New Roman" w:eastAsia="Times New Roman" w:hAnsi="Times New Roman"/>
                <w:sz w:val="18"/>
                <w:szCs w:val="18"/>
                <w:lang w:val="en-US" w:eastAsia="lt-LT"/>
              </w:rPr>
            </w:pPr>
            <w:r w:rsidRPr="00FD7A80">
              <w:rPr>
                <w:rFonts w:ascii="Times New Roman" w:eastAsia="AngsanaUPC" w:hAnsi="Times New Roman"/>
                <w:bCs/>
                <w:iCs/>
                <w:sz w:val="18"/>
                <w:szCs w:val="18"/>
                <w:lang w:eastAsia="lt-LT"/>
              </w:rPr>
              <w:t>Lietuvos statistikos departamentas</w:t>
            </w:r>
          </w:p>
        </w:tc>
        <w:tc>
          <w:tcPr>
            <w:tcW w:w="1241" w:type="dxa"/>
            <w:shd w:val="clear" w:color="auto" w:fill="auto"/>
            <w:vAlign w:val="center"/>
          </w:tcPr>
          <w:p w:rsidR="00B30D13" w:rsidRPr="00FD7A80" w:rsidRDefault="00B30D13" w:rsidP="00B30D13">
            <w:pPr>
              <w:widowControl w:val="0"/>
              <w:tabs>
                <w:tab w:val="left" w:pos="622"/>
              </w:tabs>
              <w:spacing w:after="0" w:line="240" w:lineRule="auto"/>
              <w:jc w:val="center"/>
              <w:rPr>
                <w:rFonts w:ascii="Times New Roman" w:eastAsia="AngsanaUPC" w:hAnsi="Times New Roman"/>
                <w:bCs/>
                <w:iCs/>
                <w:sz w:val="18"/>
                <w:szCs w:val="18"/>
                <w:lang w:eastAsia="lt-LT"/>
              </w:rPr>
            </w:pPr>
            <w:r w:rsidRPr="00FD7A80">
              <w:rPr>
                <w:rFonts w:ascii="Times New Roman" w:eastAsia="AngsanaUPC" w:hAnsi="Times New Roman"/>
                <w:bCs/>
                <w:iCs/>
                <w:sz w:val="18"/>
                <w:szCs w:val="18"/>
                <w:lang w:eastAsia="lt-LT"/>
              </w:rPr>
              <w:t>Kartą per metus</w:t>
            </w:r>
          </w:p>
        </w:tc>
      </w:tr>
      <w:tr w:rsidR="00B30D13" w:rsidRPr="00FD7A80" w:rsidTr="00827571">
        <w:tblPrEx>
          <w:shd w:val="clear" w:color="auto" w:fill="auto"/>
        </w:tblPrEx>
        <w:trPr>
          <w:trHeight w:val="187"/>
        </w:trPr>
        <w:tc>
          <w:tcPr>
            <w:tcW w:w="567" w:type="dxa"/>
            <w:shd w:val="clear" w:color="auto" w:fill="auto"/>
            <w:vAlign w:val="center"/>
          </w:tcPr>
          <w:p w:rsidR="00B30D13" w:rsidRPr="00FD7A80" w:rsidRDefault="00B30D13" w:rsidP="00B30D13">
            <w:pPr>
              <w:widowControl w:val="0"/>
              <w:tabs>
                <w:tab w:val="left" w:pos="622"/>
              </w:tabs>
              <w:spacing w:after="0" w:line="240" w:lineRule="auto"/>
              <w:jc w:val="center"/>
              <w:rPr>
                <w:rFonts w:ascii="Times New Roman" w:eastAsia="AngsanaUPC" w:hAnsi="Times New Roman"/>
                <w:bCs/>
                <w:iCs/>
                <w:sz w:val="18"/>
                <w:szCs w:val="18"/>
                <w:lang w:val="en-US" w:eastAsia="lt-LT"/>
              </w:rPr>
            </w:pPr>
            <w:r w:rsidRPr="00FD7A80">
              <w:rPr>
                <w:rFonts w:ascii="Times New Roman" w:eastAsia="AngsanaUPC" w:hAnsi="Times New Roman"/>
                <w:bCs/>
                <w:iCs/>
                <w:sz w:val="18"/>
                <w:szCs w:val="18"/>
                <w:lang w:val="en-US" w:eastAsia="lt-LT"/>
              </w:rPr>
              <w:t>5.</w:t>
            </w:r>
          </w:p>
        </w:tc>
        <w:tc>
          <w:tcPr>
            <w:tcW w:w="1560" w:type="dxa"/>
            <w:shd w:val="clear" w:color="auto" w:fill="auto"/>
            <w:vAlign w:val="center"/>
          </w:tcPr>
          <w:p w:rsidR="00B30D13" w:rsidRPr="00FD7A80" w:rsidRDefault="00B30D13" w:rsidP="00B30D13">
            <w:pPr>
              <w:autoSpaceDE w:val="0"/>
              <w:autoSpaceDN w:val="0"/>
              <w:adjustRightInd w:val="0"/>
              <w:spacing w:after="0" w:line="240" w:lineRule="auto"/>
              <w:rPr>
                <w:rFonts w:ascii="Times New Roman" w:eastAsia="Times New Roman" w:hAnsi="Times New Roman"/>
                <w:sz w:val="18"/>
                <w:szCs w:val="18"/>
                <w:highlight w:val="yellow"/>
                <w:lang w:eastAsia="lt-LT"/>
              </w:rPr>
            </w:pPr>
            <w:r w:rsidRPr="00FD7A80">
              <w:rPr>
                <w:rFonts w:ascii="Times New Roman" w:eastAsia="Times New Roman" w:hAnsi="Times New Roman"/>
                <w:sz w:val="18"/>
                <w:szCs w:val="18"/>
                <w:lang w:eastAsia="lt-LT"/>
              </w:rPr>
              <w:t>Standartizuoto 0–64 m. amžiaus gyventojų mirtingumo sumažėjimas tikslinėse teritorijose</w:t>
            </w:r>
            <w:r w:rsidRPr="00FD7A80">
              <w:rPr>
                <w:rFonts w:ascii="Times New Roman" w:eastAsia="Times New Roman" w:hAnsi="Times New Roman"/>
                <w:sz w:val="18"/>
                <w:szCs w:val="18"/>
                <w:vertAlign w:val="superscript"/>
                <w:lang w:eastAsia="lt-LT"/>
              </w:rPr>
              <w:t>2</w:t>
            </w:r>
            <w:r w:rsidRPr="00FD7A80">
              <w:rPr>
                <w:rFonts w:ascii="Times New Roman" w:eastAsia="Times New Roman" w:hAnsi="Times New Roman"/>
                <w:sz w:val="18"/>
                <w:szCs w:val="18"/>
                <w:lang w:eastAsia="lt-LT"/>
              </w:rPr>
              <w:t xml:space="preserve"> nuo kraujotakos ligų</w:t>
            </w:r>
          </w:p>
        </w:tc>
        <w:tc>
          <w:tcPr>
            <w:tcW w:w="1134" w:type="dxa"/>
            <w:shd w:val="clear" w:color="auto" w:fill="auto"/>
            <w:vAlign w:val="center"/>
          </w:tcPr>
          <w:p w:rsidR="00B30D13" w:rsidRPr="00FD7A80" w:rsidRDefault="00B30D13" w:rsidP="00B30D13">
            <w:pPr>
              <w:widowControl w:val="0"/>
              <w:tabs>
                <w:tab w:val="left" w:pos="622"/>
              </w:tabs>
              <w:spacing w:after="0" w:line="240" w:lineRule="auto"/>
              <w:jc w:val="center"/>
              <w:rPr>
                <w:rFonts w:ascii="Times New Roman" w:eastAsia="Times New Roman" w:hAnsi="Times New Roman"/>
                <w:sz w:val="18"/>
                <w:szCs w:val="18"/>
                <w:lang w:eastAsia="lt-LT"/>
              </w:rPr>
            </w:pPr>
            <w:r w:rsidRPr="00FD7A80">
              <w:rPr>
                <w:rFonts w:ascii="Times New Roman" w:eastAsia="Times New Roman" w:hAnsi="Times New Roman"/>
                <w:sz w:val="18"/>
                <w:szCs w:val="18"/>
                <w:lang w:eastAsia="lt-LT"/>
              </w:rPr>
              <w:t>Atvejų skaičius</w:t>
            </w:r>
          </w:p>
          <w:p w:rsidR="00B30D13" w:rsidRPr="00FD7A80" w:rsidRDefault="00B30D13" w:rsidP="00B30D13">
            <w:pPr>
              <w:autoSpaceDE w:val="0"/>
              <w:autoSpaceDN w:val="0"/>
              <w:adjustRightInd w:val="0"/>
              <w:spacing w:after="0" w:line="240" w:lineRule="auto"/>
              <w:jc w:val="center"/>
              <w:rPr>
                <w:rFonts w:ascii="Times New Roman" w:eastAsia="Times New Roman" w:hAnsi="Times New Roman"/>
                <w:sz w:val="18"/>
                <w:szCs w:val="18"/>
                <w:lang w:eastAsia="lt-LT"/>
              </w:rPr>
            </w:pPr>
            <w:r w:rsidRPr="00FD7A80">
              <w:rPr>
                <w:rFonts w:ascii="Times New Roman" w:eastAsia="Times New Roman" w:hAnsi="Times New Roman"/>
                <w:sz w:val="18"/>
                <w:szCs w:val="18"/>
                <w:lang w:eastAsia="lt-LT"/>
              </w:rPr>
              <w:t>100000 gyv.</w:t>
            </w:r>
          </w:p>
        </w:tc>
        <w:tc>
          <w:tcPr>
            <w:tcW w:w="1134" w:type="dxa"/>
            <w:shd w:val="clear" w:color="auto" w:fill="auto"/>
            <w:vAlign w:val="center"/>
          </w:tcPr>
          <w:p w:rsidR="00B30D13" w:rsidRPr="00FD7A80" w:rsidRDefault="00B30D13" w:rsidP="00B30D13">
            <w:pPr>
              <w:widowControl w:val="0"/>
              <w:tabs>
                <w:tab w:val="left" w:pos="622"/>
              </w:tabs>
              <w:spacing w:after="0" w:line="240" w:lineRule="auto"/>
              <w:jc w:val="center"/>
              <w:rPr>
                <w:rFonts w:ascii="Times New Roman" w:eastAsia="AngsanaUPC" w:hAnsi="Times New Roman"/>
                <w:bCs/>
                <w:iCs/>
                <w:sz w:val="18"/>
                <w:szCs w:val="18"/>
                <w:lang w:eastAsia="lt-LT"/>
              </w:rPr>
            </w:pPr>
            <w:r w:rsidRPr="00FD7A80">
              <w:rPr>
                <w:rFonts w:ascii="Times New Roman" w:eastAsia="AngsanaUPC" w:hAnsi="Times New Roman"/>
                <w:bCs/>
                <w:iCs/>
                <w:sz w:val="18"/>
                <w:szCs w:val="18"/>
                <w:lang w:eastAsia="lt-LT"/>
              </w:rPr>
              <w:t>Mažiau išsivystęs</w:t>
            </w:r>
          </w:p>
        </w:tc>
        <w:tc>
          <w:tcPr>
            <w:tcW w:w="850" w:type="dxa"/>
            <w:shd w:val="clear" w:color="auto" w:fill="auto"/>
            <w:vAlign w:val="center"/>
          </w:tcPr>
          <w:p w:rsidR="00B30D13" w:rsidRPr="00FD7A80" w:rsidRDefault="00B30D13" w:rsidP="00B30D13">
            <w:pPr>
              <w:widowControl w:val="0"/>
              <w:tabs>
                <w:tab w:val="left" w:pos="622"/>
              </w:tabs>
              <w:spacing w:after="0" w:line="240" w:lineRule="auto"/>
              <w:jc w:val="center"/>
              <w:rPr>
                <w:rFonts w:ascii="Times New Roman" w:eastAsia="Times New Roman" w:hAnsi="Times New Roman"/>
                <w:sz w:val="18"/>
                <w:szCs w:val="18"/>
                <w:lang w:eastAsia="lt-LT"/>
              </w:rPr>
            </w:pPr>
            <w:r w:rsidRPr="00FD7A80">
              <w:rPr>
                <w:rFonts w:ascii="Times New Roman" w:eastAsia="Times New Roman" w:hAnsi="Times New Roman"/>
                <w:sz w:val="18"/>
                <w:szCs w:val="18"/>
                <w:lang w:eastAsia="lt-LT"/>
              </w:rPr>
              <w:t>111,89</w:t>
            </w:r>
          </w:p>
        </w:tc>
        <w:tc>
          <w:tcPr>
            <w:tcW w:w="992" w:type="dxa"/>
            <w:shd w:val="clear" w:color="auto" w:fill="auto"/>
            <w:vAlign w:val="center"/>
          </w:tcPr>
          <w:p w:rsidR="00B30D13" w:rsidRPr="00FD7A80" w:rsidRDefault="00B30D13" w:rsidP="00B30D13">
            <w:pPr>
              <w:widowControl w:val="0"/>
              <w:tabs>
                <w:tab w:val="left" w:pos="622"/>
              </w:tabs>
              <w:spacing w:after="0" w:line="240" w:lineRule="auto"/>
              <w:jc w:val="center"/>
              <w:rPr>
                <w:rFonts w:ascii="Times New Roman" w:eastAsia="AngsanaUPC" w:hAnsi="Times New Roman"/>
                <w:bCs/>
                <w:iCs/>
                <w:sz w:val="18"/>
                <w:szCs w:val="18"/>
                <w:lang w:eastAsia="lt-LT"/>
              </w:rPr>
            </w:pPr>
            <w:r w:rsidRPr="00FD7A80">
              <w:rPr>
                <w:rFonts w:ascii="Times New Roman" w:eastAsia="Times New Roman" w:hAnsi="Times New Roman"/>
                <w:sz w:val="18"/>
                <w:szCs w:val="18"/>
                <w:lang w:eastAsia="lt-LT"/>
              </w:rPr>
              <w:t>2019</w:t>
            </w:r>
          </w:p>
        </w:tc>
        <w:tc>
          <w:tcPr>
            <w:tcW w:w="851" w:type="dxa"/>
            <w:shd w:val="clear" w:color="auto" w:fill="auto"/>
            <w:vAlign w:val="center"/>
          </w:tcPr>
          <w:p w:rsidR="00B30D13" w:rsidRPr="00827571" w:rsidRDefault="00827571" w:rsidP="00B30D13">
            <w:pPr>
              <w:widowControl w:val="0"/>
              <w:tabs>
                <w:tab w:val="left" w:pos="622"/>
              </w:tabs>
              <w:spacing w:after="0" w:line="240" w:lineRule="auto"/>
              <w:jc w:val="center"/>
              <w:rPr>
                <w:rFonts w:ascii="Times New Roman" w:eastAsia="Times New Roman" w:hAnsi="Times New Roman"/>
                <w:sz w:val="18"/>
                <w:szCs w:val="18"/>
                <w:lang w:eastAsia="lt-LT"/>
              </w:rPr>
            </w:pPr>
            <w:r w:rsidRPr="00827571">
              <w:rPr>
                <w:rFonts w:ascii="Times New Roman" w:eastAsia="Times New Roman" w:hAnsi="Times New Roman"/>
                <w:sz w:val="18"/>
                <w:szCs w:val="18"/>
                <w:lang w:eastAsia="lt-LT"/>
              </w:rPr>
              <w:t>105</w:t>
            </w:r>
          </w:p>
        </w:tc>
        <w:tc>
          <w:tcPr>
            <w:tcW w:w="1417" w:type="dxa"/>
            <w:shd w:val="clear" w:color="auto" w:fill="auto"/>
            <w:vAlign w:val="center"/>
          </w:tcPr>
          <w:p w:rsidR="00B30D13" w:rsidRPr="00FD7A80" w:rsidRDefault="00B30D13" w:rsidP="00B30D13">
            <w:pPr>
              <w:autoSpaceDE w:val="0"/>
              <w:autoSpaceDN w:val="0"/>
              <w:adjustRightInd w:val="0"/>
              <w:spacing w:after="0" w:line="240" w:lineRule="auto"/>
              <w:jc w:val="center"/>
              <w:rPr>
                <w:rFonts w:ascii="Times New Roman" w:eastAsia="AngsanaUPC" w:hAnsi="Times New Roman"/>
                <w:bCs/>
                <w:iCs/>
                <w:sz w:val="18"/>
                <w:szCs w:val="18"/>
                <w:lang w:eastAsia="lt-LT"/>
              </w:rPr>
            </w:pPr>
            <w:r w:rsidRPr="00FD7A80">
              <w:rPr>
                <w:rFonts w:ascii="Times New Roman" w:eastAsia="AngsanaUPC" w:hAnsi="Times New Roman"/>
                <w:bCs/>
                <w:iCs/>
                <w:sz w:val="18"/>
                <w:szCs w:val="18"/>
                <w:lang w:eastAsia="lt-LT"/>
              </w:rPr>
              <w:t>Higienos institutas</w:t>
            </w:r>
          </w:p>
        </w:tc>
        <w:tc>
          <w:tcPr>
            <w:tcW w:w="1241" w:type="dxa"/>
            <w:shd w:val="clear" w:color="auto" w:fill="auto"/>
            <w:vAlign w:val="center"/>
          </w:tcPr>
          <w:p w:rsidR="00B30D13" w:rsidRPr="00FD7A80" w:rsidRDefault="00B30D13" w:rsidP="00B30D13">
            <w:pPr>
              <w:widowControl w:val="0"/>
              <w:tabs>
                <w:tab w:val="left" w:pos="622"/>
              </w:tabs>
              <w:spacing w:after="0" w:line="240" w:lineRule="auto"/>
              <w:jc w:val="center"/>
              <w:rPr>
                <w:rFonts w:ascii="Times New Roman" w:eastAsia="AngsanaUPC" w:hAnsi="Times New Roman"/>
                <w:bCs/>
                <w:iCs/>
                <w:sz w:val="18"/>
                <w:szCs w:val="18"/>
                <w:lang w:eastAsia="lt-LT"/>
              </w:rPr>
            </w:pPr>
            <w:r w:rsidRPr="00FD7A80">
              <w:rPr>
                <w:rFonts w:ascii="Times New Roman" w:eastAsia="AngsanaUPC" w:hAnsi="Times New Roman"/>
                <w:bCs/>
                <w:iCs/>
                <w:sz w:val="18"/>
                <w:szCs w:val="18"/>
                <w:lang w:eastAsia="lt-LT"/>
              </w:rPr>
              <w:t>Kartą per metus</w:t>
            </w:r>
          </w:p>
        </w:tc>
      </w:tr>
      <w:tr w:rsidR="00B30D13" w:rsidRPr="00FD7A80" w:rsidTr="00827571">
        <w:tblPrEx>
          <w:shd w:val="clear" w:color="auto" w:fill="auto"/>
        </w:tblPrEx>
        <w:trPr>
          <w:trHeight w:val="187"/>
        </w:trPr>
        <w:tc>
          <w:tcPr>
            <w:tcW w:w="567" w:type="dxa"/>
            <w:shd w:val="clear" w:color="auto" w:fill="auto"/>
            <w:vAlign w:val="center"/>
          </w:tcPr>
          <w:p w:rsidR="00B30D13" w:rsidRPr="00FD7A80" w:rsidRDefault="00B30D13" w:rsidP="00B30D13">
            <w:pPr>
              <w:widowControl w:val="0"/>
              <w:tabs>
                <w:tab w:val="left" w:pos="622"/>
              </w:tabs>
              <w:spacing w:after="0" w:line="240" w:lineRule="auto"/>
              <w:jc w:val="center"/>
              <w:rPr>
                <w:rFonts w:ascii="Times New Roman" w:eastAsia="AngsanaUPC" w:hAnsi="Times New Roman"/>
                <w:bCs/>
                <w:iCs/>
                <w:sz w:val="18"/>
                <w:szCs w:val="18"/>
                <w:lang w:val="en-US" w:eastAsia="lt-LT"/>
              </w:rPr>
            </w:pPr>
            <w:r w:rsidRPr="00FD7A80">
              <w:rPr>
                <w:rFonts w:ascii="Times New Roman" w:eastAsia="AngsanaUPC" w:hAnsi="Times New Roman"/>
                <w:bCs/>
                <w:iCs/>
                <w:sz w:val="18"/>
                <w:szCs w:val="18"/>
                <w:lang w:val="en-US" w:eastAsia="lt-LT"/>
              </w:rPr>
              <w:t>6.</w:t>
            </w:r>
          </w:p>
        </w:tc>
        <w:tc>
          <w:tcPr>
            <w:tcW w:w="1560" w:type="dxa"/>
            <w:shd w:val="clear" w:color="auto" w:fill="auto"/>
            <w:vAlign w:val="center"/>
          </w:tcPr>
          <w:p w:rsidR="00B30D13" w:rsidRPr="00FD7A80" w:rsidRDefault="00B30D13" w:rsidP="00827571">
            <w:pPr>
              <w:autoSpaceDE w:val="0"/>
              <w:autoSpaceDN w:val="0"/>
              <w:adjustRightInd w:val="0"/>
              <w:spacing w:after="0" w:line="240" w:lineRule="auto"/>
              <w:rPr>
                <w:rFonts w:ascii="Times New Roman" w:eastAsia="Times New Roman" w:hAnsi="Times New Roman"/>
                <w:sz w:val="18"/>
                <w:szCs w:val="18"/>
                <w:highlight w:val="yellow"/>
                <w:lang w:eastAsia="lt-LT"/>
              </w:rPr>
            </w:pPr>
            <w:r w:rsidRPr="00FD7A80">
              <w:rPr>
                <w:rFonts w:ascii="Times New Roman" w:eastAsia="Times New Roman" w:hAnsi="Times New Roman"/>
                <w:sz w:val="18"/>
                <w:szCs w:val="18"/>
                <w:lang w:eastAsia="lt-LT"/>
              </w:rPr>
              <w:t>Standartizuoto 0–64 m.</w:t>
            </w:r>
            <w:r w:rsidR="000B7AE5">
              <w:rPr>
                <w:rFonts w:ascii="Times New Roman" w:eastAsia="Times New Roman" w:hAnsi="Times New Roman"/>
                <w:sz w:val="18"/>
                <w:szCs w:val="18"/>
                <w:lang w:eastAsia="lt-LT"/>
              </w:rPr>
              <w:t xml:space="preserve"> </w:t>
            </w:r>
            <w:r w:rsidRPr="00FD7A80">
              <w:rPr>
                <w:rFonts w:ascii="Times New Roman" w:eastAsia="Times New Roman" w:hAnsi="Times New Roman"/>
                <w:sz w:val="18"/>
                <w:szCs w:val="18"/>
                <w:lang w:eastAsia="lt-LT"/>
              </w:rPr>
              <w:t>amžiaus gyventojų</w:t>
            </w:r>
            <w:r w:rsidR="00827571">
              <w:rPr>
                <w:rFonts w:ascii="Times New Roman" w:eastAsia="Times New Roman" w:hAnsi="Times New Roman"/>
                <w:sz w:val="18"/>
                <w:szCs w:val="18"/>
                <w:lang w:eastAsia="lt-LT"/>
              </w:rPr>
              <w:t xml:space="preserve"> </w:t>
            </w:r>
            <w:r w:rsidRPr="00FD7A80">
              <w:rPr>
                <w:rFonts w:ascii="Times New Roman" w:eastAsia="Times New Roman" w:hAnsi="Times New Roman"/>
                <w:sz w:val="18"/>
                <w:szCs w:val="18"/>
                <w:lang w:eastAsia="lt-LT"/>
              </w:rPr>
              <w:t>mirtingumo sumažėjimas</w:t>
            </w:r>
            <w:r w:rsidR="000B7AE5">
              <w:rPr>
                <w:rFonts w:ascii="Times New Roman" w:eastAsia="Times New Roman" w:hAnsi="Times New Roman"/>
                <w:sz w:val="18"/>
                <w:szCs w:val="18"/>
                <w:lang w:eastAsia="lt-LT"/>
              </w:rPr>
              <w:t xml:space="preserve"> </w:t>
            </w:r>
            <w:r w:rsidRPr="00FD7A80">
              <w:rPr>
                <w:rFonts w:ascii="Times New Roman" w:eastAsia="Times New Roman" w:hAnsi="Times New Roman"/>
                <w:sz w:val="18"/>
                <w:szCs w:val="18"/>
                <w:lang w:eastAsia="lt-LT"/>
              </w:rPr>
              <w:t>tikslinėse teritorijose nuo</w:t>
            </w:r>
            <w:r w:rsidR="000B7AE5">
              <w:rPr>
                <w:rFonts w:ascii="Times New Roman" w:eastAsia="Times New Roman" w:hAnsi="Times New Roman"/>
                <w:sz w:val="18"/>
                <w:szCs w:val="18"/>
                <w:lang w:eastAsia="lt-LT"/>
              </w:rPr>
              <w:t xml:space="preserve"> </w:t>
            </w:r>
            <w:r w:rsidRPr="00FD7A80">
              <w:rPr>
                <w:rFonts w:ascii="Times New Roman" w:eastAsia="Times New Roman" w:hAnsi="Times New Roman"/>
                <w:sz w:val="18"/>
                <w:szCs w:val="18"/>
                <w:lang w:eastAsia="lt-LT"/>
              </w:rPr>
              <w:t>piktybinių navikų</w:t>
            </w:r>
          </w:p>
        </w:tc>
        <w:tc>
          <w:tcPr>
            <w:tcW w:w="1134" w:type="dxa"/>
            <w:shd w:val="clear" w:color="auto" w:fill="auto"/>
            <w:vAlign w:val="center"/>
          </w:tcPr>
          <w:p w:rsidR="00B30D13" w:rsidRPr="00FD7A80" w:rsidRDefault="00B30D13" w:rsidP="00B30D13">
            <w:pPr>
              <w:widowControl w:val="0"/>
              <w:tabs>
                <w:tab w:val="left" w:pos="622"/>
              </w:tabs>
              <w:spacing w:after="0" w:line="240" w:lineRule="auto"/>
              <w:jc w:val="center"/>
              <w:rPr>
                <w:rFonts w:ascii="Times New Roman" w:eastAsia="Times New Roman" w:hAnsi="Times New Roman"/>
                <w:sz w:val="18"/>
                <w:szCs w:val="18"/>
                <w:lang w:eastAsia="lt-LT"/>
              </w:rPr>
            </w:pPr>
            <w:r w:rsidRPr="00FD7A80">
              <w:rPr>
                <w:rFonts w:ascii="Times New Roman" w:eastAsia="Times New Roman" w:hAnsi="Times New Roman"/>
                <w:sz w:val="18"/>
                <w:szCs w:val="18"/>
                <w:lang w:eastAsia="lt-LT"/>
              </w:rPr>
              <w:t>Atvejų skaičius</w:t>
            </w:r>
          </w:p>
          <w:p w:rsidR="00B30D13" w:rsidRPr="00FD7A80" w:rsidRDefault="00B30D13" w:rsidP="00B30D13">
            <w:pPr>
              <w:autoSpaceDE w:val="0"/>
              <w:autoSpaceDN w:val="0"/>
              <w:adjustRightInd w:val="0"/>
              <w:spacing w:after="0" w:line="240" w:lineRule="auto"/>
              <w:jc w:val="center"/>
              <w:rPr>
                <w:rFonts w:ascii="Times New Roman" w:eastAsia="Times New Roman" w:hAnsi="Times New Roman"/>
                <w:sz w:val="18"/>
                <w:szCs w:val="18"/>
                <w:lang w:eastAsia="lt-LT"/>
              </w:rPr>
            </w:pPr>
            <w:r w:rsidRPr="00FD7A80">
              <w:rPr>
                <w:rFonts w:ascii="Times New Roman" w:eastAsia="Times New Roman" w:hAnsi="Times New Roman"/>
                <w:sz w:val="18"/>
                <w:szCs w:val="18"/>
                <w:lang w:eastAsia="lt-LT"/>
              </w:rPr>
              <w:t>100000 gyv.</w:t>
            </w:r>
          </w:p>
        </w:tc>
        <w:tc>
          <w:tcPr>
            <w:tcW w:w="1134" w:type="dxa"/>
            <w:shd w:val="clear" w:color="auto" w:fill="auto"/>
            <w:vAlign w:val="center"/>
          </w:tcPr>
          <w:p w:rsidR="00B30D13" w:rsidRPr="00FD7A80" w:rsidRDefault="00B30D13" w:rsidP="00B30D13">
            <w:pPr>
              <w:widowControl w:val="0"/>
              <w:tabs>
                <w:tab w:val="left" w:pos="622"/>
              </w:tabs>
              <w:spacing w:after="0" w:line="240" w:lineRule="auto"/>
              <w:jc w:val="center"/>
              <w:rPr>
                <w:rFonts w:ascii="Times New Roman" w:eastAsia="AngsanaUPC" w:hAnsi="Times New Roman"/>
                <w:bCs/>
                <w:iCs/>
                <w:sz w:val="18"/>
                <w:szCs w:val="18"/>
                <w:lang w:eastAsia="lt-LT"/>
              </w:rPr>
            </w:pPr>
            <w:r w:rsidRPr="00FD7A80">
              <w:rPr>
                <w:rFonts w:ascii="Times New Roman" w:eastAsia="AngsanaUPC" w:hAnsi="Times New Roman"/>
                <w:bCs/>
                <w:iCs/>
                <w:sz w:val="18"/>
                <w:szCs w:val="18"/>
                <w:lang w:eastAsia="lt-LT"/>
              </w:rPr>
              <w:t>Mažiau išsivystęs</w:t>
            </w:r>
          </w:p>
        </w:tc>
        <w:tc>
          <w:tcPr>
            <w:tcW w:w="850" w:type="dxa"/>
            <w:shd w:val="clear" w:color="auto" w:fill="auto"/>
            <w:vAlign w:val="center"/>
          </w:tcPr>
          <w:p w:rsidR="00B30D13" w:rsidRPr="00FD7A80" w:rsidRDefault="00B30D13" w:rsidP="00B30D13">
            <w:pPr>
              <w:widowControl w:val="0"/>
              <w:tabs>
                <w:tab w:val="left" w:pos="622"/>
              </w:tabs>
              <w:spacing w:after="0" w:line="240" w:lineRule="auto"/>
              <w:jc w:val="center"/>
              <w:rPr>
                <w:rFonts w:ascii="Times New Roman" w:eastAsia="Times New Roman" w:hAnsi="Times New Roman"/>
                <w:sz w:val="18"/>
                <w:szCs w:val="18"/>
                <w:lang w:eastAsia="lt-LT"/>
              </w:rPr>
            </w:pPr>
            <w:r w:rsidRPr="00FD7A80">
              <w:rPr>
                <w:rFonts w:ascii="Times New Roman" w:eastAsia="Times New Roman" w:hAnsi="Times New Roman"/>
                <w:sz w:val="18"/>
                <w:szCs w:val="18"/>
                <w:lang w:eastAsia="lt-LT"/>
              </w:rPr>
              <w:t>93,08</w:t>
            </w:r>
          </w:p>
        </w:tc>
        <w:tc>
          <w:tcPr>
            <w:tcW w:w="992" w:type="dxa"/>
            <w:shd w:val="clear" w:color="auto" w:fill="auto"/>
            <w:vAlign w:val="center"/>
          </w:tcPr>
          <w:p w:rsidR="00B30D13" w:rsidRPr="00FD7A80" w:rsidRDefault="00B30D13" w:rsidP="00B30D13">
            <w:pPr>
              <w:widowControl w:val="0"/>
              <w:tabs>
                <w:tab w:val="left" w:pos="622"/>
              </w:tabs>
              <w:spacing w:after="0" w:line="240" w:lineRule="auto"/>
              <w:jc w:val="center"/>
              <w:rPr>
                <w:rFonts w:ascii="Times New Roman" w:eastAsia="AngsanaUPC" w:hAnsi="Times New Roman"/>
                <w:bCs/>
                <w:iCs/>
                <w:sz w:val="18"/>
                <w:szCs w:val="18"/>
                <w:lang w:eastAsia="lt-LT"/>
              </w:rPr>
            </w:pPr>
            <w:r w:rsidRPr="00FD7A80">
              <w:rPr>
                <w:rFonts w:ascii="Times New Roman" w:eastAsia="AngsanaUPC" w:hAnsi="Times New Roman"/>
                <w:bCs/>
                <w:iCs/>
                <w:sz w:val="18"/>
                <w:szCs w:val="18"/>
                <w:lang w:eastAsia="lt-LT"/>
              </w:rPr>
              <w:t>2019</w:t>
            </w:r>
          </w:p>
        </w:tc>
        <w:tc>
          <w:tcPr>
            <w:tcW w:w="851" w:type="dxa"/>
            <w:shd w:val="clear" w:color="auto" w:fill="auto"/>
            <w:vAlign w:val="center"/>
          </w:tcPr>
          <w:p w:rsidR="00B30D13" w:rsidRPr="00827571" w:rsidRDefault="00827571" w:rsidP="00B30D13">
            <w:pPr>
              <w:widowControl w:val="0"/>
              <w:tabs>
                <w:tab w:val="left" w:pos="622"/>
              </w:tabs>
              <w:spacing w:after="0" w:line="240" w:lineRule="auto"/>
              <w:jc w:val="center"/>
              <w:rPr>
                <w:rFonts w:ascii="Times New Roman" w:eastAsia="Times New Roman" w:hAnsi="Times New Roman"/>
                <w:sz w:val="18"/>
                <w:szCs w:val="18"/>
                <w:lang w:eastAsia="lt-LT"/>
              </w:rPr>
            </w:pPr>
            <w:r w:rsidRPr="00827571">
              <w:rPr>
                <w:rFonts w:ascii="Times New Roman" w:eastAsia="Times New Roman" w:hAnsi="Times New Roman"/>
                <w:sz w:val="18"/>
                <w:szCs w:val="18"/>
                <w:lang w:eastAsia="lt-LT"/>
              </w:rPr>
              <w:t>78</w:t>
            </w:r>
          </w:p>
        </w:tc>
        <w:tc>
          <w:tcPr>
            <w:tcW w:w="1417" w:type="dxa"/>
            <w:shd w:val="clear" w:color="auto" w:fill="auto"/>
            <w:vAlign w:val="center"/>
          </w:tcPr>
          <w:p w:rsidR="00B30D13" w:rsidRPr="00FD7A80" w:rsidRDefault="00B30D13" w:rsidP="00B30D13">
            <w:pPr>
              <w:autoSpaceDE w:val="0"/>
              <w:autoSpaceDN w:val="0"/>
              <w:adjustRightInd w:val="0"/>
              <w:spacing w:after="0" w:line="240" w:lineRule="auto"/>
              <w:jc w:val="center"/>
              <w:rPr>
                <w:rFonts w:ascii="Times New Roman" w:eastAsia="AngsanaUPC" w:hAnsi="Times New Roman"/>
                <w:bCs/>
                <w:iCs/>
                <w:sz w:val="18"/>
                <w:szCs w:val="18"/>
                <w:lang w:eastAsia="lt-LT"/>
              </w:rPr>
            </w:pPr>
            <w:r w:rsidRPr="00FD7A80">
              <w:rPr>
                <w:rFonts w:ascii="Times New Roman" w:eastAsia="AngsanaUPC" w:hAnsi="Times New Roman"/>
                <w:bCs/>
                <w:iCs/>
                <w:sz w:val="18"/>
                <w:szCs w:val="18"/>
                <w:lang w:eastAsia="lt-LT"/>
              </w:rPr>
              <w:t>Higienos institutas</w:t>
            </w:r>
          </w:p>
        </w:tc>
        <w:tc>
          <w:tcPr>
            <w:tcW w:w="1241" w:type="dxa"/>
            <w:shd w:val="clear" w:color="auto" w:fill="auto"/>
            <w:vAlign w:val="center"/>
          </w:tcPr>
          <w:p w:rsidR="00B30D13" w:rsidRPr="00FD7A80" w:rsidRDefault="00B30D13" w:rsidP="00B30D13">
            <w:pPr>
              <w:widowControl w:val="0"/>
              <w:tabs>
                <w:tab w:val="left" w:pos="622"/>
              </w:tabs>
              <w:spacing w:after="0" w:line="240" w:lineRule="auto"/>
              <w:jc w:val="center"/>
              <w:rPr>
                <w:rFonts w:ascii="Times New Roman" w:eastAsia="AngsanaUPC" w:hAnsi="Times New Roman"/>
                <w:bCs/>
                <w:iCs/>
                <w:sz w:val="18"/>
                <w:szCs w:val="18"/>
                <w:lang w:eastAsia="lt-LT"/>
              </w:rPr>
            </w:pPr>
            <w:r w:rsidRPr="00FD7A80">
              <w:rPr>
                <w:rFonts w:ascii="Times New Roman" w:eastAsia="AngsanaUPC" w:hAnsi="Times New Roman"/>
                <w:bCs/>
                <w:iCs/>
                <w:sz w:val="18"/>
                <w:szCs w:val="18"/>
                <w:lang w:eastAsia="lt-LT"/>
              </w:rPr>
              <w:t>Kartą per metus</w:t>
            </w:r>
          </w:p>
        </w:tc>
      </w:tr>
    </w:tbl>
    <w:p w:rsidR="00B30D13" w:rsidRPr="00FD7A80" w:rsidRDefault="00B30D13" w:rsidP="00B30D13">
      <w:pPr>
        <w:widowControl w:val="0"/>
        <w:spacing w:after="0" w:line="240" w:lineRule="auto"/>
        <w:jc w:val="both"/>
        <w:textAlignment w:val="baseline"/>
        <w:rPr>
          <w:rFonts w:ascii="Times New Roman" w:eastAsia="Times New Roman" w:hAnsi="Times New Roman"/>
          <w:sz w:val="16"/>
          <w:szCs w:val="16"/>
          <w:lang w:eastAsia="lt-LT"/>
        </w:rPr>
      </w:pPr>
      <w:r w:rsidRPr="00FD7A80">
        <w:rPr>
          <w:rFonts w:ascii="Times New Roman" w:eastAsia="Times New Roman" w:hAnsi="Times New Roman"/>
          <w:color w:val="000000"/>
          <w:sz w:val="16"/>
          <w:szCs w:val="16"/>
          <w:vertAlign w:val="superscript"/>
        </w:rPr>
        <w:t>1</w:t>
      </w:r>
      <w:r w:rsidRPr="00FD7A80">
        <w:rPr>
          <w:rFonts w:ascii="Times New Roman" w:eastAsia="Times New Roman" w:hAnsi="Times New Roman"/>
          <w:bCs/>
          <w:i/>
          <w:iCs/>
          <w:sz w:val="16"/>
          <w:szCs w:val="16"/>
          <w:lang w:eastAsia="lt-LT"/>
        </w:rPr>
        <w:t xml:space="preserve"> </w:t>
      </w:r>
      <w:r w:rsidRPr="00FD7A80">
        <w:rPr>
          <w:rFonts w:ascii="Times New Roman" w:eastAsia="Times New Roman" w:hAnsi="Times New Roman"/>
          <w:sz w:val="16"/>
          <w:szCs w:val="16"/>
          <w:lang w:eastAsia="lt-LT"/>
        </w:rPr>
        <w:t>Visos SVV įmonės be finansų ir draudimo srities įmonių.</w:t>
      </w:r>
    </w:p>
    <w:p w:rsidR="00B30D13" w:rsidRPr="00FD7A80" w:rsidRDefault="00B30D13" w:rsidP="00B30D13">
      <w:pPr>
        <w:autoSpaceDE w:val="0"/>
        <w:autoSpaceDN w:val="0"/>
        <w:adjustRightInd w:val="0"/>
        <w:spacing w:after="0" w:line="240" w:lineRule="auto"/>
        <w:rPr>
          <w:rFonts w:ascii="Times New Roman" w:eastAsia="Times New Roman" w:hAnsi="Times New Roman"/>
          <w:sz w:val="16"/>
          <w:szCs w:val="16"/>
          <w:lang w:eastAsia="lt-LT"/>
        </w:rPr>
      </w:pPr>
      <w:r w:rsidRPr="00FD7A80">
        <w:rPr>
          <w:rFonts w:ascii="Times New Roman" w:eastAsia="Times New Roman" w:hAnsi="Times New Roman"/>
          <w:sz w:val="16"/>
          <w:szCs w:val="16"/>
          <w:vertAlign w:val="superscript"/>
          <w:lang w:eastAsia="lt-LT"/>
        </w:rPr>
        <w:t>2</w:t>
      </w:r>
      <w:r w:rsidRPr="00FD7A80">
        <w:rPr>
          <w:rFonts w:ascii="Times New Roman" w:eastAsia="Times New Roman" w:hAnsi="Times New Roman"/>
          <w:sz w:val="16"/>
          <w:szCs w:val="16"/>
          <w:lang w:eastAsia="lt-LT"/>
        </w:rPr>
        <w:t xml:space="preserve"> Tikslinės teritorijos:</w:t>
      </w:r>
    </w:p>
    <w:p w:rsidR="00B30D13" w:rsidRPr="00FD7A80" w:rsidRDefault="00B30D13" w:rsidP="00B30D13">
      <w:pPr>
        <w:autoSpaceDE w:val="0"/>
        <w:autoSpaceDN w:val="0"/>
        <w:adjustRightInd w:val="0"/>
        <w:spacing w:after="0" w:line="240" w:lineRule="auto"/>
        <w:rPr>
          <w:rFonts w:ascii="Times New Roman" w:eastAsia="Times New Roman" w:hAnsi="Times New Roman"/>
          <w:sz w:val="16"/>
          <w:szCs w:val="16"/>
          <w:lang w:eastAsia="lt-LT"/>
        </w:rPr>
      </w:pPr>
      <w:r w:rsidRPr="00FD7A80">
        <w:rPr>
          <w:rFonts w:ascii="Times New Roman" w:eastAsia="Times New Roman" w:hAnsi="Times New Roman"/>
          <w:sz w:val="16"/>
          <w:szCs w:val="16"/>
          <w:lang w:eastAsia="lt-LT"/>
        </w:rPr>
        <w:t>– šalies savivaldybės, kuriose standartizuoto 0–64 m. amžiaus gyventojų mirtingumo rodikliai (SMR) 2007–2011 m. laikotarpiu</w:t>
      </w:r>
    </w:p>
    <w:p w:rsidR="00B30D13" w:rsidRPr="00FD7A80" w:rsidRDefault="00B30D13" w:rsidP="00B30D13">
      <w:pPr>
        <w:autoSpaceDE w:val="0"/>
        <w:autoSpaceDN w:val="0"/>
        <w:adjustRightInd w:val="0"/>
        <w:spacing w:after="0" w:line="240" w:lineRule="auto"/>
        <w:rPr>
          <w:rFonts w:ascii="Times New Roman" w:eastAsia="Times New Roman" w:hAnsi="Times New Roman"/>
          <w:sz w:val="16"/>
          <w:szCs w:val="16"/>
          <w:lang w:eastAsia="lt-LT"/>
        </w:rPr>
      </w:pPr>
      <w:r w:rsidRPr="00FD7A80">
        <w:rPr>
          <w:rFonts w:ascii="Times New Roman" w:eastAsia="Times New Roman" w:hAnsi="Times New Roman"/>
          <w:sz w:val="16"/>
          <w:szCs w:val="16"/>
          <w:lang w:eastAsia="lt-LT"/>
        </w:rPr>
        <w:t>Lietuvos vidurkį vidutiniškai viršijo: kraujotakos sistemos ligos – daugiau kaip 20 proc., cerebrovaskulinės ligos – daugiau kaip 20 proc., piktybiniai navikai – daugiau kaip 8 proc., išorinės mirties priežastys – daugiau kaip 20 proc.;</w:t>
      </w:r>
    </w:p>
    <w:p w:rsidR="00B30D13" w:rsidRPr="00FD7A80" w:rsidRDefault="00B30D13" w:rsidP="00B30D13">
      <w:pPr>
        <w:widowControl w:val="0"/>
        <w:spacing w:after="0" w:line="240" w:lineRule="auto"/>
        <w:jc w:val="both"/>
        <w:textAlignment w:val="baseline"/>
        <w:rPr>
          <w:rFonts w:ascii="Times New Roman" w:eastAsia="Times New Roman" w:hAnsi="Times New Roman"/>
          <w:sz w:val="16"/>
          <w:szCs w:val="16"/>
          <w:lang w:eastAsia="lt-LT"/>
        </w:rPr>
      </w:pPr>
      <w:r w:rsidRPr="00FD7A80">
        <w:rPr>
          <w:rFonts w:ascii="Times New Roman" w:eastAsia="Times New Roman" w:hAnsi="Times New Roman"/>
          <w:sz w:val="16"/>
          <w:szCs w:val="16"/>
          <w:lang w:eastAsia="lt-LT"/>
        </w:rPr>
        <w:t>– šalies savivaldybės, pasižyminčios didžiausiais vaikų sveikatos priežiūros prieinamumo netolygumais.</w:t>
      </w:r>
    </w:p>
    <w:p w:rsidR="00B30D13" w:rsidRPr="00FD7A80" w:rsidRDefault="00B30D13" w:rsidP="00254EEE">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B30D13" w:rsidRPr="00FD7A80" w:rsidTr="00B30D13">
        <w:tc>
          <w:tcPr>
            <w:tcW w:w="9746" w:type="dxa"/>
            <w:tcBorders>
              <w:top w:val="single" w:sz="4" w:space="0" w:color="auto"/>
              <w:left w:val="single" w:sz="4" w:space="0" w:color="auto"/>
              <w:bottom w:val="single" w:sz="4" w:space="0" w:color="auto"/>
              <w:right w:val="single" w:sz="4" w:space="0" w:color="auto"/>
            </w:tcBorders>
            <w:shd w:val="clear" w:color="auto" w:fill="EEECE1"/>
          </w:tcPr>
          <w:p w:rsidR="00B30D13" w:rsidRPr="00FD7A80" w:rsidRDefault="00B30D13" w:rsidP="00B30D13">
            <w:pPr>
              <w:widowControl w:val="0"/>
              <w:tabs>
                <w:tab w:val="left" w:pos="622"/>
                <w:tab w:val="left" w:pos="1665"/>
              </w:tabs>
              <w:spacing w:after="0" w:line="240" w:lineRule="auto"/>
              <w:jc w:val="both"/>
              <w:rPr>
                <w:rFonts w:ascii="Times New Roman" w:eastAsia="AngsanaUPC" w:hAnsi="Times New Roman"/>
                <w:b/>
                <w:bCs/>
                <w:iCs/>
                <w:sz w:val="24"/>
                <w:szCs w:val="24"/>
                <w:lang w:eastAsia="lt-LT"/>
              </w:rPr>
            </w:pPr>
            <w:r w:rsidRPr="00FD7A80">
              <w:rPr>
                <w:rFonts w:ascii="Times New Roman" w:eastAsia="AngsanaUPC" w:hAnsi="Times New Roman"/>
                <w:b/>
                <w:bCs/>
                <w:i/>
                <w:iCs/>
                <w:sz w:val="24"/>
                <w:szCs w:val="24"/>
                <w:lang w:eastAsia="lt-LT"/>
              </w:rPr>
              <w:t>13.1.1 Konkretaus uždavinio įgyvendinimo veiklos</w:t>
            </w:r>
          </w:p>
        </w:tc>
      </w:tr>
      <w:tr w:rsidR="00B30D13" w:rsidRPr="00FD7A80" w:rsidTr="00B30D13">
        <w:tc>
          <w:tcPr>
            <w:tcW w:w="9746" w:type="dxa"/>
            <w:shd w:val="clear" w:color="auto" w:fill="auto"/>
          </w:tcPr>
          <w:p w:rsidR="00B30D13" w:rsidRPr="00FD7A80" w:rsidRDefault="00B30D13" w:rsidP="00650E41">
            <w:pPr>
              <w:widowControl w:val="0"/>
              <w:numPr>
                <w:ilvl w:val="0"/>
                <w:numId w:val="34"/>
              </w:numPr>
              <w:tabs>
                <w:tab w:val="left" w:pos="34"/>
                <w:tab w:val="left" w:pos="459"/>
                <w:tab w:val="left" w:pos="1026"/>
              </w:tabs>
              <w:spacing w:after="0" w:line="240" w:lineRule="auto"/>
              <w:ind w:left="0" w:firstLine="459"/>
              <w:jc w:val="both"/>
              <w:rPr>
                <w:rFonts w:ascii="Times New Roman" w:eastAsia="AngsanaUPC" w:hAnsi="Times New Roman"/>
                <w:bCs/>
                <w:iCs/>
                <w:sz w:val="24"/>
                <w:szCs w:val="24"/>
                <w:lang w:eastAsia="lt-LT"/>
              </w:rPr>
            </w:pPr>
            <w:r w:rsidRPr="00FD7A80">
              <w:rPr>
                <w:rFonts w:ascii="Times New Roman" w:hAnsi="Times New Roman"/>
                <w:sz w:val="24"/>
                <w:szCs w:val="24"/>
              </w:rPr>
              <w:t>Finansavimas bus teikiamas įmonių MTEPI veikloms, skatinant aukštesnės pridėtinės vertės, įskaitant aplinkai draugiškų (žalių) produktų ir paslaugų pasiūlą. Bus finansuojama naujų produktų kūrimas įmonėse visuose MTEP etapuose nuo naujo produkto idėjos koncepcijos iki produkto prototipo sukūrimo, jo pirminio demonstravimo, sertifikavimo.</w:t>
            </w:r>
          </w:p>
          <w:p w:rsidR="00B30D13" w:rsidRPr="00FD7A80" w:rsidRDefault="00B30D13" w:rsidP="00650E41">
            <w:pPr>
              <w:numPr>
                <w:ilvl w:val="0"/>
                <w:numId w:val="34"/>
              </w:numPr>
              <w:tabs>
                <w:tab w:val="left" w:pos="34"/>
                <w:tab w:val="left" w:pos="1026"/>
              </w:tabs>
              <w:spacing w:after="0" w:line="240" w:lineRule="auto"/>
              <w:ind w:left="0" w:firstLine="459"/>
              <w:jc w:val="both"/>
              <w:rPr>
                <w:rFonts w:ascii="Times New Roman" w:hAnsi="Times New Roman"/>
                <w:sz w:val="24"/>
                <w:szCs w:val="24"/>
              </w:rPr>
            </w:pPr>
            <w:r w:rsidRPr="00FD7A80">
              <w:rPr>
                <w:rFonts w:ascii="Times New Roman" w:eastAsia="Times New Roman" w:hAnsi="Times New Roman"/>
                <w:sz w:val="24"/>
                <w:szCs w:val="24"/>
                <w:lang w:eastAsia="lt-LT"/>
              </w:rPr>
              <w:t>Mokslo žinių perdavimas ir MTEP rezultatų komercinimo skatinimas:</w:t>
            </w:r>
          </w:p>
          <w:p w:rsidR="00B30D13" w:rsidRPr="00FD7A80" w:rsidRDefault="00B30D13" w:rsidP="00650E41">
            <w:pPr>
              <w:numPr>
                <w:ilvl w:val="0"/>
                <w:numId w:val="78"/>
              </w:numPr>
              <w:tabs>
                <w:tab w:val="left" w:pos="34"/>
                <w:tab w:val="left" w:pos="459"/>
                <w:tab w:val="left" w:pos="1026"/>
              </w:tabs>
              <w:autoSpaceDE w:val="0"/>
              <w:autoSpaceDN w:val="0"/>
              <w:adjustRightInd w:val="0"/>
              <w:spacing w:after="0" w:line="240" w:lineRule="auto"/>
              <w:contextualSpacing/>
              <w:jc w:val="both"/>
              <w:rPr>
                <w:rFonts w:ascii="Times New Roman" w:eastAsia="Times New Roman" w:hAnsi="Times New Roman"/>
                <w:sz w:val="24"/>
                <w:szCs w:val="24"/>
                <w:lang w:eastAsia="lt-LT"/>
              </w:rPr>
            </w:pPr>
            <w:r w:rsidRPr="00FD7A80">
              <w:rPr>
                <w:rFonts w:ascii="Times New Roman" w:eastAsia="Times New Roman" w:hAnsi="Times New Roman"/>
                <w:sz w:val="24"/>
                <w:szCs w:val="24"/>
                <w:lang w:eastAsia="lt-LT"/>
              </w:rPr>
              <w:t>bendrų mokslo</w:t>
            </w:r>
            <w:proofErr w:type="gramStart"/>
            <w:r w:rsidRPr="00FD7A80">
              <w:rPr>
                <w:rFonts w:ascii="Times New Roman" w:eastAsia="Times New Roman" w:hAnsi="Times New Roman"/>
                <w:sz w:val="24"/>
                <w:szCs w:val="24"/>
                <w:lang w:eastAsia="lt-LT"/>
              </w:rPr>
              <w:t>-</w:t>
            </w:r>
            <w:proofErr w:type="gramEnd"/>
            <w:r w:rsidRPr="00FD7A80">
              <w:rPr>
                <w:rFonts w:ascii="Times New Roman" w:eastAsia="Times New Roman" w:hAnsi="Times New Roman"/>
                <w:sz w:val="24"/>
                <w:szCs w:val="24"/>
                <w:lang w:eastAsia="lt-LT"/>
              </w:rPr>
              <w:t>verslo projektų, prisidedančių prie sumanios specializacijos strategijos prioritetų įgyvendinimo, vykdymas MVĮ;</w:t>
            </w:r>
          </w:p>
          <w:p w:rsidR="00B30D13" w:rsidRPr="00FD7A80" w:rsidRDefault="00B30D13" w:rsidP="00650E41">
            <w:pPr>
              <w:numPr>
                <w:ilvl w:val="0"/>
                <w:numId w:val="78"/>
              </w:numPr>
              <w:tabs>
                <w:tab w:val="left" w:pos="34"/>
                <w:tab w:val="left" w:pos="1026"/>
              </w:tabs>
              <w:spacing w:after="0" w:line="240" w:lineRule="auto"/>
              <w:jc w:val="both"/>
              <w:rPr>
                <w:rFonts w:ascii="Times New Roman" w:hAnsi="Times New Roman"/>
                <w:sz w:val="24"/>
                <w:szCs w:val="24"/>
              </w:rPr>
            </w:pPr>
            <w:r w:rsidRPr="00FD7A80">
              <w:rPr>
                <w:rFonts w:ascii="Times New Roman" w:eastAsia="Times New Roman" w:hAnsi="Times New Roman"/>
                <w:sz w:val="24"/>
                <w:szCs w:val="24"/>
                <w:lang w:eastAsia="lt-LT"/>
              </w:rPr>
              <w:t xml:space="preserve">tiksliniai </w:t>
            </w:r>
            <w:r w:rsidRPr="00FD7A80">
              <w:rPr>
                <w:rFonts w:ascii="Times New Roman" w:hAnsi="Times New Roman"/>
                <w:sz w:val="24"/>
                <w:szCs w:val="24"/>
              </w:rPr>
              <w:t>moksliniai tyrimai (aukšto lygio tyrėjų grupių vykdomi moksliniai tyrimai);</w:t>
            </w:r>
          </w:p>
          <w:p w:rsidR="00B30D13" w:rsidRPr="00FD7A80" w:rsidRDefault="00B30D13" w:rsidP="00650E41">
            <w:pPr>
              <w:numPr>
                <w:ilvl w:val="0"/>
                <w:numId w:val="78"/>
              </w:numPr>
              <w:tabs>
                <w:tab w:val="left" w:pos="34"/>
                <w:tab w:val="left" w:pos="1026"/>
              </w:tabs>
              <w:spacing w:after="0" w:line="240" w:lineRule="auto"/>
              <w:jc w:val="both"/>
              <w:rPr>
                <w:rFonts w:ascii="Times New Roman" w:hAnsi="Times New Roman"/>
                <w:sz w:val="24"/>
                <w:szCs w:val="24"/>
              </w:rPr>
            </w:pPr>
            <w:r w:rsidRPr="00FD7A80">
              <w:rPr>
                <w:rFonts w:ascii="Times New Roman" w:eastAsia="Times New Roman" w:hAnsi="Times New Roman"/>
                <w:sz w:val="24"/>
                <w:szCs w:val="24"/>
                <w:lang w:eastAsia="lt-LT"/>
              </w:rPr>
              <w:t>MTEP rezultatų komercinimas ir tarptautiškumo skatinimas MVĮ (parama mokslininkų ir kitų tyrėjų bei studentų, dirbančių / studijuojančių mokslo ir studijų institucijose, idėjų komercinimui, parama besikuriančioms jaunoms inovacinėms įmonėms (pumpurinės įmonės, startuoliai), į rinką orientuotų mokslo</w:t>
            </w:r>
            <w:proofErr w:type="gramStart"/>
            <w:r w:rsidRPr="00FD7A80">
              <w:rPr>
                <w:rFonts w:ascii="Times New Roman" w:eastAsia="Times New Roman" w:hAnsi="Times New Roman"/>
                <w:sz w:val="24"/>
                <w:szCs w:val="24"/>
                <w:lang w:eastAsia="lt-LT"/>
              </w:rPr>
              <w:t>-</w:t>
            </w:r>
            <w:proofErr w:type="gramEnd"/>
            <w:r w:rsidRPr="00FD7A80">
              <w:rPr>
                <w:rFonts w:ascii="Times New Roman" w:eastAsia="Times New Roman" w:hAnsi="Times New Roman"/>
                <w:sz w:val="24"/>
                <w:szCs w:val="24"/>
                <w:lang w:eastAsia="lt-LT"/>
              </w:rPr>
              <w:t xml:space="preserve">verslo projektų įgyvendinimas per </w:t>
            </w:r>
            <w:r w:rsidRPr="00FD7A80">
              <w:rPr>
                <w:rFonts w:ascii="Times New Roman" w:eastAsia="Times New Roman" w:hAnsi="Times New Roman"/>
                <w:sz w:val="24"/>
                <w:szCs w:val="24"/>
                <w:lang w:eastAsia="lt-LT"/>
              </w:rPr>
              <w:lastRenderedPageBreak/>
              <w:t>tarpvalstybinį tinklą).</w:t>
            </w:r>
          </w:p>
          <w:p w:rsidR="00B30D13" w:rsidRPr="00FD7A80" w:rsidRDefault="00B30D13" w:rsidP="00650E41">
            <w:pPr>
              <w:numPr>
                <w:ilvl w:val="0"/>
                <w:numId w:val="34"/>
              </w:numPr>
              <w:tabs>
                <w:tab w:val="left" w:pos="34"/>
                <w:tab w:val="left" w:pos="459"/>
                <w:tab w:val="left" w:pos="1026"/>
              </w:tabs>
              <w:autoSpaceDE w:val="0"/>
              <w:autoSpaceDN w:val="0"/>
              <w:adjustRightInd w:val="0"/>
              <w:spacing w:after="0" w:line="240" w:lineRule="auto"/>
              <w:ind w:left="0" w:firstLine="459"/>
              <w:jc w:val="both"/>
              <w:rPr>
                <w:rFonts w:ascii="Times New Roman" w:eastAsia="Times New Roman" w:hAnsi="Times New Roman"/>
                <w:sz w:val="24"/>
                <w:szCs w:val="24"/>
                <w:lang w:eastAsia="lt-LT"/>
              </w:rPr>
            </w:pPr>
            <w:r w:rsidRPr="00FD7A80">
              <w:rPr>
                <w:rFonts w:ascii="Times New Roman" w:eastAsia="AngsanaUPC" w:hAnsi="Times New Roman" w:cs="Arial"/>
                <w:bCs/>
                <w:iCs/>
                <w:sz w:val="24"/>
                <w:szCs w:val="24"/>
                <w:lang w:eastAsia="lt-LT"/>
              </w:rPr>
              <w:t xml:space="preserve">Modernių technologijų diegimas MVĮ, pritaikant esamus </w:t>
            </w:r>
            <w:proofErr w:type="gramStart"/>
            <w:r w:rsidRPr="00FD7A80">
              <w:rPr>
                <w:rFonts w:ascii="Times New Roman" w:eastAsia="AngsanaUPC" w:hAnsi="Times New Roman" w:cs="Arial"/>
                <w:bCs/>
                <w:iCs/>
                <w:sz w:val="24"/>
                <w:szCs w:val="24"/>
                <w:lang w:eastAsia="lt-LT"/>
              </w:rPr>
              <w:t>ir kuriant naujus gamybos ir paslaugų teikimo pajėgumus naujiems ir esamiems produktams gaminti ir paslaugoms teikti</w:t>
            </w:r>
            <w:proofErr w:type="gramEnd"/>
            <w:r w:rsidRPr="00FD7A80">
              <w:rPr>
                <w:rFonts w:ascii="Times New Roman" w:eastAsia="AngsanaUPC" w:hAnsi="Times New Roman" w:cs="Arial"/>
                <w:bCs/>
                <w:iCs/>
                <w:sz w:val="24"/>
                <w:szCs w:val="24"/>
                <w:lang w:eastAsia="lt-LT"/>
              </w:rPr>
              <w:t>. Finansavimas bus teikiamas skatinti įmonių investicijas į naujų gamybos technologinių linijų įsigijimą ir įdiegimą, esamų gamybos technologinių linijų modernizavimą, įmonės vidinių inžinerinių tinklų, kurių reikia naujoms gamybos technologinėms linijoms diegti ar esamoms modernizuoti, įrengimą, modernių ir efektyvių technologijų diegimą paslaugų sektoriuose, taip pat užtikrinti šių gamybos ir paslaugų teikimo pajėgumų veikimą.</w:t>
            </w:r>
          </w:p>
          <w:p w:rsidR="00B30D13" w:rsidRPr="00FD7A80" w:rsidRDefault="00B30D13" w:rsidP="00650E41">
            <w:pPr>
              <w:widowControl w:val="0"/>
              <w:numPr>
                <w:ilvl w:val="0"/>
                <w:numId w:val="34"/>
              </w:numPr>
              <w:tabs>
                <w:tab w:val="left" w:pos="0"/>
                <w:tab w:val="left" w:pos="459"/>
                <w:tab w:val="left" w:pos="743"/>
              </w:tabs>
              <w:spacing w:after="0" w:line="240" w:lineRule="auto"/>
              <w:ind w:left="34" w:firstLine="326"/>
              <w:jc w:val="both"/>
              <w:rPr>
                <w:rFonts w:ascii="Times New Roman" w:eastAsia="AngsanaUPC" w:hAnsi="Times New Roman" w:cs="Arial"/>
                <w:bCs/>
                <w:iCs/>
                <w:sz w:val="24"/>
                <w:szCs w:val="24"/>
                <w:lang w:eastAsia="lt-LT"/>
              </w:rPr>
            </w:pPr>
            <w:r w:rsidRPr="00FD7A80">
              <w:rPr>
                <w:rFonts w:ascii="Times New Roman" w:eastAsia="AngsanaUPC" w:hAnsi="Times New Roman" w:cs="Arial"/>
                <w:bCs/>
                <w:iCs/>
                <w:sz w:val="24"/>
                <w:szCs w:val="24"/>
                <w:lang w:eastAsia="lt-LT"/>
              </w:rPr>
              <w:t>Antreprenerystės diegimas mokslo ir studijų institucijose (paskatos ir priemonės, transformuojant žinias į aukštos pridėtinės vertės produktus).</w:t>
            </w:r>
          </w:p>
          <w:p w:rsidR="00B30D13" w:rsidRPr="00FD7A80" w:rsidRDefault="00B30D13" w:rsidP="00650E41">
            <w:pPr>
              <w:widowControl w:val="0"/>
              <w:numPr>
                <w:ilvl w:val="0"/>
                <w:numId w:val="34"/>
              </w:numPr>
              <w:tabs>
                <w:tab w:val="left" w:pos="0"/>
                <w:tab w:val="left" w:pos="459"/>
                <w:tab w:val="left" w:pos="743"/>
              </w:tabs>
              <w:spacing w:after="0" w:line="240" w:lineRule="auto"/>
              <w:ind w:left="34" w:firstLine="326"/>
              <w:jc w:val="both"/>
              <w:rPr>
                <w:rFonts w:ascii="Times New Roman" w:eastAsia="AngsanaUPC" w:hAnsi="Times New Roman" w:cs="Arial"/>
                <w:bCs/>
                <w:iCs/>
                <w:sz w:val="24"/>
                <w:szCs w:val="24"/>
                <w:lang w:eastAsia="lt-LT"/>
              </w:rPr>
            </w:pPr>
            <w:r w:rsidRPr="00FD7A80">
              <w:rPr>
                <w:rFonts w:ascii="Times New Roman" w:eastAsia="AngsanaUPC" w:hAnsi="Times New Roman" w:cs="Arial"/>
                <w:bCs/>
                <w:iCs/>
                <w:sz w:val="24"/>
                <w:szCs w:val="24"/>
                <w:lang w:eastAsia="lt-LT"/>
              </w:rPr>
              <w:t>E-verslo modelių diegimas MVĮ, persiorientuojant į procesų, produktų, paslaugų skaitmeninimą, įmonės gaminamų produktų ir (ar) teikiamų paslaugų elektroninę prekybą ir pristatymą.</w:t>
            </w:r>
          </w:p>
          <w:p w:rsidR="00B30D13" w:rsidRPr="00FD7A80" w:rsidRDefault="00B30D13" w:rsidP="00650E41">
            <w:pPr>
              <w:numPr>
                <w:ilvl w:val="0"/>
                <w:numId w:val="34"/>
              </w:numPr>
              <w:tabs>
                <w:tab w:val="left" w:pos="743"/>
              </w:tabs>
              <w:spacing w:after="0" w:line="240" w:lineRule="auto"/>
              <w:ind w:left="34" w:firstLine="284"/>
              <w:contextualSpacing/>
              <w:jc w:val="both"/>
              <w:rPr>
                <w:rFonts w:ascii="Times New Roman" w:hAnsi="Times New Roman"/>
                <w:sz w:val="24"/>
                <w:szCs w:val="24"/>
              </w:rPr>
            </w:pPr>
            <w:r w:rsidRPr="00FD7A80">
              <w:rPr>
                <w:rFonts w:ascii="Times New Roman" w:hAnsi="Times New Roman"/>
                <w:sz w:val="24"/>
                <w:szCs w:val="24"/>
              </w:rPr>
              <w:t xml:space="preserve">Investicijos į naujų skaitmeninių ir / arba žiedinę ekonomiką skatinančių kultūros </w:t>
            </w:r>
            <w:proofErr w:type="gramStart"/>
            <w:r w:rsidRPr="00FD7A80">
              <w:rPr>
                <w:rFonts w:ascii="Times New Roman" w:hAnsi="Times New Roman"/>
                <w:sz w:val="24"/>
                <w:szCs w:val="24"/>
              </w:rPr>
              <w:t>ir kūrybinių paslaugų ir produktų</w:t>
            </w:r>
            <w:proofErr w:type="gramEnd"/>
            <w:r w:rsidRPr="00FD7A80">
              <w:rPr>
                <w:rFonts w:ascii="Times New Roman" w:hAnsi="Times New Roman"/>
                <w:sz w:val="24"/>
                <w:szCs w:val="24"/>
              </w:rPr>
              <w:t>, įskaitant dizaino sprendimus, kūrimą, kultūros ir kūrybinių paslaugų ir produktų asortimento ir įvairovės plėtojimą bei paslaugų ir produktų teikimo apimčių didinimui reikalingos infrastruktūros, įrangos ir kito ilgalaikio turto įsigijimą, sukuriant sąlygas didinti įmonių konkurencingumą, pardavimo pajamas ir sukuriamą pridėtinę vertę MVĮ, tokiu būdu didinant žiedinės ir skaitmeninės ekonomikos dalį šalies ekonomikos struktūroje.</w:t>
            </w:r>
          </w:p>
          <w:p w:rsidR="00B30D13" w:rsidRDefault="00B30D13" w:rsidP="00650E41">
            <w:pPr>
              <w:widowControl w:val="0"/>
              <w:numPr>
                <w:ilvl w:val="0"/>
                <w:numId w:val="34"/>
              </w:numPr>
              <w:tabs>
                <w:tab w:val="left" w:pos="0"/>
                <w:tab w:val="left" w:pos="459"/>
                <w:tab w:val="left" w:pos="743"/>
              </w:tabs>
              <w:spacing w:after="0" w:line="240" w:lineRule="auto"/>
              <w:ind w:left="34" w:firstLine="326"/>
              <w:jc w:val="both"/>
              <w:rPr>
                <w:rFonts w:ascii="Times New Roman" w:eastAsia="AngsanaUPC" w:hAnsi="Times New Roman" w:cs="Arial"/>
                <w:bCs/>
                <w:iCs/>
                <w:sz w:val="24"/>
                <w:szCs w:val="24"/>
                <w:lang w:eastAsia="lt-LT"/>
              </w:rPr>
            </w:pPr>
            <w:r w:rsidRPr="00DE5038">
              <w:rPr>
                <w:rFonts w:ascii="Times New Roman" w:eastAsia="AngsanaUPC" w:hAnsi="Times New Roman" w:cs="Arial"/>
                <w:bCs/>
                <w:iCs/>
                <w:sz w:val="24"/>
                <w:szCs w:val="24"/>
                <w:lang w:eastAsia="lt-LT"/>
              </w:rPr>
              <w:t>Originalių produktų sprendimų (netechnologinių inovacijų) sukūrimas ir diegimas MVĮ.</w:t>
            </w:r>
          </w:p>
          <w:p w:rsidR="00B30D13" w:rsidRPr="00DE5038" w:rsidRDefault="00B30D13" w:rsidP="00DE5038">
            <w:pPr>
              <w:widowControl w:val="0"/>
              <w:numPr>
                <w:ilvl w:val="0"/>
                <w:numId w:val="34"/>
              </w:numPr>
              <w:tabs>
                <w:tab w:val="left" w:pos="0"/>
                <w:tab w:val="left" w:pos="459"/>
                <w:tab w:val="left" w:pos="743"/>
              </w:tabs>
              <w:spacing w:after="0" w:line="240" w:lineRule="auto"/>
              <w:ind w:left="34" w:firstLine="326"/>
              <w:jc w:val="both"/>
              <w:rPr>
                <w:rFonts w:ascii="Times New Roman" w:eastAsia="AngsanaUPC" w:hAnsi="Times New Roman" w:cs="Arial"/>
                <w:bCs/>
                <w:iCs/>
                <w:sz w:val="24"/>
                <w:szCs w:val="24"/>
                <w:lang w:eastAsia="lt-LT"/>
              </w:rPr>
            </w:pPr>
            <w:r w:rsidRPr="00DE5038">
              <w:rPr>
                <w:rFonts w:ascii="Times New Roman" w:eastAsia="AngsanaUPC" w:hAnsi="Times New Roman"/>
                <w:bCs/>
                <w:iCs/>
                <w:sz w:val="24"/>
                <w:szCs w:val="24"/>
                <w:lang w:eastAsia="lt-LT"/>
              </w:rPr>
              <w:t xml:space="preserve">Efektyvių ir inovatyvių sveikatos priežiūros paslaugų teikimo infrastruktūros (fizinės ir informacinės) modelių diegimas bei plėtojimas, didinant sveikatos priežiūros paslaugų (sveikatos ugdymo, profilaktinių, ankstyvosios diagnostikos, medicininės reabilitacijos ir sveikatos grąžinimo, kt.) prieinamumą ir kokybę tikslinių teritorijų gyventojams, siekiant stiprinti tarp šių gyventojų paplitusių pagrindinių lėtinių ligų </w:t>
            </w:r>
            <w:proofErr w:type="gramStart"/>
            <w:r w:rsidRPr="00DE5038">
              <w:rPr>
                <w:rFonts w:ascii="Times New Roman" w:eastAsia="AngsanaUPC" w:hAnsi="Times New Roman"/>
                <w:bCs/>
                <w:iCs/>
                <w:sz w:val="24"/>
                <w:szCs w:val="24"/>
                <w:lang w:eastAsia="lt-LT"/>
              </w:rPr>
              <w:t>(</w:t>
            </w:r>
            <w:proofErr w:type="gramEnd"/>
            <w:r w:rsidRPr="00DE5038">
              <w:rPr>
                <w:rFonts w:ascii="Times New Roman" w:eastAsia="AngsanaUPC" w:hAnsi="Times New Roman"/>
                <w:bCs/>
                <w:iCs/>
                <w:sz w:val="24"/>
                <w:szCs w:val="24"/>
                <w:lang w:eastAsia="lt-LT"/>
              </w:rPr>
              <w:t>kraujotakos sistemos ligų, cerebrovaskulinių ligų, onkologinių susirgimų) ir išorinių mirties priežasčių rizikos veiksnių prevenciją ir jų valdymą bei mažinti šių ligų lemiamą priešlaikinį mirtingumą ir neįgalumą.</w:t>
            </w:r>
          </w:p>
        </w:tc>
      </w:tr>
    </w:tbl>
    <w:p w:rsidR="00B30D13" w:rsidRPr="00FD7A80" w:rsidRDefault="00B30D13" w:rsidP="00254EEE">
      <w:pPr>
        <w:widowControl w:val="0"/>
        <w:tabs>
          <w:tab w:val="left" w:pos="622"/>
        </w:tabs>
        <w:spacing w:after="0" w:line="240" w:lineRule="auto"/>
        <w:jc w:val="both"/>
        <w:rPr>
          <w:rFonts w:ascii="Times New Roman" w:eastAsia="AngsanaUPC" w:hAnsi="Times New Roman"/>
          <w:bCs/>
          <w:sz w:val="24"/>
          <w:szCs w:val="24"/>
          <w:lang w:eastAsia="lt-LT"/>
        </w:rPr>
      </w:pPr>
    </w:p>
    <w:tbl>
      <w:tblPr>
        <w:tblW w:w="98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567"/>
        <w:gridCol w:w="2694"/>
        <w:gridCol w:w="1134"/>
        <w:gridCol w:w="850"/>
        <w:gridCol w:w="1134"/>
        <w:gridCol w:w="1134"/>
        <w:gridCol w:w="1133"/>
        <w:gridCol w:w="1241"/>
      </w:tblGrid>
      <w:tr w:rsidR="00B30D13" w:rsidRPr="00FD7A80" w:rsidTr="00B30D13">
        <w:trPr>
          <w:tblHeader/>
        </w:trPr>
        <w:tc>
          <w:tcPr>
            <w:tcW w:w="9887" w:type="dxa"/>
            <w:gridSpan w:val="8"/>
            <w:shd w:val="clear" w:color="auto" w:fill="EEECE1"/>
          </w:tcPr>
          <w:p w:rsidR="00B30D13" w:rsidRPr="00FD7A80" w:rsidRDefault="00B30D13" w:rsidP="00B30D13">
            <w:pPr>
              <w:widowControl w:val="0"/>
              <w:tabs>
                <w:tab w:val="left" w:pos="622"/>
              </w:tabs>
              <w:spacing w:after="0" w:line="240" w:lineRule="auto"/>
              <w:jc w:val="both"/>
              <w:rPr>
                <w:rFonts w:ascii="Times New Roman" w:eastAsia="AngsanaUPC" w:hAnsi="Times New Roman"/>
                <w:b/>
                <w:bCs/>
                <w:i/>
                <w:iCs/>
                <w:sz w:val="18"/>
                <w:szCs w:val="18"/>
                <w:lang w:eastAsia="lt-LT"/>
              </w:rPr>
            </w:pPr>
            <w:r w:rsidRPr="00FD7A80">
              <w:rPr>
                <w:rFonts w:ascii="Times New Roman" w:eastAsia="AngsanaUPC" w:hAnsi="Times New Roman"/>
                <w:b/>
                <w:bCs/>
                <w:i/>
                <w:iCs/>
                <w:sz w:val="18"/>
                <w:szCs w:val="18"/>
                <w:lang w:eastAsia="lt-LT"/>
              </w:rPr>
              <w:t xml:space="preserve">ERPF bendrieji ir specialieji programos produkto rodikliai </w:t>
            </w:r>
          </w:p>
        </w:tc>
      </w:tr>
      <w:tr w:rsidR="00B30D13" w:rsidRPr="00FD7A80" w:rsidTr="00827571">
        <w:tblPrEx>
          <w:shd w:val="clear" w:color="auto" w:fill="auto"/>
        </w:tblPrEx>
        <w:trPr>
          <w:tblHeader/>
        </w:trPr>
        <w:tc>
          <w:tcPr>
            <w:tcW w:w="567" w:type="dxa"/>
            <w:shd w:val="clear" w:color="auto" w:fill="EEECE1"/>
            <w:vAlign w:val="center"/>
          </w:tcPr>
          <w:p w:rsidR="00B30D13" w:rsidRPr="00FD7A80" w:rsidRDefault="00B30D13" w:rsidP="00B30D13">
            <w:pPr>
              <w:widowControl w:val="0"/>
              <w:tabs>
                <w:tab w:val="left" w:pos="622"/>
              </w:tabs>
              <w:spacing w:after="0" w:line="240" w:lineRule="auto"/>
              <w:jc w:val="center"/>
              <w:rPr>
                <w:rFonts w:ascii="Times New Roman" w:eastAsia="AngsanaUPC" w:hAnsi="Times New Roman"/>
                <w:b/>
                <w:bCs/>
                <w:iCs/>
                <w:sz w:val="18"/>
                <w:szCs w:val="18"/>
                <w:lang w:eastAsia="lt-LT"/>
              </w:rPr>
            </w:pPr>
            <w:r w:rsidRPr="00FD7A80">
              <w:rPr>
                <w:rFonts w:ascii="Times New Roman" w:eastAsia="AngsanaUPC" w:hAnsi="Times New Roman"/>
                <w:b/>
                <w:bCs/>
                <w:iCs/>
                <w:sz w:val="18"/>
                <w:szCs w:val="18"/>
                <w:lang w:eastAsia="lt-LT"/>
              </w:rPr>
              <w:t>Nr.</w:t>
            </w:r>
          </w:p>
        </w:tc>
        <w:tc>
          <w:tcPr>
            <w:tcW w:w="2694" w:type="dxa"/>
            <w:shd w:val="clear" w:color="auto" w:fill="EEECE1"/>
            <w:vAlign w:val="center"/>
          </w:tcPr>
          <w:p w:rsidR="00B30D13" w:rsidRPr="00FD7A80" w:rsidRDefault="00B30D13" w:rsidP="00B30D13">
            <w:pPr>
              <w:widowControl w:val="0"/>
              <w:tabs>
                <w:tab w:val="left" w:pos="622"/>
              </w:tabs>
              <w:spacing w:after="0" w:line="240" w:lineRule="auto"/>
              <w:jc w:val="center"/>
              <w:rPr>
                <w:rFonts w:ascii="Times New Roman" w:eastAsia="AngsanaUPC" w:hAnsi="Times New Roman"/>
                <w:b/>
                <w:bCs/>
                <w:iCs/>
                <w:sz w:val="18"/>
                <w:szCs w:val="18"/>
                <w:lang w:eastAsia="lt-LT"/>
              </w:rPr>
            </w:pPr>
            <w:r w:rsidRPr="00FD7A80">
              <w:rPr>
                <w:rFonts w:ascii="Times New Roman" w:eastAsia="AngsanaUPC" w:hAnsi="Times New Roman"/>
                <w:b/>
                <w:bCs/>
                <w:iCs/>
                <w:sz w:val="18"/>
                <w:szCs w:val="18"/>
                <w:lang w:eastAsia="lt-LT"/>
              </w:rPr>
              <w:t>Rodiklio pavadinimas</w:t>
            </w:r>
          </w:p>
        </w:tc>
        <w:tc>
          <w:tcPr>
            <w:tcW w:w="1134" w:type="dxa"/>
            <w:shd w:val="clear" w:color="auto" w:fill="EEECE1"/>
            <w:vAlign w:val="center"/>
          </w:tcPr>
          <w:p w:rsidR="00B30D13" w:rsidRPr="00FD7A80" w:rsidRDefault="00B30D13" w:rsidP="00B30D13">
            <w:pPr>
              <w:widowControl w:val="0"/>
              <w:tabs>
                <w:tab w:val="left" w:pos="622"/>
              </w:tabs>
              <w:spacing w:after="0" w:line="240" w:lineRule="auto"/>
              <w:jc w:val="center"/>
              <w:rPr>
                <w:rFonts w:ascii="Times New Roman" w:eastAsia="AngsanaUPC" w:hAnsi="Times New Roman"/>
                <w:b/>
                <w:bCs/>
                <w:iCs/>
                <w:sz w:val="18"/>
                <w:szCs w:val="18"/>
                <w:lang w:eastAsia="lt-LT"/>
              </w:rPr>
            </w:pPr>
            <w:r w:rsidRPr="00FD7A80">
              <w:rPr>
                <w:rFonts w:ascii="Times New Roman" w:eastAsia="AngsanaUPC" w:hAnsi="Times New Roman"/>
                <w:b/>
                <w:bCs/>
                <w:iCs/>
                <w:sz w:val="18"/>
                <w:szCs w:val="18"/>
                <w:lang w:eastAsia="lt-LT"/>
              </w:rPr>
              <w:t>Matavimo vienetas</w:t>
            </w:r>
          </w:p>
        </w:tc>
        <w:tc>
          <w:tcPr>
            <w:tcW w:w="850" w:type="dxa"/>
            <w:shd w:val="clear" w:color="auto" w:fill="EEECE1"/>
            <w:vAlign w:val="center"/>
          </w:tcPr>
          <w:p w:rsidR="00B30D13" w:rsidRPr="00FD7A80" w:rsidRDefault="00B30D13" w:rsidP="00B30D13">
            <w:pPr>
              <w:widowControl w:val="0"/>
              <w:tabs>
                <w:tab w:val="left" w:pos="622"/>
              </w:tabs>
              <w:spacing w:after="0" w:line="240" w:lineRule="auto"/>
              <w:jc w:val="center"/>
              <w:rPr>
                <w:rFonts w:ascii="Times New Roman" w:eastAsia="AngsanaUPC" w:hAnsi="Times New Roman"/>
                <w:b/>
                <w:bCs/>
                <w:iCs/>
                <w:sz w:val="18"/>
                <w:szCs w:val="18"/>
                <w:lang w:eastAsia="lt-LT"/>
              </w:rPr>
            </w:pPr>
            <w:r w:rsidRPr="00FD7A80">
              <w:rPr>
                <w:rFonts w:ascii="Times New Roman" w:eastAsia="AngsanaUPC" w:hAnsi="Times New Roman"/>
                <w:b/>
                <w:bCs/>
                <w:iCs/>
                <w:sz w:val="18"/>
                <w:szCs w:val="18"/>
                <w:lang w:eastAsia="lt-LT"/>
              </w:rPr>
              <w:t>Fondas</w:t>
            </w:r>
          </w:p>
        </w:tc>
        <w:tc>
          <w:tcPr>
            <w:tcW w:w="1134" w:type="dxa"/>
            <w:shd w:val="clear" w:color="auto" w:fill="EEECE1"/>
            <w:vAlign w:val="center"/>
          </w:tcPr>
          <w:p w:rsidR="00B30D13" w:rsidRPr="00FD7A80" w:rsidRDefault="00B30D13" w:rsidP="00B30D13">
            <w:pPr>
              <w:widowControl w:val="0"/>
              <w:tabs>
                <w:tab w:val="left" w:pos="622"/>
              </w:tabs>
              <w:spacing w:after="0" w:line="240" w:lineRule="auto"/>
              <w:jc w:val="center"/>
              <w:rPr>
                <w:rFonts w:ascii="Times New Roman" w:eastAsia="AngsanaUPC" w:hAnsi="Times New Roman"/>
                <w:b/>
                <w:bCs/>
                <w:iCs/>
                <w:sz w:val="18"/>
                <w:szCs w:val="18"/>
                <w:lang w:eastAsia="lt-LT"/>
              </w:rPr>
            </w:pPr>
            <w:r w:rsidRPr="00FD7A80">
              <w:rPr>
                <w:rFonts w:ascii="Times New Roman" w:eastAsia="AngsanaUPC" w:hAnsi="Times New Roman"/>
                <w:b/>
                <w:bCs/>
                <w:iCs/>
                <w:sz w:val="18"/>
                <w:szCs w:val="18"/>
                <w:lang w:eastAsia="lt-LT"/>
              </w:rPr>
              <w:t>Regiono kategorija</w:t>
            </w:r>
          </w:p>
        </w:tc>
        <w:tc>
          <w:tcPr>
            <w:tcW w:w="1134" w:type="dxa"/>
            <w:shd w:val="clear" w:color="auto" w:fill="EEECE1"/>
            <w:vAlign w:val="center"/>
          </w:tcPr>
          <w:p w:rsidR="00B30D13" w:rsidRPr="00FD7A80" w:rsidRDefault="00B30D13" w:rsidP="00B30D13">
            <w:pPr>
              <w:widowControl w:val="0"/>
              <w:tabs>
                <w:tab w:val="left" w:pos="622"/>
              </w:tabs>
              <w:spacing w:after="0" w:line="240" w:lineRule="auto"/>
              <w:jc w:val="center"/>
              <w:rPr>
                <w:rFonts w:ascii="Times New Roman" w:eastAsia="AngsanaUPC" w:hAnsi="Times New Roman"/>
                <w:b/>
                <w:bCs/>
                <w:iCs/>
                <w:sz w:val="18"/>
                <w:szCs w:val="18"/>
                <w:lang w:eastAsia="lt-LT"/>
              </w:rPr>
            </w:pPr>
            <w:r w:rsidRPr="00FD7A80">
              <w:rPr>
                <w:rFonts w:ascii="Times New Roman" w:eastAsia="AngsanaUPC" w:hAnsi="Times New Roman"/>
                <w:b/>
                <w:bCs/>
                <w:iCs/>
                <w:sz w:val="18"/>
                <w:szCs w:val="18"/>
                <w:lang w:eastAsia="lt-LT"/>
              </w:rPr>
              <w:t>Siektina reikšmė (2023)</w:t>
            </w:r>
          </w:p>
        </w:tc>
        <w:tc>
          <w:tcPr>
            <w:tcW w:w="1133" w:type="dxa"/>
            <w:shd w:val="clear" w:color="auto" w:fill="EEECE1"/>
            <w:vAlign w:val="center"/>
          </w:tcPr>
          <w:p w:rsidR="00B30D13" w:rsidRPr="00FD7A80" w:rsidRDefault="00B30D13" w:rsidP="00B30D13">
            <w:pPr>
              <w:widowControl w:val="0"/>
              <w:tabs>
                <w:tab w:val="left" w:pos="622"/>
              </w:tabs>
              <w:spacing w:after="0" w:line="240" w:lineRule="auto"/>
              <w:jc w:val="center"/>
              <w:rPr>
                <w:rFonts w:ascii="Times New Roman" w:eastAsia="AngsanaUPC" w:hAnsi="Times New Roman"/>
                <w:b/>
                <w:bCs/>
                <w:iCs/>
                <w:sz w:val="18"/>
                <w:szCs w:val="18"/>
                <w:lang w:eastAsia="lt-LT"/>
              </w:rPr>
            </w:pPr>
            <w:r w:rsidRPr="00FD7A80">
              <w:rPr>
                <w:rFonts w:ascii="Times New Roman" w:eastAsia="AngsanaUPC" w:hAnsi="Times New Roman"/>
                <w:b/>
                <w:bCs/>
                <w:iCs/>
                <w:sz w:val="18"/>
                <w:szCs w:val="18"/>
                <w:lang w:eastAsia="lt-LT"/>
              </w:rPr>
              <w:t>Duomenų šaltinis</w:t>
            </w:r>
          </w:p>
        </w:tc>
        <w:tc>
          <w:tcPr>
            <w:tcW w:w="1241" w:type="dxa"/>
            <w:shd w:val="clear" w:color="auto" w:fill="EEECE1"/>
            <w:vAlign w:val="center"/>
          </w:tcPr>
          <w:p w:rsidR="00B30D13" w:rsidRPr="00FD7A80" w:rsidRDefault="00B30D13" w:rsidP="00B30D13">
            <w:pPr>
              <w:widowControl w:val="0"/>
              <w:tabs>
                <w:tab w:val="left" w:pos="622"/>
              </w:tabs>
              <w:spacing w:after="0" w:line="240" w:lineRule="auto"/>
              <w:jc w:val="center"/>
              <w:rPr>
                <w:rFonts w:ascii="Times New Roman" w:eastAsia="AngsanaUPC" w:hAnsi="Times New Roman"/>
                <w:b/>
                <w:bCs/>
                <w:iCs/>
                <w:sz w:val="18"/>
                <w:szCs w:val="18"/>
                <w:lang w:eastAsia="lt-LT"/>
              </w:rPr>
            </w:pPr>
            <w:r w:rsidRPr="00FD7A80">
              <w:rPr>
                <w:rFonts w:ascii="Times New Roman" w:eastAsia="AngsanaUPC" w:hAnsi="Times New Roman"/>
                <w:b/>
                <w:bCs/>
                <w:iCs/>
                <w:sz w:val="18"/>
                <w:szCs w:val="18"/>
                <w:lang w:eastAsia="lt-LT"/>
              </w:rPr>
              <w:t>Atsiskaitymo dažnumas</w:t>
            </w:r>
          </w:p>
        </w:tc>
      </w:tr>
      <w:tr w:rsidR="00B30D13" w:rsidRPr="00827571" w:rsidTr="00827571">
        <w:tblPrEx>
          <w:shd w:val="clear" w:color="auto" w:fill="auto"/>
        </w:tblPrEx>
        <w:tc>
          <w:tcPr>
            <w:tcW w:w="567" w:type="dxa"/>
            <w:shd w:val="clear" w:color="auto" w:fill="auto"/>
            <w:vAlign w:val="center"/>
          </w:tcPr>
          <w:p w:rsidR="00B30D13" w:rsidRPr="00827571" w:rsidRDefault="00B30D13" w:rsidP="00827571">
            <w:pPr>
              <w:widowControl w:val="0"/>
              <w:tabs>
                <w:tab w:val="left" w:pos="622"/>
              </w:tabs>
              <w:spacing w:after="0" w:line="240" w:lineRule="auto"/>
              <w:jc w:val="center"/>
              <w:rPr>
                <w:rFonts w:ascii="Times New Roman" w:hAnsi="Times New Roman"/>
                <w:bCs/>
                <w:iCs/>
                <w:sz w:val="18"/>
                <w:szCs w:val="18"/>
                <w:lang w:eastAsia="lt-LT"/>
              </w:rPr>
            </w:pPr>
            <w:r w:rsidRPr="00827571">
              <w:rPr>
                <w:rFonts w:ascii="Times New Roman" w:hAnsi="Times New Roman"/>
                <w:bCs/>
                <w:iCs/>
                <w:sz w:val="18"/>
                <w:szCs w:val="18"/>
                <w:lang w:eastAsia="lt-LT"/>
              </w:rPr>
              <w:t>1.</w:t>
            </w:r>
          </w:p>
        </w:tc>
        <w:tc>
          <w:tcPr>
            <w:tcW w:w="2694" w:type="dxa"/>
            <w:shd w:val="clear" w:color="auto" w:fill="auto"/>
            <w:vAlign w:val="center"/>
          </w:tcPr>
          <w:p w:rsidR="00B30D13" w:rsidRPr="00827571" w:rsidRDefault="00B30D13" w:rsidP="00827571">
            <w:pPr>
              <w:autoSpaceDE w:val="0"/>
              <w:autoSpaceDN w:val="0"/>
              <w:adjustRightInd w:val="0"/>
              <w:spacing w:after="0" w:line="240" w:lineRule="auto"/>
              <w:rPr>
                <w:rFonts w:ascii="Times New Roman" w:hAnsi="Times New Roman"/>
                <w:bCs/>
                <w:iCs/>
                <w:sz w:val="18"/>
                <w:szCs w:val="18"/>
                <w:lang w:eastAsia="lt-LT"/>
              </w:rPr>
            </w:pPr>
            <w:r w:rsidRPr="00827571">
              <w:rPr>
                <w:rFonts w:ascii="Times New Roman" w:eastAsia="Times New Roman" w:hAnsi="Times New Roman"/>
                <w:sz w:val="18"/>
                <w:szCs w:val="18"/>
                <w:lang w:eastAsia="lt-LT"/>
              </w:rPr>
              <w:t>Subsidijas gaunančių įmonių</w:t>
            </w:r>
            <w:r w:rsidR="00827571" w:rsidRPr="00827571">
              <w:rPr>
                <w:rFonts w:ascii="Times New Roman" w:eastAsia="Times New Roman" w:hAnsi="Times New Roman"/>
                <w:sz w:val="18"/>
                <w:szCs w:val="18"/>
                <w:lang w:eastAsia="lt-LT"/>
              </w:rPr>
              <w:t xml:space="preserve"> </w:t>
            </w:r>
            <w:r w:rsidRPr="00827571">
              <w:rPr>
                <w:rFonts w:ascii="Times New Roman" w:eastAsia="Times New Roman" w:hAnsi="Times New Roman"/>
                <w:sz w:val="18"/>
                <w:szCs w:val="18"/>
                <w:lang w:eastAsia="lt-LT"/>
              </w:rPr>
              <w:t>skaičius</w:t>
            </w:r>
          </w:p>
        </w:tc>
        <w:tc>
          <w:tcPr>
            <w:tcW w:w="1134" w:type="dxa"/>
            <w:shd w:val="clear" w:color="auto" w:fill="auto"/>
            <w:vAlign w:val="center"/>
          </w:tcPr>
          <w:p w:rsidR="00B30D13" w:rsidRPr="00827571" w:rsidRDefault="00B30D13" w:rsidP="00827571">
            <w:pPr>
              <w:widowControl w:val="0"/>
              <w:tabs>
                <w:tab w:val="left" w:pos="622"/>
              </w:tabs>
              <w:spacing w:after="0" w:line="240" w:lineRule="auto"/>
              <w:jc w:val="center"/>
              <w:rPr>
                <w:rFonts w:ascii="Times New Roman" w:hAnsi="Times New Roman"/>
                <w:bCs/>
                <w:iCs/>
                <w:sz w:val="18"/>
                <w:szCs w:val="18"/>
                <w:lang w:eastAsia="lt-LT"/>
              </w:rPr>
            </w:pPr>
            <w:r w:rsidRPr="00827571">
              <w:rPr>
                <w:rFonts w:ascii="Times New Roman" w:hAnsi="Times New Roman"/>
                <w:bCs/>
                <w:iCs/>
                <w:sz w:val="18"/>
                <w:szCs w:val="18"/>
                <w:lang w:eastAsia="lt-LT"/>
              </w:rPr>
              <w:t>Įmonės</w:t>
            </w:r>
          </w:p>
        </w:tc>
        <w:tc>
          <w:tcPr>
            <w:tcW w:w="850" w:type="dxa"/>
            <w:shd w:val="clear" w:color="auto" w:fill="auto"/>
            <w:vAlign w:val="center"/>
          </w:tcPr>
          <w:p w:rsidR="00B30D13" w:rsidRPr="00827571" w:rsidRDefault="00B30D13" w:rsidP="00827571">
            <w:pPr>
              <w:widowControl w:val="0"/>
              <w:tabs>
                <w:tab w:val="left" w:pos="622"/>
              </w:tabs>
              <w:spacing w:after="0" w:line="240" w:lineRule="auto"/>
              <w:jc w:val="center"/>
              <w:rPr>
                <w:rFonts w:ascii="Times New Roman" w:hAnsi="Times New Roman"/>
                <w:bCs/>
                <w:iCs/>
                <w:sz w:val="18"/>
                <w:szCs w:val="18"/>
                <w:lang w:eastAsia="lt-LT"/>
              </w:rPr>
            </w:pPr>
            <w:r w:rsidRPr="00827571">
              <w:rPr>
                <w:rFonts w:ascii="Times New Roman" w:hAnsi="Times New Roman"/>
                <w:bCs/>
                <w:iCs/>
                <w:sz w:val="18"/>
                <w:szCs w:val="18"/>
                <w:lang w:eastAsia="lt-LT"/>
              </w:rPr>
              <w:t>ERPF</w:t>
            </w:r>
          </w:p>
        </w:tc>
        <w:tc>
          <w:tcPr>
            <w:tcW w:w="1134" w:type="dxa"/>
            <w:shd w:val="clear" w:color="auto" w:fill="auto"/>
            <w:vAlign w:val="center"/>
          </w:tcPr>
          <w:p w:rsidR="00B30D13" w:rsidRPr="00827571" w:rsidRDefault="00B30D13" w:rsidP="00827571">
            <w:pPr>
              <w:widowControl w:val="0"/>
              <w:tabs>
                <w:tab w:val="left" w:pos="622"/>
              </w:tabs>
              <w:spacing w:after="0" w:line="240" w:lineRule="auto"/>
              <w:jc w:val="center"/>
              <w:rPr>
                <w:rFonts w:ascii="Times New Roman" w:hAnsi="Times New Roman"/>
                <w:bCs/>
                <w:iCs/>
                <w:sz w:val="18"/>
                <w:szCs w:val="18"/>
                <w:lang w:eastAsia="lt-LT"/>
              </w:rPr>
            </w:pPr>
            <w:r w:rsidRPr="00827571">
              <w:rPr>
                <w:rFonts w:ascii="Times New Roman" w:hAnsi="Times New Roman"/>
                <w:bCs/>
                <w:iCs/>
                <w:sz w:val="18"/>
                <w:szCs w:val="18"/>
                <w:lang w:eastAsia="lt-LT"/>
              </w:rPr>
              <w:t>Mažiau išsivystęs</w:t>
            </w:r>
          </w:p>
        </w:tc>
        <w:tc>
          <w:tcPr>
            <w:tcW w:w="1134" w:type="dxa"/>
            <w:shd w:val="clear" w:color="auto" w:fill="auto"/>
            <w:vAlign w:val="center"/>
          </w:tcPr>
          <w:p w:rsidR="00B30D13" w:rsidRPr="00827571" w:rsidRDefault="00827571" w:rsidP="00827571">
            <w:pPr>
              <w:widowControl w:val="0"/>
              <w:tabs>
                <w:tab w:val="left" w:pos="622"/>
              </w:tabs>
              <w:spacing w:after="0" w:line="240" w:lineRule="auto"/>
              <w:jc w:val="center"/>
              <w:rPr>
                <w:rFonts w:ascii="Times New Roman" w:hAnsi="Times New Roman"/>
                <w:bCs/>
                <w:iCs/>
                <w:sz w:val="18"/>
                <w:szCs w:val="18"/>
                <w:lang w:eastAsia="lt-LT"/>
              </w:rPr>
            </w:pPr>
            <w:r w:rsidRPr="00827571">
              <w:rPr>
                <w:rFonts w:ascii="Times New Roman" w:hAnsi="Times New Roman"/>
                <w:bCs/>
                <w:iCs/>
                <w:sz w:val="18"/>
                <w:szCs w:val="18"/>
                <w:lang w:eastAsia="lt-LT"/>
              </w:rPr>
              <w:t>632</w:t>
            </w:r>
          </w:p>
        </w:tc>
        <w:tc>
          <w:tcPr>
            <w:tcW w:w="1133" w:type="dxa"/>
            <w:shd w:val="clear" w:color="auto" w:fill="auto"/>
            <w:vAlign w:val="center"/>
          </w:tcPr>
          <w:p w:rsidR="00B30D13" w:rsidRPr="00827571" w:rsidRDefault="00B30D13" w:rsidP="00827571">
            <w:pPr>
              <w:widowControl w:val="0"/>
              <w:tabs>
                <w:tab w:val="left" w:pos="622"/>
              </w:tabs>
              <w:spacing w:after="0" w:line="240" w:lineRule="auto"/>
              <w:jc w:val="center"/>
              <w:rPr>
                <w:rFonts w:ascii="Times New Roman" w:hAnsi="Times New Roman"/>
                <w:bCs/>
                <w:iCs/>
                <w:sz w:val="18"/>
                <w:szCs w:val="18"/>
                <w:lang w:eastAsia="lt-LT"/>
              </w:rPr>
            </w:pPr>
            <w:r w:rsidRPr="00827571">
              <w:rPr>
                <w:rFonts w:ascii="Times New Roman" w:hAnsi="Times New Roman"/>
                <w:bCs/>
                <w:iCs/>
                <w:sz w:val="18"/>
                <w:szCs w:val="18"/>
                <w:lang w:eastAsia="lt-LT"/>
              </w:rPr>
              <w:t>Duomenys iš projektų</w:t>
            </w:r>
          </w:p>
        </w:tc>
        <w:tc>
          <w:tcPr>
            <w:tcW w:w="1241" w:type="dxa"/>
            <w:shd w:val="clear" w:color="auto" w:fill="auto"/>
            <w:vAlign w:val="center"/>
          </w:tcPr>
          <w:p w:rsidR="00B30D13" w:rsidRPr="00827571" w:rsidRDefault="00B30D13" w:rsidP="00827571">
            <w:pPr>
              <w:widowControl w:val="0"/>
              <w:tabs>
                <w:tab w:val="left" w:pos="622"/>
              </w:tabs>
              <w:spacing w:after="0" w:line="240" w:lineRule="auto"/>
              <w:jc w:val="center"/>
              <w:rPr>
                <w:rFonts w:ascii="Times New Roman" w:hAnsi="Times New Roman"/>
                <w:bCs/>
                <w:iCs/>
                <w:sz w:val="18"/>
                <w:szCs w:val="18"/>
                <w:lang w:eastAsia="lt-LT"/>
              </w:rPr>
            </w:pPr>
            <w:r w:rsidRPr="00827571">
              <w:rPr>
                <w:rFonts w:ascii="Times New Roman" w:hAnsi="Times New Roman"/>
                <w:bCs/>
                <w:iCs/>
                <w:sz w:val="18"/>
                <w:szCs w:val="18"/>
                <w:lang w:eastAsia="lt-LT"/>
              </w:rPr>
              <w:t>Kartą per metus</w:t>
            </w:r>
          </w:p>
        </w:tc>
      </w:tr>
      <w:tr w:rsidR="00B30D13" w:rsidRPr="00827571" w:rsidTr="00827571">
        <w:tblPrEx>
          <w:shd w:val="clear" w:color="auto" w:fill="auto"/>
        </w:tblPrEx>
        <w:tc>
          <w:tcPr>
            <w:tcW w:w="567" w:type="dxa"/>
            <w:shd w:val="clear" w:color="auto" w:fill="auto"/>
            <w:vAlign w:val="center"/>
          </w:tcPr>
          <w:p w:rsidR="00B30D13" w:rsidRPr="00827571" w:rsidRDefault="00B30D13" w:rsidP="00827571">
            <w:pPr>
              <w:widowControl w:val="0"/>
              <w:tabs>
                <w:tab w:val="left" w:pos="622"/>
              </w:tabs>
              <w:spacing w:after="0" w:line="240" w:lineRule="auto"/>
              <w:jc w:val="center"/>
              <w:rPr>
                <w:rFonts w:ascii="Times New Roman" w:hAnsi="Times New Roman"/>
                <w:bCs/>
                <w:iCs/>
                <w:sz w:val="18"/>
                <w:szCs w:val="18"/>
                <w:lang w:eastAsia="lt-LT"/>
              </w:rPr>
            </w:pPr>
            <w:r w:rsidRPr="00827571">
              <w:rPr>
                <w:rFonts w:ascii="Times New Roman" w:hAnsi="Times New Roman"/>
                <w:bCs/>
                <w:iCs/>
                <w:sz w:val="18"/>
                <w:szCs w:val="18"/>
                <w:lang w:eastAsia="lt-LT"/>
              </w:rPr>
              <w:t>2.</w:t>
            </w:r>
          </w:p>
        </w:tc>
        <w:tc>
          <w:tcPr>
            <w:tcW w:w="2694" w:type="dxa"/>
            <w:shd w:val="clear" w:color="auto" w:fill="auto"/>
            <w:vAlign w:val="center"/>
          </w:tcPr>
          <w:p w:rsidR="00B30D13" w:rsidRPr="00827571" w:rsidRDefault="00B30D13" w:rsidP="00827571">
            <w:pPr>
              <w:widowControl w:val="0"/>
              <w:tabs>
                <w:tab w:val="left" w:pos="622"/>
              </w:tabs>
              <w:spacing w:after="0" w:line="240" w:lineRule="auto"/>
              <w:rPr>
                <w:rFonts w:ascii="Times New Roman" w:hAnsi="Times New Roman"/>
                <w:bCs/>
                <w:iCs/>
                <w:sz w:val="18"/>
                <w:szCs w:val="18"/>
                <w:lang w:eastAsia="lt-LT"/>
              </w:rPr>
            </w:pPr>
            <w:r w:rsidRPr="00827571">
              <w:rPr>
                <w:rFonts w:ascii="Times New Roman" w:hAnsi="Times New Roman"/>
                <w:bCs/>
                <w:iCs/>
                <w:sz w:val="18"/>
                <w:szCs w:val="18"/>
                <w:lang w:eastAsia="lt-LT"/>
              </w:rPr>
              <w:t>Privačios investicijos, atitinkančios viešąją paramą įmonėms (subsidijos)</w:t>
            </w:r>
          </w:p>
        </w:tc>
        <w:tc>
          <w:tcPr>
            <w:tcW w:w="1134" w:type="dxa"/>
            <w:shd w:val="clear" w:color="auto" w:fill="auto"/>
            <w:vAlign w:val="center"/>
          </w:tcPr>
          <w:p w:rsidR="00B30D13" w:rsidRPr="00827571" w:rsidRDefault="00B30D13" w:rsidP="00827571">
            <w:pPr>
              <w:widowControl w:val="0"/>
              <w:tabs>
                <w:tab w:val="left" w:pos="622"/>
              </w:tabs>
              <w:spacing w:after="0" w:line="240" w:lineRule="auto"/>
              <w:jc w:val="center"/>
              <w:rPr>
                <w:rFonts w:ascii="Times New Roman" w:hAnsi="Times New Roman"/>
                <w:bCs/>
                <w:iCs/>
                <w:sz w:val="18"/>
                <w:szCs w:val="18"/>
                <w:lang w:eastAsia="lt-LT"/>
              </w:rPr>
            </w:pPr>
            <w:r w:rsidRPr="00827571">
              <w:rPr>
                <w:rFonts w:ascii="Times New Roman" w:hAnsi="Times New Roman"/>
                <w:bCs/>
                <w:iCs/>
                <w:sz w:val="18"/>
                <w:szCs w:val="18"/>
                <w:lang w:eastAsia="lt-LT"/>
              </w:rPr>
              <w:t>EUR</w:t>
            </w:r>
          </w:p>
        </w:tc>
        <w:tc>
          <w:tcPr>
            <w:tcW w:w="850" w:type="dxa"/>
            <w:shd w:val="clear" w:color="auto" w:fill="auto"/>
            <w:vAlign w:val="center"/>
          </w:tcPr>
          <w:p w:rsidR="00B30D13" w:rsidRPr="00827571" w:rsidRDefault="00B30D13" w:rsidP="00827571">
            <w:pPr>
              <w:widowControl w:val="0"/>
              <w:tabs>
                <w:tab w:val="left" w:pos="622"/>
              </w:tabs>
              <w:spacing w:after="0" w:line="240" w:lineRule="auto"/>
              <w:jc w:val="center"/>
              <w:rPr>
                <w:rFonts w:ascii="Times New Roman" w:hAnsi="Times New Roman"/>
                <w:bCs/>
                <w:iCs/>
                <w:sz w:val="18"/>
                <w:szCs w:val="18"/>
                <w:lang w:eastAsia="lt-LT"/>
              </w:rPr>
            </w:pPr>
            <w:r w:rsidRPr="00827571">
              <w:rPr>
                <w:rFonts w:ascii="Times New Roman" w:hAnsi="Times New Roman"/>
                <w:bCs/>
                <w:iCs/>
                <w:sz w:val="18"/>
                <w:szCs w:val="18"/>
                <w:lang w:eastAsia="lt-LT"/>
              </w:rPr>
              <w:t>ERPF</w:t>
            </w:r>
          </w:p>
        </w:tc>
        <w:tc>
          <w:tcPr>
            <w:tcW w:w="1134" w:type="dxa"/>
            <w:shd w:val="clear" w:color="auto" w:fill="auto"/>
            <w:vAlign w:val="center"/>
          </w:tcPr>
          <w:p w:rsidR="00B30D13" w:rsidRPr="00827571" w:rsidRDefault="00B30D13" w:rsidP="00827571">
            <w:pPr>
              <w:widowControl w:val="0"/>
              <w:tabs>
                <w:tab w:val="left" w:pos="622"/>
              </w:tabs>
              <w:spacing w:after="0" w:line="240" w:lineRule="auto"/>
              <w:jc w:val="center"/>
              <w:rPr>
                <w:rFonts w:ascii="Times New Roman" w:hAnsi="Times New Roman"/>
                <w:bCs/>
                <w:iCs/>
                <w:sz w:val="18"/>
                <w:szCs w:val="18"/>
                <w:lang w:eastAsia="lt-LT"/>
              </w:rPr>
            </w:pPr>
            <w:r w:rsidRPr="00827571">
              <w:rPr>
                <w:rFonts w:ascii="Times New Roman" w:hAnsi="Times New Roman"/>
                <w:bCs/>
                <w:iCs/>
                <w:sz w:val="18"/>
                <w:szCs w:val="18"/>
                <w:lang w:eastAsia="lt-LT"/>
              </w:rPr>
              <w:t>Mažiau išsivystęs</w:t>
            </w:r>
          </w:p>
        </w:tc>
        <w:tc>
          <w:tcPr>
            <w:tcW w:w="1134" w:type="dxa"/>
            <w:shd w:val="clear" w:color="auto" w:fill="auto"/>
            <w:vAlign w:val="center"/>
          </w:tcPr>
          <w:p w:rsidR="00B30D13" w:rsidRPr="00827571" w:rsidRDefault="00827571" w:rsidP="00827571">
            <w:pPr>
              <w:widowControl w:val="0"/>
              <w:tabs>
                <w:tab w:val="left" w:pos="622"/>
              </w:tabs>
              <w:spacing w:after="0" w:line="240" w:lineRule="auto"/>
              <w:jc w:val="center"/>
              <w:rPr>
                <w:rFonts w:ascii="Times New Roman" w:hAnsi="Times New Roman"/>
                <w:bCs/>
                <w:iCs/>
                <w:sz w:val="18"/>
                <w:szCs w:val="18"/>
                <w:lang w:eastAsia="lt-LT"/>
              </w:rPr>
            </w:pPr>
            <w:r w:rsidRPr="00827571">
              <w:rPr>
                <w:rFonts w:ascii="Times New Roman" w:hAnsi="Times New Roman"/>
                <w:bCs/>
                <w:iCs/>
                <w:sz w:val="18"/>
                <w:szCs w:val="18"/>
                <w:lang w:eastAsia="lt-LT"/>
              </w:rPr>
              <w:t>17.502.411</w:t>
            </w:r>
          </w:p>
        </w:tc>
        <w:tc>
          <w:tcPr>
            <w:tcW w:w="1133" w:type="dxa"/>
            <w:shd w:val="clear" w:color="auto" w:fill="auto"/>
            <w:vAlign w:val="center"/>
          </w:tcPr>
          <w:p w:rsidR="00B30D13" w:rsidRPr="00827571" w:rsidRDefault="00B30D13" w:rsidP="00827571">
            <w:pPr>
              <w:widowControl w:val="0"/>
              <w:tabs>
                <w:tab w:val="left" w:pos="622"/>
              </w:tabs>
              <w:spacing w:after="0" w:line="240" w:lineRule="auto"/>
              <w:jc w:val="center"/>
              <w:rPr>
                <w:rFonts w:ascii="Times New Roman" w:hAnsi="Times New Roman"/>
                <w:bCs/>
                <w:iCs/>
                <w:sz w:val="18"/>
                <w:szCs w:val="18"/>
                <w:lang w:eastAsia="lt-LT"/>
              </w:rPr>
            </w:pPr>
            <w:r w:rsidRPr="00827571">
              <w:rPr>
                <w:rFonts w:ascii="Times New Roman" w:hAnsi="Times New Roman"/>
                <w:bCs/>
                <w:iCs/>
                <w:sz w:val="18"/>
                <w:szCs w:val="18"/>
                <w:lang w:eastAsia="lt-LT"/>
              </w:rPr>
              <w:t>Duomenys iš projektų</w:t>
            </w:r>
          </w:p>
        </w:tc>
        <w:tc>
          <w:tcPr>
            <w:tcW w:w="1241" w:type="dxa"/>
            <w:shd w:val="clear" w:color="auto" w:fill="auto"/>
            <w:vAlign w:val="center"/>
          </w:tcPr>
          <w:p w:rsidR="00B30D13" w:rsidRPr="00827571" w:rsidRDefault="00B30D13" w:rsidP="00827571">
            <w:pPr>
              <w:widowControl w:val="0"/>
              <w:tabs>
                <w:tab w:val="left" w:pos="622"/>
              </w:tabs>
              <w:spacing w:after="0" w:line="240" w:lineRule="auto"/>
              <w:jc w:val="center"/>
              <w:rPr>
                <w:rFonts w:ascii="Times New Roman" w:hAnsi="Times New Roman"/>
                <w:bCs/>
                <w:iCs/>
                <w:sz w:val="18"/>
                <w:szCs w:val="18"/>
                <w:lang w:eastAsia="lt-LT"/>
              </w:rPr>
            </w:pPr>
            <w:r w:rsidRPr="00827571">
              <w:rPr>
                <w:rFonts w:ascii="Times New Roman" w:hAnsi="Times New Roman"/>
                <w:bCs/>
                <w:iCs/>
                <w:sz w:val="18"/>
                <w:szCs w:val="18"/>
                <w:lang w:eastAsia="lt-LT"/>
              </w:rPr>
              <w:t>Kartą per metus</w:t>
            </w:r>
          </w:p>
        </w:tc>
      </w:tr>
      <w:tr w:rsidR="00B30D13" w:rsidRPr="00827571" w:rsidTr="00827571">
        <w:tblPrEx>
          <w:shd w:val="clear" w:color="auto" w:fill="auto"/>
        </w:tblPrEx>
        <w:trPr>
          <w:trHeight w:val="687"/>
        </w:trPr>
        <w:tc>
          <w:tcPr>
            <w:tcW w:w="567" w:type="dxa"/>
            <w:shd w:val="clear" w:color="auto" w:fill="auto"/>
            <w:vAlign w:val="center"/>
          </w:tcPr>
          <w:p w:rsidR="00B30D13" w:rsidRPr="00827571" w:rsidRDefault="00B30D13" w:rsidP="00827571">
            <w:pPr>
              <w:widowControl w:val="0"/>
              <w:tabs>
                <w:tab w:val="left" w:pos="622"/>
              </w:tabs>
              <w:spacing w:after="0" w:line="240" w:lineRule="auto"/>
              <w:jc w:val="center"/>
              <w:rPr>
                <w:rFonts w:ascii="Times New Roman" w:hAnsi="Times New Roman"/>
                <w:bCs/>
                <w:iCs/>
                <w:sz w:val="18"/>
                <w:szCs w:val="18"/>
                <w:lang w:eastAsia="lt-LT"/>
              </w:rPr>
            </w:pPr>
            <w:r w:rsidRPr="00827571">
              <w:rPr>
                <w:rFonts w:ascii="Times New Roman" w:hAnsi="Times New Roman"/>
                <w:bCs/>
                <w:iCs/>
                <w:sz w:val="18"/>
                <w:szCs w:val="18"/>
                <w:lang w:eastAsia="lt-LT"/>
              </w:rPr>
              <w:t>3.</w:t>
            </w:r>
          </w:p>
        </w:tc>
        <w:tc>
          <w:tcPr>
            <w:tcW w:w="2694" w:type="dxa"/>
            <w:shd w:val="clear" w:color="auto" w:fill="auto"/>
            <w:vAlign w:val="center"/>
          </w:tcPr>
          <w:p w:rsidR="00B30D13" w:rsidRPr="00827571" w:rsidRDefault="00B30D13" w:rsidP="00827571">
            <w:pPr>
              <w:widowControl w:val="0"/>
              <w:tabs>
                <w:tab w:val="left" w:pos="622"/>
              </w:tabs>
              <w:spacing w:after="0" w:line="240" w:lineRule="auto"/>
              <w:rPr>
                <w:rFonts w:ascii="Times New Roman" w:hAnsi="Times New Roman"/>
                <w:bCs/>
                <w:iCs/>
                <w:sz w:val="18"/>
                <w:szCs w:val="18"/>
                <w:lang w:eastAsia="lt-LT"/>
              </w:rPr>
            </w:pPr>
            <w:r w:rsidRPr="00827571">
              <w:rPr>
                <w:rFonts w:ascii="Times New Roman" w:hAnsi="Times New Roman"/>
                <w:bCs/>
                <w:iCs/>
                <w:sz w:val="18"/>
                <w:szCs w:val="18"/>
                <w:lang w:eastAsia="lt-LT"/>
              </w:rPr>
              <w:t>Privačios investicijos, atitinkančios viešąją paramą inovacijoms arba MTEP projektams</w:t>
            </w:r>
          </w:p>
        </w:tc>
        <w:tc>
          <w:tcPr>
            <w:tcW w:w="1134" w:type="dxa"/>
            <w:shd w:val="clear" w:color="auto" w:fill="auto"/>
            <w:vAlign w:val="center"/>
          </w:tcPr>
          <w:p w:rsidR="00B30D13" w:rsidRPr="00827571" w:rsidRDefault="00B30D13" w:rsidP="00827571">
            <w:pPr>
              <w:widowControl w:val="0"/>
              <w:tabs>
                <w:tab w:val="left" w:pos="622"/>
              </w:tabs>
              <w:spacing w:after="0" w:line="240" w:lineRule="auto"/>
              <w:jc w:val="center"/>
              <w:rPr>
                <w:rFonts w:ascii="Times New Roman" w:hAnsi="Times New Roman"/>
                <w:bCs/>
                <w:iCs/>
                <w:sz w:val="18"/>
                <w:szCs w:val="18"/>
                <w:lang w:eastAsia="lt-LT"/>
              </w:rPr>
            </w:pPr>
            <w:r w:rsidRPr="00827571">
              <w:rPr>
                <w:rFonts w:ascii="Times New Roman" w:hAnsi="Times New Roman"/>
                <w:bCs/>
                <w:iCs/>
                <w:sz w:val="18"/>
                <w:szCs w:val="18"/>
                <w:lang w:eastAsia="lt-LT"/>
              </w:rPr>
              <w:t>EUR</w:t>
            </w:r>
          </w:p>
        </w:tc>
        <w:tc>
          <w:tcPr>
            <w:tcW w:w="850" w:type="dxa"/>
            <w:shd w:val="clear" w:color="auto" w:fill="auto"/>
            <w:vAlign w:val="center"/>
          </w:tcPr>
          <w:p w:rsidR="00B30D13" w:rsidRPr="00827571" w:rsidRDefault="00B30D13" w:rsidP="00827571">
            <w:pPr>
              <w:widowControl w:val="0"/>
              <w:tabs>
                <w:tab w:val="left" w:pos="622"/>
              </w:tabs>
              <w:spacing w:after="0" w:line="240" w:lineRule="auto"/>
              <w:jc w:val="center"/>
              <w:rPr>
                <w:rFonts w:ascii="Times New Roman" w:hAnsi="Times New Roman"/>
                <w:bCs/>
                <w:iCs/>
                <w:sz w:val="18"/>
                <w:szCs w:val="18"/>
                <w:lang w:eastAsia="lt-LT"/>
              </w:rPr>
            </w:pPr>
            <w:r w:rsidRPr="00827571">
              <w:rPr>
                <w:rFonts w:ascii="Times New Roman" w:hAnsi="Times New Roman"/>
                <w:bCs/>
                <w:iCs/>
                <w:sz w:val="18"/>
                <w:szCs w:val="18"/>
                <w:lang w:eastAsia="lt-LT"/>
              </w:rPr>
              <w:t>ERPF</w:t>
            </w:r>
          </w:p>
        </w:tc>
        <w:tc>
          <w:tcPr>
            <w:tcW w:w="1134" w:type="dxa"/>
            <w:shd w:val="clear" w:color="auto" w:fill="auto"/>
            <w:vAlign w:val="center"/>
          </w:tcPr>
          <w:p w:rsidR="00B30D13" w:rsidRPr="00827571" w:rsidRDefault="00B30D13" w:rsidP="00827571">
            <w:pPr>
              <w:widowControl w:val="0"/>
              <w:tabs>
                <w:tab w:val="left" w:pos="622"/>
              </w:tabs>
              <w:spacing w:after="0" w:line="240" w:lineRule="auto"/>
              <w:jc w:val="center"/>
              <w:rPr>
                <w:rFonts w:ascii="Times New Roman" w:hAnsi="Times New Roman"/>
                <w:bCs/>
                <w:iCs/>
                <w:sz w:val="18"/>
                <w:szCs w:val="18"/>
                <w:lang w:eastAsia="lt-LT"/>
              </w:rPr>
            </w:pPr>
            <w:r w:rsidRPr="00827571">
              <w:rPr>
                <w:rFonts w:ascii="Times New Roman" w:hAnsi="Times New Roman"/>
                <w:bCs/>
                <w:iCs/>
                <w:sz w:val="18"/>
                <w:szCs w:val="18"/>
                <w:lang w:eastAsia="lt-LT"/>
              </w:rPr>
              <w:t>Mažiau išsivystęs</w:t>
            </w:r>
          </w:p>
        </w:tc>
        <w:tc>
          <w:tcPr>
            <w:tcW w:w="1134" w:type="dxa"/>
            <w:shd w:val="clear" w:color="auto" w:fill="auto"/>
            <w:vAlign w:val="center"/>
          </w:tcPr>
          <w:p w:rsidR="00B30D13" w:rsidRPr="00827571" w:rsidRDefault="00827571" w:rsidP="00827571">
            <w:pPr>
              <w:widowControl w:val="0"/>
              <w:tabs>
                <w:tab w:val="left" w:pos="622"/>
              </w:tabs>
              <w:spacing w:after="0" w:line="240" w:lineRule="auto"/>
              <w:jc w:val="center"/>
              <w:rPr>
                <w:rFonts w:ascii="Times New Roman" w:hAnsi="Times New Roman"/>
                <w:bCs/>
                <w:iCs/>
                <w:sz w:val="18"/>
                <w:szCs w:val="18"/>
                <w:lang w:eastAsia="lt-LT"/>
              </w:rPr>
            </w:pPr>
            <w:r w:rsidRPr="00827571">
              <w:rPr>
                <w:rFonts w:ascii="Times New Roman" w:hAnsi="Times New Roman"/>
                <w:bCs/>
                <w:iCs/>
                <w:sz w:val="18"/>
                <w:szCs w:val="18"/>
                <w:lang w:eastAsia="lt-LT"/>
              </w:rPr>
              <w:t>43.041.159</w:t>
            </w:r>
          </w:p>
        </w:tc>
        <w:tc>
          <w:tcPr>
            <w:tcW w:w="1133" w:type="dxa"/>
            <w:shd w:val="clear" w:color="auto" w:fill="auto"/>
            <w:vAlign w:val="center"/>
          </w:tcPr>
          <w:p w:rsidR="00B30D13" w:rsidRPr="00827571" w:rsidRDefault="00B30D13" w:rsidP="00827571">
            <w:pPr>
              <w:widowControl w:val="0"/>
              <w:tabs>
                <w:tab w:val="left" w:pos="622"/>
              </w:tabs>
              <w:spacing w:after="0" w:line="240" w:lineRule="auto"/>
              <w:jc w:val="center"/>
              <w:rPr>
                <w:rFonts w:ascii="Times New Roman" w:hAnsi="Times New Roman"/>
                <w:bCs/>
                <w:iCs/>
                <w:sz w:val="18"/>
                <w:szCs w:val="18"/>
                <w:lang w:eastAsia="lt-LT"/>
              </w:rPr>
            </w:pPr>
            <w:r w:rsidRPr="00827571">
              <w:rPr>
                <w:rFonts w:ascii="Times New Roman" w:hAnsi="Times New Roman"/>
                <w:bCs/>
                <w:iCs/>
                <w:sz w:val="18"/>
                <w:szCs w:val="18"/>
                <w:lang w:eastAsia="lt-LT"/>
              </w:rPr>
              <w:t>Duomenys iš projektų</w:t>
            </w:r>
          </w:p>
        </w:tc>
        <w:tc>
          <w:tcPr>
            <w:tcW w:w="1241" w:type="dxa"/>
            <w:shd w:val="clear" w:color="auto" w:fill="auto"/>
            <w:vAlign w:val="center"/>
          </w:tcPr>
          <w:p w:rsidR="00B30D13" w:rsidRPr="00827571" w:rsidRDefault="00B30D13" w:rsidP="00827571">
            <w:pPr>
              <w:widowControl w:val="0"/>
              <w:tabs>
                <w:tab w:val="left" w:pos="622"/>
              </w:tabs>
              <w:spacing w:after="0" w:line="240" w:lineRule="auto"/>
              <w:jc w:val="center"/>
              <w:rPr>
                <w:rFonts w:ascii="Times New Roman" w:hAnsi="Times New Roman"/>
                <w:bCs/>
                <w:iCs/>
                <w:sz w:val="18"/>
                <w:szCs w:val="18"/>
                <w:lang w:eastAsia="lt-LT"/>
              </w:rPr>
            </w:pPr>
            <w:r w:rsidRPr="00827571">
              <w:rPr>
                <w:rFonts w:ascii="Times New Roman" w:hAnsi="Times New Roman"/>
                <w:bCs/>
                <w:iCs/>
                <w:sz w:val="18"/>
                <w:szCs w:val="18"/>
                <w:lang w:eastAsia="lt-LT"/>
              </w:rPr>
              <w:t>Kartą per metus</w:t>
            </w:r>
          </w:p>
        </w:tc>
      </w:tr>
      <w:tr w:rsidR="00B30D13" w:rsidRPr="00827571" w:rsidTr="00827571">
        <w:tblPrEx>
          <w:shd w:val="clear" w:color="auto" w:fill="auto"/>
        </w:tblPrEx>
        <w:trPr>
          <w:trHeight w:val="457"/>
        </w:trPr>
        <w:tc>
          <w:tcPr>
            <w:tcW w:w="567" w:type="dxa"/>
            <w:shd w:val="clear" w:color="auto" w:fill="auto"/>
            <w:vAlign w:val="center"/>
          </w:tcPr>
          <w:p w:rsidR="00B30D13" w:rsidRPr="00827571" w:rsidRDefault="00B30D13" w:rsidP="00827571">
            <w:pPr>
              <w:widowControl w:val="0"/>
              <w:tabs>
                <w:tab w:val="left" w:pos="622"/>
              </w:tabs>
              <w:spacing w:after="0" w:line="240" w:lineRule="auto"/>
              <w:jc w:val="center"/>
              <w:rPr>
                <w:rFonts w:ascii="Times New Roman" w:hAnsi="Times New Roman"/>
                <w:bCs/>
                <w:iCs/>
                <w:sz w:val="18"/>
                <w:szCs w:val="18"/>
                <w:lang w:eastAsia="lt-LT"/>
              </w:rPr>
            </w:pPr>
            <w:r w:rsidRPr="00827571">
              <w:rPr>
                <w:rFonts w:ascii="Times New Roman" w:hAnsi="Times New Roman"/>
                <w:bCs/>
                <w:iCs/>
                <w:sz w:val="18"/>
                <w:szCs w:val="18"/>
                <w:lang w:eastAsia="lt-LT"/>
              </w:rPr>
              <w:t>4.</w:t>
            </w:r>
          </w:p>
        </w:tc>
        <w:tc>
          <w:tcPr>
            <w:tcW w:w="2694" w:type="dxa"/>
            <w:shd w:val="clear" w:color="auto" w:fill="auto"/>
            <w:vAlign w:val="center"/>
          </w:tcPr>
          <w:p w:rsidR="00B30D13" w:rsidRPr="00827571" w:rsidRDefault="00B30D13" w:rsidP="00827571">
            <w:pPr>
              <w:autoSpaceDE w:val="0"/>
              <w:autoSpaceDN w:val="0"/>
              <w:adjustRightInd w:val="0"/>
              <w:spacing w:after="0" w:line="240" w:lineRule="auto"/>
              <w:rPr>
                <w:rFonts w:ascii="Times New Roman" w:eastAsia="Times New Roman" w:hAnsi="Times New Roman"/>
                <w:sz w:val="18"/>
                <w:szCs w:val="18"/>
                <w:lang w:eastAsia="lt-LT"/>
              </w:rPr>
            </w:pPr>
            <w:r w:rsidRPr="00827571">
              <w:rPr>
                <w:rFonts w:ascii="Times New Roman" w:eastAsia="Times New Roman" w:hAnsi="Times New Roman"/>
                <w:sz w:val="18"/>
                <w:szCs w:val="18"/>
                <w:lang w:eastAsia="lt-LT"/>
              </w:rPr>
              <w:t>Įmonių, bendradarbiaujančių su tyrimų institucijomis, skaičius</w:t>
            </w:r>
          </w:p>
        </w:tc>
        <w:tc>
          <w:tcPr>
            <w:tcW w:w="1134" w:type="dxa"/>
            <w:shd w:val="clear" w:color="auto" w:fill="auto"/>
            <w:vAlign w:val="center"/>
          </w:tcPr>
          <w:p w:rsidR="00B30D13" w:rsidRPr="00827571" w:rsidRDefault="00B30D13" w:rsidP="00827571">
            <w:pPr>
              <w:widowControl w:val="0"/>
              <w:tabs>
                <w:tab w:val="left" w:pos="622"/>
              </w:tabs>
              <w:spacing w:after="0" w:line="240" w:lineRule="auto"/>
              <w:jc w:val="center"/>
              <w:rPr>
                <w:rFonts w:ascii="Times New Roman" w:hAnsi="Times New Roman"/>
                <w:bCs/>
                <w:iCs/>
                <w:sz w:val="18"/>
                <w:szCs w:val="18"/>
                <w:lang w:eastAsia="lt-LT"/>
              </w:rPr>
            </w:pPr>
            <w:r w:rsidRPr="00827571">
              <w:rPr>
                <w:rFonts w:ascii="Times New Roman" w:hAnsi="Times New Roman"/>
                <w:bCs/>
                <w:iCs/>
                <w:sz w:val="18"/>
                <w:szCs w:val="18"/>
                <w:lang w:eastAsia="lt-LT"/>
              </w:rPr>
              <w:t>Įmonės</w:t>
            </w:r>
          </w:p>
        </w:tc>
        <w:tc>
          <w:tcPr>
            <w:tcW w:w="850" w:type="dxa"/>
            <w:shd w:val="clear" w:color="auto" w:fill="auto"/>
            <w:vAlign w:val="center"/>
          </w:tcPr>
          <w:p w:rsidR="00B30D13" w:rsidRPr="00827571" w:rsidRDefault="00B30D13" w:rsidP="00827571">
            <w:pPr>
              <w:widowControl w:val="0"/>
              <w:tabs>
                <w:tab w:val="left" w:pos="622"/>
              </w:tabs>
              <w:spacing w:after="0" w:line="240" w:lineRule="auto"/>
              <w:jc w:val="center"/>
              <w:rPr>
                <w:rFonts w:ascii="Times New Roman" w:hAnsi="Times New Roman"/>
                <w:bCs/>
                <w:iCs/>
                <w:sz w:val="18"/>
                <w:szCs w:val="18"/>
                <w:lang w:eastAsia="lt-LT"/>
              </w:rPr>
            </w:pPr>
            <w:r w:rsidRPr="00827571">
              <w:rPr>
                <w:rFonts w:ascii="Times New Roman" w:hAnsi="Times New Roman"/>
                <w:bCs/>
                <w:iCs/>
                <w:sz w:val="18"/>
                <w:szCs w:val="18"/>
                <w:lang w:eastAsia="lt-LT"/>
              </w:rPr>
              <w:t>ERPF</w:t>
            </w:r>
          </w:p>
        </w:tc>
        <w:tc>
          <w:tcPr>
            <w:tcW w:w="1134" w:type="dxa"/>
            <w:shd w:val="clear" w:color="auto" w:fill="auto"/>
            <w:vAlign w:val="center"/>
          </w:tcPr>
          <w:p w:rsidR="00B30D13" w:rsidRPr="00827571" w:rsidRDefault="00B30D13" w:rsidP="00827571">
            <w:pPr>
              <w:widowControl w:val="0"/>
              <w:tabs>
                <w:tab w:val="left" w:pos="622"/>
              </w:tabs>
              <w:spacing w:after="0" w:line="240" w:lineRule="auto"/>
              <w:jc w:val="center"/>
              <w:rPr>
                <w:rFonts w:ascii="Times New Roman" w:hAnsi="Times New Roman"/>
                <w:bCs/>
                <w:iCs/>
                <w:sz w:val="18"/>
                <w:szCs w:val="18"/>
                <w:lang w:eastAsia="lt-LT"/>
              </w:rPr>
            </w:pPr>
            <w:r w:rsidRPr="00827571">
              <w:rPr>
                <w:rFonts w:ascii="Times New Roman" w:hAnsi="Times New Roman"/>
                <w:bCs/>
                <w:iCs/>
                <w:sz w:val="18"/>
                <w:szCs w:val="18"/>
                <w:lang w:eastAsia="lt-LT"/>
              </w:rPr>
              <w:t>Mažiau išsivystęs</w:t>
            </w:r>
          </w:p>
        </w:tc>
        <w:tc>
          <w:tcPr>
            <w:tcW w:w="1134" w:type="dxa"/>
            <w:shd w:val="clear" w:color="auto" w:fill="auto"/>
            <w:vAlign w:val="center"/>
          </w:tcPr>
          <w:p w:rsidR="00B30D13" w:rsidRPr="00827571" w:rsidRDefault="00827571" w:rsidP="00827571">
            <w:pPr>
              <w:widowControl w:val="0"/>
              <w:tabs>
                <w:tab w:val="left" w:pos="622"/>
              </w:tabs>
              <w:spacing w:after="0" w:line="240" w:lineRule="auto"/>
              <w:jc w:val="center"/>
              <w:rPr>
                <w:rFonts w:ascii="Times New Roman" w:hAnsi="Times New Roman"/>
                <w:bCs/>
                <w:iCs/>
                <w:sz w:val="18"/>
                <w:szCs w:val="18"/>
                <w:lang w:eastAsia="lt-LT"/>
              </w:rPr>
            </w:pPr>
            <w:r w:rsidRPr="00827571">
              <w:rPr>
                <w:rFonts w:ascii="Times New Roman" w:hAnsi="Times New Roman"/>
                <w:bCs/>
                <w:iCs/>
                <w:sz w:val="18"/>
                <w:szCs w:val="18"/>
                <w:lang w:eastAsia="lt-LT"/>
              </w:rPr>
              <w:t>69</w:t>
            </w:r>
          </w:p>
        </w:tc>
        <w:tc>
          <w:tcPr>
            <w:tcW w:w="1133" w:type="dxa"/>
            <w:shd w:val="clear" w:color="auto" w:fill="auto"/>
            <w:vAlign w:val="center"/>
          </w:tcPr>
          <w:p w:rsidR="00B30D13" w:rsidRPr="00827571" w:rsidRDefault="00B30D13" w:rsidP="00827571">
            <w:pPr>
              <w:widowControl w:val="0"/>
              <w:tabs>
                <w:tab w:val="left" w:pos="622"/>
              </w:tabs>
              <w:spacing w:after="0" w:line="240" w:lineRule="auto"/>
              <w:jc w:val="center"/>
              <w:rPr>
                <w:rFonts w:ascii="Times New Roman" w:hAnsi="Times New Roman"/>
                <w:bCs/>
                <w:iCs/>
                <w:sz w:val="18"/>
                <w:szCs w:val="18"/>
                <w:lang w:eastAsia="lt-LT"/>
              </w:rPr>
            </w:pPr>
            <w:r w:rsidRPr="00827571">
              <w:rPr>
                <w:rFonts w:ascii="Times New Roman" w:hAnsi="Times New Roman"/>
                <w:bCs/>
                <w:iCs/>
                <w:sz w:val="18"/>
                <w:szCs w:val="18"/>
                <w:lang w:eastAsia="lt-LT"/>
              </w:rPr>
              <w:t>Duomenys iš projektų</w:t>
            </w:r>
          </w:p>
        </w:tc>
        <w:tc>
          <w:tcPr>
            <w:tcW w:w="1241" w:type="dxa"/>
            <w:shd w:val="clear" w:color="auto" w:fill="auto"/>
            <w:vAlign w:val="center"/>
          </w:tcPr>
          <w:p w:rsidR="00B30D13" w:rsidRPr="00827571" w:rsidRDefault="00B30D13" w:rsidP="00827571">
            <w:pPr>
              <w:widowControl w:val="0"/>
              <w:tabs>
                <w:tab w:val="left" w:pos="622"/>
              </w:tabs>
              <w:spacing w:after="0" w:line="240" w:lineRule="auto"/>
              <w:jc w:val="center"/>
              <w:rPr>
                <w:rFonts w:ascii="Times New Roman" w:hAnsi="Times New Roman"/>
                <w:bCs/>
                <w:iCs/>
                <w:sz w:val="18"/>
                <w:szCs w:val="18"/>
                <w:lang w:eastAsia="lt-LT"/>
              </w:rPr>
            </w:pPr>
            <w:r w:rsidRPr="00827571">
              <w:rPr>
                <w:rFonts w:ascii="Times New Roman" w:hAnsi="Times New Roman"/>
                <w:bCs/>
                <w:iCs/>
                <w:sz w:val="18"/>
                <w:szCs w:val="18"/>
                <w:lang w:eastAsia="lt-LT"/>
              </w:rPr>
              <w:t>Kartą per metus</w:t>
            </w:r>
          </w:p>
        </w:tc>
      </w:tr>
      <w:tr w:rsidR="00B30D13" w:rsidRPr="00827571" w:rsidTr="00827571">
        <w:tblPrEx>
          <w:shd w:val="clear" w:color="auto" w:fill="auto"/>
        </w:tblPrEx>
        <w:trPr>
          <w:trHeight w:val="687"/>
        </w:trPr>
        <w:tc>
          <w:tcPr>
            <w:tcW w:w="567" w:type="dxa"/>
            <w:shd w:val="clear" w:color="auto" w:fill="auto"/>
            <w:vAlign w:val="center"/>
          </w:tcPr>
          <w:p w:rsidR="00B30D13" w:rsidRPr="00827571" w:rsidRDefault="00B30D13" w:rsidP="00827571">
            <w:pPr>
              <w:widowControl w:val="0"/>
              <w:tabs>
                <w:tab w:val="left" w:pos="622"/>
              </w:tabs>
              <w:spacing w:after="0" w:line="240" w:lineRule="auto"/>
              <w:jc w:val="center"/>
              <w:rPr>
                <w:rFonts w:ascii="Times New Roman" w:hAnsi="Times New Roman"/>
                <w:bCs/>
                <w:iCs/>
                <w:sz w:val="18"/>
                <w:szCs w:val="18"/>
                <w:lang w:eastAsia="lt-LT"/>
              </w:rPr>
            </w:pPr>
            <w:r w:rsidRPr="00827571">
              <w:rPr>
                <w:rFonts w:ascii="Times New Roman" w:hAnsi="Times New Roman"/>
                <w:bCs/>
                <w:iCs/>
                <w:sz w:val="18"/>
                <w:szCs w:val="18"/>
                <w:lang w:eastAsia="lt-LT"/>
              </w:rPr>
              <w:t>5.</w:t>
            </w:r>
          </w:p>
        </w:tc>
        <w:tc>
          <w:tcPr>
            <w:tcW w:w="2694" w:type="dxa"/>
            <w:shd w:val="clear" w:color="auto" w:fill="auto"/>
            <w:vAlign w:val="center"/>
          </w:tcPr>
          <w:p w:rsidR="00B30D13" w:rsidRPr="00827571" w:rsidRDefault="00B30D13" w:rsidP="00827571">
            <w:pPr>
              <w:autoSpaceDE w:val="0"/>
              <w:autoSpaceDN w:val="0"/>
              <w:adjustRightInd w:val="0"/>
              <w:spacing w:after="0" w:line="240" w:lineRule="auto"/>
              <w:rPr>
                <w:rFonts w:ascii="Times New Roman" w:eastAsia="Times New Roman" w:hAnsi="Times New Roman"/>
                <w:sz w:val="18"/>
                <w:szCs w:val="18"/>
                <w:lang w:eastAsia="lt-LT"/>
              </w:rPr>
            </w:pPr>
            <w:r w:rsidRPr="00827571">
              <w:rPr>
                <w:rFonts w:ascii="Times New Roman" w:eastAsia="Times New Roman" w:hAnsi="Times New Roman"/>
                <w:sz w:val="18"/>
                <w:szCs w:val="18"/>
                <w:lang w:eastAsia="lt-LT"/>
              </w:rPr>
              <w:t>Įmonių, gavusių investicijas</w:t>
            </w:r>
            <w:r w:rsidR="00827571" w:rsidRPr="00827571">
              <w:rPr>
                <w:rFonts w:ascii="Times New Roman" w:eastAsia="Times New Roman" w:hAnsi="Times New Roman"/>
                <w:sz w:val="18"/>
                <w:szCs w:val="18"/>
                <w:lang w:eastAsia="lt-LT"/>
              </w:rPr>
              <w:t xml:space="preserve"> </w:t>
            </w:r>
            <w:r w:rsidRPr="00827571">
              <w:rPr>
                <w:rFonts w:ascii="Times New Roman" w:eastAsia="Times New Roman" w:hAnsi="Times New Roman"/>
                <w:sz w:val="18"/>
                <w:szCs w:val="18"/>
                <w:lang w:eastAsia="lt-LT"/>
              </w:rPr>
              <w:t>siekiant, kad jos pateiktų naujų</w:t>
            </w:r>
            <w:r w:rsidR="00827571" w:rsidRPr="00827571">
              <w:rPr>
                <w:rFonts w:ascii="Times New Roman" w:eastAsia="Times New Roman" w:hAnsi="Times New Roman"/>
                <w:sz w:val="18"/>
                <w:szCs w:val="18"/>
                <w:lang w:eastAsia="lt-LT"/>
              </w:rPr>
              <w:t xml:space="preserve"> </w:t>
            </w:r>
            <w:r w:rsidRPr="00827571">
              <w:rPr>
                <w:rFonts w:ascii="Times New Roman" w:eastAsia="Times New Roman" w:hAnsi="Times New Roman"/>
                <w:sz w:val="18"/>
                <w:szCs w:val="18"/>
                <w:lang w:eastAsia="lt-LT"/>
              </w:rPr>
              <w:t>rinkos produktų, skaičius</w:t>
            </w:r>
          </w:p>
        </w:tc>
        <w:tc>
          <w:tcPr>
            <w:tcW w:w="1134" w:type="dxa"/>
            <w:shd w:val="clear" w:color="auto" w:fill="auto"/>
            <w:vAlign w:val="center"/>
          </w:tcPr>
          <w:p w:rsidR="00B30D13" w:rsidRPr="00827571" w:rsidRDefault="00B30D13" w:rsidP="00827571">
            <w:pPr>
              <w:widowControl w:val="0"/>
              <w:tabs>
                <w:tab w:val="left" w:pos="622"/>
              </w:tabs>
              <w:spacing w:after="0" w:line="240" w:lineRule="auto"/>
              <w:jc w:val="center"/>
              <w:rPr>
                <w:rFonts w:ascii="Times New Roman" w:hAnsi="Times New Roman"/>
                <w:bCs/>
                <w:iCs/>
                <w:sz w:val="18"/>
                <w:szCs w:val="18"/>
                <w:lang w:eastAsia="lt-LT"/>
              </w:rPr>
            </w:pPr>
            <w:r w:rsidRPr="00827571">
              <w:rPr>
                <w:rFonts w:ascii="Times New Roman" w:hAnsi="Times New Roman"/>
                <w:bCs/>
                <w:iCs/>
                <w:sz w:val="18"/>
                <w:szCs w:val="18"/>
                <w:lang w:eastAsia="lt-LT"/>
              </w:rPr>
              <w:t>Įmonės</w:t>
            </w:r>
          </w:p>
        </w:tc>
        <w:tc>
          <w:tcPr>
            <w:tcW w:w="850" w:type="dxa"/>
            <w:shd w:val="clear" w:color="auto" w:fill="auto"/>
            <w:vAlign w:val="center"/>
          </w:tcPr>
          <w:p w:rsidR="00B30D13" w:rsidRPr="00827571" w:rsidRDefault="00B30D13" w:rsidP="00827571">
            <w:pPr>
              <w:widowControl w:val="0"/>
              <w:tabs>
                <w:tab w:val="left" w:pos="622"/>
              </w:tabs>
              <w:spacing w:after="0" w:line="240" w:lineRule="auto"/>
              <w:jc w:val="center"/>
              <w:rPr>
                <w:rFonts w:ascii="Times New Roman" w:hAnsi="Times New Roman"/>
                <w:bCs/>
                <w:iCs/>
                <w:sz w:val="18"/>
                <w:szCs w:val="18"/>
                <w:lang w:eastAsia="lt-LT"/>
              </w:rPr>
            </w:pPr>
            <w:r w:rsidRPr="00827571">
              <w:rPr>
                <w:rFonts w:ascii="Times New Roman" w:hAnsi="Times New Roman"/>
                <w:bCs/>
                <w:iCs/>
                <w:sz w:val="18"/>
                <w:szCs w:val="18"/>
                <w:lang w:eastAsia="lt-LT"/>
              </w:rPr>
              <w:t>ERPF</w:t>
            </w:r>
          </w:p>
        </w:tc>
        <w:tc>
          <w:tcPr>
            <w:tcW w:w="1134" w:type="dxa"/>
            <w:shd w:val="clear" w:color="auto" w:fill="auto"/>
            <w:vAlign w:val="center"/>
          </w:tcPr>
          <w:p w:rsidR="00B30D13" w:rsidRPr="00827571" w:rsidRDefault="00B30D13" w:rsidP="00827571">
            <w:pPr>
              <w:widowControl w:val="0"/>
              <w:tabs>
                <w:tab w:val="left" w:pos="622"/>
              </w:tabs>
              <w:spacing w:after="0" w:line="240" w:lineRule="auto"/>
              <w:jc w:val="center"/>
              <w:rPr>
                <w:rFonts w:ascii="Times New Roman" w:hAnsi="Times New Roman"/>
                <w:bCs/>
                <w:iCs/>
                <w:sz w:val="18"/>
                <w:szCs w:val="18"/>
                <w:lang w:eastAsia="lt-LT"/>
              </w:rPr>
            </w:pPr>
            <w:r w:rsidRPr="00827571">
              <w:rPr>
                <w:rFonts w:ascii="Times New Roman" w:hAnsi="Times New Roman"/>
                <w:bCs/>
                <w:iCs/>
                <w:sz w:val="18"/>
                <w:szCs w:val="18"/>
                <w:lang w:eastAsia="lt-LT"/>
              </w:rPr>
              <w:t>Mažiau išsivystęs</w:t>
            </w:r>
          </w:p>
        </w:tc>
        <w:tc>
          <w:tcPr>
            <w:tcW w:w="1134" w:type="dxa"/>
            <w:shd w:val="clear" w:color="auto" w:fill="auto"/>
            <w:vAlign w:val="center"/>
          </w:tcPr>
          <w:p w:rsidR="00B30D13" w:rsidRPr="00827571" w:rsidRDefault="00827571" w:rsidP="00827571">
            <w:pPr>
              <w:widowControl w:val="0"/>
              <w:tabs>
                <w:tab w:val="left" w:pos="622"/>
              </w:tabs>
              <w:spacing w:after="0" w:line="240" w:lineRule="auto"/>
              <w:jc w:val="center"/>
              <w:rPr>
                <w:rFonts w:ascii="Times New Roman" w:hAnsi="Times New Roman"/>
                <w:bCs/>
                <w:iCs/>
                <w:sz w:val="18"/>
                <w:szCs w:val="18"/>
                <w:lang w:eastAsia="lt-LT"/>
              </w:rPr>
            </w:pPr>
            <w:r w:rsidRPr="00827571">
              <w:rPr>
                <w:rFonts w:ascii="Times New Roman" w:hAnsi="Times New Roman"/>
                <w:bCs/>
                <w:iCs/>
                <w:sz w:val="18"/>
                <w:szCs w:val="18"/>
                <w:lang w:eastAsia="lt-LT"/>
              </w:rPr>
              <w:t>28</w:t>
            </w:r>
          </w:p>
        </w:tc>
        <w:tc>
          <w:tcPr>
            <w:tcW w:w="1133" w:type="dxa"/>
            <w:shd w:val="clear" w:color="auto" w:fill="auto"/>
            <w:vAlign w:val="center"/>
          </w:tcPr>
          <w:p w:rsidR="00B30D13" w:rsidRPr="00827571" w:rsidRDefault="00B30D13" w:rsidP="00827571">
            <w:pPr>
              <w:widowControl w:val="0"/>
              <w:tabs>
                <w:tab w:val="left" w:pos="622"/>
              </w:tabs>
              <w:spacing w:after="0" w:line="240" w:lineRule="auto"/>
              <w:jc w:val="center"/>
              <w:rPr>
                <w:rFonts w:ascii="Times New Roman" w:hAnsi="Times New Roman"/>
                <w:bCs/>
                <w:iCs/>
                <w:sz w:val="18"/>
                <w:szCs w:val="18"/>
                <w:lang w:eastAsia="lt-LT"/>
              </w:rPr>
            </w:pPr>
            <w:r w:rsidRPr="00827571">
              <w:rPr>
                <w:rFonts w:ascii="Times New Roman" w:hAnsi="Times New Roman"/>
                <w:bCs/>
                <w:iCs/>
                <w:sz w:val="18"/>
                <w:szCs w:val="18"/>
                <w:lang w:eastAsia="lt-LT"/>
              </w:rPr>
              <w:t>Duomenys iš projektų</w:t>
            </w:r>
          </w:p>
        </w:tc>
        <w:tc>
          <w:tcPr>
            <w:tcW w:w="1241" w:type="dxa"/>
            <w:shd w:val="clear" w:color="auto" w:fill="auto"/>
            <w:vAlign w:val="center"/>
          </w:tcPr>
          <w:p w:rsidR="00B30D13" w:rsidRPr="00827571" w:rsidRDefault="00B30D13" w:rsidP="00827571">
            <w:pPr>
              <w:widowControl w:val="0"/>
              <w:tabs>
                <w:tab w:val="left" w:pos="622"/>
              </w:tabs>
              <w:spacing w:after="0" w:line="240" w:lineRule="auto"/>
              <w:jc w:val="center"/>
              <w:rPr>
                <w:rFonts w:ascii="Times New Roman" w:hAnsi="Times New Roman"/>
                <w:bCs/>
                <w:iCs/>
                <w:sz w:val="18"/>
                <w:szCs w:val="18"/>
                <w:lang w:eastAsia="lt-LT"/>
              </w:rPr>
            </w:pPr>
            <w:r w:rsidRPr="00827571">
              <w:rPr>
                <w:rFonts w:ascii="Times New Roman" w:hAnsi="Times New Roman"/>
                <w:bCs/>
                <w:iCs/>
                <w:sz w:val="18"/>
                <w:szCs w:val="18"/>
                <w:lang w:eastAsia="lt-LT"/>
              </w:rPr>
              <w:t>Kartą per metus</w:t>
            </w:r>
          </w:p>
        </w:tc>
      </w:tr>
      <w:tr w:rsidR="00B30D13" w:rsidRPr="00827571" w:rsidTr="00827571">
        <w:tblPrEx>
          <w:shd w:val="clear" w:color="auto" w:fill="auto"/>
        </w:tblPrEx>
        <w:trPr>
          <w:trHeight w:val="687"/>
        </w:trPr>
        <w:tc>
          <w:tcPr>
            <w:tcW w:w="567" w:type="dxa"/>
            <w:shd w:val="clear" w:color="auto" w:fill="auto"/>
            <w:vAlign w:val="center"/>
          </w:tcPr>
          <w:p w:rsidR="00B30D13" w:rsidRPr="00827571" w:rsidRDefault="00B30D13" w:rsidP="00827571">
            <w:pPr>
              <w:widowControl w:val="0"/>
              <w:tabs>
                <w:tab w:val="left" w:pos="622"/>
              </w:tabs>
              <w:spacing w:after="0" w:line="240" w:lineRule="auto"/>
              <w:jc w:val="center"/>
              <w:rPr>
                <w:rFonts w:ascii="Times New Roman" w:hAnsi="Times New Roman"/>
                <w:bCs/>
                <w:iCs/>
                <w:sz w:val="18"/>
                <w:szCs w:val="18"/>
                <w:lang w:eastAsia="lt-LT"/>
              </w:rPr>
            </w:pPr>
            <w:r w:rsidRPr="00827571">
              <w:rPr>
                <w:rFonts w:ascii="Times New Roman" w:hAnsi="Times New Roman"/>
                <w:bCs/>
                <w:iCs/>
                <w:sz w:val="18"/>
                <w:szCs w:val="18"/>
                <w:lang w:eastAsia="lt-LT"/>
              </w:rPr>
              <w:t>6.</w:t>
            </w:r>
          </w:p>
        </w:tc>
        <w:tc>
          <w:tcPr>
            <w:tcW w:w="2694" w:type="dxa"/>
            <w:shd w:val="clear" w:color="auto" w:fill="auto"/>
            <w:vAlign w:val="center"/>
          </w:tcPr>
          <w:p w:rsidR="00B30D13" w:rsidRPr="00827571" w:rsidRDefault="00B30D13" w:rsidP="00827571">
            <w:pPr>
              <w:autoSpaceDE w:val="0"/>
              <w:autoSpaceDN w:val="0"/>
              <w:adjustRightInd w:val="0"/>
              <w:spacing w:after="0" w:line="240" w:lineRule="auto"/>
              <w:rPr>
                <w:rFonts w:ascii="Times New Roman" w:eastAsia="Times New Roman" w:hAnsi="Times New Roman"/>
                <w:sz w:val="18"/>
                <w:szCs w:val="18"/>
                <w:lang w:eastAsia="lt-LT"/>
              </w:rPr>
            </w:pPr>
            <w:r w:rsidRPr="00827571">
              <w:rPr>
                <w:rFonts w:ascii="Times New Roman" w:eastAsia="Times New Roman" w:hAnsi="Times New Roman"/>
                <w:sz w:val="18"/>
                <w:szCs w:val="18"/>
                <w:lang w:eastAsia="lt-LT"/>
              </w:rPr>
              <w:t>Įmonių, gavusių investicijas</w:t>
            </w:r>
            <w:r w:rsidR="00827571" w:rsidRPr="00827571">
              <w:rPr>
                <w:rFonts w:ascii="Times New Roman" w:eastAsia="Times New Roman" w:hAnsi="Times New Roman"/>
                <w:sz w:val="18"/>
                <w:szCs w:val="18"/>
                <w:lang w:eastAsia="lt-LT"/>
              </w:rPr>
              <w:t xml:space="preserve"> </w:t>
            </w:r>
            <w:r w:rsidRPr="00827571">
              <w:rPr>
                <w:rFonts w:ascii="Times New Roman" w:eastAsia="Times New Roman" w:hAnsi="Times New Roman"/>
                <w:sz w:val="18"/>
                <w:szCs w:val="18"/>
                <w:lang w:eastAsia="lt-LT"/>
              </w:rPr>
              <w:t>siekiant, kad jos pateiktų naujų</w:t>
            </w:r>
            <w:r w:rsidR="00827571" w:rsidRPr="00827571">
              <w:rPr>
                <w:rFonts w:ascii="Times New Roman" w:eastAsia="Times New Roman" w:hAnsi="Times New Roman"/>
                <w:sz w:val="18"/>
                <w:szCs w:val="18"/>
                <w:lang w:eastAsia="lt-LT"/>
              </w:rPr>
              <w:t xml:space="preserve"> </w:t>
            </w:r>
            <w:r w:rsidRPr="00827571">
              <w:rPr>
                <w:rFonts w:ascii="Times New Roman" w:eastAsia="Times New Roman" w:hAnsi="Times New Roman"/>
                <w:sz w:val="18"/>
                <w:szCs w:val="18"/>
                <w:lang w:eastAsia="lt-LT"/>
              </w:rPr>
              <w:t>įmonės produktų, skaičius</w:t>
            </w:r>
          </w:p>
        </w:tc>
        <w:tc>
          <w:tcPr>
            <w:tcW w:w="1134" w:type="dxa"/>
            <w:shd w:val="clear" w:color="auto" w:fill="auto"/>
            <w:vAlign w:val="center"/>
          </w:tcPr>
          <w:p w:rsidR="00B30D13" w:rsidRPr="00827571" w:rsidRDefault="00B30D13" w:rsidP="00827571">
            <w:pPr>
              <w:widowControl w:val="0"/>
              <w:tabs>
                <w:tab w:val="left" w:pos="622"/>
              </w:tabs>
              <w:spacing w:after="0" w:line="240" w:lineRule="auto"/>
              <w:jc w:val="center"/>
              <w:rPr>
                <w:rFonts w:ascii="Times New Roman" w:hAnsi="Times New Roman"/>
                <w:bCs/>
                <w:iCs/>
                <w:sz w:val="18"/>
                <w:szCs w:val="18"/>
                <w:lang w:eastAsia="lt-LT"/>
              </w:rPr>
            </w:pPr>
            <w:r w:rsidRPr="00827571">
              <w:rPr>
                <w:rFonts w:ascii="Times New Roman" w:hAnsi="Times New Roman"/>
                <w:bCs/>
                <w:iCs/>
                <w:sz w:val="18"/>
                <w:szCs w:val="18"/>
                <w:lang w:eastAsia="lt-LT"/>
              </w:rPr>
              <w:t>Įmonės</w:t>
            </w:r>
          </w:p>
        </w:tc>
        <w:tc>
          <w:tcPr>
            <w:tcW w:w="850" w:type="dxa"/>
            <w:shd w:val="clear" w:color="auto" w:fill="auto"/>
            <w:vAlign w:val="center"/>
          </w:tcPr>
          <w:p w:rsidR="00B30D13" w:rsidRPr="00827571" w:rsidRDefault="00B30D13" w:rsidP="00827571">
            <w:pPr>
              <w:widowControl w:val="0"/>
              <w:tabs>
                <w:tab w:val="left" w:pos="622"/>
              </w:tabs>
              <w:spacing w:after="0" w:line="240" w:lineRule="auto"/>
              <w:jc w:val="center"/>
              <w:rPr>
                <w:rFonts w:ascii="Times New Roman" w:hAnsi="Times New Roman"/>
                <w:bCs/>
                <w:iCs/>
                <w:sz w:val="18"/>
                <w:szCs w:val="18"/>
                <w:lang w:eastAsia="lt-LT"/>
              </w:rPr>
            </w:pPr>
            <w:r w:rsidRPr="00827571">
              <w:rPr>
                <w:rFonts w:ascii="Times New Roman" w:hAnsi="Times New Roman"/>
                <w:bCs/>
                <w:iCs/>
                <w:sz w:val="18"/>
                <w:szCs w:val="18"/>
                <w:lang w:eastAsia="lt-LT"/>
              </w:rPr>
              <w:t>ERPF</w:t>
            </w:r>
          </w:p>
        </w:tc>
        <w:tc>
          <w:tcPr>
            <w:tcW w:w="1134" w:type="dxa"/>
            <w:shd w:val="clear" w:color="auto" w:fill="auto"/>
            <w:vAlign w:val="center"/>
          </w:tcPr>
          <w:p w:rsidR="00B30D13" w:rsidRPr="00827571" w:rsidRDefault="00B30D13" w:rsidP="00827571">
            <w:pPr>
              <w:widowControl w:val="0"/>
              <w:tabs>
                <w:tab w:val="left" w:pos="622"/>
              </w:tabs>
              <w:spacing w:after="0" w:line="240" w:lineRule="auto"/>
              <w:jc w:val="center"/>
              <w:rPr>
                <w:rFonts w:ascii="Times New Roman" w:hAnsi="Times New Roman"/>
                <w:bCs/>
                <w:iCs/>
                <w:sz w:val="18"/>
                <w:szCs w:val="18"/>
                <w:lang w:eastAsia="lt-LT"/>
              </w:rPr>
            </w:pPr>
            <w:r w:rsidRPr="00827571">
              <w:rPr>
                <w:rFonts w:ascii="Times New Roman" w:hAnsi="Times New Roman"/>
                <w:bCs/>
                <w:iCs/>
                <w:sz w:val="18"/>
                <w:szCs w:val="18"/>
                <w:lang w:eastAsia="lt-LT"/>
              </w:rPr>
              <w:t>Mažiau išsivystęs</w:t>
            </w:r>
          </w:p>
        </w:tc>
        <w:tc>
          <w:tcPr>
            <w:tcW w:w="1134" w:type="dxa"/>
            <w:shd w:val="clear" w:color="auto" w:fill="auto"/>
            <w:vAlign w:val="center"/>
          </w:tcPr>
          <w:p w:rsidR="00B30D13" w:rsidRPr="00827571" w:rsidRDefault="00827571" w:rsidP="00827571">
            <w:pPr>
              <w:widowControl w:val="0"/>
              <w:tabs>
                <w:tab w:val="left" w:pos="622"/>
              </w:tabs>
              <w:spacing w:after="0" w:line="240" w:lineRule="auto"/>
              <w:jc w:val="center"/>
              <w:rPr>
                <w:rFonts w:ascii="Times New Roman" w:hAnsi="Times New Roman"/>
                <w:bCs/>
                <w:iCs/>
                <w:sz w:val="18"/>
                <w:szCs w:val="18"/>
                <w:lang w:eastAsia="lt-LT"/>
              </w:rPr>
            </w:pPr>
            <w:r w:rsidRPr="00827571">
              <w:rPr>
                <w:rFonts w:ascii="Times New Roman" w:hAnsi="Times New Roman"/>
                <w:bCs/>
                <w:iCs/>
                <w:sz w:val="18"/>
                <w:szCs w:val="18"/>
                <w:lang w:eastAsia="lt-LT"/>
              </w:rPr>
              <w:t>3</w:t>
            </w:r>
          </w:p>
        </w:tc>
        <w:tc>
          <w:tcPr>
            <w:tcW w:w="1133" w:type="dxa"/>
            <w:shd w:val="clear" w:color="auto" w:fill="auto"/>
            <w:vAlign w:val="center"/>
          </w:tcPr>
          <w:p w:rsidR="00B30D13" w:rsidRPr="00827571" w:rsidRDefault="00B30D13" w:rsidP="00827571">
            <w:pPr>
              <w:widowControl w:val="0"/>
              <w:tabs>
                <w:tab w:val="left" w:pos="622"/>
              </w:tabs>
              <w:spacing w:after="0" w:line="240" w:lineRule="auto"/>
              <w:jc w:val="center"/>
              <w:rPr>
                <w:rFonts w:ascii="Times New Roman" w:hAnsi="Times New Roman"/>
                <w:bCs/>
                <w:iCs/>
                <w:sz w:val="18"/>
                <w:szCs w:val="18"/>
                <w:lang w:eastAsia="lt-LT"/>
              </w:rPr>
            </w:pPr>
            <w:r w:rsidRPr="00827571">
              <w:rPr>
                <w:rFonts w:ascii="Times New Roman" w:hAnsi="Times New Roman"/>
                <w:bCs/>
                <w:iCs/>
                <w:sz w:val="18"/>
                <w:szCs w:val="18"/>
                <w:lang w:eastAsia="lt-LT"/>
              </w:rPr>
              <w:t>Duomenys iš projektų</w:t>
            </w:r>
          </w:p>
        </w:tc>
        <w:tc>
          <w:tcPr>
            <w:tcW w:w="1241" w:type="dxa"/>
            <w:shd w:val="clear" w:color="auto" w:fill="auto"/>
            <w:vAlign w:val="center"/>
          </w:tcPr>
          <w:p w:rsidR="00B30D13" w:rsidRPr="00827571" w:rsidRDefault="00B30D13" w:rsidP="00827571">
            <w:pPr>
              <w:widowControl w:val="0"/>
              <w:tabs>
                <w:tab w:val="left" w:pos="622"/>
              </w:tabs>
              <w:spacing w:after="0" w:line="240" w:lineRule="auto"/>
              <w:jc w:val="center"/>
              <w:rPr>
                <w:rFonts w:ascii="Times New Roman" w:hAnsi="Times New Roman"/>
                <w:bCs/>
                <w:iCs/>
                <w:sz w:val="18"/>
                <w:szCs w:val="18"/>
                <w:lang w:eastAsia="lt-LT"/>
              </w:rPr>
            </w:pPr>
            <w:r w:rsidRPr="00827571">
              <w:rPr>
                <w:rFonts w:ascii="Times New Roman" w:hAnsi="Times New Roman"/>
                <w:bCs/>
                <w:iCs/>
                <w:sz w:val="18"/>
                <w:szCs w:val="18"/>
                <w:lang w:eastAsia="lt-LT"/>
              </w:rPr>
              <w:t>Kartą per metus</w:t>
            </w:r>
          </w:p>
        </w:tc>
      </w:tr>
      <w:tr w:rsidR="00B30D13" w:rsidRPr="00827571" w:rsidTr="00827571">
        <w:tblPrEx>
          <w:shd w:val="clear" w:color="auto" w:fill="auto"/>
        </w:tblPrEx>
        <w:trPr>
          <w:trHeight w:val="427"/>
        </w:trPr>
        <w:tc>
          <w:tcPr>
            <w:tcW w:w="567" w:type="dxa"/>
            <w:shd w:val="clear" w:color="auto" w:fill="auto"/>
            <w:vAlign w:val="center"/>
          </w:tcPr>
          <w:p w:rsidR="00B30D13" w:rsidRPr="00827571" w:rsidRDefault="00B30D13" w:rsidP="00827571">
            <w:pPr>
              <w:widowControl w:val="0"/>
              <w:tabs>
                <w:tab w:val="left" w:pos="622"/>
              </w:tabs>
              <w:spacing w:after="0" w:line="240" w:lineRule="auto"/>
              <w:jc w:val="center"/>
              <w:rPr>
                <w:rFonts w:ascii="Times New Roman" w:hAnsi="Times New Roman"/>
                <w:bCs/>
                <w:iCs/>
                <w:sz w:val="18"/>
                <w:szCs w:val="18"/>
                <w:lang w:eastAsia="lt-LT"/>
              </w:rPr>
            </w:pPr>
            <w:r w:rsidRPr="00827571">
              <w:rPr>
                <w:rFonts w:ascii="Times New Roman" w:hAnsi="Times New Roman"/>
                <w:bCs/>
                <w:iCs/>
                <w:sz w:val="18"/>
                <w:szCs w:val="18"/>
                <w:lang w:eastAsia="lt-LT"/>
              </w:rPr>
              <w:t>7.</w:t>
            </w:r>
          </w:p>
        </w:tc>
        <w:tc>
          <w:tcPr>
            <w:tcW w:w="2694" w:type="dxa"/>
            <w:shd w:val="clear" w:color="auto" w:fill="auto"/>
            <w:vAlign w:val="center"/>
          </w:tcPr>
          <w:p w:rsidR="00B30D13" w:rsidRPr="00827571" w:rsidRDefault="00B30D13" w:rsidP="00827571">
            <w:pPr>
              <w:autoSpaceDE w:val="0"/>
              <w:autoSpaceDN w:val="0"/>
              <w:adjustRightInd w:val="0"/>
              <w:spacing w:after="0" w:line="240" w:lineRule="auto"/>
              <w:rPr>
                <w:rFonts w:ascii="Times New Roman" w:eastAsia="Times New Roman" w:hAnsi="Times New Roman"/>
                <w:sz w:val="18"/>
                <w:szCs w:val="18"/>
                <w:lang w:eastAsia="lt-LT"/>
              </w:rPr>
            </w:pPr>
            <w:r w:rsidRPr="00827571">
              <w:rPr>
                <w:rFonts w:ascii="Times New Roman" w:eastAsia="Times New Roman" w:hAnsi="Times New Roman"/>
                <w:sz w:val="18"/>
                <w:szCs w:val="18"/>
                <w:lang w:eastAsia="lt-LT"/>
              </w:rPr>
              <w:t>Investicijas gaunančių įmonių</w:t>
            </w:r>
            <w:r w:rsidR="00827571" w:rsidRPr="00827571">
              <w:rPr>
                <w:rFonts w:ascii="Times New Roman" w:eastAsia="Times New Roman" w:hAnsi="Times New Roman"/>
                <w:sz w:val="18"/>
                <w:szCs w:val="18"/>
                <w:lang w:eastAsia="lt-LT"/>
              </w:rPr>
              <w:t xml:space="preserve"> </w:t>
            </w:r>
            <w:r w:rsidRPr="00827571">
              <w:rPr>
                <w:rFonts w:ascii="Times New Roman" w:eastAsia="Times New Roman" w:hAnsi="Times New Roman"/>
                <w:sz w:val="18"/>
                <w:szCs w:val="18"/>
                <w:lang w:eastAsia="lt-LT"/>
              </w:rPr>
              <w:t>skaičius</w:t>
            </w:r>
          </w:p>
        </w:tc>
        <w:tc>
          <w:tcPr>
            <w:tcW w:w="1134" w:type="dxa"/>
            <w:shd w:val="clear" w:color="auto" w:fill="auto"/>
            <w:vAlign w:val="center"/>
          </w:tcPr>
          <w:p w:rsidR="00B30D13" w:rsidRPr="00827571" w:rsidRDefault="00B30D13" w:rsidP="00827571">
            <w:pPr>
              <w:widowControl w:val="0"/>
              <w:tabs>
                <w:tab w:val="left" w:pos="622"/>
              </w:tabs>
              <w:spacing w:after="0" w:line="240" w:lineRule="auto"/>
              <w:jc w:val="center"/>
              <w:rPr>
                <w:rFonts w:ascii="Times New Roman" w:hAnsi="Times New Roman"/>
                <w:bCs/>
                <w:iCs/>
                <w:sz w:val="18"/>
                <w:szCs w:val="18"/>
                <w:lang w:eastAsia="lt-LT"/>
              </w:rPr>
            </w:pPr>
            <w:r w:rsidRPr="00827571">
              <w:rPr>
                <w:rFonts w:ascii="Times New Roman" w:hAnsi="Times New Roman"/>
                <w:bCs/>
                <w:iCs/>
                <w:sz w:val="18"/>
                <w:szCs w:val="18"/>
                <w:lang w:eastAsia="lt-LT"/>
              </w:rPr>
              <w:t>Įmonės</w:t>
            </w:r>
          </w:p>
        </w:tc>
        <w:tc>
          <w:tcPr>
            <w:tcW w:w="850" w:type="dxa"/>
            <w:shd w:val="clear" w:color="auto" w:fill="auto"/>
            <w:vAlign w:val="center"/>
          </w:tcPr>
          <w:p w:rsidR="00B30D13" w:rsidRPr="00827571" w:rsidRDefault="00B30D13" w:rsidP="00827571">
            <w:pPr>
              <w:widowControl w:val="0"/>
              <w:tabs>
                <w:tab w:val="left" w:pos="622"/>
              </w:tabs>
              <w:spacing w:after="0" w:line="240" w:lineRule="auto"/>
              <w:jc w:val="center"/>
              <w:rPr>
                <w:rFonts w:ascii="Times New Roman" w:hAnsi="Times New Roman"/>
                <w:bCs/>
                <w:iCs/>
                <w:sz w:val="18"/>
                <w:szCs w:val="18"/>
                <w:lang w:eastAsia="lt-LT"/>
              </w:rPr>
            </w:pPr>
            <w:r w:rsidRPr="00827571">
              <w:rPr>
                <w:rFonts w:ascii="Times New Roman" w:hAnsi="Times New Roman"/>
                <w:bCs/>
                <w:iCs/>
                <w:sz w:val="18"/>
                <w:szCs w:val="18"/>
                <w:lang w:eastAsia="lt-LT"/>
              </w:rPr>
              <w:t>ERPF</w:t>
            </w:r>
          </w:p>
        </w:tc>
        <w:tc>
          <w:tcPr>
            <w:tcW w:w="1134" w:type="dxa"/>
            <w:shd w:val="clear" w:color="auto" w:fill="auto"/>
            <w:vAlign w:val="center"/>
          </w:tcPr>
          <w:p w:rsidR="00B30D13" w:rsidRPr="00827571" w:rsidRDefault="00B30D13" w:rsidP="00827571">
            <w:pPr>
              <w:widowControl w:val="0"/>
              <w:tabs>
                <w:tab w:val="left" w:pos="622"/>
              </w:tabs>
              <w:spacing w:after="0" w:line="240" w:lineRule="auto"/>
              <w:jc w:val="center"/>
              <w:rPr>
                <w:rFonts w:ascii="Times New Roman" w:hAnsi="Times New Roman"/>
                <w:bCs/>
                <w:iCs/>
                <w:sz w:val="18"/>
                <w:szCs w:val="18"/>
                <w:lang w:eastAsia="lt-LT"/>
              </w:rPr>
            </w:pPr>
            <w:r w:rsidRPr="00827571">
              <w:rPr>
                <w:rFonts w:ascii="Times New Roman" w:hAnsi="Times New Roman"/>
                <w:bCs/>
                <w:iCs/>
                <w:sz w:val="18"/>
                <w:szCs w:val="18"/>
                <w:lang w:eastAsia="lt-LT"/>
              </w:rPr>
              <w:t>Mažiau išsivystęs</w:t>
            </w:r>
          </w:p>
        </w:tc>
        <w:tc>
          <w:tcPr>
            <w:tcW w:w="1134" w:type="dxa"/>
            <w:shd w:val="clear" w:color="auto" w:fill="auto"/>
            <w:vAlign w:val="center"/>
          </w:tcPr>
          <w:p w:rsidR="00B30D13" w:rsidRPr="00827571" w:rsidRDefault="00827571" w:rsidP="00827571">
            <w:pPr>
              <w:widowControl w:val="0"/>
              <w:tabs>
                <w:tab w:val="left" w:pos="622"/>
              </w:tabs>
              <w:spacing w:after="0" w:line="240" w:lineRule="auto"/>
              <w:jc w:val="center"/>
              <w:rPr>
                <w:rFonts w:ascii="Times New Roman" w:hAnsi="Times New Roman"/>
                <w:bCs/>
                <w:iCs/>
                <w:sz w:val="18"/>
                <w:szCs w:val="18"/>
                <w:lang w:eastAsia="lt-LT"/>
              </w:rPr>
            </w:pPr>
            <w:r w:rsidRPr="00827571">
              <w:rPr>
                <w:rFonts w:ascii="Times New Roman" w:hAnsi="Times New Roman"/>
                <w:bCs/>
                <w:iCs/>
                <w:sz w:val="18"/>
                <w:szCs w:val="18"/>
                <w:lang w:eastAsia="lt-LT"/>
              </w:rPr>
              <w:t>662</w:t>
            </w:r>
          </w:p>
        </w:tc>
        <w:tc>
          <w:tcPr>
            <w:tcW w:w="1133" w:type="dxa"/>
            <w:shd w:val="clear" w:color="auto" w:fill="auto"/>
            <w:vAlign w:val="center"/>
          </w:tcPr>
          <w:p w:rsidR="00B30D13" w:rsidRPr="00827571" w:rsidRDefault="00B30D13" w:rsidP="00827571">
            <w:pPr>
              <w:widowControl w:val="0"/>
              <w:tabs>
                <w:tab w:val="left" w:pos="622"/>
              </w:tabs>
              <w:spacing w:after="0" w:line="240" w:lineRule="auto"/>
              <w:jc w:val="center"/>
              <w:rPr>
                <w:rFonts w:ascii="Times New Roman" w:hAnsi="Times New Roman"/>
                <w:bCs/>
                <w:iCs/>
                <w:sz w:val="18"/>
                <w:szCs w:val="18"/>
                <w:lang w:eastAsia="lt-LT"/>
              </w:rPr>
            </w:pPr>
            <w:r w:rsidRPr="00827571">
              <w:rPr>
                <w:rFonts w:ascii="Times New Roman" w:hAnsi="Times New Roman"/>
                <w:bCs/>
                <w:iCs/>
                <w:sz w:val="18"/>
                <w:szCs w:val="18"/>
                <w:lang w:eastAsia="lt-LT"/>
              </w:rPr>
              <w:t>Duomenys iš projektų</w:t>
            </w:r>
          </w:p>
        </w:tc>
        <w:tc>
          <w:tcPr>
            <w:tcW w:w="1241" w:type="dxa"/>
            <w:shd w:val="clear" w:color="auto" w:fill="auto"/>
            <w:vAlign w:val="center"/>
          </w:tcPr>
          <w:p w:rsidR="00B30D13" w:rsidRPr="00827571" w:rsidRDefault="00B30D13" w:rsidP="00827571">
            <w:pPr>
              <w:widowControl w:val="0"/>
              <w:tabs>
                <w:tab w:val="left" w:pos="622"/>
              </w:tabs>
              <w:spacing w:after="0" w:line="240" w:lineRule="auto"/>
              <w:jc w:val="center"/>
              <w:rPr>
                <w:rFonts w:ascii="Times New Roman" w:hAnsi="Times New Roman"/>
                <w:bCs/>
                <w:iCs/>
                <w:sz w:val="18"/>
                <w:szCs w:val="18"/>
                <w:lang w:eastAsia="lt-LT"/>
              </w:rPr>
            </w:pPr>
            <w:r w:rsidRPr="00827571">
              <w:rPr>
                <w:rFonts w:ascii="Times New Roman" w:hAnsi="Times New Roman"/>
                <w:bCs/>
                <w:iCs/>
                <w:sz w:val="18"/>
                <w:szCs w:val="18"/>
                <w:lang w:eastAsia="lt-LT"/>
              </w:rPr>
              <w:t>Kartą per metus</w:t>
            </w:r>
          </w:p>
        </w:tc>
      </w:tr>
      <w:tr w:rsidR="00B30D13" w:rsidRPr="00827571" w:rsidTr="00827571">
        <w:tblPrEx>
          <w:shd w:val="clear" w:color="auto" w:fill="auto"/>
        </w:tblPrEx>
        <w:trPr>
          <w:trHeight w:val="433"/>
        </w:trPr>
        <w:tc>
          <w:tcPr>
            <w:tcW w:w="567" w:type="dxa"/>
            <w:shd w:val="clear" w:color="auto" w:fill="auto"/>
            <w:vAlign w:val="center"/>
          </w:tcPr>
          <w:p w:rsidR="00B30D13" w:rsidRPr="00827571" w:rsidRDefault="00B30D13" w:rsidP="00827571">
            <w:pPr>
              <w:widowControl w:val="0"/>
              <w:tabs>
                <w:tab w:val="left" w:pos="622"/>
              </w:tabs>
              <w:spacing w:after="0" w:line="240" w:lineRule="auto"/>
              <w:jc w:val="center"/>
              <w:rPr>
                <w:rFonts w:ascii="Times New Roman" w:hAnsi="Times New Roman"/>
                <w:bCs/>
                <w:iCs/>
                <w:sz w:val="18"/>
                <w:szCs w:val="18"/>
                <w:lang w:eastAsia="lt-LT"/>
              </w:rPr>
            </w:pPr>
            <w:r w:rsidRPr="00827571">
              <w:rPr>
                <w:rFonts w:ascii="Times New Roman" w:hAnsi="Times New Roman"/>
                <w:bCs/>
                <w:iCs/>
                <w:sz w:val="18"/>
                <w:szCs w:val="18"/>
                <w:lang w:eastAsia="lt-LT"/>
              </w:rPr>
              <w:t>8.</w:t>
            </w:r>
          </w:p>
        </w:tc>
        <w:tc>
          <w:tcPr>
            <w:tcW w:w="2694" w:type="dxa"/>
            <w:shd w:val="clear" w:color="auto" w:fill="auto"/>
            <w:vAlign w:val="center"/>
          </w:tcPr>
          <w:p w:rsidR="00B30D13" w:rsidRPr="00827571" w:rsidRDefault="00B30D13" w:rsidP="00827571">
            <w:pPr>
              <w:autoSpaceDE w:val="0"/>
              <w:autoSpaceDN w:val="0"/>
              <w:adjustRightInd w:val="0"/>
              <w:spacing w:after="0" w:line="240" w:lineRule="auto"/>
              <w:rPr>
                <w:rFonts w:ascii="Times New Roman" w:eastAsia="Times New Roman" w:hAnsi="Times New Roman"/>
                <w:sz w:val="18"/>
                <w:szCs w:val="18"/>
                <w:lang w:eastAsia="lt-LT"/>
              </w:rPr>
            </w:pPr>
            <w:r w:rsidRPr="00827571">
              <w:rPr>
                <w:rFonts w:ascii="Times New Roman" w:eastAsia="Times New Roman" w:hAnsi="Times New Roman"/>
                <w:sz w:val="18"/>
                <w:szCs w:val="18"/>
                <w:lang w:eastAsia="lt-LT"/>
              </w:rPr>
              <w:t>Naujų įmonių, gavusių investicijas, skaičius</w:t>
            </w:r>
          </w:p>
        </w:tc>
        <w:tc>
          <w:tcPr>
            <w:tcW w:w="1134" w:type="dxa"/>
            <w:shd w:val="clear" w:color="auto" w:fill="auto"/>
            <w:vAlign w:val="center"/>
          </w:tcPr>
          <w:p w:rsidR="00B30D13" w:rsidRPr="00827571" w:rsidRDefault="00B30D13" w:rsidP="00827571">
            <w:pPr>
              <w:widowControl w:val="0"/>
              <w:tabs>
                <w:tab w:val="left" w:pos="622"/>
              </w:tabs>
              <w:spacing w:after="0" w:line="240" w:lineRule="auto"/>
              <w:jc w:val="center"/>
              <w:rPr>
                <w:rFonts w:ascii="Times New Roman" w:hAnsi="Times New Roman"/>
                <w:bCs/>
                <w:iCs/>
                <w:sz w:val="18"/>
                <w:szCs w:val="18"/>
                <w:lang w:eastAsia="lt-LT"/>
              </w:rPr>
            </w:pPr>
            <w:r w:rsidRPr="00827571">
              <w:rPr>
                <w:rFonts w:ascii="Times New Roman" w:hAnsi="Times New Roman"/>
                <w:bCs/>
                <w:iCs/>
                <w:sz w:val="18"/>
                <w:szCs w:val="18"/>
                <w:lang w:eastAsia="lt-LT"/>
              </w:rPr>
              <w:t>Įmonės</w:t>
            </w:r>
          </w:p>
        </w:tc>
        <w:tc>
          <w:tcPr>
            <w:tcW w:w="850" w:type="dxa"/>
            <w:shd w:val="clear" w:color="auto" w:fill="auto"/>
            <w:vAlign w:val="center"/>
          </w:tcPr>
          <w:p w:rsidR="00B30D13" w:rsidRPr="00827571" w:rsidRDefault="00B30D13" w:rsidP="00827571">
            <w:pPr>
              <w:widowControl w:val="0"/>
              <w:tabs>
                <w:tab w:val="left" w:pos="622"/>
              </w:tabs>
              <w:spacing w:after="0" w:line="240" w:lineRule="auto"/>
              <w:jc w:val="center"/>
              <w:rPr>
                <w:rFonts w:ascii="Times New Roman" w:hAnsi="Times New Roman"/>
                <w:bCs/>
                <w:iCs/>
                <w:sz w:val="18"/>
                <w:szCs w:val="18"/>
                <w:lang w:eastAsia="lt-LT"/>
              </w:rPr>
            </w:pPr>
            <w:r w:rsidRPr="00827571">
              <w:rPr>
                <w:rFonts w:ascii="Times New Roman" w:hAnsi="Times New Roman"/>
                <w:bCs/>
                <w:iCs/>
                <w:sz w:val="18"/>
                <w:szCs w:val="18"/>
                <w:lang w:eastAsia="lt-LT"/>
              </w:rPr>
              <w:t>ERPF</w:t>
            </w:r>
          </w:p>
        </w:tc>
        <w:tc>
          <w:tcPr>
            <w:tcW w:w="1134" w:type="dxa"/>
            <w:shd w:val="clear" w:color="auto" w:fill="auto"/>
            <w:vAlign w:val="center"/>
          </w:tcPr>
          <w:p w:rsidR="00B30D13" w:rsidRPr="00827571" w:rsidRDefault="00B30D13" w:rsidP="00827571">
            <w:pPr>
              <w:widowControl w:val="0"/>
              <w:tabs>
                <w:tab w:val="left" w:pos="622"/>
              </w:tabs>
              <w:spacing w:after="0" w:line="240" w:lineRule="auto"/>
              <w:jc w:val="center"/>
              <w:rPr>
                <w:rFonts w:ascii="Times New Roman" w:hAnsi="Times New Roman"/>
                <w:bCs/>
                <w:iCs/>
                <w:sz w:val="18"/>
                <w:szCs w:val="18"/>
                <w:lang w:eastAsia="lt-LT"/>
              </w:rPr>
            </w:pPr>
            <w:r w:rsidRPr="00827571">
              <w:rPr>
                <w:rFonts w:ascii="Times New Roman" w:hAnsi="Times New Roman"/>
                <w:bCs/>
                <w:iCs/>
                <w:sz w:val="18"/>
                <w:szCs w:val="18"/>
                <w:lang w:eastAsia="lt-LT"/>
              </w:rPr>
              <w:t>Mažiau išsivystęs</w:t>
            </w:r>
          </w:p>
        </w:tc>
        <w:tc>
          <w:tcPr>
            <w:tcW w:w="1134" w:type="dxa"/>
            <w:shd w:val="clear" w:color="auto" w:fill="auto"/>
            <w:vAlign w:val="center"/>
          </w:tcPr>
          <w:p w:rsidR="00B30D13" w:rsidRPr="00827571" w:rsidRDefault="00827571" w:rsidP="00827571">
            <w:pPr>
              <w:widowControl w:val="0"/>
              <w:tabs>
                <w:tab w:val="left" w:pos="622"/>
              </w:tabs>
              <w:spacing w:after="0" w:line="240" w:lineRule="auto"/>
              <w:jc w:val="center"/>
              <w:rPr>
                <w:rFonts w:ascii="Times New Roman" w:hAnsi="Times New Roman"/>
                <w:bCs/>
                <w:iCs/>
                <w:sz w:val="18"/>
                <w:szCs w:val="18"/>
                <w:lang w:eastAsia="lt-LT"/>
              </w:rPr>
            </w:pPr>
            <w:r w:rsidRPr="00827571">
              <w:rPr>
                <w:rFonts w:ascii="Times New Roman" w:hAnsi="Times New Roman"/>
                <w:bCs/>
                <w:iCs/>
                <w:sz w:val="18"/>
                <w:szCs w:val="18"/>
                <w:lang w:eastAsia="lt-LT"/>
              </w:rPr>
              <w:t>40</w:t>
            </w:r>
          </w:p>
        </w:tc>
        <w:tc>
          <w:tcPr>
            <w:tcW w:w="1133" w:type="dxa"/>
            <w:shd w:val="clear" w:color="auto" w:fill="auto"/>
            <w:vAlign w:val="center"/>
          </w:tcPr>
          <w:p w:rsidR="00B30D13" w:rsidRPr="00827571" w:rsidRDefault="00B30D13" w:rsidP="00827571">
            <w:pPr>
              <w:widowControl w:val="0"/>
              <w:tabs>
                <w:tab w:val="left" w:pos="622"/>
              </w:tabs>
              <w:spacing w:after="0" w:line="240" w:lineRule="auto"/>
              <w:jc w:val="center"/>
              <w:rPr>
                <w:rFonts w:ascii="Times New Roman" w:hAnsi="Times New Roman"/>
                <w:bCs/>
                <w:iCs/>
                <w:sz w:val="18"/>
                <w:szCs w:val="18"/>
                <w:lang w:eastAsia="lt-LT"/>
              </w:rPr>
            </w:pPr>
            <w:r w:rsidRPr="00827571">
              <w:rPr>
                <w:rFonts w:ascii="Times New Roman" w:hAnsi="Times New Roman"/>
                <w:bCs/>
                <w:iCs/>
                <w:sz w:val="18"/>
                <w:szCs w:val="18"/>
                <w:lang w:eastAsia="lt-LT"/>
              </w:rPr>
              <w:t>Duomenys iš projektų</w:t>
            </w:r>
          </w:p>
        </w:tc>
        <w:tc>
          <w:tcPr>
            <w:tcW w:w="1241" w:type="dxa"/>
            <w:shd w:val="clear" w:color="auto" w:fill="auto"/>
            <w:vAlign w:val="center"/>
          </w:tcPr>
          <w:p w:rsidR="00B30D13" w:rsidRPr="00827571" w:rsidRDefault="00B30D13" w:rsidP="00827571">
            <w:pPr>
              <w:widowControl w:val="0"/>
              <w:tabs>
                <w:tab w:val="left" w:pos="622"/>
              </w:tabs>
              <w:spacing w:after="0" w:line="240" w:lineRule="auto"/>
              <w:jc w:val="center"/>
              <w:rPr>
                <w:rFonts w:ascii="Times New Roman" w:hAnsi="Times New Roman"/>
                <w:bCs/>
                <w:iCs/>
                <w:sz w:val="18"/>
                <w:szCs w:val="18"/>
                <w:lang w:eastAsia="lt-LT"/>
              </w:rPr>
            </w:pPr>
            <w:r w:rsidRPr="00827571">
              <w:rPr>
                <w:rFonts w:ascii="Times New Roman" w:hAnsi="Times New Roman"/>
                <w:bCs/>
                <w:iCs/>
                <w:sz w:val="18"/>
                <w:szCs w:val="18"/>
                <w:lang w:eastAsia="lt-LT"/>
              </w:rPr>
              <w:t>Kartą per metus</w:t>
            </w:r>
          </w:p>
        </w:tc>
      </w:tr>
      <w:tr w:rsidR="00B30D13" w:rsidRPr="00827571" w:rsidTr="00827571">
        <w:tblPrEx>
          <w:shd w:val="clear" w:color="auto" w:fill="auto"/>
        </w:tblPrEx>
        <w:trPr>
          <w:trHeight w:val="411"/>
        </w:trPr>
        <w:tc>
          <w:tcPr>
            <w:tcW w:w="567" w:type="dxa"/>
            <w:shd w:val="clear" w:color="auto" w:fill="auto"/>
            <w:vAlign w:val="center"/>
          </w:tcPr>
          <w:p w:rsidR="00B30D13" w:rsidRPr="00827571" w:rsidRDefault="00B30D13" w:rsidP="00827571">
            <w:pPr>
              <w:widowControl w:val="0"/>
              <w:tabs>
                <w:tab w:val="left" w:pos="622"/>
              </w:tabs>
              <w:spacing w:after="0" w:line="240" w:lineRule="auto"/>
              <w:jc w:val="center"/>
              <w:rPr>
                <w:rFonts w:ascii="Times New Roman" w:hAnsi="Times New Roman"/>
                <w:bCs/>
                <w:iCs/>
                <w:sz w:val="18"/>
                <w:szCs w:val="18"/>
                <w:lang w:eastAsia="lt-LT"/>
              </w:rPr>
            </w:pPr>
            <w:r w:rsidRPr="00827571">
              <w:rPr>
                <w:rFonts w:ascii="Times New Roman" w:hAnsi="Times New Roman"/>
                <w:bCs/>
                <w:iCs/>
                <w:sz w:val="18"/>
                <w:szCs w:val="18"/>
                <w:lang w:eastAsia="lt-LT"/>
              </w:rPr>
              <w:t>9.</w:t>
            </w:r>
          </w:p>
        </w:tc>
        <w:tc>
          <w:tcPr>
            <w:tcW w:w="2694" w:type="dxa"/>
            <w:shd w:val="clear" w:color="auto" w:fill="auto"/>
            <w:vAlign w:val="center"/>
          </w:tcPr>
          <w:p w:rsidR="00B30D13" w:rsidRPr="00827571" w:rsidRDefault="00B30D13" w:rsidP="00827571">
            <w:pPr>
              <w:autoSpaceDE w:val="0"/>
              <w:autoSpaceDN w:val="0"/>
              <w:adjustRightInd w:val="0"/>
              <w:spacing w:after="0" w:line="240" w:lineRule="auto"/>
              <w:rPr>
                <w:rFonts w:ascii="Times New Roman" w:eastAsia="Times New Roman" w:hAnsi="Times New Roman"/>
                <w:sz w:val="18"/>
                <w:szCs w:val="18"/>
                <w:lang w:eastAsia="lt-LT"/>
              </w:rPr>
            </w:pPr>
            <w:r w:rsidRPr="00827571">
              <w:rPr>
                <w:rFonts w:ascii="Times New Roman" w:eastAsia="Times New Roman" w:hAnsi="Times New Roman"/>
                <w:sz w:val="18"/>
                <w:szCs w:val="18"/>
              </w:rPr>
              <w:t>Nefinansinę paramą gaunančių įmonių skaičius</w:t>
            </w:r>
          </w:p>
        </w:tc>
        <w:tc>
          <w:tcPr>
            <w:tcW w:w="1134" w:type="dxa"/>
            <w:shd w:val="clear" w:color="auto" w:fill="auto"/>
            <w:vAlign w:val="center"/>
          </w:tcPr>
          <w:p w:rsidR="00B30D13" w:rsidRPr="00827571" w:rsidRDefault="00B30D13" w:rsidP="00827571">
            <w:pPr>
              <w:widowControl w:val="0"/>
              <w:tabs>
                <w:tab w:val="left" w:pos="622"/>
              </w:tabs>
              <w:spacing w:after="0" w:line="240" w:lineRule="auto"/>
              <w:jc w:val="center"/>
              <w:rPr>
                <w:rFonts w:ascii="Times New Roman" w:hAnsi="Times New Roman"/>
                <w:bCs/>
                <w:iCs/>
                <w:sz w:val="18"/>
                <w:szCs w:val="18"/>
                <w:lang w:eastAsia="lt-LT"/>
              </w:rPr>
            </w:pPr>
            <w:r w:rsidRPr="00827571">
              <w:rPr>
                <w:rFonts w:ascii="Times New Roman" w:hAnsi="Times New Roman"/>
                <w:bCs/>
                <w:iCs/>
                <w:sz w:val="18"/>
                <w:szCs w:val="18"/>
                <w:lang w:eastAsia="lt-LT"/>
              </w:rPr>
              <w:t>Įmonės</w:t>
            </w:r>
          </w:p>
        </w:tc>
        <w:tc>
          <w:tcPr>
            <w:tcW w:w="850" w:type="dxa"/>
            <w:shd w:val="clear" w:color="auto" w:fill="auto"/>
            <w:vAlign w:val="center"/>
          </w:tcPr>
          <w:p w:rsidR="00B30D13" w:rsidRPr="00827571" w:rsidRDefault="00B30D13" w:rsidP="00827571">
            <w:pPr>
              <w:widowControl w:val="0"/>
              <w:tabs>
                <w:tab w:val="left" w:pos="622"/>
              </w:tabs>
              <w:spacing w:after="0" w:line="240" w:lineRule="auto"/>
              <w:jc w:val="center"/>
              <w:rPr>
                <w:rFonts w:ascii="Times New Roman" w:hAnsi="Times New Roman"/>
                <w:bCs/>
                <w:iCs/>
                <w:sz w:val="18"/>
                <w:szCs w:val="18"/>
                <w:lang w:eastAsia="lt-LT"/>
              </w:rPr>
            </w:pPr>
            <w:r w:rsidRPr="00827571">
              <w:rPr>
                <w:rFonts w:ascii="Times New Roman" w:hAnsi="Times New Roman"/>
                <w:bCs/>
                <w:iCs/>
                <w:sz w:val="18"/>
                <w:szCs w:val="18"/>
                <w:lang w:eastAsia="lt-LT"/>
              </w:rPr>
              <w:t>ERPF</w:t>
            </w:r>
          </w:p>
        </w:tc>
        <w:tc>
          <w:tcPr>
            <w:tcW w:w="1134" w:type="dxa"/>
            <w:shd w:val="clear" w:color="auto" w:fill="auto"/>
            <w:vAlign w:val="center"/>
          </w:tcPr>
          <w:p w:rsidR="00B30D13" w:rsidRPr="00827571" w:rsidRDefault="00B30D13" w:rsidP="00827571">
            <w:pPr>
              <w:widowControl w:val="0"/>
              <w:tabs>
                <w:tab w:val="left" w:pos="622"/>
              </w:tabs>
              <w:spacing w:after="0" w:line="240" w:lineRule="auto"/>
              <w:jc w:val="center"/>
              <w:rPr>
                <w:rFonts w:ascii="Times New Roman" w:hAnsi="Times New Roman"/>
                <w:bCs/>
                <w:iCs/>
                <w:sz w:val="18"/>
                <w:szCs w:val="18"/>
                <w:lang w:eastAsia="lt-LT"/>
              </w:rPr>
            </w:pPr>
            <w:r w:rsidRPr="00827571">
              <w:rPr>
                <w:rFonts w:ascii="Times New Roman" w:hAnsi="Times New Roman"/>
                <w:bCs/>
                <w:iCs/>
                <w:sz w:val="18"/>
                <w:szCs w:val="18"/>
                <w:lang w:eastAsia="lt-LT"/>
              </w:rPr>
              <w:t>Mažiau išsivystęs</w:t>
            </w:r>
          </w:p>
        </w:tc>
        <w:tc>
          <w:tcPr>
            <w:tcW w:w="1134" w:type="dxa"/>
            <w:shd w:val="clear" w:color="auto" w:fill="auto"/>
            <w:vAlign w:val="center"/>
          </w:tcPr>
          <w:p w:rsidR="00B30D13" w:rsidRPr="00827571" w:rsidRDefault="00827571" w:rsidP="00827571">
            <w:pPr>
              <w:widowControl w:val="0"/>
              <w:tabs>
                <w:tab w:val="left" w:pos="622"/>
              </w:tabs>
              <w:spacing w:after="0" w:line="240" w:lineRule="auto"/>
              <w:jc w:val="center"/>
              <w:rPr>
                <w:rFonts w:ascii="Times New Roman" w:hAnsi="Times New Roman"/>
                <w:bCs/>
                <w:iCs/>
                <w:sz w:val="18"/>
                <w:szCs w:val="18"/>
                <w:lang w:eastAsia="lt-LT"/>
              </w:rPr>
            </w:pPr>
            <w:r w:rsidRPr="00827571">
              <w:rPr>
                <w:rFonts w:ascii="Times New Roman" w:hAnsi="Times New Roman"/>
                <w:bCs/>
                <w:iCs/>
                <w:sz w:val="18"/>
                <w:szCs w:val="18"/>
                <w:lang w:eastAsia="lt-LT"/>
              </w:rPr>
              <w:t>30</w:t>
            </w:r>
          </w:p>
        </w:tc>
        <w:tc>
          <w:tcPr>
            <w:tcW w:w="1133" w:type="dxa"/>
            <w:shd w:val="clear" w:color="auto" w:fill="auto"/>
            <w:vAlign w:val="center"/>
          </w:tcPr>
          <w:p w:rsidR="00B30D13" w:rsidRPr="00827571" w:rsidRDefault="00B30D13" w:rsidP="00827571">
            <w:pPr>
              <w:widowControl w:val="0"/>
              <w:tabs>
                <w:tab w:val="left" w:pos="622"/>
              </w:tabs>
              <w:spacing w:after="0" w:line="240" w:lineRule="auto"/>
              <w:jc w:val="center"/>
              <w:rPr>
                <w:rFonts w:ascii="Times New Roman" w:hAnsi="Times New Roman"/>
                <w:bCs/>
                <w:iCs/>
                <w:sz w:val="18"/>
                <w:szCs w:val="18"/>
                <w:lang w:eastAsia="lt-LT"/>
              </w:rPr>
            </w:pPr>
            <w:r w:rsidRPr="00827571">
              <w:rPr>
                <w:rFonts w:ascii="Times New Roman" w:hAnsi="Times New Roman"/>
                <w:bCs/>
                <w:iCs/>
                <w:sz w:val="18"/>
                <w:szCs w:val="18"/>
                <w:lang w:eastAsia="lt-LT"/>
              </w:rPr>
              <w:t>Duomenys iš projektų</w:t>
            </w:r>
          </w:p>
        </w:tc>
        <w:tc>
          <w:tcPr>
            <w:tcW w:w="1241" w:type="dxa"/>
            <w:shd w:val="clear" w:color="auto" w:fill="auto"/>
            <w:vAlign w:val="center"/>
          </w:tcPr>
          <w:p w:rsidR="00B30D13" w:rsidRPr="00827571" w:rsidRDefault="00B30D13" w:rsidP="00827571">
            <w:pPr>
              <w:widowControl w:val="0"/>
              <w:tabs>
                <w:tab w:val="left" w:pos="622"/>
              </w:tabs>
              <w:spacing w:after="0" w:line="240" w:lineRule="auto"/>
              <w:jc w:val="center"/>
              <w:rPr>
                <w:rFonts w:ascii="Times New Roman" w:hAnsi="Times New Roman"/>
                <w:bCs/>
                <w:iCs/>
                <w:sz w:val="18"/>
                <w:szCs w:val="18"/>
                <w:lang w:eastAsia="lt-LT"/>
              </w:rPr>
            </w:pPr>
            <w:r w:rsidRPr="00827571">
              <w:rPr>
                <w:rFonts w:ascii="Times New Roman" w:hAnsi="Times New Roman"/>
                <w:bCs/>
                <w:iCs/>
                <w:sz w:val="18"/>
                <w:szCs w:val="18"/>
                <w:lang w:eastAsia="lt-LT"/>
              </w:rPr>
              <w:t>Kartą per metus</w:t>
            </w:r>
          </w:p>
        </w:tc>
      </w:tr>
      <w:tr w:rsidR="00B30D13" w:rsidRPr="00827571" w:rsidTr="00827571">
        <w:tblPrEx>
          <w:shd w:val="clear" w:color="auto" w:fill="auto"/>
        </w:tblPrEx>
        <w:trPr>
          <w:trHeight w:val="276"/>
        </w:trPr>
        <w:tc>
          <w:tcPr>
            <w:tcW w:w="567" w:type="dxa"/>
            <w:shd w:val="clear" w:color="auto" w:fill="auto"/>
            <w:vAlign w:val="center"/>
          </w:tcPr>
          <w:p w:rsidR="00B30D13" w:rsidRPr="00827571" w:rsidRDefault="00B30D13" w:rsidP="00827571">
            <w:pPr>
              <w:widowControl w:val="0"/>
              <w:tabs>
                <w:tab w:val="left" w:pos="622"/>
              </w:tabs>
              <w:spacing w:after="0" w:line="240" w:lineRule="auto"/>
              <w:jc w:val="center"/>
              <w:rPr>
                <w:rFonts w:ascii="Times New Roman" w:hAnsi="Times New Roman"/>
                <w:bCs/>
                <w:iCs/>
                <w:sz w:val="18"/>
                <w:szCs w:val="18"/>
                <w:lang w:eastAsia="lt-LT"/>
              </w:rPr>
            </w:pPr>
            <w:r w:rsidRPr="00827571">
              <w:rPr>
                <w:rFonts w:ascii="Times New Roman" w:hAnsi="Times New Roman"/>
                <w:bCs/>
                <w:iCs/>
                <w:sz w:val="18"/>
                <w:szCs w:val="18"/>
                <w:lang w:eastAsia="lt-LT"/>
              </w:rPr>
              <w:lastRenderedPageBreak/>
              <w:t>10.</w:t>
            </w:r>
          </w:p>
        </w:tc>
        <w:tc>
          <w:tcPr>
            <w:tcW w:w="2694" w:type="dxa"/>
            <w:shd w:val="clear" w:color="auto" w:fill="auto"/>
            <w:vAlign w:val="center"/>
          </w:tcPr>
          <w:p w:rsidR="00B30D13" w:rsidRPr="00827571" w:rsidRDefault="00B30D13" w:rsidP="00827571">
            <w:pPr>
              <w:autoSpaceDE w:val="0"/>
              <w:autoSpaceDN w:val="0"/>
              <w:adjustRightInd w:val="0"/>
              <w:spacing w:after="0" w:line="240" w:lineRule="auto"/>
              <w:rPr>
                <w:rFonts w:ascii="Times New Roman" w:eastAsia="Times New Roman" w:hAnsi="Times New Roman"/>
                <w:sz w:val="18"/>
                <w:szCs w:val="18"/>
                <w:lang w:eastAsia="lt-LT"/>
              </w:rPr>
            </w:pPr>
            <w:r w:rsidRPr="00827571">
              <w:rPr>
                <w:rFonts w:ascii="Times New Roman" w:eastAsia="Times New Roman" w:hAnsi="Times New Roman"/>
                <w:sz w:val="18"/>
                <w:szCs w:val="18"/>
                <w:lang w:eastAsia="lt-LT"/>
              </w:rPr>
              <w:t>Įgyvendinti MTEP projektai</w:t>
            </w:r>
          </w:p>
        </w:tc>
        <w:tc>
          <w:tcPr>
            <w:tcW w:w="1134" w:type="dxa"/>
            <w:shd w:val="clear" w:color="auto" w:fill="auto"/>
            <w:vAlign w:val="center"/>
          </w:tcPr>
          <w:p w:rsidR="00B30D13" w:rsidRPr="00827571" w:rsidRDefault="00B30D13" w:rsidP="00827571">
            <w:pPr>
              <w:widowControl w:val="0"/>
              <w:tabs>
                <w:tab w:val="left" w:pos="622"/>
              </w:tabs>
              <w:spacing w:after="0" w:line="240" w:lineRule="auto"/>
              <w:jc w:val="center"/>
              <w:rPr>
                <w:rFonts w:ascii="Times New Roman" w:hAnsi="Times New Roman"/>
                <w:bCs/>
                <w:iCs/>
                <w:sz w:val="18"/>
                <w:szCs w:val="18"/>
                <w:lang w:eastAsia="lt-LT"/>
              </w:rPr>
            </w:pPr>
            <w:r w:rsidRPr="00827571">
              <w:rPr>
                <w:rFonts w:ascii="Times New Roman" w:hAnsi="Times New Roman"/>
                <w:bCs/>
                <w:iCs/>
                <w:sz w:val="18"/>
                <w:szCs w:val="18"/>
                <w:lang w:eastAsia="lt-LT"/>
              </w:rPr>
              <w:t>Skaičius</w:t>
            </w:r>
          </w:p>
        </w:tc>
        <w:tc>
          <w:tcPr>
            <w:tcW w:w="850" w:type="dxa"/>
            <w:shd w:val="clear" w:color="auto" w:fill="auto"/>
            <w:vAlign w:val="center"/>
          </w:tcPr>
          <w:p w:rsidR="00B30D13" w:rsidRPr="00827571" w:rsidRDefault="00B30D13" w:rsidP="00827571">
            <w:pPr>
              <w:widowControl w:val="0"/>
              <w:tabs>
                <w:tab w:val="left" w:pos="622"/>
              </w:tabs>
              <w:spacing w:after="0" w:line="240" w:lineRule="auto"/>
              <w:jc w:val="center"/>
              <w:rPr>
                <w:rFonts w:ascii="Times New Roman" w:hAnsi="Times New Roman"/>
                <w:bCs/>
                <w:iCs/>
                <w:sz w:val="18"/>
                <w:szCs w:val="18"/>
                <w:lang w:eastAsia="lt-LT"/>
              </w:rPr>
            </w:pPr>
            <w:r w:rsidRPr="00827571">
              <w:rPr>
                <w:rFonts w:ascii="Times New Roman" w:hAnsi="Times New Roman"/>
                <w:bCs/>
                <w:iCs/>
                <w:sz w:val="18"/>
                <w:szCs w:val="18"/>
                <w:lang w:eastAsia="lt-LT"/>
              </w:rPr>
              <w:t>ERPF</w:t>
            </w:r>
          </w:p>
        </w:tc>
        <w:tc>
          <w:tcPr>
            <w:tcW w:w="1134" w:type="dxa"/>
            <w:shd w:val="clear" w:color="auto" w:fill="auto"/>
            <w:vAlign w:val="center"/>
          </w:tcPr>
          <w:p w:rsidR="00B30D13" w:rsidRPr="00827571" w:rsidRDefault="00B30D13" w:rsidP="00827571">
            <w:pPr>
              <w:widowControl w:val="0"/>
              <w:tabs>
                <w:tab w:val="left" w:pos="622"/>
              </w:tabs>
              <w:spacing w:after="0" w:line="240" w:lineRule="auto"/>
              <w:jc w:val="center"/>
              <w:rPr>
                <w:rFonts w:ascii="Times New Roman" w:hAnsi="Times New Roman"/>
                <w:bCs/>
                <w:iCs/>
                <w:sz w:val="18"/>
                <w:szCs w:val="18"/>
                <w:lang w:eastAsia="lt-LT"/>
              </w:rPr>
            </w:pPr>
            <w:r w:rsidRPr="00827571">
              <w:rPr>
                <w:rFonts w:ascii="Times New Roman" w:hAnsi="Times New Roman"/>
                <w:bCs/>
                <w:iCs/>
                <w:sz w:val="18"/>
                <w:szCs w:val="18"/>
                <w:lang w:eastAsia="lt-LT"/>
              </w:rPr>
              <w:t>Mažiau išsivystęs</w:t>
            </w:r>
          </w:p>
        </w:tc>
        <w:tc>
          <w:tcPr>
            <w:tcW w:w="1134" w:type="dxa"/>
            <w:shd w:val="clear" w:color="auto" w:fill="auto"/>
            <w:vAlign w:val="center"/>
          </w:tcPr>
          <w:p w:rsidR="00B30D13" w:rsidRPr="00827571" w:rsidRDefault="00827571" w:rsidP="00827571">
            <w:pPr>
              <w:widowControl w:val="0"/>
              <w:tabs>
                <w:tab w:val="left" w:pos="622"/>
              </w:tabs>
              <w:spacing w:after="0" w:line="240" w:lineRule="auto"/>
              <w:jc w:val="center"/>
              <w:rPr>
                <w:rFonts w:ascii="Times New Roman" w:hAnsi="Times New Roman"/>
                <w:bCs/>
                <w:iCs/>
                <w:sz w:val="18"/>
                <w:szCs w:val="18"/>
                <w:lang w:eastAsia="lt-LT"/>
              </w:rPr>
            </w:pPr>
            <w:r w:rsidRPr="00827571">
              <w:rPr>
                <w:rFonts w:ascii="Times New Roman" w:hAnsi="Times New Roman"/>
                <w:bCs/>
                <w:iCs/>
                <w:sz w:val="18"/>
                <w:szCs w:val="18"/>
                <w:lang w:eastAsia="lt-LT"/>
              </w:rPr>
              <w:t>65</w:t>
            </w:r>
          </w:p>
        </w:tc>
        <w:tc>
          <w:tcPr>
            <w:tcW w:w="1133" w:type="dxa"/>
            <w:shd w:val="clear" w:color="auto" w:fill="auto"/>
            <w:vAlign w:val="center"/>
          </w:tcPr>
          <w:p w:rsidR="00B30D13" w:rsidRPr="00827571" w:rsidRDefault="00B30D13" w:rsidP="00827571">
            <w:pPr>
              <w:widowControl w:val="0"/>
              <w:tabs>
                <w:tab w:val="left" w:pos="622"/>
              </w:tabs>
              <w:spacing w:after="0" w:line="240" w:lineRule="auto"/>
              <w:jc w:val="center"/>
              <w:rPr>
                <w:rFonts w:ascii="Times New Roman" w:hAnsi="Times New Roman"/>
                <w:bCs/>
                <w:iCs/>
                <w:sz w:val="18"/>
                <w:szCs w:val="18"/>
                <w:lang w:eastAsia="lt-LT"/>
              </w:rPr>
            </w:pPr>
            <w:r w:rsidRPr="00827571">
              <w:rPr>
                <w:rFonts w:ascii="Times New Roman" w:hAnsi="Times New Roman"/>
                <w:bCs/>
                <w:iCs/>
                <w:sz w:val="18"/>
                <w:szCs w:val="18"/>
                <w:lang w:eastAsia="lt-LT"/>
              </w:rPr>
              <w:t>Duomenys iš projektų</w:t>
            </w:r>
          </w:p>
        </w:tc>
        <w:tc>
          <w:tcPr>
            <w:tcW w:w="1241" w:type="dxa"/>
            <w:shd w:val="clear" w:color="auto" w:fill="auto"/>
            <w:vAlign w:val="center"/>
          </w:tcPr>
          <w:p w:rsidR="00B30D13" w:rsidRPr="00827571" w:rsidRDefault="00B30D13" w:rsidP="00827571">
            <w:pPr>
              <w:widowControl w:val="0"/>
              <w:tabs>
                <w:tab w:val="left" w:pos="622"/>
              </w:tabs>
              <w:spacing w:after="0" w:line="240" w:lineRule="auto"/>
              <w:jc w:val="center"/>
              <w:rPr>
                <w:rFonts w:ascii="Times New Roman" w:hAnsi="Times New Roman"/>
                <w:bCs/>
                <w:iCs/>
                <w:sz w:val="18"/>
                <w:szCs w:val="18"/>
                <w:lang w:eastAsia="lt-LT"/>
              </w:rPr>
            </w:pPr>
            <w:r w:rsidRPr="00827571">
              <w:rPr>
                <w:rFonts w:ascii="Times New Roman" w:hAnsi="Times New Roman"/>
                <w:bCs/>
                <w:iCs/>
                <w:sz w:val="18"/>
                <w:szCs w:val="18"/>
                <w:lang w:eastAsia="lt-LT"/>
              </w:rPr>
              <w:t>Kartą per metus</w:t>
            </w:r>
          </w:p>
        </w:tc>
      </w:tr>
      <w:tr w:rsidR="00B30D13" w:rsidRPr="00827571" w:rsidTr="00827571">
        <w:tblPrEx>
          <w:shd w:val="clear" w:color="auto" w:fill="auto"/>
        </w:tblPrEx>
        <w:trPr>
          <w:trHeight w:val="687"/>
        </w:trPr>
        <w:tc>
          <w:tcPr>
            <w:tcW w:w="567" w:type="dxa"/>
            <w:shd w:val="clear" w:color="auto" w:fill="auto"/>
            <w:vAlign w:val="center"/>
          </w:tcPr>
          <w:p w:rsidR="00B30D13" w:rsidRPr="00827571" w:rsidRDefault="00B30D13" w:rsidP="00827571">
            <w:pPr>
              <w:widowControl w:val="0"/>
              <w:tabs>
                <w:tab w:val="left" w:pos="622"/>
              </w:tabs>
              <w:spacing w:after="0" w:line="240" w:lineRule="auto"/>
              <w:jc w:val="center"/>
              <w:rPr>
                <w:rFonts w:ascii="Times New Roman" w:hAnsi="Times New Roman"/>
                <w:bCs/>
                <w:iCs/>
                <w:sz w:val="18"/>
                <w:szCs w:val="18"/>
                <w:lang w:eastAsia="lt-LT"/>
              </w:rPr>
            </w:pPr>
            <w:r w:rsidRPr="00827571">
              <w:rPr>
                <w:rFonts w:ascii="Times New Roman" w:hAnsi="Times New Roman"/>
                <w:bCs/>
                <w:iCs/>
                <w:sz w:val="18"/>
                <w:szCs w:val="18"/>
                <w:lang w:eastAsia="lt-LT"/>
              </w:rPr>
              <w:t>11.</w:t>
            </w:r>
          </w:p>
        </w:tc>
        <w:tc>
          <w:tcPr>
            <w:tcW w:w="2694" w:type="dxa"/>
            <w:shd w:val="clear" w:color="auto" w:fill="auto"/>
            <w:vAlign w:val="center"/>
          </w:tcPr>
          <w:p w:rsidR="00B30D13" w:rsidRPr="00827571" w:rsidRDefault="00B30D13" w:rsidP="00827571">
            <w:pPr>
              <w:autoSpaceDE w:val="0"/>
              <w:autoSpaceDN w:val="0"/>
              <w:adjustRightInd w:val="0"/>
              <w:spacing w:after="0" w:line="240" w:lineRule="auto"/>
              <w:rPr>
                <w:rFonts w:ascii="Times New Roman" w:eastAsia="Times New Roman" w:hAnsi="Times New Roman"/>
                <w:sz w:val="18"/>
                <w:szCs w:val="18"/>
                <w:lang w:eastAsia="lt-LT"/>
              </w:rPr>
            </w:pPr>
            <w:r w:rsidRPr="00827571">
              <w:rPr>
                <w:rFonts w:ascii="Times New Roman" w:eastAsia="Times New Roman" w:hAnsi="Times New Roman"/>
                <w:sz w:val="18"/>
                <w:szCs w:val="18"/>
                <w:lang w:eastAsia="lt-LT"/>
              </w:rPr>
              <w:t>Viešąsias sveikatos priežiūros paslaugas teikiančių įstaigų, kuriose pagerinta paslaugų teikimo infrastruktūra, skaičius</w:t>
            </w:r>
          </w:p>
        </w:tc>
        <w:tc>
          <w:tcPr>
            <w:tcW w:w="1134" w:type="dxa"/>
            <w:shd w:val="clear" w:color="auto" w:fill="auto"/>
            <w:vAlign w:val="center"/>
          </w:tcPr>
          <w:p w:rsidR="00B30D13" w:rsidRPr="00827571" w:rsidRDefault="00B30D13" w:rsidP="00827571">
            <w:pPr>
              <w:widowControl w:val="0"/>
              <w:tabs>
                <w:tab w:val="left" w:pos="622"/>
              </w:tabs>
              <w:spacing w:after="0" w:line="240" w:lineRule="auto"/>
              <w:jc w:val="center"/>
              <w:rPr>
                <w:rFonts w:ascii="Times New Roman" w:hAnsi="Times New Roman"/>
                <w:bCs/>
                <w:iCs/>
                <w:sz w:val="18"/>
                <w:szCs w:val="18"/>
                <w:lang w:eastAsia="lt-LT"/>
              </w:rPr>
            </w:pPr>
            <w:r w:rsidRPr="00827571">
              <w:rPr>
                <w:rFonts w:ascii="Times New Roman" w:hAnsi="Times New Roman"/>
                <w:bCs/>
                <w:iCs/>
                <w:sz w:val="18"/>
                <w:szCs w:val="18"/>
                <w:lang w:eastAsia="lt-LT"/>
              </w:rPr>
              <w:t>Skaičius</w:t>
            </w:r>
          </w:p>
        </w:tc>
        <w:tc>
          <w:tcPr>
            <w:tcW w:w="850" w:type="dxa"/>
            <w:shd w:val="clear" w:color="auto" w:fill="auto"/>
            <w:vAlign w:val="center"/>
          </w:tcPr>
          <w:p w:rsidR="00B30D13" w:rsidRPr="00827571" w:rsidRDefault="00B30D13" w:rsidP="00827571">
            <w:pPr>
              <w:widowControl w:val="0"/>
              <w:tabs>
                <w:tab w:val="left" w:pos="622"/>
              </w:tabs>
              <w:spacing w:after="0" w:line="240" w:lineRule="auto"/>
              <w:jc w:val="center"/>
              <w:rPr>
                <w:rFonts w:ascii="Times New Roman" w:hAnsi="Times New Roman"/>
                <w:bCs/>
                <w:iCs/>
                <w:sz w:val="18"/>
                <w:szCs w:val="18"/>
                <w:lang w:eastAsia="lt-LT"/>
              </w:rPr>
            </w:pPr>
            <w:r w:rsidRPr="00827571">
              <w:rPr>
                <w:rFonts w:ascii="Times New Roman" w:hAnsi="Times New Roman"/>
                <w:bCs/>
                <w:iCs/>
                <w:sz w:val="18"/>
                <w:szCs w:val="18"/>
                <w:lang w:eastAsia="lt-LT"/>
              </w:rPr>
              <w:t>ERPF</w:t>
            </w:r>
          </w:p>
        </w:tc>
        <w:tc>
          <w:tcPr>
            <w:tcW w:w="1134" w:type="dxa"/>
            <w:shd w:val="clear" w:color="auto" w:fill="auto"/>
            <w:vAlign w:val="center"/>
          </w:tcPr>
          <w:p w:rsidR="00B30D13" w:rsidRPr="00827571" w:rsidRDefault="00B30D13" w:rsidP="00827571">
            <w:pPr>
              <w:widowControl w:val="0"/>
              <w:tabs>
                <w:tab w:val="left" w:pos="622"/>
              </w:tabs>
              <w:spacing w:after="0" w:line="240" w:lineRule="auto"/>
              <w:jc w:val="center"/>
              <w:rPr>
                <w:rFonts w:ascii="Times New Roman" w:hAnsi="Times New Roman"/>
                <w:bCs/>
                <w:iCs/>
                <w:sz w:val="18"/>
                <w:szCs w:val="18"/>
                <w:lang w:eastAsia="lt-LT"/>
              </w:rPr>
            </w:pPr>
            <w:r w:rsidRPr="00827571">
              <w:rPr>
                <w:rFonts w:ascii="Times New Roman" w:hAnsi="Times New Roman"/>
                <w:bCs/>
                <w:iCs/>
                <w:sz w:val="18"/>
                <w:szCs w:val="18"/>
                <w:lang w:eastAsia="lt-LT"/>
              </w:rPr>
              <w:t>Mažiau išsivystęs</w:t>
            </w:r>
          </w:p>
        </w:tc>
        <w:tc>
          <w:tcPr>
            <w:tcW w:w="1134" w:type="dxa"/>
            <w:shd w:val="clear" w:color="auto" w:fill="auto"/>
            <w:vAlign w:val="center"/>
          </w:tcPr>
          <w:p w:rsidR="00B30D13" w:rsidRPr="00827571" w:rsidRDefault="00B30D13" w:rsidP="00827571">
            <w:pPr>
              <w:widowControl w:val="0"/>
              <w:tabs>
                <w:tab w:val="left" w:pos="622"/>
              </w:tabs>
              <w:spacing w:after="0" w:line="240" w:lineRule="auto"/>
              <w:jc w:val="center"/>
              <w:rPr>
                <w:rFonts w:ascii="Times New Roman" w:hAnsi="Times New Roman"/>
                <w:bCs/>
                <w:iCs/>
                <w:sz w:val="18"/>
                <w:szCs w:val="18"/>
                <w:lang w:eastAsia="lt-LT"/>
              </w:rPr>
            </w:pPr>
            <w:r w:rsidRPr="00827571">
              <w:rPr>
                <w:rFonts w:ascii="Times New Roman" w:hAnsi="Times New Roman"/>
                <w:bCs/>
                <w:iCs/>
                <w:sz w:val="18"/>
                <w:szCs w:val="18"/>
                <w:lang w:eastAsia="lt-LT"/>
              </w:rPr>
              <w:t>2</w:t>
            </w:r>
          </w:p>
        </w:tc>
        <w:tc>
          <w:tcPr>
            <w:tcW w:w="1133" w:type="dxa"/>
            <w:shd w:val="clear" w:color="auto" w:fill="auto"/>
            <w:vAlign w:val="center"/>
          </w:tcPr>
          <w:p w:rsidR="00B30D13" w:rsidRPr="00827571" w:rsidRDefault="00B30D13" w:rsidP="00827571">
            <w:pPr>
              <w:widowControl w:val="0"/>
              <w:tabs>
                <w:tab w:val="left" w:pos="622"/>
              </w:tabs>
              <w:spacing w:after="0" w:line="240" w:lineRule="auto"/>
              <w:jc w:val="center"/>
              <w:rPr>
                <w:rFonts w:ascii="Times New Roman" w:hAnsi="Times New Roman"/>
                <w:bCs/>
                <w:iCs/>
                <w:sz w:val="18"/>
                <w:szCs w:val="18"/>
                <w:lang w:eastAsia="lt-LT"/>
              </w:rPr>
            </w:pPr>
            <w:r w:rsidRPr="00827571">
              <w:rPr>
                <w:rFonts w:ascii="Times New Roman" w:eastAsia="Times New Roman" w:hAnsi="Times New Roman"/>
                <w:sz w:val="18"/>
                <w:szCs w:val="18"/>
              </w:rPr>
              <w:t>Duomenys iš projektų</w:t>
            </w:r>
          </w:p>
        </w:tc>
        <w:tc>
          <w:tcPr>
            <w:tcW w:w="1241" w:type="dxa"/>
            <w:shd w:val="clear" w:color="auto" w:fill="auto"/>
            <w:vAlign w:val="center"/>
          </w:tcPr>
          <w:p w:rsidR="00B30D13" w:rsidRPr="00827571" w:rsidRDefault="00B30D13" w:rsidP="00827571">
            <w:pPr>
              <w:widowControl w:val="0"/>
              <w:tabs>
                <w:tab w:val="left" w:pos="622"/>
              </w:tabs>
              <w:spacing w:after="0" w:line="240" w:lineRule="auto"/>
              <w:jc w:val="center"/>
              <w:rPr>
                <w:rFonts w:ascii="Times New Roman" w:hAnsi="Times New Roman"/>
                <w:bCs/>
                <w:iCs/>
                <w:sz w:val="18"/>
                <w:szCs w:val="18"/>
                <w:lang w:eastAsia="lt-LT"/>
              </w:rPr>
            </w:pPr>
            <w:r w:rsidRPr="00827571">
              <w:rPr>
                <w:rFonts w:ascii="Times New Roman" w:eastAsia="Times New Roman" w:hAnsi="Times New Roman"/>
                <w:sz w:val="18"/>
                <w:szCs w:val="18"/>
              </w:rPr>
              <w:t>Kartą per metus</w:t>
            </w:r>
          </w:p>
        </w:tc>
      </w:tr>
      <w:tr w:rsidR="00B30D13" w:rsidRPr="00827571" w:rsidTr="00827571">
        <w:tblPrEx>
          <w:shd w:val="clear" w:color="auto" w:fill="auto"/>
        </w:tblPrEx>
        <w:trPr>
          <w:trHeight w:val="563"/>
        </w:trPr>
        <w:tc>
          <w:tcPr>
            <w:tcW w:w="567" w:type="dxa"/>
            <w:shd w:val="clear" w:color="auto" w:fill="auto"/>
            <w:vAlign w:val="center"/>
          </w:tcPr>
          <w:p w:rsidR="00B30D13" w:rsidRPr="00827571" w:rsidRDefault="00B30D13" w:rsidP="00827571">
            <w:pPr>
              <w:widowControl w:val="0"/>
              <w:tabs>
                <w:tab w:val="left" w:pos="622"/>
              </w:tabs>
              <w:spacing w:after="0" w:line="240" w:lineRule="auto"/>
              <w:jc w:val="center"/>
              <w:rPr>
                <w:rFonts w:ascii="Times New Roman" w:hAnsi="Times New Roman"/>
                <w:bCs/>
                <w:iCs/>
                <w:sz w:val="18"/>
                <w:szCs w:val="18"/>
                <w:lang w:eastAsia="lt-LT"/>
              </w:rPr>
            </w:pPr>
            <w:r w:rsidRPr="00827571">
              <w:rPr>
                <w:rFonts w:ascii="Times New Roman" w:hAnsi="Times New Roman"/>
                <w:bCs/>
                <w:iCs/>
                <w:sz w:val="18"/>
                <w:szCs w:val="18"/>
                <w:lang w:eastAsia="lt-LT"/>
              </w:rPr>
              <w:t>12.</w:t>
            </w:r>
          </w:p>
        </w:tc>
        <w:tc>
          <w:tcPr>
            <w:tcW w:w="2694" w:type="dxa"/>
            <w:shd w:val="clear" w:color="auto" w:fill="auto"/>
            <w:vAlign w:val="center"/>
          </w:tcPr>
          <w:p w:rsidR="00B30D13" w:rsidRPr="00827571" w:rsidRDefault="00B30D13" w:rsidP="00827571">
            <w:pPr>
              <w:autoSpaceDE w:val="0"/>
              <w:autoSpaceDN w:val="0"/>
              <w:adjustRightInd w:val="0"/>
              <w:spacing w:after="0" w:line="240" w:lineRule="auto"/>
              <w:rPr>
                <w:rFonts w:ascii="Times New Roman" w:eastAsia="Times New Roman" w:hAnsi="Times New Roman"/>
                <w:sz w:val="18"/>
                <w:szCs w:val="18"/>
                <w:lang w:eastAsia="lt-LT"/>
              </w:rPr>
            </w:pPr>
            <w:r w:rsidRPr="00827571">
              <w:rPr>
                <w:rFonts w:ascii="Times New Roman" w:eastAsia="Times New Roman" w:hAnsi="Times New Roman"/>
                <w:sz w:val="18"/>
                <w:szCs w:val="18"/>
                <w:lang w:eastAsia="lt-LT"/>
              </w:rPr>
              <w:t>Investicijas gavusių mokslo ir studijų institucijų gautų MTEP užsakymų skaičius</w:t>
            </w:r>
          </w:p>
        </w:tc>
        <w:tc>
          <w:tcPr>
            <w:tcW w:w="1134" w:type="dxa"/>
            <w:shd w:val="clear" w:color="auto" w:fill="auto"/>
            <w:vAlign w:val="center"/>
          </w:tcPr>
          <w:p w:rsidR="00B30D13" w:rsidRPr="00827571" w:rsidRDefault="00B30D13" w:rsidP="00827571">
            <w:pPr>
              <w:widowControl w:val="0"/>
              <w:tabs>
                <w:tab w:val="left" w:pos="622"/>
              </w:tabs>
              <w:spacing w:after="0" w:line="240" w:lineRule="auto"/>
              <w:jc w:val="center"/>
              <w:rPr>
                <w:rFonts w:ascii="Times New Roman" w:hAnsi="Times New Roman"/>
                <w:bCs/>
                <w:iCs/>
                <w:sz w:val="18"/>
                <w:szCs w:val="18"/>
                <w:lang w:eastAsia="lt-LT"/>
              </w:rPr>
            </w:pPr>
            <w:r w:rsidRPr="00827571">
              <w:rPr>
                <w:rFonts w:ascii="Times New Roman" w:hAnsi="Times New Roman"/>
                <w:bCs/>
                <w:iCs/>
                <w:sz w:val="18"/>
                <w:szCs w:val="18"/>
                <w:lang w:eastAsia="lt-LT"/>
              </w:rPr>
              <w:t>Skaičius</w:t>
            </w:r>
          </w:p>
        </w:tc>
        <w:tc>
          <w:tcPr>
            <w:tcW w:w="850" w:type="dxa"/>
            <w:shd w:val="clear" w:color="auto" w:fill="auto"/>
            <w:vAlign w:val="center"/>
          </w:tcPr>
          <w:p w:rsidR="00B30D13" w:rsidRPr="00827571" w:rsidRDefault="00B30D13" w:rsidP="00827571">
            <w:pPr>
              <w:widowControl w:val="0"/>
              <w:tabs>
                <w:tab w:val="left" w:pos="622"/>
              </w:tabs>
              <w:spacing w:after="0" w:line="240" w:lineRule="auto"/>
              <w:jc w:val="center"/>
              <w:rPr>
                <w:rFonts w:ascii="Times New Roman" w:hAnsi="Times New Roman"/>
                <w:bCs/>
                <w:iCs/>
                <w:sz w:val="18"/>
                <w:szCs w:val="18"/>
                <w:highlight w:val="yellow"/>
                <w:lang w:eastAsia="lt-LT"/>
              </w:rPr>
            </w:pPr>
            <w:r w:rsidRPr="00827571">
              <w:rPr>
                <w:rFonts w:ascii="Times New Roman" w:hAnsi="Times New Roman"/>
                <w:bCs/>
                <w:iCs/>
                <w:sz w:val="18"/>
                <w:szCs w:val="18"/>
                <w:lang w:eastAsia="lt-LT"/>
              </w:rPr>
              <w:t>ERPF</w:t>
            </w:r>
          </w:p>
        </w:tc>
        <w:tc>
          <w:tcPr>
            <w:tcW w:w="1134" w:type="dxa"/>
            <w:shd w:val="clear" w:color="auto" w:fill="auto"/>
            <w:vAlign w:val="center"/>
          </w:tcPr>
          <w:p w:rsidR="00B30D13" w:rsidRPr="00827571" w:rsidRDefault="00B30D13" w:rsidP="00827571">
            <w:pPr>
              <w:widowControl w:val="0"/>
              <w:tabs>
                <w:tab w:val="left" w:pos="622"/>
              </w:tabs>
              <w:spacing w:after="0" w:line="240" w:lineRule="auto"/>
              <w:jc w:val="center"/>
              <w:rPr>
                <w:rFonts w:ascii="Times New Roman" w:hAnsi="Times New Roman"/>
                <w:bCs/>
                <w:iCs/>
                <w:sz w:val="18"/>
                <w:szCs w:val="18"/>
                <w:lang w:eastAsia="lt-LT"/>
              </w:rPr>
            </w:pPr>
            <w:r w:rsidRPr="00827571">
              <w:rPr>
                <w:rFonts w:ascii="Times New Roman" w:hAnsi="Times New Roman"/>
                <w:bCs/>
                <w:iCs/>
                <w:sz w:val="18"/>
                <w:szCs w:val="18"/>
                <w:lang w:eastAsia="lt-LT"/>
              </w:rPr>
              <w:t>Mažiau išsivystęs</w:t>
            </w:r>
          </w:p>
        </w:tc>
        <w:tc>
          <w:tcPr>
            <w:tcW w:w="1134" w:type="dxa"/>
            <w:shd w:val="clear" w:color="auto" w:fill="auto"/>
            <w:vAlign w:val="center"/>
          </w:tcPr>
          <w:p w:rsidR="00B30D13" w:rsidRPr="00827571" w:rsidRDefault="00827571" w:rsidP="00827571">
            <w:pPr>
              <w:widowControl w:val="0"/>
              <w:tabs>
                <w:tab w:val="left" w:pos="622"/>
              </w:tabs>
              <w:spacing w:after="0" w:line="240" w:lineRule="auto"/>
              <w:jc w:val="center"/>
              <w:rPr>
                <w:rFonts w:ascii="Times New Roman" w:hAnsi="Times New Roman"/>
                <w:bCs/>
                <w:iCs/>
                <w:sz w:val="18"/>
                <w:szCs w:val="18"/>
                <w:lang w:eastAsia="lt-LT"/>
              </w:rPr>
            </w:pPr>
            <w:r w:rsidRPr="00827571">
              <w:rPr>
                <w:rFonts w:ascii="Times New Roman" w:hAnsi="Times New Roman"/>
                <w:bCs/>
                <w:iCs/>
                <w:sz w:val="18"/>
                <w:szCs w:val="18"/>
                <w:lang w:eastAsia="lt-LT"/>
              </w:rPr>
              <w:t>94</w:t>
            </w:r>
          </w:p>
        </w:tc>
        <w:tc>
          <w:tcPr>
            <w:tcW w:w="1133" w:type="dxa"/>
            <w:shd w:val="clear" w:color="auto" w:fill="auto"/>
            <w:vAlign w:val="center"/>
          </w:tcPr>
          <w:p w:rsidR="00B30D13" w:rsidRPr="00827571" w:rsidRDefault="00B30D13" w:rsidP="00827571">
            <w:pPr>
              <w:widowControl w:val="0"/>
              <w:tabs>
                <w:tab w:val="left" w:pos="622"/>
              </w:tabs>
              <w:spacing w:after="0" w:line="240" w:lineRule="auto"/>
              <w:jc w:val="center"/>
              <w:rPr>
                <w:rFonts w:ascii="Times New Roman" w:hAnsi="Times New Roman"/>
                <w:bCs/>
                <w:iCs/>
                <w:sz w:val="18"/>
                <w:szCs w:val="18"/>
                <w:lang w:eastAsia="lt-LT"/>
              </w:rPr>
            </w:pPr>
            <w:r w:rsidRPr="00827571">
              <w:rPr>
                <w:rFonts w:ascii="Times New Roman" w:eastAsia="Times New Roman" w:hAnsi="Times New Roman"/>
                <w:sz w:val="18"/>
                <w:szCs w:val="18"/>
              </w:rPr>
              <w:t>Duomenys iš projektų</w:t>
            </w:r>
          </w:p>
        </w:tc>
        <w:tc>
          <w:tcPr>
            <w:tcW w:w="1241" w:type="dxa"/>
            <w:shd w:val="clear" w:color="auto" w:fill="auto"/>
            <w:vAlign w:val="center"/>
          </w:tcPr>
          <w:p w:rsidR="00B30D13" w:rsidRPr="00827571" w:rsidRDefault="00B30D13" w:rsidP="00827571">
            <w:pPr>
              <w:widowControl w:val="0"/>
              <w:tabs>
                <w:tab w:val="left" w:pos="622"/>
              </w:tabs>
              <w:spacing w:after="0" w:line="240" w:lineRule="auto"/>
              <w:jc w:val="center"/>
              <w:rPr>
                <w:rFonts w:ascii="Times New Roman" w:hAnsi="Times New Roman"/>
                <w:bCs/>
                <w:iCs/>
                <w:sz w:val="18"/>
                <w:szCs w:val="18"/>
                <w:lang w:eastAsia="lt-LT"/>
              </w:rPr>
            </w:pPr>
            <w:r w:rsidRPr="00827571">
              <w:rPr>
                <w:rFonts w:ascii="Times New Roman" w:eastAsia="Times New Roman" w:hAnsi="Times New Roman"/>
                <w:sz w:val="18"/>
                <w:szCs w:val="18"/>
              </w:rPr>
              <w:t>Kartą per metus</w:t>
            </w:r>
          </w:p>
        </w:tc>
      </w:tr>
    </w:tbl>
    <w:p w:rsidR="00B30D13" w:rsidRPr="00FD7A80" w:rsidRDefault="00B30D13" w:rsidP="00254EEE">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746"/>
      </w:tblGrid>
      <w:tr w:rsidR="00B30D13" w:rsidRPr="00FD7A80" w:rsidTr="00B30D13">
        <w:tc>
          <w:tcPr>
            <w:tcW w:w="9746" w:type="dxa"/>
            <w:shd w:val="clear" w:color="auto" w:fill="EEECE1"/>
          </w:tcPr>
          <w:p w:rsidR="00B30D13" w:rsidRPr="00FD7A80" w:rsidRDefault="00B30D13" w:rsidP="00B30D13">
            <w:pPr>
              <w:widowControl w:val="0"/>
              <w:tabs>
                <w:tab w:val="left" w:pos="622"/>
              </w:tabs>
              <w:spacing w:after="0" w:line="240" w:lineRule="auto"/>
              <w:jc w:val="both"/>
              <w:rPr>
                <w:rFonts w:ascii="Times New Roman" w:eastAsia="AngsanaUPC" w:hAnsi="Times New Roman"/>
                <w:b/>
                <w:bCs/>
                <w:sz w:val="24"/>
                <w:szCs w:val="24"/>
                <w:lang w:eastAsia="lt-LT"/>
              </w:rPr>
            </w:pPr>
            <w:r w:rsidRPr="00FD7A80">
              <w:rPr>
                <w:rFonts w:ascii="Times New Roman" w:eastAsia="AngsanaUPC" w:hAnsi="Times New Roman"/>
                <w:b/>
                <w:bCs/>
                <w:i/>
                <w:iCs/>
                <w:sz w:val="24"/>
                <w:szCs w:val="24"/>
                <w:lang w:eastAsia="lt-LT"/>
              </w:rPr>
              <w:t>Projektų / veiksmų atrankos principai</w:t>
            </w:r>
          </w:p>
        </w:tc>
      </w:tr>
      <w:tr w:rsidR="00B30D13" w:rsidRPr="00FD7A80" w:rsidTr="00B30D13">
        <w:tc>
          <w:tcPr>
            <w:tcW w:w="9746" w:type="dxa"/>
            <w:shd w:val="clear" w:color="auto" w:fill="auto"/>
          </w:tcPr>
          <w:p w:rsidR="00B30D13" w:rsidRPr="00FD7A80" w:rsidRDefault="00B30D13" w:rsidP="00650E41">
            <w:pPr>
              <w:widowControl w:val="0"/>
              <w:numPr>
                <w:ilvl w:val="0"/>
                <w:numId w:val="52"/>
              </w:numPr>
              <w:tabs>
                <w:tab w:val="left" w:pos="601"/>
              </w:tabs>
              <w:spacing w:after="0" w:line="240" w:lineRule="auto"/>
              <w:ind w:left="34" w:firstLine="284"/>
              <w:jc w:val="both"/>
              <w:rPr>
                <w:rFonts w:ascii="Times New Roman" w:eastAsia="AngsanaUPC" w:hAnsi="Times New Roman"/>
                <w:bCs/>
                <w:sz w:val="24"/>
                <w:szCs w:val="24"/>
                <w:lang w:eastAsia="lt-LT"/>
              </w:rPr>
            </w:pPr>
            <w:r w:rsidRPr="00FD7A80">
              <w:rPr>
                <w:rFonts w:ascii="Times New Roman" w:eastAsia="AngsanaUPC" w:hAnsi="Times New Roman"/>
                <w:bCs/>
                <w:sz w:val="24"/>
                <w:szCs w:val="24"/>
                <w:lang w:eastAsia="lt-LT"/>
              </w:rPr>
              <w:t>13.1.1 konkretų uždavinį įgyvendinantys projektai bus atrenkami tęstinės atrankos būdu, projektų konkurso būdu ir valstybės projektų planavimo būdu (tiesiogiai skiriant subsidiją). Jeigu nusprendžiama, kad konkrečiam projektui dotacijos skiriamos tiesiogiai, ši procedūra turi atitikti sąlygas, nustatytas Bendrųjų nuostatų reglamento 125.3 str. (a) dalyje (ii) punkte, kuriuo reikalaujama, kad dotacijų skyrimo procedūra turi būti nediskriminuojanti ir skaidri.</w:t>
            </w:r>
          </w:p>
          <w:p w:rsidR="00B30D13" w:rsidRPr="00FD7A80" w:rsidRDefault="00B30D13" w:rsidP="00B30D13">
            <w:pPr>
              <w:widowControl w:val="0"/>
              <w:tabs>
                <w:tab w:val="left" w:pos="601"/>
              </w:tabs>
              <w:spacing w:after="0" w:line="240" w:lineRule="auto"/>
              <w:ind w:firstLine="318"/>
              <w:jc w:val="both"/>
              <w:rPr>
                <w:rFonts w:ascii="Times New Roman" w:eastAsia="AngsanaUPC" w:hAnsi="Times New Roman"/>
                <w:bCs/>
                <w:sz w:val="24"/>
                <w:szCs w:val="24"/>
                <w:lang w:eastAsia="lt-LT"/>
              </w:rPr>
            </w:pPr>
            <w:r w:rsidRPr="00FD7A80">
              <w:rPr>
                <w:rFonts w:ascii="Times New Roman" w:eastAsia="AngsanaUPC" w:hAnsi="Times New Roman"/>
                <w:bCs/>
                <w:sz w:val="24"/>
                <w:szCs w:val="24"/>
                <w:lang w:eastAsia="lt-LT"/>
              </w:rPr>
              <w:t>* Esant pagrįstam poreikiui pagal kiekvieną investicinį prioritetą gali būti taikomi ir kiti projektų atrankos būdai nurodyti pirmojo prioriteto dalyje „Projektų / veiksmų atrankos principai“.</w:t>
            </w:r>
          </w:p>
        </w:tc>
      </w:tr>
    </w:tbl>
    <w:p w:rsidR="00B30D13" w:rsidRPr="00FD7A80" w:rsidRDefault="00B30D13" w:rsidP="00254EEE">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746"/>
      </w:tblGrid>
      <w:tr w:rsidR="00B30D13" w:rsidRPr="00FD7A80" w:rsidTr="00B30D13">
        <w:tc>
          <w:tcPr>
            <w:tcW w:w="9746" w:type="dxa"/>
            <w:shd w:val="clear" w:color="auto" w:fill="EEECE1"/>
          </w:tcPr>
          <w:p w:rsidR="00B30D13" w:rsidRPr="00FD7A80" w:rsidRDefault="00B30D13" w:rsidP="00B30D13">
            <w:pPr>
              <w:widowControl w:val="0"/>
              <w:tabs>
                <w:tab w:val="left" w:pos="622"/>
              </w:tabs>
              <w:spacing w:after="0" w:line="240" w:lineRule="auto"/>
              <w:jc w:val="both"/>
              <w:rPr>
                <w:rFonts w:ascii="Times New Roman" w:eastAsia="AngsanaUPC" w:hAnsi="Times New Roman"/>
                <w:b/>
                <w:bCs/>
                <w:sz w:val="24"/>
                <w:szCs w:val="24"/>
                <w:lang w:eastAsia="lt-LT"/>
              </w:rPr>
            </w:pPr>
            <w:r w:rsidRPr="00FD7A80">
              <w:rPr>
                <w:rFonts w:ascii="Times New Roman" w:eastAsia="AngsanaUPC" w:hAnsi="Times New Roman"/>
                <w:b/>
                <w:bCs/>
                <w:i/>
                <w:iCs/>
                <w:sz w:val="24"/>
                <w:szCs w:val="24"/>
                <w:lang w:eastAsia="lt-LT"/>
              </w:rPr>
              <w:t>Finansiniai instrumentai ir jų aprašymas</w:t>
            </w:r>
          </w:p>
        </w:tc>
      </w:tr>
      <w:tr w:rsidR="00B30D13" w:rsidRPr="00FD7A80" w:rsidTr="00B30D13">
        <w:tc>
          <w:tcPr>
            <w:tcW w:w="9746" w:type="dxa"/>
            <w:shd w:val="clear" w:color="auto" w:fill="auto"/>
          </w:tcPr>
          <w:p w:rsidR="00B30D13" w:rsidRPr="00FD7A80" w:rsidRDefault="00B30D13" w:rsidP="00B30D13">
            <w:pPr>
              <w:widowControl w:val="0"/>
              <w:tabs>
                <w:tab w:val="left" w:pos="622"/>
              </w:tabs>
              <w:spacing w:after="0" w:line="240" w:lineRule="auto"/>
              <w:ind w:firstLine="624"/>
              <w:jc w:val="both"/>
              <w:rPr>
                <w:rFonts w:ascii="Times New Roman" w:eastAsia="AngsanaUPC" w:hAnsi="Times New Roman"/>
                <w:bCs/>
                <w:iCs/>
                <w:sz w:val="24"/>
                <w:szCs w:val="24"/>
                <w:lang w:eastAsia="lt-LT"/>
              </w:rPr>
            </w:pPr>
            <w:r w:rsidRPr="00FD7A80">
              <w:rPr>
                <w:rFonts w:ascii="Times New Roman" w:eastAsia="AngsanaUPC" w:hAnsi="Times New Roman"/>
                <w:bCs/>
                <w:sz w:val="24"/>
                <w:szCs w:val="24"/>
                <w:lang w:eastAsia="lt-LT"/>
              </w:rPr>
              <w:t xml:space="preserve">Pagal 13.1.1 konkretų uždavinį </w:t>
            </w:r>
            <w:r w:rsidRPr="00FD7A80">
              <w:rPr>
                <w:rFonts w:ascii="Times New Roman" w:eastAsia="AngsanaUPC" w:hAnsi="Times New Roman"/>
                <w:bCs/>
                <w:iCs/>
                <w:sz w:val="24"/>
                <w:szCs w:val="24"/>
                <w:lang w:eastAsia="lt-LT"/>
              </w:rPr>
              <w:t>finansinių instrumentų taikyti nenumatoma.</w:t>
            </w:r>
          </w:p>
        </w:tc>
      </w:tr>
    </w:tbl>
    <w:p w:rsidR="00B30D13" w:rsidRPr="00FD7A80" w:rsidRDefault="00B30D13" w:rsidP="00254EEE">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04"/>
        <w:gridCol w:w="7285"/>
      </w:tblGrid>
      <w:tr w:rsidR="00B30D13" w:rsidRPr="00FD7A80" w:rsidTr="00B30D13">
        <w:tc>
          <w:tcPr>
            <w:tcW w:w="2404" w:type="dxa"/>
            <w:shd w:val="clear" w:color="auto" w:fill="EEECE1"/>
            <w:vAlign w:val="center"/>
          </w:tcPr>
          <w:p w:rsidR="00B30D13" w:rsidRPr="00FD7A80" w:rsidRDefault="00B30D13" w:rsidP="00B30D13">
            <w:pPr>
              <w:widowControl w:val="0"/>
              <w:tabs>
                <w:tab w:val="left" w:pos="622"/>
              </w:tabs>
              <w:spacing w:after="0" w:line="240" w:lineRule="auto"/>
              <w:rPr>
                <w:rFonts w:ascii="Times New Roman" w:eastAsia="AngsanaUPC" w:hAnsi="Times New Roman"/>
                <w:b/>
                <w:bCs/>
                <w:sz w:val="24"/>
                <w:szCs w:val="24"/>
                <w:lang w:eastAsia="lt-LT"/>
              </w:rPr>
            </w:pPr>
            <w:r w:rsidRPr="00FD7A80">
              <w:rPr>
                <w:rFonts w:ascii="Times New Roman" w:eastAsia="AngsanaUPC" w:hAnsi="Times New Roman"/>
                <w:b/>
                <w:bCs/>
                <w:sz w:val="24"/>
                <w:szCs w:val="24"/>
                <w:lang w:eastAsia="lt-LT"/>
              </w:rPr>
              <w:t>13.1.2. KONKRETUS UŽDAVINYS</w:t>
            </w:r>
          </w:p>
        </w:tc>
        <w:tc>
          <w:tcPr>
            <w:tcW w:w="7285" w:type="dxa"/>
            <w:shd w:val="clear" w:color="auto" w:fill="EEECE1"/>
            <w:vAlign w:val="center"/>
          </w:tcPr>
          <w:p w:rsidR="00B30D13" w:rsidRPr="00FD7A80" w:rsidRDefault="00B30D13" w:rsidP="00B30D13">
            <w:pPr>
              <w:spacing w:after="0" w:line="240" w:lineRule="auto"/>
              <w:jc w:val="both"/>
              <w:rPr>
                <w:rFonts w:ascii="Times New Roman" w:hAnsi="Times New Roman"/>
                <w:b/>
                <w:sz w:val="24"/>
                <w:szCs w:val="24"/>
              </w:rPr>
            </w:pPr>
            <w:r w:rsidRPr="00FD7A80">
              <w:rPr>
                <w:rFonts w:ascii="Times New Roman" w:hAnsi="Times New Roman"/>
                <w:b/>
                <w:sz w:val="24"/>
                <w:szCs w:val="24"/>
              </w:rPr>
              <w:t>Energetinio efektyvumo ir atsinaujinančių energijos išteklių plėtros, siekiant švelninti poveikį klimato kaitai, skatinimas</w:t>
            </w:r>
          </w:p>
        </w:tc>
      </w:tr>
      <w:tr w:rsidR="00B30D13" w:rsidRPr="00FD7A80" w:rsidTr="00B30D13">
        <w:tc>
          <w:tcPr>
            <w:tcW w:w="9689" w:type="dxa"/>
            <w:gridSpan w:val="2"/>
            <w:shd w:val="clear" w:color="auto" w:fill="auto"/>
          </w:tcPr>
          <w:p w:rsidR="00B30D13" w:rsidRPr="00FD7A80" w:rsidRDefault="00B30D13" w:rsidP="00B30D13">
            <w:pPr>
              <w:spacing w:after="0" w:line="240" w:lineRule="auto"/>
              <w:ind w:firstLine="624"/>
              <w:jc w:val="both"/>
              <w:rPr>
                <w:rFonts w:ascii="Times New Roman" w:hAnsi="Times New Roman"/>
                <w:sz w:val="24"/>
                <w:szCs w:val="24"/>
              </w:rPr>
            </w:pPr>
            <w:r w:rsidRPr="00FD7A80">
              <w:rPr>
                <w:rFonts w:ascii="Times New Roman" w:hAnsi="Times New Roman"/>
                <w:sz w:val="24"/>
                <w:szCs w:val="24"/>
              </w:rPr>
              <w:t>Transformuojant ekonomiką bei orientuojant ją tvaraus ir integracinio augimo kryptimi, vienas svarbiausių aspektų – Europos žaliojo kurso bei Darnaus vystymosi tikslų siekimas. Moderni, efektyviai išteklius naudojanti ir konkurencinga ekonomika – tai nauja augimo strategija, kuria siekiama teisingos, klestinčios ir sveikos visuomenės.</w:t>
            </w:r>
          </w:p>
          <w:p w:rsidR="00B30D13" w:rsidRPr="00FD7A80" w:rsidRDefault="00B30D13" w:rsidP="00B30D13">
            <w:pPr>
              <w:spacing w:after="0" w:line="240" w:lineRule="auto"/>
              <w:ind w:firstLine="624"/>
              <w:jc w:val="both"/>
              <w:rPr>
                <w:rFonts w:ascii="Times New Roman" w:hAnsi="Times New Roman"/>
                <w:sz w:val="24"/>
                <w:szCs w:val="24"/>
              </w:rPr>
            </w:pPr>
            <w:r w:rsidRPr="00FD7A80">
              <w:rPr>
                <w:rFonts w:ascii="Times New Roman" w:hAnsi="Times New Roman"/>
                <w:sz w:val="24"/>
                <w:szCs w:val="24"/>
              </w:rPr>
              <w:t xml:space="preserve">Lietuva išsikėlė ambicingus tikslus, kuriais ženkliai prisidės prie Energetikos sąjungos ir 2030 metų ES energetikos ir klimato politikos tikslų įgyvendinimo. Iki 2030 metų numatoma pasiekti 45 proc. atsinaujinančių energijos išteklių galutiniame energijos suvartojime, tarp jų 45 proc. elektros ir 90 proc. energijos centralizuoto šilumos tiekimo sektoriuje bus pagaminama iš AEI. Taip pat ne mažiau kaip 30 proc. vartotojų patys pasigamins elektros savo poreikiams. Vietinės elektros energijos gamybos dalis Lietuvoje padidės nuo 35 iki 70 proc. </w:t>
            </w:r>
          </w:p>
          <w:p w:rsidR="00B30D13" w:rsidRPr="00FD7A80" w:rsidRDefault="00B30D13" w:rsidP="00B30D13">
            <w:pPr>
              <w:spacing w:after="0" w:line="240" w:lineRule="auto"/>
              <w:ind w:firstLine="624"/>
              <w:jc w:val="both"/>
              <w:rPr>
                <w:rFonts w:ascii="Times New Roman" w:hAnsi="Times New Roman"/>
                <w:sz w:val="24"/>
                <w:szCs w:val="24"/>
              </w:rPr>
            </w:pPr>
            <w:r w:rsidRPr="00FD7A80">
              <w:rPr>
                <w:rFonts w:ascii="Times New Roman" w:hAnsi="Times New Roman"/>
                <w:sz w:val="24"/>
                <w:szCs w:val="24"/>
              </w:rPr>
              <w:t>Europos Tarybos rekomendacijose pažymima, kad siekiant paremti ekonomikos atsigavimą, labai svarbu paankstinti viešųjų investicinių projektų įgyvendinimą ir skatinti privačiąsias investicijas, imantis žaliosios pertvarkos reformos, sutelkti investicijas į švarią ir efektyvią energijos gamybą ir vartojimą. Pagal Lietuvos nacionalinį energetikos ir klimato srities veiksmų planą, sumažinti ekonomikos priklausomybę nuo iškastinio kuro labai padėtų pastatų energetinio naudingumo didinimas pasinaudojant energijos vartojimo efektyvumo ir atsinaujinančių išteklių energijos sprendimais, šildymo sistemų modernizavimu. Tikslinės investicijos, kuriomis siekiama spręsti šias problemas, darančios didelį poveikį aplinkai ir sveikatai, skatins ekonomikos augimą ir atsparumą bei padės užtikrinti tvarų atsigavimą po krizės.</w:t>
            </w:r>
          </w:p>
          <w:p w:rsidR="00B30D13" w:rsidRPr="00FD7A80" w:rsidRDefault="00B30D13" w:rsidP="00B30D13">
            <w:pPr>
              <w:spacing w:after="0" w:line="240" w:lineRule="auto"/>
              <w:ind w:firstLine="624"/>
              <w:jc w:val="both"/>
              <w:rPr>
                <w:rFonts w:ascii="Times New Roman" w:hAnsi="Times New Roman"/>
                <w:sz w:val="24"/>
                <w:szCs w:val="24"/>
              </w:rPr>
            </w:pPr>
            <w:r w:rsidRPr="00FD7A80">
              <w:rPr>
                <w:rFonts w:ascii="Times New Roman" w:hAnsi="Times New Roman"/>
                <w:sz w:val="24"/>
                <w:szCs w:val="24"/>
              </w:rPr>
              <w:t>Viešosios infrastruktūros energijos ir išteklių naudojimo efektyvumo finansavimas sieks Europos pavyzdinės iniciatyvos „Renovacija“ tikslų.</w:t>
            </w:r>
          </w:p>
          <w:p w:rsidR="00B30D13" w:rsidRPr="00FD7A80" w:rsidRDefault="00B30D13" w:rsidP="00B30D13">
            <w:pPr>
              <w:spacing w:after="0" w:line="240" w:lineRule="auto"/>
              <w:ind w:firstLine="624"/>
              <w:jc w:val="both"/>
              <w:rPr>
                <w:rFonts w:ascii="Times New Roman" w:hAnsi="Times New Roman"/>
                <w:sz w:val="24"/>
                <w:szCs w:val="24"/>
              </w:rPr>
            </w:pPr>
            <w:r w:rsidRPr="00FD7A80">
              <w:rPr>
                <w:rFonts w:ascii="Times New Roman" w:hAnsi="Times New Roman"/>
                <w:sz w:val="24"/>
                <w:szCs w:val="24"/>
              </w:rPr>
              <w:t xml:space="preserve">Didinant ekonomikos atsparumą klimato kaitai bus investuojama į atsinaujinančią energetiką, pastatų renovaciją ir jų energetinio efektyvumo didinimą, gatvių apšvietimo tinklų modernizavimą didinant energetinį efektyvumą, žaliosios energetikos ateities technologijas. Tai </w:t>
            </w:r>
            <w:r w:rsidRPr="00FD7A80">
              <w:rPr>
                <w:rFonts w:ascii="Times New Roman" w:hAnsi="Times New Roman"/>
                <w:sz w:val="24"/>
                <w:szCs w:val="24"/>
              </w:rPr>
              <w:lastRenderedPageBreak/>
              <w:t>yra galimybė Lietuvai pritraukti investicijas ir vystyti į ateities ekonomiką orientuotą atsinaujinančios energetikos įrenginių ir susijusių komponentų gamybos sektorių, kuriame planuojamas ženklus produktų paklausos augimas.</w:t>
            </w:r>
          </w:p>
          <w:p w:rsidR="00B30D13" w:rsidRPr="00FD7A80" w:rsidRDefault="00B30D13" w:rsidP="00B30D13">
            <w:pPr>
              <w:spacing w:after="0" w:line="240" w:lineRule="auto"/>
              <w:ind w:firstLine="624"/>
              <w:jc w:val="both"/>
              <w:rPr>
                <w:rFonts w:ascii="Times New Roman" w:hAnsi="Times New Roman"/>
                <w:sz w:val="24"/>
                <w:szCs w:val="24"/>
              </w:rPr>
            </w:pPr>
            <w:r w:rsidRPr="00FD7A80">
              <w:rPr>
                <w:rFonts w:ascii="Times New Roman" w:hAnsi="Times New Roman"/>
                <w:sz w:val="24"/>
                <w:szCs w:val="24"/>
              </w:rPr>
              <w:t>Šios investicijos paspartins šalies ūkio pokyčius siekiant klimatui draugiško vystymosi.</w:t>
            </w:r>
          </w:p>
        </w:tc>
      </w:tr>
    </w:tbl>
    <w:p w:rsidR="00B30D13" w:rsidRPr="00FD7A80" w:rsidRDefault="00B30D13" w:rsidP="00254EEE">
      <w:pPr>
        <w:widowControl w:val="0"/>
        <w:tabs>
          <w:tab w:val="left" w:pos="622"/>
        </w:tabs>
        <w:spacing w:after="0" w:line="240" w:lineRule="auto"/>
        <w:jc w:val="both"/>
        <w:rPr>
          <w:rFonts w:ascii="Times New Roman" w:eastAsia="AngsanaUPC" w:hAnsi="Times New Roman"/>
          <w:bCs/>
          <w:sz w:val="24"/>
          <w:szCs w:val="24"/>
          <w:lang w:eastAsia="lt-LT"/>
        </w:rPr>
      </w:pP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567"/>
        <w:gridCol w:w="1701"/>
        <w:gridCol w:w="1134"/>
        <w:gridCol w:w="1134"/>
        <w:gridCol w:w="851"/>
        <w:gridCol w:w="992"/>
        <w:gridCol w:w="851"/>
        <w:gridCol w:w="1275"/>
        <w:gridCol w:w="1241"/>
      </w:tblGrid>
      <w:tr w:rsidR="00B30D13" w:rsidRPr="00FD7A80" w:rsidTr="00B30D13">
        <w:trPr>
          <w:tblHeader/>
        </w:trPr>
        <w:tc>
          <w:tcPr>
            <w:tcW w:w="9746" w:type="dxa"/>
            <w:gridSpan w:val="9"/>
            <w:shd w:val="clear" w:color="auto" w:fill="EEECE1"/>
          </w:tcPr>
          <w:p w:rsidR="00B30D13" w:rsidRPr="00FD7A80" w:rsidRDefault="00B30D13" w:rsidP="00B30D13">
            <w:pPr>
              <w:widowControl w:val="0"/>
              <w:tabs>
                <w:tab w:val="left" w:pos="622"/>
              </w:tabs>
              <w:spacing w:after="0" w:line="240" w:lineRule="auto"/>
              <w:jc w:val="both"/>
              <w:rPr>
                <w:rFonts w:ascii="Times New Roman" w:eastAsia="AngsanaUPC" w:hAnsi="Times New Roman"/>
                <w:b/>
                <w:bCs/>
                <w:i/>
                <w:iCs/>
                <w:sz w:val="18"/>
                <w:szCs w:val="18"/>
                <w:lang w:eastAsia="lt-LT"/>
              </w:rPr>
            </w:pPr>
            <w:r w:rsidRPr="00FD7A80">
              <w:rPr>
                <w:rFonts w:ascii="Times New Roman" w:eastAsia="AngsanaUPC" w:hAnsi="Times New Roman"/>
                <w:b/>
                <w:bCs/>
                <w:i/>
                <w:iCs/>
                <w:sz w:val="18"/>
                <w:szCs w:val="18"/>
                <w:lang w:eastAsia="lt-LT"/>
              </w:rPr>
              <w:t>ERPF specialieji programos rezultato rodikliai</w:t>
            </w:r>
          </w:p>
        </w:tc>
      </w:tr>
      <w:tr w:rsidR="00B30D13" w:rsidRPr="00FD7A80" w:rsidTr="00827571">
        <w:tblPrEx>
          <w:shd w:val="clear" w:color="auto" w:fill="auto"/>
        </w:tblPrEx>
        <w:trPr>
          <w:trHeight w:val="868"/>
          <w:tblHeader/>
        </w:trPr>
        <w:tc>
          <w:tcPr>
            <w:tcW w:w="567" w:type="dxa"/>
            <w:shd w:val="clear" w:color="auto" w:fill="EEECE1"/>
            <w:vAlign w:val="center"/>
          </w:tcPr>
          <w:p w:rsidR="00B30D13" w:rsidRPr="00FD7A80" w:rsidRDefault="00B30D13" w:rsidP="00B30D13">
            <w:pPr>
              <w:widowControl w:val="0"/>
              <w:tabs>
                <w:tab w:val="left" w:pos="622"/>
              </w:tabs>
              <w:spacing w:after="0" w:line="240" w:lineRule="auto"/>
              <w:jc w:val="center"/>
              <w:rPr>
                <w:rFonts w:ascii="Times New Roman" w:eastAsia="AngsanaUPC" w:hAnsi="Times New Roman"/>
                <w:b/>
                <w:bCs/>
                <w:iCs/>
                <w:sz w:val="18"/>
                <w:szCs w:val="18"/>
                <w:lang w:eastAsia="lt-LT"/>
              </w:rPr>
            </w:pPr>
            <w:r w:rsidRPr="00FD7A80">
              <w:rPr>
                <w:rFonts w:ascii="Times New Roman" w:eastAsia="AngsanaUPC" w:hAnsi="Times New Roman"/>
                <w:b/>
                <w:bCs/>
                <w:iCs/>
                <w:sz w:val="18"/>
                <w:szCs w:val="18"/>
                <w:lang w:eastAsia="lt-LT"/>
              </w:rPr>
              <w:t>Nr.</w:t>
            </w:r>
          </w:p>
        </w:tc>
        <w:tc>
          <w:tcPr>
            <w:tcW w:w="1701" w:type="dxa"/>
            <w:shd w:val="clear" w:color="auto" w:fill="EEECE1"/>
            <w:vAlign w:val="center"/>
          </w:tcPr>
          <w:p w:rsidR="00B30D13" w:rsidRPr="00FD7A80" w:rsidRDefault="00B30D13" w:rsidP="00B30D13">
            <w:pPr>
              <w:widowControl w:val="0"/>
              <w:tabs>
                <w:tab w:val="left" w:pos="622"/>
              </w:tabs>
              <w:spacing w:after="0" w:line="240" w:lineRule="auto"/>
              <w:jc w:val="center"/>
              <w:rPr>
                <w:rFonts w:ascii="Times New Roman" w:eastAsia="AngsanaUPC" w:hAnsi="Times New Roman"/>
                <w:b/>
                <w:bCs/>
                <w:iCs/>
                <w:sz w:val="18"/>
                <w:szCs w:val="18"/>
                <w:lang w:eastAsia="lt-LT"/>
              </w:rPr>
            </w:pPr>
            <w:r w:rsidRPr="00FD7A80">
              <w:rPr>
                <w:rFonts w:ascii="Times New Roman" w:eastAsia="AngsanaUPC" w:hAnsi="Times New Roman"/>
                <w:b/>
                <w:bCs/>
                <w:iCs/>
                <w:sz w:val="18"/>
                <w:szCs w:val="18"/>
                <w:lang w:eastAsia="lt-LT"/>
              </w:rPr>
              <w:t>Rodiklio pavadinimas</w:t>
            </w:r>
          </w:p>
        </w:tc>
        <w:tc>
          <w:tcPr>
            <w:tcW w:w="1134" w:type="dxa"/>
            <w:shd w:val="clear" w:color="auto" w:fill="EEECE1"/>
            <w:vAlign w:val="center"/>
          </w:tcPr>
          <w:p w:rsidR="00B30D13" w:rsidRPr="00FD7A80" w:rsidRDefault="00B30D13" w:rsidP="00B30D13">
            <w:pPr>
              <w:widowControl w:val="0"/>
              <w:tabs>
                <w:tab w:val="left" w:pos="622"/>
              </w:tabs>
              <w:spacing w:after="0" w:line="240" w:lineRule="auto"/>
              <w:jc w:val="center"/>
              <w:rPr>
                <w:rFonts w:ascii="Times New Roman" w:eastAsia="AngsanaUPC" w:hAnsi="Times New Roman"/>
                <w:b/>
                <w:bCs/>
                <w:iCs/>
                <w:sz w:val="18"/>
                <w:szCs w:val="18"/>
                <w:lang w:eastAsia="lt-LT"/>
              </w:rPr>
            </w:pPr>
            <w:r w:rsidRPr="00FD7A80">
              <w:rPr>
                <w:rFonts w:ascii="Times New Roman" w:eastAsia="AngsanaUPC" w:hAnsi="Times New Roman"/>
                <w:b/>
                <w:bCs/>
                <w:iCs/>
                <w:sz w:val="18"/>
                <w:szCs w:val="18"/>
                <w:lang w:eastAsia="lt-LT"/>
              </w:rPr>
              <w:t>Matavimo vienetas</w:t>
            </w:r>
          </w:p>
        </w:tc>
        <w:tc>
          <w:tcPr>
            <w:tcW w:w="1134" w:type="dxa"/>
            <w:shd w:val="clear" w:color="auto" w:fill="EEECE1"/>
            <w:vAlign w:val="center"/>
          </w:tcPr>
          <w:p w:rsidR="00B30D13" w:rsidRPr="00FD7A80" w:rsidRDefault="00B30D13" w:rsidP="00B30D13">
            <w:pPr>
              <w:widowControl w:val="0"/>
              <w:tabs>
                <w:tab w:val="left" w:pos="622"/>
              </w:tabs>
              <w:spacing w:after="0" w:line="240" w:lineRule="auto"/>
              <w:jc w:val="center"/>
              <w:rPr>
                <w:rFonts w:ascii="Times New Roman" w:eastAsia="AngsanaUPC" w:hAnsi="Times New Roman"/>
                <w:b/>
                <w:bCs/>
                <w:iCs/>
                <w:sz w:val="18"/>
                <w:szCs w:val="18"/>
                <w:lang w:eastAsia="lt-LT"/>
              </w:rPr>
            </w:pPr>
            <w:r w:rsidRPr="00FD7A80">
              <w:rPr>
                <w:rFonts w:ascii="Times New Roman" w:eastAsia="AngsanaUPC" w:hAnsi="Times New Roman"/>
                <w:b/>
                <w:bCs/>
                <w:iCs/>
                <w:sz w:val="18"/>
                <w:szCs w:val="18"/>
                <w:lang w:eastAsia="lt-LT"/>
              </w:rPr>
              <w:t>Regiono kategorija</w:t>
            </w:r>
          </w:p>
        </w:tc>
        <w:tc>
          <w:tcPr>
            <w:tcW w:w="851" w:type="dxa"/>
            <w:shd w:val="clear" w:color="auto" w:fill="EEECE1"/>
            <w:vAlign w:val="center"/>
          </w:tcPr>
          <w:p w:rsidR="00B30D13" w:rsidRPr="00FD7A80" w:rsidRDefault="00B30D13" w:rsidP="00B30D13">
            <w:pPr>
              <w:widowControl w:val="0"/>
              <w:tabs>
                <w:tab w:val="left" w:pos="622"/>
              </w:tabs>
              <w:spacing w:after="0" w:line="240" w:lineRule="auto"/>
              <w:jc w:val="center"/>
              <w:rPr>
                <w:rFonts w:ascii="Times New Roman" w:eastAsia="AngsanaUPC" w:hAnsi="Times New Roman"/>
                <w:b/>
                <w:bCs/>
                <w:iCs/>
                <w:sz w:val="18"/>
                <w:szCs w:val="18"/>
                <w:lang w:eastAsia="lt-LT"/>
              </w:rPr>
            </w:pPr>
            <w:r w:rsidRPr="00FD7A80">
              <w:rPr>
                <w:rFonts w:ascii="Times New Roman" w:eastAsia="AngsanaUPC" w:hAnsi="Times New Roman"/>
                <w:b/>
                <w:bCs/>
                <w:iCs/>
                <w:sz w:val="18"/>
                <w:szCs w:val="18"/>
                <w:lang w:eastAsia="lt-LT"/>
              </w:rPr>
              <w:t>Pradinė reikšmė</w:t>
            </w:r>
          </w:p>
        </w:tc>
        <w:tc>
          <w:tcPr>
            <w:tcW w:w="992" w:type="dxa"/>
            <w:shd w:val="clear" w:color="auto" w:fill="EEECE1"/>
            <w:vAlign w:val="center"/>
          </w:tcPr>
          <w:p w:rsidR="00B30D13" w:rsidRPr="00FD7A80" w:rsidRDefault="00B30D13" w:rsidP="00B30D13">
            <w:pPr>
              <w:widowControl w:val="0"/>
              <w:tabs>
                <w:tab w:val="left" w:pos="622"/>
              </w:tabs>
              <w:spacing w:after="0" w:line="240" w:lineRule="auto"/>
              <w:jc w:val="center"/>
              <w:rPr>
                <w:rFonts w:ascii="Times New Roman" w:eastAsia="AngsanaUPC" w:hAnsi="Times New Roman"/>
                <w:b/>
                <w:bCs/>
                <w:iCs/>
                <w:sz w:val="18"/>
                <w:szCs w:val="18"/>
                <w:lang w:eastAsia="lt-LT"/>
              </w:rPr>
            </w:pPr>
            <w:r w:rsidRPr="00FD7A80">
              <w:rPr>
                <w:rFonts w:ascii="Times New Roman" w:eastAsia="AngsanaUPC" w:hAnsi="Times New Roman"/>
                <w:b/>
                <w:bCs/>
                <w:iCs/>
                <w:sz w:val="18"/>
                <w:szCs w:val="18"/>
                <w:lang w:eastAsia="lt-LT"/>
              </w:rPr>
              <w:t>Pradinės reikšmės metai</w:t>
            </w:r>
          </w:p>
        </w:tc>
        <w:tc>
          <w:tcPr>
            <w:tcW w:w="851" w:type="dxa"/>
            <w:shd w:val="clear" w:color="auto" w:fill="EEECE1"/>
            <w:vAlign w:val="center"/>
          </w:tcPr>
          <w:p w:rsidR="00B30D13" w:rsidRPr="00FD7A80" w:rsidRDefault="00B30D13" w:rsidP="00B30D13">
            <w:pPr>
              <w:widowControl w:val="0"/>
              <w:tabs>
                <w:tab w:val="left" w:pos="622"/>
              </w:tabs>
              <w:spacing w:after="0" w:line="240" w:lineRule="auto"/>
              <w:jc w:val="center"/>
              <w:rPr>
                <w:rFonts w:ascii="Times New Roman" w:eastAsia="AngsanaUPC" w:hAnsi="Times New Roman"/>
                <w:b/>
                <w:bCs/>
                <w:iCs/>
                <w:sz w:val="18"/>
                <w:szCs w:val="18"/>
                <w:lang w:eastAsia="lt-LT"/>
              </w:rPr>
            </w:pPr>
            <w:r w:rsidRPr="00FD7A80">
              <w:rPr>
                <w:rFonts w:ascii="Times New Roman" w:eastAsia="AngsanaUPC" w:hAnsi="Times New Roman"/>
                <w:b/>
                <w:bCs/>
                <w:iCs/>
                <w:sz w:val="18"/>
                <w:szCs w:val="18"/>
                <w:lang w:eastAsia="lt-LT"/>
              </w:rPr>
              <w:t>Siektina reikšmė (2023)</w:t>
            </w:r>
          </w:p>
        </w:tc>
        <w:tc>
          <w:tcPr>
            <w:tcW w:w="1275" w:type="dxa"/>
            <w:shd w:val="clear" w:color="auto" w:fill="EEECE1"/>
            <w:vAlign w:val="center"/>
          </w:tcPr>
          <w:p w:rsidR="00B30D13" w:rsidRPr="00FD7A80" w:rsidRDefault="00B30D13" w:rsidP="00B30D13">
            <w:pPr>
              <w:widowControl w:val="0"/>
              <w:tabs>
                <w:tab w:val="left" w:pos="622"/>
              </w:tabs>
              <w:spacing w:after="0" w:line="240" w:lineRule="auto"/>
              <w:jc w:val="center"/>
              <w:rPr>
                <w:rFonts w:ascii="Times New Roman" w:eastAsia="AngsanaUPC" w:hAnsi="Times New Roman"/>
                <w:b/>
                <w:bCs/>
                <w:iCs/>
                <w:sz w:val="18"/>
                <w:szCs w:val="18"/>
                <w:lang w:eastAsia="lt-LT"/>
              </w:rPr>
            </w:pPr>
            <w:r w:rsidRPr="00FD7A80">
              <w:rPr>
                <w:rFonts w:ascii="Times New Roman" w:eastAsia="AngsanaUPC" w:hAnsi="Times New Roman"/>
                <w:b/>
                <w:bCs/>
                <w:iCs/>
                <w:sz w:val="18"/>
                <w:szCs w:val="18"/>
                <w:lang w:eastAsia="lt-LT"/>
              </w:rPr>
              <w:t>Duomenų šaltinis</w:t>
            </w:r>
          </w:p>
        </w:tc>
        <w:tc>
          <w:tcPr>
            <w:tcW w:w="1241" w:type="dxa"/>
            <w:shd w:val="clear" w:color="auto" w:fill="EEECE1"/>
            <w:vAlign w:val="center"/>
          </w:tcPr>
          <w:p w:rsidR="00B30D13" w:rsidRPr="00FD7A80" w:rsidRDefault="00B30D13" w:rsidP="00B30D13">
            <w:pPr>
              <w:widowControl w:val="0"/>
              <w:tabs>
                <w:tab w:val="left" w:pos="622"/>
              </w:tabs>
              <w:spacing w:after="0" w:line="240" w:lineRule="auto"/>
              <w:jc w:val="center"/>
              <w:rPr>
                <w:rFonts w:ascii="Times New Roman" w:eastAsia="AngsanaUPC" w:hAnsi="Times New Roman"/>
                <w:b/>
                <w:bCs/>
                <w:iCs/>
                <w:sz w:val="18"/>
                <w:szCs w:val="18"/>
                <w:lang w:eastAsia="lt-LT"/>
              </w:rPr>
            </w:pPr>
            <w:r w:rsidRPr="00FD7A80">
              <w:rPr>
                <w:rFonts w:ascii="Times New Roman" w:eastAsia="AngsanaUPC" w:hAnsi="Times New Roman"/>
                <w:b/>
                <w:bCs/>
                <w:iCs/>
                <w:sz w:val="18"/>
                <w:szCs w:val="18"/>
                <w:lang w:eastAsia="lt-LT"/>
              </w:rPr>
              <w:t>Atsiskaitymo dažnumas</w:t>
            </w:r>
          </w:p>
        </w:tc>
      </w:tr>
      <w:tr w:rsidR="00B30D13" w:rsidRPr="00FD7A80" w:rsidTr="00827571">
        <w:tblPrEx>
          <w:shd w:val="clear" w:color="auto" w:fill="auto"/>
        </w:tblPrEx>
        <w:trPr>
          <w:trHeight w:val="184"/>
        </w:trPr>
        <w:tc>
          <w:tcPr>
            <w:tcW w:w="567" w:type="dxa"/>
            <w:shd w:val="clear" w:color="auto" w:fill="auto"/>
            <w:vAlign w:val="center"/>
          </w:tcPr>
          <w:p w:rsidR="00B30D13" w:rsidRPr="00FD7A80" w:rsidRDefault="00B30D13" w:rsidP="00B30D13">
            <w:pPr>
              <w:widowControl w:val="0"/>
              <w:tabs>
                <w:tab w:val="left" w:pos="622"/>
              </w:tabs>
              <w:spacing w:after="0" w:line="240" w:lineRule="auto"/>
              <w:jc w:val="center"/>
              <w:rPr>
                <w:rFonts w:ascii="Times New Roman" w:eastAsia="AngsanaUPC" w:hAnsi="Times New Roman"/>
                <w:bCs/>
                <w:iCs/>
                <w:sz w:val="18"/>
                <w:szCs w:val="18"/>
                <w:lang w:val="en-US" w:eastAsia="lt-LT"/>
              </w:rPr>
            </w:pPr>
            <w:r w:rsidRPr="00FD7A80">
              <w:rPr>
                <w:rFonts w:ascii="Times New Roman" w:eastAsia="AngsanaUPC" w:hAnsi="Times New Roman"/>
                <w:bCs/>
                <w:iCs/>
                <w:sz w:val="18"/>
                <w:szCs w:val="18"/>
                <w:lang w:val="en-US" w:eastAsia="lt-LT"/>
              </w:rPr>
              <w:t>1.</w:t>
            </w:r>
          </w:p>
        </w:tc>
        <w:tc>
          <w:tcPr>
            <w:tcW w:w="1701" w:type="dxa"/>
            <w:shd w:val="clear" w:color="auto" w:fill="auto"/>
            <w:vAlign w:val="center"/>
          </w:tcPr>
          <w:p w:rsidR="00B30D13" w:rsidRPr="00FD7A80" w:rsidRDefault="00B30D13" w:rsidP="0005029A">
            <w:pPr>
              <w:autoSpaceDE w:val="0"/>
              <w:autoSpaceDN w:val="0"/>
              <w:adjustRightInd w:val="0"/>
              <w:spacing w:after="0" w:line="240" w:lineRule="auto"/>
              <w:rPr>
                <w:rFonts w:ascii="Times New Roman" w:eastAsia="Times New Roman" w:hAnsi="Times New Roman"/>
                <w:sz w:val="18"/>
                <w:szCs w:val="18"/>
                <w:lang w:eastAsia="lt-LT"/>
              </w:rPr>
            </w:pPr>
            <w:r w:rsidRPr="00FD7A80">
              <w:rPr>
                <w:rFonts w:ascii="Times New Roman" w:eastAsia="Times New Roman" w:hAnsi="Times New Roman"/>
                <w:sz w:val="18"/>
                <w:szCs w:val="18"/>
                <w:lang w:eastAsia="lt-LT"/>
              </w:rPr>
              <w:t>Atsinaujinančių išteklių</w:t>
            </w:r>
            <w:r w:rsidR="0005029A">
              <w:rPr>
                <w:rFonts w:ascii="Times New Roman" w:eastAsia="Times New Roman" w:hAnsi="Times New Roman"/>
                <w:sz w:val="18"/>
                <w:szCs w:val="18"/>
                <w:lang w:eastAsia="lt-LT"/>
              </w:rPr>
              <w:t xml:space="preserve"> </w:t>
            </w:r>
            <w:r w:rsidRPr="00FD7A80">
              <w:rPr>
                <w:rFonts w:ascii="Times New Roman" w:eastAsia="Times New Roman" w:hAnsi="Times New Roman"/>
                <w:sz w:val="18"/>
                <w:szCs w:val="18"/>
                <w:lang w:eastAsia="lt-LT"/>
              </w:rPr>
              <w:t>energijos dalis</w:t>
            </w:r>
            <w:r w:rsidR="0005029A">
              <w:rPr>
                <w:rFonts w:ascii="Times New Roman" w:eastAsia="Times New Roman" w:hAnsi="Times New Roman"/>
                <w:sz w:val="18"/>
                <w:szCs w:val="18"/>
                <w:lang w:eastAsia="lt-LT"/>
              </w:rPr>
              <w:t xml:space="preserve"> </w:t>
            </w:r>
            <w:r w:rsidRPr="00FD7A80">
              <w:rPr>
                <w:rFonts w:ascii="Times New Roman" w:eastAsia="Times New Roman" w:hAnsi="Times New Roman"/>
                <w:sz w:val="18"/>
                <w:szCs w:val="18"/>
                <w:lang w:eastAsia="lt-LT"/>
              </w:rPr>
              <w:t>galutiniame energijos</w:t>
            </w:r>
            <w:r w:rsidR="0005029A">
              <w:rPr>
                <w:rFonts w:ascii="Times New Roman" w:eastAsia="Times New Roman" w:hAnsi="Times New Roman"/>
                <w:sz w:val="18"/>
                <w:szCs w:val="18"/>
                <w:lang w:eastAsia="lt-LT"/>
              </w:rPr>
              <w:t xml:space="preserve"> </w:t>
            </w:r>
            <w:r w:rsidRPr="00FD7A80">
              <w:rPr>
                <w:rFonts w:ascii="Times New Roman" w:eastAsia="Times New Roman" w:hAnsi="Times New Roman"/>
                <w:sz w:val="18"/>
                <w:szCs w:val="18"/>
                <w:lang w:eastAsia="lt-LT"/>
              </w:rPr>
              <w:t>balanse</w:t>
            </w:r>
          </w:p>
        </w:tc>
        <w:tc>
          <w:tcPr>
            <w:tcW w:w="1134" w:type="dxa"/>
            <w:shd w:val="clear" w:color="auto" w:fill="auto"/>
            <w:vAlign w:val="center"/>
          </w:tcPr>
          <w:p w:rsidR="00B30D13" w:rsidRPr="00FD7A80" w:rsidRDefault="00B30D13" w:rsidP="00B30D13">
            <w:pPr>
              <w:widowControl w:val="0"/>
              <w:tabs>
                <w:tab w:val="left" w:pos="622"/>
              </w:tabs>
              <w:spacing w:after="0" w:line="240" w:lineRule="auto"/>
              <w:jc w:val="center"/>
              <w:rPr>
                <w:rFonts w:ascii="Times New Roman" w:eastAsia="AngsanaUPC" w:hAnsi="Times New Roman"/>
                <w:bCs/>
                <w:iCs/>
                <w:sz w:val="18"/>
                <w:szCs w:val="18"/>
                <w:lang w:eastAsia="lt-LT"/>
              </w:rPr>
            </w:pPr>
            <w:r w:rsidRPr="00FD7A80">
              <w:rPr>
                <w:rFonts w:ascii="Times New Roman" w:eastAsia="AngsanaUPC" w:hAnsi="Times New Roman"/>
                <w:bCs/>
                <w:iCs/>
                <w:sz w:val="18"/>
                <w:szCs w:val="18"/>
                <w:lang w:eastAsia="lt-LT"/>
              </w:rPr>
              <w:t>Proc.</w:t>
            </w:r>
          </w:p>
        </w:tc>
        <w:tc>
          <w:tcPr>
            <w:tcW w:w="1134" w:type="dxa"/>
            <w:shd w:val="clear" w:color="auto" w:fill="auto"/>
            <w:vAlign w:val="center"/>
          </w:tcPr>
          <w:p w:rsidR="00B30D13" w:rsidRPr="00FD7A80" w:rsidRDefault="00B30D13" w:rsidP="00B30D13">
            <w:pPr>
              <w:widowControl w:val="0"/>
              <w:tabs>
                <w:tab w:val="left" w:pos="622"/>
              </w:tabs>
              <w:spacing w:after="0" w:line="240" w:lineRule="auto"/>
              <w:jc w:val="center"/>
              <w:rPr>
                <w:rFonts w:ascii="Times New Roman" w:eastAsia="AngsanaUPC" w:hAnsi="Times New Roman"/>
                <w:bCs/>
                <w:iCs/>
                <w:sz w:val="18"/>
                <w:szCs w:val="18"/>
                <w:lang w:eastAsia="lt-LT"/>
              </w:rPr>
            </w:pPr>
            <w:r w:rsidRPr="00FD7A80">
              <w:rPr>
                <w:rFonts w:ascii="Times New Roman" w:eastAsia="AngsanaUPC" w:hAnsi="Times New Roman"/>
                <w:bCs/>
                <w:iCs/>
                <w:sz w:val="18"/>
                <w:szCs w:val="18"/>
                <w:lang w:eastAsia="lt-LT"/>
              </w:rPr>
              <w:t>Mažiau išsivystęs</w:t>
            </w:r>
          </w:p>
        </w:tc>
        <w:tc>
          <w:tcPr>
            <w:tcW w:w="851" w:type="dxa"/>
            <w:shd w:val="clear" w:color="auto" w:fill="auto"/>
            <w:vAlign w:val="center"/>
          </w:tcPr>
          <w:p w:rsidR="00B30D13" w:rsidRPr="00FD7A80" w:rsidRDefault="00B30D13" w:rsidP="00B30D13">
            <w:pPr>
              <w:widowControl w:val="0"/>
              <w:tabs>
                <w:tab w:val="left" w:pos="622"/>
              </w:tabs>
              <w:spacing w:after="0" w:line="240" w:lineRule="auto"/>
              <w:jc w:val="center"/>
              <w:rPr>
                <w:rFonts w:ascii="Times New Roman" w:eastAsia="AngsanaUPC" w:hAnsi="Times New Roman"/>
                <w:bCs/>
                <w:iCs/>
                <w:sz w:val="18"/>
                <w:szCs w:val="18"/>
                <w:lang w:eastAsia="lt-LT"/>
              </w:rPr>
            </w:pPr>
            <w:r w:rsidRPr="00FD7A80">
              <w:rPr>
                <w:rFonts w:ascii="Times New Roman" w:eastAsia="AngsanaUPC" w:hAnsi="Times New Roman"/>
                <w:bCs/>
                <w:iCs/>
                <w:sz w:val="18"/>
                <w:szCs w:val="18"/>
                <w:lang w:eastAsia="lt-LT"/>
              </w:rPr>
              <w:t>25,47</w:t>
            </w:r>
          </w:p>
        </w:tc>
        <w:tc>
          <w:tcPr>
            <w:tcW w:w="992" w:type="dxa"/>
            <w:shd w:val="clear" w:color="auto" w:fill="auto"/>
            <w:vAlign w:val="center"/>
          </w:tcPr>
          <w:p w:rsidR="00B30D13" w:rsidRPr="00FD7A80" w:rsidRDefault="00B30D13" w:rsidP="00B30D13">
            <w:pPr>
              <w:widowControl w:val="0"/>
              <w:tabs>
                <w:tab w:val="left" w:pos="622"/>
              </w:tabs>
              <w:spacing w:after="0" w:line="240" w:lineRule="auto"/>
              <w:jc w:val="center"/>
              <w:rPr>
                <w:rFonts w:ascii="Times New Roman" w:eastAsia="AngsanaUPC" w:hAnsi="Times New Roman"/>
                <w:bCs/>
                <w:iCs/>
                <w:sz w:val="18"/>
                <w:szCs w:val="18"/>
                <w:lang w:eastAsia="lt-LT"/>
              </w:rPr>
            </w:pPr>
            <w:r w:rsidRPr="00FD7A80">
              <w:rPr>
                <w:rFonts w:ascii="Times New Roman" w:eastAsia="AngsanaUPC" w:hAnsi="Times New Roman"/>
                <w:bCs/>
                <w:iCs/>
                <w:sz w:val="18"/>
                <w:szCs w:val="18"/>
                <w:lang w:eastAsia="lt-LT"/>
              </w:rPr>
              <w:t>2019</w:t>
            </w:r>
          </w:p>
        </w:tc>
        <w:tc>
          <w:tcPr>
            <w:tcW w:w="851" w:type="dxa"/>
            <w:shd w:val="clear" w:color="auto" w:fill="auto"/>
            <w:vAlign w:val="center"/>
          </w:tcPr>
          <w:p w:rsidR="00B30D13" w:rsidRPr="00FD7A80" w:rsidRDefault="00827571" w:rsidP="00B30D13">
            <w:pPr>
              <w:widowControl w:val="0"/>
              <w:tabs>
                <w:tab w:val="left" w:pos="622"/>
              </w:tabs>
              <w:spacing w:after="0" w:line="240" w:lineRule="auto"/>
              <w:jc w:val="center"/>
              <w:rPr>
                <w:rFonts w:ascii="Times New Roman" w:eastAsia="AngsanaUPC" w:hAnsi="Times New Roman"/>
                <w:bCs/>
                <w:iCs/>
                <w:sz w:val="18"/>
                <w:szCs w:val="18"/>
                <w:lang w:eastAsia="lt-LT"/>
              </w:rPr>
            </w:pPr>
            <w:r>
              <w:rPr>
                <w:rFonts w:ascii="Times New Roman" w:eastAsia="AngsanaUPC" w:hAnsi="Times New Roman"/>
                <w:bCs/>
                <w:iCs/>
                <w:sz w:val="18"/>
                <w:szCs w:val="18"/>
                <w:lang w:eastAsia="lt-LT"/>
              </w:rPr>
              <w:t>28</w:t>
            </w:r>
          </w:p>
        </w:tc>
        <w:tc>
          <w:tcPr>
            <w:tcW w:w="1275" w:type="dxa"/>
            <w:shd w:val="clear" w:color="auto" w:fill="auto"/>
            <w:vAlign w:val="center"/>
          </w:tcPr>
          <w:p w:rsidR="00B30D13" w:rsidRPr="00FD7A80" w:rsidRDefault="00B30D13" w:rsidP="00B30D13">
            <w:pPr>
              <w:widowControl w:val="0"/>
              <w:tabs>
                <w:tab w:val="left" w:pos="622"/>
              </w:tabs>
              <w:spacing w:after="0" w:line="240" w:lineRule="auto"/>
              <w:jc w:val="center"/>
              <w:rPr>
                <w:rFonts w:ascii="Times New Roman" w:eastAsia="AngsanaUPC" w:hAnsi="Times New Roman"/>
                <w:bCs/>
                <w:iCs/>
                <w:sz w:val="18"/>
                <w:szCs w:val="18"/>
                <w:lang w:eastAsia="lt-LT"/>
              </w:rPr>
            </w:pPr>
            <w:proofErr w:type="gramStart"/>
            <w:r w:rsidRPr="00FD7A80">
              <w:rPr>
                <w:rFonts w:ascii="Times New Roman" w:eastAsia="AngsanaUPC" w:hAnsi="Times New Roman"/>
                <w:bCs/>
                <w:iCs/>
                <w:sz w:val="18"/>
                <w:szCs w:val="18"/>
                <w:lang w:eastAsia="lt-LT"/>
              </w:rPr>
              <w:t>Lietuvos Statistikos departamentas</w:t>
            </w:r>
            <w:proofErr w:type="gramEnd"/>
          </w:p>
        </w:tc>
        <w:tc>
          <w:tcPr>
            <w:tcW w:w="1241" w:type="dxa"/>
            <w:shd w:val="clear" w:color="auto" w:fill="auto"/>
            <w:vAlign w:val="center"/>
          </w:tcPr>
          <w:p w:rsidR="00B30D13" w:rsidRPr="00FD7A80" w:rsidRDefault="00B30D13" w:rsidP="00B30D13">
            <w:pPr>
              <w:widowControl w:val="0"/>
              <w:tabs>
                <w:tab w:val="left" w:pos="622"/>
              </w:tabs>
              <w:spacing w:after="0" w:line="240" w:lineRule="auto"/>
              <w:jc w:val="center"/>
              <w:rPr>
                <w:rFonts w:ascii="Times New Roman" w:eastAsia="AngsanaUPC" w:hAnsi="Times New Roman"/>
                <w:bCs/>
                <w:iCs/>
                <w:sz w:val="18"/>
                <w:szCs w:val="18"/>
                <w:lang w:eastAsia="lt-LT"/>
              </w:rPr>
            </w:pPr>
            <w:r w:rsidRPr="00FD7A80">
              <w:rPr>
                <w:rFonts w:ascii="Times New Roman" w:eastAsia="AngsanaUPC" w:hAnsi="Times New Roman"/>
                <w:bCs/>
                <w:iCs/>
                <w:sz w:val="18"/>
                <w:szCs w:val="18"/>
                <w:lang w:eastAsia="lt-LT"/>
              </w:rPr>
              <w:t>Kartą per metus</w:t>
            </w:r>
          </w:p>
        </w:tc>
      </w:tr>
      <w:tr w:rsidR="00B30D13" w:rsidRPr="00FD7A80" w:rsidTr="00827571">
        <w:tblPrEx>
          <w:shd w:val="clear" w:color="auto" w:fill="auto"/>
        </w:tblPrEx>
        <w:trPr>
          <w:trHeight w:val="184"/>
        </w:trPr>
        <w:tc>
          <w:tcPr>
            <w:tcW w:w="567" w:type="dxa"/>
            <w:shd w:val="clear" w:color="auto" w:fill="auto"/>
            <w:vAlign w:val="center"/>
          </w:tcPr>
          <w:p w:rsidR="00B30D13" w:rsidRPr="00FD7A80" w:rsidRDefault="00B30D13" w:rsidP="00B30D13">
            <w:pPr>
              <w:widowControl w:val="0"/>
              <w:tabs>
                <w:tab w:val="left" w:pos="622"/>
              </w:tabs>
              <w:spacing w:after="0" w:line="240" w:lineRule="auto"/>
              <w:jc w:val="center"/>
              <w:rPr>
                <w:rFonts w:ascii="Times New Roman" w:eastAsia="AngsanaUPC" w:hAnsi="Times New Roman"/>
                <w:bCs/>
                <w:iCs/>
                <w:sz w:val="18"/>
                <w:szCs w:val="18"/>
                <w:lang w:val="en-US" w:eastAsia="lt-LT"/>
              </w:rPr>
            </w:pPr>
            <w:r w:rsidRPr="00FD7A80">
              <w:rPr>
                <w:rFonts w:ascii="Times New Roman" w:eastAsia="AngsanaUPC" w:hAnsi="Times New Roman"/>
                <w:bCs/>
                <w:iCs/>
                <w:sz w:val="18"/>
                <w:szCs w:val="18"/>
                <w:lang w:val="en-US" w:eastAsia="lt-LT"/>
              </w:rPr>
              <w:t>2.</w:t>
            </w:r>
          </w:p>
        </w:tc>
        <w:tc>
          <w:tcPr>
            <w:tcW w:w="1701" w:type="dxa"/>
            <w:shd w:val="clear" w:color="auto" w:fill="auto"/>
            <w:vAlign w:val="center"/>
          </w:tcPr>
          <w:p w:rsidR="00B30D13" w:rsidRPr="00FD7A80" w:rsidRDefault="00B30D13" w:rsidP="00B30D13">
            <w:pPr>
              <w:autoSpaceDE w:val="0"/>
              <w:autoSpaceDN w:val="0"/>
              <w:adjustRightInd w:val="0"/>
              <w:spacing w:after="0" w:line="240" w:lineRule="auto"/>
              <w:rPr>
                <w:rFonts w:ascii="Times New Roman" w:eastAsia="Times New Roman" w:hAnsi="Times New Roman"/>
                <w:sz w:val="18"/>
                <w:szCs w:val="18"/>
                <w:lang w:eastAsia="lt-LT"/>
              </w:rPr>
            </w:pPr>
            <w:r w:rsidRPr="00FD7A80">
              <w:rPr>
                <w:rFonts w:ascii="Times New Roman" w:eastAsia="Times New Roman" w:hAnsi="Times New Roman"/>
                <w:sz w:val="18"/>
                <w:szCs w:val="18"/>
                <w:lang w:eastAsia="lt-LT"/>
              </w:rPr>
              <w:t>Sunaudotas galutinės energijos kiekis paslaugų ir namų ūkių sektoriuose</w:t>
            </w:r>
          </w:p>
        </w:tc>
        <w:tc>
          <w:tcPr>
            <w:tcW w:w="1134" w:type="dxa"/>
            <w:shd w:val="clear" w:color="auto" w:fill="auto"/>
            <w:vAlign w:val="center"/>
          </w:tcPr>
          <w:p w:rsidR="00B30D13" w:rsidRPr="00FD7A80" w:rsidRDefault="00B30D13" w:rsidP="00B30D13">
            <w:pPr>
              <w:widowControl w:val="0"/>
              <w:tabs>
                <w:tab w:val="left" w:pos="622"/>
              </w:tabs>
              <w:spacing w:after="0" w:line="240" w:lineRule="auto"/>
              <w:jc w:val="center"/>
              <w:rPr>
                <w:rFonts w:ascii="Times New Roman" w:eastAsia="AngsanaUPC" w:hAnsi="Times New Roman"/>
                <w:bCs/>
                <w:iCs/>
                <w:sz w:val="18"/>
                <w:szCs w:val="18"/>
                <w:lang w:eastAsia="lt-LT"/>
              </w:rPr>
            </w:pPr>
            <w:r w:rsidRPr="00FD7A80">
              <w:rPr>
                <w:rFonts w:ascii="Times New Roman" w:eastAsia="Times New Roman" w:hAnsi="Times New Roman"/>
                <w:sz w:val="18"/>
                <w:szCs w:val="18"/>
                <w:lang w:eastAsia="lt-LT"/>
              </w:rPr>
              <w:t>tūkst. Tne</w:t>
            </w:r>
          </w:p>
        </w:tc>
        <w:tc>
          <w:tcPr>
            <w:tcW w:w="1134" w:type="dxa"/>
            <w:shd w:val="clear" w:color="auto" w:fill="auto"/>
            <w:vAlign w:val="center"/>
          </w:tcPr>
          <w:p w:rsidR="00B30D13" w:rsidRPr="00FD7A80" w:rsidRDefault="00B30D13" w:rsidP="00B30D13">
            <w:pPr>
              <w:widowControl w:val="0"/>
              <w:tabs>
                <w:tab w:val="left" w:pos="622"/>
              </w:tabs>
              <w:spacing w:after="0" w:line="240" w:lineRule="auto"/>
              <w:jc w:val="center"/>
              <w:rPr>
                <w:rFonts w:ascii="Times New Roman" w:eastAsia="AngsanaUPC" w:hAnsi="Times New Roman"/>
                <w:bCs/>
                <w:iCs/>
                <w:sz w:val="18"/>
                <w:szCs w:val="18"/>
                <w:lang w:eastAsia="lt-LT"/>
              </w:rPr>
            </w:pPr>
            <w:r w:rsidRPr="00FD7A80">
              <w:rPr>
                <w:rFonts w:ascii="Times New Roman" w:eastAsia="AngsanaUPC" w:hAnsi="Times New Roman"/>
                <w:bCs/>
                <w:iCs/>
                <w:sz w:val="18"/>
                <w:szCs w:val="18"/>
                <w:lang w:eastAsia="lt-LT"/>
              </w:rPr>
              <w:t>Mažiau išsivystęs</w:t>
            </w:r>
          </w:p>
        </w:tc>
        <w:tc>
          <w:tcPr>
            <w:tcW w:w="851" w:type="dxa"/>
            <w:shd w:val="clear" w:color="auto" w:fill="auto"/>
            <w:vAlign w:val="center"/>
          </w:tcPr>
          <w:p w:rsidR="00B30D13" w:rsidRPr="00FD7A80" w:rsidRDefault="00B30D13" w:rsidP="00B30D13">
            <w:pPr>
              <w:widowControl w:val="0"/>
              <w:tabs>
                <w:tab w:val="left" w:pos="622"/>
              </w:tabs>
              <w:spacing w:after="0" w:line="240" w:lineRule="auto"/>
              <w:jc w:val="center"/>
              <w:rPr>
                <w:rFonts w:ascii="Times New Roman" w:eastAsia="AngsanaUPC" w:hAnsi="Times New Roman"/>
                <w:bCs/>
                <w:iCs/>
                <w:sz w:val="18"/>
                <w:szCs w:val="18"/>
                <w:lang w:eastAsia="lt-LT"/>
              </w:rPr>
            </w:pPr>
            <w:r w:rsidRPr="00FD7A80">
              <w:rPr>
                <w:rFonts w:ascii="Times New Roman" w:eastAsia="Times New Roman" w:hAnsi="Times New Roman"/>
                <w:sz w:val="18"/>
                <w:szCs w:val="18"/>
                <w:lang w:eastAsia="lt-LT"/>
              </w:rPr>
              <w:t>2.074,7</w:t>
            </w:r>
          </w:p>
        </w:tc>
        <w:tc>
          <w:tcPr>
            <w:tcW w:w="992" w:type="dxa"/>
            <w:shd w:val="clear" w:color="auto" w:fill="auto"/>
            <w:vAlign w:val="center"/>
          </w:tcPr>
          <w:p w:rsidR="00B30D13" w:rsidRPr="00FD7A80" w:rsidRDefault="00B30D13" w:rsidP="00B30D13">
            <w:pPr>
              <w:widowControl w:val="0"/>
              <w:tabs>
                <w:tab w:val="left" w:pos="622"/>
              </w:tabs>
              <w:spacing w:after="0" w:line="240" w:lineRule="auto"/>
              <w:jc w:val="center"/>
              <w:rPr>
                <w:rFonts w:ascii="Times New Roman" w:eastAsia="AngsanaUPC" w:hAnsi="Times New Roman"/>
                <w:bCs/>
                <w:iCs/>
                <w:sz w:val="18"/>
                <w:szCs w:val="18"/>
                <w:lang w:eastAsia="lt-LT"/>
              </w:rPr>
            </w:pPr>
            <w:r w:rsidRPr="00FD7A80">
              <w:rPr>
                <w:rFonts w:ascii="Times New Roman" w:eastAsia="AngsanaUPC" w:hAnsi="Times New Roman"/>
                <w:bCs/>
                <w:iCs/>
                <w:sz w:val="18"/>
                <w:szCs w:val="18"/>
                <w:lang w:eastAsia="lt-LT"/>
              </w:rPr>
              <w:t>2019</w:t>
            </w:r>
          </w:p>
        </w:tc>
        <w:tc>
          <w:tcPr>
            <w:tcW w:w="851" w:type="dxa"/>
            <w:shd w:val="clear" w:color="auto" w:fill="auto"/>
            <w:vAlign w:val="center"/>
          </w:tcPr>
          <w:p w:rsidR="00B30D13" w:rsidRPr="00827571" w:rsidRDefault="00827571" w:rsidP="00B30D13">
            <w:pPr>
              <w:widowControl w:val="0"/>
              <w:tabs>
                <w:tab w:val="left" w:pos="622"/>
              </w:tabs>
              <w:spacing w:after="0" w:line="240" w:lineRule="auto"/>
              <w:jc w:val="center"/>
              <w:rPr>
                <w:rFonts w:ascii="Times New Roman" w:eastAsia="Times New Roman" w:hAnsi="Times New Roman"/>
                <w:sz w:val="18"/>
                <w:szCs w:val="18"/>
                <w:lang w:eastAsia="lt-LT"/>
              </w:rPr>
            </w:pPr>
            <w:r w:rsidRPr="00827571">
              <w:rPr>
                <w:rFonts w:ascii="Times New Roman" w:eastAsia="Times New Roman" w:hAnsi="Times New Roman"/>
                <w:sz w:val="18"/>
                <w:szCs w:val="18"/>
                <w:lang w:eastAsia="lt-LT"/>
              </w:rPr>
              <w:t>1.680</w:t>
            </w:r>
          </w:p>
        </w:tc>
        <w:tc>
          <w:tcPr>
            <w:tcW w:w="1275" w:type="dxa"/>
            <w:shd w:val="clear" w:color="auto" w:fill="auto"/>
            <w:vAlign w:val="center"/>
          </w:tcPr>
          <w:p w:rsidR="00B30D13" w:rsidRPr="00FD7A80" w:rsidRDefault="00B30D13" w:rsidP="00B30D13">
            <w:pPr>
              <w:widowControl w:val="0"/>
              <w:tabs>
                <w:tab w:val="left" w:pos="622"/>
              </w:tabs>
              <w:spacing w:after="0" w:line="240" w:lineRule="auto"/>
              <w:jc w:val="center"/>
              <w:rPr>
                <w:rFonts w:ascii="Times New Roman" w:eastAsia="AngsanaUPC" w:hAnsi="Times New Roman"/>
                <w:bCs/>
                <w:iCs/>
                <w:sz w:val="18"/>
                <w:szCs w:val="18"/>
                <w:lang w:eastAsia="lt-LT"/>
              </w:rPr>
            </w:pPr>
            <w:proofErr w:type="gramStart"/>
            <w:r w:rsidRPr="00FD7A80">
              <w:rPr>
                <w:rFonts w:ascii="Times New Roman" w:eastAsia="AngsanaUPC" w:hAnsi="Times New Roman"/>
                <w:bCs/>
                <w:iCs/>
                <w:sz w:val="18"/>
                <w:szCs w:val="18"/>
                <w:lang w:eastAsia="lt-LT"/>
              </w:rPr>
              <w:t>Lietuvos Statistikos departamentas</w:t>
            </w:r>
            <w:proofErr w:type="gramEnd"/>
          </w:p>
        </w:tc>
        <w:tc>
          <w:tcPr>
            <w:tcW w:w="1241" w:type="dxa"/>
            <w:shd w:val="clear" w:color="auto" w:fill="auto"/>
            <w:vAlign w:val="center"/>
          </w:tcPr>
          <w:p w:rsidR="00B30D13" w:rsidRPr="00FD7A80" w:rsidRDefault="00B30D13" w:rsidP="00B30D13">
            <w:pPr>
              <w:widowControl w:val="0"/>
              <w:tabs>
                <w:tab w:val="left" w:pos="622"/>
              </w:tabs>
              <w:spacing w:after="0" w:line="240" w:lineRule="auto"/>
              <w:jc w:val="center"/>
              <w:rPr>
                <w:rFonts w:ascii="Times New Roman" w:eastAsia="AngsanaUPC" w:hAnsi="Times New Roman"/>
                <w:bCs/>
                <w:iCs/>
                <w:sz w:val="18"/>
                <w:szCs w:val="18"/>
                <w:lang w:eastAsia="lt-LT"/>
              </w:rPr>
            </w:pPr>
            <w:r w:rsidRPr="00FD7A80">
              <w:rPr>
                <w:rFonts w:ascii="Times New Roman" w:eastAsia="AngsanaUPC" w:hAnsi="Times New Roman"/>
                <w:bCs/>
                <w:iCs/>
                <w:sz w:val="18"/>
                <w:szCs w:val="18"/>
                <w:lang w:eastAsia="lt-LT"/>
              </w:rPr>
              <w:t>Kartą per metus</w:t>
            </w:r>
          </w:p>
        </w:tc>
      </w:tr>
    </w:tbl>
    <w:p w:rsidR="00B30D13" w:rsidRPr="00FD7A80" w:rsidRDefault="00B30D13" w:rsidP="00254EEE">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B30D13" w:rsidRPr="00FD7A80" w:rsidTr="00B30D13">
        <w:tc>
          <w:tcPr>
            <w:tcW w:w="9746" w:type="dxa"/>
            <w:tcBorders>
              <w:top w:val="single" w:sz="4" w:space="0" w:color="auto"/>
              <w:left w:val="single" w:sz="4" w:space="0" w:color="auto"/>
              <w:bottom w:val="single" w:sz="4" w:space="0" w:color="auto"/>
              <w:right w:val="single" w:sz="4" w:space="0" w:color="auto"/>
            </w:tcBorders>
            <w:shd w:val="clear" w:color="auto" w:fill="EEECE1"/>
          </w:tcPr>
          <w:p w:rsidR="00B30D13" w:rsidRPr="00FD7A80" w:rsidRDefault="00B30D13" w:rsidP="00650E41">
            <w:pPr>
              <w:widowControl w:val="0"/>
              <w:numPr>
                <w:ilvl w:val="2"/>
                <w:numId w:val="79"/>
              </w:numPr>
              <w:tabs>
                <w:tab w:val="left" w:pos="622"/>
                <w:tab w:val="left" w:pos="1665"/>
              </w:tabs>
              <w:spacing w:after="0" w:line="240" w:lineRule="auto"/>
              <w:contextualSpacing/>
              <w:jc w:val="both"/>
              <w:rPr>
                <w:rFonts w:ascii="Times New Roman" w:eastAsia="AngsanaUPC" w:hAnsi="Times New Roman"/>
                <w:b/>
                <w:bCs/>
                <w:iCs/>
                <w:sz w:val="24"/>
                <w:szCs w:val="24"/>
                <w:lang w:eastAsia="lt-LT"/>
              </w:rPr>
            </w:pPr>
            <w:r w:rsidRPr="00FD7A80">
              <w:rPr>
                <w:rFonts w:ascii="Times New Roman" w:eastAsia="AngsanaUPC" w:hAnsi="Times New Roman"/>
                <w:b/>
                <w:bCs/>
                <w:i/>
                <w:iCs/>
                <w:sz w:val="24"/>
                <w:szCs w:val="24"/>
                <w:lang w:eastAsia="lt-LT"/>
              </w:rPr>
              <w:t>Konkretaus uždavinio įgyvendinimo veiklos</w:t>
            </w:r>
          </w:p>
        </w:tc>
      </w:tr>
      <w:tr w:rsidR="00B30D13" w:rsidRPr="00FD7A80" w:rsidTr="00B30D13">
        <w:tc>
          <w:tcPr>
            <w:tcW w:w="9746" w:type="dxa"/>
            <w:shd w:val="clear" w:color="auto" w:fill="auto"/>
          </w:tcPr>
          <w:p w:rsidR="00B30D13" w:rsidRPr="00FD7A80" w:rsidRDefault="00B30D13" w:rsidP="00650E41">
            <w:pPr>
              <w:numPr>
                <w:ilvl w:val="3"/>
                <w:numId w:val="77"/>
              </w:numPr>
              <w:tabs>
                <w:tab w:val="left" w:pos="743"/>
              </w:tabs>
              <w:spacing w:after="0" w:line="240" w:lineRule="auto"/>
              <w:ind w:left="34" w:firstLine="284"/>
              <w:contextualSpacing/>
              <w:jc w:val="both"/>
              <w:rPr>
                <w:rFonts w:ascii="Times New Roman" w:eastAsia="AngsanaUPC" w:hAnsi="Times New Roman"/>
                <w:bCs/>
                <w:iCs/>
                <w:sz w:val="24"/>
                <w:szCs w:val="24"/>
                <w:lang w:eastAsia="lt-LT"/>
              </w:rPr>
            </w:pPr>
            <w:r w:rsidRPr="00FD7A80">
              <w:rPr>
                <w:rFonts w:ascii="Times New Roman" w:eastAsia="AngsanaUPC" w:hAnsi="Times New Roman"/>
                <w:bCs/>
                <w:iCs/>
                <w:sz w:val="24"/>
                <w:szCs w:val="24"/>
                <w:lang w:eastAsia="lt-LT"/>
              </w:rPr>
              <w:t>Valstybinių pastatų atnaujinimas. Planuojama remti valstybės institucijų ir įstaigų pastatų, priklausančių valstybės institucijoms ir įstaigoms nuosavybės teise ir (arba) valdomų kitais teisėtais pagrindais, renovavimo priemones (išorinių atitvarų remontą ir (arba) rekonstravimą, pastatų energetikos sistemų modernizavimą ir (arba) rekonstravimą ir kitas susijusias priemones), siekiant pagerinti pastatų energines savybes, siekiant atitikti ne mažesnę kaip C pastato energinio naudingumo klasę (</w:t>
            </w:r>
            <w:r w:rsidRPr="00FD7A80">
              <w:rPr>
                <w:rFonts w:ascii="Times New Roman" w:eastAsia="AngsanaUPC" w:hAnsi="Times New Roman"/>
                <w:bCs/>
                <w:i/>
                <w:iCs/>
                <w:sz w:val="24"/>
                <w:szCs w:val="24"/>
                <w:lang w:eastAsia="lt-LT"/>
              </w:rPr>
              <w:t xml:space="preserve">angl. </w:t>
            </w:r>
            <w:proofErr w:type="spellStart"/>
            <w:r w:rsidRPr="000B7AE5">
              <w:rPr>
                <w:rFonts w:ascii="Times New Roman" w:eastAsia="AngsanaUPC" w:hAnsi="Times New Roman"/>
                <w:bCs/>
                <w:i/>
                <w:iCs/>
                <w:sz w:val="24"/>
                <w:szCs w:val="24"/>
                <w:lang w:eastAsia="lt-LT"/>
              </w:rPr>
              <w:t>major</w:t>
            </w:r>
            <w:proofErr w:type="spellEnd"/>
            <w:r w:rsidRPr="000B7AE5">
              <w:rPr>
                <w:rFonts w:ascii="Times New Roman" w:eastAsia="AngsanaUPC" w:hAnsi="Times New Roman"/>
                <w:bCs/>
                <w:i/>
                <w:iCs/>
                <w:sz w:val="24"/>
                <w:szCs w:val="24"/>
                <w:lang w:eastAsia="lt-LT"/>
              </w:rPr>
              <w:t xml:space="preserve"> </w:t>
            </w:r>
            <w:proofErr w:type="spellStart"/>
            <w:r w:rsidRPr="000B7AE5">
              <w:rPr>
                <w:rFonts w:ascii="Times New Roman" w:eastAsia="AngsanaUPC" w:hAnsi="Times New Roman"/>
                <w:bCs/>
                <w:i/>
                <w:iCs/>
                <w:sz w:val="24"/>
                <w:szCs w:val="24"/>
                <w:lang w:eastAsia="lt-LT"/>
              </w:rPr>
              <w:t>renovation</w:t>
            </w:r>
            <w:proofErr w:type="spellEnd"/>
            <w:r w:rsidRPr="00FD7A80">
              <w:rPr>
                <w:rFonts w:ascii="Times New Roman" w:eastAsia="AngsanaUPC" w:hAnsi="Times New Roman"/>
                <w:bCs/>
                <w:iCs/>
                <w:sz w:val="24"/>
                <w:szCs w:val="24"/>
                <w:lang w:eastAsia="lt-LT"/>
              </w:rPr>
              <w:t>, kaip tai nustatyta Europos Parlamento ir Tarybos direktyvoje 2010/31/EU dėl pastatų energetinio efektyvumo) atsižvelgiant į energinio naudingumo susitarimų principą, taip pat AIE panaudojimo energijos gamybai juose skatinimui.</w:t>
            </w:r>
          </w:p>
          <w:p w:rsidR="00B30D13" w:rsidRPr="00FD7A80" w:rsidRDefault="00B30D13" w:rsidP="00650E41">
            <w:pPr>
              <w:numPr>
                <w:ilvl w:val="3"/>
                <w:numId w:val="77"/>
              </w:numPr>
              <w:tabs>
                <w:tab w:val="left" w:pos="743"/>
              </w:tabs>
              <w:spacing w:after="0" w:line="240" w:lineRule="auto"/>
              <w:ind w:left="34" w:firstLine="284"/>
              <w:contextualSpacing/>
              <w:jc w:val="both"/>
              <w:rPr>
                <w:rFonts w:ascii="Times New Roman" w:eastAsia="AngsanaUPC" w:hAnsi="Times New Roman"/>
                <w:bCs/>
                <w:iCs/>
                <w:sz w:val="24"/>
                <w:szCs w:val="24"/>
                <w:lang w:eastAsia="lt-LT"/>
              </w:rPr>
            </w:pPr>
            <w:r w:rsidRPr="00FD7A80">
              <w:rPr>
                <w:rFonts w:ascii="Times New Roman" w:eastAsia="AngsanaUPC" w:hAnsi="Times New Roman"/>
                <w:bCs/>
                <w:iCs/>
                <w:sz w:val="24"/>
                <w:szCs w:val="24"/>
                <w:lang w:eastAsia="lt-LT"/>
              </w:rPr>
              <w:t>Gatvių apšvietimo tinklų modernizavimas. Planuojama remti gatvių šviestuvų, atramų atnaujinimą, intelektualios valdymo ir kontrolės sistemos diegimą, skirstymo bei maitinimo spintų atnaujinimą, kitus su tinklų modernizavimu susijusius darbus.</w:t>
            </w:r>
          </w:p>
          <w:p w:rsidR="00B30D13" w:rsidRPr="00FD7A80" w:rsidRDefault="00B30D13" w:rsidP="00650E41">
            <w:pPr>
              <w:numPr>
                <w:ilvl w:val="3"/>
                <w:numId w:val="77"/>
              </w:numPr>
              <w:tabs>
                <w:tab w:val="left" w:pos="743"/>
              </w:tabs>
              <w:spacing w:after="0" w:line="240" w:lineRule="auto"/>
              <w:ind w:left="34" w:firstLine="284"/>
              <w:contextualSpacing/>
              <w:jc w:val="both"/>
              <w:rPr>
                <w:rFonts w:ascii="Times New Roman" w:eastAsia="AngsanaUPC" w:hAnsi="Times New Roman"/>
                <w:bCs/>
                <w:iCs/>
                <w:sz w:val="24"/>
                <w:szCs w:val="24"/>
                <w:lang w:eastAsia="lt-LT"/>
              </w:rPr>
            </w:pPr>
            <w:r w:rsidRPr="00FD7A80">
              <w:rPr>
                <w:rFonts w:ascii="Times New Roman" w:eastAsia="AngsanaUPC" w:hAnsi="Times New Roman"/>
                <w:bCs/>
                <w:iCs/>
                <w:sz w:val="24"/>
                <w:szCs w:val="24"/>
                <w:lang w:eastAsia="lt-LT"/>
              </w:rPr>
              <w:t>AIE panaudojimas šilumos ir elektros energijos gamybai. Planuojama remti AIE (daugiausiai vietinio biokuro, ypač atliekinės medienos) plėtrą kogeneracinėse elektrinėse, ypač didžiųjų miestų, kuriuose pagaminama ir suvartojama daugiau nei pusė centralizuotai tiekiamos šilumos šalyje, o pagrindinis kuras – gamtinės dujos, ir elektros sektoriuose.</w:t>
            </w:r>
          </w:p>
          <w:p w:rsidR="00B30D13" w:rsidRPr="00FD7A80" w:rsidRDefault="00B30D13" w:rsidP="00650E41">
            <w:pPr>
              <w:numPr>
                <w:ilvl w:val="3"/>
                <w:numId w:val="77"/>
              </w:numPr>
              <w:tabs>
                <w:tab w:val="left" w:pos="743"/>
              </w:tabs>
              <w:spacing w:after="0" w:line="240" w:lineRule="auto"/>
              <w:ind w:left="34" w:firstLine="284"/>
              <w:contextualSpacing/>
              <w:jc w:val="both"/>
              <w:rPr>
                <w:rFonts w:ascii="Times New Roman" w:eastAsia="AngsanaUPC" w:hAnsi="Times New Roman"/>
                <w:bCs/>
                <w:iCs/>
                <w:sz w:val="24"/>
                <w:szCs w:val="24"/>
                <w:lang w:eastAsia="lt-LT"/>
              </w:rPr>
            </w:pPr>
            <w:r w:rsidRPr="00FD7A80">
              <w:rPr>
                <w:rFonts w:ascii="Times New Roman" w:eastAsia="AngsanaUPC" w:hAnsi="Times New Roman"/>
                <w:bCs/>
                <w:iCs/>
                <w:sz w:val="24"/>
                <w:szCs w:val="24"/>
                <w:lang w:eastAsia="lt-LT"/>
              </w:rPr>
              <w:t>Paskirstytosios elektros energijos generacijos plėtra namų ūkių reikmėms</w:t>
            </w:r>
            <w:r w:rsidRPr="00FD7A80">
              <w:rPr>
                <w:rFonts w:ascii="Times New Roman" w:eastAsia="AngsanaUPC" w:hAnsi="Times New Roman"/>
                <w:bCs/>
                <w:i/>
                <w:iCs/>
                <w:sz w:val="24"/>
                <w:szCs w:val="24"/>
                <w:lang w:eastAsia="lt-LT"/>
              </w:rPr>
              <w:t>.</w:t>
            </w:r>
            <w:r w:rsidRPr="00FD7A80">
              <w:rPr>
                <w:rFonts w:ascii="Times New Roman" w:eastAsia="AngsanaUPC" w:hAnsi="Times New Roman"/>
                <w:bCs/>
                <w:iCs/>
                <w:sz w:val="24"/>
                <w:szCs w:val="24"/>
                <w:lang w:eastAsia="lt-LT"/>
              </w:rPr>
              <w:t xml:space="preserve"> Remiamos AIE naudojančios technologijos, skirtos pasigaminti elektros energiją namų ūkių reikmėms.</w:t>
            </w:r>
          </w:p>
        </w:tc>
      </w:tr>
    </w:tbl>
    <w:p w:rsidR="00B30D13" w:rsidRPr="00FD7A80" w:rsidRDefault="00B30D13" w:rsidP="00254EEE">
      <w:pPr>
        <w:widowControl w:val="0"/>
        <w:tabs>
          <w:tab w:val="left" w:pos="622"/>
        </w:tabs>
        <w:spacing w:after="0" w:line="240" w:lineRule="auto"/>
        <w:jc w:val="both"/>
        <w:rPr>
          <w:rFonts w:ascii="Times New Roman" w:eastAsia="AngsanaUPC" w:hAnsi="Times New Roman"/>
          <w:bCs/>
          <w:sz w:val="24"/>
          <w:szCs w:val="24"/>
          <w:lang w:eastAsia="lt-LT"/>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567"/>
        <w:gridCol w:w="2552"/>
        <w:gridCol w:w="1134"/>
        <w:gridCol w:w="850"/>
        <w:gridCol w:w="1134"/>
        <w:gridCol w:w="1134"/>
        <w:gridCol w:w="1134"/>
        <w:gridCol w:w="1276"/>
      </w:tblGrid>
      <w:tr w:rsidR="00B30D13" w:rsidRPr="00FD7A80" w:rsidTr="00827571">
        <w:trPr>
          <w:tblHeader/>
        </w:trPr>
        <w:tc>
          <w:tcPr>
            <w:tcW w:w="9781" w:type="dxa"/>
            <w:gridSpan w:val="8"/>
            <w:shd w:val="clear" w:color="auto" w:fill="EEECE1"/>
          </w:tcPr>
          <w:p w:rsidR="00B30D13" w:rsidRPr="00FD7A80" w:rsidRDefault="00B30D13" w:rsidP="00B30D13">
            <w:pPr>
              <w:widowControl w:val="0"/>
              <w:tabs>
                <w:tab w:val="left" w:pos="622"/>
              </w:tabs>
              <w:spacing w:after="0" w:line="240" w:lineRule="auto"/>
              <w:jc w:val="both"/>
              <w:rPr>
                <w:rFonts w:ascii="Times New Roman" w:eastAsia="AngsanaUPC" w:hAnsi="Times New Roman"/>
                <w:b/>
                <w:bCs/>
                <w:i/>
                <w:iCs/>
                <w:sz w:val="18"/>
                <w:szCs w:val="18"/>
                <w:lang w:eastAsia="lt-LT"/>
              </w:rPr>
            </w:pPr>
            <w:r w:rsidRPr="00FD7A80">
              <w:rPr>
                <w:rFonts w:ascii="Times New Roman" w:eastAsia="AngsanaUPC" w:hAnsi="Times New Roman"/>
                <w:b/>
                <w:bCs/>
                <w:i/>
                <w:iCs/>
                <w:sz w:val="18"/>
                <w:szCs w:val="18"/>
                <w:lang w:eastAsia="lt-LT"/>
              </w:rPr>
              <w:t xml:space="preserve">ERPF bendrieji ir specialieji programos produkto rodikliai </w:t>
            </w:r>
          </w:p>
        </w:tc>
      </w:tr>
      <w:tr w:rsidR="00B30D13" w:rsidRPr="00FD7A80" w:rsidTr="005A42D0">
        <w:tblPrEx>
          <w:shd w:val="clear" w:color="auto" w:fill="auto"/>
        </w:tblPrEx>
        <w:trPr>
          <w:tblHeader/>
        </w:trPr>
        <w:tc>
          <w:tcPr>
            <w:tcW w:w="567" w:type="dxa"/>
            <w:shd w:val="clear" w:color="auto" w:fill="EEECE1"/>
            <w:vAlign w:val="center"/>
          </w:tcPr>
          <w:p w:rsidR="00B30D13" w:rsidRPr="00FD7A80" w:rsidRDefault="00B30D13" w:rsidP="00B30D13">
            <w:pPr>
              <w:widowControl w:val="0"/>
              <w:tabs>
                <w:tab w:val="left" w:pos="622"/>
              </w:tabs>
              <w:spacing w:after="0" w:line="240" w:lineRule="auto"/>
              <w:jc w:val="center"/>
              <w:rPr>
                <w:rFonts w:ascii="Times New Roman" w:eastAsia="AngsanaUPC" w:hAnsi="Times New Roman"/>
                <w:b/>
                <w:bCs/>
                <w:iCs/>
                <w:sz w:val="18"/>
                <w:szCs w:val="18"/>
                <w:lang w:eastAsia="lt-LT"/>
              </w:rPr>
            </w:pPr>
            <w:r w:rsidRPr="00FD7A80">
              <w:rPr>
                <w:rFonts w:ascii="Times New Roman" w:eastAsia="AngsanaUPC" w:hAnsi="Times New Roman"/>
                <w:b/>
                <w:bCs/>
                <w:iCs/>
                <w:sz w:val="18"/>
                <w:szCs w:val="18"/>
                <w:lang w:eastAsia="lt-LT"/>
              </w:rPr>
              <w:t>Nr.</w:t>
            </w:r>
          </w:p>
        </w:tc>
        <w:tc>
          <w:tcPr>
            <w:tcW w:w="2552" w:type="dxa"/>
            <w:shd w:val="clear" w:color="auto" w:fill="EEECE1"/>
            <w:vAlign w:val="center"/>
          </w:tcPr>
          <w:p w:rsidR="00B30D13" w:rsidRPr="00FD7A80" w:rsidRDefault="00B30D13" w:rsidP="00B30D13">
            <w:pPr>
              <w:widowControl w:val="0"/>
              <w:tabs>
                <w:tab w:val="left" w:pos="622"/>
              </w:tabs>
              <w:spacing w:after="0" w:line="240" w:lineRule="auto"/>
              <w:jc w:val="center"/>
              <w:rPr>
                <w:rFonts w:ascii="Times New Roman" w:eastAsia="AngsanaUPC" w:hAnsi="Times New Roman"/>
                <w:b/>
                <w:bCs/>
                <w:iCs/>
                <w:sz w:val="18"/>
                <w:szCs w:val="18"/>
                <w:lang w:eastAsia="lt-LT"/>
              </w:rPr>
            </w:pPr>
            <w:r w:rsidRPr="00FD7A80">
              <w:rPr>
                <w:rFonts w:ascii="Times New Roman" w:eastAsia="AngsanaUPC" w:hAnsi="Times New Roman"/>
                <w:b/>
                <w:bCs/>
                <w:iCs/>
                <w:sz w:val="18"/>
                <w:szCs w:val="18"/>
                <w:lang w:eastAsia="lt-LT"/>
              </w:rPr>
              <w:t>Rodiklio pavadinimas</w:t>
            </w:r>
          </w:p>
        </w:tc>
        <w:tc>
          <w:tcPr>
            <w:tcW w:w="1134" w:type="dxa"/>
            <w:shd w:val="clear" w:color="auto" w:fill="EEECE1"/>
            <w:vAlign w:val="center"/>
          </w:tcPr>
          <w:p w:rsidR="00B30D13" w:rsidRPr="00FD7A80" w:rsidRDefault="00B30D13" w:rsidP="00B30D13">
            <w:pPr>
              <w:widowControl w:val="0"/>
              <w:tabs>
                <w:tab w:val="left" w:pos="622"/>
              </w:tabs>
              <w:spacing w:after="0" w:line="240" w:lineRule="auto"/>
              <w:jc w:val="center"/>
              <w:rPr>
                <w:rFonts w:ascii="Times New Roman" w:eastAsia="AngsanaUPC" w:hAnsi="Times New Roman"/>
                <w:b/>
                <w:bCs/>
                <w:iCs/>
                <w:sz w:val="18"/>
                <w:szCs w:val="18"/>
                <w:lang w:eastAsia="lt-LT"/>
              </w:rPr>
            </w:pPr>
            <w:r w:rsidRPr="00FD7A80">
              <w:rPr>
                <w:rFonts w:ascii="Times New Roman" w:eastAsia="AngsanaUPC" w:hAnsi="Times New Roman"/>
                <w:b/>
                <w:bCs/>
                <w:iCs/>
                <w:sz w:val="18"/>
                <w:szCs w:val="18"/>
                <w:lang w:eastAsia="lt-LT"/>
              </w:rPr>
              <w:t>Matavimo vienetas</w:t>
            </w:r>
          </w:p>
        </w:tc>
        <w:tc>
          <w:tcPr>
            <w:tcW w:w="850" w:type="dxa"/>
            <w:shd w:val="clear" w:color="auto" w:fill="EEECE1"/>
            <w:vAlign w:val="center"/>
          </w:tcPr>
          <w:p w:rsidR="00B30D13" w:rsidRPr="00FD7A80" w:rsidRDefault="00B30D13" w:rsidP="00B30D13">
            <w:pPr>
              <w:widowControl w:val="0"/>
              <w:tabs>
                <w:tab w:val="left" w:pos="622"/>
              </w:tabs>
              <w:spacing w:after="0" w:line="240" w:lineRule="auto"/>
              <w:jc w:val="center"/>
              <w:rPr>
                <w:rFonts w:ascii="Times New Roman" w:eastAsia="AngsanaUPC" w:hAnsi="Times New Roman"/>
                <w:b/>
                <w:bCs/>
                <w:iCs/>
                <w:sz w:val="18"/>
                <w:szCs w:val="18"/>
                <w:lang w:eastAsia="lt-LT"/>
              </w:rPr>
            </w:pPr>
            <w:r w:rsidRPr="00FD7A80">
              <w:rPr>
                <w:rFonts w:ascii="Times New Roman" w:eastAsia="AngsanaUPC" w:hAnsi="Times New Roman"/>
                <w:b/>
                <w:bCs/>
                <w:iCs/>
                <w:sz w:val="18"/>
                <w:szCs w:val="18"/>
                <w:lang w:eastAsia="lt-LT"/>
              </w:rPr>
              <w:t>Fondas</w:t>
            </w:r>
          </w:p>
        </w:tc>
        <w:tc>
          <w:tcPr>
            <w:tcW w:w="1134" w:type="dxa"/>
            <w:shd w:val="clear" w:color="auto" w:fill="EEECE1"/>
            <w:vAlign w:val="center"/>
          </w:tcPr>
          <w:p w:rsidR="00B30D13" w:rsidRPr="00FD7A80" w:rsidRDefault="00B30D13" w:rsidP="00B30D13">
            <w:pPr>
              <w:widowControl w:val="0"/>
              <w:tabs>
                <w:tab w:val="left" w:pos="622"/>
              </w:tabs>
              <w:spacing w:after="0" w:line="240" w:lineRule="auto"/>
              <w:jc w:val="center"/>
              <w:rPr>
                <w:rFonts w:ascii="Times New Roman" w:eastAsia="AngsanaUPC" w:hAnsi="Times New Roman"/>
                <w:b/>
                <w:bCs/>
                <w:iCs/>
                <w:sz w:val="18"/>
                <w:szCs w:val="18"/>
                <w:lang w:eastAsia="lt-LT"/>
              </w:rPr>
            </w:pPr>
            <w:r w:rsidRPr="00FD7A80">
              <w:rPr>
                <w:rFonts w:ascii="Times New Roman" w:eastAsia="AngsanaUPC" w:hAnsi="Times New Roman"/>
                <w:b/>
                <w:bCs/>
                <w:iCs/>
                <w:sz w:val="18"/>
                <w:szCs w:val="18"/>
                <w:lang w:eastAsia="lt-LT"/>
              </w:rPr>
              <w:t>Regiono kategorija</w:t>
            </w:r>
          </w:p>
        </w:tc>
        <w:tc>
          <w:tcPr>
            <w:tcW w:w="1134" w:type="dxa"/>
            <w:shd w:val="clear" w:color="auto" w:fill="EEECE1"/>
            <w:vAlign w:val="center"/>
          </w:tcPr>
          <w:p w:rsidR="00B30D13" w:rsidRPr="00FD7A80" w:rsidRDefault="00B30D13" w:rsidP="00B30D13">
            <w:pPr>
              <w:widowControl w:val="0"/>
              <w:tabs>
                <w:tab w:val="left" w:pos="622"/>
              </w:tabs>
              <w:spacing w:after="0" w:line="240" w:lineRule="auto"/>
              <w:jc w:val="center"/>
              <w:rPr>
                <w:rFonts w:ascii="Times New Roman" w:eastAsia="AngsanaUPC" w:hAnsi="Times New Roman"/>
                <w:b/>
                <w:bCs/>
                <w:iCs/>
                <w:sz w:val="18"/>
                <w:szCs w:val="18"/>
                <w:lang w:eastAsia="lt-LT"/>
              </w:rPr>
            </w:pPr>
            <w:r w:rsidRPr="00FD7A80">
              <w:rPr>
                <w:rFonts w:ascii="Times New Roman" w:eastAsia="AngsanaUPC" w:hAnsi="Times New Roman"/>
                <w:b/>
                <w:bCs/>
                <w:iCs/>
                <w:sz w:val="18"/>
                <w:szCs w:val="18"/>
                <w:lang w:eastAsia="lt-LT"/>
              </w:rPr>
              <w:t>Siektina reikšmė (2023)</w:t>
            </w:r>
          </w:p>
        </w:tc>
        <w:tc>
          <w:tcPr>
            <w:tcW w:w="1134" w:type="dxa"/>
            <w:shd w:val="clear" w:color="auto" w:fill="EEECE1"/>
            <w:vAlign w:val="center"/>
          </w:tcPr>
          <w:p w:rsidR="00B30D13" w:rsidRPr="00FD7A80" w:rsidRDefault="00B30D13" w:rsidP="00B30D13">
            <w:pPr>
              <w:widowControl w:val="0"/>
              <w:tabs>
                <w:tab w:val="left" w:pos="622"/>
              </w:tabs>
              <w:spacing w:after="0" w:line="240" w:lineRule="auto"/>
              <w:jc w:val="center"/>
              <w:rPr>
                <w:rFonts w:ascii="Times New Roman" w:eastAsia="AngsanaUPC" w:hAnsi="Times New Roman"/>
                <w:b/>
                <w:bCs/>
                <w:iCs/>
                <w:sz w:val="18"/>
                <w:szCs w:val="18"/>
                <w:lang w:eastAsia="lt-LT"/>
              </w:rPr>
            </w:pPr>
            <w:r w:rsidRPr="00FD7A80">
              <w:rPr>
                <w:rFonts w:ascii="Times New Roman" w:eastAsia="AngsanaUPC" w:hAnsi="Times New Roman"/>
                <w:b/>
                <w:bCs/>
                <w:iCs/>
                <w:sz w:val="18"/>
                <w:szCs w:val="18"/>
                <w:lang w:eastAsia="lt-LT"/>
              </w:rPr>
              <w:t>Duomenų šaltinis</w:t>
            </w:r>
          </w:p>
        </w:tc>
        <w:tc>
          <w:tcPr>
            <w:tcW w:w="1276" w:type="dxa"/>
            <w:shd w:val="clear" w:color="auto" w:fill="EEECE1"/>
            <w:vAlign w:val="center"/>
          </w:tcPr>
          <w:p w:rsidR="00B30D13" w:rsidRPr="00FD7A80" w:rsidRDefault="00B30D13" w:rsidP="00B30D13">
            <w:pPr>
              <w:widowControl w:val="0"/>
              <w:tabs>
                <w:tab w:val="left" w:pos="622"/>
              </w:tabs>
              <w:spacing w:after="0" w:line="240" w:lineRule="auto"/>
              <w:jc w:val="center"/>
              <w:rPr>
                <w:rFonts w:ascii="Times New Roman" w:eastAsia="AngsanaUPC" w:hAnsi="Times New Roman"/>
                <w:b/>
                <w:bCs/>
                <w:iCs/>
                <w:sz w:val="18"/>
                <w:szCs w:val="18"/>
                <w:lang w:eastAsia="lt-LT"/>
              </w:rPr>
            </w:pPr>
            <w:r w:rsidRPr="00FD7A80">
              <w:rPr>
                <w:rFonts w:ascii="Times New Roman" w:eastAsia="AngsanaUPC" w:hAnsi="Times New Roman"/>
                <w:b/>
                <w:bCs/>
                <w:iCs/>
                <w:sz w:val="18"/>
                <w:szCs w:val="18"/>
                <w:lang w:eastAsia="lt-LT"/>
              </w:rPr>
              <w:t>Atsiskaitymo dažnumas</w:t>
            </w:r>
          </w:p>
        </w:tc>
      </w:tr>
      <w:tr w:rsidR="00B30D13" w:rsidRPr="00FD7A80" w:rsidTr="005A42D0">
        <w:tblPrEx>
          <w:shd w:val="clear" w:color="auto" w:fill="auto"/>
        </w:tblPrEx>
        <w:tc>
          <w:tcPr>
            <w:tcW w:w="567" w:type="dxa"/>
            <w:shd w:val="clear" w:color="auto" w:fill="auto"/>
            <w:vAlign w:val="center"/>
          </w:tcPr>
          <w:p w:rsidR="00B30D13" w:rsidRPr="00FD7A80" w:rsidRDefault="00B30D13" w:rsidP="00B30D13">
            <w:pPr>
              <w:widowControl w:val="0"/>
              <w:tabs>
                <w:tab w:val="left" w:pos="622"/>
              </w:tabs>
              <w:spacing w:after="0" w:line="240" w:lineRule="auto"/>
              <w:jc w:val="center"/>
              <w:rPr>
                <w:rFonts w:ascii="Times New Roman" w:hAnsi="Times New Roman"/>
                <w:bCs/>
                <w:iCs/>
                <w:sz w:val="18"/>
                <w:szCs w:val="18"/>
                <w:lang w:eastAsia="lt-LT"/>
              </w:rPr>
            </w:pPr>
            <w:r w:rsidRPr="00FD7A80">
              <w:rPr>
                <w:rFonts w:ascii="Times New Roman" w:hAnsi="Times New Roman"/>
                <w:bCs/>
                <w:iCs/>
                <w:sz w:val="18"/>
                <w:szCs w:val="18"/>
                <w:lang w:eastAsia="lt-LT"/>
              </w:rPr>
              <w:t>1.</w:t>
            </w:r>
          </w:p>
        </w:tc>
        <w:tc>
          <w:tcPr>
            <w:tcW w:w="2552" w:type="dxa"/>
            <w:shd w:val="clear" w:color="auto" w:fill="auto"/>
            <w:vAlign w:val="center"/>
          </w:tcPr>
          <w:p w:rsidR="00B30D13" w:rsidRPr="00FD7A80" w:rsidRDefault="00B30D13" w:rsidP="00B30D13">
            <w:pPr>
              <w:autoSpaceDE w:val="0"/>
              <w:autoSpaceDN w:val="0"/>
              <w:adjustRightInd w:val="0"/>
              <w:spacing w:after="0" w:line="240" w:lineRule="auto"/>
              <w:rPr>
                <w:rFonts w:ascii="Times New Roman" w:eastAsia="Times New Roman" w:hAnsi="Times New Roman"/>
                <w:sz w:val="18"/>
                <w:szCs w:val="18"/>
                <w:lang w:eastAsia="lt-LT"/>
              </w:rPr>
            </w:pPr>
            <w:r w:rsidRPr="00FD7A80">
              <w:rPr>
                <w:rFonts w:ascii="Times New Roman" w:eastAsia="Times New Roman" w:hAnsi="Times New Roman"/>
                <w:sz w:val="18"/>
                <w:szCs w:val="18"/>
                <w:lang w:eastAsia="lt-LT"/>
              </w:rPr>
              <w:t>Bendras metinis šiltnamio efektą sukeliančių dujų kiekio sumažėjimas</w:t>
            </w:r>
          </w:p>
        </w:tc>
        <w:tc>
          <w:tcPr>
            <w:tcW w:w="1134" w:type="dxa"/>
            <w:shd w:val="clear" w:color="auto" w:fill="auto"/>
            <w:vAlign w:val="center"/>
          </w:tcPr>
          <w:p w:rsidR="00B30D13" w:rsidRPr="00FD7A80" w:rsidRDefault="00B30D13" w:rsidP="00B30D13">
            <w:pPr>
              <w:autoSpaceDE w:val="0"/>
              <w:autoSpaceDN w:val="0"/>
              <w:adjustRightInd w:val="0"/>
              <w:spacing w:after="0" w:line="240" w:lineRule="auto"/>
              <w:jc w:val="center"/>
              <w:rPr>
                <w:rFonts w:ascii="Times New Roman" w:eastAsia="Times New Roman" w:hAnsi="Times New Roman"/>
                <w:sz w:val="18"/>
                <w:szCs w:val="18"/>
                <w:lang w:eastAsia="lt-LT"/>
              </w:rPr>
            </w:pPr>
            <w:r w:rsidRPr="00FD7A80">
              <w:rPr>
                <w:rFonts w:ascii="Times New Roman" w:eastAsia="Times New Roman" w:hAnsi="Times New Roman"/>
                <w:sz w:val="18"/>
                <w:szCs w:val="18"/>
                <w:lang w:eastAsia="lt-LT"/>
              </w:rPr>
              <w:t>t CO</w:t>
            </w:r>
            <w:r w:rsidRPr="00827571">
              <w:rPr>
                <w:rFonts w:ascii="Times New Roman" w:eastAsia="Times New Roman" w:hAnsi="Times New Roman"/>
                <w:sz w:val="18"/>
                <w:szCs w:val="18"/>
                <w:vertAlign w:val="subscript"/>
                <w:lang w:eastAsia="lt-LT"/>
              </w:rPr>
              <w:t>2</w:t>
            </w:r>
          </w:p>
          <w:p w:rsidR="00B30D13" w:rsidRPr="00FD7A80" w:rsidRDefault="00B30D13" w:rsidP="00B30D13">
            <w:pPr>
              <w:widowControl w:val="0"/>
              <w:tabs>
                <w:tab w:val="left" w:pos="622"/>
              </w:tabs>
              <w:spacing w:after="0" w:line="240" w:lineRule="auto"/>
              <w:jc w:val="center"/>
              <w:rPr>
                <w:rFonts w:ascii="Times New Roman" w:hAnsi="Times New Roman"/>
                <w:bCs/>
                <w:iCs/>
                <w:sz w:val="18"/>
                <w:szCs w:val="18"/>
                <w:lang w:eastAsia="lt-LT"/>
              </w:rPr>
            </w:pPr>
            <w:r w:rsidRPr="00FD7A80">
              <w:rPr>
                <w:rFonts w:ascii="Times New Roman" w:eastAsia="Times New Roman" w:hAnsi="Times New Roman"/>
                <w:sz w:val="18"/>
                <w:szCs w:val="18"/>
                <w:lang w:eastAsia="lt-LT"/>
              </w:rPr>
              <w:t>ekvivalentu</w:t>
            </w:r>
          </w:p>
        </w:tc>
        <w:tc>
          <w:tcPr>
            <w:tcW w:w="850" w:type="dxa"/>
            <w:shd w:val="clear" w:color="auto" w:fill="auto"/>
            <w:vAlign w:val="center"/>
          </w:tcPr>
          <w:p w:rsidR="00B30D13" w:rsidRPr="00FD7A80" w:rsidRDefault="00B30D13" w:rsidP="00B30D13">
            <w:pPr>
              <w:widowControl w:val="0"/>
              <w:tabs>
                <w:tab w:val="left" w:pos="622"/>
              </w:tabs>
              <w:spacing w:after="0" w:line="240" w:lineRule="auto"/>
              <w:jc w:val="center"/>
              <w:rPr>
                <w:rFonts w:ascii="Times New Roman" w:hAnsi="Times New Roman"/>
                <w:bCs/>
                <w:iCs/>
                <w:sz w:val="18"/>
                <w:szCs w:val="18"/>
                <w:lang w:eastAsia="lt-LT"/>
              </w:rPr>
            </w:pPr>
            <w:r w:rsidRPr="00FD7A80">
              <w:rPr>
                <w:rFonts w:ascii="Times New Roman" w:hAnsi="Times New Roman"/>
                <w:bCs/>
                <w:iCs/>
                <w:sz w:val="18"/>
                <w:szCs w:val="18"/>
                <w:lang w:eastAsia="lt-LT"/>
              </w:rPr>
              <w:t>ERPF</w:t>
            </w:r>
          </w:p>
        </w:tc>
        <w:tc>
          <w:tcPr>
            <w:tcW w:w="1134" w:type="dxa"/>
            <w:shd w:val="clear" w:color="auto" w:fill="auto"/>
            <w:vAlign w:val="center"/>
          </w:tcPr>
          <w:p w:rsidR="00B30D13" w:rsidRPr="00FD7A80" w:rsidRDefault="00B30D13" w:rsidP="00B30D13">
            <w:pPr>
              <w:widowControl w:val="0"/>
              <w:tabs>
                <w:tab w:val="left" w:pos="622"/>
              </w:tabs>
              <w:spacing w:after="0" w:line="240" w:lineRule="auto"/>
              <w:jc w:val="center"/>
              <w:rPr>
                <w:rFonts w:ascii="Times New Roman" w:hAnsi="Times New Roman"/>
                <w:bCs/>
                <w:iCs/>
                <w:sz w:val="18"/>
                <w:szCs w:val="18"/>
                <w:lang w:eastAsia="lt-LT"/>
              </w:rPr>
            </w:pPr>
            <w:r w:rsidRPr="00FD7A80">
              <w:rPr>
                <w:rFonts w:ascii="Times New Roman" w:hAnsi="Times New Roman"/>
                <w:bCs/>
                <w:iCs/>
                <w:sz w:val="18"/>
                <w:szCs w:val="18"/>
                <w:lang w:eastAsia="lt-LT"/>
              </w:rPr>
              <w:t>Mažiau išsivystęs</w:t>
            </w:r>
          </w:p>
        </w:tc>
        <w:tc>
          <w:tcPr>
            <w:tcW w:w="1134" w:type="dxa"/>
            <w:shd w:val="clear" w:color="auto" w:fill="auto"/>
            <w:vAlign w:val="center"/>
          </w:tcPr>
          <w:p w:rsidR="00B30D13" w:rsidRPr="005A42D0" w:rsidRDefault="00827571" w:rsidP="00B30D13">
            <w:pPr>
              <w:widowControl w:val="0"/>
              <w:tabs>
                <w:tab w:val="left" w:pos="622"/>
              </w:tabs>
              <w:spacing w:after="0" w:line="240" w:lineRule="auto"/>
              <w:jc w:val="center"/>
              <w:rPr>
                <w:rFonts w:ascii="Times New Roman" w:hAnsi="Times New Roman"/>
                <w:bCs/>
                <w:iCs/>
                <w:sz w:val="18"/>
                <w:szCs w:val="18"/>
                <w:lang w:eastAsia="lt-LT"/>
              </w:rPr>
            </w:pPr>
            <w:r w:rsidRPr="005A42D0">
              <w:rPr>
                <w:rFonts w:ascii="Times New Roman" w:hAnsi="Times New Roman"/>
                <w:bCs/>
                <w:iCs/>
                <w:sz w:val="18"/>
                <w:szCs w:val="18"/>
                <w:lang w:eastAsia="lt-LT"/>
              </w:rPr>
              <w:t>28.064</w:t>
            </w:r>
          </w:p>
        </w:tc>
        <w:tc>
          <w:tcPr>
            <w:tcW w:w="1134" w:type="dxa"/>
            <w:shd w:val="clear" w:color="auto" w:fill="auto"/>
            <w:vAlign w:val="center"/>
          </w:tcPr>
          <w:p w:rsidR="00B30D13" w:rsidRPr="00FD7A80" w:rsidRDefault="00B30D13" w:rsidP="00B30D13">
            <w:pPr>
              <w:widowControl w:val="0"/>
              <w:tabs>
                <w:tab w:val="left" w:pos="622"/>
              </w:tabs>
              <w:spacing w:after="0" w:line="240" w:lineRule="auto"/>
              <w:jc w:val="center"/>
              <w:rPr>
                <w:rFonts w:ascii="Times New Roman" w:hAnsi="Times New Roman"/>
                <w:bCs/>
                <w:iCs/>
                <w:sz w:val="18"/>
                <w:szCs w:val="18"/>
                <w:lang w:eastAsia="lt-LT"/>
              </w:rPr>
            </w:pPr>
            <w:r w:rsidRPr="00FD7A80">
              <w:rPr>
                <w:rFonts w:ascii="Times New Roman" w:hAnsi="Times New Roman"/>
                <w:bCs/>
                <w:iCs/>
                <w:sz w:val="18"/>
                <w:szCs w:val="18"/>
                <w:lang w:eastAsia="lt-LT"/>
              </w:rPr>
              <w:t>Duomenys iš projektų</w:t>
            </w:r>
          </w:p>
        </w:tc>
        <w:tc>
          <w:tcPr>
            <w:tcW w:w="1276" w:type="dxa"/>
            <w:shd w:val="clear" w:color="auto" w:fill="auto"/>
            <w:vAlign w:val="center"/>
          </w:tcPr>
          <w:p w:rsidR="00B30D13" w:rsidRPr="00FD7A80" w:rsidRDefault="00B30D13" w:rsidP="00B30D13">
            <w:pPr>
              <w:widowControl w:val="0"/>
              <w:tabs>
                <w:tab w:val="left" w:pos="622"/>
              </w:tabs>
              <w:spacing w:after="0" w:line="240" w:lineRule="auto"/>
              <w:jc w:val="center"/>
              <w:rPr>
                <w:rFonts w:ascii="Times New Roman" w:hAnsi="Times New Roman"/>
                <w:bCs/>
                <w:iCs/>
                <w:sz w:val="18"/>
                <w:szCs w:val="18"/>
                <w:lang w:eastAsia="lt-LT"/>
              </w:rPr>
            </w:pPr>
            <w:r w:rsidRPr="00FD7A80">
              <w:rPr>
                <w:rFonts w:ascii="Times New Roman" w:hAnsi="Times New Roman"/>
                <w:bCs/>
                <w:iCs/>
                <w:sz w:val="18"/>
                <w:szCs w:val="18"/>
                <w:lang w:eastAsia="lt-LT"/>
              </w:rPr>
              <w:t>Kartą per metus</w:t>
            </w:r>
          </w:p>
        </w:tc>
      </w:tr>
      <w:tr w:rsidR="00B30D13" w:rsidRPr="00FD7A80" w:rsidTr="005A42D0">
        <w:tblPrEx>
          <w:shd w:val="clear" w:color="auto" w:fill="auto"/>
        </w:tblPrEx>
        <w:tc>
          <w:tcPr>
            <w:tcW w:w="567" w:type="dxa"/>
            <w:shd w:val="clear" w:color="auto" w:fill="auto"/>
            <w:vAlign w:val="center"/>
          </w:tcPr>
          <w:p w:rsidR="00B30D13" w:rsidRPr="00FD7A80" w:rsidRDefault="00B30D13" w:rsidP="00B30D13">
            <w:pPr>
              <w:widowControl w:val="0"/>
              <w:tabs>
                <w:tab w:val="left" w:pos="622"/>
              </w:tabs>
              <w:spacing w:after="0" w:line="240" w:lineRule="auto"/>
              <w:jc w:val="center"/>
              <w:rPr>
                <w:rFonts w:ascii="Times New Roman" w:hAnsi="Times New Roman"/>
                <w:bCs/>
                <w:iCs/>
                <w:sz w:val="18"/>
                <w:szCs w:val="18"/>
                <w:lang w:eastAsia="lt-LT"/>
              </w:rPr>
            </w:pPr>
            <w:r w:rsidRPr="00FD7A80">
              <w:rPr>
                <w:rFonts w:ascii="Times New Roman" w:hAnsi="Times New Roman"/>
                <w:bCs/>
                <w:iCs/>
                <w:sz w:val="18"/>
                <w:szCs w:val="18"/>
                <w:lang w:eastAsia="lt-LT"/>
              </w:rPr>
              <w:t>2.</w:t>
            </w:r>
          </w:p>
        </w:tc>
        <w:tc>
          <w:tcPr>
            <w:tcW w:w="2552" w:type="dxa"/>
            <w:shd w:val="clear" w:color="auto" w:fill="auto"/>
            <w:vAlign w:val="center"/>
          </w:tcPr>
          <w:p w:rsidR="00B30D13" w:rsidRPr="00FD7A80" w:rsidRDefault="00B30D13" w:rsidP="00B30D13">
            <w:pPr>
              <w:autoSpaceDE w:val="0"/>
              <w:autoSpaceDN w:val="0"/>
              <w:adjustRightInd w:val="0"/>
              <w:spacing w:after="0" w:line="240" w:lineRule="auto"/>
              <w:rPr>
                <w:rFonts w:ascii="Times New Roman" w:eastAsia="Times New Roman" w:hAnsi="Times New Roman"/>
                <w:sz w:val="18"/>
                <w:szCs w:val="18"/>
                <w:lang w:eastAsia="lt-LT"/>
              </w:rPr>
            </w:pPr>
            <w:r w:rsidRPr="00FD7A80">
              <w:rPr>
                <w:rFonts w:ascii="Times New Roman" w:eastAsia="Times New Roman" w:hAnsi="Times New Roman"/>
                <w:sz w:val="18"/>
                <w:szCs w:val="18"/>
                <w:lang w:eastAsia="lt-LT"/>
              </w:rPr>
              <w:t>Metinis pirminės energijos suvartojimo viešuosiuose pastatuose sumažėjimas</w:t>
            </w:r>
          </w:p>
        </w:tc>
        <w:tc>
          <w:tcPr>
            <w:tcW w:w="1134" w:type="dxa"/>
            <w:shd w:val="clear" w:color="auto" w:fill="auto"/>
            <w:vAlign w:val="center"/>
          </w:tcPr>
          <w:p w:rsidR="00B30D13" w:rsidRPr="00FD7A80" w:rsidRDefault="00B30D13" w:rsidP="00B30D13">
            <w:pPr>
              <w:autoSpaceDE w:val="0"/>
              <w:autoSpaceDN w:val="0"/>
              <w:adjustRightInd w:val="0"/>
              <w:spacing w:after="0" w:line="240" w:lineRule="auto"/>
              <w:jc w:val="center"/>
              <w:rPr>
                <w:rFonts w:ascii="Times New Roman" w:eastAsia="Times New Roman" w:hAnsi="Times New Roman"/>
                <w:sz w:val="18"/>
                <w:szCs w:val="18"/>
                <w:lang w:eastAsia="lt-LT"/>
              </w:rPr>
            </w:pPr>
            <w:r w:rsidRPr="00FD7A80">
              <w:rPr>
                <w:rFonts w:ascii="Times New Roman" w:eastAsia="Times New Roman" w:hAnsi="Times New Roman"/>
                <w:sz w:val="18"/>
                <w:szCs w:val="18"/>
                <w:lang w:eastAsia="lt-LT"/>
              </w:rPr>
              <w:t>kWh/m.</w:t>
            </w:r>
          </w:p>
        </w:tc>
        <w:tc>
          <w:tcPr>
            <w:tcW w:w="850" w:type="dxa"/>
            <w:shd w:val="clear" w:color="auto" w:fill="auto"/>
            <w:vAlign w:val="center"/>
          </w:tcPr>
          <w:p w:rsidR="00B30D13" w:rsidRPr="00FD7A80" w:rsidRDefault="00B30D13" w:rsidP="00B30D13">
            <w:pPr>
              <w:widowControl w:val="0"/>
              <w:tabs>
                <w:tab w:val="left" w:pos="622"/>
              </w:tabs>
              <w:spacing w:after="0" w:line="240" w:lineRule="auto"/>
              <w:jc w:val="center"/>
              <w:rPr>
                <w:rFonts w:ascii="Times New Roman" w:hAnsi="Times New Roman"/>
                <w:bCs/>
                <w:iCs/>
                <w:sz w:val="18"/>
                <w:szCs w:val="18"/>
                <w:lang w:eastAsia="lt-LT"/>
              </w:rPr>
            </w:pPr>
            <w:r w:rsidRPr="00FD7A80">
              <w:rPr>
                <w:rFonts w:ascii="Times New Roman" w:hAnsi="Times New Roman"/>
                <w:bCs/>
                <w:iCs/>
                <w:sz w:val="18"/>
                <w:szCs w:val="18"/>
                <w:lang w:eastAsia="lt-LT"/>
              </w:rPr>
              <w:t>ERPF</w:t>
            </w:r>
          </w:p>
        </w:tc>
        <w:tc>
          <w:tcPr>
            <w:tcW w:w="1134" w:type="dxa"/>
            <w:shd w:val="clear" w:color="auto" w:fill="auto"/>
            <w:vAlign w:val="center"/>
          </w:tcPr>
          <w:p w:rsidR="00B30D13" w:rsidRPr="00FD7A80" w:rsidRDefault="00B30D13" w:rsidP="00B30D13">
            <w:pPr>
              <w:widowControl w:val="0"/>
              <w:tabs>
                <w:tab w:val="left" w:pos="622"/>
              </w:tabs>
              <w:spacing w:after="0" w:line="240" w:lineRule="auto"/>
              <w:jc w:val="center"/>
              <w:rPr>
                <w:rFonts w:ascii="Times New Roman" w:hAnsi="Times New Roman"/>
                <w:bCs/>
                <w:iCs/>
                <w:sz w:val="18"/>
                <w:szCs w:val="18"/>
                <w:lang w:eastAsia="lt-LT"/>
              </w:rPr>
            </w:pPr>
            <w:r w:rsidRPr="00FD7A80">
              <w:rPr>
                <w:rFonts w:ascii="Times New Roman" w:hAnsi="Times New Roman"/>
                <w:bCs/>
                <w:iCs/>
                <w:sz w:val="18"/>
                <w:szCs w:val="18"/>
                <w:lang w:eastAsia="lt-LT"/>
              </w:rPr>
              <w:t>Mažiau išsivystę</w:t>
            </w:r>
          </w:p>
        </w:tc>
        <w:tc>
          <w:tcPr>
            <w:tcW w:w="1134" w:type="dxa"/>
            <w:shd w:val="clear" w:color="auto" w:fill="auto"/>
            <w:vAlign w:val="center"/>
          </w:tcPr>
          <w:p w:rsidR="00B30D13" w:rsidRPr="005A42D0" w:rsidRDefault="00827571" w:rsidP="00B30D13">
            <w:pPr>
              <w:widowControl w:val="0"/>
              <w:tabs>
                <w:tab w:val="left" w:pos="622"/>
              </w:tabs>
              <w:spacing w:after="0" w:line="240" w:lineRule="auto"/>
              <w:jc w:val="center"/>
              <w:rPr>
                <w:rFonts w:ascii="Times New Roman" w:hAnsi="Times New Roman"/>
                <w:bCs/>
                <w:iCs/>
                <w:sz w:val="18"/>
                <w:szCs w:val="18"/>
                <w:lang w:eastAsia="lt-LT"/>
              </w:rPr>
            </w:pPr>
            <w:r w:rsidRPr="005A42D0">
              <w:rPr>
                <w:rFonts w:ascii="Times New Roman" w:hAnsi="Times New Roman"/>
                <w:bCs/>
                <w:iCs/>
                <w:sz w:val="18"/>
                <w:szCs w:val="18"/>
                <w:lang w:eastAsia="lt-LT"/>
              </w:rPr>
              <w:t>24.988.751</w:t>
            </w:r>
          </w:p>
        </w:tc>
        <w:tc>
          <w:tcPr>
            <w:tcW w:w="1134" w:type="dxa"/>
            <w:shd w:val="clear" w:color="auto" w:fill="auto"/>
            <w:vAlign w:val="center"/>
          </w:tcPr>
          <w:p w:rsidR="00B30D13" w:rsidRPr="00FD7A80" w:rsidRDefault="00B30D13" w:rsidP="00B30D13">
            <w:pPr>
              <w:widowControl w:val="0"/>
              <w:tabs>
                <w:tab w:val="left" w:pos="622"/>
              </w:tabs>
              <w:spacing w:after="0" w:line="240" w:lineRule="auto"/>
              <w:jc w:val="center"/>
              <w:rPr>
                <w:rFonts w:ascii="Times New Roman" w:hAnsi="Times New Roman"/>
                <w:bCs/>
                <w:iCs/>
                <w:sz w:val="18"/>
                <w:szCs w:val="18"/>
                <w:lang w:eastAsia="lt-LT"/>
              </w:rPr>
            </w:pPr>
            <w:r w:rsidRPr="00FD7A80">
              <w:rPr>
                <w:rFonts w:ascii="Times New Roman" w:hAnsi="Times New Roman"/>
                <w:bCs/>
                <w:iCs/>
                <w:sz w:val="18"/>
                <w:szCs w:val="18"/>
                <w:lang w:eastAsia="lt-LT"/>
              </w:rPr>
              <w:t>Duomenys iš projektų</w:t>
            </w:r>
          </w:p>
        </w:tc>
        <w:tc>
          <w:tcPr>
            <w:tcW w:w="1276" w:type="dxa"/>
            <w:shd w:val="clear" w:color="auto" w:fill="auto"/>
            <w:vAlign w:val="center"/>
          </w:tcPr>
          <w:p w:rsidR="00B30D13" w:rsidRPr="00FD7A80" w:rsidRDefault="00B30D13" w:rsidP="00B30D13">
            <w:pPr>
              <w:widowControl w:val="0"/>
              <w:tabs>
                <w:tab w:val="left" w:pos="622"/>
              </w:tabs>
              <w:spacing w:after="0" w:line="240" w:lineRule="auto"/>
              <w:jc w:val="center"/>
              <w:rPr>
                <w:rFonts w:ascii="Times New Roman" w:hAnsi="Times New Roman"/>
                <w:bCs/>
                <w:iCs/>
                <w:sz w:val="18"/>
                <w:szCs w:val="18"/>
                <w:lang w:eastAsia="lt-LT"/>
              </w:rPr>
            </w:pPr>
            <w:r w:rsidRPr="00FD7A80">
              <w:rPr>
                <w:rFonts w:ascii="Times New Roman" w:hAnsi="Times New Roman"/>
                <w:bCs/>
                <w:iCs/>
                <w:sz w:val="18"/>
                <w:szCs w:val="18"/>
                <w:lang w:eastAsia="lt-LT"/>
              </w:rPr>
              <w:t>Kartą per metus</w:t>
            </w:r>
          </w:p>
        </w:tc>
      </w:tr>
      <w:tr w:rsidR="00B30D13" w:rsidRPr="00FD7A80" w:rsidTr="005A42D0">
        <w:tblPrEx>
          <w:shd w:val="clear" w:color="auto" w:fill="auto"/>
        </w:tblPrEx>
        <w:tc>
          <w:tcPr>
            <w:tcW w:w="567" w:type="dxa"/>
            <w:shd w:val="clear" w:color="auto" w:fill="auto"/>
            <w:vAlign w:val="center"/>
          </w:tcPr>
          <w:p w:rsidR="00B30D13" w:rsidRPr="00FD7A80" w:rsidRDefault="00B30D13" w:rsidP="00B30D13">
            <w:pPr>
              <w:widowControl w:val="0"/>
              <w:tabs>
                <w:tab w:val="left" w:pos="622"/>
              </w:tabs>
              <w:spacing w:after="0" w:line="240" w:lineRule="auto"/>
              <w:jc w:val="center"/>
              <w:rPr>
                <w:rFonts w:ascii="Times New Roman" w:hAnsi="Times New Roman"/>
                <w:bCs/>
                <w:iCs/>
                <w:sz w:val="18"/>
                <w:szCs w:val="18"/>
                <w:lang w:eastAsia="lt-LT"/>
              </w:rPr>
            </w:pPr>
            <w:r w:rsidRPr="00FD7A80">
              <w:rPr>
                <w:rFonts w:ascii="Times New Roman" w:hAnsi="Times New Roman"/>
                <w:bCs/>
                <w:iCs/>
                <w:sz w:val="18"/>
                <w:szCs w:val="18"/>
                <w:lang w:eastAsia="lt-LT"/>
              </w:rPr>
              <w:t>3.</w:t>
            </w:r>
          </w:p>
        </w:tc>
        <w:tc>
          <w:tcPr>
            <w:tcW w:w="2552" w:type="dxa"/>
            <w:shd w:val="clear" w:color="auto" w:fill="auto"/>
            <w:vAlign w:val="center"/>
          </w:tcPr>
          <w:p w:rsidR="00B30D13" w:rsidRPr="00FD7A80" w:rsidRDefault="00B30D13" w:rsidP="00B30D13">
            <w:pPr>
              <w:autoSpaceDE w:val="0"/>
              <w:autoSpaceDN w:val="0"/>
              <w:adjustRightInd w:val="0"/>
              <w:spacing w:after="0" w:line="240" w:lineRule="auto"/>
              <w:rPr>
                <w:rFonts w:ascii="Times New Roman" w:eastAsia="Times New Roman" w:hAnsi="Times New Roman"/>
                <w:sz w:val="18"/>
                <w:szCs w:val="18"/>
                <w:lang w:eastAsia="lt-LT"/>
              </w:rPr>
            </w:pPr>
            <w:r w:rsidRPr="00FD7A80">
              <w:rPr>
                <w:rFonts w:ascii="Times New Roman" w:eastAsia="Times New Roman" w:hAnsi="Times New Roman"/>
                <w:sz w:val="18"/>
                <w:szCs w:val="18"/>
                <w:lang w:eastAsia="lt-LT"/>
              </w:rPr>
              <w:t>Papildomi atsinaujinančių išteklių energijos gamybos pajėgumai</w:t>
            </w:r>
          </w:p>
        </w:tc>
        <w:tc>
          <w:tcPr>
            <w:tcW w:w="1134" w:type="dxa"/>
            <w:shd w:val="clear" w:color="auto" w:fill="auto"/>
            <w:vAlign w:val="center"/>
          </w:tcPr>
          <w:p w:rsidR="00B30D13" w:rsidRPr="00FD7A80" w:rsidRDefault="00B30D13" w:rsidP="00B30D13">
            <w:pPr>
              <w:autoSpaceDE w:val="0"/>
              <w:autoSpaceDN w:val="0"/>
              <w:adjustRightInd w:val="0"/>
              <w:spacing w:after="0" w:line="240" w:lineRule="auto"/>
              <w:jc w:val="center"/>
              <w:rPr>
                <w:rFonts w:ascii="Times New Roman" w:eastAsia="Times New Roman" w:hAnsi="Times New Roman"/>
                <w:sz w:val="18"/>
                <w:szCs w:val="18"/>
                <w:lang w:eastAsia="lt-LT"/>
              </w:rPr>
            </w:pPr>
            <w:r w:rsidRPr="00FD7A80">
              <w:rPr>
                <w:rFonts w:ascii="Times New Roman" w:eastAsia="Times New Roman" w:hAnsi="Times New Roman"/>
                <w:sz w:val="18"/>
                <w:szCs w:val="18"/>
                <w:lang w:eastAsia="lt-LT"/>
              </w:rPr>
              <w:t>MW</w:t>
            </w:r>
          </w:p>
        </w:tc>
        <w:tc>
          <w:tcPr>
            <w:tcW w:w="850" w:type="dxa"/>
            <w:shd w:val="clear" w:color="auto" w:fill="auto"/>
            <w:vAlign w:val="center"/>
          </w:tcPr>
          <w:p w:rsidR="00B30D13" w:rsidRPr="00FD7A80" w:rsidRDefault="00B30D13" w:rsidP="00B30D13">
            <w:pPr>
              <w:widowControl w:val="0"/>
              <w:tabs>
                <w:tab w:val="left" w:pos="622"/>
              </w:tabs>
              <w:spacing w:after="0" w:line="240" w:lineRule="auto"/>
              <w:jc w:val="center"/>
              <w:rPr>
                <w:rFonts w:ascii="Times New Roman" w:hAnsi="Times New Roman"/>
                <w:bCs/>
                <w:iCs/>
                <w:sz w:val="18"/>
                <w:szCs w:val="18"/>
                <w:lang w:eastAsia="lt-LT"/>
              </w:rPr>
            </w:pPr>
            <w:r w:rsidRPr="00FD7A80">
              <w:rPr>
                <w:rFonts w:ascii="Times New Roman" w:hAnsi="Times New Roman"/>
                <w:bCs/>
                <w:iCs/>
                <w:sz w:val="18"/>
                <w:szCs w:val="18"/>
                <w:lang w:eastAsia="lt-LT"/>
              </w:rPr>
              <w:t>ERPF</w:t>
            </w:r>
          </w:p>
        </w:tc>
        <w:tc>
          <w:tcPr>
            <w:tcW w:w="1134" w:type="dxa"/>
            <w:shd w:val="clear" w:color="auto" w:fill="auto"/>
            <w:vAlign w:val="center"/>
          </w:tcPr>
          <w:p w:rsidR="00B30D13" w:rsidRPr="00FD7A80" w:rsidRDefault="00B30D13" w:rsidP="00B30D13">
            <w:pPr>
              <w:widowControl w:val="0"/>
              <w:tabs>
                <w:tab w:val="left" w:pos="622"/>
              </w:tabs>
              <w:spacing w:after="0" w:line="240" w:lineRule="auto"/>
              <w:jc w:val="center"/>
              <w:rPr>
                <w:rFonts w:ascii="Times New Roman" w:hAnsi="Times New Roman"/>
                <w:bCs/>
                <w:iCs/>
                <w:sz w:val="18"/>
                <w:szCs w:val="18"/>
                <w:lang w:eastAsia="lt-LT"/>
              </w:rPr>
            </w:pPr>
            <w:r w:rsidRPr="00FD7A80">
              <w:rPr>
                <w:rFonts w:ascii="Times New Roman" w:hAnsi="Times New Roman"/>
                <w:bCs/>
                <w:iCs/>
                <w:sz w:val="18"/>
                <w:szCs w:val="18"/>
                <w:lang w:eastAsia="lt-LT"/>
              </w:rPr>
              <w:t>Mažiau išsivystę</w:t>
            </w:r>
          </w:p>
        </w:tc>
        <w:tc>
          <w:tcPr>
            <w:tcW w:w="1134" w:type="dxa"/>
            <w:shd w:val="clear" w:color="auto" w:fill="auto"/>
            <w:vAlign w:val="center"/>
          </w:tcPr>
          <w:p w:rsidR="00B30D13" w:rsidRPr="005A42D0" w:rsidRDefault="00827571" w:rsidP="00B30D13">
            <w:pPr>
              <w:widowControl w:val="0"/>
              <w:tabs>
                <w:tab w:val="left" w:pos="622"/>
              </w:tabs>
              <w:spacing w:after="0" w:line="240" w:lineRule="auto"/>
              <w:jc w:val="center"/>
              <w:rPr>
                <w:rFonts w:ascii="Times New Roman" w:hAnsi="Times New Roman"/>
                <w:bCs/>
                <w:iCs/>
                <w:sz w:val="18"/>
                <w:szCs w:val="18"/>
                <w:lang w:eastAsia="lt-LT"/>
              </w:rPr>
            </w:pPr>
            <w:r w:rsidRPr="005A42D0">
              <w:rPr>
                <w:rFonts w:ascii="Times New Roman" w:hAnsi="Times New Roman"/>
                <w:bCs/>
                <w:iCs/>
                <w:sz w:val="18"/>
                <w:szCs w:val="18"/>
                <w:lang w:eastAsia="lt-LT"/>
              </w:rPr>
              <w:t>39</w:t>
            </w:r>
          </w:p>
        </w:tc>
        <w:tc>
          <w:tcPr>
            <w:tcW w:w="1134" w:type="dxa"/>
            <w:shd w:val="clear" w:color="auto" w:fill="auto"/>
            <w:vAlign w:val="center"/>
          </w:tcPr>
          <w:p w:rsidR="00B30D13" w:rsidRPr="00FD7A80" w:rsidRDefault="00B30D13" w:rsidP="00B30D13">
            <w:pPr>
              <w:widowControl w:val="0"/>
              <w:tabs>
                <w:tab w:val="left" w:pos="622"/>
              </w:tabs>
              <w:spacing w:after="0" w:line="240" w:lineRule="auto"/>
              <w:jc w:val="center"/>
              <w:rPr>
                <w:rFonts w:ascii="Times New Roman" w:hAnsi="Times New Roman"/>
                <w:bCs/>
                <w:iCs/>
                <w:sz w:val="18"/>
                <w:szCs w:val="18"/>
                <w:lang w:eastAsia="lt-LT"/>
              </w:rPr>
            </w:pPr>
            <w:r w:rsidRPr="00FD7A80">
              <w:rPr>
                <w:rFonts w:ascii="Times New Roman" w:hAnsi="Times New Roman"/>
                <w:bCs/>
                <w:iCs/>
                <w:sz w:val="18"/>
                <w:szCs w:val="18"/>
                <w:lang w:eastAsia="lt-LT"/>
              </w:rPr>
              <w:t>Duomenys iš projektų</w:t>
            </w:r>
          </w:p>
        </w:tc>
        <w:tc>
          <w:tcPr>
            <w:tcW w:w="1276" w:type="dxa"/>
            <w:shd w:val="clear" w:color="auto" w:fill="auto"/>
            <w:vAlign w:val="center"/>
          </w:tcPr>
          <w:p w:rsidR="00B30D13" w:rsidRPr="00FD7A80" w:rsidRDefault="00B30D13" w:rsidP="00B30D13">
            <w:pPr>
              <w:widowControl w:val="0"/>
              <w:tabs>
                <w:tab w:val="left" w:pos="622"/>
              </w:tabs>
              <w:spacing w:after="0" w:line="240" w:lineRule="auto"/>
              <w:jc w:val="center"/>
              <w:rPr>
                <w:rFonts w:ascii="Times New Roman" w:hAnsi="Times New Roman"/>
                <w:bCs/>
                <w:iCs/>
                <w:sz w:val="18"/>
                <w:szCs w:val="18"/>
                <w:lang w:eastAsia="lt-LT"/>
              </w:rPr>
            </w:pPr>
            <w:r w:rsidRPr="00FD7A80">
              <w:rPr>
                <w:rFonts w:ascii="Times New Roman" w:hAnsi="Times New Roman"/>
                <w:bCs/>
                <w:iCs/>
                <w:sz w:val="18"/>
                <w:szCs w:val="18"/>
                <w:lang w:eastAsia="lt-LT"/>
              </w:rPr>
              <w:t>Kartą per metus</w:t>
            </w:r>
          </w:p>
        </w:tc>
      </w:tr>
      <w:tr w:rsidR="00B30D13" w:rsidRPr="00FD7A80" w:rsidTr="005A42D0">
        <w:tblPrEx>
          <w:shd w:val="clear" w:color="auto" w:fill="auto"/>
        </w:tblPrEx>
        <w:tc>
          <w:tcPr>
            <w:tcW w:w="567" w:type="dxa"/>
            <w:shd w:val="clear" w:color="auto" w:fill="auto"/>
            <w:vAlign w:val="center"/>
          </w:tcPr>
          <w:p w:rsidR="00B30D13" w:rsidRPr="00FD7A80" w:rsidRDefault="00B30D13" w:rsidP="00B30D13">
            <w:pPr>
              <w:widowControl w:val="0"/>
              <w:tabs>
                <w:tab w:val="left" w:pos="622"/>
              </w:tabs>
              <w:spacing w:after="0" w:line="240" w:lineRule="auto"/>
              <w:jc w:val="center"/>
              <w:rPr>
                <w:rFonts w:ascii="Times New Roman" w:hAnsi="Times New Roman"/>
                <w:bCs/>
                <w:iCs/>
                <w:sz w:val="18"/>
                <w:szCs w:val="18"/>
                <w:lang w:eastAsia="lt-LT"/>
              </w:rPr>
            </w:pPr>
            <w:r w:rsidRPr="00FD7A80">
              <w:rPr>
                <w:rFonts w:ascii="Times New Roman" w:hAnsi="Times New Roman"/>
                <w:bCs/>
                <w:iCs/>
                <w:sz w:val="18"/>
                <w:szCs w:val="18"/>
                <w:lang w:eastAsia="lt-LT"/>
              </w:rPr>
              <w:t xml:space="preserve">4. </w:t>
            </w:r>
          </w:p>
        </w:tc>
        <w:tc>
          <w:tcPr>
            <w:tcW w:w="2552" w:type="dxa"/>
            <w:shd w:val="clear" w:color="auto" w:fill="auto"/>
            <w:vAlign w:val="center"/>
          </w:tcPr>
          <w:p w:rsidR="00B30D13" w:rsidRPr="00FD7A80" w:rsidRDefault="00B30D13" w:rsidP="00040D10">
            <w:pPr>
              <w:autoSpaceDE w:val="0"/>
              <w:autoSpaceDN w:val="0"/>
              <w:adjustRightInd w:val="0"/>
              <w:spacing w:after="0" w:line="240" w:lineRule="auto"/>
              <w:rPr>
                <w:rFonts w:ascii="Times New Roman" w:eastAsia="Times New Roman" w:hAnsi="Times New Roman"/>
                <w:sz w:val="18"/>
                <w:szCs w:val="18"/>
                <w:lang w:eastAsia="lt-LT"/>
              </w:rPr>
            </w:pPr>
            <w:r w:rsidRPr="00FD7A80">
              <w:rPr>
                <w:rFonts w:ascii="Times New Roman" w:eastAsia="Times New Roman" w:hAnsi="Times New Roman"/>
                <w:sz w:val="18"/>
                <w:szCs w:val="18"/>
                <w:lang w:eastAsia="lt-LT"/>
              </w:rPr>
              <w:t>Modernizuotų šviestuvų</w:t>
            </w:r>
            <w:r w:rsidR="00040D10">
              <w:rPr>
                <w:rFonts w:ascii="Times New Roman" w:eastAsia="Times New Roman" w:hAnsi="Times New Roman"/>
                <w:sz w:val="18"/>
                <w:szCs w:val="18"/>
                <w:lang w:eastAsia="lt-LT"/>
              </w:rPr>
              <w:t xml:space="preserve"> </w:t>
            </w:r>
            <w:r w:rsidRPr="00FD7A80">
              <w:rPr>
                <w:rFonts w:ascii="Times New Roman" w:eastAsia="Times New Roman" w:hAnsi="Times New Roman"/>
                <w:sz w:val="18"/>
                <w:szCs w:val="18"/>
                <w:lang w:eastAsia="lt-LT"/>
              </w:rPr>
              <w:t>skaičius</w:t>
            </w:r>
          </w:p>
        </w:tc>
        <w:tc>
          <w:tcPr>
            <w:tcW w:w="1134" w:type="dxa"/>
            <w:shd w:val="clear" w:color="auto" w:fill="auto"/>
            <w:vAlign w:val="center"/>
          </w:tcPr>
          <w:p w:rsidR="00B30D13" w:rsidRPr="00FD7A80" w:rsidRDefault="00B30D13" w:rsidP="00B30D13">
            <w:pPr>
              <w:autoSpaceDE w:val="0"/>
              <w:autoSpaceDN w:val="0"/>
              <w:adjustRightInd w:val="0"/>
              <w:spacing w:after="0" w:line="240" w:lineRule="auto"/>
              <w:jc w:val="center"/>
              <w:rPr>
                <w:rFonts w:ascii="Times New Roman" w:eastAsia="Times New Roman" w:hAnsi="Times New Roman"/>
                <w:sz w:val="18"/>
                <w:szCs w:val="18"/>
                <w:lang w:eastAsia="lt-LT"/>
              </w:rPr>
            </w:pPr>
            <w:r w:rsidRPr="00FD7A80">
              <w:rPr>
                <w:rFonts w:ascii="Times New Roman" w:eastAsia="Times New Roman" w:hAnsi="Times New Roman"/>
                <w:sz w:val="18"/>
                <w:szCs w:val="18"/>
                <w:lang w:eastAsia="lt-LT"/>
              </w:rPr>
              <w:t>Šviestuvai</w:t>
            </w:r>
          </w:p>
        </w:tc>
        <w:tc>
          <w:tcPr>
            <w:tcW w:w="850" w:type="dxa"/>
            <w:shd w:val="clear" w:color="auto" w:fill="auto"/>
            <w:vAlign w:val="center"/>
          </w:tcPr>
          <w:p w:rsidR="00B30D13" w:rsidRPr="00FD7A80" w:rsidRDefault="00B30D13" w:rsidP="00B30D13">
            <w:pPr>
              <w:widowControl w:val="0"/>
              <w:tabs>
                <w:tab w:val="left" w:pos="622"/>
              </w:tabs>
              <w:spacing w:after="0" w:line="240" w:lineRule="auto"/>
              <w:jc w:val="center"/>
              <w:rPr>
                <w:rFonts w:ascii="Times New Roman" w:hAnsi="Times New Roman"/>
                <w:bCs/>
                <w:iCs/>
                <w:sz w:val="18"/>
                <w:szCs w:val="18"/>
                <w:lang w:eastAsia="lt-LT"/>
              </w:rPr>
            </w:pPr>
            <w:r w:rsidRPr="00FD7A80">
              <w:rPr>
                <w:rFonts w:ascii="Times New Roman" w:hAnsi="Times New Roman"/>
                <w:bCs/>
                <w:iCs/>
                <w:sz w:val="18"/>
                <w:szCs w:val="18"/>
                <w:lang w:eastAsia="lt-LT"/>
              </w:rPr>
              <w:t>ERPF</w:t>
            </w:r>
          </w:p>
        </w:tc>
        <w:tc>
          <w:tcPr>
            <w:tcW w:w="1134" w:type="dxa"/>
            <w:shd w:val="clear" w:color="auto" w:fill="auto"/>
            <w:vAlign w:val="center"/>
          </w:tcPr>
          <w:p w:rsidR="00B30D13" w:rsidRPr="00FD7A80" w:rsidRDefault="00B30D13" w:rsidP="00B30D13">
            <w:pPr>
              <w:widowControl w:val="0"/>
              <w:tabs>
                <w:tab w:val="left" w:pos="622"/>
              </w:tabs>
              <w:spacing w:after="0" w:line="240" w:lineRule="auto"/>
              <w:jc w:val="center"/>
              <w:rPr>
                <w:rFonts w:ascii="Times New Roman" w:hAnsi="Times New Roman"/>
                <w:bCs/>
                <w:iCs/>
                <w:sz w:val="18"/>
                <w:szCs w:val="18"/>
                <w:lang w:eastAsia="lt-LT"/>
              </w:rPr>
            </w:pPr>
            <w:r w:rsidRPr="00FD7A80">
              <w:rPr>
                <w:rFonts w:ascii="Times New Roman" w:hAnsi="Times New Roman"/>
                <w:bCs/>
                <w:iCs/>
                <w:sz w:val="18"/>
                <w:szCs w:val="18"/>
                <w:lang w:eastAsia="lt-LT"/>
              </w:rPr>
              <w:t>Mažiau išsivystę</w:t>
            </w:r>
          </w:p>
        </w:tc>
        <w:tc>
          <w:tcPr>
            <w:tcW w:w="1134" w:type="dxa"/>
            <w:shd w:val="clear" w:color="auto" w:fill="auto"/>
            <w:vAlign w:val="center"/>
          </w:tcPr>
          <w:p w:rsidR="00B30D13" w:rsidRPr="005A42D0" w:rsidRDefault="00827571" w:rsidP="00B30D13">
            <w:pPr>
              <w:widowControl w:val="0"/>
              <w:tabs>
                <w:tab w:val="left" w:pos="622"/>
              </w:tabs>
              <w:spacing w:after="0" w:line="240" w:lineRule="auto"/>
              <w:jc w:val="center"/>
              <w:rPr>
                <w:rFonts w:ascii="Times New Roman" w:hAnsi="Times New Roman"/>
                <w:bCs/>
                <w:iCs/>
                <w:sz w:val="18"/>
                <w:szCs w:val="18"/>
                <w:lang w:eastAsia="lt-LT"/>
              </w:rPr>
            </w:pPr>
            <w:r w:rsidRPr="005A42D0">
              <w:rPr>
                <w:rFonts w:ascii="Times New Roman" w:hAnsi="Times New Roman"/>
                <w:bCs/>
                <w:iCs/>
                <w:sz w:val="18"/>
                <w:szCs w:val="18"/>
                <w:lang w:eastAsia="lt-LT"/>
              </w:rPr>
              <w:t>41.000</w:t>
            </w:r>
          </w:p>
        </w:tc>
        <w:tc>
          <w:tcPr>
            <w:tcW w:w="1134" w:type="dxa"/>
            <w:shd w:val="clear" w:color="auto" w:fill="auto"/>
            <w:vAlign w:val="center"/>
          </w:tcPr>
          <w:p w:rsidR="00B30D13" w:rsidRPr="00FD7A80" w:rsidRDefault="00B30D13" w:rsidP="00B30D13">
            <w:pPr>
              <w:widowControl w:val="0"/>
              <w:tabs>
                <w:tab w:val="left" w:pos="622"/>
              </w:tabs>
              <w:spacing w:after="0" w:line="240" w:lineRule="auto"/>
              <w:jc w:val="center"/>
              <w:rPr>
                <w:rFonts w:ascii="Times New Roman" w:hAnsi="Times New Roman"/>
                <w:bCs/>
                <w:iCs/>
                <w:sz w:val="18"/>
                <w:szCs w:val="18"/>
                <w:lang w:eastAsia="lt-LT"/>
              </w:rPr>
            </w:pPr>
            <w:r w:rsidRPr="00FD7A80">
              <w:rPr>
                <w:rFonts w:ascii="Times New Roman" w:hAnsi="Times New Roman"/>
                <w:bCs/>
                <w:iCs/>
                <w:sz w:val="18"/>
                <w:szCs w:val="18"/>
                <w:lang w:eastAsia="lt-LT"/>
              </w:rPr>
              <w:t>Duomenys iš projektų</w:t>
            </w:r>
          </w:p>
        </w:tc>
        <w:tc>
          <w:tcPr>
            <w:tcW w:w="1276" w:type="dxa"/>
            <w:shd w:val="clear" w:color="auto" w:fill="auto"/>
            <w:vAlign w:val="center"/>
          </w:tcPr>
          <w:p w:rsidR="00B30D13" w:rsidRPr="00FD7A80" w:rsidRDefault="00B30D13" w:rsidP="00B30D13">
            <w:pPr>
              <w:widowControl w:val="0"/>
              <w:tabs>
                <w:tab w:val="left" w:pos="622"/>
              </w:tabs>
              <w:spacing w:after="0" w:line="240" w:lineRule="auto"/>
              <w:jc w:val="center"/>
              <w:rPr>
                <w:rFonts w:ascii="Times New Roman" w:hAnsi="Times New Roman"/>
                <w:bCs/>
                <w:iCs/>
                <w:sz w:val="18"/>
                <w:szCs w:val="18"/>
                <w:lang w:eastAsia="lt-LT"/>
              </w:rPr>
            </w:pPr>
            <w:r w:rsidRPr="00FD7A80">
              <w:rPr>
                <w:rFonts w:ascii="Times New Roman" w:hAnsi="Times New Roman"/>
                <w:bCs/>
                <w:iCs/>
                <w:sz w:val="18"/>
                <w:szCs w:val="18"/>
                <w:lang w:eastAsia="lt-LT"/>
              </w:rPr>
              <w:t>Kartą per metus</w:t>
            </w:r>
          </w:p>
        </w:tc>
      </w:tr>
    </w:tbl>
    <w:p w:rsidR="00B30D13" w:rsidRDefault="00B30D13" w:rsidP="00254EEE">
      <w:pPr>
        <w:widowControl w:val="0"/>
        <w:tabs>
          <w:tab w:val="left" w:pos="622"/>
        </w:tabs>
        <w:spacing w:after="0" w:line="240" w:lineRule="auto"/>
        <w:jc w:val="both"/>
        <w:rPr>
          <w:rFonts w:ascii="Times New Roman" w:eastAsia="AngsanaUPC" w:hAnsi="Times New Roman"/>
          <w:bCs/>
          <w:sz w:val="24"/>
          <w:szCs w:val="24"/>
          <w:lang w:eastAsia="lt-LT"/>
        </w:rPr>
      </w:pPr>
    </w:p>
    <w:p w:rsidR="005A42D0" w:rsidRPr="00FD7A80" w:rsidRDefault="005A42D0" w:rsidP="00254EEE">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746"/>
      </w:tblGrid>
      <w:tr w:rsidR="00B30D13" w:rsidRPr="00FD7A80" w:rsidTr="005A42D0">
        <w:tc>
          <w:tcPr>
            <w:tcW w:w="9746" w:type="dxa"/>
            <w:shd w:val="clear" w:color="auto" w:fill="EEECE1"/>
          </w:tcPr>
          <w:p w:rsidR="00B30D13" w:rsidRPr="00FD7A80" w:rsidRDefault="00B30D13" w:rsidP="00B30D13">
            <w:pPr>
              <w:widowControl w:val="0"/>
              <w:tabs>
                <w:tab w:val="left" w:pos="622"/>
              </w:tabs>
              <w:spacing w:after="0" w:line="240" w:lineRule="auto"/>
              <w:jc w:val="both"/>
              <w:rPr>
                <w:rFonts w:ascii="Times New Roman" w:eastAsia="AngsanaUPC" w:hAnsi="Times New Roman"/>
                <w:b/>
                <w:bCs/>
                <w:sz w:val="24"/>
                <w:szCs w:val="24"/>
                <w:lang w:eastAsia="lt-LT"/>
              </w:rPr>
            </w:pPr>
            <w:r w:rsidRPr="00FD7A80">
              <w:rPr>
                <w:rFonts w:ascii="Times New Roman" w:eastAsia="AngsanaUPC" w:hAnsi="Times New Roman"/>
                <w:b/>
                <w:bCs/>
                <w:i/>
                <w:iCs/>
                <w:sz w:val="24"/>
                <w:szCs w:val="24"/>
                <w:lang w:eastAsia="lt-LT"/>
              </w:rPr>
              <w:lastRenderedPageBreak/>
              <w:t>Projektų / veiksmų atrankos principai</w:t>
            </w:r>
          </w:p>
        </w:tc>
      </w:tr>
      <w:tr w:rsidR="00B30D13" w:rsidRPr="00FD7A80" w:rsidTr="005A42D0">
        <w:tc>
          <w:tcPr>
            <w:tcW w:w="9746" w:type="dxa"/>
            <w:shd w:val="clear" w:color="auto" w:fill="auto"/>
          </w:tcPr>
          <w:p w:rsidR="00B30D13" w:rsidRPr="00FD7A80" w:rsidRDefault="00B30D13" w:rsidP="00650E41">
            <w:pPr>
              <w:widowControl w:val="0"/>
              <w:numPr>
                <w:ilvl w:val="0"/>
                <w:numId w:val="52"/>
              </w:numPr>
              <w:tabs>
                <w:tab w:val="left" w:pos="601"/>
              </w:tabs>
              <w:spacing w:after="0" w:line="240" w:lineRule="auto"/>
              <w:ind w:left="34" w:firstLine="284"/>
              <w:jc w:val="both"/>
              <w:rPr>
                <w:rFonts w:ascii="Times New Roman" w:eastAsia="AngsanaUPC" w:hAnsi="Times New Roman"/>
                <w:bCs/>
                <w:sz w:val="24"/>
                <w:szCs w:val="24"/>
                <w:lang w:eastAsia="lt-LT"/>
              </w:rPr>
            </w:pPr>
            <w:r w:rsidRPr="00FD7A80">
              <w:rPr>
                <w:rFonts w:ascii="Times New Roman" w:eastAsia="AngsanaUPC" w:hAnsi="Times New Roman"/>
                <w:bCs/>
                <w:sz w:val="24"/>
                <w:szCs w:val="24"/>
                <w:lang w:eastAsia="lt-LT"/>
              </w:rPr>
              <w:t>13.1.2 konkretų uždavinį įgyvendinantys projektai bus atrenkami tęstinės projektų atrankos būdu, projektų konkurso būdu ir valstybės projektų planavimo būdu (tiesiogiai skiriant subsidiją). Jeigu nusprendžiama, kad konkrečiam projektui dotacijos skiriamos tiesiogiai, ši procedūra turi atitikti sąlygas, nustatytas Bendrųjų nuostatų reglamento 125.3 str. (a) dalyje (ii) punkte, kuriuo reikalaujama, kad dotacijų skyrimo procedūra turi būti nediskriminuojanti ir skaidri.</w:t>
            </w:r>
          </w:p>
          <w:p w:rsidR="00B30D13" w:rsidRPr="00FD7A80" w:rsidRDefault="00B30D13" w:rsidP="00B30D13">
            <w:pPr>
              <w:widowControl w:val="0"/>
              <w:tabs>
                <w:tab w:val="left" w:pos="601"/>
              </w:tabs>
              <w:spacing w:after="0" w:line="240" w:lineRule="auto"/>
              <w:ind w:firstLine="318"/>
              <w:jc w:val="both"/>
              <w:rPr>
                <w:rFonts w:ascii="Times New Roman" w:eastAsia="AngsanaUPC" w:hAnsi="Times New Roman"/>
                <w:bCs/>
                <w:sz w:val="24"/>
                <w:szCs w:val="24"/>
                <w:lang w:eastAsia="lt-LT"/>
              </w:rPr>
            </w:pPr>
            <w:r w:rsidRPr="00FD7A80">
              <w:rPr>
                <w:rFonts w:ascii="Times New Roman" w:eastAsia="AngsanaUPC" w:hAnsi="Times New Roman"/>
                <w:bCs/>
                <w:sz w:val="24"/>
                <w:szCs w:val="24"/>
                <w:lang w:eastAsia="lt-LT"/>
              </w:rPr>
              <w:t>* Esant pagrįstam poreikiui pagal kiekvieną investicinį prioritetą gali būti taikomi ir kiti projektų atrankos būdai nurodyti pirmojo prioriteto dalyje „Projektų / veiksmų atrankos principai“.</w:t>
            </w:r>
          </w:p>
        </w:tc>
      </w:tr>
    </w:tbl>
    <w:p w:rsidR="00B30D13" w:rsidRDefault="00B30D13" w:rsidP="00B30D13">
      <w:pPr>
        <w:widowControl w:val="0"/>
        <w:tabs>
          <w:tab w:val="left" w:pos="622"/>
        </w:tabs>
        <w:spacing w:after="0" w:line="240" w:lineRule="auto"/>
        <w:jc w:val="both"/>
        <w:rPr>
          <w:rFonts w:ascii="Times New Roman" w:eastAsia="AngsanaUPC" w:hAnsi="Times New Roman"/>
          <w:bCs/>
          <w:sz w:val="20"/>
          <w:szCs w:val="20"/>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746"/>
      </w:tblGrid>
      <w:tr w:rsidR="00FD7A80" w:rsidRPr="00FD7A80" w:rsidTr="000A7F7A">
        <w:tc>
          <w:tcPr>
            <w:tcW w:w="9746" w:type="dxa"/>
            <w:shd w:val="clear" w:color="auto" w:fill="EEECE1"/>
          </w:tcPr>
          <w:p w:rsidR="00FD7A80" w:rsidRPr="00FD7A80" w:rsidRDefault="00FD7A80" w:rsidP="00FD7A80">
            <w:pPr>
              <w:widowControl w:val="0"/>
              <w:tabs>
                <w:tab w:val="left" w:pos="622"/>
              </w:tabs>
              <w:spacing w:after="0" w:line="240" w:lineRule="auto"/>
              <w:jc w:val="both"/>
              <w:rPr>
                <w:rFonts w:ascii="Times New Roman" w:eastAsia="AngsanaUPC" w:hAnsi="Times New Roman"/>
                <w:b/>
                <w:bCs/>
                <w:sz w:val="24"/>
                <w:szCs w:val="24"/>
                <w:lang w:eastAsia="lt-LT"/>
              </w:rPr>
            </w:pPr>
            <w:r w:rsidRPr="00FD7A80">
              <w:rPr>
                <w:rFonts w:ascii="Times New Roman" w:eastAsia="AngsanaUPC" w:hAnsi="Times New Roman"/>
                <w:b/>
                <w:bCs/>
                <w:i/>
                <w:iCs/>
                <w:sz w:val="24"/>
                <w:szCs w:val="24"/>
                <w:lang w:eastAsia="lt-LT"/>
              </w:rPr>
              <w:t>Finansiniai instrumentai ir jų aprašymas</w:t>
            </w:r>
          </w:p>
        </w:tc>
      </w:tr>
      <w:tr w:rsidR="00FD7A80" w:rsidRPr="00FD7A80" w:rsidTr="000A7F7A">
        <w:tc>
          <w:tcPr>
            <w:tcW w:w="9746" w:type="dxa"/>
            <w:shd w:val="clear" w:color="auto" w:fill="auto"/>
          </w:tcPr>
          <w:p w:rsidR="00FD7A80" w:rsidRPr="00FD7A80" w:rsidRDefault="00FD7A80" w:rsidP="00FD7A80">
            <w:pPr>
              <w:widowControl w:val="0"/>
              <w:tabs>
                <w:tab w:val="left" w:pos="601"/>
              </w:tabs>
              <w:spacing w:after="0" w:line="240" w:lineRule="auto"/>
              <w:ind w:firstLine="318"/>
              <w:jc w:val="both"/>
              <w:rPr>
                <w:rFonts w:ascii="Times New Roman" w:eastAsia="AngsanaUPC" w:hAnsi="Times New Roman"/>
                <w:bCs/>
                <w:sz w:val="24"/>
                <w:szCs w:val="24"/>
                <w:lang w:eastAsia="lt-LT"/>
              </w:rPr>
            </w:pPr>
            <w:r w:rsidRPr="00FD7A80">
              <w:rPr>
                <w:rFonts w:ascii="Times New Roman" w:eastAsia="AngsanaUPC" w:hAnsi="Times New Roman"/>
                <w:bCs/>
                <w:sz w:val="24"/>
                <w:szCs w:val="24"/>
                <w:lang w:eastAsia="lt-LT"/>
              </w:rPr>
              <w:t>Energijos vartojimo efektyvumo didinimo viešojoje infrastruktūroje projektams finansuoti numatoma subsidijas derinti su finansinėmis priemonėmis, kurios finansuojamos iš 4 prioriteto lėšų.</w:t>
            </w:r>
          </w:p>
        </w:tc>
      </w:tr>
    </w:tbl>
    <w:p w:rsidR="00FD7A80" w:rsidRPr="00FD7A80" w:rsidRDefault="00FD7A80" w:rsidP="00B30D13">
      <w:pPr>
        <w:widowControl w:val="0"/>
        <w:tabs>
          <w:tab w:val="left" w:pos="622"/>
        </w:tabs>
        <w:spacing w:after="0" w:line="240" w:lineRule="auto"/>
        <w:jc w:val="both"/>
        <w:rPr>
          <w:rFonts w:ascii="Times New Roman" w:eastAsia="AngsanaUPC" w:hAnsi="Times New Roman"/>
          <w:bCs/>
          <w:sz w:val="20"/>
          <w:szCs w:val="20"/>
          <w:lang w:eastAsia="lt-LT"/>
        </w:rPr>
      </w:pPr>
    </w:p>
    <w:p w:rsidR="00B30D13" w:rsidRPr="00FD7A80" w:rsidRDefault="00B30D13" w:rsidP="00B30D13">
      <w:pPr>
        <w:widowControl w:val="0"/>
        <w:tabs>
          <w:tab w:val="left" w:pos="622"/>
        </w:tabs>
        <w:spacing w:after="0" w:line="240" w:lineRule="auto"/>
        <w:jc w:val="both"/>
        <w:rPr>
          <w:rFonts w:ascii="Times New Roman" w:eastAsia="AngsanaUPC" w:hAnsi="Times New Roman"/>
          <w:bCs/>
          <w:sz w:val="24"/>
          <w:szCs w:val="24"/>
          <w:lang w:eastAsia="lt-LT"/>
        </w:rPr>
        <w:sectPr w:rsidR="00B30D13" w:rsidRPr="00FD7A80" w:rsidSect="00AC19DA">
          <w:pgSz w:w="11906" w:h="16838" w:code="9"/>
          <w:pgMar w:top="1701" w:right="567" w:bottom="1134" w:left="1701" w:header="567" w:footer="567" w:gutter="0"/>
          <w:cols w:space="1296"/>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709"/>
        <w:gridCol w:w="6322"/>
        <w:gridCol w:w="1865"/>
      </w:tblGrid>
      <w:tr w:rsidR="00B30D13" w:rsidRPr="00FD7A80" w:rsidTr="00B30D13">
        <w:trPr>
          <w:tblHeader/>
        </w:trPr>
        <w:tc>
          <w:tcPr>
            <w:tcW w:w="9813" w:type="dxa"/>
            <w:gridSpan w:val="4"/>
            <w:shd w:val="clear" w:color="auto" w:fill="EEECE1" w:themeFill="background2"/>
            <w:vAlign w:val="center"/>
          </w:tcPr>
          <w:p w:rsidR="00B30D13" w:rsidRPr="00FD7A80" w:rsidRDefault="00B30D13" w:rsidP="00B30D13">
            <w:pPr>
              <w:widowControl w:val="0"/>
              <w:tabs>
                <w:tab w:val="left" w:pos="622"/>
              </w:tabs>
              <w:spacing w:after="0" w:line="240" w:lineRule="auto"/>
              <w:jc w:val="both"/>
              <w:rPr>
                <w:rFonts w:ascii="Times New Roman" w:hAnsi="Times New Roman"/>
                <w:b/>
                <w:bCs/>
                <w:i/>
                <w:iCs/>
                <w:sz w:val="18"/>
                <w:szCs w:val="18"/>
              </w:rPr>
            </w:pPr>
            <w:r w:rsidRPr="00FD7A80">
              <w:rPr>
                <w:rFonts w:ascii="Times New Roman" w:hAnsi="Times New Roman"/>
                <w:b/>
                <w:bCs/>
                <w:i/>
                <w:iCs/>
                <w:sz w:val="18"/>
                <w:szCs w:val="18"/>
              </w:rPr>
              <w:lastRenderedPageBreak/>
              <w:t>Intervencinių veiksmų sritis</w:t>
            </w:r>
          </w:p>
        </w:tc>
      </w:tr>
      <w:tr w:rsidR="00B30D13" w:rsidRPr="00FD7A80" w:rsidTr="00B30D13">
        <w:tc>
          <w:tcPr>
            <w:tcW w:w="851" w:type="dxa"/>
            <w:shd w:val="clear" w:color="auto" w:fill="EEECE1" w:themeFill="background2"/>
            <w:vAlign w:val="center"/>
          </w:tcPr>
          <w:p w:rsidR="00B30D13" w:rsidRPr="00FD7A80" w:rsidRDefault="00B30D13" w:rsidP="00B30D13">
            <w:pPr>
              <w:widowControl w:val="0"/>
              <w:tabs>
                <w:tab w:val="left" w:pos="622"/>
              </w:tabs>
              <w:spacing w:after="0" w:line="240" w:lineRule="auto"/>
              <w:jc w:val="both"/>
              <w:rPr>
                <w:rFonts w:ascii="Times New Roman" w:hAnsi="Times New Roman"/>
                <w:b/>
                <w:bCs/>
                <w:iCs/>
                <w:sz w:val="18"/>
                <w:szCs w:val="18"/>
              </w:rPr>
            </w:pPr>
            <w:r w:rsidRPr="00FD7A80">
              <w:rPr>
                <w:rFonts w:ascii="Times New Roman" w:hAnsi="Times New Roman"/>
                <w:b/>
                <w:bCs/>
                <w:iCs/>
                <w:sz w:val="18"/>
                <w:szCs w:val="18"/>
              </w:rPr>
              <w:t>Fondas</w:t>
            </w:r>
          </w:p>
        </w:tc>
        <w:tc>
          <w:tcPr>
            <w:tcW w:w="709" w:type="dxa"/>
            <w:shd w:val="clear" w:color="auto" w:fill="EEECE1" w:themeFill="background2"/>
            <w:vAlign w:val="center"/>
          </w:tcPr>
          <w:p w:rsidR="00B30D13" w:rsidRPr="00FD7A80" w:rsidRDefault="00B30D13" w:rsidP="00B30D13">
            <w:pPr>
              <w:widowControl w:val="0"/>
              <w:tabs>
                <w:tab w:val="left" w:pos="622"/>
              </w:tabs>
              <w:spacing w:after="0" w:line="240" w:lineRule="auto"/>
              <w:jc w:val="both"/>
              <w:rPr>
                <w:rFonts w:ascii="Times New Roman" w:hAnsi="Times New Roman"/>
                <w:b/>
                <w:bCs/>
                <w:iCs/>
                <w:sz w:val="18"/>
                <w:szCs w:val="18"/>
              </w:rPr>
            </w:pPr>
            <w:r w:rsidRPr="00FD7A80">
              <w:rPr>
                <w:rFonts w:ascii="Times New Roman" w:hAnsi="Times New Roman"/>
                <w:b/>
                <w:bCs/>
                <w:iCs/>
                <w:sz w:val="18"/>
                <w:szCs w:val="18"/>
              </w:rPr>
              <w:t>Kodas</w:t>
            </w:r>
          </w:p>
        </w:tc>
        <w:tc>
          <w:tcPr>
            <w:tcW w:w="6378" w:type="dxa"/>
            <w:shd w:val="clear" w:color="auto" w:fill="EEECE1" w:themeFill="background2"/>
            <w:vAlign w:val="center"/>
          </w:tcPr>
          <w:p w:rsidR="00B30D13" w:rsidRPr="00FD7A80" w:rsidRDefault="00B30D13" w:rsidP="00B30D13">
            <w:pPr>
              <w:widowControl w:val="0"/>
              <w:tabs>
                <w:tab w:val="left" w:pos="622"/>
              </w:tabs>
              <w:spacing w:after="0" w:line="240" w:lineRule="auto"/>
              <w:jc w:val="both"/>
              <w:rPr>
                <w:rFonts w:ascii="Times New Roman" w:hAnsi="Times New Roman"/>
                <w:b/>
                <w:bCs/>
                <w:iCs/>
                <w:sz w:val="18"/>
                <w:szCs w:val="18"/>
              </w:rPr>
            </w:pPr>
            <w:r w:rsidRPr="00FD7A80">
              <w:rPr>
                <w:rFonts w:ascii="Times New Roman" w:hAnsi="Times New Roman"/>
                <w:b/>
                <w:bCs/>
                <w:iCs/>
                <w:sz w:val="18"/>
                <w:szCs w:val="18"/>
              </w:rPr>
              <w:t>Pavadinimas</w:t>
            </w:r>
          </w:p>
        </w:tc>
        <w:tc>
          <w:tcPr>
            <w:tcW w:w="1875" w:type="dxa"/>
            <w:shd w:val="clear" w:color="auto" w:fill="EEECE1" w:themeFill="background2"/>
            <w:vAlign w:val="center"/>
          </w:tcPr>
          <w:p w:rsidR="00B30D13" w:rsidRPr="00FD7A80" w:rsidRDefault="00B30D13" w:rsidP="00B30D13">
            <w:pPr>
              <w:widowControl w:val="0"/>
              <w:tabs>
                <w:tab w:val="left" w:pos="622"/>
              </w:tabs>
              <w:spacing w:after="0" w:line="240" w:lineRule="auto"/>
              <w:jc w:val="center"/>
              <w:rPr>
                <w:rFonts w:ascii="Times New Roman" w:hAnsi="Times New Roman"/>
                <w:b/>
                <w:bCs/>
                <w:iCs/>
                <w:sz w:val="18"/>
                <w:szCs w:val="18"/>
              </w:rPr>
            </w:pPr>
            <w:r w:rsidRPr="00FD7A80">
              <w:rPr>
                <w:rFonts w:ascii="Times New Roman" w:hAnsi="Times New Roman"/>
                <w:b/>
                <w:bCs/>
                <w:iCs/>
                <w:sz w:val="18"/>
                <w:szCs w:val="18"/>
              </w:rPr>
              <w:t>Finansinė proporcija (eurais)</w:t>
            </w:r>
          </w:p>
        </w:tc>
      </w:tr>
      <w:tr w:rsidR="00B30D13" w:rsidRPr="00FD7A80" w:rsidTr="00B30D13">
        <w:trPr>
          <w:trHeight w:val="110"/>
        </w:trPr>
        <w:tc>
          <w:tcPr>
            <w:tcW w:w="851" w:type="dxa"/>
            <w:shd w:val="clear" w:color="auto" w:fill="auto"/>
            <w:vAlign w:val="center"/>
          </w:tcPr>
          <w:p w:rsidR="00B30D13" w:rsidRPr="00FD7A80" w:rsidRDefault="00B30D13" w:rsidP="00B30D13">
            <w:pPr>
              <w:widowControl w:val="0"/>
              <w:tabs>
                <w:tab w:val="left" w:pos="622"/>
              </w:tabs>
              <w:spacing w:after="0" w:line="240" w:lineRule="auto"/>
              <w:rPr>
                <w:rFonts w:ascii="Times New Roman" w:eastAsia="Times New Roman" w:hAnsi="Times New Roman"/>
                <w:sz w:val="18"/>
                <w:szCs w:val="18"/>
                <w:highlight w:val="yellow"/>
              </w:rPr>
            </w:pPr>
            <w:r w:rsidRPr="00FD7A80">
              <w:rPr>
                <w:rFonts w:ascii="Times New Roman" w:eastAsia="Times New Roman" w:hAnsi="Times New Roman"/>
                <w:sz w:val="18"/>
                <w:szCs w:val="18"/>
              </w:rPr>
              <w:t>ERPF</w:t>
            </w:r>
          </w:p>
        </w:tc>
        <w:tc>
          <w:tcPr>
            <w:tcW w:w="709" w:type="dxa"/>
            <w:shd w:val="clear" w:color="auto" w:fill="auto"/>
            <w:vAlign w:val="center"/>
          </w:tcPr>
          <w:p w:rsidR="00B30D13" w:rsidRPr="00FD7A80" w:rsidRDefault="00B30D13" w:rsidP="00B30D13">
            <w:pPr>
              <w:widowControl w:val="0"/>
              <w:tabs>
                <w:tab w:val="left" w:pos="622"/>
              </w:tabs>
              <w:spacing w:after="0" w:line="240" w:lineRule="auto"/>
              <w:rPr>
                <w:rFonts w:ascii="Times New Roman" w:eastAsia="Times New Roman" w:hAnsi="Times New Roman"/>
                <w:sz w:val="18"/>
                <w:szCs w:val="18"/>
              </w:rPr>
            </w:pPr>
            <w:r w:rsidRPr="00FD7A80">
              <w:rPr>
                <w:rFonts w:ascii="Times New Roman" w:eastAsia="Times New Roman" w:hAnsi="Times New Roman"/>
                <w:sz w:val="18"/>
                <w:szCs w:val="18"/>
              </w:rPr>
              <w:t>010</w:t>
            </w:r>
          </w:p>
        </w:tc>
        <w:tc>
          <w:tcPr>
            <w:tcW w:w="6378" w:type="dxa"/>
            <w:shd w:val="clear" w:color="auto" w:fill="auto"/>
          </w:tcPr>
          <w:p w:rsidR="00B30D13" w:rsidRPr="00FD7A80" w:rsidRDefault="00B30D13" w:rsidP="00B30D13">
            <w:pPr>
              <w:widowControl w:val="0"/>
              <w:tabs>
                <w:tab w:val="left" w:pos="622"/>
              </w:tabs>
              <w:spacing w:after="0" w:line="240" w:lineRule="auto"/>
              <w:rPr>
                <w:rFonts w:ascii="Times New Roman" w:eastAsia="Times New Roman" w:hAnsi="Times New Roman"/>
                <w:sz w:val="18"/>
                <w:szCs w:val="18"/>
              </w:rPr>
            </w:pPr>
            <w:r w:rsidRPr="00FD7A80">
              <w:rPr>
                <w:rFonts w:ascii="Times New Roman" w:eastAsia="Times New Roman" w:hAnsi="Times New Roman"/>
                <w:sz w:val="18"/>
                <w:szCs w:val="18"/>
              </w:rPr>
              <w:t>Atsinaujinančioji energija: saulės</w:t>
            </w:r>
          </w:p>
        </w:tc>
        <w:tc>
          <w:tcPr>
            <w:tcW w:w="1875" w:type="dxa"/>
            <w:shd w:val="clear" w:color="auto" w:fill="auto"/>
            <w:vAlign w:val="center"/>
          </w:tcPr>
          <w:p w:rsidR="00B30D13" w:rsidRPr="005A42D0" w:rsidRDefault="005A42D0" w:rsidP="00B30D13">
            <w:pPr>
              <w:widowControl w:val="0"/>
              <w:tabs>
                <w:tab w:val="left" w:pos="622"/>
              </w:tabs>
              <w:spacing w:after="0" w:line="240" w:lineRule="auto"/>
              <w:jc w:val="right"/>
              <w:rPr>
                <w:rFonts w:ascii="Times New Roman" w:eastAsia="AngsanaUPC" w:hAnsi="Times New Roman"/>
                <w:bCs/>
                <w:sz w:val="18"/>
                <w:szCs w:val="18"/>
                <w:lang w:eastAsia="lt-LT"/>
              </w:rPr>
            </w:pPr>
            <w:r w:rsidRPr="005A42D0">
              <w:rPr>
                <w:rFonts w:ascii="Times New Roman" w:eastAsia="AngsanaUPC" w:hAnsi="Times New Roman"/>
                <w:bCs/>
                <w:sz w:val="18"/>
                <w:szCs w:val="18"/>
                <w:lang w:val="en-US" w:eastAsia="lt-LT"/>
              </w:rPr>
              <w:t>33.384.256</w:t>
            </w:r>
          </w:p>
        </w:tc>
      </w:tr>
      <w:tr w:rsidR="00B30D13" w:rsidRPr="00FD7A80" w:rsidTr="00B30D13">
        <w:tc>
          <w:tcPr>
            <w:tcW w:w="851" w:type="dxa"/>
            <w:shd w:val="clear" w:color="auto" w:fill="auto"/>
            <w:vAlign w:val="center"/>
          </w:tcPr>
          <w:p w:rsidR="00B30D13" w:rsidRPr="00FD7A80" w:rsidRDefault="00B30D13" w:rsidP="00B30D13">
            <w:pPr>
              <w:widowControl w:val="0"/>
              <w:tabs>
                <w:tab w:val="left" w:pos="622"/>
              </w:tabs>
              <w:spacing w:after="0" w:line="240" w:lineRule="auto"/>
              <w:rPr>
                <w:rFonts w:ascii="Times New Roman" w:eastAsia="Times New Roman" w:hAnsi="Times New Roman"/>
                <w:sz w:val="18"/>
                <w:szCs w:val="18"/>
                <w:highlight w:val="yellow"/>
              </w:rPr>
            </w:pPr>
            <w:r w:rsidRPr="00FD7A80">
              <w:rPr>
                <w:rFonts w:ascii="Times New Roman" w:eastAsia="Times New Roman" w:hAnsi="Times New Roman"/>
                <w:sz w:val="18"/>
                <w:szCs w:val="18"/>
              </w:rPr>
              <w:t>ERPF</w:t>
            </w:r>
          </w:p>
        </w:tc>
        <w:tc>
          <w:tcPr>
            <w:tcW w:w="709" w:type="dxa"/>
            <w:shd w:val="clear" w:color="auto" w:fill="auto"/>
            <w:vAlign w:val="center"/>
          </w:tcPr>
          <w:p w:rsidR="00B30D13" w:rsidRPr="00FD7A80" w:rsidRDefault="00B30D13" w:rsidP="00B30D13">
            <w:pPr>
              <w:widowControl w:val="0"/>
              <w:tabs>
                <w:tab w:val="left" w:pos="622"/>
              </w:tabs>
              <w:spacing w:after="0" w:line="240" w:lineRule="auto"/>
              <w:rPr>
                <w:rFonts w:ascii="Times New Roman" w:eastAsia="Times New Roman" w:hAnsi="Times New Roman"/>
                <w:sz w:val="18"/>
                <w:szCs w:val="18"/>
              </w:rPr>
            </w:pPr>
            <w:r w:rsidRPr="00FD7A80">
              <w:rPr>
                <w:rFonts w:ascii="Times New Roman" w:eastAsia="Times New Roman" w:hAnsi="Times New Roman"/>
                <w:sz w:val="18"/>
                <w:szCs w:val="18"/>
              </w:rPr>
              <w:t>011</w:t>
            </w:r>
          </w:p>
        </w:tc>
        <w:tc>
          <w:tcPr>
            <w:tcW w:w="6378" w:type="dxa"/>
            <w:shd w:val="clear" w:color="auto" w:fill="auto"/>
          </w:tcPr>
          <w:p w:rsidR="00B30D13" w:rsidRPr="00FD7A80" w:rsidRDefault="00B30D13" w:rsidP="00B30D13">
            <w:pPr>
              <w:widowControl w:val="0"/>
              <w:tabs>
                <w:tab w:val="left" w:pos="622"/>
              </w:tabs>
              <w:spacing w:after="0" w:line="240" w:lineRule="auto"/>
              <w:rPr>
                <w:rFonts w:ascii="Times New Roman" w:eastAsia="Times New Roman" w:hAnsi="Times New Roman"/>
                <w:sz w:val="18"/>
                <w:szCs w:val="18"/>
              </w:rPr>
            </w:pPr>
            <w:r w:rsidRPr="00FD7A80">
              <w:rPr>
                <w:rFonts w:ascii="Times New Roman" w:eastAsia="Times New Roman" w:hAnsi="Times New Roman"/>
                <w:sz w:val="18"/>
                <w:szCs w:val="18"/>
              </w:rPr>
              <w:t>Atsinaujinančioji energija: biomasės</w:t>
            </w:r>
          </w:p>
        </w:tc>
        <w:tc>
          <w:tcPr>
            <w:tcW w:w="1875" w:type="dxa"/>
            <w:shd w:val="clear" w:color="auto" w:fill="auto"/>
            <w:vAlign w:val="center"/>
          </w:tcPr>
          <w:p w:rsidR="00B30D13" w:rsidRPr="005A42D0" w:rsidRDefault="005A42D0" w:rsidP="00B30D13">
            <w:pPr>
              <w:widowControl w:val="0"/>
              <w:tabs>
                <w:tab w:val="left" w:pos="622"/>
              </w:tabs>
              <w:spacing w:after="0" w:line="240" w:lineRule="auto"/>
              <w:jc w:val="right"/>
              <w:rPr>
                <w:rFonts w:ascii="Times New Roman" w:eastAsia="AngsanaUPC" w:hAnsi="Times New Roman"/>
                <w:bCs/>
                <w:sz w:val="18"/>
                <w:szCs w:val="18"/>
                <w:lang w:eastAsia="lt-LT"/>
              </w:rPr>
            </w:pPr>
            <w:r w:rsidRPr="005A42D0">
              <w:rPr>
                <w:rFonts w:ascii="Times New Roman" w:eastAsia="AngsanaUPC" w:hAnsi="Times New Roman"/>
                <w:bCs/>
                <w:sz w:val="18"/>
                <w:szCs w:val="18"/>
                <w:lang w:eastAsia="lt-LT"/>
              </w:rPr>
              <w:t>3.785.806</w:t>
            </w:r>
          </w:p>
        </w:tc>
      </w:tr>
      <w:tr w:rsidR="00B30D13" w:rsidRPr="00FD7A80" w:rsidTr="00B30D13">
        <w:tc>
          <w:tcPr>
            <w:tcW w:w="851" w:type="dxa"/>
            <w:shd w:val="clear" w:color="auto" w:fill="auto"/>
            <w:vAlign w:val="center"/>
          </w:tcPr>
          <w:p w:rsidR="00B30D13" w:rsidRPr="00FD7A80" w:rsidRDefault="00B30D13" w:rsidP="00B30D13">
            <w:pPr>
              <w:widowControl w:val="0"/>
              <w:tabs>
                <w:tab w:val="left" w:pos="622"/>
              </w:tabs>
              <w:spacing w:after="0" w:line="240" w:lineRule="auto"/>
              <w:rPr>
                <w:rFonts w:ascii="Times New Roman" w:eastAsia="Times New Roman" w:hAnsi="Times New Roman"/>
                <w:sz w:val="18"/>
                <w:szCs w:val="18"/>
                <w:highlight w:val="yellow"/>
              </w:rPr>
            </w:pPr>
            <w:r w:rsidRPr="00FD7A80">
              <w:rPr>
                <w:rFonts w:ascii="Times New Roman" w:eastAsia="Times New Roman" w:hAnsi="Times New Roman"/>
                <w:sz w:val="18"/>
                <w:szCs w:val="18"/>
              </w:rPr>
              <w:t>ERPF</w:t>
            </w:r>
          </w:p>
        </w:tc>
        <w:tc>
          <w:tcPr>
            <w:tcW w:w="709" w:type="dxa"/>
            <w:shd w:val="clear" w:color="auto" w:fill="auto"/>
            <w:vAlign w:val="center"/>
          </w:tcPr>
          <w:p w:rsidR="00B30D13" w:rsidRPr="00FD7A80" w:rsidRDefault="00B30D13" w:rsidP="00B30D13">
            <w:pPr>
              <w:widowControl w:val="0"/>
              <w:tabs>
                <w:tab w:val="left" w:pos="622"/>
              </w:tabs>
              <w:spacing w:after="0" w:line="240" w:lineRule="auto"/>
              <w:rPr>
                <w:rFonts w:ascii="Times New Roman" w:eastAsia="Times New Roman" w:hAnsi="Times New Roman"/>
                <w:sz w:val="18"/>
                <w:szCs w:val="18"/>
              </w:rPr>
            </w:pPr>
            <w:r w:rsidRPr="00FD7A80">
              <w:rPr>
                <w:rFonts w:ascii="Times New Roman" w:eastAsia="Times New Roman" w:hAnsi="Times New Roman"/>
                <w:sz w:val="18"/>
                <w:szCs w:val="18"/>
              </w:rPr>
              <w:t>013</w:t>
            </w:r>
          </w:p>
        </w:tc>
        <w:tc>
          <w:tcPr>
            <w:tcW w:w="6378" w:type="dxa"/>
            <w:shd w:val="clear" w:color="auto" w:fill="auto"/>
          </w:tcPr>
          <w:p w:rsidR="00B30D13" w:rsidRPr="00FD7A80" w:rsidRDefault="00B30D13" w:rsidP="00B30D13">
            <w:pPr>
              <w:widowControl w:val="0"/>
              <w:tabs>
                <w:tab w:val="left" w:pos="622"/>
              </w:tabs>
              <w:spacing w:after="0" w:line="240" w:lineRule="auto"/>
              <w:rPr>
                <w:rFonts w:ascii="Times New Roman" w:eastAsia="Times New Roman" w:hAnsi="Times New Roman"/>
                <w:sz w:val="18"/>
                <w:szCs w:val="18"/>
              </w:rPr>
            </w:pPr>
            <w:r w:rsidRPr="00FD7A80">
              <w:rPr>
                <w:rFonts w:ascii="Times New Roman" w:eastAsia="Times New Roman" w:hAnsi="Times New Roman"/>
                <w:sz w:val="18"/>
                <w:szCs w:val="18"/>
              </w:rPr>
              <w:t>Siekiant efektyvaus energijos vartojimo vykdoma viešosios infrastruktūros</w:t>
            </w:r>
          </w:p>
          <w:p w:rsidR="00B30D13" w:rsidRPr="000B7AE5" w:rsidRDefault="00B30D13" w:rsidP="00B30D13">
            <w:pPr>
              <w:widowControl w:val="0"/>
              <w:tabs>
                <w:tab w:val="left" w:pos="622"/>
              </w:tabs>
              <w:spacing w:after="0" w:line="240" w:lineRule="auto"/>
              <w:rPr>
                <w:rFonts w:ascii="Times New Roman" w:eastAsia="Times New Roman" w:hAnsi="Times New Roman"/>
                <w:sz w:val="18"/>
                <w:szCs w:val="18"/>
                <w:lang w:val="fr-BE"/>
              </w:rPr>
            </w:pPr>
            <w:r w:rsidRPr="00FD7A80">
              <w:rPr>
                <w:rFonts w:ascii="Times New Roman" w:eastAsia="Times New Roman" w:hAnsi="Times New Roman"/>
                <w:sz w:val="18"/>
                <w:szCs w:val="18"/>
              </w:rPr>
              <w:t>renovacija, parodomieji projektai ir pagalbinės priemonės</w:t>
            </w:r>
          </w:p>
        </w:tc>
        <w:tc>
          <w:tcPr>
            <w:tcW w:w="1875" w:type="dxa"/>
            <w:shd w:val="clear" w:color="auto" w:fill="auto"/>
            <w:vAlign w:val="center"/>
          </w:tcPr>
          <w:p w:rsidR="00B30D13" w:rsidRPr="005A42D0" w:rsidRDefault="005A42D0" w:rsidP="00B30D13">
            <w:pPr>
              <w:widowControl w:val="0"/>
              <w:tabs>
                <w:tab w:val="left" w:pos="622"/>
              </w:tabs>
              <w:spacing w:after="0" w:line="240" w:lineRule="auto"/>
              <w:jc w:val="right"/>
              <w:rPr>
                <w:rFonts w:ascii="Times New Roman" w:eastAsia="AngsanaUPC" w:hAnsi="Times New Roman"/>
                <w:bCs/>
                <w:sz w:val="18"/>
                <w:szCs w:val="18"/>
                <w:lang w:eastAsia="lt-LT"/>
              </w:rPr>
            </w:pPr>
            <w:r w:rsidRPr="005A42D0">
              <w:rPr>
                <w:rFonts w:ascii="Times New Roman" w:eastAsia="AngsanaUPC" w:hAnsi="Times New Roman"/>
                <w:bCs/>
                <w:sz w:val="18"/>
                <w:szCs w:val="18"/>
                <w:lang w:eastAsia="lt-LT"/>
              </w:rPr>
              <w:t>41.306.944</w:t>
            </w:r>
          </w:p>
        </w:tc>
      </w:tr>
      <w:tr w:rsidR="00B30D13" w:rsidRPr="00FD7A80" w:rsidTr="00B30D13">
        <w:tc>
          <w:tcPr>
            <w:tcW w:w="851" w:type="dxa"/>
            <w:shd w:val="clear" w:color="auto" w:fill="auto"/>
            <w:vAlign w:val="center"/>
          </w:tcPr>
          <w:p w:rsidR="00B30D13" w:rsidRPr="00FD7A80" w:rsidRDefault="00B30D13" w:rsidP="00B30D13">
            <w:pPr>
              <w:widowControl w:val="0"/>
              <w:tabs>
                <w:tab w:val="left" w:pos="622"/>
              </w:tabs>
              <w:spacing w:after="0" w:line="240" w:lineRule="auto"/>
              <w:rPr>
                <w:rFonts w:ascii="Times New Roman" w:eastAsia="Times New Roman" w:hAnsi="Times New Roman"/>
                <w:sz w:val="18"/>
                <w:szCs w:val="18"/>
              </w:rPr>
            </w:pPr>
            <w:r w:rsidRPr="00FD7A80">
              <w:rPr>
                <w:rFonts w:ascii="Times New Roman" w:eastAsia="Times New Roman" w:hAnsi="Times New Roman"/>
                <w:sz w:val="18"/>
                <w:szCs w:val="18"/>
              </w:rPr>
              <w:t>ERPF</w:t>
            </w:r>
          </w:p>
        </w:tc>
        <w:tc>
          <w:tcPr>
            <w:tcW w:w="709" w:type="dxa"/>
            <w:shd w:val="clear" w:color="auto" w:fill="auto"/>
            <w:vAlign w:val="center"/>
          </w:tcPr>
          <w:p w:rsidR="00B30D13" w:rsidRPr="00FD7A80" w:rsidRDefault="00B30D13" w:rsidP="00B30D13">
            <w:pPr>
              <w:widowControl w:val="0"/>
              <w:tabs>
                <w:tab w:val="left" w:pos="622"/>
              </w:tabs>
              <w:spacing w:after="0" w:line="240" w:lineRule="auto"/>
              <w:rPr>
                <w:rFonts w:ascii="Times New Roman" w:eastAsia="Times New Roman" w:hAnsi="Times New Roman"/>
                <w:sz w:val="18"/>
                <w:szCs w:val="18"/>
              </w:rPr>
            </w:pPr>
            <w:r w:rsidRPr="00FD7A80">
              <w:rPr>
                <w:rFonts w:ascii="Times New Roman" w:eastAsia="Times New Roman" w:hAnsi="Times New Roman"/>
                <w:sz w:val="18"/>
                <w:szCs w:val="18"/>
              </w:rPr>
              <w:t>053</w:t>
            </w:r>
          </w:p>
        </w:tc>
        <w:tc>
          <w:tcPr>
            <w:tcW w:w="6378" w:type="dxa"/>
            <w:shd w:val="clear" w:color="auto" w:fill="auto"/>
          </w:tcPr>
          <w:p w:rsidR="00B30D13" w:rsidRPr="00FD7A80" w:rsidRDefault="00B30D13" w:rsidP="00B30D13">
            <w:pPr>
              <w:widowControl w:val="0"/>
              <w:tabs>
                <w:tab w:val="left" w:pos="622"/>
              </w:tabs>
              <w:spacing w:after="0" w:line="240" w:lineRule="auto"/>
              <w:rPr>
                <w:rFonts w:ascii="Times New Roman" w:eastAsia="Times New Roman" w:hAnsi="Times New Roman"/>
                <w:sz w:val="18"/>
                <w:szCs w:val="18"/>
              </w:rPr>
            </w:pPr>
            <w:r w:rsidRPr="00FD7A80">
              <w:rPr>
                <w:rFonts w:ascii="Times New Roman" w:eastAsia="Times New Roman" w:hAnsi="Times New Roman"/>
                <w:bCs/>
                <w:iCs/>
                <w:sz w:val="18"/>
                <w:szCs w:val="18"/>
              </w:rPr>
              <w:t>Sveikatos priežiūros infrastruktūra</w:t>
            </w:r>
          </w:p>
        </w:tc>
        <w:tc>
          <w:tcPr>
            <w:tcW w:w="1875" w:type="dxa"/>
            <w:shd w:val="clear" w:color="auto" w:fill="auto"/>
            <w:vAlign w:val="center"/>
          </w:tcPr>
          <w:p w:rsidR="00B30D13" w:rsidRPr="005A42D0" w:rsidRDefault="005A42D0" w:rsidP="00B30D13">
            <w:pPr>
              <w:widowControl w:val="0"/>
              <w:tabs>
                <w:tab w:val="left" w:pos="622"/>
              </w:tabs>
              <w:spacing w:after="0" w:line="240" w:lineRule="auto"/>
              <w:jc w:val="right"/>
              <w:rPr>
                <w:rFonts w:ascii="Times New Roman" w:eastAsia="AngsanaUPC" w:hAnsi="Times New Roman"/>
                <w:bCs/>
                <w:sz w:val="18"/>
                <w:szCs w:val="18"/>
                <w:lang w:eastAsia="lt-LT"/>
              </w:rPr>
            </w:pPr>
            <w:r w:rsidRPr="005A42D0">
              <w:rPr>
                <w:rFonts w:ascii="Times New Roman" w:eastAsia="AngsanaUPC" w:hAnsi="Times New Roman"/>
                <w:bCs/>
                <w:sz w:val="18"/>
                <w:szCs w:val="18"/>
                <w:lang w:eastAsia="lt-LT"/>
              </w:rPr>
              <w:t>16.300.000</w:t>
            </w:r>
          </w:p>
        </w:tc>
      </w:tr>
      <w:tr w:rsidR="00B30D13" w:rsidRPr="00FD7A80" w:rsidTr="00B30D13">
        <w:tc>
          <w:tcPr>
            <w:tcW w:w="851" w:type="dxa"/>
            <w:shd w:val="clear" w:color="auto" w:fill="auto"/>
            <w:vAlign w:val="center"/>
          </w:tcPr>
          <w:p w:rsidR="00B30D13" w:rsidRPr="00FD7A80" w:rsidRDefault="00B30D13" w:rsidP="00B30D13">
            <w:pPr>
              <w:widowControl w:val="0"/>
              <w:tabs>
                <w:tab w:val="left" w:pos="622"/>
              </w:tabs>
              <w:spacing w:after="0" w:line="240" w:lineRule="auto"/>
              <w:rPr>
                <w:rFonts w:ascii="Times New Roman" w:eastAsia="Times New Roman" w:hAnsi="Times New Roman"/>
                <w:sz w:val="18"/>
                <w:szCs w:val="18"/>
              </w:rPr>
            </w:pPr>
            <w:r w:rsidRPr="00FD7A80">
              <w:rPr>
                <w:rFonts w:ascii="Times New Roman" w:eastAsia="Times New Roman" w:hAnsi="Times New Roman"/>
                <w:sz w:val="18"/>
                <w:szCs w:val="18"/>
              </w:rPr>
              <w:t>ERPF</w:t>
            </w:r>
          </w:p>
        </w:tc>
        <w:tc>
          <w:tcPr>
            <w:tcW w:w="709" w:type="dxa"/>
            <w:shd w:val="clear" w:color="auto" w:fill="auto"/>
            <w:vAlign w:val="center"/>
          </w:tcPr>
          <w:p w:rsidR="00B30D13" w:rsidRPr="00FD7A80" w:rsidRDefault="00B30D13" w:rsidP="00B30D13">
            <w:pPr>
              <w:widowControl w:val="0"/>
              <w:tabs>
                <w:tab w:val="left" w:pos="622"/>
              </w:tabs>
              <w:spacing w:after="0" w:line="240" w:lineRule="auto"/>
              <w:rPr>
                <w:rFonts w:ascii="Times New Roman" w:eastAsia="Times New Roman" w:hAnsi="Times New Roman"/>
                <w:sz w:val="18"/>
                <w:szCs w:val="18"/>
              </w:rPr>
            </w:pPr>
            <w:r w:rsidRPr="00FD7A80">
              <w:rPr>
                <w:rFonts w:ascii="Times New Roman" w:eastAsia="Times New Roman" w:hAnsi="Times New Roman"/>
                <w:sz w:val="18"/>
                <w:szCs w:val="18"/>
              </w:rPr>
              <w:t>056</w:t>
            </w:r>
          </w:p>
        </w:tc>
        <w:tc>
          <w:tcPr>
            <w:tcW w:w="6378" w:type="dxa"/>
            <w:shd w:val="clear" w:color="auto" w:fill="auto"/>
            <w:vAlign w:val="center"/>
          </w:tcPr>
          <w:p w:rsidR="00B30D13" w:rsidRPr="00FD7A80" w:rsidRDefault="00B30D13" w:rsidP="00B30D13">
            <w:pPr>
              <w:widowControl w:val="0"/>
              <w:tabs>
                <w:tab w:val="left" w:pos="622"/>
              </w:tabs>
              <w:spacing w:after="0" w:line="240" w:lineRule="auto"/>
              <w:rPr>
                <w:rFonts w:ascii="Times New Roman" w:eastAsia="Times New Roman" w:hAnsi="Times New Roman"/>
                <w:sz w:val="18"/>
                <w:szCs w:val="18"/>
              </w:rPr>
            </w:pPr>
            <w:r w:rsidRPr="00FD7A80">
              <w:rPr>
                <w:rFonts w:ascii="Times New Roman" w:eastAsia="Times New Roman" w:hAnsi="Times New Roman"/>
                <w:sz w:val="18"/>
                <w:szCs w:val="18"/>
                <w:lang w:eastAsia="lt-LT"/>
              </w:rPr>
              <w:t>Investicijos į MVĮ infrastruktūrą, gebėjimus ir įrangą, tiesiogiai susijusius su moksliniais tyrimais ir inovacijų diegimo veikla</w:t>
            </w:r>
          </w:p>
        </w:tc>
        <w:tc>
          <w:tcPr>
            <w:tcW w:w="1875" w:type="dxa"/>
            <w:shd w:val="clear" w:color="auto" w:fill="auto"/>
            <w:vAlign w:val="center"/>
          </w:tcPr>
          <w:p w:rsidR="00B30D13" w:rsidRPr="005A42D0" w:rsidRDefault="005A42D0" w:rsidP="00B30D13">
            <w:pPr>
              <w:widowControl w:val="0"/>
              <w:tabs>
                <w:tab w:val="left" w:pos="622"/>
              </w:tabs>
              <w:spacing w:after="0" w:line="240" w:lineRule="auto"/>
              <w:jc w:val="right"/>
              <w:rPr>
                <w:rFonts w:ascii="Times New Roman" w:eastAsia="AngsanaUPC" w:hAnsi="Times New Roman"/>
                <w:bCs/>
                <w:sz w:val="18"/>
                <w:szCs w:val="18"/>
                <w:lang w:eastAsia="lt-LT"/>
              </w:rPr>
            </w:pPr>
            <w:r w:rsidRPr="005A42D0">
              <w:rPr>
                <w:rFonts w:ascii="Times New Roman" w:eastAsia="AngsanaUPC" w:hAnsi="Times New Roman"/>
                <w:bCs/>
                <w:sz w:val="18"/>
                <w:szCs w:val="18"/>
                <w:lang w:eastAsia="lt-LT"/>
              </w:rPr>
              <w:t>61.611.828</w:t>
            </w:r>
          </w:p>
        </w:tc>
      </w:tr>
      <w:tr w:rsidR="00B30D13" w:rsidRPr="00FD7A80" w:rsidTr="00B30D13">
        <w:tc>
          <w:tcPr>
            <w:tcW w:w="851" w:type="dxa"/>
            <w:shd w:val="clear" w:color="auto" w:fill="auto"/>
            <w:vAlign w:val="center"/>
          </w:tcPr>
          <w:p w:rsidR="00B30D13" w:rsidRPr="00FD7A80" w:rsidRDefault="00B30D13" w:rsidP="00B30D13">
            <w:pPr>
              <w:widowControl w:val="0"/>
              <w:tabs>
                <w:tab w:val="left" w:pos="622"/>
              </w:tabs>
              <w:spacing w:after="0" w:line="240" w:lineRule="auto"/>
              <w:rPr>
                <w:rFonts w:ascii="Times New Roman" w:eastAsia="Times New Roman" w:hAnsi="Times New Roman"/>
                <w:sz w:val="18"/>
                <w:szCs w:val="18"/>
              </w:rPr>
            </w:pPr>
            <w:r w:rsidRPr="00FD7A80">
              <w:rPr>
                <w:rFonts w:ascii="Times New Roman" w:eastAsia="Times New Roman" w:hAnsi="Times New Roman"/>
                <w:sz w:val="18"/>
                <w:szCs w:val="18"/>
              </w:rPr>
              <w:t>ERPF</w:t>
            </w:r>
          </w:p>
        </w:tc>
        <w:tc>
          <w:tcPr>
            <w:tcW w:w="709" w:type="dxa"/>
            <w:shd w:val="clear" w:color="auto" w:fill="auto"/>
            <w:vAlign w:val="center"/>
          </w:tcPr>
          <w:p w:rsidR="00B30D13" w:rsidRPr="00FD7A80" w:rsidRDefault="00B30D13" w:rsidP="00B30D13">
            <w:pPr>
              <w:widowControl w:val="0"/>
              <w:tabs>
                <w:tab w:val="left" w:pos="622"/>
              </w:tabs>
              <w:spacing w:after="0" w:line="240" w:lineRule="auto"/>
              <w:rPr>
                <w:rFonts w:ascii="Times New Roman" w:eastAsia="Times New Roman" w:hAnsi="Times New Roman"/>
                <w:sz w:val="18"/>
                <w:szCs w:val="18"/>
              </w:rPr>
            </w:pPr>
            <w:r w:rsidRPr="00FD7A80">
              <w:rPr>
                <w:rFonts w:ascii="Times New Roman" w:eastAsia="Times New Roman" w:hAnsi="Times New Roman"/>
                <w:sz w:val="18"/>
                <w:szCs w:val="18"/>
              </w:rPr>
              <w:t>057</w:t>
            </w:r>
          </w:p>
        </w:tc>
        <w:tc>
          <w:tcPr>
            <w:tcW w:w="6378" w:type="dxa"/>
            <w:shd w:val="clear" w:color="auto" w:fill="auto"/>
            <w:vAlign w:val="center"/>
          </w:tcPr>
          <w:p w:rsidR="00B30D13" w:rsidRPr="00FD7A80" w:rsidRDefault="00B30D13" w:rsidP="00B30D13">
            <w:pPr>
              <w:widowControl w:val="0"/>
              <w:tabs>
                <w:tab w:val="left" w:pos="622"/>
              </w:tabs>
              <w:spacing w:after="0" w:line="240" w:lineRule="auto"/>
              <w:rPr>
                <w:rFonts w:ascii="Times New Roman" w:eastAsia="Times New Roman" w:hAnsi="Times New Roman"/>
                <w:sz w:val="18"/>
                <w:szCs w:val="18"/>
                <w:lang w:eastAsia="lt-LT"/>
              </w:rPr>
            </w:pPr>
            <w:r w:rsidRPr="00FD7A80">
              <w:rPr>
                <w:rFonts w:ascii="Times New Roman" w:eastAsia="Times New Roman" w:hAnsi="Times New Roman"/>
                <w:sz w:val="18"/>
                <w:szCs w:val="18"/>
                <w:lang w:eastAsia="lt-LT"/>
              </w:rPr>
              <w:t>Investicijos į didelių įmonių infrastruktūrą, gebėjimus ir įrangą, tiesiogiai susijusius su moksliniais tyrimais ir inovacijų diegimo veikla</w:t>
            </w:r>
          </w:p>
        </w:tc>
        <w:tc>
          <w:tcPr>
            <w:tcW w:w="1875" w:type="dxa"/>
            <w:shd w:val="clear" w:color="auto" w:fill="auto"/>
            <w:vAlign w:val="center"/>
          </w:tcPr>
          <w:p w:rsidR="00B30D13" w:rsidRPr="005A42D0" w:rsidRDefault="005A42D0" w:rsidP="00B30D13">
            <w:pPr>
              <w:widowControl w:val="0"/>
              <w:tabs>
                <w:tab w:val="left" w:pos="622"/>
              </w:tabs>
              <w:spacing w:after="0" w:line="240" w:lineRule="auto"/>
              <w:jc w:val="right"/>
              <w:rPr>
                <w:rFonts w:ascii="Times New Roman" w:eastAsia="AngsanaUPC" w:hAnsi="Times New Roman"/>
                <w:bCs/>
                <w:iCs/>
                <w:sz w:val="18"/>
                <w:szCs w:val="18"/>
                <w:lang w:eastAsia="lt-LT"/>
              </w:rPr>
            </w:pPr>
            <w:r w:rsidRPr="005A42D0">
              <w:rPr>
                <w:rFonts w:ascii="Times New Roman" w:eastAsia="AngsanaUPC" w:hAnsi="Times New Roman"/>
                <w:bCs/>
                <w:iCs/>
                <w:sz w:val="18"/>
                <w:szCs w:val="18"/>
                <w:lang w:eastAsia="lt-LT"/>
              </w:rPr>
              <w:t>3.187.129</w:t>
            </w:r>
          </w:p>
        </w:tc>
      </w:tr>
      <w:tr w:rsidR="00B30D13" w:rsidRPr="00FD7A80" w:rsidTr="00B30D13">
        <w:tc>
          <w:tcPr>
            <w:tcW w:w="851" w:type="dxa"/>
            <w:shd w:val="clear" w:color="auto" w:fill="auto"/>
            <w:vAlign w:val="center"/>
          </w:tcPr>
          <w:p w:rsidR="00B30D13" w:rsidRPr="00FD7A80" w:rsidRDefault="00B30D13" w:rsidP="00B30D13">
            <w:pPr>
              <w:widowControl w:val="0"/>
              <w:tabs>
                <w:tab w:val="left" w:pos="622"/>
              </w:tabs>
              <w:spacing w:after="0" w:line="240" w:lineRule="auto"/>
              <w:rPr>
                <w:rFonts w:ascii="Times New Roman" w:eastAsia="Times New Roman" w:hAnsi="Times New Roman"/>
                <w:sz w:val="18"/>
                <w:szCs w:val="18"/>
              </w:rPr>
            </w:pPr>
            <w:r w:rsidRPr="00FD7A80">
              <w:rPr>
                <w:rFonts w:ascii="Times New Roman" w:eastAsia="Times New Roman" w:hAnsi="Times New Roman"/>
                <w:sz w:val="18"/>
                <w:szCs w:val="18"/>
              </w:rPr>
              <w:t>ERPF</w:t>
            </w:r>
          </w:p>
        </w:tc>
        <w:tc>
          <w:tcPr>
            <w:tcW w:w="709" w:type="dxa"/>
            <w:shd w:val="clear" w:color="auto" w:fill="auto"/>
            <w:vAlign w:val="center"/>
          </w:tcPr>
          <w:p w:rsidR="00B30D13" w:rsidRPr="00FD7A80" w:rsidRDefault="00B30D13" w:rsidP="00B30D13">
            <w:pPr>
              <w:widowControl w:val="0"/>
              <w:tabs>
                <w:tab w:val="left" w:pos="622"/>
              </w:tabs>
              <w:spacing w:after="0" w:line="240" w:lineRule="auto"/>
              <w:rPr>
                <w:rFonts w:ascii="Times New Roman" w:eastAsia="Times New Roman" w:hAnsi="Times New Roman"/>
                <w:sz w:val="18"/>
                <w:szCs w:val="18"/>
              </w:rPr>
            </w:pPr>
            <w:r w:rsidRPr="00FD7A80">
              <w:rPr>
                <w:rFonts w:ascii="Times New Roman" w:eastAsia="Times New Roman" w:hAnsi="Times New Roman"/>
                <w:sz w:val="18"/>
                <w:szCs w:val="18"/>
              </w:rPr>
              <w:t>060</w:t>
            </w:r>
          </w:p>
        </w:tc>
        <w:tc>
          <w:tcPr>
            <w:tcW w:w="6378" w:type="dxa"/>
            <w:shd w:val="clear" w:color="auto" w:fill="auto"/>
            <w:vAlign w:val="center"/>
          </w:tcPr>
          <w:p w:rsidR="00B30D13" w:rsidRPr="00FD7A80" w:rsidRDefault="00B30D13" w:rsidP="00B30D13">
            <w:pPr>
              <w:widowControl w:val="0"/>
              <w:tabs>
                <w:tab w:val="left" w:pos="622"/>
              </w:tabs>
              <w:spacing w:after="0" w:line="240" w:lineRule="auto"/>
              <w:rPr>
                <w:rFonts w:ascii="Times New Roman" w:eastAsia="Times New Roman" w:hAnsi="Times New Roman"/>
                <w:sz w:val="18"/>
                <w:szCs w:val="18"/>
                <w:lang w:eastAsia="lt-LT"/>
              </w:rPr>
            </w:pPr>
            <w:r w:rsidRPr="00FD7A80">
              <w:rPr>
                <w:rFonts w:ascii="Times New Roman" w:eastAsia="Times New Roman" w:hAnsi="Times New Roman"/>
                <w:bCs/>
                <w:sz w:val="18"/>
                <w:szCs w:val="18"/>
                <w:lang w:eastAsia="lt-LT"/>
              </w:rPr>
              <w:t>Viešuose mokslinių tyrimų centruose ir kompetencijos centruose, taip pat jų tinkluose vykdomi moksliniai tyrimai ir inovacijų diegimo veikla</w:t>
            </w:r>
          </w:p>
        </w:tc>
        <w:tc>
          <w:tcPr>
            <w:tcW w:w="1875" w:type="dxa"/>
            <w:shd w:val="clear" w:color="auto" w:fill="auto"/>
            <w:vAlign w:val="center"/>
          </w:tcPr>
          <w:p w:rsidR="00B30D13" w:rsidRPr="005A42D0" w:rsidRDefault="005A42D0" w:rsidP="00B30D13">
            <w:pPr>
              <w:widowControl w:val="0"/>
              <w:tabs>
                <w:tab w:val="left" w:pos="622"/>
              </w:tabs>
              <w:spacing w:after="0" w:line="240" w:lineRule="auto"/>
              <w:jc w:val="right"/>
              <w:rPr>
                <w:rFonts w:ascii="Times New Roman" w:eastAsia="AngsanaUPC" w:hAnsi="Times New Roman"/>
                <w:bCs/>
                <w:iCs/>
                <w:sz w:val="18"/>
                <w:szCs w:val="18"/>
                <w:lang w:eastAsia="lt-LT"/>
              </w:rPr>
            </w:pPr>
            <w:r w:rsidRPr="005A42D0">
              <w:rPr>
                <w:rFonts w:ascii="Times New Roman" w:eastAsia="AngsanaUPC" w:hAnsi="Times New Roman"/>
                <w:bCs/>
                <w:iCs/>
                <w:sz w:val="18"/>
                <w:szCs w:val="18"/>
                <w:lang w:eastAsia="lt-LT"/>
              </w:rPr>
              <w:t>17.164.483</w:t>
            </w:r>
          </w:p>
        </w:tc>
      </w:tr>
      <w:tr w:rsidR="00B30D13" w:rsidRPr="00FD7A80" w:rsidTr="00B30D13">
        <w:tc>
          <w:tcPr>
            <w:tcW w:w="851" w:type="dxa"/>
            <w:shd w:val="clear" w:color="auto" w:fill="auto"/>
            <w:vAlign w:val="center"/>
          </w:tcPr>
          <w:p w:rsidR="00B30D13" w:rsidRPr="00FD7A80" w:rsidRDefault="00B30D13" w:rsidP="00B30D13">
            <w:pPr>
              <w:widowControl w:val="0"/>
              <w:tabs>
                <w:tab w:val="left" w:pos="622"/>
              </w:tabs>
              <w:spacing w:after="0" w:line="240" w:lineRule="auto"/>
              <w:rPr>
                <w:rFonts w:ascii="Times New Roman" w:eastAsia="Times New Roman" w:hAnsi="Times New Roman"/>
                <w:sz w:val="18"/>
                <w:szCs w:val="18"/>
              </w:rPr>
            </w:pPr>
            <w:r w:rsidRPr="00FD7A80">
              <w:rPr>
                <w:rFonts w:ascii="Times New Roman" w:eastAsia="Times New Roman" w:hAnsi="Times New Roman"/>
                <w:sz w:val="18"/>
                <w:szCs w:val="18"/>
              </w:rPr>
              <w:t>ERPF</w:t>
            </w:r>
          </w:p>
        </w:tc>
        <w:tc>
          <w:tcPr>
            <w:tcW w:w="709" w:type="dxa"/>
            <w:shd w:val="clear" w:color="auto" w:fill="auto"/>
            <w:vAlign w:val="center"/>
          </w:tcPr>
          <w:p w:rsidR="00B30D13" w:rsidRPr="00FD7A80" w:rsidRDefault="00B30D13" w:rsidP="00B30D13">
            <w:pPr>
              <w:widowControl w:val="0"/>
              <w:tabs>
                <w:tab w:val="left" w:pos="622"/>
              </w:tabs>
              <w:spacing w:after="0" w:line="240" w:lineRule="auto"/>
              <w:rPr>
                <w:rFonts w:ascii="Times New Roman" w:eastAsia="Times New Roman" w:hAnsi="Times New Roman"/>
                <w:sz w:val="18"/>
                <w:szCs w:val="18"/>
              </w:rPr>
            </w:pPr>
            <w:r w:rsidRPr="00FD7A80">
              <w:rPr>
                <w:rFonts w:ascii="Times New Roman" w:eastAsia="Times New Roman" w:hAnsi="Times New Roman"/>
                <w:sz w:val="18"/>
                <w:szCs w:val="18"/>
              </w:rPr>
              <w:t>061</w:t>
            </w:r>
          </w:p>
        </w:tc>
        <w:tc>
          <w:tcPr>
            <w:tcW w:w="6378" w:type="dxa"/>
            <w:shd w:val="clear" w:color="auto" w:fill="auto"/>
            <w:vAlign w:val="center"/>
          </w:tcPr>
          <w:p w:rsidR="00B30D13" w:rsidRPr="00FD7A80" w:rsidRDefault="00B30D13" w:rsidP="00B30D13">
            <w:pPr>
              <w:widowControl w:val="0"/>
              <w:tabs>
                <w:tab w:val="left" w:pos="622"/>
              </w:tabs>
              <w:spacing w:after="0" w:line="240" w:lineRule="auto"/>
              <w:rPr>
                <w:rFonts w:ascii="Times New Roman" w:eastAsia="Times New Roman" w:hAnsi="Times New Roman"/>
                <w:sz w:val="18"/>
                <w:szCs w:val="18"/>
                <w:lang w:eastAsia="lt-LT"/>
              </w:rPr>
            </w:pPr>
            <w:r w:rsidRPr="00FD7A80">
              <w:rPr>
                <w:rFonts w:ascii="Times New Roman" w:hAnsi="Times New Roman"/>
                <w:bCs/>
                <w:iCs/>
                <w:sz w:val="18"/>
                <w:szCs w:val="18"/>
              </w:rPr>
              <w:t>Privačiuose mokslinių tyrimų centruose, taip pat jų tinkluose vykdomi moksliniai tyrimai ir inovacijų diegimo veikla</w:t>
            </w:r>
          </w:p>
        </w:tc>
        <w:tc>
          <w:tcPr>
            <w:tcW w:w="1875" w:type="dxa"/>
            <w:shd w:val="clear" w:color="auto" w:fill="auto"/>
            <w:vAlign w:val="center"/>
          </w:tcPr>
          <w:p w:rsidR="00B30D13" w:rsidRPr="005A42D0" w:rsidRDefault="00B30D13" w:rsidP="00B30D13">
            <w:pPr>
              <w:widowControl w:val="0"/>
              <w:tabs>
                <w:tab w:val="left" w:pos="622"/>
              </w:tabs>
              <w:spacing w:after="0" w:line="240" w:lineRule="auto"/>
              <w:jc w:val="right"/>
              <w:rPr>
                <w:rFonts w:ascii="Times New Roman" w:eastAsia="AngsanaUPC" w:hAnsi="Times New Roman"/>
                <w:bCs/>
                <w:iCs/>
                <w:sz w:val="18"/>
                <w:szCs w:val="18"/>
                <w:lang w:eastAsia="lt-LT"/>
              </w:rPr>
            </w:pPr>
            <w:r w:rsidRPr="005A42D0">
              <w:rPr>
                <w:rFonts w:ascii="Times New Roman" w:eastAsia="AngsanaUPC" w:hAnsi="Times New Roman"/>
                <w:bCs/>
                <w:iCs/>
                <w:sz w:val="18"/>
                <w:szCs w:val="18"/>
                <w:lang w:eastAsia="lt-LT"/>
              </w:rPr>
              <w:t>1.127.000</w:t>
            </w:r>
          </w:p>
        </w:tc>
      </w:tr>
      <w:tr w:rsidR="00B30D13" w:rsidRPr="00FD7A80" w:rsidTr="00B30D13">
        <w:tc>
          <w:tcPr>
            <w:tcW w:w="851" w:type="dxa"/>
            <w:shd w:val="clear" w:color="auto" w:fill="auto"/>
            <w:vAlign w:val="center"/>
          </w:tcPr>
          <w:p w:rsidR="00B30D13" w:rsidRPr="00FD7A80" w:rsidRDefault="00B30D13" w:rsidP="00B30D13">
            <w:pPr>
              <w:widowControl w:val="0"/>
              <w:tabs>
                <w:tab w:val="left" w:pos="622"/>
              </w:tabs>
              <w:spacing w:after="0" w:line="240" w:lineRule="auto"/>
              <w:rPr>
                <w:rFonts w:ascii="Times New Roman" w:eastAsia="Times New Roman" w:hAnsi="Times New Roman"/>
                <w:sz w:val="18"/>
                <w:szCs w:val="18"/>
              </w:rPr>
            </w:pPr>
            <w:r w:rsidRPr="00FD7A80">
              <w:rPr>
                <w:rFonts w:ascii="Times New Roman" w:eastAsia="Times New Roman" w:hAnsi="Times New Roman"/>
                <w:sz w:val="18"/>
                <w:szCs w:val="18"/>
              </w:rPr>
              <w:t>ERPF</w:t>
            </w:r>
          </w:p>
        </w:tc>
        <w:tc>
          <w:tcPr>
            <w:tcW w:w="709" w:type="dxa"/>
            <w:shd w:val="clear" w:color="auto" w:fill="auto"/>
            <w:vAlign w:val="center"/>
          </w:tcPr>
          <w:p w:rsidR="00B30D13" w:rsidRPr="00FD7A80" w:rsidRDefault="00B30D13" w:rsidP="00B30D13">
            <w:pPr>
              <w:widowControl w:val="0"/>
              <w:tabs>
                <w:tab w:val="left" w:pos="622"/>
              </w:tabs>
              <w:spacing w:after="0" w:line="240" w:lineRule="auto"/>
              <w:rPr>
                <w:rFonts w:ascii="Times New Roman" w:eastAsia="Times New Roman" w:hAnsi="Times New Roman"/>
                <w:sz w:val="18"/>
                <w:szCs w:val="18"/>
              </w:rPr>
            </w:pPr>
            <w:r w:rsidRPr="00FD7A80">
              <w:rPr>
                <w:rFonts w:ascii="Times New Roman" w:eastAsia="Times New Roman" w:hAnsi="Times New Roman"/>
                <w:sz w:val="18"/>
                <w:szCs w:val="18"/>
              </w:rPr>
              <w:t>062</w:t>
            </w:r>
          </w:p>
        </w:tc>
        <w:tc>
          <w:tcPr>
            <w:tcW w:w="6378" w:type="dxa"/>
            <w:shd w:val="clear" w:color="auto" w:fill="auto"/>
            <w:vAlign w:val="center"/>
          </w:tcPr>
          <w:p w:rsidR="00B30D13" w:rsidRPr="00FD7A80" w:rsidRDefault="00B30D13" w:rsidP="00B30D13">
            <w:pPr>
              <w:widowControl w:val="0"/>
              <w:tabs>
                <w:tab w:val="left" w:pos="622"/>
              </w:tabs>
              <w:spacing w:after="0" w:line="240" w:lineRule="auto"/>
              <w:rPr>
                <w:rFonts w:ascii="Times New Roman" w:eastAsia="Times New Roman" w:hAnsi="Times New Roman"/>
                <w:sz w:val="18"/>
                <w:szCs w:val="18"/>
                <w:lang w:eastAsia="lt-LT"/>
              </w:rPr>
            </w:pPr>
            <w:r w:rsidRPr="00FD7A80">
              <w:rPr>
                <w:rFonts w:ascii="Times New Roman" w:hAnsi="Times New Roman"/>
                <w:bCs/>
                <w:iCs/>
                <w:sz w:val="18"/>
                <w:szCs w:val="18"/>
              </w:rPr>
              <w:t>Technologijų perdavimas ir universitetų bei įmonių bendradarbiavimas, visų pirma naudingas MVĮ</w:t>
            </w:r>
          </w:p>
        </w:tc>
        <w:tc>
          <w:tcPr>
            <w:tcW w:w="1875" w:type="dxa"/>
            <w:shd w:val="clear" w:color="auto" w:fill="auto"/>
            <w:vAlign w:val="center"/>
          </w:tcPr>
          <w:p w:rsidR="00B30D13" w:rsidRPr="005A42D0" w:rsidRDefault="005A42D0" w:rsidP="00B30D13">
            <w:pPr>
              <w:widowControl w:val="0"/>
              <w:tabs>
                <w:tab w:val="left" w:pos="622"/>
              </w:tabs>
              <w:spacing w:after="0" w:line="240" w:lineRule="auto"/>
              <w:jc w:val="right"/>
              <w:rPr>
                <w:rFonts w:ascii="Times New Roman" w:eastAsia="AngsanaUPC" w:hAnsi="Times New Roman"/>
                <w:bCs/>
                <w:iCs/>
                <w:sz w:val="18"/>
                <w:szCs w:val="18"/>
                <w:lang w:eastAsia="lt-LT"/>
              </w:rPr>
            </w:pPr>
            <w:r w:rsidRPr="005A42D0">
              <w:rPr>
                <w:rFonts w:ascii="Times New Roman" w:eastAsia="AngsanaUPC" w:hAnsi="Times New Roman"/>
                <w:bCs/>
                <w:iCs/>
                <w:sz w:val="18"/>
                <w:szCs w:val="18"/>
                <w:lang w:eastAsia="lt-LT"/>
              </w:rPr>
              <w:t>17.782.997</w:t>
            </w:r>
          </w:p>
        </w:tc>
      </w:tr>
      <w:tr w:rsidR="00B30D13" w:rsidRPr="00FD7A80" w:rsidTr="00B30D13">
        <w:tc>
          <w:tcPr>
            <w:tcW w:w="851" w:type="dxa"/>
            <w:shd w:val="clear" w:color="auto" w:fill="auto"/>
            <w:vAlign w:val="center"/>
          </w:tcPr>
          <w:p w:rsidR="00B30D13" w:rsidRPr="00FD7A80" w:rsidRDefault="00B30D13" w:rsidP="00B30D13">
            <w:pPr>
              <w:widowControl w:val="0"/>
              <w:tabs>
                <w:tab w:val="left" w:pos="622"/>
              </w:tabs>
              <w:spacing w:after="0" w:line="240" w:lineRule="auto"/>
              <w:rPr>
                <w:rFonts w:ascii="Times New Roman" w:eastAsia="Times New Roman" w:hAnsi="Times New Roman"/>
                <w:sz w:val="18"/>
                <w:szCs w:val="18"/>
              </w:rPr>
            </w:pPr>
            <w:r w:rsidRPr="00FD7A80">
              <w:rPr>
                <w:rFonts w:ascii="Times New Roman" w:eastAsia="Times New Roman" w:hAnsi="Times New Roman"/>
                <w:sz w:val="18"/>
                <w:szCs w:val="18"/>
              </w:rPr>
              <w:t>ERPF</w:t>
            </w:r>
          </w:p>
        </w:tc>
        <w:tc>
          <w:tcPr>
            <w:tcW w:w="709" w:type="dxa"/>
            <w:shd w:val="clear" w:color="auto" w:fill="auto"/>
            <w:vAlign w:val="center"/>
          </w:tcPr>
          <w:p w:rsidR="00B30D13" w:rsidRPr="00FD7A80" w:rsidRDefault="00B30D13" w:rsidP="00B30D13">
            <w:pPr>
              <w:widowControl w:val="0"/>
              <w:tabs>
                <w:tab w:val="left" w:pos="622"/>
              </w:tabs>
              <w:spacing w:after="0" w:line="240" w:lineRule="auto"/>
              <w:rPr>
                <w:rFonts w:ascii="Times New Roman" w:eastAsia="Times New Roman" w:hAnsi="Times New Roman"/>
                <w:sz w:val="18"/>
                <w:szCs w:val="18"/>
              </w:rPr>
            </w:pPr>
            <w:r w:rsidRPr="00FD7A80">
              <w:rPr>
                <w:rFonts w:ascii="Times New Roman" w:eastAsia="Times New Roman" w:hAnsi="Times New Roman"/>
                <w:sz w:val="18"/>
                <w:szCs w:val="18"/>
              </w:rPr>
              <w:t>067</w:t>
            </w:r>
          </w:p>
        </w:tc>
        <w:tc>
          <w:tcPr>
            <w:tcW w:w="6378" w:type="dxa"/>
            <w:shd w:val="clear" w:color="auto" w:fill="auto"/>
            <w:vAlign w:val="center"/>
          </w:tcPr>
          <w:p w:rsidR="00B30D13" w:rsidRPr="00FD7A80" w:rsidRDefault="00B30D13" w:rsidP="00B30D13">
            <w:pPr>
              <w:widowControl w:val="0"/>
              <w:tabs>
                <w:tab w:val="left" w:pos="622"/>
              </w:tabs>
              <w:spacing w:after="0" w:line="240" w:lineRule="auto"/>
              <w:rPr>
                <w:rFonts w:ascii="Times New Roman" w:eastAsia="Times New Roman" w:hAnsi="Times New Roman"/>
                <w:sz w:val="18"/>
                <w:szCs w:val="18"/>
                <w:lang w:eastAsia="lt-LT"/>
              </w:rPr>
            </w:pPr>
            <w:r w:rsidRPr="00FD7A80">
              <w:rPr>
                <w:rFonts w:ascii="Times New Roman" w:eastAsia="Times New Roman" w:hAnsi="Times New Roman"/>
                <w:sz w:val="18"/>
                <w:szCs w:val="18"/>
                <w:lang w:eastAsia="lt-LT"/>
              </w:rPr>
              <w:t>MVĮ verslo vystymas, parama verslumui ir inkubatoriams (įskaitant paramą pumpurinėms ir atskirtosioms įmonėms)</w:t>
            </w:r>
          </w:p>
        </w:tc>
        <w:tc>
          <w:tcPr>
            <w:tcW w:w="1875" w:type="dxa"/>
            <w:shd w:val="clear" w:color="auto" w:fill="auto"/>
            <w:vAlign w:val="center"/>
          </w:tcPr>
          <w:p w:rsidR="00B30D13" w:rsidRPr="005A42D0" w:rsidRDefault="005A42D0" w:rsidP="00B30D13">
            <w:pPr>
              <w:widowControl w:val="0"/>
              <w:tabs>
                <w:tab w:val="left" w:pos="622"/>
              </w:tabs>
              <w:spacing w:after="0" w:line="240" w:lineRule="auto"/>
              <w:jc w:val="right"/>
              <w:rPr>
                <w:rFonts w:ascii="Times New Roman" w:eastAsia="AngsanaUPC" w:hAnsi="Times New Roman"/>
                <w:bCs/>
                <w:iCs/>
                <w:sz w:val="18"/>
                <w:szCs w:val="18"/>
                <w:lang w:eastAsia="lt-LT"/>
              </w:rPr>
            </w:pPr>
            <w:r w:rsidRPr="005A42D0">
              <w:rPr>
                <w:rFonts w:ascii="Times New Roman" w:eastAsia="AngsanaUPC" w:hAnsi="Times New Roman"/>
                <w:bCs/>
                <w:iCs/>
                <w:sz w:val="18"/>
                <w:szCs w:val="18"/>
                <w:lang w:eastAsia="lt-LT"/>
              </w:rPr>
              <w:t>26.996.261</w:t>
            </w:r>
          </w:p>
        </w:tc>
      </w:tr>
      <w:tr w:rsidR="00B30D13" w:rsidRPr="00FD7A80" w:rsidTr="00B30D13">
        <w:tc>
          <w:tcPr>
            <w:tcW w:w="851" w:type="dxa"/>
            <w:shd w:val="clear" w:color="auto" w:fill="auto"/>
            <w:vAlign w:val="center"/>
          </w:tcPr>
          <w:p w:rsidR="00B30D13" w:rsidRPr="00FD7A80" w:rsidRDefault="00B30D13" w:rsidP="00B30D13">
            <w:pPr>
              <w:widowControl w:val="0"/>
              <w:tabs>
                <w:tab w:val="left" w:pos="622"/>
              </w:tabs>
              <w:spacing w:after="0" w:line="240" w:lineRule="auto"/>
              <w:rPr>
                <w:rFonts w:ascii="Times New Roman" w:eastAsia="Times New Roman" w:hAnsi="Times New Roman"/>
                <w:sz w:val="18"/>
                <w:szCs w:val="18"/>
              </w:rPr>
            </w:pPr>
            <w:r w:rsidRPr="00FD7A80">
              <w:rPr>
                <w:rFonts w:ascii="Times New Roman" w:eastAsia="Times New Roman" w:hAnsi="Times New Roman"/>
                <w:sz w:val="18"/>
                <w:szCs w:val="18"/>
              </w:rPr>
              <w:t>ERPF</w:t>
            </w:r>
          </w:p>
        </w:tc>
        <w:tc>
          <w:tcPr>
            <w:tcW w:w="709" w:type="dxa"/>
            <w:shd w:val="clear" w:color="auto" w:fill="auto"/>
            <w:vAlign w:val="center"/>
          </w:tcPr>
          <w:p w:rsidR="00B30D13" w:rsidRPr="00FD7A80" w:rsidRDefault="00B30D13" w:rsidP="00B30D13">
            <w:pPr>
              <w:widowControl w:val="0"/>
              <w:tabs>
                <w:tab w:val="left" w:pos="622"/>
              </w:tabs>
              <w:spacing w:after="0" w:line="240" w:lineRule="auto"/>
              <w:rPr>
                <w:rFonts w:ascii="Times New Roman" w:eastAsia="Times New Roman" w:hAnsi="Times New Roman"/>
                <w:sz w:val="18"/>
                <w:szCs w:val="18"/>
              </w:rPr>
            </w:pPr>
            <w:r w:rsidRPr="00FD7A80">
              <w:rPr>
                <w:rFonts w:ascii="Times New Roman" w:eastAsia="Times New Roman" w:hAnsi="Times New Roman"/>
                <w:sz w:val="18"/>
                <w:szCs w:val="18"/>
              </w:rPr>
              <w:t>076</w:t>
            </w:r>
          </w:p>
        </w:tc>
        <w:tc>
          <w:tcPr>
            <w:tcW w:w="6378" w:type="dxa"/>
            <w:shd w:val="clear" w:color="auto" w:fill="auto"/>
            <w:vAlign w:val="center"/>
          </w:tcPr>
          <w:p w:rsidR="00B30D13" w:rsidRPr="00FD7A80" w:rsidRDefault="00B30D13" w:rsidP="00B30D13">
            <w:pPr>
              <w:widowControl w:val="0"/>
              <w:tabs>
                <w:tab w:val="left" w:pos="622"/>
              </w:tabs>
              <w:spacing w:after="0" w:line="240" w:lineRule="auto"/>
              <w:rPr>
                <w:rFonts w:ascii="Times New Roman" w:eastAsia="Times New Roman" w:hAnsi="Times New Roman"/>
                <w:sz w:val="18"/>
                <w:szCs w:val="18"/>
                <w:lang w:eastAsia="lt-LT"/>
              </w:rPr>
            </w:pPr>
            <w:r w:rsidRPr="00FD7A80">
              <w:rPr>
                <w:rFonts w:ascii="Times New Roman" w:eastAsia="Times New Roman" w:hAnsi="Times New Roman"/>
                <w:sz w:val="18"/>
                <w:szCs w:val="18"/>
                <w:lang w:eastAsia="lt-LT"/>
              </w:rPr>
              <w:t>Su kultūra ir kūryba susijusio MVĮ turto plėtojimas ir populiarinimas</w:t>
            </w:r>
          </w:p>
        </w:tc>
        <w:tc>
          <w:tcPr>
            <w:tcW w:w="1875" w:type="dxa"/>
            <w:shd w:val="clear" w:color="auto" w:fill="auto"/>
            <w:vAlign w:val="center"/>
          </w:tcPr>
          <w:p w:rsidR="00B30D13" w:rsidRPr="005A42D0" w:rsidRDefault="005A42D0" w:rsidP="00B30D13">
            <w:pPr>
              <w:widowControl w:val="0"/>
              <w:tabs>
                <w:tab w:val="left" w:pos="622"/>
              </w:tabs>
              <w:spacing w:after="0" w:line="240" w:lineRule="auto"/>
              <w:jc w:val="right"/>
              <w:rPr>
                <w:rFonts w:ascii="Times New Roman" w:eastAsia="AngsanaUPC" w:hAnsi="Times New Roman"/>
                <w:bCs/>
                <w:iCs/>
                <w:sz w:val="18"/>
                <w:szCs w:val="18"/>
                <w:lang w:eastAsia="lt-LT"/>
              </w:rPr>
            </w:pPr>
            <w:r w:rsidRPr="005A42D0">
              <w:rPr>
                <w:rFonts w:ascii="Times New Roman" w:eastAsia="AngsanaUPC" w:hAnsi="Times New Roman"/>
                <w:bCs/>
                <w:iCs/>
                <w:sz w:val="18"/>
                <w:szCs w:val="18"/>
                <w:lang w:eastAsia="lt-LT"/>
              </w:rPr>
              <w:t>4.160.000</w:t>
            </w:r>
          </w:p>
        </w:tc>
      </w:tr>
      <w:tr w:rsidR="00B30D13" w:rsidRPr="00FD7A80" w:rsidTr="00B30D13">
        <w:tc>
          <w:tcPr>
            <w:tcW w:w="851" w:type="dxa"/>
            <w:shd w:val="clear" w:color="auto" w:fill="auto"/>
            <w:vAlign w:val="center"/>
          </w:tcPr>
          <w:p w:rsidR="00B30D13" w:rsidRPr="00FD7A80" w:rsidRDefault="00B30D13" w:rsidP="00B30D13">
            <w:pPr>
              <w:widowControl w:val="0"/>
              <w:tabs>
                <w:tab w:val="left" w:pos="622"/>
              </w:tabs>
              <w:spacing w:after="0" w:line="240" w:lineRule="auto"/>
              <w:rPr>
                <w:rFonts w:ascii="Times New Roman" w:eastAsia="Times New Roman" w:hAnsi="Times New Roman"/>
                <w:sz w:val="18"/>
                <w:szCs w:val="18"/>
              </w:rPr>
            </w:pPr>
            <w:r w:rsidRPr="00FD7A80">
              <w:rPr>
                <w:rFonts w:ascii="Times New Roman" w:eastAsia="Times New Roman" w:hAnsi="Times New Roman"/>
                <w:sz w:val="18"/>
                <w:szCs w:val="18"/>
              </w:rPr>
              <w:t>ERPF</w:t>
            </w:r>
          </w:p>
        </w:tc>
        <w:tc>
          <w:tcPr>
            <w:tcW w:w="709" w:type="dxa"/>
            <w:shd w:val="clear" w:color="auto" w:fill="auto"/>
            <w:vAlign w:val="center"/>
          </w:tcPr>
          <w:p w:rsidR="00B30D13" w:rsidRPr="00FD7A80" w:rsidRDefault="00B30D13" w:rsidP="00B30D13">
            <w:pPr>
              <w:widowControl w:val="0"/>
              <w:tabs>
                <w:tab w:val="left" w:pos="622"/>
              </w:tabs>
              <w:spacing w:after="0" w:line="240" w:lineRule="auto"/>
              <w:rPr>
                <w:rFonts w:ascii="Times New Roman" w:eastAsia="Times New Roman" w:hAnsi="Times New Roman"/>
                <w:sz w:val="18"/>
                <w:szCs w:val="18"/>
              </w:rPr>
            </w:pPr>
            <w:r w:rsidRPr="00FD7A80">
              <w:rPr>
                <w:rFonts w:ascii="Times New Roman" w:eastAsia="Times New Roman" w:hAnsi="Times New Roman"/>
                <w:sz w:val="18"/>
                <w:szCs w:val="18"/>
              </w:rPr>
              <w:t>077</w:t>
            </w:r>
          </w:p>
        </w:tc>
        <w:tc>
          <w:tcPr>
            <w:tcW w:w="6378" w:type="dxa"/>
            <w:shd w:val="clear" w:color="auto" w:fill="auto"/>
            <w:vAlign w:val="center"/>
          </w:tcPr>
          <w:p w:rsidR="00B30D13" w:rsidRPr="00FD7A80" w:rsidRDefault="00B30D13" w:rsidP="00B30D13">
            <w:pPr>
              <w:widowControl w:val="0"/>
              <w:tabs>
                <w:tab w:val="left" w:pos="622"/>
              </w:tabs>
              <w:spacing w:after="0" w:line="240" w:lineRule="auto"/>
              <w:rPr>
                <w:rFonts w:ascii="Times New Roman" w:eastAsia="Times New Roman" w:hAnsi="Times New Roman"/>
                <w:sz w:val="18"/>
                <w:szCs w:val="18"/>
                <w:lang w:eastAsia="lt-LT"/>
              </w:rPr>
            </w:pPr>
            <w:r w:rsidRPr="00FD7A80">
              <w:rPr>
                <w:rFonts w:ascii="Times New Roman" w:eastAsia="Times New Roman" w:hAnsi="Times New Roman"/>
                <w:sz w:val="18"/>
                <w:szCs w:val="18"/>
                <w:lang w:eastAsia="lt-LT"/>
              </w:rPr>
              <w:t>Pačiose MVĮ arba joms teikiamų kultūrinių ir kūrybinių paslaugų plėtojimas ir populiarinimas</w:t>
            </w:r>
          </w:p>
        </w:tc>
        <w:tc>
          <w:tcPr>
            <w:tcW w:w="1875" w:type="dxa"/>
            <w:shd w:val="clear" w:color="auto" w:fill="auto"/>
            <w:vAlign w:val="center"/>
          </w:tcPr>
          <w:p w:rsidR="00B30D13" w:rsidRPr="005A42D0" w:rsidRDefault="005A42D0" w:rsidP="00B30D13">
            <w:pPr>
              <w:widowControl w:val="0"/>
              <w:tabs>
                <w:tab w:val="left" w:pos="622"/>
              </w:tabs>
              <w:spacing w:after="0" w:line="240" w:lineRule="auto"/>
              <w:jc w:val="right"/>
              <w:rPr>
                <w:rFonts w:ascii="Times New Roman" w:eastAsia="AngsanaUPC" w:hAnsi="Times New Roman"/>
                <w:bCs/>
                <w:iCs/>
                <w:sz w:val="18"/>
                <w:szCs w:val="18"/>
                <w:lang w:eastAsia="lt-LT"/>
              </w:rPr>
            </w:pPr>
            <w:r w:rsidRPr="005A42D0">
              <w:rPr>
                <w:rFonts w:ascii="Times New Roman" w:eastAsia="AngsanaUPC" w:hAnsi="Times New Roman"/>
                <w:bCs/>
                <w:iCs/>
                <w:sz w:val="18"/>
                <w:szCs w:val="18"/>
                <w:lang w:eastAsia="lt-LT"/>
              </w:rPr>
              <w:t>11.340.000</w:t>
            </w:r>
          </w:p>
        </w:tc>
      </w:tr>
      <w:tr w:rsidR="00B30D13" w:rsidRPr="00FD7A80" w:rsidTr="00B30D13">
        <w:tc>
          <w:tcPr>
            <w:tcW w:w="851" w:type="dxa"/>
            <w:shd w:val="clear" w:color="auto" w:fill="auto"/>
            <w:vAlign w:val="center"/>
          </w:tcPr>
          <w:p w:rsidR="00B30D13" w:rsidRPr="00FD7A80" w:rsidRDefault="00B30D13" w:rsidP="00B30D13">
            <w:pPr>
              <w:widowControl w:val="0"/>
              <w:tabs>
                <w:tab w:val="left" w:pos="622"/>
              </w:tabs>
              <w:spacing w:after="0" w:line="240" w:lineRule="auto"/>
              <w:rPr>
                <w:rFonts w:ascii="Times New Roman" w:eastAsia="Times New Roman" w:hAnsi="Times New Roman"/>
                <w:sz w:val="18"/>
                <w:szCs w:val="18"/>
              </w:rPr>
            </w:pPr>
            <w:r w:rsidRPr="00FD7A80">
              <w:rPr>
                <w:rFonts w:ascii="Times New Roman" w:eastAsia="Times New Roman" w:hAnsi="Times New Roman"/>
                <w:sz w:val="18"/>
                <w:szCs w:val="18"/>
              </w:rPr>
              <w:t>ERPF</w:t>
            </w:r>
          </w:p>
        </w:tc>
        <w:tc>
          <w:tcPr>
            <w:tcW w:w="709" w:type="dxa"/>
            <w:shd w:val="clear" w:color="auto" w:fill="auto"/>
            <w:vAlign w:val="center"/>
          </w:tcPr>
          <w:p w:rsidR="00B30D13" w:rsidRPr="00FD7A80" w:rsidRDefault="00B30D13" w:rsidP="00B30D13">
            <w:pPr>
              <w:widowControl w:val="0"/>
              <w:tabs>
                <w:tab w:val="left" w:pos="622"/>
              </w:tabs>
              <w:spacing w:after="0" w:line="240" w:lineRule="auto"/>
              <w:rPr>
                <w:rFonts w:ascii="Times New Roman" w:eastAsia="Times New Roman" w:hAnsi="Times New Roman"/>
                <w:sz w:val="18"/>
                <w:szCs w:val="18"/>
              </w:rPr>
            </w:pPr>
            <w:r w:rsidRPr="00FD7A80">
              <w:rPr>
                <w:rFonts w:ascii="Times New Roman" w:eastAsia="Times New Roman" w:hAnsi="Times New Roman"/>
                <w:sz w:val="18"/>
                <w:szCs w:val="18"/>
              </w:rPr>
              <w:t>082</w:t>
            </w:r>
          </w:p>
        </w:tc>
        <w:tc>
          <w:tcPr>
            <w:tcW w:w="6378" w:type="dxa"/>
            <w:shd w:val="clear" w:color="auto" w:fill="auto"/>
            <w:vAlign w:val="center"/>
          </w:tcPr>
          <w:p w:rsidR="00B30D13" w:rsidRPr="00FD7A80" w:rsidRDefault="00B30D13" w:rsidP="00B30D13">
            <w:pPr>
              <w:widowControl w:val="0"/>
              <w:tabs>
                <w:tab w:val="left" w:pos="622"/>
              </w:tabs>
              <w:spacing w:after="0" w:line="240" w:lineRule="auto"/>
              <w:rPr>
                <w:rFonts w:ascii="Times New Roman" w:eastAsia="Times New Roman" w:hAnsi="Times New Roman"/>
                <w:sz w:val="18"/>
                <w:szCs w:val="18"/>
                <w:lang w:eastAsia="lt-LT"/>
              </w:rPr>
            </w:pPr>
            <w:r w:rsidRPr="00FD7A80">
              <w:rPr>
                <w:rFonts w:ascii="Times New Roman" w:eastAsia="Times New Roman" w:hAnsi="Times New Roman"/>
                <w:sz w:val="18"/>
                <w:szCs w:val="18"/>
                <w:lang w:eastAsia="lt-LT"/>
              </w:rPr>
              <w:t>IRT paslaugos ir taikomosios programos, skirtos MVĮ (įskaitant e. prekybą, e. verslą ir tinkle vykdomus verslo procesus), gyvosioms laboratorijoms, interneto verslininkams ir IRT pradedančiosioms įmonėms</w:t>
            </w:r>
          </w:p>
        </w:tc>
        <w:tc>
          <w:tcPr>
            <w:tcW w:w="1875" w:type="dxa"/>
            <w:shd w:val="clear" w:color="auto" w:fill="auto"/>
            <w:vAlign w:val="center"/>
          </w:tcPr>
          <w:p w:rsidR="00B30D13" w:rsidRPr="005A42D0" w:rsidRDefault="005A42D0" w:rsidP="00B30D13">
            <w:pPr>
              <w:widowControl w:val="0"/>
              <w:tabs>
                <w:tab w:val="left" w:pos="622"/>
              </w:tabs>
              <w:spacing w:after="0" w:line="240" w:lineRule="auto"/>
              <w:jc w:val="right"/>
              <w:rPr>
                <w:rFonts w:ascii="Times New Roman" w:eastAsia="AngsanaUPC" w:hAnsi="Times New Roman"/>
                <w:bCs/>
                <w:iCs/>
                <w:sz w:val="18"/>
                <w:szCs w:val="18"/>
                <w:lang w:eastAsia="lt-LT"/>
              </w:rPr>
            </w:pPr>
            <w:r w:rsidRPr="005A42D0">
              <w:rPr>
                <w:rFonts w:ascii="Times New Roman" w:eastAsia="AngsanaUPC" w:hAnsi="Times New Roman"/>
                <w:bCs/>
                <w:iCs/>
                <w:sz w:val="18"/>
                <w:szCs w:val="18"/>
                <w:lang w:eastAsia="lt-LT"/>
              </w:rPr>
              <w:t>40.000.000</w:t>
            </w:r>
          </w:p>
        </w:tc>
      </w:tr>
    </w:tbl>
    <w:p w:rsidR="00B30D13" w:rsidRPr="00FD7A80" w:rsidRDefault="00B30D13" w:rsidP="00B30D13">
      <w:pPr>
        <w:widowControl w:val="0"/>
        <w:tabs>
          <w:tab w:val="left" w:pos="622"/>
        </w:tabs>
        <w:spacing w:after="0" w:line="240" w:lineRule="auto"/>
        <w:jc w:val="both"/>
        <w:rPr>
          <w:rFonts w:ascii="Times New Roman" w:eastAsia="AngsanaUPC" w:hAnsi="Times New Roman"/>
          <w:bCs/>
          <w:sz w:val="20"/>
          <w:szCs w:val="20"/>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09"/>
        <w:gridCol w:w="6378"/>
        <w:gridCol w:w="1808"/>
      </w:tblGrid>
      <w:tr w:rsidR="00B30D13" w:rsidRPr="00FD7A80" w:rsidTr="00B30D13">
        <w:tc>
          <w:tcPr>
            <w:tcW w:w="9746" w:type="dxa"/>
            <w:gridSpan w:val="4"/>
            <w:shd w:val="clear" w:color="auto" w:fill="EEECE1" w:themeFill="background2"/>
          </w:tcPr>
          <w:p w:rsidR="00B30D13" w:rsidRPr="00FD7A80" w:rsidRDefault="00B30D13" w:rsidP="00B30D13">
            <w:pPr>
              <w:widowControl w:val="0"/>
              <w:tabs>
                <w:tab w:val="left" w:pos="622"/>
              </w:tabs>
              <w:spacing w:after="0" w:line="240" w:lineRule="auto"/>
              <w:jc w:val="both"/>
              <w:rPr>
                <w:rFonts w:ascii="Times New Roman" w:hAnsi="Times New Roman"/>
                <w:b/>
                <w:i/>
                <w:iCs/>
                <w:sz w:val="18"/>
                <w:szCs w:val="18"/>
              </w:rPr>
            </w:pPr>
            <w:r w:rsidRPr="00FD7A80">
              <w:rPr>
                <w:rFonts w:ascii="Times New Roman" w:hAnsi="Times New Roman"/>
                <w:b/>
                <w:bCs/>
                <w:i/>
                <w:iCs/>
                <w:sz w:val="18"/>
                <w:szCs w:val="18"/>
              </w:rPr>
              <w:t>Finansavimo forma</w:t>
            </w:r>
          </w:p>
        </w:tc>
      </w:tr>
      <w:tr w:rsidR="00B30D13" w:rsidRPr="00FD7A80" w:rsidTr="00B30D13">
        <w:tc>
          <w:tcPr>
            <w:tcW w:w="851" w:type="dxa"/>
            <w:shd w:val="clear" w:color="auto" w:fill="EEECE1" w:themeFill="background2"/>
            <w:vAlign w:val="center"/>
          </w:tcPr>
          <w:p w:rsidR="00B30D13" w:rsidRPr="00FD7A80" w:rsidRDefault="00B30D13" w:rsidP="00B30D13">
            <w:pPr>
              <w:widowControl w:val="0"/>
              <w:tabs>
                <w:tab w:val="left" w:pos="622"/>
              </w:tabs>
              <w:spacing w:after="0" w:line="240" w:lineRule="auto"/>
              <w:jc w:val="both"/>
              <w:rPr>
                <w:rFonts w:ascii="Times New Roman" w:hAnsi="Times New Roman"/>
                <w:b/>
                <w:bCs/>
                <w:iCs/>
                <w:sz w:val="18"/>
                <w:szCs w:val="18"/>
              </w:rPr>
            </w:pPr>
            <w:r w:rsidRPr="00FD7A80">
              <w:rPr>
                <w:rFonts w:ascii="Times New Roman" w:hAnsi="Times New Roman"/>
                <w:b/>
                <w:bCs/>
                <w:iCs/>
                <w:sz w:val="18"/>
                <w:szCs w:val="18"/>
              </w:rPr>
              <w:t>Fondas</w:t>
            </w:r>
          </w:p>
        </w:tc>
        <w:tc>
          <w:tcPr>
            <w:tcW w:w="709" w:type="dxa"/>
            <w:shd w:val="clear" w:color="auto" w:fill="EEECE1" w:themeFill="background2"/>
            <w:vAlign w:val="center"/>
          </w:tcPr>
          <w:p w:rsidR="00B30D13" w:rsidRPr="00FD7A80" w:rsidRDefault="00B30D13" w:rsidP="00B30D13">
            <w:pPr>
              <w:widowControl w:val="0"/>
              <w:tabs>
                <w:tab w:val="left" w:pos="622"/>
              </w:tabs>
              <w:spacing w:after="0" w:line="240" w:lineRule="auto"/>
              <w:jc w:val="both"/>
              <w:rPr>
                <w:rFonts w:ascii="Times New Roman" w:hAnsi="Times New Roman"/>
                <w:b/>
                <w:bCs/>
                <w:iCs/>
                <w:sz w:val="18"/>
                <w:szCs w:val="18"/>
              </w:rPr>
            </w:pPr>
            <w:r w:rsidRPr="00FD7A80">
              <w:rPr>
                <w:rFonts w:ascii="Times New Roman" w:hAnsi="Times New Roman"/>
                <w:b/>
                <w:bCs/>
                <w:iCs/>
                <w:sz w:val="18"/>
                <w:szCs w:val="18"/>
              </w:rPr>
              <w:t>Kodas</w:t>
            </w:r>
          </w:p>
        </w:tc>
        <w:tc>
          <w:tcPr>
            <w:tcW w:w="6378" w:type="dxa"/>
            <w:shd w:val="clear" w:color="auto" w:fill="EEECE1" w:themeFill="background2"/>
            <w:vAlign w:val="center"/>
          </w:tcPr>
          <w:p w:rsidR="00B30D13" w:rsidRPr="00FD7A80" w:rsidRDefault="00B30D13" w:rsidP="00B30D13">
            <w:pPr>
              <w:widowControl w:val="0"/>
              <w:tabs>
                <w:tab w:val="left" w:pos="622"/>
              </w:tabs>
              <w:spacing w:after="0" w:line="240" w:lineRule="auto"/>
              <w:jc w:val="both"/>
              <w:rPr>
                <w:rFonts w:ascii="Times New Roman" w:hAnsi="Times New Roman"/>
                <w:b/>
                <w:bCs/>
                <w:iCs/>
                <w:sz w:val="18"/>
                <w:szCs w:val="18"/>
              </w:rPr>
            </w:pPr>
            <w:r w:rsidRPr="00FD7A80">
              <w:rPr>
                <w:rFonts w:ascii="Times New Roman" w:hAnsi="Times New Roman"/>
                <w:b/>
                <w:bCs/>
                <w:iCs/>
                <w:sz w:val="18"/>
                <w:szCs w:val="18"/>
              </w:rPr>
              <w:t>Pavadinimas</w:t>
            </w:r>
          </w:p>
        </w:tc>
        <w:tc>
          <w:tcPr>
            <w:tcW w:w="1808" w:type="dxa"/>
            <w:shd w:val="clear" w:color="auto" w:fill="EEECE1" w:themeFill="background2"/>
            <w:vAlign w:val="center"/>
          </w:tcPr>
          <w:p w:rsidR="00B30D13" w:rsidRPr="00FD7A80" w:rsidRDefault="00B30D13" w:rsidP="00B30D13">
            <w:pPr>
              <w:widowControl w:val="0"/>
              <w:tabs>
                <w:tab w:val="left" w:pos="622"/>
              </w:tabs>
              <w:spacing w:after="0" w:line="240" w:lineRule="auto"/>
              <w:jc w:val="center"/>
              <w:rPr>
                <w:rFonts w:ascii="Times New Roman" w:hAnsi="Times New Roman"/>
                <w:b/>
                <w:bCs/>
                <w:iCs/>
                <w:sz w:val="18"/>
                <w:szCs w:val="18"/>
              </w:rPr>
            </w:pPr>
            <w:r w:rsidRPr="00FD7A80">
              <w:rPr>
                <w:rFonts w:ascii="Times New Roman" w:hAnsi="Times New Roman"/>
                <w:b/>
                <w:bCs/>
                <w:iCs/>
                <w:sz w:val="18"/>
                <w:szCs w:val="18"/>
              </w:rPr>
              <w:t>Finansinė proporcija (eurais)</w:t>
            </w:r>
          </w:p>
        </w:tc>
      </w:tr>
      <w:tr w:rsidR="005A42D0" w:rsidRPr="00FD7A80" w:rsidTr="005A42D0">
        <w:tc>
          <w:tcPr>
            <w:tcW w:w="851" w:type="dxa"/>
            <w:shd w:val="clear" w:color="auto" w:fill="auto"/>
            <w:vAlign w:val="center"/>
          </w:tcPr>
          <w:p w:rsidR="005A42D0" w:rsidRPr="00FD7A80" w:rsidRDefault="005A42D0" w:rsidP="00B30D13">
            <w:pPr>
              <w:widowControl w:val="0"/>
              <w:tabs>
                <w:tab w:val="left" w:pos="622"/>
              </w:tabs>
              <w:spacing w:after="0" w:line="240" w:lineRule="auto"/>
              <w:rPr>
                <w:rFonts w:ascii="Times New Roman" w:eastAsia="AngsanaUPC" w:hAnsi="Times New Roman"/>
                <w:bCs/>
                <w:sz w:val="18"/>
                <w:szCs w:val="18"/>
                <w:lang w:eastAsia="lt-LT"/>
              </w:rPr>
            </w:pPr>
            <w:r w:rsidRPr="00FD7A80">
              <w:rPr>
                <w:rFonts w:ascii="Times New Roman" w:eastAsia="AngsanaUPC" w:hAnsi="Times New Roman"/>
                <w:bCs/>
                <w:sz w:val="18"/>
                <w:szCs w:val="18"/>
                <w:lang w:eastAsia="lt-LT"/>
              </w:rPr>
              <w:t>ERPF</w:t>
            </w:r>
          </w:p>
        </w:tc>
        <w:tc>
          <w:tcPr>
            <w:tcW w:w="709" w:type="dxa"/>
            <w:shd w:val="clear" w:color="auto" w:fill="auto"/>
            <w:vAlign w:val="center"/>
          </w:tcPr>
          <w:p w:rsidR="005A42D0" w:rsidRPr="00FD7A80" w:rsidRDefault="005A42D0" w:rsidP="00B30D13">
            <w:pPr>
              <w:widowControl w:val="0"/>
              <w:tabs>
                <w:tab w:val="left" w:pos="622"/>
              </w:tabs>
              <w:spacing w:after="0" w:line="240" w:lineRule="auto"/>
              <w:rPr>
                <w:rFonts w:ascii="Times New Roman" w:eastAsia="AngsanaUPC" w:hAnsi="Times New Roman"/>
                <w:bCs/>
                <w:sz w:val="18"/>
                <w:szCs w:val="18"/>
                <w:lang w:eastAsia="lt-LT"/>
              </w:rPr>
            </w:pPr>
            <w:r w:rsidRPr="00FD7A80">
              <w:rPr>
                <w:rFonts w:ascii="Times New Roman" w:eastAsia="AngsanaUPC" w:hAnsi="Times New Roman"/>
                <w:bCs/>
                <w:sz w:val="18"/>
                <w:szCs w:val="18"/>
                <w:lang w:eastAsia="lt-LT"/>
              </w:rPr>
              <w:t>01</w:t>
            </w:r>
          </w:p>
        </w:tc>
        <w:tc>
          <w:tcPr>
            <w:tcW w:w="6378" w:type="dxa"/>
            <w:shd w:val="clear" w:color="auto" w:fill="auto"/>
            <w:vAlign w:val="center"/>
          </w:tcPr>
          <w:p w:rsidR="005A42D0" w:rsidRPr="00FD7A80" w:rsidRDefault="005A42D0" w:rsidP="00B30D13">
            <w:pPr>
              <w:widowControl w:val="0"/>
              <w:tabs>
                <w:tab w:val="left" w:pos="622"/>
              </w:tabs>
              <w:spacing w:after="0" w:line="240" w:lineRule="auto"/>
              <w:rPr>
                <w:rFonts w:ascii="Times New Roman" w:eastAsia="AngsanaUPC" w:hAnsi="Times New Roman"/>
                <w:bCs/>
                <w:sz w:val="18"/>
                <w:szCs w:val="18"/>
                <w:lang w:eastAsia="lt-LT"/>
              </w:rPr>
            </w:pPr>
            <w:r w:rsidRPr="00FD7A80">
              <w:rPr>
                <w:rFonts w:ascii="Times New Roman" w:eastAsia="AngsanaUPC" w:hAnsi="Times New Roman"/>
                <w:bCs/>
                <w:sz w:val="18"/>
                <w:szCs w:val="18"/>
                <w:lang w:eastAsia="lt-LT"/>
              </w:rPr>
              <w:t>Negrąžinamoji subsidija</w:t>
            </w:r>
          </w:p>
        </w:tc>
        <w:tc>
          <w:tcPr>
            <w:tcW w:w="1808" w:type="dxa"/>
            <w:shd w:val="clear" w:color="auto" w:fill="auto"/>
            <w:vAlign w:val="center"/>
          </w:tcPr>
          <w:p w:rsidR="005A42D0" w:rsidRPr="005A42D0" w:rsidRDefault="005A42D0" w:rsidP="005A42D0">
            <w:pPr>
              <w:spacing w:after="0" w:line="240" w:lineRule="auto"/>
              <w:jc w:val="right"/>
              <w:rPr>
                <w:rFonts w:ascii="Times New Roman" w:hAnsi="Times New Roman"/>
                <w:sz w:val="18"/>
                <w:szCs w:val="18"/>
              </w:rPr>
            </w:pPr>
            <w:r w:rsidRPr="005A42D0">
              <w:rPr>
                <w:rFonts w:ascii="Times New Roman" w:hAnsi="Times New Roman"/>
                <w:sz w:val="18"/>
                <w:szCs w:val="18"/>
              </w:rPr>
              <w:t>196.432.167</w:t>
            </w:r>
          </w:p>
        </w:tc>
      </w:tr>
      <w:tr w:rsidR="005A42D0" w:rsidRPr="00FD7A80" w:rsidTr="005A42D0">
        <w:trPr>
          <w:trHeight w:val="159"/>
        </w:trPr>
        <w:tc>
          <w:tcPr>
            <w:tcW w:w="851" w:type="dxa"/>
            <w:shd w:val="clear" w:color="auto" w:fill="auto"/>
            <w:vAlign w:val="center"/>
          </w:tcPr>
          <w:p w:rsidR="005A42D0" w:rsidRPr="00FD7A80" w:rsidRDefault="005A42D0" w:rsidP="00B30D13">
            <w:pPr>
              <w:widowControl w:val="0"/>
              <w:tabs>
                <w:tab w:val="left" w:pos="622"/>
              </w:tabs>
              <w:spacing w:after="0" w:line="240" w:lineRule="auto"/>
              <w:rPr>
                <w:rFonts w:ascii="Times New Roman" w:eastAsia="AngsanaUPC" w:hAnsi="Times New Roman"/>
                <w:bCs/>
                <w:sz w:val="18"/>
                <w:szCs w:val="18"/>
                <w:lang w:eastAsia="lt-LT"/>
              </w:rPr>
            </w:pPr>
            <w:r w:rsidRPr="00FD7A80">
              <w:rPr>
                <w:rFonts w:ascii="Times New Roman" w:eastAsia="AngsanaUPC" w:hAnsi="Times New Roman"/>
                <w:bCs/>
                <w:sz w:val="18"/>
                <w:szCs w:val="18"/>
                <w:lang w:eastAsia="lt-LT"/>
              </w:rPr>
              <w:t>ERPF</w:t>
            </w:r>
          </w:p>
        </w:tc>
        <w:tc>
          <w:tcPr>
            <w:tcW w:w="709" w:type="dxa"/>
            <w:shd w:val="clear" w:color="auto" w:fill="auto"/>
            <w:vAlign w:val="center"/>
          </w:tcPr>
          <w:p w:rsidR="005A42D0" w:rsidRPr="00FD7A80" w:rsidRDefault="005A42D0" w:rsidP="00B30D13">
            <w:pPr>
              <w:widowControl w:val="0"/>
              <w:tabs>
                <w:tab w:val="left" w:pos="622"/>
              </w:tabs>
              <w:spacing w:after="0" w:line="240" w:lineRule="auto"/>
              <w:rPr>
                <w:rFonts w:ascii="Times New Roman" w:eastAsia="AngsanaUPC" w:hAnsi="Times New Roman"/>
                <w:bCs/>
                <w:sz w:val="18"/>
                <w:szCs w:val="18"/>
                <w:lang w:eastAsia="lt-LT"/>
              </w:rPr>
            </w:pPr>
            <w:r w:rsidRPr="00FD7A80">
              <w:rPr>
                <w:rFonts w:ascii="Times New Roman" w:eastAsia="AngsanaUPC" w:hAnsi="Times New Roman"/>
                <w:bCs/>
                <w:sz w:val="18"/>
                <w:szCs w:val="18"/>
                <w:lang w:eastAsia="lt-LT"/>
              </w:rPr>
              <w:t>02</w:t>
            </w:r>
          </w:p>
        </w:tc>
        <w:tc>
          <w:tcPr>
            <w:tcW w:w="6378" w:type="dxa"/>
            <w:shd w:val="clear" w:color="auto" w:fill="auto"/>
            <w:vAlign w:val="center"/>
          </w:tcPr>
          <w:p w:rsidR="005A42D0" w:rsidRPr="00FD7A80" w:rsidRDefault="005A42D0" w:rsidP="00B30D13">
            <w:pPr>
              <w:widowControl w:val="0"/>
              <w:tabs>
                <w:tab w:val="left" w:pos="622"/>
              </w:tabs>
              <w:spacing w:after="0" w:line="240" w:lineRule="auto"/>
              <w:rPr>
                <w:rFonts w:ascii="Times New Roman" w:eastAsia="AngsanaUPC" w:hAnsi="Times New Roman"/>
                <w:bCs/>
                <w:sz w:val="18"/>
                <w:szCs w:val="18"/>
                <w:lang w:eastAsia="lt-LT"/>
              </w:rPr>
            </w:pPr>
            <w:r w:rsidRPr="00FD7A80">
              <w:rPr>
                <w:rFonts w:ascii="Times New Roman" w:eastAsia="AngsanaUPC" w:hAnsi="Times New Roman"/>
                <w:bCs/>
                <w:sz w:val="18"/>
                <w:szCs w:val="18"/>
                <w:lang w:eastAsia="lt-LT"/>
              </w:rPr>
              <w:t>Gražinamoji subsidija</w:t>
            </w:r>
          </w:p>
        </w:tc>
        <w:tc>
          <w:tcPr>
            <w:tcW w:w="1808" w:type="dxa"/>
            <w:shd w:val="clear" w:color="auto" w:fill="auto"/>
            <w:vAlign w:val="center"/>
          </w:tcPr>
          <w:p w:rsidR="005A42D0" w:rsidRPr="005A42D0" w:rsidRDefault="005A42D0" w:rsidP="005A42D0">
            <w:pPr>
              <w:spacing w:after="0" w:line="240" w:lineRule="auto"/>
              <w:jc w:val="right"/>
              <w:rPr>
                <w:rFonts w:ascii="Times New Roman" w:hAnsi="Times New Roman"/>
                <w:sz w:val="18"/>
                <w:szCs w:val="18"/>
              </w:rPr>
            </w:pPr>
            <w:r w:rsidRPr="005A42D0">
              <w:rPr>
                <w:rFonts w:ascii="Times New Roman" w:hAnsi="Times New Roman"/>
                <w:sz w:val="18"/>
                <w:szCs w:val="18"/>
              </w:rPr>
              <w:t>252.480.729</w:t>
            </w:r>
          </w:p>
        </w:tc>
      </w:tr>
    </w:tbl>
    <w:p w:rsidR="00B30D13" w:rsidRPr="00FD7A80" w:rsidRDefault="00B30D13" w:rsidP="00254EEE">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09"/>
        <w:gridCol w:w="6378"/>
        <w:gridCol w:w="1808"/>
      </w:tblGrid>
      <w:tr w:rsidR="00B30D13" w:rsidRPr="00FD7A80" w:rsidTr="00B30D13">
        <w:tc>
          <w:tcPr>
            <w:tcW w:w="9746" w:type="dxa"/>
            <w:gridSpan w:val="4"/>
            <w:shd w:val="clear" w:color="auto" w:fill="EEECE1" w:themeFill="background2"/>
          </w:tcPr>
          <w:p w:rsidR="00B30D13" w:rsidRPr="00FD7A80" w:rsidRDefault="00B30D13" w:rsidP="00B30D13">
            <w:pPr>
              <w:widowControl w:val="0"/>
              <w:tabs>
                <w:tab w:val="left" w:pos="622"/>
              </w:tabs>
              <w:spacing w:after="0" w:line="240" w:lineRule="auto"/>
              <w:jc w:val="both"/>
              <w:rPr>
                <w:rFonts w:ascii="Times New Roman" w:hAnsi="Times New Roman"/>
                <w:b/>
                <w:i/>
                <w:iCs/>
                <w:sz w:val="18"/>
                <w:szCs w:val="18"/>
              </w:rPr>
            </w:pPr>
            <w:r w:rsidRPr="00FD7A80">
              <w:rPr>
                <w:rFonts w:ascii="Times New Roman" w:hAnsi="Times New Roman"/>
                <w:b/>
                <w:bCs/>
                <w:i/>
                <w:iCs/>
                <w:sz w:val="18"/>
                <w:szCs w:val="18"/>
              </w:rPr>
              <w:t>Teritorijų tipas</w:t>
            </w:r>
          </w:p>
        </w:tc>
      </w:tr>
      <w:tr w:rsidR="00B30D13" w:rsidRPr="00FD7A80" w:rsidTr="00B30D13">
        <w:tc>
          <w:tcPr>
            <w:tcW w:w="851" w:type="dxa"/>
            <w:shd w:val="clear" w:color="auto" w:fill="EEECE1" w:themeFill="background2"/>
            <w:vAlign w:val="center"/>
          </w:tcPr>
          <w:p w:rsidR="00B30D13" w:rsidRPr="00FD7A80" w:rsidRDefault="00B30D13" w:rsidP="00B30D13">
            <w:pPr>
              <w:widowControl w:val="0"/>
              <w:tabs>
                <w:tab w:val="left" w:pos="622"/>
              </w:tabs>
              <w:spacing w:after="0" w:line="240" w:lineRule="auto"/>
              <w:jc w:val="both"/>
              <w:rPr>
                <w:rFonts w:ascii="Times New Roman" w:hAnsi="Times New Roman"/>
                <w:b/>
                <w:bCs/>
                <w:iCs/>
                <w:sz w:val="18"/>
                <w:szCs w:val="18"/>
              </w:rPr>
            </w:pPr>
            <w:r w:rsidRPr="00FD7A80">
              <w:rPr>
                <w:rFonts w:ascii="Times New Roman" w:hAnsi="Times New Roman"/>
                <w:b/>
                <w:bCs/>
                <w:iCs/>
                <w:sz w:val="18"/>
                <w:szCs w:val="18"/>
              </w:rPr>
              <w:t>Fondas</w:t>
            </w:r>
          </w:p>
        </w:tc>
        <w:tc>
          <w:tcPr>
            <w:tcW w:w="709" w:type="dxa"/>
            <w:shd w:val="clear" w:color="auto" w:fill="EEECE1" w:themeFill="background2"/>
            <w:vAlign w:val="center"/>
          </w:tcPr>
          <w:p w:rsidR="00B30D13" w:rsidRPr="00FD7A80" w:rsidRDefault="00B30D13" w:rsidP="00B30D13">
            <w:pPr>
              <w:widowControl w:val="0"/>
              <w:tabs>
                <w:tab w:val="left" w:pos="622"/>
              </w:tabs>
              <w:spacing w:after="0" w:line="240" w:lineRule="auto"/>
              <w:jc w:val="both"/>
              <w:rPr>
                <w:rFonts w:ascii="Times New Roman" w:hAnsi="Times New Roman"/>
                <w:b/>
                <w:bCs/>
                <w:iCs/>
                <w:sz w:val="18"/>
                <w:szCs w:val="18"/>
              </w:rPr>
            </w:pPr>
            <w:r w:rsidRPr="00FD7A80">
              <w:rPr>
                <w:rFonts w:ascii="Times New Roman" w:hAnsi="Times New Roman"/>
                <w:b/>
                <w:bCs/>
                <w:iCs/>
                <w:sz w:val="18"/>
                <w:szCs w:val="18"/>
              </w:rPr>
              <w:t>Kodas</w:t>
            </w:r>
          </w:p>
        </w:tc>
        <w:tc>
          <w:tcPr>
            <w:tcW w:w="6378" w:type="dxa"/>
            <w:shd w:val="clear" w:color="auto" w:fill="EEECE1" w:themeFill="background2"/>
            <w:vAlign w:val="center"/>
          </w:tcPr>
          <w:p w:rsidR="00B30D13" w:rsidRPr="00FD7A80" w:rsidRDefault="00B30D13" w:rsidP="00B30D13">
            <w:pPr>
              <w:widowControl w:val="0"/>
              <w:tabs>
                <w:tab w:val="left" w:pos="622"/>
              </w:tabs>
              <w:spacing w:after="0" w:line="240" w:lineRule="auto"/>
              <w:jc w:val="both"/>
              <w:rPr>
                <w:rFonts w:ascii="Times New Roman" w:hAnsi="Times New Roman"/>
                <w:b/>
                <w:bCs/>
                <w:iCs/>
                <w:sz w:val="18"/>
                <w:szCs w:val="18"/>
              </w:rPr>
            </w:pPr>
            <w:r w:rsidRPr="00FD7A80">
              <w:rPr>
                <w:rFonts w:ascii="Times New Roman" w:hAnsi="Times New Roman"/>
                <w:b/>
                <w:bCs/>
                <w:iCs/>
                <w:sz w:val="18"/>
                <w:szCs w:val="18"/>
              </w:rPr>
              <w:t>Pavadinimas</w:t>
            </w:r>
          </w:p>
        </w:tc>
        <w:tc>
          <w:tcPr>
            <w:tcW w:w="1808" w:type="dxa"/>
            <w:shd w:val="clear" w:color="auto" w:fill="EEECE1" w:themeFill="background2"/>
            <w:vAlign w:val="center"/>
          </w:tcPr>
          <w:p w:rsidR="00B30D13" w:rsidRPr="00FD7A80" w:rsidRDefault="00B30D13" w:rsidP="00B30D13">
            <w:pPr>
              <w:widowControl w:val="0"/>
              <w:tabs>
                <w:tab w:val="left" w:pos="622"/>
              </w:tabs>
              <w:spacing w:after="0" w:line="240" w:lineRule="auto"/>
              <w:jc w:val="center"/>
              <w:rPr>
                <w:rFonts w:ascii="Times New Roman" w:hAnsi="Times New Roman"/>
                <w:b/>
                <w:bCs/>
                <w:iCs/>
                <w:sz w:val="18"/>
                <w:szCs w:val="18"/>
              </w:rPr>
            </w:pPr>
            <w:r w:rsidRPr="00FD7A80">
              <w:rPr>
                <w:rFonts w:ascii="Times New Roman" w:hAnsi="Times New Roman"/>
                <w:b/>
                <w:bCs/>
                <w:iCs/>
                <w:sz w:val="18"/>
                <w:szCs w:val="18"/>
              </w:rPr>
              <w:t>Finansinė proporcija (eurais)</w:t>
            </w:r>
          </w:p>
        </w:tc>
      </w:tr>
      <w:tr w:rsidR="00B30D13" w:rsidRPr="00FD7A80" w:rsidTr="00B30D13">
        <w:tc>
          <w:tcPr>
            <w:tcW w:w="851" w:type="dxa"/>
            <w:shd w:val="clear" w:color="auto" w:fill="auto"/>
            <w:vAlign w:val="center"/>
          </w:tcPr>
          <w:p w:rsidR="00B30D13" w:rsidRPr="00FD7A80" w:rsidRDefault="00B30D13" w:rsidP="00B30D13">
            <w:pPr>
              <w:widowControl w:val="0"/>
              <w:tabs>
                <w:tab w:val="left" w:pos="622"/>
              </w:tabs>
              <w:spacing w:after="0" w:line="240" w:lineRule="auto"/>
              <w:rPr>
                <w:rFonts w:ascii="Times New Roman" w:eastAsia="AngsanaUPC" w:hAnsi="Times New Roman"/>
                <w:bCs/>
                <w:sz w:val="18"/>
                <w:szCs w:val="18"/>
                <w:lang w:eastAsia="lt-LT"/>
              </w:rPr>
            </w:pPr>
            <w:r w:rsidRPr="00FD7A80">
              <w:rPr>
                <w:rFonts w:ascii="Times New Roman" w:eastAsia="AngsanaUPC" w:hAnsi="Times New Roman"/>
                <w:bCs/>
                <w:sz w:val="18"/>
                <w:szCs w:val="18"/>
                <w:lang w:eastAsia="lt-LT"/>
              </w:rPr>
              <w:t>ERPF</w:t>
            </w:r>
          </w:p>
        </w:tc>
        <w:tc>
          <w:tcPr>
            <w:tcW w:w="709" w:type="dxa"/>
            <w:shd w:val="clear" w:color="auto" w:fill="auto"/>
            <w:vAlign w:val="center"/>
          </w:tcPr>
          <w:p w:rsidR="00B30D13" w:rsidRPr="00FD7A80" w:rsidRDefault="00B30D13" w:rsidP="00B30D13">
            <w:pPr>
              <w:widowControl w:val="0"/>
              <w:tabs>
                <w:tab w:val="left" w:pos="622"/>
              </w:tabs>
              <w:spacing w:after="0" w:line="240" w:lineRule="auto"/>
              <w:rPr>
                <w:rFonts w:ascii="Times New Roman" w:eastAsia="AngsanaUPC" w:hAnsi="Times New Roman"/>
                <w:bCs/>
                <w:sz w:val="18"/>
                <w:szCs w:val="18"/>
                <w:lang w:eastAsia="lt-LT"/>
              </w:rPr>
            </w:pPr>
            <w:r w:rsidRPr="00FD7A80">
              <w:rPr>
                <w:rFonts w:ascii="Times New Roman" w:eastAsia="AngsanaUPC" w:hAnsi="Times New Roman"/>
                <w:bCs/>
                <w:sz w:val="18"/>
                <w:szCs w:val="18"/>
                <w:lang w:eastAsia="lt-LT"/>
              </w:rPr>
              <w:t>07</w:t>
            </w:r>
          </w:p>
        </w:tc>
        <w:tc>
          <w:tcPr>
            <w:tcW w:w="6378" w:type="dxa"/>
            <w:shd w:val="clear" w:color="auto" w:fill="auto"/>
            <w:vAlign w:val="center"/>
          </w:tcPr>
          <w:p w:rsidR="00B30D13" w:rsidRPr="00FD7A80" w:rsidRDefault="00B30D13" w:rsidP="00B30D13">
            <w:pPr>
              <w:widowControl w:val="0"/>
              <w:tabs>
                <w:tab w:val="left" w:pos="622"/>
              </w:tabs>
              <w:spacing w:after="0" w:line="240" w:lineRule="auto"/>
              <w:rPr>
                <w:rFonts w:ascii="Times New Roman" w:eastAsia="AngsanaUPC" w:hAnsi="Times New Roman"/>
                <w:bCs/>
                <w:sz w:val="18"/>
                <w:szCs w:val="18"/>
                <w:lang w:eastAsia="lt-LT"/>
              </w:rPr>
            </w:pPr>
            <w:r w:rsidRPr="00FD7A80">
              <w:rPr>
                <w:rFonts w:ascii="Times New Roman" w:eastAsia="AngsanaUPC" w:hAnsi="Times New Roman"/>
                <w:bCs/>
                <w:sz w:val="18"/>
                <w:szCs w:val="18"/>
                <w:lang w:eastAsia="lt-LT"/>
              </w:rPr>
              <w:t>Netaikoma</w:t>
            </w:r>
          </w:p>
        </w:tc>
        <w:tc>
          <w:tcPr>
            <w:tcW w:w="1808" w:type="dxa"/>
            <w:shd w:val="clear" w:color="auto" w:fill="auto"/>
            <w:vAlign w:val="center"/>
          </w:tcPr>
          <w:p w:rsidR="00B30D13" w:rsidRPr="005A42D0" w:rsidRDefault="005A42D0" w:rsidP="00B30D13">
            <w:pPr>
              <w:widowControl w:val="0"/>
              <w:tabs>
                <w:tab w:val="left" w:pos="622"/>
              </w:tabs>
              <w:spacing w:after="0" w:line="240" w:lineRule="auto"/>
              <w:jc w:val="right"/>
              <w:rPr>
                <w:rFonts w:ascii="Times New Roman" w:eastAsia="AngsanaUPC" w:hAnsi="Times New Roman"/>
                <w:bCs/>
                <w:sz w:val="18"/>
                <w:szCs w:val="18"/>
                <w:lang w:eastAsia="lt-LT"/>
              </w:rPr>
            </w:pPr>
            <w:r w:rsidRPr="005A42D0">
              <w:rPr>
                <w:rFonts w:ascii="Times New Roman" w:eastAsia="AngsanaUPC" w:hAnsi="Times New Roman"/>
                <w:bCs/>
                <w:sz w:val="18"/>
                <w:szCs w:val="18"/>
                <w:lang w:eastAsia="lt-LT"/>
              </w:rPr>
              <w:t>278.146.704</w:t>
            </w:r>
          </w:p>
        </w:tc>
      </w:tr>
    </w:tbl>
    <w:p w:rsidR="00B30D13" w:rsidRPr="00FD7A80" w:rsidRDefault="00B30D13" w:rsidP="00254EEE">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09"/>
        <w:gridCol w:w="6378"/>
        <w:gridCol w:w="1808"/>
      </w:tblGrid>
      <w:tr w:rsidR="00B30D13" w:rsidRPr="00FD7A80" w:rsidTr="00B30D13">
        <w:tc>
          <w:tcPr>
            <w:tcW w:w="9746" w:type="dxa"/>
            <w:gridSpan w:val="4"/>
            <w:shd w:val="clear" w:color="auto" w:fill="EEECE1" w:themeFill="background2"/>
          </w:tcPr>
          <w:p w:rsidR="00B30D13" w:rsidRPr="00FD7A80" w:rsidRDefault="00B30D13" w:rsidP="00B30D13">
            <w:pPr>
              <w:widowControl w:val="0"/>
              <w:tabs>
                <w:tab w:val="left" w:pos="622"/>
              </w:tabs>
              <w:spacing w:after="0" w:line="240" w:lineRule="auto"/>
              <w:jc w:val="both"/>
              <w:rPr>
                <w:rFonts w:ascii="Times New Roman" w:hAnsi="Times New Roman"/>
                <w:b/>
                <w:i/>
                <w:iCs/>
                <w:sz w:val="18"/>
                <w:szCs w:val="18"/>
              </w:rPr>
            </w:pPr>
            <w:r w:rsidRPr="00FD7A80">
              <w:rPr>
                <w:rFonts w:ascii="Times New Roman" w:hAnsi="Times New Roman"/>
                <w:b/>
                <w:bCs/>
                <w:i/>
                <w:iCs/>
                <w:sz w:val="18"/>
                <w:szCs w:val="18"/>
              </w:rPr>
              <w:t>Teritorinės paramos paskirstymo priemonės</w:t>
            </w:r>
          </w:p>
        </w:tc>
      </w:tr>
      <w:tr w:rsidR="00B30D13" w:rsidRPr="00FD7A80" w:rsidTr="00B30D13">
        <w:trPr>
          <w:trHeight w:val="550"/>
        </w:trPr>
        <w:tc>
          <w:tcPr>
            <w:tcW w:w="851" w:type="dxa"/>
            <w:shd w:val="clear" w:color="auto" w:fill="EEECE1" w:themeFill="background2"/>
            <w:vAlign w:val="center"/>
          </w:tcPr>
          <w:p w:rsidR="00B30D13" w:rsidRPr="00FD7A80" w:rsidRDefault="00B30D13" w:rsidP="00B30D13">
            <w:pPr>
              <w:widowControl w:val="0"/>
              <w:tabs>
                <w:tab w:val="left" w:pos="622"/>
              </w:tabs>
              <w:spacing w:after="0" w:line="240" w:lineRule="auto"/>
              <w:jc w:val="both"/>
              <w:rPr>
                <w:rFonts w:ascii="Times New Roman" w:hAnsi="Times New Roman"/>
                <w:b/>
                <w:bCs/>
                <w:iCs/>
                <w:sz w:val="18"/>
                <w:szCs w:val="18"/>
              </w:rPr>
            </w:pPr>
            <w:r w:rsidRPr="00FD7A80">
              <w:rPr>
                <w:rFonts w:ascii="Times New Roman" w:hAnsi="Times New Roman"/>
                <w:b/>
                <w:bCs/>
                <w:iCs/>
                <w:sz w:val="18"/>
                <w:szCs w:val="18"/>
              </w:rPr>
              <w:t>Fondas</w:t>
            </w:r>
          </w:p>
        </w:tc>
        <w:tc>
          <w:tcPr>
            <w:tcW w:w="709" w:type="dxa"/>
            <w:shd w:val="clear" w:color="auto" w:fill="EEECE1" w:themeFill="background2"/>
            <w:vAlign w:val="center"/>
          </w:tcPr>
          <w:p w:rsidR="00B30D13" w:rsidRPr="00FD7A80" w:rsidRDefault="00B30D13" w:rsidP="00B30D13">
            <w:pPr>
              <w:widowControl w:val="0"/>
              <w:tabs>
                <w:tab w:val="left" w:pos="622"/>
              </w:tabs>
              <w:spacing w:after="0" w:line="240" w:lineRule="auto"/>
              <w:jc w:val="both"/>
              <w:rPr>
                <w:rFonts w:ascii="Times New Roman" w:hAnsi="Times New Roman"/>
                <w:b/>
                <w:bCs/>
                <w:iCs/>
                <w:sz w:val="18"/>
                <w:szCs w:val="18"/>
              </w:rPr>
            </w:pPr>
            <w:r w:rsidRPr="00FD7A80">
              <w:rPr>
                <w:rFonts w:ascii="Times New Roman" w:hAnsi="Times New Roman"/>
                <w:b/>
                <w:bCs/>
                <w:iCs/>
                <w:sz w:val="18"/>
                <w:szCs w:val="18"/>
              </w:rPr>
              <w:t>Kodas</w:t>
            </w:r>
          </w:p>
        </w:tc>
        <w:tc>
          <w:tcPr>
            <w:tcW w:w="6378" w:type="dxa"/>
            <w:shd w:val="clear" w:color="auto" w:fill="EEECE1" w:themeFill="background2"/>
            <w:vAlign w:val="center"/>
          </w:tcPr>
          <w:p w:rsidR="00B30D13" w:rsidRPr="00FD7A80" w:rsidRDefault="00B30D13" w:rsidP="00B30D13">
            <w:pPr>
              <w:widowControl w:val="0"/>
              <w:tabs>
                <w:tab w:val="left" w:pos="622"/>
              </w:tabs>
              <w:spacing w:after="0" w:line="240" w:lineRule="auto"/>
              <w:jc w:val="both"/>
              <w:rPr>
                <w:rFonts w:ascii="Times New Roman" w:hAnsi="Times New Roman"/>
                <w:b/>
                <w:bCs/>
                <w:iCs/>
                <w:sz w:val="18"/>
                <w:szCs w:val="18"/>
              </w:rPr>
            </w:pPr>
            <w:r w:rsidRPr="00FD7A80">
              <w:rPr>
                <w:rFonts w:ascii="Times New Roman" w:hAnsi="Times New Roman"/>
                <w:b/>
                <w:bCs/>
                <w:iCs/>
                <w:sz w:val="18"/>
                <w:szCs w:val="18"/>
              </w:rPr>
              <w:t>Pavadinimas</w:t>
            </w:r>
          </w:p>
        </w:tc>
        <w:tc>
          <w:tcPr>
            <w:tcW w:w="1808" w:type="dxa"/>
            <w:shd w:val="clear" w:color="auto" w:fill="EEECE1" w:themeFill="background2"/>
            <w:vAlign w:val="center"/>
          </w:tcPr>
          <w:p w:rsidR="00B30D13" w:rsidRPr="00FD7A80" w:rsidRDefault="00B30D13" w:rsidP="00B30D13">
            <w:pPr>
              <w:widowControl w:val="0"/>
              <w:tabs>
                <w:tab w:val="left" w:pos="622"/>
              </w:tabs>
              <w:spacing w:after="0" w:line="240" w:lineRule="auto"/>
              <w:jc w:val="center"/>
              <w:rPr>
                <w:rFonts w:ascii="Times New Roman" w:hAnsi="Times New Roman"/>
                <w:b/>
                <w:bCs/>
                <w:iCs/>
                <w:sz w:val="18"/>
                <w:szCs w:val="18"/>
              </w:rPr>
            </w:pPr>
            <w:r w:rsidRPr="00FD7A80">
              <w:rPr>
                <w:rFonts w:ascii="Times New Roman" w:hAnsi="Times New Roman"/>
                <w:b/>
                <w:bCs/>
                <w:iCs/>
                <w:sz w:val="18"/>
                <w:szCs w:val="18"/>
              </w:rPr>
              <w:t>Finansinė proporcija (eurais)</w:t>
            </w:r>
          </w:p>
        </w:tc>
      </w:tr>
      <w:tr w:rsidR="00B30D13" w:rsidRPr="00FD7A80" w:rsidTr="00B30D13">
        <w:tc>
          <w:tcPr>
            <w:tcW w:w="851" w:type="dxa"/>
            <w:shd w:val="clear" w:color="auto" w:fill="auto"/>
            <w:vAlign w:val="center"/>
          </w:tcPr>
          <w:p w:rsidR="00B30D13" w:rsidRPr="00FD7A80" w:rsidRDefault="00B30D13" w:rsidP="00B30D13">
            <w:pPr>
              <w:widowControl w:val="0"/>
              <w:tabs>
                <w:tab w:val="left" w:pos="622"/>
              </w:tabs>
              <w:spacing w:after="0" w:line="240" w:lineRule="auto"/>
              <w:rPr>
                <w:rFonts w:ascii="Times New Roman" w:eastAsia="AngsanaUPC" w:hAnsi="Times New Roman"/>
                <w:bCs/>
                <w:sz w:val="18"/>
                <w:szCs w:val="18"/>
                <w:lang w:eastAsia="lt-LT"/>
              </w:rPr>
            </w:pPr>
            <w:r w:rsidRPr="00FD7A80">
              <w:rPr>
                <w:rFonts w:ascii="Times New Roman" w:eastAsia="AngsanaUPC" w:hAnsi="Times New Roman"/>
                <w:bCs/>
                <w:sz w:val="18"/>
                <w:szCs w:val="18"/>
                <w:lang w:eastAsia="lt-LT"/>
              </w:rPr>
              <w:t>ERPF</w:t>
            </w:r>
          </w:p>
        </w:tc>
        <w:tc>
          <w:tcPr>
            <w:tcW w:w="709" w:type="dxa"/>
            <w:shd w:val="clear" w:color="auto" w:fill="auto"/>
            <w:vAlign w:val="center"/>
          </w:tcPr>
          <w:p w:rsidR="00B30D13" w:rsidRPr="00FD7A80" w:rsidRDefault="00B30D13" w:rsidP="00B30D13">
            <w:pPr>
              <w:widowControl w:val="0"/>
              <w:tabs>
                <w:tab w:val="left" w:pos="622"/>
              </w:tabs>
              <w:spacing w:after="0" w:line="240" w:lineRule="auto"/>
              <w:rPr>
                <w:rFonts w:ascii="Times New Roman" w:eastAsia="AngsanaUPC" w:hAnsi="Times New Roman"/>
                <w:bCs/>
                <w:sz w:val="18"/>
                <w:szCs w:val="18"/>
                <w:lang w:eastAsia="lt-LT"/>
              </w:rPr>
            </w:pPr>
            <w:r w:rsidRPr="00FD7A80">
              <w:rPr>
                <w:rFonts w:ascii="Times New Roman" w:eastAsia="AngsanaUPC" w:hAnsi="Times New Roman"/>
                <w:bCs/>
                <w:sz w:val="18"/>
                <w:szCs w:val="18"/>
                <w:lang w:eastAsia="lt-LT"/>
              </w:rPr>
              <w:t>07</w:t>
            </w:r>
          </w:p>
        </w:tc>
        <w:tc>
          <w:tcPr>
            <w:tcW w:w="6378" w:type="dxa"/>
            <w:shd w:val="clear" w:color="auto" w:fill="auto"/>
            <w:vAlign w:val="center"/>
          </w:tcPr>
          <w:p w:rsidR="00B30D13" w:rsidRPr="00FD7A80" w:rsidRDefault="00B30D13" w:rsidP="00B30D13">
            <w:pPr>
              <w:widowControl w:val="0"/>
              <w:tabs>
                <w:tab w:val="left" w:pos="622"/>
              </w:tabs>
              <w:spacing w:after="0" w:line="240" w:lineRule="auto"/>
              <w:jc w:val="both"/>
              <w:rPr>
                <w:rFonts w:ascii="Times New Roman" w:hAnsi="Times New Roman"/>
                <w:bCs/>
                <w:iCs/>
                <w:sz w:val="18"/>
                <w:szCs w:val="18"/>
              </w:rPr>
            </w:pPr>
            <w:r w:rsidRPr="00FD7A80">
              <w:rPr>
                <w:rFonts w:ascii="Times New Roman" w:hAnsi="Times New Roman"/>
                <w:bCs/>
                <w:iCs/>
                <w:sz w:val="18"/>
                <w:szCs w:val="18"/>
              </w:rPr>
              <w:t>Netaikoma</w:t>
            </w:r>
          </w:p>
        </w:tc>
        <w:tc>
          <w:tcPr>
            <w:tcW w:w="1808" w:type="dxa"/>
            <w:shd w:val="clear" w:color="auto" w:fill="auto"/>
            <w:vAlign w:val="center"/>
          </w:tcPr>
          <w:p w:rsidR="00B30D13" w:rsidRPr="005A42D0" w:rsidRDefault="005A42D0" w:rsidP="00B30D13">
            <w:pPr>
              <w:widowControl w:val="0"/>
              <w:tabs>
                <w:tab w:val="left" w:pos="622"/>
              </w:tabs>
              <w:spacing w:after="0" w:line="240" w:lineRule="auto"/>
              <w:jc w:val="right"/>
              <w:rPr>
                <w:rFonts w:ascii="Times New Roman" w:eastAsia="AngsanaUPC" w:hAnsi="Times New Roman"/>
                <w:bCs/>
                <w:sz w:val="18"/>
                <w:szCs w:val="18"/>
                <w:lang w:eastAsia="lt-LT"/>
              </w:rPr>
            </w:pPr>
            <w:r w:rsidRPr="005A42D0">
              <w:rPr>
                <w:rFonts w:ascii="Times New Roman" w:eastAsia="AngsanaUPC" w:hAnsi="Times New Roman"/>
                <w:bCs/>
                <w:sz w:val="18"/>
                <w:szCs w:val="18"/>
                <w:lang w:eastAsia="lt-LT"/>
              </w:rPr>
              <w:t>278.146.704</w:t>
            </w:r>
          </w:p>
        </w:tc>
      </w:tr>
    </w:tbl>
    <w:p w:rsidR="00B30D13" w:rsidRPr="00FD7A80" w:rsidRDefault="00B30D13" w:rsidP="00B30D13">
      <w:pPr>
        <w:widowControl w:val="0"/>
        <w:tabs>
          <w:tab w:val="left" w:pos="622"/>
        </w:tabs>
        <w:spacing w:after="0" w:line="240" w:lineRule="auto"/>
        <w:jc w:val="both"/>
        <w:rPr>
          <w:rFonts w:ascii="Times New Roman" w:eastAsia="AngsanaUPC" w:hAnsi="Times New Roman"/>
          <w:bCs/>
          <w:sz w:val="20"/>
          <w:szCs w:val="20"/>
          <w:lang w:eastAsia="lt-LT"/>
        </w:rPr>
      </w:pPr>
    </w:p>
    <w:p w:rsidR="00B30D13" w:rsidRPr="00FD7A80" w:rsidRDefault="00B30D13" w:rsidP="00B30D13">
      <w:pPr>
        <w:widowControl w:val="0"/>
        <w:tabs>
          <w:tab w:val="left" w:pos="622"/>
        </w:tabs>
        <w:spacing w:after="0" w:line="240" w:lineRule="auto"/>
        <w:jc w:val="both"/>
        <w:rPr>
          <w:rFonts w:ascii="Times New Roman" w:eastAsia="AngsanaUPC" w:hAnsi="Times New Roman"/>
          <w:bCs/>
          <w:sz w:val="24"/>
          <w:szCs w:val="24"/>
          <w:lang w:eastAsia="lt-LT"/>
        </w:rPr>
        <w:sectPr w:rsidR="00B30D13" w:rsidRPr="00FD7A80" w:rsidSect="00AC19DA">
          <w:pgSz w:w="11906" w:h="16838" w:code="9"/>
          <w:pgMar w:top="1701" w:right="567" w:bottom="1134" w:left="1701" w:header="567" w:footer="567" w:gutter="0"/>
          <w:cols w:space="1296"/>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746"/>
      </w:tblGrid>
      <w:tr w:rsidR="00B30D13" w:rsidRPr="00FD7A80" w:rsidTr="00B30D13">
        <w:trPr>
          <w:trHeight w:val="416"/>
        </w:trPr>
        <w:tc>
          <w:tcPr>
            <w:tcW w:w="9746" w:type="dxa"/>
            <w:shd w:val="clear" w:color="auto" w:fill="EEECE1"/>
            <w:vAlign w:val="center"/>
          </w:tcPr>
          <w:p w:rsidR="00B30D13" w:rsidRPr="00FD7A80" w:rsidRDefault="00B30D13" w:rsidP="00B30D13">
            <w:pPr>
              <w:keepNext/>
              <w:spacing w:after="0" w:line="240" w:lineRule="auto"/>
              <w:jc w:val="both"/>
              <w:outlineLvl w:val="1"/>
              <w:rPr>
                <w:rFonts w:ascii="Times New Roman" w:eastAsia="AngsanaUPC" w:hAnsi="Times New Roman"/>
                <w:b/>
                <w:bCs/>
                <w:iCs/>
                <w:sz w:val="24"/>
                <w:szCs w:val="28"/>
                <w:lang w:eastAsia="lt-LT"/>
              </w:rPr>
            </w:pPr>
            <w:bookmarkStart w:id="18" w:name="_Toc69836233"/>
            <w:r w:rsidRPr="00FD7A80">
              <w:rPr>
                <w:rFonts w:ascii="Times New Roman" w:eastAsia="AngsanaUPC" w:hAnsi="Times New Roman"/>
                <w:b/>
                <w:bCs/>
                <w:iCs/>
                <w:sz w:val="24"/>
                <w:szCs w:val="28"/>
                <w:lang w:eastAsia="lt-LT"/>
              </w:rPr>
              <w:lastRenderedPageBreak/>
              <w:t>14 PRIORITETAS. VEIKSMŲ, SKIRTŲ COVID-19 PANDEMIJOS SUKELTAI KRIZEI ĮVEIKTI, SKATINIMAS, SIEKIANT DIDINTI UŽIMTUMĄ IR SOCIALINĘ ĮTRAUKTĮ</w:t>
            </w:r>
            <w:bookmarkEnd w:id="18"/>
          </w:p>
        </w:tc>
      </w:tr>
    </w:tbl>
    <w:p w:rsidR="00B30D13" w:rsidRPr="00FD7A80" w:rsidRDefault="00B30D13" w:rsidP="00254EEE">
      <w:pPr>
        <w:widowControl w:val="0"/>
        <w:tabs>
          <w:tab w:val="left" w:pos="622"/>
        </w:tabs>
        <w:spacing w:after="0" w:line="240" w:lineRule="auto"/>
        <w:jc w:val="both"/>
        <w:rPr>
          <w:rFonts w:ascii="Times New Roman" w:eastAsia="AngsanaUPC" w:hAnsi="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10"/>
        <w:gridCol w:w="7336"/>
      </w:tblGrid>
      <w:tr w:rsidR="00B30D13" w:rsidRPr="00FD7A80" w:rsidTr="00B30D13">
        <w:tc>
          <w:tcPr>
            <w:tcW w:w="2410" w:type="dxa"/>
            <w:shd w:val="clear" w:color="auto" w:fill="EEECE1"/>
          </w:tcPr>
          <w:p w:rsidR="00B30D13" w:rsidRPr="00FD7A80" w:rsidRDefault="00B30D13" w:rsidP="00B30D13">
            <w:pPr>
              <w:widowControl w:val="0"/>
              <w:tabs>
                <w:tab w:val="left" w:pos="622"/>
              </w:tabs>
              <w:spacing w:after="0" w:line="240" w:lineRule="auto"/>
              <w:jc w:val="both"/>
              <w:rPr>
                <w:rFonts w:ascii="Times New Roman" w:eastAsia="AngsanaUPC" w:hAnsi="Times New Roman"/>
                <w:b/>
                <w:bCs/>
                <w:sz w:val="24"/>
                <w:szCs w:val="24"/>
                <w:lang w:eastAsia="lt-LT"/>
              </w:rPr>
            </w:pPr>
            <w:r w:rsidRPr="00FD7A80">
              <w:rPr>
                <w:rFonts w:ascii="Times New Roman" w:eastAsia="AngsanaUPC" w:hAnsi="Times New Roman"/>
                <w:b/>
                <w:bCs/>
                <w:sz w:val="24"/>
                <w:szCs w:val="24"/>
                <w:lang w:eastAsia="lt-LT"/>
              </w:rPr>
              <w:t>FONDAS</w:t>
            </w:r>
          </w:p>
        </w:tc>
        <w:tc>
          <w:tcPr>
            <w:tcW w:w="7336" w:type="dxa"/>
            <w:shd w:val="clear" w:color="auto" w:fill="EEECE1"/>
          </w:tcPr>
          <w:p w:rsidR="00B30D13" w:rsidRPr="00FD7A80" w:rsidRDefault="00B30D13" w:rsidP="00B30D13">
            <w:pPr>
              <w:widowControl w:val="0"/>
              <w:tabs>
                <w:tab w:val="left" w:pos="622"/>
              </w:tabs>
              <w:spacing w:after="0" w:line="240" w:lineRule="auto"/>
              <w:jc w:val="both"/>
              <w:rPr>
                <w:rFonts w:ascii="Times New Roman" w:eastAsia="AngsanaUPC" w:hAnsi="Times New Roman"/>
                <w:b/>
                <w:bCs/>
                <w:sz w:val="24"/>
                <w:szCs w:val="24"/>
                <w:lang w:eastAsia="lt-LT"/>
              </w:rPr>
            </w:pPr>
            <w:r w:rsidRPr="00FD7A80">
              <w:rPr>
                <w:rFonts w:ascii="Times New Roman" w:eastAsia="AngsanaUPC" w:hAnsi="Times New Roman"/>
                <w:b/>
                <w:bCs/>
                <w:sz w:val="24"/>
                <w:szCs w:val="24"/>
                <w:lang w:eastAsia="lt-LT"/>
              </w:rPr>
              <w:t>Europos socialinis fondas</w:t>
            </w:r>
          </w:p>
        </w:tc>
      </w:tr>
    </w:tbl>
    <w:p w:rsidR="00B30D13" w:rsidRPr="00FD7A80" w:rsidRDefault="00B30D13" w:rsidP="00254EEE">
      <w:pPr>
        <w:widowControl w:val="0"/>
        <w:tabs>
          <w:tab w:val="left" w:pos="622"/>
        </w:tabs>
        <w:spacing w:after="0" w:line="240" w:lineRule="auto"/>
        <w:jc w:val="both"/>
        <w:rPr>
          <w:rFonts w:ascii="Times New Roman" w:eastAsia="AngsanaUPC" w:hAnsi="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404"/>
        <w:gridCol w:w="7285"/>
      </w:tblGrid>
      <w:tr w:rsidR="00B30D13" w:rsidRPr="00FD7A80" w:rsidTr="00B30D13">
        <w:tc>
          <w:tcPr>
            <w:tcW w:w="2404" w:type="dxa"/>
            <w:shd w:val="clear" w:color="auto" w:fill="EEECE1"/>
            <w:vAlign w:val="center"/>
          </w:tcPr>
          <w:p w:rsidR="00B30D13" w:rsidRPr="00FD7A80" w:rsidRDefault="00B30D13" w:rsidP="00B30D13">
            <w:pPr>
              <w:widowControl w:val="0"/>
              <w:tabs>
                <w:tab w:val="left" w:pos="622"/>
              </w:tabs>
              <w:spacing w:after="0" w:line="240" w:lineRule="auto"/>
              <w:rPr>
                <w:rFonts w:ascii="Times New Roman" w:eastAsia="AngsanaUPC" w:hAnsi="Times New Roman"/>
                <w:b/>
                <w:bCs/>
                <w:sz w:val="24"/>
                <w:szCs w:val="24"/>
                <w:lang w:eastAsia="lt-LT"/>
              </w:rPr>
            </w:pPr>
            <w:r w:rsidRPr="00FD7A80">
              <w:rPr>
                <w:rFonts w:ascii="Times New Roman" w:eastAsia="AngsanaUPC" w:hAnsi="Times New Roman"/>
                <w:b/>
                <w:bCs/>
                <w:sz w:val="24"/>
                <w:szCs w:val="24"/>
                <w:lang w:eastAsia="lt-LT"/>
              </w:rPr>
              <w:t>14.1.1. KONKRETUS UŽDAVINYS</w:t>
            </w:r>
          </w:p>
        </w:tc>
        <w:tc>
          <w:tcPr>
            <w:tcW w:w="7285" w:type="dxa"/>
            <w:shd w:val="clear" w:color="auto" w:fill="EEECE1"/>
            <w:vAlign w:val="center"/>
          </w:tcPr>
          <w:p w:rsidR="00B30D13" w:rsidRPr="00FD7A80" w:rsidRDefault="00B30D13" w:rsidP="00B30D13">
            <w:pPr>
              <w:spacing w:after="0" w:line="240" w:lineRule="auto"/>
              <w:jc w:val="both"/>
              <w:rPr>
                <w:rFonts w:ascii="Times New Roman" w:hAnsi="Times New Roman"/>
                <w:b/>
                <w:sz w:val="24"/>
                <w:szCs w:val="24"/>
              </w:rPr>
            </w:pPr>
            <w:r w:rsidRPr="00FD7A80">
              <w:rPr>
                <w:rFonts w:ascii="Times New Roman" w:hAnsi="Times New Roman"/>
                <w:b/>
                <w:sz w:val="24"/>
                <w:szCs w:val="24"/>
              </w:rPr>
              <w:t>Gyventojų užimtumo, prisitaikymo prie kintančios darbo rinkos ir atsparumo, COVID-19 pandemijos keliamiems iššūkiams, didinimas</w:t>
            </w:r>
          </w:p>
        </w:tc>
      </w:tr>
      <w:tr w:rsidR="00B30D13" w:rsidRPr="00FD7A80" w:rsidTr="00B30D13">
        <w:tc>
          <w:tcPr>
            <w:tcW w:w="9689" w:type="dxa"/>
            <w:gridSpan w:val="2"/>
            <w:shd w:val="clear" w:color="auto" w:fill="auto"/>
          </w:tcPr>
          <w:p w:rsidR="00B30D13" w:rsidRPr="00FD7A80" w:rsidRDefault="00B30D13" w:rsidP="00B30D13">
            <w:pPr>
              <w:spacing w:after="0" w:line="240" w:lineRule="auto"/>
              <w:ind w:firstLine="624"/>
              <w:jc w:val="both"/>
              <w:rPr>
                <w:rFonts w:ascii="Times New Roman" w:hAnsi="Times New Roman"/>
                <w:sz w:val="24"/>
                <w:szCs w:val="24"/>
              </w:rPr>
            </w:pPr>
            <w:r w:rsidRPr="00FD7A80">
              <w:rPr>
                <w:rFonts w:ascii="Times New Roman" w:hAnsi="Times New Roman"/>
                <w:sz w:val="24"/>
                <w:szCs w:val="24"/>
              </w:rPr>
              <w:t xml:space="preserve">Prieš koronaviruso pandemiją dalyvavimas darbo rinkoje buvo aktyvus, o nedarbo lygis žemas, tačiau dėl krizės kilo naujų iššūkių. </w:t>
            </w:r>
            <w:r w:rsidRPr="00FD7A80">
              <w:rPr>
                <w:rFonts w:ascii="Times New Roman" w:eastAsia="Times New Roman" w:hAnsi="Times New Roman"/>
                <w:sz w:val="24"/>
                <w:szCs w:val="24"/>
                <w:lang w:eastAsia="lt-LT"/>
              </w:rPr>
              <w:t xml:space="preserve">Nedarbo lygis, lyginant 2020 m. kovo 16 d. ir 2020 m. rugpjūčio 3 d., išaugo nuo 9,3 proc. iki 13,2 proc., bedarbių skaičius – nuo 160 tūkst. iki 228 tūkst. </w:t>
            </w:r>
            <w:r w:rsidRPr="00FD7A80">
              <w:rPr>
                <w:rFonts w:ascii="Times New Roman" w:hAnsi="Times New Roman"/>
                <w:sz w:val="24"/>
                <w:szCs w:val="24"/>
              </w:rPr>
              <w:t xml:space="preserve">Norint, kad Lietuvos ekonomika atsigautų po COVID-19, reikalingos ilgalaikio poveikio investicijos, užtikrinančios socialinės ir ekonominės gerovės augimą. </w:t>
            </w:r>
          </w:p>
          <w:p w:rsidR="00B30D13" w:rsidRPr="00FD7A80" w:rsidRDefault="00B30D13" w:rsidP="00B30D13">
            <w:pPr>
              <w:spacing w:after="0" w:line="240" w:lineRule="auto"/>
              <w:ind w:firstLine="624"/>
              <w:jc w:val="both"/>
              <w:rPr>
                <w:rFonts w:ascii="Times New Roman" w:hAnsi="Times New Roman"/>
                <w:sz w:val="24"/>
                <w:szCs w:val="24"/>
              </w:rPr>
            </w:pPr>
            <w:r w:rsidRPr="00FD7A80">
              <w:rPr>
                <w:rFonts w:ascii="Times New Roman" w:hAnsi="Times New Roman"/>
                <w:sz w:val="24"/>
                <w:szCs w:val="24"/>
              </w:rPr>
              <w:t xml:space="preserve">Viena iš būtinų sąlygų ekonomikos vystymuisi ilgalaikėje perspektyvoje – kvalifikuota ir darbo rinkos poreikius atitinkanti darbo jėga, ypač aukštą pridėtinę vertę kuriančiose srityse. Būtina išlaikyti ir padidinti kvalifikuotų, darbingų, sveikų ir motyvuotų dirbti (laimingų) žmonių skaičių, padidinti Lietuvos gyventojų, galinčių kurti individualią ir visuomenės gerovę, skaičių. Šio uždavinio lėšomis bus investuojama, į aktyvias darbo rinkos politikos (ADRP) priemones ir greitą darbo jėgos perkvalifikavimą prisitaikant prie nuolat kintančių rinkos poreikių. 2008 ir 2009 metų ekonomikos krizės padarinių švelninimo patirtis parodė, kad ADRP priemonės turėjo teigiamą poveikį sprendžiant nedarbo problemas, labiau kvalifikuotą darbo jėgą pritraukiant į įvairius ūkio sektorius. Intervencijos darė įtaką užimtumo rodiklių kaitai, prisidėjo prie neigiamų tendencijų mažinimo. Europos Tarybos rekomendacijose Lietuvai 2020 m. taip pat pažymima, kad siekiant švelninti krizės poveikį užimtumui, reikalinga didinti ADRP priemonių ir kitų priemonių, skirtų darbo jėgos kvalifikacijai keisti ir kelti, finansavimą bei aprėpti ir skatinti gerinti įgūdžius. </w:t>
            </w:r>
          </w:p>
          <w:p w:rsidR="00B30D13" w:rsidRPr="00FD7A80" w:rsidRDefault="00B30D13" w:rsidP="00B30D13">
            <w:pPr>
              <w:tabs>
                <w:tab w:val="left" w:pos="-1164"/>
                <w:tab w:val="left" w:pos="-960"/>
              </w:tabs>
              <w:autoSpaceDE w:val="0"/>
              <w:autoSpaceDN w:val="0"/>
              <w:adjustRightInd w:val="0"/>
              <w:spacing w:after="0" w:line="240" w:lineRule="auto"/>
              <w:ind w:firstLine="601"/>
              <w:jc w:val="both"/>
              <w:rPr>
                <w:rFonts w:ascii="Times New Roman" w:hAnsi="Times New Roman"/>
                <w:bCs/>
                <w:sz w:val="24"/>
                <w:szCs w:val="24"/>
              </w:rPr>
            </w:pPr>
            <w:r w:rsidRPr="00FD7A80">
              <w:rPr>
                <w:rFonts w:ascii="Times New Roman" w:hAnsi="Times New Roman"/>
                <w:bCs/>
                <w:sz w:val="24"/>
                <w:szCs w:val="24"/>
              </w:rPr>
              <w:t>Investicijos į persikvalifikavimą ir įgūdžių tobulinimą, jas kreipiant tikslinių grupių poreikių užtikrinimui ir įtraukties didinimui, tiesiogiai prisidės prie Europos pavyzdinės iniciatyvos „Persikvalifikavimas ir įgūdžių tobulinimas“ skatinamų pokyčių.</w:t>
            </w:r>
          </w:p>
        </w:tc>
      </w:tr>
    </w:tbl>
    <w:p w:rsidR="00B30D13" w:rsidRPr="00FD7A80" w:rsidRDefault="00B30D13" w:rsidP="00254EEE">
      <w:pPr>
        <w:widowControl w:val="0"/>
        <w:tabs>
          <w:tab w:val="left" w:pos="622"/>
        </w:tabs>
        <w:spacing w:after="0" w:line="240" w:lineRule="auto"/>
        <w:jc w:val="both"/>
        <w:rPr>
          <w:rFonts w:ascii="Times New Roman" w:eastAsia="AngsanaUPC" w:hAnsi="Times New Roman"/>
          <w:bCs/>
          <w:sz w:val="24"/>
          <w:szCs w:val="24"/>
          <w:lang w:eastAsia="lt-LT"/>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476"/>
        <w:gridCol w:w="1225"/>
        <w:gridCol w:w="917"/>
        <w:gridCol w:w="926"/>
        <w:gridCol w:w="1036"/>
        <w:gridCol w:w="665"/>
        <w:gridCol w:w="1019"/>
        <w:gridCol w:w="682"/>
        <w:gridCol w:w="709"/>
        <w:gridCol w:w="1054"/>
        <w:gridCol w:w="1072"/>
      </w:tblGrid>
      <w:tr w:rsidR="00B30D13" w:rsidRPr="00FD7A80" w:rsidTr="00B30D13">
        <w:trPr>
          <w:tblHeader/>
        </w:trPr>
        <w:tc>
          <w:tcPr>
            <w:tcW w:w="9781" w:type="dxa"/>
            <w:gridSpan w:val="11"/>
            <w:shd w:val="clear" w:color="auto" w:fill="EEECE1"/>
          </w:tcPr>
          <w:p w:rsidR="00B30D13" w:rsidRPr="00FD7A80" w:rsidRDefault="00B30D13" w:rsidP="00B30D13">
            <w:pPr>
              <w:widowControl w:val="0"/>
              <w:tabs>
                <w:tab w:val="left" w:pos="622"/>
              </w:tabs>
              <w:spacing w:after="0" w:line="240" w:lineRule="auto"/>
              <w:jc w:val="both"/>
              <w:rPr>
                <w:rFonts w:ascii="Times New Roman" w:eastAsia="AngsanaUPC" w:hAnsi="Times New Roman"/>
                <w:b/>
                <w:bCs/>
                <w:i/>
                <w:iCs/>
                <w:sz w:val="18"/>
                <w:szCs w:val="18"/>
                <w:lang w:eastAsia="lt-LT"/>
              </w:rPr>
            </w:pPr>
            <w:r w:rsidRPr="00FD7A80">
              <w:rPr>
                <w:rFonts w:ascii="Times New Roman" w:eastAsia="Times New Roman" w:hAnsi="Times New Roman"/>
                <w:b/>
                <w:bCs/>
                <w:i/>
                <w:iCs/>
                <w:sz w:val="18"/>
                <w:szCs w:val="18"/>
                <w:lang w:eastAsia="lt-LT"/>
              </w:rPr>
              <w:t>ESF bendrieji ir specialieji programos rezultato rodikliai</w:t>
            </w:r>
          </w:p>
        </w:tc>
      </w:tr>
      <w:tr w:rsidR="00B30D13" w:rsidRPr="00FD7A80" w:rsidTr="00B30D13">
        <w:tblPrEx>
          <w:shd w:val="clear" w:color="auto" w:fill="auto"/>
        </w:tblPrEx>
        <w:trPr>
          <w:cantSplit/>
          <w:trHeight w:val="1258"/>
          <w:tblHeader/>
        </w:trPr>
        <w:tc>
          <w:tcPr>
            <w:tcW w:w="476" w:type="dxa"/>
            <w:shd w:val="clear" w:color="auto" w:fill="EEECE1"/>
            <w:textDirection w:val="btLr"/>
            <w:vAlign w:val="center"/>
          </w:tcPr>
          <w:p w:rsidR="00B30D13" w:rsidRPr="00FD7A80" w:rsidRDefault="00B30D13" w:rsidP="00B30D13">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FD7A80">
              <w:rPr>
                <w:rFonts w:ascii="Times New Roman" w:eastAsia="AngsanaUPC" w:hAnsi="Times New Roman"/>
                <w:b/>
                <w:bCs/>
                <w:iCs/>
                <w:sz w:val="18"/>
                <w:szCs w:val="18"/>
                <w:lang w:eastAsia="lt-LT"/>
              </w:rPr>
              <w:t>Nr.</w:t>
            </w:r>
          </w:p>
        </w:tc>
        <w:tc>
          <w:tcPr>
            <w:tcW w:w="1225" w:type="dxa"/>
            <w:shd w:val="clear" w:color="auto" w:fill="EEECE1"/>
            <w:textDirection w:val="btLr"/>
            <w:vAlign w:val="center"/>
          </w:tcPr>
          <w:p w:rsidR="00B30D13" w:rsidRPr="00FD7A80" w:rsidRDefault="00B30D13" w:rsidP="00B30D13">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FD7A80">
              <w:rPr>
                <w:rFonts w:ascii="Times New Roman" w:eastAsia="AngsanaUPC" w:hAnsi="Times New Roman"/>
                <w:b/>
                <w:bCs/>
                <w:iCs/>
                <w:sz w:val="18"/>
                <w:szCs w:val="18"/>
                <w:lang w:eastAsia="lt-LT"/>
              </w:rPr>
              <w:t>Rodiklio pavadinimas</w:t>
            </w:r>
          </w:p>
        </w:tc>
        <w:tc>
          <w:tcPr>
            <w:tcW w:w="917" w:type="dxa"/>
            <w:shd w:val="clear" w:color="auto" w:fill="EEECE1"/>
            <w:textDirection w:val="btLr"/>
            <w:vAlign w:val="center"/>
          </w:tcPr>
          <w:p w:rsidR="00B30D13" w:rsidRPr="00FD7A80" w:rsidRDefault="00B30D13" w:rsidP="00B30D13">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FD7A80">
              <w:rPr>
                <w:rFonts w:ascii="Times New Roman" w:eastAsia="AngsanaUPC" w:hAnsi="Times New Roman"/>
                <w:b/>
                <w:bCs/>
                <w:iCs/>
                <w:sz w:val="18"/>
                <w:szCs w:val="18"/>
                <w:lang w:eastAsia="lt-LT"/>
              </w:rPr>
              <w:t>Regiono kategorija</w:t>
            </w:r>
          </w:p>
        </w:tc>
        <w:tc>
          <w:tcPr>
            <w:tcW w:w="926" w:type="dxa"/>
            <w:shd w:val="clear" w:color="auto" w:fill="EEECE1"/>
            <w:textDirection w:val="btLr"/>
            <w:vAlign w:val="center"/>
          </w:tcPr>
          <w:p w:rsidR="00B30D13" w:rsidRPr="00FD7A80" w:rsidRDefault="00B30D13" w:rsidP="00B30D13">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FD7A80">
              <w:rPr>
                <w:rFonts w:ascii="Times New Roman" w:eastAsia="AngsanaUPC" w:hAnsi="Times New Roman"/>
                <w:b/>
                <w:bCs/>
                <w:iCs/>
                <w:sz w:val="18"/>
                <w:szCs w:val="18"/>
                <w:lang w:eastAsia="lt-LT"/>
              </w:rPr>
              <w:t>Matavimo vienetas</w:t>
            </w:r>
          </w:p>
        </w:tc>
        <w:tc>
          <w:tcPr>
            <w:tcW w:w="1036" w:type="dxa"/>
            <w:shd w:val="clear" w:color="auto" w:fill="EEECE1"/>
            <w:textDirection w:val="btLr"/>
            <w:vAlign w:val="center"/>
          </w:tcPr>
          <w:p w:rsidR="00B30D13" w:rsidRPr="00FD7A80" w:rsidRDefault="00B30D13" w:rsidP="00B30D13">
            <w:pPr>
              <w:spacing w:after="0" w:line="240" w:lineRule="auto"/>
              <w:ind w:left="113" w:right="113"/>
              <w:rPr>
                <w:rFonts w:ascii="Times New Roman" w:eastAsia="AngsanaUPC" w:hAnsi="Times New Roman"/>
                <w:b/>
                <w:bCs/>
                <w:iCs/>
                <w:sz w:val="18"/>
                <w:szCs w:val="18"/>
                <w:lang w:eastAsia="lt-LT"/>
              </w:rPr>
            </w:pPr>
          </w:p>
          <w:p w:rsidR="00B30D13" w:rsidRPr="00FD7A80" w:rsidRDefault="00B30D13" w:rsidP="00B30D13">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FD7A80">
              <w:rPr>
                <w:rFonts w:ascii="Times New Roman" w:eastAsia="AngsanaUPC" w:hAnsi="Times New Roman"/>
                <w:b/>
                <w:bCs/>
                <w:iCs/>
                <w:sz w:val="18"/>
                <w:szCs w:val="18"/>
                <w:lang w:eastAsia="lt-LT"/>
              </w:rPr>
              <w:t>Bendras produkto rodiklis, naudotas kaip pagrindas</w:t>
            </w:r>
          </w:p>
        </w:tc>
        <w:tc>
          <w:tcPr>
            <w:tcW w:w="665" w:type="dxa"/>
            <w:shd w:val="clear" w:color="auto" w:fill="EEECE1"/>
            <w:textDirection w:val="btLr"/>
            <w:vAlign w:val="center"/>
          </w:tcPr>
          <w:p w:rsidR="00B30D13" w:rsidRPr="00FD7A80" w:rsidRDefault="00B30D13" w:rsidP="00B30D13">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FD7A80">
              <w:rPr>
                <w:rFonts w:ascii="Times New Roman" w:eastAsia="AngsanaUPC" w:hAnsi="Times New Roman"/>
                <w:b/>
                <w:bCs/>
                <w:iCs/>
                <w:sz w:val="18"/>
                <w:szCs w:val="18"/>
                <w:lang w:eastAsia="lt-LT"/>
              </w:rPr>
              <w:t>Pradinė reikšmė</w:t>
            </w:r>
          </w:p>
        </w:tc>
        <w:tc>
          <w:tcPr>
            <w:tcW w:w="1019" w:type="dxa"/>
            <w:shd w:val="clear" w:color="auto" w:fill="EEECE1"/>
            <w:textDirection w:val="btLr"/>
            <w:vAlign w:val="center"/>
          </w:tcPr>
          <w:p w:rsidR="00B30D13" w:rsidRPr="00FD7A80" w:rsidRDefault="00B30D13" w:rsidP="00B30D13">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FD7A80">
              <w:rPr>
                <w:rFonts w:ascii="Times New Roman" w:eastAsia="AngsanaUPC" w:hAnsi="Times New Roman"/>
                <w:b/>
                <w:bCs/>
                <w:iCs/>
                <w:sz w:val="18"/>
                <w:szCs w:val="18"/>
                <w:lang w:eastAsia="lt-LT"/>
              </w:rPr>
              <w:t>Pradinės ir siektinos reikšmės matavimo vienetas</w:t>
            </w:r>
          </w:p>
        </w:tc>
        <w:tc>
          <w:tcPr>
            <w:tcW w:w="682" w:type="dxa"/>
            <w:shd w:val="clear" w:color="auto" w:fill="EEECE1"/>
            <w:textDirection w:val="btLr"/>
            <w:vAlign w:val="center"/>
          </w:tcPr>
          <w:p w:rsidR="00B30D13" w:rsidRPr="00FD7A80" w:rsidRDefault="00B30D13" w:rsidP="00B30D13">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FD7A80">
              <w:rPr>
                <w:rFonts w:ascii="Times New Roman" w:eastAsia="AngsanaUPC" w:hAnsi="Times New Roman"/>
                <w:b/>
                <w:bCs/>
                <w:iCs/>
                <w:sz w:val="18"/>
                <w:szCs w:val="18"/>
                <w:lang w:eastAsia="lt-LT"/>
              </w:rPr>
              <w:t>Pradinės reikšmės metai</w:t>
            </w:r>
          </w:p>
        </w:tc>
        <w:tc>
          <w:tcPr>
            <w:tcW w:w="709" w:type="dxa"/>
            <w:shd w:val="clear" w:color="auto" w:fill="EEECE1"/>
            <w:textDirection w:val="btLr"/>
            <w:vAlign w:val="center"/>
          </w:tcPr>
          <w:p w:rsidR="00B30D13" w:rsidRPr="00FD7A80" w:rsidRDefault="00B30D13" w:rsidP="00B30D13">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FD7A80">
              <w:rPr>
                <w:rFonts w:ascii="Times New Roman" w:eastAsia="AngsanaUPC" w:hAnsi="Times New Roman"/>
                <w:b/>
                <w:bCs/>
                <w:iCs/>
                <w:sz w:val="18"/>
                <w:szCs w:val="18"/>
                <w:lang w:eastAsia="lt-LT"/>
              </w:rPr>
              <w:t>Siektina reikšmė (2023 m.)</w:t>
            </w:r>
          </w:p>
        </w:tc>
        <w:tc>
          <w:tcPr>
            <w:tcW w:w="1054" w:type="dxa"/>
            <w:shd w:val="clear" w:color="auto" w:fill="EEECE1"/>
            <w:textDirection w:val="btLr"/>
            <w:vAlign w:val="center"/>
          </w:tcPr>
          <w:p w:rsidR="00B30D13" w:rsidRPr="00FD7A80" w:rsidRDefault="00B30D13" w:rsidP="00B30D13">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FD7A80">
              <w:rPr>
                <w:rFonts w:ascii="Times New Roman" w:eastAsia="AngsanaUPC" w:hAnsi="Times New Roman"/>
                <w:b/>
                <w:bCs/>
                <w:iCs/>
                <w:sz w:val="18"/>
                <w:szCs w:val="18"/>
                <w:lang w:eastAsia="lt-LT"/>
              </w:rPr>
              <w:t>Duomenų šaltinis</w:t>
            </w:r>
          </w:p>
        </w:tc>
        <w:tc>
          <w:tcPr>
            <w:tcW w:w="1072" w:type="dxa"/>
            <w:shd w:val="clear" w:color="auto" w:fill="EEECE1"/>
            <w:textDirection w:val="btLr"/>
            <w:vAlign w:val="center"/>
          </w:tcPr>
          <w:p w:rsidR="00B30D13" w:rsidRPr="00FD7A80" w:rsidRDefault="00B30D13" w:rsidP="00B30D13">
            <w:pPr>
              <w:widowControl w:val="0"/>
              <w:tabs>
                <w:tab w:val="left" w:pos="622"/>
              </w:tabs>
              <w:spacing w:after="0" w:line="240" w:lineRule="auto"/>
              <w:ind w:left="113" w:right="113"/>
              <w:jc w:val="center"/>
              <w:rPr>
                <w:rFonts w:ascii="Times New Roman" w:eastAsia="AngsanaUPC" w:hAnsi="Times New Roman"/>
                <w:b/>
                <w:bCs/>
                <w:iCs/>
                <w:sz w:val="18"/>
                <w:szCs w:val="18"/>
                <w:lang w:eastAsia="lt-LT"/>
              </w:rPr>
            </w:pPr>
            <w:r w:rsidRPr="00FD7A80">
              <w:rPr>
                <w:rFonts w:ascii="Times New Roman" w:eastAsia="AngsanaUPC" w:hAnsi="Times New Roman"/>
                <w:b/>
                <w:bCs/>
                <w:iCs/>
                <w:sz w:val="18"/>
                <w:szCs w:val="18"/>
                <w:lang w:eastAsia="lt-LT"/>
              </w:rPr>
              <w:t>Atsiskaitymo dažnumas</w:t>
            </w:r>
          </w:p>
        </w:tc>
      </w:tr>
      <w:tr w:rsidR="00B30D13" w:rsidRPr="00FD7A80" w:rsidTr="00B30D13">
        <w:tblPrEx>
          <w:shd w:val="clear" w:color="auto" w:fill="auto"/>
        </w:tblPrEx>
        <w:trPr>
          <w:trHeight w:val="240"/>
        </w:trPr>
        <w:tc>
          <w:tcPr>
            <w:tcW w:w="476" w:type="dxa"/>
            <w:shd w:val="clear" w:color="auto" w:fill="auto"/>
            <w:vAlign w:val="center"/>
          </w:tcPr>
          <w:p w:rsidR="00B30D13" w:rsidRPr="00FD7A80" w:rsidRDefault="00B30D13" w:rsidP="00B30D13">
            <w:pPr>
              <w:widowControl w:val="0"/>
              <w:tabs>
                <w:tab w:val="left" w:pos="622"/>
              </w:tabs>
              <w:spacing w:after="0" w:line="240" w:lineRule="auto"/>
              <w:jc w:val="center"/>
              <w:rPr>
                <w:rFonts w:ascii="Times New Roman" w:eastAsia="AngsanaUPC" w:hAnsi="Times New Roman"/>
                <w:bCs/>
                <w:iCs/>
                <w:sz w:val="18"/>
                <w:szCs w:val="18"/>
                <w:lang w:val="en-US" w:eastAsia="lt-LT"/>
              </w:rPr>
            </w:pPr>
            <w:r w:rsidRPr="00FD7A80">
              <w:rPr>
                <w:rFonts w:ascii="Times New Roman" w:eastAsia="AngsanaUPC" w:hAnsi="Times New Roman"/>
                <w:bCs/>
                <w:iCs/>
                <w:sz w:val="18"/>
                <w:szCs w:val="18"/>
                <w:lang w:val="en-US" w:eastAsia="lt-LT"/>
              </w:rPr>
              <w:t>1.</w:t>
            </w:r>
          </w:p>
        </w:tc>
        <w:tc>
          <w:tcPr>
            <w:tcW w:w="1225" w:type="dxa"/>
            <w:shd w:val="clear" w:color="auto" w:fill="auto"/>
            <w:vAlign w:val="center"/>
          </w:tcPr>
          <w:p w:rsidR="00B30D13" w:rsidRPr="00FD7A80" w:rsidRDefault="00B30D13" w:rsidP="00B30D13">
            <w:pPr>
              <w:spacing w:after="0" w:line="240" w:lineRule="auto"/>
              <w:rPr>
                <w:rFonts w:ascii="Times New Roman" w:hAnsi="Times New Roman"/>
                <w:sz w:val="18"/>
                <w:szCs w:val="18"/>
              </w:rPr>
            </w:pPr>
            <w:r w:rsidRPr="00FD7A80">
              <w:rPr>
                <w:rFonts w:ascii="Times New Roman" w:hAnsi="Times New Roman"/>
                <w:sz w:val="18"/>
                <w:szCs w:val="18"/>
              </w:rPr>
              <w:t xml:space="preserve">Dalyviai, kurie baigę dalyvauti ESF veiklose pradėjo dirbti, įskaitant savarankišką darbą </w:t>
            </w:r>
          </w:p>
        </w:tc>
        <w:tc>
          <w:tcPr>
            <w:tcW w:w="917" w:type="dxa"/>
            <w:shd w:val="clear" w:color="auto" w:fill="auto"/>
            <w:vAlign w:val="center"/>
          </w:tcPr>
          <w:p w:rsidR="00B30D13" w:rsidRPr="00FD7A80" w:rsidRDefault="00B30D13" w:rsidP="00B30D13">
            <w:pPr>
              <w:widowControl w:val="0"/>
              <w:tabs>
                <w:tab w:val="left" w:pos="622"/>
              </w:tabs>
              <w:spacing w:after="0" w:line="240" w:lineRule="auto"/>
              <w:jc w:val="center"/>
              <w:rPr>
                <w:rFonts w:ascii="Times New Roman" w:eastAsia="AngsanaUPC" w:hAnsi="Times New Roman"/>
                <w:bCs/>
                <w:iCs/>
                <w:sz w:val="18"/>
                <w:szCs w:val="18"/>
                <w:lang w:eastAsia="lt-LT"/>
              </w:rPr>
            </w:pPr>
            <w:r w:rsidRPr="00FD7A80">
              <w:rPr>
                <w:rFonts w:ascii="Times New Roman" w:eastAsia="AngsanaUPC" w:hAnsi="Times New Roman"/>
                <w:bCs/>
                <w:iCs/>
                <w:sz w:val="18"/>
                <w:szCs w:val="18"/>
                <w:lang w:eastAsia="lt-LT"/>
              </w:rPr>
              <w:t>Mažiau išsivystęs</w:t>
            </w:r>
          </w:p>
        </w:tc>
        <w:tc>
          <w:tcPr>
            <w:tcW w:w="926" w:type="dxa"/>
            <w:shd w:val="clear" w:color="auto" w:fill="auto"/>
            <w:vAlign w:val="center"/>
          </w:tcPr>
          <w:p w:rsidR="00B30D13" w:rsidRPr="00FD7A80" w:rsidRDefault="00B30D13" w:rsidP="00B30D13">
            <w:pPr>
              <w:widowControl w:val="0"/>
              <w:tabs>
                <w:tab w:val="left" w:pos="622"/>
              </w:tabs>
              <w:spacing w:after="0" w:line="240" w:lineRule="auto"/>
              <w:jc w:val="center"/>
              <w:rPr>
                <w:rFonts w:ascii="Times New Roman" w:eastAsia="AngsanaUPC" w:hAnsi="Times New Roman"/>
                <w:bCs/>
                <w:iCs/>
                <w:sz w:val="18"/>
                <w:szCs w:val="18"/>
                <w:lang w:eastAsia="lt-LT"/>
              </w:rPr>
            </w:pPr>
            <w:r w:rsidRPr="00FD7A80">
              <w:rPr>
                <w:rFonts w:ascii="Times New Roman" w:eastAsia="AngsanaUPC" w:hAnsi="Times New Roman"/>
                <w:bCs/>
                <w:iCs/>
                <w:sz w:val="18"/>
                <w:szCs w:val="18"/>
                <w:lang w:eastAsia="lt-LT"/>
              </w:rPr>
              <w:t>Asmenys</w:t>
            </w:r>
          </w:p>
        </w:tc>
        <w:tc>
          <w:tcPr>
            <w:tcW w:w="1036" w:type="dxa"/>
            <w:shd w:val="clear" w:color="auto" w:fill="auto"/>
            <w:vAlign w:val="center"/>
          </w:tcPr>
          <w:p w:rsidR="00B30D13" w:rsidRPr="00FD7A80" w:rsidRDefault="00B30D13" w:rsidP="00B30D13">
            <w:pPr>
              <w:widowControl w:val="0"/>
              <w:tabs>
                <w:tab w:val="left" w:pos="622"/>
              </w:tabs>
              <w:spacing w:after="0" w:line="240" w:lineRule="auto"/>
              <w:jc w:val="center"/>
              <w:rPr>
                <w:rFonts w:ascii="Times New Roman" w:eastAsia="AngsanaUPC" w:hAnsi="Times New Roman"/>
                <w:bCs/>
                <w:iCs/>
                <w:sz w:val="18"/>
                <w:szCs w:val="18"/>
                <w:lang w:eastAsia="lt-LT"/>
              </w:rPr>
            </w:pPr>
            <w:r w:rsidRPr="00FD7A80">
              <w:rPr>
                <w:rFonts w:ascii="Times New Roman" w:eastAsia="Times New Roman" w:hAnsi="Times New Roman" w:cs="Arial"/>
                <w:sz w:val="18"/>
                <w:szCs w:val="18"/>
              </w:rPr>
              <w:t>Bedarbiai, įskaitant ilgalaikius bedarbius</w:t>
            </w:r>
          </w:p>
        </w:tc>
        <w:tc>
          <w:tcPr>
            <w:tcW w:w="665" w:type="dxa"/>
            <w:shd w:val="clear" w:color="auto" w:fill="auto"/>
            <w:vAlign w:val="center"/>
          </w:tcPr>
          <w:p w:rsidR="00B30D13" w:rsidRPr="00FD7A80" w:rsidRDefault="00B30D13" w:rsidP="00B30D13">
            <w:pPr>
              <w:widowControl w:val="0"/>
              <w:tabs>
                <w:tab w:val="left" w:pos="622"/>
              </w:tabs>
              <w:spacing w:after="0" w:line="240" w:lineRule="auto"/>
              <w:jc w:val="center"/>
              <w:rPr>
                <w:rFonts w:ascii="Times New Roman" w:eastAsia="AngsanaUPC" w:hAnsi="Times New Roman"/>
                <w:bCs/>
                <w:iCs/>
                <w:sz w:val="18"/>
                <w:szCs w:val="18"/>
                <w:lang w:eastAsia="lt-LT"/>
              </w:rPr>
            </w:pPr>
            <w:r w:rsidRPr="00FD7A80">
              <w:rPr>
                <w:rFonts w:ascii="Times New Roman" w:eastAsia="AngsanaUPC" w:hAnsi="Times New Roman"/>
                <w:bCs/>
                <w:iCs/>
                <w:sz w:val="18"/>
                <w:szCs w:val="18"/>
                <w:lang w:eastAsia="lt-LT"/>
              </w:rPr>
              <w:t>30</w:t>
            </w:r>
          </w:p>
        </w:tc>
        <w:tc>
          <w:tcPr>
            <w:tcW w:w="1019" w:type="dxa"/>
            <w:shd w:val="clear" w:color="auto" w:fill="auto"/>
            <w:vAlign w:val="center"/>
          </w:tcPr>
          <w:p w:rsidR="00B30D13" w:rsidRPr="00FD7A80" w:rsidRDefault="00B30D13" w:rsidP="00B30D13">
            <w:pPr>
              <w:widowControl w:val="0"/>
              <w:tabs>
                <w:tab w:val="left" w:pos="622"/>
              </w:tabs>
              <w:spacing w:after="0" w:line="240" w:lineRule="auto"/>
              <w:jc w:val="center"/>
              <w:rPr>
                <w:rFonts w:ascii="Times New Roman" w:eastAsia="AngsanaUPC" w:hAnsi="Times New Roman"/>
                <w:bCs/>
                <w:iCs/>
                <w:sz w:val="18"/>
                <w:szCs w:val="18"/>
                <w:lang w:eastAsia="lt-LT"/>
              </w:rPr>
            </w:pPr>
            <w:r w:rsidRPr="00FD7A80">
              <w:rPr>
                <w:rFonts w:ascii="Times New Roman" w:eastAsia="AngsanaUPC" w:hAnsi="Times New Roman"/>
                <w:bCs/>
                <w:iCs/>
                <w:sz w:val="18"/>
                <w:szCs w:val="18"/>
                <w:lang w:eastAsia="lt-LT"/>
              </w:rPr>
              <w:t xml:space="preserve">Proc. </w:t>
            </w:r>
          </w:p>
        </w:tc>
        <w:tc>
          <w:tcPr>
            <w:tcW w:w="682" w:type="dxa"/>
            <w:shd w:val="clear" w:color="auto" w:fill="auto"/>
            <w:vAlign w:val="center"/>
          </w:tcPr>
          <w:p w:rsidR="00B30D13" w:rsidRPr="00FD7A80" w:rsidRDefault="00B30D13" w:rsidP="00B30D13">
            <w:pPr>
              <w:widowControl w:val="0"/>
              <w:tabs>
                <w:tab w:val="left" w:pos="622"/>
              </w:tabs>
              <w:spacing w:after="0" w:line="240" w:lineRule="auto"/>
              <w:jc w:val="center"/>
              <w:rPr>
                <w:rFonts w:ascii="Times New Roman" w:eastAsia="AngsanaUPC" w:hAnsi="Times New Roman"/>
                <w:bCs/>
                <w:iCs/>
                <w:sz w:val="18"/>
                <w:szCs w:val="18"/>
                <w:lang w:eastAsia="lt-LT"/>
              </w:rPr>
            </w:pPr>
            <w:r w:rsidRPr="00FD7A80">
              <w:rPr>
                <w:rFonts w:ascii="Times New Roman" w:eastAsia="AngsanaUPC" w:hAnsi="Times New Roman"/>
                <w:bCs/>
                <w:iCs/>
                <w:sz w:val="18"/>
                <w:szCs w:val="18"/>
                <w:lang w:eastAsia="lt-LT"/>
              </w:rPr>
              <w:t>2013</w:t>
            </w:r>
          </w:p>
        </w:tc>
        <w:tc>
          <w:tcPr>
            <w:tcW w:w="709" w:type="dxa"/>
            <w:shd w:val="clear" w:color="auto" w:fill="auto"/>
            <w:vAlign w:val="center"/>
          </w:tcPr>
          <w:p w:rsidR="00B30D13" w:rsidRPr="00FD7A80" w:rsidRDefault="00B30D13" w:rsidP="00B30D13">
            <w:pPr>
              <w:widowControl w:val="0"/>
              <w:tabs>
                <w:tab w:val="left" w:pos="622"/>
              </w:tabs>
              <w:spacing w:after="0" w:line="240" w:lineRule="auto"/>
              <w:jc w:val="center"/>
              <w:rPr>
                <w:rFonts w:ascii="Times New Roman" w:eastAsia="AngsanaUPC" w:hAnsi="Times New Roman"/>
                <w:bCs/>
                <w:iCs/>
                <w:sz w:val="18"/>
                <w:szCs w:val="18"/>
                <w:lang w:eastAsia="lt-LT"/>
              </w:rPr>
            </w:pPr>
            <w:r w:rsidRPr="00FD7A80">
              <w:rPr>
                <w:rFonts w:ascii="Times New Roman" w:eastAsia="AngsanaUPC" w:hAnsi="Times New Roman"/>
                <w:bCs/>
                <w:iCs/>
                <w:sz w:val="18"/>
                <w:szCs w:val="18"/>
                <w:lang w:eastAsia="lt-LT"/>
              </w:rPr>
              <w:t>34</w:t>
            </w:r>
          </w:p>
        </w:tc>
        <w:tc>
          <w:tcPr>
            <w:tcW w:w="1054" w:type="dxa"/>
            <w:shd w:val="clear" w:color="auto" w:fill="auto"/>
            <w:vAlign w:val="center"/>
          </w:tcPr>
          <w:p w:rsidR="00B30D13" w:rsidRPr="00FD7A80" w:rsidRDefault="00B30D13" w:rsidP="00B30D13">
            <w:pPr>
              <w:widowControl w:val="0"/>
              <w:tabs>
                <w:tab w:val="left" w:pos="622"/>
              </w:tabs>
              <w:spacing w:after="0" w:line="240" w:lineRule="auto"/>
              <w:jc w:val="center"/>
              <w:rPr>
                <w:rFonts w:ascii="Times New Roman" w:eastAsia="AngsanaUPC" w:hAnsi="Times New Roman"/>
                <w:bCs/>
                <w:iCs/>
                <w:sz w:val="18"/>
                <w:szCs w:val="18"/>
                <w:lang w:eastAsia="lt-LT"/>
              </w:rPr>
            </w:pPr>
            <w:r w:rsidRPr="00FD7A80">
              <w:rPr>
                <w:rFonts w:ascii="Times New Roman" w:eastAsia="AngsanaUPC" w:hAnsi="Times New Roman"/>
                <w:bCs/>
                <w:iCs/>
                <w:sz w:val="18"/>
                <w:szCs w:val="18"/>
                <w:lang w:eastAsia="lt-LT"/>
              </w:rPr>
              <w:t>Duomenys iš projektų</w:t>
            </w:r>
          </w:p>
        </w:tc>
        <w:tc>
          <w:tcPr>
            <w:tcW w:w="1072" w:type="dxa"/>
            <w:shd w:val="clear" w:color="auto" w:fill="auto"/>
            <w:vAlign w:val="center"/>
          </w:tcPr>
          <w:p w:rsidR="00B30D13" w:rsidRPr="00FD7A80" w:rsidRDefault="00B30D13" w:rsidP="00B30D13">
            <w:pPr>
              <w:widowControl w:val="0"/>
              <w:tabs>
                <w:tab w:val="left" w:pos="622"/>
              </w:tabs>
              <w:spacing w:after="0" w:line="240" w:lineRule="auto"/>
              <w:jc w:val="center"/>
              <w:rPr>
                <w:rFonts w:ascii="Times New Roman" w:eastAsia="AngsanaUPC" w:hAnsi="Times New Roman"/>
                <w:bCs/>
                <w:iCs/>
                <w:sz w:val="18"/>
                <w:szCs w:val="18"/>
                <w:lang w:eastAsia="lt-LT"/>
              </w:rPr>
            </w:pPr>
            <w:r w:rsidRPr="00FD7A80">
              <w:rPr>
                <w:rFonts w:ascii="Times New Roman" w:eastAsia="AngsanaUPC" w:hAnsi="Times New Roman"/>
                <w:bCs/>
                <w:iCs/>
                <w:sz w:val="18"/>
                <w:szCs w:val="18"/>
                <w:lang w:eastAsia="lt-LT"/>
              </w:rPr>
              <w:t>Kartą per metus</w:t>
            </w:r>
          </w:p>
        </w:tc>
      </w:tr>
    </w:tbl>
    <w:p w:rsidR="00B30D13" w:rsidRPr="00FD7A80" w:rsidRDefault="00B30D13" w:rsidP="00254EEE">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B30D13" w:rsidRPr="00FD7A80" w:rsidTr="00B30D13">
        <w:tc>
          <w:tcPr>
            <w:tcW w:w="9746" w:type="dxa"/>
            <w:tcBorders>
              <w:top w:val="single" w:sz="4" w:space="0" w:color="auto"/>
              <w:left w:val="single" w:sz="4" w:space="0" w:color="auto"/>
              <w:bottom w:val="single" w:sz="4" w:space="0" w:color="auto"/>
              <w:right w:val="single" w:sz="4" w:space="0" w:color="auto"/>
            </w:tcBorders>
            <w:shd w:val="clear" w:color="auto" w:fill="EEECE1"/>
          </w:tcPr>
          <w:p w:rsidR="00B30D13" w:rsidRPr="00FD7A80" w:rsidRDefault="00B30D13" w:rsidP="00B30D13">
            <w:pPr>
              <w:widowControl w:val="0"/>
              <w:tabs>
                <w:tab w:val="left" w:pos="622"/>
                <w:tab w:val="left" w:pos="1665"/>
              </w:tabs>
              <w:spacing w:after="0" w:line="240" w:lineRule="auto"/>
              <w:jc w:val="both"/>
              <w:rPr>
                <w:rFonts w:ascii="Times New Roman" w:eastAsia="AngsanaUPC" w:hAnsi="Times New Roman"/>
                <w:b/>
                <w:bCs/>
                <w:iCs/>
                <w:sz w:val="24"/>
                <w:szCs w:val="24"/>
                <w:lang w:eastAsia="lt-LT"/>
              </w:rPr>
            </w:pPr>
            <w:r w:rsidRPr="00FD7A80">
              <w:rPr>
                <w:rFonts w:ascii="Times New Roman" w:eastAsia="AngsanaUPC" w:hAnsi="Times New Roman"/>
                <w:b/>
                <w:bCs/>
                <w:i/>
                <w:iCs/>
                <w:sz w:val="24"/>
                <w:szCs w:val="24"/>
                <w:lang w:eastAsia="lt-LT"/>
              </w:rPr>
              <w:t>14.1.1 Konkretaus uždavinio įgyvendinimo veiklos</w:t>
            </w:r>
          </w:p>
        </w:tc>
      </w:tr>
      <w:tr w:rsidR="00B30D13" w:rsidRPr="00FD7A80" w:rsidTr="00B30D13">
        <w:tc>
          <w:tcPr>
            <w:tcW w:w="9746" w:type="dxa"/>
            <w:shd w:val="clear" w:color="auto" w:fill="auto"/>
          </w:tcPr>
          <w:p w:rsidR="00B30D13" w:rsidRPr="00FD7A80" w:rsidRDefault="00B30D13" w:rsidP="00650E41">
            <w:pPr>
              <w:numPr>
                <w:ilvl w:val="0"/>
                <w:numId w:val="34"/>
              </w:numPr>
              <w:tabs>
                <w:tab w:val="left" w:pos="743"/>
              </w:tabs>
              <w:spacing w:after="0" w:line="240" w:lineRule="auto"/>
              <w:ind w:left="34" w:firstLine="326"/>
              <w:contextualSpacing/>
              <w:jc w:val="both"/>
              <w:rPr>
                <w:rFonts w:ascii="Times New Roman" w:eastAsia="AngsanaUPC" w:hAnsi="Times New Roman"/>
                <w:bCs/>
                <w:iCs/>
                <w:sz w:val="24"/>
                <w:szCs w:val="24"/>
                <w:lang w:eastAsia="lt-LT"/>
              </w:rPr>
            </w:pPr>
            <w:r w:rsidRPr="00FD7A80">
              <w:rPr>
                <w:rFonts w:ascii="Times New Roman" w:eastAsia="AngsanaUPC" w:hAnsi="Times New Roman"/>
                <w:bCs/>
                <w:iCs/>
                <w:sz w:val="24"/>
                <w:szCs w:val="24"/>
                <w:lang w:eastAsia="lt-LT"/>
              </w:rPr>
              <w:t>ADRP priemonės (bedarbių ir asmenų, kuriems gresia nedarbas, profesinis mokymas ir neformalus švietimas, darbo įgūdžių įgijimo rėmimas, įdarbinimas subsidijuojant, darbo rotacija, parama bedarbių teritoriniam judumui, kitos bedarbių užimtumo gebėjimus ir galimybes didinančios ADRP priemonės), stažuotės ir praktikos, skirtos darbo įgūdžių įgijimui, individualiam darbui su darbo ieškančiu asmeniu aktualios priemonės: individualus konsultavimas, palaikymas įsidarbinus ir kt.</w:t>
            </w:r>
          </w:p>
        </w:tc>
      </w:tr>
    </w:tbl>
    <w:p w:rsidR="00B30D13" w:rsidRPr="00FD7A80" w:rsidRDefault="00B30D13" w:rsidP="00254EEE">
      <w:pPr>
        <w:widowControl w:val="0"/>
        <w:tabs>
          <w:tab w:val="left" w:pos="622"/>
        </w:tabs>
        <w:spacing w:after="0" w:line="240" w:lineRule="auto"/>
        <w:jc w:val="both"/>
        <w:rPr>
          <w:rFonts w:ascii="Times New Roman" w:eastAsia="AngsanaUPC" w:hAnsi="Times New Roman"/>
          <w:bCs/>
          <w:sz w:val="24"/>
          <w:szCs w:val="24"/>
          <w:lang w:eastAsia="lt-LT"/>
        </w:rPr>
      </w:pP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567"/>
        <w:gridCol w:w="2694"/>
        <w:gridCol w:w="1275"/>
        <w:gridCol w:w="851"/>
        <w:gridCol w:w="1134"/>
        <w:gridCol w:w="850"/>
        <w:gridCol w:w="1134"/>
        <w:gridCol w:w="1241"/>
      </w:tblGrid>
      <w:tr w:rsidR="00B30D13" w:rsidRPr="00FD7A80" w:rsidTr="00B30D13">
        <w:trPr>
          <w:tblHeader/>
        </w:trPr>
        <w:tc>
          <w:tcPr>
            <w:tcW w:w="9746" w:type="dxa"/>
            <w:gridSpan w:val="8"/>
            <w:shd w:val="clear" w:color="auto" w:fill="EEECE1"/>
          </w:tcPr>
          <w:p w:rsidR="00B30D13" w:rsidRPr="00FD7A80" w:rsidRDefault="00B30D13" w:rsidP="00B30D13">
            <w:pPr>
              <w:widowControl w:val="0"/>
              <w:tabs>
                <w:tab w:val="left" w:pos="622"/>
              </w:tabs>
              <w:spacing w:after="0" w:line="240" w:lineRule="auto"/>
              <w:jc w:val="both"/>
              <w:rPr>
                <w:rFonts w:ascii="Times New Roman" w:eastAsia="AngsanaUPC" w:hAnsi="Times New Roman"/>
                <w:b/>
                <w:bCs/>
                <w:i/>
                <w:iCs/>
                <w:sz w:val="18"/>
                <w:szCs w:val="18"/>
                <w:lang w:eastAsia="lt-LT"/>
              </w:rPr>
            </w:pPr>
            <w:r w:rsidRPr="00FD7A80">
              <w:rPr>
                <w:rFonts w:ascii="Times New Roman" w:eastAsia="AngsanaUPC" w:hAnsi="Times New Roman"/>
                <w:b/>
                <w:bCs/>
                <w:i/>
                <w:iCs/>
                <w:sz w:val="18"/>
                <w:szCs w:val="18"/>
                <w:lang w:eastAsia="lt-LT"/>
              </w:rPr>
              <w:t>ESF bendrieji ir specialieji programos produkto rodikliai</w:t>
            </w:r>
          </w:p>
        </w:tc>
      </w:tr>
      <w:tr w:rsidR="00B30D13" w:rsidRPr="00FD7A80" w:rsidTr="00B30D13">
        <w:tblPrEx>
          <w:shd w:val="clear" w:color="auto" w:fill="auto"/>
        </w:tblPrEx>
        <w:trPr>
          <w:tblHeader/>
        </w:trPr>
        <w:tc>
          <w:tcPr>
            <w:tcW w:w="567" w:type="dxa"/>
            <w:shd w:val="clear" w:color="auto" w:fill="EEECE1"/>
            <w:vAlign w:val="center"/>
          </w:tcPr>
          <w:p w:rsidR="00B30D13" w:rsidRPr="00FD7A80" w:rsidRDefault="00B30D13" w:rsidP="00B30D13">
            <w:pPr>
              <w:widowControl w:val="0"/>
              <w:tabs>
                <w:tab w:val="left" w:pos="622"/>
              </w:tabs>
              <w:spacing w:after="0" w:line="240" w:lineRule="auto"/>
              <w:jc w:val="center"/>
              <w:rPr>
                <w:rFonts w:ascii="Times New Roman" w:eastAsia="AngsanaUPC" w:hAnsi="Times New Roman"/>
                <w:bCs/>
                <w:iCs/>
                <w:sz w:val="18"/>
                <w:szCs w:val="18"/>
                <w:lang w:eastAsia="lt-LT"/>
              </w:rPr>
            </w:pPr>
            <w:r w:rsidRPr="00FD7A80">
              <w:rPr>
                <w:rFonts w:ascii="Times New Roman" w:eastAsia="AngsanaUPC" w:hAnsi="Times New Roman"/>
                <w:bCs/>
                <w:iCs/>
                <w:sz w:val="18"/>
                <w:szCs w:val="18"/>
                <w:lang w:eastAsia="lt-LT"/>
              </w:rPr>
              <w:t>Nr.</w:t>
            </w:r>
          </w:p>
        </w:tc>
        <w:tc>
          <w:tcPr>
            <w:tcW w:w="2694" w:type="dxa"/>
            <w:shd w:val="clear" w:color="auto" w:fill="EEECE1"/>
            <w:vAlign w:val="center"/>
          </w:tcPr>
          <w:p w:rsidR="00B30D13" w:rsidRPr="00FD7A80" w:rsidRDefault="00B30D13" w:rsidP="00B30D13">
            <w:pPr>
              <w:widowControl w:val="0"/>
              <w:tabs>
                <w:tab w:val="left" w:pos="622"/>
              </w:tabs>
              <w:spacing w:after="0" w:line="240" w:lineRule="auto"/>
              <w:jc w:val="center"/>
              <w:rPr>
                <w:rFonts w:ascii="Times New Roman" w:eastAsia="AngsanaUPC" w:hAnsi="Times New Roman"/>
                <w:b/>
                <w:bCs/>
                <w:iCs/>
                <w:sz w:val="18"/>
                <w:szCs w:val="18"/>
                <w:lang w:eastAsia="lt-LT"/>
              </w:rPr>
            </w:pPr>
            <w:r w:rsidRPr="00FD7A80">
              <w:rPr>
                <w:rFonts w:ascii="Times New Roman" w:eastAsia="AngsanaUPC" w:hAnsi="Times New Roman"/>
                <w:b/>
                <w:bCs/>
                <w:iCs/>
                <w:sz w:val="18"/>
                <w:szCs w:val="18"/>
                <w:lang w:eastAsia="lt-LT"/>
              </w:rPr>
              <w:t>Rodiklio pavadinimas</w:t>
            </w:r>
          </w:p>
        </w:tc>
        <w:tc>
          <w:tcPr>
            <w:tcW w:w="1275" w:type="dxa"/>
            <w:shd w:val="clear" w:color="auto" w:fill="EEECE1"/>
            <w:vAlign w:val="center"/>
          </w:tcPr>
          <w:p w:rsidR="00B30D13" w:rsidRPr="00FD7A80" w:rsidRDefault="00B30D13" w:rsidP="00B30D13">
            <w:pPr>
              <w:widowControl w:val="0"/>
              <w:tabs>
                <w:tab w:val="left" w:pos="622"/>
              </w:tabs>
              <w:spacing w:after="0" w:line="240" w:lineRule="auto"/>
              <w:jc w:val="center"/>
              <w:rPr>
                <w:rFonts w:ascii="Times New Roman" w:eastAsia="AngsanaUPC" w:hAnsi="Times New Roman"/>
                <w:b/>
                <w:bCs/>
                <w:iCs/>
                <w:sz w:val="18"/>
                <w:szCs w:val="18"/>
                <w:lang w:eastAsia="lt-LT"/>
              </w:rPr>
            </w:pPr>
            <w:r w:rsidRPr="00FD7A80">
              <w:rPr>
                <w:rFonts w:ascii="Times New Roman" w:eastAsia="AngsanaUPC" w:hAnsi="Times New Roman"/>
                <w:b/>
                <w:bCs/>
                <w:iCs/>
                <w:sz w:val="18"/>
                <w:szCs w:val="18"/>
                <w:lang w:eastAsia="lt-LT"/>
              </w:rPr>
              <w:t>Matavimo vienetas</w:t>
            </w:r>
          </w:p>
        </w:tc>
        <w:tc>
          <w:tcPr>
            <w:tcW w:w="851" w:type="dxa"/>
            <w:shd w:val="clear" w:color="auto" w:fill="EEECE1"/>
            <w:vAlign w:val="center"/>
          </w:tcPr>
          <w:p w:rsidR="00B30D13" w:rsidRPr="00FD7A80" w:rsidRDefault="00B30D13" w:rsidP="00B30D13">
            <w:pPr>
              <w:widowControl w:val="0"/>
              <w:tabs>
                <w:tab w:val="left" w:pos="622"/>
              </w:tabs>
              <w:spacing w:after="0" w:line="240" w:lineRule="auto"/>
              <w:jc w:val="center"/>
              <w:rPr>
                <w:rFonts w:ascii="Times New Roman" w:eastAsia="AngsanaUPC" w:hAnsi="Times New Roman"/>
                <w:b/>
                <w:bCs/>
                <w:iCs/>
                <w:sz w:val="18"/>
                <w:szCs w:val="18"/>
                <w:lang w:eastAsia="lt-LT"/>
              </w:rPr>
            </w:pPr>
            <w:r w:rsidRPr="00FD7A80">
              <w:rPr>
                <w:rFonts w:ascii="Times New Roman" w:eastAsia="AngsanaUPC" w:hAnsi="Times New Roman"/>
                <w:b/>
                <w:bCs/>
                <w:iCs/>
                <w:sz w:val="18"/>
                <w:szCs w:val="18"/>
                <w:lang w:eastAsia="lt-LT"/>
              </w:rPr>
              <w:t>Fondas</w:t>
            </w:r>
          </w:p>
        </w:tc>
        <w:tc>
          <w:tcPr>
            <w:tcW w:w="1134" w:type="dxa"/>
            <w:shd w:val="clear" w:color="auto" w:fill="EEECE1"/>
            <w:vAlign w:val="center"/>
          </w:tcPr>
          <w:p w:rsidR="00B30D13" w:rsidRPr="00FD7A80" w:rsidRDefault="00B30D13" w:rsidP="00B30D13">
            <w:pPr>
              <w:widowControl w:val="0"/>
              <w:tabs>
                <w:tab w:val="left" w:pos="622"/>
              </w:tabs>
              <w:spacing w:after="0" w:line="240" w:lineRule="auto"/>
              <w:jc w:val="center"/>
              <w:rPr>
                <w:rFonts w:ascii="Times New Roman" w:eastAsia="AngsanaUPC" w:hAnsi="Times New Roman"/>
                <w:b/>
                <w:bCs/>
                <w:iCs/>
                <w:sz w:val="18"/>
                <w:szCs w:val="18"/>
                <w:lang w:eastAsia="lt-LT"/>
              </w:rPr>
            </w:pPr>
            <w:r w:rsidRPr="00FD7A80">
              <w:rPr>
                <w:rFonts w:ascii="Times New Roman" w:eastAsia="AngsanaUPC" w:hAnsi="Times New Roman"/>
                <w:b/>
                <w:bCs/>
                <w:iCs/>
                <w:sz w:val="18"/>
                <w:szCs w:val="18"/>
                <w:lang w:eastAsia="lt-LT"/>
              </w:rPr>
              <w:t>Regiono kategorija</w:t>
            </w:r>
          </w:p>
        </w:tc>
        <w:tc>
          <w:tcPr>
            <w:tcW w:w="850" w:type="dxa"/>
            <w:shd w:val="clear" w:color="auto" w:fill="EEECE1"/>
            <w:vAlign w:val="center"/>
          </w:tcPr>
          <w:p w:rsidR="00B30D13" w:rsidRPr="00FD7A80" w:rsidRDefault="00B30D13" w:rsidP="00B30D13">
            <w:pPr>
              <w:widowControl w:val="0"/>
              <w:tabs>
                <w:tab w:val="left" w:pos="622"/>
              </w:tabs>
              <w:spacing w:after="0" w:line="240" w:lineRule="auto"/>
              <w:jc w:val="center"/>
              <w:rPr>
                <w:rFonts w:ascii="Times New Roman" w:eastAsia="AngsanaUPC" w:hAnsi="Times New Roman"/>
                <w:b/>
                <w:bCs/>
                <w:iCs/>
                <w:sz w:val="18"/>
                <w:szCs w:val="18"/>
                <w:lang w:eastAsia="lt-LT"/>
              </w:rPr>
            </w:pPr>
            <w:r w:rsidRPr="00FD7A80">
              <w:rPr>
                <w:rFonts w:ascii="Times New Roman" w:eastAsia="AngsanaUPC" w:hAnsi="Times New Roman"/>
                <w:b/>
                <w:bCs/>
                <w:iCs/>
                <w:sz w:val="18"/>
                <w:szCs w:val="18"/>
                <w:lang w:eastAsia="lt-LT"/>
              </w:rPr>
              <w:t>Siektina reikšmė (2023)</w:t>
            </w:r>
          </w:p>
        </w:tc>
        <w:tc>
          <w:tcPr>
            <w:tcW w:w="1134" w:type="dxa"/>
            <w:shd w:val="clear" w:color="auto" w:fill="EEECE1"/>
            <w:vAlign w:val="center"/>
          </w:tcPr>
          <w:p w:rsidR="00B30D13" w:rsidRPr="00FD7A80" w:rsidRDefault="00B30D13" w:rsidP="00B30D13">
            <w:pPr>
              <w:widowControl w:val="0"/>
              <w:tabs>
                <w:tab w:val="left" w:pos="622"/>
              </w:tabs>
              <w:spacing w:after="0" w:line="240" w:lineRule="auto"/>
              <w:jc w:val="center"/>
              <w:rPr>
                <w:rFonts w:ascii="Times New Roman" w:eastAsia="AngsanaUPC" w:hAnsi="Times New Roman"/>
                <w:b/>
                <w:bCs/>
                <w:iCs/>
                <w:sz w:val="18"/>
                <w:szCs w:val="18"/>
                <w:lang w:eastAsia="lt-LT"/>
              </w:rPr>
            </w:pPr>
            <w:r w:rsidRPr="00FD7A80">
              <w:rPr>
                <w:rFonts w:ascii="Times New Roman" w:eastAsia="AngsanaUPC" w:hAnsi="Times New Roman"/>
                <w:b/>
                <w:bCs/>
                <w:iCs/>
                <w:sz w:val="18"/>
                <w:szCs w:val="18"/>
                <w:lang w:eastAsia="lt-LT"/>
              </w:rPr>
              <w:t>Duomenų šaltinis</w:t>
            </w:r>
          </w:p>
        </w:tc>
        <w:tc>
          <w:tcPr>
            <w:tcW w:w="1241" w:type="dxa"/>
            <w:shd w:val="clear" w:color="auto" w:fill="EEECE1"/>
            <w:vAlign w:val="center"/>
          </w:tcPr>
          <w:p w:rsidR="00B30D13" w:rsidRPr="00FD7A80" w:rsidRDefault="00B30D13" w:rsidP="00B30D13">
            <w:pPr>
              <w:widowControl w:val="0"/>
              <w:tabs>
                <w:tab w:val="left" w:pos="622"/>
              </w:tabs>
              <w:spacing w:after="0" w:line="240" w:lineRule="auto"/>
              <w:jc w:val="center"/>
              <w:rPr>
                <w:rFonts w:ascii="Times New Roman" w:eastAsia="AngsanaUPC" w:hAnsi="Times New Roman"/>
                <w:b/>
                <w:bCs/>
                <w:iCs/>
                <w:sz w:val="18"/>
                <w:szCs w:val="18"/>
                <w:lang w:eastAsia="lt-LT"/>
              </w:rPr>
            </w:pPr>
            <w:r w:rsidRPr="00FD7A80">
              <w:rPr>
                <w:rFonts w:ascii="Times New Roman" w:eastAsia="AngsanaUPC" w:hAnsi="Times New Roman"/>
                <w:b/>
                <w:bCs/>
                <w:iCs/>
                <w:sz w:val="18"/>
                <w:szCs w:val="18"/>
                <w:lang w:eastAsia="lt-LT"/>
              </w:rPr>
              <w:t>Atsiskaitymo dažnumas</w:t>
            </w:r>
          </w:p>
        </w:tc>
      </w:tr>
      <w:tr w:rsidR="00B30D13" w:rsidRPr="00FD7A80" w:rsidTr="00B30D13">
        <w:tblPrEx>
          <w:shd w:val="clear" w:color="auto" w:fill="auto"/>
        </w:tblPrEx>
        <w:tc>
          <w:tcPr>
            <w:tcW w:w="567" w:type="dxa"/>
            <w:shd w:val="clear" w:color="auto" w:fill="auto"/>
            <w:vAlign w:val="center"/>
          </w:tcPr>
          <w:p w:rsidR="00B30D13" w:rsidRPr="00FD7A80" w:rsidRDefault="00B30D13" w:rsidP="00B30D13">
            <w:pPr>
              <w:widowControl w:val="0"/>
              <w:tabs>
                <w:tab w:val="left" w:pos="622"/>
              </w:tabs>
              <w:spacing w:after="0" w:line="240" w:lineRule="auto"/>
              <w:jc w:val="center"/>
              <w:rPr>
                <w:rFonts w:ascii="Times New Roman" w:hAnsi="Times New Roman"/>
                <w:bCs/>
                <w:iCs/>
                <w:sz w:val="18"/>
                <w:szCs w:val="18"/>
                <w:lang w:eastAsia="lt-LT"/>
              </w:rPr>
            </w:pPr>
            <w:r w:rsidRPr="00FD7A80">
              <w:rPr>
                <w:rFonts w:ascii="Times New Roman" w:hAnsi="Times New Roman"/>
                <w:bCs/>
                <w:iCs/>
                <w:sz w:val="18"/>
                <w:szCs w:val="18"/>
                <w:lang w:eastAsia="lt-LT"/>
              </w:rPr>
              <w:t>1.</w:t>
            </w:r>
          </w:p>
        </w:tc>
        <w:tc>
          <w:tcPr>
            <w:tcW w:w="2694" w:type="dxa"/>
            <w:shd w:val="clear" w:color="auto" w:fill="auto"/>
            <w:vAlign w:val="center"/>
          </w:tcPr>
          <w:p w:rsidR="00B30D13" w:rsidRPr="00FD7A80" w:rsidRDefault="00B30D13" w:rsidP="00B30D13">
            <w:pPr>
              <w:widowControl w:val="0"/>
              <w:tabs>
                <w:tab w:val="left" w:pos="622"/>
              </w:tabs>
              <w:spacing w:after="0" w:line="240" w:lineRule="auto"/>
              <w:rPr>
                <w:rFonts w:ascii="Times New Roman" w:hAnsi="Times New Roman"/>
                <w:bCs/>
                <w:iCs/>
                <w:sz w:val="18"/>
                <w:szCs w:val="18"/>
                <w:lang w:eastAsia="lt-LT"/>
              </w:rPr>
            </w:pPr>
            <w:r w:rsidRPr="00FD7A80">
              <w:rPr>
                <w:rFonts w:ascii="Times New Roman" w:hAnsi="Times New Roman"/>
                <w:sz w:val="18"/>
                <w:szCs w:val="18"/>
                <w:lang w:eastAsia="lt-LT"/>
              </w:rPr>
              <w:t>Bedarbiai, įskaitant ilgalaikius bedarbius, dalyvavę ESF veiklose</w:t>
            </w:r>
          </w:p>
        </w:tc>
        <w:tc>
          <w:tcPr>
            <w:tcW w:w="1275" w:type="dxa"/>
            <w:shd w:val="clear" w:color="auto" w:fill="auto"/>
            <w:vAlign w:val="center"/>
          </w:tcPr>
          <w:p w:rsidR="00B30D13" w:rsidRPr="00FD7A80" w:rsidRDefault="00B30D13" w:rsidP="00B30D13">
            <w:pPr>
              <w:widowControl w:val="0"/>
              <w:tabs>
                <w:tab w:val="left" w:pos="622"/>
              </w:tabs>
              <w:spacing w:after="0" w:line="240" w:lineRule="auto"/>
              <w:jc w:val="center"/>
              <w:rPr>
                <w:rFonts w:ascii="Times New Roman" w:hAnsi="Times New Roman"/>
                <w:bCs/>
                <w:iCs/>
                <w:sz w:val="18"/>
                <w:szCs w:val="18"/>
                <w:lang w:eastAsia="lt-LT"/>
              </w:rPr>
            </w:pPr>
            <w:r w:rsidRPr="00FD7A80">
              <w:rPr>
                <w:rFonts w:ascii="Times New Roman" w:hAnsi="Times New Roman"/>
                <w:bCs/>
                <w:iCs/>
                <w:sz w:val="18"/>
                <w:szCs w:val="18"/>
                <w:lang w:eastAsia="lt-LT"/>
              </w:rPr>
              <w:t xml:space="preserve">Skaičius </w:t>
            </w:r>
          </w:p>
        </w:tc>
        <w:tc>
          <w:tcPr>
            <w:tcW w:w="851" w:type="dxa"/>
            <w:shd w:val="clear" w:color="auto" w:fill="auto"/>
            <w:vAlign w:val="center"/>
          </w:tcPr>
          <w:p w:rsidR="00B30D13" w:rsidRPr="00FD7A80" w:rsidRDefault="00B30D13" w:rsidP="00B30D13">
            <w:pPr>
              <w:widowControl w:val="0"/>
              <w:tabs>
                <w:tab w:val="left" w:pos="622"/>
              </w:tabs>
              <w:spacing w:after="0" w:line="240" w:lineRule="auto"/>
              <w:jc w:val="center"/>
              <w:rPr>
                <w:rFonts w:ascii="Times New Roman" w:hAnsi="Times New Roman"/>
                <w:bCs/>
                <w:iCs/>
                <w:sz w:val="18"/>
                <w:szCs w:val="18"/>
                <w:lang w:eastAsia="lt-LT"/>
              </w:rPr>
            </w:pPr>
            <w:r w:rsidRPr="00FD7A80">
              <w:rPr>
                <w:rFonts w:ascii="Times New Roman" w:hAnsi="Times New Roman"/>
                <w:bCs/>
                <w:iCs/>
                <w:sz w:val="18"/>
                <w:szCs w:val="18"/>
                <w:lang w:eastAsia="lt-LT"/>
              </w:rPr>
              <w:t>ESF</w:t>
            </w:r>
          </w:p>
        </w:tc>
        <w:tc>
          <w:tcPr>
            <w:tcW w:w="1134" w:type="dxa"/>
            <w:shd w:val="clear" w:color="auto" w:fill="auto"/>
            <w:vAlign w:val="center"/>
          </w:tcPr>
          <w:p w:rsidR="00B30D13" w:rsidRPr="00FD7A80" w:rsidRDefault="00B30D13" w:rsidP="00B30D13">
            <w:pPr>
              <w:widowControl w:val="0"/>
              <w:tabs>
                <w:tab w:val="left" w:pos="622"/>
              </w:tabs>
              <w:spacing w:after="0" w:line="240" w:lineRule="auto"/>
              <w:jc w:val="center"/>
              <w:rPr>
                <w:rFonts w:ascii="Times New Roman" w:hAnsi="Times New Roman"/>
                <w:bCs/>
                <w:iCs/>
                <w:sz w:val="18"/>
                <w:szCs w:val="18"/>
                <w:lang w:eastAsia="lt-LT"/>
              </w:rPr>
            </w:pPr>
            <w:r w:rsidRPr="00FD7A80">
              <w:rPr>
                <w:rFonts w:ascii="Times New Roman" w:hAnsi="Times New Roman"/>
                <w:bCs/>
                <w:iCs/>
                <w:sz w:val="18"/>
                <w:szCs w:val="18"/>
                <w:lang w:eastAsia="lt-LT"/>
              </w:rPr>
              <w:t>Mažiau išsivystęs</w:t>
            </w:r>
          </w:p>
        </w:tc>
        <w:tc>
          <w:tcPr>
            <w:tcW w:w="850" w:type="dxa"/>
            <w:shd w:val="clear" w:color="auto" w:fill="auto"/>
            <w:vAlign w:val="center"/>
          </w:tcPr>
          <w:p w:rsidR="00B30D13" w:rsidRPr="00EB437C" w:rsidRDefault="00EB437C" w:rsidP="00B30D13">
            <w:pPr>
              <w:widowControl w:val="0"/>
              <w:tabs>
                <w:tab w:val="left" w:pos="622"/>
              </w:tabs>
              <w:spacing w:after="0" w:line="240" w:lineRule="auto"/>
              <w:jc w:val="center"/>
              <w:rPr>
                <w:rFonts w:ascii="Times New Roman" w:hAnsi="Times New Roman"/>
                <w:bCs/>
                <w:iCs/>
                <w:sz w:val="18"/>
                <w:szCs w:val="18"/>
                <w:lang w:eastAsia="lt-LT"/>
              </w:rPr>
            </w:pPr>
            <w:r w:rsidRPr="00EB437C">
              <w:rPr>
                <w:rFonts w:ascii="Times New Roman" w:hAnsi="Times New Roman"/>
                <w:bCs/>
                <w:iCs/>
                <w:sz w:val="18"/>
                <w:szCs w:val="18"/>
                <w:lang w:eastAsia="lt-LT"/>
              </w:rPr>
              <w:t>13.000</w:t>
            </w:r>
          </w:p>
        </w:tc>
        <w:tc>
          <w:tcPr>
            <w:tcW w:w="1134" w:type="dxa"/>
            <w:shd w:val="clear" w:color="auto" w:fill="auto"/>
            <w:vAlign w:val="center"/>
          </w:tcPr>
          <w:p w:rsidR="00B30D13" w:rsidRPr="00FD7A80" w:rsidRDefault="00B30D13" w:rsidP="00B30D13">
            <w:pPr>
              <w:widowControl w:val="0"/>
              <w:tabs>
                <w:tab w:val="left" w:pos="622"/>
              </w:tabs>
              <w:spacing w:after="0" w:line="240" w:lineRule="auto"/>
              <w:jc w:val="center"/>
              <w:rPr>
                <w:rFonts w:ascii="Times New Roman" w:hAnsi="Times New Roman"/>
                <w:bCs/>
                <w:iCs/>
                <w:sz w:val="18"/>
                <w:szCs w:val="18"/>
                <w:lang w:eastAsia="lt-LT"/>
              </w:rPr>
            </w:pPr>
            <w:r w:rsidRPr="00FD7A80">
              <w:rPr>
                <w:rFonts w:ascii="Times New Roman" w:hAnsi="Times New Roman"/>
                <w:bCs/>
                <w:iCs/>
                <w:sz w:val="18"/>
                <w:szCs w:val="18"/>
                <w:lang w:eastAsia="lt-LT"/>
              </w:rPr>
              <w:t>Duomenys iš projektų</w:t>
            </w:r>
          </w:p>
        </w:tc>
        <w:tc>
          <w:tcPr>
            <w:tcW w:w="1241" w:type="dxa"/>
            <w:shd w:val="clear" w:color="auto" w:fill="auto"/>
            <w:vAlign w:val="center"/>
          </w:tcPr>
          <w:p w:rsidR="00B30D13" w:rsidRPr="00FD7A80" w:rsidRDefault="00B30D13" w:rsidP="00B30D13">
            <w:pPr>
              <w:widowControl w:val="0"/>
              <w:tabs>
                <w:tab w:val="left" w:pos="622"/>
              </w:tabs>
              <w:spacing w:after="0" w:line="240" w:lineRule="auto"/>
              <w:jc w:val="center"/>
              <w:rPr>
                <w:rFonts w:ascii="Times New Roman" w:hAnsi="Times New Roman"/>
                <w:bCs/>
                <w:iCs/>
                <w:sz w:val="18"/>
                <w:szCs w:val="18"/>
                <w:lang w:eastAsia="lt-LT"/>
              </w:rPr>
            </w:pPr>
            <w:r w:rsidRPr="00FD7A80">
              <w:rPr>
                <w:rFonts w:ascii="Times New Roman" w:hAnsi="Times New Roman"/>
                <w:bCs/>
                <w:iCs/>
                <w:sz w:val="18"/>
                <w:szCs w:val="18"/>
                <w:lang w:eastAsia="lt-LT"/>
              </w:rPr>
              <w:t>Kartą per metus</w:t>
            </w:r>
          </w:p>
        </w:tc>
      </w:tr>
    </w:tbl>
    <w:p w:rsidR="00B30D13" w:rsidRPr="00FD7A80" w:rsidRDefault="00B30D13" w:rsidP="00254EEE">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746"/>
      </w:tblGrid>
      <w:tr w:rsidR="00B30D13" w:rsidRPr="00FD7A80" w:rsidTr="00B30D13">
        <w:tc>
          <w:tcPr>
            <w:tcW w:w="9746" w:type="dxa"/>
            <w:shd w:val="clear" w:color="auto" w:fill="EEECE1"/>
          </w:tcPr>
          <w:p w:rsidR="00B30D13" w:rsidRPr="00FD7A80" w:rsidRDefault="00B30D13" w:rsidP="00B30D13">
            <w:pPr>
              <w:widowControl w:val="0"/>
              <w:tabs>
                <w:tab w:val="left" w:pos="622"/>
              </w:tabs>
              <w:spacing w:after="0" w:line="240" w:lineRule="auto"/>
              <w:jc w:val="both"/>
              <w:rPr>
                <w:rFonts w:ascii="Times New Roman" w:eastAsia="AngsanaUPC" w:hAnsi="Times New Roman"/>
                <w:b/>
                <w:bCs/>
                <w:sz w:val="24"/>
                <w:szCs w:val="24"/>
                <w:lang w:eastAsia="lt-LT"/>
              </w:rPr>
            </w:pPr>
            <w:r w:rsidRPr="00FD7A80">
              <w:rPr>
                <w:rFonts w:ascii="Times New Roman" w:eastAsia="AngsanaUPC" w:hAnsi="Times New Roman"/>
                <w:b/>
                <w:bCs/>
                <w:i/>
                <w:iCs/>
                <w:sz w:val="24"/>
                <w:szCs w:val="24"/>
                <w:lang w:eastAsia="lt-LT"/>
              </w:rPr>
              <w:t>Projektų / veiksmų atrankos principai</w:t>
            </w:r>
          </w:p>
        </w:tc>
      </w:tr>
      <w:tr w:rsidR="00B30D13" w:rsidRPr="00FD7A80" w:rsidTr="00B30D13">
        <w:tc>
          <w:tcPr>
            <w:tcW w:w="9746" w:type="dxa"/>
            <w:shd w:val="clear" w:color="auto" w:fill="auto"/>
          </w:tcPr>
          <w:p w:rsidR="00B30D13" w:rsidRPr="00FD7A80" w:rsidRDefault="00B30D13" w:rsidP="00650E41">
            <w:pPr>
              <w:widowControl w:val="0"/>
              <w:numPr>
                <w:ilvl w:val="0"/>
                <w:numId w:val="52"/>
              </w:numPr>
              <w:tabs>
                <w:tab w:val="left" w:pos="601"/>
              </w:tabs>
              <w:spacing w:after="0" w:line="240" w:lineRule="auto"/>
              <w:ind w:left="34" w:firstLine="284"/>
              <w:jc w:val="both"/>
              <w:rPr>
                <w:rFonts w:ascii="Times New Roman" w:eastAsia="AngsanaUPC" w:hAnsi="Times New Roman"/>
                <w:bCs/>
                <w:sz w:val="24"/>
                <w:szCs w:val="24"/>
                <w:lang w:eastAsia="lt-LT"/>
              </w:rPr>
            </w:pPr>
            <w:r w:rsidRPr="00FD7A80">
              <w:rPr>
                <w:rFonts w:ascii="Times New Roman" w:eastAsia="AngsanaUPC" w:hAnsi="Times New Roman"/>
                <w:bCs/>
                <w:sz w:val="24"/>
                <w:szCs w:val="24"/>
                <w:lang w:eastAsia="lt-LT"/>
              </w:rPr>
              <w:t>14.1.1 konkretų uždavinį įgyvendinantys projektai bus atrenkami tęstinės projektų atrankos, projektų konkurso būdu ir valstybės projektų planavimo būdu (tiesiogiai skiriant subsidiją). Jeigu nusprendžiama, kad konkrečiam projektui dotacijos skiriamos tiesiogiai, ši procedūra turi atitikti sąlygas, nustatytas Bendrųjų nuostatų reglamento 125.3 str. (a) dalyje (ii) punkte, kuriuo reikalaujama, kad dotacijų skyrimo procedūra turi būti nediskriminuojanti ir skaidri.</w:t>
            </w:r>
          </w:p>
          <w:p w:rsidR="00B30D13" w:rsidRPr="00FD7A80" w:rsidRDefault="00B30D13" w:rsidP="00B30D13">
            <w:pPr>
              <w:widowControl w:val="0"/>
              <w:tabs>
                <w:tab w:val="left" w:pos="601"/>
              </w:tabs>
              <w:spacing w:after="0" w:line="240" w:lineRule="auto"/>
              <w:ind w:left="34" w:firstLine="284"/>
              <w:jc w:val="both"/>
              <w:rPr>
                <w:rFonts w:ascii="Times New Roman" w:eastAsia="AngsanaUPC" w:hAnsi="Times New Roman"/>
                <w:bCs/>
                <w:sz w:val="24"/>
                <w:szCs w:val="24"/>
                <w:lang w:eastAsia="lt-LT"/>
              </w:rPr>
            </w:pPr>
            <w:r w:rsidRPr="00FD7A80">
              <w:rPr>
                <w:rFonts w:ascii="Times New Roman" w:eastAsia="AngsanaUPC" w:hAnsi="Times New Roman"/>
                <w:bCs/>
                <w:sz w:val="24"/>
                <w:szCs w:val="24"/>
                <w:lang w:eastAsia="lt-LT"/>
              </w:rPr>
              <w:t>* Esant pagrįstam poreikiui pagal kiekvieną investicinį prioritetą gali būti taikomi ir kiti projektų atrankos būdai nurodyti pirmojo prioriteto dalyje „Projektų / veiksmų atrankos principai“.</w:t>
            </w:r>
          </w:p>
        </w:tc>
      </w:tr>
    </w:tbl>
    <w:p w:rsidR="00B30D13" w:rsidRPr="00FD7A80" w:rsidRDefault="00B30D13" w:rsidP="00254EEE">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746"/>
      </w:tblGrid>
      <w:tr w:rsidR="00B30D13" w:rsidRPr="00FD7A80" w:rsidTr="00B30D13">
        <w:tc>
          <w:tcPr>
            <w:tcW w:w="9746" w:type="dxa"/>
            <w:shd w:val="clear" w:color="auto" w:fill="EEECE1"/>
          </w:tcPr>
          <w:p w:rsidR="00B30D13" w:rsidRPr="00FD7A80" w:rsidRDefault="00B30D13" w:rsidP="00B30D13">
            <w:pPr>
              <w:widowControl w:val="0"/>
              <w:tabs>
                <w:tab w:val="left" w:pos="622"/>
              </w:tabs>
              <w:spacing w:after="0" w:line="240" w:lineRule="auto"/>
              <w:jc w:val="both"/>
              <w:rPr>
                <w:rFonts w:ascii="Times New Roman" w:eastAsia="AngsanaUPC" w:hAnsi="Times New Roman"/>
                <w:b/>
                <w:bCs/>
                <w:sz w:val="24"/>
                <w:szCs w:val="24"/>
                <w:lang w:eastAsia="lt-LT"/>
              </w:rPr>
            </w:pPr>
            <w:r w:rsidRPr="00FD7A80">
              <w:rPr>
                <w:rFonts w:ascii="Times New Roman" w:eastAsia="AngsanaUPC" w:hAnsi="Times New Roman"/>
                <w:b/>
                <w:bCs/>
                <w:i/>
                <w:iCs/>
                <w:sz w:val="24"/>
                <w:szCs w:val="24"/>
                <w:lang w:eastAsia="lt-LT"/>
              </w:rPr>
              <w:t>Finansiniai instrumentai ir jų aprašymas</w:t>
            </w:r>
          </w:p>
        </w:tc>
      </w:tr>
      <w:tr w:rsidR="00B30D13" w:rsidRPr="00FD7A80" w:rsidTr="00B30D13">
        <w:tc>
          <w:tcPr>
            <w:tcW w:w="9746" w:type="dxa"/>
            <w:shd w:val="clear" w:color="auto" w:fill="auto"/>
          </w:tcPr>
          <w:p w:rsidR="00B30D13" w:rsidRPr="00FD7A80" w:rsidRDefault="00B30D13" w:rsidP="00B30D13">
            <w:pPr>
              <w:widowControl w:val="0"/>
              <w:tabs>
                <w:tab w:val="left" w:pos="622"/>
              </w:tabs>
              <w:spacing w:after="0" w:line="240" w:lineRule="auto"/>
              <w:ind w:firstLine="624"/>
              <w:jc w:val="both"/>
              <w:rPr>
                <w:rFonts w:ascii="Times New Roman" w:eastAsia="AngsanaUPC" w:hAnsi="Times New Roman"/>
                <w:bCs/>
                <w:iCs/>
                <w:sz w:val="24"/>
                <w:szCs w:val="24"/>
                <w:highlight w:val="yellow"/>
                <w:lang w:eastAsia="lt-LT"/>
              </w:rPr>
            </w:pPr>
            <w:r w:rsidRPr="00FD7A80">
              <w:rPr>
                <w:rFonts w:ascii="Times New Roman" w:eastAsia="AngsanaUPC" w:hAnsi="Times New Roman"/>
                <w:bCs/>
                <w:sz w:val="24"/>
                <w:szCs w:val="24"/>
                <w:lang w:eastAsia="lt-LT"/>
              </w:rPr>
              <w:t xml:space="preserve">Pagal 14.1.1 konkretų uždavinį </w:t>
            </w:r>
            <w:r w:rsidRPr="00FD7A80">
              <w:rPr>
                <w:rFonts w:ascii="Times New Roman" w:eastAsia="AngsanaUPC" w:hAnsi="Times New Roman"/>
                <w:bCs/>
                <w:iCs/>
                <w:sz w:val="24"/>
                <w:szCs w:val="24"/>
                <w:lang w:eastAsia="lt-LT"/>
              </w:rPr>
              <w:t>finansinių instrumentų taikyti nenumatoma.</w:t>
            </w:r>
          </w:p>
        </w:tc>
      </w:tr>
    </w:tbl>
    <w:p w:rsidR="00B30D13" w:rsidRPr="00FD7A80" w:rsidRDefault="00B30D13" w:rsidP="00B30D13">
      <w:pPr>
        <w:widowControl w:val="0"/>
        <w:tabs>
          <w:tab w:val="left" w:pos="622"/>
        </w:tabs>
        <w:spacing w:after="0" w:line="240" w:lineRule="auto"/>
        <w:jc w:val="both"/>
        <w:rPr>
          <w:rFonts w:ascii="Times New Roman" w:eastAsia="AngsanaUPC" w:hAnsi="Times New Roman"/>
          <w:bCs/>
          <w:sz w:val="20"/>
          <w:szCs w:val="20"/>
          <w:lang w:eastAsia="lt-LT"/>
        </w:rPr>
      </w:pPr>
    </w:p>
    <w:p w:rsidR="00B30D13" w:rsidRPr="00FD7A80" w:rsidRDefault="00B30D13" w:rsidP="00B30D13">
      <w:pPr>
        <w:widowControl w:val="0"/>
        <w:tabs>
          <w:tab w:val="left" w:pos="622"/>
        </w:tabs>
        <w:spacing w:after="0" w:line="240" w:lineRule="auto"/>
        <w:jc w:val="both"/>
        <w:rPr>
          <w:rFonts w:ascii="Times New Roman" w:eastAsia="AngsanaUPC" w:hAnsi="Times New Roman"/>
          <w:bCs/>
          <w:sz w:val="24"/>
          <w:szCs w:val="24"/>
          <w:lang w:eastAsia="lt-LT"/>
        </w:rPr>
        <w:sectPr w:rsidR="00B30D13" w:rsidRPr="00FD7A80" w:rsidSect="00B30D13">
          <w:pgSz w:w="11906" w:h="16838" w:code="9"/>
          <w:pgMar w:top="1701" w:right="567" w:bottom="1134" w:left="1701" w:header="567" w:footer="567" w:gutter="0"/>
          <w:cols w:space="1296"/>
          <w:docGrid w:linePitch="360"/>
        </w:sect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09"/>
        <w:gridCol w:w="6378"/>
        <w:gridCol w:w="1843"/>
      </w:tblGrid>
      <w:tr w:rsidR="00B30D13" w:rsidRPr="00FD7A80" w:rsidTr="00EB437C">
        <w:trPr>
          <w:tblHeader/>
        </w:trPr>
        <w:tc>
          <w:tcPr>
            <w:tcW w:w="9781" w:type="dxa"/>
            <w:gridSpan w:val="4"/>
            <w:shd w:val="clear" w:color="auto" w:fill="EEECE1" w:themeFill="background2"/>
            <w:vAlign w:val="center"/>
          </w:tcPr>
          <w:p w:rsidR="00B30D13" w:rsidRPr="00FD7A80" w:rsidRDefault="00B30D13" w:rsidP="00B30D13">
            <w:pPr>
              <w:widowControl w:val="0"/>
              <w:tabs>
                <w:tab w:val="left" w:pos="622"/>
              </w:tabs>
              <w:spacing w:after="0" w:line="240" w:lineRule="auto"/>
              <w:jc w:val="both"/>
              <w:rPr>
                <w:rFonts w:ascii="Times New Roman" w:hAnsi="Times New Roman"/>
                <w:b/>
                <w:bCs/>
                <w:i/>
                <w:iCs/>
                <w:sz w:val="18"/>
                <w:szCs w:val="18"/>
              </w:rPr>
            </w:pPr>
            <w:r w:rsidRPr="00FD7A80">
              <w:rPr>
                <w:rFonts w:ascii="Times New Roman" w:hAnsi="Times New Roman"/>
                <w:b/>
                <w:bCs/>
                <w:i/>
                <w:iCs/>
                <w:sz w:val="18"/>
                <w:szCs w:val="18"/>
              </w:rPr>
              <w:lastRenderedPageBreak/>
              <w:t>Intervencinių veiksmų sritis</w:t>
            </w:r>
          </w:p>
        </w:tc>
      </w:tr>
      <w:tr w:rsidR="00B30D13" w:rsidRPr="00FD7A80" w:rsidTr="00EB437C">
        <w:tc>
          <w:tcPr>
            <w:tcW w:w="851" w:type="dxa"/>
            <w:shd w:val="clear" w:color="auto" w:fill="EEECE1" w:themeFill="background2"/>
            <w:vAlign w:val="center"/>
          </w:tcPr>
          <w:p w:rsidR="00B30D13" w:rsidRPr="00FD7A80" w:rsidRDefault="00B30D13" w:rsidP="00B30D13">
            <w:pPr>
              <w:widowControl w:val="0"/>
              <w:tabs>
                <w:tab w:val="left" w:pos="622"/>
              </w:tabs>
              <w:spacing w:after="0" w:line="240" w:lineRule="auto"/>
              <w:jc w:val="both"/>
              <w:rPr>
                <w:rFonts w:ascii="Times New Roman" w:hAnsi="Times New Roman"/>
                <w:b/>
                <w:bCs/>
                <w:iCs/>
                <w:sz w:val="18"/>
                <w:szCs w:val="18"/>
              </w:rPr>
            </w:pPr>
            <w:r w:rsidRPr="00FD7A80">
              <w:rPr>
                <w:rFonts w:ascii="Times New Roman" w:hAnsi="Times New Roman"/>
                <w:b/>
                <w:bCs/>
                <w:iCs/>
                <w:sz w:val="18"/>
                <w:szCs w:val="18"/>
              </w:rPr>
              <w:t>Fondas</w:t>
            </w:r>
          </w:p>
        </w:tc>
        <w:tc>
          <w:tcPr>
            <w:tcW w:w="709" w:type="dxa"/>
            <w:shd w:val="clear" w:color="auto" w:fill="EEECE1" w:themeFill="background2"/>
            <w:vAlign w:val="center"/>
          </w:tcPr>
          <w:p w:rsidR="00B30D13" w:rsidRPr="00FD7A80" w:rsidRDefault="00B30D13" w:rsidP="00B30D13">
            <w:pPr>
              <w:widowControl w:val="0"/>
              <w:tabs>
                <w:tab w:val="left" w:pos="622"/>
              </w:tabs>
              <w:spacing w:after="0" w:line="240" w:lineRule="auto"/>
              <w:jc w:val="both"/>
              <w:rPr>
                <w:rFonts w:ascii="Times New Roman" w:hAnsi="Times New Roman"/>
                <w:b/>
                <w:bCs/>
                <w:iCs/>
                <w:sz w:val="18"/>
                <w:szCs w:val="18"/>
              </w:rPr>
            </w:pPr>
            <w:r w:rsidRPr="00FD7A80">
              <w:rPr>
                <w:rFonts w:ascii="Times New Roman" w:hAnsi="Times New Roman"/>
                <w:b/>
                <w:bCs/>
                <w:iCs/>
                <w:sz w:val="18"/>
                <w:szCs w:val="18"/>
              </w:rPr>
              <w:t>Kodas</w:t>
            </w:r>
          </w:p>
        </w:tc>
        <w:tc>
          <w:tcPr>
            <w:tcW w:w="6378" w:type="dxa"/>
            <w:shd w:val="clear" w:color="auto" w:fill="EEECE1" w:themeFill="background2"/>
            <w:vAlign w:val="center"/>
          </w:tcPr>
          <w:p w:rsidR="00B30D13" w:rsidRPr="00FD7A80" w:rsidRDefault="00B30D13" w:rsidP="00B30D13">
            <w:pPr>
              <w:widowControl w:val="0"/>
              <w:tabs>
                <w:tab w:val="left" w:pos="622"/>
              </w:tabs>
              <w:spacing w:after="0" w:line="240" w:lineRule="auto"/>
              <w:jc w:val="both"/>
              <w:rPr>
                <w:rFonts w:ascii="Times New Roman" w:hAnsi="Times New Roman"/>
                <w:b/>
                <w:bCs/>
                <w:iCs/>
                <w:sz w:val="18"/>
                <w:szCs w:val="18"/>
              </w:rPr>
            </w:pPr>
            <w:r w:rsidRPr="00FD7A80">
              <w:rPr>
                <w:rFonts w:ascii="Times New Roman" w:hAnsi="Times New Roman"/>
                <w:b/>
                <w:bCs/>
                <w:iCs/>
                <w:sz w:val="18"/>
                <w:szCs w:val="18"/>
              </w:rPr>
              <w:t>Pavadinimas</w:t>
            </w:r>
          </w:p>
        </w:tc>
        <w:tc>
          <w:tcPr>
            <w:tcW w:w="1843" w:type="dxa"/>
            <w:shd w:val="clear" w:color="auto" w:fill="EEECE1" w:themeFill="background2"/>
            <w:vAlign w:val="center"/>
          </w:tcPr>
          <w:p w:rsidR="00B30D13" w:rsidRPr="00FD7A80" w:rsidRDefault="00B30D13" w:rsidP="00B30D13">
            <w:pPr>
              <w:widowControl w:val="0"/>
              <w:tabs>
                <w:tab w:val="left" w:pos="622"/>
              </w:tabs>
              <w:spacing w:after="0" w:line="240" w:lineRule="auto"/>
              <w:jc w:val="center"/>
              <w:rPr>
                <w:rFonts w:ascii="Times New Roman" w:hAnsi="Times New Roman"/>
                <w:b/>
                <w:bCs/>
                <w:iCs/>
                <w:sz w:val="18"/>
                <w:szCs w:val="18"/>
              </w:rPr>
            </w:pPr>
            <w:r w:rsidRPr="00FD7A80">
              <w:rPr>
                <w:rFonts w:ascii="Times New Roman" w:hAnsi="Times New Roman"/>
                <w:b/>
                <w:bCs/>
                <w:iCs/>
                <w:sz w:val="18"/>
                <w:szCs w:val="18"/>
              </w:rPr>
              <w:t>Finansinė proporcija (eurais)</w:t>
            </w:r>
          </w:p>
        </w:tc>
      </w:tr>
      <w:tr w:rsidR="00B30D13" w:rsidRPr="00FD7A80" w:rsidTr="00EB437C">
        <w:tc>
          <w:tcPr>
            <w:tcW w:w="851" w:type="dxa"/>
            <w:shd w:val="clear" w:color="auto" w:fill="auto"/>
            <w:vAlign w:val="center"/>
          </w:tcPr>
          <w:p w:rsidR="00B30D13" w:rsidRPr="00FD7A80" w:rsidRDefault="00B30D13" w:rsidP="00B30D13">
            <w:pPr>
              <w:widowControl w:val="0"/>
              <w:tabs>
                <w:tab w:val="left" w:pos="622"/>
              </w:tabs>
              <w:spacing w:after="0" w:line="240" w:lineRule="auto"/>
              <w:rPr>
                <w:rFonts w:ascii="Times New Roman" w:hAnsi="Times New Roman"/>
                <w:bCs/>
                <w:iCs/>
                <w:sz w:val="18"/>
                <w:szCs w:val="18"/>
              </w:rPr>
            </w:pPr>
            <w:r w:rsidRPr="00FD7A80">
              <w:rPr>
                <w:rFonts w:ascii="Times New Roman" w:hAnsi="Times New Roman"/>
                <w:bCs/>
                <w:iCs/>
                <w:sz w:val="18"/>
                <w:szCs w:val="18"/>
              </w:rPr>
              <w:t>ESF</w:t>
            </w:r>
          </w:p>
        </w:tc>
        <w:tc>
          <w:tcPr>
            <w:tcW w:w="709" w:type="dxa"/>
            <w:shd w:val="clear" w:color="auto" w:fill="auto"/>
            <w:vAlign w:val="center"/>
          </w:tcPr>
          <w:p w:rsidR="00B30D13" w:rsidRPr="00FD7A80" w:rsidRDefault="00B30D13" w:rsidP="00B30D13">
            <w:pPr>
              <w:widowControl w:val="0"/>
              <w:tabs>
                <w:tab w:val="left" w:pos="622"/>
              </w:tabs>
              <w:spacing w:after="0" w:line="240" w:lineRule="auto"/>
              <w:rPr>
                <w:rFonts w:ascii="Times New Roman" w:hAnsi="Times New Roman"/>
                <w:bCs/>
                <w:iCs/>
                <w:sz w:val="18"/>
                <w:szCs w:val="18"/>
              </w:rPr>
            </w:pPr>
            <w:r w:rsidRPr="00FD7A80">
              <w:rPr>
                <w:rFonts w:ascii="Times New Roman" w:hAnsi="Times New Roman"/>
                <w:bCs/>
                <w:iCs/>
                <w:sz w:val="18"/>
                <w:szCs w:val="18"/>
              </w:rPr>
              <w:t>102</w:t>
            </w:r>
          </w:p>
        </w:tc>
        <w:tc>
          <w:tcPr>
            <w:tcW w:w="6378" w:type="dxa"/>
            <w:shd w:val="clear" w:color="auto" w:fill="auto"/>
            <w:vAlign w:val="center"/>
          </w:tcPr>
          <w:p w:rsidR="00B30D13" w:rsidRPr="00FD7A80" w:rsidRDefault="00B30D13" w:rsidP="00B30D13">
            <w:pPr>
              <w:widowControl w:val="0"/>
              <w:tabs>
                <w:tab w:val="left" w:pos="622"/>
              </w:tabs>
              <w:spacing w:after="0" w:line="240" w:lineRule="auto"/>
              <w:jc w:val="both"/>
              <w:rPr>
                <w:rFonts w:ascii="Times New Roman" w:hAnsi="Times New Roman"/>
                <w:bCs/>
                <w:iCs/>
                <w:sz w:val="18"/>
                <w:szCs w:val="18"/>
              </w:rPr>
            </w:pPr>
            <w:r w:rsidRPr="00FD7A80">
              <w:rPr>
                <w:rFonts w:ascii="Times New Roman" w:hAnsi="Times New Roman"/>
                <w:bCs/>
                <w:iCs/>
                <w:sz w:val="18"/>
                <w:szCs w:val="18"/>
              </w:rPr>
              <w:t>Darbo ieškančių ir neaktyvių asmenų, tarp jų – ilgalaikių bedarbių ir nuo darbo rinkos nutolusių asmenų, įdarbinimo galimybės, taip pat naudojantis vietos užimtumo iniciatyvomis ir parama darbo jėgos judumui</w:t>
            </w:r>
          </w:p>
        </w:tc>
        <w:tc>
          <w:tcPr>
            <w:tcW w:w="1843" w:type="dxa"/>
            <w:shd w:val="clear" w:color="auto" w:fill="auto"/>
            <w:vAlign w:val="center"/>
          </w:tcPr>
          <w:p w:rsidR="00B30D13" w:rsidRPr="00EB437C" w:rsidRDefault="00EB437C" w:rsidP="00B30D13">
            <w:pPr>
              <w:widowControl w:val="0"/>
              <w:tabs>
                <w:tab w:val="left" w:pos="622"/>
              </w:tabs>
              <w:spacing w:after="0" w:line="240" w:lineRule="auto"/>
              <w:jc w:val="right"/>
              <w:rPr>
                <w:rFonts w:ascii="Times New Roman" w:hAnsi="Times New Roman"/>
                <w:bCs/>
                <w:iCs/>
                <w:sz w:val="18"/>
                <w:szCs w:val="18"/>
              </w:rPr>
            </w:pPr>
            <w:r w:rsidRPr="00EB437C">
              <w:rPr>
                <w:rFonts w:ascii="Times New Roman" w:hAnsi="Times New Roman"/>
                <w:bCs/>
                <w:iCs/>
                <w:sz w:val="18"/>
                <w:szCs w:val="18"/>
              </w:rPr>
              <w:t>46.000.000</w:t>
            </w:r>
          </w:p>
        </w:tc>
      </w:tr>
    </w:tbl>
    <w:p w:rsidR="00B30D13" w:rsidRPr="00FD7A80" w:rsidRDefault="00B30D13" w:rsidP="00254EEE">
      <w:pPr>
        <w:widowControl w:val="0"/>
        <w:tabs>
          <w:tab w:val="left" w:pos="622"/>
        </w:tabs>
        <w:spacing w:after="0" w:line="240" w:lineRule="auto"/>
        <w:jc w:val="both"/>
        <w:rPr>
          <w:rFonts w:ascii="Times New Roman" w:eastAsia="AngsanaUPC" w:hAnsi="Times New Roman"/>
          <w:bCs/>
          <w:sz w:val="24"/>
          <w:szCs w:val="24"/>
          <w:lang w:eastAsia="lt-LT"/>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09"/>
        <w:gridCol w:w="6378"/>
        <w:gridCol w:w="1843"/>
      </w:tblGrid>
      <w:tr w:rsidR="00B30D13" w:rsidRPr="00FD7A80" w:rsidTr="00EB437C">
        <w:tc>
          <w:tcPr>
            <w:tcW w:w="9781" w:type="dxa"/>
            <w:gridSpan w:val="4"/>
            <w:shd w:val="clear" w:color="auto" w:fill="EEECE1" w:themeFill="background2"/>
          </w:tcPr>
          <w:p w:rsidR="00B30D13" w:rsidRPr="00FD7A80" w:rsidRDefault="00B30D13" w:rsidP="00B30D13">
            <w:pPr>
              <w:widowControl w:val="0"/>
              <w:tabs>
                <w:tab w:val="left" w:pos="622"/>
              </w:tabs>
              <w:spacing w:after="0" w:line="240" w:lineRule="auto"/>
              <w:jc w:val="both"/>
              <w:rPr>
                <w:rFonts w:ascii="Times New Roman" w:hAnsi="Times New Roman"/>
                <w:b/>
                <w:i/>
                <w:iCs/>
                <w:sz w:val="18"/>
                <w:szCs w:val="18"/>
              </w:rPr>
            </w:pPr>
            <w:r w:rsidRPr="00FD7A80">
              <w:rPr>
                <w:rFonts w:ascii="Times New Roman" w:hAnsi="Times New Roman"/>
                <w:b/>
                <w:bCs/>
                <w:i/>
                <w:iCs/>
                <w:sz w:val="18"/>
                <w:szCs w:val="18"/>
              </w:rPr>
              <w:t>Finansavimo forma</w:t>
            </w:r>
          </w:p>
        </w:tc>
      </w:tr>
      <w:tr w:rsidR="00B30D13" w:rsidRPr="00FD7A80" w:rsidTr="00EB437C">
        <w:tc>
          <w:tcPr>
            <w:tcW w:w="851" w:type="dxa"/>
            <w:shd w:val="clear" w:color="auto" w:fill="EEECE1" w:themeFill="background2"/>
            <w:vAlign w:val="center"/>
          </w:tcPr>
          <w:p w:rsidR="00B30D13" w:rsidRPr="00FD7A80" w:rsidRDefault="00B30D13" w:rsidP="00B30D13">
            <w:pPr>
              <w:widowControl w:val="0"/>
              <w:tabs>
                <w:tab w:val="left" w:pos="622"/>
              </w:tabs>
              <w:spacing w:after="0" w:line="240" w:lineRule="auto"/>
              <w:jc w:val="both"/>
              <w:rPr>
                <w:rFonts w:ascii="Times New Roman" w:hAnsi="Times New Roman"/>
                <w:b/>
                <w:bCs/>
                <w:iCs/>
                <w:sz w:val="18"/>
                <w:szCs w:val="18"/>
              </w:rPr>
            </w:pPr>
            <w:r w:rsidRPr="00FD7A80">
              <w:rPr>
                <w:rFonts w:ascii="Times New Roman" w:hAnsi="Times New Roman"/>
                <w:b/>
                <w:bCs/>
                <w:iCs/>
                <w:sz w:val="18"/>
                <w:szCs w:val="18"/>
              </w:rPr>
              <w:t>Fondas</w:t>
            </w:r>
          </w:p>
        </w:tc>
        <w:tc>
          <w:tcPr>
            <w:tcW w:w="709" w:type="dxa"/>
            <w:shd w:val="clear" w:color="auto" w:fill="EEECE1" w:themeFill="background2"/>
            <w:vAlign w:val="center"/>
          </w:tcPr>
          <w:p w:rsidR="00B30D13" w:rsidRPr="00FD7A80" w:rsidRDefault="00B30D13" w:rsidP="00B30D13">
            <w:pPr>
              <w:widowControl w:val="0"/>
              <w:tabs>
                <w:tab w:val="left" w:pos="622"/>
              </w:tabs>
              <w:spacing w:after="0" w:line="240" w:lineRule="auto"/>
              <w:jc w:val="both"/>
              <w:rPr>
                <w:rFonts w:ascii="Times New Roman" w:hAnsi="Times New Roman"/>
                <w:b/>
                <w:bCs/>
                <w:iCs/>
                <w:sz w:val="18"/>
                <w:szCs w:val="18"/>
              </w:rPr>
            </w:pPr>
            <w:r w:rsidRPr="00FD7A80">
              <w:rPr>
                <w:rFonts w:ascii="Times New Roman" w:hAnsi="Times New Roman"/>
                <w:b/>
                <w:bCs/>
                <w:iCs/>
                <w:sz w:val="18"/>
                <w:szCs w:val="18"/>
              </w:rPr>
              <w:t>Kodas</w:t>
            </w:r>
          </w:p>
        </w:tc>
        <w:tc>
          <w:tcPr>
            <w:tcW w:w="6378" w:type="dxa"/>
            <w:shd w:val="clear" w:color="auto" w:fill="EEECE1" w:themeFill="background2"/>
            <w:vAlign w:val="center"/>
          </w:tcPr>
          <w:p w:rsidR="00B30D13" w:rsidRPr="00FD7A80" w:rsidRDefault="00B30D13" w:rsidP="00B30D13">
            <w:pPr>
              <w:widowControl w:val="0"/>
              <w:tabs>
                <w:tab w:val="left" w:pos="622"/>
              </w:tabs>
              <w:spacing w:after="0" w:line="240" w:lineRule="auto"/>
              <w:jc w:val="both"/>
              <w:rPr>
                <w:rFonts w:ascii="Times New Roman" w:hAnsi="Times New Roman"/>
                <w:b/>
                <w:bCs/>
                <w:iCs/>
                <w:sz w:val="18"/>
                <w:szCs w:val="18"/>
              </w:rPr>
            </w:pPr>
            <w:r w:rsidRPr="00FD7A80">
              <w:rPr>
                <w:rFonts w:ascii="Times New Roman" w:hAnsi="Times New Roman"/>
                <w:b/>
                <w:bCs/>
                <w:iCs/>
                <w:sz w:val="18"/>
                <w:szCs w:val="18"/>
              </w:rPr>
              <w:t>Pavadinimas</w:t>
            </w:r>
          </w:p>
        </w:tc>
        <w:tc>
          <w:tcPr>
            <w:tcW w:w="1843" w:type="dxa"/>
            <w:shd w:val="clear" w:color="auto" w:fill="EEECE1" w:themeFill="background2"/>
            <w:vAlign w:val="center"/>
          </w:tcPr>
          <w:p w:rsidR="00B30D13" w:rsidRPr="00FD7A80" w:rsidRDefault="00B30D13" w:rsidP="00B30D13">
            <w:pPr>
              <w:widowControl w:val="0"/>
              <w:tabs>
                <w:tab w:val="left" w:pos="622"/>
              </w:tabs>
              <w:spacing w:after="0" w:line="240" w:lineRule="auto"/>
              <w:jc w:val="center"/>
              <w:rPr>
                <w:rFonts w:ascii="Times New Roman" w:hAnsi="Times New Roman"/>
                <w:b/>
                <w:bCs/>
                <w:iCs/>
                <w:sz w:val="18"/>
                <w:szCs w:val="18"/>
              </w:rPr>
            </w:pPr>
            <w:r w:rsidRPr="00FD7A80">
              <w:rPr>
                <w:rFonts w:ascii="Times New Roman" w:hAnsi="Times New Roman"/>
                <w:b/>
                <w:bCs/>
                <w:iCs/>
                <w:sz w:val="18"/>
                <w:szCs w:val="18"/>
              </w:rPr>
              <w:t>Finansinė proporcija (eurais)</w:t>
            </w:r>
          </w:p>
        </w:tc>
      </w:tr>
      <w:tr w:rsidR="00B30D13" w:rsidRPr="00FD7A80" w:rsidTr="00EB437C">
        <w:tc>
          <w:tcPr>
            <w:tcW w:w="851" w:type="dxa"/>
            <w:shd w:val="clear" w:color="auto" w:fill="auto"/>
            <w:vAlign w:val="center"/>
          </w:tcPr>
          <w:p w:rsidR="00B30D13" w:rsidRPr="00FD7A80" w:rsidRDefault="00B30D13" w:rsidP="00B30D13">
            <w:pPr>
              <w:widowControl w:val="0"/>
              <w:tabs>
                <w:tab w:val="left" w:pos="622"/>
              </w:tabs>
              <w:spacing w:after="0" w:line="240" w:lineRule="auto"/>
              <w:rPr>
                <w:rFonts w:ascii="Times New Roman" w:eastAsia="AngsanaUPC" w:hAnsi="Times New Roman"/>
                <w:bCs/>
                <w:sz w:val="18"/>
                <w:szCs w:val="18"/>
                <w:lang w:eastAsia="lt-LT"/>
              </w:rPr>
            </w:pPr>
            <w:r w:rsidRPr="00FD7A80">
              <w:rPr>
                <w:rFonts w:ascii="Times New Roman" w:eastAsia="AngsanaUPC" w:hAnsi="Times New Roman"/>
                <w:bCs/>
                <w:sz w:val="18"/>
                <w:szCs w:val="18"/>
                <w:lang w:eastAsia="lt-LT"/>
              </w:rPr>
              <w:t>ESF</w:t>
            </w:r>
          </w:p>
        </w:tc>
        <w:tc>
          <w:tcPr>
            <w:tcW w:w="709" w:type="dxa"/>
            <w:shd w:val="clear" w:color="auto" w:fill="auto"/>
            <w:vAlign w:val="center"/>
          </w:tcPr>
          <w:p w:rsidR="00B30D13" w:rsidRPr="00FD7A80" w:rsidRDefault="00B30D13" w:rsidP="00B30D13">
            <w:pPr>
              <w:widowControl w:val="0"/>
              <w:tabs>
                <w:tab w:val="left" w:pos="622"/>
              </w:tabs>
              <w:spacing w:after="0" w:line="240" w:lineRule="auto"/>
              <w:rPr>
                <w:rFonts w:ascii="Times New Roman" w:eastAsia="AngsanaUPC" w:hAnsi="Times New Roman"/>
                <w:bCs/>
                <w:sz w:val="18"/>
                <w:szCs w:val="18"/>
                <w:lang w:eastAsia="lt-LT"/>
              </w:rPr>
            </w:pPr>
            <w:r w:rsidRPr="00FD7A80">
              <w:rPr>
                <w:rFonts w:ascii="Times New Roman" w:eastAsia="AngsanaUPC" w:hAnsi="Times New Roman"/>
                <w:bCs/>
                <w:sz w:val="18"/>
                <w:szCs w:val="18"/>
                <w:lang w:eastAsia="lt-LT"/>
              </w:rPr>
              <w:t>01</w:t>
            </w:r>
          </w:p>
        </w:tc>
        <w:tc>
          <w:tcPr>
            <w:tcW w:w="6378" w:type="dxa"/>
            <w:shd w:val="clear" w:color="auto" w:fill="auto"/>
            <w:vAlign w:val="center"/>
          </w:tcPr>
          <w:p w:rsidR="00B30D13" w:rsidRPr="00FD7A80" w:rsidRDefault="00B30D13" w:rsidP="00B30D13">
            <w:pPr>
              <w:widowControl w:val="0"/>
              <w:tabs>
                <w:tab w:val="left" w:pos="622"/>
              </w:tabs>
              <w:spacing w:after="0" w:line="240" w:lineRule="auto"/>
              <w:rPr>
                <w:rFonts w:ascii="Times New Roman" w:eastAsia="AngsanaUPC" w:hAnsi="Times New Roman"/>
                <w:bCs/>
                <w:sz w:val="18"/>
                <w:szCs w:val="18"/>
                <w:lang w:eastAsia="lt-LT"/>
              </w:rPr>
            </w:pPr>
            <w:r w:rsidRPr="00FD7A80">
              <w:rPr>
                <w:rFonts w:ascii="Times New Roman" w:eastAsia="AngsanaUPC" w:hAnsi="Times New Roman"/>
                <w:bCs/>
                <w:sz w:val="18"/>
                <w:szCs w:val="18"/>
                <w:lang w:eastAsia="lt-LT"/>
              </w:rPr>
              <w:t>Negražinamoji subsidija</w:t>
            </w:r>
          </w:p>
        </w:tc>
        <w:tc>
          <w:tcPr>
            <w:tcW w:w="1843" w:type="dxa"/>
            <w:shd w:val="clear" w:color="auto" w:fill="auto"/>
            <w:vAlign w:val="center"/>
          </w:tcPr>
          <w:p w:rsidR="00B30D13" w:rsidRPr="00EB437C" w:rsidRDefault="00EB437C" w:rsidP="00B30D13">
            <w:pPr>
              <w:widowControl w:val="0"/>
              <w:tabs>
                <w:tab w:val="left" w:pos="622"/>
              </w:tabs>
              <w:spacing w:after="0" w:line="240" w:lineRule="auto"/>
              <w:jc w:val="right"/>
              <w:rPr>
                <w:rFonts w:ascii="Times New Roman" w:eastAsia="AngsanaUPC" w:hAnsi="Times New Roman"/>
                <w:bCs/>
                <w:sz w:val="18"/>
                <w:szCs w:val="18"/>
                <w:lang w:eastAsia="lt-LT"/>
              </w:rPr>
            </w:pPr>
            <w:r w:rsidRPr="00EB437C">
              <w:rPr>
                <w:rFonts w:ascii="Times New Roman" w:eastAsia="AngsanaUPC" w:hAnsi="Times New Roman"/>
                <w:bCs/>
                <w:iCs/>
                <w:sz w:val="18"/>
                <w:szCs w:val="18"/>
                <w:lang w:eastAsia="lt-LT"/>
              </w:rPr>
              <w:t>46.000.000</w:t>
            </w:r>
          </w:p>
        </w:tc>
      </w:tr>
    </w:tbl>
    <w:p w:rsidR="00B30D13" w:rsidRPr="00FD7A80" w:rsidRDefault="00B30D13" w:rsidP="00254EEE">
      <w:pPr>
        <w:widowControl w:val="0"/>
        <w:tabs>
          <w:tab w:val="left" w:pos="622"/>
        </w:tabs>
        <w:spacing w:after="0" w:line="240" w:lineRule="auto"/>
        <w:jc w:val="both"/>
        <w:rPr>
          <w:rFonts w:ascii="Times New Roman" w:eastAsia="AngsanaUPC" w:hAnsi="Times New Roman"/>
          <w:bCs/>
          <w:sz w:val="24"/>
          <w:szCs w:val="24"/>
          <w:lang w:eastAsia="lt-LT"/>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09"/>
        <w:gridCol w:w="6378"/>
        <w:gridCol w:w="1843"/>
      </w:tblGrid>
      <w:tr w:rsidR="00B30D13" w:rsidRPr="00FD7A80" w:rsidTr="00EB437C">
        <w:tc>
          <w:tcPr>
            <w:tcW w:w="9781" w:type="dxa"/>
            <w:gridSpan w:val="4"/>
            <w:shd w:val="clear" w:color="auto" w:fill="EEECE1" w:themeFill="background2"/>
          </w:tcPr>
          <w:p w:rsidR="00B30D13" w:rsidRPr="00FD7A80" w:rsidRDefault="00B30D13" w:rsidP="00B30D13">
            <w:pPr>
              <w:widowControl w:val="0"/>
              <w:tabs>
                <w:tab w:val="left" w:pos="622"/>
              </w:tabs>
              <w:spacing w:after="0" w:line="240" w:lineRule="auto"/>
              <w:jc w:val="both"/>
              <w:rPr>
                <w:rFonts w:ascii="Times New Roman" w:hAnsi="Times New Roman"/>
                <w:b/>
                <w:i/>
                <w:iCs/>
                <w:sz w:val="18"/>
                <w:szCs w:val="18"/>
              </w:rPr>
            </w:pPr>
            <w:r w:rsidRPr="00FD7A80">
              <w:rPr>
                <w:rFonts w:ascii="Times New Roman" w:hAnsi="Times New Roman"/>
                <w:b/>
                <w:bCs/>
                <w:i/>
                <w:iCs/>
                <w:sz w:val="18"/>
                <w:szCs w:val="18"/>
              </w:rPr>
              <w:t>Teritorijų tipas</w:t>
            </w:r>
          </w:p>
        </w:tc>
      </w:tr>
      <w:tr w:rsidR="00B30D13" w:rsidRPr="00FD7A80" w:rsidTr="00EB437C">
        <w:tc>
          <w:tcPr>
            <w:tcW w:w="851" w:type="dxa"/>
            <w:shd w:val="clear" w:color="auto" w:fill="EEECE1" w:themeFill="background2"/>
            <w:vAlign w:val="center"/>
          </w:tcPr>
          <w:p w:rsidR="00B30D13" w:rsidRPr="00FD7A80" w:rsidRDefault="00B30D13" w:rsidP="00B30D13">
            <w:pPr>
              <w:widowControl w:val="0"/>
              <w:tabs>
                <w:tab w:val="left" w:pos="622"/>
              </w:tabs>
              <w:spacing w:after="0" w:line="240" w:lineRule="auto"/>
              <w:jc w:val="both"/>
              <w:rPr>
                <w:rFonts w:ascii="Times New Roman" w:hAnsi="Times New Roman"/>
                <w:b/>
                <w:bCs/>
                <w:iCs/>
                <w:sz w:val="18"/>
                <w:szCs w:val="18"/>
              </w:rPr>
            </w:pPr>
            <w:r w:rsidRPr="00FD7A80">
              <w:rPr>
                <w:rFonts w:ascii="Times New Roman" w:hAnsi="Times New Roman"/>
                <w:b/>
                <w:bCs/>
                <w:iCs/>
                <w:sz w:val="18"/>
                <w:szCs w:val="18"/>
              </w:rPr>
              <w:t>Fondas</w:t>
            </w:r>
          </w:p>
        </w:tc>
        <w:tc>
          <w:tcPr>
            <w:tcW w:w="709" w:type="dxa"/>
            <w:shd w:val="clear" w:color="auto" w:fill="EEECE1" w:themeFill="background2"/>
            <w:vAlign w:val="center"/>
          </w:tcPr>
          <w:p w:rsidR="00B30D13" w:rsidRPr="00FD7A80" w:rsidRDefault="00B30D13" w:rsidP="00B30D13">
            <w:pPr>
              <w:widowControl w:val="0"/>
              <w:tabs>
                <w:tab w:val="left" w:pos="622"/>
              </w:tabs>
              <w:spacing w:after="0" w:line="240" w:lineRule="auto"/>
              <w:jc w:val="both"/>
              <w:rPr>
                <w:rFonts w:ascii="Times New Roman" w:hAnsi="Times New Roman"/>
                <w:b/>
                <w:bCs/>
                <w:iCs/>
                <w:sz w:val="18"/>
                <w:szCs w:val="18"/>
              </w:rPr>
            </w:pPr>
            <w:r w:rsidRPr="00FD7A80">
              <w:rPr>
                <w:rFonts w:ascii="Times New Roman" w:hAnsi="Times New Roman"/>
                <w:b/>
                <w:bCs/>
                <w:iCs/>
                <w:sz w:val="18"/>
                <w:szCs w:val="18"/>
              </w:rPr>
              <w:t>Kodas</w:t>
            </w:r>
          </w:p>
        </w:tc>
        <w:tc>
          <w:tcPr>
            <w:tcW w:w="6378" w:type="dxa"/>
            <w:shd w:val="clear" w:color="auto" w:fill="EEECE1" w:themeFill="background2"/>
            <w:vAlign w:val="center"/>
          </w:tcPr>
          <w:p w:rsidR="00B30D13" w:rsidRPr="00FD7A80" w:rsidRDefault="00B30D13" w:rsidP="00B30D13">
            <w:pPr>
              <w:widowControl w:val="0"/>
              <w:tabs>
                <w:tab w:val="left" w:pos="622"/>
              </w:tabs>
              <w:spacing w:after="0" w:line="240" w:lineRule="auto"/>
              <w:jc w:val="both"/>
              <w:rPr>
                <w:rFonts w:ascii="Times New Roman" w:hAnsi="Times New Roman"/>
                <w:b/>
                <w:bCs/>
                <w:iCs/>
                <w:sz w:val="18"/>
                <w:szCs w:val="18"/>
              </w:rPr>
            </w:pPr>
            <w:r w:rsidRPr="00FD7A80">
              <w:rPr>
                <w:rFonts w:ascii="Times New Roman" w:hAnsi="Times New Roman"/>
                <w:b/>
                <w:bCs/>
                <w:iCs/>
                <w:sz w:val="18"/>
                <w:szCs w:val="18"/>
              </w:rPr>
              <w:t>Pavadinimas</w:t>
            </w:r>
          </w:p>
        </w:tc>
        <w:tc>
          <w:tcPr>
            <w:tcW w:w="1843" w:type="dxa"/>
            <w:shd w:val="clear" w:color="auto" w:fill="EEECE1" w:themeFill="background2"/>
            <w:vAlign w:val="center"/>
          </w:tcPr>
          <w:p w:rsidR="00B30D13" w:rsidRPr="00FD7A80" w:rsidRDefault="00B30D13" w:rsidP="00B30D13">
            <w:pPr>
              <w:widowControl w:val="0"/>
              <w:tabs>
                <w:tab w:val="left" w:pos="622"/>
              </w:tabs>
              <w:spacing w:after="0" w:line="240" w:lineRule="auto"/>
              <w:jc w:val="center"/>
              <w:rPr>
                <w:rFonts w:ascii="Times New Roman" w:hAnsi="Times New Roman"/>
                <w:b/>
                <w:bCs/>
                <w:iCs/>
                <w:sz w:val="18"/>
                <w:szCs w:val="18"/>
              </w:rPr>
            </w:pPr>
            <w:r w:rsidRPr="00FD7A80">
              <w:rPr>
                <w:rFonts w:ascii="Times New Roman" w:hAnsi="Times New Roman"/>
                <w:b/>
                <w:bCs/>
                <w:iCs/>
                <w:sz w:val="18"/>
                <w:szCs w:val="18"/>
              </w:rPr>
              <w:t>Finansinė proporcija (eurais)</w:t>
            </w:r>
          </w:p>
        </w:tc>
      </w:tr>
      <w:tr w:rsidR="00B30D13" w:rsidRPr="00FD7A80" w:rsidTr="00EB437C">
        <w:trPr>
          <w:trHeight w:val="189"/>
        </w:trPr>
        <w:tc>
          <w:tcPr>
            <w:tcW w:w="851" w:type="dxa"/>
            <w:shd w:val="clear" w:color="auto" w:fill="auto"/>
            <w:vAlign w:val="center"/>
          </w:tcPr>
          <w:p w:rsidR="00B30D13" w:rsidRPr="00FD7A80" w:rsidRDefault="00B30D13" w:rsidP="00B30D13">
            <w:pPr>
              <w:widowControl w:val="0"/>
              <w:tabs>
                <w:tab w:val="left" w:pos="622"/>
              </w:tabs>
              <w:spacing w:after="0" w:line="240" w:lineRule="auto"/>
              <w:rPr>
                <w:rFonts w:ascii="Times New Roman" w:eastAsia="AngsanaUPC" w:hAnsi="Times New Roman"/>
                <w:bCs/>
                <w:sz w:val="18"/>
                <w:szCs w:val="18"/>
                <w:lang w:eastAsia="lt-LT"/>
              </w:rPr>
            </w:pPr>
            <w:r w:rsidRPr="00FD7A80">
              <w:rPr>
                <w:rFonts w:ascii="Times New Roman" w:eastAsia="AngsanaUPC" w:hAnsi="Times New Roman"/>
                <w:bCs/>
                <w:sz w:val="18"/>
                <w:szCs w:val="18"/>
                <w:lang w:eastAsia="lt-LT"/>
              </w:rPr>
              <w:t>ESF</w:t>
            </w:r>
          </w:p>
        </w:tc>
        <w:tc>
          <w:tcPr>
            <w:tcW w:w="709" w:type="dxa"/>
            <w:shd w:val="clear" w:color="auto" w:fill="auto"/>
            <w:vAlign w:val="center"/>
          </w:tcPr>
          <w:p w:rsidR="00B30D13" w:rsidRPr="00FD7A80" w:rsidRDefault="00B30D13" w:rsidP="00B30D13">
            <w:pPr>
              <w:widowControl w:val="0"/>
              <w:tabs>
                <w:tab w:val="left" w:pos="622"/>
              </w:tabs>
              <w:spacing w:after="0" w:line="240" w:lineRule="auto"/>
              <w:rPr>
                <w:rFonts w:ascii="Times New Roman" w:eastAsia="AngsanaUPC" w:hAnsi="Times New Roman"/>
                <w:bCs/>
                <w:sz w:val="18"/>
                <w:szCs w:val="18"/>
                <w:lang w:eastAsia="lt-LT"/>
              </w:rPr>
            </w:pPr>
            <w:r w:rsidRPr="00FD7A80">
              <w:rPr>
                <w:rFonts w:ascii="Times New Roman" w:eastAsia="AngsanaUPC" w:hAnsi="Times New Roman"/>
                <w:bCs/>
                <w:sz w:val="18"/>
                <w:szCs w:val="18"/>
                <w:lang w:eastAsia="lt-LT"/>
              </w:rPr>
              <w:t>07</w:t>
            </w:r>
          </w:p>
        </w:tc>
        <w:tc>
          <w:tcPr>
            <w:tcW w:w="6378" w:type="dxa"/>
            <w:shd w:val="clear" w:color="auto" w:fill="auto"/>
            <w:vAlign w:val="center"/>
          </w:tcPr>
          <w:p w:rsidR="00B30D13" w:rsidRPr="00FD7A80" w:rsidRDefault="00B30D13" w:rsidP="00B30D13">
            <w:pPr>
              <w:widowControl w:val="0"/>
              <w:tabs>
                <w:tab w:val="left" w:pos="622"/>
              </w:tabs>
              <w:spacing w:after="0" w:line="240" w:lineRule="auto"/>
              <w:rPr>
                <w:rFonts w:ascii="Times New Roman" w:eastAsia="AngsanaUPC" w:hAnsi="Times New Roman"/>
                <w:bCs/>
                <w:sz w:val="18"/>
                <w:szCs w:val="18"/>
                <w:lang w:eastAsia="lt-LT"/>
              </w:rPr>
            </w:pPr>
            <w:r w:rsidRPr="00FD7A80">
              <w:rPr>
                <w:rFonts w:ascii="Times New Roman" w:eastAsia="AngsanaUPC" w:hAnsi="Times New Roman"/>
                <w:bCs/>
                <w:sz w:val="18"/>
                <w:szCs w:val="18"/>
                <w:lang w:eastAsia="lt-LT"/>
              </w:rPr>
              <w:t>Netaikoma</w:t>
            </w:r>
          </w:p>
        </w:tc>
        <w:tc>
          <w:tcPr>
            <w:tcW w:w="1843" w:type="dxa"/>
            <w:shd w:val="clear" w:color="auto" w:fill="auto"/>
            <w:vAlign w:val="center"/>
          </w:tcPr>
          <w:p w:rsidR="00B30D13" w:rsidRPr="00EB437C" w:rsidRDefault="00EB437C" w:rsidP="00B30D13">
            <w:pPr>
              <w:widowControl w:val="0"/>
              <w:tabs>
                <w:tab w:val="left" w:pos="622"/>
              </w:tabs>
              <w:spacing w:after="0" w:line="240" w:lineRule="auto"/>
              <w:jc w:val="right"/>
              <w:rPr>
                <w:rFonts w:ascii="Times New Roman" w:eastAsia="AngsanaUPC" w:hAnsi="Times New Roman"/>
                <w:bCs/>
                <w:sz w:val="18"/>
                <w:szCs w:val="18"/>
                <w:lang w:eastAsia="lt-LT"/>
              </w:rPr>
            </w:pPr>
            <w:r w:rsidRPr="00EB437C">
              <w:rPr>
                <w:rFonts w:ascii="Times New Roman" w:eastAsia="AngsanaUPC" w:hAnsi="Times New Roman"/>
                <w:bCs/>
                <w:iCs/>
                <w:sz w:val="18"/>
                <w:szCs w:val="18"/>
                <w:lang w:eastAsia="lt-LT"/>
              </w:rPr>
              <w:t>46.000.000</w:t>
            </w:r>
          </w:p>
        </w:tc>
      </w:tr>
    </w:tbl>
    <w:p w:rsidR="00B30D13" w:rsidRPr="00FD7A80" w:rsidRDefault="00B30D13" w:rsidP="00254EEE">
      <w:pPr>
        <w:widowControl w:val="0"/>
        <w:tabs>
          <w:tab w:val="left" w:pos="622"/>
        </w:tabs>
        <w:spacing w:after="0" w:line="240" w:lineRule="auto"/>
        <w:jc w:val="both"/>
        <w:rPr>
          <w:rFonts w:ascii="Times New Roman" w:eastAsia="AngsanaUPC" w:hAnsi="Times New Roman"/>
          <w:bCs/>
          <w:sz w:val="24"/>
          <w:szCs w:val="24"/>
          <w:lang w:eastAsia="lt-LT"/>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09"/>
        <w:gridCol w:w="6378"/>
        <w:gridCol w:w="1843"/>
      </w:tblGrid>
      <w:tr w:rsidR="00B30D13" w:rsidRPr="00FD7A80" w:rsidTr="00EB437C">
        <w:tc>
          <w:tcPr>
            <w:tcW w:w="9781" w:type="dxa"/>
            <w:gridSpan w:val="4"/>
            <w:shd w:val="clear" w:color="auto" w:fill="EEECE1" w:themeFill="background2"/>
          </w:tcPr>
          <w:p w:rsidR="00B30D13" w:rsidRPr="00FD7A80" w:rsidRDefault="00B30D13" w:rsidP="00B30D13">
            <w:pPr>
              <w:widowControl w:val="0"/>
              <w:tabs>
                <w:tab w:val="left" w:pos="622"/>
              </w:tabs>
              <w:spacing w:after="0" w:line="240" w:lineRule="auto"/>
              <w:jc w:val="both"/>
              <w:rPr>
                <w:rFonts w:ascii="Times New Roman" w:hAnsi="Times New Roman"/>
                <w:b/>
                <w:i/>
                <w:iCs/>
                <w:sz w:val="18"/>
                <w:szCs w:val="18"/>
              </w:rPr>
            </w:pPr>
            <w:r w:rsidRPr="00FD7A80">
              <w:rPr>
                <w:rFonts w:ascii="Times New Roman" w:hAnsi="Times New Roman"/>
                <w:b/>
                <w:bCs/>
                <w:i/>
                <w:iCs/>
                <w:sz w:val="18"/>
                <w:szCs w:val="18"/>
              </w:rPr>
              <w:t>Teritorinės paramos paskirstymo priemonės</w:t>
            </w:r>
          </w:p>
        </w:tc>
      </w:tr>
      <w:tr w:rsidR="00B30D13" w:rsidRPr="00FD7A80" w:rsidTr="00EB437C">
        <w:trPr>
          <w:trHeight w:val="550"/>
        </w:trPr>
        <w:tc>
          <w:tcPr>
            <w:tcW w:w="851" w:type="dxa"/>
            <w:shd w:val="clear" w:color="auto" w:fill="EEECE1" w:themeFill="background2"/>
            <w:vAlign w:val="center"/>
          </w:tcPr>
          <w:p w:rsidR="00B30D13" w:rsidRPr="00FD7A80" w:rsidRDefault="00B30D13" w:rsidP="00B30D13">
            <w:pPr>
              <w:widowControl w:val="0"/>
              <w:tabs>
                <w:tab w:val="left" w:pos="622"/>
              </w:tabs>
              <w:spacing w:after="0" w:line="240" w:lineRule="auto"/>
              <w:jc w:val="both"/>
              <w:rPr>
                <w:rFonts w:ascii="Times New Roman" w:hAnsi="Times New Roman"/>
                <w:b/>
                <w:bCs/>
                <w:iCs/>
                <w:sz w:val="18"/>
                <w:szCs w:val="18"/>
              </w:rPr>
            </w:pPr>
            <w:r w:rsidRPr="00FD7A80">
              <w:rPr>
                <w:rFonts w:ascii="Times New Roman" w:hAnsi="Times New Roman"/>
                <w:b/>
                <w:bCs/>
                <w:iCs/>
                <w:sz w:val="18"/>
                <w:szCs w:val="18"/>
              </w:rPr>
              <w:t>Fondas</w:t>
            </w:r>
          </w:p>
        </w:tc>
        <w:tc>
          <w:tcPr>
            <w:tcW w:w="709" w:type="dxa"/>
            <w:shd w:val="clear" w:color="auto" w:fill="EEECE1" w:themeFill="background2"/>
            <w:vAlign w:val="center"/>
          </w:tcPr>
          <w:p w:rsidR="00B30D13" w:rsidRPr="00FD7A80" w:rsidRDefault="00B30D13" w:rsidP="00B30D13">
            <w:pPr>
              <w:widowControl w:val="0"/>
              <w:tabs>
                <w:tab w:val="left" w:pos="622"/>
              </w:tabs>
              <w:spacing w:after="0" w:line="240" w:lineRule="auto"/>
              <w:jc w:val="both"/>
              <w:rPr>
                <w:rFonts w:ascii="Times New Roman" w:hAnsi="Times New Roman"/>
                <w:b/>
                <w:bCs/>
                <w:iCs/>
                <w:sz w:val="18"/>
                <w:szCs w:val="18"/>
              </w:rPr>
            </w:pPr>
            <w:r w:rsidRPr="00FD7A80">
              <w:rPr>
                <w:rFonts w:ascii="Times New Roman" w:hAnsi="Times New Roman"/>
                <w:b/>
                <w:bCs/>
                <w:iCs/>
                <w:sz w:val="18"/>
                <w:szCs w:val="18"/>
              </w:rPr>
              <w:t>Kodas</w:t>
            </w:r>
          </w:p>
        </w:tc>
        <w:tc>
          <w:tcPr>
            <w:tcW w:w="6378" w:type="dxa"/>
            <w:shd w:val="clear" w:color="auto" w:fill="EEECE1" w:themeFill="background2"/>
            <w:vAlign w:val="center"/>
          </w:tcPr>
          <w:p w:rsidR="00B30D13" w:rsidRPr="00FD7A80" w:rsidRDefault="00B30D13" w:rsidP="00B30D13">
            <w:pPr>
              <w:widowControl w:val="0"/>
              <w:tabs>
                <w:tab w:val="left" w:pos="622"/>
              </w:tabs>
              <w:spacing w:after="0" w:line="240" w:lineRule="auto"/>
              <w:jc w:val="both"/>
              <w:rPr>
                <w:rFonts w:ascii="Times New Roman" w:hAnsi="Times New Roman"/>
                <w:b/>
                <w:bCs/>
                <w:iCs/>
                <w:sz w:val="18"/>
                <w:szCs w:val="18"/>
              </w:rPr>
            </w:pPr>
            <w:r w:rsidRPr="00FD7A80">
              <w:rPr>
                <w:rFonts w:ascii="Times New Roman" w:hAnsi="Times New Roman"/>
                <w:b/>
                <w:bCs/>
                <w:iCs/>
                <w:sz w:val="18"/>
                <w:szCs w:val="18"/>
              </w:rPr>
              <w:t>Pavadinimas</w:t>
            </w:r>
          </w:p>
        </w:tc>
        <w:tc>
          <w:tcPr>
            <w:tcW w:w="1843" w:type="dxa"/>
            <w:shd w:val="clear" w:color="auto" w:fill="EEECE1" w:themeFill="background2"/>
            <w:vAlign w:val="center"/>
          </w:tcPr>
          <w:p w:rsidR="00B30D13" w:rsidRPr="00FD7A80" w:rsidRDefault="00B30D13" w:rsidP="00B30D13">
            <w:pPr>
              <w:widowControl w:val="0"/>
              <w:tabs>
                <w:tab w:val="left" w:pos="622"/>
              </w:tabs>
              <w:spacing w:after="0" w:line="240" w:lineRule="auto"/>
              <w:jc w:val="center"/>
              <w:rPr>
                <w:rFonts w:ascii="Times New Roman" w:hAnsi="Times New Roman"/>
                <w:b/>
                <w:bCs/>
                <w:iCs/>
                <w:sz w:val="18"/>
                <w:szCs w:val="18"/>
              </w:rPr>
            </w:pPr>
            <w:r w:rsidRPr="00FD7A80">
              <w:rPr>
                <w:rFonts w:ascii="Times New Roman" w:hAnsi="Times New Roman"/>
                <w:b/>
                <w:bCs/>
                <w:iCs/>
                <w:sz w:val="18"/>
                <w:szCs w:val="18"/>
              </w:rPr>
              <w:t>Finansinė proporcija (eurais)</w:t>
            </w:r>
          </w:p>
        </w:tc>
      </w:tr>
      <w:tr w:rsidR="00B30D13" w:rsidRPr="00FD7A80" w:rsidTr="00EB437C">
        <w:tc>
          <w:tcPr>
            <w:tcW w:w="851" w:type="dxa"/>
            <w:shd w:val="clear" w:color="auto" w:fill="auto"/>
            <w:vAlign w:val="center"/>
          </w:tcPr>
          <w:p w:rsidR="00B30D13" w:rsidRPr="00FD7A80" w:rsidRDefault="00B30D13" w:rsidP="00B30D13">
            <w:pPr>
              <w:widowControl w:val="0"/>
              <w:tabs>
                <w:tab w:val="left" w:pos="622"/>
              </w:tabs>
              <w:spacing w:after="0" w:line="240" w:lineRule="auto"/>
              <w:rPr>
                <w:rFonts w:ascii="Times New Roman" w:eastAsia="AngsanaUPC" w:hAnsi="Times New Roman"/>
                <w:bCs/>
                <w:sz w:val="18"/>
                <w:szCs w:val="18"/>
                <w:lang w:eastAsia="lt-LT"/>
              </w:rPr>
            </w:pPr>
            <w:r w:rsidRPr="00FD7A80">
              <w:rPr>
                <w:rFonts w:ascii="Times New Roman" w:eastAsia="AngsanaUPC" w:hAnsi="Times New Roman"/>
                <w:bCs/>
                <w:sz w:val="18"/>
                <w:szCs w:val="18"/>
                <w:lang w:eastAsia="lt-LT"/>
              </w:rPr>
              <w:t>ESF</w:t>
            </w:r>
          </w:p>
        </w:tc>
        <w:tc>
          <w:tcPr>
            <w:tcW w:w="709" w:type="dxa"/>
            <w:shd w:val="clear" w:color="auto" w:fill="auto"/>
            <w:vAlign w:val="center"/>
          </w:tcPr>
          <w:p w:rsidR="00B30D13" w:rsidRPr="00FD7A80" w:rsidRDefault="00B30D13" w:rsidP="00B30D13">
            <w:pPr>
              <w:widowControl w:val="0"/>
              <w:tabs>
                <w:tab w:val="left" w:pos="622"/>
              </w:tabs>
              <w:spacing w:after="0" w:line="240" w:lineRule="auto"/>
              <w:rPr>
                <w:rFonts w:ascii="Times New Roman" w:eastAsia="AngsanaUPC" w:hAnsi="Times New Roman"/>
                <w:bCs/>
                <w:sz w:val="18"/>
                <w:szCs w:val="18"/>
                <w:lang w:eastAsia="lt-LT"/>
              </w:rPr>
            </w:pPr>
            <w:r w:rsidRPr="00FD7A80">
              <w:rPr>
                <w:rFonts w:ascii="Times New Roman" w:eastAsia="AngsanaUPC" w:hAnsi="Times New Roman"/>
                <w:bCs/>
                <w:sz w:val="18"/>
                <w:szCs w:val="18"/>
                <w:lang w:eastAsia="lt-LT"/>
              </w:rPr>
              <w:t>07</w:t>
            </w:r>
          </w:p>
        </w:tc>
        <w:tc>
          <w:tcPr>
            <w:tcW w:w="6378" w:type="dxa"/>
            <w:shd w:val="clear" w:color="auto" w:fill="auto"/>
            <w:vAlign w:val="center"/>
          </w:tcPr>
          <w:p w:rsidR="00B30D13" w:rsidRPr="00FD7A80" w:rsidRDefault="00B30D13" w:rsidP="00B30D13">
            <w:pPr>
              <w:widowControl w:val="0"/>
              <w:tabs>
                <w:tab w:val="left" w:pos="622"/>
              </w:tabs>
              <w:spacing w:after="0" w:line="240" w:lineRule="auto"/>
              <w:jc w:val="both"/>
              <w:rPr>
                <w:rFonts w:ascii="Times New Roman" w:hAnsi="Times New Roman"/>
                <w:bCs/>
                <w:iCs/>
                <w:sz w:val="18"/>
                <w:szCs w:val="18"/>
              </w:rPr>
            </w:pPr>
            <w:r w:rsidRPr="00FD7A80">
              <w:rPr>
                <w:rFonts w:ascii="Times New Roman" w:eastAsia="AngsanaUPC" w:hAnsi="Times New Roman"/>
                <w:bCs/>
                <w:sz w:val="18"/>
                <w:szCs w:val="18"/>
                <w:lang w:eastAsia="lt-LT"/>
              </w:rPr>
              <w:t>Netaikoma</w:t>
            </w:r>
          </w:p>
        </w:tc>
        <w:tc>
          <w:tcPr>
            <w:tcW w:w="1843" w:type="dxa"/>
            <w:shd w:val="clear" w:color="auto" w:fill="auto"/>
            <w:vAlign w:val="center"/>
          </w:tcPr>
          <w:p w:rsidR="00B30D13" w:rsidRPr="00EB437C" w:rsidRDefault="00EB437C" w:rsidP="00B30D13">
            <w:pPr>
              <w:widowControl w:val="0"/>
              <w:tabs>
                <w:tab w:val="left" w:pos="622"/>
              </w:tabs>
              <w:spacing w:after="0" w:line="240" w:lineRule="auto"/>
              <w:jc w:val="right"/>
              <w:rPr>
                <w:rFonts w:ascii="Times New Roman" w:eastAsia="AngsanaUPC" w:hAnsi="Times New Roman"/>
                <w:bCs/>
                <w:sz w:val="18"/>
                <w:szCs w:val="18"/>
                <w:lang w:eastAsia="lt-LT"/>
              </w:rPr>
            </w:pPr>
            <w:r w:rsidRPr="00EB437C">
              <w:rPr>
                <w:rFonts w:ascii="Times New Roman" w:eastAsia="AngsanaUPC" w:hAnsi="Times New Roman"/>
                <w:bCs/>
                <w:iCs/>
                <w:sz w:val="18"/>
                <w:szCs w:val="18"/>
                <w:lang w:eastAsia="lt-LT"/>
              </w:rPr>
              <w:t>46.000.000</w:t>
            </w:r>
          </w:p>
        </w:tc>
      </w:tr>
    </w:tbl>
    <w:p w:rsidR="00B30D13" w:rsidRPr="00FD7A80" w:rsidRDefault="00B30D13" w:rsidP="00254EEE">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09"/>
        <w:gridCol w:w="6378"/>
        <w:gridCol w:w="1808"/>
      </w:tblGrid>
      <w:tr w:rsidR="00D97B9B" w:rsidRPr="00FD7A80" w:rsidTr="008F339D">
        <w:tc>
          <w:tcPr>
            <w:tcW w:w="9746" w:type="dxa"/>
            <w:gridSpan w:val="4"/>
            <w:shd w:val="clear" w:color="auto" w:fill="EEECE1" w:themeFill="background2"/>
          </w:tcPr>
          <w:p w:rsidR="00D97B9B" w:rsidRPr="00FD7A80" w:rsidRDefault="00D97B9B" w:rsidP="00D97B9B">
            <w:pPr>
              <w:widowControl w:val="0"/>
              <w:tabs>
                <w:tab w:val="left" w:pos="622"/>
              </w:tabs>
              <w:spacing w:after="0" w:line="240" w:lineRule="auto"/>
              <w:jc w:val="both"/>
              <w:rPr>
                <w:rFonts w:ascii="Times New Roman" w:hAnsi="Times New Roman"/>
                <w:b/>
                <w:i/>
                <w:iCs/>
                <w:sz w:val="18"/>
                <w:szCs w:val="18"/>
              </w:rPr>
            </w:pPr>
            <w:r w:rsidRPr="00FD7A80">
              <w:rPr>
                <w:rFonts w:ascii="Times New Roman" w:hAnsi="Times New Roman"/>
                <w:b/>
                <w:bCs/>
                <w:i/>
                <w:iCs/>
                <w:sz w:val="18"/>
                <w:szCs w:val="18"/>
              </w:rPr>
              <w:t>ESF antrinė tema</w:t>
            </w:r>
          </w:p>
        </w:tc>
      </w:tr>
      <w:tr w:rsidR="00D97B9B" w:rsidRPr="00FD7A80" w:rsidTr="008F339D">
        <w:trPr>
          <w:trHeight w:val="550"/>
        </w:trPr>
        <w:tc>
          <w:tcPr>
            <w:tcW w:w="851" w:type="dxa"/>
            <w:shd w:val="clear" w:color="auto" w:fill="EEECE1" w:themeFill="background2"/>
            <w:vAlign w:val="center"/>
          </w:tcPr>
          <w:p w:rsidR="00D97B9B" w:rsidRPr="00FD7A80" w:rsidRDefault="00D97B9B" w:rsidP="00D97B9B">
            <w:pPr>
              <w:widowControl w:val="0"/>
              <w:tabs>
                <w:tab w:val="left" w:pos="622"/>
              </w:tabs>
              <w:spacing w:after="0" w:line="240" w:lineRule="auto"/>
              <w:jc w:val="both"/>
              <w:rPr>
                <w:rFonts w:ascii="Times New Roman" w:hAnsi="Times New Roman"/>
                <w:b/>
                <w:bCs/>
                <w:iCs/>
                <w:sz w:val="18"/>
                <w:szCs w:val="18"/>
              </w:rPr>
            </w:pPr>
            <w:r w:rsidRPr="00FD7A80">
              <w:rPr>
                <w:rFonts w:ascii="Times New Roman" w:hAnsi="Times New Roman"/>
                <w:b/>
                <w:bCs/>
                <w:iCs/>
                <w:sz w:val="18"/>
                <w:szCs w:val="18"/>
              </w:rPr>
              <w:t>Fondas</w:t>
            </w:r>
          </w:p>
        </w:tc>
        <w:tc>
          <w:tcPr>
            <w:tcW w:w="709" w:type="dxa"/>
            <w:shd w:val="clear" w:color="auto" w:fill="EEECE1" w:themeFill="background2"/>
            <w:vAlign w:val="center"/>
          </w:tcPr>
          <w:p w:rsidR="00D97B9B" w:rsidRPr="00FD7A80" w:rsidRDefault="00D97B9B" w:rsidP="00D97B9B">
            <w:pPr>
              <w:widowControl w:val="0"/>
              <w:tabs>
                <w:tab w:val="left" w:pos="622"/>
              </w:tabs>
              <w:spacing w:after="0" w:line="240" w:lineRule="auto"/>
              <w:jc w:val="both"/>
              <w:rPr>
                <w:rFonts w:ascii="Times New Roman" w:hAnsi="Times New Roman"/>
                <w:b/>
                <w:bCs/>
                <w:iCs/>
                <w:sz w:val="18"/>
                <w:szCs w:val="18"/>
              </w:rPr>
            </w:pPr>
            <w:r w:rsidRPr="00FD7A80">
              <w:rPr>
                <w:rFonts w:ascii="Times New Roman" w:hAnsi="Times New Roman"/>
                <w:b/>
                <w:bCs/>
                <w:iCs/>
                <w:sz w:val="18"/>
                <w:szCs w:val="18"/>
              </w:rPr>
              <w:t>Kodas</w:t>
            </w:r>
          </w:p>
        </w:tc>
        <w:tc>
          <w:tcPr>
            <w:tcW w:w="6378" w:type="dxa"/>
            <w:shd w:val="clear" w:color="auto" w:fill="EEECE1" w:themeFill="background2"/>
            <w:vAlign w:val="center"/>
          </w:tcPr>
          <w:p w:rsidR="00D97B9B" w:rsidRPr="00FD7A80" w:rsidRDefault="00D97B9B" w:rsidP="00D97B9B">
            <w:pPr>
              <w:widowControl w:val="0"/>
              <w:tabs>
                <w:tab w:val="left" w:pos="622"/>
              </w:tabs>
              <w:spacing w:after="0" w:line="240" w:lineRule="auto"/>
              <w:jc w:val="both"/>
              <w:rPr>
                <w:rFonts w:ascii="Times New Roman" w:hAnsi="Times New Roman"/>
                <w:b/>
                <w:bCs/>
                <w:iCs/>
                <w:sz w:val="18"/>
                <w:szCs w:val="18"/>
              </w:rPr>
            </w:pPr>
            <w:r w:rsidRPr="00FD7A80">
              <w:rPr>
                <w:rFonts w:ascii="Times New Roman" w:hAnsi="Times New Roman"/>
                <w:b/>
                <w:bCs/>
                <w:iCs/>
                <w:sz w:val="18"/>
                <w:szCs w:val="18"/>
              </w:rPr>
              <w:t>Pavadinimas</w:t>
            </w:r>
          </w:p>
        </w:tc>
        <w:tc>
          <w:tcPr>
            <w:tcW w:w="1808" w:type="dxa"/>
            <w:shd w:val="clear" w:color="auto" w:fill="EEECE1" w:themeFill="background2"/>
            <w:vAlign w:val="center"/>
          </w:tcPr>
          <w:p w:rsidR="00D97B9B" w:rsidRPr="00FD7A80" w:rsidRDefault="00D97B9B" w:rsidP="00D97B9B">
            <w:pPr>
              <w:widowControl w:val="0"/>
              <w:tabs>
                <w:tab w:val="left" w:pos="622"/>
              </w:tabs>
              <w:spacing w:after="0" w:line="240" w:lineRule="auto"/>
              <w:jc w:val="center"/>
              <w:rPr>
                <w:rFonts w:ascii="Times New Roman" w:hAnsi="Times New Roman"/>
                <w:b/>
                <w:bCs/>
                <w:iCs/>
                <w:sz w:val="18"/>
                <w:szCs w:val="18"/>
              </w:rPr>
            </w:pPr>
            <w:r w:rsidRPr="00FD7A80">
              <w:rPr>
                <w:rFonts w:ascii="Times New Roman" w:hAnsi="Times New Roman"/>
                <w:b/>
                <w:bCs/>
                <w:iCs/>
                <w:sz w:val="18"/>
                <w:szCs w:val="18"/>
              </w:rPr>
              <w:t>Finansinė proporcija (eurais)</w:t>
            </w:r>
          </w:p>
        </w:tc>
      </w:tr>
      <w:tr w:rsidR="00D97B9B" w:rsidRPr="00FD7A80" w:rsidTr="008F339D">
        <w:tc>
          <w:tcPr>
            <w:tcW w:w="851" w:type="dxa"/>
            <w:shd w:val="clear" w:color="auto" w:fill="auto"/>
            <w:vAlign w:val="center"/>
          </w:tcPr>
          <w:p w:rsidR="00D97B9B" w:rsidRPr="00FD7A80" w:rsidRDefault="00D97B9B" w:rsidP="00D97B9B">
            <w:pPr>
              <w:widowControl w:val="0"/>
              <w:tabs>
                <w:tab w:val="left" w:pos="622"/>
              </w:tabs>
              <w:spacing w:after="0" w:line="240" w:lineRule="auto"/>
              <w:rPr>
                <w:rFonts w:ascii="Times New Roman" w:eastAsia="AngsanaUPC" w:hAnsi="Times New Roman"/>
                <w:bCs/>
                <w:sz w:val="18"/>
                <w:szCs w:val="18"/>
                <w:lang w:eastAsia="lt-LT"/>
              </w:rPr>
            </w:pPr>
            <w:r w:rsidRPr="00FD7A80">
              <w:rPr>
                <w:rFonts w:ascii="Times New Roman" w:eastAsia="AngsanaUPC" w:hAnsi="Times New Roman"/>
                <w:bCs/>
                <w:sz w:val="18"/>
                <w:szCs w:val="18"/>
                <w:lang w:eastAsia="lt-LT"/>
              </w:rPr>
              <w:t>ESF</w:t>
            </w:r>
          </w:p>
        </w:tc>
        <w:tc>
          <w:tcPr>
            <w:tcW w:w="709" w:type="dxa"/>
            <w:shd w:val="clear" w:color="auto" w:fill="auto"/>
            <w:vAlign w:val="center"/>
          </w:tcPr>
          <w:p w:rsidR="00D97B9B" w:rsidRPr="00FD7A80" w:rsidRDefault="00D97B9B" w:rsidP="00D97B9B">
            <w:pPr>
              <w:widowControl w:val="0"/>
              <w:tabs>
                <w:tab w:val="left" w:pos="622"/>
              </w:tabs>
              <w:spacing w:after="0" w:line="240" w:lineRule="auto"/>
              <w:rPr>
                <w:rFonts w:ascii="Times New Roman" w:eastAsia="AngsanaUPC" w:hAnsi="Times New Roman"/>
                <w:bCs/>
                <w:sz w:val="18"/>
                <w:szCs w:val="18"/>
                <w:lang w:eastAsia="lt-LT"/>
              </w:rPr>
            </w:pPr>
            <w:r w:rsidRPr="00FD7A80">
              <w:rPr>
                <w:rFonts w:ascii="Times New Roman" w:eastAsia="AngsanaUPC" w:hAnsi="Times New Roman"/>
                <w:bCs/>
                <w:sz w:val="18"/>
                <w:szCs w:val="18"/>
                <w:lang w:eastAsia="lt-LT"/>
              </w:rPr>
              <w:t>08</w:t>
            </w:r>
          </w:p>
        </w:tc>
        <w:tc>
          <w:tcPr>
            <w:tcW w:w="6378" w:type="dxa"/>
            <w:shd w:val="clear" w:color="auto" w:fill="auto"/>
            <w:vAlign w:val="center"/>
          </w:tcPr>
          <w:p w:rsidR="00D97B9B" w:rsidRPr="00FD7A80" w:rsidRDefault="00D97B9B" w:rsidP="00D97B9B">
            <w:pPr>
              <w:widowControl w:val="0"/>
              <w:tabs>
                <w:tab w:val="left" w:pos="622"/>
              </w:tabs>
              <w:spacing w:after="0" w:line="240" w:lineRule="auto"/>
              <w:jc w:val="both"/>
              <w:rPr>
                <w:rFonts w:ascii="Times New Roman" w:hAnsi="Times New Roman"/>
                <w:bCs/>
                <w:iCs/>
                <w:sz w:val="18"/>
                <w:szCs w:val="18"/>
              </w:rPr>
            </w:pPr>
            <w:r w:rsidRPr="00FD7A80">
              <w:rPr>
                <w:rFonts w:ascii="Times New Roman" w:eastAsia="AngsanaUPC" w:hAnsi="Times New Roman"/>
                <w:bCs/>
                <w:sz w:val="18"/>
                <w:szCs w:val="18"/>
                <w:lang w:eastAsia="lt-LT"/>
              </w:rPr>
              <w:t>Netaikoma</w:t>
            </w:r>
          </w:p>
        </w:tc>
        <w:tc>
          <w:tcPr>
            <w:tcW w:w="1808" w:type="dxa"/>
            <w:shd w:val="clear" w:color="auto" w:fill="auto"/>
            <w:vAlign w:val="center"/>
          </w:tcPr>
          <w:p w:rsidR="00D97B9B" w:rsidRPr="00EB437C" w:rsidRDefault="00EB437C" w:rsidP="00D97B9B">
            <w:pPr>
              <w:widowControl w:val="0"/>
              <w:tabs>
                <w:tab w:val="left" w:pos="622"/>
              </w:tabs>
              <w:spacing w:after="0" w:line="240" w:lineRule="auto"/>
              <w:jc w:val="right"/>
              <w:rPr>
                <w:rFonts w:ascii="Times New Roman" w:eastAsia="AngsanaUPC" w:hAnsi="Times New Roman"/>
                <w:bCs/>
                <w:sz w:val="18"/>
                <w:szCs w:val="18"/>
                <w:lang w:eastAsia="lt-LT"/>
              </w:rPr>
            </w:pPr>
            <w:r w:rsidRPr="00EB437C">
              <w:rPr>
                <w:rFonts w:ascii="Times New Roman" w:eastAsia="AngsanaUPC" w:hAnsi="Times New Roman"/>
                <w:bCs/>
                <w:iCs/>
                <w:sz w:val="18"/>
                <w:szCs w:val="18"/>
                <w:lang w:eastAsia="lt-LT"/>
              </w:rPr>
              <w:t>46.000.000</w:t>
            </w:r>
          </w:p>
        </w:tc>
      </w:tr>
    </w:tbl>
    <w:p w:rsidR="00AC5C35" w:rsidRPr="00FD7A80" w:rsidRDefault="00AC5C35" w:rsidP="00AC5C35">
      <w:pPr>
        <w:widowControl w:val="0"/>
        <w:tabs>
          <w:tab w:val="left" w:pos="622"/>
        </w:tabs>
        <w:spacing w:after="0" w:line="240" w:lineRule="auto"/>
        <w:jc w:val="both"/>
        <w:rPr>
          <w:rFonts w:ascii="Times New Roman" w:eastAsia="AngsanaUPC" w:hAnsi="Times New Roman"/>
          <w:bCs/>
          <w:sz w:val="20"/>
          <w:szCs w:val="20"/>
          <w:lang w:eastAsia="lt-LT"/>
        </w:rPr>
      </w:pPr>
    </w:p>
    <w:p w:rsidR="00E70675" w:rsidRDefault="00E70675" w:rsidP="00E70675">
      <w:pPr>
        <w:widowControl w:val="0"/>
        <w:tabs>
          <w:tab w:val="left" w:pos="622"/>
        </w:tabs>
        <w:spacing w:after="0" w:line="240" w:lineRule="auto"/>
        <w:jc w:val="both"/>
        <w:rPr>
          <w:rFonts w:ascii="Times New Roman" w:eastAsia="AngsanaUPC" w:hAnsi="Times New Roman"/>
          <w:b/>
          <w:bCs/>
          <w:sz w:val="24"/>
          <w:szCs w:val="24"/>
          <w:lang w:eastAsia="lt-LT"/>
        </w:rPr>
        <w:sectPr w:rsidR="00E70675" w:rsidSect="00D97B9B">
          <w:pgSz w:w="11906" w:h="16838" w:code="9"/>
          <w:pgMar w:top="1701" w:right="567" w:bottom="1134" w:left="1701" w:header="567" w:footer="567" w:gutter="0"/>
          <w:cols w:space="1296"/>
          <w:docGrid w:linePitch="360"/>
        </w:sect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9"/>
      </w:tblGrid>
      <w:tr w:rsidR="004D66BA" w:rsidRPr="00E70675" w:rsidTr="00D85A72">
        <w:trPr>
          <w:trHeight w:val="416"/>
        </w:trPr>
        <w:tc>
          <w:tcPr>
            <w:tcW w:w="14709" w:type="dxa"/>
            <w:shd w:val="clear" w:color="auto" w:fill="C6D9F1"/>
            <w:vAlign w:val="center"/>
          </w:tcPr>
          <w:p w:rsidR="004D66BA" w:rsidRPr="00372DA9" w:rsidRDefault="004D66BA" w:rsidP="00E73FE1">
            <w:pPr>
              <w:pStyle w:val="Antrat1"/>
              <w:rPr>
                <w:rFonts w:eastAsia="AngsanaUPC"/>
                <w:lang w:val="lt-LT" w:eastAsia="lt-LT"/>
              </w:rPr>
            </w:pPr>
            <w:bookmarkStart w:id="19" w:name="_Toc69836234"/>
            <w:r w:rsidRPr="00372DA9">
              <w:rPr>
                <w:rFonts w:eastAsia="AngsanaUPC"/>
                <w:lang w:val="lt-LT" w:eastAsia="lt-LT"/>
              </w:rPr>
              <w:lastRenderedPageBreak/>
              <w:t>3. SK</w:t>
            </w:r>
            <w:r w:rsidR="00E73FE1">
              <w:rPr>
                <w:rFonts w:eastAsia="AngsanaUPC"/>
                <w:lang w:val="lt-LT" w:eastAsia="lt-LT"/>
              </w:rPr>
              <w:t>IRSNI</w:t>
            </w:r>
            <w:r w:rsidRPr="00372DA9">
              <w:rPr>
                <w:rFonts w:eastAsia="AngsanaUPC"/>
                <w:lang w:val="lt-LT" w:eastAsia="lt-LT"/>
              </w:rPr>
              <w:t>S. VEIKSMŲ PROGRAMOS FINANSAVIMO PLANAS</w:t>
            </w:r>
            <w:bookmarkEnd w:id="19"/>
          </w:p>
        </w:tc>
      </w:tr>
    </w:tbl>
    <w:p w:rsidR="00E70675" w:rsidRPr="00E70675" w:rsidRDefault="00E70675" w:rsidP="00E70675">
      <w:pPr>
        <w:widowControl w:val="0"/>
        <w:tabs>
          <w:tab w:val="left" w:pos="622"/>
        </w:tabs>
        <w:spacing w:after="0" w:line="240" w:lineRule="auto"/>
        <w:jc w:val="both"/>
        <w:rPr>
          <w:rFonts w:ascii="Times New Roman" w:eastAsia="AngsanaUPC" w:hAnsi="Times New Roman"/>
          <w:b/>
          <w:bCs/>
          <w:sz w:val="24"/>
          <w:szCs w:val="24"/>
          <w:lang w:eastAsia="lt-LT"/>
        </w:rPr>
      </w:pPr>
    </w:p>
    <w:p w:rsidR="00E70675" w:rsidRPr="00DE7193" w:rsidRDefault="00837AE7" w:rsidP="00E70675">
      <w:pPr>
        <w:widowControl w:val="0"/>
        <w:tabs>
          <w:tab w:val="left" w:pos="622"/>
        </w:tabs>
        <w:spacing w:after="0" w:line="240" w:lineRule="auto"/>
        <w:jc w:val="both"/>
        <w:rPr>
          <w:rFonts w:ascii="Times New Roman" w:eastAsia="AngsanaUPC" w:hAnsi="Times New Roman"/>
          <w:bCs/>
          <w:szCs w:val="24"/>
          <w:lang w:eastAsia="lt-LT"/>
        </w:rPr>
      </w:pPr>
      <w:r w:rsidRPr="00E73FE1">
        <w:rPr>
          <w:rFonts w:ascii="Times New Roman" w:eastAsia="AngsanaUPC" w:hAnsi="Times New Roman"/>
          <w:bCs/>
          <w:i/>
          <w:szCs w:val="24"/>
          <w:lang w:eastAsia="lt-LT"/>
        </w:rPr>
        <w:t>3 lentelė.</w:t>
      </w:r>
      <w:r w:rsidRPr="00DE7193">
        <w:rPr>
          <w:rFonts w:ascii="Times New Roman" w:eastAsia="AngsanaUPC" w:hAnsi="Times New Roman"/>
          <w:b/>
          <w:bCs/>
          <w:szCs w:val="24"/>
          <w:lang w:eastAsia="lt-LT"/>
        </w:rPr>
        <w:t xml:space="preserve"> </w:t>
      </w:r>
      <w:r w:rsidR="00E70675" w:rsidRPr="00E73FE1">
        <w:rPr>
          <w:rFonts w:ascii="Times New Roman" w:eastAsia="AngsanaUPC" w:hAnsi="Times New Roman"/>
          <w:b/>
          <w:bCs/>
          <w:szCs w:val="24"/>
          <w:lang w:eastAsia="lt-LT"/>
        </w:rPr>
        <w:t>Bendra finansinių asignavimų suma numatyta pagal kiekvieną fondą</w:t>
      </w:r>
      <w:r w:rsidR="003E0F8A" w:rsidRPr="00E73FE1">
        <w:rPr>
          <w:rFonts w:ascii="Times New Roman" w:eastAsia="AngsanaUPC" w:hAnsi="Times New Roman"/>
          <w:b/>
          <w:bCs/>
          <w:szCs w:val="24"/>
          <w:lang w:eastAsia="lt-LT"/>
        </w:rPr>
        <w:t xml:space="preserve"> (eurais)</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134"/>
        <w:gridCol w:w="1395"/>
        <w:gridCol w:w="1582"/>
        <w:gridCol w:w="1502"/>
        <w:gridCol w:w="1616"/>
        <w:gridCol w:w="1469"/>
        <w:gridCol w:w="1508"/>
        <w:gridCol w:w="1576"/>
        <w:gridCol w:w="1543"/>
      </w:tblGrid>
      <w:tr w:rsidR="008B4B55" w:rsidRPr="00E70675" w:rsidTr="00D772B1">
        <w:trPr>
          <w:trHeight w:val="315"/>
        </w:trPr>
        <w:tc>
          <w:tcPr>
            <w:tcW w:w="1384" w:type="dxa"/>
            <w:shd w:val="clear" w:color="auto" w:fill="EEECE1"/>
            <w:noWrap/>
            <w:vAlign w:val="center"/>
            <w:hideMark/>
          </w:tcPr>
          <w:p w:rsidR="008B4B55" w:rsidRPr="00907F47" w:rsidRDefault="008B4B55" w:rsidP="00907F47">
            <w:pPr>
              <w:widowControl w:val="0"/>
              <w:tabs>
                <w:tab w:val="left" w:pos="622"/>
              </w:tabs>
              <w:spacing w:after="0" w:line="240" w:lineRule="auto"/>
              <w:jc w:val="center"/>
              <w:rPr>
                <w:rFonts w:ascii="Times New Roman" w:eastAsia="AngsanaUPC" w:hAnsi="Times New Roman"/>
                <w:b/>
                <w:bCs/>
                <w:sz w:val="20"/>
                <w:szCs w:val="20"/>
                <w:lang w:eastAsia="lt-LT"/>
              </w:rPr>
            </w:pPr>
            <w:r w:rsidRPr="00907F47">
              <w:rPr>
                <w:rFonts w:ascii="Times New Roman" w:eastAsia="AngsanaUPC" w:hAnsi="Times New Roman"/>
                <w:b/>
                <w:bCs/>
                <w:sz w:val="20"/>
                <w:szCs w:val="20"/>
                <w:lang w:eastAsia="lt-LT"/>
              </w:rPr>
              <w:t>Fondas</w:t>
            </w:r>
          </w:p>
        </w:tc>
        <w:tc>
          <w:tcPr>
            <w:tcW w:w="1134" w:type="dxa"/>
            <w:shd w:val="clear" w:color="auto" w:fill="EEECE1"/>
            <w:vAlign w:val="center"/>
          </w:tcPr>
          <w:p w:rsidR="008B4B55" w:rsidRPr="00907F47" w:rsidRDefault="008B4B55" w:rsidP="00907F47">
            <w:pPr>
              <w:widowControl w:val="0"/>
              <w:tabs>
                <w:tab w:val="left" w:pos="622"/>
              </w:tabs>
              <w:spacing w:after="0" w:line="240" w:lineRule="auto"/>
              <w:jc w:val="center"/>
              <w:rPr>
                <w:rFonts w:ascii="Times New Roman" w:eastAsia="AngsanaUPC" w:hAnsi="Times New Roman"/>
                <w:b/>
                <w:bCs/>
                <w:sz w:val="20"/>
                <w:szCs w:val="20"/>
                <w:lang w:eastAsia="lt-LT"/>
              </w:rPr>
            </w:pPr>
            <w:r w:rsidRPr="00907F47">
              <w:rPr>
                <w:rFonts w:ascii="Times New Roman" w:eastAsia="AngsanaUPC" w:hAnsi="Times New Roman"/>
                <w:b/>
                <w:bCs/>
                <w:sz w:val="20"/>
                <w:szCs w:val="20"/>
                <w:lang w:eastAsia="lt-LT"/>
              </w:rPr>
              <w:t>Regiono kategorija</w:t>
            </w:r>
          </w:p>
        </w:tc>
        <w:tc>
          <w:tcPr>
            <w:tcW w:w="2977" w:type="dxa"/>
            <w:gridSpan w:val="2"/>
            <w:shd w:val="clear" w:color="auto" w:fill="EEECE1"/>
            <w:noWrap/>
            <w:vAlign w:val="center"/>
            <w:hideMark/>
          </w:tcPr>
          <w:p w:rsidR="008B4B55" w:rsidRPr="00907F47" w:rsidRDefault="008B4B55" w:rsidP="00907F47">
            <w:pPr>
              <w:widowControl w:val="0"/>
              <w:tabs>
                <w:tab w:val="left" w:pos="622"/>
              </w:tabs>
              <w:spacing w:after="0" w:line="240" w:lineRule="auto"/>
              <w:jc w:val="center"/>
              <w:rPr>
                <w:rFonts w:ascii="Times New Roman" w:eastAsia="AngsanaUPC" w:hAnsi="Times New Roman"/>
                <w:b/>
                <w:bCs/>
                <w:lang w:eastAsia="lt-LT"/>
              </w:rPr>
            </w:pPr>
            <w:r w:rsidRPr="00907F47">
              <w:rPr>
                <w:rFonts w:ascii="Times New Roman" w:eastAsia="AngsanaUPC" w:hAnsi="Times New Roman"/>
                <w:b/>
                <w:bCs/>
                <w:lang w:eastAsia="lt-LT"/>
              </w:rPr>
              <w:t>2014</w:t>
            </w:r>
          </w:p>
        </w:tc>
        <w:tc>
          <w:tcPr>
            <w:tcW w:w="3118" w:type="dxa"/>
            <w:gridSpan w:val="2"/>
            <w:shd w:val="clear" w:color="auto" w:fill="EEECE1"/>
            <w:noWrap/>
            <w:vAlign w:val="center"/>
            <w:hideMark/>
          </w:tcPr>
          <w:p w:rsidR="008B4B55" w:rsidRPr="00907F47" w:rsidRDefault="008B4B55" w:rsidP="00907F47">
            <w:pPr>
              <w:widowControl w:val="0"/>
              <w:tabs>
                <w:tab w:val="left" w:pos="622"/>
              </w:tabs>
              <w:spacing w:after="0" w:line="240" w:lineRule="auto"/>
              <w:jc w:val="center"/>
              <w:rPr>
                <w:rFonts w:ascii="Times New Roman" w:eastAsia="AngsanaUPC" w:hAnsi="Times New Roman"/>
                <w:b/>
                <w:bCs/>
                <w:lang w:eastAsia="lt-LT"/>
              </w:rPr>
            </w:pPr>
            <w:r w:rsidRPr="00907F47">
              <w:rPr>
                <w:rFonts w:ascii="Times New Roman" w:eastAsia="AngsanaUPC" w:hAnsi="Times New Roman"/>
                <w:b/>
                <w:bCs/>
                <w:lang w:eastAsia="lt-LT"/>
              </w:rPr>
              <w:t>2015</w:t>
            </w:r>
          </w:p>
        </w:tc>
        <w:tc>
          <w:tcPr>
            <w:tcW w:w="2977" w:type="dxa"/>
            <w:gridSpan w:val="2"/>
            <w:shd w:val="clear" w:color="auto" w:fill="EEECE1"/>
            <w:noWrap/>
            <w:vAlign w:val="center"/>
            <w:hideMark/>
          </w:tcPr>
          <w:p w:rsidR="008B4B55" w:rsidRPr="00907F47" w:rsidRDefault="008B4B55" w:rsidP="00907F47">
            <w:pPr>
              <w:widowControl w:val="0"/>
              <w:tabs>
                <w:tab w:val="left" w:pos="622"/>
              </w:tabs>
              <w:spacing w:after="0" w:line="240" w:lineRule="auto"/>
              <w:jc w:val="center"/>
              <w:rPr>
                <w:rFonts w:ascii="Times New Roman" w:eastAsia="AngsanaUPC" w:hAnsi="Times New Roman"/>
                <w:b/>
                <w:bCs/>
                <w:lang w:eastAsia="lt-LT"/>
              </w:rPr>
            </w:pPr>
            <w:r w:rsidRPr="00907F47">
              <w:rPr>
                <w:rFonts w:ascii="Times New Roman" w:eastAsia="AngsanaUPC" w:hAnsi="Times New Roman"/>
                <w:b/>
                <w:bCs/>
                <w:lang w:eastAsia="lt-LT"/>
              </w:rPr>
              <w:t>2016</w:t>
            </w:r>
          </w:p>
        </w:tc>
        <w:tc>
          <w:tcPr>
            <w:tcW w:w="3119" w:type="dxa"/>
            <w:gridSpan w:val="2"/>
            <w:shd w:val="clear" w:color="auto" w:fill="EEECE1"/>
            <w:noWrap/>
            <w:vAlign w:val="center"/>
            <w:hideMark/>
          </w:tcPr>
          <w:p w:rsidR="008B4B55" w:rsidRPr="00907F47" w:rsidRDefault="008B4B55" w:rsidP="00907F47">
            <w:pPr>
              <w:widowControl w:val="0"/>
              <w:tabs>
                <w:tab w:val="left" w:pos="622"/>
              </w:tabs>
              <w:spacing w:after="0" w:line="240" w:lineRule="auto"/>
              <w:jc w:val="center"/>
              <w:rPr>
                <w:rFonts w:ascii="Times New Roman" w:eastAsia="AngsanaUPC" w:hAnsi="Times New Roman"/>
                <w:b/>
                <w:bCs/>
                <w:lang w:eastAsia="lt-LT"/>
              </w:rPr>
            </w:pPr>
            <w:r w:rsidRPr="00907F47">
              <w:rPr>
                <w:rFonts w:ascii="Times New Roman" w:eastAsia="AngsanaUPC" w:hAnsi="Times New Roman"/>
                <w:b/>
                <w:bCs/>
                <w:lang w:eastAsia="lt-LT"/>
              </w:rPr>
              <w:t>2017</w:t>
            </w:r>
          </w:p>
        </w:tc>
      </w:tr>
      <w:tr w:rsidR="008B4B55" w:rsidRPr="00E70675" w:rsidTr="00D772B1">
        <w:trPr>
          <w:trHeight w:val="300"/>
        </w:trPr>
        <w:tc>
          <w:tcPr>
            <w:tcW w:w="1384" w:type="dxa"/>
            <w:shd w:val="clear" w:color="auto" w:fill="auto"/>
          </w:tcPr>
          <w:p w:rsidR="008B4B55" w:rsidRPr="006F6895" w:rsidRDefault="008B4B55" w:rsidP="00E70675">
            <w:pPr>
              <w:widowControl w:val="0"/>
              <w:tabs>
                <w:tab w:val="left" w:pos="622"/>
              </w:tabs>
              <w:spacing w:after="0" w:line="240" w:lineRule="auto"/>
              <w:jc w:val="both"/>
              <w:rPr>
                <w:rFonts w:ascii="Times New Roman" w:eastAsia="AngsanaUPC" w:hAnsi="Times New Roman"/>
                <w:bCs/>
                <w:i/>
                <w:iCs/>
                <w:sz w:val="20"/>
                <w:szCs w:val="20"/>
                <w:lang w:eastAsia="lt-LT"/>
              </w:rPr>
            </w:pPr>
          </w:p>
        </w:tc>
        <w:tc>
          <w:tcPr>
            <w:tcW w:w="1134" w:type="dxa"/>
          </w:tcPr>
          <w:p w:rsidR="008B4B55" w:rsidRPr="004451CA" w:rsidRDefault="008B4B55" w:rsidP="00CB7E46">
            <w:pPr>
              <w:widowControl w:val="0"/>
              <w:tabs>
                <w:tab w:val="left" w:pos="622"/>
              </w:tabs>
              <w:spacing w:after="0" w:line="240" w:lineRule="auto"/>
              <w:jc w:val="center"/>
              <w:rPr>
                <w:rFonts w:ascii="Times New Roman" w:eastAsia="AngsanaUPC" w:hAnsi="Times New Roman"/>
                <w:bCs/>
                <w:sz w:val="20"/>
                <w:szCs w:val="20"/>
                <w:lang w:eastAsia="lt-LT"/>
              </w:rPr>
            </w:pPr>
          </w:p>
        </w:tc>
        <w:tc>
          <w:tcPr>
            <w:tcW w:w="1395" w:type="dxa"/>
            <w:shd w:val="clear" w:color="auto" w:fill="auto"/>
            <w:noWrap/>
            <w:vAlign w:val="center"/>
          </w:tcPr>
          <w:p w:rsidR="008B4B55" w:rsidRPr="008B4B55" w:rsidRDefault="008B4B55" w:rsidP="00E029A5">
            <w:pPr>
              <w:spacing w:after="0" w:line="240" w:lineRule="auto"/>
              <w:jc w:val="center"/>
              <w:rPr>
                <w:rFonts w:ascii="Times New Roman" w:eastAsia="Times New Roman" w:hAnsi="Times New Roman"/>
                <w:bCs/>
                <w:color w:val="000000"/>
                <w:sz w:val="20"/>
                <w:szCs w:val="20"/>
                <w:lang w:eastAsia="lt-LT"/>
              </w:rPr>
            </w:pPr>
            <w:r w:rsidRPr="008B4B55">
              <w:rPr>
                <w:rFonts w:ascii="Times New Roman" w:eastAsia="Times New Roman" w:hAnsi="Times New Roman"/>
                <w:bCs/>
                <w:color w:val="000000"/>
                <w:sz w:val="20"/>
                <w:szCs w:val="20"/>
                <w:lang w:eastAsia="lt-LT"/>
              </w:rPr>
              <w:t>Asignavimai be rezervo</w:t>
            </w:r>
          </w:p>
        </w:tc>
        <w:tc>
          <w:tcPr>
            <w:tcW w:w="1582" w:type="dxa"/>
            <w:shd w:val="clear" w:color="auto" w:fill="auto"/>
            <w:vAlign w:val="center"/>
          </w:tcPr>
          <w:p w:rsidR="008B4B55" w:rsidRPr="008B4B55" w:rsidRDefault="008B4B55" w:rsidP="00E029A5">
            <w:pPr>
              <w:spacing w:after="0" w:line="240" w:lineRule="auto"/>
              <w:jc w:val="center"/>
              <w:rPr>
                <w:rFonts w:ascii="Times New Roman" w:eastAsia="Times New Roman" w:hAnsi="Times New Roman"/>
                <w:bCs/>
                <w:color w:val="000000"/>
                <w:sz w:val="20"/>
                <w:szCs w:val="20"/>
                <w:lang w:eastAsia="lt-LT"/>
              </w:rPr>
            </w:pPr>
            <w:r w:rsidRPr="008B4B55">
              <w:rPr>
                <w:rFonts w:ascii="Times New Roman" w:eastAsia="Times New Roman" w:hAnsi="Times New Roman"/>
                <w:bCs/>
                <w:color w:val="000000"/>
                <w:sz w:val="20"/>
                <w:szCs w:val="20"/>
                <w:lang w:eastAsia="lt-LT"/>
              </w:rPr>
              <w:t>Veiklos rezervas</w:t>
            </w:r>
          </w:p>
        </w:tc>
        <w:tc>
          <w:tcPr>
            <w:tcW w:w="1502" w:type="dxa"/>
            <w:shd w:val="clear" w:color="auto" w:fill="auto"/>
            <w:noWrap/>
            <w:vAlign w:val="center"/>
          </w:tcPr>
          <w:p w:rsidR="008B4B55" w:rsidRPr="008B4B55" w:rsidRDefault="008B4B55" w:rsidP="00E029A5">
            <w:pPr>
              <w:spacing w:after="0" w:line="240" w:lineRule="auto"/>
              <w:jc w:val="center"/>
              <w:rPr>
                <w:rFonts w:ascii="Times New Roman" w:eastAsia="Times New Roman" w:hAnsi="Times New Roman"/>
                <w:bCs/>
                <w:color w:val="000000"/>
                <w:sz w:val="20"/>
                <w:szCs w:val="20"/>
                <w:lang w:eastAsia="lt-LT"/>
              </w:rPr>
            </w:pPr>
            <w:r w:rsidRPr="008B4B55">
              <w:rPr>
                <w:rFonts w:ascii="Times New Roman" w:eastAsia="Times New Roman" w:hAnsi="Times New Roman"/>
                <w:bCs/>
                <w:color w:val="000000"/>
                <w:sz w:val="20"/>
                <w:szCs w:val="20"/>
                <w:lang w:eastAsia="lt-LT"/>
              </w:rPr>
              <w:t>Asignavimai be rezervo</w:t>
            </w:r>
          </w:p>
        </w:tc>
        <w:tc>
          <w:tcPr>
            <w:tcW w:w="1616" w:type="dxa"/>
            <w:shd w:val="clear" w:color="auto" w:fill="auto"/>
            <w:vAlign w:val="center"/>
          </w:tcPr>
          <w:p w:rsidR="008B4B55" w:rsidRPr="008B4B55" w:rsidRDefault="008B4B55" w:rsidP="00E029A5">
            <w:pPr>
              <w:spacing w:after="0" w:line="240" w:lineRule="auto"/>
              <w:jc w:val="center"/>
              <w:rPr>
                <w:rFonts w:ascii="Times New Roman" w:eastAsia="Times New Roman" w:hAnsi="Times New Roman"/>
                <w:bCs/>
                <w:color w:val="000000"/>
                <w:sz w:val="20"/>
                <w:szCs w:val="20"/>
                <w:lang w:eastAsia="lt-LT"/>
              </w:rPr>
            </w:pPr>
            <w:r w:rsidRPr="008B4B55">
              <w:rPr>
                <w:rFonts w:ascii="Times New Roman" w:eastAsia="Times New Roman" w:hAnsi="Times New Roman"/>
                <w:bCs/>
                <w:color w:val="000000"/>
                <w:sz w:val="20"/>
                <w:szCs w:val="20"/>
                <w:lang w:eastAsia="lt-LT"/>
              </w:rPr>
              <w:t>Veiklos rezervas</w:t>
            </w:r>
          </w:p>
        </w:tc>
        <w:tc>
          <w:tcPr>
            <w:tcW w:w="1469" w:type="dxa"/>
            <w:shd w:val="clear" w:color="auto" w:fill="auto"/>
            <w:noWrap/>
            <w:vAlign w:val="center"/>
          </w:tcPr>
          <w:p w:rsidR="008B4B55" w:rsidRPr="008B4B55" w:rsidRDefault="008B4B55" w:rsidP="00E029A5">
            <w:pPr>
              <w:spacing w:after="0" w:line="240" w:lineRule="auto"/>
              <w:jc w:val="center"/>
              <w:rPr>
                <w:rFonts w:ascii="Times New Roman" w:eastAsia="Times New Roman" w:hAnsi="Times New Roman"/>
                <w:bCs/>
                <w:color w:val="000000"/>
                <w:sz w:val="20"/>
                <w:szCs w:val="20"/>
                <w:lang w:eastAsia="lt-LT"/>
              </w:rPr>
            </w:pPr>
            <w:r w:rsidRPr="008B4B55">
              <w:rPr>
                <w:rFonts w:ascii="Times New Roman" w:eastAsia="Times New Roman" w:hAnsi="Times New Roman"/>
                <w:bCs/>
                <w:color w:val="000000"/>
                <w:sz w:val="20"/>
                <w:szCs w:val="20"/>
                <w:lang w:eastAsia="lt-LT"/>
              </w:rPr>
              <w:t>Asignavimai be rezervo</w:t>
            </w:r>
          </w:p>
        </w:tc>
        <w:tc>
          <w:tcPr>
            <w:tcW w:w="1508" w:type="dxa"/>
            <w:shd w:val="clear" w:color="auto" w:fill="auto"/>
            <w:vAlign w:val="center"/>
          </w:tcPr>
          <w:p w:rsidR="008B4B55" w:rsidRPr="008B4B55" w:rsidRDefault="008B4B55" w:rsidP="00E029A5">
            <w:pPr>
              <w:spacing w:after="0" w:line="240" w:lineRule="auto"/>
              <w:jc w:val="center"/>
              <w:rPr>
                <w:rFonts w:ascii="Times New Roman" w:eastAsia="Times New Roman" w:hAnsi="Times New Roman"/>
                <w:bCs/>
                <w:color w:val="000000"/>
                <w:sz w:val="20"/>
                <w:szCs w:val="20"/>
                <w:lang w:eastAsia="lt-LT"/>
              </w:rPr>
            </w:pPr>
            <w:r w:rsidRPr="008B4B55">
              <w:rPr>
                <w:rFonts w:ascii="Times New Roman" w:eastAsia="Times New Roman" w:hAnsi="Times New Roman"/>
                <w:bCs/>
                <w:color w:val="000000"/>
                <w:sz w:val="20"/>
                <w:szCs w:val="20"/>
                <w:lang w:eastAsia="lt-LT"/>
              </w:rPr>
              <w:t>Veiklos rezervas</w:t>
            </w:r>
          </w:p>
        </w:tc>
        <w:tc>
          <w:tcPr>
            <w:tcW w:w="1576" w:type="dxa"/>
            <w:shd w:val="clear" w:color="auto" w:fill="auto"/>
            <w:noWrap/>
            <w:vAlign w:val="center"/>
          </w:tcPr>
          <w:p w:rsidR="008B4B55" w:rsidRPr="008B4B55" w:rsidRDefault="008B4B55" w:rsidP="00E029A5">
            <w:pPr>
              <w:spacing w:after="0" w:line="240" w:lineRule="auto"/>
              <w:jc w:val="center"/>
              <w:rPr>
                <w:rFonts w:ascii="Times New Roman" w:eastAsia="Times New Roman" w:hAnsi="Times New Roman"/>
                <w:bCs/>
                <w:color w:val="000000"/>
                <w:sz w:val="20"/>
                <w:szCs w:val="20"/>
                <w:lang w:eastAsia="lt-LT"/>
              </w:rPr>
            </w:pPr>
            <w:r w:rsidRPr="008B4B55">
              <w:rPr>
                <w:rFonts w:ascii="Times New Roman" w:eastAsia="Times New Roman" w:hAnsi="Times New Roman"/>
                <w:bCs/>
                <w:color w:val="000000"/>
                <w:sz w:val="20"/>
                <w:szCs w:val="20"/>
                <w:lang w:eastAsia="lt-LT"/>
              </w:rPr>
              <w:t>Asignavimai be rezervo</w:t>
            </w:r>
          </w:p>
        </w:tc>
        <w:tc>
          <w:tcPr>
            <w:tcW w:w="1543" w:type="dxa"/>
            <w:shd w:val="clear" w:color="auto" w:fill="auto"/>
            <w:vAlign w:val="center"/>
          </w:tcPr>
          <w:p w:rsidR="008B4B55" w:rsidRPr="008B4B55" w:rsidRDefault="008B4B55" w:rsidP="00E029A5">
            <w:pPr>
              <w:spacing w:after="0" w:line="240" w:lineRule="auto"/>
              <w:jc w:val="center"/>
              <w:rPr>
                <w:rFonts w:ascii="Times New Roman" w:eastAsia="Times New Roman" w:hAnsi="Times New Roman"/>
                <w:bCs/>
                <w:color w:val="000000"/>
                <w:sz w:val="20"/>
                <w:szCs w:val="20"/>
                <w:lang w:eastAsia="lt-LT"/>
              </w:rPr>
            </w:pPr>
            <w:r w:rsidRPr="008B4B55">
              <w:rPr>
                <w:rFonts w:ascii="Times New Roman" w:eastAsia="Times New Roman" w:hAnsi="Times New Roman"/>
                <w:bCs/>
                <w:color w:val="000000"/>
                <w:sz w:val="20"/>
                <w:szCs w:val="20"/>
                <w:lang w:eastAsia="lt-LT"/>
              </w:rPr>
              <w:t>Veiklos rezervas</w:t>
            </w:r>
          </w:p>
        </w:tc>
      </w:tr>
      <w:tr w:rsidR="008B4B55" w:rsidRPr="00E70675" w:rsidTr="00A70E24">
        <w:trPr>
          <w:trHeight w:val="300"/>
        </w:trPr>
        <w:tc>
          <w:tcPr>
            <w:tcW w:w="1384" w:type="dxa"/>
            <w:shd w:val="clear" w:color="auto" w:fill="auto"/>
            <w:hideMark/>
          </w:tcPr>
          <w:p w:rsidR="008B4B55" w:rsidRPr="00907F47" w:rsidRDefault="008B4B55" w:rsidP="00E70675">
            <w:pPr>
              <w:widowControl w:val="0"/>
              <w:tabs>
                <w:tab w:val="left" w:pos="622"/>
              </w:tabs>
              <w:spacing w:after="0" w:line="240" w:lineRule="auto"/>
              <w:jc w:val="both"/>
              <w:rPr>
                <w:rFonts w:ascii="Times New Roman" w:eastAsia="AngsanaUPC" w:hAnsi="Times New Roman"/>
                <w:b/>
                <w:bCs/>
                <w:i/>
                <w:iCs/>
                <w:sz w:val="20"/>
                <w:szCs w:val="20"/>
                <w:lang w:eastAsia="lt-LT"/>
              </w:rPr>
            </w:pPr>
            <w:r w:rsidRPr="00907F47">
              <w:rPr>
                <w:rFonts w:ascii="Times New Roman" w:eastAsia="AngsanaUPC" w:hAnsi="Times New Roman"/>
                <w:b/>
                <w:bCs/>
                <w:i/>
                <w:iCs/>
                <w:sz w:val="20"/>
                <w:szCs w:val="20"/>
                <w:lang w:eastAsia="lt-LT"/>
              </w:rPr>
              <w:t>ERPF</w:t>
            </w:r>
          </w:p>
        </w:tc>
        <w:tc>
          <w:tcPr>
            <w:tcW w:w="1134" w:type="dxa"/>
          </w:tcPr>
          <w:p w:rsidR="008B4B55" w:rsidRPr="004451CA" w:rsidRDefault="008B4B55" w:rsidP="00CB7E46">
            <w:pPr>
              <w:widowControl w:val="0"/>
              <w:tabs>
                <w:tab w:val="left" w:pos="622"/>
              </w:tabs>
              <w:spacing w:after="0" w:line="240" w:lineRule="auto"/>
              <w:jc w:val="center"/>
              <w:rPr>
                <w:rFonts w:ascii="Times New Roman" w:eastAsia="AngsanaUPC" w:hAnsi="Times New Roman"/>
                <w:bCs/>
                <w:sz w:val="20"/>
                <w:szCs w:val="20"/>
                <w:lang w:eastAsia="lt-LT"/>
              </w:rPr>
            </w:pPr>
            <w:r w:rsidRPr="004451CA">
              <w:rPr>
                <w:rFonts w:ascii="Times New Roman" w:eastAsia="AngsanaUPC" w:hAnsi="Times New Roman"/>
                <w:bCs/>
                <w:sz w:val="20"/>
                <w:szCs w:val="20"/>
                <w:lang w:eastAsia="lt-LT"/>
              </w:rPr>
              <w:t>Mažiau išsivystęs</w:t>
            </w:r>
          </w:p>
        </w:tc>
        <w:tc>
          <w:tcPr>
            <w:tcW w:w="1395" w:type="dxa"/>
            <w:shd w:val="clear" w:color="auto" w:fill="auto"/>
            <w:noWrap/>
            <w:vAlign w:val="center"/>
          </w:tcPr>
          <w:p w:rsidR="008B4B55" w:rsidRPr="008B4B55" w:rsidRDefault="008B4B55" w:rsidP="00A70E24">
            <w:pPr>
              <w:spacing w:after="0" w:line="240" w:lineRule="auto"/>
              <w:jc w:val="center"/>
              <w:rPr>
                <w:rFonts w:ascii="Times New Roman" w:hAnsi="Times New Roman"/>
                <w:sz w:val="20"/>
                <w:szCs w:val="20"/>
              </w:rPr>
            </w:pPr>
            <w:r w:rsidRPr="008B4B55">
              <w:rPr>
                <w:rFonts w:ascii="Times New Roman" w:hAnsi="Times New Roman"/>
                <w:sz w:val="20"/>
                <w:szCs w:val="20"/>
              </w:rPr>
              <w:t>414.198.561</w:t>
            </w:r>
          </w:p>
        </w:tc>
        <w:tc>
          <w:tcPr>
            <w:tcW w:w="1582" w:type="dxa"/>
            <w:shd w:val="clear" w:color="auto" w:fill="auto"/>
            <w:vAlign w:val="center"/>
          </w:tcPr>
          <w:p w:rsidR="008B4B55" w:rsidRPr="008B4B55" w:rsidRDefault="008B4B55" w:rsidP="00A70E24">
            <w:pPr>
              <w:spacing w:after="0" w:line="240" w:lineRule="auto"/>
              <w:jc w:val="center"/>
              <w:rPr>
                <w:rFonts w:ascii="Times New Roman" w:hAnsi="Times New Roman"/>
                <w:sz w:val="20"/>
                <w:szCs w:val="20"/>
              </w:rPr>
            </w:pPr>
            <w:r w:rsidRPr="008B4B55">
              <w:rPr>
                <w:rFonts w:ascii="Times New Roman" w:hAnsi="Times New Roman"/>
                <w:sz w:val="20"/>
                <w:szCs w:val="20"/>
              </w:rPr>
              <w:t>26.438.206</w:t>
            </w:r>
          </w:p>
        </w:tc>
        <w:tc>
          <w:tcPr>
            <w:tcW w:w="1502" w:type="dxa"/>
            <w:shd w:val="clear" w:color="auto" w:fill="auto"/>
            <w:noWrap/>
            <w:vAlign w:val="center"/>
          </w:tcPr>
          <w:p w:rsidR="008B4B55" w:rsidRPr="008B4B55" w:rsidRDefault="008B4B55" w:rsidP="00A70E24">
            <w:pPr>
              <w:spacing w:after="0" w:line="240" w:lineRule="auto"/>
              <w:jc w:val="center"/>
              <w:rPr>
                <w:rFonts w:ascii="Times New Roman" w:hAnsi="Times New Roman"/>
                <w:sz w:val="20"/>
                <w:szCs w:val="20"/>
              </w:rPr>
            </w:pPr>
            <w:r w:rsidRPr="008B4B55">
              <w:rPr>
                <w:rFonts w:ascii="Times New Roman" w:hAnsi="Times New Roman"/>
                <w:sz w:val="20"/>
                <w:szCs w:val="20"/>
              </w:rPr>
              <w:t>433.022.012</w:t>
            </w:r>
          </w:p>
        </w:tc>
        <w:tc>
          <w:tcPr>
            <w:tcW w:w="1616" w:type="dxa"/>
            <w:shd w:val="clear" w:color="auto" w:fill="auto"/>
            <w:vAlign w:val="center"/>
          </w:tcPr>
          <w:p w:rsidR="008B4B55" w:rsidRPr="008B4B55" w:rsidRDefault="008B4B55" w:rsidP="00A70E24">
            <w:pPr>
              <w:spacing w:after="0" w:line="240" w:lineRule="auto"/>
              <w:jc w:val="center"/>
              <w:rPr>
                <w:rFonts w:ascii="Times New Roman" w:hAnsi="Times New Roman"/>
                <w:sz w:val="20"/>
                <w:szCs w:val="20"/>
              </w:rPr>
            </w:pPr>
            <w:r w:rsidRPr="008B4B55">
              <w:rPr>
                <w:rFonts w:ascii="Times New Roman" w:hAnsi="Times New Roman"/>
                <w:sz w:val="20"/>
                <w:szCs w:val="20"/>
              </w:rPr>
              <w:t>27.639.703</w:t>
            </w:r>
          </w:p>
        </w:tc>
        <w:tc>
          <w:tcPr>
            <w:tcW w:w="1469" w:type="dxa"/>
            <w:shd w:val="clear" w:color="auto" w:fill="auto"/>
            <w:noWrap/>
            <w:vAlign w:val="center"/>
          </w:tcPr>
          <w:p w:rsidR="008B4B55" w:rsidRPr="008B4B55" w:rsidRDefault="008B4B55" w:rsidP="00A70E24">
            <w:pPr>
              <w:spacing w:after="0" w:line="240" w:lineRule="auto"/>
              <w:jc w:val="center"/>
              <w:rPr>
                <w:rFonts w:ascii="Times New Roman" w:hAnsi="Times New Roman"/>
                <w:sz w:val="20"/>
                <w:szCs w:val="20"/>
              </w:rPr>
            </w:pPr>
            <w:r w:rsidRPr="008B4B55">
              <w:rPr>
                <w:rFonts w:ascii="Times New Roman" w:hAnsi="Times New Roman"/>
                <w:sz w:val="20"/>
                <w:szCs w:val="20"/>
              </w:rPr>
              <w:t>452.675.572</w:t>
            </w:r>
          </w:p>
        </w:tc>
        <w:tc>
          <w:tcPr>
            <w:tcW w:w="1508" w:type="dxa"/>
            <w:shd w:val="clear" w:color="auto" w:fill="auto"/>
            <w:vAlign w:val="center"/>
          </w:tcPr>
          <w:p w:rsidR="008B4B55" w:rsidRPr="008B4B55" w:rsidRDefault="008B4B55" w:rsidP="00A70E24">
            <w:pPr>
              <w:spacing w:after="0" w:line="240" w:lineRule="auto"/>
              <w:jc w:val="center"/>
              <w:rPr>
                <w:rFonts w:ascii="Times New Roman" w:hAnsi="Times New Roman"/>
                <w:sz w:val="20"/>
                <w:szCs w:val="20"/>
              </w:rPr>
            </w:pPr>
            <w:r w:rsidRPr="008B4B55">
              <w:rPr>
                <w:rFonts w:ascii="Times New Roman" w:hAnsi="Times New Roman"/>
                <w:sz w:val="20"/>
                <w:szCs w:val="20"/>
              </w:rPr>
              <w:t>28.894.185</w:t>
            </w:r>
          </w:p>
        </w:tc>
        <w:tc>
          <w:tcPr>
            <w:tcW w:w="1576" w:type="dxa"/>
            <w:shd w:val="clear" w:color="auto" w:fill="auto"/>
            <w:noWrap/>
            <w:vAlign w:val="center"/>
          </w:tcPr>
          <w:p w:rsidR="008B4B55" w:rsidRPr="008B4B55" w:rsidRDefault="008B4B55" w:rsidP="00A70E24">
            <w:pPr>
              <w:spacing w:after="0" w:line="240" w:lineRule="auto"/>
              <w:jc w:val="center"/>
              <w:rPr>
                <w:rFonts w:ascii="Times New Roman" w:hAnsi="Times New Roman"/>
                <w:sz w:val="20"/>
                <w:szCs w:val="20"/>
              </w:rPr>
            </w:pPr>
            <w:r w:rsidRPr="008B4B55">
              <w:rPr>
                <w:rFonts w:ascii="Times New Roman" w:hAnsi="Times New Roman"/>
                <w:sz w:val="20"/>
                <w:szCs w:val="20"/>
              </w:rPr>
              <w:t>470.517.148</w:t>
            </w:r>
          </w:p>
        </w:tc>
        <w:tc>
          <w:tcPr>
            <w:tcW w:w="1543" w:type="dxa"/>
            <w:shd w:val="clear" w:color="auto" w:fill="auto"/>
            <w:vAlign w:val="center"/>
          </w:tcPr>
          <w:p w:rsidR="008B4B55" w:rsidRPr="008B4B55" w:rsidRDefault="008B4B55" w:rsidP="00A70E24">
            <w:pPr>
              <w:spacing w:after="0" w:line="240" w:lineRule="auto"/>
              <w:jc w:val="center"/>
              <w:rPr>
                <w:rFonts w:ascii="Times New Roman" w:hAnsi="Times New Roman"/>
                <w:sz w:val="20"/>
                <w:szCs w:val="20"/>
              </w:rPr>
            </w:pPr>
            <w:r w:rsidRPr="008B4B55">
              <w:rPr>
                <w:rFonts w:ascii="Times New Roman" w:hAnsi="Times New Roman"/>
                <w:sz w:val="20"/>
                <w:szCs w:val="20"/>
              </w:rPr>
              <w:t>30.033.010</w:t>
            </w:r>
          </w:p>
        </w:tc>
      </w:tr>
      <w:tr w:rsidR="008B4B55" w:rsidRPr="00E70675" w:rsidTr="00A70E24">
        <w:trPr>
          <w:trHeight w:val="300"/>
        </w:trPr>
        <w:tc>
          <w:tcPr>
            <w:tcW w:w="1384" w:type="dxa"/>
            <w:shd w:val="clear" w:color="auto" w:fill="auto"/>
            <w:hideMark/>
          </w:tcPr>
          <w:p w:rsidR="008B4B55" w:rsidRPr="00907F47" w:rsidRDefault="008B4B55" w:rsidP="00E70675">
            <w:pPr>
              <w:widowControl w:val="0"/>
              <w:tabs>
                <w:tab w:val="left" w:pos="622"/>
              </w:tabs>
              <w:spacing w:after="0" w:line="240" w:lineRule="auto"/>
              <w:jc w:val="both"/>
              <w:rPr>
                <w:rFonts w:ascii="Times New Roman" w:eastAsia="AngsanaUPC" w:hAnsi="Times New Roman"/>
                <w:b/>
                <w:bCs/>
                <w:i/>
                <w:iCs/>
                <w:sz w:val="20"/>
                <w:szCs w:val="20"/>
                <w:lang w:eastAsia="lt-LT"/>
              </w:rPr>
            </w:pPr>
            <w:r w:rsidRPr="00907F47">
              <w:rPr>
                <w:rFonts w:ascii="Times New Roman" w:eastAsia="AngsanaUPC" w:hAnsi="Times New Roman"/>
                <w:b/>
                <w:bCs/>
                <w:i/>
                <w:iCs/>
                <w:sz w:val="20"/>
                <w:szCs w:val="20"/>
                <w:lang w:eastAsia="lt-LT"/>
              </w:rPr>
              <w:t>ESF</w:t>
            </w:r>
          </w:p>
        </w:tc>
        <w:tc>
          <w:tcPr>
            <w:tcW w:w="1134" w:type="dxa"/>
          </w:tcPr>
          <w:p w:rsidR="008B4B55" w:rsidRPr="004451CA" w:rsidRDefault="008B4B55" w:rsidP="00CB7E46">
            <w:pPr>
              <w:widowControl w:val="0"/>
              <w:tabs>
                <w:tab w:val="left" w:pos="622"/>
              </w:tabs>
              <w:spacing w:after="0" w:line="240" w:lineRule="auto"/>
              <w:jc w:val="center"/>
              <w:rPr>
                <w:rFonts w:ascii="Times New Roman" w:eastAsia="AngsanaUPC" w:hAnsi="Times New Roman"/>
                <w:bCs/>
                <w:sz w:val="20"/>
                <w:szCs w:val="20"/>
                <w:lang w:eastAsia="lt-LT"/>
              </w:rPr>
            </w:pPr>
            <w:r w:rsidRPr="004451CA">
              <w:rPr>
                <w:rFonts w:ascii="Times New Roman" w:eastAsia="AngsanaUPC" w:hAnsi="Times New Roman"/>
                <w:bCs/>
                <w:sz w:val="20"/>
                <w:szCs w:val="20"/>
                <w:lang w:eastAsia="lt-LT"/>
              </w:rPr>
              <w:t>Mažiau išsivystęs</w:t>
            </w:r>
          </w:p>
        </w:tc>
        <w:tc>
          <w:tcPr>
            <w:tcW w:w="1395" w:type="dxa"/>
            <w:shd w:val="clear" w:color="auto" w:fill="auto"/>
            <w:noWrap/>
            <w:vAlign w:val="center"/>
          </w:tcPr>
          <w:p w:rsidR="008B4B55" w:rsidRPr="00AC2395" w:rsidRDefault="008B4B55" w:rsidP="00A70E24">
            <w:pPr>
              <w:spacing w:after="0" w:line="240" w:lineRule="auto"/>
              <w:jc w:val="center"/>
              <w:rPr>
                <w:rFonts w:ascii="Times New Roman" w:hAnsi="Times New Roman"/>
                <w:sz w:val="20"/>
                <w:szCs w:val="20"/>
              </w:rPr>
            </w:pPr>
            <w:r w:rsidRPr="00AC2395">
              <w:rPr>
                <w:rFonts w:ascii="Times New Roman" w:hAnsi="Times New Roman"/>
                <w:sz w:val="20"/>
                <w:szCs w:val="20"/>
              </w:rPr>
              <w:t>13</w:t>
            </w:r>
            <w:r w:rsidR="0068624A" w:rsidRPr="00AC2395">
              <w:rPr>
                <w:rFonts w:ascii="Times New Roman" w:hAnsi="Times New Roman"/>
                <w:sz w:val="20"/>
                <w:szCs w:val="20"/>
              </w:rPr>
              <w:t>4</w:t>
            </w:r>
            <w:r w:rsidRPr="00AC2395">
              <w:rPr>
                <w:rFonts w:ascii="Times New Roman" w:hAnsi="Times New Roman"/>
                <w:sz w:val="20"/>
                <w:szCs w:val="20"/>
              </w:rPr>
              <w:t>.</w:t>
            </w:r>
            <w:r w:rsidR="0068624A" w:rsidRPr="00AC2395">
              <w:rPr>
                <w:rFonts w:ascii="Times New Roman" w:hAnsi="Times New Roman"/>
                <w:sz w:val="20"/>
                <w:szCs w:val="20"/>
              </w:rPr>
              <w:t>423</w:t>
            </w:r>
            <w:r w:rsidRPr="00AC2395">
              <w:rPr>
                <w:rFonts w:ascii="Times New Roman" w:hAnsi="Times New Roman"/>
                <w:sz w:val="20"/>
                <w:szCs w:val="20"/>
              </w:rPr>
              <w:t>.</w:t>
            </w:r>
            <w:r w:rsidR="0068624A" w:rsidRPr="00AC2395">
              <w:rPr>
                <w:rFonts w:ascii="Times New Roman" w:hAnsi="Times New Roman"/>
                <w:sz w:val="20"/>
                <w:szCs w:val="20"/>
              </w:rPr>
              <w:t>094</w:t>
            </w:r>
          </w:p>
        </w:tc>
        <w:tc>
          <w:tcPr>
            <w:tcW w:w="1582" w:type="dxa"/>
            <w:shd w:val="clear" w:color="auto" w:fill="auto"/>
            <w:vAlign w:val="center"/>
          </w:tcPr>
          <w:p w:rsidR="008B4B55" w:rsidRPr="00AC2395" w:rsidRDefault="000122B1" w:rsidP="00A70E24">
            <w:pPr>
              <w:spacing w:after="0" w:line="240" w:lineRule="auto"/>
              <w:jc w:val="center"/>
              <w:rPr>
                <w:rFonts w:ascii="Times New Roman" w:hAnsi="Times New Roman"/>
                <w:sz w:val="20"/>
                <w:szCs w:val="20"/>
              </w:rPr>
            </w:pPr>
            <w:r w:rsidRPr="004E77F7">
              <w:rPr>
                <w:rFonts w:ascii="Times New Roman" w:hAnsi="Times New Roman"/>
                <w:sz w:val="20"/>
                <w:szCs w:val="20"/>
              </w:rPr>
              <w:t>7.440.490</w:t>
            </w:r>
          </w:p>
        </w:tc>
        <w:tc>
          <w:tcPr>
            <w:tcW w:w="1502" w:type="dxa"/>
            <w:shd w:val="clear" w:color="auto" w:fill="auto"/>
            <w:noWrap/>
            <w:vAlign w:val="center"/>
          </w:tcPr>
          <w:p w:rsidR="008B4B55" w:rsidRPr="008B4B55" w:rsidRDefault="0068624A" w:rsidP="00A70E24">
            <w:pPr>
              <w:spacing w:after="0" w:line="240" w:lineRule="auto"/>
              <w:jc w:val="center"/>
              <w:rPr>
                <w:rFonts w:ascii="Times New Roman" w:hAnsi="Times New Roman"/>
                <w:sz w:val="20"/>
                <w:szCs w:val="20"/>
              </w:rPr>
            </w:pPr>
            <w:r>
              <w:rPr>
                <w:rFonts w:ascii="Times New Roman" w:hAnsi="Times New Roman"/>
                <w:sz w:val="20"/>
                <w:szCs w:val="20"/>
              </w:rPr>
              <w:t>140.247.637</w:t>
            </w:r>
          </w:p>
        </w:tc>
        <w:tc>
          <w:tcPr>
            <w:tcW w:w="1616" w:type="dxa"/>
            <w:shd w:val="clear" w:color="auto" w:fill="auto"/>
            <w:vAlign w:val="center"/>
          </w:tcPr>
          <w:p w:rsidR="008B4B55" w:rsidRPr="008B4B55" w:rsidRDefault="00A70E24" w:rsidP="00A70E24">
            <w:pPr>
              <w:spacing w:after="0" w:line="240" w:lineRule="auto"/>
              <w:jc w:val="center"/>
              <w:rPr>
                <w:rFonts w:ascii="Times New Roman" w:hAnsi="Times New Roman"/>
                <w:sz w:val="20"/>
                <w:szCs w:val="20"/>
              </w:rPr>
            </w:pPr>
            <w:r>
              <w:rPr>
                <w:rFonts w:ascii="Times New Roman" w:hAnsi="Times New Roman"/>
                <w:sz w:val="20"/>
                <w:szCs w:val="20"/>
              </w:rPr>
              <w:t>8.063.005</w:t>
            </w:r>
          </w:p>
        </w:tc>
        <w:tc>
          <w:tcPr>
            <w:tcW w:w="1469" w:type="dxa"/>
            <w:shd w:val="clear" w:color="auto" w:fill="auto"/>
            <w:noWrap/>
            <w:vAlign w:val="center"/>
          </w:tcPr>
          <w:p w:rsidR="008B4B55" w:rsidRPr="008B4B55" w:rsidRDefault="00A70E24" w:rsidP="00A70E24">
            <w:pPr>
              <w:spacing w:after="0" w:line="240" w:lineRule="auto"/>
              <w:jc w:val="center"/>
              <w:rPr>
                <w:rFonts w:ascii="Times New Roman" w:hAnsi="Times New Roman"/>
                <w:sz w:val="20"/>
                <w:szCs w:val="20"/>
              </w:rPr>
            </w:pPr>
            <w:r>
              <w:rPr>
                <w:rFonts w:ascii="Times New Roman" w:hAnsi="Times New Roman"/>
                <w:sz w:val="20"/>
                <w:szCs w:val="20"/>
              </w:rPr>
              <w:t>145.739.493</w:t>
            </w:r>
          </w:p>
        </w:tc>
        <w:tc>
          <w:tcPr>
            <w:tcW w:w="1508" w:type="dxa"/>
            <w:shd w:val="clear" w:color="auto" w:fill="auto"/>
            <w:vAlign w:val="center"/>
          </w:tcPr>
          <w:p w:rsidR="008B4B55" w:rsidRPr="008B4B55" w:rsidRDefault="00A70E24" w:rsidP="00A70E24">
            <w:pPr>
              <w:spacing w:after="0" w:line="240" w:lineRule="auto"/>
              <w:jc w:val="center"/>
              <w:rPr>
                <w:rFonts w:ascii="Times New Roman" w:hAnsi="Times New Roman"/>
                <w:sz w:val="20"/>
                <w:szCs w:val="20"/>
              </w:rPr>
            </w:pPr>
            <w:r>
              <w:rPr>
                <w:rFonts w:ascii="Times New Roman" w:hAnsi="Times New Roman"/>
                <w:sz w:val="20"/>
                <w:szCs w:val="20"/>
              </w:rPr>
              <w:t>9.302.521</w:t>
            </w:r>
          </w:p>
        </w:tc>
        <w:tc>
          <w:tcPr>
            <w:tcW w:w="1576" w:type="dxa"/>
            <w:shd w:val="clear" w:color="auto" w:fill="auto"/>
            <w:noWrap/>
            <w:vAlign w:val="center"/>
          </w:tcPr>
          <w:p w:rsidR="008B4B55" w:rsidRPr="008B4B55" w:rsidRDefault="0068624A" w:rsidP="00A70E24">
            <w:pPr>
              <w:spacing w:after="0" w:line="240" w:lineRule="auto"/>
              <w:jc w:val="center"/>
              <w:rPr>
                <w:rFonts w:ascii="Times New Roman" w:hAnsi="Times New Roman"/>
                <w:sz w:val="20"/>
                <w:szCs w:val="20"/>
              </w:rPr>
            </w:pPr>
            <w:r>
              <w:rPr>
                <w:rFonts w:ascii="Times New Roman" w:hAnsi="Times New Roman"/>
                <w:sz w:val="20"/>
                <w:szCs w:val="20"/>
              </w:rPr>
              <w:t>151.483.611</w:t>
            </w:r>
          </w:p>
        </w:tc>
        <w:tc>
          <w:tcPr>
            <w:tcW w:w="1543" w:type="dxa"/>
            <w:shd w:val="clear" w:color="auto" w:fill="auto"/>
            <w:vAlign w:val="center"/>
          </w:tcPr>
          <w:p w:rsidR="008B4B55" w:rsidRPr="008B4B55" w:rsidRDefault="00A70E24" w:rsidP="00A70E24">
            <w:pPr>
              <w:spacing w:after="0" w:line="240" w:lineRule="auto"/>
              <w:jc w:val="center"/>
              <w:rPr>
                <w:rFonts w:ascii="Times New Roman" w:hAnsi="Times New Roman"/>
                <w:sz w:val="20"/>
                <w:szCs w:val="20"/>
              </w:rPr>
            </w:pPr>
            <w:r>
              <w:rPr>
                <w:rFonts w:ascii="Times New Roman" w:hAnsi="Times New Roman"/>
                <w:sz w:val="20"/>
                <w:szCs w:val="20"/>
              </w:rPr>
              <w:t>9.669.167</w:t>
            </w:r>
          </w:p>
        </w:tc>
      </w:tr>
      <w:tr w:rsidR="008B4B55" w:rsidRPr="00E70675" w:rsidTr="00A70E24">
        <w:trPr>
          <w:trHeight w:val="300"/>
        </w:trPr>
        <w:tc>
          <w:tcPr>
            <w:tcW w:w="1384" w:type="dxa"/>
            <w:shd w:val="clear" w:color="auto" w:fill="auto"/>
          </w:tcPr>
          <w:p w:rsidR="008B4B55" w:rsidRPr="00907F47" w:rsidRDefault="008B4B55" w:rsidP="00E70675">
            <w:pPr>
              <w:widowControl w:val="0"/>
              <w:tabs>
                <w:tab w:val="left" w:pos="622"/>
              </w:tabs>
              <w:spacing w:after="0" w:line="240" w:lineRule="auto"/>
              <w:jc w:val="both"/>
              <w:rPr>
                <w:rFonts w:ascii="Times New Roman" w:eastAsia="AngsanaUPC" w:hAnsi="Times New Roman"/>
                <w:b/>
                <w:bCs/>
                <w:i/>
                <w:iCs/>
                <w:sz w:val="20"/>
                <w:szCs w:val="20"/>
                <w:lang w:eastAsia="lt-LT"/>
              </w:rPr>
            </w:pPr>
            <w:r w:rsidRPr="00907F47">
              <w:rPr>
                <w:rFonts w:ascii="Times New Roman" w:eastAsia="AngsanaUPC" w:hAnsi="Times New Roman"/>
                <w:b/>
                <w:bCs/>
                <w:i/>
                <w:iCs/>
                <w:sz w:val="20"/>
                <w:szCs w:val="20"/>
                <w:lang w:eastAsia="lt-LT"/>
              </w:rPr>
              <w:t>JUI</w:t>
            </w:r>
            <w:r w:rsidRPr="00907F47">
              <w:rPr>
                <w:rFonts w:ascii="Times New Roman" w:eastAsia="Times New Roman" w:hAnsi="Times New Roman"/>
                <w:b/>
                <w:bCs/>
                <w:color w:val="000000"/>
                <w:sz w:val="20"/>
                <w:szCs w:val="20"/>
                <w:lang w:eastAsia="lt-LT"/>
              </w:rPr>
              <w:t xml:space="preserve"> (</w:t>
            </w:r>
            <w:r w:rsidRPr="00907F47">
              <w:rPr>
                <w:rFonts w:ascii="Times New Roman" w:eastAsia="AngsanaUPC" w:hAnsi="Times New Roman"/>
                <w:b/>
                <w:bCs/>
                <w:iCs/>
                <w:sz w:val="20"/>
                <w:szCs w:val="20"/>
                <w:lang w:eastAsia="lt-LT"/>
              </w:rPr>
              <w:t>specialūs asignavimai)</w:t>
            </w:r>
          </w:p>
        </w:tc>
        <w:tc>
          <w:tcPr>
            <w:tcW w:w="1134" w:type="dxa"/>
          </w:tcPr>
          <w:p w:rsidR="008B4B55" w:rsidRPr="004451CA" w:rsidRDefault="008B4B55" w:rsidP="00CB7E46">
            <w:pPr>
              <w:widowControl w:val="0"/>
              <w:tabs>
                <w:tab w:val="left" w:pos="622"/>
              </w:tabs>
              <w:spacing w:after="0" w:line="240" w:lineRule="auto"/>
              <w:jc w:val="center"/>
              <w:rPr>
                <w:rFonts w:ascii="Times New Roman" w:eastAsia="AngsanaUPC" w:hAnsi="Times New Roman"/>
                <w:bCs/>
                <w:sz w:val="20"/>
                <w:szCs w:val="20"/>
                <w:lang w:eastAsia="lt-LT"/>
              </w:rPr>
            </w:pPr>
            <w:r w:rsidRPr="004451CA">
              <w:rPr>
                <w:rFonts w:ascii="Times New Roman" w:eastAsia="AngsanaUPC" w:hAnsi="Times New Roman"/>
                <w:bCs/>
                <w:sz w:val="20"/>
                <w:szCs w:val="20"/>
                <w:lang w:eastAsia="lt-LT"/>
              </w:rPr>
              <w:t>Netaikoma</w:t>
            </w:r>
          </w:p>
        </w:tc>
        <w:tc>
          <w:tcPr>
            <w:tcW w:w="1395" w:type="dxa"/>
            <w:shd w:val="clear" w:color="auto" w:fill="auto"/>
            <w:noWrap/>
            <w:vAlign w:val="center"/>
          </w:tcPr>
          <w:p w:rsidR="008B4B55" w:rsidRPr="008B4B55" w:rsidRDefault="008B4B55" w:rsidP="00A70E24">
            <w:pPr>
              <w:spacing w:after="0" w:line="240" w:lineRule="auto"/>
              <w:jc w:val="center"/>
              <w:rPr>
                <w:rFonts w:ascii="Times New Roman" w:hAnsi="Times New Roman"/>
                <w:sz w:val="20"/>
                <w:szCs w:val="20"/>
              </w:rPr>
            </w:pPr>
            <w:r w:rsidRPr="008B4B55">
              <w:rPr>
                <w:rFonts w:ascii="Times New Roman" w:hAnsi="Times New Roman"/>
                <w:sz w:val="20"/>
                <w:szCs w:val="20"/>
              </w:rPr>
              <w:t>17.855.411</w:t>
            </w:r>
          </w:p>
        </w:tc>
        <w:tc>
          <w:tcPr>
            <w:tcW w:w="1582" w:type="dxa"/>
            <w:shd w:val="clear" w:color="auto" w:fill="auto"/>
            <w:vAlign w:val="center"/>
          </w:tcPr>
          <w:p w:rsidR="008B4B55" w:rsidRPr="008B4B55" w:rsidRDefault="008B4B55" w:rsidP="00A70E24">
            <w:pPr>
              <w:spacing w:after="0" w:line="240" w:lineRule="auto"/>
              <w:jc w:val="center"/>
              <w:rPr>
                <w:rFonts w:ascii="Times New Roman" w:hAnsi="Times New Roman"/>
                <w:sz w:val="20"/>
                <w:szCs w:val="20"/>
              </w:rPr>
            </w:pPr>
            <w:r w:rsidRPr="008B4B55">
              <w:rPr>
                <w:rFonts w:ascii="Times New Roman" w:hAnsi="Times New Roman"/>
                <w:sz w:val="20"/>
                <w:szCs w:val="20"/>
              </w:rPr>
              <w:t>0</w:t>
            </w:r>
          </w:p>
        </w:tc>
        <w:tc>
          <w:tcPr>
            <w:tcW w:w="1502" w:type="dxa"/>
            <w:shd w:val="clear" w:color="auto" w:fill="auto"/>
            <w:noWrap/>
            <w:vAlign w:val="center"/>
          </w:tcPr>
          <w:p w:rsidR="008B4B55" w:rsidRPr="008B4B55" w:rsidRDefault="008B4B55" w:rsidP="00A70E24">
            <w:pPr>
              <w:spacing w:after="0" w:line="240" w:lineRule="auto"/>
              <w:jc w:val="center"/>
              <w:rPr>
                <w:rFonts w:ascii="Times New Roman" w:hAnsi="Times New Roman"/>
                <w:sz w:val="20"/>
                <w:szCs w:val="20"/>
              </w:rPr>
            </w:pPr>
            <w:r w:rsidRPr="008B4B55">
              <w:rPr>
                <w:rFonts w:ascii="Times New Roman" w:hAnsi="Times New Roman"/>
                <w:sz w:val="20"/>
                <w:szCs w:val="20"/>
              </w:rPr>
              <w:t>13.927.222</w:t>
            </w:r>
          </w:p>
        </w:tc>
        <w:tc>
          <w:tcPr>
            <w:tcW w:w="1616" w:type="dxa"/>
            <w:shd w:val="clear" w:color="auto" w:fill="auto"/>
            <w:vAlign w:val="center"/>
          </w:tcPr>
          <w:p w:rsidR="008B4B55" w:rsidRPr="008B4B55" w:rsidRDefault="008B4B55" w:rsidP="00A70E24">
            <w:pPr>
              <w:spacing w:after="0" w:line="240" w:lineRule="auto"/>
              <w:jc w:val="center"/>
              <w:rPr>
                <w:rFonts w:ascii="Times New Roman" w:hAnsi="Times New Roman"/>
                <w:sz w:val="20"/>
                <w:szCs w:val="20"/>
              </w:rPr>
            </w:pPr>
            <w:r w:rsidRPr="008B4B55">
              <w:rPr>
                <w:rFonts w:ascii="Times New Roman" w:hAnsi="Times New Roman"/>
                <w:sz w:val="20"/>
                <w:szCs w:val="20"/>
              </w:rPr>
              <w:t>0</w:t>
            </w:r>
          </w:p>
        </w:tc>
        <w:tc>
          <w:tcPr>
            <w:tcW w:w="1469" w:type="dxa"/>
            <w:shd w:val="clear" w:color="auto" w:fill="auto"/>
            <w:noWrap/>
            <w:vAlign w:val="center"/>
          </w:tcPr>
          <w:p w:rsidR="008B4B55" w:rsidRPr="008B4B55" w:rsidRDefault="008B4B55" w:rsidP="00A70E24">
            <w:pPr>
              <w:spacing w:after="0" w:line="240" w:lineRule="auto"/>
              <w:jc w:val="center"/>
              <w:rPr>
                <w:rFonts w:ascii="Times New Roman" w:hAnsi="Times New Roman"/>
                <w:sz w:val="20"/>
                <w:szCs w:val="20"/>
              </w:rPr>
            </w:pPr>
            <w:r w:rsidRPr="008B4B55">
              <w:rPr>
                <w:rFonts w:ascii="Times New Roman" w:hAnsi="Times New Roman"/>
                <w:sz w:val="20"/>
                <w:szCs w:val="20"/>
              </w:rPr>
              <w:t>0</w:t>
            </w:r>
          </w:p>
        </w:tc>
        <w:tc>
          <w:tcPr>
            <w:tcW w:w="1508" w:type="dxa"/>
            <w:shd w:val="clear" w:color="auto" w:fill="auto"/>
            <w:vAlign w:val="center"/>
          </w:tcPr>
          <w:p w:rsidR="008B4B55" w:rsidRPr="008B4B55" w:rsidRDefault="008B4B55" w:rsidP="00A70E24">
            <w:pPr>
              <w:spacing w:after="0" w:line="240" w:lineRule="auto"/>
              <w:jc w:val="center"/>
              <w:rPr>
                <w:rFonts w:ascii="Times New Roman" w:eastAsia="Times New Roman" w:hAnsi="Times New Roman"/>
                <w:color w:val="000000"/>
                <w:sz w:val="20"/>
                <w:szCs w:val="20"/>
                <w:lang w:eastAsia="lt-LT"/>
              </w:rPr>
            </w:pPr>
          </w:p>
        </w:tc>
        <w:tc>
          <w:tcPr>
            <w:tcW w:w="1576" w:type="dxa"/>
            <w:shd w:val="clear" w:color="auto" w:fill="auto"/>
            <w:noWrap/>
            <w:vAlign w:val="center"/>
          </w:tcPr>
          <w:p w:rsidR="008B4B55" w:rsidRPr="008B4B55" w:rsidRDefault="008B4B55" w:rsidP="00A70E24">
            <w:pPr>
              <w:spacing w:after="0" w:line="240" w:lineRule="auto"/>
              <w:jc w:val="center"/>
              <w:rPr>
                <w:rFonts w:ascii="Times New Roman" w:hAnsi="Times New Roman"/>
                <w:sz w:val="20"/>
                <w:szCs w:val="20"/>
              </w:rPr>
            </w:pPr>
            <w:r w:rsidRPr="008B4B55">
              <w:rPr>
                <w:rFonts w:ascii="Times New Roman" w:hAnsi="Times New Roman"/>
                <w:sz w:val="20"/>
                <w:szCs w:val="20"/>
              </w:rPr>
              <w:t>0</w:t>
            </w:r>
          </w:p>
        </w:tc>
        <w:tc>
          <w:tcPr>
            <w:tcW w:w="1543" w:type="dxa"/>
            <w:shd w:val="clear" w:color="auto" w:fill="auto"/>
            <w:vAlign w:val="center"/>
          </w:tcPr>
          <w:p w:rsidR="008B4B55" w:rsidRPr="008B4B55" w:rsidRDefault="008B4B55" w:rsidP="00A70E24">
            <w:pPr>
              <w:spacing w:after="0" w:line="240" w:lineRule="auto"/>
              <w:jc w:val="center"/>
              <w:rPr>
                <w:rFonts w:ascii="Times New Roman" w:eastAsia="Times New Roman" w:hAnsi="Times New Roman"/>
                <w:color w:val="000000"/>
                <w:sz w:val="20"/>
                <w:szCs w:val="20"/>
                <w:lang w:eastAsia="lt-LT"/>
              </w:rPr>
            </w:pPr>
          </w:p>
        </w:tc>
      </w:tr>
      <w:tr w:rsidR="008B4B55" w:rsidRPr="00E70675" w:rsidTr="00A70E24">
        <w:trPr>
          <w:trHeight w:val="300"/>
        </w:trPr>
        <w:tc>
          <w:tcPr>
            <w:tcW w:w="1384" w:type="dxa"/>
            <w:shd w:val="clear" w:color="auto" w:fill="auto"/>
            <w:hideMark/>
          </w:tcPr>
          <w:p w:rsidR="008B4B55" w:rsidRPr="00014597" w:rsidRDefault="00014597" w:rsidP="00E73FE1">
            <w:pPr>
              <w:widowControl w:val="0"/>
              <w:tabs>
                <w:tab w:val="left" w:pos="622"/>
              </w:tabs>
              <w:spacing w:after="0" w:line="240" w:lineRule="auto"/>
              <w:jc w:val="both"/>
              <w:rPr>
                <w:rFonts w:ascii="Times New Roman" w:eastAsia="AngsanaUPC" w:hAnsi="Times New Roman"/>
                <w:b/>
                <w:bCs/>
                <w:i/>
                <w:sz w:val="20"/>
                <w:szCs w:val="20"/>
                <w:lang w:eastAsia="lt-LT"/>
              </w:rPr>
            </w:pPr>
            <w:r w:rsidRPr="00014597">
              <w:rPr>
                <w:rFonts w:ascii="Times New Roman" w:eastAsia="AngsanaUPC" w:hAnsi="Times New Roman"/>
                <w:b/>
                <w:bCs/>
                <w:i/>
                <w:iCs/>
                <w:sz w:val="20"/>
                <w:szCs w:val="24"/>
                <w:lang w:eastAsia="lt-LT"/>
              </w:rPr>
              <w:t>S</w:t>
            </w:r>
            <w:r w:rsidR="00E73FE1">
              <w:rPr>
                <w:rFonts w:ascii="Times New Roman" w:eastAsia="AngsanaUPC" w:hAnsi="Times New Roman"/>
                <w:b/>
                <w:bCs/>
                <w:i/>
                <w:iCs/>
                <w:sz w:val="20"/>
                <w:szCs w:val="24"/>
                <w:lang w:eastAsia="lt-LT"/>
              </w:rPr>
              <w:t>a</w:t>
            </w:r>
            <w:r w:rsidRPr="00014597">
              <w:rPr>
                <w:rFonts w:ascii="Times New Roman" w:eastAsia="AngsanaUPC" w:hAnsi="Times New Roman"/>
                <w:b/>
                <w:bCs/>
                <w:i/>
                <w:iCs/>
                <w:sz w:val="20"/>
                <w:szCs w:val="24"/>
                <w:lang w:eastAsia="lt-LT"/>
              </w:rPr>
              <w:t>F</w:t>
            </w:r>
          </w:p>
        </w:tc>
        <w:tc>
          <w:tcPr>
            <w:tcW w:w="1134" w:type="dxa"/>
          </w:tcPr>
          <w:p w:rsidR="008B4B55" w:rsidRPr="004451CA" w:rsidRDefault="008B4B55" w:rsidP="00CB7E46">
            <w:pPr>
              <w:widowControl w:val="0"/>
              <w:tabs>
                <w:tab w:val="left" w:pos="622"/>
              </w:tabs>
              <w:spacing w:after="0" w:line="240" w:lineRule="auto"/>
              <w:jc w:val="center"/>
              <w:rPr>
                <w:rFonts w:ascii="Times New Roman" w:eastAsia="AngsanaUPC" w:hAnsi="Times New Roman"/>
                <w:bCs/>
                <w:sz w:val="20"/>
                <w:szCs w:val="20"/>
                <w:lang w:eastAsia="lt-LT"/>
              </w:rPr>
            </w:pPr>
            <w:r w:rsidRPr="004451CA">
              <w:rPr>
                <w:rFonts w:ascii="Times New Roman" w:eastAsia="AngsanaUPC" w:hAnsi="Times New Roman"/>
                <w:bCs/>
                <w:sz w:val="20"/>
                <w:szCs w:val="20"/>
                <w:lang w:eastAsia="lt-LT"/>
              </w:rPr>
              <w:t>Netaikoma</w:t>
            </w:r>
          </w:p>
        </w:tc>
        <w:tc>
          <w:tcPr>
            <w:tcW w:w="1395" w:type="dxa"/>
            <w:shd w:val="clear" w:color="auto" w:fill="auto"/>
            <w:noWrap/>
            <w:vAlign w:val="center"/>
          </w:tcPr>
          <w:p w:rsidR="008B4B55" w:rsidRPr="008B4B55" w:rsidRDefault="008B4B55" w:rsidP="00A70E24">
            <w:pPr>
              <w:spacing w:after="0" w:line="240" w:lineRule="auto"/>
              <w:jc w:val="center"/>
              <w:rPr>
                <w:rFonts w:ascii="Times New Roman" w:hAnsi="Times New Roman"/>
                <w:sz w:val="20"/>
                <w:szCs w:val="20"/>
              </w:rPr>
            </w:pPr>
            <w:r w:rsidRPr="008B4B55">
              <w:rPr>
                <w:rFonts w:ascii="Times New Roman" w:hAnsi="Times New Roman"/>
                <w:sz w:val="20"/>
                <w:szCs w:val="20"/>
              </w:rPr>
              <w:t>241.229.143</w:t>
            </w:r>
          </w:p>
        </w:tc>
        <w:tc>
          <w:tcPr>
            <w:tcW w:w="1582" w:type="dxa"/>
            <w:shd w:val="clear" w:color="auto" w:fill="auto"/>
            <w:vAlign w:val="center"/>
          </w:tcPr>
          <w:p w:rsidR="008B4B55" w:rsidRPr="008B4B55" w:rsidRDefault="008B4B55" w:rsidP="00A70E24">
            <w:pPr>
              <w:spacing w:after="0" w:line="240" w:lineRule="auto"/>
              <w:jc w:val="center"/>
              <w:rPr>
                <w:rFonts w:ascii="Times New Roman" w:hAnsi="Times New Roman"/>
                <w:sz w:val="20"/>
                <w:szCs w:val="20"/>
              </w:rPr>
            </w:pPr>
            <w:r w:rsidRPr="008B4B55">
              <w:rPr>
                <w:rFonts w:ascii="Times New Roman" w:hAnsi="Times New Roman"/>
                <w:sz w:val="20"/>
                <w:szCs w:val="20"/>
              </w:rPr>
              <w:t>15.397.605</w:t>
            </w:r>
          </w:p>
        </w:tc>
        <w:tc>
          <w:tcPr>
            <w:tcW w:w="1502" w:type="dxa"/>
            <w:shd w:val="clear" w:color="auto" w:fill="auto"/>
            <w:noWrap/>
            <w:vAlign w:val="center"/>
          </w:tcPr>
          <w:p w:rsidR="008B4B55" w:rsidRPr="008B4B55" w:rsidRDefault="008B4B55" w:rsidP="00A70E24">
            <w:pPr>
              <w:spacing w:after="0" w:line="240" w:lineRule="auto"/>
              <w:jc w:val="center"/>
              <w:rPr>
                <w:rFonts w:ascii="Times New Roman" w:hAnsi="Times New Roman"/>
                <w:sz w:val="20"/>
                <w:szCs w:val="20"/>
              </w:rPr>
            </w:pPr>
            <w:r w:rsidRPr="008B4B55">
              <w:rPr>
                <w:rFonts w:ascii="Times New Roman" w:hAnsi="Times New Roman"/>
                <w:sz w:val="20"/>
                <w:szCs w:val="20"/>
              </w:rPr>
              <w:t>252.993.465</w:t>
            </w:r>
          </w:p>
        </w:tc>
        <w:tc>
          <w:tcPr>
            <w:tcW w:w="1616" w:type="dxa"/>
            <w:shd w:val="clear" w:color="auto" w:fill="auto"/>
            <w:vAlign w:val="center"/>
          </w:tcPr>
          <w:p w:rsidR="008B4B55" w:rsidRPr="008B4B55" w:rsidRDefault="008B4B55" w:rsidP="00A70E24">
            <w:pPr>
              <w:spacing w:after="0" w:line="240" w:lineRule="auto"/>
              <w:jc w:val="center"/>
              <w:rPr>
                <w:rFonts w:ascii="Times New Roman" w:hAnsi="Times New Roman"/>
                <w:sz w:val="20"/>
                <w:szCs w:val="20"/>
              </w:rPr>
            </w:pPr>
            <w:r w:rsidRPr="008B4B55">
              <w:rPr>
                <w:rFonts w:ascii="Times New Roman" w:hAnsi="Times New Roman"/>
                <w:sz w:val="20"/>
                <w:szCs w:val="20"/>
              </w:rPr>
              <w:t>16.148.519</w:t>
            </w:r>
          </w:p>
        </w:tc>
        <w:tc>
          <w:tcPr>
            <w:tcW w:w="1469" w:type="dxa"/>
            <w:shd w:val="clear" w:color="auto" w:fill="auto"/>
            <w:noWrap/>
            <w:vAlign w:val="center"/>
          </w:tcPr>
          <w:p w:rsidR="008B4B55" w:rsidRPr="008B4B55" w:rsidRDefault="008B4B55" w:rsidP="00A70E24">
            <w:pPr>
              <w:spacing w:after="0" w:line="240" w:lineRule="auto"/>
              <w:jc w:val="center"/>
              <w:rPr>
                <w:rFonts w:ascii="Times New Roman" w:hAnsi="Times New Roman"/>
                <w:sz w:val="20"/>
                <w:szCs w:val="20"/>
              </w:rPr>
            </w:pPr>
            <w:r w:rsidRPr="008B4B55">
              <w:rPr>
                <w:rFonts w:ascii="Times New Roman" w:hAnsi="Times New Roman"/>
                <w:sz w:val="20"/>
                <w:szCs w:val="20"/>
              </w:rPr>
              <w:t>265.199.897</w:t>
            </w:r>
          </w:p>
        </w:tc>
        <w:tc>
          <w:tcPr>
            <w:tcW w:w="1508" w:type="dxa"/>
            <w:shd w:val="clear" w:color="auto" w:fill="auto"/>
            <w:vAlign w:val="center"/>
          </w:tcPr>
          <w:p w:rsidR="008B4B55" w:rsidRPr="008B4B55" w:rsidRDefault="008B4B55" w:rsidP="00A70E24">
            <w:pPr>
              <w:spacing w:after="0" w:line="240" w:lineRule="auto"/>
              <w:jc w:val="center"/>
              <w:rPr>
                <w:rFonts w:ascii="Times New Roman" w:hAnsi="Times New Roman"/>
                <w:sz w:val="20"/>
                <w:szCs w:val="20"/>
              </w:rPr>
            </w:pPr>
            <w:r w:rsidRPr="008B4B55">
              <w:rPr>
                <w:rFonts w:ascii="Times New Roman" w:hAnsi="Times New Roman"/>
                <w:sz w:val="20"/>
                <w:szCs w:val="20"/>
              </w:rPr>
              <w:t>16.927.653</w:t>
            </w:r>
          </w:p>
        </w:tc>
        <w:tc>
          <w:tcPr>
            <w:tcW w:w="1576" w:type="dxa"/>
            <w:shd w:val="clear" w:color="auto" w:fill="auto"/>
            <w:noWrap/>
            <w:vAlign w:val="center"/>
          </w:tcPr>
          <w:p w:rsidR="008B4B55" w:rsidRPr="008B4B55" w:rsidRDefault="008B4B55" w:rsidP="00A70E24">
            <w:pPr>
              <w:spacing w:after="0" w:line="240" w:lineRule="auto"/>
              <w:jc w:val="center"/>
              <w:rPr>
                <w:rFonts w:ascii="Times New Roman" w:hAnsi="Times New Roman"/>
                <w:sz w:val="20"/>
                <w:szCs w:val="20"/>
              </w:rPr>
            </w:pPr>
            <w:r w:rsidRPr="008B4B55">
              <w:rPr>
                <w:rFonts w:ascii="Times New Roman" w:hAnsi="Times New Roman"/>
                <w:sz w:val="20"/>
                <w:szCs w:val="20"/>
              </w:rPr>
              <w:t>275.894.142</w:t>
            </w:r>
          </w:p>
        </w:tc>
        <w:tc>
          <w:tcPr>
            <w:tcW w:w="1543" w:type="dxa"/>
            <w:shd w:val="clear" w:color="auto" w:fill="auto"/>
            <w:vAlign w:val="center"/>
          </w:tcPr>
          <w:p w:rsidR="008B4B55" w:rsidRPr="008B4B55" w:rsidRDefault="008B4B55" w:rsidP="00A70E24">
            <w:pPr>
              <w:spacing w:after="0" w:line="240" w:lineRule="auto"/>
              <w:jc w:val="center"/>
              <w:rPr>
                <w:rFonts w:ascii="Times New Roman" w:hAnsi="Times New Roman"/>
                <w:sz w:val="20"/>
                <w:szCs w:val="20"/>
              </w:rPr>
            </w:pPr>
            <w:r w:rsidRPr="008B4B55">
              <w:rPr>
                <w:rFonts w:ascii="Times New Roman" w:hAnsi="Times New Roman"/>
                <w:sz w:val="20"/>
                <w:szCs w:val="20"/>
              </w:rPr>
              <w:t>17.610.265</w:t>
            </w:r>
          </w:p>
        </w:tc>
      </w:tr>
      <w:tr w:rsidR="008B4B55" w:rsidRPr="00E70675" w:rsidTr="00A70E24">
        <w:trPr>
          <w:trHeight w:val="300"/>
        </w:trPr>
        <w:tc>
          <w:tcPr>
            <w:tcW w:w="1384" w:type="dxa"/>
            <w:shd w:val="clear" w:color="auto" w:fill="auto"/>
            <w:hideMark/>
          </w:tcPr>
          <w:p w:rsidR="008B4B55" w:rsidRPr="00907F47" w:rsidRDefault="008B4B55" w:rsidP="00E70675">
            <w:pPr>
              <w:widowControl w:val="0"/>
              <w:tabs>
                <w:tab w:val="left" w:pos="622"/>
              </w:tabs>
              <w:spacing w:after="0" w:line="240" w:lineRule="auto"/>
              <w:jc w:val="both"/>
              <w:rPr>
                <w:rFonts w:ascii="Times New Roman" w:eastAsia="AngsanaUPC" w:hAnsi="Times New Roman"/>
                <w:b/>
                <w:bCs/>
                <w:sz w:val="20"/>
                <w:szCs w:val="20"/>
                <w:lang w:eastAsia="lt-LT"/>
              </w:rPr>
            </w:pPr>
            <w:r w:rsidRPr="00907F47">
              <w:rPr>
                <w:rFonts w:ascii="Times New Roman" w:eastAsia="AngsanaUPC" w:hAnsi="Times New Roman"/>
                <w:b/>
                <w:bCs/>
                <w:sz w:val="20"/>
                <w:szCs w:val="20"/>
                <w:lang w:eastAsia="lt-LT"/>
              </w:rPr>
              <w:t>Iš viso</w:t>
            </w:r>
          </w:p>
        </w:tc>
        <w:tc>
          <w:tcPr>
            <w:tcW w:w="1134" w:type="dxa"/>
          </w:tcPr>
          <w:p w:rsidR="008B4B55" w:rsidRPr="006D0DE4" w:rsidRDefault="008B4B55" w:rsidP="00CB7E46">
            <w:pPr>
              <w:widowControl w:val="0"/>
              <w:tabs>
                <w:tab w:val="left" w:pos="622"/>
              </w:tabs>
              <w:spacing w:after="0" w:line="240" w:lineRule="auto"/>
              <w:jc w:val="center"/>
              <w:rPr>
                <w:rFonts w:ascii="Times New Roman" w:eastAsia="AngsanaUPC" w:hAnsi="Times New Roman"/>
                <w:bCs/>
                <w:lang w:eastAsia="lt-LT"/>
              </w:rPr>
            </w:pPr>
          </w:p>
        </w:tc>
        <w:tc>
          <w:tcPr>
            <w:tcW w:w="1395" w:type="dxa"/>
            <w:shd w:val="clear" w:color="auto" w:fill="auto"/>
            <w:noWrap/>
            <w:vAlign w:val="center"/>
          </w:tcPr>
          <w:p w:rsidR="008B4B55" w:rsidRPr="008B4B55" w:rsidRDefault="00A01188" w:rsidP="00A70E24">
            <w:pPr>
              <w:spacing w:after="0" w:line="240" w:lineRule="auto"/>
              <w:jc w:val="center"/>
              <w:rPr>
                <w:rFonts w:ascii="Times New Roman" w:hAnsi="Times New Roman"/>
                <w:sz w:val="20"/>
                <w:szCs w:val="20"/>
              </w:rPr>
            </w:pPr>
            <w:r>
              <w:rPr>
                <w:rFonts w:ascii="Times New Roman" w:hAnsi="Times New Roman"/>
                <w:sz w:val="20"/>
                <w:szCs w:val="20"/>
              </w:rPr>
              <w:t>807.706.209</w:t>
            </w:r>
          </w:p>
        </w:tc>
        <w:tc>
          <w:tcPr>
            <w:tcW w:w="1582" w:type="dxa"/>
            <w:shd w:val="clear" w:color="auto" w:fill="auto"/>
            <w:vAlign w:val="center"/>
          </w:tcPr>
          <w:p w:rsidR="008B4B55" w:rsidRPr="008B4B55" w:rsidRDefault="00A01188" w:rsidP="00A70E24">
            <w:pPr>
              <w:spacing w:after="0" w:line="240" w:lineRule="auto"/>
              <w:jc w:val="center"/>
              <w:rPr>
                <w:rFonts w:ascii="Times New Roman" w:hAnsi="Times New Roman"/>
                <w:sz w:val="20"/>
                <w:szCs w:val="20"/>
              </w:rPr>
            </w:pPr>
            <w:r>
              <w:rPr>
                <w:rFonts w:ascii="Times New Roman" w:hAnsi="Times New Roman"/>
                <w:sz w:val="20"/>
                <w:szCs w:val="20"/>
              </w:rPr>
              <w:t>49.276.301</w:t>
            </w:r>
          </w:p>
        </w:tc>
        <w:tc>
          <w:tcPr>
            <w:tcW w:w="1502" w:type="dxa"/>
            <w:shd w:val="clear" w:color="auto" w:fill="auto"/>
            <w:noWrap/>
            <w:vAlign w:val="center"/>
          </w:tcPr>
          <w:p w:rsidR="008B4B55" w:rsidRPr="008B4B55" w:rsidRDefault="00A01188" w:rsidP="00A70E24">
            <w:pPr>
              <w:spacing w:after="0" w:line="240" w:lineRule="auto"/>
              <w:jc w:val="center"/>
              <w:rPr>
                <w:rFonts w:ascii="Times New Roman" w:hAnsi="Times New Roman"/>
                <w:sz w:val="20"/>
                <w:szCs w:val="20"/>
              </w:rPr>
            </w:pPr>
            <w:r>
              <w:rPr>
                <w:rFonts w:ascii="Times New Roman" w:hAnsi="Times New Roman"/>
                <w:sz w:val="20"/>
                <w:szCs w:val="20"/>
              </w:rPr>
              <w:t>840.190.336</w:t>
            </w:r>
          </w:p>
        </w:tc>
        <w:tc>
          <w:tcPr>
            <w:tcW w:w="1616" w:type="dxa"/>
            <w:shd w:val="clear" w:color="auto" w:fill="auto"/>
            <w:vAlign w:val="center"/>
          </w:tcPr>
          <w:p w:rsidR="008B4B55" w:rsidRPr="008B4B55" w:rsidRDefault="00A01188" w:rsidP="00A70E24">
            <w:pPr>
              <w:spacing w:after="0" w:line="240" w:lineRule="auto"/>
              <w:jc w:val="center"/>
              <w:rPr>
                <w:rFonts w:ascii="Times New Roman" w:hAnsi="Times New Roman"/>
                <w:sz w:val="20"/>
                <w:szCs w:val="20"/>
              </w:rPr>
            </w:pPr>
            <w:r>
              <w:rPr>
                <w:rFonts w:ascii="Times New Roman" w:hAnsi="Times New Roman"/>
                <w:sz w:val="20"/>
                <w:szCs w:val="20"/>
              </w:rPr>
              <w:t>51.851.227</w:t>
            </w:r>
          </w:p>
        </w:tc>
        <w:tc>
          <w:tcPr>
            <w:tcW w:w="1469" w:type="dxa"/>
            <w:shd w:val="clear" w:color="auto" w:fill="auto"/>
            <w:noWrap/>
            <w:vAlign w:val="center"/>
          </w:tcPr>
          <w:p w:rsidR="008B4B55" w:rsidRPr="008B4B55" w:rsidRDefault="00A01188" w:rsidP="00A70E24">
            <w:pPr>
              <w:spacing w:after="0" w:line="240" w:lineRule="auto"/>
              <w:jc w:val="center"/>
              <w:rPr>
                <w:rFonts w:ascii="Times New Roman" w:hAnsi="Times New Roman"/>
                <w:sz w:val="20"/>
                <w:szCs w:val="20"/>
              </w:rPr>
            </w:pPr>
            <w:r>
              <w:rPr>
                <w:rFonts w:ascii="Times New Roman" w:hAnsi="Times New Roman"/>
                <w:sz w:val="20"/>
                <w:szCs w:val="20"/>
              </w:rPr>
              <w:t>863.614.962</w:t>
            </w:r>
          </w:p>
        </w:tc>
        <w:tc>
          <w:tcPr>
            <w:tcW w:w="1508" w:type="dxa"/>
            <w:shd w:val="clear" w:color="auto" w:fill="auto"/>
            <w:vAlign w:val="center"/>
          </w:tcPr>
          <w:p w:rsidR="008B4B55" w:rsidRPr="008B4B55" w:rsidRDefault="00A01188" w:rsidP="00A70E24">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55.124.359</w:t>
            </w:r>
          </w:p>
        </w:tc>
        <w:tc>
          <w:tcPr>
            <w:tcW w:w="1576" w:type="dxa"/>
            <w:shd w:val="clear" w:color="auto" w:fill="auto"/>
            <w:noWrap/>
            <w:vAlign w:val="center"/>
          </w:tcPr>
          <w:p w:rsidR="008B4B55" w:rsidRPr="008B4B55" w:rsidRDefault="00A01188" w:rsidP="00A70E24">
            <w:pPr>
              <w:spacing w:after="0" w:line="240" w:lineRule="auto"/>
              <w:jc w:val="center"/>
              <w:rPr>
                <w:rFonts w:ascii="Times New Roman" w:hAnsi="Times New Roman"/>
                <w:sz w:val="20"/>
                <w:szCs w:val="20"/>
              </w:rPr>
            </w:pPr>
            <w:r>
              <w:rPr>
                <w:rFonts w:ascii="Times New Roman" w:hAnsi="Times New Roman"/>
                <w:sz w:val="20"/>
                <w:szCs w:val="20"/>
              </w:rPr>
              <w:t>897.894.901</w:t>
            </w:r>
          </w:p>
        </w:tc>
        <w:tc>
          <w:tcPr>
            <w:tcW w:w="1543" w:type="dxa"/>
            <w:shd w:val="clear" w:color="auto" w:fill="auto"/>
            <w:vAlign w:val="center"/>
          </w:tcPr>
          <w:p w:rsidR="008B4B55" w:rsidRPr="008B4B55" w:rsidRDefault="00A01188" w:rsidP="00A70E24">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57.312.442</w:t>
            </w:r>
          </w:p>
        </w:tc>
      </w:tr>
    </w:tbl>
    <w:p w:rsidR="00E70675" w:rsidRDefault="00E70675" w:rsidP="00E70675">
      <w:pPr>
        <w:widowControl w:val="0"/>
        <w:tabs>
          <w:tab w:val="left" w:pos="622"/>
        </w:tabs>
        <w:spacing w:after="0" w:line="240" w:lineRule="auto"/>
        <w:jc w:val="both"/>
        <w:rPr>
          <w:rFonts w:ascii="Times New Roman" w:eastAsia="AngsanaUPC" w:hAnsi="Times New Roman"/>
          <w:b/>
          <w:bCs/>
          <w:sz w:val="24"/>
          <w:szCs w:val="24"/>
          <w:lang w:eastAsia="lt-LT"/>
        </w:rPr>
      </w:pPr>
    </w:p>
    <w:p w:rsidR="008B4B55" w:rsidRPr="00DE7193" w:rsidRDefault="008B4B55" w:rsidP="008B4B55">
      <w:pPr>
        <w:widowControl w:val="0"/>
        <w:tabs>
          <w:tab w:val="left" w:pos="622"/>
        </w:tabs>
        <w:spacing w:after="0" w:line="240" w:lineRule="auto"/>
        <w:jc w:val="both"/>
        <w:rPr>
          <w:rFonts w:ascii="Times New Roman" w:eastAsia="AngsanaUPC" w:hAnsi="Times New Roman"/>
          <w:b/>
          <w:bCs/>
          <w:szCs w:val="24"/>
          <w:lang w:eastAsia="lt-LT"/>
        </w:rPr>
      </w:pPr>
      <w:r w:rsidRPr="00E73FE1">
        <w:rPr>
          <w:rFonts w:ascii="Times New Roman" w:eastAsia="AngsanaUPC" w:hAnsi="Times New Roman"/>
          <w:bCs/>
          <w:i/>
          <w:szCs w:val="24"/>
          <w:lang w:eastAsia="lt-LT"/>
        </w:rPr>
        <w:t>3 lentelės tęsinys.</w:t>
      </w:r>
      <w:r w:rsidRPr="00DE7193">
        <w:rPr>
          <w:rFonts w:ascii="Times New Roman" w:eastAsia="AngsanaUPC" w:hAnsi="Times New Roman"/>
          <w:b/>
          <w:bCs/>
          <w:szCs w:val="24"/>
          <w:lang w:eastAsia="lt-LT"/>
        </w:rPr>
        <w:t xml:space="preserve"> </w:t>
      </w:r>
      <w:r w:rsidRPr="00E73FE1">
        <w:rPr>
          <w:rFonts w:ascii="Times New Roman" w:eastAsia="AngsanaUPC" w:hAnsi="Times New Roman"/>
          <w:b/>
          <w:bCs/>
          <w:szCs w:val="24"/>
          <w:lang w:eastAsia="lt-LT"/>
        </w:rPr>
        <w:t>Bendra finansinių asignavimų suma numatyta pagal kiekvieną fondą</w:t>
      </w:r>
      <w:r w:rsidR="003E0F8A" w:rsidRPr="00E73FE1">
        <w:rPr>
          <w:rFonts w:ascii="Times New Roman" w:eastAsia="AngsanaUPC" w:hAnsi="Times New Roman"/>
          <w:b/>
          <w:bCs/>
          <w:szCs w:val="24"/>
          <w:lang w:eastAsia="lt-LT"/>
        </w:rPr>
        <w:t xml:space="preserve"> (eurais)</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134"/>
        <w:gridCol w:w="1418"/>
        <w:gridCol w:w="1559"/>
        <w:gridCol w:w="1417"/>
        <w:gridCol w:w="1701"/>
        <w:gridCol w:w="1418"/>
        <w:gridCol w:w="1559"/>
        <w:gridCol w:w="1559"/>
        <w:gridCol w:w="1560"/>
      </w:tblGrid>
      <w:tr w:rsidR="008B4B55" w:rsidRPr="00E70675" w:rsidTr="00D772B1">
        <w:trPr>
          <w:trHeight w:val="315"/>
        </w:trPr>
        <w:tc>
          <w:tcPr>
            <w:tcW w:w="1384" w:type="dxa"/>
            <w:shd w:val="clear" w:color="auto" w:fill="EEECE1"/>
            <w:noWrap/>
            <w:vAlign w:val="center"/>
            <w:hideMark/>
          </w:tcPr>
          <w:p w:rsidR="008B4B55" w:rsidRPr="00907F47" w:rsidRDefault="008B4B55" w:rsidP="00907F47">
            <w:pPr>
              <w:widowControl w:val="0"/>
              <w:tabs>
                <w:tab w:val="left" w:pos="622"/>
              </w:tabs>
              <w:spacing w:after="0" w:line="240" w:lineRule="auto"/>
              <w:jc w:val="center"/>
              <w:rPr>
                <w:rFonts w:ascii="Times New Roman" w:eastAsia="AngsanaUPC" w:hAnsi="Times New Roman"/>
                <w:b/>
                <w:bCs/>
                <w:sz w:val="20"/>
                <w:szCs w:val="20"/>
                <w:lang w:eastAsia="lt-LT"/>
              </w:rPr>
            </w:pPr>
            <w:r w:rsidRPr="00907F47">
              <w:rPr>
                <w:rFonts w:ascii="Times New Roman" w:eastAsia="AngsanaUPC" w:hAnsi="Times New Roman"/>
                <w:b/>
                <w:bCs/>
                <w:sz w:val="20"/>
                <w:szCs w:val="20"/>
                <w:lang w:eastAsia="lt-LT"/>
              </w:rPr>
              <w:t>Fondas</w:t>
            </w:r>
          </w:p>
        </w:tc>
        <w:tc>
          <w:tcPr>
            <w:tcW w:w="1134" w:type="dxa"/>
            <w:shd w:val="clear" w:color="auto" w:fill="EEECE1"/>
            <w:vAlign w:val="center"/>
          </w:tcPr>
          <w:p w:rsidR="008B4B55" w:rsidRPr="00907F47" w:rsidRDefault="008B4B55" w:rsidP="00907F47">
            <w:pPr>
              <w:widowControl w:val="0"/>
              <w:tabs>
                <w:tab w:val="left" w:pos="622"/>
              </w:tabs>
              <w:spacing w:after="0" w:line="240" w:lineRule="auto"/>
              <w:jc w:val="center"/>
              <w:rPr>
                <w:rFonts w:ascii="Times New Roman" w:eastAsia="AngsanaUPC" w:hAnsi="Times New Roman"/>
                <w:b/>
                <w:bCs/>
                <w:sz w:val="20"/>
                <w:szCs w:val="20"/>
                <w:lang w:eastAsia="lt-LT"/>
              </w:rPr>
            </w:pPr>
            <w:r w:rsidRPr="00907F47">
              <w:rPr>
                <w:rFonts w:ascii="Times New Roman" w:eastAsia="AngsanaUPC" w:hAnsi="Times New Roman"/>
                <w:b/>
                <w:bCs/>
                <w:sz w:val="20"/>
                <w:szCs w:val="20"/>
                <w:lang w:eastAsia="lt-LT"/>
              </w:rPr>
              <w:t>Regiono kategorija</w:t>
            </w:r>
          </w:p>
        </w:tc>
        <w:tc>
          <w:tcPr>
            <w:tcW w:w="2977" w:type="dxa"/>
            <w:gridSpan w:val="2"/>
            <w:shd w:val="clear" w:color="auto" w:fill="EEECE1"/>
            <w:noWrap/>
            <w:vAlign w:val="center"/>
            <w:hideMark/>
          </w:tcPr>
          <w:p w:rsidR="008B4B55" w:rsidRPr="00907F47" w:rsidRDefault="008B4B55" w:rsidP="00907F47">
            <w:pPr>
              <w:widowControl w:val="0"/>
              <w:tabs>
                <w:tab w:val="left" w:pos="622"/>
              </w:tabs>
              <w:spacing w:after="0" w:line="240" w:lineRule="auto"/>
              <w:jc w:val="center"/>
              <w:rPr>
                <w:rFonts w:ascii="Times New Roman" w:eastAsia="AngsanaUPC" w:hAnsi="Times New Roman"/>
                <w:b/>
                <w:bCs/>
                <w:lang w:eastAsia="lt-LT"/>
              </w:rPr>
            </w:pPr>
            <w:r w:rsidRPr="00907F47">
              <w:rPr>
                <w:rFonts w:ascii="Times New Roman" w:eastAsia="AngsanaUPC" w:hAnsi="Times New Roman"/>
                <w:b/>
                <w:bCs/>
                <w:lang w:eastAsia="lt-LT"/>
              </w:rPr>
              <w:t>2018</w:t>
            </w:r>
          </w:p>
        </w:tc>
        <w:tc>
          <w:tcPr>
            <w:tcW w:w="3118" w:type="dxa"/>
            <w:gridSpan w:val="2"/>
            <w:shd w:val="clear" w:color="auto" w:fill="EEECE1"/>
            <w:noWrap/>
            <w:vAlign w:val="center"/>
            <w:hideMark/>
          </w:tcPr>
          <w:p w:rsidR="008B4B55" w:rsidRPr="00907F47" w:rsidRDefault="008B4B55" w:rsidP="00907F47">
            <w:pPr>
              <w:widowControl w:val="0"/>
              <w:tabs>
                <w:tab w:val="left" w:pos="622"/>
              </w:tabs>
              <w:spacing w:after="0" w:line="240" w:lineRule="auto"/>
              <w:jc w:val="center"/>
              <w:rPr>
                <w:rFonts w:ascii="Times New Roman" w:eastAsia="AngsanaUPC" w:hAnsi="Times New Roman"/>
                <w:b/>
                <w:bCs/>
                <w:lang w:eastAsia="lt-LT"/>
              </w:rPr>
            </w:pPr>
            <w:r w:rsidRPr="00907F47">
              <w:rPr>
                <w:rFonts w:ascii="Times New Roman" w:eastAsia="AngsanaUPC" w:hAnsi="Times New Roman"/>
                <w:b/>
                <w:bCs/>
                <w:lang w:eastAsia="lt-LT"/>
              </w:rPr>
              <w:t>2019</w:t>
            </w:r>
          </w:p>
        </w:tc>
        <w:tc>
          <w:tcPr>
            <w:tcW w:w="2977" w:type="dxa"/>
            <w:gridSpan w:val="2"/>
            <w:shd w:val="clear" w:color="auto" w:fill="EEECE1"/>
            <w:noWrap/>
            <w:vAlign w:val="center"/>
            <w:hideMark/>
          </w:tcPr>
          <w:p w:rsidR="008B4B55" w:rsidRPr="00907F47" w:rsidRDefault="008B4B55" w:rsidP="00907F47">
            <w:pPr>
              <w:widowControl w:val="0"/>
              <w:tabs>
                <w:tab w:val="left" w:pos="622"/>
              </w:tabs>
              <w:spacing w:after="0" w:line="240" w:lineRule="auto"/>
              <w:jc w:val="center"/>
              <w:rPr>
                <w:rFonts w:ascii="Times New Roman" w:eastAsia="AngsanaUPC" w:hAnsi="Times New Roman"/>
                <w:b/>
                <w:bCs/>
                <w:lang w:eastAsia="lt-LT"/>
              </w:rPr>
            </w:pPr>
            <w:r w:rsidRPr="00907F47">
              <w:rPr>
                <w:rFonts w:ascii="Times New Roman" w:eastAsia="AngsanaUPC" w:hAnsi="Times New Roman"/>
                <w:b/>
                <w:bCs/>
                <w:lang w:eastAsia="lt-LT"/>
              </w:rPr>
              <w:t>2020</w:t>
            </w:r>
          </w:p>
        </w:tc>
        <w:tc>
          <w:tcPr>
            <w:tcW w:w="3119" w:type="dxa"/>
            <w:gridSpan w:val="2"/>
            <w:shd w:val="clear" w:color="auto" w:fill="EEECE1"/>
            <w:noWrap/>
            <w:vAlign w:val="center"/>
            <w:hideMark/>
          </w:tcPr>
          <w:p w:rsidR="008B4B55" w:rsidRPr="00907F47" w:rsidRDefault="00D97B9B" w:rsidP="00907F47">
            <w:pPr>
              <w:widowControl w:val="0"/>
              <w:tabs>
                <w:tab w:val="left" w:pos="622"/>
              </w:tabs>
              <w:spacing w:after="0" w:line="240" w:lineRule="auto"/>
              <w:jc w:val="center"/>
              <w:rPr>
                <w:rFonts w:ascii="Times New Roman" w:eastAsia="AngsanaUPC" w:hAnsi="Times New Roman"/>
                <w:b/>
                <w:bCs/>
                <w:lang w:eastAsia="lt-LT"/>
              </w:rPr>
            </w:pPr>
            <w:r>
              <w:rPr>
                <w:rFonts w:ascii="Times New Roman" w:eastAsia="AngsanaUPC" w:hAnsi="Times New Roman"/>
                <w:b/>
                <w:bCs/>
                <w:lang w:eastAsia="lt-LT"/>
              </w:rPr>
              <w:t>2021</w:t>
            </w:r>
          </w:p>
        </w:tc>
      </w:tr>
      <w:tr w:rsidR="008B4B55" w:rsidRPr="00E70675" w:rsidTr="00D772B1">
        <w:trPr>
          <w:trHeight w:val="300"/>
        </w:trPr>
        <w:tc>
          <w:tcPr>
            <w:tcW w:w="1384" w:type="dxa"/>
            <w:shd w:val="clear" w:color="auto" w:fill="auto"/>
          </w:tcPr>
          <w:p w:rsidR="008B4B55" w:rsidRPr="006F6895" w:rsidRDefault="008B4B55" w:rsidP="00E029A5">
            <w:pPr>
              <w:widowControl w:val="0"/>
              <w:tabs>
                <w:tab w:val="left" w:pos="622"/>
              </w:tabs>
              <w:spacing w:after="0" w:line="240" w:lineRule="auto"/>
              <w:jc w:val="both"/>
              <w:rPr>
                <w:rFonts w:ascii="Times New Roman" w:eastAsia="AngsanaUPC" w:hAnsi="Times New Roman"/>
                <w:bCs/>
                <w:i/>
                <w:iCs/>
                <w:sz w:val="20"/>
                <w:szCs w:val="20"/>
                <w:lang w:eastAsia="lt-LT"/>
              </w:rPr>
            </w:pPr>
          </w:p>
        </w:tc>
        <w:tc>
          <w:tcPr>
            <w:tcW w:w="1134" w:type="dxa"/>
          </w:tcPr>
          <w:p w:rsidR="008B4B55" w:rsidRPr="0076682D" w:rsidRDefault="008B4B55" w:rsidP="00E029A5">
            <w:pPr>
              <w:widowControl w:val="0"/>
              <w:tabs>
                <w:tab w:val="left" w:pos="622"/>
              </w:tabs>
              <w:spacing w:after="0" w:line="240" w:lineRule="auto"/>
              <w:jc w:val="center"/>
              <w:rPr>
                <w:rFonts w:ascii="Times New Roman" w:eastAsia="AngsanaUPC" w:hAnsi="Times New Roman"/>
                <w:bCs/>
                <w:sz w:val="20"/>
                <w:szCs w:val="20"/>
                <w:lang w:eastAsia="lt-LT"/>
              </w:rPr>
            </w:pPr>
          </w:p>
        </w:tc>
        <w:tc>
          <w:tcPr>
            <w:tcW w:w="1418" w:type="dxa"/>
            <w:shd w:val="clear" w:color="auto" w:fill="auto"/>
            <w:noWrap/>
            <w:vAlign w:val="center"/>
          </w:tcPr>
          <w:p w:rsidR="008B4B55" w:rsidRPr="008B4B55" w:rsidRDefault="008B4B55" w:rsidP="00E029A5">
            <w:pPr>
              <w:spacing w:after="0" w:line="240" w:lineRule="auto"/>
              <w:jc w:val="center"/>
              <w:rPr>
                <w:rFonts w:ascii="Times New Roman" w:eastAsia="Times New Roman" w:hAnsi="Times New Roman"/>
                <w:bCs/>
                <w:color w:val="000000"/>
                <w:sz w:val="20"/>
                <w:szCs w:val="20"/>
                <w:lang w:eastAsia="lt-LT"/>
              </w:rPr>
            </w:pPr>
            <w:r w:rsidRPr="008B4B55">
              <w:rPr>
                <w:rFonts w:ascii="Times New Roman" w:eastAsia="Times New Roman" w:hAnsi="Times New Roman"/>
                <w:bCs/>
                <w:color w:val="000000"/>
                <w:sz w:val="20"/>
                <w:szCs w:val="20"/>
                <w:lang w:eastAsia="lt-LT"/>
              </w:rPr>
              <w:t>Asignavimai be rezervo</w:t>
            </w:r>
          </w:p>
        </w:tc>
        <w:tc>
          <w:tcPr>
            <w:tcW w:w="1559" w:type="dxa"/>
            <w:shd w:val="clear" w:color="auto" w:fill="auto"/>
            <w:vAlign w:val="center"/>
          </w:tcPr>
          <w:p w:rsidR="008B4B55" w:rsidRPr="008B4B55" w:rsidRDefault="008B4B55" w:rsidP="00E029A5">
            <w:pPr>
              <w:spacing w:after="0" w:line="240" w:lineRule="auto"/>
              <w:jc w:val="center"/>
              <w:rPr>
                <w:rFonts w:ascii="Times New Roman" w:eastAsia="Times New Roman" w:hAnsi="Times New Roman"/>
                <w:bCs/>
                <w:color w:val="000000"/>
                <w:sz w:val="20"/>
                <w:szCs w:val="20"/>
                <w:lang w:eastAsia="lt-LT"/>
              </w:rPr>
            </w:pPr>
            <w:r w:rsidRPr="008B4B55">
              <w:rPr>
                <w:rFonts w:ascii="Times New Roman" w:eastAsia="Times New Roman" w:hAnsi="Times New Roman"/>
                <w:bCs/>
                <w:color w:val="000000"/>
                <w:sz w:val="20"/>
                <w:szCs w:val="20"/>
                <w:lang w:eastAsia="lt-LT"/>
              </w:rPr>
              <w:t>Veiklos rezervas</w:t>
            </w:r>
          </w:p>
        </w:tc>
        <w:tc>
          <w:tcPr>
            <w:tcW w:w="1417" w:type="dxa"/>
            <w:shd w:val="clear" w:color="auto" w:fill="auto"/>
            <w:noWrap/>
            <w:vAlign w:val="center"/>
          </w:tcPr>
          <w:p w:rsidR="008B4B55" w:rsidRPr="008B4B55" w:rsidRDefault="008B4B55" w:rsidP="00E029A5">
            <w:pPr>
              <w:spacing w:after="0" w:line="240" w:lineRule="auto"/>
              <w:jc w:val="center"/>
              <w:rPr>
                <w:rFonts w:ascii="Times New Roman" w:eastAsia="Times New Roman" w:hAnsi="Times New Roman"/>
                <w:bCs/>
                <w:color w:val="000000"/>
                <w:sz w:val="20"/>
                <w:szCs w:val="20"/>
                <w:lang w:eastAsia="lt-LT"/>
              </w:rPr>
            </w:pPr>
            <w:r w:rsidRPr="008B4B55">
              <w:rPr>
                <w:rFonts w:ascii="Times New Roman" w:eastAsia="Times New Roman" w:hAnsi="Times New Roman"/>
                <w:bCs/>
                <w:color w:val="000000"/>
                <w:sz w:val="20"/>
                <w:szCs w:val="20"/>
                <w:lang w:eastAsia="lt-LT"/>
              </w:rPr>
              <w:t>Asignavimai be rezervo</w:t>
            </w:r>
          </w:p>
        </w:tc>
        <w:tc>
          <w:tcPr>
            <w:tcW w:w="1701" w:type="dxa"/>
            <w:shd w:val="clear" w:color="auto" w:fill="auto"/>
            <w:vAlign w:val="center"/>
          </w:tcPr>
          <w:p w:rsidR="008B4B55" w:rsidRPr="008B4B55" w:rsidRDefault="008B4B55" w:rsidP="00E029A5">
            <w:pPr>
              <w:spacing w:after="0" w:line="240" w:lineRule="auto"/>
              <w:jc w:val="center"/>
              <w:rPr>
                <w:rFonts w:ascii="Times New Roman" w:eastAsia="Times New Roman" w:hAnsi="Times New Roman"/>
                <w:bCs/>
                <w:color w:val="000000"/>
                <w:sz w:val="20"/>
                <w:szCs w:val="20"/>
                <w:lang w:eastAsia="lt-LT"/>
              </w:rPr>
            </w:pPr>
            <w:r w:rsidRPr="008B4B55">
              <w:rPr>
                <w:rFonts w:ascii="Times New Roman" w:eastAsia="Times New Roman" w:hAnsi="Times New Roman"/>
                <w:bCs/>
                <w:color w:val="000000"/>
                <w:sz w:val="20"/>
                <w:szCs w:val="20"/>
                <w:lang w:eastAsia="lt-LT"/>
              </w:rPr>
              <w:t>Veiklos rezervas</w:t>
            </w:r>
          </w:p>
        </w:tc>
        <w:tc>
          <w:tcPr>
            <w:tcW w:w="1418" w:type="dxa"/>
            <w:shd w:val="clear" w:color="auto" w:fill="auto"/>
            <w:noWrap/>
            <w:vAlign w:val="center"/>
          </w:tcPr>
          <w:p w:rsidR="008B4B55" w:rsidRPr="008B4B55" w:rsidRDefault="008B4B55" w:rsidP="00E029A5">
            <w:pPr>
              <w:spacing w:after="0" w:line="240" w:lineRule="auto"/>
              <w:jc w:val="center"/>
              <w:rPr>
                <w:rFonts w:ascii="Times New Roman" w:eastAsia="Times New Roman" w:hAnsi="Times New Roman"/>
                <w:bCs/>
                <w:color w:val="000000"/>
                <w:sz w:val="20"/>
                <w:szCs w:val="20"/>
                <w:lang w:eastAsia="lt-LT"/>
              </w:rPr>
            </w:pPr>
            <w:r w:rsidRPr="008B4B55">
              <w:rPr>
                <w:rFonts w:ascii="Times New Roman" w:eastAsia="Times New Roman" w:hAnsi="Times New Roman"/>
                <w:bCs/>
                <w:color w:val="000000"/>
                <w:sz w:val="20"/>
                <w:szCs w:val="20"/>
                <w:lang w:eastAsia="lt-LT"/>
              </w:rPr>
              <w:t>Asignavimai be rezervo</w:t>
            </w:r>
          </w:p>
        </w:tc>
        <w:tc>
          <w:tcPr>
            <w:tcW w:w="1559" w:type="dxa"/>
            <w:shd w:val="clear" w:color="auto" w:fill="auto"/>
            <w:vAlign w:val="center"/>
          </w:tcPr>
          <w:p w:rsidR="008B4B55" w:rsidRPr="008B4B55" w:rsidRDefault="008B4B55" w:rsidP="00E029A5">
            <w:pPr>
              <w:spacing w:after="0" w:line="240" w:lineRule="auto"/>
              <w:jc w:val="center"/>
              <w:rPr>
                <w:rFonts w:ascii="Times New Roman" w:eastAsia="Times New Roman" w:hAnsi="Times New Roman"/>
                <w:bCs/>
                <w:color w:val="000000"/>
                <w:sz w:val="20"/>
                <w:szCs w:val="20"/>
                <w:lang w:eastAsia="lt-LT"/>
              </w:rPr>
            </w:pPr>
            <w:r w:rsidRPr="008B4B55">
              <w:rPr>
                <w:rFonts w:ascii="Times New Roman" w:eastAsia="Times New Roman" w:hAnsi="Times New Roman"/>
                <w:bCs/>
                <w:color w:val="000000"/>
                <w:sz w:val="20"/>
                <w:szCs w:val="20"/>
                <w:lang w:eastAsia="lt-LT"/>
              </w:rPr>
              <w:t>Veiklos rezervas</w:t>
            </w:r>
          </w:p>
        </w:tc>
        <w:tc>
          <w:tcPr>
            <w:tcW w:w="1559" w:type="dxa"/>
            <w:shd w:val="clear" w:color="auto" w:fill="auto"/>
            <w:noWrap/>
            <w:vAlign w:val="center"/>
          </w:tcPr>
          <w:p w:rsidR="008B4B55" w:rsidRPr="008B4B55" w:rsidRDefault="008B4B55" w:rsidP="00E029A5">
            <w:pPr>
              <w:spacing w:after="0" w:line="240" w:lineRule="auto"/>
              <w:jc w:val="center"/>
              <w:rPr>
                <w:rFonts w:ascii="Times New Roman" w:eastAsia="Times New Roman" w:hAnsi="Times New Roman"/>
                <w:bCs/>
                <w:color w:val="000000"/>
                <w:sz w:val="20"/>
                <w:szCs w:val="20"/>
                <w:lang w:eastAsia="lt-LT"/>
              </w:rPr>
            </w:pPr>
            <w:r w:rsidRPr="008B4B55">
              <w:rPr>
                <w:rFonts w:ascii="Times New Roman" w:eastAsia="Times New Roman" w:hAnsi="Times New Roman"/>
                <w:bCs/>
                <w:color w:val="000000"/>
                <w:sz w:val="20"/>
                <w:szCs w:val="20"/>
                <w:lang w:eastAsia="lt-LT"/>
              </w:rPr>
              <w:t>Asignavimai be rezervo</w:t>
            </w:r>
          </w:p>
        </w:tc>
        <w:tc>
          <w:tcPr>
            <w:tcW w:w="1560" w:type="dxa"/>
            <w:shd w:val="clear" w:color="auto" w:fill="auto"/>
            <w:vAlign w:val="center"/>
          </w:tcPr>
          <w:p w:rsidR="008B4B55" w:rsidRPr="008B4B55" w:rsidRDefault="008B4B55" w:rsidP="00E029A5">
            <w:pPr>
              <w:spacing w:after="0" w:line="240" w:lineRule="auto"/>
              <w:jc w:val="center"/>
              <w:rPr>
                <w:rFonts w:ascii="Times New Roman" w:eastAsia="Times New Roman" w:hAnsi="Times New Roman"/>
                <w:bCs/>
                <w:color w:val="000000"/>
                <w:sz w:val="20"/>
                <w:szCs w:val="20"/>
                <w:lang w:eastAsia="lt-LT"/>
              </w:rPr>
            </w:pPr>
            <w:r w:rsidRPr="008B4B55">
              <w:rPr>
                <w:rFonts w:ascii="Times New Roman" w:eastAsia="Times New Roman" w:hAnsi="Times New Roman"/>
                <w:bCs/>
                <w:color w:val="000000"/>
                <w:sz w:val="20"/>
                <w:szCs w:val="20"/>
                <w:lang w:eastAsia="lt-LT"/>
              </w:rPr>
              <w:t>Veiklos rezervas</w:t>
            </w:r>
          </w:p>
        </w:tc>
      </w:tr>
      <w:tr w:rsidR="008B4B55" w:rsidRPr="00E70675" w:rsidTr="00A70E24">
        <w:trPr>
          <w:trHeight w:val="300"/>
        </w:trPr>
        <w:tc>
          <w:tcPr>
            <w:tcW w:w="1384" w:type="dxa"/>
            <w:shd w:val="clear" w:color="auto" w:fill="auto"/>
            <w:hideMark/>
          </w:tcPr>
          <w:p w:rsidR="008B4B55" w:rsidRPr="00907F47" w:rsidRDefault="008B4B55" w:rsidP="00E029A5">
            <w:pPr>
              <w:widowControl w:val="0"/>
              <w:tabs>
                <w:tab w:val="left" w:pos="622"/>
              </w:tabs>
              <w:spacing w:after="0" w:line="240" w:lineRule="auto"/>
              <w:jc w:val="both"/>
              <w:rPr>
                <w:rFonts w:ascii="Times New Roman" w:eastAsia="AngsanaUPC" w:hAnsi="Times New Roman"/>
                <w:b/>
                <w:bCs/>
                <w:i/>
                <w:iCs/>
                <w:sz w:val="20"/>
                <w:szCs w:val="20"/>
                <w:lang w:eastAsia="lt-LT"/>
              </w:rPr>
            </w:pPr>
            <w:r w:rsidRPr="00907F47">
              <w:rPr>
                <w:rFonts w:ascii="Times New Roman" w:eastAsia="AngsanaUPC" w:hAnsi="Times New Roman"/>
                <w:b/>
                <w:bCs/>
                <w:i/>
                <w:iCs/>
                <w:sz w:val="20"/>
                <w:szCs w:val="20"/>
                <w:lang w:eastAsia="lt-LT"/>
              </w:rPr>
              <w:t>ERPF</w:t>
            </w:r>
          </w:p>
        </w:tc>
        <w:tc>
          <w:tcPr>
            <w:tcW w:w="1134" w:type="dxa"/>
          </w:tcPr>
          <w:p w:rsidR="008B4B55" w:rsidRPr="0076682D" w:rsidRDefault="008B4B55" w:rsidP="00E029A5">
            <w:pPr>
              <w:widowControl w:val="0"/>
              <w:tabs>
                <w:tab w:val="left" w:pos="622"/>
              </w:tabs>
              <w:spacing w:after="0" w:line="240" w:lineRule="auto"/>
              <w:jc w:val="center"/>
              <w:rPr>
                <w:rFonts w:ascii="Times New Roman" w:eastAsia="AngsanaUPC" w:hAnsi="Times New Roman"/>
                <w:bCs/>
                <w:sz w:val="20"/>
                <w:szCs w:val="20"/>
                <w:lang w:eastAsia="lt-LT"/>
              </w:rPr>
            </w:pPr>
            <w:r w:rsidRPr="0076682D">
              <w:rPr>
                <w:rFonts w:ascii="Times New Roman" w:eastAsia="AngsanaUPC" w:hAnsi="Times New Roman"/>
                <w:bCs/>
                <w:sz w:val="20"/>
                <w:szCs w:val="20"/>
                <w:lang w:eastAsia="lt-LT"/>
              </w:rPr>
              <w:t>Mažiau išsivystęs</w:t>
            </w:r>
          </w:p>
        </w:tc>
        <w:tc>
          <w:tcPr>
            <w:tcW w:w="1418" w:type="dxa"/>
            <w:shd w:val="clear" w:color="auto" w:fill="auto"/>
            <w:noWrap/>
            <w:vAlign w:val="center"/>
          </w:tcPr>
          <w:p w:rsidR="008B4B55" w:rsidRPr="008B4B55" w:rsidRDefault="008B4B55" w:rsidP="00A70E24">
            <w:pPr>
              <w:spacing w:after="0" w:line="240" w:lineRule="auto"/>
              <w:jc w:val="center"/>
              <w:rPr>
                <w:rFonts w:ascii="Times New Roman" w:hAnsi="Times New Roman"/>
                <w:sz w:val="20"/>
                <w:szCs w:val="20"/>
              </w:rPr>
            </w:pPr>
            <w:r w:rsidRPr="008B4B55">
              <w:rPr>
                <w:rFonts w:ascii="Times New Roman" w:hAnsi="Times New Roman"/>
                <w:sz w:val="20"/>
                <w:szCs w:val="20"/>
              </w:rPr>
              <w:t>488.602.525</w:t>
            </w:r>
          </w:p>
        </w:tc>
        <w:tc>
          <w:tcPr>
            <w:tcW w:w="1559" w:type="dxa"/>
            <w:shd w:val="clear" w:color="auto" w:fill="auto"/>
            <w:vAlign w:val="center"/>
          </w:tcPr>
          <w:p w:rsidR="008B4B55" w:rsidRPr="008B4B55" w:rsidRDefault="008B4B55" w:rsidP="00A70E24">
            <w:pPr>
              <w:spacing w:after="0" w:line="240" w:lineRule="auto"/>
              <w:jc w:val="center"/>
              <w:rPr>
                <w:rFonts w:ascii="Times New Roman" w:hAnsi="Times New Roman"/>
                <w:sz w:val="20"/>
                <w:szCs w:val="20"/>
              </w:rPr>
            </w:pPr>
            <w:r w:rsidRPr="008B4B55">
              <w:rPr>
                <w:rFonts w:ascii="Times New Roman" w:hAnsi="Times New Roman"/>
                <w:sz w:val="20"/>
                <w:szCs w:val="20"/>
              </w:rPr>
              <w:t>31.187.395</w:t>
            </w:r>
          </w:p>
        </w:tc>
        <w:tc>
          <w:tcPr>
            <w:tcW w:w="1417" w:type="dxa"/>
            <w:shd w:val="clear" w:color="auto" w:fill="auto"/>
            <w:noWrap/>
            <w:vAlign w:val="center"/>
          </w:tcPr>
          <w:p w:rsidR="008B4B55" w:rsidRPr="008B4B55" w:rsidRDefault="008B4B55" w:rsidP="00A70E24">
            <w:pPr>
              <w:spacing w:after="0" w:line="240" w:lineRule="auto"/>
              <w:jc w:val="center"/>
              <w:rPr>
                <w:rFonts w:ascii="Times New Roman" w:hAnsi="Times New Roman"/>
                <w:sz w:val="20"/>
                <w:szCs w:val="20"/>
              </w:rPr>
            </w:pPr>
            <w:r w:rsidRPr="008B4B55">
              <w:rPr>
                <w:rFonts w:ascii="Times New Roman" w:hAnsi="Times New Roman"/>
                <w:sz w:val="20"/>
                <w:szCs w:val="20"/>
              </w:rPr>
              <w:t>506.907.105</w:t>
            </w:r>
          </w:p>
        </w:tc>
        <w:tc>
          <w:tcPr>
            <w:tcW w:w="1701" w:type="dxa"/>
            <w:shd w:val="clear" w:color="auto" w:fill="auto"/>
            <w:vAlign w:val="center"/>
          </w:tcPr>
          <w:p w:rsidR="008B4B55" w:rsidRPr="008B4B55" w:rsidRDefault="008B4B55" w:rsidP="00A70E24">
            <w:pPr>
              <w:spacing w:after="0" w:line="240" w:lineRule="auto"/>
              <w:jc w:val="center"/>
              <w:rPr>
                <w:rFonts w:ascii="Times New Roman" w:hAnsi="Times New Roman"/>
                <w:sz w:val="20"/>
                <w:szCs w:val="20"/>
              </w:rPr>
            </w:pPr>
            <w:r w:rsidRPr="008B4B55">
              <w:rPr>
                <w:rFonts w:ascii="Times New Roman" w:hAnsi="Times New Roman"/>
                <w:sz w:val="20"/>
                <w:szCs w:val="20"/>
              </w:rPr>
              <w:t>32.355.773</w:t>
            </w:r>
          </w:p>
        </w:tc>
        <w:tc>
          <w:tcPr>
            <w:tcW w:w="1418" w:type="dxa"/>
            <w:shd w:val="clear" w:color="auto" w:fill="auto"/>
            <w:noWrap/>
            <w:vAlign w:val="center"/>
          </w:tcPr>
          <w:p w:rsidR="008B4B55" w:rsidRPr="004E77F7" w:rsidRDefault="000122B1" w:rsidP="00A70E24">
            <w:pPr>
              <w:spacing w:after="0" w:line="240" w:lineRule="auto"/>
              <w:jc w:val="center"/>
              <w:rPr>
                <w:rFonts w:ascii="Times New Roman" w:hAnsi="Times New Roman"/>
                <w:sz w:val="20"/>
                <w:szCs w:val="20"/>
              </w:rPr>
            </w:pPr>
            <w:r w:rsidRPr="004E77F7">
              <w:rPr>
                <w:rFonts w:ascii="Times New Roman" w:hAnsi="Times New Roman"/>
                <w:sz w:val="20"/>
                <w:szCs w:val="20"/>
              </w:rPr>
              <w:t>435.390.412</w:t>
            </w:r>
          </w:p>
        </w:tc>
        <w:tc>
          <w:tcPr>
            <w:tcW w:w="1559" w:type="dxa"/>
            <w:shd w:val="clear" w:color="auto" w:fill="auto"/>
            <w:vAlign w:val="center"/>
          </w:tcPr>
          <w:p w:rsidR="008B4B55" w:rsidRPr="004E77F7" w:rsidRDefault="003F7EE8" w:rsidP="00A70E24">
            <w:pPr>
              <w:spacing w:after="0" w:line="240" w:lineRule="auto"/>
              <w:jc w:val="center"/>
              <w:rPr>
                <w:rFonts w:ascii="Times New Roman" w:hAnsi="Times New Roman"/>
                <w:sz w:val="20"/>
                <w:szCs w:val="20"/>
              </w:rPr>
            </w:pPr>
            <w:r w:rsidRPr="004E77F7">
              <w:rPr>
                <w:rFonts w:ascii="Times New Roman" w:hAnsi="Times New Roman"/>
                <w:sz w:val="20"/>
                <w:szCs w:val="20"/>
              </w:rPr>
              <w:t>27.790.877</w:t>
            </w:r>
          </w:p>
        </w:tc>
        <w:tc>
          <w:tcPr>
            <w:tcW w:w="1559" w:type="dxa"/>
            <w:shd w:val="clear" w:color="auto" w:fill="auto"/>
            <w:noWrap/>
            <w:vAlign w:val="center"/>
          </w:tcPr>
          <w:p w:rsidR="008B4B55" w:rsidRPr="004E77F7" w:rsidRDefault="008B4B55" w:rsidP="00A70E24">
            <w:pPr>
              <w:spacing w:after="0" w:line="240" w:lineRule="auto"/>
              <w:jc w:val="center"/>
              <w:rPr>
                <w:rFonts w:ascii="Times New Roman" w:hAnsi="Times New Roman"/>
                <w:sz w:val="20"/>
                <w:szCs w:val="20"/>
              </w:rPr>
            </w:pPr>
          </w:p>
        </w:tc>
        <w:tc>
          <w:tcPr>
            <w:tcW w:w="1560" w:type="dxa"/>
            <w:shd w:val="clear" w:color="auto" w:fill="auto"/>
            <w:vAlign w:val="center"/>
          </w:tcPr>
          <w:p w:rsidR="008B4B55" w:rsidRPr="004E77F7" w:rsidRDefault="008B4B55" w:rsidP="00A70E24">
            <w:pPr>
              <w:spacing w:after="0" w:line="240" w:lineRule="auto"/>
              <w:jc w:val="center"/>
              <w:rPr>
                <w:rFonts w:ascii="Times New Roman" w:hAnsi="Times New Roman"/>
                <w:sz w:val="20"/>
                <w:szCs w:val="20"/>
              </w:rPr>
            </w:pPr>
          </w:p>
        </w:tc>
      </w:tr>
      <w:tr w:rsidR="008B4B55" w:rsidRPr="00E70675" w:rsidTr="00A70E24">
        <w:trPr>
          <w:trHeight w:val="300"/>
        </w:trPr>
        <w:tc>
          <w:tcPr>
            <w:tcW w:w="1384" w:type="dxa"/>
            <w:shd w:val="clear" w:color="auto" w:fill="auto"/>
            <w:hideMark/>
          </w:tcPr>
          <w:p w:rsidR="008B4B55" w:rsidRPr="00907F47" w:rsidRDefault="008B4B55" w:rsidP="00E029A5">
            <w:pPr>
              <w:widowControl w:val="0"/>
              <w:tabs>
                <w:tab w:val="left" w:pos="622"/>
              </w:tabs>
              <w:spacing w:after="0" w:line="240" w:lineRule="auto"/>
              <w:jc w:val="both"/>
              <w:rPr>
                <w:rFonts w:ascii="Times New Roman" w:eastAsia="AngsanaUPC" w:hAnsi="Times New Roman"/>
                <w:b/>
                <w:bCs/>
                <w:i/>
                <w:iCs/>
                <w:sz w:val="20"/>
                <w:szCs w:val="20"/>
                <w:lang w:eastAsia="lt-LT"/>
              </w:rPr>
            </w:pPr>
            <w:r w:rsidRPr="00907F47">
              <w:rPr>
                <w:rFonts w:ascii="Times New Roman" w:eastAsia="AngsanaUPC" w:hAnsi="Times New Roman"/>
                <w:b/>
                <w:bCs/>
                <w:i/>
                <w:iCs/>
                <w:sz w:val="20"/>
                <w:szCs w:val="20"/>
                <w:lang w:eastAsia="lt-LT"/>
              </w:rPr>
              <w:t>ESF</w:t>
            </w:r>
          </w:p>
        </w:tc>
        <w:tc>
          <w:tcPr>
            <w:tcW w:w="1134" w:type="dxa"/>
          </w:tcPr>
          <w:p w:rsidR="008B4B55" w:rsidRPr="0076682D" w:rsidRDefault="008B4B55" w:rsidP="00E029A5">
            <w:pPr>
              <w:widowControl w:val="0"/>
              <w:tabs>
                <w:tab w:val="left" w:pos="622"/>
              </w:tabs>
              <w:spacing w:after="0" w:line="240" w:lineRule="auto"/>
              <w:jc w:val="center"/>
              <w:rPr>
                <w:rFonts w:ascii="Times New Roman" w:eastAsia="AngsanaUPC" w:hAnsi="Times New Roman"/>
                <w:bCs/>
                <w:sz w:val="20"/>
                <w:szCs w:val="20"/>
                <w:lang w:eastAsia="lt-LT"/>
              </w:rPr>
            </w:pPr>
            <w:r w:rsidRPr="0076682D">
              <w:rPr>
                <w:rFonts w:ascii="Times New Roman" w:eastAsia="AngsanaUPC" w:hAnsi="Times New Roman"/>
                <w:bCs/>
                <w:sz w:val="20"/>
                <w:szCs w:val="20"/>
                <w:lang w:eastAsia="lt-LT"/>
              </w:rPr>
              <w:t>Mažiau išsivystęs</w:t>
            </w:r>
          </w:p>
        </w:tc>
        <w:tc>
          <w:tcPr>
            <w:tcW w:w="1418" w:type="dxa"/>
            <w:shd w:val="clear" w:color="auto" w:fill="auto"/>
            <w:noWrap/>
            <w:vAlign w:val="center"/>
          </w:tcPr>
          <w:p w:rsidR="008B4B55" w:rsidRPr="008B4B55" w:rsidRDefault="00A01188" w:rsidP="00A70E24">
            <w:pPr>
              <w:spacing w:after="0" w:line="240" w:lineRule="auto"/>
              <w:jc w:val="center"/>
              <w:rPr>
                <w:rFonts w:ascii="Times New Roman" w:hAnsi="Times New Roman"/>
                <w:sz w:val="20"/>
                <w:szCs w:val="20"/>
              </w:rPr>
            </w:pPr>
            <w:r>
              <w:rPr>
                <w:rFonts w:ascii="Times New Roman" w:hAnsi="Times New Roman"/>
                <w:sz w:val="20"/>
                <w:szCs w:val="20"/>
              </w:rPr>
              <w:t>157.306.223</w:t>
            </w:r>
          </w:p>
        </w:tc>
        <w:tc>
          <w:tcPr>
            <w:tcW w:w="1559" w:type="dxa"/>
            <w:shd w:val="clear" w:color="auto" w:fill="auto"/>
            <w:vAlign w:val="center"/>
          </w:tcPr>
          <w:p w:rsidR="008B4B55" w:rsidRPr="008B4B55" w:rsidRDefault="00A70E24" w:rsidP="00A70E24">
            <w:pPr>
              <w:spacing w:after="0" w:line="240" w:lineRule="auto"/>
              <w:jc w:val="center"/>
              <w:rPr>
                <w:rFonts w:ascii="Times New Roman" w:hAnsi="Times New Roman"/>
                <w:sz w:val="20"/>
                <w:szCs w:val="20"/>
              </w:rPr>
            </w:pPr>
            <w:r>
              <w:rPr>
                <w:rFonts w:ascii="Times New Roman" w:hAnsi="Times New Roman"/>
                <w:sz w:val="20"/>
                <w:szCs w:val="20"/>
              </w:rPr>
              <w:t>10.040.823</w:t>
            </w:r>
          </w:p>
        </w:tc>
        <w:tc>
          <w:tcPr>
            <w:tcW w:w="1417" w:type="dxa"/>
            <w:shd w:val="clear" w:color="auto" w:fill="auto"/>
            <w:noWrap/>
            <w:vAlign w:val="center"/>
          </w:tcPr>
          <w:p w:rsidR="008B4B55" w:rsidRPr="008B4B55" w:rsidRDefault="00A70E24" w:rsidP="00A70E24">
            <w:pPr>
              <w:spacing w:after="0" w:line="240" w:lineRule="auto"/>
              <w:jc w:val="center"/>
              <w:rPr>
                <w:rFonts w:ascii="Times New Roman" w:hAnsi="Times New Roman"/>
                <w:sz w:val="20"/>
                <w:szCs w:val="20"/>
              </w:rPr>
            </w:pPr>
            <w:r>
              <w:rPr>
                <w:rFonts w:ascii="Times New Roman" w:hAnsi="Times New Roman"/>
                <w:sz w:val="20"/>
                <w:szCs w:val="20"/>
              </w:rPr>
              <w:t>163.199.407</w:t>
            </w:r>
          </w:p>
        </w:tc>
        <w:tc>
          <w:tcPr>
            <w:tcW w:w="1701" w:type="dxa"/>
            <w:shd w:val="clear" w:color="auto" w:fill="auto"/>
            <w:vAlign w:val="center"/>
          </w:tcPr>
          <w:p w:rsidR="008B4B55" w:rsidRPr="008B4B55" w:rsidRDefault="00A70E24" w:rsidP="00A70E24">
            <w:pPr>
              <w:spacing w:after="0" w:line="240" w:lineRule="auto"/>
              <w:jc w:val="center"/>
              <w:rPr>
                <w:rFonts w:ascii="Times New Roman" w:hAnsi="Times New Roman"/>
                <w:sz w:val="20"/>
                <w:szCs w:val="20"/>
              </w:rPr>
            </w:pPr>
            <w:r>
              <w:rPr>
                <w:rFonts w:ascii="Times New Roman" w:hAnsi="Times New Roman"/>
                <w:sz w:val="20"/>
                <w:szCs w:val="20"/>
              </w:rPr>
              <w:t>10.416.983</w:t>
            </w:r>
          </w:p>
        </w:tc>
        <w:tc>
          <w:tcPr>
            <w:tcW w:w="1418" w:type="dxa"/>
            <w:shd w:val="clear" w:color="auto" w:fill="auto"/>
            <w:noWrap/>
            <w:vAlign w:val="center"/>
          </w:tcPr>
          <w:p w:rsidR="008B4B55" w:rsidRPr="004E77F7" w:rsidRDefault="00236E3A" w:rsidP="00A70E24">
            <w:pPr>
              <w:spacing w:after="0" w:line="240" w:lineRule="auto"/>
              <w:jc w:val="center"/>
              <w:rPr>
                <w:rFonts w:ascii="Times New Roman" w:hAnsi="Times New Roman"/>
                <w:sz w:val="20"/>
                <w:szCs w:val="20"/>
              </w:rPr>
            </w:pPr>
            <w:r w:rsidRPr="004E77F7">
              <w:rPr>
                <w:rFonts w:ascii="Times New Roman" w:hAnsi="Times New Roman"/>
                <w:sz w:val="20"/>
                <w:szCs w:val="20"/>
              </w:rPr>
              <w:t>267.722.276</w:t>
            </w:r>
          </w:p>
        </w:tc>
        <w:tc>
          <w:tcPr>
            <w:tcW w:w="1559" w:type="dxa"/>
            <w:shd w:val="clear" w:color="auto" w:fill="auto"/>
            <w:vAlign w:val="center"/>
          </w:tcPr>
          <w:p w:rsidR="008B4B55" w:rsidRPr="004E77F7" w:rsidRDefault="00A70E24" w:rsidP="003F7EE8">
            <w:pPr>
              <w:spacing w:after="0" w:line="240" w:lineRule="auto"/>
              <w:jc w:val="center"/>
              <w:rPr>
                <w:rFonts w:ascii="Times New Roman" w:hAnsi="Times New Roman"/>
                <w:sz w:val="20"/>
                <w:szCs w:val="20"/>
              </w:rPr>
            </w:pPr>
            <w:r w:rsidRPr="004E77F7">
              <w:rPr>
                <w:rFonts w:ascii="Times New Roman" w:hAnsi="Times New Roman"/>
                <w:sz w:val="20"/>
                <w:szCs w:val="20"/>
              </w:rPr>
              <w:t>1</w:t>
            </w:r>
            <w:r w:rsidR="00C95075" w:rsidRPr="004E77F7">
              <w:rPr>
                <w:rFonts w:ascii="Times New Roman" w:hAnsi="Times New Roman"/>
                <w:sz w:val="20"/>
                <w:szCs w:val="20"/>
              </w:rPr>
              <w:t>7.088.657</w:t>
            </w:r>
          </w:p>
        </w:tc>
        <w:tc>
          <w:tcPr>
            <w:tcW w:w="1559" w:type="dxa"/>
            <w:shd w:val="clear" w:color="auto" w:fill="auto"/>
            <w:noWrap/>
            <w:vAlign w:val="center"/>
          </w:tcPr>
          <w:p w:rsidR="008B4B55" w:rsidRPr="004E77F7" w:rsidRDefault="008B4B55" w:rsidP="00A70E24">
            <w:pPr>
              <w:spacing w:after="0" w:line="240" w:lineRule="auto"/>
              <w:jc w:val="center"/>
              <w:rPr>
                <w:rFonts w:ascii="Times New Roman" w:hAnsi="Times New Roman"/>
                <w:sz w:val="20"/>
                <w:szCs w:val="20"/>
              </w:rPr>
            </w:pPr>
          </w:p>
        </w:tc>
        <w:tc>
          <w:tcPr>
            <w:tcW w:w="1560" w:type="dxa"/>
            <w:shd w:val="clear" w:color="auto" w:fill="auto"/>
            <w:vAlign w:val="center"/>
          </w:tcPr>
          <w:p w:rsidR="008B4B55" w:rsidRPr="004E77F7" w:rsidRDefault="008B4B55" w:rsidP="003F7EE8">
            <w:pPr>
              <w:spacing w:after="0" w:line="240" w:lineRule="auto"/>
              <w:jc w:val="center"/>
              <w:rPr>
                <w:rFonts w:ascii="Times New Roman" w:hAnsi="Times New Roman"/>
                <w:sz w:val="20"/>
                <w:szCs w:val="20"/>
              </w:rPr>
            </w:pPr>
          </w:p>
        </w:tc>
      </w:tr>
      <w:tr w:rsidR="008B4B55" w:rsidRPr="00E70675" w:rsidTr="00A70E24">
        <w:trPr>
          <w:trHeight w:val="300"/>
        </w:trPr>
        <w:tc>
          <w:tcPr>
            <w:tcW w:w="1384" w:type="dxa"/>
            <w:shd w:val="clear" w:color="auto" w:fill="auto"/>
          </w:tcPr>
          <w:p w:rsidR="008B4B55" w:rsidRPr="00907F47" w:rsidRDefault="008B4B55" w:rsidP="00E029A5">
            <w:pPr>
              <w:widowControl w:val="0"/>
              <w:tabs>
                <w:tab w:val="left" w:pos="622"/>
              </w:tabs>
              <w:spacing w:after="0" w:line="240" w:lineRule="auto"/>
              <w:jc w:val="both"/>
              <w:rPr>
                <w:rFonts w:ascii="Times New Roman" w:eastAsia="AngsanaUPC" w:hAnsi="Times New Roman"/>
                <w:b/>
                <w:bCs/>
                <w:i/>
                <w:iCs/>
                <w:sz w:val="20"/>
                <w:szCs w:val="20"/>
                <w:lang w:eastAsia="lt-LT"/>
              </w:rPr>
            </w:pPr>
            <w:r w:rsidRPr="00907F47">
              <w:rPr>
                <w:rFonts w:ascii="Times New Roman" w:eastAsia="AngsanaUPC" w:hAnsi="Times New Roman"/>
                <w:b/>
                <w:bCs/>
                <w:i/>
                <w:iCs/>
                <w:sz w:val="20"/>
                <w:szCs w:val="20"/>
                <w:lang w:eastAsia="lt-LT"/>
              </w:rPr>
              <w:t>JUI</w:t>
            </w:r>
            <w:r w:rsidRPr="00907F47">
              <w:rPr>
                <w:rFonts w:ascii="Times New Roman" w:eastAsia="Times New Roman" w:hAnsi="Times New Roman"/>
                <w:b/>
                <w:bCs/>
                <w:color w:val="000000"/>
                <w:sz w:val="20"/>
                <w:szCs w:val="20"/>
                <w:lang w:eastAsia="lt-LT"/>
              </w:rPr>
              <w:t xml:space="preserve"> (</w:t>
            </w:r>
            <w:r w:rsidRPr="00907F47">
              <w:rPr>
                <w:rFonts w:ascii="Times New Roman" w:eastAsia="AngsanaUPC" w:hAnsi="Times New Roman"/>
                <w:b/>
                <w:bCs/>
                <w:iCs/>
                <w:sz w:val="20"/>
                <w:szCs w:val="20"/>
                <w:lang w:eastAsia="lt-LT"/>
              </w:rPr>
              <w:t>specialūs asignavimai)</w:t>
            </w:r>
          </w:p>
        </w:tc>
        <w:tc>
          <w:tcPr>
            <w:tcW w:w="1134" w:type="dxa"/>
            <w:vAlign w:val="center"/>
          </w:tcPr>
          <w:p w:rsidR="008B4B55" w:rsidRPr="0076682D" w:rsidRDefault="008B4B55" w:rsidP="00A70E24">
            <w:pPr>
              <w:widowControl w:val="0"/>
              <w:tabs>
                <w:tab w:val="left" w:pos="622"/>
              </w:tabs>
              <w:spacing w:after="0" w:line="240" w:lineRule="auto"/>
              <w:jc w:val="center"/>
              <w:rPr>
                <w:rFonts w:ascii="Times New Roman" w:eastAsia="AngsanaUPC" w:hAnsi="Times New Roman"/>
                <w:bCs/>
                <w:sz w:val="20"/>
                <w:szCs w:val="20"/>
                <w:lang w:eastAsia="lt-LT"/>
              </w:rPr>
            </w:pPr>
            <w:r w:rsidRPr="0076682D">
              <w:rPr>
                <w:rFonts w:ascii="Times New Roman" w:eastAsia="AngsanaUPC" w:hAnsi="Times New Roman"/>
                <w:bCs/>
                <w:sz w:val="20"/>
                <w:szCs w:val="20"/>
                <w:lang w:eastAsia="lt-LT"/>
              </w:rPr>
              <w:t>Netaikoma</w:t>
            </w:r>
          </w:p>
        </w:tc>
        <w:tc>
          <w:tcPr>
            <w:tcW w:w="1418" w:type="dxa"/>
            <w:shd w:val="clear" w:color="auto" w:fill="auto"/>
            <w:noWrap/>
            <w:vAlign w:val="center"/>
          </w:tcPr>
          <w:p w:rsidR="008B4B55" w:rsidRPr="008B4B55" w:rsidRDefault="008B4B55" w:rsidP="00A70E24">
            <w:pPr>
              <w:spacing w:after="0" w:line="240" w:lineRule="auto"/>
              <w:jc w:val="center"/>
              <w:rPr>
                <w:rFonts w:ascii="Times New Roman" w:hAnsi="Times New Roman"/>
                <w:sz w:val="20"/>
                <w:szCs w:val="20"/>
              </w:rPr>
            </w:pPr>
            <w:r w:rsidRPr="008B4B55">
              <w:rPr>
                <w:rFonts w:ascii="Times New Roman" w:hAnsi="Times New Roman"/>
                <w:sz w:val="20"/>
                <w:szCs w:val="20"/>
              </w:rPr>
              <w:t>0</w:t>
            </w:r>
          </w:p>
        </w:tc>
        <w:tc>
          <w:tcPr>
            <w:tcW w:w="1559" w:type="dxa"/>
            <w:shd w:val="clear" w:color="auto" w:fill="auto"/>
            <w:vAlign w:val="center"/>
          </w:tcPr>
          <w:p w:rsidR="008B4B55" w:rsidRPr="008B4B55" w:rsidRDefault="008B4B55" w:rsidP="00A70E24">
            <w:pPr>
              <w:spacing w:after="0" w:line="240" w:lineRule="auto"/>
              <w:jc w:val="center"/>
              <w:rPr>
                <w:rFonts w:ascii="Times New Roman" w:eastAsia="Times New Roman" w:hAnsi="Times New Roman"/>
                <w:color w:val="000000"/>
                <w:sz w:val="20"/>
                <w:szCs w:val="20"/>
                <w:lang w:eastAsia="lt-LT"/>
              </w:rPr>
            </w:pPr>
          </w:p>
        </w:tc>
        <w:tc>
          <w:tcPr>
            <w:tcW w:w="1417" w:type="dxa"/>
            <w:shd w:val="clear" w:color="auto" w:fill="auto"/>
            <w:noWrap/>
            <w:vAlign w:val="center"/>
          </w:tcPr>
          <w:p w:rsidR="008B4B55" w:rsidRPr="008B4B55" w:rsidRDefault="008B4B55" w:rsidP="00A70E24">
            <w:pPr>
              <w:spacing w:after="0" w:line="240" w:lineRule="auto"/>
              <w:jc w:val="center"/>
              <w:rPr>
                <w:rFonts w:ascii="Times New Roman" w:hAnsi="Times New Roman"/>
                <w:sz w:val="20"/>
                <w:szCs w:val="20"/>
              </w:rPr>
            </w:pPr>
            <w:r w:rsidRPr="008B4B55">
              <w:rPr>
                <w:rFonts w:ascii="Times New Roman" w:hAnsi="Times New Roman"/>
                <w:sz w:val="20"/>
                <w:szCs w:val="20"/>
              </w:rPr>
              <w:t>0</w:t>
            </w:r>
          </w:p>
        </w:tc>
        <w:tc>
          <w:tcPr>
            <w:tcW w:w="1701" w:type="dxa"/>
            <w:shd w:val="clear" w:color="auto" w:fill="auto"/>
            <w:vAlign w:val="center"/>
          </w:tcPr>
          <w:p w:rsidR="008B4B55" w:rsidRPr="008B4B55" w:rsidRDefault="008B4B55" w:rsidP="00A70E24">
            <w:pPr>
              <w:spacing w:after="0" w:line="240" w:lineRule="auto"/>
              <w:jc w:val="center"/>
              <w:rPr>
                <w:rFonts w:ascii="Times New Roman" w:eastAsia="Times New Roman" w:hAnsi="Times New Roman"/>
                <w:color w:val="000000"/>
                <w:sz w:val="20"/>
                <w:szCs w:val="20"/>
                <w:lang w:eastAsia="lt-LT"/>
              </w:rPr>
            </w:pPr>
          </w:p>
        </w:tc>
        <w:tc>
          <w:tcPr>
            <w:tcW w:w="1418" w:type="dxa"/>
            <w:shd w:val="clear" w:color="auto" w:fill="auto"/>
            <w:noWrap/>
            <w:vAlign w:val="center"/>
          </w:tcPr>
          <w:p w:rsidR="008B4B55" w:rsidRPr="004E77F7" w:rsidRDefault="008B4B55" w:rsidP="00A70E24">
            <w:pPr>
              <w:spacing w:after="0" w:line="240" w:lineRule="auto"/>
              <w:jc w:val="center"/>
              <w:rPr>
                <w:rFonts w:ascii="Times New Roman" w:hAnsi="Times New Roman"/>
                <w:sz w:val="20"/>
                <w:szCs w:val="20"/>
              </w:rPr>
            </w:pPr>
            <w:r w:rsidRPr="004E77F7">
              <w:rPr>
                <w:rFonts w:ascii="Times New Roman" w:hAnsi="Times New Roman"/>
                <w:sz w:val="20"/>
                <w:szCs w:val="20"/>
              </w:rPr>
              <w:t>0</w:t>
            </w:r>
          </w:p>
        </w:tc>
        <w:tc>
          <w:tcPr>
            <w:tcW w:w="1559" w:type="dxa"/>
            <w:shd w:val="clear" w:color="auto" w:fill="auto"/>
            <w:vAlign w:val="center"/>
          </w:tcPr>
          <w:p w:rsidR="008B4B55" w:rsidRPr="004E77F7" w:rsidRDefault="008B4B55" w:rsidP="00A70E24">
            <w:pPr>
              <w:spacing w:after="0" w:line="240" w:lineRule="auto"/>
              <w:jc w:val="center"/>
              <w:rPr>
                <w:rFonts w:ascii="Times New Roman" w:eastAsia="Times New Roman" w:hAnsi="Times New Roman"/>
                <w:color w:val="000000"/>
                <w:sz w:val="20"/>
                <w:szCs w:val="20"/>
                <w:lang w:eastAsia="lt-LT"/>
              </w:rPr>
            </w:pPr>
          </w:p>
        </w:tc>
        <w:tc>
          <w:tcPr>
            <w:tcW w:w="1559" w:type="dxa"/>
            <w:shd w:val="clear" w:color="auto" w:fill="auto"/>
            <w:noWrap/>
            <w:vAlign w:val="center"/>
          </w:tcPr>
          <w:p w:rsidR="008B4B55" w:rsidRPr="004E77F7" w:rsidRDefault="008B4B55" w:rsidP="00A70E24">
            <w:pPr>
              <w:spacing w:after="0" w:line="240" w:lineRule="auto"/>
              <w:jc w:val="center"/>
              <w:rPr>
                <w:rFonts w:ascii="Times New Roman" w:hAnsi="Times New Roman"/>
                <w:sz w:val="20"/>
                <w:szCs w:val="20"/>
              </w:rPr>
            </w:pPr>
          </w:p>
        </w:tc>
        <w:tc>
          <w:tcPr>
            <w:tcW w:w="1560" w:type="dxa"/>
            <w:shd w:val="clear" w:color="auto" w:fill="auto"/>
            <w:vAlign w:val="center"/>
          </w:tcPr>
          <w:p w:rsidR="008B4B55" w:rsidRPr="004E77F7" w:rsidRDefault="008B4B55" w:rsidP="00A70E24">
            <w:pPr>
              <w:spacing w:after="0" w:line="240" w:lineRule="auto"/>
              <w:jc w:val="center"/>
              <w:rPr>
                <w:rFonts w:ascii="Times New Roman" w:eastAsia="Times New Roman" w:hAnsi="Times New Roman"/>
                <w:color w:val="000000"/>
                <w:sz w:val="20"/>
                <w:szCs w:val="20"/>
                <w:lang w:eastAsia="lt-LT"/>
              </w:rPr>
            </w:pPr>
          </w:p>
        </w:tc>
      </w:tr>
      <w:tr w:rsidR="008B4B55" w:rsidRPr="00E70675" w:rsidTr="00A70E24">
        <w:trPr>
          <w:trHeight w:val="300"/>
        </w:trPr>
        <w:tc>
          <w:tcPr>
            <w:tcW w:w="1384" w:type="dxa"/>
            <w:shd w:val="clear" w:color="auto" w:fill="auto"/>
            <w:hideMark/>
          </w:tcPr>
          <w:p w:rsidR="008B4B55" w:rsidRPr="00907F47" w:rsidRDefault="00E73FE1" w:rsidP="00E029A5">
            <w:pPr>
              <w:widowControl w:val="0"/>
              <w:tabs>
                <w:tab w:val="left" w:pos="622"/>
              </w:tabs>
              <w:spacing w:after="0" w:line="240" w:lineRule="auto"/>
              <w:jc w:val="both"/>
              <w:rPr>
                <w:rFonts w:ascii="Times New Roman" w:eastAsia="AngsanaUPC" w:hAnsi="Times New Roman"/>
                <w:b/>
                <w:bCs/>
                <w:sz w:val="20"/>
                <w:szCs w:val="20"/>
                <w:lang w:eastAsia="lt-LT"/>
              </w:rPr>
            </w:pPr>
            <w:r>
              <w:rPr>
                <w:rFonts w:ascii="Times New Roman" w:eastAsia="AngsanaUPC" w:hAnsi="Times New Roman"/>
                <w:b/>
                <w:bCs/>
                <w:i/>
                <w:iCs/>
                <w:sz w:val="20"/>
                <w:szCs w:val="24"/>
                <w:lang w:eastAsia="lt-LT"/>
              </w:rPr>
              <w:t>Sa</w:t>
            </w:r>
            <w:r w:rsidR="00014597" w:rsidRPr="00014597">
              <w:rPr>
                <w:rFonts w:ascii="Times New Roman" w:eastAsia="AngsanaUPC" w:hAnsi="Times New Roman"/>
                <w:b/>
                <w:bCs/>
                <w:i/>
                <w:iCs/>
                <w:sz w:val="20"/>
                <w:szCs w:val="24"/>
                <w:lang w:eastAsia="lt-LT"/>
              </w:rPr>
              <w:t>F</w:t>
            </w:r>
          </w:p>
        </w:tc>
        <w:tc>
          <w:tcPr>
            <w:tcW w:w="1134" w:type="dxa"/>
          </w:tcPr>
          <w:p w:rsidR="008B4B55" w:rsidRPr="0076682D" w:rsidRDefault="008B4B55" w:rsidP="00E029A5">
            <w:pPr>
              <w:widowControl w:val="0"/>
              <w:tabs>
                <w:tab w:val="left" w:pos="622"/>
              </w:tabs>
              <w:spacing w:after="0" w:line="240" w:lineRule="auto"/>
              <w:jc w:val="center"/>
              <w:rPr>
                <w:rFonts w:ascii="Times New Roman" w:eastAsia="AngsanaUPC" w:hAnsi="Times New Roman"/>
                <w:bCs/>
                <w:sz w:val="20"/>
                <w:szCs w:val="20"/>
                <w:lang w:eastAsia="lt-LT"/>
              </w:rPr>
            </w:pPr>
            <w:r w:rsidRPr="0076682D">
              <w:rPr>
                <w:rFonts w:ascii="Times New Roman" w:eastAsia="AngsanaUPC" w:hAnsi="Times New Roman"/>
                <w:bCs/>
                <w:sz w:val="20"/>
                <w:szCs w:val="20"/>
                <w:lang w:eastAsia="lt-LT"/>
              </w:rPr>
              <w:t>Netaikoma</w:t>
            </w:r>
          </w:p>
        </w:tc>
        <w:tc>
          <w:tcPr>
            <w:tcW w:w="1418" w:type="dxa"/>
            <w:shd w:val="clear" w:color="auto" w:fill="auto"/>
            <w:noWrap/>
            <w:vAlign w:val="center"/>
          </w:tcPr>
          <w:p w:rsidR="008B4B55" w:rsidRPr="008B4B55" w:rsidRDefault="008B4B55" w:rsidP="00A70E24">
            <w:pPr>
              <w:spacing w:after="0" w:line="240" w:lineRule="auto"/>
              <w:jc w:val="center"/>
              <w:rPr>
                <w:rFonts w:ascii="Times New Roman" w:hAnsi="Times New Roman"/>
                <w:sz w:val="20"/>
                <w:szCs w:val="20"/>
              </w:rPr>
            </w:pPr>
            <w:r w:rsidRPr="008B4B55">
              <w:rPr>
                <w:rFonts w:ascii="Times New Roman" w:hAnsi="Times New Roman"/>
                <w:sz w:val="20"/>
                <w:szCs w:val="20"/>
              </w:rPr>
              <w:t>286.232.590</w:t>
            </w:r>
          </w:p>
        </w:tc>
        <w:tc>
          <w:tcPr>
            <w:tcW w:w="1559" w:type="dxa"/>
            <w:shd w:val="clear" w:color="auto" w:fill="auto"/>
            <w:vAlign w:val="center"/>
          </w:tcPr>
          <w:p w:rsidR="008B4B55" w:rsidRPr="008B4B55" w:rsidRDefault="008B4B55" w:rsidP="00A70E24">
            <w:pPr>
              <w:spacing w:after="0" w:line="240" w:lineRule="auto"/>
              <w:jc w:val="center"/>
              <w:rPr>
                <w:rFonts w:ascii="Times New Roman" w:hAnsi="Times New Roman"/>
                <w:sz w:val="20"/>
                <w:szCs w:val="20"/>
              </w:rPr>
            </w:pPr>
            <w:r w:rsidRPr="008B4B55">
              <w:rPr>
                <w:rFonts w:ascii="Times New Roman" w:hAnsi="Times New Roman"/>
                <w:sz w:val="20"/>
                <w:szCs w:val="20"/>
              </w:rPr>
              <w:t>18.270.165</w:t>
            </w:r>
          </w:p>
        </w:tc>
        <w:tc>
          <w:tcPr>
            <w:tcW w:w="1417" w:type="dxa"/>
            <w:shd w:val="clear" w:color="auto" w:fill="auto"/>
            <w:noWrap/>
            <w:vAlign w:val="center"/>
          </w:tcPr>
          <w:p w:rsidR="008B4B55" w:rsidRPr="008B4B55" w:rsidRDefault="008B4B55" w:rsidP="00A70E24">
            <w:pPr>
              <w:spacing w:after="0" w:line="240" w:lineRule="auto"/>
              <w:jc w:val="center"/>
              <w:rPr>
                <w:rFonts w:ascii="Times New Roman" w:hAnsi="Times New Roman"/>
                <w:sz w:val="20"/>
                <w:szCs w:val="20"/>
              </w:rPr>
            </w:pPr>
            <w:r w:rsidRPr="008B4B55">
              <w:rPr>
                <w:rFonts w:ascii="Times New Roman" w:hAnsi="Times New Roman"/>
                <w:sz w:val="20"/>
                <w:szCs w:val="20"/>
              </w:rPr>
              <w:t>297.223.984</w:t>
            </w:r>
          </w:p>
        </w:tc>
        <w:tc>
          <w:tcPr>
            <w:tcW w:w="1701" w:type="dxa"/>
            <w:shd w:val="clear" w:color="auto" w:fill="auto"/>
            <w:vAlign w:val="center"/>
          </w:tcPr>
          <w:p w:rsidR="008B4B55" w:rsidRPr="008B4B55" w:rsidRDefault="008B4B55" w:rsidP="00A70E24">
            <w:pPr>
              <w:spacing w:after="0" w:line="240" w:lineRule="auto"/>
              <w:jc w:val="center"/>
              <w:rPr>
                <w:rFonts w:ascii="Times New Roman" w:hAnsi="Times New Roman"/>
                <w:sz w:val="20"/>
                <w:szCs w:val="20"/>
              </w:rPr>
            </w:pPr>
            <w:r w:rsidRPr="008B4B55">
              <w:rPr>
                <w:rFonts w:ascii="Times New Roman" w:hAnsi="Times New Roman"/>
                <w:sz w:val="20"/>
                <w:szCs w:val="20"/>
              </w:rPr>
              <w:t>18.971.744</w:t>
            </w:r>
          </w:p>
        </w:tc>
        <w:tc>
          <w:tcPr>
            <w:tcW w:w="1418" w:type="dxa"/>
            <w:shd w:val="clear" w:color="auto" w:fill="auto"/>
            <w:noWrap/>
            <w:vAlign w:val="center"/>
          </w:tcPr>
          <w:p w:rsidR="008B4B55" w:rsidRPr="004E77F7" w:rsidRDefault="00236E3A" w:rsidP="00A70E24">
            <w:pPr>
              <w:spacing w:after="0" w:line="240" w:lineRule="auto"/>
              <w:jc w:val="center"/>
              <w:rPr>
                <w:rFonts w:ascii="Times New Roman" w:hAnsi="Times New Roman"/>
                <w:sz w:val="20"/>
                <w:szCs w:val="20"/>
              </w:rPr>
            </w:pPr>
            <w:r w:rsidRPr="004E77F7">
              <w:rPr>
                <w:rFonts w:ascii="Times New Roman" w:hAnsi="Times New Roman"/>
                <w:sz w:val="20"/>
                <w:szCs w:val="20"/>
              </w:rPr>
              <w:t>298.655.348</w:t>
            </w:r>
          </w:p>
        </w:tc>
        <w:tc>
          <w:tcPr>
            <w:tcW w:w="1559" w:type="dxa"/>
            <w:shd w:val="clear" w:color="auto" w:fill="auto"/>
            <w:vAlign w:val="center"/>
          </w:tcPr>
          <w:p w:rsidR="008B4B55" w:rsidRPr="004E77F7" w:rsidRDefault="00C95075" w:rsidP="00A70E24">
            <w:pPr>
              <w:spacing w:after="0" w:line="240" w:lineRule="auto"/>
              <w:jc w:val="center"/>
              <w:rPr>
                <w:rFonts w:ascii="Times New Roman" w:hAnsi="Times New Roman"/>
                <w:sz w:val="20"/>
                <w:szCs w:val="20"/>
              </w:rPr>
            </w:pPr>
            <w:r w:rsidRPr="004E77F7">
              <w:rPr>
                <w:rFonts w:ascii="Times New Roman" w:hAnsi="Times New Roman"/>
                <w:sz w:val="20"/>
                <w:szCs w:val="20"/>
              </w:rPr>
              <w:t>19.063.106</w:t>
            </w:r>
          </w:p>
        </w:tc>
        <w:tc>
          <w:tcPr>
            <w:tcW w:w="1559" w:type="dxa"/>
            <w:shd w:val="clear" w:color="auto" w:fill="auto"/>
            <w:noWrap/>
            <w:vAlign w:val="center"/>
          </w:tcPr>
          <w:p w:rsidR="008B4B55" w:rsidRPr="004E77F7" w:rsidRDefault="008B4B55" w:rsidP="00A70E24">
            <w:pPr>
              <w:spacing w:after="0" w:line="240" w:lineRule="auto"/>
              <w:jc w:val="center"/>
              <w:rPr>
                <w:rFonts w:ascii="Times New Roman" w:hAnsi="Times New Roman"/>
                <w:sz w:val="20"/>
                <w:szCs w:val="20"/>
              </w:rPr>
            </w:pPr>
          </w:p>
        </w:tc>
        <w:tc>
          <w:tcPr>
            <w:tcW w:w="1560" w:type="dxa"/>
            <w:shd w:val="clear" w:color="auto" w:fill="auto"/>
            <w:vAlign w:val="center"/>
          </w:tcPr>
          <w:p w:rsidR="008B4B55" w:rsidRPr="004E77F7" w:rsidRDefault="008B4B55" w:rsidP="00A70E24">
            <w:pPr>
              <w:spacing w:after="0" w:line="240" w:lineRule="auto"/>
              <w:jc w:val="center"/>
              <w:rPr>
                <w:rFonts w:ascii="Times New Roman" w:hAnsi="Times New Roman"/>
                <w:sz w:val="20"/>
                <w:szCs w:val="20"/>
              </w:rPr>
            </w:pPr>
          </w:p>
        </w:tc>
      </w:tr>
      <w:tr w:rsidR="00D97B9B" w:rsidRPr="00E70675" w:rsidTr="00A70E24">
        <w:trPr>
          <w:trHeight w:val="300"/>
        </w:trPr>
        <w:tc>
          <w:tcPr>
            <w:tcW w:w="1384" w:type="dxa"/>
            <w:shd w:val="clear" w:color="auto" w:fill="auto"/>
          </w:tcPr>
          <w:p w:rsidR="00D97B9B" w:rsidRDefault="00D97B9B" w:rsidP="00E029A5">
            <w:pPr>
              <w:widowControl w:val="0"/>
              <w:tabs>
                <w:tab w:val="left" w:pos="622"/>
              </w:tabs>
              <w:spacing w:after="0" w:line="240" w:lineRule="auto"/>
              <w:jc w:val="both"/>
              <w:rPr>
                <w:rFonts w:ascii="Times New Roman" w:eastAsia="AngsanaUPC" w:hAnsi="Times New Roman"/>
                <w:b/>
                <w:bCs/>
                <w:i/>
                <w:iCs/>
                <w:sz w:val="20"/>
                <w:szCs w:val="24"/>
                <w:lang w:eastAsia="lt-LT"/>
              </w:rPr>
            </w:pPr>
            <w:r w:rsidRPr="00720E52">
              <w:rPr>
                <w:rFonts w:ascii="Times New Roman" w:hAnsi="Times New Roman"/>
                <w:b/>
                <w:bCs/>
                <w:i/>
                <w:iCs/>
                <w:sz w:val="18"/>
                <w:szCs w:val="18"/>
                <w:lang w:eastAsia="lt-LT"/>
              </w:rPr>
              <w:t>ERPF React</w:t>
            </w:r>
            <w:proofErr w:type="gramStart"/>
            <w:r w:rsidRPr="00720E52">
              <w:rPr>
                <w:rFonts w:ascii="Times New Roman" w:hAnsi="Times New Roman"/>
                <w:b/>
                <w:bCs/>
                <w:i/>
                <w:iCs/>
                <w:sz w:val="18"/>
                <w:szCs w:val="18"/>
                <w:lang w:eastAsia="lt-LT"/>
              </w:rPr>
              <w:t>-</w:t>
            </w:r>
            <w:proofErr w:type="gramEnd"/>
            <w:r w:rsidRPr="00720E52">
              <w:rPr>
                <w:rFonts w:ascii="Times New Roman" w:hAnsi="Times New Roman"/>
                <w:b/>
                <w:bCs/>
                <w:i/>
                <w:iCs/>
                <w:sz w:val="18"/>
                <w:szCs w:val="18"/>
                <w:lang w:eastAsia="lt-LT"/>
              </w:rPr>
              <w:t>EU</w:t>
            </w:r>
          </w:p>
        </w:tc>
        <w:tc>
          <w:tcPr>
            <w:tcW w:w="1134" w:type="dxa"/>
          </w:tcPr>
          <w:p w:rsidR="00D97B9B" w:rsidRPr="0076682D" w:rsidRDefault="00D97B9B" w:rsidP="00E029A5">
            <w:pPr>
              <w:widowControl w:val="0"/>
              <w:tabs>
                <w:tab w:val="left" w:pos="622"/>
              </w:tabs>
              <w:spacing w:after="0" w:line="240" w:lineRule="auto"/>
              <w:jc w:val="center"/>
              <w:rPr>
                <w:rFonts w:ascii="Times New Roman" w:eastAsia="AngsanaUPC" w:hAnsi="Times New Roman"/>
                <w:bCs/>
                <w:sz w:val="20"/>
                <w:szCs w:val="20"/>
                <w:lang w:eastAsia="lt-LT"/>
              </w:rPr>
            </w:pPr>
            <w:r w:rsidRPr="0076682D">
              <w:rPr>
                <w:rFonts w:ascii="Times New Roman" w:hAnsi="Times New Roman"/>
                <w:bCs/>
                <w:sz w:val="20"/>
                <w:szCs w:val="20"/>
                <w:lang w:eastAsia="lt-LT"/>
              </w:rPr>
              <w:t>Netaikoma</w:t>
            </w:r>
          </w:p>
        </w:tc>
        <w:tc>
          <w:tcPr>
            <w:tcW w:w="1418" w:type="dxa"/>
            <w:shd w:val="clear" w:color="auto" w:fill="auto"/>
            <w:noWrap/>
            <w:vAlign w:val="center"/>
          </w:tcPr>
          <w:p w:rsidR="00D97B9B" w:rsidRPr="008B4B55" w:rsidRDefault="00D97B9B" w:rsidP="00A70E24">
            <w:pPr>
              <w:spacing w:after="0" w:line="240" w:lineRule="auto"/>
              <w:jc w:val="center"/>
              <w:rPr>
                <w:rFonts w:ascii="Times New Roman" w:hAnsi="Times New Roman"/>
                <w:sz w:val="20"/>
                <w:szCs w:val="20"/>
              </w:rPr>
            </w:pPr>
          </w:p>
        </w:tc>
        <w:tc>
          <w:tcPr>
            <w:tcW w:w="1559" w:type="dxa"/>
            <w:shd w:val="clear" w:color="auto" w:fill="auto"/>
            <w:vAlign w:val="center"/>
          </w:tcPr>
          <w:p w:rsidR="00D97B9B" w:rsidRPr="008B4B55" w:rsidRDefault="00D97B9B" w:rsidP="00A70E24">
            <w:pPr>
              <w:spacing w:after="0" w:line="240" w:lineRule="auto"/>
              <w:jc w:val="center"/>
              <w:rPr>
                <w:rFonts w:ascii="Times New Roman" w:hAnsi="Times New Roman"/>
                <w:sz w:val="20"/>
                <w:szCs w:val="20"/>
              </w:rPr>
            </w:pPr>
          </w:p>
        </w:tc>
        <w:tc>
          <w:tcPr>
            <w:tcW w:w="1417" w:type="dxa"/>
            <w:shd w:val="clear" w:color="auto" w:fill="auto"/>
            <w:noWrap/>
            <w:vAlign w:val="center"/>
          </w:tcPr>
          <w:p w:rsidR="00D97B9B" w:rsidRPr="008B4B55" w:rsidRDefault="00D97B9B" w:rsidP="00A70E24">
            <w:pPr>
              <w:spacing w:after="0" w:line="240" w:lineRule="auto"/>
              <w:jc w:val="center"/>
              <w:rPr>
                <w:rFonts w:ascii="Times New Roman" w:hAnsi="Times New Roman"/>
                <w:sz w:val="20"/>
                <w:szCs w:val="20"/>
              </w:rPr>
            </w:pPr>
          </w:p>
        </w:tc>
        <w:tc>
          <w:tcPr>
            <w:tcW w:w="1701" w:type="dxa"/>
            <w:shd w:val="clear" w:color="auto" w:fill="auto"/>
            <w:vAlign w:val="center"/>
          </w:tcPr>
          <w:p w:rsidR="00D97B9B" w:rsidRPr="008B4B55" w:rsidRDefault="00D97B9B" w:rsidP="00A70E24">
            <w:pPr>
              <w:spacing w:after="0" w:line="240" w:lineRule="auto"/>
              <w:jc w:val="center"/>
              <w:rPr>
                <w:rFonts w:ascii="Times New Roman" w:hAnsi="Times New Roman"/>
                <w:sz w:val="20"/>
                <w:szCs w:val="20"/>
              </w:rPr>
            </w:pPr>
          </w:p>
        </w:tc>
        <w:tc>
          <w:tcPr>
            <w:tcW w:w="1418" w:type="dxa"/>
            <w:shd w:val="clear" w:color="auto" w:fill="auto"/>
            <w:noWrap/>
            <w:vAlign w:val="center"/>
          </w:tcPr>
          <w:p w:rsidR="00D97B9B" w:rsidRPr="004E77F7" w:rsidRDefault="00D97B9B" w:rsidP="00A70E24">
            <w:pPr>
              <w:spacing w:after="0" w:line="240" w:lineRule="auto"/>
              <w:jc w:val="center"/>
              <w:rPr>
                <w:rFonts w:ascii="Times New Roman" w:hAnsi="Times New Roman"/>
                <w:sz w:val="20"/>
                <w:szCs w:val="20"/>
              </w:rPr>
            </w:pPr>
          </w:p>
        </w:tc>
        <w:tc>
          <w:tcPr>
            <w:tcW w:w="1559" w:type="dxa"/>
            <w:shd w:val="clear" w:color="auto" w:fill="auto"/>
            <w:vAlign w:val="center"/>
          </w:tcPr>
          <w:p w:rsidR="00D97B9B" w:rsidRPr="004E77F7" w:rsidRDefault="00D97B9B" w:rsidP="00A70E24">
            <w:pPr>
              <w:spacing w:after="0" w:line="240" w:lineRule="auto"/>
              <w:jc w:val="center"/>
              <w:rPr>
                <w:rFonts w:ascii="Times New Roman" w:hAnsi="Times New Roman"/>
                <w:sz w:val="20"/>
                <w:szCs w:val="20"/>
              </w:rPr>
            </w:pPr>
          </w:p>
        </w:tc>
        <w:tc>
          <w:tcPr>
            <w:tcW w:w="1559" w:type="dxa"/>
            <w:shd w:val="clear" w:color="auto" w:fill="auto"/>
            <w:noWrap/>
            <w:vAlign w:val="center"/>
          </w:tcPr>
          <w:p w:rsidR="00D97B9B" w:rsidRPr="00FD7A80" w:rsidRDefault="00D97B9B" w:rsidP="00A70E24">
            <w:pPr>
              <w:spacing w:after="0" w:line="240" w:lineRule="auto"/>
              <w:jc w:val="center"/>
              <w:rPr>
                <w:rFonts w:ascii="Times New Roman" w:hAnsi="Times New Roman"/>
                <w:sz w:val="20"/>
                <w:szCs w:val="20"/>
              </w:rPr>
            </w:pPr>
            <w:r w:rsidRPr="00FD7A80">
              <w:rPr>
                <w:rFonts w:ascii="Times New Roman" w:hAnsi="Times New Roman"/>
                <w:sz w:val="18"/>
                <w:szCs w:val="18"/>
              </w:rPr>
              <w:t>236.669.440</w:t>
            </w:r>
          </w:p>
        </w:tc>
        <w:tc>
          <w:tcPr>
            <w:tcW w:w="1560" w:type="dxa"/>
            <w:shd w:val="clear" w:color="auto" w:fill="auto"/>
            <w:vAlign w:val="center"/>
          </w:tcPr>
          <w:p w:rsidR="00D97B9B" w:rsidRPr="00FD7A80" w:rsidRDefault="00D97B9B" w:rsidP="00A70E24">
            <w:pPr>
              <w:spacing w:after="0" w:line="240" w:lineRule="auto"/>
              <w:jc w:val="center"/>
              <w:rPr>
                <w:rFonts w:ascii="Times New Roman" w:hAnsi="Times New Roman"/>
                <w:sz w:val="20"/>
                <w:szCs w:val="20"/>
              </w:rPr>
            </w:pPr>
            <w:r w:rsidRPr="00FD7A80">
              <w:rPr>
                <w:rFonts w:ascii="Times New Roman" w:hAnsi="Times New Roman"/>
                <w:sz w:val="18"/>
                <w:szCs w:val="18"/>
              </w:rPr>
              <w:t>0</w:t>
            </w:r>
          </w:p>
        </w:tc>
      </w:tr>
      <w:tr w:rsidR="00D97B9B" w:rsidRPr="00E70675" w:rsidTr="00A70E24">
        <w:trPr>
          <w:trHeight w:val="300"/>
        </w:trPr>
        <w:tc>
          <w:tcPr>
            <w:tcW w:w="1384" w:type="dxa"/>
            <w:shd w:val="clear" w:color="auto" w:fill="auto"/>
          </w:tcPr>
          <w:p w:rsidR="00D97B9B" w:rsidRDefault="00D97B9B" w:rsidP="00E029A5">
            <w:pPr>
              <w:widowControl w:val="0"/>
              <w:tabs>
                <w:tab w:val="left" w:pos="622"/>
              </w:tabs>
              <w:spacing w:after="0" w:line="240" w:lineRule="auto"/>
              <w:jc w:val="both"/>
              <w:rPr>
                <w:rFonts w:ascii="Times New Roman" w:eastAsia="AngsanaUPC" w:hAnsi="Times New Roman"/>
                <w:b/>
                <w:bCs/>
                <w:i/>
                <w:iCs/>
                <w:sz w:val="20"/>
                <w:szCs w:val="24"/>
                <w:lang w:eastAsia="lt-LT"/>
              </w:rPr>
            </w:pPr>
            <w:r w:rsidRPr="00720E52">
              <w:rPr>
                <w:rFonts w:ascii="Times New Roman" w:hAnsi="Times New Roman"/>
                <w:b/>
                <w:bCs/>
                <w:i/>
                <w:sz w:val="18"/>
                <w:szCs w:val="18"/>
                <w:lang w:eastAsia="lt-LT"/>
              </w:rPr>
              <w:t>ESF React–EU</w:t>
            </w:r>
          </w:p>
        </w:tc>
        <w:tc>
          <w:tcPr>
            <w:tcW w:w="1134" w:type="dxa"/>
          </w:tcPr>
          <w:p w:rsidR="00D97B9B" w:rsidRPr="0076682D" w:rsidRDefault="00D97B9B" w:rsidP="00E029A5">
            <w:pPr>
              <w:widowControl w:val="0"/>
              <w:tabs>
                <w:tab w:val="left" w:pos="622"/>
              </w:tabs>
              <w:spacing w:after="0" w:line="240" w:lineRule="auto"/>
              <w:jc w:val="center"/>
              <w:rPr>
                <w:rFonts w:ascii="Times New Roman" w:eastAsia="AngsanaUPC" w:hAnsi="Times New Roman"/>
                <w:bCs/>
                <w:sz w:val="20"/>
                <w:szCs w:val="20"/>
                <w:lang w:eastAsia="lt-LT"/>
              </w:rPr>
            </w:pPr>
            <w:r w:rsidRPr="0076682D">
              <w:rPr>
                <w:rFonts w:ascii="Times New Roman" w:hAnsi="Times New Roman"/>
                <w:bCs/>
                <w:sz w:val="20"/>
                <w:szCs w:val="20"/>
                <w:lang w:eastAsia="lt-LT"/>
              </w:rPr>
              <w:t>Netaikoma</w:t>
            </w:r>
          </w:p>
        </w:tc>
        <w:tc>
          <w:tcPr>
            <w:tcW w:w="1418" w:type="dxa"/>
            <w:shd w:val="clear" w:color="auto" w:fill="auto"/>
            <w:noWrap/>
            <w:vAlign w:val="center"/>
          </w:tcPr>
          <w:p w:rsidR="00D97B9B" w:rsidRPr="008B4B55" w:rsidRDefault="00D97B9B" w:rsidP="00A70E24">
            <w:pPr>
              <w:spacing w:after="0" w:line="240" w:lineRule="auto"/>
              <w:jc w:val="center"/>
              <w:rPr>
                <w:rFonts w:ascii="Times New Roman" w:hAnsi="Times New Roman"/>
                <w:sz w:val="20"/>
                <w:szCs w:val="20"/>
              </w:rPr>
            </w:pPr>
          </w:p>
        </w:tc>
        <w:tc>
          <w:tcPr>
            <w:tcW w:w="1559" w:type="dxa"/>
            <w:shd w:val="clear" w:color="auto" w:fill="auto"/>
            <w:vAlign w:val="center"/>
          </w:tcPr>
          <w:p w:rsidR="00D97B9B" w:rsidRPr="008B4B55" w:rsidRDefault="00D97B9B" w:rsidP="00A70E24">
            <w:pPr>
              <w:spacing w:after="0" w:line="240" w:lineRule="auto"/>
              <w:jc w:val="center"/>
              <w:rPr>
                <w:rFonts w:ascii="Times New Roman" w:hAnsi="Times New Roman"/>
                <w:sz w:val="20"/>
                <w:szCs w:val="20"/>
              </w:rPr>
            </w:pPr>
          </w:p>
        </w:tc>
        <w:tc>
          <w:tcPr>
            <w:tcW w:w="1417" w:type="dxa"/>
            <w:shd w:val="clear" w:color="auto" w:fill="auto"/>
            <w:noWrap/>
            <w:vAlign w:val="center"/>
          </w:tcPr>
          <w:p w:rsidR="00D97B9B" w:rsidRPr="008B4B55" w:rsidRDefault="00D97B9B" w:rsidP="00A70E24">
            <w:pPr>
              <w:spacing w:after="0" w:line="240" w:lineRule="auto"/>
              <w:jc w:val="center"/>
              <w:rPr>
                <w:rFonts w:ascii="Times New Roman" w:hAnsi="Times New Roman"/>
                <w:sz w:val="20"/>
                <w:szCs w:val="20"/>
              </w:rPr>
            </w:pPr>
          </w:p>
        </w:tc>
        <w:tc>
          <w:tcPr>
            <w:tcW w:w="1701" w:type="dxa"/>
            <w:shd w:val="clear" w:color="auto" w:fill="auto"/>
            <w:vAlign w:val="center"/>
          </w:tcPr>
          <w:p w:rsidR="00D97B9B" w:rsidRPr="008B4B55" w:rsidRDefault="00D97B9B" w:rsidP="00A70E24">
            <w:pPr>
              <w:spacing w:after="0" w:line="240" w:lineRule="auto"/>
              <w:jc w:val="center"/>
              <w:rPr>
                <w:rFonts w:ascii="Times New Roman" w:hAnsi="Times New Roman"/>
                <w:sz w:val="20"/>
                <w:szCs w:val="20"/>
              </w:rPr>
            </w:pPr>
          </w:p>
        </w:tc>
        <w:tc>
          <w:tcPr>
            <w:tcW w:w="1418" w:type="dxa"/>
            <w:shd w:val="clear" w:color="auto" w:fill="auto"/>
            <w:noWrap/>
            <w:vAlign w:val="center"/>
          </w:tcPr>
          <w:p w:rsidR="00D97B9B" w:rsidRPr="004E77F7" w:rsidRDefault="00D97B9B" w:rsidP="00A70E24">
            <w:pPr>
              <w:spacing w:after="0" w:line="240" w:lineRule="auto"/>
              <w:jc w:val="center"/>
              <w:rPr>
                <w:rFonts w:ascii="Times New Roman" w:hAnsi="Times New Roman"/>
                <w:sz w:val="20"/>
                <w:szCs w:val="20"/>
              </w:rPr>
            </w:pPr>
          </w:p>
        </w:tc>
        <w:tc>
          <w:tcPr>
            <w:tcW w:w="1559" w:type="dxa"/>
            <w:shd w:val="clear" w:color="auto" w:fill="auto"/>
            <w:vAlign w:val="center"/>
          </w:tcPr>
          <w:p w:rsidR="00D97B9B" w:rsidRPr="004E77F7" w:rsidRDefault="00D97B9B" w:rsidP="00A70E24">
            <w:pPr>
              <w:spacing w:after="0" w:line="240" w:lineRule="auto"/>
              <w:jc w:val="center"/>
              <w:rPr>
                <w:rFonts w:ascii="Times New Roman" w:hAnsi="Times New Roman"/>
                <w:sz w:val="20"/>
                <w:szCs w:val="20"/>
              </w:rPr>
            </w:pPr>
          </w:p>
        </w:tc>
        <w:tc>
          <w:tcPr>
            <w:tcW w:w="1559" w:type="dxa"/>
            <w:shd w:val="clear" w:color="auto" w:fill="auto"/>
            <w:noWrap/>
            <w:vAlign w:val="center"/>
          </w:tcPr>
          <w:p w:rsidR="00D97B9B" w:rsidRPr="00FD7A80" w:rsidRDefault="00D97B9B" w:rsidP="00A70E24">
            <w:pPr>
              <w:spacing w:after="0" w:line="240" w:lineRule="auto"/>
              <w:jc w:val="center"/>
              <w:rPr>
                <w:rFonts w:ascii="Times New Roman" w:hAnsi="Times New Roman"/>
                <w:sz w:val="20"/>
                <w:szCs w:val="20"/>
              </w:rPr>
            </w:pPr>
            <w:r w:rsidRPr="00FD7A80">
              <w:rPr>
                <w:rFonts w:ascii="Times New Roman" w:hAnsi="Times New Roman"/>
                <w:sz w:val="18"/>
                <w:szCs w:val="18"/>
              </w:rPr>
              <w:t>37.029.910</w:t>
            </w:r>
          </w:p>
        </w:tc>
        <w:tc>
          <w:tcPr>
            <w:tcW w:w="1560" w:type="dxa"/>
            <w:shd w:val="clear" w:color="auto" w:fill="auto"/>
            <w:vAlign w:val="center"/>
          </w:tcPr>
          <w:p w:rsidR="00D97B9B" w:rsidRPr="00FD7A80" w:rsidRDefault="00D97B9B" w:rsidP="00A70E24">
            <w:pPr>
              <w:spacing w:after="0" w:line="240" w:lineRule="auto"/>
              <w:jc w:val="center"/>
              <w:rPr>
                <w:rFonts w:ascii="Times New Roman" w:hAnsi="Times New Roman"/>
                <w:sz w:val="20"/>
                <w:szCs w:val="20"/>
              </w:rPr>
            </w:pPr>
            <w:r w:rsidRPr="00FD7A80">
              <w:rPr>
                <w:rFonts w:ascii="Times New Roman" w:hAnsi="Times New Roman"/>
                <w:sz w:val="18"/>
                <w:szCs w:val="18"/>
                <w:lang w:eastAsia="lt-LT"/>
              </w:rPr>
              <w:t>0</w:t>
            </w:r>
          </w:p>
        </w:tc>
      </w:tr>
      <w:tr w:rsidR="008B4B55" w:rsidRPr="00E70675" w:rsidTr="00A70E24">
        <w:trPr>
          <w:trHeight w:val="300"/>
        </w:trPr>
        <w:tc>
          <w:tcPr>
            <w:tcW w:w="1384" w:type="dxa"/>
            <w:shd w:val="clear" w:color="auto" w:fill="auto"/>
            <w:hideMark/>
          </w:tcPr>
          <w:p w:rsidR="008B4B55" w:rsidRPr="00907F47" w:rsidRDefault="008B4B55" w:rsidP="00E029A5">
            <w:pPr>
              <w:widowControl w:val="0"/>
              <w:tabs>
                <w:tab w:val="left" w:pos="622"/>
              </w:tabs>
              <w:spacing w:after="0" w:line="240" w:lineRule="auto"/>
              <w:jc w:val="both"/>
              <w:rPr>
                <w:rFonts w:ascii="Times New Roman" w:eastAsia="AngsanaUPC" w:hAnsi="Times New Roman"/>
                <w:b/>
                <w:bCs/>
                <w:sz w:val="20"/>
                <w:szCs w:val="20"/>
                <w:lang w:eastAsia="lt-LT"/>
              </w:rPr>
            </w:pPr>
            <w:r w:rsidRPr="00907F47">
              <w:rPr>
                <w:rFonts w:ascii="Times New Roman" w:eastAsia="AngsanaUPC" w:hAnsi="Times New Roman"/>
                <w:b/>
                <w:bCs/>
                <w:sz w:val="20"/>
                <w:szCs w:val="20"/>
                <w:lang w:eastAsia="lt-LT"/>
              </w:rPr>
              <w:t>Iš viso</w:t>
            </w:r>
          </w:p>
        </w:tc>
        <w:tc>
          <w:tcPr>
            <w:tcW w:w="1134" w:type="dxa"/>
          </w:tcPr>
          <w:p w:rsidR="008B4B55" w:rsidRPr="006D0DE4" w:rsidRDefault="008B4B55" w:rsidP="00E029A5">
            <w:pPr>
              <w:widowControl w:val="0"/>
              <w:tabs>
                <w:tab w:val="left" w:pos="622"/>
              </w:tabs>
              <w:spacing w:after="0" w:line="240" w:lineRule="auto"/>
              <w:jc w:val="center"/>
              <w:rPr>
                <w:rFonts w:ascii="Times New Roman" w:eastAsia="AngsanaUPC" w:hAnsi="Times New Roman"/>
                <w:bCs/>
                <w:lang w:eastAsia="lt-LT"/>
              </w:rPr>
            </w:pPr>
          </w:p>
        </w:tc>
        <w:tc>
          <w:tcPr>
            <w:tcW w:w="1418" w:type="dxa"/>
            <w:shd w:val="clear" w:color="auto" w:fill="auto"/>
            <w:noWrap/>
            <w:vAlign w:val="center"/>
          </w:tcPr>
          <w:p w:rsidR="008B4B55" w:rsidRPr="008B4B55" w:rsidRDefault="00A01188" w:rsidP="00A70E24">
            <w:pPr>
              <w:spacing w:after="0" w:line="240" w:lineRule="auto"/>
              <w:jc w:val="center"/>
              <w:rPr>
                <w:rFonts w:ascii="Times New Roman" w:hAnsi="Times New Roman"/>
                <w:sz w:val="20"/>
                <w:szCs w:val="20"/>
              </w:rPr>
            </w:pPr>
            <w:r>
              <w:rPr>
                <w:rFonts w:ascii="Times New Roman" w:hAnsi="Times New Roman"/>
                <w:sz w:val="20"/>
                <w:szCs w:val="20"/>
              </w:rPr>
              <w:t>932.141.338</w:t>
            </w:r>
          </w:p>
        </w:tc>
        <w:tc>
          <w:tcPr>
            <w:tcW w:w="1559" w:type="dxa"/>
            <w:shd w:val="clear" w:color="auto" w:fill="auto"/>
            <w:vAlign w:val="center"/>
          </w:tcPr>
          <w:p w:rsidR="008B4B55" w:rsidRPr="008B4B55" w:rsidRDefault="00A01188" w:rsidP="00A70E24">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59.498.383</w:t>
            </w:r>
          </w:p>
        </w:tc>
        <w:tc>
          <w:tcPr>
            <w:tcW w:w="1417" w:type="dxa"/>
            <w:shd w:val="clear" w:color="auto" w:fill="auto"/>
            <w:noWrap/>
            <w:vAlign w:val="center"/>
          </w:tcPr>
          <w:p w:rsidR="008B4B55" w:rsidRPr="008B4B55" w:rsidRDefault="00A01188" w:rsidP="00A70E24">
            <w:pPr>
              <w:spacing w:after="0" w:line="240" w:lineRule="auto"/>
              <w:jc w:val="center"/>
              <w:rPr>
                <w:rFonts w:ascii="Times New Roman" w:hAnsi="Times New Roman"/>
                <w:sz w:val="20"/>
                <w:szCs w:val="20"/>
              </w:rPr>
            </w:pPr>
            <w:r>
              <w:rPr>
                <w:rFonts w:ascii="Times New Roman" w:hAnsi="Times New Roman"/>
                <w:sz w:val="20"/>
                <w:szCs w:val="20"/>
              </w:rPr>
              <w:t>967.330.496</w:t>
            </w:r>
          </w:p>
        </w:tc>
        <w:tc>
          <w:tcPr>
            <w:tcW w:w="1701" w:type="dxa"/>
            <w:shd w:val="clear" w:color="auto" w:fill="auto"/>
            <w:vAlign w:val="center"/>
          </w:tcPr>
          <w:p w:rsidR="008B4B55" w:rsidRPr="008B4B55" w:rsidRDefault="00A01188" w:rsidP="00A70E24">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61.744.500</w:t>
            </w:r>
          </w:p>
        </w:tc>
        <w:tc>
          <w:tcPr>
            <w:tcW w:w="1418" w:type="dxa"/>
            <w:shd w:val="clear" w:color="auto" w:fill="auto"/>
            <w:noWrap/>
            <w:vAlign w:val="center"/>
          </w:tcPr>
          <w:p w:rsidR="008B4B55" w:rsidRPr="004E77F7" w:rsidRDefault="000122B1" w:rsidP="00A70E24">
            <w:pPr>
              <w:spacing w:after="0" w:line="240" w:lineRule="auto"/>
              <w:jc w:val="center"/>
              <w:rPr>
                <w:rFonts w:ascii="Times New Roman" w:hAnsi="Times New Roman"/>
                <w:sz w:val="20"/>
                <w:szCs w:val="20"/>
              </w:rPr>
            </w:pPr>
            <w:r w:rsidRPr="004E77F7">
              <w:rPr>
                <w:rFonts w:ascii="Times New Roman" w:hAnsi="Times New Roman"/>
                <w:sz w:val="20"/>
                <w:szCs w:val="20"/>
              </w:rPr>
              <w:t>1.001</w:t>
            </w:r>
            <w:r w:rsidR="00236E3A" w:rsidRPr="004E77F7">
              <w:rPr>
                <w:rFonts w:ascii="Times New Roman" w:hAnsi="Times New Roman"/>
                <w:sz w:val="20"/>
                <w:szCs w:val="20"/>
              </w:rPr>
              <w:t>.768.036</w:t>
            </w:r>
          </w:p>
        </w:tc>
        <w:tc>
          <w:tcPr>
            <w:tcW w:w="1559" w:type="dxa"/>
            <w:shd w:val="clear" w:color="auto" w:fill="auto"/>
            <w:vAlign w:val="center"/>
          </w:tcPr>
          <w:p w:rsidR="008B4B55" w:rsidRPr="004E77F7" w:rsidRDefault="00A01188" w:rsidP="003F7EE8">
            <w:pPr>
              <w:spacing w:after="0" w:line="240" w:lineRule="auto"/>
              <w:jc w:val="center"/>
              <w:rPr>
                <w:rFonts w:ascii="Times New Roman" w:eastAsia="Times New Roman" w:hAnsi="Times New Roman"/>
                <w:color w:val="000000"/>
                <w:sz w:val="20"/>
                <w:szCs w:val="20"/>
                <w:lang w:eastAsia="lt-LT"/>
              </w:rPr>
            </w:pPr>
            <w:r w:rsidRPr="004E77F7">
              <w:rPr>
                <w:rFonts w:ascii="Times New Roman" w:eastAsia="Times New Roman" w:hAnsi="Times New Roman"/>
                <w:color w:val="000000"/>
                <w:sz w:val="20"/>
                <w:szCs w:val="20"/>
                <w:lang w:eastAsia="lt-LT"/>
              </w:rPr>
              <w:t>6</w:t>
            </w:r>
            <w:r w:rsidR="00C95075" w:rsidRPr="004E77F7">
              <w:rPr>
                <w:rFonts w:ascii="Times New Roman" w:eastAsia="Times New Roman" w:hAnsi="Times New Roman"/>
                <w:color w:val="000000"/>
                <w:sz w:val="20"/>
                <w:szCs w:val="20"/>
                <w:lang w:eastAsia="lt-LT"/>
              </w:rPr>
              <w:t>3.942.640</w:t>
            </w:r>
          </w:p>
        </w:tc>
        <w:tc>
          <w:tcPr>
            <w:tcW w:w="1559" w:type="dxa"/>
            <w:shd w:val="clear" w:color="auto" w:fill="auto"/>
            <w:noWrap/>
            <w:vAlign w:val="center"/>
          </w:tcPr>
          <w:p w:rsidR="008B4B55" w:rsidRPr="004E77F7" w:rsidRDefault="008B4B55" w:rsidP="00A70E24">
            <w:pPr>
              <w:spacing w:after="0" w:line="240" w:lineRule="auto"/>
              <w:jc w:val="center"/>
              <w:rPr>
                <w:rFonts w:ascii="Times New Roman" w:hAnsi="Times New Roman"/>
                <w:sz w:val="20"/>
                <w:szCs w:val="20"/>
              </w:rPr>
            </w:pPr>
          </w:p>
        </w:tc>
        <w:tc>
          <w:tcPr>
            <w:tcW w:w="1560" w:type="dxa"/>
            <w:shd w:val="clear" w:color="auto" w:fill="auto"/>
            <w:vAlign w:val="center"/>
          </w:tcPr>
          <w:p w:rsidR="008B4B55" w:rsidRPr="004E77F7" w:rsidRDefault="008B4B55" w:rsidP="00A70E24">
            <w:pPr>
              <w:spacing w:after="0" w:line="240" w:lineRule="auto"/>
              <w:jc w:val="center"/>
              <w:rPr>
                <w:rFonts w:ascii="Times New Roman" w:eastAsia="Times New Roman" w:hAnsi="Times New Roman"/>
                <w:color w:val="000000"/>
                <w:sz w:val="20"/>
                <w:szCs w:val="20"/>
                <w:lang w:eastAsia="lt-LT"/>
              </w:rPr>
            </w:pPr>
          </w:p>
        </w:tc>
      </w:tr>
    </w:tbl>
    <w:p w:rsidR="0076682D" w:rsidRDefault="0076682D"/>
    <w:p w:rsidR="0076682D" w:rsidRDefault="0076682D" w:rsidP="0076682D">
      <w:pPr>
        <w:widowControl w:val="0"/>
        <w:tabs>
          <w:tab w:val="left" w:pos="622"/>
        </w:tabs>
        <w:spacing w:after="0" w:line="240" w:lineRule="auto"/>
        <w:jc w:val="both"/>
      </w:pPr>
      <w:r w:rsidRPr="00E73FE1">
        <w:rPr>
          <w:rFonts w:ascii="Times New Roman" w:eastAsia="AngsanaUPC" w:hAnsi="Times New Roman"/>
          <w:bCs/>
          <w:i/>
          <w:szCs w:val="24"/>
          <w:lang w:eastAsia="lt-LT"/>
        </w:rPr>
        <w:lastRenderedPageBreak/>
        <w:t>3 lentelės tęsinys.</w:t>
      </w:r>
      <w:r w:rsidRPr="00DE7193">
        <w:rPr>
          <w:rFonts w:ascii="Times New Roman" w:eastAsia="AngsanaUPC" w:hAnsi="Times New Roman"/>
          <w:b/>
          <w:bCs/>
          <w:szCs w:val="24"/>
          <w:lang w:eastAsia="lt-LT"/>
        </w:rPr>
        <w:t xml:space="preserve"> </w:t>
      </w:r>
      <w:r w:rsidRPr="00E73FE1">
        <w:rPr>
          <w:rFonts w:ascii="Times New Roman" w:eastAsia="AngsanaUPC" w:hAnsi="Times New Roman"/>
          <w:b/>
          <w:bCs/>
          <w:szCs w:val="24"/>
          <w:lang w:eastAsia="lt-LT"/>
        </w:rPr>
        <w:t>Bendra finansinių asignavimų suma numatyta pagal kiekvieną fondą (eurais)</w:t>
      </w:r>
    </w:p>
    <w:tbl>
      <w:tblPr>
        <w:tblW w:w="30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135"/>
        <w:gridCol w:w="1416"/>
        <w:gridCol w:w="1561"/>
        <w:gridCol w:w="1416"/>
        <w:gridCol w:w="1702"/>
      </w:tblGrid>
      <w:tr w:rsidR="0076682D" w:rsidRPr="0076682D" w:rsidTr="0076682D">
        <w:trPr>
          <w:trHeight w:val="300"/>
        </w:trPr>
        <w:tc>
          <w:tcPr>
            <w:tcW w:w="803" w:type="pct"/>
            <w:shd w:val="clear" w:color="auto" w:fill="DDD9C3" w:themeFill="background2" w:themeFillShade="E6"/>
            <w:vAlign w:val="center"/>
          </w:tcPr>
          <w:p w:rsidR="0076682D" w:rsidRPr="0076682D" w:rsidRDefault="0076682D" w:rsidP="0076682D">
            <w:pPr>
              <w:widowControl w:val="0"/>
              <w:tabs>
                <w:tab w:val="left" w:pos="622"/>
              </w:tabs>
              <w:spacing w:after="0" w:line="240" w:lineRule="auto"/>
              <w:contextualSpacing/>
              <w:jc w:val="center"/>
              <w:rPr>
                <w:rFonts w:ascii="Times New Roman" w:eastAsia="Times New Roman" w:hAnsi="Times New Roman" w:cs="Arial"/>
                <w:b/>
                <w:bCs/>
                <w:sz w:val="20"/>
                <w:szCs w:val="20"/>
                <w:lang w:eastAsia="lt-LT"/>
              </w:rPr>
            </w:pPr>
            <w:r w:rsidRPr="0076682D">
              <w:rPr>
                <w:rFonts w:ascii="Times New Roman" w:eastAsia="Times New Roman" w:hAnsi="Times New Roman" w:cs="Arial"/>
                <w:b/>
                <w:bCs/>
                <w:sz w:val="20"/>
                <w:szCs w:val="20"/>
                <w:lang w:eastAsia="lt-LT"/>
              </w:rPr>
              <w:t>Fondas</w:t>
            </w:r>
          </w:p>
        </w:tc>
        <w:tc>
          <w:tcPr>
            <w:tcW w:w="659" w:type="pct"/>
            <w:shd w:val="clear" w:color="auto" w:fill="DDD9C3" w:themeFill="background2" w:themeFillShade="E6"/>
            <w:vAlign w:val="center"/>
          </w:tcPr>
          <w:p w:rsidR="0076682D" w:rsidRPr="0076682D" w:rsidRDefault="0076682D" w:rsidP="0076682D">
            <w:pPr>
              <w:widowControl w:val="0"/>
              <w:tabs>
                <w:tab w:val="left" w:pos="622"/>
              </w:tabs>
              <w:spacing w:after="0" w:line="240" w:lineRule="auto"/>
              <w:jc w:val="center"/>
              <w:rPr>
                <w:rFonts w:ascii="Times New Roman" w:eastAsia="Times New Roman" w:hAnsi="Times New Roman" w:cs="Arial"/>
                <w:b/>
                <w:bCs/>
                <w:sz w:val="20"/>
                <w:szCs w:val="20"/>
                <w:lang w:eastAsia="lt-LT"/>
              </w:rPr>
            </w:pPr>
            <w:r w:rsidRPr="0076682D">
              <w:rPr>
                <w:rFonts w:ascii="Times New Roman" w:eastAsia="Times New Roman" w:hAnsi="Times New Roman" w:cs="Arial"/>
                <w:b/>
                <w:bCs/>
                <w:sz w:val="20"/>
                <w:szCs w:val="20"/>
                <w:lang w:eastAsia="lt-LT"/>
              </w:rPr>
              <w:t>Regiono kategorija</w:t>
            </w:r>
          </w:p>
        </w:tc>
        <w:tc>
          <w:tcPr>
            <w:tcW w:w="1728" w:type="pct"/>
            <w:gridSpan w:val="2"/>
            <w:shd w:val="clear" w:color="auto" w:fill="DDD9C3" w:themeFill="background2" w:themeFillShade="E6"/>
            <w:vAlign w:val="center"/>
          </w:tcPr>
          <w:p w:rsidR="0076682D" w:rsidRPr="0076682D" w:rsidRDefault="0076682D" w:rsidP="0076682D">
            <w:pPr>
              <w:widowControl w:val="0"/>
              <w:tabs>
                <w:tab w:val="left" w:pos="622"/>
              </w:tabs>
              <w:spacing w:after="0" w:line="240" w:lineRule="auto"/>
              <w:jc w:val="center"/>
              <w:rPr>
                <w:rFonts w:ascii="Times New Roman" w:eastAsia="Times New Roman" w:hAnsi="Times New Roman" w:cs="Arial"/>
                <w:b/>
                <w:bCs/>
                <w:lang w:eastAsia="lt-LT"/>
              </w:rPr>
            </w:pPr>
            <w:r w:rsidRPr="0076682D">
              <w:rPr>
                <w:rFonts w:ascii="Times New Roman" w:eastAsia="Times New Roman" w:hAnsi="Times New Roman" w:cs="Arial"/>
                <w:b/>
                <w:bCs/>
                <w:lang w:eastAsia="lt-LT"/>
              </w:rPr>
              <w:t>2022</w:t>
            </w:r>
          </w:p>
        </w:tc>
        <w:tc>
          <w:tcPr>
            <w:tcW w:w="1810" w:type="pct"/>
            <w:gridSpan w:val="2"/>
            <w:shd w:val="clear" w:color="auto" w:fill="DDD9C3" w:themeFill="background2" w:themeFillShade="E6"/>
            <w:noWrap/>
            <w:vAlign w:val="center"/>
          </w:tcPr>
          <w:p w:rsidR="0076682D" w:rsidRPr="0076682D" w:rsidRDefault="0076682D" w:rsidP="0076682D">
            <w:pPr>
              <w:widowControl w:val="0"/>
              <w:tabs>
                <w:tab w:val="left" w:pos="622"/>
              </w:tabs>
              <w:spacing w:after="0" w:line="240" w:lineRule="auto"/>
              <w:jc w:val="center"/>
              <w:rPr>
                <w:rFonts w:ascii="Times New Roman" w:eastAsia="Times New Roman" w:hAnsi="Times New Roman" w:cs="Arial"/>
                <w:b/>
                <w:bCs/>
                <w:lang w:eastAsia="lt-LT"/>
              </w:rPr>
            </w:pPr>
            <w:r w:rsidRPr="0076682D">
              <w:rPr>
                <w:rFonts w:ascii="Times New Roman" w:eastAsia="Times New Roman" w:hAnsi="Times New Roman" w:cs="Arial"/>
                <w:b/>
                <w:bCs/>
                <w:lang w:eastAsia="lt-LT"/>
              </w:rPr>
              <w:t>Iš viso</w:t>
            </w:r>
          </w:p>
        </w:tc>
      </w:tr>
      <w:tr w:rsidR="0076682D" w:rsidRPr="0076682D" w:rsidTr="0076682D">
        <w:trPr>
          <w:trHeight w:val="300"/>
        </w:trPr>
        <w:tc>
          <w:tcPr>
            <w:tcW w:w="803" w:type="pct"/>
          </w:tcPr>
          <w:p w:rsidR="0076682D" w:rsidRPr="0076682D" w:rsidRDefault="0076682D" w:rsidP="0076682D">
            <w:pPr>
              <w:widowControl w:val="0"/>
              <w:tabs>
                <w:tab w:val="left" w:pos="622"/>
              </w:tabs>
              <w:spacing w:after="0" w:line="240" w:lineRule="auto"/>
              <w:jc w:val="both"/>
              <w:rPr>
                <w:rFonts w:ascii="Times New Roman" w:eastAsia="Times New Roman" w:hAnsi="Times New Roman" w:cs="Arial"/>
                <w:b/>
                <w:bCs/>
                <w:sz w:val="18"/>
                <w:szCs w:val="18"/>
                <w:lang w:eastAsia="lt-LT"/>
              </w:rPr>
            </w:pPr>
          </w:p>
        </w:tc>
        <w:tc>
          <w:tcPr>
            <w:tcW w:w="659" w:type="pct"/>
          </w:tcPr>
          <w:p w:rsidR="0076682D" w:rsidRPr="0076682D" w:rsidRDefault="0076682D" w:rsidP="0076682D">
            <w:pPr>
              <w:widowControl w:val="0"/>
              <w:tabs>
                <w:tab w:val="left" w:pos="622"/>
              </w:tabs>
              <w:spacing w:after="0" w:line="240" w:lineRule="auto"/>
              <w:jc w:val="center"/>
              <w:rPr>
                <w:rFonts w:ascii="Times New Roman" w:eastAsia="Times New Roman" w:hAnsi="Times New Roman" w:cs="Arial"/>
                <w:bCs/>
                <w:sz w:val="20"/>
                <w:szCs w:val="20"/>
                <w:lang w:eastAsia="lt-LT"/>
              </w:rPr>
            </w:pPr>
          </w:p>
        </w:tc>
        <w:tc>
          <w:tcPr>
            <w:tcW w:w="822" w:type="pct"/>
            <w:vAlign w:val="center"/>
          </w:tcPr>
          <w:p w:rsidR="0076682D" w:rsidRPr="0076682D" w:rsidRDefault="0076682D" w:rsidP="0076682D">
            <w:pPr>
              <w:spacing w:after="0" w:line="240" w:lineRule="auto"/>
              <w:jc w:val="center"/>
              <w:rPr>
                <w:rFonts w:ascii="Times New Roman" w:eastAsia="Times New Roman" w:hAnsi="Times New Roman" w:cs="Arial"/>
                <w:bCs/>
                <w:color w:val="000000"/>
                <w:sz w:val="20"/>
                <w:szCs w:val="20"/>
                <w:lang w:eastAsia="lt-LT"/>
              </w:rPr>
            </w:pPr>
            <w:r w:rsidRPr="0076682D">
              <w:rPr>
                <w:rFonts w:ascii="Times New Roman" w:eastAsia="Times New Roman" w:hAnsi="Times New Roman" w:cs="Arial"/>
                <w:bCs/>
                <w:color w:val="000000"/>
                <w:sz w:val="20"/>
                <w:szCs w:val="20"/>
                <w:lang w:eastAsia="lt-LT"/>
              </w:rPr>
              <w:t>Asignavimai be rezervo</w:t>
            </w:r>
          </w:p>
        </w:tc>
        <w:tc>
          <w:tcPr>
            <w:tcW w:w="906" w:type="pct"/>
            <w:vAlign w:val="center"/>
          </w:tcPr>
          <w:p w:rsidR="0076682D" w:rsidRPr="0076682D" w:rsidRDefault="0076682D" w:rsidP="0076682D">
            <w:pPr>
              <w:spacing w:after="0" w:line="240" w:lineRule="auto"/>
              <w:jc w:val="center"/>
              <w:rPr>
                <w:rFonts w:ascii="Times New Roman" w:eastAsia="Times New Roman" w:hAnsi="Times New Roman" w:cs="Arial"/>
                <w:bCs/>
                <w:color w:val="000000"/>
                <w:sz w:val="20"/>
                <w:szCs w:val="20"/>
                <w:lang w:eastAsia="lt-LT"/>
              </w:rPr>
            </w:pPr>
            <w:r w:rsidRPr="0076682D">
              <w:rPr>
                <w:rFonts w:ascii="Times New Roman" w:eastAsia="Times New Roman" w:hAnsi="Times New Roman" w:cs="Arial"/>
                <w:bCs/>
                <w:color w:val="000000"/>
                <w:sz w:val="20"/>
                <w:szCs w:val="20"/>
                <w:lang w:eastAsia="lt-LT"/>
              </w:rPr>
              <w:t>Veiklos rezervas</w:t>
            </w:r>
          </w:p>
        </w:tc>
        <w:tc>
          <w:tcPr>
            <w:tcW w:w="822" w:type="pct"/>
            <w:noWrap/>
            <w:vAlign w:val="center"/>
          </w:tcPr>
          <w:p w:rsidR="0076682D" w:rsidRPr="0076682D" w:rsidRDefault="0076682D" w:rsidP="0076682D">
            <w:pPr>
              <w:spacing w:after="0" w:line="240" w:lineRule="auto"/>
              <w:jc w:val="center"/>
              <w:rPr>
                <w:rFonts w:ascii="Times New Roman" w:eastAsia="Times New Roman" w:hAnsi="Times New Roman" w:cs="Arial"/>
                <w:bCs/>
                <w:color w:val="000000"/>
                <w:sz w:val="20"/>
                <w:szCs w:val="20"/>
                <w:lang w:eastAsia="lt-LT"/>
              </w:rPr>
            </w:pPr>
            <w:r w:rsidRPr="0076682D">
              <w:rPr>
                <w:rFonts w:ascii="Times New Roman" w:eastAsia="Times New Roman" w:hAnsi="Times New Roman" w:cs="Arial"/>
                <w:bCs/>
                <w:color w:val="000000"/>
                <w:sz w:val="20"/>
                <w:szCs w:val="20"/>
                <w:lang w:eastAsia="lt-LT"/>
              </w:rPr>
              <w:t>Asignavimai be rezervo</w:t>
            </w:r>
          </w:p>
        </w:tc>
        <w:tc>
          <w:tcPr>
            <w:tcW w:w="988" w:type="pct"/>
            <w:vAlign w:val="center"/>
          </w:tcPr>
          <w:p w:rsidR="0076682D" w:rsidRPr="0076682D" w:rsidRDefault="0076682D" w:rsidP="0076682D">
            <w:pPr>
              <w:spacing w:after="0" w:line="240" w:lineRule="auto"/>
              <w:jc w:val="center"/>
              <w:rPr>
                <w:rFonts w:ascii="Times New Roman" w:eastAsia="Times New Roman" w:hAnsi="Times New Roman" w:cs="Arial"/>
                <w:bCs/>
                <w:color w:val="000000"/>
                <w:sz w:val="20"/>
                <w:szCs w:val="20"/>
                <w:lang w:eastAsia="lt-LT"/>
              </w:rPr>
            </w:pPr>
            <w:r w:rsidRPr="0076682D">
              <w:rPr>
                <w:rFonts w:ascii="Times New Roman" w:eastAsia="Times New Roman" w:hAnsi="Times New Roman" w:cs="Arial"/>
                <w:bCs/>
                <w:color w:val="000000"/>
                <w:sz w:val="20"/>
                <w:szCs w:val="20"/>
                <w:lang w:eastAsia="lt-LT"/>
              </w:rPr>
              <w:t>Veiklos rezervas</w:t>
            </w:r>
          </w:p>
        </w:tc>
      </w:tr>
      <w:tr w:rsidR="0076682D" w:rsidRPr="0076682D" w:rsidTr="0076682D">
        <w:trPr>
          <w:trHeight w:val="300"/>
        </w:trPr>
        <w:tc>
          <w:tcPr>
            <w:tcW w:w="803" w:type="pct"/>
          </w:tcPr>
          <w:p w:rsidR="0076682D" w:rsidRPr="0076682D" w:rsidRDefault="0076682D" w:rsidP="0076682D">
            <w:pPr>
              <w:widowControl w:val="0"/>
              <w:tabs>
                <w:tab w:val="left" w:pos="622"/>
              </w:tabs>
              <w:spacing w:after="0" w:line="240" w:lineRule="auto"/>
              <w:jc w:val="both"/>
              <w:rPr>
                <w:rFonts w:ascii="Times New Roman" w:eastAsia="Times New Roman" w:hAnsi="Times New Roman" w:cs="Arial"/>
                <w:b/>
                <w:bCs/>
                <w:i/>
                <w:iCs/>
                <w:sz w:val="20"/>
                <w:szCs w:val="20"/>
                <w:lang w:eastAsia="lt-LT"/>
              </w:rPr>
            </w:pPr>
            <w:r w:rsidRPr="0076682D">
              <w:rPr>
                <w:rFonts w:ascii="Times New Roman" w:eastAsia="Times New Roman" w:hAnsi="Times New Roman" w:cs="Arial"/>
                <w:b/>
                <w:bCs/>
                <w:i/>
                <w:iCs/>
                <w:sz w:val="20"/>
                <w:szCs w:val="20"/>
                <w:lang w:eastAsia="lt-LT"/>
              </w:rPr>
              <w:t>ERPF</w:t>
            </w:r>
          </w:p>
        </w:tc>
        <w:tc>
          <w:tcPr>
            <w:tcW w:w="659" w:type="pct"/>
          </w:tcPr>
          <w:p w:rsidR="0076682D" w:rsidRPr="0076682D" w:rsidRDefault="0076682D" w:rsidP="0076682D">
            <w:pPr>
              <w:widowControl w:val="0"/>
              <w:tabs>
                <w:tab w:val="left" w:pos="622"/>
              </w:tabs>
              <w:spacing w:after="0" w:line="240" w:lineRule="auto"/>
              <w:jc w:val="center"/>
              <w:rPr>
                <w:rFonts w:ascii="Times New Roman" w:eastAsia="Times New Roman" w:hAnsi="Times New Roman" w:cs="Arial"/>
                <w:bCs/>
                <w:sz w:val="20"/>
                <w:szCs w:val="20"/>
                <w:lang w:eastAsia="lt-LT"/>
              </w:rPr>
            </w:pPr>
            <w:r w:rsidRPr="0076682D">
              <w:rPr>
                <w:rFonts w:ascii="Times New Roman" w:eastAsia="Times New Roman" w:hAnsi="Times New Roman" w:cs="Arial"/>
                <w:bCs/>
                <w:sz w:val="20"/>
                <w:szCs w:val="20"/>
                <w:lang w:eastAsia="lt-LT"/>
              </w:rPr>
              <w:t>Mažiau išsivystęs</w:t>
            </w:r>
          </w:p>
        </w:tc>
        <w:tc>
          <w:tcPr>
            <w:tcW w:w="822" w:type="pct"/>
          </w:tcPr>
          <w:p w:rsidR="0076682D" w:rsidRPr="0076682D" w:rsidRDefault="0076682D" w:rsidP="0076682D">
            <w:pPr>
              <w:spacing w:after="0" w:line="240" w:lineRule="auto"/>
              <w:jc w:val="center"/>
              <w:rPr>
                <w:rFonts w:ascii="Times New Roman" w:eastAsia="Times New Roman" w:hAnsi="Times New Roman" w:cs="Arial"/>
                <w:sz w:val="20"/>
                <w:szCs w:val="20"/>
              </w:rPr>
            </w:pPr>
          </w:p>
        </w:tc>
        <w:tc>
          <w:tcPr>
            <w:tcW w:w="906" w:type="pct"/>
          </w:tcPr>
          <w:p w:rsidR="0076682D" w:rsidRPr="0076682D" w:rsidRDefault="0076682D" w:rsidP="0076682D">
            <w:pPr>
              <w:spacing w:after="0" w:line="240" w:lineRule="auto"/>
              <w:jc w:val="center"/>
              <w:rPr>
                <w:rFonts w:ascii="Times New Roman" w:eastAsia="Times New Roman" w:hAnsi="Times New Roman" w:cs="Arial"/>
                <w:sz w:val="20"/>
                <w:szCs w:val="20"/>
              </w:rPr>
            </w:pPr>
          </w:p>
        </w:tc>
        <w:tc>
          <w:tcPr>
            <w:tcW w:w="822" w:type="pct"/>
            <w:noWrap/>
            <w:vAlign w:val="center"/>
          </w:tcPr>
          <w:p w:rsidR="0076682D" w:rsidRPr="0076682D" w:rsidRDefault="0076682D" w:rsidP="0076682D">
            <w:pPr>
              <w:spacing w:after="0" w:line="240" w:lineRule="auto"/>
              <w:jc w:val="center"/>
              <w:rPr>
                <w:rFonts w:ascii="Times New Roman" w:eastAsia="Times New Roman" w:hAnsi="Times New Roman" w:cs="Arial"/>
                <w:sz w:val="20"/>
                <w:szCs w:val="20"/>
              </w:rPr>
            </w:pPr>
            <w:r w:rsidRPr="0076682D">
              <w:rPr>
                <w:rFonts w:ascii="Times New Roman" w:eastAsia="Times New Roman" w:hAnsi="Times New Roman" w:cs="Arial"/>
                <w:sz w:val="20"/>
                <w:szCs w:val="20"/>
              </w:rPr>
              <w:t>3.201.313.335</w:t>
            </w:r>
          </w:p>
        </w:tc>
        <w:tc>
          <w:tcPr>
            <w:tcW w:w="988" w:type="pct"/>
            <w:vAlign w:val="center"/>
          </w:tcPr>
          <w:p w:rsidR="0076682D" w:rsidRPr="0076682D" w:rsidRDefault="0076682D" w:rsidP="0076682D">
            <w:pPr>
              <w:spacing w:after="0" w:line="240" w:lineRule="auto"/>
              <w:jc w:val="center"/>
              <w:rPr>
                <w:rFonts w:ascii="Times New Roman" w:eastAsia="Times New Roman" w:hAnsi="Times New Roman" w:cs="Arial"/>
                <w:sz w:val="20"/>
                <w:szCs w:val="20"/>
              </w:rPr>
            </w:pPr>
            <w:r w:rsidRPr="0076682D">
              <w:rPr>
                <w:rFonts w:ascii="Times New Roman" w:eastAsia="Times New Roman" w:hAnsi="Times New Roman" w:cs="Arial"/>
                <w:sz w:val="20"/>
                <w:szCs w:val="20"/>
              </w:rPr>
              <w:t>204.339.149</w:t>
            </w:r>
          </w:p>
        </w:tc>
      </w:tr>
      <w:tr w:rsidR="0076682D" w:rsidRPr="0076682D" w:rsidTr="0076682D">
        <w:trPr>
          <w:trHeight w:val="300"/>
        </w:trPr>
        <w:tc>
          <w:tcPr>
            <w:tcW w:w="803" w:type="pct"/>
          </w:tcPr>
          <w:p w:rsidR="0076682D" w:rsidRPr="0076682D" w:rsidRDefault="0076682D" w:rsidP="0076682D">
            <w:pPr>
              <w:widowControl w:val="0"/>
              <w:tabs>
                <w:tab w:val="left" w:pos="622"/>
              </w:tabs>
              <w:spacing w:after="0" w:line="240" w:lineRule="auto"/>
              <w:jc w:val="both"/>
              <w:rPr>
                <w:rFonts w:ascii="Times New Roman" w:eastAsia="Times New Roman" w:hAnsi="Times New Roman" w:cs="Arial"/>
                <w:b/>
                <w:bCs/>
                <w:i/>
                <w:iCs/>
                <w:sz w:val="20"/>
                <w:szCs w:val="20"/>
                <w:lang w:eastAsia="lt-LT"/>
              </w:rPr>
            </w:pPr>
            <w:r w:rsidRPr="0076682D">
              <w:rPr>
                <w:rFonts w:ascii="Times New Roman" w:eastAsia="Times New Roman" w:hAnsi="Times New Roman" w:cs="Arial"/>
                <w:b/>
                <w:bCs/>
                <w:i/>
                <w:iCs/>
                <w:sz w:val="20"/>
                <w:szCs w:val="20"/>
                <w:lang w:eastAsia="lt-LT"/>
              </w:rPr>
              <w:t>ESF</w:t>
            </w:r>
          </w:p>
        </w:tc>
        <w:tc>
          <w:tcPr>
            <w:tcW w:w="659" w:type="pct"/>
          </w:tcPr>
          <w:p w:rsidR="0076682D" w:rsidRPr="0076682D" w:rsidRDefault="0076682D" w:rsidP="0076682D">
            <w:pPr>
              <w:widowControl w:val="0"/>
              <w:tabs>
                <w:tab w:val="left" w:pos="622"/>
              </w:tabs>
              <w:spacing w:after="0" w:line="240" w:lineRule="auto"/>
              <w:jc w:val="center"/>
              <w:rPr>
                <w:rFonts w:ascii="Times New Roman" w:eastAsia="Times New Roman" w:hAnsi="Times New Roman" w:cs="Arial"/>
                <w:bCs/>
                <w:sz w:val="20"/>
                <w:szCs w:val="20"/>
                <w:lang w:eastAsia="lt-LT"/>
              </w:rPr>
            </w:pPr>
            <w:r w:rsidRPr="0076682D">
              <w:rPr>
                <w:rFonts w:ascii="Times New Roman" w:eastAsia="Times New Roman" w:hAnsi="Times New Roman" w:cs="Arial"/>
                <w:bCs/>
                <w:sz w:val="20"/>
                <w:szCs w:val="20"/>
                <w:lang w:eastAsia="lt-LT"/>
              </w:rPr>
              <w:t>Mažiau išsivystęs</w:t>
            </w:r>
          </w:p>
        </w:tc>
        <w:tc>
          <w:tcPr>
            <w:tcW w:w="822" w:type="pct"/>
          </w:tcPr>
          <w:p w:rsidR="0076682D" w:rsidRPr="0076682D" w:rsidRDefault="0076682D" w:rsidP="0076682D">
            <w:pPr>
              <w:spacing w:after="0" w:line="240" w:lineRule="auto"/>
              <w:jc w:val="center"/>
              <w:rPr>
                <w:rFonts w:ascii="Times New Roman" w:eastAsia="Times New Roman" w:hAnsi="Times New Roman" w:cs="Arial"/>
                <w:sz w:val="20"/>
                <w:szCs w:val="20"/>
              </w:rPr>
            </w:pPr>
          </w:p>
        </w:tc>
        <w:tc>
          <w:tcPr>
            <w:tcW w:w="906" w:type="pct"/>
          </w:tcPr>
          <w:p w:rsidR="0076682D" w:rsidRPr="0076682D" w:rsidRDefault="0076682D" w:rsidP="0076682D">
            <w:pPr>
              <w:spacing w:after="0" w:line="240" w:lineRule="auto"/>
              <w:jc w:val="center"/>
              <w:rPr>
                <w:rFonts w:ascii="Times New Roman" w:eastAsia="Times New Roman" w:hAnsi="Times New Roman" w:cs="Arial"/>
                <w:sz w:val="20"/>
                <w:szCs w:val="20"/>
              </w:rPr>
            </w:pPr>
          </w:p>
        </w:tc>
        <w:tc>
          <w:tcPr>
            <w:tcW w:w="822" w:type="pct"/>
            <w:noWrap/>
            <w:vAlign w:val="center"/>
          </w:tcPr>
          <w:p w:rsidR="0076682D" w:rsidRPr="0076682D" w:rsidRDefault="0076682D" w:rsidP="0076682D">
            <w:pPr>
              <w:spacing w:after="0" w:line="240" w:lineRule="auto"/>
              <w:jc w:val="center"/>
              <w:rPr>
                <w:rFonts w:ascii="Times New Roman" w:eastAsia="Times New Roman" w:hAnsi="Times New Roman" w:cs="Arial"/>
                <w:sz w:val="20"/>
                <w:szCs w:val="20"/>
              </w:rPr>
            </w:pPr>
            <w:r w:rsidRPr="0076682D">
              <w:rPr>
                <w:rFonts w:ascii="Times New Roman" w:eastAsia="Times New Roman" w:hAnsi="Times New Roman" w:cs="Arial"/>
                <w:sz w:val="20"/>
                <w:szCs w:val="20"/>
              </w:rPr>
              <w:t>1.160.121.741</w:t>
            </w:r>
          </w:p>
        </w:tc>
        <w:tc>
          <w:tcPr>
            <w:tcW w:w="988" w:type="pct"/>
            <w:vAlign w:val="center"/>
          </w:tcPr>
          <w:p w:rsidR="0076682D" w:rsidRPr="0076682D" w:rsidRDefault="0076682D" w:rsidP="0076682D">
            <w:pPr>
              <w:spacing w:after="0" w:line="240" w:lineRule="auto"/>
              <w:jc w:val="center"/>
              <w:rPr>
                <w:rFonts w:ascii="Times New Roman" w:eastAsia="Times New Roman" w:hAnsi="Times New Roman" w:cs="Arial"/>
                <w:sz w:val="20"/>
                <w:szCs w:val="20"/>
              </w:rPr>
            </w:pPr>
            <w:r w:rsidRPr="0076682D">
              <w:rPr>
                <w:rFonts w:ascii="Times New Roman" w:eastAsia="Times New Roman" w:hAnsi="Times New Roman" w:cs="Arial"/>
                <w:sz w:val="20"/>
                <w:szCs w:val="20"/>
              </w:rPr>
              <w:t>72.021.646</w:t>
            </w:r>
          </w:p>
        </w:tc>
      </w:tr>
      <w:tr w:rsidR="0076682D" w:rsidRPr="0076682D" w:rsidTr="0076682D">
        <w:trPr>
          <w:trHeight w:val="300"/>
        </w:trPr>
        <w:tc>
          <w:tcPr>
            <w:tcW w:w="803" w:type="pct"/>
          </w:tcPr>
          <w:p w:rsidR="0076682D" w:rsidRPr="0076682D" w:rsidRDefault="0076682D" w:rsidP="0076682D">
            <w:pPr>
              <w:widowControl w:val="0"/>
              <w:tabs>
                <w:tab w:val="left" w:pos="622"/>
              </w:tabs>
              <w:spacing w:after="0" w:line="240" w:lineRule="auto"/>
              <w:jc w:val="both"/>
              <w:rPr>
                <w:rFonts w:ascii="Times New Roman" w:eastAsia="Times New Roman" w:hAnsi="Times New Roman" w:cs="Arial"/>
                <w:b/>
                <w:bCs/>
                <w:i/>
                <w:iCs/>
                <w:sz w:val="20"/>
                <w:szCs w:val="20"/>
                <w:lang w:eastAsia="lt-LT"/>
              </w:rPr>
            </w:pPr>
            <w:r w:rsidRPr="0076682D">
              <w:rPr>
                <w:rFonts w:ascii="Times New Roman" w:eastAsia="Times New Roman" w:hAnsi="Times New Roman" w:cs="Arial"/>
                <w:b/>
                <w:bCs/>
                <w:i/>
                <w:iCs/>
                <w:sz w:val="20"/>
                <w:szCs w:val="20"/>
                <w:lang w:eastAsia="lt-LT"/>
              </w:rPr>
              <w:t>JUI</w:t>
            </w:r>
            <w:r w:rsidRPr="0076682D">
              <w:rPr>
                <w:rFonts w:ascii="Times New Roman" w:eastAsia="Times New Roman" w:hAnsi="Times New Roman" w:cs="Arial"/>
                <w:b/>
                <w:bCs/>
                <w:color w:val="000000"/>
                <w:sz w:val="20"/>
                <w:szCs w:val="20"/>
                <w:lang w:eastAsia="lt-LT"/>
              </w:rPr>
              <w:t xml:space="preserve"> (</w:t>
            </w:r>
            <w:r w:rsidRPr="0076682D">
              <w:rPr>
                <w:rFonts w:ascii="Times New Roman" w:eastAsia="Times New Roman" w:hAnsi="Times New Roman" w:cs="Arial"/>
                <w:b/>
                <w:bCs/>
                <w:iCs/>
                <w:sz w:val="20"/>
                <w:szCs w:val="20"/>
                <w:lang w:eastAsia="lt-LT"/>
              </w:rPr>
              <w:t>specialūs asignavimai)</w:t>
            </w:r>
          </w:p>
        </w:tc>
        <w:tc>
          <w:tcPr>
            <w:tcW w:w="659" w:type="pct"/>
            <w:vAlign w:val="center"/>
          </w:tcPr>
          <w:p w:rsidR="0076682D" w:rsidRPr="0076682D" w:rsidRDefault="0076682D" w:rsidP="0076682D">
            <w:pPr>
              <w:widowControl w:val="0"/>
              <w:tabs>
                <w:tab w:val="left" w:pos="622"/>
              </w:tabs>
              <w:spacing w:after="0" w:line="240" w:lineRule="auto"/>
              <w:jc w:val="center"/>
              <w:rPr>
                <w:rFonts w:ascii="Times New Roman" w:eastAsia="Times New Roman" w:hAnsi="Times New Roman" w:cs="Arial"/>
                <w:bCs/>
                <w:sz w:val="20"/>
                <w:szCs w:val="20"/>
                <w:lang w:eastAsia="lt-LT"/>
              </w:rPr>
            </w:pPr>
            <w:r w:rsidRPr="0076682D">
              <w:rPr>
                <w:rFonts w:ascii="Times New Roman" w:eastAsia="Times New Roman" w:hAnsi="Times New Roman" w:cs="Arial"/>
                <w:bCs/>
                <w:sz w:val="20"/>
                <w:szCs w:val="20"/>
                <w:lang w:eastAsia="lt-LT"/>
              </w:rPr>
              <w:t>Netaikoma</w:t>
            </w:r>
          </w:p>
        </w:tc>
        <w:tc>
          <w:tcPr>
            <w:tcW w:w="822" w:type="pct"/>
          </w:tcPr>
          <w:p w:rsidR="0076682D" w:rsidRPr="0076682D" w:rsidRDefault="0076682D" w:rsidP="0076682D">
            <w:pPr>
              <w:spacing w:after="0" w:line="240" w:lineRule="auto"/>
              <w:jc w:val="center"/>
              <w:rPr>
                <w:rFonts w:ascii="Times New Roman" w:eastAsia="Times New Roman" w:hAnsi="Times New Roman" w:cs="Arial"/>
                <w:sz w:val="20"/>
                <w:szCs w:val="20"/>
              </w:rPr>
            </w:pPr>
          </w:p>
        </w:tc>
        <w:tc>
          <w:tcPr>
            <w:tcW w:w="906" w:type="pct"/>
          </w:tcPr>
          <w:p w:rsidR="0076682D" w:rsidRPr="0076682D" w:rsidRDefault="0076682D" w:rsidP="0076682D">
            <w:pPr>
              <w:spacing w:after="0" w:line="240" w:lineRule="auto"/>
              <w:jc w:val="center"/>
              <w:rPr>
                <w:rFonts w:ascii="Times New Roman" w:eastAsia="Times New Roman" w:hAnsi="Times New Roman" w:cs="Arial"/>
                <w:sz w:val="20"/>
                <w:szCs w:val="20"/>
              </w:rPr>
            </w:pPr>
          </w:p>
        </w:tc>
        <w:tc>
          <w:tcPr>
            <w:tcW w:w="822" w:type="pct"/>
            <w:noWrap/>
            <w:vAlign w:val="center"/>
          </w:tcPr>
          <w:p w:rsidR="0076682D" w:rsidRPr="0076682D" w:rsidRDefault="0076682D" w:rsidP="0076682D">
            <w:pPr>
              <w:spacing w:after="0" w:line="240" w:lineRule="auto"/>
              <w:jc w:val="center"/>
              <w:rPr>
                <w:rFonts w:ascii="Times New Roman" w:eastAsia="Times New Roman" w:hAnsi="Times New Roman" w:cs="Arial"/>
                <w:sz w:val="20"/>
                <w:szCs w:val="20"/>
              </w:rPr>
            </w:pPr>
            <w:r w:rsidRPr="0076682D">
              <w:rPr>
                <w:rFonts w:ascii="Times New Roman" w:eastAsia="Times New Roman" w:hAnsi="Times New Roman" w:cs="Arial"/>
                <w:sz w:val="20"/>
                <w:szCs w:val="20"/>
              </w:rPr>
              <w:t>31.782.633</w:t>
            </w:r>
          </w:p>
        </w:tc>
        <w:tc>
          <w:tcPr>
            <w:tcW w:w="988" w:type="pct"/>
            <w:vAlign w:val="center"/>
          </w:tcPr>
          <w:p w:rsidR="0076682D" w:rsidRPr="0076682D" w:rsidRDefault="0076682D" w:rsidP="0076682D">
            <w:pPr>
              <w:spacing w:after="0" w:line="240" w:lineRule="auto"/>
              <w:jc w:val="center"/>
              <w:rPr>
                <w:rFonts w:ascii="Times New Roman" w:eastAsia="Times New Roman" w:hAnsi="Times New Roman" w:cs="Arial"/>
                <w:color w:val="000000"/>
                <w:sz w:val="20"/>
                <w:szCs w:val="20"/>
                <w:lang w:eastAsia="lt-LT"/>
              </w:rPr>
            </w:pPr>
          </w:p>
        </w:tc>
      </w:tr>
      <w:tr w:rsidR="0076682D" w:rsidRPr="0076682D" w:rsidTr="0076682D">
        <w:trPr>
          <w:trHeight w:val="300"/>
        </w:trPr>
        <w:tc>
          <w:tcPr>
            <w:tcW w:w="803" w:type="pct"/>
          </w:tcPr>
          <w:p w:rsidR="0076682D" w:rsidRPr="0076682D" w:rsidRDefault="0076682D" w:rsidP="0076682D">
            <w:pPr>
              <w:widowControl w:val="0"/>
              <w:tabs>
                <w:tab w:val="left" w:pos="622"/>
              </w:tabs>
              <w:spacing w:after="0" w:line="240" w:lineRule="auto"/>
              <w:jc w:val="both"/>
              <w:rPr>
                <w:rFonts w:ascii="Times New Roman" w:eastAsia="Times New Roman" w:hAnsi="Times New Roman" w:cs="Arial"/>
                <w:b/>
                <w:bCs/>
                <w:sz w:val="20"/>
                <w:szCs w:val="20"/>
                <w:lang w:eastAsia="lt-LT"/>
              </w:rPr>
            </w:pPr>
            <w:proofErr w:type="spellStart"/>
            <w:r w:rsidRPr="0076682D">
              <w:rPr>
                <w:rFonts w:ascii="Times New Roman" w:eastAsia="Times New Roman" w:hAnsi="Times New Roman" w:cs="Arial"/>
                <w:b/>
                <w:bCs/>
                <w:i/>
                <w:iCs/>
                <w:sz w:val="20"/>
                <w:szCs w:val="20"/>
                <w:lang w:eastAsia="lt-LT"/>
              </w:rPr>
              <w:t>SaF</w:t>
            </w:r>
            <w:proofErr w:type="spellEnd"/>
          </w:p>
        </w:tc>
        <w:tc>
          <w:tcPr>
            <w:tcW w:w="659" w:type="pct"/>
          </w:tcPr>
          <w:p w:rsidR="0076682D" w:rsidRPr="0076682D" w:rsidRDefault="0076682D" w:rsidP="0076682D">
            <w:pPr>
              <w:widowControl w:val="0"/>
              <w:tabs>
                <w:tab w:val="left" w:pos="622"/>
              </w:tabs>
              <w:spacing w:after="0" w:line="240" w:lineRule="auto"/>
              <w:jc w:val="center"/>
              <w:rPr>
                <w:rFonts w:ascii="Times New Roman" w:eastAsia="Times New Roman" w:hAnsi="Times New Roman" w:cs="Arial"/>
                <w:bCs/>
                <w:sz w:val="20"/>
                <w:szCs w:val="20"/>
                <w:lang w:eastAsia="lt-LT"/>
              </w:rPr>
            </w:pPr>
            <w:r w:rsidRPr="0076682D">
              <w:rPr>
                <w:rFonts w:ascii="Times New Roman" w:eastAsia="Times New Roman" w:hAnsi="Times New Roman" w:cs="Arial"/>
                <w:bCs/>
                <w:sz w:val="20"/>
                <w:szCs w:val="20"/>
                <w:lang w:eastAsia="lt-LT"/>
              </w:rPr>
              <w:t>Netaikoma</w:t>
            </w:r>
          </w:p>
        </w:tc>
        <w:tc>
          <w:tcPr>
            <w:tcW w:w="822" w:type="pct"/>
          </w:tcPr>
          <w:p w:rsidR="0076682D" w:rsidRPr="0076682D" w:rsidRDefault="0076682D" w:rsidP="0076682D">
            <w:pPr>
              <w:spacing w:after="0" w:line="240" w:lineRule="auto"/>
              <w:jc w:val="center"/>
              <w:rPr>
                <w:rFonts w:ascii="Times New Roman" w:eastAsia="Times New Roman" w:hAnsi="Times New Roman" w:cs="Arial"/>
                <w:sz w:val="20"/>
                <w:szCs w:val="20"/>
              </w:rPr>
            </w:pPr>
          </w:p>
        </w:tc>
        <w:tc>
          <w:tcPr>
            <w:tcW w:w="906" w:type="pct"/>
          </w:tcPr>
          <w:p w:rsidR="0076682D" w:rsidRPr="0076682D" w:rsidRDefault="0076682D" w:rsidP="0076682D">
            <w:pPr>
              <w:spacing w:after="0" w:line="240" w:lineRule="auto"/>
              <w:jc w:val="center"/>
              <w:rPr>
                <w:rFonts w:ascii="Times New Roman" w:eastAsia="Times New Roman" w:hAnsi="Times New Roman" w:cs="Arial"/>
                <w:sz w:val="20"/>
                <w:szCs w:val="20"/>
              </w:rPr>
            </w:pPr>
          </w:p>
        </w:tc>
        <w:tc>
          <w:tcPr>
            <w:tcW w:w="822" w:type="pct"/>
            <w:noWrap/>
            <w:vAlign w:val="center"/>
          </w:tcPr>
          <w:p w:rsidR="0076682D" w:rsidRPr="0076682D" w:rsidRDefault="0076682D" w:rsidP="0076682D">
            <w:pPr>
              <w:spacing w:after="0" w:line="240" w:lineRule="auto"/>
              <w:jc w:val="center"/>
              <w:rPr>
                <w:rFonts w:ascii="Times New Roman" w:eastAsia="Times New Roman" w:hAnsi="Times New Roman" w:cs="Arial"/>
                <w:sz w:val="20"/>
                <w:szCs w:val="20"/>
              </w:rPr>
            </w:pPr>
            <w:r w:rsidRPr="0076682D">
              <w:rPr>
                <w:rFonts w:ascii="Times New Roman" w:eastAsia="Times New Roman" w:hAnsi="Times New Roman" w:cs="Arial"/>
                <w:sz w:val="20"/>
                <w:szCs w:val="20"/>
              </w:rPr>
              <w:t>1.917.428.569</w:t>
            </w:r>
          </w:p>
        </w:tc>
        <w:tc>
          <w:tcPr>
            <w:tcW w:w="988" w:type="pct"/>
            <w:vAlign w:val="center"/>
          </w:tcPr>
          <w:p w:rsidR="0076682D" w:rsidRPr="0076682D" w:rsidRDefault="0076682D" w:rsidP="0076682D">
            <w:pPr>
              <w:spacing w:after="0" w:line="240" w:lineRule="auto"/>
              <w:jc w:val="center"/>
              <w:rPr>
                <w:rFonts w:ascii="Times New Roman" w:eastAsia="Times New Roman" w:hAnsi="Times New Roman" w:cs="Arial"/>
                <w:color w:val="000000"/>
                <w:sz w:val="20"/>
                <w:szCs w:val="20"/>
                <w:lang w:eastAsia="lt-LT"/>
              </w:rPr>
            </w:pPr>
            <w:r w:rsidRPr="0076682D">
              <w:rPr>
                <w:rFonts w:ascii="Times New Roman" w:eastAsia="Times New Roman" w:hAnsi="Times New Roman" w:cs="Arial"/>
                <w:color w:val="000000"/>
                <w:sz w:val="20"/>
                <w:szCs w:val="20"/>
                <w:lang w:eastAsia="lt-LT"/>
              </w:rPr>
              <w:t>122.389.057</w:t>
            </w:r>
          </w:p>
        </w:tc>
      </w:tr>
      <w:tr w:rsidR="0076682D" w:rsidRPr="0076682D" w:rsidTr="0076682D">
        <w:trPr>
          <w:trHeight w:val="300"/>
        </w:trPr>
        <w:tc>
          <w:tcPr>
            <w:tcW w:w="803" w:type="pct"/>
          </w:tcPr>
          <w:p w:rsidR="0076682D" w:rsidRPr="0076682D" w:rsidRDefault="0076682D" w:rsidP="0076682D">
            <w:pPr>
              <w:widowControl w:val="0"/>
              <w:tabs>
                <w:tab w:val="left" w:pos="622"/>
              </w:tabs>
              <w:spacing w:after="0" w:line="240" w:lineRule="auto"/>
              <w:jc w:val="both"/>
              <w:rPr>
                <w:rFonts w:ascii="Times New Roman" w:eastAsia="Times New Roman" w:hAnsi="Times New Roman" w:cs="Arial"/>
                <w:b/>
                <w:bCs/>
                <w:i/>
                <w:iCs/>
                <w:sz w:val="20"/>
                <w:szCs w:val="20"/>
                <w:lang w:eastAsia="lt-LT"/>
              </w:rPr>
            </w:pPr>
            <w:r w:rsidRPr="0076682D">
              <w:rPr>
                <w:rFonts w:ascii="Times New Roman" w:eastAsia="Times New Roman" w:hAnsi="Times New Roman" w:cs="Arial"/>
                <w:b/>
                <w:bCs/>
                <w:i/>
                <w:iCs/>
                <w:sz w:val="20"/>
                <w:szCs w:val="20"/>
                <w:lang w:eastAsia="lt-LT"/>
              </w:rPr>
              <w:t xml:space="preserve">ERPF </w:t>
            </w:r>
            <w:proofErr w:type="spellStart"/>
            <w:r w:rsidRPr="0076682D">
              <w:rPr>
                <w:rFonts w:ascii="Times New Roman" w:eastAsia="Times New Roman" w:hAnsi="Times New Roman" w:cs="Arial"/>
                <w:b/>
                <w:bCs/>
                <w:i/>
                <w:iCs/>
                <w:sz w:val="20"/>
                <w:szCs w:val="20"/>
                <w:lang w:eastAsia="lt-LT"/>
              </w:rPr>
              <w:t>React</w:t>
            </w:r>
            <w:proofErr w:type="gramStart"/>
            <w:r w:rsidRPr="0076682D">
              <w:rPr>
                <w:rFonts w:ascii="Times New Roman" w:eastAsia="Times New Roman" w:hAnsi="Times New Roman" w:cs="Arial"/>
                <w:b/>
                <w:bCs/>
                <w:i/>
                <w:iCs/>
                <w:sz w:val="20"/>
                <w:szCs w:val="20"/>
                <w:lang w:eastAsia="lt-LT"/>
              </w:rPr>
              <w:t>-</w:t>
            </w:r>
            <w:proofErr w:type="gramEnd"/>
            <w:r w:rsidRPr="0076682D">
              <w:rPr>
                <w:rFonts w:ascii="Times New Roman" w:eastAsia="Times New Roman" w:hAnsi="Times New Roman" w:cs="Arial"/>
                <w:b/>
                <w:bCs/>
                <w:i/>
                <w:iCs/>
                <w:sz w:val="20"/>
                <w:szCs w:val="20"/>
                <w:lang w:eastAsia="lt-LT"/>
              </w:rPr>
              <w:t>EU</w:t>
            </w:r>
            <w:proofErr w:type="spellEnd"/>
          </w:p>
        </w:tc>
        <w:tc>
          <w:tcPr>
            <w:tcW w:w="659" w:type="pct"/>
          </w:tcPr>
          <w:p w:rsidR="0076682D" w:rsidRPr="0076682D" w:rsidRDefault="0076682D" w:rsidP="0076682D">
            <w:pPr>
              <w:widowControl w:val="0"/>
              <w:tabs>
                <w:tab w:val="left" w:pos="622"/>
              </w:tabs>
              <w:spacing w:after="0" w:line="240" w:lineRule="auto"/>
              <w:jc w:val="center"/>
              <w:rPr>
                <w:rFonts w:ascii="Times New Roman" w:eastAsia="Times New Roman" w:hAnsi="Times New Roman" w:cs="Arial"/>
                <w:bCs/>
                <w:sz w:val="20"/>
                <w:szCs w:val="20"/>
                <w:lang w:eastAsia="lt-LT"/>
              </w:rPr>
            </w:pPr>
            <w:r w:rsidRPr="0076682D">
              <w:rPr>
                <w:rFonts w:ascii="Times New Roman" w:eastAsia="Times New Roman" w:hAnsi="Times New Roman" w:cs="Arial"/>
                <w:bCs/>
                <w:sz w:val="20"/>
                <w:szCs w:val="20"/>
                <w:lang w:eastAsia="lt-LT"/>
              </w:rPr>
              <w:t>Netaikoma</w:t>
            </w:r>
          </w:p>
        </w:tc>
        <w:tc>
          <w:tcPr>
            <w:tcW w:w="822" w:type="pct"/>
          </w:tcPr>
          <w:p w:rsidR="0076682D" w:rsidRPr="0076682D" w:rsidRDefault="0076682D" w:rsidP="0076682D">
            <w:pPr>
              <w:spacing w:after="0" w:line="240" w:lineRule="auto"/>
              <w:jc w:val="center"/>
              <w:rPr>
                <w:rFonts w:ascii="Times New Roman" w:eastAsia="Times New Roman" w:hAnsi="Times New Roman" w:cs="Arial"/>
                <w:sz w:val="20"/>
                <w:szCs w:val="20"/>
              </w:rPr>
            </w:pPr>
            <w:r w:rsidRPr="0076682D">
              <w:rPr>
                <w:rFonts w:ascii="Times New Roman" w:eastAsia="Times New Roman" w:hAnsi="Times New Roman" w:cs="Arial"/>
                <w:sz w:val="20"/>
                <w:szCs w:val="20"/>
              </w:rPr>
              <w:t>41.477.264</w:t>
            </w:r>
          </w:p>
        </w:tc>
        <w:tc>
          <w:tcPr>
            <w:tcW w:w="906" w:type="pct"/>
          </w:tcPr>
          <w:p w:rsidR="0076682D" w:rsidRPr="0076682D" w:rsidRDefault="0076682D" w:rsidP="0076682D">
            <w:pPr>
              <w:spacing w:after="0" w:line="240" w:lineRule="auto"/>
              <w:jc w:val="center"/>
              <w:rPr>
                <w:rFonts w:ascii="Times New Roman" w:eastAsia="Times New Roman" w:hAnsi="Times New Roman" w:cs="Arial"/>
                <w:sz w:val="20"/>
                <w:szCs w:val="20"/>
              </w:rPr>
            </w:pPr>
          </w:p>
        </w:tc>
        <w:tc>
          <w:tcPr>
            <w:tcW w:w="822" w:type="pct"/>
            <w:noWrap/>
            <w:vAlign w:val="center"/>
          </w:tcPr>
          <w:p w:rsidR="0076682D" w:rsidRPr="0076682D" w:rsidRDefault="0076682D" w:rsidP="0076682D">
            <w:pPr>
              <w:spacing w:after="0" w:line="240" w:lineRule="auto"/>
              <w:jc w:val="center"/>
              <w:rPr>
                <w:rFonts w:ascii="Times New Roman" w:eastAsia="Times New Roman" w:hAnsi="Times New Roman" w:cs="Arial"/>
                <w:sz w:val="20"/>
                <w:szCs w:val="20"/>
              </w:rPr>
            </w:pPr>
            <w:r w:rsidRPr="0076682D">
              <w:rPr>
                <w:rFonts w:ascii="Times New Roman" w:eastAsia="Times New Roman" w:hAnsi="Times New Roman" w:cs="Arial"/>
                <w:sz w:val="20"/>
                <w:szCs w:val="20"/>
              </w:rPr>
              <w:t>278.146.704</w:t>
            </w:r>
          </w:p>
        </w:tc>
        <w:tc>
          <w:tcPr>
            <w:tcW w:w="988" w:type="pct"/>
            <w:vAlign w:val="center"/>
          </w:tcPr>
          <w:p w:rsidR="0076682D" w:rsidRPr="0076682D" w:rsidRDefault="0076682D" w:rsidP="0076682D">
            <w:pPr>
              <w:spacing w:after="0" w:line="240" w:lineRule="auto"/>
              <w:jc w:val="center"/>
              <w:rPr>
                <w:rFonts w:ascii="Times New Roman" w:eastAsia="Times New Roman" w:hAnsi="Times New Roman" w:cs="Arial"/>
                <w:sz w:val="20"/>
                <w:szCs w:val="20"/>
                <w:lang w:eastAsia="lt-LT"/>
              </w:rPr>
            </w:pPr>
            <w:r w:rsidRPr="0076682D">
              <w:rPr>
                <w:rFonts w:ascii="Times New Roman" w:eastAsia="Times New Roman" w:hAnsi="Times New Roman" w:cs="Arial"/>
                <w:sz w:val="20"/>
                <w:szCs w:val="20"/>
                <w:lang w:eastAsia="lt-LT"/>
              </w:rPr>
              <w:t>0</w:t>
            </w:r>
          </w:p>
        </w:tc>
      </w:tr>
      <w:tr w:rsidR="0076682D" w:rsidRPr="0076682D" w:rsidTr="0076682D">
        <w:trPr>
          <w:trHeight w:val="300"/>
        </w:trPr>
        <w:tc>
          <w:tcPr>
            <w:tcW w:w="803" w:type="pct"/>
          </w:tcPr>
          <w:p w:rsidR="0076682D" w:rsidRPr="0076682D" w:rsidRDefault="0076682D" w:rsidP="0076682D">
            <w:pPr>
              <w:widowControl w:val="0"/>
              <w:tabs>
                <w:tab w:val="left" w:pos="622"/>
              </w:tabs>
              <w:spacing w:after="0" w:line="240" w:lineRule="auto"/>
              <w:jc w:val="both"/>
              <w:rPr>
                <w:rFonts w:ascii="Times New Roman" w:eastAsia="Times New Roman" w:hAnsi="Times New Roman" w:cs="Arial"/>
                <w:b/>
                <w:bCs/>
                <w:i/>
                <w:iCs/>
                <w:sz w:val="20"/>
                <w:szCs w:val="20"/>
                <w:lang w:eastAsia="lt-LT"/>
              </w:rPr>
            </w:pPr>
            <w:r w:rsidRPr="0076682D">
              <w:rPr>
                <w:rFonts w:ascii="Times New Roman" w:eastAsia="Times New Roman" w:hAnsi="Times New Roman" w:cs="Arial"/>
                <w:b/>
                <w:bCs/>
                <w:i/>
                <w:sz w:val="20"/>
                <w:szCs w:val="20"/>
                <w:lang w:eastAsia="lt-LT"/>
              </w:rPr>
              <w:t xml:space="preserve">ESF </w:t>
            </w:r>
            <w:proofErr w:type="spellStart"/>
            <w:r w:rsidRPr="0076682D">
              <w:rPr>
                <w:rFonts w:ascii="Times New Roman" w:eastAsia="Times New Roman" w:hAnsi="Times New Roman" w:cs="Arial"/>
                <w:b/>
                <w:bCs/>
                <w:i/>
                <w:sz w:val="20"/>
                <w:szCs w:val="20"/>
                <w:lang w:eastAsia="lt-LT"/>
              </w:rPr>
              <w:t>React</w:t>
            </w:r>
            <w:proofErr w:type="spellEnd"/>
            <w:r w:rsidRPr="0076682D">
              <w:rPr>
                <w:rFonts w:ascii="Times New Roman" w:eastAsia="Times New Roman" w:hAnsi="Times New Roman" w:cs="Arial"/>
                <w:b/>
                <w:bCs/>
                <w:i/>
                <w:sz w:val="20"/>
                <w:szCs w:val="20"/>
                <w:lang w:eastAsia="lt-LT"/>
              </w:rPr>
              <w:t>–EU</w:t>
            </w:r>
          </w:p>
        </w:tc>
        <w:tc>
          <w:tcPr>
            <w:tcW w:w="659" w:type="pct"/>
          </w:tcPr>
          <w:p w:rsidR="0076682D" w:rsidRPr="0076682D" w:rsidRDefault="0076682D" w:rsidP="0076682D">
            <w:pPr>
              <w:widowControl w:val="0"/>
              <w:tabs>
                <w:tab w:val="left" w:pos="622"/>
              </w:tabs>
              <w:spacing w:after="0" w:line="240" w:lineRule="auto"/>
              <w:jc w:val="center"/>
              <w:rPr>
                <w:rFonts w:ascii="Times New Roman" w:eastAsia="Times New Roman" w:hAnsi="Times New Roman" w:cs="Arial"/>
                <w:bCs/>
                <w:sz w:val="20"/>
                <w:szCs w:val="20"/>
                <w:lang w:eastAsia="lt-LT"/>
              </w:rPr>
            </w:pPr>
            <w:r w:rsidRPr="0076682D">
              <w:rPr>
                <w:rFonts w:ascii="Times New Roman" w:eastAsia="Times New Roman" w:hAnsi="Times New Roman" w:cs="Arial"/>
                <w:bCs/>
                <w:sz w:val="20"/>
                <w:szCs w:val="20"/>
                <w:lang w:eastAsia="lt-LT"/>
              </w:rPr>
              <w:t>Netaikoma</w:t>
            </w:r>
          </w:p>
        </w:tc>
        <w:tc>
          <w:tcPr>
            <w:tcW w:w="822" w:type="pct"/>
          </w:tcPr>
          <w:p w:rsidR="0076682D" w:rsidRPr="0076682D" w:rsidRDefault="0076682D" w:rsidP="0076682D">
            <w:pPr>
              <w:spacing w:after="0" w:line="240" w:lineRule="auto"/>
              <w:jc w:val="center"/>
              <w:rPr>
                <w:rFonts w:ascii="Times New Roman" w:eastAsia="Times New Roman" w:hAnsi="Times New Roman" w:cs="Arial"/>
                <w:sz w:val="20"/>
                <w:szCs w:val="20"/>
              </w:rPr>
            </w:pPr>
            <w:r w:rsidRPr="0076682D">
              <w:rPr>
                <w:rFonts w:ascii="Times New Roman" w:eastAsia="Times New Roman" w:hAnsi="Times New Roman" w:cs="Arial"/>
                <w:sz w:val="20"/>
                <w:szCs w:val="20"/>
              </w:rPr>
              <w:t>8.970.090</w:t>
            </w:r>
          </w:p>
        </w:tc>
        <w:tc>
          <w:tcPr>
            <w:tcW w:w="906" w:type="pct"/>
          </w:tcPr>
          <w:p w:rsidR="0076682D" w:rsidRPr="0076682D" w:rsidRDefault="0076682D" w:rsidP="0076682D">
            <w:pPr>
              <w:spacing w:after="0" w:line="240" w:lineRule="auto"/>
              <w:jc w:val="center"/>
              <w:rPr>
                <w:rFonts w:ascii="Times New Roman" w:eastAsia="Times New Roman" w:hAnsi="Times New Roman" w:cs="Arial"/>
                <w:sz w:val="20"/>
                <w:szCs w:val="20"/>
              </w:rPr>
            </w:pPr>
          </w:p>
        </w:tc>
        <w:tc>
          <w:tcPr>
            <w:tcW w:w="822" w:type="pct"/>
            <w:noWrap/>
            <w:vAlign w:val="center"/>
          </w:tcPr>
          <w:p w:rsidR="0076682D" w:rsidRPr="0076682D" w:rsidRDefault="0076682D" w:rsidP="0076682D">
            <w:pPr>
              <w:spacing w:after="0" w:line="240" w:lineRule="auto"/>
              <w:jc w:val="center"/>
              <w:rPr>
                <w:rFonts w:ascii="Times New Roman" w:eastAsia="Times New Roman" w:hAnsi="Times New Roman" w:cs="Arial"/>
                <w:sz w:val="20"/>
                <w:szCs w:val="20"/>
              </w:rPr>
            </w:pPr>
            <w:r w:rsidRPr="0076682D">
              <w:rPr>
                <w:rFonts w:ascii="Times New Roman" w:eastAsia="Times New Roman" w:hAnsi="Times New Roman" w:cs="Arial"/>
                <w:sz w:val="20"/>
                <w:szCs w:val="20"/>
              </w:rPr>
              <w:t>46.000.000</w:t>
            </w:r>
          </w:p>
        </w:tc>
        <w:tc>
          <w:tcPr>
            <w:tcW w:w="988" w:type="pct"/>
            <w:vAlign w:val="center"/>
          </w:tcPr>
          <w:p w:rsidR="0076682D" w:rsidRPr="0076682D" w:rsidRDefault="0076682D" w:rsidP="0076682D">
            <w:pPr>
              <w:spacing w:after="0" w:line="240" w:lineRule="auto"/>
              <w:jc w:val="center"/>
              <w:rPr>
                <w:rFonts w:ascii="Times New Roman" w:eastAsia="Times New Roman" w:hAnsi="Times New Roman" w:cs="Arial"/>
                <w:sz w:val="20"/>
                <w:szCs w:val="20"/>
                <w:lang w:eastAsia="lt-LT"/>
              </w:rPr>
            </w:pPr>
            <w:r w:rsidRPr="0076682D">
              <w:rPr>
                <w:rFonts w:ascii="Times New Roman" w:eastAsia="Times New Roman" w:hAnsi="Times New Roman" w:cs="Arial"/>
                <w:sz w:val="20"/>
                <w:szCs w:val="20"/>
                <w:lang w:eastAsia="lt-LT"/>
              </w:rPr>
              <w:t>0</w:t>
            </w:r>
          </w:p>
        </w:tc>
      </w:tr>
      <w:tr w:rsidR="0076682D" w:rsidRPr="0076682D" w:rsidTr="0076682D">
        <w:trPr>
          <w:trHeight w:val="300"/>
        </w:trPr>
        <w:tc>
          <w:tcPr>
            <w:tcW w:w="803" w:type="pct"/>
          </w:tcPr>
          <w:p w:rsidR="0076682D" w:rsidRPr="0076682D" w:rsidRDefault="0076682D" w:rsidP="0076682D">
            <w:pPr>
              <w:widowControl w:val="0"/>
              <w:tabs>
                <w:tab w:val="left" w:pos="622"/>
              </w:tabs>
              <w:spacing w:after="0" w:line="240" w:lineRule="auto"/>
              <w:jc w:val="both"/>
              <w:rPr>
                <w:rFonts w:ascii="Times New Roman" w:eastAsia="Times New Roman" w:hAnsi="Times New Roman" w:cs="Arial"/>
                <w:b/>
                <w:bCs/>
                <w:i/>
                <w:iCs/>
                <w:sz w:val="20"/>
                <w:szCs w:val="20"/>
                <w:lang w:eastAsia="lt-LT"/>
              </w:rPr>
            </w:pPr>
            <w:r w:rsidRPr="0076682D">
              <w:rPr>
                <w:rFonts w:ascii="Times New Roman" w:eastAsia="Times New Roman" w:hAnsi="Times New Roman" w:cs="Arial"/>
                <w:b/>
                <w:bCs/>
                <w:sz w:val="20"/>
                <w:szCs w:val="20"/>
                <w:lang w:eastAsia="lt-LT"/>
              </w:rPr>
              <w:t>Iš viso</w:t>
            </w:r>
          </w:p>
        </w:tc>
        <w:tc>
          <w:tcPr>
            <w:tcW w:w="659" w:type="pct"/>
          </w:tcPr>
          <w:p w:rsidR="0076682D" w:rsidRPr="0076682D" w:rsidRDefault="0076682D" w:rsidP="0076682D">
            <w:pPr>
              <w:widowControl w:val="0"/>
              <w:tabs>
                <w:tab w:val="left" w:pos="622"/>
              </w:tabs>
              <w:spacing w:after="0" w:line="240" w:lineRule="auto"/>
              <w:jc w:val="center"/>
              <w:rPr>
                <w:rFonts w:ascii="Times New Roman" w:eastAsia="Times New Roman" w:hAnsi="Times New Roman" w:cs="Arial"/>
                <w:bCs/>
                <w:sz w:val="20"/>
                <w:szCs w:val="20"/>
                <w:lang w:eastAsia="lt-LT"/>
              </w:rPr>
            </w:pPr>
          </w:p>
        </w:tc>
        <w:tc>
          <w:tcPr>
            <w:tcW w:w="822" w:type="pct"/>
          </w:tcPr>
          <w:p w:rsidR="0076682D" w:rsidRPr="0076682D" w:rsidRDefault="0076682D" w:rsidP="0076682D">
            <w:pPr>
              <w:spacing w:after="0" w:line="240" w:lineRule="auto"/>
              <w:jc w:val="center"/>
              <w:rPr>
                <w:rFonts w:ascii="Times New Roman" w:eastAsia="Times New Roman" w:hAnsi="Times New Roman" w:cs="Arial"/>
                <w:sz w:val="20"/>
                <w:szCs w:val="20"/>
              </w:rPr>
            </w:pPr>
            <w:r w:rsidRPr="0076682D">
              <w:rPr>
                <w:rFonts w:ascii="Times New Roman" w:eastAsia="Times New Roman" w:hAnsi="Times New Roman" w:cs="Arial"/>
                <w:sz w:val="20"/>
                <w:szCs w:val="20"/>
              </w:rPr>
              <w:t>50.447.354</w:t>
            </w:r>
          </w:p>
        </w:tc>
        <w:tc>
          <w:tcPr>
            <w:tcW w:w="906" w:type="pct"/>
          </w:tcPr>
          <w:p w:rsidR="0076682D" w:rsidRPr="0076682D" w:rsidRDefault="0076682D" w:rsidP="0076682D">
            <w:pPr>
              <w:spacing w:after="0" w:line="240" w:lineRule="auto"/>
              <w:jc w:val="center"/>
              <w:rPr>
                <w:rFonts w:ascii="Times New Roman" w:eastAsia="Times New Roman" w:hAnsi="Times New Roman" w:cs="Arial"/>
                <w:sz w:val="20"/>
                <w:szCs w:val="20"/>
              </w:rPr>
            </w:pPr>
          </w:p>
        </w:tc>
        <w:tc>
          <w:tcPr>
            <w:tcW w:w="822" w:type="pct"/>
            <w:noWrap/>
            <w:vAlign w:val="center"/>
          </w:tcPr>
          <w:p w:rsidR="0076682D" w:rsidRPr="0076682D" w:rsidRDefault="0076682D" w:rsidP="0076682D">
            <w:pPr>
              <w:spacing w:after="0" w:line="240" w:lineRule="auto"/>
              <w:jc w:val="center"/>
              <w:rPr>
                <w:rFonts w:ascii="Times New Roman" w:eastAsia="Times New Roman" w:hAnsi="Times New Roman" w:cs="Arial"/>
                <w:sz w:val="20"/>
                <w:szCs w:val="20"/>
              </w:rPr>
            </w:pPr>
            <w:r w:rsidRPr="0076682D">
              <w:rPr>
                <w:rFonts w:ascii="Times New Roman" w:eastAsia="Times New Roman" w:hAnsi="Times New Roman" w:cs="Arial"/>
                <w:sz w:val="20"/>
                <w:szCs w:val="20"/>
              </w:rPr>
              <w:t>6.634.792.982</w:t>
            </w:r>
          </w:p>
        </w:tc>
        <w:tc>
          <w:tcPr>
            <w:tcW w:w="988" w:type="pct"/>
            <w:vAlign w:val="center"/>
          </w:tcPr>
          <w:p w:rsidR="0076682D" w:rsidRPr="0076682D" w:rsidRDefault="0076682D" w:rsidP="0076682D">
            <w:pPr>
              <w:spacing w:after="0" w:line="240" w:lineRule="auto"/>
              <w:jc w:val="center"/>
              <w:rPr>
                <w:rFonts w:ascii="Times New Roman" w:eastAsia="Times New Roman" w:hAnsi="Times New Roman" w:cs="Arial"/>
                <w:sz w:val="20"/>
                <w:szCs w:val="20"/>
                <w:lang w:eastAsia="lt-LT"/>
              </w:rPr>
            </w:pPr>
            <w:r w:rsidRPr="0076682D">
              <w:rPr>
                <w:rFonts w:ascii="Times New Roman" w:eastAsia="Times New Roman" w:hAnsi="Times New Roman" w:cs="Arial"/>
                <w:sz w:val="20"/>
                <w:szCs w:val="20"/>
                <w:lang w:eastAsia="lt-LT"/>
              </w:rPr>
              <w:t>398.749.852</w:t>
            </w:r>
          </w:p>
        </w:tc>
      </w:tr>
    </w:tbl>
    <w:p w:rsidR="00D97B9B" w:rsidRDefault="00D97B9B" w:rsidP="00D97B9B">
      <w:pPr>
        <w:widowControl w:val="0"/>
        <w:tabs>
          <w:tab w:val="left" w:pos="622"/>
        </w:tabs>
        <w:spacing w:after="0" w:line="240" w:lineRule="auto"/>
        <w:jc w:val="both"/>
        <w:rPr>
          <w:rFonts w:ascii="Times New Roman" w:eastAsia="AngsanaUPC" w:hAnsi="Times New Roman"/>
          <w:b/>
          <w:bCs/>
          <w:sz w:val="20"/>
          <w:szCs w:val="20"/>
          <w:lang w:eastAsia="lt-LT"/>
        </w:rPr>
      </w:pPr>
    </w:p>
    <w:p w:rsidR="0076682D" w:rsidRPr="00B14340" w:rsidRDefault="0076682D" w:rsidP="00D97B9B">
      <w:pPr>
        <w:widowControl w:val="0"/>
        <w:tabs>
          <w:tab w:val="left" w:pos="622"/>
        </w:tabs>
        <w:spacing w:after="0" w:line="240" w:lineRule="auto"/>
        <w:jc w:val="both"/>
        <w:rPr>
          <w:rFonts w:ascii="Times New Roman" w:eastAsia="AngsanaUPC" w:hAnsi="Times New Roman"/>
          <w:b/>
          <w:bCs/>
          <w:sz w:val="20"/>
          <w:szCs w:val="20"/>
          <w:lang w:eastAsia="lt-LT"/>
        </w:rPr>
      </w:pPr>
    </w:p>
    <w:p w:rsidR="00D97B9B" w:rsidRDefault="00D97B9B" w:rsidP="00D97B9B">
      <w:pPr>
        <w:widowControl w:val="0"/>
        <w:tabs>
          <w:tab w:val="left" w:pos="622"/>
        </w:tabs>
        <w:spacing w:after="0" w:line="240" w:lineRule="auto"/>
        <w:jc w:val="both"/>
        <w:rPr>
          <w:rFonts w:ascii="Times New Roman" w:eastAsia="AngsanaUPC" w:hAnsi="Times New Roman"/>
          <w:b/>
          <w:bCs/>
          <w:sz w:val="24"/>
          <w:szCs w:val="24"/>
          <w:lang w:eastAsia="lt-LT"/>
        </w:rPr>
        <w:sectPr w:rsidR="00D97B9B" w:rsidSect="00650E41">
          <w:pgSz w:w="16838" w:h="11906" w:orient="landscape" w:code="9"/>
          <w:pgMar w:top="1701" w:right="1701" w:bottom="567" w:left="1134" w:header="567" w:footer="567" w:gutter="0"/>
          <w:cols w:space="1296"/>
          <w:docGrid w:linePitch="360"/>
        </w:sectPr>
      </w:pPr>
    </w:p>
    <w:p w:rsidR="00E70675" w:rsidRPr="00DE7193" w:rsidRDefault="00837AE7" w:rsidP="00E70675">
      <w:pPr>
        <w:widowControl w:val="0"/>
        <w:tabs>
          <w:tab w:val="left" w:pos="622"/>
        </w:tabs>
        <w:spacing w:after="0" w:line="240" w:lineRule="auto"/>
        <w:jc w:val="both"/>
        <w:rPr>
          <w:rFonts w:ascii="Times New Roman" w:eastAsia="AngsanaUPC" w:hAnsi="Times New Roman"/>
          <w:b/>
          <w:bCs/>
          <w:szCs w:val="24"/>
          <w:lang w:eastAsia="lt-LT"/>
        </w:rPr>
      </w:pPr>
      <w:r w:rsidRPr="00E73FE1">
        <w:rPr>
          <w:rFonts w:ascii="Times New Roman" w:eastAsia="AngsanaUPC" w:hAnsi="Times New Roman"/>
          <w:bCs/>
          <w:i/>
          <w:szCs w:val="24"/>
          <w:lang w:eastAsia="lt-LT"/>
        </w:rPr>
        <w:lastRenderedPageBreak/>
        <w:t>4 lentelė.</w:t>
      </w:r>
      <w:r w:rsidRPr="00DE7193">
        <w:rPr>
          <w:rFonts w:ascii="Times New Roman" w:eastAsia="AngsanaUPC" w:hAnsi="Times New Roman"/>
          <w:b/>
          <w:bCs/>
          <w:szCs w:val="24"/>
          <w:lang w:eastAsia="lt-LT"/>
        </w:rPr>
        <w:t xml:space="preserve"> </w:t>
      </w:r>
      <w:r w:rsidR="00E70675" w:rsidRPr="00E73FE1">
        <w:rPr>
          <w:rFonts w:ascii="Times New Roman" w:eastAsia="AngsanaUPC" w:hAnsi="Times New Roman"/>
          <w:b/>
          <w:bCs/>
          <w:szCs w:val="24"/>
          <w:lang w:eastAsia="lt-LT"/>
        </w:rPr>
        <w:t>Veik</w:t>
      </w:r>
      <w:r w:rsidR="008D5F7E" w:rsidRPr="00E73FE1">
        <w:rPr>
          <w:rFonts w:ascii="Times New Roman" w:eastAsia="AngsanaUPC" w:hAnsi="Times New Roman"/>
          <w:b/>
          <w:bCs/>
          <w:szCs w:val="24"/>
          <w:lang w:eastAsia="lt-LT"/>
        </w:rPr>
        <w:t>smų programos finans</w:t>
      </w:r>
      <w:r w:rsidR="00B93FF1" w:rsidRPr="00E73FE1">
        <w:rPr>
          <w:rFonts w:ascii="Times New Roman" w:eastAsia="AngsanaUPC" w:hAnsi="Times New Roman"/>
          <w:b/>
          <w:bCs/>
          <w:szCs w:val="24"/>
          <w:lang w:eastAsia="lt-LT"/>
        </w:rPr>
        <w:t>avimo</w:t>
      </w:r>
      <w:r w:rsidR="008D5F7E" w:rsidRPr="00E73FE1">
        <w:rPr>
          <w:rFonts w:ascii="Times New Roman" w:eastAsia="AngsanaUPC" w:hAnsi="Times New Roman"/>
          <w:b/>
          <w:bCs/>
          <w:szCs w:val="24"/>
          <w:lang w:eastAsia="lt-LT"/>
        </w:rPr>
        <w:t xml:space="preserve"> planas</w:t>
      </w:r>
      <w:r w:rsidR="003E0F8A" w:rsidRPr="00E73FE1">
        <w:rPr>
          <w:rFonts w:ascii="Times New Roman" w:eastAsia="AngsanaUPC" w:hAnsi="Times New Roman"/>
          <w:b/>
          <w:bCs/>
          <w:szCs w:val="24"/>
          <w:lang w:eastAsia="lt-LT"/>
        </w:rPr>
        <w:t xml:space="preserve"> (eurais)</w:t>
      </w:r>
    </w:p>
    <w:tbl>
      <w:tblPr>
        <w:tblW w:w="16018" w:type="dxa"/>
        <w:tblInd w:w="-601" w:type="dxa"/>
        <w:tblLayout w:type="fixed"/>
        <w:tblLook w:val="04A0" w:firstRow="1" w:lastRow="0" w:firstColumn="1" w:lastColumn="0" w:noHBand="0" w:noVBand="1"/>
      </w:tblPr>
      <w:tblGrid>
        <w:gridCol w:w="1418"/>
        <w:gridCol w:w="850"/>
        <w:gridCol w:w="993"/>
        <w:gridCol w:w="1275"/>
        <w:gridCol w:w="1276"/>
        <w:gridCol w:w="1134"/>
        <w:gridCol w:w="1134"/>
        <w:gridCol w:w="1276"/>
        <w:gridCol w:w="709"/>
        <w:gridCol w:w="425"/>
        <w:gridCol w:w="1417"/>
        <w:gridCol w:w="1276"/>
        <w:gridCol w:w="1134"/>
        <w:gridCol w:w="1134"/>
        <w:gridCol w:w="567"/>
      </w:tblGrid>
      <w:tr w:rsidR="00C93D87" w:rsidRPr="00DF1549" w:rsidTr="00650E41">
        <w:trPr>
          <w:trHeight w:val="899"/>
          <w:tblHeader/>
        </w:trPr>
        <w:tc>
          <w:tcPr>
            <w:tcW w:w="1418" w:type="dxa"/>
            <w:vMerge w:val="restart"/>
            <w:tcBorders>
              <w:top w:val="single" w:sz="4" w:space="0" w:color="auto"/>
              <w:left w:val="single" w:sz="4" w:space="0" w:color="auto"/>
              <w:bottom w:val="single" w:sz="4" w:space="0" w:color="000000"/>
              <w:right w:val="single" w:sz="4" w:space="0" w:color="auto"/>
            </w:tcBorders>
            <w:shd w:val="clear" w:color="auto" w:fill="DDD9C3"/>
            <w:vAlign w:val="center"/>
            <w:hideMark/>
          </w:tcPr>
          <w:p w:rsidR="0002588A" w:rsidRPr="006F2E2E" w:rsidRDefault="0002588A" w:rsidP="00F6184C">
            <w:pPr>
              <w:spacing w:after="0" w:line="240" w:lineRule="auto"/>
              <w:jc w:val="center"/>
              <w:rPr>
                <w:rFonts w:ascii="Times New Roman" w:eastAsia="Times New Roman" w:hAnsi="Times New Roman"/>
                <w:color w:val="000000"/>
                <w:sz w:val="16"/>
                <w:szCs w:val="16"/>
                <w:lang w:eastAsia="lt-LT"/>
              </w:rPr>
            </w:pPr>
            <w:r w:rsidRPr="006F2E2E">
              <w:rPr>
                <w:rFonts w:ascii="Times New Roman" w:eastAsia="AngsanaUPC" w:hAnsi="Times New Roman"/>
                <w:b/>
                <w:bCs/>
                <w:sz w:val="16"/>
                <w:szCs w:val="16"/>
                <w:lang w:eastAsia="lt-LT"/>
              </w:rPr>
              <w:t>Prioritetas</w:t>
            </w:r>
          </w:p>
        </w:tc>
        <w:bookmarkStart w:id="20" w:name="RANGE!C3"/>
        <w:tc>
          <w:tcPr>
            <w:tcW w:w="850" w:type="dxa"/>
            <w:vMerge w:val="restart"/>
            <w:tcBorders>
              <w:top w:val="single" w:sz="4" w:space="0" w:color="auto"/>
              <w:left w:val="single" w:sz="4" w:space="0" w:color="auto"/>
              <w:right w:val="single" w:sz="4" w:space="0" w:color="auto"/>
            </w:tcBorders>
            <w:shd w:val="clear" w:color="auto" w:fill="DDD9C3"/>
            <w:vAlign w:val="center"/>
            <w:hideMark/>
          </w:tcPr>
          <w:p w:rsidR="0002588A" w:rsidRPr="006F2E2E" w:rsidRDefault="0002588A" w:rsidP="00F6184C">
            <w:pPr>
              <w:spacing w:after="0" w:line="240" w:lineRule="auto"/>
              <w:jc w:val="center"/>
              <w:rPr>
                <w:rFonts w:ascii="Times New Roman" w:eastAsia="Times New Roman" w:hAnsi="Times New Roman"/>
                <w:b/>
                <w:bCs/>
                <w:color w:val="000000"/>
                <w:sz w:val="16"/>
                <w:szCs w:val="16"/>
                <w:lang w:eastAsia="lt-LT"/>
              </w:rPr>
            </w:pPr>
            <w:r w:rsidRPr="006F2E2E">
              <w:rPr>
                <w:rFonts w:ascii="Times New Roman" w:eastAsia="Times New Roman" w:hAnsi="Times New Roman"/>
                <w:b/>
                <w:bCs/>
                <w:color w:val="000000"/>
                <w:sz w:val="16"/>
                <w:szCs w:val="16"/>
                <w:lang w:eastAsia="lt-LT"/>
              </w:rPr>
              <w:fldChar w:fldCharType="begin"/>
            </w:r>
            <w:r w:rsidR="007E37D9">
              <w:rPr>
                <w:rFonts w:ascii="Times New Roman" w:eastAsia="Times New Roman" w:hAnsi="Times New Roman"/>
                <w:b/>
                <w:bCs/>
                <w:color w:val="000000"/>
                <w:sz w:val="16"/>
                <w:szCs w:val="16"/>
                <w:lang w:eastAsia="lt-LT"/>
              </w:rPr>
              <w:instrText>HYPERLINK "C:\\Users\\I-5\\AppData\\Local\\Microsoft\\Windows\\Temporary Internet Files\\Content.Outlook\\AppData\\Local\\Temp\\notes21D1AE\\~1135434.xlsx" \l "RANGE!B35"</w:instrText>
            </w:r>
            <w:r w:rsidRPr="006F2E2E">
              <w:rPr>
                <w:rFonts w:ascii="Times New Roman" w:eastAsia="Times New Roman" w:hAnsi="Times New Roman"/>
                <w:b/>
                <w:bCs/>
                <w:color w:val="000000"/>
                <w:sz w:val="16"/>
                <w:szCs w:val="16"/>
                <w:lang w:eastAsia="lt-LT"/>
              </w:rPr>
              <w:fldChar w:fldCharType="separate"/>
            </w:r>
            <w:r w:rsidRPr="006F2E2E">
              <w:rPr>
                <w:rFonts w:ascii="Times New Roman" w:eastAsia="Times New Roman" w:hAnsi="Times New Roman"/>
                <w:b/>
                <w:bCs/>
                <w:color w:val="000000"/>
                <w:sz w:val="16"/>
                <w:szCs w:val="16"/>
                <w:lang w:eastAsia="lt-LT"/>
              </w:rPr>
              <w:t>Fondas</w:t>
            </w:r>
            <w:r w:rsidRPr="006F2E2E">
              <w:rPr>
                <w:rFonts w:ascii="Times New Roman" w:eastAsia="Times New Roman" w:hAnsi="Times New Roman"/>
                <w:b/>
                <w:bCs/>
                <w:color w:val="000000"/>
                <w:sz w:val="16"/>
                <w:szCs w:val="16"/>
                <w:lang w:eastAsia="lt-LT"/>
              </w:rPr>
              <w:fldChar w:fldCharType="end"/>
            </w:r>
            <w:bookmarkEnd w:id="20"/>
          </w:p>
        </w:tc>
        <w:tc>
          <w:tcPr>
            <w:tcW w:w="993" w:type="dxa"/>
            <w:vMerge w:val="restart"/>
            <w:tcBorders>
              <w:top w:val="single" w:sz="4" w:space="0" w:color="auto"/>
              <w:left w:val="single" w:sz="4" w:space="0" w:color="auto"/>
              <w:bottom w:val="single" w:sz="4" w:space="0" w:color="auto"/>
              <w:right w:val="single" w:sz="4" w:space="0" w:color="auto"/>
            </w:tcBorders>
            <w:shd w:val="clear" w:color="auto" w:fill="DDD9C3"/>
            <w:vAlign w:val="center"/>
            <w:hideMark/>
          </w:tcPr>
          <w:p w:rsidR="0002588A" w:rsidRPr="006F2E2E" w:rsidRDefault="0002588A" w:rsidP="00F6184C">
            <w:pPr>
              <w:spacing w:after="0" w:line="240" w:lineRule="auto"/>
              <w:jc w:val="center"/>
              <w:rPr>
                <w:rFonts w:ascii="Times New Roman" w:eastAsia="Times New Roman" w:hAnsi="Times New Roman"/>
                <w:b/>
                <w:bCs/>
                <w:color w:val="000000"/>
                <w:sz w:val="16"/>
                <w:szCs w:val="16"/>
                <w:lang w:eastAsia="lt-LT"/>
              </w:rPr>
            </w:pPr>
            <w:r w:rsidRPr="006F2E2E">
              <w:rPr>
                <w:rFonts w:ascii="Times New Roman" w:eastAsia="AngsanaUPC" w:hAnsi="Times New Roman"/>
                <w:b/>
                <w:bCs/>
                <w:sz w:val="16"/>
                <w:szCs w:val="16"/>
                <w:lang w:eastAsia="lt-LT"/>
              </w:rPr>
              <w:t>Pagrindas apskai</w:t>
            </w:r>
            <w:r w:rsidR="00C724EE">
              <w:rPr>
                <w:rFonts w:ascii="Times New Roman" w:eastAsia="AngsanaUPC" w:hAnsi="Times New Roman"/>
                <w:b/>
                <w:bCs/>
                <w:sz w:val="16"/>
                <w:szCs w:val="16"/>
                <w:lang w:eastAsia="lt-LT"/>
              </w:rPr>
              <w:t>-</w:t>
            </w:r>
            <w:r w:rsidRPr="006F2E2E">
              <w:rPr>
                <w:rFonts w:ascii="Times New Roman" w:eastAsia="AngsanaUPC" w:hAnsi="Times New Roman"/>
                <w:b/>
                <w:bCs/>
                <w:sz w:val="16"/>
                <w:szCs w:val="16"/>
                <w:lang w:eastAsia="lt-LT"/>
              </w:rPr>
              <w:t>čiuojant Bendrijos finansavi</w:t>
            </w:r>
            <w:r w:rsidR="00C724EE">
              <w:rPr>
                <w:rFonts w:ascii="Times New Roman" w:eastAsia="AngsanaUPC" w:hAnsi="Times New Roman"/>
                <w:b/>
                <w:bCs/>
                <w:sz w:val="16"/>
                <w:szCs w:val="16"/>
                <w:lang w:eastAsia="lt-LT"/>
              </w:rPr>
              <w:t>-</w:t>
            </w:r>
            <w:r w:rsidRPr="006F2E2E">
              <w:rPr>
                <w:rFonts w:ascii="Times New Roman" w:eastAsia="AngsanaUPC" w:hAnsi="Times New Roman"/>
                <w:b/>
                <w:bCs/>
                <w:sz w:val="16"/>
                <w:szCs w:val="16"/>
                <w:lang w:eastAsia="lt-LT"/>
              </w:rPr>
              <w:t>mą (visos arba viešosios finansa</w:t>
            </w:r>
            <w:r w:rsidR="00C724EE">
              <w:rPr>
                <w:rFonts w:ascii="Times New Roman" w:eastAsia="AngsanaUPC" w:hAnsi="Times New Roman"/>
                <w:b/>
                <w:bCs/>
                <w:sz w:val="16"/>
                <w:szCs w:val="16"/>
                <w:lang w:eastAsia="lt-LT"/>
              </w:rPr>
              <w:t>-</w:t>
            </w:r>
            <w:r w:rsidRPr="006F2E2E">
              <w:rPr>
                <w:rFonts w:ascii="Times New Roman" w:eastAsia="AngsanaUPC" w:hAnsi="Times New Roman"/>
                <w:b/>
                <w:bCs/>
                <w:sz w:val="16"/>
                <w:szCs w:val="16"/>
                <w:lang w:eastAsia="lt-LT"/>
              </w:rPr>
              <w:t>vimo reikala</w:t>
            </w:r>
            <w:r w:rsidR="00C724EE">
              <w:rPr>
                <w:rFonts w:ascii="Times New Roman" w:eastAsia="AngsanaUPC" w:hAnsi="Times New Roman"/>
                <w:b/>
                <w:bCs/>
                <w:sz w:val="16"/>
                <w:szCs w:val="16"/>
                <w:lang w:eastAsia="lt-LT"/>
              </w:rPr>
              <w:t>-</w:t>
            </w:r>
            <w:r w:rsidRPr="006F2E2E">
              <w:rPr>
                <w:rFonts w:ascii="Times New Roman" w:eastAsia="AngsanaUPC" w:hAnsi="Times New Roman"/>
                <w:b/>
                <w:bCs/>
                <w:sz w:val="16"/>
                <w:szCs w:val="16"/>
                <w:lang w:eastAsia="lt-LT"/>
              </w:rPr>
              <w:t>vimus atitinkan</w:t>
            </w:r>
            <w:r w:rsidR="00C724EE">
              <w:rPr>
                <w:rFonts w:ascii="Times New Roman" w:eastAsia="AngsanaUPC" w:hAnsi="Times New Roman"/>
                <w:b/>
                <w:bCs/>
                <w:sz w:val="16"/>
                <w:szCs w:val="16"/>
                <w:lang w:eastAsia="lt-LT"/>
              </w:rPr>
              <w:t>-</w:t>
            </w:r>
            <w:r w:rsidRPr="006F2E2E">
              <w:rPr>
                <w:rFonts w:ascii="Times New Roman" w:eastAsia="AngsanaUPC" w:hAnsi="Times New Roman"/>
                <w:b/>
                <w:bCs/>
                <w:sz w:val="16"/>
                <w:szCs w:val="16"/>
                <w:lang w:eastAsia="lt-LT"/>
              </w:rPr>
              <w:t>čios išlaidos)</w:t>
            </w:r>
          </w:p>
        </w:tc>
        <w:tc>
          <w:tcPr>
            <w:tcW w:w="1275"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02588A" w:rsidRPr="006F2E2E" w:rsidRDefault="0002588A" w:rsidP="00F6184C">
            <w:pPr>
              <w:spacing w:after="0" w:line="240" w:lineRule="auto"/>
              <w:jc w:val="center"/>
              <w:rPr>
                <w:rFonts w:ascii="Times New Roman" w:eastAsia="Times New Roman" w:hAnsi="Times New Roman"/>
                <w:b/>
                <w:bCs/>
                <w:color w:val="000000"/>
                <w:sz w:val="16"/>
                <w:szCs w:val="16"/>
                <w:lang w:eastAsia="lt-LT"/>
              </w:rPr>
            </w:pPr>
            <w:r w:rsidRPr="006F2E2E">
              <w:rPr>
                <w:rFonts w:ascii="Times New Roman" w:eastAsia="AngsanaUPC" w:hAnsi="Times New Roman"/>
                <w:b/>
                <w:bCs/>
                <w:sz w:val="16"/>
                <w:szCs w:val="16"/>
                <w:lang w:eastAsia="lt-LT"/>
              </w:rPr>
              <w:t xml:space="preserve">Bendrijos finansavimas </w:t>
            </w:r>
          </w:p>
        </w:tc>
        <w:tc>
          <w:tcPr>
            <w:tcW w:w="1276"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02588A" w:rsidRPr="006F2E2E" w:rsidRDefault="0002588A" w:rsidP="00F6184C">
            <w:pPr>
              <w:spacing w:after="0" w:line="240" w:lineRule="auto"/>
              <w:jc w:val="center"/>
              <w:rPr>
                <w:rFonts w:ascii="Times New Roman" w:eastAsia="Times New Roman" w:hAnsi="Times New Roman"/>
                <w:b/>
                <w:bCs/>
                <w:color w:val="000000"/>
                <w:sz w:val="16"/>
                <w:szCs w:val="16"/>
                <w:lang w:eastAsia="lt-LT"/>
              </w:rPr>
            </w:pPr>
            <w:r w:rsidRPr="006F2E2E">
              <w:rPr>
                <w:rFonts w:ascii="Times New Roman" w:eastAsia="AngsanaUPC" w:hAnsi="Times New Roman"/>
                <w:b/>
                <w:bCs/>
                <w:sz w:val="16"/>
                <w:szCs w:val="16"/>
                <w:lang w:eastAsia="lt-LT"/>
              </w:rPr>
              <w:t>Nacionalinis finansavimas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DDD9C3"/>
            <w:vAlign w:val="center"/>
          </w:tcPr>
          <w:p w:rsidR="0002588A" w:rsidRPr="008410A2" w:rsidRDefault="0002588A" w:rsidP="008410A2">
            <w:pPr>
              <w:spacing w:after="0" w:line="240" w:lineRule="auto"/>
              <w:jc w:val="center"/>
              <w:rPr>
                <w:rFonts w:ascii="Times New Roman" w:eastAsia="AngsanaUPC" w:hAnsi="Times New Roman"/>
                <w:b/>
                <w:bCs/>
                <w:sz w:val="16"/>
                <w:szCs w:val="16"/>
                <w:lang w:eastAsia="lt-LT"/>
              </w:rPr>
            </w:pPr>
            <w:r w:rsidRPr="008410A2">
              <w:rPr>
                <w:rFonts w:ascii="Times New Roman" w:eastAsia="AngsanaUPC" w:hAnsi="Times New Roman"/>
                <w:b/>
                <w:bCs/>
                <w:sz w:val="16"/>
                <w:szCs w:val="16"/>
                <w:lang w:eastAsia="lt-LT"/>
              </w:rPr>
              <w:t>Nacionalinio finansavimo paskirstymas</w:t>
            </w:r>
          </w:p>
        </w:tc>
        <w:tc>
          <w:tcPr>
            <w:tcW w:w="1276"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02588A" w:rsidRPr="006F2E2E" w:rsidRDefault="0002588A" w:rsidP="00F6184C">
            <w:pPr>
              <w:spacing w:after="0" w:line="240" w:lineRule="auto"/>
              <w:jc w:val="center"/>
              <w:rPr>
                <w:rFonts w:ascii="Times New Roman" w:eastAsia="Times New Roman" w:hAnsi="Times New Roman"/>
                <w:b/>
                <w:bCs/>
                <w:color w:val="000000"/>
                <w:sz w:val="16"/>
                <w:szCs w:val="16"/>
                <w:lang w:eastAsia="lt-LT"/>
              </w:rPr>
            </w:pPr>
            <w:r w:rsidRPr="006F2E2E">
              <w:rPr>
                <w:rFonts w:ascii="Times New Roman" w:eastAsia="AngsanaUPC" w:hAnsi="Times New Roman"/>
                <w:b/>
                <w:bCs/>
                <w:sz w:val="16"/>
                <w:szCs w:val="16"/>
                <w:lang w:eastAsia="lt-LT"/>
              </w:rPr>
              <w:t>Visas finansavimas</w:t>
            </w:r>
          </w:p>
        </w:tc>
        <w:tc>
          <w:tcPr>
            <w:tcW w:w="709"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02588A" w:rsidRDefault="0002588A" w:rsidP="00F6184C">
            <w:pPr>
              <w:spacing w:after="0" w:line="240" w:lineRule="auto"/>
              <w:jc w:val="center"/>
              <w:rPr>
                <w:rFonts w:ascii="Times New Roman" w:eastAsia="AngsanaUPC" w:hAnsi="Times New Roman"/>
                <w:b/>
                <w:bCs/>
                <w:sz w:val="16"/>
                <w:szCs w:val="16"/>
                <w:lang w:eastAsia="lt-LT"/>
              </w:rPr>
            </w:pPr>
            <w:r w:rsidRPr="006F2E2E">
              <w:rPr>
                <w:rFonts w:ascii="Times New Roman" w:eastAsia="AngsanaUPC" w:hAnsi="Times New Roman"/>
                <w:b/>
                <w:bCs/>
                <w:sz w:val="16"/>
                <w:szCs w:val="16"/>
                <w:lang w:eastAsia="lt-LT"/>
              </w:rPr>
              <w:t>Ben</w:t>
            </w:r>
            <w:r w:rsidR="00C93D87">
              <w:rPr>
                <w:rFonts w:ascii="Times New Roman" w:eastAsia="AngsanaUPC" w:hAnsi="Times New Roman"/>
                <w:b/>
                <w:bCs/>
                <w:sz w:val="16"/>
                <w:szCs w:val="16"/>
                <w:lang w:eastAsia="lt-LT"/>
              </w:rPr>
              <w:t>-</w:t>
            </w:r>
            <w:r w:rsidRPr="006F2E2E">
              <w:rPr>
                <w:rFonts w:ascii="Times New Roman" w:eastAsia="AngsanaUPC" w:hAnsi="Times New Roman"/>
                <w:b/>
                <w:bCs/>
                <w:sz w:val="16"/>
                <w:szCs w:val="16"/>
                <w:lang w:eastAsia="lt-LT"/>
              </w:rPr>
              <w:t>drojo finan</w:t>
            </w:r>
            <w:proofErr w:type="gramStart"/>
            <w:r w:rsidR="00C93D87">
              <w:rPr>
                <w:rFonts w:ascii="Times New Roman" w:eastAsia="AngsanaUPC" w:hAnsi="Times New Roman"/>
                <w:b/>
                <w:bCs/>
                <w:sz w:val="16"/>
                <w:szCs w:val="16"/>
                <w:lang w:eastAsia="lt-LT"/>
              </w:rPr>
              <w:t>-</w:t>
            </w:r>
            <w:proofErr w:type="gramEnd"/>
            <w:r w:rsidRPr="006F2E2E">
              <w:rPr>
                <w:rFonts w:ascii="Times New Roman" w:eastAsia="AngsanaUPC" w:hAnsi="Times New Roman"/>
                <w:b/>
                <w:bCs/>
                <w:sz w:val="16"/>
                <w:szCs w:val="16"/>
                <w:lang w:eastAsia="lt-LT"/>
              </w:rPr>
              <w:t>savimo dalis</w:t>
            </w:r>
          </w:p>
          <w:p w:rsidR="00C93D87" w:rsidRPr="00C93D87" w:rsidRDefault="00C93D87" w:rsidP="00F6184C">
            <w:pPr>
              <w:spacing w:after="0" w:line="240" w:lineRule="auto"/>
              <w:jc w:val="center"/>
              <w:rPr>
                <w:rFonts w:ascii="Times New Roman" w:eastAsia="Times New Roman" w:hAnsi="Times New Roman"/>
                <w:b/>
                <w:bCs/>
                <w:color w:val="000000"/>
                <w:sz w:val="16"/>
                <w:szCs w:val="16"/>
                <w:lang w:val="en-US" w:eastAsia="lt-LT"/>
              </w:rPr>
            </w:pPr>
            <w:r>
              <w:rPr>
                <w:rFonts w:ascii="Times New Roman" w:eastAsia="AngsanaUPC" w:hAnsi="Times New Roman"/>
                <w:b/>
                <w:bCs/>
                <w:sz w:val="16"/>
                <w:szCs w:val="16"/>
                <w:lang w:val="en-US" w:eastAsia="lt-LT"/>
              </w:rPr>
              <w:t>%</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DDD9C3"/>
            <w:textDirection w:val="btLr"/>
            <w:vAlign w:val="center"/>
            <w:hideMark/>
          </w:tcPr>
          <w:p w:rsidR="0002588A" w:rsidRPr="006F2E2E" w:rsidRDefault="0002588A" w:rsidP="0002588A">
            <w:pPr>
              <w:spacing w:after="0" w:line="240" w:lineRule="auto"/>
              <w:ind w:left="113" w:right="113"/>
              <w:jc w:val="center"/>
              <w:rPr>
                <w:rFonts w:ascii="Times New Roman" w:eastAsia="Times New Roman" w:hAnsi="Times New Roman"/>
                <w:b/>
                <w:bCs/>
                <w:color w:val="000000"/>
                <w:sz w:val="16"/>
                <w:szCs w:val="16"/>
                <w:lang w:eastAsia="lt-LT"/>
              </w:rPr>
            </w:pPr>
            <w:r w:rsidRPr="006F2E2E">
              <w:rPr>
                <w:rFonts w:ascii="Times New Roman" w:eastAsia="AngsanaUPC" w:hAnsi="Times New Roman"/>
                <w:b/>
                <w:bCs/>
                <w:sz w:val="16"/>
                <w:szCs w:val="16"/>
                <w:lang w:eastAsia="lt-LT"/>
              </w:rPr>
              <w:t>EIB įnašas</w:t>
            </w:r>
          </w:p>
        </w:tc>
        <w:tc>
          <w:tcPr>
            <w:tcW w:w="2693" w:type="dxa"/>
            <w:gridSpan w:val="2"/>
            <w:tcBorders>
              <w:top w:val="single" w:sz="4" w:space="0" w:color="auto"/>
              <w:left w:val="single" w:sz="4" w:space="0" w:color="auto"/>
              <w:bottom w:val="single" w:sz="4" w:space="0" w:color="auto"/>
              <w:right w:val="single" w:sz="4" w:space="0" w:color="auto"/>
            </w:tcBorders>
            <w:shd w:val="clear" w:color="auto" w:fill="DDD9C3"/>
            <w:vAlign w:val="center"/>
            <w:hideMark/>
          </w:tcPr>
          <w:p w:rsidR="0002588A" w:rsidRPr="006F2E2E" w:rsidRDefault="0002588A" w:rsidP="00F6184C">
            <w:pPr>
              <w:spacing w:after="0" w:line="240" w:lineRule="auto"/>
              <w:jc w:val="center"/>
              <w:rPr>
                <w:rFonts w:ascii="Times New Roman" w:eastAsia="Times New Roman" w:hAnsi="Times New Roman"/>
                <w:b/>
                <w:bCs/>
                <w:color w:val="000000"/>
                <w:sz w:val="16"/>
                <w:szCs w:val="16"/>
                <w:lang w:eastAsia="lt-LT"/>
              </w:rPr>
            </w:pPr>
            <w:r w:rsidRPr="006F2E2E">
              <w:rPr>
                <w:rFonts w:ascii="Times New Roman" w:eastAsia="Times New Roman" w:hAnsi="Times New Roman"/>
                <w:b/>
                <w:bCs/>
                <w:color w:val="000000"/>
                <w:sz w:val="16"/>
                <w:szCs w:val="16"/>
                <w:lang w:eastAsia="lt-LT"/>
              </w:rPr>
              <w:t>Pagrindiniai asignavimai (finansavimas be rezervo)</w:t>
            </w:r>
          </w:p>
        </w:tc>
        <w:tc>
          <w:tcPr>
            <w:tcW w:w="2268" w:type="dxa"/>
            <w:gridSpan w:val="2"/>
            <w:tcBorders>
              <w:top w:val="single" w:sz="4" w:space="0" w:color="auto"/>
              <w:left w:val="single" w:sz="4" w:space="0" w:color="auto"/>
              <w:bottom w:val="single" w:sz="4" w:space="0" w:color="auto"/>
              <w:right w:val="single" w:sz="4" w:space="0" w:color="auto"/>
            </w:tcBorders>
            <w:shd w:val="clear" w:color="auto" w:fill="DDD9C3"/>
            <w:vAlign w:val="center"/>
            <w:hideMark/>
          </w:tcPr>
          <w:p w:rsidR="0002588A" w:rsidRPr="006F2E2E" w:rsidRDefault="0002588A" w:rsidP="00F6184C">
            <w:pPr>
              <w:spacing w:after="0" w:line="240" w:lineRule="auto"/>
              <w:jc w:val="center"/>
              <w:rPr>
                <w:rFonts w:ascii="Times New Roman" w:eastAsia="Times New Roman" w:hAnsi="Times New Roman"/>
                <w:b/>
                <w:bCs/>
                <w:color w:val="000000"/>
                <w:sz w:val="16"/>
                <w:szCs w:val="16"/>
                <w:lang w:eastAsia="lt-LT"/>
              </w:rPr>
            </w:pPr>
            <w:r w:rsidRPr="006F2E2E">
              <w:rPr>
                <w:rFonts w:ascii="Times New Roman" w:eastAsia="Times New Roman" w:hAnsi="Times New Roman"/>
                <w:b/>
                <w:bCs/>
                <w:color w:val="000000"/>
                <w:sz w:val="16"/>
                <w:szCs w:val="16"/>
                <w:lang w:eastAsia="lt-LT"/>
              </w:rPr>
              <w:t>Veiklos rezervas</w:t>
            </w:r>
          </w:p>
        </w:tc>
        <w:tc>
          <w:tcPr>
            <w:tcW w:w="567" w:type="dxa"/>
            <w:vMerge w:val="restart"/>
            <w:tcBorders>
              <w:top w:val="single" w:sz="4" w:space="0" w:color="auto"/>
              <w:left w:val="single" w:sz="4" w:space="0" w:color="auto"/>
              <w:right w:val="single" w:sz="4" w:space="0" w:color="auto"/>
            </w:tcBorders>
            <w:shd w:val="clear" w:color="auto" w:fill="DDD9C3"/>
            <w:vAlign w:val="center"/>
            <w:hideMark/>
          </w:tcPr>
          <w:p w:rsidR="0002588A" w:rsidRPr="006F2E2E" w:rsidRDefault="0002588A" w:rsidP="00F6184C">
            <w:pPr>
              <w:spacing w:after="0" w:line="240" w:lineRule="auto"/>
              <w:jc w:val="center"/>
              <w:rPr>
                <w:rFonts w:ascii="Times New Roman" w:eastAsia="Times New Roman" w:hAnsi="Times New Roman"/>
                <w:b/>
                <w:bCs/>
                <w:color w:val="000000"/>
                <w:sz w:val="16"/>
                <w:szCs w:val="16"/>
                <w:lang w:val="en-US" w:eastAsia="lt-LT"/>
              </w:rPr>
            </w:pPr>
            <w:r w:rsidRPr="006F2E2E">
              <w:rPr>
                <w:rFonts w:ascii="Times New Roman" w:eastAsia="Times New Roman" w:hAnsi="Times New Roman"/>
                <w:b/>
                <w:bCs/>
                <w:color w:val="000000"/>
                <w:sz w:val="16"/>
                <w:szCs w:val="16"/>
                <w:lang w:eastAsia="lt-LT"/>
              </w:rPr>
              <w:t xml:space="preserve">Veiklos rezervo dalis </w:t>
            </w:r>
            <w:r w:rsidRPr="006F2E2E">
              <w:rPr>
                <w:rFonts w:ascii="Times New Roman" w:eastAsia="Times New Roman" w:hAnsi="Times New Roman"/>
                <w:b/>
                <w:bCs/>
                <w:color w:val="000000"/>
                <w:sz w:val="16"/>
                <w:szCs w:val="16"/>
                <w:lang w:val="en-US" w:eastAsia="lt-LT"/>
              </w:rPr>
              <w:t>%</w:t>
            </w:r>
          </w:p>
        </w:tc>
      </w:tr>
      <w:tr w:rsidR="00372448" w:rsidRPr="00DF1549" w:rsidTr="00650E41">
        <w:trPr>
          <w:trHeight w:val="429"/>
          <w:tblHeader/>
        </w:trPr>
        <w:tc>
          <w:tcPr>
            <w:tcW w:w="1418" w:type="dxa"/>
            <w:vMerge/>
            <w:tcBorders>
              <w:top w:val="single" w:sz="4" w:space="0" w:color="auto"/>
              <w:left w:val="single" w:sz="4" w:space="0" w:color="auto"/>
              <w:bottom w:val="single" w:sz="4" w:space="0" w:color="000000"/>
              <w:right w:val="single" w:sz="4" w:space="0" w:color="auto"/>
            </w:tcBorders>
            <w:shd w:val="clear" w:color="auto" w:fill="DDD9C3"/>
            <w:vAlign w:val="center"/>
            <w:hideMark/>
          </w:tcPr>
          <w:p w:rsidR="0002588A" w:rsidRPr="006F2E2E" w:rsidRDefault="0002588A" w:rsidP="00F6184C">
            <w:pPr>
              <w:spacing w:after="0" w:line="240" w:lineRule="auto"/>
              <w:jc w:val="center"/>
              <w:rPr>
                <w:rFonts w:ascii="Times New Roman" w:eastAsia="Times New Roman" w:hAnsi="Times New Roman"/>
                <w:color w:val="000000"/>
                <w:sz w:val="16"/>
                <w:szCs w:val="16"/>
                <w:lang w:eastAsia="lt-LT"/>
              </w:rPr>
            </w:pPr>
          </w:p>
        </w:tc>
        <w:tc>
          <w:tcPr>
            <w:tcW w:w="850" w:type="dxa"/>
            <w:vMerge/>
            <w:tcBorders>
              <w:left w:val="single" w:sz="4" w:space="0" w:color="auto"/>
              <w:right w:val="single" w:sz="4" w:space="0" w:color="auto"/>
            </w:tcBorders>
            <w:shd w:val="clear" w:color="auto" w:fill="DDD9C3"/>
            <w:vAlign w:val="center"/>
            <w:hideMark/>
          </w:tcPr>
          <w:p w:rsidR="0002588A" w:rsidRPr="006F2E2E" w:rsidRDefault="0002588A" w:rsidP="00F6184C">
            <w:pPr>
              <w:spacing w:after="0" w:line="240" w:lineRule="auto"/>
              <w:jc w:val="center"/>
              <w:rPr>
                <w:rFonts w:ascii="Times New Roman" w:eastAsia="Times New Roman" w:hAnsi="Times New Roman"/>
                <w:b/>
                <w:bCs/>
                <w:color w:val="000000"/>
                <w:sz w:val="16"/>
                <w:szCs w:val="16"/>
                <w:lang w:eastAsia="lt-LT"/>
              </w:rPr>
            </w:pPr>
          </w:p>
        </w:tc>
        <w:tc>
          <w:tcPr>
            <w:tcW w:w="993" w:type="dxa"/>
            <w:vMerge/>
            <w:tcBorders>
              <w:top w:val="single" w:sz="4" w:space="0" w:color="auto"/>
              <w:left w:val="single" w:sz="4" w:space="0" w:color="auto"/>
              <w:bottom w:val="single" w:sz="4" w:space="0" w:color="auto"/>
              <w:right w:val="single" w:sz="4" w:space="0" w:color="auto"/>
            </w:tcBorders>
            <w:shd w:val="clear" w:color="auto" w:fill="DDD9C3"/>
            <w:vAlign w:val="center"/>
            <w:hideMark/>
          </w:tcPr>
          <w:p w:rsidR="0002588A" w:rsidRPr="006F2E2E" w:rsidRDefault="0002588A" w:rsidP="00F6184C">
            <w:pPr>
              <w:spacing w:after="0" w:line="240" w:lineRule="auto"/>
              <w:jc w:val="center"/>
              <w:rPr>
                <w:rFonts w:ascii="Times New Roman" w:eastAsia="Times New Roman" w:hAnsi="Times New Roman"/>
                <w:b/>
                <w:bCs/>
                <w:color w:val="000000"/>
                <w:sz w:val="16"/>
                <w:szCs w:val="16"/>
                <w:lang w:eastAsia="lt-LT"/>
              </w:rPr>
            </w:pPr>
          </w:p>
        </w:tc>
        <w:tc>
          <w:tcPr>
            <w:tcW w:w="1275" w:type="dxa"/>
            <w:vMerge w:val="restart"/>
            <w:tcBorders>
              <w:top w:val="single" w:sz="4" w:space="0" w:color="auto"/>
              <w:left w:val="single" w:sz="4" w:space="0" w:color="auto"/>
              <w:bottom w:val="single" w:sz="4" w:space="0" w:color="auto"/>
              <w:right w:val="single" w:sz="4" w:space="0" w:color="auto"/>
            </w:tcBorders>
            <w:shd w:val="clear" w:color="auto" w:fill="DDD9C3"/>
            <w:vAlign w:val="center"/>
            <w:hideMark/>
          </w:tcPr>
          <w:p w:rsidR="0002588A" w:rsidRPr="006F2E2E" w:rsidRDefault="0002588A" w:rsidP="00F6184C">
            <w:pPr>
              <w:spacing w:after="0" w:line="240" w:lineRule="auto"/>
              <w:jc w:val="center"/>
              <w:rPr>
                <w:rFonts w:ascii="Times New Roman" w:eastAsia="Times New Roman" w:hAnsi="Times New Roman"/>
                <w:b/>
                <w:bCs/>
                <w:color w:val="000000"/>
                <w:sz w:val="16"/>
                <w:szCs w:val="16"/>
                <w:lang w:eastAsia="lt-LT"/>
              </w:rPr>
            </w:pPr>
            <w:r w:rsidRPr="006F2E2E">
              <w:rPr>
                <w:rFonts w:ascii="Times New Roman" w:eastAsia="Times New Roman" w:hAnsi="Times New Roman"/>
                <w:b/>
                <w:bCs/>
                <w:color w:val="000000"/>
                <w:sz w:val="16"/>
                <w:szCs w:val="16"/>
                <w:lang w:eastAsia="lt-LT"/>
              </w:rPr>
              <w:t>(a)</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DD9C3"/>
            <w:vAlign w:val="center"/>
            <w:hideMark/>
          </w:tcPr>
          <w:p w:rsidR="0002588A" w:rsidRPr="006F2E2E" w:rsidRDefault="0002588A" w:rsidP="00F6184C">
            <w:pPr>
              <w:spacing w:after="0" w:line="240" w:lineRule="auto"/>
              <w:jc w:val="center"/>
              <w:rPr>
                <w:rFonts w:ascii="Times New Roman" w:eastAsia="Times New Roman" w:hAnsi="Times New Roman"/>
                <w:b/>
                <w:bCs/>
                <w:color w:val="000000"/>
                <w:sz w:val="16"/>
                <w:szCs w:val="16"/>
                <w:lang w:eastAsia="lt-LT"/>
              </w:rPr>
            </w:pPr>
            <w:r w:rsidRPr="006F2E2E">
              <w:rPr>
                <w:rFonts w:ascii="Times New Roman" w:eastAsia="Times New Roman" w:hAnsi="Times New Roman"/>
                <w:b/>
                <w:bCs/>
                <w:color w:val="000000"/>
                <w:sz w:val="16"/>
                <w:szCs w:val="16"/>
                <w:lang w:eastAsia="lt-LT"/>
              </w:rPr>
              <w:t>(b) = (c) + (d</w:t>
            </w:r>
            <w:proofErr w:type="gramStart"/>
            <w:r w:rsidRPr="006F2E2E">
              <w:rPr>
                <w:rFonts w:ascii="Times New Roman" w:eastAsia="Times New Roman" w:hAnsi="Times New Roman"/>
                <w:b/>
                <w:bCs/>
                <w:color w:val="000000"/>
                <w:sz w:val="16"/>
                <w:szCs w:val="16"/>
                <w:lang w:eastAsia="lt-LT"/>
              </w:rPr>
              <w:t>))</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DDD9C3"/>
          </w:tcPr>
          <w:p w:rsidR="0002588A" w:rsidRPr="008410A2" w:rsidRDefault="0002588A" w:rsidP="00F6184C">
            <w:pPr>
              <w:spacing w:after="0" w:line="240" w:lineRule="auto"/>
              <w:jc w:val="center"/>
              <w:rPr>
                <w:rFonts w:ascii="Times New Roman" w:eastAsia="Times New Roman" w:hAnsi="Times New Roman"/>
                <w:b/>
                <w:bCs/>
                <w:sz w:val="16"/>
                <w:szCs w:val="16"/>
                <w:lang w:eastAsia="lt-LT"/>
              </w:rPr>
            </w:pPr>
            <w:r w:rsidRPr="008410A2">
              <w:rPr>
                <w:rFonts w:ascii="Times New Roman" w:eastAsia="Times New Roman" w:hAnsi="Times New Roman"/>
                <w:b/>
                <w:bCs/>
                <w:sz w:val="16"/>
                <w:szCs w:val="16"/>
                <w:lang w:eastAsia="lt-LT"/>
              </w:rPr>
              <w:t>Nacionalinis viešasis finansavimas</w:t>
            </w:r>
          </w:p>
        </w:tc>
        <w:tc>
          <w:tcPr>
            <w:tcW w:w="1134" w:type="dxa"/>
            <w:tcBorders>
              <w:top w:val="single" w:sz="4" w:space="0" w:color="auto"/>
              <w:left w:val="single" w:sz="4" w:space="0" w:color="auto"/>
              <w:bottom w:val="single" w:sz="4" w:space="0" w:color="auto"/>
              <w:right w:val="single" w:sz="4" w:space="0" w:color="auto"/>
            </w:tcBorders>
            <w:shd w:val="clear" w:color="auto" w:fill="DDD9C3"/>
          </w:tcPr>
          <w:p w:rsidR="0002588A" w:rsidRPr="008410A2" w:rsidRDefault="0002588A" w:rsidP="00F6184C">
            <w:pPr>
              <w:spacing w:after="0" w:line="240" w:lineRule="auto"/>
              <w:jc w:val="center"/>
              <w:rPr>
                <w:rFonts w:ascii="Times New Roman" w:eastAsia="Times New Roman" w:hAnsi="Times New Roman"/>
                <w:b/>
                <w:bCs/>
                <w:sz w:val="16"/>
                <w:szCs w:val="16"/>
                <w:lang w:eastAsia="lt-LT"/>
              </w:rPr>
            </w:pPr>
            <w:r w:rsidRPr="008410A2">
              <w:rPr>
                <w:rFonts w:ascii="Times New Roman" w:eastAsia="Times New Roman" w:hAnsi="Times New Roman"/>
                <w:b/>
                <w:bCs/>
                <w:sz w:val="16"/>
                <w:szCs w:val="16"/>
                <w:lang w:eastAsia="lt-LT"/>
              </w:rPr>
              <w:t>Nacionalinis privatus finansavimas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DD9C3"/>
            <w:vAlign w:val="center"/>
            <w:hideMark/>
          </w:tcPr>
          <w:p w:rsidR="0002588A" w:rsidRPr="006F2E2E" w:rsidRDefault="0002588A" w:rsidP="00F6184C">
            <w:pPr>
              <w:spacing w:after="0" w:line="240" w:lineRule="auto"/>
              <w:jc w:val="center"/>
              <w:rPr>
                <w:rFonts w:ascii="Times New Roman" w:eastAsia="Times New Roman" w:hAnsi="Times New Roman"/>
                <w:b/>
                <w:bCs/>
                <w:color w:val="000000"/>
                <w:sz w:val="16"/>
                <w:szCs w:val="16"/>
                <w:lang w:eastAsia="lt-LT"/>
              </w:rPr>
            </w:pPr>
            <w:r w:rsidRPr="006F2E2E">
              <w:rPr>
                <w:rFonts w:ascii="Times New Roman" w:eastAsia="Times New Roman" w:hAnsi="Times New Roman"/>
                <w:b/>
                <w:bCs/>
                <w:color w:val="000000"/>
                <w:sz w:val="16"/>
                <w:szCs w:val="16"/>
                <w:lang w:eastAsia="lt-LT"/>
              </w:rPr>
              <w:t>(e) = (a) + (b)</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DDD9C3"/>
            <w:vAlign w:val="center"/>
            <w:hideMark/>
          </w:tcPr>
          <w:p w:rsidR="0002588A" w:rsidRPr="006F2E2E" w:rsidRDefault="0002588A" w:rsidP="00F6184C">
            <w:pPr>
              <w:spacing w:after="0" w:line="240" w:lineRule="auto"/>
              <w:jc w:val="center"/>
              <w:rPr>
                <w:rFonts w:ascii="Times New Roman" w:eastAsia="Times New Roman" w:hAnsi="Times New Roman"/>
                <w:b/>
                <w:bCs/>
                <w:color w:val="000000"/>
                <w:sz w:val="16"/>
                <w:szCs w:val="16"/>
                <w:lang w:eastAsia="lt-LT"/>
              </w:rPr>
            </w:pPr>
            <w:r w:rsidRPr="006F2E2E">
              <w:rPr>
                <w:rFonts w:ascii="Times New Roman" w:eastAsia="Times New Roman" w:hAnsi="Times New Roman"/>
                <w:b/>
                <w:bCs/>
                <w:color w:val="000000"/>
                <w:sz w:val="16"/>
                <w:szCs w:val="16"/>
                <w:lang w:eastAsia="lt-LT"/>
              </w:rPr>
              <w:t>(f)</w:t>
            </w:r>
            <w:r w:rsidR="00A50C23">
              <w:rPr>
                <w:rFonts w:ascii="Times New Roman" w:eastAsia="Times New Roman" w:hAnsi="Times New Roman"/>
                <w:b/>
                <w:bCs/>
                <w:color w:val="000000"/>
                <w:sz w:val="16"/>
                <w:szCs w:val="16"/>
                <w:lang w:eastAsia="lt-LT"/>
              </w:rPr>
              <w:t>.</w:t>
            </w:r>
            <w:r w:rsidRPr="006F2E2E">
              <w:rPr>
                <w:rFonts w:ascii="Times New Roman" w:eastAsia="Times New Roman" w:hAnsi="Times New Roman"/>
                <w:b/>
                <w:bCs/>
                <w:color w:val="000000"/>
                <w:sz w:val="16"/>
                <w:szCs w:val="16"/>
                <w:lang w:eastAsia="lt-LT"/>
              </w:rPr>
              <w:t xml:space="preserve"> = (a)/(e)</w:t>
            </w:r>
          </w:p>
        </w:tc>
        <w:tc>
          <w:tcPr>
            <w:tcW w:w="425" w:type="dxa"/>
            <w:vMerge/>
            <w:tcBorders>
              <w:top w:val="single" w:sz="4" w:space="0" w:color="auto"/>
              <w:left w:val="single" w:sz="4" w:space="0" w:color="auto"/>
              <w:bottom w:val="single" w:sz="4" w:space="0" w:color="auto"/>
              <w:right w:val="single" w:sz="4" w:space="0" w:color="auto"/>
            </w:tcBorders>
            <w:shd w:val="clear" w:color="auto" w:fill="DDD9C3"/>
            <w:vAlign w:val="center"/>
            <w:hideMark/>
          </w:tcPr>
          <w:p w:rsidR="0002588A" w:rsidRPr="006F2E2E" w:rsidRDefault="0002588A" w:rsidP="00F6184C">
            <w:pPr>
              <w:spacing w:after="0" w:line="240" w:lineRule="auto"/>
              <w:jc w:val="center"/>
              <w:rPr>
                <w:rFonts w:ascii="Times New Roman" w:eastAsia="Times New Roman" w:hAnsi="Times New Roman"/>
                <w:b/>
                <w:bCs/>
                <w:color w:val="000000"/>
                <w:sz w:val="16"/>
                <w:szCs w:val="16"/>
                <w:lang w:eastAsia="lt-LT"/>
              </w:rPr>
            </w:pPr>
          </w:p>
        </w:tc>
        <w:tc>
          <w:tcPr>
            <w:tcW w:w="1417" w:type="dxa"/>
            <w:tcBorders>
              <w:top w:val="single" w:sz="4" w:space="0" w:color="auto"/>
              <w:left w:val="nil"/>
              <w:bottom w:val="single" w:sz="4" w:space="0" w:color="auto"/>
              <w:right w:val="single" w:sz="4" w:space="0" w:color="auto"/>
            </w:tcBorders>
            <w:shd w:val="clear" w:color="auto" w:fill="DDD9C3"/>
            <w:vAlign w:val="center"/>
            <w:hideMark/>
          </w:tcPr>
          <w:p w:rsidR="0002588A" w:rsidRPr="006F2E2E" w:rsidRDefault="0002588A" w:rsidP="00F6184C">
            <w:pPr>
              <w:spacing w:after="0" w:line="240" w:lineRule="auto"/>
              <w:jc w:val="center"/>
              <w:rPr>
                <w:rFonts w:ascii="Times New Roman" w:eastAsia="Times New Roman" w:hAnsi="Times New Roman"/>
                <w:b/>
                <w:bCs/>
                <w:color w:val="000000"/>
                <w:sz w:val="16"/>
                <w:szCs w:val="16"/>
                <w:lang w:eastAsia="lt-LT"/>
              </w:rPr>
            </w:pPr>
            <w:r w:rsidRPr="006F2E2E">
              <w:rPr>
                <w:rFonts w:ascii="Times New Roman" w:eastAsia="AngsanaUPC" w:hAnsi="Times New Roman"/>
                <w:b/>
                <w:bCs/>
                <w:sz w:val="16"/>
                <w:szCs w:val="16"/>
                <w:lang w:eastAsia="lt-LT"/>
              </w:rPr>
              <w:t>Bendrijos finansavimas</w:t>
            </w:r>
          </w:p>
        </w:tc>
        <w:tc>
          <w:tcPr>
            <w:tcW w:w="1276" w:type="dxa"/>
            <w:tcBorders>
              <w:top w:val="single" w:sz="4" w:space="0" w:color="auto"/>
              <w:left w:val="nil"/>
              <w:bottom w:val="single" w:sz="4" w:space="0" w:color="auto"/>
              <w:right w:val="single" w:sz="4" w:space="0" w:color="auto"/>
            </w:tcBorders>
            <w:shd w:val="clear" w:color="auto" w:fill="DDD9C3"/>
            <w:vAlign w:val="center"/>
            <w:hideMark/>
          </w:tcPr>
          <w:p w:rsidR="0002588A" w:rsidRPr="006F2E2E" w:rsidRDefault="0002588A" w:rsidP="00F6184C">
            <w:pPr>
              <w:spacing w:after="0" w:line="240" w:lineRule="auto"/>
              <w:jc w:val="center"/>
              <w:rPr>
                <w:rFonts w:ascii="Times New Roman" w:eastAsia="Times New Roman" w:hAnsi="Times New Roman"/>
                <w:b/>
                <w:bCs/>
                <w:color w:val="000000"/>
                <w:sz w:val="16"/>
                <w:szCs w:val="16"/>
                <w:lang w:eastAsia="lt-LT"/>
              </w:rPr>
            </w:pPr>
            <w:r w:rsidRPr="006F2E2E">
              <w:rPr>
                <w:rFonts w:ascii="Times New Roman" w:eastAsia="AngsanaUPC" w:hAnsi="Times New Roman"/>
                <w:b/>
                <w:bCs/>
                <w:sz w:val="16"/>
                <w:szCs w:val="16"/>
                <w:lang w:eastAsia="lt-LT"/>
              </w:rPr>
              <w:t>Nacionalinis finansavimas</w:t>
            </w:r>
          </w:p>
        </w:tc>
        <w:tc>
          <w:tcPr>
            <w:tcW w:w="1134" w:type="dxa"/>
            <w:tcBorders>
              <w:top w:val="single" w:sz="4" w:space="0" w:color="auto"/>
              <w:left w:val="nil"/>
              <w:bottom w:val="single" w:sz="4" w:space="0" w:color="auto"/>
              <w:right w:val="single" w:sz="4" w:space="0" w:color="auto"/>
            </w:tcBorders>
            <w:shd w:val="clear" w:color="auto" w:fill="DDD9C3"/>
            <w:vAlign w:val="center"/>
            <w:hideMark/>
          </w:tcPr>
          <w:p w:rsidR="0002588A" w:rsidRPr="006F2E2E" w:rsidRDefault="0002588A" w:rsidP="00F6184C">
            <w:pPr>
              <w:spacing w:after="0" w:line="240" w:lineRule="auto"/>
              <w:jc w:val="center"/>
              <w:rPr>
                <w:rFonts w:ascii="Times New Roman" w:eastAsia="Times New Roman" w:hAnsi="Times New Roman"/>
                <w:b/>
                <w:bCs/>
                <w:color w:val="000000"/>
                <w:sz w:val="16"/>
                <w:szCs w:val="16"/>
                <w:lang w:eastAsia="lt-LT"/>
              </w:rPr>
            </w:pPr>
            <w:r w:rsidRPr="006F2E2E">
              <w:rPr>
                <w:rFonts w:ascii="Times New Roman" w:eastAsia="AngsanaUPC" w:hAnsi="Times New Roman"/>
                <w:b/>
                <w:bCs/>
                <w:sz w:val="16"/>
                <w:szCs w:val="16"/>
                <w:lang w:eastAsia="lt-LT"/>
              </w:rPr>
              <w:t>Bendrijos finansavimas</w:t>
            </w:r>
          </w:p>
        </w:tc>
        <w:tc>
          <w:tcPr>
            <w:tcW w:w="1134" w:type="dxa"/>
            <w:tcBorders>
              <w:top w:val="single" w:sz="4" w:space="0" w:color="auto"/>
              <w:left w:val="nil"/>
              <w:bottom w:val="single" w:sz="4" w:space="0" w:color="auto"/>
              <w:right w:val="single" w:sz="4" w:space="0" w:color="auto"/>
            </w:tcBorders>
            <w:shd w:val="clear" w:color="auto" w:fill="DDD9C3"/>
            <w:vAlign w:val="center"/>
            <w:hideMark/>
          </w:tcPr>
          <w:p w:rsidR="0002588A" w:rsidRPr="006F2E2E" w:rsidRDefault="0002588A" w:rsidP="00F6184C">
            <w:pPr>
              <w:spacing w:after="0" w:line="240" w:lineRule="auto"/>
              <w:jc w:val="center"/>
              <w:rPr>
                <w:rFonts w:ascii="Times New Roman" w:eastAsia="Times New Roman" w:hAnsi="Times New Roman"/>
                <w:b/>
                <w:bCs/>
                <w:color w:val="000000"/>
                <w:sz w:val="16"/>
                <w:szCs w:val="16"/>
                <w:lang w:eastAsia="lt-LT"/>
              </w:rPr>
            </w:pPr>
            <w:r w:rsidRPr="006F2E2E">
              <w:rPr>
                <w:rFonts w:ascii="Times New Roman" w:eastAsia="AngsanaUPC" w:hAnsi="Times New Roman"/>
                <w:b/>
                <w:bCs/>
                <w:sz w:val="16"/>
                <w:szCs w:val="16"/>
                <w:lang w:eastAsia="lt-LT"/>
              </w:rPr>
              <w:t>Nacionalinis finansavimas</w:t>
            </w:r>
          </w:p>
        </w:tc>
        <w:tc>
          <w:tcPr>
            <w:tcW w:w="567" w:type="dxa"/>
            <w:vMerge/>
            <w:tcBorders>
              <w:left w:val="single" w:sz="4" w:space="0" w:color="auto"/>
              <w:bottom w:val="single" w:sz="4" w:space="0" w:color="auto"/>
              <w:right w:val="single" w:sz="4" w:space="0" w:color="auto"/>
            </w:tcBorders>
            <w:shd w:val="clear" w:color="auto" w:fill="DDD9C3"/>
            <w:vAlign w:val="center"/>
            <w:hideMark/>
          </w:tcPr>
          <w:p w:rsidR="0002588A" w:rsidRPr="006F2E2E" w:rsidRDefault="0002588A" w:rsidP="00F6184C">
            <w:pPr>
              <w:spacing w:after="0" w:line="240" w:lineRule="auto"/>
              <w:jc w:val="center"/>
              <w:rPr>
                <w:rFonts w:ascii="Times New Roman" w:eastAsia="Times New Roman" w:hAnsi="Times New Roman"/>
                <w:b/>
                <w:bCs/>
                <w:color w:val="000000"/>
                <w:sz w:val="16"/>
                <w:szCs w:val="16"/>
                <w:lang w:eastAsia="lt-LT"/>
              </w:rPr>
            </w:pPr>
          </w:p>
        </w:tc>
      </w:tr>
      <w:tr w:rsidR="00372448" w:rsidRPr="00DF1549" w:rsidTr="00650E41">
        <w:trPr>
          <w:trHeight w:val="509"/>
          <w:tblHeader/>
        </w:trPr>
        <w:tc>
          <w:tcPr>
            <w:tcW w:w="1418" w:type="dxa"/>
            <w:vMerge/>
            <w:tcBorders>
              <w:top w:val="single" w:sz="4" w:space="0" w:color="auto"/>
              <w:left w:val="single" w:sz="4" w:space="0" w:color="auto"/>
              <w:bottom w:val="single" w:sz="4" w:space="0" w:color="000000"/>
              <w:right w:val="single" w:sz="4" w:space="0" w:color="auto"/>
            </w:tcBorders>
            <w:shd w:val="clear" w:color="auto" w:fill="DDD9C3"/>
            <w:vAlign w:val="center"/>
            <w:hideMark/>
          </w:tcPr>
          <w:p w:rsidR="0002588A" w:rsidRPr="006F2E2E" w:rsidRDefault="0002588A" w:rsidP="00F6184C">
            <w:pPr>
              <w:spacing w:after="0" w:line="240" w:lineRule="auto"/>
              <w:jc w:val="center"/>
              <w:rPr>
                <w:rFonts w:ascii="Times New Roman" w:eastAsia="Times New Roman" w:hAnsi="Times New Roman"/>
                <w:color w:val="000000"/>
                <w:sz w:val="16"/>
                <w:szCs w:val="16"/>
                <w:lang w:eastAsia="lt-LT"/>
              </w:rPr>
            </w:pPr>
          </w:p>
        </w:tc>
        <w:tc>
          <w:tcPr>
            <w:tcW w:w="850" w:type="dxa"/>
            <w:vMerge/>
            <w:tcBorders>
              <w:left w:val="single" w:sz="4" w:space="0" w:color="auto"/>
              <w:bottom w:val="single" w:sz="4" w:space="0" w:color="auto"/>
              <w:right w:val="single" w:sz="4" w:space="0" w:color="auto"/>
            </w:tcBorders>
            <w:shd w:val="clear" w:color="auto" w:fill="DDD9C3"/>
            <w:vAlign w:val="center"/>
            <w:hideMark/>
          </w:tcPr>
          <w:p w:rsidR="0002588A" w:rsidRPr="006F2E2E" w:rsidRDefault="0002588A" w:rsidP="00F6184C">
            <w:pPr>
              <w:spacing w:after="0" w:line="240" w:lineRule="auto"/>
              <w:jc w:val="center"/>
              <w:rPr>
                <w:rFonts w:ascii="Times New Roman" w:eastAsia="Times New Roman" w:hAnsi="Times New Roman"/>
                <w:color w:val="000000"/>
                <w:sz w:val="16"/>
                <w:szCs w:val="16"/>
                <w:lang w:eastAsia="lt-LT"/>
              </w:rPr>
            </w:pPr>
          </w:p>
        </w:tc>
        <w:tc>
          <w:tcPr>
            <w:tcW w:w="993" w:type="dxa"/>
            <w:vMerge/>
            <w:tcBorders>
              <w:top w:val="single" w:sz="4" w:space="0" w:color="auto"/>
              <w:left w:val="single" w:sz="4" w:space="0" w:color="auto"/>
              <w:bottom w:val="single" w:sz="4" w:space="0" w:color="auto"/>
              <w:right w:val="single" w:sz="4" w:space="0" w:color="auto"/>
            </w:tcBorders>
            <w:shd w:val="clear" w:color="auto" w:fill="DDD9C3"/>
            <w:vAlign w:val="center"/>
            <w:hideMark/>
          </w:tcPr>
          <w:p w:rsidR="0002588A" w:rsidRPr="006F2E2E" w:rsidRDefault="0002588A" w:rsidP="00F6184C">
            <w:pPr>
              <w:spacing w:after="0" w:line="240" w:lineRule="auto"/>
              <w:jc w:val="center"/>
              <w:rPr>
                <w:rFonts w:ascii="Times New Roman" w:eastAsia="Times New Roman" w:hAnsi="Times New Roman"/>
                <w:b/>
                <w:bCs/>
                <w:color w:val="000000"/>
                <w:sz w:val="16"/>
                <w:szCs w:val="16"/>
                <w:lang w:eastAsia="lt-LT"/>
              </w:rPr>
            </w:pPr>
          </w:p>
        </w:tc>
        <w:tc>
          <w:tcPr>
            <w:tcW w:w="1275" w:type="dxa"/>
            <w:vMerge/>
            <w:tcBorders>
              <w:top w:val="single" w:sz="4" w:space="0" w:color="auto"/>
              <w:left w:val="single" w:sz="4" w:space="0" w:color="auto"/>
              <w:bottom w:val="single" w:sz="4" w:space="0" w:color="auto"/>
              <w:right w:val="single" w:sz="4" w:space="0" w:color="auto"/>
            </w:tcBorders>
            <w:shd w:val="clear" w:color="auto" w:fill="DDD9C3"/>
            <w:vAlign w:val="center"/>
            <w:hideMark/>
          </w:tcPr>
          <w:p w:rsidR="0002588A" w:rsidRPr="006F2E2E" w:rsidRDefault="0002588A" w:rsidP="00F6184C">
            <w:pPr>
              <w:spacing w:after="0" w:line="240" w:lineRule="auto"/>
              <w:jc w:val="center"/>
              <w:rPr>
                <w:rFonts w:ascii="Times New Roman" w:eastAsia="Times New Roman" w:hAnsi="Times New Roman"/>
                <w:b/>
                <w:bCs/>
                <w:color w:val="000000"/>
                <w:sz w:val="16"/>
                <w:szCs w:val="16"/>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DDD9C3"/>
            <w:vAlign w:val="center"/>
            <w:hideMark/>
          </w:tcPr>
          <w:p w:rsidR="0002588A" w:rsidRPr="006F2E2E" w:rsidRDefault="0002588A" w:rsidP="00F6184C">
            <w:pPr>
              <w:spacing w:after="0" w:line="240" w:lineRule="auto"/>
              <w:jc w:val="center"/>
              <w:rPr>
                <w:rFonts w:ascii="Times New Roman" w:eastAsia="Times New Roman" w:hAnsi="Times New Roman"/>
                <w:b/>
                <w:bCs/>
                <w:color w:val="000000"/>
                <w:sz w:val="16"/>
                <w:szCs w:val="16"/>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DDD9C3"/>
            <w:vAlign w:val="center"/>
          </w:tcPr>
          <w:p w:rsidR="0002588A" w:rsidRPr="008410A2" w:rsidRDefault="0002588A" w:rsidP="008410A2">
            <w:pPr>
              <w:spacing w:after="0" w:line="240" w:lineRule="auto"/>
              <w:jc w:val="center"/>
              <w:rPr>
                <w:rFonts w:ascii="Times New Roman" w:eastAsia="Times New Roman" w:hAnsi="Times New Roman"/>
                <w:b/>
                <w:bCs/>
                <w:sz w:val="16"/>
                <w:szCs w:val="16"/>
                <w:lang w:eastAsia="lt-LT"/>
              </w:rPr>
            </w:pPr>
            <w:r w:rsidRPr="008410A2">
              <w:rPr>
                <w:rFonts w:ascii="Times New Roman" w:eastAsia="Times New Roman" w:hAnsi="Times New Roman"/>
                <w:b/>
                <w:bCs/>
                <w:sz w:val="16"/>
                <w:szCs w:val="16"/>
                <w:lang w:eastAsia="lt-LT"/>
              </w:rPr>
              <w:t>(c)</w:t>
            </w:r>
          </w:p>
        </w:tc>
        <w:tc>
          <w:tcPr>
            <w:tcW w:w="1134" w:type="dxa"/>
            <w:tcBorders>
              <w:top w:val="single" w:sz="4" w:space="0" w:color="auto"/>
              <w:left w:val="single" w:sz="4" w:space="0" w:color="auto"/>
              <w:bottom w:val="single" w:sz="4" w:space="0" w:color="auto"/>
              <w:right w:val="single" w:sz="4" w:space="0" w:color="auto"/>
            </w:tcBorders>
            <w:shd w:val="clear" w:color="auto" w:fill="DDD9C3"/>
            <w:vAlign w:val="center"/>
          </w:tcPr>
          <w:p w:rsidR="0002588A" w:rsidRPr="008410A2" w:rsidRDefault="0002588A" w:rsidP="008410A2">
            <w:pPr>
              <w:spacing w:after="0" w:line="240" w:lineRule="auto"/>
              <w:jc w:val="center"/>
              <w:rPr>
                <w:rFonts w:ascii="Times New Roman" w:eastAsia="Times New Roman" w:hAnsi="Times New Roman"/>
                <w:b/>
                <w:bCs/>
                <w:sz w:val="16"/>
                <w:szCs w:val="16"/>
                <w:lang w:eastAsia="lt-LT"/>
              </w:rPr>
            </w:pPr>
            <w:r w:rsidRPr="008410A2">
              <w:rPr>
                <w:rFonts w:ascii="Times New Roman" w:eastAsia="Times New Roman" w:hAnsi="Times New Roman"/>
                <w:b/>
                <w:bCs/>
                <w:sz w:val="16"/>
                <w:szCs w:val="16"/>
                <w:lang w:eastAsia="lt-LT"/>
              </w:rPr>
              <w:t>(d)</w:t>
            </w:r>
          </w:p>
        </w:tc>
        <w:tc>
          <w:tcPr>
            <w:tcW w:w="1276" w:type="dxa"/>
            <w:vMerge/>
            <w:tcBorders>
              <w:top w:val="single" w:sz="4" w:space="0" w:color="auto"/>
              <w:left w:val="single" w:sz="4" w:space="0" w:color="auto"/>
              <w:bottom w:val="single" w:sz="4" w:space="0" w:color="auto"/>
              <w:right w:val="single" w:sz="4" w:space="0" w:color="auto"/>
            </w:tcBorders>
            <w:shd w:val="clear" w:color="auto" w:fill="DDD9C3"/>
            <w:vAlign w:val="center"/>
            <w:hideMark/>
          </w:tcPr>
          <w:p w:rsidR="0002588A" w:rsidRPr="006F2E2E" w:rsidRDefault="0002588A" w:rsidP="00F6184C">
            <w:pPr>
              <w:spacing w:after="0" w:line="240" w:lineRule="auto"/>
              <w:jc w:val="center"/>
              <w:rPr>
                <w:rFonts w:ascii="Times New Roman" w:eastAsia="Times New Roman" w:hAnsi="Times New Roman"/>
                <w:b/>
                <w:bCs/>
                <w:color w:val="000000"/>
                <w:sz w:val="16"/>
                <w:szCs w:val="16"/>
                <w:lang w:eastAsia="lt-LT"/>
              </w:rPr>
            </w:pPr>
          </w:p>
        </w:tc>
        <w:tc>
          <w:tcPr>
            <w:tcW w:w="709" w:type="dxa"/>
            <w:vMerge/>
            <w:tcBorders>
              <w:top w:val="single" w:sz="4" w:space="0" w:color="auto"/>
              <w:left w:val="single" w:sz="4" w:space="0" w:color="auto"/>
              <w:bottom w:val="single" w:sz="4" w:space="0" w:color="auto"/>
              <w:right w:val="single" w:sz="4" w:space="0" w:color="auto"/>
            </w:tcBorders>
            <w:shd w:val="clear" w:color="auto" w:fill="DDD9C3"/>
            <w:vAlign w:val="center"/>
            <w:hideMark/>
          </w:tcPr>
          <w:p w:rsidR="0002588A" w:rsidRPr="006F2E2E" w:rsidRDefault="0002588A" w:rsidP="00F6184C">
            <w:pPr>
              <w:spacing w:after="0" w:line="240" w:lineRule="auto"/>
              <w:jc w:val="center"/>
              <w:rPr>
                <w:rFonts w:ascii="Times New Roman" w:eastAsia="Times New Roman" w:hAnsi="Times New Roman"/>
                <w:b/>
                <w:bCs/>
                <w:color w:val="000000"/>
                <w:sz w:val="16"/>
                <w:szCs w:val="16"/>
                <w:lang w:eastAsia="lt-LT"/>
              </w:rPr>
            </w:pPr>
          </w:p>
        </w:tc>
        <w:tc>
          <w:tcPr>
            <w:tcW w:w="425" w:type="dxa"/>
            <w:vMerge/>
            <w:tcBorders>
              <w:top w:val="single" w:sz="4" w:space="0" w:color="auto"/>
              <w:left w:val="single" w:sz="4" w:space="0" w:color="auto"/>
              <w:bottom w:val="single" w:sz="4" w:space="0" w:color="auto"/>
              <w:right w:val="single" w:sz="4" w:space="0" w:color="auto"/>
            </w:tcBorders>
            <w:shd w:val="clear" w:color="auto" w:fill="DDD9C3"/>
            <w:vAlign w:val="center"/>
            <w:hideMark/>
          </w:tcPr>
          <w:p w:rsidR="0002588A" w:rsidRPr="006F2E2E" w:rsidRDefault="0002588A" w:rsidP="00F6184C">
            <w:pPr>
              <w:spacing w:after="0" w:line="240" w:lineRule="auto"/>
              <w:jc w:val="center"/>
              <w:rPr>
                <w:rFonts w:ascii="Times New Roman" w:eastAsia="Times New Roman" w:hAnsi="Times New Roman"/>
                <w:b/>
                <w:bCs/>
                <w:color w:val="000000"/>
                <w:sz w:val="16"/>
                <w:szCs w:val="16"/>
                <w:lang w:eastAsia="lt-LT"/>
              </w:rPr>
            </w:pPr>
          </w:p>
        </w:tc>
        <w:tc>
          <w:tcPr>
            <w:tcW w:w="1417" w:type="dxa"/>
            <w:tcBorders>
              <w:top w:val="single" w:sz="4" w:space="0" w:color="auto"/>
              <w:left w:val="nil"/>
              <w:bottom w:val="single" w:sz="4" w:space="0" w:color="auto"/>
              <w:right w:val="single" w:sz="4" w:space="0" w:color="auto"/>
            </w:tcBorders>
            <w:shd w:val="clear" w:color="auto" w:fill="DDD9C3"/>
            <w:vAlign w:val="center"/>
            <w:hideMark/>
          </w:tcPr>
          <w:p w:rsidR="0002588A" w:rsidRPr="006F2E2E" w:rsidRDefault="0002588A" w:rsidP="00F6184C">
            <w:pPr>
              <w:spacing w:after="0" w:line="240" w:lineRule="auto"/>
              <w:jc w:val="center"/>
              <w:rPr>
                <w:rFonts w:ascii="Times New Roman" w:eastAsia="Times New Roman" w:hAnsi="Times New Roman"/>
                <w:b/>
                <w:bCs/>
                <w:color w:val="000000"/>
                <w:sz w:val="16"/>
                <w:szCs w:val="16"/>
                <w:lang w:eastAsia="lt-LT"/>
              </w:rPr>
            </w:pPr>
            <w:r w:rsidRPr="006F2E2E">
              <w:rPr>
                <w:rFonts w:ascii="Times New Roman" w:eastAsia="Times New Roman" w:hAnsi="Times New Roman"/>
                <w:b/>
                <w:bCs/>
                <w:color w:val="000000"/>
                <w:sz w:val="16"/>
                <w:szCs w:val="16"/>
                <w:lang w:eastAsia="lt-LT"/>
              </w:rPr>
              <w:t>(h)=(a)-(j)</w:t>
            </w:r>
          </w:p>
        </w:tc>
        <w:tc>
          <w:tcPr>
            <w:tcW w:w="1276" w:type="dxa"/>
            <w:tcBorders>
              <w:top w:val="single" w:sz="4" w:space="0" w:color="auto"/>
              <w:left w:val="nil"/>
              <w:bottom w:val="single" w:sz="4" w:space="0" w:color="auto"/>
              <w:right w:val="single" w:sz="4" w:space="0" w:color="auto"/>
            </w:tcBorders>
            <w:shd w:val="clear" w:color="auto" w:fill="DDD9C3"/>
            <w:vAlign w:val="center"/>
            <w:hideMark/>
          </w:tcPr>
          <w:p w:rsidR="0002588A" w:rsidRPr="006F2E2E" w:rsidRDefault="0002588A" w:rsidP="00F6184C">
            <w:pPr>
              <w:spacing w:after="0" w:line="240" w:lineRule="auto"/>
              <w:jc w:val="center"/>
              <w:rPr>
                <w:rFonts w:ascii="Times New Roman" w:eastAsia="Times New Roman" w:hAnsi="Times New Roman"/>
                <w:b/>
                <w:bCs/>
                <w:color w:val="000000"/>
                <w:sz w:val="16"/>
                <w:szCs w:val="16"/>
                <w:lang w:eastAsia="lt-LT"/>
              </w:rPr>
            </w:pPr>
            <w:r w:rsidRPr="006F2E2E">
              <w:rPr>
                <w:rFonts w:ascii="Times New Roman" w:eastAsia="Times New Roman" w:hAnsi="Times New Roman"/>
                <w:b/>
                <w:bCs/>
                <w:color w:val="000000"/>
                <w:sz w:val="16"/>
                <w:szCs w:val="16"/>
                <w:lang w:eastAsia="lt-LT"/>
              </w:rPr>
              <w:t>(i) = (b) – (k)</w:t>
            </w:r>
          </w:p>
        </w:tc>
        <w:tc>
          <w:tcPr>
            <w:tcW w:w="1134" w:type="dxa"/>
            <w:tcBorders>
              <w:top w:val="single" w:sz="4" w:space="0" w:color="auto"/>
              <w:left w:val="nil"/>
              <w:bottom w:val="single" w:sz="4" w:space="0" w:color="auto"/>
              <w:right w:val="single" w:sz="4" w:space="0" w:color="auto"/>
            </w:tcBorders>
            <w:shd w:val="clear" w:color="auto" w:fill="DDD9C3"/>
            <w:vAlign w:val="center"/>
            <w:hideMark/>
          </w:tcPr>
          <w:p w:rsidR="0002588A" w:rsidRPr="006F2E2E" w:rsidRDefault="0002588A" w:rsidP="00F6184C">
            <w:pPr>
              <w:spacing w:after="0" w:line="240" w:lineRule="auto"/>
              <w:jc w:val="center"/>
              <w:rPr>
                <w:rFonts w:ascii="Times New Roman" w:eastAsia="Times New Roman" w:hAnsi="Times New Roman"/>
                <w:b/>
                <w:bCs/>
                <w:color w:val="000000"/>
                <w:sz w:val="16"/>
                <w:szCs w:val="16"/>
                <w:lang w:eastAsia="lt-LT"/>
              </w:rPr>
            </w:pPr>
            <w:r w:rsidRPr="006F2E2E">
              <w:rPr>
                <w:rFonts w:ascii="Times New Roman" w:eastAsia="Times New Roman" w:hAnsi="Times New Roman"/>
                <w:b/>
                <w:bCs/>
                <w:color w:val="000000"/>
                <w:sz w:val="16"/>
                <w:szCs w:val="16"/>
                <w:lang w:eastAsia="lt-LT"/>
              </w:rPr>
              <w:t>(j)</w:t>
            </w:r>
          </w:p>
        </w:tc>
        <w:tc>
          <w:tcPr>
            <w:tcW w:w="1134" w:type="dxa"/>
            <w:tcBorders>
              <w:top w:val="single" w:sz="4" w:space="0" w:color="auto"/>
              <w:left w:val="nil"/>
              <w:bottom w:val="single" w:sz="4" w:space="0" w:color="auto"/>
              <w:right w:val="single" w:sz="4" w:space="0" w:color="auto"/>
            </w:tcBorders>
            <w:shd w:val="clear" w:color="auto" w:fill="DDD9C3"/>
            <w:vAlign w:val="center"/>
            <w:hideMark/>
          </w:tcPr>
          <w:p w:rsidR="0002588A" w:rsidRPr="006F2E2E" w:rsidRDefault="0002588A" w:rsidP="00F6184C">
            <w:pPr>
              <w:spacing w:after="0" w:line="240" w:lineRule="auto"/>
              <w:jc w:val="center"/>
              <w:rPr>
                <w:rFonts w:ascii="Times New Roman" w:eastAsia="Times New Roman" w:hAnsi="Times New Roman"/>
                <w:b/>
                <w:bCs/>
                <w:color w:val="000000"/>
                <w:sz w:val="16"/>
                <w:szCs w:val="16"/>
                <w:lang w:eastAsia="lt-LT"/>
              </w:rPr>
            </w:pPr>
            <w:r w:rsidRPr="006F2E2E">
              <w:rPr>
                <w:rFonts w:ascii="Times New Roman" w:eastAsia="Times New Roman" w:hAnsi="Times New Roman"/>
                <w:b/>
                <w:bCs/>
                <w:color w:val="000000"/>
                <w:sz w:val="16"/>
                <w:szCs w:val="16"/>
                <w:lang w:eastAsia="lt-LT"/>
              </w:rPr>
              <w:t>(k)= (b) * ((j)/(a</w:t>
            </w:r>
            <w:proofErr w:type="gramStart"/>
            <w:r w:rsidRPr="006F2E2E">
              <w:rPr>
                <w:rFonts w:ascii="Times New Roman" w:eastAsia="Times New Roman" w:hAnsi="Times New Roman"/>
                <w:b/>
                <w:bCs/>
                <w:color w:val="000000"/>
                <w:sz w:val="16"/>
                <w:szCs w:val="16"/>
                <w:lang w:eastAsia="lt-LT"/>
              </w:rPr>
              <w:t>))</w:t>
            </w:r>
            <w:proofErr w:type="gramEnd"/>
          </w:p>
        </w:tc>
        <w:tc>
          <w:tcPr>
            <w:tcW w:w="567" w:type="dxa"/>
            <w:tcBorders>
              <w:top w:val="single" w:sz="4" w:space="0" w:color="auto"/>
              <w:left w:val="nil"/>
              <w:bottom w:val="single" w:sz="4" w:space="0" w:color="auto"/>
              <w:right w:val="single" w:sz="4" w:space="0" w:color="auto"/>
            </w:tcBorders>
            <w:shd w:val="clear" w:color="auto" w:fill="DDD9C3"/>
            <w:vAlign w:val="center"/>
            <w:hideMark/>
          </w:tcPr>
          <w:p w:rsidR="0002588A" w:rsidRPr="006F2E2E" w:rsidRDefault="0002588A" w:rsidP="00F6184C">
            <w:pPr>
              <w:spacing w:after="0" w:line="240" w:lineRule="auto"/>
              <w:jc w:val="center"/>
              <w:rPr>
                <w:rFonts w:ascii="Times New Roman" w:eastAsia="Times New Roman" w:hAnsi="Times New Roman"/>
                <w:b/>
                <w:bCs/>
                <w:color w:val="000000"/>
                <w:sz w:val="16"/>
                <w:szCs w:val="16"/>
                <w:lang w:eastAsia="lt-LT"/>
              </w:rPr>
            </w:pPr>
            <w:r w:rsidRPr="006F2E2E">
              <w:rPr>
                <w:rFonts w:ascii="Times New Roman" w:eastAsia="Times New Roman" w:hAnsi="Times New Roman"/>
                <w:b/>
                <w:bCs/>
                <w:color w:val="000000"/>
                <w:sz w:val="16"/>
                <w:szCs w:val="16"/>
                <w:lang w:eastAsia="lt-LT"/>
              </w:rPr>
              <w:t>(l) =(j)/(a) *100</w:t>
            </w:r>
          </w:p>
        </w:tc>
      </w:tr>
      <w:tr w:rsidR="00372448" w:rsidRPr="00DF1549" w:rsidTr="00650E41">
        <w:trPr>
          <w:trHeight w:val="51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02588A" w:rsidRPr="006F2E2E" w:rsidRDefault="0002588A" w:rsidP="00AA7F36">
            <w:pPr>
              <w:widowControl w:val="0"/>
              <w:tabs>
                <w:tab w:val="left" w:pos="622"/>
              </w:tabs>
              <w:spacing w:after="0" w:line="240" w:lineRule="auto"/>
              <w:rPr>
                <w:rFonts w:ascii="Times New Roman" w:eastAsia="AngsanaUPC" w:hAnsi="Times New Roman"/>
                <w:b/>
                <w:bCs/>
                <w:sz w:val="18"/>
                <w:szCs w:val="18"/>
                <w:lang w:eastAsia="lt-LT"/>
              </w:rPr>
            </w:pPr>
            <w:r w:rsidRPr="006F2E2E">
              <w:rPr>
                <w:rFonts w:ascii="Times New Roman" w:eastAsia="AngsanaUPC" w:hAnsi="Times New Roman"/>
                <w:bCs/>
                <w:sz w:val="18"/>
                <w:szCs w:val="18"/>
                <w:lang w:eastAsia="lt-LT"/>
              </w:rPr>
              <w:t xml:space="preserve">1. </w:t>
            </w:r>
            <w:r w:rsidR="00477633">
              <w:rPr>
                <w:rFonts w:ascii="Times New Roman" w:eastAsia="AngsanaUPC" w:hAnsi="Times New Roman"/>
                <w:bCs/>
                <w:sz w:val="18"/>
                <w:szCs w:val="18"/>
                <w:lang w:eastAsia="lt-LT"/>
              </w:rPr>
              <w:t>MTEPI</w:t>
            </w:r>
            <w:r w:rsidRPr="006F2E2E">
              <w:rPr>
                <w:rFonts w:ascii="Times New Roman" w:eastAsia="AngsanaUPC" w:hAnsi="Times New Roman"/>
                <w:bCs/>
                <w:sz w:val="18"/>
                <w:szCs w:val="18"/>
                <w:lang w:eastAsia="lt-LT"/>
              </w:rPr>
              <w:t xml:space="preserve"> skatinimas</w:t>
            </w:r>
          </w:p>
        </w:tc>
        <w:tc>
          <w:tcPr>
            <w:tcW w:w="850" w:type="dxa"/>
            <w:tcBorders>
              <w:top w:val="nil"/>
              <w:left w:val="nil"/>
              <w:bottom w:val="single" w:sz="4" w:space="0" w:color="auto"/>
              <w:right w:val="single" w:sz="4" w:space="0" w:color="auto"/>
            </w:tcBorders>
            <w:shd w:val="clear" w:color="auto" w:fill="auto"/>
            <w:vAlign w:val="center"/>
            <w:hideMark/>
          </w:tcPr>
          <w:p w:rsidR="0002588A" w:rsidRPr="00DF1549" w:rsidRDefault="0002588A" w:rsidP="00F6184C">
            <w:pPr>
              <w:spacing w:after="0" w:line="240" w:lineRule="auto"/>
              <w:rPr>
                <w:rFonts w:ascii="Times New Roman" w:eastAsia="Times New Roman" w:hAnsi="Times New Roman"/>
                <w:color w:val="000000"/>
                <w:sz w:val="18"/>
                <w:szCs w:val="18"/>
                <w:lang w:eastAsia="lt-LT"/>
              </w:rPr>
            </w:pPr>
            <w:r w:rsidRPr="00DF1549">
              <w:rPr>
                <w:rFonts w:ascii="Times New Roman" w:eastAsia="Times New Roman" w:hAnsi="Times New Roman"/>
                <w:color w:val="000000"/>
                <w:sz w:val="18"/>
                <w:szCs w:val="18"/>
                <w:lang w:eastAsia="lt-LT"/>
              </w:rPr>
              <w:t>ERPF</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02588A" w:rsidRPr="00DF1549" w:rsidRDefault="0002588A" w:rsidP="00F6184C">
            <w:pPr>
              <w:spacing w:after="0" w:line="240" w:lineRule="auto"/>
              <w:rPr>
                <w:rFonts w:ascii="Times New Roman" w:eastAsia="Times New Roman" w:hAnsi="Times New Roman"/>
                <w:color w:val="000000"/>
                <w:sz w:val="18"/>
                <w:szCs w:val="18"/>
                <w:lang w:eastAsia="lt-LT"/>
              </w:rPr>
            </w:pPr>
            <w:r w:rsidRPr="00DF1549">
              <w:rPr>
                <w:rFonts w:ascii="Times New Roman" w:eastAsia="Times New Roman" w:hAnsi="Times New Roman"/>
                <w:color w:val="000000"/>
                <w:sz w:val="18"/>
                <w:szCs w:val="18"/>
                <w:lang w:eastAsia="lt-LT"/>
              </w:rPr>
              <w:t>Bendros tinkamos išlaidos</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02588A" w:rsidRPr="004E77F7" w:rsidRDefault="003F7EE8" w:rsidP="00372448">
            <w:pPr>
              <w:spacing w:after="0" w:line="240" w:lineRule="auto"/>
              <w:jc w:val="right"/>
              <w:rPr>
                <w:rFonts w:ascii="Times New Roman" w:eastAsia="Times New Roman" w:hAnsi="Times New Roman"/>
                <w:color w:val="000000"/>
                <w:sz w:val="18"/>
                <w:szCs w:val="18"/>
                <w:lang w:eastAsia="lt-LT"/>
              </w:rPr>
            </w:pPr>
            <w:r w:rsidRPr="004E77F7">
              <w:rPr>
                <w:rFonts w:ascii="Times New Roman" w:eastAsia="Times New Roman" w:hAnsi="Times New Roman"/>
                <w:color w:val="000000"/>
                <w:sz w:val="18"/>
                <w:szCs w:val="18"/>
                <w:lang w:eastAsia="lt-LT"/>
              </w:rPr>
              <w:t>655.928.835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2588A" w:rsidRPr="004E77F7" w:rsidRDefault="00FF5D67" w:rsidP="00741862">
            <w:pPr>
              <w:spacing w:after="0" w:line="240" w:lineRule="auto"/>
              <w:jc w:val="right"/>
              <w:rPr>
                <w:rFonts w:ascii="Times New Roman" w:eastAsia="Times New Roman" w:hAnsi="Times New Roman"/>
                <w:color w:val="000000"/>
                <w:sz w:val="18"/>
                <w:szCs w:val="18"/>
                <w:lang w:eastAsia="lt-LT"/>
              </w:rPr>
            </w:pPr>
            <w:r w:rsidRPr="004E77F7">
              <w:rPr>
                <w:rFonts w:ascii="Times New Roman" w:eastAsia="Times New Roman" w:hAnsi="Times New Roman"/>
                <w:color w:val="000000"/>
                <w:sz w:val="18"/>
                <w:szCs w:val="18"/>
                <w:lang w:eastAsia="lt-LT"/>
              </w:rPr>
              <w:t>1</w:t>
            </w:r>
            <w:r w:rsidR="00741862" w:rsidRPr="004E77F7">
              <w:rPr>
                <w:rFonts w:ascii="Times New Roman" w:eastAsia="Times New Roman" w:hAnsi="Times New Roman"/>
                <w:color w:val="000000"/>
                <w:sz w:val="18"/>
                <w:szCs w:val="18"/>
                <w:lang w:eastAsia="lt-LT"/>
              </w:rPr>
              <w:t>15.752.1</w:t>
            </w:r>
            <w:r w:rsidR="0002588A" w:rsidRPr="004E77F7">
              <w:rPr>
                <w:rFonts w:ascii="Times New Roman" w:eastAsia="Times New Roman" w:hAnsi="Times New Roman"/>
                <w:color w:val="000000"/>
                <w:sz w:val="18"/>
                <w:szCs w:val="18"/>
                <w:lang w:eastAsia="lt-LT"/>
              </w:rPr>
              <w:t>48</w:t>
            </w:r>
          </w:p>
        </w:tc>
        <w:tc>
          <w:tcPr>
            <w:tcW w:w="1134" w:type="dxa"/>
            <w:tcBorders>
              <w:top w:val="single" w:sz="4" w:space="0" w:color="auto"/>
              <w:left w:val="nil"/>
              <w:bottom w:val="single" w:sz="4" w:space="0" w:color="auto"/>
              <w:right w:val="single" w:sz="4" w:space="0" w:color="auto"/>
            </w:tcBorders>
            <w:vAlign w:val="center"/>
          </w:tcPr>
          <w:p w:rsidR="0002588A" w:rsidRPr="004E77F7" w:rsidRDefault="0002588A" w:rsidP="00372448">
            <w:pPr>
              <w:spacing w:after="0" w:line="240" w:lineRule="auto"/>
              <w:jc w:val="right"/>
              <w:rPr>
                <w:rFonts w:ascii="Times New Roman" w:hAnsi="Times New Roman"/>
                <w:sz w:val="18"/>
                <w:szCs w:val="18"/>
              </w:rPr>
            </w:pPr>
            <w:r w:rsidRPr="004E77F7">
              <w:rPr>
                <w:rFonts w:ascii="Times New Roman" w:hAnsi="Times New Roman"/>
                <w:sz w:val="18"/>
                <w:szCs w:val="18"/>
              </w:rPr>
              <w:t>0</w:t>
            </w:r>
          </w:p>
        </w:tc>
        <w:tc>
          <w:tcPr>
            <w:tcW w:w="1134" w:type="dxa"/>
            <w:tcBorders>
              <w:top w:val="single" w:sz="4" w:space="0" w:color="auto"/>
              <w:left w:val="single" w:sz="4" w:space="0" w:color="auto"/>
              <w:bottom w:val="single" w:sz="4" w:space="0" w:color="auto"/>
              <w:right w:val="single" w:sz="4" w:space="0" w:color="auto"/>
            </w:tcBorders>
            <w:vAlign w:val="center"/>
          </w:tcPr>
          <w:p w:rsidR="0002588A" w:rsidRPr="004E77F7" w:rsidRDefault="0002588A" w:rsidP="00FF5D67">
            <w:pPr>
              <w:spacing w:after="0" w:line="240" w:lineRule="auto"/>
              <w:jc w:val="right"/>
              <w:rPr>
                <w:rFonts w:ascii="Times New Roman" w:hAnsi="Times New Roman"/>
                <w:sz w:val="18"/>
                <w:szCs w:val="18"/>
              </w:rPr>
            </w:pPr>
            <w:r w:rsidRPr="004E77F7">
              <w:rPr>
                <w:rFonts w:ascii="Times New Roman" w:hAnsi="Times New Roman"/>
                <w:sz w:val="18"/>
                <w:szCs w:val="18"/>
              </w:rPr>
              <w:t>1</w:t>
            </w:r>
            <w:r w:rsidR="00741862" w:rsidRPr="004E77F7">
              <w:rPr>
                <w:rFonts w:ascii="Times New Roman" w:hAnsi="Times New Roman"/>
                <w:sz w:val="18"/>
                <w:szCs w:val="18"/>
              </w:rPr>
              <w:t>15</w:t>
            </w:r>
            <w:r w:rsidRPr="004E77F7">
              <w:rPr>
                <w:rFonts w:ascii="Times New Roman" w:hAnsi="Times New Roman"/>
                <w:sz w:val="18"/>
                <w:szCs w:val="18"/>
              </w:rPr>
              <w:t>.</w:t>
            </w:r>
            <w:r w:rsidR="00741862" w:rsidRPr="004E77F7">
              <w:rPr>
                <w:rFonts w:ascii="Times New Roman" w:hAnsi="Times New Roman"/>
                <w:sz w:val="18"/>
                <w:szCs w:val="18"/>
              </w:rPr>
              <w:t>752</w:t>
            </w:r>
            <w:r w:rsidRPr="004E77F7">
              <w:rPr>
                <w:rFonts w:ascii="Times New Roman" w:hAnsi="Times New Roman"/>
                <w:sz w:val="18"/>
                <w:szCs w:val="18"/>
              </w:rPr>
              <w:t>.</w:t>
            </w:r>
            <w:r w:rsidR="00741862" w:rsidRPr="004E77F7">
              <w:rPr>
                <w:rFonts w:ascii="Times New Roman" w:hAnsi="Times New Roman"/>
                <w:sz w:val="18"/>
                <w:szCs w:val="18"/>
              </w:rPr>
              <w:t>1</w:t>
            </w:r>
            <w:r w:rsidRPr="004E77F7">
              <w:rPr>
                <w:rFonts w:ascii="Times New Roman" w:hAnsi="Times New Roman"/>
                <w:sz w:val="18"/>
                <w:szCs w:val="18"/>
              </w:rPr>
              <w:t>48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588A" w:rsidRPr="004E77F7" w:rsidRDefault="00741862" w:rsidP="00372448">
            <w:pPr>
              <w:spacing w:after="0" w:line="240" w:lineRule="auto"/>
              <w:jc w:val="right"/>
              <w:rPr>
                <w:rFonts w:ascii="Times New Roman" w:eastAsia="Times New Roman" w:hAnsi="Times New Roman"/>
                <w:color w:val="000000"/>
                <w:sz w:val="18"/>
                <w:szCs w:val="18"/>
                <w:lang w:eastAsia="lt-LT"/>
              </w:rPr>
            </w:pPr>
            <w:r w:rsidRPr="004E77F7">
              <w:rPr>
                <w:rFonts w:ascii="Times New Roman" w:eastAsia="Times New Roman" w:hAnsi="Times New Roman"/>
                <w:color w:val="000000"/>
                <w:sz w:val="18"/>
                <w:szCs w:val="18"/>
                <w:lang w:eastAsia="lt-LT"/>
              </w:rPr>
              <w:t>771.680.983</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2588A" w:rsidRPr="004E77F7" w:rsidRDefault="00C93D87" w:rsidP="00372448">
            <w:pPr>
              <w:spacing w:after="0" w:line="240" w:lineRule="auto"/>
              <w:jc w:val="right"/>
              <w:rPr>
                <w:rFonts w:ascii="Times New Roman" w:eastAsia="Times New Roman" w:hAnsi="Times New Roman"/>
                <w:color w:val="000000"/>
                <w:sz w:val="18"/>
                <w:szCs w:val="18"/>
                <w:lang w:eastAsia="lt-LT"/>
              </w:rPr>
            </w:pPr>
            <w:r w:rsidRPr="004E77F7">
              <w:rPr>
                <w:rFonts w:ascii="Times New Roman" w:eastAsia="Times New Roman" w:hAnsi="Times New Roman"/>
                <w:color w:val="000000"/>
                <w:sz w:val="18"/>
                <w:szCs w:val="18"/>
                <w:lang w:eastAsia="lt-LT"/>
              </w:rPr>
              <w:t>85,00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02588A" w:rsidRPr="004E77F7" w:rsidRDefault="00A50C23" w:rsidP="00372448">
            <w:pPr>
              <w:spacing w:after="0" w:line="240" w:lineRule="auto"/>
              <w:jc w:val="right"/>
              <w:rPr>
                <w:rFonts w:ascii="Times New Roman" w:eastAsia="Times New Roman" w:hAnsi="Times New Roman"/>
                <w:color w:val="000000"/>
                <w:sz w:val="18"/>
                <w:szCs w:val="18"/>
                <w:lang w:eastAsia="lt-LT"/>
              </w:rPr>
            </w:pPr>
            <w:r w:rsidRPr="004E77F7">
              <w:rPr>
                <w:rFonts w:ascii="Times New Roman" w:eastAsia="Times New Roman" w:hAnsi="Times New Roman"/>
                <w:color w:val="000000"/>
                <w:sz w:val="18"/>
                <w:szCs w:val="18"/>
                <w:lang w:eastAsia="lt-LT"/>
              </w:rPr>
              <w: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2588A" w:rsidRPr="004E77F7" w:rsidRDefault="0002588A" w:rsidP="00741862">
            <w:pPr>
              <w:spacing w:after="0" w:line="240" w:lineRule="auto"/>
              <w:jc w:val="right"/>
              <w:rPr>
                <w:rFonts w:ascii="Times New Roman" w:eastAsia="Times New Roman" w:hAnsi="Times New Roman"/>
                <w:color w:val="000000"/>
                <w:sz w:val="18"/>
                <w:szCs w:val="18"/>
                <w:lang w:eastAsia="lt-LT"/>
              </w:rPr>
            </w:pPr>
            <w:r w:rsidRPr="004E77F7">
              <w:rPr>
                <w:rFonts w:ascii="Times New Roman" w:eastAsia="Times New Roman" w:hAnsi="Times New Roman"/>
                <w:color w:val="000000"/>
                <w:sz w:val="18"/>
                <w:szCs w:val="18"/>
                <w:lang w:eastAsia="lt-LT"/>
              </w:rPr>
              <w:t>6</w:t>
            </w:r>
            <w:r w:rsidR="00741862" w:rsidRPr="004E77F7">
              <w:rPr>
                <w:rFonts w:ascii="Times New Roman" w:eastAsia="Times New Roman" w:hAnsi="Times New Roman"/>
                <w:color w:val="000000"/>
                <w:sz w:val="18"/>
                <w:szCs w:val="18"/>
                <w:lang w:eastAsia="lt-LT"/>
              </w:rPr>
              <w:t>16</w:t>
            </w:r>
            <w:r w:rsidRPr="004E77F7">
              <w:rPr>
                <w:rFonts w:ascii="Times New Roman" w:eastAsia="Times New Roman" w:hAnsi="Times New Roman"/>
                <w:color w:val="000000"/>
                <w:sz w:val="18"/>
                <w:szCs w:val="18"/>
                <w:lang w:eastAsia="lt-LT"/>
              </w:rPr>
              <w:t>.</w:t>
            </w:r>
            <w:r w:rsidR="00741862" w:rsidRPr="004E77F7">
              <w:rPr>
                <w:rFonts w:ascii="Times New Roman" w:eastAsia="Times New Roman" w:hAnsi="Times New Roman"/>
                <w:color w:val="000000"/>
                <w:sz w:val="18"/>
                <w:szCs w:val="18"/>
                <w:lang w:eastAsia="lt-LT"/>
              </w:rPr>
              <w:t>573</w:t>
            </w:r>
            <w:r w:rsidRPr="004E77F7">
              <w:rPr>
                <w:rFonts w:ascii="Times New Roman" w:eastAsia="Times New Roman" w:hAnsi="Times New Roman"/>
                <w:color w:val="000000"/>
                <w:sz w:val="18"/>
                <w:szCs w:val="18"/>
                <w:lang w:eastAsia="lt-LT"/>
              </w:rPr>
              <w:t>.105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2588A" w:rsidRPr="004E77F7" w:rsidRDefault="00741862" w:rsidP="00FF5D67">
            <w:pPr>
              <w:spacing w:after="0" w:line="240" w:lineRule="auto"/>
              <w:jc w:val="right"/>
              <w:rPr>
                <w:rFonts w:ascii="Times New Roman" w:eastAsia="Times New Roman" w:hAnsi="Times New Roman"/>
                <w:color w:val="000000"/>
                <w:sz w:val="18"/>
                <w:szCs w:val="18"/>
                <w:lang w:eastAsia="lt-LT"/>
              </w:rPr>
            </w:pPr>
            <w:r w:rsidRPr="004E77F7">
              <w:rPr>
                <w:rFonts w:ascii="Times New Roman" w:eastAsia="Times New Roman" w:hAnsi="Times New Roman"/>
                <w:color w:val="000000"/>
                <w:sz w:val="18"/>
                <w:szCs w:val="18"/>
                <w:lang w:eastAsia="lt-LT"/>
              </w:rPr>
              <w:t>108</w:t>
            </w:r>
            <w:r w:rsidR="0002588A" w:rsidRPr="004E77F7">
              <w:rPr>
                <w:rFonts w:ascii="Times New Roman" w:eastAsia="Times New Roman" w:hAnsi="Times New Roman"/>
                <w:color w:val="000000"/>
                <w:sz w:val="18"/>
                <w:szCs w:val="18"/>
                <w:lang w:eastAsia="lt-LT"/>
              </w:rPr>
              <w:t>.</w:t>
            </w:r>
            <w:r w:rsidRPr="004E77F7">
              <w:rPr>
                <w:rFonts w:ascii="Times New Roman" w:eastAsia="Times New Roman" w:hAnsi="Times New Roman"/>
                <w:color w:val="000000"/>
                <w:sz w:val="18"/>
                <w:szCs w:val="18"/>
                <w:lang w:eastAsia="lt-LT"/>
              </w:rPr>
              <w:t>807</w:t>
            </w:r>
            <w:r w:rsidR="0002588A" w:rsidRPr="004E77F7">
              <w:rPr>
                <w:rFonts w:ascii="Times New Roman" w:eastAsia="Times New Roman" w:hAnsi="Times New Roman"/>
                <w:color w:val="000000"/>
                <w:sz w:val="18"/>
                <w:szCs w:val="18"/>
                <w:lang w:eastAsia="lt-LT"/>
              </w:rPr>
              <w:t>.</w:t>
            </w:r>
            <w:r w:rsidRPr="004E77F7">
              <w:rPr>
                <w:rFonts w:ascii="Times New Roman" w:eastAsia="Times New Roman" w:hAnsi="Times New Roman"/>
                <w:color w:val="000000"/>
                <w:sz w:val="18"/>
                <w:szCs w:val="18"/>
                <w:lang w:eastAsia="lt-LT"/>
              </w:rPr>
              <w:t>019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2588A" w:rsidRPr="004E77F7" w:rsidRDefault="00741862" w:rsidP="00FF5D67">
            <w:pPr>
              <w:spacing w:after="0" w:line="240" w:lineRule="auto"/>
              <w:jc w:val="right"/>
              <w:rPr>
                <w:rFonts w:ascii="Times New Roman" w:eastAsia="Times New Roman" w:hAnsi="Times New Roman"/>
                <w:color w:val="000000"/>
                <w:sz w:val="18"/>
                <w:szCs w:val="18"/>
                <w:lang w:eastAsia="lt-LT"/>
              </w:rPr>
            </w:pPr>
            <w:r w:rsidRPr="004E77F7">
              <w:rPr>
                <w:rFonts w:ascii="Times New Roman" w:eastAsia="Times New Roman" w:hAnsi="Times New Roman"/>
                <w:color w:val="000000"/>
                <w:sz w:val="18"/>
                <w:szCs w:val="18"/>
                <w:lang w:eastAsia="lt-LT"/>
              </w:rPr>
              <w:t>39</w:t>
            </w:r>
            <w:r w:rsidR="0002588A" w:rsidRPr="004E77F7">
              <w:rPr>
                <w:rFonts w:ascii="Times New Roman" w:eastAsia="Times New Roman" w:hAnsi="Times New Roman"/>
                <w:color w:val="000000"/>
                <w:sz w:val="18"/>
                <w:szCs w:val="18"/>
                <w:lang w:eastAsia="lt-LT"/>
              </w:rPr>
              <w:t>.</w:t>
            </w:r>
            <w:r w:rsidRPr="004E77F7">
              <w:rPr>
                <w:rFonts w:ascii="Times New Roman" w:eastAsia="Times New Roman" w:hAnsi="Times New Roman"/>
                <w:color w:val="000000"/>
                <w:sz w:val="18"/>
                <w:szCs w:val="18"/>
                <w:lang w:eastAsia="lt-LT"/>
              </w:rPr>
              <w:t>355</w:t>
            </w:r>
            <w:r w:rsidR="0002588A" w:rsidRPr="004E77F7">
              <w:rPr>
                <w:rFonts w:ascii="Times New Roman" w:eastAsia="Times New Roman" w:hAnsi="Times New Roman"/>
                <w:color w:val="000000"/>
                <w:sz w:val="18"/>
                <w:szCs w:val="18"/>
                <w:lang w:eastAsia="lt-LT"/>
              </w:rPr>
              <w:t>.730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2588A" w:rsidRPr="004E77F7" w:rsidRDefault="00741862" w:rsidP="00FF5D67">
            <w:pPr>
              <w:spacing w:after="0" w:line="240" w:lineRule="auto"/>
              <w:jc w:val="right"/>
              <w:rPr>
                <w:rFonts w:ascii="Times New Roman" w:eastAsia="Times New Roman" w:hAnsi="Times New Roman"/>
                <w:color w:val="000000"/>
                <w:sz w:val="18"/>
                <w:szCs w:val="18"/>
                <w:lang w:eastAsia="lt-LT"/>
              </w:rPr>
            </w:pPr>
            <w:r w:rsidRPr="004E77F7">
              <w:rPr>
                <w:rFonts w:ascii="Times New Roman" w:eastAsia="Times New Roman" w:hAnsi="Times New Roman"/>
                <w:color w:val="000000"/>
                <w:sz w:val="18"/>
                <w:szCs w:val="18"/>
                <w:lang w:eastAsia="lt-LT"/>
              </w:rPr>
              <w:t>6</w:t>
            </w:r>
            <w:r w:rsidR="0002588A" w:rsidRPr="004E77F7">
              <w:rPr>
                <w:rFonts w:ascii="Times New Roman" w:eastAsia="Times New Roman" w:hAnsi="Times New Roman"/>
                <w:color w:val="000000"/>
                <w:sz w:val="18"/>
                <w:szCs w:val="18"/>
                <w:lang w:eastAsia="lt-LT"/>
              </w:rPr>
              <w:t>.</w:t>
            </w:r>
            <w:r w:rsidRPr="004E77F7">
              <w:rPr>
                <w:rFonts w:ascii="Times New Roman" w:eastAsia="Times New Roman" w:hAnsi="Times New Roman"/>
                <w:color w:val="000000"/>
                <w:sz w:val="18"/>
                <w:szCs w:val="18"/>
                <w:lang w:eastAsia="lt-LT"/>
              </w:rPr>
              <w:t>945</w:t>
            </w:r>
            <w:r w:rsidR="0002588A" w:rsidRPr="004E77F7">
              <w:rPr>
                <w:rFonts w:ascii="Times New Roman" w:eastAsia="Times New Roman" w:hAnsi="Times New Roman"/>
                <w:color w:val="000000"/>
                <w:sz w:val="18"/>
                <w:szCs w:val="18"/>
                <w:lang w:eastAsia="lt-LT"/>
              </w:rPr>
              <w:t>.</w:t>
            </w:r>
            <w:r w:rsidRPr="004E77F7">
              <w:rPr>
                <w:rFonts w:ascii="Times New Roman" w:eastAsia="Times New Roman" w:hAnsi="Times New Roman"/>
                <w:color w:val="000000"/>
                <w:sz w:val="18"/>
                <w:szCs w:val="18"/>
                <w:lang w:eastAsia="lt-LT"/>
              </w:rPr>
              <w:t>129</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2588A" w:rsidRPr="00DF1549" w:rsidRDefault="00372448" w:rsidP="00F6184C">
            <w:pPr>
              <w:spacing w:after="0" w:line="240" w:lineRule="auto"/>
              <w:jc w:val="right"/>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6,00</w:t>
            </w:r>
          </w:p>
        </w:tc>
      </w:tr>
      <w:tr w:rsidR="003425A4" w:rsidRPr="00DF1549" w:rsidTr="00650E41">
        <w:trPr>
          <w:trHeight w:val="51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3425A4" w:rsidRPr="006F2E2E" w:rsidRDefault="003425A4" w:rsidP="00AA7F36">
            <w:pPr>
              <w:widowControl w:val="0"/>
              <w:tabs>
                <w:tab w:val="left" w:pos="622"/>
              </w:tabs>
              <w:spacing w:after="0" w:line="240" w:lineRule="auto"/>
              <w:rPr>
                <w:rFonts w:ascii="Times New Roman" w:eastAsia="AngsanaUPC" w:hAnsi="Times New Roman"/>
                <w:bCs/>
                <w:sz w:val="18"/>
                <w:szCs w:val="18"/>
                <w:lang w:eastAsia="lt-LT"/>
              </w:rPr>
            </w:pPr>
            <w:r w:rsidRPr="006F2E2E">
              <w:rPr>
                <w:rFonts w:ascii="Times New Roman" w:hAnsi="Times New Roman"/>
                <w:sz w:val="18"/>
                <w:szCs w:val="18"/>
              </w:rPr>
              <w:t>2. Informacinės visuomenės skatinimas</w:t>
            </w:r>
          </w:p>
        </w:tc>
        <w:tc>
          <w:tcPr>
            <w:tcW w:w="850" w:type="dxa"/>
            <w:tcBorders>
              <w:top w:val="nil"/>
              <w:left w:val="nil"/>
              <w:bottom w:val="single" w:sz="4" w:space="0" w:color="auto"/>
              <w:right w:val="single" w:sz="4" w:space="0" w:color="auto"/>
            </w:tcBorders>
            <w:shd w:val="clear" w:color="auto" w:fill="auto"/>
            <w:vAlign w:val="center"/>
            <w:hideMark/>
          </w:tcPr>
          <w:p w:rsidR="003425A4" w:rsidRPr="00DF1549" w:rsidRDefault="003425A4" w:rsidP="00F6184C">
            <w:pPr>
              <w:spacing w:after="0" w:line="240" w:lineRule="auto"/>
              <w:jc w:val="both"/>
              <w:rPr>
                <w:rFonts w:ascii="Times New Roman" w:eastAsia="Times New Roman" w:hAnsi="Times New Roman"/>
                <w:color w:val="000000"/>
                <w:sz w:val="18"/>
                <w:szCs w:val="18"/>
                <w:lang w:eastAsia="lt-LT"/>
              </w:rPr>
            </w:pPr>
            <w:r w:rsidRPr="00DF1549">
              <w:rPr>
                <w:rFonts w:ascii="Times New Roman" w:eastAsia="Times New Roman" w:hAnsi="Times New Roman"/>
                <w:color w:val="000000"/>
                <w:sz w:val="18"/>
                <w:szCs w:val="18"/>
                <w:lang w:eastAsia="lt-LT"/>
              </w:rPr>
              <w:t>ERPF</w:t>
            </w:r>
          </w:p>
        </w:tc>
        <w:tc>
          <w:tcPr>
            <w:tcW w:w="993" w:type="dxa"/>
            <w:tcBorders>
              <w:top w:val="nil"/>
              <w:left w:val="nil"/>
              <w:bottom w:val="single" w:sz="4" w:space="0" w:color="auto"/>
              <w:right w:val="single" w:sz="4" w:space="0" w:color="auto"/>
            </w:tcBorders>
            <w:shd w:val="clear" w:color="auto" w:fill="auto"/>
            <w:vAlign w:val="center"/>
            <w:hideMark/>
          </w:tcPr>
          <w:p w:rsidR="003425A4" w:rsidRPr="00DF1549" w:rsidRDefault="003425A4" w:rsidP="00F6184C">
            <w:pPr>
              <w:spacing w:after="0" w:line="240" w:lineRule="auto"/>
              <w:rPr>
                <w:rFonts w:ascii="Times New Roman" w:eastAsia="Times New Roman" w:hAnsi="Times New Roman"/>
                <w:color w:val="000000"/>
                <w:sz w:val="18"/>
                <w:szCs w:val="18"/>
                <w:lang w:eastAsia="lt-LT"/>
              </w:rPr>
            </w:pPr>
            <w:r w:rsidRPr="00DF1549">
              <w:rPr>
                <w:rFonts w:ascii="Times New Roman" w:eastAsia="Times New Roman" w:hAnsi="Times New Roman"/>
                <w:color w:val="000000"/>
                <w:sz w:val="18"/>
                <w:szCs w:val="18"/>
                <w:lang w:eastAsia="lt-LT"/>
              </w:rPr>
              <w:t>Bendros tinkamos išlaidos</w:t>
            </w:r>
          </w:p>
        </w:tc>
        <w:tc>
          <w:tcPr>
            <w:tcW w:w="1275" w:type="dxa"/>
            <w:tcBorders>
              <w:top w:val="nil"/>
              <w:left w:val="nil"/>
              <w:bottom w:val="single" w:sz="4" w:space="0" w:color="auto"/>
              <w:right w:val="single" w:sz="4" w:space="0" w:color="auto"/>
            </w:tcBorders>
            <w:shd w:val="clear" w:color="auto" w:fill="auto"/>
            <w:vAlign w:val="center"/>
            <w:hideMark/>
          </w:tcPr>
          <w:p w:rsidR="003425A4" w:rsidRPr="004E77F7" w:rsidRDefault="003425A4" w:rsidP="003F7EE8">
            <w:pPr>
              <w:spacing w:after="0" w:line="240" w:lineRule="auto"/>
              <w:jc w:val="right"/>
              <w:rPr>
                <w:rFonts w:ascii="Times New Roman" w:eastAsia="Times New Roman" w:hAnsi="Times New Roman"/>
                <w:strike/>
                <w:color w:val="000000"/>
                <w:sz w:val="18"/>
                <w:szCs w:val="18"/>
                <w:lang w:eastAsia="lt-LT"/>
              </w:rPr>
            </w:pPr>
            <w:r w:rsidRPr="004E77F7">
              <w:rPr>
                <w:rFonts w:ascii="Times New Roman" w:eastAsia="Times New Roman" w:hAnsi="Times New Roman"/>
                <w:color w:val="000000"/>
                <w:sz w:val="18"/>
                <w:szCs w:val="18"/>
                <w:lang w:eastAsia="lt-LT"/>
              </w:rPr>
              <w:t>18</w:t>
            </w:r>
            <w:r w:rsidR="003F7EE8" w:rsidRPr="004E77F7">
              <w:rPr>
                <w:rFonts w:ascii="Times New Roman" w:eastAsia="Times New Roman" w:hAnsi="Times New Roman"/>
                <w:color w:val="000000"/>
                <w:sz w:val="18"/>
                <w:szCs w:val="18"/>
                <w:lang w:eastAsia="lt-LT"/>
              </w:rPr>
              <w:t>0</w:t>
            </w:r>
            <w:r w:rsidRPr="004E77F7">
              <w:rPr>
                <w:rFonts w:ascii="Times New Roman" w:eastAsia="Times New Roman" w:hAnsi="Times New Roman"/>
                <w:color w:val="000000"/>
                <w:sz w:val="18"/>
                <w:szCs w:val="18"/>
                <w:lang w:eastAsia="lt-LT"/>
              </w:rPr>
              <w:t>.</w:t>
            </w:r>
            <w:r w:rsidR="00FF5D67" w:rsidRPr="004E77F7">
              <w:rPr>
                <w:rFonts w:ascii="Times New Roman" w:eastAsia="Times New Roman" w:hAnsi="Times New Roman"/>
                <w:color w:val="000000"/>
                <w:sz w:val="18"/>
                <w:szCs w:val="18"/>
                <w:lang w:eastAsia="lt-LT"/>
              </w:rPr>
              <w:t>287</w:t>
            </w:r>
            <w:r w:rsidRPr="004E77F7">
              <w:rPr>
                <w:rFonts w:ascii="Times New Roman" w:eastAsia="Times New Roman" w:hAnsi="Times New Roman"/>
                <w:color w:val="000000"/>
                <w:sz w:val="18"/>
                <w:szCs w:val="18"/>
                <w:lang w:eastAsia="lt-LT"/>
              </w:rPr>
              <w:t>.284</w:t>
            </w:r>
          </w:p>
        </w:tc>
        <w:tc>
          <w:tcPr>
            <w:tcW w:w="1276" w:type="dxa"/>
            <w:tcBorders>
              <w:top w:val="nil"/>
              <w:left w:val="nil"/>
              <w:bottom w:val="single" w:sz="4" w:space="0" w:color="auto"/>
              <w:right w:val="single" w:sz="4" w:space="0" w:color="auto"/>
            </w:tcBorders>
            <w:shd w:val="clear" w:color="auto" w:fill="auto"/>
            <w:vAlign w:val="center"/>
            <w:hideMark/>
          </w:tcPr>
          <w:p w:rsidR="003425A4" w:rsidRPr="004E77F7" w:rsidRDefault="003425A4" w:rsidP="00741862">
            <w:pPr>
              <w:spacing w:after="0" w:line="240" w:lineRule="auto"/>
              <w:jc w:val="right"/>
              <w:rPr>
                <w:rFonts w:ascii="Times New Roman" w:eastAsia="Times New Roman" w:hAnsi="Times New Roman"/>
                <w:strike/>
                <w:color w:val="000000"/>
                <w:sz w:val="18"/>
                <w:szCs w:val="18"/>
                <w:lang w:eastAsia="lt-LT"/>
              </w:rPr>
            </w:pPr>
            <w:r w:rsidRPr="004E77F7">
              <w:rPr>
                <w:rFonts w:ascii="Times New Roman" w:eastAsia="Times New Roman" w:hAnsi="Times New Roman"/>
                <w:color w:val="000000"/>
                <w:sz w:val="18"/>
                <w:szCs w:val="18"/>
                <w:lang w:eastAsia="lt-LT"/>
              </w:rPr>
              <w:t>3</w:t>
            </w:r>
            <w:r w:rsidR="00741862" w:rsidRPr="004E77F7">
              <w:rPr>
                <w:rFonts w:ascii="Times New Roman" w:eastAsia="Times New Roman" w:hAnsi="Times New Roman"/>
                <w:color w:val="000000"/>
                <w:sz w:val="18"/>
                <w:szCs w:val="18"/>
                <w:lang w:eastAsia="lt-LT"/>
              </w:rPr>
              <w:t>1</w:t>
            </w:r>
            <w:r w:rsidRPr="004E77F7">
              <w:rPr>
                <w:rFonts w:ascii="Times New Roman" w:eastAsia="Times New Roman" w:hAnsi="Times New Roman"/>
                <w:color w:val="000000"/>
                <w:sz w:val="18"/>
                <w:szCs w:val="18"/>
                <w:lang w:eastAsia="lt-LT"/>
              </w:rPr>
              <w:t>.</w:t>
            </w:r>
            <w:r w:rsidR="00741862" w:rsidRPr="004E77F7">
              <w:rPr>
                <w:rFonts w:ascii="Times New Roman" w:eastAsia="Times New Roman" w:hAnsi="Times New Roman"/>
                <w:color w:val="000000"/>
                <w:sz w:val="18"/>
                <w:szCs w:val="18"/>
                <w:lang w:eastAsia="lt-LT"/>
              </w:rPr>
              <w:t>815</w:t>
            </w:r>
            <w:r w:rsidRPr="004E77F7">
              <w:rPr>
                <w:rFonts w:ascii="Times New Roman" w:eastAsia="Times New Roman" w:hAnsi="Times New Roman"/>
                <w:color w:val="000000"/>
                <w:sz w:val="18"/>
                <w:szCs w:val="18"/>
                <w:lang w:eastAsia="lt-LT"/>
              </w:rPr>
              <w:t>.</w:t>
            </w:r>
            <w:r w:rsidR="00741862" w:rsidRPr="004E77F7">
              <w:rPr>
                <w:rFonts w:ascii="Times New Roman" w:eastAsia="Times New Roman" w:hAnsi="Times New Roman"/>
                <w:color w:val="000000"/>
                <w:sz w:val="18"/>
                <w:szCs w:val="18"/>
                <w:lang w:eastAsia="lt-LT"/>
              </w:rPr>
              <w:t>404</w:t>
            </w:r>
          </w:p>
        </w:tc>
        <w:tc>
          <w:tcPr>
            <w:tcW w:w="1134" w:type="dxa"/>
            <w:tcBorders>
              <w:top w:val="single" w:sz="4" w:space="0" w:color="auto"/>
              <w:left w:val="nil"/>
              <w:bottom w:val="single" w:sz="4" w:space="0" w:color="auto"/>
              <w:right w:val="single" w:sz="4" w:space="0" w:color="auto"/>
            </w:tcBorders>
            <w:vAlign w:val="center"/>
          </w:tcPr>
          <w:p w:rsidR="003425A4" w:rsidRPr="004E77F7" w:rsidRDefault="00741862" w:rsidP="00741862">
            <w:pPr>
              <w:spacing w:after="0" w:line="240" w:lineRule="auto"/>
              <w:jc w:val="right"/>
              <w:rPr>
                <w:rFonts w:ascii="Times New Roman" w:eastAsia="Times New Roman" w:hAnsi="Times New Roman"/>
                <w:sz w:val="18"/>
                <w:szCs w:val="18"/>
              </w:rPr>
            </w:pPr>
            <w:r w:rsidRPr="004E77F7">
              <w:rPr>
                <w:rFonts w:ascii="Times New Roman" w:eastAsia="Times New Roman" w:hAnsi="Times New Roman"/>
                <w:color w:val="000000"/>
                <w:sz w:val="18"/>
                <w:szCs w:val="18"/>
                <w:lang w:eastAsia="lt-LT"/>
              </w:rPr>
              <w:t>31</w:t>
            </w:r>
            <w:r w:rsidR="003425A4" w:rsidRPr="004E77F7">
              <w:rPr>
                <w:rFonts w:ascii="Times New Roman" w:eastAsia="Times New Roman" w:hAnsi="Times New Roman"/>
                <w:color w:val="000000"/>
                <w:sz w:val="18"/>
                <w:szCs w:val="18"/>
                <w:lang w:eastAsia="lt-LT"/>
              </w:rPr>
              <w:t>.</w:t>
            </w:r>
            <w:r w:rsidRPr="004E77F7">
              <w:rPr>
                <w:rFonts w:ascii="Times New Roman" w:eastAsia="Times New Roman" w:hAnsi="Times New Roman"/>
                <w:color w:val="000000"/>
                <w:sz w:val="18"/>
                <w:szCs w:val="18"/>
                <w:lang w:eastAsia="lt-LT"/>
              </w:rPr>
              <w:t>716</w:t>
            </w:r>
            <w:r w:rsidR="003425A4" w:rsidRPr="004E77F7">
              <w:rPr>
                <w:rFonts w:ascii="Times New Roman" w:eastAsia="Times New Roman" w:hAnsi="Times New Roman"/>
                <w:color w:val="000000"/>
                <w:sz w:val="18"/>
                <w:szCs w:val="18"/>
                <w:lang w:eastAsia="lt-LT"/>
              </w:rPr>
              <w:t>.</w:t>
            </w:r>
            <w:r w:rsidRPr="004E77F7">
              <w:rPr>
                <w:rFonts w:ascii="Times New Roman" w:eastAsia="Times New Roman" w:hAnsi="Times New Roman"/>
                <w:color w:val="000000"/>
                <w:sz w:val="18"/>
                <w:szCs w:val="18"/>
                <w:lang w:eastAsia="lt-LT"/>
              </w:rPr>
              <w:t>872</w:t>
            </w:r>
          </w:p>
        </w:tc>
        <w:tc>
          <w:tcPr>
            <w:tcW w:w="1134" w:type="dxa"/>
            <w:tcBorders>
              <w:top w:val="single" w:sz="4" w:space="0" w:color="auto"/>
              <w:left w:val="single" w:sz="4" w:space="0" w:color="auto"/>
              <w:bottom w:val="single" w:sz="4" w:space="0" w:color="auto"/>
              <w:right w:val="single" w:sz="4" w:space="0" w:color="auto"/>
            </w:tcBorders>
            <w:vAlign w:val="center"/>
          </w:tcPr>
          <w:p w:rsidR="003425A4" w:rsidRPr="004E77F7" w:rsidRDefault="00741862" w:rsidP="00FF5D67">
            <w:pPr>
              <w:spacing w:after="0" w:line="240" w:lineRule="auto"/>
              <w:jc w:val="right"/>
              <w:rPr>
                <w:rFonts w:ascii="Times New Roman" w:eastAsia="Times New Roman" w:hAnsi="Times New Roman"/>
                <w:strike/>
                <w:sz w:val="18"/>
                <w:szCs w:val="18"/>
              </w:rPr>
            </w:pPr>
            <w:r w:rsidRPr="004E77F7">
              <w:rPr>
                <w:rFonts w:ascii="Times New Roman" w:eastAsia="Times New Roman" w:hAnsi="Times New Roman"/>
                <w:sz w:val="18"/>
                <w:szCs w:val="18"/>
              </w:rPr>
              <w:t>98</w:t>
            </w:r>
            <w:r w:rsidR="003425A4" w:rsidRPr="004E77F7">
              <w:rPr>
                <w:rFonts w:ascii="Times New Roman" w:eastAsia="Times New Roman" w:hAnsi="Times New Roman"/>
                <w:sz w:val="18"/>
                <w:szCs w:val="18"/>
              </w:rPr>
              <w:t>.</w:t>
            </w:r>
            <w:r w:rsidRPr="004E77F7">
              <w:rPr>
                <w:rFonts w:ascii="Times New Roman" w:eastAsia="Times New Roman" w:hAnsi="Times New Roman"/>
                <w:sz w:val="18"/>
                <w:szCs w:val="18"/>
              </w:rPr>
              <w:t>53</w:t>
            </w:r>
            <w:r w:rsidR="00FF5D67" w:rsidRPr="004E77F7">
              <w:rPr>
                <w:rFonts w:ascii="Times New Roman" w:eastAsia="Times New Roman" w:hAnsi="Times New Roman"/>
                <w:sz w:val="18"/>
                <w:szCs w:val="18"/>
              </w:rPr>
              <w:t>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3425A4" w:rsidRPr="004E77F7" w:rsidRDefault="003425A4" w:rsidP="00741862">
            <w:pPr>
              <w:spacing w:after="0" w:line="240" w:lineRule="auto"/>
              <w:jc w:val="right"/>
              <w:rPr>
                <w:rFonts w:ascii="Times New Roman" w:eastAsia="Times New Roman" w:hAnsi="Times New Roman"/>
                <w:strike/>
                <w:color w:val="000000"/>
                <w:sz w:val="18"/>
                <w:szCs w:val="18"/>
                <w:lang w:eastAsia="lt-LT"/>
              </w:rPr>
            </w:pPr>
            <w:r w:rsidRPr="004E77F7">
              <w:rPr>
                <w:rFonts w:ascii="Times New Roman" w:eastAsia="Times New Roman" w:hAnsi="Times New Roman"/>
                <w:color w:val="000000"/>
                <w:sz w:val="18"/>
                <w:szCs w:val="18"/>
                <w:lang w:eastAsia="lt-LT"/>
              </w:rPr>
              <w:t>2</w:t>
            </w:r>
            <w:r w:rsidR="00FF5D67" w:rsidRPr="004E77F7">
              <w:rPr>
                <w:rFonts w:ascii="Times New Roman" w:eastAsia="Times New Roman" w:hAnsi="Times New Roman"/>
                <w:color w:val="000000"/>
                <w:sz w:val="18"/>
                <w:szCs w:val="18"/>
                <w:lang w:eastAsia="lt-LT"/>
              </w:rPr>
              <w:t>1</w:t>
            </w:r>
            <w:r w:rsidR="00741862" w:rsidRPr="004E77F7">
              <w:rPr>
                <w:rFonts w:ascii="Times New Roman" w:eastAsia="Times New Roman" w:hAnsi="Times New Roman"/>
                <w:color w:val="000000"/>
                <w:sz w:val="18"/>
                <w:szCs w:val="18"/>
                <w:lang w:eastAsia="lt-LT"/>
              </w:rPr>
              <w:t>2</w:t>
            </w:r>
            <w:r w:rsidRPr="004E77F7">
              <w:rPr>
                <w:rFonts w:ascii="Times New Roman" w:eastAsia="Times New Roman" w:hAnsi="Times New Roman"/>
                <w:color w:val="000000"/>
                <w:sz w:val="18"/>
                <w:szCs w:val="18"/>
                <w:lang w:eastAsia="lt-LT"/>
              </w:rPr>
              <w:t>.</w:t>
            </w:r>
            <w:r w:rsidR="00741862" w:rsidRPr="004E77F7">
              <w:rPr>
                <w:rFonts w:ascii="Times New Roman" w:eastAsia="Times New Roman" w:hAnsi="Times New Roman"/>
                <w:color w:val="000000"/>
                <w:sz w:val="18"/>
                <w:szCs w:val="18"/>
                <w:lang w:eastAsia="lt-LT"/>
              </w:rPr>
              <w:t>102</w:t>
            </w:r>
            <w:r w:rsidRPr="004E77F7">
              <w:rPr>
                <w:rFonts w:ascii="Times New Roman" w:eastAsia="Times New Roman" w:hAnsi="Times New Roman"/>
                <w:color w:val="000000"/>
                <w:sz w:val="18"/>
                <w:szCs w:val="18"/>
                <w:lang w:eastAsia="lt-LT"/>
              </w:rPr>
              <w:t>.</w:t>
            </w:r>
            <w:r w:rsidR="00741862" w:rsidRPr="004E77F7">
              <w:rPr>
                <w:rFonts w:ascii="Times New Roman" w:eastAsia="Times New Roman" w:hAnsi="Times New Roman"/>
                <w:color w:val="000000"/>
                <w:sz w:val="18"/>
                <w:szCs w:val="18"/>
                <w:lang w:eastAsia="lt-LT"/>
              </w:rPr>
              <w:t>688</w:t>
            </w:r>
          </w:p>
        </w:tc>
        <w:tc>
          <w:tcPr>
            <w:tcW w:w="709" w:type="dxa"/>
            <w:tcBorders>
              <w:top w:val="nil"/>
              <w:left w:val="nil"/>
              <w:bottom w:val="single" w:sz="4" w:space="0" w:color="auto"/>
              <w:right w:val="single" w:sz="4" w:space="0" w:color="auto"/>
            </w:tcBorders>
            <w:shd w:val="clear" w:color="auto" w:fill="auto"/>
            <w:vAlign w:val="center"/>
            <w:hideMark/>
          </w:tcPr>
          <w:p w:rsidR="003425A4" w:rsidRPr="004E77F7" w:rsidRDefault="003425A4" w:rsidP="00372448">
            <w:pPr>
              <w:spacing w:after="0" w:line="240" w:lineRule="auto"/>
              <w:jc w:val="right"/>
              <w:rPr>
                <w:rFonts w:ascii="Times New Roman" w:eastAsia="Times New Roman" w:hAnsi="Times New Roman"/>
                <w:color w:val="000000"/>
                <w:sz w:val="18"/>
                <w:szCs w:val="18"/>
                <w:lang w:eastAsia="lt-LT"/>
              </w:rPr>
            </w:pPr>
            <w:r w:rsidRPr="004E77F7">
              <w:rPr>
                <w:rFonts w:ascii="Times New Roman" w:eastAsia="Times New Roman" w:hAnsi="Times New Roman"/>
                <w:color w:val="000000"/>
                <w:sz w:val="18"/>
                <w:szCs w:val="18"/>
                <w:lang w:eastAsia="lt-LT"/>
              </w:rPr>
              <w:t>85,00</w:t>
            </w:r>
          </w:p>
        </w:tc>
        <w:tc>
          <w:tcPr>
            <w:tcW w:w="425" w:type="dxa"/>
            <w:tcBorders>
              <w:top w:val="nil"/>
              <w:left w:val="nil"/>
              <w:bottom w:val="single" w:sz="4" w:space="0" w:color="auto"/>
              <w:right w:val="single" w:sz="4" w:space="0" w:color="auto"/>
            </w:tcBorders>
            <w:shd w:val="clear" w:color="auto" w:fill="auto"/>
            <w:vAlign w:val="center"/>
            <w:hideMark/>
          </w:tcPr>
          <w:p w:rsidR="003425A4" w:rsidRPr="004E77F7" w:rsidRDefault="00A50C23" w:rsidP="00372448">
            <w:pPr>
              <w:spacing w:after="0" w:line="240" w:lineRule="auto"/>
              <w:jc w:val="right"/>
              <w:rPr>
                <w:rFonts w:ascii="Times New Roman" w:eastAsia="Times New Roman" w:hAnsi="Times New Roman"/>
                <w:color w:val="000000"/>
                <w:sz w:val="18"/>
                <w:szCs w:val="18"/>
                <w:lang w:eastAsia="lt-LT"/>
              </w:rPr>
            </w:pPr>
            <w:r w:rsidRPr="004E77F7">
              <w:rPr>
                <w:rFonts w:ascii="Times New Roman" w:eastAsia="Times New Roman" w:hAnsi="Times New Roman"/>
                <w:color w:val="000000"/>
                <w:sz w:val="18"/>
                <w:szCs w:val="18"/>
                <w:lang w:eastAsia="lt-LT"/>
              </w:rPr>
              <w:t>.</w:t>
            </w:r>
          </w:p>
        </w:tc>
        <w:tc>
          <w:tcPr>
            <w:tcW w:w="1417" w:type="dxa"/>
            <w:tcBorders>
              <w:top w:val="nil"/>
              <w:left w:val="nil"/>
              <w:bottom w:val="single" w:sz="4" w:space="0" w:color="auto"/>
              <w:right w:val="single" w:sz="4" w:space="0" w:color="auto"/>
            </w:tcBorders>
            <w:shd w:val="clear" w:color="auto" w:fill="auto"/>
            <w:vAlign w:val="center"/>
            <w:hideMark/>
          </w:tcPr>
          <w:p w:rsidR="003425A4" w:rsidRPr="004E77F7" w:rsidRDefault="00741862" w:rsidP="00FF5D67">
            <w:pPr>
              <w:spacing w:after="0" w:line="240" w:lineRule="auto"/>
              <w:jc w:val="right"/>
              <w:rPr>
                <w:rFonts w:ascii="Times New Roman" w:eastAsia="Times New Roman" w:hAnsi="Times New Roman"/>
                <w:strike/>
                <w:color w:val="000000"/>
                <w:sz w:val="18"/>
                <w:szCs w:val="18"/>
                <w:lang w:eastAsia="lt-LT"/>
              </w:rPr>
            </w:pPr>
            <w:r w:rsidRPr="004E77F7">
              <w:rPr>
                <w:rFonts w:ascii="Times New Roman" w:eastAsia="Times New Roman" w:hAnsi="Times New Roman"/>
                <w:color w:val="000000"/>
                <w:sz w:val="18"/>
                <w:szCs w:val="18"/>
                <w:lang w:eastAsia="lt-LT"/>
              </w:rPr>
              <w:t>169</w:t>
            </w:r>
            <w:r w:rsidR="003425A4" w:rsidRPr="004E77F7">
              <w:rPr>
                <w:rFonts w:ascii="Times New Roman" w:eastAsia="Times New Roman" w:hAnsi="Times New Roman"/>
                <w:color w:val="000000"/>
                <w:sz w:val="18"/>
                <w:szCs w:val="18"/>
                <w:lang w:eastAsia="lt-LT"/>
              </w:rPr>
              <w:t>.</w:t>
            </w:r>
            <w:r w:rsidRPr="004E77F7">
              <w:rPr>
                <w:rFonts w:ascii="Times New Roman" w:eastAsia="Times New Roman" w:hAnsi="Times New Roman"/>
                <w:color w:val="000000"/>
                <w:sz w:val="18"/>
                <w:szCs w:val="18"/>
                <w:lang w:eastAsia="lt-LT"/>
              </w:rPr>
              <w:t>470</w:t>
            </w:r>
            <w:r w:rsidR="003425A4" w:rsidRPr="004E77F7">
              <w:rPr>
                <w:rFonts w:ascii="Times New Roman" w:eastAsia="Times New Roman" w:hAnsi="Times New Roman"/>
                <w:color w:val="000000"/>
                <w:sz w:val="18"/>
                <w:szCs w:val="18"/>
                <w:lang w:eastAsia="lt-LT"/>
              </w:rPr>
              <w:t>.047</w:t>
            </w:r>
          </w:p>
        </w:tc>
        <w:tc>
          <w:tcPr>
            <w:tcW w:w="1276" w:type="dxa"/>
            <w:tcBorders>
              <w:top w:val="nil"/>
              <w:left w:val="nil"/>
              <w:bottom w:val="single" w:sz="4" w:space="0" w:color="auto"/>
              <w:right w:val="single" w:sz="4" w:space="0" w:color="auto"/>
            </w:tcBorders>
            <w:shd w:val="clear" w:color="auto" w:fill="auto"/>
            <w:vAlign w:val="center"/>
            <w:hideMark/>
          </w:tcPr>
          <w:p w:rsidR="003425A4" w:rsidRPr="004E77F7" w:rsidRDefault="004B1A7E" w:rsidP="00FF5D67">
            <w:pPr>
              <w:spacing w:after="0" w:line="240" w:lineRule="auto"/>
              <w:jc w:val="right"/>
              <w:rPr>
                <w:rFonts w:ascii="Times New Roman" w:eastAsia="Times New Roman" w:hAnsi="Times New Roman"/>
                <w:strike/>
                <w:color w:val="000000"/>
                <w:sz w:val="18"/>
                <w:szCs w:val="18"/>
                <w:lang w:eastAsia="lt-LT"/>
              </w:rPr>
            </w:pPr>
            <w:r w:rsidRPr="004E77F7">
              <w:rPr>
                <w:rFonts w:ascii="Times New Roman" w:eastAsia="Times New Roman" w:hAnsi="Times New Roman"/>
                <w:color w:val="000000"/>
                <w:sz w:val="18"/>
                <w:szCs w:val="18"/>
                <w:lang w:eastAsia="lt-LT"/>
              </w:rPr>
              <w:t>29</w:t>
            </w:r>
            <w:r w:rsidR="003425A4" w:rsidRPr="004E77F7">
              <w:rPr>
                <w:rFonts w:ascii="Times New Roman" w:eastAsia="Times New Roman" w:hAnsi="Times New Roman"/>
                <w:color w:val="000000"/>
                <w:sz w:val="18"/>
                <w:szCs w:val="18"/>
                <w:lang w:eastAsia="lt-LT"/>
              </w:rPr>
              <w:t>.</w:t>
            </w:r>
            <w:r w:rsidRPr="004E77F7">
              <w:rPr>
                <w:rFonts w:ascii="Times New Roman" w:eastAsia="Times New Roman" w:hAnsi="Times New Roman"/>
                <w:color w:val="000000"/>
                <w:sz w:val="18"/>
                <w:szCs w:val="18"/>
                <w:lang w:eastAsia="lt-LT"/>
              </w:rPr>
              <w:t>906</w:t>
            </w:r>
            <w:r w:rsidR="003425A4" w:rsidRPr="004E77F7">
              <w:rPr>
                <w:rFonts w:ascii="Times New Roman" w:eastAsia="Times New Roman" w:hAnsi="Times New Roman"/>
                <w:color w:val="000000"/>
                <w:sz w:val="18"/>
                <w:szCs w:val="18"/>
                <w:lang w:eastAsia="lt-LT"/>
              </w:rPr>
              <w:t>.</w:t>
            </w:r>
            <w:r w:rsidRPr="004E77F7">
              <w:rPr>
                <w:rFonts w:ascii="Times New Roman" w:eastAsia="Times New Roman" w:hAnsi="Times New Roman"/>
                <w:color w:val="000000"/>
                <w:sz w:val="18"/>
                <w:szCs w:val="18"/>
                <w:lang w:eastAsia="lt-LT"/>
              </w:rPr>
              <w:t>480</w:t>
            </w:r>
          </w:p>
        </w:tc>
        <w:tc>
          <w:tcPr>
            <w:tcW w:w="1134" w:type="dxa"/>
            <w:tcBorders>
              <w:top w:val="nil"/>
              <w:left w:val="nil"/>
              <w:bottom w:val="single" w:sz="4" w:space="0" w:color="auto"/>
              <w:right w:val="single" w:sz="4" w:space="0" w:color="auto"/>
            </w:tcBorders>
            <w:shd w:val="clear" w:color="auto" w:fill="auto"/>
            <w:vAlign w:val="center"/>
            <w:hideMark/>
          </w:tcPr>
          <w:p w:rsidR="003425A4" w:rsidRPr="004E77F7" w:rsidRDefault="003425A4" w:rsidP="004B1A7E">
            <w:pPr>
              <w:spacing w:after="0" w:line="240" w:lineRule="auto"/>
              <w:jc w:val="right"/>
              <w:rPr>
                <w:rFonts w:ascii="Times New Roman" w:eastAsia="Times New Roman" w:hAnsi="Times New Roman"/>
                <w:strike/>
                <w:color w:val="000000"/>
                <w:sz w:val="18"/>
                <w:szCs w:val="18"/>
                <w:lang w:eastAsia="lt-LT"/>
              </w:rPr>
            </w:pPr>
            <w:r w:rsidRPr="004E77F7">
              <w:rPr>
                <w:rFonts w:ascii="Times New Roman" w:eastAsia="Times New Roman" w:hAnsi="Times New Roman"/>
                <w:color w:val="000000"/>
                <w:sz w:val="18"/>
                <w:szCs w:val="18"/>
                <w:lang w:eastAsia="lt-LT"/>
              </w:rPr>
              <w:t>1</w:t>
            </w:r>
            <w:r w:rsidR="004B1A7E" w:rsidRPr="004E77F7">
              <w:rPr>
                <w:rFonts w:ascii="Times New Roman" w:eastAsia="Times New Roman" w:hAnsi="Times New Roman"/>
                <w:color w:val="000000"/>
                <w:sz w:val="18"/>
                <w:szCs w:val="18"/>
                <w:lang w:eastAsia="lt-LT"/>
              </w:rPr>
              <w:t>0</w:t>
            </w:r>
            <w:r w:rsidRPr="004E77F7">
              <w:rPr>
                <w:rFonts w:ascii="Times New Roman" w:eastAsia="Times New Roman" w:hAnsi="Times New Roman"/>
                <w:color w:val="000000"/>
                <w:sz w:val="18"/>
                <w:szCs w:val="18"/>
                <w:lang w:eastAsia="lt-LT"/>
              </w:rPr>
              <w:t>.</w:t>
            </w:r>
            <w:r w:rsidR="004B1A7E" w:rsidRPr="004E77F7">
              <w:rPr>
                <w:rFonts w:ascii="Times New Roman" w:eastAsia="Times New Roman" w:hAnsi="Times New Roman"/>
                <w:color w:val="000000"/>
                <w:sz w:val="18"/>
                <w:szCs w:val="18"/>
                <w:lang w:eastAsia="lt-LT"/>
              </w:rPr>
              <w:t>8</w:t>
            </w:r>
            <w:r w:rsidR="00FF5D67" w:rsidRPr="004E77F7">
              <w:rPr>
                <w:rFonts w:ascii="Times New Roman" w:eastAsia="Times New Roman" w:hAnsi="Times New Roman"/>
                <w:color w:val="000000"/>
                <w:sz w:val="18"/>
                <w:szCs w:val="18"/>
                <w:lang w:eastAsia="lt-LT"/>
              </w:rPr>
              <w:t>17</w:t>
            </w:r>
            <w:r w:rsidRPr="004E77F7">
              <w:rPr>
                <w:rFonts w:ascii="Times New Roman" w:eastAsia="Times New Roman" w:hAnsi="Times New Roman"/>
                <w:color w:val="000000"/>
                <w:sz w:val="18"/>
                <w:szCs w:val="18"/>
                <w:lang w:eastAsia="lt-LT"/>
              </w:rPr>
              <w:t>.237</w:t>
            </w:r>
          </w:p>
        </w:tc>
        <w:tc>
          <w:tcPr>
            <w:tcW w:w="1134" w:type="dxa"/>
            <w:tcBorders>
              <w:top w:val="nil"/>
              <w:left w:val="nil"/>
              <w:bottom w:val="single" w:sz="4" w:space="0" w:color="auto"/>
              <w:right w:val="single" w:sz="4" w:space="0" w:color="auto"/>
            </w:tcBorders>
            <w:shd w:val="clear" w:color="auto" w:fill="auto"/>
            <w:vAlign w:val="center"/>
            <w:hideMark/>
          </w:tcPr>
          <w:p w:rsidR="003425A4" w:rsidRPr="004E77F7" w:rsidRDefault="00FF5D67" w:rsidP="004B1A7E">
            <w:pPr>
              <w:spacing w:after="0" w:line="240" w:lineRule="auto"/>
              <w:jc w:val="right"/>
              <w:rPr>
                <w:rFonts w:ascii="Times New Roman" w:eastAsia="Times New Roman" w:hAnsi="Times New Roman"/>
                <w:strike/>
                <w:color w:val="000000"/>
                <w:sz w:val="18"/>
                <w:szCs w:val="18"/>
                <w:lang w:eastAsia="lt-LT"/>
              </w:rPr>
            </w:pPr>
            <w:r w:rsidRPr="004E77F7">
              <w:rPr>
                <w:rFonts w:ascii="Times New Roman" w:eastAsia="Times New Roman" w:hAnsi="Times New Roman"/>
                <w:color w:val="000000"/>
                <w:sz w:val="18"/>
                <w:szCs w:val="18"/>
                <w:lang w:eastAsia="lt-LT"/>
              </w:rPr>
              <w:t>1</w:t>
            </w:r>
            <w:r w:rsidR="003425A4" w:rsidRPr="004E77F7">
              <w:rPr>
                <w:rFonts w:ascii="Times New Roman" w:eastAsia="Times New Roman" w:hAnsi="Times New Roman"/>
                <w:color w:val="000000"/>
                <w:sz w:val="18"/>
                <w:szCs w:val="18"/>
                <w:lang w:eastAsia="lt-LT"/>
              </w:rPr>
              <w:t>.</w:t>
            </w:r>
            <w:r w:rsidRPr="004E77F7">
              <w:rPr>
                <w:rFonts w:ascii="Times New Roman" w:eastAsia="Times New Roman" w:hAnsi="Times New Roman"/>
                <w:color w:val="000000"/>
                <w:sz w:val="18"/>
                <w:szCs w:val="18"/>
                <w:lang w:eastAsia="lt-LT"/>
              </w:rPr>
              <w:t>9</w:t>
            </w:r>
            <w:r w:rsidR="004B1A7E" w:rsidRPr="004E77F7">
              <w:rPr>
                <w:rFonts w:ascii="Times New Roman" w:eastAsia="Times New Roman" w:hAnsi="Times New Roman"/>
                <w:color w:val="000000"/>
                <w:sz w:val="18"/>
                <w:szCs w:val="18"/>
                <w:lang w:eastAsia="lt-LT"/>
              </w:rPr>
              <w:t>08</w:t>
            </w:r>
            <w:r w:rsidR="003425A4" w:rsidRPr="004E77F7">
              <w:rPr>
                <w:rFonts w:ascii="Times New Roman" w:eastAsia="Times New Roman" w:hAnsi="Times New Roman"/>
                <w:color w:val="000000"/>
                <w:sz w:val="18"/>
                <w:szCs w:val="18"/>
                <w:lang w:eastAsia="lt-LT"/>
              </w:rPr>
              <w:t>.</w:t>
            </w:r>
            <w:r w:rsidR="004B1A7E" w:rsidRPr="004E77F7">
              <w:rPr>
                <w:rFonts w:ascii="Times New Roman" w:eastAsia="Times New Roman" w:hAnsi="Times New Roman"/>
                <w:color w:val="000000"/>
                <w:sz w:val="18"/>
                <w:szCs w:val="18"/>
                <w:lang w:eastAsia="lt-LT"/>
              </w:rPr>
              <w:t>924</w:t>
            </w:r>
          </w:p>
        </w:tc>
        <w:tc>
          <w:tcPr>
            <w:tcW w:w="567" w:type="dxa"/>
            <w:tcBorders>
              <w:top w:val="nil"/>
              <w:left w:val="nil"/>
              <w:bottom w:val="single" w:sz="4" w:space="0" w:color="auto"/>
              <w:right w:val="single" w:sz="4" w:space="0" w:color="auto"/>
            </w:tcBorders>
            <w:shd w:val="clear" w:color="auto" w:fill="auto"/>
            <w:vAlign w:val="center"/>
            <w:hideMark/>
          </w:tcPr>
          <w:p w:rsidR="003425A4" w:rsidRPr="00DF1549" w:rsidRDefault="003425A4" w:rsidP="00F6184C">
            <w:pPr>
              <w:spacing w:after="0" w:line="240" w:lineRule="auto"/>
              <w:jc w:val="right"/>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6,00</w:t>
            </w:r>
          </w:p>
        </w:tc>
      </w:tr>
      <w:tr w:rsidR="003425A4" w:rsidRPr="00DF1549" w:rsidTr="00650E41">
        <w:trPr>
          <w:trHeight w:val="51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3425A4" w:rsidRPr="006F2E2E" w:rsidRDefault="003425A4" w:rsidP="00AA7F36">
            <w:pPr>
              <w:widowControl w:val="0"/>
              <w:tabs>
                <w:tab w:val="left" w:pos="622"/>
              </w:tabs>
              <w:spacing w:after="0" w:line="240" w:lineRule="auto"/>
              <w:rPr>
                <w:rFonts w:ascii="Times New Roman" w:eastAsia="AngsanaUPC" w:hAnsi="Times New Roman"/>
                <w:bCs/>
                <w:sz w:val="18"/>
                <w:szCs w:val="18"/>
                <w:lang w:eastAsia="lt-LT"/>
              </w:rPr>
            </w:pPr>
            <w:r w:rsidRPr="006F2E2E">
              <w:rPr>
                <w:rFonts w:ascii="Times New Roman" w:hAnsi="Times New Roman"/>
                <w:sz w:val="18"/>
                <w:szCs w:val="18"/>
              </w:rPr>
              <w:t xml:space="preserve">3. </w:t>
            </w:r>
            <w:r>
              <w:rPr>
                <w:rFonts w:ascii="Times New Roman" w:hAnsi="Times New Roman"/>
                <w:sz w:val="18"/>
                <w:szCs w:val="18"/>
              </w:rPr>
              <w:t>SVV</w:t>
            </w:r>
            <w:r w:rsidRPr="006F2E2E">
              <w:rPr>
                <w:rFonts w:ascii="Times New Roman" w:hAnsi="Times New Roman"/>
                <w:sz w:val="18"/>
                <w:szCs w:val="18"/>
              </w:rPr>
              <w:t xml:space="preserve"> kon</w:t>
            </w:r>
            <w:r>
              <w:rPr>
                <w:rFonts w:ascii="Times New Roman" w:hAnsi="Times New Roman"/>
                <w:sz w:val="18"/>
                <w:szCs w:val="18"/>
              </w:rPr>
              <w:t>-</w:t>
            </w:r>
            <w:r w:rsidRPr="006F2E2E">
              <w:rPr>
                <w:rFonts w:ascii="Times New Roman" w:hAnsi="Times New Roman"/>
                <w:sz w:val="18"/>
                <w:szCs w:val="18"/>
              </w:rPr>
              <w:t>kurencingumo skatinimas</w:t>
            </w:r>
          </w:p>
        </w:tc>
        <w:tc>
          <w:tcPr>
            <w:tcW w:w="850" w:type="dxa"/>
            <w:tcBorders>
              <w:top w:val="nil"/>
              <w:left w:val="nil"/>
              <w:bottom w:val="single" w:sz="4" w:space="0" w:color="auto"/>
              <w:right w:val="single" w:sz="4" w:space="0" w:color="auto"/>
            </w:tcBorders>
            <w:shd w:val="clear" w:color="auto" w:fill="auto"/>
            <w:vAlign w:val="center"/>
            <w:hideMark/>
          </w:tcPr>
          <w:p w:rsidR="003425A4" w:rsidRPr="00DF1549" w:rsidRDefault="003425A4" w:rsidP="00F6184C">
            <w:pPr>
              <w:spacing w:after="0" w:line="240" w:lineRule="auto"/>
              <w:jc w:val="both"/>
              <w:rPr>
                <w:rFonts w:ascii="Times New Roman" w:eastAsia="Times New Roman" w:hAnsi="Times New Roman"/>
                <w:color w:val="000000"/>
                <w:sz w:val="18"/>
                <w:szCs w:val="18"/>
                <w:lang w:eastAsia="lt-LT"/>
              </w:rPr>
            </w:pPr>
            <w:r w:rsidRPr="00DF1549">
              <w:rPr>
                <w:rFonts w:ascii="Times New Roman" w:eastAsia="Times New Roman" w:hAnsi="Times New Roman"/>
                <w:color w:val="000000"/>
                <w:sz w:val="18"/>
                <w:szCs w:val="18"/>
                <w:lang w:eastAsia="lt-LT"/>
              </w:rPr>
              <w:t>ERPF</w:t>
            </w:r>
          </w:p>
        </w:tc>
        <w:tc>
          <w:tcPr>
            <w:tcW w:w="993" w:type="dxa"/>
            <w:tcBorders>
              <w:top w:val="nil"/>
              <w:left w:val="nil"/>
              <w:bottom w:val="single" w:sz="4" w:space="0" w:color="auto"/>
              <w:right w:val="single" w:sz="4" w:space="0" w:color="auto"/>
            </w:tcBorders>
            <w:shd w:val="clear" w:color="auto" w:fill="auto"/>
            <w:vAlign w:val="center"/>
            <w:hideMark/>
          </w:tcPr>
          <w:p w:rsidR="003425A4" w:rsidRPr="00DF1549" w:rsidRDefault="003425A4" w:rsidP="00F6184C">
            <w:pPr>
              <w:spacing w:after="0" w:line="240" w:lineRule="auto"/>
              <w:rPr>
                <w:rFonts w:ascii="Times New Roman" w:eastAsia="Times New Roman" w:hAnsi="Times New Roman"/>
                <w:color w:val="000000"/>
                <w:sz w:val="18"/>
                <w:szCs w:val="18"/>
                <w:lang w:eastAsia="lt-LT"/>
              </w:rPr>
            </w:pPr>
            <w:r w:rsidRPr="00DF1549">
              <w:rPr>
                <w:rFonts w:ascii="Times New Roman" w:eastAsia="Times New Roman" w:hAnsi="Times New Roman"/>
                <w:color w:val="000000"/>
                <w:sz w:val="18"/>
                <w:szCs w:val="18"/>
                <w:lang w:eastAsia="lt-LT"/>
              </w:rPr>
              <w:t>Bendros tinkamos išlaidos</w:t>
            </w:r>
          </w:p>
        </w:tc>
        <w:tc>
          <w:tcPr>
            <w:tcW w:w="1275" w:type="dxa"/>
            <w:tcBorders>
              <w:top w:val="nil"/>
              <w:left w:val="nil"/>
              <w:bottom w:val="single" w:sz="4" w:space="0" w:color="auto"/>
              <w:right w:val="single" w:sz="4" w:space="0" w:color="auto"/>
            </w:tcBorders>
            <w:shd w:val="clear" w:color="auto" w:fill="auto"/>
            <w:vAlign w:val="center"/>
            <w:hideMark/>
          </w:tcPr>
          <w:p w:rsidR="003425A4" w:rsidRPr="004E77F7" w:rsidRDefault="00A03D83" w:rsidP="00FF5D67">
            <w:pPr>
              <w:spacing w:after="0" w:line="240" w:lineRule="auto"/>
              <w:jc w:val="right"/>
              <w:rPr>
                <w:rFonts w:ascii="Times New Roman" w:eastAsia="Times New Roman" w:hAnsi="Times New Roman"/>
                <w:strike/>
                <w:color w:val="000000"/>
                <w:sz w:val="18"/>
                <w:szCs w:val="18"/>
                <w:lang w:eastAsia="lt-LT"/>
              </w:rPr>
            </w:pPr>
            <w:r w:rsidRPr="004E77F7">
              <w:rPr>
                <w:rFonts w:ascii="Times New Roman" w:eastAsia="Times New Roman" w:hAnsi="Times New Roman"/>
                <w:color w:val="000000"/>
                <w:sz w:val="18"/>
                <w:szCs w:val="18"/>
                <w:lang w:eastAsia="lt-LT"/>
              </w:rPr>
              <w:t>566</w:t>
            </w:r>
            <w:r w:rsidR="003425A4" w:rsidRPr="004E77F7">
              <w:rPr>
                <w:rFonts w:ascii="Times New Roman" w:eastAsia="Times New Roman" w:hAnsi="Times New Roman"/>
                <w:color w:val="000000"/>
                <w:sz w:val="18"/>
                <w:szCs w:val="18"/>
                <w:lang w:eastAsia="lt-LT"/>
              </w:rPr>
              <w:t>.</w:t>
            </w:r>
            <w:r w:rsidR="00FF5D67" w:rsidRPr="004E77F7">
              <w:rPr>
                <w:rFonts w:ascii="Times New Roman" w:eastAsia="Times New Roman" w:hAnsi="Times New Roman"/>
                <w:color w:val="000000"/>
                <w:sz w:val="18"/>
                <w:szCs w:val="18"/>
                <w:lang w:eastAsia="lt-LT"/>
              </w:rPr>
              <w:t>7</w:t>
            </w:r>
            <w:r w:rsidR="003425A4" w:rsidRPr="004E77F7">
              <w:rPr>
                <w:rFonts w:ascii="Times New Roman" w:eastAsia="Times New Roman" w:hAnsi="Times New Roman"/>
                <w:color w:val="000000"/>
                <w:sz w:val="18"/>
                <w:szCs w:val="18"/>
                <w:lang w:eastAsia="lt-LT"/>
              </w:rPr>
              <w:t>03.253</w:t>
            </w:r>
          </w:p>
        </w:tc>
        <w:tc>
          <w:tcPr>
            <w:tcW w:w="1276" w:type="dxa"/>
            <w:tcBorders>
              <w:top w:val="nil"/>
              <w:left w:val="nil"/>
              <w:bottom w:val="single" w:sz="4" w:space="0" w:color="auto"/>
              <w:right w:val="single" w:sz="4" w:space="0" w:color="auto"/>
            </w:tcBorders>
            <w:shd w:val="clear" w:color="auto" w:fill="auto"/>
            <w:vAlign w:val="center"/>
            <w:hideMark/>
          </w:tcPr>
          <w:p w:rsidR="003425A4" w:rsidRPr="004E77F7" w:rsidRDefault="00741862" w:rsidP="00FF5D67">
            <w:pPr>
              <w:spacing w:after="0" w:line="240" w:lineRule="auto"/>
              <w:jc w:val="right"/>
              <w:rPr>
                <w:rFonts w:ascii="Times New Roman" w:eastAsia="Times New Roman" w:hAnsi="Times New Roman"/>
                <w:strike/>
                <w:color w:val="000000"/>
                <w:sz w:val="18"/>
                <w:szCs w:val="18"/>
                <w:lang w:eastAsia="lt-LT"/>
              </w:rPr>
            </w:pPr>
            <w:r w:rsidRPr="004E77F7">
              <w:rPr>
                <w:rFonts w:ascii="Times New Roman" w:eastAsia="Times New Roman" w:hAnsi="Times New Roman"/>
                <w:color w:val="000000"/>
                <w:sz w:val="18"/>
                <w:szCs w:val="18"/>
                <w:lang w:eastAsia="lt-LT"/>
              </w:rPr>
              <w:t>100.006</w:t>
            </w:r>
            <w:r w:rsidR="003425A4" w:rsidRPr="004E77F7">
              <w:rPr>
                <w:rFonts w:ascii="Times New Roman" w:eastAsia="Times New Roman" w:hAnsi="Times New Roman"/>
                <w:color w:val="000000"/>
                <w:sz w:val="18"/>
                <w:szCs w:val="18"/>
                <w:lang w:eastAsia="lt-LT"/>
              </w:rPr>
              <w:t>.</w:t>
            </w:r>
            <w:r w:rsidRPr="004E77F7">
              <w:rPr>
                <w:rFonts w:ascii="Times New Roman" w:eastAsia="Times New Roman" w:hAnsi="Times New Roman"/>
                <w:color w:val="000000"/>
                <w:sz w:val="18"/>
                <w:szCs w:val="18"/>
                <w:lang w:eastAsia="lt-LT"/>
              </w:rPr>
              <w:t>458</w:t>
            </w:r>
          </w:p>
        </w:tc>
        <w:tc>
          <w:tcPr>
            <w:tcW w:w="1134" w:type="dxa"/>
            <w:tcBorders>
              <w:top w:val="single" w:sz="4" w:space="0" w:color="auto"/>
              <w:left w:val="nil"/>
              <w:bottom w:val="single" w:sz="4" w:space="0" w:color="auto"/>
              <w:right w:val="single" w:sz="4" w:space="0" w:color="auto"/>
            </w:tcBorders>
            <w:vAlign w:val="center"/>
          </w:tcPr>
          <w:p w:rsidR="003425A4" w:rsidRPr="004E77F7" w:rsidRDefault="003425A4" w:rsidP="003425A4">
            <w:pPr>
              <w:spacing w:after="0" w:line="240" w:lineRule="auto"/>
              <w:jc w:val="right"/>
              <w:rPr>
                <w:rFonts w:ascii="Times New Roman" w:eastAsia="Times New Roman" w:hAnsi="Times New Roman"/>
                <w:sz w:val="18"/>
                <w:szCs w:val="18"/>
              </w:rPr>
            </w:pPr>
            <w:r w:rsidRPr="004E77F7">
              <w:rPr>
                <w:rFonts w:ascii="Times New Roman" w:eastAsia="Times New Roman" w:hAnsi="Times New Roman"/>
                <w:sz w:val="18"/>
                <w:szCs w:val="18"/>
              </w:rPr>
              <w:t>0</w:t>
            </w:r>
          </w:p>
        </w:tc>
        <w:tc>
          <w:tcPr>
            <w:tcW w:w="1134" w:type="dxa"/>
            <w:tcBorders>
              <w:top w:val="single" w:sz="4" w:space="0" w:color="auto"/>
              <w:left w:val="single" w:sz="4" w:space="0" w:color="auto"/>
              <w:bottom w:val="single" w:sz="4" w:space="0" w:color="auto"/>
              <w:right w:val="single" w:sz="4" w:space="0" w:color="auto"/>
            </w:tcBorders>
            <w:vAlign w:val="center"/>
          </w:tcPr>
          <w:p w:rsidR="003425A4" w:rsidRPr="004E77F7" w:rsidRDefault="00741862" w:rsidP="00FF5D67">
            <w:pPr>
              <w:spacing w:after="0" w:line="240" w:lineRule="auto"/>
              <w:jc w:val="right"/>
              <w:rPr>
                <w:rFonts w:ascii="Times New Roman" w:eastAsia="Times New Roman" w:hAnsi="Times New Roman"/>
                <w:strike/>
                <w:sz w:val="18"/>
                <w:szCs w:val="18"/>
              </w:rPr>
            </w:pPr>
            <w:r w:rsidRPr="004E77F7">
              <w:rPr>
                <w:rFonts w:ascii="Times New Roman" w:eastAsia="Times New Roman" w:hAnsi="Times New Roman"/>
                <w:color w:val="000000"/>
                <w:sz w:val="18"/>
                <w:szCs w:val="18"/>
                <w:lang w:eastAsia="lt-LT"/>
              </w:rPr>
              <w:t>100.006</w:t>
            </w:r>
            <w:r w:rsidR="003425A4" w:rsidRPr="004E77F7">
              <w:rPr>
                <w:rFonts w:ascii="Times New Roman" w:eastAsia="Times New Roman" w:hAnsi="Times New Roman"/>
                <w:color w:val="000000"/>
                <w:sz w:val="18"/>
                <w:szCs w:val="18"/>
                <w:lang w:eastAsia="lt-LT"/>
              </w:rPr>
              <w:t>.</w:t>
            </w:r>
            <w:r w:rsidRPr="004E77F7">
              <w:rPr>
                <w:rFonts w:ascii="Times New Roman" w:eastAsia="Times New Roman" w:hAnsi="Times New Roman"/>
                <w:color w:val="000000"/>
                <w:sz w:val="18"/>
                <w:szCs w:val="18"/>
                <w:lang w:eastAsia="lt-LT"/>
              </w:rPr>
              <w:t>458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3425A4" w:rsidRPr="004E77F7" w:rsidRDefault="003425A4" w:rsidP="00FF5D67">
            <w:pPr>
              <w:spacing w:after="0" w:line="240" w:lineRule="auto"/>
              <w:jc w:val="right"/>
              <w:rPr>
                <w:rFonts w:ascii="Times New Roman" w:eastAsia="Times New Roman" w:hAnsi="Times New Roman"/>
                <w:strike/>
                <w:color w:val="000000"/>
                <w:sz w:val="18"/>
                <w:szCs w:val="18"/>
                <w:lang w:eastAsia="lt-LT"/>
              </w:rPr>
            </w:pPr>
            <w:r w:rsidRPr="004E77F7">
              <w:rPr>
                <w:rFonts w:ascii="Times New Roman" w:eastAsia="Times New Roman" w:hAnsi="Times New Roman"/>
                <w:color w:val="000000"/>
                <w:sz w:val="18"/>
                <w:szCs w:val="18"/>
                <w:lang w:eastAsia="lt-LT"/>
              </w:rPr>
              <w:t>6</w:t>
            </w:r>
            <w:r w:rsidR="00741862" w:rsidRPr="004E77F7">
              <w:rPr>
                <w:rFonts w:ascii="Times New Roman" w:eastAsia="Times New Roman" w:hAnsi="Times New Roman"/>
                <w:color w:val="000000"/>
                <w:sz w:val="18"/>
                <w:szCs w:val="18"/>
                <w:lang w:eastAsia="lt-LT"/>
              </w:rPr>
              <w:t>66</w:t>
            </w:r>
            <w:r w:rsidRPr="004E77F7">
              <w:rPr>
                <w:rFonts w:ascii="Times New Roman" w:eastAsia="Times New Roman" w:hAnsi="Times New Roman"/>
                <w:color w:val="000000"/>
                <w:sz w:val="18"/>
                <w:szCs w:val="18"/>
                <w:lang w:eastAsia="lt-LT"/>
              </w:rPr>
              <w:t>.</w:t>
            </w:r>
            <w:r w:rsidR="00741862" w:rsidRPr="004E77F7">
              <w:rPr>
                <w:rFonts w:ascii="Times New Roman" w:eastAsia="Times New Roman" w:hAnsi="Times New Roman"/>
                <w:color w:val="000000"/>
                <w:sz w:val="18"/>
                <w:szCs w:val="18"/>
                <w:lang w:eastAsia="lt-LT"/>
              </w:rPr>
              <w:t>709</w:t>
            </w:r>
            <w:r w:rsidRPr="004E77F7">
              <w:rPr>
                <w:rFonts w:ascii="Times New Roman" w:eastAsia="Times New Roman" w:hAnsi="Times New Roman"/>
                <w:color w:val="000000"/>
                <w:sz w:val="18"/>
                <w:szCs w:val="18"/>
                <w:lang w:eastAsia="lt-LT"/>
              </w:rPr>
              <w:t>.</w:t>
            </w:r>
            <w:r w:rsidR="00741862" w:rsidRPr="004E77F7">
              <w:rPr>
                <w:rFonts w:ascii="Times New Roman" w:eastAsia="Times New Roman" w:hAnsi="Times New Roman"/>
                <w:color w:val="000000"/>
                <w:sz w:val="18"/>
                <w:szCs w:val="18"/>
                <w:lang w:eastAsia="lt-LT"/>
              </w:rPr>
              <w:t>711</w:t>
            </w:r>
          </w:p>
        </w:tc>
        <w:tc>
          <w:tcPr>
            <w:tcW w:w="709" w:type="dxa"/>
            <w:tcBorders>
              <w:top w:val="nil"/>
              <w:left w:val="nil"/>
              <w:bottom w:val="single" w:sz="4" w:space="0" w:color="auto"/>
              <w:right w:val="single" w:sz="4" w:space="0" w:color="auto"/>
            </w:tcBorders>
            <w:shd w:val="clear" w:color="auto" w:fill="auto"/>
            <w:vAlign w:val="center"/>
            <w:hideMark/>
          </w:tcPr>
          <w:p w:rsidR="003425A4" w:rsidRPr="004E77F7" w:rsidRDefault="003425A4" w:rsidP="00372448">
            <w:pPr>
              <w:spacing w:after="0" w:line="240" w:lineRule="auto"/>
              <w:jc w:val="right"/>
              <w:rPr>
                <w:rFonts w:ascii="Times New Roman" w:eastAsia="Times New Roman" w:hAnsi="Times New Roman"/>
                <w:color w:val="000000"/>
                <w:sz w:val="18"/>
                <w:szCs w:val="18"/>
                <w:lang w:eastAsia="lt-LT"/>
              </w:rPr>
            </w:pPr>
            <w:r w:rsidRPr="004E77F7">
              <w:rPr>
                <w:rFonts w:ascii="Times New Roman" w:eastAsia="Times New Roman" w:hAnsi="Times New Roman"/>
                <w:color w:val="000000"/>
                <w:sz w:val="18"/>
                <w:szCs w:val="18"/>
                <w:lang w:eastAsia="lt-LT"/>
              </w:rPr>
              <w:t>85,00</w:t>
            </w:r>
          </w:p>
        </w:tc>
        <w:tc>
          <w:tcPr>
            <w:tcW w:w="425" w:type="dxa"/>
            <w:tcBorders>
              <w:top w:val="nil"/>
              <w:left w:val="nil"/>
              <w:bottom w:val="single" w:sz="4" w:space="0" w:color="auto"/>
              <w:right w:val="single" w:sz="4" w:space="0" w:color="auto"/>
            </w:tcBorders>
            <w:shd w:val="clear" w:color="auto" w:fill="auto"/>
            <w:vAlign w:val="center"/>
            <w:hideMark/>
          </w:tcPr>
          <w:p w:rsidR="003425A4" w:rsidRPr="004E77F7" w:rsidRDefault="00A50C23" w:rsidP="00372448">
            <w:pPr>
              <w:spacing w:after="0" w:line="240" w:lineRule="auto"/>
              <w:jc w:val="right"/>
              <w:rPr>
                <w:rFonts w:ascii="Times New Roman" w:eastAsia="Times New Roman" w:hAnsi="Times New Roman"/>
                <w:color w:val="000000"/>
                <w:sz w:val="18"/>
                <w:szCs w:val="18"/>
                <w:lang w:eastAsia="lt-LT"/>
              </w:rPr>
            </w:pPr>
            <w:r w:rsidRPr="004E77F7">
              <w:rPr>
                <w:rFonts w:ascii="Times New Roman" w:eastAsia="Times New Roman" w:hAnsi="Times New Roman"/>
                <w:color w:val="000000"/>
                <w:sz w:val="18"/>
                <w:szCs w:val="18"/>
                <w:lang w:eastAsia="lt-LT"/>
              </w:rPr>
              <w:t>.</w:t>
            </w:r>
          </w:p>
        </w:tc>
        <w:tc>
          <w:tcPr>
            <w:tcW w:w="1417" w:type="dxa"/>
            <w:tcBorders>
              <w:top w:val="nil"/>
              <w:left w:val="nil"/>
              <w:bottom w:val="single" w:sz="4" w:space="0" w:color="auto"/>
              <w:right w:val="single" w:sz="4" w:space="0" w:color="auto"/>
            </w:tcBorders>
            <w:shd w:val="clear" w:color="auto" w:fill="auto"/>
            <w:vAlign w:val="center"/>
            <w:hideMark/>
          </w:tcPr>
          <w:p w:rsidR="003425A4" w:rsidRPr="004E77F7" w:rsidRDefault="003425A4" w:rsidP="00FF5D67">
            <w:pPr>
              <w:spacing w:after="0" w:line="240" w:lineRule="auto"/>
              <w:jc w:val="right"/>
              <w:rPr>
                <w:rFonts w:ascii="Times New Roman" w:eastAsia="Times New Roman" w:hAnsi="Times New Roman"/>
                <w:strike/>
                <w:color w:val="000000"/>
                <w:sz w:val="18"/>
                <w:szCs w:val="18"/>
                <w:lang w:eastAsia="lt-LT"/>
              </w:rPr>
            </w:pPr>
            <w:r w:rsidRPr="004E77F7">
              <w:rPr>
                <w:rFonts w:ascii="Times New Roman" w:eastAsia="Times New Roman" w:hAnsi="Times New Roman"/>
                <w:color w:val="000000"/>
                <w:sz w:val="18"/>
                <w:szCs w:val="18"/>
                <w:lang w:eastAsia="lt-LT"/>
              </w:rPr>
              <w:t>5</w:t>
            </w:r>
            <w:r w:rsidR="004B1A7E" w:rsidRPr="004E77F7">
              <w:rPr>
                <w:rFonts w:ascii="Times New Roman" w:eastAsia="Times New Roman" w:hAnsi="Times New Roman"/>
                <w:color w:val="000000"/>
                <w:sz w:val="18"/>
                <w:szCs w:val="18"/>
                <w:lang w:eastAsia="lt-LT"/>
              </w:rPr>
              <w:t>32</w:t>
            </w:r>
            <w:r w:rsidRPr="004E77F7">
              <w:rPr>
                <w:rFonts w:ascii="Times New Roman" w:eastAsia="Times New Roman" w:hAnsi="Times New Roman"/>
                <w:color w:val="000000"/>
                <w:sz w:val="18"/>
                <w:szCs w:val="18"/>
                <w:lang w:eastAsia="lt-LT"/>
              </w:rPr>
              <w:t>.</w:t>
            </w:r>
            <w:r w:rsidR="004B1A7E" w:rsidRPr="004E77F7">
              <w:rPr>
                <w:rFonts w:ascii="Times New Roman" w:eastAsia="Times New Roman" w:hAnsi="Times New Roman"/>
                <w:color w:val="000000"/>
                <w:sz w:val="18"/>
                <w:szCs w:val="18"/>
                <w:lang w:eastAsia="lt-LT"/>
              </w:rPr>
              <w:t>7</w:t>
            </w:r>
            <w:r w:rsidR="00FF5D67" w:rsidRPr="004E77F7">
              <w:rPr>
                <w:rFonts w:ascii="Times New Roman" w:eastAsia="Times New Roman" w:hAnsi="Times New Roman"/>
                <w:color w:val="000000"/>
                <w:sz w:val="18"/>
                <w:szCs w:val="18"/>
                <w:lang w:eastAsia="lt-LT"/>
              </w:rPr>
              <w:t>01</w:t>
            </w:r>
            <w:r w:rsidRPr="004E77F7">
              <w:rPr>
                <w:rFonts w:ascii="Times New Roman" w:eastAsia="Times New Roman" w:hAnsi="Times New Roman"/>
                <w:color w:val="000000"/>
                <w:sz w:val="18"/>
                <w:szCs w:val="18"/>
                <w:lang w:eastAsia="lt-LT"/>
              </w:rPr>
              <w:t>.058</w:t>
            </w:r>
          </w:p>
        </w:tc>
        <w:tc>
          <w:tcPr>
            <w:tcW w:w="1276" w:type="dxa"/>
            <w:tcBorders>
              <w:top w:val="nil"/>
              <w:left w:val="nil"/>
              <w:bottom w:val="single" w:sz="4" w:space="0" w:color="auto"/>
              <w:right w:val="single" w:sz="4" w:space="0" w:color="auto"/>
            </w:tcBorders>
            <w:shd w:val="clear" w:color="auto" w:fill="auto"/>
            <w:vAlign w:val="center"/>
            <w:hideMark/>
          </w:tcPr>
          <w:p w:rsidR="003425A4" w:rsidRPr="004E77F7" w:rsidRDefault="00FF5D67" w:rsidP="004B1A7E">
            <w:pPr>
              <w:spacing w:after="0" w:line="240" w:lineRule="auto"/>
              <w:jc w:val="right"/>
              <w:rPr>
                <w:rFonts w:ascii="Times New Roman" w:eastAsia="Times New Roman" w:hAnsi="Times New Roman"/>
                <w:strike/>
                <w:color w:val="000000"/>
                <w:sz w:val="18"/>
                <w:szCs w:val="18"/>
                <w:lang w:eastAsia="lt-LT"/>
              </w:rPr>
            </w:pPr>
            <w:r w:rsidRPr="004E77F7">
              <w:rPr>
                <w:rFonts w:ascii="Times New Roman" w:eastAsia="Times New Roman" w:hAnsi="Times New Roman"/>
                <w:color w:val="000000"/>
                <w:sz w:val="18"/>
                <w:szCs w:val="18"/>
                <w:lang w:eastAsia="lt-LT"/>
              </w:rPr>
              <w:t>9</w:t>
            </w:r>
            <w:r w:rsidR="004B1A7E" w:rsidRPr="004E77F7">
              <w:rPr>
                <w:rFonts w:ascii="Times New Roman" w:eastAsia="Times New Roman" w:hAnsi="Times New Roman"/>
                <w:color w:val="000000"/>
                <w:sz w:val="18"/>
                <w:szCs w:val="18"/>
                <w:lang w:eastAsia="lt-LT"/>
              </w:rPr>
              <w:t>4</w:t>
            </w:r>
            <w:r w:rsidR="003425A4" w:rsidRPr="004E77F7">
              <w:rPr>
                <w:rFonts w:ascii="Times New Roman" w:eastAsia="Times New Roman" w:hAnsi="Times New Roman"/>
                <w:color w:val="000000"/>
                <w:sz w:val="18"/>
                <w:szCs w:val="18"/>
                <w:lang w:eastAsia="lt-LT"/>
              </w:rPr>
              <w:t>.</w:t>
            </w:r>
            <w:r w:rsidR="004B1A7E" w:rsidRPr="004E77F7">
              <w:rPr>
                <w:rFonts w:ascii="Times New Roman" w:eastAsia="Times New Roman" w:hAnsi="Times New Roman"/>
                <w:color w:val="000000"/>
                <w:sz w:val="18"/>
                <w:szCs w:val="18"/>
                <w:lang w:eastAsia="lt-LT"/>
              </w:rPr>
              <w:t>006</w:t>
            </w:r>
            <w:r w:rsidR="003425A4" w:rsidRPr="004E77F7">
              <w:rPr>
                <w:rFonts w:ascii="Times New Roman" w:eastAsia="Times New Roman" w:hAnsi="Times New Roman"/>
                <w:color w:val="000000"/>
                <w:sz w:val="18"/>
                <w:szCs w:val="18"/>
                <w:lang w:eastAsia="lt-LT"/>
              </w:rPr>
              <w:t>.</w:t>
            </w:r>
            <w:r w:rsidR="004B1A7E" w:rsidRPr="004E77F7">
              <w:rPr>
                <w:rFonts w:ascii="Times New Roman" w:eastAsia="Times New Roman" w:hAnsi="Times New Roman"/>
                <w:color w:val="000000"/>
                <w:sz w:val="18"/>
                <w:szCs w:val="18"/>
                <w:lang w:eastAsia="lt-LT"/>
              </w:rPr>
              <w:t>071</w:t>
            </w:r>
          </w:p>
        </w:tc>
        <w:tc>
          <w:tcPr>
            <w:tcW w:w="1134" w:type="dxa"/>
            <w:tcBorders>
              <w:top w:val="nil"/>
              <w:left w:val="nil"/>
              <w:bottom w:val="single" w:sz="4" w:space="0" w:color="auto"/>
              <w:right w:val="single" w:sz="4" w:space="0" w:color="auto"/>
            </w:tcBorders>
            <w:shd w:val="clear" w:color="auto" w:fill="auto"/>
            <w:vAlign w:val="center"/>
            <w:hideMark/>
          </w:tcPr>
          <w:p w:rsidR="003425A4" w:rsidRPr="004E77F7" w:rsidRDefault="004B1A7E" w:rsidP="00FF5D67">
            <w:pPr>
              <w:spacing w:after="0" w:line="240" w:lineRule="auto"/>
              <w:jc w:val="right"/>
              <w:rPr>
                <w:rFonts w:ascii="Times New Roman" w:eastAsia="Times New Roman" w:hAnsi="Times New Roman"/>
                <w:strike/>
                <w:color w:val="000000"/>
                <w:sz w:val="18"/>
                <w:szCs w:val="18"/>
                <w:lang w:eastAsia="lt-LT"/>
              </w:rPr>
            </w:pPr>
            <w:r w:rsidRPr="004E77F7">
              <w:rPr>
                <w:rFonts w:ascii="Times New Roman" w:eastAsia="Times New Roman" w:hAnsi="Times New Roman"/>
                <w:color w:val="000000"/>
                <w:sz w:val="18"/>
                <w:szCs w:val="18"/>
                <w:lang w:eastAsia="lt-LT"/>
              </w:rPr>
              <w:t>34</w:t>
            </w:r>
            <w:r w:rsidR="003425A4" w:rsidRPr="004E77F7">
              <w:rPr>
                <w:rFonts w:ascii="Times New Roman" w:eastAsia="Times New Roman" w:hAnsi="Times New Roman"/>
                <w:color w:val="000000"/>
                <w:sz w:val="18"/>
                <w:szCs w:val="18"/>
                <w:lang w:eastAsia="lt-LT"/>
              </w:rPr>
              <w:t>.</w:t>
            </w:r>
            <w:r w:rsidRPr="004E77F7">
              <w:rPr>
                <w:rFonts w:ascii="Times New Roman" w:eastAsia="Times New Roman" w:hAnsi="Times New Roman"/>
                <w:color w:val="000000"/>
                <w:sz w:val="18"/>
                <w:szCs w:val="18"/>
                <w:lang w:eastAsia="lt-LT"/>
              </w:rPr>
              <w:t>0</w:t>
            </w:r>
            <w:r w:rsidR="00FF5D67" w:rsidRPr="004E77F7">
              <w:rPr>
                <w:rFonts w:ascii="Times New Roman" w:eastAsia="Times New Roman" w:hAnsi="Times New Roman"/>
                <w:color w:val="000000"/>
                <w:sz w:val="18"/>
                <w:szCs w:val="18"/>
                <w:lang w:eastAsia="lt-LT"/>
              </w:rPr>
              <w:t>02</w:t>
            </w:r>
            <w:r w:rsidR="003425A4" w:rsidRPr="004E77F7">
              <w:rPr>
                <w:rFonts w:ascii="Times New Roman" w:eastAsia="Times New Roman" w:hAnsi="Times New Roman"/>
                <w:color w:val="000000"/>
                <w:sz w:val="18"/>
                <w:szCs w:val="18"/>
                <w:lang w:eastAsia="lt-LT"/>
              </w:rPr>
              <w:t>.195</w:t>
            </w:r>
          </w:p>
        </w:tc>
        <w:tc>
          <w:tcPr>
            <w:tcW w:w="1134" w:type="dxa"/>
            <w:tcBorders>
              <w:top w:val="nil"/>
              <w:left w:val="nil"/>
              <w:bottom w:val="single" w:sz="4" w:space="0" w:color="auto"/>
              <w:right w:val="single" w:sz="4" w:space="0" w:color="auto"/>
            </w:tcBorders>
            <w:shd w:val="clear" w:color="auto" w:fill="auto"/>
            <w:vAlign w:val="center"/>
            <w:hideMark/>
          </w:tcPr>
          <w:p w:rsidR="003425A4" w:rsidRPr="004E77F7" w:rsidRDefault="004B1A7E" w:rsidP="00FF5D67">
            <w:pPr>
              <w:spacing w:after="0" w:line="240" w:lineRule="auto"/>
              <w:jc w:val="right"/>
              <w:rPr>
                <w:rFonts w:ascii="Times New Roman" w:eastAsia="Times New Roman" w:hAnsi="Times New Roman"/>
                <w:strike/>
                <w:color w:val="000000"/>
                <w:sz w:val="18"/>
                <w:szCs w:val="18"/>
                <w:lang w:eastAsia="lt-LT"/>
              </w:rPr>
            </w:pPr>
            <w:r w:rsidRPr="004E77F7">
              <w:rPr>
                <w:rFonts w:ascii="Times New Roman" w:eastAsia="Times New Roman" w:hAnsi="Times New Roman"/>
                <w:color w:val="000000"/>
                <w:sz w:val="18"/>
                <w:szCs w:val="18"/>
                <w:lang w:eastAsia="lt-LT"/>
              </w:rPr>
              <w:t>6.000</w:t>
            </w:r>
            <w:r w:rsidR="003425A4" w:rsidRPr="004E77F7">
              <w:rPr>
                <w:rFonts w:ascii="Times New Roman" w:eastAsia="Times New Roman" w:hAnsi="Times New Roman"/>
                <w:color w:val="000000"/>
                <w:sz w:val="18"/>
                <w:szCs w:val="18"/>
                <w:lang w:eastAsia="lt-LT"/>
              </w:rPr>
              <w:t>.</w:t>
            </w:r>
            <w:r w:rsidRPr="004E77F7">
              <w:rPr>
                <w:rFonts w:ascii="Times New Roman" w:eastAsia="Times New Roman" w:hAnsi="Times New Roman"/>
                <w:color w:val="000000"/>
                <w:sz w:val="18"/>
                <w:szCs w:val="18"/>
                <w:lang w:eastAsia="lt-LT"/>
              </w:rPr>
              <w:t>387</w:t>
            </w:r>
          </w:p>
        </w:tc>
        <w:tc>
          <w:tcPr>
            <w:tcW w:w="567" w:type="dxa"/>
            <w:tcBorders>
              <w:top w:val="nil"/>
              <w:left w:val="nil"/>
              <w:bottom w:val="single" w:sz="4" w:space="0" w:color="auto"/>
              <w:right w:val="single" w:sz="4" w:space="0" w:color="auto"/>
            </w:tcBorders>
            <w:shd w:val="clear" w:color="auto" w:fill="auto"/>
            <w:vAlign w:val="center"/>
            <w:hideMark/>
          </w:tcPr>
          <w:p w:rsidR="003425A4" w:rsidRPr="00DF1549" w:rsidRDefault="003425A4" w:rsidP="00F6184C">
            <w:pPr>
              <w:spacing w:after="0" w:line="240" w:lineRule="auto"/>
              <w:jc w:val="right"/>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6,00</w:t>
            </w:r>
          </w:p>
        </w:tc>
      </w:tr>
      <w:tr w:rsidR="003425A4" w:rsidRPr="00DF1549" w:rsidTr="00650E41">
        <w:trPr>
          <w:trHeight w:val="510"/>
        </w:trPr>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3425A4" w:rsidRPr="006F2E2E" w:rsidRDefault="003425A4" w:rsidP="00AA7F36">
            <w:pPr>
              <w:widowControl w:val="0"/>
              <w:tabs>
                <w:tab w:val="left" w:pos="622"/>
              </w:tabs>
              <w:spacing w:after="0" w:line="240" w:lineRule="auto"/>
              <w:rPr>
                <w:rFonts w:ascii="Times New Roman" w:eastAsia="AngsanaUPC" w:hAnsi="Times New Roman"/>
                <w:bCs/>
                <w:sz w:val="18"/>
                <w:szCs w:val="18"/>
                <w:lang w:eastAsia="lt-LT"/>
              </w:rPr>
            </w:pPr>
            <w:r w:rsidRPr="006F2E2E">
              <w:rPr>
                <w:rFonts w:ascii="Times New Roman" w:eastAsia="AngsanaUPC" w:hAnsi="Times New Roman"/>
                <w:bCs/>
                <w:sz w:val="18"/>
                <w:szCs w:val="18"/>
                <w:lang w:eastAsia="lt-LT"/>
              </w:rPr>
              <w:t xml:space="preserve">4. Energijos efektyvumo ir </w:t>
            </w:r>
            <w:r>
              <w:rPr>
                <w:rFonts w:ascii="Times New Roman" w:eastAsia="AngsanaUPC" w:hAnsi="Times New Roman"/>
                <w:bCs/>
                <w:sz w:val="18"/>
                <w:szCs w:val="18"/>
                <w:lang w:eastAsia="lt-LT"/>
              </w:rPr>
              <w:t>AIE</w:t>
            </w:r>
            <w:r w:rsidRPr="006F2E2E">
              <w:rPr>
                <w:rFonts w:ascii="Times New Roman" w:eastAsia="AngsanaUPC" w:hAnsi="Times New Roman"/>
                <w:bCs/>
                <w:sz w:val="18"/>
                <w:szCs w:val="18"/>
                <w:lang w:eastAsia="lt-LT"/>
              </w:rPr>
              <w:t xml:space="preserve"> gamybos ir naudojimo skatinimas </w:t>
            </w:r>
          </w:p>
        </w:tc>
        <w:tc>
          <w:tcPr>
            <w:tcW w:w="850" w:type="dxa"/>
            <w:tcBorders>
              <w:top w:val="nil"/>
              <w:left w:val="nil"/>
              <w:bottom w:val="single" w:sz="4" w:space="0" w:color="auto"/>
              <w:right w:val="single" w:sz="4" w:space="0" w:color="auto"/>
            </w:tcBorders>
            <w:shd w:val="clear" w:color="auto" w:fill="auto"/>
            <w:vAlign w:val="center"/>
            <w:hideMark/>
          </w:tcPr>
          <w:p w:rsidR="003425A4" w:rsidRPr="00DF1549" w:rsidRDefault="003425A4" w:rsidP="00F6184C">
            <w:pPr>
              <w:spacing w:after="0" w:line="240" w:lineRule="auto"/>
              <w:jc w:val="both"/>
              <w:rPr>
                <w:rFonts w:ascii="Times New Roman" w:eastAsia="Times New Roman" w:hAnsi="Times New Roman"/>
                <w:color w:val="000000"/>
                <w:sz w:val="18"/>
                <w:szCs w:val="18"/>
                <w:lang w:eastAsia="lt-LT"/>
              </w:rPr>
            </w:pPr>
            <w:r w:rsidRPr="00DF1549">
              <w:rPr>
                <w:rFonts w:ascii="Times New Roman" w:eastAsia="Times New Roman" w:hAnsi="Times New Roman"/>
                <w:color w:val="000000"/>
                <w:sz w:val="18"/>
                <w:szCs w:val="18"/>
                <w:lang w:eastAsia="lt-LT"/>
              </w:rPr>
              <w:t>ERPF</w:t>
            </w:r>
          </w:p>
        </w:tc>
        <w:tc>
          <w:tcPr>
            <w:tcW w:w="993" w:type="dxa"/>
            <w:tcBorders>
              <w:top w:val="nil"/>
              <w:left w:val="nil"/>
              <w:bottom w:val="single" w:sz="4" w:space="0" w:color="auto"/>
              <w:right w:val="single" w:sz="4" w:space="0" w:color="auto"/>
            </w:tcBorders>
            <w:shd w:val="clear" w:color="auto" w:fill="auto"/>
            <w:vAlign w:val="center"/>
            <w:hideMark/>
          </w:tcPr>
          <w:p w:rsidR="003425A4" w:rsidRPr="006F2E2E" w:rsidRDefault="003425A4" w:rsidP="00F6184C">
            <w:pPr>
              <w:spacing w:after="0" w:line="240" w:lineRule="auto"/>
              <w:rPr>
                <w:rFonts w:ascii="Times New Roman" w:eastAsia="Times New Roman" w:hAnsi="Times New Roman"/>
                <w:sz w:val="18"/>
                <w:szCs w:val="18"/>
                <w:lang w:eastAsia="lt-LT"/>
              </w:rPr>
            </w:pPr>
            <w:r w:rsidRPr="006F2E2E">
              <w:rPr>
                <w:rFonts w:ascii="Times New Roman" w:eastAsia="Times New Roman" w:hAnsi="Times New Roman"/>
                <w:sz w:val="18"/>
                <w:szCs w:val="18"/>
                <w:lang w:eastAsia="lt-LT"/>
              </w:rPr>
              <w:t>Bendros tinkamos išlaidos</w:t>
            </w:r>
          </w:p>
        </w:tc>
        <w:tc>
          <w:tcPr>
            <w:tcW w:w="1275" w:type="dxa"/>
            <w:tcBorders>
              <w:top w:val="nil"/>
              <w:left w:val="nil"/>
              <w:bottom w:val="single" w:sz="4" w:space="0" w:color="auto"/>
              <w:right w:val="single" w:sz="4" w:space="0" w:color="auto"/>
            </w:tcBorders>
            <w:shd w:val="clear" w:color="auto" w:fill="auto"/>
            <w:vAlign w:val="center"/>
            <w:hideMark/>
          </w:tcPr>
          <w:p w:rsidR="003425A4" w:rsidRPr="004E77F7" w:rsidRDefault="003425A4" w:rsidP="00FF5D67">
            <w:pPr>
              <w:shd w:val="clear" w:color="auto" w:fill="FFFFFF"/>
              <w:spacing w:after="0" w:line="240" w:lineRule="auto"/>
              <w:jc w:val="right"/>
              <w:rPr>
                <w:rFonts w:ascii="Times New Roman" w:eastAsia="Times New Roman" w:hAnsi="Times New Roman"/>
                <w:strike/>
                <w:sz w:val="18"/>
                <w:szCs w:val="18"/>
                <w:lang w:eastAsia="lt-LT"/>
              </w:rPr>
            </w:pPr>
            <w:r w:rsidRPr="004E77F7">
              <w:rPr>
                <w:rFonts w:ascii="Times New Roman" w:eastAsia="Times New Roman" w:hAnsi="Times New Roman"/>
                <w:sz w:val="18"/>
                <w:szCs w:val="18"/>
                <w:lang w:eastAsia="lt-LT"/>
              </w:rPr>
              <w:t>5</w:t>
            </w:r>
            <w:r w:rsidR="00741862" w:rsidRPr="004E77F7">
              <w:rPr>
                <w:rFonts w:ascii="Times New Roman" w:eastAsia="Times New Roman" w:hAnsi="Times New Roman"/>
                <w:sz w:val="18"/>
                <w:szCs w:val="18"/>
                <w:lang w:eastAsia="lt-LT"/>
              </w:rPr>
              <w:t>19.3</w:t>
            </w:r>
            <w:r w:rsidRPr="004E77F7">
              <w:rPr>
                <w:rFonts w:ascii="Times New Roman" w:eastAsia="Times New Roman" w:hAnsi="Times New Roman"/>
                <w:sz w:val="18"/>
                <w:szCs w:val="18"/>
                <w:lang w:eastAsia="lt-LT"/>
              </w:rPr>
              <w:t>01.697</w:t>
            </w:r>
          </w:p>
        </w:tc>
        <w:tc>
          <w:tcPr>
            <w:tcW w:w="1276" w:type="dxa"/>
            <w:tcBorders>
              <w:top w:val="nil"/>
              <w:left w:val="nil"/>
              <w:bottom w:val="single" w:sz="4" w:space="0" w:color="auto"/>
              <w:right w:val="single" w:sz="4" w:space="0" w:color="auto"/>
            </w:tcBorders>
            <w:shd w:val="clear" w:color="auto" w:fill="auto"/>
            <w:vAlign w:val="center"/>
            <w:hideMark/>
          </w:tcPr>
          <w:p w:rsidR="003425A4" w:rsidRPr="004E77F7" w:rsidRDefault="00741862" w:rsidP="00FF5D67">
            <w:pPr>
              <w:shd w:val="clear" w:color="auto" w:fill="FFFFFF"/>
              <w:spacing w:after="0" w:line="240" w:lineRule="auto"/>
              <w:jc w:val="right"/>
              <w:rPr>
                <w:rFonts w:ascii="Times New Roman" w:eastAsia="Times New Roman" w:hAnsi="Times New Roman"/>
                <w:strike/>
                <w:sz w:val="18"/>
                <w:szCs w:val="18"/>
                <w:lang w:eastAsia="lt-LT"/>
              </w:rPr>
            </w:pPr>
            <w:r w:rsidRPr="004E77F7">
              <w:rPr>
                <w:rFonts w:ascii="Times New Roman" w:hAnsi="Times New Roman"/>
                <w:sz w:val="18"/>
                <w:szCs w:val="18"/>
              </w:rPr>
              <w:t>91.641</w:t>
            </w:r>
            <w:r w:rsidR="003425A4" w:rsidRPr="004E77F7">
              <w:rPr>
                <w:rFonts w:ascii="Times New Roman" w:hAnsi="Times New Roman"/>
                <w:sz w:val="18"/>
                <w:szCs w:val="18"/>
              </w:rPr>
              <w:t>.</w:t>
            </w:r>
            <w:r w:rsidRPr="004E77F7">
              <w:rPr>
                <w:rFonts w:ascii="Times New Roman" w:hAnsi="Times New Roman"/>
                <w:sz w:val="18"/>
                <w:szCs w:val="18"/>
              </w:rPr>
              <w:t>476</w:t>
            </w:r>
          </w:p>
        </w:tc>
        <w:tc>
          <w:tcPr>
            <w:tcW w:w="1134" w:type="dxa"/>
            <w:tcBorders>
              <w:top w:val="single" w:sz="4" w:space="0" w:color="auto"/>
              <w:left w:val="nil"/>
              <w:bottom w:val="single" w:sz="4" w:space="0" w:color="auto"/>
              <w:right w:val="single" w:sz="4" w:space="0" w:color="auto"/>
            </w:tcBorders>
            <w:vAlign w:val="center"/>
          </w:tcPr>
          <w:p w:rsidR="003425A4" w:rsidRPr="004E77F7" w:rsidRDefault="00741862" w:rsidP="00D55808">
            <w:pPr>
              <w:shd w:val="clear" w:color="auto" w:fill="FFFFFF"/>
              <w:spacing w:after="0" w:line="240" w:lineRule="auto"/>
              <w:jc w:val="right"/>
              <w:rPr>
                <w:rFonts w:ascii="Times New Roman" w:hAnsi="Times New Roman"/>
                <w:strike/>
                <w:sz w:val="18"/>
                <w:szCs w:val="18"/>
              </w:rPr>
            </w:pPr>
            <w:r w:rsidRPr="004E77F7">
              <w:rPr>
                <w:rFonts w:ascii="Times New Roman" w:hAnsi="Times New Roman"/>
                <w:sz w:val="18"/>
                <w:szCs w:val="18"/>
              </w:rPr>
              <w:t>5.498.488</w:t>
            </w:r>
          </w:p>
        </w:tc>
        <w:tc>
          <w:tcPr>
            <w:tcW w:w="1134" w:type="dxa"/>
            <w:tcBorders>
              <w:top w:val="single" w:sz="4" w:space="0" w:color="auto"/>
              <w:left w:val="single" w:sz="4" w:space="0" w:color="auto"/>
              <w:bottom w:val="single" w:sz="4" w:space="0" w:color="auto"/>
              <w:right w:val="single" w:sz="4" w:space="0" w:color="auto"/>
            </w:tcBorders>
            <w:vAlign w:val="center"/>
          </w:tcPr>
          <w:p w:rsidR="003425A4" w:rsidRPr="004E77F7" w:rsidRDefault="00741862" w:rsidP="00C92D1A">
            <w:pPr>
              <w:shd w:val="clear" w:color="auto" w:fill="FFFFFF"/>
              <w:spacing w:after="0" w:line="240" w:lineRule="auto"/>
              <w:jc w:val="right"/>
              <w:rPr>
                <w:rFonts w:ascii="Times New Roman" w:hAnsi="Times New Roman"/>
                <w:strike/>
                <w:sz w:val="18"/>
                <w:szCs w:val="18"/>
              </w:rPr>
            </w:pPr>
            <w:r w:rsidRPr="004E77F7">
              <w:rPr>
                <w:rFonts w:ascii="Times New Roman" w:hAnsi="Times New Roman"/>
                <w:sz w:val="18"/>
                <w:szCs w:val="18"/>
              </w:rPr>
              <w:t>86</w:t>
            </w:r>
            <w:r w:rsidR="003425A4" w:rsidRPr="004E77F7">
              <w:rPr>
                <w:rFonts w:ascii="Times New Roman" w:hAnsi="Times New Roman"/>
                <w:sz w:val="18"/>
                <w:szCs w:val="18"/>
              </w:rPr>
              <w:t>.</w:t>
            </w:r>
            <w:r w:rsidRPr="004E77F7">
              <w:rPr>
                <w:rFonts w:ascii="Times New Roman" w:hAnsi="Times New Roman"/>
                <w:sz w:val="18"/>
                <w:szCs w:val="18"/>
              </w:rPr>
              <w:t>142</w:t>
            </w:r>
            <w:r w:rsidR="003425A4" w:rsidRPr="004E77F7">
              <w:rPr>
                <w:rFonts w:ascii="Times New Roman" w:hAnsi="Times New Roman"/>
                <w:sz w:val="18"/>
                <w:szCs w:val="18"/>
              </w:rPr>
              <w:t>.</w:t>
            </w:r>
            <w:r w:rsidRPr="004E77F7">
              <w:rPr>
                <w:rFonts w:ascii="Times New Roman" w:hAnsi="Times New Roman"/>
                <w:sz w:val="18"/>
                <w:szCs w:val="18"/>
              </w:rPr>
              <w:t>988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3425A4" w:rsidRPr="004E77F7" w:rsidRDefault="003425A4" w:rsidP="00C92D1A">
            <w:pPr>
              <w:shd w:val="clear" w:color="auto" w:fill="FFFFFF"/>
              <w:spacing w:after="0" w:line="240" w:lineRule="auto"/>
              <w:jc w:val="right"/>
              <w:rPr>
                <w:rFonts w:ascii="Times New Roman" w:eastAsia="Times New Roman" w:hAnsi="Times New Roman"/>
                <w:strike/>
                <w:color w:val="000000"/>
                <w:sz w:val="18"/>
                <w:szCs w:val="18"/>
                <w:lang w:eastAsia="lt-LT"/>
              </w:rPr>
            </w:pPr>
            <w:r w:rsidRPr="004E77F7">
              <w:rPr>
                <w:rFonts w:ascii="Times New Roman" w:eastAsia="Times New Roman" w:hAnsi="Times New Roman"/>
                <w:color w:val="000000"/>
                <w:sz w:val="18"/>
                <w:szCs w:val="18"/>
                <w:lang w:eastAsia="lt-LT"/>
              </w:rPr>
              <w:t>6</w:t>
            </w:r>
            <w:r w:rsidR="00741862" w:rsidRPr="004E77F7">
              <w:rPr>
                <w:rFonts w:ascii="Times New Roman" w:eastAsia="Times New Roman" w:hAnsi="Times New Roman"/>
                <w:color w:val="000000"/>
                <w:sz w:val="18"/>
                <w:szCs w:val="18"/>
                <w:lang w:eastAsia="lt-LT"/>
              </w:rPr>
              <w:t>10</w:t>
            </w:r>
            <w:r w:rsidRPr="004E77F7">
              <w:rPr>
                <w:rFonts w:ascii="Times New Roman" w:eastAsia="Times New Roman" w:hAnsi="Times New Roman"/>
                <w:color w:val="000000"/>
                <w:sz w:val="18"/>
                <w:szCs w:val="18"/>
                <w:lang w:eastAsia="lt-LT"/>
              </w:rPr>
              <w:t>.</w:t>
            </w:r>
            <w:r w:rsidR="00741862" w:rsidRPr="004E77F7">
              <w:rPr>
                <w:rFonts w:ascii="Times New Roman" w:eastAsia="Times New Roman" w:hAnsi="Times New Roman"/>
                <w:color w:val="000000"/>
                <w:sz w:val="18"/>
                <w:szCs w:val="18"/>
                <w:lang w:eastAsia="lt-LT"/>
              </w:rPr>
              <w:t>943</w:t>
            </w:r>
            <w:r w:rsidRPr="004E77F7">
              <w:rPr>
                <w:rFonts w:ascii="Times New Roman" w:eastAsia="Times New Roman" w:hAnsi="Times New Roman"/>
                <w:color w:val="000000"/>
                <w:sz w:val="18"/>
                <w:szCs w:val="18"/>
                <w:lang w:eastAsia="lt-LT"/>
              </w:rPr>
              <w:t>.</w:t>
            </w:r>
            <w:r w:rsidR="00741862" w:rsidRPr="004E77F7">
              <w:rPr>
                <w:rFonts w:ascii="Times New Roman" w:eastAsia="Times New Roman" w:hAnsi="Times New Roman"/>
                <w:color w:val="000000"/>
                <w:sz w:val="18"/>
                <w:szCs w:val="18"/>
                <w:lang w:eastAsia="lt-LT"/>
              </w:rPr>
              <w:t>173</w:t>
            </w:r>
          </w:p>
        </w:tc>
        <w:tc>
          <w:tcPr>
            <w:tcW w:w="709" w:type="dxa"/>
            <w:tcBorders>
              <w:top w:val="nil"/>
              <w:left w:val="nil"/>
              <w:bottom w:val="single" w:sz="4" w:space="0" w:color="auto"/>
              <w:right w:val="single" w:sz="4" w:space="0" w:color="auto"/>
            </w:tcBorders>
            <w:shd w:val="clear" w:color="auto" w:fill="auto"/>
            <w:vAlign w:val="center"/>
            <w:hideMark/>
          </w:tcPr>
          <w:p w:rsidR="003425A4" w:rsidRPr="004E77F7" w:rsidRDefault="003425A4" w:rsidP="00372448">
            <w:pPr>
              <w:spacing w:after="0" w:line="240" w:lineRule="auto"/>
              <w:jc w:val="right"/>
              <w:rPr>
                <w:rFonts w:ascii="Times New Roman" w:eastAsia="Times New Roman" w:hAnsi="Times New Roman"/>
                <w:color w:val="000000"/>
                <w:sz w:val="18"/>
                <w:szCs w:val="18"/>
                <w:lang w:eastAsia="lt-LT"/>
              </w:rPr>
            </w:pPr>
            <w:r w:rsidRPr="004E77F7">
              <w:rPr>
                <w:rFonts w:ascii="Times New Roman" w:eastAsia="Times New Roman" w:hAnsi="Times New Roman"/>
                <w:color w:val="000000"/>
                <w:sz w:val="18"/>
                <w:szCs w:val="18"/>
                <w:lang w:eastAsia="lt-LT"/>
              </w:rPr>
              <w:t>85,00</w:t>
            </w:r>
          </w:p>
        </w:tc>
        <w:tc>
          <w:tcPr>
            <w:tcW w:w="425" w:type="dxa"/>
            <w:tcBorders>
              <w:top w:val="nil"/>
              <w:left w:val="nil"/>
              <w:bottom w:val="single" w:sz="4" w:space="0" w:color="auto"/>
              <w:right w:val="single" w:sz="4" w:space="0" w:color="auto"/>
            </w:tcBorders>
            <w:shd w:val="clear" w:color="auto" w:fill="auto"/>
            <w:vAlign w:val="center"/>
            <w:hideMark/>
          </w:tcPr>
          <w:p w:rsidR="003425A4" w:rsidRPr="004E77F7" w:rsidRDefault="00A50C23" w:rsidP="00372448">
            <w:pPr>
              <w:spacing w:after="0" w:line="240" w:lineRule="auto"/>
              <w:jc w:val="right"/>
              <w:rPr>
                <w:rFonts w:ascii="Times New Roman" w:eastAsia="Times New Roman" w:hAnsi="Times New Roman"/>
                <w:color w:val="000000"/>
                <w:sz w:val="18"/>
                <w:szCs w:val="18"/>
                <w:lang w:eastAsia="lt-LT"/>
              </w:rPr>
            </w:pPr>
            <w:r w:rsidRPr="004E77F7">
              <w:rPr>
                <w:rFonts w:ascii="Times New Roman" w:eastAsia="Times New Roman" w:hAnsi="Times New Roman"/>
                <w:color w:val="000000"/>
                <w:sz w:val="18"/>
                <w:szCs w:val="18"/>
                <w:lang w:eastAsia="lt-LT"/>
              </w:rPr>
              <w:t>.</w:t>
            </w:r>
          </w:p>
        </w:tc>
        <w:tc>
          <w:tcPr>
            <w:tcW w:w="1417" w:type="dxa"/>
            <w:tcBorders>
              <w:top w:val="nil"/>
              <w:left w:val="nil"/>
              <w:bottom w:val="single" w:sz="4" w:space="0" w:color="auto"/>
              <w:right w:val="single" w:sz="4" w:space="0" w:color="auto"/>
            </w:tcBorders>
            <w:shd w:val="clear" w:color="auto" w:fill="auto"/>
            <w:vAlign w:val="center"/>
            <w:hideMark/>
          </w:tcPr>
          <w:p w:rsidR="003425A4" w:rsidRPr="004E77F7" w:rsidRDefault="004B1A7E" w:rsidP="00C92D1A">
            <w:pPr>
              <w:shd w:val="clear" w:color="auto" w:fill="FFFFFF"/>
              <w:spacing w:after="0" w:line="240" w:lineRule="auto"/>
              <w:jc w:val="right"/>
              <w:rPr>
                <w:rFonts w:ascii="Times New Roman" w:eastAsia="Times New Roman" w:hAnsi="Times New Roman"/>
                <w:strike/>
                <w:color w:val="000000"/>
                <w:sz w:val="18"/>
                <w:szCs w:val="18"/>
                <w:lang w:eastAsia="lt-LT"/>
              </w:rPr>
            </w:pPr>
            <w:r w:rsidRPr="004E77F7">
              <w:rPr>
                <w:rFonts w:ascii="Times New Roman" w:eastAsia="Times New Roman" w:hAnsi="Times New Roman"/>
                <w:color w:val="000000"/>
                <w:sz w:val="18"/>
                <w:szCs w:val="18"/>
                <w:lang w:eastAsia="lt-LT"/>
              </w:rPr>
              <w:t>488</w:t>
            </w:r>
            <w:r w:rsidR="003425A4" w:rsidRPr="004E77F7">
              <w:rPr>
                <w:rFonts w:ascii="Times New Roman" w:eastAsia="Times New Roman" w:hAnsi="Times New Roman"/>
                <w:color w:val="000000"/>
                <w:sz w:val="18"/>
                <w:szCs w:val="18"/>
                <w:lang w:eastAsia="lt-LT"/>
              </w:rPr>
              <w:t>.</w:t>
            </w:r>
            <w:r w:rsidRPr="004E77F7">
              <w:rPr>
                <w:rFonts w:ascii="Times New Roman" w:eastAsia="Times New Roman" w:hAnsi="Times New Roman"/>
                <w:color w:val="000000"/>
                <w:sz w:val="18"/>
                <w:szCs w:val="18"/>
                <w:lang w:eastAsia="lt-LT"/>
              </w:rPr>
              <w:t>143</w:t>
            </w:r>
            <w:r w:rsidR="003425A4" w:rsidRPr="004E77F7">
              <w:rPr>
                <w:rFonts w:ascii="Times New Roman" w:eastAsia="Times New Roman" w:hAnsi="Times New Roman"/>
                <w:color w:val="000000"/>
                <w:sz w:val="18"/>
                <w:szCs w:val="18"/>
                <w:lang w:eastAsia="lt-LT"/>
              </w:rPr>
              <w:t>.596</w:t>
            </w:r>
          </w:p>
        </w:tc>
        <w:tc>
          <w:tcPr>
            <w:tcW w:w="1276" w:type="dxa"/>
            <w:tcBorders>
              <w:top w:val="nil"/>
              <w:left w:val="nil"/>
              <w:bottom w:val="single" w:sz="4" w:space="0" w:color="auto"/>
              <w:right w:val="single" w:sz="4" w:space="0" w:color="auto"/>
            </w:tcBorders>
            <w:shd w:val="clear" w:color="auto" w:fill="auto"/>
            <w:vAlign w:val="center"/>
            <w:hideMark/>
          </w:tcPr>
          <w:p w:rsidR="003425A4" w:rsidRPr="004E77F7" w:rsidRDefault="004B1A7E" w:rsidP="00C92D1A">
            <w:pPr>
              <w:shd w:val="clear" w:color="auto" w:fill="FFFFFF"/>
              <w:spacing w:after="0" w:line="240" w:lineRule="auto"/>
              <w:jc w:val="right"/>
              <w:rPr>
                <w:rFonts w:ascii="Times New Roman" w:eastAsia="Times New Roman" w:hAnsi="Times New Roman"/>
                <w:strike/>
                <w:color w:val="000000"/>
                <w:sz w:val="18"/>
                <w:szCs w:val="18"/>
                <w:lang w:eastAsia="lt-LT"/>
              </w:rPr>
            </w:pPr>
            <w:r w:rsidRPr="004E77F7">
              <w:rPr>
                <w:rFonts w:ascii="Times New Roman" w:eastAsia="Times New Roman" w:hAnsi="Times New Roman"/>
                <w:color w:val="000000"/>
                <w:sz w:val="18"/>
                <w:szCs w:val="18"/>
                <w:lang w:eastAsia="lt-LT"/>
              </w:rPr>
              <w:t>86.142</w:t>
            </w:r>
            <w:r w:rsidR="003425A4" w:rsidRPr="004E77F7">
              <w:rPr>
                <w:rFonts w:ascii="Times New Roman" w:eastAsia="Times New Roman" w:hAnsi="Times New Roman"/>
                <w:color w:val="000000"/>
                <w:sz w:val="18"/>
                <w:szCs w:val="18"/>
                <w:lang w:eastAsia="lt-LT"/>
              </w:rPr>
              <w:t>.</w:t>
            </w:r>
            <w:r w:rsidRPr="004E77F7">
              <w:rPr>
                <w:rFonts w:ascii="Times New Roman" w:eastAsia="Times New Roman" w:hAnsi="Times New Roman"/>
                <w:color w:val="000000"/>
                <w:sz w:val="18"/>
                <w:szCs w:val="18"/>
                <w:lang w:eastAsia="lt-LT"/>
              </w:rPr>
              <w:t>988</w:t>
            </w:r>
          </w:p>
        </w:tc>
        <w:tc>
          <w:tcPr>
            <w:tcW w:w="1134" w:type="dxa"/>
            <w:tcBorders>
              <w:top w:val="nil"/>
              <w:left w:val="nil"/>
              <w:bottom w:val="single" w:sz="4" w:space="0" w:color="auto"/>
              <w:right w:val="single" w:sz="4" w:space="0" w:color="auto"/>
            </w:tcBorders>
            <w:shd w:val="clear" w:color="auto" w:fill="auto"/>
            <w:vAlign w:val="center"/>
            <w:hideMark/>
          </w:tcPr>
          <w:p w:rsidR="003425A4" w:rsidRPr="004E77F7" w:rsidRDefault="003425A4" w:rsidP="004B1A7E">
            <w:pPr>
              <w:shd w:val="clear" w:color="auto" w:fill="FFFFFF"/>
              <w:spacing w:after="0" w:line="240" w:lineRule="auto"/>
              <w:jc w:val="right"/>
              <w:rPr>
                <w:rFonts w:ascii="Times New Roman" w:eastAsia="Times New Roman" w:hAnsi="Times New Roman"/>
                <w:strike/>
                <w:color w:val="000000"/>
                <w:sz w:val="18"/>
                <w:szCs w:val="18"/>
                <w:lang w:eastAsia="lt-LT"/>
              </w:rPr>
            </w:pPr>
            <w:r w:rsidRPr="004E77F7">
              <w:rPr>
                <w:rFonts w:ascii="Times New Roman" w:eastAsia="Times New Roman" w:hAnsi="Times New Roman"/>
                <w:color w:val="000000"/>
                <w:sz w:val="18"/>
                <w:szCs w:val="18"/>
                <w:lang w:eastAsia="lt-LT"/>
              </w:rPr>
              <w:t>3</w:t>
            </w:r>
            <w:r w:rsidR="004B1A7E" w:rsidRPr="004E77F7">
              <w:rPr>
                <w:rFonts w:ascii="Times New Roman" w:eastAsia="Times New Roman" w:hAnsi="Times New Roman"/>
                <w:color w:val="000000"/>
                <w:sz w:val="18"/>
                <w:szCs w:val="18"/>
                <w:lang w:eastAsia="lt-LT"/>
              </w:rPr>
              <w:t>1</w:t>
            </w:r>
            <w:r w:rsidRPr="004E77F7">
              <w:rPr>
                <w:rFonts w:ascii="Times New Roman" w:eastAsia="Times New Roman" w:hAnsi="Times New Roman"/>
                <w:color w:val="000000"/>
                <w:sz w:val="18"/>
                <w:szCs w:val="18"/>
                <w:lang w:eastAsia="lt-LT"/>
              </w:rPr>
              <w:t>.</w:t>
            </w:r>
            <w:r w:rsidR="004B1A7E" w:rsidRPr="004E77F7">
              <w:rPr>
                <w:rFonts w:ascii="Times New Roman" w:eastAsia="Times New Roman" w:hAnsi="Times New Roman"/>
                <w:color w:val="000000"/>
                <w:sz w:val="18"/>
                <w:szCs w:val="18"/>
                <w:lang w:eastAsia="lt-LT"/>
              </w:rPr>
              <w:t>158</w:t>
            </w:r>
            <w:r w:rsidRPr="004E77F7">
              <w:rPr>
                <w:rFonts w:ascii="Times New Roman" w:eastAsia="Times New Roman" w:hAnsi="Times New Roman"/>
                <w:color w:val="000000"/>
                <w:sz w:val="18"/>
                <w:szCs w:val="18"/>
                <w:lang w:eastAsia="lt-LT"/>
              </w:rPr>
              <w:t>.101</w:t>
            </w:r>
          </w:p>
        </w:tc>
        <w:tc>
          <w:tcPr>
            <w:tcW w:w="1134" w:type="dxa"/>
            <w:tcBorders>
              <w:top w:val="nil"/>
              <w:left w:val="nil"/>
              <w:bottom w:val="single" w:sz="4" w:space="0" w:color="auto"/>
              <w:right w:val="single" w:sz="4" w:space="0" w:color="auto"/>
            </w:tcBorders>
            <w:shd w:val="clear" w:color="auto" w:fill="auto"/>
            <w:vAlign w:val="center"/>
            <w:hideMark/>
          </w:tcPr>
          <w:p w:rsidR="003425A4" w:rsidRPr="004E77F7" w:rsidRDefault="004B1A7E" w:rsidP="00C92D1A">
            <w:pPr>
              <w:shd w:val="clear" w:color="auto" w:fill="FFFFFF"/>
              <w:spacing w:after="0" w:line="240" w:lineRule="auto"/>
              <w:jc w:val="right"/>
              <w:rPr>
                <w:rFonts w:ascii="Times New Roman" w:eastAsia="Times New Roman" w:hAnsi="Times New Roman"/>
                <w:strike/>
                <w:color w:val="000000"/>
                <w:sz w:val="18"/>
                <w:szCs w:val="18"/>
                <w:lang w:eastAsia="lt-LT"/>
              </w:rPr>
            </w:pPr>
            <w:r w:rsidRPr="004E77F7">
              <w:rPr>
                <w:rFonts w:ascii="Times New Roman" w:eastAsia="Times New Roman" w:hAnsi="Times New Roman"/>
                <w:color w:val="000000"/>
                <w:sz w:val="18"/>
                <w:szCs w:val="18"/>
                <w:lang w:eastAsia="lt-LT"/>
              </w:rPr>
              <w:t>5</w:t>
            </w:r>
            <w:r w:rsidR="003425A4" w:rsidRPr="004E77F7">
              <w:rPr>
                <w:rFonts w:ascii="Times New Roman" w:eastAsia="Times New Roman" w:hAnsi="Times New Roman"/>
                <w:color w:val="000000"/>
                <w:sz w:val="18"/>
                <w:szCs w:val="18"/>
                <w:lang w:eastAsia="lt-LT"/>
              </w:rPr>
              <w:t>.</w:t>
            </w:r>
            <w:r w:rsidRPr="004E77F7">
              <w:rPr>
                <w:rFonts w:ascii="Times New Roman" w:eastAsia="Times New Roman" w:hAnsi="Times New Roman"/>
                <w:color w:val="000000"/>
                <w:sz w:val="18"/>
                <w:szCs w:val="18"/>
                <w:lang w:eastAsia="lt-LT"/>
              </w:rPr>
              <w:t>498</w:t>
            </w:r>
            <w:r w:rsidR="003425A4" w:rsidRPr="004E77F7">
              <w:rPr>
                <w:rFonts w:ascii="Times New Roman" w:eastAsia="Times New Roman" w:hAnsi="Times New Roman"/>
                <w:color w:val="000000"/>
                <w:sz w:val="18"/>
                <w:szCs w:val="18"/>
                <w:lang w:eastAsia="lt-LT"/>
              </w:rPr>
              <w:t>.</w:t>
            </w:r>
            <w:r w:rsidRPr="004E77F7">
              <w:rPr>
                <w:rFonts w:ascii="Times New Roman" w:eastAsia="Times New Roman" w:hAnsi="Times New Roman"/>
                <w:color w:val="000000"/>
                <w:sz w:val="18"/>
                <w:szCs w:val="18"/>
                <w:lang w:eastAsia="lt-LT"/>
              </w:rPr>
              <w:t>488</w:t>
            </w:r>
          </w:p>
        </w:tc>
        <w:tc>
          <w:tcPr>
            <w:tcW w:w="567" w:type="dxa"/>
            <w:tcBorders>
              <w:top w:val="nil"/>
              <w:left w:val="nil"/>
              <w:bottom w:val="single" w:sz="4" w:space="0" w:color="auto"/>
              <w:right w:val="single" w:sz="4" w:space="0" w:color="auto"/>
            </w:tcBorders>
            <w:shd w:val="clear" w:color="auto" w:fill="auto"/>
            <w:vAlign w:val="center"/>
            <w:hideMark/>
          </w:tcPr>
          <w:p w:rsidR="003425A4" w:rsidRPr="00DF1549" w:rsidRDefault="003425A4" w:rsidP="00F6184C">
            <w:pPr>
              <w:spacing w:after="0" w:line="240" w:lineRule="auto"/>
              <w:jc w:val="right"/>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6,00</w:t>
            </w:r>
          </w:p>
        </w:tc>
      </w:tr>
      <w:tr w:rsidR="003425A4" w:rsidRPr="00DF1549" w:rsidTr="00650E41">
        <w:trPr>
          <w:trHeight w:val="510"/>
        </w:trPr>
        <w:tc>
          <w:tcPr>
            <w:tcW w:w="1418" w:type="dxa"/>
            <w:vMerge/>
            <w:tcBorders>
              <w:top w:val="nil"/>
              <w:left w:val="single" w:sz="4" w:space="0" w:color="auto"/>
              <w:bottom w:val="single" w:sz="4" w:space="0" w:color="000000"/>
              <w:right w:val="single" w:sz="4" w:space="0" w:color="auto"/>
            </w:tcBorders>
            <w:vAlign w:val="center"/>
            <w:hideMark/>
          </w:tcPr>
          <w:p w:rsidR="003425A4" w:rsidRPr="006F2E2E" w:rsidRDefault="003425A4" w:rsidP="00AA7F36">
            <w:pPr>
              <w:spacing w:after="0" w:line="240" w:lineRule="auto"/>
              <w:rPr>
                <w:rFonts w:ascii="Times New Roman" w:eastAsia="Times New Roman" w:hAnsi="Times New Roman"/>
                <w:i/>
                <w:iCs/>
                <w:color w:val="000000"/>
                <w:sz w:val="18"/>
                <w:szCs w:val="18"/>
                <w:lang w:eastAsia="lt-LT"/>
              </w:rPr>
            </w:pPr>
          </w:p>
        </w:tc>
        <w:tc>
          <w:tcPr>
            <w:tcW w:w="850" w:type="dxa"/>
            <w:tcBorders>
              <w:top w:val="nil"/>
              <w:left w:val="nil"/>
              <w:bottom w:val="single" w:sz="4" w:space="0" w:color="auto"/>
              <w:right w:val="single" w:sz="4" w:space="0" w:color="auto"/>
            </w:tcBorders>
            <w:shd w:val="clear" w:color="auto" w:fill="auto"/>
            <w:vAlign w:val="center"/>
            <w:hideMark/>
          </w:tcPr>
          <w:p w:rsidR="003425A4" w:rsidRPr="00DF1549" w:rsidRDefault="003425A4" w:rsidP="00F6184C">
            <w:pPr>
              <w:spacing w:after="0" w:line="240" w:lineRule="auto"/>
              <w:jc w:val="both"/>
              <w:rPr>
                <w:rFonts w:ascii="Times New Roman" w:eastAsia="Times New Roman" w:hAnsi="Times New Roman"/>
                <w:color w:val="000000"/>
                <w:sz w:val="18"/>
                <w:szCs w:val="18"/>
                <w:lang w:eastAsia="lt-LT"/>
              </w:rPr>
            </w:pPr>
            <w:r w:rsidRPr="00DF1549">
              <w:rPr>
                <w:rFonts w:ascii="Times New Roman" w:eastAsia="Times New Roman" w:hAnsi="Times New Roman"/>
                <w:color w:val="000000"/>
                <w:sz w:val="18"/>
                <w:szCs w:val="18"/>
                <w:lang w:eastAsia="lt-LT"/>
              </w:rPr>
              <w:t>S</w:t>
            </w:r>
            <w:r>
              <w:rPr>
                <w:rFonts w:ascii="Times New Roman" w:eastAsia="Times New Roman" w:hAnsi="Times New Roman"/>
                <w:color w:val="000000"/>
                <w:sz w:val="18"/>
                <w:szCs w:val="18"/>
                <w:lang w:eastAsia="lt-LT"/>
              </w:rPr>
              <w:t>a</w:t>
            </w:r>
            <w:r w:rsidRPr="00DF1549">
              <w:rPr>
                <w:rFonts w:ascii="Times New Roman" w:eastAsia="Times New Roman" w:hAnsi="Times New Roman"/>
                <w:color w:val="000000"/>
                <w:sz w:val="18"/>
                <w:szCs w:val="18"/>
                <w:lang w:eastAsia="lt-LT"/>
              </w:rPr>
              <w:t>F</w:t>
            </w:r>
          </w:p>
        </w:tc>
        <w:tc>
          <w:tcPr>
            <w:tcW w:w="993" w:type="dxa"/>
            <w:tcBorders>
              <w:top w:val="nil"/>
              <w:left w:val="nil"/>
              <w:bottom w:val="single" w:sz="4" w:space="0" w:color="auto"/>
              <w:right w:val="single" w:sz="4" w:space="0" w:color="auto"/>
            </w:tcBorders>
            <w:shd w:val="clear" w:color="auto" w:fill="auto"/>
            <w:vAlign w:val="center"/>
            <w:hideMark/>
          </w:tcPr>
          <w:p w:rsidR="003425A4" w:rsidRPr="006F2E2E" w:rsidRDefault="003425A4" w:rsidP="00F6184C">
            <w:pPr>
              <w:spacing w:after="0" w:line="240" w:lineRule="auto"/>
              <w:rPr>
                <w:rFonts w:ascii="Times New Roman" w:eastAsia="Times New Roman" w:hAnsi="Times New Roman"/>
                <w:sz w:val="18"/>
                <w:szCs w:val="18"/>
                <w:lang w:eastAsia="lt-LT"/>
              </w:rPr>
            </w:pPr>
            <w:r w:rsidRPr="006F2E2E">
              <w:rPr>
                <w:rFonts w:ascii="Times New Roman" w:eastAsia="Times New Roman" w:hAnsi="Times New Roman"/>
                <w:sz w:val="18"/>
                <w:szCs w:val="18"/>
                <w:lang w:eastAsia="lt-LT"/>
              </w:rPr>
              <w:t>Bendros tinkamos išlaidos</w:t>
            </w:r>
          </w:p>
        </w:tc>
        <w:tc>
          <w:tcPr>
            <w:tcW w:w="1275" w:type="dxa"/>
            <w:tcBorders>
              <w:top w:val="nil"/>
              <w:left w:val="nil"/>
              <w:bottom w:val="single" w:sz="4" w:space="0" w:color="auto"/>
              <w:right w:val="single" w:sz="4" w:space="0" w:color="auto"/>
            </w:tcBorders>
            <w:shd w:val="clear" w:color="auto" w:fill="auto"/>
            <w:vAlign w:val="center"/>
            <w:hideMark/>
          </w:tcPr>
          <w:p w:rsidR="003425A4" w:rsidRPr="004E77F7" w:rsidRDefault="003425A4" w:rsidP="00C92D1A">
            <w:pPr>
              <w:shd w:val="clear" w:color="auto" w:fill="FFFFFF"/>
              <w:spacing w:after="0" w:line="240" w:lineRule="auto"/>
              <w:jc w:val="right"/>
              <w:rPr>
                <w:rFonts w:ascii="Times New Roman" w:eastAsia="Times New Roman" w:hAnsi="Times New Roman"/>
                <w:strike/>
                <w:sz w:val="18"/>
                <w:szCs w:val="18"/>
                <w:lang w:eastAsia="lt-LT"/>
              </w:rPr>
            </w:pPr>
            <w:r w:rsidRPr="004E77F7">
              <w:rPr>
                <w:rFonts w:ascii="Times New Roman" w:eastAsia="Times New Roman" w:hAnsi="Times New Roman"/>
                <w:sz w:val="18"/>
                <w:szCs w:val="18"/>
                <w:lang w:eastAsia="lt-LT"/>
              </w:rPr>
              <w:t>3</w:t>
            </w:r>
            <w:r w:rsidR="00741862" w:rsidRPr="004E77F7">
              <w:rPr>
                <w:rFonts w:ascii="Times New Roman" w:eastAsia="Times New Roman" w:hAnsi="Times New Roman"/>
                <w:sz w:val="18"/>
                <w:szCs w:val="18"/>
                <w:lang w:eastAsia="lt-LT"/>
              </w:rPr>
              <w:t>64.5</w:t>
            </w:r>
            <w:r w:rsidRPr="004E77F7">
              <w:rPr>
                <w:rFonts w:ascii="Times New Roman" w:eastAsia="Times New Roman" w:hAnsi="Times New Roman"/>
                <w:sz w:val="18"/>
                <w:szCs w:val="18"/>
                <w:lang w:eastAsia="lt-LT"/>
              </w:rPr>
              <w:t>18.432</w:t>
            </w:r>
          </w:p>
        </w:tc>
        <w:tc>
          <w:tcPr>
            <w:tcW w:w="1276" w:type="dxa"/>
            <w:tcBorders>
              <w:top w:val="nil"/>
              <w:left w:val="nil"/>
              <w:bottom w:val="single" w:sz="4" w:space="0" w:color="auto"/>
              <w:right w:val="single" w:sz="4" w:space="0" w:color="auto"/>
            </w:tcBorders>
            <w:shd w:val="clear" w:color="auto" w:fill="auto"/>
            <w:vAlign w:val="center"/>
            <w:hideMark/>
          </w:tcPr>
          <w:p w:rsidR="003425A4" w:rsidRPr="004E77F7" w:rsidRDefault="003425A4" w:rsidP="00741862">
            <w:pPr>
              <w:shd w:val="clear" w:color="auto" w:fill="FFFFFF"/>
              <w:spacing w:after="0" w:line="240" w:lineRule="auto"/>
              <w:jc w:val="right"/>
              <w:rPr>
                <w:rFonts w:ascii="Times New Roman" w:eastAsia="Times New Roman" w:hAnsi="Times New Roman"/>
                <w:strike/>
                <w:sz w:val="18"/>
                <w:szCs w:val="18"/>
                <w:lang w:eastAsia="lt-LT"/>
              </w:rPr>
            </w:pPr>
            <w:r w:rsidRPr="004E77F7">
              <w:rPr>
                <w:rFonts w:ascii="Times New Roman" w:eastAsia="Times New Roman" w:hAnsi="Times New Roman"/>
                <w:sz w:val="18"/>
                <w:szCs w:val="18"/>
                <w:lang w:eastAsia="lt-LT"/>
              </w:rPr>
              <w:t>6</w:t>
            </w:r>
            <w:r w:rsidR="00741862" w:rsidRPr="004E77F7">
              <w:rPr>
                <w:rFonts w:ascii="Times New Roman" w:eastAsia="Times New Roman" w:hAnsi="Times New Roman"/>
                <w:sz w:val="18"/>
                <w:szCs w:val="18"/>
                <w:lang w:eastAsia="lt-LT"/>
              </w:rPr>
              <w:t>4</w:t>
            </w:r>
            <w:r w:rsidRPr="004E77F7">
              <w:rPr>
                <w:rFonts w:ascii="Times New Roman" w:eastAsia="Times New Roman" w:hAnsi="Times New Roman"/>
                <w:sz w:val="18"/>
                <w:szCs w:val="18"/>
                <w:lang w:eastAsia="lt-LT"/>
              </w:rPr>
              <w:t>.</w:t>
            </w:r>
            <w:r w:rsidR="00741862" w:rsidRPr="004E77F7">
              <w:rPr>
                <w:rFonts w:ascii="Times New Roman" w:eastAsia="Times New Roman" w:hAnsi="Times New Roman"/>
                <w:sz w:val="18"/>
                <w:szCs w:val="18"/>
                <w:lang w:eastAsia="lt-LT"/>
              </w:rPr>
              <w:t>326</w:t>
            </w:r>
            <w:r w:rsidRPr="004E77F7">
              <w:rPr>
                <w:rFonts w:ascii="Times New Roman" w:eastAsia="Times New Roman" w:hAnsi="Times New Roman"/>
                <w:sz w:val="18"/>
                <w:szCs w:val="18"/>
                <w:lang w:eastAsia="lt-LT"/>
              </w:rPr>
              <w:t>.</w:t>
            </w:r>
            <w:r w:rsidR="00741862" w:rsidRPr="004E77F7">
              <w:rPr>
                <w:rFonts w:ascii="Times New Roman" w:eastAsia="Times New Roman" w:hAnsi="Times New Roman"/>
                <w:sz w:val="18"/>
                <w:szCs w:val="18"/>
                <w:lang w:eastAsia="lt-LT"/>
              </w:rPr>
              <w:t>783</w:t>
            </w:r>
          </w:p>
        </w:tc>
        <w:tc>
          <w:tcPr>
            <w:tcW w:w="1134" w:type="dxa"/>
            <w:tcBorders>
              <w:top w:val="single" w:sz="4" w:space="0" w:color="auto"/>
              <w:left w:val="nil"/>
              <w:bottom w:val="single" w:sz="4" w:space="0" w:color="auto"/>
              <w:right w:val="single" w:sz="4" w:space="0" w:color="auto"/>
            </w:tcBorders>
            <w:vAlign w:val="center"/>
          </w:tcPr>
          <w:p w:rsidR="003425A4" w:rsidRPr="004E77F7" w:rsidRDefault="003425A4" w:rsidP="00C92D1A">
            <w:pPr>
              <w:shd w:val="clear" w:color="auto" w:fill="FFFFFF"/>
              <w:spacing w:after="0" w:line="240" w:lineRule="auto"/>
              <w:jc w:val="right"/>
              <w:rPr>
                <w:rFonts w:ascii="Times New Roman" w:eastAsia="Times New Roman" w:hAnsi="Times New Roman"/>
                <w:strike/>
                <w:sz w:val="18"/>
                <w:szCs w:val="18"/>
              </w:rPr>
            </w:pPr>
            <w:r w:rsidRPr="004E77F7">
              <w:rPr>
                <w:rFonts w:ascii="Times New Roman" w:eastAsia="Times New Roman" w:hAnsi="Times New Roman"/>
                <w:sz w:val="18"/>
                <w:szCs w:val="18"/>
              </w:rPr>
              <w:t>2.</w:t>
            </w:r>
            <w:r w:rsidR="00C92D1A" w:rsidRPr="004E77F7">
              <w:rPr>
                <w:rFonts w:ascii="Times New Roman" w:eastAsia="Times New Roman" w:hAnsi="Times New Roman"/>
                <w:sz w:val="18"/>
                <w:szCs w:val="18"/>
              </w:rPr>
              <w:t>678</w:t>
            </w:r>
            <w:r w:rsidRPr="004E77F7">
              <w:rPr>
                <w:rFonts w:ascii="Times New Roman" w:eastAsia="Times New Roman" w:hAnsi="Times New Roman"/>
                <w:sz w:val="18"/>
                <w:szCs w:val="18"/>
              </w:rPr>
              <w:t>.</w:t>
            </w:r>
            <w:r w:rsidR="00C92D1A" w:rsidRPr="004E77F7">
              <w:rPr>
                <w:rFonts w:ascii="Times New Roman" w:eastAsia="Times New Roman" w:hAnsi="Times New Roman"/>
                <w:sz w:val="18"/>
                <w:szCs w:val="18"/>
              </w:rPr>
              <w:t>842</w:t>
            </w:r>
          </w:p>
        </w:tc>
        <w:tc>
          <w:tcPr>
            <w:tcW w:w="1134" w:type="dxa"/>
            <w:tcBorders>
              <w:top w:val="single" w:sz="4" w:space="0" w:color="auto"/>
              <w:left w:val="single" w:sz="4" w:space="0" w:color="auto"/>
              <w:bottom w:val="single" w:sz="4" w:space="0" w:color="auto"/>
              <w:right w:val="single" w:sz="4" w:space="0" w:color="auto"/>
            </w:tcBorders>
            <w:vAlign w:val="center"/>
          </w:tcPr>
          <w:p w:rsidR="003425A4" w:rsidRPr="004E77F7" w:rsidRDefault="004B1A7E" w:rsidP="00C92D1A">
            <w:pPr>
              <w:shd w:val="clear" w:color="auto" w:fill="FFFFFF"/>
              <w:spacing w:after="0" w:line="240" w:lineRule="auto"/>
              <w:jc w:val="right"/>
              <w:rPr>
                <w:rFonts w:ascii="Times New Roman" w:hAnsi="Times New Roman"/>
                <w:strike/>
                <w:sz w:val="18"/>
                <w:szCs w:val="18"/>
              </w:rPr>
            </w:pPr>
            <w:r w:rsidRPr="004E77F7">
              <w:rPr>
                <w:rFonts w:ascii="Times New Roman" w:hAnsi="Times New Roman"/>
                <w:sz w:val="18"/>
                <w:szCs w:val="18"/>
              </w:rPr>
              <w:t>61.647</w:t>
            </w:r>
            <w:r w:rsidR="003425A4" w:rsidRPr="004E77F7">
              <w:rPr>
                <w:rFonts w:ascii="Times New Roman" w:hAnsi="Times New Roman"/>
                <w:sz w:val="18"/>
                <w:szCs w:val="18"/>
              </w:rPr>
              <w:t>.</w:t>
            </w:r>
            <w:r w:rsidRPr="004E77F7">
              <w:rPr>
                <w:rFonts w:ascii="Times New Roman" w:hAnsi="Times New Roman"/>
                <w:sz w:val="18"/>
                <w:szCs w:val="18"/>
              </w:rPr>
              <w:t>941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3425A4" w:rsidRPr="004E77F7" w:rsidRDefault="003425A4" w:rsidP="00C92D1A">
            <w:pPr>
              <w:shd w:val="clear" w:color="auto" w:fill="FFFFFF"/>
              <w:spacing w:after="0" w:line="240" w:lineRule="auto"/>
              <w:jc w:val="right"/>
              <w:rPr>
                <w:rFonts w:ascii="Times New Roman" w:eastAsia="Times New Roman" w:hAnsi="Times New Roman"/>
                <w:strike/>
                <w:color w:val="000000"/>
                <w:sz w:val="18"/>
                <w:szCs w:val="18"/>
                <w:lang w:eastAsia="lt-LT"/>
              </w:rPr>
            </w:pPr>
            <w:r w:rsidRPr="004E77F7">
              <w:rPr>
                <w:rFonts w:ascii="Times New Roman" w:eastAsia="Times New Roman" w:hAnsi="Times New Roman"/>
                <w:color w:val="000000"/>
                <w:sz w:val="18"/>
                <w:szCs w:val="18"/>
                <w:lang w:eastAsia="lt-LT"/>
              </w:rPr>
              <w:t>4</w:t>
            </w:r>
            <w:r w:rsidR="004B1A7E" w:rsidRPr="004E77F7">
              <w:rPr>
                <w:rFonts w:ascii="Times New Roman" w:eastAsia="Times New Roman" w:hAnsi="Times New Roman"/>
                <w:color w:val="000000"/>
                <w:sz w:val="18"/>
                <w:szCs w:val="18"/>
                <w:lang w:eastAsia="lt-LT"/>
              </w:rPr>
              <w:t>28</w:t>
            </w:r>
            <w:r w:rsidRPr="004E77F7">
              <w:rPr>
                <w:rFonts w:ascii="Times New Roman" w:eastAsia="Times New Roman" w:hAnsi="Times New Roman"/>
                <w:color w:val="000000"/>
                <w:sz w:val="18"/>
                <w:szCs w:val="18"/>
                <w:lang w:eastAsia="lt-LT"/>
              </w:rPr>
              <w:t>.</w:t>
            </w:r>
            <w:r w:rsidR="004B1A7E" w:rsidRPr="004E77F7">
              <w:rPr>
                <w:rFonts w:ascii="Times New Roman" w:eastAsia="Times New Roman" w:hAnsi="Times New Roman"/>
                <w:color w:val="000000"/>
                <w:sz w:val="18"/>
                <w:szCs w:val="18"/>
                <w:lang w:eastAsia="lt-LT"/>
              </w:rPr>
              <w:t>845</w:t>
            </w:r>
            <w:r w:rsidRPr="004E77F7">
              <w:rPr>
                <w:rFonts w:ascii="Times New Roman" w:eastAsia="Times New Roman" w:hAnsi="Times New Roman"/>
                <w:color w:val="000000"/>
                <w:sz w:val="18"/>
                <w:szCs w:val="18"/>
                <w:lang w:eastAsia="lt-LT"/>
              </w:rPr>
              <w:t>.</w:t>
            </w:r>
            <w:r w:rsidR="004B1A7E" w:rsidRPr="004E77F7">
              <w:rPr>
                <w:rFonts w:ascii="Times New Roman" w:eastAsia="Times New Roman" w:hAnsi="Times New Roman"/>
                <w:color w:val="000000"/>
                <w:sz w:val="18"/>
                <w:szCs w:val="18"/>
                <w:lang w:eastAsia="lt-LT"/>
              </w:rPr>
              <w:t>215</w:t>
            </w:r>
          </w:p>
        </w:tc>
        <w:tc>
          <w:tcPr>
            <w:tcW w:w="709" w:type="dxa"/>
            <w:tcBorders>
              <w:top w:val="nil"/>
              <w:left w:val="nil"/>
              <w:bottom w:val="single" w:sz="4" w:space="0" w:color="auto"/>
              <w:right w:val="single" w:sz="4" w:space="0" w:color="auto"/>
            </w:tcBorders>
            <w:shd w:val="clear" w:color="auto" w:fill="auto"/>
            <w:vAlign w:val="center"/>
            <w:hideMark/>
          </w:tcPr>
          <w:p w:rsidR="003425A4" w:rsidRPr="004E77F7" w:rsidRDefault="003425A4" w:rsidP="00372448">
            <w:pPr>
              <w:spacing w:after="0" w:line="240" w:lineRule="auto"/>
              <w:jc w:val="right"/>
              <w:rPr>
                <w:rFonts w:ascii="Times New Roman" w:eastAsia="Times New Roman" w:hAnsi="Times New Roman"/>
                <w:color w:val="000000"/>
                <w:sz w:val="18"/>
                <w:szCs w:val="18"/>
                <w:lang w:eastAsia="lt-LT"/>
              </w:rPr>
            </w:pPr>
            <w:r w:rsidRPr="004E77F7">
              <w:rPr>
                <w:rFonts w:ascii="Times New Roman" w:eastAsia="Times New Roman" w:hAnsi="Times New Roman"/>
                <w:color w:val="000000"/>
                <w:sz w:val="18"/>
                <w:szCs w:val="18"/>
                <w:lang w:eastAsia="lt-LT"/>
              </w:rPr>
              <w:t>85,00</w:t>
            </w:r>
          </w:p>
        </w:tc>
        <w:tc>
          <w:tcPr>
            <w:tcW w:w="425" w:type="dxa"/>
            <w:tcBorders>
              <w:top w:val="nil"/>
              <w:left w:val="nil"/>
              <w:bottom w:val="single" w:sz="4" w:space="0" w:color="auto"/>
              <w:right w:val="single" w:sz="4" w:space="0" w:color="auto"/>
            </w:tcBorders>
            <w:shd w:val="clear" w:color="auto" w:fill="auto"/>
            <w:noWrap/>
            <w:vAlign w:val="bottom"/>
            <w:hideMark/>
          </w:tcPr>
          <w:p w:rsidR="003425A4" w:rsidRPr="004E77F7" w:rsidRDefault="00A50C23" w:rsidP="00372448">
            <w:pPr>
              <w:spacing w:after="0" w:line="240" w:lineRule="auto"/>
              <w:jc w:val="right"/>
              <w:rPr>
                <w:rFonts w:ascii="Times New Roman" w:eastAsia="Times New Roman" w:hAnsi="Times New Roman"/>
                <w:color w:val="000000"/>
                <w:sz w:val="18"/>
                <w:szCs w:val="18"/>
                <w:lang w:eastAsia="lt-LT"/>
              </w:rPr>
            </w:pPr>
            <w:r w:rsidRPr="004E77F7">
              <w:rPr>
                <w:rFonts w:ascii="Times New Roman" w:eastAsia="Times New Roman" w:hAnsi="Times New Roman"/>
                <w:color w:val="000000"/>
                <w:sz w:val="18"/>
                <w:szCs w:val="18"/>
                <w:lang w:eastAsia="lt-LT"/>
              </w:rPr>
              <w:t>.</w:t>
            </w:r>
          </w:p>
        </w:tc>
        <w:tc>
          <w:tcPr>
            <w:tcW w:w="1417" w:type="dxa"/>
            <w:tcBorders>
              <w:top w:val="nil"/>
              <w:left w:val="nil"/>
              <w:bottom w:val="single" w:sz="4" w:space="0" w:color="auto"/>
              <w:right w:val="single" w:sz="4" w:space="0" w:color="auto"/>
            </w:tcBorders>
            <w:shd w:val="clear" w:color="auto" w:fill="auto"/>
            <w:vAlign w:val="center"/>
            <w:hideMark/>
          </w:tcPr>
          <w:p w:rsidR="003425A4" w:rsidRPr="004E77F7" w:rsidRDefault="003425A4" w:rsidP="00C92D1A">
            <w:pPr>
              <w:shd w:val="clear" w:color="auto" w:fill="FFFFFF"/>
              <w:spacing w:after="0" w:line="240" w:lineRule="auto"/>
              <w:jc w:val="right"/>
              <w:rPr>
                <w:rFonts w:ascii="Times New Roman" w:eastAsia="Times New Roman" w:hAnsi="Times New Roman"/>
                <w:strike/>
                <w:color w:val="000000"/>
                <w:sz w:val="18"/>
                <w:szCs w:val="18"/>
                <w:lang w:eastAsia="lt-LT"/>
              </w:rPr>
            </w:pPr>
            <w:r w:rsidRPr="004E77F7">
              <w:rPr>
                <w:rFonts w:ascii="Times New Roman" w:eastAsia="Times New Roman" w:hAnsi="Times New Roman"/>
                <w:color w:val="000000"/>
                <w:sz w:val="18"/>
                <w:szCs w:val="18"/>
                <w:lang w:eastAsia="lt-LT"/>
              </w:rPr>
              <w:t>3</w:t>
            </w:r>
            <w:r w:rsidR="004B1A7E" w:rsidRPr="004E77F7">
              <w:rPr>
                <w:rFonts w:ascii="Times New Roman" w:eastAsia="Times New Roman" w:hAnsi="Times New Roman"/>
                <w:color w:val="000000"/>
                <w:sz w:val="18"/>
                <w:szCs w:val="18"/>
                <w:lang w:eastAsia="lt-LT"/>
              </w:rPr>
              <w:t>40</w:t>
            </w:r>
            <w:r w:rsidRPr="004E77F7">
              <w:rPr>
                <w:rFonts w:ascii="Times New Roman" w:eastAsia="Times New Roman" w:hAnsi="Times New Roman"/>
                <w:color w:val="000000"/>
                <w:sz w:val="18"/>
                <w:szCs w:val="18"/>
                <w:lang w:eastAsia="lt-LT"/>
              </w:rPr>
              <w:t>.</w:t>
            </w:r>
            <w:r w:rsidR="004B1A7E" w:rsidRPr="004E77F7">
              <w:rPr>
                <w:rFonts w:ascii="Times New Roman" w:eastAsia="Times New Roman" w:hAnsi="Times New Roman"/>
                <w:color w:val="000000"/>
                <w:sz w:val="18"/>
                <w:szCs w:val="18"/>
                <w:lang w:eastAsia="lt-LT"/>
              </w:rPr>
              <w:t>4</w:t>
            </w:r>
            <w:r w:rsidR="004F2FBD" w:rsidRPr="004E77F7">
              <w:rPr>
                <w:rFonts w:ascii="Times New Roman" w:eastAsia="Times New Roman" w:hAnsi="Times New Roman"/>
                <w:color w:val="000000"/>
                <w:sz w:val="18"/>
                <w:szCs w:val="18"/>
                <w:lang w:eastAsia="lt-LT"/>
              </w:rPr>
              <w:t>32</w:t>
            </w:r>
            <w:r w:rsidRPr="004E77F7">
              <w:rPr>
                <w:rFonts w:ascii="Times New Roman" w:eastAsia="Times New Roman" w:hAnsi="Times New Roman"/>
                <w:color w:val="000000"/>
                <w:sz w:val="18"/>
                <w:szCs w:val="18"/>
                <w:lang w:eastAsia="lt-LT"/>
              </w:rPr>
              <w:t>.</w:t>
            </w:r>
            <w:r w:rsidR="004B1A7E" w:rsidRPr="004E77F7">
              <w:rPr>
                <w:rFonts w:ascii="Times New Roman" w:eastAsia="Times New Roman" w:hAnsi="Times New Roman"/>
                <w:color w:val="000000"/>
                <w:sz w:val="18"/>
                <w:szCs w:val="18"/>
                <w:lang w:eastAsia="lt-LT"/>
              </w:rPr>
              <w:t>8</w:t>
            </w:r>
            <w:r w:rsidR="004F2FBD" w:rsidRPr="004E77F7">
              <w:rPr>
                <w:rFonts w:ascii="Times New Roman" w:eastAsia="Times New Roman" w:hAnsi="Times New Roman"/>
                <w:color w:val="000000"/>
                <w:sz w:val="18"/>
                <w:szCs w:val="18"/>
                <w:lang w:eastAsia="lt-LT"/>
              </w:rPr>
              <w:t>72</w:t>
            </w:r>
          </w:p>
        </w:tc>
        <w:tc>
          <w:tcPr>
            <w:tcW w:w="1276" w:type="dxa"/>
            <w:tcBorders>
              <w:top w:val="nil"/>
              <w:left w:val="nil"/>
              <w:bottom w:val="single" w:sz="4" w:space="0" w:color="auto"/>
              <w:right w:val="single" w:sz="4" w:space="0" w:color="auto"/>
            </w:tcBorders>
            <w:shd w:val="clear" w:color="auto" w:fill="auto"/>
            <w:vAlign w:val="center"/>
            <w:hideMark/>
          </w:tcPr>
          <w:p w:rsidR="003425A4" w:rsidRPr="004E77F7" w:rsidRDefault="004B1A7E" w:rsidP="004B1A7E">
            <w:pPr>
              <w:shd w:val="clear" w:color="auto" w:fill="FFFFFF"/>
              <w:spacing w:after="0" w:line="240" w:lineRule="auto"/>
              <w:jc w:val="right"/>
              <w:rPr>
                <w:rFonts w:ascii="Times New Roman" w:eastAsia="Times New Roman" w:hAnsi="Times New Roman"/>
                <w:color w:val="000000"/>
                <w:sz w:val="18"/>
                <w:szCs w:val="18"/>
                <w:lang w:eastAsia="lt-LT"/>
              </w:rPr>
            </w:pPr>
            <w:r w:rsidRPr="004E77F7">
              <w:rPr>
                <w:rFonts w:ascii="Times New Roman" w:eastAsia="Times New Roman" w:hAnsi="Times New Roman"/>
                <w:color w:val="000000"/>
                <w:sz w:val="18"/>
                <w:szCs w:val="18"/>
                <w:lang w:eastAsia="lt-LT"/>
              </w:rPr>
              <w:t>60.07</w:t>
            </w:r>
            <w:r w:rsidR="009773FE" w:rsidRPr="004E77F7">
              <w:rPr>
                <w:rFonts w:ascii="Times New Roman" w:eastAsia="Times New Roman" w:hAnsi="Times New Roman"/>
                <w:color w:val="000000"/>
                <w:sz w:val="18"/>
                <w:szCs w:val="18"/>
                <w:lang w:eastAsia="lt-LT"/>
              </w:rPr>
              <w:t>6</w:t>
            </w:r>
            <w:r w:rsidR="003425A4" w:rsidRPr="004E77F7">
              <w:rPr>
                <w:rFonts w:ascii="Times New Roman" w:eastAsia="Times New Roman" w:hAnsi="Times New Roman"/>
                <w:color w:val="000000"/>
                <w:sz w:val="18"/>
                <w:szCs w:val="18"/>
                <w:lang w:eastAsia="lt-LT"/>
              </w:rPr>
              <w:t>.</w:t>
            </w:r>
            <w:r w:rsidR="009773FE" w:rsidRPr="004E77F7">
              <w:rPr>
                <w:rFonts w:ascii="Times New Roman" w:eastAsia="Times New Roman" w:hAnsi="Times New Roman"/>
                <w:color w:val="000000"/>
                <w:sz w:val="18"/>
                <w:szCs w:val="18"/>
                <w:lang w:eastAsia="lt-LT"/>
              </w:rPr>
              <w:t>39</w:t>
            </w:r>
            <w:r w:rsidRPr="004E77F7">
              <w:rPr>
                <w:rFonts w:ascii="Times New Roman" w:eastAsia="Times New Roman" w:hAnsi="Times New Roman"/>
                <w:color w:val="000000"/>
                <w:sz w:val="18"/>
                <w:szCs w:val="18"/>
                <w:lang w:eastAsia="lt-LT"/>
              </w:rPr>
              <w:t>0</w:t>
            </w:r>
          </w:p>
        </w:tc>
        <w:tc>
          <w:tcPr>
            <w:tcW w:w="1134" w:type="dxa"/>
            <w:tcBorders>
              <w:top w:val="nil"/>
              <w:left w:val="nil"/>
              <w:bottom w:val="single" w:sz="4" w:space="0" w:color="auto"/>
              <w:right w:val="single" w:sz="4" w:space="0" w:color="auto"/>
            </w:tcBorders>
            <w:shd w:val="clear" w:color="auto" w:fill="auto"/>
            <w:vAlign w:val="center"/>
            <w:hideMark/>
          </w:tcPr>
          <w:p w:rsidR="003425A4" w:rsidRPr="004E77F7" w:rsidRDefault="00B15566" w:rsidP="004B1A7E">
            <w:pPr>
              <w:shd w:val="clear" w:color="auto" w:fill="FFFFFF"/>
              <w:spacing w:after="0" w:line="240" w:lineRule="auto"/>
              <w:jc w:val="right"/>
              <w:rPr>
                <w:rFonts w:ascii="Times New Roman" w:eastAsia="Times New Roman" w:hAnsi="Times New Roman"/>
                <w:strike/>
                <w:color w:val="000000"/>
                <w:sz w:val="18"/>
                <w:szCs w:val="18"/>
                <w:lang w:eastAsia="lt-LT"/>
              </w:rPr>
            </w:pPr>
            <w:r w:rsidRPr="004E77F7">
              <w:rPr>
                <w:rFonts w:ascii="Times New Roman" w:eastAsia="Times New Roman" w:hAnsi="Times New Roman"/>
                <w:color w:val="000000"/>
                <w:sz w:val="18"/>
                <w:szCs w:val="18"/>
                <w:lang w:eastAsia="lt-LT"/>
              </w:rPr>
              <w:t>2</w:t>
            </w:r>
            <w:r w:rsidR="004B1A7E" w:rsidRPr="004E77F7">
              <w:rPr>
                <w:rFonts w:ascii="Times New Roman" w:eastAsia="Times New Roman" w:hAnsi="Times New Roman"/>
                <w:color w:val="000000"/>
                <w:sz w:val="18"/>
                <w:szCs w:val="18"/>
                <w:lang w:eastAsia="lt-LT"/>
              </w:rPr>
              <w:t>4</w:t>
            </w:r>
            <w:r w:rsidR="003425A4" w:rsidRPr="004E77F7">
              <w:rPr>
                <w:rFonts w:ascii="Times New Roman" w:eastAsia="Times New Roman" w:hAnsi="Times New Roman"/>
                <w:color w:val="000000"/>
                <w:sz w:val="18"/>
                <w:szCs w:val="18"/>
                <w:lang w:eastAsia="lt-LT"/>
              </w:rPr>
              <w:t>.</w:t>
            </w:r>
            <w:r w:rsidR="004F2FBD" w:rsidRPr="004E77F7">
              <w:rPr>
                <w:rFonts w:ascii="Times New Roman" w:eastAsia="Times New Roman" w:hAnsi="Times New Roman"/>
                <w:color w:val="000000"/>
                <w:sz w:val="18"/>
                <w:szCs w:val="18"/>
                <w:lang w:eastAsia="lt-LT"/>
              </w:rPr>
              <w:t>085</w:t>
            </w:r>
            <w:r w:rsidR="003425A4" w:rsidRPr="004E77F7">
              <w:rPr>
                <w:rFonts w:ascii="Times New Roman" w:eastAsia="Times New Roman" w:hAnsi="Times New Roman"/>
                <w:color w:val="000000"/>
                <w:sz w:val="18"/>
                <w:szCs w:val="18"/>
                <w:lang w:eastAsia="lt-LT"/>
              </w:rPr>
              <w:t>.</w:t>
            </w:r>
            <w:r w:rsidR="004F2FBD" w:rsidRPr="004E77F7">
              <w:rPr>
                <w:rFonts w:ascii="Times New Roman" w:eastAsia="Times New Roman" w:hAnsi="Times New Roman"/>
                <w:color w:val="000000"/>
                <w:sz w:val="18"/>
                <w:szCs w:val="18"/>
                <w:lang w:eastAsia="lt-LT"/>
              </w:rPr>
              <w:t>560</w:t>
            </w:r>
          </w:p>
        </w:tc>
        <w:tc>
          <w:tcPr>
            <w:tcW w:w="1134" w:type="dxa"/>
            <w:tcBorders>
              <w:top w:val="nil"/>
              <w:left w:val="nil"/>
              <w:bottom w:val="single" w:sz="4" w:space="0" w:color="auto"/>
              <w:right w:val="single" w:sz="4" w:space="0" w:color="auto"/>
            </w:tcBorders>
            <w:shd w:val="clear" w:color="auto" w:fill="auto"/>
            <w:vAlign w:val="center"/>
            <w:hideMark/>
          </w:tcPr>
          <w:p w:rsidR="003425A4" w:rsidRPr="004E77F7" w:rsidRDefault="004F2FBD" w:rsidP="00B15566">
            <w:pPr>
              <w:shd w:val="clear" w:color="auto" w:fill="FFFFFF"/>
              <w:spacing w:after="0" w:line="240" w:lineRule="auto"/>
              <w:jc w:val="right"/>
              <w:rPr>
                <w:rFonts w:ascii="Times New Roman" w:eastAsia="Times New Roman" w:hAnsi="Times New Roman"/>
                <w:strike/>
                <w:color w:val="000000"/>
                <w:sz w:val="18"/>
                <w:szCs w:val="18"/>
                <w:lang w:eastAsia="lt-LT"/>
              </w:rPr>
            </w:pPr>
            <w:r w:rsidRPr="004E77F7">
              <w:rPr>
                <w:rFonts w:ascii="Times New Roman" w:eastAsia="Times New Roman" w:hAnsi="Times New Roman"/>
                <w:color w:val="000000"/>
                <w:sz w:val="18"/>
                <w:szCs w:val="18"/>
                <w:lang w:eastAsia="lt-LT"/>
              </w:rPr>
              <w:t>4.250</w:t>
            </w:r>
            <w:r w:rsidR="003425A4" w:rsidRPr="004E77F7">
              <w:rPr>
                <w:rFonts w:ascii="Times New Roman" w:eastAsia="Times New Roman" w:hAnsi="Times New Roman"/>
                <w:color w:val="000000"/>
                <w:sz w:val="18"/>
                <w:szCs w:val="18"/>
                <w:lang w:eastAsia="lt-LT"/>
              </w:rPr>
              <w:t>.</w:t>
            </w:r>
            <w:r w:rsidRPr="004E77F7">
              <w:rPr>
                <w:rFonts w:ascii="Times New Roman" w:eastAsia="Times New Roman" w:hAnsi="Times New Roman"/>
                <w:color w:val="000000"/>
                <w:sz w:val="18"/>
                <w:szCs w:val="18"/>
                <w:lang w:eastAsia="lt-LT"/>
              </w:rPr>
              <w:t>39</w:t>
            </w:r>
            <w:r w:rsidR="004B1A7E" w:rsidRPr="004E77F7">
              <w:rPr>
                <w:rFonts w:ascii="Times New Roman" w:eastAsia="Times New Roman" w:hAnsi="Times New Roman"/>
                <w:color w:val="000000"/>
                <w:sz w:val="18"/>
                <w:szCs w:val="18"/>
                <w:lang w:eastAsia="lt-LT"/>
              </w:rPr>
              <w:t>3</w:t>
            </w:r>
          </w:p>
        </w:tc>
        <w:tc>
          <w:tcPr>
            <w:tcW w:w="567" w:type="dxa"/>
            <w:tcBorders>
              <w:top w:val="nil"/>
              <w:left w:val="nil"/>
              <w:bottom w:val="single" w:sz="4" w:space="0" w:color="auto"/>
              <w:right w:val="single" w:sz="4" w:space="0" w:color="auto"/>
            </w:tcBorders>
            <w:shd w:val="clear" w:color="auto" w:fill="auto"/>
            <w:vAlign w:val="center"/>
            <w:hideMark/>
          </w:tcPr>
          <w:p w:rsidR="003425A4" w:rsidRPr="00DF1549" w:rsidRDefault="003425A4" w:rsidP="00F6184C">
            <w:pPr>
              <w:spacing w:after="0" w:line="240" w:lineRule="auto"/>
              <w:jc w:val="right"/>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6,60</w:t>
            </w:r>
          </w:p>
        </w:tc>
      </w:tr>
      <w:tr w:rsidR="003425A4" w:rsidRPr="00DF1549" w:rsidTr="00650E41">
        <w:trPr>
          <w:trHeight w:val="510"/>
        </w:trPr>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3425A4" w:rsidRPr="006F2E2E" w:rsidRDefault="003425A4" w:rsidP="00AA7F36">
            <w:pPr>
              <w:widowControl w:val="0"/>
              <w:tabs>
                <w:tab w:val="left" w:pos="622"/>
              </w:tabs>
              <w:spacing w:after="0" w:line="240" w:lineRule="auto"/>
              <w:rPr>
                <w:rFonts w:ascii="Times New Roman" w:eastAsia="AngsanaUPC" w:hAnsi="Times New Roman"/>
                <w:bCs/>
                <w:sz w:val="18"/>
                <w:szCs w:val="18"/>
                <w:lang w:eastAsia="lt-LT"/>
              </w:rPr>
            </w:pPr>
            <w:r w:rsidRPr="006F2E2E">
              <w:rPr>
                <w:rFonts w:ascii="Times New Roman" w:eastAsia="AngsanaUPC" w:hAnsi="Times New Roman"/>
                <w:bCs/>
                <w:sz w:val="18"/>
                <w:szCs w:val="18"/>
                <w:lang w:eastAsia="lt-LT"/>
              </w:rPr>
              <w:t>5. Aplinkosauga, gamtos išteklių darnus naudojimas ir prisitaikymas prie klimato kaitos.</w:t>
            </w:r>
          </w:p>
        </w:tc>
        <w:tc>
          <w:tcPr>
            <w:tcW w:w="850" w:type="dxa"/>
            <w:tcBorders>
              <w:top w:val="nil"/>
              <w:left w:val="nil"/>
              <w:bottom w:val="single" w:sz="4" w:space="0" w:color="auto"/>
              <w:right w:val="single" w:sz="4" w:space="0" w:color="auto"/>
            </w:tcBorders>
            <w:shd w:val="clear" w:color="auto" w:fill="auto"/>
            <w:vAlign w:val="center"/>
            <w:hideMark/>
          </w:tcPr>
          <w:p w:rsidR="003425A4" w:rsidRPr="00DF1549" w:rsidRDefault="003425A4" w:rsidP="00F6184C">
            <w:pPr>
              <w:spacing w:after="0" w:line="240" w:lineRule="auto"/>
              <w:jc w:val="both"/>
              <w:rPr>
                <w:rFonts w:ascii="Times New Roman" w:eastAsia="Times New Roman" w:hAnsi="Times New Roman"/>
                <w:color w:val="000000"/>
                <w:sz w:val="18"/>
                <w:szCs w:val="18"/>
                <w:lang w:eastAsia="lt-LT"/>
              </w:rPr>
            </w:pPr>
            <w:r w:rsidRPr="00DF1549">
              <w:rPr>
                <w:rFonts w:ascii="Times New Roman" w:eastAsia="Times New Roman" w:hAnsi="Times New Roman"/>
                <w:color w:val="000000"/>
                <w:sz w:val="18"/>
                <w:szCs w:val="18"/>
                <w:lang w:eastAsia="lt-LT"/>
              </w:rPr>
              <w:t>ERPF</w:t>
            </w:r>
          </w:p>
        </w:tc>
        <w:tc>
          <w:tcPr>
            <w:tcW w:w="993" w:type="dxa"/>
            <w:tcBorders>
              <w:top w:val="nil"/>
              <w:left w:val="nil"/>
              <w:bottom w:val="single" w:sz="4" w:space="0" w:color="auto"/>
              <w:right w:val="single" w:sz="4" w:space="0" w:color="auto"/>
            </w:tcBorders>
            <w:shd w:val="clear" w:color="auto" w:fill="auto"/>
            <w:vAlign w:val="center"/>
            <w:hideMark/>
          </w:tcPr>
          <w:p w:rsidR="003425A4" w:rsidRPr="006F2E2E" w:rsidRDefault="003425A4" w:rsidP="00F6184C">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Bendros</w:t>
            </w:r>
            <w:r w:rsidRPr="006F2E2E">
              <w:rPr>
                <w:rFonts w:ascii="Times New Roman" w:eastAsia="Times New Roman" w:hAnsi="Times New Roman"/>
                <w:sz w:val="18"/>
                <w:szCs w:val="18"/>
                <w:lang w:eastAsia="lt-LT"/>
              </w:rPr>
              <w:t xml:space="preserve"> tinkamos išlaidos</w:t>
            </w:r>
          </w:p>
        </w:tc>
        <w:tc>
          <w:tcPr>
            <w:tcW w:w="1275" w:type="dxa"/>
            <w:tcBorders>
              <w:top w:val="nil"/>
              <w:left w:val="nil"/>
              <w:bottom w:val="single" w:sz="4" w:space="0" w:color="auto"/>
              <w:right w:val="single" w:sz="4" w:space="0" w:color="auto"/>
            </w:tcBorders>
            <w:shd w:val="clear" w:color="auto" w:fill="auto"/>
            <w:vAlign w:val="center"/>
            <w:hideMark/>
          </w:tcPr>
          <w:p w:rsidR="003425A4" w:rsidRPr="004E77F7" w:rsidRDefault="003425A4" w:rsidP="00741862">
            <w:pPr>
              <w:shd w:val="clear" w:color="auto" w:fill="FFFFFF"/>
              <w:spacing w:after="0" w:line="240" w:lineRule="auto"/>
              <w:jc w:val="right"/>
              <w:rPr>
                <w:rFonts w:ascii="Times New Roman" w:eastAsia="Times New Roman" w:hAnsi="Times New Roman"/>
                <w:strike/>
                <w:sz w:val="18"/>
                <w:szCs w:val="18"/>
                <w:lang w:eastAsia="lt-LT"/>
              </w:rPr>
            </w:pPr>
            <w:r w:rsidRPr="004E77F7">
              <w:rPr>
                <w:rFonts w:ascii="Times New Roman" w:eastAsia="Times New Roman" w:hAnsi="Times New Roman"/>
                <w:sz w:val="18"/>
                <w:szCs w:val="18"/>
                <w:lang w:eastAsia="lt-LT"/>
              </w:rPr>
              <w:t>1</w:t>
            </w:r>
            <w:r w:rsidR="00741862" w:rsidRPr="004E77F7">
              <w:rPr>
                <w:rFonts w:ascii="Times New Roman" w:eastAsia="Times New Roman" w:hAnsi="Times New Roman"/>
                <w:sz w:val="18"/>
                <w:szCs w:val="18"/>
                <w:lang w:eastAsia="lt-LT"/>
              </w:rPr>
              <w:t>98</w:t>
            </w:r>
            <w:r w:rsidRPr="004E77F7">
              <w:rPr>
                <w:rFonts w:ascii="Times New Roman" w:eastAsia="Times New Roman" w:hAnsi="Times New Roman"/>
                <w:sz w:val="18"/>
                <w:szCs w:val="18"/>
                <w:lang w:eastAsia="lt-LT"/>
              </w:rPr>
              <w:t>.</w:t>
            </w:r>
            <w:r w:rsidR="00741862" w:rsidRPr="004E77F7">
              <w:rPr>
                <w:rFonts w:ascii="Times New Roman" w:eastAsia="Times New Roman" w:hAnsi="Times New Roman"/>
                <w:sz w:val="18"/>
                <w:szCs w:val="18"/>
                <w:lang w:eastAsia="lt-LT"/>
              </w:rPr>
              <w:t>080</w:t>
            </w:r>
            <w:r w:rsidRPr="004E77F7">
              <w:rPr>
                <w:rFonts w:ascii="Times New Roman" w:eastAsia="Times New Roman" w:hAnsi="Times New Roman"/>
                <w:sz w:val="18"/>
                <w:szCs w:val="18"/>
                <w:lang w:eastAsia="lt-LT"/>
              </w:rPr>
              <w:t>.709</w:t>
            </w:r>
          </w:p>
        </w:tc>
        <w:tc>
          <w:tcPr>
            <w:tcW w:w="1276" w:type="dxa"/>
            <w:tcBorders>
              <w:top w:val="nil"/>
              <w:left w:val="nil"/>
              <w:bottom w:val="single" w:sz="4" w:space="0" w:color="auto"/>
              <w:right w:val="single" w:sz="4" w:space="0" w:color="auto"/>
            </w:tcBorders>
            <w:shd w:val="clear" w:color="auto" w:fill="auto"/>
            <w:vAlign w:val="center"/>
            <w:hideMark/>
          </w:tcPr>
          <w:p w:rsidR="003425A4" w:rsidRPr="004E77F7" w:rsidRDefault="003425A4" w:rsidP="00741862">
            <w:pPr>
              <w:shd w:val="clear" w:color="auto" w:fill="FFFFFF"/>
              <w:spacing w:after="0" w:line="240" w:lineRule="auto"/>
              <w:jc w:val="right"/>
              <w:rPr>
                <w:rFonts w:ascii="Times New Roman" w:eastAsia="Times New Roman" w:hAnsi="Times New Roman"/>
                <w:strike/>
                <w:sz w:val="18"/>
                <w:szCs w:val="18"/>
                <w:lang w:eastAsia="lt-LT"/>
              </w:rPr>
            </w:pPr>
            <w:r w:rsidRPr="004E77F7">
              <w:rPr>
                <w:rFonts w:ascii="Times New Roman" w:eastAsia="Times New Roman" w:hAnsi="Times New Roman"/>
                <w:sz w:val="18"/>
                <w:szCs w:val="18"/>
                <w:lang w:eastAsia="lt-LT"/>
              </w:rPr>
              <w:t>3</w:t>
            </w:r>
            <w:r w:rsidR="00741862" w:rsidRPr="004E77F7">
              <w:rPr>
                <w:rFonts w:ascii="Times New Roman" w:eastAsia="Times New Roman" w:hAnsi="Times New Roman"/>
                <w:sz w:val="18"/>
                <w:szCs w:val="18"/>
                <w:lang w:eastAsia="lt-LT"/>
              </w:rPr>
              <w:t>4</w:t>
            </w:r>
            <w:r w:rsidRPr="004E77F7">
              <w:rPr>
                <w:rFonts w:ascii="Times New Roman" w:eastAsia="Times New Roman" w:hAnsi="Times New Roman"/>
                <w:sz w:val="18"/>
                <w:szCs w:val="18"/>
                <w:lang w:eastAsia="lt-LT"/>
              </w:rPr>
              <w:t>.</w:t>
            </w:r>
            <w:r w:rsidR="00741862" w:rsidRPr="004E77F7">
              <w:rPr>
                <w:rFonts w:ascii="Times New Roman" w:eastAsia="Times New Roman" w:hAnsi="Times New Roman"/>
                <w:sz w:val="18"/>
                <w:szCs w:val="18"/>
                <w:lang w:eastAsia="lt-LT"/>
              </w:rPr>
              <w:t>955</w:t>
            </w:r>
            <w:r w:rsidRPr="004E77F7">
              <w:rPr>
                <w:rFonts w:ascii="Times New Roman" w:eastAsia="Times New Roman" w:hAnsi="Times New Roman"/>
                <w:sz w:val="18"/>
                <w:szCs w:val="18"/>
                <w:lang w:eastAsia="lt-LT"/>
              </w:rPr>
              <w:t>.</w:t>
            </w:r>
            <w:r w:rsidR="00741862" w:rsidRPr="004E77F7">
              <w:rPr>
                <w:rFonts w:ascii="Times New Roman" w:eastAsia="Times New Roman" w:hAnsi="Times New Roman"/>
                <w:sz w:val="18"/>
                <w:szCs w:val="18"/>
                <w:lang w:eastAsia="lt-LT"/>
              </w:rPr>
              <w:t>420</w:t>
            </w:r>
          </w:p>
        </w:tc>
        <w:tc>
          <w:tcPr>
            <w:tcW w:w="1134" w:type="dxa"/>
            <w:tcBorders>
              <w:top w:val="single" w:sz="4" w:space="0" w:color="auto"/>
              <w:left w:val="nil"/>
              <w:bottom w:val="single" w:sz="4" w:space="0" w:color="auto"/>
              <w:right w:val="single" w:sz="4" w:space="0" w:color="auto"/>
            </w:tcBorders>
            <w:vAlign w:val="center"/>
          </w:tcPr>
          <w:p w:rsidR="003425A4" w:rsidRPr="004E77F7" w:rsidRDefault="004B1A7E" w:rsidP="00B15566">
            <w:pPr>
              <w:shd w:val="clear" w:color="auto" w:fill="FFFFFF"/>
              <w:spacing w:after="0" w:line="240" w:lineRule="auto"/>
              <w:jc w:val="right"/>
              <w:rPr>
                <w:rFonts w:ascii="Times New Roman" w:hAnsi="Times New Roman"/>
                <w:strike/>
                <w:sz w:val="18"/>
                <w:szCs w:val="18"/>
              </w:rPr>
            </w:pPr>
            <w:r w:rsidRPr="004E77F7">
              <w:rPr>
                <w:rFonts w:ascii="Times New Roman" w:hAnsi="Times New Roman"/>
                <w:sz w:val="18"/>
                <w:szCs w:val="18"/>
              </w:rPr>
              <w:t>31</w:t>
            </w:r>
            <w:r w:rsidR="003425A4" w:rsidRPr="004E77F7">
              <w:rPr>
                <w:rFonts w:ascii="Times New Roman" w:hAnsi="Times New Roman"/>
                <w:sz w:val="18"/>
                <w:szCs w:val="18"/>
              </w:rPr>
              <w:t>.</w:t>
            </w:r>
            <w:r w:rsidRPr="004E77F7">
              <w:rPr>
                <w:rFonts w:ascii="Times New Roman" w:hAnsi="Times New Roman"/>
                <w:sz w:val="18"/>
                <w:szCs w:val="18"/>
              </w:rPr>
              <w:t>029</w:t>
            </w:r>
            <w:r w:rsidR="003425A4" w:rsidRPr="004E77F7">
              <w:rPr>
                <w:rFonts w:ascii="Times New Roman" w:hAnsi="Times New Roman"/>
                <w:sz w:val="18"/>
                <w:szCs w:val="18"/>
              </w:rPr>
              <w:t>.</w:t>
            </w:r>
            <w:r w:rsidRPr="004E77F7">
              <w:rPr>
                <w:rFonts w:ascii="Times New Roman" w:hAnsi="Times New Roman"/>
                <w:sz w:val="18"/>
                <w:szCs w:val="18"/>
              </w:rPr>
              <w:t>926</w:t>
            </w:r>
          </w:p>
        </w:tc>
        <w:tc>
          <w:tcPr>
            <w:tcW w:w="1134" w:type="dxa"/>
            <w:tcBorders>
              <w:top w:val="single" w:sz="4" w:space="0" w:color="auto"/>
              <w:left w:val="single" w:sz="4" w:space="0" w:color="auto"/>
              <w:bottom w:val="single" w:sz="4" w:space="0" w:color="auto"/>
              <w:right w:val="single" w:sz="4" w:space="0" w:color="auto"/>
            </w:tcBorders>
            <w:vAlign w:val="center"/>
          </w:tcPr>
          <w:p w:rsidR="003425A4" w:rsidRPr="004E77F7" w:rsidRDefault="004B1A7E" w:rsidP="00B15566">
            <w:pPr>
              <w:shd w:val="clear" w:color="auto" w:fill="FFFFFF"/>
              <w:spacing w:after="0" w:line="240" w:lineRule="auto"/>
              <w:jc w:val="right"/>
              <w:rPr>
                <w:rFonts w:ascii="Times New Roman" w:hAnsi="Times New Roman"/>
                <w:strike/>
                <w:sz w:val="18"/>
                <w:szCs w:val="18"/>
              </w:rPr>
            </w:pPr>
            <w:r w:rsidRPr="004E77F7">
              <w:rPr>
                <w:rFonts w:ascii="Times New Roman" w:hAnsi="Times New Roman"/>
                <w:sz w:val="18"/>
                <w:szCs w:val="18"/>
              </w:rPr>
              <w:t>3</w:t>
            </w:r>
            <w:r w:rsidR="003425A4" w:rsidRPr="004E77F7">
              <w:rPr>
                <w:rFonts w:ascii="Times New Roman" w:hAnsi="Times New Roman"/>
                <w:sz w:val="18"/>
                <w:szCs w:val="18"/>
              </w:rPr>
              <w:t>.</w:t>
            </w:r>
            <w:r w:rsidRPr="004E77F7">
              <w:rPr>
                <w:rFonts w:ascii="Times New Roman" w:hAnsi="Times New Roman"/>
                <w:sz w:val="18"/>
                <w:szCs w:val="18"/>
              </w:rPr>
              <w:t>925</w:t>
            </w:r>
            <w:r w:rsidR="003425A4" w:rsidRPr="004E77F7">
              <w:rPr>
                <w:rFonts w:ascii="Times New Roman" w:hAnsi="Times New Roman"/>
                <w:sz w:val="18"/>
                <w:szCs w:val="18"/>
              </w:rPr>
              <w:t>.</w:t>
            </w:r>
            <w:r w:rsidRPr="004E77F7">
              <w:rPr>
                <w:rFonts w:ascii="Times New Roman" w:hAnsi="Times New Roman"/>
                <w:sz w:val="18"/>
                <w:szCs w:val="18"/>
              </w:rPr>
              <w:t>49</w:t>
            </w:r>
            <w:r w:rsidR="00B15566" w:rsidRPr="004E77F7">
              <w:rPr>
                <w:rFonts w:ascii="Times New Roman" w:hAnsi="Times New Roman"/>
                <w:sz w:val="18"/>
                <w:szCs w:val="18"/>
              </w:rPr>
              <w:t>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3425A4" w:rsidRPr="004E77F7" w:rsidRDefault="003425A4" w:rsidP="00B15566">
            <w:pPr>
              <w:shd w:val="clear" w:color="auto" w:fill="FFFFFF"/>
              <w:spacing w:after="0" w:line="240" w:lineRule="auto"/>
              <w:jc w:val="right"/>
              <w:rPr>
                <w:rFonts w:ascii="Times New Roman" w:eastAsia="Times New Roman" w:hAnsi="Times New Roman"/>
                <w:strike/>
                <w:color w:val="000000"/>
                <w:sz w:val="18"/>
                <w:szCs w:val="18"/>
                <w:lang w:eastAsia="lt-LT"/>
              </w:rPr>
            </w:pPr>
            <w:r w:rsidRPr="004E77F7">
              <w:rPr>
                <w:rFonts w:ascii="Times New Roman" w:eastAsia="Times New Roman" w:hAnsi="Times New Roman"/>
                <w:color w:val="000000"/>
                <w:sz w:val="18"/>
                <w:szCs w:val="18"/>
                <w:lang w:eastAsia="lt-LT"/>
              </w:rPr>
              <w:t>2</w:t>
            </w:r>
            <w:r w:rsidR="004B1A7E" w:rsidRPr="004E77F7">
              <w:rPr>
                <w:rFonts w:ascii="Times New Roman" w:eastAsia="Times New Roman" w:hAnsi="Times New Roman"/>
                <w:color w:val="000000"/>
                <w:sz w:val="18"/>
                <w:szCs w:val="18"/>
                <w:lang w:eastAsia="lt-LT"/>
              </w:rPr>
              <w:t>33</w:t>
            </w:r>
            <w:r w:rsidRPr="004E77F7">
              <w:rPr>
                <w:rFonts w:ascii="Times New Roman" w:eastAsia="Times New Roman" w:hAnsi="Times New Roman"/>
                <w:color w:val="000000"/>
                <w:sz w:val="18"/>
                <w:szCs w:val="18"/>
                <w:lang w:eastAsia="lt-LT"/>
              </w:rPr>
              <w:t>.</w:t>
            </w:r>
            <w:r w:rsidR="004B1A7E" w:rsidRPr="004E77F7">
              <w:rPr>
                <w:rFonts w:ascii="Times New Roman" w:eastAsia="Times New Roman" w:hAnsi="Times New Roman"/>
                <w:color w:val="000000"/>
                <w:sz w:val="18"/>
                <w:szCs w:val="18"/>
                <w:lang w:eastAsia="lt-LT"/>
              </w:rPr>
              <w:t>036</w:t>
            </w:r>
            <w:r w:rsidRPr="004E77F7">
              <w:rPr>
                <w:rFonts w:ascii="Times New Roman" w:eastAsia="Times New Roman" w:hAnsi="Times New Roman"/>
                <w:color w:val="000000"/>
                <w:sz w:val="18"/>
                <w:szCs w:val="18"/>
                <w:lang w:eastAsia="lt-LT"/>
              </w:rPr>
              <w:t>.</w:t>
            </w:r>
            <w:r w:rsidR="004B1A7E" w:rsidRPr="004E77F7">
              <w:rPr>
                <w:rFonts w:ascii="Times New Roman" w:eastAsia="Times New Roman" w:hAnsi="Times New Roman"/>
                <w:color w:val="000000"/>
                <w:sz w:val="18"/>
                <w:szCs w:val="18"/>
                <w:lang w:eastAsia="lt-LT"/>
              </w:rPr>
              <w:t>129</w:t>
            </w:r>
          </w:p>
        </w:tc>
        <w:tc>
          <w:tcPr>
            <w:tcW w:w="709" w:type="dxa"/>
            <w:tcBorders>
              <w:top w:val="nil"/>
              <w:left w:val="nil"/>
              <w:bottom w:val="single" w:sz="4" w:space="0" w:color="auto"/>
              <w:right w:val="single" w:sz="4" w:space="0" w:color="auto"/>
            </w:tcBorders>
            <w:shd w:val="clear" w:color="auto" w:fill="auto"/>
            <w:vAlign w:val="center"/>
            <w:hideMark/>
          </w:tcPr>
          <w:p w:rsidR="003425A4" w:rsidRPr="004E77F7" w:rsidRDefault="003425A4" w:rsidP="00372448">
            <w:pPr>
              <w:spacing w:after="0" w:line="240" w:lineRule="auto"/>
              <w:jc w:val="right"/>
              <w:rPr>
                <w:rFonts w:ascii="Times New Roman" w:eastAsia="Times New Roman" w:hAnsi="Times New Roman"/>
                <w:color w:val="000000"/>
                <w:sz w:val="18"/>
                <w:szCs w:val="18"/>
                <w:lang w:eastAsia="lt-LT"/>
              </w:rPr>
            </w:pPr>
            <w:r w:rsidRPr="004E77F7">
              <w:rPr>
                <w:rFonts w:ascii="Times New Roman" w:eastAsia="Times New Roman" w:hAnsi="Times New Roman"/>
                <w:color w:val="000000"/>
                <w:sz w:val="18"/>
                <w:szCs w:val="18"/>
                <w:lang w:eastAsia="lt-LT"/>
              </w:rPr>
              <w:t>85,00</w:t>
            </w:r>
          </w:p>
        </w:tc>
        <w:tc>
          <w:tcPr>
            <w:tcW w:w="425" w:type="dxa"/>
            <w:tcBorders>
              <w:top w:val="nil"/>
              <w:left w:val="nil"/>
              <w:bottom w:val="single" w:sz="4" w:space="0" w:color="auto"/>
              <w:right w:val="single" w:sz="4" w:space="0" w:color="auto"/>
            </w:tcBorders>
            <w:shd w:val="clear" w:color="auto" w:fill="auto"/>
            <w:vAlign w:val="center"/>
            <w:hideMark/>
          </w:tcPr>
          <w:p w:rsidR="003425A4" w:rsidRPr="004E77F7" w:rsidRDefault="00A50C23" w:rsidP="00372448">
            <w:pPr>
              <w:spacing w:after="0" w:line="240" w:lineRule="auto"/>
              <w:jc w:val="right"/>
              <w:rPr>
                <w:rFonts w:ascii="Times New Roman" w:eastAsia="Times New Roman" w:hAnsi="Times New Roman"/>
                <w:color w:val="000000"/>
                <w:sz w:val="18"/>
                <w:szCs w:val="18"/>
                <w:lang w:eastAsia="lt-LT"/>
              </w:rPr>
            </w:pPr>
            <w:r w:rsidRPr="004E77F7">
              <w:rPr>
                <w:rFonts w:ascii="Times New Roman" w:eastAsia="Times New Roman" w:hAnsi="Times New Roman"/>
                <w:color w:val="000000"/>
                <w:sz w:val="18"/>
                <w:szCs w:val="18"/>
                <w:lang w:eastAsia="lt-LT"/>
              </w:rPr>
              <w:t>.</w:t>
            </w:r>
          </w:p>
        </w:tc>
        <w:tc>
          <w:tcPr>
            <w:tcW w:w="1417" w:type="dxa"/>
            <w:tcBorders>
              <w:top w:val="nil"/>
              <w:left w:val="nil"/>
              <w:bottom w:val="single" w:sz="4" w:space="0" w:color="auto"/>
              <w:right w:val="single" w:sz="4" w:space="0" w:color="auto"/>
            </w:tcBorders>
            <w:shd w:val="clear" w:color="auto" w:fill="auto"/>
            <w:vAlign w:val="center"/>
            <w:hideMark/>
          </w:tcPr>
          <w:p w:rsidR="003425A4" w:rsidRPr="004E77F7" w:rsidRDefault="003425A4" w:rsidP="004B1A7E">
            <w:pPr>
              <w:shd w:val="clear" w:color="auto" w:fill="FFFFFF"/>
              <w:spacing w:after="0" w:line="240" w:lineRule="auto"/>
              <w:jc w:val="right"/>
              <w:rPr>
                <w:rFonts w:ascii="Times New Roman" w:eastAsia="Times New Roman" w:hAnsi="Times New Roman"/>
                <w:strike/>
                <w:color w:val="000000"/>
                <w:sz w:val="18"/>
                <w:szCs w:val="18"/>
                <w:lang w:eastAsia="lt-LT"/>
              </w:rPr>
            </w:pPr>
            <w:r w:rsidRPr="004E77F7">
              <w:rPr>
                <w:rFonts w:ascii="Times New Roman" w:eastAsia="Times New Roman" w:hAnsi="Times New Roman"/>
                <w:color w:val="000000"/>
                <w:sz w:val="18"/>
                <w:szCs w:val="18"/>
                <w:lang w:eastAsia="lt-LT"/>
              </w:rPr>
              <w:t>1</w:t>
            </w:r>
            <w:r w:rsidR="004B1A7E" w:rsidRPr="004E77F7">
              <w:rPr>
                <w:rFonts w:ascii="Times New Roman" w:eastAsia="Times New Roman" w:hAnsi="Times New Roman"/>
                <w:color w:val="000000"/>
                <w:sz w:val="18"/>
                <w:szCs w:val="18"/>
                <w:lang w:eastAsia="lt-LT"/>
              </w:rPr>
              <w:t>86</w:t>
            </w:r>
            <w:r w:rsidRPr="004E77F7">
              <w:rPr>
                <w:rFonts w:ascii="Times New Roman" w:eastAsia="Times New Roman" w:hAnsi="Times New Roman"/>
                <w:color w:val="000000"/>
                <w:sz w:val="18"/>
                <w:szCs w:val="18"/>
                <w:lang w:eastAsia="lt-LT"/>
              </w:rPr>
              <w:t>.</w:t>
            </w:r>
            <w:r w:rsidR="004B1A7E" w:rsidRPr="004E77F7">
              <w:rPr>
                <w:rFonts w:ascii="Times New Roman" w:eastAsia="Times New Roman" w:hAnsi="Times New Roman"/>
                <w:color w:val="000000"/>
                <w:sz w:val="18"/>
                <w:szCs w:val="18"/>
                <w:lang w:eastAsia="lt-LT"/>
              </w:rPr>
              <w:t>195.866</w:t>
            </w:r>
          </w:p>
        </w:tc>
        <w:tc>
          <w:tcPr>
            <w:tcW w:w="1276" w:type="dxa"/>
            <w:tcBorders>
              <w:top w:val="nil"/>
              <w:left w:val="nil"/>
              <w:bottom w:val="single" w:sz="4" w:space="0" w:color="auto"/>
              <w:right w:val="single" w:sz="4" w:space="0" w:color="auto"/>
            </w:tcBorders>
            <w:shd w:val="clear" w:color="auto" w:fill="auto"/>
            <w:vAlign w:val="center"/>
            <w:hideMark/>
          </w:tcPr>
          <w:p w:rsidR="003425A4" w:rsidRPr="004E77F7" w:rsidRDefault="003425A4" w:rsidP="004B1A7E">
            <w:pPr>
              <w:shd w:val="clear" w:color="auto" w:fill="FFFFFF"/>
              <w:spacing w:after="0" w:line="240" w:lineRule="auto"/>
              <w:jc w:val="right"/>
              <w:rPr>
                <w:rFonts w:ascii="Times New Roman" w:eastAsia="Times New Roman" w:hAnsi="Times New Roman"/>
                <w:strike/>
                <w:color w:val="000000"/>
                <w:sz w:val="18"/>
                <w:szCs w:val="18"/>
                <w:lang w:eastAsia="lt-LT"/>
              </w:rPr>
            </w:pPr>
            <w:r w:rsidRPr="004E77F7">
              <w:rPr>
                <w:rFonts w:ascii="Times New Roman" w:eastAsia="Times New Roman" w:hAnsi="Times New Roman"/>
                <w:color w:val="000000"/>
                <w:sz w:val="18"/>
                <w:szCs w:val="18"/>
                <w:lang w:eastAsia="lt-LT"/>
              </w:rPr>
              <w:t>3</w:t>
            </w:r>
            <w:r w:rsidR="004B1A7E" w:rsidRPr="004E77F7">
              <w:rPr>
                <w:rFonts w:ascii="Times New Roman" w:eastAsia="Times New Roman" w:hAnsi="Times New Roman"/>
                <w:color w:val="000000"/>
                <w:sz w:val="18"/>
                <w:szCs w:val="18"/>
                <w:lang w:eastAsia="lt-LT"/>
              </w:rPr>
              <w:t>2</w:t>
            </w:r>
            <w:r w:rsidRPr="004E77F7">
              <w:rPr>
                <w:rFonts w:ascii="Times New Roman" w:eastAsia="Times New Roman" w:hAnsi="Times New Roman"/>
                <w:color w:val="000000"/>
                <w:sz w:val="18"/>
                <w:szCs w:val="18"/>
                <w:lang w:eastAsia="lt-LT"/>
              </w:rPr>
              <w:t>.</w:t>
            </w:r>
            <w:r w:rsidR="00EB6519" w:rsidRPr="004E77F7">
              <w:rPr>
                <w:rFonts w:ascii="Times New Roman" w:eastAsia="Times New Roman" w:hAnsi="Times New Roman"/>
                <w:color w:val="000000"/>
                <w:sz w:val="18"/>
                <w:szCs w:val="18"/>
                <w:lang w:eastAsia="lt-LT"/>
              </w:rPr>
              <w:t>858</w:t>
            </w:r>
            <w:r w:rsidRPr="004E77F7">
              <w:rPr>
                <w:rFonts w:ascii="Times New Roman" w:eastAsia="Times New Roman" w:hAnsi="Times New Roman"/>
                <w:color w:val="000000"/>
                <w:sz w:val="18"/>
                <w:szCs w:val="18"/>
                <w:lang w:eastAsia="lt-LT"/>
              </w:rPr>
              <w:t>.</w:t>
            </w:r>
            <w:r w:rsidR="00EB6519" w:rsidRPr="004E77F7">
              <w:rPr>
                <w:rFonts w:ascii="Times New Roman" w:eastAsia="Times New Roman" w:hAnsi="Times New Roman"/>
                <w:color w:val="000000"/>
                <w:sz w:val="18"/>
                <w:szCs w:val="18"/>
                <w:lang w:eastAsia="lt-LT"/>
              </w:rPr>
              <w:t>095</w:t>
            </w:r>
          </w:p>
        </w:tc>
        <w:tc>
          <w:tcPr>
            <w:tcW w:w="1134" w:type="dxa"/>
            <w:tcBorders>
              <w:top w:val="nil"/>
              <w:left w:val="nil"/>
              <w:bottom w:val="single" w:sz="4" w:space="0" w:color="auto"/>
              <w:right w:val="single" w:sz="4" w:space="0" w:color="auto"/>
            </w:tcBorders>
            <w:shd w:val="clear" w:color="auto" w:fill="auto"/>
            <w:vAlign w:val="center"/>
            <w:hideMark/>
          </w:tcPr>
          <w:p w:rsidR="003425A4" w:rsidRPr="004E77F7" w:rsidRDefault="003425A4" w:rsidP="00B15566">
            <w:pPr>
              <w:shd w:val="clear" w:color="auto" w:fill="FFFFFF"/>
              <w:spacing w:after="0" w:line="240" w:lineRule="auto"/>
              <w:jc w:val="right"/>
              <w:rPr>
                <w:rFonts w:ascii="Times New Roman" w:eastAsia="Times New Roman" w:hAnsi="Times New Roman"/>
                <w:strike/>
                <w:color w:val="000000"/>
                <w:sz w:val="18"/>
                <w:szCs w:val="18"/>
                <w:lang w:eastAsia="lt-LT"/>
              </w:rPr>
            </w:pPr>
            <w:r w:rsidRPr="004E77F7">
              <w:rPr>
                <w:rFonts w:ascii="Times New Roman" w:eastAsia="Times New Roman" w:hAnsi="Times New Roman"/>
                <w:color w:val="000000"/>
                <w:sz w:val="18"/>
                <w:szCs w:val="18"/>
                <w:lang w:eastAsia="lt-LT"/>
              </w:rPr>
              <w:t>11.</w:t>
            </w:r>
            <w:r w:rsidR="00EB6519" w:rsidRPr="004E77F7">
              <w:rPr>
                <w:rFonts w:ascii="Times New Roman" w:eastAsia="Times New Roman" w:hAnsi="Times New Roman"/>
                <w:color w:val="000000"/>
                <w:sz w:val="18"/>
                <w:szCs w:val="18"/>
                <w:lang w:eastAsia="lt-LT"/>
              </w:rPr>
              <w:t>884.84</w:t>
            </w:r>
            <w:r w:rsidRPr="004E77F7">
              <w:rPr>
                <w:rFonts w:ascii="Times New Roman" w:eastAsia="Times New Roman" w:hAnsi="Times New Roman"/>
                <w:color w:val="000000"/>
                <w:sz w:val="18"/>
                <w:szCs w:val="18"/>
                <w:lang w:eastAsia="lt-LT"/>
              </w:rPr>
              <w:t>3</w:t>
            </w:r>
          </w:p>
        </w:tc>
        <w:tc>
          <w:tcPr>
            <w:tcW w:w="1134" w:type="dxa"/>
            <w:tcBorders>
              <w:top w:val="nil"/>
              <w:left w:val="nil"/>
              <w:bottom w:val="single" w:sz="4" w:space="0" w:color="auto"/>
              <w:right w:val="single" w:sz="4" w:space="0" w:color="auto"/>
            </w:tcBorders>
            <w:shd w:val="clear" w:color="auto" w:fill="auto"/>
            <w:vAlign w:val="center"/>
            <w:hideMark/>
          </w:tcPr>
          <w:p w:rsidR="003425A4" w:rsidRPr="004E77F7" w:rsidRDefault="00EB6519" w:rsidP="00EB6519">
            <w:pPr>
              <w:shd w:val="clear" w:color="auto" w:fill="FFFFFF"/>
              <w:spacing w:after="0" w:line="240" w:lineRule="auto"/>
              <w:jc w:val="right"/>
              <w:rPr>
                <w:rFonts w:ascii="Times New Roman" w:eastAsia="Times New Roman" w:hAnsi="Times New Roman"/>
                <w:strike/>
                <w:color w:val="000000"/>
                <w:sz w:val="18"/>
                <w:szCs w:val="18"/>
                <w:lang w:eastAsia="lt-LT"/>
              </w:rPr>
            </w:pPr>
            <w:r w:rsidRPr="004E77F7">
              <w:rPr>
                <w:rFonts w:ascii="Times New Roman" w:eastAsia="Times New Roman" w:hAnsi="Times New Roman"/>
                <w:color w:val="000000"/>
                <w:sz w:val="18"/>
                <w:szCs w:val="18"/>
                <w:lang w:eastAsia="lt-LT"/>
              </w:rPr>
              <w:t>2</w:t>
            </w:r>
            <w:r w:rsidR="003425A4" w:rsidRPr="004E77F7">
              <w:rPr>
                <w:rFonts w:ascii="Times New Roman" w:eastAsia="Times New Roman" w:hAnsi="Times New Roman"/>
                <w:color w:val="000000"/>
                <w:sz w:val="18"/>
                <w:szCs w:val="18"/>
                <w:lang w:eastAsia="lt-LT"/>
              </w:rPr>
              <w:t>.</w:t>
            </w:r>
            <w:r w:rsidRPr="004E77F7">
              <w:rPr>
                <w:rFonts w:ascii="Times New Roman" w:eastAsia="Times New Roman" w:hAnsi="Times New Roman"/>
                <w:color w:val="000000"/>
                <w:sz w:val="18"/>
                <w:szCs w:val="18"/>
                <w:lang w:eastAsia="lt-LT"/>
              </w:rPr>
              <w:t>097</w:t>
            </w:r>
            <w:r w:rsidR="003425A4" w:rsidRPr="004E77F7">
              <w:rPr>
                <w:rFonts w:ascii="Times New Roman" w:eastAsia="Times New Roman" w:hAnsi="Times New Roman"/>
                <w:color w:val="000000"/>
                <w:sz w:val="18"/>
                <w:szCs w:val="18"/>
                <w:lang w:eastAsia="lt-LT"/>
              </w:rPr>
              <w:t>.</w:t>
            </w:r>
            <w:r w:rsidR="00B15566" w:rsidRPr="004E77F7">
              <w:rPr>
                <w:rFonts w:ascii="Times New Roman" w:eastAsia="Times New Roman" w:hAnsi="Times New Roman"/>
                <w:color w:val="000000"/>
                <w:sz w:val="18"/>
                <w:szCs w:val="18"/>
                <w:lang w:eastAsia="lt-LT"/>
              </w:rPr>
              <w:t>3</w:t>
            </w:r>
            <w:r w:rsidRPr="004E77F7">
              <w:rPr>
                <w:rFonts w:ascii="Times New Roman" w:eastAsia="Times New Roman" w:hAnsi="Times New Roman"/>
                <w:color w:val="000000"/>
                <w:sz w:val="18"/>
                <w:szCs w:val="18"/>
                <w:lang w:eastAsia="lt-LT"/>
              </w:rPr>
              <w:t>2</w:t>
            </w:r>
            <w:r w:rsidR="00B15566" w:rsidRPr="004E77F7">
              <w:rPr>
                <w:rFonts w:ascii="Times New Roman" w:eastAsia="Times New Roman" w:hAnsi="Times New Roman"/>
                <w:color w:val="000000"/>
                <w:sz w:val="18"/>
                <w:szCs w:val="18"/>
                <w:lang w:eastAsia="lt-LT"/>
              </w:rPr>
              <w:t>5</w:t>
            </w:r>
          </w:p>
        </w:tc>
        <w:tc>
          <w:tcPr>
            <w:tcW w:w="567" w:type="dxa"/>
            <w:tcBorders>
              <w:top w:val="nil"/>
              <w:left w:val="nil"/>
              <w:bottom w:val="single" w:sz="4" w:space="0" w:color="auto"/>
              <w:right w:val="single" w:sz="4" w:space="0" w:color="auto"/>
            </w:tcBorders>
            <w:shd w:val="clear" w:color="auto" w:fill="auto"/>
            <w:vAlign w:val="center"/>
            <w:hideMark/>
          </w:tcPr>
          <w:p w:rsidR="003425A4" w:rsidRPr="00DF1549" w:rsidRDefault="003425A4" w:rsidP="00F6184C">
            <w:pPr>
              <w:spacing w:after="0" w:line="240" w:lineRule="auto"/>
              <w:jc w:val="right"/>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6,00</w:t>
            </w:r>
          </w:p>
        </w:tc>
      </w:tr>
      <w:tr w:rsidR="00372448" w:rsidRPr="00DF1549" w:rsidTr="00650E41">
        <w:trPr>
          <w:trHeight w:val="510"/>
        </w:trPr>
        <w:tc>
          <w:tcPr>
            <w:tcW w:w="1418" w:type="dxa"/>
            <w:vMerge/>
            <w:tcBorders>
              <w:top w:val="nil"/>
              <w:left w:val="single" w:sz="4" w:space="0" w:color="auto"/>
              <w:bottom w:val="single" w:sz="4" w:space="0" w:color="000000"/>
              <w:right w:val="single" w:sz="4" w:space="0" w:color="auto"/>
            </w:tcBorders>
            <w:vAlign w:val="center"/>
            <w:hideMark/>
          </w:tcPr>
          <w:p w:rsidR="0002588A" w:rsidRPr="006F2E2E" w:rsidRDefault="0002588A" w:rsidP="00AA7F36">
            <w:pPr>
              <w:spacing w:after="0" w:line="240" w:lineRule="auto"/>
              <w:rPr>
                <w:rFonts w:ascii="Times New Roman" w:eastAsia="Times New Roman" w:hAnsi="Times New Roman"/>
                <w:i/>
                <w:iCs/>
                <w:color w:val="000000"/>
                <w:sz w:val="18"/>
                <w:szCs w:val="18"/>
                <w:lang w:eastAsia="lt-LT"/>
              </w:rPr>
            </w:pPr>
          </w:p>
        </w:tc>
        <w:tc>
          <w:tcPr>
            <w:tcW w:w="850" w:type="dxa"/>
            <w:tcBorders>
              <w:top w:val="nil"/>
              <w:left w:val="nil"/>
              <w:bottom w:val="single" w:sz="4" w:space="0" w:color="auto"/>
              <w:right w:val="single" w:sz="4" w:space="0" w:color="auto"/>
            </w:tcBorders>
            <w:shd w:val="clear" w:color="auto" w:fill="auto"/>
            <w:vAlign w:val="center"/>
            <w:hideMark/>
          </w:tcPr>
          <w:p w:rsidR="0002588A" w:rsidRPr="00DF1549" w:rsidRDefault="0002588A" w:rsidP="00F6184C">
            <w:pPr>
              <w:spacing w:after="0" w:line="240" w:lineRule="auto"/>
              <w:jc w:val="both"/>
              <w:rPr>
                <w:rFonts w:ascii="Times New Roman" w:eastAsia="Times New Roman" w:hAnsi="Times New Roman"/>
                <w:color w:val="000000"/>
                <w:sz w:val="18"/>
                <w:szCs w:val="18"/>
                <w:lang w:eastAsia="lt-LT"/>
              </w:rPr>
            </w:pPr>
            <w:r w:rsidRPr="00DF1549">
              <w:rPr>
                <w:rFonts w:ascii="Times New Roman" w:eastAsia="Times New Roman" w:hAnsi="Times New Roman"/>
                <w:color w:val="000000"/>
                <w:sz w:val="18"/>
                <w:szCs w:val="18"/>
                <w:lang w:eastAsia="lt-LT"/>
              </w:rPr>
              <w:t>S</w:t>
            </w:r>
            <w:r w:rsidR="003D2689">
              <w:rPr>
                <w:rFonts w:ascii="Times New Roman" w:eastAsia="Times New Roman" w:hAnsi="Times New Roman"/>
                <w:color w:val="000000"/>
                <w:sz w:val="18"/>
                <w:szCs w:val="18"/>
                <w:lang w:eastAsia="lt-LT"/>
              </w:rPr>
              <w:t>a</w:t>
            </w:r>
            <w:r w:rsidRPr="00DF1549">
              <w:rPr>
                <w:rFonts w:ascii="Times New Roman" w:eastAsia="Times New Roman" w:hAnsi="Times New Roman"/>
                <w:color w:val="000000"/>
                <w:sz w:val="18"/>
                <w:szCs w:val="18"/>
                <w:lang w:eastAsia="lt-LT"/>
              </w:rPr>
              <w:t>F</w:t>
            </w:r>
          </w:p>
        </w:tc>
        <w:tc>
          <w:tcPr>
            <w:tcW w:w="993" w:type="dxa"/>
            <w:tcBorders>
              <w:top w:val="nil"/>
              <w:left w:val="nil"/>
              <w:bottom w:val="single" w:sz="4" w:space="0" w:color="auto"/>
              <w:right w:val="single" w:sz="4" w:space="0" w:color="auto"/>
            </w:tcBorders>
            <w:shd w:val="clear" w:color="auto" w:fill="auto"/>
            <w:vAlign w:val="center"/>
            <w:hideMark/>
          </w:tcPr>
          <w:p w:rsidR="0002588A" w:rsidRPr="006F2E2E" w:rsidRDefault="0002588A" w:rsidP="00F6184C">
            <w:pPr>
              <w:spacing w:after="0" w:line="240" w:lineRule="auto"/>
              <w:rPr>
                <w:rFonts w:ascii="Times New Roman" w:eastAsia="Times New Roman" w:hAnsi="Times New Roman"/>
                <w:sz w:val="18"/>
                <w:szCs w:val="18"/>
                <w:lang w:eastAsia="lt-LT"/>
              </w:rPr>
            </w:pPr>
            <w:r w:rsidRPr="006F2E2E">
              <w:rPr>
                <w:rFonts w:ascii="Times New Roman" w:eastAsia="Times New Roman" w:hAnsi="Times New Roman"/>
                <w:sz w:val="18"/>
                <w:szCs w:val="18"/>
                <w:lang w:eastAsia="lt-LT"/>
              </w:rPr>
              <w:t>Bendros tinkamos išlaidos</w:t>
            </w:r>
          </w:p>
        </w:tc>
        <w:tc>
          <w:tcPr>
            <w:tcW w:w="1275" w:type="dxa"/>
            <w:tcBorders>
              <w:top w:val="nil"/>
              <w:left w:val="nil"/>
              <w:bottom w:val="single" w:sz="4" w:space="0" w:color="auto"/>
              <w:right w:val="single" w:sz="4" w:space="0" w:color="auto"/>
            </w:tcBorders>
            <w:shd w:val="clear" w:color="auto" w:fill="auto"/>
            <w:vAlign w:val="center"/>
            <w:hideMark/>
          </w:tcPr>
          <w:p w:rsidR="0002588A" w:rsidRPr="004E77F7" w:rsidRDefault="003458B6" w:rsidP="00B15566">
            <w:pPr>
              <w:spacing w:after="0" w:line="240" w:lineRule="auto"/>
              <w:jc w:val="right"/>
              <w:rPr>
                <w:rFonts w:ascii="Times New Roman" w:eastAsia="Times New Roman" w:hAnsi="Times New Roman"/>
                <w:sz w:val="18"/>
                <w:szCs w:val="18"/>
                <w:lang w:eastAsia="lt-LT"/>
              </w:rPr>
            </w:pPr>
            <w:r w:rsidRPr="004E77F7">
              <w:rPr>
                <w:rFonts w:ascii="Times New Roman" w:eastAsia="Times New Roman" w:hAnsi="Times New Roman"/>
                <w:sz w:val="18"/>
                <w:szCs w:val="18"/>
                <w:lang w:eastAsia="lt-LT"/>
              </w:rPr>
              <w:t>7</w:t>
            </w:r>
            <w:r w:rsidR="00EB6519" w:rsidRPr="004E77F7">
              <w:rPr>
                <w:rFonts w:ascii="Times New Roman" w:eastAsia="Times New Roman" w:hAnsi="Times New Roman"/>
                <w:sz w:val="18"/>
                <w:szCs w:val="18"/>
                <w:lang w:eastAsia="lt-LT"/>
              </w:rPr>
              <w:t>12.9</w:t>
            </w:r>
            <w:r w:rsidRPr="004E77F7">
              <w:rPr>
                <w:rFonts w:ascii="Times New Roman" w:eastAsia="Times New Roman" w:hAnsi="Times New Roman"/>
                <w:sz w:val="18"/>
                <w:szCs w:val="18"/>
                <w:lang w:eastAsia="lt-LT"/>
              </w:rPr>
              <w:t>99.887</w:t>
            </w:r>
          </w:p>
        </w:tc>
        <w:tc>
          <w:tcPr>
            <w:tcW w:w="1276" w:type="dxa"/>
            <w:tcBorders>
              <w:top w:val="nil"/>
              <w:left w:val="nil"/>
              <w:bottom w:val="single" w:sz="4" w:space="0" w:color="auto"/>
              <w:right w:val="single" w:sz="4" w:space="0" w:color="auto"/>
            </w:tcBorders>
            <w:shd w:val="clear" w:color="auto" w:fill="auto"/>
            <w:vAlign w:val="center"/>
            <w:hideMark/>
          </w:tcPr>
          <w:p w:rsidR="0002588A" w:rsidRPr="004E77F7" w:rsidRDefault="003458B6" w:rsidP="00EB6519">
            <w:pPr>
              <w:spacing w:after="0" w:line="240" w:lineRule="auto"/>
              <w:jc w:val="right"/>
              <w:rPr>
                <w:rFonts w:ascii="Times New Roman" w:eastAsia="Times New Roman" w:hAnsi="Times New Roman"/>
                <w:sz w:val="18"/>
                <w:szCs w:val="18"/>
                <w:lang w:eastAsia="lt-LT"/>
              </w:rPr>
            </w:pPr>
            <w:r w:rsidRPr="004E77F7">
              <w:rPr>
                <w:rFonts w:ascii="Times New Roman" w:eastAsia="Times New Roman" w:hAnsi="Times New Roman"/>
                <w:sz w:val="18"/>
                <w:szCs w:val="18"/>
                <w:lang w:eastAsia="lt-LT"/>
              </w:rPr>
              <w:t>12</w:t>
            </w:r>
            <w:r w:rsidR="00EB6519" w:rsidRPr="004E77F7">
              <w:rPr>
                <w:rFonts w:ascii="Times New Roman" w:eastAsia="Times New Roman" w:hAnsi="Times New Roman"/>
                <w:sz w:val="18"/>
                <w:szCs w:val="18"/>
                <w:lang w:eastAsia="lt-LT"/>
              </w:rPr>
              <w:t>5</w:t>
            </w:r>
            <w:r w:rsidRPr="004E77F7">
              <w:rPr>
                <w:rFonts w:ascii="Times New Roman" w:eastAsia="Times New Roman" w:hAnsi="Times New Roman"/>
                <w:sz w:val="18"/>
                <w:szCs w:val="18"/>
                <w:lang w:eastAsia="lt-LT"/>
              </w:rPr>
              <w:t>.</w:t>
            </w:r>
            <w:r w:rsidR="00EB6519" w:rsidRPr="004E77F7">
              <w:rPr>
                <w:rFonts w:ascii="Times New Roman" w:eastAsia="Times New Roman" w:hAnsi="Times New Roman"/>
                <w:sz w:val="18"/>
                <w:szCs w:val="18"/>
                <w:lang w:eastAsia="lt-LT"/>
              </w:rPr>
              <w:t>823</w:t>
            </w:r>
            <w:r w:rsidRPr="004E77F7">
              <w:rPr>
                <w:rFonts w:ascii="Times New Roman" w:eastAsia="Times New Roman" w:hAnsi="Times New Roman"/>
                <w:sz w:val="18"/>
                <w:szCs w:val="18"/>
                <w:lang w:eastAsia="lt-LT"/>
              </w:rPr>
              <w:t>.</w:t>
            </w:r>
            <w:r w:rsidR="00EB6519" w:rsidRPr="004E77F7">
              <w:rPr>
                <w:rFonts w:ascii="Times New Roman" w:eastAsia="Times New Roman" w:hAnsi="Times New Roman"/>
                <w:sz w:val="18"/>
                <w:szCs w:val="18"/>
                <w:lang w:eastAsia="lt-LT"/>
              </w:rPr>
              <w:t>510</w:t>
            </w:r>
          </w:p>
        </w:tc>
        <w:tc>
          <w:tcPr>
            <w:tcW w:w="1134" w:type="dxa"/>
            <w:tcBorders>
              <w:top w:val="single" w:sz="4" w:space="0" w:color="auto"/>
              <w:left w:val="nil"/>
              <w:bottom w:val="single" w:sz="4" w:space="0" w:color="auto"/>
              <w:right w:val="single" w:sz="4" w:space="0" w:color="auto"/>
            </w:tcBorders>
            <w:vAlign w:val="center"/>
          </w:tcPr>
          <w:p w:rsidR="0002588A" w:rsidRPr="004E77F7" w:rsidRDefault="0013173E" w:rsidP="00EB6519">
            <w:pPr>
              <w:spacing w:after="0" w:line="240" w:lineRule="auto"/>
              <w:jc w:val="right"/>
              <w:rPr>
                <w:rFonts w:ascii="Times New Roman" w:hAnsi="Times New Roman"/>
                <w:sz w:val="18"/>
                <w:szCs w:val="18"/>
              </w:rPr>
            </w:pPr>
            <w:r w:rsidRPr="004E77F7">
              <w:rPr>
                <w:rFonts w:ascii="Times New Roman" w:hAnsi="Times New Roman"/>
                <w:sz w:val="18"/>
                <w:szCs w:val="18"/>
              </w:rPr>
              <w:t>3</w:t>
            </w:r>
            <w:r w:rsidR="00EB6519" w:rsidRPr="004E77F7">
              <w:rPr>
                <w:rFonts w:ascii="Times New Roman" w:hAnsi="Times New Roman"/>
                <w:sz w:val="18"/>
                <w:szCs w:val="18"/>
              </w:rPr>
              <w:t>5</w:t>
            </w:r>
            <w:r w:rsidRPr="004E77F7">
              <w:rPr>
                <w:rFonts w:ascii="Times New Roman" w:hAnsi="Times New Roman"/>
                <w:sz w:val="18"/>
                <w:szCs w:val="18"/>
              </w:rPr>
              <w:t>.</w:t>
            </w:r>
            <w:r w:rsidR="00EB6519" w:rsidRPr="004E77F7">
              <w:rPr>
                <w:rFonts w:ascii="Times New Roman" w:hAnsi="Times New Roman"/>
                <w:sz w:val="18"/>
                <w:szCs w:val="18"/>
              </w:rPr>
              <w:t>717</w:t>
            </w:r>
            <w:r w:rsidRPr="004E77F7">
              <w:rPr>
                <w:rFonts w:ascii="Times New Roman" w:hAnsi="Times New Roman"/>
                <w:sz w:val="18"/>
                <w:szCs w:val="18"/>
              </w:rPr>
              <w:t>.</w:t>
            </w:r>
            <w:r w:rsidR="00EB6519" w:rsidRPr="004E77F7">
              <w:rPr>
                <w:rFonts w:ascii="Times New Roman" w:hAnsi="Times New Roman"/>
                <w:sz w:val="18"/>
                <w:szCs w:val="18"/>
              </w:rPr>
              <w:t>620</w:t>
            </w:r>
          </w:p>
        </w:tc>
        <w:tc>
          <w:tcPr>
            <w:tcW w:w="1134" w:type="dxa"/>
            <w:tcBorders>
              <w:top w:val="single" w:sz="4" w:space="0" w:color="auto"/>
              <w:left w:val="single" w:sz="4" w:space="0" w:color="auto"/>
              <w:bottom w:val="single" w:sz="4" w:space="0" w:color="auto"/>
              <w:right w:val="single" w:sz="4" w:space="0" w:color="auto"/>
            </w:tcBorders>
            <w:vAlign w:val="center"/>
          </w:tcPr>
          <w:p w:rsidR="0002588A" w:rsidRPr="004E77F7" w:rsidRDefault="00B15566" w:rsidP="00B15566">
            <w:pPr>
              <w:spacing w:after="0" w:line="240" w:lineRule="auto"/>
              <w:jc w:val="right"/>
              <w:rPr>
                <w:rFonts w:ascii="Times New Roman" w:hAnsi="Times New Roman"/>
                <w:sz w:val="18"/>
                <w:szCs w:val="18"/>
              </w:rPr>
            </w:pPr>
            <w:r w:rsidRPr="004E77F7">
              <w:rPr>
                <w:rFonts w:ascii="Times New Roman" w:hAnsi="Times New Roman"/>
                <w:sz w:val="18"/>
                <w:szCs w:val="18"/>
              </w:rPr>
              <w:t>90</w:t>
            </w:r>
            <w:r w:rsidR="003458B6" w:rsidRPr="004E77F7">
              <w:rPr>
                <w:rFonts w:ascii="Times New Roman" w:hAnsi="Times New Roman"/>
                <w:sz w:val="18"/>
                <w:szCs w:val="18"/>
              </w:rPr>
              <w:t>.</w:t>
            </w:r>
            <w:r w:rsidRPr="004E77F7">
              <w:rPr>
                <w:rFonts w:ascii="Times New Roman" w:hAnsi="Times New Roman"/>
                <w:sz w:val="18"/>
                <w:szCs w:val="18"/>
              </w:rPr>
              <w:t>105</w:t>
            </w:r>
            <w:r w:rsidR="003458B6" w:rsidRPr="004E77F7">
              <w:rPr>
                <w:rFonts w:ascii="Times New Roman" w:hAnsi="Times New Roman"/>
                <w:sz w:val="18"/>
                <w:szCs w:val="18"/>
              </w:rPr>
              <w:t>.</w:t>
            </w:r>
            <w:r w:rsidRPr="004E77F7">
              <w:rPr>
                <w:rFonts w:ascii="Times New Roman" w:hAnsi="Times New Roman"/>
                <w:sz w:val="18"/>
                <w:szCs w:val="18"/>
              </w:rPr>
              <w:t>890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02588A" w:rsidRPr="004E77F7" w:rsidRDefault="003458B6" w:rsidP="00EB6519">
            <w:pPr>
              <w:spacing w:after="0" w:line="240" w:lineRule="auto"/>
              <w:jc w:val="right"/>
              <w:rPr>
                <w:rFonts w:ascii="Times New Roman" w:eastAsia="Times New Roman" w:hAnsi="Times New Roman"/>
                <w:color w:val="000000"/>
                <w:sz w:val="18"/>
                <w:szCs w:val="18"/>
                <w:lang w:eastAsia="lt-LT"/>
              </w:rPr>
            </w:pPr>
            <w:r w:rsidRPr="004E77F7">
              <w:rPr>
                <w:rFonts w:ascii="Times New Roman" w:eastAsia="Times New Roman" w:hAnsi="Times New Roman"/>
                <w:color w:val="000000"/>
                <w:sz w:val="18"/>
                <w:szCs w:val="18"/>
                <w:lang w:eastAsia="lt-LT"/>
              </w:rPr>
              <w:t>8</w:t>
            </w:r>
            <w:r w:rsidR="00EB6519" w:rsidRPr="004E77F7">
              <w:rPr>
                <w:rFonts w:ascii="Times New Roman" w:eastAsia="Times New Roman" w:hAnsi="Times New Roman"/>
                <w:color w:val="000000"/>
                <w:sz w:val="18"/>
                <w:szCs w:val="18"/>
                <w:lang w:eastAsia="lt-LT"/>
              </w:rPr>
              <w:t>38</w:t>
            </w:r>
            <w:r w:rsidRPr="004E77F7">
              <w:rPr>
                <w:rFonts w:ascii="Times New Roman" w:eastAsia="Times New Roman" w:hAnsi="Times New Roman"/>
                <w:color w:val="000000"/>
                <w:sz w:val="18"/>
                <w:szCs w:val="18"/>
                <w:lang w:eastAsia="lt-LT"/>
              </w:rPr>
              <w:t>.</w:t>
            </w:r>
            <w:r w:rsidR="00EB6519" w:rsidRPr="004E77F7">
              <w:rPr>
                <w:rFonts w:ascii="Times New Roman" w:eastAsia="Times New Roman" w:hAnsi="Times New Roman"/>
                <w:color w:val="000000"/>
                <w:sz w:val="18"/>
                <w:szCs w:val="18"/>
                <w:lang w:eastAsia="lt-LT"/>
              </w:rPr>
              <w:t>823</w:t>
            </w:r>
            <w:r w:rsidRPr="004E77F7">
              <w:rPr>
                <w:rFonts w:ascii="Times New Roman" w:eastAsia="Times New Roman" w:hAnsi="Times New Roman"/>
                <w:color w:val="000000"/>
                <w:sz w:val="18"/>
                <w:szCs w:val="18"/>
                <w:lang w:eastAsia="lt-LT"/>
              </w:rPr>
              <w:t>.</w:t>
            </w:r>
            <w:r w:rsidR="00EB6519" w:rsidRPr="004E77F7">
              <w:rPr>
                <w:rFonts w:ascii="Times New Roman" w:eastAsia="Times New Roman" w:hAnsi="Times New Roman"/>
                <w:color w:val="000000"/>
                <w:sz w:val="18"/>
                <w:szCs w:val="18"/>
                <w:lang w:eastAsia="lt-LT"/>
              </w:rPr>
              <w:t>397</w:t>
            </w:r>
          </w:p>
        </w:tc>
        <w:tc>
          <w:tcPr>
            <w:tcW w:w="709" w:type="dxa"/>
            <w:tcBorders>
              <w:top w:val="nil"/>
              <w:left w:val="nil"/>
              <w:bottom w:val="single" w:sz="4" w:space="0" w:color="auto"/>
              <w:right w:val="single" w:sz="4" w:space="0" w:color="auto"/>
            </w:tcBorders>
            <w:shd w:val="clear" w:color="auto" w:fill="auto"/>
            <w:vAlign w:val="center"/>
            <w:hideMark/>
          </w:tcPr>
          <w:p w:rsidR="0002588A" w:rsidRPr="004E77F7" w:rsidRDefault="00C93D87" w:rsidP="00372448">
            <w:pPr>
              <w:spacing w:after="0" w:line="240" w:lineRule="auto"/>
              <w:jc w:val="right"/>
              <w:rPr>
                <w:rFonts w:ascii="Times New Roman" w:eastAsia="Times New Roman" w:hAnsi="Times New Roman"/>
                <w:color w:val="000000"/>
                <w:sz w:val="18"/>
                <w:szCs w:val="18"/>
                <w:lang w:eastAsia="lt-LT"/>
              </w:rPr>
            </w:pPr>
            <w:r w:rsidRPr="004E77F7">
              <w:rPr>
                <w:rFonts w:ascii="Times New Roman" w:eastAsia="Times New Roman" w:hAnsi="Times New Roman"/>
                <w:color w:val="000000"/>
                <w:sz w:val="18"/>
                <w:szCs w:val="18"/>
                <w:lang w:eastAsia="lt-LT"/>
              </w:rPr>
              <w:t>85,00</w:t>
            </w:r>
          </w:p>
        </w:tc>
        <w:tc>
          <w:tcPr>
            <w:tcW w:w="425" w:type="dxa"/>
            <w:tcBorders>
              <w:top w:val="nil"/>
              <w:left w:val="nil"/>
              <w:bottom w:val="single" w:sz="4" w:space="0" w:color="auto"/>
              <w:right w:val="single" w:sz="4" w:space="0" w:color="auto"/>
            </w:tcBorders>
            <w:shd w:val="clear" w:color="auto" w:fill="auto"/>
            <w:vAlign w:val="center"/>
            <w:hideMark/>
          </w:tcPr>
          <w:p w:rsidR="0002588A" w:rsidRPr="004E77F7" w:rsidRDefault="00A50C23" w:rsidP="00372448">
            <w:pPr>
              <w:spacing w:after="0" w:line="240" w:lineRule="auto"/>
              <w:jc w:val="right"/>
              <w:rPr>
                <w:rFonts w:ascii="Times New Roman" w:eastAsia="Times New Roman" w:hAnsi="Times New Roman"/>
                <w:color w:val="000000"/>
                <w:sz w:val="18"/>
                <w:szCs w:val="18"/>
                <w:lang w:eastAsia="lt-LT"/>
              </w:rPr>
            </w:pPr>
            <w:r w:rsidRPr="004E77F7">
              <w:rPr>
                <w:rFonts w:ascii="Times New Roman" w:eastAsia="Times New Roman" w:hAnsi="Times New Roman"/>
                <w:color w:val="000000"/>
                <w:sz w:val="18"/>
                <w:szCs w:val="18"/>
                <w:lang w:eastAsia="lt-LT"/>
              </w:rPr>
              <w:t>.</w:t>
            </w:r>
          </w:p>
        </w:tc>
        <w:tc>
          <w:tcPr>
            <w:tcW w:w="1417" w:type="dxa"/>
            <w:tcBorders>
              <w:top w:val="nil"/>
              <w:left w:val="nil"/>
              <w:bottom w:val="single" w:sz="4" w:space="0" w:color="auto"/>
              <w:right w:val="single" w:sz="4" w:space="0" w:color="auto"/>
            </w:tcBorders>
            <w:shd w:val="clear" w:color="auto" w:fill="auto"/>
            <w:vAlign w:val="center"/>
            <w:hideMark/>
          </w:tcPr>
          <w:p w:rsidR="0002588A" w:rsidRPr="004E77F7" w:rsidRDefault="003458B6" w:rsidP="00B15566">
            <w:pPr>
              <w:spacing w:after="0" w:line="240" w:lineRule="auto"/>
              <w:jc w:val="right"/>
              <w:rPr>
                <w:rFonts w:ascii="Times New Roman" w:eastAsia="Times New Roman" w:hAnsi="Times New Roman"/>
                <w:color w:val="000000"/>
                <w:sz w:val="18"/>
                <w:szCs w:val="18"/>
                <w:lang w:eastAsia="lt-LT"/>
              </w:rPr>
            </w:pPr>
            <w:r w:rsidRPr="004E77F7">
              <w:rPr>
                <w:rFonts w:ascii="Times New Roman" w:eastAsia="Times New Roman" w:hAnsi="Times New Roman"/>
                <w:color w:val="000000"/>
                <w:sz w:val="18"/>
                <w:szCs w:val="18"/>
                <w:lang w:eastAsia="lt-LT"/>
              </w:rPr>
              <w:t>6</w:t>
            </w:r>
            <w:r w:rsidR="00EB6519" w:rsidRPr="004E77F7">
              <w:rPr>
                <w:rFonts w:ascii="Times New Roman" w:eastAsia="Times New Roman" w:hAnsi="Times New Roman"/>
                <w:color w:val="000000"/>
                <w:sz w:val="18"/>
                <w:szCs w:val="18"/>
                <w:lang w:eastAsia="lt-LT"/>
              </w:rPr>
              <w:t>65</w:t>
            </w:r>
            <w:r w:rsidRPr="004E77F7">
              <w:rPr>
                <w:rFonts w:ascii="Times New Roman" w:eastAsia="Times New Roman" w:hAnsi="Times New Roman"/>
                <w:color w:val="000000"/>
                <w:sz w:val="18"/>
                <w:szCs w:val="18"/>
                <w:lang w:eastAsia="lt-LT"/>
              </w:rPr>
              <w:t>.</w:t>
            </w:r>
            <w:r w:rsidR="009773FE" w:rsidRPr="004E77F7">
              <w:rPr>
                <w:rFonts w:ascii="Times New Roman" w:eastAsia="Times New Roman" w:hAnsi="Times New Roman"/>
                <w:color w:val="000000"/>
                <w:sz w:val="18"/>
                <w:szCs w:val="18"/>
                <w:lang w:eastAsia="lt-LT"/>
              </w:rPr>
              <w:t>888</w:t>
            </w:r>
            <w:r w:rsidRPr="004E77F7">
              <w:rPr>
                <w:rFonts w:ascii="Times New Roman" w:eastAsia="Times New Roman" w:hAnsi="Times New Roman"/>
                <w:color w:val="000000"/>
                <w:sz w:val="18"/>
                <w:szCs w:val="18"/>
                <w:lang w:eastAsia="lt-LT"/>
              </w:rPr>
              <w:t>.</w:t>
            </w:r>
            <w:r w:rsidR="009773FE" w:rsidRPr="004E77F7">
              <w:rPr>
                <w:rFonts w:ascii="Times New Roman" w:eastAsia="Times New Roman" w:hAnsi="Times New Roman"/>
                <w:color w:val="000000"/>
                <w:sz w:val="18"/>
                <w:szCs w:val="18"/>
                <w:lang w:eastAsia="lt-LT"/>
              </w:rPr>
              <w:t>410</w:t>
            </w:r>
          </w:p>
        </w:tc>
        <w:tc>
          <w:tcPr>
            <w:tcW w:w="1276" w:type="dxa"/>
            <w:tcBorders>
              <w:top w:val="nil"/>
              <w:left w:val="nil"/>
              <w:bottom w:val="single" w:sz="4" w:space="0" w:color="auto"/>
              <w:right w:val="single" w:sz="4" w:space="0" w:color="auto"/>
            </w:tcBorders>
            <w:shd w:val="clear" w:color="auto" w:fill="auto"/>
            <w:vAlign w:val="center"/>
            <w:hideMark/>
          </w:tcPr>
          <w:p w:rsidR="0002588A" w:rsidRPr="004E77F7" w:rsidRDefault="003458B6" w:rsidP="00EB6519">
            <w:pPr>
              <w:spacing w:after="0" w:line="240" w:lineRule="auto"/>
              <w:jc w:val="right"/>
              <w:rPr>
                <w:rFonts w:ascii="Times New Roman" w:eastAsia="Times New Roman" w:hAnsi="Times New Roman"/>
                <w:color w:val="000000"/>
                <w:sz w:val="18"/>
                <w:szCs w:val="18"/>
                <w:lang w:eastAsia="lt-LT"/>
              </w:rPr>
            </w:pPr>
            <w:r w:rsidRPr="004E77F7">
              <w:rPr>
                <w:rFonts w:ascii="Times New Roman" w:eastAsia="Times New Roman" w:hAnsi="Times New Roman"/>
                <w:color w:val="000000"/>
                <w:sz w:val="18"/>
                <w:szCs w:val="18"/>
                <w:lang w:eastAsia="lt-LT"/>
              </w:rPr>
              <w:t>11</w:t>
            </w:r>
            <w:r w:rsidR="00EB6519" w:rsidRPr="004E77F7">
              <w:rPr>
                <w:rFonts w:ascii="Times New Roman" w:eastAsia="Times New Roman" w:hAnsi="Times New Roman"/>
                <w:color w:val="000000"/>
                <w:sz w:val="18"/>
                <w:szCs w:val="18"/>
                <w:lang w:eastAsia="lt-LT"/>
              </w:rPr>
              <w:t>7</w:t>
            </w:r>
            <w:r w:rsidRPr="004E77F7">
              <w:rPr>
                <w:rFonts w:ascii="Times New Roman" w:eastAsia="Times New Roman" w:hAnsi="Times New Roman"/>
                <w:color w:val="000000"/>
                <w:sz w:val="18"/>
                <w:szCs w:val="18"/>
                <w:lang w:eastAsia="lt-LT"/>
              </w:rPr>
              <w:t>.</w:t>
            </w:r>
            <w:r w:rsidR="009773FE" w:rsidRPr="004E77F7">
              <w:rPr>
                <w:rFonts w:ascii="Times New Roman" w:eastAsia="Times New Roman" w:hAnsi="Times New Roman"/>
                <w:color w:val="000000"/>
                <w:sz w:val="18"/>
                <w:szCs w:val="18"/>
                <w:lang w:eastAsia="lt-LT"/>
              </w:rPr>
              <w:t>509</w:t>
            </w:r>
            <w:r w:rsidRPr="004E77F7">
              <w:rPr>
                <w:rFonts w:ascii="Times New Roman" w:eastAsia="Times New Roman" w:hAnsi="Times New Roman"/>
                <w:color w:val="000000"/>
                <w:sz w:val="18"/>
                <w:szCs w:val="18"/>
                <w:lang w:eastAsia="lt-LT"/>
              </w:rPr>
              <w:t>.</w:t>
            </w:r>
            <w:r w:rsidR="00EB6519" w:rsidRPr="004E77F7">
              <w:rPr>
                <w:rFonts w:ascii="Times New Roman" w:eastAsia="Times New Roman" w:hAnsi="Times New Roman"/>
                <w:color w:val="000000"/>
                <w:sz w:val="18"/>
                <w:szCs w:val="18"/>
                <w:lang w:eastAsia="lt-LT"/>
              </w:rPr>
              <w:t>7</w:t>
            </w:r>
            <w:r w:rsidR="009773FE" w:rsidRPr="004E77F7">
              <w:rPr>
                <w:rFonts w:ascii="Times New Roman" w:eastAsia="Times New Roman" w:hAnsi="Times New Roman"/>
                <w:color w:val="000000"/>
                <w:sz w:val="18"/>
                <w:szCs w:val="18"/>
                <w:lang w:eastAsia="lt-LT"/>
              </w:rPr>
              <w:t>20</w:t>
            </w:r>
          </w:p>
        </w:tc>
        <w:tc>
          <w:tcPr>
            <w:tcW w:w="1134" w:type="dxa"/>
            <w:tcBorders>
              <w:top w:val="nil"/>
              <w:left w:val="nil"/>
              <w:bottom w:val="single" w:sz="4" w:space="0" w:color="auto"/>
              <w:right w:val="single" w:sz="4" w:space="0" w:color="auto"/>
            </w:tcBorders>
            <w:shd w:val="clear" w:color="auto" w:fill="auto"/>
            <w:vAlign w:val="center"/>
            <w:hideMark/>
          </w:tcPr>
          <w:p w:rsidR="0002588A" w:rsidRPr="004E77F7" w:rsidRDefault="003458B6" w:rsidP="00F832CB">
            <w:pPr>
              <w:spacing w:after="0" w:line="240" w:lineRule="auto"/>
              <w:jc w:val="right"/>
              <w:rPr>
                <w:rFonts w:ascii="Times New Roman" w:eastAsia="Times New Roman" w:hAnsi="Times New Roman"/>
                <w:color w:val="000000"/>
                <w:sz w:val="18"/>
                <w:szCs w:val="18"/>
                <w:lang w:eastAsia="lt-LT"/>
              </w:rPr>
            </w:pPr>
            <w:r w:rsidRPr="004E77F7">
              <w:rPr>
                <w:rFonts w:ascii="Times New Roman" w:eastAsia="Times New Roman" w:hAnsi="Times New Roman"/>
                <w:color w:val="000000"/>
                <w:sz w:val="18"/>
                <w:szCs w:val="18"/>
                <w:lang w:eastAsia="lt-LT"/>
              </w:rPr>
              <w:t>4</w:t>
            </w:r>
            <w:r w:rsidR="00F832CB" w:rsidRPr="004E77F7">
              <w:rPr>
                <w:rFonts w:ascii="Times New Roman" w:eastAsia="Times New Roman" w:hAnsi="Times New Roman"/>
                <w:color w:val="000000"/>
                <w:sz w:val="18"/>
                <w:szCs w:val="18"/>
                <w:lang w:eastAsia="lt-LT"/>
              </w:rPr>
              <w:t>7</w:t>
            </w:r>
            <w:r w:rsidRPr="004E77F7">
              <w:rPr>
                <w:rFonts w:ascii="Times New Roman" w:eastAsia="Times New Roman" w:hAnsi="Times New Roman"/>
                <w:color w:val="000000"/>
                <w:sz w:val="18"/>
                <w:szCs w:val="18"/>
                <w:lang w:eastAsia="lt-LT"/>
              </w:rPr>
              <w:t>.</w:t>
            </w:r>
            <w:r w:rsidR="004F2FBD" w:rsidRPr="004E77F7">
              <w:rPr>
                <w:rFonts w:ascii="Times New Roman" w:eastAsia="Times New Roman" w:hAnsi="Times New Roman"/>
                <w:color w:val="000000"/>
                <w:sz w:val="18"/>
                <w:szCs w:val="18"/>
                <w:lang w:eastAsia="lt-LT"/>
              </w:rPr>
              <w:t>111</w:t>
            </w:r>
            <w:r w:rsidRPr="004E77F7">
              <w:rPr>
                <w:rFonts w:ascii="Times New Roman" w:eastAsia="Times New Roman" w:hAnsi="Times New Roman"/>
                <w:color w:val="000000"/>
                <w:sz w:val="18"/>
                <w:szCs w:val="18"/>
                <w:lang w:eastAsia="lt-LT"/>
              </w:rPr>
              <w:t>.</w:t>
            </w:r>
            <w:r w:rsidR="004F2FBD" w:rsidRPr="004E77F7">
              <w:rPr>
                <w:rFonts w:ascii="Times New Roman" w:eastAsia="Times New Roman" w:hAnsi="Times New Roman"/>
                <w:color w:val="000000"/>
                <w:sz w:val="18"/>
                <w:szCs w:val="18"/>
                <w:lang w:eastAsia="lt-LT"/>
              </w:rPr>
              <w:t>477</w:t>
            </w:r>
          </w:p>
        </w:tc>
        <w:tc>
          <w:tcPr>
            <w:tcW w:w="1134" w:type="dxa"/>
            <w:tcBorders>
              <w:top w:val="nil"/>
              <w:left w:val="nil"/>
              <w:bottom w:val="single" w:sz="4" w:space="0" w:color="auto"/>
              <w:right w:val="single" w:sz="4" w:space="0" w:color="auto"/>
            </w:tcBorders>
            <w:shd w:val="clear" w:color="auto" w:fill="auto"/>
            <w:vAlign w:val="center"/>
            <w:hideMark/>
          </w:tcPr>
          <w:p w:rsidR="0002588A" w:rsidRPr="004E77F7" w:rsidRDefault="003458B6" w:rsidP="00F832CB">
            <w:pPr>
              <w:spacing w:after="0" w:line="240" w:lineRule="auto"/>
              <w:jc w:val="right"/>
              <w:rPr>
                <w:rFonts w:ascii="Times New Roman" w:eastAsia="Times New Roman" w:hAnsi="Times New Roman"/>
                <w:color w:val="000000"/>
                <w:sz w:val="18"/>
                <w:szCs w:val="18"/>
                <w:lang w:eastAsia="lt-LT"/>
              </w:rPr>
            </w:pPr>
            <w:r w:rsidRPr="004E77F7">
              <w:rPr>
                <w:rFonts w:ascii="Times New Roman" w:eastAsia="Times New Roman" w:hAnsi="Times New Roman"/>
                <w:color w:val="000000"/>
                <w:sz w:val="18"/>
                <w:szCs w:val="18"/>
                <w:lang w:eastAsia="lt-LT"/>
              </w:rPr>
              <w:t>8.</w:t>
            </w:r>
            <w:r w:rsidR="004F2FBD" w:rsidRPr="004E77F7">
              <w:rPr>
                <w:rFonts w:ascii="Times New Roman" w:eastAsia="Times New Roman" w:hAnsi="Times New Roman"/>
                <w:color w:val="000000"/>
                <w:sz w:val="18"/>
                <w:szCs w:val="18"/>
                <w:lang w:eastAsia="lt-LT"/>
              </w:rPr>
              <w:t>313</w:t>
            </w:r>
            <w:r w:rsidRPr="004E77F7">
              <w:rPr>
                <w:rFonts w:ascii="Times New Roman" w:eastAsia="Times New Roman" w:hAnsi="Times New Roman"/>
                <w:color w:val="000000"/>
                <w:sz w:val="18"/>
                <w:szCs w:val="18"/>
                <w:lang w:eastAsia="lt-LT"/>
              </w:rPr>
              <w:t>.</w:t>
            </w:r>
            <w:r w:rsidR="004F2FBD" w:rsidRPr="004E77F7">
              <w:rPr>
                <w:rFonts w:ascii="Times New Roman" w:eastAsia="Times New Roman" w:hAnsi="Times New Roman"/>
                <w:color w:val="000000"/>
                <w:sz w:val="18"/>
                <w:szCs w:val="18"/>
                <w:lang w:eastAsia="lt-LT"/>
              </w:rPr>
              <w:t>790</w:t>
            </w:r>
          </w:p>
        </w:tc>
        <w:tc>
          <w:tcPr>
            <w:tcW w:w="567" w:type="dxa"/>
            <w:tcBorders>
              <w:top w:val="nil"/>
              <w:left w:val="nil"/>
              <w:bottom w:val="single" w:sz="4" w:space="0" w:color="auto"/>
              <w:right w:val="single" w:sz="4" w:space="0" w:color="auto"/>
            </w:tcBorders>
            <w:shd w:val="clear" w:color="auto" w:fill="auto"/>
            <w:vAlign w:val="center"/>
            <w:hideMark/>
          </w:tcPr>
          <w:p w:rsidR="0002588A" w:rsidRPr="00DF1549" w:rsidRDefault="00372448" w:rsidP="00F6184C">
            <w:pPr>
              <w:spacing w:after="0" w:line="240" w:lineRule="auto"/>
              <w:jc w:val="right"/>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6,60</w:t>
            </w:r>
          </w:p>
        </w:tc>
      </w:tr>
      <w:tr w:rsidR="00372448" w:rsidRPr="00DF1549" w:rsidTr="00650E41">
        <w:trPr>
          <w:trHeight w:val="229"/>
        </w:trPr>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02588A" w:rsidRPr="006F2E2E" w:rsidRDefault="0002588A" w:rsidP="00AA7F36">
            <w:pPr>
              <w:widowControl w:val="0"/>
              <w:tabs>
                <w:tab w:val="left" w:pos="622"/>
              </w:tabs>
              <w:spacing w:after="0" w:line="240" w:lineRule="auto"/>
              <w:rPr>
                <w:rFonts w:ascii="Times New Roman" w:eastAsia="AngsanaUPC" w:hAnsi="Times New Roman"/>
                <w:bCs/>
                <w:sz w:val="18"/>
                <w:szCs w:val="18"/>
                <w:lang w:eastAsia="lt-LT"/>
              </w:rPr>
            </w:pPr>
            <w:r w:rsidRPr="006F2E2E">
              <w:rPr>
                <w:rFonts w:ascii="Times New Roman" w:eastAsia="AngsanaUPC" w:hAnsi="Times New Roman"/>
                <w:bCs/>
                <w:sz w:val="18"/>
                <w:szCs w:val="18"/>
                <w:lang w:eastAsia="lt-LT"/>
              </w:rPr>
              <w:t xml:space="preserve">6. </w:t>
            </w:r>
            <w:r w:rsidR="00EB3039">
              <w:rPr>
                <w:rFonts w:ascii="Times New Roman" w:eastAsia="AngsanaUPC" w:hAnsi="Times New Roman"/>
                <w:bCs/>
                <w:sz w:val="18"/>
                <w:szCs w:val="18"/>
                <w:lang w:eastAsia="lt-LT"/>
              </w:rPr>
              <w:t>Darn</w:t>
            </w:r>
            <w:r w:rsidR="007100D2">
              <w:rPr>
                <w:rFonts w:ascii="Times New Roman" w:eastAsia="AngsanaUPC" w:hAnsi="Times New Roman"/>
                <w:bCs/>
                <w:sz w:val="18"/>
                <w:szCs w:val="18"/>
                <w:lang w:eastAsia="lt-LT"/>
              </w:rPr>
              <w:t>aus</w:t>
            </w:r>
            <w:r w:rsidRPr="006F2E2E">
              <w:rPr>
                <w:rFonts w:ascii="Times New Roman" w:eastAsia="AngsanaUPC" w:hAnsi="Times New Roman"/>
                <w:bCs/>
                <w:sz w:val="18"/>
                <w:szCs w:val="18"/>
                <w:lang w:eastAsia="lt-LT"/>
              </w:rPr>
              <w:t xml:space="preserve"> transporto</w:t>
            </w:r>
            <w:r w:rsidR="00D7758D">
              <w:rPr>
                <w:rFonts w:ascii="Times New Roman" w:eastAsia="AngsanaUPC" w:hAnsi="Times New Roman"/>
                <w:bCs/>
                <w:sz w:val="18"/>
                <w:szCs w:val="18"/>
                <w:lang w:eastAsia="lt-LT"/>
              </w:rPr>
              <w:t xml:space="preserve"> ir</w:t>
            </w:r>
            <w:r w:rsidRPr="006F2E2E">
              <w:rPr>
                <w:rFonts w:ascii="Times New Roman" w:eastAsia="AngsanaUPC" w:hAnsi="Times New Roman"/>
                <w:bCs/>
                <w:sz w:val="18"/>
                <w:szCs w:val="18"/>
                <w:lang w:eastAsia="lt-LT"/>
              </w:rPr>
              <w:t xml:space="preserve"> pagrindinių tinklų infrastruktūros </w:t>
            </w:r>
            <w:r w:rsidR="00D7758D">
              <w:rPr>
                <w:rFonts w:ascii="Times New Roman" w:eastAsia="AngsanaUPC" w:hAnsi="Times New Roman"/>
                <w:bCs/>
                <w:sz w:val="18"/>
                <w:szCs w:val="18"/>
                <w:lang w:eastAsia="lt-LT"/>
              </w:rPr>
              <w:t>plėtra</w:t>
            </w:r>
          </w:p>
        </w:tc>
        <w:tc>
          <w:tcPr>
            <w:tcW w:w="850" w:type="dxa"/>
            <w:tcBorders>
              <w:top w:val="nil"/>
              <w:left w:val="nil"/>
              <w:bottom w:val="single" w:sz="4" w:space="0" w:color="auto"/>
              <w:right w:val="single" w:sz="4" w:space="0" w:color="auto"/>
            </w:tcBorders>
            <w:shd w:val="clear" w:color="auto" w:fill="auto"/>
            <w:vAlign w:val="center"/>
            <w:hideMark/>
          </w:tcPr>
          <w:p w:rsidR="0002588A" w:rsidRPr="00DF1549" w:rsidRDefault="0002588A" w:rsidP="00F6184C">
            <w:pPr>
              <w:spacing w:after="0" w:line="240" w:lineRule="auto"/>
              <w:jc w:val="both"/>
              <w:rPr>
                <w:rFonts w:ascii="Times New Roman" w:eastAsia="Times New Roman" w:hAnsi="Times New Roman"/>
                <w:color w:val="000000"/>
                <w:sz w:val="18"/>
                <w:szCs w:val="18"/>
                <w:lang w:eastAsia="lt-LT"/>
              </w:rPr>
            </w:pPr>
            <w:r w:rsidRPr="00DF1549">
              <w:rPr>
                <w:rFonts w:ascii="Times New Roman" w:eastAsia="Times New Roman" w:hAnsi="Times New Roman"/>
                <w:color w:val="000000"/>
                <w:sz w:val="18"/>
                <w:szCs w:val="18"/>
                <w:lang w:eastAsia="lt-LT"/>
              </w:rPr>
              <w:t>ERPF</w:t>
            </w:r>
          </w:p>
        </w:tc>
        <w:tc>
          <w:tcPr>
            <w:tcW w:w="993" w:type="dxa"/>
            <w:tcBorders>
              <w:top w:val="nil"/>
              <w:left w:val="nil"/>
              <w:bottom w:val="single" w:sz="4" w:space="0" w:color="auto"/>
              <w:right w:val="single" w:sz="4" w:space="0" w:color="auto"/>
            </w:tcBorders>
            <w:shd w:val="clear" w:color="auto" w:fill="auto"/>
            <w:vAlign w:val="center"/>
            <w:hideMark/>
          </w:tcPr>
          <w:p w:rsidR="0002588A" w:rsidRPr="006F2E2E" w:rsidRDefault="0002588A" w:rsidP="00F6184C">
            <w:pPr>
              <w:spacing w:after="0" w:line="240" w:lineRule="auto"/>
              <w:rPr>
                <w:rFonts w:ascii="Times New Roman" w:eastAsia="Times New Roman" w:hAnsi="Times New Roman"/>
                <w:sz w:val="18"/>
                <w:szCs w:val="18"/>
                <w:lang w:eastAsia="lt-LT"/>
              </w:rPr>
            </w:pPr>
            <w:r w:rsidRPr="006F2E2E">
              <w:rPr>
                <w:rFonts w:ascii="Times New Roman" w:eastAsia="Times New Roman" w:hAnsi="Times New Roman"/>
                <w:sz w:val="18"/>
                <w:szCs w:val="18"/>
                <w:lang w:eastAsia="lt-LT"/>
              </w:rPr>
              <w:t>Bendros tinkamos išlaidos</w:t>
            </w:r>
          </w:p>
        </w:tc>
        <w:tc>
          <w:tcPr>
            <w:tcW w:w="1275" w:type="dxa"/>
            <w:tcBorders>
              <w:top w:val="nil"/>
              <w:left w:val="nil"/>
              <w:bottom w:val="single" w:sz="4" w:space="0" w:color="auto"/>
              <w:right w:val="single" w:sz="4" w:space="0" w:color="auto"/>
            </w:tcBorders>
            <w:shd w:val="clear" w:color="auto" w:fill="auto"/>
            <w:vAlign w:val="center"/>
            <w:hideMark/>
          </w:tcPr>
          <w:p w:rsidR="0002588A" w:rsidRPr="004E77F7" w:rsidRDefault="00A0763B" w:rsidP="00F832CB">
            <w:pPr>
              <w:spacing w:after="0" w:line="240" w:lineRule="auto"/>
              <w:jc w:val="right"/>
              <w:rPr>
                <w:rFonts w:ascii="Times New Roman" w:eastAsia="Times New Roman" w:hAnsi="Times New Roman"/>
                <w:sz w:val="18"/>
                <w:szCs w:val="18"/>
                <w:lang w:eastAsia="lt-LT"/>
              </w:rPr>
            </w:pPr>
            <w:r w:rsidRPr="004E77F7">
              <w:rPr>
                <w:rFonts w:ascii="Times New Roman" w:eastAsia="Times New Roman" w:hAnsi="Times New Roman"/>
                <w:sz w:val="18"/>
                <w:szCs w:val="18"/>
                <w:lang w:eastAsia="lt-LT"/>
              </w:rPr>
              <w:t>3</w:t>
            </w:r>
            <w:r w:rsidR="00684430" w:rsidRPr="004E77F7">
              <w:rPr>
                <w:rFonts w:ascii="Times New Roman" w:eastAsia="Times New Roman" w:hAnsi="Times New Roman"/>
                <w:sz w:val="18"/>
                <w:szCs w:val="18"/>
                <w:lang w:eastAsia="lt-LT"/>
              </w:rPr>
              <w:t>19.4</w:t>
            </w:r>
            <w:r w:rsidRPr="004E77F7">
              <w:rPr>
                <w:rFonts w:ascii="Times New Roman" w:eastAsia="Times New Roman" w:hAnsi="Times New Roman"/>
                <w:sz w:val="18"/>
                <w:szCs w:val="18"/>
                <w:lang w:eastAsia="lt-LT"/>
              </w:rPr>
              <w:t>25.213</w:t>
            </w:r>
          </w:p>
        </w:tc>
        <w:tc>
          <w:tcPr>
            <w:tcW w:w="1276" w:type="dxa"/>
            <w:tcBorders>
              <w:top w:val="nil"/>
              <w:left w:val="nil"/>
              <w:bottom w:val="single" w:sz="4" w:space="0" w:color="auto"/>
              <w:right w:val="single" w:sz="4" w:space="0" w:color="auto"/>
            </w:tcBorders>
            <w:shd w:val="clear" w:color="auto" w:fill="auto"/>
            <w:vAlign w:val="center"/>
            <w:hideMark/>
          </w:tcPr>
          <w:p w:rsidR="0002588A" w:rsidRPr="004E77F7" w:rsidRDefault="005E24B9" w:rsidP="00F832CB">
            <w:pPr>
              <w:spacing w:after="0" w:line="240" w:lineRule="auto"/>
              <w:jc w:val="right"/>
              <w:rPr>
                <w:rFonts w:ascii="Times New Roman" w:eastAsia="Times New Roman" w:hAnsi="Times New Roman"/>
                <w:sz w:val="18"/>
                <w:szCs w:val="18"/>
                <w:lang w:eastAsia="lt-LT"/>
              </w:rPr>
            </w:pPr>
            <w:r w:rsidRPr="004E77F7">
              <w:rPr>
                <w:rFonts w:ascii="Times New Roman" w:eastAsia="Times New Roman" w:hAnsi="Times New Roman"/>
                <w:sz w:val="18"/>
                <w:szCs w:val="18"/>
                <w:lang w:eastAsia="lt-LT"/>
              </w:rPr>
              <w:t>5</w:t>
            </w:r>
            <w:r w:rsidR="00F832CB" w:rsidRPr="004E77F7">
              <w:rPr>
                <w:rFonts w:ascii="Times New Roman" w:eastAsia="Times New Roman" w:hAnsi="Times New Roman"/>
                <w:sz w:val="18"/>
                <w:szCs w:val="18"/>
                <w:lang w:eastAsia="lt-LT"/>
              </w:rPr>
              <w:t>6</w:t>
            </w:r>
            <w:r w:rsidR="00A0763B" w:rsidRPr="004E77F7">
              <w:rPr>
                <w:rFonts w:ascii="Times New Roman" w:eastAsia="Times New Roman" w:hAnsi="Times New Roman"/>
                <w:sz w:val="18"/>
                <w:szCs w:val="18"/>
                <w:lang w:eastAsia="lt-LT"/>
              </w:rPr>
              <w:t>.</w:t>
            </w:r>
            <w:r w:rsidRPr="004E77F7">
              <w:rPr>
                <w:rFonts w:ascii="Times New Roman" w:eastAsia="Times New Roman" w:hAnsi="Times New Roman"/>
                <w:sz w:val="18"/>
                <w:szCs w:val="18"/>
                <w:lang w:eastAsia="lt-LT"/>
              </w:rPr>
              <w:t>369</w:t>
            </w:r>
            <w:r w:rsidR="00A0763B" w:rsidRPr="004E77F7">
              <w:rPr>
                <w:rFonts w:ascii="Times New Roman" w:eastAsia="Times New Roman" w:hAnsi="Times New Roman"/>
                <w:sz w:val="18"/>
                <w:szCs w:val="18"/>
                <w:lang w:eastAsia="lt-LT"/>
              </w:rPr>
              <w:t>.</w:t>
            </w:r>
            <w:r w:rsidRPr="004E77F7">
              <w:rPr>
                <w:rFonts w:ascii="Times New Roman" w:eastAsia="Times New Roman" w:hAnsi="Times New Roman"/>
                <w:sz w:val="18"/>
                <w:szCs w:val="18"/>
                <w:lang w:eastAsia="lt-LT"/>
              </w:rPr>
              <w:t>156</w:t>
            </w:r>
          </w:p>
        </w:tc>
        <w:tc>
          <w:tcPr>
            <w:tcW w:w="1134" w:type="dxa"/>
            <w:tcBorders>
              <w:top w:val="single" w:sz="4" w:space="0" w:color="auto"/>
              <w:left w:val="nil"/>
              <w:bottom w:val="single" w:sz="4" w:space="0" w:color="auto"/>
              <w:right w:val="single" w:sz="4" w:space="0" w:color="auto"/>
            </w:tcBorders>
            <w:vAlign w:val="center"/>
          </w:tcPr>
          <w:p w:rsidR="0002588A" w:rsidRPr="004E77F7" w:rsidRDefault="005E24B9" w:rsidP="00F832CB">
            <w:pPr>
              <w:spacing w:after="0" w:line="240" w:lineRule="auto"/>
              <w:jc w:val="right"/>
              <w:rPr>
                <w:rFonts w:ascii="Times New Roman" w:hAnsi="Times New Roman"/>
                <w:sz w:val="18"/>
                <w:szCs w:val="18"/>
              </w:rPr>
            </w:pPr>
            <w:r w:rsidRPr="004E77F7">
              <w:rPr>
                <w:rFonts w:ascii="Times New Roman" w:hAnsi="Times New Roman"/>
                <w:sz w:val="18"/>
                <w:szCs w:val="18"/>
              </w:rPr>
              <w:t>8.141.247</w:t>
            </w:r>
          </w:p>
        </w:tc>
        <w:tc>
          <w:tcPr>
            <w:tcW w:w="1134" w:type="dxa"/>
            <w:tcBorders>
              <w:top w:val="single" w:sz="4" w:space="0" w:color="auto"/>
              <w:left w:val="single" w:sz="4" w:space="0" w:color="auto"/>
              <w:bottom w:val="single" w:sz="4" w:space="0" w:color="auto"/>
              <w:right w:val="single" w:sz="4" w:space="0" w:color="auto"/>
            </w:tcBorders>
            <w:vAlign w:val="center"/>
          </w:tcPr>
          <w:p w:rsidR="0002588A" w:rsidRPr="004E77F7" w:rsidRDefault="005E24B9" w:rsidP="00F832CB">
            <w:pPr>
              <w:spacing w:after="0" w:line="240" w:lineRule="auto"/>
              <w:jc w:val="right"/>
              <w:rPr>
                <w:rFonts w:ascii="Times New Roman" w:hAnsi="Times New Roman"/>
                <w:sz w:val="18"/>
                <w:szCs w:val="18"/>
              </w:rPr>
            </w:pPr>
            <w:r w:rsidRPr="004E77F7">
              <w:rPr>
                <w:rFonts w:ascii="Times New Roman" w:hAnsi="Times New Roman"/>
                <w:sz w:val="18"/>
                <w:szCs w:val="18"/>
              </w:rPr>
              <w:t>48</w:t>
            </w:r>
            <w:r w:rsidR="0013173E" w:rsidRPr="004E77F7">
              <w:rPr>
                <w:rFonts w:ascii="Times New Roman" w:hAnsi="Times New Roman"/>
                <w:sz w:val="18"/>
                <w:szCs w:val="18"/>
              </w:rPr>
              <w:t>.</w:t>
            </w:r>
            <w:r w:rsidRPr="004E77F7">
              <w:rPr>
                <w:rFonts w:ascii="Times New Roman" w:hAnsi="Times New Roman"/>
                <w:sz w:val="18"/>
                <w:szCs w:val="18"/>
              </w:rPr>
              <w:t>227</w:t>
            </w:r>
            <w:r w:rsidR="0013173E" w:rsidRPr="004E77F7">
              <w:rPr>
                <w:rFonts w:ascii="Times New Roman" w:hAnsi="Times New Roman"/>
                <w:sz w:val="18"/>
                <w:szCs w:val="18"/>
              </w:rPr>
              <w:t>.</w:t>
            </w:r>
            <w:r w:rsidRPr="004E77F7">
              <w:rPr>
                <w:rFonts w:ascii="Times New Roman" w:hAnsi="Times New Roman"/>
                <w:sz w:val="18"/>
                <w:szCs w:val="18"/>
              </w:rPr>
              <w:t>909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02588A" w:rsidRPr="004E77F7" w:rsidRDefault="005E24B9" w:rsidP="00F832CB">
            <w:pPr>
              <w:spacing w:after="0" w:line="240" w:lineRule="auto"/>
              <w:jc w:val="right"/>
              <w:rPr>
                <w:rFonts w:ascii="Times New Roman" w:eastAsia="Times New Roman" w:hAnsi="Times New Roman"/>
                <w:color w:val="000000"/>
                <w:sz w:val="18"/>
                <w:szCs w:val="18"/>
                <w:lang w:eastAsia="lt-LT"/>
              </w:rPr>
            </w:pPr>
            <w:r w:rsidRPr="004E77F7">
              <w:rPr>
                <w:rFonts w:ascii="Times New Roman" w:eastAsia="Times New Roman" w:hAnsi="Times New Roman"/>
                <w:color w:val="000000"/>
                <w:sz w:val="18"/>
                <w:szCs w:val="18"/>
                <w:lang w:eastAsia="lt-LT"/>
              </w:rPr>
              <w:t>375</w:t>
            </w:r>
            <w:r w:rsidR="0013173E" w:rsidRPr="004E77F7">
              <w:rPr>
                <w:rFonts w:ascii="Times New Roman" w:eastAsia="Times New Roman" w:hAnsi="Times New Roman"/>
                <w:color w:val="000000"/>
                <w:sz w:val="18"/>
                <w:szCs w:val="18"/>
                <w:lang w:eastAsia="lt-LT"/>
              </w:rPr>
              <w:t>.</w:t>
            </w:r>
            <w:r w:rsidRPr="004E77F7">
              <w:rPr>
                <w:rFonts w:ascii="Times New Roman" w:eastAsia="Times New Roman" w:hAnsi="Times New Roman"/>
                <w:color w:val="000000"/>
                <w:sz w:val="18"/>
                <w:szCs w:val="18"/>
                <w:lang w:eastAsia="lt-LT"/>
              </w:rPr>
              <w:t>794</w:t>
            </w:r>
            <w:r w:rsidR="0013173E" w:rsidRPr="004E77F7">
              <w:rPr>
                <w:rFonts w:ascii="Times New Roman" w:eastAsia="Times New Roman" w:hAnsi="Times New Roman"/>
                <w:color w:val="000000"/>
                <w:sz w:val="18"/>
                <w:szCs w:val="18"/>
                <w:lang w:eastAsia="lt-LT"/>
              </w:rPr>
              <w:t>.</w:t>
            </w:r>
            <w:r w:rsidRPr="004E77F7">
              <w:rPr>
                <w:rFonts w:ascii="Times New Roman" w:eastAsia="Times New Roman" w:hAnsi="Times New Roman"/>
                <w:color w:val="000000"/>
                <w:sz w:val="18"/>
                <w:szCs w:val="18"/>
                <w:lang w:eastAsia="lt-LT"/>
              </w:rPr>
              <w:t>369</w:t>
            </w:r>
          </w:p>
        </w:tc>
        <w:tc>
          <w:tcPr>
            <w:tcW w:w="709" w:type="dxa"/>
            <w:tcBorders>
              <w:top w:val="nil"/>
              <w:left w:val="nil"/>
              <w:bottom w:val="single" w:sz="4" w:space="0" w:color="auto"/>
              <w:right w:val="single" w:sz="4" w:space="0" w:color="auto"/>
            </w:tcBorders>
            <w:shd w:val="clear" w:color="auto" w:fill="auto"/>
            <w:vAlign w:val="center"/>
            <w:hideMark/>
          </w:tcPr>
          <w:p w:rsidR="0002588A" w:rsidRPr="004E77F7" w:rsidRDefault="00C93D87" w:rsidP="00372448">
            <w:pPr>
              <w:spacing w:after="0" w:line="240" w:lineRule="auto"/>
              <w:jc w:val="right"/>
              <w:rPr>
                <w:rFonts w:ascii="Times New Roman" w:eastAsia="Times New Roman" w:hAnsi="Times New Roman"/>
                <w:color w:val="000000"/>
                <w:sz w:val="18"/>
                <w:szCs w:val="18"/>
                <w:lang w:eastAsia="lt-LT"/>
              </w:rPr>
            </w:pPr>
            <w:r w:rsidRPr="004E77F7">
              <w:rPr>
                <w:rFonts w:ascii="Times New Roman" w:eastAsia="Times New Roman" w:hAnsi="Times New Roman"/>
                <w:color w:val="000000"/>
                <w:sz w:val="18"/>
                <w:szCs w:val="18"/>
                <w:lang w:eastAsia="lt-LT"/>
              </w:rPr>
              <w:t>85,00</w:t>
            </w:r>
          </w:p>
        </w:tc>
        <w:tc>
          <w:tcPr>
            <w:tcW w:w="425" w:type="dxa"/>
            <w:tcBorders>
              <w:top w:val="nil"/>
              <w:left w:val="nil"/>
              <w:bottom w:val="single" w:sz="4" w:space="0" w:color="auto"/>
              <w:right w:val="single" w:sz="4" w:space="0" w:color="auto"/>
            </w:tcBorders>
            <w:shd w:val="clear" w:color="auto" w:fill="auto"/>
            <w:vAlign w:val="center"/>
            <w:hideMark/>
          </w:tcPr>
          <w:p w:rsidR="0002588A" w:rsidRPr="004E77F7" w:rsidRDefault="00A50C23" w:rsidP="00372448">
            <w:pPr>
              <w:spacing w:after="0" w:line="240" w:lineRule="auto"/>
              <w:jc w:val="right"/>
              <w:rPr>
                <w:rFonts w:ascii="Times New Roman" w:eastAsia="Times New Roman" w:hAnsi="Times New Roman"/>
                <w:color w:val="000000"/>
                <w:sz w:val="18"/>
                <w:szCs w:val="18"/>
                <w:lang w:eastAsia="lt-LT"/>
              </w:rPr>
            </w:pPr>
            <w:r w:rsidRPr="004E77F7">
              <w:rPr>
                <w:rFonts w:ascii="Times New Roman" w:eastAsia="Times New Roman" w:hAnsi="Times New Roman"/>
                <w:color w:val="000000"/>
                <w:sz w:val="18"/>
                <w:szCs w:val="18"/>
                <w:lang w:eastAsia="lt-LT"/>
              </w:rPr>
              <w:t>.</w:t>
            </w:r>
          </w:p>
        </w:tc>
        <w:tc>
          <w:tcPr>
            <w:tcW w:w="1417" w:type="dxa"/>
            <w:tcBorders>
              <w:top w:val="nil"/>
              <w:left w:val="nil"/>
              <w:bottom w:val="single" w:sz="4" w:space="0" w:color="auto"/>
              <w:right w:val="single" w:sz="4" w:space="0" w:color="auto"/>
            </w:tcBorders>
            <w:shd w:val="clear" w:color="auto" w:fill="auto"/>
            <w:vAlign w:val="center"/>
            <w:hideMark/>
          </w:tcPr>
          <w:p w:rsidR="0002588A" w:rsidRPr="004E77F7" w:rsidRDefault="0013173E" w:rsidP="00F832CB">
            <w:pPr>
              <w:spacing w:after="0" w:line="240" w:lineRule="auto"/>
              <w:jc w:val="right"/>
              <w:rPr>
                <w:rFonts w:ascii="Times New Roman" w:eastAsia="Times New Roman" w:hAnsi="Times New Roman"/>
                <w:color w:val="000000"/>
                <w:sz w:val="18"/>
                <w:szCs w:val="18"/>
                <w:lang w:eastAsia="lt-LT"/>
              </w:rPr>
            </w:pPr>
            <w:r w:rsidRPr="004E77F7">
              <w:rPr>
                <w:rFonts w:ascii="Times New Roman" w:eastAsia="Times New Roman" w:hAnsi="Times New Roman"/>
                <w:color w:val="000000"/>
                <w:sz w:val="18"/>
                <w:szCs w:val="18"/>
                <w:lang w:eastAsia="lt-LT"/>
              </w:rPr>
              <w:t>3</w:t>
            </w:r>
            <w:r w:rsidR="005E24B9" w:rsidRPr="004E77F7">
              <w:rPr>
                <w:rFonts w:ascii="Times New Roman" w:eastAsia="Times New Roman" w:hAnsi="Times New Roman"/>
                <w:color w:val="000000"/>
                <w:sz w:val="18"/>
                <w:szCs w:val="18"/>
                <w:lang w:eastAsia="lt-LT"/>
              </w:rPr>
              <w:t>00</w:t>
            </w:r>
            <w:r w:rsidRPr="004E77F7">
              <w:rPr>
                <w:rFonts w:ascii="Times New Roman" w:eastAsia="Times New Roman" w:hAnsi="Times New Roman"/>
                <w:color w:val="000000"/>
                <w:sz w:val="18"/>
                <w:szCs w:val="18"/>
                <w:lang w:eastAsia="lt-LT"/>
              </w:rPr>
              <w:t>.</w:t>
            </w:r>
            <w:r w:rsidR="005E24B9" w:rsidRPr="004E77F7">
              <w:rPr>
                <w:rFonts w:ascii="Times New Roman" w:eastAsia="Times New Roman" w:hAnsi="Times New Roman"/>
                <w:color w:val="000000"/>
                <w:sz w:val="18"/>
                <w:szCs w:val="18"/>
                <w:lang w:eastAsia="lt-LT"/>
              </w:rPr>
              <w:t>259</w:t>
            </w:r>
            <w:r w:rsidRPr="004E77F7">
              <w:rPr>
                <w:rFonts w:ascii="Times New Roman" w:eastAsia="Times New Roman" w:hAnsi="Times New Roman"/>
                <w:color w:val="000000"/>
                <w:sz w:val="18"/>
                <w:szCs w:val="18"/>
                <w:lang w:eastAsia="lt-LT"/>
              </w:rPr>
              <w:t>.700</w:t>
            </w:r>
          </w:p>
        </w:tc>
        <w:tc>
          <w:tcPr>
            <w:tcW w:w="1276" w:type="dxa"/>
            <w:tcBorders>
              <w:top w:val="nil"/>
              <w:left w:val="nil"/>
              <w:bottom w:val="single" w:sz="4" w:space="0" w:color="auto"/>
              <w:right w:val="single" w:sz="4" w:space="0" w:color="auto"/>
            </w:tcBorders>
            <w:shd w:val="clear" w:color="auto" w:fill="auto"/>
            <w:vAlign w:val="center"/>
            <w:hideMark/>
          </w:tcPr>
          <w:p w:rsidR="0002588A" w:rsidRPr="004E77F7" w:rsidRDefault="005E24B9" w:rsidP="00F832CB">
            <w:pPr>
              <w:spacing w:after="0" w:line="240" w:lineRule="auto"/>
              <w:jc w:val="right"/>
              <w:rPr>
                <w:rFonts w:ascii="Times New Roman" w:eastAsia="Times New Roman" w:hAnsi="Times New Roman"/>
                <w:color w:val="000000"/>
                <w:sz w:val="18"/>
                <w:szCs w:val="18"/>
                <w:lang w:eastAsia="lt-LT"/>
              </w:rPr>
            </w:pPr>
            <w:r w:rsidRPr="004E77F7">
              <w:rPr>
                <w:rFonts w:ascii="Times New Roman" w:eastAsia="Times New Roman" w:hAnsi="Times New Roman"/>
                <w:color w:val="000000"/>
                <w:sz w:val="18"/>
                <w:szCs w:val="18"/>
                <w:lang w:eastAsia="lt-LT"/>
              </w:rPr>
              <w:t>5</w:t>
            </w:r>
            <w:r w:rsidR="00F832CB" w:rsidRPr="004E77F7">
              <w:rPr>
                <w:rFonts w:ascii="Times New Roman" w:eastAsia="Times New Roman" w:hAnsi="Times New Roman"/>
                <w:color w:val="000000"/>
                <w:sz w:val="18"/>
                <w:szCs w:val="18"/>
                <w:lang w:eastAsia="lt-LT"/>
              </w:rPr>
              <w:t>2</w:t>
            </w:r>
            <w:r w:rsidR="0013173E" w:rsidRPr="004E77F7">
              <w:rPr>
                <w:rFonts w:ascii="Times New Roman" w:eastAsia="Times New Roman" w:hAnsi="Times New Roman"/>
                <w:color w:val="000000"/>
                <w:sz w:val="18"/>
                <w:szCs w:val="18"/>
                <w:lang w:eastAsia="lt-LT"/>
              </w:rPr>
              <w:t>.</w:t>
            </w:r>
            <w:r w:rsidRPr="004E77F7">
              <w:rPr>
                <w:rFonts w:ascii="Times New Roman" w:eastAsia="Times New Roman" w:hAnsi="Times New Roman"/>
                <w:color w:val="000000"/>
                <w:sz w:val="18"/>
                <w:szCs w:val="18"/>
                <w:lang w:eastAsia="lt-LT"/>
              </w:rPr>
              <w:t>987</w:t>
            </w:r>
            <w:r w:rsidR="0013173E" w:rsidRPr="004E77F7">
              <w:rPr>
                <w:rFonts w:ascii="Times New Roman" w:eastAsia="Times New Roman" w:hAnsi="Times New Roman"/>
                <w:color w:val="000000"/>
                <w:sz w:val="18"/>
                <w:szCs w:val="18"/>
                <w:lang w:eastAsia="lt-LT"/>
              </w:rPr>
              <w:t>.</w:t>
            </w:r>
            <w:r w:rsidRPr="004E77F7">
              <w:rPr>
                <w:rFonts w:ascii="Times New Roman" w:eastAsia="Times New Roman" w:hAnsi="Times New Roman"/>
                <w:color w:val="000000"/>
                <w:sz w:val="18"/>
                <w:szCs w:val="18"/>
                <w:lang w:eastAsia="lt-LT"/>
              </w:rPr>
              <w:t>007</w:t>
            </w:r>
          </w:p>
        </w:tc>
        <w:tc>
          <w:tcPr>
            <w:tcW w:w="1134" w:type="dxa"/>
            <w:tcBorders>
              <w:top w:val="nil"/>
              <w:left w:val="nil"/>
              <w:bottom w:val="single" w:sz="4" w:space="0" w:color="auto"/>
              <w:right w:val="single" w:sz="4" w:space="0" w:color="auto"/>
            </w:tcBorders>
            <w:shd w:val="clear" w:color="auto" w:fill="auto"/>
            <w:vAlign w:val="center"/>
            <w:hideMark/>
          </w:tcPr>
          <w:p w:rsidR="0002588A" w:rsidRPr="004E77F7" w:rsidRDefault="005E24B9" w:rsidP="00F832CB">
            <w:pPr>
              <w:spacing w:after="0" w:line="240" w:lineRule="auto"/>
              <w:jc w:val="right"/>
              <w:rPr>
                <w:rFonts w:ascii="Times New Roman" w:eastAsia="Times New Roman" w:hAnsi="Times New Roman"/>
                <w:color w:val="000000"/>
                <w:sz w:val="18"/>
                <w:szCs w:val="18"/>
                <w:lang w:eastAsia="lt-LT"/>
              </w:rPr>
            </w:pPr>
            <w:r w:rsidRPr="004E77F7">
              <w:rPr>
                <w:rFonts w:ascii="Times New Roman" w:eastAsia="Times New Roman" w:hAnsi="Times New Roman"/>
                <w:color w:val="000000"/>
                <w:sz w:val="18"/>
                <w:szCs w:val="18"/>
                <w:lang w:eastAsia="lt-LT"/>
              </w:rPr>
              <w:t>19</w:t>
            </w:r>
            <w:r w:rsidR="0013173E" w:rsidRPr="004E77F7">
              <w:rPr>
                <w:rFonts w:ascii="Times New Roman" w:eastAsia="Times New Roman" w:hAnsi="Times New Roman"/>
                <w:color w:val="000000"/>
                <w:sz w:val="18"/>
                <w:szCs w:val="18"/>
                <w:lang w:eastAsia="lt-LT"/>
              </w:rPr>
              <w:t>.</w:t>
            </w:r>
            <w:r w:rsidRPr="004E77F7">
              <w:rPr>
                <w:rFonts w:ascii="Times New Roman" w:eastAsia="Times New Roman" w:hAnsi="Times New Roman"/>
                <w:color w:val="000000"/>
                <w:sz w:val="18"/>
                <w:szCs w:val="18"/>
                <w:lang w:eastAsia="lt-LT"/>
              </w:rPr>
              <w:t>165</w:t>
            </w:r>
            <w:r w:rsidR="0013173E" w:rsidRPr="004E77F7">
              <w:rPr>
                <w:rFonts w:ascii="Times New Roman" w:eastAsia="Times New Roman" w:hAnsi="Times New Roman"/>
                <w:color w:val="000000"/>
                <w:sz w:val="18"/>
                <w:szCs w:val="18"/>
                <w:lang w:eastAsia="lt-LT"/>
              </w:rPr>
              <w:t>.513</w:t>
            </w:r>
          </w:p>
        </w:tc>
        <w:tc>
          <w:tcPr>
            <w:tcW w:w="1134" w:type="dxa"/>
            <w:tcBorders>
              <w:top w:val="nil"/>
              <w:left w:val="nil"/>
              <w:bottom w:val="single" w:sz="4" w:space="0" w:color="auto"/>
              <w:right w:val="single" w:sz="4" w:space="0" w:color="auto"/>
            </w:tcBorders>
            <w:shd w:val="clear" w:color="auto" w:fill="auto"/>
            <w:vAlign w:val="center"/>
            <w:hideMark/>
          </w:tcPr>
          <w:p w:rsidR="0002588A" w:rsidRPr="004E77F7" w:rsidRDefault="005E24B9" w:rsidP="00F832CB">
            <w:pPr>
              <w:spacing w:after="0" w:line="240" w:lineRule="auto"/>
              <w:jc w:val="right"/>
              <w:rPr>
                <w:rFonts w:ascii="Times New Roman" w:eastAsia="Times New Roman" w:hAnsi="Times New Roman"/>
                <w:color w:val="000000"/>
                <w:sz w:val="18"/>
                <w:szCs w:val="18"/>
                <w:lang w:eastAsia="lt-LT"/>
              </w:rPr>
            </w:pPr>
            <w:r w:rsidRPr="004E77F7">
              <w:rPr>
                <w:rFonts w:ascii="Times New Roman" w:eastAsia="Times New Roman" w:hAnsi="Times New Roman"/>
                <w:color w:val="000000"/>
                <w:sz w:val="18"/>
                <w:szCs w:val="18"/>
                <w:lang w:eastAsia="lt-LT"/>
              </w:rPr>
              <w:t>3.382</w:t>
            </w:r>
            <w:r w:rsidR="0013173E" w:rsidRPr="004E77F7">
              <w:rPr>
                <w:rFonts w:ascii="Times New Roman" w:eastAsia="Times New Roman" w:hAnsi="Times New Roman"/>
                <w:color w:val="000000"/>
                <w:sz w:val="18"/>
                <w:szCs w:val="18"/>
                <w:lang w:eastAsia="lt-LT"/>
              </w:rPr>
              <w:t>.</w:t>
            </w:r>
            <w:r w:rsidRPr="004E77F7">
              <w:rPr>
                <w:rFonts w:ascii="Times New Roman" w:eastAsia="Times New Roman" w:hAnsi="Times New Roman"/>
                <w:color w:val="000000"/>
                <w:sz w:val="18"/>
                <w:szCs w:val="18"/>
                <w:lang w:eastAsia="lt-LT"/>
              </w:rPr>
              <w:t>149</w:t>
            </w:r>
          </w:p>
        </w:tc>
        <w:tc>
          <w:tcPr>
            <w:tcW w:w="567" w:type="dxa"/>
            <w:tcBorders>
              <w:top w:val="nil"/>
              <w:left w:val="nil"/>
              <w:bottom w:val="single" w:sz="4" w:space="0" w:color="auto"/>
              <w:right w:val="single" w:sz="4" w:space="0" w:color="auto"/>
            </w:tcBorders>
            <w:shd w:val="clear" w:color="auto" w:fill="auto"/>
            <w:vAlign w:val="center"/>
            <w:hideMark/>
          </w:tcPr>
          <w:p w:rsidR="0002588A" w:rsidRPr="00DF1549" w:rsidRDefault="00372448" w:rsidP="00F6184C">
            <w:pPr>
              <w:spacing w:after="0" w:line="240" w:lineRule="auto"/>
              <w:jc w:val="right"/>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6,00</w:t>
            </w:r>
          </w:p>
        </w:tc>
      </w:tr>
      <w:tr w:rsidR="003425A4" w:rsidRPr="00DF1549" w:rsidTr="00650E41">
        <w:trPr>
          <w:trHeight w:val="510"/>
        </w:trPr>
        <w:tc>
          <w:tcPr>
            <w:tcW w:w="1418" w:type="dxa"/>
            <w:vMerge/>
            <w:tcBorders>
              <w:top w:val="nil"/>
              <w:left w:val="single" w:sz="4" w:space="0" w:color="auto"/>
              <w:bottom w:val="single" w:sz="4" w:space="0" w:color="000000"/>
              <w:right w:val="single" w:sz="4" w:space="0" w:color="auto"/>
            </w:tcBorders>
            <w:vAlign w:val="center"/>
            <w:hideMark/>
          </w:tcPr>
          <w:p w:rsidR="003425A4" w:rsidRPr="006F2E2E" w:rsidRDefault="003425A4" w:rsidP="00AA7F36">
            <w:pPr>
              <w:spacing w:after="0" w:line="240" w:lineRule="auto"/>
              <w:rPr>
                <w:rFonts w:ascii="Times New Roman" w:eastAsia="Times New Roman" w:hAnsi="Times New Roman"/>
                <w:i/>
                <w:iCs/>
                <w:color w:val="000000"/>
                <w:sz w:val="18"/>
                <w:szCs w:val="18"/>
                <w:lang w:eastAsia="lt-LT"/>
              </w:rPr>
            </w:pPr>
          </w:p>
        </w:tc>
        <w:tc>
          <w:tcPr>
            <w:tcW w:w="850" w:type="dxa"/>
            <w:tcBorders>
              <w:top w:val="nil"/>
              <w:left w:val="nil"/>
              <w:bottom w:val="single" w:sz="4" w:space="0" w:color="auto"/>
              <w:right w:val="single" w:sz="4" w:space="0" w:color="auto"/>
            </w:tcBorders>
            <w:shd w:val="clear" w:color="auto" w:fill="auto"/>
            <w:vAlign w:val="center"/>
            <w:hideMark/>
          </w:tcPr>
          <w:p w:rsidR="003425A4" w:rsidRPr="00DF1549" w:rsidRDefault="003425A4" w:rsidP="00F6184C">
            <w:pPr>
              <w:spacing w:after="0" w:line="240" w:lineRule="auto"/>
              <w:jc w:val="both"/>
              <w:rPr>
                <w:rFonts w:ascii="Times New Roman" w:eastAsia="Times New Roman" w:hAnsi="Times New Roman"/>
                <w:color w:val="000000"/>
                <w:sz w:val="18"/>
                <w:szCs w:val="18"/>
                <w:lang w:eastAsia="lt-LT"/>
              </w:rPr>
            </w:pPr>
            <w:r w:rsidRPr="00DF1549">
              <w:rPr>
                <w:rFonts w:ascii="Times New Roman" w:eastAsia="Times New Roman" w:hAnsi="Times New Roman"/>
                <w:color w:val="000000"/>
                <w:sz w:val="18"/>
                <w:szCs w:val="18"/>
                <w:lang w:eastAsia="lt-LT"/>
              </w:rPr>
              <w:t>S</w:t>
            </w:r>
            <w:r>
              <w:rPr>
                <w:rFonts w:ascii="Times New Roman" w:eastAsia="Times New Roman" w:hAnsi="Times New Roman"/>
                <w:color w:val="000000"/>
                <w:sz w:val="18"/>
                <w:szCs w:val="18"/>
                <w:lang w:eastAsia="lt-LT"/>
              </w:rPr>
              <w:t>a</w:t>
            </w:r>
            <w:r w:rsidRPr="00DF1549">
              <w:rPr>
                <w:rFonts w:ascii="Times New Roman" w:eastAsia="Times New Roman" w:hAnsi="Times New Roman"/>
                <w:color w:val="000000"/>
                <w:sz w:val="18"/>
                <w:szCs w:val="18"/>
                <w:lang w:eastAsia="lt-LT"/>
              </w:rPr>
              <w:t>F</w:t>
            </w:r>
          </w:p>
        </w:tc>
        <w:tc>
          <w:tcPr>
            <w:tcW w:w="993" w:type="dxa"/>
            <w:tcBorders>
              <w:top w:val="nil"/>
              <w:left w:val="nil"/>
              <w:bottom w:val="single" w:sz="4" w:space="0" w:color="auto"/>
              <w:right w:val="single" w:sz="4" w:space="0" w:color="auto"/>
            </w:tcBorders>
            <w:shd w:val="clear" w:color="auto" w:fill="auto"/>
            <w:vAlign w:val="center"/>
            <w:hideMark/>
          </w:tcPr>
          <w:p w:rsidR="003425A4" w:rsidRPr="006F2E2E" w:rsidRDefault="003425A4" w:rsidP="00F6184C">
            <w:pPr>
              <w:spacing w:after="0" w:line="240" w:lineRule="auto"/>
              <w:rPr>
                <w:rFonts w:ascii="Times New Roman" w:eastAsia="Times New Roman" w:hAnsi="Times New Roman"/>
                <w:sz w:val="18"/>
                <w:szCs w:val="18"/>
                <w:lang w:eastAsia="lt-LT"/>
              </w:rPr>
            </w:pPr>
            <w:r w:rsidRPr="006F2E2E">
              <w:rPr>
                <w:rFonts w:ascii="Times New Roman" w:eastAsia="Times New Roman" w:hAnsi="Times New Roman"/>
                <w:sz w:val="18"/>
                <w:szCs w:val="18"/>
                <w:lang w:eastAsia="lt-LT"/>
              </w:rPr>
              <w:t>Bendros tinkamos išlaidos</w:t>
            </w:r>
          </w:p>
        </w:tc>
        <w:tc>
          <w:tcPr>
            <w:tcW w:w="1275" w:type="dxa"/>
            <w:tcBorders>
              <w:top w:val="nil"/>
              <w:left w:val="nil"/>
              <w:bottom w:val="single" w:sz="4" w:space="0" w:color="auto"/>
              <w:right w:val="single" w:sz="4" w:space="0" w:color="auto"/>
            </w:tcBorders>
            <w:shd w:val="clear" w:color="auto" w:fill="auto"/>
            <w:vAlign w:val="center"/>
            <w:hideMark/>
          </w:tcPr>
          <w:p w:rsidR="003425A4" w:rsidRPr="004E77F7" w:rsidRDefault="005E24B9" w:rsidP="00D55808">
            <w:pPr>
              <w:shd w:val="clear" w:color="auto" w:fill="FFFFFF"/>
              <w:spacing w:after="0" w:line="240" w:lineRule="auto"/>
              <w:jc w:val="right"/>
              <w:rPr>
                <w:rFonts w:ascii="Times New Roman" w:eastAsia="Times New Roman" w:hAnsi="Times New Roman"/>
                <w:strike/>
                <w:sz w:val="18"/>
                <w:szCs w:val="18"/>
              </w:rPr>
            </w:pPr>
            <w:r w:rsidRPr="004E77F7">
              <w:rPr>
                <w:rFonts w:ascii="Times New Roman" w:eastAsia="Times New Roman" w:hAnsi="Times New Roman"/>
                <w:sz w:val="18"/>
                <w:szCs w:val="18"/>
                <w:lang w:eastAsia="lt-LT"/>
              </w:rPr>
              <w:t>774.7</w:t>
            </w:r>
            <w:r w:rsidR="003425A4" w:rsidRPr="004E77F7">
              <w:rPr>
                <w:rFonts w:ascii="Times New Roman" w:eastAsia="Times New Roman" w:hAnsi="Times New Roman"/>
                <w:sz w:val="18"/>
                <w:szCs w:val="18"/>
                <w:lang w:eastAsia="lt-LT"/>
              </w:rPr>
              <w:t>56.109</w:t>
            </w:r>
          </w:p>
        </w:tc>
        <w:tc>
          <w:tcPr>
            <w:tcW w:w="1276" w:type="dxa"/>
            <w:tcBorders>
              <w:top w:val="nil"/>
              <w:left w:val="nil"/>
              <w:bottom w:val="single" w:sz="4" w:space="0" w:color="auto"/>
              <w:right w:val="single" w:sz="4" w:space="0" w:color="auto"/>
            </w:tcBorders>
            <w:shd w:val="clear" w:color="auto" w:fill="auto"/>
            <w:vAlign w:val="center"/>
            <w:hideMark/>
          </w:tcPr>
          <w:p w:rsidR="003425A4" w:rsidRPr="004E77F7" w:rsidRDefault="003425A4" w:rsidP="005E24B9">
            <w:pPr>
              <w:shd w:val="clear" w:color="auto" w:fill="FFFFFF"/>
              <w:spacing w:after="0" w:line="240" w:lineRule="auto"/>
              <w:jc w:val="right"/>
              <w:rPr>
                <w:rFonts w:ascii="Times New Roman" w:eastAsia="Times New Roman" w:hAnsi="Times New Roman"/>
                <w:strike/>
                <w:sz w:val="18"/>
                <w:szCs w:val="18"/>
              </w:rPr>
            </w:pPr>
            <w:r w:rsidRPr="004E77F7">
              <w:rPr>
                <w:rFonts w:ascii="Times New Roman" w:eastAsia="Times New Roman" w:hAnsi="Times New Roman"/>
                <w:sz w:val="18"/>
                <w:szCs w:val="18"/>
                <w:lang w:eastAsia="lt-LT"/>
              </w:rPr>
              <w:t>13</w:t>
            </w:r>
            <w:r w:rsidR="005E24B9" w:rsidRPr="004E77F7">
              <w:rPr>
                <w:rFonts w:ascii="Times New Roman" w:eastAsia="Times New Roman" w:hAnsi="Times New Roman"/>
                <w:sz w:val="18"/>
                <w:szCs w:val="18"/>
                <w:lang w:eastAsia="lt-LT"/>
              </w:rPr>
              <w:t>6.721.667</w:t>
            </w:r>
          </w:p>
        </w:tc>
        <w:tc>
          <w:tcPr>
            <w:tcW w:w="1134" w:type="dxa"/>
            <w:tcBorders>
              <w:top w:val="single" w:sz="4" w:space="0" w:color="auto"/>
              <w:left w:val="nil"/>
              <w:bottom w:val="single" w:sz="4" w:space="0" w:color="auto"/>
              <w:right w:val="single" w:sz="4" w:space="0" w:color="auto"/>
            </w:tcBorders>
            <w:vAlign w:val="center"/>
          </w:tcPr>
          <w:p w:rsidR="003425A4" w:rsidRPr="004E77F7" w:rsidRDefault="003425A4" w:rsidP="005E24B9">
            <w:pPr>
              <w:shd w:val="clear" w:color="auto" w:fill="FFFFFF"/>
              <w:spacing w:after="0" w:line="240" w:lineRule="auto"/>
              <w:jc w:val="right"/>
              <w:rPr>
                <w:rFonts w:ascii="Times New Roman" w:hAnsi="Times New Roman"/>
                <w:strike/>
                <w:sz w:val="18"/>
                <w:szCs w:val="18"/>
              </w:rPr>
            </w:pPr>
            <w:r w:rsidRPr="004E77F7">
              <w:rPr>
                <w:rFonts w:ascii="Times New Roman" w:eastAsia="Times New Roman" w:hAnsi="Times New Roman"/>
                <w:sz w:val="18"/>
                <w:szCs w:val="18"/>
              </w:rPr>
              <w:t>6</w:t>
            </w:r>
            <w:r w:rsidR="005E24B9" w:rsidRPr="004E77F7">
              <w:rPr>
                <w:rFonts w:ascii="Times New Roman" w:eastAsia="Times New Roman" w:hAnsi="Times New Roman"/>
                <w:sz w:val="18"/>
                <w:szCs w:val="18"/>
              </w:rPr>
              <w:t>6.345.27</w:t>
            </w:r>
            <w:r w:rsidRPr="004E77F7">
              <w:rPr>
                <w:rFonts w:ascii="Times New Roman" w:eastAsia="Times New Roman" w:hAnsi="Times New Roman"/>
                <w:sz w:val="18"/>
                <w:szCs w:val="18"/>
              </w:rPr>
              <w:t>9</w:t>
            </w:r>
          </w:p>
        </w:tc>
        <w:tc>
          <w:tcPr>
            <w:tcW w:w="1134" w:type="dxa"/>
            <w:tcBorders>
              <w:top w:val="single" w:sz="4" w:space="0" w:color="auto"/>
              <w:left w:val="single" w:sz="4" w:space="0" w:color="auto"/>
              <w:bottom w:val="single" w:sz="4" w:space="0" w:color="auto"/>
              <w:right w:val="single" w:sz="4" w:space="0" w:color="auto"/>
            </w:tcBorders>
            <w:vAlign w:val="center"/>
          </w:tcPr>
          <w:p w:rsidR="003425A4" w:rsidRPr="004E77F7" w:rsidRDefault="003425A4" w:rsidP="005E24B9">
            <w:pPr>
              <w:shd w:val="clear" w:color="auto" w:fill="FFFFFF"/>
              <w:spacing w:after="0" w:line="240" w:lineRule="auto"/>
              <w:jc w:val="right"/>
              <w:rPr>
                <w:rFonts w:ascii="Times New Roman" w:hAnsi="Times New Roman"/>
                <w:strike/>
                <w:sz w:val="18"/>
                <w:szCs w:val="18"/>
              </w:rPr>
            </w:pPr>
            <w:r w:rsidRPr="004E77F7">
              <w:rPr>
                <w:rFonts w:ascii="Times New Roman" w:eastAsia="Times New Roman" w:hAnsi="Times New Roman"/>
                <w:sz w:val="18"/>
                <w:szCs w:val="18"/>
              </w:rPr>
              <w:t>7</w:t>
            </w:r>
            <w:r w:rsidR="005E24B9" w:rsidRPr="004E77F7">
              <w:rPr>
                <w:rFonts w:ascii="Times New Roman" w:eastAsia="Times New Roman" w:hAnsi="Times New Roman"/>
                <w:sz w:val="18"/>
                <w:szCs w:val="18"/>
              </w:rPr>
              <w:t>0.376.388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3425A4" w:rsidRPr="004E77F7" w:rsidRDefault="005E24B9" w:rsidP="005E24B9">
            <w:pPr>
              <w:shd w:val="clear" w:color="auto" w:fill="FFFFFF"/>
              <w:spacing w:after="0" w:line="240" w:lineRule="auto"/>
              <w:jc w:val="right"/>
              <w:rPr>
                <w:rFonts w:ascii="Times New Roman" w:eastAsia="Times New Roman" w:hAnsi="Times New Roman"/>
                <w:strike/>
                <w:color w:val="000000"/>
                <w:sz w:val="18"/>
                <w:szCs w:val="18"/>
                <w:lang w:eastAsia="lt-LT"/>
              </w:rPr>
            </w:pPr>
            <w:r w:rsidRPr="004E77F7">
              <w:rPr>
                <w:rFonts w:ascii="Times New Roman" w:eastAsia="Times New Roman" w:hAnsi="Times New Roman"/>
                <w:color w:val="000000"/>
                <w:sz w:val="18"/>
                <w:szCs w:val="18"/>
                <w:lang w:eastAsia="lt-LT"/>
              </w:rPr>
              <w:t>911.477.776</w:t>
            </w:r>
          </w:p>
        </w:tc>
        <w:tc>
          <w:tcPr>
            <w:tcW w:w="709" w:type="dxa"/>
            <w:tcBorders>
              <w:top w:val="nil"/>
              <w:left w:val="nil"/>
              <w:bottom w:val="single" w:sz="4" w:space="0" w:color="auto"/>
              <w:right w:val="single" w:sz="4" w:space="0" w:color="auto"/>
            </w:tcBorders>
            <w:shd w:val="clear" w:color="auto" w:fill="auto"/>
            <w:vAlign w:val="center"/>
            <w:hideMark/>
          </w:tcPr>
          <w:p w:rsidR="003425A4" w:rsidRPr="004E77F7" w:rsidRDefault="003425A4" w:rsidP="00372448">
            <w:pPr>
              <w:spacing w:after="0" w:line="240" w:lineRule="auto"/>
              <w:jc w:val="right"/>
              <w:rPr>
                <w:rFonts w:ascii="Times New Roman" w:eastAsia="Times New Roman" w:hAnsi="Times New Roman"/>
                <w:color w:val="000000"/>
                <w:sz w:val="18"/>
                <w:szCs w:val="18"/>
                <w:lang w:eastAsia="lt-LT"/>
              </w:rPr>
            </w:pPr>
            <w:r w:rsidRPr="004E77F7">
              <w:rPr>
                <w:rFonts w:ascii="Times New Roman" w:eastAsia="Times New Roman" w:hAnsi="Times New Roman"/>
                <w:color w:val="000000"/>
                <w:sz w:val="18"/>
                <w:szCs w:val="18"/>
                <w:lang w:eastAsia="lt-LT"/>
              </w:rPr>
              <w:t>85,00</w:t>
            </w:r>
          </w:p>
        </w:tc>
        <w:tc>
          <w:tcPr>
            <w:tcW w:w="425" w:type="dxa"/>
            <w:tcBorders>
              <w:top w:val="nil"/>
              <w:left w:val="nil"/>
              <w:bottom w:val="single" w:sz="4" w:space="0" w:color="auto"/>
              <w:right w:val="single" w:sz="4" w:space="0" w:color="auto"/>
            </w:tcBorders>
            <w:shd w:val="clear" w:color="auto" w:fill="auto"/>
            <w:vAlign w:val="center"/>
            <w:hideMark/>
          </w:tcPr>
          <w:p w:rsidR="003425A4" w:rsidRPr="004E77F7" w:rsidRDefault="00A50C23" w:rsidP="00372448">
            <w:pPr>
              <w:spacing w:after="0" w:line="240" w:lineRule="auto"/>
              <w:jc w:val="right"/>
              <w:rPr>
                <w:rFonts w:ascii="Times New Roman" w:eastAsia="Times New Roman" w:hAnsi="Times New Roman"/>
                <w:color w:val="000000"/>
                <w:sz w:val="18"/>
                <w:szCs w:val="18"/>
                <w:lang w:eastAsia="lt-LT"/>
              </w:rPr>
            </w:pPr>
            <w:r w:rsidRPr="004E77F7">
              <w:rPr>
                <w:rFonts w:ascii="Times New Roman" w:eastAsia="Times New Roman" w:hAnsi="Times New Roman"/>
                <w:color w:val="000000"/>
                <w:sz w:val="18"/>
                <w:szCs w:val="18"/>
                <w:lang w:eastAsia="lt-LT"/>
              </w:rPr>
              <w:t>.</w:t>
            </w:r>
          </w:p>
        </w:tc>
        <w:tc>
          <w:tcPr>
            <w:tcW w:w="1417" w:type="dxa"/>
            <w:tcBorders>
              <w:top w:val="nil"/>
              <w:left w:val="nil"/>
              <w:bottom w:val="single" w:sz="4" w:space="0" w:color="auto"/>
              <w:right w:val="single" w:sz="4" w:space="0" w:color="auto"/>
            </w:tcBorders>
            <w:shd w:val="clear" w:color="auto" w:fill="auto"/>
            <w:vAlign w:val="center"/>
            <w:hideMark/>
          </w:tcPr>
          <w:p w:rsidR="003425A4" w:rsidRPr="004E77F7" w:rsidRDefault="009773FE" w:rsidP="00D55808">
            <w:pPr>
              <w:shd w:val="clear" w:color="auto" w:fill="FFFFFF"/>
              <w:spacing w:after="0" w:line="240" w:lineRule="auto"/>
              <w:jc w:val="right"/>
              <w:rPr>
                <w:rFonts w:ascii="Times New Roman" w:eastAsia="Times New Roman" w:hAnsi="Times New Roman"/>
                <w:strike/>
                <w:color w:val="000000"/>
                <w:sz w:val="18"/>
                <w:szCs w:val="18"/>
                <w:lang w:eastAsia="lt-LT"/>
              </w:rPr>
            </w:pPr>
            <w:r w:rsidRPr="004E77F7">
              <w:rPr>
                <w:rFonts w:ascii="Times New Roman" w:eastAsia="Times New Roman" w:hAnsi="Times New Roman"/>
                <w:sz w:val="18"/>
                <w:szCs w:val="18"/>
              </w:rPr>
              <w:t>723.564.089</w:t>
            </w:r>
          </w:p>
        </w:tc>
        <w:tc>
          <w:tcPr>
            <w:tcW w:w="1276" w:type="dxa"/>
            <w:tcBorders>
              <w:top w:val="nil"/>
              <w:left w:val="nil"/>
              <w:bottom w:val="single" w:sz="4" w:space="0" w:color="auto"/>
              <w:right w:val="single" w:sz="4" w:space="0" w:color="auto"/>
            </w:tcBorders>
            <w:shd w:val="clear" w:color="auto" w:fill="auto"/>
            <w:vAlign w:val="center"/>
            <w:hideMark/>
          </w:tcPr>
          <w:p w:rsidR="003425A4" w:rsidRPr="004E77F7" w:rsidRDefault="009773FE" w:rsidP="00D55808">
            <w:pPr>
              <w:shd w:val="clear" w:color="auto" w:fill="FFFFFF"/>
              <w:spacing w:after="0" w:line="240" w:lineRule="auto"/>
              <w:jc w:val="right"/>
              <w:rPr>
                <w:rFonts w:ascii="Times New Roman" w:eastAsia="Times New Roman" w:hAnsi="Times New Roman"/>
                <w:strike/>
                <w:color w:val="000000"/>
                <w:sz w:val="18"/>
                <w:szCs w:val="18"/>
                <w:lang w:eastAsia="lt-LT"/>
              </w:rPr>
            </w:pPr>
            <w:r w:rsidRPr="004E77F7">
              <w:rPr>
                <w:rFonts w:ascii="Times New Roman" w:eastAsia="Times New Roman" w:hAnsi="Times New Roman"/>
                <w:color w:val="000000"/>
                <w:sz w:val="18"/>
                <w:szCs w:val="18"/>
                <w:lang w:eastAsia="lt-LT"/>
              </w:rPr>
              <w:t>127.687.78</w:t>
            </w:r>
            <w:r w:rsidR="005E24B9" w:rsidRPr="004E77F7">
              <w:rPr>
                <w:rFonts w:ascii="Times New Roman" w:eastAsia="Times New Roman" w:hAnsi="Times New Roman"/>
                <w:color w:val="000000"/>
                <w:sz w:val="18"/>
                <w:szCs w:val="18"/>
                <w:lang w:eastAsia="lt-LT"/>
              </w:rPr>
              <w:t>1</w:t>
            </w:r>
          </w:p>
        </w:tc>
        <w:tc>
          <w:tcPr>
            <w:tcW w:w="1134" w:type="dxa"/>
            <w:tcBorders>
              <w:top w:val="nil"/>
              <w:left w:val="nil"/>
              <w:bottom w:val="single" w:sz="4" w:space="0" w:color="auto"/>
              <w:right w:val="single" w:sz="4" w:space="0" w:color="auto"/>
            </w:tcBorders>
            <w:shd w:val="clear" w:color="auto" w:fill="auto"/>
            <w:vAlign w:val="center"/>
            <w:hideMark/>
          </w:tcPr>
          <w:p w:rsidR="003425A4" w:rsidRPr="004E77F7" w:rsidRDefault="004F2FBD" w:rsidP="00D55808">
            <w:pPr>
              <w:shd w:val="clear" w:color="auto" w:fill="FFFFFF"/>
              <w:spacing w:after="0" w:line="240" w:lineRule="auto"/>
              <w:jc w:val="right"/>
              <w:rPr>
                <w:rFonts w:ascii="Times New Roman" w:eastAsia="Times New Roman" w:hAnsi="Times New Roman"/>
                <w:strike/>
                <w:color w:val="000000"/>
                <w:sz w:val="18"/>
                <w:szCs w:val="18"/>
                <w:lang w:eastAsia="lt-LT"/>
              </w:rPr>
            </w:pPr>
            <w:r w:rsidRPr="004E77F7">
              <w:rPr>
                <w:rFonts w:ascii="Times New Roman" w:eastAsia="Times New Roman" w:hAnsi="Times New Roman"/>
                <w:color w:val="000000"/>
                <w:sz w:val="18"/>
                <w:szCs w:val="18"/>
                <w:lang w:eastAsia="lt-LT"/>
              </w:rPr>
              <w:t>51.192</w:t>
            </w:r>
            <w:r w:rsidR="005E24B9" w:rsidRPr="004E77F7">
              <w:rPr>
                <w:rFonts w:ascii="Times New Roman" w:eastAsia="Times New Roman" w:hAnsi="Times New Roman"/>
                <w:color w:val="000000"/>
                <w:sz w:val="18"/>
                <w:szCs w:val="18"/>
                <w:lang w:eastAsia="lt-LT"/>
              </w:rPr>
              <w:t>.0</w:t>
            </w:r>
            <w:r w:rsidRPr="004E77F7">
              <w:rPr>
                <w:rFonts w:ascii="Times New Roman" w:eastAsia="Times New Roman" w:hAnsi="Times New Roman"/>
                <w:color w:val="000000"/>
                <w:sz w:val="18"/>
                <w:szCs w:val="18"/>
                <w:lang w:eastAsia="lt-LT"/>
              </w:rPr>
              <w:t>20</w:t>
            </w:r>
          </w:p>
        </w:tc>
        <w:tc>
          <w:tcPr>
            <w:tcW w:w="1134" w:type="dxa"/>
            <w:tcBorders>
              <w:top w:val="nil"/>
              <w:left w:val="nil"/>
              <w:bottom w:val="single" w:sz="4" w:space="0" w:color="auto"/>
              <w:right w:val="single" w:sz="4" w:space="0" w:color="auto"/>
            </w:tcBorders>
            <w:shd w:val="clear" w:color="auto" w:fill="auto"/>
            <w:vAlign w:val="center"/>
            <w:hideMark/>
          </w:tcPr>
          <w:p w:rsidR="003425A4" w:rsidRPr="004E77F7" w:rsidRDefault="004F2FBD" w:rsidP="00D55808">
            <w:pPr>
              <w:shd w:val="clear" w:color="auto" w:fill="FFFFFF"/>
              <w:spacing w:after="0" w:line="240" w:lineRule="auto"/>
              <w:jc w:val="right"/>
              <w:rPr>
                <w:rFonts w:ascii="Times New Roman" w:eastAsia="Times New Roman" w:hAnsi="Times New Roman"/>
                <w:strike/>
                <w:color w:val="000000"/>
                <w:sz w:val="18"/>
                <w:szCs w:val="18"/>
                <w:lang w:eastAsia="lt-LT"/>
              </w:rPr>
            </w:pPr>
            <w:r w:rsidRPr="004E77F7">
              <w:rPr>
                <w:rFonts w:ascii="Times New Roman" w:eastAsia="Times New Roman" w:hAnsi="Times New Roman"/>
                <w:color w:val="000000"/>
                <w:sz w:val="18"/>
                <w:szCs w:val="18"/>
                <w:lang w:eastAsia="lt-LT"/>
              </w:rPr>
              <w:t>9.033.88</w:t>
            </w:r>
            <w:r w:rsidR="005E24B9" w:rsidRPr="004E77F7">
              <w:rPr>
                <w:rFonts w:ascii="Times New Roman" w:eastAsia="Times New Roman" w:hAnsi="Times New Roman"/>
                <w:color w:val="000000"/>
                <w:sz w:val="18"/>
                <w:szCs w:val="18"/>
                <w:lang w:eastAsia="lt-LT"/>
              </w:rPr>
              <w:t>6</w:t>
            </w:r>
          </w:p>
        </w:tc>
        <w:tc>
          <w:tcPr>
            <w:tcW w:w="567" w:type="dxa"/>
            <w:tcBorders>
              <w:top w:val="nil"/>
              <w:left w:val="nil"/>
              <w:bottom w:val="single" w:sz="4" w:space="0" w:color="auto"/>
              <w:right w:val="single" w:sz="4" w:space="0" w:color="auto"/>
            </w:tcBorders>
            <w:shd w:val="clear" w:color="auto" w:fill="auto"/>
            <w:vAlign w:val="center"/>
            <w:hideMark/>
          </w:tcPr>
          <w:p w:rsidR="003425A4" w:rsidRPr="00DF1549" w:rsidRDefault="003425A4" w:rsidP="00F6184C">
            <w:pPr>
              <w:spacing w:after="0" w:line="240" w:lineRule="auto"/>
              <w:jc w:val="right"/>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6,60</w:t>
            </w:r>
          </w:p>
        </w:tc>
      </w:tr>
      <w:tr w:rsidR="00372448" w:rsidRPr="00DF1549" w:rsidTr="00650E41">
        <w:trPr>
          <w:trHeight w:val="510"/>
        </w:trPr>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02588A" w:rsidRPr="006F2E2E" w:rsidRDefault="0002588A" w:rsidP="00AA7F36">
            <w:pPr>
              <w:widowControl w:val="0"/>
              <w:tabs>
                <w:tab w:val="left" w:pos="622"/>
              </w:tabs>
              <w:spacing w:after="0" w:line="240" w:lineRule="auto"/>
              <w:rPr>
                <w:rFonts w:ascii="Times New Roman" w:eastAsia="AngsanaUPC" w:hAnsi="Times New Roman"/>
                <w:bCs/>
                <w:sz w:val="18"/>
                <w:szCs w:val="18"/>
                <w:lang w:eastAsia="lt-LT"/>
              </w:rPr>
            </w:pPr>
            <w:r w:rsidRPr="006F2E2E">
              <w:rPr>
                <w:rFonts w:ascii="Times New Roman" w:eastAsia="AngsanaUPC" w:hAnsi="Times New Roman"/>
                <w:bCs/>
                <w:sz w:val="18"/>
                <w:szCs w:val="18"/>
                <w:lang w:eastAsia="lt-LT"/>
              </w:rPr>
              <w:lastRenderedPageBreak/>
              <w:t>7. Kokybiško užimtumo ir dalyvavimo darbo rinkoje skatinimas</w:t>
            </w:r>
          </w:p>
        </w:tc>
        <w:tc>
          <w:tcPr>
            <w:tcW w:w="850" w:type="dxa"/>
            <w:tcBorders>
              <w:top w:val="nil"/>
              <w:left w:val="nil"/>
              <w:bottom w:val="single" w:sz="4" w:space="0" w:color="auto"/>
              <w:right w:val="single" w:sz="4" w:space="0" w:color="auto"/>
            </w:tcBorders>
            <w:shd w:val="clear" w:color="auto" w:fill="auto"/>
            <w:vAlign w:val="center"/>
            <w:hideMark/>
          </w:tcPr>
          <w:p w:rsidR="0002588A" w:rsidRPr="00DF1549" w:rsidRDefault="0002588A" w:rsidP="00F6184C">
            <w:pPr>
              <w:spacing w:after="0" w:line="240" w:lineRule="auto"/>
              <w:jc w:val="both"/>
              <w:rPr>
                <w:rFonts w:ascii="Times New Roman" w:eastAsia="Times New Roman" w:hAnsi="Times New Roman"/>
                <w:color w:val="000000"/>
                <w:sz w:val="18"/>
                <w:szCs w:val="18"/>
                <w:lang w:eastAsia="lt-LT"/>
              </w:rPr>
            </w:pPr>
            <w:r w:rsidRPr="00DF1549">
              <w:rPr>
                <w:rFonts w:ascii="Times New Roman" w:eastAsia="Times New Roman" w:hAnsi="Times New Roman"/>
                <w:color w:val="000000"/>
                <w:sz w:val="18"/>
                <w:szCs w:val="18"/>
                <w:lang w:eastAsia="lt-LT"/>
              </w:rPr>
              <w:t>ERPF</w:t>
            </w:r>
          </w:p>
        </w:tc>
        <w:tc>
          <w:tcPr>
            <w:tcW w:w="993" w:type="dxa"/>
            <w:tcBorders>
              <w:top w:val="nil"/>
              <w:left w:val="nil"/>
              <w:bottom w:val="single" w:sz="4" w:space="0" w:color="auto"/>
              <w:right w:val="single" w:sz="4" w:space="0" w:color="auto"/>
            </w:tcBorders>
            <w:shd w:val="clear" w:color="auto" w:fill="auto"/>
            <w:vAlign w:val="center"/>
            <w:hideMark/>
          </w:tcPr>
          <w:p w:rsidR="0002588A" w:rsidRPr="006F2E2E" w:rsidRDefault="0002588A" w:rsidP="00F6184C">
            <w:pPr>
              <w:spacing w:after="0" w:line="240" w:lineRule="auto"/>
              <w:rPr>
                <w:rFonts w:ascii="Times New Roman" w:eastAsia="Times New Roman" w:hAnsi="Times New Roman"/>
                <w:sz w:val="18"/>
                <w:szCs w:val="18"/>
                <w:lang w:eastAsia="lt-LT"/>
              </w:rPr>
            </w:pPr>
            <w:r w:rsidRPr="006F2E2E">
              <w:rPr>
                <w:rFonts w:ascii="Times New Roman" w:eastAsia="Times New Roman" w:hAnsi="Times New Roman"/>
                <w:sz w:val="18"/>
                <w:szCs w:val="18"/>
                <w:lang w:eastAsia="lt-LT"/>
              </w:rPr>
              <w:t>Viešosios tinkamos išlaidos</w:t>
            </w:r>
          </w:p>
        </w:tc>
        <w:tc>
          <w:tcPr>
            <w:tcW w:w="1275" w:type="dxa"/>
            <w:tcBorders>
              <w:top w:val="nil"/>
              <w:left w:val="nil"/>
              <w:bottom w:val="single" w:sz="4" w:space="0" w:color="auto"/>
              <w:right w:val="single" w:sz="4" w:space="0" w:color="auto"/>
            </w:tcBorders>
            <w:shd w:val="clear" w:color="auto" w:fill="auto"/>
            <w:vAlign w:val="center"/>
            <w:hideMark/>
          </w:tcPr>
          <w:p w:rsidR="0002588A" w:rsidRPr="004E77F7" w:rsidRDefault="005E24B9" w:rsidP="00372448">
            <w:pPr>
              <w:spacing w:after="0" w:line="240" w:lineRule="auto"/>
              <w:jc w:val="right"/>
              <w:rPr>
                <w:rFonts w:ascii="Times New Roman" w:eastAsia="Times New Roman" w:hAnsi="Times New Roman"/>
                <w:sz w:val="18"/>
                <w:szCs w:val="18"/>
                <w:lang w:eastAsia="lt-LT"/>
              </w:rPr>
            </w:pPr>
            <w:r w:rsidRPr="004E77F7">
              <w:rPr>
                <w:rFonts w:ascii="Times New Roman" w:eastAsia="Times New Roman" w:hAnsi="Times New Roman"/>
                <w:sz w:val="18"/>
                <w:szCs w:val="18"/>
                <w:lang w:eastAsia="lt-LT"/>
              </w:rPr>
              <w:t>399.736.853</w:t>
            </w:r>
          </w:p>
        </w:tc>
        <w:tc>
          <w:tcPr>
            <w:tcW w:w="1276" w:type="dxa"/>
            <w:tcBorders>
              <w:top w:val="nil"/>
              <w:left w:val="nil"/>
              <w:bottom w:val="single" w:sz="4" w:space="0" w:color="auto"/>
              <w:right w:val="single" w:sz="4" w:space="0" w:color="auto"/>
            </w:tcBorders>
            <w:shd w:val="clear" w:color="auto" w:fill="auto"/>
            <w:vAlign w:val="center"/>
            <w:hideMark/>
          </w:tcPr>
          <w:p w:rsidR="0002588A" w:rsidRPr="004E77F7" w:rsidRDefault="005E24B9" w:rsidP="00372448">
            <w:pPr>
              <w:spacing w:after="0" w:line="240" w:lineRule="auto"/>
              <w:jc w:val="right"/>
              <w:rPr>
                <w:rFonts w:ascii="Times New Roman" w:eastAsia="Times New Roman" w:hAnsi="Times New Roman"/>
                <w:sz w:val="18"/>
                <w:szCs w:val="18"/>
                <w:lang w:eastAsia="lt-LT"/>
              </w:rPr>
            </w:pPr>
            <w:r w:rsidRPr="004E77F7">
              <w:rPr>
                <w:rFonts w:ascii="Times New Roman" w:eastAsia="Times New Roman" w:hAnsi="Times New Roman"/>
                <w:sz w:val="18"/>
                <w:szCs w:val="18"/>
                <w:lang w:eastAsia="lt-LT"/>
              </w:rPr>
              <w:t>70.541.798</w:t>
            </w:r>
          </w:p>
        </w:tc>
        <w:tc>
          <w:tcPr>
            <w:tcW w:w="1134" w:type="dxa"/>
            <w:tcBorders>
              <w:top w:val="single" w:sz="4" w:space="0" w:color="auto"/>
              <w:left w:val="nil"/>
              <w:bottom w:val="single" w:sz="4" w:space="0" w:color="auto"/>
              <w:right w:val="single" w:sz="4" w:space="0" w:color="auto"/>
            </w:tcBorders>
            <w:vAlign w:val="center"/>
          </w:tcPr>
          <w:p w:rsidR="0002588A" w:rsidRPr="004E77F7" w:rsidRDefault="005E24B9" w:rsidP="00372448">
            <w:pPr>
              <w:spacing w:after="0" w:line="240" w:lineRule="auto"/>
              <w:jc w:val="right"/>
              <w:rPr>
                <w:rFonts w:ascii="Times New Roman" w:hAnsi="Times New Roman"/>
                <w:sz w:val="18"/>
                <w:szCs w:val="18"/>
              </w:rPr>
            </w:pPr>
            <w:r w:rsidRPr="004E77F7">
              <w:rPr>
                <w:rFonts w:ascii="Times New Roman" w:hAnsi="Times New Roman"/>
                <w:sz w:val="18"/>
                <w:szCs w:val="18"/>
              </w:rPr>
              <w:t>70.</w:t>
            </w:r>
            <w:r w:rsidR="00171F56" w:rsidRPr="004E77F7">
              <w:rPr>
                <w:rFonts w:ascii="Times New Roman" w:hAnsi="Times New Roman"/>
                <w:sz w:val="18"/>
                <w:szCs w:val="18"/>
              </w:rPr>
              <w:t>541.798</w:t>
            </w:r>
          </w:p>
        </w:tc>
        <w:tc>
          <w:tcPr>
            <w:tcW w:w="1134" w:type="dxa"/>
            <w:tcBorders>
              <w:top w:val="single" w:sz="4" w:space="0" w:color="auto"/>
              <w:left w:val="single" w:sz="4" w:space="0" w:color="auto"/>
              <w:bottom w:val="single" w:sz="4" w:space="0" w:color="auto"/>
              <w:right w:val="single" w:sz="4" w:space="0" w:color="auto"/>
            </w:tcBorders>
            <w:vAlign w:val="center"/>
          </w:tcPr>
          <w:p w:rsidR="0002588A" w:rsidRPr="004E77F7" w:rsidRDefault="0002588A" w:rsidP="00372448">
            <w:pPr>
              <w:spacing w:after="0" w:line="240" w:lineRule="auto"/>
              <w:jc w:val="right"/>
              <w:rPr>
                <w:rFonts w:ascii="Times New Roman" w:hAnsi="Times New Roman"/>
                <w:sz w:val="18"/>
                <w:szCs w:val="18"/>
              </w:rPr>
            </w:pPr>
            <w:r w:rsidRPr="004E77F7">
              <w:rPr>
                <w:rFonts w:ascii="Times New Roman" w:hAnsi="Times New Roman"/>
                <w:sz w:val="18"/>
                <w:szCs w:val="18"/>
              </w:rPr>
              <w:t>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02588A" w:rsidRPr="004E77F7" w:rsidRDefault="0002588A" w:rsidP="00171F56">
            <w:pPr>
              <w:spacing w:after="0" w:line="240" w:lineRule="auto"/>
              <w:jc w:val="right"/>
              <w:rPr>
                <w:rFonts w:ascii="Times New Roman" w:eastAsia="Times New Roman" w:hAnsi="Times New Roman"/>
                <w:color w:val="000000"/>
                <w:sz w:val="18"/>
                <w:szCs w:val="18"/>
                <w:lang w:eastAsia="lt-LT"/>
              </w:rPr>
            </w:pPr>
            <w:r w:rsidRPr="004E77F7">
              <w:rPr>
                <w:rFonts w:ascii="Times New Roman" w:eastAsia="Times New Roman" w:hAnsi="Times New Roman"/>
                <w:color w:val="000000"/>
                <w:sz w:val="18"/>
                <w:szCs w:val="18"/>
                <w:lang w:eastAsia="lt-LT"/>
              </w:rPr>
              <w:t>4</w:t>
            </w:r>
            <w:r w:rsidR="00171F56" w:rsidRPr="004E77F7">
              <w:rPr>
                <w:rFonts w:ascii="Times New Roman" w:eastAsia="Times New Roman" w:hAnsi="Times New Roman"/>
                <w:color w:val="000000"/>
                <w:sz w:val="18"/>
                <w:szCs w:val="18"/>
                <w:lang w:eastAsia="lt-LT"/>
              </w:rPr>
              <w:t>70.278.651</w:t>
            </w:r>
          </w:p>
        </w:tc>
        <w:tc>
          <w:tcPr>
            <w:tcW w:w="709" w:type="dxa"/>
            <w:tcBorders>
              <w:top w:val="nil"/>
              <w:left w:val="nil"/>
              <w:bottom w:val="single" w:sz="4" w:space="0" w:color="auto"/>
              <w:right w:val="single" w:sz="4" w:space="0" w:color="auto"/>
            </w:tcBorders>
            <w:shd w:val="clear" w:color="auto" w:fill="auto"/>
            <w:vAlign w:val="center"/>
            <w:hideMark/>
          </w:tcPr>
          <w:p w:rsidR="0002588A" w:rsidRPr="004E77F7" w:rsidRDefault="00C93D87" w:rsidP="00372448">
            <w:pPr>
              <w:spacing w:after="0" w:line="240" w:lineRule="auto"/>
              <w:jc w:val="right"/>
              <w:rPr>
                <w:rFonts w:ascii="Times New Roman" w:eastAsia="Times New Roman" w:hAnsi="Times New Roman"/>
                <w:color w:val="000000"/>
                <w:sz w:val="18"/>
                <w:szCs w:val="18"/>
                <w:lang w:eastAsia="lt-LT"/>
              </w:rPr>
            </w:pPr>
            <w:r w:rsidRPr="004E77F7">
              <w:rPr>
                <w:rFonts w:ascii="Times New Roman" w:eastAsia="Times New Roman" w:hAnsi="Times New Roman"/>
                <w:color w:val="000000"/>
                <w:sz w:val="18"/>
                <w:szCs w:val="18"/>
                <w:lang w:eastAsia="lt-LT"/>
              </w:rPr>
              <w:t>85,00</w:t>
            </w:r>
          </w:p>
        </w:tc>
        <w:tc>
          <w:tcPr>
            <w:tcW w:w="425" w:type="dxa"/>
            <w:tcBorders>
              <w:top w:val="nil"/>
              <w:left w:val="nil"/>
              <w:bottom w:val="single" w:sz="4" w:space="0" w:color="auto"/>
              <w:right w:val="single" w:sz="4" w:space="0" w:color="auto"/>
            </w:tcBorders>
            <w:shd w:val="clear" w:color="auto" w:fill="auto"/>
            <w:vAlign w:val="center"/>
            <w:hideMark/>
          </w:tcPr>
          <w:p w:rsidR="0002588A" w:rsidRPr="004E77F7" w:rsidRDefault="00A50C23" w:rsidP="00372448">
            <w:pPr>
              <w:spacing w:after="0" w:line="240" w:lineRule="auto"/>
              <w:jc w:val="right"/>
              <w:rPr>
                <w:rFonts w:ascii="Times New Roman" w:eastAsia="Times New Roman" w:hAnsi="Times New Roman"/>
                <w:color w:val="000000"/>
                <w:sz w:val="18"/>
                <w:szCs w:val="18"/>
                <w:lang w:eastAsia="lt-LT"/>
              </w:rPr>
            </w:pPr>
            <w:r w:rsidRPr="004E77F7">
              <w:rPr>
                <w:rFonts w:ascii="Times New Roman" w:eastAsia="Times New Roman" w:hAnsi="Times New Roman"/>
                <w:color w:val="000000"/>
                <w:sz w:val="18"/>
                <w:szCs w:val="18"/>
                <w:lang w:eastAsia="lt-LT"/>
              </w:rPr>
              <w:t>.</w:t>
            </w:r>
          </w:p>
        </w:tc>
        <w:tc>
          <w:tcPr>
            <w:tcW w:w="1417" w:type="dxa"/>
            <w:tcBorders>
              <w:top w:val="nil"/>
              <w:left w:val="nil"/>
              <w:bottom w:val="single" w:sz="4" w:space="0" w:color="auto"/>
              <w:right w:val="single" w:sz="4" w:space="0" w:color="auto"/>
            </w:tcBorders>
            <w:shd w:val="clear" w:color="auto" w:fill="auto"/>
            <w:vAlign w:val="center"/>
            <w:hideMark/>
          </w:tcPr>
          <w:p w:rsidR="0002588A" w:rsidRPr="004E77F7" w:rsidRDefault="00171F56" w:rsidP="00171F56">
            <w:pPr>
              <w:spacing w:after="0" w:line="240" w:lineRule="auto"/>
              <w:jc w:val="right"/>
              <w:rPr>
                <w:rFonts w:ascii="Times New Roman" w:eastAsia="Times New Roman" w:hAnsi="Times New Roman"/>
                <w:color w:val="000000"/>
                <w:sz w:val="18"/>
                <w:szCs w:val="18"/>
                <w:lang w:eastAsia="lt-LT"/>
              </w:rPr>
            </w:pPr>
            <w:r w:rsidRPr="004E77F7">
              <w:rPr>
                <w:rFonts w:ascii="Times New Roman" w:eastAsia="Times New Roman" w:hAnsi="Times New Roman"/>
                <w:color w:val="000000"/>
                <w:sz w:val="18"/>
                <w:szCs w:val="18"/>
                <w:lang w:eastAsia="lt-LT"/>
              </w:rPr>
              <w:t>375.752</w:t>
            </w:r>
            <w:r w:rsidR="0002588A" w:rsidRPr="004E77F7">
              <w:rPr>
                <w:rFonts w:ascii="Times New Roman" w:eastAsia="Times New Roman" w:hAnsi="Times New Roman"/>
                <w:color w:val="000000"/>
                <w:sz w:val="18"/>
                <w:szCs w:val="18"/>
                <w:lang w:eastAsia="lt-LT"/>
              </w:rPr>
              <w:t>.</w:t>
            </w:r>
            <w:r w:rsidRPr="004E77F7">
              <w:rPr>
                <w:rFonts w:ascii="Times New Roman" w:eastAsia="Times New Roman" w:hAnsi="Times New Roman"/>
                <w:color w:val="000000"/>
                <w:sz w:val="18"/>
                <w:szCs w:val="18"/>
                <w:lang w:eastAsia="lt-LT"/>
              </w:rPr>
              <w:t>642</w:t>
            </w:r>
          </w:p>
        </w:tc>
        <w:tc>
          <w:tcPr>
            <w:tcW w:w="1276" w:type="dxa"/>
            <w:tcBorders>
              <w:top w:val="nil"/>
              <w:left w:val="nil"/>
              <w:bottom w:val="single" w:sz="4" w:space="0" w:color="auto"/>
              <w:right w:val="single" w:sz="4" w:space="0" w:color="auto"/>
            </w:tcBorders>
            <w:shd w:val="clear" w:color="auto" w:fill="auto"/>
            <w:vAlign w:val="center"/>
            <w:hideMark/>
          </w:tcPr>
          <w:p w:rsidR="0002588A" w:rsidRPr="004E77F7" w:rsidRDefault="0002588A" w:rsidP="00171F56">
            <w:pPr>
              <w:spacing w:after="0" w:line="240" w:lineRule="auto"/>
              <w:jc w:val="right"/>
              <w:rPr>
                <w:rFonts w:ascii="Times New Roman" w:eastAsia="Times New Roman" w:hAnsi="Times New Roman"/>
                <w:color w:val="000000"/>
                <w:sz w:val="18"/>
                <w:szCs w:val="18"/>
                <w:lang w:eastAsia="lt-LT"/>
              </w:rPr>
            </w:pPr>
            <w:r w:rsidRPr="004E77F7">
              <w:rPr>
                <w:rFonts w:ascii="Times New Roman" w:eastAsia="Times New Roman" w:hAnsi="Times New Roman"/>
                <w:color w:val="000000"/>
                <w:sz w:val="18"/>
                <w:szCs w:val="18"/>
                <w:lang w:eastAsia="lt-LT"/>
              </w:rPr>
              <w:t>6</w:t>
            </w:r>
            <w:r w:rsidR="00171F56" w:rsidRPr="004E77F7">
              <w:rPr>
                <w:rFonts w:ascii="Times New Roman" w:eastAsia="Times New Roman" w:hAnsi="Times New Roman"/>
                <w:color w:val="000000"/>
                <w:sz w:val="18"/>
                <w:szCs w:val="18"/>
                <w:lang w:eastAsia="lt-LT"/>
              </w:rPr>
              <w:t>6.309.290</w:t>
            </w:r>
          </w:p>
        </w:tc>
        <w:tc>
          <w:tcPr>
            <w:tcW w:w="1134" w:type="dxa"/>
            <w:tcBorders>
              <w:top w:val="nil"/>
              <w:left w:val="nil"/>
              <w:bottom w:val="single" w:sz="4" w:space="0" w:color="auto"/>
              <w:right w:val="single" w:sz="4" w:space="0" w:color="auto"/>
            </w:tcBorders>
            <w:shd w:val="clear" w:color="auto" w:fill="auto"/>
            <w:vAlign w:val="center"/>
            <w:hideMark/>
          </w:tcPr>
          <w:p w:rsidR="0002588A" w:rsidRPr="004E77F7" w:rsidRDefault="0002588A" w:rsidP="00171F56">
            <w:pPr>
              <w:spacing w:after="0" w:line="240" w:lineRule="auto"/>
              <w:jc w:val="right"/>
              <w:rPr>
                <w:rFonts w:ascii="Times New Roman" w:eastAsia="Times New Roman" w:hAnsi="Times New Roman"/>
                <w:color w:val="000000"/>
                <w:sz w:val="18"/>
                <w:szCs w:val="18"/>
                <w:lang w:eastAsia="lt-LT"/>
              </w:rPr>
            </w:pPr>
            <w:r w:rsidRPr="004E77F7">
              <w:rPr>
                <w:rFonts w:ascii="Times New Roman" w:eastAsia="Times New Roman" w:hAnsi="Times New Roman"/>
                <w:color w:val="000000"/>
                <w:sz w:val="18"/>
                <w:szCs w:val="18"/>
                <w:lang w:eastAsia="lt-LT"/>
              </w:rPr>
              <w:t>2</w:t>
            </w:r>
            <w:r w:rsidR="00171F56" w:rsidRPr="004E77F7">
              <w:rPr>
                <w:rFonts w:ascii="Times New Roman" w:eastAsia="Times New Roman" w:hAnsi="Times New Roman"/>
                <w:color w:val="000000"/>
                <w:sz w:val="18"/>
                <w:szCs w:val="18"/>
                <w:lang w:eastAsia="lt-LT"/>
              </w:rPr>
              <w:t>3.984.211</w:t>
            </w:r>
          </w:p>
        </w:tc>
        <w:tc>
          <w:tcPr>
            <w:tcW w:w="1134" w:type="dxa"/>
            <w:tcBorders>
              <w:top w:val="nil"/>
              <w:left w:val="nil"/>
              <w:bottom w:val="single" w:sz="4" w:space="0" w:color="auto"/>
              <w:right w:val="single" w:sz="4" w:space="0" w:color="auto"/>
            </w:tcBorders>
            <w:shd w:val="clear" w:color="auto" w:fill="auto"/>
            <w:vAlign w:val="center"/>
            <w:hideMark/>
          </w:tcPr>
          <w:p w:rsidR="0002588A" w:rsidRPr="004E77F7" w:rsidRDefault="00171F56" w:rsidP="00372448">
            <w:pPr>
              <w:spacing w:after="0" w:line="240" w:lineRule="auto"/>
              <w:jc w:val="right"/>
              <w:rPr>
                <w:rFonts w:ascii="Times New Roman" w:eastAsia="Times New Roman" w:hAnsi="Times New Roman"/>
                <w:color w:val="000000"/>
                <w:sz w:val="18"/>
                <w:szCs w:val="18"/>
                <w:lang w:eastAsia="lt-LT"/>
              </w:rPr>
            </w:pPr>
            <w:r w:rsidRPr="004E77F7">
              <w:rPr>
                <w:rFonts w:ascii="Times New Roman" w:eastAsia="Times New Roman" w:hAnsi="Times New Roman"/>
                <w:color w:val="000000"/>
                <w:sz w:val="18"/>
                <w:szCs w:val="18"/>
                <w:lang w:eastAsia="lt-LT"/>
              </w:rPr>
              <w:t>4.232.508</w:t>
            </w:r>
          </w:p>
        </w:tc>
        <w:tc>
          <w:tcPr>
            <w:tcW w:w="567" w:type="dxa"/>
            <w:tcBorders>
              <w:top w:val="nil"/>
              <w:left w:val="nil"/>
              <w:bottom w:val="single" w:sz="4" w:space="0" w:color="auto"/>
              <w:right w:val="single" w:sz="4" w:space="0" w:color="auto"/>
            </w:tcBorders>
            <w:shd w:val="clear" w:color="auto" w:fill="auto"/>
            <w:vAlign w:val="center"/>
            <w:hideMark/>
          </w:tcPr>
          <w:p w:rsidR="0002588A" w:rsidRPr="00DF1549" w:rsidRDefault="00372448" w:rsidP="00F6184C">
            <w:pPr>
              <w:spacing w:after="0" w:line="240" w:lineRule="auto"/>
              <w:jc w:val="right"/>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6,00</w:t>
            </w:r>
          </w:p>
        </w:tc>
      </w:tr>
      <w:tr w:rsidR="00372448" w:rsidRPr="00DF1549" w:rsidTr="00650E41">
        <w:trPr>
          <w:trHeight w:val="510"/>
        </w:trPr>
        <w:tc>
          <w:tcPr>
            <w:tcW w:w="1418" w:type="dxa"/>
            <w:vMerge/>
            <w:tcBorders>
              <w:top w:val="nil"/>
              <w:left w:val="single" w:sz="4" w:space="0" w:color="auto"/>
              <w:bottom w:val="single" w:sz="4" w:space="0" w:color="000000"/>
              <w:right w:val="single" w:sz="4" w:space="0" w:color="auto"/>
            </w:tcBorders>
            <w:vAlign w:val="center"/>
            <w:hideMark/>
          </w:tcPr>
          <w:p w:rsidR="0002588A" w:rsidRPr="006F2E2E" w:rsidRDefault="0002588A" w:rsidP="00AA7F36">
            <w:pPr>
              <w:spacing w:after="0" w:line="240" w:lineRule="auto"/>
              <w:rPr>
                <w:rFonts w:ascii="Times New Roman" w:eastAsia="Times New Roman" w:hAnsi="Times New Roman"/>
                <w:i/>
                <w:iCs/>
                <w:color w:val="000000"/>
                <w:sz w:val="18"/>
                <w:szCs w:val="18"/>
                <w:lang w:eastAsia="lt-LT"/>
              </w:rPr>
            </w:pPr>
          </w:p>
        </w:tc>
        <w:tc>
          <w:tcPr>
            <w:tcW w:w="850" w:type="dxa"/>
            <w:tcBorders>
              <w:top w:val="nil"/>
              <w:left w:val="nil"/>
              <w:bottom w:val="single" w:sz="4" w:space="0" w:color="auto"/>
              <w:right w:val="single" w:sz="4" w:space="0" w:color="auto"/>
            </w:tcBorders>
            <w:shd w:val="clear" w:color="auto" w:fill="auto"/>
            <w:vAlign w:val="center"/>
            <w:hideMark/>
          </w:tcPr>
          <w:p w:rsidR="0002588A" w:rsidRPr="00DF1549" w:rsidRDefault="0002588A" w:rsidP="00F6184C">
            <w:pPr>
              <w:spacing w:after="0" w:line="240" w:lineRule="auto"/>
              <w:jc w:val="both"/>
              <w:rPr>
                <w:rFonts w:ascii="Times New Roman" w:eastAsia="Times New Roman" w:hAnsi="Times New Roman"/>
                <w:color w:val="000000"/>
                <w:sz w:val="18"/>
                <w:szCs w:val="18"/>
                <w:lang w:eastAsia="lt-LT"/>
              </w:rPr>
            </w:pPr>
            <w:r w:rsidRPr="00DF1549">
              <w:rPr>
                <w:rFonts w:ascii="Times New Roman" w:eastAsia="Times New Roman" w:hAnsi="Times New Roman"/>
                <w:color w:val="000000"/>
                <w:sz w:val="18"/>
                <w:szCs w:val="18"/>
                <w:lang w:eastAsia="lt-LT"/>
              </w:rPr>
              <w:t>ESF</w:t>
            </w:r>
          </w:p>
        </w:tc>
        <w:tc>
          <w:tcPr>
            <w:tcW w:w="993" w:type="dxa"/>
            <w:tcBorders>
              <w:top w:val="nil"/>
              <w:left w:val="nil"/>
              <w:bottom w:val="single" w:sz="4" w:space="0" w:color="auto"/>
              <w:right w:val="single" w:sz="4" w:space="0" w:color="auto"/>
            </w:tcBorders>
            <w:shd w:val="clear" w:color="auto" w:fill="auto"/>
            <w:vAlign w:val="center"/>
            <w:hideMark/>
          </w:tcPr>
          <w:p w:rsidR="0002588A" w:rsidRPr="006F2E2E" w:rsidRDefault="0002588A" w:rsidP="00F6184C">
            <w:pPr>
              <w:spacing w:after="0" w:line="240" w:lineRule="auto"/>
              <w:rPr>
                <w:rFonts w:ascii="Times New Roman" w:eastAsia="Times New Roman" w:hAnsi="Times New Roman"/>
                <w:sz w:val="18"/>
                <w:szCs w:val="18"/>
                <w:lang w:eastAsia="lt-LT"/>
              </w:rPr>
            </w:pPr>
            <w:r w:rsidRPr="006F2E2E">
              <w:rPr>
                <w:rFonts w:ascii="Times New Roman" w:eastAsia="Times New Roman" w:hAnsi="Times New Roman"/>
                <w:sz w:val="18"/>
                <w:szCs w:val="18"/>
                <w:lang w:eastAsia="lt-LT"/>
              </w:rPr>
              <w:t>Bendros tinkamos išlaidos</w:t>
            </w:r>
          </w:p>
        </w:tc>
        <w:tc>
          <w:tcPr>
            <w:tcW w:w="1275" w:type="dxa"/>
            <w:tcBorders>
              <w:top w:val="nil"/>
              <w:left w:val="nil"/>
              <w:bottom w:val="single" w:sz="4" w:space="0" w:color="auto"/>
              <w:right w:val="single" w:sz="4" w:space="0" w:color="auto"/>
            </w:tcBorders>
            <w:shd w:val="clear" w:color="auto" w:fill="auto"/>
            <w:vAlign w:val="center"/>
            <w:hideMark/>
          </w:tcPr>
          <w:p w:rsidR="0002588A" w:rsidRPr="004E77F7" w:rsidRDefault="00171F56" w:rsidP="00F832CB">
            <w:pPr>
              <w:spacing w:after="0" w:line="240" w:lineRule="auto"/>
              <w:jc w:val="right"/>
              <w:rPr>
                <w:rFonts w:ascii="Times New Roman" w:eastAsia="Times New Roman" w:hAnsi="Times New Roman"/>
                <w:sz w:val="18"/>
                <w:szCs w:val="18"/>
                <w:lang w:eastAsia="lt-LT"/>
              </w:rPr>
            </w:pPr>
            <w:r w:rsidRPr="004E77F7">
              <w:rPr>
                <w:rFonts w:ascii="Times New Roman" w:eastAsia="Times New Roman" w:hAnsi="Times New Roman"/>
                <w:sz w:val="18"/>
                <w:szCs w:val="18"/>
                <w:lang w:eastAsia="lt-LT"/>
              </w:rPr>
              <w:t>372.852.916</w:t>
            </w:r>
          </w:p>
        </w:tc>
        <w:tc>
          <w:tcPr>
            <w:tcW w:w="1276" w:type="dxa"/>
            <w:tcBorders>
              <w:top w:val="nil"/>
              <w:left w:val="nil"/>
              <w:bottom w:val="single" w:sz="4" w:space="0" w:color="auto"/>
              <w:right w:val="single" w:sz="4" w:space="0" w:color="auto"/>
            </w:tcBorders>
            <w:shd w:val="clear" w:color="auto" w:fill="auto"/>
            <w:vAlign w:val="center"/>
            <w:hideMark/>
          </w:tcPr>
          <w:p w:rsidR="0002588A" w:rsidRPr="004E77F7" w:rsidRDefault="00171F56" w:rsidP="00F832CB">
            <w:pPr>
              <w:spacing w:after="0" w:line="240" w:lineRule="auto"/>
              <w:jc w:val="right"/>
              <w:rPr>
                <w:rFonts w:ascii="Times New Roman" w:eastAsia="Times New Roman" w:hAnsi="Times New Roman"/>
                <w:sz w:val="18"/>
                <w:szCs w:val="18"/>
                <w:lang w:eastAsia="lt-LT"/>
              </w:rPr>
            </w:pPr>
            <w:r w:rsidRPr="004E77F7">
              <w:rPr>
                <w:rFonts w:ascii="Times New Roman" w:eastAsia="Times New Roman" w:hAnsi="Times New Roman"/>
                <w:sz w:val="18"/>
                <w:szCs w:val="18"/>
                <w:lang w:eastAsia="lt-LT"/>
              </w:rPr>
              <w:t>65.797.574</w:t>
            </w:r>
          </w:p>
        </w:tc>
        <w:tc>
          <w:tcPr>
            <w:tcW w:w="1134" w:type="dxa"/>
            <w:tcBorders>
              <w:top w:val="single" w:sz="4" w:space="0" w:color="auto"/>
              <w:left w:val="nil"/>
              <w:bottom w:val="single" w:sz="4" w:space="0" w:color="auto"/>
              <w:right w:val="single" w:sz="4" w:space="0" w:color="auto"/>
            </w:tcBorders>
            <w:vAlign w:val="center"/>
          </w:tcPr>
          <w:p w:rsidR="0002588A" w:rsidRPr="004E77F7" w:rsidRDefault="00171F56" w:rsidP="00F832CB">
            <w:pPr>
              <w:spacing w:after="0" w:line="240" w:lineRule="auto"/>
              <w:jc w:val="right"/>
              <w:rPr>
                <w:rFonts w:ascii="Times New Roman" w:hAnsi="Times New Roman"/>
                <w:sz w:val="18"/>
                <w:szCs w:val="18"/>
              </w:rPr>
            </w:pPr>
            <w:r w:rsidRPr="004E77F7">
              <w:rPr>
                <w:rFonts w:ascii="Times New Roman" w:hAnsi="Times New Roman"/>
                <w:sz w:val="18"/>
                <w:szCs w:val="18"/>
              </w:rPr>
              <w:t>65.794.678</w:t>
            </w:r>
          </w:p>
        </w:tc>
        <w:tc>
          <w:tcPr>
            <w:tcW w:w="1134" w:type="dxa"/>
            <w:tcBorders>
              <w:top w:val="single" w:sz="4" w:space="0" w:color="auto"/>
              <w:left w:val="single" w:sz="4" w:space="0" w:color="auto"/>
              <w:bottom w:val="single" w:sz="4" w:space="0" w:color="auto"/>
              <w:right w:val="single" w:sz="4" w:space="0" w:color="auto"/>
            </w:tcBorders>
            <w:vAlign w:val="center"/>
          </w:tcPr>
          <w:p w:rsidR="0002588A" w:rsidRPr="004E77F7" w:rsidRDefault="0002588A" w:rsidP="00372448">
            <w:pPr>
              <w:spacing w:after="0" w:line="240" w:lineRule="auto"/>
              <w:jc w:val="right"/>
              <w:rPr>
                <w:rFonts w:ascii="Times New Roman" w:hAnsi="Times New Roman"/>
                <w:sz w:val="18"/>
                <w:szCs w:val="18"/>
              </w:rPr>
            </w:pPr>
            <w:r w:rsidRPr="004E77F7">
              <w:rPr>
                <w:rFonts w:ascii="Times New Roman" w:hAnsi="Times New Roman"/>
                <w:sz w:val="18"/>
                <w:szCs w:val="18"/>
              </w:rPr>
              <w:t>2.896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02588A" w:rsidRPr="004E77F7" w:rsidRDefault="00171F56" w:rsidP="00F832CB">
            <w:pPr>
              <w:spacing w:after="0" w:line="240" w:lineRule="auto"/>
              <w:jc w:val="right"/>
              <w:rPr>
                <w:rFonts w:ascii="Times New Roman" w:eastAsia="Times New Roman" w:hAnsi="Times New Roman"/>
                <w:color w:val="000000"/>
                <w:sz w:val="18"/>
                <w:szCs w:val="18"/>
                <w:lang w:eastAsia="lt-LT"/>
              </w:rPr>
            </w:pPr>
            <w:r w:rsidRPr="004E77F7">
              <w:rPr>
                <w:rFonts w:ascii="Times New Roman" w:eastAsia="Times New Roman" w:hAnsi="Times New Roman"/>
                <w:color w:val="000000"/>
                <w:sz w:val="18"/>
                <w:szCs w:val="18"/>
                <w:lang w:eastAsia="lt-LT"/>
              </w:rPr>
              <w:t>438.650.490</w:t>
            </w:r>
          </w:p>
        </w:tc>
        <w:tc>
          <w:tcPr>
            <w:tcW w:w="709" w:type="dxa"/>
            <w:tcBorders>
              <w:top w:val="nil"/>
              <w:left w:val="nil"/>
              <w:bottom w:val="single" w:sz="4" w:space="0" w:color="auto"/>
              <w:right w:val="single" w:sz="4" w:space="0" w:color="auto"/>
            </w:tcBorders>
            <w:shd w:val="clear" w:color="auto" w:fill="auto"/>
            <w:vAlign w:val="center"/>
            <w:hideMark/>
          </w:tcPr>
          <w:p w:rsidR="0002588A" w:rsidRPr="004E77F7" w:rsidRDefault="00C93D87" w:rsidP="00372448">
            <w:pPr>
              <w:spacing w:after="0" w:line="240" w:lineRule="auto"/>
              <w:jc w:val="right"/>
              <w:rPr>
                <w:rFonts w:ascii="Times New Roman" w:eastAsia="Times New Roman" w:hAnsi="Times New Roman"/>
                <w:color w:val="000000"/>
                <w:sz w:val="18"/>
                <w:szCs w:val="18"/>
                <w:lang w:eastAsia="lt-LT"/>
              </w:rPr>
            </w:pPr>
            <w:r w:rsidRPr="004E77F7">
              <w:rPr>
                <w:rFonts w:ascii="Times New Roman" w:eastAsia="Times New Roman" w:hAnsi="Times New Roman"/>
                <w:color w:val="000000"/>
                <w:sz w:val="18"/>
                <w:szCs w:val="18"/>
                <w:lang w:eastAsia="lt-LT"/>
              </w:rPr>
              <w:t>85,00</w:t>
            </w:r>
          </w:p>
        </w:tc>
        <w:tc>
          <w:tcPr>
            <w:tcW w:w="425" w:type="dxa"/>
            <w:tcBorders>
              <w:top w:val="nil"/>
              <w:left w:val="nil"/>
              <w:bottom w:val="single" w:sz="4" w:space="0" w:color="auto"/>
              <w:right w:val="single" w:sz="4" w:space="0" w:color="auto"/>
            </w:tcBorders>
            <w:shd w:val="clear" w:color="auto" w:fill="auto"/>
            <w:vAlign w:val="center"/>
            <w:hideMark/>
          </w:tcPr>
          <w:p w:rsidR="0002588A" w:rsidRPr="004E77F7" w:rsidRDefault="00A50C23" w:rsidP="00372448">
            <w:pPr>
              <w:spacing w:after="0" w:line="240" w:lineRule="auto"/>
              <w:jc w:val="right"/>
              <w:rPr>
                <w:rFonts w:ascii="Times New Roman" w:eastAsia="Times New Roman" w:hAnsi="Times New Roman"/>
                <w:color w:val="000000"/>
                <w:sz w:val="18"/>
                <w:szCs w:val="18"/>
                <w:lang w:eastAsia="lt-LT"/>
              </w:rPr>
            </w:pPr>
            <w:r w:rsidRPr="004E77F7">
              <w:rPr>
                <w:rFonts w:ascii="Times New Roman" w:eastAsia="Times New Roman" w:hAnsi="Times New Roman"/>
                <w:color w:val="000000"/>
                <w:sz w:val="18"/>
                <w:szCs w:val="18"/>
                <w:lang w:eastAsia="lt-LT"/>
              </w:rPr>
              <w:t>.</w:t>
            </w:r>
          </w:p>
        </w:tc>
        <w:tc>
          <w:tcPr>
            <w:tcW w:w="1417" w:type="dxa"/>
            <w:tcBorders>
              <w:top w:val="nil"/>
              <w:left w:val="nil"/>
              <w:bottom w:val="single" w:sz="4" w:space="0" w:color="auto"/>
              <w:right w:val="single" w:sz="4" w:space="0" w:color="auto"/>
            </w:tcBorders>
            <w:shd w:val="clear" w:color="auto" w:fill="auto"/>
            <w:vAlign w:val="center"/>
            <w:hideMark/>
          </w:tcPr>
          <w:p w:rsidR="0002588A" w:rsidRPr="004E77F7" w:rsidRDefault="004F2FBD" w:rsidP="00F832CB">
            <w:pPr>
              <w:spacing w:after="0" w:line="240" w:lineRule="auto"/>
              <w:jc w:val="right"/>
              <w:rPr>
                <w:rFonts w:ascii="Times New Roman" w:eastAsia="Times New Roman" w:hAnsi="Times New Roman"/>
                <w:color w:val="000000"/>
                <w:sz w:val="18"/>
                <w:szCs w:val="18"/>
                <w:lang w:eastAsia="lt-LT"/>
              </w:rPr>
            </w:pPr>
            <w:r w:rsidRPr="004E77F7">
              <w:rPr>
                <w:rFonts w:ascii="Times New Roman" w:eastAsia="Times New Roman" w:hAnsi="Times New Roman"/>
                <w:color w:val="000000"/>
                <w:sz w:val="18"/>
                <w:szCs w:val="18"/>
                <w:lang w:eastAsia="lt-LT"/>
              </w:rPr>
              <w:t>349.990.106</w:t>
            </w:r>
          </w:p>
        </w:tc>
        <w:tc>
          <w:tcPr>
            <w:tcW w:w="1276" w:type="dxa"/>
            <w:tcBorders>
              <w:top w:val="nil"/>
              <w:left w:val="nil"/>
              <w:bottom w:val="single" w:sz="4" w:space="0" w:color="auto"/>
              <w:right w:val="single" w:sz="4" w:space="0" w:color="auto"/>
            </w:tcBorders>
            <w:shd w:val="clear" w:color="auto" w:fill="auto"/>
            <w:vAlign w:val="center"/>
            <w:hideMark/>
          </w:tcPr>
          <w:p w:rsidR="0002588A" w:rsidRPr="004E77F7" w:rsidRDefault="004F2FBD" w:rsidP="00F832CB">
            <w:pPr>
              <w:spacing w:after="0" w:line="240" w:lineRule="auto"/>
              <w:jc w:val="right"/>
              <w:rPr>
                <w:rFonts w:ascii="Times New Roman" w:eastAsia="Times New Roman" w:hAnsi="Times New Roman"/>
                <w:color w:val="000000"/>
                <w:sz w:val="18"/>
                <w:szCs w:val="18"/>
                <w:lang w:eastAsia="lt-LT"/>
              </w:rPr>
            </w:pPr>
            <w:r w:rsidRPr="004E77F7">
              <w:rPr>
                <w:rFonts w:ascii="Times New Roman" w:eastAsia="Times New Roman" w:hAnsi="Times New Roman"/>
                <w:color w:val="000000"/>
                <w:sz w:val="18"/>
                <w:szCs w:val="18"/>
                <w:lang w:eastAsia="lt-LT"/>
              </w:rPr>
              <w:t>61.762.960</w:t>
            </w:r>
          </w:p>
        </w:tc>
        <w:tc>
          <w:tcPr>
            <w:tcW w:w="1134" w:type="dxa"/>
            <w:tcBorders>
              <w:top w:val="nil"/>
              <w:left w:val="nil"/>
              <w:bottom w:val="single" w:sz="4" w:space="0" w:color="auto"/>
              <w:right w:val="single" w:sz="4" w:space="0" w:color="auto"/>
            </w:tcBorders>
            <w:shd w:val="clear" w:color="auto" w:fill="auto"/>
            <w:vAlign w:val="center"/>
            <w:hideMark/>
          </w:tcPr>
          <w:p w:rsidR="0002588A" w:rsidRPr="004E77F7" w:rsidRDefault="004F2FBD" w:rsidP="00F832CB">
            <w:pPr>
              <w:spacing w:after="0" w:line="240" w:lineRule="auto"/>
              <w:jc w:val="right"/>
              <w:rPr>
                <w:rFonts w:ascii="Times New Roman" w:eastAsia="Times New Roman" w:hAnsi="Times New Roman"/>
                <w:color w:val="000000"/>
                <w:sz w:val="18"/>
                <w:szCs w:val="18"/>
                <w:lang w:eastAsia="lt-LT"/>
              </w:rPr>
            </w:pPr>
            <w:r w:rsidRPr="004E77F7">
              <w:rPr>
                <w:rFonts w:ascii="Times New Roman" w:eastAsia="Times New Roman" w:hAnsi="Times New Roman"/>
                <w:color w:val="000000"/>
                <w:sz w:val="18"/>
                <w:szCs w:val="18"/>
                <w:lang w:eastAsia="lt-LT"/>
              </w:rPr>
              <w:t>22.862.810</w:t>
            </w:r>
          </w:p>
        </w:tc>
        <w:tc>
          <w:tcPr>
            <w:tcW w:w="1134" w:type="dxa"/>
            <w:tcBorders>
              <w:top w:val="nil"/>
              <w:left w:val="nil"/>
              <w:bottom w:val="single" w:sz="4" w:space="0" w:color="auto"/>
              <w:right w:val="single" w:sz="4" w:space="0" w:color="auto"/>
            </w:tcBorders>
            <w:shd w:val="clear" w:color="auto" w:fill="auto"/>
            <w:vAlign w:val="center"/>
            <w:hideMark/>
          </w:tcPr>
          <w:p w:rsidR="0002588A" w:rsidRPr="004E77F7" w:rsidRDefault="004F2FBD" w:rsidP="00F832CB">
            <w:pPr>
              <w:spacing w:after="0" w:line="240" w:lineRule="auto"/>
              <w:jc w:val="right"/>
              <w:rPr>
                <w:rFonts w:ascii="Times New Roman" w:eastAsia="Times New Roman" w:hAnsi="Times New Roman"/>
                <w:color w:val="000000"/>
                <w:sz w:val="18"/>
                <w:szCs w:val="18"/>
                <w:lang w:eastAsia="lt-LT"/>
              </w:rPr>
            </w:pPr>
            <w:r w:rsidRPr="004E77F7">
              <w:rPr>
                <w:rFonts w:ascii="Times New Roman" w:eastAsia="Times New Roman" w:hAnsi="Times New Roman"/>
                <w:color w:val="000000"/>
                <w:sz w:val="18"/>
                <w:szCs w:val="18"/>
                <w:lang w:eastAsia="lt-LT"/>
              </w:rPr>
              <w:t>4.034.614</w:t>
            </w:r>
          </w:p>
        </w:tc>
        <w:tc>
          <w:tcPr>
            <w:tcW w:w="567" w:type="dxa"/>
            <w:tcBorders>
              <w:top w:val="nil"/>
              <w:left w:val="nil"/>
              <w:bottom w:val="single" w:sz="4" w:space="0" w:color="auto"/>
              <w:right w:val="single" w:sz="4" w:space="0" w:color="auto"/>
            </w:tcBorders>
            <w:shd w:val="clear" w:color="auto" w:fill="auto"/>
            <w:vAlign w:val="center"/>
            <w:hideMark/>
          </w:tcPr>
          <w:p w:rsidR="0002588A" w:rsidRPr="00DF1549" w:rsidRDefault="00372448" w:rsidP="00F6184C">
            <w:pPr>
              <w:spacing w:after="0" w:line="240" w:lineRule="auto"/>
              <w:jc w:val="right"/>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6,14</w:t>
            </w:r>
          </w:p>
        </w:tc>
      </w:tr>
      <w:tr w:rsidR="00372448" w:rsidRPr="00DF1549" w:rsidTr="00650E41">
        <w:trPr>
          <w:trHeight w:val="510"/>
        </w:trPr>
        <w:tc>
          <w:tcPr>
            <w:tcW w:w="1418" w:type="dxa"/>
            <w:vMerge/>
            <w:tcBorders>
              <w:top w:val="nil"/>
              <w:left w:val="single" w:sz="4" w:space="0" w:color="auto"/>
              <w:bottom w:val="single" w:sz="4" w:space="0" w:color="000000"/>
              <w:right w:val="single" w:sz="4" w:space="0" w:color="auto"/>
            </w:tcBorders>
            <w:vAlign w:val="center"/>
            <w:hideMark/>
          </w:tcPr>
          <w:p w:rsidR="0002588A" w:rsidRPr="006F2E2E" w:rsidRDefault="0002588A" w:rsidP="00AA7F36">
            <w:pPr>
              <w:spacing w:after="0" w:line="240" w:lineRule="auto"/>
              <w:rPr>
                <w:rFonts w:ascii="Times New Roman" w:eastAsia="Times New Roman" w:hAnsi="Times New Roman"/>
                <w:i/>
                <w:iCs/>
                <w:color w:val="000000"/>
                <w:sz w:val="18"/>
                <w:szCs w:val="18"/>
                <w:lang w:eastAsia="lt-LT"/>
              </w:rPr>
            </w:pPr>
          </w:p>
        </w:tc>
        <w:tc>
          <w:tcPr>
            <w:tcW w:w="850" w:type="dxa"/>
            <w:tcBorders>
              <w:top w:val="nil"/>
              <w:left w:val="nil"/>
              <w:bottom w:val="single" w:sz="4" w:space="0" w:color="auto"/>
              <w:right w:val="single" w:sz="4" w:space="0" w:color="auto"/>
            </w:tcBorders>
            <w:shd w:val="clear" w:color="auto" w:fill="auto"/>
            <w:vAlign w:val="center"/>
            <w:hideMark/>
          </w:tcPr>
          <w:p w:rsidR="0002588A" w:rsidRPr="00DF1549" w:rsidRDefault="0002588A" w:rsidP="00F6184C">
            <w:pPr>
              <w:spacing w:after="0" w:line="240" w:lineRule="auto"/>
              <w:jc w:val="both"/>
              <w:rPr>
                <w:rFonts w:ascii="Times New Roman" w:eastAsia="Times New Roman" w:hAnsi="Times New Roman"/>
                <w:sz w:val="18"/>
                <w:szCs w:val="18"/>
                <w:lang w:eastAsia="lt-LT"/>
              </w:rPr>
            </w:pPr>
            <w:r>
              <w:rPr>
                <w:rFonts w:ascii="Times New Roman" w:eastAsia="Times New Roman" w:hAnsi="Times New Roman"/>
                <w:sz w:val="18"/>
                <w:szCs w:val="18"/>
                <w:lang w:eastAsia="lt-LT"/>
              </w:rPr>
              <w:t>JUI</w:t>
            </w:r>
          </w:p>
        </w:tc>
        <w:tc>
          <w:tcPr>
            <w:tcW w:w="993" w:type="dxa"/>
            <w:tcBorders>
              <w:top w:val="nil"/>
              <w:left w:val="nil"/>
              <w:bottom w:val="single" w:sz="4" w:space="0" w:color="auto"/>
              <w:right w:val="single" w:sz="4" w:space="0" w:color="auto"/>
            </w:tcBorders>
            <w:shd w:val="clear" w:color="auto" w:fill="auto"/>
            <w:vAlign w:val="center"/>
            <w:hideMark/>
          </w:tcPr>
          <w:p w:rsidR="0002588A" w:rsidRPr="006F2E2E" w:rsidRDefault="0002588A" w:rsidP="00F6184C">
            <w:pPr>
              <w:spacing w:after="0" w:line="240" w:lineRule="auto"/>
              <w:rPr>
                <w:rFonts w:ascii="Times New Roman" w:eastAsia="Times New Roman" w:hAnsi="Times New Roman"/>
                <w:sz w:val="18"/>
                <w:szCs w:val="18"/>
                <w:lang w:eastAsia="lt-LT"/>
              </w:rPr>
            </w:pPr>
            <w:r w:rsidRPr="006F2E2E">
              <w:rPr>
                <w:rFonts w:ascii="Times New Roman" w:eastAsia="Times New Roman" w:hAnsi="Times New Roman"/>
                <w:sz w:val="18"/>
                <w:szCs w:val="18"/>
                <w:lang w:eastAsia="lt-LT"/>
              </w:rPr>
              <w:t>Viešosios tinkamos išlaidos</w:t>
            </w:r>
          </w:p>
        </w:tc>
        <w:tc>
          <w:tcPr>
            <w:tcW w:w="1275" w:type="dxa"/>
            <w:tcBorders>
              <w:top w:val="nil"/>
              <w:left w:val="nil"/>
              <w:bottom w:val="single" w:sz="4" w:space="0" w:color="auto"/>
              <w:right w:val="single" w:sz="4" w:space="0" w:color="auto"/>
            </w:tcBorders>
            <w:shd w:val="clear" w:color="auto" w:fill="auto"/>
            <w:vAlign w:val="center"/>
            <w:hideMark/>
          </w:tcPr>
          <w:p w:rsidR="0002588A" w:rsidRPr="004E77F7" w:rsidRDefault="0002588A" w:rsidP="00372448">
            <w:pPr>
              <w:spacing w:after="0" w:line="240" w:lineRule="auto"/>
              <w:jc w:val="right"/>
              <w:rPr>
                <w:rFonts w:ascii="Times New Roman" w:eastAsia="Times New Roman" w:hAnsi="Times New Roman"/>
                <w:sz w:val="18"/>
                <w:szCs w:val="18"/>
                <w:lang w:eastAsia="lt-LT"/>
              </w:rPr>
            </w:pPr>
            <w:r w:rsidRPr="004E77F7">
              <w:rPr>
                <w:rFonts w:ascii="Times New Roman" w:eastAsia="Times New Roman" w:hAnsi="Times New Roman"/>
                <w:sz w:val="18"/>
                <w:szCs w:val="18"/>
                <w:lang w:eastAsia="lt-LT"/>
              </w:rPr>
              <w:t>63.565.266</w:t>
            </w:r>
          </w:p>
        </w:tc>
        <w:tc>
          <w:tcPr>
            <w:tcW w:w="1276" w:type="dxa"/>
            <w:tcBorders>
              <w:top w:val="nil"/>
              <w:left w:val="nil"/>
              <w:bottom w:val="single" w:sz="4" w:space="0" w:color="auto"/>
              <w:right w:val="single" w:sz="4" w:space="0" w:color="auto"/>
            </w:tcBorders>
            <w:shd w:val="clear" w:color="auto" w:fill="auto"/>
            <w:vAlign w:val="center"/>
            <w:hideMark/>
          </w:tcPr>
          <w:p w:rsidR="0002588A" w:rsidRPr="004E77F7" w:rsidRDefault="0002588A" w:rsidP="00372448">
            <w:pPr>
              <w:spacing w:after="0" w:line="240" w:lineRule="auto"/>
              <w:jc w:val="right"/>
              <w:rPr>
                <w:rFonts w:ascii="Times New Roman" w:eastAsia="Times New Roman" w:hAnsi="Times New Roman"/>
                <w:sz w:val="18"/>
                <w:szCs w:val="18"/>
                <w:lang w:eastAsia="lt-LT"/>
              </w:rPr>
            </w:pPr>
            <w:r w:rsidRPr="004E77F7">
              <w:rPr>
                <w:rFonts w:ascii="Times New Roman" w:eastAsia="Times New Roman" w:hAnsi="Times New Roman"/>
                <w:sz w:val="18"/>
                <w:szCs w:val="18"/>
                <w:lang w:eastAsia="lt-LT"/>
              </w:rPr>
              <w:t>5.608.700</w:t>
            </w:r>
          </w:p>
        </w:tc>
        <w:tc>
          <w:tcPr>
            <w:tcW w:w="1134" w:type="dxa"/>
            <w:tcBorders>
              <w:top w:val="single" w:sz="4" w:space="0" w:color="auto"/>
              <w:left w:val="nil"/>
              <w:bottom w:val="single" w:sz="4" w:space="0" w:color="auto"/>
              <w:right w:val="single" w:sz="4" w:space="0" w:color="auto"/>
            </w:tcBorders>
            <w:vAlign w:val="center"/>
          </w:tcPr>
          <w:p w:rsidR="0002588A" w:rsidRPr="004E77F7" w:rsidRDefault="0002588A" w:rsidP="00372448">
            <w:pPr>
              <w:spacing w:after="0" w:line="240" w:lineRule="auto"/>
              <w:jc w:val="right"/>
              <w:rPr>
                <w:rFonts w:ascii="Times New Roman" w:hAnsi="Times New Roman"/>
                <w:sz w:val="18"/>
                <w:szCs w:val="18"/>
              </w:rPr>
            </w:pPr>
            <w:r w:rsidRPr="004E77F7">
              <w:rPr>
                <w:rFonts w:ascii="Times New Roman" w:hAnsi="Times New Roman"/>
                <w:sz w:val="18"/>
                <w:szCs w:val="18"/>
              </w:rPr>
              <w:t>5.608.700</w:t>
            </w:r>
          </w:p>
        </w:tc>
        <w:tc>
          <w:tcPr>
            <w:tcW w:w="1134" w:type="dxa"/>
            <w:tcBorders>
              <w:top w:val="single" w:sz="4" w:space="0" w:color="auto"/>
              <w:left w:val="single" w:sz="4" w:space="0" w:color="auto"/>
              <w:bottom w:val="single" w:sz="4" w:space="0" w:color="auto"/>
              <w:right w:val="single" w:sz="4" w:space="0" w:color="auto"/>
            </w:tcBorders>
            <w:vAlign w:val="center"/>
          </w:tcPr>
          <w:p w:rsidR="0002588A" w:rsidRPr="004E77F7" w:rsidRDefault="0002588A" w:rsidP="00372448">
            <w:pPr>
              <w:spacing w:after="0" w:line="240" w:lineRule="auto"/>
              <w:jc w:val="right"/>
              <w:rPr>
                <w:rFonts w:ascii="Times New Roman" w:hAnsi="Times New Roman"/>
                <w:sz w:val="18"/>
                <w:szCs w:val="18"/>
              </w:rPr>
            </w:pPr>
            <w:r w:rsidRPr="004E77F7">
              <w:rPr>
                <w:rFonts w:ascii="Times New Roman" w:hAnsi="Times New Roman"/>
                <w:sz w:val="18"/>
                <w:szCs w:val="18"/>
              </w:rPr>
              <w:t>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02588A" w:rsidRPr="004E77F7" w:rsidRDefault="0002588A" w:rsidP="00372448">
            <w:pPr>
              <w:spacing w:after="0" w:line="240" w:lineRule="auto"/>
              <w:jc w:val="right"/>
              <w:rPr>
                <w:rFonts w:ascii="Times New Roman" w:eastAsia="Times New Roman" w:hAnsi="Times New Roman"/>
                <w:color w:val="000000"/>
                <w:sz w:val="18"/>
                <w:szCs w:val="18"/>
                <w:lang w:eastAsia="lt-LT"/>
              </w:rPr>
            </w:pPr>
            <w:r w:rsidRPr="004E77F7">
              <w:rPr>
                <w:rFonts w:ascii="Times New Roman" w:eastAsia="Times New Roman" w:hAnsi="Times New Roman"/>
                <w:color w:val="000000"/>
                <w:sz w:val="18"/>
                <w:szCs w:val="18"/>
                <w:lang w:eastAsia="lt-LT"/>
              </w:rPr>
              <w:t>69.173.966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588A" w:rsidRPr="004E77F7" w:rsidRDefault="00C93D87" w:rsidP="00372448">
            <w:pPr>
              <w:spacing w:after="0" w:line="240" w:lineRule="auto"/>
              <w:jc w:val="right"/>
              <w:rPr>
                <w:rFonts w:ascii="Times New Roman" w:eastAsia="Times New Roman" w:hAnsi="Times New Roman"/>
                <w:sz w:val="18"/>
                <w:szCs w:val="18"/>
                <w:lang w:eastAsia="lt-LT"/>
              </w:rPr>
            </w:pPr>
            <w:r w:rsidRPr="004E77F7">
              <w:rPr>
                <w:rFonts w:ascii="Times New Roman" w:eastAsia="Times New Roman" w:hAnsi="Times New Roman"/>
                <w:sz w:val="18"/>
                <w:szCs w:val="18"/>
                <w:lang w:eastAsia="lt-LT"/>
              </w:rPr>
              <w:t>91,89</w:t>
            </w:r>
          </w:p>
        </w:tc>
        <w:tc>
          <w:tcPr>
            <w:tcW w:w="425" w:type="dxa"/>
            <w:tcBorders>
              <w:top w:val="nil"/>
              <w:left w:val="nil"/>
              <w:bottom w:val="single" w:sz="4" w:space="0" w:color="auto"/>
              <w:right w:val="single" w:sz="4" w:space="0" w:color="auto"/>
            </w:tcBorders>
            <w:shd w:val="clear" w:color="auto" w:fill="auto"/>
            <w:vAlign w:val="center"/>
            <w:hideMark/>
          </w:tcPr>
          <w:p w:rsidR="0002588A" w:rsidRPr="004E77F7" w:rsidRDefault="00A50C23" w:rsidP="00372448">
            <w:pPr>
              <w:spacing w:after="0" w:line="240" w:lineRule="auto"/>
              <w:jc w:val="right"/>
              <w:rPr>
                <w:rFonts w:ascii="Times New Roman" w:eastAsia="Times New Roman" w:hAnsi="Times New Roman"/>
                <w:sz w:val="18"/>
                <w:szCs w:val="18"/>
                <w:lang w:eastAsia="lt-LT"/>
              </w:rPr>
            </w:pPr>
            <w:r w:rsidRPr="004E77F7">
              <w:rPr>
                <w:rFonts w:ascii="Times New Roman" w:eastAsia="Times New Roman" w:hAnsi="Times New Roman"/>
                <w:sz w:val="18"/>
                <w:szCs w:val="18"/>
                <w:lang w:eastAsia="lt-LT"/>
              </w:rPr>
              <w:t>.</w:t>
            </w:r>
          </w:p>
        </w:tc>
        <w:tc>
          <w:tcPr>
            <w:tcW w:w="1417" w:type="dxa"/>
            <w:tcBorders>
              <w:top w:val="nil"/>
              <w:left w:val="nil"/>
              <w:bottom w:val="single" w:sz="4" w:space="0" w:color="auto"/>
              <w:right w:val="single" w:sz="4" w:space="0" w:color="auto"/>
            </w:tcBorders>
            <w:shd w:val="clear" w:color="auto" w:fill="auto"/>
            <w:vAlign w:val="center"/>
            <w:hideMark/>
          </w:tcPr>
          <w:p w:rsidR="0002588A" w:rsidRPr="004E77F7" w:rsidRDefault="0002588A" w:rsidP="00372448">
            <w:pPr>
              <w:spacing w:after="0" w:line="240" w:lineRule="auto"/>
              <w:jc w:val="right"/>
              <w:rPr>
                <w:rFonts w:ascii="Times New Roman" w:eastAsia="Times New Roman" w:hAnsi="Times New Roman"/>
                <w:color w:val="000000"/>
                <w:sz w:val="18"/>
                <w:szCs w:val="18"/>
                <w:lang w:eastAsia="lt-LT"/>
              </w:rPr>
            </w:pPr>
            <w:r w:rsidRPr="004E77F7">
              <w:rPr>
                <w:rFonts w:ascii="Times New Roman" w:eastAsia="Times New Roman" w:hAnsi="Times New Roman"/>
                <w:color w:val="000000"/>
                <w:sz w:val="18"/>
                <w:szCs w:val="18"/>
                <w:lang w:eastAsia="lt-LT"/>
              </w:rPr>
              <w:t>63.565.266</w:t>
            </w:r>
          </w:p>
        </w:tc>
        <w:tc>
          <w:tcPr>
            <w:tcW w:w="1276" w:type="dxa"/>
            <w:tcBorders>
              <w:top w:val="nil"/>
              <w:left w:val="nil"/>
              <w:bottom w:val="single" w:sz="4" w:space="0" w:color="auto"/>
              <w:right w:val="single" w:sz="4" w:space="0" w:color="auto"/>
            </w:tcBorders>
            <w:shd w:val="clear" w:color="auto" w:fill="auto"/>
            <w:vAlign w:val="center"/>
            <w:hideMark/>
          </w:tcPr>
          <w:p w:rsidR="0002588A" w:rsidRPr="004E77F7" w:rsidRDefault="0002588A" w:rsidP="00372448">
            <w:pPr>
              <w:spacing w:after="0" w:line="240" w:lineRule="auto"/>
              <w:jc w:val="right"/>
              <w:rPr>
                <w:rFonts w:ascii="Times New Roman" w:eastAsia="Times New Roman" w:hAnsi="Times New Roman"/>
                <w:color w:val="000000"/>
                <w:sz w:val="18"/>
                <w:szCs w:val="18"/>
                <w:lang w:eastAsia="lt-LT"/>
              </w:rPr>
            </w:pPr>
            <w:r w:rsidRPr="004E77F7">
              <w:rPr>
                <w:rFonts w:ascii="Times New Roman" w:eastAsia="Times New Roman" w:hAnsi="Times New Roman"/>
                <w:color w:val="000000"/>
                <w:sz w:val="18"/>
                <w:szCs w:val="18"/>
                <w:lang w:eastAsia="lt-LT"/>
              </w:rPr>
              <w:t>5.608.700</w:t>
            </w:r>
          </w:p>
        </w:tc>
        <w:tc>
          <w:tcPr>
            <w:tcW w:w="1134" w:type="dxa"/>
            <w:tcBorders>
              <w:top w:val="nil"/>
              <w:left w:val="nil"/>
              <w:bottom w:val="single" w:sz="4" w:space="0" w:color="auto"/>
              <w:right w:val="single" w:sz="4" w:space="0" w:color="auto"/>
            </w:tcBorders>
            <w:shd w:val="clear" w:color="auto" w:fill="auto"/>
            <w:vAlign w:val="center"/>
            <w:hideMark/>
          </w:tcPr>
          <w:p w:rsidR="0002588A" w:rsidRPr="004E77F7" w:rsidRDefault="0002588A" w:rsidP="00372448">
            <w:pPr>
              <w:spacing w:after="0" w:line="240" w:lineRule="auto"/>
              <w:jc w:val="right"/>
              <w:rPr>
                <w:rFonts w:ascii="Times New Roman" w:eastAsia="Times New Roman" w:hAnsi="Times New Roman"/>
                <w:color w:val="000000"/>
                <w:sz w:val="18"/>
                <w:szCs w:val="18"/>
                <w:lang w:eastAsia="lt-LT"/>
              </w:rPr>
            </w:pPr>
            <w:r w:rsidRPr="004E77F7">
              <w:rPr>
                <w:rFonts w:ascii="Times New Roman" w:eastAsia="Times New Roman" w:hAnsi="Times New Roman"/>
                <w:color w:val="000000"/>
                <w:sz w:val="18"/>
                <w:szCs w:val="18"/>
                <w:lang w:eastAsia="lt-LT"/>
              </w:rPr>
              <w:t>0</w:t>
            </w:r>
          </w:p>
        </w:tc>
        <w:tc>
          <w:tcPr>
            <w:tcW w:w="1134" w:type="dxa"/>
            <w:tcBorders>
              <w:top w:val="nil"/>
              <w:left w:val="nil"/>
              <w:bottom w:val="single" w:sz="4" w:space="0" w:color="auto"/>
              <w:right w:val="single" w:sz="4" w:space="0" w:color="auto"/>
            </w:tcBorders>
            <w:shd w:val="clear" w:color="auto" w:fill="auto"/>
            <w:vAlign w:val="center"/>
            <w:hideMark/>
          </w:tcPr>
          <w:p w:rsidR="0002588A" w:rsidRPr="004E77F7" w:rsidRDefault="0002588A" w:rsidP="00372448">
            <w:pPr>
              <w:spacing w:after="0" w:line="240" w:lineRule="auto"/>
              <w:jc w:val="right"/>
              <w:rPr>
                <w:rFonts w:ascii="Times New Roman" w:eastAsia="Times New Roman" w:hAnsi="Times New Roman"/>
                <w:color w:val="000000"/>
                <w:sz w:val="18"/>
                <w:szCs w:val="18"/>
                <w:lang w:eastAsia="lt-LT"/>
              </w:rPr>
            </w:pPr>
            <w:r w:rsidRPr="004E77F7">
              <w:rPr>
                <w:rFonts w:ascii="Times New Roman" w:eastAsia="Times New Roman" w:hAnsi="Times New Roman"/>
                <w:color w:val="000000"/>
                <w:sz w:val="18"/>
                <w:szCs w:val="18"/>
                <w:lang w:eastAsia="lt-LT"/>
              </w:rPr>
              <w:t>0</w:t>
            </w:r>
          </w:p>
        </w:tc>
        <w:tc>
          <w:tcPr>
            <w:tcW w:w="567" w:type="dxa"/>
            <w:tcBorders>
              <w:top w:val="nil"/>
              <w:left w:val="nil"/>
              <w:bottom w:val="single" w:sz="4" w:space="0" w:color="auto"/>
              <w:right w:val="single" w:sz="4" w:space="0" w:color="auto"/>
            </w:tcBorders>
            <w:shd w:val="clear" w:color="auto" w:fill="auto"/>
            <w:vAlign w:val="center"/>
            <w:hideMark/>
          </w:tcPr>
          <w:p w:rsidR="0002588A" w:rsidRPr="00DF1549" w:rsidRDefault="00372448" w:rsidP="00F6184C">
            <w:pPr>
              <w:spacing w:after="0" w:line="240" w:lineRule="auto"/>
              <w:jc w:val="right"/>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0,00</w:t>
            </w:r>
          </w:p>
        </w:tc>
      </w:tr>
      <w:tr w:rsidR="00372448" w:rsidRPr="00DF1549" w:rsidTr="00650E41">
        <w:trPr>
          <w:trHeight w:val="510"/>
        </w:trPr>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02588A" w:rsidRPr="006F2E2E" w:rsidRDefault="0002588A" w:rsidP="00AA7F36">
            <w:pPr>
              <w:widowControl w:val="0"/>
              <w:tabs>
                <w:tab w:val="left" w:pos="622"/>
              </w:tabs>
              <w:spacing w:after="0" w:line="240" w:lineRule="auto"/>
              <w:rPr>
                <w:rFonts w:ascii="Times New Roman" w:eastAsia="AngsanaUPC" w:hAnsi="Times New Roman"/>
                <w:bCs/>
                <w:sz w:val="18"/>
                <w:szCs w:val="18"/>
                <w:lang w:eastAsia="lt-LT"/>
              </w:rPr>
            </w:pPr>
            <w:r w:rsidRPr="006F2E2E">
              <w:rPr>
                <w:rFonts w:ascii="Times New Roman" w:eastAsia="AngsanaUPC" w:hAnsi="Times New Roman"/>
                <w:bCs/>
                <w:sz w:val="18"/>
                <w:szCs w:val="18"/>
                <w:lang w:eastAsia="lt-LT"/>
              </w:rPr>
              <w:t>8. Socialinės įtrauktiems didinimas ir parama kovai su skurdu.</w:t>
            </w:r>
          </w:p>
        </w:tc>
        <w:tc>
          <w:tcPr>
            <w:tcW w:w="850" w:type="dxa"/>
            <w:tcBorders>
              <w:top w:val="nil"/>
              <w:left w:val="nil"/>
              <w:bottom w:val="single" w:sz="4" w:space="0" w:color="auto"/>
              <w:right w:val="single" w:sz="4" w:space="0" w:color="auto"/>
            </w:tcBorders>
            <w:shd w:val="clear" w:color="auto" w:fill="auto"/>
            <w:vAlign w:val="center"/>
            <w:hideMark/>
          </w:tcPr>
          <w:p w:rsidR="0002588A" w:rsidRPr="00DF1549" w:rsidRDefault="0002588A" w:rsidP="00F6184C">
            <w:pPr>
              <w:spacing w:after="0" w:line="240" w:lineRule="auto"/>
              <w:jc w:val="both"/>
              <w:rPr>
                <w:rFonts w:ascii="Times New Roman" w:eastAsia="Times New Roman" w:hAnsi="Times New Roman"/>
                <w:color w:val="000000"/>
                <w:sz w:val="18"/>
                <w:szCs w:val="18"/>
                <w:lang w:eastAsia="lt-LT"/>
              </w:rPr>
            </w:pPr>
            <w:r w:rsidRPr="00DF1549">
              <w:rPr>
                <w:rFonts w:ascii="Times New Roman" w:eastAsia="Times New Roman" w:hAnsi="Times New Roman"/>
                <w:color w:val="000000"/>
                <w:sz w:val="18"/>
                <w:szCs w:val="18"/>
                <w:lang w:eastAsia="lt-LT"/>
              </w:rPr>
              <w:t>ERPF</w:t>
            </w:r>
          </w:p>
        </w:tc>
        <w:tc>
          <w:tcPr>
            <w:tcW w:w="993" w:type="dxa"/>
            <w:tcBorders>
              <w:top w:val="nil"/>
              <w:left w:val="nil"/>
              <w:bottom w:val="single" w:sz="4" w:space="0" w:color="auto"/>
              <w:right w:val="single" w:sz="4" w:space="0" w:color="auto"/>
            </w:tcBorders>
            <w:shd w:val="clear" w:color="auto" w:fill="auto"/>
            <w:vAlign w:val="center"/>
            <w:hideMark/>
          </w:tcPr>
          <w:p w:rsidR="0002588A" w:rsidRPr="006F2E2E" w:rsidRDefault="0002588A" w:rsidP="00F6184C">
            <w:pPr>
              <w:spacing w:after="0" w:line="240" w:lineRule="auto"/>
              <w:rPr>
                <w:rFonts w:ascii="Times New Roman" w:eastAsia="Times New Roman" w:hAnsi="Times New Roman"/>
                <w:sz w:val="18"/>
                <w:szCs w:val="18"/>
                <w:lang w:eastAsia="lt-LT"/>
              </w:rPr>
            </w:pPr>
            <w:r w:rsidRPr="006F2E2E">
              <w:rPr>
                <w:rFonts w:ascii="Times New Roman" w:eastAsia="Times New Roman" w:hAnsi="Times New Roman"/>
                <w:sz w:val="18"/>
                <w:szCs w:val="18"/>
                <w:lang w:eastAsia="lt-LT"/>
              </w:rPr>
              <w:t>Viešosios tinkamos išlaidos</w:t>
            </w:r>
          </w:p>
        </w:tc>
        <w:tc>
          <w:tcPr>
            <w:tcW w:w="1275" w:type="dxa"/>
            <w:tcBorders>
              <w:top w:val="nil"/>
              <w:left w:val="nil"/>
              <w:bottom w:val="single" w:sz="4" w:space="0" w:color="auto"/>
              <w:right w:val="single" w:sz="4" w:space="0" w:color="auto"/>
            </w:tcBorders>
            <w:shd w:val="clear" w:color="auto" w:fill="auto"/>
            <w:vAlign w:val="center"/>
            <w:hideMark/>
          </w:tcPr>
          <w:p w:rsidR="0002588A" w:rsidRPr="004E77F7" w:rsidRDefault="00171F56" w:rsidP="00372448">
            <w:pPr>
              <w:spacing w:after="0" w:line="240" w:lineRule="auto"/>
              <w:jc w:val="right"/>
              <w:rPr>
                <w:rFonts w:ascii="Times New Roman" w:eastAsia="Times New Roman" w:hAnsi="Times New Roman"/>
                <w:sz w:val="18"/>
                <w:szCs w:val="18"/>
                <w:lang w:eastAsia="lt-LT"/>
              </w:rPr>
            </w:pPr>
            <w:r w:rsidRPr="004E77F7">
              <w:rPr>
                <w:rFonts w:ascii="Times New Roman" w:eastAsia="Times New Roman" w:hAnsi="Times New Roman"/>
                <w:sz w:val="18"/>
                <w:szCs w:val="18"/>
                <w:lang w:eastAsia="lt-LT"/>
              </w:rPr>
              <w:t>357.640.145</w:t>
            </w:r>
          </w:p>
        </w:tc>
        <w:tc>
          <w:tcPr>
            <w:tcW w:w="1276" w:type="dxa"/>
            <w:tcBorders>
              <w:top w:val="nil"/>
              <w:left w:val="nil"/>
              <w:bottom w:val="single" w:sz="4" w:space="0" w:color="auto"/>
              <w:right w:val="single" w:sz="4" w:space="0" w:color="auto"/>
            </w:tcBorders>
            <w:shd w:val="clear" w:color="auto" w:fill="auto"/>
            <w:vAlign w:val="center"/>
            <w:hideMark/>
          </w:tcPr>
          <w:p w:rsidR="0002588A" w:rsidRPr="004E77F7" w:rsidRDefault="00171F56" w:rsidP="00171F56">
            <w:pPr>
              <w:spacing w:after="0" w:line="240" w:lineRule="auto"/>
              <w:jc w:val="right"/>
              <w:rPr>
                <w:rFonts w:ascii="Times New Roman" w:eastAsia="Times New Roman" w:hAnsi="Times New Roman"/>
                <w:sz w:val="18"/>
                <w:szCs w:val="18"/>
                <w:lang w:eastAsia="lt-LT"/>
              </w:rPr>
            </w:pPr>
            <w:r w:rsidRPr="004E77F7">
              <w:rPr>
                <w:rFonts w:ascii="Times New Roman" w:eastAsia="Times New Roman" w:hAnsi="Times New Roman"/>
                <w:sz w:val="18"/>
                <w:szCs w:val="18"/>
                <w:lang w:eastAsia="lt-LT"/>
              </w:rPr>
              <w:t>63</w:t>
            </w:r>
            <w:r w:rsidR="0002588A" w:rsidRPr="004E77F7">
              <w:rPr>
                <w:rFonts w:ascii="Times New Roman" w:eastAsia="Times New Roman" w:hAnsi="Times New Roman"/>
                <w:sz w:val="18"/>
                <w:szCs w:val="18"/>
                <w:lang w:eastAsia="lt-LT"/>
              </w:rPr>
              <w:t>.</w:t>
            </w:r>
            <w:r w:rsidRPr="004E77F7">
              <w:rPr>
                <w:rFonts w:ascii="Times New Roman" w:eastAsia="Times New Roman" w:hAnsi="Times New Roman"/>
                <w:sz w:val="18"/>
                <w:szCs w:val="18"/>
                <w:lang w:eastAsia="lt-LT"/>
              </w:rPr>
              <w:t>112</w:t>
            </w:r>
            <w:r w:rsidR="0002588A" w:rsidRPr="004E77F7">
              <w:rPr>
                <w:rFonts w:ascii="Times New Roman" w:eastAsia="Times New Roman" w:hAnsi="Times New Roman"/>
                <w:sz w:val="18"/>
                <w:szCs w:val="18"/>
                <w:lang w:eastAsia="lt-LT"/>
              </w:rPr>
              <w:t>.</w:t>
            </w:r>
            <w:r w:rsidRPr="004E77F7">
              <w:rPr>
                <w:rFonts w:ascii="Times New Roman" w:eastAsia="Times New Roman" w:hAnsi="Times New Roman"/>
                <w:sz w:val="18"/>
                <w:szCs w:val="18"/>
                <w:lang w:eastAsia="lt-LT"/>
              </w:rPr>
              <w:t>967</w:t>
            </w:r>
          </w:p>
        </w:tc>
        <w:tc>
          <w:tcPr>
            <w:tcW w:w="1134" w:type="dxa"/>
            <w:tcBorders>
              <w:top w:val="single" w:sz="4" w:space="0" w:color="auto"/>
              <w:left w:val="nil"/>
              <w:bottom w:val="single" w:sz="4" w:space="0" w:color="auto"/>
              <w:right w:val="single" w:sz="4" w:space="0" w:color="auto"/>
            </w:tcBorders>
            <w:vAlign w:val="center"/>
          </w:tcPr>
          <w:p w:rsidR="0002588A" w:rsidRPr="004E77F7" w:rsidRDefault="00171F56" w:rsidP="00372448">
            <w:pPr>
              <w:spacing w:after="0" w:line="240" w:lineRule="auto"/>
              <w:jc w:val="right"/>
              <w:rPr>
                <w:rFonts w:ascii="Times New Roman" w:hAnsi="Times New Roman"/>
                <w:sz w:val="18"/>
                <w:szCs w:val="18"/>
              </w:rPr>
            </w:pPr>
            <w:r w:rsidRPr="004E77F7">
              <w:rPr>
                <w:rFonts w:ascii="Times New Roman" w:hAnsi="Times New Roman"/>
                <w:sz w:val="18"/>
                <w:szCs w:val="18"/>
              </w:rPr>
              <w:t>63.112.967</w:t>
            </w:r>
          </w:p>
        </w:tc>
        <w:tc>
          <w:tcPr>
            <w:tcW w:w="1134" w:type="dxa"/>
            <w:tcBorders>
              <w:top w:val="single" w:sz="4" w:space="0" w:color="auto"/>
              <w:left w:val="single" w:sz="4" w:space="0" w:color="auto"/>
              <w:bottom w:val="single" w:sz="4" w:space="0" w:color="auto"/>
              <w:right w:val="single" w:sz="4" w:space="0" w:color="auto"/>
            </w:tcBorders>
            <w:vAlign w:val="center"/>
          </w:tcPr>
          <w:p w:rsidR="0002588A" w:rsidRPr="004E77F7" w:rsidRDefault="0002588A" w:rsidP="00372448">
            <w:pPr>
              <w:spacing w:after="0" w:line="240" w:lineRule="auto"/>
              <w:jc w:val="right"/>
              <w:rPr>
                <w:rFonts w:ascii="Times New Roman" w:hAnsi="Times New Roman"/>
                <w:sz w:val="18"/>
                <w:szCs w:val="18"/>
              </w:rPr>
            </w:pPr>
            <w:r w:rsidRPr="004E77F7">
              <w:rPr>
                <w:rFonts w:ascii="Times New Roman" w:hAnsi="Times New Roman"/>
                <w:sz w:val="18"/>
                <w:szCs w:val="18"/>
              </w:rPr>
              <w:t>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02588A" w:rsidRPr="004E77F7" w:rsidRDefault="00171F56" w:rsidP="00372448">
            <w:pPr>
              <w:spacing w:after="0" w:line="240" w:lineRule="auto"/>
              <w:jc w:val="right"/>
              <w:rPr>
                <w:rFonts w:ascii="Times New Roman" w:eastAsia="Times New Roman" w:hAnsi="Times New Roman"/>
                <w:color w:val="000000"/>
                <w:sz w:val="18"/>
                <w:szCs w:val="18"/>
                <w:lang w:eastAsia="lt-LT"/>
              </w:rPr>
            </w:pPr>
            <w:r w:rsidRPr="004E77F7">
              <w:rPr>
                <w:rFonts w:ascii="Times New Roman" w:eastAsia="Times New Roman" w:hAnsi="Times New Roman"/>
                <w:color w:val="000000"/>
                <w:sz w:val="18"/>
                <w:szCs w:val="18"/>
                <w:lang w:eastAsia="lt-LT"/>
              </w:rPr>
              <w:t>420.753.112</w:t>
            </w:r>
          </w:p>
        </w:tc>
        <w:tc>
          <w:tcPr>
            <w:tcW w:w="709" w:type="dxa"/>
            <w:tcBorders>
              <w:top w:val="nil"/>
              <w:left w:val="nil"/>
              <w:bottom w:val="single" w:sz="4" w:space="0" w:color="auto"/>
              <w:right w:val="single" w:sz="4" w:space="0" w:color="auto"/>
            </w:tcBorders>
            <w:shd w:val="clear" w:color="auto" w:fill="auto"/>
            <w:vAlign w:val="center"/>
            <w:hideMark/>
          </w:tcPr>
          <w:p w:rsidR="0002588A" w:rsidRPr="004E77F7" w:rsidRDefault="00C93D87" w:rsidP="00372448">
            <w:pPr>
              <w:spacing w:after="0" w:line="240" w:lineRule="auto"/>
              <w:jc w:val="right"/>
              <w:rPr>
                <w:rFonts w:ascii="Times New Roman" w:eastAsia="Times New Roman" w:hAnsi="Times New Roman"/>
                <w:color w:val="000000"/>
                <w:sz w:val="18"/>
                <w:szCs w:val="18"/>
                <w:lang w:eastAsia="lt-LT"/>
              </w:rPr>
            </w:pPr>
            <w:r w:rsidRPr="004E77F7">
              <w:rPr>
                <w:rFonts w:ascii="Times New Roman" w:eastAsia="Times New Roman" w:hAnsi="Times New Roman"/>
                <w:color w:val="000000"/>
                <w:sz w:val="18"/>
                <w:szCs w:val="18"/>
                <w:lang w:eastAsia="lt-LT"/>
              </w:rPr>
              <w:t>85,00</w:t>
            </w:r>
          </w:p>
        </w:tc>
        <w:tc>
          <w:tcPr>
            <w:tcW w:w="425" w:type="dxa"/>
            <w:tcBorders>
              <w:top w:val="nil"/>
              <w:left w:val="nil"/>
              <w:bottom w:val="single" w:sz="4" w:space="0" w:color="auto"/>
              <w:right w:val="single" w:sz="4" w:space="0" w:color="auto"/>
            </w:tcBorders>
            <w:shd w:val="clear" w:color="auto" w:fill="auto"/>
            <w:vAlign w:val="center"/>
            <w:hideMark/>
          </w:tcPr>
          <w:p w:rsidR="0002588A" w:rsidRPr="004E77F7" w:rsidRDefault="00A50C23" w:rsidP="00372448">
            <w:pPr>
              <w:spacing w:after="0" w:line="240" w:lineRule="auto"/>
              <w:jc w:val="right"/>
              <w:rPr>
                <w:rFonts w:ascii="Times New Roman" w:eastAsia="Times New Roman" w:hAnsi="Times New Roman"/>
                <w:color w:val="000000"/>
                <w:sz w:val="18"/>
                <w:szCs w:val="18"/>
                <w:lang w:eastAsia="lt-LT"/>
              </w:rPr>
            </w:pPr>
            <w:r w:rsidRPr="004E77F7">
              <w:rPr>
                <w:rFonts w:ascii="Times New Roman" w:eastAsia="Times New Roman" w:hAnsi="Times New Roman"/>
                <w:color w:val="000000"/>
                <w:sz w:val="18"/>
                <w:szCs w:val="18"/>
                <w:lang w:eastAsia="lt-LT"/>
              </w:rPr>
              <w:t>.</w:t>
            </w:r>
          </w:p>
        </w:tc>
        <w:tc>
          <w:tcPr>
            <w:tcW w:w="1417" w:type="dxa"/>
            <w:tcBorders>
              <w:top w:val="nil"/>
              <w:left w:val="nil"/>
              <w:bottom w:val="single" w:sz="4" w:space="0" w:color="auto"/>
              <w:right w:val="single" w:sz="4" w:space="0" w:color="auto"/>
            </w:tcBorders>
            <w:shd w:val="clear" w:color="auto" w:fill="auto"/>
            <w:vAlign w:val="center"/>
            <w:hideMark/>
          </w:tcPr>
          <w:p w:rsidR="0002588A" w:rsidRPr="004E77F7" w:rsidRDefault="00171F56" w:rsidP="00372448">
            <w:pPr>
              <w:spacing w:after="0" w:line="240" w:lineRule="auto"/>
              <w:jc w:val="right"/>
              <w:rPr>
                <w:rFonts w:ascii="Times New Roman" w:eastAsia="Times New Roman" w:hAnsi="Times New Roman"/>
                <w:color w:val="000000"/>
                <w:sz w:val="18"/>
                <w:szCs w:val="18"/>
                <w:lang w:eastAsia="lt-LT"/>
              </w:rPr>
            </w:pPr>
            <w:r w:rsidRPr="004E77F7">
              <w:rPr>
                <w:rFonts w:ascii="Times New Roman" w:eastAsia="Times New Roman" w:hAnsi="Times New Roman"/>
                <w:color w:val="000000"/>
                <w:sz w:val="18"/>
                <w:szCs w:val="18"/>
                <w:lang w:eastAsia="lt-LT"/>
              </w:rPr>
              <w:t>336.181.736</w:t>
            </w:r>
          </w:p>
        </w:tc>
        <w:tc>
          <w:tcPr>
            <w:tcW w:w="1276" w:type="dxa"/>
            <w:tcBorders>
              <w:top w:val="nil"/>
              <w:left w:val="nil"/>
              <w:bottom w:val="single" w:sz="4" w:space="0" w:color="auto"/>
              <w:right w:val="single" w:sz="4" w:space="0" w:color="auto"/>
            </w:tcBorders>
            <w:shd w:val="clear" w:color="auto" w:fill="auto"/>
            <w:vAlign w:val="center"/>
            <w:hideMark/>
          </w:tcPr>
          <w:p w:rsidR="0002588A" w:rsidRPr="004E77F7" w:rsidRDefault="00171F56" w:rsidP="00372448">
            <w:pPr>
              <w:spacing w:after="0" w:line="240" w:lineRule="auto"/>
              <w:jc w:val="right"/>
              <w:rPr>
                <w:rFonts w:ascii="Times New Roman" w:eastAsia="Times New Roman" w:hAnsi="Times New Roman"/>
                <w:color w:val="000000"/>
                <w:sz w:val="18"/>
                <w:szCs w:val="18"/>
                <w:lang w:eastAsia="lt-LT"/>
              </w:rPr>
            </w:pPr>
            <w:r w:rsidRPr="004E77F7">
              <w:rPr>
                <w:rFonts w:ascii="Times New Roman" w:eastAsia="Times New Roman" w:hAnsi="Times New Roman"/>
                <w:color w:val="000000"/>
                <w:sz w:val="18"/>
                <w:szCs w:val="18"/>
                <w:lang w:eastAsia="lt-LT"/>
              </w:rPr>
              <w:t>59.326.189</w:t>
            </w:r>
          </w:p>
        </w:tc>
        <w:tc>
          <w:tcPr>
            <w:tcW w:w="1134" w:type="dxa"/>
            <w:tcBorders>
              <w:top w:val="nil"/>
              <w:left w:val="nil"/>
              <w:bottom w:val="single" w:sz="4" w:space="0" w:color="auto"/>
              <w:right w:val="single" w:sz="4" w:space="0" w:color="auto"/>
            </w:tcBorders>
            <w:shd w:val="clear" w:color="auto" w:fill="auto"/>
            <w:vAlign w:val="center"/>
            <w:hideMark/>
          </w:tcPr>
          <w:p w:rsidR="0002588A" w:rsidRPr="004E77F7" w:rsidRDefault="00171F56" w:rsidP="00372448">
            <w:pPr>
              <w:spacing w:after="0" w:line="240" w:lineRule="auto"/>
              <w:jc w:val="right"/>
              <w:rPr>
                <w:rFonts w:ascii="Times New Roman" w:eastAsia="Times New Roman" w:hAnsi="Times New Roman"/>
                <w:color w:val="000000"/>
                <w:sz w:val="18"/>
                <w:szCs w:val="18"/>
                <w:lang w:eastAsia="lt-LT"/>
              </w:rPr>
            </w:pPr>
            <w:r w:rsidRPr="004E77F7">
              <w:rPr>
                <w:rFonts w:ascii="Times New Roman" w:eastAsia="Times New Roman" w:hAnsi="Times New Roman"/>
                <w:color w:val="000000"/>
                <w:sz w:val="18"/>
                <w:szCs w:val="18"/>
                <w:lang w:eastAsia="lt-LT"/>
              </w:rPr>
              <w:t>21.458.409</w:t>
            </w:r>
          </w:p>
        </w:tc>
        <w:tc>
          <w:tcPr>
            <w:tcW w:w="1134" w:type="dxa"/>
            <w:tcBorders>
              <w:top w:val="nil"/>
              <w:left w:val="nil"/>
              <w:bottom w:val="single" w:sz="4" w:space="0" w:color="auto"/>
              <w:right w:val="single" w:sz="4" w:space="0" w:color="auto"/>
            </w:tcBorders>
            <w:shd w:val="clear" w:color="auto" w:fill="auto"/>
            <w:vAlign w:val="center"/>
            <w:hideMark/>
          </w:tcPr>
          <w:p w:rsidR="0002588A" w:rsidRPr="004E77F7" w:rsidRDefault="00171F56" w:rsidP="00372448">
            <w:pPr>
              <w:spacing w:after="0" w:line="240" w:lineRule="auto"/>
              <w:jc w:val="right"/>
              <w:rPr>
                <w:rFonts w:ascii="Times New Roman" w:eastAsia="Times New Roman" w:hAnsi="Times New Roman"/>
                <w:color w:val="000000"/>
                <w:sz w:val="18"/>
                <w:szCs w:val="18"/>
                <w:lang w:eastAsia="lt-LT"/>
              </w:rPr>
            </w:pPr>
            <w:r w:rsidRPr="004E77F7">
              <w:rPr>
                <w:rFonts w:ascii="Times New Roman" w:eastAsia="Times New Roman" w:hAnsi="Times New Roman"/>
                <w:color w:val="000000"/>
                <w:sz w:val="18"/>
                <w:szCs w:val="18"/>
                <w:lang w:eastAsia="lt-LT"/>
              </w:rPr>
              <w:t>3.786.778</w:t>
            </w:r>
          </w:p>
        </w:tc>
        <w:tc>
          <w:tcPr>
            <w:tcW w:w="567" w:type="dxa"/>
            <w:tcBorders>
              <w:top w:val="nil"/>
              <w:left w:val="nil"/>
              <w:bottom w:val="single" w:sz="4" w:space="0" w:color="auto"/>
              <w:right w:val="single" w:sz="4" w:space="0" w:color="auto"/>
            </w:tcBorders>
            <w:shd w:val="clear" w:color="auto" w:fill="auto"/>
            <w:vAlign w:val="center"/>
            <w:hideMark/>
          </w:tcPr>
          <w:p w:rsidR="0002588A" w:rsidRPr="00DF1549" w:rsidRDefault="00372448" w:rsidP="00F6184C">
            <w:pPr>
              <w:spacing w:after="0" w:line="240" w:lineRule="auto"/>
              <w:jc w:val="right"/>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6,00</w:t>
            </w:r>
          </w:p>
        </w:tc>
      </w:tr>
      <w:tr w:rsidR="003425A4" w:rsidRPr="00DF1549" w:rsidTr="00650E41">
        <w:trPr>
          <w:trHeight w:val="510"/>
        </w:trPr>
        <w:tc>
          <w:tcPr>
            <w:tcW w:w="1418" w:type="dxa"/>
            <w:vMerge/>
            <w:tcBorders>
              <w:top w:val="nil"/>
              <w:left w:val="single" w:sz="4" w:space="0" w:color="auto"/>
              <w:bottom w:val="single" w:sz="4" w:space="0" w:color="000000"/>
              <w:right w:val="single" w:sz="4" w:space="0" w:color="auto"/>
            </w:tcBorders>
            <w:vAlign w:val="center"/>
            <w:hideMark/>
          </w:tcPr>
          <w:p w:rsidR="003425A4" w:rsidRPr="006F2E2E" w:rsidRDefault="003425A4" w:rsidP="00AA7F36">
            <w:pPr>
              <w:spacing w:after="0" w:line="240" w:lineRule="auto"/>
              <w:rPr>
                <w:rFonts w:ascii="Times New Roman" w:eastAsia="Times New Roman" w:hAnsi="Times New Roman"/>
                <w:i/>
                <w:iCs/>
                <w:color w:val="000000"/>
                <w:sz w:val="18"/>
                <w:szCs w:val="18"/>
                <w:lang w:eastAsia="lt-LT"/>
              </w:rPr>
            </w:pPr>
          </w:p>
        </w:tc>
        <w:tc>
          <w:tcPr>
            <w:tcW w:w="850" w:type="dxa"/>
            <w:tcBorders>
              <w:top w:val="nil"/>
              <w:left w:val="nil"/>
              <w:bottom w:val="single" w:sz="4" w:space="0" w:color="auto"/>
              <w:right w:val="single" w:sz="4" w:space="0" w:color="auto"/>
            </w:tcBorders>
            <w:shd w:val="clear" w:color="auto" w:fill="auto"/>
            <w:vAlign w:val="center"/>
            <w:hideMark/>
          </w:tcPr>
          <w:p w:rsidR="003425A4" w:rsidRPr="00DF1549" w:rsidRDefault="003425A4" w:rsidP="00F6184C">
            <w:pPr>
              <w:spacing w:after="0" w:line="240" w:lineRule="auto"/>
              <w:jc w:val="both"/>
              <w:rPr>
                <w:rFonts w:ascii="Times New Roman" w:eastAsia="Times New Roman" w:hAnsi="Times New Roman"/>
                <w:color w:val="000000"/>
                <w:sz w:val="18"/>
                <w:szCs w:val="18"/>
                <w:lang w:eastAsia="lt-LT"/>
              </w:rPr>
            </w:pPr>
            <w:r w:rsidRPr="00DF1549">
              <w:rPr>
                <w:rFonts w:ascii="Times New Roman" w:eastAsia="Times New Roman" w:hAnsi="Times New Roman"/>
                <w:color w:val="000000"/>
                <w:sz w:val="18"/>
                <w:szCs w:val="18"/>
                <w:lang w:eastAsia="lt-LT"/>
              </w:rPr>
              <w:t>ESF</w:t>
            </w:r>
          </w:p>
        </w:tc>
        <w:tc>
          <w:tcPr>
            <w:tcW w:w="993" w:type="dxa"/>
            <w:tcBorders>
              <w:top w:val="nil"/>
              <w:left w:val="nil"/>
              <w:bottom w:val="single" w:sz="4" w:space="0" w:color="auto"/>
              <w:right w:val="single" w:sz="4" w:space="0" w:color="auto"/>
            </w:tcBorders>
            <w:shd w:val="clear" w:color="auto" w:fill="auto"/>
            <w:vAlign w:val="center"/>
            <w:hideMark/>
          </w:tcPr>
          <w:p w:rsidR="003425A4" w:rsidRPr="006F2E2E" w:rsidRDefault="003425A4" w:rsidP="00F6184C">
            <w:pPr>
              <w:spacing w:after="0" w:line="240" w:lineRule="auto"/>
              <w:rPr>
                <w:rFonts w:ascii="Times New Roman" w:eastAsia="Times New Roman" w:hAnsi="Times New Roman"/>
                <w:sz w:val="18"/>
                <w:szCs w:val="18"/>
                <w:lang w:eastAsia="lt-LT"/>
              </w:rPr>
            </w:pPr>
            <w:r w:rsidRPr="006F2E2E">
              <w:rPr>
                <w:rFonts w:ascii="Times New Roman" w:eastAsia="Times New Roman" w:hAnsi="Times New Roman"/>
                <w:sz w:val="18"/>
                <w:szCs w:val="18"/>
                <w:lang w:eastAsia="lt-LT"/>
              </w:rPr>
              <w:t>Bendros tinkamos išlaidos</w:t>
            </w:r>
          </w:p>
        </w:tc>
        <w:tc>
          <w:tcPr>
            <w:tcW w:w="1275" w:type="dxa"/>
            <w:tcBorders>
              <w:top w:val="nil"/>
              <w:left w:val="nil"/>
              <w:bottom w:val="single" w:sz="4" w:space="0" w:color="auto"/>
              <w:right w:val="single" w:sz="4" w:space="0" w:color="auto"/>
            </w:tcBorders>
            <w:shd w:val="clear" w:color="000000" w:fill="FFFFFF"/>
            <w:vAlign w:val="center"/>
            <w:hideMark/>
          </w:tcPr>
          <w:p w:rsidR="003425A4" w:rsidRPr="004E77F7" w:rsidRDefault="003425A4" w:rsidP="00F832CB">
            <w:pPr>
              <w:shd w:val="clear" w:color="auto" w:fill="FFFFFF"/>
              <w:spacing w:after="0" w:line="240" w:lineRule="auto"/>
              <w:jc w:val="right"/>
              <w:rPr>
                <w:rFonts w:ascii="Times New Roman" w:eastAsia="Times New Roman" w:hAnsi="Times New Roman"/>
                <w:strike/>
                <w:sz w:val="18"/>
                <w:szCs w:val="18"/>
                <w:lang w:eastAsia="lt-LT"/>
              </w:rPr>
            </w:pPr>
            <w:r w:rsidRPr="004E77F7">
              <w:rPr>
                <w:rFonts w:ascii="Times New Roman" w:eastAsia="Times New Roman" w:hAnsi="Times New Roman"/>
                <w:sz w:val="18"/>
                <w:szCs w:val="18"/>
                <w:lang w:eastAsia="lt-LT"/>
              </w:rPr>
              <w:t>24</w:t>
            </w:r>
            <w:r w:rsidR="00F832CB" w:rsidRPr="004E77F7">
              <w:rPr>
                <w:rFonts w:ascii="Times New Roman" w:eastAsia="Times New Roman" w:hAnsi="Times New Roman"/>
                <w:sz w:val="18"/>
                <w:szCs w:val="18"/>
                <w:lang w:eastAsia="lt-LT"/>
              </w:rPr>
              <w:t>1</w:t>
            </w:r>
            <w:r w:rsidRPr="004E77F7">
              <w:rPr>
                <w:rFonts w:ascii="Times New Roman" w:eastAsia="Times New Roman" w:hAnsi="Times New Roman"/>
                <w:sz w:val="18"/>
                <w:szCs w:val="18"/>
                <w:lang w:eastAsia="lt-LT"/>
              </w:rPr>
              <w:t>.</w:t>
            </w:r>
            <w:r w:rsidR="00171F56" w:rsidRPr="004E77F7">
              <w:rPr>
                <w:rFonts w:ascii="Times New Roman" w:eastAsia="Times New Roman" w:hAnsi="Times New Roman"/>
                <w:sz w:val="18"/>
                <w:szCs w:val="18"/>
                <w:lang w:eastAsia="lt-LT"/>
              </w:rPr>
              <w:t>054.386</w:t>
            </w:r>
          </w:p>
        </w:tc>
        <w:tc>
          <w:tcPr>
            <w:tcW w:w="1276" w:type="dxa"/>
            <w:tcBorders>
              <w:top w:val="nil"/>
              <w:left w:val="nil"/>
              <w:bottom w:val="single" w:sz="4" w:space="0" w:color="auto"/>
              <w:right w:val="single" w:sz="4" w:space="0" w:color="auto"/>
            </w:tcBorders>
            <w:shd w:val="clear" w:color="auto" w:fill="auto"/>
            <w:vAlign w:val="center"/>
            <w:hideMark/>
          </w:tcPr>
          <w:p w:rsidR="003425A4" w:rsidRPr="004E77F7" w:rsidRDefault="001845B0" w:rsidP="00F832CB">
            <w:pPr>
              <w:shd w:val="clear" w:color="auto" w:fill="FFFFFF"/>
              <w:spacing w:after="0" w:line="240" w:lineRule="auto"/>
              <w:jc w:val="right"/>
              <w:rPr>
                <w:rFonts w:ascii="Times New Roman" w:eastAsia="Times New Roman" w:hAnsi="Times New Roman"/>
                <w:strike/>
                <w:sz w:val="18"/>
                <w:szCs w:val="18"/>
                <w:lang w:eastAsia="lt-LT"/>
              </w:rPr>
            </w:pPr>
            <w:r w:rsidRPr="004E77F7">
              <w:rPr>
                <w:rFonts w:ascii="Times New Roman" w:eastAsia="Times New Roman" w:hAnsi="Times New Roman"/>
                <w:sz w:val="18"/>
                <w:szCs w:val="18"/>
                <w:lang w:eastAsia="lt-LT"/>
              </w:rPr>
              <w:t>42.539.010</w:t>
            </w:r>
          </w:p>
        </w:tc>
        <w:tc>
          <w:tcPr>
            <w:tcW w:w="1134" w:type="dxa"/>
            <w:tcBorders>
              <w:top w:val="single" w:sz="4" w:space="0" w:color="auto"/>
              <w:left w:val="nil"/>
              <w:bottom w:val="single" w:sz="4" w:space="0" w:color="auto"/>
              <w:right w:val="single" w:sz="4" w:space="0" w:color="auto"/>
            </w:tcBorders>
            <w:vAlign w:val="center"/>
          </w:tcPr>
          <w:p w:rsidR="003425A4" w:rsidRPr="004E77F7" w:rsidRDefault="001845B0" w:rsidP="00F832CB">
            <w:pPr>
              <w:shd w:val="clear" w:color="auto" w:fill="FFFFFF"/>
              <w:spacing w:after="0" w:line="240" w:lineRule="auto"/>
              <w:jc w:val="right"/>
              <w:rPr>
                <w:rFonts w:ascii="Times New Roman" w:eastAsia="Times New Roman" w:hAnsi="Times New Roman"/>
                <w:strike/>
                <w:sz w:val="18"/>
                <w:szCs w:val="18"/>
              </w:rPr>
            </w:pPr>
            <w:r w:rsidRPr="004E77F7">
              <w:rPr>
                <w:rFonts w:ascii="Times New Roman" w:eastAsia="Times New Roman" w:hAnsi="Times New Roman"/>
                <w:sz w:val="18"/>
                <w:szCs w:val="18"/>
              </w:rPr>
              <w:t>38.671.975</w:t>
            </w:r>
          </w:p>
        </w:tc>
        <w:tc>
          <w:tcPr>
            <w:tcW w:w="1134" w:type="dxa"/>
            <w:tcBorders>
              <w:top w:val="single" w:sz="4" w:space="0" w:color="auto"/>
              <w:left w:val="single" w:sz="4" w:space="0" w:color="auto"/>
              <w:bottom w:val="single" w:sz="4" w:space="0" w:color="auto"/>
              <w:right w:val="single" w:sz="4" w:space="0" w:color="auto"/>
            </w:tcBorders>
            <w:vAlign w:val="center"/>
          </w:tcPr>
          <w:p w:rsidR="003425A4" w:rsidRPr="004E77F7" w:rsidRDefault="003425A4" w:rsidP="00D55808">
            <w:pPr>
              <w:shd w:val="clear" w:color="auto" w:fill="FFFFFF"/>
              <w:spacing w:after="0" w:line="240" w:lineRule="auto"/>
              <w:jc w:val="right"/>
              <w:rPr>
                <w:rFonts w:ascii="Times New Roman" w:eastAsia="Times New Roman" w:hAnsi="Times New Roman"/>
                <w:strike/>
                <w:sz w:val="18"/>
                <w:szCs w:val="18"/>
              </w:rPr>
            </w:pPr>
            <w:r w:rsidRPr="004E77F7">
              <w:rPr>
                <w:rFonts w:ascii="Times New Roman" w:eastAsia="Times New Roman" w:hAnsi="Times New Roman"/>
                <w:sz w:val="18"/>
                <w:szCs w:val="18"/>
              </w:rPr>
              <w:t>3.867.035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3425A4" w:rsidRPr="004E77F7" w:rsidRDefault="001845B0" w:rsidP="00F832CB">
            <w:pPr>
              <w:shd w:val="clear" w:color="auto" w:fill="FFFFFF"/>
              <w:spacing w:after="0" w:line="240" w:lineRule="auto"/>
              <w:jc w:val="right"/>
              <w:rPr>
                <w:rFonts w:ascii="Times New Roman" w:eastAsia="Times New Roman" w:hAnsi="Times New Roman"/>
                <w:strike/>
                <w:color w:val="000000"/>
                <w:sz w:val="18"/>
                <w:szCs w:val="18"/>
                <w:lang w:eastAsia="lt-LT"/>
              </w:rPr>
            </w:pPr>
            <w:r w:rsidRPr="004E77F7">
              <w:rPr>
                <w:rFonts w:ascii="Times New Roman" w:eastAsia="Times New Roman" w:hAnsi="Times New Roman"/>
                <w:color w:val="000000"/>
                <w:sz w:val="18"/>
                <w:szCs w:val="18"/>
                <w:lang w:eastAsia="lt-LT"/>
              </w:rPr>
              <w:t>283.593.396</w:t>
            </w:r>
          </w:p>
        </w:tc>
        <w:tc>
          <w:tcPr>
            <w:tcW w:w="709" w:type="dxa"/>
            <w:tcBorders>
              <w:top w:val="nil"/>
              <w:left w:val="nil"/>
              <w:bottom w:val="single" w:sz="4" w:space="0" w:color="auto"/>
              <w:right w:val="single" w:sz="4" w:space="0" w:color="auto"/>
            </w:tcBorders>
            <w:shd w:val="clear" w:color="auto" w:fill="auto"/>
            <w:vAlign w:val="center"/>
            <w:hideMark/>
          </w:tcPr>
          <w:p w:rsidR="003425A4" w:rsidRPr="004E77F7" w:rsidRDefault="003425A4" w:rsidP="00372448">
            <w:pPr>
              <w:spacing w:after="0" w:line="240" w:lineRule="auto"/>
              <w:jc w:val="right"/>
              <w:rPr>
                <w:rFonts w:ascii="Times New Roman" w:eastAsia="Times New Roman" w:hAnsi="Times New Roman"/>
                <w:color w:val="000000"/>
                <w:sz w:val="18"/>
                <w:szCs w:val="18"/>
                <w:lang w:eastAsia="lt-LT"/>
              </w:rPr>
            </w:pPr>
            <w:r w:rsidRPr="004E77F7">
              <w:rPr>
                <w:rFonts w:ascii="Times New Roman" w:eastAsia="Times New Roman" w:hAnsi="Times New Roman"/>
                <w:color w:val="000000"/>
                <w:sz w:val="18"/>
                <w:szCs w:val="18"/>
                <w:lang w:eastAsia="lt-LT"/>
              </w:rPr>
              <w:t>85,00</w:t>
            </w:r>
          </w:p>
        </w:tc>
        <w:tc>
          <w:tcPr>
            <w:tcW w:w="425" w:type="dxa"/>
            <w:tcBorders>
              <w:top w:val="nil"/>
              <w:left w:val="nil"/>
              <w:bottom w:val="single" w:sz="4" w:space="0" w:color="auto"/>
              <w:right w:val="single" w:sz="4" w:space="0" w:color="auto"/>
            </w:tcBorders>
            <w:shd w:val="clear" w:color="auto" w:fill="auto"/>
            <w:vAlign w:val="center"/>
            <w:hideMark/>
          </w:tcPr>
          <w:p w:rsidR="003425A4" w:rsidRPr="004E77F7" w:rsidRDefault="00A50C23" w:rsidP="00372448">
            <w:pPr>
              <w:spacing w:after="0" w:line="240" w:lineRule="auto"/>
              <w:jc w:val="right"/>
              <w:rPr>
                <w:rFonts w:ascii="Times New Roman" w:eastAsia="Times New Roman" w:hAnsi="Times New Roman"/>
                <w:color w:val="000000"/>
                <w:sz w:val="18"/>
                <w:szCs w:val="18"/>
                <w:lang w:eastAsia="lt-LT"/>
              </w:rPr>
            </w:pPr>
            <w:r w:rsidRPr="004E77F7">
              <w:rPr>
                <w:rFonts w:ascii="Times New Roman" w:eastAsia="Times New Roman" w:hAnsi="Times New Roman"/>
                <w:color w:val="000000"/>
                <w:sz w:val="18"/>
                <w:szCs w:val="18"/>
                <w:lang w:eastAsia="lt-LT"/>
              </w:rPr>
              <w:t>.</w:t>
            </w:r>
          </w:p>
        </w:tc>
        <w:tc>
          <w:tcPr>
            <w:tcW w:w="1417" w:type="dxa"/>
            <w:tcBorders>
              <w:top w:val="nil"/>
              <w:left w:val="nil"/>
              <w:bottom w:val="single" w:sz="4" w:space="0" w:color="auto"/>
              <w:right w:val="single" w:sz="4" w:space="0" w:color="auto"/>
            </w:tcBorders>
            <w:shd w:val="clear" w:color="auto" w:fill="auto"/>
            <w:vAlign w:val="center"/>
            <w:hideMark/>
          </w:tcPr>
          <w:p w:rsidR="003425A4" w:rsidRPr="004E77F7" w:rsidRDefault="003E071A" w:rsidP="00F832CB">
            <w:pPr>
              <w:shd w:val="clear" w:color="auto" w:fill="FFFFFF"/>
              <w:spacing w:after="0" w:line="240" w:lineRule="auto"/>
              <w:jc w:val="right"/>
              <w:rPr>
                <w:rFonts w:ascii="Times New Roman" w:eastAsia="Times New Roman" w:hAnsi="Times New Roman"/>
                <w:strike/>
                <w:sz w:val="18"/>
                <w:szCs w:val="18"/>
              </w:rPr>
            </w:pPr>
            <w:r w:rsidRPr="004E77F7">
              <w:rPr>
                <w:rFonts w:ascii="Times New Roman" w:eastAsia="Times New Roman" w:hAnsi="Times New Roman"/>
                <w:color w:val="000000"/>
                <w:sz w:val="18"/>
                <w:szCs w:val="18"/>
                <w:lang w:eastAsia="lt-LT"/>
              </w:rPr>
              <w:t>226.273.274</w:t>
            </w:r>
          </w:p>
        </w:tc>
        <w:tc>
          <w:tcPr>
            <w:tcW w:w="1276" w:type="dxa"/>
            <w:tcBorders>
              <w:top w:val="nil"/>
              <w:left w:val="nil"/>
              <w:bottom w:val="single" w:sz="4" w:space="0" w:color="auto"/>
              <w:right w:val="single" w:sz="4" w:space="0" w:color="auto"/>
            </w:tcBorders>
            <w:shd w:val="clear" w:color="auto" w:fill="auto"/>
            <w:vAlign w:val="center"/>
            <w:hideMark/>
          </w:tcPr>
          <w:p w:rsidR="003425A4" w:rsidRPr="004E77F7" w:rsidRDefault="003E071A" w:rsidP="00F832CB">
            <w:pPr>
              <w:shd w:val="clear" w:color="auto" w:fill="FFFFFF"/>
              <w:spacing w:after="0" w:line="240" w:lineRule="auto"/>
              <w:jc w:val="right"/>
              <w:rPr>
                <w:rFonts w:ascii="Times New Roman" w:eastAsia="Times New Roman" w:hAnsi="Times New Roman"/>
                <w:strike/>
                <w:color w:val="000000"/>
                <w:sz w:val="18"/>
                <w:szCs w:val="18"/>
                <w:lang w:eastAsia="lt-LT"/>
              </w:rPr>
            </w:pPr>
            <w:r w:rsidRPr="004E77F7">
              <w:rPr>
                <w:rFonts w:ascii="Times New Roman" w:eastAsia="Times New Roman" w:hAnsi="Times New Roman"/>
                <w:color w:val="000000"/>
                <w:sz w:val="18"/>
                <w:szCs w:val="18"/>
                <w:lang w:eastAsia="lt-LT"/>
              </w:rPr>
              <w:t>39.930.578</w:t>
            </w:r>
          </w:p>
        </w:tc>
        <w:tc>
          <w:tcPr>
            <w:tcW w:w="1134" w:type="dxa"/>
            <w:tcBorders>
              <w:top w:val="nil"/>
              <w:left w:val="nil"/>
              <w:bottom w:val="single" w:sz="4" w:space="0" w:color="auto"/>
              <w:right w:val="single" w:sz="4" w:space="0" w:color="auto"/>
            </w:tcBorders>
            <w:shd w:val="clear" w:color="auto" w:fill="auto"/>
            <w:vAlign w:val="center"/>
            <w:hideMark/>
          </w:tcPr>
          <w:p w:rsidR="003425A4" w:rsidRPr="004E77F7" w:rsidRDefault="003E071A" w:rsidP="00874067">
            <w:pPr>
              <w:shd w:val="clear" w:color="auto" w:fill="FFFFFF"/>
              <w:spacing w:after="0" w:line="240" w:lineRule="auto"/>
              <w:jc w:val="right"/>
              <w:rPr>
                <w:rFonts w:ascii="Times New Roman" w:eastAsia="Times New Roman" w:hAnsi="Times New Roman"/>
                <w:strike/>
                <w:color w:val="000000"/>
                <w:sz w:val="18"/>
                <w:szCs w:val="18"/>
                <w:lang w:eastAsia="lt-LT"/>
              </w:rPr>
            </w:pPr>
            <w:r w:rsidRPr="004E77F7">
              <w:rPr>
                <w:rFonts w:ascii="Times New Roman" w:eastAsia="Times New Roman" w:hAnsi="Times New Roman"/>
                <w:color w:val="000000"/>
                <w:sz w:val="18"/>
                <w:szCs w:val="18"/>
                <w:lang w:eastAsia="lt-LT"/>
              </w:rPr>
              <w:t>14.781.112</w:t>
            </w:r>
          </w:p>
        </w:tc>
        <w:tc>
          <w:tcPr>
            <w:tcW w:w="1134" w:type="dxa"/>
            <w:tcBorders>
              <w:top w:val="nil"/>
              <w:left w:val="nil"/>
              <w:bottom w:val="single" w:sz="4" w:space="0" w:color="auto"/>
              <w:right w:val="single" w:sz="4" w:space="0" w:color="auto"/>
            </w:tcBorders>
            <w:shd w:val="clear" w:color="auto" w:fill="auto"/>
            <w:vAlign w:val="center"/>
            <w:hideMark/>
          </w:tcPr>
          <w:p w:rsidR="003425A4" w:rsidRPr="004E77F7" w:rsidRDefault="003E071A" w:rsidP="00874067">
            <w:pPr>
              <w:shd w:val="clear" w:color="auto" w:fill="FFFFFF"/>
              <w:spacing w:after="0" w:line="240" w:lineRule="auto"/>
              <w:jc w:val="right"/>
              <w:rPr>
                <w:rFonts w:ascii="Times New Roman" w:eastAsia="Times New Roman" w:hAnsi="Times New Roman"/>
                <w:strike/>
                <w:color w:val="000000"/>
                <w:sz w:val="18"/>
                <w:szCs w:val="18"/>
                <w:lang w:eastAsia="lt-LT"/>
              </w:rPr>
            </w:pPr>
            <w:r w:rsidRPr="004E77F7">
              <w:rPr>
                <w:rFonts w:ascii="Times New Roman" w:eastAsia="Times New Roman" w:hAnsi="Times New Roman"/>
                <w:color w:val="000000"/>
                <w:sz w:val="18"/>
                <w:szCs w:val="18"/>
                <w:lang w:eastAsia="lt-LT"/>
              </w:rPr>
              <w:t>2.608.432</w:t>
            </w:r>
          </w:p>
        </w:tc>
        <w:tc>
          <w:tcPr>
            <w:tcW w:w="567" w:type="dxa"/>
            <w:tcBorders>
              <w:top w:val="nil"/>
              <w:left w:val="nil"/>
              <w:bottom w:val="single" w:sz="4" w:space="0" w:color="auto"/>
              <w:right w:val="single" w:sz="4" w:space="0" w:color="auto"/>
            </w:tcBorders>
            <w:shd w:val="clear" w:color="auto" w:fill="auto"/>
            <w:vAlign w:val="center"/>
            <w:hideMark/>
          </w:tcPr>
          <w:p w:rsidR="003425A4" w:rsidRPr="00DF1549" w:rsidRDefault="003425A4" w:rsidP="00F6184C">
            <w:pPr>
              <w:spacing w:after="0" w:line="240" w:lineRule="auto"/>
              <w:jc w:val="right"/>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6,14</w:t>
            </w:r>
          </w:p>
        </w:tc>
      </w:tr>
      <w:tr w:rsidR="00372448" w:rsidRPr="00DF1549" w:rsidTr="00650E41">
        <w:trPr>
          <w:trHeight w:val="510"/>
        </w:trPr>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02588A" w:rsidRPr="006F2E2E" w:rsidRDefault="0002588A" w:rsidP="00AA7F36">
            <w:pPr>
              <w:widowControl w:val="0"/>
              <w:tabs>
                <w:tab w:val="left" w:pos="622"/>
              </w:tabs>
              <w:spacing w:after="0" w:line="240" w:lineRule="auto"/>
              <w:rPr>
                <w:rFonts w:ascii="Times New Roman" w:eastAsia="AngsanaUPC" w:hAnsi="Times New Roman"/>
                <w:bCs/>
                <w:sz w:val="18"/>
                <w:szCs w:val="18"/>
                <w:lang w:eastAsia="lt-LT"/>
              </w:rPr>
            </w:pPr>
            <w:r w:rsidRPr="006F2E2E">
              <w:rPr>
                <w:rFonts w:ascii="Times New Roman" w:eastAsia="AngsanaUPC" w:hAnsi="Times New Roman"/>
                <w:bCs/>
                <w:sz w:val="18"/>
                <w:szCs w:val="18"/>
                <w:lang w:eastAsia="lt-LT"/>
              </w:rPr>
              <w:t>9. Visuomenės švietimas ir žmogiškųjų išteklių potencialo didinimas</w:t>
            </w:r>
          </w:p>
        </w:tc>
        <w:tc>
          <w:tcPr>
            <w:tcW w:w="850" w:type="dxa"/>
            <w:tcBorders>
              <w:top w:val="nil"/>
              <w:left w:val="nil"/>
              <w:bottom w:val="single" w:sz="4" w:space="0" w:color="auto"/>
              <w:right w:val="single" w:sz="4" w:space="0" w:color="auto"/>
            </w:tcBorders>
            <w:shd w:val="clear" w:color="auto" w:fill="auto"/>
            <w:vAlign w:val="center"/>
            <w:hideMark/>
          </w:tcPr>
          <w:p w:rsidR="0002588A" w:rsidRPr="00DF1549" w:rsidRDefault="0002588A" w:rsidP="00F6184C">
            <w:pPr>
              <w:spacing w:after="0" w:line="240" w:lineRule="auto"/>
              <w:jc w:val="both"/>
              <w:rPr>
                <w:rFonts w:ascii="Times New Roman" w:eastAsia="Times New Roman" w:hAnsi="Times New Roman"/>
                <w:color w:val="000000"/>
                <w:sz w:val="18"/>
                <w:szCs w:val="18"/>
                <w:lang w:eastAsia="lt-LT"/>
              </w:rPr>
            </w:pPr>
            <w:r w:rsidRPr="00DF1549">
              <w:rPr>
                <w:rFonts w:ascii="Times New Roman" w:eastAsia="Times New Roman" w:hAnsi="Times New Roman"/>
                <w:color w:val="000000"/>
                <w:sz w:val="18"/>
                <w:szCs w:val="18"/>
                <w:lang w:eastAsia="lt-LT"/>
              </w:rPr>
              <w:t>ERPF</w:t>
            </w:r>
          </w:p>
        </w:tc>
        <w:tc>
          <w:tcPr>
            <w:tcW w:w="993" w:type="dxa"/>
            <w:tcBorders>
              <w:top w:val="nil"/>
              <w:left w:val="nil"/>
              <w:bottom w:val="single" w:sz="4" w:space="0" w:color="auto"/>
              <w:right w:val="single" w:sz="4" w:space="0" w:color="auto"/>
            </w:tcBorders>
            <w:shd w:val="clear" w:color="auto" w:fill="auto"/>
            <w:vAlign w:val="center"/>
            <w:hideMark/>
          </w:tcPr>
          <w:p w:rsidR="0002588A" w:rsidRPr="006F2E2E" w:rsidRDefault="0002588A" w:rsidP="00F6184C">
            <w:pPr>
              <w:spacing w:after="0" w:line="240" w:lineRule="auto"/>
              <w:rPr>
                <w:rFonts w:ascii="Times New Roman" w:eastAsia="Times New Roman" w:hAnsi="Times New Roman"/>
                <w:sz w:val="18"/>
                <w:szCs w:val="18"/>
                <w:lang w:eastAsia="lt-LT"/>
              </w:rPr>
            </w:pPr>
            <w:r w:rsidRPr="006F2E2E">
              <w:rPr>
                <w:rFonts w:ascii="Times New Roman" w:eastAsia="Times New Roman" w:hAnsi="Times New Roman"/>
                <w:sz w:val="18"/>
                <w:szCs w:val="18"/>
                <w:lang w:eastAsia="lt-LT"/>
              </w:rPr>
              <w:t>Bendros tinkamos išlaidos</w:t>
            </w:r>
          </w:p>
        </w:tc>
        <w:tc>
          <w:tcPr>
            <w:tcW w:w="1275" w:type="dxa"/>
            <w:tcBorders>
              <w:top w:val="nil"/>
              <w:left w:val="nil"/>
              <w:bottom w:val="single" w:sz="4" w:space="0" w:color="auto"/>
              <w:right w:val="single" w:sz="4" w:space="0" w:color="auto"/>
            </w:tcBorders>
            <w:shd w:val="clear" w:color="auto" w:fill="auto"/>
            <w:vAlign w:val="center"/>
            <w:hideMark/>
          </w:tcPr>
          <w:p w:rsidR="0002588A" w:rsidRPr="004E77F7" w:rsidRDefault="0002588A" w:rsidP="00372448">
            <w:pPr>
              <w:spacing w:after="0" w:line="240" w:lineRule="auto"/>
              <w:jc w:val="right"/>
              <w:rPr>
                <w:rFonts w:ascii="Times New Roman" w:eastAsia="Times New Roman" w:hAnsi="Times New Roman"/>
                <w:sz w:val="18"/>
                <w:szCs w:val="18"/>
                <w:lang w:eastAsia="lt-LT"/>
              </w:rPr>
            </w:pPr>
            <w:r w:rsidRPr="004E77F7">
              <w:rPr>
                <w:rFonts w:ascii="Times New Roman" w:eastAsia="Times New Roman" w:hAnsi="Times New Roman"/>
                <w:sz w:val="18"/>
                <w:szCs w:val="18"/>
                <w:lang w:eastAsia="lt-LT"/>
              </w:rPr>
              <w:t>208.548.495</w:t>
            </w:r>
          </w:p>
        </w:tc>
        <w:tc>
          <w:tcPr>
            <w:tcW w:w="1276" w:type="dxa"/>
            <w:tcBorders>
              <w:top w:val="nil"/>
              <w:left w:val="nil"/>
              <w:bottom w:val="single" w:sz="4" w:space="0" w:color="auto"/>
              <w:right w:val="single" w:sz="4" w:space="0" w:color="auto"/>
            </w:tcBorders>
            <w:shd w:val="clear" w:color="auto" w:fill="auto"/>
            <w:vAlign w:val="center"/>
            <w:hideMark/>
          </w:tcPr>
          <w:p w:rsidR="0002588A" w:rsidRPr="004E77F7" w:rsidRDefault="0002588A" w:rsidP="00372448">
            <w:pPr>
              <w:spacing w:after="0" w:line="240" w:lineRule="auto"/>
              <w:jc w:val="right"/>
              <w:rPr>
                <w:rFonts w:ascii="Times New Roman" w:eastAsia="Times New Roman" w:hAnsi="Times New Roman"/>
                <w:sz w:val="18"/>
                <w:szCs w:val="18"/>
                <w:lang w:eastAsia="lt-LT"/>
              </w:rPr>
            </w:pPr>
            <w:r w:rsidRPr="004E77F7">
              <w:rPr>
                <w:rFonts w:ascii="Times New Roman" w:eastAsia="Times New Roman" w:hAnsi="Times New Roman"/>
                <w:sz w:val="18"/>
                <w:szCs w:val="18"/>
                <w:lang w:eastAsia="lt-LT"/>
              </w:rPr>
              <w:t>36.802.676</w:t>
            </w:r>
          </w:p>
        </w:tc>
        <w:tc>
          <w:tcPr>
            <w:tcW w:w="1134" w:type="dxa"/>
            <w:tcBorders>
              <w:top w:val="single" w:sz="4" w:space="0" w:color="auto"/>
              <w:left w:val="nil"/>
              <w:bottom w:val="single" w:sz="4" w:space="0" w:color="auto"/>
              <w:right w:val="single" w:sz="4" w:space="0" w:color="auto"/>
            </w:tcBorders>
            <w:vAlign w:val="center"/>
          </w:tcPr>
          <w:p w:rsidR="0002588A" w:rsidRPr="004E77F7" w:rsidRDefault="0002588A" w:rsidP="00372448">
            <w:pPr>
              <w:spacing w:after="0" w:line="240" w:lineRule="auto"/>
              <w:jc w:val="right"/>
              <w:rPr>
                <w:rFonts w:ascii="Times New Roman" w:hAnsi="Times New Roman"/>
                <w:sz w:val="18"/>
                <w:szCs w:val="18"/>
              </w:rPr>
            </w:pPr>
            <w:r w:rsidRPr="004E77F7">
              <w:rPr>
                <w:rFonts w:ascii="Times New Roman" w:hAnsi="Times New Roman"/>
                <w:sz w:val="18"/>
                <w:szCs w:val="18"/>
              </w:rPr>
              <w:t>36.513.056</w:t>
            </w:r>
          </w:p>
        </w:tc>
        <w:tc>
          <w:tcPr>
            <w:tcW w:w="1134" w:type="dxa"/>
            <w:tcBorders>
              <w:top w:val="single" w:sz="4" w:space="0" w:color="auto"/>
              <w:left w:val="single" w:sz="4" w:space="0" w:color="auto"/>
              <w:bottom w:val="single" w:sz="4" w:space="0" w:color="auto"/>
              <w:right w:val="single" w:sz="4" w:space="0" w:color="auto"/>
            </w:tcBorders>
            <w:vAlign w:val="center"/>
          </w:tcPr>
          <w:p w:rsidR="0002588A" w:rsidRPr="004E77F7" w:rsidRDefault="0002588A" w:rsidP="00372448">
            <w:pPr>
              <w:spacing w:after="0" w:line="240" w:lineRule="auto"/>
              <w:jc w:val="right"/>
              <w:rPr>
                <w:rFonts w:ascii="Times New Roman" w:hAnsi="Times New Roman"/>
                <w:sz w:val="18"/>
                <w:szCs w:val="18"/>
              </w:rPr>
            </w:pPr>
            <w:r w:rsidRPr="004E77F7">
              <w:rPr>
                <w:rFonts w:ascii="Times New Roman" w:hAnsi="Times New Roman"/>
                <w:sz w:val="18"/>
                <w:szCs w:val="18"/>
              </w:rPr>
              <w:t>289.620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02588A" w:rsidRPr="004E77F7" w:rsidRDefault="0002588A" w:rsidP="00372448">
            <w:pPr>
              <w:spacing w:after="0" w:line="240" w:lineRule="auto"/>
              <w:jc w:val="right"/>
              <w:rPr>
                <w:rFonts w:ascii="Times New Roman" w:eastAsia="Times New Roman" w:hAnsi="Times New Roman"/>
                <w:color w:val="000000"/>
                <w:sz w:val="18"/>
                <w:szCs w:val="18"/>
                <w:lang w:eastAsia="lt-LT"/>
              </w:rPr>
            </w:pPr>
            <w:r w:rsidRPr="004E77F7">
              <w:rPr>
                <w:rFonts w:ascii="Times New Roman" w:eastAsia="Times New Roman" w:hAnsi="Times New Roman"/>
                <w:color w:val="000000"/>
                <w:sz w:val="18"/>
                <w:szCs w:val="18"/>
                <w:lang w:eastAsia="lt-LT"/>
              </w:rPr>
              <w:t>245.351.171</w:t>
            </w:r>
          </w:p>
        </w:tc>
        <w:tc>
          <w:tcPr>
            <w:tcW w:w="709" w:type="dxa"/>
            <w:tcBorders>
              <w:top w:val="nil"/>
              <w:left w:val="nil"/>
              <w:bottom w:val="single" w:sz="4" w:space="0" w:color="auto"/>
              <w:right w:val="single" w:sz="4" w:space="0" w:color="auto"/>
            </w:tcBorders>
            <w:shd w:val="clear" w:color="auto" w:fill="auto"/>
            <w:vAlign w:val="center"/>
            <w:hideMark/>
          </w:tcPr>
          <w:p w:rsidR="0002588A" w:rsidRPr="004E77F7" w:rsidRDefault="00C93D87" w:rsidP="00372448">
            <w:pPr>
              <w:spacing w:after="0" w:line="240" w:lineRule="auto"/>
              <w:jc w:val="right"/>
              <w:rPr>
                <w:rFonts w:ascii="Times New Roman" w:eastAsia="Times New Roman" w:hAnsi="Times New Roman"/>
                <w:color w:val="000000"/>
                <w:sz w:val="18"/>
                <w:szCs w:val="18"/>
                <w:lang w:eastAsia="lt-LT"/>
              </w:rPr>
            </w:pPr>
            <w:r w:rsidRPr="004E77F7">
              <w:rPr>
                <w:rFonts w:ascii="Times New Roman" w:eastAsia="Times New Roman" w:hAnsi="Times New Roman"/>
                <w:color w:val="000000"/>
                <w:sz w:val="18"/>
                <w:szCs w:val="18"/>
                <w:lang w:eastAsia="lt-LT"/>
              </w:rPr>
              <w:t>85,00</w:t>
            </w:r>
          </w:p>
        </w:tc>
        <w:tc>
          <w:tcPr>
            <w:tcW w:w="425" w:type="dxa"/>
            <w:tcBorders>
              <w:top w:val="nil"/>
              <w:left w:val="nil"/>
              <w:bottom w:val="single" w:sz="4" w:space="0" w:color="auto"/>
              <w:right w:val="single" w:sz="4" w:space="0" w:color="auto"/>
            </w:tcBorders>
            <w:shd w:val="clear" w:color="auto" w:fill="auto"/>
            <w:vAlign w:val="center"/>
            <w:hideMark/>
          </w:tcPr>
          <w:p w:rsidR="0002588A" w:rsidRPr="004E77F7" w:rsidRDefault="00A50C23" w:rsidP="00372448">
            <w:pPr>
              <w:spacing w:after="0" w:line="240" w:lineRule="auto"/>
              <w:jc w:val="right"/>
              <w:rPr>
                <w:rFonts w:ascii="Times New Roman" w:eastAsia="Times New Roman" w:hAnsi="Times New Roman"/>
                <w:color w:val="000000"/>
                <w:sz w:val="18"/>
                <w:szCs w:val="18"/>
                <w:lang w:eastAsia="lt-LT"/>
              </w:rPr>
            </w:pPr>
            <w:r w:rsidRPr="004E77F7">
              <w:rPr>
                <w:rFonts w:ascii="Times New Roman" w:eastAsia="Times New Roman" w:hAnsi="Times New Roman"/>
                <w:color w:val="000000"/>
                <w:sz w:val="18"/>
                <w:szCs w:val="18"/>
                <w:lang w:eastAsia="lt-LT"/>
              </w:rPr>
              <w:t>.</w:t>
            </w:r>
          </w:p>
        </w:tc>
        <w:tc>
          <w:tcPr>
            <w:tcW w:w="1417" w:type="dxa"/>
            <w:tcBorders>
              <w:top w:val="nil"/>
              <w:left w:val="nil"/>
              <w:bottom w:val="single" w:sz="4" w:space="0" w:color="auto"/>
              <w:right w:val="single" w:sz="4" w:space="0" w:color="auto"/>
            </w:tcBorders>
            <w:shd w:val="clear" w:color="auto" w:fill="auto"/>
            <w:vAlign w:val="center"/>
            <w:hideMark/>
          </w:tcPr>
          <w:p w:rsidR="0002588A" w:rsidRPr="004E77F7" w:rsidRDefault="0002588A" w:rsidP="00372448">
            <w:pPr>
              <w:spacing w:after="0" w:line="240" w:lineRule="auto"/>
              <w:jc w:val="right"/>
              <w:rPr>
                <w:rFonts w:ascii="Times New Roman" w:eastAsia="Times New Roman" w:hAnsi="Times New Roman"/>
                <w:color w:val="000000"/>
                <w:sz w:val="18"/>
                <w:szCs w:val="18"/>
                <w:lang w:eastAsia="lt-LT"/>
              </w:rPr>
            </w:pPr>
            <w:r w:rsidRPr="004E77F7">
              <w:rPr>
                <w:rFonts w:ascii="Times New Roman" w:eastAsia="Times New Roman" w:hAnsi="Times New Roman"/>
                <w:color w:val="000000"/>
                <w:sz w:val="18"/>
                <w:szCs w:val="18"/>
                <w:lang w:eastAsia="lt-LT"/>
              </w:rPr>
              <w:t>196.035.585</w:t>
            </w:r>
          </w:p>
        </w:tc>
        <w:tc>
          <w:tcPr>
            <w:tcW w:w="1276" w:type="dxa"/>
            <w:tcBorders>
              <w:top w:val="nil"/>
              <w:left w:val="nil"/>
              <w:bottom w:val="single" w:sz="4" w:space="0" w:color="auto"/>
              <w:right w:val="single" w:sz="4" w:space="0" w:color="auto"/>
            </w:tcBorders>
            <w:shd w:val="clear" w:color="auto" w:fill="auto"/>
            <w:vAlign w:val="center"/>
            <w:hideMark/>
          </w:tcPr>
          <w:p w:rsidR="0002588A" w:rsidRPr="004E77F7" w:rsidRDefault="0002588A" w:rsidP="00372448">
            <w:pPr>
              <w:spacing w:after="0" w:line="240" w:lineRule="auto"/>
              <w:jc w:val="right"/>
              <w:rPr>
                <w:rFonts w:ascii="Times New Roman" w:eastAsia="Times New Roman" w:hAnsi="Times New Roman"/>
                <w:color w:val="000000"/>
                <w:sz w:val="18"/>
                <w:szCs w:val="18"/>
                <w:lang w:eastAsia="lt-LT"/>
              </w:rPr>
            </w:pPr>
            <w:r w:rsidRPr="004E77F7">
              <w:rPr>
                <w:rFonts w:ascii="Times New Roman" w:eastAsia="Times New Roman" w:hAnsi="Times New Roman"/>
                <w:color w:val="000000"/>
                <w:sz w:val="18"/>
                <w:szCs w:val="18"/>
                <w:lang w:eastAsia="lt-LT"/>
              </w:rPr>
              <w:t>34.594.515</w:t>
            </w:r>
          </w:p>
        </w:tc>
        <w:tc>
          <w:tcPr>
            <w:tcW w:w="1134" w:type="dxa"/>
            <w:tcBorders>
              <w:top w:val="nil"/>
              <w:left w:val="nil"/>
              <w:bottom w:val="single" w:sz="4" w:space="0" w:color="auto"/>
              <w:right w:val="single" w:sz="4" w:space="0" w:color="auto"/>
            </w:tcBorders>
            <w:shd w:val="clear" w:color="auto" w:fill="auto"/>
            <w:vAlign w:val="center"/>
            <w:hideMark/>
          </w:tcPr>
          <w:p w:rsidR="0002588A" w:rsidRPr="004E77F7" w:rsidRDefault="0002588A" w:rsidP="00372448">
            <w:pPr>
              <w:spacing w:after="0" w:line="240" w:lineRule="auto"/>
              <w:jc w:val="right"/>
              <w:rPr>
                <w:rFonts w:ascii="Times New Roman" w:eastAsia="Times New Roman" w:hAnsi="Times New Roman"/>
                <w:color w:val="000000"/>
                <w:sz w:val="18"/>
                <w:szCs w:val="18"/>
                <w:lang w:eastAsia="lt-LT"/>
              </w:rPr>
            </w:pPr>
            <w:r w:rsidRPr="004E77F7">
              <w:rPr>
                <w:rFonts w:ascii="Times New Roman" w:eastAsia="Times New Roman" w:hAnsi="Times New Roman"/>
                <w:color w:val="000000"/>
                <w:sz w:val="18"/>
                <w:szCs w:val="18"/>
                <w:lang w:eastAsia="lt-LT"/>
              </w:rPr>
              <w:t>12.512.910</w:t>
            </w:r>
          </w:p>
        </w:tc>
        <w:tc>
          <w:tcPr>
            <w:tcW w:w="1134" w:type="dxa"/>
            <w:tcBorders>
              <w:top w:val="nil"/>
              <w:left w:val="nil"/>
              <w:bottom w:val="single" w:sz="4" w:space="0" w:color="auto"/>
              <w:right w:val="single" w:sz="4" w:space="0" w:color="auto"/>
            </w:tcBorders>
            <w:shd w:val="clear" w:color="auto" w:fill="auto"/>
            <w:vAlign w:val="center"/>
            <w:hideMark/>
          </w:tcPr>
          <w:p w:rsidR="0002588A" w:rsidRPr="004E77F7" w:rsidRDefault="0002588A" w:rsidP="00372448">
            <w:pPr>
              <w:spacing w:after="0" w:line="240" w:lineRule="auto"/>
              <w:jc w:val="right"/>
              <w:rPr>
                <w:rFonts w:ascii="Times New Roman" w:eastAsia="Times New Roman" w:hAnsi="Times New Roman"/>
                <w:color w:val="000000"/>
                <w:sz w:val="18"/>
                <w:szCs w:val="18"/>
                <w:lang w:eastAsia="lt-LT"/>
              </w:rPr>
            </w:pPr>
            <w:r w:rsidRPr="004E77F7">
              <w:rPr>
                <w:rFonts w:ascii="Times New Roman" w:eastAsia="Times New Roman" w:hAnsi="Times New Roman"/>
                <w:color w:val="000000"/>
                <w:sz w:val="18"/>
                <w:szCs w:val="18"/>
                <w:lang w:eastAsia="lt-LT"/>
              </w:rPr>
              <w:t>2.208.16</w:t>
            </w:r>
            <w:r w:rsidR="00F12581" w:rsidRPr="004E77F7">
              <w:rPr>
                <w:rFonts w:ascii="Times New Roman" w:eastAsia="Times New Roman" w:hAnsi="Times New Roman"/>
                <w:color w:val="000000"/>
                <w:sz w:val="18"/>
                <w:szCs w:val="18"/>
                <w:lang w:eastAsia="lt-LT"/>
              </w:rPr>
              <w:t>1</w:t>
            </w:r>
          </w:p>
        </w:tc>
        <w:tc>
          <w:tcPr>
            <w:tcW w:w="567" w:type="dxa"/>
            <w:tcBorders>
              <w:top w:val="nil"/>
              <w:left w:val="nil"/>
              <w:bottom w:val="single" w:sz="4" w:space="0" w:color="auto"/>
              <w:right w:val="single" w:sz="4" w:space="0" w:color="auto"/>
            </w:tcBorders>
            <w:shd w:val="clear" w:color="auto" w:fill="auto"/>
            <w:vAlign w:val="center"/>
            <w:hideMark/>
          </w:tcPr>
          <w:p w:rsidR="0002588A" w:rsidRPr="00DF1549" w:rsidRDefault="00372448" w:rsidP="00F6184C">
            <w:pPr>
              <w:spacing w:after="0" w:line="240" w:lineRule="auto"/>
              <w:jc w:val="right"/>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6,00</w:t>
            </w:r>
          </w:p>
        </w:tc>
      </w:tr>
      <w:tr w:rsidR="00372448" w:rsidRPr="00DF1549" w:rsidTr="00650E41">
        <w:trPr>
          <w:trHeight w:val="510"/>
        </w:trPr>
        <w:tc>
          <w:tcPr>
            <w:tcW w:w="1418" w:type="dxa"/>
            <w:vMerge/>
            <w:tcBorders>
              <w:top w:val="nil"/>
              <w:left w:val="single" w:sz="4" w:space="0" w:color="auto"/>
              <w:bottom w:val="single" w:sz="4" w:space="0" w:color="000000"/>
              <w:right w:val="single" w:sz="4" w:space="0" w:color="auto"/>
            </w:tcBorders>
            <w:vAlign w:val="center"/>
            <w:hideMark/>
          </w:tcPr>
          <w:p w:rsidR="0002588A" w:rsidRPr="006F2E2E" w:rsidRDefault="0002588A" w:rsidP="00AA7F36">
            <w:pPr>
              <w:spacing w:after="0" w:line="240" w:lineRule="auto"/>
              <w:rPr>
                <w:rFonts w:ascii="Times New Roman" w:eastAsia="Times New Roman" w:hAnsi="Times New Roman"/>
                <w:i/>
                <w:iCs/>
                <w:color w:val="000000"/>
                <w:sz w:val="18"/>
                <w:szCs w:val="18"/>
                <w:lang w:eastAsia="lt-LT"/>
              </w:rPr>
            </w:pPr>
          </w:p>
        </w:tc>
        <w:tc>
          <w:tcPr>
            <w:tcW w:w="850" w:type="dxa"/>
            <w:tcBorders>
              <w:top w:val="nil"/>
              <w:left w:val="nil"/>
              <w:bottom w:val="single" w:sz="4" w:space="0" w:color="auto"/>
              <w:right w:val="single" w:sz="4" w:space="0" w:color="auto"/>
            </w:tcBorders>
            <w:shd w:val="clear" w:color="auto" w:fill="auto"/>
            <w:vAlign w:val="center"/>
            <w:hideMark/>
          </w:tcPr>
          <w:p w:rsidR="0002588A" w:rsidRPr="00DF1549" w:rsidRDefault="0002588A" w:rsidP="00F6184C">
            <w:pPr>
              <w:spacing w:after="0" w:line="240" w:lineRule="auto"/>
              <w:jc w:val="both"/>
              <w:rPr>
                <w:rFonts w:ascii="Times New Roman" w:eastAsia="Times New Roman" w:hAnsi="Times New Roman"/>
                <w:color w:val="000000"/>
                <w:sz w:val="18"/>
                <w:szCs w:val="18"/>
                <w:lang w:eastAsia="lt-LT"/>
              </w:rPr>
            </w:pPr>
            <w:r w:rsidRPr="00DF1549">
              <w:rPr>
                <w:rFonts w:ascii="Times New Roman" w:eastAsia="Times New Roman" w:hAnsi="Times New Roman"/>
                <w:color w:val="000000"/>
                <w:sz w:val="18"/>
                <w:szCs w:val="18"/>
                <w:lang w:eastAsia="lt-LT"/>
              </w:rPr>
              <w:t>ESF</w:t>
            </w:r>
          </w:p>
        </w:tc>
        <w:tc>
          <w:tcPr>
            <w:tcW w:w="993" w:type="dxa"/>
            <w:tcBorders>
              <w:top w:val="nil"/>
              <w:left w:val="nil"/>
              <w:bottom w:val="single" w:sz="4" w:space="0" w:color="auto"/>
              <w:right w:val="single" w:sz="4" w:space="0" w:color="auto"/>
            </w:tcBorders>
            <w:shd w:val="clear" w:color="auto" w:fill="auto"/>
            <w:vAlign w:val="center"/>
            <w:hideMark/>
          </w:tcPr>
          <w:p w:rsidR="0002588A" w:rsidRPr="00DF1549" w:rsidRDefault="0002588A" w:rsidP="00F6184C">
            <w:pPr>
              <w:spacing w:after="0" w:line="240" w:lineRule="auto"/>
              <w:rPr>
                <w:rFonts w:ascii="Times New Roman" w:eastAsia="Times New Roman" w:hAnsi="Times New Roman"/>
                <w:color w:val="000000"/>
                <w:sz w:val="18"/>
                <w:szCs w:val="18"/>
                <w:lang w:eastAsia="lt-LT"/>
              </w:rPr>
            </w:pPr>
            <w:r w:rsidRPr="00DF1549">
              <w:rPr>
                <w:rFonts w:ascii="Times New Roman" w:eastAsia="Times New Roman" w:hAnsi="Times New Roman"/>
                <w:color w:val="000000"/>
                <w:sz w:val="18"/>
                <w:szCs w:val="18"/>
                <w:lang w:eastAsia="lt-LT"/>
              </w:rPr>
              <w:t>Bendros tinkamos išlaidos</w:t>
            </w:r>
          </w:p>
        </w:tc>
        <w:tc>
          <w:tcPr>
            <w:tcW w:w="1275" w:type="dxa"/>
            <w:tcBorders>
              <w:top w:val="nil"/>
              <w:left w:val="nil"/>
              <w:bottom w:val="single" w:sz="4" w:space="0" w:color="auto"/>
              <w:right w:val="single" w:sz="4" w:space="0" w:color="auto"/>
            </w:tcBorders>
            <w:shd w:val="clear" w:color="auto" w:fill="auto"/>
            <w:vAlign w:val="center"/>
            <w:hideMark/>
          </w:tcPr>
          <w:p w:rsidR="0002588A" w:rsidRPr="004E77F7" w:rsidRDefault="005964BF" w:rsidP="00AD1117">
            <w:pPr>
              <w:spacing w:after="0" w:line="240" w:lineRule="auto"/>
              <w:jc w:val="right"/>
              <w:rPr>
                <w:rFonts w:ascii="Times New Roman" w:eastAsia="Times New Roman" w:hAnsi="Times New Roman"/>
                <w:color w:val="000000"/>
                <w:sz w:val="18"/>
                <w:szCs w:val="18"/>
                <w:lang w:eastAsia="lt-LT"/>
              </w:rPr>
            </w:pPr>
            <w:r w:rsidRPr="004E77F7">
              <w:rPr>
                <w:rFonts w:ascii="Times New Roman" w:eastAsia="Times New Roman" w:hAnsi="Times New Roman"/>
                <w:color w:val="000000"/>
                <w:sz w:val="18"/>
                <w:szCs w:val="18"/>
                <w:lang w:eastAsia="lt-LT"/>
              </w:rPr>
              <w:t>453.182.085</w:t>
            </w:r>
          </w:p>
        </w:tc>
        <w:tc>
          <w:tcPr>
            <w:tcW w:w="1276" w:type="dxa"/>
            <w:tcBorders>
              <w:top w:val="nil"/>
              <w:left w:val="nil"/>
              <w:bottom w:val="single" w:sz="4" w:space="0" w:color="auto"/>
              <w:right w:val="single" w:sz="4" w:space="0" w:color="auto"/>
            </w:tcBorders>
            <w:shd w:val="clear" w:color="auto" w:fill="auto"/>
            <w:vAlign w:val="center"/>
            <w:hideMark/>
          </w:tcPr>
          <w:p w:rsidR="0002588A" w:rsidRPr="004E77F7" w:rsidRDefault="005964BF" w:rsidP="00AD1117">
            <w:pPr>
              <w:spacing w:after="0" w:line="240" w:lineRule="auto"/>
              <w:jc w:val="right"/>
              <w:rPr>
                <w:rFonts w:ascii="Times New Roman" w:eastAsia="Times New Roman" w:hAnsi="Times New Roman"/>
                <w:color w:val="000000"/>
                <w:sz w:val="18"/>
                <w:szCs w:val="18"/>
                <w:lang w:eastAsia="lt-LT"/>
              </w:rPr>
            </w:pPr>
            <w:r w:rsidRPr="004E77F7">
              <w:rPr>
                <w:rFonts w:ascii="Times New Roman" w:eastAsia="Times New Roman" w:hAnsi="Times New Roman"/>
                <w:color w:val="000000"/>
                <w:sz w:val="18"/>
                <w:szCs w:val="18"/>
                <w:lang w:eastAsia="lt-LT"/>
              </w:rPr>
              <w:t>79.973.310</w:t>
            </w:r>
          </w:p>
        </w:tc>
        <w:tc>
          <w:tcPr>
            <w:tcW w:w="1134" w:type="dxa"/>
            <w:tcBorders>
              <w:top w:val="single" w:sz="4" w:space="0" w:color="auto"/>
              <w:left w:val="nil"/>
              <w:bottom w:val="single" w:sz="4" w:space="0" w:color="auto"/>
              <w:right w:val="single" w:sz="4" w:space="0" w:color="auto"/>
            </w:tcBorders>
            <w:vAlign w:val="center"/>
          </w:tcPr>
          <w:p w:rsidR="0002588A" w:rsidRPr="004E77F7" w:rsidRDefault="005964BF" w:rsidP="00AD1117">
            <w:pPr>
              <w:spacing w:after="0" w:line="240" w:lineRule="auto"/>
              <w:jc w:val="right"/>
              <w:rPr>
                <w:rFonts w:ascii="Times New Roman" w:hAnsi="Times New Roman"/>
                <w:sz w:val="18"/>
                <w:szCs w:val="18"/>
              </w:rPr>
            </w:pPr>
            <w:r w:rsidRPr="004E77F7">
              <w:rPr>
                <w:rFonts w:ascii="Times New Roman" w:hAnsi="Times New Roman"/>
                <w:sz w:val="18"/>
                <w:szCs w:val="18"/>
              </w:rPr>
              <w:t>28.970.981</w:t>
            </w:r>
          </w:p>
        </w:tc>
        <w:tc>
          <w:tcPr>
            <w:tcW w:w="1134" w:type="dxa"/>
            <w:tcBorders>
              <w:top w:val="single" w:sz="4" w:space="0" w:color="auto"/>
              <w:left w:val="single" w:sz="4" w:space="0" w:color="auto"/>
              <w:bottom w:val="single" w:sz="4" w:space="0" w:color="auto"/>
              <w:right w:val="single" w:sz="4" w:space="0" w:color="auto"/>
            </w:tcBorders>
            <w:vAlign w:val="center"/>
          </w:tcPr>
          <w:p w:rsidR="0002588A" w:rsidRPr="004E77F7" w:rsidRDefault="005964BF" w:rsidP="00372448">
            <w:pPr>
              <w:spacing w:after="0" w:line="240" w:lineRule="auto"/>
              <w:jc w:val="right"/>
              <w:rPr>
                <w:rFonts w:ascii="Times New Roman" w:hAnsi="Times New Roman"/>
                <w:sz w:val="18"/>
                <w:szCs w:val="18"/>
              </w:rPr>
            </w:pPr>
            <w:r w:rsidRPr="004E77F7">
              <w:rPr>
                <w:rFonts w:ascii="Times New Roman" w:hAnsi="Times New Roman"/>
                <w:sz w:val="18"/>
                <w:szCs w:val="18"/>
              </w:rPr>
              <w:t>51.002.329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02588A" w:rsidRPr="004E77F7" w:rsidRDefault="005964BF" w:rsidP="00AD1117">
            <w:pPr>
              <w:spacing w:after="0" w:line="240" w:lineRule="auto"/>
              <w:jc w:val="right"/>
              <w:rPr>
                <w:rFonts w:ascii="Times New Roman" w:eastAsia="Times New Roman" w:hAnsi="Times New Roman"/>
                <w:color w:val="000000"/>
                <w:sz w:val="18"/>
                <w:szCs w:val="18"/>
                <w:lang w:eastAsia="lt-LT"/>
              </w:rPr>
            </w:pPr>
            <w:r w:rsidRPr="004E77F7">
              <w:rPr>
                <w:rFonts w:ascii="Times New Roman" w:eastAsia="Times New Roman" w:hAnsi="Times New Roman"/>
                <w:color w:val="000000"/>
                <w:sz w:val="18"/>
                <w:szCs w:val="18"/>
                <w:lang w:eastAsia="lt-LT"/>
              </w:rPr>
              <w:t>533.155.395</w:t>
            </w:r>
          </w:p>
        </w:tc>
        <w:tc>
          <w:tcPr>
            <w:tcW w:w="709" w:type="dxa"/>
            <w:tcBorders>
              <w:top w:val="nil"/>
              <w:left w:val="nil"/>
              <w:bottom w:val="single" w:sz="4" w:space="0" w:color="auto"/>
              <w:right w:val="single" w:sz="4" w:space="0" w:color="auto"/>
            </w:tcBorders>
            <w:shd w:val="clear" w:color="auto" w:fill="auto"/>
            <w:vAlign w:val="center"/>
            <w:hideMark/>
          </w:tcPr>
          <w:p w:rsidR="0002588A" w:rsidRPr="004E77F7" w:rsidRDefault="00C93D87" w:rsidP="00372448">
            <w:pPr>
              <w:spacing w:after="0" w:line="240" w:lineRule="auto"/>
              <w:jc w:val="right"/>
              <w:rPr>
                <w:rFonts w:ascii="Times New Roman" w:eastAsia="Times New Roman" w:hAnsi="Times New Roman"/>
                <w:color w:val="000000"/>
                <w:sz w:val="18"/>
                <w:szCs w:val="18"/>
                <w:lang w:eastAsia="lt-LT"/>
              </w:rPr>
            </w:pPr>
            <w:r w:rsidRPr="004E77F7">
              <w:rPr>
                <w:rFonts w:ascii="Times New Roman" w:eastAsia="Times New Roman" w:hAnsi="Times New Roman"/>
                <w:color w:val="000000"/>
                <w:sz w:val="18"/>
                <w:szCs w:val="18"/>
                <w:lang w:eastAsia="lt-LT"/>
              </w:rPr>
              <w:t>85,00</w:t>
            </w:r>
          </w:p>
        </w:tc>
        <w:tc>
          <w:tcPr>
            <w:tcW w:w="425" w:type="dxa"/>
            <w:tcBorders>
              <w:top w:val="nil"/>
              <w:left w:val="nil"/>
              <w:bottom w:val="single" w:sz="4" w:space="0" w:color="auto"/>
              <w:right w:val="single" w:sz="4" w:space="0" w:color="auto"/>
            </w:tcBorders>
            <w:shd w:val="clear" w:color="auto" w:fill="auto"/>
            <w:vAlign w:val="center"/>
            <w:hideMark/>
          </w:tcPr>
          <w:p w:rsidR="0002588A" w:rsidRPr="004E77F7" w:rsidRDefault="00A50C23" w:rsidP="00372448">
            <w:pPr>
              <w:spacing w:after="0" w:line="240" w:lineRule="auto"/>
              <w:jc w:val="right"/>
              <w:rPr>
                <w:rFonts w:ascii="Times New Roman" w:eastAsia="Times New Roman" w:hAnsi="Times New Roman"/>
                <w:color w:val="000000"/>
                <w:sz w:val="18"/>
                <w:szCs w:val="18"/>
                <w:lang w:eastAsia="lt-LT"/>
              </w:rPr>
            </w:pPr>
            <w:r w:rsidRPr="004E77F7">
              <w:rPr>
                <w:rFonts w:ascii="Times New Roman" w:eastAsia="Times New Roman" w:hAnsi="Times New Roman"/>
                <w:color w:val="000000"/>
                <w:sz w:val="18"/>
                <w:szCs w:val="18"/>
                <w:lang w:eastAsia="lt-LT"/>
              </w:rPr>
              <w:t>.</w:t>
            </w:r>
          </w:p>
        </w:tc>
        <w:tc>
          <w:tcPr>
            <w:tcW w:w="1417" w:type="dxa"/>
            <w:tcBorders>
              <w:top w:val="nil"/>
              <w:left w:val="nil"/>
              <w:bottom w:val="single" w:sz="4" w:space="0" w:color="auto"/>
              <w:right w:val="single" w:sz="4" w:space="0" w:color="auto"/>
            </w:tcBorders>
            <w:shd w:val="clear" w:color="auto" w:fill="auto"/>
            <w:vAlign w:val="center"/>
            <w:hideMark/>
          </w:tcPr>
          <w:p w:rsidR="0002588A" w:rsidRPr="004E77F7" w:rsidRDefault="003E071A" w:rsidP="00AD1117">
            <w:pPr>
              <w:spacing w:after="0" w:line="240" w:lineRule="auto"/>
              <w:jc w:val="right"/>
              <w:rPr>
                <w:rFonts w:ascii="Times New Roman" w:eastAsia="Times New Roman" w:hAnsi="Times New Roman"/>
                <w:color w:val="000000"/>
                <w:sz w:val="18"/>
                <w:szCs w:val="18"/>
                <w:lang w:eastAsia="lt-LT"/>
              </w:rPr>
            </w:pPr>
            <w:r w:rsidRPr="004E77F7">
              <w:rPr>
                <w:rFonts w:ascii="Times New Roman" w:eastAsia="Times New Roman" w:hAnsi="Times New Roman"/>
                <w:color w:val="000000"/>
                <w:sz w:val="18"/>
                <w:szCs w:val="18"/>
                <w:lang w:eastAsia="lt-LT"/>
              </w:rPr>
              <w:t>425.393.605</w:t>
            </w:r>
          </w:p>
        </w:tc>
        <w:tc>
          <w:tcPr>
            <w:tcW w:w="1276" w:type="dxa"/>
            <w:tcBorders>
              <w:top w:val="nil"/>
              <w:left w:val="nil"/>
              <w:bottom w:val="single" w:sz="4" w:space="0" w:color="auto"/>
              <w:right w:val="single" w:sz="4" w:space="0" w:color="auto"/>
            </w:tcBorders>
            <w:shd w:val="clear" w:color="auto" w:fill="auto"/>
            <w:vAlign w:val="center"/>
            <w:hideMark/>
          </w:tcPr>
          <w:p w:rsidR="0002588A" w:rsidRPr="004E77F7" w:rsidRDefault="003E071A" w:rsidP="00AD1117">
            <w:pPr>
              <w:spacing w:after="0" w:line="240" w:lineRule="auto"/>
              <w:jc w:val="right"/>
              <w:rPr>
                <w:rFonts w:ascii="Times New Roman" w:eastAsia="Times New Roman" w:hAnsi="Times New Roman"/>
                <w:color w:val="000000"/>
                <w:sz w:val="18"/>
                <w:szCs w:val="18"/>
                <w:lang w:eastAsia="lt-LT"/>
              </w:rPr>
            </w:pPr>
            <w:r w:rsidRPr="004E77F7">
              <w:rPr>
                <w:rFonts w:ascii="Times New Roman" w:eastAsia="Times New Roman" w:hAnsi="Times New Roman"/>
                <w:color w:val="000000"/>
                <w:sz w:val="18"/>
                <w:szCs w:val="18"/>
                <w:lang w:eastAsia="lt-LT"/>
              </w:rPr>
              <w:t>75.069.461</w:t>
            </w:r>
          </w:p>
        </w:tc>
        <w:tc>
          <w:tcPr>
            <w:tcW w:w="1134" w:type="dxa"/>
            <w:tcBorders>
              <w:top w:val="nil"/>
              <w:left w:val="nil"/>
              <w:bottom w:val="single" w:sz="4" w:space="0" w:color="auto"/>
              <w:right w:val="single" w:sz="4" w:space="0" w:color="auto"/>
            </w:tcBorders>
            <w:shd w:val="clear" w:color="auto" w:fill="auto"/>
            <w:vAlign w:val="center"/>
            <w:hideMark/>
          </w:tcPr>
          <w:p w:rsidR="0002588A" w:rsidRPr="004E77F7" w:rsidRDefault="003E071A" w:rsidP="00AD1117">
            <w:pPr>
              <w:spacing w:after="0" w:line="240" w:lineRule="auto"/>
              <w:jc w:val="right"/>
              <w:rPr>
                <w:rFonts w:ascii="Times New Roman" w:eastAsia="Times New Roman" w:hAnsi="Times New Roman"/>
                <w:color w:val="000000"/>
                <w:sz w:val="18"/>
                <w:szCs w:val="18"/>
                <w:lang w:eastAsia="lt-LT"/>
              </w:rPr>
            </w:pPr>
            <w:r w:rsidRPr="004E77F7">
              <w:rPr>
                <w:rFonts w:ascii="Times New Roman" w:eastAsia="Times New Roman" w:hAnsi="Times New Roman"/>
                <w:color w:val="000000"/>
                <w:sz w:val="18"/>
                <w:szCs w:val="18"/>
                <w:lang w:eastAsia="lt-LT"/>
              </w:rPr>
              <w:t>27.788.480</w:t>
            </w:r>
          </w:p>
        </w:tc>
        <w:tc>
          <w:tcPr>
            <w:tcW w:w="1134" w:type="dxa"/>
            <w:tcBorders>
              <w:top w:val="nil"/>
              <w:left w:val="nil"/>
              <w:bottom w:val="single" w:sz="4" w:space="0" w:color="auto"/>
              <w:right w:val="single" w:sz="4" w:space="0" w:color="auto"/>
            </w:tcBorders>
            <w:shd w:val="clear" w:color="auto" w:fill="auto"/>
            <w:vAlign w:val="center"/>
            <w:hideMark/>
          </w:tcPr>
          <w:p w:rsidR="0002588A" w:rsidRPr="004E77F7" w:rsidRDefault="003E071A" w:rsidP="00AD1117">
            <w:pPr>
              <w:spacing w:after="0" w:line="240" w:lineRule="auto"/>
              <w:jc w:val="right"/>
              <w:rPr>
                <w:rFonts w:ascii="Times New Roman" w:eastAsia="Times New Roman" w:hAnsi="Times New Roman"/>
                <w:color w:val="000000"/>
                <w:sz w:val="18"/>
                <w:szCs w:val="18"/>
                <w:lang w:eastAsia="lt-LT"/>
              </w:rPr>
            </w:pPr>
            <w:r w:rsidRPr="004E77F7">
              <w:rPr>
                <w:rFonts w:ascii="Times New Roman" w:eastAsia="Times New Roman" w:hAnsi="Times New Roman"/>
                <w:color w:val="000000"/>
                <w:sz w:val="18"/>
                <w:szCs w:val="18"/>
                <w:lang w:eastAsia="lt-LT"/>
              </w:rPr>
              <w:t>4.903.849</w:t>
            </w:r>
          </w:p>
        </w:tc>
        <w:tc>
          <w:tcPr>
            <w:tcW w:w="567" w:type="dxa"/>
            <w:tcBorders>
              <w:top w:val="nil"/>
              <w:left w:val="nil"/>
              <w:bottom w:val="single" w:sz="4" w:space="0" w:color="auto"/>
              <w:right w:val="single" w:sz="4" w:space="0" w:color="auto"/>
            </w:tcBorders>
            <w:shd w:val="clear" w:color="auto" w:fill="auto"/>
            <w:vAlign w:val="center"/>
            <w:hideMark/>
          </w:tcPr>
          <w:p w:rsidR="0002588A" w:rsidRPr="00DF1549" w:rsidRDefault="00372448" w:rsidP="00F6184C">
            <w:pPr>
              <w:spacing w:after="0" w:line="240" w:lineRule="auto"/>
              <w:jc w:val="right"/>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6,14</w:t>
            </w:r>
          </w:p>
        </w:tc>
      </w:tr>
      <w:tr w:rsidR="003425A4" w:rsidRPr="00DF1549" w:rsidTr="00650E41">
        <w:trPr>
          <w:trHeight w:val="229"/>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3425A4" w:rsidRPr="006F2E2E" w:rsidRDefault="003425A4" w:rsidP="00AA7F36">
            <w:pPr>
              <w:widowControl w:val="0"/>
              <w:tabs>
                <w:tab w:val="left" w:pos="622"/>
              </w:tabs>
              <w:spacing w:after="0" w:line="240" w:lineRule="auto"/>
              <w:rPr>
                <w:rFonts w:ascii="Times New Roman" w:eastAsia="AngsanaUPC" w:hAnsi="Times New Roman"/>
                <w:bCs/>
                <w:sz w:val="18"/>
                <w:szCs w:val="18"/>
                <w:lang w:eastAsia="lt-LT"/>
              </w:rPr>
            </w:pPr>
            <w:r w:rsidRPr="006F2E2E">
              <w:rPr>
                <w:rFonts w:ascii="Times New Roman" w:eastAsia="AngsanaUPC" w:hAnsi="Times New Roman"/>
                <w:bCs/>
                <w:sz w:val="18"/>
                <w:szCs w:val="18"/>
                <w:lang w:eastAsia="lt-LT"/>
              </w:rPr>
              <w:t>10. Visuomenės poreikius atitinkantis ir pažangus viešasis valdymas</w:t>
            </w:r>
          </w:p>
        </w:tc>
        <w:tc>
          <w:tcPr>
            <w:tcW w:w="850" w:type="dxa"/>
            <w:tcBorders>
              <w:top w:val="nil"/>
              <w:left w:val="nil"/>
              <w:bottom w:val="single" w:sz="4" w:space="0" w:color="auto"/>
              <w:right w:val="single" w:sz="4" w:space="0" w:color="auto"/>
            </w:tcBorders>
            <w:shd w:val="clear" w:color="auto" w:fill="auto"/>
            <w:vAlign w:val="center"/>
            <w:hideMark/>
          </w:tcPr>
          <w:p w:rsidR="003425A4" w:rsidRPr="00DF1549" w:rsidRDefault="003425A4" w:rsidP="00F6184C">
            <w:pPr>
              <w:spacing w:after="0" w:line="240" w:lineRule="auto"/>
              <w:jc w:val="both"/>
              <w:rPr>
                <w:rFonts w:ascii="Times New Roman" w:eastAsia="Times New Roman" w:hAnsi="Times New Roman"/>
                <w:color w:val="000000"/>
                <w:sz w:val="18"/>
                <w:szCs w:val="18"/>
                <w:lang w:eastAsia="lt-LT"/>
              </w:rPr>
            </w:pPr>
            <w:r w:rsidRPr="00DF1549">
              <w:rPr>
                <w:rFonts w:ascii="Times New Roman" w:eastAsia="Times New Roman" w:hAnsi="Times New Roman"/>
                <w:color w:val="000000"/>
                <w:sz w:val="18"/>
                <w:szCs w:val="18"/>
                <w:lang w:eastAsia="lt-LT"/>
              </w:rPr>
              <w:t>ESF</w:t>
            </w:r>
          </w:p>
        </w:tc>
        <w:tc>
          <w:tcPr>
            <w:tcW w:w="993" w:type="dxa"/>
            <w:tcBorders>
              <w:top w:val="nil"/>
              <w:left w:val="nil"/>
              <w:bottom w:val="single" w:sz="4" w:space="0" w:color="auto"/>
              <w:right w:val="single" w:sz="4" w:space="0" w:color="auto"/>
            </w:tcBorders>
            <w:shd w:val="clear" w:color="auto" w:fill="auto"/>
            <w:vAlign w:val="center"/>
            <w:hideMark/>
          </w:tcPr>
          <w:p w:rsidR="003425A4" w:rsidRPr="00DF1549" w:rsidRDefault="003425A4" w:rsidP="00F6184C">
            <w:pPr>
              <w:spacing w:after="0" w:line="240" w:lineRule="auto"/>
              <w:rPr>
                <w:rFonts w:ascii="Times New Roman" w:eastAsia="Times New Roman" w:hAnsi="Times New Roman"/>
                <w:color w:val="000000"/>
                <w:sz w:val="18"/>
                <w:szCs w:val="18"/>
                <w:lang w:eastAsia="lt-LT"/>
              </w:rPr>
            </w:pPr>
            <w:r w:rsidRPr="00DF1549">
              <w:rPr>
                <w:rFonts w:ascii="Times New Roman" w:eastAsia="Times New Roman" w:hAnsi="Times New Roman"/>
                <w:color w:val="000000"/>
                <w:sz w:val="18"/>
                <w:szCs w:val="18"/>
                <w:lang w:eastAsia="lt-LT"/>
              </w:rPr>
              <w:t>Viešosios tinkamos išlaidos</w:t>
            </w:r>
          </w:p>
        </w:tc>
        <w:tc>
          <w:tcPr>
            <w:tcW w:w="1275" w:type="dxa"/>
            <w:tcBorders>
              <w:top w:val="nil"/>
              <w:left w:val="nil"/>
              <w:bottom w:val="single" w:sz="4" w:space="0" w:color="auto"/>
              <w:right w:val="single" w:sz="4" w:space="0" w:color="auto"/>
            </w:tcBorders>
            <w:shd w:val="clear" w:color="auto" w:fill="auto"/>
            <w:vAlign w:val="center"/>
            <w:hideMark/>
          </w:tcPr>
          <w:p w:rsidR="003425A4" w:rsidRPr="004E77F7" w:rsidRDefault="005964BF" w:rsidP="00AD1117">
            <w:pPr>
              <w:spacing w:after="0" w:line="240" w:lineRule="auto"/>
              <w:jc w:val="right"/>
              <w:rPr>
                <w:rFonts w:ascii="Times New Roman" w:eastAsia="Times New Roman" w:hAnsi="Times New Roman"/>
                <w:strike/>
                <w:color w:val="000000"/>
                <w:sz w:val="18"/>
                <w:szCs w:val="18"/>
                <w:lang w:eastAsia="lt-LT"/>
              </w:rPr>
            </w:pPr>
            <w:r w:rsidRPr="004E77F7">
              <w:rPr>
                <w:rFonts w:ascii="Times New Roman" w:eastAsia="Times New Roman" w:hAnsi="Times New Roman"/>
                <w:color w:val="000000"/>
                <w:sz w:val="18"/>
                <w:szCs w:val="18"/>
                <w:lang w:eastAsia="lt-LT"/>
              </w:rPr>
              <w:t>107.459.184</w:t>
            </w:r>
          </w:p>
        </w:tc>
        <w:tc>
          <w:tcPr>
            <w:tcW w:w="1276" w:type="dxa"/>
            <w:tcBorders>
              <w:top w:val="nil"/>
              <w:left w:val="nil"/>
              <w:bottom w:val="single" w:sz="4" w:space="0" w:color="auto"/>
              <w:right w:val="single" w:sz="4" w:space="0" w:color="auto"/>
            </w:tcBorders>
            <w:shd w:val="clear" w:color="auto" w:fill="auto"/>
            <w:vAlign w:val="center"/>
            <w:hideMark/>
          </w:tcPr>
          <w:p w:rsidR="003425A4" w:rsidRPr="004E77F7" w:rsidRDefault="005964BF" w:rsidP="00AD1117">
            <w:pPr>
              <w:spacing w:after="0" w:line="240" w:lineRule="auto"/>
              <w:jc w:val="right"/>
              <w:rPr>
                <w:rFonts w:ascii="Times New Roman" w:eastAsia="Times New Roman" w:hAnsi="Times New Roman"/>
                <w:strike/>
                <w:color w:val="000000"/>
                <w:sz w:val="18"/>
                <w:szCs w:val="18"/>
                <w:lang w:eastAsia="lt-LT"/>
              </w:rPr>
            </w:pPr>
            <w:r w:rsidRPr="004E77F7">
              <w:rPr>
                <w:rFonts w:ascii="Times New Roman" w:eastAsia="Times New Roman" w:hAnsi="Times New Roman"/>
                <w:color w:val="000000"/>
                <w:sz w:val="18"/>
                <w:szCs w:val="18"/>
                <w:lang w:eastAsia="lt-LT"/>
              </w:rPr>
              <w:t>18.963.386</w:t>
            </w:r>
          </w:p>
        </w:tc>
        <w:tc>
          <w:tcPr>
            <w:tcW w:w="1134" w:type="dxa"/>
            <w:tcBorders>
              <w:top w:val="single" w:sz="4" w:space="0" w:color="auto"/>
              <w:left w:val="nil"/>
              <w:bottom w:val="single" w:sz="4" w:space="0" w:color="auto"/>
              <w:right w:val="single" w:sz="4" w:space="0" w:color="auto"/>
            </w:tcBorders>
            <w:vAlign w:val="center"/>
          </w:tcPr>
          <w:p w:rsidR="003425A4" w:rsidRPr="004E77F7" w:rsidRDefault="005964BF" w:rsidP="00AD1117">
            <w:pPr>
              <w:spacing w:after="0" w:line="240" w:lineRule="auto"/>
              <w:jc w:val="right"/>
              <w:rPr>
                <w:rFonts w:ascii="Times New Roman" w:eastAsia="Times New Roman" w:hAnsi="Times New Roman"/>
                <w:strike/>
                <w:sz w:val="18"/>
                <w:szCs w:val="18"/>
              </w:rPr>
            </w:pPr>
            <w:r w:rsidRPr="004E77F7">
              <w:rPr>
                <w:rFonts w:ascii="Times New Roman" w:eastAsia="Times New Roman" w:hAnsi="Times New Roman"/>
                <w:color w:val="000000"/>
                <w:sz w:val="18"/>
                <w:szCs w:val="18"/>
                <w:lang w:eastAsia="lt-LT"/>
              </w:rPr>
              <w:t>18.963.386</w:t>
            </w:r>
          </w:p>
        </w:tc>
        <w:tc>
          <w:tcPr>
            <w:tcW w:w="1134" w:type="dxa"/>
            <w:tcBorders>
              <w:top w:val="single" w:sz="4" w:space="0" w:color="auto"/>
              <w:left w:val="single" w:sz="4" w:space="0" w:color="auto"/>
              <w:bottom w:val="single" w:sz="4" w:space="0" w:color="auto"/>
              <w:right w:val="single" w:sz="4" w:space="0" w:color="auto"/>
            </w:tcBorders>
            <w:vAlign w:val="center"/>
          </w:tcPr>
          <w:p w:rsidR="003425A4" w:rsidRPr="004E77F7" w:rsidRDefault="003425A4" w:rsidP="003425A4">
            <w:pPr>
              <w:spacing w:after="0" w:line="240" w:lineRule="auto"/>
              <w:jc w:val="right"/>
              <w:rPr>
                <w:rFonts w:ascii="Times New Roman" w:eastAsia="Times New Roman" w:hAnsi="Times New Roman"/>
                <w:sz w:val="18"/>
                <w:szCs w:val="18"/>
              </w:rPr>
            </w:pPr>
            <w:r w:rsidRPr="004E77F7">
              <w:rPr>
                <w:rFonts w:ascii="Times New Roman" w:eastAsia="Times New Roman" w:hAnsi="Times New Roman"/>
                <w:sz w:val="18"/>
                <w:szCs w:val="18"/>
              </w:rPr>
              <w:t>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3425A4" w:rsidRPr="004E77F7" w:rsidRDefault="005964BF" w:rsidP="00AD1117">
            <w:pPr>
              <w:spacing w:after="0" w:line="240" w:lineRule="auto"/>
              <w:jc w:val="right"/>
              <w:rPr>
                <w:rFonts w:ascii="Times New Roman" w:eastAsia="Times New Roman" w:hAnsi="Times New Roman"/>
                <w:color w:val="000000"/>
                <w:sz w:val="18"/>
                <w:szCs w:val="18"/>
                <w:lang w:eastAsia="lt-LT"/>
              </w:rPr>
            </w:pPr>
            <w:r w:rsidRPr="004E77F7">
              <w:rPr>
                <w:rFonts w:ascii="Times New Roman" w:eastAsia="Times New Roman" w:hAnsi="Times New Roman"/>
                <w:color w:val="000000"/>
                <w:sz w:val="18"/>
                <w:szCs w:val="18"/>
                <w:lang w:eastAsia="lt-LT"/>
              </w:rPr>
              <w:t>126.422.570</w:t>
            </w:r>
          </w:p>
        </w:tc>
        <w:tc>
          <w:tcPr>
            <w:tcW w:w="709" w:type="dxa"/>
            <w:tcBorders>
              <w:top w:val="nil"/>
              <w:left w:val="nil"/>
              <w:bottom w:val="single" w:sz="4" w:space="0" w:color="auto"/>
              <w:right w:val="single" w:sz="4" w:space="0" w:color="auto"/>
            </w:tcBorders>
            <w:shd w:val="clear" w:color="auto" w:fill="auto"/>
            <w:vAlign w:val="center"/>
            <w:hideMark/>
          </w:tcPr>
          <w:p w:rsidR="003425A4" w:rsidRPr="004E77F7" w:rsidRDefault="003425A4" w:rsidP="00372448">
            <w:pPr>
              <w:spacing w:after="0" w:line="240" w:lineRule="auto"/>
              <w:jc w:val="right"/>
              <w:rPr>
                <w:rFonts w:ascii="Times New Roman" w:eastAsia="Times New Roman" w:hAnsi="Times New Roman"/>
                <w:color w:val="000000"/>
                <w:sz w:val="18"/>
                <w:szCs w:val="18"/>
                <w:lang w:eastAsia="lt-LT"/>
              </w:rPr>
            </w:pPr>
            <w:r w:rsidRPr="004E77F7">
              <w:rPr>
                <w:rFonts w:ascii="Times New Roman" w:eastAsia="Times New Roman" w:hAnsi="Times New Roman"/>
                <w:color w:val="000000"/>
                <w:sz w:val="18"/>
                <w:szCs w:val="18"/>
                <w:lang w:eastAsia="lt-LT"/>
              </w:rPr>
              <w:t>85,0</w:t>
            </w:r>
          </w:p>
        </w:tc>
        <w:tc>
          <w:tcPr>
            <w:tcW w:w="425" w:type="dxa"/>
            <w:tcBorders>
              <w:top w:val="nil"/>
              <w:left w:val="nil"/>
              <w:bottom w:val="single" w:sz="4" w:space="0" w:color="auto"/>
              <w:right w:val="single" w:sz="4" w:space="0" w:color="auto"/>
            </w:tcBorders>
            <w:shd w:val="clear" w:color="auto" w:fill="auto"/>
            <w:vAlign w:val="center"/>
            <w:hideMark/>
          </w:tcPr>
          <w:p w:rsidR="003425A4" w:rsidRPr="004E77F7" w:rsidRDefault="003425A4" w:rsidP="00372448">
            <w:pPr>
              <w:spacing w:after="0" w:line="240" w:lineRule="auto"/>
              <w:jc w:val="right"/>
              <w:rPr>
                <w:rFonts w:ascii="Times New Roman" w:eastAsia="Times New Roman" w:hAnsi="Times New Roman"/>
                <w:color w:val="000000"/>
                <w:sz w:val="18"/>
                <w:szCs w:val="18"/>
                <w:lang w:eastAsia="lt-LT"/>
              </w:rPr>
            </w:pPr>
          </w:p>
        </w:tc>
        <w:tc>
          <w:tcPr>
            <w:tcW w:w="1417" w:type="dxa"/>
            <w:tcBorders>
              <w:top w:val="nil"/>
              <w:left w:val="nil"/>
              <w:bottom w:val="single" w:sz="4" w:space="0" w:color="auto"/>
              <w:right w:val="single" w:sz="4" w:space="0" w:color="auto"/>
            </w:tcBorders>
            <w:shd w:val="clear" w:color="auto" w:fill="auto"/>
            <w:vAlign w:val="center"/>
            <w:hideMark/>
          </w:tcPr>
          <w:p w:rsidR="003425A4" w:rsidRPr="004E77F7" w:rsidRDefault="003E071A" w:rsidP="00AD1117">
            <w:pPr>
              <w:spacing w:after="0" w:line="240" w:lineRule="auto"/>
              <w:jc w:val="right"/>
              <w:rPr>
                <w:rFonts w:ascii="Times New Roman" w:eastAsia="Times New Roman" w:hAnsi="Times New Roman"/>
                <w:strike/>
                <w:color w:val="000000"/>
                <w:sz w:val="18"/>
                <w:szCs w:val="18"/>
                <w:lang w:eastAsia="lt-LT"/>
              </w:rPr>
            </w:pPr>
            <w:r w:rsidRPr="004E77F7">
              <w:rPr>
                <w:rFonts w:ascii="Times New Roman" w:eastAsia="Times New Roman" w:hAnsi="Times New Roman"/>
                <w:color w:val="000000"/>
                <w:sz w:val="18"/>
                <w:szCs w:val="18"/>
                <w:lang w:eastAsia="lt-LT"/>
              </w:rPr>
              <w:t>100.869.940</w:t>
            </w:r>
          </w:p>
        </w:tc>
        <w:tc>
          <w:tcPr>
            <w:tcW w:w="1276" w:type="dxa"/>
            <w:tcBorders>
              <w:top w:val="nil"/>
              <w:left w:val="nil"/>
              <w:bottom w:val="single" w:sz="4" w:space="0" w:color="auto"/>
              <w:right w:val="single" w:sz="4" w:space="0" w:color="auto"/>
            </w:tcBorders>
            <w:shd w:val="clear" w:color="auto" w:fill="auto"/>
            <w:vAlign w:val="center"/>
            <w:hideMark/>
          </w:tcPr>
          <w:p w:rsidR="003425A4" w:rsidRPr="004E77F7" w:rsidRDefault="003E071A" w:rsidP="00AD1117">
            <w:pPr>
              <w:spacing w:after="0" w:line="240" w:lineRule="auto"/>
              <w:jc w:val="right"/>
              <w:rPr>
                <w:rFonts w:ascii="Times New Roman" w:eastAsia="Times New Roman" w:hAnsi="Times New Roman"/>
                <w:strike/>
                <w:color w:val="000000"/>
                <w:sz w:val="18"/>
                <w:szCs w:val="18"/>
                <w:lang w:eastAsia="lt-LT"/>
              </w:rPr>
            </w:pPr>
            <w:r w:rsidRPr="004E77F7">
              <w:rPr>
                <w:rFonts w:ascii="Times New Roman" w:eastAsia="Times New Roman" w:hAnsi="Times New Roman"/>
                <w:color w:val="000000"/>
                <w:sz w:val="18"/>
                <w:szCs w:val="18"/>
                <w:lang w:eastAsia="lt-LT"/>
              </w:rPr>
              <w:t>17.800.578</w:t>
            </w:r>
          </w:p>
        </w:tc>
        <w:tc>
          <w:tcPr>
            <w:tcW w:w="1134" w:type="dxa"/>
            <w:tcBorders>
              <w:top w:val="nil"/>
              <w:left w:val="nil"/>
              <w:bottom w:val="single" w:sz="4" w:space="0" w:color="auto"/>
              <w:right w:val="single" w:sz="4" w:space="0" w:color="auto"/>
            </w:tcBorders>
            <w:shd w:val="clear" w:color="auto" w:fill="auto"/>
            <w:vAlign w:val="center"/>
            <w:hideMark/>
          </w:tcPr>
          <w:p w:rsidR="003425A4" w:rsidRPr="004E77F7" w:rsidRDefault="003E071A" w:rsidP="00AD1117">
            <w:pPr>
              <w:spacing w:after="0" w:line="240" w:lineRule="auto"/>
              <w:jc w:val="right"/>
              <w:rPr>
                <w:rFonts w:ascii="Times New Roman" w:eastAsia="Times New Roman" w:hAnsi="Times New Roman"/>
                <w:strike/>
                <w:color w:val="000000"/>
                <w:sz w:val="18"/>
                <w:szCs w:val="18"/>
                <w:lang w:eastAsia="lt-LT"/>
              </w:rPr>
            </w:pPr>
            <w:r w:rsidRPr="004E77F7">
              <w:rPr>
                <w:rFonts w:ascii="Times New Roman" w:eastAsia="Times New Roman" w:hAnsi="Times New Roman"/>
                <w:color w:val="000000"/>
                <w:sz w:val="18"/>
                <w:szCs w:val="18"/>
                <w:lang w:eastAsia="lt-LT"/>
              </w:rPr>
              <w:t>6.589.244</w:t>
            </w:r>
          </w:p>
        </w:tc>
        <w:tc>
          <w:tcPr>
            <w:tcW w:w="1134" w:type="dxa"/>
            <w:tcBorders>
              <w:top w:val="nil"/>
              <w:left w:val="nil"/>
              <w:bottom w:val="single" w:sz="4" w:space="0" w:color="auto"/>
              <w:right w:val="single" w:sz="4" w:space="0" w:color="auto"/>
            </w:tcBorders>
            <w:shd w:val="clear" w:color="auto" w:fill="auto"/>
            <w:vAlign w:val="center"/>
            <w:hideMark/>
          </w:tcPr>
          <w:p w:rsidR="003425A4" w:rsidRPr="004E77F7" w:rsidRDefault="003E071A" w:rsidP="00AD1117">
            <w:pPr>
              <w:spacing w:after="0" w:line="240" w:lineRule="auto"/>
              <w:jc w:val="right"/>
              <w:rPr>
                <w:rFonts w:ascii="Times New Roman" w:eastAsia="Times New Roman" w:hAnsi="Times New Roman"/>
                <w:strike/>
                <w:color w:val="000000"/>
                <w:sz w:val="18"/>
                <w:szCs w:val="18"/>
                <w:lang w:eastAsia="lt-LT"/>
              </w:rPr>
            </w:pPr>
            <w:r w:rsidRPr="004E77F7">
              <w:rPr>
                <w:rFonts w:ascii="Times New Roman" w:eastAsia="Times New Roman" w:hAnsi="Times New Roman"/>
                <w:color w:val="000000"/>
                <w:sz w:val="18"/>
                <w:szCs w:val="18"/>
                <w:lang w:eastAsia="lt-LT"/>
              </w:rPr>
              <w:t>1.162.808</w:t>
            </w:r>
          </w:p>
        </w:tc>
        <w:tc>
          <w:tcPr>
            <w:tcW w:w="567" w:type="dxa"/>
            <w:tcBorders>
              <w:top w:val="nil"/>
              <w:left w:val="nil"/>
              <w:bottom w:val="single" w:sz="4" w:space="0" w:color="auto"/>
              <w:right w:val="single" w:sz="4" w:space="0" w:color="auto"/>
            </w:tcBorders>
            <w:shd w:val="clear" w:color="auto" w:fill="auto"/>
            <w:vAlign w:val="center"/>
            <w:hideMark/>
          </w:tcPr>
          <w:p w:rsidR="003425A4" w:rsidRPr="00DF1549" w:rsidRDefault="003425A4" w:rsidP="00F6184C">
            <w:pPr>
              <w:spacing w:after="0" w:line="240" w:lineRule="auto"/>
              <w:jc w:val="right"/>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6,14</w:t>
            </w:r>
          </w:p>
        </w:tc>
      </w:tr>
      <w:tr w:rsidR="00372448" w:rsidRPr="00DF1549" w:rsidTr="00650E41">
        <w:trPr>
          <w:trHeight w:val="510"/>
        </w:trPr>
        <w:tc>
          <w:tcPr>
            <w:tcW w:w="1418" w:type="dxa"/>
            <w:tcBorders>
              <w:top w:val="nil"/>
              <w:left w:val="single" w:sz="4" w:space="0" w:color="auto"/>
              <w:bottom w:val="single" w:sz="4" w:space="0" w:color="auto"/>
              <w:right w:val="single" w:sz="4" w:space="0" w:color="auto"/>
            </w:tcBorders>
            <w:shd w:val="clear" w:color="auto" w:fill="auto"/>
            <w:hideMark/>
          </w:tcPr>
          <w:p w:rsidR="0002588A" w:rsidRPr="006F2E2E" w:rsidRDefault="0002588A" w:rsidP="00AA7F36">
            <w:pPr>
              <w:widowControl w:val="0"/>
              <w:tabs>
                <w:tab w:val="left" w:pos="622"/>
              </w:tabs>
              <w:spacing w:after="0" w:line="240" w:lineRule="auto"/>
              <w:rPr>
                <w:rFonts w:ascii="Times New Roman" w:hAnsi="Times New Roman"/>
                <w:sz w:val="18"/>
                <w:szCs w:val="18"/>
              </w:rPr>
            </w:pPr>
            <w:r w:rsidRPr="006F2E2E">
              <w:rPr>
                <w:rFonts w:ascii="Times New Roman" w:eastAsia="AngsanaUPC" w:hAnsi="Times New Roman"/>
                <w:bCs/>
                <w:iCs/>
                <w:sz w:val="18"/>
                <w:szCs w:val="18"/>
                <w:lang w:eastAsia="lt-LT"/>
              </w:rPr>
              <w:t xml:space="preserve">11. Techninė parama veiksmų programos </w:t>
            </w:r>
            <w:r w:rsidRPr="006F2E2E">
              <w:rPr>
                <w:rFonts w:ascii="Times New Roman" w:eastAsia="AngsanaUPC" w:hAnsi="Times New Roman"/>
                <w:bCs/>
                <w:iCs/>
                <w:sz w:val="18"/>
                <w:szCs w:val="18"/>
                <w:lang w:eastAsia="lt-LT"/>
              </w:rPr>
              <w:lastRenderedPageBreak/>
              <w:t>administravimui</w:t>
            </w:r>
          </w:p>
        </w:tc>
        <w:tc>
          <w:tcPr>
            <w:tcW w:w="850" w:type="dxa"/>
            <w:tcBorders>
              <w:top w:val="nil"/>
              <w:left w:val="nil"/>
              <w:bottom w:val="single" w:sz="4" w:space="0" w:color="auto"/>
              <w:right w:val="single" w:sz="4" w:space="0" w:color="auto"/>
            </w:tcBorders>
            <w:shd w:val="clear" w:color="auto" w:fill="auto"/>
            <w:vAlign w:val="center"/>
            <w:hideMark/>
          </w:tcPr>
          <w:p w:rsidR="0002588A" w:rsidRPr="00DF1549" w:rsidRDefault="0002588A" w:rsidP="00F6184C">
            <w:pPr>
              <w:spacing w:after="0" w:line="240" w:lineRule="auto"/>
              <w:jc w:val="both"/>
              <w:rPr>
                <w:rFonts w:ascii="Times New Roman" w:eastAsia="Times New Roman" w:hAnsi="Times New Roman"/>
                <w:color w:val="000000"/>
                <w:sz w:val="18"/>
                <w:szCs w:val="18"/>
                <w:lang w:eastAsia="lt-LT"/>
              </w:rPr>
            </w:pPr>
            <w:r w:rsidRPr="00DF1549">
              <w:rPr>
                <w:rFonts w:ascii="Times New Roman" w:eastAsia="Times New Roman" w:hAnsi="Times New Roman"/>
                <w:color w:val="000000"/>
                <w:sz w:val="18"/>
                <w:szCs w:val="18"/>
                <w:lang w:eastAsia="lt-LT"/>
              </w:rPr>
              <w:lastRenderedPageBreak/>
              <w:t>S</w:t>
            </w:r>
            <w:r w:rsidR="003D2689">
              <w:rPr>
                <w:rFonts w:ascii="Times New Roman" w:eastAsia="Times New Roman" w:hAnsi="Times New Roman"/>
                <w:color w:val="000000"/>
                <w:sz w:val="18"/>
                <w:szCs w:val="18"/>
                <w:lang w:eastAsia="lt-LT"/>
              </w:rPr>
              <w:t>a</w:t>
            </w:r>
            <w:r w:rsidRPr="00DF1549">
              <w:rPr>
                <w:rFonts w:ascii="Times New Roman" w:eastAsia="Times New Roman" w:hAnsi="Times New Roman"/>
                <w:color w:val="000000"/>
                <w:sz w:val="18"/>
                <w:szCs w:val="18"/>
                <w:lang w:eastAsia="lt-LT"/>
              </w:rPr>
              <w:t>F</w:t>
            </w:r>
          </w:p>
        </w:tc>
        <w:tc>
          <w:tcPr>
            <w:tcW w:w="993" w:type="dxa"/>
            <w:tcBorders>
              <w:top w:val="nil"/>
              <w:left w:val="nil"/>
              <w:bottom w:val="single" w:sz="4" w:space="0" w:color="auto"/>
              <w:right w:val="single" w:sz="4" w:space="0" w:color="auto"/>
            </w:tcBorders>
            <w:shd w:val="clear" w:color="auto" w:fill="auto"/>
            <w:vAlign w:val="center"/>
            <w:hideMark/>
          </w:tcPr>
          <w:p w:rsidR="0002588A" w:rsidRPr="00DF1549" w:rsidRDefault="0002588A" w:rsidP="00F6184C">
            <w:pPr>
              <w:spacing w:after="0" w:line="240" w:lineRule="auto"/>
              <w:rPr>
                <w:rFonts w:ascii="Times New Roman" w:eastAsia="Times New Roman" w:hAnsi="Times New Roman"/>
                <w:color w:val="000000"/>
                <w:sz w:val="18"/>
                <w:szCs w:val="18"/>
                <w:lang w:eastAsia="lt-LT"/>
              </w:rPr>
            </w:pPr>
            <w:r w:rsidRPr="00DF1549">
              <w:rPr>
                <w:rFonts w:ascii="Times New Roman" w:eastAsia="Times New Roman" w:hAnsi="Times New Roman"/>
                <w:color w:val="000000"/>
                <w:sz w:val="18"/>
                <w:szCs w:val="18"/>
                <w:lang w:eastAsia="lt-LT"/>
              </w:rPr>
              <w:t>Viešosios tinkamos išlaidos</w:t>
            </w:r>
          </w:p>
        </w:tc>
        <w:tc>
          <w:tcPr>
            <w:tcW w:w="1275" w:type="dxa"/>
            <w:tcBorders>
              <w:top w:val="nil"/>
              <w:left w:val="nil"/>
              <w:bottom w:val="single" w:sz="4" w:space="0" w:color="auto"/>
              <w:right w:val="single" w:sz="4" w:space="0" w:color="auto"/>
            </w:tcBorders>
            <w:shd w:val="clear" w:color="auto" w:fill="auto"/>
            <w:vAlign w:val="center"/>
            <w:hideMark/>
          </w:tcPr>
          <w:p w:rsidR="0002588A" w:rsidRPr="00DF1549" w:rsidRDefault="0002588A" w:rsidP="00372448">
            <w:pPr>
              <w:spacing w:after="0" w:line="240" w:lineRule="auto"/>
              <w:jc w:val="right"/>
              <w:rPr>
                <w:rFonts w:ascii="Times New Roman" w:eastAsia="Times New Roman" w:hAnsi="Times New Roman"/>
                <w:color w:val="000000"/>
                <w:sz w:val="18"/>
                <w:szCs w:val="18"/>
                <w:lang w:eastAsia="lt-LT"/>
              </w:rPr>
            </w:pPr>
            <w:r w:rsidRPr="00DF1549">
              <w:rPr>
                <w:rFonts w:ascii="Times New Roman" w:eastAsia="Times New Roman" w:hAnsi="Times New Roman"/>
                <w:color w:val="000000"/>
                <w:sz w:val="18"/>
                <w:szCs w:val="18"/>
                <w:lang w:eastAsia="lt-LT"/>
              </w:rPr>
              <w:t>187.543.198</w:t>
            </w:r>
          </w:p>
        </w:tc>
        <w:tc>
          <w:tcPr>
            <w:tcW w:w="1276" w:type="dxa"/>
            <w:tcBorders>
              <w:top w:val="nil"/>
              <w:left w:val="nil"/>
              <w:bottom w:val="single" w:sz="4" w:space="0" w:color="auto"/>
              <w:right w:val="single" w:sz="4" w:space="0" w:color="auto"/>
            </w:tcBorders>
            <w:shd w:val="clear" w:color="auto" w:fill="auto"/>
            <w:vAlign w:val="center"/>
            <w:hideMark/>
          </w:tcPr>
          <w:p w:rsidR="0002588A" w:rsidRPr="00DF1549" w:rsidRDefault="0002588A" w:rsidP="00372448">
            <w:pPr>
              <w:spacing w:after="0" w:line="240" w:lineRule="auto"/>
              <w:jc w:val="right"/>
              <w:rPr>
                <w:rFonts w:ascii="Times New Roman" w:eastAsia="Times New Roman" w:hAnsi="Times New Roman"/>
                <w:color w:val="000000"/>
                <w:sz w:val="18"/>
                <w:szCs w:val="18"/>
                <w:lang w:eastAsia="lt-LT"/>
              </w:rPr>
            </w:pPr>
            <w:r w:rsidRPr="00DF1549">
              <w:rPr>
                <w:rFonts w:ascii="Times New Roman" w:eastAsia="Times New Roman" w:hAnsi="Times New Roman"/>
                <w:color w:val="000000"/>
                <w:sz w:val="18"/>
                <w:szCs w:val="18"/>
                <w:lang w:eastAsia="lt-LT"/>
              </w:rPr>
              <w:t>33.095.859</w:t>
            </w:r>
          </w:p>
        </w:tc>
        <w:tc>
          <w:tcPr>
            <w:tcW w:w="1134" w:type="dxa"/>
            <w:tcBorders>
              <w:top w:val="single" w:sz="4" w:space="0" w:color="auto"/>
              <w:left w:val="nil"/>
              <w:bottom w:val="single" w:sz="4" w:space="0" w:color="auto"/>
              <w:right w:val="single" w:sz="4" w:space="0" w:color="auto"/>
            </w:tcBorders>
            <w:vAlign w:val="center"/>
          </w:tcPr>
          <w:p w:rsidR="0002588A" w:rsidRPr="008410A2" w:rsidRDefault="0002588A" w:rsidP="00372448">
            <w:pPr>
              <w:spacing w:after="0" w:line="240" w:lineRule="auto"/>
              <w:jc w:val="right"/>
              <w:rPr>
                <w:rFonts w:ascii="Times New Roman" w:hAnsi="Times New Roman"/>
                <w:sz w:val="18"/>
                <w:szCs w:val="18"/>
              </w:rPr>
            </w:pPr>
            <w:r w:rsidRPr="008410A2">
              <w:rPr>
                <w:rFonts w:ascii="Times New Roman" w:hAnsi="Times New Roman"/>
                <w:sz w:val="18"/>
                <w:szCs w:val="18"/>
              </w:rPr>
              <w:t>33.095.859</w:t>
            </w:r>
          </w:p>
        </w:tc>
        <w:tc>
          <w:tcPr>
            <w:tcW w:w="1134" w:type="dxa"/>
            <w:tcBorders>
              <w:top w:val="single" w:sz="4" w:space="0" w:color="auto"/>
              <w:left w:val="single" w:sz="4" w:space="0" w:color="auto"/>
              <w:bottom w:val="single" w:sz="4" w:space="0" w:color="auto"/>
              <w:right w:val="single" w:sz="4" w:space="0" w:color="auto"/>
            </w:tcBorders>
            <w:vAlign w:val="center"/>
          </w:tcPr>
          <w:p w:rsidR="0002588A" w:rsidRPr="008410A2" w:rsidRDefault="0002588A" w:rsidP="00372448">
            <w:pPr>
              <w:spacing w:after="0" w:line="240" w:lineRule="auto"/>
              <w:jc w:val="right"/>
              <w:rPr>
                <w:rFonts w:ascii="Times New Roman" w:hAnsi="Times New Roman"/>
                <w:sz w:val="18"/>
                <w:szCs w:val="18"/>
              </w:rPr>
            </w:pPr>
            <w:r w:rsidRPr="008410A2">
              <w:rPr>
                <w:rFonts w:ascii="Times New Roman" w:hAnsi="Times New Roman"/>
                <w:sz w:val="18"/>
                <w:szCs w:val="18"/>
              </w:rPr>
              <w:t>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02588A" w:rsidRPr="00DF1549" w:rsidRDefault="0002588A" w:rsidP="00372448">
            <w:pPr>
              <w:spacing w:after="0" w:line="240" w:lineRule="auto"/>
              <w:jc w:val="right"/>
              <w:rPr>
                <w:rFonts w:ascii="Times New Roman" w:eastAsia="Times New Roman" w:hAnsi="Times New Roman"/>
                <w:color w:val="000000"/>
                <w:sz w:val="18"/>
                <w:szCs w:val="18"/>
                <w:lang w:eastAsia="lt-LT"/>
              </w:rPr>
            </w:pPr>
            <w:r w:rsidRPr="00DF1549">
              <w:rPr>
                <w:rFonts w:ascii="Times New Roman" w:eastAsia="Times New Roman" w:hAnsi="Times New Roman"/>
                <w:color w:val="000000"/>
                <w:sz w:val="18"/>
                <w:szCs w:val="18"/>
                <w:lang w:eastAsia="lt-LT"/>
              </w:rPr>
              <w:t>220.639.057</w:t>
            </w:r>
          </w:p>
        </w:tc>
        <w:tc>
          <w:tcPr>
            <w:tcW w:w="709" w:type="dxa"/>
            <w:tcBorders>
              <w:top w:val="nil"/>
              <w:left w:val="nil"/>
              <w:bottom w:val="single" w:sz="4" w:space="0" w:color="auto"/>
              <w:right w:val="single" w:sz="4" w:space="0" w:color="auto"/>
            </w:tcBorders>
            <w:shd w:val="clear" w:color="auto" w:fill="auto"/>
            <w:vAlign w:val="center"/>
            <w:hideMark/>
          </w:tcPr>
          <w:p w:rsidR="0002588A" w:rsidRPr="00DF1549" w:rsidRDefault="00C93D87" w:rsidP="00372448">
            <w:pPr>
              <w:spacing w:after="0" w:line="240" w:lineRule="auto"/>
              <w:jc w:val="right"/>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85,00</w:t>
            </w:r>
          </w:p>
        </w:tc>
        <w:tc>
          <w:tcPr>
            <w:tcW w:w="425" w:type="dxa"/>
            <w:tcBorders>
              <w:top w:val="nil"/>
              <w:left w:val="nil"/>
              <w:bottom w:val="single" w:sz="4" w:space="0" w:color="auto"/>
              <w:right w:val="single" w:sz="4" w:space="0" w:color="auto"/>
            </w:tcBorders>
            <w:shd w:val="clear" w:color="auto" w:fill="auto"/>
            <w:vAlign w:val="center"/>
            <w:hideMark/>
          </w:tcPr>
          <w:p w:rsidR="0002588A" w:rsidRPr="00DF1549" w:rsidRDefault="00A50C23" w:rsidP="00372448">
            <w:pPr>
              <w:spacing w:after="0" w:line="240" w:lineRule="auto"/>
              <w:jc w:val="right"/>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w:t>
            </w:r>
          </w:p>
        </w:tc>
        <w:tc>
          <w:tcPr>
            <w:tcW w:w="1417" w:type="dxa"/>
            <w:tcBorders>
              <w:top w:val="nil"/>
              <w:left w:val="nil"/>
              <w:bottom w:val="single" w:sz="4" w:space="0" w:color="auto"/>
              <w:right w:val="single" w:sz="4" w:space="0" w:color="auto"/>
            </w:tcBorders>
            <w:shd w:val="clear" w:color="auto" w:fill="auto"/>
            <w:vAlign w:val="center"/>
            <w:hideMark/>
          </w:tcPr>
          <w:p w:rsidR="0002588A" w:rsidRPr="00DF1549" w:rsidRDefault="0002588A" w:rsidP="00372448">
            <w:pPr>
              <w:spacing w:after="0" w:line="240" w:lineRule="auto"/>
              <w:jc w:val="right"/>
              <w:rPr>
                <w:rFonts w:ascii="Times New Roman" w:eastAsia="Times New Roman" w:hAnsi="Times New Roman"/>
                <w:color w:val="000000"/>
                <w:sz w:val="18"/>
                <w:szCs w:val="18"/>
                <w:lang w:eastAsia="lt-LT"/>
              </w:rPr>
            </w:pPr>
            <w:r w:rsidRPr="00DF1549">
              <w:rPr>
                <w:rFonts w:ascii="Times New Roman" w:eastAsia="Times New Roman" w:hAnsi="Times New Roman"/>
                <w:color w:val="000000"/>
                <w:sz w:val="18"/>
                <w:szCs w:val="18"/>
                <w:lang w:eastAsia="lt-LT"/>
              </w:rPr>
              <w:t>187.543.198</w:t>
            </w:r>
          </w:p>
        </w:tc>
        <w:tc>
          <w:tcPr>
            <w:tcW w:w="1276" w:type="dxa"/>
            <w:tcBorders>
              <w:top w:val="nil"/>
              <w:left w:val="nil"/>
              <w:bottom w:val="single" w:sz="4" w:space="0" w:color="auto"/>
              <w:right w:val="single" w:sz="4" w:space="0" w:color="auto"/>
            </w:tcBorders>
            <w:shd w:val="clear" w:color="auto" w:fill="auto"/>
            <w:vAlign w:val="center"/>
            <w:hideMark/>
          </w:tcPr>
          <w:p w:rsidR="0002588A" w:rsidRPr="00DF1549" w:rsidRDefault="0002588A" w:rsidP="00F12581">
            <w:pPr>
              <w:spacing w:after="0" w:line="240" w:lineRule="auto"/>
              <w:jc w:val="right"/>
              <w:rPr>
                <w:rFonts w:ascii="Times New Roman" w:eastAsia="Times New Roman" w:hAnsi="Times New Roman"/>
                <w:color w:val="000000"/>
                <w:sz w:val="18"/>
                <w:szCs w:val="18"/>
                <w:lang w:eastAsia="lt-LT"/>
              </w:rPr>
            </w:pPr>
            <w:r w:rsidRPr="00DF1549">
              <w:rPr>
                <w:rFonts w:ascii="Times New Roman" w:eastAsia="Times New Roman" w:hAnsi="Times New Roman"/>
                <w:color w:val="000000"/>
                <w:sz w:val="18"/>
                <w:szCs w:val="18"/>
                <w:lang w:eastAsia="lt-LT"/>
              </w:rPr>
              <w:t>33.095.859</w:t>
            </w:r>
          </w:p>
        </w:tc>
        <w:tc>
          <w:tcPr>
            <w:tcW w:w="1134" w:type="dxa"/>
            <w:tcBorders>
              <w:top w:val="nil"/>
              <w:left w:val="nil"/>
              <w:bottom w:val="single" w:sz="4" w:space="0" w:color="auto"/>
              <w:right w:val="single" w:sz="4" w:space="0" w:color="auto"/>
            </w:tcBorders>
            <w:shd w:val="clear" w:color="auto" w:fill="auto"/>
            <w:vAlign w:val="center"/>
            <w:hideMark/>
          </w:tcPr>
          <w:p w:rsidR="0002588A" w:rsidRPr="00DF1549" w:rsidRDefault="0002588A" w:rsidP="00372448">
            <w:pPr>
              <w:spacing w:after="0" w:line="240" w:lineRule="auto"/>
              <w:jc w:val="right"/>
              <w:rPr>
                <w:rFonts w:ascii="Times New Roman" w:eastAsia="Times New Roman" w:hAnsi="Times New Roman"/>
                <w:color w:val="000000"/>
                <w:sz w:val="18"/>
                <w:szCs w:val="18"/>
                <w:lang w:eastAsia="lt-LT"/>
              </w:rPr>
            </w:pPr>
            <w:r w:rsidRPr="00DF1549">
              <w:rPr>
                <w:rFonts w:ascii="Times New Roman" w:eastAsia="Times New Roman" w:hAnsi="Times New Roman"/>
                <w:color w:val="000000"/>
                <w:sz w:val="18"/>
                <w:szCs w:val="18"/>
                <w:lang w:eastAsia="lt-LT"/>
              </w:rPr>
              <w:t>0</w:t>
            </w:r>
          </w:p>
        </w:tc>
        <w:tc>
          <w:tcPr>
            <w:tcW w:w="1134" w:type="dxa"/>
            <w:tcBorders>
              <w:top w:val="nil"/>
              <w:left w:val="nil"/>
              <w:bottom w:val="single" w:sz="4" w:space="0" w:color="auto"/>
              <w:right w:val="single" w:sz="4" w:space="0" w:color="auto"/>
            </w:tcBorders>
            <w:shd w:val="clear" w:color="auto" w:fill="auto"/>
            <w:vAlign w:val="center"/>
            <w:hideMark/>
          </w:tcPr>
          <w:p w:rsidR="0002588A" w:rsidRPr="00DF1549" w:rsidRDefault="0002588A" w:rsidP="00372448">
            <w:pPr>
              <w:spacing w:after="0" w:line="240" w:lineRule="auto"/>
              <w:jc w:val="right"/>
              <w:rPr>
                <w:rFonts w:ascii="Times New Roman" w:eastAsia="Times New Roman" w:hAnsi="Times New Roman"/>
                <w:color w:val="000000"/>
                <w:sz w:val="18"/>
                <w:szCs w:val="18"/>
                <w:lang w:eastAsia="lt-LT"/>
              </w:rPr>
            </w:pPr>
            <w:r w:rsidRPr="00DF1549">
              <w:rPr>
                <w:rFonts w:ascii="Times New Roman" w:eastAsia="Times New Roman" w:hAnsi="Times New Roman"/>
                <w:color w:val="000000"/>
                <w:sz w:val="18"/>
                <w:szCs w:val="18"/>
                <w:lang w:eastAsia="lt-LT"/>
              </w:rPr>
              <w:t>0</w:t>
            </w:r>
          </w:p>
        </w:tc>
        <w:tc>
          <w:tcPr>
            <w:tcW w:w="567" w:type="dxa"/>
            <w:tcBorders>
              <w:top w:val="nil"/>
              <w:left w:val="nil"/>
              <w:bottom w:val="single" w:sz="4" w:space="0" w:color="auto"/>
              <w:right w:val="single" w:sz="4" w:space="0" w:color="auto"/>
            </w:tcBorders>
            <w:shd w:val="clear" w:color="auto" w:fill="auto"/>
            <w:vAlign w:val="center"/>
            <w:hideMark/>
          </w:tcPr>
          <w:p w:rsidR="0002588A" w:rsidRPr="00DF1549" w:rsidRDefault="00372448" w:rsidP="00F6184C">
            <w:pPr>
              <w:spacing w:after="0" w:line="240" w:lineRule="auto"/>
              <w:jc w:val="right"/>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0,00</w:t>
            </w:r>
          </w:p>
        </w:tc>
      </w:tr>
      <w:tr w:rsidR="00372448" w:rsidRPr="00DF1549" w:rsidTr="00650E41">
        <w:trPr>
          <w:trHeight w:val="510"/>
        </w:trPr>
        <w:tc>
          <w:tcPr>
            <w:tcW w:w="1418" w:type="dxa"/>
            <w:tcBorders>
              <w:top w:val="nil"/>
              <w:left w:val="single" w:sz="4" w:space="0" w:color="auto"/>
              <w:bottom w:val="single" w:sz="4" w:space="0" w:color="auto"/>
              <w:right w:val="single" w:sz="4" w:space="0" w:color="auto"/>
            </w:tcBorders>
            <w:shd w:val="clear" w:color="auto" w:fill="auto"/>
            <w:hideMark/>
          </w:tcPr>
          <w:p w:rsidR="0002588A" w:rsidRPr="006F2E2E" w:rsidRDefault="0002588A" w:rsidP="00AA7F36">
            <w:pPr>
              <w:widowControl w:val="0"/>
              <w:tabs>
                <w:tab w:val="left" w:pos="622"/>
              </w:tabs>
              <w:spacing w:after="0" w:line="240" w:lineRule="auto"/>
              <w:rPr>
                <w:rFonts w:ascii="Times New Roman" w:hAnsi="Times New Roman"/>
                <w:sz w:val="18"/>
                <w:szCs w:val="18"/>
              </w:rPr>
            </w:pPr>
            <w:r w:rsidRPr="006F2E2E">
              <w:rPr>
                <w:rFonts w:ascii="Times New Roman" w:eastAsia="AngsanaUPC" w:hAnsi="Times New Roman"/>
                <w:bCs/>
                <w:iCs/>
                <w:sz w:val="18"/>
                <w:szCs w:val="18"/>
                <w:lang w:eastAsia="lt-LT"/>
              </w:rPr>
              <w:lastRenderedPageBreak/>
              <w:t>12. Techninė parama informavimui apie veiksmų programą ir veiksmų programos vertinimui</w:t>
            </w:r>
          </w:p>
        </w:tc>
        <w:tc>
          <w:tcPr>
            <w:tcW w:w="850" w:type="dxa"/>
            <w:tcBorders>
              <w:top w:val="nil"/>
              <w:left w:val="nil"/>
              <w:bottom w:val="single" w:sz="4" w:space="0" w:color="auto"/>
              <w:right w:val="single" w:sz="4" w:space="0" w:color="auto"/>
            </w:tcBorders>
            <w:shd w:val="clear" w:color="auto" w:fill="auto"/>
            <w:vAlign w:val="center"/>
            <w:hideMark/>
          </w:tcPr>
          <w:p w:rsidR="0002588A" w:rsidRPr="00DF1549" w:rsidRDefault="0002588A" w:rsidP="00F6184C">
            <w:pPr>
              <w:spacing w:after="0" w:line="240" w:lineRule="auto"/>
              <w:jc w:val="both"/>
              <w:rPr>
                <w:rFonts w:ascii="Times New Roman" w:eastAsia="Times New Roman" w:hAnsi="Times New Roman"/>
                <w:color w:val="000000"/>
                <w:sz w:val="18"/>
                <w:szCs w:val="18"/>
                <w:lang w:eastAsia="lt-LT"/>
              </w:rPr>
            </w:pPr>
            <w:r w:rsidRPr="00DF1549">
              <w:rPr>
                <w:rFonts w:ascii="Times New Roman" w:eastAsia="Times New Roman" w:hAnsi="Times New Roman"/>
                <w:color w:val="000000"/>
                <w:sz w:val="18"/>
                <w:szCs w:val="18"/>
                <w:lang w:eastAsia="lt-LT"/>
              </w:rPr>
              <w:t>ESF</w:t>
            </w:r>
          </w:p>
        </w:tc>
        <w:tc>
          <w:tcPr>
            <w:tcW w:w="993" w:type="dxa"/>
            <w:tcBorders>
              <w:top w:val="nil"/>
              <w:left w:val="nil"/>
              <w:bottom w:val="single" w:sz="4" w:space="0" w:color="auto"/>
              <w:right w:val="single" w:sz="4" w:space="0" w:color="auto"/>
            </w:tcBorders>
            <w:shd w:val="clear" w:color="auto" w:fill="auto"/>
            <w:vAlign w:val="center"/>
            <w:hideMark/>
          </w:tcPr>
          <w:p w:rsidR="0002588A" w:rsidRPr="004E77F7" w:rsidRDefault="00AD1117" w:rsidP="00F6184C">
            <w:pPr>
              <w:spacing w:after="0" w:line="240" w:lineRule="auto"/>
              <w:rPr>
                <w:rFonts w:ascii="Times New Roman" w:eastAsia="Times New Roman" w:hAnsi="Times New Roman"/>
                <w:color w:val="000000"/>
                <w:sz w:val="18"/>
                <w:szCs w:val="18"/>
                <w:lang w:eastAsia="lt-LT"/>
              </w:rPr>
            </w:pPr>
            <w:r w:rsidRPr="004E77F7">
              <w:rPr>
                <w:rFonts w:ascii="Times New Roman" w:eastAsia="Times New Roman" w:hAnsi="Times New Roman"/>
                <w:color w:val="000000"/>
                <w:sz w:val="18"/>
                <w:szCs w:val="18"/>
                <w:lang w:eastAsia="lt-LT"/>
              </w:rPr>
              <w:t>Bendros tinkamos lėšos</w:t>
            </w:r>
          </w:p>
        </w:tc>
        <w:tc>
          <w:tcPr>
            <w:tcW w:w="1275" w:type="dxa"/>
            <w:tcBorders>
              <w:top w:val="nil"/>
              <w:left w:val="nil"/>
              <w:bottom w:val="single" w:sz="4" w:space="0" w:color="auto"/>
              <w:right w:val="single" w:sz="4" w:space="0" w:color="auto"/>
            </w:tcBorders>
            <w:shd w:val="clear" w:color="auto" w:fill="auto"/>
            <w:vAlign w:val="center"/>
            <w:hideMark/>
          </w:tcPr>
          <w:p w:rsidR="0002588A" w:rsidRPr="004E77F7" w:rsidRDefault="0002588A" w:rsidP="00372448">
            <w:pPr>
              <w:spacing w:after="0" w:line="240" w:lineRule="auto"/>
              <w:jc w:val="right"/>
              <w:rPr>
                <w:rFonts w:ascii="Times New Roman" w:eastAsia="Times New Roman" w:hAnsi="Times New Roman"/>
                <w:color w:val="000000"/>
                <w:sz w:val="18"/>
                <w:szCs w:val="18"/>
                <w:lang w:eastAsia="lt-LT"/>
              </w:rPr>
            </w:pPr>
            <w:r w:rsidRPr="004E77F7">
              <w:rPr>
                <w:rFonts w:ascii="Times New Roman" w:eastAsia="Times New Roman" w:hAnsi="Times New Roman"/>
                <w:color w:val="000000"/>
                <w:sz w:val="18"/>
                <w:szCs w:val="18"/>
                <w:lang w:eastAsia="lt-LT"/>
              </w:rPr>
              <w:t>25.812.183</w:t>
            </w:r>
          </w:p>
        </w:tc>
        <w:tc>
          <w:tcPr>
            <w:tcW w:w="1276" w:type="dxa"/>
            <w:tcBorders>
              <w:top w:val="nil"/>
              <w:left w:val="nil"/>
              <w:bottom w:val="single" w:sz="4" w:space="0" w:color="auto"/>
              <w:right w:val="single" w:sz="4" w:space="0" w:color="auto"/>
            </w:tcBorders>
            <w:shd w:val="clear" w:color="auto" w:fill="auto"/>
            <w:vAlign w:val="center"/>
            <w:hideMark/>
          </w:tcPr>
          <w:p w:rsidR="0002588A" w:rsidRPr="004E77F7" w:rsidRDefault="0002588A" w:rsidP="00372448">
            <w:pPr>
              <w:spacing w:after="0" w:line="240" w:lineRule="auto"/>
              <w:jc w:val="right"/>
              <w:rPr>
                <w:rFonts w:ascii="Times New Roman" w:eastAsia="Times New Roman" w:hAnsi="Times New Roman"/>
                <w:color w:val="000000"/>
                <w:sz w:val="18"/>
                <w:szCs w:val="18"/>
                <w:lang w:eastAsia="lt-LT"/>
              </w:rPr>
            </w:pPr>
            <w:r w:rsidRPr="004E77F7">
              <w:rPr>
                <w:rFonts w:ascii="Times New Roman" w:eastAsia="Times New Roman" w:hAnsi="Times New Roman"/>
                <w:color w:val="000000"/>
                <w:sz w:val="18"/>
                <w:szCs w:val="18"/>
                <w:lang w:eastAsia="lt-LT"/>
              </w:rPr>
              <w:t>4.555.092</w:t>
            </w:r>
          </w:p>
        </w:tc>
        <w:tc>
          <w:tcPr>
            <w:tcW w:w="1134" w:type="dxa"/>
            <w:tcBorders>
              <w:top w:val="single" w:sz="4" w:space="0" w:color="auto"/>
              <w:left w:val="nil"/>
              <w:bottom w:val="single" w:sz="4" w:space="0" w:color="auto"/>
              <w:right w:val="single" w:sz="4" w:space="0" w:color="auto"/>
            </w:tcBorders>
            <w:vAlign w:val="center"/>
          </w:tcPr>
          <w:p w:rsidR="0002588A" w:rsidRPr="004E77F7" w:rsidRDefault="0002588A" w:rsidP="00AD1117">
            <w:pPr>
              <w:spacing w:after="0" w:line="240" w:lineRule="auto"/>
              <w:jc w:val="right"/>
              <w:rPr>
                <w:rFonts w:ascii="Times New Roman" w:hAnsi="Times New Roman"/>
                <w:sz w:val="18"/>
                <w:szCs w:val="18"/>
              </w:rPr>
            </w:pPr>
            <w:r w:rsidRPr="004E77F7">
              <w:rPr>
                <w:rFonts w:ascii="Times New Roman" w:hAnsi="Times New Roman"/>
                <w:sz w:val="18"/>
                <w:szCs w:val="18"/>
              </w:rPr>
              <w:t>4.</w:t>
            </w:r>
            <w:r w:rsidR="00AD1117" w:rsidRPr="004E77F7">
              <w:rPr>
                <w:rFonts w:ascii="Times New Roman" w:hAnsi="Times New Roman"/>
                <w:sz w:val="18"/>
                <w:szCs w:val="18"/>
              </w:rPr>
              <w:t>496</w:t>
            </w:r>
            <w:r w:rsidRPr="004E77F7">
              <w:rPr>
                <w:rFonts w:ascii="Times New Roman" w:hAnsi="Times New Roman"/>
                <w:sz w:val="18"/>
                <w:szCs w:val="18"/>
              </w:rPr>
              <w:t>.</w:t>
            </w:r>
            <w:r w:rsidR="00AD1117" w:rsidRPr="004E77F7">
              <w:rPr>
                <w:rFonts w:ascii="Times New Roman" w:hAnsi="Times New Roman"/>
                <w:sz w:val="18"/>
                <w:szCs w:val="18"/>
              </w:rPr>
              <w:t>210</w:t>
            </w:r>
          </w:p>
        </w:tc>
        <w:tc>
          <w:tcPr>
            <w:tcW w:w="1134" w:type="dxa"/>
            <w:tcBorders>
              <w:top w:val="single" w:sz="4" w:space="0" w:color="auto"/>
              <w:left w:val="single" w:sz="4" w:space="0" w:color="auto"/>
              <w:bottom w:val="single" w:sz="4" w:space="0" w:color="auto"/>
              <w:right w:val="single" w:sz="4" w:space="0" w:color="auto"/>
            </w:tcBorders>
            <w:vAlign w:val="center"/>
          </w:tcPr>
          <w:p w:rsidR="0002588A" w:rsidRPr="004E77F7" w:rsidRDefault="00AD1117" w:rsidP="00372448">
            <w:pPr>
              <w:spacing w:after="0" w:line="240" w:lineRule="auto"/>
              <w:jc w:val="right"/>
              <w:rPr>
                <w:rFonts w:ascii="Times New Roman" w:hAnsi="Times New Roman"/>
                <w:sz w:val="18"/>
                <w:szCs w:val="18"/>
              </w:rPr>
            </w:pPr>
            <w:r w:rsidRPr="004E77F7">
              <w:rPr>
                <w:rFonts w:ascii="Times New Roman" w:hAnsi="Times New Roman"/>
                <w:sz w:val="18"/>
                <w:szCs w:val="18"/>
              </w:rPr>
              <w:t>58.882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02588A" w:rsidRPr="004E77F7" w:rsidRDefault="0002588A" w:rsidP="00372448">
            <w:pPr>
              <w:spacing w:after="0" w:line="240" w:lineRule="auto"/>
              <w:jc w:val="right"/>
              <w:rPr>
                <w:rFonts w:ascii="Times New Roman" w:eastAsia="Times New Roman" w:hAnsi="Times New Roman"/>
                <w:color w:val="000000"/>
                <w:sz w:val="18"/>
                <w:szCs w:val="18"/>
                <w:lang w:eastAsia="lt-LT"/>
              </w:rPr>
            </w:pPr>
            <w:r w:rsidRPr="004E77F7">
              <w:rPr>
                <w:rFonts w:ascii="Times New Roman" w:eastAsia="Times New Roman" w:hAnsi="Times New Roman"/>
                <w:color w:val="000000"/>
                <w:sz w:val="18"/>
                <w:szCs w:val="18"/>
                <w:lang w:eastAsia="lt-LT"/>
              </w:rPr>
              <w:t>30.367.275</w:t>
            </w:r>
          </w:p>
        </w:tc>
        <w:tc>
          <w:tcPr>
            <w:tcW w:w="709" w:type="dxa"/>
            <w:tcBorders>
              <w:top w:val="nil"/>
              <w:left w:val="nil"/>
              <w:bottom w:val="single" w:sz="4" w:space="0" w:color="auto"/>
              <w:right w:val="single" w:sz="4" w:space="0" w:color="auto"/>
            </w:tcBorders>
            <w:shd w:val="clear" w:color="auto" w:fill="auto"/>
            <w:vAlign w:val="center"/>
            <w:hideMark/>
          </w:tcPr>
          <w:p w:rsidR="0002588A" w:rsidRPr="004E77F7" w:rsidRDefault="00C93D87" w:rsidP="00372448">
            <w:pPr>
              <w:spacing w:after="0" w:line="240" w:lineRule="auto"/>
              <w:jc w:val="right"/>
              <w:rPr>
                <w:rFonts w:ascii="Times New Roman" w:eastAsia="Times New Roman" w:hAnsi="Times New Roman"/>
                <w:color w:val="000000"/>
                <w:sz w:val="18"/>
                <w:szCs w:val="18"/>
                <w:lang w:eastAsia="lt-LT"/>
              </w:rPr>
            </w:pPr>
            <w:r w:rsidRPr="004E77F7">
              <w:rPr>
                <w:rFonts w:ascii="Times New Roman" w:eastAsia="Times New Roman" w:hAnsi="Times New Roman"/>
                <w:color w:val="000000"/>
                <w:sz w:val="18"/>
                <w:szCs w:val="18"/>
                <w:lang w:eastAsia="lt-LT"/>
              </w:rPr>
              <w:t>85,00</w:t>
            </w:r>
          </w:p>
        </w:tc>
        <w:tc>
          <w:tcPr>
            <w:tcW w:w="425" w:type="dxa"/>
            <w:tcBorders>
              <w:top w:val="nil"/>
              <w:left w:val="nil"/>
              <w:bottom w:val="single" w:sz="4" w:space="0" w:color="auto"/>
              <w:right w:val="single" w:sz="4" w:space="0" w:color="auto"/>
            </w:tcBorders>
            <w:shd w:val="clear" w:color="auto" w:fill="auto"/>
            <w:vAlign w:val="center"/>
            <w:hideMark/>
          </w:tcPr>
          <w:p w:rsidR="0002588A" w:rsidRPr="004E77F7" w:rsidRDefault="00A50C23" w:rsidP="00372448">
            <w:pPr>
              <w:spacing w:after="0" w:line="240" w:lineRule="auto"/>
              <w:jc w:val="right"/>
              <w:rPr>
                <w:rFonts w:ascii="Times New Roman" w:eastAsia="Times New Roman" w:hAnsi="Times New Roman"/>
                <w:sz w:val="18"/>
                <w:szCs w:val="18"/>
                <w:lang w:eastAsia="lt-LT"/>
              </w:rPr>
            </w:pPr>
            <w:r w:rsidRPr="004E77F7">
              <w:rPr>
                <w:rFonts w:ascii="Times New Roman" w:eastAsia="Times New Roman" w:hAnsi="Times New Roman"/>
                <w:sz w:val="18"/>
                <w:szCs w:val="18"/>
                <w:lang w:eastAsia="lt-LT"/>
              </w:rPr>
              <w:t>.</w:t>
            </w:r>
          </w:p>
        </w:tc>
        <w:tc>
          <w:tcPr>
            <w:tcW w:w="1417" w:type="dxa"/>
            <w:tcBorders>
              <w:top w:val="nil"/>
              <w:left w:val="nil"/>
              <w:bottom w:val="single" w:sz="4" w:space="0" w:color="auto"/>
              <w:right w:val="single" w:sz="4" w:space="0" w:color="auto"/>
            </w:tcBorders>
            <w:shd w:val="clear" w:color="auto" w:fill="auto"/>
            <w:vAlign w:val="center"/>
            <w:hideMark/>
          </w:tcPr>
          <w:p w:rsidR="0002588A" w:rsidRPr="004E77F7" w:rsidRDefault="0002588A" w:rsidP="00372448">
            <w:pPr>
              <w:spacing w:after="0" w:line="240" w:lineRule="auto"/>
              <w:jc w:val="right"/>
              <w:rPr>
                <w:rFonts w:ascii="Times New Roman" w:eastAsia="Times New Roman" w:hAnsi="Times New Roman"/>
                <w:sz w:val="18"/>
                <w:szCs w:val="18"/>
                <w:lang w:eastAsia="lt-LT"/>
              </w:rPr>
            </w:pPr>
            <w:r w:rsidRPr="004E77F7">
              <w:rPr>
                <w:rFonts w:ascii="Times New Roman" w:eastAsia="Times New Roman" w:hAnsi="Times New Roman"/>
                <w:sz w:val="18"/>
                <w:szCs w:val="18"/>
                <w:lang w:eastAsia="lt-LT"/>
              </w:rPr>
              <w:t>25.812.183</w:t>
            </w:r>
          </w:p>
        </w:tc>
        <w:tc>
          <w:tcPr>
            <w:tcW w:w="1276" w:type="dxa"/>
            <w:tcBorders>
              <w:top w:val="nil"/>
              <w:left w:val="nil"/>
              <w:bottom w:val="single" w:sz="4" w:space="0" w:color="auto"/>
              <w:right w:val="single" w:sz="4" w:space="0" w:color="auto"/>
            </w:tcBorders>
            <w:shd w:val="clear" w:color="auto" w:fill="auto"/>
            <w:vAlign w:val="center"/>
            <w:hideMark/>
          </w:tcPr>
          <w:p w:rsidR="0002588A" w:rsidRPr="004E77F7" w:rsidRDefault="0002588A" w:rsidP="00372448">
            <w:pPr>
              <w:spacing w:after="0" w:line="240" w:lineRule="auto"/>
              <w:jc w:val="right"/>
              <w:rPr>
                <w:rFonts w:ascii="Times New Roman" w:eastAsia="Times New Roman" w:hAnsi="Times New Roman"/>
                <w:sz w:val="18"/>
                <w:szCs w:val="18"/>
                <w:lang w:eastAsia="lt-LT"/>
              </w:rPr>
            </w:pPr>
            <w:r w:rsidRPr="004E77F7">
              <w:rPr>
                <w:rFonts w:ascii="Times New Roman" w:eastAsia="Times New Roman" w:hAnsi="Times New Roman"/>
                <w:sz w:val="18"/>
                <w:szCs w:val="18"/>
                <w:lang w:eastAsia="lt-LT"/>
              </w:rPr>
              <w:t>4.555.092</w:t>
            </w:r>
            <w:r w:rsidR="00914A12" w:rsidRPr="004E77F7">
              <w:rPr>
                <w:rFonts w:ascii="Times New Roman" w:eastAsia="Times New Roman" w:hAnsi="Times New Roman"/>
                <w:sz w:val="18"/>
                <w:szCs w:val="18"/>
                <w:lang w:eastAsia="lt-LT"/>
              </w:rPr>
              <w:t>,00</w:t>
            </w:r>
          </w:p>
        </w:tc>
        <w:tc>
          <w:tcPr>
            <w:tcW w:w="1134" w:type="dxa"/>
            <w:tcBorders>
              <w:top w:val="nil"/>
              <w:left w:val="nil"/>
              <w:bottom w:val="single" w:sz="4" w:space="0" w:color="auto"/>
              <w:right w:val="single" w:sz="4" w:space="0" w:color="auto"/>
            </w:tcBorders>
            <w:shd w:val="clear" w:color="auto" w:fill="auto"/>
            <w:vAlign w:val="center"/>
            <w:hideMark/>
          </w:tcPr>
          <w:p w:rsidR="0002588A" w:rsidRPr="004E77F7" w:rsidRDefault="0002588A" w:rsidP="00372448">
            <w:pPr>
              <w:spacing w:after="0" w:line="240" w:lineRule="auto"/>
              <w:jc w:val="right"/>
              <w:rPr>
                <w:rFonts w:ascii="Times New Roman" w:eastAsia="Times New Roman" w:hAnsi="Times New Roman"/>
                <w:sz w:val="18"/>
                <w:szCs w:val="18"/>
                <w:lang w:eastAsia="lt-LT"/>
              </w:rPr>
            </w:pPr>
            <w:r w:rsidRPr="004E77F7">
              <w:rPr>
                <w:rFonts w:ascii="Times New Roman" w:eastAsia="Times New Roman" w:hAnsi="Times New Roman"/>
                <w:sz w:val="18"/>
                <w:szCs w:val="18"/>
                <w:lang w:eastAsia="lt-LT"/>
              </w:rPr>
              <w:t>0</w:t>
            </w:r>
          </w:p>
        </w:tc>
        <w:tc>
          <w:tcPr>
            <w:tcW w:w="1134" w:type="dxa"/>
            <w:tcBorders>
              <w:top w:val="nil"/>
              <w:left w:val="nil"/>
              <w:bottom w:val="single" w:sz="4" w:space="0" w:color="auto"/>
              <w:right w:val="single" w:sz="4" w:space="0" w:color="auto"/>
            </w:tcBorders>
            <w:shd w:val="clear" w:color="auto" w:fill="auto"/>
            <w:vAlign w:val="center"/>
            <w:hideMark/>
          </w:tcPr>
          <w:p w:rsidR="0002588A" w:rsidRPr="004E77F7" w:rsidRDefault="0002588A" w:rsidP="00372448">
            <w:pPr>
              <w:spacing w:after="0" w:line="240" w:lineRule="auto"/>
              <w:jc w:val="right"/>
              <w:rPr>
                <w:rFonts w:ascii="Times New Roman" w:eastAsia="Times New Roman" w:hAnsi="Times New Roman"/>
                <w:sz w:val="18"/>
                <w:szCs w:val="18"/>
                <w:lang w:eastAsia="lt-LT"/>
              </w:rPr>
            </w:pPr>
            <w:r w:rsidRPr="004E77F7">
              <w:rPr>
                <w:rFonts w:ascii="Times New Roman" w:eastAsia="Times New Roman" w:hAnsi="Times New Roman"/>
                <w:sz w:val="18"/>
                <w:szCs w:val="18"/>
                <w:lang w:eastAsia="lt-LT"/>
              </w:rPr>
              <w:t>0</w:t>
            </w:r>
          </w:p>
        </w:tc>
        <w:tc>
          <w:tcPr>
            <w:tcW w:w="567" w:type="dxa"/>
            <w:tcBorders>
              <w:top w:val="nil"/>
              <w:left w:val="nil"/>
              <w:bottom w:val="single" w:sz="4" w:space="0" w:color="auto"/>
              <w:right w:val="single" w:sz="4" w:space="0" w:color="auto"/>
            </w:tcBorders>
            <w:shd w:val="clear" w:color="auto" w:fill="auto"/>
            <w:vAlign w:val="center"/>
            <w:hideMark/>
          </w:tcPr>
          <w:p w:rsidR="0002588A" w:rsidRPr="006F2E2E" w:rsidRDefault="00372448" w:rsidP="00F6184C">
            <w:pPr>
              <w:spacing w:after="0" w:line="240" w:lineRule="auto"/>
              <w:jc w:val="right"/>
              <w:rPr>
                <w:rFonts w:ascii="Times New Roman" w:eastAsia="Times New Roman" w:hAnsi="Times New Roman"/>
                <w:sz w:val="18"/>
                <w:szCs w:val="18"/>
                <w:lang w:eastAsia="lt-LT"/>
              </w:rPr>
            </w:pPr>
            <w:r>
              <w:rPr>
                <w:rFonts w:ascii="Times New Roman" w:eastAsia="Times New Roman" w:hAnsi="Times New Roman"/>
                <w:sz w:val="18"/>
                <w:szCs w:val="18"/>
                <w:lang w:eastAsia="lt-LT"/>
              </w:rPr>
              <w:t>0,00</w:t>
            </w:r>
          </w:p>
        </w:tc>
      </w:tr>
      <w:tr w:rsidR="000F7786" w:rsidRPr="00DF1549" w:rsidTr="00650E41">
        <w:trPr>
          <w:trHeight w:val="510"/>
        </w:trPr>
        <w:tc>
          <w:tcPr>
            <w:tcW w:w="1418" w:type="dxa"/>
            <w:tcBorders>
              <w:top w:val="nil"/>
              <w:left w:val="single" w:sz="4" w:space="0" w:color="auto"/>
              <w:bottom w:val="single" w:sz="4" w:space="0" w:color="auto"/>
              <w:right w:val="single" w:sz="4" w:space="0" w:color="auto"/>
            </w:tcBorders>
            <w:shd w:val="clear" w:color="auto" w:fill="auto"/>
          </w:tcPr>
          <w:p w:rsidR="000F7786" w:rsidRPr="0055506C" w:rsidRDefault="000F7786" w:rsidP="008F339D">
            <w:pPr>
              <w:widowControl w:val="0"/>
              <w:tabs>
                <w:tab w:val="left" w:pos="622"/>
              </w:tabs>
              <w:rPr>
                <w:rFonts w:ascii="Times New Roman" w:eastAsia="AngsanaUPC" w:hAnsi="Times New Roman"/>
                <w:bCs/>
                <w:iCs/>
                <w:sz w:val="18"/>
                <w:szCs w:val="18"/>
                <w:lang w:eastAsia="lt-LT"/>
              </w:rPr>
            </w:pPr>
            <w:r w:rsidRPr="0055506C">
              <w:rPr>
                <w:rFonts w:ascii="Times New Roman" w:hAnsi="Times New Roman"/>
                <w:color w:val="000000"/>
                <w:sz w:val="18"/>
                <w:szCs w:val="18"/>
                <w:lang w:eastAsia="lt-LT"/>
              </w:rPr>
              <w:t>13. Veiksmų, skirtų COVID-19 pandemijos sukeltai krizei įveikti, skatinimas ir pasirengimas aplinką tausojančiam, skaitmeniniam ir tvariam ekonomikos atgaivinimui</w:t>
            </w:r>
          </w:p>
        </w:tc>
        <w:tc>
          <w:tcPr>
            <w:tcW w:w="850" w:type="dxa"/>
            <w:tcBorders>
              <w:top w:val="nil"/>
              <w:left w:val="nil"/>
              <w:bottom w:val="single" w:sz="4" w:space="0" w:color="auto"/>
              <w:right w:val="single" w:sz="4" w:space="0" w:color="auto"/>
            </w:tcBorders>
            <w:shd w:val="clear" w:color="auto" w:fill="auto"/>
            <w:vAlign w:val="center"/>
          </w:tcPr>
          <w:p w:rsidR="000F7786" w:rsidRPr="0055506C" w:rsidRDefault="000F7786" w:rsidP="008F339D">
            <w:pPr>
              <w:jc w:val="both"/>
              <w:rPr>
                <w:rFonts w:ascii="Times New Roman" w:hAnsi="Times New Roman"/>
                <w:color w:val="000000"/>
                <w:sz w:val="18"/>
                <w:szCs w:val="18"/>
                <w:lang w:eastAsia="lt-LT"/>
              </w:rPr>
            </w:pPr>
            <w:r w:rsidRPr="0055506C">
              <w:rPr>
                <w:rFonts w:ascii="Times New Roman" w:hAnsi="Times New Roman"/>
                <w:color w:val="000000"/>
                <w:sz w:val="18"/>
                <w:szCs w:val="18"/>
                <w:lang w:eastAsia="lt-LT"/>
              </w:rPr>
              <w:t>ERPF</w:t>
            </w:r>
          </w:p>
        </w:tc>
        <w:tc>
          <w:tcPr>
            <w:tcW w:w="993" w:type="dxa"/>
            <w:tcBorders>
              <w:top w:val="nil"/>
              <w:left w:val="nil"/>
              <w:bottom w:val="single" w:sz="4" w:space="0" w:color="auto"/>
              <w:right w:val="single" w:sz="4" w:space="0" w:color="auto"/>
            </w:tcBorders>
            <w:shd w:val="clear" w:color="auto" w:fill="auto"/>
            <w:vAlign w:val="center"/>
          </w:tcPr>
          <w:p w:rsidR="000F7786" w:rsidRPr="0055506C" w:rsidRDefault="000F7786" w:rsidP="008F339D">
            <w:pPr>
              <w:rPr>
                <w:rFonts w:ascii="Times New Roman" w:hAnsi="Times New Roman"/>
                <w:sz w:val="18"/>
                <w:szCs w:val="18"/>
                <w:lang w:eastAsia="lt-LT"/>
              </w:rPr>
            </w:pPr>
            <w:r w:rsidRPr="0055506C">
              <w:rPr>
                <w:rFonts w:ascii="Times New Roman" w:hAnsi="Times New Roman"/>
                <w:sz w:val="18"/>
                <w:szCs w:val="18"/>
                <w:lang w:eastAsia="lt-LT"/>
              </w:rPr>
              <w:t>Viešosios tinkamos išlaidos</w:t>
            </w:r>
          </w:p>
        </w:tc>
        <w:tc>
          <w:tcPr>
            <w:tcW w:w="1275" w:type="dxa"/>
            <w:tcBorders>
              <w:top w:val="nil"/>
              <w:left w:val="nil"/>
              <w:bottom w:val="single" w:sz="4" w:space="0" w:color="auto"/>
              <w:right w:val="single" w:sz="4" w:space="0" w:color="auto"/>
            </w:tcBorders>
            <w:shd w:val="clear" w:color="auto" w:fill="auto"/>
            <w:vAlign w:val="center"/>
          </w:tcPr>
          <w:p w:rsidR="000F7786" w:rsidRPr="0055506C" w:rsidRDefault="0076682D" w:rsidP="008F339D">
            <w:pPr>
              <w:jc w:val="right"/>
              <w:rPr>
                <w:rFonts w:ascii="Times New Roman" w:hAnsi="Times New Roman"/>
                <w:color w:val="000000"/>
                <w:sz w:val="18"/>
                <w:szCs w:val="18"/>
                <w:lang w:eastAsia="lt-LT"/>
              </w:rPr>
            </w:pPr>
            <w:r w:rsidRPr="0076682D">
              <w:rPr>
                <w:rFonts w:ascii="Times New Roman" w:hAnsi="Times New Roman"/>
                <w:color w:val="000000"/>
                <w:sz w:val="18"/>
                <w:szCs w:val="18"/>
                <w:lang w:eastAsia="lt-LT"/>
              </w:rPr>
              <w:t>278.146.704</w:t>
            </w:r>
          </w:p>
        </w:tc>
        <w:tc>
          <w:tcPr>
            <w:tcW w:w="1276" w:type="dxa"/>
            <w:tcBorders>
              <w:top w:val="nil"/>
              <w:left w:val="nil"/>
              <w:bottom w:val="single" w:sz="4" w:space="0" w:color="auto"/>
              <w:right w:val="single" w:sz="4" w:space="0" w:color="auto"/>
            </w:tcBorders>
            <w:shd w:val="clear" w:color="auto" w:fill="auto"/>
            <w:vAlign w:val="center"/>
          </w:tcPr>
          <w:p w:rsidR="000F7786" w:rsidRPr="0055506C" w:rsidRDefault="000F7786" w:rsidP="008F339D">
            <w:pPr>
              <w:jc w:val="right"/>
              <w:rPr>
                <w:rFonts w:ascii="Times New Roman" w:hAnsi="Times New Roman"/>
                <w:color w:val="000000"/>
                <w:sz w:val="18"/>
                <w:szCs w:val="18"/>
                <w:lang w:eastAsia="lt-LT"/>
              </w:rPr>
            </w:pPr>
            <w:r w:rsidRPr="0055506C">
              <w:rPr>
                <w:rFonts w:ascii="Times New Roman" w:hAnsi="Times New Roman"/>
                <w:color w:val="000000"/>
                <w:sz w:val="18"/>
                <w:szCs w:val="18"/>
                <w:lang w:eastAsia="lt-LT"/>
              </w:rPr>
              <w:t>0</w:t>
            </w:r>
          </w:p>
        </w:tc>
        <w:tc>
          <w:tcPr>
            <w:tcW w:w="1134" w:type="dxa"/>
            <w:tcBorders>
              <w:top w:val="single" w:sz="4" w:space="0" w:color="auto"/>
              <w:left w:val="nil"/>
              <w:bottom w:val="single" w:sz="4" w:space="0" w:color="auto"/>
              <w:right w:val="single" w:sz="4" w:space="0" w:color="auto"/>
            </w:tcBorders>
            <w:vAlign w:val="center"/>
          </w:tcPr>
          <w:p w:rsidR="000F7786" w:rsidRPr="0055506C" w:rsidRDefault="000F7786" w:rsidP="008F339D">
            <w:pPr>
              <w:jc w:val="right"/>
              <w:rPr>
                <w:rFonts w:ascii="Times New Roman" w:hAnsi="Times New Roman"/>
                <w:sz w:val="18"/>
                <w:szCs w:val="18"/>
              </w:rPr>
            </w:pPr>
            <w:r w:rsidRPr="0055506C">
              <w:rPr>
                <w:rFonts w:ascii="Times New Roman" w:hAnsi="Times New Roman"/>
                <w:sz w:val="18"/>
                <w:szCs w:val="18"/>
              </w:rPr>
              <w:t>0</w:t>
            </w:r>
          </w:p>
        </w:tc>
        <w:tc>
          <w:tcPr>
            <w:tcW w:w="1134" w:type="dxa"/>
            <w:tcBorders>
              <w:top w:val="single" w:sz="4" w:space="0" w:color="auto"/>
              <w:left w:val="single" w:sz="4" w:space="0" w:color="auto"/>
              <w:bottom w:val="single" w:sz="4" w:space="0" w:color="auto"/>
              <w:right w:val="single" w:sz="4" w:space="0" w:color="auto"/>
            </w:tcBorders>
            <w:vAlign w:val="center"/>
          </w:tcPr>
          <w:p w:rsidR="000F7786" w:rsidRPr="0055506C" w:rsidRDefault="000F7786" w:rsidP="008F339D">
            <w:pPr>
              <w:jc w:val="right"/>
              <w:rPr>
                <w:rFonts w:ascii="Times New Roman" w:hAnsi="Times New Roman"/>
                <w:sz w:val="18"/>
                <w:szCs w:val="18"/>
              </w:rPr>
            </w:pPr>
            <w:r w:rsidRPr="0055506C">
              <w:rPr>
                <w:rFonts w:ascii="Times New Roman" w:hAnsi="Times New Roman"/>
                <w:color w:val="000000"/>
                <w:sz w:val="18"/>
                <w:szCs w:val="18"/>
                <w:lang w:eastAsia="lt-LT"/>
              </w:rPr>
              <w:t>0</w:t>
            </w:r>
          </w:p>
        </w:tc>
        <w:tc>
          <w:tcPr>
            <w:tcW w:w="1276" w:type="dxa"/>
            <w:tcBorders>
              <w:top w:val="nil"/>
              <w:left w:val="single" w:sz="4" w:space="0" w:color="auto"/>
              <w:bottom w:val="single" w:sz="4" w:space="0" w:color="auto"/>
              <w:right w:val="single" w:sz="4" w:space="0" w:color="auto"/>
            </w:tcBorders>
            <w:shd w:val="clear" w:color="auto" w:fill="auto"/>
            <w:vAlign w:val="center"/>
          </w:tcPr>
          <w:p w:rsidR="000F7786" w:rsidRPr="0055506C" w:rsidRDefault="0076682D" w:rsidP="008F339D">
            <w:pPr>
              <w:jc w:val="right"/>
              <w:rPr>
                <w:rFonts w:ascii="Times New Roman" w:hAnsi="Times New Roman"/>
                <w:color w:val="000000"/>
                <w:sz w:val="18"/>
                <w:szCs w:val="18"/>
                <w:lang w:eastAsia="lt-LT"/>
              </w:rPr>
            </w:pPr>
            <w:r w:rsidRPr="0076682D">
              <w:rPr>
                <w:rFonts w:ascii="Times New Roman" w:hAnsi="Times New Roman"/>
                <w:color w:val="000000"/>
                <w:sz w:val="18"/>
                <w:szCs w:val="18"/>
                <w:lang w:eastAsia="lt-LT"/>
              </w:rPr>
              <w:t>278.146.704</w:t>
            </w:r>
          </w:p>
        </w:tc>
        <w:tc>
          <w:tcPr>
            <w:tcW w:w="709" w:type="dxa"/>
            <w:tcBorders>
              <w:top w:val="nil"/>
              <w:left w:val="nil"/>
              <w:bottom w:val="single" w:sz="4" w:space="0" w:color="auto"/>
              <w:right w:val="single" w:sz="4" w:space="0" w:color="auto"/>
            </w:tcBorders>
            <w:shd w:val="clear" w:color="auto" w:fill="auto"/>
            <w:vAlign w:val="center"/>
          </w:tcPr>
          <w:p w:rsidR="000F7786" w:rsidRPr="0055506C" w:rsidRDefault="000F7786" w:rsidP="008F339D">
            <w:pPr>
              <w:jc w:val="right"/>
              <w:rPr>
                <w:rFonts w:ascii="Times New Roman" w:hAnsi="Times New Roman"/>
                <w:color w:val="000000"/>
                <w:sz w:val="18"/>
                <w:szCs w:val="18"/>
                <w:lang w:eastAsia="lt-LT"/>
              </w:rPr>
            </w:pPr>
            <w:r w:rsidRPr="0055506C">
              <w:rPr>
                <w:rFonts w:ascii="Times New Roman" w:hAnsi="Times New Roman"/>
                <w:color w:val="000000"/>
                <w:sz w:val="18"/>
                <w:szCs w:val="18"/>
                <w:lang w:eastAsia="lt-LT"/>
              </w:rPr>
              <w:t>100</w:t>
            </w:r>
          </w:p>
        </w:tc>
        <w:tc>
          <w:tcPr>
            <w:tcW w:w="425" w:type="dxa"/>
            <w:tcBorders>
              <w:top w:val="nil"/>
              <w:left w:val="nil"/>
              <w:bottom w:val="single" w:sz="4" w:space="0" w:color="auto"/>
              <w:right w:val="single" w:sz="4" w:space="0" w:color="auto"/>
            </w:tcBorders>
            <w:shd w:val="clear" w:color="auto" w:fill="auto"/>
            <w:vAlign w:val="center"/>
          </w:tcPr>
          <w:p w:rsidR="000F7786" w:rsidRPr="0055506C" w:rsidRDefault="000F7786" w:rsidP="008F339D">
            <w:pPr>
              <w:jc w:val="right"/>
              <w:rPr>
                <w:rFonts w:ascii="Times New Roman" w:hAnsi="Times New Roman"/>
                <w:sz w:val="18"/>
                <w:szCs w:val="18"/>
                <w:lang w:eastAsia="lt-LT"/>
              </w:rPr>
            </w:pPr>
          </w:p>
        </w:tc>
        <w:tc>
          <w:tcPr>
            <w:tcW w:w="1417" w:type="dxa"/>
            <w:tcBorders>
              <w:top w:val="nil"/>
              <w:left w:val="nil"/>
              <w:bottom w:val="single" w:sz="4" w:space="0" w:color="auto"/>
              <w:right w:val="single" w:sz="4" w:space="0" w:color="auto"/>
            </w:tcBorders>
            <w:shd w:val="clear" w:color="auto" w:fill="auto"/>
            <w:vAlign w:val="center"/>
          </w:tcPr>
          <w:p w:rsidR="000F7786" w:rsidRPr="0055506C" w:rsidRDefault="0076682D" w:rsidP="008F339D">
            <w:pPr>
              <w:jc w:val="right"/>
              <w:rPr>
                <w:rFonts w:ascii="Times New Roman" w:hAnsi="Times New Roman"/>
                <w:sz w:val="18"/>
                <w:szCs w:val="18"/>
                <w:lang w:eastAsia="lt-LT"/>
              </w:rPr>
            </w:pPr>
            <w:r w:rsidRPr="0076682D">
              <w:rPr>
                <w:rFonts w:ascii="Times New Roman" w:hAnsi="Times New Roman"/>
                <w:sz w:val="18"/>
                <w:szCs w:val="18"/>
                <w:lang w:eastAsia="lt-LT"/>
              </w:rPr>
              <w:t>278.146.704</w:t>
            </w:r>
          </w:p>
        </w:tc>
        <w:tc>
          <w:tcPr>
            <w:tcW w:w="1276" w:type="dxa"/>
            <w:tcBorders>
              <w:top w:val="nil"/>
              <w:left w:val="nil"/>
              <w:bottom w:val="single" w:sz="4" w:space="0" w:color="auto"/>
              <w:right w:val="single" w:sz="4" w:space="0" w:color="auto"/>
            </w:tcBorders>
            <w:shd w:val="clear" w:color="auto" w:fill="auto"/>
            <w:vAlign w:val="center"/>
          </w:tcPr>
          <w:p w:rsidR="000F7786" w:rsidRPr="0055506C" w:rsidRDefault="000F7786" w:rsidP="008F339D">
            <w:pPr>
              <w:jc w:val="right"/>
              <w:rPr>
                <w:rFonts w:ascii="Times New Roman" w:hAnsi="Times New Roman"/>
                <w:color w:val="000000"/>
                <w:sz w:val="18"/>
                <w:szCs w:val="18"/>
                <w:lang w:eastAsia="lt-LT"/>
              </w:rPr>
            </w:pPr>
            <w:r w:rsidRPr="0055506C">
              <w:rPr>
                <w:rFonts w:ascii="Times New Roman" w:hAnsi="Times New Roman"/>
                <w:color w:val="000000"/>
                <w:sz w:val="18"/>
                <w:szCs w:val="18"/>
                <w:lang w:eastAsia="lt-LT"/>
              </w:rPr>
              <w:t>0</w:t>
            </w:r>
          </w:p>
        </w:tc>
        <w:tc>
          <w:tcPr>
            <w:tcW w:w="1134" w:type="dxa"/>
            <w:tcBorders>
              <w:top w:val="nil"/>
              <w:left w:val="nil"/>
              <w:bottom w:val="single" w:sz="4" w:space="0" w:color="auto"/>
              <w:right w:val="single" w:sz="4" w:space="0" w:color="auto"/>
            </w:tcBorders>
            <w:shd w:val="clear" w:color="auto" w:fill="auto"/>
            <w:vAlign w:val="center"/>
          </w:tcPr>
          <w:p w:rsidR="000F7786" w:rsidRPr="0055506C" w:rsidRDefault="000F7786" w:rsidP="008F339D">
            <w:pPr>
              <w:jc w:val="right"/>
              <w:rPr>
                <w:rFonts w:ascii="Times New Roman" w:hAnsi="Times New Roman"/>
                <w:sz w:val="18"/>
                <w:szCs w:val="18"/>
                <w:lang w:eastAsia="lt-LT"/>
              </w:rPr>
            </w:pPr>
          </w:p>
        </w:tc>
        <w:tc>
          <w:tcPr>
            <w:tcW w:w="1134" w:type="dxa"/>
            <w:tcBorders>
              <w:top w:val="nil"/>
              <w:left w:val="nil"/>
              <w:bottom w:val="single" w:sz="4" w:space="0" w:color="auto"/>
              <w:right w:val="single" w:sz="4" w:space="0" w:color="auto"/>
            </w:tcBorders>
            <w:shd w:val="clear" w:color="auto" w:fill="auto"/>
            <w:vAlign w:val="center"/>
          </w:tcPr>
          <w:p w:rsidR="000F7786" w:rsidRPr="0055506C" w:rsidRDefault="000F7786" w:rsidP="008F339D">
            <w:pPr>
              <w:jc w:val="right"/>
              <w:rPr>
                <w:rFonts w:ascii="Times New Roman" w:hAnsi="Times New Roman"/>
                <w:sz w:val="18"/>
                <w:szCs w:val="18"/>
                <w:lang w:eastAsia="lt-LT"/>
              </w:rPr>
            </w:pPr>
            <w:r w:rsidRPr="0055506C">
              <w:rPr>
                <w:rFonts w:ascii="Times New Roman" w:hAnsi="Times New Roman"/>
                <w:sz w:val="18"/>
                <w:szCs w:val="18"/>
                <w:lang w:eastAsia="lt-LT"/>
              </w:rPr>
              <w:t>0</w:t>
            </w:r>
          </w:p>
        </w:tc>
        <w:tc>
          <w:tcPr>
            <w:tcW w:w="567" w:type="dxa"/>
            <w:tcBorders>
              <w:top w:val="nil"/>
              <w:left w:val="nil"/>
              <w:bottom w:val="single" w:sz="4" w:space="0" w:color="auto"/>
              <w:right w:val="single" w:sz="4" w:space="0" w:color="auto"/>
            </w:tcBorders>
            <w:shd w:val="clear" w:color="auto" w:fill="auto"/>
            <w:vAlign w:val="center"/>
          </w:tcPr>
          <w:p w:rsidR="000F7786" w:rsidRPr="0055506C" w:rsidRDefault="000F7786" w:rsidP="008F339D">
            <w:pPr>
              <w:jc w:val="right"/>
              <w:rPr>
                <w:rFonts w:ascii="Times New Roman" w:hAnsi="Times New Roman"/>
                <w:sz w:val="18"/>
                <w:szCs w:val="18"/>
                <w:lang w:eastAsia="lt-LT"/>
              </w:rPr>
            </w:pPr>
            <w:r w:rsidRPr="0055506C">
              <w:rPr>
                <w:rFonts w:ascii="Times New Roman" w:hAnsi="Times New Roman"/>
                <w:sz w:val="18"/>
                <w:szCs w:val="18"/>
                <w:lang w:eastAsia="lt-LT"/>
              </w:rPr>
              <w:t>0.00</w:t>
            </w:r>
          </w:p>
        </w:tc>
      </w:tr>
      <w:tr w:rsidR="000F7786" w:rsidRPr="00DF1549" w:rsidTr="00650E41">
        <w:trPr>
          <w:trHeight w:val="510"/>
        </w:trPr>
        <w:tc>
          <w:tcPr>
            <w:tcW w:w="1418" w:type="dxa"/>
            <w:tcBorders>
              <w:top w:val="nil"/>
              <w:left w:val="single" w:sz="4" w:space="0" w:color="auto"/>
              <w:bottom w:val="single" w:sz="4" w:space="0" w:color="auto"/>
              <w:right w:val="single" w:sz="4" w:space="0" w:color="auto"/>
            </w:tcBorders>
            <w:shd w:val="clear" w:color="auto" w:fill="auto"/>
          </w:tcPr>
          <w:p w:rsidR="000F7786" w:rsidRPr="0055506C" w:rsidRDefault="000F7786" w:rsidP="008F339D">
            <w:pPr>
              <w:widowControl w:val="0"/>
              <w:tabs>
                <w:tab w:val="left" w:pos="622"/>
              </w:tabs>
              <w:rPr>
                <w:rFonts w:ascii="Times New Roman" w:hAnsi="Times New Roman"/>
                <w:color w:val="000000"/>
                <w:sz w:val="18"/>
                <w:szCs w:val="18"/>
                <w:lang w:eastAsia="lt-LT"/>
              </w:rPr>
            </w:pPr>
            <w:r w:rsidRPr="0055506C">
              <w:rPr>
                <w:rFonts w:ascii="Times New Roman" w:hAnsi="Times New Roman"/>
                <w:color w:val="000000"/>
                <w:sz w:val="18"/>
                <w:szCs w:val="18"/>
                <w:lang w:eastAsia="lt-LT"/>
              </w:rPr>
              <w:t xml:space="preserve">14. Veiksmų, skirtų COVID-19 pandemijos </w:t>
            </w:r>
            <w:r w:rsidRPr="0055506C">
              <w:rPr>
                <w:rFonts w:ascii="Times New Roman" w:hAnsi="Times New Roman"/>
                <w:color w:val="000000"/>
                <w:sz w:val="18"/>
                <w:szCs w:val="18"/>
                <w:lang w:eastAsia="lt-LT"/>
              </w:rPr>
              <w:lastRenderedPageBreak/>
              <w:t>sukeltai krizei įveikti, skatinimas, siekiant didinti užimtumą ir socialinę įtrauktį</w:t>
            </w:r>
          </w:p>
        </w:tc>
        <w:tc>
          <w:tcPr>
            <w:tcW w:w="850" w:type="dxa"/>
            <w:tcBorders>
              <w:top w:val="nil"/>
              <w:left w:val="nil"/>
              <w:bottom w:val="single" w:sz="4" w:space="0" w:color="auto"/>
              <w:right w:val="single" w:sz="4" w:space="0" w:color="auto"/>
            </w:tcBorders>
            <w:shd w:val="clear" w:color="auto" w:fill="auto"/>
            <w:vAlign w:val="center"/>
          </w:tcPr>
          <w:p w:rsidR="000F7786" w:rsidRPr="0055506C" w:rsidRDefault="000F7786" w:rsidP="008F339D">
            <w:pPr>
              <w:jc w:val="both"/>
              <w:rPr>
                <w:rFonts w:ascii="Times New Roman" w:hAnsi="Times New Roman"/>
                <w:color w:val="000000"/>
                <w:sz w:val="18"/>
                <w:szCs w:val="18"/>
                <w:lang w:eastAsia="lt-LT"/>
              </w:rPr>
            </w:pPr>
            <w:r w:rsidRPr="0055506C">
              <w:rPr>
                <w:rFonts w:ascii="Times New Roman" w:hAnsi="Times New Roman"/>
                <w:color w:val="000000"/>
                <w:sz w:val="18"/>
                <w:szCs w:val="18"/>
                <w:lang w:eastAsia="lt-LT"/>
              </w:rPr>
              <w:lastRenderedPageBreak/>
              <w:t>ESF</w:t>
            </w:r>
          </w:p>
        </w:tc>
        <w:tc>
          <w:tcPr>
            <w:tcW w:w="993" w:type="dxa"/>
            <w:tcBorders>
              <w:top w:val="nil"/>
              <w:left w:val="nil"/>
              <w:bottom w:val="single" w:sz="4" w:space="0" w:color="auto"/>
              <w:right w:val="single" w:sz="4" w:space="0" w:color="auto"/>
            </w:tcBorders>
            <w:shd w:val="clear" w:color="auto" w:fill="auto"/>
            <w:vAlign w:val="center"/>
          </w:tcPr>
          <w:p w:rsidR="000F7786" w:rsidRPr="0055506C" w:rsidRDefault="000F7786" w:rsidP="008F339D">
            <w:pPr>
              <w:jc w:val="both"/>
              <w:rPr>
                <w:rFonts w:ascii="Times New Roman" w:hAnsi="Times New Roman"/>
                <w:color w:val="000000"/>
                <w:sz w:val="18"/>
                <w:szCs w:val="18"/>
                <w:lang w:eastAsia="lt-LT"/>
              </w:rPr>
            </w:pPr>
            <w:r w:rsidRPr="0055506C">
              <w:rPr>
                <w:rFonts w:ascii="Times New Roman" w:hAnsi="Times New Roman"/>
                <w:color w:val="000000"/>
                <w:sz w:val="18"/>
                <w:szCs w:val="18"/>
                <w:lang w:eastAsia="lt-LT"/>
              </w:rPr>
              <w:t xml:space="preserve">Viešosios tinkamos </w:t>
            </w:r>
            <w:r w:rsidRPr="0055506C">
              <w:rPr>
                <w:rFonts w:ascii="Times New Roman" w:hAnsi="Times New Roman"/>
                <w:color w:val="000000"/>
                <w:sz w:val="18"/>
                <w:szCs w:val="18"/>
                <w:lang w:eastAsia="lt-LT"/>
              </w:rPr>
              <w:lastRenderedPageBreak/>
              <w:t>išlaidos</w:t>
            </w:r>
          </w:p>
        </w:tc>
        <w:tc>
          <w:tcPr>
            <w:tcW w:w="1275" w:type="dxa"/>
            <w:tcBorders>
              <w:top w:val="nil"/>
              <w:left w:val="nil"/>
              <w:bottom w:val="single" w:sz="4" w:space="0" w:color="auto"/>
              <w:right w:val="single" w:sz="4" w:space="0" w:color="auto"/>
            </w:tcBorders>
            <w:shd w:val="clear" w:color="auto" w:fill="auto"/>
            <w:vAlign w:val="center"/>
          </w:tcPr>
          <w:p w:rsidR="000F7786" w:rsidRPr="0055506C" w:rsidRDefault="0076682D" w:rsidP="008F339D">
            <w:pPr>
              <w:jc w:val="right"/>
              <w:rPr>
                <w:rFonts w:ascii="Times New Roman" w:hAnsi="Times New Roman"/>
                <w:color w:val="000000"/>
                <w:sz w:val="18"/>
                <w:szCs w:val="18"/>
                <w:lang w:eastAsia="lt-LT"/>
              </w:rPr>
            </w:pPr>
            <w:r w:rsidRPr="0076682D">
              <w:rPr>
                <w:rFonts w:ascii="Times New Roman" w:hAnsi="Times New Roman"/>
                <w:color w:val="000000"/>
                <w:sz w:val="18"/>
                <w:szCs w:val="18"/>
                <w:lang w:eastAsia="lt-LT"/>
              </w:rPr>
              <w:lastRenderedPageBreak/>
              <w:t>46.000.000</w:t>
            </w:r>
          </w:p>
        </w:tc>
        <w:tc>
          <w:tcPr>
            <w:tcW w:w="1276" w:type="dxa"/>
            <w:tcBorders>
              <w:top w:val="nil"/>
              <w:left w:val="nil"/>
              <w:bottom w:val="single" w:sz="4" w:space="0" w:color="auto"/>
              <w:right w:val="single" w:sz="4" w:space="0" w:color="auto"/>
            </w:tcBorders>
            <w:shd w:val="clear" w:color="auto" w:fill="auto"/>
            <w:vAlign w:val="center"/>
          </w:tcPr>
          <w:p w:rsidR="000F7786" w:rsidRPr="0055506C" w:rsidRDefault="000F7786" w:rsidP="008F339D">
            <w:pPr>
              <w:jc w:val="right"/>
              <w:rPr>
                <w:rFonts w:ascii="Times New Roman" w:hAnsi="Times New Roman"/>
                <w:color w:val="000000"/>
                <w:sz w:val="18"/>
                <w:szCs w:val="18"/>
                <w:lang w:eastAsia="lt-LT"/>
              </w:rPr>
            </w:pPr>
            <w:r w:rsidRPr="0055506C">
              <w:rPr>
                <w:rFonts w:ascii="Times New Roman" w:hAnsi="Times New Roman"/>
                <w:color w:val="000000"/>
                <w:sz w:val="18"/>
                <w:szCs w:val="18"/>
                <w:lang w:eastAsia="lt-LT"/>
              </w:rPr>
              <w:t>0</w:t>
            </w:r>
          </w:p>
        </w:tc>
        <w:tc>
          <w:tcPr>
            <w:tcW w:w="1134" w:type="dxa"/>
            <w:tcBorders>
              <w:top w:val="single" w:sz="4" w:space="0" w:color="auto"/>
              <w:left w:val="nil"/>
              <w:bottom w:val="single" w:sz="4" w:space="0" w:color="auto"/>
              <w:right w:val="single" w:sz="4" w:space="0" w:color="auto"/>
            </w:tcBorders>
            <w:vAlign w:val="center"/>
          </w:tcPr>
          <w:p w:rsidR="000F7786" w:rsidRPr="0055506C" w:rsidRDefault="000F7786" w:rsidP="008F339D">
            <w:pPr>
              <w:jc w:val="right"/>
              <w:rPr>
                <w:rFonts w:ascii="Times New Roman" w:hAnsi="Times New Roman"/>
                <w:color w:val="000000"/>
                <w:sz w:val="18"/>
                <w:szCs w:val="18"/>
                <w:lang w:eastAsia="lt-LT"/>
              </w:rPr>
            </w:pPr>
            <w:r w:rsidRPr="0055506C">
              <w:rPr>
                <w:rFonts w:ascii="Times New Roman" w:hAnsi="Times New Roman"/>
                <w:color w:val="000000"/>
                <w:sz w:val="18"/>
                <w:szCs w:val="18"/>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rsidR="000F7786" w:rsidRPr="0055506C" w:rsidRDefault="000F7786" w:rsidP="008F339D">
            <w:pPr>
              <w:jc w:val="right"/>
              <w:rPr>
                <w:rFonts w:ascii="Times New Roman" w:hAnsi="Times New Roman"/>
                <w:color w:val="000000"/>
                <w:sz w:val="18"/>
                <w:szCs w:val="18"/>
                <w:lang w:eastAsia="lt-LT"/>
              </w:rPr>
            </w:pPr>
            <w:r w:rsidRPr="0055506C">
              <w:rPr>
                <w:rFonts w:ascii="Times New Roman" w:hAnsi="Times New Roman"/>
                <w:color w:val="000000"/>
                <w:sz w:val="18"/>
                <w:szCs w:val="18"/>
                <w:lang w:eastAsia="lt-LT"/>
              </w:rPr>
              <w:t>0</w:t>
            </w:r>
          </w:p>
        </w:tc>
        <w:tc>
          <w:tcPr>
            <w:tcW w:w="1276" w:type="dxa"/>
            <w:tcBorders>
              <w:top w:val="nil"/>
              <w:left w:val="single" w:sz="4" w:space="0" w:color="auto"/>
              <w:bottom w:val="single" w:sz="4" w:space="0" w:color="auto"/>
              <w:right w:val="single" w:sz="4" w:space="0" w:color="auto"/>
            </w:tcBorders>
            <w:shd w:val="clear" w:color="auto" w:fill="auto"/>
            <w:vAlign w:val="center"/>
          </w:tcPr>
          <w:p w:rsidR="000F7786" w:rsidRPr="0055506C" w:rsidRDefault="0076682D" w:rsidP="008F339D">
            <w:pPr>
              <w:jc w:val="right"/>
              <w:rPr>
                <w:rFonts w:ascii="Times New Roman" w:hAnsi="Times New Roman"/>
                <w:color w:val="000000"/>
                <w:sz w:val="18"/>
                <w:szCs w:val="18"/>
                <w:lang w:eastAsia="lt-LT"/>
              </w:rPr>
            </w:pPr>
            <w:r w:rsidRPr="0076682D">
              <w:rPr>
                <w:rFonts w:ascii="Times New Roman" w:hAnsi="Times New Roman"/>
                <w:color w:val="000000"/>
                <w:sz w:val="18"/>
                <w:szCs w:val="18"/>
                <w:lang w:eastAsia="lt-LT"/>
              </w:rPr>
              <w:t>46.000.000</w:t>
            </w:r>
          </w:p>
        </w:tc>
        <w:tc>
          <w:tcPr>
            <w:tcW w:w="709" w:type="dxa"/>
            <w:tcBorders>
              <w:top w:val="nil"/>
              <w:left w:val="nil"/>
              <w:bottom w:val="single" w:sz="4" w:space="0" w:color="auto"/>
              <w:right w:val="single" w:sz="4" w:space="0" w:color="auto"/>
            </w:tcBorders>
            <w:shd w:val="clear" w:color="auto" w:fill="auto"/>
            <w:vAlign w:val="center"/>
          </w:tcPr>
          <w:p w:rsidR="000F7786" w:rsidRPr="0055506C" w:rsidRDefault="000F7786" w:rsidP="008F339D">
            <w:pPr>
              <w:jc w:val="right"/>
              <w:rPr>
                <w:rFonts w:ascii="Times New Roman" w:hAnsi="Times New Roman"/>
                <w:color w:val="000000"/>
                <w:sz w:val="18"/>
                <w:szCs w:val="18"/>
                <w:lang w:eastAsia="lt-LT"/>
              </w:rPr>
            </w:pPr>
            <w:r w:rsidRPr="0055506C">
              <w:rPr>
                <w:rFonts w:ascii="Times New Roman" w:hAnsi="Times New Roman"/>
                <w:color w:val="000000"/>
                <w:sz w:val="18"/>
                <w:szCs w:val="18"/>
                <w:lang w:eastAsia="lt-LT"/>
              </w:rPr>
              <w:t>100</w:t>
            </w:r>
          </w:p>
        </w:tc>
        <w:tc>
          <w:tcPr>
            <w:tcW w:w="425" w:type="dxa"/>
            <w:tcBorders>
              <w:top w:val="nil"/>
              <w:left w:val="nil"/>
              <w:bottom w:val="single" w:sz="4" w:space="0" w:color="auto"/>
              <w:right w:val="single" w:sz="4" w:space="0" w:color="auto"/>
            </w:tcBorders>
            <w:shd w:val="clear" w:color="auto" w:fill="auto"/>
            <w:vAlign w:val="center"/>
          </w:tcPr>
          <w:p w:rsidR="000F7786" w:rsidRPr="0055506C" w:rsidRDefault="000F7786" w:rsidP="008F339D">
            <w:pPr>
              <w:jc w:val="right"/>
              <w:rPr>
                <w:rFonts w:ascii="Times New Roman" w:hAnsi="Times New Roman"/>
                <w:sz w:val="18"/>
                <w:szCs w:val="18"/>
                <w:lang w:eastAsia="lt-LT"/>
              </w:rPr>
            </w:pPr>
          </w:p>
        </w:tc>
        <w:tc>
          <w:tcPr>
            <w:tcW w:w="1417" w:type="dxa"/>
            <w:tcBorders>
              <w:top w:val="nil"/>
              <w:left w:val="nil"/>
              <w:bottom w:val="single" w:sz="4" w:space="0" w:color="auto"/>
              <w:right w:val="single" w:sz="4" w:space="0" w:color="auto"/>
            </w:tcBorders>
            <w:shd w:val="clear" w:color="auto" w:fill="auto"/>
            <w:vAlign w:val="center"/>
          </w:tcPr>
          <w:p w:rsidR="000F7786" w:rsidRPr="0055506C" w:rsidRDefault="0076682D" w:rsidP="008F339D">
            <w:pPr>
              <w:jc w:val="right"/>
              <w:rPr>
                <w:rFonts w:ascii="Times New Roman" w:hAnsi="Times New Roman"/>
                <w:sz w:val="18"/>
                <w:szCs w:val="18"/>
                <w:lang w:eastAsia="lt-LT"/>
              </w:rPr>
            </w:pPr>
            <w:r w:rsidRPr="0076682D">
              <w:rPr>
                <w:rFonts w:ascii="Times New Roman" w:hAnsi="Times New Roman"/>
                <w:color w:val="000000"/>
                <w:sz w:val="18"/>
                <w:szCs w:val="18"/>
                <w:lang w:eastAsia="lt-LT"/>
              </w:rPr>
              <w:t>46.000.000</w:t>
            </w:r>
          </w:p>
        </w:tc>
        <w:tc>
          <w:tcPr>
            <w:tcW w:w="1276" w:type="dxa"/>
            <w:tcBorders>
              <w:top w:val="nil"/>
              <w:left w:val="nil"/>
              <w:bottom w:val="single" w:sz="4" w:space="0" w:color="auto"/>
              <w:right w:val="single" w:sz="4" w:space="0" w:color="auto"/>
            </w:tcBorders>
            <w:shd w:val="clear" w:color="auto" w:fill="auto"/>
            <w:vAlign w:val="center"/>
          </w:tcPr>
          <w:p w:rsidR="000F7786" w:rsidRPr="0055506C" w:rsidRDefault="000F7786" w:rsidP="008F339D">
            <w:pPr>
              <w:jc w:val="right"/>
              <w:rPr>
                <w:rFonts w:ascii="Times New Roman" w:hAnsi="Times New Roman"/>
                <w:color w:val="000000"/>
                <w:sz w:val="18"/>
                <w:szCs w:val="18"/>
                <w:lang w:eastAsia="lt-LT"/>
              </w:rPr>
            </w:pPr>
            <w:r w:rsidRPr="0055506C">
              <w:rPr>
                <w:rFonts w:ascii="Times New Roman" w:hAnsi="Times New Roman"/>
                <w:color w:val="000000"/>
                <w:sz w:val="18"/>
                <w:szCs w:val="18"/>
                <w:lang w:eastAsia="lt-LT"/>
              </w:rPr>
              <w:t>0</w:t>
            </w:r>
          </w:p>
        </w:tc>
        <w:tc>
          <w:tcPr>
            <w:tcW w:w="1134" w:type="dxa"/>
            <w:tcBorders>
              <w:top w:val="nil"/>
              <w:left w:val="nil"/>
              <w:bottom w:val="single" w:sz="4" w:space="0" w:color="auto"/>
              <w:right w:val="single" w:sz="4" w:space="0" w:color="auto"/>
            </w:tcBorders>
            <w:shd w:val="clear" w:color="auto" w:fill="auto"/>
            <w:vAlign w:val="center"/>
          </w:tcPr>
          <w:p w:rsidR="000F7786" w:rsidRPr="0055506C" w:rsidRDefault="000F7786" w:rsidP="008F339D">
            <w:pPr>
              <w:jc w:val="right"/>
              <w:rPr>
                <w:rFonts w:ascii="Times New Roman" w:hAnsi="Times New Roman"/>
                <w:sz w:val="18"/>
                <w:szCs w:val="18"/>
                <w:lang w:eastAsia="lt-LT"/>
              </w:rPr>
            </w:pPr>
          </w:p>
        </w:tc>
        <w:tc>
          <w:tcPr>
            <w:tcW w:w="1134" w:type="dxa"/>
            <w:tcBorders>
              <w:top w:val="nil"/>
              <w:left w:val="nil"/>
              <w:bottom w:val="single" w:sz="4" w:space="0" w:color="auto"/>
              <w:right w:val="single" w:sz="4" w:space="0" w:color="auto"/>
            </w:tcBorders>
            <w:shd w:val="clear" w:color="auto" w:fill="auto"/>
            <w:vAlign w:val="center"/>
          </w:tcPr>
          <w:p w:rsidR="000F7786" w:rsidRPr="0055506C" w:rsidRDefault="000F7786" w:rsidP="008F339D">
            <w:pPr>
              <w:jc w:val="right"/>
              <w:rPr>
                <w:rFonts w:ascii="Times New Roman" w:hAnsi="Times New Roman"/>
                <w:sz w:val="18"/>
                <w:szCs w:val="18"/>
                <w:lang w:eastAsia="lt-LT"/>
              </w:rPr>
            </w:pPr>
            <w:r w:rsidRPr="0055506C">
              <w:rPr>
                <w:rFonts w:ascii="Times New Roman" w:hAnsi="Times New Roman"/>
                <w:color w:val="000000"/>
                <w:sz w:val="18"/>
                <w:szCs w:val="18"/>
                <w:lang w:eastAsia="lt-LT"/>
              </w:rPr>
              <w:t>0</w:t>
            </w:r>
          </w:p>
        </w:tc>
        <w:tc>
          <w:tcPr>
            <w:tcW w:w="567" w:type="dxa"/>
            <w:tcBorders>
              <w:top w:val="nil"/>
              <w:left w:val="nil"/>
              <w:bottom w:val="single" w:sz="4" w:space="0" w:color="auto"/>
              <w:right w:val="single" w:sz="4" w:space="0" w:color="auto"/>
            </w:tcBorders>
            <w:shd w:val="clear" w:color="auto" w:fill="auto"/>
            <w:vAlign w:val="center"/>
          </w:tcPr>
          <w:p w:rsidR="000F7786" w:rsidRPr="0055506C" w:rsidRDefault="000F7786" w:rsidP="008F339D">
            <w:pPr>
              <w:jc w:val="right"/>
              <w:rPr>
                <w:rFonts w:ascii="Times New Roman" w:hAnsi="Times New Roman"/>
                <w:sz w:val="18"/>
                <w:szCs w:val="18"/>
                <w:lang w:eastAsia="lt-LT"/>
              </w:rPr>
            </w:pPr>
            <w:r w:rsidRPr="0055506C">
              <w:rPr>
                <w:rFonts w:ascii="Times New Roman" w:hAnsi="Times New Roman"/>
                <w:color w:val="000000"/>
                <w:sz w:val="18"/>
                <w:szCs w:val="18"/>
                <w:lang w:eastAsia="lt-LT"/>
              </w:rPr>
              <w:t>0.00</w:t>
            </w:r>
          </w:p>
        </w:tc>
      </w:tr>
      <w:tr w:rsidR="00D55808" w:rsidRPr="00DF1549" w:rsidTr="00650E41">
        <w:trPr>
          <w:trHeight w:val="300"/>
        </w:trPr>
        <w:tc>
          <w:tcPr>
            <w:tcW w:w="1418" w:type="dxa"/>
            <w:tcBorders>
              <w:top w:val="nil"/>
              <w:left w:val="single" w:sz="4" w:space="0" w:color="auto"/>
              <w:bottom w:val="nil"/>
              <w:right w:val="single" w:sz="4" w:space="0" w:color="auto"/>
            </w:tcBorders>
            <w:shd w:val="clear" w:color="auto" w:fill="auto"/>
            <w:vAlign w:val="center"/>
            <w:hideMark/>
          </w:tcPr>
          <w:p w:rsidR="00D55808" w:rsidRPr="004644A9" w:rsidRDefault="00D55808" w:rsidP="00F6184C">
            <w:pPr>
              <w:spacing w:after="0" w:line="240" w:lineRule="auto"/>
              <w:rPr>
                <w:rFonts w:ascii="Times New Roman" w:eastAsia="Times New Roman" w:hAnsi="Times New Roman"/>
                <w:b/>
                <w:bCs/>
                <w:color w:val="000000"/>
                <w:sz w:val="16"/>
                <w:szCs w:val="16"/>
                <w:lang w:eastAsia="lt-LT"/>
              </w:rPr>
            </w:pPr>
            <w:r w:rsidRPr="004644A9">
              <w:rPr>
                <w:rFonts w:ascii="Times New Roman" w:eastAsia="Times New Roman" w:hAnsi="Times New Roman"/>
                <w:b/>
                <w:bCs/>
                <w:color w:val="000000"/>
                <w:sz w:val="16"/>
                <w:szCs w:val="16"/>
                <w:lang w:eastAsia="lt-LT"/>
              </w:rPr>
              <w:lastRenderedPageBreak/>
              <w:t>Iš viso</w:t>
            </w:r>
          </w:p>
        </w:tc>
        <w:tc>
          <w:tcPr>
            <w:tcW w:w="850" w:type="dxa"/>
            <w:tcBorders>
              <w:top w:val="nil"/>
              <w:left w:val="nil"/>
              <w:bottom w:val="nil"/>
              <w:right w:val="single" w:sz="4" w:space="0" w:color="auto"/>
            </w:tcBorders>
            <w:shd w:val="clear" w:color="auto" w:fill="auto"/>
            <w:vAlign w:val="center"/>
            <w:hideMark/>
          </w:tcPr>
          <w:p w:rsidR="00D55808" w:rsidRPr="004644A9" w:rsidRDefault="00D55808" w:rsidP="00F6184C">
            <w:pPr>
              <w:spacing w:after="0" w:line="240" w:lineRule="auto"/>
              <w:rPr>
                <w:rFonts w:ascii="Times New Roman" w:eastAsia="Times New Roman" w:hAnsi="Times New Roman"/>
                <w:b/>
                <w:bCs/>
                <w:color w:val="000000"/>
                <w:sz w:val="16"/>
                <w:szCs w:val="16"/>
                <w:lang w:eastAsia="lt-LT"/>
              </w:rPr>
            </w:pPr>
            <w:r w:rsidRPr="004644A9">
              <w:rPr>
                <w:rFonts w:ascii="Times New Roman" w:eastAsia="Times New Roman" w:hAnsi="Times New Roman"/>
                <w:b/>
                <w:bCs/>
                <w:color w:val="000000"/>
                <w:sz w:val="16"/>
                <w:szCs w:val="16"/>
                <w:lang w:eastAsia="lt-LT"/>
              </w:rPr>
              <w:t>ERPF</w:t>
            </w:r>
          </w:p>
        </w:tc>
        <w:tc>
          <w:tcPr>
            <w:tcW w:w="993" w:type="dxa"/>
            <w:tcBorders>
              <w:top w:val="nil"/>
              <w:left w:val="nil"/>
              <w:bottom w:val="nil"/>
              <w:right w:val="single" w:sz="4" w:space="0" w:color="auto"/>
            </w:tcBorders>
            <w:shd w:val="clear" w:color="auto" w:fill="auto"/>
            <w:vAlign w:val="center"/>
          </w:tcPr>
          <w:p w:rsidR="00D55808" w:rsidRPr="004644A9" w:rsidRDefault="00D55808" w:rsidP="00F6184C">
            <w:pPr>
              <w:spacing w:after="0" w:line="240" w:lineRule="auto"/>
              <w:jc w:val="right"/>
              <w:rPr>
                <w:rFonts w:ascii="Times New Roman" w:eastAsia="Times New Roman" w:hAnsi="Times New Roman"/>
                <w:b/>
                <w:bCs/>
                <w:color w:val="000000"/>
                <w:sz w:val="16"/>
                <w:szCs w:val="16"/>
                <w:lang w:eastAsia="lt-LT"/>
              </w:rPr>
            </w:pPr>
          </w:p>
        </w:tc>
        <w:tc>
          <w:tcPr>
            <w:tcW w:w="1275" w:type="dxa"/>
            <w:tcBorders>
              <w:top w:val="nil"/>
              <w:left w:val="nil"/>
              <w:bottom w:val="nil"/>
              <w:right w:val="single" w:sz="4" w:space="0" w:color="auto"/>
            </w:tcBorders>
            <w:shd w:val="clear" w:color="auto" w:fill="auto"/>
            <w:vAlign w:val="center"/>
            <w:hideMark/>
          </w:tcPr>
          <w:p w:rsidR="00D55808" w:rsidRPr="004644A9" w:rsidRDefault="00824AAD" w:rsidP="00C76808">
            <w:pPr>
              <w:spacing w:after="0" w:line="240" w:lineRule="auto"/>
              <w:jc w:val="right"/>
              <w:rPr>
                <w:rFonts w:ascii="Times New Roman" w:eastAsia="Times New Roman" w:hAnsi="Times New Roman"/>
                <w:b/>
                <w:bCs/>
                <w:color w:val="000000"/>
                <w:sz w:val="16"/>
                <w:szCs w:val="16"/>
                <w:lang w:eastAsia="lt-LT"/>
              </w:rPr>
            </w:pPr>
            <w:r w:rsidRPr="004644A9">
              <w:rPr>
                <w:rFonts w:ascii="Times New Roman" w:eastAsia="Times New Roman" w:hAnsi="Times New Roman"/>
                <w:b/>
                <w:bCs/>
                <w:color w:val="000000"/>
                <w:sz w:val="16"/>
                <w:szCs w:val="16"/>
                <w:lang w:eastAsia="lt-LT"/>
              </w:rPr>
              <w:t>3.405.652.484</w:t>
            </w:r>
          </w:p>
        </w:tc>
        <w:tc>
          <w:tcPr>
            <w:tcW w:w="1276" w:type="dxa"/>
            <w:tcBorders>
              <w:top w:val="nil"/>
              <w:left w:val="nil"/>
              <w:bottom w:val="nil"/>
              <w:right w:val="single" w:sz="4" w:space="0" w:color="auto"/>
            </w:tcBorders>
            <w:shd w:val="clear" w:color="auto" w:fill="auto"/>
            <w:vAlign w:val="center"/>
            <w:hideMark/>
          </w:tcPr>
          <w:p w:rsidR="00D55808" w:rsidRPr="004644A9" w:rsidRDefault="00824AAD" w:rsidP="00D55808">
            <w:pPr>
              <w:spacing w:after="0" w:line="240" w:lineRule="auto"/>
              <w:jc w:val="right"/>
              <w:rPr>
                <w:rFonts w:ascii="Times New Roman" w:eastAsia="Times New Roman" w:hAnsi="Times New Roman"/>
                <w:b/>
                <w:bCs/>
                <w:strike/>
                <w:color w:val="000000"/>
                <w:sz w:val="16"/>
                <w:szCs w:val="16"/>
                <w:lang w:eastAsia="lt-LT"/>
              </w:rPr>
            </w:pPr>
            <w:r w:rsidRPr="004644A9">
              <w:rPr>
                <w:rFonts w:ascii="Times New Roman" w:eastAsia="Times New Roman" w:hAnsi="Times New Roman"/>
                <w:b/>
                <w:bCs/>
                <w:color w:val="000000"/>
                <w:sz w:val="16"/>
                <w:szCs w:val="16"/>
                <w:lang w:eastAsia="lt-LT"/>
              </w:rPr>
              <w:t>600.997.503</w:t>
            </w:r>
          </w:p>
        </w:tc>
        <w:tc>
          <w:tcPr>
            <w:tcW w:w="1134" w:type="dxa"/>
            <w:tcBorders>
              <w:top w:val="single" w:sz="4" w:space="0" w:color="auto"/>
              <w:left w:val="nil"/>
              <w:bottom w:val="single" w:sz="4" w:space="0" w:color="auto"/>
              <w:right w:val="single" w:sz="4" w:space="0" w:color="auto"/>
            </w:tcBorders>
            <w:vAlign w:val="center"/>
          </w:tcPr>
          <w:p w:rsidR="00D55808" w:rsidRPr="004644A9" w:rsidRDefault="00824AAD" w:rsidP="00AD1117">
            <w:pPr>
              <w:spacing w:after="0" w:line="240" w:lineRule="auto"/>
              <w:jc w:val="right"/>
              <w:rPr>
                <w:rFonts w:ascii="Times New Roman" w:eastAsia="Times New Roman" w:hAnsi="Times New Roman"/>
                <w:b/>
                <w:bCs/>
                <w:strike/>
                <w:sz w:val="16"/>
                <w:szCs w:val="16"/>
              </w:rPr>
            </w:pPr>
            <w:r w:rsidRPr="004644A9">
              <w:rPr>
                <w:rFonts w:ascii="Times New Roman" w:eastAsia="Times New Roman" w:hAnsi="Times New Roman"/>
                <w:b/>
                <w:bCs/>
                <w:sz w:val="16"/>
                <w:szCs w:val="16"/>
              </w:rPr>
              <w:t>246.554.354</w:t>
            </w:r>
          </w:p>
        </w:tc>
        <w:tc>
          <w:tcPr>
            <w:tcW w:w="1134" w:type="dxa"/>
            <w:tcBorders>
              <w:top w:val="single" w:sz="4" w:space="0" w:color="auto"/>
              <w:left w:val="single" w:sz="4" w:space="0" w:color="auto"/>
              <w:bottom w:val="single" w:sz="4" w:space="0" w:color="auto"/>
              <w:right w:val="single" w:sz="4" w:space="0" w:color="auto"/>
            </w:tcBorders>
            <w:vAlign w:val="center"/>
          </w:tcPr>
          <w:p w:rsidR="00D55808" w:rsidRPr="004644A9" w:rsidRDefault="00824AAD" w:rsidP="00AD1117">
            <w:pPr>
              <w:spacing w:after="0" w:line="240" w:lineRule="auto"/>
              <w:jc w:val="right"/>
              <w:rPr>
                <w:rFonts w:ascii="Times New Roman" w:eastAsia="Times New Roman" w:hAnsi="Times New Roman"/>
                <w:b/>
                <w:bCs/>
                <w:strike/>
                <w:sz w:val="16"/>
                <w:szCs w:val="16"/>
              </w:rPr>
            </w:pPr>
            <w:r w:rsidRPr="004644A9">
              <w:rPr>
                <w:rFonts w:ascii="Times New Roman" w:eastAsia="Times New Roman" w:hAnsi="Times New Roman"/>
                <w:b/>
                <w:bCs/>
                <w:sz w:val="16"/>
                <w:szCs w:val="16"/>
              </w:rPr>
              <w:t>354.443.149</w:t>
            </w:r>
          </w:p>
        </w:tc>
        <w:tc>
          <w:tcPr>
            <w:tcW w:w="1276" w:type="dxa"/>
            <w:tcBorders>
              <w:top w:val="nil"/>
              <w:left w:val="single" w:sz="4" w:space="0" w:color="auto"/>
              <w:bottom w:val="nil"/>
              <w:right w:val="single" w:sz="4" w:space="0" w:color="auto"/>
            </w:tcBorders>
            <w:shd w:val="clear" w:color="auto" w:fill="auto"/>
            <w:vAlign w:val="center"/>
            <w:hideMark/>
          </w:tcPr>
          <w:p w:rsidR="00D55808" w:rsidRPr="004644A9" w:rsidRDefault="00824AAD" w:rsidP="00C76808">
            <w:pPr>
              <w:spacing w:after="0" w:line="240" w:lineRule="auto"/>
              <w:jc w:val="right"/>
              <w:rPr>
                <w:rFonts w:ascii="Times New Roman" w:eastAsia="Times New Roman" w:hAnsi="Times New Roman"/>
                <w:b/>
                <w:bCs/>
                <w:color w:val="000000"/>
                <w:sz w:val="16"/>
                <w:szCs w:val="16"/>
                <w:lang w:eastAsia="lt-LT"/>
              </w:rPr>
            </w:pPr>
            <w:r w:rsidRPr="004644A9">
              <w:rPr>
                <w:rFonts w:ascii="Times New Roman" w:eastAsia="Times New Roman" w:hAnsi="Times New Roman"/>
                <w:b/>
                <w:bCs/>
                <w:color w:val="000000"/>
                <w:sz w:val="16"/>
                <w:szCs w:val="16"/>
                <w:lang w:eastAsia="lt-LT"/>
              </w:rPr>
              <w:t>4.006.649.987</w:t>
            </w:r>
          </w:p>
        </w:tc>
        <w:tc>
          <w:tcPr>
            <w:tcW w:w="709" w:type="dxa"/>
            <w:tcBorders>
              <w:top w:val="nil"/>
              <w:left w:val="nil"/>
              <w:bottom w:val="single" w:sz="4" w:space="0" w:color="auto"/>
              <w:right w:val="single" w:sz="4" w:space="0" w:color="auto"/>
            </w:tcBorders>
            <w:shd w:val="clear" w:color="auto" w:fill="auto"/>
            <w:vAlign w:val="center"/>
            <w:hideMark/>
          </w:tcPr>
          <w:p w:rsidR="00D55808" w:rsidRPr="004644A9" w:rsidRDefault="00D55808" w:rsidP="00372448">
            <w:pPr>
              <w:spacing w:after="0" w:line="240" w:lineRule="auto"/>
              <w:jc w:val="right"/>
              <w:rPr>
                <w:rFonts w:ascii="Times New Roman" w:eastAsia="Times New Roman" w:hAnsi="Times New Roman"/>
                <w:b/>
                <w:color w:val="000000"/>
                <w:sz w:val="16"/>
                <w:szCs w:val="16"/>
                <w:lang w:eastAsia="lt-LT"/>
              </w:rPr>
            </w:pPr>
            <w:r w:rsidRPr="004644A9">
              <w:rPr>
                <w:rFonts w:ascii="Times New Roman" w:eastAsia="Times New Roman" w:hAnsi="Times New Roman"/>
                <w:b/>
                <w:color w:val="000000"/>
                <w:sz w:val="16"/>
                <w:szCs w:val="16"/>
                <w:lang w:eastAsia="lt-LT"/>
              </w:rPr>
              <w:t>85,00</w:t>
            </w:r>
          </w:p>
        </w:tc>
        <w:tc>
          <w:tcPr>
            <w:tcW w:w="425" w:type="dxa"/>
            <w:tcBorders>
              <w:top w:val="nil"/>
              <w:left w:val="nil"/>
              <w:bottom w:val="nil"/>
              <w:right w:val="single" w:sz="4" w:space="0" w:color="auto"/>
            </w:tcBorders>
            <w:shd w:val="clear" w:color="auto" w:fill="auto"/>
            <w:vAlign w:val="center"/>
            <w:hideMark/>
          </w:tcPr>
          <w:p w:rsidR="00D55808" w:rsidRPr="004644A9" w:rsidRDefault="00A50C23" w:rsidP="00372448">
            <w:pPr>
              <w:spacing w:after="0" w:line="240" w:lineRule="auto"/>
              <w:jc w:val="right"/>
              <w:rPr>
                <w:rFonts w:ascii="Times New Roman" w:eastAsia="Times New Roman" w:hAnsi="Times New Roman"/>
                <w:b/>
                <w:bCs/>
                <w:sz w:val="16"/>
                <w:szCs w:val="16"/>
                <w:lang w:eastAsia="lt-LT"/>
              </w:rPr>
            </w:pPr>
            <w:r w:rsidRPr="004644A9">
              <w:rPr>
                <w:rFonts w:ascii="Times New Roman" w:eastAsia="Times New Roman" w:hAnsi="Times New Roman"/>
                <w:b/>
                <w:bCs/>
                <w:sz w:val="16"/>
                <w:szCs w:val="16"/>
                <w:lang w:eastAsia="lt-LT"/>
              </w:rPr>
              <w:t>.</w:t>
            </w:r>
          </w:p>
        </w:tc>
        <w:tc>
          <w:tcPr>
            <w:tcW w:w="1417" w:type="dxa"/>
            <w:tcBorders>
              <w:top w:val="nil"/>
              <w:left w:val="nil"/>
              <w:bottom w:val="single" w:sz="4" w:space="0" w:color="auto"/>
              <w:right w:val="single" w:sz="4" w:space="0" w:color="auto"/>
            </w:tcBorders>
            <w:shd w:val="clear" w:color="auto" w:fill="auto"/>
            <w:vAlign w:val="center"/>
            <w:hideMark/>
          </w:tcPr>
          <w:p w:rsidR="00D55808" w:rsidRPr="004644A9" w:rsidRDefault="00824AAD" w:rsidP="00C76808">
            <w:pPr>
              <w:spacing w:after="0" w:line="240" w:lineRule="auto"/>
              <w:jc w:val="right"/>
              <w:rPr>
                <w:rFonts w:ascii="Times New Roman" w:eastAsia="Times New Roman" w:hAnsi="Times New Roman"/>
                <w:b/>
                <w:sz w:val="16"/>
                <w:szCs w:val="16"/>
                <w:lang w:eastAsia="lt-LT"/>
              </w:rPr>
            </w:pPr>
            <w:r w:rsidRPr="004644A9">
              <w:rPr>
                <w:rFonts w:ascii="Times New Roman" w:eastAsia="Times New Roman" w:hAnsi="Times New Roman"/>
                <w:b/>
                <w:sz w:val="16"/>
                <w:szCs w:val="16"/>
                <w:lang w:eastAsia="lt-LT"/>
              </w:rPr>
              <w:t>3.201.313.335</w:t>
            </w:r>
          </w:p>
        </w:tc>
        <w:tc>
          <w:tcPr>
            <w:tcW w:w="1276" w:type="dxa"/>
            <w:tcBorders>
              <w:top w:val="nil"/>
              <w:left w:val="nil"/>
              <w:bottom w:val="single" w:sz="4" w:space="0" w:color="auto"/>
              <w:right w:val="single" w:sz="4" w:space="0" w:color="auto"/>
            </w:tcBorders>
            <w:shd w:val="clear" w:color="auto" w:fill="auto"/>
            <w:vAlign w:val="center"/>
            <w:hideMark/>
          </w:tcPr>
          <w:p w:rsidR="00D55808" w:rsidRPr="004644A9" w:rsidRDefault="00662B05" w:rsidP="00D55808">
            <w:pPr>
              <w:spacing w:after="0" w:line="240" w:lineRule="auto"/>
              <w:jc w:val="right"/>
              <w:rPr>
                <w:rFonts w:ascii="Times New Roman" w:eastAsia="Times New Roman" w:hAnsi="Times New Roman"/>
                <w:b/>
                <w:strike/>
                <w:sz w:val="16"/>
                <w:szCs w:val="16"/>
                <w:lang w:eastAsia="lt-LT"/>
              </w:rPr>
            </w:pPr>
            <w:r w:rsidRPr="004644A9">
              <w:rPr>
                <w:rFonts w:ascii="Times New Roman" w:eastAsia="Times New Roman" w:hAnsi="Times New Roman"/>
                <w:b/>
                <w:sz w:val="16"/>
                <w:szCs w:val="16"/>
                <w:lang w:eastAsia="lt-LT"/>
              </w:rPr>
              <w:t>564.937.654</w:t>
            </w:r>
          </w:p>
        </w:tc>
        <w:tc>
          <w:tcPr>
            <w:tcW w:w="1134" w:type="dxa"/>
            <w:tcBorders>
              <w:top w:val="nil"/>
              <w:left w:val="nil"/>
              <w:bottom w:val="single" w:sz="4" w:space="0" w:color="auto"/>
              <w:right w:val="single" w:sz="4" w:space="0" w:color="auto"/>
            </w:tcBorders>
            <w:shd w:val="clear" w:color="auto" w:fill="auto"/>
            <w:vAlign w:val="center"/>
            <w:hideMark/>
          </w:tcPr>
          <w:p w:rsidR="00D55808" w:rsidRPr="004644A9" w:rsidRDefault="00662B05" w:rsidP="00C76808">
            <w:pPr>
              <w:spacing w:after="0" w:line="240" w:lineRule="auto"/>
              <w:jc w:val="right"/>
              <w:rPr>
                <w:rFonts w:ascii="Times New Roman" w:eastAsia="Times New Roman" w:hAnsi="Times New Roman"/>
                <w:b/>
                <w:bCs/>
                <w:sz w:val="16"/>
                <w:szCs w:val="16"/>
                <w:lang w:eastAsia="lt-LT"/>
              </w:rPr>
            </w:pPr>
            <w:r w:rsidRPr="004644A9">
              <w:rPr>
                <w:rFonts w:ascii="Times New Roman" w:eastAsia="Times New Roman" w:hAnsi="Times New Roman"/>
                <w:b/>
                <w:bCs/>
                <w:sz w:val="16"/>
                <w:szCs w:val="16"/>
                <w:lang w:eastAsia="lt-LT"/>
              </w:rPr>
              <w:t>204.339.149</w:t>
            </w:r>
          </w:p>
        </w:tc>
        <w:tc>
          <w:tcPr>
            <w:tcW w:w="1134" w:type="dxa"/>
            <w:tcBorders>
              <w:top w:val="nil"/>
              <w:left w:val="nil"/>
              <w:bottom w:val="single" w:sz="4" w:space="0" w:color="auto"/>
              <w:right w:val="single" w:sz="4" w:space="0" w:color="auto"/>
            </w:tcBorders>
            <w:shd w:val="clear" w:color="auto" w:fill="auto"/>
            <w:vAlign w:val="center"/>
            <w:hideMark/>
          </w:tcPr>
          <w:p w:rsidR="00D55808" w:rsidRPr="004644A9" w:rsidRDefault="00662B05" w:rsidP="00C76808">
            <w:pPr>
              <w:spacing w:after="0" w:line="240" w:lineRule="auto"/>
              <w:jc w:val="right"/>
              <w:rPr>
                <w:rFonts w:ascii="Times New Roman" w:eastAsia="Times New Roman" w:hAnsi="Times New Roman"/>
                <w:b/>
                <w:sz w:val="16"/>
                <w:szCs w:val="16"/>
                <w:lang w:eastAsia="lt-LT"/>
              </w:rPr>
            </w:pPr>
            <w:r w:rsidRPr="004644A9">
              <w:rPr>
                <w:rFonts w:ascii="Times New Roman" w:eastAsia="Times New Roman" w:hAnsi="Times New Roman"/>
                <w:b/>
                <w:sz w:val="16"/>
                <w:szCs w:val="16"/>
                <w:lang w:eastAsia="lt-LT"/>
              </w:rPr>
              <w:t>36.059.849</w:t>
            </w:r>
          </w:p>
        </w:tc>
        <w:tc>
          <w:tcPr>
            <w:tcW w:w="567" w:type="dxa"/>
            <w:tcBorders>
              <w:top w:val="nil"/>
              <w:left w:val="nil"/>
              <w:bottom w:val="single" w:sz="4" w:space="0" w:color="auto"/>
              <w:right w:val="single" w:sz="4" w:space="0" w:color="auto"/>
            </w:tcBorders>
            <w:shd w:val="clear" w:color="auto" w:fill="auto"/>
            <w:vAlign w:val="center"/>
            <w:hideMark/>
          </w:tcPr>
          <w:p w:rsidR="00D55808" w:rsidRPr="004644A9" w:rsidRDefault="00D55808" w:rsidP="00F6184C">
            <w:pPr>
              <w:spacing w:after="0" w:line="240" w:lineRule="auto"/>
              <w:jc w:val="right"/>
              <w:rPr>
                <w:rFonts w:ascii="Times New Roman" w:eastAsia="Times New Roman" w:hAnsi="Times New Roman"/>
                <w:b/>
                <w:sz w:val="16"/>
                <w:szCs w:val="16"/>
                <w:lang w:eastAsia="lt-LT"/>
              </w:rPr>
            </w:pPr>
            <w:r w:rsidRPr="004644A9">
              <w:rPr>
                <w:rFonts w:ascii="Times New Roman" w:eastAsia="Times New Roman" w:hAnsi="Times New Roman"/>
                <w:b/>
                <w:sz w:val="16"/>
                <w:szCs w:val="16"/>
                <w:lang w:eastAsia="lt-LT"/>
              </w:rPr>
              <w:t>6,00</w:t>
            </w:r>
          </w:p>
        </w:tc>
      </w:tr>
      <w:tr w:rsidR="00D55808" w:rsidRPr="00DF1549" w:rsidTr="00650E41">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5808" w:rsidRPr="004644A9" w:rsidRDefault="00D55808" w:rsidP="00F6184C">
            <w:pPr>
              <w:spacing w:after="0" w:line="240" w:lineRule="auto"/>
              <w:jc w:val="both"/>
              <w:rPr>
                <w:rFonts w:ascii="Times New Roman" w:eastAsia="Times New Roman" w:hAnsi="Times New Roman"/>
                <w:b/>
                <w:bCs/>
                <w:color w:val="000000"/>
                <w:sz w:val="16"/>
                <w:szCs w:val="16"/>
                <w:lang w:eastAsia="lt-LT"/>
              </w:rPr>
            </w:pPr>
            <w:r w:rsidRPr="004644A9">
              <w:rPr>
                <w:rFonts w:ascii="Times New Roman" w:eastAsia="Times New Roman" w:hAnsi="Times New Roman"/>
                <w:b/>
                <w:bCs/>
                <w:color w:val="000000"/>
                <w:sz w:val="16"/>
                <w:szCs w:val="16"/>
                <w:lang w:eastAsia="lt-LT"/>
              </w:rPr>
              <w:t>Iš viso</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D55808" w:rsidRPr="004644A9" w:rsidRDefault="00D55808" w:rsidP="00F6184C">
            <w:pPr>
              <w:spacing w:after="0" w:line="240" w:lineRule="auto"/>
              <w:jc w:val="both"/>
              <w:rPr>
                <w:rFonts w:ascii="Times New Roman" w:eastAsia="Times New Roman" w:hAnsi="Times New Roman"/>
                <w:b/>
                <w:bCs/>
                <w:color w:val="000000"/>
                <w:sz w:val="16"/>
                <w:szCs w:val="16"/>
                <w:lang w:eastAsia="lt-LT"/>
              </w:rPr>
            </w:pPr>
            <w:r w:rsidRPr="004644A9">
              <w:rPr>
                <w:rFonts w:ascii="Times New Roman" w:eastAsia="Times New Roman" w:hAnsi="Times New Roman"/>
                <w:b/>
                <w:bCs/>
                <w:color w:val="000000"/>
                <w:sz w:val="16"/>
                <w:szCs w:val="16"/>
                <w:lang w:eastAsia="lt-LT"/>
              </w:rPr>
              <w:t>ESF</w:t>
            </w:r>
          </w:p>
        </w:tc>
        <w:tc>
          <w:tcPr>
            <w:tcW w:w="993" w:type="dxa"/>
            <w:tcBorders>
              <w:top w:val="single" w:sz="4" w:space="0" w:color="auto"/>
              <w:left w:val="nil"/>
              <w:bottom w:val="single" w:sz="4" w:space="0" w:color="auto"/>
              <w:right w:val="single" w:sz="4" w:space="0" w:color="auto"/>
            </w:tcBorders>
            <w:shd w:val="clear" w:color="auto" w:fill="auto"/>
            <w:vAlign w:val="center"/>
          </w:tcPr>
          <w:p w:rsidR="00D55808" w:rsidRPr="004644A9" w:rsidRDefault="00D55808" w:rsidP="00F6184C">
            <w:pPr>
              <w:spacing w:after="0" w:line="240" w:lineRule="auto"/>
              <w:jc w:val="right"/>
              <w:rPr>
                <w:rFonts w:ascii="Times New Roman" w:eastAsia="Times New Roman" w:hAnsi="Times New Roman"/>
                <w:b/>
                <w:bCs/>
                <w:color w:val="000000"/>
                <w:sz w:val="16"/>
                <w:szCs w:val="16"/>
                <w:lang w:eastAsia="lt-LT"/>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D55808" w:rsidRPr="004644A9" w:rsidRDefault="00824AAD" w:rsidP="00C76808">
            <w:pPr>
              <w:spacing w:after="0" w:line="240" w:lineRule="auto"/>
              <w:jc w:val="right"/>
              <w:rPr>
                <w:rFonts w:ascii="Times New Roman" w:eastAsia="Times New Roman" w:hAnsi="Times New Roman"/>
                <w:b/>
                <w:bCs/>
                <w:color w:val="000000"/>
                <w:sz w:val="16"/>
                <w:szCs w:val="16"/>
                <w:lang w:eastAsia="lt-LT"/>
              </w:rPr>
            </w:pPr>
            <w:r w:rsidRPr="004644A9">
              <w:rPr>
                <w:rFonts w:ascii="Times New Roman" w:eastAsia="Times New Roman" w:hAnsi="Times New Roman"/>
                <w:b/>
                <w:bCs/>
                <w:color w:val="000000"/>
                <w:sz w:val="16"/>
                <w:szCs w:val="16"/>
                <w:lang w:eastAsia="lt-LT"/>
              </w:rPr>
              <w:t>1.200.360.754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55808" w:rsidRPr="004644A9" w:rsidRDefault="00824AAD" w:rsidP="002A5986">
            <w:pPr>
              <w:spacing w:after="0" w:line="240" w:lineRule="auto"/>
              <w:jc w:val="right"/>
              <w:rPr>
                <w:rFonts w:ascii="Times New Roman" w:eastAsia="Times New Roman" w:hAnsi="Times New Roman"/>
                <w:b/>
                <w:bCs/>
                <w:color w:val="000000"/>
                <w:sz w:val="16"/>
                <w:szCs w:val="16"/>
                <w:lang w:eastAsia="lt-LT"/>
              </w:rPr>
            </w:pPr>
            <w:r w:rsidRPr="004644A9">
              <w:rPr>
                <w:rFonts w:ascii="Times New Roman" w:eastAsia="Times New Roman" w:hAnsi="Times New Roman"/>
                <w:b/>
                <w:bCs/>
                <w:color w:val="000000"/>
                <w:sz w:val="16"/>
                <w:szCs w:val="16"/>
                <w:lang w:eastAsia="lt-LT"/>
              </w:rPr>
              <w:t>211.828.372</w:t>
            </w:r>
          </w:p>
        </w:tc>
        <w:tc>
          <w:tcPr>
            <w:tcW w:w="1134" w:type="dxa"/>
            <w:tcBorders>
              <w:top w:val="single" w:sz="4" w:space="0" w:color="auto"/>
              <w:left w:val="nil"/>
              <w:bottom w:val="single" w:sz="4" w:space="0" w:color="auto"/>
              <w:right w:val="single" w:sz="4" w:space="0" w:color="auto"/>
            </w:tcBorders>
            <w:vAlign w:val="center"/>
          </w:tcPr>
          <w:p w:rsidR="00D55808" w:rsidRPr="004644A9" w:rsidRDefault="00824AAD" w:rsidP="00D55808">
            <w:pPr>
              <w:spacing w:after="0" w:line="240" w:lineRule="auto"/>
              <w:jc w:val="right"/>
              <w:rPr>
                <w:rFonts w:ascii="Times New Roman" w:eastAsia="Times New Roman" w:hAnsi="Times New Roman"/>
                <w:b/>
                <w:bCs/>
                <w:strike/>
                <w:sz w:val="16"/>
                <w:szCs w:val="16"/>
              </w:rPr>
            </w:pPr>
            <w:r w:rsidRPr="004644A9">
              <w:rPr>
                <w:rFonts w:ascii="Times New Roman" w:eastAsia="Times New Roman" w:hAnsi="Times New Roman"/>
                <w:b/>
                <w:bCs/>
                <w:sz w:val="16"/>
                <w:szCs w:val="16"/>
              </w:rPr>
              <w:t>156.897.230</w:t>
            </w:r>
          </w:p>
        </w:tc>
        <w:tc>
          <w:tcPr>
            <w:tcW w:w="1134" w:type="dxa"/>
            <w:tcBorders>
              <w:top w:val="single" w:sz="4" w:space="0" w:color="auto"/>
              <w:left w:val="single" w:sz="4" w:space="0" w:color="auto"/>
              <w:bottom w:val="single" w:sz="4" w:space="0" w:color="auto"/>
              <w:right w:val="single" w:sz="4" w:space="0" w:color="auto"/>
            </w:tcBorders>
            <w:vAlign w:val="center"/>
          </w:tcPr>
          <w:p w:rsidR="00D55808" w:rsidRPr="004644A9" w:rsidRDefault="00824AAD" w:rsidP="002A5986">
            <w:pPr>
              <w:spacing w:after="0" w:line="240" w:lineRule="auto"/>
              <w:jc w:val="right"/>
              <w:rPr>
                <w:rFonts w:ascii="Times New Roman" w:eastAsia="Times New Roman" w:hAnsi="Times New Roman"/>
                <w:b/>
                <w:bCs/>
                <w:strike/>
                <w:sz w:val="16"/>
                <w:szCs w:val="16"/>
              </w:rPr>
            </w:pPr>
            <w:r w:rsidRPr="004644A9">
              <w:rPr>
                <w:rFonts w:ascii="Times New Roman" w:eastAsia="Times New Roman" w:hAnsi="Times New Roman"/>
                <w:b/>
                <w:bCs/>
                <w:sz w:val="16"/>
                <w:szCs w:val="16"/>
              </w:rPr>
              <w:t>54.931.142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5808" w:rsidRPr="004644A9" w:rsidRDefault="00824AAD" w:rsidP="002A5986">
            <w:pPr>
              <w:spacing w:after="0" w:line="240" w:lineRule="auto"/>
              <w:jc w:val="right"/>
              <w:rPr>
                <w:rFonts w:ascii="Times New Roman" w:eastAsia="Times New Roman" w:hAnsi="Times New Roman"/>
                <w:b/>
                <w:bCs/>
                <w:color w:val="000000"/>
                <w:sz w:val="16"/>
                <w:szCs w:val="16"/>
                <w:lang w:eastAsia="lt-LT"/>
              </w:rPr>
            </w:pPr>
            <w:r w:rsidRPr="004644A9">
              <w:rPr>
                <w:rFonts w:ascii="Times New Roman" w:eastAsia="Times New Roman" w:hAnsi="Times New Roman"/>
                <w:b/>
                <w:bCs/>
                <w:color w:val="000000"/>
                <w:sz w:val="16"/>
                <w:szCs w:val="16"/>
                <w:lang w:eastAsia="lt-LT"/>
              </w:rPr>
              <w:t>1.412.189.126</w:t>
            </w:r>
          </w:p>
        </w:tc>
        <w:tc>
          <w:tcPr>
            <w:tcW w:w="709" w:type="dxa"/>
            <w:tcBorders>
              <w:top w:val="nil"/>
              <w:left w:val="nil"/>
              <w:bottom w:val="single" w:sz="4" w:space="0" w:color="auto"/>
              <w:right w:val="single" w:sz="4" w:space="0" w:color="auto"/>
            </w:tcBorders>
            <w:shd w:val="clear" w:color="auto" w:fill="auto"/>
            <w:vAlign w:val="center"/>
            <w:hideMark/>
          </w:tcPr>
          <w:p w:rsidR="00D55808" w:rsidRPr="004644A9" w:rsidRDefault="00D55808" w:rsidP="00372448">
            <w:pPr>
              <w:spacing w:after="0" w:line="240" w:lineRule="auto"/>
              <w:jc w:val="right"/>
              <w:rPr>
                <w:rFonts w:ascii="Times New Roman" w:eastAsia="Times New Roman" w:hAnsi="Times New Roman"/>
                <w:b/>
                <w:color w:val="000000"/>
                <w:sz w:val="16"/>
                <w:szCs w:val="16"/>
                <w:lang w:eastAsia="lt-LT"/>
              </w:rPr>
            </w:pPr>
            <w:r w:rsidRPr="004644A9">
              <w:rPr>
                <w:rFonts w:ascii="Times New Roman" w:eastAsia="Times New Roman" w:hAnsi="Times New Roman"/>
                <w:b/>
                <w:color w:val="000000"/>
                <w:sz w:val="16"/>
                <w:szCs w:val="16"/>
                <w:lang w:eastAsia="lt-LT"/>
              </w:rPr>
              <w:t>85,00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D55808" w:rsidRPr="004644A9" w:rsidRDefault="00A50C23" w:rsidP="00372448">
            <w:pPr>
              <w:spacing w:after="0" w:line="240" w:lineRule="auto"/>
              <w:jc w:val="right"/>
              <w:rPr>
                <w:rFonts w:ascii="Times New Roman" w:eastAsia="Times New Roman" w:hAnsi="Times New Roman"/>
                <w:b/>
                <w:bCs/>
                <w:sz w:val="16"/>
                <w:szCs w:val="16"/>
                <w:lang w:eastAsia="lt-LT"/>
              </w:rPr>
            </w:pPr>
            <w:r w:rsidRPr="004644A9">
              <w:rPr>
                <w:rFonts w:ascii="Times New Roman" w:eastAsia="Times New Roman" w:hAnsi="Times New Roman"/>
                <w:b/>
                <w:bCs/>
                <w:sz w:val="16"/>
                <w:szCs w:val="16"/>
                <w:lang w:eastAsia="lt-LT"/>
              </w:rPr>
              <w:t>.</w:t>
            </w:r>
          </w:p>
        </w:tc>
        <w:tc>
          <w:tcPr>
            <w:tcW w:w="1417" w:type="dxa"/>
            <w:tcBorders>
              <w:top w:val="nil"/>
              <w:left w:val="nil"/>
              <w:bottom w:val="single" w:sz="4" w:space="0" w:color="auto"/>
              <w:right w:val="single" w:sz="4" w:space="0" w:color="auto"/>
            </w:tcBorders>
            <w:shd w:val="clear" w:color="auto" w:fill="auto"/>
            <w:vAlign w:val="center"/>
            <w:hideMark/>
          </w:tcPr>
          <w:p w:rsidR="00D55808" w:rsidRPr="004644A9" w:rsidRDefault="003E071A" w:rsidP="003E071A">
            <w:pPr>
              <w:spacing w:after="0" w:line="240" w:lineRule="auto"/>
              <w:jc w:val="right"/>
              <w:rPr>
                <w:rFonts w:ascii="Times New Roman" w:eastAsia="Times New Roman" w:hAnsi="Times New Roman"/>
                <w:b/>
                <w:sz w:val="16"/>
                <w:szCs w:val="16"/>
                <w:lang w:eastAsia="lt-LT"/>
              </w:rPr>
            </w:pPr>
            <w:r w:rsidRPr="004644A9">
              <w:rPr>
                <w:rFonts w:ascii="Times New Roman" w:eastAsia="Times New Roman" w:hAnsi="Times New Roman"/>
                <w:b/>
                <w:sz w:val="16"/>
                <w:szCs w:val="16"/>
                <w:lang w:eastAsia="lt-LT"/>
              </w:rPr>
              <w:t>1.128.339.108</w:t>
            </w:r>
          </w:p>
        </w:tc>
        <w:tc>
          <w:tcPr>
            <w:tcW w:w="1276" w:type="dxa"/>
            <w:tcBorders>
              <w:top w:val="nil"/>
              <w:left w:val="nil"/>
              <w:bottom w:val="single" w:sz="4" w:space="0" w:color="auto"/>
              <w:right w:val="single" w:sz="4" w:space="0" w:color="auto"/>
            </w:tcBorders>
            <w:shd w:val="clear" w:color="auto" w:fill="auto"/>
            <w:vAlign w:val="center"/>
            <w:hideMark/>
          </w:tcPr>
          <w:p w:rsidR="00D55808" w:rsidRPr="004644A9" w:rsidRDefault="003E071A" w:rsidP="003E071A">
            <w:pPr>
              <w:spacing w:after="0" w:line="240" w:lineRule="auto"/>
              <w:jc w:val="right"/>
              <w:rPr>
                <w:rFonts w:ascii="Times New Roman" w:eastAsia="Times New Roman" w:hAnsi="Times New Roman"/>
                <w:b/>
                <w:sz w:val="16"/>
                <w:szCs w:val="16"/>
                <w:lang w:eastAsia="lt-LT"/>
              </w:rPr>
            </w:pPr>
            <w:r w:rsidRPr="004644A9">
              <w:rPr>
                <w:rFonts w:ascii="Times New Roman" w:eastAsia="Times New Roman" w:hAnsi="Times New Roman"/>
                <w:b/>
                <w:sz w:val="16"/>
                <w:szCs w:val="16"/>
                <w:lang w:eastAsia="lt-LT"/>
              </w:rPr>
              <w:t>199.118.669</w:t>
            </w:r>
          </w:p>
        </w:tc>
        <w:tc>
          <w:tcPr>
            <w:tcW w:w="1134" w:type="dxa"/>
            <w:tcBorders>
              <w:top w:val="nil"/>
              <w:left w:val="nil"/>
              <w:bottom w:val="single" w:sz="4" w:space="0" w:color="auto"/>
              <w:right w:val="single" w:sz="4" w:space="0" w:color="auto"/>
            </w:tcBorders>
            <w:shd w:val="clear" w:color="auto" w:fill="auto"/>
            <w:vAlign w:val="center"/>
            <w:hideMark/>
          </w:tcPr>
          <w:p w:rsidR="00D55808" w:rsidRPr="004644A9" w:rsidRDefault="003E071A" w:rsidP="00C76808">
            <w:pPr>
              <w:spacing w:after="0" w:line="240" w:lineRule="auto"/>
              <w:jc w:val="right"/>
              <w:rPr>
                <w:rFonts w:ascii="Times New Roman" w:eastAsia="Times New Roman" w:hAnsi="Times New Roman"/>
                <w:b/>
                <w:bCs/>
                <w:sz w:val="16"/>
                <w:szCs w:val="16"/>
                <w:lang w:eastAsia="lt-LT"/>
              </w:rPr>
            </w:pPr>
            <w:r w:rsidRPr="004644A9">
              <w:rPr>
                <w:rFonts w:ascii="Times New Roman" w:eastAsia="Times New Roman" w:hAnsi="Times New Roman"/>
                <w:b/>
                <w:bCs/>
                <w:sz w:val="16"/>
                <w:szCs w:val="16"/>
                <w:lang w:eastAsia="lt-LT"/>
              </w:rPr>
              <w:t>72.021.646</w:t>
            </w:r>
          </w:p>
        </w:tc>
        <w:tc>
          <w:tcPr>
            <w:tcW w:w="1134" w:type="dxa"/>
            <w:tcBorders>
              <w:top w:val="nil"/>
              <w:left w:val="nil"/>
              <w:bottom w:val="single" w:sz="4" w:space="0" w:color="auto"/>
              <w:right w:val="single" w:sz="4" w:space="0" w:color="auto"/>
            </w:tcBorders>
            <w:shd w:val="clear" w:color="auto" w:fill="auto"/>
            <w:vAlign w:val="center"/>
            <w:hideMark/>
          </w:tcPr>
          <w:p w:rsidR="00D55808" w:rsidRPr="004644A9" w:rsidRDefault="003B5B9C" w:rsidP="00C76808">
            <w:pPr>
              <w:spacing w:after="0" w:line="240" w:lineRule="auto"/>
              <w:jc w:val="right"/>
              <w:rPr>
                <w:rFonts w:ascii="Times New Roman" w:eastAsia="Times New Roman" w:hAnsi="Times New Roman"/>
                <w:b/>
                <w:sz w:val="16"/>
                <w:szCs w:val="16"/>
                <w:lang w:eastAsia="lt-LT"/>
              </w:rPr>
            </w:pPr>
            <w:r w:rsidRPr="004644A9">
              <w:rPr>
                <w:rFonts w:ascii="Times New Roman" w:eastAsia="Times New Roman" w:hAnsi="Times New Roman"/>
                <w:b/>
                <w:sz w:val="16"/>
                <w:szCs w:val="16"/>
                <w:lang w:eastAsia="lt-LT"/>
              </w:rPr>
              <w:t>12.709.703</w:t>
            </w:r>
          </w:p>
        </w:tc>
        <w:tc>
          <w:tcPr>
            <w:tcW w:w="567" w:type="dxa"/>
            <w:tcBorders>
              <w:top w:val="nil"/>
              <w:left w:val="nil"/>
              <w:bottom w:val="single" w:sz="4" w:space="0" w:color="auto"/>
              <w:right w:val="single" w:sz="4" w:space="0" w:color="auto"/>
            </w:tcBorders>
            <w:shd w:val="clear" w:color="auto" w:fill="auto"/>
            <w:vAlign w:val="center"/>
            <w:hideMark/>
          </w:tcPr>
          <w:p w:rsidR="00D55808" w:rsidRPr="004644A9" w:rsidRDefault="00D55808" w:rsidP="00F6184C">
            <w:pPr>
              <w:spacing w:after="0" w:line="240" w:lineRule="auto"/>
              <w:jc w:val="right"/>
              <w:rPr>
                <w:rFonts w:ascii="Times New Roman" w:eastAsia="Times New Roman" w:hAnsi="Times New Roman"/>
                <w:b/>
                <w:sz w:val="16"/>
                <w:szCs w:val="16"/>
                <w:lang w:eastAsia="lt-LT"/>
              </w:rPr>
            </w:pPr>
            <w:r w:rsidRPr="004644A9">
              <w:rPr>
                <w:rFonts w:ascii="Times New Roman" w:eastAsia="Times New Roman" w:hAnsi="Times New Roman"/>
                <w:b/>
                <w:sz w:val="16"/>
                <w:szCs w:val="16"/>
                <w:lang w:eastAsia="lt-LT"/>
              </w:rPr>
              <w:t>6,00</w:t>
            </w:r>
          </w:p>
        </w:tc>
      </w:tr>
      <w:tr w:rsidR="00D55808" w:rsidRPr="00DF1549" w:rsidTr="00650E41">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D55808" w:rsidRPr="004644A9" w:rsidRDefault="00D55808" w:rsidP="00F6184C">
            <w:pPr>
              <w:spacing w:after="0" w:line="240" w:lineRule="auto"/>
              <w:jc w:val="both"/>
              <w:rPr>
                <w:rFonts w:ascii="Times New Roman" w:eastAsia="Times New Roman" w:hAnsi="Times New Roman"/>
                <w:b/>
                <w:bCs/>
                <w:color w:val="000000"/>
                <w:sz w:val="16"/>
                <w:szCs w:val="16"/>
                <w:lang w:eastAsia="lt-LT"/>
              </w:rPr>
            </w:pPr>
            <w:r w:rsidRPr="004644A9">
              <w:rPr>
                <w:rFonts w:ascii="Times New Roman" w:eastAsia="Times New Roman" w:hAnsi="Times New Roman"/>
                <w:b/>
                <w:bCs/>
                <w:color w:val="000000"/>
                <w:sz w:val="16"/>
                <w:szCs w:val="16"/>
                <w:lang w:eastAsia="lt-LT"/>
              </w:rPr>
              <w:t>Iš viso</w:t>
            </w:r>
          </w:p>
        </w:tc>
        <w:tc>
          <w:tcPr>
            <w:tcW w:w="850" w:type="dxa"/>
            <w:tcBorders>
              <w:top w:val="nil"/>
              <w:left w:val="nil"/>
              <w:bottom w:val="single" w:sz="4" w:space="0" w:color="auto"/>
              <w:right w:val="single" w:sz="4" w:space="0" w:color="auto"/>
            </w:tcBorders>
            <w:shd w:val="clear" w:color="auto" w:fill="auto"/>
            <w:vAlign w:val="center"/>
            <w:hideMark/>
          </w:tcPr>
          <w:p w:rsidR="00D55808" w:rsidRPr="004644A9" w:rsidRDefault="00D55808" w:rsidP="00F6184C">
            <w:pPr>
              <w:spacing w:after="0" w:line="240" w:lineRule="auto"/>
              <w:jc w:val="both"/>
              <w:rPr>
                <w:rFonts w:ascii="Times New Roman" w:eastAsia="Times New Roman" w:hAnsi="Times New Roman"/>
                <w:b/>
                <w:bCs/>
                <w:sz w:val="16"/>
                <w:szCs w:val="16"/>
                <w:lang w:eastAsia="lt-LT"/>
              </w:rPr>
            </w:pPr>
            <w:r w:rsidRPr="004644A9">
              <w:rPr>
                <w:rFonts w:ascii="Times New Roman" w:eastAsia="Times New Roman" w:hAnsi="Times New Roman"/>
                <w:b/>
                <w:bCs/>
                <w:sz w:val="16"/>
                <w:szCs w:val="16"/>
                <w:lang w:eastAsia="lt-LT"/>
              </w:rPr>
              <w:t>JUI</w:t>
            </w:r>
          </w:p>
        </w:tc>
        <w:tc>
          <w:tcPr>
            <w:tcW w:w="993" w:type="dxa"/>
            <w:tcBorders>
              <w:top w:val="nil"/>
              <w:left w:val="nil"/>
              <w:bottom w:val="single" w:sz="4" w:space="0" w:color="auto"/>
              <w:right w:val="single" w:sz="4" w:space="0" w:color="auto"/>
            </w:tcBorders>
            <w:shd w:val="clear" w:color="auto" w:fill="auto"/>
            <w:vAlign w:val="center"/>
          </w:tcPr>
          <w:p w:rsidR="00D55808" w:rsidRPr="004644A9" w:rsidRDefault="00D55808" w:rsidP="00F6184C">
            <w:pPr>
              <w:spacing w:after="0" w:line="240" w:lineRule="auto"/>
              <w:jc w:val="right"/>
              <w:rPr>
                <w:rFonts w:ascii="Times New Roman" w:eastAsia="Times New Roman" w:hAnsi="Times New Roman"/>
                <w:b/>
                <w:bCs/>
                <w:color w:val="000000"/>
                <w:sz w:val="16"/>
                <w:szCs w:val="16"/>
                <w:lang w:eastAsia="lt-LT"/>
              </w:rPr>
            </w:pPr>
          </w:p>
        </w:tc>
        <w:tc>
          <w:tcPr>
            <w:tcW w:w="1275" w:type="dxa"/>
            <w:tcBorders>
              <w:top w:val="nil"/>
              <w:left w:val="nil"/>
              <w:bottom w:val="single" w:sz="4" w:space="0" w:color="auto"/>
              <w:right w:val="single" w:sz="4" w:space="0" w:color="auto"/>
            </w:tcBorders>
            <w:shd w:val="clear" w:color="auto" w:fill="auto"/>
            <w:vAlign w:val="center"/>
            <w:hideMark/>
          </w:tcPr>
          <w:p w:rsidR="00D55808" w:rsidRPr="004644A9" w:rsidRDefault="00D55808" w:rsidP="00C76808">
            <w:pPr>
              <w:spacing w:after="0" w:line="240" w:lineRule="auto"/>
              <w:jc w:val="right"/>
              <w:rPr>
                <w:rFonts w:ascii="Times New Roman" w:eastAsia="Times New Roman" w:hAnsi="Times New Roman"/>
                <w:b/>
                <w:bCs/>
                <w:color w:val="000000"/>
                <w:sz w:val="16"/>
                <w:szCs w:val="16"/>
                <w:lang w:eastAsia="lt-LT"/>
              </w:rPr>
            </w:pPr>
            <w:r w:rsidRPr="004644A9">
              <w:rPr>
                <w:rFonts w:ascii="Times New Roman" w:eastAsia="Times New Roman" w:hAnsi="Times New Roman"/>
                <w:b/>
                <w:bCs/>
                <w:color w:val="000000"/>
                <w:sz w:val="16"/>
                <w:szCs w:val="16"/>
                <w:lang w:eastAsia="lt-LT"/>
              </w:rPr>
              <w:t>63.565.266</w:t>
            </w:r>
          </w:p>
        </w:tc>
        <w:tc>
          <w:tcPr>
            <w:tcW w:w="1276" w:type="dxa"/>
            <w:tcBorders>
              <w:top w:val="nil"/>
              <w:left w:val="nil"/>
              <w:bottom w:val="single" w:sz="4" w:space="0" w:color="auto"/>
              <w:right w:val="single" w:sz="4" w:space="0" w:color="auto"/>
            </w:tcBorders>
            <w:shd w:val="clear" w:color="auto" w:fill="auto"/>
            <w:vAlign w:val="center"/>
            <w:hideMark/>
          </w:tcPr>
          <w:p w:rsidR="00D55808" w:rsidRPr="004644A9" w:rsidRDefault="00D55808" w:rsidP="00C76808">
            <w:pPr>
              <w:spacing w:after="0" w:line="240" w:lineRule="auto"/>
              <w:jc w:val="right"/>
              <w:rPr>
                <w:rFonts w:ascii="Times New Roman" w:eastAsia="Times New Roman" w:hAnsi="Times New Roman"/>
                <w:b/>
                <w:bCs/>
                <w:color w:val="000000"/>
                <w:sz w:val="16"/>
                <w:szCs w:val="16"/>
                <w:lang w:eastAsia="lt-LT"/>
              </w:rPr>
            </w:pPr>
            <w:r w:rsidRPr="004644A9">
              <w:rPr>
                <w:rFonts w:ascii="Times New Roman" w:eastAsia="Times New Roman" w:hAnsi="Times New Roman"/>
                <w:b/>
                <w:bCs/>
                <w:color w:val="000000"/>
                <w:sz w:val="16"/>
                <w:szCs w:val="16"/>
                <w:lang w:eastAsia="lt-LT"/>
              </w:rPr>
              <w:t>5.608.700</w:t>
            </w:r>
          </w:p>
        </w:tc>
        <w:tc>
          <w:tcPr>
            <w:tcW w:w="1134" w:type="dxa"/>
            <w:tcBorders>
              <w:top w:val="single" w:sz="4" w:space="0" w:color="auto"/>
              <w:left w:val="nil"/>
              <w:bottom w:val="single" w:sz="4" w:space="0" w:color="auto"/>
              <w:right w:val="single" w:sz="4" w:space="0" w:color="auto"/>
            </w:tcBorders>
            <w:vAlign w:val="center"/>
          </w:tcPr>
          <w:p w:rsidR="00D55808" w:rsidRPr="004644A9" w:rsidRDefault="00D55808" w:rsidP="00C76808">
            <w:pPr>
              <w:spacing w:after="0" w:line="240" w:lineRule="auto"/>
              <w:jc w:val="right"/>
              <w:rPr>
                <w:rFonts w:ascii="Times New Roman" w:eastAsia="Times New Roman" w:hAnsi="Times New Roman"/>
                <w:b/>
                <w:bCs/>
                <w:sz w:val="16"/>
                <w:szCs w:val="16"/>
              </w:rPr>
            </w:pPr>
            <w:r w:rsidRPr="004644A9">
              <w:rPr>
                <w:rFonts w:ascii="Times New Roman" w:eastAsia="Times New Roman" w:hAnsi="Times New Roman"/>
                <w:b/>
                <w:bCs/>
                <w:sz w:val="16"/>
                <w:szCs w:val="16"/>
              </w:rPr>
              <w:t>5.608.700</w:t>
            </w:r>
          </w:p>
        </w:tc>
        <w:tc>
          <w:tcPr>
            <w:tcW w:w="1134" w:type="dxa"/>
            <w:tcBorders>
              <w:top w:val="single" w:sz="4" w:space="0" w:color="auto"/>
              <w:left w:val="single" w:sz="4" w:space="0" w:color="auto"/>
              <w:bottom w:val="single" w:sz="4" w:space="0" w:color="auto"/>
              <w:right w:val="single" w:sz="4" w:space="0" w:color="auto"/>
            </w:tcBorders>
            <w:vAlign w:val="center"/>
          </w:tcPr>
          <w:p w:rsidR="00D55808" w:rsidRPr="004644A9" w:rsidRDefault="00D55808" w:rsidP="00C76808">
            <w:pPr>
              <w:spacing w:after="0" w:line="240" w:lineRule="auto"/>
              <w:jc w:val="right"/>
              <w:rPr>
                <w:rFonts w:ascii="Times New Roman" w:eastAsia="Times New Roman" w:hAnsi="Times New Roman"/>
                <w:b/>
                <w:bCs/>
                <w:sz w:val="16"/>
                <w:szCs w:val="16"/>
              </w:rPr>
            </w:pPr>
            <w:r w:rsidRPr="004644A9">
              <w:rPr>
                <w:rFonts w:ascii="Times New Roman" w:eastAsia="Times New Roman" w:hAnsi="Times New Roman"/>
                <w:b/>
                <w:bCs/>
                <w:sz w:val="16"/>
                <w:szCs w:val="16"/>
              </w:rPr>
              <w:t>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D55808" w:rsidRPr="004644A9" w:rsidRDefault="00D55808" w:rsidP="00C76808">
            <w:pPr>
              <w:spacing w:after="0" w:line="240" w:lineRule="auto"/>
              <w:jc w:val="right"/>
              <w:rPr>
                <w:rFonts w:ascii="Times New Roman" w:eastAsia="Times New Roman" w:hAnsi="Times New Roman"/>
                <w:b/>
                <w:bCs/>
                <w:color w:val="000000"/>
                <w:sz w:val="16"/>
                <w:szCs w:val="16"/>
                <w:lang w:eastAsia="lt-LT"/>
              </w:rPr>
            </w:pPr>
            <w:r w:rsidRPr="004644A9">
              <w:rPr>
                <w:rFonts w:ascii="Times New Roman" w:eastAsia="Times New Roman" w:hAnsi="Times New Roman"/>
                <w:b/>
                <w:bCs/>
                <w:color w:val="000000"/>
                <w:sz w:val="16"/>
                <w:szCs w:val="16"/>
                <w:lang w:eastAsia="lt-LT"/>
              </w:rPr>
              <w:t>69.173.966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5808" w:rsidRPr="004644A9" w:rsidRDefault="00D55808" w:rsidP="00372448">
            <w:pPr>
              <w:spacing w:after="0" w:line="240" w:lineRule="auto"/>
              <w:jc w:val="right"/>
              <w:rPr>
                <w:rFonts w:ascii="Times New Roman" w:eastAsia="Times New Roman" w:hAnsi="Times New Roman"/>
                <w:b/>
                <w:sz w:val="16"/>
                <w:szCs w:val="16"/>
                <w:lang w:eastAsia="lt-LT"/>
              </w:rPr>
            </w:pPr>
            <w:r w:rsidRPr="004644A9">
              <w:rPr>
                <w:rFonts w:ascii="Times New Roman" w:eastAsia="Times New Roman" w:hAnsi="Times New Roman"/>
                <w:b/>
                <w:sz w:val="16"/>
                <w:szCs w:val="16"/>
                <w:lang w:eastAsia="lt-LT"/>
              </w:rPr>
              <w:t>91,89</w:t>
            </w:r>
          </w:p>
        </w:tc>
        <w:tc>
          <w:tcPr>
            <w:tcW w:w="425" w:type="dxa"/>
            <w:tcBorders>
              <w:top w:val="nil"/>
              <w:left w:val="nil"/>
              <w:bottom w:val="single" w:sz="4" w:space="0" w:color="auto"/>
              <w:right w:val="single" w:sz="4" w:space="0" w:color="auto"/>
            </w:tcBorders>
            <w:shd w:val="clear" w:color="auto" w:fill="auto"/>
            <w:vAlign w:val="center"/>
            <w:hideMark/>
          </w:tcPr>
          <w:p w:rsidR="00D55808" w:rsidRPr="004644A9" w:rsidRDefault="00A50C23" w:rsidP="00372448">
            <w:pPr>
              <w:spacing w:after="0" w:line="240" w:lineRule="auto"/>
              <w:jc w:val="right"/>
              <w:rPr>
                <w:rFonts w:ascii="Times New Roman" w:eastAsia="Times New Roman" w:hAnsi="Times New Roman"/>
                <w:b/>
                <w:bCs/>
                <w:sz w:val="16"/>
                <w:szCs w:val="16"/>
                <w:lang w:eastAsia="lt-LT"/>
              </w:rPr>
            </w:pPr>
            <w:r w:rsidRPr="004644A9">
              <w:rPr>
                <w:rFonts w:ascii="Times New Roman" w:eastAsia="Times New Roman" w:hAnsi="Times New Roman"/>
                <w:b/>
                <w:bCs/>
                <w:sz w:val="16"/>
                <w:szCs w:val="16"/>
                <w:lang w:eastAsia="lt-LT"/>
              </w:rPr>
              <w:t>.</w:t>
            </w:r>
          </w:p>
        </w:tc>
        <w:tc>
          <w:tcPr>
            <w:tcW w:w="1417" w:type="dxa"/>
            <w:tcBorders>
              <w:top w:val="nil"/>
              <w:left w:val="nil"/>
              <w:bottom w:val="single" w:sz="4" w:space="0" w:color="auto"/>
              <w:right w:val="single" w:sz="4" w:space="0" w:color="auto"/>
            </w:tcBorders>
            <w:shd w:val="clear" w:color="auto" w:fill="auto"/>
            <w:vAlign w:val="center"/>
            <w:hideMark/>
          </w:tcPr>
          <w:p w:rsidR="00D55808" w:rsidRPr="004644A9" w:rsidRDefault="00D55808" w:rsidP="00C76808">
            <w:pPr>
              <w:spacing w:after="0" w:line="240" w:lineRule="auto"/>
              <w:jc w:val="right"/>
              <w:rPr>
                <w:rFonts w:ascii="Times New Roman" w:eastAsia="Times New Roman" w:hAnsi="Times New Roman"/>
                <w:b/>
                <w:sz w:val="16"/>
                <w:szCs w:val="16"/>
                <w:lang w:eastAsia="lt-LT"/>
              </w:rPr>
            </w:pPr>
            <w:r w:rsidRPr="004644A9">
              <w:rPr>
                <w:rFonts w:ascii="Times New Roman" w:eastAsia="Times New Roman" w:hAnsi="Times New Roman"/>
                <w:b/>
                <w:sz w:val="16"/>
                <w:szCs w:val="16"/>
                <w:lang w:eastAsia="lt-LT"/>
              </w:rPr>
              <w:t>63.565.266</w:t>
            </w:r>
          </w:p>
        </w:tc>
        <w:tc>
          <w:tcPr>
            <w:tcW w:w="1276" w:type="dxa"/>
            <w:tcBorders>
              <w:top w:val="nil"/>
              <w:left w:val="nil"/>
              <w:bottom w:val="single" w:sz="4" w:space="0" w:color="auto"/>
              <w:right w:val="single" w:sz="4" w:space="0" w:color="auto"/>
            </w:tcBorders>
            <w:shd w:val="clear" w:color="auto" w:fill="auto"/>
            <w:vAlign w:val="center"/>
            <w:hideMark/>
          </w:tcPr>
          <w:p w:rsidR="00D55808" w:rsidRPr="004644A9" w:rsidRDefault="00D55808" w:rsidP="00C76808">
            <w:pPr>
              <w:spacing w:after="0" w:line="240" w:lineRule="auto"/>
              <w:jc w:val="right"/>
              <w:rPr>
                <w:rFonts w:ascii="Times New Roman" w:eastAsia="Times New Roman" w:hAnsi="Times New Roman"/>
                <w:b/>
                <w:sz w:val="16"/>
                <w:szCs w:val="16"/>
                <w:lang w:eastAsia="lt-LT"/>
              </w:rPr>
            </w:pPr>
            <w:r w:rsidRPr="004644A9">
              <w:rPr>
                <w:rFonts w:ascii="Times New Roman" w:eastAsia="Times New Roman" w:hAnsi="Times New Roman"/>
                <w:b/>
                <w:sz w:val="16"/>
                <w:szCs w:val="16"/>
                <w:lang w:eastAsia="lt-LT"/>
              </w:rPr>
              <w:t>5.608.700,00</w:t>
            </w:r>
          </w:p>
        </w:tc>
        <w:tc>
          <w:tcPr>
            <w:tcW w:w="1134" w:type="dxa"/>
            <w:tcBorders>
              <w:top w:val="nil"/>
              <w:left w:val="nil"/>
              <w:bottom w:val="single" w:sz="4" w:space="0" w:color="auto"/>
              <w:right w:val="single" w:sz="4" w:space="0" w:color="auto"/>
            </w:tcBorders>
            <w:shd w:val="clear" w:color="auto" w:fill="auto"/>
            <w:vAlign w:val="center"/>
            <w:hideMark/>
          </w:tcPr>
          <w:p w:rsidR="00D55808" w:rsidRPr="004644A9" w:rsidRDefault="00D55808" w:rsidP="00C76808">
            <w:pPr>
              <w:spacing w:after="0" w:line="240" w:lineRule="auto"/>
              <w:jc w:val="right"/>
              <w:rPr>
                <w:rFonts w:ascii="Times New Roman" w:eastAsia="Times New Roman" w:hAnsi="Times New Roman"/>
                <w:b/>
                <w:sz w:val="16"/>
                <w:szCs w:val="16"/>
                <w:lang w:eastAsia="lt-LT"/>
              </w:rPr>
            </w:pPr>
            <w:r w:rsidRPr="004644A9">
              <w:rPr>
                <w:rFonts w:ascii="Times New Roman" w:eastAsia="Times New Roman" w:hAnsi="Times New Roman"/>
                <w:b/>
                <w:sz w:val="16"/>
                <w:szCs w:val="16"/>
                <w:lang w:eastAsia="lt-LT"/>
              </w:rPr>
              <w:t>0</w:t>
            </w:r>
          </w:p>
        </w:tc>
        <w:tc>
          <w:tcPr>
            <w:tcW w:w="1134" w:type="dxa"/>
            <w:tcBorders>
              <w:top w:val="nil"/>
              <w:left w:val="nil"/>
              <w:bottom w:val="single" w:sz="4" w:space="0" w:color="auto"/>
              <w:right w:val="single" w:sz="4" w:space="0" w:color="auto"/>
            </w:tcBorders>
            <w:shd w:val="clear" w:color="auto" w:fill="auto"/>
            <w:vAlign w:val="center"/>
            <w:hideMark/>
          </w:tcPr>
          <w:p w:rsidR="00D55808" w:rsidRPr="004644A9" w:rsidRDefault="00D55808" w:rsidP="00C76808">
            <w:pPr>
              <w:spacing w:after="0" w:line="240" w:lineRule="auto"/>
              <w:jc w:val="right"/>
              <w:rPr>
                <w:rFonts w:ascii="Times New Roman" w:eastAsia="Times New Roman" w:hAnsi="Times New Roman"/>
                <w:b/>
                <w:sz w:val="16"/>
                <w:szCs w:val="16"/>
                <w:lang w:eastAsia="lt-LT"/>
              </w:rPr>
            </w:pPr>
            <w:r w:rsidRPr="004644A9">
              <w:rPr>
                <w:rFonts w:ascii="Times New Roman" w:eastAsia="Times New Roman" w:hAnsi="Times New Roman"/>
                <w:b/>
                <w:sz w:val="16"/>
                <w:szCs w:val="16"/>
                <w:lang w:eastAsia="lt-LT"/>
              </w:rPr>
              <w:t>0</w:t>
            </w:r>
          </w:p>
        </w:tc>
        <w:tc>
          <w:tcPr>
            <w:tcW w:w="567" w:type="dxa"/>
            <w:tcBorders>
              <w:top w:val="nil"/>
              <w:left w:val="nil"/>
              <w:bottom w:val="single" w:sz="4" w:space="0" w:color="auto"/>
              <w:right w:val="single" w:sz="4" w:space="0" w:color="auto"/>
            </w:tcBorders>
            <w:shd w:val="clear" w:color="auto" w:fill="auto"/>
            <w:vAlign w:val="center"/>
            <w:hideMark/>
          </w:tcPr>
          <w:p w:rsidR="00D55808" w:rsidRPr="004644A9" w:rsidRDefault="00D55808" w:rsidP="00F6184C">
            <w:pPr>
              <w:spacing w:after="0" w:line="240" w:lineRule="auto"/>
              <w:jc w:val="right"/>
              <w:rPr>
                <w:rFonts w:ascii="Times New Roman" w:eastAsia="Times New Roman" w:hAnsi="Times New Roman"/>
                <w:b/>
                <w:sz w:val="16"/>
                <w:szCs w:val="16"/>
                <w:lang w:eastAsia="lt-LT"/>
              </w:rPr>
            </w:pPr>
            <w:r w:rsidRPr="004644A9">
              <w:rPr>
                <w:rFonts w:ascii="Times New Roman" w:eastAsia="Times New Roman" w:hAnsi="Times New Roman"/>
                <w:b/>
                <w:sz w:val="16"/>
                <w:szCs w:val="16"/>
                <w:lang w:eastAsia="lt-LT"/>
              </w:rPr>
              <w:t>0,00</w:t>
            </w:r>
          </w:p>
        </w:tc>
      </w:tr>
      <w:tr w:rsidR="00D55808" w:rsidRPr="00DF1549" w:rsidTr="00650E41">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D55808" w:rsidRPr="004644A9" w:rsidRDefault="00D55808" w:rsidP="00F6184C">
            <w:pPr>
              <w:spacing w:after="0" w:line="240" w:lineRule="auto"/>
              <w:jc w:val="both"/>
              <w:rPr>
                <w:rFonts w:ascii="Times New Roman" w:eastAsia="Times New Roman" w:hAnsi="Times New Roman"/>
                <w:b/>
                <w:bCs/>
                <w:color w:val="000000"/>
                <w:sz w:val="16"/>
                <w:szCs w:val="16"/>
                <w:lang w:eastAsia="lt-LT"/>
              </w:rPr>
            </w:pPr>
            <w:r w:rsidRPr="004644A9">
              <w:rPr>
                <w:rFonts w:ascii="Times New Roman" w:eastAsia="Times New Roman" w:hAnsi="Times New Roman"/>
                <w:b/>
                <w:bCs/>
                <w:color w:val="000000"/>
                <w:sz w:val="16"/>
                <w:szCs w:val="16"/>
                <w:lang w:eastAsia="lt-LT"/>
              </w:rPr>
              <w:t>Iš viso</w:t>
            </w:r>
          </w:p>
        </w:tc>
        <w:tc>
          <w:tcPr>
            <w:tcW w:w="850" w:type="dxa"/>
            <w:tcBorders>
              <w:top w:val="nil"/>
              <w:left w:val="nil"/>
              <w:bottom w:val="single" w:sz="4" w:space="0" w:color="auto"/>
              <w:right w:val="single" w:sz="4" w:space="0" w:color="auto"/>
            </w:tcBorders>
            <w:shd w:val="clear" w:color="auto" w:fill="auto"/>
            <w:vAlign w:val="center"/>
            <w:hideMark/>
          </w:tcPr>
          <w:p w:rsidR="00D55808" w:rsidRPr="004644A9" w:rsidRDefault="00D55808" w:rsidP="00F6184C">
            <w:pPr>
              <w:spacing w:after="0" w:line="240" w:lineRule="auto"/>
              <w:jc w:val="both"/>
              <w:rPr>
                <w:rFonts w:ascii="Times New Roman" w:eastAsia="Times New Roman" w:hAnsi="Times New Roman"/>
                <w:b/>
                <w:bCs/>
                <w:color w:val="000000"/>
                <w:sz w:val="16"/>
                <w:szCs w:val="16"/>
                <w:lang w:eastAsia="lt-LT"/>
              </w:rPr>
            </w:pPr>
            <w:r w:rsidRPr="004644A9">
              <w:rPr>
                <w:rFonts w:ascii="Times New Roman" w:eastAsia="Times New Roman" w:hAnsi="Times New Roman"/>
                <w:b/>
                <w:bCs/>
                <w:color w:val="000000"/>
                <w:sz w:val="16"/>
                <w:szCs w:val="16"/>
                <w:lang w:eastAsia="lt-LT"/>
              </w:rPr>
              <w:t>SaF</w:t>
            </w:r>
          </w:p>
        </w:tc>
        <w:tc>
          <w:tcPr>
            <w:tcW w:w="993" w:type="dxa"/>
            <w:tcBorders>
              <w:top w:val="nil"/>
              <w:left w:val="nil"/>
              <w:bottom w:val="single" w:sz="4" w:space="0" w:color="auto"/>
              <w:right w:val="single" w:sz="4" w:space="0" w:color="auto"/>
            </w:tcBorders>
            <w:shd w:val="clear" w:color="auto" w:fill="auto"/>
            <w:vAlign w:val="center"/>
          </w:tcPr>
          <w:p w:rsidR="00D55808" w:rsidRPr="004644A9" w:rsidRDefault="00D55808" w:rsidP="00F6184C">
            <w:pPr>
              <w:spacing w:after="0" w:line="240" w:lineRule="auto"/>
              <w:jc w:val="right"/>
              <w:rPr>
                <w:rFonts w:ascii="Times New Roman" w:eastAsia="Times New Roman" w:hAnsi="Times New Roman"/>
                <w:b/>
                <w:bCs/>
                <w:color w:val="000000"/>
                <w:sz w:val="16"/>
                <w:szCs w:val="16"/>
                <w:lang w:eastAsia="lt-LT"/>
              </w:rPr>
            </w:pPr>
          </w:p>
        </w:tc>
        <w:tc>
          <w:tcPr>
            <w:tcW w:w="1275" w:type="dxa"/>
            <w:tcBorders>
              <w:top w:val="nil"/>
              <w:left w:val="nil"/>
              <w:bottom w:val="single" w:sz="4" w:space="0" w:color="auto"/>
              <w:right w:val="single" w:sz="4" w:space="0" w:color="auto"/>
            </w:tcBorders>
            <w:shd w:val="clear" w:color="auto" w:fill="auto"/>
            <w:vAlign w:val="center"/>
            <w:hideMark/>
          </w:tcPr>
          <w:p w:rsidR="00D55808" w:rsidRPr="004644A9" w:rsidRDefault="00824AAD" w:rsidP="00C76808">
            <w:pPr>
              <w:spacing w:after="0" w:line="240" w:lineRule="auto"/>
              <w:jc w:val="right"/>
              <w:rPr>
                <w:rFonts w:ascii="Times New Roman" w:eastAsia="Times New Roman" w:hAnsi="Times New Roman"/>
                <w:b/>
                <w:bCs/>
                <w:color w:val="000000"/>
                <w:sz w:val="16"/>
                <w:szCs w:val="16"/>
                <w:lang w:eastAsia="lt-LT"/>
              </w:rPr>
            </w:pPr>
            <w:r w:rsidRPr="004644A9">
              <w:rPr>
                <w:rFonts w:ascii="Times New Roman" w:eastAsia="Times New Roman" w:hAnsi="Times New Roman"/>
                <w:b/>
                <w:bCs/>
                <w:color w:val="000000"/>
                <w:sz w:val="16"/>
                <w:szCs w:val="16"/>
                <w:lang w:eastAsia="lt-LT"/>
              </w:rPr>
              <w:t>2.039.817.626</w:t>
            </w:r>
          </w:p>
        </w:tc>
        <w:tc>
          <w:tcPr>
            <w:tcW w:w="1276" w:type="dxa"/>
            <w:tcBorders>
              <w:top w:val="nil"/>
              <w:left w:val="nil"/>
              <w:bottom w:val="single" w:sz="4" w:space="0" w:color="auto"/>
              <w:right w:val="single" w:sz="4" w:space="0" w:color="auto"/>
            </w:tcBorders>
            <w:shd w:val="clear" w:color="auto" w:fill="auto"/>
            <w:vAlign w:val="center"/>
            <w:hideMark/>
          </w:tcPr>
          <w:p w:rsidR="00D55808" w:rsidRPr="004644A9" w:rsidRDefault="00824AAD" w:rsidP="00C76808">
            <w:pPr>
              <w:spacing w:after="0" w:line="240" w:lineRule="auto"/>
              <w:jc w:val="right"/>
              <w:rPr>
                <w:rFonts w:ascii="Times New Roman" w:eastAsia="Times New Roman" w:hAnsi="Times New Roman"/>
                <w:b/>
                <w:bCs/>
                <w:color w:val="000000"/>
                <w:sz w:val="16"/>
                <w:szCs w:val="16"/>
                <w:lang w:eastAsia="lt-LT"/>
              </w:rPr>
            </w:pPr>
            <w:r w:rsidRPr="004644A9">
              <w:rPr>
                <w:rFonts w:ascii="Times New Roman" w:eastAsia="Times New Roman" w:hAnsi="Times New Roman"/>
                <w:b/>
                <w:bCs/>
                <w:color w:val="000000"/>
                <w:sz w:val="16"/>
                <w:szCs w:val="16"/>
                <w:lang w:eastAsia="lt-LT"/>
              </w:rPr>
              <w:t>359.967.819</w:t>
            </w:r>
          </w:p>
        </w:tc>
        <w:tc>
          <w:tcPr>
            <w:tcW w:w="1134" w:type="dxa"/>
            <w:tcBorders>
              <w:top w:val="single" w:sz="4" w:space="0" w:color="auto"/>
              <w:left w:val="nil"/>
              <w:bottom w:val="single" w:sz="4" w:space="0" w:color="auto"/>
              <w:right w:val="single" w:sz="4" w:space="0" w:color="auto"/>
            </w:tcBorders>
            <w:vAlign w:val="center"/>
          </w:tcPr>
          <w:p w:rsidR="00D55808" w:rsidRPr="004644A9" w:rsidRDefault="00824AAD" w:rsidP="002A5986">
            <w:pPr>
              <w:spacing w:after="0" w:line="240" w:lineRule="auto"/>
              <w:jc w:val="right"/>
              <w:rPr>
                <w:rFonts w:ascii="Times New Roman" w:eastAsia="Times New Roman" w:hAnsi="Times New Roman"/>
                <w:b/>
                <w:bCs/>
                <w:strike/>
                <w:sz w:val="16"/>
                <w:szCs w:val="16"/>
              </w:rPr>
            </w:pPr>
            <w:r w:rsidRPr="004644A9">
              <w:rPr>
                <w:rFonts w:ascii="Times New Roman" w:eastAsia="Times New Roman" w:hAnsi="Times New Roman"/>
                <w:b/>
                <w:bCs/>
                <w:sz w:val="16"/>
                <w:szCs w:val="16"/>
              </w:rPr>
              <w:t>137.837.600</w:t>
            </w:r>
          </w:p>
        </w:tc>
        <w:tc>
          <w:tcPr>
            <w:tcW w:w="1134" w:type="dxa"/>
            <w:tcBorders>
              <w:top w:val="single" w:sz="4" w:space="0" w:color="auto"/>
              <w:left w:val="single" w:sz="4" w:space="0" w:color="auto"/>
              <w:bottom w:val="single" w:sz="4" w:space="0" w:color="auto"/>
              <w:right w:val="single" w:sz="4" w:space="0" w:color="auto"/>
            </w:tcBorders>
            <w:vAlign w:val="center"/>
          </w:tcPr>
          <w:p w:rsidR="00D55808" w:rsidRPr="004644A9" w:rsidRDefault="00824AAD" w:rsidP="002A5986">
            <w:pPr>
              <w:spacing w:after="0" w:line="240" w:lineRule="auto"/>
              <w:jc w:val="right"/>
              <w:rPr>
                <w:rFonts w:ascii="Times New Roman" w:eastAsia="Times New Roman" w:hAnsi="Times New Roman"/>
                <w:b/>
                <w:bCs/>
                <w:strike/>
                <w:sz w:val="16"/>
                <w:szCs w:val="16"/>
              </w:rPr>
            </w:pPr>
            <w:r w:rsidRPr="004644A9">
              <w:rPr>
                <w:rFonts w:ascii="Times New Roman" w:eastAsia="Times New Roman" w:hAnsi="Times New Roman"/>
                <w:b/>
                <w:bCs/>
                <w:sz w:val="16"/>
                <w:szCs w:val="16"/>
              </w:rPr>
              <w:t>222.130.219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D55808" w:rsidRPr="004644A9" w:rsidRDefault="00824AAD" w:rsidP="00C76808">
            <w:pPr>
              <w:spacing w:after="0" w:line="240" w:lineRule="auto"/>
              <w:jc w:val="right"/>
              <w:rPr>
                <w:rFonts w:ascii="Times New Roman" w:eastAsia="Times New Roman" w:hAnsi="Times New Roman"/>
                <w:b/>
                <w:bCs/>
                <w:color w:val="000000"/>
                <w:sz w:val="16"/>
                <w:szCs w:val="16"/>
                <w:lang w:eastAsia="lt-LT"/>
              </w:rPr>
            </w:pPr>
            <w:r w:rsidRPr="004644A9">
              <w:rPr>
                <w:rFonts w:ascii="Times New Roman" w:eastAsia="Times New Roman" w:hAnsi="Times New Roman"/>
                <w:b/>
                <w:bCs/>
                <w:color w:val="000000"/>
                <w:sz w:val="16"/>
                <w:szCs w:val="16"/>
                <w:lang w:eastAsia="lt-LT"/>
              </w:rPr>
              <w:t>2.399.785.445</w:t>
            </w:r>
          </w:p>
        </w:tc>
        <w:tc>
          <w:tcPr>
            <w:tcW w:w="709" w:type="dxa"/>
            <w:tcBorders>
              <w:top w:val="nil"/>
              <w:left w:val="nil"/>
              <w:bottom w:val="single" w:sz="4" w:space="0" w:color="auto"/>
              <w:right w:val="single" w:sz="4" w:space="0" w:color="auto"/>
            </w:tcBorders>
            <w:shd w:val="clear" w:color="auto" w:fill="auto"/>
            <w:vAlign w:val="center"/>
            <w:hideMark/>
          </w:tcPr>
          <w:p w:rsidR="00D55808" w:rsidRPr="004644A9" w:rsidRDefault="00D55808" w:rsidP="00372448">
            <w:pPr>
              <w:spacing w:after="0" w:line="240" w:lineRule="auto"/>
              <w:jc w:val="right"/>
              <w:rPr>
                <w:rFonts w:ascii="Times New Roman" w:eastAsia="Times New Roman" w:hAnsi="Times New Roman"/>
                <w:b/>
                <w:sz w:val="16"/>
                <w:szCs w:val="16"/>
                <w:lang w:eastAsia="lt-LT"/>
              </w:rPr>
            </w:pPr>
            <w:r w:rsidRPr="004644A9">
              <w:rPr>
                <w:rFonts w:ascii="Times New Roman" w:eastAsia="Times New Roman" w:hAnsi="Times New Roman"/>
                <w:b/>
                <w:sz w:val="16"/>
                <w:szCs w:val="16"/>
                <w:lang w:eastAsia="lt-LT"/>
              </w:rPr>
              <w:t>85,00</w:t>
            </w:r>
          </w:p>
        </w:tc>
        <w:tc>
          <w:tcPr>
            <w:tcW w:w="425" w:type="dxa"/>
            <w:tcBorders>
              <w:top w:val="nil"/>
              <w:left w:val="nil"/>
              <w:bottom w:val="single" w:sz="4" w:space="0" w:color="auto"/>
              <w:right w:val="single" w:sz="4" w:space="0" w:color="auto"/>
            </w:tcBorders>
            <w:shd w:val="clear" w:color="auto" w:fill="auto"/>
            <w:vAlign w:val="center"/>
            <w:hideMark/>
          </w:tcPr>
          <w:p w:rsidR="00D55808" w:rsidRPr="004644A9" w:rsidRDefault="00A50C23" w:rsidP="00372448">
            <w:pPr>
              <w:spacing w:after="0" w:line="240" w:lineRule="auto"/>
              <w:jc w:val="right"/>
              <w:rPr>
                <w:rFonts w:ascii="Times New Roman" w:eastAsia="Times New Roman" w:hAnsi="Times New Roman"/>
                <w:b/>
                <w:bCs/>
                <w:sz w:val="16"/>
                <w:szCs w:val="16"/>
                <w:lang w:eastAsia="lt-LT"/>
              </w:rPr>
            </w:pPr>
            <w:r w:rsidRPr="004644A9">
              <w:rPr>
                <w:rFonts w:ascii="Times New Roman" w:eastAsia="Times New Roman" w:hAnsi="Times New Roman"/>
                <w:b/>
                <w:bCs/>
                <w:sz w:val="16"/>
                <w:szCs w:val="16"/>
                <w:lang w:eastAsia="lt-LT"/>
              </w:rPr>
              <w:t>.</w:t>
            </w:r>
          </w:p>
        </w:tc>
        <w:tc>
          <w:tcPr>
            <w:tcW w:w="1417" w:type="dxa"/>
            <w:tcBorders>
              <w:top w:val="nil"/>
              <w:left w:val="nil"/>
              <w:bottom w:val="single" w:sz="4" w:space="0" w:color="auto"/>
              <w:right w:val="single" w:sz="4" w:space="0" w:color="auto"/>
            </w:tcBorders>
            <w:shd w:val="clear" w:color="auto" w:fill="auto"/>
            <w:vAlign w:val="center"/>
            <w:hideMark/>
          </w:tcPr>
          <w:p w:rsidR="00D55808" w:rsidRPr="004644A9" w:rsidRDefault="003E071A" w:rsidP="00C76808">
            <w:pPr>
              <w:spacing w:after="0" w:line="240" w:lineRule="auto"/>
              <w:jc w:val="right"/>
              <w:rPr>
                <w:rFonts w:ascii="Times New Roman" w:eastAsia="Times New Roman" w:hAnsi="Times New Roman"/>
                <w:b/>
                <w:sz w:val="16"/>
                <w:szCs w:val="16"/>
                <w:lang w:eastAsia="lt-LT"/>
              </w:rPr>
            </w:pPr>
            <w:r w:rsidRPr="004644A9">
              <w:rPr>
                <w:rFonts w:ascii="Times New Roman" w:eastAsia="Times New Roman" w:hAnsi="Times New Roman"/>
                <w:b/>
                <w:sz w:val="16"/>
                <w:szCs w:val="16"/>
                <w:lang w:eastAsia="lt-LT"/>
              </w:rPr>
              <w:t>1.917.428.569</w:t>
            </w:r>
          </w:p>
        </w:tc>
        <w:tc>
          <w:tcPr>
            <w:tcW w:w="1276" w:type="dxa"/>
            <w:tcBorders>
              <w:top w:val="nil"/>
              <w:left w:val="nil"/>
              <w:bottom w:val="single" w:sz="4" w:space="0" w:color="auto"/>
              <w:right w:val="single" w:sz="4" w:space="0" w:color="auto"/>
            </w:tcBorders>
            <w:shd w:val="clear" w:color="auto" w:fill="auto"/>
            <w:vAlign w:val="center"/>
            <w:hideMark/>
          </w:tcPr>
          <w:p w:rsidR="00D55808" w:rsidRPr="004644A9" w:rsidRDefault="003E071A" w:rsidP="002A5986">
            <w:pPr>
              <w:spacing w:after="0" w:line="240" w:lineRule="auto"/>
              <w:jc w:val="right"/>
              <w:rPr>
                <w:rFonts w:ascii="Times New Roman" w:eastAsia="Times New Roman" w:hAnsi="Times New Roman"/>
                <w:b/>
                <w:sz w:val="16"/>
                <w:szCs w:val="16"/>
                <w:lang w:eastAsia="lt-LT"/>
              </w:rPr>
            </w:pPr>
            <w:r w:rsidRPr="004644A9">
              <w:rPr>
                <w:rFonts w:ascii="Times New Roman" w:eastAsia="Times New Roman" w:hAnsi="Times New Roman"/>
                <w:b/>
                <w:sz w:val="16"/>
                <w:szCs w:val="16"/>
                <w:lang w:eastAsia="lt-LT"/>
              </w:rPr>
              <w:t>338.369.750</w:t>
            </w:r>
          </w:p>
        </w:tc>
        <w:tc>
          <w:tcPr>
            <w:tcW w:w="1134" w:type="dxa"/>
            <w:tcBorders>
              <w:top w:val="nil"/>
              <w:left w:val="nil"/>
              <w:bottom w:val="single" w:sz="4" w:space="0" w:color="auto"/>
              <w:right w:val="single" w:sz="4" w:space="0" w:color="auto"/>
            </w:tcBorders>
            <w:shd w:val="clear" w:color="auto" w:fill="auto"/>
            <w:vAlign w:val="center"/>
            <w:hideMark/>
          </w:tcPr>
          <w:p w:rsidR="00D55808" w:rsidRPr="004644A9" w:rsidRDefault="003E071A" w:rsidP="00C76808">
            <w:pPr>
              <w:spacing w:after="0" w:line="240" w:lineRule="auto"/>
              <w:jc w:val="right"/>
              <w:rPr>
                <w:rFonts w:ascii="Times New Roman" w:eastAsia="Times New Roman" w:hAnsi="Times New Roman"/>
                <w:b/>
                <w:bCs/>
                <w:sz w:val="16"/>
                <w:szCs w:val="16"/>
                <w:lang w:eastAsia="lt-LT"/>
              </w:rPr>
            </w:pPr>
            <w:r w:rsidRPr="004644A9">
              <w:rPr>
                <w:rFonts w:ascii="Times New Roman" w:eastAsia="Times New Roman" w:hAnsi="Times New Roman"/>
                <w:b/>
                <w:bCs/>
                <w:sz w:val="16"/>
                <w:szCs w:val="16"/>
                <w:lang w:eastAsia="lt-LT"/>
              </w:rPr>
              <w:t>122.389.057</w:t>
            </w:r>
          </w:p>
        </w:tc>
        <w:tc>
          <w:tcPr>
            <w:tcW w:w="1134" w:type="dxa"/>
            <w:tcBorders>
              <w:top w:val="nil"/>
              <w:left w:val="nil"/>
              <w:bottom w:val="single" w:sz="4" w:space="0" w:color="auto"/>
              <w:right w:val="single" w:sz="4" w:space="0" w:color="auto"/>
            </w:tcBorders>
            <w:shd w:val="clear" w:color="auto" w:fill="auto"/>
            <w:vAlign w:val="center"/>
            <w:hideMark/>
          </w:tcPr>
          <w:p w:rsidR="00D55808" w:rsidRPr="004644A9" w:rsidRDefault="003B5B9C" w:rsidP="002A5986">
            <w:pPr>
              <w:spacing w:after="0" w:line="240" w:lineRule="auto"/>
              <w:jc w:val="right"/>
              <w:rPr>
                <w:rFonts w:ascii="Times New Roman" w:eastAsia="Times New Roman" w:hAnsi="Times New Roman"/>
                <w:b/>
                <w:sz w:val="16"/>
                <w:szCs w:val="16"/>
                <w:lang w:eastAsia="lt-LT"/>
              </w:rPr>
            </w:pPr>
            <w:r w:rsidRPr="004644A9">
              <w:rPr>
                <w:rFonts w:ascii="Times New Roman" w:eastAsia="Times New Roman" w:hAnsi="Times New Roman"/>
                <w:b/>
                <w:sz w:val="16"/>
                <w:szCs w:val="16"/>
                <w:lang w:eastAsia="lt-LT"/>
              </w:rPr>
              <w:t>21.598.069</w:t>
            </w:r>
          </w:p>
        </w:tc>
        <w:tc>
          <w:tcPr>
            <w:tcW w:w="567" w:type="dxa"/>
            <w:tcBorders>
              <w:top w:val="nil"/>
              <w:left w:val="nil"/>
              <w:bottom w:val="single" w:sz="4" w:space="0" w:color="auto"/>
              <w:right w:val="single" w:sz="4" w:space="0" w:color="auto"/>
            </w:tcBorders>
            <w:shd w:val="clear" w:color="auto" w:fill="auto"/>
            <w:vAlign w:val="center"/>
            <w:hideMark/>
          </w:tcPr>
          <w:p w:rsidR="00D55808" w:rsidRPr="004644A9" w:rsidRDefault="00D55808" w:rsidP="00F6184C">
            <w:pPr>
              <w:spacing w:after="0" w:line="240" w:lineRule="auto"/>
              <w:jc w:val="right"/>
              <w:rPr>
                <w:rFonts w:ascii="Times New Roman" w:eastAsia="Times New Roman" w:hAnsi="Times New Roman"/>
                <w:b/>
                <w:sz w:val="16"/>
                <w:szCs w:val="16"/>
                <w:lang w:eastAsia="lt-LT"/>
              </w:rPr>
            </w:pPr>
            <w:r w:rsidRPr="004644A9">
              <w:rPr>
                <w:rFonts w:ascii="Times New Roman" w:eastAsia="Times New Roman" w:hAnsi="Times New Roman"/>
                <w:b/>
                <w:sz w:val="16"/>
                <w:szCs w:val="16"/>
                <w:lang w:eastAsia="lt-LT"/>
              </w:rPr>
              <w:t>6,00</w:t>
            </w:r>
          </w:p>
        </w:tc>
      </w:tr>
      <w:tr w:rsidR="004644A9" w:rsidRPr="00DF1549" w:rsidTr="00650E41">
        <w:trPr>
          <w:trHeight w:val="300"/>
        </w:trPr>
        <w:tc>
          <w:tcPr>
            <w:tcW w:w="1418" w:type="dxa"/>
            <w:tcBorders>
              <w:top w:val="nil"/>
              <w:left w:val="single" w:sz="4" w:space="0" w:color="auto"/>
              <w:bottom w:val="single" w:sz="4" w:space="0" w:color="auto"/>
              <w:right w:val="single" w:sz="4" w:space="0" w:color="auto"/>
            </w:tcBorders>
            <w:shd w:val="clear" w:color="auto" w:fill="auto"/>
            <w:vAlign w:val="center"/>
          </w:tcPr>
          <w:p w:rsidR="004644A9" w:rsidRPr="004644A9" w:rsidRDefault="004644A9" w:rsidP="00F6184C">
            <w:pPr>
              <w:spacing w:after="0" w:line="240" w:lineRule="auto"/>
              <w:jc w:val="both"/>
              <w:rPr>
                <w:rFonts w:ascii="Times New Roman" w:eastAsia="Times New Roman" w:hAnsi="Times New Roman"/>
                <w:b/>
                <w:bCs/>
                <w:color w:val="000000"/>
                <w:sz w:val="16"/>
                <w:szCs w:val="16"/>
                <w:lang w:eastAsia="lt-LT"/>
              </w:rPr>
            </w:pPr>
            <w:r w:rsidRPr="004644A9">
              <w:rPr>
                <w:rFonts w:ascii="Times New Roman" w:eastAsia="Times New Roman" w:hAnsi="Times New Roman"/>
                <w:b/>
                <w:bCs/>
                <w:color w:val="000000"/>
                <w:sz w:val="16"/>
                <w:szCs w:val="16"/>
                <w:lang w:eastAsia="lt-LT"/>
              </w:rPr>
              <w:t>Iš viso</w:t>
            </w:r>
          </w:p>
        </w:tc>
        <w:tc>
          <w:tcPr>
            <w:tcW w:w="850" w:type="dxa"/>
            <w:tcBorders>
              <w:top w:val="nil"/>
              <w:left w:val="nil"/>
              <w:bottom w:val="single" w:sz="4" w:space="0" w:color="auto"/>
              <w:right w:val="single" w:sz="4" w:space="0" w:color="auto"/>
            </w:tcBorders>
            <w:shd w:val="clear" w:color="auto" w:fill="auto"/>
            <w:vAlign w:val="center"/>
          </w:tcPr>
          <w:p w:rsidR="004644A9" w:rsidRPr="004644A9" w:rsidRDefault="004644A9" w:rsidP="00F6184C">
            <w:pPr>
              <w:spacing w:after="0" w:line="240" w:lineRule="auto"/>
              <w:jc w:val="both"/>
              <w:rPr>
                <w:rFonts w:ascii="Times New Roman" w:eastAsia="Times New Roman" w:hAnsi="Times New Roman"/>
                <w:b/>
                <w:bCs/>
                <w:color w:val="000000"/>
                <w:sz w:val="16"/>
                <w:szCs w:val="16"/>
                <w:lang w:eastAsia="lt-LT"/>
              </w:rPr>
            </w:pPr>
            <w:r w:rsidRPr="004644A9">
              <w:rPr>
                <w:rFonts w:ascii="Times New Roman" w:hAnsi="Times New Roman"/>
                <w:b/>
                <w:bCs/>
                <w:color w:val="000000"/>
                <w:sz w:val="16"/>
                <w:szCs w:val="16"/>
                <w:lang w:eastAsia="lt-LT"/>
              </w:rPr>
              <w:t>ERPF React</w:t>
            </w:r>
            <w:proofErr w:type="gramStart"/>
            <w:r w:rsidRPr="004644A9">
              <w:rPr>
                <w:rFonts w:ascii="Times New Roman" w:hAnsi="Times New Roman"/>
                <w:b/>
                <w:bCs/>
                <w:color w:val="000000"/>
                <w:sz w:val="16"/>
                <w:szCs w:val="16"/>
                <w:lang w:eastAsia="lt-LT"/>
              </w:rPr>
              <w:t>-</w:t>
            </w:r>
            <w:proofErr w:type="gramEnd"/>
            <w:r w:rsidRPr="004644A9">
              <w:rPr>
                <w:rFonts w:ascii="Times New Roman" w:hAnsi="Times New Roman"/>
                <w:b/>
                <w:bCs/>
                <w:color w:val="000000"/>
                <w:sz w:val="16"/>
                <w:szCs w:val="16"/>
                <w:lang w:eastAsia="lt-LT"/>
              </w:rPr>
              <w:t>EU</w:t>
            </w:r>
          </w:p>
        </w:tc>
        <w:tc>
          <w:tcPr>
            <w:tcW w:w="993" w:type="dxa"/>
            <w:tcBorders>
              <w:top w:val="nil"/>
              <w:left w:val="nil"/>
              <w:bottom w:val="single" w:sz="4" w:space="0" w:color="auto"/>
              <w:right w:val="single" w:sz="4" w:space="0" w:color="auto"/>
            </w:tcBorders>
            <w:shd w:val="clear" w:color="auto" w:fill="auto"/>
            <w:vAlign w:val="center"/>
          </w:tcPr>
          <w:p w:rsidR="004644A9" w:rsidRPr="004644A9" w:rsidRDefault="004644A9" w:rsidP="00F6184C">
            <w:pPr>
              <w:spacing w:after="0" w:line="240" w:lineRule="auto"/>
              <w:jc w:val="right"/>
              <w:rPr>
                <w:rFonts w:ascii="Times New Roman" w:eastAsia="Times New Roman" w:hAnsi="Times New Roman"/>
                <w:b/>
                <w:bCs/>
                <w:color w:val="000000"/>
                <w:sz w:val="16"/>
                <w:szCs w:val="16"/>
                <w:lang w:eastAsia="lt-LT"/>
              </w:rPr>
            </w:pPr>
          </w:p>
        </w:tc>
        <w:tc>
          <w:tcPr>
            <w:tcW w:w="1275" w:type="dxa"/>
            <w:tcBorders>
              <w:top w:val="nil"/>
              <w:left w:val="nil"/>
              <w:bottom w:val="single" w:sz="4" w:space="0" w:color="auto"/>
              <w:right w:val="single" w:sz="4" w:space="0" w:color="auto"/>
            </w:tcBorders>
            <w:shd w:val="clear" w:color="auto" w:fill="auto"/>
            <w:vAlign w:val="center"/>
          </w:tcPr>
          <w:p w:rsidR="004644A9" w:rsidRPr="004644A9" w:rsidRDefault="0076682D" w:rsidP="00C76808">
            <w:pPr>
              <w:spacing w:after="0" w:line="240" w:lineRule="auto"/>
              <w:jc w:val="right"/>
              <w:rPr>
                <w:rFonts w:ascii="Times New Roman" w:eastAsia="Times New Roman" w:hAnsi="Times New Roman"/>
                <w:b/>
                <w:bCs/>
                <w:color w:val="000000"/>
                <w:sz w:val="16"/>
                <w:szCs w:val="16"/>
                <w:lang w:eastAsia="lt-LT"/>
              </w:rPr>
            </w:pPr>
            <w:r w:rsidRPr="0076682D">
              <w:rPr>
                <w:rFonts w:ascii="Times New Roman" w:eastAsia="Times New Roman" w:hAnsi="Times New Roman"/>
                <w:b/>
                <w:bCs/>
                <w:color w:val="000000"/>
                <w:sz w:val="16"/>
                <w:szCs w:val="16"/>
                <w:lang w:eastAsia="lt-LT"/>
              </w:rPr>
              <w:t>278.146.704</w:t>
            </w:r>
          </w:p>
        </w:tc>
        <w:tc>
          <w:tcPr>
            <w:tcW w:w="1276" w:type="dxa"/>
            <w:tcBorders>
              <w:top w:val="nil"/>
              <w:left w:val="nil"/>
              <w:bottom w:val="single" w:sz="4" w:space="0" w:color="auto"/>
              <w:right w:val="single" w:sz="4" w:space="0" w:color="auto"/>
            </w:tcBorders>
            <w:shd w:val="clear" w:color="auto" w:fill="auto"/>
            <w:vAlign w:val="center"/>
          </w:tcPr>
          <w:p w:rsidR="004644A9" w:rsidRPr="004644A9" w:rsidRDefault="004644A9" w:rsidP="00C76808">
            <w:pPr>
              <w:spacing w:after="0" w:line="240" w:lineRule="auto"/>
              <w:jc w:val="right"/>
              <w:rPr>
                <w:rFonts w:ascii="Times New Roman" w:eastAsia="Times New Roman" w:hAnsi="Times New Roman"/>
                <w:b/>
                <w:bCs/>
                <w:color w:val="000000"/>
                <w:sz w:val="16"/>
                <w:szCs w:val="16"/>
                <w:lang w:eastAsia="lt-LT"/>
              </w:rPr>
            </w:pPr>
            <w:r w:rsidRPr="004644A9">
              <w:rPr>
                <w:rFonts w:ascii="Times New Roman" w:eastAsia="Times New Roman" w:hAnsi="Times New Roman"/>
                <w:b/>
                <w:bCs/>
                <w:color w:val="000000"/>
                <w:sz w:val="16"/>
                <w:szCs w:val="16"/>
                <w:lang w:eastAsia="lt-LT"/>
              </w:rPr>
              <w:t>0</w:t>
            </w:r>
          </w:p>
        </w:tc>
        <w:tc>
          <w:tcPr>
            <w:tcW w:w="1134" w:type="dxa"/>
            <w:tcBorders>
              <w:top w:val="single" w:sz="4" w:space="0" w:color="auto"/>
              <w:left w:val="nil"/>
              <w:bottom w:val="single" w:sz="4" w:space="0" w:color="auto"/>
              <w:right w:val="single" w:sz="4" w:space="0" w:color="auto"/>
            </w:tcBorders>
            <w:vAlign w:val="center"/>
          </w:tcPr>
          <w:p w:rsidR="004644A9" w:rsidRPr="004644A9" w:rsidRDefault="004644A9" w:rsidP="002A5986">
            <w:pPr>
              <w:spacing w:after="0" w:line="240" w:lineRule="auto"/>
              <w:jc w:val="right"/>
              <w:rPr>
                <w:rFonts w:ascii="Times New Roman" w:eastAsia="Times New Roman" w:hAnsi="Times New Roman"/>
                <w:b/>
                <w:bCs/>
                <w:sz w:val="16"/>
                <w:szCs w:val="16"/>
              </w:rPr>
            </w:pPr>
            <w:r w:rsidRPr="004644A9">
              <w:rPr>
                <w:rFonts w:ascii="Times New Roman" w:eastAsia="Times New Roman" w:hAnsi="Times New Roman"/>
                <w:b/>
                <w:bCs/>
                <w:sz w:val="16"/>
                <w:szCs w:val="16"/>
              </w:rPr>
              <w:t>0</w:t>
            </w:r>
          </w:p>
        </w:tc>
        <w:tc>
          <w:tcPr>
            <w:tcW w:w="1134" w:type="dxa"/>
            <w:tcBorders>
              <w:top w:val="single" w:sz="4" w:space="0" w:color="auto"/>
              <w:left w:val="single" w:sz="4" w:space="0" w:color="auto"/>
              <w:bottom w:val="single" w:sz="4" w:space="0" w:color="auto"/>
              <w:right w:val="single" w:sz="4" w:space="0" w:color="auto"/>
            </w:tcBorders>
            <w:vAlign w:val="center"/>
          </w:tcPr>
          <w:p w:rsidR="004644A9" w:rsidRPr="004644A9" w:rsidRDefault="004644A9" w:rsidP="002A5986">
            <w:pPr>
              <w:spacing w:after="0" w:line="240" w:lineRule="auto"/>
              <w:jc w:val="right"/>
              <w:rPr>
                <w:rFonts w:ascii="Times New Roman" w:eastAsia="Times New Roman" w:hAnsi="Times New Roman"/>
                <w:b/>
                <w:bCs/>
                <w:sz w:val="16"/>
                <w:szCs w:val="16"/>
              </w:rPr>
            </w:pPr>
            <w:r w:rsidRPr="004644A9">
              <w:rPr>
                <w:rFonts w:ascii="Times New Roman" w:eastAsia="Times New Roman" w:hAnsi="Times New Roman"/>
                <w:b/>
                <w:bCs/>
                <w:sz w:val="16"/>
                <w:szCs w:val="16"/>
              </w:rPr>
              <w:t>0</w:t>
            </w:r>
          </w:p>
        </w:tc>
        <w:tc>
          <w:tcPr>
            <w:tcW w:w="1276" w:type="dxa"/>
            <w:tcBorders>
              <w:top w:val="nil"/>
              <w:left w:val="single" w:sz="4" w:space="0" w:color="auto"/>
              <w:bottom w:val="single" w:sz="4" w:space="0" w:color="auto"/>
              <w:right w:val="single" w:sz="4" w:space="0" w:color="auto"/>
            </w:tcBorders>
            <w:shd w:val="clear" w:color="auto" w:fill="auto"/>
            <w:vAlign w:val="center"/>
          </w:tcPr>
          <w:p w:rsidR="004644A9" w:rsidRPr="004644A9" w:rsidRDefault="0076682D" w:rsidP="00C76808">
            <w:pPr>
              <w:spacing w:after="0" w:line="240" w:lineRule="auto"/>
              <w:jc w:val="right"/>
              <w:rPr>
                <w:rFonts w:ascii="Times New Roman" w:eastAsia="Times New Roman" w:hAnsi="Times New Roman"/>
                <w:b/>
                <w:bCs/>
                <w:color w:val="000000"/>
                <w:sz w:val="16"/>
                <w:szCs w:val="16"/>
                <w:lang w:eastAsia="lt-LT"/>
              </w:rPr>
            </w:pPr>
            <w:r w:rsidRPr="0076682D">
              <w:rPr>
                <w:rFonts w:ascii="Times New Roman" w:eastAsia="Times New Roman" w:hAnsi="Times New Roman"/>
                <w:b/>
                <w:bCs/>
                <w:color w:val="000000"/>
                <w:sz w:val="16"/>
                <w:szCs w:val="16"/>
                <w:lang w:eastAsia="lt-LT"/>
              </w:rPr>
              <w:t>278.146.704</w:t>
            </w:r>
          </w:p>
        </w:tc>
        <w:tc>
          <w:tcPr>
            <w:tcW w:w="709" w:type="dxa"/>
            <w:tcBorders>
              <w:top w:val="nil"/>
              <w:left w:val="nil"/>
              <w:bottom w:val="single" w:sz="4" w:space="0" w:color="auto"/>
              <w:right w:val="single" w:sz="4" w:space="0" w:color="auto"/>
            </w:tcBorders>
            <w:shd w:val="clear" w:color="auto" w:fill="auto"/>
            <w:vAlign w:val="center"/>
          </w:tcPr>
          <w:p w:rsidR="004644A9" w:rsidRPr="004644A9" w:rsidRDefault="004644A9" w:rsidP="00372448">
            <w:pPr>
              <w:spacing w:after="0" w:line="240" w:lineRule="auto"/>
              <w:jc w:val="right"/>
              <w:rPr>
                <w:rFonts w:ascii="Times New Roman" w:eastAsia="Times New Roman" w:hAnsi="Times New Roman"/>
                <w:b/>
                <w:sz w:val="16"/>
                <w:szCs w:val="16"/>
                <w:lang w:eastAsia="lt-LT"/>
              </w:rPr>
            </w:pPr>
            <w:r w:rsidRPr="004644A9">
              <w:rPr>
                <w:rFonts w:ascii="Times New Roman" w:eastAsia="Times New Roman" w:hAnsi="Times New Roman"/>
                <w:b/>
                <w:sz w:val="16"/>
                <w:szCs w:val="16"/>
                <w:lang w:eastAsia="lt-LT"/>
              </w:rPr>
              <w:t>100</w:t>
            </w:r>
          </w:p>
        </w:tc>
        <w:tc>
          <w:tcPr>
            <w:tcW w:w="425" w:type="dxa"/>
            <w:tcBorders>
              <w:top w:val="nil"/>
              <w:left w:val="nil"/>
              <w:bottom w:val="single" w:sz="4" w:space="0" w:color="auto"/>
              <w:right w:val="single" w:sz="4" w:space="0" w:color="auto"/>
            </w:tcBorders>
            <w:shd w:val="clear" w:color="auto" w:fill="auto"/>
            <w:vAlign w:val="center"/>
          </w:tcPr>
          <w:p w:rsidR="004644A9" w:rsidRPr="004644A9" w:rsidRDefault="004644A9" w:rsidP="00372448">
            <w:pPr>
              <w:spacing w:after="0" w:line="240" w:lineRule="auto"/>
              <w:jc w:val="right"/>
              <w:rPr>
                <w:rFonts w:ascii="Times New Roman" w:eastAsia="Times New Roman" w:hAnsi="Times New Roman"/>
                <w:b/>
                <w:bCs/>
                <w:sz w:val="16"/>
                <w:szCs w:val="16"/>
                <w:lang w:eastAsia="lt-LT"/>
              </w:rPr>
            </w:pPr>
          </w:p>
        </w:tc>
        <w:tc>
          <w:tcPr>
            <w:tcW w:w="1417" w:type="dxa"/>
            <w:tcBorders>
              <w:top w:val="nil"/>
              <w:left w:val="nil"/>
              <w:bottom w:val="single" w:sz="4" w:space="0" w:color="auto"/>
              <w:right w:val="single" w:sz="4" w:space="0" w:color="auto"/>
            </w:tcBorders>
            <w:shd w:val="clear" w:color="auto" w:fill="auto"/>
            <w:vAlign w:val="center"/>
          </w:tcPr>
          <w:p w:rsidR="004644A9" w:rsidRPr="004644A9" w:rsidRDefault="0076682D" w:rsidP="00C76808">
            <w:pPr>
              <w:spacing w:after="0" w:line="240" w:lineRule="auto"/>
              <w:jc w:val="right"/>
              <w:rPr>
                <w:rFonts w:ascii="Times New Roman" w:eastAsia="Times New Roman" w:hAnsi="Times New Roman"/>
                <w:b/>
                <w:sz w:val="16"/>
                <w:szCs w:val="16"/>
                <w:lang w:eastAsia="lt-LT"/>
              </w:rPr>
            </w:pPr>
            <w:r w:rsidRPr="0076682D">
              <w:rPr>
                <w:rFonts w:ascii="Times New Roman" w:eastAsia="Times New Roman" w:hAnsi="Times New Roman"/>
                <w:b/>
                <w:bCs/>
                <w:sz w:val="16"/>
                <w:szCs w:val="16"/>
                <w:lang w:eastAsia="lt-LT"/>
              </w:rPr>
              <w:t>278.146.704</w:t>
            </w:r>
          </w:p>
        </w:tc>
        <w:tc>
          <w:tcPr>
            <w:tcW w:w="1276" w:type="dxa"/>
            <w:tcBorders>
              <w:top w:val="nil"/>
              <w:left w:val="nil"/>
              <w:bottom w:val="single" w:sz="4" w:space="0" w:color="auto"/>
              <w:right w:val="single" w:sz="4" w:space="0" w:color="auto"/>
            </w:tcBorders>
            <w:shd w:val="clear" w:color="auto" w:fill="auto"/>
            <w:vAlign w:val="center"/>
          </w:tcPr>
          <w:p w:rsidR="004644A9" w:rsidRPr="004644A9" w:rsidRDefault="004644A9" w:rsidP="002A5986">
            <w:pPr>
              <w:spacing w:after="0" w:line="240" w:lineRule="auto"/>
              <w:jc w:val="right"/>
              <w:rPr>
                <w:rFonts w:ascii="Times New Roman" w:eastAsia="Times New Roman" w:hAnsi="Times New Roman"/>
                <w:b/>
                <w:sz w:val="16"/>
                <w:szCs w:val="16"/>
                <w:lang w:eastAsia="lt-LT"/>
              </w:rPr>
            </w:pPr>
            <w:r w:rsidRPr="004644A9">
              <w:rPr>
                <w:rFonts w:ascii="Times New Roman" w:eastAsia="Times New Roman" w:hAnsi="Times New Roman"/>
                <w:b/>
                <w:sz w:val="16"/>
                <w:szCs w:val="16"/>
                <w:lang w:eastAsia="lt-LT"/>
              </w:rPr>
              <w:t>0</w:t>
            </w:r>
          </w:p>
        </w:tc>
        <w:tc>
          <w:tcPr>
            <w:tcW w:w="1134" w:type="dxa"/>
            <w:tcBorders>
              <w:top w:val="nil"/>
              <w:left w:val="nil"/>
              <w:bottom w:val="single" w:sz="4" w:space="0" w:color="auto"/>
              <w:right w:val="single" w:sz="4" w:space="0" w:color="auto"/>
            </w:tcBorders>
            <w:shd w:val="clear" w:color="auto" w:fill="auto"/>
            <w:vAlign w:val="center"/>
          </w:tcPr>
          <w:p w:rsidR="004644A9" w:rsidRPr="004644A9" w:rsidRDefault="004644A9" w:rsidP="00C76808">
            <w:pPr>
              <w:spacing w:after="0" w:line="240" w:lineRule="auto"/>
              <w:jc w:val="right"/>
              <w:rPr>
                <w:rFonts w:ascii="Times New Roman" w:eastAsia="Times New Roman" w:hAnsi="Times New Roman"/>
                <w:b/>
                <w:bCs/>
                <w:sz w:val="16"/>
                <w:szCs w:val="16"/>
                <w:lang w:eastAsia="lt-LT"/>
              </w:rPr>
            </w:pPr>
            <w:r w:rsidRPr="004644A9">
              <w:rPr>
                <w:rFonts w:ascii="Times New Roman" w:eastAsia="Times New Roman" w:hAnsi="Times New Roman"/>
                <w:b/>
                <w:bCs/>
                <w:sz w:val="16"/>
                <w:szCs w:val="16"/>
                <w:lang w:eastAsia="lt-LT"/>
              </w:rPr>
              <w:t>0</w:t>
            </w:r>
          </w:p>
        </w:tc>
        <w:tc>
          <w:tcPr>
            <w:tcW w:w="1134" w:type="dxa"/>
            <w:tcBorders>
              <w:top w:val="nil"/>
              <w:left w:val="nil"/>
              <w:bottom w:val="single" w:sz="4" w:space="0" w:color="auto"/>
              <w:right w:val="single" w:sz="4" w:space="0" w:color="auto"/>
            </w:tcBorders>
            <w:shd w:val="clear" w:color="auto" w:fill="auto"/>
            <w:vAlign w:val="center"/>
          </w:tcPr>
          <w:p w:rsidR="004644A9" w:rsidRPr="004644A9" w:rsidRDefault="004644A9" w:rsidP="002A5986">
            <w:pPr>
              <w:spacing w:after="0" w:line="240" w:lineRule="auto"/>
              <w:jc w:val="right"/>
              <w:rPr>
                <w:rFonts w:ascii="Times New Roman" w:eastAsia="Times New Roman" w:hAnsi="Times New Roman"/>
                <w:b/>
                <w:sz w:val="16"/>
                <w:szCs w:val="16"/>
                <w:lang w:eastAsia="lt-LT"/>
              </w:rPr>
            </w:pPr>
            <w:r w:rsidRPr="004644A9">
              <w:rPr>
                <w:rFonts w:ascii="Times New Roman" w:eastAsia="Times New Roman" w:hAnsi="Times New Roman"/>
                <w:b/>
                <w:sz w:val="16"/>
                <w:szCs w:val="16"/>
                <w:lang w:eastAsia="lt-LT"/>
              </w:rPr>
              <w:t>0</w:t>
            </w:r>
          </w:p>
        </w:tc>
        <w:tc>
          <w:tcPr>
            <w:tcW w:w="567" w:type="dxa"/>
            <w:tcBorders>
              <w:top w:val="nil"/>
              <w:left w:val="nil"/>
              <w:bottom w:val="single" w:sz="4" w:space="0" w:color="auto"/>
              <w:right w:val="single" w:sz="4" w:space="0" w:color="auto"/>
            </w:tcBorders>
            <w:shd w:val="clear" w:color="auto" w:fill="auto"/>
            <w:vAlign w:val="center"/>
          </w:tcPr>
          <w:p w:rsidR="004644A9" w:rsidRPr="004644A9" w:rsidRDefault="004644A9" w:rsidP="00F6184C">
            <w:pPr>
              <w:spacing w:after="0" w:line="240" w:lineRule="auto"/>
              <w:jc w:val="right"/>
              <w:rPr>
                <w:rFonts w:ascii="Times New Roman" w:eastAsia="Times New Roman" w:hAnsi="Times New Roman"/>
                <w:b/>
                <w:sz w:val="16"/>
                <w:szCs w:val="16"/>
                <w:lang w:eastAsia="lt-LT"/>
              </w:rPr>
            </w:pPr>
          </w:p>
        </w:tc>
      </w:tr>
      <w:tr w:rsidR="004644A9" w:rsidRPr="00DF1549" w:rsidTr="00650E41">
        <w:trPr>
          <w:trHeight w:val="300"/>
        </w:trPr>
        <w:tc>
          <w:tcPr>
            <w:tcW w:w="1418" w:type="dxa"/>
            <w:tcBorders>
              <w:top w:val="nil"/>
              <w:left w:val="single" w:sz="4" w:space="0" w:color="auto"/>
              <w:bottom w:val="single" w:sz="4" w:space="0" w:color="auto"/>
              <w:right w:val="single" w:sz="4" w:space="0" w:color="auto"/>
            </w:tcBorders>
            <w:shd w:val="clear" w:color="auto" w:fill="auto"/>
            <w:vAlign w:val="center"/>
          </w:tcPr>
          <w:p w:rsidR="004644A9" w:rsidRPr="004644A9" w:rsidRDefault="004644A9" w:rsidP="00F6184C">
            <w:pPr>
              <w:spacing w:after="0" w:line="240" w:lineRule="auto"/>
              <w:jc w:val="both"/>
              <w:rPr>
                <w:rFonts w:ascii="Times New Roman" w:eastAsia="Times New Roman" w:hAnsi="Times New Roman"/>
                <w:b/>
                <w:bCs/>
                <w:color w:val="000000"/>
                <w:sz w:val="16"/>
                <w:szCs w:val="16"/>
                <w:lang w:eastAsia="lt-LT"/>
              </w:rPr>
            </w:pPr>
            <w:r w:rsidRPr="004644A9">
              <w:rPr>
                <w:rFonts w:ascii="Times New Roman" w:eastAsia="Times New Roman" w:hAnsi="Times New Roman"/>
                <w:b/>
                <w:bCs/>
                <w:color w:val="000000"/>
                <w:sz w:val="16"/>
                <w:szCs w:val="16"/>
                <w:lang w:eastAsia="lt-LT"/>
              </w:rPr>
              <w:t>Iš viso</w:t>
            </w:r>
          </w:p>
        </w:tc>
        <w:tc>
          <w:tcPr>
            <w:tcW w:w="850" w:type="dxa"/>
            <w:tcBorders>
              <w:top w:val="nil"/>
              <w:left w:val="nil"/>
              <w:bottom w:val="single" w:sz="4" w:space="0" w:color="auto"/>
              <w:right w:val="single" w:sz="4" w:space="0" w:color="auto"/>
            </w:tcBorders>
            <w:shd w:val="clear" w:color="auto" w:fill="auto"/>
            <w:vAlign w:val="center"/>
          </w:tcPr>
          <w:p w:rsidR="004644A9" w:rsidRPr="004644A9" w:rsidRDefault="004644A9" w:rsidP="00F6184C">
            <w:pPr>
              <w:spacing w:after="0" w:line="240" w:lineRule="auto"/>
              <w:jc w:val="both"/>
              <w:rPr>
                <w:rFonts w:ascii="Times New Roman" w:hAnsi="Times New Roman"/>
                <w:b/>
                <w:bCs/>
                <w:color w:val="000000"/>
                <w:sz w:val="16"/>
                <w:szCs w:val="16"/>
                <w:lang w:eastAsia="lt-LT"/>
              </w:rPr>
            </w:pPr>
            <w:r w:rsidRPr="004644A9">
              <w:rPr>
                <w:rFonts w:ascii="Times New Roman" w:hAnsi="Times New Roman"/>
                <w:b/>
                <w:bCs/>
                <w:color w:val="000000"/>
                <w:sz w:val="16"/>
                <w:szCs w:val="16"/>
                <w:lang w:eastAsia="lt-LT"/>
              </w:rPr>
              <w:t>ESF React</w:t>
            </w:r>
            <w:proofErr w:type="gramStart"/>
            <w:r w:rsidRPr="004644A9">
              <w:rPr>
                <w:rFonts w:ascii="Times New Roman" w:hAnsi="Times New Roman"/>
                <w:b/>
                <w:bCs/>
                <w:color w:val="000000"/>
                <w:sz w:val="16"/>
                <w:szCs w:val="16"/>
                <w:lang w:eastAsia="lt-LT"/>
              </w:rPr>
              <w:t>-</w:t>
            </w:r>
            <w:proofErr w:type="gramEnd"/>
            <w:r w:rsidRPr="004644A9">
              <w:rPr>
                <w:rFonts w:ascii="Times New Roman" w:hAnsi="Times New Roman"/>
                <w:b/>
                <w:bCs/>
                <w:color w:val="000000"/>
                <w:sz w:val="16"/>
                <w:szCs w:val="16"/>
                <w:lang w:eastAsia="lt-LT"/>
              </w:rPr>
              <w:t>EU</w:t>
            </w:r>
          </w:p>
        </w:tc>
        <w:tc>
          <w:tcPr>
            <w:tcW w:w="993" w:type="dxa"/>
            <w:tcBorders>
              <w:top w:val="nil"/>
              <w:left w:val="nil"/>
              <w:bottom w:val="single" w:sz="4" w:space="0" w:color="auto"/>
              <w:right w:val="single" w:sz="4" w:space="0" w:color="auto"/>
            </w:tcBorders>
            <w:shd w:val="clear" w:color="auto" w:fill="auto"/>
            <w:vAlign w:val="center"/>
          </w:tcPr>
          <w:p w:rsidR="004644A9" w:rsidRPr="004644A9" w:rsidRDefault="004644A9" w:rsidP="00F6184C">
            <w:pPr>
              <w:spacing w:after="0" w:line="240" w:lineRule="auto"/>
              <w:jc w:val="right"/>
              <w:rPr>
                <w:rFonts w:ascii="Times New Roman" w:eastAsia="Times New Roman" w:hAnsi="Times New Roman"/>
                <w:b/>
                <w:bCs/>
                <w:color w:val="000000"/>
                <w:sz w:val="16"/>
                <w:szCs w:val="16"/>
                <w:lang w:eastAsia="lt-LT"/>
              </w:rPr>
            </w:pPr>
          </w:p>
        </w:tc>
        <w:tc>
          <w:tcPr>
            <w:tcW w:w="1275" w:type="dxa"/>
            <w:tcBorders>
              <w:top w:val="nil"/>
              <w:left w:val="nil"/>
              <w:bottom w:val="single" w:sz="4" w:space="0" w:color="auto"/>
              <w:right w:val="single" w:sz="4" w:space="0" w:color="auto"/>
            </w:tcBorders>
            <w:shd w:val="clear" w:color="auto" w:fill="auto"/>
            <w:vAlign w:val="center"/>
          </w:tcPr>
          <w:p w:rsidR="004644A9" w:rsidRPr="004644A9" w:rsidRDefault="0076682D" w:rsidP="00C76808">
            <w:pPr>
              <w:spacing w:after="0" w:line="240" w:lineRule="auto"/>
              <w:jc w:val="right"/>
              <w:rPr>
                <w:rFonts w:ascii="Times New Roman" w:eastAsia="Times New Roman" w:hAnsi="Times New Roman"/>
                <w:b/>
                <w:bCs/>
                <w:color w:val="000000"/>
                <w:sz w:val="16"/>
                <w:szCs w:val="16"/>
                <w:lang w:eastAsia="lt-LT"/>
              </w:rPr>
            </w:pPr>
            <w:r w:rsidRPr="0076682D">
              <w:rPr>
                <w:rFonts w:ascii="Times New Roman" w:eastAsia="Times New Roman" w:hAnsi="Times New Roman"/>
                <w:b/>
                <w:bCs/>
                <w:color w:val="000000"/>
                <w:sz w:val="16"/>
                <w:szCs w:val="16"/>
                <w:lang w:eastAsia="lt-LT"/>
              </w:rPr>
              <w:t>46.000.000</w:t>
            </w:r>
          </w:p>
        </w:tc>
        <w:tc>
          <w:tcPr>
            <w:tcW w:w="1276" w:type="dxa"/>
            <w:tcBorders>
              <w:top w:val="nil"/>
              <w:left w:val="nil"/>
              <w:bottom w:val="single" w:sz="4" w:space="0" w:color="auto"/>
              <w:right w:val="single" w:sz="4" w:space="0" w:color="auto"/>
            </w:tcBorders>
            <w:shd w:val="clear" w:color="auto" w:fill="auto"/>
            <w:vAlign w:val="center"/>
          </w:tcPr>
          <w:p w:rsidR="004644A9" w:rsidRPr="004644A9" w:rsidRDefault="004644A9" w:rsidP="00C76808">
            <w:pPr>
              <w:spacing w:after="0" w:line="240" w:lineRule="auto"/>
              <w:jc w:val="right"/>
              <w:rPr>
                <w:rFonts w:ascii="Times New Roman" w:eastAsia="Times New Roman" w:hAnsi="Times New Roman"/>
                <w:b/>
                <w:bCs/>
                <w:color w:val="000000"/>
                <w:sz w:val="16"/>
                <w:szCs w:val="16"/>
                <w:lang w:eastAsia="lt-LT"/>
              </w:rPr>
            </w:pPr>
            <w:r w:rsidRPr="004644A9">
              <w:rPr>
                <w:rFonts w:ascii="Times New Roman" w:eastAsia="Times New Roman" w:hAnsi="Times New Roman"/>
                <w:b/>
                <w:bCs/>
                <w:color w:val="000000"/>
                <w:sz w:val="16"/>
                <w:szCs w:val="16"/>
                <w:lang w:eastAsia="lt-LT"/>
              </w:rPr>
              <w:t>0</w:t>
            </w:r>
          </w:p>
        </w:tc>
        <w:tc>
          <w:tcPr>
            <w:tcW w:w="1134" w:type="dxa"/>
            <w:tcBorders>
              <w:top w:val="single" w:sz="4" w:space="0" w:color="auto"/>
              <w:left w:val="nil"/>
              <w:bottom w:val="single" w:sz="4" w:space="0" w:color="auto"/>
              <w:right w:val="single" w:sz="4" w:space="0" w:color="auto"/>
            </w:tcBorders>
            <w:vAlign w:val="center"/>
          </w:tcPr>
          <w:p w:rsidR="004644A9" w:rsidRPr="004644A9" w:rsidRDefault="004644A9" w:rsidP="002A5986">
            <w:pPr>
              <w:spacing w:after="0" w:line="240" w:lineRule="auto"/>
              <w:jc w:val="right"/>
              <w:rPr>
                <w:rFonts w:ascii="Times New Roman" w:eastAsia="Times New Roman" w:hAnsi="Times New Roman"/>
                <w:b/>
                <w:bCs/>
                <w:sz w:val="16"/>
                <w:szCs w:val="16"/>
              </w:rPr>
            </w:pPr>
            <w:r w:rsidRPr="004644A9">
              <w:rPr>
                <w:rFonts w:ascii="Times New Roman" w:eastAsia="Times New Roman" w:hAnsi="Times New Roman"/>
                <w:b/>
                <w:bCs/>
                <w:sz w:val="16"/>
                <w:szCs w:val="16"/>
              </w:rPr>
              <w:t>0</w:t>
            </w:r>
          </w:p>
        </w:tc>
        <w:tc>
          <w:tcPr>
            <w:tcW w:w="1134" w:type="dxa"/>
            <w:tcBorders>
              <w:top w:val="single" w:sz="4" w:space="0" w:color="auto"/>
              <w:left w:val="single" w:sz="4" w:space="0" w:color="auto"/>
              <w:bottom w:val="single" w:sz="4" w:space="0" w:color="auto"/>
              <w:right w:val="single" w:sz="4" w:space="0" w:color="auto"/>
            </w:tcBorders>
            <w:vAlign w:val="center"/>
          </w:tcPr>
          <w:p w:rsidR="004644A9" w:rsidRPr="004644A9" w:rsidRDefault="004644A9" w:rsidP="002A5986">
            <w:pPr>
              <w:spacing w:after="0" w:line="240" w:lineRule="auto"/>
              <w:jc w:val="right"/>
              <w:rPr>
                <w:rFonts w:ascii="Times New Roman" w:eastAsia="Times New Roman" w:hAnsi="Times New Roman"/>
                <w:b/>
                <w:bCs/>
                <w:sz w:val="16"/>
                <w:szCs w:val="16"/>
              </w:rPr>
            </w:pPr>
            <w:r w:rsidRPr="004644A9">
              <w:rPr>
                <w:rFonts w:ascii="Times New Roman" w:eastAsia="Times New Roman" w:hAnsi="Times New Roman"/>
                <w:b/>
                <w:bCs/>
                <w:sz w:val="16"/>
                <w:szCs w:val="16"/>
              </w:rPr>
              <w:t>0</w:t>
            </w:r>
          </w:p>
        </w:tc>
        <w:tc>
          <w:tcPr>
            <w:tcW w:w="1276" w:type="dxa"/>
            <w:tcBorders>
              <w:top w:val="nil"/>
              <w:left w:val="single" w:sz="4" w:space="0" w:color="auto"/>
              <w:bottom w:val="single" w:sz="4" w:space="0" w:color="auto"/>
              <w:right w:val="single" w:sz="4" w:space="0" w:color="auto"/>
            </w:tcBorders>
            <w:shd w:val="clear" w:color="auto" w:fill="auto"/>
            <w:vAlign w:val="center"/>
          </w:tcPr>
          <w:p w:rsidR="004644A9" w:rsidRPr="004644A9" w:rsidRDefault="0076682D" w:rsidP="00C76808">
            <w:pPr>
              <w:spacing w:after="0" w:line="240" w:lineRule="auto"/>
              <w:jc w:val="right"/>
              <w:rPr>
                <w:rFonts w:ascii="Times New Roman" w:eastAsia="Times New Roman" w:hAnsi="Times New Roman"/>
                <w:b/>
                <w:bCs/>
                <w:color w:val="000000"/>
                <w:sz w:val="16"/>
                <w:szCs w:val="16"/>
                <w:lang w:eastAsia="lt-LT"/>
              </w:rPr>
            </w:pPr>
            <w:r w:rsidRPr="0076682D">
              <w:rPr>
                <w:rFonts w:ascii="Times New Roman" w:eastAsia="Times New Roman" w:hAnsi="Times New Roman"/>
                <w:b/>
                <w:bCs/>
                <w:color w:val="000000"/>
                <w:sz w:val="16"/>
                <w:szCs w:val="16"/>
                <w:lang w:eastAsia="lt-LT"/>
              </w:rPr>
              <w:t>46.000.000</w:t>
            </w:r>
          </w:p>
        </w:tc>
        <w:tc>
          <w:tcPr>
            <w:tcW w:w="709" w:type="dxa"/>
            <w:tcBorders>
              <w:top w:val="nil"/>
              <w:left w:val="nil"/>
              <w:bottom w:val="single" w:sz="4" w:space="0" w:color="auto"/>
              <w:right w:val="single" w:sz="4" w:space="0" w:color="auto"/>
            </w:tcBorders>
            <w:shd w:val="clear" w:color="auto" w:fill="auto"/>
            <w:vAlign w:val="center"/>
          </w:tcPr>
          <w:p w:rsidR="004644A9" w:rsidRPr="004644A9" w:rsidRDefault="004644A9" w:rsidP="00372448">
            <w:pPr>
              <w:spacing w:after="0" w:line="240" w:lineRule="auto"/>
              <w:jc w:val="right"/>
              <w:rPr>
                <w:rFonts w:ascii="Times New Roman" w:eastAsia="Times New Roman" w:hAnsi="Times New Roman"/>
                <w:b/>
                <w:sz w:val="16"/>
                <w:szCs w:val="16"/>
                <w:lang w:eastAsia="lt-LT"/>
              </w:rPr>
            </w:pPr>
            <w:r w:rsidRPr="004644A9">
              <w:rPr>
                <w:rFonts w:ascii="Times New Roman" w:eastAsia="Times New Roman" w:hAnsi="Times New Roman"/>
                <w:b/>
                <w:sz w:val="16"/>
                <w:szCs w:val="16"/>
                <w:lang w:eastAsia="lt-LT"/>
              </w:rPr>
              <w:t>100</w:t>
            </w:r>
          </w:p>
        </w:tc>
        <w:tc>
          <w:tcPr>
            <w:tcW w:w="425" w:type="dxa"/>
            <w:tcBorders>
              <w:top w:val="nil"/>
              <w:left w:val="nil"/>
              <w:bottom w:val="single" w:sz="4" w:space="0" w:color="auto"/>
              <w:right w:val="single" w:sz="4" w:space="0" w:color="auto"/>
            </w:tcBorders>
            <w:shd w:val="clear" w:color="auto" w:fill="auto"/>
            <w:vAlign w:val="center"/>
          </w:tcPr>
          <w:p w:rsidR="004644A9" w:rsidRPr="004644A9" w:rsidRDefault="004644A9" w:rsidP="00372448">
            <w:pPr>
              <w:spacing w:after="0" w:line="240" w:lineRule="auto"/>
              <w:jc w:val="right"/>
              <w:rPr>
                <w:rFonts w:ascii="Times New Roman" w:eastAsia="Times New Roman" w:hAnsi="Times New Roman"/>
                <w:b/>
                <w:bCs/>
                <w:sz w:val="16"/>
                <w:szCs w:val="16"/>
                <w:lang w:eastAsia="lt-LT"/>
              </w:rPr>
            </w:pPr>
          </w:p>
        </w:tc>
        <w:tc>
          <w:tcPr>
            <w:tcW w:w="1417" w:type="dxa"/>
            <w:tcBorders>
              <w:top w:val="nil"/>
              <w:left w:val="nil"/>
              <w:bottom w:val="single" w:sz="4" w:space="0" w:color="auto"/>
              <w:right w:val="single" w:sz="4" w:space="0" w:color="auto"/>
            </w:tcBorders>
            <w:shd w:val="clear" w:color="auto" w:fill="auto"/>
            <w:vAlign w:val="center"/>
          </w:tcPr>
          <w:p w:rsidR="004644A9" w:rsidRPr="004644A9" w:rsidRDefault="0076682D" w:rsidP="00C76808">
            <w:pPr>
              <w:spacing w:after="0" w:line="240" w:lineRule="auto"/>
              <w:jc w:val="right"/>
              <w:rPr>
                <w:rFonts w:ascii="Times New Roman" w:eastAsia="Times New Roman" w:hAnsi="Times New Roman"/>
                <w:b/>
                <w:sz w:val="16"/>
                <w:szCs w:val="16"/>
                <w:lang w:eastAsia="lt-LT"/>
              </w:rPr>
            </w:pPr>
            <w:r w:rsidRPr="0076682D">
              <w:rPr>
                <w:rFonts w:ascii="Times New Roman" w:eastAsia="Times New Roman" w:hAnsi="Times New Roman"/>
                <w:b/>
                <w:bCs/>
                <w:color w:val="000000"/>
                <w:sz w:val="16"/>
                <w:szCs w:val="16"/>
                <w:lang w:eastAsia="lt-LT"/>
              </w:rPr>
              <w:t>46.000.000</w:t>
            </w:r>
          </w:p>
        </w:tc>
        <w:tc>
          <w:tcPr>
            <w:tcW w:w="1276" w:type="dxa"/>
            <w:tcBorders>
              <w:top w:val="nil"/>
              <w:left w:val="nil"/>
              <w:bottom w:val="single" w:sz="4" w:space="0" w:color="auto"/>
              <w:right w:val="single" w:sz="4" w:space="0" w:color="auto"/>
            </w:tcBorders>
            <w:shd w:val="clear" w:color="auto" w:fill="auto"/>
            <w:vAlign w:val="center"/>
          </w:tcPr>
          <w:p w:rsidR="004644A9" w:rsidRPr="004644A9" w:rsidRDefault="004644A9" w:rsidP="002A5986">
            <w:pPr>
              <w:spacing w:after="0" w:line="240" w:lineRule="auto"/>
              <w:jc w:val="right"/>
              <w:rPr>
                <w:rFonts w:ascii="Times New Roman" w:eastAsia="Times New Roman" w:hAnsi="Times New Roman"/>
                <w:b/>
                <w:sz w:val="16"/>
                <w:szCs w:val="16"/>
                <w:lang w:eastAsia="lt-LT"/>
              </w:rPr>
            </w:pPr>
            <w:r w:rsidRPr="004644A9">
              <w:rPr>
                <w:rFonts w:ascii="Times New Roman" w:eastAsia="Times New Roman" w:hAnsi="Times New Roman"/>
                <w:b/>
                <w:sz w:val="16"/>
                <w:szCs w:val="16"/>
                <w:lang w:eastAsia="lt-LT"/>
              </w:rPr>
              <w:t>0</w:t>
            </w:r>
          </w:p>
        </w:tc>
        <w:tc>
          <w:tcPr>
            <w:tcW w:w="1134" w:type="dxa"/>
            <w:tcBorders>
              <w:top w:val="nil"/>
              <w:left w:val="nil"/>
              <w:bottom w:val="single" w:sz="4" w:space="0" w:color="auto"/>
              <w:right w:val="single" w:sz="4" w:space="0" w:color="auto"/>
            </w:tcBorders>
            <w:shd w:val="clear" w:color="auto" w:fill="auto"/>
            <w:vAlign w:val="center"/>
          </w:tcPr>
          <w:p w:rsidR="004644A9" w:rsidRPr="004644A9" w:rsidRDefault="004644A9" w:rsidP="00C76808">
            <w:pPr>
              <w:spacing w:after="0" w:line="240" w:lineRule="auto"/>
              <w:jc w:val="right"/>
              <w:rPr>
                <w:rFonts w:ascii="Times New Roman" w:eastAsia="Times New Roman" w:hAnsi="Times New Roman"/>
                <w:b/>
                <w:bCs/>
                <w:sz w:val="16"/>
                <w:szCs w:val="16"/>
                <w:lang w:eastAsia="lt-LT"/>
              </w:rPr>
            </w:pPr>
            <w:r w:rsidRPr="004644A9">
              <w:rPr>
                <w:rFonts w:ascii="Times New Roman" w:eastAsia="Times New Roman" w:hAnsi="Times New Roman"/>
                <w:b/>
                <w:bCs/>
                <w:sz w:val="16"/>
                <w:szCs w:val="16"/>
                <w:lang w:eastAsia="lt-LT"/>
              </w:rPr>
              <w:t>0</w:t>
            </w:r>
          </w:p>
        </w:tc>
        <w:tc>
          <w:tcPr>
            <w:tcW w:w="1134" w:type="dxa"/>
            <w:tcBorders>
              <w:top w:val="nil"/>
              <w:left w:val="nil"/>
              <w:bottom w:val="single" w:sz="4" w:space="0" w:color="auto"/>
              <w:right w:val="single" w:sz="4" w:space="0" w:color="auto"/>
            </w:tcBorders>
            <w:shd w:val="clear" w:color="auto" w:fill="auto"/>
            <w:vAlign w:val="center"/>
          </w:tcPr>
          <w:p w:rsidR="004644A9" w:rsidRPr="004644A9" w:rsidRDefault="004644A9" w:rsidP="002A5986">
            <w:pPr>
              <w:spacing w:after="0" w:line="240" w:lineRule="auto"/>
              <w:jc w:val="right"/>
              <w:rPr>
                <w:rFonts w:ascii="Times New Roman" w:eastAsia="Times New Roman" w:hAnsi="Times New Roman"/>
                <w:b/>
                <w:sz w:val="16"/>
                <w:szCs w:val="16"/>
                <w:lang w:eastAsia="lt-LT"/>
              </w:rPr>
            </w:pPr>
            <w:r w:rsidRPr="004644A9">
              <w:rPr>
                <w:rFonts w:ascii="Times New Roman" w:eastAsia="Times New Roman" w:hAnsi="Times New Roman"/>
                <w:b/>
                <w:sz w:val="16"/>
                <w:szCs w:val="16"/>
                <w:lang w:eastAsia="lt-LT"/>
              </w:rPr>
              <w:t>0</w:t>
            </w:r>
          </w:p>
        </w:tc>
        <w:tc>
          <w:tcPr>
            <w:tcW w:w="567" w:type="dxa"/>
            <w:tcBorders>
              <w:top w:val="nil"/>
              <w:left w:val="nil"/>
              <w:bottom w:val="single" w:sz="4" w:space="0" w:color="auto"/>
              <w:right w:val="single" w:sz="4" w:space="0" w:color="auto"/>
            </w:tcBorders>
            <w:shd w:val="clear" w:color="auto" w:fill="auto"/>
            <w:vAlign w:val="center"/>
          </w:tcPr>
          <w:p w:rsidR="004644A9" w:rsidRPr="004644A9" w:rsidRDefault="004644A9" w:rsidP="00F6184C">
            <w:pPr>
              <w:spacing w:after="0" w:line="240" w:lineRule="auto"/>
              <w:jc w:val="right"/>
              <w:rPr>
                <w:rFonts w:ascii="Times New Roman" w:eastAsia="Times New Roman" w:hAnsi="Times New Roman"/>
                <w:b/>
                <w:sz w:val="16"/>
                <w:szCs w:val="16"/>
                <w:lang w:eastAsia="lt-LT"/>
              </w:rPr>
            </w:pPr>
          </w:p>
        </w:tc>
      </w:tr>
      <w:tr w:rsidR="000F7786" w:rsidRPr="00DF1549" w:rsidTr="00650E41">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0F7786" w:rsidRPr="00697AD2" w:rsidRDefault="000F7786" w:rsidP="000F7786">
            <w:pPr>
              <w:spacing w:after="0" w:line="240" w:lineRule="auto"/>
              <w:jc w:val="both"/>
              <w:rPr>
                <w:rFonts w:ascii="Times New Roman" w:hAnsi="Times New Roman"/>
                <w:b/>
                <w:bCs/>
                <w:color w:val="000000"/>
                <w:sz w:val="16"/>
                <w:szCs w:val="16"/>
                <w:lang w:eastAsia="lt-LT"/>
              </w:rPr>
            </w:pPr>
            <w:r w:rsidRPr="00697AD2">
              <w:rPr>
                <w:rFonts w:ascii="Times New Roman" w:hAnsi="Times New Roman"/>
                <w:b/>
                <w:bCs/>
                <w:color w:val="000000"/>
                <w:sz w:val="16"/>
                <w:szCs w:val="16"/>
                <w:lang w:eastAsia="lt-LT"/>
              </w:rPr>
              <w:t>Iš viso</w:t>
            </w:r>
          </w:p>
        </w:tc>
        <w:tc>
          <w:tcPr>
            <w:tcW w:w="850" w:type="dxa"/>
            <w:tcBorders>
              <w:top w:val="nil"/>
              <w:left w:val="nil"/>
              <w:bottom w:val="single" w:sz="4" w:space="0" w:color="auto"/>
              <w:right w:val="single" w:sz="4" w:space="0" w:color="auto"/>
            </w:tcBorders>
            <w:shd w:val="clear" w:color="auto" w:fill="auto"/>
            <w:vAlign w:val="center"/>
          </w:tcPr>
          <w:p w:rsidR="000F7786" w:rsidRPr="00697AD2" w:rsidRDefault="000F7786" w:rsidP="000F7786">
            <w:pPr>
              <w:spacing w:after="0" w:line="240" w:lineRule="auto"/>
              <w:jc w:val="both"/>
              <w:rPr>
                <w:rFonts w:ascii="Times New Roman" w:hAnsi="Times New Roman"/>
                <w:b/>
                <w:bCs/>
                <w:color w:val="000000"/>
                <w:sz w:val="16"/>
                <w:szCs w:val="16"/>
                <w:lang w:eastAsia="lt-LT"/>
              </w:rPr>
            </w:pPr>
          </w:p>
        </w:tc>
        <w:tc>
          <w:tcPr>
            <w:tcW w:w="993" w:type="dxa"/>
            <w:tcBorders>
              <w:top w:val="nil"/>
              <w:left w:val="nil"/>
              <w:bottom w:val="single" w:sz="4" w:space="0" w:color="auto"/>
              <w:right w:val="single" w:sz="4" w:space="0" w:color="auto"/>
            </w:tcBorders>
            <w:shd w:val="clear" w:color="auto" w:fill="auto"/>
            <w:vAlign w:val="center"/>
          </w:tcPr>
          <w:p w:rsidR="000F7786" w:rsidRPr="00697AD2" w:rsidRDefault="000F7786" w:rsidP="000F7786">
            <w:pPr>
              <w:spacing w:after="0" w:line="240" w:lineRule="auto"/>
              <w:jc w:val="right"/>
              <w:rPr>
                <w:rFonts w:ascii="Times New Roman" w:hAnsi="Times New Roman"/>
                <w:b/>
                <w:bCs/>
                <w:color w:val="000000"/>
                <w:sz w:val="16"/>
                <w:szCs w:val="16"/>
                <w:lang w:eastAsia="lt-LT"/>
              </w:rPr>
            </w:pPr>
          </w:p>
        </w:tc>
        <w:tc>
          <w:tcPr>
            <w:tcW w:w="1275" w:type="dxa"/>
            <w:tcBorders>
              <w:top w:val="nil"/>
              <w:left w:val="nil"/>
              <w:bottom w:val="single" w:sz="4" w:space="0" w:color="auto"/>
              <w:right w:val="single" w:sz="4" w:space="0" w:color="auto"/>
            </w:tcBorders>
            <w:shd w:val="clear" w:color="auto" w:fill="auto"/>
            <w:vAlign w:val="center"/>
            <w:hideMark/>
          </w:tcPr>
          <w:p w:rsidR="000F7786" w:rsidRPr="00131E96" w:rsidRDefault="0076682D" w:rsidP="000F7786">
            <w:pPr>
              <w:spacing w:after="0" w:line="240" w:lineRule="auto"/>
              <w:jc w:val="center"/>
              <w:rPr>
                <w:rFonts w:ascii="Times New Roman" w:hAnsi="Times New Roman"/>
                <w:b/>
                <w:bCs/>
                <w:color w:val="000000"/>
                <w:sz w:val="16"/>
                <w:szCs w:val="16"/>
                <w:lang w:eastAsia="lt-LT"/>
              </w:rPr>
            </w:pPr>
            <w:r w:rsidRPr="0076682D">
              <w:rPr>
                <w:rFonts w:ascii="Times New Roman" w:hAnsi="Times New Roman"/>
                <w:b/>
                <w:bCs/>
                <w:color w:val="000000"/>
                <w:sz w:val="16"/>
                <w:szCs w:val="16"/>
                <w:lang w:eastAsia="lt-LT"/>
              </w:rPr>
              <w:t>7.033.542.834</w:t>
            </w:r>
          </w:p>
        </w:tc>
        <w:tc>
          <w:tcPr>
            <w:tcW w:w="1276" w:type="dxa"/>
            <w:tcBorders>
              <w:top w:val="nil"/>
              <w:left w:val="nil"/>
              <w:bottom w:val="single" w:sz="4" w:space="0" w:color="auto"/>
              <w:right w:val="single" w:sz="4" w:space="0" w:color="auto"/>
            </w:tcBorders>
            <w:shd w:val="clear" w:color="auto" w:fill="auto"/>
            <w:vAlign w:val="center"/>
            <w:hideMark/>
          </w:tcPr>
          <w:p w:rsidR="000F7786" w:rsidRPr="003C080E" w:rsidRDefault="000F7786" w:rsidP="000F7786">
            <w:pPr>
              <w:spacing w:after="0" w:line="240" w:lineRule="auto"/>
              <w:jc w:val="center"/>
              <w:rPr>
                <w:rFonts w:ascii="Times New Roman" w:hAnsi="Times New Roman"/>
                <w:b/>
                <w:bCs/>
                <w:color w:val="000000"/>
                <w:sz w:val="16"/>
                <w:szCs w:val="16"/>
                <w:lang w:eastAsia="lt-LT"/>
              </w:rPr>
            </w:pPr>
            <w:r w:rsidRPr="003C080E">
              <w:rPr>
                <w:rFonts w:ascii="Times New Roman" w:hAnsi="Times New Roman"/>
                <w:b/>
                <w:bCs/>
                <w:color w:val="000000"/>
                <w:sz w:val="16"/>
                <w:szCs w:val="16"/>
                <w:lang w:eastAsia="lt-LT"/>
              </w:rPr>
              <w:t>1.178.402.394</w:t>
            </w:r>
          </w:p>
        </w:tc>
        <w:tc>
          <w:tcPr>
            <w:tcW w:w="1134" w:type="dxa"/>
            <w:tcBorders>
              <w:top w:val="single" w:sz="4" w:space="0" w:color="auto"/>
              <w:left w:val="nil"/>
              <w:bottom w:val="single" w:sz="4" w:space="0" w:color="auto"/>
              <w:right w:val="single" w:sz="4" w:space="0" w:color="auto"/>
            </w:tcBorders>
            <w:vAlign w:val="center"/>
          </w:tcPr>
          <w:p w:rsidR="000F7786" w:rsidRPr="003C080E" w:rsidRDefault="000F7786" w:rsidP="000F7786">
            <w:pPr>
              <w:spacing w:after="0" w:line="240" w:lineRule="auto"/>
              <w:jc w:val="center"/>
              <w:rPr>
                <w:rFonts w:ascii="Times New Roman" w:hAnsi="Times New Roman"/>
                <w:b/>
                <w:bCs/>
                <w:sz w:val="16"/>
                <w:szCs w:val="16"/>
              </w:rPr>
            </w:pPr>
            <w:r w:rsidRPr="003C080E">
              <w:rPr>
                <w:rFonts w:ascii="Times New Roman" w:hAnsi="Times New Roman"/>
                <w:b/>
                <w:bCs/>
                <w:sz w:val="16"/>
                <w:szCs w:val="16"/>
              </w:rPr>
              <w:t>546.897.884</w:t>
            </w:r>
          </w:p>
        </w:tc>
        <w:tc>
          <w:tcPr>
            <w:tcW w:w="1134" w:type="dxa"/>
            <w:tcBorders>
              <w:top w:val="single" w:sz="4" w:space="0" w:color="auto"/>
              <w:left w:val="single" w:sz="4" w:space="0" w:color="auto"/>
              <w:bottom w:val="single" w:sz="4" w:space="0" w:color="auto"/>
              <w:right w:val="single" w:sz="4" w:space="0" w:color="auto"/>
            </w:tcBorders>
            <w:vAlign w:val="center"/>
          </w:tcPr>
          <w:p w:rsidR="000F7786" w:rsidRPr="003C080E" w:rsidRDefault="000F7786" w:rsidP="000F7786">
            <w:pPr>
              <w:spacing w:after="0" w:line="240" w:lineRule="auto"/>
              <w:jc w:val="center"/>
              <w:rPr>
                <w:rFonts w:ascii="Times New Roman" w:hAnsi="Times New Roman"/>
                <w:b/>
                <w:bCs/>
                <w:sz w:val="16"/>
                <w:szCs w:val="16"/>
              </w:rPr>
            </w:pPr>
            <w:r w:rsidRPr="003C080E">
              <w:rPr>
                <w:rFonts w:ascii="Times New Roman" w:hAnsi="Times New Roman"/>
                <w:b/>
                <w:bCs/>
                <w:sz w:val="16"/>
                <w:szCs w:val="16"/>
              </w:rPr>
              <w:t>631.504.510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0F7786" w:rsidRPr="003C080E" w:rsidRDefault="006F0D31" w:rsidP="000F7786">
            <w:pPr>
              <w:spacing w:after="0" w:line="240" w:lineRule="auto"/>
              <w:jc w:val="center"/>
              <w:rPr>
                <w:rFonts w:ascii="Times New Roman" w:hAnsi="Times New Roman"/>
                <w:b/>
                <w:bCs/>
                <w:color w:val="000000"/>
                <w:sz w:val="16"/>
                <w:szCs w:val="16"/>
                <w:lang w:eastAsia="lt-LT"/>
              </w:rPr>
            </w:pPr>
            <w:r w:rsidRPr="006F0D31">
              <w:rPr>
                <w:rFonts w:ascii="Times New Roman" w:hAnsi="Times New Roman"/>
                <w:b/>
                <w:bCs/>
                <w:color w:val="000000"/>
                <w:sz w:val="16"/>
                <w:szCs w:val="16"/>
                <w:lang w:eastAsia="lt-LT"/>
              </w:rPr>
              <w:t>8.211.945.228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7786" w:rsidRPr="003C080E" w:rsidRDefault="000F7786" w:rsidP="006F0D31">
            <w:pPr>
              <w:spacing w:after="0" w:line="240" w:lineRule="auto"/>
              <w:jc w:val="center"/>
              <w:rPr>
                <w:rFonts w:ascii="Times New Roman" w:hAnsi="Times New Roman"/>
                <w:b/>
                <w:sz w:val="16"/>
                <w:szCs w:val="16"/>
                <w:lang w:eastAsia="lt-LT"/>
              </w:rPr>
            </w:pPr>
            <w:r>
              <w:rPr>
                <w:rFonts w:ascii="Times New Roman" w:hAnsi="Times New Roman"/>
                <w:b/>
                <w:sz w:val="16"/>
                <w:szCs w:val="16"/>
                <w:lang w:eastAsia="lt-LT"/>
              </w:rPr>
              <w:t>85,</w:t>
            </w:r>
            <w:r w:rsidR="006F0D31">
              <w:rPr>
                <w:rFonts w:ascii="Times New Roman" w:hAnsi="Times New Roman"/>
                <w:b/>
                <w:sz w:val="16"/>
                <w:szCs w:val="16"/>
                <w:lang w:eastAsia="lt-LT"/>
              </w:rPr>
              <w:t>65</w:t>
            </w:r>
          </w:p>
        </w:tc>
        <w:tc>
          <w:tcPr>
            <w:tcW w:w="425" w:type="dxa"/>
            <w:tcBorders>
              <w:top w:val="nil"/>
              <w:left w:val="nil"/>
              <w:bottom w:val="single" w:sz="4" w:space="0" w:color="auto"/>
              <w:right w:val="single" w:sz="4" w:space="0" w:color="auto"/>
            </w:tcBorders>
            <w:shd w:val="clear" w:color="auto" w:fill="auto"/>
            <w:vAlign w:val="center"/>
            <w:hideMark/>
          </w:tcPr>
          <w:p w:rsidR="000F7786" w:rsidRPr="003C080E" w:rsidRDefault="000F7786" w:rsidP="000F7786">
            <w:pPr>
              <w:spacing w:after="0" w:line="240" w:lineRule="auto"/>
              <w:jc w:val="center"/>
              <w:rPr>
                <w:rFonts w:ascii="Times New Roman" w:hAnsi="Times New Roman"/>
                <w:b/>
                <w:bCs/>
                <w:sz w:val="16"/>
                <w:szCs w:val="16"/>
                <w:lang w:eastAsia="lt-LT"/>
              </w:rPr>
            </w:pPr>
          </w:p>
        </w:tc>
        <w:tc>
          <w:tcPr>
            <w:tcW w:w="1417" w:type="dxa"/>
            <w:tcBorders>
              <w:top w:val="nil"/>
              <w:left w:val="nil"/>
              <w:bottom w:val="single" w:sz="4" w:space="0" w:color="auto"/>
              <w:right w:val="single" w:sz="4" w:space="0" w:color="auto"/>
            </w:tcBorders>
            <w:shd w:val="clear" w:color="auto" w:fill="auto"/>
            <w:vAlign w:val="center"/>
            <w:hideMark/>
          </w:tcPr>
          <w:p w:rsidR="000F7786" w:rsidRPr="00722F8A" w:rsidRDefault="006F0D31" w:rsidP="000F7786">
            <w:pPr>
              <w:spacing w:after="0" w:line="240" w:lineRule="auto"/>
              <w:jc w:val="center"/>
              <w:rPr>
                <w:rFonts w:ascii="Times New Roman" w:hAnsi="Times New Roman"/>
                <w:b/>
                <w:sz w:val="16"/>
                <w:szCs w:val="16"/>
                <w:lang w:eastAsia="lt-LT"/>
              </w:rPr>
            </w:pPr>
            <w:r w:rsidRPr="006F0D31">
              <w:rPr>
                <w:rFonts w:ascii="Times New Roman" w:hAnsi="Times New Roman"/>
                <w:b/>
                <w:sz w:val="16"/>
                <w:szCs w:val="16"/>
                <w:lang w:eastAsia="lt-LT"/>
              </w:rPr>
              <w:t>6.634.792.982</w:t>
            </w:r>
          </w:p>
        </w:tc>
        <w:tc>
          <w:tcPr>
            <w:tcW w:w="1276" w:type="dxa"/>
            <w:tcBorders>
              <w:top w:val="nil"/>
              <w:left w:val="nil"/>
              <w:bottom w:val="single" w:sz="4" w:space="0" w:color="auto"/>
              <w:right w:val="single" w:sz="4" w:space="0" w:color="auto"/>
            </w:tcBorders>
            <w:shd w:val="clear" w:color="auto" w:fill="auto"/>
            <w:vAlign w:val="center"/>
            <w:hideMark/>
          </w:tcPr>
          <w:p w:rsidR="000F7786" w:rsidRPr="003C080E" w:rsidRDefault="000F7786" w:rsidP="000F7786">
            <w:pPr>
              <w:spacing w:after="0" w:line="240" w:lineRule="auto"/>
              <w:jc w:val="center"/>
              <w:rPr>
                <w:rFonts w:ascii="Times New Roman" w:hAnsi="Times New Roman"/>
                <w:b/>
                <w:sz w:val="16"/>
                <w:szCs w:val="16"/>
                <w:lang w:eastAsia="lt-LT"/>
              </w:rPr>
            </w:pPr>
            <w:r>
              <w:rPr>
                <w:rFonts w:ascii="Times New Roman" w:hAnsi="Times New Roman"/>
                <w:b/>
                <w:sz w:val="16"/>
                <w:szCs w:val="16"/>
                <w:lang w:eastAsia="lt-LT"/>
              </w:rPr>
              <w:t>1.108.034.773</w:t>
            </w:r>
          </w:p>
        </w:tc>
        <w:tc>
          <w:tcPr>
            <w:tcW w:w="1134" w:type="dxa"/>
            <w:tcBorders>
              <w:top w:val="nil"/>
              <w:left w:val="nil"/>
              <w:bottom w:val="single" w:sz="4" w:space="0" w:color="auto"/>
              <w:right w:val="single" w:sz="4" w:space="0" w:color="auto"/>
            </w:tcBorders>
            <w:shd w:val="clear" w:color="auto" w:fill="auto"/>
            <w:vAlign w:val="center"/>
            <w:hideMark/>
          </w:tcPr>
          <w:p w:rsidR="000F7786" w:rsidRPr="00470615" w:rsidRDefault="000F7786" w:rsidP="000F7786">
            <w:pPr>
              <w:spacing w:after="0" w:line="240" w:lineRule="auto"/>
              <w:jc w:val="center"/>
              <w:rPr>
                <w:rFonts w:ascii="Times New Roman" w:hAnsi="Times New Roman"/>
                <w:b/>
                <w:sz w:val="16"/>
                <w:szCs w:val="16"/>
                <w:lang w:eastAsia="lt-LT"/>
              </w:rPr>
            </w:pPr>
            <w:r w:rsidRPr="00470615">
              <w:rPr>
                <w:rFonts w:ascii="Times New Roman" w:hAnsi="Times New Roman"/>
                <w:b/>
                <w:sz w:val="16"/>
                <w:szCs w:val="16"/>
                <w:lang w:eastAsia="lt-LT"/>
              </w:rPr>
              <w:t>398.749.852</w:t>
            </w:r>
          </w:p>
        </w:tc>
        <w:tc>
          <w:tcPr>
            <w:tcW w:w="1134" w:type="dxa"/>
            <w:tcBorders>
              <w:top w:val="nil"/>
              <w:left w:val="nil"/>
              <w:bottom w:val="single" w:sz="4" w:space="0" w:color="auto"/>
              <w:right w:val="single" w:sz="4" w:space="0" w:color="auto"/>
            </w:tcBorders>
            <w:shd w:val="clear" w:color="auto" w:fill="auto"/>
            <w:vAlign w:val="center"/>
            <w:hideMark/>
          </w:tcPr>
          <w:p w:rsidR="000F7786" w:rsidRPr="00722F8A" w:rsidRDefault="000F7786" w:rsidP="000F7786">
            <w:pPr>
              <w:spacing w:after="0" w:line="240" w:lineRule="auto"/>
              <w:jc w:val="center"/>
              <w:rPr>
                <w:rFonts w:ascii="Times New Roman" w:hAnsi="Times New Roman"/>
                <w:b/>
                <w:sz w:val="16"/>
                <w:szCs w:val="16"/>
                <w:lang w:eastAsia="lt-LT"/>
              </w:rPr>
            </w:pPr>
            <w:r w:rsidRPr="00722F8A">
              <w:rPr>
                <w:rFonts w:ascii="Times New Roman" w:hAnsi="Times New Roman"/>
                <w:b/>
                <w:sz w:val="16"/>
                <w:szCs w:val="16"/>
                <w:lang w:eastAsia="lt-LT"/>
              </w:rPr>
              <w:t>70.367.621</w:t>
            </w:r>
          </w:p>
        </w:tc>
        <w:tc>
          <w:tcPr>
            <w:tcW w:w="567" w:type="dxa"/>
            <w:tcBorders>
              <w:top w:val="nil"/>
              <w:left w:val="nil"/>
              <w:bottom w:val="single" w:sz="4" w:space="0" w:color="auto"/>
              <w:right w:val="single" w:sz="4" w:space="0" w:color="auto"/>
            </w:tcBorders>
            <w:shd w:val="clear" w:color="auto" w:fill="auto"/>
            <w:vAlign w:val="center"/>
            <w:hideMark/>
          </w:tcPr>
          <w:p w:rsidR="000F7786" w:rsidRPr="003C080E" w:rsidRDefault="000F7786" w:rsidP="000F7786">
            <w:pPr>
              <w:spacing w:after="0" w:line="240" w:lineRule="auto"/>
              <w:jc w:val="center"/>
              <w:rPr>
                <w:rFonts w:ascii="Times New Roman" w:hAnsi="Times New Roman"/>
                <w:b/>
                <w:sz w:val="16"/>
                <w:szCs w:val="16"/>
                <w:lang w:eastAsia="lt-LT"/>
              </w:rPr>
            </w:pPr>
            <w:r>
              <w:rPr>
                <w:rFonts w:ascii="Times New Roman" w:hAnsi="Times New Roman"/>
                <w:b/>
                <w:sz w:val="16"/>
                <w:szCs w:val="16"/>
                <w:lang w:eastAsia="lt-LT"/>
              </w:rPr>
              <w:t>5,75</w:t>
            </w:r>
          </w:p>
        </w:tc>
      </w:tr>
    </w:tbl>
    <w:p w:rsidR="00650E41" w:rsidRPr="00B14340" w:rsidRDefault="00650E41" w:rsidP="00650E41">
      <w:pPr>
        <w:widowControl w:val="0"/>
        <w:tabs>
          <w:tab w:val="left" w:pos="622"/>
        </w:tabs>
        <w:spacing w:after="0" w:line="240" w:lineRule="auto"/>
        <w:jc w:val="both"/>
        <w:rPr>
          <w:rFonts w:ascii="Times New Roman" w:eastAsia="AngsanaUPC" w:hAnsi="Times New Roman"/>
          <w:b/>
          <w:bCs/>
          <w:sz w:val="20"/>
          <w:szCs w:val="20"/>
          <w:lang w:eastAsia="lt-LT"/>
        </w:rPr>
      </w:pPr>
    </w:p>
    <w:p w:rsidR="00650E41" w:rsidRDefault="00650E41" w:rsidP="00650E41">
      <w:pPr>
        <w:widowControl w:val="0"/>
        <w:tabs>
          <w:tab w:val="left" w:pos="622"/>
        </w:tabs>
        <w:spacing w:after="0" w:line="240" w:lineRule="auto"/>
        <w:jc w:val="both"/>
        <w:rPr>
          <w:rFonts w:ascii="Times New Roman" w:eastAsia="AngsanaUPC" w:hAnsi="Times New Roman"/>
          <w:b/>
          <w:bCs/>
          <w:sz w:val="24"/>
          <w:szCs w:val="24"/>
          <w:lang w:eastAsia="lt-LT"/>
        </w:rPr>
        <w:sectPr w:rsidR="00650E41" w:rsidSect="00650E41">
          <w:pgSz w:w="16838" w:h="11906" w:orient="landscape" w:code="9"/>
          <w:pgMar w:top="1701" w:right="1701" w:bottom="567" w:left="1134" w:header="567" w:footer="567" w:gutter="0"/>
          <w:cols w:space="1296"/>
          <w:docGrid w:linePitch="360"/>
        </w:sectPr>
      </w:pPr>
    </w:p>
    <w:p w:rsidR="006539D0" w:rsidRPr="00E73FE1" w:rsidRDefault="00837AE7" w:rsidP="00E70675">
      <w:pPr>
        <w:widowControl w:val="0"/>
        <w:tabs>
          <w:tab w:val="left" w:pos="622"/>
        </w:tabs>
        <w:spacing w:after="0" w:line="240" w:lineRule="auto"/>
        <w:jc w:val="both"/>
        <w:rPr>
          <w:rFonts w:ascii="Times New Roman" w:eastAsia="AngsanaUPC" w:hAnsi="Times New Roman"/>
          <w:bCs/>
          <w:szCs w:val="24"/>
          <w:lang w:eastAsia="lt-LT"/>
        </w:rPr>
      </w:pPr>
      <w:r w:rsidRPr="00E73FE1">
        <w:rPr>
          <w:rFonts w:ascii="Times New Roman" w:eastAsia="AngsanaUPC" w:hAnsi="Times New Roman"/>
          <w:bCs/>
          <w:i/>
          <w:szCs w:val="24"/>
          <w:lang w:eastAsia="lt-LT"/>
        </w:rPr>
        <w:lastRenderedPageBreak/>
        <w:t>5 lentelė.</w:t>
      </w:r>
      <w:r w:rsidRPr="00DE7193">
        <w:rPr>
          <w:rFonts w:ascii="Times New Roman" w:eastAsia="AngsanaUPC" w:hAnsi="Times New Roman"/>
          <w:b/>
          <w:bCs/>
          <w:szCs w:val="24"/>
          <w:lang w:eastAsia="lt-LT"/>
        </w:rPr>
        <w:t xml:space="preserve"> </w:t>
      </w:r>
      <w:r w:rsidR="00E70675" w:rsidRPr="00E73FE1">
        <w:rPr>
          <w:rFonts w:ascii="Times New Roman" w:eastAsia="AngsanaUPC" w:hAnsi="Times New Roman"/>
          <w:b/>
          <w:bCs/>
          <w:szCs w:val="24"/>
          <w:lang w:eastAsia="lt-LT"/>
        </w:rPr>
        <w:t xml:space="preserve">Jaunimo </w:t>
      </w:r>
      <w:r w:rsidR="00E73FE1">
        <w:rPr>
          <w:rFonts w:ascii="Times New Roman" w:eastAsia="AngsanaUPC" w:hAnsi="Times New Roman"/>
          <w:b/>
          <w:bCs/>
          <w:szCs w:val="24"/>
          <w:lang w:eastAsia="lt-LT"/>
        </w:rPr>
        <w:t>užimtumo iniciatyva. ESF ir special</w:t>
      </w:r>
      <w:r w:rsidR="00706B38">
        <w:rPr>
          <w:rFonts w:ascii="Times New Roman" w:eastAsia="AngsanaUPC" w:hAnsi="Times New Roman"/>
          <w:b/>
          <w:bCs/>
          <w:szCs w:val="24"/>
          <w:lang w:eastAsia="lt-LT"/>
        </w:rPr>
        <w:t>ū</w:t>
      </w:r>
      <w:r w:rsidR="00E73FE1">
        <w:rPr>
          <w:rFonts w:ascii="Times New Roman" w:eastAsia="AngsanaUPC" w:hAnsi="Times New Roman"/>
          <w:b/>
          <w:bCs/>
          <w:szCs w:val="24"/>
          <w:lang w:eastAsia="lt-LT"/>
        </w:rPr>
        <w:t>s asignavima</w:t>
      </w:r>
      <w:r w:rsidR="00706B38">
        <w:rPr>
          <w:rFonts w:ascii="Times New Roman" w:eastAsia="AngsanaUPC" w:hAnsi="Times New Roman"/>
          <w:b/>
          <w:bCs/>
          <w:szCs w:val="24"/>
          <w:lang w:eastAsia="lt-LT"/>
        </w:rPr>
        <w:t>i</w:t>
      </w:r>
      <w:r w:rsidR="00E73FE1">
        <w:rPr>
          <w:rFonts w:ascii="Times New Roman" w:eastAsia="AngsanaUPC" w:hAnsi="Times New Roman"/>
          <w:b/>
          <w:bCs/>
          <w:szCs w:val="24"/>
          <w:lang w:eastAsia="lt-LT"/>
        </w:rPr>
        <w:t xml:space="preserve"> JUI</w:t>
      </w:r>
      <w:r w:rsidR="003E0F8A" w:rsidRPr="00E73FE1">
        <w:rPr>
          <w:rFonts w:ascii="Times New Roman" w:eastAsia="AngsanaUPC" w:hAnsi="Times New Roman"/>
          <w:b/>
          <w:bCs/>
          <w:szCs w:val="24"/>
          <w:lang w:eastAsia="lt-LT"/>
        </w:rPr>
        <w:t xml:space="preserve"> (eurais)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417"/>
        <w:gridCol w:w="2977"/>
        <w:gridCol w:w="1276"/>
        <w:gridCol w:w="1417"/>
        <w:gridCol w:w="1985"/>
        <w:gridCol w:w="1984"/>
        <w:gridCol w:w="1276"/>
        <w:gridCol w:w="1418"/>
      </w:tblGrid>
      <w:tr w:rsidR="00E73FE1" w:rsidRPr="000A23B4" w:rsidTr="0043440A">
        <w:trPr>
          <w:cantSplit/>
          <w:trHeight w:val="904"/>
        </w:trPr>
        <w:tc>
          <w:tcPr>
            <w:tcW w:w="959" w:type="dxa"/>
            <w:vMerge w:val="restart"/>
            <w:shd w:val="clear" w:color="auto" w:fill="EEECE1"/>
            <w:noWrap/>
            <w:vAlign w:val="center"/>
            <w:hideMark/>
          </w:tcPr>
          <w:p w:rsidR="00E73FE1" w:rsidRPr="000A23B4" w:rsidRDefault="00E73FE1" w:rsidP="00E029A5">
            <w:pPr>
              <w:widowControl w:val="0"/>
              <w:tabs>
                <w:tab w:val="left" w:pos="622"/>
              </w:tabs>
              <w:spacing w:after="0" w:line="240" w:lineRule="auto"/>
              <w:jc w:val="center"/>
              <w:rPr>
                <w:rFonts w:ascii="Times New Roman" w:eastAsia="AngsanaUPC" w:hAnsi="Times New Roman"/>
                <w:b/>
                <w:bCs/>
                <w:sz w:val="18"/>
                <w:szCs w:val="18"/>
                <w:lang w:eastAsia="lt-LT"/>
              </w:rPr>
            </w:pPr>
            <w:r w:rsidRPr="000A23B4">
              <w:rPr>
                <w:rFonts w:ascii="Times New Roman" w:eastAsia="AngsanaUPC" w:hAnsi="Times New Roman"/>
                <w:b/>
                <w:bCs/>
                <w:sz w:val="18"/>
                <w:szCs w:val="18"/>
                <w:lang w:eastAsia="lt-LT"/>
              </w:rPr>
              <w:t>Fondas</w:t>
            </w:r>
          </w:p>
        </w:tc>
        <w:tc>
          <w:tcPr>
            <w:tcW w:w="1417" w:type="dxa"/>
            <w:vMerge w:val="restart"/>
            <w:shd w:val="clear" w:color="auto" w:fill="EEECE1"/>
            <w:noWrap/>
            <w:vAlign w:val="center"/>
            <w:hideMark/>
          </w:tcPr>
          <w:p w:rsidR="00E73FE1" w:rsidRPr="000A23B4" w:rsidRDefault="00E73FE1" w:rsidP="00E029A5">
            <w:pPr>
              <w:widowControl w:val="0"/>
              <w:tabs>
                <w:tab w:val="left" w:pos="622"/>
              </w:tabs>
              <w:spacing w:after="0" w:line="240" w:lineRule="auto"/>
              <w:jc w:val="center"/>
              <w:rPr>
                <w:rFonts w:ascii="Times New Roman" w:eastAsia="AngsanaUPC" w:hAnsi="Times New Roman"/>
                <w:b/>
                <w:bCs/>
                <w:sz w:val="18"/>
                <w:szCs w:val="18"/>
                <w:lang w:eastAsia="lt-LT"/>
              </w:rPr>
            </w:pPr>
            <w:r w:rsidRPr="000A23B4">
              <w:rPr>
                <w:rFonts w:ascii="Times New Roman" w:eastAsia="AngsanaUPC" w:hAnsi="Times New Roman"/>
                <w:b/>
                <w:bCs/>
                <w:sz w:val="18"/>
                <w:szCs w:val="18"/>
                <w:lang w:eastAsia="lt-LT"/>
              </w:rPr>
              <w:t>Regiono kategorija</w:t>
            </w:r>
          </w:p>
        </w:tc>
        <w:tc>
          <w:tcPr>
            <w:tcW w:w="2977" w:type="dxa"/>
            <w:vMerge w:val="restart"/>
            <w:shd w:val="clear" w:color="auto" w:fill="EEECE1"/>
            <w:vAlign w:val="center"/>
            <w:hideMark/>
          </w:tcPr>
          <w:p w:rsidR="00E73FE1" w:rsidRPr="000A23B4" w:rsidRDefault="00E73FE1" w:rsidP="001773C9">
            <w:pPr>
              <w:widowControl w:val="0"/>
              <w:tabs>
                <w:tab w:val="left" w:pos="622"/>
              </w:tabs>
              <w:spacing w:after="0" w:line="240" w:lineRule="auto"/>
              <w:jc w:val="center"/>
              <w:rPr>
                <w:rFonts w:ascii="Times New Roman" w:eastAsia="AngsanaUPC" w:hAnsi="Times New Roman"/>
                <w:b/>
                <w:bCs/>
                <w:sz w:val="18"/>
                <w:szCs w:val="18"/>
                <w:lang w:eastAsia="lt-LT"/>
              </w:rPr>
            </w:pPr>
            <w:r w:rsidRPr="000A23B4">
              <w:rPr>
                <w:rFonts w:ascii="Times New Roman" w:eastAsia="AngsanaUPC" w:hAnsi="Times New Roman"/>
                <w:b/>
                <w:bCs/>
                <w:sz w:val="18"/>
                <w:szCs w:val="18"/>
                <w:lang w:eastAsia="lt-LT"/>
              </w:rPr>
              <w:t xml:space="preserve">Pagrindas apskaičiuojant </w:t>
            </w:r>
            <w:r>
              <w:rPr>
                <w:rFonts w:ascii="Times New Roman" w:eastAsia="AngsanaUPC" w:hAnsi="Times New Roman"/>
                <w:b/>
                <w:bCs/>
                <w:sz w:val="18"/>
                <w:szCs w:val="18"/>
                <w:lang w:eastAsia="lt-LT"/>
              </w:rPr>
              <w:t>b</w:t>
            </w:r>
            <w:r w:rsidRPr="000A23B4">
              <w:rPr>
                <w:rFonts w:ascii="Times New Roman" w:eastAsia="AngsanaUPC" w:hAnsi="Times New Roman"/>
                <w:b/>
                <w:bCs/>
                <w:sz w:val="18"/>
                <w:szCs w:val="18"/>
                <w:lang w:eastAsia="lt-LT"/>
              </w:rPr>
              <w:t>endrijos finansavimą (visos arba viešosios finansavimo reikalavimus atitinkančios išlaidos)</w:t>
            </w:r>
          </w:p>
        </w:tc>
        <w:tc>
          <w:tcPr>
            <w:tcW w:w="1276" w:type="dxa"/>
            <w:vMerge w:val="restart"/>
            <w:shd w:val="clear" w:color="auto" w:fill="EEECE1"/>
            <w:noWrap/>
            <w:vAlign w:val="center"/>
            <w:hideMark/>
          </w:tcPr>
          <w:p w:rsidR="00E73FE1" w:rsidRPr="000A23B4" w:rsidRDefault="00E73FE1" w:rsidP="003E0F8A">
            <w:pPr>
              <w:widowControl w:val="0"/>
              <w:tabs>
                <w:tab w:val="left" w:pos="622"/>
              </w:tabs>
              <w:spacing w:after="0" w:line="240" w:lineRule="auto"/>
              <w:jc w:val="center"/>
              <w:rPr>
                <w:rFonts w:ascii="Times New Roman" w:eastAsia="AngsanaUPC" w:hAnsi="Times New Roman"/>
                <w:b/>
                <w:bCs/>
                <w:sz w:val="18"/>
                <w:szCs w:val="18"/>
                <w:lang w:eastAsia="lt-LT"/>
              </w:rPr>
            </w:pPr>
            <w:r w:rsidRPr="000A23B4">
              <w:rPr>
                <w:rFonts w:ascii="Times New Roman" w:eastAsia="AngsanaUPC" w:hAnsi="Times New Roman"/>
                <w:b/>
                <w:bCs/>
                <w:sz w:val="18"/>
                <w:szCs w:val="18"/>
                <w:lang w:eastAsia="lt-LT"/>
              </w:rPr>
              <w:t>Bendrijos finansavimas (a)</w:t>
            </w:r>
          </w:p>
        </w:tc>
        <w:tc>
          <w:tcPr>
            <w:tcW w:w="1417" w:type="dxa"/>
            <w:vMerge w:val="restart"/>
            <w:shd w:val="clear" w:color="auto" w:fill="EEECE1"/>
            <w:vAlign w:val="center"/>
            <w:hideMark/>
          </w:tcPr>
          <w:p w:rsidR="00E73FE1" w:rsidRPr="000A23B4" w:rsidRDefault="00E73FE1" w:rsidP="003E0F8A">
            <w:pPr>
              <w:widowControl w:val="0"/>
              <w:tabs>
                <w:tab w:val="left" w:pos="622"/>
              </w:tabs>
              <w:spacing w:after="0" w:line="240" w:lineRule="auto"/>
              <w:jc w:val="center"/>
              <w:rPr>
                <w:rFonts w:ascii="Times New Roman" w:eastAsia="AngsanaUPC" w:hAnsi="Times New Roman"/>
                <w:b/>
                <w:bCs/>
                <w:sz w:val="18"/>
                <w:szCs w:val="18"/>
                <w:lang w:eastAsia="lt-LT"/>
              </w:rPr>
            </w:pPr>
            <w:r w:rsidRPr="000A23B4">
              <w:rPr>
                <w:rFonts w:ascii="Times New Roman" w:eastAsia="AngsanaUPC" w:hAnsi="Times New Roman"/>
                <w:b/>
                <w:bCs/>
                <w:sz w:val="18"/>
                <w:szCs w:val="18"/>
                <w:lang w:eastAsia="lt-LT"/>
              </w:rPr>
              <w:t>Nacionalinis finansavimas</w:t>
            </w:r>
            <w:r>
              <w:rPr>
                <w:rFonts w:ascii="Times New Roman" w:eastAsia="AngsanaUPC" w:hAnsi="Times New Roman"/>
                <w:b/>
                <w:bCs/>
                <w:sz w:val="18"/>
                <w:szCs w:val="18"/>
                <w:lang w:eastAsia="lt-LT"/>
              </w:rPr>
              <w:t xml:space="preserve"> </w:t>
            </w:r>
            <w:r w:rsidRPr="000A23B4">
              <w:rPr>
                <w:rFonts w:ascii="Times New Roman" w:eastAsia="AngsanaUPC" w:hAnsi="Times New Roman"/>
                <w:b/>
                <w:bCs/>
                <w:sz w:val="18"/>
                <w:szCs w:val="18"/>
                <w:lang w:eastAsia="lt-LT"/>
              </w:rPr>
              <w:t>(b)=(c)+(d)</w:t>
            </w:r>
          </w:p>
        </w:tc>
        <w:tc>
          <w:tcPr>
            <w:tcW w:w="3969" w:type="dxa"/>
            <w:gridSpan w:val="2"/>
            <w:shd w:val="clear" w:color="auto" w:fill="EEECE1"/>
            <w:vAlign w:val="center"/>
            <w:hideMark/>
          </w:tcPr>
          <w:p w:rsidR="00E73FE1" w:rsidRPr="000A23B4" w:rsidRDefault="00E73FE1" w:rsidP="00E029A5">
            <w:pPr>
              <w:widowControl w:val="0"/>
              <w:tabs>
                <w:tab w:val="left" w:pos="622"/>
              </w:tabs>
              <w:spacing w:after="0" w:line="240" w:lineRule="auto"/>
              <w:jc w:val="center"/>
              <w:rPr>
                <w:rFonts w:ascii="Times New Roman" w:eastAsia="AngsanaUPC" w:hAnsi="Times New Roman"/>
                <w:b/>
                <w:bCs/>
                <w:sz w:val="18"/>
                <w:szCs w:val="18"/>
                <w:lang w:eastAsia="lt-LT"/>
              </w:rPr>
            </w:pPr>
            <w:r w:rsidRPr="000A23B4">
              <w:rPr>
                <w:rFonts w:ascii="Times New Roman" w:eastAsia="AngsanaUPC" w:hAnsi="Times New Roman"/>
                <w:b/>
                <w:bCs/>
                <w:sz w:val="18"/>
                <w:szCs w:val="18"/>
                <w:lang w:eastAsia="lt-LT"/>
              </w:rPr>
              <w:t>Nacionalinio finansavimo orientacinis pasiskirstymas</w:t>
            </w:r>
          </w:p>
        </w:tc>
        <w:tc>
          <w:tcPr>
            <w:tcW w:w="1276" w:type="dxa"/>
            <w:vMerge w:val="restart"/>
            <w:shd w:val="clear" w:color="auto" w:fill="EEECE1"/>
            <w:vAlign w:val="center"/>
            <w:hideMark/>
          </w:tcPr>
          <w:p w:rsidR="00E73FE1" w:rsidRPr="000A23B4" w:rsidRDefault="00E73FE1" w:rsidP="00E029A5">
            <w:pPr>
              <w:widowControl w:val="0"/>
              <w:tabs>
                <w:tab w:val="left" w:pos="622"/>
              </w:tabs>
              <w:spacing w:after="0" w:line="240" w:lineRule="auto"/>
              <w:jc w:val="center"/>
              <w:rPr>
                <w:rFonts w:ascii="Times New Roman" w:eastAsia="AngsanaUPC" w:hAnsi="Times New Roman"/>
                <w:b/>
                <w:bCs/>
                <w:sz w:val="18"/>
                <w:szCs w:val="18"/>
                <w:lang w:eastAsia="lt-LT"/>
              </w:rPr>
            </w:pPr>
            <w:r w:rsidRPr="000A23B4">
              <w:rPr>
                <w:rFonts w:ascii="Times New Roman" w:eastAsia="AngsanaUPC" w:hAnsi="Times New Roman"/>
                <w:b/>
                <w:bCs/>
                <w:sz w:val="18"/>
                <w:szCs w:val="18"/>
                <w:lang w:eastAsia="lt-LT"/>
              </w:rPr>
              <w:t>Visas finansavimas (e)=(a)+(b)</w:t>
            </w:r>
          </w:p>
        </w:tc>
        <w:tc>
          <w:tcPr>
            <w:tcW w:w="1418" w:type="dxa"/>
            <w:vMerge w:val="restart"/>
            <w:shd w:val="clear" w:color="auto" w:fill="EEECE1"/>
            <w:vAlign w:val="center"/>
            <w:hideMark/>
          </w:tcPr>
          <w:p w:rsidR="00E73FE1" w:rsidRPr="000A23B4" w:rsidRDefault="00E73FE1" w:rsidP="00E029A5">
            <w:pPr>
              <w:widowControl w:val="0"/>
              <w:tabs>
                <w:tab w:val="left" w:pos="622"/>
              </w:tabs>
              <w:spacing w:after="0" w:line="240" w:lineRule="auto"/>
              <w:jc w:val="center"/>
              <w:rPr>
                <w:rFonts w:ascii="Times New Roman" w:eastAsia="AngsanaUPC" w:hAnsi="Times New Roman"/>
                <w:b/>
                <w:bCs/>
                <w:sz w:val="18"/>
                <w:szCs w:val="18"/>
                <w:lang w:eastAsia="lt-LT"/>
              </w:rPr>
            </w:pPr>
            <w:r w:rsidRPr="000A23B4">
              <w:rPr>
                <w:rFonts w:ascii="Times New Roman" w:eastAsia="AngsanaUPC" w:hAnsi="Times New Roman"/>
                <w:b/>
                <w:bCs/>
                <w:sz w:val="18"/>
                <w:szCs w:val="18"/>
                <w:lang w:eastAsia="lt-LT"/>
              </w:rPr>
              <w:t>Bendrojo finansavimo dalis</w:t>
            </w:r>
            <w:r>
              <w:rPr>
                <w:rFonts w:ascii="Times New Roman" w:eastAsia="AngsanaUPC" w:hAnsi="Times New Roman"/>
                <w:b/>
                <w:bCs/>
                <w:sz w:val="18"/>
                <w:szCs w:val="18"/>
                <w:lang w:eastAsia="lt-LT"/>
              </w:rPr>
              <w:t>, proc.</w:t>
            </w:r>
            <w:r w:rsidRPr="000A23B4">
              <w:rPr>
                <w:rFonts w:ascii="Times New Roman" w:eastAsia="AngsanaUPC" w:hAnsi="Times New Roman"/>
                <w:b/>
                <w:bCs/>
                <w:sz w:val="18"/>
                <w:szCs w:val="18"/>
                <w:lang w:eastAsia="lt-LT"/>
              </w:rPr>
              <w:t xml:space="preserve"> (f)=(a)/(e)</w:t>
            </w:r>
          </w:p>
        </w:tc>
      </w:tr>
      <w:tr w:rsidR="00E73FE1" w:rsidRPr="00472142" w:rsidTr="0043440A">
        <w:trPr>
          <w:trHeight w:val="615"/>
        </w:trPr>
        <w:tc>
          <w:tcPr>
            <w:tcW w:w="959" w:type="dxa"/>
            <w:vMerge/>
            <w:shd w:val="clear" w:color="auto" w:fill="auto"/>
            <w:vAlign w:val="center"/>
          </w:tcPr>
          <w:p w:rsidR="00E73FE1" w:rsidRPr="00472142" w:rsidRDefault="00E73FE1" w:rsidP="00E029A5">
            <w:pPr>
              <w:widowControl w:val="0"/>
              <w:tabs>
                <w:tab w:val="left" w:pos="622"/>
              </w:tabs>
              <w:spacing w:after="0" w:line="240" w:lineRule="auto"/>
              <w:jc w:val="center"/>
              <w:rPr>
                <w:rFonts w:ascii="Times New Roman" w:eastAsia="AngsanaUPC" w:hAnsi="Times New Roman"/>
                <w:b/>
                <w:bCs/>
                <w:sz w:val="20"/>
                <w:szCs w:val="20"/>
                <w:lang w:eastAsia="lt-LT"/>
              </w:rPr>
            </w:pPr>
          </w:p>
        </w:tc>
        <w:tc>
          <w:tcPr>
            <w:tcW w:w="1417" w:type="dxa"/>
            <w:vMerge/>
            <w:shd w:val="clear" w:color="auto" w:fill="auto"/>
            <w:vAlign w:val="center"/>
          </w:tcPr>
          <w:p w:rsidR="00E73FE1" w:rsidRPr="00472142" w:rsidRDefault="00E73FE1" w:rsidP="00E029A5">
            <w:pPr>
              <w:widowControl w:val="0"/>
              <w:tabs>
                <w:tab w:val="left" w:pos="622"/>
              </w:tabs>
              <w:spacing w:after="0" w:line="240" w:lineRule="auto"/>
              <w:jc w:val="center"/>
              <w:rPr>
                <w:rFonts w:ascii="Times New Roman" w:eastAsia="AngsanaUPC" w:hAnsi="Times New Roman"/>
                <w:b/>
                <w:bCs/>
                <w:sz w:val="20"/>
                <w:szCs w:val="20"/>
                <w:lang w:eastAsia="lt-LT"/>
              </w:rPr>
            </w:pPr>
          </w:p>
        </w:tc>
        <w:tc>
          <w:tcPr>
            <w:tcW w:w="2977" w:type="dxa"/>
            <w:vMerge/>
            <w:shd w:val="clear" w:color="auto" w:fill="auto"/>
            <w:vAlign w:val="center"/>
          </w:tcPr>
          <w:p w:rsidR="00E73FE1" w:rsidRPr="00472142" w:rsidRDefault="00E73FE1" w:rsidP="00E029A5">
            <w:pPr>
              <w:widowControl w:val="0"/>
              <w:tabs>
                <w:tab w:val="left" w:pos="622"/>
              </w:tabs>
              <w:spacing w:after="0" w:line="240" w:lineRule="auto"/>
              <w:jc w:val="center"/>
              <w:rPr>
                <w:rFonts w:ascii="Times New Roman" w:eastAsia="AngsanaUPC" w:hAnsi="Times New Roman"/>
                <w:b/>
                <w:bCs/>
                <w:sz w:val="20"/>
                <w:szCs w:val="20"/>
                <w:lang w:eastAsia="lt-LT"/>
              </w:rPr>
            </w:pPr>
          </w:p>
        </w:tc>
        <w:tc>
          <w:tcPr>
            <w:tcW w:w="1276" w:type="dxa"/>
            <w:vMerge/>
            <w:shd w:val="clear" w:color="auto" w:fill="auto"/>
            <w:vAlign w:val="center"/>
          </w:tcPr>
          <w:p w:rsidR="00E73FE1" w:rsidRPr="00472142" w:rsidRDefault="00E73FE1" w:rsidP="00E029A5">
            <w:pPr>
              <w:widowControl w:val="0"/>
              <w:tabs>
                <w:tab w:val="left" w:pos="622"/>
              </w:tabs>
              <w:spacing w:after="0" w:line="240" w:lineRule="auto"/>
              <w:jc w:val="center"/>
              <w:rPr>
                <w:rFonts w:ascii="Times New Roman" w:eastAsia="AngsanaUPC" w:hAnsi="Times New Roman"/>
                <w:b/>
                <w:bCs/>
                <w:sz w:val="20"/>
                <w:szCs w:val="20"/>
                <w:lang w:eastAsia="lt-LT"/>
              </w:rPr>
            </w:pPr>
          </w:p>
        </w:tc>
        <w:tc>
          <w:tcPr>
            <w:tcW w:w="1417" w:type="dxa"/>
            <w:vMerge/>
            <w:shd w:val="clear" w:color="auto" w:fill="auto"/>
            <w:vAlign w:val="center"/>
          </w:tcPr>
          <w:p w:rsidR="00E73FE1" w:rsidRPr="00472142" w:rsidRDefault="00E73FE1" w:rsidP="00E029A5">
            <w:pPr>
              <w:widowControl w:val="0"/>
              <w:tabs>
                <w:tab w:val="left" w:pos="622"/>
              </w:tabs>
              <w:spacing w:after="0" w:line="240" w:lineRule="auto"/>
              <w:jc w:val="center"/>
              <w:rPr>
                <w:rFonts w:ascii="Times New Roman" w:eastAsia="AngsanaUPC" w:hAnsi="Times New Roman"/>
                <w:b/>
                <w:bCs/>
                <w:sz w:val="20"/>
                <w:szCs w:val="20"/>
                <w:lang w:eastAsia="lt-LT"/>
              </w:rPr>
            </w:pPr>
          </w:p>
        </w:tc>
        <w:tc>
          <w:tcPr>
            <w:tcW w:w="1985" w:type="dxa"/>
            <w:shd w:val="clear" w:color="auto" w:fill="EEECE1"/>
            <w:vAlign w:val="center"/>
          </w:tcPr>
          <w:p w:rsidR="00E73FE1" w:rsidRPr="000A23B4" w:rsidRDefault="00E73FE1" w:rsidP="00E029A5">
            <w:pPr>
              <w:widowControl w:val="0"/>
              <w:tabs>
                <w:tab w:val="left" w:pos="622"/>
              </w:tabs>
              <w:spacing w:after="0" w:line="240" w:lineRule="auto"/>
              <w:jc w:val="center"/>
              <w:rPr>
                <w:rFonts w:ascii="Times New Roman" w:eastAsia="AngsanaUPC" w:hAnsi="Times New Roman"/>
                <w:b/>
                <w:bCs/>
                <w:sz w:val="18"/>
                <w:szCs w:val="18"/>
                <w:lang w:eastAsia="lt-LT"/>
              </w:rPr>
            </w:pPr>
            <w:r w:rsidRPr="000A23B4">
              <w:rPr>
                <w:rFonts w:ascii="Times New Roman" w:eastAsia="AngsanaUPC" w:hAnsi="Times New Roman"/>
                <w:b/>
                <w:bCs/>
                <w:sz w:val="18"/>
                <w:szCs w:val="18"/>
                <w:lang w:eastAsia="lt-LT"/>
              </w:rPr>
              <w:t>Nacionalinis viešasis finansavimas (c)</w:t>
            </w:r>
          </w:p>
        </w:tc>
        <w:tc>
          <w:tcPr>
            <w:tcW w:w="1984" w:type="dxa"/>
            <w:shd w:val="clear" w:color="auto" w:fill="EEECE1"/>
            <w:vAlign w:val="center"/>
          </w:tcPr>
          <w:p w:rsidR="00E73FE1" w:rsidRPr="000A23B4" w:rsidRDefault="00E73FE1" w:rsidP="00E029A5">
            <w:pPr>
              <w:widowControl w:val="0"/>
              <w:tabs>
                <w:tab w:val="left" w:pos="622"/>
              </w:tabs>
              <w:spacing w:after="0" w:line="240" w:lineRule="auto"/>
              <w:jc w:val="center"/>
              <w:rPr>
                <w:rFonts w:ascii="Times New Roman" w:eastAsia="AngsanaUPC" w:hAnsi="Times New Roman"/>
                <w:b/>
                <w:bCs/>
                <w:sz w:val="18"/>
                <w:szCs w:val="18"/>
                <w:lang w:eastAsia="lt-LT"/>
              </w:rPr>
            </w:pPr>
            <w:r w:rsidRPr="000A23B4">
              <w:rPr>
                <w:rFonts w:ascii="Times New Roman" w:eastAsia="AngsanaUPC" w:hAnsi="Times New Roman"/>
                <w:b/>
                <w:bCs/>
                <w:sz w:val="18"/>
                <w:szCs w:val="18"/>
                <w:lang w:eastAsia="lt-LT"/>
              </w:rPr>
              <w:t>Nacionalinis privatus finansavimas (d)</w:t>
            </w:r>
          </w:p>
        </w:tc>
        <w:tc>
          <w:tcPr>
            <w:tcW w:w="1276" w:type="dxa"/>
            <w:vMerge/>
            <w:shd w:val="clear" w:color="auto" w:fill="auto"/>
            <w:vAlign w:val="center"/>
          </w:tcPr>
          <w:p w:rsidR="00E73FE1" w:rsidRPr="00472142" w:rsidRDefault="00E73FE1" w:rsidP="00E029A5">
            <w:pPr>
              <w:widowControl w:val="0"/>
              <w:tabs>
                <w:tab w:val="left" w:pos="622"/>
              </w:tabs>
              <w:spacing w:after="0" w:line="240" w:lineRule="auto"/>
              <w:jc w:val="center"/>
              <w:rPr>
                <w:rFonts w:ascii="Times New Roman" w:eastAsia="AngsanaUPC" w:hAnsi="Times New Roman"/>
                <w:b/>
                <w:bCs/>
                <w:sz w:val="20"/>
                <w:szCs w:val="20"/>
                <w:lang w:eastAsia="lt-LT"/>
              </w:rPr>
            </w:pPr>
          </w:p>
        </w:tc>
        <w:tc>
          <w:tcPr>
            <w:tcW w:w="1418" w:type="dxa"/>
            <w:vMerge/>
            <w:shd w:val="clear" w:color="auto" w:fill="auto"/>
            <w:vAlign w:val="center"/>
          </w:tcPr>
          <w:p w:rsidR="00E73FE1" w:rsidRPr="00472142" w:rsidRDefault="00E73FE1" w:rsidP="00E029A5">
            <w:pPr>
              <w:widowControl w:val="0"/>
              <w:tabs>
                <w:tab w:val="left" w:pos="622"/>
              </w:tabs>
              <w:spacing w:after="0" w:line="240" w:lineRule="auto"/>
              <w:jc w:val="center"/>
              <w:rPr>
                <w:rFonts w:ascii="Times New Roman" w:eastAsia="AngsanaUPC" w:hAnsi="Times New Roman"/>
                <w:b/>
                <w:bCs/>
                <w:sz w:val="20"/>
                <w:szCs w:val="20"/>
                <w:lang w:eastAsia="lt-LT"/>
              </w:rPr>
            </w:pPr>
          </w:p>
        </w:tc>
      </w:tr>
      <w:tr w:rsidR="00E73FE1" w:rsidRPr="000A23B4" w:rsidTr="0043440A">
        <w:trPr>
          <w:trHeight w:val="423"/>
        </w:trPr>
        <w:tc>
          <w:tcPr>
            <w:tcW w:w="959" w:type="dxa"/>
            <w:shd w:val="clear" w:color="auto" w:fill="auto"/>
            <w:vAlign w:val="center"/>
          </w:tcPr>
          <w:p w:rsidR="00E73FE1" w:rsidRPr="000A23B4" w:rsidRDefault="00E73FE1" w:rsidP="00E029A5">
            <w:pPr>
              <w:widowControl w:val="0"/>
              <w:tabs>
                <w:tab w:val="left" w:pos="622"/>
              </w:tabs>
              <w:spacing w:after="0" w:line="240" w:lineRule="auto"/>
              <w:jc w:val="center"/>
              <w:rPr>
                <w:rFonts w:ascii="Times New Roman" w:eastAsia="AngsanaUPC" w:hAnsi="Times New Roman"/>
                <w:bCs/>
                <w:sz w:val="24"/>
                <w:szCs w:val="24"/>
                <w:lang w:eastAsia="lt-LT"/>
              </w:rPr>
            </w:pPr>
            <w:r>
              <w:rPr>
                <w:rFonts w:ascii="Times New Roman" w:eastAsia="AngsanaUPC" w:hAnsi="Times New Roman"/>
                <w:bCs/>
                <w:sz w:val="24"/>
                <w:szCs w:val="24"/>
                <w:lang w:eastAsia="lt-LT"/>
              </w:rPr>
              <w:t>JUI</w:t>
            </w:r>
          </w:p>
        </w:tc>
        <w:tc>
          <w:tcPr>
            <w:tcW w:w="1417" w:type="dxa"/>
            <w:shd w:val="clear" w:color="auto" w:fill="auto"/>
            <w:vAlign w:val="center"/>
          </w:tcPr>
          <w:p w:rsidR="00E73FE1" w:rsidRPr="00B935F6" w:rsidRDefault="00E73FE1" w:rsidP="00E029A5">
            <w:pPr>
              <w:widowControl w:val="0"/>
              <w:tabs>
                <w:tab w:val="left" w:pos="622"/>
              </w:tabs>
              <w:spacing w:after="0" w:line="240" w:lineRule="auto"/>
              <w:jc w:val="center"/>
              <w:rPr>
                <w:rFonts w:ascii="Times New Roman" w:eastAsia="AngsanaUPC" w:hAnsi="Times New Roman"/>
                <w:bCs/>
                <w:sz w:val="20"/>
                <w:szCs w:val="20"/>
                <w:lang w:eastAsia="lt-LT"/>
              </w:rPr>
            </w:pPr>
            <w:r w:rsidRPr="00B935F6">
              <w:rPr>
                <w:rFonts w:ascii="Times New Roman" w:eastAsia="AngsanaUPC" w:hAnsi="Times New Roman"/>
                <w:bCs/>
                <w:sz w:val="20"/>
                <w:szCs w:val="20"/>
                <w:lang w:eastAsia="lt-LT"/>
              </w:rPr>
              <w:t>Netaikoma</w:t>
            </w:r>
          </w:p>
        </w:tc>
        <w:tc>
          <w:tcPr>
            <w:tcW w:w="2977" w:type="dxa"/>
            <w:shd w:val="clear" w:color="auto" w:fill="auto"/>
            <w:vAlign w:val="center"/>
          </w:tcPr>
          <w:p w:rsidR="00E73FE1" w:rsidRPr="00B935F6" w:rsidRDefault="003B44CE" w:rsidP="00E029A5">
            <w:pPr>
              <w:widowControl w:val="0"/>
              <w:tabs>
                <w:tab w:val="left" w:pos="622"/>
              </w:tabs>
              <w:spacing w:after="0" w:line="240" w:lineRule="auto"/>
              <w:jc w:val="center"/>
              <w:rPr>
                <w:rFonts w:ascii="Times New Roman" w:eastAsia="AngsanaUPC" w:hAnsi="Times New Roman"/>
                <w:bCs/>
                <w:sz w:val="20"/>
                <w:szCs w:val="20"/>
                <w:lang w:eastAsia="lt-LT"/>
              </w:rPr>
            </w:pPr>
            <w:r>
              <w:rPr>
                <w:rFonts w:ascii="Times New Roman" w:eastAsia="AngsanaUPC" w:hAnsi="Times New Roman"/>
                <w:bCs/>
                <w:sz w:val="20"/>
                <w:szCs w:val="20"/>
                <w:lang w:eastAsia="lt-LT"/>
              </w:rPr>
              <w:t>-</w:t>
            </w:r>
          </w:p>
        </w:tc>
        <w:tc>
          <w:tcPr>
            <w:tcW w:w="1276" w:type="dxa"/>
            <w:shd w:val="clear" w:color="auto" w:fill="auto"/>
            <w:vAlign w:val="center"/>
          </w:tcPr>
          <w:p w:rsidR="00E73FE1" w:rsidRPr="00DC73A2" w:rsidRDefault="00E73FE1" w:rsidP="00907F47">
            <w:pPr>
              <w:spacing w:after="0"/>
              <w:jc w:val="right"/>
              <w:rPr>
                <w:rFonts w:ascii="Times New Roman" w:hAnsi="Times New Roman"/>
              </w:rPr>
            </w:pPr>
            <w:r w:rsidRPr="00DC73A2">
              <w:rPr>
                <w:rFonts w:ascii="Times New Roman" w:hAnsi="Times New Roman"/>
              </w:rPr>
              <w:t>31.782.633</w:t>
            </w:r>
          </w:p>
        </w:tc>
        <w:tc>
          <w:tcPr>
            <w:tcW w:w="1417" w:type="dxa"/>
            <w:shd w:val="clear" w:color="auto" w:fill="auto"/>
            <w:vAlign w:val="center"/>
          </w:tcPr>
          <w:p w:rsidR="00E73FE1" w:rsidRPr="00DC73A2" w:rsidRDefault="00E73FE1" w:rsidP="00907F47">
            <w:pPr>
              <w:spacing w:after="0"/>
              <w:jc w:val="right"/>
              <w:rPr>
                <w:rFonts w:ascii="Times New Roman" w:hAnsi="Times New Roman"/>
              </w:rPr>
            </w:pPr>
            <w:r w:rsidRPr="00DC73A2">
              <w:rPr>
                <w:rFonts w:ascii="Times New Roman" w:hAnsi="Times New Roman"/>
              </w:rPr>
              <w:t>0</w:t>
            </w:r>
          </w:p>
        </w:tc>
        <w:tc>
          <w:tcPr>
            <w:tcW w:w="1985" w:type="dxa"/>
            <w:shd w:val="clear" w:color="auto" w:fill="auto"/>
            <w:vAlign w:val="center"/>
          </w:tcPr>
          <w:p w:rsidR="00E73FE1" w:rsidRPr="00DC73A2" w:rsidRDefault="00E73FE1" w:rsidP="00907F47">
            <w:pPr>
              <w:spacing w:after="0"/>
              <w:jc w:val="right"/>
              <w:rPr>
                <w:rFonts w:ascii="Times New Roman" w:hAnsi="Times New Roman"/>
              </w:rPr>
            </w:pPr>
            <w:r w:rsidRPr="00DC73A2">
              <w:rPr>
                <w:rFonts w:ascii="Times New Roman" w:hAnsi="Times New Roman"/>
              </w:rPr>
              <w:t>0</w:t>
            </w:r>
          </w:p>
        </w:tc>
        <w:tc>
          <w:tcPr>
            <w:tcW w:w="1984" w:type="dxa"/>
            <w:shd w:val="clear" w:color="auto" w:fill="auto"/>
            <w:vAlign w:val="center"/>
          </w:tcPr>
          <w:p w:rsidR="00E73FE1" w:rsidRPr="00DC73A2" w:rsidRDefault="00E73FE1" w:rsidP="00907F47">
            <w:pPr>
              <w:spacing w:after="0"/>
              <w:jc w:val="right"/>
              <w:rPr>
                <w:rFonts w:ascii="Times New Roman" w:hAnsi="Times New Roman"/>
              </w:rPr>
            </w:pPr>
            <w:r w:rsidRPr="00DC73A2">
              <w:rPr>
                <w:rFonts w:ascii="Times New Roman" w:hAnsi="Times New Roman"/>
              </w:rPr>
              <w:t>0</w:t>
            </w:r>
          </w:p>
        </w:tc>
        <w:tc>
          <w:tcPr>
            <w:tcW w:w="1276" w:type="dxa"/>
            <w:shd w:val="clear" w:color="auto" w:fill="auto"/>
            <w:vAlign w:val="center"/>
          </w:tcPr>
          <w:p w:rsidR="00E73FE1" w:rsidRPr="00DC73A2" w:rsidRDefault="00E73FE1" w:rsidP="00907F47">
            <w:pPr>
              <w:spacing w:after="0"/>
              <w:jc w:val="right"/>
              <w:rPr>
                <w:rFonts w:ascii="Times New Roman" w:hAnsi="Times New Roman"/>
              </w:rPr>
            </w:pPr>
            <w:r w:rsidRPr="00DC73A2">
              <w:rPr>
                <w:rFonts w:ascii="Times New Roman" w:hAnsi="Times New Roman"/>
              </w:rPr>
              <w:t>31.782.633</w:t>
            </w:r>
          </w:p>
        </w:tc>
        <w:tc>
          <w:tcPr>
            <w:tcW w:w="1418" w:type="dxa"/>
            <w:shd w:val="clear" w:color="auto" w:fill="auto"/>
            <w:vAlign w:val="center"/>
          </w:tcPr>
          <w:p w:rsidR="00E73FE1" w:rsidRPr="00DC73A2" w:rsidRDefault="00E73FE1" w:rsidP="00907F47">
            <w:pPr>
              <w:spacing w:after="0"/>
              <w:jc w:val="right"/>
              <w:rPr>
                <w:rFonts w:ascii="Times New Roman" w:hAnsi="Times New Roman"/>
              </w:rPr>
            </w:pPr>
            <w:r>
              <w:rPr>
                <w:rFonts w:ascii="Times New Roman" w:hAnsi="Times New Roman"/>
              </w:rPr>
              <w:t>100</w:t>
            </w:r>
          </w:p>
        </w:tc>
      </w:tr>
      <w:tr w:rsidR="00E73FE1" w:rsidRPr="000A23B4" w:rsidTr="0043440A">
        <w:trPr>
          <w:trHeight w:val="423"/>
        </w:trPr>
        <w:tc>
          <w:tcPr>
            <w:tcW w:w="959" w:type="dxa"/>
            <w:shd w:val="clear" w:color="auto" w:fill="auto"/>
            <w:vAlign w:val="center"/>
          </w:tcPr>
          <w:p w:rsidR="00E73FE1" w:rsidRPr="000A23B4" w:rsidRDefault="00E73FE1" w:rsidP="00E029A5">
            <w:pPr>
              <w:widowControl w:val="0"/>
              <w:tabs>
                <w:tab w:val="left" w:pos="622"/>
              </w:tabs>
              <w:spacing w:after="0" w:line="240" w:lineRule="auto"/>
              <w:jc w:val="center"/>
              <w:rPr>
                <w:rFonts w:ascii="Times New Roman" w:eastAsia="AngsanaUPC" w:hAnsi="Times New Roman"/>
                <w:bCs/>
                <w:sz w:val="24"/>
                <w:szCs w:val="24"/>
                <w:lang w:eastAsia="lt-LT"/>
              </w:rPr>
            </w:pPr>
            <w:r w:rsidRPr="000A23B4">
              <w:rPr>
                <w:rFonts w:ascii="Times New Roman" w:eastAsia="AngsanaUPC" w:hAnsi="Times New Roman"/>
                <w:bCs/>
                <w:sz w:val="24"/>
                <w:szCs w:val="24"/>
                <w:lang w:eastAsia="lt-LT"/>
              </w:rPr>
              <w:t>ESF</w:t>
            </w:r>
          </w:p>
        </w:tc>
        <w:tc>
          <w:tcPr>
            <w:tcW w:w="1417" w:type="dxa"/>
            <w:shd w:val="clear" w:color="auto" w:fill="auto"/>
            <w:vAlign w:val="center"/>
          </w:tcPr>
          <w:p w:rsidR="00E73FE1" w:rsidRPr="00B935F6" w:rsidRDefault="00E73FE1" w:rsidP="00E029A5">
            <w:pPr>
              <w:widowControl w:val="0"/>
              <w:tabs>
                <w:tab w:val="left" w:pos="622"/>
              </w:tabs>
              <w:spacing w:after="0" w:line="240" w:lineRule="auto"/>
              <w:jc w:val="center"/>
              <w:rPr>
                <w:rFonts w:ascii="Times New Roman" w:eastAsia="AngsanaUPC" w:hAnsi="Times New Roman"/>
                <w:bCs/>
                <w:sz w:val="20"/>
                <w:szCs w:val="20"/>
                <w:lang w:eastAsia="lt-LT"/>
              </w:rPr>
            </w:pPr>
            <w:r w:rsidRPr="00B935F6">
              <w:rPr>
                <w:rFonts w:ascii="Times New Roman" w:eastAsia="AngsanaUPC" w:hAnsi="Times New Roman"/>
                <w:bCs/>
                <w:sz w:val="20"/>
                <w:szCs w:val="20"/>
                <w:lang w:eastAsia="lt-LT"/>
              </w:rPr>
              <w:t>Mažiau išsivystęs</w:t>
            </w:r>
          </w:p>
        </w:tc>
        <w:tc>
          <w:tcPr>
            <w:tcW w:w="2977" w:type="dxa"/>
            <w:shd w:val="clear" w:color="auto" w:fill="auto"/>
            <w:vAlign w:val="center"/>
          </w:tcPr>
          <w:p w:rsidR="00E73FE1" w:rsidRPr="00B935F6" w:rsidRDefault="003B44CE" w:rsidP="00E029A5">
            <w:pPr>
              <w:widowControl w:val="0"/>
              <w:tabs>
                <w:tab w:val="left" w:pos="622"/>
              </w:tabs>
              <w:spacing w:after="0" w:line="240" w:lineRule="auto"/>
              <w:jc w:val="center"/>
              <w:rPr>
                <w:rFonts w:ascii="Times New Roman" w:eastAsia="AngsanaUPC" w:hAnsi="Times New Roman"/>
                <w:bCs/>
                <w:sz w:val="20"/>
                <w:szCs w:val="20"/>
                <w:lang w:eastAsia="lt-LT"/>
              </w:rPr>
            </w:pPr>
            <w:r>
              <w:rPr>
                <w:rFonts w:ascii="Times New Roman" w:eastAsia="AngsanaUPC" w:hAnsi="Times New Roman"/>
                <w:bCs/>
                <w:sz w:val="20"/>
                <w:szCs w:val="20"/>
                <w:lang w:eastAsia="lt-LT"/>
              </w:rPr>
              <w:t>-</w:t>
            </w:r>
          </w:p>
        </w:tc>
        <w:tc>
          <w:tcPr>
            <w:tcW w:w="1276" w:type="dxa"/>
            <w:shd w:val="clear" w:color="auto" w:fill="auto"/>
            <w:vAlign w:val="center"/>
          </w:tcPr>
          <w:p w:rsidR="00E73FE1" w:rsidRPr="00DC73A2" w:rsidRDefault="00E73FE1" w:rsidP="00907F47">
            <w:pPr>
              <w:spacing w:after="0"/>
              <w:jc w:val="right"/>
              <w:rPr>
                <w:rFonts w:ascii="Times New Roman" w:hAnsi="Times New Roman"/>
              </w:rPr>
            </w:pPr>
            <w:r w:rsidRPr="00DC73A2">
              <w:rPr>
                <w:rFonts w:ascii="Times New Roman" w:hAnsi="Times New Roman"/>
              </w:rPr>
              <w:t>31.782.633</w:t>
            </w:r>
          </w:p>
        </w:tc>
        <w:tc>
          <w:tcPr>
            <w:tcW w:w="1417" w:type="dxa"/>
            <w:shd w:val="clear" w:color="auto" w:fill="auto"/>
            <w:vAlign w:val="center"/>
          </w:tcPr>
          <w:p w:rsidR="00E73FE1" w:rsidRPr="00DC73A2" w:rsidRDefault="00E73FE1" w:rsidP="00907F47">
            <w:pPr>
              <w:spacing w:after="0"/>
              <w:jc w:val="right"/>
              <w:rPr>
                <w:rFonts w:ascii="Times New Roman" w:hAnsi="Times New Roman"/>
              </w:rPr>
            </w:pPr>
            <w:r w:rsidRPr="00DC73A2">
              <w:rPr>
                <w:rFonts w:ascii="Times New Roman" w:hAnsi="Times New Roman"/>
              </w:rPr>
              <w:t>5.608.700</w:t>
            </w:r>
          </w:p>
        </w:tc>
        <w:tc>
          <w:tcPr>
            <w:tcW w:w="1985" w:type="dxa"/>
            <w:shd w:val="clear" w:color="auto" w:fill="auto"/>
            <w:vAlign w:val="center"/>
          </w:tcPr>
          <w:p w:rsidR="00E73FE1" w:rsidRPr="00DC73A2" w:rsidRDefault="00E73FE1" w:rsidP="00907F47">
            <w:pPr>
              <w:spacing w:after="0"/>
              <w:jc w:val="right"/>
              <w:rPr>
                <w:rFonts w:ascii="Times New Roman" w:hAnsi="Times New Roman"/>
              </w:rPr>
            </w:pPr>
            <w:r w:rsidRPr="00DC73A2">
              <w:rPr>
                <w:rFonts w:ascii="Times New Roman" w:hAnsi="Times New Roman"/>
              </w:rPr>
              <w:t>5.608.700</w:t>
            </w:r>
          </w:p>
        </w:tc>
        <w:tc>
          <w:tcPr>
            <w:tcW w:w="1984" w:type="dxa"/>
            <w:shd w:val="clear" w:color="auto" w:fill="auto"/>
            <w:vAlign w:val="center"/>
          </w:tcPr>
          <w:p w:rsidR="00E73FE1" w:rsidRPr="00DC73A2" w:rsidRDefault="00E73FE1" w:rsidP="00907F47">
            <w:pPr>
              <w:spacing w:after="0"/>
              <w:jc w:val="right"/>
              <w:rPr>
                <w:rFonts w:ascii="Times New Roman" w:hAnsi="Times New Roman"/>
              </w:rPr>
            </w:pPr>
            <w:r w:rsidRPr="00DC73A2">
              <w:rPr>
                <w:rFonts w:ascii="Times New Roman" w:hAnsi="Times New Roman"/>
              </w:rPr>
              <w:t>0</w:t>
            </w:r>
          </w:p>
        </w:tc>
        <w:tc>
          <w:tcPr>
            <w:tcW w:w="1276" w:type="dxa"/>
            <w:shd w:val="clear" w:color="auto" w:fill="auto"/>
            <w:vAlign w:val="center"/>
          </w:tcPr>
          <w:p w:rsidR="00E73FE1" w:rsidRPr="00DC73A2" w:rsidRDefault="00E73FE1" w:rsidP="00907F47">
            <w:pPr>
              <w:spacing w:after="0"/>
              <w:jc w:val="right"/>
              <w:rPr>
                <w:rFonts w:ascii="Times New Roman" w:hAnsi="Times New Roman"/>
              </w:rPr>
            </w:pPr>
            <w:r w:rsidRPr="00DC73A2">
              <w:rPr>
                <w:rFonts w:ascii="Times New Roman" w:hAnsi="Times New Roman"/>
              </w:rPr>
              <w:t>37.391.333</w:t>
            </w:r>
          </w:p>
        </w:tc>
        <w:tc>
          <w:tcPr>
            <w:tcW w:w="1418" w:type="dxa"/>
            <w:shd w:val="clear" w:color="auto" w:fill="auto"/>
            <w:vAlign w:val="center"/>
          </w:tcPr>
          <w:p w:rsidR="00E73FE1" w:rsidRPr="00DC73A2" w:rsidRDefault="00E73FE1" w:rsidP="00907F47">
            <w:pPr>
              <w:spacing w:after="0"/>
              <w:jc w:val="right"/>
              <w:rPr>
                <w:rFonts w:ascii="Times New Roman" w:hAnsi="Times New Roman"/>
              </w:rPr>
            </w:pPr>
            <w:r>
              <w:rPr>
                <w:rFonts w:ascii="Times New Roman" w:hAnsi="Times New Roman"/>
              </w:rPr>
              <w:t>85</w:t>
            </w:r>
          </w:p>
        </w:tc>
      </w:tr>
      <w:tr w:rsidR="00E73FE1" w:rsidRPr="000A23B4" w:rsidTr="0043440A">
        <w:trPr>
          <w:trHeight w:val="423"/>
        </w:trPr>
        <w:tc>
          <w:tcPr>
            <w:tcW w:w="959" w:type="dxa"/>
            <w:shd w:val="clear" w:color="auto" w:fill="auto"/>
            <w:vAlign w:val="center"/>
          </w:tcPr>
          <w:p w:rsidR="00E73FE1" w:rsidRPr="008C4D5F" w:rsidRDefault="00E73FE1" w:rsidP="00E029A5">
            <w:pPr>
              <w:widowControl w:val="0"/>
              <w:tabs>
                <w:tab w:val="left" w:pos="622"/>
              </w:tabs>
              <w:spacing w:after="0" w:line="240" w:lineRule="auto"/>
              <w:jc w:val="center"/>
              <w:rPr>
                <w:rFonts w:ascii="Times New Roman" w:eastAsia="AngsanaUPC" w:hAnsi="Times New Roman"/>
                <w:b/>
                <w:bCs/>
                <w:sz w:val="24"/>
                <w:szCs w:val="24"/>
                <w:lang w:eastAsia="lt-LT"/>
              </w:rPr>
            </w:pPr>
            <w:r w:rsidRPr="008C4D5F">
              <w:rPr>
                <w:rFonts w:ascii="Times New Roman" w:eastAsia="AngsanaUPC" w:hAnsi="Times New Roman"/>
                <w:b/>
                <w:bCs/>
                <w:sz w:val="24"/>
                <w:szCs w:val="24"/>
                <w:lang w:eastAsia="lt-LT"/>
              </w:rPr>
              <w:t>Viso</w:t>
            </w:r>
          </w:p>
        </w:tc>
        <w:tc>
          <w:tcPr>
            <w:tcW w:w="1417" w:type="dxa"/>
            <w:shd w:val="clear" w:color="auto" w:fill="auto"/>
            <w:vAlign w:val="center"/>
          </w:tcPr>
          <w:p w:rsidR="00E73FE1" w:rsidRPr="007E5052" w:rsidRDefault="00E73FE1" w:rsidP="00E029A5">
            <w:pPr>
              <w:widowControl w:val="0"/>
              <w:tabs>
                <w:tab w:val="left" w:pos="622"/>
              </w:tabs>
              <w:spacing w:after="0" w:line="240" w:lineRule="auto"/>
              <w:jc w:val="center"/>
              <w:rPr>
                <w:rFonts w:ascii="Times New Roman" w:eastAsia="AngsanaUPC" w:hAnsi="Times New Roman"/>
                <w:bCs/>
                <w:sz w:val="20"/>
                <w:szCs w:val="20"/>
                <w:lang w:eastAsia="lt-LT"/>
              </w:rPr>
            </w:pPr>
          </w:p>
        </w:tc>
        <w:tc>
          <w:tcPr>
            <w:tcW w:w="2977" w:type="dxa"/>
            <w:shd w:val="clear" w:color="auto" w:fill="auto"/>
            <w:vAlign w:val="center"/>
          </w:tcPr>
          <w:p w:rsidR="00E73FE1" w:rsidRPr="000A23B4" w:rsidRDefault="003B44CE" w:rsidP="00E029A5">
            <w:pPr>
              <w:widowControl w:val="0"/>
              <w:tabs>
                <w:tab w:val="left" w:pos="622"/>
              </w:tabs>
              <w:spacing w:after="0" w:line="240" w:lineRule="auto"/>
              <w:jc w:val="center"/>
              <w:rPr>
                <w:rFonts w:ascii="Times New Roman" w:eastAsia="AngsanaUPC" w:hAnsi="Times New Roman"/>
                <w:bCs/>
                <w:sz w:val="24"/>
                <w:szCs w:val="24"/>
                <w:lang w:eastAsia="lt-LT"/>
              </w:rPr>
            </w:pPr>
            <w:r>
              <w:rPr>
                <w:rFonts w:ascii="Times New Roman" w:eastAsia="AngsanaUPC" w:hAnsi="Times New Roman"/>
                <w:bCs/>
                <w:sz w:val="24"/>
                <w:szCs w:val="24"/>
                <w:lang w:eastAsia="lt-LT"/>
              </w:rPr>
              <w:t>-</w:t>
            </w:r>
          </w:p>
        </w:tc>
        <w:tc>
          <w:tcPr>
            <w:tcW w:w="1276" w:type="dxa"/>
            <w:shd w:val="clear" w:color="auto" w:fill="auto"/>
            <w:vAlign w:val="center"/>
          </w:tcPr>
          <w:p w:rsidR="00E73FE1" w:rsidRPr="00DC73A2" w:rsidRDefault="00E73FE1" w:rsidP="00907F47">
            <w:pPr>
              <w:spacing w:after="0"/>
              <w:jc w:val="right"/>
              <w:rPr>
                <w:rFonts w:ascii="Times New Roman" w:hAnsi="Times New Roman"/>
              </w:rPr>
            </w:pPr>
            <w:r w:rsidRPr="00DC73A2">
              <w:rPr>
                <w:rFonts w:ascii="Times New Roman" w:hAnsi="Times New Roman"/>
              </w:rPr>
              <w:t>63.565.266</w:t>
            </w:r>
          </w:p>
        </w:tc>
        <w:tc>
          <w:tcPr>
            <w:tcW w:w="1417" w:type="dxa"/>
            <w:shd w:val="clear" w:color="auto" w:fill="auto"/>
            <w:vAlign w:val="center"/>
          </w:tcPr>
          <w:p w:rsidR="00E73FE1" w:rsidRPr="00DC73A2" w:rsidRDefault="00E73FE1" w:rsidP="00907F47">
            <w:pPr>
              <w:spacing w:after="0"/>
              <w:jc w:val="right"/>
              <w:rPr>
                <w:rFonts w:ascii="Times New Roman" w:hAnsi="Times New Roman"/>
              </w:rPr>
            </w:pPr>
            <w:r w:rsidRPr="00DC73A2">
              <w:rPr>
                <w:rFonts w:ascii="Times New Roman" w:hAnsi="Times New Roman"/>
              </w:rPr>
              <w:t>5.608.700</w:t>
            </w:r>
          </w:p>
        </w:tc>
        <w:tc>
          <w:tcPr>
            <w:tcW w:w="1985" w:type="dxa"/>
            <w:shd w:val="clear" w:color="auto" w:fill="auto"/>
            <w:vAlign w:val="center"/>
          </w:tcPr>
          <w:p w:rsidR="00E73FE1" w:rsidRPr="00DC73A2" w:rsidRDefault="00E73FE1" w:rsidP="00907F47">
            <w:pPr>
              <w:spacing w:after="0"/>
              <w:jc w:val="right"/>
              <w:rPr>
                <w:rFonts w:ascii="Times New Roman" w:hAnsi="Times New Roman"/>
              </w:rPr>
            </w:pPr>
            <w:r w:rsidRPr="00DC73A2">
              <w:rPr>
                <w:rFonts w:ascii="Times New Roman" w:hAnsi="Times New Roman"/>
              </w:rPr>
              <w:t>5.608.700</w:t>
            </w:r>
          </w:p>
        </w:tc>
        <w:tc>
          <w:tcPr>
            <w:tcW w:w="1984" w:type="dxa"/>
            <w:shd w:val="clear" w:color="auto" w:fill="auto"/>
            <w:vAlign w:val="center"/>
          </w:tcPr>
          <w:p w:rsidR="00E73FE1" w:rsidRPr="00DC73A2" w:rsidRDefault="00E73FE1" w:rsidP="00907F47">
            <w:pPr>
              <w:spacing w:after="0"/>
              <w:jc w:val="right"/>
              <w:rPr>
                <w:rFonts w:ascii="Times New Roman" w:hAnsi="Times New Roman"/>
              </w:rPr>
            </w:pPr>
            <w:r w:rsidRPr="00DC73A2">
              <w:rPr>
                <w:rFonts w:ascii="Times New Roman" w:hAnsi="Times New Roman"/>
              </w:rPr>
              <w:t>0</w:t>
            </w:r>
          </w:p>
        </w:tc>
        <w:tc>
          <w:tcPr>
            <w:tcW w:w="1276" w:type="dxa"/>
            <w:shd w:val="clear" w:color="auto" w:fill="auto"/>
            <w:vAlign w:val="center"/>
          </w:tcPr>
          <w:p w:rsidR="00E73FE1" w:rsidRPr="00DC73A2" w:rsidRDefault="00E73FE1" w:rsidP="00907F47">
            <w:pPr>
              <w:spacing w:after="0"/>
              <w:jc w:val="right"/>
              <w:rPr>
                <w:rFonts w:ascii="Times New Roman" w:hAnsi="Times New Roman"/>
              </w:rPr>
            </w:pPr>
            <w:r w:rsidRPr="00DC73A2">
              <w:rPr>
                <w:rFonts w:ascii="Times New Roman" w:hAnsi="Times New Roman"/>
              </w:rPr>
              <w:t>69.173.966</w:t>
            </w:r>
          </w:p>
        </w:tc>
        <w:tc>
          <w:tcPr>
            <w:tcW w:w="1418" w:type="dxa"/>
            <w:shd w:val="clear" w:color="auto" w:fill="auto"/>
            <w:vAlign w:val="center"/>
          </w:tcPr>
          <w:p w:rsidR="00E73FE1" w:rsidRPr="00DC73A2" w:rsidRDefault="00E73FE1" w:rsidP="00907F47">
            <w:pPr>
              <w:spacing w:after="0"/>
              <w:jc w:val="right"/>
              <w:rPr>
                <w:rFonts w:ascii="Times New Roman" w:hAnsi="Times New Roman"/>
              </w:rPr>
            </w:pPr>
            <w:r>
              <w:rPr>
                <w:rFonts w:ascii="Times New Roman" w:hAnsi="Times New Roman"/>
              </w:rPr>
              <w:t>91,</w:t>
            </w:r>
            <w:r w:rsidR="008F283B">
              <w:rPr>
                <w:rFonts w:ascii="Times New Roman" w:hAnsi="Times New Roman"/>
              </w:rPr>
              <w:t>8</w:t>
            </w:r>
            <w:r>
              <w:rPr>
                <w:rFonts w:ascii="Times New Roman" w:hAnsi="Times New Roman"/>
              </w:rPr>
              <w:t>9</w:t>
            </w:r>
          </w:p>
        </w:tc>
      </w:tr>
    </w:tbl>
    <w:p w:rsidR="00DE7193" w:rsidRDefault="00DE7193" w:rsidP="00E70675">
      <w:pPr>
        <w:widowControl w:val="0"/>
        <w:tabs>
          <w:tab w:val="left" w:pos="622"/>
        </w:tabs>
        <w:spacing w:after="0" w:line="240" w:lineRule="auto"/>
        <w:jc w:val="both"/>
        <w:rPr>
          <w:rFonts w:ascii="Times New Roman" w:eastAsia="AngsanaUPC" w:hAnsi="Times New Roman"/>
          <w:b/>
          <w:bCs/>
          <w:sz w:val="24"/>
          <w:szCs w:val="24"/>
          <w:lang w:eastAsia="lt-LT"/>
        </w:rPr>
      </w:pPr>
    </w:p>
    <w:p w:rsidR="00DE7193" w:rsidRPr="00E73FE1" w:rsidRDefault="00837AE7" w:rsidP="00E70675">
      <w:pPr>
        <w:widowControl w:val="0"/>
        <w:tabs>
          <w:tab w:val="left" w:pos="622"/>
        </w:tabs>
        <w:spacing w:after="0" w:line="240" w:lineRule="auto"/>
        <w:jc w:val="both"/>
        <w:rPr>
          <w:rFonts w:ascii="Times New Roman" w:eastAsia="AngsanaUPC" w:hAnsi="Times New Roman"/>
          <w:b/>
          <w:bCs/>
          <w:szCs w:val="24"/>
          <w:lang w:eastAsia="lt-LT"/>
        </w:rPr>
      </w:pPr>
      <w:r w:rsidRPr="00E73FE1">
        <w:rPr>
          <w:rFonts w:ascii="Times New Roman" w:eastAsia="AngsanaUPC" w:hAnsi="Times New Roman"/>
          <w:bCs/>
          <w:i/>
          <w:szCs w:val="24"/>
          <w:lang w:eastAsia="lt-LT"/>
        </w:rPr>
        <w:t>6 lentelė.</w:t>
      </w:r>
      <w:r w:rsidRPr="00DE7193">
        <w:rPr>
          <w:rFonts w:ascii="Times New Roman" w:eastAsia="AngsanaUPC" w:hAnsi="Times New Roman"/>
          <w:b/>
          <w:bCs/>
          <w:szCs w:val="24"/>
          <w:lang w:eastAsia="lt-LT"/>
        </w:rPr>
        <w:t xml:space="preserve"> </w:t>
      </w:r>
      <w:r w:rsidR="00472142" w:rsidRPr="00E73FE1">
        <w:rPr>
          <w:rFonts w:ascii="Times New Roman" w:eastAsia="AngsanaUPC" w:hAnsi="Times New Roman"/>
          <w:b/>
          <w:bCs/>
          <w:szCs w:val="24"/>
          <w:lang w:eastAsia="lt-LT"/>
        </w:rPr>
        <w:t>Veiksmų programos fina</w:t>
      </w:r>
      <w:r w:rsidR="00F408D8" w:rsidRPr="00E73FE1">
        <w:rPr>
          <w:rFonts w:ascii="Times New Roman" w:eastAsia="AngsanaUPC" w:hAnsi="Times New Roman"/>
          <w:b/>
          <w:bCs/>
          <w:szCs w:val="24"/>
          <w:lang w:eastAsia="lt-LT"/>
        </w:rPr>
        <w:t>ns</w:t>
      </w:r>
      <w:r w:rsidR="00B25D31" w:rsidRPr="00E73FE1">
        <w:rPr>
          <w:rFonts w:ascii="Times New Roman" w:eastAsia="AngsanaUPC" w:hAnsi="Times New Roman"/>
          <w:b/>
          <w:bCs/>
          <w:szCs w:val="24"/>
          <w:lang w:eastAsia="lt-LT"/>
        </w:rPr>
        <w:t xml:space="preserve">avimo </w:t>
      </w:r>
      <w:r w:rsidR="00F408D8" w:rsidRPr="00E73FE1">
        <w:rPr>
          <w:rFonts w:ascii="Times New Roman" w:eastAsia="AngsanaUPC" w:hAnsi="Times New Roman"/>
          <w:b/>
          <w:bCs/>
          <w:szCs w:val="24"/>
          <w:lang w:eastAsia="lt-LT"/>
        </w:rPr>
        <w:t>planas pagal prioritetus</w:t>
      </w:r>
      <w:r w:rsidR="003E0F8A" w:rsidRPr="00E73FE1">
        <w:rPr>
          <w:rFonts w:ascii="Times New Roman" w:eastAsia="AngsanaUPC" w:hAnsi="Times New Roman"/>
          <w:b/>
          <w:bCs/>
          <w:szCs w:val="24"/>
          <w:lang w:eastAsia="lt-LT"/>
        </w:rPr>
        <w:t>, (eurais)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993"/>
        <w:gridCol w:w="1275"/>
        <w:gridCol w:w="3969"/>
        <w:gridCol w:w="1560"/>
        <w:gridCol w:w="1417"/>
        <w:gridCol w:w="1418"/>
      </w:tblGrid>
      <w:tr w:rsidR="0079063E" w:rsidRPr="000A23B4" w:rsidTr="00E73FE1">
        <w:trPr>
          <w:trHeight w:val="315"/>
          <w:tblHeader/>
        </w:trPr>
        <w:tc>
          <w:tcPr>
            <w:tcW w:w="4077" w:type="dxa"/>
            <w:shd w:val="clear" w:color="auto" w:fill="EEECE1"/>
            <w:noWrap/>
            <w:vAlign w:val="center"/>
            <w:hideMark/>
          </w:tcPr>
          <w:p w:rsidR="0079063E" w:rsidRPr="000A23B4" w:rsidRDefault="0079063E" w:rsidP="00E029A5">
            <w:pPr>
              <w:widowControl w:val="0"/>
              <w:tabs>
                <w:tab w:val="left" w:pos="622"/>
              </w:tabs>
              <w:spacing w:after="0" w:line="240" w:lineRule="auto"/>
              <w:jc w:val="center"/>
              <w:rPr>
                <w:rFonts w:ascii="Times New Roman" w:eastAsia="AngsanaUPC" w:hAnsi="Times New Roman"/>
                <w:b/>
                <w:bCs/>
                <w:sz w:val="20"/>
                <w:szCs w:val="20"/>
                <w:lang w:eastAsia="lt-LT"/>
              </w:rPr>
            </w:pPr>
            <w:r w:rsidRPr="000A23B4">
              <w:rPr>
                <w:rFonts w:ascii="Times New Roman" w:eastAsia="AngsanaUPC" w:hAnsi="Times New Roman"/>
                <w:b/>
                <w:bCs/>
                <w:sz w:val="20"/>
                <w:szCs w:val="20"/>
                <w:lang w:eastAsia="lt-LT"/>
              </w:rPr>
              <w:t>Prioritetas</w:t>
            </w:r>
          </w:p>
        </w:tc>
        <w:tc>
          <w:tcPr>
            <w:tcW w:w="993" w:type="dxa"/>
            <w:shd w:val="clear" w:color="auto" w:fill="EEECE1"/>
            <w:noWrap/>
            <w:vAlign w:val="center"/>
            <w:hideMark/>
          </w:tcPr>
          <w:p w:rsidR="0079063E" w:rsidRPr="0043440A" w:rsidRDefault="0079063E" w:rsidP="00E029A5">
            <w:pPr>
              <w:widowControl w:val="0"/>
              <w:tabs>
                <w:tab w:val="left" w:pos="622"/>
              </w:tabs>
              <w:spacing w:after="0" w:line="240" w:lineRule="auto"/>
              <w:jc w:val="center"/>
              <w:rPr>
                <w:rFonts w:ascii="Times New Roman" w:eastAsia="AngsanaUPC" w:hAnsi="Times New Roman"/>
                <w:b/>
                <w:bCs/>
                <w:sz w:val="20"/>
                <w:szCs w:val="20"/>
                <w:lang w:eastAsia="lt-LT"/>
              </w:rPr>
            </w:pPr>
            <w:r w:rsidRPr="0043440A">
              <w:rPr>
                <w:rFonts w:ascii="Times New Roman" w:eastAsia="AngsanaUPC" w:hAnsi="Times New Roman"/>
                <w:b/>
                <w:bCs/>
                <w:sz w:val="20"/>
                <w:szCs w:val="20"/>
                <w:lang w:eastAsia="lt-LT"/>
              </w:rPr>
              <w:t>Fondas</w:t>
            </w:r>
          </w:p>
        </w:tc>
        <w:tc>
          <w:tcPr>
            <w:tcW w:w="1275" w:type="dxa"/>
            <w:shd w:val="clear" w:color="auto" w:fill="EEECE1"/>
            <w:noWrap/>
            <w:vAlign w:val="center"/>
            <w:hideMark/>
          </w:tcPr>
          <w:p w:rsidR="0079063E" w:rsidRPr="000A23B4" w:rsidRDefault="0079063E" w:rsidP="00E029A5">
            <w:pPr>
              <w:widowControl w:val="0"/>
              <w:tabs>
                <w:tab w:val="left" w:pos="622"/>
              </w:tabs>
              <w:spacing w:after="0" w:line="240" w:lineRule="auto"/>
              <w:jc w:val="center"/>
              <w:rPr>
                <w:rFonts w:ascii="Times New Roman" w:eastAsia="AngsanaUPC" w:hAnsi="Times New Roman"/>
                <w:b/>
                <w:bCs/>
                <w:sz w:val="20"/>
                <w:szCs w:val="20"/>
                <w:lang w:eastAsia="lt-LT"/>
              </w:rPr>
            </w:pPr>
            <w:r w:rsidRPr="000A23B4">
              <w:rPr>
                <w:rFonts w:ascii="Times New Roman" w:eastAsia="AngsanaUPC" w:hAnsi="Times New Roman"/>
                <w:b/>
                <w:bCs/>
                <w:sz w:val="20"/>
                <w:szCs w:val="20"/>
                <w:lang w:eastAsia="lt-LT"/>
              </w:rPr>
              <w:t>Regiono kategorija</w:t>
            </w:r>
          </w:p>
        </w:tc>
        <w:tc>
          <w:tcPr>
            <w:tcW w:w="3969" w:type="dxa"/>
            <w:shd w:val="clear" w:color="auto" w:fill="EEECE1"/>
            <w:noWrap/>
            <w:vAlign w:val="center"/>
            <w:hideMark/>
          </w:tcPr>
          <w:p w:rsidR="0079063E" w:rsidRPr="000A23B4" w:rsidRDefault="0043440A" w:rsidP="00E029A5">
            <w:pPr>
              <w:widowControl w:val="0"/>
              <w:tabs>
                <w:tab w:val="left" w:pos="622"/>
              </w:tabs>
              <w:spacing w:after="0" w:line="240" w:lineRule="auto"/>
              <w:jc w:val="center"/>
              <w:rPr>
                <w:rFonts w:ascii="Times New Roman" w:eastAsia="AngsanaUPC" w:hAnsi="Times New Roman"/>
                <w:b/>
                <w:bCs/>
                <w:sz w:val="20"/>
                <w:szCs w:val="20"/>
                <w:lang w:eastAsia="lt-LT"/>
              </w:rPr>
            </w:pPr>
            <w:r>
              <w:rPr>
                <w:rFonts w:ascii="Times New Roman" w:eastAsia="AngsanaUPC" w:hAnsi="Times New Roman"/>
                <w:b/>
                <w:bCs/>
                <w:sz w:val="20"/>
                <w:szCs w:val="20"/>
                <w:lang w:eastAsia="lt-LT"/>
              </w:rPr>
              <w:t>Tem</w:t>
            </w:r>
            <w:r w:rsidR="0079063E" w:rsidRPr="000A23B4">
              <w:rPr>
                <w:rFonts w:ascii="Times New Roman" w:eastAsia="AngsanaUPC" w:hAnsi="Times New Roman"/>
                <w:b/>
                <w:bCs/>
                <w:sz w:val="20"/>
                <w:szCs w:val="20"/>
                <w:lang w:eastAsia="lt-LT"/>
              </w:rPr>
              <w:t>inis tikslas</w:t>
            </w:r>
          </w:p>
        </w:tc>
        <w:tc>
          <w:tcPr>
            <w:tcW w:w="1560" w:type="dxa"/>
            <w:shd w:val="clear" w:color="auto" w:fill="EEECE1"/>
            <w:noWrap/>
            <w:vAlign w:val="center"/>
            <w:hideMark/>
          </w:tcPr>
          <w:p w:rsidR="0079063E" w:rsidRPr="000A23B4" w:rsidRDefault="0079063E" w:rsidP="00E029A5">
            <w:pPr>
              <w:widowControl w:val="0"/>
              <w:tabs>
                <w:tab w:val="left" w:pos="622"/>
              </w:tabs>
              <w:spacing w:after="0" w:line="240" w:lineRule="auto"/>
              <w:jc w:val="center"/>
              <w:rPr>
                <w:rFonts w:ascii="Times New Roman" w:eastAsia="AngsanaUPC" w:hAnsi="Times New Roman"/>
                <w:b/>
                <w:bCs/>
                <w:sz w:val="20"/>
                <w:szCs w:val="20"/>
                <w:lang w:eastAsia="lt-LT"/>
              </w:rPr>
            </w:pPr>
            <w:r w:rsidRPr="000A23B4">
              <w:rPr>
                <w:rFonts w:ascii="Times New Roman" w:eastAsia="AngsanaUPC" w:hAnsi="Times New Roman"/>
                <w:b/>
                <w:bCs/>
                <w:sz w:val="20"/>
                <w:szCs w:val="20"/>
                <w:lang w:eastAsia="lt-LT"/>
              </w:rPr>
              <w:t>Bendrijos finansavimas</w:t>
            </w:r>
          </w:p>
        </w:tc>
        <w:tc>
          <w:tcPr>
            <w:tcW w:w="1417" w:type="dxa"/>
            <w:shd w:val="clear" w:color="auto" w:fill="EEECE1"/>
            <w:noWrap/>
            <w:vAlign w:val="center"/>
            <w:hideMark/>
          </w:tcPr>
          <w:p w:rsidR="0079063E" w:rsidRPr="000A23B4" w:rsidRDefault="0079063E" w:rsidP="00E029A5">
            <w:pPr>
              <w:widowControl w:val="0"/>
              <w:tabs>
                <w:tab w:val="left" w:pos="622"/>
              </w:tabs>
              <w:spacing w:after="0" w:line="240" w:lineRule="auto"/>
              <w:jc w:val="center"/>
              <w:rPr>
                <w:rFonts w:ascii="Times New Roman" w:eastAsia="AngsanaUPC" w:hAnsi="Times New Roman"/>
                <w:b/>
                <w:bCs/>
                <w:sz w:val="20"/>
                <w:szCs w:val="20"/>
                <w:lang w:eastAsia="lt-LT"/>
              </w:rPr>
            </w:pPr>
            <w:r w:rsidRPr="000A23B4">
              <w:rPr>
                <w:rFonts w:ascii="Times New Roman" w:eastAsia="AngsanaUPC" w:hAnsi="Times New Roman"/>
                <w:b/>
                <w:bCs/>
                <w:sz w:val="20"/>
                <w:szCs w:val="20"/>
                <w:lang w:eastAsia="lt-LT"/>
              </w:rPr>
              <w:t>Nacionalinis finansavimas</w:t>
            </w:r>
          </w:p>
        </w:tc>
        <w:tc>
          <w:tcPr>
            <w:tcW w:w="1418" w:type="dxa"/>
            <w:shd w:val="clear" w:color="auto" w:fill="EEECE1"/>
            <w:noWrap/>
            <w:vAlign w:val="center"/>
            <w:hideMark/>
          </w:tcPr>
          <w:p w:rsidR="0079063E" w:rsidRPr="000A23B4" w:rsidRDefault="0079063E" w:rsidP="00E029A5">
            <w:pPr>
              <w:widowControl w:val="0"/>
              <w:tabs>
                <w:tab w:val="left" w:pos="622"/>
              </w:tabs>
              <w:spacing w:after="0" w:line="240" w:lineRule="auto"/>
              <w:jc w:val="center"/>
              <w:rPr>
                <w:rFonts w:ascii="Times New Roman" w:eastAsia="AngsanaUPC" w:hAnsi="Times New Roman"/>
                <w:b/>
                <w:bCs/>
                <w:sz w:val="20"/>
                <w:szCs w:val="20"/>
                <w:lang w:eastAsia="lt-LT"/>
              </w:rPr>
            </w:pPr>
            <w:r w:rsidRPr="000A23B4">
              <w:rPr>
                <w:rFonts w:ascii="Times New Roman" w:eastAsia="AngsanaUPC" w:hAnsi="Times New Roman"/>
                <w:b/>
                <w:bCs/>
                <w:sz w:val="20"/>
                <w:szCs w:val="20"/>
                <w:lang w:eastAsia="lt-LT"/>
              </w:rPr>
              <w:t>Visas finansavimas</w:t>
            </w:r>
          </w:p>
        </w:tc>
      </w:tr>
      <w:tr w:rsidR="00970B5F" w:rsidRPr="00E70675" w:rsidTr="00E73FE1">
        <w:trPr>
          <w:trHeight w:val="205"/>
        </w:trPr>
        <w:tc>
          <w:tcPr>
            <w:tcW w:w="4077" w:type="dxa"/>
            <w:vMerge w:val="restart"/>
            <w:shd w:val="clear" w:color="auto" w:fill="auto"/>
            <w:noWrap/>
            <w:vAlign w:val="center"/>
          </w:tcPr>
          <w:p w:rsidR="00970B5F" w:rsidRPr="000A23B4" w:rsidRDefault="00970B5F" w:rsidP="00E029A5">
            <w:pPr>
              <w:widowControl w:val="0"/>
              <w:tabs>
                <w:tab w:val="left" w:pos="622"/>
              </w:tabs>
              <w:spacing w:after="0" w:line="240" w:lineRule="auto"/>
              <w:rPr>
                <w:rFonts w:ascii="Times New Roman" w:eastAsia="AngsanaUPC" w:hAnsi="Times New Roman"/>
                <w:bCs/>
                <w:lang w:eastAsia="lt-LT"/>
              </w:rPr>
            </w:pPr>
            <w:r w:rsidRPr="000A23B4">
              <w:rPr>
                <w:rFonts w:ascii="Times New Roman" w:eastAsia="AngsanaUPC" w:hAnsi="Times New Roman"/>
                <w:bCs/>
                <w:lang w:eastAsia="lt-LT"/>
              </w:rPr>
              <w:t>5. Aplinkosauga, gamtos išteklių darnus naudojimas ir prisitaikymas prie klimato kaitos.</w:t>
            </w:r>
          </w:p>
        </w:tc>
        <w:tc>
          <w:tcPr>
            <w:tcW w:w="993" w:type="dxa"/>
            <w:shd w:val="clear" w:color="auto" w:fill="auto"/>
            <w:noWrap/>
            <w:vAlign w:val="center"/>
          </w:tcPr>
          <w:p w:rsidR="00970B5F" w:rsidRPr="0043440A" w:rsidRDefault="00970B5F" w:rsidP="00E029A5">
            <w:pPr>
              <w:widowControl w:val="0"/>
              <w:tabs>
                <w:tab w:val="left" w:pos="622"/>
              </w:tabs>
              <w:spacing w:after="0" w:line="240" w:lineRule="auto"/>
              <w:jc w:val="center"/>
              <w:rPr>
                <w:rFonts w:ascii="Times New Roman" w:eastAsia="AngsanaUPC" w:hAnsi="Times New Roman"/>
                <w:bCs/>
                <w:lang w:eastAsia="lt-LT"/>
              </w:rPr>
            </w:pPr>
            <w:r w:rsidRPr="0043440A">
              <w:rPr>
                <w:rFonts w:ascii="Times New Roman" w:eastAsia="AngsanaUPC" w:hAnsi="Times New Roman"/>
                <w:bCs/>
                <w:lang w:eastAsia="lt-LT"/>
              </w:rPr>
              <w:t>ERPF</w:t>
            </w:r>
          </w:p>
        </w:tc>
        <w:tc>
          <w:tcPr>
            <w:tcW w:w="1275" w:type="dxa"/>
            <w:vMerge w:val="restart"/>
            <w:shd w:val="clear" w:color="auto" w:fill="auto"/>
            <w:noWrap/>
            <w:vAlign w:val="center"/>
          </w:tcPr>
          <w:p w:rsidR="00970B5F" w:rsidRDefault="00970B5F" w:rsidP="00E029A5">
            <w:pPr>
              <w:spacing w:after="0" w:line="240" w:lineRule="auto"/>
              <w:jc w:val="center"/>
            </w:pPr>
            <w:r w:rsidRPr="007E5052">
              <w:rPr>
                <w:rFonts w:ascii="Times New Roman" w:eastAsia="AngsanaUPC" w:hAnsi="Times New Roman"/>
                <w:bCs/>
                <w:sz w:val="20"/>
                <w:szCs w:val="20"/>
                <w:lang w:eastAsia="lt-LT"/>
              </w:rPr>
              <w:t>Mažiau išsivystęs</w:t>
            </w:r>
          </w:p>
        </w:tc>
        <w:tc>
          <w:tcPr>
            <w:tcW w:w="3969" w:type="dxa"/>
            <w:vMerge w:val="restart"/>
            <w:shd w:val="clear" w:color="auto" w:fill="auto"/>
            <w:noWrap/>
            <w:vAlign w:val="center"/>
          </w:tcPr>
          <w:p w:rsidR="00970B5F" w:rsidRPr="00650318" w:rsidRDefault="00970B5F" w:rsidP="00E029A5">
            <w:pPr>
              <w:widowControl w:val="0"/>
              <w:tabs>
                <w:tab w:val="left" w:pos="622"/>
              </w:tabs>
              <w:spacing w:after="0" w:line="240" w:lineRule="auto"/>
              <w:rPr>
                <w:rFonts w:ascii="Times New Roman" w:eastAsia="AngsanaUPC" w:hAnsi="Times New Roman"/>
                <w:bCs/>
                <w:lang w:eastAsia="lt-LT"/>
              </w:rPr>
            </w:pPr>
            <w:r>
              <w:rPr>
                <w:rFonts w:ascii="Times New Roman" w:eastAsia="AngsanaUPC" w:hAnsi="Times New Roman"/>
                <w:bCs/>
                <w:lang w:eastAsia="lt-LT"/>
              </w:rPr>
              <w:t>5.</w:t>
            </w:r>
            <w:r w:rsidRPr="00650318">
              <w:rPr>
                <w:rFonts w:ascii="Times New Roman" w:eastAsia="AngsanaUPC" w:hAnsi="Times New Roman"/>
                <w:bCs/>
                <w:lang w:eastAsia="lt-LT"/>
              </w:rPr>
              <w:t xml:space="preserve"> </w:t>
            </w:r>
            <w:r>
              <w:rPr>
                <w:rFonts w:ascii="Times New Roman" w:eastAsia="AngsanaUPC" w:hAnsi="Times New Roman"/>
                <w:bCs/>
                <w:lang w:eastAsia="lt-LT"/>
              </w:rPr>
              <w:t>P</w:t>
            </w:r>
            <w:r w:rsidRPr="00650318">
              <w:rPr>
                <w:rFonts w:ascii="Times New Roman" w:eastAsia="AngsanaUPC" w:hAnsi="Times New Roman"/>
                <w:bCs/>
                <w:lang w:eastAsia="lt-LT"/>
              </w:rPr>
              <w:t>risitaikymo prie klimato kaitos, rizikos prev</w:t>
            </w:r>
            <w:r>
              <w:rPr>
                <w:rFonts w:ascii="Times New Roman" w:eastAsia="AngsanaUPC" w:hAnsi="Times New Roman"/>
                <w:bCs/>
                <w:lang w:eastAsia="lt-LT"/>
              </w:rPr>
              <w:t>encijos ir valdymo skatinimas;</w:t>
            </w:r>
          </w:p>
        </w:tc>
        <w:tc>
          <w:tcPr>
            <w:tcW w:w="1560" w:type="dxa"/>
            <w:shd w:val="clear" w:color="auto" w:fill="auto"/>
            <w:noWrap/>
            <w:vAlign w:val="center"/>
          </w:tcPr>
          <w:p w:rsidR="00970B5F" w:rsidRPr="004E77F7" w:rsidRDefault="00662B05" w:rsidP="00F07A57">
            <w:pPr>
              <w:widowControl w:val="0"/>
              <w:tabs>
                <w:tab w:val="left" w:pos="622"/>
              </w:tabs>
              <w:spacing w:after="0" w:line="240" w:lineRule="auto"/>
              <w:jc w:val="right"/>
              <w:rPr>
                <w:rFonts w:ascii="Times New Roman" w:eastAsia="AngsanaUPC" w:hAnsi="Times New Roman"/>
                <w:bCs/>
                <w:sz w:val="20"/>
                <w:szCs w:val="20"/>
                <w:lang w:eastAsia="lt-LT"/>
              </w:rPr>
            </w:pPr>
            <w:r w:rsidRPr="004E77F7">
              <w:rPr>
                <w:rFonts w:ascii="Times New Roman" w:eastAsia="AngsanaUPC" w:hAnsi="Times New Roman"/>
                <w:bCs/>
                <w:sz w:val="20"/>
                <w:szCs w:val="20"/>
                <w:lang w:eastAsia="lt-LT"/>
              </w:rPr>
              <w:t>17.567.010</w:t>
            </w:r>
          </w:p>
        </w:tc>
        <w:tc>
          <w:tcPr>
            <w:tcW w:w="1417" w:type="dxa"/>
            <w:shd w:val="clear" w:color="auto" w:fill="auto"/>
            <w:noWrap/>
            <w:vAlign w:val="center"/>
          </w:tcPr>
          <w:p w:rsidR="00970B5F" w:rsidRPr="004E77F7" w:rsidRDefault="00662B05" w:rsidP="0080115A">
            <w:pPr>
              <w:spacing w:after="0" w:line="240" w:lineRule="auto"/>
              <w:jc w:val="right"/>
              <w:rPr>
                <w:rFonts w:ascii="Times New Roman" w:hAnsi="Times New Roman"/>
                <w:sz w:val="20"/>
                <w:szCs w:val="20"/>
              </w:rPr>
            </w:pPr>
            <w:r w:rsidRPr="004E77F7">
              <w:rPr>
                <w:rFonts w:ascii="Times New Roman" w:hAnsi="Times New Roman"/>
                <w:sz w:val="20"/>
                <w:szCs w:val="20"/>
              </w:rPr>
              <w:t>3.100.062</w:t>
            </w:r>
          </w:p>
        </w:tc>
        <w:tc>
          <w:tcPr>
            <w:tcW w:w="1418" w:type="dxa"/>
            <w:shd w:val="clear" w:color="auto" w:fill="auto"/>
            <w:noWrap/>
            <w:vAlign w:val="center"/>
          </w:tcPr>
          <w:p w:rsidR="00970B5F" w:rsidRPr="004E77F7" w:rsidRDefault="00662B05" w:rsidP="0080115A">
            <w:pPr>
              <w:spacing w:after="0" w:line="240" w:lineRule="auto"/>
              <w:jc w:val="right"/>
              <w:rPr>
                <w:rFonts w:ascii="Times New Roman" w:hAnsi="Times New Roman"/>
                <w:sz w:val="20"/>
                <w:szCs w:val="20"/>
              </w:rPr>
            </w:pPr>
            <w:r w:rsidRPr="004E77F7">
              <w:rPr>
                <w:rFonts w:ascii="Times New Roman" w:hAnsi="Times New Roman"/>
                <w:sz w:val="20"/>
                <w:szCs w:val="20"/>
              </w:rPr>
              <w:t>20.667.072</w:t>
            </w:r>
          </w:p>
        </w:tc>
      </w:tr>
      <w:tr w:rsidR="00970B5F" w:rsidRPr="00E70675" w:rsidTr="00E73FE1">
        <w:trPr>
          <w:trHeight w:val="288"/>
        </w:trPr>
        <w:tc>
          <w:tcPr>
            <w:tcW w:w="4077" w:type="dxa"/>
            <w:vMerge/>
            <w:shd w:val="clear" w:color="auto" w:fill="auto"/>
            <w:noWrap/>
            <w:vAlign w:val="center"/>
          </w:tcPr>
          <w:p w:rsidR="00970B5F" w:rsidRPr="000A23B4" w:rsidRDefault="00970B5F" w:rsidP="00E029A5">
            <w:pPr>
              <w:widowControl w:val="0"/>
              <w:tabs>
                <w:tab w:val="left" w:pos="622"/>
              </w:tabs>
              <w:spacing w:after="0" w:line="240" w:lineRule="auto"/>
              <w:rPr>
                <w:rFonts w:ascii="Times New Roman" w:eastAsia="AngsanaUPC" w:hAnsi="Times New Roman"/>
                <w:bCs/>
                <w:lang w:eastAsia="lt-LT"/>
              </w:rPr>
            </w:pPr>
          </w:p>
        </w:tc>
        <w:tc>
          <w:tcPr>
            <w:tcW w:w="993" w:type="dxa"/>
            <w:shd w:val="clear" w:color="auto" w:fill="auto"/>
            <w:noWrap/>
            <w:vAlign w:val="center"/>
          </w:tcPr>
          <w:p w:rsidR="00970B5F" w:rsidRPr="0043440A" w:rsidRDefault="00970B5F" w:rsidP="00E029A5">
            <w:pPr>
              <w:widowControl w:val="0"/>
              <w:tabs>
                <w:tab w:val="left" w:pos="622"/>
              </w:tabs>
              <w:spacing w:after="0" w:line="240" w:lineRule="auto"/>
              <w:jc w:val="center"/>
              <w:rPr>
                <w:rFonts w:ascii="Times New Roman" w:eastAsia="AngsanaUPC" w:hAnsi="Times New Roman"/>
                <w:bCs/>
                <w:lang w:eastAsia="lt-LT"/>
              </w:rPr>
            </w:pPr>
            <w:r w:rsidRPr="0043440A">
              <w:rPr>
                <w:rFonts w:ascii="Times New Roman" w:eastAsia="AngsanaUPC" w:hAnsi="Times New Roman"/>
                <w:bCs/>
                <w:lang w:eastAsia="lt-LT"/>
              </w:rPr>
              <w:t>SaF</w:t>
            </w:r>
          </w:p>
        </w:tc>
        <w:tc>
          <w:tcPr>
            <w:tcW w:w="1275" w:type="dxa"/>
            <w:vMerge/>
            <w:shd w:val="clear" w:color="auto" w:fill="auto"/>
            <w:noWrap/>
            <w:vAlign w:val="center"/>
          </w:tcPr>
          <w:p w:rsidR="00970B5F" w:rsidRPr="007E5052" w:rsidRDefault="00970B5F" w:rsidP="00E029A5">
            <w:pPr>
              <w:spacing w:after="0" w:line="240" w:lineRule="auto"/>
              <w:jc w:val="center"/>
              <w:rPr>
                <w:rFonts w:ascii="Times New Roman" w:eastAsia="AngsanaUPC" w:hAnsi="Times New Roman"/>
                <w:bCs/>
                <w:sz w:val="20"/>
                <w:szCs w:val="20"/>
                <w:lang w:eastAsia="lt-LT"/>
              </w:rPr>
            </w:pPr>
          </w:p>
        </w:tc>
        <w:tc>
          <w:tcPr>
            <w:tcW w:w="3969" w:type="dxa"/>
            <w:vMerge/>
            <w:shd w:val="clear" w:color="auto" w:fill="auto"/>
            <w:noWrap/>
            <w:vAlign w:val="center"/>
          </w:tcPr>
          <w:p w:rsidR="00970B5F" w:rsidRDefault="00970B5F" w:rsidP="00E029A5">
            <w:pPr>
              <w:widowControl w:val="0"/>
              <w:tabs>
                <w:tab w:val="left" w:pos="622"/>
              </w:tabs>
              <w:spacing w:after="0" w:line="240" w:lineRule="auto"/>
              <w:rPr>
                <w:rFonts w:ascii="Times New Roman" w:eastAsia="AngsanaUPC" w:hAnsi="Times New Roman"/>
                <w:bCs/>
                <w:lang w:eastAsia="lt-LT"/>
              </w:rPr>
            </w:pPr>
          </w:p>
        </w:tc>
        <w:tc>
          <w:tcPr>
            <w:tcW w:w="1560" w:type="dxa"/>
            <w:shd w:val="clear" w:color="auto" w:fill="auto"/>
            <w:noWrap/>
            <w:vAlign w:val="center"/>
          </w:tcPr>
          <w:p w:rsidR="00970B5F" w:rsidRPr="004E77F7" w:rsidRDefault="00970B5F" w:rsidP="00F07A57">
            <w:pPr>
              <w:widowControl w:val="0"/>
              <w:tabs>
                <w:tab w:val="left" w:pos="622"/>
              </w:tabs>
              <w:spacing w:after="0" w:line="240" w:lineRule="auto"/>
              <w:jc w:val="right"/>
              <w:rPr>
                <w:rFonts w:ascii="Times New Roman" w:eastAsia="AngsanaUPC" w:hAnsi="Times New Roman"/>
                <w:bCs/>
                <w:sz w:val="20"/>
                <w:szCs w:val="20"/>
                <w:lang w:eastAsia="lt-LT"/>
              </w:rPr>
            </w:pPr>
            <w:r w:rsidRPr="004E77F7">
              <w:rPr>
                <w:rFonts w:ascii="Times New Roman" w:eastAsia="AngsanaUPC" w:hAnsi="Times New Roman"/>
                <w:bCs/>
                <w:sz w:val="20"/>
                <w:szCs w:val="20"/>
                <w:lang w:eastAsia="lt-LT"/>
              </w:rPr>
              <w:t>104.842.447</w:t>
            </w:r>
          </w:p>
        </w:tc>
        <w:tc>
          <w:tcPr>
            <w:tcW w:w="1417" w:type="dxa"/>
            <w:shd w:val="clear" w:color="auto" w:fill="auto"/>
            <w:noWrap/>
            <w:vAlign w:val="center"/>
          </w:tcPr>
          <w:p w:rsidR="00970B5F" w:rsidRPr="004E77F7" w:rsidRDefault="00970B5F" w:rsidP="00F07A57">
            <w:pPr>
              <w:spacing w:after="0" w:line="240" w:lineRule="auto"/>
              <w:jc w:val="right"/>
              <w:rPr>
                <w:rFonts w:ascii="Times New Roman" w:hAnsi="Times New Roman"/>
                <w:sz w:val="20"/>
                <w:szCs w:val="20"/>
              </w:rPr>
            </w:pPr>
            <w:r w:rsidRPr="004E77F7">
              <w:rPr>
                <w:rFonts w:ascii="Times New Roman" w:hAnsi="Times New Roman"/>
                <w:sz w:val="20"/>
                <w:szCs w:val="20"/>
              </w:rPr>
              <w:t>18.501.608</w:t>
            </w:r>
          </w:p>
        </w:tc>
        <w:tc>
          <w:tcPr>
            <w:tcW w:w="1418" w:type="dxa"/>
            <w:shd w:val="clear" w:color="auto" w:fill="auto"/>
            <w:noWrap/>
            <w:vAlign w:val="center"/>
          </w:tcPr>
          <w:p w:rsidR="00970B5F" w:rsidRPr="004E77F7" w:rsidRDefault="00970B5F" w:rsidP="00F07A57">
            <w:pPr>
              <w:spacing w:after="0" w:line="240" w:lineRule="auto"/>
              <w:jc w:val="right"/>
              <w:rPr>
                <w:rFonts w:ascii="Times New Roman" w:hAnsi="Times New Roman"/>
                <w:sz w:val="20"/>
                <w:szCs w:val="20"/>
              </w:rPr>
            </w:pPr>
            <w:r w:rsidRPr="004E77F7">
              <w:rPr>
                <w:rFonts w:ascii="Times New Roman" w:hAnsi="Times New Roman"/>
                <w:sz w:val="20"/>
                <w:szCs w:val="20"/>
              </w:rPr>
              <w:t>123.344.055</w:t>
            </w:r>
          </w:p>
        </w:tc>
      </w:tr>
      <w:tr w:rsidR="00F07A57" w:rsidRPr="00E70675" w:rsidTr="00C76808">
        <w:trPr>
          <w:trHeight w:val="262"/>
        </w:trPr>
        <w:tc>
          <w:tcPr>
            <w:tcW w:w="4077" w:type="dxa"/>
            <w:vMerge/>
            <w:shd w:val="clear" w:color="auto" w:fill="auto"/>
            <w:noWrap/>
            <w:vAlign w:val="center"/>
          </w:tcPr>
          <w:p w:rsidR="00F07A57" w:rsidRPr="000A23B4" w:rsidRDefault="00F07A57" w:rsidP="00E029A5">
            <w:pPr>
              <w:widowControl w:val="0"/>
              <w:tabs>
                <w:tab w:val="left" w:pos="622"/>
              </w:tabs>
              <w:spacing w:after="0" w:line="240" w:lineRule="auto"/>
              <w:rPr>
                <w:rFonts w:ascii="Times New Roman" w:eastAsia="AngsanaUPC" w:hAnsi="Times New Roman"/>
                <w:bCs/>
                <w:lang w:eastAsia="lt-LT"/>
              </w:rPr>
            </w:pPr>
          </w:p>
        </w:tc>
        <w:tc>
          <w:tcPr>
            <w:tcW w:w="993" w:type="dxa"/>
            <w:shd w:val="clear" w:color="auto" w:fill="auto"/>
            <w:noWrap/>
            <w:vAlign w:val="center"/>
          </w:tcPr>
          <w:p w:rsidR="00F07A57" w:rsidRPr="0043440A" w:rsidRDefault="00F07A57" w:rsidP="00E029A5">
            <w:pPr>
              <w:widowControl w:val="0"/>
              <w:tabs>
                <w:tab w:val="left" w:pos="622"/>
              </w:tabs>
              <w:spacing w:after="0" w:line="240" w:lineRule="auto"/>
              <w:jc w:val="center"/>
              <w:rPr>
                <w:rFonts w:ascii="Times New Roman" w:eastAsia="AngsanaUPC" w:hAnsi="Times New Roman"/>
                <w:bCs/>
                <w:lang w:eastAsia="lt-LT"/>
              </w:rPr>
            </w:pPr>
            <w:r w:rsidRPr="0043440A">
              <w:rPr>
                <w:rFonts w:ascii="Times New Roman" w:eastAsia="AngsanaUPC" w:hAnsi="Times New Roman"/>
                <w:bCs/>
                <w:lang w:eastAsia="lt-LT"/>
              </w:rPr>
              <w:t>ERPF</w:t>
            </w:r>
          </w:p>
        </w:tc>
        <w:tc>
          <w:tcPr>
            <w:tcW w:w="1275" w:type="dxa"/>
            <w:vMerge/>
            <w:shd w:val="clear" w:color="auto" w:fill="auto"/>
            <w:noWrap/>
            <w:vAlign w:val="center"/>
          </w:tcPr>
          <w:p w:rsidR="00F07A57" w:rsidRPr="007E5052" w:rsidRDefault="00F07A57" w:rsidP="00E029A5">
            <w:pPr>
              <w:spacing w:after="0" w:line="240" w:lineRule="auto"/>
              <w:jc w:val="center"/>
              <w:rPr>
                <w:rFonts w:ascii="Times New Roman" w:eastAsia="AngsanaUPC" w:hAnsi="Times New Roman"/>
                <w:bCs/>
                <w:sz w:val="20"/>
                <w:szCs w:val="20"/>
                <w:lang w:eastAsia="lt-LT"/>
              </w:rPr>
            </w:pPr>
          </w:p>
        </w:tc>
        <w:tc>
          <w:tcPr>
            <w:tcW w:w="3969" w:type="dxa"/>
            <w:vMerge w:val="restart"/>
            <w:shd w:val="clear" w:color="auto" w:fill="auto"/>
            <w:noWrap/>
            <w:vAlign w:val="center"/>
          </w:tcPr>
          <w:p w:rsidR="00F07A57" w:rsidRDefault="00F07A57" w:rsidP="00E029A5">
            <w:pPr>
              <w:widowControl w:val="0"/>
              <w:tabs>
                <w:tab w:val="left" w:pos="622"/>
              </w:tabs>
              <w:spacing w:after="0" w:line="240" w:lineRule="auto"/>
              <w:rPr>
                <w:rFonts w:ascii="Times New Roman" w:eastAsia="AngsanaUPC" w:hAnsi="Times New Roman"/>
                <w:bCs/>
                <w:lang w:eastAsia="lt-LT"/>
              </w:rPr>
            </w:pPr>
            <w:r>
              <w:rPr>
                <w:rFonts w:ascii="Times New Roman" w:eastAsia="AngsanaUPC" w:hAnsi="Times New Roman"/>
                <w:bCs/>
                <w:lang w:eastAsia="lt-LT"/>
              </w:rPr>
              <w:t>6.</w:t>
            </w:r>
            <w:r w:rsidRPr="00650318">
              <w:rPr>
                <w:rFonts w:ascii="Times New Roman" w:eastAsia="AngsanaUPC" w:hAnsi="Times New Roman"/>
                <w:bCs/>
                <w:lang w:eastAsia="lt-LT"/>
              </w:rPr>
              <w:t xml:space="preserve"> </w:t>
            </w:r>
            <w:r>
              <w:rPr>
                <w:rFonts w:ascii="Times New Roman" w:eastAsia="AngsanaUPC" w:hAnsi="Times New Roman"/>
                <w:bCs/>
                <w:lang w:eastAsia="lt-LT"/>
              </w:rPr>
              <w:t>A</w:t>
            </w:r>
            <w:r w:rsidRPr="00650318">
              <w:rPr>
                <w:rFonts w:ascii="Times New Roman" w:eastAsia="AngsanaUPC" w:hAnsi="Times New Roman"/>
                <w:bCs/>
                <w:lang w:eastAsia="lt-LT"/>
              </w:rPr>
              <w:t>plinkosauga ir išteklių naudojimo veiksmingumo skatinimas</w:t>
            </w:r>
          </w:p>
        </w:tc>
        <w:tc>
          <w:tcPr>
            <w:tcW w:w="1560" w:type="dxa"/>
            <w:shd w:val="clear" w:color="auto" w:fill="auto"/>
            <w:noWrap/>
          </w:tcPr>
          <w:p w:rsidR="00F07A57" w:rsidRPr="004E77F7" w:rsidRDefault="00F07A57" w:rsidP="0080115A">
            <w:pPr>
              <w:widowControl w:val="0"/>
              <w:shd w:val="clear" w:color="auto" w:fill="FFFFFF"/>
              <w:spacing w:after="0" w:line="240" w:lineRule="auto"/>
              <w:jc w:val="right"/>
              <w:textAlignment w:val="baseline"/>
              <w:rPr>
                <w:rFonts w:ascii="Times New Roman" w:eastAsia="Times New Roman" w:hAnsi="Times New Roman"/>
                <w:strike/>
                <w:color w:val="000000"/>
                <w:sz w:val="20"/>
                <w:szCs w:val="20"/>
              </w:rPr>
            </w:pPr>
            <w:r w:rsidRPr="004E77F7">
              <w:rPr>
                <w:rFonts w:ascii="Times New Roman" w:eastAsia="Times New Roman" w:hAnsi="Times New Roman"/>
                <w:color w:val="000000"/>
                <w:sz w:val="20"/>
                <w:szCs w:val="20"/>
              </w:rPr>
              <w:t>18</w:t>
            </w:r>
            <w:r w:rsidR="0080115A" w:rsidRPr="004E77F7">
              <w:rPr>
                <w:rFonts w:ascii="Times New Roman" w:eastAsia="Times New Roman" w:hAnsi="Times New Roman"/>
                <w:color w:val="000000"/>
                <w:sz w:val="20"/>
                <w:szCs w:val="20"/>
              </w:rPr>
              <w:t>0</w:t>
            </w:r>
            <w:r w:rsidRPr="004E77F7">
              <w:rPr>
                <w:rFonts w:ascii="Times New Roman" w:eastAsia="Times New Roman" w:hAnsi="Times New Roman"/>
                <w:color w:val="000000"/>
                <w:sz w:val="20"/>
                <w:szCs w:val="20"/>
              </w:rPr>
              <w:t>.</w:t>
            </w:r>
            <w:r w:rsidR="0080115A" w:rsidRPr="004E77F7">
              <w:rPr>
                <w:rFonts w:ascii="Times New Roman" w:eastAsia="Times New Roman" w:hAnsi="Times New Roman"/>
                <w:color w:val="000000"/>
                <w:sz w:val="20"/>
                <w:szCs w:val="20"/>
              </w:rPr>
              <w:t>513</w:t>
            </w:r>
            <w:r w:rsidRPr="004E77F7">
              <w:rPr>
                <w:rFonts w:ascii="Times New Roman" w:eastAsia="Times New Roman" w:hAnsi="Times New Roman"/>
                <w:color w:val="000000"/>
                <w:sz w:val="20"/>
                <w:szCs w:val="20"/>
              </w:rPr>
              <w:t>.699</w:t>
            </w:r>
          </w:p>
        </w:tc>
        <w:tc>
          <w:tcPr>
            <w:tcW w:w="1417" w:type="dxa"/>
            <w:shd w:val="clear" w:color="auto" w:fill="auto"/>
            <w:noWrap/>
          </w:tcPr>
          <w:p w:rsidR="00F07A57" w:rsidRPr="004E77F7" w:rsidRDefault="00F07A57" w:rsidP="0080115A">
            <w:pPr>
              <w:widowControl w:val="0"/>
              <w:shd w:val="clear" w:color="auto" w:fill="FFFFFF"/>
              <w:spacing w:after="0" w:line="240" w:lineRule="auto"/>
              <w:jc w:val="right"/>
              <w:textAlignment w:val="baseline"/>
              <w:rPr>
                <w:rFonts w:ascii="Times New Roman" w:eastAsia="Times New Roman" w:hAnsi="Times New Roman"/>
                <w:strike/>
                <w:color w:val="000000"/>
                <w:sz w:val="20"/>
                <w:szCs w:val="20"/>
              </w:rPr>
            </w:pPr>
            <w:r w:rsidRPr="004E77F7">
              <w:rPr>
                <w:rFonts w:ascii="Times New Roman" w:eastAsia="Times New Roman" w:hAnsi="Times New Roman"/>
                <w:color w:val="000000"/>
                <w:sz w:val="20"/>
                <w:szCs w:val="20"/>
              </w:rPr>
              <w:t>3</w:t>
            </w:r>
            <w:r w:rsidR="0080115A" w:rsidRPr="004E77F7">
              <w:rPr>
                <w:rFonts w:ascii="Times New Roman" w:eastAsia="Times New Roman" w:hAnsi="Times New Roman"/>
                <w:color w:val="000000"/>
                <w:sz w:val="20"/>
                <w:szCs w:val="20"/>
              </w:rPr>
              <w:t>1</w:t>
            </w:r>
            <w:r w:rsidRPr="004E77F7">
              <w:rPr>
                <w:rFonts w:ascii="Times New Roman" w:eastAsia="Times New Roman" w:hAnsi="Times New Roman"/>
                <w:color w:val="000000"/>
                <w:sz w:val="20"/>
                <w:szCs w:val="20"/>
              </w:rPr>
              <w:t>.</w:t>
            </w:r>
            <w:r w:rsidR="0080115A" w:rsidRPr="004E77F7">
              <w:rPr>
                <w:rFonts w:ascii="Times New Roman" w:eastAsia="Times New Roman" w:hAnsi="Times New Roman"/>
                <w:color w:val="000000"/>
                <w:sz w:val="20"/>
                <w:szCs w:val="20"/>
              </w:rPr>
              <w:t>855</w:t>
            </w:r>
            <w:r w:rsidRPr="004E77F7">
              <w:rPr>
                <w:rFonts w:ascii="Times New Roman" w:eastAsia="Times New Roman" w:hAnsi="Times New Roman"/>
                <w:color w:val="000000"/>
                <w:sz w:val="20"/>
                <w:szCs w:val="20"/>
              </w:rPr>
              <w:t>.3</w:t>
            </w:r>
            <w:r w:rsidR="0080115A" w:rsidRPr="004E77F7">
              <w:rPr>
                <w:rFonts w:ascii="Times New Roman" w:eastAsia="Times New Roman" w:hAnsi="Times New Roman"/>
                <w:color w:val="000000"/>
                <w:sz w:val="20"/>
                <w:szCs w:val="20"/>
              </w:rPr>
              <w:t>58</w:t>
            </w:r>
          </w:p>
        </w:tc>
        <w:tc>
          <w:tcPr>
            <w:tcW w:w="1418" w:type="dxa"/>
            <w:shd w:val="clear" w:color="auto" w:fill="auto"/>
            <w:noWrap/>
          </w:tcPr>
          <w:p w:rsidR="00F07A57" w:rsidRPr="004E77F7" w:rsidRDefault="00F07A57" w:rsidP="0080115A">
            <w:pPr>
              <w:widowControl w:val="0"/>
              <w:shd w:val="clear" w:color="auto" w:fill="FFFFFF"/>
              <w:spacing w:after="0" w:line="240" w:lineRule="auto"/>
              <w:jc w:val="right"/>
              <w:textAlignment w:val="baseline"/>
              <w:rPr>
                <w:rFonts w:ascii="Times New Roman" w:eastAsia="Times New Roman" w:hAnsi="Times New Roman"/>
                <w:strike/>
                <w:color w:val="000000"/>
                <w:sz w:val="20"/>
                <w:szCs w:val="20"/>
              </w:rPr>
            </w:pPr>
            <w:r w:rsidRPr="004E77F7">
              <w:rPr>
                <w:rFonts w:ascii="Times New Roman" w:eastAsia="Times New Roman" w:hAnsi="Times New Roman"/>
                <w:color w:val="000000"/>
                <w:sz w:val="20"/>
                <w:szCs w:val="20"/>
              </w:rPr>
              <w:t>2</w:t>
            </w:r>
            <w:r w:rsidR="0080115A" w:rsidRPr="004E77F7">
              <w:rPr>
                <w:rFonts w:ascii="Times New Roman" w:eastAsia="Times New Roman" w:hAnsi="Times New Roman"/>
                <w:color w:val="000000"/>
                <w:sz w:val="20"/>
                <w:szCs w:val="20"/>
              </w:rPr>
              <w:t>12</w:t>
            </w:r>
            <w:r w:rsidRPr="004E77F7">
              <w:rPr>
                <w:rFonts w:ascii="Times New Roman" w:eastAsia="Times New Roman" w:hAnsi="Times New Roman"/>
                <w:color w:val="000000"/>
                <w:sz w:val="20"/>
                <w:szCs w:val="20"/>
              </w:rPr>
              <w:t>.</w:t>
            </w:r>
            <w:r w:rsidR="0080115A" w:rsidRPr="004E77F7">
              <w:rPr>
                <w:rFonts w:ascii="Times New Roman" w:eastAsia="Times New Roman" w:hAnsi="Times New Roman"/>
                <w:color w:val="000000"/>
                <w:sz w:val="20"/>
                <w:szCs w:val="20"/>
              </w:rPr>
              <w:t>369</w:t>
            </w:r>
            <w:r w:rsidRPr="004E77F7">
              <w:rPr>
                <w:rFonts w:ascii="Times New Roman" w:eastAsia="Times New Roman" w:hAnsi="Times New Roman"/>
                <w:color w:val="000000"/>
                <w:sz w:val="20"/>
                <w:szCs w:val="20"/>
              </w:rPr>
              <w:t>.</w:t>
            </w:r>
            <w:r w:rsidR="0080115A" w:rsidRPr="004E77F7">
              <w:rPr>
                <w:rFonts w:ascii="Times New Roman" w:eastAsia="Times New Roman" w:hAnsi="Times New Roman"/>
                <w:color w:val="000000"/>
                <w:sz w:val="20"/>
                <w:szCs w:val="20"/>
              </w:rPr>
              <w:t>057</w:t>
            </w:r>
          </w:p>
        </w:tc>
      </w:tr>
      <w:tr w:rsidR="00970B5F" w:rsidRPr="00E70675" w:rsidTr="00E73FE1">
        <w:trPr>
          <w:trHeight w:val="263"/>
        </w:trPr>
        <w:tc>
          <w:tcPr>
            <w:tcW w:w="4077" w:type="dxa"/>
            <w:vMerge/>
            <w:shd w:val="clear" w:color="auto" w:fill="auto"/>
            <w:noWrap/>
            <w:vAlign w:val="center"/>
          </w:tcPr>
          <w:p w:rsidR="00970B5F" w:rsidRPr="000A23B4" w:rsidRDefault="00970B5F" w:rsidP="00E029A5">
            <w:pPr>
              <w:widowControl w:val="0"/>
              <w:tabs>
                <w:tab w:val="left" w:pos="622"/>
              </w:tabs>
              <w:spacing w:after="0" w:line="240" w:lineRule="auto"/>
              <w:rPr>
                <w:rFonts w:ascii="Times New Roman" w:eastAsia="AngsanaUPC" w:hAnsi="Times New Roman"/>
                <w:bCs/>
                <w:lang w:eastAsia="lt-LT"/>
              </w:rPr>
            </w:pPr>
          </w:p>
        </w:tc>
        <w:tc>
          <w:tcPr>
            <w:tcW w:w="993" w:type="dxa"/>
            <w:shd w:val="clear" w:color="auto" w:fill="auto"/>
            <w:noWrap/>
            <w:vAlign w:val="center"/>
          </w:tcPr>
          <w:p w:rsidR="00970B5F" w:rsidRPr="0043440A" w:rsidRDefault="00970B5F" w:rsidP="00E029A5">
            <w:pPr>
              <w:widowControl w:val="0"/>
              <w:tabs>
                <w:tab w:val="left" w:pos="622"/>
              </w:tabs>
              <w:spacing w:after="0" w:line="240" w:lineRule="auto"/>
              <w:jc w:val="center"/>
              <w:rPr>
                <w:rFonts w:ascii="Times New Roman" w:eastAsia="AngsanaUPC" w:hAnsi="Times New Roman"/>
                <w:bCs/>
                <w:lang w:eastAsia="lt-LT"/>
              </w:rPr>
            </w:pPr>
            <w:r w:rsidRPr="0043440A">
              <w:rPr>
                <w:rFonts w:ascii="Times New Roman" w:eastAsia="AngsanaUPC" w:hAnsi="Times New Roman"/>
                <w:bCs/>
                <w:lang w:eastAsia="lt-LT"/>
              </w:rPr>
              <w:t>SaF</w:t>
            </w:r>
          </w:p>
        </w:tc>
        <w:tc>
          <w:tcPr>
            <w:tcW w:w="1275" w:type="dxa"/>
            <w:vMerge/>
            <w:shd w:val="clear" w:color="auto" w:fill="auto"/>
            <w:noWrap/>
            <w:vAlign w:val="center"/>
          </w:tcPr>
          <w:p w:rsidR="00970B5F" w:rsidRPr="007E5052" w:rsidRDefault="00970B5F" w:rsidP="00E029A5">
            <w:pPr>
              <w:spacing w:after="0" w:line="240" w:lineRule="auto"/>
              <w:jc w:val="center"/>
              <w:rPr>
                <w:rFonts w:ascii="Times New Roman" w:eastAsia="AngsanaUPC" w:hAnsi="Times New Roman"/>
                <w:bCs/>
                <w:sz w:val="20"/>
                <w:szCs w:val="20"/>
                <w:lang w:eastAsia="lt-LT"/>
              </w:rPr>
            </w:pPr>
          </w:p>
        </w:tc>
        <w:tc>
          <w:tcPr>
            <w:tcW w:w="3969" w:type="dxa"/>
            <w:vMerge/>
            <w:shd w:val="clear" w:color="auto" w:fill="auto"/>
            <w:noWrap/>
            <w:vAlign w:val="center"/>
          </w:tcPr>
          <w:p w:rsidR="00970B5F" w:rsidRDefault="00970B5F" w:rsidP="00E029A5">
            <w:pPr>
              <w:widowControl w:val="0"/>
              <w:tabs>
                <w:tab w:val="left" w:pos="622"/>
              </w:tabs>
              <w:spacing w:after="0" w:line="240" w:lineRule="auto"/>
              <w:rPr>
                <w:rFonts w:ascii="Times New Roman" w:eastAsia="AngsanaUPC" w:hAnsi="Times New Roman"/>
                <w:bCs/>
                <w:lang w:eastAsia="lt-LT"/>
              </w:rPr>
            </w:pPr>
          </w:p>
        </w:tc>
        <w:tc>
          <w:tcPr>
            <w:tcW w:w="1560" w:type="dxa"/>
            <w:shd w:val="clear" w:color="auto" w:fill="auto"/>
            <w:noWrap/>
            <w:vAlign w:val="center"/>
          </w:tcPr>
          <w:p w:rsidR="00970B5F" w:rsidRPr="004E77F7" w:rsidRDefault="00662B05" w:rsidP="0080115A">
            <w:pPr>
              <w:widowControl w:val="0"/>
              <w:tabs>
                <w:tab w:val="left" w:pos="622"/>
              </w:tabs>
              <w:spacing w:after="0" w:line="240" w:lineRule="auto"/>
              <w:jc w:val="right"/>
              <w:rPr>
                <w:rFonts w:ascii="Times New Roman" w:eastAsia="AngsanaUPC" w:hAnsi="Times New Roman"/>
                <w:bCs/>
                <w:sz w:val="20"/>
                <w:szCs w:val="20"/>
                <w:lang w:eastAsia="lt-LT"/>
              </w:rPr>
            </w:pPr>
            <w:r w:rsidRPr="004E77F7">
              <w:rPr>
                <w:rFonts w:ascii="Times New Roman" w:eastAsia="AngsanaUPC" w:hAnsi="Times New Roman"/>
                <w:bCs/>
                <w:sz w:val="20"/>
                <w:szCs w:val="20"/>
                <w:lang w:eastAsia="lt-LT"/>
              </w:rPr>
              <w:t>608.157.440</w:t>
            </w:r>
          </w:p>
        </w:tc>
        <w:tc>
          <w:tcPr>
            <w:tcW w:w="1417" w:type="dxa"/>
            <w:shd w:val="clear" w:color="auto" w:fill="auto"/>
            <w:noWrap/>
            <w:vAlign w:val="center"/>
          </w:tcPr>
          <w:p w:rsidR="00970B5F" w:rsidRPr="004E77F7" w:rsidRDefault="00662B05" w:rsidP="0080115A">
            <w:pPr>
              <w:spacing w:after="0" w:line="240" w:lineRule="auto"/>
              <w:jc w:val="right"/>
              <w:rPr>
                <w:rFonts w:ascii="Times New Roman" w:hAnsi="Times New Roman"/>
                <w:sz w:val="20"/>
                <w:szCs w:val="20"/>
              </w:rPr>
            </w:pPr>
            <w:r w:rsidRPr="004E77F7">
              <w:rPr>
                <w:rFonts w:ascii="Times New Roman" w:hAnsi="Times New Roman"/>
                <w:sz w:val="20"/>
                <w:szCs w:val="20"/>
              </w:rPr>
              <w:t>107.321.902</w:t>
            </w:r>
          </w:p>
        </w:tc>
        <w:tc>
          <w:tcPr>
            <w:tcW w:w="1418" w:type="dxa"/>
            <w:shd w:val="clear" w:color="auto" w:fill="auto"/>
            <w:noWrap/>
            <w:vAlign w:val="center"/>
          </w:tcPr>
          <w:p w:rsidR="00970B5F" w:rsidRPr="004E77F7" w:rsidRDefault="00662B05" w:rsidP="0080115A">
            <w:pPr>
              <w:spacing w:after="0" w:line="240" w:lineRule="auto"/>
              <w:jc w:val="right"/>
              <w:rPr>
                <w:rFonts w:ascii="Times New Roman" w:hAnsi="Times New Roman"/>
                <w:sz w:val="20"/>
                <w:szCs w:val="20"/>
              </w:rPr>
            </w:pPr>
            <w:r w:rsidRPr="004E77F7">
              <w:rPr>
                <w:rFonts w:ascii="Times New Roman" w:hAnsi="Times New Roman"/>
                <w:sz w:val="20"/>
                <w:szCs w:val="20"/>
              </w:rPr>
              <w:t>715.479.342</w:t>
            </w:r>
          </w:p>
        </w:tc>
      </w:tr>
      <w:tr w:rsidR="00F07A57" w:rsidRPr="00E70675" w:rsidTr="00C76808">
        <w:trPr>
          <w:trHeight w:val="300"/>
        </w:trPr>
        <w:tc>
          <w:tcPr>
            <w:tcW w:w="10314" w:type="dxa"/>
            <w:gridSpan w:val="4"/>
            <w:shd w:val="clear" w:color="auto" w:fill="auto"/>
            <w:noWrap/>
          </w:tcPr>
          <w:p w:rsidR="00F07A57" w:rsidRPr="00EF10E2" w:rsidRDefault="00F07A57" w:rsidP="00372448">
            <w:pPr>
              <w:widowControl w:val="0"/>
              <w:tabs>
                <w:tab w:val="left" w:pos="622"/>
              </w:tabs>
              <w:spacing w:after="0" w:line="240" w:lineRule="auto"/>
              <w:rPr>
                <w:rFonts w:ascii="Times New Roman" w:eastAsia="AngsanaUPC" w:hAnsi="Times New Roman"/>
                <w:b/>
                <w:bCs/>
                <w:lang w:eastAsia="lt-LT"/>
              </w:rPr>
            </w:pPr>
            <w:r w:rsidRPr="00EF10E2">
              <w:rPr>
                <w:rFonts w:ascii="Times New Roman" w:eastAsia="AngsanaUPC" w:hAnsi="Times New Roman"/>
                <w:b/>
                <w:bCs/>
                <w:iCs/>
                <w:lang w:eastAsia="lt-LT"/>
              </w:rPr>
              <w:t>Viso</w:t>
            </w:r>
          </w:p>
        </w:tc>
        <w:tc>
          <w:tcPr>
            <w:tcW w:w="1560" w:type="dxa"/>
            <w:shd w:val="clear" w:color="auto" w:fill="auto"/>
            <w:noWrap/>
          </w:tcPr>
          <w:p w:rsidR="00F07A57" w:rsidRPr="004E77F7" w:rsidRDefault="00662B05" w:rsidP="0080115A">
            <w:pPr>
              <w:widowControl w:val="0"/>
              <w:shd w:val="clear" w:color="auto" w:fill="FFFFFF"/>
              <w:spacing w:after="0" w:line="240" w:lineRule="auto"/>
              <w:jc w:val="right"/>
              <w:textAlignment w:val="baseline"/>
              <w:rPr>
                <w:rFonts w:ascii="Times New Roman" w:eastAsia="Times New Roman" w:hAnsi="Times New Roman"/>
                <w:strike/>
                <w:color w:val="000000"/>
                <w:sz w:val="20"/>
                <w:szCs w:val="20"/>
              </w:rPr>
            </w:pPr>
            <w:r w:rsidRPr="004E77F7">
              <w:rPr>
                <w:rFonts w:ascii="Times New Roman" w:eastAsia="Times New Roman" w:hAnsi="Times New Roman"/>
                <w:b/>
                <w:color w:val="000000"/>
                <w:sz w:val="20"/>
                <w:szCs w:val="20"/>
              </w:rPr>
              <w:t>911.080.596</w:t>
            </w:r>
          </w:p>
        </w:tc>
        <w:tc>
          <w:tcPr>
            <w:tcW w:w="1417" w:type="dxa"/>
            <w:shd w:val="clear" w:color="auto" w:fill="auto"/>
            <w:noWrap/>
          </w:tcPr>
          <w:p w:rsidR="00F07A57" w:rsidRPr="004E77F7" w:rsidRDefault="00662B05" w:rsidP="0080115A">
            <w:pPr>
              <w:widowControl w:val="0"/>
              <w:shd w:val="clear" w:color="auto" w:fill="FFFFFF"/>
              <w:spacing w:after="0" w:line="240" w:lineRule="auto"/>
              <w:jc w:val="right"/>
              <w:textAlignment w:val="baseline"/>
              <w:rPr>
                <w:rFonts w:ascii="Times New Roman" w:eastAsia="Times New Roman" w:hAnsi="Times New Roman"/>
                <w:strike/>
                <w:color w:val="000000"/>
                <w:sz w:val="20"/>
                <w:szCs w:val="20"/>
              </w:rPr>
            </w:pPr>
            <w:r w:rsidRPr="004E77F7">
              <w:rPr>
                <w:rFonts w:ascii="Times New Roman" w:eastAsia="Times New Roman" w:hAnsi="Times New Roman"/>
                <w:b/>
                <w:color w:val="000000"/>
                <w:sz w:val="20"/>
                <w:szCs w:val="20"/>
              </w:rPr>
              <w:t>160.778.930</w:t>
            </w:r>
          </w:p>
        </w:tc>
        <w:tc>
          <w:tcPr>
            <w:tcW w:w="1418" w:type="dxa"/>
            <w:shd w:val="clear" w:color="auto" w:fill="auto"/>
            <w:noWrap/>
          </w:tcPr>
          <w:p w:rsidR="00F07A57" w:rsidRPr="004E77F7" w:rsidRDefault="00662B05" w:rsidP="0080115A">
            <w:pPr>
              <w:widowControl w:val="0"/>
              <w:shd w:val="clear" w:color="auto" w:fill="FFFFFF"/>
              <w:spacing w:after="0" w:line="240" w:lineRule="auto"/>
              <w:jc w:val="right"/>
              <w:textAlignment w:val="baseline"/>
              <w:rPr>
                <w:rFonts w:ascii="Times New Roman" w:eastAsia="Times New Roman" w:hAnsi="Times New Roman"/>
                <w:strike/>
                <w:color w:val="000000"/>
                <w:sz w:val="20"/>
                <w:szCs w:val="20"/>
              </w:rPr>
            </w:pPr>
            <w:r w:rsidRPr="004E77F7">
              <w:rPr>
                <w:rFonts w:ascii="Times New Roman" w:eastAsia="Times New Roman" w:hAnsi="Times New Roman"/>
                <w:b/>
                <w:color w:val="000000"/>
                <w:sz w:val="20"/>
                <w:szCs w:val="20"/>
              </w:rPr>
              <w:t>1.071.859.526</w:t>
            </w:r>
          </w:p>
        </w:tc>
      </w:tr>
    </w:tbl>
    <w:p w:rsidR="00DE7193" w:rsidRPr="00E70675" w:rsidRDefault="00DE7193" w:rsidP="00E70675">
      <w:pPr>
        <w:widowControl w:val="0"/>
        <w:tabs>
          <w:tab w:val="left" w:pos="622"/>
        </w:tabs>
        <w:spacing w:after="0" w:line="240" w:lineRule="auto"/>
        <w:jc w:val="both"/>
        <w:rPr>
          <w:rFonts w:ascii="Times New Roman" w:eastAsia="AngsanaUPC" w:hAnsi="Times New Roman"/>
          <w:b/>
          <w:bCs/>
          <w:sz w:val="24"/>
          <w:szCs w:val="24"/>
          <w:lang w:eastAsia="lt-LT"/>
        </w:rPr>
      </w:pPr>
    </w:p>
    <w:p w:rsidR="006539D0" w:rsidRPr="00E73FE1" w:rsidRDefault="00837AE7" w:rsidP="00254EEE">
      <w:pPr>
        <w:widowControl w:val="0"/>
        <w:tabs>
          <w:tab w:val="left" w:pos="622"/>
        </w:tabs>
        <w:spacing w:after="0" w:line="240" w:lineRule="auto"/>
        <w:jc w:val="both"/>
        <w:rPr>
          <w:rFonts w:ascii="Times New Roman" w:eastAsia="AngsanaUPC" w:hAnsi="Times New Roman"/>
          <w:b/>
          <w:bCs/>
          <w:szCs w:val="24"/>
          <w:lang w:eastAsia="lt-LT"/>
        </w:rPr>
      </w:pPr>
      <w:r w:rsidRPr="00E73FE1">
        <w:rPr>
          <w:rFonts w:ascii="Times New Roman" w:eastAsia="AngsanaUPC" w:hAnsi="Times New Roman"/>
          <w:bCs/>
          <w:i/>
          <w:szCs w:val="24"/>
          <w:lang w:eastAsia="lt-LT"/>
        </w:rPr>
        <w:t>7 lentelė.</w:t>
      </w:r>
      <w:r w:rsidRPr="00DE7193">
        <w:rPr>
          <w:rFonts w:ascii="Times New Roman" w:eastAsia="AngsanaUPC" w:hAnsi="Times New Roman"/>
          <w:b/>
          <w:bCs/>
          <w:szCs w:val="24"/>
          <w:lang w:eastAsia="lt-LT"/>
        </w:rPr>
        <w:t xml:space="preserve"> </w:t>
      </w:r>
      <w:r w:rsidR="00AE05E1" w:rsidRPr="00E73FE1">
        <w:rPr>
          <w:rFonts w:ascii="Times New Roman" w:eastAsia="AngsanaUPC" w:hAnsi="Times New Roman"/>
          <w:b/>
          <w:bCs/>
          <w:szCs w:val="24"/>
          <w:lang w:eastAsia="lt-LT"/>
        </w:rPr>
        <w:t>Planuojama suma klimato kaitos tikslams</w:t>
      </w:r>
      <w:r w:rsidR="003E0F8A" w:rsidRPr="00E73FE1">
        <w:rPr>
          <w:rFonts w:ascii="Times New Roman" w:eastAsia="AngsanaUPC" w:hAnsi="Times New Roman"/>
          <w:b/>
          <w:bCs/>
          <w:szCs w:val="24"/>
          <w:lang w:eastAsia="lt-LT"/>
        </w:rPr>
        <w:t>, (eurais)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gridCol w:w="3119"/>
        <w:gridCol w:w="3054"/>
      </w:tblGrid>
      <w:tr w:rsidR="00A45A2A" w:rsidRPr="00A45A2A" w:rsidTr="003D0B34">
        <w:tc>
          <w:tcPr>
            <w:tcW w:w="8647" w:type="dxa"/>
            <w:shd w:val="clear" w:color="auto" w:fill="EEECE1"/>
            <w:vAlign w:val="center"/>
          </w:tcPr>
          <w:p w:rsidR="00A45A2A" w:rsidRPr="00DE7193" w:rsidRDefault="00A45A2A" w:rsidP="00A45A2A">
            <w:pPr>
              <w:widowControl w:val="0"/>
              <w:tabs>
                <w:tab w:val="left" w:pos="622"/>
              </w:tabs>
              <w:spacing w:after="0" w:line="240" w:lineRule="auto"/>
              <w:jc w:val="center"/>
              <w:rPr>
                <w:rFonts w:ascii="Times New Roman" w:eastAsia="AngsanaUPC" w:hAnsi="Times New Roman"/>
                <w:b/>
                <w:bCs/>
                <w:szCs w:val="24"/>
                <w:lang w:eastAsia="lt-LT"/>
              </w:rPr>
            </w:pPr>
            <w:r w:rsidRPr="00DE7193">
              <w:rPr>
                <w:rFonts w:ascii="Times New Roman" w:eastAsia="AngsanaUPC" w:hAnsi="Times New Roman"/>
                <w:b/>
                <w:bCs/>
                <w:szCs w:val="24"/>
                <w:lang w:eastAsia="lt-LT"/>
              </w:rPr>
              <w:t>Prioritetas</w:t>
            </w:r>
          </w:p>
        </w:tc>
        <w:tc>
          <w:tcPr>
            <w:tcW w:w="3119" w:type="dxa"/>
            <w:shd w:val="clear" w:color="auto" w:fill="EEECE1"/>
            <w:vAlign w:val="center"/>
          </w:tcPr>
          <w:p w:rsidR="00A45A2A" w:rsidRPr="00DE7193" w:rsidRDefault="00A45A2A" w:rsidP="0043440A">
            <w:pPr>
              <w:widowControl w:val="0"/>
              <w:tabs>
                <w:tab w:val="left" w:pos="622"/>
              </w:tabs>
              <w:spacing w:after="0" w:line="240" w:lineRule="auto"/>
              <w:jc w:val="center"/>
              <w:rPr>
                <w:rFonts w:ascii="Times New Roman" w:eastAsia="AngsanaUPC" w:hAnsi="Times New Roman"/>
                <w:b/>
                <w:bCs/>
                <w:szCs w:val="24"/>
                <w:lang w:eastAsia="lt-LT"/>
              </w:rPr>
            </w:pPr>
            <w:r w:rsidRPr="00DE7193">
              <w:rPr>
                <w:rFonts w:ascii="Times New Roman" w:eastAsia="AngsanaUPC" w:hAnsi="Times New Roman"/>
                <w:b/>
                <w:bCs/>
                <w:szCs w:val="24"/>
                <w:lang w:eastAsia="lt-LT"/>
              </w:rPr>
              <w:t>Planuojama suma klimato kaitos tikslams</w:t>
            </w:r>
            <w:r w:rsidR="006539D0">
              <w:rPr>
                <w:rFonts w:ascii="Times New Roman" w:eastAsia="AngsanaUPC" w:hAnsi="Times New Roman"/>
                <w:b/>
                <w:bCs/>
                <w:szCs w:val="24"/>
                <w:lang w:eastAsia="lt-LT"/>
              </w:rPr>
              <w:t>, eurais</w:t>
            </w:r>
          </w:p>
        </w:tc>
        <w:tc>
          <w:tcPr>
            <w:tcW w:w="3054" w:type="dxa"/>
            <w:shd w:val="clear" w:color="auto" w:fill="EEECE1"/>
            <w:vAlign w:val="center"/>
          </w:tcPr>
          <w:p w:rsidR="00A45A2A" w:rsidRPr="00DE7193" w:rsidRDefault="00A45A2A" w:rsidP="00A45A2A">
            <w:pPr>
              <w:widowControl w:val="0"/>
              <w:tabs>
                <w:tab w:val="left" w:pos="622"/>
              </w:tabs>
              <w:spacing w:after="0" w:line="240" w:lineRule="auto"/>
              <w:jc w:val="center"/>
              <w:rPr>
                <w:rFonts w:ascii="Times New Roman" w:eastAsia="AngsanaUPC" w:hAnsi="Times New Roman"/>
                <w:b/>
                <w:bCs/>
                <w:szCs w:val="24"/>
                <w:lang w:eastAsia="lt-LT"/>
              </w:rPr>
            </w:pPr>
            <w:r w:rsidRPr="00DE7193">
              <w:rPr>
                <w:rFonts w:ascii="Times New Roman" w:eastAsia="AngsanaUPC" w:hAnsi="Times New Roman"/>
                <w:b/>
                <w:bCs/>
                <w:szCs w:val="24"/>
                <w:lang w:eastAsia="lt-LT"/>
              </w:rPr>
              <w:t>Dalis nuo visos veiksmų programai skirtos sumos, proc.</w:t>
            </w:r>
          </w:p>
        </w:tc>
      </w:tr>
      <w:tr w:rsidR="00F07A57" w:rsidRPr="00A45A2A" w:rsidTr="009E5B58">
        <w:tc>
          <w:tcPr>
            <w:tcW w:w="8647" w:type="dxa"/>
            <w:shd w:val="clear" w:color="auto" w:fill="auto"/>
            <w:vAlign w:val="center"/>
          </w:tcPr>
          <w:p w:rsidR="00F07A57" w:rsidRPr="00A45A2A" w:rsidRDefault="00F07A57" w:rsidP="00E73FE1">
            <w:pPr>
              <w:widowControl w:val="0"/>
              <w:tabs>
                <w:tab w:val="left" w:pos="622"/>
              </w:tabs>
              <w:spacing w:after="0" w:line="240" w:lineRule="auto"/>
              <w:rPr>
                <w:rFonts w:ascii="Times New Roman" w:eastAsia="AngsanaUPC" w:hAnsi="Times New Roman"/>
                <w:bCs/>
                <w:lang w:eastAsia="lt-LT"/>
              </w:rPr>
            </w:pPr>
            <w:r w:rsidRPr="00A45A2A">
              <w:rPr>
                <w:rFonts w:ascii="Times New Roman" w:hAnsi="Times New Roman"/>
              </w:rPr>
              <w:t>3. Smulkiojo ir vidutinio verslo konkurencingumo skatinimas</w:t>
            </w:r>
          </w:p>
        </w:tc>
        <w:tc>
          <w:tcPr>
            <w:tcW w:w="3119" w:type="dxa"/>
            <w:shd w:val="clear" w:color="auto" w:fill="auto"/>
            <w:vAlign w:val="center"/>
          </w:tcPr>
          <w:p w:rsidR="00F07A57" w:rsidRPr="004E77F7" w:rsidRDefault="004E77F7" w:rsidP="009E5B58">
            <w:pPr>
              <w:widowControl w:val="0"/>
              <w:tabs>
                <w:tab w:val="left" w:pos="622"/>
              </w:tabs>
              <w:spacing w:after="0" w:line="240" w:lineRule="auto"/>
              <w:jc w:val="center"/>
              <w:rPr>
                <w:rFonts w:ascii="Times New Roman" w:eastAsia="AngsanaUPC" w:hAnsi="Times New Roman"/>
                <w:bCs/>
                <w:strike/>
                <w:szCs w:val="24"/>
                <w:lang w:eastAsia="lt-LT"/>
              </w:rPr>
            </w:pPr>
            <w:r w:rsidRPr="004E77F7">
              <w:rPr>
                <w:rFonts w:ascii="Times New Roman" w:eastAsia="AngsanaUPC" w:hAnsi="Times New Roman"/>
                <w:bCs/>
                <w:szCs w:val="24"/>
                <w:lang w:eastAsia="lt-LT"/>
              </w:rPr>
              <w:t>73.853.104,40</w:t>
            </w:r>
          </w:p>
        </w:tc>
        <w:tc>
          <w:tcPr>
            <w:tcW w:w="3054" w:type="dxa"/>
            <w:shd w:val="clear" w:color="auto" w:fill="auto"/>
            <w:vAlign w:val="center"/>
          </w:tcPr>
          <w:p w:rsidR="00F07A57" w:rsidRPr="004E77F7" w:rsidRDefault="00F07A57" w:rsidP="006F0D31">
            <w:pPr>
              <w:spacing w:after="0" w:line="240" w:lineRule="auto"/>
              <w:jc w:val="center"/>
              <w:rPr>
                <w:rFonts w:ascii="Times New Roman" w:hAnsi="Times New Roman"/>
                <w:strike/>
                <w:szCs w:val="24"/>
              </w:rPr>
            </w:pPr>
            <w:r w:rsidRPr="004E77F7">
              <w:rPr>
                <w:rFonts w:ascii="Times New Roman" w:hAnsi="Times New Roman"/>
                <w:szCs w:val="24"/>
              </w:rPr>
              <w:t>1,</w:t>
            </w:r>
            <w:r w:rsidR="000F7786">
              <w:rPr>
                <w:rFonts w:ascii="Times New Roman" w:hAnsi="Times New Roman"/>
                <w:szCs w:val="24"/>
              </w:rPr>
              <w:t>0</w:t>
            </w:r>
            <w:r w:rsidR="006F0D31">
              <w:rPr>
                <w:rFonts w:ascii="Times New Roman" w:hAnsi="Times New Roman"/>
                <w:szCs w:val="24"/>
              </w:rPr>
              <w:t>5</w:t>
            </w:r>
          </w:p>
        </w:tc>
      </w:tr>
      <w:tr w:rsidR="00F07A57" w:rsidRPr="00A45A2A" w:rsidTr="009E5B58">
        <w:tc>
          <w:tcPr>
            <w:tcW w:w="8647" w:type="dxa"/>
            <w:shd w:val="clear" w:color="auto" w:fill="auto"/>
            <w:vAlign w:val="center"/>
          </w:tcPr>
          <w:p w:rsidR="00F07A57" w:rsidRPr="00A45A2A" w:rsidRDefault="00F07A57" w:rsidP="00E73FE1">
            <w:pPr>
              <w:widowControl w:val="0"/>
              <w:tabs>
                <w:tab w:val="left" w:pos="622"/>
              </w:tabs>
              <w:spacing w:after="0" w:line="240" w:lineRule="auto"/>
              <w:rPr>
                <w:rFonts w:ascii="Times New Roman" w:eastAsia="AngsanaUPC" w:hAnsi="Times New Roman"/>
                <w:bCs/>
                <w:lang w:eastAsia="lt-LT"/>
              </w:rPr>
            </w:pPr>
            <w:r w:rsidRPr="00A45A2A">
              <w:rPr>
                <w:rFonts w:ascii="Times New Roman" w:eastAsia="AngsanaUPC" w:hAnsi="Times New Roman"/>
                <w:bCs/>
                <w:lang w:eastAsia="lt-LT"/>
              </w:rPr>
              <w:t xml:space="preserve">4. Energijos efektyvumo ir </w:t>
            </w:r>
            <w:r>
              <w:rPr>
                <w:rFonts w:ascii="Times New Roman" w:eastAsia="AngsanaUPC" w:hAnsi="Times New Roman"/>
                <w:bCs/>
                <w:lang w:eastAsia="lt-LT"/>
              </w:rPr>
              <w:t>AIE</w:t>
            </w:r>
            <w:r w:rsidRPr="00A45A2A">
              <w:rPr>
                <w:rFonts w:ascii="Times New Roman" w:eastAsia="AngsanaUPC" w:hAnsi="Times New Roman"/>
                <w:bCs/>
                <w:lang w:eastAsia="lt-LT"/>
              </w:rPr>
              <w:t xml:space="preserve"> gamybos ir naudojimo skatinimas </w:t>
            </w:r>
          </w:p>
        </w:tc>
        <w:tc>
          <w:tcPr>
            <w:tcW w:w="3119" w:type="dxa"/>
            <w:shd w:val="clear" w:color="auto" w:fill="auto"/>
            <w:vAlign w:val="center"/>
          </w:tcPr>
          <w:p w:rsidR="00F07A57" w:rsidRPr="004E77F7" w:rsidRDefault="00AF1F2D" w:rsidP="009E5B58">
            <w:pPr>
              <w:widowControl w:val="0"/>
              <w:tabs>
                <w:tab w:val="left" w:pos="622"/>
              </w:tabs>
              <w:spacing w:after="0" w:line="240" w:lineRule="auto"/>
              <w:jc w:val="center"/>
              <w:rPr>
                <w:rFonts w:ascii="Times New Roman" w:eastAsia="AngsanaUPC" w:hAnsi="Times New Roman"/>
                <w:bCs/>
                <w:strike/>
                <w:szCs w:val="24"/>
                <w:lang w:eastAsia="lt-LT"/>
              </w:rPr>
            </w:pPr>
            <w:r w:rsidRPr="004E77F7">
              <w:rPr>
                <w:rFonts w:ascii="Times New Roman" w:eastAsia="AngsanaUPC" w:hAnsi="Times New Roman"/>
                <w:bCs/>
                <w:szCs w:val="24"/>
                <w:lang w:eastAsia="lt-LT"/>
              </w:rPr>
              <w:t>834.501.686,60</w:t>
            </w:r>
          </w:p>
        </w:tc>
        <w:tc>
          <w:tcPr>
            <w:tcW w:w="3054" w:type="dxa"/>
            <w:shd w:val="clear" w:color="auto" w:fill="auto"/>
            <w:vAlign w:val="center"/>
          </w:tcPr>
          <w:p w:rsidR="00F07A57" w:rsidRPr="004E77F7" w:rsidRDefault="000F7786" w:rsidP="006F0D31">
            <w:pPr>
              <w:spacing w:after="0" w:line="240" w:lineRule="auto"/>
              <w:jc w:val="center"/>
              <w:rPr>
                <w:rFonts w:ascii="Times New Roman" w:hAnsi="Times New Roman"/>
                <w:strike/>
                <w:szCs w:val="24"/>
              </w:rPr>
            </w:pPr>
            <w:r>
              <w:rPr>
                <w:rFonts w:ascii="Times New Roman" w:hAnsi="Times New Roman"/>
                <w:szCs w:val="24"/>
              </w:rPr>
              <w:t>11,</w:t>
            </w:r>
            <w:r w:rsidR="006F0D31">
              <w:rPr>
                <w:rFonts w:ascii="Times New Roman" w:hAnsi="Times New Roman"/>
                <w:szCs w:val="24"/>
              </w:rPr>
              <w:t>86</w:t>
            </w:r>
          </w:p>
        </w:tc>
      </w:tr>
      <w:tr w:rsidR="00A45A2A" w:rsidRPr="00A45A2A" w:rsidTr="009E5B58">
        <w:tc>
          <w:tcPr>
            <w:tcW w:w="8647" w:type="dxa"/>
            <w:shd w:val="clear" w:color="auto" w:fill="auto"/>
            <w:vAlign w:val="center"/>
          </w:tcPr>
          <w:p w:rsidR="00A45A2A" w:rsidRPr="00A45A2A" w:rsidRDefault="00A45A2A" w:rsidP="00E73FE1">
            <w:pPr>
              <w:widowControl w:val="0"/>
              <w:tabs>
                <w:tab w:val="left" w:pos="622"/>
              </w:tabs>
              <w:spacing w:after="0" w:line="240" w:lineRule="auto"/>
              <w:rPr>
                <w:rFonts w:ascii="Times New Roman" w:eastAsia="AngsanaUPC" w:hAnsi="Times New Roman"/>
                <w:bCs/>
                <w:lang w:eastAsia="lt-LT"/>
              </w:rPr>
            </w:pPr>
            <w:r w:rsidRPr="00A45A2A">
              <w:rPr>
                <w:rFonts w:ascii="Times New Roman" w:eastAsia="AngsanaUPC" w:hAnsi="Times New Roman"/>
                <w:bCs/>
                <w:lang w:eastAsia="lt-LT"/>
              </w:rPr>
              <w:t>5. Aplinkosauga, gamtos išteklių darnus naudojimas ir prisitaikymas prie klimato kaitos</w:t>
            </w:r>
          </w:p>
        </w:tc>
        <w:tc>
          <w:tcPr>
            <w:tcW w:w="3119" w:type="dxa"/>
            <w:shd w:val="clear" w:color="auto" w:fill="auto"/>
            <w:vAlign w:val="center"/>
          </w:tcPr>
          <w:p w:rsidR="00A45A2A" w:rsidRPr="004E77F7" w:rsidRDefault="00AF1F2D" w:rsidP="009E5B58">
            <w:pPr>
              <w:widowControl w:val="0"/>
              <w:tabs>
                <w:tab w:val="left" w:pos="622"/>
              </w:tabs>
              <w:spacing w:after="0" w:line="240" w:lineRule="auto"/>
              <w:jc w:val="center"/>
              <w:rPr>
                <w:rFonts w:ascii="Times New Roman" w:eastAsia="AngsanaUPC" w:hAnsi="Times New Roman"/>
                <w:bCs/>
                <w:szCs w:val="24"/>
                <w:lang w:eastAsia="lt-LT"/>
              </w:rPr>
            </w:pPr>
            <w:r w:rsidRPr="004E77F7">
              <w:rPr>
                <w:rFonts w:ascii="Times New Roman" w:eastAsia="AngsanaUPC" w:hAnsi="Times New Roman"/>
                <w:bCs/>
                <w:szCs w:val="24"/>
                <w:lang w:eastAsia="lt-LT"/>
              </w:rPr>
              <w:t>186.716.398,40</w:t>
            </w:r>
          </w:p>
        </w:tc>
        <w:tc>
          <w:tcPr>
            <w:tcW w:w="3054" w:type="dxa"/>
            <w:shd w:val="clear" w:color="auto" w:fill="auto"/>
            <w:vAlign w:val="center"/>
          </w:tcPr>
          <w:p w:rsidR="00A45A2A" w:rsidRPr="004E77F7" w:rsidRDefault="006539D0" w:rsidP="006F0D31">
            <w:pPr>
              <w:spacing w:after="0"/>
              <w:jc w:val="center"/>
              <w:rPr>
                <w:rFonts w:ascii="Times New Roman" w:hAnsi="Times New Roman"/>
                <w:szCs w:val="24"/>
              </w:rPr>
            </w:pPr>
            <w:r w:rsidRPr="004E77F7">
              <w:rPr>
                <w:rFonts w:ascii="Times New Roman" w:hAnsi="Times New Roman"/>
                <w:szCs w:val="24"/>
              </w:rPr>
              <w:t>2,</w:t>
            </w:r>
            <w:r w:rsidR="000F7786">
              <w:rPr>
                <w:rFonts w:ascii="Times New Roman" w:hAnsi="Times New Roman"/>
                <w:szCs w:val="24"/>
              </w:rPr>
              <w:t>6</w:t>
            </w:r>
            <w:r w:rsidR="006F0D31">
              <w:rPr>
                <w:rFonts w:ascii="Times New Roman" w:hAnsi="Times New Roman"/>
                <w:szCs w:val="24"/>
              </w:rPr>
              <w:t>5</w:t>
            </w:r>
          </w:p>
        </w:tc>
      </w:tr>
      <w:tr w:rsidR="00F07A57" w:rsidRPr="00A45A2A" w:rsidTr="009E5B58">
        <w:tc>
          <w:tcPr>
            <w:tcW w:w="8647" w:type="dxa"/>
            <w:shd w:val="clear" w:color="auto" w:fill="auto"/>
            <w:vAlign w:val="center"/>
          </w:tcPr>
          <w:p w:rsidR="00F07A57" w:rsidRPr="001C700D" w:rsidRDefault="00F07A57" w:rsidP="00D7758D">
            <w:pPr>
              <w:widowControl w:val="0"/>
              <w:tabs>
                <w:tab w:val="left" w:pos="622"/>
              </w:tabs>
              <w:spacing w:after="0" w:line="240" w:lineRule="auto"/>
              <w:rPr>
                <w:rFonts w:ascii="Times New Roman" w:eastAsia="AngsanaUPC" w:hAnsi="Times New Roman"/>
                <w:bCs/>
                <w:lang w:eastAsia="lt-LT"/>
              </w:rPr>
            </w:pPr>
            <w:r w:rsidRPr="007100D2">
              <w:rPr>
                <w:rFonts w:ascii="Times New Roman" w:eastAsia="AngsanaUPC" w:hAnsi="Times New Roman"/>
                <w:bCs/>
                <w:lang w:eastAsia="lt-LT"/>
              </w:rPr>
              <w:t>6. Darnaus transporto ir pagrindinių tinklų infrastruktūros plėtra</w:t>
            </w:r>
          </w:p>
        </w:tc>
        <w:tc>
          <w:tcPr>
            <w:tcW w:w="3119" w:type="dxa"/>
            <w:shd w:val="clear" w:color="auto" w:fill="auto"/>
            <w:vAlign w:val="center"/>
          </w:tcPr>
          <w:p w:rsidR="00F07A57" w:rsidRPr="004E77F7" w:rsidRDefault="00AF1F2D" w:rsidP="009E5B58">
            <w:pPr>
              <w:widowControl w:val="0"/>
              <w:tabs>
                <w:tab w:val="left" w:pos="622"/>
              </w:tabs>
              <w:spacing w:after="0" w:line="240" w:lineRule="auto"/>
              <w:jc w:val="center"/>
              <w:rPr>
                <w:rFonts w:ascii="Times New Roman" w:eastAsia="AngsanaUPC" w:hAnsi="Times New Roman"/>
                <w:bCs/>
                <w:strike/>
                <w:szCs w:val="24"/>
                <w:lang w:eastAsia="lt-LT"/>
              </w:rPr>
            </w:pPr>
            <w:r w:rsidRPr="004E77F7">
              <w:rPr>
                <w:rFonts w:ascii="Times New Roman" w:eastAsia="AngsanaUPC" w:hAnsi="Times New Roman"/>
                <w:bCs/>
                <w:szCs w:val="24"/>
                <w:lang w:eastAsia="lt-LT"/>
              </w:rPr>
              <w:t>204.843.811,20</w:t>
            </w:r>
          </w:p>
        </w:tc>
        <w:tc>
          <w:tcPr>
            <w:tcW w:w="3054" w:type="dxa"/>
            <w:shd w:val="clear" w:color="auto" w:fill="auto"/>
            <w:vAlign w:val="center"/>
          </w:tcPr>
          <w:p w:rsidR="00F07A57" w:rsidRPr="004E77F7" w:rsidRDefault="000F7786" w:rsidP="006F0D31">
            <w:pPr>
              <w:spacing w:after="0" w:line="240" w:lineRule="auto"/>
              <w:jc w:val="center"/>
              <w:rPr>
                <w:rFonts w:ascii="Times New Roman" w:hAnsi="Times New Roman"/>
                <w:strike/>
                <w:szCs w:val="24"/>
              </w:rPr>
            </w:pPr>
            <w:r>
              <w:rPr>
                <w:rFonts w:ascii="Times New Roman" w:hAnsi="Times New Roman"/>
                <w:szCs w:val="24"/>
              </w:rPr>
              <w:t>2,9</w:t>
            </w:r>
            <w:r w:rsidR="006F0D31">
              <w:rPr>
                <w:rFonts w:ascii="Times New Roman" w:hAnsi="Times New Roman"/>
                <w:szCs w:val="24"/>
              </w:rPr>
              <w:t>1</w:t>
            </w:r>
          </w:p>
        </w:tc>
      </w:tr>
      <w:tr w:rsidR="000F7786" w:rsidRPr="00A45A2A" w:rsidTr="009E5B58">
        <w:tc>
          <w:tcPr>
            <w:tcW w:w="8647" w:type="dxa"/>
            <w:shd w:val="clear" w:color="auto" w:fill="auto"/>
            <w:vAlign w:val="center"/>
          </w:tcPr>
          <w:p w:rsidR="000F7786" w:rsidRPr="009E5B58" w:rsidRDefault="000F7786" w:rsidP="00D7758D">
            <w:pPr>
              <w:widowControl w:val="0"/>
              <w:tabs>
                <w:tab w:val="left" w:pos="622"/>
              </w:tabs>
              <w:spacing w:after="0" w:line="240" w:lineRule="auto"/>
              <w:rPr>
                <w:rFonts w:ascii="Times New Roman" w:eastAsia="AngsanaUPC" w:hAnsi="Times New Roman"/>
                <w:bCs/>
                <w:lang w:eastAsia="lt-LT"/>
              </w:rPr>
            </w:pPr>
            <w:r w:rsidRPr="009E5B58">
              <w:rPr>
                <w:rFonts w:ascii="Times New Roman" w:hAnsi="Times New Roman"/>
                <w:bCs/>
                <w:color w:val="000000"/>
                <w:lang w:eastAsia="lt-LT"/>
              </w:rPr>
              <w:t>13. Veiksmų, skirtų COVID-19 pandemijos sukeltai krizei įveikti, skatinimas ir pasirengimas aplinką tausojančiam, skaitmeniniam ir tvariam ekonomikos atgaivinimui</w:t>
            </w:r>
          </w:p>
        </w:tc>
        <w:tc>
          <w:tcPr>
            <w:tcW w:w="3119" w:type="dxa"/>
            <w:shd w:val="clear" w:color="auto" w:fill="auto"/>
            <w:vAlign w:val="center"/>
          </w:tcPr>
          <w:p w:rsidR="000F7786" w:rsidRPr="009E5B58" w:rsidRDefault="006F0D31" w:rsidP="009E5B58">
            <w:pPr>
              <w:widowControl w:val="0"/>
              <w:tabs>
                <w:tab w:val="left" w:pos="622"/>
              </w:tabs>
              <w:spacing w:after="0" w:line="240" w:lineRule="auto"/>
              <w:jc w:val="center"/>
              <w:rPr>
                <w:rFonts w:ascii="Times New Roman" w:eastAsia="AngsanaUPC" w:hAnsi="Times New Roman"/>
                <w:bCs/>
                <w:szCs w:val="24"/>
                <w:lang w:eastAsia="lt-LT"/>
              </w:rPr>
            </w:pPr>
            <w:r w:rsidRPr="006F0D31">
              <w:rPr>
                <w:rFonts w:ascii="Times New Roman" w:hAnsi="Times New Roman"/>
                <w:bCs/>
                <w:szCs w:val="24"/>
                <w:lang w:eastAsia="lt-LT"/>
              </w:rPr>
              <w:t>78.477.006,00</w:t>
            </w:r>
          </w:p>
        </w:tc>
        <w:tc>
          <w:tcPr>
            <w:tcW w:w="3054" w:type="dxa"/>
            <w:shd w:val="clear" w:color="auto" w:fill="auto"/>
            <w:vAlign w:val="center"/>
          </w:tcPr>
          <w:p w:rsidR="000F7786" w:rsidRPr="009E5B58" w:rsidRDefault="000F7786" w:rsidP="006F0D31">
            <w:pPr>
              <w:spacing w:after="0" w:line="240" w:lineRule="auto"/>
              <w:jc w:val="center"/>
              <w:rPr>
                <w:rFonts w:ascii="Times New Roman" w:hAnsi="Times New Roman"/>
                <w:szCs w:val="24"/>
              </w:rPr>
            </w:pPr>
            <w:r w:rsidRPr="009E5B58">
              <w:rPr>
                <w:rFonts w:ascii="Times New Roman" w:hAnsi="Times New Roman"/>
                <w:szCs w:val="24"/>
              </w:rPr>
              <w:t>1,</w:t>
            </w:r>
            <w:r w:rsidR="006F0D31">
              <w:rPr>
                <w:rFonts w:ascii="Times New Roman" w:hAnsi="Times New Roman"/>
                <w:szCs w:val="24"/>
              </w:rPr>
              <w:t>12</w:t>
            </w:r>
          </w:p>
        </w:tc>
      </w:tr>
      <w:tr w:rsidR="000F7786" w:rsidRPr="00A45A2A" w:rsidTr="009E5B58">
        <w:tc>
          <w:tcPr>
            <w:tcW w:w="8647" w:type="dxa"/>
            <w:shd w:val="clear" w:color="auto" w:fill="auto"/>
            <w:vAlign w:val="center"/>
          </w:tcPr>
          <w:p w:rsidR="000F7786" w:rsidRPr="008C4D5F" w:rsidRDefault="000F7786" w:rsidP="00C724EE">
            <w:pPr>
              <w:widowControl w:val="0"/>
              <w:tabs>
                <w:tab w:val="left" w:pos="622"/>
              </w:tabs>
              <w:spacing w:after="0" w:line="240" w:lineRule="auto"/>
              <w:rPr>
                <w:rFonts w:ascii="Times New Roman" w:eastAsia="AngsanaUPC" w:hAnsi="Times New Roman"/>
                <w:b/>
                <w:bCs/>
                <w:lang w:eastAsia="lt-LT"/>
              </w:rPr>
            </w:pPr>
            <w:r w:rsidRPr="00C724EE">
              <w:rPr>
                <w:rFonts w:ascii="Times New Roman" w:eastAsia="Times New Roman" w:hAnsi="Times New Roman"/>
                <w:b/>
                <w:bCs/>
                <w:color w:val="000000"/>
                <w:lang w:eastAsia="lt-LT"/>
              </w:rPr>
              <w:t>Iš</w:t>
            </w:r>
            <w:r>
              <w:rPr>
                <w:rFonts w:ascii="Times New Roman" w:eastAsia="Times New Roman" w:hAnsi="Times New Roman"/>
                <w:b/>
                <w:bCs/>
                <w:color w:val="000000"/>
                <w:sz w:val="18"/>
                <w:szCs w:val="18"/>
                <w:lang w:eastAsia="lt-LT"/>
              </w:rPr>
              <w:t xml:space="preserve"> vi</w:t>
            </w:r>
            <w:r w:rsidRPr="008C4D5F">
              <w:rPr>
                <w:rFonts w:ascii="Times New Roman" w:eastAsia="AngsanaUPC" w:hAnsi="Times New Roman"/>
                <w:b/>
                <w:bCs/>
                <w:lang w:eastAsia="lt-LT"/>
              </w:rPr>
              <w:t>so</w:t>
            </w:r>
          </w:p>
        </w:tc>
        <w:tc>
          <w:tcPr>
            <w:tcW w:w="3119" w:type="dxa"/>
            <w:shd w:val="clear" w:color="auto" w:fill="auto"/>
            <w:vAlign w:val="center"/>
          </w:tcPr>
          <w:p w:rsidR="000F7786" w:rsidRPr="009E5B58" w:rsidRDefault="006F0D31" w:rsidP="009E5B58">
            <w:pPr>
              <w:widowControl w:val="0"/>
              <w:tabs>
                <w:tab w:val="left" w:pos="622"/>
              </w:tabs>
              <w:spacing w:after="0" w:line="240" w:lineRule="auto"/>
              <w:jc w:val="center"/>
              <w:rPr>
                <w:rFonts w:ascii="Times New Roman" w:hAnsi="Times New Roman"/>
                <w:b/>
                <w:bCs/>
                <w:szCs w:val="24"/>
                <w:lang w:eastAsia="lt-LT"/>
              </w:rPr>
            </w:pPr>
            <w:r w:rsidRPr="006F0D31">
              <w:rPr>
                <w:rFonts w:ascii="Times New Roman" w:hAnsi="Times New Roman"/>
                <w:b/>
                <w:bCs/>
                <w:szCs w:val="24"/>
                <w:lang w:eastAsia="lt-LT"/>
              </w:rPr>
              <w:t>1 378 392 006,60</w:t>
            </w:r>
            <w:bookmarkStart w:id="21" w:name="_GoBack"/>
            <w:bookmarkEnd w:id="21"/>
          </w:p>
        </w:tc>
        <w:tc>
          <w:tcPr>
            <w:tcW w:w="3054" w:type="dxa"/>
            <w:shd w:val="clear" w:color="auto" w:fill="auto"/>
            <w:vAlign w:val="center"/>
          </w:tcPr>
          <w:p w:rsidR="000F7786" w:rsidRPr="009E5B58" w:rsidRDefault="000F7786" w:rsidP="006F0D31">
            <w:pPr>
              <w:spacing w:after="0" w:line="240" w:lineRule="auto"/>
              <w:jc w:val="center"/>
              <w:rPr>
                <w:rFonts w:ascii="Times New Roman" w:hAnsi="Times New Roman"/>
                <w:b/>
                <w:bCs/>
                <w:szCs w:val="24"/>
                <w:lang w:eastAsia="lt-LT"/>
              </w:rPr>
            </w:pPr>
            <w:r w:rsidRPr="009E5B58">
              <w:rPr>
                <w:rFonts w:ascii="Times New Roman" w:hAnsi="Times New Roman"/>
                <w:b/>
                <w:bCs/>
                <w:szCs w:val="24"/>
                <w:lang w:eastAsia="lt-LT"/>
              </w:rPr>
              <w:t>19,6</w:t>
            </w:r>
            <w:r w:rsidR="006F0D31">
              <w:rPr>
                <w:rFonts w:ascii="Times New Roman" w:hAnsi="Times New Roman"/>
                <w:b/>
                <w:bCs/>
                <w:szCs w:val="24"/>
                <w:lang w:eastAsia="lt-LT"/>
              </w:rPr>
              <w:t>0</w:t>
            </w:r>
          </w:p>
        </w:tc>
      </w:tr>
    </w:tbl>
    <w:p w:rsidR="00D543ED" w:rsidRDefault="00D543ED" w:rsidP="00254EEE">
      <w:pPr>
        <w:widowControl w:val="0"/>
        <w:tabs>
          <w:tab w:val="left" w:pos="622"/>
        </w:tabs>
        <w:spacing w:after="0" w:line="240" w:lineRule="auto"/>
        <w:jc w:val="both"/>
        <w:rPr>
          <w:rFonts w:ascii="Times New Roman" w:eastAsia="AngsanaUPC" w:hAnsi="Times New Roman"/>
          <w:bCs/>
          <w:sz w:val="24"/>
          <w:szCs w:val="24"/>
          <w:lang w:eastAsia="lt-LT"/>
        </w:rPr>
        <w:sectPr w:rsidR="00D543ED" w:rsidSect="00AC19DA">
          <w:pgSz w:w="16838" w:h="11906" w:orient="landscape" w:code="9"/>
          <w:pgMar w:top="1701" w:right="567" w:bottom="1134" w:left="1701" w:header="567" w:footer="567" w:gutter="0"/>
          <w:cols w:space="1296"/>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7"/>
      </w:tblGrid>
      <w:tr w:rsidR="00AD4B6F" w:rsidRPr="00D543ED" w:rsidTr="00D85A72">
        <w:trPr>
          <w:trHeight w:val="416"/>
        </w:trPr>
        <w:tc>
          <w:tcPr>
            <w:tcW w:w="9797" w:type="dxa"/>
            <w:shd w:val="clear" w:color="auto" w:fill="C6D9F1"/>
            <w:vAlign w:val="center"/>
          </w:tcPr>
          <w:p w:rsidR="00AD4B6F" w:rsidRPr="00372DA9" w:rsidRDefault="00AD4B6F" w:rsidP="00E73FE1">
            <w:pPr>
              <w:pStyle w:val="Antrat1"/>
              <w:rPr>
                <w:rFonts w:eastAsia="AngsanaUPC"/>
                <w:lang w:val="lt-LT" w:eastAsia="lt-LT"/>
              </w:rPr>
            </w:pPr>
            <w:bookmarkStart w:id="22" w:name="_Toc69836235"/>
            <w:r w:rsidRPr="00372DA9">
              <w:rPr>
                <w:rFonts w:eastAsia="AngsanaUPC"/>
                <w:lang w:val="lt-LT" w:eastAsia="lt-LT"/>
              </w:rPr>
              <w:lastRenderedPageBreak/>
              <w:t>4. SK</w:t>
            </w:r>
            <w:r w:rsidR="00E73FE1">
              <w:rPr>
                <w:rFonts w:eastAsia="AngsanaUPC"/>
                <w:lang w:val="lt-LT" w:eastAsia="lt-LT"/>
              </w:rPr>
              <w:t>IRSNIS</w:t>
            </w:r>
            <w:r w:rsidRPr="00372DA9">
              <w:rPr>
                <w:rFonts w:eastAsia="AngsanaUPC"/>
                <w:lang w:val="lt-LT" w:eastAsia="lt-LT"/>
              </w:rPr>
              <w:t>. INTEGRUOTO</w:t>
            </w:r>
            <w:r w:rsidR="000A715B" w:rsidRPr="00372DA9">
              <w:rPr>
                <w:rFonts w:eastAsia="AngsanaUPC"/>
                <w:lang w:val="lt-LT" w:eastAsia="lt-LT"/>
              </w:rPr>
              <w:t>S</w:t>
            </w:r>
            <w:r w:rsidRPr="00372DA9">
              <w:rPr>
                <w:rFonts w:eastAsia="AngsanaUPC"/>
                <w:lang w:val="lt-LT" w:eastAsia="lt-LT"/>
              </w:rPr>
              <w:t xml:space="preserve"> TERITORINĖS PLĖTROS APRAŠYMAS</w:t>
            </w:r>
            <w:bookmarkEnd w:id="22"/>
          </w:p>
        </w:tc>
      </w:tr>
    </w:tbl>
    <w:p w:rsidR="00037E3C" w:rsidRPr="00037E3C" w:rsidRDefault="00037E3C" w:rsidP="00037E3C">
      <w:pPr>
        <w:spacing w:after="0" w:line="240" w:lineRule="auto"/>
        <w:ind w:firstLine="624"/>
        <w:rPr>
          <w:rFonts w:ascii="Times New Roman" w:hAnsi="Times New Roman"/>
          <w:sz w:val="24"/>
          <w:szCs w:val="24"/>
        </w:rPr>
      </w:pPr>
    </w:p>
    <w:p w:rsidR="003A4330" w:rsidRPr="003A4330" w:rsidRDefault="003A4330" w:rsidP="003E0F8A">
      <w:pPr>
        <w:spacing w:after="0" w:line="240" w:lineRule="auto"/>
        <w:ind w:firstLine="851"/>
        <w:jc w:val="both"/>
        <w:rPr>
          <w:rFonts w:ascii="Times New Roman" w:hAnsi="Times New Roman"/>
          <w:sz w:val="24"/>
          <w:szCs w:val="24"/>
        </w:rPr>
      </w:pPr>
      <w:r w:rsidRPr="003A4330">
        <w:rPr>
          <w:rFonts w:ascii="Times New Roman" w:hAnsi="Times New Roman"/>
          <w:sz w:val="24"/>
          <w:szCs w:val="24"/>
        </w:rPr>
        <w:t xml:space="preserve">Esminės sprendžiamos problemos ir iššūkiai aprašomi Partnerystės sutarties 1.1 dalyje (Teritorinė plėtra ir regioninė politika), taip pat integruotas požiūris aprašomas Partnerystės sutarties 3.1 dalyje. </w:t>
      </w:r>
    </w:p>
    <w:p w:rsidR="003A4330" w:rsidRPr="003A4330" w:rsidRDefault="003A4330" w:rsidP="00A800C6">
      <w:pPr>
        <w:spacing w:after="0" w:line="240" w:lineRule="auto"/>
        <w:ind w:firstLine="1298"/>
        <w:jc w:val="both"/>
        <w:rPr>
          <w:rFonts w:ascii="Times New Roman" w:hAnsi="Times New Roman"/>
          <w:sz w:val="24"/>
          <w:szCs w:val="24"/>
        </w:rPr>
      </w:pPr>
    </w:p>
    <w:p w:rsidR="003A4330" w:rsidRPr="003A4330" w:rsidRDefault="003A4330" w:rsidP="003E0F8A">
      <w:pPr>
        <w:spacing w:after="0" w:line="240" w:lineRule="auto"/>
        <w:ind w:firstLine="851"/>
        <w:jc w:val="both"/>
        <w:rPr>
          <w:rFonts w:ascii="Times New Roman" w:hAnsi="Times New Roman"/>
          <w:sz w:val="24"/>
          <w:szCs w:val="24"/>
        </w:rPr>
      </w:pPr>
      <w:r w:rsidRPr="003A4330">
        <w:rPr>
          <w:rFonts w:ascii="Times New Roman" w:hAnsi="Times New Roman"/>
          <w:sz w:val="24"/>
          <w:szCs w:val="24"/>
        </w:rPr>
        <w:t xml:space="preserve">Integruotas požiūris į teritorijų vystymą užtikrinamas naudojant </w:t>
      </w:r>
      <w:r w:rsidR="00FD6892">
        <w:rPr>
          <w:rFonts w:ascii="Times New Roman" w:hAnsi="Times New Roman"/>
          <w:sz w:val="24"/>
          <w:szCs w:val="24"/>
        </w:rPr>
        <w:t xml:space="preserve">ITI </w:t>
      </w:r>
      <w:r w:rsidRPr="003A4330">
        <w:rPr>
          <w:rFonts w:ascii="Times New Roman" w:hAnsi="Times New Roman"/>
          <w:sz w:val="24"/>
          <w:szCs w:val="24"/>
        </w:rPr>
        <w:t>mechanizmą miestų vietovėse (įskaitant miestus, kuriuose remiami integruoti miestų tvarios plėtros veiksmai):</w:t>
      </w:r>
    </w:p>
    <w:p w:rsidR="003A4330" w:rsidRPr="003A4330" w:rsidRDefault="003A4330" w:rsidP="00FE0DE1">
      <w:pPr>
        <w:numPr>
          <w:ilvl w:val="0"/>
          <w:numId w:val="4"/>
        </w:numPr>
        <w:spacing w:after="0" w:line="240" w:lineRule="auto"/>
        <w:jc w:val="both"/>
        <w:rPr>
          <w:rFonts w:ascii="Times New Roman" w:hAnsi="Times New Roman"/>
          <w:sz w:val="24"/>
          <w:szCs w:val="24"/>
        </w:rPr>
      </w:pPr>
      <w:r w:rsidRPr="003A4330">
        <w:rPr>
          <w:rFonts w:ascii="Times New Roman" w:hAnsi="Times New Roman"/>
          <w:sz w:val="24"/>
          <w:szCs w:val="24"/>
        </w:rPr>
        <w:t>ITI naudojamos remiant ERPF reglamento 7 straipsnyje nurodytus tvarios miestų plėtros veiksmus (URBAN) 5 didžiuosiuose miestuose bei sprendžiant mažiems ir vidutiniams miestams būdingus teritorinio vystymosi iššūkius;</w:t>
      </w:r>
    </w:p>
    <w:p w:rsidR="006C76BF" w:rsidRDefault="003A4330" w:rsidP="00FE0DE1">
      <w:pPr>
        <w:numPr>
          <w:ilvl w:val="0"/>
          <w:numId w:val="4"/>
        </w:numPr>
        <w:spacing w:after="0" w:line="240" w:lineRule="auto"/>
        <w:jc w:val="both"/>
        <w:rPr>
          <w:rFonts w:ascii="Times New Roman" w:hAnsi="Times New Roman"/>
          <w:sz w:val="24"/>
          <w:szCs w:val="24"/>
        </w:rPr>
      </w:pPr>
      <w:r w:rsidRPr="003A4330">
        <w:rPr>
          <w:rFonts w:ascii="Times New Roman" w:hAnsi="Times New Roman"/>
          <w:sz w:val="24"/>
          <w:szCs w:val="24"/>
        </w:rPr>
        <w:t>dalis ESF remiamų veiklų, susijusių su socialinėmis problemomis miestuose, bus įgyvendinamos „iš apačios“ (BIVP miestų vietovėse gali būti įgyvendinama kaip– vienas iš ITI elementų).</w:t>
      </w:r>
    </w:p>
    <w:p w:rsidR="003A4330" w:rsidRDefault="003A4330" w:rsidP="003A4330">
      <w:pPr>
        <w:spacing w:after="0" w:line="240" w:lineRule="auto"/>
        <w:ind w:left="720"/>
        <w:jc w:val="both"/>
        <w:rPr>
          <w:rFonts w:ascii="Times New Roman" w:hAnsi="Times New Roman"/>
          <w:sz w:val="24"/>
          <w:szCs w:val="24"/>
        </w:rPr>
      </w:pPr>
    </w:p>
    <w:p w:rsidR="00BD0E32" w:rsidRPr="007059D1" w:rsidRDefault="00372448" w:rsidP="00BD0E32">
      <w:pPr>
        <w:spacing w:after="0" w:line="240" w:lineRule="auto"/>
        <w:ind w:left="720"/>
        <w:jc w:val="both"/>
        <w:rPr>
          <w:rFonts w:ascii="Times New Roman" w:hAnsi="Times New Roman"/>
          <w:b/>
          <w:szCs w:val="24"/>
        </w:rPr>
      </w:pPr>
      <w:r>
        <w:rPr>
          <w:rFonts w:ascii="Times New Roman" w:hAnsi="Times New Roman"/>
          <w:b/>
          <w:szCs w:val="24"/>
        </w:rPr>
        <w:t>1</w:t>
      </w:r>
      <w:r w:rsidR="007059D1" w:rsidRPr="007059D1">
        <w:rPr>
          <w:rFonts w:ascii="Times New Roman" w:hAnsi="Times New Roman"/>
          <w:b/>
          <w:szCs w:val="24"/>
        </w:rPr>
        <w:t xml:space="preserve"> p</w:t>
      </w:r>
      <w:r w:rsidR="00BD0E32" w:rsidRPr="007059D1">
        <w:rPr>
          <w:rFonts w:ascii="Times New Roman" w:hAnsi="Times New Roman"/>
          <w:b/>
          <w:szCs w:val="24"/>
        </w:rPr>
        <w:t xml:space="preserve">av. </w:t>
      </w:r>
      <w:r w:rsidR="007059D1" w:rsidRPr="006539D0">
        <w:rPr>
          <w:rFonts w:ascii="Times New Roman" w:hAnsi="Times New Roman"/>
          <w:szCs w:val="24"/>
        </w:rPr>
        <w:t>ITI įgyvendinimo schema</w:t>
      </w:r>
    </w:p>
    <w:p w:rsidR="00BD0E32" w:rsidRPr="006C76BF" w:rsidRDefault="00BD0E32" w:rsidP="003A4330">
      <w:pPr>
        <w:spacing w:after="0" w:line="240" w:lineRule="auto"/>
        <w:ind w:left="720"/>
        <w:jc w:val="both"/>
        <w:rPr>
          <w:rFonts w:ascii="Times New Roman" w:hAnsi="Times New Roman"/>
          <w:sz w:val="24"/>
          <w:szCs w:val="24"/>
        </w:rPr>
      </w:pPr>
    </w:p>
    <w:p w:rsidR="006C76BF" w:rsidRPr="006C76BF" w:rsidRDefault="00601C25" w:rsidP="006C76BF">
      <w:pPr>
        <w:jc w:val="both"/>
        <w:rPr>
          <w:rFonts w:ascii="Times New Roman" w:hAnsi="Times New Roman"/>
          <w:sz w:val="24"/>
          <w:szCs w:val="24"/>
        </w:rPr>
      </w:pPr>
      <w:r>
        <w:rPr>
          <w:rFonts w:ascii="Times New Roman" w:hAnsi="Times New Roman"/>
          <w:noProof/>
          <w:sz w:val="24"/>
          <w:szCs w:val="24"/>
          <w:lang w:eastAsia="lt-LT"/>
        </w:rPr>
        <mc:AlternateContent>
          <mc:Choice Requires="wpg">
            <w:drawing>
              <wp:inline distT="0" distB="0" distL="0" distR="0" wp14:anchorId="732ED108" wp14:editId="66160B5A">
                <wp:extent cx="5689600" cy="3733165"/>
                <wp:effectExtent l="19050" t="19050" r="0" b="19685"/>
                <wp:docPr id="1" name="Grupė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9600" cy="3733165"/>
                          <a:chOff x="0" y="0"/>
                          <a:chExt cx="8839422" cy="6682208"/>
                        </a:xfrm>
                      </wpg:grpSpPr>
                      <wps:wsp>
                        <wps:cNvPr id="2" name="Ovalas 2"/>
                        <wps:cNvSpPr>
                          <a:spLocks noChangeArrowheads="1"/>
                        </wps:cNvSpPr>
                        <wps:spPr bwMode="auto">
                          <a:xfrm>
                            <a:off x="0" y="499009"/>
                            <a:ext cx="4536504" cy="4392488"/>
                          </a:xfrm>
                          <a:prstGeom prst="ellipse">
                            <a:avLst/>
                          </a:prstGeom>
                          <a:solidFill>
                            <a:srgbClr val="4F81BD"/>
                          </a:solidFill>
                          <a:ln w="25400" algn="ctr">
                            <a:solidFill>
                              <a:srgbClr val="385D8A"/>
                            </a:solidFill>
                            <a:round/>
                            <a:headEnd/>
                            <a:tailEnd/>
                          </a:ln>
                        </wps:spPr>
                        <wps:txbx>
                          <w:txbxContent>
                            <w:p w:rsidR="00827571" w:rsidRDefault="00827571" w:rsidP="003A4330">
                              <w:pPr>
                                <w:pStyle w:val="prastasistinklapis"/>
                                <w:spacing w:before="0" w:beforeAutospacing="0" w:after="0" w:afterAutospacing="0"/>
                                <w:jc w:val="center"/>
                                <w:textAlignment w:val="baseline"/>
                              </w:pPr>
                              <w:r w:rsidRPr="00246340">
                                <w:rPr>
                                  <w:color w:val="FFFFFF"/>
                                  <w:kern w:val="24"/>
                                  <w:sz w:val="20"/>
                                  <w:szCs w:val="20"/>
                                </w:rPr>
                                <w:t>Miestas/miestai</w:t>
                              </w:r>
                            </w:p>
                          </w:txbxContent>
                        </wps:txbx>
                        <wps:bodyPr rot="0" vert="horz" wrap="square" lIns="91440" tIns="45720" rIns="91440" bIns="45720" anchor="t" anchorCtr="0" upright="1">
                          <a:noAutofit/>
                        </wps:bodyPr>
                      </wps:wsp>
                      <wps:wsp>
                        <wps:cNvPr id="3" name="Suapvalintas stačiakampis 3"/>
                        <wps:cNvSpPr>
                          <a:spLocks noChangeArrowheads="1"/>
                        </wps:cNvSpPr>
                        <wps:spPr bwMode="auto">
                          <a:xfrm>
                            <a:off x="1152128" y="1579129"/>
                            <a:ext cx="4104456" cy="3456384"/>
                          </a:xfrm>
                          <a:prstGeom prst="roundRect">
                            <a:avLst>
                              <a:gd name="adj" fmla="val 16667"/>
                            </a:avLst>
                          </a:prstGeom>
                          <a:solidFill>
                            <a:srgbClr val="C3D69B"/>
                          </a:solidFill>
                          <a:ln w="57150" algn="ctr">
                            <a:solidFill>
                              <a:srgbClr val="4F6228"/>
                            </a:solidFill>
                            <a:round/>
                            <a:headEnd/>
                            <a:tailEnd/>
                          </a:ln>
                        </wps:spPr>
                        <wps:txbx>
                          <w:txbxContent>
                            <w:p w:rsidR="00827571" w:rsidRDefault="00827571" w:rsidP="003A4330">
                              <w:pPr>
                                <w:pStyle w:val="prastasistinklapis"/>
                                <w:spacing w:before="0" w:beforeAutospacing="0" w:after="0" w:afterAutospacing="0"/>
                                <w:textAlignment w:val="baseline"/>
                              </w:pPr>
                              <w:r w:rsidRPr="00246340">
                                <w:rPr>
                                  <w:color w:val="000000"/>
                                  <w:kern w:val="24"/>
                                  <w:sz w:val="20"/>
                                  <w:szCs w:val="20"/>
                                </w:rPr>
                                <w:t>ITI teritorija</w:t>
                              </w:r>
                            </w:p>
                          </w:txbxContent>
                        </wps:txbx>
                        <wps:bodyPr rot="0" vert="horz" wrap="square" lIns="91440" tIns="45720" rIns="91440" bIns="45720" anchor="t" anchorCtr="0" upright="1">
                          <a:noAutofit/>
                        </wps:bodyPr>
                      </wps:wsp>
                      <wps:wsp>
                        <wps:cNvPr id="4" name="Suapvalintas stačiakampis 5"/>
                        <wps:cNvSpPr>
                          <a:spLocks noChangeArrowheads="1"/>
                        </wps:cNvSpPr>
                        <wps:spPr bwMode="auto">
                          <a:xfrm>
                            <a:off x="2736304" y="2155193"/>
                            <a:ext cx="792088" cy="2664296"/>
                          </a:xfrm>
                          <a:prstGeom prst="roundRect">
                            <a:avLst>
                              <a:gd name="adj" fmla="val 16667"/>
                            </a:avLst>
                          </a:prstGeom>
                          <a:solidFill>
                            <a:srgbClr val="4F81BD"/>
                          </a:solidFill>
                          <a:ln w="25400" algn="ctr">
                            <a:solidFill>
                              <a:srgbClr val="385D8A"/>
                            </a:solidFill>
                            <a:round/>
                            <a:headEnd/>
                            <a:tailEnd/>
                          </a:ln>
                        </wps:spPr>
                        <wps:txbx>
                          <w:txbxContent>
                            <w:p w:rsidR="00827571" w:rsidRDefault="00827571" w:rsidP="003A4330">
                              <w:pPr>
                                <w:rPr>
                                  <w:rFonts w:eastAsia="Times New Roman"/>
                                </w:rPr>
                              </w:pPr>
                            </w:p>
                          </w:txbxContent>
                        </wps:txbx>
                        <wps:bodyPr rot="0" vert="horz" wrap="square" lIns="91440" tIns="45720" rIns="91440" bIns="45720" anchor="ctr" anchorCtr="0" upright="1">
                          <a:noAutofit/>
                        </wps:bodyPr>
                      </wps:wsp>
                      <wps:wsp>
                        <wps:cNvPr id="5" name="Suapvalintas stačiakampis 6"/>
                        <wps:cNvSpPr>
                          <a:spLocks noChangeArrowheads="1"/>
                        </wps:cNvSpPr>
                        <wps:spPr bwMode="auto">
                          <a:xfrm>
                            <a:off x="2808312" y="2227201"/>
                            <a:ext cx="2376264" cy="504056"/>
                          </a:xfrm>
                          <a:prstGeom prst="roundRect">
                            <a:avLst>
                              <a:gd name="adj" fmla="val 16667"/>
                            </a:avLst>
                          </a:prstGeom>
                          <a:solidFill>
                            <a:srgbClr val="4F81BD"/>
                          </a:solidFill>
                          <a:ln w="25400" algn="ctr">
                            <a:solidFill>
                              <a:srgbClr val="385D8A"/>
                            </a:solidFill>
                            <a:round/>
                            <a:headEnd/>
                            <a:tailEnd/>
                          </a:ln>
                        </wps:spPr>
                        <wps:txbx>
                          <w:txbxContent>
                            <w:p w:rsidR="00827571" w:rsidRDefault="00827571" w:rsidP="003A4330">
                              <w:pPr>
                                <w:pStyle w:val="prastasistinklapis"/>
                                <w:spacing w:before="0" w:beforeAutospacing="0" w:after="0" w:afterAutospacing="0"/>
                                <w:jc w:val="center"/>
                                <w:textAlignment w:val="baseline"/>
                              </w:pPr>
                              <w:r w:rsidRPr="00246340">
                                <w:rPr>
                                  <w:color w:val="FFFFFF"/>
                                  <w:kern w:val="24"/>
                                  <w:sz w:val="20"/>
                                  <w:szCs w:val="20"/>
                                </w:rPr>
                                <w:t>Demografija</w:t>
                              </w:r>
                            </w:p>
                          </w:txbxContent>
                        </wps:txbx>
                        <wps:bodyPr rot="0" vert="horz" wrap="square" lIns="91440" tIns="45720" rIns="91440" bIns="45720" anchor="ctr" anchorCtr="0" upright="1">
                          <a:noAutofit/>
                        </wps:bodyPr>
                      </wps:wsp>
                      <wps:wsp>
                        <wps:cNvPr id="6" name="Suapvalintas stačiakampis 7"/>
                        <wps:cNvSpPr>
                          <a:spLocks noChangeArrowheads="1"/>
                        </wps:cNvSpPr>
                        <wps:spPr bwMode="auto">
                          <a:xfrm>
                            <a:off x="2808312" y="2731257"/>
                            <a:ext cx="2376264" cy="504056"/>
                          </a:xfrm>
                          <a:prstGeom prst="roundRect">
                            <a:avLst>
                              <a:gd name="adj" fmla="val 16667"/>
                            </a:avLst>
                          </a:prstGeom>
                          <a:solidFill>
                            <a:srgbClr val="4F81BD"/>
                          </a:solidFill>
                          <a:ln w="25400" algn="ctr">
                            <a:solidFill>
                              <a:srgbClr val="385D8A"/>
                            </a:solidFill>
                            <a:round/>
                            <a:headEnd/>
                            <a:tailEnd/>
                          </a:ln>
                        </wps:spPr>
                        <wps:txbx>
                          <w:txbxContent>
                            <w:p w:rsidR="00827571" w:rsidRDefault="00827571" w:rsidP="003A4330">
                              <w:pPr>
                                <w:pStyle w:val="prastasistinklapis"/>
                                <w:spacing w:before="0" w:beforeAutospacing="0" w:after="0" w:afterAutospacing="0"/>
                                <w:jc w:val="center"/>
                                <w:textAlignment w:val="baseline"/>
                              </w:pPr>
                              <w:r w:rsidRPr="00246340">
                                <w:rPr>
                                  <w:color w:val="FFFFFF"/>
                                  <w:kern w:val="24"/>
                                  <w:sz w:val="20"/>
                                  <w:szCs w:val="20"/>
                                </w:rPr>
                                <w:t>Ekonomika</w:t>
                              </w:r>
                            </w:p>
                          </w:txbxContent>
                        </wps:txbx>
                        <wps:bodyPr rot="0" vert="horz" wrap="square" lIns="91440" tIns="45720" rIns="91440" bIns="45720" anchor="ctr" anchorCtr="0" upright="1">
                          <a:noAutofit/>
                        </wps:bodyPr>
                      </wps:wsp>
                      <wps:wsp>
                        <wps:cNvPr id="7" name="Suapvalintas stačiakampis 8"/>
                        <wps:cNvSpPr>
                          <a:spLocks noChangeArrowheads="1"/>
                        </wps:cNvSpPr>
                        <wps:spPr bwMode="auto">
                          <a:xfrm>
                            <a:off x="2808312" y="3235313"/>
                            <a:ext cx="2376264" cy="504056"/>
                          </a:xfrm>
                          <a:prstGeom prst="roundRect">
                            <a:avLst>
                              <a:gd name="adj" fmla="val 16667"/>
                            </a:avLst>
                          </a:prstGeom>
                          <a:solidFill>
                            <a:srgbClr val="4F81BD"/>
                          </a:solidFill>
                          <a:ln w="25400" algn="ctr">
                            <a:solidFill>
                              <a:srgbClr val="385D8A"/>
                            </a:solidFill>
                            <a:round/>
                            <a:headEnd/>
                            <a:tailEnd/>
                          </a:ln>
                        </wps:spPr>
                        <wps:txbx>
                          <w:txbxContent>
                            <w:p w:rsidR="00827571" w:rsidRDefault="00827571" w:rsidP="003A4330">
                              <w:pPr>
                                <w:pStyle w:val="prastasistinklapis"/>
                                <w:spacing w:before="0" w:beforeAutospacing="0" w:after="0" w:afterAutospacing="0"/>
                                <w:jc w:val="center"/>
                                <w:textAlignment w:val="baseline"/>
                              </w:pPr>
                              <w:r w:rsidRPr="00246340">
                                <w:rPr>
                                  <w:color w:val="FFFFFF"/>
                                  <w:kern w:val="24"/>
                                  <w:sz w:val="20"/>
                                  <w:szCs w:val="20"/>
                                </w:rPr>
                                <w:t>Socialinė raida</w:t>
                              </w:r>
                            </w:p>
                          </w:txbxContent>
                        </wps:txbx>
                        <wps:bodyPr rot="0" vert="horz" wrap="square" lIns="91440" tIns="45720" rIns="91440" bIns="45720" anchor="ctr" anchorCtr="0" upright="1">
                          <a:noAutofit/>
                        </wps:bodyPr>
                      </wps:wsp>
                      <wps:wsp>
                        <wps:cNvPr id="8" name="Suapvalintas stačiakampis 9"/>
                        <wps:cNvSpPr>
                          <a:spLocks noChangeArrowheads="1"/>
                        </wps:cNvSpPr>
                        <wps:spPr bwMode="auto">
                          <a:xfrm>
                            <a:off x="2808312" y="3739369"/>
                            <a:ext cx="2376264" cy="504056"/>
                          </a:xfrm>
                          <a:prstGeom prst="roundRect">
                            <a:avLst>
                              <a:gd name="adj" fmla="val 16667"/>
                            </a:avLst>
                          </a:prstGeom>
                          <a:solidFill>
                            <a:srgbClr val="4F81BD"/>
                          </a:solidFill>
                          <a:ln w="25400" algn="ctr">
                            <a:solidFill>
                              <a:srgbClr val="385D8A"/>
                            </a:solidFill>
                            <a:round/>
                            <a:headEnd/>
                            <a:tailEnd/>
                          </a:ln>
                        </wps:spPr>
                        <wps:txbx>
                          <w:txbxContent>
                            <w:p w:rsidR="00827571" w:rsidRDefault="00827571" w:rsidP="003A4330">
                              <w:pPr>
                                <w:pStyle w:val="prastasistinklapis"/>
                                <w:spacing w:before="0" w:beforeAutospacing="0" w:after="0" w:afterAutospacing="0"/>
                                <w:jc w:val="center"/>
                                <w:textAlignment w:val="baseline"/>
                              </w:pPr>
                              <w:r w:rsidRPr="00246340">
                                <w:rPr>
                                  <w:color w:val="FFFFFF"/>
                                  <w:kern w:val="24"/>
                                  <w:sz w:val="20"/>
                                  <w:szCs w:val="20"/>
                                </w:rPr>
                                <w:t>Aplinkosauga</w:t>
                              </w:r>
                            </w:p>
                          </w:txbxContent>
                        </wps:txbx>
                        <wps:bodyPr rot="0" vert="horz" wrap="square" lIns="91440" tIns="45720" rIns="91440" bIns="45720" anchor="ctr" anchorCtr="0" upright="1">
                          <a:noAutofit/>
                        </wps:bodyPr>
                      </wps:wsp>
                      <wps:wsp>
                        <wps:cNvPr id="9" name="Suapvalintas stačiakampis 10"/>
                        <wps:cNvSpPr>
                          <a:spLocks noChangeArrowheads="1"/>
                        </wps:cNvSpPr>
                        <wps:spPr bwMode="auto">
                          <a:xfrm>
                            <a:off x="2808312" y="4243425"/>
                            <a:ext cx="2376264" cy="504056"/>
                          </a:xfrm>
                          <a:prstGeom prst="roundRect">
                            <a:avLst>
                              <a:gd name="adj" fmla="val 16667"/>
                            </a:avLst>
                          </a:prstGeom>
                          <a:solidFill>
                            <a:srgbClr val="4F81BD"/>
                          </a:solidFill>
                          <a:ln w="25400" algn="ctr">
                            <a:solidFill>
                              <a:srgbClr val="385D8A"/>
                            </a:solidFill>
                            <a:round/>
                            <a:headEnd/>
                            <a:tailEnd/>
                          </a:ln>
                        </wps:spPr>
                        <wps:txbx>
                          <w:txbxContent>
                            <w:p w:rsidR="00827571" w:rsidRDefault="00827571" w:rsidP="003A4330">
                              <w:pPr>
                                <w:pStyle w:val="prastasistinklapis"/>
                                <w:spacing w:before="0" w:beforeAutospacing="0" w:after="0" w:afterAutospacing="0"/>
                                <w:jc w:val="center"/>
                                <w:textAlignment w:val="baseline"/>
                              </w:pPr>
                              <w:r w:rsidRPr="00246340">
                                <w:rPr>
                                  <w:color w:val="FFFFFF"/>
                                  <w:kern w:val="24"/>
                                  <w:sz w:val="20"/>
                                  <w:szCs w:val="20"/>
                                </w:rPr>
                                <w:t>Klimato kaita</w:t>
                              </w:r>
                            </w:p>
                          </w:txbxContent>
                        </wps:txbx>
                        <wps:bodyPr rot="0" vert="horz" wrap="square" lIns="91440" tIns="45720" rIns="91440" bIns="45720" anchor="ctr" anchorCtr="0" upright="1">
                          <a:noAutofit/>
                        </wps:bodyPr>
                      </wps:wsp>
                      <wps:wsp>
                        <wps:cNvPr id="10" name="Suapvalintas stačiakampis 11"/>
                        <wps:cNvSpPr>
                          <a:spLocks noChangeArrowheads="1"/>
                        </wps:cNvSpPr>
                        <wps:spPr bwMode="auto">
                          <a:xfrm>
                            <a:off x="1224136" y="2155193"/>
                            <a:ext cx="1728192" cy="2664296"/>
                          </a:xfrm>
                          <a:prstGeom prst="roundRect">
                            <a:avLst>
                              <a:gd name="adj" fmla="val 16667"/>
                            </a:avLst>
                          </a:prstGeom>
                          <a:solidFill>
                            <a:srgbClr val="E6B9B8"/>
                          </a:solidFill>
                          <a:ln w="57150" algn="ctr">
                            <a:solidFill>
                              <a:srgbClr val="C0504D"/>
                            </a:solidFill>
                            <a:round/>
                            <a:headEnd/>
                            <a:tailEnd/>
                          </a:ln>
                        </wps:spPr>
                        <wps:txbx>
                          <w:txbxContent>
                            <w:p w:rsidR="00827571" w:rsidRDefault="00827571" w:rsidP="003A4330">
                              <w:pPr>
                                <w:pStyle w:val="prastasistinklapis"/>
                                <w:spacing w:before="0" w:beforeAutospacing="0" w:after="0" w:afterAutospacing="0"/>
                                <w:jc w:val="center"/>
                                <w:textAlignment w:val="baseline"/>
                              </w:pPr>
                              <w:r w:rsidRPr="00246340">
                                <w:rPr>
                                  <w:color w:val="000000"/>
                                  <w:kern w:val="24"/>
                                  <w:sz w:val="20"/>
                                  <w:szCs w:val="20"/>
                                </w:rPr>
                                <w:t>Tikslinė teritorija</w:t>
                              </w:r>
                            </w:p>
                          </w:txbxContent>
                        </wps:txbx>
                        <wps:bodyPr rot="0" vert="horz" wrap="square" lIns="91440" tIns="45720" rIns="91440" bIns="45720" anchor="t" anchorCtr="0" upright="1">
                          <a:noAutofit/>
                        </wps:bodyPr>
                      </wps:wsp>
                      <wps:wsp>
                        <wps:cNvPr id="11" name="Suapvalintas stačiakampis 12"/>
                        <wps:cNvSpPr>
                          <a:spLocks noChangeArrowheads="1"/>
                        </wps:cNvSpPr>
                        <wps:spPr bwMode="auto">
                          <a:xfrm>
                            <a:off x="5544616" y="499009"/>
                            <a:ext cx="2520279" cy="1080120"/>
                          </a:xfrm>
                          <a:prstGeom prst="roundRect">
                            <a:avLst>
                              <a:gd name="adj" fmla="val 16667"/>
                            </a:avLst>
                          </a:prstGeom>
                          <a:solidFill>
                            <a:srgbClr val="FFFFFF"/>
                          </a:solidFill>
                          <a:ln w="25400" algn="ctr">
                            <a:solidFill>
                              <a:srgbClr val="9BBB59"/>
                            </a:solidFill>
                            <a:round/>
                            <a:headEnd/>
                            <a:tailEnd/>
                          </a:ln>
                        </wps:spPr>
                        <wps:txbx>
                          <w:txbxContent>
                            <w:p w:rsidR="00827571" w:rsidRDefault="00827571" w:rsidP="003A4330">
                              <w:pPr>
                                <w:pStyle w:val="prastasistinklapis"/>
                                <w:spacing w:before="0" w:beforeAutospacing="0" w:after="0" w:afterAutospacing="0"/>
                                <w:jc w:val="center"/>
                                <w:textAlignment w:val="baseline"/>
                              </w:pPr>
                              <w:r>
                                <w:rPr>
                                  <w:color w:val="000000"/>
                                  <w:kern w:val="24"/>
                                  <w:sz w:val="20"/>
                                  <w:szCs w:val="20"/>
                                </w:rPr>
                                <w:t>Kompleksiniai projektai (7</w:t>
                              </w:r>
                              <w:r w:rsidRPr="00246340">
                                <w:rPr>
                                  <w:color w:val="000000"/>
                                  <w:kern w:val="24"/>
                                  <w:sz w:val="20"/>
                                  <w:szCs w:val="20"/>
                                </w:rPr>
                                <w:t xml:space="preserve"> prioriteto 7.1.1. konkretus uždavinys)</w:t>
                              </w:r>
                            </w:p>
                          </w:txbxContent>
                        </wps:txbx>
                        <wps:bodyPr rot="0" vert="horz" wrap="square" lIns="91440" tIns="45720" rIns="91440" bIns="45720" anchor="ctr" anchorCtr="0" upright="1">
                          <a:noAutofit/>
                        </wps:bodyPr>
                      </wps:wsp>
                      <wps:wsp>
                        <wps:cNvPr id="12" name="Suapvalintas stačiakampis 13"/>
                        <wps:cNvSpPr>
                          <a:spLocks noChangeArrowheads="1"/>
                        </wps:cNvSpPr>
                        <wps:spPr bwMode="auto">
                          <a:xfrm>
                            <a:off x="5558178" y="3167384"/>
                            <a:ext cx="2841941" cy="972106"/>
                          </a:xfrm>
                          <a:prstGeom prst="roundRect">
                            <a:avLst>
                              <a:gd name="adj" fmla="val 16667"/>
                            </a:avLst>
                          </a:prstGeom>
                          <a:solidFill>
                            <a:srgbClr val="F79646"/>
                          </a:solidFill>
                          <a:ln w="38100" algn="ctr">
                            <a:solidFill>
                              <a:srgbClr val="FFFFFF"/>
                            </a:solidFill>
                            <a:round/>
                            <a:headEnd/>
                            <a:tailEnd/>
                          </a:ln>
                          <a:effectLst>
                            <a:outerShdw blurRad="40000" dist="20000" dir="5400000" rotWithShape="0">
                              <a:srgbClr val="000000">
                                <a:alpha val="37999"/>
                              </a:srgbClr>
                            </a:outerShdw>
                          </a:effectLst>
                        </wps:spPr>
                        <wps:txbx>
                          <w:txbxContent>
                            <w:p w:rsidR="00827571" w:rsidRDefault="00827571" w:rsidP="003A4330">
                              <w:pPr>
                                <w:pStyle w:val="prastasistinklapis"/>
                                <w:spacing w:before="0" w:beforeAutospacing="0" w:after="0" w:afterAutospacing="0"/>
                                <w:jc w:val="center"/>
                                <w:textAlignment w:val="baseline"/>
                              </w:pPr>
                              <w:r>
                                <w:rPr>
                                  <w:color w:val="000000"/>
                                  <w:kern w:val="24"/>
                                  <w:sz w:val="20"/>
                                  <w:szCs w:val="20"/>
                                </w:rPr>
                                <w:t>BIVP (8</w:t>
                              </w:r>
                              <w:r w:rsidRPr="00246340">
                                <w:rPr>
                                  <w:color w:val="000000"/>
                                  <w:kern w:val="24"/>
                                  <w:sz w:val="20"/>
                                  <w:szCs w:val="20"/>
                                </w:rPr>
                                <w:t xml:space="preserve"> prioriteto 8.6.1 konkretus uždavinys) </w:t>
                              </w:r>
                            </w:p>
                          </w:txbxContent>
                        </wps:txbx>
                        <wps:bodyPr rot="0" vert="horz" wrap="square" lIns="91440" tIns="45720" rIns="91440" bIns="45720" anchor="ctr" anchorCtr="0" upright="1">
                          <a:noAutofit/>
                        </wps:bodyPr>
                      </wps:wsp>
                      <wps:wsp>
                        <wps:cNvPr id="13" name="Suapvalintas stačiakampis 14"/>
                        <wps:cNvSpPr>
                          <a:spLocks noChangeArrowheads="1"/>
                        </wps:cNvSpPr>
                        <wps:spPr bwMode="auto">
                          <a:xfrm>
                            <a:off x="1296144" y="0"/>
                            <a:ext cx="4248471" cy="1039068"/>
                          </a:xfrm>
                          <a:prstGeom prst="roundRect">
                            <a:avLst>
                              <a:gd name="adj" fmla="val 16667"/>
                            </a:avLst>
                          </a:prstGeom>
                          <a:noFill/>
                          <a:ln w="25400" algn="ctr">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827571" w:rsidRDefault="00827571" w:rsidP="003A4330">
                              <w:pPr>
                                <w:pStyle w:val="prastasistinklapis"/>
                                <w:spacing w:before="0" w:beforeAutospacing="0" w:after="0" w:afterAutospacing="0"/>
                                <w:jc w:val="center"/>
                                <w:textAlignment w:val="baseline"/>
                              </w:pPr>
                              <w:r w:rsidRPr="00246340">
                                <w:rPr>
                                  <w:color w:val="000000"/>
                                  <w:kern w:val="24"/>
                                  <w:sz w:val="20"/>
                                  <w:szCs w:val="20"/>
                                </w:rPr>
                                <w:t>Integruota teritorijos vystymo programa (strategija) (naudojant ITI)</w:t>
                              </w:r>
                            </w:p>
                          </w:txbxContent>
                        </wps:txbx>
                        <wps:bodyPr rot="0" vert="horz" wrap="square" lIns="91440" tIns="45720" rIns="91440" bIns="45720" anchor="t" anchorCtr="0" upright="1">
                          <a:noAutofit/>
                        </wps:bodyPr>
                      </wps:wsp>
                      <wps:wsp>
                        <wps:cNvPr id="14" name="Suapvalintas stačiakampis 15"/>
                        <wps:cNvSpPr>
                          <a:spLocks noChangeArrowheads="1"/>
                        </wps:cNvSpPr>
                        <wps:spPr bwMode="auto">
                          <a:xfrm>
                            <a:off x="2448272" y="3307321"/>
                            <a:ext cx="504056" cy="1440160"/>
                          </a:xfrm>
                          <a:prstGeom prst="roundRect">
                            <a:avLst>
                              <a:gd name="adj" fmla="val 16667"/>
                            </a:avLst>
                          </a:prstGeom>
                          <a:solidFill>
                            <a:srgbClr val="FFFFFF"/>
                          </a:solidFill>
                          <a:ln w="25400" algn="ctr">
                            <a:solidFill>
                              <a:srgbClr val="9BBB59"/>
                            </a:solidFill>
                            <a:round/>
                            <a:headEnd/>
                            <a:tailEnd/>
                          </a:ln>
                        </wps:spPr>
                        <wps:txbx>
                          <w:txbxContent>
                            <w:p w:rsidR="00827571" w:rsidRDefault="00827571" w:rsidP="003A4330">
                              <w:pPr>
                                <w:rPr>
                                  <w:rFonts w:eastAsia="Times New Roman"/>
                                </w:rPr>
                              </w:pPr>
                            </w:p>
                          </w:txbxContent>
                        </wps:txbx>
                        <wps:bodyPr rot="0" vert="horz" wrap="square" lIns="91440" tIns="45720" rIns="91440" bIns="45720" anchor="ctr" anchorCtr="0" upright="1">
                          <a:noAutofit/>
                        </wps:bodyPr>
                      </wps:wsp>
                      <wps:wsp>
                        <wps:cNvPr id="15" name="Ovalas 16"/>
                        <wps:cNvSpPr>
                          <a:spLocks noChangeArrowheads="1"/>
                        </wps:cNvSpPr>
                        <wps:spPr bwMode="auto">
                          <a:xfrm>
                            <a:off x="2520280" y="3235313"/>
                            <a:ext cx="576064" cy="576064"/>
                          </a:xfrm>
                          <a:prstGeom prst="ellipse">
                            <a:avLst/>
                          </a:prstGeom>
                          <a:solidFill>
                            <a:srgbClr val="F79646"/>
                          </a:solidFill>
                          <a:ln w="38100" algn="ctr">
                            <a:solidFill>
                              <a:srgbClr val="FFFFFF"/>
                            </a:solidFill>
                            <a:round/>
                            <a:headEnd/>
                            <a:tailEnd/>
                          </a:ln>
                          <a:effectLst>
                            <a:outerShdw blurRad="40000" dist="20000" dir="5400000" rotWithShape="0">
                              <a:srgbClr val="000000">
                                <a:alpha val="37999"/>
                              </a:srgbClr>
                            </a:outerShdw>
                          </a:effectLst>
                        </wps:spPr>
                        <wps:txbx>
                          <w:txbxContent>
                            <w:p w:rsidR="00827571" w:rsidRDefault="00827571" w:rsidP="003A4330">
                              <w:pPr>
                                <w:rPr>
                                  <w:rFonts w:eastAsia="Times New Roman"/>
                                </w:rPr>
                              </w:pPr>
                            </w:p>
                          </w:txbxContent>
                        </wps:txbx>
                        <wps:bodyPr rot="0" vert="horz" wrap="square" lIns="91440" tIns="45720" rIns="91440" bIns="45720" anchor="ctr" anchorCtr="0" upright="1">
                          <a:noAutofit/>
                        </wps:bodyPr>
                      </wps:wsp>
                      <wps:wsp>
                        <wps:cNvPr id="16" name="Tiesioji rodyklės jungtis 17"/>
                        <wps:cNvCnPr>
                          <a:cxnSpLocks noChangeShapeType="1"/>
                        </wps:cNvCnPr>
                        <wps:spPr bwMode="auto">
                          <a:xfrm flipH="1">
                            <a:off x="2808312" y="3739369"/>
                            <a:ext cx="2736304" cy="0"/>
                          </a:xfrm>
                          <a:prstGeom prst="straightConnector1">
                            <a:avLst/>
                          </a:prstGeom>
                          <a:noFill/>
                          <a:ln w="38100" algn="ctr">
                            <a:solidFill>
                              <a:srgbClr val="E46C0A"/>
                            </a:solidFill>
                            <a:round/>
                            <a:headEnd/>
                            <a:tailEnd type="arrow" w="med" len="med"/>
                          </a:ln>
                          <a:effectLst>
                            <a:outerShdw blurRad="40000" dist="23000" dir="5400000" rotWithShape="0">
                              <a:srgbClr val="000000">
                                <a:alpha val="34999"/>
                              </a:srgbClr>
                            </a:outerShdw>
                          </a:effectLst>
                          <a:extLst>
                            <a:ext uri="{909E8E84-426E-40DD-AFC4-6F175D3DCCD1}">
                              <a14:hiddenFill xmlns:a14="http://schemas.microsoft.com/office/drawing/2010/main">
                                <a:noFill/>
                              </a14:hiddenFill>
                            </a:ext>
                          </a:extLst>
                        </wps:spPr>
                        <wps:bodyPr/>
                      </wps:wsp>
                      <wps:wsp>
                        <wps:cNvPr id="17" name="Lygiašonis trikampis 18"/>
                        <wps:cNvSpPr>
                          <a:spLocks noChangeArrowheads="1"/>
                        </wps:cNvSpPr>
                        <wps:spPr bwMode="auto">
                          <a:xfrm>
                            <a:off x="2808312" y="3811377"/>
                            <a:ext cx="432048" cy="360040"/>
                          </a:xfrm>
                          <a:prstGeom prst="triangle">
                            <a:avLst>
                              <a:gd name="adj" fmla="val 50000"/>
                            </a:avLst>
                          </a:prstGeom>
                          <a:solidFill>
                            <a:srgbClr val="FFFFFF"/>
                          </a:solidFill>
                          <a:ln w="25400" algn="ctr">
                            <a:solidFill>
                              <a:srgbClr val="4BACC6"/>
                            </a:solidFill>
                            <a:miter lim="800000"/>
                            <a:headEnd/>
                            <a:tailEnd/>
                          </a:ln>
                        </wps:spPr>
                        <wps:txbx>
                          <w:txbxContent>
                            <w:p w:rsidR="00827571" w:rsidRDefault="00827571" w:rsidP="003A4330">
                              <w:pPr>
                                <w:rPr>
                                  <w:rFonts w:eastAsia="Times New Roman"/>
                                </w:rPr>
                              </w:pPr>
                            </w:p>
                          </w:txbxContent>
                        </wps:txbx>
                        <wps:bodyPr rot="0" vert="horz" wrap="square" lIns="91440" tIns="45720" rIns="91440" bIns="45720" anchor="ctr" anchorCtr="0" upright="1">
                          <a:noAutofit/>
                        </wps:bodyPr>
                      </wps:wsp>
                      <wps:wsp>
                        <wps:cNvPr id="18" name="Lygiašonis trikampis 19"/>
                        <wps:cNvSpPr>
                          <a:spLocks noChangeArrowheads="1"/>
                        </wps:cNvSpPr>
                        <wps:spPr bwMode="auto">
                          <a:xfrm>
                            <a:off x="2808312" y="4315433"/>
                            <a:ext cx="432048" cy="360040"/>
                          </a:xfrm>
                          <a:prstGeom prst="triangle">
                            <a:avLst>
                              <a:gd name="adj" fmla="val 50000"/>
                            </a:avLst>
                          </a:prstGeom>
                          <a:solidFill>
                            <a:srgbClr val="FFFFFF"/>
                          </a:solidFill>
                          <a:ln w="25400" algn="ctr">
                            <a:solidFill>
                              <a:srgbClr val="4BACC6"/>
                            </a:solidFill>
                            <a:miter lim="800000"/>
                            <a:headEnd/>
                            <a:tailEnd/>
                          </a:ln>
                        </wps:spPr>
                        <wps:txbx>
                          <w:txbxContent>
                            <w:p w:rsidR="00827571" w:rsidRDefault="00827571" w:rsidP="003A4330">
                              <w:pPr>
                                <w:rPr>
                                  <w:rFonts w:eastAsia="Times New Roman"/>
                                </w:rPr>
                              </w:pPr>
                            </w:p>
                          </w:txbxContent>
                        </wps:txbx>
                        <wps:bodyPr rot="0" vert="horz" wrap="square" lIns="91440" tIns="45720" rIns="91440" bIns="45720" anchor="ctr" anchorCtr="0" upright="1">
                          <a:noAutofit/>
                        </wps:bodyPr>
                      </wps:wsp>
                      <wps:wsp>
                        <wps:cNvPr id="19" name="Lygiašonis trikampis 20"/>
                        <wps:cNvSpPr>
                          <a:spLocks noChangeArrowheads="1"/>
                        </wps:cNvSpPr>
                        <wps:spPr bwMode="auto">
                          <a:xfrm>
                            <a:off x="4752528" y="4315433"/>
                            <a:ext cx="432048" cy="360040"/>
                          </a:xfrm>
                          <a:prstGeom prst="triangle">
                            <a:avLst>
                              <a:gd name="adj" fmla="val 50000"/>
                            </a:avLst>
                          </a:prstGeom>
                          <a:solidFill>
                            <a:srgbClr val="FFFFFF"/>
                          </a:solidFill>
                          <a:ln w="25400" algn="ctr">
                            <a:solidFill>
                              <a:srgbClr val="4BACC6"/>
                            </a:solidFill>
                            <a:miter lim="800000"/>
                            <a:headEnd/>
                            <a:tailEnd/>
                          </a:ln>
                        </wps:spPr>
                        <wps:txbx>
                          <w:txbxContent>
                            <w:p w:rsidR="00827571" w:rsidRDefault="00827571" w:rsidP="003A4330">
                              <w:pPr>
                                <w:rPr>
                                  <w:rFonts w:eastAsia="Times New Roman"/>
                                </w:rPr>
                              </w:pPr>
                            </w:p>
                          </w:txbxContent>
                        </wps:txbx>
                        <wps:bodyPr rot="0" vert="horz" wrap="square" lIns="91440" tIns="45720" rIns="91440" bIns="45720" anchor="ctr" anchorCtr="0" upright="1">
                          <a:noAutofit/>
                        </wps:bodyPr>
                      </wps:wsp>
                      <wps:wsp>
                        <wps:cNvPr id="20" name="Lygiašonis trikampis 21"/>
                        <wps:cNvSpPr>
                          <a:spLocks noChangeArrowheads="1"/>
                        </wps:cNvSpPr>
                        <wps:spPr bwMode="auto">
                          <a:xfrm>
                            <a:off x="4608512" y="2731257"/>
                            <a:ext cx="432048" cy="360040"/>
                          </a:xfrm>
                          <a:prstGeom prst="triangle">
                            <a:avLst>
                              <a:gd name="adj" fmla="val 50000"/>
                            </a:avLst>
                          </a:prstGeom>
                          <a:solidFill>
                            <a:srgbClr val="FFFFFF"/>
                          </a:solidFill>
                          <a:ln w="25400" algn="ctr">
                            <a:solidFill>
                              <a:srgbClr val="4BACC6"/>
                            </a:solidFill>
                            <a:miter lim="800000"/>
                            <a:headEnd/>
                            <a:tailEnd/>
                          </a:ln>
                        </wps:spPr>
                        <wps:txbx>
                          <w:txbxContent>
                            <w:p w:rsidR="00827571" w:rsidRDefault="00827571" w:rsidP="003A4330">
                              <w:pPr>
                                <w:rPr>
                                  <w:rFonts w:eastAsia="Times New Roman"/>
                                </w:rPr>
                              </w:pPr>
                            </w:p>
                          </w:txbxContent>
                        </wps:txbx>
                        <wps:bodyPr rot="0" vert="horz" wrap="square" lIns="91440" tIns="45720" rIns="91440" bIns="45720" anchor="ctr" anchorCtr="0" upright="1">
                          <a:noAutofit/>
                        </wps:bodyPr>
                      </wps:wsp>
                      <wps:wsp>
                        <wps:cNvPr id="21" name="Ovalas 22"/>
                        <wps:cNvSpPr>
                          <a:spLocks noChangeArrowheads="1"/>
                        </wps:cNvSpPr>
                        <wps:spPr bwMode="auto">
                          <a:xfrm>
                            <a:off x="576064" y="3235313"/>
                            <a:ext cx="576064" cy="576064"/>
                          </a:xfrm>
                          <a:prstGeom prst="ellipse">
                            <a:avLst/>
                          </a:prstGeom>
                          <a:solidFill>
                            <a:srgbClr val="F79646"/>
                          </a:solidFill>
                          <a:ln w="38100" algn="ctr">
                            <a:solidFill>
                              <a:srgbClr val="FFFFFF"/>
                            </a:solidFill>
                            <a:round/>
                            <a:headEnd/>
                            <a:tailEnd/>
                          </a:ln>
                          <a:effectLst>
                            <a:outerShdw blurRad="40000" dist="20000" dir="5400000" rotWithShape="0">
                              <a:srgbClr val="000000">
                                <a:alpha val="37999"/>
                              </a:srgbClr>
                            </a:outerShdw>
                          </a:effectLst>
                        </wps:spPr>
                        <wps:txbx>
                          <w:txbxContent>
                            <w:p w:rsidR="00827571" w:rsidRDefault="00827571" w:rsidP="003A4330">
                              <w:pPr>
                                <w:rPr>
                                  <w:rFonts w:eastAsia="Times New Roman"/>
                                </w:rPr>
                              </w:pPr>
                            </w:p>
                          </w:txbxContent>
                        </wps:txbx>
                        <wps:bodyPr rot="0" vert="horz" wrap="square" lIns="91440" tIns="45720" rIns="91440" bIns="45720" anchor="ctr" anchorCtr="0" upright="1">
                          <a:noAutofit/>
                        </wps:bodyPr>
                      </wps:wsp>
                      <wps:wsp>
                        <wps:cNvPr id="22" name="Tiesioji rodyklės jungtis 23"/>
                        <wps:cNvCnPr>
                          <a:cxnSpLocks noChangeShapeType="1"/>
                        </wps:cNvCnPr>
                        <wps:spPr bwMode="auto">
                          <a:xfrm flipV="1">
                            <a:off x="864096" y="3883385"/>
                            <a:ext cx="0" cy="648072"/>
                          </a:xfrm>
                          <a:prstGeom prst="straightConnector1">
                            <a:avLst/>
                          </a:prstGeom>
                          <a:noFill/>
                          <a:ln w="38100" algn="ctr">
                            <a:solidFill>
                              <a:srgbClr val="F79646"/>
                            </a:solidFill>
                            <a:round/>
                            <a:headEnd/>
                            <a:tailEnd type="arrow" w="med" len="med"/>
                          </a:ln>
                          <a:effectLst>
                            <a:outerShdw blurRad="40000" dist="23000" dir="5400000" rotWithShape="0">
                              <a:srgbClr val="000000">
                                <a:alpha val="34999"/>
                              </a:srgbClr>
                            </a:outerShdw>
                          </a:effectLst>
                          <a:extLst>
                            <a:ext uri="{909E8E84-426E-40DD-AFC4-6F175D3DCCD1}">
                              <a14:hiddenFill xmlns:a14="http://schemas.microsoft.com/office/drawing/2010/main">
                                <a:noFill/>
                              </a14:hiddenFill>
                            </a:ext>
                          </a:extLst>
                        </wps:spPr>
                        <wps:bodyPr/>
                      </wps:wsp>
                      <wps:wsp>
                        <wps:cNvPr id="23" name="Suapvalintas stačiakampis 24"/>
                        <wps:cNvSpPr>
                          <a:spLocks noChangeArrowheads="1"/>
                        </wps:cNvSpPr>
                        <wps:spPr bwMode="auto">
                          <a:xfrm>
                            <a:off x="5544617" y="4675473"/>
                            <a:ext cx="2841941" cy="1868755"/>
                          </a:xfrm>
                          <a:prstGeom prst="roundRect">
                            <a:avLst>
                              <a:gd name="adj" fmla="val 16667"/>
                            </a:avLst>
                          </a:prstGeom>
                          <a:solidFill>
                            <a:srgbClr val="FFFFFF"/>
                          </a:solidFill>
                          <a:ln w="38100" algn="ctr">
                            <a:solidFill>
                              <a:srgbClr val="4BACC6"/>
                            </a:solidFill>
                            <a:round/>
                            <a:headEnd/>
                            <a:tailEnd/>
                          </a:ln>
                        </wps:spPr>
                        <wps:txbx>
                          <w:txbxContent>
                            <w:p w:rsidR="00827571" w:rsidRDefault="00827571" w:rsidP="003A4330">
                              <w:pPr>
                                <w:pStyle w:val="prastasistinklapis"/>
                                <w:spacing w:before="0" w:beforeAutospacing="0" w:after="0" w:afterAutospacing="0"/>
                                <w:jc w:val="center"/>
                                <w:textAlignment w:val="baseline"/>
                              </w:pPr>
                              <w:r w:rsidRPr="00246340">
                                <w:rPr>
                                  <w:color w:val="000000"/>
                                  <w:kern w:val="24"/>
                                  <w:sz w:val="18"/>
                                  <w:szCs w:val="18"/>
                                </w:rPr>
                                <w:t>Kiti veiksmų programos prioritetai – indėlis: transportas, aplinkosauga, energetika, socialinės paslaugos ir kt. (specifinėms problemoms spręsti)</w:t>
                              </w:r>
                            </w:p>
                          </w:txbxContent>
                        </wps:txbx>
                        <wps:bodyPr rot="0" vert="horz" wrap="square" lIns="91440" tIns="45720" rIns="91440" bIns="45720" anchor="ctr" anchorCtr="0" upright="1">
                          <a:noAutofit/>
                        </wps:bodyPr>
                      </wps:wsp>
                      <wps:wsp>
                        <wps:cNvPr id="24" name="Tiesioji rodyklės jungtis 25"/>
                        <wps:cNvCnPr>
                          <a:cxnSpLocks noChangeShapeType="1"/>
                          <a:stCxn id="23" idx="0"/>
                          <a:endCxn id="20" idx="5"/>
                        </wps:cNvCnPr>
                        <wps:spPr bwMode="auto">
                          <a:xfrm flipH="1" flipV="1">
                            <a:off x="4932550" y="2911278"/>
                            <a:ext cx="2033038" cy="1764195"/>
                          </a:xfrm>
                          <a:prstGeom prst="straightConnector1">
                            <a:avLst/>
                          </a:prstGeom>
                          <a:noFill/>
                          <a:ln w="38100" algn="ctr">
                            <a:solidFill>
                              <a:srgbClr val="4BACC6"/>
                            </a:solidFill>
                            <a:round/>
                            <a:headEnd/>
                            <a:tailEnd type="arrow" w="med" len="med"/>
                          </a:ln>
                          <a:effectLst>
                            <a:outerShdw blurRad="40000" dist="23000" dir="5400000" rotWithShape="0">
                              <a:srgbClr val="000000">
                                <a:alpha val="34999"/>
                              </a:srgbClr>
                            </a:outerShdw>
                          </a:effectLst>
                          <a:extLst>
                            <a:ext uri="{909E8E84-426E-40DD-AFC4-6F175D3DCCD1}">
                              <a14:hiddenFill xmlns:a14="http://schemas.microsoft.com/office/drawing/2010/main">
                                <a:noFill/>
                              </a14:hiddenFill>
                            </a:ext>
                          </a:extLst>
                        </wps:spPr>
                        <wps:bodyPr/>
                      </wps:wsp>
                      <wps:wsp>
                        <wps:cNvPr id="25" name="Tiesioji rodyklės jungtis 26"/>
                        <wps:cNvCnPr>
                          <a:cxnSpLocks noChangeShapeType="1"/>
                          <a:stCxn id="23" idx="1"/>
                          <a:endCxn id="19" idx="4"/>
                        </wps:cNvCnPr>
                        <wps:spPr bwMode="auto">
                          <a:xfrm flipH="1" flipV="1">
                            <a:off x="5184577" y="4675473"/>
                            <a:ext cx="360040" cy="934378"/>
                          </a:xfrm>
                          <a:prstGeom prst="straightConnector1">
                            <a:avLst/>
                          </a:prstGeom>
                          <a:noFill/>
                          <a:ln w="38100" algn="ctr">
                            <a:solidFill>
                              <a:srgbClr val="4BACC6"/>
                            </a:solidFill>
                            <a:round/>
                            <a:headEnd/>
                            <a:tailEnd type="arrow" w="med" len="med"/>
                          </a:ln>
                          <a:effectLst>
                            <a:outerShdw blurRad="40000" dist="23000" dir="5400000" rotWithShape="0">
                              <a:srgbClr val="000000">
                                <a:alpha val="34999"/>
                              </a:srgbClr>
                            </a:outerShdw>
                          </a:effectLst>
                          <a:extLst>
                            <a:ext uri="{909E8E84-426E-40DD-AFC4-6F175D3DCCD1}">
                              <a14:hiddenFill xmlns:a14="http://schemas.microsoft.com/office/drawing/2010/main">
                                <a:noFill/>
                              </a14:hiddenFill>
                            </a:ext>
                          </a:extLst>
                        </wps:spPr>
                        <wps:bodyPr/>
                      </wps:wsp>
                      <wps:wsp>
                        <wps:cNvPr id="26" name="Tiesioji rodyklės jungtis 27"/>
                        <wps:cNvCnPr>
                          <a:cxnSpLocks noChangeShapeType="1"/>
                          <a:stCxn id="23" idx="1"/>
                        </wps:cNvCnPr>
                        <wps:spPr bwMode="auto">
                          <a:xfrm flipH="1" flipV="1">
                            <a:off x="3240367" y="4675473"/>
                            <a:ext cx="2304250" cy="934378"/>
                          </a:xfrm>
                          <a:prstGeom prst="straightConnector1">
                            <a:avLst/>
                          </a:prstGeom>
                          <a:noFill/>
                          <a:ln w="38100" algn="ctr">
                            <a:solidFill>
                              <a:srgbClr val="4BACC6"/>
                            </a:solidFill>
                            <a:round/>
                            <a:headEnd/>
                            <a:tailEnd type="arrow" w="med" len="med"/>
                          </a:ln>
                          <a:effectLst>
                            <a:outerShdw blurRad="40000" dist="23000" dir="5400000" rotWithShape="0">
                              <a:srgbClr val="000000">
                                <a:alpha val="34999"/>
                              </a:srgbClr>
                            </a:outerShdw>
                          </a:effectLst>
                          <a:extLst>
                            <a:ext uri="{909E8E84-426E-40DD-AFC4-6F175D3DCCD1}">
                              <a14:hiddenFill xmlns:a14="http://schemas.microsoft.com/office/drawing/2010/main">
                                <a:noFill/>
                              </a14:hiddenFill>
                            </a:ext>
                          </a:extLst>
                        </wps:spPr>
                        <wps:bodyPr/>
                      </wps:wsp>
                      <wps:wsp>
                        <wps:cNvPr id="27" name="Tiesioji rodyklės jungtis 28"/>
                        <wps:cNvCnPr>
                          <a:cxnSpLocks noChangeShapeType="1"/>
                        </wps:cNvCnPr>
                        <wps:spPr bwMode="auto">
                          <a:xfrm flipH="1" flipV="1">
                            <a:off x="3132347" y="4105827"/>
                            <a:ext cx="3833239" cy="684077"/>
                          </a:xfrm>
                          <a:prstGeom prst="straightConnector1">
                            <a:avLst/>
                          </a:prstGeom>
                          <a:noFill/>
                          <a:ln w="38100" algn="ctr">
                            <a:solidFill>
                              <a:srgbClr val="4BACC6"/>
                            </a:solidFill>
                            <a:round/>
                            <a:headEnd/>
                            <a:tailEnd type="arrow" w="med" len="med"/>
                          </a:ln>
                          <a:effectLst>
                            <a:outerShdw blurRad="40000" dist="23000" dir="5400000" rotWithShape="0">
                              <a:srgbClr val="000000">
                                <a:alpha val="34999"/>
                              </a:srgbClr>
                            </a:outerShdw>
                          </a:effectLst>
                          <a:extLst>
                            <a:ext uri="{909E8E84-426E-40DD-AFC4-6F175D3DCCD1}">
                              <a14:hiddenFill xmlns:a14="http://schemas.microsoft.com/office/drawing/2010/main">
                                <a:noFill/>
                              </a14:hiddenFill>
                            </a:ext>
                          </a:extLst>
                        </wps:spPr>
                        <wps:bodyPr/>
                      </wps:wsp>
                      <wps:wsp>
                        <wps:cNvPr id="28" name="Tiesioji rodyklės jungtis 29"/>
                        <wps:cNvCnPr>
                          <a:cxnSpLocks noChangeShapeType="1"/>
                          <a:stCxn id="15" idx="4"/>
                        </wps:cNvCnPr>
                        <wps:spPr bwMode="auto">
                          <a:xfrm>
                            <a:off x="2808312" y="3811377"/>
                            <a:ext cx="0" cy="1512168"/>
                          </a:xfrm>
                          <a:prstGeom prst="straightConnector1">
                            <a:avLst/>
                          </a:prstGeom>
                          <a:noFill/>
                          <a:ln w="38100" algn="ctr">
                            <a:solidFill>
                              <a:srgbClr val="F79646"/>
                            </a:solidFill>
                            <a:prstDash val="dash"/>
                            <a:round/>
                            <a:headEnd type="arrow" w="med" len="med"/>
                            <a:tailEnd type="arrow" w="med" len="med"/>
                          </a:ln>
                          <a:effectLst>
                            <a:outerShdw blurRad="40000" dist="23000" dir="5400000" rotWithShape="0">
                              <a:srgbClr val="000000">
                                <a:alpha val="34999"/>
                              </a:srgbClr>
                            </a:outerShdw>
                          </a:effectLst>
                          <a:extLst>
                            <a:ext uri="{909E8E84-426E-40DD-AFC4-6F175D3DCCD1}">
                              <a14:hiddenFill xmlns:a14="http://schemas.microsoft.com/office/drawing/2010/main">
                                <a:noFill/>
                              </a14:hiddenFill>
                            </a:ext>
                          </a:extLst>
                        </wps:spPr>
                        <wps:bodyPr/>
                      </wps:wsp>
                      <wps:wsp>
                        <wps:cNvPr id="29" name="Ovalas 30"/>
                        <wps:cNvSpPr>
                          <a:spLocks noChangeArrowheads="1"/>
                        </wps:cNvSpPr>
                        <wps:spPr bwMode="auto">
                          <a:xfrm>
                            <a:off x="2448272" y="5467561"/>
                            <a:ext cx="648074" cy="800706"/>
                          </a:xfrm>
                          <a:prstGeom prst="ellipse">
                            <a:avLst/>
                          </a:prstGeom>
                          <a:solidFill>
                            <a:srgbClr val="9BBB59"/>
                          </a:solidFill>
                          <a:ln w="25400" algn="ctr">
                            <a:solidFill>
                              <a:srgbClr val="71893F"/>
                            </a:solidFill>
                            <a:round/>
                            <a:headEnd/>
                            <a:tailEnd/>
                          </a:ln>
                        </wps:spPr>
                        <wps:txbx>
                          <w:txbxContent>
                            <w:p w:rsidR="00827571" w:rsidRDefault="00827571" w:rsidP="003A4330">
                              <w:pPr>
                                <w:rPr>
                                  <w:rFonts w:eastAsia="Times New Roman"/>
                                </w:rPr>
                              </w:pPr>
                            </w:p>
                          </w:txbxContent>
                        </wps:txbx>
                        <wps:bodyPr rot="0" vert="horz" wrap="square" lIns="91440" tIns="45720" rIns="91440" bIns="45720" anchor="ctr" anchorCtr="0" upright="1">
                          <a:noAutofit/>
                        </wps:bodyPr>
                      </wps:wsp>
                      <wps:wsp>
                        <wps:cNvPr id="30" name="Tiesioji rodyklės jungtis 31"/>
                        <wps:cNvCnPr>
                          <a:cxnSpLocks noChangeShapeType="1"/>
                          <a:stCxn id="15" idx="2"/>
                          <a:endCxn id="21" idx="6"/>
                        </wps:cNvCnPr>
                        <wps:spPr bwMode="auto">
                          <a:xfrm flipH="1">
                            <a:off x="1152128" y="3523345"/>
                            <a:ext cx="1368152" cy="0"/>
                          </a:xfrm>
                          <a:prstGeom prst="straightConnector1">
                            <a:avLst/>
                          </a:prstGeom>
                          <a:noFill/>
                          <a:ln w="38100" algn="ctr">
                            <a:solidFill>
                              <a:srgbClr val="F79646"/>
                            </a:solidFill>
                            <a:prstDash val="dash"/>
                            <a:round/>
                            <a:headEnd type="arrow" w="med" len="med"/>
                            <a:tailEnd type="arrow" w="med" len="med"/>
                          </a:ln>
                          <a:effectLst>
                            <a:outerShdw blurRad="40000" dist="23000" dir="5400000" rotWithShape="0">
                              <a:srgbClr val="000000">
                                <a:alpha val="34999"/>
                              </a:srgbClr>
                            </a:outerShdw>
                          </a:effectLst>
                          <a:extLst>
                            <a:ext uri="{909E8E84-426E-40DD-AFC4-6F175D3DCCD1}">
                              <a14:hiddenFill xmlns:a14="http://schemas.microsoft.com/office/drawing/2010/main">
                                <a:noFill/>
                              </a14:hiddenFill>
                            </a:ext>
                          </a:extLst>
                        </wps:spPr>
                        <wps:bodyPr/>
                      </wps:wsp>
                      <wps:wsp>
                        <wps:cNvPr id="31" name="Suapvalintas stačiakampis 32"/>
                        <wps:cNvSpPr>
                          <a:spLocks noChangeArrowheads="1"/>
                        </wps:cNvSpPr>
                        <wps:spPr bwMode="auto">
                          <a:xfrm>
                            <a:off x="2851174" y="6007436"/>
                            <a:ext cx="2117378" cy="674772"/>
                          </a:xfrm>
                          <a:prstGeom prst="roundRect">
                            <a:avLst>
                              <a:gd name="adj" fmla="val 16667"/>
                            </a:avLst>
                          </a:prstGeom>
                          <a:solidFill>
                            <a:srgbClr val="9BBB59"/>
                          </a:solidFill>
                          <a:ln w="25400" algn="ctr">
                            <a:solidFill>
                              <a:srgbClr val="71893F"/>
                            </a:solidFill>
                            <a:round/>
                            <a:headEnd/>
                            <a:tailEnd/>
                          </a:ln>
                        </wps:spPr>
                        <wps:txbx>
                          <w:txbxContent>
                            <w:p w:rsidR="00827571" w:rsidRDefault="00827571" w:rsidP="003A4330">
                              <w:pPr>
                                <w:pStyle w:val="prastasistinklapis"/>
                                <w:spacing w:before="0" w:beforeAutospacing="0" w:after="0" w:afterAutospacing="0"/>
                                <w:jc w:val="center"/>
                                <w:textAlignment w:val="baseline"/>
                              </w:pPr>
                              <w:r w:rsidRPr="00246340">
                                <w:rPr>
                                  <w:color w:val="000000"/>
                                  <w:kern w:val="24"/>
                                  <w:sz w:val="20"/>
                                  <w:szCs w:val="20"/>
                                </w:rPr>
                                <w:t>Kaimo vietovių BIVP</w:t>
                              </w:r>
                            </w:p>
                          </w:txbxContent>
                        </wps:txbx>
                        <wps:bodyPr rot="0" vert="horz" wrap="square" lIns="91440" tIns="45720" rIns="91440" bIns="45720" anchor="ctr" anchorCtr="0" upright="1">
                          <a:noAutofit/>
                        </wps:bodyPr>
                      </wps:wsp>
                      <wps:wsp>
                        <wps:cNvPr id="32" name="TextBox 70"/>
                        <wps:cNvSpPr txBox="1">
                          <a:spLocks noChangeArrowheads="1"/>
                        </wps:cNvSpPr>
                        <wps:spPr bwMode="auto">
                          <a:xfrm>
                            <a:off x="2448473" y="5179563"/>
                            <a:ext cx="2484226" cy="7348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571" w:rsidRDefault="00827571" w:rsidP="003A4330">
                              <w:pPr>
                                <w:pStyle w:val="prastasistinklapis"/>
                                <w:spacing w:before="0" w:beforeAutospacing="0" w:after="0" w:afterAutospacing="0"/>
                                <w:textAlignment w:val="baseline"/>
                              </w:pPr>
                              <w:r w:rsidRPr="00246340">
                                <w:rPr>
                                  <w:color w:val="000000"/>
                                  <w:kern w:val="24"/>
                                  <w:sz w:val="20"/>
                                  <w:szCs w:val="20"/>
                                </w:rPr>
                                <w:t>Miesto/kaimo bendradarbiavimas</w:t>
                              </w:r>
                            </w:p>
                          </w:txbxContent>
                        </wps:txbx>
                        <wps:bodyPr rot="0" vert="horz" wrap="square" lIns="91440" tIns="45720" rIns="91440" bIns="45720" anchor="t" anchorCtr="0" upright="1">
                          <a:noAutofit/>
                        </wps:bodyPr>
                      </wps:wsp>
                      <wps:wsp>
                        <wps:cNvPr id="33" name="Tiesioji rodyklės jungtis 34"/>
                        <wps:cNvCnPr>
                          <a:cxnSpLocks noChangeShapeType="1"/>
                        </wps:cNvCnPr>
                        <wps:spPr bwMode="auto">
                          <a:xfrm>
                            <a:off x="5184574" y="3127393"/>
                            <a:ext cx="1080120" cy="0"/>
                          </a:xfrm>
                          <a:prstGeom prst="straightConnector1">
                            <a:avLst/>
                          </a:prstGeom>
                          <a:noFill/>
                          <a:ln w="38100" algn="ctr">
                            <a:solidFill>
                              <a:srgbClr val="000000"/>
                            </a:solidFill>
                            <a:prstDash val="sysDash"/>
                            <a:round/>
                            <a:headEnd type="arrow" w="med" len="med"/>
                            <a:tailEnd type="arrow" w="med" len="med"/>
                          </a:ln>
                          <a:effectLst>
                            <a:outerShdw blurRad="40000" dist="23000" dir="5400000" rotWithShape="0">
                              <a:srgbClr val="000000">
                                <a:alpha val="34999"/>
                              </a:srgbClr>
                            </a:outerShdw>
                          </a:effectLst>
                          <a:extLst>
                            <a:ext uri="{909E8E84-426E-40DD-AFC4-6F175D3DCCD1}">
                              <a14:hiddenFill xmlns:a14="http://schemas.microsoft.com/office/drawing/2010/main">
                                <a:noFill/>
                              </a14:hiddenFill>
                            </a:ext>
                          </a:extLst>
                        </wps:spPr>
                        <wps:bodyPr/>
                      </wps:wsp>
                      <wps:wsp>
                        <wps:cNvPr id="34" name="Tiesioji rodyklės jungtis 35"/>
                        <wps:cNvCnPr>
                          <a:cxnSpLocks noChangeShapeType="1"/>
                        </wps:cNvCnPr>
                        <wps:spPr bwMode="auto">
                          <a:xfrm>
                            <a:off x="5184576" y="2371218"/>
                            <a:ext cx="1080120" cy="0"/>
                          </a:xfrm>
                          <a:prstGeom prst="straightConnector1">
                            <a:avLst/>
                          </a:prstGeom>
                          <a:noFill/>
                          <a:ln w="38100" algn="ctr">
                            <a:solidFill>
                              <a:srgbClr val="000000"/>
                            </a:solidFill>
                            <a:prstDash val="sysDash"/>
                            <a:round/>
                            <a:headEnd type="arrow" w="med" len="med"/>
                            <a:tailEnd type="arrow" w="med" len="med"/>
                          </a:ln>
                          <a:effectLst>
                            <a:outerShdw blurRad="40000" dist="23000" dir="5400000" rotWithShape="0">
                              <a:srgbClr val="000000">
                                <a:alpha val="34999"/>
                              </a:srgbClr>
                            </a:outerShdw>
                          </a:effectLst>
                          <a:extLst>
                            <a:ext uri="{909E8E84-426E-40DD-AFC4-6F175D3DCCD1}">
                              <a14:hiddenFill xmlns:a14="http://schemas.microsoft.com/office/drawing/2010/main">
                                <a:noFill/>
                              </a14:hiddenFill>
                            </a:ext>
                          </a:extLst>
                        </wps:spPr>
                        <wps:bodyPr/>
                      </wps:wsp>
                      <wps:wsp>
                        <wps:cNvPr id="35" name="TextBox 76"/>
                        <wps:cNvSpPr txBox="1">
                          <a:spLocks noChangeArrowheads="1"/>
                        </wps:cNvSpPr>
                        <wps:spPr bwMode="auto">
                          <a:xfrm>
                            <a:off x="5527483" y="2371381"/>
                            <a:ext cx="3311939" cy="7348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571" w:rsidRDefault="00827571" w:rsidP="003A4330">
                              <w:pPr>
                                <w:pStyle w:val="prastasistinklapis"/>
                                <w:spacing w:before="0" w:beforeAutospacing="0" w:after="0" w:afterAutospacing="0"/>
                                <w:textAlignment w:val="baseline"/>
                              </w:pPr>
                              <w:r w:rsidRPr="00246340">
                                <w:rPr>
                                  <w:color w:val="000000"/>
                                  <w:kern w:val="24"/>
                                  <w:sz w:val="20"/>
                                  <w:szCs w:val="20"/>
                                </w:rPr>
                                <w:t>Ryšiai su priemiestinėmis/kaimo teritorijomis</w:t>
                              </w:r>
                            </w:p>
                          </w:txbxContent>
                        </wps:txbx>
                        <wps:bodyPr rot="0" vert="horz" wrap="square" lIns="91440" tIns="45720" rIns="91440" bIns="45720" anchor="t" anchorCtr="0" upright="1">
                          <a:noAutofit/>
                        </wps:bodyPr>
                      </wps:wsp>
                      <wps:wsp>
                        <wps:cNvPr id="36" name="Ovalas 37"/>
                        <wps:cNvSpPr>
                          <a:spLocks noChangeArrowheads="1"/>
                        </wps:cNvSpPr>
                        <wps:spPr bwMode="auto">
                          <a:xfrm>
                            <a:off x="2520280" y="2371217"/>
                            <a:ext cx="576064" cy="576064"/>
                          </a:xfrm>
                          <a:prstGeom prst="ellipse">
                            <a:avLst/>
                          </a:prstGeom>
                          <a:solidFill>
                            <a:srgbClr val="FFFFFF"/>
                          </a:solidFill>
                          <a:ln w="25400" algn="ctr">
                            <a:solidFill>
                              <a:srgbClr val="9BBB59"/>
                            </a:solidFill>
                            <a:round/>
                            <a:headEnd/>
                            <a:tailEnd/>
                          </a:ln>
                        </wps:spPr>
                        <wps:txbx>
                          <w:txbxContent>
                            <w:p w:rsidR="00827571" w:rsidRDefault="00827571" w:rsidP="003A4330">
                              <w:pPr>
                                <w:rPr>
                                  <w:rFonts w:eastAsia="Times New Roman"/>
                                </w:rPr>
                              </w:pPr>
                            </w:p>
                          </w:txbxContent>
                        </wps:txbx>
                        <wps:bodyPr rot="0" vert="horz" wrap="square" lIns="91440" tIns="45720" rIns="91440" bIns="45720" anchor="ctr" anchorCtr="0" upright="1">
                          <a:noAutofit/>
                        </wps:bodyPr>
                      </wps:wsp>
                      <wps:wsp>
                        <wps:cNvPr id="37" name="Tiesioji rodyklės jungtis 38"/>
                        <wps:cNvCnPr>
                          <a:cxnSpLocks noChangeShapeType="1"/>
                        </wps:cNvCnPr>
                        <wps:spPr bwMode="auto">
                          <a:xfrm flipH="1">
                            <a:off x="2736304" y="931057"/>
                            <a:ext cx="2808312" cy="1872208"/>
                          </a:xfrm>
                          <a:prstGeom prst="straightConnector1">
                            <a:avLst/>
                          </a:prstGeom>
                          <a:noFill/>
                          <a:ln w="38100" algn="ctr">
                            <a:solidFill>
                              <a:srgbClr val="9BBB59"/>
                            </a:solidFill>
                            <a:round/>
                            <a:headEnd/>
                            <a:tailEnd type="arrow" w="med" len="med"/>
                          </a:ln>
                          <a:effectLst>
                            <a:outerShdw blurRad="40000" dist="23000" dir="5400000" rotWithShape="0">
                              <a:srgbClr val="000000">
                                <a:alpha val="34999"/>
                              </a:srgbClr>
                            </a:outerShdw>
                          </a:effectLst>
                          <a:extLst>
                            <a:ext uri="{909E8E84-426E-40DD-AFC4-6F175D3DCCD1}">
                              <a14:hiddenFill xmlns:a14="http://schemas.microsoft.com/office/drawing/2010/main">
                                <a:noFill/>
                              </a14:hiddenFill>
                            </a:ext>
                          </a:extLst>
                        </wps:spPr>
                        <wps:bodyPr/>
                      </wps:wsp>
                      <wps:wsp>
                        <wps:cNvPr id="38" name="Ovalas 39"/>
                        <wps:cNvSpPr>
                          <a:spLocks noChangeArrowheads="1"/>
                        </wps:cNvSpPr>
                        <wps:spPr bwMode="auto">
                          <a:xfrm>
                            <a:off x="2520280" y="2947281"/>
                            <a:ext cx="576064" cy="576064"/>
                          </a:xfrm>
                          <a:prstGeom prst="ellipse">
                            <a:avLst/>
                          </a:prstGeom>
                          <a:solidFill>
                            <a:srgbClr val="FFFFFF"/>
                          </a:solidFill>
                          <a:ln w="25400" algn="ctr">
                            <a:solidFill>
                              <a:srgbClr val="9BBB59"/>
                            </a:solidFill>
                            <a:round/>
                            <a:headEnd/>
                            <a:tailEnd/>
                          </a:ln>
                        </wps:spPr>
                        <wps:txbx>
                          <w:txbxContent>
                            <w:p w:rsidR="00827571" w:rsidRDefault="00827571" w:rsidP="003A4330">
                              <w:pPr>
                                <w:rPr>
                                  <w:rFonts w:eastAsia="Times New Roman"/>
                                </w:rPr>
                              </w:pPr>
                            </w:p>
                          </w:txbxContent>
                        </wps:txbx>
                        <wps:bodyPr rot="0" vert="horz" wrap="square" lIns="91440" tIns="45720" rIns="91440" bIns="45720" anchor="ctr" anchorCtr="0" upright="1">
                          <a:noAutofit/>
                        </wps:bodyPr>
                      </wps:wsp>
                      <wps:wsp>
                        <wps:cNvPr id="39" name="Tiesioji rodyklės jungtis 40"/>
                        <wps:cNvCnPr>
                          <a:cxnSpLocks noChangeShapeType="1"/>
                        </wps:cNvCnPr>
                        <wps:spPr bwMode="auto">
                          <a:xfrm flipH="1">
                            <a:off x="2808312" y="1363105"/>
                            <a:ext cx="2736304" cy="1872208"/>
                          </a:xfrm>
                          <a:prstGeom prst="straightConnector1">
                            <a:avLst/>
                          </a:prstGeom>
                          <a:noFill/>
                          <a:ln w="38100" algn="ctr">
                            <a:solidFill>
                              <a:srgbClr val="9BBB59"/>
                            </a:solidFill>
                            <a:round/>
                            <a:headEnd/>
                            <a:tailEnd type="arrow" w="med" len="med"/>
                          </a:ln>
                          <a:effectLst>
                            <a:outerShdw blurRad="40000" dist="23000" dir="5400000" rotWithShape="0">
                              <a:srgbClr val="000000">
                                <a:alpha val="34999"/>
                              </a:srgbClr>
                            </a:outerShdw>
                          </a:effectLst>
                          <a:extLst>
                            <a:ext uri="{909E8E84-426E-40DD-AFC4-6F175D3DCCD1}">
                              <a14:hiddenFill xmlns:a14="http://schemas.microsoft.com/office/drawing/2010/main">
                                <a:noFill/>
                              </a14:hiddenFill>
                            </a:ext>
                          </a:extLst>
                        </wps:spPr>
                        <wps:bodyPr/>
                      </wps:wsp>
                      <wps:wsp>
                        <wps:cNvPr id="40" name="Suapvalintas stačiakampis 41"/>
                        <wps:cNvSpPr>
                          <a:spLocks noChangeArrowheads="1"/>
                        </wps:cNvSpPr>
                        <wps:spPr bwMode="auto">
                          <a:xfrm>
                            <a:off x="0" y="4531455"/>
                            <a:ext cx="1872206" cy="1246447"/>
                          </a:xfrm>
                          <a:prstGeom prst="roundRect">
                            <a:avLst>
                              <a:gd name="adj" fmla="val 16667"/>
                            </a:avLst>
                          </a:prstGeom>
                          <a:solidFill>
                            <a:srgbClr val="F79646"/>
                          </a:solidFill>
                          <a:ln w="38100" algn="ctr">
                            <a:solidFill>
                              <a:srgbClr val="FFFFFF"/>
                            </a:solidFill>
                            <a:round/>
                            <a:headEnd/>
                            <a:tailEnd/>
                          </a:ln>
                          <a:effectLst>
                            <a:outerShdw blurRad="40000" dist="20000" dir="5400000" rotWithShape="0">
                              <a:srgbClr val="000000">
                                <a:alpha val="37999"/>
                              </a:srgbClr>
                            </a:outerShdw>
                          </a:effectLst>
                        </wps:spPr>
                        <wps:txbx>
                          <w:txbxContent>
                            <w:p w:rsidR="00827571" w:rsidRDefault="00827571" w:rsidP="003A4330">
                              <w:pPr>
                                <w:pStyle w:val="prastasistinklapis"/>
                                <w:spacing w:before="0" w:beforeAutospacing="0" w:after="0" w:afterAutospacing="0"/>
                                <w:jc w:val="center"/>
                                <w:textAlignment w:val="baseline"/>
                              </w:pPr>
                              <w:r w:rsidRPr="00246340">
                                <w:rPr>
                                  <w:color w:val="000000"/>
                                  <w:kern w:val="24"/>
                                  <w:sz w:val="20"/>
                                  <w:szCs w:val="20"/>
                                </w:rPr>
                                <w:t>BIVP už tikslinės teritorijos ribų (neprivaloma)</w:t>
                              </w:r>
                            </w:p>
                          </w:txbxContent>
                        </wps:txbx>
                        <wps:bodyPr rot="0" vert="horz" wrap="square" lIns="91440" tIns="45720" rIns="91440" bIns="45720" anchor="ctr" anchorCtr="0" upright="1">
                          <a:noAutofit/>
                        </wps:bodyPr>
                      </wps:wsp>
                      <wps:wsp>
                        <wps:cNvPr id="41" name="Tiesioji rodyklės jungtis 42"/>
                        <wps:cNvCnPr>
                          <a:cxnSpLocks noChangeShapeType="1"/>
                        </wps:cNvCnPr>
                        <wps:spPr bwMode="auto">
                          <a:xfrm>
                            <a:off x="3384376" y="1651137"/>
                            <a:ext cx="0" cy="504056"/>
                          </a:xfrm>
                          <a:prstGeom prst="straightConnector1">
                            <a:avLst/>
                          </a:prstGeom>
                          <a:noFill/>
                          <a:ln w="9525" algn="ctr">
                            <a:solidFill>
                              <a:srgbClr val="4A7EBB"/>
                            </a:solidFill>
                            <a:round/>
                            <a:headEnd/>
                            <a:tailEnd type="arrow" w="med" len="med"/>
                          </a:ln>
                          <a:extLst>
                            <a:ext uri="{909E8E84-426E-40DD-AFC4-6F175D3DCCD1}">
                              <a14:hiddenFill xmlns:a14="http://schemas.microsoft.com/office/drawing/2010/main">
                                <a:noFill/>
                              </a14:hiddenFill>
                            </a:ext>
                          </a:extLst>
                        </wps:spPr>
                        <wps:bodyPr/>
                      </wps:wsp>
                      <wps:wsp>
                        <wps:cNvPr id="42" name="Tiesioji rodyklės jungtis 43"/>
                        <wps:cNvCnPr>
                          <a:cxnSpLocks noChangeShapeType="1"/>
                        </wps:cNvCnPr>
                        <wps:spPr bwMode="auto">
                          <a:xfrm>
                            <a:off x="4176464" y="1039068"/>
                            <a:ext cx="0" cy="1188133"/>
                          </a:xfrm>
                          <a:prstGeom prst="straightConnector1">
                            <a:avLst/>
                          </a:prstGeom>
                          <a:noFill/>
                          <a:ln w="57150" algn="ctr">
                            <a:solidFill>
                              <a:srgbClr val="4A7EBB"/>
                            </a:solidFill>
                            <a:round/>
                            <a:headEnd/>
                            <a:tailEnd type="arrow" w="med" len="med"/>
                          </a:ln>
                          <a:extLst>
                            <a:ext uri="{909E8E84-426E-40DD-AFC4-6F175D3DCCD1}">
                              <a14:hiddenFill xmlns:a14="http://schemas.microsoft.com/office/drawing/2010/main">
                                <a:noFill/>
                              </a14:hiddenFill>
                            </a:ext>
                          </a:extLst>
                        </wps:spPr>
                        <wps:bodyPr/>
                      </wps:wsp>
                    </wpg:wgp>
                  </a:graphicData>
                </a:graphic>
              </wp:inline>
            </w:drawing>
          </mc:Choice>
          <mc:Fallback>
            <w:pict>
              <v:group id="Grupė 3" o:spid="_x0000_s1026" style="width:448pt;height:293.95pt;mso-position-horizontal-relative:char;mso-position-vertical-relative:line" coordsize="88394,66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">
                <v:oval id="Ovalas 2" o:spid="_x0000_s1027" style="position:absolute;top:4990;width:45365;height:439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twhcMA&#10;AADaAAAADwAAAGRycy9kb3ducmV2LnhtbESPzWrDMBCE74W8g9hAbo0ck/7gRgnGkJBLSOP0ARZr&#10;a5taK2PJf28fFQo9DjPzDbM7TKYRA3Wutqxgs45AEBdW11wq+Lofn99BOI+ssbFMCmZycNgvnnaY&#10;aDvyjYbclyJA2CWooPK+TaR0RUUG3dq2xMH7tp1BH2RXSt3hGOCmkXEUvUqDNYeFClvKKip+8t4o&#10;2Eab++00j1n+9qIv/eflml77QanVcko/QHia/H/4r33WCmL4vRJugN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qtwhcMAAADaAAAADwAAAAAAAAAAAAAAAACYAgAAZHJzL2Rv&#10;d25yZXYueG1sUEsFBgAAAAAEAAQA9QAAAIgDAAAAAA==&#10;" fillcolor="#4f81bd" strokecolor="#385d8a" strokeweight="2pt">
                  <v:textbox>
                    <w:txbxContent>
                      <w:p w:rsidR="00827571" w:rsidRDefault="00827571" w:rsidP="003A4330">
                        <w:pPr>
                          <w:pStyle w:val="prastasistinklapis"/>
                          <w:spacing w:before="0" w:beforeAutospacing="0" w:after="0" w:afterAutospacing="0"/>
                          <w:jc w:val="center"/>
                          <w:textAlignment w:val="baseline"/>
                        </w:pPr>
                        <w:r w:rsidRPr="00246340">
                          <w:rPr>
                            <w:color w:val="FFFFFF"/>
                            <w:kern w:val="24"/>
                            <w:sz w:val="20"/>
                            <w:szCs w:val="20"/>
                          </w:rPr>
                          <w:t>Miestas/miestai</w:t>
                        </w:r>
                      </w:p>
                    </w:txbxContent>
                  </v:textbox>
                </v:oval>
                <v:roundrect id="Suapvalintas stačiakampis 3" o:spid="_x0000_s1028" style="position:absolute;left:11521;top:15791;width:41044;height:3456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4u5sUA&#10;AADaAAAADwAAAGRycy9kb3ducmV2LnhtbESPW2sCMRSE3wv9D+EU+laztSiyGsV6qYK+eCv07bA5&#10;3V26OVmSqKu/vhEEH4eZ+YYZjBpTiRM5X1pW8N5KQBBnVpecK9jv5m89ED4ga6wsk4ILeRgNn58G&#10;mGp75g2dtiEXEcI+RQVFCHUqpc8KMuhbtiaO3q91BkOULpfa4TnCTSXbSdKVBkuOCwXWNCko+9se&#10;jYKfzoHX48/V9Tidu9n6uvveLOovpV5fmnEfRKAmPML39lIr+IDblXgD5PA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i7mxQAAANoAAAAPAAAAAAAAAAAAAAAAAJgCAABkcnMv&#10;ZG93bnJldi54bWxQSwUGAAAAAAQABAD1AAAAigMAAAAA&#10;" fillcolor="#c3d69b" strokecolor="#4f6228" strokeweight="4.5pt">
                  <v:textbox>
                    <w:txbxContent>
                      <w:p w:rsidR="00827571" w:rsidRDefault="00827571" w:rsidP="003A4330">
                        <w:pPr>
                          <w:pStyle w:val="prastasistinklapis"/>
                          <w:spacing w:before="0" w:beforeAutospacing="0" w:after="0" w:afterAutospacing="0"/>
                          <w:textAlignment w:val="baseline"/>
                        </w:pPr>
                        <w:r w:rsidRPr="00246340">
                          <w:rPr>
                            <w:color w:val="000000"/>
                            <w:kern w:val="24"/>
                            <w:sz w:val="20"/>
                            <w:szCs w:val="20"/>
                          </w:rPr>
                          <w:t>ITI teritorija</w:t>
                        </w:r>
                      </w:p>
                    </w:txbxContent>
                  </v:textbox>
                </v:roundrect>
                <v:roundrect id="Suapvalintas stačiakampis 5" o:spid="_x0000_s1029" style="position:absolute;left:27363;top:21551;width:7920;height:2664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dXGsMA&#10;AADaAAAADwAAAGRycy9kb3ducmV2LnhtbESPQYvCMBSE78L+h/AEL4umqyJr1yhFEDwoYt2Lt2fz&#10;bLs2L6WJWv+9ERY8DjPzDTNbtKYSN2pcaVnB1yACQZxZXXKu4Pew6n+DcB5ZY2WZFDzIwWL+0Zlh&#10;rO2d93RLfS4ChF2MCgrv61hKlxVk0A1sTRy8s20M+iCbXOoG7wFuKjmMook0WHJYKLCmZUHZJb0a&#10;BVvkaemT43ojP5PD32okd9nprFSv2yY/IDy1/h3+b6+1gjG8roQbIO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KdXGsMAAADaAAAADwAAAAAAAAAAAAAAAACYAgAAZHJzL2Rv&#10;d25yZXYueG1sUEsFBgAAAAAEAAQA9QAAAIgDAAAAAA==&#10;" fillcolor="#4f81bd" strokecolor="#385d8a" strokeweight="2pt">
                  <v:textbox>
                    <w:txbxContent>
                      <w:p w:rsidR="00827571" w:rsidRDefault="00827571" w:rsidP="003A4330">
                        <w:pPr>
                          <w:rPr>
                            <w:rFonts w:eastAsia="Times New Roman"/>
                          </w:rPr>
                        </w:pPr>
                      </w:p>
                    </w:txbxContent>
                  </v:textbox>
                </v:roundrect>
                <v:roundrect id="Suapvalintas stačiakampis 6" o:spid="_x0000_s1030" style="position:absolute;left:28083;top:22272;width:23762;height:50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ygcMA&#10;AADaAAAADwAAAGRycy9kb3ducmV2LnhtbESPQYvCMBSE78L+h/AEL4umqyhr1yhFEDwoYt2Lt2fz&#10;bLs2L6WJWv+9ERY8DjPzDTNbtKYSN2pcaVnB1yACQZxZXXKu4Pew6n+DcB5ZY2WZFDzIwWL+0Zlh&#10;rO2d93RLfS4ChF2MCgrv61hKlxVk0A1sTRy8s20M+iCbXOoG7wFuKjmMook0WHJYKLCmZUHZJb0a&#10;BVvkaemT43ojP5PD32okd9nprFSv2yY/IDy1/h3+b6+1gjG8roQbIO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vygcMAAADaAAAADwAAAAAAAAAAAAAAAACYAgAAZHJzL2Rv&#10;d25yZXYueG1sUEsFBgAAAAAEAAQA9QAAAIgDAAAAAA==&#10;" fillcolor="#4f81bd" strokecolor="#385d8a" strokeweight="2pt">
                  <v:textbox>
                    <w:txbxContent>
                      <w:p w:rsidR="00827571" w:rsidRDefault="00827571" w:rsidP="003A4330">
                        <w:pPr>
                          <w:pStyle w:val="prastasistinklapis"/>
                          <w:spacing w:before="0" w:beforeAutospacing="0" w:after="0" w:afterAutospacing="0"/>
                          <w:jc w:val="center"/>
                          <w:textAlignment w:val="baseline"/>
                        </w:pPr>
                        <w:r w:rsidRPr="00246340">
                          <w:rPr>
                            <w:color w:val="FFFFFF"/>
                            <w:kern w:val="24"/>
                            <w:sz w:val="20"/>
                            <w:szCs w:val="20"/>
                          </w:rPr>
                          <w:t>Demografija</w:t>
                        </w:r>
                      </w:p>
                    </w:txbxContent>
                  </v:textbox>
                </v:roundrect>
                <v:roundrect id="Suapvalintas stačiakampis 7" o:spid="_x0000_s1031" style="position:absolute;left:28083;top:27312;width:23762;height:504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ls9sMA&#10;AADaAAAADwAAAGRycy9kb3ducmV2LnhtbESPQWvCQBSE74X+h+UVvBSzqYJo6iaEguBBkZpeenvN&#10;PpNo9m3Irhr/vSsUPA4z8w2zzAbTigv1rrGs4COKQRCXVjdcKfgpVuM5COeRNbaWScGNHGTp68sS&#10;E22v/E2Xva9EgLBLUEHtfZdI6cqaDLrIdsTBO9jeoA+yr6Tu8RrgppWTOJ5Jgw2HhRo7+qqpPO3P&#10;RsEWedH4/He9ke95cVxN5a78Oyg1ehvyTxCeBv8M/7fXWsEMHlfCDZDp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zls9sMAAADaAAAADwAAAAAAAAAAAAAAAACYAgAAZHJzL2Rv&#10;d25yZXYueG1sUEsFBgAAAAAEAAQA9QAAAIgDAAAAAA==&#10;" fillcolor="#4f81bd" strokecolor="#385d8a" strokeweight="2pt">
                  <v:textbox>
                    <w:txbxContent>
                      <w:p w:rsidR="00827571" w:rsidRDefault="00827571" w:rsidP="003A4330">
                        <w:pPr>
                          <w:pStyle w:val="prastasistinklapis"/>
                          <w:spacing w:before="0" w:beforeAutospacing="0" w:after="0" w:afterAutospacing="0"/>
                          <w:jc w:val="center"/>
                          <w:textAlignment w:val="baseline"/>
                        </w:pPr>
                        <w:r w:rsidRPr="00246340">
                          <w:rPr>
                            <w:color w:val="FFFFFF"/>
                            <w:kern w:val="24"/>
                            <w:sz w:val="20"/>
                            <w:szCs w:val="20"/>
                          </w:rPr>
                          <w:t>Ekonomika</w:t>
                        </w:r>
                      </w:p>
                    </w:txbxContent>
                  </v:textbox>
                </v:roundrect>
                <v:roundrect id="Suapvalintas stačiakampis 8" o:spid="_x0000_s1032" style="position:absolute;left:28083;top:32353;width:23762;height:50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XJbcMA&#10;AADaAAAADwAAAGRycy9kb3ducmV2LnhtbESPQYvCMBSE78L+h/AEL4umq6Br1yhFEDwoYt2Lt2fz&#10;bLs2L6WJWv+9ERY8DjPzDTNbtKYSN2pcaVnB1yACQZxZXXKu4Pew6n+DcB5ZY2WZFDzIwWL+0Zlh&#10;rO2d93RLfS4ChF2MCgrv61hKlxVk0A1sTRy8s20M+iCbXOoG7wFuKjmMorE0WHJYKLCmZUHZJb0a&#10;BVvkaemT43ojP5PD32okd9nprFSv2yY/IDy1/h3+b6+1ggm8roQbIO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HXJbcMAAADaAAAADwAAAAAAAAAAAAAAAACYAgAAZHJzL2Rv&#10;d25yZXYueG1sUEsFBgAAAAAEAAQA9QAAAIgDAAAAAA==&#10;" fillcolor="#4f81bd" strokecolor="#385d8a" strokeweight="2pt">
                  <v:textbox>
                    <w:txbxContent>
                      <w:p w:rsidR="00827571" w:rsidRDefault="00827571" w:rsidP="003A4330">
                        <w:pPr>
                          <w:pStyle w:val="prastasistinklapis"/>
                          <w:spacing w:before="0" w:beforeAutospacing="0" w:after="0" w:afterAutospacing="0"/>
                          <w:jc w:val="center"/>
                          <w:textAlignment w:val="baseline"/>
                        </w:pPr>
                        <w:r w:rsidRPr="00246340">
                          <w:rPr>
                            <w:color w:val="FFFFFF"/>
                            <w:kern w:val="24"/>
                            <w:sz w:val="20"/>
                            <w:szCs w:val="20"/>
                          </w:rPr>
                          <w:t>Socialinė raida</w:t>
                        </w:r>
                      </w:p>
                    </w:txbxContent>
                  </v:textbox>
                </v:roundrect>
                <v:roundrect id="Suapvalintas stačiakampis 9" o:spid="_x0000_s1033" style="position:absolute;left:28083;top:37393;width:23762;height:504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pdH8EA&#10;AADaAAAADwAAAGRycy9kb3ducmV2LnhtbERPTWvCQBC9F/wPyxR6KWZjhaKpqwRB8KCUJl68jdkx&#10;SZudDdk1if++exA8Pt73ajOaRvTUudqyglkUgyAurK65VHDKd9MFCOeRNTaWScGdHGzWk5cVJtoO&#10;/EN95ksRQtglqKDyvk2kdEVFBl1kW+LAXW1n0AfYlVJ3OIRw08iPOP6UBmsODRW2tK2o+MtuRsER&#10;eVn79Lw/yPc0/93N5XdxuSr19jqmXyA8jf4pfrj3WkHYGq6EGyD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3qXR/BAAAA2gAAAA8AAAAAAAAAAAAAAAAAmAIAAGRycy9kb3du&#10;cmV2LnhtbFBLBQYAAAAABAAEAPUAAACGAwAAAAA=&#10;" fillcolor="#4f81bd" strokecolor="#385d8a" strokeweight="2pt">
                  <v:textbox>
                    <w:txbxContent>
                      <w:p w:rsidR="00827571" w:rsidRDefault="00827571" w:rsidP="003A4330">
                        <w:pPr>
                          <w:pStyle w:val="prastasistinklapis"/>
                          <w:spacing w:before="0" w:beforeAutospacing="0" w:after="0" w:afterAutospacing="0"/>
                          <w:jc w:val="center"/>
                          <w:textAlignment w:val="baseline"/>
                        </w:pPr>
                        <w:r w:rsidRPr="00246340">
                          <w:rPr>
                            <w:color w:val="FFFFFF"/>
                            <w:kern w:val="24"/>
                            <w:sz w:val="20"/>
                            <w:szCs w:val="20"/>
                          </w:rPr>
                          <w:t>Aplinkosauga</w:t>
                        </w:r>
                      </w:p>
                    </w:txbxContent>
                  </v:textbox>
                </v:roundrect>
                <v:roundrect id="Suapvalintas stačiakampis 10" o:spid="_x0000_s1034" style="position:absolute;left:28083;top:42434;width:23762;height:50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b4hMQA&#10;AADaAAAADwAAAGRycy9kb3ducmV2LnhtbESPT2vCQBTE70K/w/IKvYjZWKHU6CqhIHhQpLGX3p7Z&#10;lz82+zZkVxO/vSsIPQ4z8xtmuR5MI67UudqygmkUgyDOra65VPBz3Ew+QTiPrLGxTApu5GC9ehkt&#10;MdG252+6Zr4UAcIuQQWV920ipcsrMugi2xIHr7CdQR9kV0rdYR/gppHvcfwhDdYcFips6aui/C+7&#10;GAV75Hnt09/tTo7T43kzk4f8VCj19jqkCxCeBv8ffra3WsEcHlfCDZC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m+ITEAAAA2gAAAA8AAAAAAAAAAAAAAAAAmAIAAGRycy9k&#10;b3ducmV2LnhtbFBLBQYAAAAABAAEAPUAAACJAwAAAAA=&#10;" fillcolor="#4f81bd" strokecolor="#385d8a" strokeweight="2pt">
                  <v:textbox>
                    <w:txbxContent>
                      <w:p w:rsidR="00827571" w:rsidRDefault="00827571" w:rsidP="003A4330">
                        <w:pPr>
                          <w:pStyle w:val="prastasistinklapis"/>
                          <w:spacing w:before="0" w:beforeAutospacing="0" w:after="0" w:afterAutospacing="0"/>
                          <w:jc w:val="center"/>
                          <w:textAlignment w:val="baseline"/>
                        </w:pPr>
                        <w:r w:rsidRPr="00246340">
                          <w:rPr>
                            <w:color w:val="FFFFFF"/>
                            <w:kern w:val="24"/>
                            <w:sz w:val="20"/>
                            <w:szCs w:val="20"/>
                          </w:rPr>
                          <w:t>Klimato kaita</w:t>
                        </w:r>
                      </w:p>
                    </w:txbxContent>
                  </v:textbox>
                </v:roundrect>
                <v:roundrect id="Suapvalintas stačiakampis 11" o:spid="_x0000_s1035" style="position:absolute;left:12241;top:21551;width:17282;height:2664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dO+sQA&#10;AADbAAAADwAAAGRycy9kb3ducmV2LnhtbESPQW/CMAyF70j7D5EncYN0HBDqGtA0iWk7IWAcdvMS&#10;01RtnKrJaPfv5wPSbrbe83ufq90UOnWjITWRDTwtC1DENrqGawOf5/1iAyplZIddZDLwSwl224dZ&#10;haWLIx/pdsq1khBOJRrwOfel1sl6CpiWsScW7RqHgFnWodZuwFHCQ6dXRbHWARuWBo89vXqy7ekn&#10;GLD78bI6f+uvTfth39LVH9roD8bMH6eXZ1CZpvxvvl+/O8EXevlFBtD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HTvrEAAAA2wAAAA8AAAAAAAAAAAAAAAAAmAIAAGRycy9k&#10;b3ducmV2LnhtbFBLBQYAAAAABAAEAPUAAACJAwAAAAA=&#10;" fillcolor="#e6b9b8" strokecolor="#c0504d" strokeweight="4.5pt">
                  <v:textbox>
                    <w:txbxContent>
                      <w:p w:rsidR="00827571" w:rsidRDefault="00827571" w:rsidP="003A4330">
                        <w:pPr>
                          <w:pStyle w:val="prastasistinklapis"/>
                          <w:spacing w:before="0" w:beforeAutospacing="0" w:after="0" w:afterAutospacing="0"/>
                          <w:jc w:val="center"/>
                          <w:textAlignment w:val="baseline"/>
                        </w:pPr>
                        <w:r w:rsidRPr="00246340">
                          <w:rPr>
                            <w:color w:val="000000"/>
                            <w:kern w:val="24"/>
                            <w:sz w:val="20"/>
                            <w:szCs w:val="20"/>
                          </w:rPr>
                          <w:t>Tikslinė teritorija</w:t>
                        </w:r>
                      </w:p>
                    </w:txbxContent>
                  </v:textbox>
                </v:roundrect>
                <v:roundrect id="Suapvalintas stačiakampis 12" o:spid="_x0000_s1036" style="position:absolute;left:55446;top:4990;width:25202;height:108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J2u78A&#10;AADbAAAADwAAAGRycy9kb3ducmV2LnhtbESPzQrCMBCE74LvEFbwpqkeRKpRRBG8+gcet83aFptN&#10;baLWPr0RBG+7zMy3s/NlY0rxpNoVlhWMhhEI4tTqgjMFp+N2MAXhPLLG0jIpeJOD5aLbmWOs7Yv3&#10;9Dz4TAQIuxgV5N5XsZQuzcmgG9qKOGhXWxv0Ya0zqWt8Bbgp5TiKJtJgweFCjhWtc0pvh4cJlAtN&#10;ks19+243SXIem/Zsi7ZUqt9rVjMQnhr/N//SOx3qj+D7SxhAL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dIna7vwAAANsAAAAPAAAAAAAAAAAAAAAAAJgCAABkcnMvZG93bnJl&#10;di54bWxQSwUGAAAAAAQABAD1AAAAhAMAAAAA&#10;" strokecolor="#9bbb59" strokeweight="2pt">
                  <v:textbox>
                    <w:txbxContent>
                      <w:p w:rsidR="00827571" w:rsidRDefault="00827571" w:rsidP="003A4330">
                        <w:pPr>
                          <w:pStyle w:val="prastasistinklapis"/>
                          <w:spacing w:before="0" w:beforeAutospacing="0" w:after="0" w:afterAutospacing="0"/>
                          <w:jc w:val="center"/>
                          <w:textAlignment w:val="baseline"/>
                        </w:pPr>
                        <w:r>
                          <w:rPr>
                            <w:color w:val="000000"/>
                            <w:kern w:val="24"/>
                            <w:sz w:val="20"/>
                            <w:szCs w:val="20"/>
                          </w:rPr>
                          <w:t>Kompleksiniai projektai (7</w:t>
                        </w:r>
                        <w:r w:rsidRPr="00246340">
                          <w:rPr>
                            <w:color w:val="000000"/>
                            <w:kern w:val="24"/>
                            <w:sz w:val="20"/>
                            <w:szCs w:val="20"/>
                          </w:rPr>
                          <w:t xml:space="preserve"> prioriteto 7.1.1. konkretus uždavinys)</w:t>
                        </w:r>
                      </w:p>
                    </w:txbxContent>
                  </v:textbox>
                </v:roundrect>
                <v:roundrect id="Suapvalintas stačiakampis 13" o:spid="_x0000_s1037" style="position:absolute;left:55581;top:31673;width:28420;height:972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aU9sAA&#10;AADbAAAADwAAAGRycy9kb3ducmV2LnhtbERPS2uDQBC+F/IflinkVleFpMZmIxIo5NJAnufBnarU&#10;nRV3a8y/7wYCvc3H95x1MZlOjDS41rKCJIpBEFdWt1wrOJ8+3zIQziNr7CyTgjs5KDazlzXm2t74&#10;QOPR1yKEsMtRQeN9n0vpqoYMusj2xIH7toNBH+BQSz3gLYSbTqZxvJQGWw4NDfa0baj6Of4aBS7d&#10;Z61erL7e931pk+tyLC+HUan561R+gPA0+X/x073TYX4Kj1/CAXL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9aU9sAAAADbAAAADwAAAAAAAAAAAAAAAACYAgAAZHJzL2Rvd25y&#10;ZXYueG1sUEsFBgAAAAAEAAQA9QAAAIUDAAAAAA==&#10;" fillcolor="#f79646" strokecolor="white" strokeweight="3pt">
                  <v:shadow on="t" color="black" opacity="24903f" origin=",.5" offset="0,.55556mm"/>
                  <v:textbox>
                    <w:txbxContent>
                      <w:p w:rsidR="00827571" w:rsidRDefault="00827571" w:rsidP="003A4330">
                        <w:pPr>
                          <w:pStyle w:val="prastasistinklapis"/>
                          <w:spacing w:before="0" w:beforeAutospacing="0" w:after="0" w:afterAutospacing="0"/>
                          <w:jc w:val="center"/>
                          <w:textAlignment w:val="baseline"/>
                        </w:pPr>
                        <w:r>
                          <w:rPr>
                            <w:color w:val="000000"/>
                            <w:kern w:val="24"/>
                            <w:sz w:val="20"/>
                            <w:szCs w:val="20"/>
                          </w:rPr>
                          <w:t>BIVP (8</w:t>
                        </w:r>
                        <w:r w:rsidRPr="00246340">
                          <w:rPr>
                            <w:color w:val="000000"/>
                            <w:kern w:val="24"/>
                            <w:sz w:val="20"/>
                            <w:szCs w:val="20"/>
                          </w:rPr>
                          <w:t xml:space="preserve"> prioriteto 8.6.1 konkretus uždavinys) </w:t>
                        </w:r>
                      </w:p>
                    </w:txbxContent>
                  </v:textbox>
                </v:roundrect>
                <v:roundrect id="Suapvalintas stačiakampis 14" o:spid="_x0000_s1038" style="position:absolute;left:12961;width:42485;height:103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gqNr4A&#10;AADbAAAADwAAAGRycy9kb3ducmV2LnhtbERPTYvCMBC9L/gfwgje1nRXEalGEVHcq60Hj2Mz2xSb&#10;SUmyWv+9WRC8zeN9znLd21bcyIfGsYKvcQaCuHK64VrBqdx/zkGEiKyxdUwKHhRgvRp8LDHX7s5H&#10;uhWxFimEQ44KTIxdLmWoDFkMY9cRJ+7XeYsxQV9L7fGewm0rv7NsJi02nBoMdrQ1VF2LP6vgQpvi&#10;0dX7nTme9bSU19IfslKp0bDfLEBE6uNb/HL/6DR/Av+/pAPk6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IIKja+AAAA2wAAAA8AAAAAAAAAAAAAAAAAmAIAAGRycy9kb3ducmV2&#10;LnhtbFBLBQYAAAAABAAEAPUAAACDAwAAAAA=&#10;" filled="f" strokeweight="2pt">
                  <v:textbox>
                    <w:txbxContent>
                      <w:p w:rsidR="00827571" w:rsidRDefault="00827571" w:rsidP="003A4330">
                        <w:pPr>
                          <w:pStyle w:val="prastasistinklapis"/>
                          <w:spacing w:before="0" w:beforeAutospacing="0" w:after="0" w:afterAutospacing="0"/>
                          <w:jc w:val="center"/>
                          <w:textAlignment w:val="baseline"/>
                        </w:pPr>
                        <w:r w:rsidRPr="00246340">
                          <w:rPr>
                            <w:color w:val="000000"/>
                            <w:kern w:val="24"/>
                            <w:sz w:val="20"/>
                            <w:szCs w:val="20"/>
                          </w:rPr>
                          <w:t>Integruota teritorijos vystymo programa (strategija) (naudojant ITI)</w:t>
                        </w:r>
                      </w:p>
                    </w:txbxContent>
                  </v:textbox>
                </v:roundrect>
                <v:roundrect id="Suapvalintas stačiakampis 15" o:spid="_x0000_s1039" style="position:absolute;left:24482;top:33073;width:5041;height:144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XVI8EA&#10;AADbAAAADwAAAGRycy9kb3ducmV2LnhtbESPQYvCMBCF74L/IYzgTVNFZKnGIhZhr+oKHqfN2Bab&#10;SW2yWvvrjbCwtxnee9+8WSedqcWDWldZVjCbRiCIc6srLhT8nPaTLxDOI2usLZOCFzlINsPBGmNt&#10;n3ygx9EXIkDYxaig9L6JpXR5SQbd1DbEQbva1qAPa1tI3eIzwE0t51G0lAYrDhdKbGhXUn47/ppA&#10;udAyS+/7V59m2Xlu+rOt+lqp8ajbrkB46vy/+S/9rUP9BXx+CQPIz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1V1SPBAAAA2wAAAA8AAAAAAAAAAAAAAAAAmAIAAGRycy9kb3du&#10;cmV2LnhtbFBLBQYAAAAABAAEAPUAAACGAwAAAAA=&#10;" strokecolor="#9bbb59" strokeweight="2pt">
                  <v:textbox>
                    <w:txbxContent>
                      <w:p w:rsidR="00827571" w:rsidRDefault="00827571" w:rsidP="003A4330">
                        <w:pPr>
                          <w:rPr>
                            <w:rFonts w:eastAsia="Times New Roman"/>
                          </w:rPr>
                        </w:pPr>
                      </w:p>
                    </w:txbxContent>
                  </v:textbox>
                </v:roundrect>
                <v:oval id="Ovalas 16" o:spid="_x0000_s1040" style="position:absolute;left:25202;top:32353;width:5761;height:57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1Rs8MA&#10;AADbAAAADwAAAGRycy9kb3ducmV2LnhtbERP22oCMRB9L/gPYYS+abaylro1igottiDUC0Lfhs10&#10;s7iZLEnqbv++KQh9m8O5znzZ20ZcyYfasYKHcQaCuHS65krB6fgyegIRIrLGxjEp+KEAy8Xgbo6F&#10;dh3v6XqIlUghHApUYGJsCylDachiGLuWOHFfzluMCfpKao9dCreNnGTZo7RYc2ow2NLGUHk5fFsF&#10;O3f2k1n9ll/y/L3bv+L6w3yulbof9qtnEJH6+C++ubc6zZ/C3y/pAL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31Rs8MAAADbAAAADwAAAAAAAAAAAAAAAACYAgAAZHJzL2Rv&#10;d25yZXYueG1sUEsFBgAAAAAEAAQA9QAAAIgDAAAAAA==&#10;" fillcolor="#f79646" strokecolor="white" strokeweight="3pt">
                  <v:shadow on="t" color="black" opacity="24903f" origin=",.5" offset="0,.55556mm"/>
                  <v:textbox>
                    <w:txbxContent>
                      <w:p w:rsidR="00827571" w:rsidRDefault="00827571" w:rsidP="003A4330">
                        <w:pPr>
                          <w:rPr>
                            <w:rFonts w:eastAsia="Times New Roman"/>
                          </w:rPr>
                        </w:pPr>
                      </w:p>
                    </w:txbxContent>
                  </v:textbox>
                </v:oval>
                <v:shapetype id="_x0000_t32" coordsize="21600,21600" o:spt="32" o:oned="t" path="m,l21600,21600e" filled="f">
                  <v:path arrowok="t" fillok="f" o:connecttype="none"/>
                  <o:lock v:ext="edit" shapetype="t"/>
                </v:shapetype>
                <v:shape id="Tiesioji rodyklės jungtis 17" o:spid="_x0000_s1041" type="#_x0000_t32" style="position:absolute;left:28083;top:37393;width:27363;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R+CMEAAADbAAAADwAAAGRycy9kb3ducmV2LnhtbERPyWrDMBC9F/IPYgK9lEaOKWlwopgQ&#10;SPDVWe6DNbHdWiNjyZHbr68Khd7m8dbZ5pPpxIMG11pWsFwkIIgrq1uuFVwvx9c1COeRNXaWScEX&#10;Och3s6ctZtoGLulx9rWIIewyVNB432dSuqohg25he+LI3e1g0Ec41FIPGGK46WSaJCtpsOXY0GBP&#10;h4aqz/NoFBQhvF3Sj/fv0zq9hfGlPZaTvSn1PJ/2GxCeJv8v/nMXOs5fwe8v8QC5+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1H4IwQAAANsAAAAPAAAAAAAAAAAAAAAA&#10;AKECAABkcnMvZG93bnJldi54bWxQSwUGAAAAAAQABAD5AAAAjwMAAAAA&#10;" strokecolor="#e46c0a" strokeweight="3pt">
                  <v:stroke endarrow="open"/>
                  <v:shadow on="t" color="black" opacity="22936f" origin=",.5" offset="0,.63889mm"/>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Lygiašonis trikampis 18" o:spid="_x0000_s1042" type="#_x0000_t5" style="position:absolute;left:28083;top:38113;width:4320;height:3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o+4MQA&#10;AADbAAAADwAAAGRycy9kb3ducmV2LnhtbERPS2vCQBC+F/oflhG8lLqpQivRTWhDq54KPi7ehuyY&#10;hGRn0+xWY369KxR6m4/vOcu0N404U+cqywpeJhEI4tzqigsFh/3X8xyE88gaG8uk4EoO0uTxYYmx&#10;thfe0nnnCxFC2MWooPS+jaV0eUkG3cS2xIE72c6gD7ArpO7wEsJNI6dR9CoNVhwaSmwpKymvd79G&#10;wf4je/oehui4+hn69Xo7/9SzU63UeNS/L0B46v2/+M+90WH+G9x/CQfI5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aPuDEAAAA2wAAAA8AAAAAAAAAAAAAAAAAmAIAAGRycy9k&#10;b3ducmV2LnhtbFBLBQYAAAAABAAEAPUAAACJAwAAAAA=&#10;" strokecolor="#4bacc6" strokeweight="2pt">
                  <v:textbox>
                    <w:txbxContent>
                      <w:p w:rsidR="00827571" w:rsidRDefault="00827571" w:rsidP="003A4330">
                        <w:pPr>
                          <w:rPr>
                            <w:rFonts w:eastAsia="Times New Roman"/>
                          </w:rPr>
                        </w:pPr>
                      </w:p>
                    </w:txbxContent>
                  </v:textbox>
                </v:shape>
                <v:shape id="Lygiašonis trikampis 19" o:spid="_x0000_s1043" type="#_x0000_t5" style="position:absolute;left:28083;top:43154;width:4320;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WqksYA&#10;AADbAAAADwAAAGRycy9kb3ducmV2LnhtbESPT2vCQBDF74LfYRmhF9FNWygSXUWl1p4K/rl4G7Jj&#10;EszOxuyqaT5951DwNsN7895vZovWVepOTSg9G3gdJ6CIM29Lzg0cD5vRBFSIyBYrz2TglwIs5v3e&#10;DFPrH7yj+z7mSkI4pGigiLFOtQ5ZQQ7D2NfEop194zDK2uTaNviQcFfptyT50A5LloYCa1oXlF32&#10;N2fgsFoPf7ouOX1du3a73U0+7fv5YszLoF1OQUVq49P8f/1tBV9g5RcZQ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UWqksYAAADbAAAADwAAAAAAAAAAAAAAAACYAgAAZHJz&#10;L2Rvd25yZXYueG1sUEsFBgAAAAAEAAQA9QAAAIsDAAAAAA==&#10;" strokecolor="#4bacc6" strokeweight="2pt">
                  <v:textbox>
                    <w:txbxContent>
                      <w:p w:rsidR="00827571" w:rsidRDefault="00827571" w:rsidP="003A4330">
                        <w:pPr>
                          <w:rPr>
                            <w:rFonts w:eastAsia="Times New Roman"/>
                          </w:rPr>
                        </w:pPr>
                      </w:p>
                    </w:txbxContent>
                  </v:textbox>
                </v:shape>
                <v:shape id="Lygiašonis trikampis 20" o:spid="_x0000_s1044" type="#_x0000_t5" style="position:absolute;left:47525;top:43154;width:4320;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kPCcQA&#10;AADbAAAADwAAAGRycy9kb3ducmV2LnhtbERPS2vCQBC+F/oflhG8lLqpQrHRTWhDq54KPi7ehuyY&#10;hGRn0+xWY369KxR6m4/vOcu0N404U+cqywpeJhEI4tzqigsFh/3X8xyE88gaG8uk4EoO0uTxYYmx&#10;thfe0nnnCxFC2MWooPS+jaV0eUkG3cS2xIE72c6gD7ArpO7wEsJNI6dR9CoNVhwaSmwpKymvd79G&#10;wf4je/oehui4+hn69Xo7/9SzU63UeNS/L0B46v2/+M+90WH+G9x/CQfI5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JDwnEAAAA2wAAAA8AAAAAAAAAAAAAAAAAmAIAAGRycy9k&#10;b3ducmV2LnhtbFBLBQYAAAAABAAEAPUAAACJAwAAAAA=&#10;" strokecolor="#4bacc6" strokeweight="2pt">
                  <v:textbox>
                    <w:txbxContent>
                      <w:p w:rsidR="00827571" w:rsidRDefault="00827571" w:rsidP="003A4330">
                        <w:pPr>
                          <w:rPr>
                            <w:rFonts w:eastAsia="Times New Roman"/>
                          </w:rPr>
                        </w:pPr>
                      </w:p>
                    </w:txbxContent>
                  </v:textbox>
                </v:shape>
                <v:shape id="Lygiašonis trikampis 21" o:spid="_x0000_s1045" type="#_x0000_t5" style="position:absolute;left:46085;top:27312;width:4320;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9sKcIA&#10;AADbAAAADwAAAGRycy9kb3ducmV2LnhtbERPy4rCMBTdC/5DuANuRFMVRDqNMoqOsxJ8bGZ3aW4f&#10;2NzUJmqnX28WAy4P552sWlOJBzWutKxgMo5AEKdWl5wruJx3owUI55E1VpZJwR85WC37vQRjbZ98&#10;pMfJ5yKEsItRQeF9HUvp0oIMurGtiQOX2cagD7DJpW7wGcJNJadRNJcGSw4NBda0KSi9nu5GwXm9&#10;GR66Lvr9vnXtfn9cbPUsuyo1+Gi/PkF4av1b/O/+0QqmYX34En6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X2wpwgAAANsAAAAPAAAAAAAAAAAAAAAAAJgCAABkcnMvZG93&#10;bnJldi54bWxQSwUGAAAAAAQABAD1AAAAhwMAAAAA&#10;" strokecolor="#4bacc6" strokeweight="2pt">
                  <v:textbox>
                    <w:txbxContent>
                      <w:p w:rsidR="00827571" w:rsidRDefault="00827571" w:rsidP="003A4330">
                        <w:pPr>
                          <w:rPr>
                            <w:rFonts w:eastAsia="Times New Roman"/>
                          </w:rPr>
                        </w:pPr>
                      </w:p>
                    </w:txbxContent>
                  </v:textbox>
                </v:shape>
                <v:oval id="Ovalas 22" o:spid="_x0000_s1046" style="position:absolute;left:5760;top:32353;width:5761;height:57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qdDcUA&#10;AADbAAAADwAAAGRycy9kb3ducmV2LnhtbESPUWvCMBSF3wf+h3AF32ZqKWOrRpmC4gYDdWPg26W5&#10;a4rNTUmi7f79Mhjs8XDO+Q5nsRpsK27kQ+NYwWyagSCunG64VvDxvr1/BBEissbWMSn4pgCr5ehu&#10;gaV2PR/pdoq1SBAOJSowMXallKEyZDFMXUecvC/nLcYkfS21xz7BbSvzLHuQFhtOCwY72hiqLqer&#10;VfDmPn3+1LwUl6J47Y87XB/Mea3UZDw8z0FEGuJ/+K+91wryGfx+S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Kp0NxQAAANsAAAAPAAAAAAAAAAAAAAAAAJgCAABkcnMv&#10;ZG93bnJldi54bWxQSwUGAAAAAAQABAD1AAAAigMAAAAA&#10;" fillcolor="#f79646" strokecolor="white" strokeweight="3pt">
                  <v:shadow on="t" color="black" opacity="24903f" origin=",.5" offset="0,.55556mm"/>
                  <v:textbox>
                    <w:txbxContent>
                      <w:p w:rsidR="00827571" w:rsidRDefault="00827571" w:rsidP="003A4330">
                        <w:pPr>
                          <w:rPr>
                            <w:rFonts w:eastAsia="Times New Roman"/>
                          </w:rPr>
                        </w:pPr>
                      </w:p>
                    </w:txbxContent>
                  </v:textbox>
                </v:oval>
                <v:shape id="Tiesioji rodyklės jungtis 23" o:spid="_x0000_s1047" type="#_x0000_t32" style="position:absolute;left:8640;top:38833;width:0;height:648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H9B8YAAADbAAAADwAAAGRycy9kb3ducmV2LnhtbESPQUsDMRSE70L/Q3iFXsRmXcSua9Mi&#10;pcWeLE29eHtunruLm5clSdttf70RBI/DzHzDzJeD7cSJfGgdK7ifZiCIK2darhW8HzZ3BYgQkQ12&#10;jknBhQIsF6ObOZbGnXlPJx1rkSAcSlTQxNiXUoaqIYth6nri5H05bzEm6WtpPJ4T3HYyz7JHabHl&#10;tNBgT6uGqm99tArWnzP8IK13t93GX570a/H2cC2UmoyHl2cQkYb4H/5rb42CPIffL+kHyM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0h/QfGAAAA2wAAAA8AAAAAAAAA&#10;AAAAAAAAoQIAAGRycy9kb3ducmV2LnhtbFBLBQYAAAAABAAEAPkAAACUAwAAAAA=&#10;" strokecolor="#f79646" strokeweight="3pt">
                  <v:stroke endarrow="open"/>
                  <v:shadow on="t" color="black" opacity="22936f" origin=",.5" offset="0,.63889mm"/>
                </v:shape>
                <v:roundrect id="Suapvalintas stačiakampis 24" o:spid="_x0000_s1048" style="position:absolute;left:55446;top:46754;width:28419;height:1868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F4LMIA&#10;AADbAAAADwAAAGRycy9kb3ducmV2LnhtbESPQWvCQBSE7wX/w/KE3upGC1Kiq6ilYAseGkWvj+wz&#10;CWbfLtmnpv++KxR6HGa+GWa+7F2rbtTFxrOB8SgDRVx623Bl4LD/eHkDFQXZYuuZDPxQhOVi8DTH&#10;3Po7f9OtkEqlEo45GqhFQq51LGtyGEc+ECfv7DuHkmRXadvhPZW7Vk+ybKodNpwWagy0qam8FFdn&#10;YFJZDp/rQmQd2vB+2k37/fHLmOdhv5qBEurlP/xHb23iXuHxJf0Av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EXgswgAAANsAAAAPAAAAAAAAAAAAAAAAAJgCAABkcnMvZG93&#10;bnJldi54bWxQSwUGAAAAAAQABAD1AAAAhwMAAAAA&#10;" strokecolor="#4bacc6" strokeweight="3pt">
                  <v:textbox>
                    <w:txbxContent>
                      <w:p w:rsidR="00827571" w:rsidRDefault="00827571" w:rsidP="003A4330">
                        <w:pPr>
                          <w:pStyle w:val="prastasistinklapis"/>
                          <w:spacing w:before="0" w:beforeAutospacing="0" w:after="0" w:afterAutospacing="0"/>
                          <w:jc w:val="center"/>
                          <w:textAlignment w:val="baseline"/>
                        </w:pPr>
                        <w:r w:rsidRPr="00246340">
                          <w:rPr>
                            <w:color w:val="000000"/>
                            <w:kern w:val="24"/>
                            <w:sz w:val="18"/>
                            <w:szCs w:val="18"/>
                          </w:rPr>
                          <w:t>Kiti veiksmų programos prioritetai – indėlis: transportas, aplinkosauga, energetika, socialinės paslaugos ir kt. (specifinėms problemoms spręsti)</w:t>
                        </w:r>
                      </w:p>
                    </w:txbxContent>
                  </v:textbox>
                </v:roundrect>
                <v:shape id="Tiesioji rodyklės jungtis 25" o:spid="_x0000_s1049" type="#_x0000_t32" style="position:absolute;left:49325;top:29112;width:20330;height:1764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WyqcUAAADbAAAADwAAAGRycy9kb3ducmV2LnhtbESPQWvCQBSE70L/w/IKvemmUkSjqxSx&#10;tBexxioeH9lnEs2+3WZXk/77bkHocZiZb5jZojO1uFHjK8sKngcJCOLc6ooLBV+7t/4YhA/IGmvL&#10;pOCHPCzmD70Zptq2vKVbFgoRIexTVFCG4FIpfV6SQT+wjjh6J9sYDFE2hdQNthFuajlMkpE0WHFc&#10;KNHRsqT8kl2NAufWu8/v8XIi94fV+znfXKrjZKXU02P3OgURqAv/4Xv7QysYvsDfl/gD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CWyqcUAAADbAAAADwAAAAAAAAAA&#10;AAAAAAChAgAAZHJzL2Rvd25yZXYueG1sUEsFBgAAAAAEAAQA+QAAAJMDAAAAAA==&#10;" strokecolor="#4bacc6" strokeweight="3pt">
                  <v:stroke endarrow="open"/>
                  <v:shadow on="t" color="black" opacity="22936f" origin=",.5" offset="0,.63889mm"/>
                </v:shape>
                <v:shape id="Tiesioji rodyklės jungtis 26" o:spid="_x0000_s1050" type="#_x0000_t32" style="position:absolute;left:51845;top:46754;width:3601;height:9344;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2kXMsUAAADbAAAADwAAAGRycy9kb3ducmV2LnhtbESPQWvCQBSE70L/w/IKvemmQkWjqxSx&#10;tBexxioeH9lnEs2+3WZXk/77bkHocZiZb5jZojO1uFHjK8sKngcJCOLc6ooLBV+7t/4YhA/IGmvL&#10;pOCHPCzmD70Zptq2vKVbFgoRIexTVFCG4FIpfV6SQT+wjjh6J9sYDFE2hdQNthFuajlMkpE0WHFc&#10;KNHRsqT8kl2NAufWu8/v8XIi94fV+znfXKrjZKXU02P3OgURqAv/4Xv7QysYvsDfl/gD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2kXMsUAAADbAAAADwAAAAAAAAAA&#10;AAAAAAChAgAAZHJzL2Rvd25yZXYueG1sUEsFBgAAAAAEAAQA+QAAAJMDAAAAAA==&#10;" strokecolor="#4bacc6" strokeweight="3pt">
                  <v:stroke endarrow="open"/>
                  <v:shadow on="t" color="black" opacity="22936f" origin=",.5" offset="0,.63889mm"/>
                </v:shape>
                <v:shape id="Tiesioji rodyklės jungtis 27" o:spid="_x0000_s1051" type="#_x0000_t32" style="position:absolute;left:32403;top:46754;width:23043;height:9344;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uJRcUAAADbAAAADwAAAGRycy9kb3ducmV2LnhtbESPQWsCMRSE74X+h/AK3mq2HkRXo4hY&#10;9CK1biseH5vn7urmJW6ibv99Iwgeh5n5hhlPW1OLKzW+sqzgo5uAIM6trrhQ8JN9vg9A+ICssbZM&#10;Cv7Iw3Ty+jLGVNsbf9N1GwoRIexTVFCG4FIpfV6SQd+1jjh6B9sYDFE2hdQN3iLc1LKXJH1psOK4&#10;UKKjeUn5aXsxCpxbZ5vzYD6Uv7vF8ph/nar9cKFU562djUAEasMz/GivtIJeH+5f4g+Qk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7uJRcUAAADbAAAADwAAAAAAAAAA&#10;AAAAAAChAgAAZHJzL2Rvd25yZXYueG1sUEsFBgAAAAAEAAQA+QAAAJMDAAAAAA==&#10;" strokecolor="#4bacc6" strokeweight="3pt">
                  <v:stroke endarrow="open"/>
                  <v:shadow on="t" color="black" opacity="22936f" origin=",.5" offset="0,.63889mm"/>
                </v:shape>
                <v:shape id="Tiesioji rodyklės jungtis 28" o:spid="_x0000_s1052" type="#_x0000_t32" style="position:absolute;left:31323;top:41058;width:38332;height:684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cs3sYAAADbAAAADwAAAGRycy9kb3ducmV2LnhtbESPQWvCQBSE70L/w/IKvemmHqpGVyli&#10;aS9ijVU8PrLPJJp9u82uJv333YLQ4zAz3zCzRWdqcaPGV5YVPA8SEMS51RUXCr52b/0xCB+QNdaW&#10;ScEPeVjMH3ozTLVteUu3LBQiQtinqKAMwaVS+rwkg35gHXH0TrYxGKJsCqkbbCPc1HKYJC/SYMVx&#10;oURHy5LyS3Y1Cpxb7z6/x8uJ3B9W7+d8c6mOk5VST4/d6xREoC78h+/tD61gOIK/L/EHyPk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D3LN7GAAAA2wAAAA8AAAAAAAAA&#10;AAAAAAAAoQIAAGRycy9kb3ducmV2LnhtbFBLBQYAAAAABAAEAPkAAACUAwAAAAA=&#10;" strokecolor="#4bacc6" strokeweight="3pt">
                  <v:stroke endarrow="open"/>
                  <v:shadow on="t" color="black" opacity="22936f" origin=",.5" offset="0,.63889mm"/>
                </v:shape>
                <v:shape id="Tiesioji rodyklės jungtis 29" o:spid="_x0000_s1053" type="#_x0000_t32" style="position:absolute;left:28083;top:38113;width:0;height:1512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7zf5cEAAADbAAAADwAAAGRycy9kb3ducmV2LnhtbERPTUsDMRC9C/6HMEIvYrOtKOvatIhQ&#10;KBaEruJ52IybbTeTJUnb7b/vHASPj/e9WI2+VyeKqQtsYDYtQBE3wXbcGvj+Wj+UoFJGttgHJgMX&#10;SrBa3t4ssLLhzDs61blVEsKpQgMu56HSOjWOPKZpGIiF+w3RYxYYW20jniXc93peFM/aY8fS4HCg&#10;d0fNoT56A/P9bPtSf1r/VMbHoftxxw8u742Z3I1vr6Ayjflf/OfeWPHJWPkiP0Avr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vN/lwQAAANsAAAAPAAAAAAAAAAAAAAAA&#10;AKECAABkcnMvZG93bnJldi54bWxQSwUGAAAAAAQABAD5AAAAjwMAAAAA&#10;" strokecolor="#f79646" strokeweight="3pt">
                  <v:stroke dashstyle="dash" startarrow="open" endarrow="open"/>
                  <v:shadow on="t" color="black" opacity="22936f" origin=",.5" offset="0,.63889mm"/>
                </v:shape>
                <v:oval id="Ovalas 30" o:spid="_x0000_s1054" style="position:absolute;left:24482;top:54675;width:6481;height:80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ItzMMA&#10;AADbAAAADwAAAGRycy9kb3ducmV2LnhtbESPW4vCMBSE34X9D+Es7Ito6oXiVqOIsOz66O390Jxt&#10;is1JbWLb/fcbQfBxmJlvmNWmt5VoqfGlYwWTcQKCOHe65ELB+fQ1WoDwAVlj5ZgU/JGHzfptsMJM&#10;u44P1B5DISKEfYYKTAh1JqXPDVn0Y1cTR+/XNRZDlE0hdYNdhNtKTpMklRZLjgsGa9oZyq/Hu1XQ&#10;7YfD7vLtsD2l5jZPFzM6TGZKfbz32yWIQH14hZ/tH61g+gmPL/EHyP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CItzMMAAADbAAAADwAAAAAAAAAAAAAAAACYAgAAZHJzL2Rv&#10;d25yZXYueG1sUEsFBgAAAAAEAAQA9QAAAIgDAAAAAA==&#10;" fillcolor="#9bbb59" strokecolor="#71893f" strokeweight="2pt">
                  <v:textbox>
                    <w:txbxContent>
                      <w:p w:rsidR="00827571" w:rsidRDefault="00827571" w:rsidP="003A4330">
                        <w:pPr>
                          <w:rPr>
                            <w:rFonts w:eastAsia="Times New Roman"/>
                          </w:rPr>
                        </w:pPr>
                      </w:p>
                    </w:txbxContent>
                  </v:textbox>
                </v:oval>
                <v:shape id="Tiesioji rodyklės jungtis 31" o:spid="_x0000_s1055" type="#_x0000_t32" style="position:absolute;left:11521;top:35233;width:1368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jDGnb4AAADbAAAADwAAAGRycy9kb3ducmV2LnhtbERPz0vDMBS+D/wfwhO8bekUitalpQhC&#10;j64bnh/NsylrXkoT27i/fjkMPH58vw9VtKNYaPaDYwX7XQaCuHN64F7B+fS5fQXhA7LG0TEp+CMP&#10;VfmwOWCh3cpHWtrQixTCvkAFJoSpkNJ3hiz6nZuIE/fjZoshwbmXesY1hdtRPmdZLi0OnBoMTvRh&#10;qLu0v1aBNqfv8RzputTY1O7Nx/zrelTq6THW7yACxfAvvrsbreAlrU9f0g+Q5Q0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aMMadvgAAANsAAAAPAAAAAAAAAAAAAAAAAKEC&#10;AABkcnMvZG93bnJldi54bWxQSwUGAAAAAAQABAD5AAAAjAMAAAAA&#10;" strokecolor="#f79646" strokeweight="3pt">
                  <v:stroke dashstyle="dash" startarrow="open" endarrow="open"/>
                  <v:shadow on="t" color="black" opacity="22936f" origin=",.5" offset="0,.63889mm"/>
                </v:shape>
                <v:roundrect id="Suapvalintas stačiakampis 32" o:spid="_x0000_s1056" style="position:absolute;left:28511;top:60074;width:21174;height:674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tKWsYA&#10;AADbAAAADwAAAGRycy9kb3ducmV2LnhtbESPQWvCQBSE7wX/w/KEXopuUqFIdBURxFJaiqkHj4/s&#10;MxvNvo3ZrYn++m6h0OMwM98w82Vva3Gl1leOFaTjBARx4XTFpYL912Y0BeEDssbaMSm4kYflYvAw&#10;x0y7jnd0zUMpIoR9hgpMCE0mpS8MWfRj1xBH7+haiyHKtpS6xS7CbS2fk+RFWqw4LhhsaG2oOOff&#10;VsH7h8vrbX9abbupeUoP97fP8n5R6nHYr2YgAvXhP/zXftUKJin8fok/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LtKWsYAAADbAAAADwAAAAAAAAAAAAAAAACYAgAAZHJz&#10;L2Rvd25yZXYueG1sUEsFBgAAAAAEAAQA9QAAAIsDAAAAAA==&#10;" fillcolor="#9bbb59" strokecolor="#71893f" strokeweight="2pt">
                  <v:textbox>
                    <w:txbxContent>
                      <w:p w:rsidR="00827571" w:rsidRDefault="00827571" w:rsidP="003A4330">
                        <w:pPr>
                          <w:pStyle w:val="prastasistinklapis"/>
                          <w:spacing w:before="0" w:beforeAutospacing="0" w:after="0" w:afterAutospacing="0"/>
                          <w:jc w:val="center"/>
                          <w:textAlignment w:val="baseline"/>
                        </w:pPr>
                        <w:r w:rsidRPr="00246340">
                          <w:rPr>
                            <w:color w:val="000000"/>
                            <w:kern w:val="24"/>
                            <w:sz w:val="20"/>
                            <w:szCs w:val="20"/>
                          </w:rPr>
                          <w:t>Kaimo vietovių BIVP</w:t>
                        </w:r>
                      </w:p>
                    </w:txbxContent>
                  </v:textbox>
                </v:roundrect>
                <v:shapetype id="_x0000_t202" coordsize="21600,21600" o:spt="202" path="m,l,21600r21600,l21600,xe">
                  <v:stroke joinstyle="miter"/>
                  <v:path gradientshapeok="t" o:connecttype="rect"/>
                </v:shapetype>
                <v:shape id="TextBox 70" o:spid="_x0000_s1057" type="#_x0000_t202" style="position:absolute;left:24484;top:51795;width:24842;height:73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uydcQA&#10;AADbAAAADwAAAGRycy9kb3ducmV2LnhtbESPQWvCQBSE7wX/w/IEb7qrtkXTbESUQk8tpip4e2Sf&#10;SWj2bchuTfrvuwWhx2FmvmHSzWAbcaPO1441zGcKBHHhTM2lhuPn63QFwgdkg41j0vBDHjbZ6CHF&#10;xLieD3TLQykihH2CGqoQ2kRKX1Rk0c9cSxy9q+sshii7UpoO+wi3jVwo9Swt1hwXKmxpV1HxlX9b&#10;Daf36+X8qD7KvX1qezcoyXYttZ6Mh+0LiEBD+A/f229Gw3IB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rsnXEAAAA2wAAAA8AAAAAAAAAAAAAAAAAmAIAAGRycy9k&#10;b3ducmV2LnhtbFBLBQYAAAAABAAEAPUAAACJAwAAAAA=&#10;" filled="f" stroked="f">
                  <v:textbox>
                    <w:txbxContent>
                      <w:p w:rsidR="00827571" w:rsidRDefault="00827571" w:rsidP="003A4330">
                        <w:pPr>
                          <w:pStyle w:val="prastasistinklapis"/>
                          <w:spacing w:before="0" w:beforeAutospacing="0" w:after="0" w:afterAutospacing="0"/>
                          <w:textAlignment w:val="baseline"/>
                        </w:pPr>
                        <w:r w:rsidRPr="00246340">
                          <w:rPr>
                            <w:color w:val="000000"/>
                            <w:kern w:val="24"/>
                            <w:sz w:val="20"/>
                            <w:szCs w:val="20"/>
                          </w:rPr>
                          <w:t>Miesto/kaimo bendradarbiavimas</w:t>
                        </w:r>
                      </w:p>
                    </w:txbxContent>
                  </v:textbox>
                </v:shape>
                <v:shape id="Tiesioji rodyklės jungtis 34" o:spid="_x0000_s1058" type="#_x0000_t32" style="position:absolute;left:51845;top:31273;width:1080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JV8MAAADbAAAADwAAAGRycy9kb3ducmV2LnhtbESPzWrCQBSF9wXfYbhCN2ImVmglOkqR&#10;Fl3a2I27S+aahGTupJmJiT69IxRcHs7Px1ltBlOLC7WutKxgFsUgiDOrS84V/B6/pwsQziNrrC2T&#10;gis52KxHLytMtO35hy6pz0UYYZeggsL7JpHSZQUZdJFtiIN3tq1BH2SbS91iH8ZNLd/i+F0aLDkQ&#10;CmxoW1BWpZ0JXMxPu4m8nbsurf7KyVd//agOSr2Oh88lCE+Df4b/23utYD6Hx5fwA+T6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E/yVfDAAAA2wAAAA8AAAAAAAAAAAAA&#10;AAAAoQIAAGRycy9kb3ducmV2LnhtbFBLBQYAAAAABAAEAPkAAACRAwAAAAA=&#10;" strokeweight="3pt">
                  <v:stroke dashstyle="3 1" startarrow="open" endarrow="open"/>
                  <v:shadow on="t" color="black" opacity="22936f" origin=",.5" offset="0,.63889mm"/>
                </v:shape>
                <v:shape id="Tiesioji rodyklės jungtis 35" o:spid="_x0000_s1059" type="#_x0000_t32" style="position:absolute;left:51845;top:23712;width:1080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ZRI8MAAADbAAAADwAAAGRycy9kb3ducmV2LnhtbESPzWrCQBSF9wXfYbhCN6ITW6kSHUXE&#10;UpdtdOPukrkmIZk7MTMxsU/vFIQuD+fn46w2vanEjRpXWFYwnUQgiFOrC84UnI6f4wUI55E1VpZJ&#10;wZ0cbNaDlxXG2nb8Q7fEZyKMsItRQe59HUvp0pwMuomtiYN3sY1BH2STSd1gF8ZNJd+i6EMaLDgQ&#10;cqxpl1NaJq0JXMzOXyP5e2nbpLwWo313n5ffSr0O++0ShKfe/4ef7YNW8D6Dvy/hB8j1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7WUSPDAAAA2wAAAA8AAAAAAAAAAAAA&#10;AAAAoQIAAGRycy9kb3ducmV2LnhtbFBLBQYAAAAABAAEAPkAAACRAwAAAAA=&#10;" strokeweight="3pt">
                  <v:stroke dashstyle="3 1" startarrow="open" endarrow="open"/>
                  <v:shadow on="t" color="black" opacity="22936f" origin=",.5" offset="0,.63889mm"/>
                </v:shape>
                <v:shape id="TextBox 76" o:spid="_x0000_s1060" type="#_x0000_t202" style="position:absolute;left:55274;top:23713;width:33120;height:73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IqAcMA&#10;AADbAAAADwAAAGRycy9kb3ducmV2LnhtbESPQWvCQBSE74L/YXlCb7prrUVTV5FKoSfFVAVvj+wz&#10;Cc2+DdmtSf+9Kwgeh5n5hlmsOluJKzW+dKxhPFIgiDNnSs41HH6+hjMQPiAbrByThn/ysFr2ewtM&#10;jGt5T9c05CJC2CeooQihTqT0WUEW/cjVxNG7uMZiiLLJpWmwjXBbyVel3qXFkuNCgTV9FpT9pn9W&#10;w3F7OZ/e1C7f2Gnduk5JtnOp9cugW3+ACNSFZ/jR/jYaJl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IqAcMAAADbAAAADwAAAAAAAAAAAAAAAACYAgAAZHJzL2Rv&#10;d25yZXYueG1sUEsFBgAAAAAEAAQA9QAAAIgDAAAAAA==&#10;" filled="f" stroked="f">
                  <v:textbox>
                    <w:txbxContent>
                      <w:p w:rsidR="00827571" w:rsidRDefault="00827571" w:rsidP="003A4330">
                        <w:pPr>
                          <w:pStyle w:val="prastasistinklapis"/>
                          <w:spacing w:before="0" w:beforeAutospacing="0" w:after="0" w:afterAutospacing="0"/>
                          <w:textAlignment w:val="baseline"/>
                        </w:pPr>
                        <w:r w:rsidRPr="00246340">
                          <w:rPr>
                            <w:color w:val="000000"/>
                            <w:kern w:val="24"/>
                            <w:sz w:val="20"/>
                            <w:szCs w:val="20"/>
                          </w:rPr>
                          <w:t>Ryšiai su priemiestinėmis/kaimo teritorijomis</w:t>
                        </w:r>
                      </w:p>
                    </w:txbxContent>
                  </v:textbox>
                </v:shape>
                <v:oval id="Ovalas 37" o:spid="_x0000_s1061" style="position:absolute;left:25202;top:23712;width:5761;height:57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5kqcMA&#10;AADbAAAADwAAAGRycy9kb3ducmV2LnhtbESPzWrDMBCE74G8g9hCb7HUFEJxrJj8tfTSQ52Q82Jt&#10;bMfWyliq4759VSj0OMzMN0yWT7YTIw2+cazhKVEgiEtnGq40nE+vixcQPiAb7ByThm/ykG/mswxT&#10;4+78SWMRKhEh7FPUUIfQp1L6siaLPnE9cfSubrAYohwqaQa8R7jt5FKplbTYcFyosad9TWVbfFkN&#10;rdpd/DWYj+VhPx2P45tyN6u0fnyYtmsQgabwH/5rvxsNzyv4/RJ/gN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u5kqcMAAADbAAAADwAAAAAAAAAAAAAAAACYAgAAZHJzL2Rv&#10;d25yZXYueG1sUEsFBgAAAAAEAAQA9QAAAIgDAAAAAA==&#10;" strokecolor="#9bbb59" strokeweight="2pt">
                  <v:textbox>
                    <w:txbxContent>
                      <w:p w:rsidR="00827571" w:rsidRDefault="00827571" w:rsidP="003A4330">
                        <w:pPr>
                          <w:rPr>
                            <w:rFonts w:eastAsia="Times New Roman"/>
                          </w:rPr>
                        </w:pPr>
                      </w:p>
                    </w:txbxContent>
                  </v:textbox>
                </v:oval>
                <v:shape id="Tiesioji rodyklės jungtis 38" o:spid="_x0000_s1062" type="#_x0000_t32" style="position:absolute;left:27363;top:9310;width:28083;height:1872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iWivMUAAADbAAAADwAAAGRycy9kb3ducmV2LnhtbESPT2vCQBTE74V+h+UJvRTdpNJWoqvU&#10;ouilh/oHr4/sM1mSfRuz2xi/vVso9DjMzG+Y2aK3teio9caxgnSUgCDOnTZcKDjs18MJCB+QNdaO&#10;ScGNPCzmjw8zzLS78jd1u1CICGGfoYIyhCaT0uclWfQj1xBH7+xaiyHKtpC6xWuE21q+JMmbtGg4&#10;LpTY0GdJebX7sQqq57rbm435WlJ1eV1tMeXjKVXqadB/TEEE6sN/+K+91QrG7/D7Jf4AOb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iWivMUAAADbAAAADwAAAAAAAAAA&#10;AAAAAAChAgAAZHJzL2Rvd25yZXYueG1sUEsFBgAAAAAEAAQA+QAAAJMDAAAAAA==&#10;" strokecolor="#9bbb59" strokeweight="3pt">
                  <v:stroke endarrow="open"/>
                  <v:shadow on="t" color="black" opacity="22936f" origin=",.5" offset="0,.63889mm"/>
                </v:shape>
                <v:oval id="Ovalas 39" o:spid="_x0000_s1063" style="position:absolute;left:25202;top:29472;width:5761;height:57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1VQL0A&#10;AADbAAAADwAAAGRycy9kb3ducmV2LnhtbERPy4rCMBTdD/gP4QruxkQFkWoU38zGhQ9cX5prW21u&#10;ShNr/fvJQnB5OO/ZorWlaKj2hWMNg74CQZw6U3Cm4XLe/U5A+IBssHRMGt7kYTHv/MwwMe7FR2pO&#10;IRMxhH2CGvIQqkRKn+Zk0fddRRy5m6sthgjrTJoaXzHclnKo1FhaLDg25FjROqf0cXpaDQ+1uvpb&#10;MIfhZt1ut81eubtVWve67XIKIlAbvuKP+89oGMWx8Uv8AXL+D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D1VQL0AAADbAAAADwAAAAAAAAAAAAAAAACYAgAAZHJzL2Rvd25yZXYu&#10;eG1sUEsFBgAAAAAEAAQA9QAAAIIDAAAAAA==&#10;" strokecolor="#9bbb59" strokeweight="2pt">
                  <v:textbox>
                    <w:txbxContent>
                      <w:p w:rsidR="00827571" w:rsidRDefault="00827571" w:rsidP="003A4330">
                        <w:pPr>
                          <w:rPr>
                            <w:rFonts w:eastAsia="Times New Roman"/>
                          </w:rPr>
                        </w:pPr>
                      </w:p>
                    </w:txbxContent>
                  </v:textbox>
                </v:oval>
                <v:shape id="Tiesioji rodyklės jungtis 40" o:spid="_x0000_s1064" type="#_x0000_t32" style="position:absolute;left:28083;top:13631;width:27363;height:1872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TVcUAAADbAAAADwAAAGRycy9kb3ducmV2LnhtbESPT2vCQBTE74V+h+UJvRTdpNJSo6vU&#10;ouilh/oHr4/sM1mSfRuz2xi/vVso9DjMzG+Y2aK3teio9caxgnSUgCDOnTZcKDjs18N3ED4ga6wd&#10;k4IbeVjMHx9mmGl35W/qdqEQEcI+QwVlCE0mpc9LsuhHriGO3tm1FkOUbSF1i9cIt7V8SZI3adFw&#10;XCixoc+S8mr3YxVUz3W3NxvztaTq8rraYsrHU6rU06D/mIII1If/8F97qxWMJ/D7Jf4AOb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aTVcUAAADbAAAADwAAAAAAAAAA&#10;AAAAAAChAgAAZHJzL2Rvd25yZXYueG1sUEsFBgAAAAAEAAQA+QAAAJMDAAAAAA==&#10;" strokecolor="#9bbb59" strokeweight="3pt">
                  <v:stroke endarrow="open"/>
                  <v:shadow on="t" color="black" opacity="22936f" origin=",.5" offset="0,.63889mm"/>
                </v:shape>
                <v:roundrect id="Suapvalintas stačiakampis 41" o:spid="_x0000_s1065" style="position:absolute;top:45314;width:18722;height:1246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AB8AA&#10;AADbAAAADwAAAGRycy9kb3ducmV2LnhtbERPTWvCQBC9F/wPywje6sZQU01dJQgFLwbUtuchOyah&#10;2dmQXZP4792D4PHxvje70TSip87VlhUs5hEI4sLqmksFP5fv9xUI55E1NpZJwZ0c7LaTtw2m2g58&#10;ov7sSxFC2KWooPK+TaV0RUUG3dy2xIG72s6gD7Arpe5wCOGmkXEUJdJgzaGhwpb2FRX/55tR4OJ8&#10;Vevl+viZt5ld/CV99nvqlZpNx+wLhKfRv8RP90Er+Ajrw5fwA+T2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uAB8AAAADbAAAADwAAAAAAAAAAAAAAAACYAgAAZHJzL2Rvd25y&#10;ZXYueG1sUEsFBgAAAAAEAAQA9QAAAIUDAAAAAA==&#10;" fillcolor="#f79646" strokecolor="white" strokeweight="3pt">
                  <v:shadow on="t" color="black" opacity="24903f" origin=",.5" offset="0,.55556mm"/>
                  <v:textbox>
                    <w:txbxContent>
                      <w:p w:rsidR="00827571" w:rsidRDefault="00827571" w:rsidP="003A4330">
                        <w:pPr>
                          <w:pStyle w:val="prastasistinklapis"/>
                          <w:spacing w:before="0" w:beforeAutospacing="0" w:after="0" w:afterAutospacing="0"/>
                          <w:jc w:val="center"/>
                          <w:textAlignment w:val="baseline"/>
                        </w:pPr>
                        <w:r w:rsidRPr="00246340">
                          <w:rPr>
                            <w:color w:val="000000"/>
                            <w:kern w:val="24"/>
                            <w:sz w:val="20"/>
                            <w:szCs w:val="20"/>
                          </w:rPr>
                          <w:t>BIVP už tikslinės teritorijos ribų (neprivaloma)</w:t>
                        </w:r>
                      </w:p>
                    </w:txbxContent>
                  </v:textbox>
                </v:roundrect>
                <v:shape id="Tiesioji rodyklės jungtis 42" o:spid="_x0000_s1066" type="#_x0000_t32" style="position:absolute;left:33843;top:16511;width:0;height:50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4se8YAAADbAAAADwAAAGRycy9kb3ducmV2LnhtbESPzWrDMBCE74W+g9hCb42cYEpwI5sk&#10;NOBLA/kx9LixNraxtXItJXH69FWh0OMwM98wi2w0nbjS4BrLCqaTCARxaXXDlYLjYfMyB+E8ssbO&#10;Mim4k4MsfXxYYKLtjXd03ftKBAi7BBXU3veJlK6syaCb2J44eGc7GPRBDpXUA94C3HRyFkWv0mDD&#10;YaHGntY1le3+YhSs8488X23m7fZUfLbv5jv+KnaxUs9P4/INhKfR/4f/2rlWEE/h90v4ATL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HOLHvGAAAA2wAAAA8AAAAAAAAA&#10;AAAAAAAAoQIAAGRycy9kb3ducmV2LnhtbFBLBQYAAAAABAAEAPkAAACUAwAAAAA=&#10;" strokecolor="#4a7ebb">
                  <v:stroke endarrow="open"/>
                </v:shape>
                <v:shape id="Tiesioji rodyklės jungtis 43" o:spid="_x0000_s1067" type="#_x0000_t32" style="position:absolute;left:41764;top:10390;width:0;height:118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JH8MAAAADbAAAADwAAAGRycy9kb3ducmV2LnhtbESPQWsCMRSE74L/ITzBm2YVkbIaRYqK&#10;HrV6f2xeN4ublyWJGvvrG6HQ4zAz3zDLdbKteJAPjWMFk3EBgrhyuuFaweVrN/oAESKyxtYxKXhR&#10;gPWq31tiqd2TT/Q4x1pkCIcSFZgYu1LKUBmyGMauI87et/MWY5a+ltrjM8NtK6dFMZcWG84LBjv6&#10;NFTdznerYFOn1Nz9ZbY/Xv3Pze/McRtPSg0HabMAESnF//Bf+6AVzKbw/pJ/gFz9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TSR/DAAAAA2wAAAA8AAAAAAAAAAAAAAAAA&#10;oQIAAGRycy9kb3ducmV2LnhtbFBLBQYAAAAABAAEAPkAAACOAwAAAAA=&#10;" strokecolor="#4a7ebb" strokeweight="4.5pt">
                  <v:stroke endarrow="open"/>
                </v:shape>
                <w10:anchorlock/>
              </v:group>
            </w:pict>
          </mc:Fallback>
        </mc:AlternateContent>
      </w:r>
    </w:p>
    <w:p w:rsidR="003A4330" w:rsidRPr="003A4330" w:rsidRDefault="003A4330" w:rsidP="003E0F8A">
      <w:pPr>
        <w:widowControl w:val="0"/>
        <w:spacing w:after="0" w:line="240" w:lineRule="auto"/>
        <w:ind w:firstLine="851"/>
        <w:jc w:val="both"/>
        <w:rPr>
          <w:rFonts w:ascii="Times New Roman" w:hAnsi="Times New Roman"/>
          <w:sz w:val="24"/>
          <w:szCs w:val="24"/>
        </w:rPr>
      </w:pPr>
      <w:r w:rsidRPr="003A4330">
        <w:rPr>
          <w:rFonts w:ascii="Times New Roman" w:hAnsi="Times New Roman"/>
          <w:sz w:val="24"/>
          <w:szCs w:val="24"/>
        </w:rPr>
        <w:t xml:space="preserve">Numatoma, kad integruota teritorinė plėtra taikant ITI (apimančias ir įgyvendinamas BIVP būdu) leis prisidėti prie visų </w:t>
      </w:r>
      <w:r w:rsidR="00B50BA8">
        <w:rPr>
          <w:rFonts w:ascii="Times New Roman" w:hAnsi="Times New Roman"/>
          <w:sz w:val="24"/>
          <w:szCs w:val="24"/>
        </w:rPr>
        <w:t>v</w:t>
      </w:r>
      <w:r w:rsidRPr="003A4330">
        <w:rPr>
          <w:rFonts w:ascii="Times New Roman" w:hAnsi="Times New Roman"/>
          <w:sz w:val="24"/>
          <w:szCs w:val="24"/>
        </w:rPr>
        <w:t>eiksmų programos prioritetų įgyvendinimo (užtikrina</w:t>
      </w:r>
      <w:r w:rsidR="001566F7">
        <w:rPr>
          <w:rFonts w:ascii="Times New Roman" w:hAnsi="Times New Roman"/>
          <w:sz w:val="24"/>
          <w:szCs w:val="24"/>
        </w:rPr>
        <w:t>n</w:t>
      </w:r>
      <w:r w:rsidRPr="003A4330">
        <w:rPr>
          <w:rFonts w:ascii="Times New Roman" w:hAnsi="Times New Roman"/>
          <w:sz w:val="24"/>
          <w:szCs w:val="24"/>
        </w:rPr>
        <w:t xml:space="preserve">t investicijų sinergiją) bei tiesiogiai įgyvendinti (pasiekti nurodytus rezultatus) 7 ir 8 </w:t>
      </w:r>
      <w:r w:rsidR="00B50BA8">
        <w:rPr>
          <w:rFonts w:ascii="Times New Roman" w:hAnsi="Times New Roman"/>
          <w:sz w:val="24"/>
          <w:szCs w:val="24"/>
        </w:rPr>
        <w:t>v</w:t>
      </w:r>
      <w:r w:rsidRPr="003A4330">
        <w:rPr>
          <w:rFonts w:ascii="Times New Roman" w:hAnsi="Times New Roman"/>
          <w:sz w:val="24"/>
          <w:szCs w:val="24"/>
        </w:rPr>
        <w:t xml:space="preserve">eiksmų programos prioritetus: </w:t>
      </w:r>
      <w:r w:rsidRPr="003A4330">
        <w:rPr>
          <w:rFonts w:ascii="Times New Roman" w:hAnsi="Times New Roman"/>
          <w:i/>
          <w:sz w:val="24"/>
          <w:szCs w:val="24"/>
        </w:rPr>
        <w:t>Kokybiško užimtumo ir dalyvavimo darbo rinkoje skatinimas</w:t>
      </w:r>
      <w:r w:rsidRPr="003A4330">
        <w:rPr>
          <w:rFonts w:ascii="Times New Roman" w:hAnsi="Times New Roman"/>
          <w:sz w:val="24"/>
          <w:szCs w:val="24"/>
        </w:rPr>
        <w:t xml:space="preserve"> ir</w:t>
      </w:r>
      <w:r w:rsidRPr="003A4330">
        <w:rPr>
          <w:rFonts w:ascii="Times New Roman" w:hAnsi="Times New Roman"/>
          <w:i/>
          <w:sz w:val="24"/>
          <w:szCs w:val="24"/>
        </w:rPr>
        <w:t xml:space="preserve"> Socialinės įtraukties didinimas ir </w:t>
      </w:r>
      <w:r w:rsidR="004A53DF">
        <w:rPr>
          <w:rFonts w:ascii="Times New Roman" w:hAnsi="Times New Roman"/>
          <w:i/>
          <w:sz w:val="24"/>
          <w:szCs w:val="24"/>
        </w:rPr>
        <w:t>kova</w:t>
      </w:r>
      <w:r w:rsidRPr="003A4330">
        <w:rPr>
          <w:rFonts w:ascii="Times New Roman" w:hAnsi="Times New Roman"/>
          <w:i/>
          <w:sz w:val="24"/>
          <w:szCs w:val="24"/>
        </w:rPr>
        <w:t xml:space="preserve"> su skurdu</w:t>
      </w:r>
      <w:r w:rsidRPr="003A4330">
        <w:rPr>
          <w:rFonts w:ascii="Times New Roman" w:hAnsi="Times New Roman"/>
          <w:sz w:val="24"/>
          <w:szCs w:val="24"/>
        </w:rPr>
        <w:t>. B</w:t>
      </w:r>
      <w:r w:rsidRPr="003A4330">
        <w:rPr>
          <w:rFonts w:ascii="Times New Roman" w:hAnsi="Times New Roman"/>
          <w:bCs/>
          <w:iCs/>
          <w:sz w:val="24"/>
          <w:szCs w:val="24"/>
        </w:rPr>
        <w:t xml:space="preserve">us investuojama į infrastruktūrą, gerinančią gyvenimo kokybę, skatinančią teritorijos patrauklumą investicijoms, verslo plėtrai, naujų darbo vietų kūrimui, taip pat ir įgalinant </w:t>
      </w:r>
      <w:r w:rsidRPr="003A4330">
        <w:rPr>
          <w:rFonts w:ascii="Times New Roman" w:hAnsi="Times New Roman"/>
          <w:sz w:val="24"/>
          <w:szCs w:val="24"/>
        </w:rPr>
        <w:t>vietos partnerius ir bendruomenes prisidėti prie socialinių problemų sprendimo (nedarbo ir skurdo mažinimo).</w:t>
      </w:r>
    </w:p>
    <w:p w:rsidR="003A4330" w:rsidRDefault="003A4330" w:rsidP="003E0F8A">
      <w:pPr>
        <w:widowControl w:val="0"/>
        <w:spacing w:after="0" w:line="240" w:lineRule="auto"/>
        <w:ind w:firstLine="851"/>
        <w:jc w:val="both"/>
        <w:rPr>
          <w:rFonts w:ascii="Times New Roman" w:hAnsi="Times New Roman"/>
          <w:sz w:val="24"/>
          <w:szCs w:val="24"/>
        </w:rPr>
      </w:pPr>
      <w:r w:rsidRPr="003A4330">
        <w:rPr>
          <w:rFonts w:ascii="Times New Roman" w:hAnsi="Times New Roman"/>
          <w:sz w:val="24"/>
          <w:szCs w:val="24"/>
        </w:rPr>
        <w:t>Įgyvendinant ITI, pagrindines investicijas numatoma skirti iš ERPF</w:t>
      </w:r>
      <w:r w:rsidR="00FD5BC6">
        <w:rPr>
          <w:rFonts w:ascii="Times New Roman" w:hAnsi="Times New Roman"/>
          <w:sz w:val="24"/>
          <w:szCs w:val="24"/>
        </w:rPr>
        <w:t xml:space="preserve"> </w:t>
      </w:r>
      <w:r w:rsidR="00F07A57" w:rsidRPr="00F07A57">
        <w:rPr>
          <w:rFonts w:ascii="Times New Roman" w:hAnsi="Times New Roman"/>
          <w:sz w:val="24"/>
          <w:szCs w:val="24"/>
        </w:rPr>
        <w:t xml:space="preserve">546 mln. EUR ir SaF 217,4 mln. EUR pagal </w:t>
      </w:r>
      <w:r w:rsidR="00F07A57" w:rsidRPr="00F07A57">
        <w:rPr>
          <w:rFonts w:ascii="Times New Roman" w:hAnsi="Times New Roman"/>
          <w:bCs/>
          <w:sz w:val="24"/>
          <w:szCs w:val="24"/>
        </w:rPr>
        <w:t>4, 5, 6, 7, 8 ir 9 Veiksmų programos prioritetų priemones</w:t>
      </w:r>
      <w:r w:rsidRPr="00F07A57">
        <w:rPr>
          <w:rFonts w:ascii="Times New Roman" w:hAnsi="Times New Roman"/>
          <w:sz w:val="24"/>
          <w:szCs w:val="24"/>
        </w:rPr>
        <w:t xml:space="preserve"> </w:t>
      </w:r>
      <w:proofErr w:type="gramStart"/>
      <w:r w:rsidRPr="00F07A57">
        <w:rPr>
          <w:rFonts w:ascii="Times New Roman" w:hAnsi="Times New Roman"/>
          <w:sz w:val="24"/>
          <w:szCs w:val="24"/>
        </w:rPr>
        <w:t>(</w:t>
      </w:r>
      <w:proofErr w:type="gramEnd"/>
      <w:r w:rsidRPr="00F07A57">
        <w:rPr>
          <w:rFonts w:ascii="Times New Roman" w:hAnsi="Times New Roman"/>
          <w:sz w:val="24"/>
          <w:szCs w:val="24"/>
        </w:rPr>
        <w:t xml:space="preserve">iš jų </w:t>
      </w:r>
      <w:r w:rsidR="004B14FE" w:rsidRPr="00F07A57">
        <w:rPr>
          <w:rFonts w:ascii="Times New Roman" w:hAnsi="Times New Roman"/>
          <w:sz w:val="24"/>
          <w:szCs w:val="24"/>
        </w:rPr>
        <w:t>20</w:t>
      </w:r>
      <w:r w:rsidR="00F07A57" w:rsidRPr="00F07A57">
        <w:rPr>
          <w:rFonts w:ascii="Times New Roman" w:hAnsi="Times New Roman"/>
          <w:sz w:val="24"/>
          <w:szCs w:val="24"/>
        </w:rPr>
        <w:t>9</w:t>
      </w:r>
      <w:r w:rsidR="004B14FE" w:rsidRPr="00F07A57">
        <w:rPr>
          <w:rFonts w:ascii="Times New Roman" w:hAnsi="Times New Roman"/>
          <w:sz w:val="24"/>
          <w:szCs w:val="24"/>
        </w:rPr>
        <w:t>,</w:t>
      </w:r>
      <w:r w:rsidR="00F07A57" w:rsidRPr="00F07A57">
        <w:rPr>
          <w:rFonts w:ascii="Times New Roman" w:hAnsi="Times New Roman"/>
          <w:sz w:val="24"/>
          <w:szCs w:val="24"/>
        </w:rPr>
        <w:t>1</w:t>
      </w:r>
      <w:r w:rsidR="00A50C23">
        <w:rPr>
          <w:rFonts w:ascii="Times New Roman" w:hAnsi="Times New Roman"/>
          <w:sz w:val="24"/>
          <w:szCs w:val="24"/>
        </w:rPr>
        <w:t>.</w:t>
      </w:r>
      <w:r w:rsidRPr="00F07A57">
        <w:rPr>
          <w:rFonts w:ascii="Times New Roman" w:hAnsi="Times New Roman"/>
          <w:sz w:val="24"/>
          <w:szCs w:val="24"/>
        </w:rPr>
        <w:t xml:space="preserve">mln. EUR </w:t>
      </w:r>
      <w:r w:rsidR="00F07A57" w:rsidRPr="00F07A57">
        <w:rPr>
          <w:rFonts w:ascii="Times New Roman" w:hAnsi="Times New Roman"/>
          <w:sz w:val="24"/>
          <w:szCs w:val="24"/>
        </w:rPr>
        <w:t xml:space="preserve">ERPF lėšų </w:t>
      </w:r>
      <w:r w:rsidRPr="003A4330">
        <w:rPr>
          <w:rFonts w:ascii="Times New Roman" w:hAnsi="Times New Roman"/>
          <w:sz w:val="24"/>
          <w:szCs w:val="24"/>
        </w:rPr>
        <w:t>skiriant integruotų tvarios miestų plėtros veiksmų įgyvendinimui 5 didžiausiuose miestuose</w:t>
      </w:r>
      <w:r w:rsidR="00F07A57" w:rsidRPr="00F07A57">
        <w:rPr>
          <w:rFonts w:ascii="Times New Roman" w:hAnsi="Times New Roman"/>
          <w:b/>
          <w:sz w:val="24"/>
          <w:szCs w:val="24"/>
        </w:rPr>
        <w:t xml:space="preserve">, </w:t>
      </w:r>
      <w:r w:rsidR="00F07A57" w:rsidRPr="00F07A57">
        <w:rPr>
          <w:rFonts w:ascii="Times New Roman" w:hAnsi="Times New Roman"/>
          <w:sz w:val="24"/>
          <w:szCs w:val="24"/>
        </w:rPr>
        <w:t xml:space="preserve">kurių projektai yra atrenkami regionų projektų planavimo būdu (veiksmų atranka </w:t>
      </w:r>
      <w:r w:rsidR="00F07A57" w:rsidRPr="00F07A57">
        <w:rPr>
          <w:rFonts w:ascii="Times New Roman" w:hAnsi="Times New Roman"/>
          <w:sz w:val="24"/>
          <w:szCs w:val="24"/>
        </w:rPr>
        <w:lastRenderedPageBreak/>
        <w:t>deleguota RPT</w:t>
      </w:r>
      <w:r w:rsidRPr="003A4330">
        <w:rPr>
          <w:rFonts w:ascii="Times New Roman" w:hAnsi="Times New Roman"/>
          <w:sz w:val="24"/>
          <w:szCs w:val="24"/>
        </w:rPr>
        <w:t xml:space="preserve">), ir pagal </w:t>
      </w:r>
      <w:r w:rsidRPr="003A4330">
        <w:rPr>
          <w:rFonts w:ascii="Times New Roman" w:hAnsi="Times New Roman"/>
          <w:bCs/>
          <w:iCs/>
          <w:sz w:val="24"/>
          <w:szCs w:val="24"/>
        </w:rPr>
        <w:t>8.6. Investicinį prioritetą</w:t>
      </w:r>
      <w:r w:rsidRPr="003A4330">
        <w:rPr>
          <w:rFonts w:ascii="Times New Roman" w:hAnsi="Times New Roman"/>
          <w:sz w:val="24"/>
          <w:szCs w:val="24"/>
        </w:rPr>
        <w:t xml:space="preserve"> „</w:t>
      </w:r>
      <w:r w:rsidR="004450F3" w:rsidRPr="004450F3">
        <w:rPr>
          <w:rFonts w:ascii="Times New Roman" w:eastAsia="TimesNewRoman" w:hAnsi="Times New Roman"/>
          <w:sz w:val="24"/>
          <w:szCs w:val="18"/>
          <w:lang w:eastAsia="lt-LT"/>
        </w:rPr>
        <w:t>BIVP</w:t>
      </w:r>
      <w:r w:rsidR="004450F3" w:rsidRPr="004450F3">
        <w:rPr>
          <w:rFonts w:ascii="Times New Roman" w:hAnsi="Times New Roman"/>
          <w:sz w:val="36"/>
          <w:szCs w:val="24"/>
        </w:rPr>
        <w:t xml:space="preserve"> </w:t>
      </w:r>
      <w:r w:rsidRPr="003A4330">
        <w:rPr>
          <w:rFonts w:ascii="Times New Roman" w:hAnsi="Times New Roman"/>
          <w:sz w:val="24"/>
          <w:szCs w:val="24"/>
        </w:rPr>
        <w:t>strategijų įgyvendinimas“ skiriant paramą VVG, įgyvendinančioms su užimtumo didinimu ir socialinės atskirties mažinimu miestuose susijusias vietos plėtros strategijas</w:t>
      </w:r>
      <w:r w:rsidR="00F07A57">
        <w:rPr>
          <w:rFonts w:ascii="Times New Roman" w:hAnsi="Times New Roman"/>
          <w:sz w:val="24"/>
          <w:szCs w:val="24"/>
        </w:rPr>
        <w:t xml:space="preserve"> </w:t>
      </w:r>
      <w:r w:rsidR="00F07A57" w:rsidRPr="00F07A57">
        <w:rPr>
          <w:rFonts w:ascii="Times New Roman" w:hAnsi="Times New Roman"/>
          <w:sz w:val="24"/>
          <w:szCs w:val="24"/>
        </w:rPr>
        <w:t>(19,7 mln. Eur ESF lėšų)</w:t>
      </w:r>
      <w:r w:rsidRPr="003A4330">
        <w:rPr>
          <w:rFonts w:ascii="Times New Roman" w:hAnsi="Times New Roman"/>
          <w:sz w:val="24"/>
          <w:szCs w:val="24"/>
        </w:rPr>
        <w:t>.</w:t>
      </w:r>
    </w:p>
    <w:p w:rsidR="00F07A57" w:rsidRPr="00E773C7" w:rsidRDefault="00F07A57" w:rsidP="003E0F8A">
      <w:pPr>
        <w:widowControl w:val="0"/>
        <w:spacing w:after="0" w:line="240" w:lineRule="auto"/>
        <w:ind w:firstLine="851"/>
        <w:jc w:val="both"/>
        <w:rPr>
          <w:rFonts w:ascii="Times New Roman" w:hAnsi="Times New Roman"/>
          <w:sz w:val="24"/>
          <w:szCs w:val="24"/>
          <w:lang w:val="x-none"/>
        </w:rPr>
      </w:pPr>
      <w:r w:rsidRPr="00E773C7">
        <w:rPr>
          <w:rFonts w:ascii="Times New Roman" w:hAnsi="Times New Roman"/>
          <w:sz w:val="24"/>
          <w:szCs w:val="24"/>
        </w:rPr>
        <w:t>Taikant prioritetinius projektų atrankos kriterijus kvietimuose, numatoma papildomai pasinaudoti parama mažų ir vidutinių įmonių projektams (Veiksmų programos 3 prioritetas), prisidedantiems prie ITVP uždavinių įgyvendinimo (apie 25 mln. EUR, atrenkant projektus konkurso būdu). Taip pat planuojama naudoti valstybės bei savivaldybių biudžetų lėšas, valstybės projektų planavimo būdu atrenkamiems projektams (kuomet siekiama tų pačių tikslų ir uždavinių) ir pritraukti privačias investicijas, įgyvendinant viešojo ir privataus sektoriaus partnerystės iniciatyvas.</w:t>
      </w:r>
    </w:p>
    <w:p w:rsidR="006C76BF" w:rsidRDefault="003A4330" w:rsidP="003E0F8A">
      <w:pPr>
        <w:widowControl w:val="0"/>
        <w:spacing w:after="0" w:line="240" w:lineRule="auto"/>
        <w:ind w:firstLine="851"/>
        <w:jc w:val="both"/>
        <w:rPr>
          <w:rFonts w:ascii="Times New Roman" w:hAnsi="Times New Roman"/>
          <w:sz w:val="24"/>
          <w:szCs w:val="24"/>
        </w:rPr>
      </w:pPr>
      <w:r w:rsidRPr="003A4330">
        <w:rPr>
          <w:rFonts w:ascii="Times New Roman" w:hAnsi="Times New Roman"/>
          <w:sz w:val="24"/>
          <w:szCs w:val="24"/>
        </w:rPr>
        <w:t xml:space="preserve">Šios investicijos papildomos susijusiomis ERPF, </w:t>
      </w:r>
      <w:r w:rsidR="00014597" w:rsidRPr="00014597">
        <w:rPr>
          <w:rFonts w:ascii="Times New Roman" w:eastAsia="AngsanaUPC" w:hAnsi="Times New Roman"/>
          <w:bCs/>
          <w:iCs/>
          <w:sz w:val="24"/>
          <w:szCs w:val="24"/>
          <w:lang w:eastAsia="lt-LT"/>
        </w:rPr>
        <w:t>SaF</w:t>
      </w:r>
      <w:r w:rsidR="00014597" w:rsidRPr="003A4330">
        <w:rPr>
          <w:rFonts w:ascii="Times New Roman" w:hAnsi="Times New Roman"/>
          <w:sz w:val="24"/>
          <w:szCs w:val="24"/>
        </w:rPr>
        <w:t xml:space="preserve"> </w:t>
      </w:r>
      <w:r w:rsidRPr="003A4330">
        <w:rPr>
          <w:rFonts w:ascii="Times New Roman" w:hAnsi="Times New Roman"/>
          <w:sz w:val="24"/>
          <w:szCs w:val="24"/>
        </w:rPr>
        <w:t xml:space="preserve">ir ESF veiklomis (sektorinėmis priemonėmis), nustatomomis kiekvienai integruotai teritorijos vystymo programai, atsižvelgiant į specifines teritorijos problemas, didžiausią dėmesį skiriant darnaus judumo, taršos mažinimo, efektyvaus energijos vartojimo, </w:t>
      </w:r>
      <w:r w:rsidR="00607A4E">
        <w:rPr>
          <w:rFonts w:ascii="Times New Roman" w:hAnsi="Times New Roman"/>
          <w:sz w:val="24"/>
          <w:szCs w:val="24"/>
        </w:rPr>
        <w:t>SVV</w:t>
      </w:r>
      <w:r w:rsidRPr="003A4330">
        <w:rPr>
          <w:rFonts w:ascii="Times New Roman" w:hAnsi="Times New Roman"/>
          <w:sz w:val="24"/>
          <w:szCs w:val="24"/>
        </w:rPr>
        <w:t>, socialinės įtraukties problemoms spręsti (įskaitant romų bendruomenių socialinę integraciją)</w:t>
      </w:r>
      <w:r w:rsidR="00481730">
        <w:rPr>
          <w:rFonts w:ascii="Times New Roman" w:hAnsi="Times New Roman"/>
          <w:sz w:val="24"/>
          <w:szCs w:val="24"/>
        </w:rPr>
        <w:t>.</w:t>
      </w:r>
    </w:p>
    <w:p w:rsidR="004F5BEF" w:rsidRPr="00385835" w:rsidRDefault="004F5BEF" w:rsidP="003E0F8A">
      <w:pPr>
        <w:widowControl w:val="0"/>
        <w:spacing w:after="0" w:line="240" w:lineRule="auto"/>
        <w:ind w:firstLine="851"/>
        <w:jc w:val="both"/>
        <w:rPr>
          <w:rFonts w:ascii="Times New Roman" w:hAnsi="Times New Roman"/>
          <w:sz w:val="24"/>
          <w:szCs w:val="24"/>
          <w:lang w:eastAsia="lt-LT"/>
        </w:rPr>
      </w:pPr>
      <w:r w:rsidRPr="00385835">
        <w:rPr>
          <w:rFonts w:ascii="Times New Roman" w:hAnsi="Times New Roman"/>
          <w:sz w:val="24"/>
          <w:szCs w:val="24"/>
          <w:lang w:eastAsia="lt-LT"/>
        </w:rPr>
        <w:t>Pažymėtina, kad patvirtinus ITI planus ir kitus regioninius projektus ar priemones bus peržiūrėtas ir patikslintas veiksmų programos prioritetų lėšų priskyrimas konkrečioms išlaidų kategorijoms.</w:t>
      </w:r>
    </w:p>
    <w:p w:rsidR="006C76BF" w:rsidRPr="006C76BF" w:rsidRDefault="006C76BF" w:rsidP="00B315E9">
      <w:pPr>
        <w:spacing w:after="0" w:line="240" w:lineRule="auto"/>
        <w:ind w:firstLine="624"/>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122"/>
      </w:tblGrid>
      <w:tr w:rsidR="006C76BF" w:rsidRPr="006C76BF" w:rsidTr="00FA244F">
        <w:trPr>
          <w:trHeight w:val="416"/>
        </w:trPr>
        <w:tc>
          <w:tcPr>
            <w:tcW w:w="675" w:type="dxa"/>
            <w:shd w:val="clear" w:color="auto" w:fill="C6D9F1"/>
            <w:vAlign w:val="center"/>
          </w:tcPr>
          <w:p w:rsidR="006C76BF" w:rsidRPr="006C76BF" w:rsidRDefault="006C76BF" w:rsidP="006C76BF">
            <w:pPr>
              <w:spacing w:after="0" w:line="240" w:lineRule="auto"/>
              <w:jc w:val="both"/>
              <w:rPr>
                <w:rFonts w:ascii="Times New Roman" w:hAnsi="Times New Roman"/>
                <w:b/>
                <w:bCs/>
                <w:sz w:val="24"/>
                <w:szCs w:val="24"/>
              </w:rPr>
            </w:pPr>
            <w:r w:rsidRPr="006C76BF">
              <w:rPr>
                <w:rFonts w:ascii="Times New Roman" w:hAnsi="Times New Roman"/>
                <w:b/>
                <w:bCs/>
                <w:sz w:val="24"/>
                <w:szCs w:val="24"/>
              </w:rPr>
              <w:t>4.1.</w:t>
            </w:r>
          </w:p>
        </w:tc>
        <w:tc>
          <w:tcPr>
            <w:tcW w:w="9122" w:type="dxa"/>
            <w:shd w:val="clear" w:color="auto" w:fill="C6D9F1"/>
            <w:vAlign w:val="center"/>
          </w:tcPr>
          <w:p w:rsidR="006C76BF" w:rsidRPr="006C76BF" w:rsidRDefault="00D671BD" w:rsidP="004450F3">
            <w:pPr>
              <w:spacing w:after="0" w:line="240" w:lineRule="auto"/>
              <w:jc w:val="both"/>
              <w:rPr>
                <w:rFonts w:ascii="Times New Roman" w:hAnsi="Times New Roman"/>
                <w:b/>
                <w:bCs/>
                <w:sz w:val="24"/>
                <w:szCs w:val="24"/>
              </w:rPr>
            </w:pPr>
            <w:r>
              <w:rPr>
                <w:rFonts w:ascii="Times New Roman" w:hAnsi="Times New Roman"/>
                <w:b/>
                <w:bCs/>
                <w:sz w:val="24"/>
                <w:szCs w:val="24"/>
              </w:rPr>
              <w:t>Bendruomenės inicijuota vietos plėtra</w:t>
            </w:r>
          </w:p>
        </w:tc>
      </w:tr>
    </w:tbl>
    <w:p w:rsidR="006C76BF" w:rsidRPr="006C76BF" w:rsidRDefault="006C76BF" w:rsidP="006C76BF">
      <w:pPr>
        <w:spacing w:after="0" w:line="240" w:lineRule="auto"/>
        <w:jc w:val="both"/>
        <w:rPr>
          <w:rFonts w:ascii="Times New Roman" w:hAnsi="Times New Roman"/>
          <w:sz w:val="24"/>
          <w:szCs w:val="24"/>
        </w:rPr>
      </w:pPr>
    </w:p>
    <w:p w:rsidR="003A4330" w:rsidRPr="003A4330" w:rsidRDefault="003A4330" w:rsidP="003E0F8A">
      <w:pPr>
        <w:spacing w:after="0" w:line="240" w:lineRule="auto"/>
        <w:ind w:firstLine="851"/>
        <w:jc w:val="both"/>
        <w:rPr>
          <w:rFonts w:ascii="Times New Roman" w:hAnsi="Times New Roman"/>
          <w:color w:val="000000"/>
          <w:sz w:val="24"/>
          <w:szCs w:val="24"/>
        </w:rPr>
      </w:pPr>
      <w:r w:rsidRPr="003A4330">
        <w:rPr>
          <w:rFonts w:ascii="Times New Roman" w:hAnsi="Times New Roman"/>
          <w:color w:val="000000"/>
          <w:sz w:val="24"/>
          <w:szCs w:val="24"/>
        </w:rPr>
        <w:t>Pasinaudojant 2007–2013 m. LEADER metodo įgyvendinimo patirtimi, dalis ESF remiamų intervencijų, tiesiogiai susijusių su vietos problematika miestų vietovėse, galėtų būti įgyvendinamos BIVP būdu – sprendžiant tokius iššūkius</w:t>
      </w:r>
      <w:r w:rsidR="00CD7F1C">
        <w:rPr>
          <w:rFonts w:ascii="Times New Roman" w:hAnsi="Times New Roman"/>
          <w:color w:val="000000"/>
          <w:sz w:val="24"/>
          <w:szCs w:val="24"/>
        </w:rPr>
        <w:t>,</w:t>
      </w:r>
      <w:r w:rsidRPr="003A4330">
        <w:rPr>
          <w:rFonts w:ascii="Times New Roman" w:hAnsi="Times New Roman"/>
          <w:color w:val="000000"/>
          <w:sz w:val="24"/>
          <w:szCs w:val="24"/>
        </w:rPr>
        <w:t xml:space="preserve"> kaip socialinė atskirtis ir skurdas izoliuotose miestų teritorijose; integruotas miestų atgaivinimas (skatinant užimtumą mažuose ir vidutiniuose miestuose). Nuostatos dėl įgyvendinimo aprašomos Partnerystės sutarties 3.1.1 dalyje.</w:t>
      </w:r>
    </w:p>
    <w:p w:rsidR="003A4330" w:rsidRPr="003A4330" w:rsidRDefault="003A4330" w:rsidP="003E0F8A">
      <w:pPr>
        <w:spacing w:after="0" w:line="240" w:lineRule="auto"/>
        <w:ind w:firstLine="851"/>
        <w:jc w:val="both"/>
        <w:rPr>
          <w:rFonts w:ascii="Times New Roman" w:hAnsi="Times New Roman"/>
          <w:color w:val="000000"/>
          <w:sz w:val="24"/>
          <w:szCs w:val="24"/>
        </w:rPr>
      </w:pPr>
      <w:r w:rsidRPr="003A4330">
        <w:rPr>
          <w:rFonts w:ascii="Times New Roman" w:hAnsi="Times New Roman"/>
          <w:color w:val="000000"/>
          <w:sz w:val="24"/>
          <w:szCs w:val="24"/>
        </w:rPr>
        <w:t>Sritys, kuriose numatoma taikyti BIVP priemones, pasirenkamos atsižvelgiant į Partnerystės sutartyje paminėtus iššūkius, taip pat jų galimą sinergiją su ITI būdu įgyvendinamais miestų tvarios plėtros veiksmais. Įgyvendinant remiamas veiklas siekiama neaktyvių visuomenės grupių (neieškančių darbo ir nesimokančių asmenų</w:t>
      </w:r>
      <w:r w:rsidR="00CD7F1C">
        <w:rPr>
          <w:rFonts w:ascii="Times New Roman" w:hAnsi="Times New Roman"/>
          <w:color w:val="000000"/>
          <w:sz w:val="24"/>
          <w:szCs w:val="24"/>
        </w:rPr>
        <w:t>, ilgalaikių bedarbių ir kt.) į</w:t>
      </w:r>
      <w:r w:rsidRPr="003A4330">
        <w:rPr>
          <w:rFonts w:ascii="Times New Roman" w:hAnsi="Times New Roman"/>
          <w:color w:val="000000"/>
          <w:sz w:val="24"/>
          <w:szCs w:val="24"/>
        </w:rPr>
        <w:t xml:space="preserve">sitraukimo į darbo rinką </w:t>
      </w:r>
      <w:proofErr w:type="gramStart"/>
      <w:r w:rsidRPr="003A4330">
        <w:rPr>
          <w:rFonts w:ascii="Times New Roman" w:hAnsi="Times New Roman"/>
          <w:color w:val="000000"/>
          <w:sz w:val="24"/>
          <w:szCs w:val="24"/>
        </w:rPr>
        <w:t>(</w:t>
      </w:r>
      <w:proofErr w:type="gramEnd"/>
      <w:r w:rsidRPr="003A4330">
        <w:rPr>
          <w:rFonts w:ascii="Times New Roman" w:hAnsi="Times New Roman"/>
          <w:color w:val="000000"/>
          <w:sz w:val="24"/>
          <w:szCs w:val="24"/>
        </w:rPr>
        <w:t xml:space="preserve">padedant bendruomenei, </w:t>
      </w:r>
      <w:r w:rsidR="006D3D44">
        <w:rPr>
          <w:rFonts w:ascii="Times New Roman" w:hAnsi="Times New Roman"/>
          <w:color w:val="000000"/>
          <w:sz w:val="24"/>
          <w:szCs w:val="24"/>
        </w:rPr>
        <w:t>NVO</w:t>
      </w:r>
      <w:r w:rsidRPr="003A4330">
        <w:rPr>
          <w:rFonts w:ascii="Times New Roman" w:hAnsi="Times New Roman"/>
          <w:color w:val="000000"/>
          <w:sz w:val="24"/>
          <w:szCs w:val="24"/>
        </w:rPr>
        <w:t xml:space="preserve">, socialiniams partneriams). Siekiama kad darbingo amžiaus projektų dalyviai pradėtų aktyviai ieškoti darbo, mokytis arba dirbti, tuo tarpu projektuose dalyvaujančios įmonės ir asocijuotos verslo struktūros sudarytų jiems geresnes įsidarbinimo galimybes, o NVO ir vietos valdžia sulauktų didesnio indėlio iš pačios bendruomenės sprendžiant socialines problemas. </w:t>
      </w:r>
    </w:p>
    <w:p w:rsidR="003A4330" w:rsidRPr="003A4330" w:rsidRDefault="003A4330" w:rsidP="003E0F8A">
      <w:pPr>
        <w:spacing w:after="0" w:line="240" w:lineRule="auto"/>
        <w:ind w:firstLine="851"/>
        <w:jc w:val="both"/>
        <w:rPr>
          <w:rFonts w:ascii="Times New Roman" w:hAnsi="Times New Roman"/>
          <w:color w:val="000000"/>
          <w:sz w:val="24"/>
          <w:szCs w:val="24"/>
        </w:rPr>
      </w:pPr>
      <w:r w:rsidRPr="003A4330">
        <w:rPr>
          <w:rFonts w:ascii="Times New Roman" w:hAnsi="Times New Roman"/>
          <w:color w:val="000000"/>
          <w:sz w:val="24"/>
          <w:szCs w:val="24"/>
        </w:rPr>
        <w:t>BIVP bus įgyvendinama kaip sudėtinė ITI ir tvarios miestų plėtros veiksmų dalis, kuomet VVG įsteigta ir veikia ITI teritorijoje ir prisideda prie integruotos teritorijos vystymo programos įgyvendinimo:</w:t>
      </w:r>
    </w:p>
    <w:p w:rsidR="003A4330" w:rsidRPr="003A4330" w:rsidRDefault="003A4330" w:rsidP="003E0F8A">
      <w:pPr>
        <w:spacing w:after="0" w:line="240" w:lineRule="auto"/>
        <w:ind w:firstLine="851"/>
        <w:jc w:val="both"/>
        <w:rPr>
          <w:rFonts w:ascii="Times New Roman" w:hAnsi="Times New Roman"/>
          <w:color w:val="000000"/>
          <w:sz w:val="24"/>
          <w:szCs w:val="24"/>
        </w:rPr>
      </w:pPr>
      <w:r w:rsidRPr="003A4330">
        <w:rPr>
          <w:rFonts w:ascii="Times New Roman" w:hAnsi="Times New Roman"/>
          <w:color w:val="000000"/>
          <w:sz w:val="24"/>
          <w:szCs w:val="24"/>
        </w:rPr>
        <w:t>BIVP yra privaloma ITI dalis tikslinėse teritorijose, išskirtose 5 didžiuosiuose miestuose. Gairės vietos plėtros strategijoms nustatomos</w:t>
      </w:r>
      <w:r w:rsidR="00CD7F1C">
        <w:rPr>
          <w:rFonts w:ascii="Times New Roman" w:hAnsi="Times New Roman"/>
          <w:color w:val="000000"/>
          <w:sz w:val="24"/>
          <w:szCs w:val="24"/>
        </w:rPr>
        <w:t>,</w:t>
      </w:r>
      <w:r w:rsidRPr="003A4330">
        <w:rPr>
          <w:rFonts w:ascii="Times New Roman" w:hAnsi="Times New Roman"/>
          <w:color w:val="000000"/>
          <w:sz w:val="24"/>
          <w:szCs w:val="24"/>
        </w:rPr>
        <w:t xml:space="preserve"> rengiant integruotas teritorijų vystymo programas (nurodant uždavinius</w:t>
      </w:r>
      <w:r w:rsidR="004B14FE">
        <w:rPr>
          <w:rFonts w:ascii="Times New Roman" w:hAnsi="Times New Roman"/>
          <w:color w:val="000000"/>
          <w:sz w:val="24"/>
          <w:szCs w:val="24"/>
        </w:rPr>
        <w:t xml:space="preserve"> ir priemones</w:t>
      </w:r>
      <w:r w:rsidRPr="003A4330">
        <w:rPr>
          <w:rFonts w:ascii="Times New Roman" w:hAnsi="Times New Roman"/>
          <w:color w:val="000000"/>
          <w:sz w:val="24"/>
          <w:szCs w:val="24"/>
        </w:rPr>
        <w:t xml:space="preserve">, prie kurių </w:t>
      </w:r>
      <w:r w:rsidR="004B14FE">
        <w:rPr>
          <w:rFonts w:ascii="Times New Roman" w:hAnsi="Times New Roman"/>
          <w:color w:val="000000"/>
          <w:sz w:val="24"/>
          <w:szCs w:val="24"/>
        </w:rPr>
        <w:t xml:space="preserve">įgyvendinimo gali </w:t>
      </w:r>
      <w:r w:rsidRPr="003A4330">
        <w:rPr>
          <w:rFonts w:ascii="Times New Roman" w:hAnsi="Times New Roman"/>
          <w:color w:val="000000"/>
          <w:sz w:val="24"/>
          <w:szCs w:val="24"/>
        </w:rPr>
        <w:t>prisidė</w:t>
      </w:r>
      <w:r w:rsidR="004B14FE">
        <w:rPr>
          <w:rFonts w:ascii="Times New Roman" w:hAnsi="Times New Roman"/>
          <w:color w:val="000000"/>
          <w:sz w:val="24"/>
          <w:szCs w:val="24"/>
        </w:rPr>
        <w:t>ti</w:t>
      </w:r>
      <w:r w:rsidRPr="003A4330">
        <w:rPr>
          <w:rFonts w:ascii="Times New Roman" w:hAnsi="Times New Roman"/>
          <w:color w:val="000000"/>
          <w:sz w:val="24"/>
          <w:szCs w:val="24"/>
        </w:rPr>
        <w:t xml:space="preserve"> VVG</w:t>
      </w:r>
      <w:r w:rsidR="004B14FE">
        <w:rPr>
          <w:rFonts w:ascii="Times New Roman" w:hAnsi="Times New Roman"/>
          <w:color w:val="000000"/>
          <w:sz w:val="24"/>
          <w:szCs w:val="24"/>
        </w:rPr>
        <w:t>,</w:t>
      </w:r>
      <w:r w:rsidRPr="003A4330">
        <w:rPr>
          <w:rFonts w:ascii="Times New Roman" w:hAnsi="Times New Roman"/>
          <w:color w:val="000000"/>
          <w:sz w:val="24"/>
          <w:szCs w:val="24"/>
        </w:rPr>
        <w:t xml:space="preserve"> rengdamos ir įgyvendindamos vietos plėtros strategijas). Integruotos teritorijų vystymo </w:t>
      </w:r>
      <w:r w:rsidR="004B14FE">
        <w:rPr>
          <w:rFonts w:ascii="Times New Roman" w:hAnsi="Times New Roman"/>
          <w:color w:val="000000"/>
          <w:sz w:val="24"/>
          <w:szCs w:val="24"/>
        </w:rPr>
        <w:t>programos</w:t>
      </w:r>
      <w:r w:rsidRPr="003A4330">
        <w:rPr>
          <w:rFonts w:ascii="Times New Roman" w:hAnsi="Times New Roman"/>
          <w:color w:val="000000"/>
          <w:sz w:val="24"/>
          <w:szCs w:val="24"/>
        </w:rPr>
        <w:t xml:space="preserve">, skirtos tikslinėms teritorijoms, esančioms 5 didžiuosiuose miestuose, bus </w:t>
      </w:r>
      <w:r w:rsidR="004B14FE">
        <w:rPr>
          <w:rFonts w:ascii="Times New Roman" w:hAnsi="Times New Roman"/>
          <w:color w:val="000000"/>
          <w:sz w:val="24"/>
          <w:szCs w:val="24"/>
        </w:rPr>
        <w:t>įgyvendinamos kartu su vietos plėtros strategijomis, t. y.</w:t>
      </w:r>
      <w:r w:rsidRPr="003A4330">
        <w:rPr>
          <w:rFonts w:ascii="Times New Roman" w:hAnsi="Times New Roman"/>
          <w:color w:val="000000"/>
          <w:sz w:val="24"/>
          <w:szCs w:val="24"/>
        </w:rPr>
        <w:t xml:space="preserve"> teritorijoje </w:t>
      </w:r>
      <w:r w:rsidR="004B14FE">
        <w:rPr>
          <w:rFonts w:ascii="Times New Roman" w:hAnsi="Times New Roman"/>
          <w:color w:val="000000"/>
          <w:sz w:val="24"/>
          <w:szCs w:val="24"/>
        </w:rPr>
        <w:t>vykstant viešiesiems</w:t>
      </w:r>
      <w:r w:rsidRPr="003A4330">
        <w:rPr>
          <w:rFonts w:ascii="Times New Roman" w:hAnsi="Times New Roman"/>
          <w:color w:val="000000"/>
          <w:sz w:val="24"/>
          <w:szCs w:val="24"/>
        </w:rPr>
        <w:t xml:space="preserve"> integruotų teritorijų vystymo programų svarstyma</w:t>
      </w:r>
      <w:r w:rsidR="004B14FE">
        <w:rPr>
          <w:rFonts w:ascii="Times New Roman" w:hAnsi="Times New Roman"/>
          <w:color w:val="000000"/>
          <w:sz w:val="24"/>
          <w:szCs w:val="24"/>
        </w:rPr>
        <w:t>ms, bus</w:t>
      </w:r>
      <w:r w:rsidRPr="003A4330">
        <w:rPr>
          <w:rFonts w:ascii="Times New Roman" w:hAnsi="Times New Roman"/>
          <w:color w:val="000000"/>
          <w:sz w:val="24"/>
          <w:szCs w:val="24"/>
        </w:rPr>
        <w:t xml:space="preserve"> identifikuotos pagrindinės teritorijoje veikiančios bendruomenių organizacijos, vietos socialiniai ir ekonominiai partneriai; su šiomis organizacijomis ir partneriais bus aptarti numatomi bendrai įgyvendinti uždaviniai, susitarta dėl bendrų veiksmų ir kiekvienos iš šalių galimo indėlio. </w:t>
      </w:r>
    </w:p>
    <w:p w:rsidR="003A4330" w:rsidRPr="003A4330" w:rsidRDefault="003A4330" w:rsidP="003E0F8A">
      <w:pPr>
        <w:spacing w:after="0" w:line="240" w:lineRule="auto"/>
        <w:ind w:firstLine="851"/>
        <w:jc w:val="both"/>
        <w:rPr>
          <w:rFonts w:ascii="Times New Roman" w:hAnsi="Times New Roman"/>
          <w:color w:val="000000"/>
          <w:sz w:val="24"/>
          <w:szCs w:val="24"/>
        </w:rPr>
      </w:pPr>
      <w:r w:rsidRPr="003A4330">
        <w:rPr>
          <w:rFonts w:ascii="Times New Roman" w:hAnsi="Times New Roman"/>
          <w:color w:val="000000"/>
          <w:sz w:val="24"/>
          <w:szCs w:val="24"/>
        </w:rPr>
        <w:t xml:space="preserve">Tokiu atveju VVG bus formalizuojama (įsteigiamas juridinis asmuo) ir rengs vietos plėtros strategiją atsižvelgdama į aptartas gaires, nustatytas integruotoje teritorijos vystymo programoje. Tokios vietos plėtros strategijos atrenkamos planavimo būdu, atliekant administracinį </w:t>
      </w:r>
      <w:r w:rsidRPr="003A4330">
        <w:rPr>
          <w:rFonts w:ascii="Times New Roman" w:hAnsi="Times New Roman"/>
          <w:color w:val="000000"/>
          <w:sz w:val="24"/>
          <w:szCs w:val="24"/>
        </w:rPr>
        <w:lastRenderedPageBreak/>
        <w:t>ir tinkamumo vertinimą ir įvertinus vietos plėtros strategijų atitiktį integruotoms teritorijų vystymo programoms.</w:t>
      </w:r>
    </w:p>
    <w:p w:rsidR="003A4330" w:rsidRPr="003A4330" w:rsidRDefault="003A4330" w:rsidP="003E0F8A">
      <w:pPr>
        <w:spacing w:after="0" w:line="240" w:lineRule="auto"/>
        <w:ind w:firstLine="851"/>
        <w:jc w:val="both"/>
        <w:rPr>
          <w:rFonts w:ascii="Times New Roman" w:hAnsi="Times New Roman"/>
          <w:color w:val="000000"/>
          <w:sz w:val="24"/>
          <w:szCs w:val="24"/>
        </w:rPr>
      </w:pPr>
      <w:r w:rsidRPr="003A4330">
        <w:rPr>
          <w:rFonts w:ascii="Times New Roman" w:hAnsi="Times New Roman"/>
          <w:color w:val="000000"/>
          <w:sz w:val="24"/>
          <w:szCs w:val="24"/>
        </w:rPr>
        <w:t>Kitose teritorijų grupėse: tikslinėse teritorijose, apimančiose miestus nuo 6 iki 100 tūkst. gyv. ir mažesnius savivaldybių centrus (išskyrus 5 didžiausius miestus), taip pat miestuose ar jų dalyse, kurios nėra tikslinės teritorijos, BIVP įgyvendinama kaip papildanti (neprivaloma) ITI dalis arba nepriklausomai nuo ITI. Tokiu atveju vietos plėtros strategijos atrenkamos viešo konkurso būdu, papildomus (prioriteto) balus skiriant strategijoms, prisidedančioms prie vykdomų integruotųjų teritorijų vystymo programų įgyvendinimo.</w:t>
      </w:r>
    </w:p>
    <w:p w:rsidR="003A4330" w:rsidRPr="003A4330" w:rsidRDefault="003A4330" w:rsidP="003E0F8A">
      <w:pPr>
        <w:spacing w:after="0" w:line="240" w:lineRule="auto"/>
        <w:ind w:firstLine="851"/>
        <w:jc w:val="both"/>
        <w:rPr>
          <w:rFonts w:ascii="Times New Roman" w:hAnsi="Times New Roman"/>
          <w:color w:val="000000"/>
          <w:sz w:val="24"/>
          <w:szCs w:val="24"/>
        </w:rPr>
      </w:pPr>
      <w:r w:rsidRPr="003A4330">
        <w:rPr>
          <w:rFonts w:ascii="Times New Roman" w:hAnsi="Times New Roman"/>
          <w:color w:val="000000"/>
          <w:sz w:val="24"/>
          <w:szCs w:val="24"/>
        </w:rPr>
        <w:t>Vietos plėtros strategij</w:t>
      </w:r>
      <w:r w:rsidR="004B14FE">
        <w:rPr>
          <w:rFonts w:ascii="Times New Roman" w:hAnsi="Times New Roman"/>
          <w:color w:val="000000"/>
          <w:sz w:val="24"/>
          <w:szCs w:val="24"/>
        </w:rPr>
        <w:t>oms</w:t>
      </w:r>
      <w:r w:rsidRPr="003A4330">
        <w:rPr>
          <w:rFonts w:ascii="Times New Roman" w:hAnsi="Times New Roman"/>
          <w:color w:val="000000"/>
          <w:sz w:val="24"/>
          <w:szCs w:val="24"/>
        </w:rPr>
        <w:t xml:space="preserve"> pareng</w:t>
      </w:r>
      <w:r w:rsidR="004B14FE">
        <w:rPr>
          <w:rFonts w:ascii="Times New Roman" w:hAnsi="Times New Roman"/>
          <w:color w:val="000000"/>
          <w:sz w:val="24"/>
          <w:szCs w:val="24"/>
        </w:rPr>
        <w:t>ti,</w:t>
      </w:r>
      <w:r w:rsidR="004B14FE" w:rsidRPr="004B14FE">
        <w:rPr>
          <w:rFonts w:ascii="Times New Roman" w:hAnsi="Times New Roman"/>
          <w:color w:val="000000"/>
          <w:sz w:val="24"/>
          <w:szCs w:val="24"/>
        </w:rPr>
        <w:t xml:space="preserve"> </w:t>
      </w:r>
      <w:r w:rsidR="004B14FE">
        <w:rPr>
          <w:rFonts w:ascii="Times New Roman" w:hAnsi="Times New Roman"/>
          <w:color w:val="000000"/>
          <w:sz w:val="24"/>
          <w:szCs w:val="24"/>
        </w:rPr>
        <w:t>įvertinus įsteigtų VVG tinkamumą tokias strategijas rengti,</w:t>
      </w:r>
      <w:r w:rsidRPr="003A4330">
        <w:rPr>
          <w:rFonts w:ascii="Times New Roman" w:hAnsi="Times New Roman"/>
          <w:color w:val="000000"/>
          <w:sz w:val="24"/>
          <w:szCs w:val="24"/>
        </w:rPr>
        <w:t xml:space="preserve"> bus skiriama parengiamoji parama.</w:t>
      </w:r>
    </w:p>
    <w:p w:rsidR="003A4330" w:rsidRPr="003A4330" w:rsidRDefault="003A4330" w:rsidP="003E0F8A">
      <w:pPr>
        <w:spacing w:after="0" w:line="240" w:lineRule="auto"/>
        <w:ind w:firstLine="851"/>
        <w:jc w:val="both"/>
        <w:rPr>
          <w:rFonts w:ascii="Times New Roman" w:hAnsi="Times New Roman"/>
          <w:color w:val="000000"/>
          <w:sz w:val="24"/>
          <w:szCs w:val="24"/>
        </w:rPr>
      </w:pPr>
      <w:r w:rsidRPr="003A4330">
        <w:rPr>
          <w:rFonts w:ascii="Times New Roman" w:hAnsi="Times New Roman"/>
          <w:color w:val="000000"/>
          <w:sz w:val="24"/>
          <w:szCs w:val="24"/>
        </w:rPr>
        <w:t>Vietos plėtros strategijas atrinks Jungtinis atrankos komitetas, sudarytas iš Vidaus reikalų ministerijos, Žemės ūkio ministerijos, Socialinės apsaugos ir darbo ministerijos, Finansų ministerijos (vadovaujančiosios institucijos) ir ITI įgyvendinime dalyvaujančių tarpinių institucijų atstovų.</w:t>
      </w:r>
    </w:p>
    <w:p w:rsidR="006C76BF" w:rsidRPr="006C76BF" w:rsidRDefault="003A4330" w:rsidP="003E0F8A">
      <w:pPr>
        <w:spacing w:after="0" w:line="240" w:lineRule="auto"/>
        <w:ind w:firstLine="851"/>
        <w:jc w:val="both"/>
        <w:rPr>
          <w:rFonts w:ascii="Times New Roman" w:hAnsi="Times New Roman"/>
          <w:color w:val="000000"/>
          <w:sz w:val="24"/>
          <w:szCs w:val="24"/>
        </w:rPr>
      </w:pPr>
      <w:r w:rsidRPr="003A4330">
        <w:rPr>
          <w:rFonts w:ascii="Times New Roman" w:hAnsi="Times New Roman"/>
          <w:color w:val="000000"/>
          <w:sz w:val="24"/>
          <w:szCs w:val="24"/>
        </w:rPr>
        <w:t>Atrinktų vietos plėtros strategijų sąrašą tvirtins Vidaus reikalų ministerija.</w:t>
      </w:r>
    </w:p>
    <w:p w:rsidR="006C76BF" w:rsidRPr="006C76BF" w:rsidRDefault="006C76BF" w:rsidP="006C76BF">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122"/>
      </w:tblGrid>
      <w:tr w:rsidR="006C76BF" w:rsidRPr="006C76BF" w:rsidTr="00FA244F">
        <w:trPr>
          <w:trHeight w:val="416"/>
        </w:trPr>
        <w:tc>
          <w:tcPr>
            <w:tcW w:w="675" w:type="dxa"/>
            <w:shd w:val="clear" w:color="auto" w:fill="C6D9F1"/>
            <w:vAlign w:val="center"/>
          </w:tcPr>
          <w:p w:rsidR="006C76BF" w:rsidRPr="006C76BF" w:rsidRDefault="006C76BF" w:rsidP="006C76BF">
            <w:pPr>
              <w:spacing w:after="0" w:line="240" w:lineRule="auto"/>
              <w:jc w:val="both"/>
              <w:rPr>
                <w:rFonts w:ascii="Times New Roman" w:hAnsi="Times New Roman"/>
                <w:b/>
                <w:bCs/>
                <w:sz w:val="24"/>
                <w:szCs w:val="24"/>
              </w:rPr>
            </w:pPr>
            <w:r w:rsidRPr="006C76BF">
              <w:rPr>
                <w:rFonts w:ascii="Times New Roman" w:hAnsi="Times New Roman"/>
                <w:b/>
                <w:bCs/>
                <w:sz w:val="24"/>
                <w:szCs w:val="24"/>
              </w:rPr>
              <w:t>4.2.</w:t>
            </w:r>
          </w:p>
        </w:tc>
        <w:tc>
          <w:tcPr>
            <w:tcW w:w="9122" w:type="dxa"/>
            <w:shd w:val="clear" w:color="auto" w:fill="C6D9F1"/>
            <w:vAlign w:val="center"/>
          </w:tcPr>
          <w:p w:rsidR="006C76BF" w:rsidRPr="006C76BF" w:rsidRDefault="00D671BD" w:rsidP="006C76BF">
            <w:pPr>
              <w:spacing w:after="0" w:line="240" w:lineRule="auto"/>
              <w:jc w:val="both"/>
              <w:rPr>
                <w:rFonts w:ascii="Times New Roman" w:hAnsi="Times New Roman"/>
                <w:b/>
                <w:bCs/>
                <w:sz w:val="24"/>
                <w:szCs w:val="24"/>
              </w:rPr>
            </w:pPr>
            <w:r>
              <w:rPr>
                <w:rFonts w:ascii="Times New Roman" w:hAnsi="Times New Roman"/>
                <w:b/>
                <w:bCs/>
                <w:sz w:val="24"/>
                <w:szCs w:val="24"/>
              </w:rPr>
              <w:t>Tvarios miestų plėtros integruoti veiksmai</w:t>
            </w:r>
          </w:p>
        </w:tc>
      </w:tr>
    </w:tbl>
    <w:p w:rsidR="006C76BF" w:rsidRPr="006C76BF" w:rsidRDefault="006C76BF" w:rsidP="006C76BF">
      <w:pPr>
        <w:spacing w:after="0" w:line="240" w:lineRule="auto"/>
        <w:jc w:val="both"/>
        <w:rPr>
          <w:rFonts w:ascii="Times New Roman" w:hAnsi="Times New Roman"/>
          <w:bCs/>
          <w:sz w:val="24"/>
          <w:szCs w:val="24"/>
        </w:rPr>
      </w:pPr>
    </w:p>
    <w:p w:rsidR="003A4330" w:rsidRDefault="003A4330" w:rsidP="00E773C7">
      <w:pPr>
        <w:spacing w:after="0" w:line="240" w:lineRule="auto"/>
        <w:ind w:firstLine="851"/>
        <w:jc w:val="both"/>
        <w:rPr>
          <w:rFonts w:ascii="Times New Roman" w:hAnsi="Times New Roman"/>
          <w:bCs/>
          <w:sz w:val="24"/>
          <w:szCs w:val="24"/>
        </w:rPr>
      </w:pPr>
      <w:r w:rsidRPr="00E773C7">
        <w:rPr>
          <w:rFonts w:ascii="Times New Roman" w:hAnsi="Times New Roman"/>
          <w:sz w:val="24"/>
          <w:szCs w:val="24"/>
        </w:rPr>
        <w:t xml:space="preserve">Tvari miestų plėtra </w:t>
      </w:r>
      <w:r w:rsidR="00E773C7" w:rsidRPr="00E773C7">
        <w:rPr>
          <w:rFonts w:ascii="Times New Roman" w:hAnsi="Times New Roman"/>
          <w:sz w:val="24"/>
          <w:szCs w:val="24"/>
        </w:rPr>
        <w:t>įgyvendinama pagal ERPF reglamento 7 str. nuostatas skiriant ne mažiau kaip 5 proc. ERPF lėšų</w:t>
      </w:r>
      <w:r w:rsidRPr="00E773C7">
        <w:rPr>
          <w:rFonts w:ascii="Times New Roman" w:hAnsi="Times New Roman"/>
          <w:sz w:val="24"/>
          <w:szCs w:val="24"/>
        </w:rPr>
        <w:t xml:space="preserve"> ITI įgyvendinimo mechanizm</w:t>
      </w:r>
      <w:r w:rsidR="00E773C7" w:rsidRPr="00E773C7">
        <w:rPr>
          <w:rFonts w:ascii="Times New Roman" w:hAnsi="Times New Roman"/>
          <w:sz w:val="24"/>
          <w:szCs w:val="24"/>
        </w:rPr>
        <w:t>ui</w:t>
      </w:r>
      <w:r w:rsidRPr="00E773C7">
        <w:rPr>
          <w:rFonts w:ascii="Times New Roman" w:hAnsi="Times New Roman"/>
          <w:sz w:val="24"/>
          <w:szCs w:val="24"/>
        </w:rPr>
        <w:t xml:space="preserve"> (per </w:t>
      </w:r>
      <w:r w:rsidR="00E773C7" w:rsidRPr="00E773C7">
        <w:rPr>
          <w:rFonts w:ascii="Times New Roman" w:hAnsi="Times New Roman"/>
          <w:sz w:val="24"/>
          <w:szCs w:val="24"/>
        </w:rPr>
        <w:t>ITVP)</w:t>
      </w:r>
      <w:r w:rsidRPr="00E773C7">
        <w:rPr>
          <w:rFonts w:ascii="Times New Roman" w:hAnsi="Times New Roman"/>
          <w:sz w:val="24"/>
          <w:szCs w:val="24"/>
        </w:rPr>
        <w:t xml:space="preserve"> remiant</w:t>
      </w:r>
      <w:r w:rsidR="00E773C7" w:rsidRPr="00E773C7">
        <w:rPr>
          <w:rFonts w:ascii="Times New Roman" w:hAnsi="Times New Roman"/>
          <w:sz w:val="24"/>
          <w:szCs w:val="24"/>
        </w:rPr>
        <w:t xml:space="preserve"> regionų projektų planavimo būdu atrenkamus </w:t>
      </w:r>
      <w:r w:rsidRPr="00E773C7">
        <w:rPr>
          <w:rFonts w:ascii="Times New Roman" w:hAnsi="Times New Roman"/>
          <w:sz w:val="24"/>
          <w:szCs w:val="24"/>
        </w:rPr>
        <w:t>integruotus miestų tvarios plėtros veiksmus su problemomis susiduriančiose 5 didžiausių miestų (Vilniaus, Kauno, Klaipėdos, Šiaulių ir Panevėžio) dalyse – tikslinėse teritorijose (sprendžiant socialinius, ekonominius, demografinius, aplinkosauginius ir klimato kaitos iššūkius).</w:t>
      </w:r>
      <w:r w:rsidR="00E773C7" w:rsidRPr="00E773C7">
        <w:rPr>
          <w:rFonts w:ascii="Times New Roman" w:hAnsi="Times New Roman"/>
          <w:sz w:val="24"/>
          <w:szCs w:val="24"/>
        </w:rPr>
        <w:t xml:space="preserve"> </w:t>
      </w:r>
      <w:r w:rsidR="00E773C7" w:rsidRPr="00E773C7">
        <w:rPr>
          <w:rFonts w:ascii="Times New Roman" w:hAnsi="Times New Roman"/>
          <w:bCs/>
          <w:sz w:val="24"/>
          <w:szCs w:val="24"/>
        </w:rPr>
        <w:t>Vietovei skiriamų investicijų pagal konkrečius Veiksmų programos uždavinius apimtis nustatoma atsižvelgiant į specifinius miesto teritorijos daliai būdingus iššūkius ir RPT su ITI koordinuojančia institucija ir</w:t>
      </w:r>
      <w:r w:rsidR="00E773C7" w:rsidRPr="00E773C7">
        <w:rPr>
          <w:rFonts w:ascii="Times New Roman" w:hAnsi="Times New Roman"/>
          <w:sz w:val="24"/>
          <w:szCs w:val="24"/>
        </w:rPr>
        <w:t xml:space="preserve"> </w:t>
      </w:r>
      <w:r w:rsidR="00E773C7" w:rsidRPr="00E773C7">
        <w:rPr>
          <w:rFonts w:ascii="Times New Roman" w:hAnsi="Times New Roman"/>
          <w:bCs/>
          <w:sz w:val="24"/>
          <w:szCs w:val="24"/>
        </w:rPr>
        <w:t>tarpinėmis institucijomis suderintus sprendimus dėl konkrečių veiksmų šiems iššūkiams spręsti.</w:t>
      </w:r>
    </w:p>
    <w:p w:rsidR="00E773C7" w:rsidRPr="00E773C7" w:rsidRDefault="00E773C7" w:rsidP="00E773C7">
      <w:pPr>
        <w:spacing w:after="0" w:line="240" w:lineRule="auto"/>
        <w:ind w:firstLine="851"/>
        <w:jc w:val="both"/>
        <w:rPr>
          <w:rFonts w:ascii="Times New Roman" w:hAnsi="Times New Roman"/>
          <w:sz w:val="24"/>
          <w:szCs w:val="24"/>
        </w:rPr>
      </w:pPr>
      <w:r w:rsidRPr="00E773C7">
        <w:rPr>
          <w:rFonts w:ascii="Times New Roman" w:hAnsi="Times New Roman"/>
          <w:bCs/>
          <w:sz w:val="24"/>
          <w:szCs w:val="24"/>
        </w:rPr>
        <w:t>Kompleksinis požiūris, sprendžiant socialinius, ekonominius, demografinius, aplinkosauginius ir klimato kaitos iššūkius užtikrinamas nustatant tikslines teritorijas (dydis – 30</w:t>
      </w:r>
      <w:proofErr w:type="gramStart"/>
      <w:r w:rsidRPr="00E773C7">
        <w:rPr>
          <w:rFonts w:ascii="Times New Roman" w:hAnsi="Times New Roman"/>
          <w:bCs/>
          <w:sz w:val="24"/>
          <w:szCs w:val="24"/>
        </w:rPr>
        <w:t>-</w:t>
      </w:r>
      <w:proofErr w:type="gramEnd"/>
      <w:r w:rsidRPr="00E773C7">
        <w:rPr>
          <w:rFonts w:ascii="Times New Roman" w:hAnsi="Times New Roman"/>
          <w:bCs/>
          <w:sz w:val="24"/>
          <w:szCs w:val="24"/>
        </w:rPr>
        <w:t>40 tūkst. gyv.) ir su tikslinėmis teritorijomis susietas teritorijas, parengiant ir įgyvendinant jų integruotas vystymo programas. 5 didžiųjų miestų ITVP bendradarbiaudamos ir konsultuodamosi su RPT ir kompetentingomis institucijomis, socialiniais ir ekonominiais partneriais ir vietos bendruomene rengia savivaldybės.</w:t>
      </w:r>
    </w:p>
    <w:p w:rsidR="003A4330" w:rsidRDefault="003A4330" w:rsidP="00E773C7">
      <w:pPr>
        <w:spacing w:after="0" w:line="240" w:lineRule="auto"/>
        <w:ind w:firstLine="851"/>
        <w:jc w:val="both"/>
        <w:rPr>
          <w:rFonts w:ascii="Times New Roman" w:hAnsi="Times New Roman"/>
          <w:sz w:val="24"/>
          <w:szCs w:val="24"/>
        </w:rPr>
      </w:pPr>
      <w:r w:rsidRPr="003A4330">
        <w:rPr>
          <w:rFonts w:ascii="Times New Roman" w:hAnsi="Times New Roman"/>
          <w:sz w:val="24"/>
          <w:szCs w:val="24"/>
        </w:rPr>
        <w:t>Laikantis ERPF reglamento 7 str</w:t>
      </w:r>
      <w:r w:rsidR="00E773C7">
        <w:rPr>
          <w:rFonts w:ascii="Times New Roman" w:hAnsi="Times New Roman"/>
          <w:sz w:val="24"/>
          <w:szCs w:val="24"/>
        </w:rPr>
        <w:t>.</w:t>
      </w:r>
      <w:r w:rsidRPr="003A4330">
        <w:rPr>
          <w:rFonts w:ascii="Times New Roman" w:hAnsi="Times New Roman"/>
          <w:sz w:val="24"/>
          <w:szCs w:val="24"/>
        </w:rPr>
        <w:t xml:space="preserve"> nuostatų </w:t>
      </w:r>
      <w:r w:rsidR="00E773C7">
        <w:rPr>
          <w:rFonts w:ascii="Times New Roman" w:hAnsi="Times New Roman"/>
          <w:sz w:val="24"/>
          <w:szCs w:val="24"/>
        </w:rPr>
        <w:t xml:space="preserve">RPT </w:t>
      </w:r>
      <w:r w:rsidRPr="003A4330">
        <w:rPr>
          <w:rFonts w:ascii="Times New Roman" w:hAnsi="Times New Roman"/>
          <w:sz w:val="24"/>
          <w:szCs w:val="24"/>
        </w:rPr>
        <w:t xml:space="preserve">deleguojamos </w:t>
      </w:r>
      <w:r w:rsidR="00E773C7" w:rsidRPr="00E773C7">
        <w:rPr>
          <w:rFonts w:ascii="Times New Roman" w:hAnsi="Times New Roman"/>
          <w:sz w:val="24"/>
          <w:szCs w:val="24"/>
        </w:rPr>
        <w:t>veiksmų atrankos ir įgyvendinimo funkcijos.</w:t>
      </w:r>
    </w:p>
    <w:p w:rsidR="00E773C7" w:rsidRDefault="00E773C7" w:rsidP="00E773C7">
      <w:pPr>
        <w:spacing w:after="0" w:line="240" w:lineRule="auto"/>
        <w:ind w:firstLine="851"/>
        <w:jc w:val="both"/>
        <w:rPr>
          <w:rFonts w:ascii="Times New Roman" w:hAnsi="Times New Roman"/>
          <w:sz w:val="24"/>
          <w:szCs w:val="24"/>
        </w:rPr>
      </w:pPr>
      <w:r w:rsidRPr="00E773C7">
        <w:rPr>
          <w:rFonts w:ascii="Times New Roman" w:hAnsi="Times New Roman"/>
          <w:sz w:val="24"/>
          <w:szCs w:val="24"/>
        </w:rPr>
        <w:t>ITI įgyvendinant regionų projektų planavimo būdu, ITI koordinuojanti institucija yra atsakinga už teisinio pagrindo (ITI įgyvendinimo ir projektų atrankos gairių), kuris būtų taikomas visiems regionams, sukūrimą. Savivaldybės pateikia projektų pasiūlymus ir jų pagrindimą RPT, o RPT (kuriai priklauso miesto valdžios institucijos ir kitos regiono savivaldybės kaip tikrosios narės), Regioninės plėtros departamentui atlikus atitikties ES finansavimo gavimo reikalavimams patikrą, patvirtina galutinį finansuotinų projektų sąrašą.</w:t>
      </w:r>
    </w:p>
    <w:p w:rsidR="003A4330" w:rsidRPr="003A4330" w:rsidRDefault="00E773C7" w:rsidP="00E773C7">
      <w:pPr>
        <w:spacing w:after="0" w:line="240" w:lineRule="auto"/>
        <w:ind w:firstLine="851"/>
        <w:jc w:val="both"/>
        <w:rPr>
          <w:rFonts w:ascii="Times New Roman" w:hAnsi="Times New Roman"/>
          <w:sz w:val="24"/>
          <w:szCs w:val="24"/>
        </w:rPr>
      </w:pPr>
      <w:r>
        <w:rPr>
          <w:rFonts w:ascii="Times New Roman" w:hAnsi="Times New Roman"/>
          <w:sz w:val="24"/>
          <w:szCs w:val="24"/>
        </w:rPr>
        <w:t>ITVP</w:t>
      </w:r>
      <w:r w:rsidR="003A4330" w:rsidRPr="003A4330">
        <w:rPr>
          <w:rFonts w:ascii="Times New Roman" w:hAnsi="Times New Roman"/>
          <w:sz w:val="24"/>
          <w:szCs w:val="24"/>
        </w:rPr>
        <w:t xml:space="preserve"> nustato</w:t>
      </w:r>
      <w:r>
        <w:rPr>
          <w:rFonts w:ascii="Times New Roman" w:hAnsi="Times New Roman"/>
          <w:sz w:val="24"/>
          <w:szCs w:val="24"/>
        </w:rPr>
        <w:t>mos</w:t>
      </w:r>
      <w:r w:rsidR="003A4330" w:rsidRPr="003A4330">
        <w:rPr>
          <w:rFonts w:ascii="Times New Roman" w:hAnsi="Times New Roman"/>
          <w:sz w:val="24"/>
          <w:szCs w:val="24"/>
        </w:rPr>
        <w:t xml:space="preserve"> konkreči</w:t>
      </w:r>
      <w:r>
        <w:rPr>
          <w:rFonts w:ascii="Times New Roman" w:hAnsi="Times New Roman"/>
          <w:sz w:val="24"/>
          <w:szCs w:val="24"/>
        </w:rPr>
        <w:t>o</w:t>
      </w:r>
      <w:r w:rsidR="003A4330" w:rsidRPr="003A4330">
        <w:rPr>
          <w:rFonts w:ascii="Times New Roman" w:hAnsi="Times New Roman"/>
          <w:sz w:val="24"/>
          <w:szCs w:val="24"/>
        </w:rPr>
        <w:t xml:space="preserve">s </w:t>
      </w:r>
      <w:r w:rsidR="004569C6">
        <w:rPr>
          <w:rFonts w:ascii="Times New Roman" w:hAnsi="Times New Roman"/>
          <w:sz w:val="24"/>
          <w:szCs w:val="24"/>
        </w:rPr>
        <w:t>priemon</w:t>
      </w:r>
      <w:r>
        <w:rPr>
          <w:rFonts w:ascii="Times New Roman" w:hAnsi="Times New Roman"/>
          <w:sz w:val="24"/>
          <w:szCs w:val="24"/>
        </w:rPr>
        <w:t>ė</w:t>
      </w:r>
      <w:r w:rsidR="004569C6">
        <w:rPr>
          <w:rFonts w:ascii="Times New Roman" w:hAnsi="Times New Roman"/>
          <w:sz w:val="24"/>
          <w:szCs w:val="24"/>
        </w:rPr>
        <w:t>s</w:t>
      </w:r>
      <w:r w:rsidR="004569C6" w:rsidRPr="003A4330">
        <w:rPr>
          <w:rFonts w:ascii="Times New Roman" w:hAnsi="Times New Roman"/>
          <w:sz w:val="24"/>
          <w:szCs w:val="24"/>
        </w:rPr>
        <w:t xml:space="preserve"> </w:t>
      </w:r>
      <w:r w:rsidR="003A4330" w:rsidRPr="003A4330">
        <w:rPr>
          <w:rFonts w:ascii="Times New Roman" w:hAnsi="Times New Roman"/>
          <w:sz w:val="24"/>
          <w:szCs w:val="24"/>
        </w:rPr>
        <w:t>ir projekt</w:t>
      </w:r>
      <w:r w:rsidR="001E4C39">
        <w:rPr>
          <w:rFonts w:ascii="Times New Roman" w:hAnsi="Times New Roman"/>
          <w:sz w:val="24"/>
          <w:szCs w:val="24"/>
        </w:rPr>
        <w:t>ai</w:t>
      </w:r>
      <w:r w:rsidR="003A4330" w:rsidRPr="003A4330">
        <w:rPr>
          <w:rFonts w:ascii="Times New Roman" w:hAnsi="Times New Roman"/>
          <w:sz w:val="24"/>
          <w:szCs w:val="24"/>
        </w:rPr>
        <w:t xml:space="preserve"> </w:t>
      </w:r>
      <w:r w:rsidR="004569C6">
        <w:rPr>
          <w:rFonts w:ascii="Times New Roman" w:hAnsi="Times New Roman"/>
          <w:sz w:val="24"/>
          <w:szCs w:val="24"/>
        </w:rPr>
        <w:t>(veiksm</w:t>
      </w:r>
      <w:r w:rsidR="00761690">
        <w:rPr>
          <w:rFonts w:ascii="Times New Roman" w:hAnsi="Times New Roman"/>
          <w:sz w:val="24"/>
          <w:szCs w:val="24"/>
        </w:rPr>
        <w:t>ai</w:t>
      </w:r>
      <w:r w:rsidR="004569C6">
        <w:rPr>
          <w:rFonts w:ascii="Times New Roman" w:hAnsi="Times New Roman"/>
          <w:sz w:val="24"/>
          <w:szCs w:val="24"/>
        </w:rPr>
        <w:t xml:space="preserve">) </w:t>
      </w:r>
      <w:r w:rsidR="003A4330" w:rsidRPr="003A4330">
        <w:rPr>
          <w:rFonts w:ascii="Times New Roman" w:hAnsi="Times New Roman"/>
          <w:sz w:val="24"/>
          <w:szCs w:val="24"/>
        </w:rPr>
        <w:t>(įgyvendinam</w:t>
      </w:r>
      <w:r w:rsidR="00761690">
        <w:rPr>
          <w:rFonts w:ascii="Times New Roman" w:hAnsi="Times New Roman"/>
          <w:sz w:val="24"/>
          <w:szCs w:val="24"/>
        </w:rPr>
        <w:t>i</w:t>
      </w:r>
      <w:r w:rsidR="003A4330" w:rsidRPr="003A4330">
        <w:rPr>
          <w:rFonts w:ascii="Times New Roman" w:hAnsi="Times New Roman"/>
          <w:sz w:val="24"/>
          <w:szCs w:val="24"/>
        </w:rPr>
        <w:t xml:space="preserve"> regionų projektų planavimo būdu), reikaling</w:t>
      </w:r>
      <w:r w:rsidR="00761690">
        <w:rPr>
          <w:rFonts w:ascii="Times New Roman" w:hAnsi="Times New Roman"/>
          <w:sz w:val="24"/>
          <w:szCs w:val="24"/>
        </w:rPr>
        <w:t>i</w:t>
      </w:r>
      <w:r w:rsidR="003A4330" w:rsidRPr="003A4330">
        <w:rPr>
          <w:rFonts w:ascii="Times New Roman" w:hAnsi="Times New Roman"/>
          <w:sz w:val="24"/>
          <w:szCs w:val="24"/>
        </w:rPr>
        <w:t xml:space="preserve"> įgyvendinant tvarios miestų plėtros veiksmus konkrečioje </w:t>
      </w:r>
      <w:r w:rsidR="003A4330" w:rsidRPr="00761690">
        <w:rPr>
          <w:rFonts w:ascii="Times New Roman" w:hAnsi="Times New Roman"/>
          <w:sz w:val="24"/>
          <w:szCs w:val="24"/>
        </w:rPr>
        <w:t>teritorijoje</w:t>
      </w:r>
      <w:r w:rsidR="00761690" w:rsidRPr="00761690">
        <w:rPr>
          <w:rFonts w:ascii="Times New Roman" w:hAnsi="Times New Roman"/>
          <w:sz w:val="24"/>
          <w:szCs w:val="24"/>
        </w:rPr>
        <w:t xml:space="preserve"> ir valstybės projektų planavimo būdu atrenkami veiksmai, prisidedantys prie konkrečios teritorijos vystymo tikslų ir uždavinių pasiekimo</w:t>
      </w:r>
      <w:r w:rsidR="00CD7F1C">
        <w:rPr>
          <w:rFonts w:ascii="Times New Roman" w:hAnsi="Times New Roman"/>
          <w:sz w:val="24"/>
          <w:szCs w:val="24"/>
        </w:rPr>
        <w:t>,</w:t>
      </w:r>
      <w:r w:rsidR="003A4330" w:rsidRPr="003A4330">
        <w:rPr>
          <w:rFonts w:ascii="Times New Roman" w:hAnsi="Times New Roman"/>
          <w:sz w:val="24"/>
          <w:szCs w:val="24"/>
        </w:rPr>
        <w:t xml:space="preserve"> taip pat gair</w:t>
      </w:r>
      <w:r w:rsidR="00761690">
        <w:rPr>
          <w:rFonts w:ascii="Times New Roman" w:hAnsi="Times New Roman"/>
          <w:sz w:val="24"/>
          <w:szCs w:val="24"/>
        </w:rPr>
        <w:t>ė</w:t>
      </w:r>
      <w:r w:rsidR="003A4330" w:rsidRPr="003A4330">
        <w:rPr>
          <w:rFonts w:ascii="Times New Roman" w:hAnsi="Times New Roman"/>
          <w:sz w:val="24"/>
          <w:szCs w:val="24"/>
        </w:rPr>
        <w:t>s (</w:t>
      </w:r>
      <w:r w:rsidR="004569C6">
        <w:rPr>
          <w:rFonts w:ascii="Times New Roman" w:hAnsi="Times New Roman"/>
          <w:sz w:val="24"/>
          <w:szCs w:val="24"/>
        </w:rPr>
        <w:t>nustatom</w:t>
      </w:r>
      <w:r w:rsidR="00761690">
        <w:rPr>
          <w:rFonts w:ascii="Times New Roman" w:hAnsi="Times New Roman"/>
          <w:sz w:val="24"/>
          <w:szCs w:val="24"/>
        </w:rPr>
        <w:t>o</w:t>
      </w:r>
      <w:r w:rsidR="004569C6">
        <w:rPr>
          <w:rFonts w:ascii="Times New Roman" w:hAnsi="Times New Roman"/>
          <w:sz w:val="24"/>
          <w:szCs w:val="24"/>
        </w:rPr>
        <w:t>s kaip uždaviniai</w:t>
      </w:r>
      <w:r w:rsidR="003A4330" w:rsidRPr="003A4330">
        <w:rPr>
          <w:rFonts w:ascii="Times New Roman" w:hAnsi="Times New Roman"/>
          <w:sz w:val="24"/>
          <w:szCs w:val="24"/>
        </w:rPr>
        <w:t>) prie kurių įgyvendinimo siūloma prisidėti VVG, įgyvendinant vietos plėtros strategijas, pasiūlym</w:t>
      </w:r>
      <w:r w:rsidR="00761690">
        <w:rPr>
          <w:rFonts w:ascii="Times New Roman" w:hAnsi="Times New Roman"/>
          <w:sz w:val="24"/>
          <w:szCs w:val="24"/>
        </w:rPr>
        <w:t>ai</w:t>
      </w:r>
      <w:r w:rsidR="003A4330" w:rsidRPr="003A4330">
        <w:rPr>
          <w:rFonts w:ascii="Times New Roman" w:hAnsi="Times New Roman"/>
          <w:sz w:val="24"/>
          <w:szCs w:val="24"/>
        </w:rPr>
        <w:t xml:space="preserve"> įmonėms ar </w:t>
      </w:r>
      <w:r w:rsidR="006D3D44">
        <w:rPr>
          <w:rFonts w:ascii="Times New Roman" w:hAnsi="Times New Roman"/>
          <w:sz w:val="24"/>
          <w:szCs w:val="24"/>
        </w:rPr>
        <w:t>NVO</w:t>
      </w:r>
      <w:r w:rsidR="00761690">
        <w:rPr>
          <w:rFonts w:ascii="Times New Roman" w:hAnsi="Times New Roman"/>
          <w:sz w:val="24"/>
          <w:szCs w:val="24"/>
        </w:rPr>
        <w:t>, viešiesiems subjektams</w:t>
      </w:r>
      <w:r w:rsidR="003A4330" w:rsidRPr="003A4330">
        <w:rPr>
          <w:rFonts w:ascii="Times New Roman" w:hAnsi="Times New Roman"/>
          <w:sz w:val="24"/>
          <w:szCs w:val="24"/>
        </w:rPr>
        <w:t xml:space="preserve"> </w:t>
      </w:r>
      <w:r w:rsidR="00761690">
        <w:rPr>
          <w:rFonts w:ascii="Times New Roman" w:hAnsi="Times New Roman"/>
          <w:sz w:val="24"/>
          <w:szCs w:val="24"/>
        </w:rPr>
        <w:t>pagal priemones</w:t>
      </w:r>
      <w:r w:rsidR="003A4330" w:rsidRPr="003A4330">
        <w:rPr>
          <w:rFonts w:ascii="Times New Roman" w:hAnsi="Times New Roman"/>
          <w:sz w:val="24"/>
          <w:szCs w:val="24"/>
        </w:rPr>
        <w:t xml:space="preserve"> įgyvendinamas konkurso būdu ar finansinių priemonių </w:t>
      </w:r>
      <w:r w:rsidR="00761690">
        <w:rPr>
          <w:rFonts w:ascii="Times New Roman" w:hAnsi="Times New Roman"/>
          <w:sz w:val="24"/>
          <w:szCs w:val="24"/>
        </w:rPr>
        <w:t>būdu</w:t>
      </w:r>
      <w:r w:rsidR="003A4330" w:rsidRPr="003A4330">
        <w:rPr>
          <w:rFonts w:ascii="Times New Roman" w:hAnsi="Times New Roman"/>
          <w:sz w:val="24"/>
          <w:szCs w:val="24"/>
        </w:rPr>
        <w:t xml:space="preserve">. </w:t>
      </w:r>
    </w:p>
    <w:p w:rsidR="006C76BF" w:rsidRDefault="003A4330" w:rsidP="003E0F8A">
      <w:pPr>
        <w:spacing w:after="0" w:line="240" w:lineRule="auto"/>
        <w:ind w:firstLine="851"/>
        <w:jc w:val="both"/>
        <w:rPr>
          <w:rFonts w:ascii="Times New Roman" w:hAnsi="Times New Roman"/>
          <w:sz w:val="24"/>
          <w:szCs w:val="24"/>
        </w:rPr>
      </w:pPr>
      <w:r w:rsidRPr="003A4330">
        <w:rPr>
          <w:rFonts w:ascii="Times New Roman" w:hAnsi="Times New Roman"/>
          <w:sz w:val="24"/>
          <w:szCs w:val="24"/>
        </w:rPr>
        <w:t xml:space="preserve">Nuostatos dėl </w:t>
      </w:r>
      <w:r w:rsidR="00761690" w:rsidRPr="00761690">
        <w:rPr>
          <w:rFonts w:ascii="Times New Roman" w:hAnsi="Times New Roman"/>
          <w:sz w:val="24"/>
          <w:szCs w:val="24"/>
        </w:rPr>
        <w:t xml:space="preserve">institucijų, dalyvaujančių integruotų teritorinių investicijų įgyvendinime </w:t>
      </w:r>
      <w:r w:rsidRPr="003A4330">
        <w:rPr>
          <w:rFonts w:ascii="Times New Roman" w:hAnsi="Times New Roman"/>
          <w:sz w:val="24"/>
          <w:szCs w:val="24"/>
        </w:rPr>
        <w:t>įtraukimo ir kita papildoma informacija taip pat nurodyta Partnerystės sutarties 3.1.2 dalyje.</w:t>
      </w:r>
    </w:p>
    <w:p w:rsidR="00761690" w:rsidRPr="00761690" w:rsidRDefault="00761690" w:rsidP="003E0F8A">
      <w:pPr>
        <w:spacing w:after="0" w:line="240" w:lineRule="auto"/>
        <w:ind w:firstLine="851"/>
        <w:jc w:val="both"/>
        <w:rPr>
          <w:rFonts w:ascii="Times New Roman" w:hAnsi="Times New Roman"/>
          <w:sz w:val="24"/>
          <w:szCs w:val="24"/>
        </w:rPr>
      </w:pPr>
      <w:r w:rsidRPr="00761690">
        <w:rPr>
          <w:rFonts w:ascii="Times New Roman" w:hAnsi="Times New Roman"/>
          <w:sz w:val="24"/>
          <w:szCs w:val="24"/>
        </w:rPr>
        <w:t xml:space="preserve">8 lentelėje yra pateiktas ERPF preliminarus paskirstymas pagal 4, 5, 6, 7, 8 ir 9 Veiksmų programos prioritetų priemones, kurių projektai yra atrenkami regionų projektų planavimo būdu ir </w:t>
      </w:r>
      <w:r w:rsidRPr="00761690">
        <w:rPr>
          <w:rFonts w:ascii="Times New Roman" w:hAnsi="Times New Roman"/>
          <w:sz w:val="24"/>
          <w:szCs w:val="24"/>
        </w:rPr>
        <w:lastRenderedPageBreak/>
        <w:t xml:space="preserve">skiriami įgyvendinti 5 didžiųjų miestų ITVP ir ESF paskirstymas pagal 8 Veiksmų programos prioritetą skirti 5 didžiausiuose miestuose įgyvendinamoms vietos plėtros strategijoms </w:t>
      </w:r>
      <w:proofErr w:type="gramStart"/>
      <w:r w:rsidRPr="00761690">
        <w:rPr>
          <w:rFonts w:ascii="Times New Roman" w:hAnsi="Times New Roman"/>
          <w:sz w:val="24"/>
          <w:szCs w:val="24"/>
        </w:rPr>
        <w:t>(</w:t>
      </w:r>
      <w:proofErr w:type="gramEnd"/>
      <w:r w:rsidRPr="00761690">
        <w:rPr>
          <w:rFonts w:ascii="Times New Roman" w:hAnsi="Times New Roman"/>
          <w:sz w:val="24"/>
          <w:szCs w:val="24"/>
        </w:rPr>
        <w:t>BIVP).</w:t>
      </w:r>
    </w:p>
    <w:p w:rsidR="008410A2" w:rsidRPr="00761690" w:rsidRDefault="008410A2" w:rsidP="006C76BF">
      <w:pPr>
        <w:spacing w:after="0" w:line="360" w:lineRule="auto"/>
        <w:jc w:val="both"/>
        <w:rPr>
          <w:rFonts w:ascii="Times New Roman" w:hAnsi="Times New Roman"/>
          <w:bCs/>
          <w:sz w:val="24"/>
          <w:szCs w:val="24"/>
        </w:rPr>
      </w:pPr>
    </w:p>
    <w:p w:rsidR="006539D0" w:rsidRPr="00463952" w:rsidRDefault="00837AE7" w:rsidP="00463952">
      <w:pPr>
        <w:spacing w:after="120" w:line="240" w:lineRule="auto"/>
        <w:jc w:val="both"/>
        <w:rPr>
          <w:rFonts w:ascii="Times New Roman" w:hAnsi="Times New Roman"/>
          <w:b/>
          <w:sz w:val="20"/>
          <w:szCs w:val="20"/>
        </w:rPr>
      </w:pPr>
      <w:r w:rsidRPr="00463952">
        <w:rPr>
          <w:rFonts w:ascii="Times New Roman" w:hAnsi="Times New Roman"/>
          <w:i/>
          <w:sz w:val="20"/>
          <w:szCs w:val="20"/>
        </w:rPr>
        <w:t>8</w:t>
      </w:r>
      <w:r w:rsidR="006C76BF" w:rsidRPr="00463952">
        <w:rPr>
          <w:rFonts w:ascii="Times New Roman" w:hAnsi="Times New Roman"/>
          <w:i/>
          <w:sz w:val="20"/>
          <w:szCs w:val="20"/>
        </w:rPr>
        <w:t xml:space="preserve"> lentelė.</w:t>
      </w:r>
      <w:r w:rsidR="006C76BF" w:rsidRPr="00463952">
        <w:rPr>
          <w:rFonts w:ascii="Times New Roman" w:hAnsi="Times New Roman"/>
          <w:b/>
          <w:sz w:val="20"/>
          <w:szCs w:val="20"/>
        </w:rPr>
        <w:t xml:space="preserve"> Preliminarus ERPF ir ESF paramos preliminarus paskirstymas integruotiems veiksmams</w:t>
      </w:r>
      <w:r w:rsidR="003E0F8A" w:rsidRPr="00463952">
        <w:rPr>
          <w:rFonts w:ascii="Times New Roman" w:hAnsi="Times New Roman"/>
          <w:b/>
          <w:sz w:val="20"/>
          <w:szCs w:val="20"/>
        </w:rPr>
        <w:t xml:space="preserve"> </w:t>
      </w:r>
      <w:r w:rsidR="003E0F8A" w:rsidRPr="00463952">
        <w:rPr>
          <w:rFonts w:ascii="Times New Roman" w:eastAsia="AngsanaUPC" w:hAnsi="Times New Roman"/>
          <w:b/>
          <w:bCs/>
          <w:sz w:val="20"/>
          <w:szCs w:val="20"/>
          <w:lang w:eastAsia="lt-LT"/>
        </w:rPr>
        <w:t>(eurais)</w:t>
      </w:r>
    </w:p>
    <w:tbl>
      <w:tblPr>
        <w:tblW w:w="9654" w:type="dxa"/>
        <w:tblInd w:w="93" w:type="dxa"/>
        <w:tblLook w:val="04A0" w:firstRow="1" w:lastRow="0" w:firstColumn="1" w:lastColumn="0" w:noHBand="0" w:noVBand="1"/>
      </w:tblPr>
      <w:tblGrid>
        <w:gridCol w:w="1433"/>
        <w:gridCol w:w="4394"/>
        <w:gridCol w:w="3827"/>
      </w:tblGrid>
      <w:tr w:rsidR="006C76BF" w:rsidRPr="006C76BF" w:rsidTr="00555CF5">
        <w:trPr>
          <w:trHeight w:val="315"/>
        </w:trPr>
        <w:tc>
          <w:tcPr>
            <w:tcW w:w="1433" w:type="dxa"/>
            <w:tcBorders>
              <w:top w:val="single" w:sz="8" w:space="0" w:color="auto"/>
              <w:left w:val="single" w:sz="8" w:space="0" w:color="auto"/>
              <w:bottom w:val="single" w:sz="8" w:space="0" w:color="auto"/>
              <w:right w:val="single" w:sz="4" w:space="0" w:color="auto"/>
            </w:tcBorders>
            <w:shd w:val="clear" w:color="auto" w:fill="EEECE1"/>
            <w:noWrap/>
            <w:vAlign w:val="center"/>
            <w:hideMark/>
          </w:tcPr>
          <w:p w:rsidR="006C76BF" w:rsidRPr="006C76BF" w:rsidRDefault="006C76BF" w:rsidP="00463952">
            <w:pPr>
              <w:spacing w:after="0" w:line="240" w:lineRule="auto"/>
              <w:jc w:val="center"/>
              <w:rPr>
                <w:rFonts w:ascii="Times New Roman" w:eastAsia="Times New Roman" w:hAnsi="Times New Roman"/>
                <w:b/>
                <w:bCs/>
                <w:color w:val="000000"/>
                <w:sz w:val="20"/>
                <w:szCs w:val="20"/>
                <w:lang w:eastAsia="lt-LT"/>
              </w:rPr>
            </w:pPr>
            <w:r w:rsidRPr="006C76BF">
              <w:rPr>
                <w:rFonts w:ascii="Times New Roman" w:eastAsia="Times New Roman" w:hAnsi="Times New Roman"/>
                <w:b/>
                <w:bCs/>
                <w:color w:val="000000"/>
                <w:sz w:val="20"/>
                <w:szCs w:val="20"/>
                <w:lang w:eastAsia="lt-LT"/>
              </w:rPr>
              <w:t>Fondas</w:t>
            </w:r>
          </w:p>
        </w:tc>
        <w:tc>
          <w:tcPr>
            <w:tcW w:w="4394" w:type="dxa"/>
            <w:tcBorders>
              <w:top w:val="single" w:sz="8" w:space="0" w:color="auto"/>
              <w:left w:val="nil"/>
              <w:bottom w:val="single" w:sz="8" w:space="0" w:color="auto"/>
              <w:right w:val="single" w:sz="4" w:space="0" w:color="auto"/>
            </w:tcBorders>
            <w:shd w:val="clear" w:color="auto" w:fill="EEECE1"/>
            <w:noWrap/>
            <w:vAlign w:val="center"/>
            <w:hideMark/>
          </w:tcPr>
          <w:p w:rsidR="006C76BF" w:rsidRPr="006C76BF" w:rsidRDefault="006C76BF" w:rsidP="00463952">
            <w:pPr>
              <w:spacing w:after="0" w:line="240" w:lineRule="auto"/>
              <w:jc w:val="center"/>
              <w:rPr>
                <w:rFonts w:ascii="Times New Roman" w:eastAsia="Times New Roman" w:hAnsi="Times New Roman"/>
                <w:b/>
                <w:bCs/>
                <w:color w:val="000000"/>
                <w:sz w:val="20"/>
                <w:szCs w:val="20"/>
                <w:lang w:eastAsia="lt-LT"/>
              </w:rPr>
            </w:pPr>
            <w:r w:rsidRPr="006C76BF">
              <w:rPr>
                <w:rFonts w:ascii="Times New Roman" w:eastAsia="Times New Roman" w:hAnsi="Times New Roman"/>
                <w:b/>
                <w:bCs/>
                <w:color w:val="000000"/>
                <w:sz w:val="20"/>
                <w:szCs w:val="20"/>
                <w:lang w:eastAsia="lt-LT"/>
              </w:rPr>
              <w:t>Preliminarus ERPF paramos paskirstymas ITI pagal ERPF reglamento 7(2) punktą pagal kiekvieną prioritetą ir preliminarus ESF paramos paskirstymas integruotiems veiksmams</w:t>
            </w:r>
          </w:p>
        </w:tc>
        <w:tc>
          <w:tcPr>
            <w:tcW w:w="3827" w:type="dxa"/>
            <w:tcBorders>
              <w:top w:val="single" w:sz="8" w:space="0" w:color="auto"/>
              <w:left w:val="nil"/>
              <w:bottom w:val="single" w:sz="8" w:space="0" w:color="auto"/>
              <w:right w:val="single" w:sz="8" w:space="0" w:color="auto"/>
            </w:tcBorders>
            <w:shd w:val="clear" w:color="auto" w:fill="EEECE1"/>
            <w:noWrap/>
            <w:vAlign w:val="center"/>
            <w:hideMark/>
          </w:tcPr>
          <w:p w:rsidR="006C76BF" w:rsidRPr="006C76BF" w:rsidRDefault="008C06FD" w:rsidP="00463952">
            <w:pPr>
              <w:spacing w:after="0" w:line="240" w:lineRule="auto"/>
              <w:jc w:val="center"/>
              <w:rPr>
                <w:rFonts w:ascii="Times New Roman" w:eastAsia="Times New Roman" w:hAnsi="Times New Roman"/>
                <w:b/>
                <w:bCs/>
                <w:color w:val="000000"/>
                <w:sz w:val="20"/>
                <w:szCs w:val="20"/>
                <w:lang w:eastAsia="lt-LT"/>
              </w:rPr>
            </w:pPr>
            <w:r w:rsidRPr="003808EB">
              <w:rPr>
                <w:rFonts w:ascii="Times New Roman" w:hAnsi="Times New Roman"/>
                <w:b/>
                <w:sz w:val="20"/>
                <w:szCs w:val="24"/>
              </w:rPr>
              <w:t>Procentinė d</w:t>
            </w:r>
            <w:r w:rsidR="00463952">
              <w:rPr>
                <w:rFonts w:ascii="Times New Roman" w:hAnsi="Times New Roman"/>
                <w:b/>
                <w:sz w:val="20"/>
                <w:szCs w:val="24"/>
              </w:rPr>
              <w:t xml:space="preserve">alis nuo visų fondo asignavimų </w:t>
            </w:r>
            <w:r w:rsidR="003E0F8A">
              <w:rPr>
                <w:rFonts w:ascii="Times New Roman" w:eastAsia="Times New Roman" w:hAnsi="Times New Roman"/>
                <w:b/>
                <w:bCs/>
                <w:color w:val="000000"/>
                <w:sz w:val="20"/>
                <w:szCs w:val="20"/>
                <w:lang w:eastAsia="lt-LT"/>
              </w:rPr>
              <w:t>proc.</w:t>
            </w:r>
          </w:p>
        </w:tc>
      </w:tr>
      <w:tr w:rsidR="0006242C" w:rsidRPr="006C76BF" w:rsidTr="00555CF5">
        <w:trPr>
          <w:trHeight w:val="300"/>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rsidR="0006242C" w:rsidRPr="006C76BF" w:rsidRDefault="0006242C" w:rsidP="006C76BF">
            <w:pPr>
              <w:spacing w:after="0" w:line="240" w:lineRule="auto"/>
              <w:jc w:val="both"/>
              <w:rPr>
                <w:rFonts w:ascii="Times New Roman" w:eastAsia="Times New Roman" w:hAnsi="Times New Roman"/>
                <w:color w:val="000000"/>
                <w:lang w:eastAsia="lt-LT"/>
              </w:rPr>
            </w:pPr>
            <w:r w:rsidRPr="006C76BF">
              <w:rPr>
                <w:rFonts w:ascii="Times New Roman" w:eastAsia="Times New Roman" w:hAnsi="Times New Roman"/>
                <w:color w:val="000000"/>
                <w:lang w:eastAsia="lt-LT"/>
              </w:rPr>
              <w:t>Iš viso ERPF</w:t>
            </w:r>
          </w:p>
        </w:tc>
        <w:tc>
          <w:tcPr>
            <w:tcW w:w="4394" w:type="dxa"/>
            <w:tcBorders>
              <w:top w:val="nil"/>
              <w:left w:val="nil"/>
              <w:bottom w:val="single" w:sz="4" w:space="0" w:color="auto"/>
              <w:right w:val="single" w:sz="4" w:space="0" w:color="auto"/>
            </w:tcBorders>
            <w:shd w:val="clear" w:color="auto" w:fill="auto"/>
            <w:noWrap/>
            <w:vAlign w:val="center"/>
            <w:hideMark/>
          </w:tcPr>
          <w:p w:rsidR="0006242C" w:rsidRPr="004E77F7" w:rsidRDefault="003B5B9C" w:rsidP="00761690">
            <w:pPr>
              <w:spacing w:after="0" w:line="240" w:lineRule="auto"/>
              <w:jc w:val="center"/>
              <w:rPr>
                <w:rFonts w:ascii="Times New Roman" w:eastAsia="Times New Roman" w:hAnsi="Times New Roman"/>
                <w:color w:val="000000"/>
                <w:lang w:eastAsia="lt-LT"/>
              </w:rPr>
            </w:pPr>
            <w:r w:rsidRPr="004E77F7">
              <w:rPr>
                <w:rFonts w:ascii="Times New Roman" w:hAnsi="Times New Roman"/>
                <w:lang w:val="en-GB"/>
              </w:rPr>
              <w:t>184.795.688</w:t>
            </w:r>
          </w:p>
        </w:tc>
        <w:tc>
          <w:tcPr>
            <w:tcW w:w="3827" w:type="dxa"/>
            <w:tcBorders>
              <w:top w:val="nil"/>
              <w:left w:val="nil"/>
              <w:bottom w:val="single" w:sz="4" w:space="0" w:color="auto"/>
              <w:right w:val="single" w:sz="4" w:space="0" w:color="auto"/>
            </w:tcBorders>
            <w:shd w:val="clear" w:color="auto" w:fill="auto"/>
            <w:noWrap/>
            <w:vAlign w:val="center"/>
          </w:tcPr>
          <w:p w:rsidR="0006242C" w:rsidRPr="004E77F7" w:rsidRDefault="0056665F" w:rsidP="00761690">
            <w:pPr>
              <w:spacing w:after="0" w:line="240" w:lineRule="auto"/>
              <w:jc w:val="center"/>
              <w:rPr>
                <w:rFonts w:ascii="Times New Roman" w:eastAsia="Times New Roman" w:hAnsi="Times New Roman"/>
                <w:color w:val="000000"/>
                <w:lang w:eastAsia="lt-LT"/>
              </w:rPr>
            </w:pPr>
            <w:r w:rsidRPr="004E77F7">
              <w:rPr>
                <w:rFonts w:ascii="Times New Roman" w:eastAsia="Times New Roman" w:hAnsi="Times New Roman"/>
                <w:color w:val="000000"/>
                <w:lang w:eastAsia="lt-LT"/>
              </w:rPr>
              <w:t>5,</w:t>
            </w:r>
            <w:r w:rsidR="003B5B9C" w:rsidRPr="004E77F7">
              <w:rPr>
                <w:rFonts w:ascii="Times New Roman" w:eastAsia="Times New Roman" w:hAnsi="Times New Roman"/>
                <w:color w:val="000000"/>
                <w:lang w:eastAsia="lt-LT"/>
              </w:rPr>
              <w:t>43</w:t>
            </w:r>
          </w:p>
        </w:tc>
      </w:tr>
      <w:tr w:rsidR="0006242C" w:rsidRPr="006C76BF" w:rsidTr="00555CF5">
        <w:trPr>
          <w:trHeight w:val="300"/>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rsidR="0006242C" w:rsidRPr="006C76BF" w:rsidRDefault="0006242C" w:rsidP="006C76BF">
            <w:pPr>
              <w:spacing w:after="0" w:line="240" w:lineRule="auto"/>
              <w:jc w:val="both"/>
              <w:rPr>
                <w:rFonts w:ascii="Times New Roman" w:eastAsia="Times New Roman" w:hAnsi="Times New Roman"/>
                <w:color w:val="000000"/>
                <w:lang w:eastAsia="lt-LT"/>
              </w:rPr>
            </w:pPr>
            <w:r>
              <w:rPr>
                <w:rFonts w:ascii="Times New Roman" w:eastAsia="Times New Roman" w:hAnsi="Times New Roman"/>
                <w:color w:val="000000"/>
                <w:lang w:eastAsia="lt-LT"/>
              </w:rPr>
              <w:t>I</w:t>
            </w:r>
            <w:r w:rsidRPr="006C76BF">
              <w:rPr>
                <w:rFonts w:ascii="Times New Roman" w:eastAsia="Times New Roman" w:hAnsi="Times New Roman"/>
                <w:color w:val="000000"/>
                <w:lang w:eastAsia="lt-LT"/>
              </w:rPr>
              <w:t>š viso ESF</w:t>
            </w:r>
          </w:p>
        </w:tc>
        <w:tc>
          <w:tcPr>
            <w:tcW w:w="4394" w:type="dxa"/>
            <w:tcBorders>
              <w:top w:val="nil"/>
              <w:left w:val="nil"/>
              <w:bottom w:val="single" w:sz="4" w:space="0" w:color="auto"/>
              <w:right w:val="single" w:sz="4" w:space="0" w:color="auto"/>
            </w:tcBorders>
            <w:shd w:val="clear" w:color="auto" w:fill="auto"/>
            <w:noWrap/>
            <w:vAlign w:val="center"/>
            <w:hideMark/>
          </w:tcPr>
          <w:p w:rsidR="0006242C" w:rsidRPr="004E77F7" w:rsidRDefault="003B5B9C" w:rsidP="003A4330">
            <w:pPr>
              <w:spacing w:after="0" w:line="240" w:lineRule="auto"/>
              <w:jc w:val="center"/>
              <w:rPr>
                <w:rFonts w:ascii="Times New Roman" w:eastAsia="Times New Roman" w:hAnsi="Times New Roman"/>
                <w:color w:val="000000"/>
                <w:lang w:eastAsia="lt-LT"/>
              </w:rPr>
            </w:pPr>
            <w:r w:rsidRPr="004E77F7">
              <w:rPr>
                <w:rFonts w:ascii="Times New Roman" w:hAnsi="Times New Roman"/>
              </w:rPr>
              <w:t>5.514.430</w:t>
            </w:r>
          </w:p>
        </w:tc>
        <w:tc>
          <w:tcPr>
            <w:tcW w:w="3827" w:type="dxa"/>
            <w:tcBorders>
              <w:top w:val="nil"/>
              <w:left w:val="nil"/>
              <w:bottom w:val="single" w:sz="4" w:space="0" w:color="auto"/>
              <w:right w:val="single" w:sz="4" w:space="0" w:color="auto"/>
            </w:tcBorders>
            <w:shd w:val="clear" w:color="auto" w:fill="auto"/>
            <w:noWrap/>
            <w:vAlign w:val="center"/>
          </w:tcPr>
          <w:p w:rsidR="0006242C" w:rsidRPr="004E77F7" w:rsidRDefault="003B5B9C" w:rsidP="003A4330">
            <w:pPr>
              <w:spacing w:after="0" w:line="240" w:lineRule="auto"/>
              <w:jc w:val="center"/>
              <w:rPr>
                <w:rFonts w:ascii="Times New Roman" w:eastAsia="Times New Roman" w:hAnsi="Times New Roman"/>
                <w:color w:val="000000"/>
                <w:lang w:eastAsia="lt-LT"/>
              </w:rPr>
            </w:pPr>
            <w:r w:rsidRPr="004E77F7">
              <w:rPr>
                <w:rFonts w:ascii="Times New Roman" w:eastAsia="Times New Roman" w:hAnsi="Times New Roman"/>
                <w:color w:val="000000"/>
                <w:lang w:eastAsia="lt-LT"/>
              </w:rPr>
              <w:t>0,45</w:t>
            </w:r>
          </w:p>
        </w:tc>
      </w:tr>
      <w:tr w:rsidR="0006242C" w:rsidRPr="006C76BF" w:rsidTr="00555CF5">
        <w:trPr>
          <w:trHeight w:val="300"/>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1CF7" w:rsidRDefault="0006242C" w:rsidP="006C76BF">
            <w:pPr>
              <w:spacing w:after="0" w:line="240" w:lineRule="auto"/>
              <w:jc w:val="both"/>
              <w:rPr>
                <w:rFonts w:ascii="Times New Roman" w:eastAsia="Times New Roman" w:hAnsi="Times New Roman"/>
                <w:color w:val="000000"/>
                <w:lang w:eastAsia="lt-LT"/>
              </w:rPr>
            </w:pPr>
            <w:r w:rsidRPr="006C76BF">
              <w:rPr>
                <w:rFonts w:ascii="Times New Roman" w:eastAsia="Times New Roman" w:hAnsi="Times New Roman"/>
                <w:color w:val="000000"/>
                <w:lang w:eastAsia="lt-LT"/>
              </w:rPr>
              <w:t>Iš viso</w:t>
            </w:r>
          </w:p>
          <w:p w:rsidR="0006242C" w:rsidRPr="006C76BF" w:rsidRDefault="006C32FE" w:rsidP="006C76BF">
            <w:pPr>
              <w:spacing w:after="0" w:line="240" w:lineRule="auto"/>
              <w:jc w:val="both"/>
              <w:rPr>
                <w:rFonts w:ascii="Times New Roman" w:eastAsia="Times New Roman" w:hAnsi="Times New Roman"/>
                <w:color w:val="000000"/>
                <w:lang w:eastAsia="lt-LT"/>
              </w:rPr>
            </w:pPr>
            <w:r>
              <w:rPr>
                <w:rFonts w:ascii="Times New Roman" w:eastAsia="Times New Roman" w:hAnsi="Times New Roman"/>
                <w:color w:val="000000"/>
                <w:lang w:eastAsia="lt-LT"/>
              </w:rPr>
              <w:t>(ERPF+ESF)</w:t>
            </w:r>
          </w:p>
        </w:tc>
        <w:tc>
          <w:tcPr>
            <w:tcW w:w="4394" w:type="dxa"/>
            <w:tcBorders>
              <w:top w:val="single" w:sz="4" w:space="0" w:color="auto"/>
              <w:left w:val="nil"/>
              <w:bottom w:val="single" w:sz="4" w:space="0" w:color="auto"/>
              <w:right w:val="single" w:sz="4" w:space="0" w:color="auto"/>
            </w:tcBorders>
            <w:shd w:val="clear" w:color="auto" w:fill="auto"/>
            <w:noWrap/>
            <w:vAlign w:val="center"/>
          </w:tcPr>
          <w:p w:rsidR="0006242C" w:rsidRPr="004E77F7" w:rsidRDefault="003B5B9C" w:rsidP="0006242C">
            <w:pPr>
              <w:spacing w:after="0" w:line="240" w:lineRule="auto"/>
              <w:jc w:val="center"/>
              <w:rPr>
                <w:rFonts w:ascii="Times New Roman" w:eastAsia="Times New Roman" w:hAnsi="Times New Roman"/>
                <w:color w:val="000000"/>
                <w:lang w:eastAsia="lt-LT"/>
              </w:rPr>
            </w:pPr>
            <w:r w:rsidRPr="004E77F7">
              <w:rPr>
                <w:rFonts w:ascii="Times New Roman" w:hAnsi="Times New Roman"/>
                <w:lang w:val="en-GB"/>
              </w:rPr>
              <w:t>190.310.118</w:t>
            </w:r>
          </w:p>
        </w:tc>
        <w:tc>
          <w:tcPr>
            <w:tcW w:w="3827" w:type="dxa"/>
            <w:tcBorders>
              <w:top w:val="single" w:sz="4" w:space="0" w:color="auto"/>
              <w:left w:val="nil"/>
              <w:bottom w:val="single" w:sz="4" w:space="0" w:color="auto"/>
              <w:right w:val="single" w:sz="4" w:space="0" w:color="auto"/>
            </w:tcBorders>
            <w:shd w:val="clear" w:color="auto" w:fill="auto"/>
            <w:noWrap/>
            <w:vAlign w:val="center"/>
          </w:tcPr>
          <w:p w:rsidR="0006242C" w:rsidRPr="004E77F7" w:rsidRDefault="006C32FE" w:rsidP="00761690">
            <w:pPr>
              <w:spacing w:after="0" w:line="240" w:lineRule="auto"/>
              <w:jc w:val="center"/>
              <w:rPr>
                <w:rFonts w:ascii="Times New Roman" w:eastAsia="Times New Roman" w:hAnsi="Times New Roman"/>
                <w:color w:val="000000"/>
                <w:lang w:eastAsia="lt-LT"/>
              </w:rPr>
            </w:pPr>
            <w:r w:rsidRPr="004E77F7">
              <w:rPr>
                <w:rFonts w:ascii="Times New Roman" w:eastAsia="Times New Roman" w:hAnsi="Times New Roman"/>
                <w:color w:val="000000"/>
                <w:lang w:eastAsia="lt-LT"/>
              </w:rPr>
              <w:t>4,</w:t>
            </w:r>
            <w:r w:rsidR="003B5B9C" w:rsidRPr="004E77F7">
              <w:rPr>
                <w:rFonts w:ascii="Times New Roman" w:eastAsia="Times New Roman" w:hAnsi="Times New Roman"/>
                <w:color w:val="000000"/>
                <w:lang w:eastAsia="lt-LT"/>
              </w:rPr>
              <w:t>13</w:t>
            </w:r>
          </w:p>
        </w:tc>
      </w:tr>
    </w:tbl>
    <w:p w:rsidR="006C76BF" w:rsidRPr="006C76BF" w:rsidRDefault="006C76BF" w:rsidP="006C76BF">
      <w:pPr>
        <w:spacing w:after="0" w:line="240" w:lineRule="auto"/>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122"/>
      </w:tblGrid>
      <w:tr w:rsidR="006C76BF" w:rsidRPr="003E0F8A" w:rsidTr="00FA244F">
        <w:trPr>
          <w:trHeight w:val="416"/>
        </w:trPr>
        <w:tc>
          <w:tcPr>
            <w:tcW w:w="675" w:type="dxa"/>
            <w:shd w:val="clear" w:color="auto" w:fill="C6D9F1"/>
            <w:vAlign w:val="center"/>
          </w:tcPr>
          <w:p w:rsidR="006C76BF" w:rsidRPr="003E0F8A" w:rsidRDefault="006C76BF" w:rsidP="006C76BF">
            <w:pPr>
              <w:spacing w:after="0" w:line="240" w:lineRule="auto"/>
              <w:jc w:val="both"/>
              <w:rPr>
                <w:rFonts w:ascii="Times New Roman" w:hAnsi="Times New Roman"/>
                <w:b/>
                <w:bCs/>
                <w:sz w:val="24"/>
              </w:rPr>
            </w:pPr>
            <w:r w:rsidRPr="003E0F8A">
              <w:rPr>
                <w:rFonts w:ascii="Times New Roman" w:hAnsi="Times New Roman"/>
                <w:b/>
                <w:bCs/>
                <w:sz w:val="24"/>
              </w:rPr>
              <w:t>4.3.</w:t>
            </w:r>
          </w:p>
        </w:tc>
        <w:tc>
          <w:tcPr>
            <w:tcW w:w="9122" w:type="dxa"/>
            <w:shd w:val="clear" w:color="auto" w:fill="C6D9F1"/>
            <w:vAlign w:val="center"/>
          </w:tcPr>
          <w:p w:rsidR="006C76BF" w:rsidRPr="003E0F8A" w:rsidRDefault="006C76BF" w:rsidP="00D671BD">
            <w:pPr>
              <w:spacing w:after="0" w:line="240" w:lineRule="auto"/>
              <w:jc w:val="both"/>
              <w:rPr>
                <w:rFonts w:ascii="Times New Roman" w:hAnsi="Times New Roman"/>
                <w:b/>
                <w:bCs/>
                <w:sz w:val="24"/>
              </w:rPr>
            </w:pPr>
            <w:r w:rsidRPr="003E0F8A">
              <w:rPr>
                <w:rFonts w:ascii="Times New Roman" w:hAnsi="Times New Roman"/>
                <w:b/>
                <w:bCs/>
                <w:sz w:val="24"/>
              </w:rPr>
              <w:t>Integruot</w:t>
            </w:r>
            <w:r w:rsidR="00D671BD">
              <w:rPr>
                <w:rFonts w:ascii="Times New Roman" w:hAnsi="Times New Roman"/>
                <w:b/>
                <w:bCs/>
                <w:sz w:val="24"/>
              </w:rPr>
              <w:t>os</w:t>
            </w:r>
            <w:r w:rsidRPr="003E0F8A">
              <w:rPr>
                <w:rFonts w:ascii="Times New Roman" w:hAnsi="Times New Roman"/>
                <w:b/>
                <w:bCs/>
                <w:sz w:val="24"/>
              </w:rPr>
              <w:t xml:space="preserve"> teritorin</w:t>
            </w:r>
            <w:r w:rsidR="00D671BD">
              <w:rPr>
                <w:rFonts w:ascii="Times New Roman" w:hAnsi="Times New Roman"/>
                <w:b/>
                <w:bCs/>
                <w:sz w:val="24"/>
              </w:rPr>
              <w:t>ės</w:t>
            </w:r>
            <w:r w:rsidRPr="003E0F8A">
              <w:rPr>
                <w:rFonts w:ascii="Times New Roman" w:hAnsi="Times New Roman"/>
                <w:b/>
                <w:bCs/>
                <w:sz w:val="24"/>
              </w:rPr>
              <w:t xml:space="preserve"> investicij</w:t>
            </w:r>
            <w:r w:rsidR="00D671BD">
              <w:rPr>
                <w:rFonts w:ascii="Times New Roman" w:hAnsi="Times New Roman"/>
                <w:b/>
                <w:bCs/>
                <w:sz w:val="24"/>
              </w:rPr>
              <w:t>os</w:t>
            </w:r>
            <w:r w:rsidRPr="003E0F8A">
              <w:rPr>
                <w:rFonts w:ascii="Times New Roman" w:hAnsi="Times New Roman"/>
                <w:b/>
                <w:bCs/>
                <w:sz w:val="24"/>
              </w:rPr>
              <w:t xml:space="preserve"> (ITI)</w:t>
            </w:r>
          </w:p>
        </w:tc>
      </w:tr>
    </w:tbl>
    <w:p w:rsidR="006C76BF" w:rsidRPr="006C76BF" w:rsidRDefault="006C76BF" w:rsidP="006C76BF">
      <w:pPr>
        <w:spacing w:after="0" w:line="240" w:lineRule="auto"/>
        <w:jc w:val="both"/>
        <w:rPr>
          <w:rFonts w:ascii="Times New Roman" w:hAnsi="Times New Roman"/>
        </w:rPr>
      </w:pPr>
    </w:p>
    <w:p w:rsidR="003A4330" w:rsidRDefault="003A4330" w:rsidP="003E0F8A">
      <w:pPr>
        <w:spacing w:after="0" w:line="240" w:lineRule="auto"/>
        <w:ind w:firstLine="851"/>
        <w:jc w:val="both"/>
        <w:rPr>
          <w:rFonts w:ascii="Times New Roman" w:hAnsi="Times New Roman"/>
          <w:sz w:val="24"/>
          <w:szCs w:val="24"/>
        </w:rPr>
      </w:pPr>
      <w:r w:rsidRPr="00B315E9">
        <w:rPr>
          <w:rFonts w:ascii="Times New Roman" w:hAnsi="Times New Roman"/>
          <w:sz w:val="24"/>
          <w:szCs w:val="24"/>
        </w:rPr>
        <w:t xml:space="preserve">ITI </w:t>
      </w:r>
      <w:r>
        <w:rPr>
          <w:rFonts w:ascii="Times New Roman" w:hAnsi="Times New Roman"/>
          <w:sz w:val="24"/>
          <w:szCs w:val="24"/>
        </w:rPr>
        <w:t>naudojamas kai įgyvendinimo mechanizmas remiant</w:t>
      </w:r>
      <w:r w:rsidRPr="00B315E9">
        <w:rPr>
          <w:rFonts w:ascii="Times New Roman" w:hAnsi="Times New Roman"/>
          <w:sz w:val="24"/>
          <w:szCs w:val="24"/>
        </w:rPr>
        <w:t xml:space="preserve"> tvarios miestų plėtros veiksmus</w:t>
      </w:r>
      <w:proofErr w:type="gramStart"/>
      <w:r>
        <w:rPr>
          <w:rFonts w:ascii="Times New Roman" w:hAnsi="Times New Roman"/>
          <w:sz w:val="24"/>
          <w:szCs w:val="24"/>
        </w:rPr>
        <w:t xml:space="preserve">  </w:t>
      </w:r>
      <w:proofErr w:type="gramEnd"/>
      <w:r>
        <w:rPr>
          <w:rFonts w:ascii="Times New Roman" w:hAnsi="Times New Roman"/>
          <w:sz w:val="24"/>
          <w:szCs w:val="24"/>
        </w:rPr>
        <w:t xml:space="preserve">5 didžiuosiuose šalies miestuose, kaip nurodyta </w:t>
      </w:r>
      <w:r w:rsidRPr="00B315E9">
        <w:rPr>
          <w:rFonts w:ascii="Times New Roman" w:hAnsi="Times New Roman"/>
          <w:sz w:val="24"/>
          <w:szCs w:val="24"/>
        </w:rPr>
        <w:t>Part</w:t>
      </w:r>
      <w:r>
        <w:rPr>
          <w:rFonts w:ascii="Times New Roman" w:hAnsi="Times New Roman"/>
          <w:sz w:val="24"/>
          <w:szCs w:val="24"/>
        </w:rPr>
        <w:t xml:space="preserve">nerystės sutarties 3.1.2. skyriuje, taip pat sprendžiant teritorinio vystymosi iššūkius, būdingus mažų ir vidutinių miestų grupei. </w:t>
      </w:r>
    </w:p>
    <w:p w:rsidR="003A4330" w:rsidRDefault="003A4330" w:rsidP="003E0F8A">
      <w:pPr>
        <w:spacing w:after="0" w:line="240" w:lineRule="auto"/>
        <w:ind w:firstLine="851"/>
        <w:jc w:val="both"/>
        <w:rPr>
          <w:rFonts w:ascii="Times New Roman" w:hAnsi="Times New Roman"/>
          <w:sz w:val="24"/>
          <w:szCs w:val="24"/>
        </w:rPr>
      </w:pPr>
      <w:r>
        <w:rPr>
          <w:rFonts w:ascii="Times New Roman" w:hAnsi="Times New Roman"/>
          <w:sz w:val="24"/>
          <w:szCs w:val="24"/>
        </w:rPr>
        <w:t xml:space="preserve">Todėl ITI strategijos (integruotos teritorijų vystymo </w:t>
      </w:r>
      <w:r w:rsidR="00DB7E8E">
        <w:rPr>
          <w:rFonts w:ascii="Times New Roman" w:hAnsi="Times New Roman"/>
          <w:sz w:val="24"/>
          <w:szCs w:val="24"/>
        </w:rPr>
        <w:t>programos</w:t>
      </w:r>
      <w:r>
        <w:rPr>
          <w:rFonts w:ascii="Times New Roman" w:hAnsi="Times New Roman"/>
          <w:sz w:val="24"/>
          <w:szCs w:val="24"/>
        </w:rPr>
        <w:t>) sudaromos ir įgyvendinamos šiose teritorijose:</w:t>
      </w:r>
    </w:p>
    <w:p w:rsidR="003A4330" w:rsidRDefault="003A4330" w:rsidP="003E0F8A">
      <w:pPr>
        <w:spacing w:after="0" w:line="240" w:lineRule="auto"/>
        <w:ind w:firstLine="851"/>
        <w:jc w:val="both"/>
        <w:rPr>
          <w:rFonts w:ascii="Times New Roman" w:hAnsi="Times New Roman"/>
          <w:sz w:val="24"/>
          <w:szCs w:val="24"/>
        </w:rPr>
      </w:pPr>
      <w:r>
        <w:rPr>
          <w:rFonts w:ascii="Times New Roman" w:hAnsi="Times New Roman"/>
          <w:sz w:val="24"/>
          <w:szCs w:val="24"/>
        </w:rPr>
        <w:t xml:space="preserve">5 didieji miestai, kuriuose įgyvendinami tvarios miestų plėtros veiksmai. Šie miestai yra nustatyti </w:t>
      </w:r>
      <w:r w:rsidR="001A414C">
        <w:rPr>
          <w:rFonts w:ascii="Times New Roman" w:hAnsi="Times New Roman"/>
          <w:sz w:val="24"/>
          <w:szCs w:val="24"/>
        </w:rPr>
        <w:t>NPP</w:t>
      </w:r>
      <w:r>
        <w:rPr>
          <w:rFonts w:ascii="Times New Roman" w:hAnsi="Times New Roman"/>
          <w:sz w:val="24"/>
          <w:szCs w:val="24"/>
        </w:rPr>
        <w:t>: Vilnius, Kaunas, Klaipėda, Šiauliai ir Panevėžys. Tikslines teritorijas (šių miestų dalis) atsižvelgdamos į Partnerystės sutarties 3.1.3 dalyje nustatytus principus nustato miestų savivaldybės.</w:t>
      </w:r>
    </w:p>
    <w:p w:rsidR="003A4330" w:rsidRDefault="003A4330" w:rsidP="003E0F8A">
      <w:pPr>
        <w:spacing w:after="0" w:line="240" w:lineRule="auto"/>
        <w:ind w:firstLine="851"/>
        <w:jc w:val="both"/>
        <w:rPr>
          <w:rFonts w:ascii="Times New Roman" w:hAnsi="Times New Roman"/>
          <w:sz w:val="24"/>
          <w:szCs w:val="24"/>
        </w:rPr>
      </w:pPr>
      <w:r>
        <w:rPr>
          <w:rFonts w:ascii="Times New Roman" w:hAnsi="Times New Roman"/>
          <w:sz w:val="24"/>
          <w:szCs w:val="24"/>
        </w:rPr>
        <w:t>Mažų ir vidutinių miestų grupėje išskirtos tikslinės teritorijos, kuriuose pagrindinės problemos yra susijusios su neigiamais demografiniais procesais, maž</w:t>
      </w:r>
      <w:r w:rsidR="00DB7E8E">
        <w:rPr>
          <w:rFonts w:ascii="Times New Roman" w:hAnsi="Times New Roman"/>
          <w:sz w:val="24"/>
          <w:szCs w:val="24"/>
        </w:rPr>
        <w:t>u</w:t>
      </w:r>
      <w:r>
        <w:rPr>
          <w:rFonts w:ascii="Times New Roman" w:hAnsi="Times New Roman"/>
          <w:sz w:val="24"/>
          <w:szCs w:val="24"/>
        </w:rPr>
        <w:t xml:space="preserve"> ekonomini</w:t>
      </w:r>
      <w:r w:rsidR="00DB7E8E">
        <w:rPr>
          <w:rFonts w:ascii="Times New Roman" w:hAnsi="Times New Roman"/>
          <w:sz w:val="24"/>
          <w:szCs w:val="24"/>
        </w:rPr>
        <w:t>u</w:t>
      </w:r>
      <w:r>
        <w:rPr>
          <w:rFonts w:ascii="Times New Roman" w:hAnsi="Times New Roman"/>
          <w:sz w:val="24"/>
          <w:szCs w:val="24"/>
        </w:rPr>
        <w:t xml:space="preserve"> aktyvum</w:t>
      </w:r>
      <w:r w:rsidR="00DB7E8E">
        <w:rPr>
          <w:rFonts w:ascii="Times New Roman" w:hAnsi="Times New Roman"/>
          <w:sz w:val="24"/>
          <w:szCs w:val="24"/>
        </w:rPr>
        <w:t>u</w:t>
      </w:r>
      <w:r>
        <w:rPr>
          <w:rFonts w:ascii="Times New Roman" w:hAnsi="Times New Roman"/>
          <w:sz w:val="24"/>
          <w:szCs w:val="24"/>
        </w:rPr>
        <w:t xml:space="preserve"> ir nesubalansuot</w:t>
      </w:r>
      <w:r w:rsidR="00DB7E8E">
        <w:rPr>
          <w:rFonts w:ascii="Times New Roman" w:hAnsi="Times New Roman"/>
          <w:sz w:val="24"/>
          <w:szCs w:val="24"/>
        </w:rPr>
        <w:t>a</w:t>
      </w:r>
      <w:r>
        <w:rPr>
          <w:rFonts w:ascii="Times New Roman" w:hAnsi="Times New Roman"/>
          <w:sz w:val="24"/>
          <w:szCs w:val="24"/>
        </w:rPr>
        <w:t xml:space="preserve"> </w:t>
      </w:r>
      <w:r w:rsidR="00DB7E8E">
        <w:rPr>
          <w:rFonts w:ascii="Times New Roman" w:hAnsi="Times New Roman"/>
          <w:sz w:val="24"/>
          <w:szCs w:val="24"/>
        </w:rPr>
        <w:t xml:space="preserve">ekonomine struktūra </w:t>
      </w:r>
      <w:r>
        <w:rPr>
          <w:rFonts w:ascii="Times New Roman" w:hAnsi="Times New Roman"/>
          <w:sz w:val="24"/>
          <w:szCs w:val="24"/>
        </w:rPr>
        <w:t>(</w:t>
      </w:r>
      <w:r w:rsidR="00DB7E8E">
        <w:rPr>
          <w:rFonts w:ascii="Times New Roman" w:hAnsi="Times New Roman"/>
          <w:sz w:val="24"/>
          <w:szCs w:val="24"/>
        </w:rPr>
        <w:t xml:space="preserve">lemiančia </w:t>
      </w:r>
      <w:r>
        <w:rPr>
          <w:rFonts w:ascii="Times New Roman" w:hAnsi="Times New Roman"/>
          <w:sz w:val="24"/>
          <w:szCs w:val="24"/>
        </w:rPr>
        <w:t>maž</w:t>
      </w:r>
      <w:r w:rsidR="00DB7E8E">
        <w:rPr>
          <w:rFonts w:ascii="Times New Roman" w:hAnsi="Times New Roman"/>
          <w:sz w:val="24"/>
          <w:szCs w:val="24"/>
        </w:rPr>
        <w:t>ą</w:t>
      </w:r>
      <w:r>
        <w:rPr>
          <w:rFonts w:ascii="Times New Roman" w:hAnsi="Times New Roman"/>
          <w:sz w:val="24"/>
          <w:szCs w:val="24"/>
        </w:rPr>
        <w:t xml:space="preserve"> darbo vietų įvairov</w:t>
      </w:r>
      <w:r w:rsidR="00DB7E8E">
        <w:rPr>
          <w:rFonts w:ascii="Times New Roman" w:hAnsi="Times New Roman"/>
          <w:sz w:val="24"/>
          <w:szCs w:val="24"/>
        </w:rPr>
        <w:t>ę</w:t>
      </w:r>
      <w:r>
        <w:rPr>
          <w:rFonts w:ascii="Times New Roman" w:hAnsi="Times New Roman"/>
          <w:sz w:val="24"/>
          <w:szCs w:val="24"/>
        </w:rPr>
        <w:t>). Tikslines teritorijas šioje vietovių grupėje, nustato ITI koordinuojanti institucija (Vidaus reikalų ministerija), vadovaudamasi iš anksto nustatytais kiekybiniais kriterijais.</w:t>
      </w:r>
    </w:p>
    <w:p w:rsidR="00DB7E8E" w:rsidRDefault="00DB7E8E" w:rsidP="00DB7E8E">
      <w:pPr>
        <w:spacing w:after="0" w:line="240" w:lineRule="auto"/>
        <w:ind w:firstLine="851"/>
        <w:jc w:val="both"/>
        <w:rPr>
          <w:rFonts w:ascii="Times New Roman" w:hAnsi="Times New Roman"/>
          <w:sz w:val="24"/>
          <w:szCs w:val="24"/>
        </w:rPr>
      </w:pPr>
      <w:r w:rsidRPr="003808EB">
        <w:rPr>
          <w:rFonts w:ascii="Times New Roman" w:hAnsi="Times New Roman"/>
          <w:sz w:val="24"/>
          <w:szCs w:val="24"/>
        </w:rPr>
        <w:t>Pereinamojo laikotarpio tikslinės teritorijos (miest</w:t>
      </w:r>
      <w:r>
        <w:rPr>
          <w:rFonts w:ascii="Times New Roman" w:hAnsi="Times New Roman"/>
          <w:sz w:val="24"/>
          <w:szCs w:val="24"/>
        </w:rPr>
        <w:t>ai) – t</w:t>
      </w:r>
      <w:r w:rsidRPr="003808EB">
        <w:rPr>
          <w:rFonts w:ascii="Times New Roman" w:hAnsi="Times New Roman"/>
          <w:sz w:val="24"/>
          <w:szCs w:val="24"/>
        </w:rPr>
        <w:t>ai 2007–2013 m. programavimo laikotarpiu išskirti regioniniai ekonomikos augimo centrai (7 miestai) ir probleminių teritorijų savivaldybių centrai (14 miestų), kuriose investicijos į urbanistinę infrastruktūrą (savo turiniu panašios į remiamus tvarios miestų plėtros veiksmus) atliktos 2007–2013 m.</w:t>
      </w:r>
      <w:r>
        <w:rPr>
          <w:rFonts w:ascii="Times New Roman" w:hAnsi="Times New Roman"/>
          <w:sz w:val="24"/>
          <w:szCs w:val="24"/>
        </w:rPr>
        <w:t xml:space="preserve">, tačiau reikalingos papildančios veiklos, užtikrinant pasiektų rezultatų tvarumą. Jose bus taikomos pereinamojo laikotarpio, ribotos apimties priemonės </w:t>
      </w:r>
      <w:r w:rsidRPr="00DF4254">
        <w:rPr>
          <w:rFonts w:ascii="Times New Roman" w:hAnsi="Times New Roman"/>
          <w:sz w:val="24"/>
          <w:szCs w:val="24"/>
        </w:rPr>
        <w:t>(</w:t>
      </w:r>
      <w:r>
        <w:rPr>
          <w:rFonts w:ascii="Times New Roman" w:hAnsi="Times New Roman"/>
          <w:sz w:val="24"/>
          <w:szCs w:val="24"/>
        </w:rPr>
        <w:t>angl.</w:t>
      </w:r>
      <w:r>
        <w:rPr>
          <w:rFonts w:ascii="Times New Roman" w:hAnsi="Times New Roman"/>
          <w:i/>
          <w:sz w:val="24"/>
          <w:szCs w:val="24"/>
        </w:rPr>
        <w:t xml:space="preserve"> </w:t>
      </w:r>
      <w:r w:rsidRPr="00DF4254">
        <w:rPr>
          <w:rFonts w:ascii="Times New Roman" w:hAnsi="Times New Roman"/>
          <w:i/>
          <w:sz w:val="24"/>
          <w:szCs w:val="24"/>
        </w:rPr>
        <w:t>phasing out</w:t>
      </w:r>
      <w:r w:rsidRPr="00DF4254">
        <w:rPr>
          <w:rFonts w:ascii="Times New Roman" w:hAnsi="Times New Roman"/>
          <w:sz w:val="24"/>
          <w:szCs w:val="24"/>
        </w:rPr>
        <w:t>)</w:t>
      </w:r>
      <w:r>
        <w:rPr>
          <w:rFonts w:ascii="Times New Roman" w:hAnsi="Times New Roman"/>
          <w:sz w:val="24"/>
          <w:szCs w:val="24"/>
        </w:rPr>
        <w:t>.</w:t>
      </w:r>
    </w:p>
    <w:p w:rsidR="003A4330" w:rsidRPr="00D1111F" w:rsidRDefault="003A4330" w:rsidP="003A4330">
      <w:pPr>
        <w:spacing w:after="0" w:line="240" w:lineRule="auto"/>
        <w:ind w:firstLine="851"/>
        <w:jc w:val="both"/>
        <w:rPr>
          <w:rFonts w:ascii="Times New Roman" w:hAnsi="Times New Roman"/>
          <w:sz w:val="24"/>
          <w:szCs w:val="24"/>
        </w:rPr>
      </w:pPr>
      <w:r w:rsidRPr="00D1111F">
        <w:rPr>
          <w:rFonts w:ascii="Times New Roman" w:hAnsi="Times New Roman"/>
          <w:sz w:val="24"/>
          <w:szCs w:val="24"/>
        </w:rPr>
        <w:t xml:space="preserve">Numatoma finansuoti iki 15-os į teritorijų specifiką orientuotų integruotų teritorijų vystymo </w:t>
      </w:r>
      <w:r w:rsidR="00DB7E8E">
        <w:rPr>
          <w:rFonts w:ascii="Times New Roman" w:hAnsi="Times New Roman"/>
          <w:sz w:val="24"/>
          <w:szCs w:val="24"/>
        </w:rPr>
        <w:t>programų</w:t>
      </w:r>
      <w:r w:rsidRPr="00D1111F">
        <w:rPr>
          <w:rFonts w:ascii="Times New Roman" w:hAnsi="Times New Roman"/>
          <w:sz w:val="24"/>
          <w:szCs w:val="24"/>
        </w:rPr>
        <w:t>, įgyvendinamų kaip ITI:</w:t>
      </w:r>
    </w:p>
    <w:p w:rsidR="00A800C6" w:rsidRDefault="003A4330" w:rsidP="00650E41">
      <w:pPr>
        <w:numPr>
          <w:ilvl w:val="0"/>
          <w:numId w:val="6"/>
        </w:numPr>
        <w:spacing w:after="0" w:line="240" w:lineRule="auto"/>
        <w:ind w:left="851" w:hanging="567"/>
        <w:jc w:val="both"/>
        <w:rPr>
          <w:rFonts w:ascii="Times New Roman" w:hAnsi="Times New Roman"/>
          <w:sz w:val="24"/>
          <w:szCs w:val="24"/>
        </w:rPr>
      </w:pPr>
      <w:r w:rsidRPr="00D1111F">
        <w:rPr>
          <w:rFonts w:ascii="Times New Roman" w:hAnsi="Times New Roman"/>
          <w:sz w:val="24"/>
          <w:szCs w:val="24"/>
        </w:rPr>
        <w:t xml:space="preserve">5 didžiųjų miestų </w:t>
      </w:r>
      <w:r w:rsidR="00DB7E8E">
        <w:rPr>
          <w:rFonts w:ascii="Times New Roman" w:hAnsi="Times New Roman"/>
          <w:sz w:val="24"/>
          <w:szCs w:val="24"/>
        </w:rPr>
        <w:t>programas</w:t>
      </w:r>
      <w:r w:rsidRPr="00D1111F">
        <w:rPr>
          <w:rFonts w:ascii="Times New Roman" w:hAnsi="Times New Roman"/>
          <w:sz w:val="24"/>
          <w:szCs w:val="24"/>
        </w:rPr>
        <w:t xml:space="preserve">, investicijas koncentruojant pagal </w:t>
      </w:r>
      <w:r w:rsidR="00DB7E8E">
        <w:rPr>
          <w:rFonts w:ascii="Times New Roman" w:hAnsi="Times New Roman"/>
          <w:sz w:val="24"/>
          <w:szCs w:val="24"/>
        </w:rPr>
        <w:t>3</w:t>
      </w:r>
      <w:r w:rsidRPr="00D1111F">
        <w:rPr>
          <w:rFonts w:ascii="Times New Roman" w:hAnsi="Times New Roman"/>
          <w:sz w:val="24"/>
          <w:szCs w:val="24"/>
        </w:rPr>
        <w:t xml:space="preserve">0–40 tūkst. gyv. turinčių tikslinių teritorijų problematiką ir </w:t>
      </w:r>
      <w:r w:rsidRPr="00D1111F">
        <w:rPr>
          <w:rFonts w:ascii="Times New Roman" w:eastAsia="AngsanaUPC" w:hAnsi="Times New Roman"/>
          <w:bCs/>
          <w:iCs/>
          <w:sz w:val="24"/>
          <w:szCs w:val="24"/>
          <w:lang w:eastAsia="lt-LT"/>
        </w:rPr>
        <w:t>įgyvendinant tvarios miestų plėtros veiksmus.</w:t>
      </w:r>
    </w:p>
    <w:p w:rsidR="003A4330" w:rsidRPr="00A800C6" w:rsidRDefault="003A4330" w:rsidP="00650E41">
      <w:pPr>
        <w:numPr>
          <w:ilvl w:val="0"/>
          <w:numId w:val="6"/>
        </w:numPr>
        <w:spacing w:after="0" w:line="240" w:lineRule="auto"/>
        <w:ind w:left="851" w:hanging="567"/>
        <w:jc w:val="both"/>
        <w:rPr>
          <w:rFonts w:ascii="Times New Roman" w:hAnsi="Times New Roman"/>
          <w:sz w:val="24"/>
          <w:szCs w:val="24"/>
        </w:rPr>
      </w:pPr>
      <w:r w:rsidRPr="00A800C6">
        <w:rPr>
          <w:rFonts w:ascii="Times New Roman" w:hAnsi="Times New Roman"/>
          <w:sz w:val="24"/>
          <w:szCs w:val="24"/>
        </w:rPr>
        <w:t xml:space="preserve">10 regioninio lygmens </w:t>
      </w:r>
      <w:r w:rsidR="00DB7E8E">
        <w:rPr>
          <w:rFonts w:ascii="Times New Roman" w:hAnsi="Times New Roman"/>
          <w:sz w:val="24"/>
          <w:szCs w:val="24"/>
        </w:rPr>
        <w:t>programų</w:t>
      </w:r>
      <w:r w:rsidRPr="00A800C6">
        <w:rPr>
          <w:rFonts w:ascii="Times New Roman" w:hAnsi="Times New Roman"/>
          <w:sz w:val="24"/>
          <w:szCs w:val="24"/>
        </w:rPr>
        <w:t xml:space="preserve">, skirtų tikslinėms teritorijoms, išskirtoms mažų ir vidutinių miestų grupėje </w:t>
      </w:r>
      <w:r w:rsidR="00C53441">
        <w:rPr>
          <w:rFonts w:ascii="Times New Roman" w:hAnsi="Times New Roman"/>
          <w:sz w:val="24"/>
          <w:szCs w:val="24"/>
        </w:rPr>
        <w:t>ir pereinamojo laikotarpio tikslinėms teritorijoms</w:t>
      </w:r>
      <w:r w:rsidR="00C53441" w:rsidRPr="00A800C6">
        <w:rPr>
          <w:rFonts w:ascii="Times New Roman" w:hAnsi="Times New Roman"/>
          <w:sz w:val="24"/>
          <w:szCs w:val="24"/>
        </w:rPr>
        <w:t xml:space="preserve"> </w:t>
      </w:r>
      <w:r w:rsidRPr="00A800C6">
        <w:rPr>
          <w:rFonts w:ascii="Times New Roman" w:hAnsi="Times New Roman"/>
          <w:sz w:val="24"/>
          <w:szCs w:val="24"/>
        </w:rPr>
        <w:t>(vienam ar keliems regione esantiems miestams).</w:t>
      </w:r>
    </w:p>
    <w:p w:rsidR="003A4330" w:rsidRDefault="00DB286E" w:rsidP="003E0F8A">
      <w:pPr>
        <w:spacing w:after="0" w:line="240" w:lineRule="auto"/>
        <w:ind w:firstLine="851"/>
        <w:jc w:val="both"/>
        <w:rPr>
          <w:rFonts w:ascii="Times New Roman" w:hAnsi="Times New Roman"/>
          <w:sz w:val="24"/>
          <w:szCs w:val="24"/>
        </w:rPr>
      </w:pPr>
      <w:r>
        <w:rPr>
          <w:rFonts w:ascii="Times New Roman" w:hAnsi="Times New Roman"/>
          <w:sz w:val="24"/>
          <w:szCs w:val="24"/>
        </w:rPr>
        <w:t>M</w:t>
      </w:r>
      <w:r w:rsidR="003A4330">
        <w:rPr>
          <w:rFonts w:ascii="Times New Roman" w:hAnsi="Times New Roman"/>
          <w:sz w:val="24"/>
          <w:szCs w:val="24"/>
        </w:rPr>
        <w:t xml:space="preserve">ažų ir vidutinių miestų grupei priskiriami miestai nuo 6 tūkst. gyv. (išskyrus atskirai grupei priskirtus 5 didžiuosius miestus) ir mažesni savivaldybių centrai. </w:t>
      </w:r>
    </w:p>
    <w:p w:rsidR="003A4330" w:rsidRDefault="003A4330" w:rsidP="003E0F8A">
      <w:pPr>
        <w:spacing w:after="0" w:line="240" w:lineRule="auto"/>
        <w:ind w:firstLine="851"/>
        <w:jc w:val="both"/>
        <w:rPr>
          <w:rFonts w:ascii="Times New Roman" w:hAnsi="Times New Roman"/>
          <w:sz w:val="24"/>
          <w:szCs w:val="24"/>
        </w:rPr>
      </w:pPr>
      <w:r>
        <w:rPr>
          <w:rFonts w:ascii="Times New Roman" w:hAnsi="Times New Roman"/>
          <w:sz w:val="24"/>
          <w:szCs w:val="24"/>
        </w:rPr>
        <w:t>Tikslinių teritorijų išskyrimo kriterijai mažų ir vidutinių m</w:t>
      </w:r>
      <w:r w:rsidR="000E7985">
        <w:rPr>
          <w:rFonts w:ascii="Times New Roman" w:hAnsi="Times New Roman"/>
          <w:sz w:val="24"/>
          <w:szCs w:val="24"/>
        </w:rPr>
        <w:t>i</w:t>
      </w:r>
      <w:r>
        <w:rPr>
          <w:rFonts w:ascii="Times New Roman" w:hAnsi="Times New Roman"/>
          <w:sz w:val="24"/>
          <w:szCs w:val="24"/>
        </w:rPr>
        <w:t xml:space="preserve">estų grupėje nustatomi atsižvelgus į Partnerystės sutartyje įvardintus iššūkius teritorinei plėtrai, būdingus šiems miestams. Nustatomi tikslinių teritorijų kriterijai – ilgo laikotarpio gyventojų skaičiaus pokytis (miestuose, nuo 2001 m. gyventojų surašymo); mažas ekonominis aktyvumas (pagal naujai registruotų įmonių skaičių 1000 miesto gyventojų) ir nesubalansuota įmonių darbuotojų struktūra </w:t>
      </w:r>
      <w:proofErr w:type="gramStart"/>
      <w:r>
        <w:rPr>
          <w:rFonts w:ascii="Times New Roman" w:hAnsi="Times New Roman"/>
          <w:sz w:val="24"/>
          <w:szCs w:val="24"/>
        </w:rPr>
        <w:t>(</w:t>
      </w:r>
      <w:proofErr w:type="gramEnd"/>
      <w:r w:rsidR="00A53421">
        <w:rPr>
          <w:rFonts w:ascii="Times New Roman" w:hAnsi="Times New Roman"/>
          <w:sz w:val="24"/>
          <w:szCs w:val="24"/>
        </w:rPr>
        <w:t xml:space="preserve">savivaldybėje </w:t>
      </w:r>
      <w:r>
        <w:rPr>
          <w:rFonts w:ascii="Times New Roman" w:hAnsi="Times New Roman"/>
          <w:sz w:val="24"/>
          <w:szCs w:val="24"/>
        </w:rPr>
        <w:t>dominuoja ūkinės veiklos iš pirminio ar antrinio sektorių – apdirbamosios gamybos, statybos, miškininkystės ir žuvininkystės veiklos, tuo tarpu paslaugos nėra išvystytos).</w:t>
      </w:r>
    </w:p>
    <w:p w:rsidR="003A4330" w:rsidRDefault="003A4330" w:rsidP="00A53421">
      <w:pPr>
        <w:spacing w:after="0" w:line="240" w:lineRule="auto"/>
        <w:ind w:firstLine="851"/>
        <w:jc w:val="both"/>
        <w:rPr>
          <w:rFonts w:ascii="Times New Roman" w:hAnsi="Times New Roman"/>
          <w:sz w:val="24"/>
          <w:szCs w:val="24"/>
        </w:rPr>
      </w:pPr>
      <w:r>
        <w:rPr>
          <w:rFonts w:ascii="Times New Roman" w:hAnsi="Times New Roman"/>
          <w:sz w:val="24"/>
          <w:szCs w:val="24"/>
        </w:rPr>
        <w:lastRenderedPageBreak/>
        <w:t>Šie kriterijai aptarti su regionų plėtros tarybomis ir jiems pritarė Nacionalinė regioninės plėtros taryba (2013 m. lapkričio 19 d. sprendimu).</w:t>
      </w:r>
      <w:r w:rsidR="00A53421" w:rsidRPr="00A53421">
        <w:rPr>
          <w:rFonts w:ascii="Times New Roman" w:hAnsi="Times New Roman"/>
          <w:sz w:val="24"/>
          <w:szCs w:val="24"/>
        </w:rPr>
        <w:t xml:space="preserve"> </w:t>
      </w:r>
      <w:r w:rsidR="00A53421">
        <w:rPr>
          <w:rFonts w:ascii="Times New Roman" w:hAnsi="Times New Roman"/>
          <w:sz w:val="24"/>
          <w:szCs w:val="24"/>
        </w:rPr>
        <w:t>Šie kriterijai nėra taikomi pereinamojo laikotarpio tikslinėms teritorijoms.</w:t>
      </w:r>
    </w:p>
    <w:p w:rsidR="003A4330" w:rsidRDefault="003A4330" w:rsidP="003E0F8A">
      <w:pPr>
        <w:spacing w:after="0" w:line="240" w:lineRule="auto"/>
        <w:ind w:firstLine="851"/>
        <w:jc w:val="both"/>
        <w:rPr>
          <w:rFonts w:ascii="Times New Roman" w:hAnsi="Times New Roman"/>
          <w:sz w:val="24"/>
          <w:szCs w:val="24"/>
        </w:rPr>
      </w:pPr>
      <w:r>
        <w:rPr>
          <w:rFonts w:ascii="Times New Roman" w:hAnsi="Times New Roman"/>
          <w:sz w:val="24"/>
          <w:szCs w:val="24"/>
        </w:rPr>
        <w:t xml:space="preserve">ITI </w:t>
      </w:r>
      <w:r w:rsidR="0099449E">
        <w:rPr>
          <w:rFonts w:ascii="Times New Roman" w:hAnsi="Times New Roman"/>
          <w:sz w:val="24"/>
          <w:szCs w:val="24"/>
        </w:rPr>
        <w:t xml:space="preserve">papildomai </w:t>
      </w:r>
      <w:r w:rsidR="00761690">
        <w:rPr>
          <w:rFonts w:ascii="Times New Roman" w:hAnsi="Times New Roman"/>
          <w:sz w:val="24"/>
          <w:szCs w:val="24"/>
        </w:rPr>
        <w:t xml:space="preserve">gali apimti </w:t>
      </w:r>
      <w:r>
        <w:rPr>
          <w:rFonts w:ascii="Times New Roman" w:hAnsi="Times New Roman"/>
          <w:sz w:val="24"/>
          <w:szCs w:val="24"/>
        </w:rPr>
        <w:t xml:space="preserve">su tikslinėmis teritorijomis susietas teritorijas: </w:t>
      </w:r>
      <w:r w:rsidRPr="001C5B3B">
        <w:rPr>
          <w:rFonts w:ascii="Times New Roman" w:hAnsi="Times New Roman"/>
          <w:sz w:val="24"/>
          <w:szCs w:val="24"/>
        </w:rPr>
        <w:t>esmini</w:t>
      </w:r>
      <w:r>
        <w:rPr>
          <w:rFonts w:ascii="Times New Roman" w:hAnsi="Times New Roman"/>
          <w:sz w:val="24"/>
          <w:szCs w:val="24"/>
        </w:rPr>
        <w:t>us</w:t>
      </w:r>
      <w:r w:rsidRPr="001C5B3B">
        <w:rPr>
          <w:rFonts w:ascii="Times New Roman" w:hAnsi="Times New Roman"/>
          <w:sz w:val="24"/>
          <w:szCs w:val="24"/>
        </w:rPr>
        <w:t xml:space="preserve"> traukos objekt</w:t>
      </w:r>
      <w:r>
        <w:rPr>
          <w:rFonts w:ascii="Times New Roman" w:hAnsi="Times New Roman"/>
          <w:sz w:val="24"/>
          <w:szCs w:val="24"/>
        </w:rPr>
        <w:t>us už tikslinės teritorijos ribų</w:t>
      </w:r>
      <w:r w:rsidRPr="001C5B3B">
        <w:rPr>
          <w:rFonts w:ascii="Times New Roman" w:hAnsi="Times New Roman"/>
          <w:sz w:val="24"/>
          <w:szCs w:val="24"/>
        </w:rPr>
        <w:t>, transporto „butelio kakliuk</w:t>
      </w:r>
      <w:r>
        <w:rPr>
          <w:rFonts w:ascii="Times New Roman" w:hAnsi="Times New Roman"/>
          <w:sz w:val="24"/>
          <w:szCs w:val="24"/>
        </w:rPr>
        <w:t>us</w:t>
      </w:r>
      <w:r w:rsidRPr="001C5B3B">
        <w:rPr>
          <w:rFonts w:ascii="Times New Roman" w:hAnsi="Times New Roman"/>
          <w:sz w:val="24"/>
          <w:szCs w:val="24"/>
        </w:rPr>
        <w:t>“ ribojan</w:t>
      </w:r>
      <w:r>
        <w:rPr>
          <w:rFonts w:ascii="Times New Roman" w:hAnsi="Times New Roman"/>
          <w:sz w:val="24"/>
          <w:szCs w:val="24"/>
        </w:rPr>
        <w:t>čius</w:t>
      </w:r>
      <w:r w:rsidRPr="001C5B3B">
        <w:rPr>
          <w:rFonts w:ascii="Times New Roman" w:hAnsi="Times New Roman"/>
          <w:sz w:val="24"/>
          <w:szCs w:val="24"/>
        </w:rPr>
        <w:t xml:space="preserve"> tikslinės terit</w:t>
      </w:r>
      <w:r>
        <w:rPr>
          <w:rFonts w:ascii="Times New Roman" w:hAnsi="Times New Roman"/>
          <w:sz w:val="24"/>
          <w:szCs w:val="24"/>
        </w:rPr>
        <w:t>orijos pasiekiamumą, ESF</w:t>
      </w:r>
      <w:r w:rsidRPr="001C5B3B">
        <w:rPr>
          <w:rFonts w:ascii="Times New Roman" w:hAnsi="Times New Roman"/>
          <w:sz w:val="24"/>
          <w:szCs w:val="24"/>
        </w:rPr>
        <w:t xml:space="preserve"> </w:t>
      </w:r>
      <w:r>
        <w:rPr>
          <w:rFonts w:ascii="Times New Roman" w:hAnsi="Times New Roman"/>
          <w:sz w:val="24"/>
          <w:szCs w:val="24"/>
        </w:rPr>
        <w:t xml:space="preserve">remiamų </w:t>
      </w:r>
      <w:r w:rsidRPr="001C5B3B">
        <w:rPr>
          <w:rFonts w:ascii="Times New Roman" w:hAnsi="Times New Roman"/>
          <w:sz w:val="24"/>
          <w:szCs w:val="24"/>
        </w:rPr>
        <w:t>veiklų centr</w:t>
      </w:r>
      <w:r>
        <w:rPr>
          <w:rFonts w:ascii="Times New Roman" w:hAnsi="Times New Roman"/>
          <w:sz w:val="24"/>
          <w:szCs w:val="24"/>
        </w:rPr>
        <w:t>us</w:t>
      </w:r>
      <w:r w:rsidRPr="001C5B3B">
        <w:rPr>
          <w:rFonts w:ascii="Times New Roman" w:hAnsi="Times New Roman"/>
          <w:sz w:val="24"/>
          <w:szCs w:val="24"/>
        </w:rPr>
        <w:t xml:space="preserve"> už tikslinės teritorijos ribų</w:t>
      </w:r>
      <w:r>
        <w:rPr>
          <w:rFonts w:ascii="Times New Roman" w:hAnsi="Times New Roman"/>
          <w:sz w:val="24"/>
          <w:szCs w:val="24"/>
        </w:rPr>
        <w:t>, kurių naudą gauna tikslinės teritorijos gyventojai, teritorijas, reikalingas formuojant ir stiprinant miesto ir kaimo vietovių ar tikslinių teritorijų t</w:t>
      </w:r>
      <w:r w:rsidR="00761690">
        <w:rPr>
          <w:rFonts w:ascii="Times New Roman" w:hAnsi="Times New Roman"/>
          <w:sz w:val="24"/>
          <w:szCs w:val="24"/>
        </w:rPr>
        <w:t>arpusavio ryšius ir kt.</w:t>
      </w:r>
    </w:p>
    <w:p w:rsidR="00761690" w:rsidRPr="00761690" w:rsidRDefault="00761690" w:rsidP="00761690">
      <w:pPr>
        <w:spacing w:after="0" w:line="240" w:lineRule="auto"/>
        <w:ind w:firstLine="851"/>
        <w:jc w:val="both"/>
        <w:rPr>
          <w:rFonts w:ascii="Times New Roman" w:hAnsi="Times New Roman"/>
          <w:sz w:val="24"/>
          <w:szCs w:val="24"/>
        </w:rPr>
      </w:pPr>
      <w:r w:rsidRPr="00761690">
        <w:rPr>
          <w:rFonts w:ascii="Times New Roman" w:hAnsi="Times New Roman"/>
          <w:sz w:val="24"/>
          <w:szCs w:val="24"/>
        </w:rPr>
        <w:t>9 lentelėje yra pateikiami:</w:t>
      </w:r>
    </w:p>
    <w:p w:rsidR="00761690" w:rsidRPr="00761690" w:rsidRDefault="00761690" w:rsidP="00650E41">
      <w:pPr>
        <w:numPr>
          <w:ilvl w:val="0"/>
          <w:numId w:val="76"/>
        </w:numPr>
        <w:spacing w:after="0" w:line="240" w:lineRule="auto"/>
        <w:ind w:left="851" w:hanging="567"/>
        <w:jc w:val="both"/>
        <w:rPr>
          <w:rFonts w:ascii="Times New Roman" w:hAnsi="Times New Roman"/>
          <w:sz w:val="24"/>
          <w:szCs w:val="24"/>
        </w:rPr>
      </w:pPr>
      <w:r w:rsidRPr="00761690">
        <w:rPr>
          <w:rFonts w:ascii="Times New Roman" w:hAnsi="Times New Roman"/>
          <w:sz w:val="24"/>
          <w:szCs w:val="24"/>
        </w:rPr>
        <w:t>ITI preliminarus paskirstymas pagal 4, 5, 6, 7, 8 ir 9 Veiksmų programos prioritetų priemones, išskyrus tvarios miestų plėtros veiksmus finansuojamus ERPF lėšomis.</w:t>
      </w:r>
    </w:p>
    <w:p w:rsidR="00761690" w:rsidRPr="00761690" w:rsidRDefault="00761690" w:rsidP="00650E41">
      <w:pPr>
        <w:numPr>
          <w:ilvl w:val="0"/>
          <w:numId w:val="76"/>
        </w:numPr>
        <w:spacing w:after="0" w:line="240" w:lineRule="auto"/>
        <w:ind w:left="851" w:hanging="567"/>
        <w:jc w:val="both"/>
        <w:rPr>
          <w:rFonts w:ascii="Times New Roman" w:hAnsi="Times New Roman"/>
          <w:sz w:val="24"/>
          <w:szCs w:val="24"/>
        </w:rPr>
      </w:pPr>
      <w:r w:rsidRPr="00761690">
        <w:rPr>
          <w:rFonts w:ascii="Times New Roman" w:hAnsi="Times New Roman"/>
          <w:sz w:val="24"/>
          <w:szCs w:val="24"/>
        </w:rPr>
        <w:t>Preliminari suma BIVP ITI įgyvendinimui mažų ir vidutinių miestų grupėje (miestuose nuo 6 iki 100 tūkst. gyventojų ir mažesniuose savivaldybių centruose).</w:t>
      </w:r>
    </w:p>
    <w:p w:rsidR="006539D0" w:rsidRPr="00761690" w:rsidRDefault="006539D0" w:rsidP="003A4330">
      <w:pPr>
        <w:pStyle w:val="Text2"/>
        <w:spacing w:before="120" w:after="120"/>
        <w:ind w:left="993" w:hanging="993"/>
        <w:rPr>
          <w:sz w:val="22"/>
          <w:szCs w:val="22"/>
          <w:lang w:val="lt-LT"/>
        </w:rPr>
      </w:pPr>
    </w:p>
    <w:p w:rsidR="003A4330" w:rsidRPr="00463952" w:rsidRDefault="003A4330" w:rsidP="00463952">
      <w:pPr>
        <w:pStyle w:val="Text2"/>
        <w:spacing w:after="120"/>
        <w:ind w:left="992" w:hanging="992"/>
        <w:rPr>
          <w:b/>
          <w:sz w:val="20"/>
          <w:lang w:val="lt-LT"/>
        </w:rPr>
      </w:pPr>
      <w:r w:rsidRPr="00463952">
        <w:rPr>
          <w:i/>
          <w:sz w:val="20"/>
          <w:lang w:val="lt-LT"/>
        </w:rPr>
        <w:t>9 lentelė.</w:t>
      </w:r>
      <w:r w:rsidRPr="00463952">
        <w:rPr>
          <w:b/>
          <w:sz w:val="20"/>
          <w:lang w:val="lt-LT"/>
        </w:rPr>
        <w:t xml:space="preserve"> Preliminarus paramos paskirstymas ITI išskyrus nurodytą 4.2 dalyje (bendra suma</w:t>
      </w:r>
      <w:r w:rsidR="008C6EA9" w:rsidRPr="00463952">
        <w:rPr>
          <w:b/>
          <w:sz w:val="20"/>
          <w:lang w:val="lt-LT"/>
        </w:rPr>
        <w:t>,</w:t>
      </w:r>
      <w:r w:rsidR="006539D0" w:rsidRPr="00463952">
        <w:rPr>
          <w:b/>
          <w:sz w:val="20"/>
          <w:lang w:val="lt-LT"/>
        </w:rPr>
        <w:t xml:space="preserve"> eurais</w:t>
      </w:r>
      <w:r w:rsidRPr="00463952">
        <w:rPr>
          <w:b/>
          <w:sz w:val="20"/>
          <w:lang w:val="lt-LT"/>
        </w:rPr>
        <w:t xml:space="preserve">) </w:t>
      </w:r>
    </w:p>
    <w:tbl>
      <w:tblPr>
        <w:tblW w:w="9849" w:type="dxa"/>
        <w:jc w:val="center"/>
        <w:tblInd w:w="-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6"/>
        <w:gridCol w:w="1390"/>
        <w:gridCol w:w="2393"/>
      </w:tblGrid>
      <w:tr w:rsidR="00560CCA" w:rsidRPr="00560CCA" w:rsidTr="00B93030">
        <w:trPr>
          <w:jc w:val="center"/>
        </w:trPr>
        <w:tc>
          <w:tcPr>
            <w:tcW w:w="6066" w:type="dxa"/>
            <w:shd w:val="clear" w:color="auto" w:fill="C6D9F1"/>
            <w:vAlign w:val="center"/>
          </w:tcPr>
          <w:p w:rsidR="00560CCA" w:rsidRPr="00560CCA" w:rsidRDefault="00560CCA" w:rsidP="00560CCA">
            <w:pPr>
              <w:tabs>
                <w:tab w:val="left" w:pos="3237"/>
              </w:tabs>
              <w:suppressAutoHyphens/>
              <w:spacing w:after="0" w:line="240" w:lineRule="auto"/>
              <w:jc w:val="center"/>
              <w:rPr>
                <w:rFonts w:ascii="Times New Roman" w:eastAsia="Times New Roman" w:hAnsi="Times New Roman"/>
                <w:b/>
                <w:sz w:val="20"/>
                <w:szCs w:val="20"/>
                <w:lang w:eastAsia="ar-SA"/>
              </w:rPr>
            </w:pPr>
            <w:r w:rsidRPr="00560CCA">
              <w:rPr>
                <w:rFonts w:ascii="Times New Roman" w:eastAsia="Times New Roman" w:hAnsi="Times New Roman"/>
                <w:b/>
                <w:bCs/>
                <w:sz w:val="20"/>
                <w:szCs w:val="20"/>
              </w:rPr>
              <w:t>2014</w:t>
            </w:r>
            <w:r w:rsidRPr="00560CCA">
              <w:rPr>
                <w:rFonts w:ascii="Times New Roman" w:eastAsia="Times New Roman" w:hAnsi="Times New Roman"/>
                <w:b/>
                <w:sz w:val="20"/>
                <w:szCs w:val="20"/>
              </w:rPr>
              <w:t>–</w:t>
            </w:r>
            <w:r w:rsidRPr="00560CCA">
              <w:rPr>
                <w:rFonts w:ascii="Times New Roman" w:eastAsia="Times New Roman" w:hAnsi="Times New Roman"/>
                <w:b/>
                <w:bCs/>
                <w:sz w:val="20"/>
                <w:szCs w:val="20"/>
              </w:rPr>
              <w:t xml:space="preserve">2020 m. ES fondų investicijų veiksmų </w:t>
            </w:r>
            <w:r w:rsidRPr="00560CCA">
              <w:rPr>
                <w:rFonts w:ascii="Times New Roman" w:eastAsia="Times New Roman" w:hAnsi="Times New Roman"/>
                <w:b/>
                <w:sz w:val="20"/>
                <w:szCs w:val="20"/>
                <w:lang w:eastAsia="ar-SA"/>
              </w:rPr>
              <w:t>programos prioritetas</w:t>
            </w:r>
          </w:p>
        </w:tc>
        <w:tc>
          <w:tcPr>
            <w:tcW w:w="1390" w:type="dxa"/>
            <w:shd w:val="clear" w:color="auto" w:fill="C6D9F1"/>
            <w:vAlign w:val="center"/>
          </w:tcPr>
          <w:p w:rsidR="00560CCA" w:rsidRPr="00560CCA" w:rsidRDefault="00560CCA" w:rsidP="00560CCA">
            <w:pPr>
              <w:tabs>
                <w:tab w:val="left" w:pos="3237"/>
              </w:tabs>
              <w:suppressAutoHyphens/>
              <w:spacing w:after="0" w:line="240" w:lineRule="auto"/>
              <w:jc w:val="center"/>
              <w:rPr>
                <w:rFonts w:ascii="Times New Roman" w:eastAsia="Times New Roman" w:hAnsi="Times New Roman"/>
                <w:b/>
                <w:sz w:val="20"/>
                <w:szCs w:val="20"/>
                <w:lang w:eastAsia="ar-SA"/>
              </w:rPr>
            </w:pPr>
            <w:r w:rsidRPr="00560CCA">
              <w:rPr>
                <w:rFonts w:ascii="Times New Roman" w:eastAsia="Times New Roman" w:hAnsi="Times New Roman"/>
                <w:b/>
                <w:sz w:val="20"/>
                <w:szCs w:val="20"/>
                <w:lang w:eastAsia="ar-SA"/>
              </w:rPr>
              <w:t>Fondas</w:t>
            </w:r>
          </w:p>
        </w:tc>
        <w:tc>
          <w:tcPr>
            <w:tcW w:w="2393" w:type="dxa"/>
            <w:shd w:val="clear" w:color="auto" w:fill="C6D9F1"/>
            <w:vAlign w:val="center"/>
          </w:tcPr>
          <w:p w:rsidR="00560CCA" w:rsidRPr="00560CCA" w:rsidRDefault="00560CCA" w:rsidP="00560CCA">
            <w:pPr>
              <w:tabs>
                <w:tab w:val="left" w:pos="3237"/>
              </w:tabs>
              <w:suppressAutoHyphens/>
              <w:spacing w:after="0" w:line="240" w:lineRule="auto"/>
              <w:jc w:val="center"/>
              <w:rPr>
                <w:rFonts w:ascii="Times New Roman" w:eastAsia="Times New Roman" w:hAnsi="Times New Roman"/>
                <w:b/>
                <w:sz w:val="20"/>
                <w:szCs w:val="20"/>
                <w:lang w:eastAsia="ar-SA"/>
              </w:rPr>
            </w:pPr>
            <w:r w:rsidRPr="00560CCA">
              <w:rPr>
                <w:rFonts w:ascii="Times New Roman" w:eastAsia="Times New Roman" w:hAnsi="Times New Roman"/>
                <w:b/>
                <w:sz w:val="20"/>
                <w:szCs w:val="20"/>
                <w:lang w:eastAsia="ar-SA"/>
              </w:rPr>
              <w:t>Preliminari suma (Sąjungos parama) (EUR)</w:t>
            </w:r>
          </w:p>
        </w:tc>
      </w:tr>
      <w:tr w:rsidR="00560CCA" w:rsidRPr="00560CCA" w:rsidTr="00B93030">
        <w:trPr>
          <w:trHeight w:val="283"/>
          <w:jc w:val="center"/>
        </w:trPr>
        <w:tc>
          <w:tcPr>
            <w:tcW w:w="6066" w:type="dxa"/>
            <w:vMerge w:val="restart"/>
            <w:shd w:val="clear" w:color="auto" w:fill="auto"/>
            <w:vAlign w:val="center"/>
          </w:tcPr>
          <w:p w:rsidR="00560CCA" w:rsidRPr="00560CCA" w:rsidRDefault="00560CCA" w:rsidP="00560CCA">
            <w:pPr>
              <w:tabs>
                <w:tab w:val="left" w:pos="3237"/>
              </w:tabs>
              <w:suppressAutoHyphens/>
              <w:spacing w:after="0" w:line="240" w:lineRule="auto"/>
              <w:rPr>
                <w:rFonts w:ascii="Times New Roman" w:eastAsia="Times New Roman" w:hAnsi="Times New Roman"/>
                <w:lang w:eastAsia="ar-SA"/>
              </w:rPr>
            </w:pPr>
            <w:r w:rsidRPr="00560CCA">
              <w:rPr>
                <w:rFonts w:ascii="Times New Roman" w:eastAsia="Times New Roman" w:hAnsi="Times New Roman"/>
                <w:lang w:eastAsia="ar-SA"/>
              </w:rPr>
              <w:t>Energijos efektyvumo ir atsinaujinančių energijos išteklių gamybos ir naudojimo skatinimas</w:t>
            </w:r>
          </w:p>
        </w:tc>
        <w:tc>
          <w:tcPr>
            <w:tcW w:w="1390" w:type="dxa"/>
            <w:shd w:val="clear" w:color="auto" w:fill="auto"/>
            <w:vAlign w:val="center"/>
          </w:tcPr>
          <w:p w:rsidR="00560CCA" w:rsidRPr="00560CCA" w:rsidRDefault="00560CCA" w:rsidP="00560CCA">
            <w:pPr>
              <w:tabs>
                <w:tab w:val="left" w:pos="3237"/>
              </w:tabs>
              <w:suppressAutoHyphens/>
              <w:spacing w:after="0" w:line="240" w:lineRule="auto"/>
              <w:jc w:val="center"/>
              <w:rPr>
                <w:rFonts w:ascii="Times New Roman" w:eastAsia="Times New Roman" w:hAnsi="Times New Roman"/>
                <w:lang w:eastAsia="ar-SA"/>
              </w:rPr>
            </w:pPr>
            <w:r w:rsidRPr="00560CCA">
              <w:rPr>
                <w:rFonts w:ascii="Times New Roman" w:eastAsia="Times New Roman" w:hAnsi="Times New Roman"/>
                <w:lang w:eastAsia="ar-SA"/>
              </w:rPr>
              <w:t>ERPF</w:t>
            </w:r>
          </w:p>
        </w:tc>
        <w:tc>
          <w:tcPr>
            <w:tcW w:w="2393" w:type="dxa"/>
            <w:shd w:val="clear" w:color="auto" w:fill="auto"/>
            <w:vAlign w:val="center"/>
          </w:tcPr>
          <w:p w:rsidR="00560CCA" w:rsidRPr="009F5AEA" w:rsidRDefault="003B5B9C" w:rsidP="00560CCA">
            <w:pPr>
              <w:tabs>
                <w:tab w:val="left" w:pos="3237"/>
              </w:tabs>
              <w:suppressAutoHyphens/>
              <w:spacing w:after="0" w:line="240" w:lineRule="auto"/>
              <w:jc w:val="right"/>
              <w:rPr>
                <w:rFonts w:ascii="Times New Roman" w:eastAsia="Times New Roman" w:hAnsi="Times New Roman"/>
                <w:lang w:eastAsia="ar-SA"/>
              </w:rPr>
            </w:pPr>
            <w:r w:rsidRPr="009F5AEA">
              <w:rPr>
                <w:rFonts w:ascii="Times New Roman" w:eastAsia="Times New Roman" w:hAnsi="Times New Roman"/>
                <w:lang w:val="en-GB"/>
              </w:rPr>
              <w:t>12</w:t>
            </w:r>
            <w:r w:rsidR="00560CCA" w:rsidRPr="009F5AEA">
              <w:rPr>
                <w:rFonts w:ascii="Times New Roman" w:eastAsia="Times New Roman" w:hAnsi="Times New Roman"/>
                <w:lang w:val="en-GB"/>
              </w:rPr>
              <w:t>.981.212</w:t>
            </w:r>
          </w:p>
        </w:tc>
      </w:tr>
      <w:tr w:rsidR="00560CCA" w:rsidRPr="00560CCA" w:rsidTr="00B93030">
        <w:trPr>
          <w:trHeight w:val="340"/>
          <w:jc w:val="center"/>
        </w:trPr>
        <w:tc>
          <w:tcPr>
            <w:tcW w:w="6066" w:type="dxa"/>
            <w:vMerge/>
            <w:shd w:val="clear" w:color="auto" w:fill="auto"/>
            <w:vAlign w:val="center"/>
          </w:tcPr>
          <w:p w:rsidR="00560CCA" w:rsidRPr="00560CCA" w:rsidRDefault="00560CCA" w:rsidP="00560CCA">
            <w:pPr>
              <w:tabs>
                <w:tab w:val="left" w:pos="3237"/>
              </w:tabs>
              <w:suppressAutoHyphens/>
              <w:spacing w:after="0" w:line="240" w:lineRule="auto"/>
              <w:rPr>
                <w:rFonts w:ascii="Times New Roman" w:eastAsia="Times New Roman" w:hAnsi="Times New Roman"/>
                <w:lang w:eastAsia="ar-SA"/>
              </w:rPr>
            </w:pPr>
          </w:p>
        </w:tc>
        <w:tc>
          <w:tcPr>
            <w:tcW w:w="1390" w:type="dxa"/>
            <w:shd w:val="clear" w:color="auto" w:fill="auto"/>
            <w:vAlign w:val="center"/>
          </w:tcPr>
          <w:p w:rsidR="00560CCA" w:rsidRPr="00560CCA" w:rsidRDefault="00560CCA" w:rsidP="00560CCA">
            <w:pPr>
              <w:tabs>
                <w:tab w:val="left" w:pos="3237"/>
              </w:tabs>
              <w:suppressAutoHyphens/>
              <w:spacing w:after="0" w:line="240" w:lineRule="auto"/>
              <w:jc w:val="center"/>
              <w:rPr>
                <w:rFonts w:ascii="Times New Roman" w:eastAsia="Times New Roman" w:hAnsi="Times New Roman"/>
                <w:lang w:eastAsia="ar-SA"/>
              </w:rPr>
            </w:pPr>
            <w:r w:rsidRPr="00560CCA">
              <w:rPr>
                <w:rFonts w:ascii="Times New Roman" w:eastAsia="Times New Roman" w:hAnsi="Times New Roman"/>
                <w:lang w:eastAsia="ar-SA"/>
              </w:rPr>
              <w:t>Sanglaudos fondas</w:t>
            </w:r>
          </w:p>
        </w:tc>
        <w:tc>
          <w:tcPr>
            <w:tcW w:w="2393" w:type="dxa"/>
            <w:shd w:val="clear" w:color="auto" w:fill="auto"/>
            <w:vAlign w:val="center"/>
          </w:tcPr>
          <w:p w:rsidR="00560CCA" w:rsidRPr="009F5AEA" w:rsidRDefault="00560CCA" w:rsidP="00560CCA">
            <w:pPr>
              <w:tabs>
                <w:tab w:val="left" w:pos="3237"/>
              </w:tabs>
              <w:suppressAutoHyphens/>
              <w:spacing w:after="0" w:line="240" w:lineRule="auto"/>
              <w:jc w:val="right"/>
              <w:rPr>
                <w:rFonts w:ascii="Times New Roman" w:eastAsia="Times New Roman" w:hAnsi="Times New Roman"/>
                <w:strike/>
                <w:lang w:eastAsia="ar-SA"/>
              </w:rPr>
            </w:pPr>
            <w:r w:rsidRPr="009F5AEA">
              <w:rPr>
                <w:rFonts w:ascii="Times New Roman" w:eastAsia="Times New Roman" w:hAnsi="Times New Roman"/>
                <w:lang w:val="en-GB"/>
              </w:rPr>
              <w:t>25.304.225</w:t>
            </w:r>
          </w:p>
        </w:tc>
      </w:tr>
      <w:tr w:rsidR="00560CCA" w:rsidRPr="00560CCA" w:rsidTr="00B93030">
        <w:trPr>
          <w:trHeight w:val="283"/>
          <w:jc w:val="center"/>
        </w:trPr>
        <w:tc>
          <w:tcPr>
            <w:tcW w:w="6066" w:type="dxa"/>
            <w:vMerge w:val="restart"/>
            <w:shd w:val="clear" w:color="auto" w:fill="auto"/>
            <w:vAlign w:val="center"/>
          </w:tcPr>
          <w:p w:rsidR="00560CCA" w:rsidRPr="00560CCA" w:rsidRDefault="00560CCA" w:rsidP="00560CCA">
            <w:pPr>
              <w:tabs>
                <w:tab w:val="left" w:pos="3237"/>
              </w:tabs>
              <w:suppressAutoHyphens/>
              <w:spacing w:after="0" w:line="240" w:lineRule="auto"/>
              <w:rPr>
                <w:rFonts w:ascii="Times New Roman" w:eastAsia="Times New Roman" w:hAnsi="Times New Roman"/>
                <w:lang w:eastAsia="ar-SA"/>
              </w:rPr>
            </w:pPr>
            <w:r w:rsidRPr="00560CCA">
              <w:rPr>
                <w:rFonts w:ascii="Times New Roman" w:eastAsia="Times New Roman" w:hAnsi="Times New Roman"/>
                <w:lang w:eastAsia="ar-SA"/>
              </w:rPr>
              <w:t>Aplinkosauga, gamtos išteklių darnus naudojimas ir prisitaikymas prie klimato kaitos</w:t>
            </w:r>
          </w:p>
        </w:tc>
        <w:tc>
          <w:tcPr>
            <w:tcW w:w="1390" w:type="dxa"/>
            <w:shd w:val="clear" w:color="auto" w:fill="auto"/>
            <w:vAlign w:val="center"/>
          </w:tcPr>
          <w:p w:rsidR="00560CCA" w:rsidRPr="00D54F90" w:rsidRDefault="00560CCA" w:rsidP="00560CCA">
            <w:pPr>
              <w:tabs>
                <w:tab w:val="left" w:pos="3237"/>
              </w:tabs>
              <w:suppressAutoHyphens/>
              <w:spacing w:after="0" w:line="240" w:lineRule="auto"/>
              <w:jc w:val="center"/>
              <w:rPr>
                <w:rFonts w:ascii="Times New Roman" w:eastAsia="Times New Roman" w:hAnsi="Times New Roman"/>
                <w:lang w:eastAsia="ar-SA"/>
              </w:rPr>
            </w:pPr>
            <w:r w:rsidRPr="00D54F90">
              <w:rPr>
                <w:rFonts w:ascii="Times New Roman" w:eastAsia="Times New Roman" w:hAnsi="Times New Roman"/>
                <w:lang w:eastAsia="ar-SA"/>
              </w:rPr>
              <w:t>ERPF</w:t>
            </w:r>
          </w:p>
        </w:tc>
        <w:tc>
          <w:tcPr>
            <w:tcW w:w="2393" w:type="dxa"/>
            <w:shd w:val="clear" w:color="auto" w:fill="auto"/>
            <w:vAlign w:val="center"/>
          </w:tcPr>
          <w:p w:rsidR="00560CCA" w:rsidRPr="009F5AEA" w:rsidRDefault="00560CCA" w:rsidP="00560CCA">
            <w:pPr>
              <w:tabs>
                <w:tab w:val="left" w:pos="3237"/>
              </w:tabs>
              <w:suppressAutoHyphens/>
              <w:spacing w:after="0" w:line="240" w:lineRule="auto"/>
              <w:jc w:val="right"/>
              <w:rPr>
                <w:rFonts w:ascii="Times New Roman" w:eastAsia="Times New Roman" w:hAnsi="Times New Roman"/>
                <w:lang w:eastAsia="ar-SA"/>
              </w:rPr>
            </w:pPr>
            <w:r w:rsidRPr="009F5AEA">
              <w:rPr>
                <w:rFonts w:ascii="Times New Roman" w:eastAsia="Times New Roman" w:hAnsi="Times New Roman"/>
                <w:lang w:val="en-GB"/>
              </w:rPr>
              <w:t>18.261.330</w:t>
            </w:r>
          </w:p>
        </w:tc>
      </w:tr>
      <w:tr w:rsidR="00560CCA" w:rsidRPr="00560CCA" w:rsidTr="00B93030">
        <w:trPr>
          <w:trHeight w:val="283"/>
          <w:jc w:val="center"/>
        </w:trPr>
        <w:tc>
          <w:tcPr>
            <w:tcW w:w="6066" w:type="dxa"/>
            <w:vMerge/>
            <w:shd w:val="clear" w:color="auto" w:fill="auto"/>
            <w:vAlign w:val="center"/>
          </w:tcPr>
          <w:p w:rsidR="00560CCA" w:rsidRPr="00560CCA" w:rsidRDefault="00560CCA" w:rsidP="00560CCA">
            <w:pPr>
              <w:tabs>
                <w:tab w:val="left" w:pos="3237"/>
              </w:tabs>
              <w:suppressAutoHyphens/>
              <w:spacing w:after="0" w:line="240" w:lineRule="auto"/>
              <w:rPr>
                <w:rFonts w:ascii="Times New Roman" w:eastAsia="Times New Roman" w:hAnsi="Times New Roman"/>
                <w:lang w:eastAsia="ar-SA"/>
              </w:rPr>
            </w:pPr>
          </w:p>
        </w:tc>
        <w:tc>
          <w:tcPr>
            <w:tcW w:w="1390" w:type="dxa"/>
            <w:shd w:val="clear" w:color="auto" w:fill="auto"/>
            <w:vAlign w:val="center"/>
          </w:tcPr>
          <w:p w:rsidR="00560CCA" w:rsidRPr="00D54F90" w:rsidRDefault="00560CCA" w:rsidP="00560CCA">
            <w:pPr>
              <w:tabs>
                <w:tab w:val="left" w:pos="3237"/>
              </w:tabs>
              <w:suppressAutoHyphens/>
              <w:spacing w:after="0" w:line="240" w:lineRule="auto"/>
              <w:jc w:val="center"/>
              <w:rPr>
                <w:rFonts w:ascii="Times New Roman" w:eastAsia="Times New Roman" w:hAnsi="Times New Roman"/>
                <w:lang w:eastAsia="ar-SA"/>
              </w:rPr>
            </w:pPr>
            <w:r w:rsidRPr="00D54F90">
              <w:rPr>
                <w:rFonts w:ascii="Times New Roman" w:eastAsia="Times New Roman" w:hAnsi="Times New Roman"/>
                <w:lang w:eastAsia="ar-SA"/>
              </w:rPr>
              <w:t>Sanglaudos fondas</w:t>
            </w:r>
          </w:p>
        </w:tc>
        <w:tc>
          <w:tcPr>
            <w:tcW w:w="2393" w:type="dxa"/>
            <w:shd w:val="clear" w:color="auto" w:fill="auto"/>
            <w:vAlign w:val="center"/>
          </w:tcPr>
          <w:p w:rsidR="00560CCA" w:rsidRPr="009F5AEA" w:rsidRDefault="0080115A" w:rsidP="0080115A">
            <w:pPr>
              <w:tabs>
                <w:tab w:val="left" w:pos="3237"/>
              </w:tabs>
              <w:suppressAutoHyphens/>
              <w:spacing w:after="0" w:line="240" w:lineRule="auto"/>
              <w:jc w:val="right"/>
              <w:rPr>
                <w:rFonts w:ascii="Times New Roman" w:eastAsia="Times New Roman" w:hAnsi="Times New Roman"/>
                <w:lang w:eastAsia="ar-SA"/>
              </w:rPr>
            </w:pPr>
            <w:r w:rsidRPr="009F5AEA">
              <w:rPr>
                <w:rFonts w:ascii="Times New Roman" w:eastAsia="Times New Roman" w:hAnsi="Times New Roman"/>
                <w:noProof/>
                <w:lang w:val="en-GB"/>
              </w:rPr>
              <w:t>6</w:t>
            </w:r>
            <w:r w:rsidR="00560CCA" w:rsidRPr="009F5AEA">
              <w:rPr>
                <w:rFonts w:ascii="Times New Roman" w:eastAsia="Times New Roman" w:hAnsi="Times New Roman"/>
                <w:noProof/>
                <w:lang w:val="en-GB"/>
              </w:rPr>
              <w:t>.</w:t>
            </w:r>
            <w:r w:rsidRPr="009F5AEA">
              <w:rPr>
                <w:rFonts w:ascii="Times New Roman" w:eastAsia="Times New Roman" w:hAnsi="Times New Roman"/>
                <w:noProof/>
                <w:lang w:val="en-GB"/>
              </w:rPr>
              <w:t>641</w:t>
            </w:r>
            <w:r w:rsidR="00560CCA" w:rsidRPr="009F5AEA">
              <w:rPr>
                <w:rFonts w:ascii="Times New Roman" w:eastAsia="Times New Roman" w:hAnsi="Times New Roman"/>
                <w:noProof/>
                <w:lang w:val="en-GB"/>
              </w:rPr>
              <w:t>.6</w:t>
            </w:r>
            <w:r w:rsidRPr="009F5AEA">
              <w:rPr>
                <w:rFonts w:ascii="Times New Roman" w:eastAsia="Times New Roman" w:hAnsi="Times New Roman"/>
                <w:noProof/>
                <w:lang w:val="en-GB"/>
              </w:rPr>
              <w:t>66</w:t>
            </w:r>
          </w:p>
        </w:tc>
      </w:tr>
      <w:tr w:rsidR="00560CCA" w:rsidRPr="00560CCA" w:rsidTr="00B93030">
        <w:trPr>
          <w:trHeight w:val="283"/>
          <w:jc w:val="center"/>
        </w:trPr>
        <w:tc>
          <w:tcPr>
            <w:tcW w:w="6066" w:type="dxa"/>
            <w:vMerge w:val="restart"/>
            <w:shd w:val="clear" w:color="auto" w:fill="auto"/>
            <w:vAlign w:val="center"/>
          </w:tcPr>
          <w:p w:rsidR="00560CCA" w:rsidRPr="00560CCA" w:rsidRDefault="00560CCA" w:rsidP="00560CCA">
            <w:pPr>
              <w:tabs>
                <w:tab w:val="left" w:pos="3237"/>
              </w:tabs>
              <w:suppressAutoHyphens/>
              <w:spacing w:after="0" w:line="240" w:lineRule="auto"/>
              <w:rPr>
                <w:rFonts w:ascii="Times New Roman" w:eastAsia="Times New Roman" w:hAnsi="Times New Roman"/>
                <w:lang w:eastAsia="ar-SA"/>
              </w:rPr>
            </w:pPr>
            <w:r w:rsidRPr="00560CCA">
              <w:rPr>
                <w:rFonts w:ascii="Times New Roman" w:eastAsia="Times New Roman" w:hAnsi="Times New Roman"/>
                <w:lang w:eastAsia="ar-SA"/>
              </w:rPr>
              <w:t>Tvaraus transporto, pagrindinių tinklų infrastruktūros skatinimas</w:t>
            </w:r>
          </w:p>
        </w:tc>
        <w:tc>
          <w:tcPr>
            <w:tcW w:w="1390" w:type="dxa"/>
            <w:shd w:val="clear" w:color="auto" w:fill="auto"/>
            <w:vAlign w:val="center"/>
          </w:tcPr>
          <w:p w:rsidR="00560CCA" w:rsidRPr="00D54F90" w:rsidRDefault="00560CCA" w:rsidP="00560CCA">
            <w:pPr>
              <w:tabs>
                <w:tab w:val="left" w:pos="3237"/>
              </w:tabs>
              <w:suppressAutoHyphens/>
              <w:spacing w:after="0" w:line="240" w:lineRule="auto"/>
              <w:jc w:val="center"/>
              <w:rPr>
                <w:rFonts w:ascii="Times New Roman" w:eastAsia="Times New Roman" w:hAnsi="Times New Roman"/>
                <w:lang w:eastAsia="ar-SA"/>
              </w:rPr>
            </w:pPr>
            <w:r w:rsidRPr="00D54F90">
              <w:rPr>
                <w:rFonts w:ascii="Times New Roman" w:eastAsia="Times New Roman" w:hAnsi="Times New Roman"/>
                <w:lang w:eastAsia="ar-SA"/>
              </w:rPr>
              <w:t>ERPF</w:t>
            </w:r>
          </w:p>
        </w:tc>
        <w:tc>
          <w:tcPr>
            <w:tcW w:w="2393" w:type="dxa"/>
            <w:shd w:val="clear" w:color="auto" w:fill="auto"/>
            <w:vAlign w:val="center"/>
          </w:tcPr>
          <w:p w:rsidR="00560CCA" w:rsidRPr="009F5AEA" w:rsidRDefault="003B5B9C" w:rsidP="00560CCA">
            <w:pPr>
              <w:tabs>
                <w:tab w:val="left" w:pos="3237"/>
              </w:tabs>
              <w:suppressAutoHyphens/>
              <w:spacing w:after="0" w:line="240" w:lineRule="auto"/>
              <w:jc w:val="right"/>
              <w:rPr>
                <w:rFonts w:ascii="Times New Roman" w:eastAsia="Times New Roman" w:hAnsi="Times New Roman"/>
                <w:lang w:eastAsia="ar-SA"/>
              </w:rPr>
            </w:pPr>
            <w:r w:rsidRPr="009F5AEA">
              <w:rPr>
                <w:rFonts w:ascii="Times New Roman" w:eastAsia="Times New Roman" w:hAnsi="Times New Roman"/>
                <w:lang w:val="en-GB"/>
              </w:rPr>
              <w:t>22.996.302</w:t>
            </w:r>
          </w:p>
        </w:tc>
      </w:tr>
      <w:tr w:rsidR="00560CCA" w:rsidRPr="00560CCA" w:rsidTr="00B93030">
        <w:trPr>
          <w:trHeight w:val="283"/>
          <w:jc w:val="center"/>
        </w:trPr>
        <w:tc>
          <w:tcPr>
            <w:tcW w:w="6066" w:type="dxa"/>
            <w:vMerge/>
            <w:shd w:val="clear" w:color="auto" w:fill="auto"/>
            <w:vAlign w:val="center"/>
          </w:tcPr>
          <w:p w:rsidR="00560CCA" w:rsidRPr="00560CCA" w:rsidRDefault="00560CCA" w:rsidP="00560CCA">
            <w:pPr>
              <w:tabs>
                <w:tab w:val="left" w:pos="3237"/>
              </w:tabs>
              <w:suppressAutoHyphens/>
              <w:spacing w:after="0" w:line="240" w:lineRule="auto"/>
              <w:rPr>
                <w:rFonts w:ascii="Times New Roman" w:eastAsia="Times New Roman" w:hAnsi="Times New Roman"/>
                <w:lang w:eastAsia="ar-SA"/>
              </w:rPr>
            </w:pPr>
          </w:p>
        </w:tc>
        <w:tc>
          <w:tcPr>
            <w:tcW w:w="1390" w:type="dxa"/>
            <w:shd w:val="clear" w:color="auto" w:fill="auto"/>
            <w:vAlign w:val="center"/>
          </w:tcPr>
          <w:p w:rsidR="00560CCA" w:rsidRPr="00D54F90" w:rsidRDefault="00560CCA" w:rsidP="00560CCA">
            <w:pPr>
              <w:tabs>
                <w:tab w:val="left" w:pos="3237"/>
              </w:tabs>
              <w:suppressAutoHyphens/>
              <w:spacing w:after="0" w:line="240" w:lineRule="auto"/>
              <w:jc w:val="center"/>
              <w:rPr>
                <w:rFonts w:ascii="Times New Roman" w:eastAsia="Times New Roman" w:hAnsi="Times New Roman"/>
                <w:lang w:eastAsia="ar-SA"/>
              </w:rPr>
            </w:pPr>
            <w:r w:rsidRPr="00D54F90">
              <w:rPr>
                <w:rFonts w:ascii="Times New Roman" w:eastAsia="Times New Roman" w:hAnsi="Times New Roman"/>
                <w:lang w:eastAsia="ar-SA"/>
              </w:rPr>
              <w:t>Sanglaudos fondas</w:t>
            </w:r>
          </w:p>
        </w:tc>
        <w:tc>
          <w:tcPr>
            <w:tcW w:w="2393" w:type="dxa"/>
            <w:shd w:val="clear" w:color="auto" w:fill="auto"/>
            <w:vAlign w:val="center"/>
          </w:tcPr>
          <w:p w:rsidR="00560CCA" w:rsidRPr="009F5AEA" w:rsidRDefault="00560CCA" w:rsidP="00560CCA">
            <w:pPr>
              <w:tabs>
                <w:tab w:val="left" w:pos="3237"/>
              </w:tabs>
              <w:suppressAutoHyphens/>
              <w:spacing w:after="0" w:line="240" w:lineRule="auto"/>
              <w:jc w:val="right"/>
              <w:rPr>
                <w:rFonts w:ascii="Times New Roman" w:eastAsia="Times New Roman" w:hAnsi="Times New Roman"/>
                <w:strike/>
                <w:lang w:eastAsia="ar-SA"/>
              </w:rPr>
            </w:pPr>
            <w:r w:rsidRPr="009F5AEA">
              <w:rPr>
                <w:rFonts w:ascii="Times New Roman" w:eastAsia="Times New Roman" w:hAnsi="Times New Roman"/>
                <w:noProof/>
                <w:lang w:val="en-GB"/>
              </w:rPr>
              <w:t>84.062.000</w:t>
            </w:r>
          </w:p>
        </w:tc>
      </w:tr>
      <w:tr w:rsidR="0080115A" w:rsidRPr="00560CCA" w:rsidTr="00B93030">
        <w:trPr>
          <w:trHeight w:val="283"/>
          <w:jc w:val="center"/>
        </w:trPr>
        <w:tc>
          <w:tcPr>
            <w:tcW w:w="6066" w:type="dxa"/>
            <w:shd w:val="clear" w:color="auto" w:fill="auto"/>
            <w:vAlign w:val="center"/>
          </w:tcPr>
          <w:p w:rsidR="0080115A" w:rsidRPr="00560CCA" w:rsidRDefault="0080115A" w:rsidP="00560CCA">
            <w:pPr>
              <w:tabs>
                <w:tab w:val="left" w:pos="3237"/>
              </w:tabs>
              <w:suppressAutoHyphens/>
              <w:spacing w:after="0" w:line="240" w:lineRule="auto"/>
              <w:rPr>
                <w:rFonts w:ascii="Times New Roman" w:eastAsia="Times New Roman" w:hAnsi="Times New Roman"/>
                <w:lang w:eastAsia="ar-SA"/>
              </w:rPr>
            </w:pPr>
            <w:r w:rsidRPr="00560CCA">
              <w:rPr>
                <w:rFonts w:ascii="Times New Roman" w:eastAsia="Times New Roman" w:hAnsi="Times New Roman"/>
                <w:lang w:eastAsia="ar-SA"/>
              </w:rPr>
              <w:t>Kokybiško užimtumo ir dalyvavimo darbo rinkoje skatinimas</w:t>
            </w:r>
          </w:p>
        </w:tc>
        <w:tc>
          <w:tcPr>
            <w:tcW w:w="1390" w:type="dxa"/>
            <w:shd w:val="clear" w:color="auto" w:fill="auto"/>
            <w:vAlign w:val="center"/>
          </w:tcPr>
          <w:p w:rsidR="0080115A" w:rsidRPr="00D54F90" w:rsidRDefault="0080115A" w:rsidP="00560CCA">
            <w:pPr>
              <w:tabs>
                <w:tab w:val="left" w:pos="3237"/>
              </w:tabs>
              <w:suppressAutoHyphens/>
              <w:spacing w:after="0" w:line="240" w:lineRule="auto"/>
              <w:jc w:val="center"/>
              <w:rPr>
                <w:rFonts w:ascii="Times New Roman" w:eastAsia="Times New Roman" w:hAnsi="Times New Roman"/>
                <w:lang w:eastAsia="ar-SA"/>
              </w:rPr>
            </w:pPr>
            <w:r w:rsidRPr="00D54F90">
              <w:rPr>
                <w:rFonts w:ascii="Times New Roman" w:eastAsia="Times New Roman" w:hAnsi="Times New Roman"/>
                <w:lang w:eastAsia="ar-SA"/>
              </w:rPr>
              <w:t>ERPF</w:t>
            </w:r>
          </w:p>
        </w:tc>
        <w:tc>
          <w:tcPr>
            <w:tcW w:w="2393" w:type="dxa"/>
            <w:shd w:val="clear" w:color="auto" w:fill="auto"/>
            <w:vAlign w:val="center"/>
          </w:tcPr>
          <w:p w:rsidR="0080115A" w:rsidRPr="009F5AEA" w:rsidRDefault="0080115A" w:rsidP="00560CCA">
            <w:pPr>
              <w:tabs>
                <w:tab w:val="left" w:pos="3237"/>
              </w:tabs>
              <w:suppressAutoHyphens/>
              <w:spacing w:after="0" w:line="240" w:lineRule="auto"/>
              <w:jc w:val="right"/>
              <w:rPr>
                <w:rFonts w:ascii="Times New Roman" w:eastAsia="Times New Roman" w:hAnsi="Times New Roman"/>
                <w:lang w:eastAsia="ar-SA"/>
              </w:rPr>
            </w:pPr>
            <w:r w:rsidRPr="009F5AEA">
              <w:rPr>
                <w:rFonts w:ascii="Times New Roman" w:eastAsia="Times New Roman" w:hAnsi="Times New Roman"/>
                <w:lang w:val="en-GB"/>
              </w:rPr>
              <w:t>249.113.929</w:t>
            </w:r>
          </w:p>
        </w:tc>
      </w:tr>
      <w:tr w:rsidR="00560CCA" w:rsidRPr="00560CCA" w:rsidTr="00B93030">
        <w:trPr>
          <w:trHeight w:val="283"/>
          <w:jc w:val="center"/>
        </w:trPr>
        <w:tc>
          <w:tcPr>
            <w:tcW w:w="6066" w:type="dxa"/>
            <w:vMerge w:val="restart"/>
            <w:shd w:val="clear" w:color="auto" w:fill="auto"/>
            <w:vAlign w:val="center"/>
          </w:tcPr>
          <w:p w:rsidR="00560CCA" w:rsidRPr="00560CCA" w:rsidRDefault="00560CCA" w:rsidP="00560CCA">
            <w:pPr>
              <w:tabs>
                <w:tab w:val="left" w:pos="3237"/>
              </w:tabs>
              <w:suppressAutoHyphens/>
              <w:spacing w:after="0" w:line="240" w:lineRule="auto"/>
              <w:rPr>
                <w:rFonts w:ascii="Times New Roman" w:eastAsia="Times New Roman" w:hAnsi="Times New Roman"/>
                <w:lang w:eastAsia="ar-SA"/>
              </w:rPr>
            </w:pPr>
            <w:r w:rsidRPr="00560CCA">
              <w:rPr>
                <w:rFonts w:ascii="Times New Roman" w:eastAsia="Times New Roman" w:hAnsi="Times New Roman"/>
                <w:lang w:eastAsia="ar-SA"/>
              </w:rPr>
              <w:t>Socialinės įtraukties didinimas ir parama kovai su skurdu</w:t>
            </w:r>
          </w:p>
        </w:tc>
        <w:tc>
          <w:tcPr>
            <w:tcW w:w="1390" w:type="dxa"/>
            <w:shd w:val="clear" w:color="auto" w:fill="auto"/>
            <w:vAlign w:val="center"/>
          </w:tcPr>
          <w:p w:rsidR="00560CCA" w:rsidRPr="00D54F90" w:rsidRDefault="00560CCA" w:rsidP="00560CCA">
            <w:pPr>
              <w:tabs>
                <w:tab w:val="left" w:pos="3237"/>
              </w:tabs>
              <w:suppressAutoHyphens/>
              <w:spacing w:after="0" w:line="240" w:lineRule="auto"/>
              <w:jc w:val="center"/>
              <w:rPr>
                <w:rFonts w:ascii="Times New Roman" w:eastAsia="Times New Roman" w:hAnsi="Times New Roman"/>
                <w:lang w:eastAsia="ar-SA"/>
              </w:rPr>
            </w:pPr>
            <w:r w:rsidRPr="00D54F90">
              <w:rPr>
                <w:rFonts w:ascii="Times New Roman" w:eastAsia="Times New Roman" w:hAnsi="Times New Roman"/>
                <w:lang w:eastAsia="ar-SA"/>
              </w:rPr>
              <w:t>ERPF</w:t>
            </w:r>
          </w:p>
        </w:tc>
        <w:tc>
          <w:tcPr>
            <w:tcW w:w="2393" w:type="dxa"/>
            <w:shd w:val="clear" w:color="auto" w:fill="auto"/>
            <w:vAlign w:val="center"/>
          </w:tcPr>
          <w:p w:rsidR="00560CCA" w:rsidRPr="009F5AEA" w:rsidRDefault="00560CCA" w:rsidP="00560CCA">
            <w:pPr>
              <w:tabs>
                <w:tab w:val="left" w:pos="3237"/>
              </w:tabs>
              <w:suppressAutoHyphens/>
              <w:spacing w:after="0" w:line="240" w:lineRule="auto"/>
              <w:jc w:val="right"/>
              <w:rPr>
                <w:rFonts w:ascii="Times New Roman" w:eastAsia="Times New Roman" w:hAnsi="Times New Roman"/>
                <w:lang w:eastAsia="ar-SA"/>
              </w:rPr>
            </w:pPr>
            <w:r w:rsidRPr="009F5AEA">
              <w:rPr>
                <w:rFonts w:ascii="Times New Roman" w:eastAsia="Times New Roman" w:hAnsi="Times New Roman"/>
                <w:lang w:val="en-GB"/>
              </w:rPr>
              <w:t>17.956.241</w:t>
            </w:r>
          </w:p>
        </w:tc>
      </w:tr>
      <w:tr w:rsidR="00560CCA" w:rsidRPr="00560CCA" w:rsidTr="00B93030">
        <w:trPr>
          <w:trHeight w:val="283"/>
          <w:jc w:val="center"/>
        </w:trPr>
        <w:tc>
          <w:tcPr>
            <w:tcW w:w="6066" w:type="dxa"/>
            <w:vMerge/>
            <w:shd w:val="clear" w:color="auto" w:fill="auto"/>
            <w:vAlign w:val="center"/>
          </w:tcPr>
          <w:p w:rsidR="00560CCA" w:rsidRPr="00560CCA" w:rsidRDefault="00560CCA" w:rsidP="00560CCA">
            <w:pPr>
              <w:tabs>
                <w:tab w:val="left" w:pos="3237"/>
              </w:tabs>
              <w:suppressAutoHyphens/>
              <w:spacing w:after="0" w:line="240" w:lineRule="auto"/>
              <w:rPr>
                <w:rFonts w:ascii="Times New Roman" w:eastAsia="Times New Roman" w:hAnsi="Times New Roman"/>
                <w:lang w:eastAsia="ar-SA"/>
              </w:rPr>
            </w:pPr>
          </w:p>
        </w:tc>
        <w:tc>
          <w:tcPr>
            <w:tcW w:w="1390" w:type="dxa"/>
            <w:shd w:val="clear" w:color="auto" w:fill="auto"/>
            <w:vAlign w:val="center"/>
          </w:tcPr>
          <w:p w:rsidR="00560CCA" w:rsidRPr="00D54F90" w:rsidRDefault="00560CCA" w:rsidP="00560CCA">
            <w:pPr>
              <w:tabs>
                <w:tab w:val="left" w:pos="3237"/>
              </w:tabs>
              <w:suppressAutoHyphens/>
              <w:spacing w:after="0" w:line="240" w:lineRule="auto"/>
              <w:jc w:val="center"/>
              <w:rPr>
                <w:rFonts w:ascii="Times New Roman" w:eastAsia="Times New Roman" w:hAnsi="Times New Roman"/>
                <w:lang w:eastAsia="ar-SA"/>
              </w:rPr>
            </w:pPr>
            <w:r w:rsidRPr="00D54F90">
              <w:rPr>
                <w:rFonts w:ascii="Times New Roman" w:eastAsia="Times New Roman" w:hAnsi="Times New Roman"/>
                <w:lang w:eastAsia="ar-SA"/>
              </w:rPr>
              <w:t>ESF</w:t>
            </w:r>
          </w:p>
        </w:tc>
        <w:tc>
          <w:tcPr>
            <w:tcW w:w="2393" w:type="dxa"/>
            <w:shd w:val="clear" w:color="auto" w:fill="auto"/>
            <w:vAlign w:val="center"/>
          </w:tcPr>
          <w:p w:rsidR="00560CCA" w:rsidRPr="009F5AEA" w:rsidRDefault="00560CCA" w:rsidP="0080115A">
            <w:pPr>
              <w:tabs>
                <w:tab w:val="left" w:pos="3237"/>
              </w:tabs>
              <w:suppressAutoHyphens/>
              <w:spacing w:after="0" w:line="240" w:lineRule="auto"/>
              <w:jc w:val="right"/>
              <w:rPr>
                <w:rFonts w:ascii="Times New Roman" w:eastAsia="Times New Roman" w:hAnsi="Times New Roman"/>
                <w:lang w:eastAsia="ar-SA"/>
              </w:rPr>
            </w:pPr>
            <w:r w:rsidRPr="009F5AEA">
              <w:rPr>
                <w:rFonts w:ascii="Times New Roman" w:eastAsia="Times New Roman" w:hAnsi="Times New Roman"/>
                <w:lang w:eastAsia="ar-SA"/>
              </w:rPr>
              <w:t>1</w:t>
            </w:r>
            <w:r w:rsidR="003B5B9C" w:rsidRPr="009F5AEA">
              <w:rPr>
                <w:rFonts w:ascii="Times New Roman" w:eastAsia="Times New Roman" w:hAnsi="Times New Roman"/>
                <w:lang w:eastAsia="ar-SA"/>
              </w:rPr>
              <w:t>3.485.672</w:t>
            </w:r>
          </w:p>
        </w:tc>
      </w:tr>
      <w:tr w:rsidR="00560CCA" w:rsidRPr="00560CCA" w:rsidTr="00B93030">
        <w:trPr>
          <w:trHeight w:val="283"/>
          <w:jc w:val="center"/>
        </w:trPr>
        <w:tc>
          <w:tcPr>
            <w:tcW w:w="6066" w:type="dxa"/>
            <w:shd w:val="clear" w:color="auto" w:fill="auto"/>
            <w:vAlign w:val="center"/>
          </w:tcPr>
          <w:p w:rsidR="00560CCA" w:rsidRPr="00560CCA" w:rsidRDefault="00560CCA" w:rsidP="00560CCA">
            <w:pPr>
              <w:tabs>
                <w:tab w:val="left" w:pos="3237"/>
              </w:tabs>
              <w:suppressAutoHyphens/>
              <w:spacing w:after="0" w:line="240" w:lineRule="auto"/>
              <w:rPr>
                <w:rFonts w:ascii="Times New Roman" w:eastAsia="Times New Roman" w:hAnsi="Times New Roman"/>
                <w:lang w:eastAsia="ar-SA"/>
              </w:rPr>
            </w:pPr>
            <w:r w:rsidRPr="00560CCA">
              <w:rPr>
                <w:rFonts w:ascii="Times New Roman" w:eastAsia="Times New Roman" w:hAnsi="Times New Roman"/>
                <w:lang w:eastAsia="ar-SA"/>
              </w:rPr>
              <w:t>Visuomenės švietimas ir žmogiškųjų išteklių potencialo didinimas</w:t>
            </w:r>
          </w:p>
        </w:tc>
        <w:tc>
          <w:tcPr>
            <w:tcW w:w="1390" w:type="dxa"/>
            <w:shd w:val="clear" w:color="auto" w:fill="auto"/>
            <w:vAlign w:val="center"/>
          </w:tcPr>
          <w:p w:rsidR="00560CCA" w:rsidRPr="00D54F90" w:rsidRDefault="00560CCA" w:rsidP="00560CCA">
            <w:pPr>
              <w:tabs>
                <w:tab w:val="left" w:pos="3237"/>
              </w:tabs>
              <w:suppressAutoHyphens/>
              <w:spacing w:after="0" w:line="240" w:lineRule="auto"/>
              <w:jc w:val="center"/>
              <w:rPr>
                <w:rFonts w:ascii="Times New Roman" w:eastAsia="Times New Roman" w:hAnsi="Times New Roman"/>
                <w:lang w:eastAsia="ar-SA"/>
              </w:rPr>
            </w:pPr>
            <w:r w:rsidRPr="00D54F90">
              <w:rPr>
                <w:rFonts w:ascii="Times New Roman" w:eastAsia="Times New Roman" w:hAnsi="Times New Roman"/>
                <w:lang w:eastAsia="ar-SA"/>
              </w:rPr>
              <w:t>ERPF</w:t>
            </w:r>
          </w:p>
        </w:tc>
        <w:tc>
          <w:tcPr>
            <w:tcW w:w="2393" w:type="dxa"/>
            <w:shd w:val="clear" w:color="auto" w:fill="auto"/>
            <w:vAlign w:val="center"/>
          </w:tcPr>
          <w:p w:rsidR="00560CCA" w:rsidRPr="009F5AEA" w:rsidRDefault="00560CCA" w:rsidP="00560CCA">
            <w:pPr>
              <w:tabs>
                <w:tab w:val="left" w:pos="3237"/>
              </w:tabs>
              <w:suppressAutoHyphens/>
              <w:spacing w:after="0" w:line="240" w:lineRule="auto"/>
              <w:jc w:val="right"/>
              <w:rPr>
                <w:rFonts w:ascii="Times New Roman" w:eastAsia="Times New Roman" w:hAnsi="Times New Roman"/>
                <w:lang w:eastAsia="ar-SA"/>
              </w:rPr>
            </w:pPr>
            <w:r w:rsidRPr="009F5AEA">
              <w:rPr>
                <w:rFonts w:ascii="Times New Roman" w:eastAsia="Times New Roman" w:hAnsi="Times New Roman"/>
                <w:lang w:val="en-GB"/>
              </w:rPr>
              <w:t>3.915.824</w:t>
            </w:r>
          </w:p>
        </w:tc>
      </w:tr>
      <w:tr w:rsidR="004E77F7" w:rsidRPr="00560CCA" w:rsidTr="00B93030">
        <w:trPr>
          <w:trHeight w:val="283"/>
          <w:jc w:val="center"/>
        </w:trPr>
        <w:tc>
          <w:tcPr>
            <w:tcW w:w="6066" w:type="dxa"/>
            <w:shd w:val="clear" w:color="auto" w:fill="auto"/>
            <w:vAlign w:val="center"/>
          </w:tcPr>
          <w:p w:rsidR="004E77F7" w:rsidRPr="00560CCA" w:rsidRDefault="004E77F7" w:rsidP="00560CCA">
            <w:pPr>
              <w:tabs>
                <w:tab w:val="left" w:pos="3237"/>
              </w:tabs>
              <w:suppressAutoHyphens/>
              <w:spacing w:after="0" w:line="240" w:lineRule="auto"/>
              <w:rPr>
                <w:rFonts w:ascii="Times New Roman" w:eastAsia="Times New Roman" w:hAnsi="Times New Roman"/>
                <w:lang w:eastAsia="ar-SA"/>
              </w:rPr>
            </w:pPr>
            <w:r>
              <w:rPr>
                <w:rFonts w:ascii="Times New Roman" w:eastAsia="Times New Roman" w:hAnsi="Times New Roman"/>
                <w:lang w:eastAsia="ar-SA"/>
              </w:rPr>
              <w:t>Visuomenės poreikius atitinkantis ir pažangus viešasis valdymas</w:t>
            </w:r>
          </w:p>
        </w:tc>
        <w:tc>
          <w:tcPr>
            <w:tcW w:w="1390" w:type="dxa"/>
            <w:shd w:val="clear" w:color="auto" w:fill="auto"/>
            <w:vAlign w:val="center"/>
          </w:tcPr>
          <w:p w:rsidR="004E77F7" w:rsidRPr="00D54F90" w:rsidRDefault="004E77F7" w:rsidP="00560CCA">
            <w:pPr>
              <w:tabs>
                <w:tab w:val="left" w:pos="3237"/>
              </w:tabs>
              <w:suppressAutoHyphens/>
              <w:spacing w:after="0" w:line="240" w:lineRule="auto"/>
              <w:jc w:val="center"/>
              <w:rPr>
                <w:rFonts w:ascii="Times New Roman" w:eastAsia="Times New Roman" w:hAnsi="Times New Roman"/>
                <w:lang w:eastAsia="ar-SA"/>
              </w:rPr>
            </w:pPr>
            <w:r w:rsidRPr="004E77F7">
              <w:rPr>
                <w:rFonts w:ascii="Times New Roman" w:eastAsia="Times New Roman" w:hAnsi="Times New Roman"/>
                <w:lang w:eastAsia="ar-SA"/>
              </w:rPr>
              <w:t>ESF</w:t>
            </w:r>
          </w:p>
        </w:tc>
        <w:tc>
          <w:tcPr>
            <w:tcW w:w="2393" w:type="dxa"/>
            <w:shd w:val="clear" w:color="auto" w:fill="auto"/>
            <w:vAlign w:val="center"/>
          </w:tcPr>
          <w:p w:rsidR="004E77F7" w:rsidRPr="009F5AEA" w:rsidRDefault="004E77F7" w:rsidP="00560CCA">
            <w:pPr>
              <w:tabs>
                <w:tab w:val="left" w:pos="3237"/>
              </w:tabs>
              <w:suppressAutoHyphens/>
              <w:spacing w:after="0" w:line="240" w:lineRule="auto"/>
              <w:jc w:val="right"/>
              <w:rPr>
                <w:rFonts w:ascii="Times New Roman" w:eastAsia="Times New Roman" w:hAnsi="Times New Roman"/>
                <w:lang w:val="en-GB"/>
              </w:rPr>
            </w:pPr>
            <w:r w:rsidRPr="009F5AEA">
              <w:rPr>
                <w:rFonts w:ascii="Times New Roman" w:eastAsia="Times New Roman" w:hAnsi="Times New Roman"/>
                <w:lang w:val="en-GB"/>
              </w:rPr>
              <w:t>1.000.000</w:t>
            </w:r>
          </w:p>
        </w:tc>
      </w:tr>
      <w:tr w:rsidR="00560CCA" w:rsidRPr="00560CCA" w:rsidTr="00B93030">
        <w:trPr>
          <w:trHeight w:val="283"/>
          <w:jc w:val="center"/>
        </w:trPr>
        <w:tc>
          <w:tcPr>
            <w:tcW w:w="6066" w:type="dxa"/>
            <w:shd w:val="clear" w:color="auto" w:fill="auto"/>
            <w:vAlign w:val="center"/>
          </w:tcPr>
          <w:p w:rsidR="00560CCA" w:rsidRPr="00560CCA" w:rsidRDefault="00560CCA" w:rsidP="00560CCA">
            <w:pPr>
              <w:tabs>
                <w:tab w:val="left" w:pos="3237"/>
              </w:tabs>
              <w:suppressAutoHyphens/>
              <w:spacing w:after="0" w:line="240" w:lineRule="auto"/>
              <w:rPr>
                <w:rFonts w:ascii="Times New Roman" w:eastAsia="Times New Roman" w:hAnsi="Times New Roman"/>
                <w:b/>
                <w:lang w:eastAsia="ar-SA"/>
              </w:rPr>
            </w:pPr>
            <w:r w:rsidRPr="00560CCA">
              <w:rPr>
                <w:rFonts w:ascii="Times New Roman" w:eastAsia="Times New Roman" w:hAnsi="Times New Roman"/>
                <w:b/>
                <w:lang w:eastAsia="ar-SA"/>
              </w:rPr>
              <w:t>Iš viso</w:t>
            </w:r>
          </w:p>
        </w:tc>
        <w:tc>
          <w:tcPr>
            <w:tcW w:w="1390" w:type="dxa"/>
            <w:shd w:val="clear" w:color="auto" w:fill="auto"/>
            <w:vAlign w:val="center"/>
          </w:tcPr>
          <w:p w:rsidR="00560CCA" w:rsidRPr="00D54F90" w:rsidRDefault="00560CCA" w:rsidP="00560CCA">
            <w:pPr>
              <w:tabs>
                <w:tab w:val="left" w:pos="3237"/>
              </w:tabs>
              <w:suppressAutoHyphens/>
              <w:spacing w:after="0" w:line="240" w:lineRule="auto"/>
              <w:rPr>
                <w:rFonts w:ascii="Times New Roman" w:eastAsia="Times New Roman" w:hAnsi="Times New Roman"/>
                <w:lang w:eastAsia="ar-SA"/>
              </w:rPr>
            </w:pPr>
          </w:p>
        </w:tc>
        <w:tc>
          <w:tcPr>
            <w:tcW w:w="2393" w:type="dxa"/>
            <w:shd w:val="clear" w:color="auto" w:fill="auto"/>
            <w:vAlign w:val="center"/>
          </w:tcPr>
          <w:p w:rsidR="00560CCA" w:rsidRPr="009F5AEA" w:rsidRDefault="003B5B9C" w:rsidP="00EB4EF5">
            <w:pPr>
              <w:spacing w:after="0" w:line="240" w:lineRule="auto"/>
              <w:jc w:val="right"/>
              <w:rPr>
                <w:rFonts w:ascii="Times New Roman" w:eastAsia="Times New Roman" w:hAnsi="Times New Roman"/>
                <w:b/>
              </w:rPr>
            </w:pPr>
            <w:r w:rsidRPr="009F5AEA">
              <w:rPr>
                <w:rFonts w:ascii="Times New Roman" w:eastAsia="Times New Roman" w:hAnsi="Times New Roman"/>
                <w:b/>
                <w:color w:val="000000"/>
                <w:lang w:val="en-GB"/>
              </w:rPr>
              <w:t>455</w:t>
            </w:r>
            <w:r w:rsidR="00560CCA" w:rsidRPr="009F5AEA">
              <w:rPr>
                <w:rFonts w:ascii="Times New Roman" w:eastAsia="Times New Roman" w:hAnsi="Times New Roman"/>
                <w:b/>
                <w:color w:val="000000"/>
                <w:lang w:val="en-GB"/>
              </w:rPr>
              <w:t>.</w:t>
            </w:r>
            <w:r w:rsidRPr="009F5AEA">
              <w:rPr>
                <w:rFonts w:ascii="Times New Roman" w:eastAsia="Times New Roman" w:hAnsi="Times New Roman"/>
                <w:b/>
                <w:color w:val="000000"/>
                <w:lang w:val="en-GB"/>
              </w:rPr>
              <w:t>718.401</w:t>
            </w:r>
          </w:p>
        </w:tc>
      </w:tr>
    </w:tbl>
    <w:p w:rsidR="00EB3039" w:rsidRPr="00B315E9" w:rsidRDefault="00EB3039" w:rsidP="006C76BF">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122"/>
      </w:tblGrid>
      <w:tr w:rsidR="006C76BF" w:rsidRPr="003E0F8A" w:rsidTr="00FA244F">
        <w:trPr>
          <w:trHeight w:val="416"/>
        </w:trPr>
        <w:tc>
          <w:tcPr>
            <w:tcW w:w="675" w:type="dxa"/>
            <w:shd w:val="clear" w:color="auto" w:fill="C6D9F1"/>
            <w:vAlign w:val="center"/>
          </w:tcPr>
          <w:p w:rsidR="006C76BF" w:rsidRPr="003E0F8A" w:rsidRDefault="006C76BF" w:rsidP="006C76BF">
            <w:pPr>
              <w:spacing w:after="0" w:line="240" w:lineRule="auto"/>
              <w:jc w:val="both"/>
              <w:rPr>
                <w:rFonts w:ascii="Times New Roman" w:hAnsi="Times New Roman"/>
                <w:b/>
                <w:bCs/>
                <w:sz w:val="24"/>
              </w:rPr>
            </w:pPr>
            <w:r w:rsidRPr="003E0F8A">
              <w:rPr>
                <w:rFonts w:ascii="Times New Roman" w:hAnsi="Times New Roman"/>
                <w:b/>
                <w:bCs/>
                <w:sz w:val="24"/>
              </w:rPr>
              <w:t>4.4.</w:t>
            </w:r>
          </w:p>
        </w:tc>
        <w:tc>
          <w:tcPr>
            <w:tcW w:w="9122" w:type="dxa"/>
            <w:shd w:val="clear" w:color="auto" w:fill="C6D9F1"/>
            <w:vAlign w:val="center"/>
          </w:tcPr>
          <w:p w:rsidR="006C76BF" w:rsidRPr="003E0F8A" w:rsidRDefault="006C76BF" w:rsidP="0087034B">
            <w:pPr>
              <w:spacing w:after="0" w:line="240" w:lineRule="auto"/>
              <w:jc w:val="both"/>
              <w:rPr>
                <w:rFonts w:ascii="Times New Roman" w:hAnsi="Times New Roman"/>
                <w:b/>
                <w:bCs/>
                <w:sz w:val="24"/>
              </w:rPr>
            </w:pPr>
            <w:r w:rsidRPr="003E0F8A">
              <w:rPr>
                <w:rFonts w:ascii="Times New Roman" w:hAnsi="Times New Roman"/>
                <w:b/>
                <w:bCs/>
                <w:sz w:val="24"/>
              </w:rPr>
              <w:t xml:space="preserve">Mechanizmas, skirtas </w:t>
            </w:r>
            <w:r w:rsidR="0087034B" w:rsidRPr="003E0F8A">
              <w:rPr>
                <w:rFonts w:ascii="Times New Roman" w:hAnsi="Times New Roman"/>
                <w:b/>
                <w:bCs/>
                <w:sz w:val="24"/>
              </w:rPr>
              <w:t>užtikrinti koordinavimą</w:t>
            </w:r>
            <w:r w:rsidRPr="003E0F8A">
              <w:rPr>
                <w:rFonts w:ascii="Times New Roman" w:hAnsi="Times New Roman"/>
                <w:b/>
                <w:bCs/>
                <w:sz w:val="24"/>
              </w:rPr>
              <w:t xml:space="preserve"> </w:t>
            </w:r>
            <w:r w:rsidR="0087034B" w:rsidRPr="003E0F8A">
              <w:rPr>
                <w:rFonts w:ascii="Times New Roman" w:hAnsi="Times New Roman"/>
                <w:b/>
                <w:bCs/>
                <w:sz w:val="24"/>
              </w:rPr>
              <w:t xml:space="preserve">su </w:t>
            </w:r>
            <w:r w:rsidRPr="003E0F8A">
              <w:rPr>
                <w:rFonts w:ascii="Times New Roman" w:hAnsi="Times New Roman"/>
                <w:b/>
                <w:bCs/>
                <w:sz w:val="24"/>
              </w:rPr>
              <w:t>bendradarbiavimo veiklom</w:t>
            </w:r>
            <w:r w:rsidR="0087034B" w:rsidRPr="003E0F8A">
              <w:rPr>
                <w:rFonts w:ascii="Times New Roman" w:hAnsi="Times New Roman"/>
                <w:b/>
                <w:bCs/>
                <w:sz w:val="24"/>
              </w:rPr>
              <w:t>is bei</w:t>
            </w:r>
            <w:proofErr w:type="gramStart"/>
            <w:r w:rsidR="0087034B" w:rsidRPr="003E0F8A">
              <w:rPr>
                <w:rFonts w:ascii="Times New Roman" w:hAnsi="Times New Roman"/>
                <w:b/>
                <w:bCs/>
                <w:sz w:val="24"/>
              </w:rPr>
              <w:t xml:space="preserve">  </w:t>
            </w:r>
            <w:proofErr w:type="gramEnd"/>
            <w:r w:rsidR="0087034B" w:rsidRPr="003E0F8A">
              <w:rPr>
                <w:rFonts w:ascii="Times New Roman" w:hAnsi="Times New Roman"/>
                <w:b/>
                <w:bCs/>
                <w:sz w:val="24"/>
              </w:rPr>
              <w:t>makroregioninėmis</w:t>
            </w:r>
            <w:r w:rsidRPr="003E0F8A">
              <w:rPr>
                <w:rFonts w:ascii="Times New Roman" w:hAnsi="Times New Roman"/>
                <w:b/>
                <w:bCs/>
                <w:sz w:val="24"/>
              </w:rPr>
              <w:t xml:space="preserve"> ir </w:t>
            </w:r>
            <w:r w:rsidR="0087034B" w:rsidRPr="003E0F8A">
              <w:rPr>
                <w:rFonts w:ascii="Times New Roman" w:hAnsi="Times New Roman"/>
                <w:b/>
                <w:bCs/>
                <w:sz w:val="24"/>
              </w:rPr>
              <w:t xml:space="preserve">jūrų baseinų </w:t>
            </w:r>
            <w:r w:rsidRPr="003E0F8A">
              <w:rPr>
                <w:rFonts w:ascii="Times New Roman" w:hAnsi="Times New Roman"/>
                <w:b/>
                <w:bCs/>
                <w:sz w:val="24"/>
              </w:rPr>
              <w:t>strategijom</w:t>
            </w:r>
            <w:r w:rsidR="005832C7" w:rsidRPr="003E0F8A">
              <w:rPr>
                <w:rFonts w:ascii="Times New Roman" w:hAnsi="Times New Roman"/>
                <w:b/>
                <w:bCs/>
                <w:sz w:val="24"/>
              </w:rPr>
              <w:t>i</w:t>
            </w:r>
            <w:r w:rsidRPr="003E0F8A">
              <w:rPr>
                <w:rFonts w:ascii="Times New Roman" w:hAnsi="Times New Roman"/>
                <w:b/>
                <w:bCs/>
                <w:sz w:val="24"/>
              </w:rPr>
              <w:t>s</w:t>
            </w:r>
          </w:p>
        </w:tc>
      </w:tr>
    </w:tbl>
    <w:p w:rsidR="006C76BF" w:rsidRPr="006C76BF" w:rsidRDefault="006C76BF" w:rsidP="00B315E9">
      <w:pPr>
        <w:spacing w:after="0" w:line="240" w:lineRule="auto"/>
        <w:ind w:firstLine="624"/>
        <w:jc w:val="both"/>
        <w:rPr>
          <w:rFonts w:ascii="Times New Roman" w:hAnsi="Times New Roman"/>
        </w:rPr>
      </w:pPr>
    </w:p>
    <w:p w:rsidR="00CB0E4C" w:rsidRDefault="00CB0E4C" w:rsidP="00CB0E4C">
      <w:pPr>
        <w:tabs>
          <w:tab w:val="left" w:pos="1701"/>
        </w:tabs>
        <w:autoSpaceDE w:val="0"/>
        <w:autoSpaceDN w:val="0"/>
        <w:adjustRightInd w:val="0"/>
        <w:spacing w:after="0" w:line="240" w:lineRule="auto"/>
        <w:ind w:firstLine="851"/>
        <w:jc w:val="both"/>
        <w:rPr>
          <w:rFonts w:ascii="Times New Roman" w:hAnsi="Times New Roman"/>
          <w:sz w:val="24"/>
          <w:szCs w:val="24"/>
          <w:lang w:eastAsia="lt-LT"/>
        </w:rPr>
      </w:pPr>
      <w:r>
        <w:rPr>
          <w:rFonts w:ascii="Times New Roman" w:hAnsi="Times New Roman"/>
          <w:sz w:val="24"/>
          <w:szCs w:val="24"/>
          <w:lang w:eastAsia="lt-LT"/>
        </w:rPr>
        <w:t xml:space="preserve">Mechanizmai, skirti užtikrinti koordinavimą tarp ESI fondų finansuojamų veiklų ir ES BSJR, taip pat veiksmų programos indėlis įgyvendinant ES BJRS, įskaitant prioritetinio projektų atrankos kriterijaus, suteikiančio pirmenybę projektams, </w:t>
      </w:r>
      <w:r w:rsidRPr="00C8742A">
        <w:rPr>
          <w:rFonts w:ascii="Times New Roman" w:hAnsi="Times New Roman"/>
          <w:sz w:val="24"/>
          <w:szCs w:val="24"/>
          <w:lang w:eastAsia="lt-LT"/>
        </w:rPr>
        <w:t>prisidedan</w:t>
      </w:r>
      <w:r>
        <w:rPr>
          <w:rFonts w:ascii="Times New Roman" w:hAnsi="Times New Roman"/>
          <w:sz w:val="24"/>
          <w:szCs w:val="24"/>
          <w:lang w:eastAsia="lt-LT"/>
        </w:rPr>
        <w:t xml:space="preserve">tiems prie ES BJRS įgyvendinimo, nustatymas veiksmų programos priemonių lygmenyje; galimybė kartu su kitomis šalimis </w:t>
      </w:r>
      <w:r w:rsidRPr="002527BD">
        <w:rPr>
          <w:rFonts w:ascii="Times New Roman" w:hAnsi="Times New Roman"/>
          <w:sz w:val="24"/>
          <w:szCs w:val="24"/>
          <w:lang w:eastAsia="lt-LT"/>
        </w:rPr>
        <w:t>organizuoti bendrus kvietimus teikti paraiškas p</w:t>
      </w:r>
      <w:r>
        <w:rPr>
          <w:rFonts w:ascii="Times New Roman" w:hAnsi="Times New Roman"/>
          <w:sz w:val="24"/>
          <w:szCs w:val="24"/>
          <w:lang w:eastAsia="lt-LT"/>
        </w:rPr>
        <w:t xml:space="preserve">rojektams, prisidedantiems prie ES BJRS įgyvendinimo, taip pat galimybė pasinaudoti Bendrųjų nuostatų reglamento 70 str., leidžiančiu </w:t>
      </w:r>
      <w:r w:rsidRPr="002527BD">
        <w:rPr>
          <w:rFonts w:ascii="Times New Roman" w:hAnsi="Times New Roman"/>
          <w:sz w:val="24"/>
          <w:szCs w:val="24"/>
          <w:lang w:eastAsia="lt-LT"/>
        </w:rPr>
        <w:t xml:space="preserve">tikrą lėšų dalį išleisti ne </w:t>
      </w:r>
      <w:r w:rsidR="000F4AE6">
        <w:rPr>
          <w:rFonts w:ascii="Times New Roman" w:hAnsi="Times New Roman"/>
          <w:sz w:val="24"/>
          <w:szCs w:val="24"/>
          <w:lang w:eastAsia="lt-LT"/>
        </w:rPr>
        <w:t>ES fondų</w:t>
      </w:r>
      <w:r w:rsidRPr="002527BD">
        <w:rPr>
          <w:rFonts w:ascii="Times New Roman" w:hAnsi="Times New Roman"/>
          <w:sz w:val="24"/>
          <w:szCs w:val="24"/>
          <w:lang w:eastAsia="lt-LT"/>
        </w:rPr>
        <w:t xml:space="preserve"> veiksmų programos įgyv</w:t>
      </w:r>
      <w:r>
        <w:rPr>
          <w:rFonts w:ascii="Times New Roman" w:hAnsi="Times New Roman"/>
          <w:sz w:val="24"/>
          <w:szCs w:val="24"/>
          <w:lang w:eastAsia="lt-LT"/>
        </w:rPr>
        <w:t>endinimo teritorijoje ir kt., yra aprašyta Partnerystės sutarties 3.1.4 dalyje.</w:t>
      </w:r>
    </w:p>
    <w:p w:rsidR="00261067" w:rsidRDefault="00261067" w:rsidP="00261067">
      <w:pPr>
        <w:tabs>
          <w:tab w:val="left" w:pos="1701"/>
        </w:tabs>
        <w:autoSpaceDE w:val="0"/>
        <w:autoSpaceDN w:val="0"/>
        <w:adjustRightInd w:val="0"/>
        <w:spacing w:after="0" w:line="240" w:lineRule="auto"/>
        <w:ind w:firstLine="851"/>
        <w:jc w:val="both"/>
        <w:rPr>
          <w:rFonts w:ascii="Times New Roman" w:hAnsi="Times New Roman"/>
          <w:sz w:val="24"/>
          <w:szCs w:val="24"/>
          <w:lang w:eastAsia="lt-LT"/>
        </w:rPr>
      </w:pPr>
      <w:r w:rsidRPr="00261067">
        <w:rPr>
          <w:rFonts w:ascii="Times New Roman" w:hAnsi="Times New Roman"/>
          <w:sz w:val="24"/>
          <w:szCs w:val="24"/>
          <w:lang w:eastAsia="lt-LT"/>
        </w:rPr>
        <w:t>ES BJRS įgyvendinimo stebėsenai bus naudojami esami veiksmų programų rodikliai, ypač tie, kurie yra numatyti prioritetų, daugiausiai prisidedančių prie strateginių ES BJRS tikslų ir rodiklių įgyvendinimo: mokslinių tyrimų, eksperimentinės plėtros ir inovacijų skatinimas; energijos efektyvumo ir atsinaujinančių išteklių energijos gamybos ir naudojimo skatinimas; aplinkosauga, gamtos išteklių darnus naudojimas ir prisitaikymas prie klimato kaitos; darn</w:t>
      </w:r>
      <w:r w:rsidR="007100D2">
        <w:rPr>
          <w:rFonts w:ascii="Times New Roman" w:hAnsi="Times New Roman"/>
          <w:sz w:val="24"/>
          <w:szCs w:val="24"/>
          <w:lang w:eastAsia="lt-LT"/>
        </w:rPr>
        <w:t>aus</w:t>
      </w:r>
      <w:r w:rsidRPr="00261067">
        <w:rPr>
          <w:rFonts w:ascii="Times New Roman" w:hAnsi="Times New Roman"/>
          <w:sz w:val="24"/>
          <w:szCs w:val="24"/>
          <w:lang w:eastAsia="lt-LT"/>
        </w:rPr>
        <w:t xml:space="preserve"> transporto</w:t>
      </w:r>
      <w:r w:rsidR="00D7758D">
        <w:rPr>
          <w:rFonts w:ascii="Times New Roman" w:hAnsi="Times New Roman"/>
          <w:sz w:val="24"/>
          <w:szCs w:val="24"/>
          <w:lang w:eastAsia="lt-LT"/>
        </w:rPr>
        <w:t xml:space="preserve"> ir</w:t>
      </w:r>
      <w:r w:rsidRPr="00261067">
        <w:rPr>
          <w:rFonts w:ascii="Times New Roman" w:hAnsi="Times New Roman"/>
          <w:sz w:val="24"/>
          <w:szCs w:val="24"/>
          <w:lang w:eastAsia="lt-LT"/>
        </w:rPr>
        <w:t xml:space="preserve"> pagrindinių tinklų infrastruktūros </w:t>
      </w:r>
      <w:r w:rsidR="00D7758D">
        <w:rPr>
          <w:rFonts w:ascii="Times New Roman" w:hAnsi="Times New Roman"/>
          <w:sz w:val="24"/>
          <w:szCs w:val="24"/>
          <w:lang w:eastAsia="lt-LT"/>
        </w:rPr>
        <w:t>plėtra</w:t>
      </w:r>
      <w:r w:rsidR="00D7758D" w:rsidRPr="00261067">
        <w:rPr>
          <w:rFonts w:ascii="Times New Roman" w:hAnsi="Times New Roman"/>
          <w:sz w:val="24"/>
          <w:szCs w:val="24"/>
          <w:lang w:eastAsia="lt-LT"/>
        </w:rPr>
        <w:t xml:space="preserve"> </w:t>
      </w:r>
      <w:r w:rsidRPr="00261067">
        <w:rPr>
          <w:rFonts w:ascii="Times New Roman" w:hAnsi="Times New Roman"/>
          <w:sz w:val="24"/>
          <w:szCs w:val="24"/>
          <w:lang w:eastAsia="lt-LT"/>
        </w:rPr>
        <w:t xml:space="preserve">ir kt. Prioritetinio kriterijaus taikymas </w:t>
      </w:r>
      <w:r w:rsidRPr="00261067">
        <w:rPr>
          <w:rFonts w:ascii="Times New Roman" w:hAnsi="Times New Roman"/>
          <w:sz w:val="24"/>
          <w:szCs w:val="24"/>
          <w:lang w:eastAsia="lt-LT"/>
        </w:rPr>
        <w:lastRenderedPageBreak/>
        <w:t>projektų atrankos metu ir projektų, prisidedančių prie ES BJRS įgyvendinimo, žymėjimas informacinėje stebėsenos sistemoje sudarys prielaidas surinkti informaciją apie veiksmų programos lėšomis finansuojamų projektų indėlį įgyvendinant ES BJRS.</w:t>
      </w:r>
    </w:p>
    <w:p w:rsidR="00372448" w:rsidRPr="00261067" w:rsidRDefault="00372448" w:rsidP="00261067">
      <w:pPr>
        <w:tabs>
          <w:tab w:val="left" w:pos="1701"/>
        </w:tabs>
        <w:autoSpaceDE w:val="0"/>
        <w:autoSpaceDN w:val="0"/>
        <w:adjustRightInd w:val="0"/>
        <w:spacing w:after="0" w:line="240" w:lineRule="auto"/>
        <w:ind w:firstLine="851"/>
        <w:jc w:val="both"/>
        <w:rPr>
          <w:rFonts w:ascii="Times New Roman" w:hAnsi="Times New Roman"/>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7"/>
      </w:tblGrid>
      <w:tr w:rsidR="00CA49D4" w:rsidRPr="00D543ED" w:rsidTr="00C34EFE">
        <w:trPr>
          <w:trHeight w:val="416"/>
        </w:trPr>
        <w:tc>
          <w:tcPr>
            <w:tcW w:w="9797" w:type="dxa"/>
            <w:shd w:val="clear" w:color="auto" w:fill="C6D9F1"/>
            <w:vAlign w:val="center"/>
          </w:tcPr>
          <w:p w:rsidR="00CA49D4" w:rsidRPr="00372DA9" w:rsidRDefault="00CA49D4" w:rsidP="008C6EA9">
            <w:pPr>
              <w:pStyle w:val="Antrat1"/>
              <w:rPr>
                <w:rFonts w:eastAsia="AngsanaUPC"/>
                <w:lang w:val="lt-LT" w:eastAsia="lt-LT"/>
              </w:rPr>
            </w:pPr>
            <w:bookmarkStart w:id="23" w:name="_Toc69836236"/>
            <w:r w:rsidRPr="00372DA9">
              <w:rPr>
                <w:rFonts w:eastAsia="AngsanaUPC"/>
                <w:lang w:val="lt-LT" w:eastAsia="lt-LT"/>
              </w:rPr>
              <w:t>5. SK</w:t>
            </w:r>
            <w:r w:rsidR="008C6EA9">
              <w:rPr>
                <w:rFonts w:eastAsia="AngsanaUPC"/>
                <w:lang w:val="lt-LT" w:eastAsia="lt-LT"/>
              </w:rPr>
              <w:t>IRSNIS</w:t>
            </w:r>
            <w:r w:rsidRPr="00372DA9">
              <w:rPr>
                <w:rFonts w:eastAsia="AngsanaUPC"/>
                <w:lang w:val="lt-LT" w:eastAsia="lt-LT"/>
              </w:rPr>
              <w:t>.</w:t>
            </w:r>
            <w:r w:rsidRPr="00372DA9">
              <w:rPr>
                <w:rFonts w:eastAsia="AngsanaUPC"/>
                <w:szCs w:val="24"/>
                <w:lang w:val="lt-LT" w:eastAsia="lt-LT"/>
              </w:rPr>
              <w:t xml:space="preserve"> </w:t>
            </w:r>
            <w:r w:rsidR="00E47CAB" w:rsidRPr="00372DA9">
              <w:rPr>
                <w:rFonts w:cs="Calibri"/>
                <w:iCs/>
                <w:szCs w:val="24"/>
                <w:lang w:val="lt-LT" w:eastAsia="lt-LT"/>
              </w:rPr>
              <w:t>GEOGRAFINIŲ VIETOVIŲ, KURIOS YRA LABIAUSIAI PAVEIKTOS SKURDO, ARBA TIKSLINIŲ GRUPIŲ, KURIOS PATIRIA DIDŽIAUSIĄ DISKRIMINAVIMO ARBA SOCIALINĖS ATSKIRTIES RIZIKĄ, POREIKIAI</w:t>
            </w:r>
            <w:bookmarkEnd w:id="23"/>
          </w:p>
        </w:tc>
      </w:tr>
    </w:tbl>
    <w:p w:rsidR="00CA49D4" w:rsidRDefault="00CA49D4" w:rsidP="008C22CB">
      <w:pPr>
        <w:widowControl w:val="0"/>
        <w:tabs>
          <w:tab w:val="left" w:pos="622"/>
        </w:tabs>
        <w:spacing w:after="0" w:line="240" w:lineRule="auto"/>
        <w:ind w:firstLine="624"/>
        <w:jc w:val="both"/>
        <w:rPr>
          <w:rFonts w:ascii="Times New Roman" w:eastAsia="AngsanaUPC" w:hAnsi="Times New Roman"/>
          <w:bCs/>
          <w:sz w:val="24"/>
          <w:szCs w:val="24"/>
          <w:lang w:eastAsia="lt-LT"/>
        </w:rPr>
      </w:pPr>
    </w:p>
    <w:p w:rsidR="00E47CAB" w:rsidRDefault="00DB286E" w:rsidP="008C22CB">
      <w:pPr>
        <w:widowControl w:val="0"/>
        <w:tabs>
          <w:tab w:val="left" w:pos="622"/>
        </w:tabs>
        <w:spacing w:after="0" w:line="240" w:lineRule="auto"/>
        <w:ind w:firstLine="624"/>
        <w:jc w:val="both"/>
        <w:rPr>
          <w:rFonts w:ascii="Times New Roman" w:eastAsia="AngsanaUPC" w:hAnsi="Times New Roman"/>
          <w:bCs/>
          <w:sz w:val="24"/>
          <w:szCs w:val="24"/>
          <w:lang w:eastAsia="lt-LT"/>
        </w:rPr>
      </w:pPr>
      <w:r>
        <w:rPr>
          <w:rFonts w:ascii="Times New Roman" w:eastAsia="AngsanaUPC" w:hAnsi="Times New Roman"/>
          <w:bCs/>
          <w:sz w:val="24"/>
          <w:szCs w:val="24"/>
          <w:lang w:eastAsia="lt-LT"/>
        </w:rPr>
        <w:t>N</w:t>
      </w:r>
      <w:r w:rsidR="00E47CAB">
        <w:rPr>
          <w:rFonts w:ascii="Times New Roman" w:eastAsia="AngsanaUPC" w:hAnsi="Times New Roman"/>
          <w:bCs/>
          <w:sz w:val="24"/>
          <w:szCs w:val="24"/>
          <w:lang w:eastAsia="lt-LT"/>
        </w:rPr>
        <w:t>etaikoma.</w:t>
      </w:r>
    </w:p>
    <w:p w:rsidR="00E47CAB" w:rsidRDefault="00E47CAB" w:rsidP="008C22CB">
      <w:pPr>
        <w:widowControl w:val="0"/>
        <w:tabs>
          <w:tab w:val="left" w:pos="622"/>
        </w:tabs>
        <w:spacing w:after="0" w:line="240" w:lineRule="auto"/>
        <w:ind w:firstLine="624"/>
        <w:jc w:val="both"/>
        <w:rPr>
          <w:rFonts w:ascii="Times New Roman" w:eastAsia="AngsanaUPC" w:hAnsi="Times New Roman"/>
          <w:bCs/>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7"/>
      </w:tblGrid>
      <w:tr w:rsidR="00E47CAB" w:rsidRPr="00D543ED" w:rsidTr="00C34EFE">
        <w:trPr>
          <w:trHeight w:val="416"/>
        </w:trPr>
        <w:tc>
          <w:tcPr>
            <w:tcW w:w="9797" w:type="dxa"/>
            <w:shd w:val="clear" w:color="auto" w:fill="C6D9F1"/>
            <w:vAlign w:val="center"/>
          </w:tcPr>
          <w:p w:rsidR="00E47CAB" w:rsidRPr="00372DA9" w:rsidRDefault="00E47CAB" w:rsidP="008C6EA9">
            <w:pPr>
              <w:pStyle w:val="Antrat1"/>
              <w:rPr>
                <w:rFonts w:eastAsia="AngsanaUPC"/>
                <w:szCs w:val="24"/>
                <w:lang w:val="lt-LT" w:eastAsia="lt-LT"/>
              </w:rPr>
            </w:pPr>
            <w:bookmarkStart w:id="24" w:name="_Toc69836237"/>
            <w:r w:rsidRPr="00372DA9">
              <w:rPr>
                <w:rFonts w:eastAsia="AngsanaUPC"/>
                <w:szCs w:val="24"/>
                <w:lang w:val="lt-LT" w:eastAsia="lt-LT"/>
              </w:rPr>
              <w:t>6. SK</w:t>
            </w:r>
            <w:r w:rsidR="008C6EA9">
              <w:rPr>
                <w:rFonts w:eastAsia="AngsanaUPC"/>
                <w:szCs w:val="24"/>
                <w:lang w:val="lt-LT" w:eastAsia="lt-LT"/>
              </w:rPr>
              <w:t>IRSNIS</w:t>
            </w:r>
            <w:r w:rsidRPr="00372DA9">
              <w:rPr>
                <w:rFonts w:eastAsia="AngsanaUPC"/>
                <w:szCs w:val="24"/>
                <w:lang w:val="lt-LT" w:eastAsia="lt-LT"/>
              </w:rPr>
              <w:t xml:space="preserve">. </w:t>
            </w:r>
            <w:r w:rsidRPr="00372DA9">
              <w:rPr>
                <w:rFonts w:cs="Calibri"/>
                <w:iCs/>
                <w:szCs w:val="24"/>
                <w:lang w:val="lt-LT" w:eastAsia="lt-LT"/>
              </w:rPr>
              <w:t xml:space="preserve">GEOGRAFINIŲ </w:t>
            </w:r>
            <w:r w:rsidR="008C6EA9">
              <w:rPr>
                <w:rFonts w:cs="Calibri"/>
                <w:iCs/>
                <w:szCs w:val="24"/>
                <w:lang w:val="lt-LT" w:eastAsia="lt-LT"/>
              </w:rPr>
              <w:t>TERITORIŲ</w:t>
            </w:r>
            <w:r w:rsidRPr="00372DA9">
              <w:rPr>
                <w:rFonts w:cs="Calibri"/>
                <w:iCs/>
                <w:szCs w:val="24"/>
                <w:lang w:val="lt-LT" w:eastAsia="lt-LT"/>
              </w:rPr>
              <w:t>, KURIOSE SUSIDURIAMA SU DIDELĖMIS IR NUOLATINĖMIS GAMTINĖMIS ARBA DEMOGRAFINĖMIS KLIŪTIMIS, SPECIFINIAI POREIKIAI</w:t>
            </w:r>
            <w:bookmarkEnd w:id="24"/>
          </w:p>
        </w:tc>
      </w:tr>
    </w:tbl>
    <w:p w:rsidR="00E47CAB" w:rsidRDefault="00E47CAB" w:rsidP="008C22CB">
      <w:pPr>
        <w:widowControl w:val="0"/>
        <w:tabs>
          <w:tab w:val="left" w:pos="622"/>
        </w:tabs>
        <w:spacing w:after="0" w:line="240" w:lineRule="auto"/>
        <w:ind w:firstLine="624"/>
        <w:jc w:val="both"/>
        <w:rPr>
          <w:rFonts w:ascii="Times New Roman" w:eastAsia="AngsanaUPC" w:hAnsi="Times New Roman"/>
          <w:bCs/>
          <w:sz w:val="24"/>
          <w:szCs w:val="24"/>
          <w:lang w:eastAsia="lt-LT"/>
        </w:rPr>
      </w:pPr>
    </w:p>
    <w:p w:rsidR="00E47CAB" w:rsidRDefault="00DB286E" w:rsidP="00E47CAB">
      <w:pPr>
        <w:widowControl w:val="0"/>
        <w:tabs>
          <w:tab w:val="left" w:pos="622"/>
        </w:tabs>
        <w:spacing w:after="0" w:line="240" w:lineRule="auto"/>
        <w:ind w:firstLine="624"/>
        <w:jc w:val="both"/>
        <w:rPr>
          <w:rFonts w:ascii="Times New Roman" w:eastAsia="AngsanaUPC" w:hAnsi="Times New Roman"/>
          <w:bCs/>
          <w:sz w:val="24"/>
          <w:szCs w:val="24"/>
          <w:lang w:eastAsia="lt-LT"/>
        </w:rPr>
      </w:pPr>
      <w:r>
        <w:rPr>
          <w:rFonts w:ascii="Times New Roman" w:eastAsia="AngsanaUPC" w:hAnsi="Times New Roman"/>
          <w:bCs/>
          <w:sz w:val="24"/>
          <w:szCs w:val="24"/>
          <w:lang w:eastAsia="lt-LT"/>
        </w:rPr>
        <w:t>N</w:t>
      </w:r>
      <w:r w:rsidR="00E47CAB">
        <w:rPr>
          <w:rFonts w:ascii="Times New Roman" w:eastAsia="AngsanaUPC" w:hAnsi="Times New Roman"/>
          <w:bCs/>
          <w:sz w:val="24"/>
          <w:szCs w:val="24"/>
          <w:lang w:eastAsia="lt-LT"/>
        </w:rPr>
        <w:t>etaikoma.</w:t>
      </w:r>
    </w:p>
    <w:p w:rsidR="00CA49D4" w:rsidRPr="00D543ED" w:rsidRDefault="00CA49D4" w:rsidP="008C22CB">
      <w:pPr>
        <w:widowControl w:val="0"/>
        <w:tabs>
          <w:tab w:val="left" w:pos="622"/>
        </w:tabs>
        <w:spacing w:after="0" w:line="240" w:lineRule="auto"/>
        <w:ind w:firstLine="624"/>
        <w:jc w:val="both"/>
        <w:rPr>
          <w:rFonts w:ascii="Times New Roman" w:eastAsia="AngsanaUPC" w:hAnsi="Times New Roman"/>
          <w:bCs/>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7"/>
      </w:tblGrid>
      <w:tr w:rsidR="004D66BA" w:rsidRPr="008A5800" w:rsidTr="00D85A72">
        <w:trPr>
          <w:trHeight w:val="832"/>
        </w:trPr>
        <w:tc>
          <w:tcPr>
            <w:tcW w:w="9797" w:type="dxa"/>
            <w:shd w:val="clear" w:color="auto" w:fill="C6D9F1"/>
            <w:vAlign w:val="center"/>
          </w:tcPr>
          <w:p w:rsidR="004D66BA" w:rsidRPr="00372DA9" w:rsidRDefault="00E47CAB" w:rsidP="008C6EA9">
            <w:pPr>
              <w:pStyle w:val="Antrat1"/>
              <w:rPr>
                <w:rFonts w:eastAsia="AngsanaUPC"/>
                <w:lang w:val="lt-LT"/>
              </w:rPr>
            </w:pPr>
            <w:bookmarkStart w:id="25" w:name="_Toc69836238"/>
            <w:r w:rsidRPr="00372DA9">
              <w:rPr>
                <w:rFonts w:eastAsia="AngsanaUPC"/>
                <w:lang w:val="lt-LT"/>
              </w:rPr>
              <w:t>7</w:t>
            </w:r>
            <w:r w:rsidR="004D66BA" w:rsidRPr="00372DA9">
              <w:rPr>
                <w:rFonts w:eastAsia="AngsanaUPC"/>
                <w:lang w:val="lt-LT"/>
              </w:rPr>
              <w:t>. SK</w:t>
            </w:r>
            <w:r w:rsidR="008C6EA9">
              <w:rPr>
                <w:rFonts w:eastAsia="AngsanaUPC"/>
                <w:lang w:val="lt-LT"/>
              </w:rPr>
              <w:t>IRSNIS</w:t>
            </w:r>
            <w:r w:rsidR="004D66BA" w:rsidRPr="00372DA9">
              <w:rPr>
                <w:rFonts w:eastAsia="AngsanaUPC"/>
                <w:lang w:val="lt-LT"/>
              </w:rPr>
              <w:t>. UŽ VALDYMĄ, KONTROLĘ IR AUDITĄ ATSAKINGOS INSTITUCIJOS IR BENDRADARBIAVIMAS SU ATITINKAMAIS PARTNERIAIS</w:t>
            </w:r>
            <w:bookmarkEnd w:id="25"/>
          </w:p>
        </w:tc>
      </w:tr>
    </w:tbl>
    <w:p w:rsidR="008C4FE1" w:rsidRPr="008C4FE1" w:rsidRDefault="008C4FE1" w:rsidP="008C4FE1">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7"/>
      </w:tblGrid>
      <w:tr w:rsidR="00AE05E1" w:rsidRPr="00066B50" w:rsidTr="00F31FBD">
        <w:trPr>
          <w:trHeight w:val="396"/>
        </w:trPr>
        <w:tc>
          <w:tcPr>
            <w:tcW w:w="9797" w:type="dxa"/>
            <w:shd w:val="clear" w:color="auto" w:fill="C6D9F1"/>
            <w:vAlign w:val="center"/>
          </w:tcPr>
          <w:p w:rsidR="00AE05E1" w:rsidRPr="00066B50" w:rsidRDefault="00E47CAB" w:rsidP="00066B50">
            <w:pPr>
              <w:spacing w:after="0" w:line="240" w:lineRule="auto"/>
              <w:rPr>
                <w:rFonts w:ascii="Times New Roman" w:hAnsi="Times New Roman"/>
                <w:b/>
                <w:sz w:val="24"/>
                <w:szCs w:val="24"/>
              </w:rPr>
            </w:pPr>
            <w:r>
              <w:rPr>
                <w:rFonts w:ascii="Times New Roman" w:hAnsi="Times New Roman"/>
                <w:b/>
                <w:sz w:val="24"/>
                <w:szCs w:val="24"/>
              </w:rPr>
              <w:t>7</w:t>
            </w:r>
            <w:r w:rsidR="00AE05E1" w:rsidRPr="00066B50">
              <w:rPr>
                <w:rFonts w:ascii="Times New Roman" w:hAnsi="Times New Roman"/>
                <w:b/>
                <w:sz w:val="24"/>
                <w:szCs w:val="24"/>
              </w:rPr>
              <w:t>.1. Atsakingų institucijų nustatymas</w:t>
            </w:r>
          </w:p>
        </w:tc>
      </w:tr>
    </w:tbl>
    <w:p w:rsidR="00AE05E1" w:rsidRPr="002822D7" w:rsidRDefault="00AE05E1" w:rsidP="002822D7">
      <w:pPr>
        <w:widowControl w:val="0"/>
        <w:tabs>
          <w:tab w:val="left" w:pos="622"/>
        </w:tabs>
        <w:spacing w:after="0" w:line="240" w:lineRule="auto"/>
        <w:jc w:val="both"/>
        <w:rPr>
          <w:rFonts w:ascii="Times New Roman" w:eastAsia="AngsanaUPC" w:hAnsi="Times New Roman"/>
          <w:bCs/>
          <w:sz w:val="24"/>
          <w:szCs w:val="24"/>
          <w:lang w:eastAsia="lt-LT"/>
        </w:rPr>
      </w:pPr>
    </w:p>
    <w:p w:rsidR="00AE05E1" w:rsidRPr="006539D0" w:rsidRDefault="006539D0" w:rsidP="00AE05E1">
      <w:pPr>
        <w:widowControl w:val="0"/>
        <w:tabs>
          <w:tab w:val="left" w:pos="622"/>
        </w:tabs>
        <w:spacing w:after="120" w:line="240" w:lineRule="auto"/>
        <w:ind w:right="119"/>
        <w:jc w:val="both"/>
        <w:rPr>
          <w:rFonts w:ascii="Times New Roman" w:eastAsia="AngsanaUPC" w:hAnsi="Times New Roman"/>
          <w:b/>
          <w:bCs/>
          <w:szCs w:val="24"/>
          <w:lang w:eastAsia="lt-LT"/>
        </w:rPr>
      </w:pPr>
      <w:r w:rsidRPr="006539D0">
        <w:rPr>
          <w:rFonts w:ascii="Times New Roman" w:eastAsia="AngsanaUPC" w:hAnsi="Times New Roman"/>
          <w:b/>
          <w:bCs/>
          <w:szCs w:val="24"/>
          <w:lang w:eastAsia="lt-LT"/>
        </w:rPr>
        <w:t>10</w:t>
      </w:r>
      <w:r w:rsidR="00AE05E1" w:rsidRPr="006539D0">
        <w:rPr>
          <w:rFonts w:ascii="Times New Roman" w:eastAsia="AngsanaUPC" w:hAnsi="Times New Roman"/>
          <w:b/>
          <w:bCs/>
          <w:szCs w:val="24"/>
          <w:lang w:eastAsia="lt-LT"/>
        </w:rPr>
        <w:t xml:space="preserve"> lentelė. </w:t>
      </w:r>
      <w:r w:rsidR="00AE05E1" w:rsidRPr="006539D0">
        <w:rPr>
          <w:rFonts w:ascii="Times New Roman" w:eastAsia="AngsanaUPC" w:hAnsi="Times New Roman"/>
          <w:bCs/>
          <w:szCs w:val="24"/>
          <w:lang w:eastAsia="lt-LT"/>
        </w:rPr>
        <w:t>Atsakingos insti</w:t>
      </w:r>
      <w:r w:rsidRPr="006539D0">
        <w:rPr>
          <w:rFonts w:ascii="Times New Roman" w:eastAsia="AngsanaUPC" w:hAnsi="Times New Roman"/>
          <w:bCs/>
          <w:szCs w:val="24"/>
          <w:lang w:eastAsia="lt-LT"/>
        </w:rPr>
        <w:t>tucijos ir kontaktiniai asmenys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7"/>
        <w:gridCol w:w="3265"/>
        <w:gridCol w:w="3265"/>
      </w:tblGrid>
      <w:tr w:rsidR="00AE05E1" w:rsidRPr="006539D0" w:rsidTr="00F31FBD">
        <w:tc>
          <w:tcPr>
            <w:tcW w:w="3284" w:type="dxa"/>
            <w:shd w:val="clear" w:color="auto" w:fill="EEECE1"/>
            <w:vAlign w:val="center"/>
          </w:tcPr>
          <w:p w:rsidR="00AE05E1" w:rsidRPr="006539D0" w:rsidRDefault="00AE05E1" w:rsidP="00F31FBD">
            <w:pPr>
              <w:widowControl w:val="0"/>
              <w:tabs>
                <w:tab w:val="left" w:pos="622"/>
              </w:tabs>
              <w:spacing w:after="0" w:line="240" w:lineRule="auto"/>
              <w:ind w:right="119"/>
              <w:jc w:val="center"/>
              <w:rPr>
                <w:rFonts w:ascii="Times New Roman" w:eastAsia="AngsanaUPC" w:hAnsi="Times New Roman"/>
                <w:b/>
                <w:bCs/>
                <w:szCs w:val="24"/>
                <w:lang w:eastAsia="lt-LT"/>
              </w:rPr>
            </w:pPr>
            <w:r w:rsidRPr="006539D0">
              <w:rPr>
                <w:rFonts w:ascii="Times New Roman" w:eastAsia="AngsanaUPC" w:hAnsi="Times New Roman"/>
                <w:b/>
                <w:bCs/>
                <w:szCs w:val="24"/>
                <w:lang w:eastAsia="lt-LT"/>
              </w:rPr>
              <w:t>Institucija</w:t>
            </w:r>
          </w:p>
        </w:tc>
        <w:tc>
          <w:tcPr>
            <w:tcW w:w="3285" w:type="dxa"/>
            <w:shd w:val="clear" w:color="auto" w:fill="EEECE1"/>
            <w:vAlign w:val="center"/>
          </w:tcPr>
          <w:p w:rsidR="00AE05E1" w:rsidRPr="006539D0" w:rsidRDefault="00CD7F1C" w:rsidP="00F31FBD">
            <w:pPr>
              <w:widowControl w:val="0"/>
              <w:tabs>
                <w:tab w:val="left" w:pos="622"/>
              </w:tabs>
              <w:spacing w:after="0" w:line="240" w:lineRule="auto"/>
              <w:ind w:right="119"/>
              <w:jc w:val="center"/>
              <w:rPr>
                <w:rFonts w:ascii="Times New Roman" w:eastAsia="AngsanaUPC" w:hAnsi="Times New Roman"/>
                <w:b/>
                <w:bCs/>
                <w:szCs w:val="24"/>
                <w:lang w:eastAsia="lt-LT"/>
              </w:rPr>
            </w:pPr>
            <w:r>
              <w:rPr>
                <w:rFonts w:ascii="Times New Roman" w:eastAsia="AngsanaUPC" w:hAnsi="Times New Roman"/>
                <w:b/>
                <w:bCs/>
                <w:szCs w:val="24"/>
                <w:lang w:eastAsia="lt-LT"/>
              </w:rPr>
              <w:t>Institucijos</w:t>
            </w:r>
            <w:r w:rsidR="00EB4EF5">
              <w:rPr>
                <w:rFonts w:ascii="Times New Roman" w:eastAsia="AngsanaUPC" w:hAnsi="Times New Roman"/>
                <w:b/>
                <w:bCs/>
                <w:szCs w:val="24"/>
                <w:lang w:eastAsia="lt-LT"/>
              </w:rPr>
              <w:t xml:space="preserve"> </w:t>
            </w:r>
            <w:r>
              <w:rPr>
                <w:rFonts w:ascii="Times New Roman" w:eastAsia="AngsanaUPC" w:hAnsi="Times New Roman"/>
                <w:b/>
                <w:bCs/>
                <w:szCs w:val="24"/>
                <w:lang w:eastAsia="lt-LT"/>
              </w:rPr>
              <w:t>/</w:t>
            </w:r>
            <w:r w:rsidR="00EB4EF5">
              <w:rPr>
                <w:rFonts w:ascii="Times New Roman" w:eastAsia="AngsanaUPC" w:hAnsi="Times New Roman"/>
                <w:b/>
                <w:bCs/>
                <w:szCs w:val="24"/>
                <w:lang w:eastAsia="lt-LT"/>
              </w:rPr>
              <w:t xml:space="preserve"> </w:t>
            </w:r>
            <w:r w:rsidR="00AE05E1" w:rsidRPr="006539D0">
              <w:rPr>
                <w:rFonts w:ascii="Times New Roman" w:eastAsia="AngsanaUPC" w:hAnsi="Times New Roman"/>
                <w:b/>
                <w:bCs/>
                <w:szCs w:val="24"/>
                <w:lang w:eastAsia="lt-LT"/>
              </w:rPr>
              <w:t>padalinio pavadinimas</w:t>
            </w:r>
          </w:p>
        </w:tc>
        <w:tc>
          <w:tcPr>
            <w:tcW w:w="3285" w:type="dxa"/>
            <w:shd w:val="clear" w:color="auto" w:fill="EEECE1"/>
            <w:vAlign w:val="center"/>
          </w:tcPr>
          <w:p w:rsidR="00AE05E1" w:rsidRPr="006539D0" w:rsidRDefault="00CD7F1C" w:rsidP="00F31FBD">
            <w:pPr>
              <w:widowControl w:val="0"/>
              <w:tabs>
                <w:tab w:val="left" w:pos="622"/>
              </w:tabs>
              <w:spacing w:after="0" w:line="240" w:lineRule="auto"/>
              <w:ind w:right="119"/>
              <w:jc w:val="center"/>
              <w:rPr>
                <w:rFonts w:ascii="Times New Roman" w:eastAsia="AngsanaUPC" w:hAnsi="Times New Roman"/>
                <w:b/>
                <w:bCs/>
                <w:szCs w:val="24"/>
                <w:lang w:eastAsia="lt-LT"/>
              </w:rPr>
            </w:pPr>
            <w:r>
              <w:rPr>
                <w:rFonts w:ascii="Times New Roman" w:eastAsia="AngsanaUPC" w:hAnsi="Times New Roman"/>
                <w:b/>
                <w:bCs/>
                <w:szCs w:val="24"/>
                <w:lang w:eastAsia="lt-LT"/>
              </w:rPr>
              <w:t>Institucijos</w:t>
            </w:r>
            <w:r w:rsidR="00EB4EF5">
              <w:rPr>
                <w:rFonts w:ascii="Times New Roman" w:eastAsia="AngsanaUPC" w:hAnsi="Times New Roman"/>
                <w:b/>
                <w:bCs/>
                <w:szCs w:val="24"/>
                <w:lang w:eastAsia="lt-LT"/>
              </w:rPr>
              <w:t xml:space="preserve"> </w:t>
            </w:r>
            <w:r>
              <w:rPr>
                <w:rFonts w:ascii="Times New Roman" w:eastAsia="AngsanaUPC" w:hAnsi="Times New Roman"/>
                <w:b/>
                <w:bCs/>
                <w:szCs w:val="24"/>
                <w:lang w:eastAsia="lt-LT"/>
              </w:rPr>
              <w:t>/</w:t>
            </w:r>
            <w:r w:rsidR="00EB4EF5">
              <w:rPr>
                <w:rFonts w:ascii="Times New Roman" w:eastAsia="AngsanaUPC" w:hAnsi="Times New Roman"/>
                <w:b/>
                <w:bCs/>
                <w:szCs w:val="24"/>
                <w:lang w:eastAsia="lt-LT"/>
              </w:rPr>
              <w:t xml:space="preserve"> </w:t>
            </w:r>
            <w:r w:rsidR="00AE05E1" w:rsidRPr="006539D0">
              <w:rPr>
                <w:rFonts w:ascii="Times New Roman" w:eastAsia="AngsanaUPC" w:hAnsi="Times New Roman"/>
                <w:b/>
                <w:bCs/>
                <w:szCs w:val="24"/>
                <w:lang w:eastAsia="lt-LT"/>
              </w:rPr>
              <w:t>padalinio vadovas</w:t>
            </w:r>
          </w:p>
        </w:tc>
      </w:tr>
      <w:tr w:rsidR="00AE05E1" w:rsidRPr="006539D0" w:rsidTr="008A5800">
        <w:tc>
          <w:tcPr>
            <w:tcW w:w="3284" w:type="dxa"/>
            <w:shd w:val="clear" w:color="auto" w:fill="auto"/>
            <w:vAlign w:val="center"/>
          </w:tcPr>
          <w:p w:rsidR="00AE05E1" w:rsidRPr="006539D0" w:rsidRDefault="00AE05E1" w:rsidP="008A5800">
            <w:pPr>
              <w:widowControl w:val="0"/>
              <w:spacing w:after="0" w:line="280" w:lineRule="exact"/>
              <w:rPr>
                <w:rFonts w:ascii="Times New Roman" w:eastAsia="AngsanaUPC" w:hAnsi="Times New Roman"/>
                <w:b/>
                <w:bCs/>
                <w:szCs w:val="24"/>
                <w:lang w:eastAsia="lt-LT"/>
              </w:rPr>
            </w:pPr>
            <w:r w:rsidRPr="006539D0">
              <w:rPr>
                <w:rFonts w:ascii="Times New Roman" w:eastAsia="AngsanaUPC" w:hAnsi="Times New Roman"/>
                <w:b/>
                <w:bCs/>
                <w:color w:val="000000"/>
                <w:szCs w:val="24"/>
                <w:lang w:bidi="en-US"/>
              </w:rPr>
              <w:t>Vadovaujančioji institucija</w:t>
            </w:r>
          </w:p>
        </w:tc>
        <w:tc>
          <w:tcPr>
            <w:tcW w:w="3285" w:type="dxa"/>
            <w:shd w:val="clear" w:color="auto" w:fill="auto"/>
          </w:tcPr>
          <w:p w:rsidR="00AE05E1" w:rsidRPr="00D54F90" w:rsidRDefault="00AE05E1" w:rsidP="00FA5D33">
            <w:pPr>
              <w:widowControl w:val="0"/>
              <w:spacing w:after="0" w:line="240" w:lineRule="auto"/>
              <w:rPr>
                <w:rFonts w:ascii="Times New Roman" w:eastAsia="Courier New" w:hAnsi="Times New Roman"/>
                <w:color w:val="000000"/>
                <w:szCs w:val="24"/>
                <w:lang w:bidi="en-US"/>
              </w:rPr>
            </w:pPr>
            <w:r w:rsidRPr="00D54F90">
              <w:rPr>
                <w:rFonts w:ascii="Times New Roman" w:eastAsia="Courier New" w:hAnsi="Times New Roman"/>
                <w:color w:val="000000"/>
                <w:szCs w:val="24"/>
                <w:lang w:bidi="en-US"/>
              </w:rPr>
              <w:t xml:space="preserve">Finansų ministerijos </w:t>
            </w:r>
            <w:r w:rsidR="00FA5D33" w:rsidRPr="00D54F90">
              <w:rPr>
                <w:rFonts w:ascii="Times New Roman" w:eastAsia="Courier New" w:hAnsi="Times New Roman"/>
                <w:color w:val="000000"/>
                <w:szCs w:val="24"/>
                <w:lang w:bidi="en-US"/>
              </w:rPr>
              <w:t>Investicijų</w:t>
            </w:r>
            <w:r w:rsidRPr="00D54F90">
              <w:rPr>
                <w:rFonts w:ascii="Times New Roman" w:eastAsia="Courier New" w:hAnsi="Times New Roman"/>
                <w:color w:val="000000"/>
                <w:szCs w:val="24"/>
                <w:lang w:bidi="en-US"/>
              </w:rPr>
              <w:t xml:space="preserve"> departamentas</w:t>
            </w:r>
          </w:p>
        </w:tc>
        <w:tc>
          <w:tcPr>
            <w:tcW w:w="3285" w:type="dxa"/>
            <w:shd w:val="clear" w:color="auto" w:fill="auto"/>
            <w:vAlign w:val="center"/>
          </w:tcPr>
          <w:p w:rsidR="00716A74" w:rsidRPr="009F5AEA" w:rsidRDefault="00AE05E1" w:rsidP="00716A74">
            <w:pPr>
              <w:widowControl w:val="0"/>
              <w:spacing w:after="0" w:line="240" w:lineRule="auto"/>
              <w:jc w:val="center"/>
              <w:rPr>
                <w:rFonts w:ascii="Times New Roman" w:eastAsia="Courier New" w:hAnsi="Times New Roman"/>
                <w:color w:val="000000"/>
                <w:szCs w:val="24"/>
                <w:lang w:bidi="en-US"/>
              </w:rPr>
            </w:pPr>
            <w:r w:rsidRPr="009F5AEA">
              <w:rPr>
                <w:rFonts w:ascii="Times New Roman" w:eastAsia="Courier New" w:hAnsi="Times New Roman"/>
                <w:color w:val="000000"/>
                <w:szCs w:val="24"/>
                <w:lang w:bidi="en-US"/>
              </w:rPr>
              <w:t>Departamento direktor</w:t>
            </w:r>
            <w:r w:rsidR="00FA5D33" w:rsidRPr="009F5AEA">
              <w:rPr>
                <w:rFonts w:ascii="Times New Roman" w:eastAsia="Courier New" w:hAnsi="Times New Roman"/>
                <w:color w:val="000000"/>
                <w:szCs w:val="24"/>
                <w:lang w:bidi="en-US"/>
              </w:rPr>
              <w:t>ius</w:t>
            </w:r>
          </w:p>
          <w:p w:rsidR="00AE05E1" w:rsidRPr="00D54F90" w:rsidRDefault="00EB4EF5" w:rsidP="00716A74">
            <w:pPr>
              <w:widowControl w:val="0"/>
              <w:spacing w:after="0" w:line="240" w:lineRule="auto"/>
              <w:jc w:val="center"/>
              <w:rPr>
                <w:rFonts w:ascii="Times New Roman" w:eastAsia="Courier New" w:hAnsi="Times New Roman"/>
                <w:color w:val="000000"/>
                <w:szCs w:val="24"/>
                <w:lang w:bidi="en-US"/>
              </w:rPr>
            </w:pPr>
            <w:r w:rsidRPr="009F5AEA">
              <w:rPr>
                <w:rFonts w:ascii="Times New Roman" w:eastAsia="Courier New" w:hAnsi="Times New Roman"/>
                <w:color w:val="000000"/>
                <w:szCs w:val="24"/>
                <w:lang w:bidi="en-US"/>
              </w:rPr>
              <w:t>Paulius Baniūnas</w:t>
            </w:r>
          </w:p>
        </w:tc>
      </w:tr>
      <w:tr w:rsidR="00AE05E1" w:rsidRPr="006539D0" w:rsidTr="008A5800">
        <w:tc>
          <w:tcPr>
            <w:tcW w:w="3284" w:type="dxa"/>
            <w:shd w:val="clear" w:color="auto" w:fill="auto"/>
            <w:vAlign w:val="center"/>
          </w:tcPr>
          <w:p w:rsidR="00AE05E1" w:rsidRPr="006539D0" w:rsidRDefault="00AE05E1" w:rsidP="008A5800">
            <w:pPr>
              <w:widowControl w:val="0"/>
              <w:spacing w:after="0" w:line="235" w:lineRule="exact"/>
              <w:rPr>
                <w:rFonts w:ascii="Times New Roman" w:eastAsia="AngsanaUPC" w:hAnsi="Times New Roman"/>
                <w:b/>
                <w:bCs/>
                <w:szCs w:val="24"/>
                <w:lang w:eastAsia="lt-LT"/>
              </w:rPr>
            </w:pPr>
            <w:r w:rsidRPr="006539D0">
              <w:rPr>
                <w:rFonts w:ascii="Times New Roman" w:eastAsia="AngsanaUPC" w:hAnsi="Times New Roman"/>
                <w:b/>
                <w:bCs/>
                <w:color w:val="000000"/>
                <w:szCs w:val="24"/>
                <w:lang w:bidi="en-US"/>
              </w:rPr>
              <w:t>Tvirtinančioji institucija</w:t>
            </w:r>
          </w:p>
        </w:tc>
        <w:tc>
          <w:tcPr>
            <w:tcW w:w="3285" w:type="dxa"/>
            <w:shd w:val="clear" w:color="auto" w:fill="auto"/>
          </w:tcPr>
          <w:p w:rsidR="00AE05E1" w:rsidRPr="00D54F90" w:rsidRDefault="00AE05E1" w:rsidP="00FA5D33">
            <w:pPr>
              <w:widowControl w:val="0"/>
              <w:spacing w:after="0" w:line="240" w:lineRule="auto"/>
              <w:rPr>
                <w:rFonts w:ascii="Times New Roman" w:eastAsia="Courier New" w:hAnsi="Times New Roman"/>
                <w:color w:val="000000"/>
                <w:szCs w:val="24"/>
                <w:lang w:bidi="en-US"/>
              </w:rPr>
            </w:pPr>
            <w:r w:rsidRPr="00D54F90">
              <w:rPr>
                <w:rFonts w:ascii="Times New Roman" w:eastAsia="Courier New" w:hAnsi="Times New Roman"/>
                <w:color w:val="000000"/>
                <w:szCs w:val="24"/>
                <w:lang w:bidi="en-US"/>
              </w:rPr>
              <w:t xml:space="preserve">Finansų ministerijos </w:t>
            </w:r>
            <w:r w:rsidR="00FA5D33" w:rsidRPr="00D54F90">
              <w:rPr>
                <w:rFonts w:ascii="Times New Roman" w:eastAsia="Courier New" w:hAnsi="Times New Roman"/>
                <w:color w:val="000000"/>
                <w:szCs w:val="24"/>
                <w:lang w:bidi="en-US"/>
              </w:rPr>
              <w:t>Išlaidų investicijoms deklaravimo departamentas</w:t>
            </w:r>
          </w:p>
        </w:tc>
        <w:tc>
          <w:tcPr>
            <w:tcW w:w="3285" w:type="dxa"/>
            <w:shd w:val="clear" w:color="auto" w:fill="auto"/>
            <w:vAlign w:val="center"/>
          </w:tcPr>
          <w:p w:rsidR="00716A74" w:rsidRPr="00D54F90" w:rsidRDefault="00AE05E1" w:rsidP="00716A74">
            <w:pPr>
              <w:widowControl w:val="0"/>
              <w:spacing w:after="0" w:line="240" w:lineRule="auto"/>
              <w:jc w:val="center"/>
              <w:rPr>
                <w:rFonts w:ascii="Times New Roman" w:eastAsia="Courier New" w:hAnsi="Times New Roman"/>
                <w:color w:val="000000"/>
                <w:szCs w:val="24"/>
                <w:lang w:bidi="en-US"/>
              </w:rPr>
            </w:pPr>
            <w:r w:rsidRPr="00D54F90">
              <w:rPr>
                <w:rFonts w:ascii="Times New Roman" w:eastAsia="Courier New" w:hAnsi="Times New Roman"/>
                <w:color w:val="000000"/>
                <w:szCs w:val="24"/>
                <w:lang w:bidi="en-US"/>
              </w:rPr>
              <w:t>Departamento direktor</w:t>
            </w:r>
            <w:r w:rsidR="00716A74" w:rsidRPr="00D54F90">
              <w:rPr>
                <w:rFonts w:ascii="Times New Roman" w:eastAsia="Courier New" w:hAnsi="Times New Roman"/>
                <w:color w:val="000000"/>
                <w:szCs w:val="24"/>
                <w:lang w:bidi="en-US"/>
              </w:rPr>
              <w:t>ė</w:t>
            </w:r>
          </w:p>
          <w:p w:rsidR="00AE05E1" w:rsidRPr="00D54F90" w:rsidRDefault="008C6EA9" w:rsidP="00716A74">
            <w:pPr>
              <w:widowControl w:val="0"/>
              <w:spacing w:after="0" w:line="240" w:lineRule="auto"/>
              <w:jc w:val="center"/>
              <w:rPr>
                <w:rFonts w:ascii="Times New Roman" w:eastAsia="Courier New" w:hAnsi="Times New Roman"/>
                <w:color w:val="000000"/>
                <w:szCs w:val="24"/>
                <w:lang w:bidi="en-US"/>
              </w:rPr>
            </w:pPr>
            <w:r w:rsidRPr="00D54F90">
              <w:rPr>
                <w:rFonts w:ascii="Times New Roman" w:eastAsia="Courier New" w:hAnsi="Times New Roman"/>
                <w:color w:val="000000"/>
                <w:szCs w:val="24"/>
                <w:lang w:bidi="en-US"/>
              </w:rPr>
              <w:t>Aušra Baliukonienė</w:t>
            </w:r>
          </w:p>
        </w:tc>
      </w:tr>
      <w:tr w:rsidR="00AE05E1" w:rsidRPr="006539D0" w:rsidTr="008A5800">
        <w:tc>
          <w:tcPr>
            <w:tcW w:w="3284" w:type="dxa"/>
            <w:shd w:val="clear" w:color="auto" w:fill="auto"/>
            <w:vAlign w:val="center"/>
          </w:tcPr>
          <w:p w:rsidR="00AE05E1" w:rsidRPr="006539D0" w:rsidRDefault="00AE05E1" w:rsidP="008A5800">
            <w:pPr>
              <w:widowControl w:val="0"/>
              <w:spacing w:after="0" w:line="280" w:lineRule="exact"/>
              <w:rPr>
                <w:rFonts w:ascii="Times New Roman" w:eastAsia="AngsanaUPC" w:hAnsi="Times New Roman"/>
                <w:b/>
                <w:bCs/>
                <w:szCs w:val="24"/>
                <w:lang w:eastAsia="lt-LT"/>
              </w:rPr>
            </w:pPr>
            <w:r w:rsidRPr="006539D0">
              <w:rPr>
                <w:rFonts w:ascii="Times New Roman" w:eastAsia="AngsanaUPC" w:hAnsi="Times New Roman"/>
                <w:b/>
                <w:bCs/>
                <w:color w:val="000000"/>
                <w:szCs w:val="24"/>
                <w:lang w:bidi="en-US"/>
              </w:rPr>
              <w:t>Audito institucija</w:t>
            </w:r>
          </w:p>
        </w:tc>
        <w:tc>
          <w:tcPr>
            <w:tcW w:w="3285" w:type="dxa"/>
            <w:shd w:val="clear" w:color="auto" w:fill="auto"/>
          </w:tcPr>
          <w:p w:rsidR="00AE05E1" w:rsidRPr="00D54F90" w:rsidRDefault="00AE05E1" w:rsidP="00F54C62">
            <w:pPr>
              <w:widowControl w:val="0"/>
              <w:spacing w:after="0" w:line="240" w:lineRule="auto"/>
              <w:rPr>
                <w:rFonts w:ascii="Times New Roman" w:eastAsia="Courier New" w:hAnsi="Times New Roman"/>
                <w:color w:val="000000"/>
                <w:szCs w:val="24"/>
                <w:lang w:bidi="en-US"/>
              </w:rPr>
            </w:pPr>
            <w:r w:rsidRPr="00D54F90">
              <w:rPr>
                <w:rFonts w:ascii="Times New Roman" w:eastAsia="Courier New" w:hAnsi="Times New Roman"/>
                <w:color w:val="000000"/>
                <w:szCs w:val="24"/>
                <w:lang w:bidi="en-US"/>
              </w:rPr>
              <w:t xml:space="preserve">Lietuvos Respublikos valstybės kontrolės </w:t>
            </w:r>
            <w:r w:rsidR="00F54C62" w:rsidRPr="00D54F90">
              <w:rPr>
                <w:rFonts w:ascii="Times New Roman" w:eastAsia="Courier New" w:hAnsi="Times New Roman"/>
                <w:color w:val="000000"/>
                <w:szCs w:val="24"/>
                <w:lang w:bidi="en-US"/>
              </w:rPr>
              <w:t>Europos Sąjungos investicijų audito</w:t>
            </w:r>
            <w:r w:rsidRPr="00D54F90">
              <w:rPr>
                <w:rFonts w:ascii="Times New Roman" w:eastAsia="Courier New" w:hAnsi="Times New Roman"/>
                <w:color w:val="000000"/>
                <w:szCs w:val="24"/>
                <w:lang w:bidi="en-US"/>
              </w:rPr>
              <w:t xml:space="preserve"> departamentas</w:t>
            </w:r>
          </w:p>
        </w:tc>
        <w:tc>
          <w:tcPr>
            <w:tcW w:w="3285" w:type="dxa"/>
            <w:shd w:val="clear" w:color="auto" w:fill="auto"/>
            <w:vAlign w:val="center"/>
          </w:tcPr>
          <w:p w:rsidR="00716A74" w:rsidRPr="00D54F90" w:rsidRDefault="00716A74" w:rsidP="00716A74">
            <w:pPr>
              <w:widowControl w:val="0"/>
              <w:spacing w:after="0" w:line="240" w:lineRule="auto"/>
              <w:jc w:val="center"/>
              <w:rPr>
                <w:rFonts w:ascii="Times New Roman" w:eastAsia="Courier New" w:hAnsi="Times New Roman"/>
                <w:color w:val="000000"/>
                <w:szCs w:val="24"/>
                <w:lang w:bidi="en-US"/>
              </w:rPr>
            </w:pPr>
            <w:r w:rsidRPr="00D54F90">
              <w:rPr>
                <w:rFonts w:ascii="Times New Roman" w:eastAsia="Courier New" w:hAnsi="Times New Roman"/>
                <w:color w:val="000000"/>
                <w:szCs w:val="24"/>
                <w:lang w:bidi="en-US"/>
              </w:rPr>
              <w:t>Departamento direktorius</w:t>
            </w:r>
          </w:p>
          <w:p w:rsidR="00AE05E1" w:rsidRPr="00D54F90" w:rsidRDefault="008C6EA9" w:rsidP="00F54C62">
            <w:pPr>
              <w:widowControl w:val="0"/>
              <w:spacing w:after="0" w:line="240" w:lineRule="auto"/>
              <w:jc w:val="center"/>
              <w:rPr>
                <w:rFonts w:ascii="Times New Roman" w:eastAsia="Courier New" w:hAnsi="Times New Roman"/>
                <w:color w:val="000000"/>
                <w:szCs w:val="24"/>
                <w:lang w:bidi="en-US"/>
              </w:rPr>
            </w:pPr>
            <w:r w:rsidRPr="00D54F90">
              <w:rPr>
                <w:rFonts w:ascii="Times New Roman" w:eastAsia="Courier New" w:hAnsi="Times New Roman"/>
                <w:color w:val="000000"/>
                <w:szCs w:val="24"/>
                <w:lang w:bidi="en-US"/>
              </w:rPr>
              <w:t xml:space="preserve">Arūnas </w:t>
            </w:r>
            <w:r w:rsidR="00F54C62" w:rsidRPr="00D54F90">
              <w:rPr>
                <w:rFonts w:ascii="Times New Roman" w:eastAsia="Courier New" w:hAnsi="Times New Roman"/>
                <w:color w:val="000000"/>
                <w:szCs w:val="24"/>
                <w:lang w:bidi="en-US"/>
              </w:rPr>
              <w:t>Siniauskas</w:t>
            </w:r>
          </w:p>
        </w:tc>
      </w:tr>
      <w:tr w:rsidR="00AE05E1" w:rsidRPr="006539D0" w:rsidTr="008A5800">
        <w:tc>
          <w:tcPr>
            <w:tcW w:w="3284" w:type="dxa"/>
            <w:shd w:val="clear" w:color="auto" w:fill="auto"/>
            <w:vAlign w:val="center"/>
          </w:tcPr>
          <w:p w:rsidR="00AE05E1" w:rsidRPr="006539D0" w:rsidRDefault="00372448" w:rsidP="008A5800">
            <w:pPr>
              <w:widowControl w:val="0"/>
              <w:spacing w:after="0" w:line="235" w:lineRule="exact"/>
              <w:rPr>
                <w:rFonts w:ascii="Times New Roman" w:eastAsia="AngsanaUPC" w:hAnsi="Times New Roman"/>
                <w:b/>
                <w:bCs/>
                <w:szCs w:val="24"/>
                <w:lang w:eastAsia="lt-LT"/>
              </w:rPr>
            </w:pPr>
            <w:r>
              <w:rPr>
                <w:rFonts w:ascii="Times New Roman" w:eastAsia="AngsanaUPC" w:hAnsi="Times New Roman"/>
                <w:b/>
                <w:bCs/>
                <w:color w:val="000000"/>
                <w:szCs w:val="24"/>
                <w:lang w:bidi="en-US"/>
              </w:rPr>
              <w:t>Mokėjimo institucija</w:t>
            </w:r>
          </w:p>
        </w:tc>
        <w:tc>
          <w:tcPr>
            <w:tcW w:w="3285" w:type="dxa"/>
            <w:shd w:val="clear" w:color="auto" w:fill="auto"/>
          </w:tcPr>
          <w:p w:rsidR="00AE05E1" w:rsidRPr="00D54F90" w:rsidRDefault="00AE05E1" w:rsidP="00F31FBD">
            <w:pPr>
              <w:widowControl w:val="0"/>
              <w:spacing w:after="0" w:line="240" w:lineRule="auto"/>
              <w:rPr>
                <w:rFonts w:ascii="Times New Roman" w:eastAsia="Courier New" w:hAnsi="Times New Roman"/>
                <w:color w:val="000000"/>
                <w:szCs w:val="24"/>
                <w:lang w:bidi="en-US"/>
              </w:rPr>
            </w:pPr>
            <w:r w:rsidRPr="00D54F90">
              <w:rPr>
                <w:rFonts w:ascii="Times New Roman" w:eastAsia="Courier New" w:hAnsi="Times New Roman"/>
                <w:color w:val="000000"/>
                <w:szCs w:val="24"/>
                <w:lang w:bidi="en-US"/>
              </w:rPr>
              <w:t>Finansų ministerij</w:t>
            </w:r>
            <w:r w:rsidR="00FA5D33" w:rsidRPr="00D54F90">
              <w:rPr>
                <w:rFonts w:ascii="Times New Roman" w:eastAsia="Courier New" w:hAnsi="Times New Roman"/>
                <w:color w:val="000000"/>
                <w:szCs w:val="24"/>
                <w:lang w:bidi="en-US"/>
              </w:rPr>
              <w:t>os Valstybės iždo departamentas</w:t>
            </w:r>
          </w:p>
        </w:tc>
        <w:tc>
          <w:tcPr>
            <w:tcW w:w="3285" w:type="dxa"/>
            <w:shd w:val="clear" w:color="auto" w:fill="auto"/>
            <w:vAlign w:val="center"/>
          </w:tcPr>
          <w:p w:rsidR="00716A74" w:rsidRPr="00D54F90" w:rsidRDefault="00AE05E1" w:rsidP="00716A74">
            <w:pPr>
              <w:widowControl w:val="0"/>
              <w:spacing w:after="0" w:line="240" w:lineRule="auto"/>
              <w:jc w:val="center"/>
              <w:rPr>
                <w:rFonts w:ascii="Times New Roman" w:eastAsia="Courier New" w:hAnsi="Times New Roman"/>
                <w:color w:val="000000"/>
                <w:szCs w:val="24"/>
                <w:lang w:bidi="en-US"/>
              </w:rPr>
            </w:pPr>
            <w:r w:rsidRPr="00D54F90">
              <w:rPr>
                <w:rFonts w:ascii="Times New Roman" w:eastAsia="Courier New" w:hAnsi="Times New Roman"/>
                <w:color w:val="000000"/>
                <w:szCs w:val="24"/>
                <w:lang w:bidi="en-US"/>
              </w:rPr>
              <w:t>Departamento direktorius</w:t>
            </w:r>
          </w:p>
          <w:p w:rsidR="00AE05E1" w:rsidRPr="00D54F90" w:rsidRDefault="00DB286E" w:rsidP="00716A74">
            <w:pPr>
              <w:widowControl w:val="0"/>
              <w:spacing w:after="0" w:line="240" w:lineRule="auto"/>
              <w:jc w:val="center"/>
              <w:rPr>
                <w:rFonts w:ascii="Times New Roman" w:eastAsia="Courier New" w:hAnsi="Times New Roman"/>
                <w:color w:val="000000"/>
                <w:szCs w:val="24"/>
                <w:lang w:bidi="en-US"/>
              </w:rPr>
            </w:pPr>
            <w:r w:rsidRPr="00D54F90">
              <w:rPr>
                <w:rFonts w:ascii="Times New Roman" w:eastAsia="Courier New" w:hAnsi="Times New Roman"/>
                <w:color w:val="000000"/>
                <w:szCs w:val="24"/>
                <w:lang w:bidi="en-US"/>
              </w:rPr>
              <w:t>Audrius Želionis</w:t>
            </w:r>
          </w:p>
        </w:tc>
      </w:tr>
    </w:tbl>
    <w:p w:rsidR="00AE05E1" w:rsidRDefault="00AE05E1" w:rsidP="00AE05E1">
      <w:pP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7"/>
      </w:tblGrid>
      <w:tr w:rsidR="00D11BC7" w:rsidRPr="00066B50" w:rsidTr="00716A74">
        <w:trPr>
          <w:trHeight w:val="416"/>
        </w:trPr>
        <w:tc>
          <w:tcPr>
            <w:tcW w:w="9797" w:type="dxa"/>
            <w:tcBorders>
              <w:bottom w:val="single" w:sz="4" w:space="0" w:color="auto"/>
            </w:tcBorders>
            <w:shd w:val="clear" w:color="auto" w:fill="C6D9F1"/>
            <w:vAlign w:val="center"/>
          </w:tcPr>
          <w:p w:rsidR="00D11BC7" w:rsidRPr="00066B50" w:rsidRDefault="00E47CAB" w:rsidP="00066B50">
            <w:pPr>
              <w:spacing w:after="0" w:line="240" w:lineRule="auto"/>
              <w:rPr>
                <w:rFonts w:ascii="Times New Roman" w:hAnsi="Times New Roman"/>
                <w:b/>
                <w:sz w:val="24"/>
              </w:rPr>
            </w:pPr>
            <w:r>
              <w:rPr>
                <w:rFonts w:ascii="Times New Roman" w:hAnsi="Times New Roman"/>
                <w:b/>
                <w:sz w:val="24"/>
              </w:rPr>
              <w:t>7</w:t>
            </w:r>
            <w:r w:rsidR="00D11BC7" w:rsidRPr="00066B50">
              <w:rPr>
                <w:rFonts w:ascii="Times New Roman" w:hAnsi="Times New Roman"/>
                <w:b/>
                <w:sz w:val="24"/>
              </w:rPr>
              <w:t>.2. Veiksmai, kurių buvo imtasi įtraukti atitinkamus partnerius į Veiksmų programos rengimą ir parnerių rolė dalyvaujant įgyvendinant, stebint ir vertinant veiksmų programą</w:t>
            </w:r>
          </w:p>
        </w:tc>
      </w:tr>
      <w:tr w:rsidR="00716A74" w:rsidRPr="00716A74" w:rsidTr="00716A74">
        <w:trPr>
          <w:trHeight w:val="416"/>
        </w:trPr>
        <w:tc>
          <w:tcPr>
            <w:tcW w:w="9797" w:type="dxa"/>
            <w:tcBorders>
              <w:left w:val="nil"/>
              <w:right w:val="nil"/>
            </w:tcBorders>
            <w:shd w:val="clear" w:color="auto" w:fill="auto"/>
            <w:vAlign w:val="center"/>
          </w:tcPr>
          <w:p w:rsidR="00716A74" w:rsidRPr="00716A74" w:rsidRDefault="00716A74" w:rsidP="00066B50">
            <w:pPr>
              <w:spacing w:after="0" w:line="240" w:lineRule="auto"/>
              <w:rPr>
                <w:rFonts w:ascii="Times New Roman" w:hAnsi="Times New Roman"/>
                <w:sz w:val="24"/>
              </w:rPr>
            </w:pPr>
          </w:p>
        </w:tc>
      </w:tr>
      <w:tr w:rsidR="00D11BC7" w:rsidRPr="004F35DD" w:rsidTr="00F31FBD">
        <w:trPr>
          <w:trHeight w:val="416"/>
        </w:trPr>
        <w:tc>
          <w:tcPr>
            <w:tcW w:w="9797" w:type="dxa"/>
            <w:shd w:val="clear" w:color="auto" w:fill="C6D9F1"/>
            <w:vAlign w:val="center"/>
          </w:tcPr>
          <w:p w:rsidR="00D11BC7" w:rsidRDefault="00E47CAB" w:rsidP="000273FF">
            <w:pPr>
              <w:spacing w:after="0"/>
              <w:jc w:val="both"/>
              <w:rPr>
                <w:rFonts w:ascii="Times New Roman" w:hAnsi="Times New Roman"/>
                <w:b/>
                <w:bCs/>
                <w:sz w:val="24"/>
                <w:szCs w:val="24"/>
              </w:rPr>
            </w:pPr>
            <w:r>
              <w:rPr>
                <w:rFonts w:ascii="Times New Roman" w:hAnsi="Times New Roman"/>
                <w:b/>
                <w:bCs/>
                <w:sz w:val="24"/>
                <w:szCs w:val="24"/>
              </w:rPr>
              <w:t>7</w:t>
            </w:r>
            <w:r w:rsidR="00D11BC7">
              <w:rPr>
                <w:rFonts w:ascii="Times New Roman" w:hAnsi="Times New Roman"/>
                <w:b/>
                <w:bCs/>
                <w:sz w:val="24"/>
                <w:szCs w:val="24"/>
              </w:rPr>
              <w:t xml:space="preserve">.2.1. </w:t>
            </w:r>
            <w:r w:rsidR="00D11BC7" w:rsidRPr="004F35DD">
              <w:rPr>
                <w:rFonts w:ascii="Times New Roman" w:hAnsi="Times New Roman"/>
                <w:b/>
                <w:bCs/>
                <w:sz w:val="24"/>
                <w:szCs w:val="24"/>
              </w:rPr>
              <w:t>Atitinkamų partnerių dalyvavimas įgyvendinant, stebin</w:t>
            </w:r>
            <w:r w:rsidR="00F805E9">
              <w:rPr>
                <w:rFonts w:ascii="Times New Roman" w:hAnsi="Times New Roman"/>
                <w:b/>
                <w:bCs/>
                <w:sz w:val="24"/>
                <w:szCs w:val="24"/>
              </w:rPr>
              <w:t>t ir vertinant veiksmų programą</w:t>
            </w:r>
          </w:p>
        </w:tc>
      </w:tr>
    </w:tbl>
    <w:p w:rsidR="00412BDB" w:rsidRDefault="00412BDB" w:rsidP="003E0F8A">
      <w:pPr>
        <w:spacing w:after="0" w:line="240" w:lineRule="auto"/>
        <w:ind w:firstLine="851"/>
        <w:jc w:val="both"/>
        <w:rPr>
          <w:rFonts w:ascii="Times New Roman" w:eastAsia="AngsanaUPC" w:hAnsi="Times New Roman"/>
          <w:bCs/>
          <w:sz w:val="24"/>
          <w:szCs w:val="24"/>
          <w:lang w:eastAsia="lt-LT"/>
        </w:rPr>
      </w:pPr>
    </w:p>
    <w:p w:rsidR="00412BDB" w:rsidRDefault="00412BDB" w:rsidP="003E0F8A">
      <w:pPr>
        <w:spacing w:after="0" w:line="240" w:lineRule="auto"/>
        <w:ind w:firstLine="851"/>
        <w:jc w:val="both"/>
        <w:rPr>
          <w:rFonts w:ascii="Times New Roman" w:eastAsia="AngsanaUPC" w:hAnsi="Times New Roman"/>
          <w:bCs/>
          <w:sz w:val="24"/>
          <w:szCs w:val="24"/>
          <w:lang w:eastAsia="lt-LT"/>
        </w:rPr>
      </w:pPr>
      <w:r w:rsidRPr="003808EB">
        <w:rPr>
          <w:rFonts w:ascii="Times New Roman" w:hAnsi="Times New Roman"/>
          <w:sz w:val="24"/>
          <w:szCs w:val="24"/>
        </w:rPr>
        <w:t>Rengiantis 2014–2020 m. programavimo laikotarpiui, partnerių suinteresuotumas dalyvauti pasirengimo ir įgyvendinimo procese didėj</w:t>
      </w:r>
      <w:r>
        <w:rPr>
          <w:rFonts w:ascii="Times New Roman" w:hAnsi="Times New Roman"/>
          <w:sz w:val="24"/>
          <w:szCs w:val="24"/>
        </w:rPr>
        <w:t>o</w:t>
      </w:r>
      <w:r w:rsidRPr="003808EB">
        <w:rPr>
          <w:rFonts w:ascii="Times New Roman" w:hAnsi="Times New Roman"/>
          <w:sz w:val="24"/>
          <w:szCs w:val="24"/>
        </w:rPr>
        <w:t>. Atsižvelgiant į padidėjusį aktyvumą ir vadovaujantis Bendrųjų nuostatų reglamento 5 str., partnerystei skatinti</w:t>
      </w:r>
      <w:r w:rsidR="00CD7F1C">
        <w:rPr>
          <w:rFonts w:ascii="Times New Roman" w:hAnsi="Times New Roman"/>
          <w:sz w:val="24"/>
          <w:szCs w:val="24"/>
        </w:rPr>
        <w:t>,</w:t>
      </w:r>
      <w:r w:rsidRPr="003808EB">
        <w:rPr>
          <w:rFonts w:ascii="Times New Roman" w:hAnsi="Times New Roman"/>
          <w:sz w:val="24"/>
          <w:szCs w:val="24"/>
        </w:rPr>
        <w:t xml:space="preserve"> buvo imtasi naujų iniciatyvų, kurios pirmiausia apima metodinių dokumentų šioje srityje parengimą bei viešų diskusijų su partneriais organizavimą.</w:t>
      </w:r>
    </w:p>
    <w:p w:rsidR="00412BDB" w:rsidRDefault="00412BDB" w:rsidP="00412BDB">
      <w:pPr>
        <w:tabs>
          <w:tab w:val="left" w:pos="1134"/>
        </w:tabs>
        <w:spacing w:after="0" w:line="240" w:lineRule="auto"/>
        <w:ind w:firstLine="851"/>
        <w:jc w:val="both"/>
        <w:rPr>
          <w:rFonts w:ascii="Times New Roman" w:hAnsi="Times New Roman"/>
          <w:sz w:val="24"/>
          <w:szCs w:val="24"/>
        </w:rPr>
      </w:pPr>
      <w:r w:rsidRPr="00412BDB">
        <w:rPr>
          <w:rFonts w:ascii="Times New Roman" w:hAnsi="Times New Roman"/>
          <w:sz w:val="24"/>
          <w:szCs w:val="24"/>
        </w:rPr>
        <w:t xml:space="preserve">2012 m. balandžio mėn. </w:t>
      </w:r>
      <w:r>
        <w:rPr>
          <w:rFonts w:ascii="Times New Roman" w:hAnsi="Times New Roman"/>
          <w:sz w:val="24"/>
          <w:szCs w:val="24"/>
        </w:rPr>
        <w:t xml:space="preserve">buvo parengtas </w:t>
      </w:r>
      <w:r w:rsidRPr="00412BDB">
        <w:rPr>
          <w:rFonts w:ascii="Times New Roman" w:hAnsi="Times New Roman"/>
          <w:i/>
          <w:sz w:val="24"/>
          <w:szCs w:val="24"/>
        </w:rPr>
        <w:t>Partnerystės standart</w:t>
      </w:r>
      <w:r>
        <w:rPr>
          <w:rFonts w:ascii="Times New Roman" w:hAnsi="Times New Roman"/>
          <w:i/>
          <w:sz w:val="24"/>
          <w:szCs w:val="24"/>
        </w:rPr>
        <w:t>as</w:t>
      </w:r>
      <w:r w:rsidRPr="00412BDB">
        <w:rPr>
          <w:rFonts w:ascii="Times New Roman" w:hAnsi="Times New Roman"/>
          <w:sz w:val="24"/>
          <w:szCs w:val="24"/>
        </w:rPr>
        <w:t>, nustatant</w:t>
      </w:r>
      <w:r>
        <w:rPr>
          <w:rFonts w:ascii="Times New Roman" w:hAnsi="Times New Roman"/>
          <w:sz w:val="24"/>
          <w:szCs w:val="24"/>
        </w:rPr>
        <w:t>is</w:t>
      </w:r>
      <w:r w:rsidRPr="00412BDB">
        <w:rPr>
          <w:rFonts w:ascii="Times New Roman" w:hAnsi="Times New Roman"/>
          <w:sz w:val="24"/>
          <w:szCs w:val="24"/>
        </w:rPr>
        <w:t xml:space="preserve"> minimalius reikalavimus dėl partnerystės principo taikymo planuojant ir įgyvendinant </w:t>
      </w:r>
      <w:r w:rsidR="006623F6">
        <w:rPr>
          <w:rFonts w:ascii="Times New Roman" w:hAnsi="Times New Roman"/>
          <w:sz w:val="24"/>
          <w:szCs w:val="24"/>
        </w:rPr>
        <w:t>ES fondų</w:t>
      </w:r>
      <w:r w:rsidRPr="00412BDB">
        <w:rPr>
          <w:rFonts w:ascii="Times New Roman" w:hAnsi="Times New Roman"/>
          <w:sz w:val="24"/>
          <w:szCs w:val="24"/>
        </w:rPr>
        <w:t xml:space="preserve"> lėšomis finansuojamas programas Lietuvoje. Jame yra apibrėžiami partnerystės lygiai, apimtis, formos, </w:t>
      </w:r>
      <w:r w:rsidRPr="00412BDB">
        <w:rPr>
          <w:rFonts w:ascii="Times New Roman" w:hAnsi="Times New Roman"/>
          <w:sz w:val="24"/>
          <w:szCs w:val="24"/>
        </w:rPr>
        <w:lastRenderedPageBreak/>
        <w:t xml:space="preserve">partnerių atranka, jų pareigos ir teisės, konsultavimosi terminai, rezultatų viešumas ir partnerystės principo efektyvumo vertinimas. </w:t>
      </w:r>
    </w:p>
    <w:p w:rsidR="00681B7D" w:rsidRPr="00412BDB" w:rsidRDefault="00681B7D" w:rsidP="00412BDB">
      <w:pPr>
        <w:tabs>
          <w:tab w:val="left" w:pos="1134"/>
        </w:tabs>
        <w:spacing w:after="0" w:line="240" w:lineRule="auto"/>
        <w:ind w:firstLine="851"/>
        <w:jc w:val="both"/>
        <w:rPr>
          <w:rFonts w:ascii="Times New Roman" w:hAnsi="Times New Roman"/>
          <w:sz w:val="24"/>
          <w:szCs w:val="24"/>
        </w:rPr>
      </w:pPr>
      <w:r w:rsidRPr="003808EB">
        <w:rPr>
          <w:rFonts w:ascii="Times New Roman" w:hAnsi="Times New Roman"/>
          <w:i/>
          <w:sz w:val="24"/>
          <w:szCs w:val="24"/>
        </w:rPr>
        <w:t>Partnerystės standarte</w:t>
      </w:r>
      <w:r w:rsidRPr="003808EB">
        <w:rPr>
          <w:rFonts w:ascii="Times New Roman" w:hAnsi="Times New Roman"/>
          <w:sz w:val="24"/>
          <w:szCs w:val="24"/>
        </w:rPr>
        <w:t xml:space="preserve"> nustatytų reikalavimų pristatymui, išaiškinimui ir patarimams dėl praktinio taikymo 2012 m. liepos mėn. </w:t>
      </w:r>
      <w:r w:rsidR="006623F6">
        <w:rPr>
          <w:rFonts w:ascii="Times New Roman" w:hAnsi="Times New Roman"/>
          <w:iCs/>
          <w:sz w:val="24"/>
          <w:szCs w:val="24"/>
          <w:lang w:eastAsia="lt-LT"/>
        </w:rPr>
        <w:t>ES fondų</w:t>
      </w:r>
      <w:r>
        <w:rPr>
          <w:rFonts w:ascii="Times New Roman" w:hAnsi="Times New Roman"/>
          <w:iCs/>
          <w:sz w:val="24"/>
          <w:szCs w:val="24"/>
          <w:lang w:eastAsia="lt-LT"/>
        </w:rPr>
        <w:t xml:space="preserve"> </w:t>
      </w:r>
      <w:r w:rsidRPr="003808EB">
        <w:rPr>
          <w:rFonts w:ascii="Times New Roman" w:hAnsi="Times New Roman"/>
          <w:iCs/>
          <w:sz w:val="24"/>
          <w:szCs w:val="24"/>
          <w:lang w:eastAsia="lt-LT"/>
        </w:rPr>
        <w:t>Vadovaujančiosios institucijos</w:t>
      </w:r>
      <w:r w:rsidRPr="003808EB">
        <w:rPr>
          <w:rFonts w:ascii="Times New Roman" w:hAnsi="Times New Roman"/>
          <w:sz w:val="24"/>
          <w:szCs w:val="24"/>
        </w:rPr>
        <w:t xml:space="preserve"> iniciatyva buvo parengtas išsamesnis dokumentas – </w:t>
      </w:r>
      <w:r w:rsidRPr="003808EB">
        <w:rPr>
          <w:rFonts w:ascii="Times New Roman" w:hAnsi="Times New Roman"/>
          <w:bCs/>
          <w:i/>
          <w:sz w:val="24"/>
          <w:szCs w:val="24"/>
        </w:rPr>
        <w:t>Partnerystės principo taikymo ES struktūrinės paramos procese gairės</w:t>
      </w:r>
      <w:r w:rsidRPr="003808EB">
        <w:rPr>
          <w:rFonts w:ascii="Times New Roman" w:hAnsi="Times New Roman"/>
          <w:bCs/>
          <w:sz w:val="24"/>
          <w:szCs w:val="24"/>
        </w:rPr>
        <w:t xml:space="preserve"> (toliau – Gairės)</w:t>
      </w:r>
      <w:r w:rsidRPr="003808EB">
        <w:rPr>
          <w:rFonts w:ascii="Times New Roman" w:hAnsi="Times New Roman"/>
          <w:sz w:val="24"/>
          <w:szCs w:val="24"/>
        </w:rPr>
        <w:t xml:space="preserve">. Jos paskelbtos interneto puslapyje </w:t>
      </w:r>
      <w:r w:rsidRPr="003808EB">
        <w:rPr>
          <w:rFonts w:ascii="Times New Roman" w:hAnsi="Times New Roman"/>
          <w:i/>
          <w:sz w:val="24"/>
          <w:szCs w:val="24"/>
        </w:rPr>
        <w:t>www.</w:t>
      </w:r>
      <w:r w:rsidRPr="003808EB">
        <w:rPr>
          <w:rFonts w:ascii="Times New Roman" w:hAnsi="Times New Roman"/>
          <w:i/>
          <w:sz w:val="24"/>
          <w:szCs w:val="24"/>
          <w:u w:val="single"/>
        </w:rPr>
        <w:t>esparama.lt</w:t>
      </w:r>
      <w:r w:rsidRPr="003808EB">
        <w:rPr>
          <w:rFonts w:ascii="Times New Roman" w:hAnsi="Times New Roman"/>
          <w:sz w:val="24"/>
          <w:szCs w:val="24"/>
        </w:rPr>
        <w:t xml:space="preserve"> ir yra prieinamos visiems norintiems susipažinti.</w:t>
      </w:r>
    </w:p>
    <w:p w:rsidR="00681B7D" w:rsidRPr="00681B7D" w:rsidRDefault="00681B7D" w:rsidP="00681B7D">
      <w:pPr>
        <w:tabs>
          <w:tab w:val="left" w:pos="1134"/>
        </w:tabs>
        <w:spacing w:after="0" w:line="240" w:lineRule="auto"/>
        <w:ind w:firstLine="851"/>
        <w:jc w:val="both"/>
        <w:rPr>
          <w:rFonts w:ascii="Times New Roman" w:hAnsi="Times New Roman"/>
          <w:sz w:val="24"/>
          <w:szCs w:val="24"/>
        </w:rPr>
      </w:pPr>
      <w:r w:rsidRPr="00681B7D">
        <w:rPr>
          <w:rFonts w:ascii="Times New Roman" w:hAnsi="Times New Roman"/>
          <w:sz w:val="24"/>
          <w:szCs w:val="24"/>
        </w:rPr>
        <w:t>Partnerystės sutarties ir 2014–2020 m. ES fondų investicijų veiksmų programos projektams parengti, 2010 m. buvo sudaryta 2014–2020 m. ES struktūrinės paramos komisija (toliau – Komisija), į kurios sudėtį įeina ministerijų, įgyvendinančių institucijų bei socialinių, ekonominių ir regioninių partnerių atstovai. Iš 52 Komisijos narių 23 yra socialiniai, ekonominiai ir regioniniai partneriai. Sudarant Komisiją ir atrenkant partnerius, buvo orientuojamasi į jų atstovaujamą auditoriją, t. y. buvo siekiama, kad Komisijos veikloje dalyvaujantys partneriai</w:t>
      </w:r>
      <w:r w:rsidR="00CD7F1C">
        <w:rPr>
          <w:rFonts w:ascii="Times New Roman" w:hAnsi="Times New Roman"/>
          <w:sz w:val="24"/>
          <w:szCs w:val="24"/>
        </w:rPr>
        <w:t>,</w:t>
      </w:r>
      <w:r w:rsidRPr="00681B7D">
        <w:rPr>
          <w:rFonts w:ascii="Times New Roman" w:hAnsi="Times New Roman"/>
          <w:sz w:val="24"/>
          <w:szCs w:val="24"/>
        </w:rPr>
        <w:t xml:space="preserve"> kuo plačiau atstovautų visuomenei. Partnerių atranką pagal kompetenciją vykdo atsakingos institucijos (pavyzdžiui, atranką į sektoriniu lygiu organizuojamą partnerystę vykdė sektorinės ministerijos). Potencialūs partneriai, norintys dalyvauti ES </w:t>
      </w:r>
      <w:r w:rsidR="00112ACE">
        <w:rPr>
          <w:rFonts w:ascii="Times New Roman" w:hAnsi="Times New Roman"/>
          <w:sz w:val="24"/>
          <w:szCs w:val="24"/>
        </w:rPr>
        <w:t xml:space="preserve">fondų įgyvendinimo ir administravimo </w:t>
      </w:r>
      <w:r w:rsidRPr="00681B7D">
        <w:rPr>
          <w:rFonts w:ascii="Times New Roman" w:hAnsi="Times New Roman"/>
          <w:sz w:val="24"/>
          <w:szCs w:val="24"/>
        </w:rPr>
        <w:t xml:space="preserve">procese, gali teikti motyvuotus prašymus dėl jų įtraukimo į atitinkamą partnerystės formą (komitetą, komisiją ir pan.) už partnerystę atsakingiems institucijų darbuotojams. </w:t>
      </w:r>
    </w:p>
    <w:p w:rsidR="00681B7D" w:rsidRPr="00681B7D" w:rsidRDefault="00681B7D" w:rsidP="00681B7D">
      <w:pPr>
        <w:tabs>
          <w:tab w:val="left" w:pos="1134"/>
        </w:tabs>
        <w:spacing w:after="0" w:line="240" w:lineRule="auto"/>
        <w:ind w:firstLine="851"/>
        <w:jc w:val="both"/>
        <w:rPr>
          <w:rFonts w:ascii="Times New Roman" w:hAnsi="Times New Roman"/>
          <w:sz w:val="24"/>
          <w:szCs w:val="24"/>
        </w:rPr>
      </w:pPr>
      <w:r w:rsidRPr="00681B7D">
        <w:rPr>
          <w:rFonts w:ascii="Times New Roman" w:hAnsi="Times New Roman"/>
          <w:sz w:val="24"/>
          <w:szCs w:val="24"/>
        </w:rPr>
        <w:t xml:space="preserve">Atrenkant partnerius vadovautasi šiais kriterijais: </w:t>
      </w:r>
    </w:p>
    <w:p w:rsidR="00681B7D" w:rsidRPr="00681B7D" w:rsidRDefault="00681B7D" w:rsidP="00650E41">
      <w:pPr>
        <w:numPr>
          <w:ilvl w:val="0"/>
          <w:numId w:val="7"/>
        </w:numPr>
        <w:tabs>
          <w:tab w:val="left" w:pos="851"/>
        </w:tabs>
        <w:spacing w:after="0" w:line="240" w:lineRule="auto"/>
        <w:ind w:left="0" w:firstLine="567"/>
        <w:jc w:val="both"/>
        <w:rPr>
          <w:rFonts w:ascii="Times New Roman" w:hAnsi="Times New Roman"/>
          <w:sz w:val="24"/>
          <w:szCs w:val="24"/>
        </w:rPr>
      </w:pPr>
      <w:r w:rsidRPr="00681B7D">
        <w:rPr>
          <w:rFonts w:ascii="Times New Roman" w:hAnsi="Times New Roman"/>
          <w:i/>
          <w:iCs/>
          <w:sz w:val="24"/>
          <w:szCs w:val="24"/>
        </w:rPr>
        <w:t>Aktualumo</w:t>
      </w:r>
      <w:r w:rsidRPr="00681B7D">
        <w:rPr>
          <w:rFonts w:ascii="Times New Roman" w:hAnsi="Times New Roman"/>
          <w:sz w:val="24"/>
          <w:szCs w:val="24"/>
        </w:rPr>
        <w:t>: partneriai turi būti aiškiai susiję arba su problema, kurią ketinama spręsti, arba su jos sprendimu. Aktualūs partneriai gali skirtis</w:t>
      </w:r>
      <w:r w:rsidR="00CD7F1C">
        <w:rPr>
          <w:rFonts w:ascii="Times New Roman" w:hAnsi="Times New Roman"/>
          <w:sz w:val="24"/>
          <w:szCs w:val="24"/>
        </w:rPr>
        <w:t>,</w:t>
      </w:r>
      <w:r w:rsidRPr="00681B7D">
        <w:rPr>
          <w:rFonts w:ascii="Times New Roman" w:hAnsi="Times New Roman"/>
          <w:sz w:val="24"/>
          <w:szCs w:val="24"/>
        </w:rPr>
        <w:t xml:space="preserve"> atsižvelgiant į ES </w:t>
      </w:r>
      <w:r w:rsidR="00112ACE">
        <w:rPr>
          <w:rFonts w:ascii="Times New Roman" w:hAnsi="Times New Roman"/>
          <w:sz w:val="24"/>
          <w:szCs w:val="24"/>
        </w:rPr>
        <w:t xml:space="preserve">fondų įgyvendinimo ir administravimo </w:t>
      </w:r>
      <w:r w:rsidRPr="00681B7D">
        <w:rPr>
          <w:rFonts w:ascii="Times New Roman" w:hAnsi="Times New Roman"/>
          <w:sz w:val="24"/>
          <w:szCs w:val="24"/>
        </w:rPr>
        <w:t>proceso etapą ir sprendžiamą klausimą;</w:t>
      </w:r>
      <w:proofErr w:type="gramStart"/>
      <w:r w:rsidRPr="00681B7D">
        <w:rPr>
          <w:rFonts w:ascii="Times New Roman" w:hAnsi="Times New Roman"/>
          <w:sz w:val="24"/>
          <w:szCs w:val="24"/>
        </w:rPr>
        <w:t xml:space="preserve">  </w:t>
      </w:r>
      <w:proofErr w:type="gramEnd"/>
    </w:p>
    <w:p w:rsidR="00681B7D" w:rsidRPr="00681B7D" w:rsidRDefault="00681B7D" w:rsidP="00650E41">
      <w:pPr>
        <w:numPr>
          <w:ilvl w:val="0"/>
          <w:numId w:val="7"/>
        </w:numPr>
        <w:tabs>
          <w:tab w:val="left" w:pos="851"/>
        </w:tabs>
        <w:spacing w:after="0" w:line="240" w:lineRule="auto"/>
        <w:ind w:left="0" w:firstLine="567"/>
        <w:jc w:val="both"/>
        <w:rPr>
          <w:rFonts w:ascii="Times New Roman" w:hAnsi="Times New Roman"/>
          <w:sz w:val="24"/>
          <w:szCs w:val="24"/>
        </w:rPr>
      </w:pPr>
      <w:r w:rsidRPr="00681B7D">
        <w:rPr>
          <w:rFonts w:ascii="Times New Roman" w:hAnsi="Times New Roman"/>
          <w:i/>
          <w:iCs/>
          <w:sz w:val="24"/>
          <w:szCs w:val="24"/>
        </w:rPr>
        <w:t>Proporcingumo</w:t>
      </w:r>
      <w:r w:rsidRPr="00681B7D">
        <w:rPr>
          <w:rFonts w:ascii="Times New Roman" w:hAnsi="Times New Roman"/>
          <w:sz w:val="24"/>
          <w:szCs w:val="24"/>
        </w:rPr>
        <w:t>: turi būti užtikrintas visų aktualių partnerių (teritorinių, socialinių, ekonominių, NVO) atstovavimas, nė viena iš partnerių grupių neturėtų dominuoti;</w:t>
      </w:r>
    </w:p>
    <w:p w:rsidR="00681B7D" w:rsidRPr="00681B7D" w:rsidRDefault="00681B7D" w:rsidP="00650E41">
      <w:pPr>
        <w:numPr>
          <w:ilvl w:val="0"/>
          <w:numId w:val="7"/>
        </w:numPr>
        <w:tabs>
          <w:tab w:val="left" w:pos="851"/>
        </w:tabs>
        <w:spacing w:after="0" w:line="240" w:lineRule="auto"/>
        <w:ind w:left="0" w:firstLine="567"/>
        <w:jc w:val="both"/>
        <w:rPr>
          <w:rFonts w:ascii="Times New Roman" w:hAnsi="Times New Roman"/>
          <w:sz w:val="24"/>
          <w:szCs w:val="24"/>
        </w:rPr>
      </w:pPr>
      <w:r w:rsidRPr="00681B7D">
        <w:rPr>
          <w:rFonts w:ascii="Times New Roman" w:hAnsi="Times New Roman"/>
          <w:i/>
          <w:iCs/>
          <w:sz w:val="24"/>
          <w:szCs w:val="24"/>
        </w:rPr>
        <w:t>Atstovavimo apimties</w:t>
      </w:r>
      <w:r w:rsidRPr="00681B7D">
        <w:rPr>
          <w:rFonts w:ascii="Times New Roman" w:hAnsi="Times New Roman"/>
          <w:sz w:val="24"/>
          <w:szCs w:val="24"/>
        </w:rPr>
        <w:t>: turėtų būti įtraukti partneriai, atstovaujantys platesniems, o ne siauresniems, individualiems</w:t>
      </w:r>
      <w:proofErr w:type="gramStart"/>
      <w:r w:rsidRPr="00681B7D">
        <w:rPr>
          <w:rFonts w:ascii="Times New Roman" w:hAnsi="Times New Roman"/>
          <w:sz w:val="24"/>
          <w:szCs w:val="24"/>
        </w:rPr>
        <w:t xml:space="preserve">  </w:t>
      </w:r>
      <w:proofErr w:type="gramEnd"/>
      <w:r w:rsidRPr="00681B7D">
        <w:rPr>
          <w:rFonts w:ascii="Times New Roman" w:hAnsi="Times New Roman"/>
          <w:sz w:val="24"/>
          <w:szCs w:val="24"/>
        </w:rPr>
        <w:t>interesams.</w:t>
      </w:r>
    </w:p>
    <w:p w:rsidR="00412BDB" w:rsidRDefault="00681B7D" w:rsidP="003E0F8A">
      <w:pPr>
        <w:spacing w:after="0" w:line="240" w:lineRule="auto"/>
        <w:ind w:firstLine="851"/>
        <w:jc w:val="both"/>
        <w:rPr>
          <w:rFonts w:ascii="Times New Roman" w:eastAsia="AngsanaUPC" w:hAnsi="Times New Roman"/>
          <w:bCs/>
          <w:sz w:val="24"/>
          <w:szCs w:val="24"/>
          <w:lang w:eastAsia="lt-LT"/>
        </w:rPr>
      </w:pPr>
      <w:r w:rsidRPr="00681B7D">
        <w:rPr>
          <w:rFonts w:ascii="Times New Roman" w:eastAsia="AngsanaUPC" w:hAnsi="Times New Roman"/>
          <w:bCs/>
          <w:sz w:val="24"/>
          <w:szCs w:val="24"/>
          <w:lang w:eastAsia="lt-LT"/>
        </w:rPr>
        <w:t xml:space="preserve">2013 m. birželio–rugsėjo mėn. vyko nacionalinių strateginių dokumentų – Partnerystės sutarties ir 2014–2020 m. ES fondų investicijų veiksmų programos – viešasis aptarimas. Viešojo aptarimo renginyje dalyvavo apie 170 mokslo, verslo, kultūros, vyriausybinių institucijų bei NVO, socialinių, ekonominių ir regioninių partnerių atstovų. Taip pat visiems suinteresuotiems asmenims buvo sudarytos galimybės teikti pastabas ir pasiūlymus šių dokumentų projektams </w:t>
      </w:r>
      <w:r w:rsidRPr="007D719A">
        <w:rPr>
          <w:rFonts w:ascii="Times New Roman" w:eastAsia="AngsanaUPC" w:hAnsi="Times New Roman"/>
          <w:bCs/>
          <w:i/>
          <w:sz w:val="24"/>
          <w:szCs w:val="24"/>
          <w:lang w:eastAsia="lt-LT"/>
        </w:rPr>
        <w:t>www.esparama.lt</w:t>
      </w:r>
      <w:r w:rsidRPr="00681B7D">
        <w:rPr>
          <w:rFonts w:ascii="Times New Roman" w:eastAsia="AngsanaUPC" w:hAnsi="Times New Roman"/>
          <w:bCs/>
          <w:sz w:val="24"/>
          <w:szCs w:val="24"/>
          <w:lang w:eastAsia="lt-LT"/>
        </w:rPr>
        <w:t xml:space="preserve"> svetainėje.</w:t>
      </w:r>
    </w:p>
    <w:p w:rsidR="00681B7D" w:rsidRPr="00681B7D" w:rsidRDefault="00681B7D" w:rsidP="00681B7D">
      <w:pPr>
        <w:spacing w:after="0" w:line="240" w:lineRule="auto"/>
        <w:ind w:firstLine="851"/>
        <w:jc w:val="both"/>
        <w:rPr>
          <w:rFonts w:ascii="Times New Roman" w:eastAsia="Times New Roman" w:hAnsi="Times New Roman"/>
          <w:sz w:val="24"/>
          <w:szCs w:val="24"/>
          <w:lang w:eastAsia="lt-LT"/>
        </w:rPr>
      </w:pPr>
      <w:r w:rsidRPr="00681B7D">
        <w:rPr>
          <w:rFonts w:ascii="Times New Roman" w:hAnsi="Times New Roman"/>
          <w:sz w:val="24"/>
          <w:szCs w:val="24"/>
        </w:rPr>
        <w:t xml:space="preserve">Atsižvelgiant į </w:t>
      </w:r>
      <w:r>
        <w:rPr>
          <w:rFonts w:ascii="Times New Roman" w:hAnsi="Times New Roman"/>
          <w:sz w:val="24"/>
          <w:szCs w:val="24"/>
        </w:rPr>
        <w:t xml:space="preserve">pateiktus </w:t>
      </w:r>
      <w:r w:rsidRPr="00681B7D">
        <w:rPr>
          <w:rFonts w:ascii="Times New Roman" w:hAnsi="Times New Roman"/>
          <w:sz w:val="24"/>
          <w:szCs w:val="24"/>
        </w:rPr>
        <w:t xml:space="preserve">socialinių ekonominių partnerių pasiūlymus, buvo patikslinta 2014–2020 m. ES fondų investicijų veiksmų programa. Įtrauktos veiklos vyrų ir moterų lygybei skatinti ir atitinkami rodikliai </w:t>
      </w:r>
      <w:proofErr w:type="gramStart"/>
      <w:r w:rsidRPr="00681B7D">
        <w:rPr>
          <w:rFonts w:ascii="Times New Roman" w:hAnsi="Times New Roman"/>
          <w:sz w:val="24"/>
          <w:szCs w:val="24"/>
        </w:rPr>
        <w:t>(</w:t>
      </w:r>
      <w:proofErr w:type="gramEnd"/>
      <w:r w:rsidRPr="00681B7D">
        <w:rPr>
          <w:rFonts w:ascii="Times New Roman" w:hAnsi="Times New Roman"/>
          <w:sz w:val="24"/>
          <w:szCs w:val="24"/>
        </w:rPr>
        <w:t xml:space="preserve">pavyzdžiui, </w:t>
      </w:r>
      <w:r w:rsidRPr="00681B7D">
        <w:rPr>
          <w:rFonts w:ascii="Times New Roman" w:eastAsia="Times New Roman" w:hAnsi="Times New Roman"/>
          <w:iCs/>
          <w:sz w:val="24"/>
          <w:szCs w:val="24"/>
        </w:rPr>
        <w:t>renginiuose, skatinančiuose moterų ir vyrų lygybę bei diskriminacijos mažinimą darbo rinkoje, dalyvavusių asmenų, teigiančių, kad įgytas žinias ir įgūdžius taikys praktikoje, dalis)</w:t>
      </w:r>
      <w:r w:rsidRPr="00681B7D">
        <w:rPr>
          <w:rFonts w:ascii="Times New Roman" w:hAnsi="Times New Roman"/>
          <w:sz w:val="24"/>
          <w:szCs w:val="24"/>
        </w:rPr>
        <w:t xml:space="preserve"> pokyčiams išmatuoti. </w:t>
      </w:r>
      <w:r w:rsidRPr="00681B7D">
        <w:rPr>
          <w:rFonts w:ascii="Times New Roman" w:eastAsia="AngsanaUPC" w:hAnsi="Times New Roman"/>
          <w:bCs/>
          <w:sz w:val="24"/>
          <w:szCs w:val="24"/>
          <w:lang w:eastAsia="lt-LT"/>
        </w:rPr>
        <w:t xml:space="preserve">Numatytos veiklos, kuriomis viešųjų pastatų ir daugiabučių renovacija susiejama su energijos vartojimo efektyvumu. Numatomas finansuoti projektas, skirtas </w:t>
      </w:r>
      <w:r w:rsidRPr="00681B7D">
        <w:rPr>
          <w:rFonts w:ascii="Times New Roman" w:eastAsia="AngsanaUPC" w:hAnsi="Times New Roman"/>
          <w:bCs/>
          <w:iCs/>
          <w:sz w:val="24"/>
          <w:szCs w:val="24"/>
          <w:lang w:eastAsia="lt-LT"/>
        </w:rPr>
        <w:t>radioaktyviųjų atliekų saugyklos Maišiagaloje likvidavimui</w:t>
      </w:r>
      <w:r w:rsidRPr="00681B7D">
        <w:rPr>
          <w:rFonts w:ascii="Times New Roman" w:eastAsia="AngsanaUPC" w:hAnsi="Times New Roman"/>
          <w:bCs/>
          <w:sz w:val="24"/>
          <w:szCs w:val="24"/>
          <w:lang w:eastAsia="lt-LT"/>
        </w:rPr>
        <w:t>.</w:t>
      </w:r>
      <w:r w:rsidRPr="00681B7D">
        <w:rPr>
          <w:rFonts w:ascii="Times New Roman" w:eastAsia="Times New Roman" w:hAnsi="Times New Roman"/>
          <w:sz w:val="24"/>
          <w:szCs w:val="24"/>
          <w:lang w:eastAsia="lt-LT"/>
        </w:rPr>
        <w:t xml:space="preserve"> </w:t>
      </w:r>
    </w:p>
    <w:p w:rsidR="00681B7D" w:rsidRPr="00681B7D" w:rsidRDefault="00681B7D" w:rsidP="00681B7D">
      <w:pPr>
        <w:tabs>
          <w:tab w:val="left" w:pos="1134"/>
        </w:tabs>
        <w:spacing w:after="0" w:line="240" w:lineRule="auto"/>
        <w:ind w:firstLine="851"/>
        <w:jc w:val="both"/>
        <w:rPr>
          <w:rFonts w:ascii="Times New Roman" w:hAnsi="Times New Roman"/>
          <w:sz w:val="24"/>
          <w:szCs w:val="24"/>
        </w:rPr>
      </w:pPr>
      <w:r w:rsidRPr="00681B7D">
        <w:rPr>
          <w:rFonts w:ascii="Times New Roman" w:hAnsi="Times New Roman"/>
          <w:sz w:val="24"/>
          <w:szCs w:val="24"/>
        </w:rPr>
        <w:t xml:space="preserve">Atsižvelgiant į parengtus partnerystės metodinius dokumentus bei diskusijose išsakytus poreikius, partnerystė bus skatinama ir ateityje, užtikrinant partneriams galimybes aktyviau ir veiksmingiau įsitraukti į 2014–2020 m. programavimo laikotarpio </w:t>
      </w:r>
      <w:r w:rsidR="006623F6">
        <w:rPr>
          <w:rFonts w:ascii="Times New Roman" w:hAnsi="Times New Roman"/>
          <w:sz w:val="24"/>
          <w:szCs w:val="24"/>
        </w:rPr>
        <w:t>ES fondų</w:t>
      </w:r>
      <w:r w:rsidRPr="00681B7D">
        <w:rPr>
          <w:rFonts w:ascii="Times New Roman" w:hAnsi="Times New Roman"/>
          <w:sz w:val="24"/>
          <w:szCs w:val="24"/>
        </w:rPr>
        <w:t xml:space="preserve"> </w:t>
      </w:r>
      <w:r w:rsidRPr="00681B7D">
        <w:rPr>
          <w:rFonts w:ascii="Times New Roman" w:hAnsi="Times New Roman"/>
          <w:bCs/>
          <w:sz w:val="24"/>
          <w:szCs w:val="24"/>
        </w:rPr>
        <w:t>įgyvendinimą, stebėseną ir vertinimą.</w:t>
      </w:r>
      <w:r w:rsidRPr="00681B7D">
        <w:rPr>
          <w:rFonts w:ascii="Times New Roman" w:hAnsi="Times New Roman"/>
          <w:sz w:val="24"/>
          <w:szCs w:val="24"/>
        </w:rPr>
        <w:t xml:space="preserve"> Šiuo tikslu bus įgyvendinamos šios </w:t>
      </w:r>
      <w:r w:rsidR="006623F6">
        <w:rPr>
          <w:rFonts w:ascii="Times New Roman" w:hAnsi="Times New Roman"/>
          <w:iCs/>
          <w:sz w:val="24"/>
          <w:szCs w:val="24"/>
          <w:lang w:eastAsia="lt-LT"/>
        </w:rPr>
        <w:t>ES fondų</w:t>
      </w:r>
      <w:r w:rsidRPr="00681B7D">
        <w:rPr>
          <w:rFonts w:ascii="Times New Roman" w:hAnsi="Times New Roman"/>
          <w:iCs/>
          <w:sz w:val="24"/>
          <w:szCs w:val="24"/>
          <w:lang w:eastAsia="lt-LT"/>
        </w:rPr>
        <w:t xml:space="preserve"> Vadovaujančiosios institucijos</w:t>
      </w:r>
      <w:r w:rsidRPr="00681B7D">
        <w:rPr>
          <w:rFonts w:ascii="Times New Roman" w:hAnsi="Times New Roman"/>
          <w:sz w:val="24"/>
          <w:szCs w:val="24"/>
        </w:rPr>
        <w:t xml:space="preserve"> iniciatyvos: </w:t>
      </w:r>
    </w:p>
    <w:p w:rsidR="00681B7D" w:rsidRPr="00681B7D" w:rsidRDefault="00681B7D" w:rsidP="00650E41">
      <w:pPr>
        <w:numPr>
          <w:ilvl w:val="0"/>
          <w:numId w:val="8"/>
        </w:numPr>
        <w:tabs>
          <w:tab w:val="left" w:pos="851"/>
        </w:tabs>
        <w:autoSpaceDE w:val="0"/>
        <w:autoSpaceDN w:val="0"/>
        <w:adjustRightInd w:val="0"/>
        <w:spacing w:after="0" w:line="240" w:lineRule="auto"/>
        <w:ind w:left="0" w:firstLine="709"/>
        <w:jc w:val="both"/>
        <w:rPr>
          <w:rFonts w:ascii="Times New Roman" w:hAnsi="Times New Roman"/>
          <w:sz w:val="24"/>
          <w:szCs w:val="24"/>
          <w:lang w:eastAsia="lt-LT"/>
        </w:rPr>
      </w:pPr>
      <w:r w:rsidRPr="00681B7D">
        <w:rPr>
          <w:rFonts w:ascii="Times New Roman" w:hAnsi="Times New Roman"/>
          <w:sz w:val="24"/>
          <w:szCs w:val="24"/>
          <w:lang w:eastAsia="lt-LT"/>
        </w:rPr>
        <w:t xml:space="preserve">ES paramos tinklapyje </w:t>
      </w:r>
      <w:hyperlink r:id="rId15" w:history="1">
        <w:r w:rsidRPr="007F7D58">
          <w:rPr>
            <w:rStyle w:val="Hipersaitas"/>
            <w:rFonts w:ascii="Times New Roman" w:hAnsi="Times New Roman"/>
            <w:i/>
            <w:sz w:val="24"/>
            <w:szCs w:val="24"/>
            <w:lang w:eastAsia="lt-LT"/>
          </w:rPr>
          <w:t>www.esinvesticijos.lt</w:t>
        </w:r>
      </w:hyperlink>
      <w:r w:rsidRPr="00681B7D">
        <w:rPr>
          <w:rFonts w:ascii="Times New Roman" w:hAnsi="Times New Roman"/>
          <w:sz w:val="24"/>
          <w:szCs w:val="24"/>
          <w:lang w:eastAsia="lt-LT"/>
        </w:rPr>
        <w:t xml:space="preserve"> įdiegta partneriams skirta atskira skiltis, kurioje talpinama partneriams aktuali informacija (metodinės gairės, informacija apie renginius, teisės aktų projektai pastaboms). Šioje skiltyje partneriai turi užsiregistruoti (tokiu būdu bus surinkta ES fondų investicijų procesu suinteresuotų partnerių duomenų bazė) ir galės teikti pastabas paskelbtiems dokumentų projektams (pavyzdžiui, ministerijų parengtų aprašų ar taisyklių projektams).</w:t>
      </w:r>
    </w:p>
    <w:p w:rsidR="00681B7D" w:rsidRPr="00681B7D" w:rsidRDefault="00681B7D" w:rsidP="00650E41">
      <w:pPr>
        <w:numPr>
          <w:ilvl w:val="0"/>
          <w:numId w:val="8"/>
        </w:numPr>
        <w:tabs>
          <w:tab w:val="left" w:pos="851"/>
        </w:tabs>
        <w:autoSpaceDE w:val="0"/>
        <w:autoSpaceDN w:val="0"/>
        <w:adjustRightInd w:val="0"/>
        <w:spacing w:after="0" w:line="240" w:lineRule="auto"/>
        <w:ind w:left="0" w:firstLine="851"/>
        <w:jc w:val="both"/>
        <w:rPr>
          <w:rFonts w:ascii="Times New Roman" w:hAnsi="Times New Roman"/>
          <w:sz w:val="24"/>
          <w:szCs w:val="24"/>
          <w:lang w:eastAsia="lt-LT"/>
        </w:rPr>
      </w:pPr>
      <w:r w:rsidRPr="00681B7D">
        <w:rPr>
          <w:rFonts w:ascii="Times New Roman" w:hAnsi="Times New Roman"/>
          <w:sz w:val="24"/>
          <w:szCs w:val="24"/>
          <w:lang w:eastAsia="lt-LT"/>
        </w:rPr>
        <w:t xml:space="preserve">Bus stiprinami partnerių administraciniai gebėjimai (plačiau žiūrėti </w:t>
      </w:r>
      <w:r w:rsidR="00E60157">
        <w:rPr>
          <w:rFonts w:ascii="Times New Roman" w:hAnsi="Times New Roman"/>
          <w:sz w:val="24"/>
          <w:szCs w:val="24"/>
          <w:lang w:eastAsia="lt-LT"/>
        </w:rPr>
        <w:t>Veiksmų programos 7.2.3</w:t>
      </w:r>
      <w:r w:rsidRPr="00681B7D">
        <w:rPr>
          <w:rFonts w:ascii="Times New Roman" w:hAnsi="Times New Roman"/>
          <w:sz w:val="24"/>
          <w:szCs w:val="24"/>
          <w:lang w:eastAsia="lt-LT"/>
        </w:rPr>
        <w:t xml:space="preserve"> dalyje).</w:t>
      </w:r>
    </w:p>
    <w:p w:rsidR="00681B7D" w:rsidRPr="00681B7D" w:rsidRDefault="00681B7D" w:rsidP="00650E41">
      <w:pPr>
        <w:numPr>
          <w:ilvl w:val="0"/>
          <w:numId w:val="8"/>
        </w:numPr>
        <w:tabs>
          <w:tab w:val="left" w:pos="851"/>
        </w:tabs>
        <w:autoSpaceDE w:val="0"/>
        <w:autoSpaceDN w:val="0"/>
        <w:adjustRightInd w:val="0"/>
        <w:spacing w:after="0" w:line="240" w:lineRule="auto"/>
        <w:ind w:left="0" w:firstLine="851"/>
        <w:jc w:val="both"/>
        <w:rPr>
          <w:rFonts w:ascii="Times New Roman" w:hAnsi="Times New Roman"/>
          <w:sz w:val="24"/>
          <w:szCs w:val="24"/>
          <w:lang w:eastAsia="lt-LT"/>
        </w:rPr>
      </w:pPr>
      <w:r w:rsidRPr="00681B7D">
        <w:rPr>
          <w:rFonts w:ascii="Times New Roman" w:hAnsi="Times New Roman"/>
          <w:sz w:val="24"/>
          <w:szCs w:val="24"/>
          <w:lang w:eastAsia="lt-LT"/>
        </w:rPr>
        <w:lastRenderedPageBreak/>
        <w:t>Bus sudaryta galimybė partneriams patiems inicijuoti ir organizuoti susirinkimus, diskusijas ir posėdžius, prisidėsiančius prie geresnio 2014</w:t>
      </w:r>
      <w:r w:rsidRPr="00681B7D">
        <w:rPr>
          <w:rFonts w:ascii="Times New Roman" w:hAnsi="Times New Roman"/>
          <w:sz w:val="24"/>
          <w:szCs w:val="24"/>
        </w:rPr>
        <w:t>–2020 m. ES fondų investicijų v</w:t>
      </w:r>
      <w:r w:rsidRPr="00681B7D">
        <w:rPr>
          <w:rFonts w:ascii="Times New Roman" w:hAnsi="Times New Roman"/>
          <w:sz w:val="24"/>
          <w:szCs w:val="24"/>
          <w:lang w:eastAsia="lt-LT"/>
        </w:rPr>
        <w:t>eiksmų programos įgyvendinimo, juos apmokant iš techninės paramos lėšų.</w:t>
      </w:r>
    </w:p>
    <w:p w:rsidR="00681B7D" w:rsidRPr="00681B7D" w:rsidRDefault="00681B7D" w:rsidP="00681B7D">
      <w:pPr>
        <w:tabs>
          <w:tab w:val="left" w:pos="1134"/>
        </w:tabs>
        <w:spacing w:after="0" w:line="240" w:lineRule="auto"/>
        <w:ind w:firstLine="851"/>
        <w:jc w:val="both"/>
        <w:rPr>
          <w:rFonts w:ascii="Times New Roman" w:hAnsi="Times New Roman"/>
          <w:sz w:val="24"/>
          <w:szCs w:val="24"/>
        </w:rPr>
      </w:pPr>
      <w:r w:rsidRPr="00681B7D">
        <w:rPr>
          <w:rFonts w:ascii="Times New Roman" w:hAnsi="Times New Roman"/>
          <w:sz w:val="24"/>
          <w:szCs w:val="24"/>
        </w:rPr>
        <w:t>Tikimasi, kad šios iniciatyvos padės užtikrinti glaudesnį bendradarbiavimą su regioninėmis, vietos, miestų ir kitomis valdžios institucijomis, taip pat ekonominiais ir socialiniais partneriais bei įstaigomis, atstovaujančiomis pilietinei visuomenei, įskaitant aplinkosaugos partnerius, NVO ir įstaigas, besirūpinančias moterų ir vyrų lygybės bei nediskriminavimo skatinimu.</w:t>
      </w:r>
    </w:p>
    <w:p w:rsidR="007B427A" w:rsidRDefault="007B427A" w:rsidP="003E0F8A">
      <w:pPr>
        <w:spacing w:after="0" w:line="240" w:lineRule="auto"/>
        <w:ind w:firstLine="851"/>
        <w:jc w:val="both"/>
        <w:rPr>
          <w:rFonts w:ascii="Times New Roman" w:hAnsi="Times New Roman"/>
          <w:sz w:val="24"/>
          <w:szCs w:val="24"/>
        </w:rPr>
      </w:pPr>
      <w:r>
        <w:rPr>
          <w:rFonts w:ascii="Times New Roman" w:eastAsia="AngsanaUPC" w:hAnsi="Times New Roman"/>
          <w:bCs/>
          <w:sz w:val="24"/>
          <w:szCs w:val="24"/>
          <w:lang w:eastAsia="lt-LT"/>
        </w:rPr>
        <w:t>Daugiau apie tai kaip parneriai yra įtraukiami į dalyvavimą rengiant, stebint ir vertinant 2014</w:t>
      </w:r>
      <w:r w:rsidR="00A34E74">
        <w:rPr>
          <w:rFonts w:ascii="Times New Roman" w:eastAsia="AngsanaUPC" w:hAnsi="Times New Roman"/>
          <w:bCs/>
          <w:sz w:val="24"/>
          <w:szCs w:val="24"/>
          <w:lang w:eastAsia="lt-LT"/>
        </w:rPr>
        <w:t>–</w:t>
      </w:r>
      <w:r>
        <w:rPr>
          <w:rFonts w:ascii="Times New Roman" w:eastAsia="AngsanaUPC" w:hAnsi="Times New Roman"/>
          <w:bCs/>
          <w:sz w:val="24"/>
          <w:szCs w:val="24"/>
          <w:lang w:eastAsia="lt-LT"/>
        </w:rPr>
        <w:t>2020 m. programavimo laikotarpio veiksmų programą ž</w:t>
      </w:r>
      <w:r w:rsidRPr="00F662E8">
        <w:rPr>
          <w:rFonts w:ascii="Times New Roman" w:eastAsia="AngsanaUPC" w:hAnsi="Times New Roman"/>
          <w:bCs/>
          <w:sz w:val="24"/>
          <w:szCs w:val="24"/>
          <w:lang w:eastAsia="lt-LT"/>
        </w:rPr>
        <w:t xml:space="preserve">r. Partnerystės sutarties </w:t>
      </w:r>
      <w:r>
        <w:rPr>
          <w:rFonts w:ascii="Times New Roman" w:eastAsia="AngsanaUPC" w:hAnsi="Times New Roman"/>
          <w:bCs/>
          <w:sz w:val="24"/>
          <w:szCs w:val="24"/>
          <w:lang w:eastAsia="lt-LT"/>
        </w:rPr>
        <w:t>1.5</w:t>
      </w:r>
      <w:r w:rsidRPr="00F662E8">
        <w:rPr>
          <w:rFonts w:ascii="Times New Roman" w:eastAsia="AngsanaUPC" w:hAnsi="Times New Roman"/>
          <w:bCs/>
          <w:sz w:val="24"/>
          <w:szCs w:val="24"/>
          <w:lang w:eastAsia="lt-LT"/>
        </w:rPr>
        <w:t>.1. skyrių</w:t>
      </w:r>
      <w:r>
        <w:rPr>
          <w:rFonts w:ascii="Times New Roman" w:eastAsia="AngsanaUPC" w:hAnsi="Times New Roman"/>
          <w:bCs/>
          <w:sz w:val="24"/>
          <w:szCs w:val="24"/>
          <w:lang w:eastAsia="lt-LT"/>
        </w:rPr>
        <w:t>.</w:t>
      </w:r>
    </w:p>
    <w:p w:rsidR="00555CF5" w:rsidRPr="00D11BC7" w:rsidRDefault="00555CF5" w:rsidP="00D11BC7">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7"/>
      </w:tblGrid>
      <w:tr w:rsidR="00D11BC7" w:rsidRPr="004F35DD" w:rsidTr="00F31FBD">
        <w:trPr>
          <w:trHeight w:val="416"/>
        </w:trPr>
        <w:tc>
          <w:tcPr>
            <w:tcW w:w="9797" w:type="dxa"/>
            <w:shd w:val="clear" w:color="auto" w:fill="C6D9F1"/>
            <w:vAlign w:val="center"/>
          </w:tcPr>
          <w:p w:rsidR="00D11BC7" w:rsidRPr="004F35DD" w:rsidRDefault="00E47CAB" w:rsidP="00D11BC7">
            <w:pPr>
              <w:spacing w:after="0" w:line="240" w:lineRule="auto"/>
              <w:rPr>
                <w:rFonts w:ascii="Times New Roman" w:hAnsi="Times New Roman"/>
                <w:b/>
                <w:bCs/>
                <w:sz w:val="24"/>
                <w:szCs w:val="24"/>
              </w:rPr>
            </w:pPr>
            <w:r>
              <w:rPr>
                <w:rFonts w:ascii="Times New Roman" w:hAnsi="Times New Roman"/>
                <w:b/>
                <w:bCs/>
                <w:sz w:val="24"/>
                <w:szCs w:val="24"/>
              </w:rPr>
              <w:t>7</w:t>
            </w:r>
            <w:r w:rsidR="00D11BC7" w:rsidRPr="004F35DD">
              <w:rPr>
                <w:rFonts w:ascii="Times New Roman" w:hAnsi="Times New Roman"/>
                <w:b/>
                <w:bCs/>
                <w:sz w:val="24"/>
                <w:szCs w:val="24"/>
              </w:rPr>
              <w:t>.2.</w:t>
            </w:r>
            <w:r w:rsidR="00D11BC7">
              <w:rPr>
                <w:rFonts w:ascii="Times New Roman" w:hAnsi="Times New Roman"/>
                <w:b/>
                <w:bCs/>
                <w:sz w:val="24"/>
                <w:szCs w:val="24"/>
              </w:rPr>
              <w:t xml:space="preserve">2. </w:t>
            </w:r>
            <w:r w:rsidR="00D11BC7" w:rsidRPr="004F35DD">
              <w:rPr>
                <w:rFonts w:ascii="Times New Roman" w:hAnsi="Times New Roman"/>
                <w:b/>
                <w:bCs/>
                <w:sz w:val="24"/>
                <w:szCs w:val="24"/>
              </w:rPr>
              <w:t>ESF: Visuotinės dotacijos</w:t>
            </w:r>
          </w:p>
        </w:tc>
      </w:tr>
    </w:tbl>
    <w:p w:rsidR="00AE05E1" w:rsidRDefault="00AE05E1" w:rsidP="00AE05E1">
      <w:pPr>
        <w:spacing w:after="0" w:line="240" w:lineRule="auto"/>
        <w:rPr>
          <w:rFonts w:ascii="Times New Roman" w:hAnsi="Times New Roman"/>
          <w:sz w:val="24"/>
          <w:szCs w:val="24"/>
        </w:rPr>
      </w:pPr>
    </w:p>
    <w:p w:rsidR="00AE05E1" w:rsidRDefault="008A5800" w:rsidP="00AE05E1">
      <w:pPr>
        <w:spacing w:after="0" w:line="240" w:lineRule="auto"/>
        <w:rPr>
          <w:rFonts w:ascii="Times New Roman" w:hAnsi="Times New Roman"/>
          <w:sz w:val="24"/>
          <w:szCs w:val="24"/>
        </w:rPr>
      </w:pPr>
      <w:r>
        <w:rPr>
          <w:rFonts w:ascii="Times New Roman" w:hAnsi="Times New Roman"/>
          <w:sz w:val="24"/>
          <w:szCs w:val="24"/>
        </w:rPr>
        <w:t>N</w:t>
      </w:r>
      <w:r w:rsidR="00AE05E1">
        <w:rPr>
          <w:rFonts w:ascii="Times New Roman" w:hAnsi="Times New Roman"/>
          <w:sz w:val="24"/>
          <w:szCs w:val="24"/>
        </w:rPr>
        <w:t>eplanuojama taikyti tokio mechanizmo.</w:t>
      </w:r>
    </w:p>
    <w:p w:rsidR="00AE05E1" w:rsidRDefault="00AE05E1" w:rsidP="00AE05E1">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7"/>
      </w:tblGrid>
      <w:tr w:rsidR="00D11BC7" w:rsidRPr="004F35DD" w:rsidTr="00F31FBD">
        <w:trPr>
          <w:trHeight w:val="416"/>
        </w:trPr>
        <w:tc>
          <w:tcPr>
            <w:tcW w:w="9797" w:type="dxa"/>
            <w:shd w:val="clear" w:color="auto" w:fill="C6D9F1"/>
            <w:vAlign w:val="center"/>
          </w:tcPr>
          <w:p w:rsidR="00D11BC7" w:rsidRPr="003E0F8A" w:rsidRDefault="00E47CAB" w:rsidP="00D11BC7">
            <w:pPr>
              <w:spacing w:after="0" w:line="240" w:lineRule="auto"/>
              <w:rPr>
                <w:rFonts w:ascii="Times New Roman" w:hAnsi="Times New Roman"/>
                <w:b/>
                <w:bCs/>
                <w:sz w:val="24"/>
                <w:szCs w:val="24"/>
              </w:rPr>
            </w:pPr>
            <w:r w:rsidRPr="003E0F8A">
              <w:rPr>
                <w:rFonts w:ascii="Times New Roman" w:hAnsi="Times New Roman"/>
                <w:b/>
                <w:bCs/>
                <w:sz w:val="24"/>
                <w:szCs w:val="24"/>
              </w:rPr>
              <w:t>7</w:t>
            </w:r>
            <w:r w:rsidR="00D11BC7" w:rsidRPr="003E0F8A">
              <w:rPr>
                <w:rFonts w:ascii="Times New Roman" w:hAnsi="Times New Roman"/>
                <w:b/>
                <w:bCs/>
                <w:sz w:val="24"/>
                <w:szCs w:val="24"/>
              </w:rPr>
              <w:t>.2.3. ESF</w:t>
            </w:r>
            <w:r w:rsidR="006539D0" w:rsidRPr="003E0F8A">
              <w:rPr>
                <w:rFonts w:ascii="Times New Roman" w:hAnsi="Times New Roman"/>
                <w:b/>
                <w:bCs/>
                <w:sz w:val="24"/>
                <w:szCs w:val="24"/>
              </w:rPr>
              <w:t>,</w:t>
            </w:r>
            <w:r w:rsidR="00D11BC7" w:rsidRPr="003E0F8A">
              <w:rPr>
                <w:rFonts w:ascii="Times New Roman" w:hAnsi="Times New Roman"/>
                <w:b/>
                <w:bCs/>
                <w:sz w:val="24"/>
                <w:szCs w:val="24"/>
              </w:rPr>
              <w:t xml:space="preserve"> kur taikoma: Ištekliai skiriami gebėjimų stiprinimui</w:t>
            </w:r>
          </w:p>
        </w:tc>
      </w:tr>
    </w:tbl>
    <w:p w:rsidR="00AE05E1" w:rsidRPr="00517953" w:rsidRDefault="00AE05E1" w:rsidP="00AE05E1">
      <w:pPr>
        <w:spacing w:after="0" w:line="240" w:lineRule="auto"/>
        <w:rPr>
          <w:rFonts w:ascii="Times New Roman" w:hAnsi="Times New Roman"/>
          <w:i/>
          <w:sz w:val="24"/>
          <w:szCs w:val="24"/>
        </w:rPr>
      </w:pPr>
    </w:p>
    <w:p w:rsidR="00E619C2" w:rsidRPr="00E619C2" w:rsidRDefault="00E619C2" w:rsidP="003E0F8A">
      <w:pPr>
        <w:spacing w:after="0" w:line="240" w:lineRule="auto"/>
        <w:ind w:firstLine="851"/>
        <w:jc w:val="both"/>
        <w:rPr>
          <w:rFonts w:ascii="Times New Roman" w:eastAsia="AngsanaUPC" w:hAnsi="Times New Roman"/>
          <w:bCs/>
          <w:sz w:val="24"/>
          <w:szCs w:val="24"/>
          <w:lang w:eastAsia="lt-LT"/>
        </w:rPr>
      </w:pPr>
      <w:r w:rsidRPr="00E619C2">
        <w:rPr>
          <w:rFonts w:ascii="Times New Roman" w:hAnsi="Times New Roman"/>
          <w:sz w:val="24"/>
          <w:szCs w:val="24"/>
        </w:rPr>
        <w:t xml:space="preserve">Socialinių partnerių, </w:t>
      </w:r>
      <w:r w:rsidR="006D3D44">
        <w:rPr>
          <w:rFonts w:ascii="Times New Roman" w:hAnsi="Times New Roman"/>
          <w:sz w:val="24"/>
          <w:szCs w:val="24"/>
        </w:rPr>
        <w:t>NVO</w:t>
      </w:r>
      <w:r w:rsidRPr="00E619C2">
        <w:rPr>
          <w:rFonts w:ascii="Times New Roman" w:hAnsi="Times New Roman"/>
          <w:sz w:val="24"/>
          <w:szCs w:val="24"/>
        </w:rPr>
        <w:t xml:space="preserve"> ir viešojo sektoriaus organizacijų gebėjimų stiprinimas yra horizontali sritis ir bus skatinama derinant investicijas iš įvairių investicinių prioritetų. Daug dėmesio šiai sričiai skiriama pagal </w:t>
      </w:r>
      <w:r w:rsidR="00CF4C9A">
        <w:rPr>
          <w:rFonts w:ascii="Times New Roman" w:hAnsi="Times New Roman"/>
          <w:sz w:val="24"/>
          <w:szCs w:val="24"/>
        </w:rPr>
        <w:t>8</w:t>
      </w:r>
      <w:r w:rsidRPr="00E619C2">
        <w:rPr>
          <w:rFonts w:ascii="Times New Roman" w:hAnsi="Times New Roman"/>
          <w:sz w:val="24"/>
          <w:szCs w:val="24"/>
        </w:rPr>
        <w:t xml:space="preserve"> </w:t>
      </w:r>
      <w:r w:rsidR="00CF4C9A">
        <w:rPr>
          <w:rFonts w:ascii="Times New Roman" w:hAnsi="Times New Roman"/>
          <w:sz w:val="24"/>
          <w:szCs w:val="24"/>
        </w:rPr>
        <w:t>prioriteto</w:t>
      </w:r>
      <w:r w:rsidRPr="00E619C2">
        <w:rPr>
          <w:rFonts w:ascii="Times New Roman" w:hAnsi="Times New Roman"/>
          <w:sz w:val="24"/>
          <w:szCs w:val="24"/>
        </w:rPr>
        <w:t xml:space="preserve"> „</w:t>
      </w:r>
      <w:r w:rsidR="00CF4C9A">
        <w:rPr>
          <w:rFonts w:ascii="Times New Roman" w:hAnsi="Times New Roman"/>
          <w:sz w:val="24"/>
          <w:szCs w:val="24"/>
        </w:rPr>
        <w:t>Socialinės verslininkystės ir profesinės integracijos socialinėse įmonėse bei socialinės ir solidarumo ekonomikos skatinimas siekiant padidinti įsidarbinimo galimybes</w:t>
      </w:r>
      <w:r w:rsidRPr="00E619C2">
        <w:rPr>
          <w:rFonts w:ascii="Times New Roman" w:hAnsi="Times New Roman"/>
          <w:sz w:val="24"/>
          <w:szCs w:val="24"/>
        </w:rPr>
        <w:t xml:space="preserve">“ investicinį prioritetą. Planuojama skatinti užimtumo ir socialinės politikos įgyvendinimo partnerystę tarp viešojo, privataus ir trečiojo sektorių (nacionaliniu ir vietos lygiu), įtraukiant </w:t>
      </w:r>
      <w:r w:rsidR="006D3D44">
        <w:rPr>
          <w:rFonts w:ascii="Times New Roman" w:hAnsi="Times New Roman"/>
          <w:sz w:val="24"/>
          <w:szCs w:val="24"/>
        </w:rPr>
        <w:t>NVO</w:t>
      </w:r>
      <w:r w:rsidRPr="00E619C2">
        <w:rPr>
          <w:rFonts w:ascii="Times New Roman" w:hAnsi="Times New Roman"/>
          <w:sz w:val="24"/>
          <w:szCs w:val="24"/>
        </w:rPr>
        <w:t xml:space="preserve">, mokymo įstaigas ir vietos bendruomenę. Dalyvavimas priimant sprendimus ir juos gyvendinant išplės socialinių partnerių ir </w:t>
      </w:r>
      <w:r w:rsidR="006D3D44">
        <w:rPr>
          <w:rFonts w:ascii="Times New Roman" w:hAnsi="Times New Roman"/>
          <w:sz w:val="24"/>
          <w:szCs w:val="24"/>
        </w:rPr>
        <w:t>NVO</w:t>
      </w:r>
      <w:r w:rsidR="006D3D44" w:rsidRPr="00E619C2">
        <w:rPr>
          <w:rFonts w:ascii="Times New Roman" w:hAnsi="Times New Roman"/>
          <w:sz w:val="24"/>
          <w:szCs w:val="24"/>
        </w:rPr>
        <w:t xml:space="preserve"> </w:t>
      </w:r>
      <w:r w:rsidRPr="00E619C2">
        <w:rPr>
          <w:rFonts w:ascii="Times New Roman" w:hAnsi="Times New Roman"/>
          <w:sz w:val="24"/>
          <w:szCs w:val="24"/>
        </w:rPr>
        <w:t>organizacines, bendradarbiavimo bei profesines kompetencijas. Analogiškai įgyvendinant 8 teminio tikslo investicinį prioritetą</w:t>
      </w:r>
      <w:r w:rsidRPr="001C32D8">
        <w:rPr>
          <w:rFonts w:ascii="Times New Roman" w:hAnsi="Times New Roman"/>
          <w:sz w:val="24"/>
          <w:szCs w:val="24"/>
        </w:rPr>
        <w:t xml:space="preserve"> </w:t>
      </w:r>
      <w:r w:rsidRPr="00E619C2">
        <w:rPr>
          <w:rFonts w:ascii="Times New Roman" w:hAnsi="Times New Roman"/>
          <w:sz w:val="24"/>
          <w:szCs w:val="24"/>
        </w:rPr>
        <w:t>„Ieškantiems darbo ir neaktyviems asmenims galimybės gauti darbą suteikimas, be kita ko pasitelkiant vietos užimtumo iniciatyvas ir remiant darbo jėgos judumą“</w:t>
      </w:r>
      <w:r w:rsidRPr="00E619C2">
        <w:rPr>
          <w:rFonts w:ascii="Times New Roman" w:eastAsia="AngsanaUPC" w:hAnsi="Times New Roman"/>
          <w:bCs/>
          <w:sz w:val="24"/>
          <w:szCs w:val="24"/>
          <w:lang w:eastAsia="lt-LT"/>
        </w:rPr>
        <w:t>, numatyta plėsti visuomenės supratimą apie lygias galimybes. Viena šio uždavinio veiklų numato stiprinti lyčių lygybės ir lygių galimybių srityje dirbančių organizacijų gebėjimus.</w:t>
      </w:r>
    </w:p>
    <w:p w:rsidR="00E619C2" w:rsidRPr="00E619C2" w:rsidRDefault="00E619C2" w:rsidP="003E0F8A">
      <w:pPr>
        <w:spacing w:after="0" w:line="240" w:lineRule="auto"/>
        <w:ind w:firstLine="851"/>
        <w:jc w:val="both"/>
        <w:rPr>
          <w:rFonts w:ascii="Times New Roman" w:hAnsi="Times New Roman"/>
          <w:sz w:val="24"/>
          <w:szCs w:val="24"/>
          <w:lang w:eastAsia="lt-LT"/>
        </w:rPr>
      </w:pPr>
      <w:r w:rsidRPr="00E619C2">
        <w:rPr>
          <w:rFonts w:ascii="Times New Roman" w:hAnsi="Times New Roman"/>
          <w:sz w:val="24"/>
          <w:szCs w:val="24"/>
        </w:rPr>
        <w:t xml:space="preserve">Investiciniai prioritetai, skirti socialinių paslaugų plėtrai ir jų infrastruktūros vystymui, taip pat prisidės prie socialinių partnerių ir </w:t>
      </w:r>
      <w:r w:rsidR="006D3D44">
        <w:rPr>
          <w:rFonts w:ascii="Times New Roman" w:hAnsi="Times New Roman"/>
          <w:sz w:val="24"/>
          <w:szCs w:val="24"/>
        </w:rPr>
        <w:t>NVO</w:t>
      </w:r>
      <w:r w:rsidR="006D3D44" w:rsidRPr="00E619C2">
        <w:rPr>
          <w:rFonts w:ascii="Times New Roman" w:hAnsi="Times New Roman"/>
          <w:sz w:val="24"/>
          <w:szCs w:val="24"/>
        </w:rPr>
        <w:t xml:space="preserve"> </w:t>
      </w:r>
      <w:r w:rsidRPr="00E619C2">
        <w:rPr>
          <w:rFonts w:ascii="Times New Roman" w:hAnsi="Times New Roman"/>
          <w:sz w:val="24"/>
          <w:szCs w:val="24"/>
        </w:rPr>
        <w:t xml:space="preserve">gebėjimų stiprinimo. Įgyvendinant 9 teminio tikslo investicinius prioritetus „Investicijos į sveikatos ir socialinę infrastruktūrą, kuria prisidedama prie nacionalinės, regionų ir vietos plėtros, nelygybės mažinimas sveikatos atžvilgiu ir perėjimas nuo institucinių prie bendruomenės paslaugų“ ir „Galimybių gauti įperkamas, </w:t>
      </w:r>
      <w:r w:rsidR="00DA6047">
        <w:rPr>
          <w:rFonts w:ascii="Times New Roman" w:hAnsi="Times New Roman"/>
          <w:sz w:val="24"/>
          <w:szCs w:val="24"/>
        </w:rPr>
        <w:t>darnias</w:t>
      </w:r>
      <w:r w:rsidRPr="00E619C2">
        <w:rPr>
          <w:rFonts w:ascii="Times New Roman" w:hAnsi="Times New Roman"/>
          <w:sz w:val="24"/>
          <w:szCs w:val="24"/>
        </w:rPr>
        <w:t xml:space="preserve"> ir aukštos kokybės paslaugas didinimas, įskaitant sveikatos priežiūrą ir visuotinės svarbos socialines paslaugas”</w:t>
      </w:r>
      <w:r w:rsidR="005D5DAF">
        <w:rPr>
          <w:rFonts w:ascii="Times New Roman" w:hAnsi="Times New Roman"/>
          <w:sz w:val="24"/>
          <w:szCs w:val="24"/>
        </w:rPr>
        <w:t>,</w:t>
      </w:r>
      <w:r w:rsidRPr="00E619C2">
        <w:rPr>
          <w:rFonts w:ascii="Times New Roman" w:hAnsi="Times New Roman"/>
          <w:sz w:val="24"/>
          <w:szCs w:val="24"/>
        </w:rPr>
        <w:t xml:space="preserve"> planuojama remti veiklas, skirtas plėsti socialinių paslaugų infrastruktūrą, vystyti bendruomenines socialines paslaugas ir paslaugas sunkumų patiriančioms šeimoms. Numatyta socialinius partnerius ir </w:t>
      </w:r>
      <w:r w:rsidR="006D3D44">
        <w:rPr>
          <w:rFonts w:ascii="Times New Roman" w:hAnsi="Times New Roman"/>
          <w:sz w:val="24"/>
          <w:szCs w:val="24"/>
        </w:rPr>
        <w:t>NVO</w:t>
      </w:r>
      <w:r w:rsidR="006D3D44" w:rsidRPr="00E619C2">
        <w:rPr>
          <w:rFonts w:ascii="Times New Roman" w:hAnsi="Times New Roman"/>
          <w:sz w:val="24"/>
          <w:szCs w:val="24"/>
        </w:rPr>
        <w:t xml:space="preserve"> </w:t>
      </w:r>
      <w:r w:rsidRPr="00E619C2">
        <w:rPr>
          <w:rFonts w:ascii="Times New Roman" w:hAnsi="Times New Roman"/>
          <w:sz w:val="24"/>
          <w:szCs w:val="24"/>
        </w:rPr>
        <w:t xml:space="preserve">įtraukti tiek į šių veiklų planavimą, tiek ir įgyvendinimą: diskusijas dėl socialinių paslaugų teikimo, sprendimų priėmimą bei projektų vykdymą. Bus skatinamas biudžetinių įstaigų ir </w:t>
      </w:r>
      <w:r w:rsidR="006D3D44">
        <w:rPr>
          <w:rFonts w:ascii="Times New Roman" w:hAnsi="Times New Roman"/>
          <w:sz w:val="24"/>
          <w:szCs w:val="24"/>
        </w:rPr>
        <w:t>NVO</w:t>
      </w:r>
      <w:r w:rsidR="006D3D44" w:rsidRPr="00E619C2">
        <w:rPr>
          <w:rFonts w:ascii="Times New Roman" w:hAnsi="Times New Roman"/>
          <w:sz w:val="24"/>
          <w:szCs w:val="24"/>
        </w:rPr>
        <w:t xml:space="preserve"> </w:t>
      </w:r>
      <w:r w:rsidRPr="00E619C2">
        <w:rPr>
          <w:rFonts w:ascii="Times New Roman" w:hAnsi="Times New Roman"/>
          <w:sz w:val="24"/>
          <w:szCs w:val="24"/>
        </w:rPr>
        <w:t>bendradarbiavimas, ypač siekiant koordinuoti socialinių paslaugų teikimą visos savivaldybės mastu. Bus remiamos iniciatyvos, skatinančios</w:t>
      </w:r>
      <w:r w:rsidRPr="00E619C2">
        <w:rPr>
          <w:rFonts w:ascii="Times New Roman" w:hAnsi="Times New Roman"/>
          <w:sz w:val="24"/>
          <w:szCs w:val="24"/>
          <w:lang w:eastAsia="lt-LT"/>
        </w:rPr>
        <w:t xml:space="preserve"> bendradarbiavimą tarp sektorių, tarp institucijų, tarp nacionalinio ir vietos lygmens teikiant ir kuriant socialines paslaugas. </w:t>
      </w:r>
    </w:p>
    <w:p w:rsidR="00E619C2" w:rsidRDefault="00E619C2" w:rsidP="003E0F8A">
      <w:pPr>
        <w:spacing w:after="0" w:line="240" w:lineRule="auto"/>
        <w:ind w:firstLine="851"/>
        <w:jc w:val="both"/>
        <w:rPr>
          <w:rFonts w:ascii="Times New Roman" w:eastAsia="AngsanaUPC" w:hAnsi="Times New Roman"/>
          <w:bCs/>
          <w:sz w:val="24"/>
          <w:szCs w:val="24"/>
          <w:lang w:eastAsia="lt-LT"/>
        </w:rPr>
      </w:pPr>
      <w:r w:rsidRPr="00E619C2">
        <w:rPr>
          <w:rFonts w:ascii="Times New Roman" w:eastAsia="AngsanaUPC" w:hAnsi="Times New Roman"/>
          <w:bCs/>
          <w:sz w:val="24"/>
          <w:szCs w:val="24"/>
          <w:lang w:eastAsia="lt-LT"/>
        </w:rPr>
        <w:t xml:space="preserve">Keletas skirtingų investicinių prioritetų numato socialines ir užimtumo paslaugas teikiančių darbuotojų gebėjimų stiprinimą. Pirmiausia, įgyvendinant jau minėtus investicinius prioritetus, skirtus socialinių paslaugų plėtrai ir jų infrastruktūros vystymui, numatyta tobulinti socialines paslaugas teikiančių ir administruojančių darbuotojų kompetencijas (tiek biudžetinėse, tiek </w:t>
      </w:r>
      <w:r w:rsidR="006D3D44">
        <w:rPr>
          <w:rFonts w:ascii="Times New Roman" w:hAnsi="Times New Roman"/>
          <w:sz w:val="24"/>
          <w:szCs w:val="24"/>
        </w:rPr>
        <w:t>NVO</w:t>
      </w:r>
      <w:r w:rsidRPr="00E619C2">
        <w:rPr>
          <w:rFonts w:ascii="Times New Roman" w:eastAsia="AngsanaUPC" w:hAnsi="Times New Roman"/>
          <w:bCs/>
          <w:sz w:val="24"/>
          <w:szCs w:val="24"/>
          <w:lang w:eastAsia="lt-LT"/>
        </w:rPr>
        <w:t>). Antra, įgyvendinant investicinio prioriteto „</w:t>
      </w:r>
      <w:r w:rsidRPr="00E619C2">
        <w:rPr>
          <w:rFonts w:ascii="Times New Roman" w:hAnsi="Times New Roman"/>
          <w:sz w:val="24"/>
          <w:szCs w:val="24"/>
        </w:rPr>
        <w:t>Ieškantiems darbo ir neaktyviems asmenims galimybės gauti darbą suteikimas&lt;...&gt;“</w:t>
      </w:r>
      <w:r w:rsidRPr="00E619C2">
        <w:rPr>
          <w:rFonts w:ascii="Times New Roman" w:eastAsia="AngsanaUPC" w:hAnsi="Times New Roman"/>
          <w:bCs/>
          <w:sz w:val="24"/>
          <w:szCs w:val="24"/>
          <w:lang w:eastAsia="lt-LT"/>
        </w:rPr>
        <w:t xml:space="preserve"> veiklas, numatoma didinti valstybės įdarbinimo tarnybos efektyvumą gerinant darbuotojų kompetencijas ir gebėjimus teikti kokybiškas individualizuotas paslaugas. </w:t>
      </w:r>
    </w:p>
    <w:p w:rsidR="00E619C2" w:rsidRPr="00E619C2" w:rsidRDefault="00E619C2" w:rsidP="00E619C2">
      <w:pPr>
        <w:spacing w:after="0" w:line="240" w:lineRule="auto"/>
        <w:jc w:val="both"/>
        <w:rPr>
          <w:rFonts w:ascii="Times New Roman" w:eastAsia="AngsanaUPC" w:hAnsi="Times New Roman"/>
          <w:bCs/>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7"/>
      </w:tblGrid>
      <w:tr w:rsidR="000A715B" w:rsidRPr="00F662E8" w:rsidTr="00462453">
        <w:trPr>
          <w:trHeight w:val="703"/>
        </w:trPr>
        <w:tc>
          <w:tcPr>
            <w:tcW w:w="9797" w:type="dxa"/>
            <w:shd w:val="clear" w:color="auto" w:fill="C6D9F1"/>
            <w:vAlign w:val="center"/>
          </w:tcPr>
          <w:p w:rsidR="000A715B" w:rsidRPr="00372DA9" w:rsidRDefault="00E47CAB" w:rsidP="000A715B">
            <w:pPr>
              <w:pStyle w:val="Antrat1"/>
              <w:rPr>
                <w:rFonts w:eastAsia="AngsanaUPC"/>
                <w:lang w:val="lt-LT" w:eastAsia="lt-LT"/>
              </w:rPr>
            </w:pPr>
            <w:bookmarkStart w:id="26" w:name="_Toc69836239"/>
            <w:r w:rsidRPr="00372DA9">
              <w:rPr>
                <w:rFonts w:eastAsia="AngsanaUPC"/>
                <w:lang w:val="lt-LT" w:eastAsia="lt-LT"/>
              </w:rPr>
              <w:t>8</w:t>
            </w:r>
            <w:r w:rsidR="000A715B" w:rsidRPr="00372DA9">
              <w:rPr>
                <w:rFonts w:eastAsia="AngsanaUPC"/>
                <w:lang w:val="lt-LT" w:eastAsia="lt-LT"/>
              </w:rPr>
              <w:t>. SKYRIUS. KOORDINAVIMAS TARP FONDŲ, EŽŪFKP, EJRŽF IR KITŲ ES IR NACIONALINIŲ FINANSAVIMO INSTRUMENTŲ BEI EIB</w:t>
            </w:r>
            <w:bookmarkEnd w:id="26"/>
          </w:p>
        </w:tc>
      </w:tr>
    </w:tbl>
    <w:p w:rsidR="00F662E8" w:rsidRPr="00F662E8" w:rsidRDefault="00F662E8" w:rsidP="00F662E8">
      <w:pPr>
        <w:widowControl w:val="0"/>
        <w:tabs>
          <w:tab w:val="left" w:pos="622"/>
        </w:tabs>
        <w:spacing w:after="0" w:line="240" w:lineRule="auto"/>
        <w:jc w:val="both"/>
        <w:rPr>
          <w:rFonts w:ascii="Times New Roman" w:eastAsia="AngsanaUPC" w:hAnsi="Times New Roman"/>
          <w:b/>
          <w:bCs/>
          <w:sz w:val="24"/>
          <w:szCs w:val="24"/>
          <w:lang w:eastAsia="lt-LT"/>
        </w:rPr>
      </w:pPr>
    </w:p>
    <w:p w:rsidR="00F662E8" w:rsidRDefault="00F662E8" w:rsidP="00F662E8">
      <w:pPr>
        <w:widowControl w:val="0"/>
        <w:tabs>
          <w:tab w:val="left" w:pos="622"/>
        </w:tabs>
        <w:spacing w:after="0" w:line="240" w:lineRule="auto"/>
        <w:jc w:val="both"/>
        <w:rPr>
          <w:rFonts w:ascii="Times New Roman" w:eastAsia="AngsanaUPC" w:hAnsi="Times New Roman"/>
          <w:bCs/>
          <w:sz w:val="24"/>
          <w:szCs w:val="24"/>
          <w:lang w:eastAsia="lt-LT"/>
        </w:rPr>
      </w:pPr>
      <w:r w:rsidRPr="00F662E8">
        <w:rPr>
          <w:rFonts w:ascii="Times New Roman" w:eastAsia="AngsanaUPC" w:hAnsi="Times New Roman"/>
          <w:bCs/>
          <w:sz w:val="24"/>
          <w:szCs w:val="24"/>
          <w:lang w:eastAsia="lt-LT"/>
        </w:rPr>
        <w:t>Žr. Partnerystės sutarties 2.1.1. skyrių</w:t>
      </w:r>
      <w:r>
        <w:rPr>
          <w:rFonts w:ascii="Times New Roman" w:eastAsia="AngsanaUPC" w:hAnsi="Times New Roman"/>
          <w:bCs/>
          <w:sz w:val="24"/>
          <w:szCs w:val="24"/>
          <w:lang w:eastAsia="lt-LT"/>
        </w:rPr>
        <w:t>.</w:t>
      </w:r>
    </w:p>
    <w:p w:rsidR="00716A74" w:rsidRPr="00F662E8" w:rsidRDefault="00716A74" w:rsidP="00F662E8">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7"/>
      </w:tblGrid>
      <w:tr w:rsidR="000A715B" w:rsidRPr="00F662E8" w:rsidTr="00462453">
        <w:trPr>
          <w:trHeight w:val="557"/>
        </w:trPr>
        <w:tc>
          <w:tcPr>
            <w:tcW w:w="9797" w:type="dxa"/>
            <w:shd w:val="clear" w:color="auto" w:fill="C6D9F1"/>
            <w:vAlign w:val="center"/>
          </w:tcPr>
          <w:p w:rsidR="000A715B" w:rsidRPr="00372DA9" w:rsidRDefault="00E47CAB" w:rsidP="000A715B">
            <w:pPr>
              <w:pStyle w:val="Antrat1"/>
              <w:rPr>
                <w:rFonts w:eastAsia="AngsanaUPC"/>
                <w:lang w:val="lt-LT" w:eastAsia="lt-LT"/>
              </w:rPr>
            </w:pPr>
            <w:bookmarkStart w:id="27" w:name="_Toc69836240"/>
            <w:r w:rsidRPr="00372DA9">
              <w:rPr>
                <w:rFonts w:eastAsia="AngsanaUPC"/>
                <w:lang w:val="lt-LT" w:eastAsia="lt-LT"/>
              </w:rPr>
              <w:t>9</w:t>
            </w:r>
            <w:r w:rsidR="000A715B" w:rsidRPr="00372DA9">
              <w:rPr>
                <w:rFonts w:eastAsia="AngsanaUPC"/>
                <w:lang w:val="lt-LT" w:eastAsia="lt-LT"/>
              </w:rPr>
              <w:t xml:space="preserve">. SKYRIUS. </w:t>
            </w:r>
            <w:r w:rsidR="000A715B" w:rsidRPr="00372DA9">
              <w:rPr>
                <w:rFonts w:eastAsia="AngsanaUPC"/>
                <w:i/>
                <w:lang w:val="lt-LT" w:eastAsia="lt-LT"/>
              </w:rPr>
              <w:t>EX ANTE</w:t>
            </w:r>
            <w:r w:rsidR="000A715B" w:rsidRPr="00372DA9">
              <w:rPr>
                <w:rFonts w:eastAsia="AngsanaUPC"/>
                <w:lang w:val="lt-LT" w:eastAsia="lt-LT"/>
              </w:rPr>
              <w:t xml:space="preserve"> SĄLYGOS</w:t>
            </w:r>
            <w:bookmarkEnd w:id="27"/>
          </w:p>
        </w:tc>
      </w:tr>
    </w:tbl>
    <w:p w:rsidR="00F662E8" w:rsidRPr="00F662E8" w:rsidRDefault="00F662E8" w:rsidP="00F662E8">
      <w:pPr>
        <w:widowControl w:val="0"/>
        <w:tabs>
          <w:tab w:val="left" w:pos="622"/>
        </w:tabs>
        <w:spacing w:after="0" w:line="240" w:lineRule="auto"/>
        <w:jc w:val="both"/>
        <w:rPr>
          <w:rFonts w:ascii="Times New Roman" w:eastAsia="AngsanaUPC" w:hAnsi="Times New Roman"/>
          <w:bCs/>
          <w:sz w:val="24"/>
          <w:szCs w:val="24"/>
          <w:lang w:eastAsia="lt-LT"/>
        </w:rPr>
      </w:pPr>
    </w:p>
    <w:p w:rsidR="00F662E8" w:rsidRPr="003B44CE" w:rsidRDefault="00F662E8" w:rsidP="003B44CE">
      <w:pPr>
        <w:widowControl w:val="0"/>
        <w:tabs>
          <w:tab w:val="left" w:pos="622"/>
        </w:tabs>
        <w:spacing w:after="0"/>
        <w:jc w:val="both"/>
        <w:rPr>
          <w:rFonts w:ascii="Times New Roman" w:eastAsia="AngsanaUPC" w:hAnsi="Times New Roman"/>
          <w:bCs/>
          <w:sz w:val="24"/>
          <w:szCs w:val="24"/>
          <w:lang w:eastAsia="lt-LT"/>
        </w:rPr>
      </w:pPr>
      <w:r w:rsidRPr="003B44CE">
        <w:rPr>
          <w:rFonts w:ascii="Times New Roman" w:eastAsia="AngsanaUPC" w:hAnsi="Times New Roman"/>
          <w:bCs/>
          <w:sz w:val="24"/>
          <w:szCs w:val="24"/>
          <w:lang w:eastAsia="lt-LT"/>
        </w:rPr>
        <w:t xml:space="preserve">Žr. </w:t>
      </w:r>
      <w:r w:rsidR="00330D8B" w:rsidRPr="003B44CE">
        <w:rPr>
          <w:rFonts w:ascii="Times New Roman" w:eastAsia="AngsanaUPC" w:hAnsi="Times New Roman"/>
          <w:bCs/>
          <w:sz w:val="24"/>
          <w:szCs w:val="24"/>
          <w:lang w:eastAsia="lt-LT"/>
        </w:rPr>
        <w:t xml:space="preserve">Veiksmų programos </w:t>
      </w:r>
      <w:r w:rsidR="000D2B0C">
        <w:rPr>
          <w:rFonts w:ascii="Times New Roman" w:eastAsia="AngsanaUPC" w:hAnsi="Times New Roman"/>
          <w:bCs/>
          <w:sz w:val="24"/>
          <w:szCs w:val="24"/>
          <w:lang w:eastAsia="lt-LT"/>
        </w:rPr>
        <w:t>1 ir 2</w:t>
      </w:r>
      <w:r w:rsidR="00665339">
        <w:rPr>
          <w:rFonts w:ascii="Times New Roman" w:eastAsia="AngsanaUPC" w:hAnsi="Times New Roman"/>
          <w:bCs/>
          <w:sz w:val="24"/>
          <w:szCs w:val="24"/>
          <w:lang w:eastAsia="lt-LT"/>
        </w:rPr>
        <w:t xml:space="preserve"> </w:t>
      </w:r>
      <w:r w:rsidR="005F6180" w:rsidRPr="003B44CE">
        <w:rPr>
          <w:rFonts w:ascii="Times New Roman" w:eastAsia="AngsanaUPC" w:hAnsi="Times New Roman"/>
          <w:bCs/>
          <w:sz w:val="24"/>
          <w:szCs w:val="24"/>
          <w:lang w:eastAsia="lt-LT"/>
        </w:rPr>
        <w:t>pried</w:t>
      </w:r>
      <w:r w:rsidR="00665339">
        <w:rPr>
          <w:rFonts w:ascii="Times New Roman" w:eastAsia="AngsanaUPC" w:hAnsi="Times New Roman"/>
          <w:bCs/>
          <w:sz w:val="24"/>
          <w:szCs w:val="24"/>
          <w:lang w:eastAsia="lt-LT"/>
        </w:rPr>
        <w:t>us</w:t>
      </w:r>
      <w:r w:rsidR="003B44CE" w:rsidRPr="003B44CE">
        <w:rPr>
          <w:rFonts w:ascii="Times New Roman" w:eastAsia="AngsanaUPC" w:hAnsi="Times New Roman"/>
          <w:bCs/>
          <w:sz w:val="24"/>
          <w:szCs w:val="24"/>
          <w:lang w:eastAsia="lt-LT"/>
        </w:rPr>
        <w:t xml:space="preserve"> dėl taikomų </w:t>
      </w:r>
      <w:r w:rsidR="003B44CE" w:rsidRPr="003B44CE">
        <w:rPr>
          <w:rFonts w:ascii="Times New Roman" w:eastAsia="AngsanaUPC" w:hAnsi="Times New Roman"/>
          <w:bCs/>
          <w:i/>
          <w:sz w:val="24"/>
          <w:szCs w:val="24"/>
          <w:lang w:eastAsia="lt-LT"/>
        </w:rPr>
        <w:t>ex ante</w:t>
      </w:r>
      <w:r w:rsidR="003B44CE" w:rsidRPr="003B44CE">
        <w:rPr>
          <w:rFonts w:ascii="Times New Roman" w:eastAsia="AngsanaUPC" w:hAnsi="Times New Roman"/>
          <w:bCs/>
          <w:sz w:val="24"/>
          <w:szCs w:val="24"/>
          <w:lang w:eastAsia="lt-LT"/>
        </w:rPr>
        <w:t xml:space="preserve"> sąlygų nustatymo</w:t>
      </w:r>
      <w:r w:rsidR="00AC0209">
        <w:rPr>
          <w:rFonts w:ascii="Times New Roman" w:eastAsia="AngsanaUPC" w:hAnsi="Times New Roman"/>
          <w:bCs/>
          <w:sz w:val="24"/>
          <w:szCs w:val="24"/>
          <w:lang w:eastAsia="lt-LT"/>
        </w:rPr>
        <w:t>,</w:t>
      </w:r>
      <w:r w:rsidR="003B44CE" w:rsidRPr="003B44CE">
        <w:rPr>
          <w:rFonts w:ascii="Times New Roman" w:eastAsia="AngsanaUPC" w:hAnsi="Times New Roman"/>
          <w:bCs/>
          <w:sz w:val="24"/>
          <w:szCs w:val="24"/>
          <w:lang w:eastAsia="lt-LT"/>
        </w:rPr>
        <w:t xml:space="preserve"> jų įvykdymo įvertinimo</w:t>
      </w:r>
      <w:r w:rsidR="00AC0209">
        <w:rPr>
          <w:rFonts w:ascii="Times New Roman" w:eastAsia="AngsanaUPC" w:hAnsi="Times New Roman"/>
          <w:bCs/>
          <w:sz w:val="24"/>
          <w:szCs w:val="24"/>
          <w:lang w:eastAsia="lt-LT"/>
        </w:rPr>
        <w:t xml:space="preserve"> ir veiksmų plano joms įvykdyti</w:t>
      </w:r>
      <w:r w:rsidR="003B44CE" w:rsidRPr="003B44CE">
        <w:rPr>
          <w:rFonts w:ascii="Times New Roman" w:eastAsia="AngsanaUPC" w:hAnsi="Times New Roman"/>
          <w:bCs/>
          <w:sz w:val="24"/>
          <w:szCs w:val="24"/>
          <w:lang w:eastAsia="lt-LT"/>
        </w:rPr>
        <w:t>.</w:t>
      </w:r>
    </w:p>
    <w:p w:rsidR="002822D7" w:rsidRPr="00F662E8" w:rsidRDefault="002822D7" w:rsidP="00F662E8">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7"/>
      </w:tblGrid>
      <w:tr w:rsidR="000A715B" w:rsidRPr="00E34D90" w:rsidTr="00462453">
        <w:trPr>
          <w:trHeight w:val="699"/>
        </w:trPr>
        <w:tc>
          <w:tcPr>
            <w:tcW w:w="9797" w:type="dxa"/>
            <w:shd w:val="clear" w:color="auto" w:fill="C6D9F1"/>
            <w:vAlign w:val="center"/>
          </w:tcPr>
          <w:p w:rsidR="000A715B" w:rsidRPr="00372DA9" w:rsidRDefault="00C85D51" w:rsidP="000A715B">
            <w:pPr>
              <w:pStyle w:val="Antrat1"/>
              <w:rPr>
                <w:rFonts w:eastAsia="AngsanaUPC"/>
                <w:lang w:val="lt-LT" w:eastAsia="lt-LT"/>
              </w:rPr>
            </w:pPr>
            <w:r>
              <w:rPr>
                <w:rFonts w:eastAsia="AngsanaUPC"/>
                <w:lang w:val="lt-LT" w:eastAsia="lt-LT"/>
              </w:rPr>
              <w:t xml:space="preserve"> </w:t>
            </w:r>
            <w:bookmarkStart w:id="28" w:name="_Toc69836241"/>
            <w:r w:rsidR="00E47CAB" w:rsidRPr="00372DA9">
              <w:rPr>
                <w:rFonts w:eastAsia="AngsanaUPC"/>
                <w:lang w:val="lt-LT" w:eastAsia="lt-LT"/>
              </w:rPr>
              <w:t>10</w:t>
            </w:r>
            <w:r w:rsidR="000A715B" w:rsidRPr="00372DA9">
              <w:rPr>
                <w:rFonts w:eastAsia="AngsanaUPC"/>
                <w:lang w:val="lt-LT" w:eastAsia="lt-LT"/>
              </w:rPr>
              <w:t>. SKYRIUS. ADMINISTRACINĖS NAŠTOS SUMAŽINIMAS PARAMOS GAVĖJAMS</w:t>
            </w:r>
            <w:bookmarkEnd w:id="28"/>
          </w:p>
        </w:tc>
      </w:tr>
    </w:tbl>
    <w:p w:rsidR="00E34D90" w:rsidRPr="00E34D90" w:rsidRDefault="00E34D90" w:rsidP="00E34D90">
      <w:pPr>
        <w:widowControl w:val="0"/>
        <w:tabs>
          <w:tab w:val="left" w:pos="622"/>
        </w:tabs>
        <w:spacing w:after="0" w:line="240" w:lineRule="auto"/>
        <w:jc w:val="both"/>
        <w:rPr>
          <w:rFonts w:ascii="Times New Roman" w:eastAsia="AngsanaUPC" w:hAnsi="Times New Roman"/>
          <w:bCs/>
          <w:sz w:val="24"/>
          <w:szCs w:val="24"/>
          <w:lang w:eastAsia="lt-LT"/>
        </w:rPr>
      </w:pPr>
    </w:p>
    <w:p w:rsidR="00E34D90" w:rsidRDefault="00E34D90" w:rsidP="00E34D90">
      <w:pPr>
        <w:widowControl w:val="0"/>
        <w:tabs>
          <w:tab w:val="left" w:pos="622"/>
        </w:tabs>
        <w:spacing w:after="0" w:line="240" w:lineRule="auto"/>
        <w:jc w:val="both"/>
        <w:rPr>
          <w:rFonts w:ascii="Times New Roman" w:eastAsia="AngsanaUPC" w:hAnsi="Times New Roman"/>
          <w:bCs/>
          <w:sz w:val="24"/>
          <w:szCs w:val="24"/>
          <w:lang w:eastAsia="lt-LT"/>
        </w:rPr>
      </w:pPr>
      <w:r w:rsidRPr="00E34D90">
        <w:rPr>
          <w:rFonts w:ascii="Times New Roman" w:eastAsia="AngsanaUPC" w:hAnsi="Times New Roman"/>
          <w:bCs/>
          <w:sz w:val="24"/>
          <w:szCs w:val="24"/>
          <w:lang w:eastAsia="lt-LT"/>
        </w:rPr>
        <w:t>Žr. Partnerystės sutarties 2.6. skyrių.</w:t>
      </w:r>
    </w:p>
    <w:p w:rsidR="00E34D90" w:rsidRPr="00E34D90" w:rsidRDefault="00E34D90" w:rsidP="00E34D90">
      <w:pPr>
        <w:widowControl w:val="0"/>
        <w:tabs>
          <w:tab w:val="left" w:pos="622"/>
        </w:tabs>
        <w:spacing w:after="0" w:line="240" w:lineRule="auto"/>
        <w:jc w:val="both"/>
        <w:rPr>
          <w:rFonts w:ascii="Times New Roman" w:eastAsia="AngsanaUPC" w:hAnsi="Times New Roman"/>
          <w:bCs/>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7"/>
      </w:tblGrid>
      <w:tr w:rsidR="000A715B" w:rsidRPr="00E34D90" w:rsidTr="00716A74">
        <w:trPr>
          <w:trHeight w:val="558"/>
        </w:trPr>
        <w:tc>
          <w:tcPr>
            <w:tcW w:w="9797" w:type="dxa"/>
            <w:tcBorders>
              <w:bottom w:val="single" w:sz="4" w:space="0" w:color="auto"/>
            </w:tcBorders>
            <w:shd w:val="clear" w:color="auto" w:fill="C6D9F1"/>
            <w:vAlign w:val="center"/>
          </w:tcPr>
          <w:p w:rsidR="000A715B" w:rsidRPr="00372DA9" w:rsidRDefault="00E47CAB" w:rsidP="000A715B">
            <w:pPr>
              <w:pStyle w:val="Antrat1"/>
              <w:rPr>
                <w:lang w:val="lt-LT"/>
              </w:rPr>
            </w:pPr>
            <w:bookmarkStart w:id="29" w:name="_Toc69836242"/>
            <w:r w:rsidRPr="00372DA9">
              <w:rPr>
                <w:lang w:val="lt-LT"/>
              </w:rPr>
              <w:t>11</w:t>
            </w:r>
            <w:r w:rsidR="000A715B" w:rsidRPr="00372DA9">
              <w:rPr>
                <w:lang w:val="lt-LT"/>
              </w:rPr>
              <w:t>. SKYRIUS. HORIZONTALIEJI PRINCIPAI</w:t>
            </w:r>
            <w:bookmarkEnd w:id="29"/>
          </w:p>
        </w:tc>
      </w:tr>
      <w:tr w:rsidR="00716A74" w:rsidRPr="00716A74" w:rsidTr="00716A74">
        <w:trPr>
          <w:trHeight w:val="227"/>
        </w:trPr>
        <w:tc>
          <w:tcPr>
            <w:tcW w:w="9797" w:type="dxa"/>
            <w:tcBorders>
              <w:left w:val="nil"/>
              <w:right w:val="nil"/>
            </w:tcBorders>
            <w:shd w:val="clear" w:color="auto" w:fill="auto"/>
            <w:vAlign w:val="center"/>
          </w:tcPr>
          <w:p w:rsidR="00716A74" w:rsidRPr="00716A74" w:rsidRDefault="00716A74" w:rsidP="00716A74">
            <w:pPr>
              <w:spacing w:after="0" w:line="240" w:lineRule="auto"/>
              <w:rPr>
                <w:rFonts w:ascii="Times New Roman" w:hAnsi="Times New Roman"/>
                <w:sz w:val="24"/>
                <w:szCs w:val="24"/>
              </w:rPr>
            </w:pPr>
          </w:p>
        </w:tc>
      </w:tr>
      <w:tr w:rsidR="000A715B" w:rsidRPr="00066B50" w:rsidTr="00462453">
        <w:trPr>
          <w:trHeight w:val="414"/>
        </w:trPr>
        <w:tc>
          <w:tcPr>
            <w:tcW w:w="9797" w:type="dxa"/>
            <w:shd w:val="clear" w:color="auto" w:fill="C6D9F1"/>
            <w:vAlign w:val="center"/>
          </w:tcPr>
          <w:p w:rsidR="000A715B" w:rsidRPr="00066B50" w:rsidRDefault="00E47CAB" w:rsidP="00066B50">
            <w:pPr>
              <w:spacing w:after="0" w:line="240" w:lineRule="auto"/>
              <w:rPr>
                <w:rFonts w:ascii="Times New Roman" w:hAnsi="Times New Roman"/>
                <w:b/>
                <w:sz w:val="24"/>
                <w:szCs w:val="24"/>
              </w:rPr>
            </w:pPr>
            <w:r>
              <w:rPr>
                <w:rFonts w:ascii="Times New Roman" w:hAnsi="Times New Roman"/>
                <w:b/>
                <w:sz w:val="24"/>
                <w:szCs w:val="24"/>
              </w:rPr>
              <w:t>11</w:t>
            </w:r>
            <w:r w:rsidR="000A715B" w:rsidRPr="00066B50">
              <w:rPr>
                <w:rFonts w:ascii="Times New Roman" w:hAnsi="Times New Roman"/>
                <w:b/>
                <w:sz w:val="24"/>
                <w:szCs w:val="24"/>
              </w:rPr>
              <w:t>.1. Darnus vystymasis</w:t>
            </w:r>
          </w:p>
        </w:tc>
      </w:tr>
    </w:tbl>
    <w:p w:rsidR="00E34D90" w:rsidRPr="00E34D90" w:rsidRDefault="00E34D90" w:rsidP="00E34D90">
      <w:pPr>
        <w:spacing w:after="0" w:line="240" w:lineRule="auto"/>
        <w:jc w:val="both"/>
        <w:rPr>
          <w:rFonts w:ascii="Times New Roman" w:hAnsi="Times New Roman"/>
          <w:iCs/>
          <w:sz w:val="24"/>
          <w:szCs w:val="24"/>
        </w:rPr>
      </w:pPr>
    </w:p>
    <w:p w:rsidR="007632F8" w:rsidRDefault="007632F8" w:rsidP="007632F8">
      <w:pPr>
        <w:autoSpaceDE w:val="0"/>
        <w:autoSpaceDN w:val="0"/>
        <w:adjustRightInd w:val="0"/>
        <w:spacing w:after="0" w:line="240" w:lineRule="auto"/>
        <w:ind w:firstLine="851"/>
        <w:jc w:val="both"/>
        <w:rPr>
          <w:rFonts w:ascii="Times New Roman" w:hAnsi="Times New Roman"/>
          <w:iCs/>
          <w:sz w:val="24"/>
          <w:szCs w:val="24"/>
        </w:rPr>
      </w:pPr>
      <w:r w:rsidRPr="007632F8">
        <w:rPr>
          <w:rFonts w:ascii="Times New Roman" w:hAnsi="Times New Roman"/>
          <w:sz w:val="24"/>
          <w:szCs w:val="24"/>
        </w:rPr>
        <w:t xml:space="preserve">Siekiant užtikrinti optimalias gyvenimo sąlygas dabartinei ir ateinančioms kartoms, Lietuvos darnaus vystymosi strategijoje akcentuojama būtinybė derinti aplinkosauginius, ekonominius ir socialinius vystymosi aspektus. </w:t>
      </w:r>
    </w:p>
    <w:p w:rsidR="00AE09B6" w:rsidRPr="00AE09B6" w:rsidRDefault="00AE09B6" w:rsidP="003E0F8A">
      <w:pPr>
        <w:spacing w:after="0" w:line="240" w:lineRule="auto"/>
        <w:ind w:firstLine="851"/>
        <w:jc w:val="both"/>
        <w:rPr>
          <w:rFonts w:ascii="Times New Roman" w:hAnsi="Times New Roman"/>
          <w:iCs/>
          <w:sz w:val="24"/>
          <w:szCs w:val="24"/>
        </w:rPr>
      </w:pPr>
      <w:r w:rsidRPr="00AE09B6">
        <w:rPr>
          <w:rFonts w:ascii="Times New Roman" w:hAnsi="Times New Roman"/>
          <w:iCs/>
          <w:sz w:val="24"/>
          <w:szCs w:val="24"/>
        </w:rPr>
        <w:t>Siekiant klimato kaitos švelninimo ir prisitaikymo, biologinės įvairovės ir ekosistemų apsaugos, atsparumo nelaimėms bei rizikos prevencijos ir valdymo tikslų, bus tobulinama informacijos ir duomenų surinkimo ir pateikimo sistema; bus sudarytos galimybės naudotis bendrais informaciniais ištekliais, todėl kokybiškesnė informacija nacionaliniu, regioniniu ir vietos lygmeniu padės nustatyti pagrindines problemas ir tinkamiausius bei veiksmingiausius jų sprendimo būdus.</w:t>
      </w:r>
    </w:p>
    <w:p w:rsidR="00AE09B6" w:rsidRPr="00AE09B6" w:rsidRDefault="00AE09B6" w:rsidP="003E0F8A">
      <w:pPr>
        <w:spacing w:after="0" w:line="240" w:lineRule="auto"/>
        <w:ind w:firstLine="851"/>
        <w:jc w:val="both"/>
        <w:rPr>
          <w:rFonts w:ascii="Times New Roman" w:hAnsi="Times New Roman"/>
          <w:iCs/>
          <w:sz w:val="24"/>
          <w:szCs w:val="24"/>
        </w:rPr>
      </w:pPr>
      <w:r w:rsidRPr="00AE09B6">
        <w:rPr>
          <w:rFonts w:ascii="Times New Roman" w:hAnsi="Times New Roman"/>
          <w:iCs/>
          <w:sz w:val="24"/>
          <w:szCs w:val="24"/>
        </w:rPr>
        <w:t xml:space="preserve">Panaudojant jau turimą patirtį, vykdant monitoringą, kaip tam tikros veiklos daro įtaką aplinkai, sociumui ir ekonomikai, </w:t>
      </w:r>
      <w:r w:rsidR="0052589C">
        <w:rPr>
          <w:rFonts w:ascii="Times New Roman" w:hAnsi="Times New Roman"/>
          <w:iCs/>
          <w:sz w:val="24"/>
          <w:szCs w:val="24"/>
        </w:rPr>
        <w:t>investicijos</w:t>
      </w:r>
      <w:r w:rsidRPr="00AE09B6">
        <w:rPr>
          <w:rFonts w:ascii="Times New Roman" w:hAnsi="Times New Roman"/>
          <w:iCs/>
          <w:sz w:val="24"/>
          <w:szCs w:val="24"/>
        </w:rPr>
        <w:t xml:space="preserve"> bus skiriama</w:t>
      </w:r>
      <w:r w:rsidRPr="00AE09B6">
        <w:rPr>
          <w:rFonts w:ascii="Times New Roman" w:hAnsi="Times New Roman"/>
          <w:b/>
          <w:iCs/>
          <w:sz w:val="24"/>
          <w:szCs w:val="24"/>
        </w:rPr>
        <w:t xml:space="preserve"> </w:t>
      </w:r>
      <w:r w:rsidRPr="00AE09B6">
        <w:rPr>
          <w:rFonts w:ascii="Times New Roman" w:hAnsi="Times New Roman"/>
          <w:iCs/>
          <w:sz w:val="24"/>
          <w:szCs w:val="24"/>
        </w:rPr>
        <w:t>toms sritims, kuriose yra didžiausias naujos, bazinės infrastruktūros sukūrimo poreikis ir geriausias efektyvaus aplinkosaugos</w:t>
      </w:r>
      <w:r w:rsidR="0052589C">
        <w:rPr>
          <w:rFonts w:ascii="Times New Roman" w:hAnsi="Times New Roman"/>
          <w:iCs/>
          <w:sz w:val="24"/>
          <w:szCs w:val="24"/>
        </w:rPr>
        <w:t xml:space="preserve"> problemų sprendimo potencialas</w:t>
      </w:r>
      <w:r w:rsidRPr="00AE09B6">
        <w:rPr>
          <w:rFonts w:ascii="Times New Roman" w:hAnsi="Times New Roman"/>
          <w:iCs/>
          <w:sz w:val="24"/>
          <w:szCs w:val="24"/>
        </w:rPr>
        <w:t>.</w:t>
      </w:r>
    </w:p>
    <w:p w:rsidR="00AE09B6" w:rsidRPr="00AE09B6" w:rsidRDefault="00EB272F" w:rsidP="003E0F8A">
      <w:pPr>
        <w:spacing w:after="0" w:line="240" w:lineRule="auto"/>
        <w:ind w:firstLine="851"/>
        <w:jc w:val="both"/>
        <w:rPr>
          <w:rFonts w:ascii="Times New Roman" w:hAnsi="Times New Roman"/>
          <w:iCs/>
          <w:sz w:val="24"/>
          <w:szCs w:val="24"/>
        </w:rPr>
      </w:pPr>
      <w:r>
        <w:rPr>
          <w:rFonts w:ascii="Times New Roman" w:hAnsi="Times New Roman"/>
          <w:iCs/>
          <w:sz w:val="24"/>
          <w:szCs w:val="24"/>
        </w:rPr>
        <w:t>B</w:t>
      </w:r>
      <w:r w:rsidR="00AE09B6" w:rsidRPr="00AE09B6">
        <w:rPr>
          <w:rFonts w:ascii="Times New Roman" w:hAnsi="Times New Roman"/>
          <w:iCs/>
          <w:sz w:val="24"/>
          <w:szCs w:val="24"/>
        </w:rPr>
        <w:t>us skatinama kurti naujus produktus ir technologijas, orientuotas į poveikio aplinkai mažinimą,</w:t>
      </w:r>
      <w:r>
        <w:rPr>
          <w:rFonts w:ascii="Times New Roman" w:hAnsi="Times New Roman"/>
          <w:iCs/>
          <w:sz w:val="24"/>
          <w:szCs w:val="24"/>
        </w:rPr>
        <w:t xml:space="preserve"> socialinės įtraukties didinimą</w:t>
      </w:r>
      <w:r w:rsidR="00AE09B6" w:rsidRPr="00AE09B6">
        <w:rPr>
          <w:rFonts w:ascii="Times New Roman" w:hAnsi="Times New Roman"/>
          <w:iCs/>
          <w:sz w:val="24"/>
          <w:szCs w:val="24"/>
        </w:rPr>
        <w:t>. Inovacijų paklausos skatinimo priemonės prisidės prie darnaus vystymosi tikslų įgyvendinimo vykdant MTEP darbų, susijusių su aplinkos taršos mažinimu, užsakymus.</w:t>
      </w:r>
    </w:p>
    <w:p w:rsidR="00AE09B6" w:rsidRPr="00AE09B6" w:rsidRDefault="00AE09B6" w:rsidP="003E0F8A">
      <w:pPr>
        <w:spacing w:after="0" w:line="240" w:lineRule="auto"/>
        <w:ind w:firstLine="851"/>
        <w:jc w:val="both"/>
        <w:rPr>
          <w:rFonts w:ascii="Times New Roman" w:hAnsi="Times New Roman"/>
          <w:iCs/>
          <w:sz w:val="24"/>
          <w:szCs w:val="24"/>
        </w:rPr>
      </w:pPr>
      <w:r w:rsidRPr="00AE09B6">
        <w:rPr>
          <w:rFonts w:ascii="Times New Roman" w:hAnsi="Times New Roman"/>
          <w:iCs/>
          <w:sz w:val="24"/>
          <w:szCs w:val="24"/>
        </w:rPr>
        <w:t>Bus taikoma veiksminga aplinkosaugos priemonė – produktų aplinkosauginės kokybės sertifikavimas, kuris apims ne tik pramoninius gaminius (prekes), bet ir paslaugas. Bus siekiama paskatinti įmones naudoti aplinkosauginį sertifikavimą, kurį atlikus</w:t>
      </w:r>
      <w:r w:rsidR="005D5DAF">
        <w:rPr>
          <w:rFonts w:ascii="Times New Roman" w:hAnsi="Times New Roman"/>
          <w:iCs/>
          <w:sz w:val="24"/>
          <w:szCs w:val="24"/>
        </w:rPr>
        <w:t>,</w:t>
      </w:r>
      <w:r w:rsidRPr="00AE09B6">
        <w:rPr>
          <w:rFonts w:ascii="Times New Roman" w:hAnsi="Times New Roman"/>
          <w:iCs/>
          <w:sz w:val="24"/>
          <w:szCs w:val="24"/>
        </w:rPr>
        <w:t xml:space="preserve"> suteikiama teisė produkto etiketėje ar organizacijos dokumentuose naudoti aplinkosaugos ženklą</w:t>
      </w:r>
      <w:r w:rsidR="0052589C">
        <w:rPr>
          <w:rFonts w:ascii="Times New Roman" w:hAnsi="Times New Roman"/>
          <w:iCs/>
          <w:sz w:val="24"/>
          <w:szCs w:val="24"/>
        </w:rPr>
        <w:t>.</w:t>
      </w:r>
    </w:p>
    <w:p w:rsidR="00AE09B6" w:rsidRPr="00AE09B6" w:rsidRDefault="00AE09B6" w:rsidP="003E0F8A">
      <w:pPr>
        <w:spacing w:after="0" w:line="240" w:lineRule="auto"/>
        <w:ind w:firstLine="851"/>
        <w:jc w:val="both"/>
        <w:rPr>
          <w:rFonts w:ascii="Times New Roman" w:hAnsi="Times New Roman"/>
          <w:iCs/>
          <w:sz w:val="24"/>
          <w:szCs w:val="24"/>
        </w:rPr>
      </w:pPr>
      <w:r w:rsidRPr="00AE09B6">
        <w:rPr>
          <w:rFonts w:ascii="Times New Roman" w:hAnsi="Times New Roman"/>
          <w:iCs/>
          <w:sz w:val="24"/>
          <w:szCs w:val="24"/>
        </w:rPr>
        <w:t>Viešosios paskirties pastatų renovaciją planuojama įgyvendinti per ESCO, taip sudarant maksimalias prielaidas padidinti tokių pastatų energetinį efektyvumą ir sumažinti šilumos sąnaudas. Taip pat bus skatinama keisti ypač mažo efektyvumo biokuro deginimo įrenginius namų ūkiuose į šiuolaikinius, kuriems būdingas aukštas efektyvumas ir maža tarša.</w:t>
      </w:r>
    </w:p>
    <w:p w:rsidR="00AE09B6" w:rsidRPr="00AE09B6" w:rsidRDefault="00AE09B6" w:rsidP="003E0F8A">
      <w:pPr>
        <w:spacing w:after="0" w:line="240" w:lineRule="auto"/>
        <w:ind w:firstLine="851"/>
        <w:jc w:val="both"/>
        <w:rPr>
          <w:rFonts w:ascii="Times New Roman" w:hAnsi="Times New Roman"/>
          <w:iCs/>
          <w:sz w:val="24"/>
          <w:szCs w:val="24"/>
        </w:rPr>
      </w:pPr>
      <w:r w:rsidRPr="00AE09B6">
        <w:rPr>
          <w:rFonts w:ascii="Times New Roman" w:hAnsi="Times New Roman"/>
          <w:iCs/>
          <w:sz w:val="24"/>
          <w:szCs w:val="24"/>
        </w:rPr>
        <w:t xml:space="preserve">Bus diegiamos inovatyvios technologijos ir metodai, </w:t>
      </w:r>
      <w:r w:rsidR="005D5DAF">
        <w:rPr>
          <w:rFonts w:ascii="Times New Roman" w:hAnsi="Times New Roman"/>
          <w:iCs/>
          <w:sz w:val="24"/>
          <w:szCs w:val="24"/>
        </w:rPr>
        <w:t>dėl kurių</w:t>
      </w:r>
      <w:r w:rsidRPr="00AE09B6">
        <w:rPr>
          <w:rFonts w:ascii="Times New Roman" w:hAnsi="Times New Roman"/>
          <w:iCs/>
          <w:sz w:val="24"/>
          <w:szCs w:val="24"/>
        </w:rPr>
        <w:t xml:space="preserve"> vis didesnė atliekų dalis </w:t>
      </w:r>
      <w:r w:rsidR="00ED58AB">
        <w:rPr>
          <w:rFonts w:ascii="Times New Roman" w:hAnsi="Times New Roman"/>
          <w:iCs/>
          <w:sz w:val="24"/>
          <w:szCs w:val="24"/>
        </w:rPr>
        <w:t>taps žaliava naujiems gaminiams</w:t>
      </w:r>
      <w:r w:rsidRPr="00AE09B6">
        <w:rPr>
          <w:rFonts w:ascii="Times New Roman" w:hAnsi="Times New Roman"/>
          <w:iCs/>
          <w:sz w:val="24"/>
          <w:szCs w:val="24"/>
        </w:rPr>
        <w:t xml:space="preserve">. Bus skatinami pramoninės simbiozės projektai, </w:t>
      </w:r>
      <w:r w:rsidRPr="00AE09B6">
        <w:rPr>
          <w:rFonts w:ascii="Times New Roman" w:hAnsi="Times New Roman"/>
          <w:iCs/>
          <w:sz w:val="24"/>
          <w:szCs w:val="24"/>
        </w:rPr>
        <w:lastRenderedPageBreak/>
        <w:t xml:space="preserve">bendradarbiavimas atliekų tvarkymo ir apsirūpinimo žaliavomis srityje, koncentruojant išteklius ir atsižvelgiant į visus nustatytus aplinkosauginius reikalavimus. </w:t>
      </w:r>
    </w:p>
    <w:p w:rsidR="00AE09B6" w:rsidRPr="00AE09B6" w:rsidRDefault="00AE09B6" w:rsidP="003E0F8A">
      <w:pPr>
        <w:spacing w:after="0" w:line="240" w:lineRule="auto"/>
        <w:ind w:firstLine="851"/>
        <w:jc w:val="both"/>
        <w:rPr>
          <w:rFonts w:ascii="Times New Roman" w:hAnsi="Times New Roman"/>
          <w:iCs/>
          <w:sz w:val="24"/>
          <w:szCs w:val="24"/>
        </w:rPr>
      </w:pPr>
      <w:r w:rsidRPr="00AE09B6">
        <w:rPr>
          <w:rFonts w:ascii="Times New Roman" w:hAnsi="Times New Roman"/>
          <w:iCs/>
          <w:sz w:val="24"/>
          <w:szCs w:val="24"/>
        </w:rPr>
        <w:t>Diegiant ekoinovacijas (aplinką tausojančias technologijas), bus įgyvendinami aplinkosaugos reikalavimai žaliavų parinkimo, naudojimo, gamybos, pakavimo, transportavimo etapuose. Pramonės įmonėse bus naudojami esminiai aplinkosaugos reikalavimus atitinkantys technologiniai elementai, kuriuos galima pritaikyti daugeliui produktų ir naudoti plėtojant mažo anglies dioksido kiekio energetikos technologijas, skatinant efektyviau vartoti energiją ir naudoti išteklius.</w:t>
      </w:r>
    </w:p>
    <w:p w:rsidR="00C15257" w:rsidRPr="00C15257" w:rsidRDefault="00C15257" w:rsidP="00C15257">
      <w:pPr>
        <w:spacing w:after="0" w:line="240" w:lineRule="auto"/>
        <w:ind w:firstLine="851"/>
        <w:jc w:val="both"/>
        <w:rPr>
          <w:rFonts w:ascii="Times New Roman" w:hAnsi="Times New Roman"/>
          <w:sz w:val="24"/>
          <w:szCs w:val="24"/>
        </w:rPr>
      </w:pPr>
      <w:r w:rsidRPr="00C15257">
        <w:rPr>
          <w:rFonts w:ascii="Times New Roman" w:hAnsi="Times New Roman"/>
          <w:sz w:val="24"/>
          <w:szCs w:val="24"/>
        </w:rPr>
        <w:t xml:space="preserve">Bus finansuojamas įsigijimas tik tokių miesto viešojo transporto priemonių, kurios naudos alternatyvią arba atsinaujinančią energiją, t. y. elektrinio transporto, įskaitant elektrinius autobusus, hibridinius autobusus, hibridinius troleibusus, suslėgtomis gamtinėmis dujomis </w:t>
      </w:r>
      <w:proofErr w:type="gramStart"/>
      <w:r w:rsidRPr="00C15257">
        <w:rPr>
          <w:rFonts w:ascii="Times New Roman" w:hAnsi="Times New Roman"/>
          <w:sz w:val="24"/>
          <w:szCs w:val="24"/>
        </w:rPr>
        <w:t>(</w:t>
      </w:r>
      <w:proofErr w:type="gramEnd"/>
      <w:r w:rsidRPr="00C15257">
        <w:rPr>
          <w:rFonts w:ascii="Times New Roman" w:hAnsi="Times New Roman"/>
          <w:sz w:val="24"/>
          <w:szCs w:val="24"/>
        </w:rPr>
        <w:t xml:space="preserve">angl.  </w:t>
      </w:r>
      <w:r w:rsidRPr="00C15257">
        <w:rPr>
          <w:rFonts w:ascii="Times New Roman" w:hAnsi="Times New Roman"/>
          <w:i/>
          <w:sz w:val="24"/>
          <w:szCs w:val="24"/>
        </w:rPr>
        <w:t>Compressed Natural Gas</w:t>
      </w:r>
      <w:r w:rsidRPr="00C15257">
        <w:rPr>
          <w:rFonts w:ascii="Times New Roman" w:hAnsi="Times New Roman"/>
          <w:sz w:val="24"/>
          <w:szCs w:val="24"/>
        </w:rPr>
        <w:t xml:space="preserve">), suskystintomis naftos dujomis </w:t>
      </w:r>
      <w:proofErr w:type="gramStart"/>
      <w:r w:rsidRPr="00C15257">
        <w:rPr>
          <w:rFonts w:ascii="Times New Roman" w:hAnsi="Times New Roman"/>
          <w:sz w:val="24"/>
          <w:szCs w:val="24"/>
        </w:rPr>
        <w:t>(</w:t>
      </w:r>
      <w:proofErr w:type="gramEnd"/>
      <w:r w:rsidRPr="00C15257">
        <w:rPr>
          <w:rFonts w:ascii="Times New Roman" w:hAnsi="Times New Roman"/>
          <w:sz w:val="24"/>
          <w:szCs w:val="24"/>
        </w:rPr>
        <w:t xml:space="preserve">angl. </w:t>
      </w:r>
      <w:r w:rsidRPr="00C15257">
        <w:rPr>
          <w:rFonts w:ascii="Times New Roman" w:hAnsi="Times New Roman"/>
          <w:i/>
          <w:sz w:val="24"/>
          <w:szCs w:val="24"/>
        </w:rPr>
        <w:t>Liquified Petroleum Gas</w:t>
      </w:r>
      <w:r w:rsidRPr="00C15257">
        <w:rPr>
          <w:rFonts w:ascii="Times New Roman" w:hAnsi="Times New Roman"/>
          <w:sz w:val="24"/>
          <w:szCs w:val="24"/>
        </w:rPr>
        <w:t xml:space="preserve">) ir biodujomis varomus autobusus. </w:t>
      </w:r>
    </w:p>
    <w:p w:rsidR="00C15257" w:rsidRPr="00C15257" w:rsidRDefault="00C15257" w:rsidP="00C15257">
      <w:pPr>
        <w:spacing w:after="0" w:line="240" w:lineRule="auto"/>
        <w:ind w:firstLine="851"/>
        <w:jc w:val="both"/>
        <w:rPr>
          <w:rFonts w:ascii="Times New Roman" w:hAnsi="Times New Roman"/>
          <w:sz w:val="24"/>
          <w:szCs w:val="24"/>
        </w:rPr>
      </w:pPr>
      <w:r w:rsidRPr="00C15257">
        <w:rPr>
          <w:rFonts w:ascii="Times New Roman" w:hAnsi="Times New Roman"/>
          <w:sz w:val="24"/>
          <w:szCs w:val="24"/>
        </w:rPr>
        <w:t>Prisidedant prie išteklių efektyvumo tikslo siekimo, 2014–2020 m. bus siekiama mažinti geriamojo vandens nuostolius vandens tiekimo tinkluose, finansuojant vandentiekio ir nuotekų tinklų renovaciją.</w:t>
      </w:r>
    </w:p>
    <w:p w:rsidR="00C15257" w:rsidRPr="00C15257" w:rsidRDefault="00C15257" w:rsidP="00C15257">
      <w:pPr>
        <w:spacing w:after="0" w:line="240" w:lineRule="auto"/>
        <w:ind w:firstLine="851"/>
        <w:jc w:val="both"/>
        <w:rPr>
          <w:rFonts w:ascii="Times New Roman" w:hAnsi="Times New Roman"/>
          <w:sz w:val="24"/>
          <w:szCs w:val="24"/>
        </w:rPr>
      </w:pPr>
      <w:r w:rsidRPr="00C15257">
        <w:rPr>
          <w:rFonts w:ascii="Times New Roman" w:hAnsi="Times New Roman"/>
          <w:sz w:val="24"/>
          <w:szCs w:val="24"/>
        </w:rPr>
        <w:t>Prioritetas bus teikiamas projektams, vykdomiems pagal darniųjų ir (ar) žaliųjų viešųjų pirkimų procedūras. Tokiu būdu bus skatinamas tausus gamtos išteklių naudojimas, produktų antrinis naudojimas ir perdirbimas, didesnis AEI naudojimas, aplinkosauginių technologijų plėtotė pramonėje, didinama aplinkai draugiškų prekių, paslaugų ir darbų pasiūla.</w:t>
      </w:r>
    </w:p>
    <w:p w:rsidR="00C15257" w:rsidRPr="00C15257" w:rsidRDefault="00C15257" w:rsidP="00C15257">
      <w:pPr>
        <w:spacing w:after="0" w:line="240" w:lineRule="auto"/>
        <w:ind w:firstLine="851"/>
        <w:jc w:val="both"/>
        <w:rPr>
          <w:rFonts w:ascii="Times New Roman" w:hAnsi="Times New Roman"/>
          <w:sz w:val="24"/>
          <w:szCs w:val="24"/>
        </w:rPr>
      </w:pPr>
      <w:r w:rsidRPr="00C15257">
        <w:rPr>
          <w:rFonts w:ascii="Times New Roman" w:hAnsi="Times New Roman"/>
          <w:sz w:val="24"/>
          <w:szCs w:val="24"/>
        </w:rPr>
        <w:t>Aukštesnis įvertinimas bus suteikiamas projektams, kuriuos įgyvendinus</w:t>
      </w:r>
      <w:r w:rsidR="007F44D6">
        <w:rPr>
          <w:rFonts w:ascii="Times New Roman" w:hAnsi="Times New Roman"/>
          <w:sz w:val="24"/>
          <w:szCs w:val="24"/>
        </w:rPr>
        <w:t>,</w:t>
      </w:r>
      <w:r w:rsidRPr="00C15257">
        <w:rPr>
          <w:rFonts w:ascii="Times New Roman" w:hAnsi="Times New Roman"/>
          <w:sz w:val="24"/>
          <w:szCs w:val="24"/>
        </w:rPr>
        <w:t xml:space="preserve"> sumažės CO</w:t>
      </w:r>
      <w:r w:rsidRPr="00C15257">
        <w:rPr>
          <w:rFonts w:ascii="Times New Roman" w:hAnsi="Times New Roman"/>
          <w:sz w:val="24"/>
          <w:szCs w:val="24"/>
          <w:vertAlign w:val="subscript"/>
        </w:rPr>
        <w:t>2</w:t>
      </w:r>
      <w:r w:rsidRPr="00C15257">
        <w:rPr>
          <w:rFonts w:ascii="Times New Roman" w:hAnsi="Times New Roman"/>
          <w:sz w:val="24"/>
          <w:szCs w:val="24"/>
        </w:rPr>
        <w:t xml:space="preserve"> metiniai išmetimai, projektams, skirtiems pakeisti naudojamą iškastinį kurą biokuru, taikant papildomus bioenergijos gamybos ir naudojimo darnumo principus bei kriterijus, apimančius biologinės įvairovės išsaugojimo, energijos vartojimo efektyvumo, išteklių vartojimo efektyvumo, socialinius ir ekonominius aspektus.</w:t>
      </w:r>
    </w:p>
    <w:p w:rsidR="00AE09B6" w:rsidRPr="00AE09B6" w:rsidRDefault="00AE09B6" w:rsidP="003E0F8A">
      <w:pPr>
        <w:spacing w:after="0" w:line="240" w:lineRule="auto"/>
        <w:ind w:firstLine="851"/>
        <w:jc w:val="both"/>
        <w:rPr>
          <w:rFonts w:ascii="Times New Roman" w:hAnsi="Times New Roman"/>
          <w:iCs/>
          <w:sz w:val="24"/>
          <w:szCs w:val="24"/>
        </w:rPr>
      </w:pPr>
      <w:r w:rsidRPr="00AE09B6">
        <w:rPr>
          <w:rFonts w:ascii="Times New Roman" w:hAnsi="Times New Roman"/>
          <w:iCs/>
          <w:sz w:val="24"/>
          <w:szCs w:val="24"/>
        </w:rPr>
        <w:t xml:space="preserve">Projektų atrankos vertinimo metu bus vertinama jų atitiktis išteklių efektyvumo, biologinės įvairovės ir ekosistemų apsaugos, klimato kaitos švelninimo ir prisitaikymo, aplinkosauginių reikalavimų įgyvendinimo, rizikos prevencijos ir valdymo, atsparumo nelaimėms, atitikimo skirtingų funkcinių gebėjimų vartotojų poreikiams tikslams bei „teršėjas moka“ principui. </w:t>
      </w:r>
    </w:p>
    <w:p w:rsidR="00AE09B6" w:rsidRPr="00AE09B6" w:rsidRDefault="00ED58AB" w:rsidP="003E0F8A">
      <w:pPr>
        <w:spacing w:after="0" w:line="240" w:lineRule="auto"/>
        <w:ind w:firstLine="851"/>
        <w:jc w:val="both"/>
        <w:rPr>
          <w:rFonts w:ascii="Times New Roman" w:hAnsi="Times New Roman"/>
          <w:iCs/>
          <w:sz w:val="24"/>
          <w:szCs w:val="24"/>
        </w:rPr>
      </w:pPr>
      <w:r>
        <w:rPr>
          <w:rFonts w:ascii="Times New Roman" w:hAnsi="Times New Roman"/>
          <w:iCs/>
          <w:sz w:val="24"/>
          <w:szCs w:val="24"/>
        </w:rPr>
        <w:t>A</w:t>
      </w:r>
      <w:r w:rsidR="00AE09B6" w:rsidRPr="00AE09B6">
        <w:rPr>
          <w:rFonts w:ascii="Times New Roman" w:hAnsi="Times New Roman"/>
          <w:iCs/>
          <w:sz w:val="24"/>
          <w:szCs w:val="24"/>
        </w:rPr>
        <w:t>trenkant konkrečius projektus, bus atsižvelgiama į strateginių planavimo dokumentų, rizikos mažinimo planų sprendinius, tikslus ir vadovaujamasi teisės aktų, užtikrinančių darnaus vystymosi principų ir tikslų įgyvendinimą, nuostatomis. Darnaus vystymosi principo atitikties stebėsena bus integruota į bendrą projektų stebesėnos sistemą. Projektų įgyvendinimo ataskaitos apims ir šio horizontalaus principo įgyvendinimo aprašymus. Vadovaujančio</w:t>
      </w:r>
      <w:r w:rsidR="00EB272F">
        <w:rPr>
          <w:rFonts w:ascii="Times New Roman" w:hAnsi="Times New Roman"/>
          <w:iCs/>
          <w:sz w:val="24"/>
          <w:szCs w:val="24"/>
        </w:rPr>
        <w:t>ji</w:t>
      </w:r>
      <w:r w:rsidR="00AE09B6" w:rsidRPr="00AE09B6">
        <w:rPr>
          <w:rFonts w:ascii="Times New Roman" w:hAnsi="Times New Roman"/>
          <w:iCs/>
          <w:sz w:val="24"/>
          <w:szCs w:val="24"/>
        </w:rPr>
        <w:t xml:space="preserve"> institucij</w:t>
      </w:r>
      <w:r w:rsidR="00EB272F">
        <w:rPr>
          <w:rFonts w:ascii="Times New Roman" w:hAnsi="Times New Roman"/>
          <w:iCs/>
          <w:sz w:val="24"/>
          <w:szCs w:val="24"/>
        </w:rPr>
        <w:t>a</w:t>
      </w:r>
      <w:r w:rsidR="00AE09B6" w:rsidRPr="00AE09B6">
        <w:rPr>
          <w:rFonts w:ascii="Times New Roman" w:hAnsi="Times New Roman"/>
          <w:iCs/>
          <w:sz w:val="24"/>
          <w:szCs w:val="24"/>
        </w:rPr>
        <w:t>, rengdam</w:t>
      </w:r>
      <w:r w:rsidR="00EB272F">
        <w:rPr>
          <w:rFonts w:ascii="Times New Roman" w:hAnsi="Times New Roman"/>
          <w:iCs/>
          <w:sz w:val="24"/>
          <w:szCs w:val="24"/>
        </w:rPr>
        <w:t>a</w:t>
      </w:r>
      <w:r w:rsidR="00AE09B6" w:rsidRPr="00AE09B6">
        <w:rPr>
          <w:rFonts w:ascii="Times New Roman" w:hAnsi="Times New Roman"/>
          <w:iCs/>
          <w:sz w:val="24"/>
          <w:szCs w:val="24"/>
        </w:rPr>
        <w:t xml:space="preserve"> metines </w:t>
      </w:r>
      <w:r w:rsidR="0052589C">
        <w:rPr>
          <w:rFonts w:ascii="Times New Roman" w:hAnsi="Times New Roman"/>
          <w:iCs/>
          <w:sz w:val="24"/>
          <w:szCs w:val="24"/>
        </w:rPr>
        <w:t xml:space="preserve">veiksmų programos </w:t>
      </w:r>
      <w:r w:rsidR="00AE09B6" w:rsidRPr="00AE09B6">
        <w:rPr>
          <w:rFonts w:ascii="Times New Roman" w:hAnsi="Times New Roman"/>
          <w:iCs/>
          <w:sz w:val="24"/>
          <w:szCs w:val="24"/>
        </w:rPr>
        <w:t>įgyvendinimo ataskaitas ir pažangos ataskaitas, pateiks informaciją apie horizontalių principų įgyvendinimą.</w:t>
      </w:r>
    </w:p>
    <w:p w:rsidR="00AE09B6" w:rsidRPr="00AE09B6" w:rsidRDefault="00AE09B6" w:rsidP="003E0F8A">
      <w:pPr>
        <w:spacing w:after="0" w:line="240" w:lineRule="auto"/>
        <w:ind w:firstLine="851"/>
        <w:jc w:val="both"/>
        <w:rPr>
          <w:rFonts w:ascii="Times New Roman" w:hAnsi="Times New Roman"/>
          <w:iCs/>
          <w:sz w:val="24"/>
          <w:szCs w:val="24"/>
        </w:rPr>
      </w:pPr>
      <w:r w:rsidRPr="00AE09B6">
        <w:rPr>
          <w:rFonts w:ascii="Times New Roman" w:hAnsi="Times New Roman"/>
          <w:iCs/>
          <w:sz w:val="24"/>
          <w:szCs w:val="24"/>
        </w:rPr>
        <w:t>2014–2020 m. ES programavimo laikotarpiu projektų finansavimo sąlygų aprašuose numatoma taikyti nuostatas, įpareigojančias pareiškėją numatyti priemones, kurios užtikrintų, kad projektas prisidės prie darna</w:t>
      </w:r>
      <w:r w:rsidR="00640825">
        <w:rPr>
          <w:rFonts w:ascii="Times New Roman" w:hAnsi="Times New Roman"/>
          <w:iCs/>
          <w:sz w:val="24"/>
          <w:szCs w:val="24"/>
        </w:rPr>
        <w:t>us vystymosi tikslų</w:t>
      </w:r>
      <w:r w:rsidRPr="00AE09B6">
        <w:rPr>
          <w:rFonts w:ascii="Times New Roman" w:hAnsi="Times New Roman"/>
          <w:iCs/>
          <w:sz w:val="24"/>
          <w:szCs w:val="24"/>
        </w:rPr>
        <w:t xml:space="preserve"> įgyvendinimo.</w:t>
      </w:r>
    </w:p>
    <w:p w:rsidR="006539D0" w:rsidRPr="00E34D90" w:rsidRDefault="006539D0" w:rsidP="00E34D90">
      <w:pPr>
        <w:spacing w:after="0" w:line="240" w:lineRule="auto"/>
        <w:jc w:val="both"/>
        <w:rPr>
          <w:rFonts w:ascii="Times New Roman" w:hAnsi="Times New Roman"/>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7"/>
      </w:tblGrid>
      <w:tr w:rsidR="000A715B" w:rsidRPr="00066B50" w:rsidTr="00462453">
        <w:trPr>
          <w:trHeight w:val="445"/>
        </w:trPr>
        <w:tc>
          <w:tcPr>
            <w:tcW w:w="9797" w:type="dxa"/>
            <w:shd w:val="clear" w:color="auto" w:fill="C6D9F1"/>
            <w:vAlign w:val="center"/>
          </w:tcPr>
          <w:p w:rsidR="000A715B" w:rsidRPr="00066B50" w:rsidRDefault="00E47CAB" w:rsidP="00066B50">
            <w:pPr>
              <w:spacing w:after="0" w:line="240" w:lineRule="auto"/>
              <w:rPr>
                <w:rFonts w:ascii="Times New Roman" w:hAnsi="Times New Roman"/>
                <w:b/>
                <w:sz w:val="24"/>
                <w:szCs w:val="24"/>
              </w:rPr>
            </w:pPr>
            <w:r>
              <w:rPr>
                <w:rFonts w:ascii="Times New Roman" w:hAnsi="Times New Roman"/>
                <w:b/>
                <w:sz w:val="24"/>
                <w:szCs w:val="24"/>
              </w:rPr>
              <w:t>11</w:t>
            </w:r>
            <w:r w:rsidR="000A715B" w:rsidRPr="00066B50">
              <w:rPr>
                <w:rFonts w:ascii="Times New Roman" w:hAnsi="Times New Roman"/>
                <w:b/>
                <w:sz w:val="24"/>
                <w:szCs w:val="24"/>
              </w:rPr>
              <w:t>.2. Lygios galimybės ir nediskriminacija</w:t>
            </w:r>
          </w:p>
        </w:tc>
      </w:tr>
    </w:tbl>
    <w:p w:rsidR="00E34D90" w:rsidRPr="00E34D90" w:rsidRDefault="00E34D90" w:rsidP="00E34D90">
      <w:pPr>
        <w:spacing w:after="0" w:line="240" w:lineRule="auto"/>
        <w:jc w:val="both"/>
        <w:rPr>
          <w:rFonts w:ascii="Times New Roman" w:hAnsi="Times New Roman"/>
          <w:iCs/>
          <w:sz w:val="24"/>
          <w:szCs w:val="24"/>
        </w:rPr>
      </w:pPr>
    </w:p>
    <w:p w:rsidR="007632F8" w:rsidRPr="007632F8" w:rsidRDefault="007632F8" w:rsidP="007632F8">
      <w:pPr>
        <w:spacing w:after="0" w:line="240" w:lineRule="auto"/>
        <w:ind w:firstLine="851"/>
        <w:jc w:val="both"/>
        <w:rPr>
          <w:rFonts w:ascii="Times New Roman" w:eastAsia="Times New Roman" w:hAnsi="Times New Roman"/>
          <w:sz w:val="24"/>
          <w:szCs w:val="24"/>
          <w:lang w:eastAsia="lt-LT"/>
        </w:rPr>
      </w:pPr>
      <w:r w:rsidRPr="007632F8">
        <w:rPr>
          <w:rFonts w:ascii="Times New Roman" w:hAnsi="Times New Roman"/>
          <w:bCs/>
          <w:iCs/>
          <w:sz w:val="24"/>
          <w:szCs w:val="24"/>
        </w:rPr>
        <w:t xml:space="preserve">Įgyvendinant Partnerystės sutartį bus integruotas </w:t>
      </w:r>
      <w:r w:rsidRPr="007632F8">
        <w:rPr>
          <w:rFonts w:ascii="Times New Roman" w:eastAsia="Times New Roman" w:hAnsi="Times New Roman"/>
          <w:sz w:val="24"/>
          <w:szCs w:val="24"/>
          <w:lang w:eastAsia="lt-LT"/>
        </w:rPr>
        <w:t xml:space="preserve">lyčių lygybės bei nediskriminavimo principas, kaip nustatyta </w:t>
      </w:r>
      <w:r w:rsidRPr="007632F8">
        <w:rPr>
          <w:rFonts w:ascii="Times New Roman" w:hAnsi="Times New Roman"/>
          <w:bCs/>
          <w:iCs/>
          <w:sz w:val="24"/>
          <w:szCs w:val="24"/>
        </w:rPr>
        <w:t>Bendrųjų nuostatų reglamento 7 str</w:t>
      </w:r>
      <w:r w:rsidRPr="007632F8">
        <w:rPr>
          <w:rFonts w:ascii="Times New Roman" w:eastAsia="Times New Roman" w:hAnsi="Times New Roman"/>
          <w:sz w:val="24"/>
          <w:szCs w:val="24"/>
          <w:lang w:eastAsia="lt-LT"/>
        </w:rPr>
        <w:t xml:space="preserve">. </w:t>
      </w:r>
    </w:p>
    <w:p w:rsidR="005703F3" w:rsidRDefault="007632F8" w:rsidP="007632F8">
      <w:pPr>
        <w:spacing w:after="0" w:line="240" w:lineRule="auto"/>
        <w:ind w:firstLine="851"/>
        <w:jc w:val="both"/>
        <w:rPr>
          <w:rFonts w:ascii="Times New Roman" w:eastAsia="Times New Roman" w:hAnsi="Times New Roman"/>
          <w:sz w:val="24"/>
          <w:szCs w:val="24"/>
          <w:lang w:eastAsia="lt-LT"/>
        </w:rPr>
      </w:pPr>
      <w:r w:rsidRPr="007632F8">
        <w:rPr>
          <w:rFonts w:ascii="Times New Roman" w:eastAsia="Times New Roman" w:hAnsi="Times New Roman"/>
          <w:sz w:val="24"/>
          <w:szCs w:val="24"/>
          <w:lang w:eastAsia="lt-LT"/>
        </w:rPr>
        <w:t xml:space="preserve">Šis horizontalusis principas suprantamas ne tik kaip lygių galimybių užtikrinimas, bet ir draudimas varžyti žmogaus teises ar teikti asmeniui privilegijas dėl jo lyties, tautybės, rasinės ar etninės kilmės, kalbos, religijos, tikėjimo, įsitikinimų ar pažiūrų, negalios, socialinės padėties, amžiaus arba seksualinės orientacijos. </w:t>
      </w:r>
    </w:p>
    <w:p w:rsidR="007632F8" w:rsidRPr="007632F8" w:rsidRDefault="007632F8" w:rsidP="007632F8">
      <w:pPr>
        <w:spacing w:after="0" w:line="240" w:lineRule="auto"/>
        <w:ind w:firstLine="851"/>
        <w:jc w:val="both"/>
        <w:rPr>
          <w:rFonts w:ascii="Times New Roman" w:eastAsia="Times New Roman" w:hAnsi="Times New Roman"/>
          <w:sz w:val="24"/>
          <w:szCs w:val="24"/>
          <w:lang w:eastAsia="lt-LT"/>
        </w:rPr>
      </w:pPr>
      <w:r w:rsidRPr="007632F8">
        <w:rPr>
          <w:rFonts w:ascii="Times New Roman" w:eastAsia="Times New Roman" w:hAnsi="Times New Roman"/>
          <w:sz w:val="24"/>
          <w:szCs w:val="24"/>
          <w:lang w:eastAsia="lt-LT"/>
        </w:rPr>
        <w:t>Neįgaliesiems, vyresnio amžiaus žmonėms bei kitiems, turintiems skirtingas funkcines galimybes, turėtų būti užtikrinta galimybė tokiomis pačiomis</w:t>
      </w:r>
      <w:r w:rsidR="007F44D6">
        <w:rPr>
          <w:rFonts w:ascii="Times New Roman" w:eastAsia="Times New Roman" w:hAnsi="Times New Roman"/>
          <w:sz w:val="24"/>
          <w:szCs w:val="24"/>
          <w:lang w:eastAsia="lt-LT"/>
        </w:rPr>
        <w:t>,</w:t>
      </w:r>
      <w:r w:rsidRPr="007632F8">
        <w:rPr>
          <w:rFonts w:ascii="Times New Roman" w:eastAsia="Times New Roman" w:hAnsi="Times New Roman"/>
          <w:sz w:val="24"/>
          <w:szCs w:val="24"/>
          <w:lang w:eastAsia="lt-LT"/>
        </w:rPr>
        <w:t xml:space="preserve"> kaip ir kitų asmenų sąlygomis</w:t>
      </w:r>
      <w:r w:rsidR="007F44D6">
        <w:rPr>
          <w:rFonts w:ascii="Times New Roman" w:eastAsia="Times New Roman" w:hAnsi="Times New Roman"/>
          <w:sz w:val="24"/>
          <w:szCs w:val="24"/>
          <w:lang w:eastAsia="lt-LT"/>
        </w:rPr>
        <w:t>,</w:t>
      </w:r>
      <w:r w:rsidRPr="007632F8">
        <w:rPr>
          <w:rFonts w:ascii="Times New Roman" w:eastAsia="Times New Roman" w:hAnsi="Times New Roman"/>
          <w:sz w:val="24"/>
          <w:szCs w:val="24"/>
          <w:lang w:eastAsia="lt-LT"/>
        </w:rPr>
        <w:t xml:space="preserve"> naudotis fizine infrastruktūra, transportu, IRT ir kitomis priemonėmis bei paslaugomis. Visose šiose srityse vis dar susiduriama su rimtomis kliūtimis. Prieinamumas visiems yra pirminė </w:t>
      </w:r>
      <w:r w:rsidRPr="007632F8">
        <w:rPr>
          <w:rFonts w:ascii="Times New Roman" w:eastAsia="Times New Roman" w:hAnsi="Times New Roman"/>
          <w:sz w:val="24"/>
          <w:szCs w:val="24"/>
          <w:lang w:eastAsia="lt-LT"/>
        </w:rPr>
        <w:lastRenderedPageBreak/>
        <w:t xml:space="preserve">dalyvavimo socialiniame ir ekonominiame gyvenime sąlyga, bet dar reikia daug nuveikti, kad būtų pasiektas šis tikslas. </w:t>
      </w:r>
    </w:p>
    <w:p w:rsidR="00E34D90" w:rsidRPr="00E34D90" w:rsidRDefault="00E34D90" w:rsidP="00FF2B77">
      <w:pPr>
        <w:spacing w:after="0" w:line="240" w:lineRule="auto"/>
        <w:ind w:firstLine="851"/>
        <w:jc w:val="both"/>
        <w:rPr>
          <w:rFonts w:ascii="Times New Roman" w:hAnsi="Times New Roman"/>
          <w:iCs/>
          <w:sz w:val="24"/>
          <w:szCs w:val="24"/>
        </w:rPr>
      </w:pPr>
      <w:r w:rsidRPr="00E34D90">
        <w:rPr>
          <w:rFonts w:ascii="Times New Roman" w:hAnsi="Times New Roman"/>
          <w:iCs/>
          <w:sz w:val="24"/>
          <w:szCs w:val="24"/>
        </w:rPr>
        <w:t>Lygių galimybių ir nediskriminavimo horizontalusis pr</w:t>
      </w:r>
      <w:r w:rsidR="000A715B">
        <w:rPr>
          <w:rFonts w:ascii="Times New Roman" w:hAnsi="Times New Roman"/>
          <w:iCs/>
          <w:sz w:val="24"/>
          <w:szCs w:val="24"/>
        </w:rPr>
        <w:t>incipas aktyviai įgyvendinamas:</w:t>
      </w:r>
    </w:p>
    <w:p w:rsidR="00E34D90" w:rsidRPr="00E34D90" w:rsidRDefault="00E34D90" w:rsidP="003E0F8A">
      <w:pPr>
        <w:numPr>
          <w:ilvl w:val="0"/>
          <w:numId w:val="1"/>
        </w:numPr>
        <w:tabs>
          <w:tab w:val="left" w:pos="851"/>
        </w:tabs>
        <w:spacing w:after="0" w:line="240" w:lineRule="auto"/>
        <w:ind w:left="851" w:hanging="567"/>
        <w:jc w:val="both"/>
        <w:rPr>
          <w:rFonts w:ascii="Times New Roman" w:hAnsi="Times New Roman"/>
          <w:iCs/>
          <w:sz w:val="24"/>
          <w:szCs w:val="24"/>
        </w:rPr>
      </w:pPr>
      <w:r w:rsidRPr="00E34D90">
        <w:rPr>
          <w:rFonts w:ascii="Times New Roman" w:hAnsi="Times New Roman"/>
          <w:iCs/>
          <w:sz w:val="24"/>
          <w:szCs w:val="24"/>
        </w:rPr>
        <w:t>užtikrinant kompleksinių paslaugų (socialinių, sveikatos, švietimo ir kitų) vaikui ir šeimai prieinamumą ir gerinant jų kokybę;</w:t>
      </w:r>
    </w:p>
    <w:p w:rsidR="00E34D90" w:rsidRPr="00E34D90" w:rsidRDefault="00E34D90" w:rsidP="003E0F8A">
      <w:pPr>
        <w:numPr>
          <w:ilvl w:val="0"/>
          <w:numId w:val="1"/>
        </w:numPr>
        <w:tabs>
          <w:tab w:val="left" w:pos="851"/>
        </w:tabs>
        <w:spacing w:after="0" w:line="240" w:lineRule="auto"/>
        <w:ind w:left="851" w:hanging="567"/>
        <w:jc w:val="both"/>
        <w:rPr>
          <w:rFonts w:ascii="Times New Roman" w:hAnsi="Times New Roman"/>
          <w:iCs/>
          <w:sz w:val="24"/>
          <w:szCs w:val="24"/>
        </w:rPr>
      </w:pPr>
      <w:r w:rsidRPr="00E34D90">
        <w:rPr>
          <w:rFonts w:ascii="Times New Roman" w:hAnsi="Times New Roman"/>
          <w:iCs/>
          <w:sz w:val="24"/>
          <w:szCs w:val="24"/>
        </w:rPr>
        <w:t>įgyvendinant tikslines prevencines socialinės atskirties mažinimo priemones;</w:t>
      </w:r>
    </w:p>
    <w:p w:rsidR="00E34D90" w:rsidRPr="00E34D90" w:rsidRDefault="00E34D90" w:rsidP="003E0F8A">
      <w:pPr>
        <w:numPr>
          <w:ilvl w:val="0"/>
          <w:numId w:val="1"/>
        </w:numPr>
        <w:tabs>
          <w:tab w:val="left" w:pos="851"/>
        </w:tabs>
        <w:spacing w:after="0" w:line="240" w:lineRule="auto"/>
        <w:ind w:left="851" w:hanging="567"/>
        <w:jc w:val="both"/>
        <w:rPr>
          <w:rFonts w:ascii="Times New Roman" w:hAnsi="Times New Roman"/>
          <w:iCs/>
          <w:sz w:val="24"/>
          <w:szCs w:val="24"/>
        </w:rPr>
      </w:pPr>
      <w:r w:rsidRPr="00E34D90">
        <w:rPr>
          <w:rFonts w:ascii="Times New Roman" w:hAnsi="Times New Roman"/>
          <w:iCs/>
          <w:sz w:val="24"/>
          <w:szCs w:val="24"/>
        </w:rPr>
        <w:t>ugdant pažeidžiamiausių visuomenės grupių motyvaciją, gebėjimą dalyvauti visuomenėje veikloje ir darbo rinkoje;</w:t>
      </w:r>
    </w:p>
    <w:p w:rsidR="00E34D90" w:rsidRPr="00E34D90" w:rsidRDefault="00E34D90" w:rsidP="003E0F8A">
      <w:pPr>
        <w:numPr>
          <w:ilvl w:val="0"/>
          <w:numId w:val="1"/>
        </w:numPr>
        <w:tabs>
          <w:tab w:val="left" w:pos="851"/>
        </w:tabs>
        <w:spacing w:after="0" w:line="240" w:lineRule="auto"/>
        <w:ind w:left="851" w:hanging="567"/>
        <w:jc w:val="both"/>
        <w:rPr>
          <w:rFonts w:ascii="Times New Roman" w:hAnsi="Times New Roman"/>
          <w:iCs/>
          <w:sz w:val="24"/>
          <w:szCs w:val="24"/>
        </w:rPr>
      </w:pPr>
      <w:r w:rsidRPr="00E34D90">
        <w:rPr>
          <w:rFonts w:ascii="Times New Roman" w:hAnsi="Times New Roman"/>
          <w:iCs/>
          <w:sz w:val="24"/>
          <w:szCs w:val="24"/>
        </w:rPr>
        <w:t>pažeidžiamiausioms visuomenės grupėms</w:t>
      </w:r>
      <w:r w:rsidR="007F44D6">
        <w:rPr>
          <w:rFonts w:ascii="Times New Roman" w:hAnsi="Times New Roman"/>
          <w:iCs/>
          <w:sz w:val="24"/>
          <w:szCs w:val="24"/>
        </w:rPr>
        <w:t>,</w:t>
      </w:r>
      <w:r w:rsidRPr="00E34D90">
        <w:rPr>
          <w:rFonts w:ascii="Times New Roman" w:hAnsi="Times New Roman"/>
          <w:iCs/>
          <w:sz w:val="24"/>
          <w:szCs w:val="24"/>
        </w:rPr>
        <w:t xml:space="preserve"> teikiant socialines, profesinės reabilitacijos ir kitas aktualias paslaugas ir gerinant šių paslaugų kokybę;</w:t>
      </w:r>
    </w:p>
    <w:p w:rsidR="00E34D90" w:rsidRPr="00E34D90" w:rsidRDefault="00E34D90" w:rsidP="003E0F8A">
      <w:pPr>
        <w:numPr>
          <w:ilvl w:val="0"/>
          <w:numId w:val="1"/>
        </w:numPr>
        <w:tabs>
          <w:tab w:val="left" w:pos="851"/>
        </w:tabs>
        <w:spacing w:after="0" w:line="240" w:lineRule="auto"/>
        <w:ind w:left="851" w:hanging="567"/>
        <w:jc w:val="both"/>
        <w:rPr>
          <w:rFonts w:ascii="Times New Roman" w:hAnsi="Times New Roman"/>
          <w:iCs/>
          <w:sz w:val="24"/>
          <w:szCs w:val="24"/>
        </w:rPr>
      </w:pPr>
      <w:r w:rsidRPr="00E34D90">
        <w:rPr>
          <w:rFonts w:ascii="Times New Roman" w:hAnsi="Times New Roman"/>
          <w:iCs/>
          <w:sz w:val="24"/>
          <w:szCs w:val="24"/>
        </w:rPr>
        <w:t>plėtojant tikslines priemones, skirtas pažeidžiamiausių visuomenės socialinių grupių sveikatos stiprinimui ir ligų prevencijai;</w:t>
      </w:r>
    </w:p>
    <w:p w:rsidR="00E34D90" w:rsidRPr="00E34D90" w:rsidRDefault="00E34D90" w:rsidP="003E0F8A">
      <w:pPr>
        <w:numPr>
          <w:ilvl w:val="0"/>
          <w:numId w:val="1"/>
        </w:numPr>
        <w:tabs>
          <w:tab w:val="left" w:pos="851"/>
        </w:tabs>
        <w:spacing w:after="0" w:line="240" w:lineRule="auto"/>
        <w:ind w:left="851" w:hanging="567"/>
        <w:jc w:val="both"/>
        <w:rPr>
          <w:rFonts w:ascii="Times New Roman" w:hAnsi="Times New Roman"/>
          <w:iCs/>
          <w:sz w:val="24"/>
          <w:szCs w:val="24"/>
        </w:rPr>
      </w:pPr>
      <w:r w:rsidRPr="00E34D90">
        <w:rPr>
          <w:rFonts w:ascii="Times New Roman" w:hAnsi="Times New Roman"/>
          <w:iCs/>
          <w:sz w:val="24"/>
          <w:szCs w:val="24"/>
        </w:rPr>
        <w:t>panaudojant neformalaus švietimo galimybes ir elektroninio mokymosi priemones socialinės ir skaitmeninės atskirties mažinimui;</w:t>
      </w:r>
    </w:p>
    <w:p w:rsidR="00E34D90" w:rsidRPr="00E34D90" w:rsidRDefault="00E34D90" w:rsidP="003E0F8A">
      <w:pPr>
        <w:numPr>
          <w:ilvl w:val="0"/>
          <w:numId w:val="1"/>
        </w:numPr>
        <w:tabs>
          <w:tab w:val="left" w:pos="851"/>
        </w:tabs>
        <w:spacing w:after="0" w:line="240" w:lineRule="auto"/>
        <w:ind w:left="851" w:hanging="567"/>
        <w:jc w:val="both"/>
        <w:rPr>
          <w:rFonts w:ascii="Times New Roman" w:hAnsi="Times New Roman"/>
          <w:iCs/>
          <w:sz w:val="24"/>
          <w:szCs w:val="24"/>
        </w:rPr>
      </w:pPr>
      <w:r w:rsidRPr="00E34D90">
        <w:rPr>
          <w:rFonts w:ascii="Times New Roman" w:hAnsi="Times New Roman"/>
          <w:iCs/>
          <w:sz w:val="24"/>
          <w:szCs w:val="24"/>
        </w:rPr>
        <w:t>didinant viešųjų paslaugų infrastruktūros prieinamumą (taikant universalaus dizaino principą);</w:t>
      </w:r>
    </w:p>
    <w:p w:rsidR="00E34D90" w:rsidRPr="00E34D90" w:rsidRDefault="00E34D90" w:rsidP="003E0F8A">
      <w:pPr>
        <w:numPr>
          <w:ilvl w:val="0"/>
          <w:numId w:val="1"/>
        </w:numPr>
        <w:tabs>
          <w:tab w:val="left" w:pos="851"/>
        </w:tabs>
        <w:spacing w:after="0" w:line="240" w:lineRule="auto"/>
        <w:ind w:left="851" w:hanging="567"/>
        <w:jc w:val="both"/>
        <w:rPr>
          <w:rFonts w:ascii="Times New Roman" w:hAnsi="Times New Roman"/>
          <w:iCs/>
          <w:sz w:val="24"/>
          <w:szCs w:val="24"/>
        </w:rPr>
      </w:pPr>
      <w:r w:rsidRPr="00E34D90">
        <w:rPr>
          <w:rFonts w:ascii="Times New Roman" w:hAnsi="Times New Roman"/>
          <w:bCs/>
          <w:iCs/>
          <w:sz w:val="24"/>
          <w:szCs w:val="24"/>
        </w:rPr>
        <w:t xml:space="preserve">didinant būsto prieinamumą pažeidžiamoms gyventojų grupėms; </w:t>
      </w:r>
    </w:p>
    <w:p w:rsidR="00E34D90" w:rsidRPr="00E34D90" w:rsidRDefault="00E34D90" w:rsidP="003E0F8A">
      <w:pPr>
        <w:numPr>
          <w:ilvl w:val="0"/>
          <w:numId w:val="1"/>
        </w:numPr>
        <w:tabs>
          <w:tab w:val="left" w:pos="851"/>
        </w:tabs>
        <w:spacing w:after="0" w:line="240" w:lineRule="auto"/>
        <w:ind w:left="851" w:hanging="567"/>
        <w:jc w:val="both"/>
        <w:rPr>
          <w:rFonts w:ascii="Times New Roman" w:hAnsi="Times New Roman"/>
          <w:iCs/>
          <w:sz w:val="24"/>
          <w:szCs w:val="24"/>
        </w:rPr>
      </w:pPr>
      <w:r w:rsidRPr="00E34D90">
        <w:rPr>
          <w:rFonts w:ascii="Times New Roman" w:hAnsi="Times New Roman"/>
          <w:bCs/>
          <w:iCs/>
          <w:sz w:val="24"/>
          <w:szCs w:val="24"/>
        </w:rPr>
        <w:t>įgyvendinant iniciatyvas, susijusias su aktyviu ir sveiku senėjimu, sudarant sąlygas vyresnio amžiaus žmonėms išlikti darbo rinkoje;</w:t>
      </w:r>
    </w:p>
    <w:p w:rsidR="00E34D90" w:rsidRPr="00E34D90" w:rsidRDefault="00E34D90" w:rsidP="003E0F8A">
      <w:pPr>
        <w:numPr>
          <w:ilvl w:val="0"/>
          <w:numId w:val="1"/>
        </w:numPr>
        <w:tabs>
          <w:tab w:val="left" w:pos="851"/>
        </w:tabs>
        <w:spacing w:after="0" w:line="240" w:lineRule="auto"/>
        <w:ind w:left="851" w:hanging="567"/>
        <w:jc w:val="both"/>
        <w:rPr>
          <w:rFonts w:ascii="Times New Roman" w:hAnsi="Times New Roman"/>
          <w:iCs/>
          <w:sz w:val="24"/>
          <w:szCs w:val="24"/>
        </w:rPr>
      </w:pPr>
      <w:r w:rsidRPr="00E34D90">
        <w:rPr>
          <w:rFonts w:ascii="Times New Roman" w:hAnsi="Times New Roman"/>
          <w:iCs/>
          <w:sz w:val="24"/>
          <w:szCs w:val="24"/>
        </w:rPr>
        <w:t>vystant sociokultūrines paslaugas romų bendruomenėse, panaudojant esamą infrastruktūrą;</w:t>
      </w:r>
    </w:p>
    <w:p w:rsidR="00E34D90" w:rsidRPr="00E34D90" w:rsidRDefault="00E34D90" w:rsidP="003E0F8A">
      <w:pPr>
        <w:numPr>
          <w:ilvl w:val="0"/>
          <w:numId w:val="1"/>
        </w:numPr>
        <w:tabs>
          <w:tab w:val="left" w:pos="851"/>
        </w:tabs>
        <w:spacing w:after="0" w:line="240" w:lineRule="auto"/>
        <w:ind w:left="851" w:hanging="567"/>
        <w:jc w:val="both"/>
        <w:rPr>
          <w:rFonts w:ascii="Times New Roman" w:hAnsi="Times New Roman"/>
          <w:iCs/>
          <w:sz w:val="24"/>
          <w:szCs w:val="24"/>
        </w:rPr>
      </w:pPr>
      <w:r w:rsidRPr="00E34D90">
        <w:rPr>
          <w:rFonts w:ascii="Times New Roman" w:hAnsi="Times New Roman"/>
          <w:iCs/>
          <w:sz w:val="24"/>
          <w:szCs w:val="24"/>
        </w:rPr>
        <w:t>stiprinant neįgaliųjų ir kitų socialiai pažeidžiamų grupių įtrauktį į švietimo procesą;</w:t>
      </w:r>
    </w:p>
    <w:p w:rsidR="00E34D90" w:rsidRPr="00E34D90" w:rsidRDefault="00E34D90" w:rsidP="003E0F8A">
      <w:pPr>
        <w:numPr>
          <w:ilvl w:val="0"/>
          <w:numId w:val="1"/>
        </w:numPr>
        <w:tabs>
          <w:tab w:val="left" w:pos="851"/>
        </w:tabs>
        <w:spacing w:after="0" w:line="240" w:lineRule="auto"/>
        <w:ind w:left="851" w:hanging="567"/>
        <w:jc w:val="both"/>
        <w:rPr>
          <w:rFonts w:ascii="Times New Roman" w:hAnsi="Times New Roman"/>
          <w:iCs/>
          <w:sz w:val="24"/>
          <w:szCs w:val="24"/>
        </w:rPr>
      </w:pPr>
      <w:r w:rsidRPr="00E34D90">
        <w:rPr>
          <w:rFonts w:ascii="Times New Roman" w:hAnsi="Times New Roman"/>
          <w:iCs/>
          <w:sz w:val="24"/>
          <w:szCs w:val="24"/>
        </w:rPr>
        <w:t>skatinant tautinių mažumų įtrauktį ir integraciją, užtikrinant etninį tapatumą, dalyvavimą viešajame gyvenime ir tautinių santykių darną;</w:t>
      </w:r>
    </w:p>
    <w:p w:rsidR="00E34D90" w:rsidRPr="00E34D90" w:rsidRDefault="00E34D90" w:rsidP="003E0F8A">
      <w:pPr>
        <w:numPr>
          <w:ilvl w:val="0"/>
          <w:numId w:val="1"/>
        </w:numPr>
        <w:tabs>
          <w:tab w:val="left" w:pos="851"/>
        </w:tabs>
        <w:spacing w:after="0" w:line="240" w:lineRule="auto"/>
        <w:ind w:left="851" w:hanging="567"/>
        <w:jc w:val="both"/>
        <w:rPr>
          <w:rFonts w:ascii="Times New Roman" w:hAnsi="Times New Roman"/>
          <w:iCs/>
          <w:sz w:val="24"/>
          <w:szCs w:val="24"/>
        </w:rPr>
      </w:pPr>
      <w:r w:rsidRPr="00E34D90">
        <w:rPr>
          <w:rFonts w:ascii="Times New Roman" w:hAnsi="Times New Roman"/>
          <w:iCs/>
          <w:sz w:val="24"/>
          <w:szCs w:val="24"/>
        </w:rPr>
        <w:t>sudarant palankesnes sąlygas bendruomenėms dalyvauti</w:t>
      </w:r>
      <w:r w:rsidR="007F44D6">
        <w:rPr>
          <w:rFonts w:ascii="Times New Roman" w:hAnsi="Times New Roman"/>
          <w:iCs/>
          <w:sz w:val="24"/>
          <w:szCs w:val="24"/>
        </w:rPr>
        <w:t>,</w:t>
      </w:r>
      <w:r w:rsidRPr="00E34D90">
        <w:rPr>
          <w:rFonts w:ascii="Times New Roman" w:hAnsi="Times New Roman"/>
          <w:iCs/>
          <w:sz w:val="24"/>
          <w:szCs w:val="24"/>
        </w:rPr>
        <w:t xml:space="preserve"> sprendžiant vietos reikalus ir integruojant socialinėje atskirtyje esančius gyventojus;</w:t>
      </w:r>
    </w:p>
    <w:p w:rsidR="00E34D90" w:rsidRPr="00E34D90" w:rsidRDefault="00E34D90" w:rsidP="003E0F8A">
      <w:pPr>
        <w:numPr>
          <w:ilvl w:val="0"/>
          <w:numId w:val="1"/>
        </w:numPr>
        <w:tabs>
          <w:tab w:val="left" w:pos="851"/>
        </w:tabs>
        <w:spacing w:after="0" w:line="240" w:lineRule="auto"/>
        <w:ind w:left="851" w:hanging="567"/>
        <w:jc w:val="both"/>
        <w:rPr>
          <w:rFonts w:ascii="Times New Roman" w:hAnsi="Times New Roman"/>
          <w:iCs/>
          <w:sz w:val="24"/>
          <w:szCs w:val="24"/>
        </w:rPr>
      </w:pPr>
      <w:r w:rsidRPr="00E34D90">
        <w:rPr>
          <w:rFonts w:ascii="Times New Roman" w:hAnsi="Times New Roman"/>
          <w:iCs/>
          <w:sz w:val="24"/>
          <w:szCs w:val="24"/>
        </w:rPr>
        <w:t xml:space="preserve">vykdant visuomenės informavimo, švietimo ir konsultavimo veiklas apie diskriminacijos reiškinį ir problemos sprendimo būdus; </w:t>
      </w:r>
    </w:p>
    <w:p w:rsidR="00E34D90" w:rsidRPr="00E34D90" w:rsidRDefault="00E34D90" w:rsidP="003E0F8A">
      <w:pPr>
        <w:numPr>
          <w:ilvl w:val="0"/>
          <w:numId w:val="1"/>
        </w:numPr>
        <w:tabs>
          <w:tab w:val="left" w:pos="851"/>
        </w:tabs>
        <w:spacing w:after="0" w:line="240" w:lineRule="auto"/>
        <w:ind w:left="851" w:hanging="567"/>
        <w:jc w:val="both"/>
        <w:rPr>
          <w:rFonts w:ascii="Times New Roman" w:hAnsi="Times New Roman"/>
          <w:iCs/>
          <w:sz w:val="24"/>
          <w:szCs w:val="24"/>
        </w:rPr>
      </w:pPr>
      <w:r w:rsidRPr="00E34D90">
        <w:rPr>
          <w:rFonts w:ascii="Times New Roman" w:hAnsi="Times New Roman"/>
          <w:iCs/>
          <w:sz w:val="24"/>
          <w:szCs w:val="24"/>
        </w:rPr>
        <w:t>modernizuojant muziejų ekspozicijas, sudarant galimybes jomis naudotis mokymuisi bei ugdymuisi, diegiant interaktyvius kūrybinius sprendimus ir pritaikant įvairių socialinių bei amžiaus grupių poreikiams.</w:t>
      </w:r>
    </w:p>
    <w:p w:rsidR="00E34D90" w:rsidRPr="00E34D90" w:rsidRDefault="00E34D90" w:rsidP="00E34D90">
      <w:pPr>
        <w:spacing w:after="0" w:line="240" w:lineRule="auto"/>
        <w:ind w:firstLine="1134"/>
        <w:jc w:val="both"/>
        <w:rPr>
          <w:rFonts w:ascii="Times New Roman" w:hAnsi="Times New Roman"/>
          <w:iCs/>
          <w:sz w:val="24"/>
          <w:szCs w:val="24"/>
        </w:rPr>
      </w:pPr>
    </w:p>
    <w:p w:rsidR="00AA7C59" w:rsidRPr="00AA7C59" w:rsidRDefault="00AA7C59" w:rsidP="00AA7C59">
      <w:pPr>
        <w:spacing w:after="0" w:line="240" w:lineRule="auto"/>
        <w:ind w:firstLine="720"/>
        <w:jc w:val="both"/>
        <w:rPr>
          <w:rFonts w:ascii="Times New Roman" w:hAnsi="Times New Roman"/>
          <w:bCs/>
          <w:iCs/>
          <w:sz w:val="24"/>
          <w:szCs w:val="24"/>
        </w:rPr>
      </w:pPr>
      <w:r w:rsidRPr="00AA7C59">
        <w:rPr>
          <w:rFonts w:ascii="Times New Roman" w:eastAsia="Times New Roman" w:hAnsi="Times New Roman"/>
          <w:sz w:val="24"/>
          <w:szCs w:val="24"/>
          <w:lang w:eastAsia="lt-LT"/>
        </w:rPr>
        <w:t xml:space="preserve">Pažymėtina, kad </w:t>
      </w:r>
      <w:r w:rsidR="006623F6">
        <w:rPr>
          <w:rFonts w:ascii="Times New Roman" w:eastAsia="Times New Roman" w:hAnsi="Times New Roman"/>
          <w:sz w:val="24"/>
          <w:szCs w:val="24"/>
          <w:lang w:eastAsia="lt-LT"/>
        </w:rPr>
        <w:t>ES fondų</w:t>
      </w:r>
      <w:r w:rsidRPr="00AA7C59">
        <w:rPr>
          <w:rFonts w:ascii="Times New Roman" w:eastAsia="Times New Roman" w:hAnsi="Times New Roman"/>
          <w:sz w:val="24"/>
          <w:szCs w:val="24"/>
          <w:lang w:eastAsia="lt-LT"/>
        </w:rPr>
        <w:t xml:space="preserve"> horizontaliųjų principų įgyvendinimo</w:t>
      </w:r>
      <w:proofErr w:type="gramStart"/>
      <w:r w:rsidRPr="00AA7C59">
        <w:rPr>
          <w:rFonts w:ascii="Times New Roman" w:eastAsia="Times New Roman" w:hAnsi="Times New Roman"/>
          <w:sz w:val="24"/>
          <w:szCs w:val="24"/>
          <w:lang w:eastAsia="lt-LT"/>
        </w:rPr>
        <w:t xml:space="preserve">  </w:t>
      </w:r>
      <w:proofErr w:type="gramEnd"/>
      <w:r w:rsidRPr="00AA7C59">
        <w:rPr>
          <w:rFonts w:ascii="Times New Roman" w:eastAsia="Times New Roman" w:hAnsi="Times New Roman"/>
          <w:sz w:val="24"/>
          <w:szCs w:val="24"/>
          <w:lang w:eastAsia="lt-LT"/>
        </w:rPr>
        <w:t xml:space="preserve">mechanizmas, sukurtas 2007–2013 m. </w:t>
      </w:r>
      <w:r w:rsidRPr="00AA7C59">
        <w:rPr>
          <w:rFonts w:ascii="Times New Roman" w:hAnsi="Times New Roman"/>
          <w:sz w:val="24"/>
          <w:szCs w:val="24"/>
        </w:rPr>
        <w:t xml:space="preserve">programavimo laikotarpiu, </w:t>
      </w:r>
      <w:r w:rsidRPr="00AA7C59">
        <w:rPr>
          <w:rFonts w:ascii="Times New Roman" w:eastAsia="Times New Roman" w:hAnsi="Times New Roman"/>
          <w:sz w:val="24"/>
          <w:szCs w:val="24"/>
          <w:lang w:eastAsia="lt-LT"/>
        </w:rPr>
        <w:t>toliau bus įgyvendinamas naujajame programavimo laikotarpyje, gerinant tam tikrų jo elementų veikimą.</w:t>
      </w:r>
      <w:r w:rsidRPr="00AA7C59">
        <w:rPr>
          <w:rFonts w:ascii="Times New Roman" w:hAnsi="Times New Roman"/>
          <w:sz w:val="24"/>
          <w:szCs w:val="24"/>
        </w:rPr>
        <w:t xml:space="preserve"> </w:t>
      </w:r>
      <w:r w:rsidRPr="00AA7C59">
        <w:rPr>
          <w:rFonts w:ascii="Times New Roman" w:hAnsi="Times New Roman"/>
          <w:bCs/>
          <w:iCs/>
          <w:sz w:val="24"/>
          <w:szCs w:val="24"/>
        </w:rPr>
        <w:t>2007</w:t>
      </w:r>
      <w:r w:rsidRPr="00AA7C59">
        <w:rPr>
          <w:rFonts w:ascii="Times New Roman" w:eastAsia="Times New Roman" w:hAnsi="Times New Roman"/>
          <w:sz w:val="24"/>
          <w:szCs w:val="24"/>
          <w:lang w:eastAsia="lt-LT"/>
        </w:rPr>
        <w:t>–</w:t>
      </w:r>
      <w:r w:rsidRPr="00AA7C59">
        <w:rPr>
          <w:rFonts w:ascii="Times New Roman" w:hAnsi="Times New Roman"/>
          <w:bCs/>
          <w:iCs/>
          <w:sz w:val="24"/>
          <w:szCs w:val="24"/>
        </w:rPr>
        <w:t xml:space="preserve">2013 m. </w:t>
      </w:r>
      <w:r w:rsidRPr="00AA7C59">
        <w:rPr>
          <w:rFonts w:ascii="Times New Roman" w:hAnsi="Times New Roman"/>
          <w:sz w:val="24"/>
          <w:szCs w:val="24"/>
        </w:rPr>
        <w:t xml:space="preserve">programavimo laikotarpiu </w:t>
      </w:r>
      <w:r w:rsidRPr="00AA7C59">
        <w:rPr>
          <w:rFonts w:ascii="Times New Roman" w:hAnsi="Times New Roman"/>
          <w:bCs/>
          <w:iCs/>
          <w:sz w:val="24"/>
          <w:szCs w:val="24"/>
        </w:rPr>
        <w:t>horizontaliųjų principų koordinavimui</w:t>
      </w:r>
      <w:r w:rsidR="00A50C23">
        <w:rPr>
          <w:rFonts w:ascii="Times New Roman" w:hAnsi="Times New Roman"/>
          <w:bCs/>
          <w:iCs/>
          <w:sz w:val="24"/>
          <w:szCs w:val="24"/>
        </w:rPr>
        <w:t>.</w:t>
      </w:r>
      <w:r w:rsidRPr="00AA7C59">
        <w:rPr>
          <w:rFonts w:ascii="Times New Roman" w:hAnsi="Times New Roman"/>
          <w:bCs/>
          <w:iCs/>
          <w:sz w:val="24"/>
          <w:szCs w:val="24"/>
        </w:rPr>
        <w:t>buvo sudaryta horizontaliųjų prioritetų įgyvendinimo priežiūros darbo grupė, analizuojanti susijusią informaciją ir teikianti pasiūlymus dėl šių prioritetų įgyvendinimo. Darbo grupę sudaro institucijų, dalyvaujančių veiksmų programos įgyvendinime, socialinių ir ekonominių bei regioninių partnerių, taip pat institucijų, atsakingų už lyčių lygybę ir nediskriminavimą, atstovai. Darbo grupės veikla bus tęsiama ir 2014</w:t>
      </w:r>
      <w:r w:rsidRPr="00AA7C59">
        <w:rPr>
          <w:rFonts w:ascii="Times New Roman" w:eastAsia="Times New Roman" w:hAnsi="Times New Roman"/>
          <w:sz w:val="24"/>
          <w:szCs w:val="24"/>
          <w:lang w:eastAsia="lt-LT"/>
        </w:rPr>
        <w:t>–</w:t>
      </w:r>
      <w:r w:rsidRPr="00AA7C59">
        <w:rPr>
          <w:rFonts w:ascii="Times New Roman" w:hAnsi="Times New Roman"/>
          <w:bCs/>
          <w:iCs/>
          <w:sz w:val="24"/>
          <w:szCs w:val="24"/>
        </w:rPr>
        <w:t xml:space="preserve">2020 m. </w:t>
      </w:r>
      <w:r w:rsidRPr="00AA7C59">
        <w:rPr>
          <w:rFonts w:ascii="Times New Roman" w:hAnsi="Times New Roman"/>
          <w:sz w:val="24"/>
          <w:szCs w:val="24"/>
        </w:rPr>
        <w:t>programavimo laikotarpiu</w:t>
      </w:r>
      <w:r w:rsidRPr="00AA7C59">
        <w:rPr>
          <w:rFonts w:ascii="Times New Roman" w:hAnsi="Times New Roman"/>
          <w:bCs/>
          <w:iCs/>
          <w:sz w:val="24"/>
          <w:szCs w:val="24"/>
        </w:rPr>
        <w:t xml:space="preserve">. </w:t>
      </w:r>
    </w:p>
    <w:p w:rsidR="00FB3984" w:rsidRDefault="00742FFB" w:rsidP="003E0F8A">
      <w:pPr>
        <w:spacing w:after="0" w:line="240" w:lineRule="auto"/>
        <w:ind w:firstLine="851"/>
        <w:jc w:val="both"/>
        <w:rPr>
          <w:rFonts w:ascii="Times New Roman" w:hAnsi="Times New Roman"/>
          <w:iCs/>
          <w:sz w:val="24"/>
          <w:szCs w:val="24"/>
        </w:rPr>
      </w:pPr>
      <w:r w:rsidRPr="00742FFB">
        <w:rPr>
          <w:rFonts w:ascii="Times New Roman" w:hAnsi="Times New Roman"/>
          <w:iCs/>
          <w:sz w:val="24"/>
          <w:szCs w:val="24"/>
        </w:rPr>
        <w:t xml:space="preserve">2014–2020 m. programavimo laikotarpiu, </w:t>
      </w:r>
      <w:r w:rsidRPr="00742FFB">
        <w:rPr>
          <w:rFonts w:ascii="Times New Roman" w:hAnsi="Times New Roman"/>
          <w:bCs/>
          <w:iCs/>
          <w:sz w:val="24"/>
          <w:szCs w:val="24"/>
        </w:rPr>
        <w:t xml:space="preserve">visi pareiškėjai, siekiantys gauti paramą, turės užtikrinti, kad projekte bus laikomasi lygių galimybių ir nediskriminavimo užtikrinimo principų. </w:t>
      </w:r>
      <w:r w:rsidRPr="00742FFB">
        <w:rPr>
          <w:rFonts w:ascii="Times New Roman" w:hAnsi="Times New Roman"/>
          <w:iCs/>
          <w:sz w:val="24"/>
          <w:szCs w:val="24"/>
        </w:rPr>
        <w:t xml:space="preserve">Visiems naudos gavėjams ir skirtingų tikslinių grupių atstovams nepriklausomai nuo lyties bus suteikiamos teisės dalyvauti projektų veiklose ir naudotis jų rezultatais. </w:t>
      </w:r>
      <w:r>
        <w:rPr>
          <w:rFonts w:ascii="Times New Roman" w:hAnsi="Times New Roman"/>
          <w:iCs/>
          <w:sz w:val="24"/>
          <w:szCs w:val="24"/>
        </w:rPr>
        <w:t>Š</w:t>
      </w:r>
      <w:r w:rsidRPr="00742FFB">
        <w:rPr>
          <w:rFonts w:ascii="Times New Roman" w:hAnsi="Times New Roman"/>
          <w:iCs/>
          <w:sz w:val="24"/>
          <w:szCs w:val="24"/>
        </w:rPr>
        <w:t xml:space="preserve">is aspektas bus vertinamas kaip bendrasis Stebėsenos komiteto patvirtintas atrankos kriterijus „Projektas atitinka lyčių lygybės ir nediskriminavimo principus“. Kvietimų teikti paraiškas dokumentuose numatytais atvejais </w:t>
      </w:r>
      <w:r w:rsidRPr="00742FFB">
        <w:rPr>
          <w:rFonts w:ascii="Times New Roman" w:hAnsi="Times New Roman"/>
          <w:bCs/>
          <w:iCs/>
          <w:sz w:val="24"/>
          <w:szCs w:val="24"/>
        </w:rPr>
        <w:t>pareiškėjai turės nurodyti planuojamas įgyvendinti veiklas ir planuojamus pasiekti rezultatus, kuriais bus aktyviai prisidedama prie ši</w:t>
      </w:r>
      <w:r>
        <w:rPr>
          <w:rFonts w:ascii="Times New Roman" w:hAnsi="Times New Roman"/>
          <w:bCs/>
          <w:iCs/>
          <w:sz w:val="24"/>
          <w:szCs w:val="24"/>
        </w:rPr>
        <w:t>o</w:t>
      </w:r>
      <w:r w:rsidRPr="00742FFB">
        <w:rPr>
          <w:rFonts w:ascii="Times New Roman" w:hAnsi="Times New Roman"/>
          <w:bCs/>
          <w:iCs/>
          <w:sz w:val="24"/>
          <w:szCs w:val="24"/>
        </w:rPr>
        <w:t xml:space="preserve"> horizontal</w:t>
      </w:r>
      <w:r>
        <w:rPr>
          <w:rFonts w:ascii="Times New Roman" w:hAnsi="Times New Roman"/>
          <w:bCs/>
          <w:iCs/>
          <w:sz w:val="24"/>
          <w:szCs w:val="24"/>
        </w:rPr>
        <w:t>aus</w:t>
      </w:r>
      <w:r w:rsidRPr="00742FFB">
        <w:rPr>
          <w:rFonts w:ascii="Times New Roman" w:hAnsi="Times New Roman"/>
          <w:bCs/>
          <w:iCs/>
          <w:sz w:val="24"/>
          <w:szCs w:val="24"/>
        </w:rPr>
        <w:t xml:space="preserve"> princip</w:t>
      </w:r>
      <w:r>
        <w:rPr>
          <w:rFonts w:ascii="Times New Roman" w:hAnsi="Times New Roman"/>
          <w:bCs/>
          <w:iCs/>
          <w:sz w:val="24"/>
          <w:szCs w:val="24"/>
        </w:rPr>
        <w:t>o</w:t>
      </w:r>
      <w:r w:rsidRPr="00742FFB">
        <w:rPr>
          <w:rFonts w:ascii="Times New Roman" w:hAnsi="Times New Roman"/>
          <w:bCs/>
          <w:iCs/>
          <w:sz w:val="24"/>
          <w:szCs w:val="24"/>
        </w:rPr>
        <w:t xml:space="preserve"> įgyvendinimo.</w:t>
      </w:r>
    </w:p>
    <w:p w:rsidR="00E34D90" w:rsidRDefault="00FB3984" w:rsidP="003E0F8A">
      <w:pPr>
        <w:spacing w:after="0" w:line="240" w:lineRule="auto"/>
        <w:ind w:firstLine="851"/>
        <w:jc w:val="both"/>
        <w:rPr>
          <w:rFonts w:ascii="Times New Roman" w:hAnsi="Times New Roman"/>
          <w:bCs/>
          <w:iCs/>
          <w:sz w:val="24"/>
          <w:szCs w:val="24"/>
        </w:rPr>
      </w:pPr>
      <w:r w:rsidRPr="00FB3984">
        <w:rPr>
          <w:rFonts w:ascii="Times New Roman" w:hAnsi="Times New Roman"/>
          <w:iCs/>
          <w:sz w:val="24"/>
          <w:szCs w:val="24"/>
        </w:rPr>
        <w:t>Vykdant projektų įgyvendinimo priežiūrą bus stebima, ar skirtos lėšos naudojamos laikantis lyčių lygybės ir nediskriminavimo užtikrinimo principų.</w:t>
      </w:r>
      <w:r w:rsidRPr="00FB3984">
        <w:rPr>
          <w:rFonts w:ascii="Times New Roman" w:hAnsi="Times New Roman"/>
          <w:bCs/>
          <w:iCs/>
          <w:sz w:val="24"/>
          <w:szCs w:val="24"/>
        </w:rPr>
        <w:t xml:space="preserve"> 2014</w:t>
      </w:r>
      <w:r w:rsidRPr="00FB3984">
        <w:rPr>
          <w:rFonts w:ascii="Times New Roman" w:hAnsi="Times New Roman"/>
          <w:iCs/>
          <w:sz w:val="24"/>
          <w:szCs w:val="24"/>
        </w:rPr>
        <w:t>–</w:t>
      </w:r>
      <w:r w:rsidRPr="00FB3984">
        <w:rPr>
          <w:rFonts w:ascii="Times New Roman" w:hAnsi="Times New Roman"/>
          <w:bCs/>
          <w:iCs/>
          <w:sz w:val="24"/>
          <w:szCs w:val="24"/>
        </w:rPr>
        <w:t xml:space="preserve">2020 m. </w:t>
      </w:r>
      <w:r w:rsidRPr="00FB3984">
        <w:rPr>
          <w:rFonts w:ascii="Times New Roman" w:hAnsi="Times New Roman"/>
          <w:iCs/>
          <w:sz w:val="24"/>
          <w:szCs w:val="24"/>
        </w:rPr>
        <w:t xml:space="preserve">programavimo </w:t>
      </w:r>
      <w:r w:rsidRPr="00FB3984">
        <w:rPr>
          <w:rFonts w:ascii="Times New Roman" w:hAnsi="Times New Roman"/>
          <w:iCs/>
          <w:sz w:val="24"/>
          <w:szCs w:val="24"/>
        </w:rPr>
        <w:lastRenderedPageBreak/>
        <w:t>laikotarpiu</w:t>
      </w:r>
      <w:r w:rsidRPr="00FB3984">
        <w:rPr>
          <w:rFonts w:ascii="Times New Roman" w:hAnsi="Times New Roman"/>
          <w:bCs/>
          <w:iCs/>
          <w:sz w:val="24"/>
          <w:szCs w:val="24"/>
        </w:rPr>
        <w:t xml:space="preserve"> horizo</w:t>
      </w:r>
      <w:r>
        <w:rPr>
          <w:rFonts w:ascii="Times New Roman" w:hAnsi="Times New Roman"/>
          <w:bCs/>
          <w:iCs/>
          <w:sz w:val="24"/>
          <w:szCs w:val="24"/>
        </w:rPr>
        <w:t>ntaliųjų principų koordinavimą atliks</w:t>
      </w:r>
      <w:r w:rsidRPr="00FB3984">
        <w:rPr>
          <w:rFonts w:ascii="Times New Roman" w:hAnsi="Times New Roman"/>
          <w:bCs/>
          <w:iCs/>
          <w:sz w:val="24"/>
          <w:szCs w:val="24"/>
        </w:rPr>
        <w:t xml:space="preserve"> horizontaliųjų prioritetų įgyvendinimo priežiūros darbo grupė, kuri analizuoja susijusią informaciją ir teikia pasiūlymus dėl šių prioritetų įgyvendinimo. Darbo grupę sudar</w:t>
      </w:r>
      <w:r>
        <w:rPr>
          <w:rFonts w:ascii="Times New Roman" w:hAnsi="Times New Roman"/>
          <w:bCs/>
          <w:iCs/>
          <w:sz w:val="24"/>
          <w:szCs w:val="24"/>
        </w:rPr>
        <w:t>ys</w:t>
      </w:r>
      <w:r w:rsidRPr="00FB3984">
        <w:rPr>
          <w:rFonts w:ascii="Times New Roman" w:hAnsi="Times New Roman"/>
          <w:bCs/>
          <w:iCs/>
          <w:sz w:val="24"/>
          <w:szCs w:val="24"/>
        </w:rPr>
        <w:t xml:space="preserve"> institucijų, dalyvaujančių veiksmų programos įgyvendinime, socialinių ir ekonominių bei regioninių partnerių, taip pat institucijų, atsakingų už lyčių lygybę ir nediskriminavimą, atstovai.</w:t>
      </w:r>
    </w:p>
    <w:p w:rsidR="00FB3984" w:rsidRPr="00FB3984" w:rsidRDefault="00FB3984" w:rsidP="00FB3984">
      <w:pPr>
        <w:spacing w:after="0" w:line="240" w:lineRule="auto"/>
        <w:ind w:firstLine="1134"/>
        <w:jc w:val="both"/>
        <w:rPr>
          <w:rFonts w:ascii="Times New Roman" w:hAnsi="Times New Roman"/>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7"/>
      </w:tblGrid>
      <w:tr w:rsidR="000A715B" w:rsidRPr="00066B50" w:rsidTr="00462453">
        <w:trPr>
          <w:trHeight w:val="445"/>
        </w:trPr>
        <w:tc>
          <w:tcPr>
            <w:tcW w:w="9797" w:type="dxa"/>
            <w:shd w:val="clear" w:color="auto" w:fill="C6D9F1"/>
            <w:vAlign w:val="center"/>
          </w:tcPr>
          <w:p w:rsidR="000A715B" w:rsidRPr="00066B50" w:rsidRDefault="00E47CAB" w:rsidP="006539D0">
            <w:pPr>
              <w:spacing w:after="0"/>
              <w:rPr>
                <w:rFonts w:ascii="Times New Roman" w:hAnsi="Times New Roman"/>
                <w:b/>
                <w:sz w:val="24"/>
                <w:szCs w:val="24"/>
              </w:rPr>
            </w:pPr>
            <w:r>
              <w:rPr>
                <w:rFonts w:ascii="Times New Roman" w:hAnsi="Times New Roman"/>
                <w:b/>
                <w:sz w:val="24"/>
                <w:szCs w:val="24"/>
              </w:rPr>
              <w:t>11</w:t>
            </w:r>
            <w:r w:rsidR="000A715B" w:rsidRPr="00066B50">
              <w:rPr>
                <w:rFonts w:ascii="Times New Roman" w:hAnsi="Times New Roman"/>
                <w:b/>
                <w:sz w:val="24"/>
                <w:szCs w:val="24"/>
              </w:rPr>
              <w:t>.3. Moterų ir vyrų lygybė</w:t>
            </w:r>
          </w:p>
        </w:tc>
      </w:tr>
    </w:tbl>
    <w:p w:rsidR="00E34D90" w:rsidRPr="00E34D90" w:rsidRDefault="00E34D90" w:rsidP="00E34D90">
      <w:pPr>
        <w:spacing w:after="0" w:line="240" w:lineRule="auto"/>
        <w:jc w:val="both"/>
        <w:rPr>
          <w:rFonts w:ascii="Times New Roman" w:hAnsi="Times New Roman"/>
          <w:bCs/>
          <w:iCs/>
          <w:sz w:val="24"/>
          <w:szCs w:val="24"/>
        </w:rPr>
      </w:pPr>
    </w:p>
    <w:p w:rsidR="005703F3" w:rsidRPr="007632F8" w:rsidRDefault="00F53EBE" w:rsidP="005703F3">
      <w:pPr>
        <w:spacing w:after="0" w:line="240" w:lineRule="auto"/>
        <w:ind w:firstLine="851"/>
        <w:jc w:val="both"/>
        <w:rPr>
          <w:rFonts w:ascii="Times New Roman" w:eastAsia="Times New Roman" w:hAnsi="Times New Roman"/>
          <w:sz w:val="24"/>
          <w:szCs w:val="24"/>
          <w:lang w:eastAsia="lt-LT"/>
        </w:rPr>
      </w:pPr>
      <w:r w:rsidRPr="00F53EBE">
        <w:rPr>
          <w:rFonts w:ascii="Times New Roman" w:hAnsi="Times New Roman"/>
          <w:bCs/>
          <w:iCs/>
          <w:sz w:val="24"/>
          <w:szCs w:val="24"/>
        </w:rPr>
        <w:t xml:space="preserve">Moterų ir vyrų lygių galimybių įstatymas nustato pareigą valstybės ir savivaldybių institucijoms bei įstaigoms rengti ir įgyvendinti priemones, skirtas moterų ir vyrų lygioms galimybėms užtikrinti.  Ši įstatymo nuostata sudaro teisinę prielaidą Moterų ir vyrų lygybę įtvirtinti visose srityse horizontaliuoju prioritetu. </w:t>
      </w:r>
      <w:r w:rsidR="005703F3" w:rsidRPr="007632F8">
        <w:rPr>
          <w:rFonts w:ascii="Times New Roman" w:eastAsia="Times New Roman" w:hAnsi="Times New Roman"/>
          <w:sz w:val="24"/>
          <w:szCs w:val="24"/>
          <w:lang w:eastAsia="lt-LT"/>
        </w:rPr>
        <w:t xml:space="preserve">Vyrų ir moterų lygybė apima lygias teises, atsakomybes ir galimybes abiem lytims. Įgyvendinant šį principą, svarbu atsižvelgti į moterų ir vyrų žinias, interesus, patirtį, jų vaidmenis, kad abi lytys vienodai galėtų pasinaudoti 2014–2020 m. </w:t>
      </w:r>
      <w:r w:rsidR="005703F3" w:rsidRPr="007632F8">
        <w:rPr>
          <w:rFonts w:ascii="Times New Roman" w:hAnsi="Times New Roman"/>
          <w:sz w:val="24"/>
          <w:szCs w:val="24"/>
        </w:rPr>
        <w:t>programavimo laikotarpio</w:t>
      </w:r>
      <w:r w:rsidR="005703F3" w:rsidRPr="007632F8">
        <w:rPr>
          <w:rFonts w:ascii="Times New Roman" w:eastAsia="Times New Roman" w:hAnsi="Times New Roman"/>
          <w:sz w:val="24"/>
          <w:szCs w:val="24"/>
          <w:lang w:eastAsia="lt-LT"/>
        </w:rPr>
        <w:t xml:space="preserve"> teikiama nauda. </w:t>
      </w:r>
    </w:p>
    <w:p w:rsidR="00F53EBE" w:rsidRPr="00F53EBE" w:rsidRDefault="00F53EBE" w:rsidP="003E0F8A">
      <w:pPr>
        <w:tabs>
          <w:tab w:val="left" w:pos="2410"/>
        </w:tabs>
        <w:spacing w:after="0" w:line="240" w:lineRule="auto"/>
        <w:ind w:firstLine="851"/>
        <w:jc w:val="both"/>
        <w:rPr>
          <w:rFonts w:ascii="Times New Roman" w:hAnsi="Times New Roman"/>
          <w:bCs/>
          <w:iCs/>
          <w:sz w:val="24"/>
          <w:szCs w:val="24"/>
        </w:rPr>
      </w:pPr>
      <w:r w:rsidRPr="00F53EBE">
        <w:rPr>
          <w:rFonts w:ascii="Times New Roman" w:hAnsi="Times New Roman"/>
          <w:bCs/>
          <w:iCs/>
          <w:sz w:val="24"/>
          <w:szCs w:val="24"/>
        </w:rPr>
        <w:t>Moterų ir vyrų lygios galimybės nuosekliai, kompleksiškai ir sistemingai visose srityse užtikrinamos įgyvendinant jau trečiąją Valstybinę moterų ir vyrų lygių galimybių 2010</w:t>
      </w:r>
      <w:r w:rsidR="006B2D8D" w:rsidRPr="007632F8">
        <w:rPr>
          <w:rFonts w:ascii="Times New Roman" w:eastAsia="Times New Roman" w:hAnsi="Times New Roman"/>
          <w:sz w:val="24"/>
          <w:szCs w:val="24"/>
          <w:lang w:eastAsia="lt-LT"/>
        </w:rPr>
        <w:t>–</w:t>
      </w:r>
      <w:r w:rsidRPr="00F53EBE">
        <w:rPr>
          <w:rFonts w:ascii="Times New Roman" w:hAnsi="Times New Roman"/>
          <w:bCs/>
          <w:iCs/>
          <w:sz w:val="24"/>
          <w:szCs w:val="24"/>
        </w:rPr>
        <w:t>2014 metų programą, patvirtintą Lietuvos Respublikos Vyriausybės 2010 m. gegužės 4 d. nutarimu Nr. 530. Moterų ir vyrų lygybė, kaip horizontalusis prioritetas, aktyviai įgyvendinamas:</w:t>
      </w:r>
    </w:p>
    <w:p w:rsidR="00F53EBE" w:rsidRPr="00F53EBE" w:rsidRDefault="00F53EBE" w:rsidP="00FE0DE1">
      <w:pPr>
        <w:numPr>
          <w:ilvl w:val="0"/>
          <w:numId w:val="5"/>
        </w:numPr>
        <w:spacing w:after="0" w:line="240" w:lineRule="auto"/>
        <w:ind w:left="284" w:hanging="284"/>
        <w:jc w:val="both"/>
        <w:rPr>
          <w:rFonts w:ascii="Times New Roman" w:hAnsi="Times New Roman"/>
          <w:bCs/>
          <w:iCs/>
          <w:sz w:val="24"/>
          <w:szCs w:val="24"/>
        </w:rPr>
      </w:pPr>
      <w:r w:rsidRPr="00F53EBE">
        <w:rPr>
          <w:rFonts w:ascii="Times New Roman" w:hAnsi="Times New Roman"/>
          <w:b/>
          <w:bCs/>
          <w:iCs/>
          <w:sz w:val="24"/>
          <w:szCs w:val="24"/>
        </w:rPr>
        <w:t>užimtumo srityje</w:t>
      </w:r>
      <w:r w:rsidRPr="00F53EBE">
        <w:rPr>
          <w:rFonts w:ascii="Times New Roman" w:hAnsi="Times New Roman"/>
          <w:bCs/>
          <w:iCs/>
          <w:sz w:val="24"/>
          <w:szCs w:val="24"/>
        </w:rPr>
        <w:t>:</w:t>
      </w:r>
    </w:p>
    <w:p w:rsidR="00F53EBE" w:rsidRPr="00F53EBE" w:rsidRDefault="00F53EBE" w:rsidP="00FE0DE1">
      <w:pPr>
        <w:numPr>
          <w:ilvl w:val="1"/>
          <w:numId w:val="5"/>
        </w:numPr>
        <w:tabs>
          <w:tab w:val="left" w:pos="851"/>
        </w:tabs>
        <w:spacing w:after="0" w:line="240" w:lineRule="auto"/>
        <w:ind w:left="851" w:hanging="425"/>
        <w:jc w:val="both"/>
        <w:rPr>
          <w:rFonts w:ascii="Times New Roman" w:hAnsi="Times New Roman"/>
          <w:bCs/>
          <w:iCs/>
          <w:sz w:val="24"/>
          <w:szCs w:val="24"/>
        </w:rPr>
      </w:pPr>
      <w:r w:rsidRPr="00F53EBE">
        <w:rPr>
          <w:rFonts w:ascii="Times New Roman" w:hAnsi="Times New Roman"/>
          <w:bCs/>
          <w:iCs/>
          <w:sz w:val="24"/>
          <w:szCs w:val="24"/>
        </w:rPr>
        <w:t>gerinant moterų ir vyrų, grįžtančių į darbo rinką po vaiko priežiūros atostogų, taip pat vyresnio amžiaus moterų reintegracijos į darbo rinką ir išlikimo darbo rinkoje galimybes;</w:t>
      </w:r>
    </w:p>
    <w:p w:rsidR="00F53EBE" w:rsidRPr="00F53EBE" w:rsidRDefault="00F53EBE" w:rsidP="00FE0DE1">
      <w:pPr>
        <w:numPr>
          <w:ilvl w:val="1"/>
          <w:numId w:val="5"/>
        </w:numPr>
        <w:tabs>
          <w:tab w:val="left" w:pos="851"/>
        </w:tabs>
        <w:spacing w:after="0" w:line="240" w:lineRule="auto"/>
        <w:ind w:left="851" w:hanging="425"/>
        <w:jc w:val="both"/>
        <w:rPr>
          <w:rFonts w:ascii="Times New Roman" w:hAnsi="Times New Roman"/>
          <w:bCs/>
          <w:iCs/>
          <w:sz w:val="24"/>
          <w:szCs w:val="24"/>
        </w:rPr>
      </w:pPr>
      <w:r w:rsidRPr="00F53EBE">
        <w:rPr>
          <w:rFonts w:ascii="Times New Roman" w:hAnsi="Times New Roman"/>
          <w:bCs/>
          <w:iCs/>
          <w:sz w:val="24"/>
          <w:szCs w:val="24"/>
        </w:rPr>
        <w:t>didinant moterų, ypač kaimo moterų, galimybes imtis verslo ir jį plėtoti, skatinti kaimo gyventojų, moterų ir vyrų, ekonominį aktyvumą;</w:t>
      </w:r>
    </w:p>
    <w:p w:rsidR="00F53EBE" w:rsidRPr="00F53EBE" w:rsidRDefault="00F53EBE" w:rsidP="00FE0DE1">
      <w:pPr>
        <w:numPr>
          <w:ilvl w:val="1"/>
          <w:numId w:val="5"/>
        </w:numPr>
        <w:tabs>
          <w:tab w:val="left" w:pos="851"/>
        </w:tabs>
        <w:spacing w:after="0" w:line="240" w:lineRule="auto"/>
        <w:ind w:left="851" w:hanging="425"/>
        <w:jc w:val="both"/>
        <w:rPr>
          <w:rFonts w:ascii="Times New Roman" w:hAnsi="Times New Roman"/>
          <w:bCs/>
          <w:iCs/>
          <w:sz w:val="24"/>
          <w:szCs w:val="24"/>
        </w:rPr>
      </w:pPr>
      <w:r w:rsidRPr="00F53EBE">
        <w:rPr>
          <w:rFonts w:ascii="Times New Roman" w:hAnsi="Times New Roman"/>
          <w:bCs/>
          <w:iCs/>
          <w:sz w:val="24"/>
          <w:szCs w:val="24"/>
        </w:rPr>
        <w:t>sudarant palankesnes sąlygas kaimo gyventojams, moterims ir vyrams, tobulinti profesinius įgūdžius;</w:t>
      </w:r>
    </w:p>
    <w:p w:rsidR="00F53EBE" w:rsidRPr="00F53EBE" w:rsidRDefault="00F53EBE" w:rsidP="00FE0DE1">
      <w:pPr>
        <w:numPr>
          <w:ilvl w:val="1"/>
          <w:numId w:val="5"/>
        </w:numPr>
        <w:tabs>
          <w:tab w:val="left" w:pos="851"/>
        </w:tabs>
        <w:spacing w:after="0" w:line="240" w:lineRule="auto"/>
        <w:ind w:left="851" w:hanging="425"/>
        <w:jc w:val="both"/>
        <w:rPr>
          <w:rFonts w:ascii="Times New Roman" w:hAnsi="Times New Roman"/>
          <w:bCs/>
          <w:iCs/>
          <w:sz w:val="24"/>
          <w:szCs w:val="24"/>
        </w:rPr>
      </w:pPr>
      <w:r w:rsidRPr="00F53EBE">
        <w:rPr>
          <w:rFonts w:ascii="Times New Roman" w:hAnsi="Times New Roman"/>
          <w:bCs/>
          <w:iCs/>
          <w:sz w:val="24"/>
          <w:szCs w:val="24"/>
        </w:rPr>
        <w:t xml:space="preserve">gerinant sąlygas moterims ir vyrams derinti šeimos ir darbo įsipareigojimus: skatinti šeimai palankių darboviečių plėtrą, moterų ir vyrų dialogą, pagarba ir supratimu grįstus tarpusavio santykius; </w:t>
      </w:r>
    </w:p>
    <w:p w:rsidR="00F53EBE" w:rsidRPr="00F53EBE" w:rsidRDefault="00F53EBE" w:rsidP="00FE0DE1">
      <w:pPr>
        <w:numPr>
          <w:ilvl w:val="1"/>
          <w:numId w:val="5"/>
        </w:numPr>
        <w:tabs>
          <w:tab w:val="left" w:pos="851"/>
        </w:tabs>
        <w:spacing w:after="0" w:line="240" w:lineRule="auto"/>
        <w:ind w:left="851" w:hanging="425"/>
        <w:jc w:val="both"/>
        <w:rPr>
          <w:rFonts w:ascii="Times New Roman" w:hAnsi="Times New Roman"/>
          <w:bCs/>
          <w:iCs/>
          <w:sz w:val="24"/>
          <w:szCs w:val="24"/>
        </w:rPr>
      </w:pPr>
      <w:r w:rsidRPr="00F53EBE">
        <w:rPr>
          <w:rFonts w:ascii="Times New Roman" w:hAnsi="Times New Roman"/>
          <w:bCs/>
          <w:iCs/>
          <w:sz w:val="24"/>
          <w:szCs w:val="24"/>
        </w:rPr>
        <w:t xml:space="preserve">siekiant mažinti moterų ir vyrų atlyginimų skirtumą, skatinant vienodą požiūrį į moteris ir vyrus darbo rinkoje, vienodą pripažinimą ir vertinimą, mažinant darbo rinkos sektorinę ir profesinę atskirtį pagal lytį; </w:t>
      </w:r>
    </w:p>
    <w:p w:rsidR="00F53EBE" w:rsidRPr="00F53EBE" w:rsidRDefault="00F53EBE" w:rsidP="00FE0DE1">
      <w:pPr>
        <w:numPr>
          <w:ilvl w:val="1"/>
          <w:numId w:val="5"/>
        </w:numPr>
        <w:tabs>
          <w:tab w:val="left" w:pos="851"/>
        </w:tabs>
        <w:spacing w:after="0" w:line="240" w:lineRule="auto"/>
        <w:ind w:left="851" w:hanging="425"/>
        <w:jc w:val="both"/>
        <w:rPr>
          <w:rFonts w:ascii="Times New Roman" w:hAnsi="Times New Roman"/>
          <w:bCs/>
          <w:iCs/>
          <w:sz w:val="24"/>
          <w:szCs w:val="24"/>
        </w:rPr>
      </w:pPr>
      <w:r w:rsidRPr="00F53EBE">
        <w:rPr>
          <w:rFonts w:ascii="Times New Roman" w:hAnsi="Times New Roman"/>
          <w:bCs/>
          <w:iCs/>
          <w:sz w:val="24"/>
          <w:szCs w:val="24"/>
        </w:rPr>
        <w:t xml:space="preserve">integruojant moterų ir vyrų lygių galimybių užtikrinimo darbo rinkoje klausimus į socialinę partnerystę ir socialinį dialogą. </w:t>
      </w:r>
    </w:p>
    <w:p w:rsidR="00F53EBE" w:rsidRPr="00F53EBE" w:rsidRDefault="00F53EBE" w:rsidP="00FE0DE1">
      <w:pPr>
        <w:numPr>
          <w:ilvl w:val="0"/>
          <w:numId w:val="5"/>
        </w:numPr>
        <w:spacing w:after="0" w:line="240" w:lineRule="auto"/>
        <w:ind w:left="426" w:hanging="426"/>
        <w:jc w:val="both"/>
        <w:rPr>
          <w:rFonts w:ascii="Times New Roman" w:hAnsi="Times New Roman"/>
          <w:b/>
          <w:bCs/>
          <w:iCs/>
          <w:sz w:val="24"/>
          <w:szCs w:val="24"/>
        </w:rPr>
      </w:pPr>
      <w:r w:rsidRPr="00F53EBE">
        <w:rPr>
          <w:rFonts w:ascii="Times New Roman" w:hAnsi="Times New Roman"/>
          <w:b/>
          <w:bCs/>
          <w:iCs/>
          <w:sz w:val="24"/>
          <w:szCs w:val="24"/>
        </w:rPr>
        <w:t>švietimo ir mokslo srityje:</w:t>
      </w:r>
    </w:p>
    <w:p w:rsidR="00F53EBE" w:rsidRPr="00F53EBE" w:rsidRDefault="00F53EBE" w:rsidP="00FE0DE1">
      <w:pPr>
        <w:numPr>
          <w:ilvl w:val="1"/>
          <w:numId w:val="5"/>
        </w:numPr>
        <w:spacing w:after="0" w:line="240" w:lineRule="auto"/>
        <w:ind w:left="851" w:hanging="425"/>
        <w:jc w:val="both"/>
        <w:rPr>
          <w:rFonts w:ascii="Times New Roman" w:hAnsi="Times New Roman"/>
          <w:bCs/>
          <w:iCs/>
          <w:sz w:val="24"/>
          <w:szCs w:val="24"/>
        </w:rPr>
      </w:pPr>
      <w:r w:rsidRPr="00F53EBE">
        <w:rPr>
          <w:rFonts w:ascii="Times New Roman" w:hAnsi="Times New Roman"/>
          <w:bCs/>
          <w:iCs/>
          <w:sz w:val="24"/>
          <w:szCs w:val="24"/>
        </w:rPr>
        <w:t xml:space="preserve">užtikrinant moterų ir vyrų lygių galimybių principo taikymo stebėseną švietimo ir mokslo įstaigose; </w:t>
      </w:r>
    </w:p>
    <w:p w:rsidR="00F53EBE" w:rsidRPr="00F53EBE" w:rsidRDefault="00F53EBE" w:rsidP="00FE0DE1">
      <w:pPr>
        <w:numPr>
          <w:ilvl w:val="1"/>
          <w:numId w:val="5"/>
        </w:numPr>
        <w:spacing w:after="0" w:line="240" w:lineRule="auto"/>
        <w:ind w:left="851" w:hanging="425"/>
        <w:jc w:val="both"/>
        <w:rPr>
          <w:rFonts w:ascii="Times New Roman" w:hAnsi="Times New Roman"/>
          <w:bCs/>
          <w:iCs/>
          <w:sz w:val="24"/>
          <w:szCs w:val="24"/>
        </w:rPr>
      </w:pPr>
      <w:r w:rsidRPr="00F53EBE">
        <w:rPr>
          <w:rFonts w:ascii="Times New Roman" w:hAnsi="Times New Roman"/>
          <w:bCs/>
          <w:iCs/>
          <w:sz w:val="24"/>
          <w:szCs w:val="24"/>
        </w:rPr>
        <w:t>skatinant moteris siekti aukščiausių mokslo laipsnių; skatinant vyrus įgyti aukštąjį išsilavinimą.</w:t>
      </w:r>
    </w:p>
    <w:p w:rsidR="00F53EBE" w:rsidRPr="006539D0" w:rsidRDefault="00F53EBE" w:rsidP="00FE0DE1">
      <w:pPr>
        <w:numPr>
          <w:ilvl w:val="0"/>
          <w:numId w:val="5"/>
        </w:numPr>
        <w:spacing w:after="0" w:line="240" w:lineRule="auto"/>
        <w:ind w:left="426" w:hanging="426"/>
        <w:jc w:val="both"/>
        <w:rPr>
          <w:rFonts w:ascii="Times New Roman" w:hAnsi="Times New Roman"/>
          <w:b/>
          <w:bCs/>
          <w:iCs/>
          <w:sz w:val="24"/>
          <w:szCs w:val="24"/>
        </w:rPr>
      </w:pPr>
      <w:r w:rsidRPr="006539D0">
        <w:rPr>
          <w:rFonts w:ascii="Times New Roman" w:hAnsi="Times New Roman"/>
          <w:b/>
          <w:bCs/>
          <w:iCs/>
          <w:sz w:val="24"/>
          <w:szCs w:val="24"/>
        </w:rPr>
        <w:t>sprendimų priėmimo srityje:</w:t>
      </w:r>
    </w:p>
    <w:p w:rsidR="00F53EBE" w:rsidRPr="00F53EBE" w:rsidRDefault="00F53EBE" w:rsidP="00FE0DE1">
      <w:pPr>
        <w:numPr>
          <w:ilvl w:val="1"/>
          <w:numId w:val="5"/>
        </w:numPr>
        <w:spacing w:after="0" w:line="240" w:lineRule="auto"/>
        <w:ind w:left="851" w:hanging="425"/>
        <w:jc w:val="both"/>
        <w:rPr>
          <w:rFonts w:ascii="Times New Roman" w:hAnsi="Times New Roman"/>
          <w:bCs/>
          <w:iCs/>
          <w:sz w:val="24"/>
          <w:szCs w:val="24"/>
        </w:rPr>
      </w:pPr>
      <w:r w:rsidRPr="00F53EBE">
        <w:rPr>
          <w:rFonts w:ascii="Times New Roman" w:hAnsi="Times New Roman"/>
          <w:bCs/>
          <w:iCs/>
          <w:sz w:val="24"/>
          <w:szCs w:val="24"/>
        </w:rPr>
        <w:t xml:space="preserve">siekiant, kad priimant ekonominius ir politinius sprendimus būtų lygiai atstovaujami moterų ir vyrų interesai; </w:t>
      </w:r>
    </w:p>
    <w:p w:rsidR="00F53EBE" w:rsidRPr="00F53EBE" w:rsidRDefault="00F53EBE" w:rsidP="00FE0DE1">
      <w:pPr>
        <w:numPr>
          <w:ilvl w:val="1"/>
          <w:numId w:val="5"/>
        </w:numPr>
        <w:spacing w:after="0" w:line="240" w:lineRule="auto"/>
        <w:ind w:left="851" w:hanging="425"/>
        <w:jc w:val="both"/>
        <w:rPr>
          <w:rFonts w:ascii="Times New Roman" w:hAnsi="Times New Roman"/>
          <w:bCs/>
          <w:iCs/>
          <w:sz w:val="24"/>
          <w:szCs w:val="24"/>
        </w:rPr>
      </w:pPr>
      <w:r w:rsidRPr="00F53EBE">
        <w:rPr>
          <w:rFonts w:ascii="Times New Roman" w:hAnsi="Times New Roman"/>
          <w:bCs/>
          <w:iCs/>
          <w:sz w:val="24"/>
          <w:szCs w:val="24"/>
        </w:rPr>
        <w:t>skatinant moteris ir vyrus, ypač kaimo gyventojus, aktyviai dalyvauti visuomeniniame gyvenime per vietos iniciatyvas, bendruomeninius projektus ir aktyvią partnerystę</w:t>
      </w:r>
      <w:r w:rsidR="006B2D8D">
        <w:rPr>
          <w:rFonts w:ascii="Times New Roman" w:hAnsi="Times New Roman"/>
          <w:bCs/>
          <w:iCs/>
          <w:sz w:val="24"/>
          <w:szCs w:val="24"/>
        </w:rPr>
        <w:t>,</w:t>
      </w:r>
      <w:r w:rsidRPr="00F53EBE">
        <w:rPr>
          <w:rFonts w:ascii="Times New Roman" w:hAnsi="Times New Roman"/>
          <w:bCs/>
          <w:iCs/>
          <w:sz w:val="24"/>
          <w:szCs w:val="24"/>
        </w:rPr>
        <w:t xml:space="preserve"> priimant bendruomenėms svarbius sprendimus, bendradarbiaujant su verslo ir savivaldybių atstovais.</w:t>
      </w:r>
    </w:p>
    <w:p w:rsidR="00F53EBE" w:rsidRPr="00F53EBE" w:rsidRDefault="00F53EBE" w:rsidP="00FE0DE1">
      <w:pPr>
        <w:numPr>
          <w:ilvl w:val="0"/>
          <w:numId w:val="5"/>
        </w:numPr>
        <w:spacing w:after="0" w:line="240" w:lineRule="auto"/>
        <w:ind w:left="284" w:hanging="284"/>
        <w:jc w:val="both"/>
        <w:rPr>
          <w:rFonts w:ascii="Times New Roman" w:hAnsi="Times New Roman"/>
          <w:b/>
          <w:bCs/>
          <w:iCs/>
          <w:sz w:val="24"/>
          <w:szCs w:val="24"/>
        </w:rPr>
      </w:pPr>
      <w:r w:rsidRPr="00F53EBE">
        <w:rPr>
          <w:rFonts w:ascii="Times New Roman" w:hAnsi="Times New Roman"/>
          <w:b/>
          <w:bCs/>
          <w:iCs/>
          <w:sz w:val="24"/>
          <w:szCs w:val="24"/>
        </w:rPr>
        <w:t>sveikatos apsaugos srityje:</w:t>
      </w:r>
    </w:p>
    <w:p w:rsidR="00F53EBE" w:rsidRPr="00F53EBE" w:rsidRDefault="00F53EBE" w:rsidP="00FE0DE1">
      <w:pPr>
        <w:numPr>
          <w:ilvl w:val="1"/>
          <w:numId w:val="5"/>
        </w:numPr>
        <w:spacing w:after="0" w:line="240" w:lineRule="auto"/>
        <w:ind w:left="851" w:hanging="425"/>
        <w:jc w:val="both"/>
        <w:rPr>
          <w:rFonts w:ascii="Times New Roman" w:hAnsi="Times New Roman"/>
          <w:bCs/>
          <w:iCs/>
          <w:sz w:val="24"/>
          <w:szCs w:val="24"/>
        </w:rPr>
      </w:pPr>
      <w:r w:rsidRPr="00F53EBE">
        <w:rPr>
          <w:rFonts w:ascii="Times New Roman" w:hAnsi="Times New Roman"/>
          <w:bCs/>
          <w:iCs/>
          <w:sz w:val="24"/>
          <w:szCs w:val="24"/>
        </w:rPr>
        <w:t>skatinant spręsti specifines moterų ir vyrų sveikatos problemas;</w:t>
      </w:r>
    </w:p>
    <w:p w:rsidR="00F53EBE" w:rsidRPr="00F53EBE" w:rsidRDefault="00F53EBE" w:rsidP="00FE0DE1">
      <w:pPr>
        <w:numPr>
          <w:ilvl w:val="1"/>
          <w:numId w:val="5"/>
        </w:numPr>
        <w:spacing w:after="0" w:line="240" w:lineRule="auto"/>
        <w:ind w:left="851" w:hanging="425"/>
        <w:jc w:val="both"/>
        <w:rPr>
          <w:rFonts w:ascii="Times New Roman" w:hAnsi="Times New Roman"/>
          <w:bCs/>
          <w:iCs/>
          <w:sz w:val="24"/>
          <w:szCs w:val="24"/>
        </w:rPr>
      </w:pPr>
      <w:r w:rsidRPr="00F53EBE">
        <w:rPr>
          <w:rFonts w:ascii="Times New Roman" w:hAnsi="Times New Roman"/>
          <w:bCs/>
          <w:iCs/>
          <w:sz w:val="24"/>
          <w:szCs w:val="24"/>
        </w:rPr>
        <w:t>užtikrinant nuolatinį visuomenės švietimą ir informavimą apie sveikatą stiprinančio elgesio įtaką gyvenimo trukmei ir sveikatą žalojančio elgesio pasekmes, siekiant mažinti moterų ir vyrų vidutinės gyvenimo trukmės skirtumą;</w:t>
      </w:r>
    </w:p>
    <w:p w:rsidR="00F53EBE" w:rsidRPr="00F53EBE" w:rsidRDefault="00F53EBE" w:rsidP="00FE0DE1">
      <w:pPr>
        <w:numPr>
          <w:ilvl w:val="1"/>
          <w:numId w:val="5"/>
        </w:numPr>
        <w:spacing w:after="0" w:line="240" w:lineRule="auto"/>
        <w:ind w:left="851" w:hanging="425"/>
        <w:jc w:val="both"/>
        <w:rPr>
          <w:rFonts w:ascii="Times New Roman" w:hAnsi="Times New Roman"/>
          <w:bCs/>
          <w:iCs/>
          <w:sz w:val="24"/>
          <w:szCs w:val="24"/>
        </w:rPr>
      </w:pPr>
      <w:r w:rsidRPr="00F53EBE">
        <w:rPr>
          <w:rFonts w:ascii="Times New Roman" w:hAnsi="Times New Roman"/>
          <w:bCs/>
          <w:iCs/>
          <w:sz w:val="24"/>
          <w:szCs w:val="24"/>
        </w:rPr>
        <w:lastRenderedPageBreak/>
        <w:t xml:space="preserve">užtikrinant gimdos kaklelio, krūties, prostatos vėžio patikros galimybę ir informacijos apie tokią patikrą teikimą; </w:t>
      </w:r>
    </w:p>
    <w:p w:rsidR="00F53EBE" w:rsidRPr="00F53EBE" w:rsidRDefault="00F53EBE" w:rsidP="00FE0DE1">
      <w:pPr>
        <w:numPr>
          <w:ilvl w:val="1"/>
          <w:numId w:val="5"/>
        </w:numPr>
        <w:spacing w:after="0" w:line="240" w:lineRule="auto"/>
        <w:ind w:left="851" w:hanging="425"/>
        <w:jc w:val="both"/>
        <w:rPr>
          <w:rFonts w:ascii="Times New Roman" w:hAnsi="Times New Roman"/>
          <w:bCs/>
          <w:iCs/>
          <w:sz w:val="24"/>
          <w:szCs w:val="24"/>
        </w:rPr>
      </w:pPr>
      <w:r w:rsidRPr="00F53EBE">
        <w:rPr>
          <w:rFonts w:ascii="Times New Roman" w:hAnsi="Times New Roman"/>
          <w:bCs/>
          <w:iCs/>
          <w:sz w:val="24"/>
          <w:szCs w:val="24"/>
        </w:rPr>
        <w:t>mažinant sergamumą širdies ir kraujagyslių ligomis, pacientų neįgalumą ir mirtingumą dėl šių ligų.</w:t>
      </w:r>
    </w:p>
    <w:p w:rsidR="00F53EBE" w:rsidRPr="00F53EBE" w:rsidRDefault="00F53EBE" w:rsidP="00FE0DE1">
      <w:pPr>
        <w:numPr>
          <w:ilvl w:val="0"/>
          <w:numId w:val="5"/>
        </w:numPr>
        <w:spacing w:after="0" w:line="240" w:lineRule="auto"/>
        <w:ind w:left="284" w:hanging="284"/>
        <w:jc w:val="both"/>
        <w:rPr>
          <w:rFonts w:ascii="Times New Roman" w:hAnsi="Times New Roman"/>
          <w:b/>
          <w:bCs/>
          <w:iCs/>
          <w:sz w:val="24"/>
          <w:szCs w:val="24"/>
        </w:rPr>
      </w:pPr>
      <w:r w:rsidRPr="00F53EBE">
        <w:rPr>
          <w:rFonts w:ascii="Times New Roman" w:hAnsi="Times New Roman"/>
          <w:b/>
          <w:bCs/>
          <w:iCs/>
          <w:sz w:val="24"/>
          <w:szCs w:val="24"/>
        </w:rPr>
        <w:t>aplinkosaugos srityje:</w:t>
      </w:r>
    </w:p>
    <w:p w:rsidR="00F53EBE" w:rsidRPr="00F53EBE" w:rsidRDefault="00F53EBE" w:rsidP="00FE0DE1">
      <w:pPr>
        <w:numPr>
          <w:ilvl w:val="1"/>
          <w:numId w:val="5"/>
        </w:numPr>
        <w:spacing w:after="0" w:line="240" w:lineRule="auto"/>
        <w:ind w:left="851" w:hanging="425"/>
        <w:jc w:val="both"/>
        <w:rPr>
          <w:rFonts w:ascii="Times New Roman" w:hAnsi="Times New Roman"/>
          <w:bCs/>
          <w:iCs/>
          <w:sz w:val="24"/>
          <w:szCs w:val="24"/>
        </w:rPr>
      </w:pPr>
      <w:r w:rsidRPr="00F53EBE">
        <w:rPr>
          <w:rFonts w:ascii="Times New Roman" w:hAnsi="Times New Roman"/>
          <w:bCs/>
          <w:iCs/>
          <w:sz w:val="24"/>
          <w:szCs w:val="24"/>
        </w:rPr>
        <w:t>integruojant moterų ir vyrų lygybės klausimus į valstybės institucijų įgyvendinamus aplinkosaugos projektus, sudarant vienodas galimybes pasinaudoti projektų rezultatais;</w:t>
      </w:r>
    </w:p>
    <w:p w:rsidR="00F53EBE" w:rsidRPr="00F53EBE" w:rsidRDefault="00F53EBE" w:rsidP="00FE0DE1">
      <w:pPr>
        <w:numPr>
          <w:ilvl w:val="1"/>
          <w:numId w:val="5"/>
        </w:numPr>
        <w:spacing w:after="0" w:line="240" w:lineRule="auto"/>
        <w:ind w:left="851" w:hanging="425"/>
        <w:jc w:val="both"/>
        <w:rPr>
          <w:rFonts w:ascii="Times New Roman" w:hAnsi="Times New Roman"/>
          <w:bCs/>
          <w:iCs/>
          <w:sz w:val="24"/>
          <w:szCs w:val="24"/>
        </w:rPr>
      </w:pPr>
      <w:r w:rsidRPr="00F53EBE">
        <w:rPr>
          <w:rFonts w:ascii="Times New Roman" w:hAnsi="Times New Roman"/>
          <w:bCs/>
          <w:iCs/>
          <w:sz w:val="24"/>
          <w:szCs w:val="24"/>
        </w:rPr>
        <w:t xml:space="preserve">skatinant </w:t>
      </w:r>
      <w:r w:rsidR="006D3D44">
        <w:rPr>
          <w:rFonts w:ascii="Times New Roman" w:hAnsi="Times New Roman"/>
          <w:sz w:val="24"/>
          <w:szCs w:val="24"/>
        </w:rPr>
        <w:t>NVO</w:t>
      </w:r>
      <w:r w:rsidR="006D3D44" w:rsidRPr="00F53EBE">
        <w:rPr>
          <w:rFonts w:ascii="Times New Roman" w:hAnsi="Times New Roman"/>
          <w:bCs/>
          <w:iCs/>
          <w:sz w:val="24"/>
          <w:szCs w:val="24"/>
        </w:rPr>
        <w:t xml:space="preserve"> </w:t>
      </w:r>
      <w:r w:rsidRPr="00F53EBE">
        <w:rPr>
          <w:rFonts w:ascii="Times New Roman" w:hAnsi="Times New Roman"/>
          <w:bCs/>
          <w:iCs/>
          <w:sz w:val="24"/>
          <w:szCs w:val="24"/>
        </w:rPr>
        <w:t>bendradarbiavimą, integruojant moterų ir vyrų lygybės klausimus į aplinkosaugos projektus</w:t>
      </w:r>
    </w:p>
    <w:p w:rsidR="00F53EBE" w:rsidRPr="00F53EBE" w:rsidRDefault="00F53EBE" w:rsidP="00FE0DE1">
      <w:pPr>
        <w:numPr>
          <w:ilvl w:val="0"/>
          <w:numId w:val="5"/>
        </w:numPr>
        <w:spacing w:after="0" w:line="240" w:lineRule="auto"/>
        <w:ind w:left="284" w:hanging="284"/>
        <w:jc w:val="both"/>
        <w:rPr>
          <w:rFonts w:ascii="Times New Roman" w:hAnsi="Times New Roman"/>
          <w:b/>
          <w:bCs/>
          <w:iCs/>
          <w:sz w:val="24"/>
          <w:szCs w:val="24"/>
        </w:rPr>
      </w:pPr>
      <w:r w:rsidRPr="00F53EBE">
        <w:rPr>
          <w:rFonts w:ascii="Times New Roman" w:hAnsi="Times New Roman"/>
          <w:b/>
          <w:bCs/>
          <w:iCs/>
          <w:sz w:val="24"/>
          <w:szCs w:val="24"/>
        </w:rPr>
        <w:t>krašto apsaugos srityje:</w:t>
      </w:r>
    </w:p>
    <w:p w:rsidR="00F53EBE" w:rsidRPr="00F53EBE" w:rsidRDefault="00F53EBE" w:rsidP="00FE0DE1">
      <w:pPr>
        <w:numPr>
          <w:ilvl w:val="1"/>
          <w:numId w:val="5"/>
        </w:numPr>
        <w:spacing w:after="0" w:line="240" w:lineRule="auto"/>
        <w:ind w:left="851" w:hanging="425"/>
        <w:jc w:val="both"/>
        <w:rPr>
          <w:rFonts w:ascii="Times New Roman" w:hAnsi="Times New Roman"/>
          <w:bCs/>
          <w:iCs/>
          <w:sz w:val="24"/>
          <w:szCs w:val="24"/>
        </w:rPr>
      </w:pPr>
      <w:r w:rsidRPr="00F53EBE">
        <w:rPr>
          <w:rFonts w:ascii="Times New Roman" w:hAnsi="Times New Roman"/>
          <w:bCs/>
          <w:iCs/>
          <w:sz w:val="24"/>
          <w:szCs w:val="24"/>
        </w:rPr>
        <w:t xml:space="preserve">nustatant veiksnius, kurie lemia skirtingą moterų ir vyrų padėtį krašto apsaugos sistemoje, siekiant mažinti moterų ir vyrų padėties tarnyboje skirtumus; </w:t>
      </w:r>
    </w:p>
    <w:p w:rsidR="00F53EBE" w:rsidRPr="00F53EBE" w:rsidRDefault="00F53EBE" w:rsidP="00FE0DE1">
      <w:pPr>
        <w:numPr>
          <w:ilvl w:val="1"/>
          <w:numId w:val="5"/>
        </w:numPr>
        <w:spacing w:after="0" w:line="240" w:lineRule="auto"/>
        <w:ind w:left="851" w:hanging="425"/>
        <w:jc w:val="both"/>
        <w:rPr>
          <w:rFonts w:ascii="Times New Roman" w:hAnsi="Times New Roman"/>
          <w:bCs/>
          <w:iCs/>
          <w:sz w:val="24"/>
          <w:szCs w:val="24"/>
        </w:rPr>
      </w:pPr>
      <w:r w:rsidRPr="00F53EBE">
        <w:rPr>
          <w:rFonts w:ascii="Times New Roman" w:hAnsi="Times New Roman"/>
          <w:bCs/>
          <w:iCs/>
          <w:sz w:val="24"/>
          <w:szCs w:val="24"/>
        </w:rPr>
        <w:t>tobulinant krašto apsaugos sistemos įstaigų valstybės tarnautojų, karių ir darbuotojų kvalifikaciją moterų ir vyrų padėties visuomenėje ir lyčių lygybės klausimais</w:t>
      </w:r>
    </w:p>
    <w:p w:rsidR="00F53EBE" w:rsidRPr="00F53EBE" w:rsidRDefault="00F53EBE" w:rsidP="00FE0DE1">
      <w:pPr>
        <w:numPr>
          <w:ilvl w:val="0"/>
          <w:numId w:val="5"/>
        </w:numPr>
        <w:spacing w:after="0" w:line="240" w:lineRule="auto"/>
        <w:ind w:left="284" w:hanging="284"/>
        <w:jc w:val="both"/>
        <w:rPr>
          <w:rFonts w:ascii="Times New Roman" w:hAnsi="Times New Roman"/>
          <w:b/>
          <w:bCs/>
          <w:iCs/>
          <w:sz w:val="24"/>
          <w:szCs w:val="24"/>
        </w:rPr>
      </w:pPr>
      <w:r w:rsidRPr="00F53EBE">
        <w:rPr>
          <w:rFonts w:ascii="Times New Roman" w:hAnsi="Times New Roman"/>
          <w:b/>
          <w:bCs/>
          <w:iCs/>
          <w:sz w:val="24"/>
          <w:szCs w:val="24"/>
        </w:rPr>
        <w:t>Įgyvendinimo mechanizmų ir metodų plėtros srityje:</w:t>
      </w:r>
    </w:p>
    <w:p w:rsidR="00F53EBE" w:rsidRPr="00F53EBE" w:rsidRDefault="00F53EBE" w:rsidP="00FE0DE1">
      <w:pPr>
        <w:numPr>
          <w:ilvl w:val="1"/>
          <w:numId w:val="5"/>
        </w:numPr>
        <w:spacing w:after="0" w:line="240" w:lineRule="auto"/>
        <w:ind w:left="851" w:hanging="425"/>
        <w:jc w:val="both"/>
        <w:rPr>
          <w:rFonts w:ascii="Times New Roman" w:hAnsi="Times New Roman"/>
          <w:bCs/>
          <w:iCs/>
          <w:sz w:val="24"/>
          <w:szCs w:val="24"/>
        </w:rPr>
      </w:pPr>
      <w:r w:rsidRPr="00F53EBE">
        <w:rPr>
          <w:rFonts w:ascii="Times New Roman" w:hAnsi="Times New Roman"/>
          <w:bCs/>
          <w:iCs/>
          <w:sz w:val="24"/>
          <w:szCs w:val="24"/>
        </w:rPr>
        <w:t xml:space="preserve">skatinant valstybės ir savivaldybių institucijų ir įstaigų, švietimo ir mokslo įstaigų, </w:t>
      </w:r>
      <w:r w:rsidR="006D3D44">
        <w:rPr>
          <w:rFonts w:ascii="Times New Roman" w:hAnsi="Times New Roman"/>
          <w:sz w:val="24"/>
          <w:szCs w:val="24"/>
        </w:rPr>
        <w:t>NVO</w:t>
      </w:r>
      <w:r w:rsidR="006D3D44" w:rsidRPr="00F53EBE">
        <w:rPr>
          <w:rFonts w:ascii="Times New Roman" w:hAnsi="Times New Roman"/>
          <w:bCs/>
          <w:iCs/>
          <w:sz w:val="24"/>
          <w:szCs w:val="24"/>
        </w:rPr>
        <w:t xml:space="preserve"> </w:t>
      </w:r>
      <w:r w:rsidRPr="00F53EBE">
        <w:rPr>
          <w:rFonts w:ascii="Times New Roman" w:hAnsi="Times New Roman"/>
          <w:bCs/>
          <w:iCs/>
          <w:sz w:val="24"/>
          <w:szCs w:val="24"/>
        </w:rPr>
        <w:t xml:space="preserve">bendradarbiavimą, užtikrinantį lygiavertį požiūrį į moteris </w:t>
      </w:r>
      <w:proofErr w:type="gramStart"/>
      <w:r w:rsidRPr="00F53EBE">
        <w:rPr>
          <w:rFonts w:ascii="Times New Roman" w:hAnsi="Times New Roman"/>
          <w:bCs/>
          <w:iCs/>
          <w:sz w:val="24"/>
          <w:szCs w:val="24"/>
        </w:rPr>
        <w:t>ir vyrus ir vienodas jų galimybes</w:t>
      </w:r>
      <w:proofErr w:type="gramEnd"/>
      <w:r w:rsidRPr="00F53EBE">
        <w:rPr>
          <w:rFonts w:ascii="Times New Roman" w:hAnsi="Times New Roman"/>
          <w:bCs/>
          <w:iCs/>
          <w:sz w:val="24"/>
          <w:szCs w:val="24"/>
        </w:rPr>
        <w:t>;</w:t>
      </w:r>
    </w:p>
    <w:p w:rsidR="00F53EBE" w:rsidRPr="00F53EBE" w:rsidRDefault="00F53EBE" w:rsidP="00FE0DE1">
      <w:pPr>
        <w:numPr>
          <w:ilvl w:val="1"/>
          <w:numId w:val="5"/>
        </w:numPr>
        <w:spacing w:after="0" w:line="240" w:lineRule="auto"/>
        <w:ind w:left="851" w:hanging="425"/>
        <w:jc w:val="both"/>
        <w:rPr>
          <w:rFonts w:ascii="Times New Roman" w:hAnsi="Times New Roman"/>
          <w:bCs/>
          <w:iCs/>
          <w:sz w:val="24"/>
          <w:szCs w:val="24"/>
        </w:rPr>
      </w:pPr>
      <w:r w:rsidRPr="00F53EBE">
        <w:rPr>
          <w:rFonts w:ascii="Times New Roman" w:hAnsi="Times New Roman"/>
          <w:bCs/>
          <w:iCs/>
          <w:sz w:val="24"/>
          <w:szCs w:val="24"/>
        </w:rPr>
        <w:t>skatinant savivaldybes imtis veiksmų, užtikrinančių lygias moterų ir vyrų galimybes;</w:t>
      </w:r>
    </w:p>
    <w:p w:rsidR="00F53EBE" w:rsidRPr="00F53EBE" w:rsidRDefault="00F53EBE" w:rsidP="00FE0DE1">
      <w:pPr>
        <w:numPr>
          <w:ilvl w:val="1"/>
          <w:numId w:val="5"/>
        </w:numPr>
        <w:spacing w:after="0" w:line="240" w:lineRule="auto"/>
        <w:ind w:left="851" w:hanging="425"/>
        <w:jc w:val="both"/>
        <w:rPr>
          <w:rFonts w:ascii="Times New Roman" w:hAnsi="Times New Roman"/>
          <w:bCs/>
          <w:iCs/>
          <w:sz w:val="24"/>
          <w:szCs w:val="24"/>
        </w:rPr>
      </w:pPr>
      <w:r w:rsidRPr="00F53EBE">
        <w:rPr>
          <w:rFonts w:ascii="Times New Roman" w:hAnsi="Times New Roman"/>
          <w:bCs/>
          <w:iCs/>
          <w:sz w:val="24"/>
          <w:szCs w:val="24"/>
        </w:rPr>
        <w:t xml:space="preserve">tobulinant valstybės institucijų ir įstaigų valstybės tarnautojų ir darbuotojų, dirbančių pagal darbo sutartis, kvalifikaciją moterų ir vyrų lygių galimybių klausimais; </w:t>
      </w:r>
    </w:p>
    <w:p w:rsidR="00F53EBE" w:rsidRPr="00F53EBE" w:rsidRDefault="00F53EBE" w:rsidP="00FE0DE1">
      <w:pPr>
        <w:numPr>
          <w:ilvl w:val="1"/>
          <w:numId w:val="5"/>
        </w:numPr>
        <w:spacing w:after="0" w:line="240" w:lineRule="auto"/>
        <w:ind w:left="851" w:hanging="425"/>
        <w:jc w:val="both"/>
        <w:rPr>
          <w:rFonts w:ascii="Times New Roman" w:hAnsi="Times New Roman"/>
          <w:bCs/>
          <w:iCs/>
          <w:sz w:val="24"/>
          <w:szCs w:val="24"/>
        </w:rPr>
      </w:pPr>
      <w:r w:rsidRPr="00F53EBE">
        <w:rPr>
          <w:rFonts w:ascii="Times New Roman" w:hAnsi="Times New Roman"/>
          <w:bCs/>
          <w:iCs/>
          <w:sz w:val="24"/>
          <w:szCs w:val="24"/>
        </w:rPr>
        <w:t>skleidžiant informaciją, padedančią užkirsti kelią moterų ir vyrų lygių teisių pažeidimams, ir stiprinant gebėjimus spręsti moterų ir vyrų lygybės klausimus;</w:t>
      </w:r>
    </w:p>
    <w:p w:rsidR="00F53EBE" w:rsidRPr="00F53EBE" w:rsidRDefault="00F53EBE" w:rsidP="00FE0DE1">
      <w:pPr>
        <w:numPr>
          <w:ilvl w:val="1"/>
          <w:numId w:val="5"/>
        </w:numPr>
        <w:spacing w:after="0" w:line="240" w:lineRule="auto"/>
        <w:ind w:left="851" w:hanging="425"/>
        <w:jc w:val="both"/>
        <w:rPr>
          <w:rFonts w:ascii="Times New Roman" w:hAnsi="Times New Roman"/>
          <w:bCs/>
          <w:iCs/>
          <w:sz w:val="24"/>
          <w:szCs w:val="24"/>
        </w:rPr>
      </w:pPr>
      <w:r w:rsidRPr="00F53EBE">
        <w:rPr>
          <w:rFonts w:ascii="Times New Roman" w:hAnsi="Times New Roman"/>
          <w:bCs/>
          <w:iCs/>
          <w:sz w:val="24"/>
          <w:szCs w:val="24"/>
        </w:rPr>
        <w:t>užtikrinant moterų ir vyrų padėties pokyčių sistemingą lyginamąjį vertinimą;</w:t>
      </w:r>
    </w:p>
    <w:p w:rsidR="00F53EBE" w:rsidRPr="00F53EBE" w:rsidRDefault="00F53EBE" w:rsidP="00FE0DE1">
      <w:pPr>
        <w:numPr>
          <w:ilvl w:val="1"/>
          <w:numId w:val="5"/>
        </w:numPr>
        <w:spacing w:after="0" w:line="240" w:lineRule="auto"/>
        <w:ind w:left="851" w:hanging="425"/>
        <w:jc w:val="both"/>
        <w:rPr>
          <w:rFonts w:ascii="Times New Roman" w:hAnsi="Times New Roman"/>
          <w:bCs/>
          <w:iCs/>
          <w:sz w:val="24"/>
          <w:szCs w:val="24"/>
        </w:rPr>
      </w:pPr>
      <w:r w:rsidRPr="00F53EBE">
        <w:rPr>
          <w:rFonts w:ascii="Times New Roman" w:hAnsi="Times New Roman"/>
          <w:bCs/>
          <w:iCs/>
          <w:sz w:val="24"/>
          <w:szCs w:val="24"/>
        </w:rPr>
        <w:t>kaupiant duomenų bazėje statistinius duomenis apie gyventojus pagal lytį;</w:t>
      </w:r>
    </w:p>
    <w:p w:rsidR="00F53EBE" w:rsidRPr="00F53EBE" w:rsidRDefault="00F53EBE" w:rsidP="00FE0DE1">
      <w:pPr>
        <w:numPr>
          <w:ilvl w:val="1"/>
          <w:numId w:val="5"/>
        </w:numPr>
        <w:spacing w:after="0" w:line="240" w:lineRule="auto"/>
        <w:ind w:left="851" w:hanging="425"/>
        <w:jc w:val="both"/>
        <w:rPr>
          <w:rFonts w:ascii="Times New Roman" w:hAnsi="Times New Roman"/>
          <w:b/>
          <w:bCs/>
          <w:iCs/>
          <w:sz w:val="24"/>
          <w:szCs w:val="24"/>
        </w:rPr>
      </w:pPr>
      <w:r w:rsidRPr="00F53EBE">
        <w:rPr>
          <w:rFonts w:ascii="Times New Roman" w:hAnsi="Times New Roman"/>
          <w:bCs/>
          <w:iCs/>
          <w:sz w:val="24"/>
          <w:szCs w:val="24"/>
        </w:rPr>
        <w:t>rengiant geros kokybės statistinę informaciją, reikalingą pagrįstai moterų ir vyrų padėties skirtumų analizei, sprendimams priimti, ir aprūpinant ja vartotojus; skatinant diskusijas šia tema, tobulinant statistinės informacijos</w:t>
      </w:r>
      <w:r w:rsidR="001B5A9D">
        <w:rPr>
          <w:rFonts w:ascii="Times New Roman" w:hAnsi="Times New Roman"/>
          <w:bCs/>
          <w:iCs/>
          <w:sz w:val="24"/>
          <w:szCs w:val="24"/>
        </w:rPr>
        <w:t xml:space="preserve"> pagal lytį teikimą vartotojams.</w:t>
      </w:r>
    </w:p>
    <w:p w:rsidR="00F53EBE" w:rsidRPr="00F53EBE" w:rsidRDefault="00F53EBE" w:rsidP="003E0F8A">
      <w:pPr>
        <w:tabs>
          <w:tab w:val="left" w:pos="2410"/>
        </w:tabs>
        <w:spacing w:after="0" w:line="240" w:lineRule="auto"/>
        <w:ind w:firstLine="851"/>
        <w:jc w:val="both"/>
        <w:rPr>
          <w:rFonts w:ascii="Times New Roman" w:hAnsi="Times New Roman"/>
          <w:b/>
          <w:bCs/>
          <w:iCs/>
          <w:sz w:val="24"/>
          <w:szCs w:val="24"/>
        </w:rPr>
      </w:pPr>
      <w:r w:rsidRPr="00F53EBE">
        <w:rPr>
          <w:rFonts w:ascii="Times New Roman" w:hAnsi="Times New Roman"/>
          <w:bCs/>
          <w:iCs/>
          <w:sz w:val="24"/>
          <w:szCs w:val="24"/>
        </w:rPr>
        <w:t xml:space="preserve">Integruojant moterų ir vyrų lygybės veiklas visuose </w:t>
      </w:r>
      <w:r w:rsidR="000F4AE6">
        <w:rPr>
          <w:rFonts w:ascii="Times New Roman" w:hAnsi="Times New Roman"/>
          <w:bCs/>
          <w:iCs/>
          <w:sz w:val="24"/>
          <w:szCs w:val="24"/>
        </w:rPr>
        <w:t>ES fondų</w:t>
      </w:r>
      <w:r w:rsidRPr="00F53EBE">
        <w:rPr>
          <w:rFonts w:ascii="Times New Roman" w:hAnsi="Times New Roman"/>
          <w:bCs/>
          <w:iCs/>
          <w:sz w:val="24"/>
          <w:szCs w:val="24"/>
        </w:rPr>
        <w:t xml:space="preserve"> </w:t>
      </w:r>
      <w:r w:rsidR="005703F3">
        <w:rPr>
          <w:rFonts w:ascii="Times New Roman" w:hAnsi="Times New Roman"/>
          <w:bCs/>
          <w:iCs/>
          <w:sz w:val="24"/>
          <w:szCs w:val="24"/>
        </w:rPr>
        <w:t xml:space="preserve">ir Sanglaudos fondo </w:t>
      </w:r>
      <w:r w:rsidRPr="00F53EBE">
        <w:rPr>
          <w:rFonts w:ascii="Times New Roman" w:hAnsi="Times New Roman"/>
          <w:bCs/>
          <w:iCs/>
          <w:sz w:val="24"/>
          <w:szCs w:val="24"/>
        </w:rPr>
        <w:t xml:space="preserve">programavimo, įgyvendinimo ir stebėsenos etapuose, </w:t>
      </w:r>
      <w:proofErr w:type="gramStart"/>
      <w:r w:rsidRPr="00F53EBE">
        <w:rPr>
          <w:rFonts w:ascii="Times New Roman" w:hAnsi="Times New Roman"/>
          <w:bCs/>
          <w:iCs/>
          <w:sz w:val="24"/>
          <w:szCs w:val="24"/>
        </w:rPr>
        <w:t xml:space="preserve">o taip </w:t>
      </w:r>
      <w:r w:rsidR="00FB3984">
        <w:rPr>
          <w:rFonts w:ascii="Times New Roman" w:hAnsi="Times New Roman"/>
          <w:bCs/>
          <w:iCs/>
          <w:sz w:val="24"/>
          <w:szCs w:val="24"/>
        </w:rPr>
        <w:t>pat</w:t>
      </w:r>
      <w:proofErr w:type="gramEnd"/>
      <w:r w:rsidR="00FB3984">
        <w:rPr>
          <w:rFonts w:ascii="Times New Roman" w:hAnsi="Times New Roman"/>
          <w:bCs/>
          <w:iCs/>
          <w:sz w:val="24"/>
          <w:szCs w:val="24"/>
        </w:rPr>
        <w:t xml:space="preserve"> </w:t>
      </w:r>
      <w:r w:rsidRPr="00F53EBE">
        <w:rPr>
          <w:rFonts w:ascii="Times New Roman" w:hAnsi="Times New Roman"/>
          <w:bCs/>
          <w:iCs/>
          <w:sz w:val="24"/>
          <w:szCs w:val="24"/>
        </w:rPr>
        <w:t>vykdant specialiąsias veiklas moterų ir vyrų lygybei užtikrinti, bus siekiama skatinti moterų</w:t>
      </w:r>
      <w:r w:rsidR="00FB3984">
        <w:rPr>
          <w:rFonts w:ascii="Times New Roman" w:hAnsi="Times New Roman"/>
          <w:bCs/>
          <w:iCs/>
          <w:sz w:val="24"/>
          <w:szCs w:val="24"/>
        </w:rPr>
        <w:t xml:space="preserve"> ir vyrų lygybę visose srityse.</w:t>
      </w:r>
      <w:r w:rsidRPr="00F53EBE">
        <w:rPr>
          <w:rFonts w:ascii="Times New Roman" w:hAnsi="Times New Roman"/>
          <w:bCs/>
          <w:iCs/>
          <w:sz w:val="24"/>
          <w:szCs w:val="24"/>
        </w:rPr>
        <w:t xml:space="preserve"> Šie reikalavimai turi būti numatyti bendruosiuose reikalavimuose projektams.</w:t>
      </w:r>
    </w:p>
    <w:p w:rsidR="00F53EBE" w:rsidRPr="00F53EBE" w:rsidRDefault="00F53EBE" w:rsidP="003E0F8A">
      <w:pPr>
        <w:tabs>
          <w:tab w:val="left" w:pos="2410"/>
        </w:tabs>
        <w:spacing w:after="0" w:line="240" w:lineRule="auto"/>
        <w:ind w:firstLine="851"/>
        <w:jc w:val="both"/>
        <w:rPr>
          <w:rFonts w:ascii="Times New Roman" w:hAnsi="Times New Roman"/>
          <w:bCs/>
          <w:iCs/>
          <w:sz w:val="24"/>
          <w:szCs w:val="24"/>
        </w:rPr>
      </w:pPr>
      <w:r w:rsidRPr="00F53EBE">
        <w:rPr>
          <w:rFonts w:ascii="Times New Roman" w:hAnsi="Times New Roman"/>
          <w:bCs/>
          <w:iCs/>
          <w:sz w:val="24"/>
          <w:szCs w:val="24"/>
        </w:rPr>
        <w:t>Veiksmų programoje siūlomos priemonės moterų ir vyrų lygybei skatinti gali turėti švietėjiškos, konsultacinės, mokymo, informavimo kompanijų ir kitas tinkamas uždaviniams aukščiau įgyvendinti tinkamas formas. Priemonių turinys turi būti aiškiai ir tiksliai orientuotas į aukščiau nurodytų uždavinių turinį.</w:t>
      </w:r>
    </w:p>
    <w:sectPr w:rsidR="00F53EBE" w:rsidRPr="00F53EBE" w:rsidSect="00AC19DA">
      <w:footerReference w:type="default" r:id="rId16"/>
      <w:pgSz w:w="11906" w:h="16838"/>
      <w:pgMar w:top="1134" w:right="624"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571" w:rsidRDefault="00827571" w:rsidP="003D7FA2">
      <w:pPr>
        <w:spacing w:after="0" w:line="240" w:lineRule="auto"/>
      </w:pPr>
      <w:r>
        <w:separator/>
      </w:r>
    </w:p>
  </w:endnote>
  <w:endnote w:type="continuationSeparator" w:id="0">
    <w:p w:rsidR="00827571" w:rsidRDefault="00827571" w:rsidP="003D7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AngsanaUPC">
    <w:charset w:val="00"/>
    <w:family w:val="roman"/>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EUAlbertina-Bold-Identity-H">
    <w:altName w:val="MS Mincho"/>
    <w:panose1 w:val="00000000000000000000"/>
    <w:charset w:val="80"/>
    <w:family w:val="auto"/>
    <w:notTrueType/>
    <w:pitch w:val="default"/>
    <w:sig w:usb0="00000000" w:usb1="08070000" w:usb2="00000010" w:usb3="00000000" w:csb0="0002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571" w:rsidRPr="00623A5E" w:rsidRDefault="00827571" w:rsidP="003D7FA2">
    <w:pPr>
      <w:pStyle w:val="Porat"/>
      <w:jc w:val="center"/>
      <w:rPr>
        <w:rFonts w:ascii="Times New Roman" w:hAnsi="Times New Roman"/>
      </w:rPr>
    </w:pPr>
    <w:r w:rsidRPr="00623A5E">
      <w:rPr>
        <w:rFonts w:ascii="Times New Roman" w:hAnsi="Times New Roman"/>
      </w:rPr>
      <w:fldChar w:fldCharType="begin"/>
    </w:r>
    <w:r w:rsidRPr="00623A5E">
      <w:rPr>
        <w:rFonts w:ascii="Times New Roman" w:hAnsi="Times New Roman"/>
      </w:rPr>
      <w:instrText>PAGE   \* MERGEFORMAT</w:instrText>
    </w:r>
    <w:r w:rsidRPr="00623A5E">
      <w:rPr>
        <w:rFonts w:ascii="Times New Roman" w:hAnsi="Times New Roman"/>
      </w:rPr>
      <w:fldChar w:fldCharType="separate"/>
    </w:r>
    <w:r w:rsidR="0076682D">
      <w:rPr>
        <w:rFonts w:ascii="Times New Roman" w:hAnsi="Times New Roman"/>
        <w:noProof/>
      </w:rPr>
      <w:t>39</w:t>
    </w:r>
    <w:r w:rsidRPr="00623A5E">
      <w:rPr>
        <w:rFonts w:ascii="Times New Roman" w:hAns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571" w:rsidRPr="00623A5E" w:rsidRDefault="00827571" w:rsidP="003D7FA2">
    <w:pPr>
      <w:pStyle w:val="Porat"/>
      <w:jc w:val="center"/>
      <w:rPr>
        <w:rFonts w:ascii="Times New Roman" w:hAnsi="Times New Roman"/>
      </w:rPr>
    </w:pPr>
    <w:r w:rsidRPr="00623A5E">
      <w:rPr>
        <w:rFonts w:ascii="Times New Roman" w:hAnsi="Times New Roman"/>
      </w:rPr>
      <w:fldChar w:fldCharType="begin"/>
    </w:r>
    <w:r w:rsidRPr="00623A5E">
      <w:rPr>
        <w:rFonts w:ascii="Times New Roman" w:hAnsi="Times New Roman"/>
      </w:rPr>
      <w:instrText>PAGE   \* MERGEFORMAT</w:instrText>
    </w:r>
    <w:r w:rsidRPr="00623A5E">
      <w:rPr>
        <w:rFonts w:ascii="Times New Roman" w:hAnsi="Times New Roman"/>
      </w:rPr>
      <w:fldChar w:fldCharType="separate"/>
    </w:r>
    <w:r w:rsidR="006F0D31">
      <w:rPr>
        <w:rFonts w:ascii="Times New Roman" w:hAnsi="Times New Roman"/>
        <w:noProof/>
      </w:rPr>
      <w:t>213</w:t>
    </w:r>
    <w:r w:rsidRPr="00623A5E">
      <w:rPr>
        <w:rFonts w:ascii="Times New Roman" w:hAnsi="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571" w:rsidRDefault="00827571" w:rsidP="00AE05E1">
    <w:pPr>
      <w:pStyle w:val="Porat"/>
      <w:jc w:val="center"/>
    </w:pPr>
    <w:r>
      <w:fldChar w:fldCharType="begin"/>
    </w:r>
    <w:r>
      <w:instrText>PAGE   \* MERGEFORMAT</w:instrText>
    </w:r>
    <w:r>
      <w:fldChar w:fldCharType="separate"/>
    </w:r>
    <w:r w:rsidR="006F0D31">
      <w:rPr>
        <w:noProof/>
      </w:rPr>
      <w:t>214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571" w:rsidRDefault="00827571" w:rsidP="003D7FA2">
      <w:pPr>
        <w:spacing w:after="0" w:line="240" w:lineRule="auto"/>
      </w:pPr>
      <w:r>
        <w:separator/>
      </w:r>
    </w:p>
  </w:footnote>
  <w:footnote w:type="continuationSeparator" w:id="0">
    <w:p w:rsidR="00827571" w:rsidRDefault="00827571" w:rsidP="003D7FA2">
      <w:pPr>
        <w:spacing w:after="0" w:line="240" w:lineRule="auto"/>
      </w:pPr>
      <w:r>
        <w:continuationSeparator/>
      </w:r>
    </w:p>
  </w:footnote>
  <w:footnote w:id="1">
    <w:p w:rsidR="00827571" w:rsidRPr="008651B0" w:rsidRDefault="00827571" w:rsidP="00385835">
      <w:pPr>
        <w:widowControl w:val="0"/>
        <w:tabs>
          <w:tab w:val="left" w:pos="622"/>
        </w:tabs>
        <w:spacing w:after="0" w:line="240" w:lineRule="auto"/>
        <w:jc w:val="both"/>
        <w:rPr>
          <w:rFonts w:ascii="Times New Roman" w:eastAsia="AngsanaUPC" w:hAnsi="Times New Roman"/>
          <w:bCs/>
          <w:iCs/>
          <w:sz w:val="20"/>
          <w:szCs w:val="24"/>
          <w:lang w:eastAsia="lt-LT"/>
        </w:rPr>
      </w:pPr>
      <w:r>
        <w:rPr>
          <w:rStyle w:val="Puslapioinaosnuoroda"/>
        </w:rPr>
        <w:footnoteRef/>
      </w:r>
      <w:r>
        <w:t xml:space="preserve"> </w:t>
      </w:r>
      <w:r w:rsidRPr="008651B0">
        <w:rPr>
          <w:rFonts w:ascii="Times New Roman" w:eastAsia="AngsanaUPC" w:hAnsi="Times New Roman"/>
          <w:bCs/>
          <w:iCs/>
          <w:sz w:val="20"/>
          <w:szCs w:val="24"/>
          <w:lang w:eastAsia="lt-LT"/>
        </w:rPr>
        <w:t>Tyrimas bus įtrauktas į oficialios statistikos darbų programą.</w:t>
      </w:r>
    </w:p>
  </w:footnote>
  <w:footnote w:id="2">
    <w:p w:rsidR="00827571" w:rsidRPr="00B636A8" w:rsidRDefault="00827571" w:rsidP="00385835">
      <w:pPr>
        <w:pStyle w:val="Puslapioinaostekstas"/>
        <w:spacing w:after="0" w:line="240" w:lineRule="auto"/>
        <w:rPr>
          <w:rFonts w:ascii="Times New Roman" w:hAnsi="Times New Roman"/>
          <w:lang w:val="lt-LT"/>
        </w:rPr>
      </w:pPr>
      <w:r w:rsidRPr="00B636A8">
        <w:rPr>
          <w:rStyle w:val="Puslapioinaosnuoroda"/>
          <w:rFonts w:ascii="Times New Roman" w:hAnsi="Times New Roman"/>
        </w:rPr>
        <w:footnoteRef/>
      </w:r>
      <w:r w:rsidRPr="00B636A8">
        <w:rPr>
          <w:rFonts w:ascii="Times New Roman" w:hAnsi="Times New Roman"/>
        </w:rPr>
        <w:t xml:space="preserve"> </w:t>
      </w:r>
      <w:r w:rsidRPr="00B636A8">
        <w:rPr>
          <w:rFonts w:ascii="Times New Roman" w:hAnsi="Times New Roman"/>
          <w:color w:val="000000"/>
          <w:shd w:val="clear" w:color="auto" w:fill="FFFFFF"/>
        </w:rPr>
        <w:t>Vidutinė neplanuotų elektros energijos persiuntimo nutraukimų trukmė</w:t>
      </w:r>
      <w:r w:rsidRPr="00B636A8">
        <w:rPr>
          <w:rFonts w:ascii="Times New Roman" w:hAnsi="Times New Roman"/>
          <w:color w:val="000000"/>
          <w:shd w:val="clear" w:color="auto" w:fill="FFFFFF"/>
          <w:lang w:val="lt-LT"/>
        </w:rPr>
        <w:t>.</w:t>
      </w:r>
    </w:p>
  </w:footnote>
  <w:footnote w:id="3">
    <w:p w:rsidR="00827571" w:rsidRPr="008F29BE" w:rsidRDefault="00827571" w:rsidP="00385835">
      <w:pPr>
        <w:pStyle w:val="Puslapioinaostekstas"/>
        <w:spacing w:after="0" w:line="240" w:lineRule="auto"/>
        <w:jc w:val="both"/>
        <w:rPr>
          <w:rFonts w:ascii="Times New Roman" w:hAnsi="Times New Roman"/>
          <w:sz w:val="18"/>
          <w:szCs w:val="18"/>
        </w:rPr>
      </w:pPr>
      <w:r w:rsidRPr="008F29BE">
        <w:rPr>
          <w:rStyle w:val="Puslapioinaosnuoroda"/>
          <w:rFonts w:ascii="Times New Roman" w:hAnsi="Times New Roman"/>
          <w:sz w:val="18"/>
          <w:szCs w:val="18"/>
        </w:rPr>
        <w:footnoteRef/>
      </w:r>
      <w:r w:rsidRPr="008F29BE">
        <w:rPr>
          <w:rFonts w:ascii="Times New Roman" w:hAnsi="Times New Roman"/>
          <w:sz w:val="18"/>
          <w:szCs w:val="18"/>
        </w:rPr>
        <w:t xml:space="preserve"> Tikslinės teritorijos:</w:t>
      </w:r>
    </w:p>
    <w:p w:rsidR="00827571" w:rsidRDefault="00827571" w:rsidP="00385835">
      <w:pPr>
        <w:pStyle w:val="Puslapioinaostekstas"/>
        <w:spacing w:after="0" w:line="240" w:lineRule="auto"/>
        <w:jc w:val="both"/>
        <w:rPr>
          <w:rFonts w:ascii="Times New Roman" w:hAnsi="Times New Roman"/>
          <w:sz w:val="18"/>
          <w:szCs w:val="18"/>
          <w:lang w:val="lt-LT"/>
        </w:rPr>
      </w:pPr>
      <w:r w:rsidRPr="008F29BE">
        <w:rPr>
          <w:rFonts w:ascii="Times New Roman" w:hAnsi="Times New Roman"/>
          <w:sz w:val="18"/>
          <w:szCs w:val="18"/>
        </w:rPr>
        <w:t xml:space="preserve"> – šalies savivaldybės, kuriose standartizuoto 0–64 m. amžiaus gyventojų mirtingumo rodikliai (SMR) 2007–2011 m. laikotarpiu Lietuvos vidurkį vidutiniškai viršijo: kraujotakos sistemos ligos – daugiau kaip 20 proc., cerebrovaskulinės ligos – daugiau kaip 20 proc., piktybiniai navikai – daugiau kaip 8 proc., išorinės mirties prie</w:t>
      </w:r>
      <w:r>
        <w:rPr>
          <w:rFonts w:ascii="Times New Roman" w:hAnsi="Times New Roman"/>
          <w:sz w:val="18"/>
          <w:szCs w:val="18"/>
        </w:rPr>
        <w:t>žastys – daugiau kaip 20 proc.;</w:t>
      </w:r>
      <w:r>
        <w:rPr>
          <w:rFonts w:ascii="Times New Roman" w:hAnsi="Times New Roman"/>
          <w:sz w:val="18"/>
          <w:szCs w:val="18"/>
          <w:lang w:val="lt-LT"/>
        </w:rPr>
        <w:t xml:space="preserve"> </w:t>
      </w:r>
    </w:p>
    <w:p w:rsidR="00827571" w:rsidRPr="008F29BE" w:rsidRDefault="00827571" w:rsidP="00385835">
      <w:pPr>
        <w:pStyle w:val="Puslapioinaostekstas"/>
        <w:spacing w:after="0" w:line="240" w:lineRule="auto"/>
        <w:jc w:val="both"/>
        <w:rPr>
          <w:rFonts w:ascii="Times New Roman" w:hAnsi="Times New Roman"/>
          <w:sz w:val="18"/>
          <w:szCs w:val="18"/>
        </w:rPr>
      </w:pPr>
      <w:r w:rsidRPr="008F29BE">
        <w:rPr>
          <w:rFonts w:ascii="Times New Roman" w:hAnsi="Times New Roman"/>
          <w:sz w:val="18"/>
          <w:szCs w:val="18"/>
        </w:rPr>
        <w:t>– šalies savivaldybės, pasižyminčios didžiausiais vaikų sveikatos priežiūros prieinamumo netolygumais.</w:t>
      </w:r>
    </w:p>
  </w:footnote>
  <w:footnote w:id="4">
    <w:p w:rsidR="00827571" w:rsidRPr="0084511A" w:rsidRDefault="00827571" w:rsidP="00385835">
      <w:pPr>
        <w:pStyle w:val="Puslapioinaostekstas"/>
        <w:spacing w:after="0" w:line="240" w:lineRule="auto"/>
        <w:jc w:val="both"/>
        <w:rPr>
          <w:rFonts w:ascii="Times New Roman" w:hAnsi="Times New Roman"/>
          <w:sz w:val="18"/>
          <w:szCs w:val="18"/>
        </w:rPr>
      </w:pPr>
      <w:r w:rsidRPr="0084511A">
        <w:rPr>
          <w:rStyle w:val="Puslapioinaosnuoroda"/>
          <w:rFonts w:ascii="Times New Roman" w:hAnsi="Times New Roman"/>
          <w:sz w:val="18"/>
          <w:szCs w:val="18"/>
        </w:rPr>
        <w:footnoteRef/>
      </w:r>
      <w:r w:rsidRPr="0084511A">
        <w:rPr>
          <w:rFonts w:ascii="Times New Roman" w:hAnsi="Times New Roman"/>
          <w:sz w:val="18"/>
          <w:szCs w:val="18"/>
        </w:rPr>
        <w:t xml:space="preserve"> Tikslinės gyventojų grupės: </w:t>
      </w:r>
    </w:p>
    <w:p w:rsidR="00827571" w:rsidRPr="0084511A" w:rsidRDefault="00827571" w:rsidP="00385835">
      <w:pPr>
        <w:pStyle w:val="Puslapioinaostekstas"/>
        <w:spacing w:after="0" w:line="240" w:lineRule="auto"/>
        <w:jc w:val="both"/>
        <w:rPr>
          <w:rFonts w:ascii="Times New Roman" w:hAnsi="Times New Roman"/>
          <w:sz w:val="18"/>
          <w:szCs w:val="18"/>
        </w:rPr>
      </w:pPr>
      <w:r w:rsidRPr="0084511A">
        <w:rPr>
          <w:rFonts w:ascii="Times New Roman" w:hAnsi="Times New Roman"/>
          <w:sz w:val="18"/>
          <w:szCs w:val="18"/>
        </w:rPr>
        <w:t>– šalies regionuose (teritorijose), pasižyminčiuose didžiausiais priešlaikinio mirtingumo dėl pagrindinių neinfekcinių ligų rodikliais, gyvenantys asmenys;</w:t>
      </w:r>
    </w:p>
    <w:p w:rsidR="00827571" w:rsidRPr="0084511A" w:rsidRDefault="00827571" w:rsidP="00385835">
      <w:pPr>
        <w:pStyle w:val="Puslapioinaostekstas"/>
        <w:spacing w:after="0" w:line="240" w:lineRule="auto"/>
        <w:jc w:val="both"/>
        <w:rPr>
          <w:rFonts w:ascii="Times New Roman" w:hAnsi="Times New Roman"/>
          <w:sz w:val="18"/>
          <w:szCs w:val="18"/>
        </w:rPr>
      </w:pPr>
      <w:r w:rsidRPr="0084511A">
        <w:rPr>
          <w:rFonts w:ascii="Times New Roman" w:hAnsi="Times New Roman"/>
          <w:sz w:val="18"/>
          <w:szCs w:val="18"/>
        </w:rPr>
        <w:t>– tam tikrų socialinės rizikos grupių asmenys, kuriems socialinės ir ekonominės priežastys (nedarbas, skurdas ir kt.) bei žalingi įpročiai (alkoholio vartojimas ir kt.) lemia sergamumą tam tikromis ligomis (tuberkulioze, priklausomybe nuo alkoholio) bei kuriems nepakankamai prieinama sveikatos priežiūra (neįgalieji, kt.);</w:t>
      </w:r>
    </w:p>
    <w:p w:rsidR="00827571" w:rsidRPr="0084511A" w:rsidRDefault="00827571" w:rsidP="00385835">
      <w:pPr>
        <w:pStyle w:val="Puslapioinaostekstas"/>
        <w:spacing w:after="0" w:line="240" w:lineRule="auto"/>
        <w:jc w:val="both"/>
        <w:rPr>
          <w:rFonts w:ascii="Times New Roman" w:hAnsi="Times New Roman"/>
          <w:sz w:val="18"/>
          <w:szCs w:val="18"/>
        </w:rPr>
      </w:pPr>
      <w:r w:rsidRPr="0084511A">
        <w:rPr>
          <w:rFonts w:ascii="Times New Roman" w:hAnsi="Times New Roman"/>
          <w:sz w:val="18"/>
          <w:szCs w:val="18"/>
        </w:rPr>
        <w:t>– vaikai (iki 18 metų) taip pat priskiriami tikslinei grupei, nes dėl egzistuojančių ekonominių, socialinių aplinkybių, tokių kaip</w:t>
      </w:r>
      <w:r>
        <w:rPr>
          <w:rFonts w:ascii="Times New Roman" w:hAnsi="Times New Roman"/>
          <w:sz w:val="18"/>
          <w:szCs w:val="18"/>
          <w:lang w:val="lt-LT"/>
        </w:rPr>
        <w:t>,</w:t>
      </w:r>
      <w:r w:rsidRPr="0084511A">
        <w:rPr>
          <w:rFonts w:ascii="Times New Roman" w:hAnsi="Times New Roman"/>
          <w:sz w:val="18"/>
          <w:szCs w:val="18"/>
        </w:rPr>
        <w:t xml:space="preserve"> socialinė ir ekonominė šeimos padėtis, įsidarbinimo perspektyvos, jiems dažniau gresia socialinė atskirtis bei neigiamas šių veiksnių poveikis sveikatai;</w:t>
      </w:r>
    </w:p>
    <w:p w:rsidR="00827571" w:rsidRPr="00415A71" w:rsidRDefault="00827571" w:rsidP="00385835">
      <w:pPr>
        <w:pStyle w:val="Puslapioinaostekstas"/>
        <w:spacing w:after="0" w:line="240" w:lineRule="auto"/>
        <w:jc w:val="both"/>
        <w:rPr>
          <w:rFonts w:ascii="Times New Roman" w:hAnsi="Times New Roman"/>
          <w:sz w:val="18"/>
          <w:szCs w:val="18"/>
          <w:lang w:val="lt-LT"/>
        </w:rPr>
      </w:pPr>
      <w:r>
        <w:rPr>
          <w:rFonts w:ascii="Times New Roman" w:hAnsi="Times New Roman"/>
          <w:sz w:val="18"/>
          <w:szCs w:val="18"/>
          <w:lang w:val="lt-LT"/>
        </w:rPr>
        <w:t xml:space="preserve">– </w:t>
      </w:r>
      <w:r w:rsidRPr="00415A71">
        <w:rPr>
          <w:rFonts w:ascii="Times New Roman" w:hAnsi="Times New Roman"/>
          <w:sz w:val="18"/>
          <w:szCs w:val="18"/>
        </w:rPr>
        <w:t>vyresnio amžiaus (55 m. amžiaus ir vyresni) gyventojai priskiriami tikslinei grupei, atsižvelgiant į šio uždavinio siekį</w:t>
      </w:r>
      <w:r>
        <w:rPr>
          <w:rFonts w:ascii="Times New Roman" w:hAnsi="Times New Roman"/>
          <w:sz w:val="18"/>
          <w:szCs w:val="18"/>
          <w:lang w:val="lt-LT"/>
        </w:rPr>
        <w:t>,</w:t>
      </w:r>
      <w:r w:rsidRPr="00415A71">
        <w:rPr>
          <w:rFonts w:ascii="Times New Roman" w:hAnsi="Times New Roman"/>
          <w:sz w:val="18"/>
          <w:szCs w:val="18"/>
        </w:rPr>
        <w:t xml:space="preserve"> kiek galima ilgiau išlaikyti gerą senstančių vyresnio amžiaus žmonių sveikatą, pagerinti jų gyvenimo kokybę bei sudaryti galimybes išlikti aktyviems darbe, bendruomenėje, gyventi savarankiškiems.</w:t>
      </w:r>
    </w:p>
    <w:p w:rsidR="00827571" w:rsidRPr="00C1571A" w:rsidRDefault="00827571" w:rsidP="00385835">
      <w:pPr>
        <w:pStyle w:val="Puslapioinaostekstas"/>
        <w:jc w:val="both"/>
        <w:rPr>
          <w:rFonts w:ascii="Times New Roman" w:hAnsi="Times New Roman"/>
          <w:sz w:val="18"/>
          <w:szCs w:val="18"/>
        </w:rPr>
      </w:pPr>
    </w:p>
  </w:footnote>
  <w:footnote w:id="5">
    <w:p w:rsidR="00827571" w:rsidRPr="00B13F50" w:rsidRDefault="00827571" w:rsidP="00385835">
      <w:pPr>
        <w:pStyle w:val="Puslapioinaostekstas"/>
        <w:spacing w:after="0" w:line="240" w:lineRule="auto"/>
        <w:jc w:val="both"/>
        <w:rPr>
          <w:rFonts w:ascii="Times New Roman" w:hAnsi="Times New Roman"/>
          <w:sz w:val="18"/>
          <w:szCs w:val="18"/>
          <w:lang w:val="lt-LT"/>
        </w:rPr>
      </w:pPr>
      <w:r w:rsidRPr="00B13F50">
        <w:rPr>
          <w:rStyle w:val="Puslapioinaosnuoroda"/>
          <w:rFonts w:ascii="Times New Roman" w:hAnsi="Times New Roman"/>
          <w:sz w:val="18"/>
          <w:szCs w:val="18"/>
        </w:rPr>
        <w:footnoteRef/>
      </w:r>
      <w:r w:rsidRPr="00B13F50">
        <w:rPr>
          <w:rFonts w:ascii="Times New Roman" w:hAnsi="Times New Roman"/>
          <w:sz w:val="18"/>
          <w:szCs w:val="18"/>
        </w:rPr>
        <w:t xml:space="preserve"> </w:t>
      </w:r>
      <w:r w:rsidRPr="00B13F50">
        <w:rPr>
          <w:rFonts w:ascii="Times New Roman" w:hAnsi="Times New Roman"/>
          <w:sz w:val="18"/>
          <w:szCs w:val="18"/>
          <w:lang w:val="lt-LT"/>
        </w:rPr>
        <w:t>Prioritetą numatoma teikti projektams, prisidedantiems prie k</w:t>
      </w:r>
      <w:r w:rsidRPr="00B13F50">
        <w:rPr>
          <w:rFonts w:ascii="Times New Roman" w:hAnsi="Times New Roman"/>
          <w:sz w:val="18"/>
          <w:szCs w:val="18"/>
        </w:rPr>
        <w:t>ompetencijomis grįst</w:t>
      </w:r>
      <w:r w:rsidRPr="00B13F50">
        <w:rPr>
          <w:rFonts w:ascii="Times New Roman" w:hAnsi="Times New Roman"/>
          <w:sz w:val="18"/>
          <w:szCs w:val="18"/>
          <w:lang w:val="lt-LT"/>
        </w:rPr>
        <w:t>o</w:t>
      </w:r>
      <w:r w:rsidRPr="00B13F50">
        <w:rPr>
          <w:rFonts w:ascii="Times New Roman" w:hAnsi="Times New Roman"/>
          <w:sz w:val="18"/>
          <w:szCs w:val="18"/>
        </w:rPr>
        <w:t xml:space="preserve"> žmogiškųjų išteklių valdymo</w:t>
      </w:r>
      <w:r w:rsidRPr="00B13F50">
        <w:rPr>
          <w:rFonts w:ascii="Times New Roman" w:hAnsi="Times New Roman"/>
          <w:sz w:val="18"/>
          <w:szCs w:val="18"/>
          <w:lang w:val="lt-LT"/>
        </w:rPr>
        <w:t>.</w:t>
      </w:r>
      <w:r w:rsidRPr="00B13F50">
        <w:rPr>
          <w:rFonts w:ascii="Times New Roman" w:hAnsi="Times New Roman"/>
          <w:sz w:val="18"/>
          <w:szCs w:val="18"/>
        </w:rPr>
        <w:t xml:space="preserve"> </w:t>
      </w:r>
      <w:r>
        <w:rPr>
          <w:rFonts w:ascii="Times New Roman" w:hAnsi="Times New Roman"/>
          <w:sz w:val="18"/>
          <w:szCs w:val="18"/>
          <w:lang w:val="lt-LT"/>
        </w:rPr>
        <w:t>K</w:t>
      </w:r>
      <w:r w:rsidRPr="00B13F50">
        <w:rPr>
          <w:rFonts w:ascii="Times New Roman" w:hAnsi="Times New Roman"/>
          <w:sz w:val="18"/>
          <w:szCs w:val="18"/>
          <w:lang w:val="lt-LT"/>
        </w:rPr>
        <w:t>ompetencijomis grįst</w:t>
      </w:r>
      <w:r>
        <w:rPr>
          <w:rFonts w:ascii="Times New Roman" w:hAnsi="Times New Roman"/>
          <w:sz w:val="18"/>
          <w:szCs w:val="18"/>
          <w:lang w:val="lt-LT"/>
        </w:rPr>
        <w:t>as</w:t>
      </w:r>
      <w:r w:rsidRPr="00B13F50">
        <w:rPr>
          <w:rFonts w:ascii="Times New Roman" w:hAnsi="Times New Roman"/>
          <w:sz w:val="18"/>
          <w:szCs w:val="18"/>
          <w:lang w:val="lt-LT"/>
        </w:rPr>
        <w:t xml:space="preserve"> žmogiškųjų išteklių valdym</w:t>
      </w:r>
      <w:r>
        <w:rPr>
          <w:rFonts w:ascii="Times New Roman" w:hAnsi="Times New Roman"/>
          <w:sz w:val="18"/>
          <w:szCs w:val="18"/>
          <w:lang w:val="lt-LT"/>
        </w:rPr>
        <w:t>as</w:t>
      </w:r>
      <w:r w:rsidRPr="00B13F50">
        <w:rPr>
          <w:rFonts w:ascii="Times New Roman" w:hAnsi="Times New Roman"/>
          <w:sz w:val="18"/>
          <w:szCs w:val="18"/>
        </w:rPr>
        <w:t xml:space="preserve"> – tai</w:t>
      </w:r>
      <w:r w:rsidRPr="00B13F50">
        <w:rPr>
          <w:rFonts w:ascii="Times New Roman" w:hAnsi="Times New Roman"/>
          <w:sz w:val="18"/>
          <w:szCs w:val="18"/>
          <w:lang w:val="lt-LT"/>
        </w:rPr>
        <w:t xml:space="preserve"> </w:t>
      </w:r>
      <w:r w:rsidRPr="00B13F50">
        <w:rPr>
          <w:rFonts w:ascii="Times New Roman" w:hAnsi="Times New Roman"/>
          <w:sz w:val="18"/>
          <w:szCs w:val="18"/>
        </w:rPr>
        <w:t>žmogiškųjų išteklių valdymo instrumentas</w:t>
      </w:r>
      <w:r w:rsidRPr="00B13F50">
        <w:rPr>
          <w:rFonts w:ascii="Times New Roman" w:hAnsi="Times New Roman"/>
          <w:sz w:val="18"/>
          <w:szCs w:val="18"/>
          <w:lang w:val="lt-LT"/>
        </w:rPr>
        <w:t>, kai,</w:t>
      </w:r>
      <w:r w:rsidRPr="00B13F50">
        <w:rPr>
          <w:rFonts w:ascii="Times New Roman" w:hAnsi="Times New Roman"/>
          <w:sz w:val="18"/>
          <w:szCs w:val="18"/>
        </w:rPr>
        <w:t xml:space="preserve"> nustačius </w:t>
      </w:r>
      <w:r w:rsidRPr="00B13F50">
        <w:rPr>
          <w:rFonts w:ascii="Times New Roman" w:hAnsi="Times New Roman"/>
          <w:sz w:val="18"/>
          <w:szCs w:val="18"/>
          <w:lang w:val="lt-LT"/>
        </w:rPr>
        <w:t>institucijos</w:t>
      </w:r>
      <w:r w:rsidRPr="00B13F50">
        <w:rPr>
          <w:rFonts w:ascii="Times New Roman" w:hAnsi="Times New Roman"/>
          <w:sz w:val="18"/>
          <w:szCs w:val="18"/>
        </w:rPr>
        <w:t xml:space="preserve"> tikslams pasiekti ir funkcijoms atlikti būtinas kompetencij</w:t>
      </w:r>
      <w:r w:rsidRPr="00B13F50">
        <w:rPr>
          <w:rFonts w:ascii="Times New Roman" w:hAnsi="Times New Roman"/>
          <w:sz w:val="18"/>
          <w:szCs w:val="18"/>
          <w:lang w:val="lt-LT"/>
        </w:rPr>
        <w:t>a</w:t>
      </w:r>
      <w:r w:rsidRPr="00B13F50">
        <w:rPr>
          <w:rFonts w:ascii="Times New Roman" w:hAnsi="Times New Roman"/>
          <w:sz w:val="18"/>
          <w:szCs w:val="18"/>
        </w:rPr>
        <w:t>s, toliau, atsižvelgiant į nustatytas kompetencijas, vykdomi žmogiškųjų išteklių poreikio planavimas, atranka, mokymas ir ugdymas, vertinimas, karjeros planavimas</w:t>
      </w:r>
      <w:r w:rsidRPr="00B13F50">
        <w:rPr>
          <w:rFonts w:ascii="Times New Roman" w:hAnsi="Times New Roman"/>
          <w:sz w:val="18"/>
          <w:szCs w:val="18"/>
          <w:lang w:val="lt-LT"/>
        </w:rPr>
        <w:t>.</w:t>
      </w:r>
    </w:p>
  </w:footnote>
  <w:footnote w:id="6">
    <w:p w:rsidR="00827571" w:rsidRPr="0067221E" w:rsidRDefault="00827571" w:rsidP="00385835">
      <w:pPr>
        <w:pStyle w:val="Puslapioinaostekstas"/>
        <w:spacing w:after="0" w:line="240" w:lineRule="auto"/>
        <w:jc w:val="both"/>
        <w:rPr>
          <w:rFonts w:ascii="Times New Roman" w:hAnsi="Times New Roman"/>
          <w:sz w:val="16"/>
          <w:szCs w:val="16"/>
          <w:lang w:val="lt-LT"/>
        </w:rPr>
      </w:pPr>
      <w:r w:rsidRPr="00563820">
        <w:rPr>
          <w:rStyle w:val="Puslapioinaosnuoroda"/>
          <w:rFonts w:ascii="Times New Roman" w:hAnsi="Times New Roman"/>
          <w:sz w:val="18"/>
          <w:szCs w:val="18"/>
        </w:rPr>
        <w:footnoteRef/>
      </w:r>
      <w:r w:rsidRPr="00563820">
        <w:rPr>
          <w:rFonts w:ascii="Times New Roman" w:hAnsi="Times New Roman"/>
          <w:sz w:val="18"/>
          <w:szCs w:val="18"/>
        </w:rPr>
        <w:t xml:space="preserve"> Strateginės kompetencijos </w:t>
      </w:r>
      <w:r>
        <w:rPr>
          <w:rFonts w:ascii="Times New Roman" w:hAnsi="Times New Roman"/>
          <w:sz w:val="18"/>
          <w:szCs w:val="18"/>
          <w:lang w:val="lt-LT"/>
        </w:rPr>
        <w:t>–</w:t>
      </w:r>
      <w:r w:rsidRPr="00563820">
        <w:rPr>
          <w:rFonts w:ascii="Times New Roman" w:hAnsi="Times New Roman"/>
          <w:sz w:val="18"/>
          <w:szCs w:val="18"/>
        </w:rPr>
        <w:t xml:space="preserve"> valstybės tarnybai reikšmingos kompetencijos, kurioms stiprinti Vyriausybė </w:t>
      </w:r>
      <w:r w:rsidRPr="00563820">
        <w:rPr>
          <w:rFonts w:ascii="Times New Roman" w:hAnsi="Times New Roman"/>
          <w:sz w:val="18"/>
          <w:szCs w:val="18"/>
          <w:lang w:val="lt-LT"/>
        </w:rPr>
        <w:t>V</w:t>
      </w:r>
      <w:r w:rsidRPr="00563820">
        <w:rPr>
          <w:rFonts w:ascii="Times New Roman" w:hAnsi="Times New Roman"/>
          <w:sz w:val="18"/>
          <w:szCs w:val="18"/>
        </w:rPr>
        <w:t>alstybės tarnautojų mokymo strategijoje nustato atitinkamo laikotarpio prioritetinius mokymo tikslus</w:t>
      </w:r>
      <w:r w:rsidRPr="00563820">
        <w:rPr>
          <w:rFonts w:ascii="Times New Roman" w:hAnsi="Times New Roman"/>
          <w:sz w:val="18"/>
          <w:szCs w:val="18"/>
          <w:lang w:val="lt-LT"/>
        </w:rPr>
        <w:t>.</w:t>
      </w:r>
    </w:p>
  </w:footnote>
  <w:footnote w:id="7">
    <w:p w:rsidR="00827571" w:rsidRPr="00570601" w:rsidRDefault="00827571" w:rsidP="00385835">
      <w:pPr>
        <w:widowControl w:val="0"/>
        <w:tabs>
          <w:tab w:val="left" w:pos="459"/>
          <w:tab w:val="left" w:pos="1665"/>
        </w:tabs>
        <w:spacing w:after="0" w:line="240" w:lineRule="auto"/>
        <w:jc w:val="both"/>
        <w:rPr>
          <w:rFonts w:ascii="Times New Roman" w:hAnsi="Times New Roman"/>
          <w:sz w:val="18"/>
          <w:szCs w:val="18"/>
          <w:lang w:val="x-none"/>
        </w:rPr>
      </w:pPr>
      <w:r>
        <w:rPr>
          <w:rStyle w:val="Puslapioinaosnuoroda"/>
        </w:rPr>
        <w:footnoteRef/>
      </w:r>
      <w:r>
        <w:t xml:space="preserve"> </w:t>
      </w:r>
      <w:r w:rsidRPr="00B4748F">
        <w:rPr>
          <w:rFonts w:ascii="Times New Roman" w:hAnsi="Times New Roman"/>
          <w:sz w:val="18"/>
          <w:szCs w:val="18"/>
          <w:lang w:val="x-none"/>
        </w:rPr>
        <w:t>Valstybės ir savivaldybių institucijų ir įstaigų dirbančiųjų</w:t>
      </w:r>
      <w:r w:rsidRPr="00910FFC">
        <w:rPr>
          <w:rFonts w:ascii="Times New Roman" w:eastAsia="AngsanaUPC" w:hAnsi="Times New Roman"/>
          <w:bCs/>
          <w:iCs/>
          <w:sz w:val="24"/>
          <w:szCs w:val="24"/>
          <w:lang w:eastAsia="lt-LT"/>
        </w:rPr>
        <w:t xml:space="preserve"> </w:t>
      </w:r>
      <w:r>
        <w:rPr>
          <w:rFonts w:ascii="Times New Roman" w:hAnsi="Times New Roman"/>
          <w:sz w:val="18"/>
          <w:szCs w:val="18"/>
        </w:rPr>
        <w:t xml:space="preserve">strateginių </w:t>
      </w:r>
      <w:r w:rsidRPr="00570601">
        <w:rPr>
          <w:rFonts w:ascii="Times New Roman" w:hAnsi="Times New Roman"/>
          <w:sz w:val="18"/>
          <w:szCs w:val="18"/>
          <w:lang w:val="x-none"/>
        </w:rPr>
        <w:t xml:space="preserve"> kompetencijų stiprinimo veiklų</w:t>
      </w:r>
      <w:r>
        <w:rPr>
          <w:rFonts w:ascii="Times New Roman" w:hAnsi="Times New Roman"/>
          <w:sz w:val="18"/>
          <w:szCs w:val="18"/>
        </w:rPr>
        <w:t xml:space="preserve"> </w:t>
      </w:r>
      <w:r w:rsidRPr="00570601">
        <w:rPr>
          <w:rFonts w:ascii="Times New Roman" w:hAnsi="Times New Roman"/>
          <w:sz w:val="18"/>
          <w:szCs w:val="18"/>
          <w:lang w:val="x-none"/>
        </w:rPr>
        <w:t>tikslinė grupė – darbuotojai tų įstaigų, kurioms taikomas Valstybės tarnybos įstatymas ir kurių sąrašas nustatytas Lietuvos Respublikos Seimo 2008 m. balandžio 24 d. nutarime Nr. X-1511 ,,Dėl Lietuvos Respublikos Seimo, Seim</w:t>
      </w:r>
      <w:r>
        <w:rPr>
          <w:rFonts w:ascii="Times New Roman" w:hAnsi="Times New Roman"/>
          <w:sz w:val="18"/>
          <w:szCs w:val="18"/>
          <w:lang w:val="x-none"/>
        </w:rPr>
        <w:t>o kanceliarijos ir Seimui atska</w:t>
      </w:r>
      <w:r>
        <w:rPr>
          <w:rFonts w:ascii="Times New Roman" w:hAnsi="Times New Roman"/>
          <w:sz w:val="18"/>
          <w:szCs w:val="18"/>
        </w:rPr>
        <w:t>i</w:t>
      </w:r>
      <w:r w:rsidRPr="00570601">
        <w:rPr>
          <w:rFonts w:ascii="Times New Roman" w:hAnsi="Times New Roman"/>
          <w:sz w:val="18"/>
          <w:szCs w:val="18"/>
          <w:lang w:val="x-none"/>
        </w:rPr>
        <w:t>tingų institucijų, Respublikos Prezidento institucijos ir Respublikos Prezidentui atskaitingų institucijų, Nacionalinės teismų administracijos, teismų, prokuratūros, savivaldybių institucijų ir įstaigų sąrašą pagal grupes, į kurias atsižvelgiant nustatomos valstybės tarnautojų suvienodintų pareigybių kategorijos, patvirtinimo“ ir Lietuvos Respublikos Vyriausybės 2008 m. balandžio 24 d. nutarime Nr. 358 ,,Dėl ministerijų, Vyriausybės kanceliarijos, Vyriausybės įstaigų ir įstaigų prie ministerijų, kitų valstybės institucijų ir įstaigų sąrašą pagal grupes patvirtinimo ir kai kurių Lietuvos Respublikos Vyriausybės nutarimų pripažinimo netekusiais galios“.</w:t>
      </w:r>
    </w:p>
    <w:p w:rsidR="00827571" w:rsidRPr="00B4748F" w:rsidRDefault="00827571" w:rsidP="00385835">
      <w:pPr>
        <w:pStyle w:val="Puslapioinaostekstas"/>
        <w:rPr>
          <w:rFonts w:ascii="Times New Roman" w:hAnsi="Times New Roman"/>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571" w:rsidRPr="00C82DD1" w:rsidRDefault="00827571" w:rsidP="003D7FA2">
    <w:pPr>
      <w:pStyle w:val="Antrats"/>
      <w:jc w:val="right"/>
      <w:rPr>
        <w:rFonts w:ascii="Times New Roman" w:hAnsi="Times New Roman"/>
        <w:lang w:val="lt-LT"/>
      </w:rPr>
    </w:pPr>
    <w:r>
      <w:rPr>
        <w:rFonts w:ascii="Times New Roman" w:hAnsi="Times New Roman"/>
        <w:lang w:val="lt-LT"/>
      </w:rPr>
      <w:t xml:space="preserve">2014–2020 metų </w:t>
    </w:r>
    <w:r w:rsidRPr="00FF2B77">
      <w:rPr>
        <w:rFonts w:ascii="Times New Roman" w:hAnsi="Times New Roman"/>
      </w:rPr>
      <w:t>E</w:t>
    </w:r>
    <w:r>
      <w:rPr>
        <w:rFonts w:ascii="Times New Roman" w:hAnsi="Times New Roman"/>
        <w:lang w:val="lt-LT"/>
      </w:rPr>
      <w:t>uropos Sąjungos</w:t>
    </w:r>
    <w:r w:rsidRPr="00FF2B77">
      <w:rPr>
        <w:rFonts w:ascii="Times New Roman" w:hAnsi="Times New Roman"/>
      </w:rPr>
      <w:t xml:space="preserve"> </w:t>
    </w:r>
    <w:r>
      <w:rPr>
        <w:rFonts w:ascii="Times New Roman" w:hAnsi="Times New Roman"/>
        <w:lang w:val="lt-LT"/>
      </w:rPr>
      <w:t>fondų investicijų</w:t>
    </w:r>
    <w:r w:rsidRPr="00FF2B77">
      <w:rPr>
        <w:rFonts w:ascii="Times New Roman" w:hAnsi="Times New Roman"/>
      </w:rPr>
      <w:t xml:space="preserve"> veiksmų program</w:t>
    </w:r>
    <w:r>
      <w:rPr>
        <w:rFonts w:ascii="Times New Roman" w:hAnsi="Times New Roman"/>
        <w:lang w:val="lt-LT"/>
      </w:rPr>
      <w:t>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571" w:rsidRPr="003D7FA2" w:rsidRDefault="00827571" w:rsidP="003D7FA2">
    <w:pPr>
      <w:pStyle w:val="Antrats"/>
      <w:jc w:val="right"/>
      <w:rPr>
        <w:rFonts w:ascii="Times New Roman" w:hAnsi="Times New Roman"/>
      </w:rPr>
    </w:pPr>
    <w:r w:rsidRPr="003D7FA2">
      <w:rPr>
        <w:rFonts w:ascii="Times New Roman" w:hAnsi="Times New Roman"/>
      </w:rPr>
      <w:t>ES struktūrinės paramos veiksmų programos projektas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571" w:rsidRPr="00232AA2" w:rsidRDefault="00827571" w:rsidP="003D7FA2">
    <w:pPr>
      <w:pStyle w:val="Antrats"/>
      <w:jc w:val="right"/>
      <w:rPr>
        <w:rFonts w:ascii="Times New Roman" w:hAnsi="Times New Roman"/>
        <w:lang w:val="lt-LT"/>
      </w:rPr>
    </w:pPr>
    <w:r>
      <w:rPr>
        <w:rFonts w:ascii="Times New Roman" w:hAnsi="Times New Roman"/>
        <w:lang w:val="lt-LT"/>
      </w:rPr>
      <w:t xml:space="preserve">2014–2020 metų </w:t>
    </w:r>
    <w:r w:rsidRPr="00FF2B77">
      <w:rPr>
        <w:rFonts w:ascii="Times New Roman" w:hAnsi="Times New Roman"/>
      </w:rPr>
      <w:t>E</w:t>
    </w:r>
    <w:r>
      <w:rPr>
        <w:rFonts w:ascii="Times New Roman" w:hAnsi="Times New Roman"/>
        <w:lang w:val="lt-LT"/>
      </w:rPr>
      <w:t>uropos Sąjungos</w:t>
    </w:r>
    <w:r w:rsidRPr="00FF2B77">
      <w:rPr>
        <w:rFonts w:ascii="Times New Roman" w:hAnsi="Times New Roman"/>
      </w:rPr>
      <w:t xml:space="preserve"> </w:t>
    </w:r>
    <w:r>
      <w:rPr>
        <w:rFonts w:ascii="Times New Roman" w:hAnsi="Times New Roman"/>
        <w:lang w:val="lt-LT"/>
      </w:rPr>
      <w:t>fondų investicijų</w:t>
    </w:r>
    <w:r w:rsidRPr="00FF2B77">
      <w:rPr>
        <w:rFonts w:ascii="Times New Roman" w:hAnsi="Times New Roman"/>
      </w:rPr>
      <w:t xml:space="preserve"> veiksmų program</w:t>
    </w:r>
    <w:r>
      <w:rPr>
        <w:rFonts w:ascii="Times New Roman" w:hAnsi="Times New Roman"/>
        <w:lang w:val="lt-LT"/>
      </w:rPr>
      <w:t>a</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571" w:rsidRPr="003D7FA2" w:rsidRDefault="00827571" w:rsidP="003D7FA2">
    <w:pPr>
      <w:pStyle w:val="Antrats"/>
      <w:jc w:val="right"/>
      <w:rPr>
        <w:rFonts w:ascii="Times New Roman" w:hAnsi="Times New Roman"/>
      </w:rPr>
    </w:pPr>
    <w:r w:rsidRPr="003D7FA2">
      <w:rPr>
        <w:rFonts w:ascii="Times New Roman" w:hAnsi="Times New Roman"/>
      </w:rPr>
      <w:t>ES struktūrinės paramos veiksmų programos projektas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6505E"/>
    <w:multiLevelType w:val="hybridMultilevel"/>
    <w:tmpl w:val="680037E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1D1678B"/>
    <w:multiLevelType w:val="hybridMultilevel"/>
    <w:tmpl w:val="6FEEA154"/>
    <w:lvl w:ilvl="0" w:tplc="04270001">
      <w:start w:val="1"/>
      <w:numFmt w:val="bullet"/>
      <w:lvlText w:val=""/>
      <w:lvlJc w:val="left"/>
      <w:pPr>
        <w:ind w:left="1344" w:hanging="360"/>
      </w:pPr>
      <w:rPr>
        <w:rFonts w:ascii="Symbol" w:hAnsi="Symbol" w:hint="default"/>
      </w:rPr>
    </w:lvl>
    <w:lvl w:ilvl="1" w:tplc="04270003" w:tentative="1">
      <w:start w:val="1"/>
      <w:numFmt w:val="bullet"/>
      <w:lvlText w:val="o"/>
      <w:lvlJc w:val="left"/>
      <w:pPr>
        <w:ind w:left="2064" w:hanging="360"/>
      </w:pPr>
      <w:rPr>
        <w:rFonts w:ascii="Courier New" w:hAnsi="Courier New" w:cs="Courier New" w:hint="default"/>
      </w:rPr>
    </w:lvl>
    <w:lvl w:ilvl="2" w:tplc="04270005" w:tentative="1">
      <w:start w:val="1"/>
      <w:numFmt w:val="bullet"/>
      <w:lvlText w:val=""/>
      <w:lvlJc w:val="left"/>
      <w:pPr>
        <w:ind w:left="2784" w:hanging="360"/>
      </w:pPr>
      <w:rPr>
        <w:rFonts w:ascii="Wingdings" w:hAnsi="Wingdings" w:hint="default"/>
      </w:rPr>
    </w:lvl>
    <w:lvl w:ilvl="3" w:tplc="04270001" w:tentative="1">
      <w:start w:val="1"/>
      <w:numFmt w:val="bullet"/>
      <w:lvlText w:val=""/>
      <w:lvlJc w:val="left"/>
      <w:pPr>
        <w:ind w:left="3504" w:hanging="360"/>
      </w:pPr>
      <w:rPr>
        <w:rFonts w:ascii="Symbol" w:hAnsi="Symbol" w:hint="default"/>
      </w:rPr>
    </w:lvl>
    <w:lvl w:ilvl="4" w:tplc="04270003" w:tentative="1">
      <w:start w:val="1"/>
      <w:numFmt w:val="bullet"/>
      <w:lvlText w:val="o"/>
      <w:lvlJc w:val="left"/>
      <w:pPr>
        <w:ind w:left="4224" w:hanging="360"/>
      </w:pPr>
      <w:rPr>
        <w:rFonts w:ascii="Courier New" w:hAnsi="Courier New" w:cs="Courier New" w:hint="default"/>
      </w:rPr>
    </w:lvl>
    <w:lvl w:ilvl="5" w:tplc="04270005" w:tentative="1">
      <w:start w:val="1"/>
      <w:numFmt w:val="bullet"/>
      <w:lvlText w:val=""/>
      <w:lvlJc w:val="left"/>
      <w:pPr>
        <w:ind w:left="4944" w:hanging="360"/>
      </w:pPr>
      <w:rPr>
        <w:rFonts w:ascii="Wingdings" w:hAnsi="Wingdings" w:hint="default"/>
      </w:rPr>
    </w:lvl>
    <w:lvl w:ilvl="6" w:tplc="04270001" w:tentative="1">
      <w:start w:val="1"/>
      <w:numFmt w:val="bullet"/>
      <w:lvlText w:val=""/>
      <w:lvlJc w:val="left"/>
      <w:pPr>
        <w:ind w:left="5664" w:hanging="360"/>
      </w:pPr>
      <w:rPr>
        <w:rFonts w:ascii="Symbol" w:hAnsi="Symbol" w:hint="default"/>
      </w:rPr>
    </w:lvl>
    <w:lvl w:ilvl="7" w:tplc="04270003" w:tentative="1">
      <w:start w:val="1"/>
      <w:numFmt w:val="bullet"/>
      <w:lvlText w:val="o"/>
      <w:lvlJc w:val="left"/>
      <w:pPr>
        <w:ind w:left="6384" w:hanging="360"/>
      </w:pPr>
      <w:rPr>
        <w:rFonts w:ascii="Courier New" w:hAnsi="Courier New" w:cs="Courier New" w:hint="default"/>
      </w:rPr>
    </w:lvl>
    <w:lvl w:ilvl="8" w:tplc="04270005" w:tentative="1">
      <w:start w:val="1"/>
      <w:numFmt w:val="bullet"/>
      <w:lvlText w:val=""/>
      <w:lvlJc w:val="left"/>
      <w:pPr>
        <w:ind w:left="7104" w:hanging="360"/>
      </w:pPr>
      <w:rPr>
        <w:rFonts w:ascii="Wingdings" w:hAnsi="Wingdings" w:hint="default"/>
      </w:rPr>
    </w:lvl>
  </w:abstractNum>
  <w:abstractNum w:abstractNumId="2">
    <w:nsid w:val="01D90450"/>
    <w:multiLevelType w:val="hybridMultilevel"/>
    <w:tmpl w:val="521696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05C91102"/>
    <w:multiLevelType w:val="multilevel"/>
    <w:tmpl w:val="D9AE7AF0"/>
    <w:name w:val="Heading__8"/>
    <w:lvl w:ilvl="0">
      <w:start w:val="1"/>
      <w:numFmt w:val="decimal"/>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nsid w:val="067C7EFB"/>
    <w:multiLevelType w:val="hybridMultilevel"/>
    <w:tmpl w:val="037E7078"/>
    <w:lvl w:ilvl="0" w:tplc="ED3E1D64">
      <w:start w:val="1"/>
      <w:numFmt w:val="decimal"/>
      <w:lvlText w:val="%1)"/>
      <w:lvlJc w:val="left"/>
      <w:pPr>
        <w:ind w:left="2014" w:hanging="130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nsid w:val="090D7340"/>
    <w:multiLevelType w:val="hybridMultilevel"/>
    <w:tmpl w:val="683C2F08"/>
    <w:lvl w:ilvl="0" w:tplc="04270001">
      <w:start w:val="1"/>
      <w:numFmt w:val="bullet"/>
      <w:lvlText w:val=""/>
      <w:lvlJc w:val="left"/>
      <w:pPr>
        <w:ind w:left="1315" w:hanging="360"/>
      </w:pPr>
      <w:rPr>
        <w:rFonts w:ascii="Symbol" w:hAnsi="Symbol" w:hint="default"/>
      </w:rPr>
    </w:lvl>
    <w:lvl w:ilvl="1" w:tplc="04270003" w:tentative="1">
      <w:start w:val="1"/>
      <w:numFmt w:val="bullet"/>
      <w:lvlText w:val="o"/>
      <w:lvlJc w:val="left"/>
      <w:pPr>
        <w:ind w:left="2035" w:hanging="360"/>
      </w:pPr>
      <w:rPr>
        <w:rFonts w:ascii="Courier New" w:hAnsi="Courier New" w:cs="Courier New" w:hint="default"/>
      </w:rPr>
    </w:lvl>
    <w:lvl w:ilvl="2" w:tplc="04270005" w:tentative="1">
      <w:start w:val="1"/>
      <w:numFmt w:val="bullet"/>
      <w:lvlText w:val=""/>
      <w:lvlJc w:val="left"/>
      <w:pPr>
        <w:ind w:left="2755" w:hanging="360"/>
      </w:pPr>
      <w:rPr>
        <w:rFonts w:ascii="Wingdings" w:hAnsi="Wingdings" w:hint="default"/>
      </w:rPr>
    </w:lvl>
    <w:lvl w:ilvl="3" w:tplc="04270001" w:tentative="1">
      <w:start w:val="1"/>
      <w:numFmt w:val="bullet"/>
      <w:lvlText w:val=""/>
      <w:lvlJc w:val="left"/>
      <w:pPr>
        <w:ind w:left="3475" w:hanging="360"/>
      </w:pPr>
      <w:rPr>
        <w:rFonts w:ascii="Symbol" w:hAnsi="Symbol" w:hint="default"/>
      </w:rPr>
    </w:lvl>
    <w:lvl w:ilvl="4" w:tplc="04270003" w:tentative="1">
      <w:start w:val="1"/>
      <w:numFmt w:val="bullet"/>
      <w:lvlText w:val="o"/>
      <w:lvlJc w:val="left"/>
      <w:pPr>
        <w:ind w:left="4195" w:hanging="360"/>
      </w:pPr>
      <w:rPr>
        <w:rFonts w:ascii="Courier New" w:hAnsi="Courier New" w:cs="Courier New" w:hint="default"/>
      </w:rPr>
    </w:lvl>
    <w:lvl w:ilvl="5" w:tplc="04270005" w:tentative="1">
      <w:start w:val="1"/>
      <w:numFmt w:val="bullet"/>
      <w:lvlText w:val=""/>
      <w:lvlJc w:val="left"/>
      <w:pPr>
        <w:ind w:left="4915" w:hanging="360"/>
      </w:pPr>
      <w:rPr>
        <w:rFonts w:ascii="Wingdings" w:hAnsi="Wingdings" w:hint="default"/>
      </w:rPr>
    </w:lvl>
    <w:lvl w:ilvl="6" w:tplc="04270001" w:tentative="1">
      <w:start w:val="1"/>
      <w:numFmt w:val="bullet"/>
      <w:lvlText w:val=""/>
      <w:lvlJc w:val="left"/>
      <w:pPr>
        <w:ind w:left="5635" w:hanging="360"/>
      </w:pPr>
      <w:rPr>
        <w:rFonts w:ascii="Symbol" w:hAnsi="Symbol" w:hint="default"/>
      </w:rPr>
    </w:lvl>
    <w:lvl w:ilvl="7" w:tplc="04270003" w:tentative="1">
      <w:start w:val="1"/>
      <w:numFmt w:val="bullet"/>
      <w:lvlText w:val="o"/>
      <w:lvlJc w:val="left"/>
      <w:pPr>
        <w:ind w:left="6355" w:hanging="360"/>
      </w:pPr>
      <w:rPr>
        <w:rFonts w:ascii="Courier New" w:hAnsi="Courier New" w:cs="Courier New" w:hint="default"/>
      </w:rPr>
    </w:lvl>
    <w:lvl w:ilvl="8" w:tplc="04270005" w:tentative="1">
      <w:start w:val="1"/>
      <w:numFmt w:val="bullet"/>
      <w:lvlText w:val=""/>
      <w:lvlJc w:val="left"/>
      <w:pPr>
        <w:ind w:left="7075" w:hanging="360"/>
      </w:pPr>
      <w:rPr>
        <w:rFonts w:ascii="Wingdings" w:hAnsi="Wingdings" w:hint="default"/>
      </w:rPr>
    </w:lvl>
  </w:abstractNum>
  <w:abstractNum w:abstractNumId="6">
    <w:nsid w:val="0AF502FF"/>
    <w:multiLevelType w:val="hybridMultilevel"/>
    <w:tmpl w:val="2DA0C310"/>
    <w:lvl w:ilvl="0" w:tplc="04270001">
      <w:start w:val="1"/>
      <w:numFmt w:val="bullet"/>
      <w:lvlText w:val=""/>
      <w:lvlJc w:val="left"/>
      <w:pPr>
        <w:ind w:left="1344" w:hanging="360"/>
      </w:pPr>
      <w:rPr>
        <w:rFonts w:ascii="Symbol" w:hAnsi="Symbol" w:hint="default"/>
      </w:rPr>
    </w:lvl>
    <w:lvl w:ilvl="1" w:tplc="04270003" w:tentative="1">
      <w:start w:val="1"/>
      <w:numFmt w:val="bullet"/>
      <w:lvlText w:val="o"/>
      <w:lvlJc w:val="left"/>
      <w:pPr>
        <w:ind w:left="2064" w:hanging="360"/>
      </w:pPr>
      <w:rPr>
        <w:rFonts w:ascii="Courier New" w:hAnsi="Courier New" w:cs="Courier New" w:hint="default"/>
      </w:rPr>
    </w:lvl>
    <w:lvl w:ilvl="2" w:tplc="04270005" w:tentative="1">
      <w:start w:val="1"/>
      <w:numFmt w:val="bullet"/>
      <w:lvlText w:val=""/>
      <w:lvlJc w:val="left"/>
      <w:pPr>
        <w:ind w:left="2784" w:hanging="360"/>
      </w:pPr>
      <w:rPr>
        <w:rFonts w:ascii="Wingdings" w:hAnsi="Wingdings" w:hint="default"/>
      </w:rPr>
    </w:lvl>
    <w:lvl w:ilvl="3" w:tplc="04270001" w:tentative="1">
      <w:start w:val="1"/>
      <w:numFmt w:val="bullet"/>
      <w:lvlText w:val=""/>
      <w:lvlJc w:val="left"/>
      <w:pPr>
        <w:ind w:left="3504" w:hanging="360"/>
      </w:pPr>
      <w:rPr>
        <w:rFonts w:ascii="Symbol" w:hAnsi="Symbol" w:hint="default"/>
      </w:rPr>
    </w:lvl>
    <w:lvl w:ilvl="4" w:tplc="04270003" w:tentative="1">
      <w:start w:val="1"/>
      <w:numFmt w:val="bullet"/>
      <w:lvlText w:val="o"/>
      <w:lvlJc w:val="left"/>
      <w:pPr>
        <w:ind w:left="4224" w:hanging="360"/>
      </w:pPr>
      <w:rPr>
        <w:rFonts w:ascii="Courier New" w:hAnsi="Courier New" w:cs="Courier New" w:hint="default"/>
      </w:rPr>
    </w:lvl>
    <w:lvl w:ilvl="5" w:tplc="04270005" w:tentative="1">
      <w:start w:val="1"/>
      <w:numFmt w:val="bullet"/>
      <w:lvlText w:val=""/>
      <w:lvlJc w:val="left"/>
      <w:pPr>
        <w:ind w:left="4944" w:hanging="360"/>
      </w:pPr>
      <w:rPr>
        <w:rFonts w:ascii="Wingdings" w:hAnsi="Wingdings" w:hint="default"/>
      </w:rPr>
    </w:lvl>
    <w:lvl w:ilvl="6" w:tplc="04270001" w:tentative="1">
      <w:start w:val="1"/>
      <w:numFmt w:val="bullet"/>
      <w:lvlText w:val=""/>
      <w:lvlJc w:val="left"/>
      <w:pPr>
        <w:ind w:left="5664" w:hanging="360"/>
      </w:pPr>
      <w:rPr>
        <w:rFonts w:ascii="Symbol" w:hAnsi="Symbol" w:hint="default"/>
      </w:rPr>
    </w:lvl>
    <w:lvl w:ilvl="7" w:tplc="04270003" w:tentative="1">
      <w:start w:val="1"/>
      <w:numFmt w:val="bullet"/>
      <w:lvlText w:val="o"/>
      <w:lvlJc w:val="left"/>
      <w:pPr>
        <w:ind w:left="6384" w:hanging="360"/>
      </w:pPr>
      <w:rPr>
        <w:rFonts w:ascii="Courier New" w:hAnsi="Courier New" w:cs="Courier New" w:hint="default"/>
      </w:rPr>
    </w:lvl>
    <w:lvl w:ilvl="8" w:tplc="04270005" w:tentative="1">
      <w:start w:val="1"/>
      <w:numFmt w:val="bullet"/>
      <w:lvlText w:val=""/>
      <w:lvlJc w:val="left"/>
      <w:pPr>
        <w:ind w:left="7104" w:hanging="360"/>
      </w:pPr>
      <w:rPr>
        <w:rFonts w:ascii="Wingdings" w:hAnsi="Wingdings" w:hint="default"/>
      </w:rPr>
    </w:lvl>
  </w:abstractNum>
  <w:abstractNum w:abstractNumId="7">
    <w:nsid w:val="0B58516F"/>
    <w:multiLevelType w:val="hybridMultilevel"/>
    <w:tmpl w:val="C8AAD9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0E8D605A"/>
    <w:multiLevelType w:val="hybridMultilevel"/>
    <w:tmpl w:val="588443C6"/>
    <w:lvl w:ilvl="0" w:tplc="D51E8274">
      <w:start w:val="2012"/>
      <w:numFmt w:val="bullet"/>
      <w:lvlText w:val="-"/>
      <w:lvlJc w:val="left"/>
      <w:pPr>
        <w:ind w:left="1440" w:hanging="360"/>
      </w:pPr>
      <w:rPr>
        <w:rFonts w:ascii="Times New Roman" w:eastAsia="MS Mincho" w:hAnsi="Times New Roman" w:cs="Times New Roman" w:hint="default"/>
        <w:b w:val="0"/>
        <w:sz w:val="24"/>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nsid w:val="0E8D6D57"/>
    <w:multiLevelType w:val="hybridMultilevel"/>
    <w:tmpl w:val="0798B1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0F68391A"/>
    <w:multiLevelType w:val="hybridMultilevel"/>
    <w:tmpl w:val="21E812D0"/>
    <w:lvl w:ilvl="0" w:tplc="D51E8274">
      <w:start w:val="2012"/>
      <w:numFmt w:val="bullet"/>
      <w:lvlText w:val="-"/>
      <w:lvlJc w:val="left"/>
      <w:pPr>
        <w:ind w:left="720" w:hanging="360"/>
      </w:pPr>
      <w:rPr>
        <w:rFonts w:ascii="Times New Roman" w:eastAsia="MS Mincho" w:hAnsi="Times New Roman" w:cs="Times New Roman" w:hint="default"/>
        <w:b w:val="0"/>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0FFF5E85"/>
    <w:multiLevelType w:val="hybridMultilevel"/>
    <w:tmpl w:val="958EE020"/>
    <w:lvl w:ilvl="0" w:tplc="04270001">
      <w:start w:val="1"/>
      <w:numFmt w:val="bullet"/>
      <w:lvlText w:val=""/>
      <w:lvlJc w:val="left"/>
      <w:pPr>
        <w:ind w:left="1125" w:hanging="360"/>
      </w:pPr>
      <w:rPr>
        <w:rFonts w:ascii="Symbol" w:hAnsi="Symbol" w:hint="default"/>
      </w:rPr>
    </w:lvl>
    <w:lvl w:ilvl="1" w:tplc="04270003">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12">
    <w:nsid w:val="102D5319"/>
    <w:multiLevelType w:val="hybridMultilevel"/>
    <w:tmpl w:val="260C20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136C5311"/>
    <w:multiLevelType w:val="hybridMultilevel"/>
    <w:tmpl w:val="4EAA269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4">
    <w:nsid w:val="158825B3"/>
    <w:multiLevelType w:val="hybridMultilevel"/>
    <w:tmpl w:val="DC4852AC"/>
    <w:lvl w:ilvl="0" w:tplc="04270001">
      <w:start w:val="1"/>
      <w:numFmt w:val="bullet"/>
      <w:lvlText w:val=""/>
      <w:lvlJc w:val="left"/>
      <w:pPr>
        <w:ind w:left="1889" w:hanging="360"/>
      </w:pPr>
      <w:rPr>
        <w:rFonts w:ascii="Symbol" w:hAnsi="Symbol" w:hint="default"/>
      </w:rPr>
    </w:lvl>
    <w:lvl w:ilvl="1" w:tplc="04270003" w:tentative="1">
      <w:start w:val="1"/>
      <w:numFmt w:val="bullet"/>
      <w:lvlText w:val="o"/>
      <w:lvlJc w:val="left"/>
      <w:pPr>
        <w:ind w:left="2609" w:hanging="360"/>
      </w:pPr>
      <w:rPr>
        <w:rFonts w:ascii="Courier New" w:hAnsi="Courier New" w:cs="Courier New" w:hint="default"/>
      </w:rPr>
    </w:lvl>
    <w:lvl w:ilvl="2" w:tplc="04270005" w:tentative="1">
      <w:start w:val="1"/>
      <w:numFmt w:val="bullet"/>
      <w:lvlText w:val=""/>
      <w:lvlJc w:val="left"/>
      <w:pPr>
        <w:ind w:left="3329" w:hanging="360"/>
      </w:pPr>
      <w:rPr>
        <w:rFonts w:ascii="Wingdings" w:hAnsi="Wingdings" w:hint="default"/>
      </w:rPr>
    </w:lvl>
    <w:lvl w:ilvl="3" w:tplc="04270001" w:tentative="1">
      <w:start w:val="1"/>
      <w:numFmt w:val="bullet"/>
      <w:lvlText w:val=""/>
      <w:lvlJc w:val="left"/>
      <w:pPr>
        <w:ind w:left="4049" w:hanging="360"/>
      </w:pPr>
      <w:rPr>
        <w:rFonts w:ascii="Symbol" w:hAnsi="Symbol" w:hint="default"/>
      </w:rPr>
    </w:lvl>
    <w:lvl w:ilvl="4" w:tplc="04270003" w:tentative="1">
      <w:start w:val="1"/>
      <w:numFmt w:val="bullet"/>
      <w:lvlText w:val="o"/>
      <w:lvlJc w:val="left"/>
      <w:pPr>
        <w:ind w:left="4769" w:hanging="360"/>
      </w:pPr>
      <w:rPr>
        <w:rFonts w:ascii="Courier New" w:hAnsi="Courier New" w:cs="Courier New" w:hint="default"/>
      </w:rPr>
    </w:lvl>
    <w:lvl w:ilvl="5" w:tplc="04270005" w:tentative="1">
      <w:start w:val="1"/>
      <w:numFmt w:val="bullet"/>
      <w:lvlText w:val=""/>
      <w:lvlJc w:val="left"/>
      <w:pPr>
        <w:ind w:left="5489" w:hanging="360"/>
      </w:pPr>
      <w:rPr>
        <w:rFonts w:ascii="Wingdings" w:hAnsi="Wingdings" w:hint="default"/>
      </w:rPr>
    </w:lvl>
    <w:lvl w:ilvl="6" w:tplc="04270001" w:tentative="1">
      <w:start w:val="1"/>
      <w:numFmt w:val="bullet"/>
      <w:lvlText w:val=""/>
      <w:lvlJc w:val="left"/>
      <w:pPr>
        <w:ind w:left="6209" w:hanging="360"/>
      </w:pPr>
      <w:rPr>
        <w:rFonts w:ascii="Symbol" w:hAnsi="Symbol" w:hint="default"/>
      </w:rPr>
    </w:lvl>
    <w:lvl w:ilvl="7" w:tplc="04270003" w:tentative="1">
      <w:start w:val="1"/>
      <w:numFmt w:val="bullet"/>
      <w:lvlText w:val="o"/>
      <w:lvlJc w:val="left"/>
      <w:pPr>
        <w:ind w:left="6929" w:hanging="360"/>
      </w:pPr>
      <w:rPr>
        <w:rFonts w:ascii="Courier New" w:hAnsi="Courier New" w:cs="Courier New" w:hint="default"/>
      </w:rPr>
    </w:lvl>
    <w:lvl w:ilvl="8" w:tplc="04270005" w:tentative="1">
      <w:start w:val="1"/>
      <w:numFmt w:val="bullet"/>
      <w:lvlText w:val=""/>
      <w:lvlJc w:val="left"/>
      <w:pPr>
        <w:ind w:left="7649" w:hanging="360"/>
      </w:pPr>
      <w:rPr>
        <w:rFonts w:ascii="Wingdings" w:hAnsi="Wingdings" w:hint="default"/>
      </w:rPr>
    </w:lvl>
  </w:abstractNum>
  <w:abstractNum w:abstractNumId="15">
    <w:nsid w:val="19AC1BCB"/>
    <w:multiLevelType w:val="hybridMultilevel"/>
    <w:tmpl w:val="3EFE24CE"/>
    <w:lvl w:ilvl="0" w:tplc="D51E8274">
      <w:start w:val="2012"/>
      <w:numFmt w:val="bullet"/>
      <w:lvlText w:val="-"/>
      <w:lvlJc w:val="left"/>
      <w:pPr>
        <w:ind w:left="720" w:hanging="360"/>
      </w:pPr>
      <w:rPr>
        <w:rFonts w:ascii="Times New Roman" w:eastAsia="MS Mincho" w:hAnsi="Times New Roman" w:cs="Times New Roman" w:hint="default"/>
        <w:b w:val="0"/>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1A6A0AA0"/>
    <w:multiLevelType w:val="hybridMultilevel"/>
    <w:tmpl w:val="2850F602"/>
    <w:lvl w:ilvl="0" w:tplc="D51E8274">
      <w:start w:val="2012"/>
      <w:numFmt w:val="bullet"/>
      <w:lvlText w:val="-"/>
      <w:lvlJc w:val="left"/>
      <w:pPr>
        <w:ind w:left="720" w:hanging="360"/>
      </w:pPr>
      <w:rPr>
        <w:rFonts w:ascii="Times New Roman" w:eastAsia="MS Mincho" w:hAnsi="Times New Roman" w:cs="Times New Roman" w:hint="default"/>
        <w:b w:val="0"/>
        <w:sz w:val="24"/>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1CF10BE6"/>
    <w:multiLevelType w:val="hybridMultilevel"/>
    <w:tmpl w:val="25849220"/>
    <w:lvl w:ilvl="0" w:tplc="D51E8274">
      <w:start w:val="2012"/>
      <w:numFmt w:val="bullet"/>
      <w:lvlText w:val="-"/>
      <w:lvlJc w:val="left"/>
      <w:pPr>
        <w:ind w:left="720" w:hanging="360"/>
      </w:pPr>
      <w:rPr>
        <w:rFonts w:ascii="Times New Roman" w:eastAsia="MS Mincho" w:hAnsi="Times New Roman" w:cs="Times New Roman"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E1248FC"/>
    <w:multiLevelType w:val="hybridMultilevel"/>
    <w:tmpl w:val="47701F0E"/>
    <w:lvl w:ilvl="0" w:tplc="D51E8274">
      <w:start w:val="2012"/>
      <w:numFmt w:val="bullet"/>
      <w:lvlText w:val="-"/>
      <w:lvlJc w:val="left"/>
      <w:pPr>
        <w:ind w:left="1344" w:hanging="360"/>
      </w:pPr>
      <w:rPr>
        <w:rFonts w:ascii="Times New Roman" w:eastAsia="MS Mincho" w:hAnsi="Times New Roman" w:cs="Times New Roman" w:hint="default"/>
        <w:b w:val="0"/>
        <w:sz w:val="24"/>
      </w:rPr>
    </w:lvl>
    <w:lvl w:ilvl="1" w:tplc="04270003" w:tentative="1">
      <w:start w:val="1"/>
      <w:numFmt w:val="bullet"/>
      <w:lvlText w:val="o"/>
      <w:lvlJc w:val="left"/>
      <w:pPr>
        <w:ind w:left="2064" w:hanging="360"/>
      </w:pPr>
      <w:rPr>
        <w:rFonts w:ascii="Courier New" w:hAnsi="Courier New" w:cs="Courier New" w:hint="default"/>
      </w:rPr>
    </w:lvl>
    <w:lvl w:ilvl="2" w:tplc="04270005" w:tentative="1">
      <w:start w:val="1"/>
      <w:numFmt w:val="bullet"/>
      <w:lvlText w:val=""/>
      <w:lvlJc w:val="left"/>
      <w:pPr>
        <w:ind w:left="2784" w:hanging="360"/>
      </w:pPr>
      <w:rPr>
        <w:rFonts w:ascii="Wingdings" w:hAnsi="Wingdings" w:hint="default"/>
      </w:rPr>
    </w:lvl>
    <w:lvl w:ilvl="3" w:tplc="04270001" w:tentative="1">
      <w:start w:val="1"/>
      <w:numFmt w:val="bullet"/>
      <w:lvlText w:val=""/>
      <w:lvlJc w:val="left"/>
      <w:pPr>
        <w:ind w:left="3504" w:hanging="360"/>
      </w:pPr>
      <w:rPr>
        <w:rFonts w:ascii="Symbol" w:hAnsi="Symbol" w:hint="default"/>
      </w:rPr>
    </w:lvl>
    <w:lvl w:ilvl="4" w:tplc="04270003" w:tentative="1">
      <w:start w:val="1"/>
      <w:numFmt w:val="bullet"/>
      <w:lvlText w:val="o"/>
      <w:lvlJc w:val="left"/>
      <w:pPr>
        <w:ind w:left="4224" w:hanging="360"/>
      </w:pPr>
      <w:rPr>
        <w:rFonts w:ascii="Courier New" w:hAnsi="Courier New" w:cs="Courier New" w:hint="default"/>
      </w:rPr>
    </w:lvl>
    <w:lvl w:ilvl="5" w:tplc="04270005" w:tentative="1">
      <w:start w:val="1"/>
      <w:numFmt w:val="bullet"/>
      <w:lvlText w:val=""/>
      <w:lvlJc w:val="left"/>
      <w:pPr>
        <w:ind w:left="4944" w:hanging="360"/>
      </w:pPr>
      <w:rPr>
        <w:rFonts w:ascii="Wingdings" w:hAnsi="Wingdings" w:hint="default"/>
      </w:rPr>
    </w:lvl>
    <w:lvl w:ilvl="6" w:tplc="04270001" w:tentative="1">
      <w:start w:val="1"/>
      <w:numFmt w:val="bullet"/>
      <w:lvlText w:val=""/>
      <w:lvlJc w:val="left"/>
      <w:pPr>
        <w:ind w:left="5664" w:hanging="360"/>
      </w:pPr>
      <w:rPr>
        <w:rFonts w:ascii="Symbol" w:hAnsi="Symbol" w:hint="default"/>
      </w:rPr>
    </w:lvl>
    <w:lvl w:ilvl="7" w:tplc="04270003" w:tentative="1">
      <w:start w:val="1"/>
      <w:numFmt w:val="bullet"/>
      <w:lvlText w:val="o"/>
      <w:lvlJc w:val="left"/>
      <w:pPr>
        <w:ind w:left="6384" w:hanging="360"/>
      </w:pPr>
      <w:rPr>
        <w:rFonts w:ascii="Courier New" w:hAnsi="Courier New" w:cs="Courier New" w:hint="default"/>
      </w:rPr>
    </w:lvl>
    <w:lvl w:ilvl="8" w:tplc="04270005" w:tentative="1">
      <w:start w:val="1"/>
      <w:numFmt w:val="bullet"/>
      <w:lvlText w:val=""/>
      <w:lvlJc w:val="left"/>
      <w:pPr>
        <w:ind w:left="7104" w:hanging="360"/>
      </w:pPr>
      <w:rPr>
        <w:rFonts w:ascii="Wingdings" w:hAnsi="Wingdings" w:hint="default"/>
      </w:rPr>
    </w:lvl>
  </w:abstractNum>
  <w:abstractNum w:abstractNumId="19">
    <w:nsid w:val="1E182DC0"/>
    <w:multiLevelType w:val="hybridMultilevel"/>
    <w:tmpl w:val="3694238E"/>
    <w:lvl w:ilvl="0" w:tplc="04270001">
      <w:start w:val="1"/>
      <w:numFmt w:val="bullet"/>
      <w:lvlText w:val=""/>
      <w:lvlJc w:val="left"/>
      <w:pPr>
        <w:ind w:left="1570" w:hanging="360"/>
      </w:pPr>
      <w:rPr>
        <w:rFonts w:ascii="Symbol" w:hAnsi="Symbol" w:hint="default"/>
      </w:rPr>
    </w:lvl>
    <w:lvl w:ilvl="1" w:tplc="04270003" w:tentative="1">
      <w:start w:val="1"/>
      <w:numFmt w:val="bullet"/>
      <w:lvlText w:val="o"/>
      <w:lvlJc w:val="left"/>
      <w:pPr>
        <w:ind w:left="2290" w:hanging="360"/>
      </w:pPr>
      <w:rPr>
        <w:rFonts w:ascii="Courier New" w:hAnsi="Courier New" w:cs="Courier New" w:hint="default"/>
      </w:rPr>
    </w:lvl>
    <w:lvl w:ilvl="2" w:tplc="04270005" w:tentative="1">
      <w:start w:val="1"/>
      <w:numFmt w:val="bullet"/>
      <w:lvlText w:val=""/>
      <w:lvlJc w:val="left"/>
      <w:pPr>
        <w:ind w:left="3010" w:hanging="360"/>
      </w:pPr>
      <w:rPr>
        <w:rFonts w:ascii="Wingdings" w:hAnsi="Wingdings" w:hint="default"/>
      </w:rPr>
    </w:lvl>
    <w:lvl w:ilvl="3" w:tplc="04270001" w:tentative="1">
      <w:start w:val="1"/>
      <w:numFmt w:val="bullet"/>
      <w:lvlText w:val=""/>
      <w:lvlJc w:val="left"/>
      <w:pPr>
        <w:ind w:left="3730" w:hanging="360"/>
      </w:pPr>
      <w:rPr>
        <w:rFonts w:ascii="Symbol" w:hAnsi="Symbol" w:hint="default"/>
      </w:rPr>
    </w:lvl>
    <w:lvl w:ilvl="4" w:tplc="04270003" w:tentative="1">
      <w:start w:val="1"/>
      <w:numFmt w:val="bullet"/>
      <w:lvlText w:val="o"/>
      <w:lvlJc w:val="left"/>
      <w:pPr>
        <w:ind w:left="4450" w:hanging="360"/>
      </w:pPr>
      <w:rPr>
        <w:rFonts w:ascii="Courier New" w:hAnsi="Courier New" w:cs="Courier New" w:hint="default"/>
      </w:rPr>
    </w:lvl>
    <w:lvl w:ilvl="5" w:tplc="04270005" w:tentative="1">
      <w:start w:val="1"/>
      <w:numFmt w:val="bullet"/>
      <w:lvlText w:val=""/>
      <w:lvlJc w:val="left"/>
      <w:pPr>
        <w:ind w:left="5170" w:hanging="360"/>
      </w:pPr>
      <w:rPr>
        <w:rFonts w:ascii="Wingdings" w:hAnsi="Wingdings" w:hint="default"/>
      </w:rPr>
    </w:lvl>
    <w:lvl w:ilvl="6" w:tplc="04270001" w:tentative="1">
      <w:start w:val="1"/>
      <w:numFmt w:val="bullet"/>
      <w:lvlText w:val=""/>
      <w:lvlJc w:val="left"/>
      <w:pPr>
        <w:ind w:left="5890" w:hanging="360"/>
      </w:pPr>
      <w:rPr>
        <w:rFonts w:ascii="Symbol" w:hAnsi="Symbol" w:hint="default"/>
      </w:rPr>
    </w:lvl>
    <w:lvl w:ilvl="7" w:tplc="04270003" w:tentative="1">
      <w:start w:val="1"/>
      <w:numFmt w:val="bullet"/>
      <w:lvlText w:val="o"/>
      <w:lvlJc w:val="left"/>
      <w:pPr>
        <w:ind w:left="6610" w:hanging="360"/>
      </w:pPr>
      <w:rPr>
        <w:rFonts w:ascii="Courier New" w:hAnsi="Courier New" w:cs="Courier New" w:hint="default"/>
      </w:rPr>
    </w:lvl>
    <w:lvl w:ilvl="8" w:tplc="04270005" w:tentative="1">
      <w:start w:val="1"/>
      <w:numFmt w:val="bullet"/>
      <w:lvlText w:val=""/>
      <w:lvlJc w:val="left"/>
      <w:pPr>
        <w:ind w:left="7330" w:hanging="360"/>
      </w:pPr>
      <w:rPr>
        <w:rFonts w:ascii="Wingdings" w:hAnsi="Wingdings" w:hint="default"/>
      </w:rPr>
    </w:lvl>
  </w:abstractNum>
  <w:abstractNum w:abstractNumId="20">
    <w:nsid w:val="22C1007D"/>
    <w:multiLevelType w:val="hybridMultilevel"/>
    <w:tmpl w:val="F3209784"/>
    <w:lvl w:ilvl="0" w:tplc="04270001">
      <w:start w:val="1"/>
      <w:numFmt w:val="bullet"/>
      <w:lvlText w:val=""/>
      <w:lvlJc w:val="left"/>
      <w:pPr>
        <w:ind w:left="1344" w:hanging="360"/>
      </w:pPr>
      <w:rPr>
        <w:rFonts w:ascii="Symbol" w:hAnsi="Symbol" w:hint="default"/>
      </w:rPr>
    </w:lvl>
    <w:lvl w:ilvl="1" w:tplc="04270003" w:tentative="1">
      <w:start w:val="1"/>
      <w:numFmt w:val="bullet"/>
      <w:lvlText w:val="o"/>
      <w:lvlJc w:val="left"/>
      <w:pPr>
        <w:ind w:left="2064" w:hanging="360"/>
      </w:pPr>
      <w:rPr>
        <w:rFonts w:ascii="Courier New" w:hAnsi="Courier New" w:cs="Courier New" w:hint="default"/>
      </w:rPr>
    </w:lvl>
    <w:lvl w:ilvl="2" w:tplc="04270005" w:tentative="1">
      <w:start w:val="1"/>
      <w:numFmt w:val="bullet"/>
      <w:lvlText w:val=""/>
      <w:lvlJc w:val="left"/>
      <w:pPr>
        <w:ind w:left="2784" w:hanging="360"/>
      </w:pPr>
      <w:rPr>
        <w:rFonts w:ascii="Wingdings" w:hAnsi="Wingdings" w:hint="default"/>
      </w:rPr>
    </w:lvl>
    <w:lvl w:ilvl="3" w:tplc="04270001" w:tentative="1">
      <w:start w:val="1"/>
      <w:numFmt w:val="bullet"/>
      <w:lvlText w:val=""/>
      <w:lvlJc w:val="left"/>
      <w:pPr>
        <w:ind w:left="3504" w:hanging="360"/>
      </w:pPr>
      <w:rPr>
        <w:rFonts w:ascii="Symbol" w:hAnsi="Symbol" w:hint="default"/>
      </w:rPr>
    </w:lvl>
    <w:lvl w:ilvl="4" w:tplc="04270003" w:tentative="1">
      <w:start w:val="1"/>
      <w:numFmt w:val="bullet"/>
      <w:lvlText w:val="o"/>
      <w:lvlJc w:val="left"/>
      <w:pPr>
        <w:ind w:left="4224" w:hanging="360"/>
      </w:pPr>
      <w:rPr>
        <w:rFonts w:ascii="Courier New" w:hAnsi="Courier New" w:cs="Courier New" w:hint="default"/>
      </w:rPr>
    </w:lvl>
    <w:lvl w:ilvl="5" w:tplc="04270005" w:tentative="1">
      <w:start w:val="1"/>
      <w:numFmt w:val="bullet"/>
      <w:lvlText w:val=""/>
      <w:lvlJc w:val="left"/>
      <w:pPr>
        <w:ind w:left="4944" w:hanging="360"/>
      </w:pPr>
      <w:rPr>
        <w:rFonts w:ascii="Wingdings" w:hAnsi="Wingdings" w:hint="default"/>
      </w:rPr>
    </w:lvl>
    <w:lvl w:ilvl="6" w:tplc="04270001" w:tentative="1">
      <w:start w:val="1"/>
      <w:numFmt w:val="bullet"/>
      <w:lvlText w:val=""/>
      <w:lvlJc w:val="left"/>
      <w:pPr>
        <w:ind w:left="5664" w:hanging="360"/>
      </w:pPr>
      <w:rPr>
        <w:rFonts w:ascii="Symbol" w:hAnsi="Symbol" w:hint="default"/>
      </w:rPr>
    </w:lvl>
    <w:lvl w:ilvl="7" w:tplc="04270003" w:tentative="1">
      <w:start w:val="1"/>
      <w:numFmt w:val="bullet"/>
      <w:lvlText w:val="o"/>
      <w:lvlJc w:val="left"/>
      <w:pPr>
        <w:ind w:left="6384" w:hanging="360"/>
      </w:pPr>
      <w:rPr>
        <w:rFonts w:ascii="Courier New" w:hAnsi="Courier New" w:cs="Courier New" w:hint="default"/>
      </w:rPr>
    </w:lvl>
    <w:lvl w:ilvl="8" w:tplc="04270005" w:tentative="1">
      <w:start w:val="1"/>
      <w:numFmt w:val="bullet"/>
      <w:lvlText w:val=""/>
      <w:lvlJc w:val="left"/>
      <w:pPr>
        <w:ind w:left="7104" w:hanging="360"/>
      </w:pPr>
      <w:rPr>
        <w:rFonts w:ascii="Wingdings" w:hAnsi="Wingdings" w:hint="default"/>
      </w:rPr>
    </w:lvl>
  </w:abstractNum>
  <w:abstractNum w:abstractNumId="21">
    <w:nsid w:val="23FC20FA"/>
    <w:multiLevelType w:val="hybridMultilevel"/>
    <w:tmpl w:val="92D2204C"/>
    <w:lvl w:ilvl="0" w:tplc="04270001">
      <w:start w:val="1"/>
      <w:numFmt w:val="bullet"/>
      <w:lvlText w:val=""/>
      <w:lvlJc w:val="left"/>
      <w:pPr>
        <w:ind w:left="1344" w:hanging="360"/>
      </w:pPr>
      <w:rPr>
        <w:rFonts w:ascii="Symbol" w:hAnsi="Symbol" w:hint="default"/>
      </w:rPr>
    </w:lvl>
    <w:lvl w:ilvl="1" w:tplc="04270003" w:tentative="1">
      <w:start w:val="1"/>
      <w:numFmt w:val="bullet"/>
      <w:lvlText w:val="o"/>
      <w:lvlJc w:val="left"/>
      <w:pPr>
        <w:ind w:left="2064" w:hanging="360"/>
      </w:pPr>
      <w:rPr>
        <w:rFonts w:ascii="Courier New" w:hAnsi="Courier New" w:cs="Courier New" w:hint="default"/>
      </w:rPr>
    </w:lvl>
    <w:lvl w:ilvl="2" w:tplc="04270005" w:tentative="1">
      <w:start w:val="1"/>
      <w:numFmt w:val="bullet"/>
      <w:lvlText w:val=""/>
      <w:lvlJc w:val="left"/>
      <w:pPr>
        <w:ind w:left="2784" w:hanging="360"/>
      </w:pPr>
      <w:rPr>
        <w:rFonts w:ascii="Wingdings" w:hAnsi="Wingdings" w:hint="default"/>
      </w:rPr>
    </w:lvl>
    <w:lvl w:ilvl="3" w:tplc="04270001" w:tentative="1">
      <w:start w:val="1"/>
      <w:numFmt w:val="bullet"/>
      <w:lvlText w:val=""/>
      <w:lvlJc w:val="left"/>
      <w:pPr>
        <w:ind w:left="3504" w:hanging="360"/>
      </w:pPr>
      <w:rPr>
        <w:rFonts w:ascii="Symbol" w:hAnsi="Symbol" w:hint="default"/>
      </w:rPr>
    </w:lvl>
    <w:lvl w:ilvl="4" w:tplc="04270003" w:tentative="1">
      <w:start w:val="1"/>
      <w:numFmt w:val="bullet"/>
      <w:lvlText w:val="o"/>
      <w:lvlJc w:val="left"/>
      <w:pPr>
        <w:ind w:left="4224" w:hanging="360"/>
      </w:pPr>
      <w:rPr>
        <w:rFonts w:ascii="Courier New" w:hAnsi="Courier New" w:cs="Courier New" w:hint="default"/>
      </w:rPr>
    </w:lvl>
    <w:lvl w:ilvl="5" w:tplc="04270005" w:tentative="1">
      <w:start w:val="1"/>
      <w:numFmt w:val="bullet"/>
      <w:lvlText w:val=""/>
      <w:lvlJc w:val="left"/>
      <w:pPr>
        <w:ind w:left="4944" w:hanging="360"/>
      </w:pPr>
      <w:rPr>
        <w:rFonts w:ascii="Wingdings" w:hAnsi="Wingdings" w:hint="default"/>
      </w:rPr>
    </w:lvl>
    <w:lvl w:ilvl="6" w:tplc="04270001" w:tentative="1">
      <w:start w:val="1"/>
      <w:numFmt w:val="bullet"/>
      <w:lvlText w:val=""/>
      <w:lvlJc w:val="left"/>
      <w:pPr>
        <w:ind w:left="5664" w:hanging="360"/>
      </w:pPr>
      <w:rPr>
        <w:rFonts w:ascii="Symbol" w:hAnsi="Symbol" w:hint="default"/>
      </w:rPr>
    </w:lvl>
    <w:lvl w:ilvl="7" w:tplc="04270003" w:tentative="1">
      <w:start w:val="1"/>
      <w:numFmt w:val="bullet"/>
      <w:lvlText w:val="o"/>
      <w:lvlJc w:val="left"/>
      <w:pPr>
        <w:ind w:left="6384" w:hanging="360"/>
      </w:pPr>
      <w:rPr>
        <w:rFonts w:ascii="Courier New" w:hAnsi="Courier New" w:cs="Courier New" w:hint="default"/>
      </w:rPr>
    </w:lvl>
    <w:lvl w:ilvl="8" w:tplc="04270005" w:tentative="1">
      <w:start w:val="1"/>
      <w:numFmt w:val="bullet"/>
      <w:lvlText w:val=""/>
      <w:lvlJc w:val="left"/>
      <w:pPr>
        <w:ind w:left="7104" w:hanging="360"/>
      </w:pPr>
      <w:rPr>
        <w:rFonts w:ascii="Wingdings" w:hAnsi="Wingdings" w:hint="default"/>
      </w:rPr>
    </w:lvl>
  </w:abstractNum>
  <w:abstractNum w:abstractNumId="22">
    <w:nsid w:val="24173CF5"/>
    <w:multiLevelType w:val="hybridMultilevel"/>
    <w:tmpl w:val="0A9C45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nsid w:val="2780017C"/>
    <w:multiLevelType w:val="hybridMultilevel"/>
    <w:tmpl w:val="33F818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27A76695"/>
    <w:multiLevelType w:val="hybridMultilevel"/>
    <w:tmpl w:val="7AEAD5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28D417FD"/>
    <w:multiLevelType w:val="hybridMultilevel"/>
    <w:tmpl w:val="2B301EA0"/>
    <w:lvl w:ilvl="0" w:tplc="04270001">
      <w:start w:val="1"/>
      <w:numFmt w:val="bullet"/>
      <w:lvlText w:val=""/>
      <w:lvlJc w:val="left"/>
      <w:pPr>
        <w:ind w:left="2203" w:hanging="360"/>
      </w:pPr>
      <w:rPr>
        <w:rFonts w:ascii="Symbol" w:hAnsi="Symbol" w:hint="default"/>
        <w:b w:val="0"/>
        <w:color w:val="auto"/>
        <w:sz w:val="24"/>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nsid w:val="29FB4CF2"/>
    <w:multiLevelType w:val="hybridMultilevel"/>
    <w:tmpl w:val="C85C0690"/>
    <w:lvl w:ilvl="0" w:tplc="1D84CDA4">
      <w:start w:val="13"/>
      <w:numFmt w:val="bullet"/>
      <w:lvlText w:val="-"/>
      <w:lvlJc w:val="left"/>
      <w:pPr>
        <w:ind w:left="819" w:hanging="360"/>
      </w:pPr>
      <w:rPr>
        <w:rFonts w:ascii="Times New Roman" w:eastAsia="Calibri" w:hAnsi="Times New Roman" w:cs="Times New Roman" w:hint="default"/>
        <w:color w:val="auto"/>
      </w:rPr>
    </w:lvl>
    <w:lvl w:ilvl="1" w:tplc="04270003" w:tentative="1">
      <w:start w:val="1"/>
      <w:numFmt w:val="bullet"/>
      <w:lvlText w:val="o"/>
      <w:lvlJc w:val="left"/>
      <w:pPr>
        <w:ind w:left="1539" w:hanging="360"/>
      </w:pPr>
      <w:rPr>
        <w:rFonts w:ascii="Courier New" w:hAnsi="Courier New" w:cs="Courier New" w:hint="default"/>
      </w:rPr>
    </w:lvl>
    <w:lvl w:ilvl="2" w:tplc="04270005" w:tentative="1">
      <w:start w:val="1"/>
      <w:numFmt w:val="bullet"/>
      <w:lvlText w:val=""/>
      <w:lvlJc w:val="left"/>
      <w:pPr>
        <w:ind w:left="2259" w:hanging="360"/>
      </w:pPr>
      <w:rPr>
        <w:rFonts w:ascii="Wingdings" w:hAnsi="Wingdings" w:hint="default"/>
      </w:rPr>
    </w:lvl>
    <w:lvl w:ilvl="3" w:tplc="04270001" w:tentative="1">
      <w:start w:val="1"/>
      <w:numFmt w:val="bullet"/>
      <w:lvlText w:val=""/>
      <w:lvlJc w:val="left"/>
      <w:pPr>
        <w:ind w:left="2979" w:hanging="360"/>
      </w:pPr>
      <w:rPr>
        <w:rFonts w:ascii="Symbol" w:hAnsi="Symbol" w:hint="default"/>
      </w:rPr>
    </w:lvl>
    <w:lvl w:ilvl="4" w:tplc="04270003" w:tentative="1">
      <w:start w:val="1"/>
      <w:numFmt w:val="bullet"/>
      <w:lvlText w:val="o"/>
      <w:lvlJc w:val="left"/>
      <w:pPr>
        <w:ind w:left="3699" w:hanging="360"/>
      </w:pPr>
      <w:rPr>
        <w:rFonts w:ascii="Courier New" w:hAnsi="Courier New" w:cs="Courier New" w:hint="default"/>
      </w:rPr>
    </w:lvl>
    <w:lvl w:ilvl="5" w:tplc="04270005" w:tentative="1">
      <w:start w:val="1"/>
      <w:numFmt w:val="bullet"/>
      <w:lvlText w:val=""/>
      <w:lvlJc w:val="left"/>
      <w:pPr>
        <w:ind w:left="4419" w:hanging="360"/>
      </w:pPr>
      <w:rPr>
        <w:rFonts w:ascii="Wingdings" w:hAnsi="Wingdings" w:hint="default"/>
      </w:rPr>
    </w:lvl>
    <w:lvl w:ilvl="6" w:tplc="04270001" w:tentative="1">
      <w:start w:val="1"/>
      <w:numFmt w:val="bullet"/>
      <w:lvlText w:val=""/>
      <w:lvlJc w:val="left"/>
      <w:pPr>
        <w:ind w:left="5139" w:hanging="360"/>
      </w:pPr>
      <w:rPr>
        <w:rFonts w:ascii="Symbol" w:hAnsi="Symbol" w:hint="default"/>
      </w:rPr>
    </w:lvl>
    <w:lvl w:ilvl="7" w:tplc="04270003" w:tentative="1">
      <w:start w:val="1"/>
      <w:numFmt w:val="bullet"/>
      <w:lvlText w:val="o"/>
      <w:lvlJc w:val="left"/>
      <w:pPr>
        <w:ind w:left="5859" w:hanging="360"/>
      </w:pPr>
      <w:rPr>
        <w:rFonts w:ascii="Courier New" w:hAnsi="Courier New" w:cs="Courier New" w:hint="default"/>
      </w:rPr>
    </w:lvl>
    <w:lvl w:ilvl="8" w:tplc="04270005" w:tentative="1">
      <w:start w:val="1"/>
      <w:numFmt w:val="bullet"/>
      <w:lvlText w:val=""/>
      <w:lvlJc w:val="left"/>
      <w:pPr>
        <w:ind w:left="6579" w:hanging="360"/>
      </w:pPr>
      <w:rPr>
        <w:rFonts w:ascii="Wingdings" w:hAnsi="Wingdings" w:hint="default"/>
      </w:rPr>
    </w:lvl>
  </w:abstractNum>
  <w:abstractNum w:abstractNumId="27">
    <w:nsid w:val="2F102F36"/>
    <w:multiLevelType w:val="hybridMultilevel"/>
    <w:tmpl w:val="CE262A94"/>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28">
    <w:nsid w:val="30F42CF4"/>
    <w:multiLevelType w:val="hybridMultilevel"/>
    <w:tmpl w:val="7062CB2E"/>
    <w:lvl w:ilvl="0" w:tplc="04270001">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31473A8C"/>
    <w:multiLevelType w:val="hybridMultilevel"/>
    <w:tmpl w:val="A29004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nsid w:val="32C44E89"/>
    <w:multiLevelType w:val="hybridMultilevel"/>
    <w:tmpl w:val="670217F8"/>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1">
    <w:nsid w:val="34460E15"/>
    <w:multiLevelType w:val="hybridMultilevel"/>
    <w:tmpl w:val="E0908A62"/>
    <w:lvl w:ilvl="0" w:tplc="04090001">
      <w:start w:val="1"/>
      <w:numFmt w:val="bullet"/>
      <w:lvlText w:val=""/>
      <w:lvlJc w:val="left"/>
      <w:pPr>
        <w:ind w:left="1344" w:hanging="360"/>
      </w:pPr>
      <w:rPr>
        <w:rFonts w:ascii="Symbol" w:hAnsi="Symbol" w:hint="default"/>
      </w:rPr>
    </w:lvl>
    <w:lvl w:ilvl="1" w:tplc="04270003" w:tentative="1">
      <w:start w:val="1"/>
      <w:numFmt w:val="bullet"/>
      <w:lvlText w:val="o"/>
      <w:lvlJc w:val="left"/>
      <w:pPr>
        <w:ind w:left="2064" w:hanging="360"/>
      </w:pPr>
      <w:rPr>
        <w:rFonts w:ascii="Courier New" w:hAnsi="Courier New" w:cs="Courier New" w:hint="default"/>
      </w:rPr>
    </w:lvl>
    <w:lvl w:ilvl="2" w:tplc="04270005" w:tentative="1">
      <w:start w:val="1"/>
      <w:numFmt w:val="bullet"/>
      <w:lvlText w:val=""/>
      <w:lvlJc w:val="left"/>
      <w:pPr>
        <w:ind w:left="2784" w:hanging="360"/>
      </w:pPr>
      <w:rPr>
        <w:rFonts w:ascii="Wingdings" w:hAnsi="Wingdings" w:hint="default"/>
      </w:rPr>
    </w:lvl>
    <w:lvl w:ilvl="3" w:tplc="04270001" w:tentative="1">
      <w:start w:val="1"/>
      <w:numFmt w:val="bullet"/>
      <w:lvlText w:val=""/>
      <w:lvlJc w:val="left"/>
      <w:pPr>
        <w:ind w:left="3504" w:hanging="360"/>
      </w:pPr>
      <w:rPr>
        <w:rFonts w:ascii="Symbol" w:hAnsi="Symbol" w:hint="default"/>
      </w:rPr>
    </w:lvl>
    <w:lvl w:ilvl="4" w:tplc="04270003" w:tentative="1">
      <w:start w:val="1"/>
      <w:numFmt w:val="bullet"/>
      <w:lvlText w:val="o"/>
      <w:lvlJc w:val="left"/>
      <w:pPr>
        <w:ind w:left="4224" w:hanging="360"/>
      </w:pPr>
      <w:rPr>
        <w:rFonts w:ascii="Courier New" w:hAnsi="Courier New" w:cs="Courier New" w:hint="default"/>
      </w:rPr>
    </w:lvl>
    <w:lvl w:ilvl="5" w:tplc="04270005" w:tentative="1">
      <w:start w:val="1"/>
      <w:numFmt w:val="bullet"/>
      <w:lvlText w:val=""/>
      <w:lvlJc w:val="left"/>
      <w:pPr>
        <w:ind w:left="4944" w:hanging="360"/>
      </w:pPr>
      <w:rPr>
        <w:rFonts w:ascii="Wingdings" w:hAnsi="Wingdings" w:hint="default"/>
      </w:rPr>
    </w:lvl>
    <w:lvl w:ilvl="6" w:tplc="04270001" w:tentative="1">
      <w:start w:val="1"/>
      <w:numFmt w:val="bullet"/>
      <w:lvlText w:val=""/>
      <w:lvlJc w:val="left"/>
      <w:pPr>
        <w:ind w:left="5664" w:hanging="360"/>
      </w:pPr>
      <w:rPr>
        <w:rFonts w:ascii="Symbol" w:hAnsi="Symbol" w:hint="default"/>
      </w:rPr>
    </w:lvl>
    <w:lvl w:ilvl="7" w:tplc="04270003" w:tentative="1">
      <w:start w:val="1"/>
      <w:numFmt w:val="bullet"/>
      <w:lvlText w:val="o"/>
      <w:lvlJc w:val="left"/>
      <w:pPr>
        <w:ind w:left="6384" w:hanging="360"/>
      </w:pPr>
      <w:rPr>
        <w:rFonts w:ascii="Courier New" w:hAnsi="Courier New" w:cs="Courier New" w:hint="default"/>
      </w:rPr>
    </w:lvl>
    <w:lvl w:ilvl="8" w:tplc="04270005" w:tentative="1">
      <w:start w:val="1"/>
      <w:numFmt w:val="bullet"/>
      <w:lvlText w:val=""/>
      <w:lvlJc w:val="left"/>
      <w:pPr>
        <w:ind w:left="7104" w:hanging="360"/>
      </w:pPr>
      <w:rPr>
        <w:rFonts w:ascii="Wingdings" w:hAnsi="Wingdings" w:hint="default"/>
      </w:rPr>
    </w:lvl>
  </w:abstractNum>
  <w:abstractNum w:abstractNumId="32">
    <w:nsid w:val="35F37C86"/>
    <w:multiLevelType w:val="hybridMultilevel"/>
    <w:tmpl w:val="CA8AAF7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nsid w:val="38D32AC5"/>
    <w:multiLevelType w:val="hybridMultilevel"/>
    <w:tmpl w:val="19285A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nsid w:val="3A225BE3"/>
    <w:multiLevelType w:val="hybridMultilevel"/>
    <w:tmpl w:val="95D8E5F4"/>
    <w:lvl w:ilvl="0" w:tplc="04270001">
      <w:start w:val="1"/>
      <w:numFmt w:val="bullet"/>
      <w:lvlText w:val=""/>
      <w:lvlJc w:val="left"/>
      <w:pPr>
        <w:ind w:left="1315" w:hanging="360"/>
      </w:pPr>
      <w:rPr>
        <w:rFonts w:ascii="Symbol" w:hAnsi="Symbol" w:hint="default"/>
      </w:rPr>
    </w:lvl>
    <w:lvl w:ilvl="1" w:tplc="04270003" w:tentative="1">
      <w:start w:val="1"/>
      <w:numFmt w:val="bullet"/>
      <w:lvlText w:val="o"/>
      <w:lvlJc w:val="left"/>
      <w:pPr>
        <w:ind w:left="2035" w:hanging="360"/>
      </w:pPr>
      <w:rPr>
        <w:rFonts w:ascii="Courier New" w:hAnsi="Courier New" w:cs="Courier New" w:hint="default"/>
      </w:rPr>
    </w:lvl>
    <w:lvl w:ilvl="2" w:tplc="04270005" w:tentative="1">
      <w:start w:val="1"/>
      <w:numFmt w:val="bullet"/>
      <w:lvlText w:val=""/>
      <w:lvlJc w:val="left"/>
      <w:pPr>
        <w:ind w:left="2755" w:hanging="360"/>
      </w:pPr>
      <w:rPr>
        <w:rFonts w:ascii="Wingdings" w:hAnsi="Wingdings" w:hint="default"/>
      </w:rPr>
    </w:lvl>
    <w:lvl w:ilvl="3" w:tplc="04270001" w:tentative="1">
      <w:start w:val="1"/>
      <w:numFmt w:val="bullet"/>
      <w:lvlText w:val=""/>
      <w:lvlJc w:val="left"/>
      <w:pPr>
        <w:ind w:left="3475" w:hanging="360"/>
      </w:pPr>
      <w:rPr>
        <w:rFonts w:ascii="Symbol" w:hAnsi="Symbol" w:hint="default"/>
      </w:rPr>
    </w:lvl>
    <w:lvl w:ilvl="4" w:tplc="04270003" w:tentative="1">
      <w:start w:val="1"/>
      <w:numFmt w:val="bullet"/>
      <w:lvlText w:val="o"/>
      <w:lvlJc w:val="left"/>
      <w:pPr>
        <w:ind w:left="4195" w:hanging="360"/>
      </w:pPr>
      <w:rPr>
        <w:rFonts w:ascii="Courier New" w:hAnsi="Courier New" w:cs="Courier New" w:hint="default"/>
      </w:rPr>
    </w:lvl>
    <w:lvl w:ilvl="5" w:tplc="04270005" w:tentative="1">
      <w:start w:val="1"/>
      <w:numFmt w:val="bullet"/>
      <w:lvlText w:val=""/>
      <w:lvlJc w:val="left"/>
      <w:pPr>
        <w:ind w:left="4915" w:hanging="360"/>
      </w:pPr>
      <w:rPr>
        <w:rFonts w:ascii="Wingdings" w:hAnsi="Wingdings" w:hint="default"/>
      </w:rPr>
    </w:lvl>
    <w:lvl w:ilvl="6" w:tplc="04270001" w:tentative="1">
      <w:start w:val="1"/>
      <w:numFmt w:val="bullet"/>
      <w:lvlText w:val=""/>
      <w:lvlJc w:val="left"/>
      <w:pPr>
        <w:ind w:left="5635" w:hanging="360"/>
      </w:pPr>
      <w:rPr>
        <w:rFonts w:ascii="Symbol" w:hAnsi="Symbol" w:hint="default"/>
      </w:rPr>
    </w:lvl>
    <w:lvl w:ilvl="7" w:tplc="04270003" w:tentative="1">
      <w:start w:val="1"/>
      <w:numFmt w:val="bullet"/>
      <w:lvlText w:val="o"/>
      <w:lvlJc w:val="left"/>
      <w:pPr>
        <w:ind w:left="6355" w:hanging="360"/>
      </w:pPr>
      <w:rPr>
        <w:rFonts w:ascii="Courier New" w:hAnsi="Courier New" w:cs="Courier New" w:hint="default"/>
      </w:rPr>
    </w:lvl>
    <w:lvl w:ilvl="8" w:tplc="04270005" w:tentative="1">
      <w:start w:val="1"/>
      <w:numFmt w:val="bullet"/>
      <w:lvlText w:val=""/>
      <w:lvlJc w:val="left"/>
      <w:pPr>
        <w:ind w:left="7075" w:hanging="360"/>
      </w:pPr>
      <w:rPr>
        <w:rFonts w:ascii="Wingdings" w:hAnsi="Wingdings" w:hint="default"/>
      </w:rPr>
    </w:lvl>
  </w:abstractNum>
  <w:abstractNum w:abstractNumId="35">
    <w:nsid w:val="3AD53245"/>
    <w:multiLevelType w:val="hybridMultilevel"/>
    <w:tmpl w:val="227E935A"/>
    <w:lvl w:ilvl="0" w:tplc="04270001">
      <w:start w:val="1"/>
      <w:numFmt w:val="bullet"/>
      <w:lvlText w:val=""/>
      <w:lvlJc w:val="left"/>
      <w:pPr>
        <w:ind w:left="720" w:hanging="360"/>
      </w:pPr>
      <w:rPr>
        <w:rFonts w:ascii="Symbol" w:hAnsi="Symbol" w:hint="default"/>
        <w:b w:val="0"/>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nsid w:val="3AF57F46"/>
    <w:multiLevelType w:val="hybridMultilevel"/>
    <w:tmpl w:val="ED8E0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C135387"/>
    <w:multiLevelType w:val="hybridMultilevel"/>
    <w:tmpl w:val="510EDE6A"/>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38">
    <w:nsid w:val="3EF32BB3"/>
    <w:multiLevelType w:val="hybridMultilevel"/>
    <w:tmpl w:val="F5A6624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nsid w:val="3FD872C0"/>
    <w:multiLevelType w:val="hybridMultilevel"/>
    <w:tmpl w:val="618E1976"/>
    <w:lvl w:ilvl="0" w:tplc="04270001">
      <w:start w:val="1"/>
      <w:numFmt w:val="bullet"/>
      <w:lvlText w:val=""/>
      <w:lvlJc w:val="left"/>
      <w:pPr>
        <w:ind w:left="720" w:hanging="360"/>
      </w:pPr>
      <w:rPr>
        <w:rFonts w:ascii="Symbol" w:hAnsi="Symbol" w:hint="default"/>
      </w:rPr>
    </w:lvl>
    <w:lvl w:ilvl="1" w:tplc="D51E8274">
      <w:start w:val="2012"/>
      <w:numFmt w:val="bullet"/>
      <w:lvlText w:val="-"/>
      <w:lvlJc w:val="left"/>
      <w:pPr>
        <w:ind w:left="1440" w:hanging="360"/>
      </w:pPr>
      <w:rPr>
        <w:rFonts w:ascii="Times New Roman" w:eastAsia="MS Mincho" w:hAnsi="Times New Roman" w:cs="Times New Roman" w:hint="default"/>
        <w:b w:val="0"/>
        <w:sz w:val="24"/>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nsid w:val="405954F0"/>
    <w:multiLevelType w:val="multilevel"/>
    <w:tmpl w:val="7AAC8F5C"/>
    <w:lvl w:ilvl="0">
      <w:start w:val="13"/>
      <w:numFmt w:val="decimal"/>
      <w:lvlText w:val="%1"/>
      <w:lvlJc w:val="left"/>
      <w:pPr>
        <w:ind w:left="600" w:hanging="600"/>
      </w:pPr>
      <w:rPr>
        <w:rFonts w:hint="default"/>
        <w:b/>
        <w:i/>
      </w:rPr>
    </w:lvl>
    <w:lvl w:ilvl="1">
      <w:start w:val="1"/>
      <w:numFmt w:val="decimal"/>
      <w:lvlText w:val="%1.%2"/>
      <w:lvlJc w:val="left"/>
      <w:pPr>
        <w:ind w:left="600" w:hanging="600"/>
      </w:pPr>
      <w:rPr>
        <w:rFonts w:hint="default"/>
        <w:b/>
        <w:i/>
      </w:rPr>
    </w:lvl>
    <w:lvl w:ilvl="2">
      <w:start w:val="2"/>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41">
    <w:nsid w:val="42B5513B"/>
    <w:multiLevelType w:val="hybridMultilevel"/>
    <w:tmpl w:val="EFEA75B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2">
    <w:nsid w:val="44FB0DFE"/>
    <w:multiLevelType w:val="hybridMultilevel"/>
    <w:tmpl w:val="DF5A23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nsid w:val="4B0A7E46"/>
    <w:multiLevelType w:val="hybridMultilevel"/>
    <w:tmpl w:val="26423C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nsid w:val="4B484B20"/>
    <w:multiLevelType w:val="hybridMultilevel"/>
    <w:tmpl w:val="B986EC90"/>
    <w:lvl w:ilvl="0" w:tplc="D51E8274">
      <w:start w:val="2012"/>
      <w:numFmt w:val="bullet"/>
      <w:lvlText w:val="-"/>
      <w:lvlJc w:val="left"/>
      <w:pPr>
        <w:ind w:left="1440" w:hanging="360"/>
      </w:pPr>
      <w:rPr>
        <w:rFonts w:ascii="Times New Roman" w:eastAsia="MS Mincho" w:hAnsi="Times New Roman" w:cs="Times New Roman" w:hint="default"/>
        <w:b w:val="0"/>
        <w:sz w:val="24"/>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5">
    <w:nsid w:val="4CF219BC"/>
    <w:multiLevelType w:val="singleLevel"/>
    <w:tmpl w:val="991EBEF6"/>
    <w:name w:val="Point__332"/>
    <w:lvl w:ilvl="0">
      <w:start w:val="1"/>
      <w:numFmt w:val="decimal"/>
      <w:pStyle w:val="Considrant"/>
      <w:lvlText w:val="(%1)"/>
      <w:lvlJc w:val="left"/>
      <w:pPr>
        <w:tabs>
          <w:tab w:val="num" w:pos="709"/>
        </w:tabs>
        <w:ind w:left="709" w:hanging="709"/>
      </w:pPr>
    </w:lvl>
  </w:abstractNum>
  <w:abstractNum w:abstractNumId="46">
    <w:nsid w:val="4DB4487C"/>
    <w:multiLevelType w:val="hybridMultilevel"/>
    <w:tmpl w:val="FC8651A4"/>
    <w:lvl w:ilvl="0" w:tplc="3E62C844">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nsid w:val="4DD11014"/>
    <w:multiLevelType w:val="hybridMultilevel"/>
    <w:tmpl w:val="E3F029DA"/>
    <w:lvl w:ilvl="0" w:tplc="04270001">
      <w:start w:val="1"/>
      <w:numFmt w:val="bullet"/>
      <w:lvlText w:val=""/>
      <w:lvlJc w:val="left"/>
      <w:pPr>
        <w:ind w:left="1344" w:hanging="360"/>
      </w:pPr>
      <w:rPr>
        <w:rFonts w:ascii="Symbol" w:hAnsi="Symbol" w:hint="default"/>
      </w:rPr>
    </w:lvl>
    <w:lvl w:ilvl="1" w:tplc="04270003" w:tentative="1">
      <w:start w:val="1"/>
      <w:numFmt w:val="bullet"/>
      <w:lvlText w:val="o"/>
      <w:lvlJc w:val="left"/>
      <w:pPr>
        <w:ind w:left="2064" w:hanging="360"/>
      </w:pPr>
      <w:rPr>
        <w:rFonts w:ascii="Courier New" w:hAnsi="Courier New" w:cs="Courier New" w:hint="default"/>
      </w:rPr>
    </w:lvl>
    <w:lvl w:ilvl="2" w:tplc="04270005" w:tentative="1">
      <w:start w:val="1"/>
      <w:numFmt w:val="bullet"/>
      <w:lvlText w:val=""/>
      <w:lvlJc w:val="left"/>
      <w:pPr>
        <w:ind w:left="2784" w:hanging="360"/>
      </w:pPr>
      <w:rPr>
        <w:rFonts w:ascii="Wingdings" w:hAnsi="Wingdings" w:hint="default"/>
      </w:rPr>
    </w:lvl>
    <w:lvl w:ilvl="3" w:tplc="04270001" w:tentative="1">
      <w:start w:val="1"/>
      <w:numFmt w:val="bullet"/>
      <w:lvlText w:val=""/>
      <w:lvlJc w:val="left"/>
      <w:pPr>
        <w:ind w:left="3504" w:hanging="360"/>
      </w:pPr>
      <w:rPr>
        <w:rFonts w:ascii="Symbol" w:hAnsi="Symbol" w:hint="default"/>
      </w:rPr>
    </w:lvl>
    <w:lvl w:ilvl="4" w:tplc="04270003" w:tentative="1">
      <w:start w:val="1"/>
      <w:numFmt w:val="bullet"/>
      <w:lvlText w:val="o"/>
      <w:lvlJc w:val="left"/>
      <w:pPr>
        <w:ind w:left="4224" w:hanging="360"/>
      </w:pPr>
      <w:rPr>
        <w:rFonts w:ascii="Courier New" w:hAnsi="Courier New" w:cs="Courier New" w:hint="default"/>
      </w:rPr>
    </w:lvl>
    <w:lvl w:ilvl="5" w:tplc="04270005" w:tentative="1">
      <w:start w:val="1"/>
      <w:numFmt w:val="bullet"/>
      <w:lvlText w:val=""/>
      <w:lvlJc w:val="left"/>
      <w:pPr>
        <w:ind w:left="4944" w:hanging="360"/>
      </w:pPr>
      <w:rPr>
        <w:rFonts w:ascii="Wingdings" w:hAnsi="Wingdings" w:hint="default"/>
      </w:rPr>
    </w:lvl>
    <w:lvl w:ilvl="6" w:tplc="04270001" w:tentative="1">
      <w:start w:val="1"/>
      <w:numFmt w:val="bullet"/>
      <w:lvlText w:val=""/>
      <w:lvlJc w:val="left"/>
      <w:pPr>
        <w:ind w:left="5664" w:hanging="360"/>
      </w:pPr>
      <w:rPr>
        <w:rFonts w:ascii="Symbol" w:hAnsi="Symbol" w:hint="default"/>
      </w:rPr>
    </w:lvl>
    <w:lvl w:ilvl="7" w:tplc="04270003" w:tentative="1">
      <w:start w:val="1"/>
      <w:numFmt w:val="bullet"/>
      <w:lvlText w:val="o"/>
      <w:lvlJc w:val="left"/>
      <w:pPr>
        <w:ind w:left="6384" w:hanging="360"/>
      </w:pPr>
      <w:rPr>
        <w:rFonts w:ascii="Courier New" w:hAnsi="Courier New" w:cs="Courier New" w:hint="default"/>
      </w:rPr>
    </w:lvl>
    <w:lvl w:ilvl="8" w:tplc="04270005" w:tentative="1">
      <w:start w:val="1"/>
      <w:numFmt w:val="bullet"/>
      <w:lvlText w:val=""/>
      <w:lvlJc w:val="left"/>
      <w:pPr>
        <w:ind w:left="7104" w:hanging="360"/>
      </w:pPr>
      <w:rPr>
        <w:rFonts w:ascii="Wingdings" w:hAnsi="Wingdings" w:hint="default"/>
      </w:rPr>
    </w:lvl>
  </w:abstractNum>
  <w:abstractNum w:abstractNumId="48">
    <w:nsid w:val="4ECE7487"/>
    <w:multiLevelType w:val="hybridMultilevel"/>
    <w:tmpl w:val="70C81F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nsid w:val="521544BE"/>
    <w:multiLevelType w:val="hybridMultilevel"/>
    <w:tmpl w:val="D0FA8692"/>
    <w:lvl w:ilvl="0" w:tplc="04270001">
      <w:start w:val="1"/>
      <w:numFmt w:val="bullet"/>
      <w:lvlText w:val=""/>
      <w:lvlJc w:val="left"/>
      <w:pPr>
        <w:ind w:left="984" w:hanging="360"/>
      </w:pPr>
      <w:rPr>
        <w:rFonts w:ascii="Symbol" w:hAnsi="Symbol" w:hint="default"/>
      </w:rPr>
    </w:lvl>
    <w:lvl w:ilvl="1" w:tplc="04270003" w:tentative="1">
      <w:start w:val="1"/>
      <w:numFmt w:val="bullet"/>
      <w:lvlText w:val="o"/>
      <w:lvlJc w:val="left"/>
      <w:pPr>
        <w:ind w:left="1704" w:hanging="360"/>
      </w:pPr>
      <w:rPr>
        <w:rFonts w:ascii="Courier New" w:hAnsi="Courier New" w:cs="Courier New" w:hint="default"/>
      </w:rPr>
    </w:lvl>
    <w:lvl w:ilvl="2" w:tplc="04270005" w:tentative="1">
      <w:start w:val="1"/>
      <w:numFmt w:val="bullet"/>
      <w:lvlText w:val=""/>
      <w:lvlJc w:val="left"/>
      <w:pPr>
        <w:ind w:left="2424" w:hanging="360"/>
      </w:pPr>
      <w:rPr>
        <w:rFonts w:ascii="Wingdings" w:hAnsi="Wingdings" w:hint="default"/>
      </w:rPr>
    </w:lvl>
    <w:lvl w:ilvl="3" w:tplc="04270001" w:tentative="1">
      <w:start w:val="1"/>
      <w:numFmt w:val="bullet"/>
      <w:lvlText w:val=""/>
      <w:lvlJc w:val="left"/>
      <w:pPr>
        <w:ind w:left="3144" w:hanging="360"/>
      </w:pPr>
      <w:rPr>
        <w:rFonts w:ascii="Symbol" w:hAnsi="Symbol" w:hint="default"/>
      </w:rPr>
    </w:lvl>
    <w:lvl w:ilvl="4" w:tplc="04270003" w:tentative="1">
      <w:start w:val="1"/>
      <w:numFmt w:val="bullet"/>
      <w:lvlText w:val="o"/>
      <w:lvlJc w:val="left"/>
      <w:pPr>
        <w:ind w:left="3864" w:hanging="360"/>
      </w:pPr>
      <w:rPr>
        <w:rFonts w:ascii="Courier New" w:hAnsi="Courier New" w:cs="Courier New" w:hint="default"/>
      </w:rPr>
    </w:lvl>
    <w:lvl w:ilvl="5" w:tplc="04270005" w:tentative="1">
      <w:start w:val="1"/>
      <w:numFmt w:val="bullet"/>
      <w:lvlText w:val=""/>
      <w:lvlJc w:val="left"/>
      <w:pPr>
        <w:ind w:left="4584" w:hanging="360"/>
      </w:pPr>
      <w:rPr>
        <w:rFonts w:ascii="Wingdings" w:hAnsi="Wingdings" w:hint="default"/>
      </w:rPr>
    </w:lvl>
    <w:lvl w:ilvl="6" w:tplc="04270001" w:tentative="1">
      <w:start w:val="1"/>
      <w:numFmt w:val="bullet"/>
      <w:lvlText w:val=""/>
      <w:lvlJc w:val="left"/>
      <w:pPr>
        <w:ind w:left="5304" w:hanging="360"/>
      </w:pPr>
      <w:rPr>
        <w:rFonts w:ascii="Symbol" w:hAnsi="Symbol" w:hint="default"/>
      </w:rPr>
    </w:lvl>
    <w:lvl w:ilvl="7" w:tplc="04270003" w:tentative="1">
      <w:start w:val="1"/>
      <w:numFmt w:val="bullet"/>
      <w:lvlText w:val="o"/>
      <w:lvlJc w:val="left"/>
      <w:pPr>
        <w:ind w:left="6024" w:hanging="360"/>
      </w:pPr>
      <w:rPr>
        <w:rFonts w:ascii="Courier New" w:hAnsi="Courier New" w:cs="Courier New" w:hint="default"/>
      </w:rPr>
    </w:lvl>
    <w:lvl w:ilvl="8" w:tplc="04270005" w:tentative="1">
      <w:start w:val="1"/>
      <w:numFmt w:val="bullet"/>
      <w:lvlText w:val=""/>
      <w:lvlJc w:val="left"/>
      <w:pPr>
        <w:ind w:left="6744" w:hanging="360"/>
      </w:pPr>
      <w:rPr>
        <w:rFonts w:ascii="Wingdings" w:hAnsi="Wingdings" w:hint="default"/>
      </w:rPr>
    </w:lvl>
  </w:abstractNum>
  <w:abstractNum w:abstractNumId="50">
    <w:nsid w:val="53FE7B04"/>
    <w:multiLevelType w:val="hybridMultilevel"/>
    <w:tmpl w:val="3D8CA6E8"/>
    <w:lvl w:ilvl="0" w:tplc="D73482E2">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nsid w:val="566F22D4"/>
    <w:multiLevelType w:val="hybridMultilevel"/>
    <w:tmpl w:val="ACE68280"/>
    <w:lvl w:ilvl="0" w:tplc="04090001">
      <w:start w:val="1"/>
      <w:numFmt w:val="bullet"/>
      <w:lvlText w:val=""/>
      <w:lvlJc w:val="left"/>
      <w:pPr>
        <w:ind w:left="1344" w:hanging="360"/>
      </w:pPr>
      <w:rPr>
        <w:rFonts w:ascii="Symbol" w:hAnsi="Symbol" w:hint="default"/>
      </w:rPr>
    </w:lvl>
    <w:lvl w:ilvl="1" w:tplc="04270003" w:tentative="1">
      <w:start w:val="1"/>
      <w:numFmt w:val="bullet"/>
      <w:lvlText w:val="o"/>
      <w:lvlJc w:val="left"/>
      <w:pPr>
        <w:ind w:left="2064" w:hanging="360"/>
      </w:pPr>
      <w:rPr>
        <w:rFonts w:ascii="Courier New" w:hAnsi="Courier New" w:cs="Courier New" w:hint="default"/>
      </w:rPr>
    </w:lvl>
    <w:lvl w:ilvl="2" w:tplc="04270005" w:tentative="1">
      <w:start w:val="1"/>
      <w:numFmt w:val="bullet"/>
      <w:lvlText w:val=""/>
      <w:lvlJc w:val="left"/>
      <w:pPr>
        <w:ind w:left="2784" w:hanging="360"/>
      </w:pPr>
      <w:rPr>
        <w:rFonts w:ascii="Wingdings" w:hAnsi="Wingdings" w:hint="default"/>
      </w:rPr>
    </w:lvl>
    <w:lvl w:ilvl="3" w:tplc="04270001" w:tentative="1">
      <w:start w:val="1"/>
      <w:numFmt w:val="bullet"/>
      <w:lvlText w:val=""/>
      <w:lvlJc w:val="left"/>
      <w:pPr>
        <w:ind w:left="3504" w:hanging="360"/>
      </w:pPr>
      <w:rPr>
        <w:rFonts w:ascii="Symbol" w:hAnsi="Symbol" w:hint="default"/>
      </w:rPr>
    </w:lvl>
    <w:lvl w:ilvl="4" w:tplc="04270003" w:tentative="1">
      <w:start w:val="1"/>
      <w:numFmt w:val="bullet"/>
      <w:lvlText w:val="o"/>
      <w:lvlJc w:val="left"/>
      <w:pPr>
        <w:ind w:left="4224" w:hanging="360"/>
      </w:pPr>
      <w:rPr>
        <w:rFonts w:ascii="Courier New" w:hAnsi="Courier New" w:cs="Courier New" w:hint="default"/>
      </w:rPr>
    </w:lvl>
    <w:lvl w:ilvl="5" w:tplc="04270005" w:tentative="1">
      <w:start w:val="1"/>
      <w:numFmt w:val="bullet"/>
      <w:lvlText w:val=""/>
      <w:lvlJc w:val="left"/>
      <w:pPr>
        <w:ind w:left="4944" w:hanging="360"/>
      </w:pPr>
      <w:rPr>
        <w:rFonts w:ascii="Wingdings" w:hAnsi="Wingdings" w:hint="default"/>
      </w:rPr>
    </w:lvl>
    <w:lvl w:ilvl="6" w:tplc="04270001" w:tentative="1">
      <w:start w:val="1"/>
      <w:numFmt w:val="bullet"/>
      <w:lvlText w:val=""/>
      <w:lvlJc w:val="left"/>
      <w:pPr>
        <w:ind w:left="5664" w:hanging="360"/>
      </w:pPr>
      <w:rPr>
        <w:rFonts w:ascii="Symbol" w:hAnsi="Symbol" w:hint="default"/>
      </w:rPr>
    </w:lvl>
    <w:lvl w:ilvl="7" w:tplc="04270003" w:tentative="1">
      <w:start w:val="1"/>
      <w:numFmt w:val="bullet"/>
      <w:lvlText w:val="o"/>
      <w:lvlJc w:val="left"/>
      <w:pPr>
        <w:ind w:left="6384" w:hanging="360"/>
      </w:pPr>
      <w:rPr>
        <w:rFonts w:ascii="Courier New" w:hAnsi="Courier New" w:cs="Courier New" w:hint="default"/>
      </w:rPr>
    </w:lvl>
    <w:lvl w:ilvl="8" w:tplc="04270005" w:tentative="1">
      <w:start w:val="1"/>
      <w:numFmt w:val="bullet"/>
      <w:lvlText w:val=""/>
      <w:lvlJc w:val="left"/>
      <w:pPr>
        <w:ind w:left="7104" w:hanging="360"/>
      </w:pPr>
      <w:rPr>
        <w:rFonts w:ascii="Wingdings" w:hAnsi="Wingdings" w:hint="default"/>
      </w:rPr>
    </w:lvl>
  </w:abstractNum>
  <w:abstractNum w:abstractNumId="52">
    <w:nsid w:val="56C1636D"/>
    <w:multiLevelType w:val="hybridMultilevel"/>
    <w:tmpl w:val="3EC433D2"/>
    <w:lvl w:ilvl="0" w:tplc="04270001">
      <w:start w:val="1"/>
      <w:numFmt w:val="bullet"/>
      <w:lvlText w:val=""/>
      <w:lvlJc w:val="left"/>
      <w:pPr>
        <w:ind w:left="1344" w:hanging="360"/>
      </w:pPr>
      <w:rPr>
        <w:rFonts w:ascii="Symbol" w:hAnsi="Symbol" w:hint="default"/>
      </w:rPr>
    </w:lvl>
    <w:lvl w:ilvl="1" w:tplc="04270003" w:tentative="1">
      <w:start w:val="1"/>
      <w:numFmt w:val="bullet"/>
      <w:lvlText w:val="o"/>
      <w:lvlJc w:val="left"/>
      <w:pPr>
        <w:ind w:left="2064" w:hanging="360"/>
      </w:pPr>
      <w:rPr>
        <w:rFonts w:ascii="Courier New" w:hAnsi="Courier New" w:cs="Courier New" w:hint="default"/>
      </w:rPr>
    </w:lvl>
    <w:lvl w:ilvl="2" w:tplc="04270005" w:tentative="1">
      <w:start w:val="1"/>
      <w:numFmt w:val="bullet"/>
      <w:lvlText w:val=""/>
      <w:lvlJc w:val="left"/>
      <w:pPr>
        <w:ind w:left="2784" w:hanging="360"/>
      </w:pPr>
      <w:rPr>
        <w:rFonts w:ascii="Wingdings" w:hAnsi="Wingdings" w:hint="default"/>
      </w:rPr>
    </w:lvl>
    <w:lvl w:ilvl="3" w:tplc="04270001" w:tentative="1">
      <w:start w:val="1"/>
      <w:numFmt w:val="bullet"/>
      <w:lvlText w:val=""/>
      <w:lvlJc w:val="left"/>
      <w:pPr>
        <w:ind w:left="3504" w:hanging="360"/>
      </w:pPr>
      <w:rPr>
        <w:rFonts w:ascii="Symbol" w:hAnsi="Symbol" w:hint="default"/>
      </w:rPr>
    </w:lvl>
    <w:lvl w:ilvl="4" w:tplc="04270003" w:tentative="1">
      <w:start w:val="1"/>
      <w:numFmt w:val="bullet"/>
      <w:lvlText w:val="o"/>
      <w:lvlJc w:val="left"/>
      <w:pPr>
        <w:ind w:left="4224" w:hanging="360"/>
      </w:pPr>
      <w:rPr>
        <w:rFonts w:ascii="Courier New" w:hAnsi="Courier New" w:cs="Courier New" w:hint="default"/>
      </w:rPr>
    </w:lvl>
    <w:lvl w:ilvl="5" w:tplc="04270005" w:tentative="1">
      <w:start w:val="1"/>
      <w:numFmt w:val="bullet"/>
      <w:lvlText w:val=""/>
      <w:lvlJc w:val="left"/>
      <w:pPr>
        <w:ind w:left="4944" w:hanging="360"/>
      </w:pPr>
      <w:rPr>
        <w:rFonts w:ascii="Wingdings" w:hAnsi="Wingdings" w:hint="default"/>
      </w:rPr>
    </w:lvl>
    <w:lvl w:ilvl="6" w:tplc="04270001" w:tentative="1">
      <w:start w:val="1"/>
      <w:numFmt w:val="bullet"/>
      <w:lvlText w:val=""/>
      <w:lvlJc w:val="left"/>
      <w:pPr>
        <w:ind w:left="5664" w:hanging="360"/>
      </w:pPr>
      <w:rPr>
        <w:rFonts w:ascii="Symbol" w:hAnsi="Symbol" w:hint="default"/>
      </w:rPr>
    </w:lvl>
    <w:lvl w:ilvl="7" w:tplc="04270003" w:tentative="1">
      <w:start w:val="1"/>
      <w:numFmt w:val="bullet"/>
      <w:lvlText w:val="o"/>
      <w:lvlJc w:val="left"/>
      <w:pPr>
        <w:ind w:left="6384" w:hanging="360"/>
      </w:pPr>
      <w:rPr>
        <w:rFonts w:ascii="Courier New" w:hAnsi="Courier New" w:cs="Courier New" w:hint="default"/>
      </w:rPr>
    </w:lvl>
    <w:lvl w:ilvl="8" w:tplc="04270005" w:tentative="1">
      <w:start w:val="1"/>
      <w:numFmt w:val="bullet"/>
      <w:lvlText w:val=""/>
      <w:lvlJc w:val="left"/>
      <w:pPr>
        <w:ind w:left="7104" w:hanging="360"/>
      </w:pPr>
      <w:rPr>
        <w:rFonts w:ascii="Wingdings" w:hAnsi="Wingdings" w:hint="default"/>
      </w:rPr>
    </w:lvl>
  </w:abstractNum>
  <w:abstractNum w:abstractNumId="53">
    <w:nsid w:val="59F976D5"/>
    <w:multiLevelType w:val="hybridMultilevel"/>
    <w:tmpl w:val="9B38448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nsid w:val="5A7D457A"/>
    <w:multiLevelType w:val="hybridMultilevel"/>
    <w:tmpl w:val="4F70EB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nsid w:val="5D6E1A86"/>
    <w:multiLevelType w:val="hybridMultilevel"/>
    <w:tmpl w:val="A1E09BEC"/>
    <w:lvl w:ilvl="0" w:tplc="04270001">
      <w:start w:val="1"/>
      <w:numFmt w:val="bullet"/>
      <w:lvlText w:val=""/>
      <w:lvlJc w:val="left"/>
      <w:pPr>
        <w:ind w:left="1315" w:hanging="360"/>
      </w:pPr>
      <w:rPr>
        <w:rFonts w:ascii="Symbol" w:hAnsi="Symbol" w:hint="default"/>
      </w:rPr>
    </w:lvl>
    <w:lvl w:ilvl="1" w:tplc="04270003" w:tentative="1">
      <w:start w:val="1"/>
      <w:numFmt w:val="bullet"/>
      <w:lvlText w:val="o"/>
      <w:lvlJc w:val="left"/>
      <w:pPr>
        <w:ind w:left="2035" w:hanging="360"/>
      </w:pPr>
      <w:rPr>
        <w:rFonts w:ascii="Courier New" w:hAnsi="Courier New" w:cs="Courier New" w:hint="default"/>
      </w:rPr>
    </w:lvl>
    <w:lvl w:ilvl="2" w:tplc="04270005" w:tentative="1">
      <w:start w:val="1"/>
      <w:numFmt w:val="bullet"/>
      <w:lvlText w:val=""/>
      <w:lvlJc w:val="left"/>
      <w:pPr>
        <w:ind w:left="2755" w:hanging="360"/>
      </w:pPr>
      <w:rPr>
        <w:rFonts w:ascii="Wingdings" w:hAnsi="Wingdings" w:hint="default"/>
      </w:rPr>
    </w:lvl>
    <w:lvl w:ilvl="3" w:tplc="04270001" w:tentative="1">
      <w:start w:val="1"/>
      <w:numFmt w:val="bullet"/>
      <w:lvlText w:val=""/>
      <w:lvlJc w:val="left"/>
      <w:pPr>
        <w:ind w:left="3475" w:hanging="360"/>
      </w:pPr>
      <w:rPr>
        <w:rFonts w:ascii="Symbol" w:hAnsi="Symbol" w:hint="default"/>
      </w:rPr>
    </w:lvl>
    <w:lvl w:ilvl="4" w:tplc="04270003" w:tentative="1">
      <w:start w:val="1"/>
      <w:numFmt w:val="bullet"/>
      <w:lvlText w:val="o"/>
      <w:lvlJc w:val="left"/>
      <w:pPr>
        <w:ind w:left="4195" w:hanging="360"/>
      </w:pPr>
      <w:rPr>
        <w:rFonts w:ascii="Courier New" w:hAnsi="Courier New" w:cs="Courier New" w:hint="default"/>
      </w:rPr>
    </w:lvl>
    <w:lvl w:ilvl="5" w:tplc="04270005" w:tentative="1">
      <w:start w:val="1"/>
      <w:numFmt w:val="bullet"/>
      <w:lvlText w:val=""/>
      <w:lvlJc w:val="left"/>
      <w:pPr>
        <w:ind w:left="4915" w:hanging="360"/>
      </w:pPr>
      <w:rPr>
        <w:rFonts w:ascii="Wingdings" w:hAnsi="Wingdings" w:hint="default"/>
      </w:rPr>
    </w:lvl>
    <w:lvl w:ilvl="6" w:tplc="04270001" w:tentative="1">
      <w:start w:val="1"/>
      <w:numFmt w:val="bullet"/>
      <w:lvlText w:val=""/>
      <w:lvlJc w:val="left"/>
      <w:pPr>
        <w:ind w:left="5635" w:hanging="360"/>
      </w:pPr>
      <w:rPr>
        <w:rFonts w:ascii="Symbol" w:hAnsi="Symbol" w:hint="default"/>
      </w:rPr>
    </w:lvl>
    <w:lvl w:ilvl="7" w:tplc="04270003" w:tentative="1">
      <w:start w:val="1"/>
      <w:numFmt w:val="bullet"/>
      <w:lvlText w:val="o"/>
      <w:lvlJc w:val="left"/>
      <w:pPr>
        <w:ind w:left="6355" w:hanging="360"/>
      </w:pPr>
      <w:rPr>
        <w:rFonts w:ascii="Courier New" w:hAnsi="Courier New" w:cs="Courier New" w:hint="default"/>
      </w:rPr>
    </w:lvl>
    <w:lvl w:ilvl="8" w:tplc="04270005" w:tentative="1">
      <w:start w:val="1"/>
      <w:numFmt w:val="bullet"/>
      <w:lvlText w:val=""/>
      <w:lvlJc w:val="left"/>
      <w:pPr>
        <w:ind w:left="7075" w:hanging="360"/>
      </w:pPr>
      <w:rPr>
        <w:rFonts w:ascii="Wingdings" w:hAnsi="Wingdings" w:hint="default"/>
      </w:rPr>
    </w:lvl>
  </w:abstractNum>
  <w:abstractNum w:abstractNumId="56">
    <w:nsid w:val="5FD376FD"/>
    <w:multiLevelType w:val="hybridMultilevel"/>
    <w:tmpl w:val="0EAC613A"/>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57">
    <w:nsid w:val="610547FA"/>
    <w:multiLevelType w:val="hybridMultilevel"/>
    <w:tmpl w:val="F9C6C56C"/>
    <w:lvl w:ilvl="0" w:tplc="04270001">
      <w:start w:val="1"/>
      <w:numFmt w:val="bullet"/>
      <w:lvlText w:val=""/>
      <w:lvlJc w:val="left"/>
      <w:pPr>
        <w:ind w:left="1344" w:hanging="360"/>
      </w:pPr>
      <w:rPr>
        <w:rFonts w:ascii="Symbol" w:hAnsi="Symbol" w:hint="default"/>
      </w:rPr>
    </w:lvl>
    <w:lvl w:ilvl="1" w:tplc="04270003" w:tentative="1">
      <w:start w:val="1"/>
      <w:numFmt w:val="bullet"/>
      <w:lvlText w:val="o"/>
      <w:lvlJc w:val="left"/>
      <w:pPr>
        <w:ind w:left="2064" w:hanging="360"/>
      </w:pPr>
      <w:rPr>
        <w:rFonts w:ascii="Courier New" w:hAnsi="Courier New" w:cs="Courier New" w:hint="default"/>
      </w:rPr>
    </w:lvl>
    <w:lvl w:ilvl="2" w:tplc="04270005" w:tentative="1">
      <w:start w:val="1"/>
      <w:numFmt w:val="bullet"/>
      <w:lvlText w:val=""/>
      <w:lvlJc w:val="left"/>
      <w:pPr>
        <w:ind w:left="2784" w:hanging="360"/>
      </w:pPr>
      <w:rPr>
        <w:rFonts w:ascii="Wingdings" w:hAnsi="Wingdings" w:hint="default"/>
      </w:rPr>
    </w:lvl>
    <w:lvl w:ilvl="3" w:tplc="04270001" w:tentative="1">
      <w:start w:val="1"/>
      <w:numFmt w:val="bullet"/>
      <w:lvlText w:val=""/>
      <w:lvlJc w:val="left"/>
      <w:pPr>
        <w:ind w:left="3504" w:hanging="360"/>
      </w:pPr>
      <w:rPr>
        <w:rFonts w:ascii="Symbol" w:hAnsi="Symbol" w:hint="default"/>
      </w:rPr>
    </w:lvl>
    <w:lvl w:ilvl="4" w:tplc="04270003" w:tentative="1">
      <w:start w:val="1"/>
      <w:numFmt w:val="bullet"/>
      <w:lvlText w:val="o"/>
      <w:lvlJc w:val="left"/>
      <w:pPr>
        <w:ind w:left="4224" w:hanging="360"/>
      </w:pPr>
      <w:rPr>
        <w:rFonts w:ascii="Courier New" w:hAnsi="Courier New" w:cs="Courier New" w:hint="default"/>
      </w:rPr>
    </w:lvl>
    <w:lvl w:ilvl="5" w:tplc="04270005" w:tentative="1">
      <w:start w:val="1"/>
      <w:numFmt w:val="bullet"/>
      <w:lvlText w:val=""/>
      <w:lvlJc w:val="left"/>
      <w:pPr>
        <w:ind w:left="4944" w:hanging="360"/>
      </w:pPr>
      <w:rPr>
        <w:rFonts w:ascii="Wingdings" w:hAnsi="Wingdings" w:hint="default"/>
      </w:rPr>
    </w:lvl>
    <w:lvl w:ilvl="6" w:tplc="04270001" w:tentative="1">
      <w:start w:val="1"/>
      <w:numFmt w:val="bullet"/>
      <w:lvlText w:val=""/>
      <w:lvlJc w:val="left"/>
      <w:pPr>
        <w:ind w:left="5664" w:hanging="360"/>
      </w:pPr>
      <w:rPr>
        <w:rFonts w:ascii="Symbol" w:hAnsi="Symbol" w:hint="default"/>
      </w:rPr>
    </w:lvl>
    <w:lvl w:ilvl="7" w:tplc="04270003" w:tentative="1">
      <w:start w:val="1"/>
      <w:numFmt w:val="bullet"/>
      <w:lvlText w:val="o"/>
      <w:lvlJc w:val="left"/>
      <w:pPr>
        <w:ind w:left="6384" w:hanging="360"/>
      </w:pPr>
      <w:rPr>
        <w:rFonts w:ascii="Courier New" w:hAnsi="Courier New" w:cs="Courier New" w:hint="default"/>
      </w:rPr>
    </w:lvl>
    <w:lvl w:ilvl="8" w:tplc="04270005" w:tentative="1">
      <w:start w:val="1"/>
      <w:numFmt w:val="bullet"/>
      <w:lvlText w:val=""/>
      <w:lvlJc w:val="left"/>
      <w:pPr>
        <w:ind w:left="7104" w:hanging="360"/>
      </w:pPr>
      <w:rPr>
        <w:rFonts w:ascii="Wingdings" w:hAnsi="Wingdings" w:hint="default"/>
      </w:rPr>
    </w:lvl>
  </w:abstractNum>
  <w:abstractNum w:abstractNumId="58">
    <w:nsid w:val="62A52F9F"/>
    <w:multiLevelType w:val="hybridMultilevel"/>
    <w:tmpl w:val="43E069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nsid w:val="63AC0931"/>
    <w:multiLevelType w:val="hybridMultilevel"/>
    <w:tmpl w:val="8C143F8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0">
    <w:nsid w:val="65CB7A0F"/>
    <w:multiLevelType w:val="hybridMultilevel"/>
    <w:tmpl w:val="BE00A8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nsid w:val="66F35805"/>
    <w:multiLevelType w:val="hybridMultilevel"/>
    <w:tmpl w:val="B53437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nsid w:val="67EF0366"/>
    <w:multiLevelType w:val="hybridMultilevel"/>
    <w:tmpl w:val="088896FC"/>
    <w:lvl w:ilvl="0" w:tplc="3E62C844">
      <w:start w:val="1"/>
      <w:numFmt w:val="bullet"/>
      <w:lvlText w:val="−"/>
      <w:lvlJc w:val="left"/>
      <w:pPr>
        <w:ind w:left="1571" w:hanging="360"/>
      </w:pPr>
      <w:rPr>
        <w:rFonts w:ascii="Times New Roman"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63">
    <w:nsid w:val="690D5E97"/>
    <w:multiLevelType w:val="hybridMultilevel"/>
    <w:tmpl w:val="37AC4F32"/>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64">
    <w:nsid w:val="6A0C2163"/>
    <w:multiLevelType w:val="hybridMultilevel"/>
    <w:tmpl w:val="09903B94"/>
    <w:lvl w:ilvl="0" w:tplc="BD82A44C">
      <w:start w:val="1"/>
      <w:numFmt w:val="bullet"/>
      <w:lvlText w:val="-"/>
      <w:lvlJc w:val="left"/>
      <w:pPr>
        <w:ind w:left="720" w:hanging="360"/>
      </w:pPr>
      <w:rPr>
        <w:rFonts w:ascii="Times New Roman" w:eastAsia="AngsanaUPC"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nsid w:val="6B6B3000"/>
    <w:multiLevelType w:val="hybridMultilevel"/>
    <w:tmpl w:val="49944664"/>
    <w:lvl w:ilvl="0" w:tplc="04270001">
      <w:start w:val="1"/>
      <w:numFmt w:val="bullet"/>
      <w:lvlText w:val=""/>
      <w:lvlJc w:val="left"/>
      <w:pPr>
        <w:ind w:left="1344" w:hanging="360"/>
      </w:pPr>
      <w:rPr>
        <w:rFonts w:ascii="Symbol" w:hAnsi="Symbol" w:hint="default"/>
      </w:rPr>
    </w:lvl>
    <w:lvl w:ilvl="1" w:tplc="04270003" w:tentative="1">
      <w:start w:val="1"/>
      <w:numFmt w:val="bullet"/>
      <w:lvlText w:val="o"/>
      <w:lvlJc w:val="left"/>
      <w:pPr>
        <w:ind w:left="2064" w:hanging="360"/>
      </w:pPr>
      <w:rPr>
        <w:rFonts w:ascii="Courier New" w:hAnsi="Courier New" w:cs="Courier New" w:hint="default"/>
      </w:rPr>
    </w:lvl>
    <w:lvl w:ilvl="2" w:tplc="04270005" w:tentative="1">
      <w:start w:val="1"/>
      <w:numFmt w:val="bullet"/>
      <w:lvlText w:val=""/>
      <w:lvlJc w:val="left"/>
      <w:pPr>
        <w:ind w:left="2784" w:hanging="360"/>
      </w:pPr>
      <w:rPr>
        <w:rFonts w:ascii="Wingdings" w:hAnsi="Wingdings" w:hint="default"/>
      </w:rPr>
    </w:lvl>
    <w:lvl w:ilvl="3" w:tplc="04270001" w:tentative="1">
      <w:start w:val="1"/>
      <w:numFmt w:val="bullet"/>
      <w:lvlText w:val=""/>
      <w:lvlJc w:val="left"/>
      <w:pPr>
        <w:ind w:left="3504" w:hanging="360"/>
      </w:pPr>
      <w:rPr>
        <w:rFonts w:ascii="Symbol" w:hAnsi="Symbol" w:hint="default"/>
      </w:rPr>
    </w:lvl>
    <w:lvl w:ilvl="4" w:tplc="04270003" w:tentative="1">
      <w:start w:val="1"/>
      <w:numFmt w:val="bullet"/>
      <w:lvlText w:val="o"/>
      <w:lvlJc w:val="left"/>
      <w:pPr>
        <w:ind w:left="4224" w:hanging="360"/>
      </w:pPr>
      <w:rPr>
        <w:rFonts w:ascii="Courier New" w:hAnsi="Courier New" w:cs="Courier New" w:hint="default"/>
      </w:rPr>
    </w:lvl>
    <w:lvl w:ilvl="5" w:tplc="04270005" w:tentative="1">
      <w:start w:val="1"/>
      <w:numFmt w:val="bullet"/>
      <w:lvlText w:val=""/>
      <w:lvlJc w:val="left"/>
      <w:pPr>
        <w:ind w:left="4944" w:hanging="360"/>
      </w:pPr>
      <w:rPr>
        <w:rFonts w:ascii="Wingdings" w:hAnsi="Wingdings" w:hint="default"/>
      </w:rPr>
    </w:lvl>
    <w:lvl w:ilvl="6" w:tplc="04270001" w:tentative="1">
      <w:start w:val="1"/>
      <w:numFmt w:val="bullet"/>
      <w:lvlText w:val=""/>
      <w:lvlJc w:val="left"/>
      <w:pPr>
        <w:ind w:left="5664" w:hanging="360"/>
      </w:pPr>
      <w:rPr>
        <w:rFonts w:ascii="Symbol" w:hAnsi="Symbol" w:hint="default"/>
      </w:rPr>
    </w:lvl>
    <w:lvl w:ilvl="7" w:tplc="04270003" w:tentative="1">
      <w:start w:val="1"/>
      <w:numFmt w:val="bullet"/>
      <w:lvlText w:val="o"/>
      <w:lvlJc w:val="left"/>
      <w:pPr>
        <w:ind w:left="6384" w:hanging="360"/>
      </w:pPr>
      <w:rPr>
        <w:rFonts w:ascii="Courier New" w:hAnsi="Courier New" w:cs="Courier New" w:hint="default"/>
      </w:rPr>
    </w:lvl>
    <w:lvl w:ilvl="8" w:tplc="04270005" w:tentative="1">
      <w:start w:val="1"/>
      <w:numFmt w:val="bullet"/>
      <w:lvlText w:val=""/>
      <w:lvlJc w:val="left"/>
      <w:pPr>
        <w:ind w:left="7104" w:hanging="360"/>
      </w:pPr>
      <w:rPr>
        <w:rFonts w:ascii="Wingdings" w:hAnsi="Wingdings" w:hint="default"/>
      </w:rPr>
    </w:lvl>
  </w:abstractNum>
  <w:abstractNum w:abstractNumId="66">
    <w:nsid w:val="6D7B4C67"/>
    <w:multiLevelType w:val="hybridMultilevel"/>
    <w:tmpl w:val="0910E8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nsid w:val="6DFB104F"/>
    <w:multiLevelType w:val="hybridMultilevel"/>
    <w:tmpl w:val="9266E992"/>
    <w:lvl w:ilvl="0" w:tplc="85BE58B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nsid w:val="6E2D70D4"/>
    <w:multiLevelType w:val="hybridMultilevel"/>
    <w:tmpl w:val="71706916"/>
    <w:lvl w:ilvl="0" w:tplc="04270001">
      <w:start w:val="1"/>
      <w:numFmt w:val="bullet"/>
      <w:lvlText w:val=""/>
      <w:lvlJc w:val="left"/>
      <w:pPr>
        <w:ind w:left="720" w:hanging="360"/>
      </w:pPr>
      <w:rPr>
        <w:rFonts w:ascii="Symbol" w:hAnsi="Symbol" w:hint="default"/>
      </w:rPr>
    </w:lvl>
    <w:lvl w:ilvl="1" w:tplc="D51E8274">
      <w:start w:val="2012"/>
      <w:numFmt w:val="bullet"/>
      <w:lvlText w:val="-"/>
      <w:lvlJc w:val="left"/>
      <w:pPr>
        <w:ind w:left="1440" w:hanging="360"/>
      </w:pPr>
      <w:rPr>
        <w:rFonts w:ascii="Times New Roman" w:eastAsia="MS Mincho" w:hAnsi="Times New Roman" w:cs="Times New Roman" w:hint="default"/>
        <w:b w:val="0"/>
        <w:sz w:val="24"/>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9">
    <w:nsid w:val="70E9619C"/>
    <w:multiLevelType w:val="hybridMultilevel"/>
    <w:tmpl w:val="F47017F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0">
    <w:nsid w:val="718B22D3"/>
    <w:multiLevelType w:val="hybridMultilevel"/>
    <w:tmpl w:val="6E4AABB6"/>
    <w:lvl w:ilvl="0" w:tplc="04270001">
      <w:start w:val="1"/>
      <w:numFmt w:val="bullet"/>
      <w:lvlText w:val=""/>
      <w:lvlJc w:val="left"/>
      <w:pPr>
        <w:ind w:left="1344" w:hanging="360"/>
      </w:pPr>
      <w:rPr>
        <w:rFonts w:ascii="Symbol" w:hAnsi="Symbol" w:hint="default"/>
      </w:rPr>
    </w:lvl>
    <w:lvl w:ilvl="1" w:tplc="04270003" w:tentative="1">
      <w:start w:val="1"/>
      <w:numFmt w:val="bullet"/>
      <w:lvlText w:val="o"/>
      <w:lvlJc w:val="left"/>
      <w:pPr>
        <w:ind w:left="2064" w:hanging="360"/>
      </w:pPr>
      <w:rPr>
        <w:rFonts w:ascii="Courier New" w:hAnsi="Courier New" w:cs="Courier New" w:hint="default"/>
      </w:rPr>
    </w:lvl>
    <w:lvl w:ilvl="2" w:tplc="04270005" w:tentative="1">
      <w:start w:val="1"/>
      <w:numFmt w:val="bullet"/>
      <w:lvlText w:val=""/>
      <w:lvlJc w:val="left"/>
      <w:pPr>
        <w:ind w:left="2784" w:hanging="360"/>
      </w:pPr>
      <w:rPr>
        <w:rFonts w:ascii="Wingdings" w:hAnsi="Wingdings" w:hint="default"/>
      </w:rPr>
    </w:lvl>
    <w:lvl w:ilvl="3" w:tplc="04270001" w:tentative="1">
      <w:start w:val="1"/>
      <w:numFmt w:val="bullet"/>
      <w:lvlText w:val=""/>
      <w:lvlJc w:val="left"/>
      <w:pPr>
        <w:ind w:left="3504" w:hanging="360"/>
      </w:pPr>
      <w:rPr>
        <w:rFonts w:ascii="Symbol" w:hAnsi="Symbol" w:hint="default"/>
      </w:rPr>
    </w:lvl>
    <w:lvl w:ilvl="4" w:tplc="04270003" w:tentative="1">
      <w:start w:val="1"/>
      <w:numFmt w:val="bullet"/>
      <w:lvlText w:val="o"/>
      <w:lvlJc w:val="left"/>
      <w:pPr>
        <w:ind w:left="4224" w:hanging="360"/>
      </w:pPr>
      <w:rPr>
        <w:rFonts w:ascii="Courier New" w:hAnsi="Courier New" w:cs="Courier New" w:hint="default"/>
      </w:rPr>
    </w:lvl>
    <w:lvl w:ilvl="5" w:tplc="04270005" w:tentative="1">
      <w:start w:val="1"/>
      <w:numFmt w:val="bullet"/>
      <w:lvlText w:val=""/>
      <w:lvlJc w:val="left"/>
      <w:pPr>
        <w:ind w:left="4944" w:hanging="360"/>
      </w:pPr>
      <w:rPr>
        <w:rFonts w:ascii="Wingdings" w:hAnsi="Wingdings" w:hint="default"/>
      </w:rPr>
    </w:lvl>
    <w:lvl w:ilvl="6" w:tplc="04270001" w:tentative="1">
      <w:start w:val="1"/>
      <w:numFmt w:val="bullet"/>
      <w:lvlText w:val=""/>
      <w:lvlJc w:val="left"/>
      <w:pPr>
        <w:ind w:left="5664" w:hanging="360"/>
      </w:pPr>
      <w:rPr>
        <w:rFonts w:ascii="Symbol" w:hAnsi="Symbol" w:hint="default"/>
      </w:rPr>
    </w:lvl>
    <w:lvl w:ilvl="7" w:tplc="04270003" w:tentative="1">
      <w:start w:val="1"/>
      <w:numFmt w:val="bullet"/>
      <w:lvlText w:val="o"/>
      <w:lvlJc w:val="left"/>
      <w:pPr>
        <w:ind w:left="6384" w:hanging="360"/>
      </w:pPr>
      <w:rPr>
        <w:rFonts w:ascii="Courier New" w:hAnsi="Courier New" w:cs="Courier New" w:hint="default"/>
      </w:rPr>
    </w:lvl>
    <w:lvl w:ilvl="8" w:tplc="04270005" w:tentative="1">
      <w:start w:val="1"/>
      <w:numFmt w:val="bullet"/>
      <w:lvlText w:val=""/>
      <w:lvlJc w:val="left"/>
      <w:pPr>
        <w:ind w:left="7104" w:hanging="360"/>
      </w:pPr>
      <w:rPr>
        <w:rFonts w:ascii="Wingdings" w:hAnsi="Wingdings" w:hint="default"/>
      </w:rPr>
    </w:lvl>
  </w:abstractNum>
  <w:abstractNum w:abstractNumId="71">
    <w:nsid w:val="73445535"/>
    <w:multiLevelType w:val="hybridMultilevel"/>
    <w:tmpl w:val="54849D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2">
    <w:nsid w:val="754817D0"/>
    <w:multiLevelType w:val="hybridMultilevel"/>
    <w:tmpl w:val="A25A0426"/>
    <w:lvl w:ilvl="0" w:tplc="04270001">
      <w:start w:val="1"/>
      <w:numFmt w:val="bullet"/>
      <w:lvlText w:val=""/>
      <w:lvlJc w:val="left"/>
      <w:pPr>
        <w:ind w:left="1440" w:hanging="360"/>
      </w:pPr>
      <w:rPr>
        <w:rFonts w:ascii="Symbol" w:hAnsi="Symbol" w:hint="default"/>
      </w:rPr>
    </w:lvl>
    <w:lvl w:ilvl="1" w:tplc="D51E8274">
      <w:start w:val="2012"/>
      <w:numFmt w:val="bullet"/>
      <w:lvlText w:val="-"/>
      <w:lvlJc w:val="left"/>
      <w:pPr>
        <w:ind w:left="2160" w:hanging="360"/>
      </w:pPr>
      <w:rPr>
        <w:rFonts w:ascii="Times New Roman" w:eastAsia="MS Mincho" w:hAnsi="Times New Roman" w:cs="Times New Roman" w:hint="default"/>
        <w:b w:val="0"/>
        <w:sz w:val="24"/>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3">
    <w:nsid w:val="7A1A039B"/>
    <w:multiLevelType w:val="hybridMultilevel"/>
    <w:tmpl w:val="F9189E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nsid w:val="7B3A4055"/>
    <w:multiLevelType w:val="hybridMultilevel"/>
    <w:tmpl w:val="6DF01F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5">
    <w:nsid w:val="7CBC0542"/>
    <w:multiLevelType w:val="multilevel"/>
    <w:tmpl w:val="AF62E73E"/>
    <w:lvl w:ilvl="0">
      <w:start w:val="8"/>
      <w:numFmt w:val="decimal"/>
      <w:lvlText w:val="%1"/>
      <w:lvlJc w:val="left"/>
      <w:pPr>
        <w:ind w:left="480" w:hanging="480"/>
      </w:pPr>
      <w:rPr>
        <w:rFonts w:eastAsia="Calibri" w:hint="default"/>
      </w:rPr>
    </w:lvl>
    <w:lvl w:ilvl="1">
      <w:start w:val="1"/>
      <w:numFmt w:val="decimal"/>
      <w:lvlText w:val="%1.%2"/>
      <w:lvlJc w:val="left"/>
      <w:pPr>
        <w:ind w:left="792" w:hanging="480"/>
      </w:pPr>
      <w:rPr>
        <w:rFonts w:eastAsia="Calibri" w:hint="default"/>
      </w:rPr>
    </w:lvl>
    <w:lvl w:ilvl="2">
      <w:start w:val="3"/>
      <w:numFmt w:val="decimal"/>
      <w:lvlText w:val="%1.%2.%3"/>
      <w:lvlJc w:val="left"/>
      <w:pPr>
        <w:ind w:left="1344" w:hanging="720"/>
      </w:pPr>
      <w:rPr>
        <w:rFonts w:eastAsia="Calibri" w:hint="default"/>
      </w:rPr>
    </w:lvl>
    <w:lvl w:ilvl="3">
      <w:start w:val="1"/>
      <w:numFmt w:val="decimal"/>
      <w:lvlText w:val="%1.%2.%3.%4"/>
      <w:lvlJc w:val="left"/>
      <w:pPr>
        <w:ind w:left="1656" w:hanging="720"/>
      </w:pPr>
      <w:rPr>
        <w:rFonts w:eastAsia="Calibri" w:hint="default"/>
      </w:rPr>
    </w:lvl>
    <w:lvl w:ilvl="4">
      <w:start w:val="1"/>
      <w:numFmt w:val="decimal"/>
      <w:lvlText w:val="%1.%2.%3.%4.%5"/>
      <w:lvlJc w:val="left"/>
      <w:pPr>
        <w:ind w:left="2328" w:hanging="1080"/>
      </w:pPr>
      <w:rPr>
        <w:rFonts w:eastAsia="Calibri" w:hint="default"/>
      </w:rPr>
    </w:lvl>
    <w:lvl w:ilvl="5">
      <w:start w:val="1"/>
      <w:numFmt w:val="decimal"/>
      <w:lvlText w:val="%1.%2.%3.%4.%5.%6"/>
      <w:lvlJc w:val="left"/>
      <w:pPr>
        <w:ind w:left="2640" w:hanging="1080"/>
      </w:pPr>
      <w:rPr>
        <w:rFonts w:eastAsia="Calibri" w:hint="default"/>
      </w:rPr>
    </w:lvl>
    <w:lvl w:ilvl="6">
      <w:start w:val="1"/>
      <w:numFmt w:val="decimal"/>
      <w:lvlText w:val="%1.%2.%3.%4.%5.%6.%7"/>
      <w:lvlJc w:val="left"/>
      <w:pPr>
        <w:ind w:left="3312" w:hanging="1440"/>
      </w:pPr>
      <w:rPr>
        <w:rFonts w:eastAsia="Calibri" w:hint="default"/>
      </w:rPr>
    </w:lvl>
    <w:lvl w:ilvl="7">
      <w:start w:val="1"/>
      <w:numFmt w:val="decimal"/>
      <w:lvlText w:val="%1.%2.%3.%4.%5.%6.%7.%8"/>
      <w:lvlJc w:val="left"/>
      <w:pPr>
        <w:ind w:left="3624" w:hanging="1440"/>
      </w:pPr>
      <w:rPr>
        <w:rFonts w:eastAsia="Calibri" w:hint="default"/>
      </w:rPr>
    </w:lvl>
    <w:lvl w:ilvl="8">
      <w:start w:val="1"/>
      <w:numFmt w:val="decimal"/>
      <w:lvlText w:val="%1.%2.%3.%4.%5.%6.%7.%8.%9"/>
      <w:lvlJc w:val="left"/>
      <w:pPr>
        <w:ind w:left="4296" w:hanging="1800"/>
      </w:pPr>
      <w:rPr>
        <w:rFonts w:eastAsia="Calibri" w:hint="default"/>
      </w:rPr>
    </w:lvl>
  </w:abstractNum>
  <w:abstractNum w:abstractNumId="76">
    <w:nsid w:val="7CE10833"/>
    <w:multiLevelType w:val="hybridMultilevel"/>
    <w:tmpl w:val="8D685FE6"/>
    <w:lvl w:ilvl="0" w:tplc="04270001">
      <w:start w:val="1"/>
      <w:numFmt w:val="bullet"/>
      <w:lvlText w:val=""/>
      <w:lvlJc w:val="left"/>
      <w:pPr>
        <w:ind w:left="1344" w:hanging="360"/>
      </w:pPr>
      <w:rPr>
        <w:rFonts w:ascii="Symbol" w:hAnsi="Symbol" w:hint="default"/>
      </w:rPr>
    </w:lvl>
    <w:lvl w:ilvl="1" w:tplc="04270003" w:tentative="1">
      <w:start w:val="1"/>
      <w:numFmt w:val="bullet"/>
      <w:lvlText w:val="o"/>
      <w:lvlJc w:val="left"/>
      <w:pPr>
        <w:ind w:left="2064" w:hanging="360"/>
      </w:pPr>
      <w:rPr>
        <w:rFonts w:ascii="Courier New" w:hAnsi="Courier New" w:cs="Courier New" w:hint="default"/>
      </w:rPr>
    </w:lvl>
    <w:lvl w:ilvl="2" w:tplc="04270005" w:tentative="1">
      <w:start w:val="1"/>
      <w:numFmt w:val="bullet"/>
      <w:lvlText w:val=""/>
      <w:lvlJc w:val="left"/>
      <w:pPr>
        <w:ind w:left="2784" w:hanging="360"/>
      </w:pPr>
      <w:rPr>
        <w:rFonts w:ascii="Wingdings" w:hAnsi="Wingdings" w:hint="default"/>
      </w:rPr>
    </w:lvl>
    <w:lvl w:ilvl="3" w:tplc="04270001" w:tentative="1">
      <w:start w:val="1"/>
      <w:numFmt w:val="bullet"/>
      <w:lvlText w:val=""/>
      <w:lvlJc w:val="left"/>
      <w:pPr>
        <w:ind w:left="3504" w:hanging="360"/>
      </w:pPr>
      <w:rPr>
        <w:rFonts w:ascii="Symbol" w:hAnsi="Symbol" w:hint="default"/>
      </w:rPr>
    </w:lvl>
    <w:lvl w:ilvl="4" w:tplc="04270003" w:tentative="1">
      <w:start w:val="1"/>
      <w:numFmt w:val="bullet"/>
      <w:lvlText w:val="o"/>
      <w:lvlJc w:val="left"/>
      <w:pPr>
        <w:ind w:left="4224" w:hanging="360"/>
      </w:pPr>
      <w:rPr>
        <w:rFonts w:ascii="Courier New" w:hAnsi="Courier New" w:cs="Courier New" w:hint="default"/>
      </w:rPr>
    </w:lvl>
    <w:lvl w:ilvl="5" w:tplc="04270005" w:tentative="1">
      <w:start w:val="1"/>
      <w:numFmt w:val="bullet"/>
      <w:lvlText w:val=""/>
      <w:lvlJc w:val="left"/>
      <w:pPr>
        <w:ind w:left="4944" w:hanging="360"/>
      </w:pPr>
      <w:rPr>
        <w:rFonts w:ascii="Wingdings" w:hAnsi="Wingdings" w:hint="default"/>
      </w:rPr>
    </w:lvl>
    <w:lvl w:ilvl="6" w:tplc="04270001" w:tentative="1">
      <w:start w:val="1"/>
      <w:numFmt w:val="bullet"/>
      <w:lvlText w:val=""/>
      <w:lvlJc w:val="left"/>
      <w:pPr>
        <w:ind w:left="5664" w:hanging="360"/>
      </w:pPr>
      <w:rPr>
        <w:rFonts w:ascii="Symbol" w:hAnsi="Symbol" w:hint="default"/>
      </w:rPr>
    </w:lvl>
    <w:lvl w:ilvl="7" w:tplc="04270003" w:tentative="1">
      <w:start w:val="1"/>
      <w:numFmt w:val="bullet"/>
      <w:lvlText w:val="o"/>
      <w:lvlJc w:val="left"/>
      <w:pPr>
        <w:ind w:left="6384" w:hanging="360"/>
      </w:pPr>
      <w:rPr>
        <w:rFonts w:ascii="Courier New" w:hAnsi="Courier New" w:cs="Courier New" w:hint="default"/>
      </w:rPr>
    </w:lvl>
    <w:lvl w:ilvl="8" w:tplc="04270005" w:tentative="1">
      <w:start w:val="1"/>
      <w:numFmt w:val="bullet"/>
      <w:lvlText w:val=""/>
      <w:lvlJc w:val="left"/>
      <w:pPr>
        <w:ind w:left="7104" w:hanging="360"/>
      </w:pPr>
      <w:rPr>
        <w:rFonts w:ascii="Wingdings" w:hAnsi="Wingdings" w:hint="default"/>
      </w:rPr>
    </w:lvl>
  </w:abstractNum>
  <w:abstractNum w:abstractNumId="77">
    <w:nsid w:val="7E6A78BB"/>
    <w:multiLevelType w:val="hybridMultilevel"/>
    <w:tmpl w:val="CAB4F0E0"/>
    <w:lvl w:ilvl="0" w:tplc="04270001">
      <w:start w:val="1"/>
      <w:numFmt w:val="bullet"/>
      <w:lvlText w:val=""/>
      <w:lvlJc w:val="left"/>
      <w:pPr>
        <w:ind w:left="2018" w:hanging="360"/>
      </w:pPr>
      <w:rPr>
        <w:rFonts w:ascii="Symbol" w:hAnsi="Symbol" w:hint="default"/>
      </w:rPr>
    </w:lvl>
    <w:lvl w:ilvl="1" w:tplc="04270003" w:tentative="1">
      <w:start w:val="1"/>
      <w:numFmt w:val="bullet"/>
      <w:lvlText w:val="o"/>
      <w:lvlJc w:val="left"/>
      <w:pPr>
        <w:ind w:left="2738" w:hanging="360"/>
      </w:pPr>
      <w:rPr>
        <w:rFonts w:ascii="Courier New" w:hAnsi="Courier New" w:cs="Courier New" w:hint="default"/>
      </w:rPr>
    </w:lvl>
    <w:lvl w:ilvl="2" w:tplc="04270005" w:tentative="1">
      <w:start w:val="1"/>
      <w:numFmt w:val="bullet"/>
      <w:lvlText w:val=""/>
      <w:lvlJc w:val="left"/>
      <w:pPr>
        <w:ind w:left="3458" w:hanging="360"/>
      </w:pPr>
      <w:rPr>
        <w:rFonts w:ascii="Wingdings" w:hAnsi="Wingdings" w:hint="default"/>
      </w:rPr>
    </w:lvl>
    <w:lvl w:ilvl="3" w:tplc="04270001" w:tentative="1">
      <w:start w:val="1"/>
      <w:numFmt w:val="bullet"/>
      <w:lvlText w:val=""/>
      <w:lvlJc w:val="left"/>
      <w:pPr>
        <w:ind w:left="4178" w:hanging="360"/>
      </w:pPr>
      <w:rPr>
        <w:rFonts w:ascii="Symbol" w:hAnsi="Symbol" w:hint="default"/>
      </w:rPr>
    </w:lvl>
    <w:lvl w:ilvl="4" w:tplc="04270003" w:tentative="1">
      <w:start w:val="1"/>
      <w:numFmt w:val="bullet"/>
      <w:lvlText w:val="o"/>
      <w:lvlJc w:val="left"/>
      <w:pPr>
        <w:ind w:left="4898" w:hanging="360"/>
      </w:pPr>
      <w:rPr>
        <w:rFonts w:ascii="Courier New" w:hAnsi="Courier New" w:cs="Courier New" w:hint="default"/>
      </w:rPr>
    </w:lvl>
    <w:lvl w:ilvl="5" w:tplc="04270005" w:tentative="1">
      <w:start w:val="1"/>
      <w:numFmt w:val="bullet"/>
      <w:lvlText w:val=""/>
      <w:lvlJc w:val="left"/>
      <w:pPr>
        <w:ind w:left="5618" w:hanging="360"/>
      </w:pPr>
      <w:rPr>
        <w:rFonts w:ascii="Wingdings" w:hAnsi="Wingdings" w:hint="default"/>
      </w:rPr>
    </w:lvl>
    <w:lvl w:ilvl="6" w:tplc="04270001" w:tentative="1">
      <w:start w:val="1"/>
      <w:numFmt w:val="bullet"/>
      <w:lvlText w:val=""/>
      <w:lvlJc w:val="left"/>
      <w:pPr>
        <w:ind w:left="6338" w:hanging="360"/>
      </w:pPr>
      <w:rPr>
        <w:rFonts w:ascii="Symbol" w:hAnsi="Symbol" w:hint="default"/>
      </w:rPr>
    </w:lvl>
    <w:lvl w:ilvl="7" w:tplc="04270003" w:tentative="1">
      <w:start w:val="1"/>
      <w:numFmt w:val="bullet"/>
      <w:lvlText w:val="o"/>
      <w:lvlJc w:val="left"/>
      <w:pPr>
        <w:ind w:left="7058" w:hanging="360"/>
      </w:pPr>
      <w:rPr>
        <w:rFonts w:ascii="Courier New" w:hAnsi="Courier New" w:cs="Courier New" w:hint="default"/>
      </w:rPr>
    </w:lvl>
    <w:lvl w:ilvl="8" w:tplc="04270005" w:tentative="1">
      <w:start w:val="1"/>
      <w:numFmt w:val="bullet"/>
      <w:lvlText w:val=""/>
      <w:lvlJc w:val="left"/>
      <w:pPr>
        <w:ind w:left="7778" w:hanging="360"/>
      </w:pPr>
      <w:rPr>
        <w:rFonts w:ascii="Wingdings" w:hAnsi="Wingdings" w:hint="default"/>
      </w:rPr>
    </w:lvl>
  </w:abstractNum>
  <w:abstractNum w:abstractNumId="78">
    <w:nsid w:val="7EB83E9E"/>
    <w:multiLevelType w:val="hybridMultilevel"/>
    <w:tmpl w:val="8A92A7B0"/>
    <w:lvl w:ilvl="0" w:tplc="D51E8274">
      <w:start w:val="2012"/>
      <w:numFmt w:val="bullet"/>
      <w:lvlText w:val="-"/>
      <w:lvlJc w:val="left"/>
      <w:pPr>
        <w:ind w:left="720" w:hanging="360"/>
      </w:pPr>
      <w:rPr>
        <w:rFonts w:ascii="Times New Roman" w:eastAsia="MS Mincho" w:hAnsi="Times New Roman" w:cs="Times New Roman" w:hint="default"/>
        <w:b w:val="0"/>
        <w:sz w:val="24"/>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5"/>
  </w:num>
  <w:num w:numId="4">
    <w:abstractNumId w:val="29"/>
  </w:num>
  <w:num w:numId="5">
    <w:abstractNumId w:val="53"/>
  </w:num>
  <w:num w:numId="6">
    <w:abstractNumId w:val="41"/>
  </w:num>
  <w:num w:numId="7">
    <w:abstractNumId w:val="62"/>
  </w:num>
  <w:num w:numId="8">
    <w:abstractNumId w:val="4"/>
  </w:num>
  <w:num w:numId="9">
    <w:abstractNumId w:val="39"/>
  </w:num>
  <w:num w:numId="10">
    <w:abstractNumId w:val="77"/>
  </w:num>
  <w:num w:numId="11">
    <w:abstractNumId w:val="30"/>
  </w:num>
  <w:num w:numId="12">
    <w:abstractNumId w:val="38"/>
  </w:num>
  <w:num w:numId="13">
    <w:abstractNumId w:val="25"/>
  </w:num>
  <w:num w:numId="14">
    <w:abstractNumId w:val="0"/>
  </w:num>
  <w:num w:numId="15">
    <w:abstractNumId w:val="52"/>
  </w:num>
  <w:num w:numId="16">
    <w:abstractNumId w:val="65"/>
  </w:num>
  <w:num w:numId="17">
    <w:abstractNumId w:val="71"/>
  </w:num>
  <w:num w:numId="18">
    <w:abstractNumId w:val="11"/>
  </w:num>
  <w:num w:numId="19">
    <w:abstractNumId w:val="16"/>
  </w:num>
  <w:num w:numId="20">
    <w:abstractNumId w:val="48"/>
  </w:num>
  <w:num w:numId="21">
    <w:abstractNumId w:val="50"/>
  </w:num>
  <w:num w:numId="22">
    <w:abstractNumId w:val="63"/>
  </w:num>
  <w:num w:numId="23">
    <w:abstractNumId w:val="28"/>
  </w:num>
  <w:num w:numId="24">
    <w:abstractNumId w:val="67"/>
  </w:num>
  <w:num w:numId="25">
    <w:abstractNumId w:val="33"/>
  </w:num>
  <w:num w:numId="26">
    <w:abstractNumId w:val="69"/>
  </w:num>
  <w:num w:numId="27">
    <w:abstractNumId w:val="43"/>
  </w:num>
  <w:num w:numId="28">
    <w:abstractNumId w:val="15"/>
  </w:num>
  <w:num w:numId="29">
    <w:abstractNumId w:val="78"/>
  </w:num>
  <w:num w:numId="30">
    <w:abstractNumId w:val="27"/>
  </w:num>
  <w:num w:numId="31">
    <w:abstractNumId w:val="61"/>
  </w:num>
  <w:num w:numId="32">
    <w:abstractNumId w:val="58"/>
  </w:num>
  <w:num w:numId="33">
    <w:abstractNumId w:val="64"/>
  </w:num>
  <w:num w:numId="34">
    <w:abstractNumId w:val="73"/>
  </w:num>
  <w:num w:numId="35">
    <w:abstractNumId w:val="10"/>
  </w:num>
  <w:num w:numId="36">
    <w:abstractNumId w:val="32"/>
  </w:num>
  <w:num w:numId="37">
    <w:abstractNumId w:val="5"/>
  </w:num>
  <w:num w:numId="38">
    <w:abstractNumId w:val="55"/>
  </w:num>
  <w:num w:numId="39">
    <w:abstractNumId w:val="34"/>
  </w:num>
  <w:num w:numId="40">
    <w:abstractNumId w:val="7"/>
  </w:num>
  <w:num w:numId="41">
    <w:abstractNumId w:val="54"/>
  </w:num>
  <w:num w:numId="42">
    <w:abstractNumId w:val="59"/>
  </w:num>
  <w:num w:numId="43">
    <w:abstractNumId w:val="72"/>
  </w:num>
  <w:num w:numId="44">
    <w:abstractNumId w:val="23"/>
  </w:num>
  <w:num w:numId="45">
    <w:abstractNumId w:val="60"/>
  </w:num>
  <w:num w:numId="46">
    <w:abstractNumId w:val="9"/>
  </w:num>
  <w:num w:numId="47">
    <w:abstractNumId w:val="66"/>
  </w:num>
  <w:num w:numId="48">
    <w:abstractNumId w:val="74"/>
  </w:num>
  <w:num w:numId="49">
    <w:abstractNumId w:val="8"/>
  </w:num>
  <w:num w:numId="50">
    <w:abstractNumId w:val="68"/>
  </w:num>
  <w:num w:numId="51">
    <w:abstractNumId w:val="49"/>
  </w:num>
  <w:num w:numId="52">
    <w:abstractNumId w:val="31"/>
  </w:num>
  <w:num w:numId="53">
    <w:abstractNumId w:val="51"/>
  </w:num>
  <w:num w:numId="54">
    <w:abstractNumId w:val="17"/>
  </w:num>
  <w:num w:numId="55">
    <w:abstractNumId w:val="1"/>
  </w:num>
  <w:num w:numId="56">
    <w:abstractNumId w:val="42"/>
  </w:num>
  <w:num w:numId="57">
    <w:abstractNumId w:val="36"/>
  </w:num>
  <w:num w:numId="58">
    <w:abstractNumId w:val="75"/>
  </w:num>
  <w:num w:numId="59">
    <w:abstractNumId w:val="18"/>
  </w:num>
  <w:num w:numId="60">
    <w:abstractNumId w:val="56"/>
  </w:num>
  <w:num w:numId="61">
    <w:abstractNumId w:val="76"/>
  </w:num>
  <w:num w:numId="62">
    <w:abstractNumId w:val="22"/>
  </w:num>
  <w:num w:numId="63">
    <w:abstractNumId w:val="12"/>
  </w:num>
  <w:num w:numId="64">
    <w:abstractNumId w:val="19"/>
  </w:num>
  <w:num w:numId="65">
    <w:abstractNumId w:val="37"/>
  </w:num>
  <w:num w:numId="66">
    <w:abstractNumId w:val="20"/>
  </w:num>
  <w:num w:numId="67">
    <w:abstractNumId w:val="44"/>
  </w:num>
  <w:num w:numId="68">
    <w:abstractNumId w:val="24"/>
  </w:num>
  <w:num w:numId="69">
    <w:abstractNumId w:val="46"/>
  </w:num>
  <w:num w:numId="70">
    <w:abstractNumId w:val="21"/>
  </w:num>
  <w:num w:numId="71">
    <w:abstractNumId w:val="47"/>
  </w:num>
  <w:num w:numId="72">
    <w:abstractNumId w:val="57"/>
  </w:num>
  <w:num w:numId="73">
    <w:abstractNumId w:val="6"/>
  </w:num>
  <w:num w:numId="74">
    <w:abstractNumId w:val="70"/>
  </w:num>
  <w:num w:numId="75">
    <w:abstractNumId w:val="2"/>
  </w:num>
  <w:num w:numId="76">
    <w:abstractNumId w:val="13"/>
  </w:num>
  <w:num w:numId="77">
    <w:abstractNumId w:val="35"/>
  </w:num>
  <w:num w:numId="78">
    <w:abstractNumId w:val="26"/>
  </w:num>
  <w:num w:numId="79">
    <w:abstractNumId w:val="40"/>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GrammaticalErrors/>
  <w:proofState w:spelling="clean" w:grammar="clean"/>
  <w:defaultTabStop w:val="1296"/>
  <w:hyphenationZone w:val="396"/>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861"/>
    <w:rsid w:val="00000317"/>
    <w:rsid w:val="00000AFB"/>
    <w:rsid w:val="00001F3C"/>
    <w:rsid w:val="00002150"/>
    <w:rsid w:val="00002A8C"/>
    <w:rsid w:val="00002F47"/>
    <w:rsid w:val="000033AC"/>
    <w:rsid w:val="000046CD"/>
    <w:rsid w:val="00004867"/>
    <w:rsid w:val="0000548A"/>
    <w:rsid w:val="000057C2"/>
    <w:rsid w:val="00010012"/>
    <w:rsid w:val="0001028A"/>
    <w:rsid w:val="00010F3E"/>
    <w:rsid w:val="000121A4"/>
    <w:rsid w:val="000122B1"/>
    <w:rsid w:val="00012B65"/>
    <w:rsid w:val="00013B9E"/>
    <w:rsid w:val="00013F13"/>
    <w:rsid w:val="00014218"/>
    <w:rsid w:val="00014597"/>
    <w:rsid w:val="000150A9"/>
    <w:rsid w:val="00015439"/>
    <w:rsid w:val="00015B45"/>
    <w:rsid w:val="0001656C"/>
    <w:rsid w:val="00017183"/>
    <w:rsid w:val="00017247"/>
    <w:rsid w:val="00017DDA"/>
    <w:rsid w:val="000208DC"/>
    <w:rsid w:val="00020FE4"/>
    <w:rsid w:val="00021264"/>
    <w:rsid w:val="00021714"/>
    <w:rsid w:val="00021B3E"/>
    <w:rsid w:val="00022155"/>
    <w:rsid w:val="000223AA"/>
    <w:rsid w:val="000229ED"/>
    <w:rsid w:val="00022A85"/>
    <w:rsid w:val="000232DF"/>
    <w:rsid w:val="00023A4A"/>
    <w:rsid w:val="00024601"/>
    <w:rsid w:val="0002461D"/>
    <w:rsid w:val="00024D02"/>
    <w:rsid w:val="00025378"/>
    <w:rsid w:val="00025727"/>
    <w:rsid w:val="0002588A"/>
    <w:rsid w:val="00025B6B"/>
    <w:rsid w:val="000271E6"/>
    <w:rsid w:val="000273FF"/>
    <w:rsid w:val="00027A59"/>
    <w:rsid w:val="000318AE"/>
    <w:rsid w:val="00031EF1"/>
    <w:rsid w:val="00032309"/>
    <w:rsid w:val="00032711"/>
    <w:rsid w:val="0003299F"/>
    <w:rsid w:val="00034351"/>
    <w:rsid w:val="00034375"/>
    <w:rsid w:val="00034567"/>
    <w:rsid w:val="00035271"/>
    <w:rsid w:val="00035B68"/>
    <w:rsid w:val="00035F03"/>
    <w:rsid w:val="00035F19"/>
    <w:rsid w:val="000360A6"/>
    <w:rsid w:val="000371FA"/>
    <w:rsid w:val="000379A2"/>
    <w:rsid w:val="00037C12"/>
    <w:rsid w:val="00037E3C"/>
    <w:rsid w:val="000404F0"/>
    <w:rsid w:val="0004074C"/>
    <w:rsid w:val="00040C7F"/>
    <w:rsid w:val="00040D10"/>
    <w:rsid w:val="00041305"/>
    <w:rsid w:val="0004234A"/>
    <w:rsid w:val="000445AA"/>
    <w:rsid w:val="00044B7C"/>
    <w:rsid w:val="00045059"/>
    <w:rsid w:val="000458F0"/>
    <w:rsid w:val="0005029A"/>
    <w:rsid w:val="000503F7"/>
    <w:rsid w:val="00050B15"/>
    <w:rsid w:val="00051219"/>
    <w:rsid w:val="000526BC"/>
    <w:rsid w:val="00052F0F"/>
    <w:rsid w:val="00053714"/>
    <w:rsid w:val="0005415A"/>
    <w:rsid w:val="00054D47"/>
    <w:rsid w:val="00056A01"/>
    <w:rsid w:val="0005723E"/>
    <w:rsid w:val="0005762A"/>
    <w:rsid w:val="0005773F"/>
    <w:rsid w:val="00057F28"/>
    <w:rsid w:val="0006010A"/>
    <w:rsid w:val="00061B61"/>
    <w:rsid w:val="00061EEF"/>
    <w:rsid w:val="00061F1E"/>
    <w:rsid w:val="0006242C"/>
    <w:rsid w:val="0006255F"/>
    <w:rsid w:val="00062A66"/>
    <w:rsid w:val="00063EB7"/>
    <w:rsid w:val="000642B3"/>
    <w:rsid w:val="00065B2B"/>
    <w:rsid w:val="000665F2"/>
    <w:rsid w:val="00066B0E"/>
    <w:rsid w:val="00066B50"/>
    <w:rsid w:val="000678DA"/>
    <w:rsid w:val="00067983"/>
    <w:rsid w:val="00067ABB"/>
    <w:rsid w:val="00067F08"/>
    <w:rsid w:val="00070327"/>
    <w:rsid w:val="0007053E"/>
    <w:rsid w:val="0007142E"/>
    <w:rsid w:val="00071690"/>
    <w:rsid w:val="00071E12"/>
    <w:rsid w:val="00073105"/>
    <w:rsid w:val="000735AB"/>
    <w:rsid w:val="00074910"/>
    <w:rsid w:val="00075135"/>
    <w:rsid w:val="000769CC"/>
    <w:rsid w:val="000776B0"/>
    <w:rsid w:val="00081470"/>
    <w:rsid w:val="00081E24"/>
    <w:rsid w:val="000821E6"/>
    <w:rsid w:val="00082928"/>
    <w:rsid w:val="00082B82"/>
    <w:rsid w:val="00083B83"/>
    <w:rsid w:val="00083C8C"/>
    <w:rsid w:val="0008528F"/>
    <w:rsid w:val="00085F98"/>
    <w:rsid w:val="000867A6"/>
    <w:rsid w:val="0008719E"/>
    <w:rsid w:val="00087296"/>
    <w:rsid w:val="000900C8"/>
    <w:rsid w:val="00090536"/>
    <w:rsid w:val="00093FF3"/>
    <w:rsid w:val="00094351"/>
    <w:rsid w:val="000949F0"/>
    <w:rsid w:val="00094F68"/>
    <w:rsid w:val="00095620"/>
    <w:rsid w:val="00096373"/>
    <w:rsid w:val="0009707F"/>
    <w:rsid w:val="00097C21"/>
    <w:rsid w:val="000A0000"/>
    <w:rsid w:val="000A0AFD"/>
    <w:rsid w:val="000A0DDC"/>
    <w:rsid w:val="000A0F2D"/>
    <w:rsid w:val="000A1452"/>
    <w:rsid w:val="000A149A"/>
    <w:rsid w:val="000A1BE6"/>
    <w:rsid w:val="000A23B4"/>
    <w:rsid w:val="000A29D2"/>
    <w:rsid w:val="000A30A9"/>
    <w:rsid w:val="000A3800"/>
    <w:rsid w:val="000A423E"/>
    <w:rsid w:val="000A5046"/>
    <w:rsid w:val="000A695D"/>
    <w:rsid w:val="000A6C43"/>
    <w:rsid w:val="000A6CCA"/>
    <w:rsid w:val="000A715B"/>
    <w:rsid w:val="000A7710"/>
    <w:rsid w:val="000A7F7A"/>
    <w:rsid w:val="000B0003"/>
    <w:rsid w:val="000B0C8E"/>
    <w:rsid w:val="000B11F3"/>
    <w:rsid w:val="000B183E"/>
    <w:rsid w:val="000B2D8C"/>
    <w:rsid w:val="000B473C"/>
    <w:rsid w:val="000B4D95"/>
    <w:rsid w:val="000B5A52"/>
    <w:rsid w:val="000B5AA2"/>
    <w:rsid w:val="000B6BB2"/>
    <w:rsid w:val="000B7AE5"/>
    <w:rsid w:val="000C00E4"/>
    <w:rsid w:val="000C0824"/>
    <w:rsid w:val="000C097A"/>
    <w:rsid w:val="000C0AEA"/>
    <w:rsid w:val="000C1019"/>
    <w:rsid w:val="000C1C28"/>
    <w:rsid w:val="000C200B"/>
    <w:rsid w:val="000C2857"/>
    <w:rsid w:val="000C2B08"/>
    <w:rsid w:val="000C2D82"/>
    <w:rsid w:val="000C564F"/>
    <w:rsid w:val="000C637A"/>
    <w:rsid w:val="000C6AFE"/>
    <w:rsid w:val="000C6FD0"/>
    <w:rsid w:val="000C78E4"/>
    <w:rsid w:val="000C7C9F"/>
    <w:rsid w:val="000C7D12"/>
    <w:rsid w:val="000D0444"/>
    <w:rsid w:val="000D07AE"/>
    <w:rsid w:val="000D0C7E"/>
    <w:rsid w:val="000D0DE2"/>
    <w:rsid w:val="000D259C"/>
    <w:rsid w:val="000D2850"/>
    <w:rsid w:val="000D2B0C"/>
    <w:rsid w:val="000D3037"/>
    <w:rsid w:val="000D39A6"/>
    <w:rsid w:val="000D4840"/>
    <w:rsid w:val="000D48A3"/>
    <w:rsid w:val="000D4B6B"/>
    <w:rsid w:val="000D4E87"/>
    <w:rsid w:val="000D6650"/>
    <w:rsid w:val="000D6FAD"/>
    <w:rsid w:val="000D6FEB"/>
    <w:rsid w:val="000D7AF3"/>
    <w:rsid w:val="000D7DD2"/>
    <w:rsid w:val="000E0196"/>
    <w:rsid w:val="000E043B"/>
    <w:rsid w:val="000E135B"/>
    <w:rsid w:val="000E17D9"/>
    <w:rsid w:val="000E1BA1"/>
    <w:rsid w:val="000E2EF3"/>
    <w:rsid w:val="000E367B"/>
    <w:rsid w:val="000E3C5C"/>
    <w:rsid w:val="000E3E22"/>
    <w:rsid w:val="000E4A90"/>
    <w:rsid w:val="000E4CCE"/>
    <w:rsid w:val="000E5211"/>
    <w:rsid w:val="000E5458"/>
    <w:rsid w:val="000E68B0"/>
    <w:rsid w:val="000E7589"/>
    <w:rsid w:val="000E796A"/>
    <w:rsid w:val="000E7985"/>
    <w:rsid w:val="000E7D06"/>
    <w:rsid w:val="000F0E53"/>
    <w:rsid w:val="000F1003"/>
    <w:rsid w:val="000F1460"/>
    <w:rsid w:val="000F1D32"/>
    <w:rsid w:val="000F20A5"/>
    <w:rsid w:val="000F35DC"/>
    <w:rsid w:val="000F3D14"/>
    <w:rsid w:val="000F45C9"/>
    <w:rsid w:val="000F497E"/>
    <w:rsid w:val="000F4A32"/>
    <w:rsid w:val="000F4AE6"/>
    <w:rsid w:val="000F4FFC"/>
    <w:rsid w:val="000F5923"/>
    <w:rsid w:val="000F5CBC"/>
    <w:rsid w:val="000F7164"/>
    <w:rsid w:val="000F7267"/>
    <w:rsid w:val="000F74F8"/>
    <w:rsid w:val="000F7786"/>
    <w:rsid w:val="001004E0"/>
    <w:rsid w:val="00100B5C"/>
    <w:rsid w:val="00100F99"/>
    <w:rsid w:val="00104BF7"/>
    <w:rsid w:val="001051C6"/>
    <w:rsid w:val="0010558A"/>
    <w:rsid w:val="00105881"/>
    <w:rsid w:val="00105C44"/>
    <w:rsid w:val="001062B1"/>
    <w:rsid w:val="00106880"/>
    <w:rsid w:val="00106F3F"/>
    <w:rsid w:val="0010743D"/>
    <w:rsid w:val="00110293"/>
    <w:rsid w:val="00110580"/>
    <w:rsid w:val="00110FFB"/>
    <w:rsid w:val="0011117F"/>
    <w:rsid w:val="00111A06"/>
    <w:rsid w:val="00111EC0"/>
    <w:rsid w:val="00112415"/>
    <w:rsid w:val="00112ACE"/>
    <w:rsid w:val="001135B3"/>
    <w:rsid w:val="00113A76"/>
    <w:rsid w:val="00113BC9"/>
    <w:rsid w:val="001142F5"/>
    <w:rsid w:val="00114D08"/>
    <w:rsid w:val="001151D6"/>
    <w:rsid w:val="00116E99"/>
    <w:rsid w:val="00117E83"/>
    <w:rsid w:val="00120491"/>
    <w:rsid w:val="0012082A"/>
    <w:rsid w:val="001209C4"/>
    <w:rsid w:val="00121830"/>
    <w:rsid w:val="001226DD"/>
    <w:rsid w:val="00122DF9"/>
    <w:rsid w:val="001230DB"/>
    <w:rsid w:val="001232A3"/>
    <w:rsid w:val="00123830"/>
    <w:rsid w:val="001245E6"/>
    <w:rsid w:val="001250F5"/>
    <w:rsid w:val="00125EE8"/>
    <w:rsid w:val="00125F3F"/>
    <w:rsid w:val="0012623D"/>
    <w:rsid w:val="00126847"/>
    <w:rsid w:val="00126A03"/>
    <w:rsid w:val="00126A7D"/>
    <w:rsid w:val="00127DEA"/>
    <w:rsid w:val="00127F49"/>
    <w:rsid w:val="001303C7"/>
    <w:rsid w:val="00130753"/>
    <w:rsid w:val="00130882"/>
    <w:rsid w:val="00130C1E"/>
    <w:rsid w:val="00130E23"/>
    <w:rsid w:val="0013173E"/>
    <w:rsid w:val="001328CB"/>
    <w:rsid w:val="00132F34"/>
    <w:rsid w:val="001332BA"/>
    <w:rsid w:val="001337A1"/>
    <w:rsid w:val="00133D46"/>
    <w:rsid w:val="00134B34"/>
    <w:rsid w:val="00134B66"/>
    <w:rsid w:val="001352F5"/>
    <w:rsid w:val="0013765C"/>
    <w:rsid w:val="001404C9"/>
    <w:rsid w:val="00141F57"/>
    <w:rsid w:val="00142392"/>
    <w:rsid w:val="0014264E"/>
    <w:rsid w:val="001427BD"/>
    <w:rsid w:val="00143ECA"/>
    <w:rsid w:val="00144C58"/>
    <w:rsid w:val="00144DB9"/>
    <w:rsid w:val="0014511C"/>
    <w:rsid w:val="001470F4"/>
    <w:rsid w:val="0014726E"/>
    <w:rsid w:val="001506FD"/>
    <w:rsid w:val="00150AF5"/>
    <w:rsid w:val="00150C0D"/>
    <w:rsid w:val="00150ED9"/>
    <w:rsid w:val="001519E6"/>
    <w:rsid w:val="001520B0"/>
    <w:rsid w:val="00153ADE"/>
    <w:rsid w:val="001566F7"/>
    <w:rsid w:val="00156AA2"/>
    <w:rsid w:val="00156E6D"/>
    <w:rsid w:val="00157C0B"/>
    <w:rsid w:val="00161700"/>
    <w:rsid w:val="0016207A"/>
    <w:rsid w:val="001635C4"/>
    <w:rsid w:val="0016455C"/>
    <w:rsid w:val="00164711"/>
    <w:rsid w:val="0016492E"/>
    <w:rsid w:val="00165DF0"/>
    <w:rsid w:val="00165F63"/>
    <w:rsid w:val="00166518"/>
    <w:rsid w:val="00166921"/>
    <w:rsid w:val="0016695F"/>
    <w:rsid w:val="001678F3"/>
    <w:rsid w:val="001716A1"/>
    <w:rsid w:val="00171F56"/>
    <w:rsid w:val="00172DA1"/>
    <w:rsid w:val="0017330F"/>
    <w:rsid w:val="0017485D"/>
    <w:rsid w:val="00176214"/>
    <w:rsid w:val="0017628B"/>
    <w:rsid w:val="001773C9"/>
    <w:rsid w:val="00177DE1"/>
    <w:rsid w:val="0018177A"/>
    <w:rsid w:val="00182490"/>
    <w:rsid w:val="0018257B"/>
    <w:rsid w:val="00182C70"/>
    <w:rsid w:val="001833B4"/>
    <w:rsid w:val="00184094"/>
    <w:rsid w:val="001845B0"/>
    <w:rsid w:val="00184CBA"/>
    <w:rsid w:val="00184FC0"/>
    <w:rsid w:val="00186946"/>
    <w:rsid w:val="001876B5"/>
    <w:rsid w:val="00190666"/>
    <w:rsid w:val="001912CF"/>
    <w:rsid w:val="00192269"/>
    <w:rsid w:val="0019229C"/>
    <w:rsid w:val="00192394"/>
    <w:rsid w:val="00192595"/>
    <w:rsid w:val="00192C94"/>
    <w:rsid w:val="00192DEC"/>
    <w:rsid w:val="0019341D"/>
    <w:rsid w:val="001935B7"/>
    <w:rsid w:val="00193B6E"/>
    <w:rsid w:val="00193E23"/>
    <w:rsid w:val="001940C9"/>
    <w:rsid w:val="001944CE"/>
    <w:rsid w:val="00195023"/>
    <w:rsid w:val="001956C2"/>
    <w:rsid w:val="00196408"/>
    <w:rsid w:val="001965E0"/>
    <w:rsid w:val="00196CA5"/>
    <w:rsid w:val="001A036C"/>
    <w:rsid w:val="001A04BE"/>
    <w:rsid w:val="001A0974"/>
    <w:rsid w:val="001A0D5F"/>
    <w:rsid w:val="001A1C1E"/>
    <w:rsid w:val="001A2A47"/>
    <w:rsid w:val="001A3689"/>
    <w:rsid w:val="001A414C"/>
    <w:rsid w:val="001A4289"/>
    <w:rsid w:val="001A4E6F"/>
    <w:rsid w:val="001A5CA0"/>
    <w:rsid w:val="001A5FDF"/>
    <w:rsid w:val="001A61F5"/>
    <w:rsid w:val="001B0BAE"/>
    <w:rsid w:val="001B15C3"/>
    <w:rsid w:val="001B1BED"/>
    <w:rsid w:val="001B1F26"/>
    <w:rsid w:val="001B232F"/>
    <w:rsid w:val="001B2D22"/>
    <w:rsid w:val="001B3E67"/>
    <w:rsid w:val="001B455B"/>
    <w:rsid w:val="001B5A9D"/>
    <w:rsid w:val="001B5DB7"/>
    <w:rsid w:val="001B6262"/>
    <w:rsid w:val="001B6AD5"/>
    <w:rsid w:val="001B6FEB"/>
    <w:rsid w:val="001B724C"/>
    <w:rsid w:val="001B7716"/>
    <w:rsid w:val="001C0124"/>
    <w:rsid w:val="001C1CF7"/>
    <w:rsid w:val="001C1D94"/>
    <w:rsid w:val="001C32D8"/>
    <w:rsid w:val="001C3C1F"/>
    <w:rsid w:val="001C416A"/>
    <w:rsid w:val="001C55D1"/>
    <w:rsid w:val="001C5828"/>
    <w:rsid w:val="001C5AFE"/>
    <w:rsid w:val="001C5BE2"/>
    <w:rsid w:val="001C5DE1"/>
    <w:rsid w:val="001C700D"/>
    <w:rsid w:val="001C743C"/>
    <w:rsid w:val="001C7E06"/>
    <w:rsid w:val="001D06D2"/>
    <w:rsid w:val="001D095F"/>
    <w:rsid w:val="001D1015"/>
    <w:rsid w:val="001D222F"/>
    <w:rsid w:val="001D3637"/>
    <w:rsid w:val="001D3CDE"/>
    <w:rsid w:val="001D4293"/>
    <w:rsid w:val="001D4791"/>
    <w:rsid w:val="001D5E18"/>
    <w:rsid w:val="001D6120"/>
    <w:rsid w:val="001D6176"/>
    <w:rsid w:val="001D66E8"/>
    <w:rsid w:val="001D7A28"/>
    <w:rsid w:val="001E07A3"/>
    <w:rsid w:val="001E07D5"/>
    <w:rsid w:val="001E0FD8"/>
    <w:rsid w:val="001E102E"/>
    <w:rsid w:val="001E1126"/>
    <w:rsid w:val="001E18CE"/>
    <w:rsid w:val="001E2273"/>
    <w:rsid w:val="001E2407"/>
    <w:rsid w:val="001E2EFE"/>
    <w:rsid w:val="001E3E27"/>
    <w:rsid w:val="001E4008"/>
    <w:rsid w:val="001E443D"/>
    <w:rsid w:val="001E4C39"/>
    <w:rsid w:val="001E5762"/>
    <w:rsid w:val="001E6F37"/>
    <w:rsid w:val="001E7830"/>
    <w:rsid w:val="001E7C0B"/>
    <w:rsid w:val="001E7ED4"/>
    <w:rsid w:val="001F09DE"/>
    <w:rsid w:val="001F0DBD"/>
    <w:rsid w:val="001F15B8"/>
    <w:rsid w:val="001F190C"/>
    <w:rsid w:val="001F1AA5"/>
    <w:rsid w:val="001F1F9A"/>
    <w:rsid w:val="001F212F"/>
    <w:rsid w:val="001F28CD"/>
    <w:rsid w:val="001F2DC4"/>
    <w:rsid w:val="001F3278"/>
    <w:rsid w:val="001F32EC"/>
    <w:rsid w:val="001F3EE1"/>
    <w:rsid w:val="001F4C0B"/>
    <w:rsid w:val="001F5626"/>
    <w:rsid w:val="001F5775"/>
    <w:rsid w:val="001F5EDF"/>
    <w:rsid w:val="001F7243"/>
    <w:rsid w:val="001F74C6"/>
    <w:rsid w:val="001F7BA5"/>
    <w:rsid w:val="0020028A"/>
    <w:rsid w:val="00200F88"/>
    <w:rsid w:val="00201B51"/>
    <w:rsid w:val="00201FEB"/>
    <w:rsid w:val="002046A2"/>
    <w:rsid w:val="00205711"/>
    <w:rsid w:val="00205E6E"/>
    <w:rsid w:val="002060E9"/>
    <w:rsid w:val="0020663D"/>
    <w:rsid w:val="00206887"/>
    <w:rsid w:val="0020768F"/>
    <w:rsid w:val="00207D13"/>
    <w:rsid w:val="00210A9C"/>
    <w:rsid w:val="0021108D"/>
    <w:rsid w:val="00211341"/>
    <w:rsid w:val="00212794"/>
    <w:rsid w:val="00212D93"/>
    <w:rsid w:val="00213EE7"/>
    <w:rsid w:val="00214CE1"/>
    <w:rsid w:val="00215128"/>
    <w:rsid w:val="00215FB9"/>
    <w:rsid w:val="00216237"/>
    <w:rsid w:val="002177FC"/>
    <w:rsid w:val="002212AE"/>
    <w:rsid w:val="00221749"/>
    <w:rsid w:val="00221F1A"/>
    <w:rsid w:val="002221CF"/>
    <w:rsid w:val="00223011"/>
    <w:rsid w:val="002230BC"/>
    <w:rsid w:val="00223E53"/>
    <w:rsid w:val="0022422D"/>
    <w:rsid w:val="00224809"/>
    <w:rsid w:val="00224A8D"/>
    <w:rsid w:val="00224AF6"/>
    <w:rsid w:val="002253F6"/>
    <w:rsid w:val="00225FB9"/>
    <w:rsid w:val="00226D8E"/>
    <w:rsid w:val="00227C38"/>
    <w:rsid w:val="00230A68"/>
    <w:rsid w:val="00230B8B"/>
    <w:rsid w:val="002319BA"/>
    <w:rsid w:val="00231ECD"/>
    <w:rsid w:val="0023224D"/>
    <w:rsid w:val="002328B6"/>
    <w:rsid w:val="00232A19"/>
    <w:rsid w:val="00233183"/>
    <w:rsid w:val="002331BE"/>
    <w:rsid w:val="0023346C"/>
    <w:rsid w:val="002339A3"/>
    <w:rsid w:val="00233B3A"/>
    <w:rsid w:val="002340A6"/>
    <w:rsid w:val="002345B6"/>
    <w:rsid w:val="00234683"/>
    <w:rsid w:val="00235155"/>
    <w:rsid w:val="002368FC"/>
    <w:rsid w:val="002369DB"/>
    <w:rsid w:val="00236E3A"/>
    <w:rsid w:val="00240267"/>
    <w:rsid w:val="002407CC"/>
    <w:rsid w:val="00240913"/>
    <w:rsid w:val="00242743"/>
    <w:rsid w:val="002432F5"/>
    <w:rsid w:val="00243602"/>
    <w:rsid w:val="00243C71"/>
    <w:rsid w:val="002447B3"/>
    <w:rsid w:val="00244CC9"/>
    <w:rsid w:val="00245E10"/>
    <w:rsid w:val="00246016"/>
    <w:rsid w:val="002461B3"/>
    <w:rsid w:val="0024637D"/>
    <w:rsid w:val="00246CD4"/>
    <w:rsid w:val="00247A9E"/>
    <w:rsid w:val="00247E2E"/>
    <w:rsid w:val="0025056F"/>
    <w:rsid w:val="0025112C"/>
    <w:rsid w:val="002513B0"/>
    <w:rsid w:val="00251418"/>
    <w:rsid w:val="0025331C"/>
    <w:rsid w:val="0025352E"/>
    <w:rsid w:val="00253B49"/>
    <w:rsid w:val="00253BD2"/>
    <w:rsid w:val="00254EEE"/>
    <w:rsid w:val="00255156"/>
    <w:rsid w:val="0025526E"/>
    <w:rsid w:val="0025595A"/>
    <w:rsid w:val="0025641E"/>
    <w:rsid w:val="00256BE9"/>
    <w:rsid w:val="00256E4A"/>
    <w:rsid w:val="00257AAE"/>
    <w:rsid w:val="00260106"/>
    <w:rsid w:val="00261067"/>
    <w:rsid w:val="00262F11"/>
    <w:rsid w:val="00263325"/>
    <w:rsid w:val="0026449C"/>
    <w:rsid w:val="002647F3"/>
    <w:rsid w:val="00264A00"/>
    <w:rsid w:val="00264F89"/>
    <w:rsid w:val="002653E5"/>
    <w:rsid w:val="00265B67"/>
    <w:rsid w:val="00267769"/>
    <w:rsid w:val="00267E3C"/>
    <w:rsid w:val="00272168"/>
    <w:rsid w:val="0027221D"/>
    <w:rsid w:val="002733BD"/>
    <w:rsid w:val="002735E7"/>
    <w:rsid w:val="00273783"/>
    <w:rsid w:val="00274786"/>
    <w:rsid w:val="0027498A"/>
    <w:rsid w:val="00274A59"/>
    <w:rsid w:val="002759EC"/>
    <w:rsid w:val="0027658C"/>
    <w:rsid w:val="00276A35"/>
    <w:rsid w:val="00277843"/>
    <w:rsid w:val="00277ADB"/>
    <w:rsid w:val="00277FF7"/>
    <w:rsid w:val="00281A40"/>
    <w:rsid w:val="00281E0C"/>
    <w:rsid w:val="002822D7"/>
    <w:rsid w:val="002829A1"/>
    <w:rsid w:val="00284178"/>
    <w:rsid w:val="002849D2"/>
    <w:rsid w:val="00284C54"/>
    <w:rsid w:val="00285801"/>
    <w:rsid w:val="00285A28"/>
    <w:rsid w:val="00286036"/>
    <w:rsid w:val="00286640"/>
    <w:rsid w:val="00286874"/>
    <w:rsid w:val="00286B4E"/>
    <w:rsid w:val="00286BC5"/>
    <w:rsid w:val="002875BC"/>
    <w:rsid w:val="002919F9"/>
    <w:rsid w:val="00292383"/>
    <w:rsid w:val="0029342F"/>
    <w:rsid w:val="002939A7"/>
    <w:rsid w:val="00294D50"/>
    <w:rsid w:val="0029653A"/>
    <w:rsid w:val="00296B48"/>
    <w:rsid w:val="0029768A"/>
    <w:rsid w:val="00297993"/>
    <w:rsid w:val="002A0468"/>
    <w:rsid w:val="002A2287"/>
    <w:rsid w:val="002A2484"/>
    <w:rsid w:val="002A27F5"/>
    <w:rsid w:val="002A375E"/>
    <w:rsid w:val="002A3C35"/>
    <w:rsid w:val="002A45E0"/>
    <w:rsid w:val="002A5860"/>
    <w:rsid w:val="002A5986"/>
    <w:rsid w:val="002A7F06"/>
    <w:rsid w:val="002B0185"/>
    <w:rsid w:val="002B01A3"/>
    <w:rsid w:val="002B0602"/>
    <w:rsid w:val="002B13B0"/>
    <w:rsid w:val="002B14C1"/>
    <w:rsid w:val="002B404F"/>
    <w:rsid w:val="002B570A"/>
    <w:rsid w:val="002B58C3"/>
    <w:rsid w:val="002B5A3A"/>
    <w:rsid w:val="002B6221"/>
    <w:rsid w:val="002B6292"/>
    <w:rsid w:val="002B6384"/>
    <w:rsid w:val="002B69A1"/>
    <w:rsid w:val="002B74C8"/>
    <w:rsid w:val="002C01AF"/>
    <w:rsid w:val="002C0696"/>
    <w:rsid w:val="002C07B7"/>
    <w:rsid w:val="002C08FA"/>
    <w:rsid w:val="002C0E85"/>
    <w:rsid w:val="002C1AE3"/>
    <w:rsid w:val="002C1AF6"/>
    <w:rsid w:val="002C22DD"/>
    <w:rsid w:val="002C2348"/>
    <w:rsid w:val="002C24F0"/>
    <w:rsid w:val="002C2621"/>
    <w:rsid w:val="002C2656"/>
    <w:rsid w:val="002C2671"/>
    <w:rsid w:val="002C2AF7"/>
    <w:rsid w:val="002C3F3B"/>
    <w:rsid w:val="002C41F8"/>
    <w:rsid w:val="002C42F1"/>
    <w:rsid w:val="002C4624"/>
    <w:rsid w:val="002C578E"/>
    <w:rsid w:val="002C685B"/>
    <w:rsid w:val="002C69AE"/>
    <w:rsid w:val="002C74D2"/>
    <w:rsid w:val="002C7B4C"/>
    <w:rsid w:val="002D0226"/>
    <w:rsid w:val="002D0978"/>
    <w:rsid w:val="002D179B"/>
    <w:rsid w:val="002D1C0B"/>
    <w:rsid w:val="002D1EE7"/>
    <w:rsid w:val="002D245D"/>
    <w:rsid w:val="002D25BD"/>
    <w:rsid w:val="002D2BB3"/>
    <w:rsid w:val="002D3E50"/>
    <w:rsid w:val="002D47A0"/>
    <w:rsid w:val="002D7619"/>
    <w:rsid w:val="002E0ED1"/>
    <w:rsid w:val="002E1EE2"/>
    <w:rsid w:val="002E5DA2"/>
    <w:rsid w:val="002E6630"/>
    <w:rsid w:val="002E6A96"/>
    <w:rsid w:val="002E735B"/>
    <w:rsid w:val="002E7360"/>
    <w:rsid w:val="002E7E82"/>
    <w:rsid w:val="002F007F"/>
    <w:rsid w:val="002F07D8"/>
    <w:rsid w:val="002F0B72"/>
    <w:rsid w:val="002F1807"/>
    <w:rsid w:val="002F27E4"/>
    <w:rsid w:val="002F2951"/>
    <w:rsid w:val="002F2B8A"/>
    <w:rsid w:val="002F2C2F"/>
    <w:rsid w:val="002F2E5D"/>
    <w:rsid w:val="002F3D8E"/>
    <w:rsid w:val="002F43B3"/>
    <w:rsid w:val="002F496C"/>
    <w:rsid w:val="002F4E4F"/>
    <w:rsid w:val="002F71D9"/>
    <w:rsid w:val="002F766D"/>
    <w:rsid w:val="002F7FF9"/>
    <w:rsid w:val="003002A3"/>
    <w:rsid w:val="00300921"/>
    <w:rsid w:val="00300BAB"/>
    <w:rsid w:val="00300C0A"/>
    <w:rsid w:val="00300DB0"/>
    <w:rsid w:val="003011FC"/>
    <w:rsid w:val="003018EF"/>
    <w:rsid w:val="00301D93"/>
    <w:rsid w:val="0030316E"/>
    <w:rsid w:val="00303BF4"/>
    <w:rsid w:val="00304023"/>
    <w:rsid w:val="003045B3"/>
    <w:rsid w:val="00304C35"/>
    <w:rsid w:val="00305253"/>
    <w:rsid w:val="003057D4"/>
    <w:rsid w:val="003065CA"/>
    <w:rsid w:val="00306750"/>
    <w:rsid w:val="0030795F"/>
    <w:rsid w:val="00310A1D"/>
    <w:rsid w:val="00310F89"/>
    <w:rsid w:val="00311698"/>
    <w:rsid w:val="00311D4A"/>
    <w:rsid w:val="0031255D"/>
    <w:rsid w:val="0031286C"/>
    <w:rsid w:val="00312B6E"/>
    <w:rsid w:val="00313759"/>
    <w:rsid w:val="0031467D"/>
    <w:rsid w:val="003147C4"/>
    <w:rsid w:val="003148EB"/>
    <w:rsid w:val="00316117"/>
    <w:rsid w:val="00316524"/>
    <w:rsid w:val="00316659"/>
    <w:rsid w:val="00316B83"/>
    <w:rsid w:val="00317B73"/>
    <w:rsid w:val="00320B72"/>
    <w:rsid w:val="0032176E"/>
    <w:rsid w:val="0032196A"/>
    <w:rsid w:val="00321A13"/>
    <w:rsid w:val="00321A7B"/>
    <w:rsid w:val="003222B2"/>
    <w:rsid w:val="00322BE2"/>
    <w:rsid w:val="00322C6E"/>
    <w:rsid w:val="00323ADD"/>
    <w:rsid w:val="00324350"/>
    <w:rsid w:val="00325078"/>
    <w:rsid w:val="00325172"/>
    <w:rsid w:val="00325670"/>
    <w:rsid w:val="003269CB"/>
    <w:rsid w:val="00327935"/>
    <w:rsid w:val="00327E58"/>
    <w:rsid w:val="003302C4"/>
    <w:rsid w:val="00330D8B"/>
    <w:rsid w:val="0033141F"/>
    <w:rsid w:val="0033171C"/>
    <w:rsid w:val="00331B46"/>
    <w:rsid w:val="00331CA6"/>
    <w:rsid w:val="00332DA3"/>
    <w:rsid w:val="00333414"/>
    <w:rsid w:val="00333BA2"/>
    <w:rsid w:val="0033434D"/>
    <w:rsid w:val="0033598E"/>
    <w:rsid w:val="003367E4"/>
    <w:rsid w:val="00336EFD"/>
    <w:rsid w:val="0033733C"/>
    <w:rsid w:val="003405E3"/>
    <w:rsid w:val="003409A1"/>
    <w:rsid w:val="003414F8"/>
    <w:rsid w:val="00341C2F"/>
    <w:rsid w:val="003425A4"/>
    <w:rsid w:val="0034283F"/>
    <w:rsid w:val="00343C61"/>
    <w:rsid w:val="003444D5"/>
    <w:rsid w:val="00344CEA"/>
    <w:rsid w:val="0034589A"/>
    <w:rsid w:val="003458B6"/>
    <w:rsid w:val="00345F2C"/>
    <w:rsid w:val="00346968"/>
    <w:rsid w:val="00346A33"/>
    <w:rsid w:val="00346EEC"/>
    <w:rsid w:val="00347230"/>
    <w:rsid w:val="0034788E"/>
    <w:rsid w:val="00347C62"/>
    <w:rsid w:val="00347C6A"/>
    <w:rsid w:val="00347D7C"/>
    <w:rsid w:val="003500BB"/>
    <w:rsid w:val="0035012E"/>
    <w:rsid w:val="003501D4"/>
    <w:rsid w:val="00350DD0"/>
    <w:rsid w:val="00351413"/>
    <w:rsid w:val="00351538"/>
    <w:rsid w:val="003518EB"/>
    <w:rsid w:val="003522A6"/>
    <w:rsid w:val="003523DE"/>
    <w:rsid w:val="00352DF4"/>
    <w:rsid w:val="003552A4"/>
    <w:rsid w:val="00355C37"/>
    <w:rsid w:val="0035624F"/>
    <w:rsid w:val="00357A91"/>
    <w:rsid w:val="003604BB"/>
    <w:rsid w:val="0036051C"/>
    <w:rsid w:val="00360F14"/>
    <w:rsid w:val="00362156"/>
    <w:rsid w:val="003635D8"/>
    <w:rsid w:val="00364643"/>
    <w:rsid w:val="00364B1E"/>
    <w:rsid w:val="00364D5F"/>
    <w:rsid w:val="00365127"/>
    <w:rsid w:val="00365137"/>
    <w:rsid w:val="003664B4"/>
    <w:rsid w:val="00367730"/>
    <w:rsid w:val="00367B18"/>
    <w:rsid w:val="00371B9D"/>
    <w:rsid w:val="00372023"/>
    <w:rsid w:val="00372364"/>
    <w:rsid w:val="00372448"/>
    <w:rsid w:val="00372755"/>
    <w:rsid w:val="00372AFE"/>
    <w:rsid w:val="00372DA9"/>
    <w:rsid w:val="003733EE"/>
    <w:rsid w:val="00373606"/>
    <w:rsid w:val="003767C3"/>
    <w:rsid w:val="003777E5"/>
    <w:rsid w:val="003778CE"/>
    <w:rsid w:val="0038203A"/>
    <w:rsid w:val="00382093"/>
    <w:rsid w:val="003824A2"/>
    <w:rsid w:val="00382D08"/>
    <w:rsid w:val="00383657"/>
    <w:rsid w:val="00383720"/>
    <w:rsid w:val="00383C05"/>
    <w:rsid w:val="003848A9"/>
    <w:rsid w:val="00385835"/>
    <w:rsid w:val="00386213"/>
    <w:rsid w:val="0038647B"/>
    <w:rsid w:val="00386A96"/>
    <w:rsid w:val="00387CDF"/>
    <w:rsid w:val="00387F41"/>
    <w:rsid w:val="003903A0"/>
    <w:rsid w:val="00391004"/>
    <w:rsid w:val="00391128"/>
    <w:rsid w:val="0039143D"/>
    <w:rsid w:val="00391F42"/>
    <w:rsid w:val="0039205F"/>
    <w:rsid w:val="003926D7"/>
    <w:rsid w:val="003927DE"/>
    <w:rsid w:val="0039290E"/>
    <w:rsid w:val="00393981"/>
    <w:rsid w:val="00393CA9"/>
    <w:rsid w:val="00394178"/>
    <w:rsid w:val="00394388"/>
    <w:rsid w:val="003945F3"/>
    <w:rsid w:val="003946F0"/>
    <w:rsid w:val="00394E20"/>
    <w:rsid w:val="0039539F"/>
    <w:rsid w:val="00396CBE"/>
    <w:rsid w:val="00397733"/>
    <w:rsid w:val="003A010B"/>
    <w:rsid w:val="003A0728"/>
    <w:rsid w:val="003A179E"/>
    <w:rsid w:val="003A17CE"/>
    <w:rsid w:val="003A2FFE"/>
    <w:rsid w:val="003A353B"/>
    <w:rsid w:val="003A3654"/>
    <w:rsid w:val="003A3B97"/>
    <w:rsid w:val="003A4246"/>
    <w:rsid w:val="003A4330"/>
    <w:rsid w:val="003A45A4"/>
    <w:rsid w:val="003A4CF3"/>
    <w:rsid w:val="003A534A"/>
    <w:rsid w:val="003A5853"/>
    <w:rsid w:val="003A6BF0"/>
    <w:rsid w:val="003A6F57"/>
    <w:rsid w:val="003A7027"/>
    <w:rsid w:val="003B02FF"/>
    <w:rsid w:val="003B0B19"/>
    <w:rsid w:val="003B1008"/>
    <w:rsid w:val="003B1271"/>
    <w:rsid w:val="003B1643"/>
    <w:rsid w:val="003B16F4"/>
    <w:rsid w:val="003B2C8E"/>
    <w:rsid w:val="003B3FB4"/>
    <w:rsid w:val="003B4121"/>
    <w:rsid w:val="003B4206"/>
    <w:rsid w:val="003B44CE"/>
    <w:rsid w:val="003B5014"/>
    <w:rsid w:val="003B5B1F"/>
    <w:rsid w:val="003B5B9C"/>
    <w:rsid w:val="003B644B"/>
    <w:rsid w:val="003B67DC"/>
    <w:rsid w:val="003B6AA8"/>
    <w:rsid w:val="003B7050"/>
    <w:rsid w:val="003B7E27"/>
    <w:rsid w:val="003C0F88"/>
    <w:rsid w:val="003C3317"/>
    <w:rsid w:val="003C3525"/>
    <w:rsid w:val="003C35AD"/>
    <w:rsid w:val="003C4705"/>
    <w:rsid w:val="003C7F00"/>
    <w:rsid w:val="003D0983"/>
    <w:rsid w:val="003D099C"/>
    <w:rsid w:val="003D0AAF"/>
    <w:rsid w:val="003D0ABD"/>
    <w:rsid w:val="003D0B34"/>
    <w:rsid w:val="003D0F4E"/>
    <w:rsid w:val="003D2689"/>
    <w:rsid w:val="003D4200"/>
    <w:rsid w:val="003D4EA3"/>
    <w:rsid w:val="003D5235"/>
    <w:rsid w:val="003D5C4F"/>
    <w:rsid w:val="003D6130"/>
    <w:rsid w:val="003D670E"/>
    <w:rsid w:val="003D7FA2"/>
    <w:rsid w:val="003E0698"/>
    <w:rsid w:val="003E071A"/>
    <w:rsid w:val="003E0D17"/>
    <w:rsid w:val="003E0F8A"/>
    <w:rsid w:val="003E171C"/>
    <w:rsid w:val="003E1986"/>
    <w:rsid w:val="003E19CA"/>
    <w:rsid w:val="003E337F"/>
    <w:rsid w:val="003E38A2"/>
    <w:rsid w:val="003E4AA1"/>
    <w:rsid w:val="003E4BF7"/>
    <w:rsid w:val="003E5645"/>
    <w:rsid w:val="003E5874"/>
    <w:rsid w:val="003E607E"/>
    <w:rsid w:val="003E6336"/>
    <w:rsid w:val="003E6D21"/>
    <w:rsid w:val="003E6F22"/>
    <w:rsid w:val="003E71A2"/>
    <w:rsid w:val="003E73FA"/>
    <w:rsid w:val="003F0685"/>
    <w:rsid w:val="003F0D4C"/>
    <w:rsid w:val="003F12B7"/>
    <w:rsid w:val="003F1F4C"/>
    <w:rsid w:val="003F234A"/>
    <w:rsid w:val="003F26B8"/>
    <w:rsid w:val="003F4565"/>
    <w:rsid w:val="003F4B15"/>
    <w:rsid w:val="003F4E50"/>
    <w:rsid w:val="003F6335"/>
    <w:rsid w:val="003F685C"/>
    <w:rsid w:val="003F7C62"/>
    <w:rsid w:val="003F7EA2"/>
    <w:rsid w:val="003F7EE8"/>
    <w:rsid w:val="004000AB"/>
    <w:rsid w:val="00400366"/>
    <w:rsid w:val="00401BFC"/>
    <w:rsid w:val="00404330"/>
    <w:rsid w:val="0040452D"/>
    <w:rsid w:val="00404C93"/>
    <w:rsid w:val="0040567A"/>
    <w:rsid w:val="004056A1"/>
    <w:rsid w:val="004057BF"/>
    <w:rsid w:val="00406017"/>
    <w:rsid w:val="0040616D"/>
    <w:rsid w:val="00406CA2"/>
    <w:rsid w:val="00407954"/>
    <w:rsid w:val="00407FDF"/>
    <w:rsid w:val="004103F6"/>
    <w:rsid w:val="00410800"/>
    <w:rsid w:val="00410B00"/>
    <w:rsid w:val="00410FC4"/>
    <w:rsid w:val="00412224"/>
    <w:rsid w:val="00412AB8"/>
    <w:rsid w:val="00412BDB"/>
    <w:rsid w:val="00412E52"/>
    <w:rsid w:val="00413D94"/>
    <w:rsid w:val="00413FDB"/>
    <w:rsid w:val="004142E6"/>
    <w:rsid w:val="00414FA2"/>
    <w:rsid w:val="0041509B"/>
    <w:rsid w:val="0041529C"/>
    <w:rsid w:val="0041569D"/>
    <w:rsid w:val="00415A71"/>
    <w:rsid w:val="00416025"/>
    <w:rsid w:val="00416DF3"/>
    <w:rsid w:val="004174FA"/>
    <w:rsid w:val="00417B0B"/>
    <w:rsid w:val="00421DBB"/>
    <w:rsid w:val="00422179"/>
    <w:rsid w:val="0042276D"/>
    <w:rsid w:val="004232E0"/>
    <w:rsid w:val="00423796"/>
    <w:rsid w:val="0042381B"/>
    <w:rsid w:val="00423A7B"/>
    <w:rsid w:val="00424AA8"/>
    <w:rsid w:val="00424D97"/>
    <w:rsid w:val="00425306"/>
    <w:rsid w:val="004255C1"/>
    <w:rsid w:val="0042584E"/>
    <w:rsid w:val="00425DFD"/>
    <w:rsid w:val="00426185"/>
    <w:rsid w:val="004263E5"/>
    <w:rsid w:val="00427408"/>
    <w:rsid w:val="00427F2A"/>
    <w:rsid w:val="00430AA2"/>
    <w:rsid w:val="004336E5"/>
    <w:rsid w:val="00433F19"/>
    <w:rsid w:val="0043419C"/>
    <w:rsid w:val="0043440A"/>
    <w:rsid w:val="00434583"/>
    <w:rsid w:val="00435088"/>
    <w:rsid w:val="004354E0"/>
    <w:rsid w:val="00435B36"/>
    <w:rsid w:val="0043750D"/>
    <w:rsid w:val="00437525"/>
    <w:rsid w:val="00437A47"/>
    <w:rsid w:val="00437C7E"/>
    <w:rsid w:val="00440A65"/>
    <w:rsid w:val="00440C52"/>
    <w:rsid w:val="00442A2A"/>
    <w:rsid w:val="00442CA2"/>
    <w:rsid w:val="00443EB4"/>
    <w:rsid w:val="00443F5F"/>
    <w:rsid w:val="00443FDE"/>
    <w:rsid w:val="00444DE5"/>
    <w:rsid w:val="0044508D"/>
    <w:rsid w:val="00445092"/>
    <w:rsid w:val="004450F3"/>
    <w:rsid w:val="004451CA"/>
    <w:rsid w:val="004500DE"/>
    <w:rsid w:val="00451A87"/>
    <w:rsid w:val="0045365D"/>
    <w:rsid w:val="00453713"/>
    <w:rsid w:val="00453A1D"/>
    <w:rsid w:val="00454764"/>
    <w:rsid w:val="00456469"/>
    <w:rsid w:val="004569C6"/>
    <w:rsid w:val="00456FCF"/>
    <w:rsid w:val="00457442"/>
    <w:rsid w:val="00457A18"/>
    <w:rsid w:val="00460104"/>
    <w:rsid w:val="00460962"/>
    <w:rsid w:val="00460DFF"/>
    <w:rsid w:val="00461090"/>
    <w:rsid w:val="00461322"/>
    <w:rsid w:val="00462453"/>
    <w:rsid w:val="00462463"/>
    <w:rsid w:val="00463952"/>
    <w:rsid w:val="00463F7E"/>
    <w:rsid w:val="004644A9"/>
    <w:rsid w:val="004644C4"/>
    <w:rsid w:val="004646C7"/>
    <w:rsid w:val="00464A6E"/>
    <w:rsid w:val="00464AB3"/>
    <w:rsid w:val="00464BFF"/>
    <w:rsid w:val="00466397"/>
    <w:rsid w:val="00466C2F"/>
    <w:rsid w:val="00466EFE"/>
    <w:rsid w:val="00467020"/>
    <w:rsid w:val="00467653"/>
    <w:rsid w:val="00467C00"/>
    <w:rsid w:val="0047067E"/>
    <w:rsid w:val="004718EC"/>
    <w:rsid w:val="00471DD9"/>
    <w:rsid w:val="00472142"/>
    <w:rsid w:val="004728FE"/>
    <w:rsid w:val="00472A8E"/>
    <w:rsid w:val="00472AA1"/>
    <w:rsid w:val="00473D5D"/>
    <w:rsid w:val="00476DEA"/>
    <w:rsid w:val="00476E52"/>
    <w:rsid w:val="00477633"/>
    <w:rsid w:val="004777B2"/>
    <w:rsid w:val="00480101"/>
    <w:rsid w:val="00480797"/>
    <w:rsid w:val="00480C7A"/>
    <w:rsid w:val="00481383"/>
    <w:rsid w:val="004813F8"/>
    <w:rsid w:val="00481405"/>
    <w:rsid w:val="00481730"/>
    <w:rsid w:val="004820E6"/>
    <w:rsid w:val="00482B46"/>
    <w:rsid w:val="00483FBE"/>
    <w:rsid w:val="0048403F"/>
    <w:rsid w:val="004852B0"/>
    <w:rsid w:val="00485AA5"/>
    <w:rsid w:val="004866F9"/>
    <w:rsid w:val="00490300"/>
    <w:rsid w:val="00490DBB"/>
    <w:rsid w:val="00490E07"/>
    <w:rsid w:val="004910F6"/>
    <w:rsid w:val="00491C7B"/>
    <w:rsid w:val="004940DF"/>
    <w:rsid w:val="00494646"/>
    <w:rsid w:val="004956A3"/>
    <w:rsid w:val="00495D26"/>
    <w:rsid w:val="00496121"/>
    <w:rsid w:val="00497C45"/>
    <w:rsid w:val="004A1A5D"/>
    <w:rsid w:val="004A296A"/>
    <w:rsid w:val="004A3BB1"/>
    <w:rsid w:val="004A4706"/>
    <w:rsid w:val="004A525C"/>
    <w:rsid w:val="004A539B"/>
    <w:rsid w:val="004A53A7"/>
    <w:rsid w:val="004A53DF"/>
    <w:rsid w:val="004A65FA"/>
    <w:rsid w:val="004A6C27"/>
    <w:rsid w:val="004A717A"/>
    <w:rsid w:val="004B14FE"/>
    <w:rsid w:val="004B1A7E"/>
    <w:rsid w:val="004B1BEF"/>
    <w:rsid w:val="004B21EB"/>
    <w:rsid w:val="004B239F"/>
    <w:rsid w:val="004B2595"/>
    <w:rsid w:val="004B2B2B"/>
    <w:rsid w:val="004B2EA5"/>
    <w:rsid w:val="004B357B"/>
    <w:rsid w:val="004B3866"/>
    <w:rsid w:val="004B3BF1"/>
    <w:rsid w:val="004B3E9C"/>
    <w:rsid w:val="004B48C5"/>
    <w:rsid w:val="004B4A5F"/>
    <w:rsid w:val="004B4C2A"/>
    <w:rsid w:val="004B5449"/>
    <w:rsid w:val="004B6BFB"/>
    <w:rsid w:val="004B6C28"/>
    <w:rsid w:val="004C0173"/>
    <w:rsid w:val="004C1438"/>
    <w:rsid w:val="004C16B9"/>
    <w:rsid w:val="004C20D3"/>
    <w:rsid w:val="004C2BBE"/>
    <w:rsid w:val="004C30D3"/>
    <w:rsid w:val="004C3491"/>
    <w:rsid w:val="004C3BCB"/>
    <w:rsid w:val="004C4459"/>
    <w:rsid w:val="004C4C32"/>
    <w:rsid w:val="004C4D97"/>
    <w:rsid w:val="004C68CE"/>
    <w:rsid w:val="004C779C"/>
    <w:rsid w:val="004D040F"/>
    <w:rsid w:val="004D0AA2"/>
    <w:rsid w:val="004D10F5"/>
    <w:rsid w:val="004D1151"/>
    <w:rsid w:val="004D2F2B"/>
    <w:rsid w:val="004D363A"/>
    <w:rsid w:val="004D4B33"/>
    <w:rsid w:val="004D542F"/>
    <w:rsid w:val="004D5653"/>
    <w:rsid w:val="004D66BA"/>
    <w:rsid w:val="004D7541"/>
    <w:rsid w:val="004D76C0"/>
    <w:rsid w:val="004E023C"/>
    <w:rsid w:val="004E05AA"/>
    <w:rsid w:val="004E11CE"/>
    <w:rsid w:val="004E17E2"/>
    <w:rsid w:val="004E1DEF"/>
    <w:rsid w:val="004E2511"/>
    <w:rsid w:val="004E2B55"/>
    <w:rsid w:val="004E376C"/>
    <w:rsid w:val="004E3BFD"/>
    <w:rsid w:val="004E5E82"/>
    <w:rsid w:val="004E7266"/>
    <w:rsid w:val="004E7517"/>
    <w:rsid w:val="004E7612"/>
    <w:rsid w:val="004E77F7"/>
    <w:rsid w:val="004F222E"/>
    <w:rsid w:val="004F2562"/>
    <w:rsid w:val="004F25ED"/>
    <w:rsid w:val="004F2CB7"/>
    <w:rsid w:val="004F2FBD"/>
    <w:rsid w:val="004F3435"/>
    <w:rsid w:val="004F36C2"/>
    <w:rsid w:val="004F39B3"/>
    <w:rsid w:val="004F39F4"/>
    <w:rsid w:val="004F46D6"/>
    <w:rsid w:val="004F4A25"/>
    <w:rsid w:val="004F517E"/>
    <w:rsid w:val="004F56AA"/>
    <w:rsid w:val="004F5BEF"/>
    <w:rsid w:val="004F6D38"/>
    <w:rsid w:val="005009CE"/>
    <w:rsid w:val="00500DCC"/>
    <w:rsid w:val="00501746"/>
    <w:rsid w:val="005028D8"/>
    <w:rsid w:val="00502977"/>
    <w:rsid w:val="00503E0D"/>
    <w:rsid w:val="00504393"/>
    <w:rsid w:val="0050492B"/>
    <w:rsid w:val="00504BC9"/>
    <w:rsid w:val="00505E0F"/>
    <w:rsid w:val="00506035"/>
    <w:rsid w:val="00506D10"/>
    <w:rsid w:val="00506DD9"/>
    <w:rsid w:val="00511FCC"/>
    <w:rsid w:val="0051207A"/>
    <w:rsid w:val="00512A11"/>
    <w:rsid w:val="005131E0"/>
    <w:rsid w:val="00513926"/>
    <w:rsid w:val="00513F75"/>
    <w:rsid w:val="00514350"/>
    <w:rsid w:val="00515A37"/>
    <w:rsid w:val="00516107"/>
    <w:rsid w:val="005167CC"/>
    <w:rsid w:val="00520013"/>
    <w:rsid w:val="0052113B"/>
    <w:rsid w:val="00521AEE"/>
    <w:rsid w:val="005220B1"/>
    <w:rsid w:val="0052221C"/>
    <w:rsid w:val="0052285A"/>
    <w:rsid w:val="005228BA"/>
    <w:rsid w:val="005232B5"/>
    <w:rsid w:val="005237E2"/>
    <w:rsid w:val="00523E6A"/>
    <w:rsid w:val="0052475C"/>
    <w:rsid w:val="005247C3"/>
    <w:rsid w:val="00524C25"/>
    <w:rsid w:val="00524CDE"/>
    <w:rsid w:val="00525196"/>
    <w:rsid w:val="00525368"/>
    <w:rsid w:val="0052589C"/>
    <w:rsid w:val="00526540"/>
    <w:rsid w:val="00526F4D"/>
    <w:rsid w:val="00527C83"/>
    <w:rsid w:val="00530314"/>
    <w:rsid w:val="005304E8"/>
    <w:rsid w:val="00530827"/>
    <w:rsid w:val="005314C7"/>
    <w:rsid w:val="00531815"/>
    <w:rsid w:val="00532122"/>
    <w:rsid w:val="005328A7"/>
    <w:rsid w:val="0053439A"/>
    <w:rsid w:val="005343F9"/>
    <w:rsid w:val="00535616"/>
    <w:rsid w:val="0053575D"/>
    <w:rsid w:val="00535967"/>
    <w:rsid w:val="005359B7"/>
    <w:rsid w:val="005365DA"/>
    <w:rsid w:val="0053733A"/>
    <w:rsid w:val="00537EA5"/>
    <w:rsid w:val="00540649"/>
    <w:rsid w:val="0054118E"/>
    <w:rsid w:val="005429AA"/>
    <w:rsid w:val="0054367E"/>
    <w:rsid w:val="00544C60"/>
    <w:rsid w:val="00544F18"/>
    <w:rsid w:val="0054541A"/>
    <w:rsid w:val="005464A7"/>
    <w:rsid w:val="00546929"/>
    <w:rsid w:val="00546DC2"/>
    <w:rsid w:val="005506BF"/>
    <w:rsid w:val="005506DF"/>
    <w:rsid w:val="00551F69"/>
    <w:rsid w:val="0055227D"/>
    <w:rsid w:val="00553731"/>
    <w:rsid w:val="00554722"/>
    <w:rsid w:val="00554CEA"/>
    <w:rsid w:val="0055506C"/>
    <w:rsid w:val="00555CF5"/>
    <w:rsid w:val="0056002B"/>
    <w:rsid w:val="00560CCA"/>
    <w:rsid w:val="005612D3"/>
    <w:rsid w:val="00561316"/>
    <w:rsid w:val="00561678"/>
    <w:rsid w:val="0056168D"/>
    <w:rsid w:val="00562F13"/>
    <w:rsid w:val="0056304C"/>
    <w:rsid w:val="0056486C"/>
    <w:rsid w:val="00564B2A"/>
    <w:rsid w:val="00564C55"/>
    <w:rsid w:val="005651AC"/>
    <w:rsid w:val="005656AF"/>
    <w:rsid w:val="00565898"/>
    <w:rsid w:val="00565EDA"/>
    <w:rsid w:val="0056665F"/>
    <w:rsid w:val="00567EFB"/>
    <w:rsid w:val="005702BA"/>
    <w:rsid w:val="005703F3"/>
    <w:rsid w:val="005705AD"/>
    <w:rsid w:val="00570AF5"/>
    <w:rsid w:val="00571BE6"/>
    <w:rsid w:val="00572594"/>
    <w:rsid w:val="005728FC"/>
    <w:rsid w:val="005730FB"/>
    <w:rsid w:val="0057330B"/>
    <w:rsid w:val="00573C89"/>
    <w:rsid w:val="00573CB9"/>
    <w:rsid w:val="00574786"/>
    <w:rsid w:val="00574F00"/>
    <w:rsid w:val="00575081"/>
    <w:rsid w:val="00575A06"/>
    <w:rsid w:val="0057613E"/>
    <w:rsid w:val="0057628E"/>
    <w:rsid w:val="0057648C"/>
    <w:rsid w:val="00576AAE"/>
    <w:rsid w:val="00576CC1"/>
    <w:rsid w:val="00576CDB"/>
    <w:rsid w:val="00576D7D"/>
    <w:rsid w:val="00577733"/>
    <w:rsid w:val="005800B4"/>
    <w:rsid w:val="005800BE"/>
    <w:rsid w:val="00580AFA"/>
    <w:rsid w:val="00581127"/>
    <w:rsid w:val="00581253"/>
    <w:rsid w:val="00581768"/>
    <w:rsid w:val="005822C2"/>
    <w:rsid w:val="00582AC0"/>
    <w:rsid w:val="005832C7"/>
    <w:rsid w:val="00583880"/>
    <w:rsid w:val="00584130"/>
    <w:rsid w:val="00584356"/>
    <w:rsid w:val="005849C0"/>
    <w:rsid w:val="00584C36"/>
    <w:rsid w:val="00585498"/>
    <w:rsid w:val="00586162"/>
    <w:rsid w:val="00586B37"/>
    <w:rsid w:val="00586EDA"/>
    <w:rsid w:val="005875CB"/>
    <w:rsid w:val="00587A96"/>
    <w:rsid w:val="005907B5"/>
    <w:rsid w:val="00591737"/>
    <w:rsid w:val="00591B32"/>
    <w:rsid w:val="00593801"/>
    <w:rsid w:val="00595B98"/>
    <w:rsid w:val="00595EE9"/>
    <w:rsid w:val="00595F1C"/>
    <w:rsid w:val="005961CF"/>
    <w:rsid w:val="005964BF"/>
    <w:rsid w:val="00596570"/>
    <w:rsid w:val="00596D7B"/>
    <w:rsid w:val="005973C9"/>
    <w:rsid w:val="005A0288"/>
    <w:rsid w:val="005A0B13"/>
    <w:rsid w:val="005A0D37"/>
    <w:rsid w:val="005A1547"/>
    <w:rsid w:val="005A2CB9"/>
    <w:rsid w:val="005A33F9"/>
    <w:rsid w:val="005A37E2"/>
    <w:rsid w:val="005A3E07"/>
    <w:rsid w:val="005A42D0"/>
    <w:rsid w:val="005A4D04"/>
    <w:rsid w:val="005A4D7B"/>
    <w:rsid w:val="005A4E50"/>
    <w:rsid w:val="005A5C37"/>
    <w:rsid w:val="005A6B3E"/>
    <w:rsid w:val="005A7388"/>
    <w:rsid w:val="005A78BE"/>
    <w:rsid w:val="005B2280"/>
    <w:rsid w:val="005B29F2"/>
    <w:rsid w:val="005B54EC"/>
    <w:rsid w:val="005B5F50"/>
    <w:rsid w:val="005B606F"/>
    <w:rsid w:val="005B68D8"/>
    <w:rsid w:val="005B6BDF"/>
    <w:rsid w:val="005B7AC7"/>
    <w:rsid w:val="005B7B2B"/>
    <w:rsid w:val="005C00E8"/>
    <w:rsid w:val="005C0981"/>
    <w:rsid w:val="005C0A6B"/>
    <w:rsid w:val="005C0C5D"/>
    <w:rsid w:val="005C0D02"/>
    <w:rsid w:val="005C1C05"/>
    <w:rsid w:val="005C2D26"/>
    <w:rsid w:val="005C2FD4"/>
    <w:rsid w:val="005C34B8"/>
    <w:rsid w:val="005C3BCB"/>
    <w:rsid w:val="005C3C73"/>
    <w:rsid w:val="005C3FA8"/>
    <w:rsid w:val="005C465A"/>
    <w:rsid w:val="005C7DE1"/>
    <w:rsid w:val="005D0901"/>
    <w:rsid w:val="005D0C8C"/>
    <w:rsid w:val="005D17B9"/>
    <w:rsid w:val="005D19D7"/>
    <w:rsid w:val="005D2282"/>
    <w:rsid w:val="005D2433"/>
    <w:rsid w:val="005D2AF0"/>
    <w:rsid w:val="005D2CFF"/>
    <w:rsid w:val="005D31C0"/>
    <w:rsid w:val="005D3B7C"/>
    <w:rsid w:val="005D41DE"/>
    <w:rsid w:val="005D47D5"/>
    <w:rsid w:val="005D4A58"/>
    <w:rsid w:val="005D4C48"/>
    <w:rsid w:val="005D51B7"/>
    <w:rsid w:val="005D5DAF"/>
    <w:rsid w:val="005D6DAC"/>
    <w:rsid w:val="005D7B27"/>
    <w:rsid w:val="005D7C30"/>
    <w:rsid w:val="005E170A"/>
    <w:rsid w:val="005E172B"/>
    <w:rsid w:val="005E187F"/>
    <w:rsid w:val="005E1B9D"/>
    <w:rsid w:val="005E1FD4"/>
    <w:rsid w:val="005E21CD"/>
    <w:rsid w:val="005E24B9"/>
    <w:rsid w:val="005E2E14"/>
    <w:rsid w:val="005E3B52"/>
    <w:rsid w:val="005E40B8"/>
    <w:rsid w:val="005E44B6"/>
    <w:rsid w:val="005E52CE"/>
    <w:rsid w:val="005E5B06"/>
    <w:rsid w:val="005E5BC7"/>
    <w:rsid w:val="005E6FAD"/>
    <w:rsid w:val="005F01B5"/>
    <w:rsid w:val="005F025D"/>
    <w:rsid w:val="005F0357"/>
    <w:rsid w:val="005F03F6"/>
    <w:rsid w:val="005F0C63"/>
    <w:rsid w:val="005F16F2"/>
    <w:rsid w:val="005F2D43"/>
    <w:rsid w:val="005F38BD"/>
    <w:rsid w:val="005F515A"/>
    <w:rsid w:val="005F5275"/>
    <w:rsid w:val="005F54D5"/>
    <w:rsid w:val="005F5686"/>
    <w:rsid w:val="005F5968"/>
    <w:rsid w:val="005F6180"/>
    <w:rsid w:val="005F6EE3"/>
    <w:rsid w:val="005F7353"/>
    <w:rsid w:val="00600900"/>
    <w:rsid w:val="006009A0"/>
    <w:rsid w:val="00600A14"/>
    <w:rsid w:val="00600E0A"/>
    <w:rsid w:val="00601C25"/>
    <w:rsid w:val="00602586"/>
    <w:rsid w:val="0060337E"/>
    <w:rsid w:val="006033F4"/>
    <w:rsid w:val="0060364D"/>
    <w:rsid w:val="00604607"/>
    <w:rsid w:val="00604771"/>
    <w:rsid w:val="00604CE7"/>
    <w:rsid w:val="00604EAC"/>
    <w:rsid w:val="006051D9"/>
    <w:rsid w:val="00606788"/>
    <w:rsid w:val="00607A4E"/>
    <w:rsid w:val="00607D93"/>
    <w:rsid w:val="00610081"/>
    <w:rsid w:val="006100E6"/>
    <w:rsid w:val="00610BF5"/>
    <w:rsid w:val="00610C6C"/>
    <w:rsid w:val="00610C75"/>
    <w:rsid w:val="006112A8"/>
    <w:rsid w:val="0061142C"/>
    <w:rsid w:val="006120E8"/>
    <w:rsid w:val="0061345E"/>
    <w:rsid w:val="00614A7C"/>
    <w:rsid w:val="00615A1E"/>
    <w:rsid w:val="006160B8"/>
    <w:rsid w:val="006169FB"/>
    <w:rsid w:val="0061738A"/>
    <w:rsid w:val="006177AE"/>
    <w:rsid w:val="00617A83"/>
    <w:rsid w:val="00617F22"/>
    <w:rsid w:val="00620320"/>
    <w:rsid w:val="006206D9"/>
    <w:rsid w:val="00620D62"/>
    <w:rsid w:val="006215F3"/>
    <w:rsid w:val="00622659"/>
    <w:rsid w:val="00623A0C"/>
    <w:rsid w:val="00623A5E"/>
    <w:rsid w:val="0062409C"/>
    <w:rsid w:val="006242B4"/>
    <w:rsid w:val="00626E10"/>
    <w:rsid w:val="00626F3E"/>
    <w:rsid w:val="006274BC"/>
    <w:rsid w:val="006278CE"/>
    <w:rsid w:val="0063023F"/>
    <w:rsid w:val="00630C62"/>
    <w:rsid w:val="00631C6E"/>
    <w:rsid w:val="0063247A"/>
    <w:rsid w:val="00633818"/>
    <w:rsid w:val="006343CC"/>
    <w:rsid w:val="00634B90"/>
    <w:rsid w:val="00635A7E"/>
    <w:rsid w:val="00635D3B"/>
    <w:rsid w:val="00636628"/>
    <w:rsid w:val="0063712B"/>
    <w:rsid w:val="00637F88"/>
    <w:rsid w:val="00640825"/>
    <w:rsid w:val="00641016"/>
    <w:rsid w:val="00641024"/>
    <w:rsid w:val="0064127D"/>
    <w:rsid w:val="006423AA"/>
    <w:rsid w:val="006424FA"/>
    <w:rsid w:val="006425D5"/>
    <w:rsid w:val="00642AE6"/>
    <w:rsid w:val="00642CF4"/>
    <w:rsid w:val="00642E73"/>
    <w:rsid w:val="006433B0"/>
    <w:rsid w:val="00643EF8"/>
    <w:rsid w:val="00644650"/>
    <w:rsid w:val="00644910"/>
    <w:rsid w:val="006451AA"/>
    <w:rsid w:val="00645471"/>
    <w:rsid w:val="00645A9C"/>
    <w:rsid w:val="00645B24"/>
    <w:rsid w:val="00645C0D"/>
    <w:rsid w:val="00647498"/>
    <w:rsid w:val="00650318"/>
    <w:rsid w:val="00650E41"/>
    <w:rsid w:val="00651ABC"/>
    <w:rsid w:val="00653475"/>
    <w:rsid w:val="006539D0"/>
    <w:rsid w:val="00653C3E"/>
    <w:rsid w:val="00653E61"/>
    <w:rsid w:val="00654681"/>
    <w:rsid w:val="0065571B"/>
    <w:rsid w:val="00655A00"/>
    <w:rsid w:val="006602A7"/>
    <w:rsid w:val="006605DF"/>
    <w:rsid w:val="00661777"/>
    <w:rsid w:val="00661B42"/>
    <w:rsid w:val="00661BED"/>
    <w:rsid w:val="00661CBE"/>
    <w:rsid w:val="00661D77"/>
    <w:rsid w:val="006623F6"/>
    <w:rsid w:val="00662B05"/>
    <w:rsid w:val="00662C73"/>
    <w:rsid w:val="0066331C"/>
    <w:rsid w:val="00663D12"/>
    <w:rsid w:val="0066424A"/>
    <w:rsid w:val="00665339"/>
    <w:rsid w:val="00665F9A"/>
    <w:rsid w:val="0066645B"/>
    <w:rsid w:val="006669A2"/>
    <w:rsid w:val="00666E55"/>
    <w:rsid w:val="00667338"/>
    <w:rsid w:val="00667B14"/>
    <w:rsid w:val="006706D6"/>
    <w:rsid w:val="0067102A"/>
    <w:rsid w:val="006710B8"/>
    <w:rsid w:val="00671354"/>
    <w:rsid w:val="00673872"/>
    <w:rsid w:val="00673F25"/>
    <w:rsid w:val="00674AA6"/>
    <w:rsid w:val="006753A6"/>
    <w:rsid w:val="0067568E"/>
    <w:rsid w:val="00675C78"/>
    <w:rsid w:val="006761A6"/>
    <w:rsid w:val="006764FB"/>
    <w:rsid w:val="0067755F"/>
    <w:rsid w:val="0067762F"/>
    <w:rsid w:val="006801DB"/>
    <w:rsid w:val="006802B5"/>
    <w:rsid w:val="00680430"/>
    <w:rsid w:val="006812AD"/>
    <w:rsid w:val="00681B7D"/>
    <w:rsid w:val="00681F07"/>
    <w:rsid w:val="006827C9"/>
    <w:rsid w:val="006828E5"/>
    <w:rsid w:val="0068427C"/>
    <w:rsid w:val="00684430"/>
    <w:rsid w:val="00684F8C"/>
    <w:rsid w:val="0068553E"/>
    <w:rsid w:val="006857CA"/>
    <w:rsid w:val="00685F9B"/>
    <w:rsid w:val="0068624A"/>
    <w:rsid w:val="0068679B"/>
    <w:rsid w:val="00686878"/>
    <w:rsid w:val="00686FD0"/>
    <w:rsid w:val="00690C87"/>
    <w:rsid w:val="0069193C"/>
    <w:rsid w:val="006926BD"/>
    <w:rsid w:val="00692831"/>
    <w:rsid w:val="006932B7"/>
    <w:rsid w:val="00693648"/>
    <w:rsid w:val="00693B9E"/>
    <w:rsid w:val="00693F25"/>
    <w:rsid w:val="00694232"/>
    <w:rsid w:val="006949FD"/>
    <w:rsid w:val="00694E22"/>
    <w:rsid w:val="0069565D"/>
    <w:rsid w:val="006963C8"/>
    <w:rsid w:val="006965F6"/>
    <w:rsid w:val="006A0728"/>
    <w:rsid w:val="006A0A5F"/>
    <w:rsid w:val="006A1AE4"/>
    <w:rsid w:val="006A3136"/>
    <w:rsid w:val="006A3292"/>
    <w:rsid w:val="006A3861"/>
    <w:rsid w:val="006A3882"/>
    <w:rsid w:val="006A3B29"/>
    <w:rsid w:val="006A4402"/>
    <w:rsid w:val="006A4814"/>
    <w:rsid w:val="006A4AB2"/>
    <w:rsid w:val="006A5047"/>
    <w:rsid w:val="006A547A"/>
    <w:rsid w:val="006A7758"/>
    <w:rsid w:val="006A7CB9"/>
    <w:rsid w:val="006B0136"/>
    <w:rsid w:val="006B0174"/>
    <w:rsid w:val="006B0BC5"/>
    <w:rsid w:val="006B0D2E"/>
    <w:rsid w:val="006B1820"/>
    <w:rsid w:val="006B1D21"/>
    <w:rsid w:val="006B1D46"/>
    <w:rsid w:val="006B1E8C"/>
    <w:rsid w:val="006B2445"/>
    <w:rsid w:val="006B25AB"/>
    <w:rsid w:val="006B2A7E"/>
    <w:rsid w:val="006B2AD9"/>
    <w:rsid w:val="006B2D8D"/>
    <w:rsid w:val="006B338B"/>
    <w:rsid w:val="006B39E9"/>
    <w:rsid w:val="006B3E2D"/>
    <w:rsid w:val="006B43B1"/>
    <w:rsid w:val="006B461D"/>
    <w:rsid w:val="006B46BA"/>
    <w:rsid w:val="006B49B5"/>
    <w:rsid w:val="006B4B9B"/>
    <w:rsid w:val="006B4E59"/>
    <w:rsid w:val="006B5240"/>
    <w:rsid w:val="006B561D"/>
    <w:rsid w:val="006B581A"/>
    <w:rsid w:val="006B6E28"/>
    <w:rsid w:val="006B750C"/>
    <w:rsid w:val="006B7DE6"/>
    <w:rsid w:val="006C13C5"/>
    <w:rsid w:val="006C16A8"/>
    <w:rsid w:val="006C2A11"/>
    <w:rsid w:val="006C2DDE"/>
    <w:rsid w:val="006C2E96"/>
    <w:rsid w:val="006C3230"/>
    <w:rsid w:val="006C32FE"/>
    <w:rsid w:val="006C3340"/>
    <w:rsid w:val="006C4099"/>
    <w:rsid w:val="006C418F"/>
    <w:rsid w:val="006C4570"/>
    <w:rsid w:val="006C4808"/>
    <w:rsid w:val="006C491F"/>
    <w:rsid w:val="006C5306"/>
    <w:rsid w:val="006C5FDF"/>
    <w:rsid w:val="006C65DD"/>
    <w:rsid w:val="006C6A9B"/>
    <w:rsid w:val="006C71AE"/>
    <w:rsid w:val="006C76BF"/>
    <w:rsid w:val="006C7F27"/>
    <w:rsid w:val="006D00AD"/>
    <w:rsid w:val="006D030D"/>
    <w:rsid w:val="006D0833"/>
    <w:rsid w:val="006D1304"/>
    <w:rsid w:val="006D1DE4"/>
    <w:rsid w:val="006D37FD"/>
    <w:rsid w:val="006D3CF9"/>
    <w:rsid w:val="006D3D44"/>
    <w:rsid w:val="006D426C"/>
    <w:rsid w:val="006D4D47"/>
    <w:rsid w:val="006D5906"/>
    <w:rsid w:val="006D620C"/>
    <w:rsid w:val="006D69F3"/>
    <w:rsid w:val="006D6D7B"/>
    <w:rsid w:val="006D6ECD"/>
    <w:rsid w:val="006D704E"/>
    <w:rsid w:val="006E0EBC"/>
    <w:rsid w:val="006E0F3D"/>
    <w:rsid w:val="006E1033"/>
    <w:rsid w:val="006E14D2"/>
    <w:rsid w:val="006E28C1"/>
    <w:rsid w:val="006E2EFA"/>
    <w:rsid w:val="006E2F48"/>
    <w:rsid w:val="006E43E5"/>
    <w:rsid w:val="006E4AF3"/>
    <w:rsid w:val="006E54AC"/>
    <w:rsid w:val="006E6486"/>
    <w:rsid w:val="006E67D4"/>
    <w:rsid w:val="006F0D31"/>
    <w:rsid w:val="006F1682"/>
    <w:rsid w:val="006F2E6C"/>
    <w:rsid w:val="006F39B2"/>
    <w:rsid w:val="006F49E1"/>
    <w:rsid w:val="006F5AFF"/>
    <w:rsid w:val="006F5BE8"/>
    <w:rsid w:val="006F6895"/>
    <w:rsid w:val="006F69FB"/>
    <w:rsid w:val="006F6CBF"/>
    <w:rsid w:val="0070076F"/>
    <w:rsid w:val="0070122F"/>
    <w:rsid w:val="00701C90"/>
    <w:rsid w:val="00702250"/>
    <w:rsid w:val="00702647"/>
    <w:rsid w:val="00702C8E"/>
    <w:rsid w:val="00703070"/>
    <w:rsid w:val="00704218"/>
    <w:rsid w:val="007047E2"/>
    <w:rsid w:val="00704D9F"/>
    <w:rsid w:val="007059D1"/>
    <w:rsid w:val="0070630B"/>
    <w:rsid w:val="00706698"/>
    <w:rsid w:val="00706B38"/>
    <w:rsid w:val="007071DD"/>
    <w:rsid w:val="007100D2"/>
    <w:rsid w:val="0071016E"/>
    <w:rsid w:val="0071030B"/>
    <w:rsid w:val="00710569"/>
    <w:rsid w:val="007105CE"/>
    <w:rsid w:val="0071116A"/>
    <w:rsid w:val="007115A6"/>
    <w:rsid w:val="00711655"/>
    <w:rsid w:val="007120D1"/>
    <w:rsid w:val="00712C9F"/>
    <w:rsid w:val="00712CE6"/>
    <w:rsid w:val="00713456"/>
    <w:rsid w:val="00713742"/>
    <w:rsid w:val="007138C8"/>
    <w:rsid w:val="00713EFE"/>
    <w:rsid w:val="007142FE"/>
    <w:rsid w:val="00714455"/>
    <w:rsid w:val="007155B2"/>
    <w:rsid w:val="007155E5"/>
    <w:rsid w:val="0071579B"/>
    <w:rsid w:val="00715D60"/>
    <w:rsid w:val="00715EA3"/>
    <w:rsid w:val="00715EE1"/>
    <w:rsid w:val="00715F34"/>
    <w:rsid w:val="00715F9A"/>
    <w:rsid w:val="007164A7"/>
    <w:rsid w:val="00716A74"/>
    <w:rsid w:val="00716B9D"/>
    <w:rsid w:val="00717A12"/>
    <w:rsid w:val="0072020B"/>
    <w:rsid w:val="007239E5"/>
    <w:rsid w:val="00723BA7"/>
    <w:rsid w:val="00723F29"/>
    <w:rsid w:val="00724B3A"/>
    <w:rsid w:val="00724BFB"/>
    <w:rsid w:val="00724C1A"/>
    <w:rsid w:val="00724FFC"/>
    <w:rsid w:val="0072531E"/>
    <w:rsid w:val="00726456"/>
    <w:rsid w:val="007268F2"/>
    <w:rsid w:val="00726B5A"/>
    <w:rsid w:val="007301CC"/>
    <w:rsid w:val="00730BB7"/>
    <w:rsid w:val="00731A1E"/>
    <w:rsid w:val="007321B0"/>
    <w:rsid w:val="007330C4"/>
    <w:rsid w:val="007332A1"/>
    <w:rsid w:val="00734C27"/>
    <w:rsid w:val="00734E13"/>
    <w:rsid w:val="007358C9"/>
    <w:rsid w:val="0073590D"/>
    <w:rsid w:val="007369F8"/>
    <w:rsid w:val="007371A0"/>
    <w:rsid w:val="007402E6"/>
    <w:rsid w:val="007407B8"/>
    <w:rsid w:val="0074094F"/>
    <w:rsid w:val="00741862"/>
    <w:rsid w:val="00742EC6"/>
    <w:rsid w:val="00742FFB"/>
    <w:rsid w:val="00743366"/>
    <w:rsid w:val="0074355B"/>
    <w:rsid w:val="00743BA7"/>
    <w:rsid w:val="00744164"/>
    <w:rsid w:val="0074438E"/>
    <w:rsid w:val="00745154"/>
    <w:rsid w:val="00746AD7"/>
    <w:rsid w:val="00750C20"/>
    <w:rsid w:val="00750DB9"/>
    <w:rsid w:val="00750FC6"/>
    <w:rsid w:val="0075202D"/>
    <w:rsid w:val="007524B7"/>
    <w:rsid w:val="00752977"/>
    <w:rsid w:val="00752ED9"/>
    <w:rsid w:val="0075329C"/>
    <w:rsid w:val="007544A0"/>
    <w:rsid w:val="007544F4"/>
    <w:rsid w:val="007547C7"/>
    <w:rsid w:val="00754836"/>
    <w:rsid w:val="007558B4"/>
    <w:rsid w:val="00756B27"/>
    <w:rsid w:val="0075733E"/>
    <w:rsid w:val="00757348"/>
    <w:rsid w:val="00757E2F"/>
    <w:rsid w:val="00761690"/>
    <w:rsid w:val="00762001"/>
    <w:rsid w:val="00762B08"/>
    <w:rsid w:val="00762BCC"/>
    <w:rsid w:val="007632F8"/>
    <w:rsid w:val="007633BD"/>
    <w:rsid w:val="007633C7"/>
    <w:rsid w:val="0076364A"/>
    <w:rsid w:val="00763747"/>
    <w:rsid w:val="00764CAA"/>
    <w:rsid w:val="00765078"/>
    <w:rsid w:val="007657A3"/>
    <w:rsid w:val="00765BF7"/>
    <w:rsid w:val="00766343"/>
    <w:rsid w:val="00766611"/>
    <w:rsid w:val="007666A4"/>
    <w:rsid w:val="0076682D"/>
    <w:rsid w:val="007702DE"/>
    <w:rsid w:val="007707CC"/>
    <w:rsid w:val="007707EE"/>
    <w:rsid w:val="00770D76"/>
    <w:rsid w:val="00772317"/>
    <w:rsid w:val="00772596"/>
    <w:rsid w:val="007728DD"/>
    <w:rsid w:val="00773048"/>
    <w:rsid w:val="0077381F"/>
    <w:rsid w:val="0077455F"/>
    <w:rsid w:val="00774D3D"/>
    <w:rsid w:val="00775E62"/>
    <w:rsid w:val="00776F73"/>
    <w:rsid w:val="00777677"/>
    <w:rsid w:val="00777E47"/>
    <w:rsid w:val="007801A9"/>
    <w:rsid w:val="00780294"/>
    <w:rsid w:val="007804F7"/>
    <w:rsid w:val="00781207"/>
    <w:rsid w:val="00781AAB"/>
    <w:rsid w:val="00782731"/>
    <w:rsid w:val="0078359E"/>
    <w:rsid w:val="007835A4"/>
    <w:rsid w:val="007836C7"/>
    <w:rsid w:val="007836F3"/>
    <w:rsid w:val="007838DF"/>
    <w:rsid w:val="00783A88"/>
    <w:rsid w:val="00783C0A"/>
    <w:rsid w:val="007841A1"/>
    <w:rsid w:val="00784CD6"/>
    <w:rsid w:val="00786A56"/>
    <w:rsid w:val="00786C8F"/>
    <w:rsid w:val="007870EF"/>
    <w:rsid w:val="0078767E"/>
    <w:rsid w:val="0078787D"/>
    <w:rsid w:val="00790060"/>
    <w:rsid w:val="007904E0"/>
    <w:rsid w:val="0079063E"/>
    <w:rsid w:val="00790A90"/>
    <w:rsid w:val="00790BD2"/>
    <w:rsid w:val="00791304"/>
    <w:rsid w:val="0079159E"/>
    <w:rsid w:val="00793D84"/>
    <w:rsid w:val="00794F7D"/>
    <w:rsid w:val="00795348"/>
    <w:rsid w:val="00795883"/>
    <w:rsid w:val="00795DE6"/>
    <w:rsid w:val="00796A33"/>
    <w:rsid w:val="00797C7B"/>
    <w:rsid w:val="007A0B18"/>
    <w:rsid w:val="007A0F12"/>
    <w:rsid w:val="007A0F80"/>
    <w:rsid w:val="007A137B"/>
    <w:rsid w:val="007A28F6"/>
    <w:rsid w:val="007A2903"/>
    <w:rsid w:val="007A2A7F"/>
    <w:rsid w:val="007A2D13"/>
    <w:rsid w:val="007A4912"/>
    <w:rsid w:val="007A4A76"/>
    <w:rsid w:val="007A52AC"/>
    <w:rsid w:val="007A5761"/>
    <w:rsid w:val="007A577C"/>
    <w:rsid w:val="007A63FD"/>
    <w:rsid w:val="007A704D"/>
    <w:rsid w:val="007B044E"/>
    <w:rsid w:val="007B0E02"/>
    <w:rsid w:val="007B0E4B"/>
    <w:rsid w:val="007B30C8"/>
    <w:rsid w:val="007B3202"/>
    <w:rsid w:val="007B396E"/>
    <w:rsid w:val="007B3F14"/>
    <w:rsid w:val="007B427A"/>
    <w:rsid w:val="007B4912"/>
    <w:rsid w:val="007B4B36"/>
    <w:rsid w:val="007B4B4A"/>
    <w:rsid w:val="007B5776"/>
    <w:rsid w:val="007B5908"/>
    <w:rsid w:val="007B5E78"/>
    <w:rsid w:val="007C0C16"/>
    <w:rsid w:val="007C2189"/>
    <w:rsid w:val="007C21E8"/>
    <w:rsid w:val="007C25F9"/>
    <w:rsid w:val="007C38FB"/>
    <w:rsid w:val="007C3BB6"/>
    <w:rsid w:val="007C6151"/>
    <w:rsid w:val="007C6497"/>
    <w:rsid w:val="007C741F"/>
    <w:rsid w:val="007C752F"/>
    <w:rsid w:val="007C7676"/>
    <w:rsid w:val="007C795C"/>
    <w:rsid w:val="007C7BF3"/>
    <w:rsid w:val="007D05A6"/>
    <w:rsid w:val="007D08D6"/>
    <w:rsid w:val="007D1955"/>
    <w:rsid w:val="007D320A"/>
    <w:rsid w:val="007D37B6"/>
    <w:rsid w:val="007D4164"/>
    <w:rsid w:val="007D4962"/>
    <w:rsid w:val="007D4DBF"/>
    <w:rsid w:val="007D60E7"/>
    <w:rsid w:val="007D6453"/>
    <w:rsid w:val="007D6F98"/>
    <w:rsid w:val="007D719A"/>
    <w:rsid w:val="007E01C8"/>
    <w:rsid w:val="007E02A7"/>
    <w:rsid w:val="007E02E3"/>
    <w:rsid w:val="007E0C6B"/>
    <w:rsid w:val="007E18D7"/>
    <w:rsid w:val="007E1B34"/>
    <w:rsid w:val="007E2373"/>
    <w:rsid w:val="007E2B47"/>
    <w:rsid w:val="007E2CFE"/>
    <w:rsid w:val="007E31AA"/>
    <w:rsid w:val="007E330A"/>
    <w:rsid w:val="007E37D9"/>
    <w:rsid w:val="007E384E"/>
    <w:rsid w:val="007E4277"/>
    <w:rsid w:val="007E4724"/>
    <w:rsid w:val="007E528B"/>
    <w:rsid w:val="007E55A8"/>
    <w:rsid w:val="007E588C"/>
    <w:rsid w:val="007E6AE9"/>
    <w:rsid w:val="007E6E83"/>
    <w:rsid w:val="007E7E7F"/>
    <w:rsid w:val="007F0423"/>
    <w:rsid w:val="007F0617"/>
    <w:rsid w:val="007F0D09"/>
    <w:rsid w:val="007F10CD"/>
    <w:rsid w:val="007F1386"/>
    <w:rsid w:val="007F18AF"/>
    <w:rsid w:val="007F1AF2"/>
    <w:rsid w:val="007F2E9F"/>
    <w:rsid w:val="007F34F1"/>
    <w:rsid w:val="007F34F3"/>
    <w:rsid w:val="007F4417"/>
    <w:rsid w:val="007F44D6"/>
    <w:rsid w:val="007F4CCB"/>
    <w:rsid w:val="007F4D0B"/>
    <w:rsid w:val="007F4F76"/>
    <w:rsid w:val="007F5692"/>
    <w:rsid w:val="007F6162"/>
    <w:rsid w:val="007F6BC3"/>
    <w:rsid w:val="007F7842"/>
    <w:rsid w:val="007F7901"/>
    <w:rsid w:val="00800110"/>
    <w:rsid w:val="0080115A"/>
    <w:rsid w:val="008014AA"/>
    <w:rsid w:val="0080174B"/>
    <w:rsid w:val="00801E2A"/>
    <w:rsid w:val="00802615"/>
    <w:rsid w:val="008038D6"/>
    <w:rsid w:val="00805279"/>
    <w:rsid w:val="00805414"/>
    <w:rsid w:val="00805441"/>
    <w:rsid w:val="008104BD"/>
    <w:rsid w:val="00811180"/>
    <w:rsid w:val="00812737"/>
    <w:rsid w:val="00812743"/>
    <w:rsid w:val="008139FC"/>
    <w:rsid w:val="00814CF6"/>
    <w:rsid w:val="00814EA9"/>
    <w:rsid w:val="0081526D"/>
    <w:rsid w:val="00815389"/>
    <w:rsid w:val="00815573"/>
    <w:rsid w:val="0081635F"/>
    <w:rsid w:val="00816B0C"/>
    <w:rsid w:val="0081724B"/>
    <w:rsid w:val="008174C2"/>
    <w:rsid w:val="00817DA5"/>
    <w:rsid w:val="00817DF6"/>
    <w:rsid w:val="008204D0"/>
    <w:rsid w:val="00821902"/>
    <w:rsid w:val="00821AF9"/>
    <w:rsid w:val="00824067"/>
    <w:rsid w:val="00824AAD"/>
    <w:rsid w:val="00824AE3"/>
    <w:rsid w:val="00825126"/>
    <w:rsid w:val="008252D5"/>
    <w:rsid w:val="008258B0"/>
    <w:rsid w:val="00826250"/>
    <w:rsid w:val="00827571"/>
    <w:rsid w:val="0082767D"/>
    <w:rsid w:val="008277F9"/>
    <w:rsid w:val="00830D04"/>
    <w:rsid w:val="008312C9"/>
    <w:rsid w:val="00831510"/>
    <w:rsid w:val="00831C43"/>
    <w:rsid w:val="008324C4"/>
    <w:rsid w:val="008328FC"/>
    <w:rsid w:val="00833E16"/>
    <w:rsid w:val="00833ED3"/>
    <w:rsid w:val="00833F79"/>
    <w:rsid w:val="00834007"/>
    <w:rsid w:val="0083442A"/>
    <w:rsid w:val="00834866"/>
    <w:rsid w:val="00835C22"/>
    <w:rsid w:val="00835FEB"/>
    <w:rsid w:val="00836217"/>
    <w:rsid w:val="0083697D"/>
    <w:rsid w:val="00836A6D"/>
    <w:rsid w:val="00836BFB"/>
    <w:rsid w:val="00837122"/>
    <w:rsid w:val="00837643"/>
    <w:rsid w:val="00837AD0"/>
    <w:rsid w:val="00837AE7"/>
    <w:rsid w:val="00841063"/>
    <w:rsid w:val="008410A2"/>
    <w:rsid w:val="0084118F"/>
    <w:rsid w:val="00841539"/>
    <w:rsid w:val="00842167"/>
    <w:rsid w:val="00842FAF"/>
    <w:rsid w:val="0084364D"/>
    <w:rsid w:val="008438A6"/>
    <w:rsid w:val="00843D60"/>
    <w:rsid w:val="0084511A"/>
    <w:rsid w:val="008453E9"/>
    <w:rsid w:val="00846FF8"/>
    <w:rsid w:val="00847915"/>
    <w:rsid w:val="00847BE1"/>
    <w:rsid w:val="00847C62"/>
    <w:rsid w:val="00847F90"/>
    <w:rsid w:val="0085130E"/>
    <w:rsid w:val="008523AE"/>
    <w:rsid w:val="00852D6D"/>
    <w:rsid w:val="008543D5"/>
    <w:rsid w:val="008548D3"/>
    <w:rsid w:val="00854B21"/>
    <w:rsid w:val="00854F98"/>
    <w:rsid w:val="008552B0"/>
    <w:rsid w:val="008561D8"/>
    <w:rsid w:val="008570C5"/>
    <w:rsid w:val="008571E6"/>
    <w:rsid w:val="00857849"/>
    <w:rsid w:val="00860183"/>
    <w:rsid w:val="00860C3C"/>
    <w:rsid w:val="00860D0F"/>
    <w:rsid w:val="00862C29"/>
    <w:rsid w:val="00862D4C"/>
    <w:rsid w:val="0086439A"/>
    <w:rsid w:val="008651B0"/>
    <w:rsid w:val="00865703"/>
    <w:rsid w:val="00865731"/>
    <w:rsid w:val="00865AC5"/>
    <w:rsid w:val="00865EBB"/>
    <w:rsid w:val="00866327"/>
    <w:rsid w:val="00866D38"/>
    <w:rsid w:val="00867331"/>
    <w:rsid w:val="00867D96"/>
    <w:rsid w:val="0087034B"/>
    <w:rsid w:val="00870FB4"/>
    <w:rsid w:val="0087125B"/>
    <w:rsid w:val="008717C5"/>
    <w:rsid w:val="00871CD8"/>
    <w:rsid w:val="00872D0D"/>
    <w:rsid w:val="00873268"/>
    <w:rsid w:val="00873AC9"/>
    <w:rsid w:val="00873CB3"/>
    <w:rsid w:val="00874067"/>
    <w:rsid w:val="008756AB"/>
    <w:rsid w:val="008775A0"/>
    <w:rsid w:val="00877671"/>
    <w:rsid w:val="008776C6"/>
    <w:rsid w:val="00880159"/>
    <w:rsid w:val="00882E43"/>
    <w:rsid w:val="00883521"/>
    <w:rsid w:val="00883686"/>
    <w:rsid w:val="008838CF"/>
    <w:rsid w:val="00883E7E"/>
    <w:rsid w:val="00884E2C"/>
    <w:rsid w:val="00884E5B"/>
    <w:rsid w:val="00884F38"/>
    <w:rsid w:val="00885603"/>
    <w:rsid w:val="008865DF"/>
    <w:rsid w:val="0088720A"/>
    <w:rsid w:val="00887EE0"/>
    <w:rsid w:val="008903A4"/>
    <w:rsid w:val="00891769"/>
    <w:rsid w:val="0089285F"/>
    <w:rsid w:val="00892A9E"/>
    <w:rsid w:val="00894377"/>
    <w:rsid w:val="008946FE"/>
    <w:rsid w:val="00894F93"/>
    <w:rsid w:val="008952CB"/>
    <w:rsid w:val="00895642"/>
    <w:rsid w:val="0089609B"/>
    <w:rsid w:val="008960D9"/>
    <w:rsid w:val="008965DA"/>
    <w:rsid w:val="00896873"/>
    <w:rsid w:val="00896B24"/>
    <w:rsid w:val="008A0834"/>
    <w:rsid w:val="008A2362"/>
    <w:rsid w:val="008A274B"/>
    <w:rsid w:val="008A2FEC"/>
    <w:rsid w:val="008A3ECA"/>
    <w:rsid w:val="008A4717"/>
    <w:rsid w:val="008A4871"/>
    <w:rsid w:val="008A5305"/>
    <w:rsid w:val="008A5800"/>
    <w:rsid w:val="008A5890"/>
    <w:rsid w:val="008A5B4D"/>
    <w:rsid w:val="008A6248"/>
    <w:rsid w:val="008A67FB"/>
    <w:rsid w:val="008A6908"/>
    <w:rsid w:val="008A7756"/>
    <w:rsid w:val="008B01CD"/>
    <w:rsid w:val="008B0207"/>
    <w:rsid w:val="008B06FF"/>
    <w:rsid w:val="008B177E"/>
    <w:rsid w:val="008B184D"/>
    <w:rsid w:val="008B2FE5"/>
    <w:rsid w:val="008B4B55"/>
    <w:rsid w:val="008B4C24"/>
    <w:rsid w:val="008B5580"/>
    <w:rsid w:val="008B5ABD"/>
    <w:rsid w:val="008B6396"/>
    <w:rsid w:val="008B65AC"/>
    <w:rsid w:val="008B7BB0"/>
    <w:rsid w:val="008C06FD"/>
    <w:rsid w:val="008C1523"/>
    <w:rsid w:val="008C22CB"/>
    <w:rsid w:val="008C2709"/>
    <w:rsid w:val="008C27C2"/>
    <w:rsid w:val="008C2928"/>
    <w:rsid w:val="008C33A9"/>
    <w:rsid w:val="008C34E0"/>
    <w:rsid w:val="008C3676"/>
    <w:rsid w:val="008C3D98"/>
    <w:rsid w:val="008C47CC"/>
    <w:rsid w:val="008C49BB"/>
    <w:rsid w:val="008C4A2E"/>
    <w:rsid w:val="008C4D5F"/>
    <w:rsid w:val="008C4F23"/>
    <w:rsid w:val="008C4FE1"/>
    <w:rsid w:val="008C502C"/>
    <w:rsid w:val="008C64CC"/>
    <w:rsid w:val="008C6B6B"/>
    <w:rsid w:val="008C6EA9"/>
    <w:rsid w:val="008C6F64"/>
    <w:rsid w:val="008C7896"/>
    <w:rsid w:val="008D02AD"/>
    <w:rsid w:val="008D0EBB"/>
    <w:rsid w:val="008D1CA8"/>
    <w:rsid w:val="008D1CCD"/>
    <w:rsid w:val="008D1F41"/>
    <w:rsid w:val="008D3388"/>
    <w:rsid w:val="008D3817"/>
    <w:rsid w:val="008D3F0A"/>
    <w:rsid w:val="008D48E7"/>
    <w:rsid w:val="008D5B32"/>
    <w:rsid w:val="008D5F7E"/>
    <w:rsid w:val="008D6CD8"/>
    <w:rsid w:val="008D777C"/>
    <w:rsid w:val="008D795C"/>
    <w:rsid w:val="008D7E1F"/>
    <w:rsid w:val="008E0A20"/>
    <w:rsid w:val="008E0B2B"/>
    <w:rsid w:val="008E1953"/>
    <w:rsid w:val="008E1BA0"/>
    <w:rsid w:val="008E203E"/>
    <w:rsid w:val="008E2840"/>
    <w:rsid w:val="008E4233"/>
    <w:rsid w:val="008E4445"/>
    <w:rsid w:val="008E4BA5"/>
    <w:rsid w:val="008E5057"/>
    <w:rsid w:val="008E515E"/>
    <w:rsid w:val="008E61EE"/>
    <w:rsid w:val="008E6C55"/>
    <w:rsid w:val="008F02FB"/>
    <w:rsid w:val="008F084F"/>
    <w:rsid w:val="008F0EDF"/>
    <w:rsid w:val="008F154F"/>
    <w:rsid w:val="008F1E9A"/>
    <w:rsid w:val="008F2390"/>
    <w:rsid w:val="008F283B"/>
    <w:rsid w:val="008F29BE"/>
    <w:rsid w:val="008F29D1"/>
    <w:rsid w:val="008F2D8E"/>
    <w:rsid w:val="008F339D"/>
    <w:rsid w:val="008F3B40"/>
    <w:rsid w:val="008F3B89"/>
    <w:rsid w:val="008F51E7"/>
    <w:rsid w:val="008F5AEB"/>
    <w:rsid w:val="008F5EA9"/>
    <w:rsid w:val="008F5EF9"/>
    <w:rsid w:val="008F6754"/>
    <w:rsid w:val="008F7D9D"/>
    <w:rsid w:val="008F7F58"/>
    <w:rsid w:val="00900718"/>
    <w:rsid w:val="00900EB5"/>
    <w:rsid w:val="0090103F"/>
    <w:rsid w:val="0090141F"/>
    <w:rsid w:val="00901C8F"/>
    <w:rsid w:val="009020D9"/>
    <w:rsid w:val="009023AC"/>
    <w:rsid w:val="00902660"/>
    <w:rsid w:val="0090324B"/>
    <w:rsid w:val="00903CFD"/>
    <w:rsid w:val="00904083"/>
    <w:rsid w:val="0090557B"/>
    <w:rsid w:val="00905973"/>
    <w:rsid w:val="00905BF0"/>
    <w:rsid w:val="00906AE6"/>
    <w:rsid w:val="009078C2"/>
    <w:rsid w:val="00907F47"/>
    <w:rsid w:val="00910174"/>
    <w:rsid w:val="00910971"/>
    <w:rsid w:val="00910F54"/>
    <w:rsid w:val="00910FFC"/>
    <w:rsid w:val="009126BD"/>
    <w:rsid w:val="00912B88"/>
    <w:rsid w:val="00912D68"/>
    <w:rsid w:val="00913221"/>
    <w:rsid w:val="0091347B"/>
    <w:rsid w:val="00913D48"/>
    <w:rsid w:val="00914498"/>
    <w:rsid w:val="00914A12"/>
    <w:rsid w:val="00914B70"/>
    <w:rsid w:val="00914DAB"/>
    <w:rsid w:val="00916D1B"/>
    <w:rsid w:val="009175E1"/>
    <w:rsid w:val="00917868"/>
    <w:rsid w:val="00920311"/>
    <w:rsid w:val="00920689"/>
    <w:rsid w:val="00920D98"/>
    <w:rsid w:val="00921052"/>
    <w:rsid w:val="00921622"/>
    <w:rsid w:val="00921DC0"/>
    <w:rsid w:val="00924346"/>
    <w:rsid w:val="00924C5D"/>
    <w:rsid w:val="009256A4"/>
    <w:rsid w:val="0092578B"/>
    <w:rsid w:val="00925CD1"/>
    <w:rsid w:val="009268B7"/>
    <w:rsid w:val="0092694C"/>
    <w:rsid w:val="009303E6"/>
    <w:rsid w:val="009305CD"/>
    <w:rsid w:val="00930F8A"/>
    <w:rsid w:val="00931AA7"/>
    <w:rsid w:val="009328DA"/>
    <w:rsid w:val="0093297E"/>
    <w:rsid w:val="009334B6"/>
    <w:rsid w:val="00933827"/>
    <w:rsid w:val="00933A0B"/>
    <w:rsid w:val="00933C65"/>
    <w:rsid w:val="00933D2B"/>
    <w:rsid w:val="009348A3"/>
    <w:rsid w:val="00934D12"/>
    <w:rsid w:val="0093527D"/>
    <w:rsid w:val="00935B6B"/>
    <w:rsid w:val="00935BA0"/>
    <w:rsid w:val="00935CD0"/>
    <w:rsid w:val="00936FF8"/>
    <w:rsid w:val="009370C6"/>
    <w:rsid w:val="009404F8"/>
    <w:rsid w:val="009421E5"/>
    <w:rsid w:val="00942475"/>
    <w:rsid w:val="00942B48"/>
    <w:rsid w:val="0094310C"/>
    <w:rsid w:val="00943993"/>
    <w:rsid w:val="0094440B"/>
    <w:rsid w:val="0094441B"/>
    <w:rsid w:val="00944687"/>
    <w:rsid w:val="009448EE"/>
    <w:rsid w:val="00944AB9"/>
    <w:rsid w:val="0094511F"/>
    <w:rsid w:val="009462E9"/>
    <w:rsid w:val="00947984"/>
    <w:rsid w:val="00950414"/>
    <w:rsid w:val="00950675"/>
    <w:rsid w:val="009525DE"/>
    <w:rsid w:val="00952BEB"/>
    <w:rsid w:val="00952E19"/>
    <w:rsid w:val="00953091"/>
    <w:rsid w:val="00954D8D"/>
    <w:rsid w:val="0095519D"/>
    <w:rsid w:val="00955474"/>
    <w:rsid w:val="009558CC"/>
    <w:rsid w:val="0095760B"/>
    <w:rsid w:val="00957A14"/>
    <w:rsid w:val="00957D78"/>
    <w:rsid w:val="0096067B"/>
    <w:rsid w:val="009608AF"/>
    <w:rsid w:val="0096190B"/>
    <w:rsid w:val="009638B9"/>
    <w:rsid w:val="00963FF1"/>
    <w:rsid w:val="00964001"/>
    <w:rsid w:val="009645E2"/>
    <w:rsid w:val="00964826"/>
    <w:rsid w:val="009649B0"/>
    <w:rsid w:val="00965C7E"/>
    <w:rsid w:val="00965F59"/>
    <w:rsid w:val="00970407"/>
    <w:rsid w:val="00970821"/>
    <w:rsid w:val="00970B5F"/>
    <w:rsid w:val="00972682"/>
    <w:rsid w:val="00972962"/>
    <w:rsid w:val="00972AB7"/>
    <w:rsid w:val="00973812"/>
    <w:rsid w:val="009746CE"/>
    <w:rsid w:val="00974F13"/>
    <w:rsid w:val="009755DF"/>
    <w:rsid w:val="00976991"/>
    <w:rsid w:val="009773FE"/>
    <w:rsid w:val="009778DB"/>
    <w:rsid w:val="0098068C"/>
    <w:rsid w:val="009812CA"/>
    <w:rsid w:val="009813B5"/>
    <w:rsid w:val="00981483"/>
    <w:rsid w:val="009822A1"/>
    <w:rsid w:val="0098261C"/>
    <w:rsid w:val="0098382C"/>
    <w:rsid w:val="00983DCD"/>
    <w:rsid w:val="00984609"/>
    <w:rsid w:val="009856BF"/>
    <w:rsid w:val="00987606"/>
    <w:rsid w:val="009879A5"/>
    <w:rsid w:val="00987B30"/>
    <w:rsid w:val="0099059F"/>
    <w:rsid w:val="009906A2"/>
    <w:rsid w:val="0099105C"/>
    <w:rsid w:val="00991640"/>
    <w:rsid w:val="0099449E"/>
    <w:rsid w:val="00994D51"/>
    <w:rsid w:val="00995004"/>
    <w:rsid w:val="00995854"/>
    <w:rsid w:val="00995AF1"/>
    <w:rsid w:val="00996168"/>
    <w:rsid w:val="00997191"/>
    <w:rsid w:val="009A0202"/>
    <w:rsid w:val="009A03FC"/>
    <w:rsid w:val="009A04BD"/>
    <w:rsid w:val="009A0C37"/>
    <w:rsid w:val="009A2946"/>
    <w:rsid w:val="009A41F4"/>
    <w:rsid w:val="009A53AF"/>
    <w:rsid w:val="009A58E5"/>
    <w:rsid w:val="009A6F3E"/>
    <w:rsid w:val="009A76E0"/>
    <w:rsid w:val="009B0231"/>
    <w:rsid w:val="009B0445"/>
    <w:rsid w:val="009B05A1"/>
    <w:rsid w:val="009B07AD"/>
    <w:rsid w:val="009B1305"/>
    <w:rsid w:val="009B1E38"/>
    <w:rsid w:val="009B1F61"/>
    <w:rsid w:val="009B22F2"/>
    <w:rsid w:val="009B32E2"/>
    <w:rsid w:val="009B45C6"/>
    <w:rsid w:val="009B4E2B"/>
    <w:rsid w:val="009B752C"/>
    <w:rsid w:val="009B7C0D"/>
    <w:rsid w:val="009C0228"/>
    <w:rsid w:val="009C0451"/>
    <w:rsid w:val="009C1C10"/>
    <w:rsid w:val="009C234F"/>
    <w:rsid w:val="009C332E"/>
    <w:rsid w:val="009C432A"/>
    <w:rsid w:val="009C5445"/>
    <w:rsid w:val="009C6F40"/>
    <w:rsid w:val="009C7317"/>
    <w:rsid w:val="009C735D"/>
    <w:rsid w:val="009C76A8"/>
    <w:rsid w:val="009D0628"/>
    <w:rsid w:val="009D0A9A"/>
    <w:rsid w:val="009D1AF9"/>
    <w:rsid w:val="009D2F47"/>
    <w:rsid w:val="009D3062"/>
    <w:rsid w:val="009D323D"/>
    <w:rsid w:val="009D450B"/>
    <w:rsid w:val="009D4B7E"/>
    <w:rsid w:val="009D5B99"/>
    <w:rsid w:val="009D62C6"/>
    <w:rsid w:val="009D6421"/>
    <w:rsid w:val="009D6590"/>
    <w:rsid w:val="009D66C7"/>
    <w:rsid w:val="009D7201"/>
    <w:rsid w:val="009D7A74"/>
    <w:rsid w:val="009E09E7"/>
    <w:rsid w:val="009E11E5"/>
    <w:rsid w:val="009E1C8B"/>
    <w:rsid w:val="009E1F88"/>
    <w:rsid w:val="009E2536"/>
    <w:rsid w:val="009E27ED"/>
    <w:rsid w:val="009E2869"/>
    <w:rsid w:val="009E5B58"/>
    <w:rsid w:val="009E6D14"/>
    <w:rsid w:val="009F0528"/>
    <w:rsid w:val="009F05E4"/>
    <w:rsid w:val="009F08A0"/>
    <w:rsid w:val="009F0996"/>
    <w:rsid w:val="009F0A55"/>
    <w:rsid w:val="009F1C50"/>
    <w:rsid w:val="009F2ACD"/>
    <w:rsid w:val="009F2B26"/>
    <w:rsid w:val="009F350E"/>
    <w:rsid w:val="009F3708"/>
    <w:rsid w:val="009F3A74"/>
    <w:rsid w:val="009F4CCB"/>
    <w:rsid w:val="009F53E9"/>
    <w:rsid w:val="009F540A"/>
    <w:rsid w:val="009F5AEA"/>
    <w:rsid w:val="009F6A0E"/>
    <w:rsid w:val="009F7797"/>
    <w:rsid w:val="009F7D8C"/>
    <w:rsid w:val="00A00333"/>
    <w:rsid w:val="00A00624"/>
    <w:rsid w:val="00A01188"/>
    <w:rsid w:val="00A015BC"/>
    <w:rsid w:val="00A016A0"/>
    <w:rsid w:val="00A03119"/>
    <w:rsid w:val="00A037DC"/>
    <w:rsid w:val="00A03D53"/>
    <w:rsid w:val="00A03D83"/>
    <w:rsid w:val="00A04756"/>
    <w:rsid w:val="00A04817"/>
    <w:rsid w:val="00A04E06"/>
    <w:rsid w:val="00A06489"/>
    <w:rsid w:val="00A064BD"/>
    <w:rsid w:val="00A0763B"/>
    <w:rsid w:val="00A1006B"/>
    <w:rsid w:val="00A103C8"/>
    <w:rsid w:val="00A10D98"/>
    <w:rsid w:val="00A110C9"/>
    <w:rsid w:val="00A111A5"/>
    <w:rsid w:val="00A11405"/>
    <w:rsid w:val="00A1278F"/>
    <w:rsid w:val="00A12AA2"/>
    <w:rsid w:val="00A12DBD"/>
    <w:rsid w:val="00A1340B"/>
    <w:rsid w:val="00A1362F"/>
    <w:rsid w:val="00A13826"/>
    <w:rsid w:val="00A14D30"/>
    <w:rsid w:val="00A15403"/>
    <w:rsid w:val="00A15728"/>
    <w:rsid w:val="00A157E7"/>
    <w:rsid w:val="00A15F82"/>
    <w:rsid w:val="00A20C6F"/>
    <w:rsid w:val="00A21234"/>
    <w:rsid w:val="00A23187"/>
    <w:rsid w:val="00A242AB"/>
    <w:rsid w:val="00A24780"/>
    <w:rsid w:val="00A24BB9"/>
    <w:rsid w:val="00A26288"/>
    <w:rsid w:val="00A26B58"/>
    <w:rsid w:val="00A26F6C"/>
    <w:rsid w:val="00A27B7F"/>
    <w:rsid w:val="00A27E37"/>
    <w:rsid w:val="00A30136"/>
    <w:rsid w:val="00A3094B"/>
    <w:rsid w:val="00A31B4D"/>
    <w:rsid w:val="00A31C69"/>
    <w:rsid w:val="00A327E6"/>
    <w:rsid w:val="00A32912"/>
    <w:rsid w:val="00A33780"/>
    <w:rsid w:val="00A3386D"/>
    <w:rsid w:val="00A34E74"/>
    <w:rsid w:val="00A34E9B"/>
    <w:rsid w:val="00A353AF"/>
    <w:rsid w:val="00A35B3A"/>
    <w:rsid w:val="00A3719B"/>
    <w:rsid w:val="00A37203"/>
    <w:rsid w:val="00A37322"/>
    <w:rsid w:val="00A37C9D"/>
    <w:rsid w:val="00A37DCA"/>
    <w:rsid w:val="00A403CA"/>
    <w:rsid w:val="00A40A22"/>
    <w:rsid w:val="00A40A3E"/>
    <w:rsid w:val="00A40D3A"/>
    <w:rsid w:val="00A41142"/>
    <w:rsid w:val="00A41BA6"/>
    <w:rsid w:val="00A42C4C"/>
    <w:rsid w:val="00A4334B"/>
    <w:rsid w:val="00A433CC"/>
    <w:rsid w:val="00A4344B"/>
    <w:rsid w:val="00A437C8"/>
    <w:rsid w:val="00A44111"/>
    <w:rsid w:val="00A44164"/>
    <w:rsid w:val="00A45632"/>
    <w:rsid w:val="00A4588C"/>
    <w:rsid w:val="00A45A2A"/>
    <w:rsid w:val="00A45C78"/>
    <w:rsid w:val="00A45C7B"/>
    <w:rsid w:val="00A47377"/>
    <w:rsid w:val="00A4779D"/>
    <w:rsid w:val="00A47F1D"/>
    <w:rsid w:val="00A50C23"/>
    <w:rsid w:val="00A51B0A"/>
    <w:rsid w:val="00A527F0"/>
    <w:rsid w:val="00A53396"/>
    <w:rsid w:val="00A53421"/>
    <w:rsid w:val="00A537EA"/>
    <w:rsid w:val="00A54151"/>
    <w:rsid w:val="00A545A4"/>
    <w:rsid w:val="00A5494A"/>
    <w:rsid w:val="00A54EA2"/>
    <w:rsid w:val="00A5581D"/>
    <w:rsid w:val="00A55AD0"/>
    <w:rsid w:val="00A55C77"/>
    <w:rsid w:val="00A55D2D"/>
    <w:rsid w:val="00A56166"/>
    <w:rsid w:val="00A56381"/>
    <w:rsid w:val="00A56A40"/>
    <w:rsid w:val="00A56E82"/>
    <w:rsid w:val="00A57770"/>
    <w:rsid w:val="00A60AE7"/>
    <w:rsid w:val="00A619EE"/>
    <w:rsid w:val="00A64507"/>
    <w:rsid w:val="00A67CB8"/>
    <w:rsid w:val="00A70B51"/>
    <w:rsid w:val="00A70E24"/>
    <w:rsid w:val="00A70EF9"/>
    <w:rsid w:val="00A71727"/>
    <w:rsid w:val="00A72A84"/>
    <w:rsid w:val="00A74177"/>
    <w:rsid w:val="00A7478C"/>
    <w:rsid w:val="00A7516B"/>
    <w:rsid w:val="00A75766"/>
    <w:rsid w:val="00A75BC5"/>
    <w:rsid w:val="00A76334"/>
    <w:rsid w:val="00A77AB7"/>
    <w:rsid w:val="00A77D17"/>
    <w:rsid w:val="00A800AE"/>
    <w:rsid w:val="00A800C6"/>
    <w:rsid w:val="00A80200"/>
    <w:rsid w:val="00A80804"/>
    <w:rsid w:val="00A817FE"/>
    <w:rsid w:val="00A81C15"/>
    <w:rsid w:val="00A82804"/>
    <w:rsid w:val="00A82B21"/>
    <w:rsid w:val="00A83D1D"/>
    <w:rsid w:val="00A83E10"/>
    <w:rsid w:val="00A83FD9"/>
    <w:rsid w:val="00A842B0"/>
    <w:rsid w:val="00A848AE"/>
    <w:rsid w:val="00A8511C"/>
    <w:rsid w:val="00A853CF"/>
    <w:rsid w:val="00A8695D"/>
    <w:rsid w:val="00A86C6B"/>
    <w:rsid w:val="00A87208"/>
    <w:rsid w:val="00A90309"/>
    <w:rsid w:val="00A9156B"/>
    <w:rsid w:val="00A91BCA"/>
    <w:rsid w:val="00A9281A"/>
    <w:rsid w:val="00A92FB0"/>
    <w:rsid w:val="00A931AD"/>
    <w:rsid w:val="00A9401B"/>
    <w:rsid w:val="00A94E2D"/>
    <w:rsid w:val="00A952B4"/>
    <w:rsid w:val="00A96E82"/>
    <w:rsid w:val="00A97437"/>
    <w:rsid w:val="00AA0722"/>
    <w:rsid w:val="00AA0856"/>
    <w:rsid w:val="00AA0C87"/>
    <w:rsid w:val="00AA1D72"/>
    <w:rsid w:val="00AA27CC"/>
    <w:rsid w:val="00AA2A59"/>
    <w:rsid w:val="00AA2AFA"/>
    <w:rsid w:val="00AA3BBE"/>
    <w:rsid w:val="00AA3DB4"/>
    <w:rsid w:val="00AA438D"/>
    <w:rsid w:val="00AA47FC"/>
    <w:rsid w:val="00AA51F3"/>
    <w:rsid w:val="00AA5354"/>
    <w:rsid w:val="00AA5B16"/>
    <w:rsid w:val="00AA6D3C"/>
    <w:rsid w:val="00AA74B1"/>
    <w:rsid w:val="00AA75BA"/>
    <w:rsid w:val="00AA790D"/>
    <w:rsid w:val="00AA7A29"/>
    <w:rsid w:val="00AA7C59"/>
    <w:rsid w:val="00AA7F36"/>
    <w:rsid w:val="00AB02C6"/>
    <w:rsid w:val="00AB0336"/>
    <w:rsid w:val="00AB05EA"/>
    <w:rsid w:val="00AB11D0"/>
    <w:rsid w:val="00AB159B"/>
    <w:rsid w:val="00AB18BB"/>
    <w:rsid w:val="00AB3A1F"/>
    <w:rsid w:val="00AB3E57"/>
    <w:rsid w:val="00AB3F32"/>
    <w:rsid w:val="00AB4123"/>
    <w:rsid w:val="00AB4A11"/>
    <w:rsid w:val="00AB62D5"/>
    <w:rsid w:val="00AB680E"/>
    <w:rsid w:val="00AB6DBF"/>
    <w:rsid w:val="00AB6FDF"/>
    <w:rsid w:val="00AB7423"/>
    <w:rsid w:val="00AB78AF"/>
    <w:rsid w:val="00AB7AD9"/>
    <w:rsid w:val="00AB7C28"/>
    <w:rsid w:val="00AB7EF4"/>
    <w:rsid w:val="00AC0209"/>
    <w:rsid w:val="00AC0CDE"/>
    <w:rsid w:val="00AC10CD"/>
    <w:rsid w:val="00AC1389"/>
    <w:rsid w:val="00AC1600"/>
    <w:rsid w:val="00AC19DA"/>
    <w:rsid w:val="00AC1E87"/>
    <w:rsid w:val="00AC2395"/>
    <w:rsid w:val="00AC252A"/>
    <w:rsid w:val="00AC29AC"/>
    <w:rsid w:val="00AC33BC"/>
    <w:rsid w:val="00AC364A"/>
    <w:rsid w:val="00AC5C35"/>
    <w:rsid w:val="00AC5F83"/>
    <w:rsid w:val="00AC5FC2"/>
    <w:rsid w:val="00AC72BE"/>
    <w:rsid w:val="00AC7816"/>
    <w:rsid w:val="00AC7CC7"/>
    <w:rsid w:val="00AD03F0"/>
    <w:rsid w:val="00AD073E"/>
    <w:rsid w:val="00AD0DE7"/>
    <w:rsid w:val="00AD1117"/>
    <w:rsid w:val="00AD16BF"/>
    <w:rsid w:val="00AD17E9"/>
    <w:rsid w:val="00AD27FA"/>
    <w:rsid w:val="00AD3326"/>
    <w:rsid w:val="00AD4B6F"/>
    <w:rsid w:val="00AD4FEB"/>
    <w:rsid w:val="00AD5632"/>
    <w:rsid w:val="00AD5A71"/>
    <w:rsid w:val="00AD5B9B"/>
    <w:rsid w:val="00AD614D"/>
    <w:rsid w:val="00AD75DD"/>
    <w:rsid w:val="00AD7F18"/>
    <w:rsid w:val="00AD7FBC"/>
    <w:rsid w:val="00AE0531"/>
    <w:rsid w:val="00AE05E1"/>
    <w:rsid w:val="00AE09B6"/>
    <w:rsid w:val="00AE0EFB"/>
    <w:rsid w:val="00AE1342"/>
    <w:rsid w:val="00AE1EC8"/>
    <w:rsid w:val="00AE2613"/>
    <w:rsid w:val="00AE2711"/>
    <w:rsid w:val="00AE2F38"/>
    <w:rsid w:val="00AE370E"/>
    <w:rsid w:val="00AE3946"/>
    <w:rsid w:val="00AE4DEA"/>
    <w:rsid w:val="00AE51C0"/>
    <w:rsid w:val="00AE56FE"/>
    <w:rsid w:val="00AE6C76"/>
    <w:rsid w:val="00AE7232"/>
    <w:rsid w:val="00AE78A6"/>
    <w:rsid w:val="00AF09AA"/>
    <w:rsid w:val="00AF1E51"/>
    <w:rsid w:val="00AF1F2D"/>
    <w:rsid w:val="00AF222C"/>
    <w:rsid w:val="00AF24AD"/>
    <w:rsid w:val="00AF31C7"/>
    <w:rsid w:val="00AF3F44"/>
    <w:rsid w:val="00AF411C"/>
    <w:rsid w:val="00AF4217"/>
    <w:rsid w:val="00AF4796"/>
    <w:rsid w:val="00AF5BB4"/>
    <w:rsid w:val="00AF6139"/>
    <w:rsid w:val="00AF75FB"/>
    <w:rsid w:val="00AF7822"/>
    <w:rsid w:val="00AF78E5"/>
    <w:rsid w:val="00B00289"/>
    <w:rsid w:val="00B012EA"/>
    <w:rsid w:val="00B0188C"/>
    <w:rsid w:val="00B02403"/>
    <w:rsid w:val="00B0243D"/>
    <w:rsid w:val="00B02856"/>
    <w:rsid w:val="00B0356F"/>
    <w:rsid w:val="00B04667"/>
    <w:rsid w:val="00B04F71"/>
    <w:rsid w:val="00B05C0F"/>
    <w:rsid w:val="00B06312"/>
    <w:rsid w:val="00B0657A"/>
    <w:rsid w:val="00B07E7B"/>
    <w:rsid w:val="00B10A30"/>
    <w:rsid w:val="00B10BB7"/>
    <w:rsid w:val="00B1109C"/>
    <w:rsid w:val="00B112BF"/>
    <w:rsid w:val="00B117A0"/>
    <w:rsid w:val="00B118B9"/>
    <w:rsid w:val="00B11BA9"/>
    <w:rsid w:val="00B11C48"/>
    <w:rsid w:val="00B12128"/>
    <w:rsid w:val="00B12241"/>
    <w:rsid w:val="00B12D51"/>
    <w:rsid w:val="00B1361B"/>
    <w:rsid w:val="00B13E22"/>
    <w:rsid w:val="00B13F50"/>
    <w:rsid w:val="00B1433F"/>
    <w:rsid w:val="00B15046"/>
    <w:rsid w:val="00B15566"/>
    <w:rsid w:val="00B15D2C"/>
    <w:rsid w:val="00B165C3"/>
    <w:rsid w:val="00B17457"/>
    <w:rsid w:val="00B17956"/>
    <w:rsid w:val="00B215D5"/>
    <w:rsid w:val="00B2173D"/>
    <w:rsid w:val="00B2186E"/>
    <w:rsid w:val="00B21DA6"/>
    <w:rsid w:val="00B229AA"/>
    <w:rsid w:val="00B22E6E"/>
    <w:rsid w:val="00B231D7"/>
    <w:rsid w:val="00B232E6"/>
    <w:rsid w:val="00B23488"/>
    <w:rsid w:val="00B24B07"/>
    <w:rsid w:val="00B25864"/>
    <w:rsid w:val="00B25BF4"/>
    <w:rsid w:val="00B25D31"/>
    <w:rsid w:val="00B2602F"/>
    <w:rsid w:val="00B26123"/>
    <w:rsid w:val="00B2756A"/>
    <w:rsid w:val="00B27630"/>
    <w:rsid w:val="00B30962"/>
    <w:rsid w:val="00B30D13"/>
    <w:rsid w:val="00B315E9"/>
    <w:rsid w:val="00B326BB"/>
    <w:rsid w:val="00B34767"/>
    <w:rsid w:val="00B34D20"/>
    <w:rsid w:val="00B35578"/>
    <w:rsid w:val="00B35B02"/>
    <w:rsid w:val="00B35D09"/>
    <w:rsid w:val="00B35ED8"/>
    <w:rsid w:val="00B36768"/>
    <w:rsid w:val="00B36F85"/>
    <w:rsid w:val="00B373B7"/>
    <w:rsid w:val="00B37640"/>
    <w:rsid w:val="00B3795C"/>
    <w:rsid w:val="00B40B07"/>
    <w:rsid w:val="00B4123C"/>
    <w:rsid w:val="00B41BDC"/>
    <w:rsid w:val="00B41C0A"/>
    <w:rsid w:val="00B42669"/>
    <w:rsid w:val="00B4379D"/>
    <w:rsid w:val="00B438A5"/>
    <w:rsid w:val="00B44A95"/>
    <w:rsid w:val="00B45277"/>
    <w:rsid w:val="00B46931"/>
    <w:rsid w:val="00B46FF2"/>
    <w:rsid w:val="00B50164"/>
    <w:rsid w:val="00B50BA8"/>
    <w:rsid w:val="00B510B6"/>
    <w:rsid w:val="00B5127E"/>
    <w:rsid w:val="00B51BCD"/>
    <w:rsid w:val="00B52F3E"/>
    <w:rsid w:val="00B53081"/>
    <w:rsid w:val="00B53433"/>
    <w:rsid w:val="00B53C7A"/>
    <w:rsid w:val="00B54394"/>
    <w:rsid w:val="00B54F13"/>
    <w:rsid w:val="00B55320"/>
    <w:rsid w:val="00B55ABC"/>
    <w:rsid w:val="00B55C93"/>
    <w:rsid w:val="00B55FD0"/>
    <w:rsid w:val="00B5691E"/>
    <w:rsid w:val="00B56A15"/>
    <w:rsid w:val="00B56B69"/>
    <w:rsid w:val="00B57696"/>
    <w:rsid w:val="00B57A12"/>
    <w:rsid w:val="00B61099"/>
    <w:rsid w:val="00B61A72"/>
    <w:rsid w:val="00B61B6C"/>
    <w:rsid w:val="00B624D5"/>
    <w:rsid w:val="00B6288C"/>
    <w:rsid w:val="00B62CDC"/>
    <w:rsid w:val="00B636A8"/>
    <w:rsid w:val="00B6392B"/>
    <w:rsid w:val="00B64BC0"/>
    <w:rsid w:val="00B64C6F"/>
    <w:rsid w:val="00B64F21"/>
    <w:rsid w:val="00B65553"/>
    <w:rsid w:val="00B666C3"/>
    <w:rsid w:val="00B67954"/>
    <w:rsid w:val="00B67F96"/>
    <w:rsid w:val="00B704E9"/>
    <w:rsid w:val="00B70D3A"/>
    <w:rsid w:val="00B71D58"/>
    <w:rsid w:val="00B71FB2"/>
    <w:rsid w:val="00B720A6"/>
    <w:rsid w:val="00B722B8"/>
    <w:rsid w:val="00B72A2C"/>
    <w:rsid w:val="00B739AC"/>
    <w:rsid w:val="00B74003"/>
    <w:rsid w:val="00B75CC9"/>
    <w:rsid w:val="00B76509"/>
    <w:rsid w:val="00B76A99"/>
    <w:rsid w:val="00B77881"/>
    <w:rsid w:val="00B77FF6"/>
    <w:rsid w:val="00B80279"/>
    <w:rsid w:val="00B80730"/>
    <w:rsid w:val="00B80A2A"/>
    <w:rsid w:val="00B80BBD"/>
    <w:rsid w:val="00B8135B"/>
    <w:rsid w:val="00B81D4E"/>
    <w:rsid w:val="00B8293E"/>
    <w:rsid w:val="00B838A9"/>
    <w:rsid w:val="00B8428C"/>
    <w:rsid w:val="00B84A09"/>
    <w:rsid w:val="00B84FCE"/>
    <w:rsid w:val="00B87021"/>
    <w:rsid w:val="00B87F10"/>
    <w:rsid w:val="00B90FBC"/>
    <w:rsid w:val="00B9188F"/>
    <w:rsid w:val="00B91B38"/>
    <w:rsid w:val="00B92B5C"/>
    <w:rsid w:val="00B93030"/>
    <w:rsid w:val="00B93142"/>
    <w:rsid w:val="00B9343C"/>
    <w:rsid w:val="00B935F6"/>
    <w:rsid w:val="00B93FF1"/>
    <w:rsid w:val="00B9436F"/>
    <w:rsid w:val="00B94485"/>
    <w:rsid w:val="00B94B47"/>
    <w:rsid w:val="00B95C53"/>
    <w:rsid w:val="00B95EE3"/>
    <w:rsid w:val="00B96472"/>
    <w:rsid w:val="00B9686A"/>
    <w:rsid w:val="00B9712A"/>
    <w:rsid w:val="00B97A86"/>
    <w:rsid w:val="00BA0601"/>
    <w:rsid w:val="00BA083A"/>
    <w:rsid w:val="00BA0956"/>
    <w:rsid w:val="00BA0E40"/>
    <w:rsid w:val="00BA13A1"/>
    <w:rsid w:val="00BA1520"/>
    <w:rsid w:val="00BA1CD0"/>
    <w:rsid w:val="00BA2CE5"/>
    <w:rsid w:val="00BA2E33"/>
    <w:rsid w:val="00BA3D15"/>
    <w:rsid w:val="00BA3E05"/>
    <w:rsid w:val="00BA3EF1"/>
    <w:rsid w:val="00BA3F08"/>
    <w:rsid w:val="00BA4C27"/>
    <w:rsid w:val="00BA4C35"/>
    <w:rsid w:val="00BA51FD"/>
    <w:rsid w:val="00BA5416"/>
    <w:rsid w:val="00BA558B"/>
    <w:rsid w:val="00BA6CB1"/>
    <w:rsid w:val="00BA6CB8"/>
    <w:rsid w:val="00BA7774"/>
    <w:rsid w:val="00BB06FA"/>
    <w:rsid w:val="00BB08D4"/>
    <w:rsid w:val="00BB0960"/>
    <w:rsid w:val="00BB0C7E"/>
    <w:rsid w:val="00BB107D"/>
    <w:rsid w:val="00BB1597"/>
    <w:rsid w:val="00BB15B3"/>
    <w:rsid w:val="00BB161E"/>
    <w:rsid w:val="00BB2C20"/>
    <w:rsid w:val="00BB2CCC"/>
    <w:rsid w:val="00BB2DB1"/>
    <w:rsid w:val="00BB322F"/>
    <w:rsid w:val="00BB3369"/>
    <w:rsid w:val="00BB4548"/>
    <w:rsid w:val="00BB700D"/>
    <w:rsid w:val="00BB7251"/>
    <w:rsid w:val="00BB76CD"/>
    <w:rsid w:val="00BB7E1E"/>
    <w:rsid w:val="00BC05E3"/>
    <w:rsid w:val="00BC09BE"/>
    <w:rsid w:val="00BC0E68"/>
    <w:rsid w:val="00BC1A33"/>
    <w:rsid w:val="00BC22B5"/>
    <w:rsid w:val="00BC2639"/>
    <w:rsid w:val="00BC2F68"/>
    <w:rsid w:val="00BC36D7"/>
    <w:rsid w:val="00BC3722"/>
    <w:rsid w:val="00BC4112"/>
    <w:rsid w:val="00BC5D90"/>
    <w:rsid w:val="00BC5E22"/>
    <w:rsid w:val="00BC671D"/>
    <w:rsid w:val="00BC6EB7"/>
    <w:rsid w:val="00BC7145"/>
    <w:rsid w:val="00BC7557"/>
    <w:rsid w:val="00BC7AFD"/>
    <w:rsid w:val="00BC7D89"/>
    <w:rsid w:val="00BD0847"/>
    <w:rsid w:val="00BD0A10"/>
    <w:rsid w:val="00BD0D99"/>
    <w:rsid w:val="00BD0DB0"/>
    <w:rsid w:val="00BD0E32"/>
    <w:rsid w:val="00BD2156"/>
    <w:rsid w:val="00BD262F"/>
    <w:rsid w:val="00BD2CFE"/>
    <w:rsid w:val="00BD3006"/>
    <w:rsid w:val="00BD3DE2"/>
    <w:rsid w:val="00BD3EBE"/>
    <w:rsid w:val="00BD49E1"/>
    <w:rsid w:val="00BD5AF0"/>
    <w:rsid w:val="00BD5F2E"/>
    <w:rsid w:val="00BD7683"/>
    <w:rsid w:val="00BD7EFC"/>
    <w:rsid w:val="00BE05AC"/>
    <w:rsid w:val="00BE11AF"/>
    <w:rsid w:val="00BE1B3E"/>
    <w:rsid w:val="00BE1F0B"/>
    <w:rsid w:val="00BE2049"/>
    <w:rsid w:val="00BE2E68"/>
    <w:rsid w:val="00BE3186"/>
    <w:rsid w:val="00BE45B5"/>
    <w:rsid w:val="00BE46C7"/>
    <w:rsid w:val="00BE4711"/>
    <w:rsid w:val="00BE4BC7"/>
    <w:rsid w:val="00BE62DE"/>
    <w:rsid w:val="00BE645F"/>
    <w:rsid w:val="00BE74CF"/>
    <w:rsid w:val="00BE753C"/>
    <w:rsid w:val="00BE79FC"/>
    <w:rsid w:val="00BF05FA"/>
    <w:rsid w:val="00BF0778"/>
    <w:rsid w:val="00BF1355"/>
    <w:rsid w:val="00BF1EEC"/>
    <w:rsid w:val="00BF2985"/>
    <w:rsid w:val="00BF3CC6"/>
    <w:rsid w:val="00BF3F86"/>
    <w:rsid w:val="00BF5016"/>
    <w:rsid w:val="00BF5BB0"/>
    <w:rsid w:val="00BF6795"/>
    <w:rsid w:val="00BF7313"/>
    <w:rsid w:val="00C00B37"/>
    <w:rsid w:val="00C01E8D"/>
    <w:rsid w:val="00C042C4"/>
    <w:rsid w:val="00C04458"/>
    <w:rsid w:val="00C04DE8"/>
    <w:rsid w:val="00C05442"/>
    <w:rsid w:val="00C05B43"/>
    <w:rsid w:val="00C06021"/>
    <w:rsid w:val="00C060C2"/>
    <w:rsid w:val="00C06451"/>
    <w:rsid w:val="00C06951"/>
    <w:rsid w:val="00C06EDC"/>
    <w:rsid w:val="00C07F10"/>
    <w:rsid w:val="00C100C7"/>
    <w:rsid w:val="00C104A4"/>
    <w:rsid w:val="00C1090D"/>
    <w:rsid w:val="00C10B20"/>
    <w:rsid w:val="00C11606"/>
    <w:rsid w:val="00C11E1F"/>
    <w:rsid w:val="00C12D9E"/>
    <w:rsid w:val="00C12EAC"/>
    <w:rsid w:val="00C1386E"/>
    <w:rsid w:val="00C13A7C"/>
    <w:rsid w:val="00C14661"/>
    <w:rsid w:val="00C15257"/>
    <w:rsid w:val="00C15312"/>
    <w:rsid w:val="00C158A0"/>
    <w:rsid w:val="00C15E45"/>
    <w:rsid w:val="00C160C2"/>
    <w:rsid w:val="00C16106"/>
    <w:rsid w:val="00C17486"/>
    <w:rsid w:val="00C174AC"/>
    <w:rsid w:val="00C2158B"/>
    <w:rsid w:val="00C21B0A"/>
    <w:rsid w:val="00C22D7D"/>
    <w:rsid w:val="00C22E1F"/>
    <w:rsid w:val="00C23B56"/>
    <w:rsid w:val="00C24914"/>
    <w:rsid w:val="00C24EC6"/>
    <w:rsid w:val="00C256BA"/>
    <w:rsid w:val="00C26533"/>
    <w:rsid w:val="00C27405"/>
    <w:rsid w:val="00C27AF3"/>
    <w:rsid w:val="00C27BA8"/>
    <w:rsid w:val="00C27D8B"/>
    <w:rsid w:val="00C30718"/>
    <w:rsid w:val="00C30927"/>
    <w:rsid w:val="00C30A2F"/>
    <w:rsid w:val="00C30D9B"/>
    <w:rsid w:val="00C30DFA"/>
    <w:rsid w:val="00C311DF"/>
    <w:rsid w:val="00C312F8"/>
    <w:rsid w:val="00C3147B"/>
    <w:rsid w:val="00C31DF0"/>
    <w:rsid w:val="00C32A3E"/>
    <w:rsid w:val="00C32D4A"/>
    <w:rsid w:val="00C338C8"/>
    <w:rsid w:val="00C3399F"/>
    <w:rsid w:val="00C33B95"/>
    <w:rsid w:val="00C34D8A"/>
    <w:rsid w:val="00C34EFE"/>
    <w:rsid w:val="00C35012"/>
    <w:rsid w:val="00C355C5"/>
    <w:rsid w:val="00C360E1"/>
    <w:rsid w:val="00C362D8"/>
    <w:rsid w:val="00C37693"/>
    <w:rsid w:val="00C37B32"/>
    <w:rsid w:val="00C41993"/>
    <w:rsid w:val="00C41E34"/>
    <w:rsid w:val="00C41F4A"/>
    <w:rsid w:val="00C421BC"/>
    <w:rsid w:val="00C4220A"/>
    <w:rsid w:val="00C42808"/>
    <w:rsid w:val="00C42FEC"/>
    <w:rsid w:val="00C43688"/>
    <w:rsid w:val="00C45A7D"/>
    <w:rsid w:val="00C4629C"/>
    <w:rsid w:val="00C4670B"/>
    <w:rsid w:val="00C46F25"/>
    <w:rsid w:val="00C47116"/>
    <w:rsid w:val="00C47470"/>
    <w:rsid w:val="00C47986"/>
    <w:rsid w:val="00C5010E"/>
    <w:rsid w:val="00C50681"/>
    <w:rsid w:val="00C5085F"/>
    <w:rsid w:val="00C5218F"/>
    <w:rsid w:val="00C52F7C"/>
    <w:rsid w:val="00C532B5"/>
    <w:rsid w:val="00C53441"/>
    <w:rsid w:val="00C53FC8"/>
    <w:rsid w:val="00C546CE"/>
    <w:rsid w:val="00C54E6D"/>
    <w:rsid w:val="00C54F1A"/>
    <w:rsid w:val="00C55F8F"/>
    <w:rsid w:val="00C568D4"/>
    <w:rsid w:val="00C6043E"/>
    <w:rsid w:val="00C60700"/>
    <w:rsid w:val="00C60865"/>
    <w:rsid w:val="00C61223"/>
    <w:rsid w:val="00C624FE"/>
    <w:rsid w:val="00C63792"/>
    <w:rsid w:val="00C63798"/>
    <w:rsid w:val="00C63A38"/>
    <w:rsid w:val="00C63B10"/>
    <w:rsid w:val="00C63EA1"/>
    <w:rsid w:val="00C650E5"/>
    <w:rsid w:val="00C652C2"/>
    <w:rsid w:val="00C65FE2"/>
    <w:rsid w:val="00C66670"/>
    <w:rsid w:val="00C669A5"/>
    <w:rsid w:val="00C677CE"/>
    <w:rsid w:val="00C7067E"/>
    <w:rsid w:val="00C70D58"/>
    <w:rsid w:val="00C714E3"/>
    <w:rsid w:val="00C7152F"/>
    <w:rsid w:val="00C71C93"/>
    <w:rsid w:val="00C71FC5"/>
    <w:rsid w:val="00C72022"/>
    <w:rsid w:val="00C7207F"/>
    <w:rsid w:val="00C724EE"/>
    <w:rsid w:val="00C7536D"/>
    <w:rsid w:val="00C75A73"/>
    <w:rsid w:val="00C76808"/>
    <w:rsid w:val="00C773A7"/>
    <w:rsid w:val="00C777D5"/>
    <w:rsid w:val="00C77D8F"/>
    <w:rsid w:val="00C77DA7"/>
    <w:rsid w:val="00C80082"/>
    <w:rsid w:val="00C808D6"/>
    <w:rsid w:val="00C80CE6"/>
    <w:rsid w:val="00C81561"/>
    <w:rsid w:val="00C82C5E"/>
    <w:rsid w:val="00C82DD1"/>
    <w:rsid w:val="00C8307E"/>
    <w:rsid w:val="00C83FF2"/>
    <w:rsid w:val="00C84343"/>
    <w:rsid w:val="00C84373"/>
    <w:rsid w:val="00C84815"/>
    <w:rsid w:val="00C85A86"/>
    <w:rsid w:val="00C85D51"/>
    <w:rsid w:val="00C8682B"/>
    <w:rsid w:val="00C9017E"/>
    <w:rsid w:val="00C90367"/>
    <w:rsid w:val="00C909E5"/>
    <w:rsid w:val="00C909F5"/>
    <w:rsid w:val="00C90BB3"/>
    <w:rsid w:val="00C90F3F"/>
    <w:rsid w:val="00C90FCC"/>
    <w:rsid w:val="00C9140F"/>
    <w:rsid w:val="00C91A76"/>
    <w:rsid w:val="00C922B0"/>
    <w:rsid w:val="00C92409"/>
    <w:rsid w:val="00C92D1A"/>
    <w:rsid w:val="00C92EB1"/>
    <w:rsid w:val="00C93A88"/>
    <w:rsid w:val="00C93D87"/>
    <w:rsid w:val="00C93E43"/>
    <w:rsid w:val="00C94FE9"/>
    <w:rsid w:val="00C95075"/>
    <w:rsid w:val="00C9580E"/>
    <w:rsid w:val="00C95A73"/>
    <w:rsid w:val="00C9685A"/>
    <w:rsid w:val="00C97758"/>
    <w:rsid w:val="00CA02B2"/>
    <w:rsid w:val="00CA08F4"/>
    <w:rsid w:val="00CA09E8"/>
    <w:rsid w:val="00CA104D"/>
    <w:rsid w:val="00CA194D"/>
    <w:rsid w:val="00CA20EF"/>
    <w:rsid w:val="00CA263B"/>
    <w:rsid w:val="00CA2B98"/>
    <w:rsid w:val="00CA2E78"/>
    <w:rsid w:val="00CA30F4"/>
    <w:rsid w:val="00CA3A08"/>
    <w:rsid w:val="00CA46F2"/>
    <w:rsid w:val="00CA49D4"/>
    <w:rsid w:val="00CA5645"/>
    <w:rsid w:val="00CA6797"/>
    <w:rsid w:val="00CA7814"/>
    <w:rsid w:val="00CB0078"/>
    <w:rsid w:val="00CB0733"/>
    <w:rsid w:val="00CB0B00"/>
    <w:rsid w:val="00CB0E4C"/>
    <w:rsid w:val="00CB0FAA"/>
    <w:rsid w:val="00CB2A27"/>
    <w:rsid w:val="00CB3A6A"/>
    <w:rsid w:val="00CB45C3"/>
    <w:rsid w:val="00CB52BE"/>
    <w:rsid w:val="00CB59D7"/>
    <w:rsid w:val="00CB5E4B"/>
    <w:rsid w:val="00CB645E"/>
    <w:rsid w:val="00CB6C6F"/>
    <w:rsid w:val="00CB6DEB"/>
    <w:rsid w:val="00CB75FC"/>
    <w:rsid w:val="00CB7E46"/>
    <w:rsid w:val="00CC0643"/>
    <w:rsid w:val="00CC14F1"/>
    <w:rsid w:val="00CC154D"/>
    <w:rsid w:val="00CC1EA7"/>
    <w:rsid w:val="00CC2158"/>
    <w:rsid w:val="00CC3377"/>
    <w:rsid w:val="00CC3846"/>
    <w:rsid w:val="00CC3E25"/>
    <w:rsid w:val="00CC43B2"/>
    <w:rsid w:val="00CC6D3A"/>
    <w:rsid w:val="00CC714E"/>
    <w:rsid w:val="00CC7894"/>
    <w:rsid w:val="00CD0474"/>
    <w:rsid w:val="00CD0789"/>
    <w:rsid w:val="00CD158E"/>
    <w:rsid w:val="00CD16D6"/>
    <w:rsid w:val="00CD1881"/>
    <w:rsid w:val="00CD1E4D"/>
    <w:rsid w:val="00CD249C"/>
    <w:rsid w:val="00CD348F"/>
    <w:rsid w:val="00CD4124"/>
    <w:rsid w:val="00CD43BC"/>
    <w:rsid w:val="00CD46A9"/>
    <w:rsid w:val="00CD4B3D"/>
    <w:rsid w:val="00CD4E9C"/>
    <w:rsid w:val="00CD5225"/>
    <w:rsid w:val="00CD554C"/>
    <w:rsid w:val="00CD557B"/>
    <w:rsid w:val="00CD5614"/>
    <w:rsid w:val="00CD6455"/>
    <w:rsid w:val="00CD6ECF"/>
    <w:rsid w:val="00CD7F1C"/>
    <w:rsid w:val="00CE0486"/>
    <w:rsid w:val="00CE063C"/>
    <w:rsid w:val="00CE082C"/>
    <w:rsid w:val="00CE1999"/>
    <w:rsid w:val="00CE20B5"/>
    <w:rsid w:val="00CE2954"/>
    <w:rsid w:val="00CE3084"/>
    <w:rsid w:val="00CE3CA1"/>
    <w:rsid w:val="00CE3D03"/>
    <w:rsid w:val="00CE4262"/>
    <w:rsid w:val="00CE48B1"/>
    <w:rsid w:val="00CE4AFA"/>
    <w:rsid w:val="00CE4D5C"/>
    <w:rsid w:val="00CE51D3"/>
    <w:rsid w:val="00CE5406"/>
    <w:rsid w:val="00CE568F"/>
    <w:rsid w:val="00CE5F96"/>
    <w:rsid w:val="00CE6321"/>
    <w:rsid w:val="00CE74E5"/>
    <w:rsid w:val="00CE7634"/>
    <w:rsid w:val="00CE7BF3"/>
    <w:rsid w:val="00CE7E80"/>
    <w:rsid w:val="00CF021D"/>
    <w:rsid w:val="00CF07A1"/>
    <w:rsid w:val="00CF17D5"/>
    <w:rsid w:val="00CF1C21"/>
    <w:rsid w:val="00CF2169"/>
    <w:rsid w:val="00CF2789"/>
    <w:rsid w:val="00CF3A75"/>
    <w:rsid w:val="00CF3D91"/>
    <w:rsid w:val="00CF43B4"/>
    <w:rsid w:val="00CF4876"/>
    <w:rsid w:val="00CF4C9A"/>
    <w:rsid w:val="00CF4E55"/>
    <w:rsid w:val="00CF5323"/>
    <w:rsid w:val="00CF5AC6"/>
    <w:rsid w:val="00CF60B2"/>
    <w:rsid w:val="00CF73D1"/>
    <w:rsid w:val="00CF73F3"/>
    <w:rsid w:val="00CF7639"/>
    <w:rsid w:val="00D000A6"/>
    <w:rsid w:val="00D00648"/>
    <w:rsid w:val="00D009B7"/>
    <w:rsid w:val="00D00E7C"/>
    <w:rsid w:val="00D02353"/>
    <w:rsid w:val="00D02502"/>
    <w:rsid w:val="00D0274E"/>
    <w:rsid w:val="00D03C62"/>
    <w:rsid w:val="00D040FF"/>
    <w:rsid w:val="00D04741"/>
    <w:rsid w:val="00D0484E"/>
    <w:rsid w:val="00D05F20"/>
    <w:rsid w:val="00D066E7"/>
    <w:rsid w:val="00D06E09"/>
    <w:rsid w:val="00D07BC8"/>
    <w:rsid w:val="00D117D3"/>
    <w:rsid w:val="00D119FD"/>
    <w:rsid w:val="00D11BC7"/>
    <w:rsid w:val="00D12E9F"/>
    <w:rsid w:val="00D12ED3"/>
    <w:rsid w:val="00D13217"/>
    <w:rsid w:val="00D13840"/>
    <w:rsid w:val="00D13949"/>
    <w:rsid w:val="00D13A4D"/>
    <w:rsid w:val="00D15459"/>
    <w:rsid w:val="00D16018"/>
    <w:rsid w:val="00D1634C"/>
    <w:rsid w:val="00D16885"/>
    <w:rsid w:val="00D16B07"/>
    <w:rsid w:val="00D21E6D"/>
    <w:rsid w:val="00D22097"/>
    <w:rsid w:val="00D222A2"/>
    <w:rsid w:val="00D22486"/>
    <w:rsid w:val="00D225B3"/>
    <w:rsid w:val="00D22CC0"/>
    <w:rsid w:val="00D23257"/>
    <w:rsid w:val="00D24269"/>
    <w:rsid w:val="00D255F8"/>
    <w:rsid w:val="00D25A49"/>
    <w:rsid w:val="00D25ABD"/>
    <w:rsid w:val="00D25F72"/>
    <w:rsid w:val="00D260C6"/>
    <w:rsid w:val="00D2678A"/>
    <w:rsid w:val="00D26E89"/>
    <w:rsid w:val="00D277BE"/>
    <w:rsid w:val="00D27A92"/>
    <w:rsid w:val="00D30476"/>
    <w:rsid w:val="00D30620"/>
    <w:rsid w:val="00D307A5"/>
    <w:rsid w:val="00D3095F"/>
    <w:rsid w:val="00D310AB"/>
    <w:rsid w:val="00D31230"/>
    <w:rsid w:val="00D315AF"/>
    <w:rsid w:val="00D31C78"/>
    <w:rsid w:val="00D3268D"/>
    <w:rsid w:val="00D327B8"/>
    <w:rsid w:val="00D32A66"/>
    <w:rsid w:val="00D32ED8"/>
    <w:rsid w:val="00D3307D"/>
    <w:rsid w:val="00D338B8"/>
    <w:rsid w:val="00D338D1"/>
    <w:rsid w:val="00D33DA2"/>
    <w:rsid w:val="00D34047"/>
    <w:rsid w:val="00D349C4"/>
    <w:rsid w:val="00D34D13"/>
    <w:rsid w:val="00D35359"/>
    <w:rsid w:val="00D3540E"/>
    <w:rsid w:val="00D357E6"/>
    <w:rsid w:val="00D361C5"/>
    <w:rsid w:val="00D36717"/>
    <w:rsid w:val="00D371F7"/>
    <w:rsid w:val="00D37DF5"/>
    <w:rsid w:val="00D40B31"/>
    <w:rsid w:val="00D4117E"/>
    <w:rsid w:val="00D41310"/>
    <w:rsid w:val="00D41601"/>
    <w:rsid w:val="00D41ADE"/>
    <w:rsid w:val="00D41F0F"/>
    <w:rsid w:val="00D420D5"/>
    <w:rsid w:val="00D4232E"/>
    <w:rsid w:val="00D42CFB"/>
    <w:rsid w:val="00D432B7"/>
    <w:rsid w:val="00D4407C"/>
    <w:rsid w:val="00D44841"/>
    <w:rsid w:val="00D45648"/>
    <w:rsid w:val="00D457C9"/>
    <w:rsid w:val="00D46A28"/>
    <w:rsid w:val="00D4713A"/>
    <w:rsid w:val="00D47A28"/>
    <w:rsid w:val="00D50019"/>
    <w:rsid w:val="00D505DA"/>
    <w:rsid w:val="00D50CEB"/>
    <w:rsid w:val="00D50DC1"/>
    <w:rsid w:val="00D511E6"/>
    <w:rsid w:val="00D51CE1"/>
    <w:rsid w:val="00D523F0"/>
    <w:rsid w:val="00D53107"/>
    <w:rsid w:val="00D53A9D"/>
    <w:rsid w:val="00D53D48"/>
    <w:rsid w:val="00D543ED"/>
    <w:rsid w:val="00D5492E"/>
    <w:rsid w:val="00D54A7F"/>
    <w:rsid w:val="00D54F90"/>
    <w:rsid w:val="00D55108"/>
    <w:rsid w:val="00D55246"/>
    <w:rsid w:val="00D55808"/>
    <w:rsid w:val="00D57AC3"/>
    <w:rsid w:val="00D61188"/>
    <w:rsid w:val="00D6144A"/>
    <w:rsid w:val="00D61E1D"/>
    <w:rsid w:val="00D6206B"/>
    <w:rsid w:val="00D62846"/>
    <w:rsid w:val="00D62960"/>
    <w:rsid w:val="00D633D9"/>
    <w:rsid w:val="00D6342A"/>
    <w:rsid w:val="00D634C3"/>
    <w:rsid w:val="00D63618"/>
    <w:rsid w:val="00D6382D"/>
    <w:rsid w:val="00D6425D"/>
    <w:rsid w:val="00D6431A"/>
    <w:rsid w:val="00D649CE"/>
    <w:rsid w:val="00D65FDA"/>
    <w:rsid w:val="00D660C3"/>
    <w:rsid w:val="00D6650B"/>
    <w:rsid w:val="00D66F40"/>
    <w:rsid w:val="00D671BD"/>
    <w:rsid w:val="00D678C2"/>
    <w:rsid w:val="00D70186"/>
    <w:rsid w:val="00D70410"/>
    <w:rsid w:val="00D707C2"/>
    <w:rsid w:val="00D70ABA"/>
    <w:rsid w:val="00D71B03"/>
    <w:rsid w:val="00D72626"/>
    <w:rsid w:val="00D72E14"/>
    <w:rsid w:val="00D75EE3"/>
    <w:rsid w:val="00D76035"/>
    <w:rsid w:val="00D7701C"/>
    <w:rsid w:val="00D77164"/>
    <w:rsid w:val="00D772B1"/>
    <w:rsid w:val="00D7758D"/>
    <w:rsid w:val="00D8041C"/>
    <w:rsid w:val="00D80E16"/>
    <w:rsid w:val="00D80E50"/>
    <w:rsid w:val="00D80F14"/>
    <w:rsid w:val="00D81281"/>
    <w:rsid w:val="00D81B6B"/>
    <w:rsid w:val="00D828BD"/>
    <w:rsid w:val="00D83684"/>
    <w:rsid w:val="00D83ECD"/>
    <w:rsid w:val="00D84380"/>
    <w:rsid w:val="00D84ACF"/>
    <w:rsid w:val="00D84D80"/>
    <w:rsid w:val="00D84F53"/>
    <w:rsid w:val="00D856BD"/>
    <w:rsid w:val="00D856E3"/>
    <w:rsid w:val="00D85A72"/>
    <w:rsid w:val="00D86A44"/>
    <w:rsid w:val="00D86EEE"/>
    <w:rsid w:val="00D87829"/>
    <w:rsid w:val="00D8787F"/>
    <w:rsid w:val="00D90882"/>
    <w:rsid w:val="00D90C9B"/>
    <w:rsid w:val="00D9155F"/>
    <w:rsid w:val="00D915AC"/>
    <w:rsid w:val="00D91751"/>
    <w:rsid w:val="00D91B1F"/>
    <w:rsid w:val="00D9280A"/>
    <w:rsid w:val="00D93029"/>
    <w:rsid w:val="00D930E6"/>
    <w:rsid w:val="00D934C7"/>
    <w:rsid w:val="00D93B9C"/>
    <w:rsid w:val="00D94011"/>
    <w:rsid w:val="00D94460"/>
    <w:rsid w:val="00D944F3"/>
    <w:rsid w:val="00D94A08"/>
    <w:rsid w:val="00D9735B"/>
    <w:rsid w:val="00D97A3D"/>
    <w:rsid w:val="00D97B9B"/>
    <w:rsid w:val="00D97E5F"/>
    <w:rsid w:val="00DA01AB"/>
    <w:rsid w:val="00DA01E5"/>
    <w:rsid w:val="00DA04FC"/>
    <w:rsid w:val="00DA0DF6"/>
    <w:rsid w:val="00DA1631"/>
    <w:rsid w:val="00DA1697"/>
    <w:rsid w:val="00DA2FBD"/>
    <w:rsid w:val="00DA40AD"/>
    <w:rsid w:val="00DA475E"/>
    <w:rsid w:val="00DA4F7E"/>
    <w:rsid w:val="00DA505F"/>
    <w:rsid w:val="00DA51FB"/>
    <w:rsid w:val="00DA5A8F"/>
    <w:rsid w:val="00DA6047"/>
    <w:rsid w:val="00DA6602"/>
    <w:rsid w:val="00DA672C"/>
    <w:rsid w:val="00DA6829"/>
    <w:rsid w:val="00DA6BAD"/>
    <w:rsid w:val="00DA7585"/>
    <w:rsid w:val="00DA7C8A"/>
    <w:rsid w:val="00DB0002"/>
    <w:rsid w:val="00DB026A"/>
    <w:rsid w:val="00DB0679"/>
    <w:rsid w:val="00DB0838"/>
    <w:rsid w:val="00DB150F"/>
    <w:rsid w:val="00DB1D4E"/>
    <w:rsid w:val="00DB2798"/>
    <w:rsid w:val="00DB286E"/>
    <w:rsid w:val="00DB45DF"/>
    <w:rsid w:val="00DB5799"/>
    <w:rsid w:val="00DB5E49"/>
    <w:rsid w:val="00DB5F73"/>
    <w:rsid w:val="00DB66BF"/>
    <w:rsid w:val="00DB6F4B"/>
    <w:rsid w:val="00DB7B64"/>
    <w:rsid w:val="00DB7D13"/>
    <w:rsid w:val="00DB7E8E"/>
    <w:rsid w:val="00DB7F7B"/>
    <w:rsid w:val="00DC06AC"/>
    <w:rsid w:val="00DC205E"/>
    <w:rsid w:val="00DC2390"/>
    <w:rsid w:val="00DC2A5B"/>
    <w:rsid w:val="00DC3646"/>
    <w:rsid w:val="00DC4196"/>
    <w:rsid w:val="00DC55B6"/>
    <w:rsid w:val="00DC62DE"/>
    <w:rsid w:val="00DC62E8"/>
    <w:rsid w:val="00DC6467"/>
    <w:rsid w:val="00DC660A"/>
    <w:rsid w:val="00DC6A8B"/>
    <w:rsid w:val="00DC742A"/>
    <w:rsid w:val="00DC7B3D"/>
    <w:rsid w:val="00DD0377"/>
    <w:rsid w:val="00DD0B1E"/>
    <w:rsid w:val="00DD14AF"/>
    <w:rsid w:val="00DD21D7"/>
    <w:rsid w:val="00DD261A"/>
    <w:rsid w:val="00DD2624"/>
    <w:rsid w:val="00DD263E"/>
    <w:rsid w:val="00DD37C2"/>
    <w:rsid w:val="00DD4ABB"/>
    <w:rsid w:val="00DD4B82"/>
    <w:rsid w:val="00DD6C1B"/>
    <w:rsid w:val="00DD6C21"/>
    <w:rsid w:val="00DE05FC"/>
    <w:rsid w:val="00DE0D15"/>
    <w:rsid w:val="00DE2547"/>
    <w:rsid w:val="00DE2794"/>
    <w:rsid w:val="00DE2EB1"/>
    <w:rsid w:val="00DE354B"/>
    <w:rsid w:val="00DE3B51"/>
    <w:rsid w:val="00DE3CFE"/>
    <w:rsid w:val="00DE450B"/>
    <w:rsid w:val="00DE45CC"/>
    <w:rsid w:val="00DE4F9A"/>
    <w:rsid w:val="00DE5038"/>
    <w:rsid w:val="00DE5D9C"/>
    <w:rsid w:val="00DE63D3"/>
    <w:rsid w:val="00DE6FC8"/>
    <w:rsid w:val="00DE7193"/>
    <w:rsid w:val="00DE7A55"/>
    <w:rsid w:val="00DF001D"/>
    <w:rsid w:val="00DF0353"/>
    <w:rsid w:val="00DF102E"/>
    <w:rsid w:val="00DF1658"/>
    <w:rsid w:val="00DF2953"/>
    <w:rsid w:val="00DF3E1F"/>
    <w:rsid w:val="00DF3F32"/>
    <w:rsid w:val="00DF414B"/>
    <w:rsid w:val="00DF50A0"/>
    <w:rsid w:val="00DF551D"/>
    <w:rsid w:val="00DF5C09"/>
    <w:rsid w:val="00DF6A00"/>
    <w:rsid w:val="00DF6D53"/>
    <w:rsid w:val="00DF6E6B"/>
    <w:rsid w:val="00DF7335"/>
    <w:rsid w:val="00E00247"/>
    <w:rsid w:val="00E006C3"/>
    <w:rsid w:val="00E00A26"/>
    <w:rsid w:val="00E0157F"/>
    <w:rsid w:val="00E01B44"/>
    <w:rsid w:val="00E029A5"/>
    <w:rsid w:val="00E0397B"/>
    <w:rsid w:val="00E03B38"/>
    <w:rsid w:val="00E03CEA"/>
    <w:rsid w:val="00E04A5B"/>
    <w:rsid w:val="00E04DC6"/>
    <w:rsid w:val="00E0528B"/>
    <w:rsid w:val="00E053B5"/>
    <w:rsid w:val="00E06052"/>
    <w:rsid w:val="00E060A2"/>
    <w:rsid w:val="00E0690B"/>
    <w:rsid w:val="00E077DE"/>
    <w:rsid w:val="00E0798A"/>
    <w:rsid w:val="00E107EB"/>
    <w:rsid w:val="00E119DB"/>
    <w:rsid w:val="00E124D8"/>
    <w:rsid w:val="00E1284F"/>
    <w:rsid w:val="00E12953"/>
    <w:rsid w:val="00E138DB"/>
    <w:rsid w:val="00E13D12"/>
    <w:rsid w:val="00E14621"/>
    <w:rsid w:val="00E147A2"/>
    <w:rsid w:val="00E15C6F"/>
    <w:rsid w:val="00E1671C"/>
    <w:rsid w:val="00E16D21"/>
    <w:rsid w:val="00E16DC5"/>
    <w:rsid w:val="00E20021"/>
    <w:rsid w:val="00E20129"/>
    <w:rsid w:val="00E203A5"/>
    <w:rsid w:val="00E21C1F"/>
    <w:rsid w:val="00E229BE"/>
    <w:rsid w:val="00E23AAE"/>
    <w:rsid w:val="00E23D01"/>
    <w:rsid w:val="00E25536"/>
    <w:rsid w:val="00E258CA"/>
    <w:rsid w:val="00E25B08"/>
    <w:rsid w:val="00E26163"/>
    <w:rsid w:val="00E2616C"/>
    <w:rsid w:val="00E27151"/>
    <w:rsid w:val="00E27C1F"/>
    <w:rsid w:val="00E27E34"/>
    <w:rsid w:val="00E303F3"/>
    <w:rsid w:val="00E30F88"/>
    <w:rsid w:val="00E320B1"/>
    <w:rsid w:val="00E32274"/>
    <w:rsid w:val="00E32918"/>
    <w:rsid w:val="00E32B5A"/>
    <w:rsid w:val="00E332D1"/>
    <w:rsid w:val="00E33D22"/>
    <w:rsid w:val="00E33F8D"/>
    <w:rsid w:val="00E34004"/>
    <w:rsid w:val="00E34608"/>
    <w:rsid w:val="00E34C9F"/>
    <w:rsid w:val="00E34D90"/>
    <w:rsid w:val="00E366E7"/>
    <w:rsid w:val="00E36A69"/>
    <w:rsid w:val="00E3791C"/>
    <w:rsid w:val="00E40245"/>
    <w:rsid w:val="00E409B3"/>
    <w:rsid w:val="00E40AC2"/>
    <w:rsid w:val="00E41783"/>
    <w:rsid w:val="00E42521"/>
    <w:rsid w:val="00E42884"/>
    <w:rsid w:val="00E42960"/>
    <w:rsid w:val="00E42B43"/>
    <w:rsid w:val="00E43317"/>
    <w:rsid w:val="00E43F20"/>
    <w:rsid w:val="00E444A5"/>
    <w:rsid w:val="00E44F2F"/>
    <w:rsid w:val="00E45498"/>
    <w:rsid w:val="00E46529"/>
    <w:rsid w:val="00E46583"/>
    <w:rsid w:val="00E46F04"/>
    <w:rsid w:val="00E470BA"/>
    <w:rsid w:val="00E47CAB"/>
    <w:rsid w:val="00E501D3"/>
    <w:rsid w:val="00E51060"/>
    <w:rsid w:val="00E5196E"/>
    <w:rsid w:val="00E53142"/>
    <w:rsid w:val="00E53602"/>
    <w:rsid w:val="00E53D9E"/>
    <w:rsid w:val="00E5471F"/>
    <w:rsid w:val="00E5532D"/>
    <w:rsid w:val="00E55552"/>
    <w:rsid w:val="00E55725"/>
    <w:rsid w:val="00E55B8A"/>
    <w:rsid w:val="00E5600E"/>
    <w:rsid w:val="00E56B6D"/>
    <w:rsid w:val="00E56BE9"/>
    <w:rsid w:val="00E5712A"/>
    <w:rsid w:val="00E5717A"/>
    <w:rsid w:val="00E5728C"/>
    <w:rsid w:val="00E57E04"/>
    <w:rsid w:val="00E60157"/>
    <w:rsid w:val="00E6053F"/>
    <w:rsid w:val="00E609D2"/>
    <w:rsid w:val="00E60B2E"/>
    <w:rsid w:val="00E60EA1"/>
    <w:rsid w:val="00E619C2"/>
    <w:rsid w:val="00E62CFF"/>
    <w:rsid w:val="00E6327D"/>
    <w:rsid w:val="00E63296"/>
    <w:rsid w:val="00E63B8D"/>
    <w:rsid w:val="00E64657"/>
    <w:rsid w:val="00E6501F"/>
    <w:rsid w:val="00E654BB"/>
    <w:rsid w:val="00E660E8"/>
    <w:rsid w:val="00E6649C"/>
    <w:rsid w:val="00E666E3"/>
    <w:rsid w:val="00E66CF6"/>
    <w:rsid w:val="00E67D10"/>
    <w:rsid w:val="00E67F99"/>
    <w:rsid w:val="00E70040"/>
    <w:rsid w:val="00E70675"/>
    <w:rsid w:val="00E70B39"/>
    <w:rsid w:val="00E70E83"/>
    <w:rsid w:val="00E71033"/>
    <w:rsid w:val="00E7199E"/>
    <w:rsid w:val="00E726E7"/>
    <w:rsid w:val="00E73FE1"/>
    <w:rsid w:val="00E7414F"/>
    <w:rsid w:val="00E75700"/>
    <w:rsid w:val="00E75F9B"/>
    <w:rsid w:val="00E76794"/>
    <w:rsid w:val="00E76A9C"/>
    <w:rsid w:val="00E76B4B"/>
    <w:rsid w:val="00E76C30"/>
    <w:rsid w:val="00E773C7"/>
    <w:rsid w:val="00E77D66"/>
    <w:rsid w:val="00E806F3"/>
    <w:rsid w:val="00E816E7"/>
    <w:rsid w:val="00E81C6C"/>
    <w:rsid w:val="00E820B5"/>
    <w:rsid w:val="00E82336"/>
    <w:rsid w:val="00E83761"/>
    <w:rsid w:val="00E842D4"/>
    <w:rsid w:val="00E84B8D"/>
    <w:rsid w:val="00E85C57"/>
    <w:rsid w:val="00E8768C"/>
    <w:rsid w:val="00E90108"/>
    <w:rsid w:val="00E90185"/>
    <w:rsid w:val="00E91078"/>
    <w:rsid w:val="00E926C2"/>
    <w:rsid w:val="00E92902"/>
    <w:rsid w:val="00E93C17"/>
    <w:rsid w:val="00E93DFD"/>
    <w:rsid w:val="00E93EE7"/>
    <w:rsid w:val="00E940FE"/>
    <w:rsid w:val="00E9443D"/>
    <w:rsid w:val="00E944AD"/>
    <w:rsid w:val="00E94832"/>
    <w:rsid w:val="00E949FE"/>
    <w:rsid w:val="00E96593"/>
    <w:rsid w:val="00E96742"/>
    <w:rsid w:val="00E96C64"/>
    <w:rsid w:val="00E970D0"/>
    <w:rsid w:val="00E978F8"/>
    <w:rsid w:val="00E97F9F"/>
    <w:rsid w:val="00EA008A"/>
    <w:rsid w:val="00EA06B4"/>
    <w:rsid w:val="00EA096E"/>
    <w:rsid w:val="00EA2649"/>
    <w:rsid w:val="00EA2B94"/>
    <w:rsid w:val="00EA2BC4"/>
    <w:rsid w:val="00EA60B5"/>
    <w:rsid w:val="00EA6904"/>
    <w:rsid w:val="00EB0970"/>
    <w:rsid w:val="00EB0F99"/>
    <w:rsid w:val="00EB10BC"/>
    <w:rsid w:val="00EB1497"/>
    <w:rsid w:val="00EB1A17"/>
    <w:rsid w:val="00EB1C96"/>
    <w:rsid w:val="00EB1CBF"/>
    <w:rsid w:val="00EB272F"/>
    <w:rsid w:val="00EB2BF3"/>
    <w:rsid w:val="00EB3039"/>
    <w:rsid w:val="00EB307C"/>
    <w:rsid w:val="00EB3744"/>
    <w:rsid w:val="00EB37AB"/>
    <w:rsid w:val="00EB4191"/>
    <w:rsid w:val="00EB437C"/>
    <w:rsid w:val="00EB4EF5"/>
    <w:rsid w:val="00EB57B5"/>
    <w:rsid w:val="00EB587C"/>
    <w:rsid w:val="00EB5ABB"/>
    <w:rsid w:val="00EB5DE1"/>
    <w:rsid w:val="00EB6288"/>
    <w:rsid w:val="00EB640B"/>
    <w:rsid w:val="00EB6519"/>
    <w:rsid w:val="00EB6A9F"/>
    <w:rsid w:val="00EB6D39"/>
    <w:rsid w:val="00EB74A0"/>
    <w:rsid w:val="00EB7FFD"/>
    <w:rsid w:val="00EC0325"/>
    <w:rsid w:val="00EC0423"/>
    <w:rsid w:val="00EC0941"/>
    <w:rsid w:val="00EC0C43"/>
    <w:rsid w:val="00EC3319"/>
    <w:rsid w:val="00EC342F"/>
    <w:rsid w:val="00EC3A8B"/>
    <w:rsid w:val="00EC4AE8"/>
    <w:rsid w:val="00EC4D4C"/>
    <w:rsid w:val="00EC6CBF"/>
    <w:rsid w:val="00EC6F57"/>
    <w:rsid w:val="00EC714E"/>
    <w:rsid w:val="00EC77A8"/>
    <w:rsid w:val="00ED06A6"/>
    <w:rsid w:val="00ED0C77"/>
    <w:rsid w:val="00ED11F4"/>
    <w:rsid w:val="00ED15B5"/>
    <w:rsid w:val="00ED1C00"/>
    <w:rsid w:val="00ED1D07"/>
    <w:rsid w:val="00ED3850"/>
    <w:rsid w:val="00ED4606"/>
    <w:rsid w:val="00ED469B"/>
    <w:rsid w:val="00ED58AB"/>
    <w:rsid w:val="00ED5B31"/>
    <w:rsid w:val="00ED5CD7"/>
    <w:rsid w:val="00ED60FA"/>
    <w:rsid w:val="00ED68B3"/>
    <w:rsid w:val="00ED68FD"/>
    <w:rsid w:val="00ED70AD"/>
    <w:rsid w:val="00ED7149"/>
    <w:rsid w:val="00ED7F07"/>
    <w:rsid w:val="00EE04BC"/>
    <w:rsid w:val="00EE2622"/>
    <w:rsid w:val="00EE27D0"/>
    <w:rsid w:val="00EE2A95"/>
    <w:rsid w:val="00EE6B56"/>
    <w:rsid w:val="00EF046A"/>
    <w:rsid w:val="00EF10BC"/>
    <w:rsid w:val="00EF10E2"/>
    <w:rsid w:val="00EF16D7"/>
    <w:rsid w:val="00EF1D52"/>
    <w:rsid w:val="00EF1F2E"/>
    <w:rsid w:val="00EF38A9"/>
    <w:rsid w:val="00EF3AC8"/>
    <w:rsid w:val="00EF4068"/>
    <w:rsid w:val="00EF4480"/>
    <w:rsid w:val="00EF483C"/>
    <w:rsid w:val="00EF5635"/>
    <w:rsid w:val="00EF5FD7"/>
    <w:rsid w:val="00EF6D82"/>
    <w:rsid w:val="00EF7506"/>
    <w:rsid w:val="00EF7802"/>
    <w:rsid w:val="00EF7FF0"/>
    <w:rsid w:val="00F00230"/>
    <w:rsid w:val="00F00D24"/>
    <w:rsid w:val="00F015F8"/>
    <w:rsid w:val="00F02068"/>
    <w:rsid w:val="00F0256F"/>
    <w:rsid w:val="00F03021"/>
    <w:rsid w:val="00F03129"/>
    <w:rsid w:val="00F04C3F"/>
    <w:rsid w:val="00F05401"/>
    <w:rsid w:val="00F056B7"/>
    <w:rsid w:val="00F05C19"/>
    <w:rsid w:val="00F06ED0"/>
    <w:rsid w:val="00F075D6"/>
    <w:rsid w:val="00F07A57"/>
    <w:rsid w:val="00F07D79"/>
    <w:rsid w:val="00F10279"/>
    <w:rsid w:val="00F10B23"/>
    <w:rsid w:val="00F10D4A"/>
    <w:rsid w:val="00F12581"/>
    <w:rsid w:val="00F1429E"/>
    <w:rsid w:val="00F14C66"/>
    <w:rsid w:val="00F15A17"/>
    <w:rsid w:val="00F15ABB"/>
    <w:rsid w:val="00F16049"/>
    <w:rsid w:val="00F167D0"/>
    <w:rsid w:val="00F16E48"/>
    <w:rsid w:val="00F17954"/>
    <w:rsid w:val="00F202D5"/>
    <w:rsid w:val="00F20463"/>
    <w:rsid w:val="00F20870"/>
    <w:rsid w:val="00F23370"/>
    <w:rsid w:val="00F23A60"/>
    <w:rsid w:val="00F24567"/>
    <w:rsid w:val="00F24620"/>
    <w:rsid w:val="00F25E1C"/>
    <w:rsid w:val="00F26B7A"/>
    <w:rsid w:val="00F27636"/>
    <w:rsid w:val="00F30140"/>
    <w:rsid w:val="00F301D4"/>
    <w:rsid w:val="00F30AED"/>
    <w:rsid w:val="00F31FBD"/>
    <w:rsid w:val="00F32948"/>
    <w:rsid w:val="00F33273"/>
    <w:rsid w:val="00F33469"/>
    <w:rsid w:val="00F3433E"/>
    <w:rsid w:val="00F35476"/>
    <w:rsid w:val="00F365FE"/>
    <w:rsid w:val="00F36D77"/>
    <w:rsid w:val="00F408D8"/>
    <w:rsid w:val="00F40B51"/>
    <w:rsid w:val="00F414BD"/>
    <w:rsid w:val="00F41783"/>
    <w:rsid w:val="00F41E59"/>
    <w:rsid w:val="00F42930"/>
    <w:rsid w:val="00F42D6E"/>
    <w:rsid w:val="00F430ED"/>
    <w:rsid w:val="00F43DCA"/>
    <w:rsid w:val="00F4487A"/>
    <w:rsid w:val="00F45553"/>
    <w:rsid w:val="00F4684C"/>
    <w:rsid w:val="00F47BEA"/>
    <w:rsid w:val="00F47F49"/>
    <w:rsid w:val="00F50073"/>
    <w:rsid w:val="00F518FB"/>
    <w:rsid w:val="00F51EB9"/>
    <w:rsid w:val="00F52044"/>
    <w:rsid w:val="00F525DE"/>
    <w:rsid w:val="00F535BA"/>
    <w:rsid w:val="00F53EBE"/>
    <w:rsid w:val="00F54C62"/>
    <w:rsid w:val="00F550D3"/>
    <w:rsid w:val="00F55256"/>
    <w:rsid w:val="00F55A4A"/>
    <w:rsid w:val="00F55AFC"/>
    <w:rsid w:val="00F56305"/>
    <w:rsid w:val="00F563CE"/>
    <w:rsid w:val="00F56B91"/>
    <w:rsid w:val="00F57DC4"/>
    <w:rsid w:val="00F60538"/>
    <w:rsid w:val="00F60D33"/>
    <w:rsid w:val="00F6151E"/>
    <w:rsid w:val="00F6184C"/>
    <w:rsid w:val="00F61B94"/>
    <w:rsid w:val="00F626B3"/>
    <w:rsid w:val="00F628E3"/>
    <w:rsid w:val="00F62FBA"/>
    <w:rsid w:val="00F65B6C"/>
    <w:rsid w:val="00F662E8"/>
    <w:rsid w:val="00F66395"/>
    <w:rsid w:val="00F6735E"/>
    <w:rsid w:val="00F67AAC"/>
    <w:rsid w:val="00F71A98"/>
    <w:rsid w:val="00F71CE5"/>
    <w:rsid w:val="00F72356"/>
    <w:rsid w:val="00F72F14"/>
    <w:rsid w:val="00F7411A"/>
    <w:rsid w:val="00F741C7"/>
    <w:rsid w:val="00F7471F"/>
    <w:rsid w:val="00F7505E"/>
    <w:rsid w:val="00F75288"/>
    <w:rsid w:val="00F7594A"/>
    <w:rsid w:val="00F75C24"/>
    <w:rsid w:val="00F75F31"/>
    <w:rsid w:val="00F75F99"/>
    <w:rsid w:val="00F76A2C"/>
    <w:rsid w:val="00F76EB1"/>
    <w:rsid w:val="00F76FA3"/>
    <w:rsid w:val="00F805E9"/>
    <w:rsid w:val="00F809FF"/>
    <w:rsid w:val="00F820E6"/>
    <w:rsid w:val="00F8291D"/>
    <w:rsid w:val="00F832CB"/>
    <w:rsid w:val="00F8363C"/>
    <w:rsid w:val="00F839A8"/>
    <w:rsid w:val="00F85351"/>
    <w:rsid w:val="00F854CB"/>
    <w:rsid w:val="00F858F0"/>
    <w:rsid w:val="00F85D2E"/>
    <w:rsid w:val="00F864A4"/>
    <w:rsid w:val="00F8716D"/>
    <w:rsid w:val="00F87B10"/>
    <w:rsid w:val="00F918F4"/>
    <w:rsid w:val="00F91ACE"/>
    <w:rsid w:val="00F927AD"/>
    <w:rsid w:val="00F9513E"/>
    <w:rsid w:val="00F95542"/>
    <w:rsid w:val="00F9557D"/>
    <w:rsid w:val="00F95AB7"/>
    <w:rsid w:val="00FA04E1"/>
    <w:rsid w:val="00FA0F82"/>
    <w:rsid w:val="00FA171E"/>
    <w:rsid w:val="00FA1ECA"/>
    <w:rsid w:val="00FA244F"/>
    <w:rsid w:val="00FA284E"/>
    <w:rsid w:val="00FA2967"/>
    <w:rsid w:val="00FA2D43"/>
    <w:rsid w:val="00FA2EAF"/>
    <w:rsid w:val="00FA349B"/>
    <w:rsid w:val="00FA3B13"/>
    <w:rsid w:val="00FA3D07"/>
    <w:rsid w:val="00FA42F5"/>
    <w:rsid w:val="00FA43A1"/>
    <w:rsid w:val="00FA47AC"/>
    <w:rsid w:val="00FA4A73"/>
    <w:rsid w:val="00FA5D33"/>
    <w:rsid w:val="00FA621F"/>
    <w:rsid w:val="00FA6A80"/>
    <w:rsid w:val="00FB2322"/>
    <w:rsid w:val="00FB2D81"/>
    <w:rsid w:val="00FB3984"/>
    <w:rsid w:val="00FB3BE3"/>
    <w:rsid w:val="00FB44A0"/>
    <w:rsid w:val="00FB4E77"/>
    <w:rsid w:val="00FB525D"/>
    <w:rsid w:val="00FB55CF"/>
    <w:rsid w:val="00FB59C0"/>
    <w:rsid w:val="00FB5A3B"/>
    <w:rsid w:val="00FB5A94"/>
    <w:rsid w:val="00FB5ED5"/>
    <w:rsid w:val="00FB6BB6"/>
    <w:rsid w:val="00FB6E12"/>
    <w:rsid w:val="00FB7C21"/>
    <w:rsid w:val="00FC02E1"/>
    <w:rsid w:val="00FC087A"/>
    <w:rsid w:val="00FC10EC"/>
    <w:rsid w:val="00FC1FCB"/>
    <w:rsid w:val="00FC20FF"/>
    <w:rsid w:val="00FC2265"/>
    <w:rsid w:val="00FC2789"/>
    <w:rsid w:val="00FC2EE4"/>
    <w:rsid w:val="00FC30EC"/>
    <w:rsid w:val="00FC3597"/>
    <w:rsid w:val="00FC3865"/>
    <w:rsid w:val="00FC3F40"/>
    <w:rsid w:val="00FC5594"/>
    <w:rsid w:val="00FC6159"/>
    <w:rsid w:val="00FC6264"/>
    <w:rsid w:val="00FC6448"/>
    <w:rsid w:val="00FC64BB"/>
    <w:rsid w:val="00FC659D"/>
    <w:rsid w:val="00FC69E9"/>
    <w:rsid w:val="00FC76D6"/>
    <w:rsid w:val="00FD0728"/>
    <w:rsid w:val="00FD2402"/>
    <w:rsid w:val="00FD29B2"/>
    <w:rsid w:val="00FD321A"/>
    <w:rsid w:val="00FD5AA0"/>
    <w:rsid w:val="00FD5BC6"/>
    <w:rsid w:val="00FD5D9D"/>
    <w:rsid w:val="00FD62B5"/>
    <w:rsid w:val="00FD6892"/>
    <w:rsid w:val="00FD6C74"/>
    <w:rsid w:val="00FD7756"/>
    <w:rsid w:val="00FD7A80"/>
    <w:rsid w:val="00FE0049"/>
    <w:rsid w:val="00FE0DE1"/>
    <w:rsid w:val="00FE2FE8"/>
    <w:rsid w:val="00FE33AB"/>
    <w:rsid w:val="00FE36C9"/>
    <w:rsid w:val="00FE3C23"/>
    <w:rsid w:val="00FE42D5"/>
    <w:rsid w:val="00FE48A2"/>
    <w:rsid w:val="00FE6452"/>
    <w:rsid w:val="00FE7FAD"/>
    <w:rsid w:val="00FF0333"/>
    <w:rsid w:val="00FF08C5"/>
    <w:rsid w:val="00FF17EF"/>
    <w:rsid w:val="00FF2B77"/>
    <w:rsid w:val="00FF4C52"/>
    <w:rsid w:val="00FF55DB"/>
    <w:rsid w:val="00FF5D67"/>
    <w:rsid w:val="00FF6013"/>
    <w:rsid w:val="00FF63A9"/>
    <w:rsid w:val="00FF7B47"/>
    <w:rsid w:val="00FF7F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231D7"/>
    <w:pPr>
      <w:spacing w:after="200" w:line="276" w:lineRule="auto"/>
    </w:pPr>
    <w:rPr>
      <w:sz w:val="22"/>
      <w:szCs w:val="22"/>
      <w:lang w:eastAsia="en-US"/>
    </w:rPr>
  </w:style>
  <w:style w:type="paragraph" w:styleId="Antrat1">
    <w:name w:val="heading 1"/>
    <w:basedOn w:val="prastasis"/>
    <w:next w:val="prastasis"/>
    <w:link w:val="Antrat1Diagrama"/>
    <w:uiPriority w:val="9"/>
    <w:qFormat/>
    <w:rsid w:val="00C53FC8"/>
    <w:pPr>
      <w:keepNext/>
      <w:spacing w:after="0" w:line="240" w:lineRule="auto"/>
      <w:outlineLvl w:val="0"/>
    </w:pPr>
    <w:rPr>
      <w:rFonts w:ascii="Times New Roman" w:eastAsia="Times New Roman" w:hAnsi="Times New Roman"/>
      <w:b/>
      <w:bCs/>
      <w:kern w:val="32"/>
      <w:sz w:val="24"/>
      <w:szCs w:val="32"/>
      <w:lang w:val="x-none"/>
    </w:rPr>
  </w:style>
  <w:style w:type="paragraph" w:styleId="Antrat2">
    <w:name w:val="heading 2"/>
    <w:basedOn w:val="prastasis"/>
    <w:next w:val="prastasis"/>
    <w:link w:val="Antrat2Diagrama"/>
    <w:uiPriority w:val="9"/>
    <w:unhideWhenUsed/>
    <w:qFormat/>
    <w:rsid w:val="007835A4"/>
    <w:pPr>
      <w:keepNext/>
      <w:spacing w:after="0" w:line="240" w:lineRule="auto"/>
      <w:jc w:val="both"/>
      <w:outlineLvl w:val="1"/>
    </w:pPr>
    <w:rPr>
      <w:rFonts w:ascii="Times New Roman" w:eastAsia="Times New Roman" w:hAnsi="Times New Roman"/>
      <w:b/>
      <w:bCs/>
      <w:iCs/>
      <w:sz w:val="24"/>
      <w:szCs w:val="28"/>
      <w:lang w:val="x-none"/>
    </w:rPr>
  </w:style>
  <w:style w:type="paragraph" w:styleId="Antrat3">
    <w:name w:val="heading 3"/>
    <w:basedOn w:val="prastasis"/>
    <w:next w:val="prastasis"/>
    <w:link w:val="Antrat3Diagrama"/>
    <w:uiPriority w:val="9"/>
    <w:unhideWhenUsed/>
    <w:qFormat/>
    <w:rsid w:val="003045B3"/>
    <w:pPr>
      <w:keepNext/>
      <w:spacing w:after="0" w:line="240" w:lineRule="auto"/>
      <w:jc w:val="both"/>
      <w:outlineLvl w:val="2"/>
    </w:pPr>
    <w:rPr>
      <w:rFonts w:ascii="Times New Roman" w:eastAsia="Times New Roman" w:hAnsi="Times New Roman"/>
      <w:b/>
      <w:bCs/>
      <w:sz w:val="24"/>
      <w:szCs w:val="26"/>
      <w:lang w:val="x-none"/>
    </w:rPr>
  </w:style>
  <w:style w:type="paragraph" w:styleId="Antrat4">
    <w:name w:val="heading 4"/>
    <w:basedOn w:val="prastasis"/>
    <w:next w:val="prastasis"/>
    <w:link w:val="Antrat4Diagrama"/>
    <w:uiPriority w:val="9"/>
    <w:unhideWhenUsed/>
    <w:qFormat/>
    <w:rsid w:val="003045B3"/>
    <w:pPr>
      <w:keepNext/>
      <w:spacing w:after="0" w:line="240" w:lineRule="auto"/>
      <w:jc w:val="both"/>
      <w:outlineLvl w:val="3"/>
    </w:pPr>
    <w:rPr>
      <w:rFonts w:ascii="Times New Roman" w:eastAsia="Times New Roman" w:hAnsi="Times New Roman"/>
      <w:b/>
      <w:bCs/>
      <w:sz w:val="24"/>
      <w:szCs w:val="28"/>
      <w:lang w:val="x-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811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prastasis"/>
    <w:rsid w:val="00440C52"/>
    <w:pPr>
      <w:spacing w:after="160" w:line="240" w:lineRule="exact"/>
    </w:pPr>
    <w:rPr>
      <w:rFonts w:ascii="Tahoma" w:eastAsia="Times New Roman" w:hAnsi="Tahoma"/>
      <w:sz w:val="20"/>
      <w:szCs w:val="20"/>
      <w:lang w:val="en-US"/>
    </w:rPr>
  </w:style>
  <w:style w:type="paragraph" w:styleId="Antrats">
    <w:name w:val="header"/>
    <w:basedOn w:val="prastasis"/>
    <w:link w:val="AntratsDiagrama"/>
    <w:uiPriority w:val="99"/>
    <w:unhideWhenUsed/>
    <w:rsid w:val="003D7FA2"/>
    <w:pPr>
      <w:tabs>
        <w:tab w:val="center" w:pos="4819"/>
        <w:tab w:val="right" w:pos="9638"/>
      </w:tabs>
    </w:pPr>
    <w:rPr>
      <w:lang w:val="x-none"/>
    </w:rPr>
  </w:style>
  <w:style w:type="character" w:customStyle="1" w:styleId="AntratsDiagrama">
    <w:name w:val="Antraštės Diagrama"/>
    <w:link w:val="Antrats"/>
    <w:uiPriority w:val="99"/>
    <w:rsid w:val="003D7FA2"/>
    <w:rPr>
      <w:sz w:val="22"/>
      <w:szCs w:val="22"/>
      <w:lang w:eastAsia="en-US"/>
    </w:rPr>
  </w:style>
  <w:style w:type="paragraph" w:styleId="Porat">
    <w:name w:val="footer"/>
    <w:basedOn w:val="prastasis"/>
    <w:link w:val="PoratDiagrama"/>
    <w:uiPriority w:val="99"/>
    <w:unhideWhenUsed/>
    <w:rsid w:val="003D7FA2"/>
    <w:pPr>
      <w:tabs>
        <w:tab w:val="center" w:pos="4819"/>
        <w:tab w:val="right" w:pos="9638"/>
      </w:tabs>
    </w:pPr>
    <w:rPr>
      <w:lang w:val="x-none"/>
    </w:rPr>
  </w:style>
  <w:style w:type="character" w:customStyle="1" w:styleId="PoratDiagrama">
    <w:name w:val="Poraštė Diagrama"/>
    <w:link w:val="Porat"/>
    <w:uiPriority w:val="99"/>
    <w:rsid w:val="003D7FA2"/>
    <w:rPr>
      <w:sz w:val="22"/>
      <w:szCs w:val="22"/>
      <w:lang w:eastAsia="en-US"/>
    </w:rPr>
  </w:style>
  <w:style w:type="paragraph" w:styleId="Debesliotekstas">
    <w:name w:val="Balloon Text"/>
    <w:basedOn w:val="prastasis"/>
    <w:link w:val="DebesliotekstasDiagrama"/>
    <w:uiPriority w:val="99"/>
    <w:semiHidden/>
    <w:unhideWhenUsed/>
    <w:rsid w:val="003D7FA2"/>
    <w:pPr>
      <w:spacing w:after="0" w:line="240" w:lineRule="auto"/>
    </w:pPr>
    <w:rPr>
      <w:rFonts w:ascii="Tahoma" w:hAnsi="Tahoma"/>
      <w:sz w:val="16"/>
      <w:szCs w:val="16"/>
      <w:lang w:val="x-none"/>
    </w:rPr>
  </w:style>
  <w:style w:type="character" w:customStyle="1" w:styleId="DebesliotekstasDiagrama">
    <w:name w:val="Debesėlio tekstas Diagrama"/>
    <w:link w:val="Debesliotekstas"/>
    <w:uiPriority w:val="99"/>
    <w:semiHidden/>
    <w:rsid w:val="003D7FA2"/>
    <w:rPr>
      <w:rFonts w:ascii="Tahoma" w:hAnsi="Tahoma" w:cs="Tahoma"/>
      <w:sz w:val="16"/>
      <w:szCs w:val="16"/>
      <w:lang w:eastAsia="en-US"/>
    </w:rPr>
  </w:style>
  <w:style w:type="paragraph" w:styleId="Komentarotekstas">
    <w:name w:val="annotation text"/>
    <w:basedOn w:val="prastasis"/>
    <w:link w:val="KomentarotekstasDiagrama"/>
    <w:uiPriority w:val="99"/>
    <w:unhideWhenUsed/>
    <w:rsid w:val="00AB78AF"/>
    <w:rPr>
      <w:sz w:val="20"/>
      <w:szCs w:val="20"/>
      <w:lang w:val="x-none"/>
    </w:rPr>
  </w:style>
  <w:style w:type="character" w:customStyle="1" w:styleId="KomentarotekstasDiagrama">
    <w:name w:val="Komentaro tekstas Diagrama"/>
    <w:link w:val="Komentarotekstas"/>
    <w:uiPriority w:val="99"/>
    <w:rsid w:val="00AB78AF"/>
    <w:rPr>
      <w:lang w:eastAsia="en-US"/>
    </w:rPr>
  </w:style>
  <w:style w:type="paragraph" w:styleId="Puslapioinaostekstas">
    <w:name w:val="footnote text"/>
    <w:basedOn w:val="prastasis"/>
    <w:link w:val="PuslapioinaostekstasDiagrama"/>
    <w:uiPriority w:val="99"/>
    <w:unhideWhenUsed/>
    <w:rsid w:val="00AB78AF"/>
    <w:rPr>
      <w:sz w:val="20"/>
      <w:szCs w:val="20"/>
      <w:lang w:val="x-none"/>
    </w:rPr>
  </w:style>
  <w:style w:type="character" w:customStyle="1" w:styleId="PuslapioinaostekstasDiagrama">
    <w:name w:val="Puslapio išnašos tekstas Diagrama"/>
    <w:link w:val="Puslapioinaostekstas"/>
    <w:uiPriority w:val="99"/>
    <w:rsid w:val="00AB78AF"/>
    <w:rPr>
      <w:lang w:eastAsia="en-US"/>
    </w:rPr>
  </w:style>
  <w:style w:type="character" w:styleId="Puslapioinaosnuoroda">
    <w:name w:val="footnote reference"/>
    <w:aliases w:val="Footnote Reference Number,BVI fnr,Footnote symbol,Footnote anchor,Times 10 Point,Exposant 3 Point,Footnote reference number,Voetnootverwijzing,Footnote number,fr,Footnotemark,FR,Footnotemark1,Footnotemark2,FR1,Footnotemark3,FR2"/>
    <w:uiPriority w:val="99"/>
    <w:unhideWhenUsed/>
    <w:qFormat/>
    <w:rsid w:val="00AB78AF"/>
    <w:rPr>
      <w:vertAlign w:val="superscript"/>
    </w:rPr>
  </w:style>
  <w:style w:type="character" w:styleId="Komentaronuoroda">
    <w:name w:val="annotation reference"/>
    <w:uiPriority w:val="99"/>
    <w:semiHidden/>
    <w:unhideWhenUsed/>
    <w:rsid w:val="00D543ED"/>
    <w:rPr>
      <w:sz w:val="16"/>
      <w:szCs w:val="16"/>
    </w:rPr>
  </w:style>
  <w:style w:type="paragraph" w:styleId="Sraopastraipa">
    <w:name w:val="List Paragraph"/>
    <w:basedOn w:val="prastasis"/>
    <w:uiPriority w:val="34"/>
    <w:qFormat/>
    <w:rsid w:val="008552B0"/>
    <w:pPr>
      <w:ind w:left="720"/>
      <w:contextualSpacing/>
    </w:pPr>
    <w:rPr>
      <w:lang w:val="en-GB"/>
    </w:rPr>
  </w:style>
  <w:style w:type="paragraph" w:styleId="Betarp">
    <w:name w:val="No Spacing"/>
    <w:uiPriority w:val="1"/>
    <w:qFormat/>
    <w:rsid w:val="00854B21"/>
    <w:rPr>
      <w:sz w:val="22"/>
      <w:szCs w:val="22"/>
      <w:lang w:eastAsia="en-US"/>
    </w:rPr>
  </w:style>
  <w:style w:type="paragraph" w:styleId="prastasistinklapis">
    <w:name w:val="Normal (Web)"/>
    <w:basedOn w:val="prastasis"/>
    <w:uiPriority w:val="99"/>
    <w:unhideWhenUsed/>
    <w:rsid w:val="00480101"/>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apple-converted-space">
    <w:name w:val="apple-converted-space"/>
    <w:rsid w:val="00EE04BC"/>
  </w:style>
  <w:style w:type="paragraph" w:styleId="Paprastasistekstas">
    <w:name w:val="Plain Text"/>
    <w:basedOn w:val="prastasis"/>
    <w:link w:val="PaprastasistekstasDiagrama"/>
    <w:uiPriority w:val="99"/>
    <w:unhideWhenUsed/>
    <w:rsid w:val="00DD0377"/>
    <w:pPr>
      <w:spacing w:after="0" w:line="240" w:lineRule="auto"/>
    </w:pPr>
    <w:rPr>
      <w:szCs w:val="21"/>
      <w:lang w:eastAsia="x-none"/>
    </w:rPr>
  </w:style>
  <w:style w:type="character" w:customStyle="1" w:styleId="PaprastasistekstasDiagrama">
    <w:name w:val="Paprastasis tekstas Diagrama"/>
    <w:link w:val="Paprastasistekstas"/>
    <w:uiPriority w:val="99"/>
    <w:rsid w:val="00DD0377"/>
    <w:rPr>
      <w:sz w:val="22"/>
      <w:szCs w:val="21"/>
      <w:lang w:val="lt-LT"/>
    </w:rPr>
  </w:style>
  <w:style w:type="paragraph" w:styleId="Pagrindinistekstas">
    <w:name w:val="Body Text"/>
    <w:basedOn w:val="prastasis"/>
    <w:link w:val="PagrindinistekstasDiagrama"/>
    <w:uiPriority w:val="99"/>
    <w:semiHidden/>
    <w:unhideWhenUsed/>
    <w:rsid w:val="009023AC"/>
    <w:pPr>
      <w:spacing w:after="120"/>
    </w:pPr>
    <w:rPr>
      <w:lang w:eastAsia="x-none"/>
    </w:rPr>
  </w:style>
  <w:style w:type="character" w:customStyle="1" w:styleId="PagrindinistekstasDiagrama">
    <w:name w:val="Pagrindinis tekstas Diagrama"/>
    <w:link w:val="Pagrindinistekstas"/>
    <w:uiPriority w:val="99"/>
    <w:semiHidden/>
    <w:rsid w:val="009023AC"/>
    <w:rPr>
      <w:sz w:val="22"/>
      <w:szCs w:val="22"/>
      <w:lang w:val="lt-LT"/>
    </w:rPr>
  </w:style>
  <w:style w:type="character" w:customStyle="1" w:styleId="Antrat1Diagrama">
    <w:name w:val="Antraštė 1 Diagrama"/>
    <w:link w:val="Antrat1"/>
    <w:uiPriority w:val="9"/>
    <w:rsid w:val="00C53FC8"/>
    <w:rPr>
      <w:rFonts w:ascii="Times New Roman" w:eastAsia="Times New Roman" w:hAnsi="Times New Roman" w:cs="Times New Roman"/>
      <w:b/>
      <w:bCs/>
      <w:kern w:val="32"/>
      <w:sz w:val="24"/>
      <w:szCs w:val="32"/>
      <w:lang w:eastAsia="en-US"/>
    </w:rPr>
  </w:style>
  <w:style w:type="character" w:customStyle="1" w:styleId="Antrat2Diagrama">
    <w:name w:val="Antraštė 2 Diagrama"/>
    <w:link w:val="Antrat2"/>
    <w:uiPriority w:val="9"/>
    <w:rsid w:val="007835A4"/>
    <w:rPr>
      <w:rFonts w:ascii="Times New Roman" w:eastAsia="Times New Roman" w:hAnsi="Times New Roman" w:cs="Times New Roman"/>
      <w:b/>
      <w:bCs/>
      <w:iCs/>
      <w:sz w:val="24"/>
      <w:szCs w:val="28"/>
      <w:lang w:eastAsia="en-US"/>
    </w:rPr>
  </w:style>
  <w:style w:type="character" w:customStyle="1" w:styleId="Antrat3Diagrama">
    <w:name w:val="Antraštė 3 Diagrama"/>
    <w:link w:val="Antrat3"/>
    <w:uiPriority w:val="9"/>
    <w:rsid w:val="003045B3"/>
    <w:rPr>
      <w:rFonts w:ascii="Times New Roman" w:eastAsia="Times New Roman" w:hAnsi="Times New Roman"/>
      <w:b/>
      <w:bCs/>
      <w:sz w:val="24"/>
      <w:szCs w:val="26"/>
      <w:lang w:eastAsia="en-US"/>
    </w:rPr>
  </w:style>
  <w:style w:type="paragraph" w:styleId="Turinioantrat">
    <w:name w:val="TOC Heading"/>
    <w:basedOn w:val="Antrat1"/>
    <w:next w:val="prastasis"/>
    <w:uiPriority w:val="39"/>
    <w:semiHidden/>
    <w:unhideWhenUsed/>
    <w:qFormat/>
    <w:rsid w:val="00AC72BE"/>
    <w:pPr>
      <w:keepLines/>
      <w:spacing w:before="480" w:line="276" w:lineRule="auto"/>
      <w:outlineLvl w:val="9"/>
    </w:pPr>
    <w:rPr>
      <w:rFonts w:ascii="Cambria" w:hAnsi="Cambria"/>
      <w:color w:val="365F91"/>
      <w:kern w:val="0"/>
      <w:sz w:val="28"/>
      <w:szCs w:val="28"/>
      <w:lang w:eastAsia="lt-LT"/>
    </w:rPr>
  </w:style>
  <w:style w:type="paragraph" w:styleId="Turinys1">
    <w:name w:val="toc 1"/>
    <w:basedOn w:val="prastasis"/>
    <w:next w:val="prastasis"/>
    <w:autoRedefine/>
    <w:uiPriority w:val="39"/>
    <w:unhideWhenUsed/>
    <w:rsid w:val="00094F68"/>
    <w:pPr>
      <w:tabs>
        <w:tab w:val="right" w:leader="dot" w:pos="9628"/>
      </w:tabs>
      <w:spacing w:after="120" w:line="240" w:lineRule="auto"/>
      <w:jc w:val="both"/>
    </w:pPr>
    <w:rPr>
      <w:rFonts w:ascii="Times New Roman" w:hAnsi="Times New Roman"/>
      <w:sz w:val="28"/>
      <w:szCs w:val="28"/>
    </w:rPr>
  </w:style>
  <w:style w:type="paragraph" w:styleId="Turinys2">
    <w:name w:val="toc 2"/>
    <w:basedOn w:val="prastasis"/>
    <w:next w:val="prastasis"/>
    <w:autoRedefine/>
    <w:uiPriority w:val="39"/>
    <w:unhideWhenUsed/>
    <w:rsid w:val="00AC72BE"/>
    <w:pPr>
      <w:ind w:left="220"/>
    </w:pPr>
  </w:style>
  <w:style w:type="paragraph" w:styleId="Turinys3">
    <w:name w:val="toc 3"/>
    <w:basedOn w:val="prastasis"/>
    <w:next w:val="prastasis"/>
    <w:autoRedefine/>
    <w:uiPriority w:val="39"/>
    <w:unhideWhenUsed/>
    <w:rsid w:val="00AC72BE"/>
    <w:pPr>
      <w:ind w:left="440"/>
    </w:pPr>
  </w:style>
  <w:style w:type="character" w:styleId="Hipersaitas">
    <w:name w:val="Hyperlink"/>
    <w:uiPriority w:val="99"/>
    <w:unhideWhenUsed/>
    <w:rsid w:val="00AC72BE"/>
    <w:rPr>
      <w:color w:val="0000FF"/>
      <w:u w:val="single"/>
    </w:rPr>
  </w:style>
  <w:style w:type="character" w:customStyle="1" w:styleId="Antrat4Diagrama">
    <w:name w:val="Antraštė 4 Diagrama"/>
    <w:link w:val="Antrat4"/>
    <w:uiPriority w:val="9"/>
    <w:rsid w:val="003045B3"/>
    <w:rPr>
      <w:rFonts w:ascii="Times New Roman" w:eastAsia="Times New Roman" w:hAnsi="Times New Roman" w:cs="Times New Roman"/>
      <w:b/>
      <w:bCs/>
      <w:sz w:val="24"/>
      <w:szCs w:val="28"/>
      <w:lang w:eastAsia="en-US"/>
    </w:rPr>
  </w:style>
  <w:style w:type="paragraph" w:customStyle="1" w:styleId="Point0number">
    <w:name w:val="Point 0 (number)"/>
    <w:basedOn w:val="prastasis"/>
    <w:rsid w:val="00C06021"/>
    <w:pPr>
      <w:numPr>
        <w:numId w:val="2"/>
      </w:numPr>
      <w:spacing w:before="120" w:after="120" w:line="240" w:lineRule="auto"/>
      <w:jc w:val="both"/>
    </w:pPr>
    <w:rPr>
      <w:rFonts w:ascii="Times New Roman" w:eastAsia="Times New Roman" w:hAnsi="Times New Roman"/>
      <w:sz w:val="24"/>
      <w:szCs w:val="24"/>
    </w:rPr>
  </w:style>
  <w:style w:type="paragraph" w:customStyle="1" w:styleId="Point1number">
    <w:name w:val="Point 1 (number)"/>
    <w:basedOn w:val="prastasis"/>
    <w:rsid w:val="00C06021"/>
    <w:pPr>
      <w:numPr>
        <w:ilvl w:val="2"/>
        <w:numId w:val="2"/>
      </w:numPr>
      <w:spacing w:before="120" w:after="120" w:line="240" w:lineRule="auto"/>
      <w:jc w:val="both"/>
    </w:pPr>
    <w:rPr>
      <w:rFonts w:ascii="Times New Roman" w:eastAsia="Times New Roman" w:hAnsi="Times New Roman"/>
      <w:sz w:val="24"/>
      <w:szCs w:val="24"/>
    </w:rPr>
  </w:style>
  <w:style w:type="paragraph" w:customStyle="1" w:styleId="Point2number">
    <w:name w:val="Point 2 (number)"/>
    <w:basedOn w:val="prastasis"/>
    <w:rsid w:val="00C06021"/>
    <w:pPr>
      <w:numPr>
        <w:ilvl w:val="4"/>
        <w:numId w:val="2"/>
      </w:numPr>
      <w:spacing w:before="120" w:after="120" w:line="240" w:lineRule="auto"/>
      <w:jc w:val="both"/>
    </w:pPr>
    <w:rPr>
      <w:rFonts w:ascii="Times New Roman" w:eastAsia="Times New Roman" w:hAnsi="Times New Roman"/>
      <w:sz w:val="24"/>
      <w:szCs w:val="24"/>
    </w:rPr>
  </w:style>
  <w:style w:type="paragraph" w:customStyle="1" w:styleId="Point3number">
    <w:name w:val="Point 3 (number)"/>
    <w:basedOn w:val="prastasis"/>
    <w:rsid w:val="00C06021"/>
    <w:pPr>
      <w:numPr>
        <w:ilvl w:val="6"/>
        <w:numId w:val="2"/>
      </w:numPr>
      <w:spacing w:before="120" w:after="120" w:line="240" w:lineRule="auto"/>
      <w:jc w:val="both"/>
    </w:pPr>
    <w:rPr>
      <w:rFonts w:ascii="Times New Roman" w:eastAsia="Times New Roman" w:hAnsi="Times New Roman"/>
      <w:sz w:val="24"/>
      <w:szCs w:val="24"/>
    </w:rPr>
  </w:style>
  <w:style w:type="paragraph" w:customStyle="1" w:styleId="Point0letter">
    <w:name w:val="Point 0 (letter)"/>
    <w:basedOn w:val="prastasis"/>
    <w:rsid w:val="00C06021"/>
    <w:pPr>
      <w:numPr>
        <w:ilvl w:val="1"/>
        <w:numId w:val="2"/>
      </w:numPr>
      <w:spacing w:before="120" w:after="120" w:line="240" w:lineRule="auto"/>
      <w:jc w:val="both"/>
    </w:pPr>
    <w:rPr>
      <w:rFonts w:ascii="Times New Roman" w:eastAsia="Times New Roman" w:hAnsi="Times New Roman"/>
      <w:sz w:val="24"/>
      <w:szCs w:val="24"/>
    </w:rPr>
  </w:style>
  <w:style w:type="paragraph" w:customStyle="1" w:styleId="Point1letter">
    <w:name w:val="Point 1 (letter)"/>
    <w:basedOn w:val="prastasis"/>
    <w:rsid w:val="00C06021"/>
    <w:pPr>
      <w:numPr>
        <w:ilvl w:val="3"/>
        <w:numId w:val="2"/>
      </w:numPr>
      <w:spacing w:before="120" w:after="120" w:line="240" w:lineRule="auto"/>
      <w:jc w:val="both"/>
    </w:pPr>
    <w:rPr>
      <w:rFonts w:ascii="Times New Roman" w:eastAsia="Times New Roman" w:hAnsi="Times New Roman"/>
      <w:sz w:val="24"/>
      <w:szCs w:val="24"/>
    </w:rPr>
  </w:style>
  <w:style w:type="paragraph" w:customStyle="1" w:styleId="Point2letter">
    <w:name w:val="Point 2 (letter)"/>
    <w:basedOn w:val="prastasis"/>
    <w:rsid w:val="00C06021"/>
    <w:pPr>
      <w:numPr>
        <w:ilvl w:val="5"/>
        <w:numId w:val="2"/>
      </w:numPr>
      <w:spacing w:before="120" w:after="120" w:line="240" w:lineRule="auto"/>
      <w:jc w:val="both"/>
    </w:pPr>
    <w:rPr>
      <w:rFonts w:ascii="Times New Roman" w:eastAsia="Times New Roman" w:hAnsi="Times New Roman"/>
      <w:sz w:val="24"/>
      <w:szCs w:val="24"/>
    </w:rPr>
  </w:style>
  <w:style w:type="paragraph" w:customStyle="1" w:styleId="Point3letter">
    <w:name w:val="Point 3 (letter)"/>
    <w:basedOn w:val="prastasis"/>
    <w:rsid w:val="00C06021"/>
    <w:pPr>
      <w:numPr>
        <w:ilvl w:val="7"/>
        <w:numId w:val="2"/>
      </w:numPr>
      <w:spacing w:before="120" w:after="120" w:line="240" w:lineRule="auto"/>
      <w:jc w:val="both"/>
    </w:pPr>
    <w:rPr>
      <w:rFonts w:ascii="Times New Roman" w:eastAsia="Times New Roman" w:hAnsi="Times New Roman"/>
      <w:sz w:val="24"/>
      <w:szCs w:val="24"/>
    </w:rPr>
  </w:style>
  <w:style w:type="paragraph" w:customStyle="1" w:styleId="Point4letter">
    <w:name w:val="Point 4 (letter)"/>
    <w:basedOn w:val="prastasis"/>
    <w:rsid w:val="00C06021"/>
    <w:pPr>
      <w:numPr>
        <w:ilvl w:val="8"/>
        <w:numId w:val="2"/>
      </w:numPr>
      <w:spacing w:before="120" w:after="120" w:line="240" w:lineRule="auto"/>
      <w:jc w:val="both"/>
    </w:pPr>
    <w:rPr>
      <w:rFonts w:ascii="Times New Roman" w:eastAsia="Times New Roman" w:hAnsi="Times New Roman"/>
      <w:sz w:val="24"/>
      <w:szCs w:val="24"/>
    </w:rPr>
  </w:style>
  <w:style w:type="paragraph" w:customStyle="1" w:styleId="Considrant">
    <w:name w:val="Considérant"/>
    <w:basedOn w:val="prastasis"/>
    <w:uiPriority w:val="99"/>
    <w:rsid w:val="00C06021"/>
    <w:pPr>
      <w:numPr>
        <w:numId w:val="3"/>
      </w:numPr>
      <w:spacing w:before="120" w:after="120" w:line="240" w:lineRule="auto"/>
      <w:jc w:val="both"/>
    </w:pPr>
    <w:rPr>
      <w:rFonts w:ascii="Times New Roman" w:hAnsi="Times New Roman"/>
      <w:sz w:val="24"/>
      <w:szCs w:val="24"/>
      <w:lang w:eastAsia="en-GB"/>
    </w:rPr>
  </w:style>
  <w:style w:type="paragraph" w:customStyle="1" w:styleId="Hipersaitas1">
    <w:name w:val="Hipersaitas1"/>
    <w:basedOn w:val="prastasis"/>
    <w:rsid w:val="00C06021"/>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hps">
    <w:name w:val="hps"/>
    <w:rsid w:val="0089285F"/>
  </w:style>
  <w:style w:type="paragraph" w:styleId="Komentarotema">
    <w:name w:val="annotation subject"/>
    <w:basedOn w:val="Komentarotekstas"/>
    <w:next w:val="Komentarotekstas"/>
    <w:link w:val="KomentarotemaDiagrama"/>
    <w:uiPriority w:val="99"/>
    <w:semiHidden/>
    <w:unhideWhenUsed/>
    <w:rsid w:val="00883521"/>
    <w:rPr>
      <w:b/>
      <w:bCs/>
    </w:rPr>
  </w:style>
  <w:style w:type="character" w:customStyle="1" w:styleId="KomentarotemaDiagrama">
    <w:name w:val="Komentaro tema Diagrama"/>
    <w:link w:val="Komentarotema"/>
    <w:uiPriority w:val="99"/>
    <w:semiHidden/>
    <w:rsid w:val="00883521"/>
    <w:rPr>
      <w:b/>
      <w:bCs/>
      <w:lang w:eastAsia="en-US"/>
    </w:rPr>
  </w:style>
  <w:style w:type="character" w:customStyle="1" w:styleId="st">
    <w:name w:val="st"/>
    <w:rsid w:val="00D70410"/>
  </w:style>
  <w:style w:type="paragraph" w:customStyle="1" w:styleId="ListParagraph1">
    <w:name w:val="List Paragraph1"/>
    <w:basedOn w:val="prastasis"/>
    <w:uiPriority w:val="34"/>
    <w:qFormat/>
    <w:rsid w:val="00110580"/>
    <w:pPr>
      <w:ind w:left="720"/>
      <w:contextualSpacing/>
    </w:pPr>
    <w:rPr>
      <w:lang w:val="en-GB"/>
    </w:rPr>
  </w:style>
  <w:style w:type="paragraph" w:customStyle="1" w:styleId="NoSpacing1">
    <w:name w:val="No Spacing1"/>
    <w:uiPriority w:val="1"/>
    <w:qFormat/>
    <w:rsid w:val="00110580"/>
    <w:rPr>
      <w:sz w:val="22"/>
      <w:szCs w:val="22"/>
      <w:lang w:eastAsia="en-US"/>
    </w:rPr>
  </w:style>
  <w:style w:type="paragraph" w:customStyle="1" w:styleId="Revision1">
    <w:name w:val="Revision1"/>
    <w:hidden/>
    <w:uiPriority w:val="99"/>
    <w:semiHidden/>
    <w:rsid w:val="00110580"/>
    <w:rPr>
      <w:sz w:val="22"/>
      <w:szCs w:val="22"/>
      <w:lang w:eastAsia="en-US"/>
    </w:rPr>
  </w:style>
  <w:style w:type="paragraph" w:customStyle="1" w:styleId="ListParagraph3">
    <w:name w:val="List Paragraph3"/>
    <w:basedOn w:val="prastasis"/>
    <w:uiPriority w:val="34"/>
    <w:qFormat/>
    <w:rsid w:val="00110580"/>
    <w:pPr>
      <w:ind w:left="720"/>
      <w:contextualSpacing/>
    </w:pPr>
    <w:rPr>
      <w:lang w:val="en-GB"/>
    </w:rPr>
  </w:style>
  <w:style w:type="paragraph" w:styleId="Pataisymai">
    <w:name w:val="Revision"/>
    <w:hidden/>
    <w:uiPriority w:val="99"/>
    <w:semiHidden/>
    <w:rsid w:val="00110580"/>
    <w:rPr>
      <w:sz w:val="22"/>
      <w:szCs w:val="22"/>
      <w:lang w:eastAsia="en-US"/>
    </w:rPr>
  </w:style>
  <w:style w:type="paragraph" w:customStyle="1" w:styleId="Default">
    <w:name w:val="Default"/>
    <w:rsid w:val="00CF021D"/>
    <w:pPr>
      <w:autoSpaceDE w:val="0"/>
      <w:autoSpaceDN w:val="0"/>
      <w:adjustRightInd w:val="0"/>
    </w:pPr>
    <w:rPr>
      <w:rFonts w:ascii="Times New Roman" w:eastAsia="Times New Roman" w:hAnsi="Times New Roman"/>
      <w:color w:val="000000"/>
      <w:sz w:val="24"/>
      <w:szCs w:val="24"/>
      <w:lang w:val="en-GB" w:eastAsia="en-GB"/>
    </w:rPr>
  </w:style>
  <w:style w:type="paragraph" w:customStyle="1" w:styleId="ListParagraph2">
    <w:name w:val="List Paragraph2"/>
    <w:basedOn w:val="prastasis"/>
    <w:uiPriority w:val="34"/>
    <w:qFormat/>
    <w:rsid w:val="00B61A72"/>
    <w:pPr>
      <w:ind w:left="720"/>
      <w:contextualSpacing/>
    </w:pPr>
    <w:rPr>
      <w:lang w:val="en-GB"/>
    </w:rPr>
  </w:style>
  <w:style w:type="numbering" w:customStyle="1" w:styleId="Sraonra1">
    <w:name w:val="Sąrašo nėra1"/>
    <w:next w:val="Sraonra"/>
    <w:uiPriority w:val="99"/>
    <w:semiHidden/>
    <w:unhideWhenUsed/>
    <w:rsid w:val="00B61A72"/>
  </w:style>
  <w:style w:type="table" w:customStyle="1" w:styleId="Lentelstinklelis1">
    <w:name w:val="Lentelės tinklelis1"/>
    <w:basedOn w:val="prastojilentel"/>
    <w:next w:val="Lentelstinklelis"/>
    <w:uiPriority w:val="59"/>
    <w:rsid w:val="00B61A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imesNewRoman12ptJustifiedFirstline1cm">
    <w:name w:val="Style Times New Roman 12 pt Justified First line:  1 cm"/>
    <w:basedOn w:val="prastasis"/>
    <w:rsid w:val="00021714"/>
    <w:pPr>
      <w:widowControl w:val="0"/>
      <w:autoSpaceDE w:val="0"/>
      <w:autoSpaceDN w:val="0"/>
      <w:adjustRightInd w:val="0"/>
      <w:spacing w:after="0" w:line="240" w:lineRule="auto"/>
      <w:ind w:firstLine="851"/>
      <w:jc w:val="both"/>
    </w:pPr>
    <w:rPr>
      <w:rFonts w:ascii="Times New Roman" w:eastAsia="Times New Roman" w:hAnsi="Times New Roman"/>
      <w:sz w:val="24"/>
      <w:szCs w:val="20"/>
      <w:lang w:eastAsia="lt-LT"/>
    </w:rPr>
  </w:style>
  <w:style w:type="paragraph" w:customStyle="1" w:styleId="Text2">
    <w:name w:val="Text 2"/>
    <w:basedOn w:val="prastasis"/>
    <w:rsid w:val="003A4330"/>
    <w:pPr>
      <w:tabs>
        <w:tab w:val="left" w:pos="2160"/>
      </w:tabs>
      <w:spacing w:after="240" w:line="240" w:lineRule="auto"/>
      <w:ind w:left="1077"/>
      <w:jc w:val="both"/>
    </w:pPr>
    <w:rPr>
      <w:rFonts w:ascii="Times New Roman" w:eastAsia="Times New Roman" w:hAnsi="Times New Roman"/>
      <w:sz w:val="24"/>
      <w:szCs w:val="20"/>
      <w:lang w:val="en-GB"/>
    </w:rPr>
  </w:style>
  <w:style w:type="paragraph" w:customStyle="1" w:styleId="DiagramaDiagramaCharCharDiagramaCharCharDiagrama1CharCharDiagrama">
    <w:name w:val="Diagrama Diagrama Char Char Diagrama Char Char Diagrama1 Char Char Diagrama"/>
    <w:basedOn w:val="prastasis"/>
    <w:rsid w:val="00385835"/>
    <w:pPr>
      <w:spacing w:after="160" w:line="240" w:lineRule="exact"/>
    </w:pPr>
    <w:rPr>
      <w:rFonts w:ascii="Tahoma" w:eastAsia="Times New Roman" w:hAnsi="Tahom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231D7"/>
    <w:pPr>
      <w:spacing w:after="200" w:line="276" w:lineRule="auto"/>
    </w:pPr>
    <w:rPr>
      <w:sz w:val="22"/>
      <w:szCs w:val="22"/>
      <w:lang w:eastAsia="en-US"/>
    </w:rPr>
  </w:style>
  <w:style w:type="paragraph" w:styleId="Antrat1">
    <w:name w:val="heading 1"/>
    <w:basedOn w:val="prastasis"/>
    <w:next w:val="prastasis"/>
    <w:link w:val="Antrat1Diagrama"/>
    <w:uiPriority w:val="9"/>
    <w:qFormat/>
    <w:rsid w:val="00C53FC8"/>
    <w:pPr>
      <w:keepNext/>
      <w:spacing w:after="0" w:line="240" w:lineRule="auto"/>
      <w:outlineLvl w:val="0"/>
    </w:pPr>
    <w:rPr>
      <w:rFonts w:ascii="Times New Roman" w:eastAsia="Times New Roman" w:hAnsi="Times New Roman"/>
      <w:b/>
      <w:bCs/>
      <w:kern w:val="32"/>
      <w:sz w:val="24"/>
      <w:szCs w:val="32"/>
      <w:lang w:val="x-none"/>
    </w:rPr>
  </w:style>
  <w:style w:type="paragraph" w:styleId="Antrat2">
    <w:name w:val="heading 2"/>
    <w:basedOn w:val="prastasis"/>
    <w:next w:val="prastasis"/>
    <w:link w:val="Antrat2Diagrama"/>
    <w:uiPriority w:val="9"/>
    <w:unhideWhenUsed/>
    <w:qFormat/>
    <w:rsid w:val="007835A4"/>
    <w:pPr>
      <w:keepNext/>
      <w:spacing w:after="0" w:line="240" w:lineRule="auto"/>
      <w:jc w:val="both"/>
      <w:outlineLvl w:val="1"/>
    </w:pPr>
    <w:rPr>
      <w:rFonts w:ascii="Times New Roman" w:eastAsia="Times New Roman" w:hAnsi="Times New Roman"/>
      <w:b/>
      <w:bCs/>
      <w:iCs/>
      <w:sz w:val="24"/>
      <w:szCs w:val="28"/>
      <w:lang w:val="x-none"/>
    </w:rPr>
  </w:style>
  <w:style w:type="paragraph" w:styleId="Antrat3">
    <w:name w:val="heading 3"/>
    <w:basedOn w:val="prastasis"/>
    <w:next w:val="prastasis"/>
    <w:link w:val="Antrat3Diagrama"/>
    <w:uiPriority w:val="9"/>
    <w:unhideWhenUsed/>
    <w:qFormat/>
    <w:rsid w:val="003045B3"/>
    <w:pPr>
      <w:keepNext/>
      <w:spacing w:after="0" w:line="240" w:lineRule="auto"/>
      <w:jc w:val="both"/>
      <w:outlineLvl w:val="2"/>
    </w:pPr>
    <w:rPr>
      <w:rFonts w:ascii="Times New Roman" w:eastAsia="Times New Roman" w:hAnsi="Times New Roman"/>
      <w:b/>
      <w:bCs/>
      <w:sz w:val="24"/>
      <w:szCs w:val="26"/>
      <w:lang w:val="x-none"/>
    </w:rPr>
  </w:style>
  <w:style w:type="paragraph" w:styleId="Antrat4">
    <w:name w:val="heading 4"/>
    <w:basedOn w:val="prastasis"/>
    <w:next w:val="prastasis"/>
    <w:link w:val="Antrat4Diagrama"/>
    <w:uiPriority w:val="9"/>
    <w:unhideWhenUsed/>
    <w:qFormat/>
    <w:rsid w:val="003045B3"/>
    <w:pPr>
      <w:keepNext/>
      <w:spacing w:after="0" w:line="240" w:lineRule="auto"/>
      <w:jc w:val="both"/>
      <w:outlineLvl w:val="3"/>
    </w:pPr>
    <w:rPr>
      <w:rFonts w:ascii="Times New Roman" w:eastAsia="Times New Roman" w:hAnsi="Times New Roman"/>
      <w:b/>
      <w:bCs/>
      <w:sz w:val="24"/>
      <w:szCs w:val="28"/>
      <w:lang w:val="x-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811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prastasis"/>
    <w:rsid w:val="00440C52"/>
    <w:pPr>
      <w:spacing w:after="160" w:line="240" w:lineRule="exact"/>
    </w:pPr>
    <w:rPr>
      <w:rFonts w:ascii="Tahoma" w:eastAsia="Times New Roman" w:hAnsi="Tahoma"/>
      <w:sz w:val="20"/>
      <w:szCs w:val="20"/>
      <w:lang w:val="en-US"/>
    </w:rPr>
  </w:style>
  <w:style w:type="paragraph" w:styleId="Antrats">
    <w:name w:val="header"/>
    <w:basedOn w:val="prastasis"/>
    <w:link w:val="AntratsDiagrama"/>
    <w:uiPriority w:val="99"/>
    <w:unhideWhenUsed/>
    <w:rsid w:val="003D7FA2"/>
    <w:pPr>
      <w:tabs>
        <w:tab w:val="center" w:pos="4819"/>
        <w:tab w:val="right" w:pos="9638"/>
      </w:tabs>
    </w:pPr>
    <w:rPr>
      <w:lang w:val="x-none"/>
    </w:rPr>
  </w:style>
  <w:style w:type="character" w:customStyle="1" w:styleId="AntratsDiagrama">
    <w:name w:val="Antraštės Diagrama"/>
    <w:link w:val="Antrats"/>
    <w:uiPriority w:val="99"/>
    <w:rsid w:val="003D7FA2"/>
    <w:rPr>
      <w:sz w:val="22"/>
      <w:szCs w:val="22"/>
      <w:lang w:eastAsia="en-US"/>
    </w:rPr>
  </w:style>
  <w:style w:type="paragraph" w:styleId="Porat">
    <w:name w:val="footer"/>
    <w:basedOn w:val="prastasis"/>
    <w:link w:val="PoratDiagrama"/>
    <w:uiPriority w:val="99"/>
    <w:unhideWhenUsed/>
    <w:rsid w:val="003D7FA2"/>
    <w:pPr>
      <w:tabs>
        <w:tab w:val="center" w:pos="4819"/>
        <w:tab w:val="right" w:pos="9638"/>
      </w:tabs>
    </w:pPr>
    <w:rPr>
      <w:lang w:val="x-none"/>
    </w:rPr>
  </w:style>
  <w:style w:type="character" w:customStyle="1" w:styleId="PoratDiagrama">
    <w:name w:val="Poraštė Diagrama"/>
    <w:link w:val="Porat"/>
    <w:uiPriority w:val="99"/>
    <w:rsid w:val="003D7FA2"/>
    <w:rPr>
      <w:sz w:val="22"/>
      <w:szCs w:val="22"/>
      <w:lang w:eastAsia="en-US"/>
    </w:rPr>
  </w:style>
  <w:style w:type="paragraph" w:styleId="Debesliotekstas">
    <w:name w:val="Balloon Text"/>
    <w:basedOn w:val="prastasis"/>
    <w:link w:val="DebesliotekstasDiagrama"/>
    <w:uiPriority w:val="99"/>
    <w:semiHidden/>
    <w:unhideWhenUsed/>
    <w:rsid w:val="003D7FA2"/>
    <w:pPr>
      <w:spacing w:after="0" w:line="240" w:lineRule="auto"/>
    </w:pPr>
    <w:rPr>
      <w:rFonts w:ascii="Tahoma" w:hAnsi="Tahoma"/>
      <w:sz w:val="16"/>
      <w:szCs w:val="16"/>
      <w:lang w:val="x-none"/>
    </w:rPr>
  </w:style>
  <w:style w:type="character" w:customStyle="1" w:styleId="DebesliotekstasDiagrama">
    <w:name w:val="Debesėlio tekstas Diagrama"/>
    <w:link w:val="Debesliotekstas"/>
    <w:uiPriority w:val="99"/>
    <w:semiHidden/>
    <w:rsid w:val="003D7FA2"/>
    <w:rPr>
      <w:rFonts w:ascii="Tahoma" w:hAnsi="Tahoma" w:cs="Tahoma"/>
      <w:sz w:val="16"/>
      <w:szCs w:val="16"/>
      <w:lang w:eastAsia="en-US"/>
    </w:rPr>
  </w:style>
  <w:style w:type="paragraph" w:styleId="Komentarotekstas">
    <w:name w:val="annotation text"/>
    <w:basedOn w:val="prastasis"/>
    <w:link w:val="KomentarotekstasDiagrama"/>
    <w:uiPriority w:val="99"/>
    <w:unhideWhenUsed/>
    <w:rsid w:val="00AB78AF"/>
    <w:rPr>
      <w:sz w:val="20"/>
      <w:szCs w:val="20"/>
      <w:lang w:val="x-none"/>
    </w:rPr>
  </w:style>
  <w:style w:type="character" w:customStyle="1" w:styleId="KomentarotekstasDiagrama">
    <w:name w:val="Komentaro tekstas Diagrama"/>
    <w:link w:val="Komentarotekstas"/>
    <w:uiPriority w:val="99"/>
    <w:rsid w:val="00AB78AF"/>
    <w:rPr>
      <w:lang w:eastAsia="en-US"/>
    </w:rPr>
  </w:style>
  <w:style w:type="paragraph" w:styleId="Puslapioinaostekstas">
    <w:name w:val="footnote text"/>
    <w:basedOn w:val="prastasis"/>
    <w:link w:val="PuslapioinaostekstasDiagrama"/>
    <w:uiPriority w:val="99"/>
    <w:unhideWhenUsed/>
    <w:rsid w:val="00AB78AF"/>
    <w:rPr>
      <w:sz w:val="20"/>
      <w:szCs w:val="20"/>
      <w:lang w:val="x-none"/>
    </w:rPr>
  </w:style>
  <w:style w:type="character" w:customStyle="1" w:styleId="PuslapioinaostekstasDiagrama">
    <w:name w:val="Puslapio išnašos tekstas Diagrama"/>
    <w:link w:val="Puslapioinaostekstas"/>
    <w:uiPriority w:val="99"/>
    <w:rsid w:val="00AB78AF"/>
    <w:rPr>
      <w:lang w:eastAsia="en-US"/>
    </w:rPr>
  </w:style>
  <w:style w:type="character" w:styleId="Puslapioinaosnuoroda">
    <w:name w:val="footnote reference"/>
    <w:aliases w:val="Footnote Reference Number,BVI fnr,Footnote symbol,Footnote anchor,Times 10 Point,Exposant 3 Point,Footnote reference number,Voetnootverwijzing,Footnote number,fr,Footnotemark,FR,Footnotemark1,Footnotemark2,FR1,Footnotemark3,FR2"/>
    <w:uiPriority w:val="99"/>
    <w:unhideWhenUsed/>
    <w:qFormat/>
    <w:rsid w:val="00AB78AF"/>
    <w:rPr>
      <w:vertAlign w:val="superscript"/>
    </w:rPr>
  </w:style>
  <w:style w:type="character" w:styleId="Komentaronuoroda">
    <w:name w:val="annotation reference"/>
    <w:uiPriority w:val="99"/>
    <w:semiHidden/>
    <w:unhideWhenUsed/>
    <w:rsid w:val="00D543ED"/>
    <w:rPr>
      <w:sz w:val="16"/>
      <w:szCs w:val="16"/>
    </w:rPr>
  </w:style>
  <w:style w:type="paragraph" w:styleId="Sraopastraipa">
    <w:name w:val="List Paragraph"/>
    <w:basedOn w:val="prastasis"/>
    <w:uiPriority w:val="34"/>
    <w:qFormat/>
    <w:rsid w:val="008552B0"/>
    <w:pPr>
      <w:ind w:left="720"/>
      <w:contextualSpacing/>
    </w:pPr>
    <w:rPr>
      <w:lang w:val="en-GB"/>
    </w:rPr>
  </w:style>
  <w:style w:type="paragraph" w:styleId="Betarp">
    <w:name w:val="No Spacing"/>
    <w:uiPriority w:val="1"/>
    <w:qFormat/>
    <w:rsid w:val="00854B21"/>
    <w:rPr>
      <w:sz w:val="22"/>
      <w:szCs w:val="22"/>
      <w:lang w:eastAsia="en-US"/>
    </w:rPr>
  </w:style>
  <w:style w:type="paragraph" w:styleId="prastasistinklapis">
    <w:name w:val="Normal (Web)"/>
    <w:basedOn w:val="prastasis"/>
    <w:uiPriority w:val="99"/>
    <w:unhideWhenUsed/>
    <w:rsid w:val="00480101"/>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apple-converted-space">
    <w:name w:val="apple-converted-space"/>
    <w:rsid w:val="00EE04BC"/>
  </w:style>
  <w:style w:type="paragraph" w:styleId="Paprastasistekstas">
    <w:name w:val="Plain Text"/>
    <w:basedOn w:val="prastasis"/>
    <w:link w:val="PaprastasistekstasDiagrama"/>
    <w:uiPriority w:val="99"/>
    <w:unhideWhenUsed/>
    <w:rsid w:val="00DD0377"/>
    <w:pPr>
      <w:spacing w:after="0" w:line="240" w:lineRule="auto"/>
    </w:pPr>
    <w:rPr>
      <w:szCs w:val="21"/>
      <w:lang w:eastAsia="x-none"/>
    </w:rPr>
  </w:style>
  <w:style w:type="character" w:customStyle="1" w:styleId="PaprastasistekstasDiagrama">
    <w:name w:val="Paprastasis tekstas Diagrama"/>
    <w:link w:val="Paprastasistekstas"/>
    <w:uiPriority w:val="99"/>
    <w:rsid w:val="00DD0377"/>
    <w:rPr>
      <w:sz w:val="22"/>
      <w:szCs w:val="21"/>
      <w:lang w:val="lt-LT"/>
    </w:rPr>
  </w:style>
  <w:style w:type="paragraph" w:styleId="Pagrindinistekstas">
    <w:name w:val="Body Text"/>
    <w:basedOn w:val="prastasis"/>
    <w:link w:val="PagrindinistekstasDiagrama"/>
    <w:uiPriority w:val="99"/>
    <w:semiHidden/>
    <w:unhideWhenUsed/>
    <w:rsid w:val="009023AC"/>
    <w:pPr>
      <w:spacing w:after="120"/>
    </w:pPr>
    <w:rPr>
      <w:lang w:eastAsia="x-none"/>
    </w:rPr>
  </w:style>
  <w:style w:type="character" w:customStyle="1" w:styleId="PagrindinistekstasDiagrama">
    <w:name w:val="Pagrindinis tekstas Diagrama"/>
    <w:link w:val="Pagrindinistekstas"/>
    <w:uiPriority w:val="99"/>
    <w:semiHidden/>
    <w:rsid w:val="009023AC"/>
    <w:rPr>
      <w:sz w:val="22"/>
      <w:szCs w:val="22"/>
      <w:lang w:val="lt-LT"/>
    </w:rPr>
  </w:style>
  <w:style w:type="character" w:customStyle="1" w:styleId="Antrat1Diagrama">
    <w:name w:val="Antraštė 1 Diagrama"/>
    <w:link w:val="Antrat1"/>
    <w:uiPriority w:val="9"/>
    <w:rsid w:val="00C53FC8"/>
    <w:rPr>
      <w:rFonts w:ascii="Times New Roman" w:eastAsia="Times New Roman" w:hAnsi="Times New Roman" w:cs="Times New Roman"/>
      <w:b/>
      <w:bCs/>
      <w:kern w:val="32"/>
      <w:sz w:val="24"/>
      <w:szCs w:val="32"/>
      <w:lang w:eastAsia="en-US"/>
    </w:rPr>
  </w:style>
  <w:style w:type="character" w:customStyle="1" w:styleId="Antrat2Diagrama">
    <w:name w:val="Antraštė 2 Diagrama"/>
    <w:link w:val="Antrat2"/>
    <w:uiPriority w:val="9"/>
    <w:rsid w:val="007835A4"/>
    <w:rPr>
      <w:rFonts w:ascii="Times New Roman" w:eastAsia="Times New Roman" w:hAnsi="Times New Roman" w:cs="Times New Roman"/>
      <w:b/>
      <w:bCs/>
      <w:iCs/>
      <w:sz w:val="24"/>
      <w:szCs w:val="28"/>
      <w:lang w:eastAsia="en-US"/>
    </w:rPr>
  </w:style>
  <w:style w:type="character" w:customStyle="1" w:styleId="Antrat3Diagrama">
    <w:name w:val="Antraštė 3 Diagrama"/>
    <w:link w:val="Antrat3"/>
    <w:uiPriority w:val="9"/>
    <w:rsid w:val="003045B3"/>
    <w:rPr>
      <w:rFonts w:ascii="Times New Roman" w:eastAsia="Times New Roman" w:hAnsi="Times New Roman"/>
      <w:b/>
      <w:bCs/>
      <w:sz w:val="24"/>
      <w:szCs w:val="26"/>
      <w:lang w:eastAsia="en-US"/>
    </w:rPr>
  </w:style>
  <w:style w:type="paragraph" w:styleId="Turinioantrat">
    <w:name w:val="TOC Heading"/>
    <w:basedOn w:val="Antrat1"/>
    <w:next w:val="prastasis"/>
    <w:uiPriority w:val="39"/>
    <w:semiHidden/>
    <w:unhideWhenUsed/>
    <w:qFormat/>
    <w:rsid w:val="00AC72BE"/>
    <w:pPr>
      <w:keepLines/>
      <w:spacing w:before="480" w:line="276" w:lineRule="auto"/>
      <w:outlineLvl w:val="9"/>
    </w:pPr>
    <w:rPr>
      <w:rFonts w:ascii="Cambria" w:hAnsi="Cambria"/>
      <w:color w:val="365F91"/>
      <w:kern w:val="0"/>
      <w:sz w:val="28"/>
      <w:szCs w:val="28"/>
      <w:lang w:eastAsia="lt-LT"/>
    </w:rPr>
  </w:style>
  <w:style w:type="paragraph" w:styleId="Turinys1">
    <w:name w:val="toc 1"/>
    <w:basedOn w:val="prastasis"/>
    <w:next w:val="prastasis"/>
    <w:autoRedefine/>
    <w:uiPriority w:val="39"/>
    <w:unhideWhenUsed/>
    <w:rsid w:val="00094F68"/>
    <w:pPr>
      <w:tabs>
        <w:tab w:val="right" w:leader="dot" w:pos="9628"/>
      </w:tabs>
      <w:spacing w:after="120" w:line="240" w:lineRule="auto"/>
      <w:jc w:val="both"/>
    </w:pPr>
    <w:rPr>
      <w:rFonts w:ascii="Times New Roman" w:hAnsi="Times New Roman"/>
      <w:sz w:val="28"/>
      <w:szCs w:val="28"/>
    </w:rPr>
  </w:style>
  <w:style w:type="paragraph" w:styleId="Turinys2">
    <w:name w:val="toc 2"/>
    <w:basedOn w:val="prastasis"/>
    <w:next w:val="prastasis"/>
    <w:autoRedefine/>
    <w:uiPriority w:val="39"/>
    <w:unhideWhenUsed/>
    <w:rsid w:val="00AC72BE"/>
    <w:pPr>
      <w:ind w:left="220"/>
    </w:pPr>
  </w:style>
  <w:style w:type="paragraph" w:styleId="Turinys3">
    <w:name w:val="toc 3"/>
    <w:basedOn w:val="prastasis"/>
    <w:next w:val="prastasis"/>
    <w:autoRedefine/>
    <w:uiPriority w:val="39"/>
    <w:unhideWhenUsed/>
    <w:rsid w:val="00AC72BE"/>
    <w:pPr>
      <w:ind w:left="440"/>
    </w:pPr>
  </w:style>
  <w:style w:type="character" w:styleId="Hipersaitas">
    <w:name w:val="Hyperlink"/>
    <w:uiPriority w:val="99"/>
    <w:unhideWhenUsed/>
    <w:rsid w:val="00AC72BE"/>
    <w:rPr>
      <w:color w:val="0000FF"/>
      <w:u w:val="single"/>
    </w:rPr>
  </w:style>
  <w:style w:type="character" w:customStyle="1" w:styleId="Antrat4Diagrama">
    <w:name w:val="Antraštė 4 Diagrama"/>
    <w:link w:val="Antrat4"/>
    <w:uiPriority w:val="9"/>
    <w:rsid w:val="003045B3"/>
    <w:rPr>
      <w:rFonts w:ascii="Times New Roman" w:eastAsia="Times New Roman" w:hAnsi="Times New Roman" w:cs="Times New Roman"/>
      <w:b/>
      <w:bCs/>
      <w:sz w:val="24"/>
      <w:szCs w:val="28"/>
      <w:lang w:eastAsia="en-US"/>
    </w:rPr>
  </w:style>
  <w:style w:type="paragraph" w:customStyle="1" w:styleId="Point0number">
    <w:name w:val="Point 0 (number)"/>
    <w:basedOn w:val="prastasis"/>
    <w:rsid w:val="00C06021"/>
    <w:pPr>
      <w:numPr>
        <w:numId w:val="2"/>
      </w:numPr>
      <w:spacing w:before="120" w:after="120" w:line="240" w:lineRule="auto"/>
      <w:jc w:val="both"/>
    </w:pPr>
    <w:rPr>
      <w:rFonts w:ascii="Times New Roman" w:eastAsia="Times New Roman" w:hAnsi="Times New Roman"/>
      <w:sz w:val="24"/>
      <w:szCs w:val="24"/>
    </w:rPr>
  </w:style>
  <w:style w:type="paragraph" w:customStyle="1" w:styleId="Point1number">
    <w:name w:val="Point 1 (number)"/>
    <w:basedOn w:val="prastasis"/>
    <w:rsid w:val="00C06021"/>
    <w:pPr>
      <w:numPr>
        <w:ilvl w:val="2"/>
        <w:numId w:val="2"/>
      </w:numPr>
      <w:spacing w:before="120" w:after="120" w:line="240" w:lineRule="auto"/>
      <w:jc w:val="both"/>
    </w:pPr>
    <w:rPr>
      <w:rFonts w:ascii="Times New Roman" w:eastAsia="Times New Roman" w:hAnsi="Times New Roman"/>
      <w:sz w:val="24"/>
      <w:szCs w:val="24"/>
    </w:rPr>
  </w:style>
  <w:style w:type="paragraph" w:customStyle="1" w:styleId="Point2number">
    <w:name w:val="Point 2 (number)"/>
    <w:basedOn w:val="prastasis"/>
    <w:rsid w:val="00C06021"/>
    <w:pPr>
      <w:numPr>
        <w:ilvl w:val="4"/>
        <w:numId w:val="2"/>
      </w:numPr>
      <w:spacing w:before="120" w:after="120" w:line="240" w:lineRule="auto"/>
      <w:jc w:val="both"/>
    </w:pPr>
    <w:rPr>
      <w:rFonts w:ascii="Times New Roman" w:eastAsia="Times New Roman" w:hAnsi="Times New Roman"/>
      <w:sz w:val="24"/>
      <w:szCs w:val="24"/>
    </w:rPr>
  </w:style>
  <w:style w:type="paragraph" w:customStyle="1" w:styleId="Point3number">
    <w:name w:val="Point 3 (number)"/>
    <w:basedOn w:val="prastasis"/>
    <w:rsid w:val="00C06021"/>
    <w:pPr>
      <w:numPr>
        <w:ilvl w:val="6"/>
        <w:numId w:val="2"/>
      </w:numPr>
      <w:spacing w:before="120" w:after="120" w:line="240" w:lineRule="auto"/>
      <w:jc w:val="both"/>
    </w:pPr>
    <w:rPr>
      <w:rFonts w:ascii="Times New Roman" w:eastAsia="Times New Roman" w:hAnsi="Times New Roman"/>
      <w:sz w:val="24"/>
      <w:szCs w:val="24"/>
    </w:rPr>
  </w:style>
  <w:style w:type="paragraph" w:customStyle="1" w:styleId="Point0letter">
    <w:name w:val="Point 0 (letter)"/>
    <w:basedOn w:val="prastasis"/>
    <w:rsid w:val="00C06021"/>
    <w:pPr>
      <w:numPr>
        <w:ilvl w:val="1"/>
        <w:numId w:val="2"/>
      </w:numPr>
      <w:spacing w:before="120" w:after="120" w:line="240" w:lineRule="auto"/>
      <w:jc w:val="both"/>
    </w:pPr>
    <w:rPr>
      <w:rFonts w:ascii="Times New Roman" w:eastAsia="Times New Roman" w:hAnsi="Times New Roman"/>
      <w:sz w:val="24"/>
      <w:szCs w:val="24"/>
    </w:rPr>
  </w:style>
  <w:style w:type="paragraph" w:customStyle="1" w:styleId="Point1letter">
    <w:name w:val="Point 1 (letter)"/>
    <w:basedOn w:val="prastasis"/>
    <w:rsid w:val="00C06021"/>
    <w:pPr>
      <w:numPr>
        <w:ilvl w:val="3"/>
        <w:numId w:val="2"/>
      </w:numPr>
      <w:spacing w:before="120" w:after="120" w:line="240" w:lineRule="auto"/>
      <w:jc w:val="both"/>
    </w:pPr>
    <w:rPr>
      <w:rFonts w:ascii="Times New Roman" w:eastAsia="Times New Roman" w:hAnsi="Times New Roman"/>
      <w:sz w:val="24"/>
      <w:szCs w:val="24"/>
    </w:rPr>
  </w:style>
  <w:style w:type="paragraph" w:customStyle="1" w:styleId="Point2letter">
    <w:name w:val="Point 2 (letter)"/>
    <w:basedOn w:val="prastasis"/>
    <w:rsid w:val="00C06021"/>
    <w:pPr>
      <w:numPr>
        <w:ilvl w:val="5"/>
        <w:numId w:val="2"/>
      </w:numPr>
      <w:spacing w:before="120" w:after="120" w:line="240" w:lineRule="auto"/>
      <w:jc w:val="both"/>
    </w:pPr>
    <w:rPr>
      <w:rFonts w:ascii="Times New Roman" w:eastAsia="Times New Roman" w:hAnsi="Times New Roman"/>
      <w:sz w:val="24"/>
      <w:szCs w:val="24"/>
    </w:rPr>
  </w:style>
  <w:style w:type="paragraph" w:customStyle="1" w:styleId="Point3letter">
    <w:name w:val="Point 3 (letter)"/>
    <w:basedOn w:val="prastasis"/>
    <w:rsid w:val="00C06021"/>
    <w:pPr>
      <w:numPr>
        <w:ilvl w:val="7"/>
        <w:numId w:val="2"/>
      </w:numPr>
      <w:spacing w:before="120" w:after="120" w:line="240" w:lineRule="auto"/>
      <w:jc w:val="both"/>
    </w:pPr>
    <w:rPr>
      <w:rFonts w:ascii="Times New Roman" w:eastAsia="Times New Roman" w:hAnsi="Times New Roman"/>
      <w:sz w:val="24"/>
      <w:szCs w:val="24"/>
    </w:rPr>
  </w:style>
  <w:style w:type="paragraph" w:customStyle="1" w:styleId="Point4letter">
    <w:name w:val="Point 4 (letter)"/>
    <w:basedOn w:val="prastasis"/>
    <w:rsid w:val="00C06021"/>
    <w:pPr>
      <w:numPr>
        <w:ilvl w:val="8"/>
        <w:numId w:val="2"/>
      </w:numPr>
      <w:spacing w:before="120" w:after="120" w:line="240" w:lineRule="auto"/>
      <w:jc w:val="both"/>
    </w:pPr>
    <w:rPr>
      <w:rFonts w:ascii="Times New Roman" w:eastAsia="Times New Roman" w:hAnsi="Times New Roman"/>
      <w:sz w:val="24"/>
      <w:szCs w:val="24"/>
    </w:rPr>
  </w:style>
  <w:style w:type="paragraph" w:customStyle="1" w:styleId="Considrant">
    <w:name w:val="Considérant"/>
    <w:basedOn w:val="prastasis"/>
    <w:uiPriority w:val="99"/>
    <w:rsid w:val="00C06021"/>
    <w:pPr>
      <w:numPr>
        <w:numId w:val="3"/>
      </w:numPr>
      <w:spacing w:before="120" w:after="120" w:line="240" w:lineRule="auto"/>
      <w:jc w:val="both"/>
    </w:pPr>
    <w:rPr>
      <w:rFonts w:ascii="Times New Roman" w:hAnsi="Times New Roman"/>
      <w:sz w:val="24"/>
      <w:szCs w:val="24"/>
      <w:lang w:eastAsia="en-GB"/>
    </w:rPr>
  </w:style>
  <w:style w:type="paragraph" w:customStyle="1" w:styleId="Hipersaitas1">
    <w:name w:val="Hipersaitas1"/>
    <w:basedOn w:val="prastasis"/>
    <w:rsid w:val="00C06021"/>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hps">
    <w:name w:val="hps"/>
    <w:rsid w:val="0089285F"/>
  </w:style>
  <w:style w:type="paragraph" w:styleId="Komentarotema">
    <w:name w:val="annotation subject"/>
    <w:basedOn w:val="Komentarotekstas"/>
    <w:next w:val="Komentarotekstas"/>
    <w:link w:val="KomentarotemaDiagrama"/>
    <w:uiPriority w:val="99"/>
    <w:semiHidden/>
    <w:unhideWhenUsed/>
    <w:rsid w:val="00883521"/>
    <w:rPr>
      <w:b/>
      <w:bCs/>
    </w:rPr>
  </w:style>
  <w:style w:type="character" w:customStyle="1" w:styleId="KomentarotemaDiagrama">
    <w:name w:val="Komentaro tema Diagrama"/>
    <w:link w:val="Komentarotema"/>
    <w:uiPriority w:val="99"/>
    <w:semiHidden/>
    <w:rsid w:val="00883521"/>
    <w:rPr>
      <w:b/>
      <w:bCs/>
      <w:lang w:eastAsia="en-US"/>
    </w:rPr>
  </w:style>
  <w:style w:type="character" w:customStyle="1" w:styleId="st">
    <w:name w:val="st"/>
    <w:rsid w:val="00D70410"/>
  </w:style>
  <w:style w:type="paragraph" w:customStyle="1" w:styleId="ListParagraph1">
    <w:name w:val="List Paragraph1"/>
    <w:basedOn w:val="prastasis"/>
    <w:uiPriority w:val="34"/>
    <w:qFormat/>
    <w:rsid w:val="00110580"/>
    <w:pPr>
      <w:ind w:left="720"/>
      <w:contextualSpacing/>
    </w:pPr>
    <w:rPr>
      <w:lang w:val="en-GB"/>
    </w:rPr>
  </w:style>
  <w:style w:type="paragraph" w:customStyle="1" w:styleId="NoSpacing1">
    <w:name w:val="No Spacing1"/>
    <w:uiPriority w:val="1"/>
    <w:qFormat/>
    <w:rsid w:val="00110580"/>
    <w:rPr>
      <w:sz w:val="22"/>
      <w:szCs w:val="22"/>
      <w:lang w:eastAsia="en-US"/>
    </w:rPr>
  </w:style>
  <w:style w:type="paragraph" w:customStyle="1" w:styleId="Revision1">
    <w:name w:val="Revision1"/>
    <w:hidden/>
    <w:uiPriority w:val="99"/>
    <w:semiHidden/>
    <w:rsid w:val="00110580"/>
    <w:rPr>
      <w:sz w:val="22"/>
      <w:szCs w:val="22"/>
      <w:lang w:eastAsia="en-US"/>
    </w:rPr>
  </w:style>
  <w:style w:type="paragraph" w:customStyle="1" w:styleId="ListParagraph3">
    <w:name w:val="List Paragraph3"/>
    <w:basedOn w:val="prastasis"/>
    <w:uiPriority w:val="34"/>
    <w:qFormat/>
    <w:rsid w:val="00110580"/>
    <w:pPr>
      <w:ind w:left="720"/>
      <w:contextualSpacing/>
    </w:pPr>
    <w:rPr>
      <w:lang w:val="en-GB"/>
    </w:rPr>
  </w:style>
  <w:style w:type="paragraph" w:styleId="Pataisymai">
    <w:name w:val="Revision"/>
    <w:hidden/>
    <w:uiPriority w:val="99"/>
    <w:semiHidden/>
    <w:rsid w:val="00110580"/>
    <w:rPr>
      <w:sz w:val="22"/>
      <w:szCs w:val="22"/>
      <w:lang w:eastAsia="en-US"/>
    </w:rPr>
  </w:style>
  <w:style w:type="paragraph" w:customStyle="1" w:styleId="Default">
    <w:name w:val="Default"/>
    <w:rsid w:val="00CF021D"/>
    <w:pPr>
      <w:autoSpaceDE w:val="0"/>
      <w:autoSpaceDN w:val="0"/>
      <w:adjustRightInd w:val="0"/>
    </w:pPr>
    <w:rPr>
      <w:rFonts w:ascii="Times New Roman" w:eastAsia="Times New Roman" w:hAnsi="Times New Roman"/>
      <w:color w:val="000000"/>
      <w:sz w:val="24"/>
      <w:szCs w:val="24"/>
      <w:lang w:val="en-GB" w:eastAsia="en-GB"/>
    </w:rPr>
  </w:style>
  <w:style w:type="paragraph" w:customStyle="1" w:styleId="ListParagraph2">
    <w:name w:val="List Paragraph2"/>
    <w:basedOn w:val="prastasis"/>
    <w:uiPriority w:val="34"/>
    <w:qFormat/>
    <w:rsid w:val="00B61A72"/>
    <w:pPr>
      <w:ind w:left="720"/>
      <w:contextualSpacing/>
    </w:pPr>
    <w:rPr>
      <w:lang w:val="en-GB"/>
    </w:rPr>
  </w:style>
  <w:style w:type="numbering" w:customStyle="1" w:styleId="Sraonra1">
    <w:name w:val="Sąrašo nėra1"/>
    <w:next w:val="Sraonra"/>
    <w:uiPriority w:val="99"/>
    <w:semiHidden/>
    <w:unhideWhenUsed/>
    <w:rsid w:val="00B61A72"/>
  </w:style>
  <w:style w:type="table" w:customStyle="1" w:styleId="Lentelstinklelis1">
    <w:name w:val="Lentelės tinklelis1"/>
    <w:basedOn w:val="prastojilentel"/>
    <w:next w:val="Lentelstinklelis"/>
    <w:uiPriority w:val="59"/>
    <w:rsid w:val="00B61A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imesNewRoman12ptJustifiedFirstline1cm">
    <w:name w:val="Style Times New Roman 12 pt Justified First line:  1 cm"/>
    <w:basedOn w:val="prastasis"/>
    <w:rsid w:val="00021714"/>
    <w:pPr>
      <w:widowControl w:val="0"/>
      <w:autoSpaceDE w:val="0"/>
      <w:autoSpaceDN w:val="0"/>
      <w:adjustRightInd w:val="0"/>
      <w:spacing w:after="0" w:line="240" w:lineRule="auto"/>
      <w:ind w:firstLine="851"/>
      <w:jc w:val="both"/>
    </w:pPr>
    <w:rPr>
      <w:rFonts w:ascii="Times New Roman" w:eastAsia="Times New Roman" w:hAnsi="Times New Roman"/>
      <w:sz w:val="24"/>
      <w:szCs w:val="20"/>
      <w:lang w:eastAsia="lt-LT"/>
    </w:rPr>
  </w:style>
  <w:style w:type="paragraph" w:customStyle="1" w:styleId="Text2">
    <w:name w:val="Text 2"/>
    <w:basedOn w:val="prastasis"/>
    <w:rsid w:val="003A4330"/>
    <w:pPr>
      <w:tabs>
        <w:tab w:val="left" w:pos="2160"/>
      </w:tabs>
      <w:spacing w:after="240" w:line="240" w:lineRule="auto"/>
      <w:ind w:left="1077"/>
      <w:jc w:val="both"/>
    </w:pPr>
    <w:rPr>
      <w:rFonts w:ascii="Times New Roman" w:eastAsia="Times New Roman" w:hAnsi="Times New Roman"/>
      <w:sz w:val="24"/>
      <w:szCs w:val="20"/>
      <w:lang w:val="en-GB"/>
    </w:rPr>
  </w:style>
  <w:style w:type="paragraph" w:customStyle="1" w:styleId="DiagramaDiagramaCharCharDiagramaCharCharDiagrama1CharCharDiagrama">
    <w:name w:val="Diagrama Diagrama Char Char Diagrama Char Char Diagrama1 Char Char Diagrama"/>
    <w:basedOn w:val="prastasis"/>
    <w:rsid w:val="00385835"/>
    <w:pPr>
      <w:spacing w:after="160" w:line="240" w:lineRule="exact"/>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36537">
      <w:bodyDiv w:val="1"/>
      <w:marLeft w:val="0"/>
      <w:marRight w:val="0"/>
      <w:marTop w:val="0"/>
      <w:marBottom w:val="0"/>
      <w:divBdr>
        <w:top w:val="none" w:sz="0" w:space="0" w:color="auto"/>
        <w:left w:val="none" w:sz="0" w:space="0" w:color="auto"/>
        <w:bottom w:val="none" w:sz="0" w:space="0" w:color="auto"/>
        <w:right w:val="none" w:sz="0" w:space="0" w:color="auto"/>
      </w:divBdr>
    </w:div>
    <w:div w:id="257258104">
      <w:bodyDiv w:val="1"/>
      <w:marLeft w:val="0"/>
      <w:marRight w:val="0"/>
      <w:marTop w:val="0"/>
      <w:marBottom w:val="0"/>
      <w:divBdr>
        <w:top w:val="none" w:sz="0" w:space="0" w:color="auto"/>
        <w:left w:val="none" w:sz="0" w:space="0" w:color="auto"/>
        <w:bottom w:val="none" w:sz="0" w:space="0" w:color="auto"/>
        <w:right w:val="none" w:sz="0" w:space="0" w:color="auto"/>
      </w:divBdr>
    </w:div>
    <w:div w:id="316694734">
      <w:bodyDiv w:val="1"/>
      <w:marLeft w:val="0"/>
      <w:marRight w:val="0"/>
      <w:marTop w:val="0"/>
      <w:marBottom w:val="0"/>
      <w:divBdr>
        <w:top w:val="none" w:sz="0" w:space="0" w:color="auto"/>
        <w:left w:val="none" w:sz="0" w:space="0" w:color="auto"/>
        <w:bottom w:val="none" w:sz="0" w:space="0" w:color="auto"/>
        <w:right w:val="none" w:sz="0" w:space="0" w:color="auto"/>
      </w:divBdr>
    </w:div>
    <w:div w:id="487013641">
      <w:bodyDiv w:val="1"/>
      <w:marLeft w:val="0"/>
      <w:marRight w:val="0"/>
      <w:marTop w:val="0"/>
      <w:marBottom w:val="0"/>
      <w:divBdr>
        <w:top w:val="none" w:sz="0" w:space="0" w:color="auto"/>
        <w:left w:val="none" w:sz="0" w:space="0" w:color="auto"/>
        <w:bottom w:val="none" w:sz="0" w:space="0" w:color="auto"/>
        <w:right w:val="none" w:sz="0" w:space="0" w:color="auto"/>
      </w:divBdr>
    </w:div>
    <w:div w:id="587075632">
      <w:bodyDiv w:val="1"/>
      <w:marLeft w:val="0"/>
      <w:marRight w:val="0"/>
      <w:marTop w:val="0"/>
      <w:marBottom w:val="0"/>
      <w:divBdr>
        <w:top w:val="none" w:sz="0" w:space="0" w:color="auto"/>
        <w:left w:val="none" w:sz="0" w:space="0" w:color="auto"/>
        <w:bottom w:val="none" w:sz="0" w:space="0" w:color="auto"/>
        <w:right w:val="none" w:sz="0" w:space="0" w:color="auto"/>
      </w:divBdr>
    </w:div>
    <w:div w:id="634798647">
      <w:bodyDiv w:val="1"/>
      <w:marLeft w:val="0"/>
      <w:marRight w:val="0"/>
      <w:marTop w:val="0"/>
      <w:marBottom w:val="0"/>
      <w:divBdr>
        <w:top w:val="none" w:sz="0" w:space="0" w:color="auto"/>
        <w:left w:val="none" w:sz="0" w:space="0" w:color="auto"/>
        <w:bottom w:val="none" w:sz="0" w:space="0" w:color="auto"/>
        <w:right w:val="none" w:sz="0" w:space="0" w:color="auto"/>
      </w:divBdr>
    </w:div>
    <w:div w:id="741409268">
      <w:bodyDiv w:val="1"/>
      <w:marLeft w:val="0"/>
      <w:marRight w:val="0"/>
      <w:marTop w:val="0"/>
      <w:marBottom w:val="0"/>
      <w:divBdr>
        <w:top w:val="none" w:sz="0" w:space="0" w:color="auto"/>
        <w:left w:val="none" w:sz="0" w:space="0" w:color="auto"/>
        <w:bottom w:val="none" w:sz="0" w:space="0" w:color="auto"/>
        <w:right w:val="none" w:sz="0" w:space="0" w:color="auto"/>
      </w:divBdr>
    </w:div>
    <w:div w:id="772556874">
      <w:bodyDiv w:val="1"/>
      <w:marLeft w:val="0"/>
      <w:marRight w:val="0"/>
      <w:marTop w:val="0"/>
      <w:marBottom w:val="0"/>
      <w:divBdr>
        <w:top w:val="none" w:sz="0" w:space="0" w:color="auto"/>
        <w:left w:val="none" w:sz="0" w:space="0" w:color="auto"/>
        <w:bottom w:val="none" w:sz="0" w:space="0" w:color="auto"/>
        <w:right w:val="none" w:sz="0" w:space="0" w:color="auto"/>
      </w:divBdr>
    </w:div>
    <w:div w:id="904726733">
      <w:bodyDiv w:val="1"/>
      <w:marLeft w:val="0"/>
      <w:marRight w:val="0"/>
      <w:marTop w:val="0"/>
      <w:marBottom w:val="0"/>
      <w:divBdr>
        <w:top w:val="none" w:sz="0" w:space="0" w:color="auto"/>
        <w:left w:val="none" w:sz="0" w:space="0" w:color="auto"/>
        <w:bottom w:val="none" w:sz="0" w:space="0" w:color="auto"/>
        <w:right w:val="none" w:sz="0" w:space="0" w:color="auto"/>
      </w:divBdr>
    </w:div>
    <w:div w:id="1070931633">
      <w:bodyDiv w:val="1"/>
      <w:marLeft w:val="0"/>
      <w:marRight w:val="0"/>
      <w:marTop w:val="0"/>
      <w:marBottom w:val="0"/>
      <w:divBdr>
        <w:top w:val="none" w:sz="0" w:space="0" w:color="auto"/>
        <w:left w:val="none" w:sz="0" w:space="0" w:color="auto"/>
        <w:bottom w:val="none" w:sz="0" w:space="0" w:color="auto"/>
        <w:right w:val="none" w:sz="0" w:space="0" w:color="auto"/>
      </w:divBdr>
    </w:div>
    <w:div w:id="1121340694">
      <w:bodyDiv w:val="1"/>
      <w:marLeft w:val="0"/>
      <w:marRight w:val="0"/>
      <w:marTop w:val="0"/>
      <w:marBottom w:val="0"/>
      <w:divBdr>
        <w:top w:val="none" w:sz="0" w:space="0" w:color="auto"/>
        <w:left w:val="none" w:sz="0" w:space="0" w:color="auto"/>
        <w:bottom w:val="none" w:sz="0" w:space="0" w:color="auto"/>
        <w:right w:val="none" w:sz="0" w:space="0" w:color="auto"/>
      </w:divBdr>
    </w:div>
    <w:div w:id="1239749499">
      <w:bodyDiv w:val="1"/>
      <w:marLeft w:val="0"/>
      <w:marRight w:val="0"/>
      <w:marTop w:val="0"/>
      <w:marBottom w:val="0"/>
      <w:divBdr>
        <w:top w:val="none" w:sz="0" w:space="0" w:color="auto"/>
        <w:left w:val="none" w:sz="0" w:space="0" w:color="auto"/>
        <w:bottom w:val="none" w:sz="0" w:space="0" w:color="auto"/>
        <w:right w:val="none" w:sz="0" w:space="0" w:color="auto"/>
      </w:divBdr>
    </w:div>
    <w:div w:id="1301155016">
      <w:bodyDiv w:val="1"/>
      <w:marLeft w:val="0"/>
      <w:marRight w:val="0"/>
      <w:marTop w:val="0"/>
      <w:marBottom w:val="0"/>
      <w:divBdr>
        <w:top w:val="none" w:sz="0" w:space="0" w:color="auto"/>
        <w:left w:val="none" w:sz="0" w:space="0" w:color="auto"/>
        <w:bottom w:val="none" w:sz="0" w:space="0" w:color="auto"/>
        <w:right w:val="none" w:sz="0" w:space="0" w:color="auto"/>
      </w:divBdr>
    </w:div>
    <w:div w:id="1356149414">
      <w:bodyDiv w:val="1"/>
      <w:marLeft w:val="300"/>
      <w:marRight w:val="300"/>
      <w:marTop w:val="300"/>
      <w:marBottom w:val="300"/>
      <w:divBdr>
        <w:top w:val="none" w:sz="0" w:space="0" w:color="auto"/>
        <w:left w:val="none" w:sz="0" w:space="0" w:color="auto"/>
        <w:bottom w:val="none" w:sz="0" w:space="0" w:color="auto"/>
        <w:right w:val="none" w:sz="0" w:space="0" w:color="auto"/>
      </w:divBdr>
    </w:div>
    <w:div w:id="1369793156">
      <w:bodyDiv w:val="1"/>
      <w:marLeft w:val="0"/>
      <w:marRight w:val="0"/>
      <w:marTop w:val="0"/>
      <w:marBottom w:val="0"/>
      <w:divBdr>
        <w:top w:val="none" w:sz="0" w:space="0" w:color="auto"/>
        <w:left w:val="none" w:sz="0" w:space="0" w:color="auto"/>
        <w:bottom w:val="none" w:sz="0" w:space="0" w:color="auto"/>
        <w:right w:val="none" w:sz="0" w:space="0" w:color="auto"/>
      </w:divBdr>
    </w:div>
    <w:div w:id="1487479434">
      <w:bodyDiv w:val="1"/>
      <w:marLeft w:val="300"/>
      <w:marRight w:val="300"/>
      <w:marTop w:val="300"/>
      <w:marBottom w:val="300"/>
      <w:divBdr>
        <w:top w:val="none" w:sz="0" w:space="0" w:color="auto"/>
        <w:left w:val="none" w:sz="0" w:space="0" w:color="auto"/>
        <w:bottom w:val="none" w:sz="0" w:space="0" w:color="auto"/>
        <w:right w:val="none" w:sz="0" w:space="0" w:color="auto"/>
      </w:divBdr>
    </w:div>
    <w:div w:id="1945308027">
      <w:bodyDiv w:val="1"/>
      <w:marLeft w:val="0"/>
      <w:marRight w:val="0"/>
      <w:marTop w:val="0"/>
      <w:marBottom w:val="0"/>
      <w:divBdr>
        <w:top w:val="none" w:sz="0" w:space="0" w:color="auto"/>
        <w:left w:val="none" w:sz="0" w:space="0" w:color="auto"/>
        <w:bottom w:val="none" w:sz="0" w:space="0" w:color="auto"/>
        <w:right w:val="none" w:sz="0" w:space="0" w:color="auto"/>
      </w:divBdr>
    </w:div>
    <w:div w:id="1985432018">
      <w:bodyDiv w:val="1"/>
      <w:marLeft w:val="0"/>
      <w:marRight w:val="0"/>
      <w:marTop w:val="0"/>
      <w:marBottom w:val="0"/>
      <w:divBdr>
        <w:top w:val="none" w:sz="0" w:space="0" w:color="auto"/>
        <w:left w:val="none" w:sz="0" w:space="0" w:color="auto"/>
        <w:bottom w:val="none" w:sz="0" w:space="0" w:color="auto"/>
        <w:right w:val="none" w:sz="0" w:space="0" w:color="auto"/>
      </w:divBdr>
    </w:div>
    <w:div w:id="2036466879">
      <w:bodyDiv w:val="1"/>
      <w:marLeft w:val="0"/>
      <w:marRight w:val="0"/>
      <w:marTop w:val="0"/>
      <w:marBottom w:val="0"/>
      <w:divBdr>
        <w:top w:val="none" w:sz="0" w:space="0" w:color="auto"/>
        <w:left w:val="none" w:sz="0" w:space="0" w:color="auto"/>
        <w:bottom w:val="none" w:sz="0" w:space="0" w:color="auto"/>
        <w:right w:val="none" w:sz="0" w:space="0" w:color="auto"/>
      </w:divBdr>
    </w:div>
    <w:div w:id="2063169744">
      <w:bodyDiv w:val="1"/>
      <w:marLeft w:val="0"/>
      <w:marRight w:val="0"/>
      <w:marTop w:val="0"/>
      <w:marBottom w:val="0"/>
      <w:divBdr>
        <w:top w:val="none" w:sz="0" w:space="0" w:color="auto"/>
        <w:left w:val="none" w:sz="0" w:space="0" w:color="auto"/>
        <w:bottom w:val="none" w:sz="0" w:space="0" w:color="auto"/>
        <w:right w:val="none" w:sz="0" w:space="0" w:color="auto"/>
      </w:divBdr>
    </w:div>
    <w:div w:id="209223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esinvesticijos.lt"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C5139-3F13-4202-8F9F-71B118010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226</Pages>
  <Words>426514</Words>
  <Characters>243114</Characters>
  <Application>Microsoft Office Word</Application>
  <DocSecurity>0</DocSecurity>
  <Lines>2025</Lines>
  <Paragraphs>1336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668292</CharactersWithSpaces>
  <SharedDoc>false</SharedDoc>
  <HLinks>
    <vt:vector size="150" baseType="variant">
      <vt:variant>
        <vt:i4>1507402</vt:i4>
      </vt:variant>
      <vt:variant>
        <vt:i4>147</vt:i4>
      </vt:variant>
      <vt:variant>
        <vt:i4>0</vt:i4>
      </vt:variant>
      <vt:variant>
        <vt:i4>5</vt:i4>
      </vt:variant>
      <vt:variant>
        <vt:lpwstr>http://www.esinvesticijos.lt/</vt:lpwstr>
      </vt:variant>
      <vt:variant>
        <vt:lpwstr/>
      </vt:variant>
      <vt:variant>
        <vt:i4>8192019</vt:i4>
      </vt:variant>
      <vt:variant>
        <vt:i4>141</vt:i4>
      </vt:variant>
      <vt:variant>
        <vt:i4>0</vt:i4>
      </vt:variant>
      <vt:variant>
        <vt:i4>5</vt:i4>
      </vt:variant>
      <vt:variant>
        <vt:lpwstr>C:\Users\I-5\AppData\Local\Microsoft\Windows\Temporary Internet Files\Content.Outlook\AppData\Local\Temp\notes21D1AE\~1135434.xlsx</vt:lpwstr>
      </vt:variant>
      <vt:variant>
        <vt:lpwstr>RANGE!B35</vt:lpwstr>
      </vt:variant>
      <vt:variant>
        <vt:i4>1376308</vt:i4>
      </vt:variant>
      <vt:variant>
        <vt:i4>134</vt:i4>
      </vt:variant>
      <vt:variant>
        <vt:i4>0</vt:i4>
      </vt:variant>
      <vt:variant>
        <vt:i4>5</vt:i4>
      </vt:variant>
      <vt:variant>
        <vt:lpwstr/>
      </vt:variant>
      <vt:variant>
        <vt:lpwstr>_Toc397069620</vt:lpwstr>
      </vt:variant>
      <vt:variant>
        <vt:i4>1441844</vt:i4>
      </vt:variant>
      <vt:variant>
        <vt:i4>128</vt:i4>
      </vt:variant>
      <vt:variant>
        <vt:i4>0</vt:i4>
      </vt:variant>
      <vt:variant>
        <vt:i4>5</vt:i4>
      </vt:variant>
      <vt:variant>
        <vt:lpwstr/>
      </vt:variant>
      <vt:variant>
        <vt:lpwstr>_Toc397069619</vt:lpwstr>
      </vt:variant>
      <vt:variant>
        <vt:i4>1441844</vt:i4>
      </vt:variant>
      <vt:variant>
        <vt:i4>122</vt:i4>
      </vt:variant>
      <vt:variant>
        <vt:i4>0</vt:i4>
      </vt:variant>
      <vt:variant>
        <vt:i4>5</vt:i4>
      </vt:variant>
      <vt:variant>
        <vt:lpwstr/>
      </vt:variant>
      <vt:variant>
        <vt:lpwstr>_Toc397069618</vt:lpwstr>
      </vt:variant>
      <vt:variant>
        <vt:i4>1441844</vt:i4>
      </vt:variant>
      <vt:variant>
        <vt:i4>116</vt:i4>
      </vt:variant>
      <vt:variant>
        <vt:i4>0</vt:i4>
      </vt:variant>
      <vt:variant>
        <vt:i4>5</vt:i4>
      </vt:variant>
      <vt:variant>
        <vt:lpwstr/>
      </vt:variant>
      <vt:variant>
        <vt:lpwstr>_Toc397069617</vt:lpwstr>
      </vt:variant>
      <vt:variant>
        <vt:i4>1441844</vt:i4>
      </vt:variant>
      <vt:variant>
        <vt:i4>110</vt:i4>
      </vt:variant>
      <vt:variant>
        <vt:i4>0</vt:i4>
      </vt:variant>
      <vt:variant>
        <vt:i4>5</vt:i4>
      </vt:variant>
      <vt:variant>
        <vt:lpwstr/>
      </vt:variant>
      <vt:variant>
        <vt:lpwstr>_Toc397069616</vt:lpwstr>
      </vt:variant>
      <vt:variant>
        <vt:i4>1441844</vt:i4>
      </vt:variant>
      <vt:variant>
        <vt:i4>104</vt:i4>
      </vt:variant>
      <vt:variant>
        <vt:i4>0</vt:i4>
      </vt:variant>
      <vt:variant>
        <vt:i4>5</vt:i4>
      </vt:variant>
      <vt:variant>
        <vt:lpwstr/>
      </vt:variant>
      <vt:variant>
        <vt:lpwstr>_Toc397069615</vt:lpwstr>
      </vt:variant>
      <vt:variant>
        <vt:i4>1441844</vt:i4>
      </vt:variant>
      <vt:variant>
        <vt:i4>98</vt:i4>
      </vt:variant>
      <vt:variant>
        <vt:i4>0</vt:i4>
      </vt:variant>
      <vt:variant>
        <vt:i4>5</vt:i4>
      </vt:variant>
      <vt:variant>
        <vt:lpwstr/>
      </vt:variant>
      <vt:variant>
        <vt:lpwstr>_Toc397069614</vt:lpwstr>
      </vt:variant>
      <vt:variant>
        <vt:i4>1441844</vt:i4>
      </vt:variant>
      <vt:variant>
        <vt:i4>92</vt:i4>
      </vt:variant>
      <vt:variant>
        <vt:i4>0</vt:i4>
      </vt:variant>
      <vt:variant>
        <vt:i4>5</vt:i4>
      </vt:variant>
      <vt:variant>
        <vt:lpwstr/>
      </vt:variant>
      <vt:variant>
        <vt:lpwstr>_Toc397069613</vt:lpwstr>
      </vt:variant>
      <vt:variant>
        <vt:i4>1441844</vt:i4>
      </vt:variant>
      <vt:variant>
        <vt:i4>86</vt:i4>
      </vt:variant>
      <vt:variant>
        <vt:i4>0</vt:i4>
      </vt:variant>
      <vt:variant>
        <vt:i4>5</vt:i4>
      </vt:variant>
      <vt:variant>
        <vt:lpwstr/>
      </vt:variant>
      <vt:variant>
        <vt:lpwstr>_Toc397069612</vt:lpwstr>
      </vt:variant>
      <vt:variant>
        <vt:i4>1441844</vt:i4>
      </vt:variant>
      <vt:variant>
        <vt:i4>80</vt:i4>
      </vt:variant>
      <vt:variant>
        <vt:i4>0</vt:i4>
      </vt:variant>
      <vt:variant>
        <vt:i4>5</vt:i4>
      </vt:variant>
      <vt:variant>
        <vt:lpwstr/>
      </vt:variant>
      <vt:variant>
        <vt:lpwstr>_Toc397069611</vt:lpwstr>
      </vt:variant>
      <vt:variant>
        <vt:i4>1441844</vt:i4>
      </vt:variant>
      <vt:variant>
        <vt:i4>74</vt:i4>
      </vt:variant>
      <vt:variant>
        <vt:i4>0</vt:i4>
      </vt:variant>
      <vt:variant>
        <vt:i4>5</vt:i4>
      </vt:variant>
      <vt:variant>
        <vt:lpwstr/>
      </vt:variant>
      <vt:variant>
        <vt:lpwstr>_Toc397069610</vt:lpwstr>
      </vt:variant>
      <vt:variant>
        <vt:i4>1507380</vt:i4>
      </vt:variant>
      <vt:variant>
        <vt:i4>68</vt:i4>
      </vt:variant>
      <vt:variant>
        <vt:i4>0</vt:i4>
      </vt:variant>
      <vt:variant>
        <vt:i4>5</vt:i4>
      </vt:variant>
      <vt:variant>
        <vt:lpwstr/>
      </vt:variant>
      <vt:variant>
        <vt:lpwstr>_Toc397069609</vt:lpwstr>
      </vt:variant>
      <vt:variant>
        <vt:i4>1507380</vt:i4>
      </vt:variant>
      <vt:variant>
        <vt:i4>62</vt:i4>
      </vt:variant>
      <vt:variant>
        <vt:i4>0</vt:i4>
      </vt:variant>
      <vt:variant>
        <vt:i4>5</vt:i4>
      </vt:variant>
      <vt:variant>
        <vt:lpwstr/>
      </vt:variant>
      <vt:variant>
        <vt:lpwstr>_Toc397069608</vt:lpwstr>
      </vt:variant>
      <vt:variant>
        <vt:i4>1507380</vt:i4>
      </vt:variant>
      <vt:variant>
        <vt:i4>56</vt:i4>
      </vt:variant>
      <vt:variant>
        <vt:i4>0</vt:i4>
      </vt:variant>
      <vt:variant>
        <vt:i4>5</vt:i4>
      </vt:variant>
      <vt:variant>
        <vt:lpwstr/>
      </vt:variant>
      <vt:variant>
        <vt:lpwstr>_Toc397069607</vt:lpwstr>
      </vt:variant>
      <vt:variant>
        <vt:i4>1507380</vt:i4>
      </vt:variant>
      <vt:variant>
        <vt:i4>50</vt:i4>
      </vt:variant>
      <vt:variant>
        <vt:i4>0</vt:i4>
      </vt:variant>
      <vt:variant>
        <vt:i4>5</vt:i4>
      </vt:variant>
      <vt:variant>
        <vt:lpwstr/>
      </vt:variant>
      <vt:variant>
        <vt:lpwstr>_Toc397069606</vt:lpwstr>
      </vt:variant>
      <vt:variant>
        <vt:i4>1507380</vt:i4>
      </vt:variant>
      <vt:variant>
        <vt:i4>44</vt:i4>
      </vt:variant>
      <vt:variant>
        <vt:i4>0</vt:i4>
      </vt:variant>
      <vt:variant>
        <vt:i4>5</vt:i4>
      </vt:variant>
      <vt:variant>
        <vt:lpwstr/>
      </vt:variant>
      <vt:variant>
        <vt:lpwstr>_Toc397069605</vt:lpwstr>
      </vt:variant>
      <vt:variant>
        <vt:i4>1507380</vt:i4>
      </vt:variant>
      <vt:variant>
        <vt:i4>38</vt:i4>
      </vt:variant>
      <vt:variant>
        <vt:i4>0</vt:i4>
      </vt:variant>
      <vt:variant>
        <vt:i4>5</vt:i4>
      </vt:variant>
      <vt:variant>
        <vt:lpwstr/>
      </vt:variant>
      <vt:variant>
        <vt:lpwstr>_Toc397069604</vt:lpwstr>
      </vt:variant>
      <vt:variant>
        <vt:i4>1507380</vt:i4>
      </vt:variant>
      <vt:variant>
        <vt:i4>32</vt:i4>
      </vt:variant>
      <vt:variant>
        <vt:i4>0</vt:i4>
      </vt:variant>
      <vt:variant>
        <vt:i4>5</vt:i4>
      </vt:variant>
      <vt:variant>
        <vt:lpwstr/>
      </vt:variant>
      <vt:variant>
        <vt:lpwstr>_Toc397069603</vt:lpwstr>
      </vt:variant>
      <vt:variant>
        <vt:i4>1507380</vt:i4>
      </vt:variant>
      <vt:variant>
        <vt:i4>26</vt:i4>
      </vt:variant>
      <vt:variant>
        <vt:i4>0</vt:i4>
      </vt:variant>
      <vt:variant>
        <vt:i4>5</vt:i4>
      </vt:variant>
      <vt:variant>
        <vt:lpwstr/>
      </vt:variant>
      <vt:variant>
        <vt:lpwstr>_Toc397069602</vt:lpwstr>
      </vt:variant>
      <vt:variant>
        <vt:i4>1507380</vt:i4>
      </vt:variant>
      <vt:variant>
        <vt:i4>20</vt:i4>
      </vt:variant>
      <vt:variant>
        <vt:i4>0</vt:i4>
      </vt:variant>
      <vt:variant>
        <vt:i4>5</vt:i4>
      </vt:variant>
      <vt:variant>
        <vt:lpwstr/>
      </vt:variant>
      <vt:variant>
        <vt:lpwstr>_Toc397069601</vt:lpwstr>
      </vt:variant>
      <vt:variant>
        <vt:i4>1507380</vt:i4>
      </vt:variant>
      <vt:variant>
        <vt:i4>14</vt:i4>
      </vt:variant>
      <vt:variant>
        <vt:i4>0</vt:i4>
      </vt:variant>
      <vt:variant>
        <vt:i4>5</vt:i4>
      </vt:variant>
      <vt:variant>
        <vt:lpwstr/>
      </vt:variant>
      <vt:variant>
        <vt:lpwstr>_Toc397069600</vt:lpwstr>
      </vt:variant>
      <vt:variant>
        <vt:i4>1966135</vt:i4>
      </vt:variant>
      <vt:variant>
        <vt:i4>8</vt:i4>
      </vt:variant>
      <vt:variant>
        <vt:i4>0</vt:i4>
      </vt:variant>
      <vt:variant>
        <vt:i4>5</vt:i4>
      </vt:variant>
      <vt:variant>
        <vt:lpwstr/>
      </vt:variant>
      <vt:variant>
        <vt:lpwstr>_Toc397069599</vt:lpwstr>
      </vt:variant>
      <vt:variant>
        <vt:i4>1966135</vt:i4>
      </vt:variant>
      <vt:variant>
        <vt:i4>2</vt:i4>
      </vt:variant>
      <vt:variant>
        <vt:i4>0</vt:i4>
      </vt:variant>
      <vt:variant>
        <vt:i4>5</vt:i4>
      </vt:variant>
      <vt:variant>
        <vt:lpwstr/>
      </vt:variant>
      <vt:variant>
        <vt:lpwstr>_Toc397069598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Šarūnė Navickaitė</dc:creator>
  <cp:lastModifiedBy>Monika Kasperovičienė</cp:lastModifiedBy>
  <cp:revision>9</cp:revision>
  <cp:lastPrinted>2021-04-14T06:29:00Z</cp:lastPrinted>
  <dcterms:created xsi:type="dcterms:W3CDTF">2022-07-07T08:43:00Z</dcterms:created>
  <dcterms:modified xsi:type="dcterms:W3CDTF">2022-07-07T12:45:00Z</dcterms:modified>
</cp:coreProperties>
</file>